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604" w:rsidRDefault="00C35604" w:rsidP="00C35604">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C35604" w:rsidRDefault="00C35604" w:rsidP="00C35604">
      <w:pPr>
        <w:pStyle w:val="StyleBoldCentered"/>
      </w:pPr>
      <w:r>
        <w:t>F</w:t>
      </w:r>
      <w:r>
        <w:rPr>
          <w:caps w:val="0"/>
        </w:rPr>
        <w:t>ederal Communications Commission</w:t>
      </w:r>
    </w:p>
    <w:p w:rsidR="00C35604" w:rsidRDefault="00C35604" w:rsidP="00C35604">
      <w:pPr>
        <w:pStyle w:val="StyleBoldCentered"/>
      </w:pPr>
      <w:r>
        <w:rPr>
          <w:caps w:val="0"/>
        </w:rPr>
        <w:t>Washington, D.C. 20554</w:t>
      </w:r>
    </w:p>
    <w:p w:rsidR="00795681" w:rsidRDefault="00795681" w:rsidP="007C0D58">
      <w:pPr>
        <w:widowControl/>
        <w:jc w:val="center"/>
        <w:rPr>
          <w:b/>
        </w:rPr>
      </w:pPr>
    </w:p>
    <w:p w:rsidR="00C35604" w:rsidRDefault="00C35604" w:rsidP="007C0D58">
      <w:pPr>
        <w:widowControl/>
        <w:jc w:val="center"/>
        <w:rPr>
          <w:b/>
        </w:rPr>
      </w:pPr>
    </w:p>
    <w:tbl>
      <w:tblPr>
        <w:tblW w:w="0" w:type="auto"/>
        <w:tblLayout w:type="fixed"/>
        <w:tblLook w:val="0000" w:firstRow="0" w:lastRow="0" w:firstColumn="0" w:lastColumn="0" w:noHBand="0" w:noVBand="0"/>
      </w:tblPr>
      <w:tblGrid>
        <w:gridCol w:w="4698"/>
        <w:gridCol w:w="630"/>
        <w:gridCol w:w="4248"/>
      </w:tblGrid>
      <w:tr w:rsidR="00795681">
        <w:tc>
          <w:tcPr>
            <w:tcW w:w="4698" w:type="dxa"/>
          </w:tcPr>
          <w:p w:rsidR="00795681" w:rsidRDefault="00795681" w:rsidP="007C0D58">
            <w:pPr>
              <w:widowControl/>
              <w:tabs>
                <w:tab w:val="center" w:pos="4680"/>
              </w:tabs>
              <w:suppressAutoHyphens/>
              <w:rPr>
                <w:color w:val="000000"/>
                <w:spacing w:val="-2"/>
                <w:szCs w:val="22"/>
              </w:rPr>
            </w:pPr>
            <w:r>
              <w:rPr>
                <w:color w:val="000000"/>
                <w:spacing w:val="-2"/>
                <w:szCs w:val="22"/>
              </w:rPr>
              <w:t>In the Matter of</w:t>
            </w:r>
          </w:p>
          <w:p w:rsidR="00795681" w:rsidRDefault="00795681" w:rsidP="007C0D58">
            <w:pPr>
              <w:widowControl/>
              <w:tabs>
                <w:tab w:val="center" w:pos="4680"/>
              </w:tabs>
              <w:suppressAutoHyphens/>
              <w:rPr>
                <w:color w:val="000000"/>
                <w:spacing w:val="-2"/>
                <w:szCs w:val="22"/>
              </w:rPr>
            </w:pPr>
          </w:p>
          <w:p w:rsidR="00795681" w:rsidRDefault="00795681" w:rsidP="007C0D58">
            <w:pPr>
              <w:widowControl/>
              <w:tabs>
                <w:tab w:val="center" w:pos="4680"/>
              </w:tabs>
              <w:suppressAutoHyphens/>
              <w:rPr>
                <w:spacing w:val="-2"/>
              </w:rPr>
            </w:pPr>
            <w:r>
              <w:t>Permitting Remote Pickup Broadcast Auxili</w:t>
            </w:r>
            <w:r w:rsidR="00507E09">
              <w:t>ary Stations to Utilize Modern Digital Technologies</w:t>
            </w:r>
          </w:p>
          <w:p w:rsidR="00795681" w:rsidRDefault="00795681" w:rsidP="007C0D58">
            <w:pPr>
              <w:widowControl/>
              <w:tabs>
                <w:tab w:val="center" w:pos="4680"/>
              </w:tabs>
              <w:suppressAutoHyphens/>
              <w:rPr>
                <w:spacing w:val="-2"/>
              </w:rPr>
            </w:pPr>
          </w:p>
          <w:p w:rsidR="00795681" w:rsidRDefault="00795681" w:rsidP="007C0D58">
            <w:pPr>
              <w:widowControl/>
              <w:tabs>
                <w:tab w:val="center" w:pos="4680"/>
              </w:tabs>
              <w:suppressAutoHyphens/>
            </w:pPr>
            <w:r w:rsidRPr="00D963EC">
              <w:t xml:space="preserve">Petition for Rulemaking Regarding </w:t>
            </w:r>
            <w:r>
              <w:t>Amendment of Part 74, Subpart D of the Commission’s Rules</w:t>
            </w:r>
          </w:p>
          <w:p w:rsidR="00795681" w:rsidRDefault="00795681" w:rsidP="007C0D58">
            <w:pPr>
              <w:widowControl/>
              <w:tabs>
                <w:tab w:val="center" w:pos="4680"/>
              </w:tabs>
              <w:suppressAutoHyphens/>
            </w:pPr>
          </w:p>
          <w:p w:rsidR="00795681" w:rsidRDefault="00795681" w:rsidP="007C0D58">
            <w:pPr>
              <w:widowControl/>
              <w:tabs>
                <w:tab w:val="center" w:pos="4680"/>
              </w:tabs>
              <w:suppressAutoHyphens/>
            </w:pPr>
            <w:r w:rsidRPr="00D963EC">
              <w:t xml:space="preserve">Petition for Rulemaking Regarding </w:t>
            </w:r>
            <w:r>
              <w:t>Amendment of the Part 74, Subpart D Remote Pickup (RPU) Rules</w:t>
            </w:r>
          </w:p>
          <w:p w:rsidR="00795681" w:rsidRDefault="00795681" w:rsidP="007C0D58">
            <w:pPr>
              <w:widowControl/>
              <w:tabs>
                <w:tab w:val="center" w:pos="4680"/>
              </w:tabs>
              <w:suppressAutoHyphens/>
            </w:pPr>
          </w:p>
          <w:p w:rsidR="00795681" w:rsidRDefault="00795681" w:rsidP="007C0D58">
            <w:pPr>
              <w:widowControl/>
              <w:tabs>
                <w:tab w:val="center" w:pos="4680"/>
              </w:tabs>
              <w:suppressAutoHyphens/>
            </w:pPr>
            <w:r>
              <w:t>Request for Temporary Waiver of Section 74.462 of the Commission’s Rules to Permit Licensee of Remote Pickup Broadcast Auxiliary Stations to Utilize Digital Radio Telephony and Data Emissions</w:t>
            </w:r>
          </w:p>
          <w:p w:rsidR="00795681" w:rsidRDefault="00795681" w:rsidP="007C0D58">
            <w:pPr>
              <w:widowControl/>
              <w:tabs>
                <w:tab w:val="center" w:pos="4680"/>
              </w:tabs>
              <w:suppressAutoHyphens/>
              <w:rPr>
                <w:spacing w:val="-2"/>
              </w:rPr>
            </w:pPr>
          </w:p>
        </w:tc>
        <w:tc>
          <w:tcPr>
            <w:tcW w:w="630" w:type="dxa"/>
          </w:tcPr>
          <w:p w:rsidR="00795681" w:rsidRDefault="00795681" w:rsidP="007C0D58">
            <w:pPr>
              <w:widowControl/>
              <w:tabs>
                <w:tab w:val="center" w:pos="4680"/>
              </w:tabs>
              <w:suppressAutoHyphens/>
              <w:rPr>
                <w:b/>
                <w:spacing w:val="-2"/>
              </w:rPr>
            </w:pPr>
            <w:r>
              <w:rPr>
                <w:b/>
                <w:spacing w:val="-2"/>
              </w:rPr>
              <w:t>)</w:t>
            </w:r>
          </w:p>
          <w:p w:rsidR="00795681" w:rsidRDefault="00795681" w:rsidP="007C0D58">
            <w:pPr>
              <w:widowControl/>
              <w:tabs>
                <w:tab w:val="center" w:pos="4680"/>
              </w:tabs>
              <w:suppressAutoHyphens/>
              <w:rPr>
                <w:b/>
                <w:spacing w:val="-2"/>
              </w:rPr>
            </w:pPr>
            <w:r>
              <w:rPr>
                <w:b/>
                <w:spacing w:val="-2"/>
              </w:rPr>
              <w:t>)</w:t>
            </w:r>
          </w:p>
          <w:p w:rsidR="00795681" w:rsidRDefault="00795681" w:rsidP="007C0D58">
            <w:pPr>
              <w:widowControl/>
              <w:tabs>
                <w:tab w:val="center" w:pos="4680"/>
              </w:tabs>
              <w:suppressAutoHyphens/>
              <w:rPr>
                <w:b/>
                <w:spacing w:val="-2"/>
              </w:rPr>
            </w:pPr>
            <w:r>
              <w:rPr>
                <w:b/>
                <w:spacing w:val="-2"/>
              </w:rPr>
              <w:t>)</w:t>
            </w:r>
          </w:p>
          <w:p w:rsidR="00795681" w:rsidRDefault="00795681" w:rsidP="007C0D58">
            <w:pPr>
              <w:widowControl/>
              <w:tabs>
                <w:tab w:val="center" w:pos="4680"/>
              </w:tabs>
              <w:suppressAutoHyphens/>
              <w:rPr>
                <w:b/>
                <w:spacing w:val="-2"/>
              </w:rPr>
            </w:pPr>
            <w:r>
              <w:rPr>
                <w:b/>
                <w:spacing w:val="-2"/>
              </w:rPr>
              <w:t>)</w:t>
            </w:r>
          </w:p>
          <w:p w:rsidR="00795681" w:rsidRDefault="00795681" w:rsidP="007C0D58">
            <w:pPr>
              <w:widowControl/>
              <w:tabs>
                <w:tab w:val="center" w:pos="4680"/>
              </w:tabs>
              <w:suppressAutoHyphens/>
              <w:rPr>
                <w:b/>
                <w:spacing w:val="-2"/>
              </w:rPr>
            </w:pPr>
            <w:r>
              <w:rPr>
                <w:b/>
                <w:spacing w:val="-2"/>
              </w:rPr>
              <w:t>)</w:t>
            </w:r>
          </w:p>
          <w:p w:rsidR="00795681" w:rsidRDefault="00795681" w:rsidP="007C0D58">
            <w:pPr>
              <w:widowControl/>
              <w:tabs>
                <w:tab w:val="center" w:pos="4680"/>
              </w:tabs>
              <w:suppressAutoHyphens/>
              <w:rPr>
                <w:b/>
                <w:spacing w:val="-2"/>
              </w:rPr>
            </w:pPr>
            <w:r>
              <w:rPr>
                <w:b/>
                <w:spacing w:val="-2"/>
              </w:rPr>
              <w:t>)</w:t>
            </w:r>
          </w:p>
          <w:p w:rsidR="00795681" w:rsidRDefault="00795681" w:rsidP="007C0D58">
            <w:pPr>
              <w:widowControl/>
              <w:tabs>
                <w:tab w:val="center" w:pos="4680"/>
              </w:tabs>
              <w:suppressAutoHyphens/>
              <w:rPr>
                <w:b/>
                <w:spacing w:val="-2"/>
              </w:rPr>
            </w:pPr>
            <w:r>
              <w:rPr>
                <w:b/>
                <w:spacing w:val="-2"/>
              </w:rPr>
              <w:t>)</w:t>
            </w:r>
          </w:p>
          <w:p w:rsidR="00795681" w:rsidRDefault="00795681" w:rsidP="007C0D58">
            <w:pPr>
              <w:widowControl/>
              <w:tabs>
                <w:tab w:val="center" w:pos="4680"/>
              </w:tabs>
              <w:suppressAutoHyphens/>
              <w:rPr>
                <w:b/>
                <w:spacing w:val="-2"/>
              </w:rPr>
            </w:pPr>
            <w:r>
              <w:rPr>
                <w:b/>
                <w:spacing w:val="-2"/>
              </w:rPr>
              <w:t>)</w:t>
            </w:r>
          </w:p>
          <w:p w:rsidR="00795681" w:rsidRDefault="00795681" w:rsidP="007C0D58">
            <w:pPr>
              <w:widowControl/>
              <w:tabs>
                <w:tab w:val="center" w:pos="4680"/>
              </w:tabs>
              <w:suppressAutoHyphens/>
              <w:rPr>
                <w:b/>
                <w:spacing w:val="-2"/>
              </w:rPr>
            </w:pPr>
            <w:r>
              <w:rPr>
                <w:b/>
                <w:spacing w:val="-2"/>
              </w:rPr>
              <w:t>)</w:t>
            </w:r>
          </w:p>
          <w:p w:rsidR="00795681" w:rsidRDefault="00795681" w:rsidP="007C0D58">
            <w:pPr>
              <w:widowControl/>
              <w:tabs>
                <w:tab w:val="center" w:pos="4680"/>
              </w:tabs>
              <w:suppressAutoHyphens/>
              <w:rPr>
                <w:b/>
                <w:spacing w:val="-2"/>
              </w:rPr>
            </w:pPr>
            <w:r>
              <w:rPr>
                <w:b/>
                <w:spacing w:val="-2"/>
              </w:rPr>
              <w:t>)</w:t>
            </w:r>
          </w:p>
          <w:p w:rsidR="00795681" w:rsidRDefault="00795681" w:rsidP="007C0D58">
            <w:pPr>
              <w:widowControl/>
              <w:tabs>
                <w:tab w:val="center" w:pos="4680"/>
              </w:tabs>
              <w:suppressAutoHyphens/>
              <w:rPr>
                <w:b/>
                <w:spacing w:val="-2"/>
              </w:rPr>
            </w:pPr>
            <w:r>
              <w:rPr>
                <w:b/>
                <w:spacing w:val="-2"/>
              </w:rPr>
              <w:t>)</w:t>
            </w:r>
          </w:p>
          <w:p w:rsidR="00795681" w:rsidRDefault="00795681" w:rsidP="007C0D58">
            <w:pPr>
              <w:widowControl/>
              <w:tabs>
                <w:tab w:val="center" w:pos="4680"/>
              </w:tabs>
              <w:suppressAutoHyphens/>
              <w:rPr>
                <w:b/>
                <w:spacing w:val="-2"/>
              </w:rPr>
            </w:pPr>
            <w:r>
              <w:rPr>
                <w:b/>
                <w:spacing w:val="-2"/>
              </w:rPr>
              <w:t>)</w:t>
            </w:r>
          </w:p>
          <w:p w:rsidR="00795681" w:rsidRDefault="00795681" w:rsidP="007C0D58">
            <w:pPr>
              <w:widowControl/>
              <w:tabs>
                <w:tab w:val="center" w:pos="4680"/>
              </w:tabs>
              <w:suppressAutoHyphens/>
              <w:rPr>
                <w:b/>
                <w:spacing w:val="-2"/>
              </w:rPr>
            </w:pPr>
            <w:r>
              <w:rPr>
                <w:b/>
                <w:spacing w:val="-2"/>
              </w:rPr>
              <w:t>)</w:t>
            </w:r>
          </w:p>
          <w:p w:rsidR="00795681" w:rsidRDefault="00795681" w:rsidP="007C0D58">
            <w:pPr>
              <w:widowControl/>
              <w:tabs>
                <w:tab w:val="center" w:pos="4680"/>
              </w:tabs>
              <w:suppressAutoHyphens/>
              <w:rPr>
                <w:b/>
                <w:spacing w:val="-2"/>
              </w:rPr>
            </w:pPr>
            <w:r>
              <w:rPr>
                <w:b/>
                <w:spacing w:val="-2"/>
              </w:rPr>
              <w:t>)</w:t>
            </w:r>
          </w:p>
          <w:p w:rsidR="00795681" w:rsidRDefault="00795681" w:rsidP="007C0D58">
            <w:pPr>
              <w:widowControl/>
              <w:tabs>
                <w:tab w:val="center" w:pos="4680"/>
              </w:tabs>
              <w:suppressAutoHyphens/>
              <w:rPr>
                <w:b/>
                <w:spacing w:val="-2"/>
              </w:rPr>
            </w:pPr>
            <w:r>
              <w:rPr>
                <w:b/>
                <w:spacing w:val="-2"/>
              </w:rPr>
              <w:t>)</w:t>
            </w:r>
          </w:p>
          <w:p w:rsidR="00795681" w:rsidRDefault="00795681" w:rsidP="007C0D58">
            <w:pPr>
              <w:widowControl/>
              <w:tabs>
                <w:tab w:val="center" w:pos="4680"/>
              </w:tabs>
              <w:suppressAutoHyphens/>
              <w:rPr>
                <w:b/>
                <w:spacing w:val="-2"/>
              </w:rPr>
            </w:pPr>
            <w:r>
              <w:rPr>
                <w:b/>
                <w:spacing w:val="-2"/>
              </w:rPr>
              <w:t>)</w:t>
            </w:r>
          </w:p>
          <w:p w:rsidR="00795681" w:rsidRDefault="00795681" w:rsidP="007C0D58">
            <w:pPr>
              <w:widowControl/>
              <w:tabs>
                <w:tab w:val="center" w:pos="4680"/>
              </w:tabs>
              <w:suppressAutoHyphens/>
              <w:rPr>
                <w:b/>
                <w:spacing w:val="-2"/>
              </w:rPr>
            </w:pPr>
            <w:r>
              <w:rPr>
                <w:b/>
                <w:spacing w:val="-2"/>
              </w:rPr>
              <w:t>)</w:t>
            </w:r>
          </w:p>
          <w:p w:rsidR="00830CFB" w:rsidRDefault="00830CFB" w:rsidP="007C0D58">
            <w:pPr>
              <w:widowControl/>
              <w:tabs>
                <w:tab w:val="center" w:pos="4680"/>
              </w:tabs>
              <w:suppressAutoHyphens/>
              <w:rPr>
                <w:b/>
                <w:spacing w:val="-2"/>
              </w:rPr>
            </w:pPr>
            <w:r>
              <w:rPr>
                <w:b/>
                <w:spacing w:val="-2"/>
              </w:rPr>
              <w:t>)</w:t>
            </w:r>
          </w:p>
        </w:tc>
        <w:tc>
          <w:tcPr>
            <w:tcW w:w="4248" w:type="dxa"/>
          </w:tcPr>
          <w:p w:rsidR="00795681" w:rsidRDefault="00795681" w:rsidP="007C0D58">
            <w:pPr>
              <w:widowControl/>
              <w:tabs>
                <w:tab w:val="center" w:pos="4680"/>
              </w:tabs>
              <w:suppressAutoHyphens/>
              <w:rPr>
                <w:spacing w:val="-2"/>
              </w:rPr>
            </w:pPr>
          </w:p>
          <w:p w:rsidR="00795681" w:rsidRDefault="00795681" w:rsidP="007C0D58">
            <w:pPr>
              <w:pStyle w:val="TOAHeading"/>
              <w:widowControl/>
              <w:tabs>
                <w:tab w:val="clear" w:pos="9360"/>
                <w:tab w:val="center" w:pos="4680"/>
              </w:tabs>
              <w:rPr>
                <w:spacing w:val="-2"/>
              </w:rPr>
            </w:pPr>
          </w:p>
          <w:p w:rsidR="00795681" w:rsidRDefault="00795681" w:rsidP="007C0D58">
            <w:pPr>
              <w:widowControl/>
              <w:tabs>
                <w:tab w:val="center" w:pos="4680"/>
              </w:tabs>
              <w:suppressAutoHyphens/>
              <w:rPr>
                <w:color w:val="000000"/>
                <w:spacing w:val="-2"/>
                <w:szCs w:val="22"/>
              </w:rPr>
            </w:pPr>
            <w:r>
              <w:rPr>
                <w:color w:val="000000"/>
                <w:spacing w:val="-2"/>
                <w:szCs w:val="22"/>
              </w:rPr>
              <w:t>WT Docket No. 1</w:t>
            </w:r>
            <w:r w:rsidR="00B72C31">
              <w:rPr>
                <w:color w:val="000000"/>
                <w:spacing w:val="-2"/>
                <w:szCs w:val="22"/>
              </w:rPr>
              <w:t>5</w:t>
            </w:r>
            <w:r>
              <w:rPr>
                <w:color w:val="000000"/>
                <w:spacing w:val="-2"/>
                <w:szCs w:val="22"/>
              </w:rPr>
              <w:t>-</w:t>
            </w:r>
            <w:r w:rsidR="00A625D3">
              <w:rPr>
                <w:color w:val="000000"/>
                <w:spacing w:val="-2"/>
                <w:szCs w:val="22"/>
              </w:rPr>
              <w:t>36</w:t>
            </w:r>
          </w:p>
          <w:p w:rsidR="00795681" w:rsidRDefault="00795681" w:rsidP="007C0D58">
            <w:pPr>
              <w:widowControl/>
              <w:tabs>
                <w:tab w:val="center" w:pos="4680"/>
              </w:tabs>
              <w:suppressAutoHyphens/>
              <w:rPr>
                <w:color w:val="000000"/>
                <w:spacing w:val="-2"/>
                <w:szCs w:val="22"/>
              </w:rPr>
            </w:pPr>
          </w:p>
          <w:p w:rsidR="00795681" w:rsidRDefault="00795681" w:rsidP="007C0D58">
            <w:pPr>
              <w:widowControl/>
              <w:tabs>
                <w:tab w:val="center" w:pos="4680"/>
              </w:tabs>
              <w:suppressAutoHyphens/>
              <w:rPr>
                <w:spacing w:val="-2"/>
              </w:rPr>
            </w:pPr>
          </w:p>
          <w:p w:rsidR="00795681" w:rsidRPr="00DC791C" w:rsidRDefault="00795681" w:rsidP="007C0D58">
            <w:pPr>
              <w:widowControl/>
              <w:tabs>
                <w:tab w:val="center" w:pos="4680"/>
              </w:tabs>
              <w:suppressAutoHyphens/>
              <w:rPr>
                <w:spacing w:val="-2"/>
              </w:rPr>
            </w:pPr>
            <w:r w:rsidRPr="00DC791C">
              <w:rPr>
                <w:spacing w:val="-2"/>
              </w:rPr>
              <w:t>RM-11648</w:t>
            </w:r>
          </w:p>
          <w:p w:rsidR="00795681" w:rsidRDefault="00795681" w:rsidP="007C0D58">
            <w:pPr>
              <w:widowControl/>
              <w:tabs>
                <w:tab w:val="center" w:pos="4680"/>
              </w:tabs>
              <w:suppressAutoHyphens/>
              <w:rPr>
                <w:spacing w:val="-2"/>
              </w:rPr>
            </w:pPr>
          </w:p>
          <w:p w:rsidR="00795681" w:rsidRDefault="00795681" w:rsidP="007C0D58">
            <w:pPr>
              <w:widowControl/>
              <w:tabs>
                <w:tab w:val="center" w:pos="4680"/>
              </w:tabs>
              <w:suppressAutoHyphens/>
              <w:rPr>
                <w:spacing w:val="-2"/>
              </w:rPr>
            </w:pPr>
          </w:p>
          <w:p w:rsidR="00795681" w:rsidRPr="00DC791C" w:rsidRDefault="00795681" w:rsidP="007C0D58">
            <w:pPr>
              <w:widowControl/>
              <w:tabs>
                <w:tab w:val="center" w:pos="4680"/>
              </w:tabs>
              <w:suppressAutoHyphens/>
              <w:rPr>
                <w:spacing w:val="-2"/>
              </w:rPr>
            </w:pPr>
            <w:r w:rsidRPr="00DC791C">
              <w:rPr>
                <w:spacing w:val="-2"/>
              </w:rPr>
              <w:t>RM-1164</w:t>
            </w:r>
            <w:r>
              <w:rPr>
                <w:spacing w:val="-2"/>
              </w:rPr>
              <w:t>9</w:t>
            </w:r>
          </w:p>
        </w:tc>
      </w:tr>
    </w:tbl>
    <w:p w:rsidR="00795681" w:rsidRDefault="00795681" w:rsidP="007C0D58">
      <w:pPr>
        <w:pStyle w:val="StyleBoldCentered"/>
        <w:widowControl/>
      </w:pPr>
    </w:p>
    <w:p w:rsidR="00795681" w:rsidRDefault="00795681" w:rsidP="007C0D58">
      <w:pPr>
        <w:pStyle w:val="StyleBoldCentered"/>
        <w:widowControl/>
      </w:pPr>
      <w:r>
        <w:t>notice of proposed rulemaking and Order</w:t>
      </w:r>
    </w:p>
    <w:p w:rsidR="00795681" w:rsidRDefault="00795681" w:rsidP="007C0D58">
      <w:pPr>
        <w:widowControl/>
        <w:tabs>
          <w:tab w:val="left" w:pos="720"/>
          <w:tab w:val="left" w:pos="6750"/>
        </w:tabs>
        <w:suppressAutoHyphens/>
        <w:spacing w:line="227" w:lineRule="auto"/>
        <w:rPr>
          <w:b/>
          <w:spacing w:val="-2"/>
        </w:rPr>
      </w:pPr>
    </w:p>
    <w:p w:rsidR="00C35604" w:rsidRDefault="00C35604" w:rsidP="00C35604">
      <w:pPr>
        <w:tabs>
          <w:tab w:val="left" w:pos="720"/>
          <w:tab w:val="right" w:pos="9360"/>
        </w:tabs>
        <w:suppressAutoHyphens/>
        <w:spacing w:line="227" w:lineRule="auto"/>
        <w:rPr>
          <w:spacing w:val="-2"/>
        </w:rPr>
      </w:pPr>
      <w:r>
        <w:rPr>
          <w:b/>
          <w:spacing w:val="-2"/>
        </w:rPr>
        <w:t>Adopted:  February 13, 2015</w:t>
      </w:r>
      <w:r>
        <w:rPr>
          <w:b/>
          <w:spacing w:val="-2"/>
        </w:rPr>
        <w:tab/>
        <w:t>Released:  February 18, 2015</w:t>
      </w:r>
    </w:p>
    <w:p w:rsidR="00795681" w:rsidRDefault="00795681" w:rsidP="007C0D58">
      <w:pPr>
        <w:widowControl/>
      </w:pPr>
    </w:p>
    <w:p w:rsidR="00795681" w:rsidRPr="00943F65" w:rsidRDefault="00795681" w:rsidP="007C0D58">
      <w:pPr>
        <w:widowControl/>
        <w:rPr>
          <w:b/>
          <w:color w:val="000000"/>
          <w:spacing w:val="-2"/>
          <w:szCs w:val="22"/>
        </w:rPr>
      </w:pPr>
      <w:r w:rsidRPr="00943F65">
        <w:rPr>
          <w:b/>
          <w:color w:val="000000"/>
          <w:spacing w:val="-2"/>
          <w:szCs w:val="22"/>
        </w:rPr>
        <w:t>Comment Date:  (</w:t>
      </w:r>
      <w:r w:rsidR="00D83317">
        <w:rPr>
          <w:b/>
          <w:color w:val="000000"/>
          <w:spacing w:val="-2"/>
          <w:szCs w:val="22"/>
        </w:rPr>
        <w:t>30</w:t>
      </w:r>
      <w:r w:rsidRPr="00943F65">
        <w:rPr>
          <w:b/>
          <w:color w:val="000000"/>
          <w:spacing w:val="-2"/>
          <w:szCs w:val="22"/>
        </w:rPr>
        <w:t xml:space="preserve"> days after publication in the Federal Register)</w:t>
      </w:r>
    </w:p>
    <w:p w:rsidR="00795681" w:rsidRDefault="00795681" w:rsidP="007C0D58">
      <w:pPr>
        <w:widowControl/>
        <w:spacing w:after="220"/>
        <w:rPr>
          <w:color w:val="000000"/>
          <w:spacing w:val="-2"/>
          <w:szCs w:val="22"/>
        </w:rPr>
      </w:pPr>
      <w:r w:rsidRPr="00943F65">
        <w:rPr>
          <w:b/>
          <w:color w:val="000000"/>
          <w:spacing w:val="-2"/>
          <w:szCs w:val="22"/>
        </w:rPr>
        <w:t>Reply Comment Date:  (</w:t>
      </w:r>
      <w:r w:rsidR="00D83317">
        <w:rPr>
          <w:b/>
          <w:color w:val="000000"/>
          <w:spacing w:val="-2"/>
          <w:szCs w:val="22"/>
        </w:rPr>
        <w:t>45</w:t>
      </w:r>
      <w:r w:rsidRPr="00943F65">
        <w:rPr>
          <w:b/>
          <w:color w:val="000000"/>
          <w:spacing w:val="-2"/>
          <w:szCs w:val="22"/>
        </w:rPr>
        <w:t xml:space="preserve"> days after publication in the Federal Register)</w:t>
      </w:r>
      <w:r w:rsidRPr="00DC5EE2">
        <w:rPr>
          <w:color w:val="000000"/>
          <w:spacing w:val="-2"/>
          <w:szCs w:val="22"/>
        </w:rPr>
        <w:t xml:space="preserve"> </w:t>
      </w:r>
    </w:p>
    <w:p w:rsidR="00632DA9" w:rsidRDefault="00632DA9" w:rsidP="007C0D58">
      <w:pPr>
        <w:widowControl/>
        <w:spacing w:after="220"/>
        <w:rPr>
          <w:color w:val="000000"/>
          <w:spacing w:val="-2"/>
          <w:szCs w:val="22"/>
        </w:rPr>
      </w:pPr>
      <w:r>
        <w:rPr>
          <w:color w:val="000000"/>
          <w:spacing w:val="-2"/>
          <w:szCs w:val="22"/>
        </w:rPr>
        <w:t>By the Commission:</w:t>
      </w:r>
    </w:p>
    <w:p w:rsidR="00795681" w:rsidRDefault="00795681" w:rsidP="00C35604">
      <w:pPr>
        <w:pStyle w:val="Heading1"/>
      </w:pPr>
      <w:bookmarkStart w:id="1" w:name="_Toc104980107"/>
      <w:bookmarkStart w:id="2" w:name="_Toc105326990"/>
      <w:bookmarkStart w:id="3" w:name="_Toc105842890"/>
      <w:bookmarkStart w:id="4" w:name="_Toc105842942"/>
      <w:bookmarkStart w:id="5" w:name="_Toc106189900"/>
      <w:bookmarkStart w:id="6" w:name="_Toc106790455"/>
      <w:bookmarkStart w:id="7" w:name="_Toc107133777"/>
      <w:bookmarkStart w:id="8" w:name="_Toc107292279"/>
      <w:bookmarkStart w:id="9" w:name="_Toc109826273"/>
      <w:bookmarkStart w:id="10" w:name="_Toc110682617"/>
      <w:bookmarkStart w:id="11" w:name="_Toc110682840"/>
      <w:bookmarkStart w:id="12" w:name="_Toc111032299"/>
      <w:bookmarkStart w:id="13" w:name="_Toc111033980"/>
      <w:bookmarkStart w:id="14" w:name="_Toc111271382"/>
      <w:bookmarkStart w:id="15" w:name="_Toc112233930"/>
      <w:bookmarkStart w:id="16" w:name="_Toc112488831"/>
      <w:bookmarkStart w:id="17" w:name="_Toc112757968"/>
      <w:bookmarkStart w:id="18" w:name="_Toc112816304"/>
      <w:bookmarkStart w:id="19" w:name="_Toc112849482"/>
      <w:bookmarkStart w:id="20" w:name="_Toc114467177"/>
      <w:bookmarkStart w:id="21" w:name="_Toc115866051"/>
      <w:bookmarkStart w:id="22" w:name="_Toc116788453"/>
      <w:bookmarkStart w:id="23" w:name="_Toc116875561"/>
      <w:bookmarkStart w:id="24" w:name="_Toc116898938"/>
      <w:bookmarkStart w:id="25" w:name="_Toc118273249"/>
      <w:bookmarkStart w:id="26" w:name="_Toc118280140"/>
      <w:bookmarkStart w:id="27" w:name="_Toc118280349"/>
      <w:bookmarkStart w:id="28" w:name="_Toc119408947"/>
      <w:bookmarkStart w:id="29" w:name="_Toc119725729"/>
      <w:bookmarkStart w:id="30" w:name="_Toc119746119"/>
      <w:bookmarkStart w:id="31" w:name="_Toc119757342"/>
      <w:bookmarkStart w:id="32" w:name="_Toc131319094"/>
      <w:bookmarkStart w:id="33" w:name="_Toc131398597"/>
      <w:bookmarkStart w:id="34" w:name="_Toc131416903"/>
      <w:bookmarkStart w:id="35" w:name="_Toc131422750"/>
      <w:bookmarkStart w:id="36" w:name="_Toc131566412"/>
      <w:bookmarkStart w:id="37" w:name="_Toc131567061"/>
      <w:bookmarkStart w:id="38" w:name="_Toc131574586"/>
      <w:bookmarkStart w:id="39" w:name="_Toc131586038"/>
      <w:bookmarkStart w:id="40" w:name="_Toc131822528"/>
      <w:bookmarkStart w:id="41" w:name="_Toc131822736"/>
      <w:bookmarkStart w:id="42" w:name="_Toc131823571"/>
      <w:bookmarkStart w:id="43" w:name="_Toc131907490"/>
      <w:bookmarkStart w:id="44" w:name="_Toc131997636"/>
      <w:bookmarkStart w:id="45" w:name="_Toc132002593"/>
      <w:bookmarkStart w:id="46" w:name="_Toc132002817"/>
      <w:bookmarkStart w:id="47" w:name="_Toc132012545"/>
      <w:bookmarkStart w:id="48" w:name="_Toc133751565"/>
      <w:bookmarkStart w:id="49" w:name="_Toc133898323"/>
      <w:bookmarkStart w:id="50" w:name="_Toc134434219"/>
      <w:bookmarkStart w:id="51" w:name="_Toc135126205"/>
      <w:bookmarkStart w:id="52" w:name="_Toc138822634"/>
      <w:bookmarkStart w:id="53" w:name="_Toc138822941"/>
      <w:bookmarkStart w:id="54" w:name="_Toc138829461"/>
      <w:bookmarkStart w:id="55" w:name="_Toc139097748"/>
      <w:bookmarkStart w:id="56" w:name="_Toc139256584"/>
      <w:bookmarkStart w:id="57" w:name="_Toc140485332"/>
      <w:bookmarkStart w:id="58" w:name="_Toc140485387"/>
      <w:bookmarkStart w:id="59" w:name="_Toc142209883"/>
      <w:bookmarkStart w:id="60" w:name="_Toc143340022"/>
      <w:bookmarkStart w:id="61" w:name="_Toc151531856"/>
      <w:bookmarkStart w:id="62" w:name="_Toc152757568"/>
      <w:bookmarkStart w:id="63" w:name="_Ref153198198"/>
      <w:bookmarkStart w:id="64" w:name="_Toc153202659"/>
      <w:bookmarkStart w:id="65" w:name="_Toc153769822"/>
      <w:bookmarkStart w:id="66" w:name="_Toc153780610"/>
      <w:bookmarkStart w:id="67" w:name="_Toc153884438"/>
      <w:bookmarkStart w:id="68" w:name="_Toc157846414"/>
      <w:bookmarkStart w:id="69" w:name="_Toc161053530"/>
      <w:bookmarkStart w:id="70" w:name="_Toc161735752"/>
      <w:bookmarkStart w:id="71" w:name="_Toc161741985"/>
      <w:bookmarkStart w:id="72" w:name="_Toc161742118"/>
      <w:bookmarkStart w:id="73" w:name="_Toc161751582"/>
      <w:bookmarkStart w:id="74" w:name="_Toc161821815"/>
      <w:bookmarkStart w:id="75" w:name="_Toc162078683"/>
      <w:bookmarkStart w:id="76" w:name="_Toc162091616"/>
      <w:bookmarkStart w:id="77" w:name="_Toc163386105"/>
      <w:bookmarkStart w:id="78" w:name="_Toc163898946"/>
      <w:bookmarkStart w:id="79" w:name="_Toc164255214"/>
      <w:bookmarkStart w:id="80" w:name="_Toc164587475"/>
      <w:bookmarkStart w:id="81" w:name="_Toc164672211"/>
      <w:bookmarkStart w:id="82" w:name="_Toc165095682"/>
      <w:bookmarkStart w:id="83" w:name="_Toc173583314"/>
      <w:bookmarkStart w:id="84" w:name="_Toc173671726"/>
      <w:bookmarkStart w:id="85" w:name="_Toc173736759"/>
      <w:bookmarkStart w:id="86" w:name="_Toc173856498"/>
      <w:bookmarkStart w:id="87" w:name="_Toc174769796"/>
      <w:bookmarkStart w:id="88" w:name="_Toc174862530"/>
      <w:bookmarkStart w:id="89" w:name="_Toc174958002"/>
      <w:bookmarkStart w:id="90" w:name="_Toc174963954"/>
      <w:bookmarkStart w:id="91" w:name="_Toc174964142"/>
      <w:bookmarkStart w:id="92" w:name="_Toc174967040"/>
      <w:bookmarkStart w:id="93" w:name="_Toc175037406"/>
      <w:bookmarkStart w:id="94" w:name="_Toc175731941"/>
      <w:bookmarkStart w:id="95" w:name="_Toc175734828"/>
      <w:bookmarkStart w:id="96" w:name="_Toc176184044"/>
      <w:bookmarkStart w:id="97" w:name="_Toc176235506"/>
      <w:bookmarkStart w:id="98" w:name="_Toc176237301"/>
      <w:bookmarkStart w:id="99" w:name="_Toc176333084"/>
      <w:bookmarkStart w:id="100" w:name="_Toc176757077"/>
      <w:bookmarkStart w:id="101" w:name="_Toc176788370"/>
      <w:bookmarkStart w:id="102" w:name="_Toc192323201"/>
      <w:bookmarkStart w:id="103" w:name="_Toc192408811"/>
      <w:bookmarkStart w:id="104" w:name="_Toc192486115"/>
      <w:bookmarkStart w:id="105" w:name="_Toc192493816"/>
      <w:bookmarkStart w:id="106" w:name="_Toc192561284"/>
      <w:bookmarkStart w:id="107" w:name="_Toc192563932"/>
      <w:bookmarkStart w:id="108" w:name="_Toc192564005"/>
      <w:bookmarkStart w:id="109" w:name="_Toc192570240"/>
      <w:bookmarkStart w:id="110" w:name="_Toc192580838"/>
      <w:bookmarkStart w:id="111" w:name="_Toc192580901"/>
      <w:bookmarkStart w:id="112" w:name="_Toc192663402"/>
      <w:bookmarkStart w:id="113" w:name="_Toc192669126"/>
      <w:bookmarkStart w:id="114" w:name="_Toc192913848"/>
      <w:bookmarkStart w:id="115" w:name="_Toc192917372"/>
      <w:bookmarkStart w:id="116" w:name="_Toc192924419"/>
      <w:bookmarkStart w:id="117" w:name="_Toc192994229"/>
      <w:bookmarkStart w:id="118" w:name="_Toc192995649"/>
      <w:bookmarkStart w:id="119" w:name="_Toc192998741"/>
      <w:bookmarkStart w:id="120" w:name="_Toc193002788"/>
      <w:bookmarkStart w:id="121" w:name="_Toc193011905"/>
      <w:bookmarkStart w:id="122" w:name="_Toc193014791"/>
      <w:bookmarkStart w:id="123" w:name="_Toc193091862"/>
      <w:bookmarkStart w:id="124" w:name="_Toc193097184"/>
      <w:bookmarkStart w:id="125" w:name="_Toc193176804"/>
      <w:bookmarkStart w:id="126" w:name="_Toc193250875"/>
      <w:bookmarkStart w:id="127" w:name="_Toc193251491"/>
      <w:bookmarkStart w:id="128" w:name="_Toc193251853"/>
      <w:bookmarkStart w:id="129" w:name="_Toc193253421"/>
      <w:bookmarkStart w:id="130" w:name="_Toc193262993"/>
      <w:bookmarkStart w:id="131" w:name="_Toc193268809"/>
      <w:bookmarkStart w:id="132" w:name="_Toc193506591"/>
      <w:bookmarkStart w:id="133" w:name="_Toc193525794"/>
      <w:bookmarkStart w:id="134" w:name="_Toc193527263"/>
      <w:bookmarkStart w:id="135" w:name="_Toc193603979"/>
      <w:bookmarkStart w:id="136" w:name="_Toc193615008"/>
      <w:bookmarkStart w:id="137" w:name="_Toc193771372"/>
      <w:bookmarkStart w:id="138" w:name="_Toc193771421"/>
      <w:bookmarkStart w:id="139" w:name="_Toc193771479"/>
      <w:bookmarkStart w:id="140" w:name="_Toc193774109"/>
      <w:bookmarkStart w:id="141" w:name="_Toc193775970"/>
      <w:bookmarkStart w:id="142" w:name="_Toc193776021"/>
      <w:bookmarkStart w:id="143" w:name="_Toc193848254"/>
      <w:bookmarkStart w:id="144" w:name="_Toc194110731"/>
      <w:bookmarkStart w:id="145" w:name="_Toc194110791"/>
      <w:bookmarkStart w:id="146" w:name="_Toc194119380"/>
      <w:bookmarkStart w:id="147" w:name="_Toc194130194"/>
      <w:bookmarkStart w:id="148" w:name="_Toc194199842"/>
      <w:bookmarkStart w:id="149" w:name="_Toc194200638"/>
      <w:bookmarkStart w:id="150" w:name="_Toc194202904"/>
      <w:bookmarkStart w:id="151" w:name="_Toc194282912"/>
      <w:bookmarkStart w:id="152" w:name="_Toc194293104"/>
      <w:bookmarkStart w:id="153" w:name="_Toc194295345"/>
      <w:bookmarkStart w:id="154" w:name="_Toc194307497"/>
      <w:bookmarkStart w:id="155" w:name="_Toc194310209"/>
      <w:bookmarkStart w:id="156" w:name="_Toc194310307"/>
      <w:bookmarkStart w:id="157" w:name="_Toc194310462"/>
      <w:bookmarkStart w:id="158" w:name="_Toc194310562"/>
      <w:bookmarkStart w:id="159" w:name="_Toc194451622"/>
      <w:bookmarkStart w:id="160" w:name="_Toc194475914"/>
      <w:bookmarkStart w:id="161" w:name="_Toc194476060"/>
      <w:bookmarkStart w:id="162" w:name="_Toc195600490"/>
      <w:bookmarkStart w:id="163" w:name="_Toc196210703"/>
      <w:bookmarkStart w:id="164" w:name="_Toc196219328"/>
      <w:bookmarkStart w:id="165" w:name="_Toc196631283"/>
      <w:bookmarkStart w:id="166" w:name="_Toc196900853"/>
      <w:bookmarkStart w:id="167" w:name="_Toc196901609"/>
      <w:bookmarkStart w:id="168" w:name="_Toc196902376"/>
      <w:bookmarkStart w:id="169" w:name="_Toc196903689"/>
      <w:bookmarkStart w:id="170" w:name="_Toc199222207"/>
      <w:bookmarkStart w:id="171" w:name="_Toc199222468"/>
      <w:bookmarkStart w:id="172" w:name="_Toc199222606"/>
      <w:bookmarkStart w:id="173" w:name="_Toc199224122"/>
      <w:bookmarkStart w:id="174" w:name="_Toc199229184"/>
      <w:bookmarkStart w:id="175" w:name="_Toc199233741"/>
      <w:bookmarkStart w:id="176" w:name="_Toc199233964"/>
      <w:bookmarkStart w:id="177" w:name="_Toc199235795"/>
      <w:bookmarkStart w:id="178" w:name="_Toc199243921"/>
      <w:bookmarkStart w:id="179" w:name="_Toc199244057"/>
      <w:bookmarkStart w:id="180" w:name="_Toc199244147"/>
      <w:bookmarkStart w:id="181" w:name="_Toc199244350"/>
      <w:bookmarkStart w:id="182" w:name="_Toc199248448"/>
      <w:bookmarkStart w:id="183" w:name="_Toc199248569"/>
      <w:bookmarkStart w:id="184" w:name="_Toc199248692"/>
      <w:bookmarkStart w:id="185" w:name="_Toc199248782"/>
      <w:bookmarkStart w:id="186" w:name="_Toc199248960"/>
      <w:bookmarkStart w:id="187" w:name="_Toc199249756"/>
      <w:bookmarkStart w:id="188" w:name="_Toc199250118"/>
      <w:bookmarkStart w:id="189" w:name="_Toc202142900"/>
      <w:bookmarkStart w:id="190" w:name="_Toc202164133"/>
      <w:bookmarkStart w:id="191" w:name="_Toc204738836"/>
      <w:bookmarkStart w:id="192" w:name="_Toc205622942"/>
      <w:bookmarkStart w:id="193" w:name="_Toc205629084"/>
      <w:bookmarkStart w:id="194" w:name="_Toc209510340"/>
      <w:bookmarkStart w:id="195" w:name="_Toc209571577"/>
      <w:bookmarkStart w:id="196" w:name="_Toc209580111"/>
      <w:bookmarkStart w:id="197" w:name="_Toc210045629"/>
      <w:bookmarkStart w:id="198" w:name="_Toc210184177"/>
      <w:bookmarkStart w:id="199" w:name="_Toc210642762"/>
      <w:bookmarkStart w:id="200" w:name="_Toc210652539"/>
      <w:bookmarkStart w:id="201" w:name="_Toc210720927"/>
      <w:bookmarkStart w:id="202" w:name="_Toc210812314"/>
      <w:bookmarkStart w:id="203" w:name="_Toc211262038"/>
      <w:bookmarkStart w:id="204" w:name="_Toc211764049"/>
      <w:bookmarkStart w:id="205" w:name="_Toc211786191"/>
      <w:bookmarkStart w:id="206" w:name="_Toc211838638"/>
      <w:bookmarkStart w:id="207" w:name="_Toc211856583"/>
      <w:bookmarkStart w:id="208" w:name="_Toc215442754"/>
      <w:bookmarkStart w:id="209" w:name="_Toc215448007"/>
      <w:bookmarkStart w:id="210" w:name="_Toc215454581"/>
      <w:bookmarkStart w:id="211" w:name="_Toc215462708"/>
      <w:bookmarkStart w:id="212" w:name="_Toc215468669"/>
      <w:bookmarkStart w:id="213" w:name="_Toc216612344"/>
      <w:bookmarkStart w:id="214" w:name="_Toc216612401"/>
      <w:bookmarkStart w:id="215" w:name="_Toc216696612"/>
      <w:bookmarkStart w:id="216" w:name="_Toc216754044"/>
      <w:bookmarkStart w:id="217" w:name="_Toc216767539"/>
      <w:bookmarkStart w:id="218" w:name="_Toc216771783"/>
      <w:bookmarkStart w:id="219" w:name="_Toc229461238"/>
      <w:bookmarkStart w:id="220" w:name="_Toc229542325"/>
      <w:bookmarkStart w:id="221" w:name="_Toc230600972"/>
      <w:bookmarkStart w:id="222" w:name="_Toc230672591"/>
      <w:bookmarkStart w:id="223" w:name="_Toc230683927"/>
      <w:bookmarkStart w:id="224" w:name="_Toc231534387"/>
      <w:bookmarkStart w:id="225" w:name="_Toc231535141"/>
      <w:bookmarkStart w:id="226" w:name="_Toc231549026"/>
      <w:bookmarkStart w:id="227" w:name="_Toc231610678"/>
      <w:bookmarkStart w:id="228" w:name="_Toc231619344"/>
      <w:bookmarkStart w:id="229" w:name="_Toc231687066"/>
      <w:bookmarkStart w:id="230" w:name="_Toc231705960"/>
      <w:bookmarkStart w:id="231" w:name="_Toc231706174"/>
      <w:bookmarkStart w:id="232" w:name="_Toc231707700"/>
      <w:bookmarkStart w:id="233" w:name="_Toc231812291"/>
      <w:bookmarkStart w:id="234" w:name="_Toc231873479"/>
      <w:bookmarkStart w:id="235" w:name="_Toc232214676"/>
      <w:bookmarkStart w:id="236" w:name="_Toc232219542"/>
      <w:bookmarkStart w:id="237" w:name="_Toc232307409"/>
      <w:bookmarkStart w:id="238" w:name="_Toc232388042"/>
      <w:bookmarkStart w:id="239" w:name="_Toc232392077"/>
      <w:bookmarkStart w:id="240" w:name="_Toc232397966"/>
      <w:bookmarkStart w:id="241" w:name="_Toc232399719"/>
      <w:bookmarkStart w:id="242" w:name="_Toc232400283"/>
      <w:bookmarkStart w:id="243" w:name="_Toc232400416"/>
      <w:bookmarkStart w:id="244" w:name="_Toc232402975"/>
      <w:bookmarkStart w:id="245" w:name="_Toc232404511"/>
      <w:bookmarkStart w:id="246" w:name="_Toc232406388"/>
      <w:bookmarkStart w:id="247" w:name="_Toc232408334"/>
      <w:bookmarkStart w:id="248" w:name="_Toc232410161"/>
      <w:bookmarkStart w:id="249" w:name="_Toc232410519"/>
      <w:bookmarkStart w:id="250" w:name="_Toc232411961"/>
      <w:bookmarkStart w:id="251" w:name="_Toc232412199"/>
      <w:bookmarkStart w:id="252" w:name="_Toc232419216"/>
      <w:bookmarkStart w:id="253" w:name="_Toc232421043"/>
      <w:bookmarkStart w:id="254" w:name="_Toc233442959"/>
      <w:bookmarkStart w:id="255" w:name="_Toc233443257"/>
      <w:bookmarkStart w:id="256" w:name="_Toc233450705"/>
      <w:bookmarkStart w:id="257" w:name="_Toc234125209"/>
      <w:bookmarkStart w:id="258" w:name="_Toc234806581"/>
      <w:bookmarkStart w:id="259" w:name="_Toc235253956"/>
      <w:bookmarkStart w:id="260" w:name="_Toc235499879"/>
      <w:bookmarkStart w:id="261" w:name="_Toc238548831"/>
      <w:bookmarkStart w:id="262" w:name="_Toc238549423"/>
      <w:bookmarkStart w:id="263" w:name="_Toc238612081"/>
      <w:bookmarkStart w:id="264" w:name="_Toc238612268"/>
      <w:bookmarkStart w:id="265" w:name="_Toc238612678"/>
      <w:bookmarkStart w:id="266" w:name="_Toc248739644"/>
      <w:bookmarkStart w:id="267" w:name="_Toc248740823"/>
      <w:bookmarkStart w:id="268" w:name="_Toc248803116"/>
      <w:bookmarkStart w:id="269" w:name="_Toc248804885"/>
      <w:bookmarkStart w:id="270" w:name="_Toc248814233"/>
      <w:bookmarkStart w:id="271" w:name="_Toc248909503"/>
      <w:bookmarkStart w:id="272" w:name="_Toc259178195"/>
      <w:bookmarkStart w:id="273" w:name="_Toc259178305"/>
      <w:bookmarkStart w:id="274" w:name="_Toc259779403"/>
      <w:bookmarkStart w:id="275" w:name="_Toc260058970"/>
      <w:bookmarkStart w:id="276" w:name="_Toc260125036"/>
      <w:bookmarkStart w:id="277" w:name="_Toc260135916"/>
      <w:bookmarkStart w:id="278" w:name="_Toc260388799"/>
      <w:bookmarkStart w:id="279" w:name="_Toc260905129"/>
      <w:bookmarkStart w:id="280" w:name="_Toc261507226"/>
      <w:bookmarkStart w:id="281" w:name="_Toc261585618"/>
      <w:bookmarkStart w:id="282" w:name="_Toc262717585"/>
      <w:bookmarkStart w:id="283" w:name="_Toc263400917"/>
      <w:bookmarkStart w:id="284" w:name="_Toc263688782"/>
      <w:bookmarkStart w:id="285" w:name="_Toc312236274"/>
      <w:bookmarkStart w:id="286" w:name="_Toc312236997"/>
      <w:bookmarkStart w:id="287" w:name="_Toc312237032"/>
      <w:bookmarkStart w:id="288" w:name="_Toc322935344"/>
      <w:r w:rsidRPr="00C35604">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rsidR="006A4721" w:rsidRPr="006A4721" w:rsidRDefault="00795681" w:rsidP="003E1F85">
      <w:pPr>
        <w:pStyle w:val="ParaNum"/>
      </w:pPr>
      <w:bookmarkStart w:id="289" w:name="_Toc231687104"/>
      <w:bookmarkStart w:id="290" w:name="_Toc231705995"/>
      <w:bookmarkStart w:id="291" w:name="_Toc231706209"/>
      <w:bookmarkStart w:id="292" w:name="_Toc231707735"/>
      <w:bookmarkStart w:id="293" w:name="_Toc231812314"/>
      <w:bookmarkStart w:id="294" w:name="_Toc231873509"/>
      <w:bookmarkStart w:id="295" w:name="_Toc232214706"/>
      <w:bookmarkStart w:id="296" w:name="_Toc232219571"/>
      <w:bookmarkStart w:id="297" w:name="_Toc232307434"/>
      <w:bookmarkStart w:id="298" w:name="_Toc232388068"/>
      <w:bookmarkStart w:id="299" w:name="_Toc232392126"/>
      <w:bookmarkStart w:id="300" w:name="_Toc232397991"/>
      <w:bookmarkStart w:id="301" w:name="_Toc232399752"/>
      <w:bookmarkStart w:id="302" w:name="_Toc232400316"/>
      <w:bookmarkStart w:id="303" w:name="_Toc232400449"/>
      <w:bookmarkStart w:id="304" w:name="_Toc232403008"/>
      <w:bookmarkStart w:id="305" w:name="_Toc232404544"/>
      <w:bookmarkStart w:id="306" w:name="_Toc232406425"/>
      <w:bookmarkStart w:id="307" w:name="_Toc232408371"/>
      <w:bookmarkStart w:id="308" w:name="_Toc232410183"/>
      <w:bookmarkStart w:id="309" w:name="_Toc232410541"/>
      <w:bookmarkStart w:id="310" w:name="_Toc232411982"/>
      <w:bookmarkStart w:id="311" w:name="_Toc232412220"/>
      <w:bookmarkStart w:id="312" w:name="_Toc232419236"/>
      <w:bookmarkStart w:id="313" w:name="_Toc232421063"/>
      <w:bookmarkStart w:id="314" w:name="_Toc233442983"/>
      <w:bookmarkStart w:id="315" w:name="_Toc233443277"/>
      <w:bookmarkStart w:id="316" w:name="_Toc233450725"/>
      <w:bookmarkStart w:id="317" w:name="_Toc234125229"/>
      <w:bookmarkStart w:id="318" w:name="_Toc234806601"/>
      <w:bookmarkStart w:id="319" w:name="_Toc235253976"/>
      <w:bookmarkStart w:id="320" w:name="_Toc235499917"/>
      <w:bookmarkStart w:id="321" w:name="_Toc238548872"/>
      <w:bookmarkStart w:id="322" w:name="_Toc238549464"/>
      <w:bookmarkStart w:id="323" w:name="_Toc238612103"/>
      <w:bookmarkStart w:id="324" w:name="_Toc238612290"/>
      <w:bookmarkStart w:id="325" w:name="_Toc238612697"/>
      <w:bookmarkStart w:id="326" w:name="_Toc245199527"/>
      <w:bookmarkStart w:id="327" w:name="_Toc245202256"/>
      <w:bookmarkStart w:id="328" w:name="_Toc248739645"/>
      <w:bookmarkStart w:id="329" w:name="_Toc234806606"/>
      <w:bookmarkStart w:id="330" w:name="_Toc235253981"/>
      <w:bookmarkStart w:id="331" w:name="_Toc235499922"/>
      <w:bookmarkStart w:id="332" w:name="_Toc238548877"/>
      <w:bookmarkStart w:id="333" w:name="_Toc238549469"/>
      <w:bookmarkStart w:id="334" w:name="_Toc238612108"/>
      <w:bookmarkStart w:id="335" w:name="_Toc238612295"/>
      <w:bookmarkStart w:id="336" w:name="_Toc238612702"/>
      <w:bookmarkStart w:id="337" w:name="_Toc245199532"/>
      <w:bookmarkStart w:id="338" w:name="_Toc245202261"/>
      <w:r>
        <w:t xml:space="preserve">In this </w:t>
      </w:r>
      <w:r w:rsidRPr="00893138">
        <w:rPr>
          <w:i/>
        </w:rPr>
        <w:t>Notice of Proposed Rulemaking</w:t>
      </w:r>
      <w:r w:rsidR="00657736">
        <w:rPr>
          <w:i/>
        </w:rPr>
        <w:t xml:space="preserve"> and Order</w:t>
      </w:r>
      <w:r w:rsidR="0041108B">
        <w:t>,</w:t>
      </w:r>
      <w:r>
        <w:t xml:space="preserve"> </w:t>
      </w:r>
      <w:r w:rsidR="00933D64">
        <w:t xml:space="preserve">we seek </w:t>
      </w:r>
      <w:r>
        <w:t xml:space="preserve">comment </w:t>
      </w:r>
      <w:r w:rsidR="006A4721">
        <w:t>on proposals to eliminate outdated rules in an effort to promote the use of modern technologies for Part 74 Remote Pickup (RPU) stations, clarify the application of current rules</w:t>
      </w:r>
      <w:r w:rsidR="00657736">
        <w:t>, and deny a related waiver request</w:t>
      </w:r>
      <w:r w:rsidR="006A4721">
        <w:t xml:space="preserve">.  </w:t>
      </w:r>
      <w:r w:rsidR="00A945D3">
        <w:t xml:space="preserve">An </w:t>
      </w:r>
      <w:r w:rsidR="006A4721">
        <w:t>RPU</w:t>
      </w:r>
      <w:r w:rsidR="006A4721" w:rsidRPr="006A4721">
        <w:t xml:space="preserve"> </w:t>
      </w:r>
      <w:r w:rsidR="006A4721">
        <w:t>station</w:t>
      </w:r>
      <w:r w:rsidR="006A4721" w:rsidRPr="006A4721">
        <w:t xml:space="preserve"> </w:t>
      </w:r>
      <w:r w:rsidR="00A945D3">
        <w:t>is</w:t>
      </w:r>
      <w:r w:rsidR="006A4721">
        <w:t xml:space="preserve"> a type of </w:t>
      </w:r>
      <w:r w:rsidR="006A4721" w:rsidRPr="00C35604">
        <w:t>Broadcast</w:t>
      </w:r>
      <w:r w:rsidR="006A4721">
        <w:t xml:space="preserve"> Auxil</w:t>
      </w:r>
      <w:r w:rsidR="00893138">
        <w:t>i</w:t>
      </w:r>
      <w:r w:rsidR="006A4721">
        <w:t xml:space="preserve">ary Station (BAS).  BASs </w:t>
      </w:r>
      <w:r w:rsidR="006A4721" w:rsidRPr="006A4721">
        <w:t>make it possible for television and radio stations and networks to transmit program material from the sites of breaking news stories or other live events to television studios for inclusion in broadcast programs, to transmit programming material from studios to broadcasting transmitters for delivery to consumers’ televisions and radios, and to transmit programs between broadcast stations.</w:t>
      </w:r>
      <w:r w:rsidR="006A4721" w:rsidRPr="006A4721">
        <w:rPr>
          <w:vertAlign w:val="superscript"/>
        </w:rPr>
        <w:footnoteReference w:id="2"/>
      </w:r>
      <w:r w:rsidR="006A4721" w:rsidRPr="006A4721">
        <w:t xml:space="preserve">  </w:t>
      </w:r>
      <w:r w:rsidR="006A4721">
        <w:t xml:space="preserve">RPUs </w:t>
      </w:r>
      <w:r w:rsidR="006A4721" w:rsidRPr="006A4721">
        <w:t xml:space="preserve">can be used to transmit material from the scene of </w:t>
      </w:r>
      <w:r w:rsidR="00003B6F">
        <w:t xml:space="preserve">an </w:t>
      </w:r>
      <w:r w:rsidR="006A4721" w:rsidRPr="006A4721">
        <w:t xml:space="preserve">event back to the </w:t>
      </w:r>
      <w:r w:rsidR="006A4721">
        <w:t xml:space="preserve">broadcast </w:t>
      </w:r>
      <w:r w:rsidR="006A4721" w:rsidRPr="006A4721">
        <w:t xml:space="preserve">studio or production center, communicate concerning the production or technical support of </w:t>
      </w:r>
      <w:r w:rsidR="006F5DCE">
        <w:t>a</w:t>
      </w:r>
      <w:r w:rsidR="006A4721" w:rsidRPr="006A4721">
        <w:t xml:space="preserve"> remote program, and support activities associated with the Emergency Alert System.</w:t>
      </w:r>
      <w:r w:rsidR="006A4721" w:rsidRPr="006A4721">
        <w:rPr>
          <w:vertAlign w:val="superscript"/>
        </w:rPr>
        <w:footnoteReference w:id="3"/>
      </w:r>
      <w:r w:rsidR="006A4721">
        <w:t xml:space="preserve">  </w:t>
      </w:r>
    </w:p>
    <w:p w:rsidR="00795681" w:rsidRPr="0053451C" w:rsidRDefault="006A4721" w:rsidP="00964C8B">
      <w:pPr>
        <w:pStyle w:val="ParaNum"/>
        <w:widowControl/>
      </w:pPr>
      <w:r>
        <w:lastRenderedPageBreak/>
        <w:t xml:space="preserve">The proposals in this </w:t>
      </w:r>
      <w:r>
        <w:rPr>
          <w:i/>
        </w:rPr>
        <w:t>Notice of Proposed Rulemaking</w:t>
      </w:r>
      <w:r w:rsidR="00933D64">
        <w:t xml:space="preserve"> </w:t>
      </w:r>
      <w:r>
        <w:t>would</w:t>
      </w:r>
      <w:r w:rsidR="00933D64">
        <w:t xml:space="preserve"> </w:t>
      </w:r>
      <w:r w:rsidR="00DA6F3F">
        <w:t xml:space="preserve">eliminate outdated barriers to the </w:t>
      </w:r>
      <w:r w:rsidR="005C7B6A">
        <w:t xml:space="preserve">use </w:t>
      </w:r>
      <w:r w:rsidR="00933D64">
        <w:t xml:space="preserve">of modern, digital </w:t>
      </w:r>
      <w:r w:rsidR="005C7B6A">
        <w:t xml:space="preserve">transmission </w:t>
      </w:r>
      <w:r w:rsidR="00933D64">
        <w:t>technologies</w:t>
      </w:r>
      <w:r w:rsidR="002F4F3D">
        <w:rPr>
          <w:rStyle w:val="FootnoteReference"/>
          <w:szCs w:val="22"/>
        </w:rPr>
        <w:footnoteReference w:id="4"/>
      </w:r>
      <w:r w:rsidR="002F4F3D">
        <w:t xml:space="preserve"> </w:t>
      </w:r>
      <w:r w:rsidR="00933D64">
        <w:t xml:space="preserve">and </w:t>
      </w:r>
      <w:r w:rsidR="00DA6F3F">
        <w:t>allow broadcasters to use the frequencies in question</w:t>
      </w:r>
      <w:r w:rsidR="00A945D3">
        <w:t xml:space="preserve"> more efficiently</w:t>
      </w:r>
      <w:r w:rsidR="00F847F7">
        <w:t>.</w:t>
      </w:r>
      <w:r w:rsidR="00DA6F3F">
        <w:t xml:space="preserve"> </w:t>
      </w:r>
      <w:r w:rsidR="00CE08F3">
        <w:t xml:space="preserve"> </w:t>
      </w:r>
      <w:r>
        <w:t xml:space="preserve">In this </w:t>
      </w:r>
      <w:r w:rsidRPr="00893138">
        <w:rPr>
          <w:i/>
        </w:rPr>
        <w:t>Notice of Proposed Rulemaking</w:t>
      </w:r>
      <w:r>
        <w:t xml:space="preserve"> we </w:t>
      </w:r>
      <w:r w:rsidR="00CE08F3">
        <w:t xml:space="preserve">also explain why we believe no rule change is </w:t>
      </w:r>
      <w:r w:rsidR="002D44B8">
        <w:t xml:space="preserve">needed to provide </w:t>
      </w:r>
      <w:r w:rsidR="00CE08F3">
        <w:t xml:space="preserve">applicants for RPU channels greater flexibility in interpreting center frequency assignments.  </w:t>
      </w:r>
      <w:r w:rsidR="00482144">
        <w:t>In addition, w</w:t>
      </w:r>
      <w:r w:rsidR="00795681">
        <w:t xml:space="preserve">e deny </w:t>
      </w:r>
      <w:r w:rsidR="00933D64">
        <w:t xml:space="preserve">as premature </w:t>
      </w:r>
      <w:r w:rsidR="00795681">
        <w:t>a request from the Society of Broadcast Engineers (SBE), on behalf of Part 74 licensees, to allow Part 74 licensees to use digital emissions in the VHF and UHF bands while this rulemaking is pending.</w:t>
      </w:r>
    </w:p>
    <w:p w:rsidR="00795681" w:rsidRDefault="00795681" w:rsidP="00C35604">
      <w:pPr>
        <w:pStyle w:val="Heading1"/>
      </w:pPr>
      <w:bookmarkStart w:id="339" w:name="_Toc199222209"/>
      <w:bookmarkStart w:id="340" w:name="_Toc199222470"/>
      <w:bookmarkStart w:id="341" w:name="_Toc199222608"/>
      <w:bookmarkStart w:id="342" w:name="_Toc199224124"/>
      <w:bookmarkStart w:id="343" w:name="_Toc199229186"/>
      <w:bookmarkStart w:id="344" w:name="_Toc199233743"/>
      <w:bookmarkStart w:id="345" w:name="_Toc199233966"/>
      <w:bookmarkStart w:id="346" w:name="_Toc199235797"/>
      <w:bookmarkStart w:id="347" w:name="_Toc199243923"/>
      <w:bookmarkStart w:id="348" w:name="_Toc199244059"/>
      <w:bookmarkStart w:id="349" w:name="_Toc199244149"/>
      <w:bookmarkStart w:id="350" w:name="_Toc199244352"/>
      <w:bookmarkStart w:id="351" w:name="_Toc199248450"/>
      <w:bookmarkStart w:id="352" w:name="_Toc199248571"/>
      <w:bookmarkStart w:id="353" w:name="_Toc199248694"/>
      <w:bookmarkStart w:id="354" w:name="_Toc199248784"/>
      <w:bookmarkStart w:id="355" w:name="_Toc199248962"/>
      <w:bookmarkStart w:id="356" w:name="_Toc199249758"/>
      <w:bookmarkStart w:id="357" w:name="_Toc199250120"/>
      <w:bookmarkStart w:id="358" w:name="_Toc202142902"/>
      <w:bookmarkStart w:id="359" w:name="_Toc202164135"/>
      <w:bookmarkStart w:id="360" w:name="_Toc204738838"/>
      <w:bookmarkStart w:id="361" w:name="_Toc205622944"/>
      <w:bookmarkStart w:id="362" w:name="_Toc205629086"/>
      <w:bookmarkStart w:id="363" w:name="_Toc209510342"/>
      <w:bookmarkStart w:id="364" w:name="_Toc209571579"/>
      <w:bookmarkStart w:id="365" w:name="_Toc209580113"/>
      <w:bookmarkStart w:id="366" w:name="_Toc210045631"/>
      <w:bookmarkStart w:id="367" w:name="_Toc210184179"/>
      <w:bookmarkStart w:id="368" w:name="_Toc210642764"/>
      <w:bookmarkStart w:id="369" w:name="_Toc210652541"/>
      <w:bookmarkStart w:id="370" w:name="_Toc210720929"/>
      <w:bookmarkStart w:id="371" w:name="_Toc210812316"/>
      <w:bookmarkStart w:id="372" w:name="_Toc211262040"/>
      <w:bookmarkStart w:id="373" w:name="_Toc211764051"/>
      <w:bookmarkStart w:id="374" w:name="_Toc211786193"/>
      <w:bookmarkStart w:id="375" w:name="_Toc211838640"/>
      <w:bookmarkStart w:id="376" w:name="_Toc211856585"/>
      <w:bookmarkStart w:id="377" w:name="_Toc215442756"/>
      <w:bookmarkStart w:id="378" w:name="_Toc215448009"/>
      <w:bookmarkStart w:id="379" w:name="_Toc215454583"/>
      <w:bookmarkStart w:id="380" w:name="_Toc215462710"/>
      <w:bookmarkStart w:id="381" w:name="_Toc215468671"/>
      <w:bookmarkStart w:id="382" w:name="_Toc216612346"/>
      <w:bookmarkStart w:id="383" w:name="_Toc216612403"/>
      <w:bookmarkStart w:id="384" w:name="_Toc216696614"/>
      <w:bookmarkStart w:id="385" w:name="_Toc216754046"/>
      <w:bookmarkStart w:id="386" w:name="_Toc216767541"/>
      <w:bookmarkStart w:id="387" w:name="_Toc216771785"/>
      <w:bookmarkStart w:id="388" w:name="_Toc229461240"/>
      <w:bookmarkStart w:id="389" w:name="_Toc229542327"/>
      <w:bookmarkStart w:id="390" w:name="_Toc230600974"/>
      <w:bookmarkStart w:id="391" w:name="_Toc230672593"/>
      <w:bookmarkStart w:id="392" w:name="_Toc230683929"/>
      <w:bookmarkStart w:id="393" w:name="_Toc231534389"/>
      <w:bookmarkStart w:id="394" w:name="_Toc231535143"/>
      <w:bookmarkStart w:id="395" w:name="_Toc231549028"/>
      <w:bookmarkStart w:id="396" w:name="_Toc231610680"/>
      <w:bookmarkStart w:id="397" w:name="_Toc231619346"/>
      <w:bookmarkStart w:id="398" w:name="_Toc231687068"/>
      <w:bookmarkStart w:id="399" w:name="_Toc231705962"/>
      <w:bookmarkStart w:id="400" w:name="_Toc231706176"/>
      <w:bookmarkStart w:id="401" w:name="_Toc231707702"/>
      <w:bookmarkStart w:id="402" w:name="_Toc231812293"/>
      <w:bookmarkStart w:id="403" w:name="_Toc231873481"/>
      <w:bookmarkStart w:id="404" w:name="_Toc232214678"/>
      <w:bookmarkStart w:id="405" w:name="_Toc232219544"/>
      <w:bookmarkStart w:id="406" w:name="_Toc232307411"/>
      <w:bookmarkStart w:id="407" w:name="_Toc232388044"/>
      <w:bookmarkStart w:id="408" w:name="_Toc232392079"/>
      <w:bookmarkStart w:id="409" w:name="_Toc232397968"/>
      <w:bookmarkStart w:id="410" w:name="_Toc232399721"/>
      <w:bookmarkStart w:id="411" w:name="_Toc232400285"/>
      <w:bookmarkStart w:id="412" w:name="_Toc232400418"/>
      <w:bookmarkStart w:id="413" w:name="_Toc232402977"/>
      <w:bookmarkStart w:id="414" w:name="_Toc232404513"/>
      <w:bookmarkStart w:id="415" w:name="_Toc232406390"/>
      <w:bookmarkStart w:id="416" w:name="_Toc232408336"/>
      <w:bookmarkStart w:id="417" w:name="_Toc232410163"/>
      <w:bookmarkStart w:id="418" w:name="_Toc232410521"/>
      <w:bookmarkStart w:id="419" w:name="_Toc232411963"/>
      <w:bookmarkStart w:id="420" w:name="_Toc232412201"/>
      <w:bookmarkStart w:id="421" w:name="_Toc232419218"/>
      <w:bookmarkStart w:id="422" w:name="_Toc232421045"/>
      <w:bookmarkStart w:id="423" w:name="_Toc233442961"/>
      <w:bookmarkStart w:id="424" w:name="_Toc233443259"/>
      <w:bookmarkStart w:id="425" w:name="_Toc233450707"/>
      <w:bookmarkStart w:id="426" w:name="_Toc234125211"/>
      <w:bookmarkStart w:id="427" w:name="_Toc234806583"/>
      <w:bookmarkStart w:id="428" w:name="_Toc235253958"/>
      <w:bookmarkStart w:id="429" w:name="_Toc235499881"/>
      <w:bookmarkStart w:id="430" w:name="_Toc238548833"/>
      <w:bookmarkStart w:id="431" w:name="_Toc238549425"/>
      <w:bookmarkStart w:id="432" w:name="_Toc238612083"/>
      <w:bookmarkStart w:id="433" w:name="_Toc238612270"/>
      <w:bookmarkStart w:id="434" w:name="_Toc238612680"/>
      <w:bookmarkStart w:id="435" w:name="_Toc245199490"/>
      <w:bookmarkStart w:id="436" w:name="_Toc245202219"/>
      <w:bookmarkStart w:id="437" w:name="_Toc248740825"/>
      <w:bookmarkStart w:id="438" w:name="_Toc248803118"/>
      <w:bookmarkStart w:id="439" w:name="_Toc248804887"/>
      <w:bookmarkStart w:id="440" w:name="_Toc248814235"/>
      <w:bookmarkStart w:id="441" w:name="_Toc248909505"/>
      <w:bookmarkStart w:id="442" w:name="_Toc259178197"/>
      <w:bookmarkStart w:id="443" w:name="_Toc259178307"/>
      <w:bookmarkStart w:id="444" w:name="_Toc259779405"/>
      <w:bookmarkStart w:id="445" w:name="_Toc260058972"/>
      <w:bookmarkStart w:id="446" w:name="_Toc260125038"/>
      <w:bookmarkStart w:id="447" w:name="_Toc260135917"/>
      <w:bookmarkStart w:id="448" w:name="_Toc260388800"/>
      <w:bookmarkStart w:id="449" w:name="_Toc260905130"/>
      <w:bookmarkStart w:id="450" w:name="_Toc261507227"/>
      <w:bookmarkStart w:id="451" w:name="_Toc261585619"/>
      <w:bookmarkStart w:id="452" w:name="_Toc262717586"/>
      <w:bookmarkStart w:id="453" w:name="_Toc263400918"/>
      <w:bookmarkStart w:id="454" w:name="_Toc263688783"/>
      <w:bookmarkStart w:id="455" w:name="_Toc312236275"/>
      <w:bookmarkStart w:id="456" w:name="_Toc312236998"/>
      <w:bookmarkStart w:id="457" w:name="_Toc312237033"/>
      <w:bookmarkStart w:id="458" w:name="_Toc322935345"/>
      <w:r>
        <w:t>background</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t xml:space="preserve"> </w:t>
      </w:r>
      <w:bookmarkStart w:id="459" w:name="_Toc233442962"/>
      <w:bookmarkEnd w:id="459"/>
      <w:r>
        <w:t xml:space="preserve">  </w:t>
      </w:r>
    </w:p>
    <w:p w:rsidR="00F847F7" w:rsidRPr="00735839" w:rsidRDefault="00CB4160" w:rsidP="003E1F85">
      <w:pPr>
        <w:pStyle w:val="ParaNum"/>
      </w:pPr>
      <w:bookmarkStart w:id="460" w:name="_Toc322935346"/>
      <w:r>
        <w:t xml:space="preserve">RPU stations </w:t>
      </w:r>
      <w:r w:rsidR="00A945D3">
        <w:t>may be</w:t>
      </w:r>
      <w:r>
        <w:t xml:space="preserve"> authorized to </w:t>
      </w:r>
      <w:r w:rsidR="00A945D3">
        <w:t xml:space="preserve">operate </w:t>
      </w:r>
      <w:r>
        <w:t>within the 25.67-26.48 MHz band (HF RPU Band), the 152.855-154 MHz, 157.45-161.575 MHz, 161.625-161.775 MHz bands (collectively, VHF RPU Band) and the 450-451 MHz and 455-456 MHz bands (collectively, UHF RPU Band).</w:t>
      </w:r>
      <w:r>
        <w:rPr>
          <w:rStyle w:val="FootnoteReference"/>
        </w:rPr>
        <w:footnoteReference w:id="5"/>
      </w:r>
      <w:r w:rsidR="00F847F7">
        <w:t xml:space="preserve">  </w:t>
      </w:r>
      <w:r w:rsidR="006966DC">
        <w:t>The</w:t>
      </w:r>
      <w:r w:rsidR="00B01211">
        <w:t>se</w:t>
      </w:r>
      <w:r w:rsidR="006966DC">
        <w:t xml:space="preserve"> </w:t>
      </w:r>
      <w:r w:rsidR="00EB41C8">
        <w:t>frequencies</w:t>
      </w:r>
      <w:r w:rsidR="00604A51">
        <w:t xml:space="preserve"> are </w:t>
      </w:r>
      <w:r w:rsidR="00E74D7B">
        <w:t xml:space="preserve">also </w:t>
      </w:r>
      <w:r w:rsidR="00B01211">
        <w:t xml:space="preserve">either </w:t>
      </w:r>
      <w:r w:rsidR="00604A51">
        <w:t xml:space="preserve">available for assignment in </w:t>
      </w:r>
      <w:r w:rsidR="006966DC">
        <w:t>the Part 90 Private Land Mobile Radio Service</w:t>
      </w:r>
      <w:r w:rsidR="00B01211">
        <w:t xml:space="preserve"> </w:t>
      </w:r>
      <w:r w:rsidR="00E74D7B">
        <w:t xml:space="preserve">(PLMRS) </w:t>
      </w:r>
      <w:r w:rsidR="00B01211">
        <w:t xml:space="preserve">or </w:t>
      </w:r>
      <w:r w:rsidR="00E74D7B">
        <w:t xml:space="preserve">are </w:t>
      </w:r>
      <w:r w:rsidR="00B01211">
        <w:t>near frequencies available for PLMRS use</w:t>
      </w:r>
      <w:r w:rsidR="006966DC">
        <w:t>.</w:t>
      </w:r>
      <w:r w:rsidR="006966DC">
        <w:rPr>
          <w:rStyle w:val="FootnoteReference"/>
        </w:rPr>
        <w:footnoteReference w:id="6"/>
      </w:r>
      <w:r w:rsidR="006966DC">
        <w:t xml:space="preserve">  </w:t>
      </w:r>
      <w:r w:rsidR="00E93376">
        <w:t xml:space="preserve">When the Commission established the current </w:t>
      </w:r>
      <w:r w:rsidR="00B652FD">
        <w:t xml:space="preserve">RPU service </w:t>
      </w:r>
      <w:r w:rsidR="00E93376">
        <w:t>rules in 2002, its goal was to harmonize the RPU technical standards with the Part 90 rules so that broadcasters could use radios developed for Part 90 PLMRS use</w:t>
      </w:r>
      <w:r w:rsidR="00B652FD">
        <w:t xml:space="preserve"> for RPU use</w:t>
      </w:r>
      <w:r w:rsidR="00022BCB">
        <w:t>, particularly for dispatch and operational traffic</w:t>
      </w:r>
      <w:r w:rsidR="00E93376">
        <w:t>.</w:t>
      </w:r>
      <w:r w:rsidR="00E93376">
        <w:rPr>
          <w:rStyle w:val="FootnoteReference"/>
        </w:rPr>
        <w:footnoteReference w:id="7"/>
      </w:r>
      <w:r w:rsidR="00E93376">
        <w:t xml:space="preserve">  </w:t>
      </w:r>
      <w:r w:rsidR="00022BCB">
        <w:t xml:space="preserve">At the same time, the Commission recognized that Part 90 narrowband radios may not be suitable for transmitting audio program feeds, which require </w:t>
      </w:r>
      <w:r w:rsidR="002F3815">
        <w:t xml:space="preserve">greater bandwidth to support </w:t>
      </w:r>
      <w:r w:rsidR="00022BCB">
        <w:t>high audio quality with no delay.</w:t>
      </w:r>
      <w:r w:rsidR="00022BCB">
        <w:rPr>
          <w:rStyle w:val="FootnoteReference"/>
        </w:rPr>
        <w:footnoteReference w:id="8"/>
      </w:r>
      <w:r w:rsidR="00022BCB">
        <w:t xml:space="preserve">  Accordingly, the Commission allowed broadcasters to stack multiple </w:t>
      </w:r>
      <w:r w:rsidR="00B652FD">
        <w:t xml:space="preserve">RPU </w:t>
      </w:r>
      <w:r w:rsidR="00022BCB">
        <w:t>channel segments to create wider channels.</w:t>
      </w:r>
      <w:r w:rsidR="00022BCB">
        <w:rPr>
          <w:rStyle w:val="FootnoteReference"/>
        </w:rPr>
        <w:footnoteReference w:id="9"/>
      </w:r>
      <w:r w:rsidR="00022BCB">
        <w:t xml:space="preserve">  </w:t>
      </w:r>
      <w:r w:rsidR="00F847F7">
        <w:t>Under the c</w:t>
      </w:r>
      <w:r w:rsidR="00D605FB">
        <w:t xml:space="preserve">urrent rules, the </w:t>
      </w:r>
      <w:r w:rsidR="006F5DCE">
        <w:t>VHF RPU and UHF RPU B</w:t>
      </w:r>
      <w:r w:rsidR="00D605FB">
        <w:t xml:space="preserve">ands are divided into segments with designated channel centers, but broadcasters may combine multiple segments to form wider </w:t>
      </w:r>
      <w:r w:rsidR="006F5DCE">
        <w:t xml:space="preserve">RPU </w:t>
      </w:r>
      <w:r w:rsidR="00D605FB">
        <w:t>channels so long as they comply with the applicable bandwidth and emission requirements.</w:t>
      </w:r>
      <w:r w:rsidR="00D605FB">
        <w:rPr>
          <w:rStyle w:val="FootnoteReference"/>
        </w:rPr>
        <w:footnoteReference w:id="10"/>
      </w:r>
      <w:r w:rsidR="00022BCB">
        <w:t xml:space="preserve">  Broadcasters using RPU stations to transmit program material have primary use of the wider channels.</w:t>
      </w:r>
      <w:r w:rsidR="00022BCB">
        <w:rPr>
          <w:rStyle w:val="FootnoteReference"/>
        </w:rPr>
        <w:footnoteReference w:id="11"/>
      </w:r>
      <w:r w:rsidR="00022BCB">
        <w:t xml:space="preserve"> </w:t>
      </w:r>
    </w:p>
    <w:p w:rsidR="00EC5367" w:rsidRDefault="00795681" w:rsidP="003E1F85">
      <w:pPr>
        <w:pStyle w:val="ParaNum"/>
      </w:pPr>
      <w:bookmarkStart w:id="461" w:name="_Toc230600977"/>
      <w:bookmarkEnd w:id="460"/>
      <w:r>
        <w:t xml:space="preserve">The </w:t>
      </w:r>
      <w:r w:rsidRPr="00F82296">
        <w:t>Engineers for the Integrity of Broadcast Auxiliary Services Spectrum</w:t>
      </w:r>
      <w:r>
        <w:t xml:space="preserve"> (EIBASS) and the Society for Broadcast Engineers (SBE) </w:t>
      </w:r>
      <w:r w:rsidR="003602FD">
        <w:t xml:space="preserve">have </w:t>
      </w:r>
      <w:r w:rsidR="00154C31">
        <w:t xml:space="preserve">separately </w:t>
      </w:r>
      <w:r w:rsidR="003602FD">
        <w:t xml:space="preserve">identified two obstacles that </w:t>
      </w:r>
      <w:r w:rsidR="00154C31">
        <w:t xml:space="preserve">they argue </w:t>
      </w:r>
      <w:r w:rsidR="003602FD">
        <w:t>have prevented broadcasters from using PLMRS equipment for RPU use</w:t>
      </w:r>
      <w:r w:rsidR="00CE08F3">
        <w:t xml:space="preserve"> in the VHF RPU and UHF RPU Bands</w:t>
      </w:r>
      <w:r w:rsidR="003602FD">
        <w:t xml:space="preserve">.  </w:t>
      </w:r>
      <w:r w:rsidR="00E74D7B">
        <w:t xml:space="preserve">The first </w:t>
      </w:r>
      <w:r w:rsidR="00AA380C">
        <w:t>obstacle concerns</w:t>
      </w:r>
      <w:r w:rsidR="00E74D7B">
        <w:t xml:space="preserve"> a mismatch between PLMRS equipment and the channel centers for RPU stations specified in the Commission’s rules.  </w:t>
      </w:r>
      <w:r w:rsidR="006C5DC1">
        <w:t>F</w:t>
      </w:r>
      <w:r w:rsidR="00BF6343">
        <w:t xml:space="preserve">or </w:t>
      </w:r>
      <w:r w:rsidR="003E00BA">
        <w:t xml:space="preserve">analog equipment, the </w:t>
      </w:r>
      <w:r w:rsidR="00BF6343">
        <w:t>25 kilohertz channel</w:t>
      </w:r>
      <w:r w:rsidR="00E8551B">
        <w:t xml:space="preserve"> centers </w:t>
      </w:r>
      <w:r w:rsidR="00BF6343">
        <w:t xml:space="preserve">listed for RPU stations </w:t>
      </w:r>
      <w:r w:rsidR="003E00BA">
        <w:t xml:space="preserve">in the Commission’s rules </w:t>
      </w:r>
      <w:r w:rsidR="00BF6343">
        <w:t xml:space="preserve">cannot be programmed into </w:t>
      </w:r>
      <w:r w:rsidR="00A96C5E">
        <w:t xml:space="preserve">analog </w:t>
      </w:r>
      <w:r w:rsidR="00BF6343">
        <w:t xml:space="preserve">Part 90 </w:t>
      </w:r>
      <w:r w:rsidR="00A945D3">
        <w:lastRenderedPageBreak/>
        <w:t xml:space="preserve">PLMRS </w:t>
      </w:r>
      <w:r w:rsidR="00BF6343">
        <w:t>equipment</w:t>
      </w:r>
      <w:r w:rsidR="009D1559">
        <w:t xml:space="preserve"> used by broadcasters</w:t>
      </w:r>
      <w:r w:rsidR="00BF6343">
        <w:t>.</w:t>
      </w:r>
      <w:r w:rsidR="00BF6343">
        <w:rPr>
          <w:rStyle w:val="FootnoteReference"/>
        </w:rPr>
        <w:footnoteReference w:id="12"/>
      </w:r>
      <w:r w:rsidR="00BF6343">
        <w:t xml:space="preserve">  If a broadcaster attempted to combine four 6.25 kilohertz segments to form a 25 kilohertz </w:t>
      </w:r>
      <w:r w:rsidR="009D1559">
        <w:t xml:space="preserve">RPU </w:t>
      </w:r>
      <w:r w:rsidR="00BF6343">
        <w:t xml:space="preserve">channel, the center frequency </w:t>
      </w:r>
      <w:r w:rsidR="009D1559">
        <w:t xml:space="preserve">of the resultant channel </w:t>
      </w:r>
      <w:r w:rsidR="00BF6343">
        <w:t xml:space="preserve">would be offset from the </w:t>
      </w:r>
      <w:r w:rsidR="00BC142F">
        <w:t xml:space="preserve">RPU </w:t>
      </w:r>
      <w:r w:rsidR="00BF6343">
        <w:t>channel centers specified in the Commission’s rules.</w:t>
      </w:r>
      <w:r w:rsidR="00BF6343">
        <w:rPr>
          <w:rStyle w:val="FootnoteReference"/>
        </w:rPr>
        <w:footnoteReference w:id="13"/>
      </w:r>
      <w:r w:rsidR="00604A51">
        <w:t xml:space="preserve">  </w:t>
      </w:r>
      <w:r w:rsidR="00AA380C">
        <w:t xml:space="preserve">Under this scenario, </w:t>
      </w:r>
      <w:r w:rsidR="00F23332">
        <w:t>t</w:t>
      </w:r>
      <w:r w:rsidR="003E00BA">
        <w:t xml:space="preserve">he only way to </w:t>
      </w:r>
      <w:r w:rsidR="004F7836">
        <w:t>create</w:t>
      </w:r>
      <w:r w:rsidR="003E00BA">
        <w:t xml:space="preserve"> </w:t>
      </w:r>
      <w:r w:rsidR="009D1559">
        <w:t>an RPU</w:t>
      </w:r>
      <w:r w:rsidR="003E00BA">
        <w:t xml:space="preserve"> channel</w:t>
      </w:r>
      <w:r w:rsidR="009D1559">
        <w:t xml:space="preserve"> with a</w:t>
      </w:r>
      <w:r w:rsidR="003E00BA">
        <w:t xml:space="preserve"> center frequency that is specified in the Commission’s rules is to request an odd number of </w:t>
      </w:r>
      <w:r w:rsidR="006F5DCE">
        <w:t>RPU</w:t>
      </w:r>
      <w:r w:rsidR="009D1559">
        <w:t xml:space="preserve"> segments</w:t>
      </w:r>
      <w:r w:rsidR="003E00BA">
        <w:t xml:space="preserve"> </w:t>
      </w:r>
      <w:r w:rsidR="009D1559">
        <w:t>(</w:t>
      </w:r>
      <w:r w:rsidR="009D1559">
        <w:rPr>
          <w:i/>
        </w:rPr>
        <w:t>i.e.</w:t>
      </w:r>
      <w:r w:rsidR="009D1559">
        <w:t xml:space="preserve">, request </w:t>
      </w:r>
      <w:r w:rsidR="003E00BA">
        <w:t xml:space="preserve">an extra </w:t>
      </w:r>
      <w:r w:rsidR="009D1559">
        <w:t>segment)</w:t>
      </w:r>
      <w:r w:rsidR="003E00BA">
        <w:t>.</w:t>
      </w:r>
      <w:r w:rsidR="003E00BA">
        <w:rPr>
          <w:rStyle w:val="FootnoteReference"/>
        </w:rPr>
        <w:footnoteReference w:id="14"/>
      </w:r>
      <w:r w:rsidR="003E00BA">
        <w:t xml:space="preserve">  </w:t>
      </w:r>
      <w:r w:rsidR="00604A51">
        <w:t xml:space="preserve">Furthermore, </w:t>
      </w:r>
      <w:r w:rsidR="002554E6">
        <w:t xml:space="preserve">while digital equipment can tune to </w:t>
      </w:r>
      <w:r w:rsidR="008207CA">
        <w:t>the nearest Hertz,</w:t>
      </w:r>
      <w:r w:rsidR="008207CA">
        <w:rPr>
          <w:rStyle w:val="FootnoteReference"/>
        </w:rPr>
        <w:footnoteReference w:id="15"/>
      </w:r>
      <w:r w:rsidR="008207CA">
        <w:t xml:space="preserve"> </w:t>
      </w:r>
      <w:r w:rsidR="006C5DC1">
        <w:t>many, if not most, analog radios now in use</w:t>
      </w:r>
      <w:r w:rsidR="008207CA">
        <w:t xml:space="preserve"> cannot program frequencies with that degree of accuracy</w:t>
      </w:r>
      <w:r w:rsidR="006C5DC1">
        <w:t>.</w:t>
      </w:r>
      <w:r w:rsidR="006C5DC1">
        <w:rPr>
          <w:rStyle w:val="FootnoteReference"/>
        </w:rPr>
        <w:footnoteReference w:id="16"/>
      </w:r>
    </w:p>
    <w:p w:rsidR="00EC5367" w:rsidRDefault="00E74D7B" w:rsidP="003E1F85">
      <w:pPr>
        <w:pStyle w:val="ParaNum"/>
      </w:pPr>
      <w:r>
        <w:t xml:space="preserve">SBE and EIBASS both ask the Commission to fix the </w:t>
      </w:r>
      <w:r w:rsidR="00BC142F">
        <w:t xml:space="preserve">RPU </w:t>
      </w:r>
      <w:r>
        <w:t xml:space="preserve">center frequency problem, but each proposes a different solution.  SBE proposes adding narrative language to Section 74.402 of the Commission’s rules further dividing the </w:t>
      </w:r>
      <w:r w:rsidR="008B1466">
        <w:t xml:space="preserve">RPU </w:t>
      </w:r>
      <w:r>
        <w:t>band</w:t>
      </w:r>
      <w:r w:rsidR="00BC142F">
        <w:t>s</w:t>
      </w:r>
      <w:r>
        <w:t xml:space="preserve"> into 3.125 kilohertz segments for </w:t>
      </w:r>
      <w:r w:rsidR="00BC142F">
        <w:t xml:space="preserve">the </w:t>
      </w:r>
      <w:r>
        <w:t>UHF</w:t>
      </w:r>
      <w:r w:rsidR="00BC142F">
        <w:t xml:space="preserve"> </w:t>
      </w:r>
      <w:r w:rsidR="006F5DCE">
        <w:t>RPU B</w:t>
      </w:r>
      <w:r w:rsidR="00BC142F">
        <w:t>and</w:t>
      </w:r>
      <w:r w:rsidR="00AA380C">
        <w:t xml:space="preserve"> </w:t>
      </w:r>
      <w:r w:rsidR="00BC142F">
        <w:t>and</w:t>
      </w:r>
      <w:r>
        <w:t xml:space="preserve"> 3.75 kilohertz segments for </w:t>
      </w:r>
      <w:r w:rsidR="00BC142F">
        <w:t xml:space="preserve">the </w:t>
      </w:r>
      <w:r>
        <w:t>VHF</w:t>
      </w:r>
      <w:r w:rsidR="00BC142F">
        <w:t xml:space="preserve"> </w:t>
      </w:r>
      <w:r w:rsidR="006F5DCE">
        <w:t>RPU B</w:t>
      </w:r>
      <w:r w:rsidR="00BC142F">
        <w:t>and</w:t>
      </w:r>
      <w:r>
        <w:t>.</w:t>
      </w:r>
      <w:r>
        <w:rPr>
          <w:rStyle w:val="FootnoteReference"/>
        </w:rPr>
        <w:footnoteReference w:id="17"/>
      </w:r>
      <w:r>
        <w:t xml:space="preserve">  EIBASS proposes adopting a revised table of frequency assignments in Section 74.402 of the Commission’s rules</w:t>
      </w:r>
      <w:r w:rsidR="00BC142F">
        <w:t xml:space="preserve"> that is modeled after the tables in Sections 90.20 and 90.35 of the rules</w:t>
      </w:r>
      <w:r>
        <w:t>.</w:t>
      </w:r>
      <w:r>
        <w:rPr>
          <w:rStyle w:val="FootnoteReference"/>
        </w:rPr>
        <w:footnoteReference w:id="18"/>
      </w:r>
      <w:r>
        <w:t xml:space="preserve">  SBE and EIBASS assert that the changes will encourage BAS licensees to convert analog RPU systems to digital voice technologies at VHF </w:t>
      </w:r>
      <w:r w:rsidR="008B1466">
        <w:t xml:space="preserve">frequencies </w:t>
      </w:r>
      <w:r>
        <w:t>and above</w:t>
      </w:r>
      <w:r w:rsidR="001C2153">
        <w:t>;</w:t>
      </w:r>
      <w:r>
        <w:t xml:space="preserve"> allow BAS licensees greater flexibility in their operations</w:t>
      </w:r>
      <w:r w:rsidR="001C2153">
        <w:t>;</w:t>
      </w:r>
      <w:r>
        <w:t xml:space="preserve"> encourage BAS licensees to use the minimum necessary bandwidth for RPU facilities</w:t>
      </w:r>
      <w:r w:rsidR="00BC142F">
        <w:t>;</w:t>
      </w:r>
      <w:r>
        <w:t xml:space="preserve"> enable BAS licensees to use commercially available, off-the-shelf</w:t>
      </w:r>
      <w:r w:rsidR="00975945">
        <w:t xml:space="preserve"> (COTS)</w:t>
      </w:r>
      <w:r>
        <w:t xml:space="preserve"> Part 90 digital radios for Part 74 RPU operations, at a significant cost benefit</w:t>
      </w:r>
      <w:r w:rsidR="001C2153">
        <w:t>;</w:t>
      </w:r>
      <w:r>
        <w:t xml:space="preserve"> and effectuate the policy adopted by the Commission in the </w:t>
      </w:r>
      <w:r w:rsidRPr="003602FD">
        <w:rPr>
          <w:i/>
        </w:rPr>
        <w:t>2002 BAS Report and Order</w:t>
      </w:r>
      <w:r>
        <w:t xml:space="preserve"> </w:t>
      </w:r>
      <w:r w:rsidR="008B1466">
        <w:t>to enable broadcasters to use PLMRS equipment for RPU operations, which</w:t>
      </w:r>
      <w:r>
        <w:t xml:space="preserve"> has been stymied by an anomaly in how </w:t>
      </w:r>
      <w:r w:rsidR="006F5DCE">
        <w:t xml:space="preserve">RPU </w:t>
      </w:r>
      <w:r w:rsidR="00BC142F">
        <w:t>segments</w:t>
      </w:r>
      <w:r>
        <w:t xml:space="preserve"> are “stacked” under the current rules</w:t>
      </w:r>
      <w:r w:rsidR="004F7836">
        <w:t xml:space="preserve"> to create</w:t>
      </w:r>
      <w:r w:rsidR="00134F19">
        <w:t xml:space="preserve"> RPU channels</w:t>
      </w:r>
      <w:r>
        <w:t>.</w:t>
      </w:r>
      <w:r>
        <w:rPr>
          <w:rStyle w:val="FootnoteReference"/>
        </w:rPr>
        <w:footnoteReference w:id="19"/>
      </w:r>
      <w:r>
        <w:t xml:space="preserve">  To effectuate these changes both EIBASS and SBE recommend that the Commission revise Sections 74.402 and 74.462 of the Commission’s Rules as detailed below.</w:t>
      </w:r>
      <w:r>
        <w:rPr>
          <w:rStyle w:val="FootnoteReference"/>
        </w:rPr>
        <w:footnoteReference w:id="20"/>
      </w:r>
      <w:r>
        <w:t xml:space="preserve">  </w:t>
      </w:r>
    </w:p>
    <w:p w:rsidR="00EC5367" w:rsidRDefault="00F23332" w:rsidP="00964C8B">
      <w:pPr>
        <w:pStyle w:val="ParaNum"/>
        <w:widowControl/>
      </w:pPr>
      <w:r>
        <w:t xml:space="preserve">SBE also raises a different but related issue.  Specifically, </w:t>
      </w:r>
      <w:r w:rsidR="00F5616D">
        <w:t xml:space="preserve">SBE believes there is no current need for new RPU stations with </w:t>
      </w:r>
      <w:r w:rsidR="00134F19">
        <w:t xml:space="preserve">a </w:t>
      </w:r>
      <w:r w:rsidR="00F5616D">
        <w:t>100 kilohertz bandwidth.</w:t>
      </w:r>
      <w:r w:rsidR="00F5616D">
        <w:rPr>
          <w:rStyle w:val="FootnoteReference"/>
        </w:rPr>
        <w:footnoteReference w:id="21"/>
      </w:r>
      <w:r w:rsidR="00F5616D">
        <w:t xml:space="preserve">  It therefore proposes that no new RPU stations proposing </w:t>
      </w:r>
      <w:r w:rsidR="00134F19">
        <w:t xml:space="preserve">a </w:t>
      </w:r>
      <w:r w:rsidR="00F5616D">
        <w:t>100 kilohertz bandwidth be authorized absent a showing of need in individual cases.</w:t>
      </w:r>
      <w:r w:rsidR="00F5616D">
        <w:rPr>
          <w:rStyle w:val="FootnoteReference"/>
        </w:rPr>
        <w:footnoteReference w:id="22"/>
      </w:r>
      <w:r w:rsidR="00F5616D">
        <w:t xml:space="preserve">  SBE believes that existing 100 kilohertz RPU stations should be grandfathered.</w:t>
      </w:r>
      <w:r w:rsidR="00F5616D">
        <w:rPr>
          <w:rStyle w:val="FootnoteReference"/>
        </w:rPr>
        <w:footnoteReference w:id="23"/>
      </w:r>
    </w:p>
    <w:p w:rsidR="00EC5367" w:rsidRDefault="00F5616D" w:rsidP="003E1F85">
      <w:pPr>
        <w:pStyle w:val="ParaNum"/>
      </w:pPr>
      <w:r>
        <w:t>SBE and EIBASS point out a s</w:t>
      </w:r>
      <w:r w:rsidR="006C5DC1">
        <w:t>econd</w:t>
      </w:r>
      <w:r>
        <w:t xml:space="preserve"> </w:t>
      </w:r>
      <w:r w:rsidR="001C2153">
        <w:t xml:space="preserve">obstacle </w:t>
      </w:r>
      <w:r w:rsidR="00062C6F">
        <w:t>to</w:t>
      </w:r>
      <w:r>
        <w:t xml:space="preserve"> using PLMRS equipment for RPU purposes, </w:t>
      </w:r>
      <w:r w:rsidR="001C2153">
        <w:t xml:space="preserve">specifically </w:t>
      </w:r>
      <w:r w:rsidR="00931CF4">
        <w:t>the lack</w:t>
      </w:r>
      <w:r>
        <w:t xml:space="preserve"> of authorization in the rules for use of specific digital technologies.  </w:t>
      </w:r>
      <w:r w:rsidR="006C5DC1">
        <w:t>SBE and EIBASS identif</w:t>
      </w:r>
      <w:r>
        <w:t>y</w:t>
      </w:r>
      <w:r w:rsidR="006C5DC1">
        <w:t xml:space="preserve"> Time Division Multiple Access (TDMA), Next Generation Digital Network (NXDN), </w:t>
      </w:r>
      <w:r w:rsidR="006C5DC1" w:rsidRPr="00E8551B">
        <w:t>ANSI/TIA-102A (P</w:t>
      </w:r>
      <w:r w:rsidR="006C5DC1">
        <w:t xml:space="preserve">roject </w:t>
      </w:r>
      <w:r w:rsidR="006C5DC1" w:rsidRPr="00E8551B">
        <w:t>25)</w:t>
      </w:r>
      <w:r w:rsidR="006C5DC1">
        <w:t xml:space="preserve">, </w:t>
      </w:r>
      <w:r w:rsidR="006C5DC1" w:rsidRPr="00E8551B">
        <w:t>Trans-European Trunked Radio (TETRA)</w:t>
      </w:r>
      <w:r w:rsidR="006C5DC1">
        <w:t xml:space="preserve">, </w:t>
      </w:r>
      <w:r w:rsidR="006C5DC1" w:rsidRPr="00E8551B">
        <w:t>Digital Private Mobile Radio (dPMR)</w:t>
      </w:r>
      <w:r w:rsidR="006C5DC1">
        <w:t xml:space="preserve">, and </w:t>
      </w:r>
      <w:r w:rsidR="006C5DC1" w:rsidRPr="00E8551B">
        <w:t>Digital Mobile Radio (DMR)</w:t>
      </w:r>
      <w:r w:rsidR="006C5DC1">
        <w:t xml:space="preserve"> as digital technologies used in PLMRS radios that could be suitable for RPU use</w:t>
      </w:r>
      <w:r>
        <w:t>.</w:t>
      </w:r>
      <w:r w:rsidR="006C5DC1">
        <w:rPr>
          <w:rStyle w:val="FootnoteReference"/>
        </w:rPr>
        <w:footnoteReference w:id="24"/>
      </w:r>
      <w:r w:rsidR="006C5DC1">
        <w:t xml:space="preserve"> </w:t>
      </w:r>
      <w:r w:rsidR="001C2153">
        <w:t xml:space="preserve"> </w:t>
      </w:r>
      <w:r w:rsidR="006C5DC1">
        <w:t xml:space="preserve">Section 74.462 of the Commission’s rules </w:t>
      </w:r>
      <w:r w:rsidR="008B6032" w:rsidRPr="00BE6ED3">
        <w:t>“requires that the ‘equipment shall be operated in accordance with emissions specifications included in the grant of the certification and as prescribed in . . . this section”</w:t>
      </w:r>
      <w:r w:rsidR="008B6032">
        <w:rPr>
          <w:rStyle w:val="FootnoteReference"/>
        </w:rPr>
        <w:footnoteReference w:id="25"/>
      </w:r>
      <w:r w:rsidR="008B6032" w:rsidRPr="00BE6ED3">
        <w:t xml:space="preserve"> </w:t>
      </w:r>
      <w:r w:rsidR="008B6032">
        <w:t>and lists the authorized emissions for RPU stations.</w:t>
      </w:r>
      <w:r w:rsidR="006C5DC1">
        <w:rPr>
          <w:rStyle w:val="FootnoteReference"/>
        </w:rPr>
        <w:footnoteReference w:id="26"/>
      </w:r>
      <w:r w:rsidR="006C5DC1">
        <w:t xml:space="preserve">   </w:t>
      </w:r>
      <w:r w:rsidR="005C7B6A">
        <w:t>The only emissions currently authorized by the rule</w:t>
      </w:r>
      <w:r w:rsidR="008B09F7">
        <w:t>, however,</w:t>
      </w:r>
      <w:r w:rsidR="005C7B6A">
        <w:t xml:space="preserve"> are all analog emissions.</w:t>
      </w:r>
      <w:r w:rsidR="005C7B6A">
        <w:rPr>
          <w:rStyle w:val="FootnoteReference"/>
        </w:rPr>
        <w:footnoteReference w:id="27"/>
      </w:r>
      <w:r w:rsidR="008B09F7">
        <w:t xml:space="preserve">  No digital emissions are included in the list of authorized emissions.</w:t>
      </w:r>
    </w:p>
    <w:p w:rsidR="00EC5367" w:rsidRDefault="00F5616D" w:rsidP="003E1F85">
      <w:pPr>
        <w:pStyle w:val="ParaNum"/>
      </w:pPr>
      <w:r>
        <w:t>To remedy this problem, b</w:t>
      </w:r>
      <w:r w:rsidR="00C04382">
        <w:t>oth SBE and EIBASS ask that Section 74.462 of the Commission’s rules be amended to state that any for</w:t>
      </w:r>
      <w:r w:rsidR="00100A50">
        <w:t>m</w:t>
      </w:r>
      <w:r w:rsidR="00C04382">
        <w:t xml:space="preserve"> of digital modulation may be used</w:t>
      </w:r>
      <w:r w:rsidR="00B652FD">
        <w:t xml:space="preserve"> by RPU stations</w:t>
      </w:r>
      <w:r w:rsidR="00C04382">
        <w:t xml:space="preserve"> so long as the broadcaster complies with the applicable emission mask and bandwidth emission requirements.</w:t>
      </w:r>
      <w:r w:rsidR="00C04382">
        <w:rPr>
          <w:rStyle w:val="FootnoteReference"/>
        </w:rPr>
        <w:footnoteReference w:id="28"/>
      </w:r>
      <w:r w:rsidR="00C04382">
        <w:t xml:space="preserve">  SBE points out that such an approach would be consistent with the rules governing Low Power Auxiliary Stations.</w:t>
      </w:r>
      <w:r w:rsidR="00C04382">
        <w:rPr>
          <w:rStyle w:val="FootnoteReference"/>
        </w:rPr>
        <w:footnoteReference w:id="29"/>
      </w:r>
      <w:r w:rsidR="00C04382">
        <w:t xml:space="preserve">  EIBASS proposes additional rule changes t</w:t>
      </w:r>
      <w:r w:rsidR="00795681">
        <w:t xml:space="preserve">o </w:t>
      </w:r>
      <w:r w:rsidR="00C04382">
        <w:t>facilitate the use of digital radios</w:t>
      </w:r>
      <w:r w:rsidR="00B652FD">
        <w:t xml:space="preserve"> by RPU stations</w:t>
      </w:r>
      <w:r w:rsidR="00C04382">
        <w:t xml:space="preserve">.  Specifically, </w:t>
      </w:r>
      <w:r w:rsidR="00795681">
        <w:t>EIBASS asks the Commission amend Section 74.463</w:t>
      </w:r>
      <w:r w:rsidR="00C04382">
        <w:t xml:space="preserve"> of the Commission’s rules</w:t>
      </w:r>
      <w:r w:rsidR="00C04382">
        <w:rPr>
          <w:rStyle w:val="FootnoteReference"/>
        </w:rPr>
        <w:footnoteReference w:id="30"/>
      </w:r>
      <w:r w:rsidR="00C04382">
        <w:t xml:space="preserve"> to add a mention of digital modulation</w:t>
      </w:r>
      <w:r w:rsidR="00795681">
        <w:t>,</w:t>
      </w:r>
      <w:r w:rsidR="00795681">
        <w:rPr>
          <w:rStyle w:val="FootnoteReference"/>
        </w:rPr>
        <w:footnoteReference w:id="31"/>
      </w:r>
      <w:r w:rsidR="00795681">
        <w:t xml:space="preserve"> and </w:t>
      </w:r>
      <w:r w:rsidR="00C04382">
        <w:t xml:space="preserve">Section </w:t>
      </w:r>
      <w:r w:rsidR="00795681">
        <w:t>74.482</w:t>
      </w:r>
      <w:r w:rsidR="00C04382">
        <w:t xml:space="preserve"> of the Commission’s rules</w:t>
      </w:r>
      <w:r w:rsidR="00C04382">
        <w:rPr>
          <w:rStyle w:val="FootnoteReference"/>
        </w:rPr>
        <w:footnoteReference w:id="32"/>
      </w:r>
      <w:r w:rsidR="00C46EF2">
        <w:t xml:space="preserve"> to allow </w:t>
      </w:r>
      <w:r w:rsidR="00B652FD">
        <w:t xml:space="preserve">RPU </w:t>
      </w:r>
      <w:r w:rsidR="00C46EF2">
        <w:t>station identification using digital modulation.</w:t>
      </w:r>
      <w:r w:rsidR="00795681">
        <w:rPr>
          <w:rStyle w:val="FootnoteReference"/>
        </w:rPr>
        <w:footnoteReference w:id="33"/>
      </w:r>
    </w:p>
    <w:p w:rsidR="00EC5367" w:rsidRDefault="00C33B0C" w:rsidP="003E1F85">
      <w:pPr>
        <w:pStyle w:val="ParaNum"/>
      </w:pPr>
      <w:r>
        <w:t xml:space="preserve">In addition to the rule changes that it proposes, </w:t>
      </w:r>
      <w:r w:rsidR="002A2FE2">
        <w:t>SBE also seeks a temporary waiver of Section 74.462 of the Commission’s Rules to permit RPU broadcasters to use FCC certified narrowband VHF and UHF RPU equipment, such as</w:t>
      </w:r>
      <w:r w:rsidR="007909D2">
        <w:t xml:space="preserve"> </w:t>
      </w:r>
      <w:r w:rsidR="00943B4E">
        <w:t xml:space="preserve">digital </w:t>
      </w:r>
      <w:r w:rsidR="002A2FE2">
        <w:t xml:space="preserve">TDMA technology or NXDN technology </w:t>
      </w:r>
      <w:r w:rsidR="003157EA">
        <w:t xml:space="preserve">equipment, </w:t>
      </w:r>
      <w:r w:rsidR="002A2FE2">
        <w:t>in the VHF and UHF</w:t>
      </w:r>
      <w:r w:rsidR="00B652FD">
        <w:t xml:space="preserve"> RPU</w:t>
      </w:r>
      <w:r w:rsidR="002A2FE2">
        <w:t xml:space="preserve"> </w:t>
      </w:r>
      <w:r w:rsidR="00B652FD">
        <w:t>B</w:t>
      </w:r>
      <w:r w:rsidR="002A2FE2">
        <w:t xml:space="preserve">ands while the </w:t>
      </w:r>
      <w:r w:rsidR="006222EB">
        <w:rPr>
          <w:i/>
        </w:rPr>
        <w:t>Notice of Proposed Rulemaking</w:t>
      </w:r>
      <w:r w:rsidR="006222EB">
        <w:t xml:space="preserve"> </w:t>
      </w:r>
      <w:r w:rsidR="002A2FE2">
        <w:t>is pending.</w:t>
      </w:r>
      <w:r w:rsidR="002A2FE2">
        <w:rPr>
          <w:rStyle w:val="FootnoteReference"/>
        </w:rPr>
        <w:footnoteReference w:id="34"/>
      </w:r>
      <w:r w:rsidR="002A2FE2">
        <w:t xml:space="preserve">  SBE argues that prohibiting RPU licensees from using digital emissions in the VHF and UHF </w:t>
      </w:r>
      <w:r w:rsidR="00C81406">
        <w:t>RPU B</w:t>
      </w:r>
      <w:r w:rsidR="002A2FE2">
        <w:t>ands is inequitable, unduly burdens RPU licensees, and is otherwise contrary to the public interest because the application of the rule prevents RPU licensees from transitioning to more spectrum efficient technology.</w:t>
      </w:r>
      <w:r w:rsidR="002A2FE2">
        <w:rPr>
          <w:rStyle w:val="FootnoteReference"/>
        </w:rPr>
        <w:footnoteReference w:id="35"/>
      </w:r>
      <w:r w:rsidR="002A2FE2">
        <w:t xml:space="preserve">  SBE further argues that application of the rule is contrary to the Commission’s policy, as enunciated in the </w:t>
      </w:r>
      <w:r w:rsidR="002A2FE2" w:rsidRPr="002A2FE2">
        <w:rPr>
          <w:i/>
        </w:rPr>
        <w:t>2002 BAS Report and Order</w:t>
      </w:r>
      <w:r w:rsidR="002A2FE2">
        <w:t xml:space="preserve">, that conformed the VHF </w:t>
      </w:r>
      <w:r w:rsidR="0026680E">
        <w:t xml:space="preserve">RPU </w:t>
      </w:r>
      <w:r w:rsidR="002A2FE2">
        <w:t>and UHF</w:t>
      </w:r>
      <w:r w:rsidR="0026680E">
        <w:t xml:space="preserve"> RPU</w:t>
      </w:r>
      <w:r w:rsidR="002A2FE2">
        <w:t xml:space="preserve"> </w:t>
      </w:r>
      <w:r w:rsidR="0026680E">
        <w:t>B</w:t>
      </w:r>
      <w:r w:rsidR="002A2FE2">
        <w:t>and</w:t>
      </w:r>
      <w:r w:rsidR="0026680E">
        <w:t>s</w:t>
      </w:r>
      <w:r w:rsidR="002A2FE2">
        <w:t xml:space="preserve"> plans to the VHF and UHF</w:t>
      </w:r>
      <w:r w:rsidR="0026680E">
        <w:t xml:space="preserve"> PLMRS</w:t>
      </w:r>
      <w:r w:rsidR="002A2FE2">
        <w:t xml:space="preserve"> band plans specifically to enable RPU licensees to use </w:t>
      </w:r>
      <w:r w:rsidR="00134F19">
        <w:t xml:space="preserve">COTS </w:t>
      </w:r>
      <w:r w:rsidR="002A2FE2">
        <w:t>equipment used by PLMRS licensees in the Part 90 service, which according to SBE, is currently available for use by RPU licensees.</w:t>
      </w:r>
      <w:r w:rsidR="002A2FE2">
        <w:rPr>
          <w:rStyle w:val="FootnoteReference"/>
        </w:rPr>
        <w:footnoteReference w:id="36"/>
      </w:r>
      <w:r w:rsidR="002A2FE2">
        <w:t xml:space="preserve">  SBE asks that the Commission temporarily waive the prohibition against using </w:t>
      </w:r>
      <w:r w:rsidR="00A65837">
        <w:t xml:space="preserve">digital emissions </w:t>
      </w:r>
      <w:r w:rsidR="002A2FE2">
        <w:t>until it acts on SBE’s and EIBASS’s petition</w:t>
      </w:r>
      <w:r w:rsidR="00C81406">
        <w:t>s</w:t>
      </w:r>
      <w:r w:rsidR="002A2FE2">
        <w:t xml:space="preserve"> for rulemaking.</w:t>
      </w:r>
      <w:r w:rsidR="002A2FE2">
        <w:rPr>
          <w:rStyle w:val="FootnoteReference"/>
        </w:rPr>
        <w:footnoteReference w:id="37"/>
      </w:r>
      <w:r w:rsidR="002A2FE2">
        <w:t xml:space="preserve">  SBE indicates that it would accept incorporation of a non-interference condition in the grant of the waiver request.</w:t>
      </w:r>
      <w:r w:rsidR="002A2FE2">
        <w:rPr>
          <w:rStyle w:val="FootnoteReference"/>
        </w:rPr>
        <w:footnoteReference w:id="38"/>
      </w:r>
    </w:p>
    <w:p w:rsidR="00EC5367" w:rsidRDefault="007779E6" w:rsidP="003E1F85">
      <w:pPr>
        <w:pStyle w:val="ParaNum"/>
      </w:pPr>
      <w:r>
        <w:t>The Petitions were put out for comment.</w:t>
      </w:r>
      <w:r w:rsidR="009621A7">
        <w:rPr>
          <w:rStyle w:val="FootnoteReference"/>
        </w:rPr>
        <w:footnoteReference w:id="39"/>
      </w:r>
      <w:r>
        <w:t xml:space="preserve">  </w:t>
      </w:r>
      <w:r w:rsidR="00795681">
        <w:t>EIBASS,</w:t>
      </w:r>
      <w:r w:rsidR="00795681">
        <w:rPr>
          <w:rStyle w:val="FootnoteReference"/>
        </w:rPr>
        <w:footnoteReference w:id="40"/>
      </w:r>
      <w:r w:rsidR="00795681">
        <w:t xml:space="preserve"> Icom America, Inc. and Icom, Inc.,</w:t>
      </w:r>
      <w:r w:rsidR="00795681">
        <w:rPr>
          <w:rStyle w:val="FootnoteReference"/>
        </w:rPr>
        <w:footnoteReference w:id="41"/>
      </w:r>
      <w:r w:rsidR="00795681">
        <w:t xml:space="preserve"> SBE,</w:t>
      </w:r>
      <w:r w:rsidR="00795681">
        <w:rPr>
          <w:rStyle w:val="FootnoteReference"/>
        </w:rPr>
        <w:footnoteReference w:id="42"/>
      </w:r>
      <w:r w:rsidR="00795681">
        <w:t xml:space="preserve"> and the National Association of Broadcasters</w:t>
      </w:r>
      <w:r w:rsidR="00795681">
        <w:rPr>
          <w:rStyle w:val="FootnoteReference"/>
        </w:rPr>
        <w:footnoteReference w:id="43"/>
      </w:r>
      <w:r w:rsidR="00795681">
        <w:t xml:space="preserve"> </w:t>
      </w:r>
      <w:r w:rsidR="006B2D11">
        <w:t>a</w:t>
      </w:r>
      <w:r w:rsidR="00795681">
        <w:t xml:space="preserve">ll </w:t>
      </w:r>
      <w:r>
        <w:t xml:space="preserve">filed </w:t>
      </w:r>
      <w:r w:rsidR="00795681">
        <w:t xml:space="preserve">comments </w:t>
      </w:r>
      <w:r>
        <w:t xml:space="preserve">in </w:t>
      </w:r>
      <w:r w:rsidR="00795681">
        <w:t>support</w:t>
      </w:r>
      <w:r w:rsidR="0041108B">
        <w:t xml:space="preserve"> </w:t>
      </w:r>
      <w:r>
        <w:t xml:space="preserve">of </w:t>
      </w:r>
      <w:r w:rsidR="00795681">
        <w:t xml:space="preserve">the </w:t>
      </w:r>
      <w:r>
        <w:t>P</w:t>
      </w:r>
      <w:r w:rsidR="00795681">
        <w:t>etitions</w:t>
      </w:r>
      <w:r w:rsidR="002A2FE2">
        <w:t xml:space="preserve"> and the Waiver Request</w:t>
      </w:r>
      <w:r w:rsidR="00795681">
        <w:t>.</w:t>
      </w:r>
      <w:r w:rsidR="006222EB">
        <w:t xml:space="preserve">  </w:t>
      </w:r>
      <w:r w:rsidR="00A9788B">
        <w:t>After the comment cycle closed, Kenwood USA Corporation</w:t>
      </w:r>
      <w:r w:rsidR="00A9788B">
        <w:rPr>
          <w:rStyle w:val="FootnoteReference"/>
        </w:rPr>
        <w:footnoteReference w:id="44"/>
      </w:r>
      <w:r w:rsidR="00A9788B">
        <w:t xml:space="preserve"> and Motorola Solutions, Inc.</w:t>
      </w:r>
      <w:r w:rsidR="00A9788B">
        <w:rPr>
          <w:rStyle w:val="FootnoteReference"/>
        </w:rPr>
        <w:footnoteReference w:id="45"/>
      </w:r>
      <w:r w:rsidR="00A9788B">
        <w:t xml:space="preserve"> filed comments, which we will treat as </w:t>
      </w:r>
      <w:r w:rsidR="00A9788B">
        <w:rPr>
          <w:i/>
        </w:rPr>
        <w:t xml:space="preserve">ex parte </w:t>
      </w:r>
      <w:r w:rsidR="00A9788B">
        <w:t xml:space="preserve">filings, supporting both the </w:t>
      </w:r>
      <w:r w:rsidR="00003B6F">
        <w:t xml:space="preserve">EIBASS and SBE Petitions.  </w:t>
      </w:r>
      <w:r w:rsidR="006222EB">
        <w:t xml:space="preserve">As discussed below, </w:t>
      </w:r>
      <w:r w:rsidR="00FE28CF">
        <w:t>we first conclude that our</w:t>
      </w:r>
      <w:r w:rsidR="00822E98">
        <w:t xml:space="preserve"> existing</w:t>
      </w:r>
      <w:r w:rsidR="00FE28CF">
        <w:t xml:space="preserve"> rules </w:t>
      </w:r>
      <w:r w:rsidR="00C81406">
        <w:t>regarding</w:t>
      </w:r>
      <w:r w:rsidR="00FE28CF">
        <w:t xml:space="preserve"> </w:t>
      </w:r>
      <w:r w:rsidR="00C81406">
        <w:t xml:space="preserve">RPU </w:t>
      </w:r>
      <w:r w:rsidR="00FE28CF">
        <w:t xml:space="preserve">center frequencies accommodate proposals to stack an even number of </w:t>
      </w:r>
      <w:r w:rsidR="00C81406">
        <w:t>segments</w:t>
      </w:r>
      <w:r w:rsidR="00FE28CF">
        <w:t xml:space="preserve"> </w:t>
      </w:r>
      <w:r w:rsidR="00822E98">
        <w:t>and</w:t>
      </w:r>
      <w:r w:rsidR="00FE28CF">
        <w:t xml:space="preserve"> address the inability of certain analog equipment to specify the center frequency with the level of precision set forth in the Commission’s rules.  Next, we seek comment on rule changes that would facilitate the use of digital technologies by RPU stations.  We propose to eliminate the opportunity to apply for new 100 kilohertz RPU stations, while grandfathering existing 100 kilohertz </w:t>
      </w:r>
      <w:r w:rsidR="00C81406">
        <w:t xml:space="preserve">RPU </w:t>
      </w:r>
      <w:r w:rsidR="00FE28CF">
        <w:t xml:space="preserve">stations.  Finally, we deny </w:t>
      </w:r>
      <w:r w:rsidR="00437293">
        <w:t xml:space="preserve">SBE’s </w:t>
      </w:r>
      <w:r w:rsidR="00FE28CF">
        <w:t>request for a blanket waiver to allow digital emissions pending the outcome of this rulemaking.</w:t>
      </w:r>
    </w:p>
    <w:bookmarkEnd w:id="461"/>
    <w:p w:rsidR="00795681" w:rsidRDefault="00FD3DBE" w:rsidP="00C35604">
      <w:pPr>
        <w:pStyle w:val="Heading1"/>
      </w:pPr>
      <w:r>
        <w:t xml:space="preserve">ORDER – </w:t>
      </w:r>
      <w:r w:rsidR="008B1466">
        <w:t xml:space="preserve">RPU </w:t>
      </w:r>
      <w:r>
        <w:t>CENTER FREQUENCIES</w:t>
      </w:r>
    </w:p>
    <w:p w:rsidR="00501160" w:rsidRDefault="00501160" w:rsidP="003E1F85">
      <w:pPr>
        <w:pStyle w:val="ParaNum"/>
      </w:pPr>
      <w:r>
        <w:t xml:space="preserve">As described above, </w:t>
      </w:r>
      <w:r w:rsidR="00FD3DBE">
        <w:t xml:space="preserve">EIBASS and SBE identify two issues relating to </w:t>
      </w:r>
      <w:r>
        <w:t xml:space="preserve">the designation of </w:t>
      </w:r>
      <w:r w:rsidR="00FD3DBE">
        <w:t>center frequencies</w:t>
      </w:r>
      <w:r>
        <w:t xml:space="preserve"> for RPU stations</w:t>
      </w:r>
      <w:r w:rsidR="00FD3DBE">
        <w:t xml:space="preserve">:  </w:t>
      </w:r>
      <w:r>
        <w:t xml:space="preserve">1) </w:t>
      </w:r>
      <w:r w:rsidR="00FD3DBE">
        <w:t xml:space="preserve">the fact that when an applicant </w:t>
      </w:r>
      <w:r>
        <w:t>combines</w:t>
      </w:r>
      <w:r w:rsidR="00FD3DBE">
        <w:t xml:space="preserve"> an even number of channels, the center frequency </w:t>
      </w:r>
      <w:r>
        <w:t xml:space="preserve">for the combined channels </w:t>
      </w:r>
      <w:r w:rsidR="00FD3DBE">
        <w:t xml:space="preserve">will </w:t>
      </w:r>
      <w:r>
        <w:t xml:space="preserve">fall </w:t>
      </w:r>
      <w:r w:rsidR="00FD3DBE">
        <w:t>in between frequencies listed in the Commission’s rules</w:t>
      </w:r>
      <w:r w:rsidR="006222EB">
        <w:t>;</w:t>
      </w:r>
      <w:r w:rsidR="00FD3DBE">
        <w:t xml:space="preserve"> and </w:t>
      </w:r>
      <w:r>
        <w:t xml:space="preserve">2) </w:t>
      </w:r>
      <w:r w:rsidR="00FD3DBE">
        <w:t xml:space="preserve">the inability of analog equipment to specify the center frequency with the </w:t>
      </w:r>
      <w:r>
        <w:t xml:space="preserve">level of </w:t>
      </w:r>
      <w:r w:rsidR="00FD3DBE">
        <w:t>precision s</w:t>
      </w:r>
      <w:r>
        <w:t>et forth</w:t>
      </w:r>
      <w:r w:rsidR="00FD3DBE">
        <w:t xml:space="preserve"> in the Commission’s rules.  </w:t>
      </w:r>
      <w:r w:rsidR="00822E98">
        <w:t>With the clarification and guidance provided below, w</w:t>
      </w:r>
      <w:r>
        <w:t>e conclude that no rule changes are necessary to address either of these issues.</w:t>
      </w:r>
    </w:p>
    <w:p w:rsidR="00795681" w:rsidRDefault="00FD3DBE" w:rsidP="003E1F85">
      <w:pPr>
        <w:pStyle w:val="ParaNum"/>
      </w:pPr>
      <w:r>
        <w:t>W</w:t>
      </w:r>
      <w:r w:rsidR="00501160">
        <w:t xml:space="preserve">e find that </w:t>
      </w:r>
      <w:r>
        <w:t xml:space="preserve">existing Section 74.402 of the Commission’s rules </w:t>
      </w:r>
      <w:r w:rsidR="00DC1421">
        <w:t xml:space="preserve">addresses the first </w:t>
      </w:r>
      <w:r>
        <w:t xml:space="preserve">issue.  In </w:t>
      </w:r>
      <w:r w:rsidR="00DC1421">
        <w:t xml:space="preserve">its preamble, </w:t>
      </w:r>
      <w:r>
        <w:t>that rule provides, “</w:t>
      </w:r>
      <w:r w:rsidR="002A2FE2" w:rsidRPr="002A2FE2">
        <w:t xml:space="preserve">When an even number of channels are stacked in those sections </w:t>
      </w:r>
      <w:r w:rsidR="00632DA9">
        <w:t xml:space="preserve">[where] </w:t>
      </w:r>
      <w:r w:rsidR="002A2FE2" w:rsidRPr="002A2FE2">
        <w:t>stacking is permitted, channel assignments may be made for the frequency halfway between those listed.</w:t>
      </w:r>
      <w:r w:rsidR="002A2FE2">
        <w:t>”</w:t>
      </w:r>
      <w:r w:rsidR="002A2FE2">
        <w:rPr>
          <w:rStyle w:val="FootnoteReference"/>
        </w:rPr>
        <w:footnoteReference w:id="46"/>
      </w:r>
      <w:r w:rsidR="002A2FE2">
        <w:t xml:space="preserve">  Thus, to use EIBASS’ example, </w:t>
      </w:r>
      <w:r w:rsidR="00463F1F">
        <w:t xml:space="preserve">a broadcaster wishing to combine the </w:t>
      </w:r>
      <w:r w:rsidR="006F5DCE">
        <w:t>6.25 kilohertz</w:t>
      </w:r>
      <w:r w:rsidR="00975945">
        <w:t xml:space="preserve"> segments centered </w:t>
      </w:r>
      <w:r w:rsidR="00463F1F">
        <w:t xml:space="preserve">455.48750 MHz, 455.49375 MHz, 455.50000 MHz, and 455.50625 MHz into a 25 kilohertz </w:t>
      </w:r>
      <w:r w:rsidR="00975945">
        <w:t xml:space="preserve">RPU </w:t>
      </w:r>
      <w:r w:rsidR="00463F1F">
        <w:t xml:space="preserve">channel could specify 455.496875 MHz as the center frequency of the combined </w:t>
      </w:r>
      <w:r w:rsidR="00975945">
        <w:t>segments</w:t>
      </w:r>
      <w:r w:rsidR="00463F1F">
        <w:t xml:space="preserve"> because it is halfway between 455.49375 MHz and 455.5 MHz.</w:t>
      </w:r>
      <w:r w:rsidR="00463F1F">
        <w:rPr>
          <w:rStyle w:val="FootnoteReference"/>
        </w:rPr>
        <w:footnoteReference w:id="47"/>
      </w:r>
      <w:r w:rsidR="00463F1F">
        <w:t xml:space="preserve"> </w:t>
      </w:r>
      <w:r w:rsidR="000B660B">
        <w:t xml:space="preserve"> Consistent with Section 74.402</w:t>
      </w:r>
      <w:r w:rsidR="00943F65">
        <w:t>,</w:t>
      </w:r>
      <w:r w:rsidR="000B660B">
        <w:t xml:space="preserve"> the current process of the Wireless </w:t>
      </w:r>
      <w:r w:rsidR="00943F65">
        <w:t xml:space="preserve">Telecommunications </w:t>
      </w:r>
      <w:r w:rsidR="000B660B">
        <w:t>Bureau has been to require applicants to stack the minimum number of segments necessary to accommodate the applicant</w:t>
      </w:r>
      <w:r w:rsidR="00975945">
        <w:t>’</w:t>
      </w:r>
      <w:r w:rsidR="000B660B">
        <w:t>s bandwidth need</w:t>
      </w:r>
      <w:r w:rsidR="00437293">
        <w:t>s</w:t>
      </w:r>
      <w:r w:rsidR="006F471C">
        <w:t>.  A</w:t>
      </w:r>
      <w:r w:rsidR="000B660B">
        <w:t xml:space="preserve">pplications that stack an odd number of </w:t>
      </w:r>
      <w:r w:rsidR="00975945">
        <w:t>segments</w:t>
      </w:r>
      <w:r w:rsidR="000B660B">
        <w:t xml:space="preserve"> </w:t>
      </w:r>
      <w:r w:rsidR="00931CF4">
        <w:t>must specify</w:t>
      </w:r>
      <w:r w:rsidR="000B660B">
        <w:t xml:space="preserve"> a center frequency consistent with the center of the segments listed in </w:t>
      </w:r>
      <w:r w:rsidR="00943F65">
        <w:t xml:space="preserve">Section </w:t>
      </w:r>
      <w:r w:rsidR="000B660B">
        <w:t>74.402</w:t>
      </w:r>
      <w:r w:rsidR="00DC1421">
        <w:t xml:space="preserve">, </w:t>
      </w:r>
      <w:r w:rsidR="000B660B">
        <w:t xml:space="preserve">and applications that stack an even number of </w:t>
      </w:r>
      <w:r w:rsidR="00975945">
        <w:t>segments</w:t>
      </w:r>
      <w:r w:rsidR="000B660B">
        <w:t xml:space="preserve"> </w:t>
      </w:r>
      <w:r w:rsidR="00DC1421">
        <w:t xml:space="preserve">must </w:t>
      </w:r>
      <w:r w:rsidR="000B660B">
        <w:t xml:space="preserve">specify a center frequency </w:t>
      </w:r>
      <w:r w:rsidR="00975945">
        <w:t xml:space="preserve">that falls </w:t>
      </w:r>
      <w:r w:rsidR="000B660B">
        <w:t xml:space="preserve">in between the </w:t>
      </w:r>
      <w:r w:rsidR="0012322E">
        <w:t>channel centers</w:t>
      </w:r>
      <w:r w:rsidR="000B660B">
        <w:t xml:space="preserve"> listed in </w:t>
      </w:r>
      <w:r w:rsidR="00943F65">
        <w:t xml:space="preserve">Section </w:t>
      </w:r>
      <w:r w:rsidR="000B660B">
        <w:t>74.402</w:t>
      </w:r>
      <w:r w:rsidR="00CE08F3">
        <w:t>.</w:t>
      </w:r>
      <w:r w:rsidR="00AA368A">
        <w:rPr>
          <w:rStyle w:val="FootnoteReference"/>
        </w:rPr>
        <w:footnoteReference w:id="48"/>
      </w:r>
      <w:r w:rsidR="00463F1F">
        <w:t xml:space="preserve"> </w:t>
      </w:r>
      <w:r w:rsidR="00795681">
        <w:t xml:space="preserve"> </w:t>
      </w:r>
      <w:r w:rsidR="00CF65A4">
        <w:t>T</w:t>
      </w:r>
      <w:r w:rsidR="00463F1F">
        <w:t xml:space="preserve">he Wireless Telecommunications Bureau </w:t>
      </w:r>
      <w:r w:rsidR="007F33D1">
        <w:t>will continue</w:t>
      </w:r>
      <w:r w:rsidR="000B660B">
        <w:t xml:space="preserve"> </w:t>
      </w:r>
      <w:r w:rsidR="00CF65A4">
        <w:t xml:space="preserve">to </w:t>
      </w:r>
      <w:r w:rsidR="00463F1F">
        <w:t xml:space="preserve">process applications specifying an even number of segments consistent with this </w:t>
      </w:r>
      <w:r w:rsidR="00501160">
        <w:t>interpretation of Section 74.402</w:t>
      </w:r>
      <w:r w:rsidR="00463F1F">
        <w:t xml:space="preserve">.  </w:t>
      </w:r>
    </w:p>
    <w:p w:rsidR="00463F1F" w:rsidRDefault="00463F1F" w:rsidP="003E1F85">
      <w:pPr>
        <w:pStyle w:val="ParaNum"/>
      </w:pPr>
      <w:r>
        <w:t>With respect to the inability of analog equipment to precisely specify frequenci</w:t>
      </w:r>
      <w:r w:rsidR="008207CA">
        <w:t>es to six decimal places, no transmitter can operate on a specific frequency with absolute pr</w:t>
      </w:r>
      <w:r w:rsidR="00D52D21">
        <w:t>ec</w:t>
      </w:r>
      <w:r w:rsidR="008207CA">
        <w:t xml:space="preserve">ision.  The BAS rules recognize </w:t>
      </w:r>
      <w:r w:rsidR="001001BB">
        <w:t>this</w:t>
      </w:r>
      <w:r w:rsidR="008207CA">
        <w:t xml:space="preserve"> limitation by establishing permissible frequency tolerances for RPU equipment.</w:t>
      </w:r>
      <w:r w:rsidR="008207CA">
        <w:rPr>
          <w:rStyle w:val="FootnoteReference"/>
        </w:rPr>
        <w:footnoteReference w:id="49"/>
      </w:r>
      <w:r w:rsidR="008207CA">
        <w:t xml:space="preserve">  In the VHF RPU </w:t>
      </w:r>
      <w:r w:rsidR="001001BB">
        <w:t>B</w:t>
      </w:r>
      <w:r w:rsidR="008207CA">
        <w:t xml:space="preserve">and, the tightest applicable frequency stability requirement is one part per million, which translates into an acceptable deviation of </w:t>
      </w:r>
      <w:r w:rsidR="00975945">
        <w:t>approximately</w:t>
      </w:r>
      <w:r w:rsidR="008207CA">
        <w:t xml:space="preserve"> 150 </w:t>
      </w:r>
      <w:r w:rsidR="00975945">
        <w:t>H</w:t>
      </w:r>
      <w:r w:rsidR="008207CA">
        <w:t>ertz</w:t>
      </w:r>
      <w:r w:rsidR="001001BB">
        <w:t xml:space="preserve"> on those </w:t>
      </w:r>
      <w:r w:rsidR="00BE2E29">
        <w:t>frequencies</w:t>
      </w:r>
      <w:r w:rsidR="008207CA">
        <w:t>.</w:t>
      </w:r>
      <w:r w:rsidR="008207CA">
        <w:rPr>
          <w:rStyle w:val="FootnoteReference"/>
        </w:rPr>
        <w:footnoteReference w:id="50"/>
      </w:r>
      <w:r w:rsidR="008207CA">
        <w:t xml:space="preserve">  For the UHF RPU Band, the tightest applicable frequency stability requirement is .5 part</w:t>
      </w:r>
      <w:r w:rsidR="0012322E">
        <w:t>s</w:t>
      </w:r>
      <w:r w:rsidR="008207CA">
        <w:t xml:space="preserve"> per million, which translates into an acceptable deviation of </w:t>
      </w:r>
      <w:r w:rsidR="0012322E">
        <w:t>approximately</w:t>
      </w:r>
      <w:r w:rsidR="008207CA">
        <w:t xml:space="preserve"> 225 </w:t>
      </w:r>
      <w:r w:rsidR="00975945">
        <w:t>H</w:t>
      </w:r>
      <w:r w:rsidR="008207CA">
        <w:t xml:space="preserve">ertz </w:t>
      </w:r>
      <w:r w:rsidR="001B47CF">
        <w:t>on</w:t>
      </w:r>
      <w:r w:rsidR="008207CA">
        <w:t xml:space="preserve"> </w:t>
      </w:r>
      <w:r w:rsidR="001001BB">
        <w:t xml:space="preserve">those </w:t>
      </w:r>
      <w:r w:rsidR="00BE2E29">
        <w:t>frequencies</w:t>
      </w:r>
      <w:r w:rsidR="008207CA">
        <w:t>.</w:t>
      </w:r>
      <w:r w:rsidR="008207CA">
        <w:rPr>
          <w:rStyle w:val="FootnoteReference"/>
        </w:rPr>
        <w:footnoteReference w:id="51"/>
      </w:r>
      <w:r w:rsidR="00EA1914">
        <w:t xml:space="preserve">  We note that the channel centers listed in the rules specify some frequencies in the UHF RPU </w:t>
      </w:r>
      <w:r w:rsidR="001001BB">
        <w:t>B</w:t>
      </w:r>
      <w:r w:rsidR="00EA1914">
        <w:t xml:space="preserve">and to the nearest 10 Hertz, and neither EIBASS nor SBE </w:t>
      </w:r>
      <w:r w:rsidR="001001BB">
        <w:t>has</w:t>
      </w:r>
      <w:r w:rsidR="00EA1914">
        <w:t xml:space="preserve"> claimed that analog equipment cannot program those frequencies.</w:t>
      </w:r>
      <w:r w:rsidR="00EA1914">
        <w:rPr>
          <w:rStyle w:val="FootnoteReference"/>
        </w:rPr>
        <w:footnoteReference w:id="52"/>
      </w:r>
      <w:r w:rsidR="00EA1914">
        <w:t xml:space="preserve">  So long as licensees comply with the applicable emission masks</w:t>
      </w:r>
      <w:r w:rsidR="00EA1914">
        <w:rPr>
          <w:rStyle w:val="FootnoteReference"/>
        </w:rPr>
        <w:footnoteReference w:id="53"/>
      </w:r>
      <w:r w:rsidR="00EA1914">
        <w:t xml:space="preserve"> as measured from the center frequency specified in the authorization, and the licensee programs the center frequency as closely to the specified center frequency as the equipment will allow, we would view a licensee as being in compliance with the center frequency requirements of Section 74.402 of the Commission’s rules for the VHF RPU Band and UHF RPU Band.  </w:t>
      </w:r>
    </w:p>
    <w:p w:rsidR="002226E0" w:rsidRDefault="00CA7CA3" w:rsidP="00C35604">
      <w:pPr>
        <w:pStyle w:val="Heading1"/>
      </w:pPr>
      <w:bookmarkStart w:id="462" w:name="_Toc322935349"/>
      <w:r>
        <w:t xml:space="preserve">NOTICE OF PROPOSED RULEMAKING </w:t>
      </w:r>
    </w:p>
    <w:p w:rsidR="00795681" w:rsidRPr="00F91674" w:rsidRDefault="00BE2AC3" w:rsidP="00C35604">
      <w:pPr>
        <w:pStyle w:val="Heading2"/>
      </w:pPr>
      <w:r>
        <w:t xml:space="preserve">RPU </w:t>
      </w:r>
      <w:r w:rsidR="00795681">
        <w:t>Digital Emissions and Modulation Requirements</w:t>
      </w:r>
      <w:bookmarkEnd w:id="462"/>
    </w:p>
    <w:p w:rsidR="002226E0" w:rsidRDefault="008A1CA3" w:rsidP="003E1F85">
      <w:pPr>
        <w:pStyle w:val="ParaNum"/>
      </w:pPr>
      <w:r>
        <w:t>We propose</w:t>
      </w:r>
      <w:r w:rsidR="00CA7CA3">
        <w:t xml:space="preserve"> </w:t>
      </w:r>
      <w:r>
        <w:t>to change our rules</w:t>
      </w:r>
      <w:r w:rsidR="00CA7CA3">
        <w:t xml:space="preserve"> to allow broadcasters to use modern digital technologies such as TDMA and NXDN</w:t>
      </w:r>
      <w:r w:rsidR="00BE2AC3">
        <w:t xml:space="preserve"> for RPU operations</w:t>
      </w:r>
      <w:r w:rsidR="00CA7CA3">
        <w:t xml:space="preserve">.  We believe it would be in the public interest to give broadcasters the opportunity to use the same digital technologies </w:t>
      </w:r>
      <w:r w:rsidR="00BE2AC3">
        <w:t xml:space="preserve">for RPU stations as those </w:t>
      </w:r>
      <w:r w:rsidR="00CA7CA3">
        <w:t>used by Part 90 PLMRS licensees.  The Commission’s intent in 2002 was to harmonize the RPU technical standards with the Part 90 rules so that broadcasters could use radios developed for Part 90 PLMRS use, particularly for dispatch and operational traffic.</w:t>
      </w:r>
      <w:r w:rsidR="00CA7CA3">
        <w:rPr>
          <w:rStyle w:val="FootnoteReference"/>
        </w:rPr>
        <w:footnoteReference w:id="54"/>
      </w:r>
      <w:r w:rsidR="00CA7CA3">
        <w:t xml:space="preserve">  By allowing broadcasters to use the same digital technologies </w:t>
      </w:r>
      <w:r w:rsidR="00BE2AC3">
        <w:t xml:space="preserve">for RPU stations </w:t>
      </w:r>
      <w:r w:rsidR="00CA7CA3">
        <w:t>as</w:t>
      </w:r>
      <w:r w:rsidR="00BE2AC3">
        <w:t xml:space="preserve"> those used by</w:t>
      </w:r>
      <w:r w:rsidR="00CA7CA3">
        <w:t xml:space="preserve"> PLMRS licensees, we would </w:t>
      </w:r>
      <w:r w:rsidR="002226E0">
        <w:t xml:space="preserve">further that goal and allow broadcasters to use equipment and technologies developed for PLMRS.  We seek comment on the </w:t>
      </w:r>
      <w:r w:rsidR="0012322E">
        <w:t xml:space="preserve">costs and benefits and </w:t>
      </w:r>
      <w:r w:rsidR="002226E0">
        <w:t>advantages</w:t>
      </w:r>
      <w:r w:rsidR="00B82660">
        <w:t xml:space="preserve"> or</w:t>
      </w:r>
      <w:r w:rsidR="002226E0">
        <w:t xml:space="preserve"> disadvantages of allowing broadcasters to use the digital technology of their choice</w:t>
      </w:r>
      <w:r w:rsidR="00BE2AC3">
        <w:t xml:space="preserve"> in the VHF and UHF RPU Bands</w:t>
      </w:r>
      <w:r w:rsidR="002226E0">
        <w:t>.</w:t>
      </w:r>
    </w:p>
    <w:p w:rsidR="00EC5367" w:rsidRDefault="002226E0" w:rsidP="003E1F85">
      <w:pPr>
        <w:pStyle w:val="ParaNum"/>
      </w:pPr>
      <w:r>
        <w:t xml:space="preserve">SBE and EIBASS </w:t>
      </w:r>
      <w:r w:rsidR="00C81406">
        <w:t xml:space="preserve">each </w:t>
      </w:r>
      <w:r>
        <w:t xml:space="preserve">propose </w:t>
      </w:r>
      <w:r w:rsidR="005A700C">
        <w:t xml:space="preserve">that </w:t>
      </w:r>
      <w:r w:rsidR="00931CF4">
        <w:t>we amend</w:t>
      </w:r>
      <w:r w:rsidR="00795681">
        <w:t xml:space="preserve"> Section 74.462 of the Commission’s </w:t>
      </w:r>
      <w:r>
        <w:t>r</w:t>
      </w:r>
      <w:r w:rsidR="00795681">
        <w:t>ules to permit</w:t>
      </w:r>
      <w:r w:rsidR="005A700C">
        <w:t xml:space="preserve"> </w:t>
      </w:r>
      <w:r w:rsidR="00C81406">
        <w:t xml:space="preserve">RPU stations to </w:t>
      </w:r>
      <w:r w:rsidR="005A700C">
        <w:t xml:space="preserve">use </w:t>
      </w:r>
      <w:r w:rsidR="00795681">
        <w:t xml:space="preserve">any </w:t>
      </w:r>
      <w:r>
        <w:t xml:space="preserve">digital </w:t>
      </w:r>
      <w:r w:rsidR="00795681">
        <w:t>emission</w:t>
      </w:r>
      <w:r w:rsidR="00F71F67">
        <w:t>s</w:t>
      </w:r>
      <w:r w:rsidR="00795681">
        <w:t xml:space="preserve"> that meets the applicable emission</w:t>
      </w:r>
      <w:r w:rsidR="00F71F67">
        <w:t>s</w:t>
      </w:r>
      <w:r w:rsidR="00795681">
        <w:t xml:space="preserve"> mask and bandwidth limitations</w:t>
      </w:r>
      <w:r>
        <w:t>.</w:t>
      </w:r>
      <w:r w:rsidR="00A82884">
        <w:rPr>
          <w:rStyle w:val="FootnoteReference"/>
        </w:rPr>
        <w:footnoteReference w:id="55"/>
      </w:r>
      <w:r>
        <w:t xml:space="preserve">  We seek comment on amending Section 74.462 in that fashion.  </w:t>
      </w:r>
      <w:r w:rsidR="00F378FF">
        <w:t>We note that while SBE and EIBASS focus on the VHF an</w:t>
      </w:r>
      <w:r w:rsidR="00DD753B">
        <w:t>d UHF RPU Bands, the proposed r</w:t>
      </w:r>
      <w:r w:rsidR="00F378FF">
        <w:t xml:space="preserve">ule change would also allow digital emissions in the HF RPU Band.  </w:t>
      </w:r>
      <w:r w:rsidR="00DD753B">
        <w:t xml:space="preserve">We seek comment on whether it is appropriate to </w:t>
      </w:r>
      <w:r w:rsidR="00BE2AC3">
        <w:t xml:space="preserve">also </w:t>
      </w:r>
      <w:r w:rsidR="00DD753B">
        <w:t xml:space="preserve">allow digital emissions in the HF RPU Band.  </w:t>
      </w:r>
      <w:r>
        <w:t xml:space="preserve">We </w:t>
      </w:r>
      <w:r w:rsidR="009C39D4">
        <w:t xml:space="preserve">also </w:t>
      </w:r>
      <w:r>
        <w:t xml:space="preserve">seek comment on alternative </w:t>
      </w:r>
      <w:r w:rsidR="009C39D4">
        <w:t>means of amending our rules to reach the same result</w:t>
      </w:r>
      <w:r w:rsidR="0012322E">
        <w:t xml:space="preserve"> requested by EIBASS and SBE</w:t>
      </w:r>
      <w:r w:rsidR="009C39D4">
        <w:t>.</w:t>
      </w:r>
      <w:r w:rsidR="00D52D21">
        <w:t xml:space="preserve">  </w:t>
      </w:r>
      <w:r w:rsidR="0012322E">
        <w:t>Further</w:t>
      </w:r>
      <w:r w:rsidR="00D52D21">
        <w:t xml:space="preserve">, we seek comment on amending Section 74.462 to </w:t>
      </w:r>
      <w:r w:rsidR="0012322E">
        <w:t>specify a</w:t>
      </w:r>
      <w:r w:rsidR="00D52D21">
        <w:t xml:space="preserve"> maximum authorized bandwidth of 50 kilohertz in the 450.03125</w:t>
      </w:r>
      <w:r w:rsidR="00BE2E29">
        <w:t>-</w:t>
      </w:r>
      <w:r w:rsidR="00D52D21">
        <w:t>450.61875 MHz and 455.03125</w:t>
      </w:r>
      <w:r w:rsidR="00BE2E29">
        <w:noBreakHyphen/>
      </w:r>
      <w:r w:rsidR="00D52D21">
        <w:t xml:space="preserve">455.061875 MHz bands, as opposed to the maximum authorized bandwidth of 25 kilohertz currently in the rule.  This change would make </w:t>
      </w:r>
      <w:r w:rsidR="0012322E">
        <w:t>Section 74.462</w:t>
      </w:r>
      <w:r w:rsidR="00D52D21">
        <w:t xml:space="preserve"> consistent with Section 74.402(b) of the Commission’s rules, which allows up to eight 6.25 kilohertz </w:t>
      </w:r>
      <w:r w:rsidR="004F7836">
        <w:t>segments</w:t>
      </w:r>
      <w:r w:rsidR="00D52D21">
        <w:t xml:space="preserve"> to be stacked for a total </w:t>
      </w:r>
      <w:r w:rsidR="004F7836">
        <w:t xml:space="preserve">RPU channel </w:t>
      </w:r>
      <w:r w:rsidR="00D52D21">
        <w:t>bandwidth of 50 kilohertz.</w:t>
      </w:r>
      <w:r w:rsidR="00D52D21">
        <w:rPr>
          <w:rStyle w:val="FootnoteReference"/>
        </w:rPr>
        <w:footnoteReference w:id="56"/>
      </w:r>
      <w:r w:rsidR="00BA0BA7">
        <w:t xml:space="preserve">  We seek comment on the costs and benefits</w:t>
      </w:r>
      <w:r w:rsidR="004F7836">
        <w:t xml:space="preserve"> and advantages or disadvantages</w:t>
      </w:r>
      <w:r w:rsidR="00BA0BA7">
        <w:t xml:space="preserve"> of the various proposed approaches.</w:t>
      </w:r>
    </w:p>
    <w:p w:rsidR="00795681" w:rsidRPr="00E37C36" w:rsidRDefault="009C39D4" w:rsidP="003E1F85">
      <w:pPr>
        <w:pStyle w:val="ParaNum"/>
      </w:pPr>
      <w:r>
        <w:t>We also seek comment on</w:t>
      </w:r>
      <w:r w:rsidR="00795681">
        <w:t xml:space="preserve"> EIBASS</w:t>
      </w:r>
      <w:r>
        <w:t xml:space="preserve">’s request </w:t>
      </w:r>
      <w:r w:rsidR="00795681">
        <w:t xml:space="preserve">that </w:t>
      </w:r>
      <w:r w:rsidR="005A700C">
        <w:t>we</w:t>
      </w:r>
      <w:r w:rsidR="00795681">
        <w:t xml:space="preserve"> amend Section 74.463 of </w:t>
      </w:r>
      <w:r w:rsidR="005A700C">
        <w:t>the Commission’s</w:t>
      </w:r>
      <w:r w:rsidR="00795681">
        <w:t xml:space="preserve"> rules to explicitly add the phrase “digital modulation.”</w:t>
      </w:r>
      <w:r w:rsidR="00795681">
        <w:rPr>
          <w:rStyle w:val="FootnoteReference"/>
        </w:rPr>
        <w:footnoteReference w:id="57"/>
      </w:r>
      <w:r w:rsidR="00795681">
        <w:t xml:space="preserve">  </w:t>
      </w:r>
      <w:r>
        <w:t xml:space="preserve">We </w:t>
      </w:r>
      <w:r w:rsidR="00DF3E8C">
        <w:t xml:space="preserve">seek comment on the proposed </w:t>
      </w:r>
      <w:r w:rsidR="00A82884">
        <w:t xml:space="preserve">rule </w:t>
      </w:r>
      <w:r>
        <w:t>language</w:t>
      </w:r>
      <w:r w:rsidR="00DF3E8C">
        <w:t xml:space="preserve"> contained in Attachment A, </w:t>
      </w:r>
      <w:r w:rsidR="00737753">
        <w:t>and its attendant costs and benefits, and on any alternatives and their associated costs and benefits</w:t>
      </w:r>
      <w:r w:rsidR="00A82884">
        <w:t xml:space="preserve">.  </w:t>
      </w:r>
    </w:p>
    <w:p w:rsidR="00795681" w:rsidRDefault="007C567C" w:rsidP="003E1F85">
      <w:pPr>
        <w:pStyle w:val="ParaNum"/>
      </w:pPr>
      <w:r>
        <w:t>In addition</w:t>
      </w:r>
      <w:r w:rsidR="00A82884">
        <w:t xml:space="preserve">, we seek comment on what changes to our station identification requirements are needed to accommodate digital </w:t>
      </w:r>
      <w:r w:rsidR="00082030">
        <w:t xml:space="preserve">RPU </w:t>
      </w:r>
      <w:r w:rsidR="00A82884">
        <w:t xml:space="preserve">operations.  </w:t>
      </w:r>
      <w:r w:rsidR="00795681">
        <w:t xml:space="preserve">EIBASS recommends that </w:t>
      </w:r>
      <w:r w:rsidR="005A700C">
        <w:t>we</w:t>
      </w:r>
      <w:r w:rsidR="00795681">
        <w:t xml:space="preserve"> amend </w:t>
      </w:r>
      <w:r w:rsidR="00A82884">
        <w:t xml:space="preserve">the station identification requirements in </w:t>
      </w:r>
      <w:r w:rsidR="00795681">
        <w:t xml:space="preserve">Section 74.482 of </w:t>
      </w:r>
      <w:r w:rsidR="00A82884">
        <w:t xml:space="preserve">the Commission’s </w:t>
      </w:r>
      <w:r w:rsidR="00795681">
        <w:t>rules to cover all forms of commercially available digital land mobile radios</w:t>
      </w:r>
      <w:r w:rsidR="005A700C">
        <w:t xml:space="preserve">, using language that is </w:t>
      </w:r>
      <w:r w:rsidR="00795681">
        <w:t xml:space="preserve">broad enough </w:t>
      </w:r>
      <w:r w:rsidR="005A700C">
        <w:t xml:space="preserve">to cover </w:t>
      </w:r>
      <w:r w:rsidR="00795681">
        <w:t xml:space="preserve">new forms of digital signals </w:t>
      </w:r>
      <w:r w:rsidR="007C3D08">
        <w:t xml:space="preserve">as they </w:t>
      </w:r>
      <w:r w:rsidR="00795681">
        <w:t>are developed.</w:t>
      </w:r>
      <w:r w:rsidR="00A82884">
        <w:rPr>
          <w:rStyle w:val="FootnoteReference"/>
        </w:rPr>
        <w:footnoteReference w:id="58"/>
      </w:r>
      <w:r w:rsidR="00795681">
        <w:t xml:space="preserve">  Although EIBASS specifically recommends that</w:t>
      </w:r>
      <w:r>
        <w:t xml:space="preserve"> we </w:t>
      </w:r>
      <w:r w:rsidR="00795681">
        <w:t>adopt a method of identifying stations that uses a watermark ID, such as the protocol adopted in the Advanced Television Systems Committee (ATSC) A/82 Data Return Link (DRL) standard,</w:t>
      </w:r>
      <w:r w:rsidR="00795681">
        <w:rPr>
          <w:rStyle w:val="FootnoteReference"/>
        </w:rPr>
        <w:footnoteReference w:id="59"/>
      </w:r>
      <w:r w:rsidR="00795681">
        <w:t xml:space="preserve"> it stresses that is more important that </w:t>
      </w:r>
      <w:r>
        <w:t>we</w:t>
      </w:r>
      <w:r w:rsidR="00795681">
        <w:t xml:space="preserve"> adopt the same protocol for both RPU BAS and PLMRS stations</w:t>
      </w:r>
      <w:r w:rsidR="00A82884">
        <w:t>.</w:t>
      </w:r>
      <w:r w:rsidR="00F721F5">
        <w:rPr>
          <w:rStyle w:val="FootnoteReference"/>
        </w:rPr>
        <w:footnoteReference w:id="60"/>
      </w:r>
      <w:r w:rsidR="00A82884">
        <w:t xml:space="preserve">  In 2010, the Commission sought comment on amending the PLMRS rules to allow station identification in the 150-170 MHz and 450-470 MHz bands in digital format.</w:t>
      </w:r>
      <w:r w:rsidR="00DF3E8C">
        <w:rPr>
          <w:rStyle w:val="FootnoteReference"/>
        </w:rPr>
        <w:footnoteReference w:id="61"/>
      </w:r>
      <w:r w:rsidR="00A82884">
        <w:t xml:space="preserve">  </w:t>
      </w:r>
      <w:r w:rsidR="00DF3E8C">
        <w:t xml:space="preserve">The proposed rule language </w:t>
      </w:r>
      <w:r w:rsidR="00082030">
        <w:t xml:space="preserve">in that proceeding </w:t>
      </w:r>
      <w:r w:rsidR="00DF3E8C">
        <w:t xml:space="preserve">would allow PLMRS stations to digitally transmit </w:t>
      </w:r>
      <w:r>
        <w:t xml:space="preserve">their </w:t>
      </w:r>
      <w:r w:rsidR="00DF3E8C">
        <w:t>call sign</w:t>
      </w:r>
      <w:r>
        <w:t>s</w:t>
      </w:r>
      <w:r w:rsidR="00DF3E8C">
        <w:t>, subject to the requirement that the licensee</w:t>
      </w:r>
      <w:r>
        <w:t>s</w:t>
      </w:r>
      <w:r w:rsidR="00DF3E8C">
        <w:t xml:space="preserve"> provide the Commission with the means to decode the digital transmission.</w:t>
      </w:r>
      <w:r w:rsidR="00DF3E8C">
        <w:rPr>
          <w:rStyle w:val="FootnoteReference"/>
        </w:rPr>
        <w:footnoteReference w:id="62"/>
      </w:r>
      <w:r w:rsidR="00795681">
        <w:t xml:space="preserve"> </w:t>
      </w:r>
      <w:r w:rsidR="00082030">
        <w:t xml:space="preserve"> </w:t>
      </w:r>
      <w:r>
        <w:t>A</w:t>
      </w:r>
      <w:r w:rsidR="00795681">
        <w:t>dopting the same station identification rules for both RPU BAS and PLMRS</w:t>
      </w:r>
      <w:r w:rsidR="001001BB">
        <w:t xml:space="preserve"> stations</w:t>
      </w:r>
      <w:r w:rsidR="00795681">
        <w:t xml:space="preserve">, EIBASS argues, would enable RPU broadcasters to purchase </w:t>
      </w:r>
      <w:r w:rsidR="004F7836">
        <w:t>COTS</w:t>
      </w:r>
      <w:r w:rsidR="00795681">
        <w:t xml:space="preserve"> two-way radios </w:t>
      </w:r>
      <w:r w:rsidR="00A12565">
        <w:t>whose transmissions</w:t>
      </w:r>
      <w:r w:rsidR="00795681">
        <w:t xml:space="preserve"> </w:t>
      </w:r>
      <w:r w:rsidR="004F7836">
        <w:t>could</w:t>
      </w:r>
      <w:r w:rsidR="00795681">
        <w:t xml:space="preserve"> be universally decoded to identify interfering transmitters.</w:t>
      </w:r>
      <w:r w:rsidR="00795681">
        <w:rPr>
          <w:rStyle w:val="FootnoteReference"/>
        </w:rPr>
        <w:footnoteReference w:id="63"/>
      </w:r>
      <w:r w:rsidR="00795681">
        <w:t xml:space="preserve">   </w:t>
      </w:r>
      <w:r w:rsidR="00A82884">
        <w:t xml:space="preserve">Should we adopt the requirements proposed </w:t>
      </w:r>
      <w:r w:rsidR="00254DC2">
        <w:t>by the Commission in 2010 for PLMRS stations</w:t>
      </w:r>
      <w:r w:rsidR="00A82884">
        <w:t>, or should the Commission adopt a specific standard, such as the A/82 DRL standard?</w:t>
      </w:r>
      <w:r w:rsidR="00BA0BA7">
        <w:t xml:space="preserve">  Commenters should provide information on the costs and benefits </w:t>
      </w:r>
      <w:r w:rsidR="00A12565">
        <w:t xml:space="preserve">and advantages or disadvantages </w:t>
      </w:r>
      <w:r w:rsidR="00BA0BA7">
        <w:t>of the different approaches.</w:t>
      </w:r>
    </w:p>
    <w:p w:rsidR="00DF3E8C" w:rsidRDefault="00DF3E8C" w:rsidP="00C35604">
      <w:pPr>
        <w:pStyle w:val="Heading2"/>
      </w:pPr>
      <w:r>
        <w:t xml:space="preserve">100 </w:t>
      </w:r>
      <w:r w:rsidR="00F04FF2">
        <w:t xml:space="preserve">Kilohertz </w:t>
      </w:r>
      <w:r w:rsidR="00763DD9">
        <w:t xml:space="preserve">RPU </w:t>
      </w:r>
      <w:r>
        <w:t>Channels</w:t>
      </w:r>
    </w:p>
    <w:p w:rsidR="00EC5367" w:rsidRDefault="00CF65A4" w:rsidP="003E1F85">
      <w:pPr>
        <w:pStyle w:val="ParaNum"/>
      </w:pPr>
      <w:r>
        <w:t xml:space="preserve">Consistent with SBE’s request, we propose to modify Section </w:t>
      </w:r>
      <w:r w:rsidRPr="004660CB">
        <w:t>74.402</w:t>
      </w:r>
      <w:r>
        <w:t xml:space="preserve"> to eliminate a licensee’s ability to create 100 kilohertz </w:t>
      </w:r>
      <w:r w:rsidR="00763DD9">
        <w:t xml:space="preserve">RPU </w:t>
      </w:r>
      <w:r>
        <w:t xml:space="preserve">channels in the future.  </w:t>
      </w:r>
      <w:r w:rsidR="001F3D54">
        <w:t xml:space="preserve">Given the relatively small amount of spectrum available for RPU operations, </w:t>
      </w:r>
      <w:r w:rsidR="00B72D18">
        <w:t xml:space="preserve">and that the 100 kilohertz channels overlap the narrower channels, </w:t>
      </w:r>
      <w:r w:rsidR="001F3D54">
        <w:t xml:space="preserve">a license specifying 100 kilohertz bandwidth can make it difficult for other broadcasters to obtain spectrum for </w:t>
      </w:r>
      <w:r w:rsidR="00B72D18">
        <w:t xml:space="preserve">narrowband </w:t>
      </w:r>
      <w:r w:rsidR="001F3D54">
        <w:t>RPU operations</w:t>
      </w:r>
      <w:r w:rsidR="00B72D18">
        <w:t>, which are much more prevalent than 100 kilohertz operations</w:t>
      </w:r>
      <w:r w:rsidR="001F3D54">
        <w:t xml:space="preserve">.  </w:t>
      </w:r>
      <w:r w:rsidR="00C1768A">
        <w:t xml:space="preserve">We </w:t>
      </w:r>
      <w:r w:rsidR="004660CB">
        <w:t xml:space="preserve">note that in the past </w:t>
      </w:r>
      <w:r w:rsidR="00763DD9">
        <w:t>4</w:t>
      </w:r>
      <w:r w:rsidR="004660CB">
        <w:t xml:space="preserve"> years, the Wireless Telecommunications Bureau has </w:t>
      </w:r>
      <w:r w:rsidR="00C1768A">
        <w:t xml:space="preserve">received only </w:t>
      </w:r>
      <w:r w:rsidR="00763DD9">
        <w:t>1</w:t>
      </w:r>
      <w:r w:rsidR="00C1768A">
        <w:t xml:space="preserve"> application requesting authorization for a 100 </w:t>
      </w:r>
      <w:r w:rsidR="00F04FF2">
        <w:t xml:space="preserve">kilohertz </w:t>
      </w:r>
      <w:r w:rsidR="00C1768A">
        <w:t xml:space="preserve">bandwidth </w:t>
      </w:r>
      <w:r w:rsidR="00763DD9">
        <w:t xml:space="preserve">RPU </w:t>
      </w:r>
      <w:r w:rsidR="00C1768A">
        <w:t xml:space="preserve">channel.  </w:t>
      </w:r>
      <w:r w:rsidR="001F3D54">
        <w:t xml:space="preserve">Accordingly, there appears to be little need for licenses with 100 kilohertz channels.  </w:t>
      </w:r>
      <w:r w:rsidR="008A1CA3">
        <w:t xml:space="preserve">If we eliminate the ability to create </w:t>
      </w:r>
      <w:r w:rsidR="004F7836">
        <w:t>these</w:t>
      </w:r>
      <w:r w:rsidR="008A1CA3">
        <w:t xml:space="preserve"> channels, a</w:t>
      </w:r>
      <w:r w:rsidR="00C1768A">
        <w:t xml:space="preserve">pplicants </w:t>
      </w:r>
      <w:r w:rsidR="008A1CA3">
        <w:t xml:space="preserve">would still be able to apply </w:t>
      </w:r>
      <w:r w:rsidR="0026680E">
        <w:t>via</w:t>
      </w:r>
      <w:r w:rsidR="008A1CA3">
        <w:t xml:space="preserve"> a waiver of the rules</w:t>
      </w:r>
      <w:r w:rsidR="008A1CA3" w:rsidDel="008A1CA3">
        <w:t xml:space="preserve"> </w:t>
      </w:r>
      <w:r w:rsidR="008A1CA3">
        <w:t>to</w:t>
      </w:r>
      <w:r w:rsidR="00C1768A">
        <w:t xml:space="preserve"> </w:t>
      </w:r>
      <w:r w:rsidR="008A1CA3">
        <w:t xml:space="preserve">use </w:t>
      </w:r>
      <w:r w:rsidR="00C1768A">
        <w:t xml:space="preserve">100 </w:t>
      </w:r>
      <w:r w:rsidR="00F04FF2">
        <w:t xml:space="preserve">kilohertz </w:t>
      </w:r>
      <w:r w:rsidR="00C1768A">
        <w:t xml:space="preserve">channels. </w:t>
      </w:r>
      <w:r w:rsidR="008A1CA3">
        <w:t xml:space="preserve"> </w:t>
      </w:r>
      <w:r w:rsidR="00F721F5">
        <w:t>We emphasize that we are not proposing to change the rights of existing licensees with 100 kilohertz bandwidth</w:t>
      </w:r>
      <w:r w:rsidR="00763DD9">
        <w:t xml:space="preserve"> RPU channels</w:t>
      </w:r>
      <w:r w:rsidR="00F721F5">
        <w:t>.</w:t>
      </w:r>
      <w:r w:rsidR="00C1768A">
        <w:t xml:space="preserve">  </w:t>
      </w:r>
      <w:r w:rsidR="004660CB">
        <w:t>Instead, we propose to grandfather e</w:t>
      </w:r>
      <w:r w:rsidR="00C1768A">
        <w:t xml:space="preserve">xisting licensees </w:t>
      </w:r>
      <w:r w:rsidR="004660CB">
        <w:t xml:space="preserve">with 100 kilohertz </w:t>
      </w:r>
      <w:r w:rsidR="00763DD9">
        <w:t xml:space="preserve">RPU channel </w:t>
      </w:r>
      <w:r w:rsidR="004660CB">
        <w:t>authorizations</w:t>
      </w:r>
      <w:r w:rsidR="00763DD9">
        <w:t>.  These licensees</w:t>
      </w:r>
      <w:r w:rsidR="00C1768A">
        <w:t xml:space="preserve"> will be permitted to renew their authorizations indefinitely and will be allowed to make modifications to their existing authorization without affecting their grandfathered status. </w:t>
      </w:r>
      <w:r w:rsidR="004660CB">
        <w:t xml:space="preserve">  We seek comment on these proposals</w:t>
      </w:r>
      <w:r w:rsidR="001F3D54">
        <w:t>, as well as their associated costs and benefits</w:t>
      </w:r>
      <w:r w:rsidR="004660CB">
        <w:t>.</w:t>
      </w:r>
    </w:p>
    <w:p w:rsidR="00795681" w:rsidRDefault="00811747" w:rsidP="00C35604">
      <w:pPr>
        <w:pStyle w:val="Heading1"/>
      </w:pPr>
      <w:bookmarkStart w:id="463" w:name="_Toc322935352"/>
      <w:r>
        <w:t xml:space="preserve">ORDER - </w:t>
      </w:r>
      <w:r w:rsidR="00795681">
        <w:t>Waiver request</w:t>
      </w:r>
      <w:bookmarkEnd w:id="463"/>
    </w:p>
    <w:p w:rsidR="00795681" w:rsidRDefault="004D71F7" w:rsidP="003E1F85">
      <w:pPr>
        <w:pStyle w:val="ParaNum"/>
      </w:pPr>
      <w:r>
        <w:t xml:space="preserve">As noted above, </w:t>
      </w:r>
      <w:r w:rsidR="00795681">
        <w:t>SBE also seeks a temporary waiver of Section 74.462 of the Commission’s Rules to permit broadcasters to use FCC</w:t>
      </w:r>
      <w:r w:rsidR="001E73C4">
        <w:t>-</w:t>
      </w:r>
      <w:r w:rsidR="00795681">
        <w:t>certified narrowband VHF and UHF RPU equipment, such as TDMA technology or NXDN technology</w:t>
      </w:r>
      <w:r w:rsidR="00CA57A8">
        <w:t>,</w:t>
      </w:r>
      <w:r w:rsidR="00795681">
        <w:t xml:space="preserve"> in the VHF and UHF </w:t>
      </w:r>
      <w:r w:rsidR="00CA57A8">
        <w:t xml:space="preserve">RPU </w:t>
      </w:r>
      <w:r w:rsidR="00763DD9">
        <w:t>B</w:t>
      </w:r>
      <w:r w:rsidR="00795681">
        <w:t xml:space="preserve">ands while the </w:t>
      </w:r>
      <w:r w:rsidR="00F721F5">
        <w:t xml:space="preserve">rulemaking </w:t>
      </w:r>
      <w:r w:rsidR="00795681">
        <w:t>is pending.</w:t>
      </w:r>
      <w:r w:rsidR="00795681">
        <w:rPr>
          <w:rStyle w:val="FootnoteReference"/>
        </w:rPr>
        <w:footnoteReference w:id="64"/>
      </w:r>
      <w:r w:rsidR="00795681">
        <w:t xml:space="preserve">  The Commission</w:t>
      </w:r>
      <w:r w:rsidR="001F3D54">
        <w:t>’s rules provide</w:t>
      </w:r>
      <w:r w:rsidR="00795681">
        <w:t xml:space="preserve"> that w</w:t>
      </w:r>
      <w:r w:rsidR="00795681" w:rsidRPr="0009046A">
        <w:t xml:space="preserve">aivers will be granted if </w:t>
      </w:r>
      <w:r w:rsidR="00795681">
        <w:t xml:space="preserve">the petitioner shows </w:t>
      </w:r>
      <w:r w:rsidR="00795681" w:rsidRPr="0009046A">
        <w:t>that: (i) the underlying purpose of the rules(s) would not be served or would be frustrated by application to the instant case, and that a grant of the requested waiver would be in the public interest; or (ii) in view of the unique or unusual factual circumstances of the instant case, application of the rule(s) would be inequitable, unduly burdensome or contrary to the public interest, or the applicant has no reasonable alternative.</w:t>
      </w:r>
      <w:r w:rsidR="00795681" w:rsidRPr="0009046A">
        <w:rPr>
          <w:vertAlign w:val="superscript"/>
        </w:rPr>
        <w:footnoteReference w:id="65"/>
      </w:r>
      <w:r w:rsidR="00795681" w:rsidRPr="0009046A">
        <w:t xml:space="preserve">  </w:t>
      </w:r>
    </w:p>
    <w:p w:rsidR="00806331" w:rsidRDefault="00F721F5" w:rsidP="003E1F85">
      <w:pPr>
        <w:pStyle w:val="ParaNum"/>
      </w:pPr>
      <w:r>
        <w:t xml:space="preserve">We </w:t>
      </w:r>
      <w:r w:rsidR="004D71F7">
        <w:t xml:space="preserve">decline to grant a blanket waiver of Section 74.462 to permit use of digital </w:t>
      </w:r>
      <w:r w:rsidR="001F3D54">
        <w:t xml:space="preserve">emissions </w:t>
      </w:r>
      <w:r w:rsidR="004D71F7">
        <w:t xml:space="preserve">in the VHF and UHF </w:t>
      </w:r>
      <w:r w:rsidR="00CA57A8">
        <w:t xml:space="preserve">RPU </w:t>
      </w:r>
      <w:r w:rsidR="00763DD9">
        <w:t>B</w:t>
      </w:r>
      <w:r w:rsidR="004D71F7">
        <w:t xml:space="preserve">ands while this rulemaking is pending.  </w:t>
      </w:r>
      <w:r w:rsidR="00795681">
        <w:t xml:space="preserve">While we agree </w:t>
      </w:r>
      <w:r w:rsidR="00C36819">
        <w:t xml:space="preserve">with SBE </w:t>
      </w:r>
      <w:r w:rsidR="00795681">
        <w:t xml:space="preserve">that it </w:t>
      </w:r>
      <w:r w:rsidR="001F3D54">
        <w:t xml:space="preserve">appears to be </w:t>
      </w:r>
      <w:r w:rsidR="00795681">
        <w:t>in the public interest to</w:t>
      </w:r>
      <w:r w:rsidR="004D71F7">
        <w:t xml:space="preserve"> empower</w:t>
      </w:r>
      <w:r w:rsidR="00795681">
        <w:t xml:space="preserve"> RPU broadcasters to use </w:t>
      </w:r>
      <w:r w:rsidR="00C36819">
        <w:t xml:space="preserve">digital </w:t>
      </w:r>
      <w:r w:rsidR="004D71F7">
        <w:t xml:space="preserve">technologies, the instant rulemaking </w:t>
      </w:r>
      <w:r w:rsidR="001F3D54">
        <w:t xml:space="preserve">is designed to provide an opportunity for meaningful comment on this assessment and on </w:t>
      </w:r>
      <w:r w:rsidR="004D71F7">
        <w:t xml:space="preserve">important details about </w:t>
      </w:r>
      <w:r w:rsidR="001F3D54">
        <w:t xml:space="preserve">the implementation of </w:t>
      </w:r>
      <w:r w:rsidR="00C36819">
        <w:t xml:space="preserve">such digital operations.  For example, </w:t>
      </w:r>
      <w:r w:rsidR="00884418" w:rsidRPr="00884418">
        <w:t>it is not clear based on the current record how broadcasters using digital equipment w</w:t>
      </w:r>
      <w:r w:rsidR="00884418">
        <w:t>ill</w:t>
      </w:r>
      <w:r w:rsidR="00884418" w:rsidRPr="00884418">
        <w:t xml:space="preserve"> comply with the station identification requirement. </w:t>
      </w:r>
      <w:r w:rsidR="00CA57A8">
        <w:t xml:space="preserve"> </w:t>
      </w:r>
      <w:r w:rsidR="00884418" w:rsidRPr="00884418">
        <w:t xml:space="preserve">If we </w:t>
      </w:r>
      <w:r w:rsidR="003C6674">
        <w:t>were to grant</w:t>
      </w:r>
      <w:r w:rsidR="00884418" w:rsidRPr="00884418">
        <w:t xml:space="preserve"> a general waiver</w:t>
      </w:r>
      <w:r w:rsidR="00884418">
        <w:t xml:space="preserve">, </w:t>
      </w:r>
      <w:r w:rsidR="00884418" w:rsidRPr="00884418">
        <w:t>broadcasters</w:t>
      </w:r>
      <w:r w:rsidR="00884418">
        <w:t xml:space="preserve"> might </w:t>
      </w:r>
      <w:r w:rsidR="00884418" w:rsidRPr="00884418">
        <w:t xml:space="preserve">use any type of digital RPU equipment, </w:t>
      </w:r>
      <w:r w:rsidR="00884418">
        <w:t xml:space="preserve">some or all of which might be incompatible with the requirements that the </w:t>
      </w:r>
      <w:r w:rsidR="00884418" w:rsidRPr="00884418">
        <w:t xml:space="preserve">Commission </w:t>
      </w:r>
      <w:r w:rsidR="00884418">
        <w:t>ultimately adopt</w:t>
      </w:r>
      <w:r w:rsidR="003C6674">
        <w:t>s</w:t>
      </w:r>
      <w:r w:rsidR="00884418">
        <w:t>.  Therefore, until the Commission has establi</w:t>
      </w:r>
      <w:r w:rsidR="003C6674">
        <w:t xml:space="preserve">shed </w:t>
      </w:r>
      <w:r w:rsidR="00884418">
        <w:t>rules for implementation of digital technologies in the VHF and UHF</w:t>
      </w:r>
      <w:r w:rsidR="001F3D54">
        <w:t>, and perhaps HF</w:t>
      </w:r>
      <w:r w:rsidR="00BE2E29">
        <w:t xml:space="preserve"> RPU</w:t>
      </w:r>
      <w:r w:rsidR="00884418">
        <w:t xml:space="preserve"> </w:t>
      </w:r>
      <w:r w:rsidR="00763DD9">
        <w:t>Bands</w:t>
      </w:r>
      <w:r w:rsidR="00884418">
        <w:t>, we</w:t>
      </w:r>
      <w:r w:rsidR="00C36819">
        <w:t xml:space="preserve"> do not find it to be </w:t>
      </w:r>
      <w:r w:rsidR="00884418">
        <w:t>in the public interest to grant broadcasters a general waiver to do so</w:t>
      </w:r>
      <w:r w:rsidR="00C36819">
        <w:t>.</w:t>
      </w:r>
      <w:r w:rsidR="003C6674">
        <w:t xml:space="preserve">  </w:t>
      </w:r>
      <w:r w:rsidR="001F3D54">
        <w:t>Under these circumstances, w</w:t>
      </w:r>
      <w:r w:rsidR="003C6674">
        <w:t xml:space="preserve">e believe the better course of action is to proceed through the rulemaking process and establish rules that all broadcasters can rely on going forward.  </w:t>
      </w:r>
      <w:r w:rsidR="003C6674" w:rsidRPr="003C6674">
        <w:t xml:space="preserve">Our denial </w:t>
      </w:r>
      <w:r w:rsidR="003C6674">
        <w:t xml:space="preserve">of SBE’s request for a general waiver does not preclude </w:t>
      </w:r>
      <w:r w:rsidR="001F3D54">
        <w:t xml:space="preserve">a </w:t>
      </w:r>
      <w:r w:rsidR="003C6674">
        <w:t xml:space="preserve">broadcaster from </w:t>
      </w:r>
      <w:r w:rsidR="001F3D54">
        <w:t xml:space="preserve">invoking the Commission’s waiver rules in a specific case in order to request appropriate individualized relief.  Such cases will be considered on an </w:t>
      </w:r>
      <w:r w:rsidR="001F3D54">
        <w:rPr>
          <w:i/>
        </w:rPr>
        <w:t xml:space="preserve">ad hoc </w:t>
      </w:r>
      <w:r w:rsidR="001F3D54">
        <w:t>basis.</w:t>
      </w:r>
      <w:r w:rsidR="009D0AE5">
        <w:rPr>
          <w:rStyle w:val="FootnoteReference"/>
        </w:rPr>
        <w:footnoteReference w:id="66"/>
      </w:r>
      <w:r w:rsidR="001F3D54" w:rsidDel="001F3D54">
        <w:t xml:space="preserve">  </w:t>
      </w:r>
      <w:r w:rsidR="003C6674" w:rsidRPr="003C6674">
        <w:rPr>
          <w:rStyle w:val="FootnoteReference"/>
        </w:rPr>
        <w:t xml:space="preserve"> </w:t>
      </w:r>
    </w:p>
    <w:p w:rsidR="00795681" w:rsidRDefault="00795681" w:rsidP="00C35604">
      <w:pPr>
        <w:pStyle w:val="Heading1"/>
        <w:rPr>
          <w:szCs w:val="22"/>
        </w:rPr>
      </w:pPr>
      <w:bookmarkStart w:id="464" w:name="_Toc248739649"/>
      <w:bookmarkStart w:id="465" w:name="_Toc248740840"/>
      <w:bookmarkStart w:id="466" w:name="_Toc248803150"/>
      <w:bookmarkStart w:id="467" w:name="_Toc248804906"/>
      <w:bookmarkStart w:id="468" w:name="_Toc248814260"/>
      <w:bookmarkStart w:id="469" w:name="_Toc248909530"/>
      <w:bookmarkStart w:id="470" w:name="_Toc259178210"/>
      <w:bookmarkStart w:id="471" w:name="_Toc259178319"/>
      <w:bookmarkStart w:id="472" w:name="_Toc259779418"/>
      <w:bookmarkStart w:id="473" w:name="_Toc260058985"/>
      <w:bookmarkStart w:id="474" w:name="_Toc260125053"/>
      <w:bookmarkStart w:id="475" w:name="_Toc260135932"/>
      <w:bookmarkStart w:id="476" w:name="_Toc260388815"/>
      <w:bookmarkStart w:id="477" w:name="_Toc260905145"/>
      <w:bookmarkStart w:id="478" w:name="_Toc261507242"/>
      <w:bookmarkStart w:id="479" w:name="_Toc261585634"/>
      <w:bookmarkStart w:id="480" w:name="_Toc262717601"/>
      <w:bookmarkStart w:id="481" w:name="_Toc263400933"/>
      <w:bookmarkStart w:id="482" w:name="_Toc263688798"/>
      <w:bookmarkStart w:id="483" w:name="_Toc312236283"/>
      <w:bookmarkStart w:id="484" w:name="_Toc312237006"/>
      <w:bookmarkStart w:id="485" w:name="_Toc312237041"/>
      <w:bookmarkStart w:id="486" w:name="_Toc322935353"/>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sidRPr="00E909AD">
        <w:t>Procedural</w:t>
      </w:r>
      <w:r>
        <w:t xml:space="preserve"> </w:t>
      </w:r>
      <w:r w:rsidRPr="00E909AD">
        <w:t>Matters</w:t>
      </w:r>
      <w:bookmarkEnd w:id="329"/>
      <w:bookmarkEnd w:id="330"/>
      <w:bookmarkEnd w:id="331"/>
      <w:bookmarkEnd w:id="332"/>
      <w:bookmarkEnd w:id="333"/>
      <w:bookmarkEnd w:id="334"/>
      <w:bookmarkEnd w:id="335"/>
      <w:bookmarkEnd w:id="336"/>
      <w:bookmarkEnd w:id="337"/>
      <w:bookmarkEnd w:id="338"/>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Pr>
          <w:szCs w:val="22"/>
        </w:rPr>
        <w:t xml:space="preserve">  </w:t>
      </w:r>
    </w:p>
    <w:p w:rsidR="00795681" w:rsidRDefault="00795681" w:rsidP="00C35604">
      <w:pPr>
        <w:pStyle w:val="Heading2"/>
      </w:pPr>
      <w:bookmarkStart w:id="487" w:name="_Toc95896070"/>
      <w:bookmarkStart w:id="488" w:name="_Toc136832082"/>
      <w:bookmarkStart w:id="489" w:name="_Toc229825771"/>
      <w:bookmarkStart w:id="490" w:name="_Toc229878887"/>
      <w:bookmarkStart w:id="491" w:name="_Toc233770627"/>
      <w:bookmarkStart w:id="492" w:name="_Toc234049057"/>
      <w:bookmarkStart w:id="493" w:name="_Toc266446182"/>
      <w:bookmarkStart w:id="494" w:name="_Toc295647963"/>
      <w:bookmarkStart w:id="495" w:name="_Toc295658300"/>
      <w:bookmarkStart w:id="496" w:name="_Toc295828130"/>
      <w:bookmarkStart w:id="497" w:name="_Toc296412463"/>
      <w:bookmarkStart w:id="498" w:name="_Toc296526398"/>
      <w:bookmarkStart w:id="499" w:name="_Toc297101285"/>
      <w:bookmarkStart w:id="500" w:name="_Toc297197647"/>
      <w:bookmarkStart w:id="501" w:name="_Toc297197714"/>
      <w:bookmarkStart w:id="502" w:name="_Toc297197789"/>
      <w:bookmarkStart w:id="503" w:name="_Toc297197856"/>
      <w:bookmarkStart w:id="504" w:name="_Toc297627523"/>
      <w:bookmarkStart w:id="505" w:name="_Toc297627590"/>
      <w:bookmarkStart w:id="506" w:name="_Toc297627657"/>
      <w:bookmarkStart w:id="507" w:name="_Toc297627724"/>
      <w:bookmarkStart w:id="508" w:name="_Toc297728372"/>
      <w:bookmarkStart w:id="509" w:name="_Toc297728439"/>
      <w:bookmarkStart w:id="510" w:name="_Toc297728506"/>
      <w:bookmarkStart w:id="511" w:name="_Toc297728573"/>
      <w:bookmarkStart w:id="512" w:name="_Toc297728640"/>
      <w:bookmarkStart w:id="513" w:name="_Toc297728707"/>
      <w:bookmarkStart w:id="514" w:name="_Toc297728774"/>
      <w:bookmarkStart w:id="515" w:name="_Toc297728841"/>
      <w:bookmarkStart w:id="516" w:name="_Toc297728908"/>
      <w:bookmarkStart w:id="517" w:name="_Toc297734195"/>
      <w:bookmarkStart w:id="518" w:name="_Toc297734262"/>
      <w:bookmarkStart w:id="519" w:name="_Toc297905389"/>
      <w:bookmarkStart w:id="520" w:name="_Toc298771575"/>
      <w:bookmarkStart w:id="521" w:name="_Toc298771642"/>
      <w:bookmarkStart w:id="522" w:name="_Toc299689593"/>
      <w:bookmarkStart w:id="523" w:name="_Toc300328225"/>
      <w:bookmarkStart w:id="524" w:name="_Toc322935354"/>
      <w:bookmarkStart w:id="525" w:name="_Toc230683949"/>
      <w:bookmarkStart w:id="526" w:name="_Toc231534412"/>
      <w:bookmarkStart w:id="527" w:name="_Toc231535169"/>
      <w:bookmarkStart w:id="528" w:name="_Toc231549054"/>
      <w:bookmarkStart w:id="529" w:name="_Toc231610706"/>
      <w:bookmarkStart w:id="530" w:name="_Toc231619371"/>
      <w:bookmarkStart w:id="531" w:name="_Toc231687106"/>
      <w:bookmarkStart w:id="532" w:name="_Toc231705997"/>
      <w:bookmarkStart w:id="533" w:name="_Toc231706211"/>
      <w:bookmarkStart w:id="534" w:name="_Toc231707737"/>
      <w:bookmarkStart w:id="535" w:name="_Toc231812316"/>
      <w:bookmarkStart w:id="536" w:name="_Toc231873511"/>
      <w:bookmarkStart w:id="537" w:name="_Toc232214708"/>
      <w:bookmarkStart w:id="538" w:name="_Toc232219573"/>
      <w:bookmarkStart w:id="539" w:name="_Toc232307436"/>
      <w:bookmarkStart w:id="540" w:name="_Toc232388070"/>
      <w:bookmarkStart w:id="541" w:name="_Toc232392128"/>
      <w:bookmarkStart w:id="542" w:name="_Toc232397993"/>
      <w:bookmarkStart w:id="543" w:name="_Toc232399754"/>
      <w:bookmarkStart w:id="544" w:name="_Toc232400318"/>
      <w:bookmarkStart w:id="545" w:name="_Toc232400451"/>
      <w:bookmarkStart w:id="546" w:name="_Toc232403010"/>
      <w:bookmarkStart w:id="547" w:name="_Toc232404546"/>
      <w:bookmarkStart w:id="548" w:name="_Toc232406427"/>
      <w:bookmarkStart w:id="549" w:name="_Toc232408373"/>
      <w:bookmarkStart w:id="550" w:name="_Toc232410185"/>
      <w:bookmarkStart w:id="551" w:name="_Toc232410543"/>
      <w:bookmarkStart w:id="552" w:name="_Toc232411984"/>
      <w:bookmarkStart w:id="553" w:name="_Toc232412222"/>
      <w:bookmarkStart w:id="554" w:name="_Toc232419238"/>
      <w:bookmarkStart w:id="555" w:name="_Toc232421065"/>
      <w:bookmarkStart w:id="556" w:name="_Toc233442985"/>
      <w:bookmarkStart w:id="557" w:name="_Toc233443279"/>
      <w:bookmarkStart w:id="558" w:name="_Toc233450727"/>
      <w:bookmarkStart w:id="559" w:name="_Toc234125231"/>
      <w:bookmarkStart w:id="560" w:name="_Toc234806607"/>
      <w:bookmarkStart w:id="561" w:name="_Toc235253982"/>
      <w:bookmarkStart w:id="562" w:name="_Toc235499923"/>
      <w:bookmarkStart w:id="563" w:name="_Toc238548878"/>
      <w:bookmarkStart w:id="564" w:name="_Toc238549470"/>
      <w:bookmarkStart w:id="565" w:name="_Toc238612109"/>
      <w:bookmarkStart w:id="566" w:name="_Toc238612296"/>
      <w:bookmarkStart w:id="567" w:name="_Toc238612703"/>
      <w:bookmarkStart w:id="568" w:name="_Toc245199533"/>
      <w:bookmarkStart w:id="569" w:name="_Toc245202262"/>
      <w:bookmarkStart w:id="570" w:name="_Toc248739650"/>
      <w:bookmarkStart w:id="571" w:name="_Toc248740841"/>
      <w:bookmarkStart w:id="572" w:name="_Toc248803151"/>
      <w:bookmarkStart w:id="573" w:name="_Toc248804907"/>
      <w:bookmarkStart w:id="574" w:name="_Toc248814261"/>
      <w:bookmarkStart w:id="575" w:name="_Toc248909531"/>
      <w:bookmarkStart w:id="576" w:name="_Toc259178211"/>
      <w:bookmarkStart w:id="577" w:name="_Toc259178320"/>
      <w:bookmarkStart w:id="578" w:name="_Toc259779419"/>
      <w:bookmarkStart w:id="579" w:name="_Toc260058986"/>
      <w:bookmarkStart w:id="580" w:name="_Toc260125054"/>
      <w:bookmarkStart w:id="581" w:name="_Toc260135933"/>
      <w:bookmarkStart w:id="582" w:name="_Toc260388816"/>
      <w:bookmarkStart w:id="583" w:name="_Toc260905146"/>
      <w:bookmarkStart w:id="584" w:name="_Toc261507243"/>
      <w:bookmarkStart w:id="585" w:name="_Toc261585635"/>
      <w:bookmarkStart w:id="586" w:name="_Toc262717602"/>
      <w:bookmarkStart w:id="587" w:name="_Toc263400934"/>
      <w:bookmarkStart w:id="588" w:name="_Toc263688799"/>
      <w:bookmarkStart w:id="589" w:name="_Toc312236284"/>
      <w:bookmarkStart w:id="590" w:name="_Toc312237007"/>
      <w:bookmarkStart w:id="591" w:name="_Toc312237042"/>
      <w:r>
        <w:rPr>
          <w:i/>
        </w:rPr>
        <w:t xml:space="preserve">Ex Parte </w:t>
      </w:r>
      <w:r>
        <w:t>Rules – Permit-But-Disclose</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rsidR="00795681" w:rsidRDefault="005C7B6A" w:rsidP="003E1F85">
      <w:pPr>
        <w:pStyle w:val="ParaNum"/>
      </w:pPr>
      <w:r>
        <w:t>Pursuant to Section 1.1200(a) of the Commission’s rules,</w:t>
      </w:r>
      <w:r>
        <w:rPr>
          <w:rStyle w:val="FootnoteReference"/>
        </w:rPr>
        <w:footnoteReference w:id="67"/>
      </w:r>
      <w:r>
        <w:t xml:space="preserve"> this </w:t>
      </w:r>
      <w:r>
        <w:rPr>
          <w:i/>
        </w:rPr>
        <w:t>Notice of Proposed Rulemaking and Order</w:t>
      </w:r>
      <w:r w:rsidR="00795681">
        <w:t xml:space="preserve"> shall be treated as a “permit-but-disclose” proceeding in accordance with the Commission’s </w:t>
      </w:r>
      <w:r w:rsidR="00795681">
        <w:rPr>
          <w:i/>
        </w:rPr>
        <w:t xml:space="preserve">ex parte </w:t>
      </w:r>
      <w:r w:rsidR="00795681">
        <w:t>rules.</w:t>
      </w:r>
      <w:r w:rsidR="00795681">
        <w:rPr>
          <w:rStyle w:val="FootnoteReference"/>
        </w:rPr>
        <w:footnoteReference w:id="68"/>
      </w:r>
      <w:r w:rsidR="00795681">
        <w:t xml:space="preserve">  Persons making </w:t>
      </w:r>
      <w:r w:rsidR="00795681">
        <w:rPr>
          <w:i/>
        </w:rPr>
        <w:t xml:space="preserve">ex parte </w:t>
      </w:r>
      <w:r w:rsidR="0079568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795681">
        <w:rPr>
          <w:i/>
        </w:rPr>
        <w:t xml:space="preserve">ex parte </w:t>
      </w:r>
      <w:r w:rsidR="00795681">
        <w:t xml:space="preserve">presentations are reminded that memoranda summarizing the presentation must (1) list all persons attending or otherwise participating in the meeting at which the </w:t>
      </w:r>
      <w:r w:rsidR="00795681">
        <w:rPr>
          <w:i/>
        </w:rPr>
        <w:t xml:space="preserve">ex parte </w:t>
      </w:r>
      <w:r w:rsidR="0079568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795681">
        <w:rPr>
          <w:i/>
        </w:rPr>
        <w:t xml:space="preserve">ex parte </w:t>
      </w:r>
      <w:r w:rsidR="00795681">
        <w:t xml:space="preserve">meetings are deemed to be written </w:t>
      </w:r>
      <w:r w:rsidR="00795681">
        <w:rPr>
          <w:i/>
        </w:rPr>
        <w:t>ex parte</w:t>
      </w:r>
      <w:r w:rsidR="00795681">
        <w:t xml:space="preserve"> presentations and must be filed consistent with rule 1.1206(b).  In proceedings governed by rule 1.49(f) or for which the Commission has made available a method of electronic filing, written </w:t>
      </w:r>
      <w:r w:rsidR="00795681">
        <w:rPr>
          <w:i/>
        </w:rPr>
        <w:t xml:space="preserve">ex parte </w:t>
      </w:r>
      <w:r w:rsidR="00795681">
        <w:t xml:space="preserve">presentations and memoranda summarizing oral </w:t>
      </w:r>
      <w:r w:rsidR="00795681">
        <w:rPr>
          <w:i/>
        </w:rPr>
        <w:t xml:space="preserve">ex parte </w:t>
      </w:r>
      <w:r w:rsidR="00795681">
        <w:t>presentations, and all attachments thereto, must be filed through the electronic comment filing system available for that proceeding, and must be filed in their native format (</w:t>
      </w:r>
      <w:r w:rsidR="00795681">
        <w:rPr>
          <w:i/>
          <w:iCs/>
        </w:rPr>
        <w:t>e.g.</w:t>
      </w:r>
      <w:r w:rsidR="00795681">
        <w:t xml:space="preserve">, .doc, .xml, .ppt, searchable .pdf).  Participants in this proceeding should familiarize themselves with the Commission’s </w:t>
      </w:r>
      <w:r w:rsidR="00795681">
        <w:rPr>
          <w:i/>
          <w:iCs/>
        </w:rPr>
        <w:t xml:space="preserve">ex parte </w:t>
      </w:r>
      <w:r w:rsidR="00795681">
        <w:t>rules.</w:t>
      </w:r>
    </w:p>
    <w:p w:rsidR="00795681" w:rsidRDefault="00795681" w:rsidP="00C35604">
      <w:pPr>
        <w:pStyle w:val="Heading2"/>
      </w:pPr>
      <w:bookmarkStart w:id="592" w:name="_Toc509145800"/>
      <w:bookmarkStart w:id="593" w:name="_Toc509145911"/>
      <w:bookmarkStart w:id="594" w:name="_Toc509307381"/>
      <w:bookmarkStart w:id="595" w:name="_Toc509643557"/>
      <w:bookmarkStart w:id="596" w:name="_Toc509667157"/>
      <w:bookmarkStart w:id="597" w:name="_Toc509815940"/>
      <w:bookmarkStart w:id="598" w:name="_Toc509921151"/>
      <w:bookmarkStart w:id="599" w:name="_Toc28420449"/>
      <w:bookmarkStart w:id="600" w:name="_Toc28421743"/>
      <w:bookmarkStart w:id="601" w:name="_Toc28422064"/>
      <w:bookmarkStart w:id="602" w:name="_Toc28422518"/>
      <w:bookmarkStart w:id="603" w:name="_Toc28422696"/>
      <w:bookmarkStart w:id="604" w:name="_Toc28423363"/>
      <w:bookmarkStart w:id="605" w:name="_Toc28479163"/>
      <w:bookmarkStart w:id="606" w:name="_Toc28479346"/>
      <w:bookmarkStart w:id="607" w:name="_Toc28479432"/>
      <w:bookmarkStart w:id="608" w:name="_Toc28493099"/>
      <w:bookmarkStart w:id="609" w:name="_Toc28493294"/>
      <w:bookmarkStart w:id="610" w:name="_Toc30470456"/>
      <w:bookmarkStart w:id="611" w:name="_Toc31192072"/>
      <w:bookmarkStart w:id="612" w:name="_Toc31193070"/>
      <w:bookmarkStart w:id="613" w:name="_Toc31195364"/>
      <w:bookmarkStart w:id="614" w:name="_Toc32118303"/>
      <w:bookmarkStart w:id="615" w:name="_Toc32107201"/>
      <w:bookmarkStart w:id="616" w:name="_Toc33614946"/>
      <w:bookmarkStart w:id="617" w:name="_Toc34629893"/>
      <w:bookmarkStart w:id="618" w:name="_Toc35172914"/>
      <w:bookmarkStart w:id="619" w:name="_Toc35252689"/>
      <w:bookmarkStart w:id="620" w:name="_Toc35397613"/>
      <w:bookmarkStart w:id="621" w:name="_Toc35746549"/>
      <w:bookmarkStart w:id="622" w:name="_Toc35748944"/>
      <w:bookmarkStart w:id="623" w:name="_Toc67996430"/>
      <w:bookmarkStart w:id="624" w:name="_Toc72032946"/>
      <w:bookmarkStart w:id="625" w:name="_Toc74547558"/>
      <w:bookmarkStart w:id="626" w:name="_Toc76295489"/>
      <w:bookmarkStart w:id="627" w:name="_Toc76893278"/>
      <w:bookmarkStart w:id="628" w:name="_Toc162762853"/>
      <w:bookmarkStart w:id="629" w:name="_Toc162835595"/>
      <w:bookmarkStart w:id="630" w:name="_Toc162918162"/>
      <w:bookmarkStart w:id="631" w:name="_Toc164831262"/>
      <w:bookmarkStart w:id="632" w:name="_Toc169426153"/>
      <w:bookmarkStart w:id="633" w:name="_Toc174249344"/>
      <w:bookmarkStart w:id="634" w:name="_Toc266709537"/>
      <w:bookmarkStart w:id="635" w:name="_Toc272152512"/>
      <w:bookmarkStart w:id="636" w:name="_Toc272309475"/>
      <w:bookmarkStart w:id="637" w:name="_Toc288478305"/>
      <w:bookmarkStart w:id="638" w:name="_Toc288478903"/>
      <w:bookmarkStart w:id="639" w:name="_Toc288720481"/>
      <w:bookmarkStart w:id="640" w:name="_Toc288721581"/>
      <w:bookmarkStart w:id="641" w:name="_Toc290643855"/>
      <w:bookmarkStart w:id="642" w:name="_Toc294619685"/>
      <w:bookmarkStart w:id="643" w:name="_Toc295470917"/>
      <w:bookmarkStart w:id="644" w:name="_Toc295471047"/>
      <w:bookmarkStart w:id="645" w:name="_Toc295647964"/>
      <w:bookmarkStart w:id="646" w:name="_Toc295658301"/>
      <w:bookmarkStart w:id="647" w:name="_Toc295828131"/>
      <w:bookmarkStart w:id="648" w:name="_Toc296412464"/>
      <w:bookmarkStart w:id="649" w:name="_Toc296526399"/>
      <w:bookmarkStart w:id="650" w:name="_Toc297101286"/>
      <w:bookmarkStart w:id="651" w:name="_Toc297197648"/>
      <w:bookmarkStart w:id="652" w:name="_Toc297197715"/>
      <w:bookmarkStart w:id="653" w:name="_Toc297197790"/>
      <w:bookmarkStart w:id="654" w:name="_Toc297197857"/>
      <w:bookmarkStart w:id="655" w:name="_Toc297627524"/>
      <w:bookmarkStart w:id="656" w:name="_Toc297627591"/>
      <w:bookmarkStart w:id="657" w:name="_Toc297627658"/>
      <w:bookmarkStart w:id="658" w:name="_Toc297627725"/>
      <w:bookmarkStart w:id="659" w:name="_Toc297728373"/>
      <w:bookmarkStart w:id="660" w:name="_Toc297728440"/>
      <w:bookmarkStart w:id="661" w:name="_Toc297728507"/>
      <w:bookmarkStart w:id="662" w:name="_Toc297728574"/>
      <w:bookmarkStart w:id="663" w:name="_Toc297728641"/>
      <w:bookmarkStart w:id="664" w:name="_Toc297728708"/>
      <w:bookmarkStart w:id="665" w:name="_Toc297728775"/>
      <w:bookmarkStart w:id="666" w:name="_Toc297728842"/>
      <w:bookmarkStart w:id="667" w:name="_Toc297728909"/>
      <w:bookmarkStart w:id="668" w:name="_Toc297734196"/>
      <w:bookmarkStart w:id="669" w:name="_Toc297734263"/>
      <w:bookmarkStart w:id="670" w:name="_Toc297905390"/>
      <w:bookmarkStart w:id="671" w:name="_Toc298771576"/>
      <w:bookmarkStart w:id="672" w:name="_Toc298771643"/>
      <w:bookmarkStart w:id="673" w:name="_Toc299689594"/>
      <w:bookmarkStart w:id="674" w:name="_Toc300328226"/>
      <w:bookmarkStart w:id="675" w:name="_Toc322935355"/>
      <w:r>
        <w:t>Comment Period and Procedures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rsidR="00C774C1" w:rsidRDefault="00795681" w:rsidP="003E1F85">
      <w:pPr>
        <w:pStyle w:val="ParaNum"/>
      </w:pPr>
      <w:r>
        <w:t>Pursuant to sections 1.415 and 1.419 of the Commission’s rules, 47 CFR §§ 1.415, 1.419, interested parties may file comments and reply comments on or before the dates indicated on the first page of this document</w:t>
      </w:r>
      <w:r w:rsidR="00C774C1" w:rsidRPr="00C774C1">
        <w:t>.</w:t>
      </w:r>
    </w:p>
    <w:p w:rsidR="00795681" w:rsidRDefault="00795681" w:rsidP="003E1F85">
      <w:pPr>
        <w:pStyle w:val="ParaNum"/>
      </w:pPr>
      <w:r>
        <w:t xml:space="preserve">Comments may be filed using the Commission’s Electronic Comment Filing System (ECFS).  </w:t>
      </w:r>
      <w:r>
        <w:rPr>
          <w:i/>
        </w:rPr>
        <w:t>See Electronic Filing of Documents in Rulemaking Proceedings</w:t>
      </w:r>
      <w:r>
        <w:t>, 63 FR 24121 (1998).</w:t>
      </w:r>
    </w:p>
    <w:p w:rsidR="00795681" w:rsidRDefault="00795681" w:rsidP="007C0D58">
      <w:pPr>
        <w:widowControl/>
        <w:numPr>
          <w:ilvl w:val="0"/>
          <w:numId w:val="13"/>
        </w:numPr>
      </w:pPr>
      <w:r>
        <w:t xml:space="preserve">Electronic Filers:  Comments may be filed electronically using the Internet by accessing the ECFS:  </w:t>
      </w:r>
      <w:hyperlink r:id="rId8" w:history="1">
        <w:r>
          <w:rPr>
            <w:rStyle w:val="Hyperlink"/>
          </w:rPr>
          <w:t>http://fjallfoss.fcc.gov/ecfs2/</w:t>
        </w:r>
      </w:hyperlink>
      <w:r>
        <w:t xml:space="preserve">.  </w:t>
      </w:r>
    </w:p>
    <w:p w:rsidR="00795681" w:rsidRDefault="00795681" w:rsidP="007C0D58">
      <w:pPr>
        <w:widowControl/>
      </w:pPr>
    </w:p>
    <w:p w:rsidR="00795681" w:rsidRDefault="00795681" w:rsidP="007C0D58">
      <w:pPr>
        <w:widowControl/>
        <w:numPr>
          <w:ilvl w:val="0"/>
          <w:numId w:val="11"/>
        </w:numPr>
      </w:pPr>
      <w: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795681" w:rsidRDefault="00795681" w:rsidP="007C0D58">
      <w:pPr>
        <w:widowControl/>
      </w:pPr>
    </w:p>
    <w:p w:rsidR="00795681" w:rsidRDefault="00795681" w:rsidP="007C0D58">
      <w:pPr>
        <w:widowControl/>
        <w:ind w:left="720"/>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795681" w:rsidRDefault="00795681" w:rsidP="007C0D58">
      <w:pPr>
        <w:widowControl/>
      </w:pPr>
    </w:p>
    <w:p w:rsidR="00795681" w:rsidRDefault="00795681" w:rsidP="007C0D58">
      <w:pPr>
        <w:widowControl/>
        <w:numPr>
          <w:ilvl w:val="0"/>
          <w:numId w:val="12"/>
        </w:numPr>
      </w:pPr>
      <w:r>
        <w:t xml:space="preserve">All hand-delivered or messenger-delivered paper filings for the Commission’s Secretary must be delivered to FCC Headquarters at </w:t>
      </w:r>
      <w:smartTag w:uri="urn:schemas-microsoft-com:office:smarttags" w:element="Street">
        <w:smartTag w:uri="urn:schemas-microsoft-com:office:smarttags" w:element="address">
          <w:r>
            <w:t>445 12</w:t>
          </w:r>
          <w:r>
            <w:rPr>
              <w:vertAlign w:val="superscript"/>
            </w:rPr>
            <w:t>th</w:t>
          </w:r>
          <w:r>
            <w:t xml:space="preserve"> St., SW</w:t>
          </w:r>
        </w:smartTag>
      </w:smartTag>
      <w:r>
        <w:t xml:space="preserve">, Room TW-A325,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20554</w:t>
          </w:r>
        </w:smartTag>
      </w:smartTag>
      <w:r>
        <w:t xml:space="preserve">.  The filing hours are 8:00 a.m. to 7:00 p.m.   All hand deliveries must be held together with rubber bands or fasteners.  Any envelopes and boxes must be disposed of </w:t>
      </w:r>
      <w:r>
        <w:rPr>
          <w:u w:val="single"/>
        </w:rPr>
        <w:t>before</w:t>
      </w:r>
      <w:r>
        <w:t xml:space="preserve"> entering the building.  </w:t>
      </w:r>
    </w:p>
    <w:p w:rsidR="00795681" w:rsidRDefault="00795681" w:rsidP="007C0D58">
      <w:pPr>
        <w:widowControl/>
        <w:ind w:left="1080"/>
      </w:pPr>
    </w:p>
    <w:p w:rsidR="00795681" w:rsidRDefault="00795681" w:rsidP="007C0D58">
      <w:pPr>
        <w:widowControl/>
        <w:numPr>
          <w:ilvl w:val="0"/>
          <w:numId w:val="12"/>
        </w:numPr>
      </w:pPr>
      <w:r>
        <w:t xml:space="preserve">Commercial overnight mail (other than U.S. Postal Service Express Mail and Priority Mail) must be sent to </w:t>
      </w:r>
      <w:smartTag w:uri="urn:schemas-microsoft-com:office:smarttags" w:element="address">
        <w:smartTag w:uri="urn:schemas-microsoft-com:office:smarttags" w:element="Street">
          <w:r>
            <w:t>9300 East Hampton Drive</w:t>
          </w:r>
        </w:smartTag>
        <w:r>
          <w:t xml:space="preserve">, </w:t>
        </w:r>
        <w:smartTag w:uri="urn:schemas-microsoft-com:office:smarttags" w:element="City">
          <w:r>
            <w:t>Capitol Heights</w:t>
          </w:r>
        </w:smartTag>
        <w:r>
          <w:t xml:space="preserve">, </w:t>
        </w:r>
        <w:smartTag w:uri="urn:schemas-microsoft-com:office:smarttags" w:element="State">
          <w:r>
            <w:t>MD</w:t>
          </w:r>
        </w:smartTag>
        <w:r>
          <w:t xml:space="preserve">  </w:t>
        </w:r>
        <w:smartTag w:uri="urn:schemas-microsoft-com:office:smarttags" w:element="PostalCode">
          <w:r>
            <w:t>20743</w:t>
          </w:r>
        </w:smartTag>
      </w:smartTag>
      <w:r>
        <w:t>.</w:t>
      </w:r>
    </w:p>
    <w:p w:rsidR="00795681" w:rsidRDefault="00795681" w:rsidP="007C0D58">
      <w:pPr>
        <w:widowControl/>
      </w:pPr>
    </w:p>
    <w:p w:rsidR="00795681" w:rsidRDefault="00795681" w:rsidP="007C0D58">
      <w:pPr>
        <w:widowControl/>
        <w:numPr>
          <w:ilvl w:val="0"/>
          <w:numId w:val="12"/>
        </w:numPr>
      </w:pPr>
      <w:r>
        <w:t xml:space="preserve">U.S. Postal Service first-class, Express, and Priority mail must be addressed to </w:t>
      </w:r>
      <w:smartTag w:uri="urn:schemas-microsoft-com:office:smarttags" w:element="address">
        <w:smartTag w:uri="urn:schemas-microsoft-com:office:smarttags" w:element="Street">
          <w:r>
            <w:t>445 12</w:t>
          </w:r>
          <w:r>
            <w:rPr>
              <w:vertAlign w:val="superscript"/>
            </w:rPr>
            <w:t>th</w:t>
          </w:r>
          <w:r>
            <w:t xml:space="preserve"> Street, SW</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20554</w:t>
          </w:r>
        </w:smartTag>
      </w:smartTag>
      <w:r>
        <w:t>.</w:t>
      </w:r>
    </w:p>
    <w:p w:rsidR="00795681" w:rsidRDefault="00795681" w:rsidP="007C0D58">
      <w:pPr>
        <w:widowControl/>
      </w:pPr>
    </w:p>
    <w:p w:rsidR="00C774C1" w:rsidRPr="00C774C1" w:rsidRDefault="00795681" w:rsidP="00E4172F">
      <w:pPr>
        <w:widowControl/>
        <w:spacing w:after="220"/>
      </w:pPr>
      <w:r>
        <w:t xml:space="preserve">People with Disabilities:  To request materials in accessible formats for people with disabilities (braille, large print, electronic files, audio format), send an e-mail to </w:t>
      </w:r>
      <w:hyperlink r:id="rId9" w:history="1">
        <w:r>
          <w:rPr>
            <w:rStyle w:val="Hyperlink"/>
          </w:rPr>
          <w:t>fcc504@fcc.gov</w:t>
        </w:r>
      </w:hyperlink>
      <w:r>
        <w:t xml:space="preserve"> or call the Consumer &amp; Governmental Affairs Bureau at 202-418-0530 (voice), 202-418-0432 (tty).</w:t>
      </w:r>
    </w:p>
    <w:p w:rsidR="00795681" w:rsidRDefault="00795681" w:rsidP="00C35604">
      <w:pPr>
        <w:pStyle w:val="Heading2"/>
      </w:pPr>
      <w:bookmarkStart w:id="676" w:name="_Toc272152513"/>
      <w:bookmarkStart w:id="677" w:name="_Toc272309477"/>
      <w:bookmarkStart w:id="678" w:name="_Toc288478307"/>
      <w:bookmarkStart w:id="679" w:name="_Toc288478905"/>
      <w:bookmarkStart w:id="680" w:name="_Toc288720483"/>
      <w:bookmarkStart w:id="681" w:name="_Toc288721583"/>
      <w:bookmarkStart w:id="682" w:name="_Toc290643857"/>
      <w:bookmarkStart w:id="683" w:name="_Toc294619687"/>
      <w:bookmarkStart w:id="684" w:name="_Toc295470919"/>
      <w:bookmarkStart w:id="685" w:name="_Toc295471049"/>
      <w:bookmarkStart w:id="686" w:name="_Toc295647966"/>
      <w:bookmarkStart w:id="687" w:name="_Toc295658303"/>
      <w:bookmarkStart w:id="688" w:name="_Toc295828133"/>
      <w:bookmarkStart w:id="689" w:name="_Toc296412466"/>
      <w:bookmarkStart w:id="690" w:name="_Toc296526401"/>
      <w:bookmarkStart w:id="691" w:name="_Toc297101288"/>
      <w:bookmarkStart w:id="692" w:name="_Toc297197650"/>
      <w:bookmarkStart w:id="693" w:name="_Toc297197717"/>
      <w:bookmarkStart w:id="694" w:name="_Toc297197792"/>
      <w:bookmarkStart w:id="695" w:name="_Toc297197859"/>
      <w:bookmarkStart w:id="696" w:name="_Toc297627526"/>
      <w:bookmarkStart w:id="697" w:name="_Toc297627593"/>
      <w:bookmarkStart w:id="698" w:name="_Toc297627660"/>
      <w:bookmarkStart w:id="699" w:name="_Toc297627727"/>
      <w:bookmarkStart w:id="700" w:name="_Toc297728375"/>
      <w:bookmarkStart w:id="701" w:name="_Toc297728442"/>
      <w:bookmarkStart w:id="702" w:name="_Toc297728509"/>
      <w:bookmarkStart w:id="703" w:name="_Toc297728576"/>
      <w:bookmarkStart w:id="704" w:name="_Toc297728643"/>
      <w:bookmarkStart w:id="705" w:name="_Toc297728710"/>
      <w:bookmarkStart w:id="706" w:name="_Toc297728777"/>
      <w:bookmarkStart w:id="707" w:name="_Toc297728844"/>
      <w:bookmarkStart w:id="708" w:name="_Toc297728911"/>
      <w:bookmarkStart w:id="709" w:name="_Toc297734198"/>
      <w:bookmarkStart w:id="710" w:name="_Toc297734265"/>
      <w:bookmarkStart w:id="711" w:name="_Toc297905392"/>
      <w:bookmarkStart w:id="712" w:name="_Toc298771578"/>
      <w:bookmarkStart w:id="713" w:name="_Toc298771645"/>
      <w:bookmarkStart w:id="714" w:name="_Toc299689596"/>
      <w:bookmarkStart w:id="715" w:name="_Toc300328228"/>
      <w:bookmarkStart w:id="716" w:name="_Toc322935356"/>
      <w:bookmarkStart w:id="717" w:name="_Toc119314888"/>
      <w:bookmarkStart w:id="718" w:name="_Toc119754046"/>
      <w:bookmarkStart w:id="719" w:name="_Toc119754820"/>
      <w:bookmarkStart w:id="720" w:name="_Toc119818397"/>
      <w:bookmarkStart w:id="721" w:name="_Toc119986082"/>
      <w:bookmarkStart w:id="722" w:name="_Toc120423886"/>
      <w:bookmarkStart w:id="723" w:name="_Toc120424121"/>
      <w:bookmarkStart w:id="724" w:name="_Toc121632986"/>
      <w:bookmarkStart w:id="725" w:name="_Toc127261176"/>
      <w:bookmarkStart w:id="726" w:name="_Toc127261303"/>
      <w:bookmarkStart w:id="727" w:name="_Toc130622082"/>
      <w:bookmarkStart w:id="728" w:name="_Toc130622203"/>
      <w:bookmarkStart w:id="729" w:name="_Toc130629934"/>
      <w:bookmarkStart w:id="730" w:name="_Toc130711859"/>
      <w:bookmarkStart w:id="731" w:name="_Toc130717940"/>
      <w:bookmarkStart w:id="732" w:name="_Toc130790456"/>
      <w:bookmarkStart w:id="733" w:name="_Toc130808171"/>
      <w:bookmarkStart w:id="734" w:name="_Toc132275633"/>
      <w:bookmarkStart w:id="735" w:name="_Toc132504620"/>
      <w:bookmarkStart w:id="736" w:name="_Toc132505088"/>
      <w:bookmarkStart w:id="737" w:name="_Toc132513085"/>
      <w:bookmarkStart w:id="738" w:name="_Toc132552472"/>
      <w:bookmarkStart w:id="739" w:name="_Toc133054371"/>
      <w:bookmarkStart w:id="740" w:name="_Toc133650423"/>
      <w:bookmarkStart w:id="741" w:name="_Toc266709538"/>
      <w:r>
        <w:t>Initial Regulatory Flexibility Analysis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rsidR="00795681" w:rsidRDefault="00795681" w:rsidP="003E1F85">
      <w:pPr>
        <w:pStyle w:val="ParaNum"/>
      </w:pPr>
      <w:r>
        <w:t>As required by the Regulatory Flexibility Act of 1980 (RFA),</w:t>
      </w:r>
      <w:r>
        <w:rPr>
          <w:vertAlign w:val="superscript"/>
        </w:rPr>
        <w:footnoteReference w:id="69"/>
      </w:r>
      <w:r>
        <w:rPr>
          <w:vertAlign w:val="superscript"/>
        </w:rPr>
        <w:t xml:space="preserve"> </w:t>
      </w:r>
      <w:r>
        <w:t xml:space="preserve">the Commission has prepared an Initial Regulatory Flexibility Analysis (IRFA) of the possible significant economic impact on small entities of the policies and rules proposed in the </w:t>
      </w:r>
      <w:r>
        <w:rPr>
          <w:i/>
        </w:rPr>
        <w:t>Notice of Proposed Rulemaking</w:t>
      </w:r>
      <w:r>
        <w:t>.  The</w:t>
      </w:r>
      <w:r w:rsidR="00C774C1">
        <w:t xml:space="preserve"> analysis is found in Appendix B</w:t>
      </w:r>
      <w:r>
        <w:t xml:space="preserve">.  We request written public comment on the analysis.  Comments must be filed in accordance with the same deadlines as comments filed in response to the </w:t>
      </w:r>
      <w:r>
        <w:rPr>
          <w:i/>
        </w:rPr>
        <w:t>NRPM</w:t>
      </w:r>
      <w:r>
        <w:t xml:space="preserve"> and must have a separate and distinct heading designating them as responses to the IRFA.  The Commission’s Consumer and Governmental Affairs Bureau, </w:t>
      </w:r>
      <w:smartTag w:uri="urn:schemas-microsoft-com:office:smarttags" w:element="place">
        <w:smartTag w:uri="urn:schemas-microsoft-com:office:smarttags" w:element="PlaceName">
          <w:r>
            <w:t>Reference</w:t>
          </w:r>
        </w:smartTag>
        <w:r>
          <w:t xml:space="preserve"> </w:t>
        </w:r>
        <w:smartTag w:uri="urn:schemas-microsoft-com:office:smarttags" w:element="PlaceName">
          <w:r>
            <w:t>Information</w:t>
          </w:r>
        </w:smartTag>
        <w:r>
          <w:t xml:space="preserve"> </w:t>
        </w:r>
        <w:smartTag w:uri="urn:schemas-microsoft-com:office:smarttags" w:element="PlaceType">
          <w:r>
            <w:t>Center</w:t>
          </w:r>
        </w:smartTag>
      </w:smartTag>
      <w:r>
        <w:t xml:space="preserve">, will send a copy of this </w:t>
      </w:r>
      <w:bookmarkStart w:id="742" w:name="_Ref24960765"/>
      <w:r>
        <w:rPr>
          <w:i/>
        </w:rPr>
        <w:t>NPRM</w:t>
      </w:r>
      <w:r>
        <w:t>, including the IRFA, to the Chief Counsel for Advocacy of the Small Business Administration.</w:t>
      </w:r>
      <w:bookmarkEnd w:id="742"/>
    </w:p>
    <w:p w:rsidR="00795681" w:rsidRDefault="00795681" w:rsidP="00C35604">
      <w:pPr>
        <w:pStyle w:val="Heading2"/>
      </w:pPr>
      <w:bookmarkStart w:id="743" w:name="_Toc266709539"/>
      <w:bookmarkStart w:id="744" w:name="_Toc272152514"/>
      <w:bookmarkStart w:id="745" w:name="_Toc272309478"/>
      <w:bookmarkStart w:id="746" w:name="_Toc288478308"/>
      <w:bookmarkStart w:id="747" w:name="_Toc288478906"/>
      <w:bookmarkStart w:id="748" w:name="_Toc288720484"/>
      <w:bookmarkStart w:id="749" w:name="_Toc288721584"/>
      <w:bookmarkStart w:id="750" w:name="_Toc290643858"/>
      <w:bookmarkStart w:id="751" w:name="_Toc294619688"/>
      <w:bookmarkStart w:id="752" w:name="_Toc295470920"/>
      <w:bookmarkStart w:id="753" w:name="_Toc295471050"/>
      <w:bookmarkStart w:id="754" w:name="_Toc295647967"/>
      <w:bookmarkStart w:id="755" w:name="_Toc295658304"/>
      <w:bookmarkStart w:id="756" w:name="_Toc295828134"/>
      <w:bookmarkStart w:id="757" w:name="_Toc296412467"/>
      <w:bookmarkStart w:id="758" w:name="_Toc296526402"/>
      <w:bookmarkStart w:id="759" w:name="_Toc297101289"/>
      <w:bookmarkStart w:id="760" w:name="_Toc297197651"/>
      <w:bookmarkStart w:id="761" w:name="_Toc297197718"/>
      <w:bookmarkStart w:id="762" w:name="_Toc297197793"/>
      <w:bookmarkStart w:id="763" w:name="_Toc297197860"/>
      <w:bookmarkStart w:id="764" w:name="_Toc297627527"/>
      <w:bookmarkStart w:id="765" w:name="_Toc297627594"/>
      <w:bookmarkStart w:id="766" w:name="_Toc297627661"/>
      <w:bookmarkStart w:id="767" w:name="_Toc297627728"/>
      <w:bookmarkStart w:id="768" w:name="_Toc297728376"/>
      <w:bookmarkStart w:id="769" w:name="_Toc297728443"/>
      <w:bookmarkStart w:id="770" w:name="_Toc297728510"/>
      <w:bookmarkStart w:id="771" w:name="_Toc297728577"/>
      <w:bookmarkStart w:id="772" w:name="_Toc297728644"/>
      <w:bookmarkStart w:id="773" w:name="_Toc297728711"/>
      <w:bookmarkStart w:id="774" w:name="_Toc297728778"/>
      <w:bookmarkStart w:id="775" w:name="_Toc297728845"/>
      <w:bookmarkStart w:id="776" w:name="_Toc297728912"/>
      <w:bookmarkStart w:id="777" w:name="_Toc297734199"/>
      <w:bookmarkStart w:id="778" w:name="_Toc297734266"/>
      <w:bookmarkStart w:id="779" w:name="_Toc297905393"/>
      <w:bookmarkStart w:id="780" w:name="_Toc298771579"/>
      <w:bookmarkStart w:id="781" w:name="_Toc298771646"/>
      <w:bookmarkStart w:id="782" w:name="_Toc299689597"/>
      <w:bookmarkStart w:id="783" w:name="_Toc300328229"/>
      <w:bookmarkStart w:id="784" w:name="_Toc322935357"/>
      <w:r>
        <w:t>Paperwork Reduction Analysis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rsidR="00795681" w:rsidRPr="00EA575E" w:rsidRDefault="00C9531B" w:rsidP="003E1F85">
      <w:pPr>
        <w:pStyle w:val="ParaNum"/>
      </w:pPr>
      <w:r>
        <w:t xml:space="preserve">This document does not contain proposed information collection(s)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w:t>
      </w:r>
      <w:r>
        <w:rPr>
          <w:i/>
          <w:iCs/>
        </w:rPr>
        <w:t>see</w:t>
      </w:r>
      <w:r>
        <w:t> 44 U.S.C. 3506(c)(4).</w:t>
      </w:r>
    </w:p>
    <w:p w:rsidR="00795681" w:rsidRPr="00C05B37" w:rsidRDefault="00795681" w:rsidP="00C35604">
      <w:pPr>
        <w:pStyle w:val="Heading2"/>
        <w:rPr>
          <w:szCs w:val="22"/>
        </w:rPr>
      </w:pPr>
      <w:bookmarkStart w:id="785" w:name="_Toc112491217"/>
      <w:bookmarkStart w:id="786" w:name="_Toc112563557"/>
      <w:bookmarkStart w:id="787" w:name="_Toc112573877"/>
      <w:bookmarkStart w:id="788" w:name="_Toc114039877"/>
      <w:bookmarkStart w:id="789" w:name="_Toc114475871"/>
      <w:bookmarkStart w:id="790" w:name="_Toc115059105"/>
      <w:bookmarkStart w:id="791" w:name="_Toc115569549"/>
      <w:bookmarkStart w:id="792" w:name="_Toc115586169"/>
      <w:bookmarkStart w:id="793" w:name="_Toc116442646"/>
      <w:bookmarkStart w:id="794" w:name="_Toc117581209"/>
      <w:bookmarkStart w:id="795" w:name="_Toc118692062"/>
      <w:bookmarkStart w:id="796" w:name="_Toc119314890"/>
      <w:bookmarkStart w:id="797" w:name="_Toc119754048"/>
      <w:bookmarkStart w:id="798" w:name="_Toc119754822"/>
      <w:bookmarkStart w:id="799" w:name="_Toc119818399"/>
      <w:bookmarkStart w:id="800" w:name="_Toc119986084"/>
      <w:bookmarkStart w:id="801" w:name="_Toc120423889"/>
      <w:bookmarkStart w:id="802" w:name="_Toc120424124"/>
      <w:bookmarkStart w:id="803" w:name="_Toc121632988"/>
      <w:bookmarkStart w:id="804" w:name="_Toc127261178"/>
      <w:bookmarkStart w:id="805" w:name="_Toc127261305"/>
      <w:bookmarkStart w:id="806" w:name="_Toc130622084"/>
      <w:bookmarkStart w:id="807" w:name="_Toc130622205"/>
      <w:bookmarkStart w:id="808" w:name="_Toc130629936"/>
      <w:bookmarkStart w:id="809" w:name="_Toc130711861"/>
      <w:bookmarkStart w:id="810" w:name="_Toc130717942"/>
      <w:bookmarkStart w:id="811" w:name="_Toc130790458"/>
      <w:bookmarkStart w:id="812" w:name="_Toc130808173"/>
      <w:bookmarkStart w:id="813" w:name="_Toc132275635"/>
      <w:bookmarkStart w:id="814" w:name="_Toc132504622"/>
      <w:bookmarkStart w:id="815" w:name="_Toc132505090"/>
      <w:bookmarkStart w:id="816" w:name="_Toc132513087"/>
      <w:bookmarkStart w:id="817" w:name="_Toc132552474"/>
      <w:bookmarkStart w:id="818" w:name="_Toc133054373"/>
      <w:bookmarkStart w:id="819" w:name="_Toc133650425"/>
      <w:bookmarkStart w:id="820" w:name="_Toc156967158"/>
      <w:bookmarkStart w:id="821" w:name="_Toc156969077"/>
      <w:bookmarkStart w:id="822" w:name="_Toc156970168"/>
      <w:bookmarkStart w:id="823" w:name="_Toc156970268"/>
      <w:bookmarkStart w:id="824" w:name="_Toc156970368"/>
      <w:bookmarkStart w:id="825" w:name="_Toc156970468"/>
      <w:bookmarkStart w:id="826" w:name="_Toc156970973"/>
      <w:bookmarkStart w:id="827" w:name="_Toc156971073"/>
      <w:bookmarkStart w:id="828" w:name="_Toc156971199"/>
      <w:bookmarkStart w:id="829" w:name="_Toc156972517"/>
      <w:bookmarkStart w:id="830" w:name="_Toc156972781"/>
      <w:bookmarkStart w:id="831" w:name="_Toc156972996"/>
      <w:bookmarkStart w:id="832" w:name="_Toc160259125"/>
      <w:bookmarkStart w:id="833" w:name="_Toc160269458"/>
      <w:bookmarkStart w:id="834" w:name="_Toc160508079"/>
      <w:bookmarkStart w:id="835" w:name="_Toc160528787"/>
      <w:bookmarkStart w:id="836" w:name="_Toc161476038"/>
      <w:bookmarkStart w:id="837" w:name="_Toc161625588"/>
      <w:bookmarkStart w:id="838" w:name="_Toc161625966"/>
      <w:bookmarkStart w:id="839" w:name="_Toc161626035"/>
      <w:bookmarkStart w:id="840" w:name="_Toc162666141"/>
      <w:bookmarkStart w:id="841" w:name="_Toc162762857"/>
      <w:bookmarkStart w:id="842" w:name="_Toc162835599"/>
      <w:bookmarkStart w:id="843" w:name="_Toc162918166"/>
      <w:bookmarkStart w:id="844" w:name="_Toc164831266"/>
      <w:bookmarkStart w:id="845" w:name="_Toc169426157"/>
      <w:bookmarkStart w:id="846" w:name="_Toc174249348"/>
      <w:bookmarkStart w:id="847" w:name="_Toc266709540"/>
      <w:bookmarkStart w:id="848" w:name="_Toc272152515"/>
      <w:bookmarkStart w:id="849" w:name="_Toc272309479"/>
      <w:bookmarkStart w:id="850" w:name="_Toc288478309"/>
      <w:bookmarkStart w:id="851" w:name="_Toc288478907"/>
      <w:bookmarkStart w:id="852" w:name="_Toc288720485"/>
      <w:bookmarkStart w:id="853" w:name="_Toc288721585"/>
      <w:bookmarkStart w:id="854" w:name="_Toc290643859"/>
      <w:bookmarkStart w:id="855" w:name="_Toc294619689"/>
      <w:bookmarkStart w:id="856" w:name="_Toc295470921"/>
      <w:bookmarkStart w:id="857" w:name="_Toc295471051"/>
      <w:bookmarkStart w:id="858" w:name="_Toc295647968"/>
      <w:bookmarkStart w:id="859" w:name="_Toc295658305"/>
      <w:bookmarkStart w:id="860" w:name="_Toc295828135"/>
      <w:bookmarkStart w:id="861" w:name="_Toc296412468"/>
      <w:bookmarkStart w:id="862" w:name="_Toc296526403"/>
      <w:bookmarkStart w:id="863" w:name="_Toc297101290"/>
      <w:bookmarkStart w:id="864" w:name="_Toc297197652"/>
      <w:bookmarkStart w:id="865" w:name="_Toc297197719"/>
      <w:bookmarkStart w:id="866" w:name="_Toc297197794"/>
      <w:bookmarkStart w:id="867" w:name="_Toc297197861"/>
      <w:bookmarkStart w:id="868" w:name="_Toc297627528"/>
      <w:bookmarkStart w:id="869" w:name="_Toc297627595"/>
      <w:bookmarkStart w:id="870" w:name="_Toc297627662"/>
      <w:bookmarkStart w:id="871" w:name="_Toc297627729"/>
      <w:bookmarkStart w:id="872" w:name="_Toc297728377"/>
      <w:bookmarkStart w:id="873" w:name="_Toc297728444"/>
      <w:bookmarkStart w:id="874" w:name="_Toc297728511"/>
      <w:bookmarkStart w:id="875" w:name="_Toc297728578"/>
      <w:bookmarkStart w:id="876" w:name="_Toc297728645"/>
      <w:bookmarkStart w:id="877" w:name="_Toc297728712"/>
      <w:bookmarkStart w:id="878" w:name="_Toc297728779"/>
      <w:bookmarkStart w:id="879" w:name="_Toc297728846"/>
      <w:bookmarkStart w:id="880" w:name="_Toc297728913"/>
      <w:bookmarkStart w:id="881" w:name="_Toc297734200"/>
      <w:bookmarkStart w:id="882" w:name="_Toc297734267"/>
      <w:bookmarkStart w:id="883" w:name="_Toc297905394"/>
      <w:bookmarkStart w:id="884" w:name="_Toc298771580"/>
      <w:bookmarkStart w:id="885" w:name="_Toc298771647"/>
      <w:bookmarkStart w:id="886" w:name="_Toc299689598"/>
      <w:bookmarkStart w:id="887" w:name="_Toc300328230"/>
      <w:bookmarkStart w:id="888" w:name="_Toc322935358"/>
      <w:r>
        <w:t>Further Information</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rsidR="00795681" w:rsidRPr="00C05B37" w:rsidRDefault="00795681" w:rsidP="003E1F85">
      <w:pPr>
        <w:pStyle w:val="ParaNum"/>
        <w:rPr>
          <w:szCs w:val="22"/>
        </w:rPr>
      </w:pPr>
      <w:r>
        <w:t xml:space="preserve">For further information, contact Nancy M. Zaczek of the Wireless Telecommunications Bureau, Broadband Division, at 202-418-0274 or </w:t>
      </w:r>
      <w:hyperlink r:id="rId10" w:history="1">
        <w:r w:rsidRPr="006D0299">
          <w:rPr>
            <w:rStyle w:val="Hyperlink"/>
          </w:rPr>
          <w:t>Nancy.Zaczek@fcc.gov</w:t>
        </w:r>
      </w:hyperlink>
      <w:r>
        <w:t>.</w:t>
      </w:r>
    </w:p>
    <w:p w:rsidR="00EC5367" w:rsidRDefault="00795681" w:rsidP="00C35604">
      <w:pPr>
        <w:pStyle w:val="Heading1"/>
        <w:rPr>
          <w:rStyle w:val="StyleParaNum11ptCharCharCharCharCharCharCharCharCharCharCharCharCharCharCharCharCharCharCharCharCharCharCharCharCharCharCharCharCharCharCharCharCharCharCharCharCharCharCharCharChar"/>
          <w:rFonts w:ascii="Times New Roman" w:hAnsi="Times New Roman"/>
          <w:b w:val="0"/>
          <w:caps w:val="0"/>
          <w:szCs w:val="22"/>
        </w:rPr>
      </w:pPr>
      <w:bookmarkStart w:id="889" w:name="_Toc230683955"/>
      <w:bookmarkStart w:id="890" w:name="_Toc231534418"/>
      <w:bookmarkStart w:id="891" w:name="_Toc231535175"/>
      <w:bookmarkStart w:id="892" w:name="_Toc231549060"/>
      <w:bookmarkStart w:id="893" w:name="_Toc231610712"/>
      <w:bookmarkStart w:id="894" w:name="_Toc231619377"/>
      <w:bookmarkStart w:id="895" w:name="_Toc231687112"/>
      <w:bookmarkStart w:id="896" w:name="_Toc231706003"/>
      <w:bookmarkStart w:id="897" w:name="_Toc231706217"/>
      <w:bookmarkStart w:id="898" w:name="_Toc231707743"/>
      <w:bookmarkStart w:id="899" w:name="_Toc231812322"/>
      <w:bookmarkStart w:id="900" w:name="_Toc231873517"/>
      <w:bookmarkStart w:id="901" w:name="_Toc232214714"/>
      <w:bookmarkStart w:id="902" w:name="_Toc232219579"/>
      <w:bookmarkStart w:id="903" w:name="_Toc232307442"/>
      <w:bookmarkStart w:id="904" w:name="_Toc232388076"/>
      <w:bookmarkStart w:id="905" w:name="_Toc232392134"/>
      <w:bookmarkStart w:id="906" w:name="_Toc232397999"/>
      <w:bookmarkStart w:id="907" w:name="_Toc232399760"/>
      <w:bookmarkStart w:id="908" w:name="_Toc232400324"/>
      <w:bookmarkStart w:id="909" w:name="_Toc232400457"/>
      <w:bookmarkStart w:id="910" w:name="_Toc232403016"/>
      <w:bookmarkStart w:id="911" w:name="_Toc232404552"/>
      <w:bookmarkStart w:id="912" w:name="_Toc232406433"/>
      <w:bookmarkStart w:id="913" w:name="_Toc232408379"/>
      <w:bookmarkStart w:id="914" w:name="_Toc232410191"/>
      <w:bookmarkStart w:id="915" w:name="_Toc232410549"/>
      <w:bookmarkStart w:id="916" w:name="_Toc232411990"/>
      <w:bookmarkStart w:id="917" w:name="_Toc232412228"/>
      <w:bookmarkStart w:id="918" w:name="_Toc232419244"/>
      <w:bookmarkStart w:id="919" w:name="_Toc232421071"/>
      <w:bookmarkStart w:id="920" w:name="_Toc233442991"/>
      <w:bookmarkStart w:id="921" w:name="_Toc233443285"/>
      <w:bookmarkStart w:id="922" w:name="_Toc233450733"/>
      <w:bookmarkStart w:id="923" w:name="_Toc234125237"/>
      <w:bookmarkStart w:id="924" w:name="_Toc234806613"/>
      <w:bookmarkStart w:id="925" w:name="_Toc235253988"/>
      <w:bookmarkStart w:id="926" w:name="_Toc235499929"/>
      <w:bookmarkStart w:id="927" w:name="_Toc238548884"/>
      <w:bookmarkStart w:id="928" w:name="_Toc238549476"/>
      <w:bookmarkStart w:id="929" w:name="_Toc238612115"/>
      <w:bookmarkStart w:id="930" w:name="_Toc238612302"/>
      <w:bookmarkStart w:id="931" w:name="_Toc238612709"/>
      <w:bookmarkStart w:id="932" w:name="_Toc245199539"/>
      <w:bookmarkStart w:id="933" w:name="_Toc245202268"/>
      <w:bookmarkStart w:id="934" w:name="_Toc248739656"/>
      <w:bookmarkStart w:id="935" w:name="_Toc248740847"/>
      <w:bookmarkStart w:id="936" w:name="_Toc248803157"/>
      <w:bookmarkStart w:id="937" w:name="_Toc248804913"/>
      <w:bookmarkStart w:id="938" w:name="_Toc248814267"/>
      <w:bookmarkStart w:id="939" w:name="_Toc248909537"/>
      <w:bookmarkStart w:id="940" w:name="_Toc259178217"/>
      <w:bookmarkStart w:id="941" w:name="_Toc259178326"/>
      <w:bookmarkStart w:id="942" w:name="_Toc259779425"/>
      <w:bookmarkStart w:id="943" w:name="_Toc260058992"/>
      <w:bookmarkStart w:id="944" w:name="_Toc260125060"/>
      <w:bookmarkStart w:id="945" w:name="_Toc260135939"/>
      <w:bookmarkStart w:id="946" w:name="_Toc260388822"/>
      <w:bookmarkStart w:id="947" w:name="_Toc260905152"/>
      <w:bookmarkStart w:id="948" w:name="_Toc261507249"/>
      <w:bookmarkStart w:id="949" w:name="_Toc261585641"/>
      <w:bookmarkStart w:id="950" w:name="_Toc262717608"/>
      <w:bookmarkStart w:id="951" w:name="_Toc263400940"/>
      <w:bookmarkStart w:id="952" w:name="_Toc263688805"/>
      <w:bookmarkStart w:id="953" w:name="_Toc312236290"/>
      <w:bookmarkStart w:id="954" w:name="_Toc312237013"/>
      <w:bookmarkStart w:id="955" w:name="_Toc312237048"/>
      <w:bookmarkStart w:id="956" w:name="_Toc322935362"/>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sidRPr="002D1136">
        <w:t>ORDERING</w:t>
      </w:r>
      <w:r w:rsidRPr="002F2074">
        <w:rPr>
          <w:rStyle w:val="StyleParaNum11ptCharCharCharCharCharCharCharCharCharCharCharCharCharCharCharCharCharCharCharCharCharCharCharCharCharCharCharCharCharCharCharCharCharCharCharCharCharCharCharCharChar"/>
          <w:szCs w:val="22"/>
        </w:rPr>
        <w:t xml:space="preserve"> CLAUSES</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rsidR="00EC5367" w:rsidRDefault="00795681" w:rsidP="003E1F85">
      <w:pPr>
        <w:pStyle w:val="ParaNum"/>
      </w:pPr>
      <w:r w:rsidRPr="00F66B6E">
        <w:t xml:space="preserve">Accordingly, IT IS ORDERED, pursuant to </w:t>
      </w:r>
      <w:r w:rsidR="00097A1D">
        <w:t>S</w:t>
      </w:r>
      <w:r w:rsidRPr="00F66B6E">
        <w:t>ections 4</w:t>
      </w:r>
      <w:r w:rsidR="004B71BF">
        <w:t xml:space="preserve">and </w:t>
      </w:r>
      <w:r w:rsidRPr="00F66B6E">
        <w:t>30</w:t>
      </w:r>
      <w:r>
        <w:t>3</w:t>
      </w:r>
      <w:r w:rsidRPr="00F66B6E">
        <w:t xml:space="preserve"> of the Communications Act of 1934, 47 U.S.C. §§ </w:t>
      </w:r>
      <w:r>
        <w:t xml:space="preserve">154, 303, </w:t>
      </w:r>
      <w:r w:rsidR="00D92C2A">
        <w:t>and Section 1.411 of the Commission’s Rules, 47 C.F.R. § 1.411,</w:t>
      </w:r>
      <w:r w:rsidRPr="00F66B6E">
        <w:t xml:space="preserve"> that this </w:t>
      </w:r>
      <w:r w:rsidRPr="00D36E58">
        <w:rPr>
          <w:i/>
        </w:rPr>
        <w:t>Notice of Proposed Rulemaking</w:t>
      </w:r>
      <w:r w:rsidRPr="00F66B6E">
        <w:t xml:space="preserve"> is hereby ADOPTED.</w:t>
      </w:r>
    </w:p>
    <w:p w:rsidR="00E4172F" w:rsidRDefault="00795681" w:rsidP="003E1F85">
      <w:pPr>
        <w:pStyle w:val="ParaNum"/>
      </w:pPr>
      <w:r w:rsidRPr="00B61B3B">
        <w:t>IT IS FURTHER ORDERED</w:t>
      </w:r>
      <w:r w:rsidR="00097A1D">
        <w:t xml:space="preserve">, </w:t>
      </w:r>
      <w:r w:rsidR="00097A1D" w:rsidRPr="00F66B6E">
        <w:rPr>
          <w:szCs w:val="22"/>
        </w:rPr>
        <w:t xml:space="preserve">pursuant to </w:t>
      </w:r>
      <w:r w:rsidR="00097A1D">
        <w:rPr>
          <w:szCs w:val="22"/>
        </w:rPr>
        <w:t>S</w:t>
      </w:r>
      <w:r w:rsidR="00097A1D" w:rsidRPr="00F66B6E">
        <w:rPr>
          <w:szCs w:val="22"/>
        </w:rPr>
        <w:t>ections 4</w:t>
      </w:r>
      <w:r w:rsidR="004B71BF">
        <w:rPr>
          <w:szCs w:val="22"/>
        </w:rPr>
        <w:t xml:space="preserve"> and</w:t>
      </w:r>
      <w:r w:rsidR="00097A1D">
        <w:rPr>
          <w:szCs w:val="22"/>
        </w:rPr>
        <w:t xml:space="preserve"> </w:t>
      </w:r>
      <w:r w:rsidR="00097A1D" w:rsidRPr="00F66B6E">
        <w:rPr>
          <w:szCs w:val="22"/>
        </w:rPr>
        <w:t>30</w:t>
      </w:r>
      <w:r w:rsidR="00097A1D">
        <w:rPr>
          <w:szCs w:val="22"/>
        </w:rPr>
        <w:t>3</w:t>
      </w:r>
      <w:r w:rsidR="00097A1D" w:rsidRPr="00F66B6E">
        <w:rPr>
          <w:szCs w:val="22"/>
        </w:rPr>
        <w:t xml:space="preserve"> of the Communications Act of 1934, 47 U.S.C. §§ </w:t>
      </w:r>
      <w:r w:rsidR="00097A1D">
        <w:t>154, 303, and Section 1.407 of the Commission’s Rules, 47 C.F.R. § 1.407,</w:t>
      </w:r>
      <w:r w:rsidRPr="00B61B3B">
        <w:t xml:space="preserve"> that </w:t>
      </w:r>
      <w:r w:rsidR="00097A1D">
        <w:t xml:space="preserve">the petitions for rulemaking filed by the </w:t>
      </w:r>
      <w:r w:rsidR="00097A1D" w:rsidRPr="00F82296">
        <w:t xml:space="preserve">Engineers for the Integrity of Broadcast Auxiliary Services </w:t>
      </w:r>
      <w:r w:rsidR="00097A1D">
        <w:t>on October 7</w:t>
      </w:r>
      <w:r w:rsidR="00097A1D" w:rsidRPr="00F82296">
        <w:t>, 20</w:t>
      </w:r>
      <w:r w:rsidR="00097A1D">
        <w:t>11 and by Society of Broadcast Engineers, Incorporated on November 7, 2011 ARE GRANTED to the extent indicated herein</w:t>
      </w:r>
      <w:r w:rsidR="00632DA9">
        <w:t xml:space="preserve"> and are otherwise DENIED</w:t>
      </w:r>
      <w:r w:rsidRPr="00B61B3B">
        <w:t>.</w:t>
      </w:r>
    </w:p>
    <w:p w:rsidR="00EC5367" w:rsidRDefault="00D36E58" w:rsidP="003E1F85">
      <w:pPr>
        <w:pStyle w:val="ParaNum"/>
        <w:rPr>
          <w:szCs w:val="22"/>
        </w:rPr>
      </w:pPr>
      <w:r>
        <w:t xml:space="preserve">For the reasons stated above, </w:t>
      </w:r>
      <w:r w:rsidRPr="00E4172F">
        <w:rPr>
          <w:szCs w:val="22"/>
        </w:rPr>
        <w:t xml:space="preserve">IT IS FURTHER ORDERED, pursuant to Section 4(i) of the Communications Act of 1934, as amended, 47 U.S.C. § 154(i), and </w:t>
      </w:r>
      <w:hyperlink r:id="rId11" w:history="1">
        <w:r w:rsidRPr="00E4172F">
          <w:rPr>
            <w:szCs w:val="22"/>
          </w:rPr>
          <w:t xml:space="preserve">Section 1.925(b)(3) of the Commission’s Rules, 47 C.F.R. § 1.925(b)(3), </w:t>
        </w:r>
      </w:hyperlink>
      <w:r w:rsidRPr="00E4172F">
        <w:rPr>
          <w:szCs w:val="22"/>
        </w:rPr>
        <w:t xml:space="preserve">that the waiver request filed by the Society for Broadcast Engineers on November 7, 2011 </w:t>
      </w:r>
      <w:r w:rsidRPr="00E4172F">
        <w:rPr>
          <w:spacing w:val="-2"/>
          <w:szCs w:val="22"/>
        </w:rPr>
        <w:t>IS DENIED</w:t>
      </w:r>
      <w:r w:rsidRPr="00E4172F">
        <w:rPr>
          <w:szCs w:val="22"/>
        </w:rPr>
        <w:t xml:space="preserve">.  </w:t>
      </w:r>
    </w:p>
    <w:p w:rsidR="000A1BCD" w:rsidRDefault="00795681" w:rsidP="003E1F85">
      <w:pPr>
        <w:pStyle w:val="ParaNum"/>
        <w:rPr>
          <w:rStyle w:val="StyleParaNum11pt1CharCharCharCharCharCharCharCharCharCharCharCharCharCharCharChar"/>
          <w:i/>
        </w:rPr>
      </w:pPr>
      <w:r>
        <w:rPr>
          <w:rStyle w:val="StyleParaNum11pt1CharCharCharCharCharCharCharCharCharCharCharCharCharCharCharChar"/>
        </w:rPr>
        <w:t xml:space="preserve">IT IS FURTHER ORDERED that the Commission’s Consumer and Governmental Affairs Bureau, Reference </w:t>
      </w:r>
      <w:r w:rsidRPr="00100A50">
        <w:t>Information</w:t>
      </w:r>
      <w:r>
        <w:rPr>
          <w:rStyle w:val="StyleParaNum11pt1CharCharCharCharCharCharCharCharCharCharCharCharCharCharCharChar"/>
        </w:rPr>
        <w:t xml:space="preserve"> Center, SHALL SEND a copy of this </w:t>
      </w:r>
      <w:r w:rsidRPr="00100A50">
        <w:rPr>
          <w:rStyle w:val="StyleParaNum11pt1CharCharCharCharCharCharCharCharCharCharCharCharCharCharCharChar"/>
          <w:i/>
        </w:rPr>
        <w:t xml:space="preserve">Notice of Proposed </w:t>
      </w:r>
    </w:p>
    <w:p w:rsidR="000A1BCD" w:rsidRDefault="000A1BCD">
      <w:pPr>
        <w:widowControl/>
        <w:rPr>
          <w:rStyle w:val="StyleParaNum11pt1CharCharCharCharCharCharCharCharCharCharCharCharCharCharCharChar"/>
          <w:i/>
        </w:rPr>
      </w:pPr>
      <w:r>
        <w:rPr>
          <w:rStyle w:val="StyleParaNum11pt1CharCharCharCharCharCharCharCharCharCharCharCharCharCharCharChar"/>
          <w:i/>
        </w:rPr>
        <w:br w:type="page"/>
      </w:r>
    </w:p>
    <w:p w:rsidR="00C35604" w:rsidRDefault="00795681" w:rsidP="00964C8B">
      <w:pPr>
        <w:rPr>
          <w:color w:val="000000"/>
        </w:rPr>
      </w:pPr>
      <w:r w:rsidRPr="00100A50">
        <w:rPr>
          <w:rStyle w:val="StyleParaNum11pt1CharCharCharCharCharCharCharCharCharCharCharCharCharCharCharChar"/>
          <w:i/>
        </w:rPr>
        <w:t>Rulemaking</w:t>
      </w:r>
      <w:r>
        <w:rPr>
          <w:rStyle w:val="StyleParaNum11pt1CharCharCharCharCharCharCharCharCharCharCharCharCharCharCharChar"/>
        </w:rPr>
        <w:t>, including the Initial Regulatory Flexibility Analysis, to the Chief Counsel for Advocacy of the Small Business Administration.</w:t>
      </w:r>
      <w:r w:rsidRPr="00100A50">
        <w:rPr>
          <w:color w:val="000000"/>
        </w:rPr>
        <w:t xml:space="preserve"> </w:t>
      </w:r>
    </w:p>
    <w:p w:rsidR="00C35604" w:rsidRDefault="00C35604" w:rsidP="0017296B"/>
    <w:p w:rsidR="00C35604" w:rsidRDefault="00C35604" w:rsidP="0017296B">
      <w:r>
        <w:tab/>
      </w:r>
      <w:r>
        <w:tab/>
      </w:r>
      <w:r>
        <w:tab/>
      </w:r>
      <w:r>
        <w:tab/>
      </w:r>
      <w:r>
        <w:tab/>
      </w:r>
      <w:r>
        <w:tab/>
        <w:t>FEDERAL COMMUNICATIONS COMMISSION</w:t>
      </w:r>
    </w:p>
    <w:p w:rsidR="00C35604" w:rsidRDefault="00C35604" w:rsidP="0017296B"/>
    <w:p w:rsidR="00C35604" w:rsidRDefault="00C35604" w:rsidP="0017296B"/>
    <w:p w:rsidR="00C35604" w:rsidRDefault="00C35604" w:rsidP="0017296B"/>
    <w:p w:rsidR="00C35604" w:rsidRDefault="00C35604" w:rsidP="0017296B"/>
    <w:p w:rsidR="00C35604" w:rsidRDefault="00C35604" w:rsidP="0017296B">
      <w:r>
        <w:tab/>
      </w:r>
      <w:r>
        <w:tab/>
      </w:r>
      <w:r>
        <w:tab/>
      </w:r>
      <w:r>
        <w:tab/>
      </w:r>
      <w:r>
        <w:tab/>
      </w:r>
      <w:r>
        <w:tab/>
        <w:t>Marlene H. Dortch</w:t>
      </w:r>
    </w:p>
    <w:p w:rsidR="00C35604" w:rsidRDefault="00C35604" w:rsidP="0017296B">
      <w:r>
        <w:tab/>
      </w:r>
      <w:r>
        <w:tab/>
      </w:r>
      <w:r>
        <w:tab/>
      </w:r>
      <w:r>
        <w:tab/>
      </w:r>
      <w:r>
        <w:tab/>
      </w:r>
      <w:r>
        <w:tab/>
        <w:t>Secretary</w:t>
      </w:r>
    </w:p>
    <w:p w:rsidR="00795681" w:rsidRPr="00B97055" w:rsidRDefault="00795681" w:rsidP="007C0D58">
      <w:pPr>
        <w:widowControl/>
        <w:spacing w:line="480" w:lineRule="auto"/>
        <w:jc w:val="center"/>
        <w:rPr>
          <w:b/>
          <w:bCs/>
        </w:rPr>
      </w:pPr>
      <w:r>
        <w:rPr>
          <w:szCs w:val="22"/>
        </w:rPr>
        <w:br w:type="page"/>
      </w:r>
      <w:r w:rsidRPr="00B97055">
        <w:rPr>
          <w:b/>
          <w:bCs/>
        </w:rPr>
        <w:t>APPENDIX A</w:t>
      </w:r>
    </w:p>
    <w:p w:rsidR="00795681" w:rsidRPr="00646237" w:rsidRDefault="00795681" w:rsidP="007C0D58">
      <w:pPr>
        <w:widowControl/>
        <w:spacing w:line="480" w:lineRule="auto"/>
        <w:jc w:val="center"/>
        <w:rPr>
          <w:bCs/>
        </w:rPr>
      </w:pPr>
      <w:r w:rsidRPr="00B97055">
        <w:rPr>
          <w:b/>
          <w:bCs/>
        </w:rPr>
        <w:t>Proposed Rule</w:t>
      </w:r>
    </w:p>
    <w:p w:rsidR="00795681" w:rsidRDefault="00795681" w:rsidP="007C0D58">
      <w:pPr>
        <w:widowControl/>
        <w:spacing w:line="480" w:lineRule="auto"/>
        <w:ind w:firstLine="720"/>
        <w:rPr>
          <w:bCs/>
        </w:rPr>
      </w:pPr>
      <w:r w:rsidRPr="00646237">
        <w:rPr>
          <w:bCs/>
        </w:rPr>
        <w:t>For the reasons discussed in the preamble, the Federal Communications Commission proposes to amend 47 C.F.R part 74 as follows:</w:t>
      </w:r>
    </w:p>
    <w:p w:rsidR="00795681" w:rsidRDefault="00795681" w:rsidP="007C0D58">
      <w:pPr>
        <w:widowControl/>
        <w:rPr>
          <w:b/>
          <w:bCs/>
        </w:rPr>
      </w:pPr>
      <w:r w:rsidRPr="00B97055">
        <w:rPr>
          <w:b/>
          <w:bCs/>
        </w:rPr>
        <w:t>Part 74 – EXPERIMENTAL RADIO, AUXILIARY, SPECIAL BROADCAST AND OTHER PROGRAM DISTRIBUTION SERVICES</w:t>
      </w:r>
    </w:p>
    <w:p w:rsidR="00795681" w:rsidRDefault="00795681" w:rsidP="007C0D58">
      <w:pPr>
        <w:widowControl/>
        <w:rPr>
          <w:b/>
          <w:bCs/>
        </w:rPr>
      </w:pPr>
    </w:p>
    <w:p w:rsidR="00795681" w:rsidRDefault="00795681" w:rsidP="007C0D58">
      <w:pPr>
        <w:widowControl/>
        <w:spacing w:line="480" w:lineRule="auto"/>
        <w:ind w:firstLine="720"/>
        <w:rPr>
          <w:bCs/>
        </w:rPr>
      </w:pPr>
      <w:r w:rsidRPr="00B97055">
        <w:rPr>
          <w:bCs/>
        </w:rPr>
        <w:t xml:space="preserve">1.  </w:t>
      </w:r>
      <w:r>
        <w:rPr>
          <w:bCs/>
        </w:rPr>
        <w:t xml:space="preserve">The authority citation for part 74 continues to read as follows:  </w:t>
      </w:r>
    </w:p>
    <w:p w:rsidR="00795681" w:rsidRDefault="00795681" w:rsidP="007C0D58">
      <w:pPr>
        <w:widowControl/>
        <w:spacing w:line="480" w:lineRule="auto"/>
        <w:rPr>
          <w:bCs/>
        </w:rPr>
      </w:pPr>
      <w:r>
        <w:rPr>
          <w:bCs/>
        </w:rPr>
        <w:tab/>
        <w:t>AUTHORITY:  47 U.S.C. 154, 303, 307, 336(f), 336(h) and 554.</w:t>
      </w:r>
    </w:p>
    <w:p w:rsidR="00811747" w:rsidRDefault="00934BCD" w:rsidP="00811747">
      <w:pPr>
        <w:spacing w:line="480" w:lineRule="auto"/>
        <w:rPr>
          <w:bCs/>
        </w:rPr>
      </w:pPr>
      <w:r>
        <w:rPr>
          <w:bCs/>
        </w:rPr>
        <w:t>2.  Revise § 74.402 by amending the introductory text in paragraph (d) to read as follows:</w:t>
      </w:r>
    </w:p>
    <w:p w:rsidR="00811747" w:rsidRPr="009D6DB5" w:rsidRDefault="00811747" w:rsidP="00811747">
      <w:pPr>
        <w:spacing w:line="480" w:lineRule="auto"/>
        <w:rPr>
          <w:b/>
          <w:bCs/>
          <w:u w:val="single"/>
        </w:rPr>
      </w:pPr>
      <w:r w:rsidRPr="00811747">
        <w:rPr>
          <w:b/>
          <w:bCs/>
          <w:u w:val="single"/>
        </w:rPr>
        <w:t xml:space="preserve"> </w:t>
      </w:r>
      <w:r w:rsidRPr="009D6DB5">
        <w:rPr>
          <w:b/>
          <w:bCs/>
          <w:u w:val="single"/>
        </w:rPr>
        <w:t>§ 74.402 Frequency assignment.</w:t>
      </w:r>
    </w:p>
    <w:p w:rsidR="00394061" w:rsidRDefault="00394061" w:rsidP="00934BCD">
      <w:pPr>
        <w:spacing w:line="480" w:lineRule="auto"/>
        <w:ind w:firstLine="720"/>
        <w:rPr>
          <w:bCs/>
        </w:rPr>
      </w:pPr>
      <w:r>
        <w:rPr>
          <w:bCs/>
        </w:rPr>
        <w:t>* * * * *</w:t>
      </w:r>
    </w:p>
    <w:p w:rsidR="00394061" w:rsidRPr="00946D3F" w:rsidRDefault="00394061" w:rsidP="00934BCD">
      <w:pPr>
        <w:spacing w:line="480" w:lineRule="auto"/>
        <w:ind w:firstLine="720"/>
        <w:rPr>
          <w:bCs/>
        </w:rPr>
      </w:pPr>
      <w:r>
        <w:rPr>
          <w:bCs/>
        </w:rPr>
        <w:t xml:space="preserve">(d) </w:t>
      </w:r>
      <w:r w:rsidRPr="00394061">
        <w:rPr>
          <w:bCs/>
        </w:rPr>
        <w:t xml:space="preserve">Up to two of the following 50 kHz segments may be stacked to form a channel which may be assigned for use by broadcast remote pickup stations using any emission contained within the resultant channel in accordance with the provisions of §74.462. </w:t>
      </w:r>
      <w:r>
        <w:rPr>
          <w:bCs/>
        </w:rPr>
        <w:t xml:space="preserve"> </w:t>
      </w:r>
      <w:r w:rsidRPr="00394061">
        <w:rPr>
          <w:bCs/>
        </w:rPr>
        <w:t>Users committed to 100 kHz bandwidths and transmitting program material will have primary use of these channels.</w:t>
      </w:r>
      <w:r>
        <w:rPr>
          <w:bCs/>
        </w:rPr>
        <w:t xml:space="preserve">  After </w:t>
      </w:r>
      <w:r>
        <w:rPr>
          <w:b/>
          <w:bCs/>
        </w:rPr>
        <w:t xml:space="preserve">[insert effective date of </w:t>
      </w:r>
      <w:r w:rsidRPr="00946D3F">
        <w:rPr>
          <w:b/>
          <w:bCs/>
        </w:rPr>
        <w:t>rule]</w:t>
      </w:r>
      <w:r w:rsidRPr="00946D3F">
        <w:rPr>
          <w:bCs/>
        </w:rPr>
        <w:t xml:space="preserve">, </w:t>
      </w:r>
      <w:r w:rsidR="004B71BF" w:rsidRPr="00946D3F">
        <w:rPr>
          <w:bCs/>
        </w:rPr>
        <w:t xml:space="preserve">initial </w:t>
      </w:r>
      <w:r w:rsidRPr="00946D3F">
        <w:rPr>
          <w:bCs/>
        </w:rPr>
        <w:t xml:space="preserve">authorizations with 100 kHz bandwidth will </w:t>
      </w:r>
      <w:r w:rsidR="00C1768A" w:rsidRPr="00946D3F">
        <w:rPr>
          <w:bCs/>
        </w:rPr>
        <w:t>not be issued</w:t>
      </w:r>
      <w:r w:rsidRPr="00946D3F">
        <w:rPr>
          <w:bCs/>
        </w:rPr>
        <w:t>.</w:t>
      </w:r>
    </w:p>
    <w:p w:rsidR="00CE08F3" w:rsidRPr="00946D3F" w:rsidRDefault="00CE08F3" w:rsidP="00934BCD">
      <w:pPr>
        <w:spacing w:line="480" w:lineRule="auto"/>
        <w:ind w:firstLine="720"/>
        <w:rPr>
          <w:bCs/>
        </w:rPr>
      </w:pPr>
      <w:r w:rsidRPr="00946D3F">
        <w:rPr>
          <w:bCs/>
        </w:rPr>
        <w:t>* * * * *</w:t>
      </w:r>
    </w:p>
    <w:p w:rsidR="00795681" w:rsidRPr="00946D3F" w:rsidRDefault="00795681" w:rsidP="001500F6">
      <w:pPr>
        <w:widowControl/>
        <w:spacing w:line="480" w:lineRule="auto"/>
        <w:rPr>
          <w:snapToGrid/>
          <w:kern w:val="0"/>
          <w:szCs w:val="23"/>
        </w:rPr>
      </w:pPr>
      <w:r w:rsidRPr="00946D3F">
        <w:rPr>
          <w:bCs/>
        </w:rPr>
        <w:tab/>
      </w:r>
      <w:r w:rsidR="00934BCD" w:rsidRPr="00946D3F">
        <w:rPr>
          <w:bCs/>
        </w:rPr>
        <w:t>3</w:t>
      </w:r>
      <w:r w:rsidRPr="00946D3F">
        <w:rPr>
          <w:bCs/>
        </w:rPr>
        <w:t xml:space="preserve">.  </w:t>
      </w:r>
      <w:r w:rsidRPr="00946D3F">
        <w:rPr>
          <w:snapToGrid/>
          <w:kern w:val="0"/>
          <w:szCs w:val="23"/>
        </w:rPr>
        <w:t xml:space="preserve">Revise § 74.462 </w:t>
      </w:r>
      <w:r w:rsidR="001500F6" w:rsidRPr="00946D3F">
        <w:rPr>
          <w:snapToGrid/>
          <w:kern w:val="0"/>
          <w:szCs w:val="23"/>
        </w:rPr>
        <w:t>by amending paragraph</w:t>
      </w:r>
      <w:r w:rsidR="00F378FF" w:rsidRPr="00946D3F">
        <w:rPr>
          <w:snapToGrid/>
          <w:kern w:val="0"/>
          <w:szCs w:val="23"/>
        </w:rPr>
        <w:t>s</w:t>
      </w:r>
      <w:r w:rsidR="001500F6" w:rsidRPr="00946D3F">
        <w:rPr>
          <w:snapToGrid/>
          <w:kern w:val="0"/>
          <w:szCs w:val="23"/>
        </w:rPr>
        <w:t xml:space="preserve"> (a) and (b) </w:t>
      </w:r>
      <w:r w:rsidRPr="00946D3F">
        <w:rPr>
          <w:snapToGrid/>
          <w:kern w:val="0"/>
          <w:szCs w:val="23"/>
        </w:rPr>
        <w:t>to read as follows:</w:t>
      </w:r>
    </w:p>
    <w:p w:rsidR="00795681" w:rsidRPr="00946D3F" w:rsidRDefault="00795681" w:rsidP="007C0D58">
      <w:pPr>
        <w:widowControl/>
        <w:autoSpaceDE w:val="0"/>
        <w:autoSpaceDN w:val="0"/>
        <w:adjustRightInd w:val="0"/>
        <w:spacing w:line="480" w:lineRule="auto"/>
        <w:rPr>
          <w:b/>
          <w:snapToGrid/>
          <w:kern w:val="0"/>
          <w:szCs w:val="23"/>
          <w:u w:val="single"/>
        </w:rPr>
      </w:pPr>
      <w:r w:rsidRPr="00946D3F">
        <w:rPr>
          <w:b/>
          <w:snapToGrid/>
          <w:kern w:val="0"/>
          <w:szCs w:val="23"/>
          <w:u w:val="single"/>
        </w:rPr>
        <w:t>§ 74.462. Authorized bandwidth and emissions.</w:t>
      </w:r>
    </w:p>
    <w:p w:rsidR="00795681" w:rsidRPr="00946D3F" w:rsidRDefault="00795681" w:rsidP="007C0D58">
      <w:pPr>
        <w:widowControl/>
        <w:autoSpaceDE w:val="0"/>
        <w:autoSpaceDN w:val="0"/>
        <w:adjustRightInd w:val="0"/>
        <w:spacing w:line="480" w:lineRule="auto"/>
        <w:ind w:firstLine="720"/>
        <w:rPr>
          <w:snapToGrid/>
          <w:kern w:val="0"/>
          <w:szCs w:val="23"/>
        </w:rPr>
      </w:pPr>
      <w:r w:rsidRPr="00946D3F">
        <w:rPr>
          <w:snapToGrid/>
          <w:kern w:val="0"/>
          <w:szCs w:val="23"/>
        </w:rPr>
        <w:t xml:space="preserve">(a) Each authorization for a new remote pickup broadcast station or system shall require the use of certificated equipment and such equipment shall be operated in accordance with emission specifications included in the grant of certification and as prescribed in paragraphs </w:t>
      </w:r>
      <w:r w:rsidRPr="00946D3F">
        <w:rPr>
          <w:snapToGrid/>
          <w:kern w:val="0"/>
          <w:szCs w:val="22"/>
        </w:rPr>
        <w:t xml:space="preserve">(b), </w:t>
      </w:r>
      <w:r w:rsidRPr="00946D3F">
        <w:rPr>
          <w:snapToGrid/>
          <w:kern w:val="0"/>
          <w:szCs w:val="23"/>
        </w:rPr>
        <w:t>(c), and (d) of this section.  Any form of modulation may be used.</w:t>
      </w:r>
    </w:p>
    <w:p w:rsidR="00795681" w:rsidRPr="00946D3F" w:rsidRDefault="00795681" w:rsidP="007C0D58">
      <w:pPr>
        <w:widowControl/>
        <w:autoSpaceDE w:val="0"/>
        <w:autoSpaceDN w:val="0"/>
        <w:adjustRightInd w:val="0"/>
        <w:spacing w:line="480" w:lineRule="auto"/>
        <w:ind w:firstLine="720"/>
        <w:rPr>
          <w:snapToGrid/>
          <w:kern w:val="0"/>
          <w:szCs w:val="23"/>
        </w:rPr>
      </w:pPr>
      <w:r w:rsidRPr="00946D3F">
        <w:rPr>
          <w:snapToGrid/>
          <w:kern w:val="0"/>
          <w:szCs w:val="22"/>
        </w:rPr>
        <w:t xml:space="preserve">(b) </w:t>
      </w:r>
      <w:r w:rsidRPr="00946D3F">
        <w:rPr>
          <w:snapToGrid/>
          <w:kern w:val="0"/>
          <w:szCs w:val="23"/>
        </w:rPr>
        <w:t>The maximum authorized bandwidth of emissions corresponding to the types of emissions specified below, and the maximum authorized frequency deviation in the case of frequency or phase modulated emission, shall be as follows:</w:t>
      </w:r>
    </w:p>
    <w:p w:rsidR="00795681" w:rsidRDefault="00795681" w:rsidP="007C0D58">
      <w:pPr>
        <w:widowControl/>
        <w:pBdr>
          <w:bottom w:val="single" w:sz="12" w:space="1" w:color="auto"/>
        </w:pBdr>
        <w:autoSpaceDE w:val="0"/>
        <w:autoSpaceDN w:val="0"/>
        <w:adjustRightInd w:val="0"/>
        <w:rPr>
          <w:snapToGrid/>
          <w:color w:val="333333"/>
          <w:kern w:val="0"/>
          <w:szCs w:val="23"/>
        </w:rPr>
      </w:pPr>
    </w:p>
    <w:p w:rsidR="00964C8B" w:rsidRDefault="00964C8B" w:rsidP="007C0D58">
      <w:pPr>
        <w:widowControl/>
        <w:pBdr>
          <w:bottom w:val="single" w:sz="12" w:space="1" w:color="auto"/>
        </w:pBdr>
        <w:autoSpaceDE w:val="0"/>
        <w:autoSpaceDN w:val="0"/>
        <w:adjustRightInd w:val="0"/>
        <w:rPr>
          <w:snapToGrid/>
          <w:color w:val="333333"/>
          <w:kern w:val="0"/>
          <w:szCs w:val="23"/>
        </w:rPr>
      </w:pPr>
    </w:p>
    <w:p w:rsidR="000A1BCD" w:rsidRPr="00646237" w:rsidRDefault="000A1BCD" w:rsidP="007C0D58">
      <w:pPr>
        <w:widowControl/>
        <w:pBdr>
          <w:bottom w:val="single" w:sz="12" w:space="1" w:color="auto"/>
        </w:pBdr>
        <w:autoSpaceDE w:val="0"/>
        <w:autoSpaceDN w:val="0"/>
        <w:adjustRightInd w:val="0"/>
        <w:rPr>
          <w:snapToGrid/>
          <w:color w:val="333333"/>
          <w:kern w:val="0"/>
          <w:szCs w:val="23"/>
        </w:rPr>
      </w:pPr>
    </w:p>
    <w:p w:rsidR="00795681" w:rsidRPr="00646237" w:rsidRDefault="00795681" w:rsidP="007C0D58">
      <w:pPr>
        <w:widowControl/>
        <w:autoSpaceDE w:val="0"/>
        <w:autoSpaceDN w:val="0"/>
        <w:adjustRightInd w:val="0"/>
        <w:rPr>
          <w:snapToGrid/>
          <w:color w:val="333333"/>
          <w:kern w:val="0"/>
          <w:szCs w:val="21"/>
        </w:rPr>
      </w:pPr>
    </w:p>
    <w:p w:rsidR="00795681" w:rsidRPr="00946D3F" w:rsidRDefault="00795681" w:rsidP="007C0D58">
      <w:pPr>
        <w:widowControl/>
        <w:autoSpaceDE w:val="0"/>
        <w:autoSpaceDN w:val="0"/>
        <w:adjustRightInd w:val="0"/>
        <w:ind w:firstLine="720"/>
        <w:rPr>
          <w:snapToGrid/>
          <w:kern w:val="0"/>
          <w:szCs w:val="21"/>
        </w:rPr>
      </w:pPr>
      <w:r w:rsidRPr="00946D3F">
        <w:rPr>
          <w:snapToGrid/>
          <w:kern w:val="0"/>
          <w:szCs w:val="21"/>
        </w:rPr>
        <w:t>Frequencies</w:t>
      </w:r>
      <w:r w:rsidRPr="00946D3F">
        <w:rPr>
          <w:snapToGrid/>
          <w:kern w:val="0"/>
          <w:szCs w:val="21"/>
        </w:rPr>
        <w:tab/>
      </w:r>
      <w:r w:rsidRPr="00946D3F">
        <w:rPr>
          <w:snapToGrid/>
          <w:kern w:val="0"/>
          <w:szCs w:val="21"/>
        </w:rPr>
        <w:tab/>
      </w:r>
      <w:r w:rsidRPr="00946D3F">
        <w:rPr>
          <w:snapToGrid/>
          <w:kern w:val="0"/>
          <w:szCs w:val="21"/>
        </w:rPr>
        <w:tab/>
      </w:r>
      <w:bookmarkStart w:id="957" w:name="comebackhere"/>
      <w:bookmarkEnd w:id="957"/>
      <w:r w:rsidRPr="00946D3F">
        <w:rPr>
          <w:snapToGrid/>
          <w:kern w:val="0"/>
          <w:szCs w:val="21"/>
        </w:rPr>
        <w:t>Maximum</w:t>
      </w:r>
      <w:r w:rsidRPr="00946D3F">
        <w:rPr>
          <w:snapToGrid/>
          <w:kern w:val="0"/>
          <w:szCs w:val="21"/>
        </w:rPr>
        <w:tab/>
      </w:r>
      <w:r w:rsidRPr="00946D3F">
        <w:rPr>
          <w:snapToGrid/>
          <w:kern w:val="0"/>
          <w:szCs w:val="21"/>
        </w:rPr>
        <w:tab/>
      </w:r>
      <w:r w:rsidRPr="00946D3F">
        <w:rPr>
          <w:snapToGrid/>
          <w:kern w:val="0"/>
          <w:szCs w:val="21"/>
        </w:rPr>
        <w:tab/>
        <w:t>Maximum Frequency</w:t>
      </w:r>
    </w:p>
    <w:p w:rsidR="00795681" w:rsidRPr="00946D3F" w:rsidRDefault="00795681" w:rsidP="007C0D58">
      <w:pPr>
        <w:widowControl/>
        <w:autoSpaceDE w:val="0"/>
        <w:autoSpaceDN w:val="0"/>
        <w:adjustRightInd w:val="0"/>
        <w:ind w:left="2880" w:firstLine="720"/>
        <w:rPr>
          <w:snapToGrid/>
          <w:kern w:val="0"/>
          <w:szCs w:val="21"/>
          <w:vertAlign w:val="superscript"/>
        </w:rPr>
      </w:pPr>
      <w:r w:rsidRPr="00946D3F">
        <w:rPr>
          <w:snapToGrid/>
          <w:kern w:val="0"/>
          <w:szCs w:val="21"/>
        </w:rPr>
        <w:t xml:space="preserve">Authorized bandwidth </w:t>
      </w:r>
      <w:r w:rsidRPr="00946D3F">
        <w:rPr>
          <w:snapToGrid/>
          <w:kern w:val="0"/>
          <w:szCs w:val="19"/>
        </w:rPr>
        <w:t>(kHz)</w:t>
      </w:r>
      <w:r w:rsidRPr="00946D3F">
        <w:rPr>
          <w:snapToGrid/>
          <w:kern w:val="0"/>
          <w:szCs w:val="19"/>
        </w:rPr>
        <w:tab/>
      </w:r>
      <w:r w:rsidRPr="00946D3F">
        <w:rPr>
          <w:snapToGrid/>
          <w:kern w:val="0"/>
          <w:szCs w:val="19"/>
        </w:rPr>
        <w:tab/>
        <w:t>deviation (kHz)</w:t>
      </w:r>
      <w:r w:rsidR="00F378FF" w:rsidRPr="00946D3F">
        <w:rPr>
          <w:snapToGrid/>
          <w:kern w:val="0"/>
          <w:szCs w:val="19"/>
          <w:vertAlign w:val="superscript"/>
        </w:rPr>
        <w:t>1</w:t>
      </w:r>
    </w:p>
    <w:p w:rsidR="00795681" w:rsidRPr="00946D3F" w:rsidRDefault="00795681" w:rsidP="007C0D58">
      <w:pPr>
        <w:widowControl/>
        <w:autoSpaceDE w:val="0"/>
        <w:autoSpaceDN w:val="0"/>
        <w:adjustRightInd w:val="0"/>
        <w:rPr>
          <w:snapToGrid/>
          <w:kern w:val="0"/>
          <w:szCs w:val="21"/>
        </w:rPr>
      </w:pPr>
    </w:p>
    <w:p w:rsidR="00795681" w:rsidRPr="00946D3F" w:rsidRDefault="00795681" w:rsidP="007C0D58">
      <w:pPr>
        <w:widowControl/>
        <w:autoSpaceDE w:val="0"/>
        <w:autoSpaceDN w:val="0"/>
        <w:adjustRightInd w:val="0"/>
        <w:rPr>
          <w:snapToGrid/>
          <w:kern w:val="0"/>
          <w:szCs w:val="21"/>
        </w:rPr>
      </w:pPr>
      <w:r w:rsidRPr="00946D3F">
        <w:rPr>
          <w:snapToGrid/>
          <w:kern w:val="0"/>
          <w:szCs w:val="23"/>
        </w:rPr>
        <w:t>_________________________________________________________________________________</w:t>
      </w:r>
    </w:p>
    <w:p w:rsidR="00795681" w:rsidRPr="00946D3F" w:rsidRDefault="00795681" w:rsidP="007C0D58">
      <w:pPr>
        <w:widowControl/>
        <w:autoSpaceDE w:val="0"/>
        <w:autoSpaceDN w:val="0"/>
        <w:adjustRightInd w:val="0"/>
        <w:rPr>
          <w:snapToGrid/>
          <w:kern w:val="0"/>
          <w:szCs w:val="22"/>
        </w:rPr>
      </w:pPr>
      <w:r w:rsidRPr="00946D3F">
        <w:rPr>
          <w:snapToGrid/>
          <w:kern w:val="0"/>
          <w:szCs w:val="22"/>
        </w:rPr>
        <w:t>MHz:</w:t>
      </w:r>
    </w:p>
    <w:p w:rsidR="00795681" w:rsidRPr="00946D3F" w:rsidRDefault="00795681" w:rsidP="007C0D58">
      <w:pPr>
        <w:widowControl/>
        <w:autoSpaceDE w:val="0"/>
        <w:autoSpaceDN w:val="0"/>
        <w:adjustRightInd w:val="0"/>
        <w:rPr>
          <w:snapToGrid/>
          <w:kern w:val="0"/>
          <w:szCs w:val="19"/>
        </w:rPr>
      </w:pPr>
      <w:r w:rsidRPr="00946D3F">
        <w:rPr>
          <w:snapToGrid/>
          <w:kern w:val="0"/>
          <w:szCs w:val="21"/>
        </w:rPr>
        <w:t xml:space="preserve">25.87 to 26.03 </w:t>
      </w:r>
      <w:r w:rsidRPr="00946D3F">
        <w:rPr>
          <w:snapToGrid/>
          <w:kern w:val="0"/>
          <w:szCs w:val="21"/>
        </w:rPr>
        <w:tab/>
      </w:r>
      <w:r w:rsidRPr="00946D3F">
        <w:rPr>
          <w:snapToGrid/>
          <w:kern w:val="0"/>
          <w:szCs w:val="21"/>
        </w:rPr>
        <w:tab/>
      </w:r>
      <w:r w:rsidRPr="00946D3F">
        <w:rPr>
          <w:snapToGrid/>
          <w:kern w:val="0"/>
          <w:szCs w:val="21"/>
        </w:rPr>
        <w:tab/>
      </w:r>
      <w:r w:rsidRPr="00946D3F">
        <w:rPr>
          <w:snapToGrid/>
          <w:kern w:val="0"/>
          <w:szCs w:val="21"/>
        </w:rPr>
        <w:tab/>
      </w:r>
      <w:r w:rsidRPr="00946D3F">
        <w:rPr>
          <w:snapToGrid/>
          <w:kern w:val="0"/>
          <w:szCs w:val="21"/>
        </w:rPr>
        <w:tab/>
        <w:t xml:space="preserve">40 </w:t>
      </w:r>
      <w:r w:rsidRPr="00946D3F">
        <w:rPr>
          <w:snapToGrid/>
          <w:kern w:val="0"/>
          <w:szCs w:val="21"/>
        </w:rPr>
        <w:tab/>
      </w:r>
      <w:r w:rsidRPr="00946D3F">
        <w:rPr>
          <w:snapToGrid/>
          <w:kern w:val="0"/>
          <w:szCs w:val="21"/>
        </w:rPr>
        <w:tab/>
      </w:r>
      <w:r w:rsidRPr="00946D3F">
        <w:rPr>
          <w:snapToGrid/>
          <w:kern w:val="0"/>
          <w:szCs w:val="21"/>
        </w:rPr>
        <w:tab/>
      </w:r>
      <w:r w:rsidRPr="00946D3F">
        <w:rPr>
          <w:snapToGrid/>
          <w:kern w:val="0"/>
          <w:szCs w:val="21"/>
        </w:rPr>
        <w:tab/>
      </w:r>
      <w:r w:rsidRPr="00946D3F">
        <w:rPr>
          <w:snapToGrid/>
          <w:kern w:val="0"/>
          <w:szCs w:val="21"/>
        </w:rPr>
        <w:tab/>
        <w:t>10</w:t>
      </w:r>
    </w:p>
    <w:p w:rsidR="00795681" w:rsidRPr="00946D3F" w:rsidRDefault="00795681" w:rsidP="007C0D58">
      <w:pPr>
        <w:widowControl/>
        <w:autoSpaceDE w:val="0"/>
        <w:autoSpaceDN w:val="0"/>
        <w:adjustRightInd w:val="0"/>
        <w:rPr>
          <w:snapToGrid/>
          <w:kern w:val="0"/>
          <w:szCs w:val="21"/>
        </w:rPr>
      </w:pPr>
      <w:r w:rsidRPr="00946D3F">
        <w:rPr>
          <w:snapToGrid/>
          <w:kern w:val="0"/>
          <w:szCs w:val="21"/>
        </w:rPr>
        <w:t>26.07 to 26.47</w:t>
      </w:r>
      <w:r w:rsidRPr="00946D3F">
        <w:rPr>
          <w:snapToGrid/>
          <w:kern w:val="0"/>
          <w:szCs w:val="21"/>
        </w:rPr>
        <w:tab/>
      </w:r>
      <w:r w:rsidRPr="00946D3F">
        <w:rPr>
          <w:snapToGrid/>
          <w:kern w:val="0"/>
          <w:szCs w:val="21"/>
        </w:rPr>
        <w:tab/>
      </w:r>
      <w:r w:rsidRPr="00946D3F">
        <w:rPr>
          <w:snapToGrid/>
          <w:kern w:val="0"/>
          <w:szCs w:val="21"/>
        </w:rPr>
        <w:tab/>
      </w:r>
      <w:r w:rsidRPr="00946D3F">
        <w:rPr>
          <w:snapToGrid/>
          <w:kern w:val="0"/>
          <w:szCs w:val="21"/>
        </w:rPr>
        <w:tab/>
      </w:r>
      <w:r w:rsidRPr="00946D3F">
        <w:rPr>
          <w:snapToGrid/>
          <w:kern w:val="0"/>
          <w:szCs w:val="21"/>
        </w:rPr>
        <w:tab/>
        <w:t xml:space="preserve">20 </w:t>
      </w:r>
      <w:r w:rsidRPr="00946D3F">
        <w:rPr>
          <w:snapToGrid/>
          <w:kern w:val="0"/>
          <w:szCs w:val="21"/>
        </w:rPr>
        <w:tab/>
      </w:r>
      <w:r w:rsidRPr="00946D3F">
        <w:rPr>
          <w:snapToGrid/>
          <w:kern w:val="0"/>
          <w:szCs w:val="21"/>
        </w:rPr>
        <w:tab/>
      </w:r>
      <w:r w:rsidRPr="00946D3F">
        <w:rPr>
          <w:snapToGrid/>
          <w:kern w:val="0"/>
          <w:szCs w:val="21"/>
        </w:rPr>
        <w:tab/>
      </w:r>
      <w:r w:rsidRPr="00946D3F">
        <w:rPr>
          <w:snapToGrid/>
          <w:kern w:val="0"/>
          <w:szCs w:val="21"/>
        </w:rPr>
        <w:tab/>
      </w:r>
      <w:r w:rsidRPr="00946D3F">
        <w:rPr>
          <w:snapToGrid/>
          <w:kern w:val="0"/>
          <w:szCs w:val="21"/>
        </w:rPr>
        <w:tab/>
        <w:t>5</w:t>
      </w:r>
    </w:p>
    <w:p w:rsidR="00795681" w:rsidRPr="00946D3F" w:rsidRDefault="00795681" w:rsidP="007C0D58">
      <w:pPr>
        <w:widowControl/>
        <w:autoSpaceDE w:val="0"/>
        <w:autoSpaceDN w:val="0"/>
        <w:adjustRightInd w:val="0"/>
        <w:rPr>
          <w:snapToGrid/>
          <w:kern w:val="0"/>
          <w:szCs w:val="21"/>
        </w:rPr>
      </w:pPr>
      <w:r w:rsidRPr="00946D3F">
        <w:rPr>
          <w:snapToGrid/>
          <w:kern w:val="0"/>
          <w:szCs w:val="21"/>
        </w:rPr>
        <w:t xml:space="preserve">152.8625 to 153.3575 </w:t>
      </w:r>
      <w:r w:rsidR="00F378FF" w:rsidRPr="00946D3F">
        <w:rPr>
          <w:snapToGrid/>
          <w:kern w:val="0"/>
          <w:szCs w:val="21"/>
          <w:vertAlign w:val="superscript"/>
        </w:rPr>
        <w:t>2</w:t>
      </w:r>
      <w:r w:rsidRPr="00946D3F">
        <w:rPr>
          <w:snapToGrid/>
          <w:kern w:val="0"/>
          <w:szCs w:val="21"/>
        </w:rPr>
        <w:t xml:space="preserve"> </w:t>
      </w:r>
      <w:r w:rsidRPr="00946D3F">
        <w:rPr>
          <w:snapToGrid/>
          <w:kern w:val="0"/>
          <w:szCs w:val="21"/>
        </w:rPr>
        <w:tab/>
      </w:r>
      <w:r w:rsidRPr="00946D3F">
        <w:rPr>
          <w:snapToGrid/>
          <w:kern w:val="0"/>
          <w:szCs w:val="21"/>
        </w:rPr>
        <w:tab/>
      </w:r>
      <w:r w:rsidRPr="00946D3F">
        <w:rPr>
          <w:snapToGrid/>
          <w:kern w:val="0"/>
          <w:szCs w:val="21"/>
        </w:rPr>
        <w:tab/>
      </w:r>
      <w:r w:rsidR="004A607D">
        <w:rPr>
          <w:snapToGrid/>
          <w:kern w:val="0"/>
          <w:szCs w:val="21"/>
        </w:rPr>
        <w:tab/>
      </w:r>
      <w:r w:rsidRPr="00946D3F">
        <w:rPr>
          <w:snapToGrid/>
          <w:kern w:val="0"/>
          <w:szCs w:val="21"/>
        </w:rPr>
        <w:t>30/60</w:t>
      </w:r>
      <w:r w:rsidRPr="00946D3F">
        <w:rPr>
          <w:snapToGrid/>
          <w:kern w:val="0"/>
          <w:szCs w:val="21"/>
        </w:rPr>
        <w:tab/>
      </w:r>
      <w:r w:rsidRPr="00946D3F">
        <w:rPr>
          <w:snapToGrid/>
          <w:kern w:val="0"/>
          <w:szCs w:val="21"/>
        </w:rPr>
        <w:tab/>
      </w:r>
      <w:r w:rsidRPr="00946D3F">
        <w:rPr>
          <w:snapToGrid/>
          <w:kern w:val="0"/>
          <w:szCs w:val="21"/>
        </w:rPr>
        <w:tab/>
      </w:r>
      <w:r w:rsidRPr="00946D3F">
        <w:rPr>
          <w:snapToGrid/>
          <w:kern w:val="0"/>
          <w:szCs w:val="21"/>
        </w:rPr>
        <w:tab/>
      </w:r>
      <w:r w:rsidRPr="00946D3F">
        <w:rPr>
          <w:snapToGrid/>
          <w:kern w:val="0"/>
          <w:szCs w:val="21"/>
        </w:rPr>
        <w:tab/>
        <w:t>5/10</w:t>
      </w:r>
    </w:p>
    <w:p w:rsidR="00795681" w:rsidRPr="00946D3F" w:rsidRDefault="00795681" w:rsidP="007C0D58">
      <w:pPr>
        <w:widowControl/>
        <w:autoSpaceDE w:val="0"/>
        <w:autoSpaceDN w:val="0"/>
        <w:adjustRightInd w:val="0"/>
        <w:rPr>
          <w:snapToGrid/>
          <w:kern w:val="0"/>
          <w:szCs w:val="21"/>
        </w:rPr>
      </w:pPr>
      <w:r w:rsidRPr="00946D3F">
        <w:rPr>
          <w:snapToGrid/>
          <w:kern w:val="0"/>
          <w:szCs w:val="21"/>
        </w:rPr>
        <w:t>160.860 to 161.400</w:t>
      </w:r>
      <w:r w:rsidRPr="00946D3F">
        <w:rPr>
          <w:snapToGrid/>
          <w:kern w:val="0"/>
          <w:szCs w:val="21"/>
        </w:rPr>
        <w:tab/>
      </w:r>
      <w:r w:rsidRPr="00946D3F">
        <w:rPr>
          <w:snapToGrid/>
          <w:kern w:val="0"/>
          <w:szCs w:val="21"/>
        </w:rPr>
        <w:tab/>
      </w:r>
      <w:r w:rsidRPr="00946D3F">
        <w:rPr>
          <w:snapToGrid/>
          <w:kern w:val="0"/>
          <w:szCs w:val="21"/>
        </w:rPr>
        <w:tab/>
      </w:r>
      <w:r w:rsidRPr="00946D3F">
        <w:rPr>
          <w:snapToGrid/>
          <w:kern w:val="0"/>
          <w:szCs w:val="21"/>
        </w:rPr>
        <w:tab/>
        <w:t>60</w:t>
      </w:r>
      <w:r w:rsidRPr="00946D3F">
        <w:rPr>
          <w:snapToGrid/>
          <w:kern w:val="0"/>
          <w:szCs w:val="21"/>
        </w:rPr>
        <w:tab/>
      </w:r>
      <w:r w:rsidRPr="00946D3F">
        <w:rPr>
          <w:snapToGrid/>
          <w:kern w:val="0"/>
          <w:szCs w:val="21"/>
        </w:rPr>
        <w:tab/>
      </w:r>
      <w:r w:rsidRPr="00946D3F">
        <w:rPr>
          <w:snapToGrid/>
          <w:kern w:val="0"/>
          <w:szCs w:val="21"/>
        </w:rPr>
        <w:tab/>
      </w:r>
      <w:r w:rsidRPr="00946D3F">
        <w:rPr>
          <w:snapToGrid/>
          <w:kern w:val="0"/>
          <w:szCs w:val="21"/>
        </w:rPr>
        <w:tab/>
      </w:r>
      <w:r w:rsidRPr="00946D3F">
        <w:rPr>
          <w:snapToGrid/>
          <w:kern w:val="0"/>
          <w:szCs w:val="21"/>
        </w:rPr>
        <w:tab/>
        <w:t>10</w:t>
      </w:r>
    </w:p>
    <w:p w:rsidR="00795681" w:rsidRPr="00946D3F" w:rsidRDefault="00795681" w:rsidP="007C0D58">
      <w:pPr>
        <w:widowControl/>
        <w:autoSpaceDE w:val="0"/>
        <w:autoSpaceDN w:val="0"/>
        <w:adjustRightInd w:val="0"/>
        <w:rPr>
          <w:snapToGrid/>
          <w:kern w:val="0"/>
          <w:szCs w:val="21"/>
        </w:rPr>
      </w:pPr>
      <w:r w:rsidRPr="00946D3F">
        <w:rPr>
          <w:snapToGrid/>
          <w:kern w:val="0"/>
          <w:szCs w:val="21"/>
        </w:rPr>
        <w:t>161.625 to 161.775</w:t>
      </w:r>
      <w:r w:rsidRPr="00946D3F">
        <w:rPr>
          <w:snapToGrid/>
          <w:kern w:val="0"/>
          <w:szCs w:val="21"/>
        </w:rPr>
        <w:tab/>
      </w:r>
      <w:r w:rsidRPr="00946D3F">
        <w:rPr>
          <w:snapToGrid/>
          <w:kern w:val="0"/>
          <w:szCs w:val="21"/>
        </w:rPr>
        <w:tab/>
      </w:r>
      <w:r w:rsidRPr="00946D3F">
        <w:rPr>
          <w:snapToGrid/>
          <w:kern w:val="0"/>
          <w:szCs w:val="21"/>
        </w:rPr>
        <w:tab/>
      </w:r>
      <w:r w:rsidRPr="00946D3F">
        <w:rPr>
          <w:snapToGrid/>
          <w:kern w:val="0"/>
          <w:szCs w:val="21"/>
        </w:rPr>
        <w:tab/>
        <w:t>30</w:t>
      </w:r>
      <w:r w:rsidRPr="00946D3F">
        <w:rPr>
          <w:snapToGrid/>
          <w:kern w:val="0"/>
          <w:szCs w:val="21"/>
        </w:rPr>
        <w:tab/>
      </w:r>
      <w:r w:rsidRPr="00946D3F">
        <w:rPr>
          <w:snapToGrid/>
          <w:kern w:val="0"/>
          <w:szCs w:val="21"/>
        </w:rPr>
        <w:tab/>
      </w:r>
      <w:r w:rsidRPr="00946D3F">
        <w:rPr>
          <w:snapToGrid/>
          <w:kern w:val="0"/>
          <w:szCs w:val="21"/>
        </w:rPr>
        <w:tab/>
      </w:r>
      <w:r w:rsidRPr="00946D3F">
        <w:rPr>
          <w:snapToGrid/>
          <w:kern w:val="0"/>
          <w:szCs w:val="21"/>
        </w:rPr>
        <w:tab/>
      </w:r>
      <w:r w:rsidRPr="00946D3F">
        <w:rPr>
          <w:snapToGrid/>
          <w:kern w:val="0"/>
          <w:szCs w:val="21"/>
        </w:rPr>
        <w:tab/>
        <w:t>5</w:t>
      </w:r>
    </w:p>
    <w:p w:rsidR="00795681" w:rsidRPr="00946D3F" w:rsidRDefault="00795681" w:rsidP="007C0D58">
      <w:pPr>
        <w:widowControl/>
        <w:autoSpaceDE w:val="0"/>
        <w:autoSpaceDN w:val="0"/>
        <w:adjustRightInd w:val="0"/>
        <w:rPr>
          <w:snapToGrid/>
          <w:kern w:val="0"/>
          <w:szCs w:val="21"/>
        </w:rPr>
      </w:pPr>
      <w:r w:rsidRPr="00946D3F">
        <w:rPr>
          <w:snapToGrid/>
          <w:kern w:val="0"/>
          <w:szCs w:val="21"/>
        </w:rPr>
        <w:t>166.25 and 170.15</w:t>
      </w:r>
      <w:r w:rsidR="00F378FF" w:rsidRPr="00946D3F">
        <w:rPr>
          <w:snapToGrid/>
          <w:kern w:val="0"/>
          <w:szCs w:val="21"/>
          <w:vertAlign w:val="superscript"/>
        </w:rPr>
        <w:t>3</w:t>
      </w:r>
      <w:r w:rsidRPr="00946D3F">
        <w:rPr>
          <w:snapToGrid/>
          <w:kern w:val="0"/>
          <w:szCs w:val="21"/>
        </w:rPr>
        <w:tab/>
      </w:r>
      <w:r w:rsidRPr="00946D3F">
        <w:rPr>
          <w:snapToGrid/>
          <w:kern w:val="0"/>
          <w:szCs w:val="21"/>
        </w:rPr>
        <w:tab/>
      </w:r>
      <w:r w:rsidRPr="00946D3F">
        <w:rPr>
          <w:snapToGrid/>
          <w:kern w:val="0"/>
          <w:szCs w:val="21"/>
        </w:rPr>
        <w:tab/>
      </w:r>
      <w:r w:rsidRPr="00946D3F">
        <w:rPr>
          <w:snapToGrid/>
          <w:kern w:val="0"/>
          <w:szCs w:val="21"/>
        </w:rPr>
        <w:tab/>
        <w:t>12.5</w:t>
      </w:r>
      <w:r w:rsidRPr="00946D3F">
        <w:rPr>
          <w:snapToGrid/>
          <w:kern w:val="0"/>
          <w:szCs w:val="21"/>
        </w:rPr>
        <w:tab/>
      </w:r>
      <w:r w:rsidRPr="00946D3F">
        <w:rPr>
          <w:snapToGrid/>
          <w:kern w:val="0"/>
          <w:szCs w:val="21"/>
        </w:rPr>
        <w:tab/>
      </w:r>
      <w:r w:rsidRPr="00946D3F">
        <w:rPr>
          <w:snapToGrid/>
          <w:kern w:val="0"/>
          <w:szCs w:val="21"/>
        </w:rPr>
        <w:tab/>
      </w:r>
      <w:r w:rsidRPr="00946D3F">
        <w:rPr>
          <w:snapToGrid/>
          <w:kern w:val="0"/>
          <w:szCs w:val="21"/>
        </w:rPr>
        <w:tab/>
      </w:r>
      <w:r w:rsidRPr="00946D3F">
        <w:rPr>
          <w:snapToGrid/>
          <w:kern w:val="0"/>
          <w:szCs w:val="21"/>
        </w:rPr>
        <w:tab/>
        <w:t>2.5</w:t>
      </w:r>
    </w:p>
    <w:p w:rsidR="00795681" w:rsidRPr="00946D3F" w:rsidRDefault="00795681" w:rsidP="007C0D58">
      <w:pPr>
        <w:widowControl/>
        <w:autoSpaceDE w:val="0"/>
        <w:autoSpaceDN w:val="0"/>
        <w:adjustRightInd w:val="0"/>
        <w:rPr>
          <w:snapToGrid/>
          <w:kern w:val="0"/>
          <w:szCs w:val="21"/>
        </w:rPr>
      </w:pPr>
      <w:r w:rsidRPr="00946D3F">
        <w:rPr>
          <w:snapToGrid/>
          <w:kern w:val="0"/>
          <w:szCs w:val="21"/>
        </w:rPr>
        <w:t>450.00625 to 450.99375</w:t>
      </w:r>
      <w:r w:rsidRPr="00946D3F">
        <w:rPr>
          <w:snapToGrid/>
          <w:kern w:val="0"/>
          <w:szCs w:val="21"/>
        </w:rPr>
        <w:tab/>
      </w:r>
      <w:r w:rsidRPr="00946D3F">
        <w:rPr>
          <w:snapToGrid/>
          <w:kern w:val="0"/>
          <w:szCs w:val="21"/>
        </w:rPr>
        <w:tab/>
      </w:r>
      <w:r w:rsidRPr="00946D3F">
        <w:rPr>
          <w:snapToGrid/>
          <w:kern w:val="0"/>
          <w:szCs w:val="21"/>
        </w:rPr>
        <w:tab/>
      </w:r>
      <w:r w:rsidRPr="00946D3F">
        <w:rPr>
          <w:snapToGrid/>
          <w:kern w:val="0"/>
          <w:szCs w:val="21"/>
        </w:rPr>
        <w:tab/>
        <w:t>25</w:t>
      </w:r>
      <w:r w:rsidRPr="00946D3F">
        <w:rPr>
          <w:snapToGrid/>
          <w:kern w:val="0"/>
          <w:szCs w:val="21"/>
        </w:rPr>
        <w:tab/>
      </w:r>
      <w:r w:rsidRPr="00946D3F">
        <w:rPr>
          <w:snapToGrid/>
          <w:kern w:val="0"/>
          <w:szCs w:val="21"/>
        </w:rPr>
        <w:tab/>
      </w:r>
      <w:r w:rsidRPr="00946D3F">
        <w:rPr>
          <w:snapToGrid/>
          <w:kern w:val="0"/>
          <w:szCs w:val="21"/>
        </w:rPr>
        <w:tab/>
      </w:r>
      <w:r w:rsidRPr="00946D3F">
        <w:rPr>
          <w:snapToGrid/>
          <w:kern w:val="0"/>
          <w:szCs w:val="21"/>
        </w:rPr>
        <w:tab/>
      </w:r>
      <w:r w:rsidRPr="00946D3F">
        <w:rPr>
          <w:snapToGrid/>
          <w:kern w:val="0"/>
          <w:szCs w:val="21"/>
        </w:rPr>
        <w:tab/>
        <w:t>5</w:t>
      </w:r>
    </w:p>
    <w:p w:rsidR="00795681" w:rsidRPr="00946D3F" w:rsidRDefault="00795681" w:rsidP="007C0D58">
      <w:pPr>
        <w:widowControl/>
        <w:autoSpaceDE w:val="0"/>
        <w:autoSpaceDN w:val="0"/>
        <w:adjustRightInd w:val="0"/>
        <w:rPr>
          <w:snapToGrid/>
          <w:kern w:val="0"/>
          <w:szCs w:val="21"/>
        </w:rPr>
      </w:pPr>
      <w:r w:rsidRPr="00946D3F">
        <w:rPr>
          <w:snapToGrid/>
          <w:kern w:val="0"/>
          <w:szCs w:val="21"/>
        </w:rPr>
        <w:t>455.00625 to 455.99375</w:t>
      </w:r>
      <w:r w:rsidRPr="00946D3F">
        <w:rPr>
          <w:snapToGrid/>
          <w:kern w:val="0"/>
          <w:szCs w:val="21"/>
        </w:rPr>
        <w:tab/>
      </w:r>
      <w:r w:rsidRPr="00946D3F">
        <w:rPr>
          <w:snapToGrid/>
          <w:kern w:val="0"/>
          <w:szCs w:val="21"/>
        </w:rPr>
        <w:tab/>
      </w:r>
      <w:r w:rsidRPr="00946D3F">
        <w:rPr>
          <w:snapToGrid/>
          <w:kern w:val="0"/>
          <w:szCs w:val="21"/>
        </w:rPr>
        <w:tab/>
      </w:r>
      <w:r w:rsidRPr="00946D3F">
        <w:rPr>
          <w:snapToGrid/>
          <w:kern w:val="0"/>
          <w:szCs w:val="21"/>
        </w:rPr>
        <w:tab/>
        <w:t>25</w:t>
      </w:r>
      <w:r w:rsidRPr="00946D3F">
        <w:rPr>
          <w:snapToGrid/>
          <w:kern w:val="0"/>
          <w:szCs w:val="21"/>
        </w:rPr>
        <w:tab/>
      </w:r>
      <w:r w:rsidRPr="00946D3F">
        <w:rPr>
          <w:snapToGrid/>
          <w:kern w:val="0"/>
          <w:szCs w:val="21"/>
        </w:rPr>
        <w:tab/>
      </w:r>
      <w:r w:rsidRPr="00946D3F">
        <w:rPr>
          <w:snapToGrid/>
          <w:kern w:val="0"/>
          <w:szCs w:val="21"/>
        </w:rPr>
        <w:tab/>
      </w:r>
      <w:r w:rsidRPr="00946D3F">
        <w:rPr>
          <w:snapToGrid/>
          <w:kern w:val="0"/>
          <w:szCs w:val="21"/>
        </w:rPr>
        <w:tab/>
      </w:r>
      <w:r w:rsidRPr="00946D3F">
        <w:rPr>
          <w:snapToGrid/>
          <w:kern w:val="0"/>
          <w:szCs w:val="21"/>
        </w:rPr>
        <w:tab/>
        <w:t>5</w:t>
      </w:r>
    </w:p>
    <w:p w:rsidR="00795681" w:rsidRPr="00946D3F" w:rsidRDefault="00795681" w:rsidP="007C0D58">
      <w:pPr>
        <w:widowControl/>
        <w:autoSpaceDE w:val="0"/>
        <w:autoSpaceDN w:val="0"/>
        <w:adjustRightInd w:val="0"/>
        <w:rPr>
          <w:snapToGrid/>
          <w:kern w:val="0"/>
          <w:szCs w:val="21"/>
        </w:rPr>
      </w:pPr>
      <w:r w:rsidRPr="00946D3F">
        <w:rPr>
          <w:snapToGrid/>
          <w:kern w:val="0"/>
          <w:szCs w:val="21"/>
        </w:rPr>
        <w:t>450.03125 to 450.61875</w:t>
      </w:r>
      <w:r w:rsidRPr="00946D3F">
        <w:rPr>
          <w:snapToGrid/>
          <w:kern w:val="0"/>
          <w:szCs w:val="21"/>
        </w:rPr>
        <w:tab/>
      </w:r>
      <w:r w:rsidRPr="00946D3F">
        <w:rPr>
          <w:snapToGrid/>
          <w:kern w:val="0"/>
          <w:szCs w:val="21"/>
        </w:rPr>
        <w:tab/>
      </w:r>
      <w:r w:rsidRPr="00946D3F">
        <w:rPr>
          <w:snapToGrid/>
          <w:kern w:val="0"/>
          <w:szCs w:val="21"/>
        </w:rPr>
        <w:tab/>
      </w:r>
      <w:r w:rsidRPr="00946D3F">
        <w:rPr>
          <w:snapToGrid/>
          <w:kern w:val="0"/>
          <w:szCs w:val="21"/>
        </w:rPr>
        <w:tab/>
      </w:r>
      <w:r w:rsidR="004D38A4" w:rsidRPr="00946D3F">
        <w:rPr>
          <w:snapToGrid/>
          <w:kern w:val="0"/>
          <w:szCs w:val="21"/>
        </w:rPr>
        <w:t>50</w:t>
      </w:r>
      <w:r w:rsidRPr="00946D3F">
        <w:rPr>
          <w:snapToGrid/>
          <w:kern w:val="0"/>
          <w:szCs w:val="21"/>
        </w:rPr>
        <w:tab/>
      </w:r>
      <w:r w:rsidRPr="00946D3F">
        <w:rPr>
          <w:snapToGrid/>
          <w:kern w:val="0"/>
          <w:szCs w:val="21"/>
        </w:rPr>
        <w:tab/>
      </w:r>
      <w:r w:rsidRPr="00946D3F">
        <w:rPr>
          <w:snapToGrid/>
          <w:kern w:val="0"/>
          <w:szCs w:val="21"/>
        </w:rPr>
        <w:tab/>
      </w:r>
      <w:r w:rsidRPr="00946D3F">
        <w:rPr>
          <w:snapToGrid/>
          <w:kern w:val="0"/>
          <w:szCs w:val="21"/>
        </w:rPr>
        <w:tab/>
      </w:r>
      <w:r w:rsidRPr="00946D3F">
        <w:rPr>
          <w:snapToGrid/>
          <w:kern w:val="0"/>
          <w:szCs w:val="21"/>
        </w:rPr>
        <w:tab/>
      </w:r>
    </w:p>
    <w:p w:rsidR="00795681" w:rsidRPr="00946D3F" w:rsidRDefault="00795681" w:rsidP="007C0D58">
      <w:pPr>
        <w:widowControl/>
        <w:autoSpaceDE w:val="0"/>
        <w:autoSpaceDN w:val="0"/>
        <w:adjustRightInd w:val="0"/>
        <w:rPr>
          <w:snapToGrid/>
          <w:kern w:val="0"/>
          <w:szCs w:val="21"/>
        </w:rPr>
      </w:pPr>
      <w:r w:rsidRPr="00946D3F">
        <w:rPr>
          <w:snapToGrid/>
          <w:kern w:val="0"/>
          <w:szCs w:val="21"/>
        </w:rPr>
        <w:t>455.03125 to 455.61875</w:t>
      </w:r>
      <w:r w:rsidRPr="00946D3F">
        <w:rPr>
          <w:snapToGrid/>
          <w:kern w:val="0"/>
          <w:szCs w:val="21"/>
        </w:rPr>
        <w:tab/>
      </w:r>
      <w:r w:rsidRPr="00946D3F">
        <w:rPr>
          <w:snapToGrid/>
          <w:kern w:val="0"/>
          <w:szCs w:val="21"/>
        </w:rPr>
        <w:tab/>
      </w:r>
      <w:r w:rsidRPr="00946D3F">
        <w:rPr>
          <w:snapToGrid/>
          <w:kern w:val="0"/>
          <w:szCs w:val="21"/>
        </w:rPr>
        <w:tab/>
      </w:r>
      <w:r w:rsidRPr="00946D3F">
        <w:rPr>
          <w:snapToGrid/>
          <w:kern w:val="0"/>
          <w:szCs w:val="21"/>
        </w:rPr>
        <w:tab/>
      </w:r>
      <w:r w:rsidR="004D38A4" w:rsidRPr="00946D3F">
        <w:rPr>
          <w:snapToGrid/>
          <w:kern w:val="0"/>
          <w:szCs w:val="21"/>
        </w:rPr>
        <w:t>50</w:t>
      </w:r>
      <w:r w:rsidRPr="00946D3F">
        <w:rPr>
          <w:snapToGrid/>
          <w:kern w:val="0"/>
          <w:szCs w:val="21"/>
        </w:rPr>
        <w:tab/>
      </w:r>
      <w:r w:rsidRPr="00946D3F">
        <w:rPr>
          <w:snapToGrid/>
          <w:kern w:val="0"/>
          <w:szCs w:val="21"/>
        </w:rPr>
        <w:tab/>
      </w:r>
      <w:r w:rsidRPr="00946D3F">
        <w:rPr>
          <w:snapToGrid/>
          <w:kern w:val="0"/>
          <w:szCs w:val="21"/>
        </w:rPr>
        <w:tab/>
      </w:r>
      <w:r w:rsidRPr="00946D3F">
        <w:rPr>
          <w:snapToGrid/>
          <w:kern w:val="0"/>
          <w:szCs w:val="21"/>
        </w:rPr>
        <w:tab/>
      </w:r>
      <w:r w:rsidR="004D38A4" w:rsidRPr="00946D3F">
        <w:rPr>
          <w:snapToGrid/>
          <w:kern w:val="0"/>
          <w:szCs w:val="21"/>
        </w:rPr>
        <w:tab/>
      </w:r>
      <w:r w:rsidRPr="00946D3F">
        <w:rPr>
          <w:snapToGrid/>
          <w:kern w:val="0"/>
          <w:szCs w:val="21"/>
        </w:rPr>
        <w:t>5</w:t>
      </w:r>
    </w:p>
    <w:p w:rsidR="00795681" w:rsidRPr="00946D3F" w:rsidRDefault="00795681" w:rsidP="007C0D58">
      <w:pPr>
        <w:widowControl/>
        <w:autoSpaceDE w:val="0"/>
        <w:autoSpaceDN w:val="0"/>
        <w:adjustRightInd w:val="0"/>
        <w:rPr>
          <w:snapToGrid/>
          <w:kern w:val="0"/>
          <w:szCs w:val="21"/>
        </w:rPr>
      </w:pPr>
      <w:r w:rsidRPr="00946D3F">
        <w:rPr>
          <w:snapToGrid/>
          <w:kern w:val="0"/>
          <w:szCs w:val="21"/>
        </w:rPr>
        <w:t>450.6375 to 450.8625</w:t>
      </w:r>
      <w:r w:rsidRPr="00946D3F">
        <w:rPr>
          <w:snapToGrid/>
          <w:kern w:val="0"/>
          <w:szCs w:val="21"/>
        </w:rPr>
        <w:tab/>
      </w:r>
      <w:r w:rsidRPr="00946D3F">
        <w:rPr>
          <w:snapToGrid/>
          <w:kern w:val="0"/>
          <w:szCs w:val="21"/>
        </w:rPr>
        <w:tab/>
      </w:r>
      <w:r w:rsidRPr="00946D3F">
        <w:rPr>
          <w:snapToGrid/>
          <w:kern w:val="0"/>
          <w:szCs w:val="21"/>
        </w:rPr>
        <w:tab/>
      </w:r>
      <w:r w:rsidRPr="00946D3F">
        <w:rPr>
          <w:snapToGrid/>
          <w:kern w:val="0"/>
          <w:szCs w:val="21"/>
        </w:rPr>
        <w:tab/>
      </w:r>
      <w:r w:rsidRPr="00946D3F">
        <w:rPr>
          <w:snapToGrid/>
          <w:kern w:val="0"/>
          <w:szCs w:val="21"/>
        </w:rPr>
        <w:tab/>
      </w:r>
      <w:r w:rsidRPr="00946D3F">
        <w:rPr>
          <w:snapToGrid/>
          <w:kern w:val="0"/>
          <w:szCs w:val="21"/>
        </w:rPr>
        <w:tab/>
      </w:r>
      <w:r w:rsidRPr="00946D3F">
        <w:rPr>
          <w:snapToGrid/>
          <w:kern w:val="0"/>
          <w:szCs w:val="21"/>
        </w:rPr>
        <w:tab/>
      </w:r>
      <w:r w:rsidRPr="00946D3F">
        <w:rPr>
          <w:snapToGrid/>
          <w:kern w:val="0"/>
          <w:szCs w:val="21"/>
        </w:rPr>
        <w:tab/>
      </w:r>
      <w:r w:rsidRPr="00946D3F">
        <w:rPr>
          <w:snapToGrid/>
          <w:kern w:val="0"/>
          <w:szCs w:val="21"/>
        </w:rPr>
        <w:tab/>
      </w:r>
    </w:p>
    <w:p w:rsidR="00795681" w:rsidRPr="00946D3F" w:rsidRDefault="00795681" w:rsidP="007C0D58">
      <w:pPr>
        <w:widowControl/>
        <w:autoSpaceDE w:val="0"/>
        <w:autoSpaceDN w:val="0"/>
        <w:adjustRightInd w:val="0"/>
        <w:rPr>
          <w:snapToGrid/>
          <w:kern w:val="0"/>
          <w:szCs w:val="21"/>
        </w:rPr>
      </w:pPr>
      <w:r w:rsidRPr="00946D3F">
        <w:rPr>
          <w:snapToGrid/>
          <w:kern w:val="0"/>
          <w:szCs w:val="21"/>
        </w:rPr>
        <w:t>455.6375 to 455.8625</w:t>
      </w:r>
      <w:r w:rsidRPr="00946D3F">
        <w:rPr>
          <w:snapToGrid/>
          <w:kern w:val="0"/>
          <w:szCs w:val="21"/>
        </w:rPr>
        <w:tab/>
      </w:r>
      <w:r w:rsidRPr="00946D3F">
        <w:rPr>
          <w:snapToGrid/>
          <w:kern w:val="0"/>
          <w:szCs w:val="21"/>
        </w:rPr>
        <w:tab/>
      </w:r>
      <w:r w:rsidRPr="00946D3F">
        <w:rPr>
          <w:snapToGrid/>
          <w:kern w:val="0"/>
          <w:szCs w:val="21"/>
        </w:rPr>
        <w:tab/>
      </w:r>
      <w:r w:rsidRPr="00946D3F">
        <w:rPr>
          <w:snapToGrid/>
          <w:kern w:val="0"/>
          <w:szCs w:val="21"/>
        </w:rPr>
        <w:tab/>
        <w:t>50</w:t>
      </w:r>
      <w:r w:rsidRPr="00946D3F">
        <w:rPr>
          <w:snapToGrid/>
          <w:kern w:val="0"/>
          <w:szCs w:val="21"/>
        </w:rPr>
        <w:tab/>
      </w:r>
      <w:r w:rsidRPr="00946D3F">
        <w:rPr>
          <w:snapToGrid/>
          <w:kern w:val="0"/>
          <w:szCs w:val="21"/>
        </w:rPr>
        <w:tab/>
      </w:r>
      <w:r w:rsidRPr="00946D3F">
        <w:rPr>
          <w:snapToGrid/>
          <w:kern w:val="0"/>
          <w:szCs w:val="21"/>
        </w:rPr>
        <w:tab/>
      </w:r>
      <w:r w:rsidRPr="00946D3F">
        <w:rPr>
          <w:snapToGrid/>
          <w:kern w:val="0"/>
          <w:szCs w:val="21"/>
        </w:rPr>
        <w:tab/>
      </w:r>
      <w:r w:rsidRPr="00946D3F">
        <w:rPr>
          <w:snapToGrid/>
          <w:kern w:val="0"/>
          <w:szCs w:val="21"/>
        </w:rPr>
        <w:tab/>
        <w:t>10</w:t>
      </w:r>
    </w:p>
    <w:p w:rsidR="00795681" w:rsidRPr="00946D3F" w:rsidRDefault="00795681" w:rsidP="007C0D58">
      <w:pPr>
        <w:widowControl/>
        <w:autoSpaceDE w:val="0"/>
        <w:autoSpaceDN w:val="0"/>
        <w:adjustRightInd w:val="0"/>
        <w:rPr>
          <w:snapToGrid/>
          <w:kern w:val="0"/>
          <w:szCs w:val="21"/>
        </w:rPr>
      </w:pPr>
      <w:r w:rsidRPr="00946D3F">
        <w:rPr>
          <w:snapToGrid/>
          <w:kern w:val="0"/>
          <w:szCs w:val="21"/>
        </w:rPr>
        <w:t>450.900, 450.950</w:t>
      </w:r>
      <w:r w:rsidRPr="00946D3F">
        <w:rPr>
          <w:snapToGrid/>
          <w:kern w:val="0"/>
          <w:szCs w:val="21"/>
        </w:rPr>
        <w:tab/>
      </w:r>
      <w:r w:rsidRPr="00946D3F">
        <w:rPr>
          <w:snapToGrid/>
          <w:kern w:val="0"/>
          <w:szCs w:val="21"/>
        </w:rPr>
        <w:tab/>
      </w:r>
      <w:r w:rsidRPr="00946D3F">
        <w:rPr>
          <w:snapToGrid/>
          <w:kern w:val="0"/>
          <w:szCs w:val="21"/>
        </w:rPr>
        <w:tab/>
      </w:r>
      <w:r w:rsidRPr="00946D3F">
        <w:rPr>
          <w:snapToGrid/>
          <w:kern w:val="0"/>
          <w:szCs w:val="21"/>
        </w:rPr>
        <w:tab/>
      </w:r>
      <w:r w:rsidRPr="00946D3F">
        <w:rPr>
          <w:snapToGrid/>
          <w:kern w:val="0"/>
          <w:szCs w:val="21"/>
        </w:rPr>
        <w:tab/>
      </w:r>
      <w:r w:rsidRPr="00946D3F">
        <w:rPr>
          <w:snapToGrid/>
          <w:kern w:val="0"/>
          <w:szCs w:val="21"/>
        </w:rPr>
        <w:tab/>
      </w:r>
      <w:r w:rsidRPr="00946D3F">
        <w:rPr>
          <w:snapToGrid/>
          <w:kern w:val="0"/>
          <w:szCs w:val="21"/>
        </w:rPr>
        <w:tab/>
      </w:r>
      <w:r w:rsidRPr="00946D3F">
        <w:rPr>
          <w:snapToGrid/>
          <w:kern w:val="0"/>
          <w:szCs w:val="21"/>
        </w:rPr>
        <w:tab/>
      </w:r>
      <w:r w:rsidRPr="00946D3F">
        <w:rPr>
          <w:snapToGrid/>
          <w:kern w:val="0"/>
          <w:szCs w:val="21"/>
        </w:rPr>
        <w:tab/>
      </w:r>
    </w:p>
    <w:p w:rsidR="00795681" w:rsidRPr="00946D3F" w:rsidRDefault="00795681" w:rsidP="007C0D58">
      <w:pPr>
        <w:widowControl/>
        <w:autoSpaceDE w:val="0"/>
        <w:autoSpaceDN w:val="0"/>
        <w:adjustRightInd w:val="0"/>
        <w:rPr>
          <w:snapToGrid/>
          <w:kern w:val="0"/>
          <w:szCs w:val="21"/>
        </w:rPr>
      </w:pPr>
      <w:r w:rsidRPr="00946D3F">
        <w:rPr>
          <w:snapToGrid/>
          <w:kern w:val="0"/>
          <w:szCs w:val="21"/>
        </w:rPr>
        <w:t>455.900,</w:t>
      </w:r>
      <w:r w:rsidR="00EE1D6B" w:rsidRPr="00946D3F">
        <w:rPr>
          <w:snapToGrid/>
          <w:kern w:val="0"/>
          <w:szCs w:val="21"/>
        </w:rPr>
        <w:t xml:space="preserve"> </w:t>
      </w:r>
      <w:r w:rsidRPr="00946D3F">
        <w:rPr>
          <w:snapToGrid/>
          <w:kern w:val="0"/>
          <w:szCs w:val="21"/>
        </w:rPr>
        <w:t>455.950</w:t>
      </w:r>
      <w:r w:rsidR="00D45202" w:rsidRPr="00946D3F">
        <w:rPr>
          <w:snapToGrid/>
          <w:kern w:val="0"/>
          <w:szCs w:val="21"/>
          <w:vertAlign w:val="superscript"/>
        </w:rPr>
        <w:t>4</w:t>
      </w:r>
      <w:r w:rsidRPr="00946D3F">
        <w:rPr>
          <w:snapToGrid/>
          <w:kern w:val="0"/>
          <w:szCs w:val="21"/>
        </w:rPr>
        <w:tab/>
      </w:r>
      <w:r w:rsidRPr="00946D3F">
        <w:rPr>
          <w:snapToGrid/>
          <w:kern w:val="0"/>
          <w:szCs w:val="21"/>
        </w:rPr>
        <w:tab/>
      </w:r>
      <w:r w:rsidRPr="00946D3F">
        <w:rPr>
          <w:snapToGrid/>
          <w:kern w:val="0"/>
          <w:szCs w:val="21"/>
        </w:rPr>
        <w:tab/>
      </w:r>
      <w:r w:rsidRPr="00946D3F">
        <w:rPr>
          <w:snapToGrid/>
          <w:kern w:val="0"/>
          <w:szCs w:val="21"/>
        </w:rPr>
        <w:tab/>
        <w:t>100</w:t>
      </w:r>
      <w:r w:rsidRPr="00946D3F">
        <w:rPr>
          <w:snapToGrid/>
          <w:kern w:val="0"/>
          <w:szCs w:val="21"/>
        </w:rPr>
        <w:tab/>
      </w:r>
      <w:r w:rsidRPr="00946D3F">
        <w:rPr>
          <w:snapToGrid/>
          <w:kern w:val="0"/>
          <w:szCs w:val="21"/>
        </w:rPr>
        <w:tab/>
      </w:r>
      <w:r w:rsidRPr="00946D3F">
        <w:rPr>
          <w:snapToGrid/>
          <w:kern w:val="0"/>
          <w:szCs w:val="21"/>
        </w:rPr>
        <w:tab/>
      </w:r>
      <w:r w:rsidRPr="00946D3F">
        <w:rPr>
          <w:snapToGrid/>
          <w:kern w:val="0"/>
          <w:szCs w:val="21"/>
        </w:rPr>
        <w:tab/>
      </w:r>
      <w:r w:rsidRPr="00946D3F">
        <w:rPr>
          <w:snapToGrid/>
          <w:kern w:val="0"/>
          <w:szCs w:val="21"/>
        </w:rPr>
        <w:tab/>
        <w:t>35</w:t>
      </w:r>
    </w:p>
    <w:p w:rsidR="00795681" w:rsidRPr="00946D3F" w:rsidRDefault="00795681" w:rsidP="007C0D58">
      <w:pPr>
        <w:widowControl/>
        <w:autoSpaceDE w:val="0"/>
        <w:autoSpaceDN w:val="0"/>
        <w:adjustRightInd w:val="0"/>
        <w:rPr>
          <w:snapToGrid/>
          <w:kern w:val="0"/>
          <w:szCs w:val="21"/>
        </w:rPr>
      </w:pPr>
      <w:r w:rsidRPr="00946D3F">
        <w:rPr>
          <w:snapToGrid/>
          <w:kern w:val="0"/>
          <w:szCs w:val="21"/>
        </w:rPr>
        <w:t>-------------------------------------------------------.---.---------------------------------</w:t>
      </w:r>
    </w:p>
    <w:p w:rsidR="00795681" w:rsidRPr="00946D3F" w:rsidRDefault="00795681" w:rsidP="007C0D58">
      <w:pPr>
        <w:widowControl/>
        <w:jc w:val="center"/>
        <w:rPr>
          <w:bCs/>
        </w:rPr>
      </w:pPr>
    </w:p>
    <w:p w:rsidR="00D45202" w:rsidRPr="00946D3F" w:rsidRDefault="00D45202" w:rsidP="00D45202">
      <w:pPr>
        <w:pStyle w:val="gpotblnote"/>
        <w:rPr>
          <w:sz w:val="22"/>
          <w:szCs w:val="22"/>
        </w:rPr>
      </w:pPr>
      <w:r w:rsidRPr="00946D3F">
        <w:rPr>
          <w:sz w:val="22"/>
          <w:szCs w:val="22"/>
          <w:vertAlign w:val="superscript"/>
        </w:rPr>
        <w:t xml:space="preserve">1 </w:t>
      </w:r>
      <w:r w:rsidRPr="00946D3F">
        <w:rPr>
          <w:sz w:val="22"/>
          <w:szCs w:val="22"/>
        </w:rPr>
        <w:t>Applies where F1A, F1B, F1D, F1E, F2A, F2B, F2D, F2E, F3E, or F9E emissions are used.</w:t>
      </w:r>
    </w:p>
    <w:p w:rsidR="00D45202" w:rsidRPr="00D45202" w:rsidRDefault="00D45202" w:rsidP="00D45202">
      <w:pPr>
        <w:pStyle w:val="gpotblnote"/>
        <w:rPr>
          <w:sz w:val="22"/>
          <w:szCs w:val="22"/>
        </w:rPr>
      </w:pPr>
      <w:r w:rsidRPr="00D45202">
        <w:rPr>
          <w:sz w:val="22"/>
          <w:szCs w:val="22"/>
          <w:vertAlign w:val="superscript"/>
        </w:rPr>
        <w:t xml:space="preserve">2 </w:t>
      </w:r>
      <w:r w:rsidRPr="00D45202">
        <w:rPr>
          <w:sz w:val="22"/>
          <w:szCs w:val="22"/>
        </w:rPr>
        <w:t>New or modified licenses for use of the frequencies will not be granted to utilize transmitters on board aircraft, or to use a bandwidth in excess of 30 kHz and maximum deviation exceeding 5 kHz</w:t>
      </w:r>
      <w:r>
        <w:rPr>
          <w:sz w:val="22"/>
          <w:szCs w:val="22"/>
        </w:rPr>
        <w:t>.</w:t>
      </w:r>
    </w:p>
    <w:p w:rsidR="00D45202" w:rsidRPr="00946D3F" w:rsidRDefault="00D45202" w:rsidP="00D45202">
      <w:pPr>
        <w:pStyle w:val="gpotblnote"/>
        <w:rPr>
          <w:sz w:val="22"/>
          <w:szCs w:val="22"/>
        </w:rPr>
      </w:pPr>
      <w:r w:rsidRPr="00D45202">
        <w:rPr>
          <w:sz w:val="22"/>
          <w:szCs w:val="22"/>
          <w:vertAlign w:val="superscript"/>
        </w:rPr>
        <w:t xml:space="preserve">3 </w:t>
      </w:r>
      <w:r w:rsidRPr="00D45202">
        <w:rPr>
          <w:sz w:val="22"/>
          <w:szCs w:val="22"/>
        </w:rPr>
        <w:t xml:space="preserve">For stations licensed or applied for before April 16, 2003, the sum of the bandwidth of emission and tolerance on frequencies 166.25 MHz or 170.15 MHz shall not exceed 25 kHz, and such operation may continue until January 1, 2005. For new stations licensed or applied for on or after April 16, 2003, the sum of the bandwidth of emission and tolerance on these frequencies shall not exceed 12.5 kHz. For all remote pickup broadcast stations, the sum of the bandwidth of emission and tolerance on these </w:t>
      </w:r>
      <w:r w:rsidRPr="00946D3F">
        <w:rPr>
          <w:sz w:val="22"/>
          <w:szCs w:val="22"/>
        </w:rPr>
        <w:t>frequencies shall not exceed 12.5 kHz on or after January 1, 2005.</w:t>
      </w:r>
    </w:p>
    <w:p w:rsidR="00D45202" w:rsidRPr="00946D3F" w:rsidRDefault="00D45202" w:rsidP="00D45202">
      <w:pPr>
        <w:pStyle w:val="gpotblnote"/>
        <w:rPr>
          <w:sz w:val="22"/>
          <w:szCs w:val="22"/>
        </w:rPr>
      </w:pPr>
      <w:r w:rsidRPr="00946D3F">
        <w:rPr>
          <w:sz w:val="22"/>
          <w:szCs w:val="22"/>
          <w:vertAlign w:val="superscript"/>
        </w:rPr>
        <w:t xml:space="preserve">4 </w:t>
      </w:r>
      <w:r w:rsidRPr="00946D3F">
        <w:rPr>
          <w:bCs/>
          <w:sz w:val="22"/>
          <w:szCs w:val="22"/>
        </w:rPr>
        <w:t xml:space="preserve">After </w:t>
      </w:r>
      <w:r w:rsidRPr="00946D3F">
        <w:rPr>
          <w:b/>
          <w:bCs/>
          <w:sz w:val="22"/>
          <w:szCs w:val="22"/>
        </w:rPr>
        <w:t>[insert effective date of rule]</w:t>
      </w:r>
      <w:r w:rsidRPr="00946D3F">
        <w:rPr>
          <w:bCs/>
          <w:sz w:val="22"/>
          <w:szCs w:val="22"/>
        </w:rPr>
        <w:t>, new authorizations with 100 kHz bandwidth will not be issued.</w:t>
      </w:r>
    </w:p>
    <w:p w:rsidR="00F378FF" w:rsidRPr="00946D3F" w:rsidRDefault="00F378FF" w:rsidP="001500F6">
      <w:pPr>
        <w:widowControl/>
        <w:spacing w:line="480" w:lineRule="auto"/>
        <w:rPr>
          <w:snapToGrid/>
          <w:kern w:val="0"/>
          <w:szCs w:val="23"/>
        </w:rPr>
      </w:pPr>
      <w:r w:rsidRPr="00946D3F">
        <w:rPr>
          <w:snapToGrid/>
          <w:kern w:val="0"/>
          <w:szCs w:val="23"/>
        </w:rPr>
        <w:tab/>
        <w:t>* * * * *</w:t>
      </w:r>
    </w:p>
    <w:p w:rsidR="001500F6" w:rsidRPr="00946D3F" w:rsidRDefault="00B514F5" w:rsidP="001500F6">
      <w:pPr>
        <w:widowControl/>
        <w:spacing w:line="480" w:lineRule="auto"/>
        <w:rPr>
          <w:snapToGrid/>
          <w:kern w:val="0"/>
          <w:szCs w:val="23"/>
        </w:rPr>
      </w:pPr>
      <w:r w:rsidRPr="00946D3F">
        <w:rPr>
          <w:snapToGrid/>
          <w:kern w:val="0"/>
          <w:szCs w:val="23"/>
        </w:rPr>
        <w:t xml:space="preserve">2.  </w:t>
      </w:r>
      <w:r w:rsidR="001500F6" w:rsidRPr="00946D3F">
        <w:rPr>
          <w:snapToGrid/>
          <w:kern w:val="0"/>
          <w:szCs w:val="23"/>
        </w:rPr>
        <w:t>Revise § 74.463 by amending paragraph (c) to read as follows:</w:t>
      </w:r>
    </w:p>
    <w:p w:rsidR="001500F6" w:rsidRPr="00946D3F" w:rsidRDefault="001500F6" w:rsidP="001500F6">
      <w:pPr>
        <w:widowControl/>
        <w:autoSpaceDE w:val="0"/>
        <w:autoSpaceDN w:val="0"/>
        <w:adjustRightInd w:val="0"/>
        <w:spacing w:line="480" w:lineRule="auto"/>
        <w:rPr>
          <w:b/>
          <w:snapToGrid/>
          <w:kern w:val="0"/>
          <w:szCs w:val="23"/>
          <w:u w:val="single"/>
        </w:rPr>
      </w:pPr>
      <w:r w:rsidRPr="00946D3F">
        <w:rPr>
          <w:b/>
          <w:snapToGrid/>
          <w:kern w:val="0"/>
          <w:szCs w:val="23"/>
          <w:u w:val="single"/>
        </w:rPr>
        <w:t>§ 74.463. Modulation Requirements.</w:t>
      </w:r>
    </w:p>
    <w:p w:rsidR="001500F6" w:rsidRPr="00946D3F" w:rsidRDefault="001500F6" w:rsidP="001500F6">
      <w:pPr>
        <w:widowControl/>
        <w:autoSpaceDE w:val="0"/>
        <w:autoSpaceDN w:val="0"/>
        <w:adjustRightInd w:val="0"/>
        <w:spacing w:line="480" w:lineRule="auto"/>
        <w:ind w:left="1080"/>
        <w:rPr>
          <w:snapToGrid/>
          <w:kern w:val="0"/>
          <w:szCs w:val="23"/>
        </w:rPr>
      </w:pPr>
      <w:r w:rsidRPr="00946D3F">
        <w:rPr>
          <w:snapToGrid/>
          <w:kern w:val="0"/>
          <w:szCs w:val="23"/>
        </w:rPr>
        <w:t>* * * * *</w:t>
      </w:r>
    </w:p>
    <w:p w:rsidR="001500F6" w:rsidRPr="00946D3F" w:rsidRDefault="001500F6" w:rsidP="001500F6">
      <w:pPr>
        <w:widowControl/>
        <w:autoSpaceDE w:val="0"/>
        <w:autoSpaceDN w:val="0"/>
        <w:adjustRightInd w:val="0"/>
        <w:spacing w:line="480" w:lineRule="auto"/>
        <w:ind w:left="1080"/>
        <w:rPr>
          <w:snapToGrid/>
          <w:kern w:val="0"/>
          <w:szCs w:val="23"/>
        </w:rPr>
      </w:pPr>
      <w:r w:rsidRPr="00946D3F">
        <w:rPr>
          <w:snapToGrid/>
          <w:kern w:val="0"/>
          <w:szCs w:val="23"/>
        </w:rPr>
        <w:t xml:space="preserve">(c)  </w:t>
      </w:r>
      <w:r w:rsidR="00B514F5" w:rsidRPr="00946D3F">
        <w:rPr>
          <w:snapToGrid/>
          <w:kern w:val="0"/>
          <w:szCs w:val="23"/>
        </w:rPr>
        <w:t>If frequency modulation or digital modulation is employed, the emission shall conform to the requirements specified in §74.462.</w:t>
      </w:r>
    </w:p>
    <w:p w:rsidR="00B514F5" w:rsidRPr="00946D3F" w:rsidRDefault="00B514F5" w:rsidP="00B514F5">
      <w:pPr>
        <w:widowControl/>
        <w:spacing w:line="480" w:lineRule="auto"/>
        <w:rPr>
          <w:snapToGrid/>
          <w:kern w:val="0"/>
          <w:szCs w:val="23"/>
        </w:rPr>
      </w:pPr>
      <w:r w:rsidRPr="00946D3F">
        <w:rPr>
          <w:snapToGrid/>
          <w:kern w:val="0"/>
          <w:szCs w:val="23"/>
        </w:rPr>
        <w:t>3.  Revise § 74.782 by adding a new paragraph (f) to read as follows:</w:t>
      </w:r>
    </w:p>
    <w:p w:rsidR="00B514F5" w:rsidRPr="00946D3F" w:rsidRDefault="00B514F5" w:rsidP="00B514F5">
      <w:pPr>
        <w:widowControl/>
        <w:autoSpaceDE w:val="0"/>
        <w:autoSpaceDN w:val="0"/>
        <w:adjustRightInd w:val="0"/>
        <w:spacing w:line="480" w:lineRule="auto"/>
        <w:rPr>
          <w:b/>
          <w:snapToGrid/>
          <w:kern w:val="0"/>
          <w:szCs w:val="23"/>
          <w:u w:val="single"/>
        </w:rPr>
      </w:pPr>
      <w:r w:rsidRPr="00946D3F">
        <w:rPr>
          <w:b/>
          <w:snapToGrid/>
          <w:kern w:val="0"/>
          <w:szCs w:val="23"/>
          <w:u w:val="single"/>
        </w:rPr>
        <w:t>§ 74.4</w:t>
      </w:r>
      <w:r w:rsidR="00943F65" w:rsidRPr="00946D3F">
        <w:rPr>
          <w:b/>
          <w:snapToGrid/>
          <w:kern w:val="0"/>
          <w:szCs w:val="23"/>
          <w:u w:val="single"/>
        </w:rPr>
        <w:t>82</w:t>
      </w:r>
      <w:r w:rsidRPr="00946D3F">
        <w:rPr>
          <w:b/>
          <w:snapToGrid/>
          <w:kern w:val="0"/>
          <w:szCs w:val="23"/>
          <w:u w:val="single"/>
        </w:rPr>
        <w:t>. Station Identification.</w:t>
      </w:r>
    </w:p>
    <w:p w:rsidR="00B514F5" w:rsidRPr="00946D3F" w:rsidRDefault="00B514F5" w:rsidP="00B514F5">
      <w:pPr>
        <w:widowControl/>
        <w:autoSpaceDE w:val="0"/>
        <w:autoSpaceDN w:val="0"/>
        <w:adjustRightInd w:val="0"/>
        <w:spacing w:line="480" w:lineRule="auto"/>
        <w:ind w:left="1080"/>
        <w:rPr>
          <w:snapToGrid/>
          <w:kern w:val="0"/>
          <w:szCs w:val="23"/>
        </w:rPr>
      </w:pPr>
      <w:r w:rsidRPr="00946D3F">
        <w:rPr>
          <w:snapToGrid/>
          <w:kern w:val="0"/>
          <w:szCs w:val="23"/>
        </w:rPr>
        <w:t>* * * * *</w:t>
      </w:r>
    </w:p>
    <w:p w:rsidR="00795681" w:rsidRPr="00946D3F" w:rsidRDefault="00B514F5" w:rsidP="00100A50">
      <w:pPr>
        <w:spacing w:line="480" w:lineRule="auto"/>
        <w:ind w:right="720" w:firstLine="720"/>
        <w:rPr>
          <w:rFonts w:ascii="TimesNewRomanPSMT" w:hAnsi="TimesNewRomanPSMT" w:cs="TimesNewRomanPSMT"/>
          <w:snapToGrid/>
          <w:kern w:val="0"/>
          <w:sz w:val="24"/>
          <w:szCs w:val="24"/>
        </w:rPr>
      </w:pPr>
      <w:r w:rsidRPr="00946D3F">
        <w:rPr>
          <w:snapToGrid/>
          <w:kern w:val="0"/>
          <w:szCs w:val="23"/>
        </w:rPr>
        <w:t xml:space="preserve">(f)  </w:t>
      </w:r>
      <w:r w:rsidRPr="00946D3F">
        <w:rPr>
          <w:szCs w:val="22"/>
        </w:rPr>
        <w:t>Stations that normally employ digital signals for the transmission of data, text, control codes, or digitized voice, may also be identified by digital transmission of the call sign.  A licensee that identifies its call sign in this manner must provide the Commission, upon request, information sufficient to decode the digital transmission and ascertain the call sign transmitted.</w:t>
      </w:r>
    </w:p>
    <w:p w:rsidR="00795681" w:rsidRPr="00AC7670" w:rsidRDefault="00795681" w:rsidP="007C0D58">
      <w:pPr>
        <w:widowControl/>
        <w:spacing w:line="480" w:lineRule="auto"/>
        <w:rPr>
          <w:szCs w:val="22"/>
        </w:rPr>
      </w:pPr>
    </w:p>
    <w:p w:rsidR="00F65B7A" w:rsidRDefault="00F65B7A" w:rsidP="007C0D58">
      <w:pPr>
        <w:widowControl/>
        <w:jc w:val="center"/>
        <w:rPr>
          <w:szCs w:val="22"/>
        </w:rPr>
        <w:sectPr w:rsidR="00F65B7A" w:rsidSect="000910FA">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type w:val="continuous"/>
          <w:pgSz w:w="12240" w:h="15840"/>
          <w:pgMar w:top="1440" w:right="1440" w:bottom="720" w:left="1440" w:header="720" w:footer="720" w:gutter="0"/>
          <w:pgNumType w:start="1"/>
          <w:cols w:space="720"/>
          <w:noEndnote/>
          <w:titlePg/>
        </w:sectPr>
      </w:pPr>
    </w:p>
    <w:p w:rsidR="00795681" w:rsidRPr="00E60F7A" w:rsidRDefault="00795681" w:rsidP="007C0D58">
      <w:pPr>
        <w:widowControl/>
        <w:jc w:val="center"/>
        <w:rPr>
          <w:rFonts w:ascii="Times New Roman Bold" w:hAnsi="Times New Roman Bold"/>
          <w:b/>
        </w:rPr>
      </w:pPr>
      <w:r w:rsidRPr="00E60F7A">
        <w:rPr>
          <w:rFonts w:ascii="Times New Roman Bold" w:hAnsi="Times New Roman Bold"/>
          <w:b/>
        </w:rPr>
        <w:t xml:space="preserve">Appendix </w:t>
      </w:r>
      <w:r w:rsidR="00811747">
        <w:rPr>
          <w:rFonts w:ascii="Times New Roman Bold" w:hAnsi="Times New Roman Bold"/>
          <w:b/>
        </w:rPr>
        <w:t>B</w:t>
      </w:r>
    </w:p>
    <w:p w:rsidR="00795681" w:rsidRDefault="00795681" w:rsidP="007C0D58">
      <w:pPr>
        <w:widowControl/>
        <w:jc w:val="center"/>
      </w:pPr>
    </w:p>
    <w:p w:rsidR="00795681" w:rsidRDefault="00795681" w:rsidP="007C0D58">
      <w:pPr>
        <w:widowControl/>
        <w:jc w:val="center"/>
        <w:rPr>
          <w:b/>
        </w:rPr>
      </w:pPr>
      <w:r>
        <w:rPr>
          <w:b/>
        </w:rPr>
        <w:t xml:space="preserve">Initial Regulatory Flexibility Analysis </w:t>
      </w:r>
    </w:p>
    <w:p w:rsidR="00795681" w:rsidRDefault="00795681" w:rsidP="007C0D58">
      <w:pPr>
        <w:widowControl/>
      </w:pPr>
    </w:p>
    <w:p w:rsidR="00795681" w:rsidRDefault="00795681" w:rsidP="00964C8B">
      <w:pPr>
        <w:pStyle w:val="ParaNum"/>
        <w:numPr>
          <w:ilvl w:val="0"/>
          <w:numId w:val="39"/>
        </w:numPr>
        <w:tabs>
          <w:tab w:val="clear" w:pos="1080"/>
          <w:tab w:val="num" w:pos="1440"/>
        </w:tabs>
      </w:pPr>
      <w:r>
        <w:t>As required by the Regulatory Flexibility Act of 1980, as amended (RFA),</w:t>
      </w:r>
      <w:r>
        <w:rPr>
          <w:rStyle w:val="FootnoteReference"/>
          <w:szCs w:val="22"/>
        </w:rPr>
        <w:footnoteReference w:id="70"/>
      </w:r>
      <w:r>
        <w:t xml:space="preserve"> the Commission has prepared this present Initial Regulatory Flexibility Analysis (IRFA) of the possible significant economic impact on a substantial number of small entities by the policies and rules proposed in this </w:t>
      </w:r>
      <w:r w:rsidRPr="003E1F85">
        <w:rPr>
          <w:i/>
        </w:rPr>
        <w:t>Notice of Proposed Rulemaking (NPRM)</w:t>
      </w:r>
      <w:r>
        <w:t xml:space="preserve">.  Written public comments are requested on this IRFA.  Comments must be </w:t>
      </w:r>
      <w:r w:rsidRPr="003E1F85">
        <w:t>identified</w:t>
      </w:r>
      <w:r>
        <w:t xml:space="preserve"> as responses to the IRFA and must be filed by the deadlines specified in the </w:t>
      </w:r>
      <w:r w:rsidRPr="003E1F85">
        <w:rPr>
          <w:i/>
        </w:rPr>
        <w:t xml:space="preserve">NPRM </w:t>
      </w:r>
      <w:r>
        <w:t xml:space="preserve">for comments.  The Commission will send a copy of this </w:t>
      </w:r>
      <w:r w:rsidRPr="003E1F85">
        <w:rPr>
          <w:i/>
        </w:rPr>
        <w:t>NPRM</w:t>
      </w:r>
      <w:r>
        <w:t>, including this IRFA, to the Chief Counsel for Advocacy of the Small Business Administration (SBA).</w:t>
      </w:r>
      <w:r>
        <w:rPr>
          <w:rStyle w:val="FootnoteReference"/>
          <w:szCs w:val="22"/>
        </w:rPr>
        <w:footnoteReference w:id="71"/>
      </w:r>
      <w:r>
        <w:t xml:space="preserve">  In addition, the </w:t>
      </w:r>
      <w:r w:rsidRPr="003E1F85">
        <w:rPr>
          <w:i/>
        </w:rPr>
        <w:t>NPRM</w:t>
      </w:r>
      <w:r>
        <w:t xml:space="preserve"> and IRFA (or summaries thereof) will be published in the Federal Register.</w:t>
      </w:r>
      <w:r>
        <w:rPr>
          <w:rStyle w:val="FootnoteReference"/>
          <w:szCs w:val="22"/>
        </w:rPr>
        <w:footnoteReference w:id="72"/>
      </w:r>
      <w:r>
        <w:t xml:space="preserve">  </w:t>
      </w:r>
    </w:p>
    <w:p w:rsidR="00795681" w:rsidRDefault="00795681" w:rsidP="00F65B7A">
      <w:pPr>
        <w:pStyle w:val="Heading2"/>
        <w:rPr>
          <w:bCs/>
        </w:rPr>
      </w:pPr>
      <w:bookmarkStart w:id="958" w:name="_Toc295647979"/>
      <w:bookmarkStart w:id="959" w:name="_Toc295658316"/>
      <w:bookmarkStart w:id="960" w:name="_Toc295828146"/>
      <w:bookmarkStart w:id="961" w:name="_Toc296412479"/>
      <w:bookmarkStart w:id="962" w:name="_Toc296526414"/>
      <w:bookmarkStart w:id="963" w:name="_Toc297101301"/>
      <w:bookmarkStart w:id="964" w:name="_Toc297197663"/>
      <w:bookmarkStart w:id="965" w:name="_Toc297197730"/>
      <w:bookmarkStart w:id="966" w:name="_Toc297197805"/>
      <w:bookmarkStart w:id="967" w:name="_Toc297197872"/>
      <w:bookmarkStart w:id="968" w:name="_Toc297627539"/>
      <w:bookmarkStart w:id="969" w:name="_Toc297627606"/>
      <w:bookmarkStart w:id="970" w:name="_Toc297627673"/>
      <w:bookmarkStart w:id="971" w:name="_Toc297627740"/>
      <w:bookmarkStart w:id="972" w:name="_Toc297728388"/>
      <w:bookmarkStart w:id="973" w:name="_Toc297728455"/>
      <w:bookmarkStart w:id="974" w:name="_Toc297728522"/>
      <w:bookmarkStart w:id="975" w:name="_Toc297728589"/>
      <w:bookmarkStart w:id="976" w:name="_Toc297728656"/>
      <w:bookmarkStart w:id="977" w:name="_Toc297728723"/>
      <w:bookmarkStart w:id="978" w:name="_Toc297728790"/>
      <w:bookmarkStart w:id="979" w:name="_Toc297728857"/>
      <w:bookmarkStart w:id="980" w:name="_Toc297728924"/>
      <w:bookmarkStart w:id="981" w:name="_Toc297734211"/>
      <w:bookmarkStart w:id="982" w:name="_Toc297734278"/>
      <w:bookmarkStart w:id="983" w:name="_Toc297905405"/>
      <w:bookmarkStart w:id="984" w:name="_Toc298771591"/>
      <w:bookmarkStart w:id="985" w:name="_Toc298771658"/>
      <w:bookmarkStart w:id="986" w:name="_Toc299689609"/>
      <w:bookmarkStart w:id="987" w:name="_Toc300328241"/>
      <w:bookmarkStart w:id="988" w:name="_Toc322935363"/>
      <w:r>
        <w:t xml:space="preserve">Need for, </w:t>
      </w:r>
      <w:r>
        <w:rPr>
          <w:bCs/>
        </w:rPr>
        <w:t>and</w:t>
      </w:r>
      <w:r>
        <w:t xml:space="preserve"> Objectives of, the Proposed Rules</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rsidR="00795681" w:rsidRDefault="00795681" w:rsidP="003E1F85">
      <w:pPr>
        <w:pStyle w:val="ParaNum"/>
      </w:pPr>
      <w:r>
        <w:t xml:space="preserve">In this </w:t>
      </w:r>
      <w:r>
        <w:rPr>
          <w:i/>
        </w:rPr>
        <w:t>Notice of Proposed Rulemaking</w:t>
      </w:r>
      <w:r>
        <w:t xml:space="preserve">, we propose to amend our rules to allow broadcasters to use </w:t>
      </w:r>
      <w:r w:rsidR="0035475B">
        <w:t xml:space="preserve">any type of </w:t>
      </w:r>
      <w:r>
        <w:t xml:space="preserve">digital </w:t>
      </w:r>
      <w:r w:rsidR="0035475B">
        <w:t>equipment</w:t>
      </w:r>
      <w:r>
        <w:t xml:space="preserve">.  In addition, permitting digital emissions in the RPU bands may also require us to amend Sections 74.402, 74.462, and 74.482 of the Commission’s </w:t>
      </w:r>
      <w:r w:rsidR="0035475B">
        <w:t>r</w:t>
      </w:r>
      <w:r>
        <w:t>ules.  These changes are supported by the commenters and will give RPU licensees the flexibility to cho</w:t>
      </w:r>
      <w:r w:rsidR="0035475B">
        <w:t>o</w:t>
      </w:r>
      <w:r>
        <w:t>se from a wide variety of “off-the-shelf” digital equipment, which will, in turn, encourage RPU licensees to convert to digital systems and increase spectrum efficiency.</w:t>
      </w:r>
    </w:p>
    <w:p w:rsidR="00795681" w:rsidRDefault="00795681" w:rsidP="00F65B7A">
      <w:pPr>
        <w:pStyle w:val="Heading2"/>
        <w:rPr>
          <w:bCs/>
        </w:rPr>
      </w:pPr>
      <w:bookmarkStart w:id="989" w:name="_Toc295647980"/>
      <w:bookmarkStart w:id="990" w:name="_Toc295658317"/>
      <w:bookmarkStart w:id="991" w:name="_Toc295828147"/>
      <w:bookmarkStart w:id="992" w:name="_Toc296412480"/>
      <w:bookmarkStart w:id="993" w:name="_Toc296526415"/>
      <w:bookmarkStart w:id="994" w:name="_Toc297101302"/>
      <w:bookmarkStart w:id="995" w:name="_Toc297197664"/>
      <w:bookmarkStart w:id="996" w:name="_Toc297197731"/>
      <w:bookmarkStart w:id="997" w:name="_Toc297197806"/>
      <w:bookmarkStart w:id="998" w:name="_Toc297197873"/>
      <w:bookmarkStart w:id="999" w:name="_Toc297627540"/>
      <w:bookmarkStart w:id="1000" w:name="_Toc297627607"/>
      <w:bookmarkStart w:id="1001" w:name="_Toc297627674"/>
      <w:bookmarkStart w:id="1002" w:name="_Toc297627741"/>
      <w:bookmarkStart w:id="1003" w:name="_Toc297728389"/>
      <w:bookmarkStart w:id="1004" w:name="_Toc297728456"/>
      <w:bookmarkStart w:id="1005" w:name="_Toc297728523"/>
      <w:bookmarkStart w:id="1006" w:name="_Toc297728590"/>
      <w:bookmarkStart w:id="1007" w:name="_Toc297728657"/>
      <w:bookmarkStart w:id="1008" w:name="_Toc297728724"/>
      <w:bookmarkStart w:id="1009" w:name="_Toc297728791"/>
      <w:bookmarkStart w:id="1010" w:name="_Toc297728858"/>
      <w:bookmarkStart w:id="1011" w:name="_Toc297728925"/>
      <w:bookmarkStart w:id="1012" w:name="_Toc297734212"/>
      <w:bookmarkStart w:id="1013" w:name="_Toc297734279"/>
      <w:bookmarkStart w:id="1014" w:name="_Toc297905406"/>
      <w:bookmarkStart w:id="1015" w:name="_Toc298771592"/>
      <w:bookmarkStart w:id="1016" w:name="_Toc298771659"/>
      <w:bookmarkStart w:id="1017" w:name="_Toc299689610"/>
      <w:bookmarkStart w:id="1018" w:name="_Toc300328242"/>
      <w:bookmarkStart w:id="1019" w:name="_Toc322935364"/>
      <w:r>
        <w:t>Legal</w:t>
      </w:r>
      <w:r>
        <w:rPr>
          <w:bCs/>
        </w:rPr>
        <w:t xml:space="preserve"> </w:t>
      </w:r>
      <w:r>
        <w:t>Basis</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rsidR="00795681" w:rsidRDefault="00795681" w:rsidP="003E1F85">
      <w:pPr>
        <w:pStyle w:val="ParaNum"/>
      </w:pPr>
      <w:r>
        <w:t>The proposed action is authorized pursuant to sections 4</w:t>
      </w:r>
      <w:r w:rsidR="00632DA9">
        <w:t xml:space="preserve"> </w:t>
      </w:r>
      <w:r>
        <w:t>and 3</w:t>
      </w:r>
      <w:r w:rsidR="004B71BF">
        <w:t>0</w:t>
      </w:r>
      <w:r>
        <w:t>3 of the Communications Act of 1934, as amended, 47 U.S.C. §§ 154</w:t>
      </w:r>
      <w:r w:rsidR="00632DA9">
        <w:t xml:space="preserve">, </w:t>
      </w:r>
      <w:r>
        <w:t>303</w:t>
      </w:r>
      <w:r w:rsidR="00632DA9">
        <w:t>, and Section 1.411 of the Commission’s rules, 47 C.F.R. § 1.411</w:t>
      </w:r>
      <w:r>
        <w:t>.</w:t>
      </w:r>
    </w:p>
    <w:p w:rsidR="00795681" w:rsidRDefault="00795681" w:rsidP="00C35604">
      <w:pPr>
        <w:pStyle w:val="Heading2"/>
      </w:pPr>
      <w:bookmarkStart w:id="1020" w:name="_Toc295647981"/>
      <w:bookmarkStart w:id="1021" w:name="_Toc295658318"/>
      <w:bookmarkStart w:id="1022" w:name="_Toc295828148"/>
      <w:bookmarkStart w:id="1023" w:name="_Toc296412481"/>
      <w:bookmarkStart w:id="1024" w:name="_Toc296526416"/>
      <w:bookmarkStart w:id="1025" w:name="_Toc297101303"/>
      <w:bookmarkStart w:id="1026" w:name="_Toc297197665"/>
      <w:bookmarkStart w:id="1027" w:name="_Toc297197732"/>
      <w:bookmarkStart w:id="1028" w:name="_Toc297197807"/>
      <w:bookmarkStart w:id="1029" w:name="_Toc297197874"/>
      <w:bookmarkStart w:id="1030" w:name="_Toc297627541"/>
      <w:bookmarkStart w:id="1031" w:name="_Toc297627608"/>
      <w:bookmarkStart w:id="1032" w:name="_Toc297627675"/>
      <w:bookmarkStart w:id="1033" w:name="_Toc297627742"/>
      <w:bookmarkStart w:id="1034" w:name="_Toc297728390"/>
      <w:bookmarkStart w:id="1035" w:name="_Toc297728457"/>
      <w:bookmarkStart w:id="1036" w:name="_Toc297728524"/>
      <w:bookmarkStart w:id="1037" w:name="_Toc297728591"/>
      <w:bookmarkStart w:id="1038" w:name="_Toc297728658"/>
      <w:bookmarkStart w:id="1039" w:name="_Toc297728725"/>
      <w:bookmarkStart w:id="1040" w:name="_Toc297728792"/>
      <w:bookmarkStart w:id="1041" w:name="_Toc297728859"/>
      <w:bookmarkStart w:id="1042" w:name="_Toc297728926"/>
      <w:bookmarkStart w:id="1043" w:name="_Toc297734213"/>
      <w:bookmarkStart w:id="1044" w:name="_Toc297734280"/>
      <w:bookmarkStart w:id="1045" w:name="_Toc297905407"/>
      <w:bookmarkStart w:id="1046" w:name="_Toc298771593"/>
      <w:bookmarkStart w:id="1047" w:name="_Toc298771660"/>
      <w:bookmarkStart w:id="1048" w:name="_Toc299689611"/>
      <w:bookmarkStart w:id="1049" w:name="_Toc300328243"/>
      <w:bookmarkStart w:id="1050" w:name="_Toc322935365"/>
      <w:r>
        <w:t>Description and Estimate of the Number of Small Entities To Which the Proposed Rules Will Apply</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rsidR="00795681" w:rsidRDefault="00795681" w:rsidP="003E1F85">
      <w:pPr>
        <w:pStyle w:val="ParaNum"/>
      </w:pPr>
      <w:r>
        <w:t>The RFA directs agencies to provide a description of, and, where feasible, an estimate of the number of small entities that may be affected by the proposed rules and policies, if adopted.</w:t>
      </w:r>
      <w:r>
        <w:rPr>
          <w:rStyle w:val="FootnoteReference"/>
          <w:szCs w:val="22"/>
        </w:rPr>
        <w:footnoteReference w:id="73"/>
      </w:r>
      <w:r>
        <w:t xml:space="preserve">  The RFA generally defines the term “small entity” as having the same meaning as the terms “small business,” “small organization,” and “small governmental jurisdiction.”</w:t>
      </w:r>
      <w:r>
        <w:rPr>
          <w:rStyle w:val="FootnoteReference"/>
          <w:szCs w:val="22"/>
        </w:rPr>
        <w:footnoteReference w:id="74"/>
      </w:r>
      <w:r>
        <w:t xml:space="preserve">  In addition, the term “small business” has the same meaning as the term “small business concern” under the Small Business Act.</w:t>
      </w:r>
      <w:r>
        <w:rPr>
          <w:rStyle w:val="FootnoteReference"/>
          <w:szCs w:val="22"/>
        </w:rPr>
        <w:footnoteReference w:id="75"/>
      </w:r>
      <w:r>
        <w:t xml:space="preserve">  A “small business concern” is one which: (1) is independently owned and operated; (2) is not dominant in its field of operation; and (3) satisfies any additional criteria established by the SBA.</w:t>
      </w:r>
      <w:r>
        <w:rPr>
          <w:rStyle w:val="FootnoteReference"/>
          <w:szCs w:val="22"/>
        </w:rPr>
        <w:footnoteReference w:id="76"/>
      </w:r>
      <w:r>
        <w:t xml:space="preserve">  </w:t>
      </w:r>
    </w:p>
    <w:p w:rsidR="0035475B" w:rsidRDefault="0035475B" w:rsidP="00964C8B">
      <w:pPr>
        <w:pStyle w:val="ParaNum"/>
        <w:widowControl/>
        <w:rPr>
          <w:szCs w:val="22"/>
        </w:rPr>
      </w:pPr>
      <w:r>
        <w:t xml:space="preserve">The proposals in this </w:t>
      </w:r>
      <w:r w:rsidRPr="00454F1A">
        <w:rPr>
          <w:i/>
        </w:rPr>
        <w:t>NPRM</w:t>
      </w:r>
      <w:r>
        <w:t xml:space="preserve"> would affect Broadcast Auxiliary Service (“BAS”) RPU licensees.  Only licensees of broadcast stations, broadcast networks, and cable networks can hold RPU licenses.  Additionally, the proposals affect manufacturers of equipment that supports the BAS Remote Pickup Service.  BAS involves a variety of transmitters, generally used to relay broadcast programming to the public (through translator and booster stations) or within the program distribution chain (from a remote news gathering unit to the studio or from the studio to the transmitter).  The Commission has not developed a definition of small entities applicable to these licensees.  Therefore, the applicable definitions of small entities for each of these services under the Small Business Administration (SBA) rules is as follows: for Remote pickup BAS we will use SIC code 4833 when used by a TV station or 4832 when used by a radio station and for BAS equipment manufacturers, we will use SIC code 3663 (Radio and Television Broadcasting and Communications Equipment) which are classified as small businesses if they employ no more than 750 people.</w:t>
      </w:r>
      <w:r>
        <w:rPr>
          <w:rStyle w:val="FootnoteReference"/>
        </w:rPr>
        <w:footnoteReference w:id="77"/>
      </w:r>
    </w:p>
    <w:p w:rsidR="0035475B" w:rsidRDefault="0035475B" w:rsidP="003E1F85">
      <w:pPr>
        <w:pStyle w:val="ParaNum"/>
      </w:pPr>
      <w:r w:rsidRPr="0035475B">
        <w:rPr>
          <w:i/>
        </w:rPr>
        <w:t>Radio Broadcasting</w:t>
      </w:r>
      <w:r>
        <w:t xml:space="preserve">.   The subject rules and policies potentially will apply to all AM and FM radio broadcasting licensees and potential licensees.  A radio broadcasting station is an establishment primarily engaged in broadcasting aural programs by radio to the public.   Included in this industry are commercial, religious, educational, and other radio stations.   Radio broadcasting stations which primarily are engaged in radio broadcasting and which produce radio program materials are similarly included.   However, radio stations that are separate establishments and are primarily engaged in producing radio program material are classified under another NAICS number.   The SBA has established a small business size standard for this category, which is:  firms having $7 million or less in annual receipts.   </w:t>
      </w:r>
      <w:r w:rsidR="00945553" w:rsidRPr="00E93C69">
        <w:rPr>
          <w:szCs w:val="22"/>
        </w:rPr>
        <w:t>According to Commission staff review of the BIA Publications, Inc. Master Access Radio Analyzer Database as of August 2, 2013, about 10,811 (97 percent) of 11,162 commercial radio station have revenues of $7 million or less and thus qualify as small entities under the SBA definition.</w:t>
      </w:r>
      <w:r w:rsidR="00945553" w:rsidRPr="00E93C69">
        <w:rPr>
          <w:rStyle w:val="CommentReference"/>
          <w:szCs w:val="22"/>
        </w:rPr>
        <w:t>   </w:t>
      </w:r>
      <w:r>
        <w:t xml:space="preserve">Therefore, the majority of such entities are small entities.  We note, however, that many radio stations are affiliated with much larger corporations having much higher revenue.  Our estimate, therefore, likely overstates the number of small entities that might be affected by any ultimate changes to the rules and forms.  </w:t>
      </w:r>
    </w:p>
    <w:p w:rsidR="00931242" w:rsidRDefault="00931242" w:rsidP="003E1F85">
      <w:pPr>
        <w:pStyle w:val="ParaNum"/>
      </w:pPr>
      <w:r w:rsidRPr="00931242">
        <w:t xml:space="preserve"> </w:t>
      </w:r>
      <w:r w:rsidRPr="007F33D1">
        <w:rPr>
          <w:i/>
        </w:rPr>
        <w:t>Television Broadcasting</w:t>
      </w:r>
      <w:r>
        <w:t>.  This economic census category “comprises establishments primarily engaged in broadcasting images together with sound.  These establishments operate television broadcasting studios and facilities for the programming and transmission of programs to the public.”   The SBA has created the following small business size standard for Television Broadcasting firms: those having $14 million or less in annual receipts.   The Commission has estimated the number of licensed commercial television stations to be 1,388.   In addition, according to Commission staff review of the BIA Advisory Services, LLC’s Media Access Pro Television Database on March 28, 2012, about 950 of an estimated 1,300 commercial television stations (or approximately 73 percent) had revenues of $14 million or less.   We therefore estimate that the majority of commercial television broadcasters are small entities.</w:t>
      </w:r>
    </w:p>
    <w:p w:rsidR="00931242" w:rsidRDefault="00931242" w:rsidP="003E1F85">
      <w:pPr>
        <w:pStyle w:val="ParaNum"/>
      </w:pPr>
      <w:r>
        <w:t>We note, however, that in assessing whether a business concern qualifies as small under the above definition, business (control) affiliations must be included.   Our estimate, therefore, likely overstates the number of small entities that might be affected by our action because the revenue figure on which it is based does not include or aggregate revenues from affiliated companies.  In addition, an element of the definition of “small business” is that the entity not be dominant in its field of operation.  We are unable at this time to define or quantify the criteria that would establish whether a specific television station is dominant in its field of operation.  Accordingly, the estimate of small businesses to which rules may apply does not exclude any television station from the definition of a small business on this basis and is therefore possibly over-inclusive to that extent.</w:t>
      </w:r>
    </w:p>
    <w:p w:rsidR="00931242" w:rsidRDefault="00931242" w:rsidP="003E1F85">
      <w:pPr>
        <w:pStyle w:val="ParaNum"/>
        <w:widowControl/>
      </w:pPr>
      <w:r>
        <w:t xml:space="preserve">In addition, the Commission has estimated the number of licensed noncommercial educational (“NCE”) television stations to be 396.   These stations are non-profit, and therefore considered to be small entities. </w:t>
      </w:r>
    </w:p>
    <w:p w:rsidR="00931242" w:rsidRDefault="00931242" w:rsidP="003E1F85">
      <w:pPr>
        <w:pStyle w:val="ParaNum"/>
      </w:pPr>
      <w:r>
        <w:t>There are also 2,414 LPTV stations, including Class A stations, and 4,046 TV translator stations.   Given the nature of these services, we will presume that all of these entities qualify as small entities under the above SBA small business size standard.</w:t>
      </w:r>
    </w:p>
    <w:p w:rsidR="00795681" w:rsidRDefault="00795681" w:rsidP="00C35604">
      <w:pPr>
        <w:pStyle w:val="Heading2"/>
      </w:pPr>
      <w:bookmarkStart w:id="1051" w:name="_Toc295647982"/>
      <w:bookmarkStart w:id="1052" w:name="_Toc295658319"/>
      <w:bookmarkStart w:id="1053" w:name="_Toc295828149"/>
      <w:bookmarkStart w:id="1054" w:name="_Toc296412482"/>
      <w:bookmarkStart w:id="1055" w:name="_Toc296526417"/>
      <w:bookmarkStart w:id="1056" w:name="_Toc297101304"/>
      <w:bookmarkStart w:id="1057" w:name="_Toc297197666"/>
      <w:bookmarkStart w:id="1058" w:name="_Toc297197733"/>
      <w:bookmarkStart w:id="1059" w:name="_Toc297197808"/>
      <w:bookmarkStart w:id="1060" w:name="_Toc297197875"/>
      <w:bookmarkStart w:id="1061" w:name="_Toc297627542"/>
      <w:bookmarkStart w:id="1062" w:name="_Toc297627609"/>
      <w:bookmarkStart w:id="1063" w:name="_Toc297627676"/>
      <w:bookmarkStart w:id="1064" w:name="_Toc297627743"/>
      <w:bookmarkStart w:id="1065" w:name="_Toc297728391"/>
      <w:bookmarkStart w:id="1066" w:name="_Toc297728458"/>
      <w:bookmarkStart w:id="1067" w:name="_Toc297728525"/>
      <w:bookmarkStart w:id="1068" w:name="_Toc297728592"/>
      <w:bookmarkStart w:id="1069" w:name="_Toc297728659"/>
      <w:bookmarkStart w:id="1070" w:name="_Toc297728726"/>
      <w:bookmarkStart w:id="1071" w:name="_Toc297728793"/>
      <w:bookmarkStart w:id="1072" w:name="_Toc297728860"/>
      <w:bookmarkStart w:id="1073" w:name="_Toc297728927"/>
      <w:bookmarkStart w:id="1074" w:name="_Toc297734214"/>
      <w:bookmarkStart w:id="1075" w:name="_Toc297734281"/>
      <w:bookmarkStart w:id="1076" w:name="_Toc297905408"/>
      <w:bookmarkStart w:id="1077" w:name="_Toc298771594"/>
      <w:bookmarkStart w:id="1078" w:name="_Toc298771661"/>
      <w:bookmarkStart w:id="1079" w:name="_Toc299689612"/>
      <w:bookmarkStart w:id="1080" w:name="_Toc300328244"/>
      <w:bookmarkStart w:id="1081" w:name="_Toc322935366"/>
      <w:r>
        <w:t>Description</w:t>
      </w:r>
      <w:r>
        <w:rPr>
          <w:bCs/>
        </w:rPr>
        <w:t xml:space="preserve"> of Projected Reporting, </w:t>
      </w:r>
      <w:r>
        <w:t>Recordkeeping</w:t>
      </w:r>
      <w:r>
        <w:rPr>
          <w:bCs/>
        </w:rPr>
        <w:t xml:space="preserve">, and other </w:t>
      </w:r>
      <w:r>
        <w:t>Compliance</w:t>
      </w:r>
      <w:r>
        <w:rPr>
          <w:bCs/>
        </w:rPr>
        <w:t xml:space="preserve"> </w:t>
      </w:r>
      <w:r>
        <w:t>Requirements</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rsidR="00795681" w:rsidRPr="00954C83" w:rsidRDefault="00E61C77" w:rsidP="003E1F85">
      <w:pPr>
        <w:pStyle w:val="ParaNum"/>
      </w:pPr>
      <w:r>
        <w:t xml:space="preserve">This </w:t>
      </w:r>
      <w:r>
        <w:rPr>
          <w:i/>
        </w:rPr>
        <w:t>NPRM</w:t>
      </w:r>
      <w:r>
        <w:t xml:space="preserve"> proposes no new reporting or recordkeeping requirements.  </w:t>
      </w:r>
    </w:p>
    <w:p w:rsidR="00795681" w:rsidRDefault="00795681" w:rsidP="00C35604">
      <w:pPr>
        <w:pStyle w:val="Heading2"/>
      </w:pPr>
      <w:bookmarkStart w:id="1082" w:name="_Toc295647983"/>
      <w:bookmarkStart w:id="1083" w:name="_Toc295658320"/>
      <w:bookmarkStart w:id="1084" w:name="_Toc295828150"/>
      <w:bookmarkStart w:id="1085" w:name="_Toc296412483"/>
      <w:bookmarkStart w:id="1086" w:name="_Toc296526418"/>
      <w:bookmarkStart w:id="1087" w:name="_Toc297101305"/>
      <w:bookmarkStart w:id="1088" w:name="_Toc297197667"/>
      <w:bookmarkStart w:id="1089" w:name="_Toc297197734"/>
      <w:bookmarkStart w:id="1090" w:name="_Toc297197809"/>
      <w:bookmarkStart w:id="1091" w:name="_Toc297197876"/>
      <w:bookmarkStart w:id="1092" w:name="_Toc297627543"/>
      <w:bookmarkStart w:id="1093" w:name="_Toc297627610"/>
      <w:bookmarkStart w:id="1094" w:name="_Toc297627677"/>
      <w:bookmarkStart w:id="1095" w:name="_Toc297627744"/>
      <w:bookmarkStart w:id="1096" w:name="_Toc297728392"/>
      <w:bookmarkStart w:id="1097" w:name="_Toc297728459"/>
      <w:bookmarkStart w:id="1098" w:name="_Toc297728526"/>
      <w:bookmarkStart w:id="1099" w:name="_Toc297728593"/>
      <w:bookmarkStart w:id="1100" w:name="_Toc297728660"/>
      <w:bookmarkStart w:id="1101" w:name="_Toc297728727"/>
      <w:bookmarkStart w:id="1102" w:name="_Toc297728794"/>
      <w:bookmarkStart w:id="1103" w:name="_Toc297728861"/>
      <w:bookmarkStart w:id="1104" w:name="_Toc297728928"/>
      <w:bookmarkStart w:id="1105" w:name="_Toc297734215"/>
      <w:bookmarkStart w:id="1106" w:name="_Toc297734282"/>
      <w:bookmarkStart w:id="1107" w:name="_Toc297905409"/>
      <w:bookmarkStart w:id="1108" w:name="_Toc298771595"/>
      <w:bookmarkStart w:id="1109" w:name="_Toc298771662"/>
      <w:bookmarkStart w:id="1110" w:name="_Toc299689613"/>
      <w:bookmarkStart w:id="1111" w:name="_Toc300328245"/>
      <w:bookmarkStart w:id="1112" w:name="_Toc322935367"/>
      <w:r>
        <w:t>Steps taken to Minimize Significant Economic Impact on Small Entities, and Significant Alternatives Considered</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rsidR="00795681" w:rsidRDefault="00795681" w:rsidP="003E1F85">
      <w:pPr>
        <w:pStyle w:val="ParaNum"/>
      </w:pPr>
      <w: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rPr>
        <w:footnoteReference w:id="78"/>
      </w:r>
      <w:r>
        <w:t xml:space="preserve">  </w:t>
      </w:r>
    </w:p>
    <w:p w:rsidR="00795681" w:rsidRDefault="00795681" w:rsidP="003E1F85">
      <w:pPr>
        <w:pStyle w:val="ParaNum"/>
      </w:pPr>
      <w:r>
        <w:t xml:space="preserve">The actions proposed in the </w:t>
      </w:r>
      <w:r>
        <w:rPr>
          <w:i/>
        </w:rPr>
        <w:t xml:space="preserve">NPRM </w:t>
      </w:r>
      <w:r>
        <w:t xml:space="preserve">would give RPU licensees the flexibility to use off-the-shelf digital equipment, thus reducing their costs.  This action will </w:t>
      </w:r>
      <w:r>
        <w:rPr>
          <w:szCs w:val="22"/>
        </w:rPr>
        <w:t xml:space="preserve">serve the public interest by enabling RPU </w:t>
      </w:r>
      <w:r w:rsidRPr="00F65B7A">
        <w:t>licensees</w:t>
      </w:r>
      <w:r>
        <w:rPr>
          <w:szCs w:val="22"/>
        </w:rPr>
        <w:t xml:space="preserve"> to use spectrum more efficiently. </w:t>
      </w:r>
      <w:r>
        <w:rPr>
          <w:rFonts w:ascii="TimesNewRomanPSMT" w:hAnsi="TimesNewRomanPSMT" w:cs="TimesNewRomanPSMT"/>
          <w:szCs w:val="22"/>
        </w:rPr>
        <w:t xml:space="preserve"> </w:t>
      </w:r>
      <w:r>
        <w:t>T</w:t>
      </w:r>
      <w:r>
        <w:rPr>
          <w:szCs w:val="22"/>
        </w:rPr>
        <w:t>he rules will therefore open up beneficial economic opportunities to a variety of spectrum users, including small businesses</w:t>
      </w:r>
      <w:r>
        <w:t xml:space="preserve">.  Because the actions proposed in the </w:t>
      </w:r>
      <w:r>
        <w:rPr>
          <w:i/>
        </w:rPr>
        <w:t>NPRM</w:t>
      </w:r>
      <w:r>
        <w:t xml:space="preserve"> will improve beneficial economic opportunities for all businesses, including small businesses, a detailed discussion of alternatives is not required.</w:t>
      </w:r>
    </w:p>
    <w:p w:rsidR="00795681" w:rsidRDefault="00795681" w:rsidP="003E1F85">
      <w:pPr>
        <w:pStyle w:val="ParaNum"/>
      </w:pPr>
      <w:r>
        <w:t xml:space="preserve">Generally, the alternative approach would be to maintain the existing rules.  Under that approach, however, Remote Pickup Service licensees would not have the opportunity to use digital off-the-shelf equipment.  </w:t>
      </w:r>
    </w:p>
    <w:p w:rsidR="00795681" w:rsidRDefault="00795681" w:rsidP="00C35604">
      <w:pPr>
        <w:pStyle w:val="Heading2"/>
      </w:pPr>
      <w:bookmarkStart w:id="1113" w:name="_Toc295647984"/>
      <w:bookmarkStart w:id="1114" w:name="_Toc295658321"/>
      <w:bookmarkStart w:id="1115" w:name="_Toc295828151"/>
      <w:bookmarkStart w:id="1116" w:name="_Toc296412484"/>
      <w:bookmarkStart w:id="1117" w:name="_Toc296526419"/>
      <w:bookmarkStart w:id="1118" w:name="_Toc297101306"/>
      <w:bookmarkStart w:id="1119" w:name="_Toc297197668"/>
      <w:bookmarkStart w:id="1120" w:name="_Toc297197735"/>
      <w:bookmarkStart w:id="1121" w:name="_Toc297197810"/>
      <w:bookmarkStart w:id="1122" w:name="_Toc297197877"/>
      <w:bookmarkStart w:id="1123" w:name="_Toc297627544"/>
      <w:bookmarkStart w:id="1124" w:name="_Toc297627611"/>
      <w:bookmarkStart w:id="1125" w:name="_Toc297627678"/>
      <w:bookmarkStart w:id="1126" w:name="_Toc297627745"/>
      <w:bookmarkStart w:id="1127" w:name="_Toc297728393"/>
      <w:bookmarkStart w:id="1128" w:name="_Toc297728460"/>
      <w:bookmarkStart w:id="1129" w:name="_Toc297728527"/>
      <w:bookmarkStart w:id="1130" w:name="_Toc297728594"/>
      <w:bookmarkStart w:id="1131" w:name="_Toc297728661"/>
      <w:bookmarkStart w:id="1132" w:name="_Toc297728728"/>
      <w:bookmarkStart w:id="1133" w:name="_Toc297728795"/>
      <w:bookmarkStart w:id="1134" w:name="_Toc297728862"/>
      <w:bookmarkStart w:id="1135" w:name="_Toc297728929"/>
      <w:bookmarkStart w:id="1136" w:name="_Toc297734216"/>
      <w:bookmarkStart w:id="1137" w:name="_Toc297734283"/>
      <w:bookmarkStart w:id="1138" w:name="_Toc297905410"/>
      <w:bookmarkStart w:id="1139" w:name="_Toc298771596"/>
      <w:bookmarkStart w:id="1140" w:name="_Toc298771663"/>
      <w:bookmarkStart w:id="1141" w:name="_Toc299689614"/>
      <w:bookmarkStart w:id="1142" w:name="_Toc300328246"/>
      <w:bookmarkStart w:id="1143" w:name="_Toc322935368"/>
      <w:bookmarkStart w:id="1144" w:name="start_from_here"/>
      <w:r>
        <w:t>Federal Rules that May Duplicate, Overlap, or Conflict with the Proposed Rules</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rsidR="00795681" w:rsidRDefault="00795681" w:rsidP="003E1F85">
      <w:pPr>
        <w:pStyle w:val="ParaNum"/>
      </w:pPr>
      <w:r>
        <w:t>None.</w:t>
      </w:r>
    </w:p>
    <w:p w:rsidR="00795681" w:rsidRPr="00095C4C" w:rsidRDefault="00795681" w:rsidP="007C0D58">
      <w:pPr>
        <w:widowControl/>
        <w:jc w:val="center"/>
        <w:rPr>
          <w:rFonts w:ascii="Times New Roman Bold" w:hAnsi="Times New Roman Bold"/>
          <w:b/>
        </w:rPr>
      </w:pPr>
      <w:r>
        <w:br w:type="page"/>
      </w:r>
      <w:r>
        <w:rPr>
          <w:b/>
        </w:rPr>
        <w:t xml:space="preserve"> </w:t>
      </w:r>
      <w:r w:rsidRPr="00095C4C">
        <w:rPr>
          <w:rFonts w:ascii="Times New Roman Bold" w:hAnsi="Times New Roman Bold"/>
          <w:b/>
          <w:bCs/>
          <w:szCs w:val="24"/>
        </w:rPr>
        <w:t xml:space="preserve">Appendix </w:t>
      </w:r>
      <w:r w:rsidR="00A93E88">
        <w:rPr>
          <w:rFonts w:ascii="Times New Roman Bold" w:hAnsi="Times New Roman Bold"/>
          <w:b/>
          <w:bCs/>
          <w:szCs w:val="24"/>
        </w:rPr>
        <w:t>C</w:t>
      </w:r>
    </w:p>
    <w:p w:rsidR="003E1F85" w:rsidRDefault="003E1F85" w:rsidP="007C0D58">
      <w:pPr>
        <w:widowControl/>
        <w:jc w:val="center"/>
        <w:rPr>
          <w:b/>
          <w:szCs w:val="24"/>
        </w:rPr>
      </w:pPr>
    </w:p>
    <w:p w:rsidR="00795681" w:rsidRPr="00100A50" w:rsidRDefault="00795681" w:rsidP="007C0D58">
      <w:pPr>
        <w:widowControl/>
        <w:jc w:val="center"/>
        <w:rPr>
          <w:b/>
          <w:szCs w:val="24"/>
        </w:rPr>
      </w:pPr>
      <w:r w:rsidRPr="00100A50">
        <w:rPr>
          <w:b/>
          <w:szCs w:val="24"/>
        </w:rPr>
        <w:t xml:space="preserve">List of Commenters </w:t>
      </w:r>
    </w:p>
    <w:p w:rsidR="00795681" w:rsidRPr="00AC7670" w:rsidRDefault="00795681" w:rsidP="007C0D58">
      <w:pPr>
        <w:widowControl/>
        <w:spacing w:after="60"/>
        <w:rPr>
          <w:szCs w:val="22"/>
        </w:rPr>
      </w:pPr>
    </w:p>
    <w:p w:rsidR="00795681" w:rsidRPr="00100A50" w:rsidRDefault="00100A50" w:rsidP="007C0D58">
      <w:pPr>
        <w:widowControl/>
        <w:spacing w:after="60"/>
        <w:rPr>
          <w:b/>
          <w:u w:val="single"/>
        </w:rPr>
      </w:pPr>
      <w:r w:rsidRPr="00100A50">
        <w:rPr>
          <w:b/>
          <w:u w:val="single"/>
        </w:rPr>
        <w:t>Commenters:</w:t>
      </w:r>
    </w:p>
    <w:p w:rsidR="00795681" w:rsidRDefault="00795681" w:rsidP="003E1F85">
      <w:pPr>
        <w:pStyle w:val="ParaNum"/>
        <w:numPr>
          <w:ilvl w:val="0"/>
          <w:numId w:val="0"/>
        </w:numPr>
      </w:pPr>
      <w:r>
        <w:t>Engineers for the Integrity of Broadcast Auxiliary Services Spectrum (“EIBASS”)</w:t>
      </w:r>
    </w:p>
    <w:p w:rsidR="00795681" w:rsidRDefault="00795681" w:rsidP="003E1F85">
      <w:pPr>
        <w:pStyle w:val="ParaNum"/>
        <w:numPr>
          <w:ilvl w:val="0"/>
          <w:numId w:val="0"/>
        </w:numPr>
      </w:pPr>
      <w:r>
        <w:t>Icom America, Inc. and Icom, Inc. (collectively “Icom”)</w:t>
      </w:r>
    </w:p>
    <w:p w:rsidR="00795681" w:rsidRDefault="00795681" w:rsidP="003E1F85">
      <w:pPr>
        <w:pStyle w:val="ParaNum"/>
        <w:numPr>
          <w:ilvl w:val="0"/>
          <w:numId w:val="0"/>
        </w:numPr>
      </w:pPr>
      <w:r>
        <w:t>National Association of Broadcasters (“NAB”)</w:t>
      </w:r>
    </w:p>
    <w:p w:rsidR="00795681" w:rsidRPr="004841DA" w:rsidRDefault="00795681" w:rsidP="003E1F85">
      <w:pPr>
        <w:pStyle w:val="ParaNum"/>
        <w:numPr>
          <w:ilvl w:val="0"/>
          <w:numId w:val="0"/>
        </w:numPr>
      </w:pPr>
      <w:r>
        <w:t>Society of Broadcast Engineers, Incorporated (“SBE”)</w:t>
      </w:r>
    </w:p>
    <w:p w:rsidR="00795681" w:rsidRDefault="00795681" w:rsidP="003E1F85">
      <w:pPr>
        <w:pStyle w:val="ParaNum"/>
        <w:numPr>
          <w:ilvl w:val="0"/>
          <w:numId w:val="0"/>
        </w:numPr>
      </w:pPr>
    </w:p>
    <w:p w:rsidR="00003B6F" w:rsidRPr="003E1F85" w:rsidRDefault="00003B6F" w:rsidP="003E1F85">
      <w:pPr>
        <w:pStyle w:val="ParaNum"/>
        <w:numPr>
          <w:ilvl w:val="0"/>
          <w:numId w:val="0"/>
        </w:numPr>
        <w:rPr>
          <w:b/>
          <w:u w:val="single"/>
        </w:rPr>
      </w:pPr>
      <w:r w:rsidRPr="003E1F85">
        <w:rPr>
          <w:b/>
          <w:u w:val="single"/>
        </w:rPr>
        <w:t>Ex Partes</w:t>
      </w:r>
    </w:p>
    <w:p w:rsidR="00003B6F" w:rsidRDefault="00003B6F" w:rsidP="003E1F85">
      <w:pPr>
        <w:pStyle w:val="ParaNum"/>
        <w:numPr>
          <w:ilvl w:val="0"/>
          <w:numId w:val="0"/>
        </w:numPr>
      </w:pPr>
      <w:r>
        <w:t>Kenwood USA Corporation</w:t>
      </w:r>
    </w:p>
    <w:p w:rsidR="00003B6F" w:rsidRPr="00003B6F" w:rsidRDefault="00003B6F" w:rsidP="003E1F85">
      <w:pPr>
        <w:pStyle w:val="ParaNum"/>
        <w:numPr>
          <w:ilvl w:val="0"/>
          <w:numId w:val="0"/>
        </w:numPr>
        <w:rPr>
          <w:szCs w:val="22"/>
        </w:rPr>
      </w:pPr>
      <w:r>
        <w:t>Motorola Solutions, Inc.</w:t>
      </w:r>
    </w:p>
    <w:sectPr w:rsidR="00003B6F" w:rsidRPr="00003B6F" w:rsidSect="00F65B7A">
      <w:footnotePr>
        <w:numRestart w:val="eachSect"/>
      </w:footnotePr>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CD4" w:rsidRDefault="000F4CD4">
      <w:pPr>
        <w:spacing w:line="20" w:lineRule="exact"/>
      </w:pPr>
    </w:p>
  </w:endnote>
  <w:endnote w:type="continuationSeparator" w:id="0">
    <w:p w:rsidR="000F4CD4" w:rsidRDefault="000F4CD4">
      <w:r>
        <w:t xml:space="preserve"> </w:t>
      </w:r>
    </w:p>
  </w:endnote>
  <w:endnote w:type="continuationNotice" w:id="1">
    <w:p w:rsidR="000F4CD4" w:rsidRDefault="000F4CD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31" w:rsidRDefault="00B72C31" w:rsidP="007956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2C31" w:rsidRDefault="00B72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31" w:rsidRDefault="00B72C31" w:rsidP="007956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169C">
      <w:rPr>
        <w:rStyle w:val="PageNumber"/>
        <w:noProof/>
      </w:rPr>
      <w:t>2</w:t>
    </w:r>
    <w:r>
      <w:rPr>
        <w:rStyle w:val="PageNumber"/>
      </w:rPr>
      <w:fldChar w:fldCharType="end"/>
    </w:r>
  </w:p>
  <w:p w:rsidR="00B72C31" w:rsidRPr="00D9227D" w:rsidRDefault="00B72C31" w:rsidP="00795681">
    <w:pPr>
      <w:pStyle w:val="Footer"/>
      <w:tabs>
        <w:tab w:val="clear" w:pos="8640"/>
        <w:tab w:val="right" w:pos="9360"/>
      </w:tabs>
      <w:rPr>
        <w:sz w:val="20"/>
      </w:rPr>
    </w:pPr>
    <w:r w:rsidRPr="00D9227D">
      <w:rPr>
        <w:sz w:val="20"/>
      </w:rPr>
      <w:tab/>
    </w:r>
    <w:r w:rsidRPr="00D9227D">
      <w:rPr>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7A" w:rsidRDefault="00F65B7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CD4" w:rsidRDefault="000F4CD4">
      <w:r>
        <w:separator/>
      </w:r>
    </w:p>
  </w:footnote>
  <w:footnote w:type="continuationSeparator" w:id="0">
    <w:p w:rsidR="000F4CD4" w:rsidRDefault="000F4CD4">
      <w:pPr>
        <w:rPr>
          <w:sz w:val="20"/>
        </w:rPr>
      </w:pPr>
      <w:r>
        <w:rPr>
          <w:sz w:val="20"/>
        </w:rPr>
        <w:t xml:space="preserve">(Continued from previous page)  </w:t>
      </w:r>
      <w:r>
        <w:rPr>
          <w:sz w:val="20"/>
        </w:rPr>
        <w:separator/>
      </w:r>
    </w:p>
  </w:footnote>
  <w:footnote w:type="continuationNotice" w:id="1">
    <w:p w:rsidR="000F4CD4" w:rsidRDefault="000F4CD4">
      <w:pPr>
        <w:rPr>
          <w:sz w:val="20"/>
        </w:rPr>
      </w:pPr>
      <w:r>
        <w:rPr>
          <w:sz w:val="20"/>
        </w:rPr>
        <w:t>(continued….)</w:t>
      </w:r>
    </w:p>
  </w:footnote>
  <w:footnote w:id="2">
    <w:p w:rsidR="00B72C31" w:rsidRDefault="00B72C31" w:rsidP="006A4721">
      <w:pPr>
        <w:pStyle w:val="FootnoteText"/>
      </w:pPr>
      <w:r>
        <w:rPr>
          <w:rStyle w:val="FootnoteReference"/>
        </w:rPr>
        <w:footnoteRef/>
      </w:r>
      <w:r>
        <w:t xml:space="preserve"> </w:t>
      </w:r>
      <w:r>
        <w:rPr>
          <w:i/>
        </w:rPr>
        <w:t>See</w:t>
      </w:r>
      <w:r>
        <w:t xml:space="preserve"> Revisions to Broadcast Auxiliary Service Rules in Part 74 and Conforming Technical Rules for Broadcast Auxiliary Service, Cable Television Relay Service and Fixed Services in Parts 74, 78 and 101 of the Commission’s Rules, ET Docket No. 01-75, </w:t>
      </w:r>
      <w:r>
        <w:rPr>
          <w:i/>
        </w:rPr>
        <w:t>Notice of Proposed Rulemaking</w:t>
      </w:r>
      <w:r>
        <w:t>, 16 FCC Rcd 10556, 10557 ¶ 1 (2001).</w:t>
      </w:r>
    </w:p>
  </w:footnote>
  <w:footnote w:id="3">
    <w:p w:rsidR="00B72C31" w:rsidRPr="00F847F7" w:rsidRDefault="00B72C31" w:rsidP="006A4721">
      <w:pPr>
        <w:pStyle w:val="FootnoteText"/>
      </w:pPr>
      <w:r>
        <w:rPr>
          <w:rStyle w:val="FootnoteReference"/>
        </w:rPr>
        <w:footnoteRef/>
      </w:r>
      <w:r>
        <w:t xml:space="preserve"> </w:t>
      </w:r>
      <w:r>
        <w:rPr>
          <w:i/>
        </w:rPr>
        <w:t>See</w:t>
      </w:r>
      <w:r>
        <w:t xml:space="preserve"> 47 C.F.R. § 74.431.</w:t>
      </w:r>
    </w:p>
  </w:footnote>
  <w:footnote w:id="4">
    <w:p w:rsidR="00B72C31" w:rsidRDefault="00B72C31">
      <w:pPr>
        <w:pStyle w:val="FootnoteText"/>
      </w:pPr>
      <w:r>
        <w:rPr>
          <w:rStyle w:val="FootnoteReference"/>
        </w:rPr>
        <w:footnoteRef/>
      </w:r>
      <w:r>
        <w:t xml:space="preserve"> The output signal generated from digital transmission equipment is commonly known as digital emissions.</w:t>
      </w:r>
    </w:p>
  </w:footnote>
  <w:footnote w:id="5">
    <w:p w:rsidR="00B72C31" w:rsidRPr="00F847F7" w:rsidRDefault="00B72C31" w:rsidP="00CB4160">
      <w:pPr>
        <w:pStyle w:val="FootnoteText"/>
      </w:pPr>
      <w:r>
        <w:rPr>
          <w:rStyle w:val="FootnoteReference"/>
        </w:rPr>
        <w:footnoteRef/>
      </w:r>
      <w:r>
        <w:t xml:space="preserve"> </w:t>
      </w:r>
      <w:r>
        <w:rPr>
          <w:i/>
        </w:rPr>
        <w:t>See</w:t>
      </w:r>
      <w:r>
        <w:t xml:space="preserve"> 47 C.F.R. § 74.402(a)-(d).</w:t>
      </w:r>
    </w:p>
  </w:footnote>
  <w:footnote w:id="6">
    <w:p w:rsidR="00B72C31" w:rsidRPr="006966DC" w:rsidRDefault="00B72C31">
      <w:pPr>
        <w:pStyle w:val="FootnoteText"/>
      </w:pPr>
      <w:r>
        <w:rPr>
          <w:rStyle w:val="FootnoteReference"/>
        </w:rPr>
        <w:footnoteRef/>
      </w:r>
      <w:r>
        <w:t xml:space="preserve"> </w:t>
      </w:r>
      <w:r>
        <w:rPr>
          <w:i/>
        </w:rPr>
        <w:t>See</w:t>
      </w:r>
      <w:r>
        <w:t xml:space="preserve"> 47 C.F.R. § 90.35.</w:t>
      </w:r>
    </w:p>
  </w:footnote>
  <w:footnote w:id="7">
    <w:p w:rsidR="00B72C31" w:rsidRPr="00E93376" w:rsidRDefault="00B72C31">
      <w:pPr>
        <w:pStyle w:val="FootnoteText"/>
      </w:pPr>
      <w:r>
        <w:rPr>
          <w:rStyle w:val="FootnoteReference"/>
        </w:rPr>
        <w:footnoteRef/>
      </w:r>
      <w:r>
        <w:t xml:space="preserve"> </w:t>
      </w:r>
      <w:r>
        <w:rPr>
          <w:i/>
        </w:rPr>
        <w:t>See</w:t>
      </w:r>
      <w:r>
        <w:t xml:space="preserve"> Revisions to Broadcast Auxiliary Service Rules in Part 74and Conforming Technical Rules for Broadcast Auxiliary Service, Cable Television Relay Service and Fixed Services in Part 74, 78 and 101 of the Commission’s Rules, ET Docket No. 01-75, </w:t>
      </w:r>
      <w:r w:rsidRPr="00D84271">
        <w:rPr>
          <w:i/>
        </w:rPr>
        <w:t>Report and Order</w:t>
      </w:r>
      <w:r>
        <w:t>, 17 FCC Rcd 22979, 23021-23022 ¶¶ 111-112 (2002) (“</w:t>
      </w:r>
      <w:r w:rsidRPr="00D84271">
        <w:rPr>
          <w:i/>
        </w:rPr>
        <w:t>2002 BAS Report and Order</w:t>
      </w:r>
      <w:r>
        <w:t>”).</w:t>
      </w:r>
    </w:p>
  </w:footnote>
  <w:footnote w:id="8">
    <w:p w:rsidR="00B72C31" w:rsidRPr="00022BCB" w:rsidRDefault="00B72C31">
      <w:pPr>
        <w:pStyle w:val="FootnoteText"/>
      </w:pPr>
      <w:r>
        <w:rPr>
          <w:rStyle w:val="FootnoteReference"/>
        </w:rPr>
        <w:footnoteRef/>
      </w:r>
      <w:r>
        <w:t xml:space="preserve"> </w:t>
      </w:r>
      <w:r w:rsidRPr="00D84271">
        <w:rPr>
          <w:i/>
        </w:rPr>
        <w:t>2002 BAS Report and Order</w:t>
      </w:r>
      <w:r>
        <w:t>, 17 FCC Rcd at 23022 n.219.</w:t>
      </w:r>
    </w:p>
  </w:footnote>
  <w:footnote w:id="9">
    <w:p w:rsidR="00B72C31" w:rsidRDefault="00B72C31">
      <w:pPr>
        <w:pStyle w:val="FootnoteText"/>
      </w:pPr>
      <w:r>
        <w:rPr>
          <w:rStyle w:val="FootnoteReference"/>
        </w:rPr>
        <w:footnoteRef/>
      </w:r>
      <w:r>
        <w:t xml:space="preserve"> </w:t>
      </w:r>
      <w:r w:rsidRPr="00D84271">
        <w:rPr>
          <w:i/>
        </w:rPr>
        <w:t>2002 BAS Report and Order</w:t>
      </w:r>
      <w:r>
        <w:t>, 17 FCC Rcd at 23022-23023 ¶ 114.</w:t>
      </w:r>
    </w:p>
  </w:footnote>
  <w:footnote w:id="10">
    <w:p w:rsidR="00B72C31" w:rsidRPr="006966DC" w:rsidRDefault="00B72C31">
      <w:pPr>
        <w:pStyle w:val="FootnoteText"/>
      </w:pPr>
      <w:r>
        <w:rPr>
          <w:rStyle w:val="FootnoteReference"/>
        </w:rPr>
        <w:footnoteRef/>
      </w:r>
      <w:r>
        <w:t xml:space="preserve"> In the VHF RPU Band, the segments are 7.5 kilohertz wide, and broadcasters may combine up to four segments to form a channel of up to 30 kilohertz.  </w:t>
      </w:r>
      <w:r>
        <w:rPr>
          <w:i/>
        </w:rPr>
        <w:t>See</w:t>
      </w:r>
      <w:r>
        <w:t xml:space="preserve"> 47 C.F.R. § 74.402(b).  In the UHF RPU Band, the narrowest segments are 6.25 kilohertz wide, and up to eight segments may be combined to form a channel up to 50 kilohertz wide.  </w:t>
      </w:r>
      <w:r>
        <w:rPr>
          <w:i/>
        </w:rPr>
        <w:t>See</w:t>
      </w:r>
      <w:r>
        <w:t xml:space="preserve"> 47 C.F.R. § 74.402(b).  In addition, there are designated UHF 25 kilohertz and 50 kilohertz segments which may be combined to form channels of up to 50 kilohertz and 100 kilohertz, respectively.  </w:t>
      </w:r>
      <w:r>
        <w:rPr>
          <w:i/>
        </w:rPr>
        <w:t>See</w:t>
      </w:r>
      <w:r>
        <w:t xml:space="preserve"> 47 C.F.R. § 74.402(c), (d).</w:t>
      </w:r>
    </w:p>
  </w:footnote>
  <w:footnote w:id="11">
    <w:p w:rsidR="00B72C31" w:rsidRDefault="00B72C31">
      <w:pPr>
        <w:pStyle w:val="FootnoteText"/>
      </w:pPr>
      <w:r>
        <w:rPr>
          <w:rStyle w:val="FootnoteReference"/>
        </w:rPr>
        <w:footnoteRef/>
      </w:r>
      <w:r>
        <w:t xml:space="preserve"> </w:t>
      </w:r>
      <w:r>
        <w:rPr>
          <w:i/>
        </w:rPr>
        <w:t>See</w:t>
      </w:r>
      <w:r>
        <w:t xml:space="preserve"> 47 C.F.R. § 74.402(c), (d).</w:t>
      </w:r>
    </w:p>
  </w:footnote>
  <w:footnote w:id="12">
    <w:p w:rsidR="00B72C31" w:rsidRPr="00BF6343" w:rsidRDefault="00B72C31">
      <w:pPr>
        <w:pStyle w:val="FootnoteText"/>
      </w:pPr>
      <w:r>
        <w:rPr>
          <w:rStyle w:val="FootnoteReference"/>
        </w:rPr>
        <w:footnoteRef/>
      </w:r>
      <w:r>
        <w:t xml:space="preserve"> </w:t>
      </w:r>
      <w:r>
        <w:rPr>
          <w:i/>
        </w:rPr>
        <w:t>See</w:t>
      </w:r>
      <w:r>
        <w:t xml:space="preserve"> </w:t>
      </w:r>
      <w:r w:rsidR="001E1703" w:rsidRPr="00F82296">
        <w:t xml:space="preserve">Engineers for the Integrity of Broadcast Auxiliary Services Spectrum Petition for Rulemaking </w:t>
      </w:r>
      <w:r w:rsidR="001E1703">
        <w:t>to amend Part 74, Subpart D, of the Commission’s Remote Pickup (RPU) rules</w:t>
      </w:r>
      <w:r w:rsidR="001E1703" w:rsidRPr="00F82296">
        <w:t>, RM-11</w:t>
      </w:r>
      <w:r w:rsidR="001E1703">
        <w:t>649</w:t>
      </w:r>
      <w:r w:rsidR="001E1703" w:rsidRPr="00F82296">
        <w:t xml:space="preserve"> (filed </w:t>
      </w:r>
      <w:r w:rsidR="001E1703">
        <w:t>Nov. 7</w:t>
      </w:r>
      <w:r w:rsidR="001E1703" w:rsidRPr="00F82296">
        <w:t>, 20</w:t>
      </w:r>
      <w:r w:rsidR="001E1703">
        <w:t>11</w:t>
      </w:r>
      <w:r w:rsidR="001E1703" w:rsidRPr="00F82296">
        <w:t>) (</w:t>
      </w:r>
      <w:r w:rsidR="001E1703" w:rsidRPr="00D95060">
        <w:t>“EIBASS Petition”</w:t>
      </w:r>
      <w:r w:rsidR="001E1703" w:rsidRPr="00F82296">
        <w:t>)</w:t>
      </w:r>
      <w:r w:rsidR="001E1703">
        <w:t xml:space="preserve"> </w:t>
      </w:r>
      <w:r>
        <w:t>at 2-4.</w:t>
      </w:r>
    </w:p>
  </w:footnote>
  <w:footnote w:id="13">
    <w:p w:rsidR="00B72C31" w:rsidRDefault="00B72C31" w:rsidP="00604A51">
      <w:pPr>
        <w:pStyle w:val="FootnoteText"/>
      </w:pPr>
      <w:r>
        <w:rPr>
          <w:rStyle w:val="FootnoteReference"/>
        </w:rPr>
        <w:footnoteRef/>
      </w:r>
      <w:r>
        <w:t xml:space="preserve"> EIBASS provides the following example:  If a broadcaster wished to combine the 6.25 kHz RPU segments at 455.48750 MHz, 455.49375 MHz, 455.50000 MHz, and 455.50625 MHz into a 25 kilohertz RPU channel, the center frequency of the combined segments would be 455.496875 MHz, which is halfway between 455.49375 MHz and 455.5 MHz.  However, this center frequency is offset from the RPU center frequencies specified in Section 74.402.   EIBASS Petition at 4.</w:t>
      </w:r>
    </w:p>
  </w:footnote>
  <w:footnote w:id="14">
    <w:p w:rsidR="00B72C31" w:rsidRPr="003E00BA" w:rsidRDefault="00B72C31">
      <w:pPr>
        <w:pStyle w:val="FootnoteText"/>
      </w:pPr>
      <w:r>
        <w:rPr>
          <w:rStyle w:val="FootnoteReference"/>
        </w:rPr>
        <w:footnoteRef/>
      </w:r>
      <w:r>
        <w:t xml:space="preserve"> EIBASS Petition at 4; </w:t>
      </w:r>
      <w:r w:rsidR="001E1703">
        <w:t xml:space="preserve">; Society of Broadcast Engineers </w:t>
      </w:r>
      <w:r w:rsidR="001E1703" w:rsidRPr="00F82296">
        <w:t xml:space="preserve">Petition for Rulemaking </w:t>
      </w:r>
      <w:r w:rsidR="001E1703">
        <w:t>to M</w:t>
      </w:r>
      <w:r w:rsidR="001E1703" w:rsidRPr="00310674">
        <w:t>odify Sections 74.4</w:t>
      </w:r>
      <w:r w:rsidR="001E1703">
        <w:t>02 and 74.462 of the Commission’</w:t>
      </w:r>
      <w:r w:rsidR="001E1703" w:rsidRPr="00310674">
        <w:t xml:space="preserve">s </w:t>
      </w:r>
      <w:r w:rsidR="001E1703">
        <w:t>R</w:t>
      </w:r>
      <w:r w:rsidR="001E1703" w:rsidRPr="00310674">
        <w:t>ules</w:t>
      </w:r>
      <w:r w:rsidR="001E1703" w:rsidRPr="00F82296">
        <w:t>, RM-11</w:t>
      </w:r>
      <w:r w:rsidR="001E1703">
        <w:t>648</w:t>
      </w:r>
      <w:r w:rsidR="001E1703" w:rsidRPr="00F82296">
        <w:t xml:space="preserve">, (filed </w:t>
      </w:r>
      <w:r w:rsidR="001E1703">
        <w:t>Nov. 7</w:t>
      </w:r>
      <w:r w:rsidR="001E1703" w:rsidRPr="00F82296">
        <w:t>, 20</w:t>
      </w:r>
      <w:r w:rsidR="001E1703">
        <w:t>11</w:t>
      </w:r>
      <w:r w:rsidR="001E1703" w:rsidRPr="00F82296">
        <w:t>) (</w:t>
      </w:r>
      <w:r w:rsidR="001E1703" w:rsidRPr="00D95060">
        <w:t>“SBE Petition”</w:t>
      </w:r>
      <w:r w:rsidR="001E1703" w:rsidRPr="00F82296">
        <w:t>)</w:t>
      </w:r>
      <w:r w:rsidR="001E1703">
        <w:t xml:space="preserve"> </w:t>
      </w:r>
      <w:r>
        <w:t xml:space="preserve">at 5-6.  For example, if a broadcaster wanted a 25 kilohertz UHF RPU channel, the applicant would request five 6.25 kilohertz segments (a total of 31.25 kHz), which would result in the RPU channel center at a frequency contained in Section 74.402.  </w:t>
      </w:r>
      <w:r>
        <w:rPr>
          <w:i/>
        </w:rPr>
        <w:t>See</w:t>
      </w:r>
      <w:r>
        <w:t xml:space="preserve"> EIBASS Petition at 4.</w:t>
      </w:r>
    </w:p>
  </w:footnote>
  <w:footnote w:id="15">
    <w:p w:rsidR="00B72C31" w:rsidRDefault="00B72C31">
      <w:pPr>
        <w:pStyle w:val="FootnoteText"/>
      </w:pPr>
      <w:r>
        <w:rPr>
          <w:rStyle w:val="FootnoteReference"/>
        </w:rPr>
        <w:footnoteRef/>
      </w:r>
      <w:r>
        <w:t xml:space="preserve"> SBE refers to frequencies with six decimal places after the period.  SBE Petition at 5.  Since, to use an example, 455.496875 MHz equals 455,496,875 Hertz, the degree of specificity involved is programming to the nearest Hertz.</w:t>
      </w:r>
    </w:p>
  </w:footnote>
  <w:footnote w:id="16">
    <w:p w:rsidR="00B72C31" w:rsidRDefault="00B72C31">
      <w:pPr>
        <w:pStyle w:val="FootnoteText"/>
      </w:pPr>
      <w:r>
        <w:rPr>
          <w:rStyle w:val="FootnoteReference"/>
        </w:rPr>
        <w:footnoteRef/>
      </w:r>
      <w:r>
        <w:t xml:space="preserve"> EIBASS Petition at 4; SBE Petition at 5.</w:t>
      </w:r>
    </w:p>
  </w:footnote>
  <w:footnote w:id="17">
    <w:p w:rsidR="00B72C31" w:rsidRDefault="00B72C31" w:rsidP="00E74D7B">
      <w:pPr>
        <w:pStyle w:val="FootnoteText"/>
      </w:pPr>
      <w:r>
        <w:rPr>
          <w:rStyle w:val="FootnoteReference"/>
        </w:rPr>
        <w:footnoteRef/>
      </w:r>
      <w:r>
        <w:t xml:space="preserve"> SBE Petition, Attachment A.</w:t>
      </w:r>
    </w:p>
  </w:footnote>
  <w:footnote w:id="18">
    <w:p w:rsidR="00B72C31" w:rsidRDefault="00B72C31" w:rsidP="00E74D7B">
      <w:pPr>
        <w:pStyle w:val="FootnoteText"/>
      </w:pPr>
      <w:r>
        <w:rPr>
          <w:rStyle w:val="FootnoteReference"/>
        </w:rPr>
        <w:footnoteRef/>
      </w:r>
      <w:r>
        <w:t xml:space="preserve"> EIBASS Petition, Figure 3.</w:t>
      </w:r>
    </w:p>
  </w:footnote>
  <w:footnote w:id="19">
    <w:p w:rsidR="00B72C31" w:rsidRPr="00C21922" w:rsidRDefault="00B72C31" w:rsidP="00E74D7B">
      <w:pPr>
        <w:pStyle w:val="FootnoteText"/>
        <w:rPr>
          <w:caps/>
        </w:rPr>
      </w:pPr>
      <w:r>
        <w:rPr>
          <w:rStyle w:val="FootnoteReference"/>
        </w:rPr>
        <w:footnoteRef/>
      </w:r>
      <w:r>
        <w:t xml:space="preserve"> EIBASS Petition at 1-2; SBE Petition at 1-3.</w:t>
      </w:r>
    </w:p>
  </w:footnote>
  <w:footnote w:id="20">
    <w:p w:rsidR="00B72C31" w:rsidRDefault="00B72C31" w:rsidP="00E74D7B">
      <w:pPr>
        <w:pStyle w:val="FootnoteText"/>
      </w:pPr>
      <w:r>
        <w:rPr>
          <w:rStyle w:val="FootnoteReference"/>
        </w:rPr>
        <w:footnoteRef/>
      </w:r>
      <w:r>
        <w:t xml:space="preserve"> EIBASS Petition at 9-10; SBE Petition at 3-4.</w:t>
      </w:r>
    </w:p>
  </w:footnote>
  <w:footnote w:id="21">
    <w:p w:rsidR="00B72C31" w:rsidRDefault="00B72C31" w:rsidP="00F5616D">
      <w:pPr>
        <w:pStyle w:val="FootnoteText"/>
      </w:pPr>
      <w:r>
        <w:rPr>
          <w:rStyle w:val="FootnoteReference"/>
        </w:rPr>
        <w:footnoteRef/>
      </w:r>
      <w:r>
        <w:t xml:space="preserve"> SBE Petition at 6.</w:t>
      </w:r>
    </w:p>
  </w:footnote>
  <w:footnote w:id="22">
    <w:p w:rsidR="00B72C31" w:rsidRDefault="00B72C31" w:rsidP="00F5616D">
      <w:pPr>
        <w:pStyle w:val="FootnoteText"/>
      </w:pPr>
      <w:r>
        <w:rPr>
          <w:rStyle w:val="FootnoteReference"/>
        </w:rPr>
        <w:footnoteRef/>
      </w:r>
      <w:r>
        <w:t xml:space="preserve"> SBE Petition at 6-7.</w:t>
      </w:r>
    </w:p>
  </w:footnote>
  <w:footnote w:id="23">
    <w:p w:rsidR="00B72C31" w:rsidRDefault="00B72C31" w:rsidP="00F5616D">
      <w:pPr>
        <w:pStyle w:val="FootnoteText"/>
      </w:pPr>
      <w:r>
        <w:rPr>
          <w:rStyle w:val="FootnoteReference"/>
        </w:rPr>
        <w:footnoteRef/>
      </w:r>
      <w:r>
        <w:t xml:space="preserve"> SBE Petition at 6.</w:t>
      </w:r>
    </w:p>
  </w:footnote>
  <w:footnote w:id="24">
    <w:p w:rsidR="00B72C31" w:rsidRPr="003602FD" w:rsidRDefault="00B72C31" w:rsidP="006C5DC1">
      <w:pPr>
        <w:pStyle w:val="FootnoteText"/>
      </w:pPr>
      <w:r>
        <w:rPr>
          <w:rStyle w:val="FootnoteReference"/>
        </w:rPr>
        <w:footnoteRef/>
      </w:r>
      <w:r>
        <w:t xml:space="preserve"> </w:t>
      </w:r>
      <w:r w:rsidRPr="003602FD">
        <w:t>SBE Petition</w:t>
      </w:r>
      <w:r>
        <w:t xml:space="preserve"> at 2; </w:t>
      </w:r>
      <w:r w:rsidRPr="003602FD">
        <w:t>EIBASS Petition</w:t>
      </w:r>
      <w:r>
        <w:t xml:space="preserve"> at 7-10</w:t>
      </w:r>
      <w:r w:rsidRPr="00F82296">
        <w:t>.</w:t>
      </w:r>
    </w:p>
  </w:footnote>
  <w:footnote w:id="25">
    <w:p w:rsidR="008B6032" w:rsidRDefault="008B6032">
      <w:pPr>
        <w:pStyle w:val="FootnoteText"/>
      </w:pPr>
      <w:r>
        <w:rPr>
          <w:rStyle w:val="FootnoteReference"/>
        </w:rPr>
        <w:footnoteRef/>
      </w:r>
      <w:r>
        <w:t xml:space="preserve"> 47 C.F.R. § 74.462(a).</w:t>
      </w:r>
    </w:p>
  </w:footnote>
  <w:footnote w:id="26">
    <w:p w:rsidR="00B72C31" w:rsidRPr="00E8551B" w:rsidRDefault="00B72C31" w:rsidP="006C5DC1">
      <w:pPr>
        <w:pStyle w:val="FootnoteText"/>
      </w:pPr>
      <w:r>
        <w:rPr>
          <w:rStyle w:val="FootnoteReference"/>
        </w:rPr>
        <w:footnoteRef/>
      </w:r>
      <w:r>
        <w:t xml:space="preserve"> 47 C.F.R. § 74.462.  </w:t>
      </w:r>
      <w:r>
        <w:rPr>
          <w:i/>
        </w:rPr>
        <w:t>See</w:t>
      </w:r>
      <w:r>
        <w:t xml:space="preserve"> EIBASS Petition at 7.</w:t>
      </w:r>
    </w:p>
  </w:footnote>
  <w:footnote w:id="27">
    <w:p w:rsidR="00B72C31" w:rsidRPr="001A4389" w:rsidRDefault="00B72C31">
      <w:pPr>
        <w:pStyle w:val="FootnoteText"/>
      </w:pPr>
      <w:r>
        <w:rPr>
          <w:rStyle w:val="FootnoteReference"/>
        </w:rPr>
        <w:footnoteRef/>
      </w:r>
      <w:r>
        <w:t xml:space="preserve"> 47 C.F.R. § 74.462(b).  The emissions authorized by the rule are </w:t>
      </w:r>
      <w:r w:rsidRPr="005C7B6A">
        <w:t xml:space="preserve">A1A, A1B, A1D, A1E, A2A, A2B, A2D, A2E, A3E, F1A, F1B, F1D, F1E, F2A, F2B, F2D, F2E, F3E, </w:t>
      </w:r>
      <w:r>
        <w:t xml:space="preserve">and </w:t>
      </w:r>
      <w:r w:rsidRPr="005C7B6A">
        <w:t>F9E</w:t>
      </w:r>
      <w:r>
        <w:t xml:space="preserve">.  </w:t>
      </w:r>
      <w:r>
        <w:rPr>
          <w:i/>
        </w:rPr>
        <w:t>Id.</w:t>
      </w:r>
      <w:r>
        <w:t xml:space="preserve">  In the HF and VHF bands, emissions A3E, F1E, F3E, and F9E are authorized, and the other listed analog emissions may be authorized upon a showing of need.  </w:t>
      </w:r>
      <w:r>
        <w:rPr>
          <w:i/>
        </w:rPr>
        <w:t>See</w:t>
      </w:r>
      <w:r>
        <w:t xml:space="preserve"> 47 C.F.R. § 74.462(b) n.2.</w:t>
      </w:r>
    </w:p>
  </w:footnote>
  <w:footnote w:id="28">
    <w:p w:rsidR="00B72C31" w:rsidRDefault="00B72C31" w:rsidP="00C04382">
      <w:pPr>
        <w:pStyle w:val="FootnoteText"/>
      </w:pPr>
      <w:r>
        <w:rPr>
          <w:rStyle w:val="FootnoteReference"/>
        </w:rPr>
        <w:footnoteRef/>
      </w:r>
      <w:r>
        <w:t xml:space="preserve"> SBE Petition at 3-4; EIBASS Petition at 9.</w:t>
      </w:r>
    </w:p>
  </w:footnote>
  <w:footnote w:id="29">
    <w:p w:rsidR="00B72C31" w:rsidRPr="00C04382" w:rsidRDefault="00B72C31">
      <w:pPr>
        <w:pStyle w:val="FootnoteText"/>
      </w:pPr>
      <w:r>
        <w:rPr>
          <w:rStyle w:val="FootnoteReference"/>
        </w:rPr>
        <w:footnoteRef/>
      </w:r>
      <w:r>
        <w:t xml:space="preserve"> SBE Petition at 4, </w:t>
      </w:r>
      <w:r>
        <w:rPr>
          <w:i/>
        </w:rPr>
        <w:t>citing</w:t>
      </w:r>
      <w:r>
        <w:t xml:space="preserve"> 47 C.F.R. § 74.861(e)(3).</w:t>
      </w:r>
    </w:p>
  </w:footnote>
  <w:footnote w:id="30">
    <w:p w:rsidR="00B72C31" w:rsidRDefault="00B72C31">
      <w:pPr>
        <w:pStyle w:val="FootnoteText"/>
      </w:pPr>
      <w:r>
        <w:rPr>
          <w:rStyle w:val="FootnoteReference"/>
        </w:rPr>
        <w:footnoteRef/>
      </w:r>
      <w:r>
        <w:t xml:space="preserve"> 47 C.F.R. § 74.463.</w:t>
      </w:r>
    </w:p>
  </w:footnote>
  <w:footnote w:id="31">
    <w:p w:rsidR="00B72C31" w:rsidRDefault="00B72C31">
      <w:pPr>
        <w:pStyle w:val="FootnoteText"/>
      </w:pPr>
      <w:r>
        <w:rPr>
          <w:rStyle w:val="FootnoteReference"/>
        </w:rPr>
        <w:footnoteRef/>
      </w:r>
      <w:r>
        <w:t xml:space="preserve"> EIBASS Petition at 8.  </w:t>
      </w:r>
    </w:p>
  </w:footnote>
  <w:footnote w:id="32">
    <w:p w:rsidR="00B72C31" w:rsidRDefault="00B72C31">
      <w:pPr>
        <w:pStyle w:val="FootnoteText"/>
      </w:pPr>
      <w:r>
        <w:rPr>
          <w:rStyle w:val="FootnoteReference"/>
        </w:rPr>
        <w:footnoteRef/>
      </w:r>
      <w:r>
        <w:t xml:space="preserve"> 47 C.F.R. § 74.482.</w:t>
      </w:r>
    </w:p>
  </w:footnote>
  <w:footnote w:id="33">
    <w:p w:rsidR="00B72C31" w:rsidRDefault="00B72C31">
      <w:pPr>
        <w:pStyle w:val="FootnoteText"/>
      </w:pPr>
      <w:r>
        <w:rPr>
          <w:rStyle w:val="FootnoteReference"/>
        </w:rPr>
        <w:footnoteRef/>
      </w:r>
      <w:r>
        <w:t xml:space="preserve"> EIBASS Petition at 10-12.</w:t>
      </w:r>
    </w:p>
  </w:footnote>
  <w:footnote w:id="34">
    <w:p w:rsidR="00B72C31" w:rsidRDefault="00B72C31" w:rsidP="002A2FE2">
      <w:pPr>
        <w:pStyle w:val="FootnoteText"/>
      </w:pPr>
      <w:r>
        <w:rPr>
          <w:rStyle w:val="FootnoteReference"/>
        </w:rPr>
        <w:footnoteRef/>
      </w:r>
      <w:r>
        <w:t xml:space="preserve"> Request for Temporary Waiver, Society of Broadcast Engineers, Incorporated (filed on Nov. 7, 2011) (Waiver Request).</w:t>
      </w:r>
    </w:p>
  </w:footnote>
  <w:footnote w:id="35">
    <w:p w:rsidR="00B72C31" w:rsidRDefault="00B72C31" w:rsidP="002A2FE2">
      <w:pPr>
        <w:pStyle w:val="FootnoteText"/>
      </w:pPr>
      <w:r>
        <w:rPr>
          <w:rStyle w:val="FootnoteReference"/>
        </w:rPr>
        <w:footnoteRef/>
      </w:r>
      <w:r>
        <w:t xml:space="preserve"> Waiver Request at 6.</w:t>
      </w:r>
    </w:p>
  </w:footnote>
  <w:footnote w:id="36">
    <w:p w:rsidR="00B72C31" w:rsidRDefault="00B72C31" w:rsidP="002A2FE2">
      <w:pPr>
        <w:pStyle w:val="FootnoteText"/>
      </w:pPr>
      <w:r>
        <w:rPr>
          <w:rStyle w:val="FootnoteReference"/>
        </w:rPr>
        <w:footnoteRef/>
      </w:r>
      <w:r>
        <w:t xml:space="preserve"> Waiver Request at 2-5.</w:t>
      </w:r>
    </w:p>
  </w:footnote>
  <w:footnote w:id="37">
    <w:p w:rsidR="00B72C31" w:rsidRDefault="00B72C31" w:rsidP="002A2FE2">
      <w:pPr>
        <w:pStyle w:val="FootnoteText"/>
      </w:pPr>
      <w:r>
        <w:rPr>
          <w:rStyle w:val="FootnoteReference"/>
        </w:rPr>
        <w:footnoteRef/>
      </w:r>
      <w:r>
        <w:t xml:space="preserve"> Waiver Request at 6.</w:t>
      </w:r>
    </w:p>
  </w:footnote>
  <w:footnote w:id="38">
    <w:p w:rsidR="00B72C31" w:rsidRDefault="00B72C31" w:rsidP="002A2FE2">
      <w:pPr>
        <w:pStyle w:val="FootnoteText"/>
      </w:pPr>
      <w:r>
        <w:rPr>
          <w:rStyle w:val="FootnoteReference"/>
        </w:rPr>
        <w:footnoteRef/>
      </w:r>
      <w:r>
        <w:t xml:space="preserve"> Waiver Request at 6.</w:t>
      </w:r>
    </w:p>
  </w:footnote>
  <w:footnote w:id="39">
    <w:p w:rsidR="00B72C31" w:rsidRDefault="00B72C31">
      <w:pPr>
        <w:pStyle w:val="FootnoteText"/>
      </w:pPr>
      <w:r>
        <w:rPr>
          <w:rStyle w:val="FootnoteReference"/>
        </w:rPr>
        <w:footnoteRef/>
      </w:r>
      <w:r>
        <w:t xml:space="preserve"> Public Notice, Consumer &amp; Governmental Affairs Bureau Reference Information Center Petitions for Rulemakings Filed, Report No. 2943 (CGB rel. Dec. 21, 2011).</w:t>
      </w:r>
    </w:p>
  </w:footnote>
  <w:footnote w:id="40">
    <w:p w:rsidR="00B72C31" w:rsidRPr="00AF333F" w:rsidRDefault="00B72C31">
      <w:pPr>
        <w:pStyle w:val="FootnoteText"/>
      </w:pPr>
      <w:r>
        <w:rPr>
          <w:rStyle w:val="FootnoteReference"/>
        </w:rPr>
        <w:footnoteRef/>
      </w:r>
      <w:r>
        <w:t xml:space="preserve"> Comments of EIBASS (filed Jan. 20, 2012).</w:t>
      </w:r>
    </w:p>
  </w:footnote>
  <w:footnote w:id="41">
    <w:p w:rsidR="00B72C31" w:rsidRDefault="00B72C31">
      <w:pPr>
        <w:pStyle w:val="FootnoteText"/>
      </w:pPr>
      <w:r>
        <w:rPr>
          <w:rStyle w:val="FootnoteReference"/>
        </w:rPr>
        <w:footnoteRef/>
      </w:r>
      <w:r>
        <w:t xml:space="preserve"> Comments of Icom America, Inc. and Icom, Inc. (filed Jan. 17, 2012).</w:t>
      </w:r>
    </w:p>
  </w:footnote>
  <w:footnote w:id="42">
    <w:p w:rsidR="00B72C31" w:rsidRDefault="00B72C31">
      <w:pPr>
        <w:pStyle w:val="FootnoteText"/>
      </w:pPr>
      <w:r>
        <w:rPr>
          <w:rStyle w:val="FootnoteReference"/>
        </w:rPr>
        <w:footnoteRef/>
      </w:r>
      <w:r>
        <w:t xml:space="preserve"> Comments of the Society of Broadcast Engineers, Incorporated (filed Jan. 19, 2012).</w:t>
      </w:r>
    </w:p>
  </w:footnote>
  <w:footnote w:id="43">
    <w:p w:rsidR="00B72C31" w:rsidRDefault="00B72C31">
      <w:pPr>
        <w:pStyle w:val="FootnoteText"/>
      </w:pPr>
      <w:r>
        <w:rPr>
          <w:rStyle w:val="FootnoteReference"/>
        </w:rPr>
        <w:footnoteRef/>
      </w:r>
      <w:r>
        <w:t xml:space="preserve"> Comments of the National Association of Broadcasters (filed Jan. 20, 2012).</w:t>
      </w:r>
    </w:p>
  </w:footnote>
  <w:footnote w:id="44">
    <w:p w:rsidR="00B72C31" w:rsidRDefault="00B72C31">
      <w:pPr>
        <w:pStyle w:val="FootnoteText"/>
      </w:pPr>
      <w:r>
        <w:rPr>
          <w:rStyle w:val="FootnoteReference"/>
        </w:rPr>
        <w:footnoteRef/>
      </w:r>
      <w:r>
        <w:t xml:space="preserve"> Comments of Kenwood USA Corporation (filed July 11, 2012)</w:t>
      </w:r>
    </w:p>
  </w:footnote>
  <w:footnote w:id="45">
    <w:p w:rsidR="00B72C31" w:rsidRDefault="00B72C31" w:rsidP="00A9788B">
      <w:pPr>
        <w:pStyle w:val="FootnoteText"/>
      </w:pPr>
      <w:r>
        <w:rPr>
          <w:rStyle w:val="FootnoteReference"/>
        </w:rPr>
        <w:footnoteRef/>
      </w:r>
      <w:r>
        <w:t xml:space="preserve"> Letter from Chuck Powers, Director, Engineering &amp; Technology Policy, Government Affairs, Motorola Solutions, Inc. to Marlene H. Dortch, Secretary, Federal Communications Commission (filed Nov. 12, 2013).</w:t>
      </w:r>
    </w:p>
  </w:footnote>
  <w:footnote w:id="46">
    <w:p w:rsidR="00B72C31" w:rsidRPr="002A2FE2" w:rsidRDefault="00B72C31">
      <w:pPr>
        <w:pStyle w:val="FootnoteText"/>
      </w:pPr>
      <w:r>
        <w:rPr>
          <w:rStyle w:val="FootnoteReference"/>
        </w:rPr>
        <w:footnoteRef/>
      </w:r>
      <w:r>
        <w:t xml:space="preserve"> </w:t>
      </w:r>
      <w:r>
        <w:rPr>
          <w:i/>
        </w:rPr>
        <w:t>See</w:t>
      </w:r>
      <w:r>
        <w:t xml:space="preserve"> 47 C.F.R. § 74.402.</w:t>
      </w:r>
    </w:p>
  </w:footnote>
  <w:footnote w:id="47">
    <w:p w:rsidR="00B72C31" w:rsidRPr="00463F1F" w:rsidRDefault="00B72C31">
      <w:pPr>
        <w:pStyle w:val="FootnoteText"/>
      </w:pPr>
      <w:r>
        <w:rPr>
          <w:rStyle w:val="FootnoteReference"/>
        </w:rPr>
        <w:footnoteRef/>
      </w:r>
      <w:r>
        <w:t xml:space="preserve"> </w:t>
      </w:r>
      <w:r>
        <w:rPr>
          <w:i/>
        </w:rPr>
        <w:t>See</w:t>
      </w:r>
      <w:r>
        <w:t xml:space="preserve"> EIBASS Petition at 4.</w:t>
      </w:r>
    </w:p>
  </w:footnote>
  <w:footnote w:id="48">
    <w:p w:rsidR="00B72C31" w:rsidRDefault="00B72C31">
      <w:pPr>
        <w:pStyle w:val="FootnoteText"/>
      </w:pPr>
      <w:r>
        <w:rPr>
          <w:rStyle w:val="FootnoteReference"/>
        </w:rPr>
        <w:footnoteRef/>
      </w:r>
      <w:r>
        <w:t xml:space="preserve"> </w:t>
      </w:r>
      <w:r w:rsidRPr="008C398E">
        <w:rPr>
          <w:i/>
        </w:rPr>
        <w:t>See</w:t>
      </w:r>
      <w:r>
        <w:t xml:space="preserve"> EIBASS Petition at Figure 2. </w:t>
      </w:r>
    </w:p>
  </w:footnote>
  <w:footnote w:id="49">
    <w:p w:rsidR="00B72C31" w:rsidRPr="008207CA" w:rsidRDefault="00B72C31">
      <w:pPr>
        <w:pStyle w:val="FootnoteText"/>
      </w:pPr>
      <w:r>
        <w:rPr>
          <w:rStyle w:val="FootnoteReference"/>
        </w:rPr>
        <w:footnoteRef/>
      </w:r>
      <w:r>
        <w:t xml:space="preserve"> </w:t>
      </w:r>
      <w:r>
        <w:rPr>
          <w:i/>
        </w:rPr>
        <w:t>See</w:t>
      </w:r>
      <w:r>
        <w:t xml:space="preserve"> 47 C.F.R. §§ 74.464, 90.213.</w:t>
      </w:r>
    </w:p>
  </w:footnote>
  <w:footnote w:id="50">
    <w:p w:rsidR="00B72C31" w:rsidRPr="008207CA" w:rsidRDefault="00B72C31">
      <w:pPr>
        <w:pStyle w:val="FootnoteText"/>
      </w:pPr>
      <w:r>
        <w:rPr>
          <w:rStyle w:val="FootnoteReference"/>
        </w:rPr>
        <w:footnoteRef/>
      </w:r>
      <w:r>
        <w:t xml:space="preserve"> </w:t>
      </w:r>
      <w:r>
        <w:rPr>
          <w:i/>
        </w:rPr>
        <w:t>See</w:t>
      </w:r>
      <w:r>
        <w:t xml:space="preserve"> 47 C.F.R. § 90.213(a) n.5.</w:t>
      </w:r>
    </w:p>
  </w:footnote>
  <w:footnote w:id="51">
    <w:p w:rsidR="00B72C31" w:rsidRPr="008207CA" w:rsidRDefault="00B72C31" w:rsidP="008207CA">
      <w:pPr>
        <w:pStyle w:val="FootnoteText"/>
      </w:pPr>
      <w:r>
        <w:rPr>
          <w:rStyle w:val="FootnoteReference"/>
        </w:rPr>
        <w:footnoteRef/>
      </w:r>
      <w:r>
        <w:t xml:space="preserve"> </w:t>
      </w:r>
      <w:r>
        <w:rPr>
          <w:i/>
        </w:rPr>
        <w:t>See</w:t>
      </w:r>
      <w:r>
        <w:t xml:space="preserve"> 47 C.F.R. § 90.213(a) n.7.</w:t>
      </w:r>
    </w:p>
  </w:footnote>
  <w:footnote w:id="52">
    <w:p w:rsidR="00B72C31" w:rsidRDefault="00B72C31">
      <w:pPr>
        <w:pStyle w:val="FootnoteText"/>
      </w:pPr>
      <w:r>
        <w:rPr>
          <w:rStyle w:val="FootnoteReference"/>
        </w:rPr>
        <w:footnoteRef/>
      </w:r>
      <w:r>
        <w:t xml:space="preserve"> </w:t>
      </w:r>
      <w:r>
        <w:rPr>
          <w:i/>
        </w:rPr>
        <w:t xml:space="preserve">See </w:t>
      </w:r>
      <w:r>
        <w:t>47 C.F.R. §74.402(b)(4).  There are five decimal places after the period for certain frequencies specified in that rule.</w:t>
      </w:r>
    </w:p>
  </w:footnote>
  <w:footnote w:id="53">
    <w:p w:rsidR="00B72C31" w:rsidRDefault="00B72C31" w:rsidP="00EA1914">
      <w:pPr>
        <w:pStyle w:val="FootnoteText"/>
      </w:pPr>
      <w:r>
        <w:rPr>
          <w:rStyle w:val="FootnoteReference"/>
        </w:rPr>
        <w:footnoteRef/>
      </w:r>
      <w:r>
        <w:t xml:space="preserve"> </w:t>
      </w:r>
      <w:r>
        <w:rPr>
          <w:i/>
        </w:rPr>
        <w:t>See</w:t>
      </w:r>
      <w:r>
        <w:t xml:space="preserve"> 47 C.F.R. §§ 74.462, 90.210.</w:t>
      </w:r>
    </w:p>
  </w:footnote>
  <w:footnote w:id="54">
    <w:p w:rsidR="00B72C31" w:rsidRDefault="00B72C31">
      <w:pPr>
        <w:pStyle w:val="FootnoteText"/>
      </w:pPr>
      <w:r>
        <w:rPr>
          <w:rStyle w:val="FootnoteReference"/>
        </w:rPr>
        <w:footnoteRef/>
      </w:r>
      <w:r>
        <w:t xml:space="preserve"> </w:t>
      </w:r>
      <w:r w:rsidRPr="00D84271">
        <w:rPr>
          <w:i/>
        </w:rPr>
        <w:t>2002 BAS Report and Order</w:t>
      </w:r>
      <w:r>
        <w:t>, 17 FCC Rcd at 23021-23022 ¶¶ 111-112.</w:t>
      </w:r>
    </w:p>
  </w:footnote>
  <w:footnote w:id="55">
    <w:p w:rsidR="00B72C31" w:rsidRPr="00A82884" w:rsidRDefault="00B72C31">
      <w:pPr>
        <w:pStyle w:val="FootnoteText"/>
        <w:rPr>
          <w:u w:val="single"/>
        </w:rPr>
      </w:pPr>
      <w:r>
        <w:rPr>
          <w:rStyle w:val="FootnoteReference"/>
        </w:rPr>
        <w:footnoteRef/>
      </w:r>
      <w:r>
        <w:t xml:space="preserve"> </w:t>
      </w:r>
      <w:r>
        <w:rPr>
          <w:i/>
        </w:rPr>
        <w:t xml:space="preserve">See </w:t>
      </w:r>
      <w:r>
        <w:t xml:space="preserve">EIBASS Petition at 9; SBE Petition at 3.  We note that applicants would still be required to state all emissions they propose to use in their applications.  </w:t>
      </w:r>
      <w:r>
        <w:rPr>
          <w:i/>
        </w:rPr>
        <w:t>See</w:t>
      </w:r>
      <w:r>
        <w:t xml:space="preserve"> EIBASS Petition at 9.</w:t>
      </w:r>
    </w:p>
  </w:footnote>
  <w:footnote w:id="56">
    <w:p w:rsidR="00B72C31" w:rsidRPr="00D52D21" w:rsidRDefault="00B72C31">
      <w:pPr>
        <w:pStyle w:val="FootnoteText"/>
      </w:pPr>
      <w:r>
        <w:rPr>
          <w:rStyle w:val="FootnoteReference"/>
        </w:rPr>
        <w:footnoteRef/>
      </w:r>
      <w:r>
        <w:t xml:space="preserve"> </w:t>
      </w:r>
      <w:r>
        <w:rPr>
          <w:i/>
        </w:rPr>
        <w:t>See</w:t>
      </w:r>
      <w:r>
        <w:t xml:space="preserve"> 47 C.F.R. § 74.402(b).</w:t>
      </w:r>
    </w:p>
  </w:footnote>
  <w:footnote w:id="57">
    <w:p w:rsidR="00B72C31" w:rsidRDefault="00B72C31">
      <w:pPr>
        <w:pStyle w:val="FootnoteText"/>
      </w:pPr>
      <w:r>
        <w:rPr>
          <w:rStyle w:val="FootnoteReference"/>
        </w:rPr>
        <w:footnoteRef/>
      </w:r>
      <w:r>
        <w:t xml:space="preserve"> EIBASS Petition at 8.</w:t>
      </w:r>
    </w:p>
  </w:footnote>
  <w:footnote w:id="58">
    <w:p w:rsidR="00B72C31" w:rsidRDefault="00B72C31">
      <w:pPr>
        <w:pStyle w:val="FootnoteText"/>
      </w:pPr>
      <w:r>
        <w:rPr>
          <w:rStyle w:val="FootnoteReference"/>
        </w:rPr>
        <w:footnoteRef/>
      </w:r>
      <w:r>
        <w:t xml:space="preserve"> EIBASS Petition at 10-12.</w:t>
      </w:r>
    </w:p>
  </w:footnote>
  <w:footnote w:id="59">
    <w:p w:rsidR="00B72C31" w:rsidRDefault="00B72C31">
      <w:pPr>
        <w:pStyle w:val="FootnoteText"/>
      </w:pPr>
      <w:r>
        <w:rPr>
          <w:rStyle w:val="FootnoteReference"/>
        </w:rPr>
        <w:footnoteRef/>
      </w:r>
      <w:r>
        <w:t xml:space="preserve"> EIBASS explains that this technique overlays a pre-defined and simple digital protocol to an incoming digital electronic news gathering (ENG) signal that identifies the transmission regardless of the many permutations of digital modulation, payload encryption, symbol rate, bit rate, or the various amounts of forward error correct (FEC) that might be deployed.  EIBASS Petition at 11.</w:t>
      </w:r>
    </w:p>
  </w:footnote>
  <w:footnote w:id="60">
    <w:p w:rsidR="00B72C31" w:rsidRDefault="00B72C31">
      <w:pPr>
        <w:pStyle w:val="FootnoteText"/>
      </w:pPr>
      <w:r>
        <w:rPr>
          <w:rStyle w:val="FootnoteReference"/>
        </w:rPr>
        <w:footnoteRef/>
      </w:r>
      <w:r>
        <w:t xml:space="preserve"> EIBASS Petition at 11-12.</w:t>
      </w:r>
    </w:p>
  </w:footnote>
  <w:footnote w:id="61">
    <w:p w:rsidR="00B72C31" w:rsidRDefault="00B72C31" w:rsidP="00DF3E8C">
      <w:pPr>
        <w:pStyle w:val="FootnoteText"/>
      </w:pPr>
      <w:r>
        <w:rPr>
          <w:rStyle w:val="FootnoteReference"/>
        </w:rPr>
        <w:footnoteRef/>
      </w:r>
      <w:r>
        <w:t xml:space="preserve"> </w:t>
      </w:r>
      <w:r>
        <w:rPr>
          <w:i/>
        </w:rPr>
        <w:t xml:space="preserve">See </w:t>
      </w:r>
      <w:r>
        <w:t xml:space="preserve">Amendment of Part 90 of the Commission’s Rules, WP Docket No. 07-100, </w:t>
      </w:r>
      <w:r w:rsidRPr="00FF34BF">
        <w:rPr>
          <w:i/>
        </w:rPr>
        <w:t>Second Report and Order and Second Further Notice of Proposed Rulemaking</w:t>
      </w:r>
      <w:r>
        <w:t>, 25 FCC Rcd 2479, 2498 ¶ 45 (2010).</w:t>
      </w:r>
    </w:p>
  </w:footnote>
  <w:footnote w:id="62">
    <w:p w:rsidR="00B72C31" w:rsidRPr="00DF3E8C" w:rsidRDefault="00B72C31">
      <w:pPr>
        <w:pStyle w:val="FootnoteText"/>
      </w:pPr>
      <w:r>
        <w:rPr>
          <w:rStyle w:val="FootnoteReference"/>
        </w:rPr>
        <w:footnoteRef/>
      </w:r>
      <w:r>
        <w:t xml:space="preserve"> </w:t>
      </w:r>
      <w:r>
        <w:rPr>
          <w:i/>
        </w:rPr>
        <w:t>Id</w:t>
      </w:r>
      <w:r>
        <w:t>. at 2520.</w:t>
      </w:r>
    </w:p>
  </w:footnote>
  <w:footnote w:id="63">
    <w:p w:rsidR="00B72C31" w:rsidRDefault="00B72C31" w:rsidP="00795681">
      <w:pPr>
        <w:pStyle w:val="FootnoteText"/>
      </w:pPr>
      <w:r>
        <w:rPr>
          <w:rStyle w:val="FootnoteReference"/>
        </w:rPr>
        <w:footnoteRef/>
      </w:r>
      <w:r>
        <w:t xml:space="preserve"> EIBASS Petition at 11-12.</w:t>
      </w:r>
    </w:p>
  </w:footnote>
  <w:footnote w:id="64">
    <w:p w:rsidR="00B72C31" w:rsidRDefault="00B72C31">
      <w:pPr>
        <w:pStyle w:val="FootnoteText"/>
      </w:pPr>
      <w:r>
        <w:rPr>
          <w:rStyle w:val="FootnoteReference"/>
        </w:rPr>
        <w:footnoteRef/>
      </w:r>
      <w:r>
        <w:t xml:space="preserve"> Waiver Request.</w:t>
      </w:r>
    </w:p>
  </w:footnote>
  <w:footnote w:id="65">
    <w:p w:rsidR="00B72C31" w:rsidRPr="008F5B90" w:rsidRDefault="00B72C31" w:rsidP="00795681">
      <w:pPr>
        <w:pStyle w:val="FootnoteText"/>
      </w:pPr>
      <w:r>
        <w:rPr>
          <w:rStyle w:val="FootnoteReference"/>
        </w:rPr>
        <w:footnoteRef/>
      </w:r>
      <w:r>
        <w:t xml:space="preserve"> </w:t>
      </w:r>
      <w:r w:rsidRPr="008F5B90">
        <w:t>47 C.F.R. § 1.925(b)(3).</w:t>
      </w:r>
    </w:p>
  </w:footnote>
  <w:footnote w:id="66">
    <w:p w:rsidR="00B72C31" w:rsidRPr="006C4B6F" w:rsidRDefault="00B72C31" w:rsidP="009D0AE5">
      <w:pPr>
        <w:pStyle w:val="FootnoteText"/>
      </w:pPr>
      <w:r>
        <w:rPr>
          <w:rStyle w:val="FootnoteReference"/>
        </w:rPr>
        <w:footnoteRef/>
      </w:r>
      <w:r>
        <w:t xml:space="preserve"> </w:t>
      </w:r>
      <w:r>
        <w:rPr>
          <w:i/>
        </w:rPr>
        <w:t>See</w:t>
      </w:r>
      <w:r>
        <w:t xml:space="preserve"> 47 C.F.R. § 1.925(b)(3).  The Broadband Division of the Wireless Telecommunications Bureau has granted one waiver to allow operation of digital RPU equipment.  </w:t>
      </w:r>
      <w:r>
        <w:rPr>
          <w:i/>
        </w:rPr>
        <w:t>See</w:t>
      </w:r>
      <w:r>
        <w:t xml:space="preserve"> CBS Television Stations, Inc., </w:t>
      </w:r>
      <w:r>
        <w:rPr>
          <w:i/>
        </w:rPr>
        <w:t>Letter</w:t>
      </w:r>
      <w:r>
        <w:t>, 29 FCC Rcd 4900 (WTB BD 2014).</w:t>
      </w:r>
    </w:p>
  </w:footnote>
  <w:footnote w:id="67">
    <w:p w:rsidR="00B72C31" w:rsidRDefault="00B72C31">
      <w:pPr>
        <w:pStyle w:val="FootnoteText"/>
      </w:pPr>
      <w:r>
        <w:rPr>
          <w:rStyle w:val="FootnoteReference"/>
        </w:rPr>
        <w:footnoteRef/>
      </w:r>
      <w:r>
        <w:t xml:space="preserve"> 47 C.F.R. § 1.1200(a)</w:t>
      </w:r>
    </w:p>
  </w:footnote>
  <w:footnote w:id="68">
    <w:p w:rsidR="00B72C31" w:rsidRDefault="00B72C31" w:rsidP="00795681">
      <w:pPr>
        <w:pStyle w:val="FootnoteText"/>
        <w:rPr>
          <w:i/>
          <w:iCs/>
        </w:rPr>
      </w:pPr>
      <w:r>
        <w:rPr>
          <w:rStyle w:val="FootnoteReference"/>
        </w:rPr>
        <w:footnoteRef/>
      </w:r>
      <w:r>
        <w:t xml:space="preserve"> 47 C.F.R. §§ 1.1200 </w:t>
      </w:r>
      <w:r>
        <w:rPr>
          <w:i/>
          <w:iCs/>
        </w:rPr>
        <w:t>et seq.</w:t>
      </w:r>
    </w:p>
  </w:footnote>
  <w:footnote w:id="69">
    <w:p w:rsidR="00B72C31" w:rsidRDefault="00B72C31" w:rsidP="00795681">
      <w:pPr>
        <w:pStyle w:val="FootnoteText"/>
      </w:pPr>
      <w:r>
        <w:rPr>
          <w:rStyle w:val="FootnoteReference"/>
        </w:rPr>
        <w:footnoteRef/>
      </w:r>
      <w:r>
        <w:t xml:space="preserve"> </w:t>
      </w:r>
      <w:r>
        <w:rPr>
          <w:i/>
        </w:rPr>
        <w:t>See</w:t>
      </w:r>
      <w:r>
        <w:t xml:space="preserve"> 5 U.S.C. § 603.</w:t>
      </w:r>
    </w:p>
  </w:footnote>
  <w:footnote w:id="70">
    <w:p w:rsidR="00B72C31" w:rsidRDefault="00B72C31" w:rsidP="00795681">
      <w:pPr>
        <w:pStyle w:val="FootnoteText"/>
      </w:pPr>
      <w:r>
        <w:rPr>
          <w:rStyle w:val="FootnoteReference"/>
          <w:color w:val="000000"/>
        </w:rPr>
        <w:footnoteRef/>
      </w:r>
      <w:r>
        <w:t xml:space="preserve"> </w:t>
      </w:r>
      <w:r>
        <w:rPr>
          <w:i/>
        </w:rPr>
        <w:t xml:space="preserve">See </w:t>
      </w:r>
      <w:r>
        <w:t xml:space="preserve">5 U.S.C. § 603.  The RFA, </w:t>
      </w:r>
      <w:r>
        <w:rPr>
          <w:i/>
        </w:rPr>
        <w:t>see</w:t>
      </w:r>
      <w:r>
        <w:t xml:space="preserve"> 5 U.S.C. § 601-612, has been amended by the Small Business Regulatory Enforcement Fairness Act of 1996, (SBREFA) Pub. L. No. 104-121, Title II, 110 Stat. 857 (1996). </w:t>
      </w:r>
    </w:p>
  </w:footnote>
  <w:footnote w:id="71">
    <w:p w:rsidR="00B72C31" w:rsidRDefault="00B72C31" w:rsidP="00795681">
      <w:pPr>
        <w:pStyle w:val="FootnoteText"/>
      </w:pPr>
      <w:r>
        <w:rPr>
          <w:rStyle w:val="FootnoteReference"/>
          <w:color w:val="000000"/>
        </w:rPr>
        <w:footnoteRef/>
      </w:r>
      <w:r>
        <w:t xml:space="preserve"> </w:t>
      </w:r>
      <w:r>
        <w:rPr>
          <w:i/>
        </w:rPr>
        <w:t xml:space="preserve">See </w:t>
      </w:r>
      <w:r>
        <w:t>5 U.S.C. § 603(a).</w:t>
      </w:r>
    </w:p>
  </w:footnote>
  <w:footnote w:id="72">
    <w:p w:rsidR="00B72C31" w:rsidRDefault="00B72C31" w:rsidP="00795681">
      <w:pPr>
        <w:pStyle w:val="FootnoteText"/>
      </w:pPr>
      <w:r>
        <w:rPr>
          <w:rStyle w:val="FootnoteReference"/>
          <w:color w:val="000000"/>
        </w:rPr>
        <w:footnoteRef/>
      </w:r>
      <w:r>
        <w:t xml:space="preserve"> </w:t>
      </w:r>
      <w:r>
        <w:rPr>
          <w:i/>
        </w:rPr>
        <w:t xml:space="preserve">See </w:t>
      </w:r>
      <w:r>
        <w:t>5 U.S.C. § 603(a).</w:t>
      </w:r>
    </w:p>
  </w:footnote>
  <w:footnote w:id="73">
    <w:p w:rsidR="00B72C31" w:rsidRDefault="00B72C31" w:rsidP="00795681">
      <w:pPr>
        <w:pStyle w:val="FootnoteText"/>
        <w:rPr>
          <w:rStyle w:val="Footnote"/>
        </w:rPr>
      </w:pPr>
      <w:r>
        <w:rPr>
          <w:rStyle w:val="Footnote"/>
          <w:vertAlign w:val="superscript"/>
        </w:rPr>
        <w:footnoteRef/>
      </w:r>
      <w:r>
        <w:rPr>
          <w:rStyle w:val="Footnote"/>
          <w:vertAlign w:val="superscript"/>
        </w:rPr>
        <w:t xml:space="preserve"> </w:t>
      </w:r>
      <w:r>
        <w:rPr>
          <w:rStyle w:val="Footnote"/>
        </w:rPr>
        <w:t>5 U.S.C. § 603(b)(3).</w:t>
      </w:r>
    </w:p>
  </w:footnote>
  <w:footnote w:id="74">
    <w:p w:rsidR="00B72C31" w:rsidRDefault="00B72C31" w:rsidP="00795681">
      <w:pPr>
        <w:pStyle w:val="FootnoteText"/>
        <w:rPr>
          <w:rStyle w:val="Footnote"/>
        </w:rPr>
      </w:pPr>
      <w:r>
        <w:rPr>
          <w:rStyle w:val="Footnote"/>
          <w:vertAlign w:val="superscript"/>
        </w:rPr>
        <w:footnoteRef/>
      </w:r>
      <w:r>
        <w:rPr>
          <w:rStyle w:val="Footnote"/>
        </w:rPr>
        <w:t xml:space="preserve"> 5 U.S.C. § 601(6).</w:t>
      </w:r>
    </w:p>
  </w:footnote>
  <w:footnote w:id="75">
    <w:p w:rsidR="00B72C31" w:rsidRDefault="00B72C31" w:rsidP="00795681">
      <w:pPr>
        <w:pStyle w:val="FootnoteText"/>
        <w:rPr>
          <w:rStyle w:val="Footnote"/>
        </w:rPr>
      </w:pPr>
      <w:r>
        <w:rPr>
          <w:rStyle w:val="Footnote"/>
          <w:vertAlign w:val="superscript"/>
        </w:rPr>
        <w:footnoteRef/>
      </w:r>
      <w:r>
        <w:rPr>
          <w:rStyle w:val="Footnote"/>
        </w:rP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76">
    <w:p w:rsidR="00B72C31" w:rsidRDefault="00B72C31" w:rsidP="00795681">
      <w:pPr>
        <w:pStyle w:val="FootnoteText"/>
        <w:rPr>
          <w:rStyle w:val="Footnote"/>
        </w:rPr>
      </w:pPr>
      <w:r>
        <w:rPr>
          <w:rStyle w:val="Footnote"/>
          <w:vertAlign w:val="superscript"/>
        </w:rPr>
        <w:footnoteRef/>
      </w:r>
      <w:r>
        <w:rPr>
          <w:rStyle w:val="Footnote"/>
        </w:rPr>
        <w:t xml:space="preserve"> 15 U.S.C. § 632.</w:t>
      </w:r>
    </w:p>
  </w:footnote>
  <w:footnote w:id="77">
    <w:p w:rsidR="00B72C31" w:rsidRDefault="00B72C31" w:rsidP="0035475B">
      <w:pPr>
        <w:pStyle w:val="FootnoteText"/>
      </w:pPr>
      <w:r>
        <w:rPr>
          <w:rStyle w:val="FootnoteReference"/>
        </w:rPr>
        <w:footnoteRef/>
      </w:r>
      <w:r>
        <w:t xml:space="preserve"> </w:t>
      </w:r>
      <w:smartTag w:uri="urn:schemas-microsoft-com:office:smarttags" w:element="State">
        <w:smartTag w:uri="urn:schemas-microsoft-com:office:smarttags" w:element="place">
          <w:r>
            <w:rPr>
              <w:i/>
            </w:rPr>
            <w:t>Id</w:t>
          </w:r>
          <w:r>
            <w:t>.</w:t>
          </w:r>
        </w:smartTag>
      </w:smartTag>
      <w:r>
        <w:t>, SIC Code 3663 (NAICS code 33422).</w:t>
      </w:r>
    </w:p>
  </w:footnote>
  <w:footnote w:id="78">
    <w:p w:rsidR="00B72C31" w:rsidRDefault="00B72C31" w:rsidP="00795681">
      <w:pPr>
        <w:pStyle w:val="FootnoteText"/>
      </w:pPr>
      <w:r>
        <w:rPr>
          <w:rStyle w:val="FootnoteReference"/>
        </w:rPr>
        <w:footnoteRef/>
      </w:r>
      <w:r w:rsidR="003E1F85">
        <w:t xml:space="preserve"> </w:t>
      </w:r>
      <w:r>
        <w:t>5 U.S.C. § 603(c).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09" w:rsidRDefault="008725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31" w:rsidRDefault="00B72C31" w:rsidP="00477629">
    <w:pPr>
      <w:pStyle w:val="Header"/>
    </w:pPr>
    <w:r>
      <w:tab/>
      <w:t>Federal Communications Commission</w:t>
    </w:r>
    <w:r>
      <w:tab/>
      <w:t xml:space="preserve">  FCC 15-</w:t>
    </w:r>
    <w:r w:rsidR="00314EF1">
      <w:t>22</w:t>
    </w:r>
    <w:r>
      <w:t xml:space="preserve"> </w:t>
    </w:r>
  </w:p>
  <w:p w:rsidR="00B703CC" w:rsidRDefault="00B72C31" w:rsidP="00964C8B">
    <w:pPr>
      <w:pStyle w:val="Header"/>
    </w:pPr>
    <w:r>
      <w:rPr>
        <w:b w:val="0"/>
        <w:noProof/>
        <w:snapToGrid/>
      </w:rPr>
      <mc:AlternateContent>
        <mc:Choice Requires="wps">
          <w:drawing>
            <wp:anchor distT="4294967295" distB="4294967295" distL="114300" distR="114300" simplePos="0" relativeHeight="251658240" behindDoc="0" locked="0" layoutInCell="0" allowOverlap="1" wp14:anchorId="49DDBD31" wp14:editId="5AAFDCD0">
              <wp:simplePos x="0" y="0"/>
              <wp:positionH relativeFrom="column">
                <wp:posOffset>0</wp:posOffset>
              </wp:positionH>
              <wp:positionV relativeFrom="paragraph">
                <wp:posOffset>22224</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31" w:rsidRDefault="00B72C31" w:rsidP="00B72C31">
    <w:pPr>
      <w:pStyle w:val="Header"/>
    </w:pPr>
    <w:r>
      <w:tab/>
      <w:t>Federal Communications Commission</w:t>
    </w:r>
    <w:r>
      <w:tab/>
      <w:t xml:space="preserve">  FCC 15-</w:t>
    </w:r>
    <w:r w:rsidR="000F296D">
      <w:t>22</w:t>
    </w:r>
    <w:r>
      <w:t xml:space="preserve"> </w:t>
    </w:r>
  </w:p>
  <w:p w:rsidR="00B72C31" w:rsidRPr="00477629" w:rsidRDefault="00B72C31" w:rsidP="00477629">
    <w:pPr>
      <w:pStyle w:val="Header"/>
    </w:pPr>
    <w:r>
      <w:rPr>
        <w:b w:val="0"/>
        <w:noProof/>
        <w:snapToGrid/>
      </w:rPr>
      <mc:AlternateContent>
        <mc:Choice Requires="wps">
          <w:drawing>
            <wp:anchor distT="4294967295" distB="4294967295" distL="114300" distR="114300" simplePos="0" relativeHeight="251660288" behindDoc="0" locked="0" layoutInCell="0" allowOverlap="1" wp14:anchorId="00697B10" wp14:editId="69A2CF7B">
              <wp:simplePos x="0" y="0"/>
              <wp:positionH relativeFrom="column">
                <wp:posOffset>0</wp:posOffset>
              </wp:positionH>
              <wp:positionV relativeFrom="paragraph">
                <wp:posOffset>22224</wp:posOffset>
              </wp:positionV>
              <wp:extent cx="59436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MX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G1qMxcSAgAA&#10;KQQAAA4AAAAAAAAAAAAAAAAALgIAAGRycy9lMm9Eb2MueG1sUEsBAi0AFAAGAAgAAAAhAO4pKK7Y&#10;AAAABAEAAA8AAAAAAAAAAAAAAAAAbAQAAGRycy9kb3ducmV2LnhtbFBLBQYAAAAABAAEAPMAAABx&#10;BQAAAAA=&#10;" o:allowincell="f" strokeweight="1.5pt"/>
          </w:pict>
        </mc:Fallback>
      </mc:AlternateContent>
    </w:r>
    <w:r w:rsidRPr="0047762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3D7"/>
    <w:multiLevelType w:val="hybridMultilevel"/>
    <w:tmpl w:val="A8821524"/>
    <w:lvl w:ilvl="0" w:tplc="9D36988C">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69E674C"/>
    <w:multiLevelType w:val="hybridMultilevel"/>
    <w:tmpl w:val="7810A1F6"/>
    <w:lvl w:ilvl="0" w:tplc="4776FDB4">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FCB37F8"/>
    <w:multiLevelType w:val="singleLevel"/>
    <w:tmpl w:val="0409000F"/>
    <w:lvl w:ilvl="0">
      <w:start w:val="1"/>
      <w:numFmt w:val="decimal"/>
      <w:lvlText w:val="%1."/>
      <w:lvlJc w:val="left"/>
      <w:pPr>
        <w:tabs>
          <w:tab w:val="num" w:pos="360"/>
        </w:tabs>
        <w:ind w:left="360" w:hanging="360"/>
      </w:pPr>
    </w:lvl>
  </w:abstractNum>
  <w:abstractNum w:abstractNumId="8">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F331E2"/>
    <w:multiLevelType w:val="multilevel"/>
    <w:tmpl w:val="7D9091FA"/>
    <w:lvl w:ilvl="0">
      <w:start w:val="1"/>
      <w:numFmt w:val="decimal"/>
      <w:pStyle w:val="App1"/>
      <w:lvlText w:val="%1."/>
      <w:lvlJc w:val="left"/>
      <w:pPr>
        <w:tabs>
          <w:tab w:val="num" w:pos="1440"/>
        </w:tabs>
        <w:ind w:left="0" w:firstLine="7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49917D6C"/>
    <w:multiLevelType w:val="hybridMultilevel"/>
    <w:tmpl w:val="E4EA69BE"/>
    <w:lvl w:ilvl="0" w:tplc="CA10678E">
      <w:start w:val="1"/>
      <w:numFmt w:val="bullet"/>
      <w:lvlText w:val=""/>
      <w:lvlJc w:val="left"/>
      <w:pPr>
        <w:tabs>
          <w:tab w:val="num" w:pos="1080"/>
        </w:tabs>
        <w:ind w:left="1080" w:hanging="360"/>
      </w:pPr>
      <w:rPr>
        <w:rFonts w:ascii="Wingdings" w:hAnsi="Wingdings" w:hint="default"/>
        <w:sz w:val="24"/>
      </w:rPr>
    </w:lvl>
    <w:lvl w:ilvl="1" w:tplc="2FD8D5DC">
      <w:start w:val="1"/>
      <w:numFmt w:val="bullet"/>
      <w:lvlText w:val="o"/>
      <w:lvlJc w:val="left"/>
      <w:pPr>
        <w:tabs>
          <w:tab w:val="num" w:pos="1800"/>
        </w:tabs>
        <w:ind w:left="1800" w:hanging="360"/>
      </w:pPr>
      <w:rPr>
        <w:rFonts w:ascii="Courier New" w:hAnsi="Courier New" w:cs="Wingdings" w:hint="default"/>
      </w:rPr>
    </w:lvl>
    <w:lvl w:ilvl="2" w:tplc="F524EC38" w:tentative="1">
      <w:start w:val="1"/>
      <w:numFmt w:val="bullet"/>
      <w:lvlText w:val=""/>
      <w:lvlJc w:val="left"/>
      <w:pPr>
        <w:tabs>
          <w:tab w:val="num" w:pos="2520"/>
        </w:tabs>
        <w:ind w:left="2520" w:hanging="360"/>
      </w:pPr>
      <w:rPr>
        <w:rFonts w:ascii="Wingdings" w:hAnsi="Wingdings" w:hint="default"/>
      </w:rPr>
    </w:lvl>
    <w:lvl w:ilvl="3" w:tplc="B2B2C3AE" w:tentative="1">
      <w:start w:val="1"/>
      <w:numFmt w:val="bullet"/>
      <w:lvlText w:val=""/>
      <w:lvlJc w:val="left"/>
      <w:pPr>
        <w:tabs>
          <w:tab w:val="num" w:pos="3240"/>
        </w:tabs>
        <w:ind w:left="3240" w:hanging="360"/>
      </w:pPr>
      <w:rPr>
        <w:rFonts w:ascii="Symbol" w:hAnsi="Symbol" w:hint="default"/>
      </w:rPr>
    </w:lvl>
    <w:lvl w:ilvl="4" w:tplc="85F6C896" w:tentative="1">
      <w:start w:val="1"/>
      <w:numFmt w:val="bullet"/>
      <w:lvlText w:val="o"/>
      <w:lvlJc w:val="left"/>
      <w:pPr>
        <w:tabs>
          <w:tab w:val="num" w:pos="3960"/>
        </w:tabs>
        <w:ind w:left="3960" w:hanging="360"/>
      </w:pPr>
      <w:rPr>
        <w:rFonts w:ascii="Courier New" w:hAnsi="Courier New" w:cs="Wingdings" w:hint="default"/>
      </w:rPr>
    </w:lvl>
    <w:lvl w:ilvl="5" w:tplc="A9F470FC" w:tentative="1">
      <w:start w:val="1"/>
      <w:numFmt w:val="bullet"/>
      <w:lvlText w:val=""/>
      <w:lvlJc w:val="left"/>
      <w:pPr>
        <w:tabs>
          <w:tab w:val="num" w:pos="4680"/>
        </w:tabs>
        <w:ind w:left="4680" w:hanging="360"/>
      </w:pPr>
      <w:rPr>
        <w:rFonts w:ascii="Wingdings" w:hAnsi="Wingdings" w:hint="default"/>
      </w:rPr>
    </w:lvl>
    <w:lvl w:ilvl="6" w:tplc="EFD66A6E" w:tentative="1">
      <w:start w:val="1"/>
      <w:numFmt w:val="bullet"/>
      <w:lvlText w:val=""/>
      <w:lvlJc w:val="left"/>
      <w:pPr>
        <w:tabs>
          <w:tab w:val="num" w:pos="5400"/>
        </w:tabs>
        <w:ind w:left="5400" w:hanging="360"/>
      </w:pPr>
      <w:rPr>
        <w:rFonts w:ascii="Symbol" w:hAnsi="Symbol" w:hint="default"/>
      </w:rPr>
    </w:lvl>
    <w:lvl w:ilvl="7" w:tplc="6284ECBA" w:tentative="1">
      <w:start w:val="1"/>
      <w:numFmt w:val="bullet"/>
      <w:lvlText w:val="o"/>
      <w:lvlJc w:val="left"/>
      <w:pPr>
        <w:tabs>
          <w:tab w:val="num" w:pos="6120"/>
        </w:tabs>
        <w:ind w:left="6120" w:hanging="360"/>
      </w:pPr>
      <w:rPr>
        <w:rFonts w:ascii="Courier New" w:hAnsi="Courier New" w:cs="Wingdings" w:hint="default"/>
      </w:rPr>
    </w:lvl>
    <w:lvl w:ilvl="8" w:tplc="5350927E" w:tentative="1">
      <w:start w:val="1"/>
      <w:numFmt w:val="bullet"/>
      <w:lvlText w:val=""/>
      <w:lvlJc w:val="left"/>
      <w:pPr>
        <w:tabs>
          <w:tab w:val="num" w:pos="6840"/>
        </w:tabs>
        <w:ind w:left="6840" w:hanging="360"/>
      </w:pPr>
      <w:rPr>
        <w:rFonts w:ascii="Wingdings" w:hAnsi="Wingdings" w:hint="default"/>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4FF77B77"/>
    <w:multiLevelType w:val="hybridMultilevel"/>
    <w:tmpl w:val="96D055B4"/>
    <w:lvl w:ilvl="0" w:tplc="FFFFFFFF">
      <w:start w:val="1"/>
      <w:numFmt w:val="lowerLetter"/>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E494651"/>
    <w:multiLevelType w:val="hybridMultilevel"/>
    <w:tmpl w:val="FDF2AF80"/>
    <w:lvl w:ilvl="0" w:tplc="FFFFFFFF">
      <w:start w:val="1"/>
      <w:numFmt w:val="decimal"/>
      <w:lvlText w:val="%1."/>
      <w:lvlJc w:val="left"/>
      <w:pPr>
        <w:tabs>
          <w:tab w:val="num" w:pos="1440"/>
        </w:tabs>
        <w:ind w:left="360" w:firstLine="720"/>
      </w:pPr>
      <w:rPr>
        <w:rFonts w:ascii="Times New Roman" w:hAnsi="Times New Roman" w:hint="default"/>
        <w:b w:val="0"/>
        <w:i w:val="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5">
    <w:nsid w:val="717E36C3"/>
    <w:multiLevelType w:val="hybridMultilevel"/>
    <w:tmpl w:val="E578AF1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3A45C9"/>
    <w:multiLevelType w:val="hybridMultilevel"/>
    <w:tmpl w:val="6264003A"/>
    <w:lvl w:ilvl="0" w:tplc="2CC854C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5575B5B"/>
    <w:multiLevelType w:val="hybridMultilevel"/>
    <w:tmpl w:val="E438C248"/>
    <w:lvl w:ilvl="0" w:tplc="36E0A4F6">
      <w:start w:val="1"/>
      <w:numFmt w:val="bullet"/>
      <w:lvlText w:val=""/>
      <w:lvlJc w:val="left"/>
      <w:pPr>
        <w:tabs>
          <w:tab w:val="num" w:pos="1800"/>
        </w:tabs>
        <w:ind w:left="1800" w:hanging="360"/>
      </w:pPr>
      <w:rPr>
        <w:rFonts w:ascii="Symbol" w:hAnsi="Symbol" w:hint="default"/>
      </w:rPr>
    </w:lvl>
    <w:lvl w:ilvl="1" w:tplc="0F4AE39A" w:tentative="1">
      <w:start w:val="1"/>
      <w:numFmt w:val="bullet"/>
      <w:lvlText w:val="o"/>
      <w:lvlJc w:val="left"/>
      <w:pPr>
        <w:tabs>
          <w:tab w:val="num" w:pos="2520"/>
        </w:tabs>
        <w:ind w:left="2520" w:hanging="360"/>
      </w:pPr>
      <w:rPr>
        <w:rFonts w:ascii="Courier New" w:hAnsi="Courier New" w:cs="Wingdings" w:hint="default"/>
      </w:rPr>
    </w:lvl>
    <w:lvl w:ilvl="2" w:tplc="4BE2A3E6">
      <w:start w:val="1"/>
      <w:numFmt w:val="bullet"/>
      <w:lvlText w:val=""/>
      <w:lvlJc w:val="left"/>
      <w:pPr>
        <w:tabs>
          <w:tab w:val="num" w:pos="3240"/>
        </w:tabs>
        <w:ind w:left="3240" w:hanging="360"/>
      </w:pPr>
      <w:rPr>
        <w:rFonts w:ascii="Wingdings" w:hAnsi="Wingdings" w:hint="default"/>
      </w:rPr>
    </w:lvl>
    <w:lvl w:ilvl="3" w:tplc="621667B4" w:tentative="1">
      <w:start w:val="1"/>
      <w:numFmt w:val="bullet"/>
      <w:lvlText w:val=""/>
      <w:lvlJc w:val="left"/>
      <w:pPr>
        <w:tabs>
          <w:tab w:val="num" w:pos="3960"/>
        </w:tabs>
        <w:ind w:left="3960" w:hanging="360"/>
      </w:pPr>
      <w:rPr>
        <w:rFonts w:ascii="Symbol" w:hAnsi="Symbol" w:hint="default"/>
      </w:rPr>
    </w:lvl>
    <w:lvl w:ilvl="4" w:tplc="CED2D154" w:tentative="1">
      <w:start w:val="1"/>
      <w:numFmt w:val="bullet"/>
      <w:lvlText w:val="o"/>
      <w:lvlJc w:val="left"/>
      <w:pPr>
        <w:tabs>
          <w:tab w:val="num" w:pos="4680"/>
        </w:tabs>
        <w:ind w:left="4680" w:hanging="360"/>
      </w:pPr>
      <w:rPr>
        <w:rFonts w:ascii="Courier New" w:hAnsi="Courier New" w:cs="Wingdings" w:hint="default"/>
      </w:rPr>
    </w:lvl>
    <w:lvl w:ilvl="5" w:tplc="2FCACFE4" w:tentative="1">
      <w:start w:val="1"/>
      <w:numFmt w:val="bullet"/>
      <w:lvlText w:val=""/>
      <w:lvlJc w:val="left"/>
      <w:pPr>
        <w:tabs>
          <w:tab w:val="num" w:pos="5400"/>
        </w:tabs>
        <w:ind w:left="5400" w:hanging="360"/>
      </w:pPr>
      <w:rPr>
        <w:rFonts w:ascii="Wingdings" w:hAnsi="Wingdings" w:hint="default"/>
      </w:rPr>
    </w:lvl>
    <w:lvl w:ilvl="6" w:tplc="D6005B30" w:tentative="1">
      <w:start w:val="1"/>
      <w:numFmt w:val="bullet"/>
      <w:lvlText w:val=""/>
      <w:lvlJc w:val="left"/>
      <w:pPr>
        <w:tabs>
          <w:tab w:val="num" w:pos="6120"/>
        </w:tabs>
        <w:ind w:left="6120" w:hanging="360"/>
      </w:pPr>
      <w:rPr>
        <w:rFonts w:ascii="Symbol" w:hAnsi="Symbol" w:hint="default"/>
      </w:rPr>
    </w:lvl>
    <w:lvl w:ilvl="7" w:tplc="97401160" w:tentative="1">
      <w:start w:val="1"/>
      <w:numFmt w:val="bullet"/>
      <w:lvlText w:val="o"/>
      <w:lvlJc w:val="left"/>
      <w:pPr>
        <w:tabs>
          <w:tab w:val="num" w:pos="6840"/>
        </w:tabs>
        <w:ind w:left="6840" w:hanging="360"/>
      </w:pPr>
      <w:rPr>
        <w:rFonts w:ascii="Courier New" w:hAnsi="Courier New" w:cs="Wingdings" w:hint="default"/>
      </w:rPr>
    </w:lvl>
    <w:lvl w:ilvl="8" w:tplc="134CA2BA" w:tentative="1">
      <w:start w:val="1"/>
      <w:numFmt w:val="bullet"/>
      <w:lvlText w:val=""/>
      <w:lvlJc w:val="left"/>
      <w:pPr>
        <w:tabs>
          <w:tab w:val="num" w:pos="7560"/>
        </w:tabs>
        <w:ind w:left="7560" w:hanging="360"/>
      </w:pPr>
      <w:rPr>
        <w:rFonts w:ascii="Wingdings" w:hAnsi="Wingdings" w:hint="default"/>
      </w:rPr>
    </w:lvl>
  </w:abstractNum>
  <w:abstractNum w:abstractNumId="18">
    <w:nsid w:val="7F0406EE"/>
    <w:multiLevelType w:val="hybridMultilevel"/>
    <w:tmpl w:val="749E4CE6"/>
    <w:lvl w:ilvl="0" w:tplc="72D85AA4">
      <w:start w:val="1"/>
      <w:numFmt w:val="bullet"/>
      <w:lvlText w:val=""/>
      <w:lvlJc w:val="left"/>
      <w:pPr>
        <w:tabs>
          <w:tab w:val="num" w:pos="1440"/>
        </w:tabs>
        <w:ind w:left="1440" w:hanging="360"/>
      </w:pPr>
      <w:rPr>
        <w:rFonts w:ascii="Wingdings" w:hAnsi="Wingdings" w:hint="default"/>
      </w:rPr>
    </w:lvl>
    <w:lvl w:ilvl="1" w:tplc="C990395C">
      <w:start w:val="1"/>
      <w:numFmt w:val="decimal"/>
      <w:lvlText w:val="(%2)"/>
      <w:lvlJc w:val="left"/>
      <w:pPr>
        <w:tabs>
          <w:tab w:val="num" w:pos="2160"/>
        </w:tabs>
        <w:ind w:left="2160" w:hanging="360"/>
      </w:pPr>
      <w:rPr>
        <w:rFonts w:cs="Times New Roman" w:hint="default"/>
      </w:rPr>
    </w:lvl>
    <w:lvl w:ilvl="2" w:tplc="CA2C7EF8">
      <w:start w:val="1"/>
      <w:numFmt w:val="lowerRoman"/>
      <w:lvlText w:val="%3."/>
      <w:lvlJc w:val="right"/>
      <w:pPr>
        <w:tabs>
          <w:tab w:val="num" w:pos="2880"/>
        </w:tabs>
        <w:ind w:left="2880" w:hanging="180"/>
      </w:pPr>
      <w:rPr>
        <w:rFonts w:cs="Times New Roman"/>
      </w:rPr>
    </w:lvl>
    <w:lvl w:ilvl="3" w:tplc="8E2A52C2">
      <w:numFmt w:val="bullet"/>
      <w:lvlText w:val="-"/>
      <w:lvlJc w:val="left"/>
      <w:pPr>
        <w:tabs>
          <w:tab w:val="num" w:pos="1440"/>
        </w:tabs>
        <w:ind w:left="1440" w:hanging="360"/>
      </w:pPr>
      <w:rPr>
        <w:rFonts w:ascii="Times New Roman" w:eastAsia="Times New Roman" w:hAnsi="Times New Roman" w:hint="default"/>
      </w:rPr>
    </w:lvl>
    <w:lvl w:ilvl="4" w:tplc="4AA65714">
      <w:start w:val="1"/>
      <w:numFmt w:val="lowerLetter"/>
      <w:lvlText w:val="%5."/>
      <w:lvlJc w:val="left"/>
      <w:pPr>
        <w:tabs>
          <w:tab w:val="num" w:pos="4320"/>
        </w:tabs>
        <w:ind w:left="4320" w:hanging="360"/>
      </w:pPr>
      <w:rPr>
        <w:rFonts w:cs="Times New Roman"/>
      </w:rPr>
    </w:lvl>
    <w:lvl w:ilvl="5" w:tplc="0B0AB916" w:tentative="1">
      <w:start w:val="1"/>
      <w:numFmt w:val="lowerRoman"/>
      <w:lvlText w:val="%6."/>
      <w:lvlJc w:val="right"/>
      <w:pPr>
        <w:tabs>
          <w:tab w:val="num" w:pos="5040"/>
        </w:tabs>
        <w:ind w:left="5040" w:hanging="180"/>
      </w:pPr>
      <w:rPr>
        <w:rFonts w:cs="Times New Roman"/>
      </w:rPr>
    </w:lvl>
    <w:lvl w:ilvl="6" w:tplc="F3B4C2D2" w:tentative="1">
      <w:start w:val="1"/>
      <w:numFmt w:val="decimal"/>
      <w:lvlText w:val="%7."/>
      <w:lvlJc w:val="left"/>
      <w:pPr>
        <w:tabs>
          <w:tab w:val="num" w:pos="5760"/>
        </w:tabs>
        <w:ind w:left="5760" w:hanging="360"/>
      </w:pPr>
      <w:rPr>
        <w:rFonts w:cs="Times New Roman"/>
      </w:rPr>
    </w:lvl>
    <w:lvl w:ilvl="7" w:tplc="6B7277A0" w:tentative="1">
      <w:start w:val="1"/>
      <w:numFmt w:val="lowerLetter"/>
      <w:lvlText w:val="%8."/>
      <w:lvlJc w:val="left"/>
      <w:pPr>
        <w:tabs>
          <w:tab w:val="num" w:pos="6480"/>
        </w:tabs>
        <w:ind w:left="6480" w:hanging="360"/>
      </w:pPr>
      <w:rPr>
        <w:rFonts w:cs="Times New Roman"/>
      </w:rPr>
    </w:lvl>
    <w:lvl w:ilvl="8" w:tplc="9DE29226" w:tentative="1">
      <w:start w:val="1"/>
      <w:numFmt w:val="lowerRoman"/>
      <w:lvlText w:val="%9."/>
      <w:lvlJc w:val="right"/>
      <w:pPr>
        <w:tabs>
          <w:tab w:val="num" w:pos="7200"/>
        </w:tabs>
        <w:ind w:left="7200" w:hanging="180"/>
      </w:pPr>
      <w:rPr>
        <w:rFonts w:cs="Times New Roman"/>
      </w:rPr>
    </w:lvl>
  </w:abstractNum>
  <w:num w:numId="1">
    <w:abstractNumId w:val="4"/>
  </w:num>
  <w:num w:numId="2">
    <w:abstractNumId w:val="13"/>
  </w:num>
  <w:num w:numId="3">
    <w:abstractNumId w:val="6"/>
  </w:num>
  <w:num w:numId="4">
    <w:abstractNumId w:val="10"/>
  </w:num>
  <w:num w:numId="5">
    <w:abstractNumId w:val="9"/>
  </w:num>
  <w:num w:numId="6">
    <w:abstractNumId w:val="17"/>
  </w:num>
  <w:num w:numId="7">
    <w:abstractNumId w:val="11"/>
  </w:num>
  <w:num w:numId="8">
    <w:abstractNumId w:val="5"/>
  </w:num>
  <w:num w:numId="9">
    <w:abstractNumId w:val="2"/>
  </w:num>
  <w:num w:numId="10">
    <w:abstractNumId w:val="6"/>
  </w:num>
  <w:num w:numId="11">
    <w:abstractNumId w:val="1"/>
  </w:num>
  <w:num w:numId="12">
    <w:abstractNumId w:val="18"/>
  </w:num>
  <w:num w:numId="13">
    <w:abstractNumId w:val="8"/>
  </w:num>
  <w:num w:numId="14">
    <w:abstractNumId w:val="6"/>
  </w:num>
  <w:num w:numId="15">
    <w:abstractNumId w:val="6"/>
  </w:num>
  <w:num w:numId="16">
    <w:abstractNumId w:val="6"/>
  </w:num>
  <w:num w:numId="17">
    <w:abstractNumId w:val="6"/>
  </w:num>
  <w:num w:numId="18">
    <w:abstractNumId w:val="6"/>
  </w:num>
  <w:num w:numId="19">
    <w:abstractNumId w:val="16"/>
  </w:num>
  <w:num w:numId="20">
    <w:abstractNumId w:val="12"/>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13"/>
  </w:num>
  <w:num w:numId="31">
    <w:abstractNumId w:val="14"/>
  </w:num>
  <w:num w:numId="32">
    <w:abstractNumId w:val="7"/>
  </w:num>
  <w:num w:numId="33">
    <w:abstractNumId w:val="13"/>
    <w:lvlOverride w:ilvl="0">
      <w:startOverride w:val="1"/>
    </w:lvlOverride>
  </w:num>
  <w:num w:numId="34">
    <w:abstractNumId w:val="15"/>
  </w:num>
  <w:num w:numId="35">
    <w:abstractNumId w:val="0"/>
  </w:num>
  <w:num w:numId="36">
    <w:abstractNumId w:val="3"/>
  </w:num>
  <w:num w:numId="37">
    <w:abstractNumId w:val="6"/>
  </w:num>
  <w:num w:numId="38">
    <w:abstractNumId w:val="13"/>
  </w:num>
  <w:num w:numId="39">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3E4"/>
    <w:rsid w:val="0000184B"/>
    <w:rsid w:val="00003B6F"/>
    <w:rsid w:val="00020257"/>
    <w:rsid w:val="00022BCB"/>
    <w:rsid w:val="000458E0"/>
    <w:rsid w:val="00045F6E"/>
    <w:rsid w:val="000624E7"/>
    <w:rsid w:val="00062C6F"/>
    <w:rsid w:val="00072193"/>
    <w:rsid w:val="00082030"/>
    <w:rsid w:val="000910FA"/>
    <w:rsid w:val="00097A1D"/>
    <w:rsid w:val="000A1BCD"/>
    <w:rsid w:val="000A3CCA"/>
    <w:rsid w:val="000A7D5D"/>
    <w:rsid w:val="000B660B"/>
    <w:rsid w:val="000C0B1B"/>
    <w:rsid w:val="000C223C"/>
    <w:rsid w:val="000D5102"/>
    <w:rsid w:val="000F296D"/>
    <w:rsid w:val="000F4CD4"/>
    <w:rsid w:val="00100075"/>
    <w:rsid w:val="001001BB"/>
    <w:rsid w:val="00100A50"/>
    <w:rsid w:val="001160A4"/>
    <w:rsid w:val="0012281E"/>
    <w:rsid w:val="0012322E"/>
    <w:rsid w:val="00132BB3"/>
    <w:rsid w:val="00134F19"/>
    <w:rsid w:val="001500F6"/>
    <w:rsid w:val="00154C31"/>
    <w:rsid w:val="00165F72"/>
    <w:rsid w:val="00166E65"/>
    <w:rsid w:val="0017145E"/>
    <w:rsid w:val="001A4308"/>
    <w:rsid w:val="001A4389"/>
    <w:rsid w:val="001A4470"/>
    <w:rsid w:val="001B47CF"/>
    <w:rsid w:val="001C2153"/>
    <w:rsid w:val="001C340A"/>
    <w:rsid w:val="001D6093"/>
    <w:rsid w:val="001E1703"/>
    <w:rsid w:val="001E73C4"/>
    <w:rsid w:val="001F3D54"/>
    <w:rsid w:val="0020603E"/>
    <w:rsid w:val="002132B5"/>
    <w:rsid w:val="002226E0"/>
    <w:rsid w:val="00226DBA"/>
    <w:rsid w:val="00241205"/>
    <w:rsid w:val="00242E28"/>
    <w:rsid w:val="00254DC2"/>
    <w:rsid w:val="002554E6"/>
    <w:rsid w:val="00262CDF"/>
    <w:rsid w:val="0026680E"/>
    <w:rsid w:val="0027760B"/>
    <w:rsid w:val="00287EE7"/>
    <w:rsid w:val="002A2FE2"/>
    <w:rsid w:val="002D44B8"/>
    <w:rsid w:val="002F3815"/>
    <w:rsid w:val="002F4F3D"/>
    <w:rsid w:val="00304D4B"/>
    <w:rsid w:val="00305A35"/>
    <w:rsid w:val="00306581"/>
    <w:rsid w:val="00314EF1"/>
    <w:rsid w:val="003157EA"/>
    <w:rsid w:val="003370DA"/>
    <w:rsid w:val="00344D34"/>
    <w:rsid w:val="00345CA0"/>
    <w:rsid w:val="003526A9"/>
    <w:rsid w:val="0035475B"/>
    <w:rsid w:val="003602FD"/>
    <w:rsid w:val="00360FF7"/>
    <w:rsid w:val="00390FEF"/>
    <w:rsid w:val="00394061"/>
    <w:rsid w:val="00396F1B"/>
    <w:rsid w:val="003A21ED"/>
    <w:rsid w:val="003B76CD"/>
    <w:rsid w:val="003C6674"/>
    <w:rsid w:val="003E00BA"/>
    <w:rsid w:val="003E1F85"/>
    <w:rsid w:val="003E509C"/>
    <w:rsid w:val="00406799"/>
    <w:rsid w:val="0041108B"/>
    <w:rsid w:val="00416C5E"/>
    <w:rsid w:val="00437293"/>
    <w:rsid w:val="00446DA0"/>
    <w:rsid w:val="00447D5F"/>
    <w:rsid w:val="00452A5E"/>
    <w:rsid w:val="00463F1F"/>
    <w:rsid w:val="004660CB"/>
    <w:rsid w:val="00477629"/>
    <w:rsid w:val="00482144"/>
    <w:rsid w:val="004841DA"/>
    <w:rsid w:val="00487D5D"/>
    <w:rsid w:val="004A5311"/>
    <w:rsid w:val="004A607D"/>
    <w:rsid w:val="004B71BF"/>
    <w:rsid w:val="004C6658"/>
    <w:rsid w:val="004D38A4"/>
    <w:rsid w:val="004D44C1"/>
    <w:rsid w:val="004D71F7"/>
    <w:rsid w:val="004F7836"/>
    <w:rsid w:val="00501160"/>
    <w:rsid w:val="00506CE9"/>
    <w:rsid w:val="00507E09"/>
    <w:rsid w:val="00514551"/>
    <w:rsid w:val="00547054"/>
    <w:rsid w:val="00554446"/>
    <w:rsid w:val="00556079"/>
    <w:rsid w:val="005602A0"/>
    <w:rsid w:val="005703E0"/>
    <w:rsid w:val="00573520"/>
    <w:rsid w:val="00573961"/>
    <w:rsid w:val="005A28C0"/>
    <w:rsid w:val="005A700C"/>
    <w:rsid w:val="005C3691"/>
    <w:rsid w:val="005C7B6A"/>
    <w:rsid w:val="00604A51"/>
    <w:rsid w:val="00615567"/>
    <w:rsid w:val="006222EB"/>
    <w:rsid w:val="00622A1C"/>
    <w:rsid w:val="00626D0A"/>
    <w:rsid w:val="00632DA9"/>
    <w:rsid w:val="00657736"/>
    <w:rsid w:val="006966DC"/>
    <w:rsid w:val="006A4721"/>
    <w:rsid w:val="006B2D11"/>
    <w:rsid w:val="006B7E2B"/>
    <w:rsid w:val="006C4B6F"/>
    <w:rsid w:val="006C5DC1"/>
    <w:rsid w:val="006F316F"/>
    <w:rsid w:val="006F471C"/>
    <w:rsid w:val="006F5DCE"/>
    <w:rsid w:val="0071373B"/>
    <w:rsid w:val="00722E37"/>
    <w:rsid w:val="00735839"/>
    <w:rsid w:val="00737753"/>
    <w:rsid w:val="00763DD9"/>
    <w:rsid w:val="00766368"/>
    <w:rsid w:val="00771A4B"/>
    <w:rsid w:val="007779E6"/>
    <w:rsid w:val="00782EFB"/>
    <w:rsid w:val="007909D2"/>
    <w:rsid w:val="007951EA"/>
    <w:rsid w:val="00795681"/>
    <w:rsid w:val="007A3938"/>
    <w:rsid w:val="007C0D58"/>
    <w:rsid w:val="007C26CE"/>
    <w:rsid w:val="007C3D08"/>
    <w:rsid w:val="007C567C"/>
    <w:rsid w:val="007D0E1A"/>
    <w:rsid w:val="007D5287"/>
    <w:rsid w:val="007E7ECB"/>
    <w:rsid w:val="007F33D1"/>
    <w:rsid w:val="00806331"/>
    <w:rsid w:val="00811747"/>
    <w:rsid w:val="00811D24"/>
    <w:rsid w:val="00816E71"/>
    <w:rsid w:val="008207CA"/>
    <w:rsid w:val="00822E98"/>
    <w:rsid w:val="00825F04"/>
    <w:rsid w:val="00830CFB"/>
    <w:rsid w:val="008375C8"/>
    <w:rsid w:val="00857411"/>
    <w:rsid w:val="00865186"/>
    <w:rsid w:val="00867919"/>
    <w:rsid w:val="008719E2"/>
    <w:rsid w:val="00872509"/>
    <w:rsid w:val="00884418"/>
    <w:rsid w:val="00893138"/>
    <w:rsid w:val="0089787A"/>
    <w:rsid w:val="008A1CA3"/>
    <w:rsid w:val="008B09F7"/>
    <w:rsid w:val="008B1466"/>
    <w:rsid w:val="008B6032"/>
    <w:rsid w:val="008C398E"/>
    <w:rsid w:val="009171B4"/>
    <w:rsid w:val="00931242"/>
    <w:rsid w:val="00931CF4"/>
    <w:rsid w:val="00933D64"/>
    <w:rsid w:val="00934BCD"/>
    <w:rsid w:val="0094113B"/>
    <w:rsid w:val="00943B4E"/>
    <w:rsid w:val="00943F65"/>
    <w:rsid w:val="00945553"/>
    <w:rsid w:val="00946D3F"/>
    <w:rsid w:val="00946FA6"/>
    <w:rsid w:val="00954C83"/>
    <w:rsid w:val="00960982"/>
    <w:rsid w:val="009621A7"/>
    <w:rsid w:val="00964C8B"/>
    <w:rsid w:val="00966CA1"/>
    <w:rsid w:val="00975945"/>
    <w:rsid w:val="00981FF2"/>
    <w:rsid w:val="009A169C"/>
    <w:rsid w:val="009A5241"/>
    <w:rsid w:val="009C39D4"/>
    <w:rsid w:val="009C4D13"/>
    <w:rsid w:val="009D0AE5"/>
    <w:rsid w:val="009D1559"/>
    <w:rsid w:val="009D4ABB"/>
    <w:rsid w:val="009E2B48"/>
    <w:rsid w:val="009E32AE"/>
    <w:rsid w:val="009E75D4"/>
    <w:rsid w:val="00A058BA"/>
    <w:rsid w:val="00A12565"/>
    <w:rsid w:val="00A17CCA"/>
    <w:rsid w:val="00A21A28"/>
    <w:rsid w:val="00A2374B"/>
    <w:rsid w:val="00A625D3"/>
    <w:rsid w:val="00A63C48"/>
    <w:rsid w:val="00A65837"/>
    <w:rsid w:val="00A72CB3"/>
    <w:rsid w:val="00A82884"/>
    <w:rsid w:val="00A93E45"/>
    <w:rsid w:val="00A93E88"/>
    <w:rsid w:val="00A945D3"/>
    <w:rsid w:val="00A96C5E"/>
    <w:rsid w:val="00A9788B"/>
    <w:rsid w:val="00A97B22"/>
    <w:rsid w:val="00AA05AF"/>
    <w:rsid w:val="00AA368A"/>
    <w:rsid w:val="00AA380C"/>
    <w:rsid w:val="00AB3D49"/>
    <w:rsid w:val="00AF40A8"/>
    <w:rsid w:val="00B01211"/>
    <w:rsid w:val="00B15B6E"/>
    <w:rsid w:val="00B514F5"/>
    <w:rsid w:val="00B6228D"/>
    <w:rsid w:val="00B62D1A"/>
    <w:rsid w:val="00B652FD"/>
    <w:rsid w:val="00B703CC"/>
    <w:rsid w:val="00B72C31"/>
    <w:rsid w:val="00B72D18"/>
    <w:rsid w:val="00B82660"/>
    <w:rsid w:val="00BA0BA7"/>
    <w:rsid w:val="00BA7CEA"/>
    <w:rsid w:val="00BB47D9"/>
    <w:rsid w:val="00BC1013"/>
    <w:rsid w:val="00BC142F"/>
    <w:rsid w:val="00BD15EB"/>
    <w:rsid w:val="00BE2AC3"/>
    <w:rsid w:val="00BE2E29"/>
    <w:rsid w:val="00BE373D"/>
    <w:rsid w:val="00BE6ED3"/>
    <w:rsid w:val="00BF6343"/>
    <w:rsid w:val="00C04382"/>
    <w:rsid w:val="00C1768A"/>
    <w:rsid w:val="00C2219C"/>
    <w:rsid w:val="00C33B0C"/>
    <w:rsid w:val="00C35604"/>
    <w:rsid w:val="00C36819"/>
    <w:rsid w:val="00C45F84"/>
    <w:rsid w:val="00C46EF2"/>
    <w:rsid w:val="00C764EC"/>
    <w:rsid w:val="00C774C1"/>
    <w:rsid w:val="00C81406"/>
    <w:rsid w:val="00C9531B"/>
    <w:rsid w:val="00CA57A8"/>
    <w:rsid w:val="00CA7CA3"/>
    <w:rsid w:val="00CB13E4"/>
    <w:rsid w:val="00CB4160"/>
    <w:rsid w:val="00CC39C5"/>
    <w:rsid w:val="00CC73B8"/>
    <w:rsid w:val="00CE08F3"/>
    <w:rsid w:val="00CE41FC"/>
    <w:rsid w:val="00CE4FBF"/>
    <w:rsid w:val="00CE6C9E"/>
    <w:rsid w:val="00CF1604"/>
    <w:rsid w:val="00CF5765"/>
    <w:rsid w:val="00CF65A4"/>
    <w:rsid w:val="00D0585A"/>
    <w:rsid w:val="00D35C9E"/>
    <w:rsid w:val="00D36E58"/>
    <w:rsid w:val="00D4143C"/>
    <w:rsid w:val="00D42C76"/>
    <w:rsid w:val="00D45202"/>
    <w:rsid w:val="00D52D21"/>
    <w:rsid w:val="00D605FB"/>
    <w:rsid w:val="00D65DB3"/>
    <w:rsid w:val="00D80F89"/>
    <w:rsid w:val="00D81F50"/>
    <w:rsid w:val="00D83317"/>
    <w:rsid w:val="00D90FA0"/>
    <w:rsid w:val="00D92C2A"/>
    <w:rsid w:val="00D95060"/>
    <w:rsid w:val="00D97081"/>
    <w:rsid w:val="00DA0B9C"/>
    <w:rsid w:val="00DA6F3F"/>
    <w:rsid w:val="00DA77E7"/>
    <w:rsid w:val="00DB5FB7"/>
    <w:rsid w:val="00DB67A8"/>
    <w:rsid w:val="00DC1421"/>
    <w:rsid w:val="00DD753B"/>
    <w:rsid w:val="00DF01F6"/>
    <w:rsid w:val="00DF1884"/>
    <w:rsid w:val="00DF3E8C"/>
    <w:rsid w:val="00E1043B"/>
    <w:rsid w:val="00E11FEB"/>
    <w:rsid w:val="00E4172F"/>
    <w:rsid w:val="00E6139F"/>
    <w:rsid w:val="00E61C77"/>
    <w:rsid w:val="00E63FC5"/>
    <w:rsid w:val="00E74577"/>
    <w:rsid w:val="00E74D7B"/>
    <w:rsid w:val="00E8551B"/>
    <w:rsid w:val="00E93376"/>
    <w:rsid w:val="00E96372"/>
    <w:rsid w:val="00EA1914"/>
    <w:rsid w:val="00EB41C8"/>
    <w:rsid w:val="00EC5367"/>
    <w:rsid w:val="00EE1D6B"/>
    <w:rsid w:val="00EE2860"/>
    <w:rsid w:val="00EF354C"/>
    <w:rsid w:val="00F04FF2"/>
    <w:rsid w:val="00F23332"/>
    <w:rsid w:val="00F378FF"/>
    <w:rsid w:val="00F5372A"/>
    <w:rsid w:val="00F5616D"/>
    <w:rsid w:val="00F65B7A"/>
    <w:rsid w:val="00F71F67"/>
    <w:rsid w:val="00F721F5"/>
    <w:rsid w:val="00F847F7"/>
    <w:rsid w:val="00F935FA"/>
    <w:rsid w:val="00FA06B9"/>
    <w:rsid w:val="00FB132F"/>
    <w:rsid w:val="00FB3692"/>
    <w:rsid w:val="00FD3DBE"/>
    <w:rsid w:val="00FE28CF"/>
    <w:rsid w:val="00FF2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169C"/>
    <w:pPr>
      <w:widowControl w:val="0"/>
    </w:pPr>
    <w:rPr>
      <w:snapToGrid w:val="0"/>
      <w:kern w:val="28"/>
      <w:sz w:val="22"/>
    </w:rPr>
  </w:style>
  <w:style w:type="paragraph" w:styleId="Heading1">
    <w:name w:val="heading 1"/>
    <w:aliases w:val="Heading 1 Char,Heading 1 Char2,Heading 1 Char1 Char,Heading 1 Char Char Char,Heading 1 Char Char1,Heading 1 Char Char1 Char,Heading 1 Char2 Char Char1 Char,Heading 1 Char1 Char Char Char2 Char,Heading 1 Char Char Char Char Char Char"/>
    <w:basedOn w:val="Normal"/>
    <w:next w:val="ParaNum"/>
    <w:link w:val="Heading1Char1"/>
    <w:qFormat/>
    <w:rsid w:val="009A169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2 Char,UNDERRUBRIK 1-2 Char,Heading 2 Char Char1,Heading 2 Char1 Char Char,Heading 2 Char Char1 Char Char,Heading 2 Char Char2,Heading 2 Char1 Char,Heading 2 Char Char3 Char,Heading 2 Char1 Char Char Char"/>
    <w:basedOn w:val="Normal"/>
    <w:next w:val="ParaNum"/>
    <w:link w:val="Heading2Char1"/>
    <w:autoRedefine/>
    <w:qFormat/>
    <w:rsid w:val="009A169C"/>
    <w:pPr>
      <w:keepNext/>
      <w:numPr>
        <w:ilvl w:val="1"/>
        <w:numId w:val="3"/>
      </w:numPr>
      <w:spacing w:after="120"/>
      <w:outlineLvl w:val="1"/>
    </w:pPr>
    <w:rPr>
      <w:b/>
    </w:rPr>
  </w:style>
  <w:style w:type="paragraph" w:styleId="Heading3">
    <w:name w:val="heading 3"/>
    <w:aliases w:val="Heading 3 Char,3 Char,Titre 3 Char,1 Char,31 Char,Titre 31 Char,?? 3 Char,3,Titre 3,1,31,Titre 31,?? 3,Heading 3 Char1 Char Char,Heading 3 Char Char Char Char,Heading 3 Char2 Char1 Char Char,Heading 3 Char Char Char Char Char"/>
    <w:basedOn w:val="Normal"/>
    <w:next w:val="ParaNum"/>
    <w:link w:val="Heading3Char1"/>
    <w:qFormat/>
    <w:rsid w:val="009A169C"/>
    <w:pPr>
      <w:keepNext/>
      <w:numPr>
        <w:ilvl w:val="2"/>
        <w:numId w:val="3"/>
      </w:numPr>
      <w:tabs>
        <w:tab w:val="left" w:pos="2160"/>
      </w:tabs>
      <w:spacing w:after="120"/>
      <w:outlineLvl w:val="2"/>
    </w:pPr>
    <w:rPr>
      <w:b/>
    </w:rPr>
  </w:style>
  <w:style w:type="paragraph" w:styleId="Heading4">
    <w:name w:val="heading 4"/>
    <w:aliases w:val="Heading 4 Char,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1"/>
    <w:qFormat/>
    <w:rsid w:val="009A169C"/>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9A169C"/>
    <w:pPr>
      <w:keepNext/>
      <w:numPr>
        <w:ilvl w:val="4"/>
        <w:numId w:val="3"/>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eading 6 Char,h6"/>
    <w:basedOn w:val="Normal"/>
    <w:next w:val="ParaNum"/>
    <w:qFormat/>
    <w:rsid w:val="009A169C"/>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9A169C"/>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9A169C"/>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Heading 9 Char"/>
    <w:basedOn w:val="Normal"/>
    <w:next w:val="ParaNum"/>
    <w:qFormat/>
    <w:rsid w:val="009A169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A169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169C"/>
  </w:style>
  <w:style w:type="paragraph" w:customStyle="1" w:styleId="ParaNum">
    <w:name w:val="ParaNum"/>
    <w:basedOn w:val="Normal"/>
    <w:link w:val="ParaNumChar"/>
    <w:rsid w:val="009A169C"/>
    <w:pPr>
      <w:numPr>
        <w:numId w:val="2"/>
      </w:numPr>
      <w:tabs>
        <w:tab w:val="clear" w:pos="1080"/>
        <w:tab w:val="num" w:pos="1440"/>
      </w:tabs>
      <w:spacing w:after="120"/>
    </w:pPr>
  </w:style>
  <w:style w:type="character" w:customStyle="1" w:styleId="ParaNumChar">
    <w:name w:val="ParaNum Char"/>
    <w:link w:val="ParaNum"/>
    <w:rsid w:val="003E1F85"/>
    <w:rPr>
      <w:snapToGrid w:val="0"/>
      <w:kern w:val="28"/>
      <w:sz w:val="22"/>
    </w:rPr>
  </w:style>
  <w:style w:type="character" w:customStyle="1" w:styleId="Heading1Char1">
    <w:name w:val="Heading 1 Char1"/>
    <w:aliases w:val="Heading 1 Char Char,Heading 1 Char2 Char,Heading 1 Char1 Char Char,Heading 1 Char Char Char Char,Heading 1 Char Char1 Char1,Heading 1 Char Char1 Char Char,Heading 1 Char2 Char Char1 Char Char,Heading 1 Char1 Char Char Char2 Char Char"/>
    <w:link w:val="Heading1"/>
    <w:rsid w:val="00C35604"/>
    <w:rPr>
      <w:rFonts w:ascii="Times New Roman Bold" w:hAnsi="Times New Roman Bold"/>
      <w:b/>
      <w:caps/>
      <w:snapToGrid w:val="0"/>
      <w:kern w:val="28"/>
      <w:sz w:val="22"/>
    </w:rPr>
  </w:style>
  <w:style w:type="character" w:customStyle="1" w:styleId="Heading2Char1">
    <w:name w:val="Heading 2 Char1"/>
    <w:aliases w:val="Heading 2 Char Char,h2 Char Char,UNDERRUBRIK 1-2 Char Char,Heading 2 Char Char1 Char,Heading 2 Char1 Char Char Char1,Heading 2 Char Char1 Char Char Char,Heading 2 Char Char2 Char,Heading 2 Char1 Char Char1,Heading 2 Char Char3 Char Char"/>
    <w:link w:val="Heading2"/>
    <w:rsid w:val="00C35604"/>
    <w:rPr>
      <w:b/>
      <w:snapToGrid w:val="0"/>
      <w:kern w:val="28"/>
      <w:sz w:val="22"/>
    </w:rPr>
  </w:style>
  <w:style w:type="character" w:customStyle="1" w:styleId="Heading3Char1">
    <w:name w:val="Heading 3 Char1"/>
    <w:aliases w:val="Heading 3 Char Char,3 Char Char,Titre 3 Char Char,1 Char Char,31 Char Char,Titre 31 Char Char,?? 3 Char Char,3 Char1,Titre 3 Char1,1 Char1,31 Char1,Titre 31 Char1,?? 3 Char1,Heading 3 Char1 Char Char Char"/>
    <w:link w:val="Heading3"/>
    <w:rPr>
      <w:b/>
      <w:snapToGrid w:val="0"/>
      <w:kern w:val="28"/>
      <w:sz w:val="22"/>
    </w:rPr>
  </w:style>
  <w:style w:type="character" w:customStyle="1" w:styleId="Heading4Char1">
    <w:name w:val="Heading 4 Char1"/>
    <w:aliases w:val="Heading 4 Char Char,Heading 4 Char1 Char Char,Heading 4 Char2 Char Char1 Char,Heading 4 Char Char1 Char Char1 Char,Heading 4 Char1 Char Char Char Char1 Char,Heading 4 Char Char Char Char Char Char1 Char"/>
    <w:link w:val="Heading4"/>
    <w:rPr>
      <w:b/>
      <w:snapToGrid w:val="0"/>
      <w:kern w:val="28"/>
      <w:sz w:val="22"/>
    </w:rPr>
  </w:style>
  <w:style w:type="paragraph" w:styleId="EndnoteText">
    <w:name w:val="endnote text"/>
    <w:basedOn w:val="Normal"/>
    <w:semiHidden/>
    <w:rsid w:val="009A169C"/>
    <w:rPr>
      <w:sz w:val="20"/>
    </w:rPr>
  </w:style>
  <w:style w:type="character" w:styleId="EndnoteReference">
    <w:name w:val="endnote reference"/>
    <w:semiHidden/>
    <w:rsid w:val="009A169C"/>
    <w:rPr>
      <w:vertAlign w:val="superscript"/>
    </w:rPr>
  </w:style>
  <w:style w:type="paragraph" w:styleId="FootnoteText">
    <w:name w:val="footnote text"/>
    <w:aliases w:val="Footnote Text Char,Footnote Text Char2 Char3,Footnote Text Char Char6 Char,Footnote Text Char6 Char Char Char,Footnote Text Char Char6 Char Char1 Char1,Footnote Text Char4 Char2 Char Char Char Char,Footnote Text Char6 Char,fn,ALTS FOOTNOTE"/>
    <w:link w:val="FootnoteTextChar1"/>
    <w:rsid w:val="009A169C"/>
    <w:pPr>
      <w:spacing w:after="120"/>
    </w:pPr>
  </w:style>
  <w:style w:type="character" w:customStyle="1" w:styleId="FootnoteTextChar1">
    <w:name w:val="Footnote Text Char1"/>
    <w:aliases w:val="Footnote Text Char Char2,Footnote Text Char2 Char3 Char,Footnote Text Char Char6 Char Char,Footnote Text Char6 Char Char Char Char,Footnote Text Char Char6 Char Char1 Char1 Char,Footnote Text Char4 Char2 Char Char Char Char Char"/>
    <w:link w:val="FootnoteText"/>
  </w:style>
  <w:style w:type="character" w:styleId="FootnoteReference">
    <w:name w:val="footnote reference"/>
    <w:aliases w:val="Style 124,Appel note de bas de p,Style 12,(NECG) Footnote Reference,o,fr,Style 3,Style 17,FR,Style 13,Style 6,Footnote Reference/"/>
    <w:rsid w:val="009A169C"/>
    <w:rPr>
      <w:rFonts w:ascii="Times New Roman" w:hAnsi="Times New Roman"/>
      <w:dstrike w:val="0"/>
      <w:color w:val="auto"/>
      <w:sz w:val="20"/>
      <w:vertAlign w:val="superscript"/>
    </w:rPr>
  </w:style>
  <w:style w:type="paragraph" w:styleId="TOC1">
    <w:name w:val="toc 1"/>
    <w:basedOn w:val="Normal"/>
    <w:next w:val="Normal"/>
    <w:semiHidden/>
    <w:rsid w:val="009A169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A169C"/>
    <w:pPr>
      <w:tabs>
        <w:tab w:val="left" w:pos="720"/>
        <w:tab w:val="right" w:leader="dot" w:pos="9360"/>
      </w:tabs>
      <w:suppressAutoHyphens/>
      <w:ind w:left="720" w:right="720" w:hanging="360"/>
    </w:pPr>
    <w:rPr>
      <w:noProof/>
    </w:rPr>
  </w:style>
  <w:style w:type="paragraph" w:styleId="TOC3">
    <w:name w:val="toc 3"/>
    <w:basedOn w:val="Normal"/>
    <w:next w:val="Normal"/>
    <w:semiHidden/>
    <w:rsid w:val="009A169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A169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A169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A169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A169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A169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A169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A169C"/>
    <w:pPr>
      <w:tabs>
        <w:tab w:val="right" w:pos="9360"/>
      </w:tabs>
      <w:suppressAutoHyphens/>
    </w:pPr>
  </w:style>
  <w:style w:type="character" w:customStyle="1" w:styleId="EquationCaption">
    <w:name w:val="_Equation Caption"/>
    <w:rsid w:val="009A169C"/>
  </w:style>
  <w:style w:type="paragraph" w:styleId="Header">
    <w:name w:val="header"/>
    <w:basedOn w:val="Normal"/>
    <w:autoRedefine/>
    <w:rsid w:val="009A169C"/>
    <w:pPr>
      <w:tabs>
        <w:tab w:val="center" w:pos="4680"/>
        <w:tab w:val="right" w:pos="9360"/>
      </w:tabs>
    </w:pPr>
    <w:rPr>
      <w:b/>
    </w:rPr>
  </w:style>
  <w:style w:type="paragraph" w:styleId="Footer">
    <w:name w:val="footer"/>
    <w:basedOn w:val="Normal"/>
    <w:link w:val="FooterChar"/>
    <w:rsid w:val="009A169C"/>
    <w:pPr>
      <w:tabs>
        <w:tab w:val="center" w:pos="4320"/>
        <w:tab w:val="right" w:pos="8640"/>
      </w:tabs>
    </w:pPr>
  </w:style>
  <w:style w:type="character" w:styleId="PageNumber">
    <w:name w:val="page number"/>
    <w:basedOn w:val="DefaultParagraphFont"/>
    <w:rsid w:val="009A169C"/>
  </w:style>
  <w:style w:type="paragraph" w:styleId="BlockText">
    <w:name w:val="Block Text"/>
    <w:basedOn w:val="Normal"/>
    <w:rsid w:val="009A169C"/>
    <w:pPr>
      <w:spacing w:after="240"/>
      <w:ind w:left="1440" w:right="1440"/>
    </w:pPr>
  </w:style>
  <w:style w:type="paragraph" w:customStyle="1" w:styleId="Paratitle">
    <w:name w:val="Para title"/>
    <w:basedOn w:val="Normal"/>
    <w:rsid w:val="009A169C"/>
    <w:pPr>
      <w:tabs>
        <w:tab w:val="center" w:pos="9270"/>
      </w:tabs>
      <w:spacing w:after="240"/>
    </w:pPr>
    <w:rPr>
      <w:spacing w:val="-2"/>
    </w:rPr>
  </w:style>
  <w:style w:type="paragraph" w:customStyle="1" w:styleId="Bullet">
    <w:name w:val="Bullet"/>
    <w:basedOn w:val="Normal"/>
    <w:rsid w:val="009A169C"/>
    <w:pPr>
      <w:tabs>
        <w:tab w:val="left" w:pos="2160"/>
      </w:tabs>
      <w:spacing w:after="220"/>
      <w:ind w:left="2160" w:hanging="720"/>
    </w:pPr>
  </w:style>
  <w:style w:type="paragraph" w:customStyle="1" w:styleId="TableFormat">
    <w:name w:val="TableFormat"/>
    <w:basedOn w:val="Bullet"/>
    <w:rsid w:val="009A169C"/>
    <w:pPr>
      <w:tabs>
        <w:tab w:val="clear" w:pos="2160"/>
        <w:tab w:val="left" w:pos="5040"/>
      </w:tabs>
      <w:ind w:left="5040" w:hanging="3600"/>
    </w:pPr>
  </w:style>
  <w:style w:type="paragraph" w:customStyle="1" w:styleId="TOCTitle">
    <w:name w:val="TOC Title"/>
    <w:basedOn w:val="Normal"/>
    <w:rsid w:val="009A169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A169C"/>
    <w:pPr>
      <w:jc w:val="center"/>
    </w:pPr>
    <w:rPr>
      <w:rFonts w:ascii="Times New Roman Bold" w:hAnsi="Times New Roman Bold"/>
      <w:b/>
      <w:bCs/>
      <w:caps/>
      <w:szCs w:val="22"/>
    </w:rPr>
  </w:style>
  <w:style w:type="character" w:styleId="Hyperlink">
    <w:name w:val="Hyperlink"/>
    <w:rsid w:val="009A169C"/>
    <w:rPr>
      <w:color w:val="0000FF"/>
      <w:u w:val="single"/>
    </w:rPr>
  </w:style>
  <w:style w:type="character" w:customStyle="1" w:styleId="FootnoteTextChar1Char2">
    <w:name w:val="Footnote Text Char1 Char2"/>
    <w:aliases w:val="Footnote Text Char Char Char2,Footnote Text Char4 Char Char Char,Footnote Text Char Char Char2 Char Char,Footnote Text Char4 Char Char Char Char Char1,Footnote Text Char3 Char Char Char Char Char Char Char"/>
    <w:rPr>
      <w:lang w:val="en-US" w:eastAsia="en-US" w:bidi="ar-SA"/>
    </w:rPr>
  </w:style>
  <w:style w:type="character" w:customStyle="1" w:styleId="FootnoteTextChar2CharChar">
    <w:name w:val="Footnote Text Char2 Char Char"/>
    <w:aliases w:val="Footnote Text Char3 Char1 Char Char,Footnote Text Char2 Char1 Char1 Char Char,Footnote Text Char3 Char1 Char Char Char Char,Footnote Text Char2 Char1 Char1 Char Char Char Char"/>
    <w:rPr>
      <w:lang w:val="en-US" w:eastAsia="en-US" w:bidi="ar-SA"/>
    </w:rPr>
  </w:style>
  <w:style w:type="character" w:customStyle="1" w:styleId="FootnoteTextChar2Char1">
    <w:name w:val="Footnote Text Char2 Char1"/>
    <w:aliases w:val="Footnote Text Char Char Char1,Footnote Text Char4 Char1 Char Char1,Footnote Text Char2 Char1 Char Char Char1,Footnote Text Char Char Char1 Char Char Char1,Footnote Text Char2 Char Char1 Char Char Char Char2 Char"/>
    <w:rPr>
      <w:lang w:val="en-US" w:eastAsia="en-US" w:bidi="ar-SA"/>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ascii="Tahoma" w:hAnsi="Tahoma" w:cs="Tahoma"/>
      <w:snapToGrid w:val="0"/>
      <w:kern w:val="28"/>
      <w:sz w:val="16"/>
      <w:szCs w:val="16"/>
      <w:lang w:val="en-US" w:eastAsia="en-US" w:bidi="ar-SA"/>
    </w:rPr>
  </w:style>
  <w:style w:type="character" w:customStyle="1" w:styleId="documentbody1">
    <w:name w:val="documentbody1"/>
    <w:rPr>
      <w:rFonts w:ascii="Verdana" w:hAnsi="Verdana" w:hint="default"/>
      <w:sz w:val="19"/>
      <w:szCs w:val="19"/>
    </w:rPr>
  </w:style>
  <w:style w:type="character" w:styleId="Emphasis">
    <w:name w:val="Emphasis"/>
    <w:qFormat/>
    <w:rPr>
      <w:i/>
      <w:iCs/>
    </w:rPr>
  </w:style>
  <w:style w:type="character" w:customStyle="1" w:styleId="Footnote">
    <w:name w:val="Footnote"/>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character" w:customStyle="1" w:styleId="term1">
    <w:name w:val="term1"/>
    <w:rPr>
      <w:b/>
      <w:bCs/>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n Char Char"/>
    <w:rPr>
      <w:lang w:val="en-US" w:eastAsia="en-US" w:bidi="ar-SA"/>
    </w:rPr>
  </w:style>
  <w:style w:type="paragraph" w:customStyle="1" w:styleId="StyleHeading3Heading3CharLeft">
    <w:name w:val="Style Heading 3Heading 3 Char + Left"/>
    <w:basedOn w:val="Heading3"/>
    <w:pPr>
      <w:numPr>
        <w:ilvl w:val="0"/>
        <w:numId w:val="0"/>
      </w:numPr>
      <w:tabs>
        <w:tab w:val="num" w:pos="360"/>
      </w:tabs>
      <w:ind w:left="360" w:hanging="360"/>
    </w:pPr>
    <w:rPr>
      <w:bCs/>
    </w:rPr>
  </w:style>
  <w:style w:type="paragraph" w:customStyle="1" w:styleId="App1">
    <w:name w:val="App1"/>
    <w:basedOn w:val="Normal"/>
    <w:pPr>
      <w:widowControl/>
      <w:numPr>
        <w:numId w:val="5"/>
      </w:numPr>
    </w:pPr>
    <w:rPr>
      <w:snapToGrid/>
      <w:kern w:val="0"/>
      <w:szCs w:val="22"/>
    </w:rPr>
  </w:style>
  <w:style w:type="character" w:customStyle="1" w:styleId="href">
    <w:name w:val="href"/>
    <w:basedOn w:val="DefaultParagraphFont"/>
  </w:style>
  <w:style w:type="paragraph" w:customStyle="1" w:styleId="RecNo">
    <w:name w:val="Rec_No"/>
    <w:basedOn w:val="Normal"/>
    <w:next w:val="Normal"/>
    <w:pPr>
      <w:keepNext/>
      <w:keepLines/>
      <w:widowControl/>
      <w:overflowPunct w:val="0"/>
      <w:autoSpaceDE w:val="0"/>
      <w:autoSpaceDN w:val="0"/>
      <w:adjustRightInd w:val="0"/>
      <w:spacing w:before="480"/>
      <w:jc w:val="center"/>
      <w:textAlignment w:val="baseline"/>
    </w:pPr>
    <w:rPr>
      <w:snapToGrid/>
      <w:kern w:val="0"/>
      <w:sz w:val="28"/>
      <w:lang w:val="fr-FR"/>
    </w:rPr>
  </w:style>
  <w:style w:type="paragraph" w:customStyle="1" w:styleId="StyleParaNumLeft">
    <w:name w:val="Style ParaNum + Left"/>
    <w:basedOn w:val="ParaNum"/>
    <w:pPr>
      <w:spacing w:after="220"/>
    </w:p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character" w:customStyle="1" w:styleId="FootnoteTextChar1Char">
    <w:name w:val="Footnote Text Char1 Char"/>
    <w:aliases w:val="Footnote Text Char Char2 Char,Footnote Text Char2 Char Char Char,Footnote Text Char1 Char Char Char Char,Footnote Text Char Char2 Char Char1 Char Char,Footnote Text Char3 Char Char2 Char Char Char Char,Footnote Text Char Char"/>
    <w:semiHidden/>
    <w:rPr>
      <w:lang w:val="en-US" w:eastAsia="en-US" w:bidi="ar-SA"/>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locked/>
    <w:rsid w:val="004D38A4"/>
    <w:rPr>
      <w:b/>
      <w:snapToGrid w:val="0"/>
      <w:kern w:val="28"/>
      <w:sz w:val="22"/>
    </w:rPr>
  </w:style>
  <w:style w:type="table" w:styleId="TableGrid">
    <w:name w:val="Table Grid"/>
    <w:basedOn w:val="TableNormal"/>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Pr>
      <w:color w:val="800080"/>
      <w:u w:val="single"/>
    </w:rPr>
  </w:style>
  <w:style w:type="character" w:customStyle="1" w:styleId="StyleFootnoteReference11ptKernat14pt">
    <w:name w:val="Style Footnote Reference + 11 pt Kern at 14 pt"/>
    <w:rsid w:val="00D15373"/>
    <w:rPr>
      <w:rFonts w:ascii="Times New Roman" w:hAnsi="Times New Roman"/>
      <w:dstrike w:val="0"/>
      <w:noProof w:val="0"/>
      <w:color w:val="auto"/>
      <w:kern w:val="28"/>
      <w:sz w:val="20"/>
      <w:vertAlign w:val="superscript"/>
      <w:lang w:val="en-US"/>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rsid w:val="00D15373"/>
    <w:pPr>
      <w:tabs>
        <w:tab w:val="left" w:pos="1440"/>
      </w:tabs>
      <w:spacing w:after="220"/>
    </w:p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rsid w:val="00D15373"/>
    <w:rPr>
      <w:snapToGrid w:val="0"/>
      <w:kern w:val="28"/>
      <w:sz w:val="22"/>
      <w:lang w:val="en-US" w:eastAsia="en-US" w:bidi="ar-SA"/>
    </w:rPr>
  </w:style>
  <w:style w:type="paragraph" w:customStyle="1" w:styleId="StyleParaNum11pt1CharCharCharCharCharCharCharCharCharCharCharCharCharCharChar">
    <w:name w:val="Style ParaNum + 11 pt1 Char Char Char Char Char Char Char Char Char Char Char Char Char Char Char"/>
    <w:basedOn w:val="Normal"/>
    <w:link w:val="StyleParaNum11pt1CharCharCharCharCharCharCharCharCharCharCharCharCharCharCharChar"/>
    <w:rsid w:val="002F2074"/>
    <w:pPr>
      <w:widowControl/>
      <w:tabs>
        <w:tab w:val="num" w:pos="720"/>
        <w:tab w:val="left" w:pos="1080"/>
      </w:tabs>
      <w:spacing w:after="240"/>
      <w:ind w:firstLine="360"/>
    </w:pPr>
    <w:rPr>
      <w:kern w:val="0"/>
      <w:szCs w:val="22"/>
    </w:rPr>
  </w:style>
  <w:style w:type="character" w:customStyle="1" w:styleId="StyleParaNum11pt1CharCharCharCharCharCharCharCharCharCharCharCharCharCharCharChar">
    <w:name w:val="Style ParaNum + 11 pt1 Char Char Char Char Char Char Char Char Char Char Char Char Char Char Char Char"/>
    <w:link w:val="StyleParaNum11pt1CharCharCharCharCharCharCharCharCharCharCharCharCharCharChar"/>
    <w:rsid w:val="002F2074"/>
    <w:rPr>
      <w:snapToGrid w:val="0"/>
      <w:sz w:val="22"/>
      <w:szCs w:val="22"/>
      <w:lang w:val="en-US" w:eastAsia="en-US" w:bidi="ar-SA"/>
    </w:rPr>
  </w:style>
  <w:style w:type="character" w:customStyle="1" w:styleId="documentbody5">
    <w:name w:val="documentbody5"/>
    <w:rsid w:val="006F408C"/>
    <w:rPr>
      <w:rFonts w:ascii="Verdana" w:hAnsi="Verdana" w:hint="default"/>
      <w:sz w:val="19"/>
      <w:szCs w:val="19"/>
    </w:rPr>
  </w:style>
  <w:style w:type="character" w:customStyle="1" w:styleId="groupheading5">
    <w:name w:val="groupheading5"/>
    <w:rsid w:val="00B05370"/>
    <w:rPr>
      <w:rFonts w:ascii="Verdana" w:hAnsi="Verdana" w:hint="default"/>
      <w:b/>
      <w:bCs/>
      <w:sz w:val="19"/>
      <w:szCs w:val="19"/>
    </w:rPr>
  </w:style>
  <w:style w:type="character" w:customStyle="1" w:styleId="starpage1">
    <w:name w:val="starpage1"/>
    <w:rsid w:val="00F31075"/>
    <w:rPr>
      <w:b/>
      <w:bCs/>
      <w:i/>
      <w:iCs/>
      <w:color w:val="800080"/>
    </w:rPr>
  </w:style>
  <w:style w:type="character" w:customStyle="1" w:styleId="EmailStyle79">
    <w:name w:val="EmailStyle79"/>
    <w:semiHidden/>
    <w:rsid w:val="00723B77"/>
    <w:rPr>
      <w:rFonts w:ascii="Arial" w:hAnsi="Arial" w:cs="Arial"/>
      <w:color w:val="auto"/>
      <w:sz w:val="20"/>
      <w:szCs w:val="20"/>
    </w:rPr>
  </w:style>
  <w:style w:type="character" w:styleId="Strong">
    <w:name w:val="Strong"/>
    <w:qFormat/>
    <w:rsid w:val="001856F5"/>
    <w:rPr>
      <w:b/>
      <w:bCs/>
    </w:rPr>
  </w:style>
  <w:style w:type="paragraph" w:customStyle="1" w:styleId="FootnoteTex">
    <w:name w:val="Footnote Tex"/>
    <w:basedOn w:val="Normal"/>
    <w:rsid w:val="00C05B37"/>
    <w:rPr>
      <w:rFonts w:eastAsia="SimSun"/>
      <w:kern w:val="0"/>
      <w:sz w:val="24"/>
      <w:szCs w:val="24"/>
    </w:rPr>
  </w:style>
  <w:style w:type="character" w:customStyle="1" w:styleId="StyleFootnoteReferenceStyle13Style12NECGFootnoteReferenc">
    <w:name w:val="Style Footnote ReferenceStyle 13Style 12(NECG) Footnote Referenc..."/>
    <w:rsid w:val="00E60F7A"/>
    <w:rPr>
      <w:rFonts w:ascii="Times New Roman" w:hAnsi="Times New Roman" w:cs="Times New Roman" w:hint="default"/>
      <w:strike w:val="0"/>
      <w:dstrike w:val="0"/>
      <w:color w:val="auto"/>
      <w:sz w:val="20"/>
      <w:u w:val="none"/>
      <w:effect w:val="none"/>
      <w:vertAlign w:val="superscript"/>
    </w:rPr>
  </w:style>
  <w:style w:type="paragraph" w:customStyle="1" w:styleId="gpotblnote">
    <w:name w:val="gpotbl_note"/>
    <w:basedOn w:val="Normal"/>
    <w:rsid w:val="00D45202"/>
    <w:pPr>
      <w:widowControl/>
      <w:spacing w:before="100" w:beforeAutospacing="1" w:after="100" w:afterAutospacing="1"/>
    </w:pPr>
    <w:rPr>
      <w:snapToGrid/>
      <w:kern w:val="0"/>
      <w:sz w:val="24"/>
      <w:szCs w:val="24"/>
    </w:rPr>
  </w:style>
  <w:style w:type="character" w:customStyle="1" w:styleId="Heading8Char">
    <w:name w:val="Heading 8 Char"/>
    <w:link w:val="Heading8"/>
    <w:rsid w:val="004D38A4"/>
    <w:rPr>
      <w:b/>
      <w:snapToGrid w:val="0"/>
      <w:kern w:val="28"/>
      <w:sz w:val="22"/>
    </w:rPr>
  </w:style>
  <w:style w:type="paragraph" w:styleId="Revision">
    <w:name w:val="Revision"/>
    <w:hidden/>
    <w:uiPriority w:val="99"/>
    <w:semiHidden/>
    <w:rsid w:val="0041108B"/>
    <w:rPr>
      <w:snapToGrid w:val="0"/>
      <w:kern w:val="28"/>
      <w:sz w:val="22"/>
    </w:rPr>
  </w:style>
  <w:style w:type="paragraph" w:styleId="NoSpacing">
    <w:name w:val="No Spacing"/>
    <w:uiPriority w:val="1"/>
    <w:qFormat/>
    <w:rsid w:val="000910FA"/>
    <w:pPr>
      <w:widowControl w:val="0"/>
    </w:pPr>
    <w:rPr>
      <w:snapToGrid w:val="0"/>
      <w:kern w:val="28"/>
      <w:sz w:val="22"/>
    </w:rPr>
  </w:style>
  <w:style w:type="character" w:customStyle="1" w:styleId="FooterChar">
    <w:name w:val="Footer Char"/>
    <w:basedOn w:val="DefaultParagraphFont"/>
    <w:link w:val="Footer"/>
    <w:rsid w:val="00F65B7A"/>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169C"/>
    <w:pPr>
      <w:widowControl w:val="0"/>
    </w:pPr>
    <w:rPr>
      <w:snapToGrid w:val="0"/>
      <w:kern w:val="28"/>
      <w:sz w:val="22"/>
    </w:rPr>
  </w:style>
  <w:style w:type="paragraph" w:styleId="Heading1">
    <w:name w:val="heading 1"/>
    <w:aliases w:val="Heading 1 Char,Heading 1 Char2,Heading 1 Char1 Char,Heading 1 Char Char Char,Heading 1 Char Char1,Heading 1 Char Char1 Char,Heading 1 Char2 Char Char1 Char,Heading 1 Char1 Char Char Char2 Char,Heading 1 Char Char Char Char Char Char"/>
    <w:basedOn w:val="Normal"/>
    <w:next w:val="ParaNum"/>
    <w:link w:val="Heading1Char1"/>
    <w:qFormat/>
    <w:rsid w:val="009A169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2 Char,UNDERRUBRIK 1-2 Char,Heading 2 Char Char1,Heading 2 Char1 Char Char,Heading 2 Char Char1 Char Char,Heading 2 Char Char2,Heading 2 Char1 Char,Heading 2 Char Char3 Char,Heading 2 Char1 Char Char Char"/>
    <w:basedOn w:val="Normal"/>
    <w:next w:val="ParaNum"/>
    <w:link w:val="Heading2Char1"/>
    <w:autoRedefine/>
    <w:qFormat/>
    <w:rsid w:val="009A169C"/>
    <w:pPr>
      <w:keepNext/>
      <w:numPr>
        <w:ilvl w:val="1"/>
        <w:numId w:val="3"/>
      </w:numPr>
      <w:spacing w:after="120"/>
      <w:outlineLvl w:val="1"/>
    </w:pPr>
    <w:rPr>
      <w:b/>
    </w:rPr>
  </w:style>
  <w:style w:type="paragraph" w:styleId="Heading3">
    <w:name w:val="heading 3"/>
    <w:aliases w:val="Heading 3 Char,3 Char,Titre 3 Char,1 Char,31 Char,Titre 31 Char,?? 3 Char,3,Titre 3,1,31,Titre 31,?? 3,Heading 3 Char1 Char Char,Heading 3 Char Char Char Char,Heading 3 Char2 Char1 Char Char,Heading 3 Char Char Char Char Char"/>
    <w:basedOn w:val="Normal"/>
    <w:next w:val="ParaNum"/>
    <w:link w:val="Heading3Char1"/>
    <w:qFormat/>
    <w:rsid w:val="009A169C"/>
    <w:pPr>
      <w:keepNext/>
      <w:numPr>
        <w:ilvl w:val="2"/>
        <w:numId w:val="3"/>
      </w:numPr>
      <w:tabs>
        <w:tab w:val="left" w:pos="2160"/>
      </w:tabs>
      <w:spacing w:after="120"/>
      <w:outlineLvl w:val="2"/>
    </w:pPr>
    <w:rPr>
      <w:b/>
    </w:rPr>
  </w:style>
  <w:style w:type="paragraph" w:styleId="Heading4">
    <w:name w:val="heading 4"/>
    <w:aliases w:val="Heading 4 Char,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1"/>
    <w:qFormat/>
    <w:rsid w:val="009A169C"/>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9A169C"/>
    <w:pPr>
      <w:keepNext/>
      <w:numPr>
        <w:ilvl w:val="4"/>
        <w:numId w:val="3"/>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eading 6 Char,h6"/>
    <w:basedOn w:val="Normal"/>
    <w:next w:val="ParaNum"/>
    <w:qFormat/>
    <w:rsid w:val="009A169C"/>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9A169C"/>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9A169C"/>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Heading 9 Char"/>
    <w:basedOn w:val="Normal"/>
    <w:next w:val="ParaNum"/>
    <w:qFormat/>
    <w:rsid w:val="009A169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A169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169C"/>
  </w:style>
  <w:style w:type="paragraph" w:customStyle="1" w:styleId="ParaNum">
    <w:name w:val="ParaNum"/>
    <w:basedOn w:val="Normal"/>
    <w:link w:val="ParaNumChar"/>
    <w:rsid w:val="009A169C"/>
    <w:pPr>
      <w:numPr>
        <w:numId w:val="2"/>
      </w:numPr>
      <w:tabs>
        <w:tab w:val="clear" w:pos="1080"/>
        <w:tab w:val="num" w:pos="1440"/>
      </w:tabs>
      <w:spacing w:after="120"/>
    </w:pPr>
  </w:style>
  <w:style w:type="character" w:customStyle="1" w:styleId="ParaNumChar">
    <w:name w:val="ParaNum Char"/>
    <w:link w:val="ParaNum"/>
    <w:rsid w:val="003E1F85"/>
    <w:rPr>
      <w:snapToGrid w:val="0"/>
      <w:kern w:val="28"/>
      <w:sz w:val="22"/>
    </w:rPr>
  </w:style>
  <w:style w:type="character" w:customStyle="1" w:styleId="Heading1Char1">
    <w:name w:val="Heading 1 Char1"/>
    <w:aliases w:val="Heading 1 Char Char,Heading 1 Char2 Char,Heading 1 Char1 Char Char,Heading 1 Char Char Char Char,Heading 1 Char Char1 Char1,Heading 1 Char Char1 Char Char,Heading 1 Char2 Char Char1 Char Char,Heading 1 Char1 Char Char Char2 Char Char"/>
    <w:link w:val="Heading1"/>
    <w:rsid w:val="00C35604"/>
    <w:rPr>
      <w:rFonts w:ascii="Times New Roman Bold" w:hAnsi="Times New Roman Bold"/>
      <w:b/>
      <w:caps/>
      <w:snapToGrid w:val="0"/>
      <w:kern w:val="28"/>
      <w:sz w:val="22"/>
    </w:rPr>
  </w:style>
  <w:style w:type="character" w:customStyle="1" w:styleId="Heading2Char1">
    <w:name w:val="Heading 2 Char1"/>
    <w:aliases w:val="Heading 2 Char Char,h2 Char Char,UNDERRUBRIK 1-2 Char Char,Heading 2 Char Char1 Char,Heading 2 Char1 Char Char Char1,Heading 2 Char Char1 Char Char Char,Heading 2 Char Char2 Char,Heading 2 Char1 Char Char1,Heading 2 Char Char3 Char Char"/>
    <w:link w:val="Heading2"/>
    <w:rsid w:val="00C35604"/>
    <w:rPr>
      <w:b/>
      <w:snapToGrid w:val="0"/>
      <w:kern w:val="28"/>
      <w:sz w:val="22"/>
    </w:rPr>
  </w:style>
  <w:style w:type="character" w:customStyle="1" w:styleId="Heading3Char1">
    <w:name w:val="Heading 3 Char1"/>
    <w:aliases w:val="Heading 3 Char Char,3 Char Char,Titre 3 Char Char,1 Char Char,31 Char Char,Titre 31 Char Char,?? 3 Char Char,3 Char1,Titre 3 Char1,1 Char1,31 Char1,Titre 31 Char1,?? 3 Char1,Heading 3 Char1 Char Char Char"/>
    <w:link w:val="Heading3"/>
    <w:rPr>
      <w:b/>
      <w:snapToGrid w:val="0"/>
      <w:kern w:val="28"/>
      <w:sz w:val="22"/>
    </w:rPr>
  </w:style>
  <w:style w:type="character" w:customStyle="1" w:styleId="Heading4Char1">
    <w:name w:val="Heading 4 Char1"/>
    <w:aliases w:val="Heading 4 Char Char,Heading 4 Char1 Char Char,Heading 4 Char2 Char Char1 Char,Heading 4 Char Char1 Char Char1 Char,Heading 4 Char1 Char Char Char Char1 Char,Heading 4 Char Char Char Char Char Char1 Char"/>
    <w:link w:val="Heading4"/>
    <w:rPr>
      <w:b/>
      <w:snapToGrid w:val="0"/>
      <w:kern w:val="28"/>
      <w:sz w:val="22"/>
    </w:rPr>
  </w:style>
  <w:style w:type="paragraph" w:styleId="EndnoteText">
    <w:name w:val="endnote text"/>
    <w:basedOn w:val="Normal"/>
    <w:semiHidden/>
    <w:rsid w:val="009A169C"/>
    <w:rPr>
      <w:sz w:val="20"/>
    </w:rPr>
  </w:style>
  <w:style w:type="character" w:styleId="EndnoteReference">
    <w:name w:val="endnote reference"/>
    <w:semiHidden/>
    <w:rsid w:val="009A169C"/>
    <w:rPr>
      <w:vertAlign w:val="superscript"/>
    </w:rPr>
  </w:style>
  <w:style w:type="paragraph" w:styleId="FootnoteText">
    <w:name w:val="footnote text"/>
    <w:aliases w:val="Footnote Text Char,Footnote Text Char2 Char3,Footnote Text Char Char6 Char,Footnote Text Char6 Char Char Char,Footnote Text Char Char6 Char Char1 Char1,Footnote Text Char4 Char2 Char Char Char Char,Footnote Text Char6 Char,fn,ALTS FOOTNOTE"/>
    <w:link w:val="FootnoteTextChar1"/>
    <w:rsid w:val="009A169C"/>
    <w:pPr>
      <w:spacing w:after="120"/>
    </w:pPr>
  </w:style>
  <w:style w:type="character" w:customStyle="1" w:styleId="FootnoteTextChar1">
    <w:name w:val="Footnote Text Char1"/>
    <w:aliases w:val="Footnote Text Char Char2,Footnote Text Char2 Char3 Char,Footnote Text Char Char6 Char Char,Footnote Text Char6 Char Char Char Char,Footnote Text Char Char6 Char Char1 Char1 Char,Footnote Text Char4 Char2 Char Char Char Char Char"/>
    <w:link w:val="FootnoteText"/>
  </w:style>
  <w:style w:type="character" w:styleId="FootnoteReference">
    <w:name w:val="footnote reference"/>
    <w:aliases w:val="Style 124,Appel note de bas de p,Style 12,(NECG) Footnote Reference,o,fr,Style 3,Style 17,FR,Style 13,Style 6,Footnote Reference/"/>
    <w:rsid w:val="009A169C"/>
    <w:rPr>
      <w:rFonts w:ascii="Times New Roman" w:hAnsi="Times New Roman"/>
      <w:dstrike w:val="0"/>
      <w:color w:val="auto"/>
      <w:sz w:val="20"/>
      <w:vertAlign w:val="superscript"/>
    </w:rPr>
  </w:style>
  <w:style w:type="paragraph" w:styleId="TOC1">
    <w:name w:val="toc 1"/>
    <w:basedOn w:val="Normal"/>
    <w:next w:val="Normal"/>
    <w:semiHidden/>
    <w:rsid w:val="009A169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A169C"/>
    <w:pPr>
      <w:tabs>
        <w:tab w:val="left" w:pos="720"/>
        <w:tab w:val="right" w:leader="dot" w:pos="9360"/>
      </w:tabs>
      <w:suppressAutoHyphens/>
      <w:ind w:left="720" w:right="720" w:hanging="360"/>
    </w:pPr>
    <w:rPr>
      <w:noProof/>
    </w:rPr>
  </w:style>
  <w:style w:type="paragraph" w:styleId="TOC3">
    <w:name w:val="toc 3"/>
    <w:basedOn w:val="Normal"/>
    <w:next w:val="Normal"/>
    <w:semiHidden/>
    <w:rsid w:val="009A169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A169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A169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A169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A169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A169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A169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A169C"/>
    <w:pPr>
      <w:tabs>
        <w:tab w:val="right" w:pos="9360"/>
      </w:tabs>
      <w:suppressAutoHyphens/>
    </w:pPr>
  </w:style>
  <w:style w:type="character" w:customStyle="1" w:styleId="EquationCaption">
    <w:name w:val="_Equation Caption"/>
    <w:rsid w:val="009A169C"/>
  </w:style>
  <w:style w:type="paragraph" w:styleId="Header">
    <w:name w:val="header"/>
    <w:basedOn w:val="Normal"/>
    <w:autoRedefine/>
    <w:rsid w:val="009A169C"/>
    <w:pPr>
      <w:tabs>
        <w:tab w:val="center" w:pos="4680"/>
        <w:tab w:val="right" w:pos="9360"/>
      </w:tabs>
    </w:pPr>
    <w:rPr>
      <w:b/>
    </w:rPr>
  </w:style>
  <w:style w:type="paragraph" w:styleId="Footer">
    <w:name w:val="footer"/>
    <w:basedOn w:val="Normal"/>
    <w:link w:val="FooterChar"/>
    <w:rsid w:val="009A169C"/>
    <w:pPr>
      <w:tabs>
        <w:tab w:val="center" w:pos="4320"/>
        <w:tab w:val="right" w:pos="8640"/>
      </w:tabs>
    </w:pPr>
  </w:style>
  <w:style w:type="character" w:styleId="PageNumber">
    <w:name w:val="page number"/>
    <w:basedOn w:val="DefaultParagraphFont"/>
    <w:rsid w:val="009A169C"/>
  </w:style>
  <w:style w:type="paragraph" w:styleId="BlockText">
    <w:name w:val="Block Text"/>
    <w:basedOn w:val="Normal"/>
    <w:rsid w:val="009A169C"/>
    <w:pPr>
      <w:spacing w:after="240"/>
      <w:ind w:left="1440" w:right="1440"/>
    </w:pPr>
  </w:style>
  <w:style w:type="paragraph" w:customStyle="1" w:styleId="Paratitle">
    <w:name w:val="Para title"/>
    <w:basedOn w:val="Normal"/>
    <w:rsid w:val="009A169C"/>
    <w:pPr>
      <w:tabs>
        <w:tab w:val="center" w:pos="9270"/>
      </w:tabs>
      <w:spacing w:after="240"/>
    </w:pPr>
    <w:rPr>
      <w:spacing w:val="-2"/>
    </w:rPr>
  </w:style>
  <w:style w:type="paragraph" w:customStyle="1" w:styleId="Bullet">
    <w:name w:val="Bullet"/>
    <w:basedOn w:val="Normal"/>
    <w:rsid w:val="009A169C"/>
    <w:pPr>
      <w:tabs>
        <w:tab w:val="left" w:pos="2160"/>
      </w:tabs>
      <w:spacing w:after="220"/>
      <w:ind w:left="2160" w:hanging="720"/>
    </w:pPr>
  </w:style>
  <w:style w:type="paragraph" w:customStyle="1" w:styleId="TableFormat">
    <w:name w:val="TableFormat"/>
    <w:basedOn w:val="Bullet"/>
    <w:rsid w:val="009A169C"/>
    <w:pPr>
      <w:tabs>
        <w:tab w:val="clear" w:pos="2160"/>
        <w:tab w:val="left" w:pos="5040"/>
      </w:tabs>
      <w:ind w:left="5040" w:hanging="3600"/>
    </w:pPr>
  </w:style>
  <w:style w:type="paragraph" w:customStyle="1" w:styleId="TOCTitle">
    <w:name w:val="TOC Title"/>
    <w:basedOn w:val="Normal"/>
    <w:rsid w:val="009A169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A169C"/>
    <w:pPr>
      <w:jc w:val="center"/>
    </w:pPr>
    <w:rPr>
      <w:rFonts w:ascii="Times New Roman Bold" w:hAnsi="Times New Roman Bold"/>
      <w:b/>
      <w:bCs/>
      <w:caps/>
      <w:szCs w:val="22"/>
    </w:rPr>
  </w:style>
  <w:style w:type="character" w:styleId="Hyperlink">
    <w:name w:val="Hyperlink"/>
    <w:rsid w:val="009A169C"/>
    <w:rPr>
      <w:color w:val="0000FF"/>
      <w:u w:val="single"/>
    </w:rPr>
  </w:style>
  <w:style w:type="character" w:customStyle="1" w:styleId="FootnoteTextChar1Char2">
    <w:name w:val="Footnote Text Char1 Char2"/>
    <w:aliases w:val="Footnote Text Char Char Char2,Footnote Text Char4 Char Char Char,Footnote Text Char Char Char2 Char Char,Footnote Text Char4 Char Char Char Char Char1,Footnote Text Char3 Char Char Char Char Char Char Char"/>
    <w:rPr>
      <w:lang w:val="en-US" w:eastAsia="en-US" w:bidi="ar-SA"/>
    </w:rPr>
  </w:style>
  <w:style w:type="character" w:customStyle="1" w:styleId="FootnoteTextChar2CharChar">
    <w:name w:val="Footnote Text Char2 Char Char"/>
    <w:aliases w:val="Footnote Text Char3 Char1 Char Char,Footnote Text Char2 Char1 Char1 Char Char,Footnote Text Char3 Char1 Char Char Char Char,Footnote Text Char2 Char1 Char1 Char Char Char Char"/>
    <w:rPr>
      <w:lang w:val="en-US" w:eastAsia="en-US" w:bidi="ar-SA"/>
    </w:rPr>
  </w:style>
  <w:style w:type="character" w:customStyle="1" w:styleId="FootnoteTextChar2Char1">
    <w:name w:val="Footnote Text Char2 Char1"/>
    <w:aliases w:val="Footnote Text Char Char Char1,Footnote Text Char4 Char1 Char Char1,Footnote Text Char2 Char1 Char Char Char1,Footnote Text Char Char Char1 Char Char Char1,Footnote Text Char2 Char Char1 Char Char Char Char2 Char"/>
    <w:rPr>
      <w:lang w:val="en-US" w:eastAsia="en-US" w:bidi="ar-SA"/>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ascii="Tahoma" w:hAnsi="Tahoma" w:cs="Tahoma"/>
      <w:snapToGrid w:val="0"/>
      <w:kern w:val="28"/>
      <w:sz w:val="16"/>
      <w:szCs w:val="16"/>
      <w:lang w:val="en-US" w:eastAsia="en-US" w:bidi="ar-SA"/>
    </w:rPr>
  </w:style>
  <w:style w:type="character" w:customStyle="1" w:styleId="documentbody1">
    <w:name w:val="documentbody1"/>
    <w:rPr>
      <w:rFonts w:ascii="Verdana" w:hAnsi="Verdana" w:hint="default"/>
      <w:sz w:val="19"/>
      <w:szCs w:val="19"/>
    </w:rPr>
  </w:style>
  <w:style w:type="character" w:styleId="Emphasis">
    <w:name w:val="Emphasis"/>
    <w:qFormat/>
    <w:rPr>
      <w:i/>
      <w:iCs/>
    </w:rPr>
  </w:style>
  <w:style w:type="character" w:customStyle="1" w:styleId="Footnote">
    <w:name w:val="Footnote"/>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character" w:customStyle="1" w:styleId="term1">
    <w:name w:val="term1"/>
    <w:rPr>
      <w:b/>
      <w:bCs/>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n Char Char"/>
    <w:rPr>
      <w:lang w:val="en-US" w:eastAsia="en-US" w:bidi="ar-SA"/>
    </w:rPr>
  </w:style>
  <w:style w:type="paragraph" w:customStyle="1" w:styleId="StyleHeading3Heading3CharLeft">
    <w:name w:val="Style Heading 3Heading 3 Char + Left"/>
    <w:basedOn w:val="Heading3"/>
    <w:pPr>
      <w:numPr>
        <w:ilvl w:val="0"/>
        <w:numId w:val="0"/>
      </w:numPr>
      <w:tabs>
        <w:tab w:val="num" w:pos="360"/>
      </w:tabs>
      <w:ind w:left="360" w:hanging="360"/>
    </w:pPr>
    <w:rPr>
      <w:bCs/>
    </w:rPr>
  </w:style>
  <w:style w:type="paragraph" w:customStyle="1" w:styleId="App1">
    <w:name w:val="App1"/>
    <w:basedOn w:val="Normal"/>
    <w:pPr>
      <w:widowControl/>
      <w:numPr>
        <w:numId w:val="5"/>
      </w:numPr>
    </w:pPr>
    <w:rPr>
      <w:snapToGrid/>
      <w:kern w:val="0"/>
      <w:szCs w:val="22"/>
    </w:rPr>
  </w:style>
  <w:style w:type="character" w:customStyle="1" w:styleId="href">
    <w:name w:val="href"/>
    <w:basedOn w:val="DefaultParagraphFont"/>
  </w:style>
  <w:style w:type="paragraph" w:customStyle="1" w:styleId="RecNo">
    <w:name w:val="Rec_No"/>
    <w:basedOn w:val="Normal"/>
    <w:next w:val="Normal"/>
    <w:pPr>
      <w:keepNext/>
      <w:keepLines/>
      <w:widowControl/>
      <w:overflowPunct w:val="0"/>
      <w:autoSpaceDE w:val="0"/>
      <w:autoSpaceDN w:val="0"/>
      <w:adjustRightInd w:val="0"/>
      <w:spacing w:before="480"/>
      <w:jc w:val="center"/>
      <w:textAlignment w:val="baseline"/>
    </w:pPr>
    <w:rPr>
      <w:snapToGrid/>
      <w:kern w:val="0"/>
      <w:sz w:val="28"/>
      <w:lang w:val="fr-FR"/>
    </w:rPr>
  </w:style>
  <w:style w:type="paragraph" w:customStyle="1" w:styleId="StyleParaNumLeft">
    <w:name w:val="Style ParaNum + Left"/>
    <w:basedOn w:val="ParaNum"/>
    <w:pPr>
      <w:spacing w:after="220"/>
    </w:p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character" w:customStyle="1" w:styleId="FootnoteTextChar1Char">
    <w:name w:val="Footnote Text Char1 Char"/>
    <w:aliases w:val="Footnote Text Char Char2 Char,Footnote Text Char2 Char Char Char,Footnote Text Char1 Char Char Char Char,Footnote Text Char Char2 Char Char1 Char Char,Footnote Text Char3 Char Char2 Char Char Char Char,Footnote Text Char Char"/>
    <w:semiHidden/>
    <w:rPr>
      <w:lang w:val="en-US" w:eastAsia="en-US" w:bidi="ar-SA"/>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locked/>
    <w:rsid w:val="004D38A4"/>
    <w:rPr>
      <w:b/>
      <w:snapToGrid w:val="0"/>
      <w:kern w:val="28"/>
      <w:sz w:val="22"/>
    </w:rPr>
  </w:style>
  <w:style w:type="table" w:styleId="TableGrid">
    <w:name w:val="Table Grid"/>
    <w:basedOn w:val="TableNormal"/>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Pr>
      <w:color w:val="800080"/>
      <w:u w:val="single"/>
    </w:rPr>
  </w:style>
  <w:style w:type="character" w:customStyle="1" w:styleId="StyleFootnoteReference11ptKernat14pt">
    <w:name w:val="Style Footnote Reference + 11 pt Kern at 14 pt"/>
    <w:rsid w:val="00D15373"/>
    <w:rPr>
      <w:rFonts w:ascii="Times New Roman" w:hAnsi="Times New Roman"/>
      <w:dstrike w:val="0"/>
      <w:noProof w:val="0"/>
      <w:color w:val="auto"/>
      <w:kern w:val="28"/>
      <w:sz w:val="20"/>
      <w:vertAlign w:val="superscript"/>
      <w:lang w:val="en-US"/>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rsid w:val="00D15373"/>
    <w:pPr>
      <w:tabs>
        <w:tab w:val="left" w:pos="1440"/>
      </w:tabs>
      <w:spacing w:after="220"/>
    </w:p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rsid w:val="00D15373"/>
    <w:rPr>
      <w:snapToGrid w:val="0"/>
      <w:kern w:val="28"/>
      <w:sz w:val="22"/>
      <w:lang w:val="en-US" w:eastAsia="en-US" w:bidi="ar-SA"/>
    </w:rPr>
  </w:style>
  <w:style w:type="paragraph" w:customStyle="1" w:styleId="StyleParaNum11pt1CharCharCharCharCharCharCharCharCharCharCharCharCharCharChar">
    <w:name w:val="Style ParaNum + 11 pt1 Char Char Char Char Char Char Char Char Char Char Char Char Char Char Char"/>
    <w:basedOn w:val="Normal"/>
    <w:link w:val="StyleParaNum11pt1CharCharCharCharCharCharCharCharCharCharCharCharCharCharCharChar"/>
    <w:rsid w:val="002F2074"/>
    <w:pPr>
      <w:widowControl/>
      <w:tabs>
        <w:tab w:val="num" w:pos="720"/>
        <w:tab w:val="left" w:pos="1080"/>
      </w:tabs>
      <w:spacing w:after="240"/>
      <w:ind w:firstLine="360"/>
    </w:pPr>
    <w:rPr>
      <w:kern w:val="0"/>
      <w:szCs w:val="22"/>
    </w:rPr>
  </w:style>
  <w:style w:type="character" w:customStyle="1" w:styleId="StyleParaNum11pt1CharCharCharCharCharCharCharCharCharCharCharCharCharCharCharChar">
    <w:name w:val="Style ParaNum + 11 pt1 Char Char Char Char Char Char Char Char Char Char Char Char Char Char Char Char"/>
    <w:link w:val="StyleParaNum11pt1CharCharCharCharCharCharCharCharCharCharCharCharCharCharChar"/>
    <w:rsid w:val="002F2074"/>
    <w:rPr>
      <w:snapToGrid w:val="0"/>
      <w:sz w:val="22"/>
      <w:szCs w:val="22"/>
      <w:lang w:val="en-US" w:eastAsia="en-US" w:bidi="ar-SA"/>
    </w:rPr>
  </w:style>
  <w:style w:type="character" w:customStyle="1" w:styleId="documentbody5">
    <w:name w:val="documentbody5"/>
    <w:rsid w:val="006F408C"/>
    <w:rPr>
      <w:rFonts w:ascii="Verdana" w:hAnsi="Verdana" w:hint="default"/>
      <w:sz w:val="19"/>
      <w:szCs w:val="19"/>
    </w:rPr>
  </w:style>
  <w:style w:type="character" w:customStyle="1" w:styleId="groupheading5">
    <w:name w:val="groupheading5"/>
    <w:rsid w:val="00B05370"/>
    <w:rPr>
      <w:rFonts w:ascii="Verdana" w:hAnsi="Verdana" w:hint="default"/>
      <w:b/>
      <w:bCs/>
      <w:sz w:val="19"/>
      <w:szCs w:val="19"/>
    </w:rPr>
  </w:style>
  <w:style w:type="character" w:customStyle="1" w:styleId="starpage1">
    <w:name w:val="starpage1"/>
    <w:rsid w:val="00F31075"/>
    <w:rPr>
      <w:b/>
      <w:bCs/>
      <w:i/>
      <w:iCs/>
      <w:color w:val="800080"/>
    </w:rPr>
  </w:style>
  <w:style w:type="character" w:customStyle="1" w:styleId="EmailStyle79">
    <w:name w:val="EmailStyle79"/>
    <w:semiHidden/>
    <w:rsid w:val="00723B77"/>
    <w:rPr>
      <w:rFonts w:ascii="Arial" w:hAnsi="Arial" w:cs="Arial"/>
      <w:color w:val="auto"/>
      <w:sz w:val="20"/>
      <w:szCs w:val="20"/>
    </w:rPr>
  </w:style>
  <w:style w:type="character" w:styleId="Strong">
    <w:name w:val="Strong"/>
    <w:qFormat/>
    <w:rsid w:val="001856F5"/>
    <w:rPr>
      <w:b/>
      <w:bCs/>
    </w:rPr>
  </w:style>
  <w:style w:type="paragraph" w:customStyle="1" w:styleId="FootnoteTex">
    <w:name w:val="Footnote Tex"/>
    <w:basedOn w:val="Normal"/>
    <w:rsid w:val="00C05B37"/>
    <w:rPr>
      <w:rFonts w:eastAsia="SimSun"/>
      <w:kern w:val="0"/>
      <w:sz w:val="24"/>
      <w:szCs w:val="24"/>
    </w:rPr>
  </w:style>
  <w:style w:type="character" w:customStyle="1" w:styleId="StyleFootnoteReferenceStyle13Style12NECGFootnoteReferenc">
    <w:name w:val="Style Footnote ReferenceStyle 13Style 12(NECG) Footnote Referenc..."/>
    <w:rsid w:val="00E60F7A"/>
    <w:rPr>
      <w:rFonts w:ascii="Times New Roman" w:hAnsi="Times New Roman" w:cs="Times New Roman" w:hint="default"/>
      <w:strike w:val="0"/>
      <w:dstrike w:val="0"/>
      <w:color w:val="auto"/>
      <w:sz w:val="20"/>
      <w:u w:val="none"/>
      <w:effect w:val="none"/>
      <w:vertAlign w:val="superscript"/>
    </w:rPr>
  </w:style>
  <w:style w:type="paragraph" w:customStyle="1" w:styleId="gpotblnote">
    <w:name w:val="gpotbl_note"/>
    <w:basedOn w:val="Normal"/>
    <w:rsid w:val="00D45202"/>
    <w:pPr>
      <w:widowControl/>
      <w:spacing w:before="100" w:beforeAutospacing="1" w:after="100" w:afterAutospacing="1"/>
    </w:pPr>
    <w:rPr>
      <w:snapToGrid/>
      <w:kern w:val="0"/>
      <w:sz w:val="24"/>
      <w:szCs w:val="24"/>
    </w:rPr>
  </w:style>
  <w:style w:type="character" w:customStyle="1" w:styleId="Heading8Char">
    <w:name w:val="Heading 8 Char"/>
    <w:link w:val="Heading8"/>
    <w:rsid w:val="004D38A4"/>
    <w:rPr>
      <w:b/>
      <w:snapToGrid w:val="0"/>
      <w:kern w:val="28"/>
      <w:sz w:val="22"/>
    </w:rPr>
  </w:style>
  <w:style w:type="paragraph" w:styleId="Revision">
    <w:name w:val="Revision"/>
    <w:hidden/>
    <w:uiPriority w:val="99"/>
    <w:semiHidden/>
    <w:rsid w:val="0041108B"/>
    <w:rPr>
      <w:snapToGrid w:val="0"/>
      <w:kern w:val="28"/>
      <w:sz w:val="22"/>
    </w:rPr>
  </w:style>
  <w:style w:type="paragraph" w:styleId="NoSpacing">
    <w:name w:val="No Spacing"/>
    <w:uiPriority w:val="1"/>
    <w:qFormat/>
    <w:rsid w:val="000910FA"/>
    <w:pPr>
      <w:widowControl w:val="0"/>
    </w:pPr>
    <w:rPr>
      <w:snapToGrid w:val="0"/>
      <w:kern w:val="28"/>
      <w:sz w:val="22"/>
    </w:rPr>
  </w:style>
  <w:style w:type="character" w:customStyle="1" w:styleId="FooterChar">
    <w:name w:val="Footer Char"/>
    <w:basedOn w:val="DefaultParagraphFont"/>
    <w:link w:val="Footer"/>
    <w:rsid w:val="00F65B7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4584">
      <w:bodyDiv w:val="1"/>
      <w:marLeft w:val="0"/>
      <w:marRight w:val="0"/>
      <w:marTop w:val="0"/>
      <w:marBottom w:val="0"/>
      <w:divBdr>
        <w:top w:val="none" w:sz="0" w:space="0" w:color="auto"/>
        <w:left w:val="none" w:sz="0" w:space="0" w:color="auto"/>
        <w:bottom w:val="none" w:sz="0" w:space="0" w:color="auto"/>
        <w:right w:val="none" w:sz="0" w:space="0" w:color="auto"/>
      </w:divBdr>
      <w:divsChild>
        <w:div w:id="280690855">
          <w:marLeft w:val="0"/>
          <w:marRight w:val="0"/>
          <w:marTop w:val="0"/>
          <w:marBottom w:val="0"/>
          <w:divBdr>
            <w:top w:val="none" w:sz="0" w:space="0" w:color="auto"/>
            <w:left w:val="none" w:sz="0" w:space="0" w:color="auto"/>
            <w:bottom w:val="none" w:sz="0" w:space="0" w:color="auto"/>
            <w:right w:val="none" w:sz="0" w:space="0" w:color="auto"/>
          </w:divBdr>
          <w:divsChild>
            <w:div w:id="1722241454">
              <w:marLeft w:val="0"/>
              <w:marRight w:val="0"/>
              <w:marTop w:val="0"/>
              <w:marBottom w:val="0"/>
              <w:divBdr>
                <w:top w:val="none" w:sz="0" w:space="0" w:color="auto"/>
                <w:left w:val="none" w:sz="0" w:space="0" w:color="auto"/>
                <w:bottom w:val="none" w:sz="0" w:space="0" w:color="auto"/>
                <w:right w:val="none" w:sz="0" w:space="0" w:color="auto"/>
              </w:divBdr>
              <w:divsChild>
                <w:div w:id="43059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87589">
      <w:bodyDiv w:val="1"/>
      <w:marLeft w:val="0"/>
      <w:marRight w:val="0"/>
      <w:marTop w:val="0"/>
      <w:marBottom w:val="0"/>
      <w:divBdr>
        <w:top w:val="none" w:sz="0" w:space="0" w:color="auto"/>
        <w:left w:val="none" w:sz="0" w:space="0" w:color="auto"/>
        <w:bottom w:val="none" w:sz="0" w:space="0" w:color="auto"/>
        <w:right w:val="none" w:sz="0" w:space="0" w:color="auto"/>
      </w:divBdr>
      <w:divsChild>
        <w:div w:id="607008099">
          <w:marLeft w:val="0"/>
          <w:marRight w:val="0"/>
          <w:marTop w:val="0"/>
          <w:marBottom w:val="0"/>
          <w:divBdr>
            <w:top w:val="none" w:sz="0" w:space="0" w:color="auto"/>
            <w:left w:val="none" w:sz="0" w:space="0" w:color="auto"/>
            <w:bottom w:val="none" w:sz="0" w:space="0" w:color="auto"/>
            <w:right w:val="none" w:sz="0" w:space="0" w:color="auto"/>
          </w:divBdr>
          <w:divsChild>
            <w:div w:id="1353800708">
              <w:marLeft w:val="0"/>
              <w:marRight w:val="0"/>
              <w:marTop w:val="0"/>
              <w:marBottom w:val="0"/>
              <w:divBdr>
                <w:top w:val="none" w:sz="0" w:space="0" w:color="auto"/>
                <w:left w:val="none" w:sz="0" w:space="0" w:color="auto"/>
                <w:bottom w:val="none" w:sz="0" w:space="0" w:color="auto"/>
                <w:right w:val="none" w:sz="0" w:space="0" w:color="auto"/>
              </w:divBdr>
              <w:divsChild>
                <w:div w:id="84825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035968">
      <w:bodyDiv w:val="1"/>
      <w:marLeft w:val="0"/>
      <w:marRight w:val="0"/>
      <w:marTop w:val="0"/>
      <w:marBottom w:val="0"/>
      <w:divBdr>
        <w:top w:val="none" w:sz="0" w:space="0" w:color="auto"/>
        <w:left w:val="none" w:sz="0" w:space="0" w:color="auto"/>
        <w:bottom w:val="none" w:sz="0" w:space="0" w:color="auto"/>
        <w:right w:val="none" w:sz="0" w:space="0" w:color="auto"/>
      </w:divBdr>
      <w:divsChild>
        <w:div w:id="1478298669">
          <w:marLeft w:val="0"/>
          <w:marRight w:val="0"/>
          <w:marTop w:val="0"/>
          <w:marBottom w:val="0"/>
          <w:divBdr>
            <w:top w:val="none" w:sz="0" w:space="0" w:color="auto"/>
            <w:left w:val="none" w:sz="0" w:space="0" w:color="auto"/>
            <w:bottom w:val="none" w:sz="0" w:space="0" w:color="auto"/>
            <w:right w:val="none" w:sz="0" w:space="0" w:color="auto"/>
          </w:divBdr>
          <w:divsChild>
            <w:div w:id="14730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1618">
      <w:bodyDiv w:val="1"/>
      <w:marLeft w:val="0"/>
      <w:marRight w:val="0"/>
      <w:marTop w:val="0"/>
      <w:marBottom w:val="0"/>
      <w:divBdr>
        <w:top w:val="none" w:sz="0" w:space="0" w:color="auto"/>
        <w:left w:val="none" w:sz="0" w:space="0" w:color="auto"/>
        <w:bottom w:val="none" w:sz="0" w:space="0" w:color="auto"/>
        <w:right w:val="none" w:sz="0" w:space="0" w:color="auto"/>
      </w:divBdr>
      <w:divsChild>
        <w:div w:id="1183713364">
          <w:marLeft w:val="0"/>
          <w:marRight w:val="0"/>
          <w:marTop w:val="0"/>
          <w:marBottom w:val="0"/>
          <w:divBdr>
            <w:top w:val="none" w:sz="0" w:space="0" w:color="auto"/>
            <w:left w:val="none" w:sz="0" w:space="0" w:color="auto"/>
            <w:bottom w:val="none" w:sz="0" w:space="0" w:color="auto"/>
            <w:right w:val="none" w:sz="0" w:space="0" w:color="auto"/>
          </w:divBdr>
          <w:divsChild>
            <w:div w:id="1705053817">
              <w:marLeft w:val="0"/>
              <w:marRight w:val="0"/>
              <w:marTop w:val="0"/>
              <w:marBottom w:val="0"/>
              <w:divBdr>
                <w:top w:val="none" w:sz="0" w:space="0" w:color="auto"/>
                <w:left w:val="none" w:sz="0" w:space="0" w:color="auto"/>
                <w:bottom w:val="none" w:sz="0" w:space="0" w:color="auto"/>
                <w:right w:val="none" w:sz="0" w:space="0" w:color="auto"/>
              </w:divBdr>
              <w:divsChild>
                <w:div w:id="14586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estlaw.com/Find/Default.wl?rs=++++1.0&amp;vr=2.0&amp;DB=1000547&amp;DocName=47CFRS1.946&amp;FindType=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ancy.Zaczek@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6635</Words>
  <Characters>35981</Characters>
  <Application>Microsoft Office Word</Application>
  <DocSecurity>0</DocSecurity>
  <Lines>586</Lines>
  <Paragraphs>169</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42819</CharactersWithSpaces>
  <SharedDoc>false</SharedDoc>
  <HyperlinkBase> </HyperlinkBase>
  <HLinks>
    <vt:vector size="24" baseType="variant">
      <vt:variant>
        <vt:i4>7929969</vt:i4>
      </vt:variant>
      <vt:variant>
        <vt:i4>9</vt:i4>
      </vt:variant>
      <vt:variant>
        <vt:i4>0</vt:i4>
      </vt:variant>
      <vt:variant>
        <vt:i4>5</vt:i4>
      </vt:variant>
      <vt:variant>
        <vt:lpwstr>http://www.westlaw.com/Find/Default.wl?rs=++++1.0&amp;vr=2.0&amp;DB=1000547&amp;DocName=47CFRS1.946&amp;FindType=L</vt:lpwstr>
      </vt:variant>
      <vt:variant>
        <vt:lpwstr/>
      </vt:variant>
      <vt:variant>
        <vt:i4>327796</vt:i4>
      </vt:variant>
      <vt:variant>
        <vt:i4>6</vt:i4>
      </vt:variant>
      <vt:variant>
        <vt:i4>0</vt:i4>
      </vt:variant>
      <vt:variant>
        <vt:i4>5</vt:i4>
      </vt:variant>
      <vt:variant>
        <vt:lpwstr>mailto:Nancy.Zaczek@fcc.gov</vt:lpwstr>
      </vt:variant>
      <vt:variant>
        <vt:lpwstr/>
      </vt:variant>
      <vt:variant>
        <vt:i4>3473482</vt:i4>
      </vt:variant>
      <vt:variant>
        <vt:i4>3</vt:i4>
      </vt:variant>
      <vt:variant>
        <vt:i4>0</vt:i4>
      </vt:variant>
      <vt:variant>
        <vt:i4>5</vt:i4>
      </vt:variant>
      <vt:variant>
        <vt:lpwstr>mailto:fcc504@fcc.gov</vt:lpwstr>
      </vt:variant>
      <vt:variant>
        <vt:lpwstr/>
      </vt:variant>
      <vt:variant>
        <vt:i4>7929897</vt:i4>
      </vt:variant>
      <vt:variant>
        <vt:i4>0</vt:i4>
      </vt:variant>
      <vt:variant>
        <vt:i4>0</vt:i4>
      </vt:variant>
      <vt:variant>
        <vt:i4>5</vt:i4>
      </vt:variant>
      <vt:variant>
        <vt:lpwstr>http://fjallfoss.fcc.gov/ecfs2/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2014-11-14T19:03:00Z</cp:lastPrinted>
  <dcterms:created xsi:type="dcterms:W3CDTF">2015-02-18T19:35:00Z</dcterms:created>
  <dcterms:modified xsi:type="dcterms:W3CDTF">2015-02-18T19:35:00Z</dcterms:modified>
  <cp:category> </cp:category>
  <cp:contentStatus> </cp:contentStatus>
</cp:coreProperties>
</file>