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5F3" w:rsidRPr="00B055F3" w:rsidRDefault="00B055F3" w:rsidP="00B055F3">
      <w:pPr>
        <w:widowControl/>
        <w:tabs>
          <w:tab w:val="center" w:pos="4770"/>
        </w:tabs>
        <w:spacing w:line="226" w:lineRule="auto"/>
        <w:jc w:val="center"/>
        <w:rPr>
          <w:b/>
          <w:snapToGrid/>
          <w:kern w:val="0"/>
          <w:szCs w:val="22"/>
        </w:rPr>
      </w:pPr>
      <w:bookmarkStart w:id="0" w:name="_GoBack"/>
      <w:bookmarkEnd w:id="0"/>
      <w:r w:rsidRPr="00B055F3">
        <w:rPr>
          <w:b/>
          <w:snapToGrid/>
          <w:kern w:val="0"/>
          <w:szCs w:val="22"/>
        </w:rPr>
        <w:t>Before the</w:t>
      </w:r>
    </w:p>
    <w:p w:rsidR="00B055F3" w:rsidRPr="00B055F3" w:rsidRDefault="00B055F3" w:rsidP="00B055F3">
      <w:pPr>
        <w:widowControl/>
        <w:tabs>
          <w:tab w:val="center" w:pos="4680"/>
        </w:tabs>
        <w:spacing w:line="226" w:lineRule="auto"/>
        <w:jc w:val="center"/>
        <w:rPr>
          <w:b/>
          <w:snapToGrid/>
          <w:kern w:val="0"/>
          <w:szCs w:val="22"/>
        </w:rPr>
      </w:pPr>
      <w:r w:rsidRPr="00B055F3">
        <w:rPr>
          <w:b/>
          <w:snapToGrid/>
          <w:kern w:val="0"/>
          <w:szCs w:val="22"/>
        </w:rPr>
        <w:t>Federal Communications Commission</w:t>
      </w:r>
    </w:p>
    <w:p w:rsidR="00B055F3" w:rsidRPr="00B055F3" w:rsidRDefault="00B055F3" w:rsidP="00B055F3">
      <w:pPr>
        <w:widowControl/>
        <w:tabs>
          <w:tab w:val="center" w:pos="4680"/>
        </w:tabs>
        <w:spacing w:line="226" w:lineRule="auto"/>
        <w:jc w:val="center"/>
        <w:rPr>
          <w:snapToGrid/>
          <w:kern w:val="0"/>
          <w:szCs w:val="22"/>
        </w:rPr>
      </w:pPr>
      <w:r w:rsidRPr="00B055F3">
        <w:rPr>
          <w:b/>
          <w:snapToGrid/>
          <w:kern w:val="0"/>
          <w:szCs w:val="22"/>
        </w:rPr>
        <w:t>Washington, DC 20554</w:t>
      </w:r>
    </w:p>
    <w:p w:rsidR="00B055F3" w:rsidRPr="00B055F3" w:rsidRDefault="00B055F3" w:rsidP="00B055F3">
      <w:pPr>
        <w:tabs>
          <w:tab w:val="left" w:pos="-720"/>
        </w:tabs>
        <w:suppressAutoHyphens/>
        <w:spacing w:line="227" w:lineRule="auto"/>
        <w:rPr>
          <w:snapToGrid/>
          <w:spacing w:val="-2"/>
          <w:kern w:val="0"/>
        </w:rPr>
      </w:pPr>
    </w:p>
    <w:tbl>
      <w:tblPr>
        <w:tblW w:w="9540" w:type="dxa"/>
        <w:tblInd w:w="108" w:type="dxa"/>
        <w:tblLayout w:type="fixed"/>
        <w:tblLook w:val="0000" w:firstRow="0" w:lastRow="0" w:firstColumn="0" w:lastColumn="0" w:noHBand="0" w:noVBand="0"/>
      </w:tblPr>
      <w:tblGrid>
        <w:gridCol w:w="4590"/>
        <w:gridCol w:w="270"/>
        <w:gridCol w:w="4680"/>
      </w:tblGrid>
      <w:tr w:rsidR="00B055F3" w:rsidRPr="00B055F3" w:rsidTr="00F30326">
        <w:tc>
          <w:tcPr>
            <w:tcW w:w="4590" w:type="dxa"/>
          </w:tcPr>
          <w:p w:rsidR="00B055F3" w:rsidRPr="00B055F3" w:rsidRDefault="00B055F3" w:rsidP="00B055F3">
            <w:pPr>
              <w:widowControl/>
              <w:rPr>
                <w:snapToGrid/>
                <w:kern w:val="0"/>
                <w:szCs w:val="22"/>
              </w:rPr>
            </w:pPr>
            <w:r w:rsidRPr="00B055F3">
              <w:rPr>
                <w:snapToGrid/>
                <w:spacing w:val="-2"/>
                <w:kern w:val="0"/>
                <w:szCs w:val="22"/>
              </w:rPr>
              <w:t>In the Matter of</w:t>
            </w:r>
            <w:r w:rsidRPr="00B055F3">
              <w:rPr>
                <w:snapToGrid/>
                <w:kern w:val="0"/>
                <w:szCs w:val="22"/>
              </w:rPr>
              <w:t xml:space="preserve"> </w:t>
            </w:r>
          </w:p>
          <w:p w:rsidR="00B055F3" w:rsidRPr="00B055F3" w:rsidRDefault="00B055F3" w:rsidP="00B055F3">
            <w:pPr>
              <w:widowControl/>
              <w:rPr>
                <w:snapToGrid/>
                <w:kern w:val="0"/>
                <w:szCs w:val="22"/>
              </w:rPr>
            </w:pPr>
          </w:p>
          <w:p w:rsidR="00B055F3" w:rsidRDefault="00A169D4" w:rsidP="00B055F3">
            <w:pPr>
              <w:widowControl/>
              <w:rPr>
                <w:snapToGrid/>
                <w:kern w:val="0"/>
                <w:szCs w:val="22"/>
              </w:rPr>
            </w:pPr>
            <w:r>
              <w:rPr>
                <w:snapToGrid/>
                <w:kern w:val="0"/>
                <w:szCs w:val="22"/>
              </w:rPr>
              <w:t>Mr. Richard Jackowitz</w:t>
            </w:r>
          </w:p>
          <w:p w:rsidR="00A169D4" w:rsidRDefault="00A169D4" w:rsidP="00B055F3">
            <w:pPr>
              <w:widowControl/>
              <w:rPr>
                <w:snapToGrid/>
                <w:kern w:val="0"/>
                <w:szCs w:val="22"/>
              </w:rPr>
            </w:pPr>
            <w:r>
              <w:rPr>
                <w:snapToGrid/>
                <w:kern w:val="0"/>
                <w:szCs w:val="22"/>
              </w:rPr>
              <w:t xml:space="preserve">IT Connect, Inc. </w:t>
            </w:r>
          </w:p>
          <w:p w:rsidR="00A169D4" w:rsidRDefault="00A169D4" w:rsidP="00B055F3">
            <w:pPr>
              <w:widowControl/>
              <w:rPr>
                <w:snapToGrid/>
                <w:kern w:val="0"/>
                <w:szCs w:val="22"/>
              </w:rPr>
            </w:pPr>
          </w:p>
          <w:p w:rsidR="00A169D4" w:rsidRPr="00B055F3" w:rsidRDefault="00A169D4" w:rsidP="00B055F3">
            <w:pPr>
              <w:widowControl/>
              <w:rPr>
                <w:snapToGrid/>
                <w:spacing w:val="-2"/>
                <w:kern w:val="0"/>
                <w:szCs w:val="22"/>
              </w:rPr>
            </w:pPr>
            <w:r>
              <w:rPr>
                <w:snapToGrid/>
                <w:kern w:val="0"/>
                <w:szCs w:val="22"/>
              </w:rPr>
              <w:t>Forfeiture Order</w:t>
            </w:r>
          </w:p>
        </w:tc>
        <w:tc>
          <w:tcPr>
            <w:tcW w:w="270" w:type="dxa"/>
          </w:tcPr>
          <w:p w:rsidR="00B055F3" w:rsidRPr="00B055F3" w:rsidRDefault="00B055F3" w:rsidP="00B055F3">
            <w:pPr>
              <w:widowControl/>
              <w:tabs>
                <w:tab w:val="center" w:pos="4680"/>
              </w:tabs>
              <w:suppressAutoHyphens/>
              <w:spacing w:line="240" w:lineRule="atLeast"/>
              <w:jc w:val="both"/>
              <w:outlineLvl w:val="0"/>
              <w:rPr>
                <w:snapToGrid/>
                <w:kern w:val="0"/>
                <w:szCs w:val="22"/>
              </w:rPr>
            </w:pPr>
            <w:r w:rsidRPr="00B055F3">
              <w:rPr>
                <w:snapToGrid/>
                <w:kern w:val="0"/>
                <w:szCs w:val="22"/>
              </w:rPr>
              <w:t>)</w:t>
            </w:r>
          </w:p>
          <w:p w:rsidR="00B055F3" w:rsidRPr="00B055F3" w:rsidRDefault="00B055F3" w:rsidP="00B055F3">
            <w:pPr>
              <w:widowControl/>
              <w:tabs>
                <w:tab w:val="center" w:pos="4680"/>
              </w:tabs>
              <w:suppressAutoHyphens/>
              <w:spacing w:line="240" w:lineRule="atLeast"/>
              <w:jc w:val="both"/>
              <w:outlineLvl w:val="0"/>
              <w:rPr>
                <w:snapToGrid/>
                <w:kern w:val="0"/>
                <w:szCs w:val="22"/>
              </w:rPr>
            </w:pPr>
            <w:r w:rsidRPr="00B055F3">
              <w:rPr>
                <w:snapToGrid/>
                <w:kern w:val="0"/>
                <w:szCs w:val="22"/>
              </w:rPr>
              <w:t>)</w:t>
            </w:r>
          </w:p>
          <w:p w:rsidR="00B055F3" w:rsidRPr="00B055F3" w:rsidRDefault="00B055F3" w:rsidP="00B055F3">
            <w:pPr>
              <w:widowControl/>
              <w:tabs>
                <w:tab w:val="center" w:pos="4680"/>
              </w:tabs>
              <w:suppressAutoHyphens/>
              <w:spacing w:line="240" w:lineRule="atLeast"/>
              <w:jc w:val="both"/>
              <w:outlineLvl w:val="0"/>
              <w:rPr>
                <w:snapToGrid/>
                <w:kern w:val="0"/>
                <w:szCs w:val="22"/>
              </w:rPr>
            </w:pPr>
            <w:r w:rsidRPr="00B055F3">
              <w:rPr>
                <w:snapToGrid/>
                <w:kern w:val="0"/>
                <w:szCs w:val="22"/>
              </w:rPr>
              <w:t>)</w:t>
            </w:r>
          </w:p>
          <w:p w:rsidR="00B055F3" w:rsidRPr="00B055F3" w:rsidRDefault="00B055F3" w:rsidP="00B055F3">
            <w:pPr>
              <w:widowControl/>
              <w:tabs>
                <w:tab w:val="center" w:pos="4680"/>
              </w:tabs>
              <w:suppressAutoHyphens/>
              <w:spacing w:line="240" w:lineRule="atLeast"/>
              <w:jc w:val="both"/>
              <w:outlineLvl w:val="0"/>
              <w:rPr>
                <w:snapToGrid/>
                <w:kern w:val="0"/>
                <w:szCs w:val="22"/>
              </w:rPr>
            </w:pPr>
            <w:r w:rsidRPr="00B055F3">
              <w:rPr>
                <w:snapToGrid/>
                <w:kern w:val="0"/>
                <w:szCs w:val="22"/>
              </w:rPr>
              <w:t>)</w:t>
            </w:r>
          </w:p>
          <w:p w:rsidR="00B055F3" w:rsidRDefault="00B055F3" w:rsidP="00B055F3">
            <w:pPr>
              <w:widowControl/>
              <w:tabs>
                <w:tab w:val="center" w:pos="4680"/>
              </w:tabs>
              <w:suppressAutoHyphens/>
              <w:spacing w:line="240" w:lineRule="atLeast"/>
              <w:jc w:val="both"/>
              <w:outlineLvl w:val="0"/>
              <w:rPr>
                <w:snapToGrid/>
                <w:kern w:val="0"/>
                <w:szCs w:val="22"/>
              </w:rPr>
            </w:pPr>
            <w:r w:rsidRPr="00B055F3">
              <w:rPr>
                <w:snapToGrid/>
                <w:kern w:val="0"/>
                <w:szCs w:val="22"/>
              </w:rPr>
              <w:t>)</w:t>
            </w:r>
          </w:p>
          <w:p w:rsidR="004B4C15" w:rsidRPr="00B055F3" w:rsidRDefault="004B4C15" w:rsidP="00B055F3">
            <w:pPr>
              <w:widowControl/>
              <w:tabs>
                <w:tab w:val="center" w:pos="4680"/>
              </w:tabs>
              <w:suppressAutoHyphens/>
              <w:spacing w:line="240" w:lineRule="atLeast"/>
              <w:jc w:val="both"/>
              <w:outlineLvl w:val="0"/>
              <w:rPr>
                <w:snapToGrid/>
                <w:kern w:val="0"/>
                <w:szCs w:val="22"/>
              </w:rPr>
            </w:pPr>
            <w:r>
              <w:rPr>
                <w:snapToGrid/>
                <w:kern w:val="0"/>
                <w:szCs w:val="22"/>
              </w:rPr>
              <w:t>)</w:t>
            </w:r>
          </w:p>
          <w:p w:rsidR="00B055F3" w:rsidRPr="00B055F3" w:rsidRDefault="00B055F3" w:rsidP="00B055F3">
            <w:pPr>
              <w:widowControl/>
              <w:tabs>
                <w:tab w:val="center" w:pos="4680"/>
              </w:tabs>
              <w:suppressAutoHyphens/>
              <w:spacing w:line="240" w:lineRule="atLeast"/>
              <w:jc w:val="both"/>
              <w:outlineLvl w:val="0"/>
              <w:rPr>
                <w:snapToGrid/>
                <w:kern w:val="0"/>
                <w:szCs w:val="22"/>
              </w:rPr>
            </w:pPr>
          </w:p>
        </w:tc>
        <w:tc>
          <w:tcPr>
            <w:tcW w:w="4680" w:type="dxa"/>
          </w:tcPr>
          <w:p w:rsidR="00B055F3" w:rsidRPr="00B055F3" w:rsidRDefault="00B055F3" w:rsidP="00B055F3">
            <w:pPr>
              <w:widowControl/>
              <w:rPr>
                <w:snapToGrid/>
                <w:spacing w:val="-2"/>
                <w:kern w:val="0"/>
                <w:szCs w:val="22"/>
              </w:rPr>
            </w:pPr>
          </w:p>
          <w:p w:rsidR="00B055F3" w:rsidRPr="00B055F3" w:rsidRDefault="00B055F3" w:rsidP="00B055F3">
            <w:pPr>
              <w:widowControl/>
              <w:ind w:left="702"/>
              <w:rPr>
                <w:snapToGrid/>
                <w:spacing w:val="-2"/>
                <w:kern w:val="0"/>
                <w:szCs w:val="22"/>
              </w:rPr>
            </w:pPr>
          </w:p>
          <w:p w:rsidR="00B055F3" w:rsidRPr="00B055F3" w:rsidRDefault="00B055F3" w:rsidP="00B055F3">
            <w:pPr>
              <w:widowControl/>
              <w:ind w:left="702"/>
              <w:rPr>
                <w:snapToGrid/>
                <w:kern w:val="0"/>
                <w:szCs w:val="22"/>
              </w:rPr>
            </w:pPr>
            <w:r w:rsidRPr="00B055F3">
              <w:rPr>
                <w:snapToGrid/>
                <w:kern w:val="0"/>
                <w:szCs w:val="22"/>
              </w:rPr>
              <w:t xml:space="preserve">File No.:  </w:t>
            </w:r>
            <w:r w:rsidR="00A169D4">
              <w:rPr>
                <w:spacing w:val="-2"/>
              </w:rPr>
              <w:t>EB-TCD-13-00010173</w:t>
            </w:r>
          </w:p>
          <w:p w:rsidR="00B055F3" w:rsidRPr="00B055F3" w:rsidRDefault="00B055F3" w:rsidP="00B055F3">
            <w:pPr>
              <w:widowControl/>
              <w:ind w:left="702"/>
              <w:rPr>
                <w:snapToGrid/>
                <w:kern w:val="0"/>
                <w:szCs w:val="22"/>
              </w:rPr>
            </w:pPr>
            <w:r w:rsidRPr="00B055F3">
              <w:rPr>
                <w:snapToGrid/>
                <w:kern w:val="0"/>
                <w:szCs w:val="22"/>
              </w:rPr>
              <w:t xml:space="preserve">NAL/Acct. No.:  </w:t>
            </w:r>
            <w:r w:rsidR="00A169D4">
              <w:rPr>
                <w:spacing w:val="-2"/>
              </w:rPr>
              <w:t>201432170004</w:t>
            </w:r>
          </w:p>
          <w:p w:rsidR="00A169D4" w:rsidRDefault="00A169D4" w:rsidP="00A169D4">
            <w:pPr>
              <w:tabs>
                <w:tab w:val="center" w:pos="4680"/>
              </w:tabs>
              <w:suppressAutoHyphens/>
              <w:rPr>
                <w:spacing w:val="-2"/>
              </w:rPr>
            </w:pPr>
            <w:r>
              <w:rPr>
                <w:snapToGrid/>
                <w:kern w:val="0"/>
                <w:szCs w:val="22"/>
              </w:rPr>
              <w:t xml:space="preserve">            </w:t>
            </w:r>
            <w:r w:rsidR="00B055F3" w:rsidRPr="00B055F3">
              <w:rPr>
                <w:snapToGrid/>
                <w:kern w:val="0"/>
                <w:szCs w:val="22"/>
              </w:rPr>
              <w:t>FRN</w:t>
            </w:r>
            <w:r>
              <w:rPr>
                <w:snapToGrid/>
                <w:kern w:val="0"/>
                <w:szCs w:val="22"/>
              </w:rPr>
              <w:t>s</w:t>
            </w:r>
            <w:r w:rsidR="00B055F3" w:rsidRPr="00B055F3">
              <w:rPr>
                <w:snapToGrid/>
                <w:kern w:val="0"/>
                <w:szCs w:val="22"/>
              </w:rPr>
              <w:t xml:space="preserve">:  </w:t>
            </w:r>
            <w:r>
              <w:rPr>
                <w:spacing w:val="-2"/>
              </w:rPr>
              <w:t>0021888045</w:t>
            </w:r>
          </w:p>
          <w:p w:rsidR="00B055F3" w:rsidRPr="00B055F3" w:rsidRDefault="00A169D4" w:rsidP="00A169D4">
            <w:pPr>
              <w:widowControl/>
              <w:ind w:left="702"/>
              <w:rPr>
                <w:snapToGrid/>
                <w:kern w:val="0"/>
                <w:szCs w:val="22"/>
              </w:rPr>
            </w:pPr>
            <w:r>
              <w:rPr>
                <w:spacing w:val="-2"/>
              </w:rPr>
              <w:t xml:space="preserve">            0021888037</w:t>
            </w:r>
          </w:p>
        </w:tc>
      </w:tr>
      <w:tr w:rsidR="00A169D4" w:rsidRPr="00B055F3" w:rsidTr="00F30326">
        <w:tc>
          <w:tcPr>
            <w:tcW w:w="4590" w:type="dxa"/>
          </w:tcPr>
          <w:p w:rsidR="00A169D4" w:rsidRPr="00B055F3" w:rsidRDefault="00A169D4" w:rsidP="00B055F3">
            <w:pPr>
              <w:widowControl/>
              <w:rPr>
                <w:snapToGrid/>
                <w:spacing w:val="-2"/>
                <w:kern w:val="0"/>
                <w:szCs w:val="22"/>
              </w:rPr>
            </w:pPr>
          </w:p>
        </w:tc>
        <w:tc>
          <w:tcPr>
            <w:tcW w:w="270" w:type="dxa"/>
          </w:tcPr>
          <w:p w:rsidR="00A169D4" w:rsidRPr="00B055F3" w:rsidRDefault="00A169D4" w:rsidP="00B055F3">
            <w:pPr>
              <w:widowControl/>
              <w:tabs>
                <w:tab w:val="center" w:pos="4680"/>
              </w:tabs>
              <w:suppressAutoHyphens/>
              <w:spacing w:line="240" w:lineRule="atLeast"/>
              <w:jc w:val="both"/>
              <w:outlineLvl w:val="0"/>
              <w:rPr>
                <w:snapToGrid/>
                <w:kern w:val="0"/>
                <w:szCs w:val="22"/>
              </w:rPr>
            </w:pPr>
          </w:p>
        </w:tc>
        <w:tc>
          <w:tcPr>
            <w:tcW w:w="4680" w:type="dxa"/>
          </w:tcPr>
          <w:p w:rsidR="00A169D4" w:rsidRPr="00B055F3" w:rsidRDefault="00A169D4" w:rsidP="00B055F3">
            <w:pPr>
              <w:widowControl/>
              <w:rPr>
                <w:snapToGrid/>
                <w:spacing w:val="-2"/>
                <w:kern w:val="0"/>
                <w:szCs w:val="22"/>
              </w:rPr>
            </w:pPr>
          </w:p>
        </w:tc>
      </w:tr>
    </w:tbl>
    <w:p w:rsidR="00B055F3" w:rsidRPr="00B055F3" w:rsidRDefault="00B055F3" w:rsidP="00B055F3">
      <w:pPr>
        <w:keepNext/>
        <w:widowControl/>
        <w:spacing w:line="226" w:lineRule="auto"/>
        <w:jc w:val="center"/>
        <w:outlineLvl w:val="1"/>
        <w:rPr>
          <w:b/>
          <w:snapToGrid/>
          <w:kern w:val="0"/>
          <w:szCs w:val="22"/>
        </w:rPr>
      </w:pPr>
      <w:r w:rsidRPr="00B055F3">
        <w:rPr>
          <w:b/>
          <w:snapToGrid/>
          <w:kern w:val="0"/>
          <w:szCs w:val="22"/>
        </w:rPr>
        <w:t>FORFEITURE ORDER</w:t>
      </w:r>
    </w:p>
    <w:p w:rsidR="00B055F3" w:rsidRPr="00B055F3" w:rsidRDefault="00B055F3" w:rsidP="00B055F3">
      <w:pPr>
        <w:widowControl/>
        <w:spacing w:line="226" w:lineRule="auto"/>
        <w:jc w:val="both"/>
        <w:rPr>
          <w:b/>
          <w:snapToGrid/>
          <w:kern w:val="0"/>
          <w:szCs w:val="22"/>
        </w:rPr>
      </w:pPr>
    </w:p>
    <w:p w:rsidR="003D57CB" w:rsidRDefault="003D57CB" w:rsidP="000E1DF9">
      <w:pPr>
        <w:tabs>
          <w:tab w:val="right" w:pos="9360"/>
        </w:tabs>
        <w:suppressAutoHyphens/>
        <w:spacing w:line="227" w:lineRule="auto"/>
        <w:rPr>
          <w:spacing w:val="-2"/>
        </w:rPr>
      </w:pPr>
      <w:r>
        <w:rPr>
          <w:b/>
          <w:spacing w:val="-2"/>
        </w:rPr>
        <w:t xml:space="preserve">Adopted:  </w:t>
      </w:r>
      <w:r w:rsidR="00E464B4">
        <w:rPr>
          <w:b/>
          <w:spacing w:val="-2"/>
        </w:rPr>
        <w:t>February 18, 2015</w:t>
      </w:r>
      <w:r>
        <w:rPr>
          <w:b/>
          <w:spacing w:val="-2"/>
        </w:rPr>
        <w:tab/>
        <w:t xml:space="preserve">Released:  </w:t>
      </w:r>
      <w:r w:rsidR="00E464B4">
        <w:rPr>
          <w:b/>
          <w:spacing w:val="-2"/>
        </w:rPr>
        <w:t>February 19, 2015</w:t>
      </w:r>
    </w:p>
    <w:p w:rsidR="00B055F3" w:rsidRPr="00B055F3" w:rsidRDefault="00B055F3" w:rsidP="00B055F3">
      <w:pPr>
        <w:widowControl/>
        <w:spacing w:line="226" w:lineRule="auto"/>
        <w:jc w:val="both"/>
        <w:rPr>
          <w:b/>
          <w:snapToGrid/>
          <w:kern w:val="0"/>
          <w:szCs w:val="22"/>
        </w:rPr>
      </w:pPr>
    </w:p>
    <w:p w:rsidR="00B055F3" w:rsidRPr="00B055F3" w:rsidRDefault="00B055F3" w:rsidP="00B055F3">
      <w:pPr>
        <w:widowControl/>
        <w:tabs>
          <w:tab w:val="left" w:pos="720"/>
          <w:tab w:val="left" w:pos="5760"/>
        </w:tabs>
        <w:suppressAutoHyphens/>
        <w:spacing w:line="227" w:lineRule="auto"/>
        <w:jc w:val="both"/>
        <w:rPr>
          <w:snapToGrid/>
          <w:spacing w:val="-2"/>
          <w:kern w:val="0"/>
          <w:szCs w:val="22"/>
        </w:rPr>
      </w:pPr>
      <w:r w:rsidRPr="00B055F3">
        <w:rPr>
          <w:snapToGrid/>
          <w:spacing w:val="-2"/>
          <w:kern w:val="0"/>
          <w:szCs w:val="22"/>
        </w:rPr>
        <w:t>By the</w:t>
      </w:r>
      <w:r w:rsidR="00A169D4">
        <w:rPr>
          <w:snapToGrid/>
          <w:spacing w:val="-2"/>
          <w:kern w:val="0"/>
          <w:szCs w:val="22"/>
        </w:rPr>
        <w:t xml:space="preserve"> Commission</w:t>
      </w:r>
      <w:r w:rsidRPr="00B055F3">
        <w:rPr>
          <w:snapToGrid/>
          <w:spacing w:val="-2"/>
          <w:kern w:val="0"/>
          <w:szCs w:val="22"/>
        </w:rPr>
        <w:t>:</w:t>
      </w:r>
    </w:p>
    <w:p w:rsidR="00B055F3" w:rsidRPr="00B055F3" w:rsidRDefault="00B055F3" w:rsidP="00B055F3">
      <w:pPr>
        <w:widowControl/>
        <w:tabs>
          <w:tab w:val="left" w:pos="0"/>
        </w:tabs>
        <w:suppressAutoHyphens/>
        <w:spacing w:line="240" w:lineRule="atLeast"/>
        <w:jc w:val="both"/>
        <w:rPr>
          <w:snapToGrid/>
          <w:spacing w:val="-2"/>
          <w:kern w:val="0"/>
          <w:szCs w:val="22"/>
        </w:rPr>
      </w:pPr>
    </w:p>
    <w:p w:rsidR="00E15CE6" w:rsidRPr="00E15CE6" w:rsidRDefault="00B055F3" w:rsidP="006A7876">
      <w:pPr>
        <w:pStyle w:val="ParaNum"/>
        <w:rPr>
          <w:snapToGrid/>
        </w:rPr>
      </w:pPr>
      <w:r w:rsidRPr="00B055F3">
        <w:rPr>
          <w:snapToGrid/>
        </w:rPr>
        <w:t xml:space="preserve">We impose a penalty of </w:t>
      </w:r>
      <w:r w:rsidR="00A169D4">
        <w:rPr>
          <w:snapToGrid/>
        </w:rPr>
        <w:t>$3,360,000</w:t>
      </w:r>
      <w:r w:rsidRPr="00B055F3">
        <w:rPr>
          <w:snapToGrid/>
        </w:rPr>
        <w:t xml:space="preserve"> against </w:t>
      </w:r>
      <w:r w:rsidR="00A169D4">
        <w:t>Richard Jackowitz and IT Connect, Inc. (IT Connect)</w:t>
      </w:r>
      <w:r w:rsidRPr="00B055F3">
        <w:rPr>
          <w:snapToGrid/>
        </w:rPr>
        <w:t xml:space="preserve"> for</w:t>
      </w:r>
      <w:r w:rsidR="00A169D4">
        <w:rPr>
          <w:snapToGrid/>
        </w:rPr>
        <w:t xml:space="preserve"> selling or attempting to sell 210 toll free numbers</w:t>
      </w:r>
      <w:r w:rsidR="00E941BA">
        <w:rPr>
          <w:snapToGrid/>
        </w:rPr>
        <w:t xml:space="preserve"> in violation of the Commission’s rules</w:t>
      </w:r>
      <w:r w:rsidR="00B24CAE">
        <w:rPr>
          <w:snapToGrid/>
        </w:rPr>
        <w:t>.</w:t>
      </w:r>
      <w:r w:rsidR="00E15CE6">
        <w:rPr>
          <w:snapToGrid/>
        </w:rPr>
        <w:t xml:space="preserve">  </w:t>
      </w:r>
      <w:r w:rsidR="00E15CE6">
        <w:t xml:space="preserve">We take this action to preserve the Commission’s policy that toll free numbers are public resources that are not privately owned and, therefore, cannot be sold.  The Commission is committed to eradicating these types of activities that result in the inefficient use of numbering resources and contribute to the premature exhaustion of toll free numbers.  </w:t>
      </w:r>
    </w:p>
    <w:p w:rsidR="00B055F3" w:rsidRPr="00B055F3" w:rsidRDefault="00B055F3" w:rsidP="006A7876">
      <w:pPr>
        <w:pStyle w:val="ParaNum"/>
        <w:rPr>
          <w:snapToGrid/>
        </w:rPr>
      </w:pPr>
      <w:r w:rsidRPr="00B055F3">
        <w:rPr>
          <w:snapToGrid/>
        </w:rPr>
        <w:t xml:space="preserve">On </w:t>
      </w:r>
      <w:r w:rsidR="00A169D4">
        <w:rPr>
          <w:snapToGrid/>
        </w:rPr>
        <w:t>March 26,</w:t>
      </w:r>
      <w:r w:rsidR="00B24CAE">
        <w:rPr>
          <w:snapToGrid/>
        </w:rPr>
        <w:t xml:space="preserve"> </w:t>
      </w:r>
      <w:r w:rsidR="00A169D4">
        <w:rPr>
          <w:snapToGrid/>
        </w:rPr>
        <w:t>2014</w:t>
      </w:r>
      <w:r w:rsidRPr="00B055F3">
        <w:rPr>
          <w:snapToGrid/>
        </w:rPr>
        <w:t xml:space="preserve">, the </w:t>
      </w:r>
      <w:r w:rsidR="003370C0">
        <w:rPr>
          <w:snapToGrid/>
        </w:rPr>
        <w:t xml:space="preserve">Federal Communications </w:t>
      </w:r>
      <w:r w:rsidRPr="00B055F3">
        <w:rPr>
          <w:snapToGrid/>
        </w:rPr>
        <w:t>Commission</w:t>
      </w:r>
      <w:r w:rsidR="003370C0">
        <w:rPr>
          <w:snapToGrid/>
        </w:rPr>
        <w:t xml:space="preserve"> (Commission)</w:t>
      </w:r>
      <w:r w:rsidRPr="00B055F3">
        <w:rPr>
          <w:snapToGrid/>
        </w:rPr>
        <w:t xml:space="preserve"> issued a Notice of Apparent Liability for Forfeiture (</w:t>
      </w:r>
      <w:r w:rsidRPr="00B055F3">
        <w:rPr>
          <w:i/>
          <w:snapToGrid/>
        </w:rPr>
        <w:t>NAL</w:t>
      </w:r>
      <w:r w:rsidRPr="00B055F3">
        <w:rPr>
          <w:snapToGrid/>
        </w:rPr>
        <w:t>) proposing a $</w:t>
      </w:r>
      <w:r w:rsidR="00CF4106">
        <w:rPr>
          <w:snapToGrid/>
        </w:rPr>
        <w:t>3,360,000</w:t>
      </w:r>
      <w:r w:rsidR="00CF4106" w:rsidRPr="00B055F3">
        <w:rPr>
          <w:snapToGrid/>
        </w:rPr>
        <w:t xml:space="preserve"> </w:t>
      </w:r>
      <w:r w:rsidRPr="00B055F3">
        <w:rPr>
          <w:snapToGrid/>
        </w:rPr>
        <w:t xml:space="preserve">forfeiture against </w:t>
      </w:r>
      <w:r w:rsidR="00CF4106">
        <w:rPr>
          <w:snapToGrid/>
        </w:rPr>
        <w:t>Mr. Jackowitz and IT Connect</w:t>
      </w:r>
      <w:r w:rsidRPr="00B055F3">
        <w:rPr>
          <w:snapToGrid/>
        </w:rPr>
        <w:t xml:space="preserve"> </w:t>
      </w:r>
      <w:r w:rsidRPr="00B055F3">
        <w:rPr>
          <w:snapToGrid/>
          <w:color w:val="000000"/>
        </w:rPr>
        <w:t>for willful and repeated violation</w:t>
      </w:r>
      <w:r w:rsidR="00CF4106">
        <w:rPr>
          <w:snapToGrid/>
          <w:color w:val="000000"/>
        </w:rPr>
        <w:t>s</w:t>
      </w:r>
      <w:r w:rsidRPr="00B055F3">
        <w:rPr>
          <w:snapToGrid/>
          <w:color w:val="000000"/>
        </w:rPr>
        <w:t xml:space="preserve"> of </w:t>
      </w:r>
      <w:r w:rsidR="00CF4106">
        <w:rPr>
          <w:snapToGrid/>
          <w:color w:val="000000"/>
        </w:rPr>
        <w:t>Section 52.107 of the Commission’s rules</w:t>
      </w:r>
      <w:r w:rsidRPr="00B055F3">
        <w:rPr>
          <w:snapToGrid/>
          <w:color w:val="000000"/>
        </w:rPr>
        <w:t xml:space="preserve"> by </w:t>
      </w:r>
      <w:r w:rsidR="00CF4106">
        <w:rPr>
          <w:snapToGrid/>
          <w:color w:val="000000"/>
        </w:rPr>
        <w:t>br</w:t>
      </w:r>
      <w:r w:rsidR="00147B8F">
        <w:rPr>
          <w:snapToGrid/>
          <w:color w:val="000000"/>
        </w:rPr>
        <w:t xml:space="preserve">okering 210 toll free numbers </w:t>
      </w:r>
      <w:r w:rsidR="00CF4106" w:rsidRPr="004C5AC8">
        <w:rPr>
          <w:snapToGrid/>
        </w:rPr>
        <w:t>for</w:t>
      </w:r>
      <w:r w:rsidR="00CF4106">
        <w:rPr>
          <w:snapToGrid/>
          <w:color w:val="000000"/>
        </w:rPr>
        <w:t xml:space="preserve"> prices ranging from $375 to $60,000 per number</w:t>
      </w:r>
      <w:r w:rsidRPr="00B055F3">
        <w:rPr>
          <w:i/>
          <w:snapToGrid/>
          <w:color w:val="000000"/>
        </w:rPr>
        <w:t>.</w:t>
      </w:r>
      <w:r w:rsidRPr="00B055F3">
        <w:rPr>
          <w:snapToGrid/>
          <w:vertAlign w:val="superscript"/>
        </w:rPr>
        <w:footnoteReference w:id="2"/>
      </w:r>
      <w:r w:rsidRPr="00B055F3">
        <w:rPr>
          <w:i/>
          <w:snapToGrid/>
          <w:color w:val="000000"/>
        </w:rPr>
        <w:t xml:space="preserve">  </w:t>
      </w:r>
      <w:r w:rsidR="00CF4106">
        <w:rPr>
          <w:snapToGrid/>
          <w:color w:val="000000"/>
        </w:rPr>
        <w:t xml:space="preserve">Neither Mr. Jackowitz </w:t>
      </w:r>
      <w:r w:rsidR="006F0F95">
        <w:rPr>
          <w:snapToGrid/>
          <w:color w:val="000000"/>
        </w:rPr>
        <w:t>n</w:t>
      </w:r>
      <w:r w:rsidR="00CF4106">
        <w:rPr>
          <w:snapToGrid/>
          <w:color w:val="000000"/>
        </w:rPr>
        <w:t>or IT Connect</w:t>
      </w:r>
      <w:r w:rsidRPr="00B055F3">
        <w:rPr>
          <w:snapToGrid/>
        </w:rPr>
        <w:t xml:space="preserve"> filed a</w:t>
      </w:r>
      <w:r w:rsidR="006F0F95">
        <w:rPr>
          <w:snapToGrid/>
        </w:rPr>
        <w:t xml:space="preserve"> timely</w:t>
      </w:r>
      <w:r w:rsidRPr="00B055F3">
        <w:rPr>
          <w:snapToGrid/>
        </w:rPr>
        <w:t xml:space="preserve"> response to the </w:t>
      </w:r>
      <w:r w:rsidRPr="00B055F3">
        <w:rPr>
          <w:i/>
          <w:snapToGrid/>
        </w:rPr>
        <w:t>NAL</w:t>
      </w:r>
      <w:r w:rsidRPr="00B055F3">
        <w:rPr>
          <w:snapToGrid/>
        </w:rPr>
        <w:t>.</w:t>
      </w:r>
      <w:r w:rsidR="006F0F95">
        <w:rPr>
          <w:rStyle w:val="FootnoteReference"/>
          <w:snapToGrid/>
          <w:spacing w:val="-2"/>
          <w:kern w:val="0"/>
          <w:szCs w:val="22"/>
        </w:rPr>
        <w:footnoteReference w:id="3"/>
      </w:r>
      <w:r w:rsidRPr="00B055F3">
        <w:rPr>
          <w:snapToGrid/>
        </w:rPr>
        <w:t xml:space="preserve">  Based on the information before us, we affirm the forfeiture proposed in the </w:t>
      </w:r>
      <w:r w:rsidRPr="00B055F3">
        <w:rPr>
          <w:i/>
          <w:snapToGrid/>
        </w:rPr>
        <w:t>NAL</w:t>
      </w:r>
      <w:r w:rsidRPr="00B055F3">
        <w:rPr>
          <w:snapToGrid/>
        </w:rPr>
        <w:t>.</w:t>
      </w:r>
      <w:r w:rsidR="00966A58">
        <w:rPr>
          <w:rStyle w:val="FootnoteReference"/>
          <w:snapToGrid/>
          <w:spacing w:val="-2"/>
          <w:kern w:val="0"/>
          <w:szCs w:val="22"/>
        </w:rPr>
        <w:footnoteReference w:id="4"/>
      </w:r>
    </w:p>
    <w:p w:rsidR="00B055F3" w:rsidRPr="00B055F3" w:rsidRDefault="00B055F3" w:rsidP="006A7876">
      <w:pPr>
        <w:pStyle w:val="ParaNum"/>
        <w:rPr>
          <w:snapToGrid/>
          <w:spacing w:val="-2"/>
        </w:rPr>
      </w:pPr>
      <w:r w:rsidRPr="00B055F3">
        <w:rPr>
          <w:snapToGrid/>
        </w:rPr>
        <w:t xml:space="preserve">Accordingly, </w:t>
      </w:r>
      <w:r w:rsidRPr="00B055F3">
        <w:rPr>
          <w:b/>
          <w:snapToGrid/>
        </w:rPr>
        <w:t>IT IS ORDERED</w:t>
      </w:r>
      <w:r w:rsidRPr="00B055F3">
        <w:rPr>
          <w:snapToGrid/>
        </w:rPr>
        <w:t xml:space="preserve"> that, pursuant to Section 503(b) of the Communications Act of 1934, as amended (Act)</w:t>
      </w:r>
      <w:r w:rsidRPr="00B055F3">
        <w:rPr>
          <w:snapToGrid/>
          <w:vertAlign w:val="superscript"/>
        </w:rPr>
        <w:footnoteReference w:id="5"/>
      </w:r>
      <w:r w:rsidRPr="00B055F3">
        <w:rPr>
          <w:snapToGrid/>
        </w:rPr>
        <w:t xml:space="preserve"> and Section 1.80 of the Commission’s rules (Rules),</w:t>
      </w:r>
      <w:r w:rsidRPr="00B055F3">
        <w:rPr>
          <w:snapToGrid/>
          <w:vertAlign w:val="superscript"/>
        </w:rPr>
        <w:footnoteReference w:id="6"/>
      </w:r>
      <w:r w:rsidRPr="00B055F3">
        <w:rPr>
          <w:snapToGrid/>
        </w:rPr>
        <w:t xml:space="preserve"> </w:t>
      </w:r>
      <w:r w:rsidR="006F0F95">
        <w:rPr>
          <w:snapToGrid/>
        </w:rPr>
        <w:t xml:space="preserve">Richard Jackowitz </w:t>
      </w:r>
      <w:r w:rsidR="006F0F95">
        <w:rPr>
          <w:snapToGrid/>
        </w:rPr>
        <w:lastRenderedPageBreak/>
        <w:t>and IT Connect</w:t>
      </w:r>
      <w:r w:rsidRPr="00B055F3">
        <w:rPr>
          <w:snapToGrid/>
        </w:rPr>
        <w:t xml:space="preserve"> </w:t>
      </w:r>
      <w:r w:rsidR="006F0F95">
        <w:rPr>
          <w:b/>
          <w:snapToGrid/>
        </w:rPr>
        <w:t>ARE JOINTLY AND SEVERALLY</w:t>
      </w:r>
      <w:r w:rsidRPr="00B055F3">
        <w:rPr>
          <w:b/>
          <w:snapToGrid/>
        </w:rPr>
        <w:t xml:space="preserve"> LIABLE FOR A MONETARY FORFEITURE</w:t>
      </w:r>
      <w:r w:rsidRPr="00B055F3">
        <w:rPr>
          <w:snapToGrid/>
        </w:rPr>
        <w:t xml:space="preserve"> in the amount of </w:t>
      </w:r>
      <w:r w:rsidR="00147B8F" w:rsidRPr="00450AB6">
        <w:rPr>
          <w:lang w:eastAsia="x-none"/>
        </w:rPr>
        <w:t>three million three hundred sixty thousand dollars</w:t>
      </w:r>
      <w:r w:rsidR="00147B8F" w:rsidRPr="00450AB6">
        <w:rPr>
          <w:lang w:val="x-none" w:eastAsia="x-none"/>
        </w:rPr>
        <w:t xml:space="preserve"> ($</w:t>
      </w:r>
      <w:r w:rsidR="00147B8F" w:rsidRPr="00450AB6">
        <w:rPr>
          <w:lang w:eastAsia="x-none"/>
        </w:rPr>
        <w:t>3,36</w:t>
      </w:r>
      <w:r w:rsidR="00147B8F" w:rsidRPr="00450AB6">
        <w:rPr>
          <w:lang w:val="x-none" w:eastAsia="x-none"/>
        </w:rPr>
        <w:t>0,000)</w:t>
      </w:r>
      <w:r w:rsidR="00147B8F">
        <w:rPr>
          <w:lang w:eastAsia="x-none"/>
        </w:rPr>
        <w:t xml:space="preserve"> </w:t>
      </w:r>
      <w:r w:rsidR="00587F30">
        <w:rPr>
          <w:snapToGrid/>
        </w:rPr>
        <w:t xml:space="preserve">for willfully </w:t>
      </w:r>
      <w:r w:rsidR="00147B8F">
        <w:rPr>
          <w:snapToGrid/>
        </w:rPr>
        <w:t>and repeatedly</w:t>
      </w:r>
      <w:r w:rsidRPr="00B055F3">
        <w:rPr>
          <w:snapToGrid/>
        </w:rPr>
        <w:t xml:space="preserve"> violating </w:t>
      </w:r>
      <w:r w:rsidR="00147B8F">
        <w:rPr>
          <w:snapToGrid/>
        </w:rPr>
        <w:t xml:space="preserve">Section 52.107 of </w:t>
      </w:r>
      <w:r w:rsidR="00147B8F" w:rsidRPr="004C5AC8">
        <w:rPr>
          <w:snapToGrid/>
          <w:spacing w:val="-2"/>
        </w:rPr>
        <w:t>the</w:t>
      </w:r>
      <w:r w:rsidR="00147B8F">
        <w:rPr>
          <w:snapToGrid/>
        </w:rPr>
        <w:t xml:space="preserve"> </w:t>
      </w:r>
      <w:r w:rsidRPr="00B055F3">
        <w:rPr>
          <w:snapToGrid/>
        </w:rPr>
        <w:t>Rules.</w:t>
      </w:r>
      <w:r w:rsidRPr="00B055F3">
        <w:rPr>
          <w:snapToGrid/>
          <w:vertAlign w:val="superscript"/>
        </w:rPr>
        <w:footnoteReference w:id="7"/>
      </w:r>
      <w:r w:rsidR="003B7EAA">
        <w:rPr>
          <w:snapToGrid/>
        </w:rPr>
        <w:t xml:space="preserve"> </w:t>
      </w:r>
    </w:p>
    <w:p w:rsidR="00B055F3" w:rsidRPr="00B055F3" w:rsidRDefault="00B055F3" w:rsidP="006A7876">
      <w:pPr>
        <w:pStyle w:val="ParaNum"/>
        <w:rPr>
          <w:snapToGrid/>
          <w:spacing w:val="-2"/>
        </w:rPr>
      </w:pPr>
      <w:r w:rsidRPr="00B055F3">
        <w:rPr>
          <w:snapToGrid/>
        </w:rPr>
        <w:t>Payment of the forfeiture shall be made in the manner provided for in Section 1.80 of the Rules within thirty (30) calendar days after the release date of this Forfeiture Order.</w:t>
      </w:r>
      <w:r w:rsidRPr="00B055F3">
        <w:rPr>
          <w:snapToGrid/>
          <w:vertAlign w:val="superscript"/>
        </w:rPr>
        <w:footnoteReference w:id="8"/>
      </w:r>
      <w:r w:rsidRPr="00B055F3">
        <w:rPr>
          <w:snapToGrid/>
        </w:rPr>
        <w:t xml:space="preserve">  If the forfeiture is not paid within the period specified, the case may be referred to the U.S. Department of Justice for enforcement of the forfeiture pursuant to Section 504(a) of the Act.</w:t>
      </w:r>
      <w:r w:rsidRPr="00B055F3">
        <w:rPr>
          <w:snapToGrid/>
          <w:vertAlign w:val="superscript"/>
        </w:rPr>
        <w:footnoteReference w:id="9"/>
      </w:r>
      <w:r w:rsidRPr="00B055F3">
        <w:rPr>
          <w:snapToGrid/>
        </w:rPr>
        <w:t xml:space="preserve">  </w:t>
      </w:r>
    </w:p>
    <w:p w:rsidR="00B055F3" w:rsidRPr="00B055F3" w:rsidRDefault="00B055F3" w:rsidP="006A7876">
      <w:pPr>
        <w:pStyle w:val="ParaNum"/>
        <w:rPr>
          <w:snapToGrid/>
          <w:spacing w:val="-2"/>
        </w:rPr>
      </w:pPr>
      <w:r w:rsidRPr="00B055F3">
        <w:rPr>
          <w:snapToGrid/>
        </w:rPr>
        <w:t xml:space="preserve">Payment of the forfeiture must be made by check or similar instrument, wire transfer, or credit card, and must include the NAL/Account Number and FRN referenced above.  </w:t>
      </w:r>
      <w:r w:rsidR="00147B8F">
        <w:rPr>
          <w:snapToGrid/>
        </w:rPr>
        <w:t>Mr. Richard Jackowitz</w:t>
      </w:r>
      <w:r w:rsidRPr="00B055F3">
        <w:rPr>
          <w:snapToGrid/>
        </w:rPr>
        <w:t xml:space="preserve"> </w:t>
      </w:r>
      <w:r w:rsidR="00147B8F">
        <w:rPr>
          <w:snapToGrid/>
        </w:rPr>
        <w:t xml:space="preserve">and/or IT Connect </w:t>
      </w:r>
      <w:r w:rsidRPr="00B055F3">
        <w:rPr>
          <w:snapToGrid/>
        </w:rPr>
        <w:t xml:space="preserve">shall send electronic notification of </w:t>
      </w:r>
      <w:r w:rsidR="00147B8F">
        <w:rPr>
          <w:snapToGrid/>
        </w:rPr>
        <w:t>payment to Johnny Drake at Johnny.Drake</w:t>
      </w:r>
      <w:r w:rsidRPr="00B055F3">
        <w:rPr>
          <w:snapToGrid/>
        </w:rPr>
        <w:t>@fcc.gov on the date said payment is made.  Regardless of the form of payment, a completed FCC Form 159 (Remittance Advice) must be submitted.</w:t>
      </w:r>
      <w:r w:rsidRPr="00B055F3">
        <w:rPr>
          <w:snapToGrid/>
          <w:vertAlign w:val="superscript"/>
        </w:rPr>
        <w:footnoteReference w:id="10"/>
      </w:r>
      <w:r w:rsidRPr="00B055F3">
        <w:rPr>
          <w:snapToGrid/>
        </w:rPr>
        <w:t xml:space="preserve">  When completing the Form 159, enter the Account Number in block number 23A (call sign/other ID) and enter the letters “FORF” in block number 24A (payment type code).  Below are additional instructions that should be followed based on the form of payment selected:</w:t>
      </w:r>
    </w:p>
    <w:p w:rsidR="00B055F3" w:rsidRPr="00B055F3" w:rsidRDefault="00B055F3" w:rsidP="00B055F3">
      <w:pPr>
        <w:widowControl/>
        <w:numPr>
          <w:ilvl w:val="0"/>
          <w:numId w:val="10"/>
        </w:numPr>
        <w:spacing w:after="120"/>
        <w:rPr>
          <w:szCs w:val="22"/>
        </w:rPr>
      </w:pPr>
      <w:r w:rsidRPr="00B055F3">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B055F3">
        <w:rPr>
          <w:szCs w:val="22"/>
        </w:rPr>
        <w:noBreakHyphen/>
        <w:t>MO-C2-GL, 1005 Convention Plaza, St. Louis, MO 63101.</w:t>
      </w:r>
    </w:p>
    <w:p w:rsidR="00B055F3" w:rsidRPr="00B055F3" w:rsidRDefault="00B055F3" w:rsidP="00B055F3">
      <w:pPr>
        <w:widowControl/>
        <w:numPr>
          <w:ilvl w:val="0"/>
          <w:numId w:val="10"/>
        </w:numPr>
        <w:spacing w:after="120"/>
        <w:rPr>
          <w:szCs w:val="22"/>
        </w:rPr>
      </w:pPr>
      <w:r w:rsidRPr="00B055F3">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B055F3" w:rsidRPr="00B055F3" w:rsidRDefault="00B055F3" w:rsidP="00B055F3">
      <w:pPr>
        <w:widowControl/>
        <w:numPr>
          <w:ilvl w:val="0"/>
          <w:numId w:val="10"/>
        </w:numPr>
        <w:spacing w:after="120"/>
        <w:ind w:left="1267"/>
        <w:rPr>
          <w:sz w:val="20"/>
        </w:rPr>
      </w:pPr>
      <w:r w:rsidRPr="00B055F3">
        <w:rPr>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CF2F75" w:rsidRPr="00E464B4" w:rsidRDefault="00B055F3" w:rsidP="006A7876">
      <w:pPr>
        <w:pStyle w:val="ParaNum"/>
        <w:rPr>
          <w:szCs w:val="22"/>
        </w:rPr>
      </w:pPr>
      <w:r w:rsidRPr="00B055F3">
        <w:t>Any request for making full payment over time under an installment plan should be sent to:  Chief Financial Officer – Financial Operations, Federal Communications Commission, 445 12th Street, SW, Room 1</w:t>
      </w:r>
      <w:r w:rsidRPr="00B055F3">
        <w:noBreakHyphen/>
        <w:t>A625, Washington, D.C. 20554.</w:t>
      </w:r>
      <w:r w:rsidRPr="00B055F3">
        <w:rPr>
          <w:vertAlign w:val="superscript"/>
        </w:rPr>
        <w:footnoteReference w:id="11"/>
      </w:r>
      <w:r w:rsidRPr="00B055F3">
        <w:t xml:space="preserve">  Questions regarding payment procedures should be directed to the Financial Operations Group Help Desk by telephone, 1-877-480-3201, or by e-mail, </w:t>
      </w:r>
      <w:r w:rsidR="00F73BE4" w:rsidRPr="004C5AC8">
        <w:t>ARINQUIRIES@fcc.gov</w:t>
      </w:r>
      <w:r w:rsidRPr="00B055F3">
        <w:t>.</w:t>
      </w:r>
    </w:p>
    <w:p w:rsidR="00292461" w:rsidRDefault="00292461" w:rsidP="00292461">
      <w:pPr>
        <w:pStyle w:val="ParaNum"/>
        <w:rPr>
          <w:b/>
        </w:rPr>
        <w:sectPr w:rsidR="0029246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147B8F" w:rsidRPr="00B055F3" w:rsidRDefault="00B055F3" w:rsidP="006A7876">
      <w:pPr>
        <w:pStyle w:val="ParaNum"/>
      </w:pPr>
      <w:r w:rsidRPr="00B055F3">
        <w:rPr>
          <w:b/>
        </w:rPr>
        <w:t>IT IS FURTHER ORDERED</w:t>
      </w:r>
      <w:r w:rsidRPr="00B055F3">
        <w:t xml:space="preserve"> that a copy of this Forfeiture Order </w:t>
      </w:r>
      <w:r w:rsidRPr="00B055F3">
        <w:rPr>
          <w:color w:val="000000"/>
        </w:rPr>
        <w:t xml:space="preserve">shall be sent by first class mail and certified mail, return receipt requested, to </w:t>
      </w:r>
      <w:r w:rsidR="00147B8F" w:rsidRPr="00147B8F">
        <w:rPr>
          <w:lang w:eastAsia="x-none"/>
        </w:rPr>
        <w:t xml:space="preserve">Mr. </w:t>
      </w:r>
      <w:r w:rsidR="00147B8F" w:rsidRPr="00147B8F">
        <w:t>Richard</w:t>
      </w:r>
      <w:r w:rsidR="00147B8F" w:rsidRPr="00147B8F">
        <w:rPr>
          <w:lang w:eastAsia="x-none"/>
        </w:rPr>
        <w:t xml:space="preserve"> Jackowitz, </w:t>
      </w:r>
      <w:r w:rsidR="00147B8F" w:rsidRPr="00147B8F">
        <w:rPr>
          <w:lang w:val="x-none" w:eastAsia="x-none"/>
        </w:rPr>
        <w:t>IT Connect, Inc., 314 Route 94, Suite 2, South Warwick, NY 10990, and to Mr. Richard Jackowitz, 10 Knollcroft Terrace, Warwick, NY 10990-2929</w:t>
      </w:r>
      <w:r w:rsidR="008303DA">
        <w:rPr>
          <w:lang w:eastAsia="x-none"/>
        </w:rPr>
        <w:t>.</w:t>
      </w:r>
    </w:p>
    <w:p w:rsidR="00B055F3" w:rsidRPr="00B055F3" w:rsidRDefault="00B055F3" w:rsidP="00B055F3">
      <w:pPr>
        <w:widowControl/>
        <w:rPr>
          <w:snapToGrid/>
          <w:kern w:val="0"/>
          <w:szCs w:val="22"/>
        </w:rPr>
      </w:pPr>
    </w:p>
    <w:p w:rsidR="00B055F3" w:rsidRPr="00B055F3" w:rsidRDefault="00B055F3" w:rsidP="00B055F3">
      <w:pPr>
        <w:widowControl/>
        <w:rPr>
          <w:snapToGrid/>
          <w:kern w:val="0"/>
          <w:szCs w:val="22"/>
        </w:rPr>
      </w:pPr>
    </w:p>
    <w:p w:rsidR="00B055F3" w:rsidRPr="00B055F3" w:rsidRDefault="00B055F3" w:rsidP="00B055F3">
      <w:pPr>
        <w:widowControl/>
        <w:ind w:left="4410"/>
        <w:rPr>
          <w:snapToGrid/>
          <w:kern w:val="0"/>
        </w:rPr>
      </w:pPr>
      <w:r w:rsidRPr="00B055F3">
        <w:rPr>
          <w:snapToGrid/>
          <w:kern w:val="0"/>
        </w:rPr>
        <w:t>FEDERAL COMMUNICATIONS COMMISSION</w:t>
      </w:r>
    </w:p>
    <w:p w:rsidR="00B055F3" w:rsidRPr="00B055F3" w:rsidRDefault="00B055F3" w:rsidP="00B055F3">
      <w:pPr>
        <w:widowControl/>
        <w:ind w:left="4410"/>
        <w:rPr>
          <w:snapToGrid/>
          <w:kern w:val="0"/>
          <w:szCs w:val="22"/>
        </w:rPr>
      </w:pPr>
    </w:p>
    <w:p w:rsidR="00B055F3" w:rsidRDefault="00B055F3" w:rsidP="00B055F3">
      <w:pPr>
        <w:widowControl/>
        <w:ind w:left="4410"/>
        <w:rPr>
          <w:snapToGrid/>
          <w:kern w:val="0"/>
          <w:szCs w:val="22"/>
        </w:rPr>
      </w:pPr>
    </w:p>
    <w:p w:rsidR="005B0F98" w:rsidRPr="00B055F3" w:rsidRDefault="005B0F98" w:rsidP="00B055F3">
      <w:pPr>
        <w:widowControl/>
        <w:ind w:left="4410"/>
        <w:rPr>
          <w:snapToGrid/>
          <w:kern w:val="0"/>
          <w:szCs w:val="22"/>
        </w:rPr>
      </w:pPr>
    </w:p>
    <w:p w:rsidR="00B055F3" w:rsidRPr="00B055F3" w:rsidRDefault="00B055F3" w:rsidP="00B055F3">
      <w:pPr>
        <w:widowControl/>
        <w:ind w:left="4410"/>
        <w:rPr>
          <w:snapToGrid/>
          <w:kern w:val="0"/>
          <w:szCs w:val="22"/>
        </w:rPr>
      </w:pPr>
    </w:p>
    <w:p w:rsidR="00B055F3" w:rsidRPr="00B055F3" w:rsidRDefault="00B055F3" w:rsidP="00B055F3">
      <w:pPr>
        <w:widowControl/>
        <w:ind w:left="4410"/>
        <w:rPr>
          <w:snapToGrid/>
          <w:kern w:val="0"/>
          <w:szCs w:val="22"/>
        </w:rPr>
      </w:pPr>
      <w:r w:rsidRPr="00B055F3">
        <w:rPr>
          <w:snapToGrid/>
          <w:kern w:val="0"/>
          <w:szCs w:val="22"/>
        </w:rPr>
        <w:t>Marlene H. Dortch</w:t>
      </w:r>
    </w:p>
    <w:p w:rsidR="002C00E8" w:rsidRPr="002C00E8" w:rsidRDefault="00B055F3" w:rsidP="006A7876">
      <w:pPr>
        <w:widowControl/>
        <w:ind w:left="4410"/>
      </w:pPr>
      <w:r w:rsidRPr="00B055F3">
        <w:rPr>
          <w:snapToGrid/>
          <w:kern w:val="0"/>
          <w:szCs w:val="22"/>
        </w:rPr>
        <w:t>Secretary</w:t>
      </w:r>
    </w:p>
    <w:sectPr w:rsidR="002C00E8" w:rsidRPr="002C00E8" w:rsidSect="000E1DF9">
      <w:footerReference w:type="first" r:id="rId14"/>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05" w:rsidRDefault="00022F05">
      <w:pPr>
        <w:spacing w:line="20" w:lineRule="exact"/>
      </w:pPr>
    </w:p>
  </w:endnote>
  <w:endnote w:type="continuationSeparator" w:id="0">
    <w:p w:rsidR="00022F05" w:rsidRDefault="00022F05">
      <w:r>
        <w:t xml:space="preserve"> </w:t>
      </w:r>
    </w:p>
  </w:endnote>
  <w:endnote w:type="continuationNotice" w:id="1">
    <w:p w:rsidR="00022F05" w:rsidRDefault="00022F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6036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0E1DF9">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79402"/>
      <w:docPartObj>
        <w:docPartGallery w:val="Page Numbers (Bottom of Page)"/>
        <w:docPartUnique/>
      </w:docPartObj>
    </w:sdtPr>
    <w:sdtEndPr>
      <w:rPr>
        <w:noProof/>
      </w:rPr>
    </w:sdtEndPr>
    <w:sdtContent>
      <w:p w:rsidR="004C284C" w:rsidRDefault="004C284C" w:rsidP="000E1DF9">
        <w:pPr>
          <w:pStyle w:val="Footer"/>
          <w:jc w:val="center"/>
        </w:pPr>
        <w:r>
          <w:fldChar w:fldCharType="begin"/>
        </w:r>
        <w:r>
          <w:instrText xml:space="preserve"> PAGE   \* MERGEFORMAT </w:instrText>
        </w:r>
        <w:r>
          <w:fldChar w:fldCharType="separate"/>
        </w:r>
        <w:r w:rsidR="00960369">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05" w:rsidRDefault="00022F05">
      <w:r>
        <w:separator/>
      </w:r>
    </w:p>
  </w:footnote>
  <w:footnote w:type="continuationSeparator" w:id="0">
    <w:p w:rsidR="00022F05" w:rsidRDefault="00022F05" w:rsidP="00C721AC">
      <w:pPr>
        <w:spacing w:before="120"/>
        <w:rPr>
          <w:sz w:val="20"/>
        </w:rPr>
      </w:pPr>
      <w:r>
        <w:rPr>
          <w:sz w:val="20"/>
        </w:rPr>
        <w:t xml:space="preserve">(Continued from previous page)  </w:t>
      </w:r>
      <w:r>
        <w:rPr>
          <w:sz w:val="20"/>
        </w:rPr>
        <w:separator/>
      </w:r>
    </w:p>
  </w:footnote>
  <w:footnote w:type="continuationNotice" w:id="1">
    <w:p w:rsidR="00022F05" w:rsidRDefault="00022F05" w:rsidP="00C721AC">
      <w:pPr>
        <w:jc w:val="right"/>
        <w:rPr>
          <w:sz w:val="20"/>
        </w:rPr>
      </w:pPr>
      <w:r>
        <w:rPr>
          <w:sz w:val="20"/>
        </w:rPr>
        <w:t>(continued….)</w:t>
      </w:r>
    </w:p>
  </w:footnote>
  <w:footnote w:id="2">
    <w:p w:rsidR="00B055F3" w:rsidRDefault="00B055F3" w:rsidP="00B055F3">
      <w:pPr>
        <w:pStyle w:val="FootnoteText"/>
      </w:pPr>
      <w:r>
        <w:rPr>
          <w:rStyle w:val="FootnoteReference"/>
        </w:rPr>
        <w:footnoteRef/>
      </w:r>
      <w:r>
        <w:t xml:space="preserve"> </w:t>
      </w:r>
      <w:r w:rsidRPr="00140ABB">
        <w:rPr>
          <w:iCs/>
          <w:color w:val="000000"/>
        </w:rPr>
        <w:t xml:space="preserve">The </w:t>
      </w:r>
      <w:r w:rsidRPr="00140ABB">
        <w:rPr>
          <w:i/>
          <w:iCs/>
          <w:color w:val="000000"/>
        </w:rPr>
        <w:t>NAL</w:t>
      </w:r>
      <w:r w:rsidRPr="00140ABB">
        <w:rPr>
          <w:iCs/>
          <w:color w:val="000000"/>
        </w:rPr>
        <w:t xml:space="preserve"> includes a more complete discussion of the facts and history of this case and is incorporated herein by reference.</w:t>
      </w:r>
      <w:r w:rsidRPr="00140ABB">
        <w:t xml:space="preserve">  </w:t>
      </w:r>
      <w:r w:rsidR="00B24CAE">
        <w:rPr>
          <w:i/>
          <w:snapToGrid w:val="0"/>
        </w:rPr>
        <w:t>Richard Jackowitz and IT Connect, Inc.</w:t>
      </w:r>
      <w:r w:rsidR="00B24CAE">
        <w:rPr>
          <w:snapToGrid w:val="0"/>
        </w:rPr>
        <w:t xml:space="preserve">, </w:t>
      </w:r>
      <w:r>
        <w:t xml:space="preserve">Notice of Apparent Liability for Forfeiture, </w:t>
      </w:r>
      <w:r w:rsidR="00B24CAE">
        <w:t>29</w:t>
      </w:r>
      <w:r w:rsidRPr="0007571D">
        <w:t xml:space="preserve"> FCC Rcd </w:t>
      </w:r>
      <w:r w:rsidR="00B24CAE">
        <w:t>3318</w:t>
      </w:r>
      <w:r>
        <w:t xml:space="preserve"> (</w:t>
      </w:r>
      <w:r w:rsidR="00B24CAE">
        <w:t>2014</w:t>
      </w:r>
      <w:r>
        <w:t>)</w:t>
      </w:r>
      <w:r w:rsidR="002811E0">
        <w:t xml:space="preserve"> (</w:t>
      </w:r>
      <w:r w:rsidR="002811E0" w:rsidRPr="009A64C8">
        <w:rPr>
          <w:i/>
        </w:rPr>
        <w:t>NAL</w:t>
      </w:r>
      <w:r w:rsidR="002811E0">
        <w:t>)</w:t>
      </w:r>
      <w:r>
        <w:t xml:space="preserve">; </w:t>
      </w:r>
      <w:r w:rsidR="00A72430">
        <w:rPr>
          <w:i/>
        </w:rPr>
        <w:t>s</w:t>
      </w:r>
      <w:r w:rsidR="00587F30" w:rsidRPr="00587F30">
        <w:rPr>
          <w:i/>
        </w:rPr>
        <w:t>ee</w:t>
      </w:r>
      <w:r w:rsidR="00A72430">
        <w:rPr>
          <w:i/>
        </w:rPr>
        <w:t xml:space="preserve"> also</w:t>
      </w:r>
      <w:r w:rsidR="00587F30">
        <w:t xml:space="preserve"> </w:t>
      </w:r>
      <w:r w:rsidR="00B24CAE">
        <w:rPr>
          <w:snapToGrid w:val="0"/>
        </w:rPr>
        <w:t>47 C.F.R. § 52.107</w:t>
      </w:r>
    </w:p>
  </w:footnote>
  <w:footnote w:id="3">
    <w:p w:rsidR="006F0F95" w:rsidRDefault="006F0F95">
      <w:pPr>
        <w:pStyle w:val="FootnoteText"/>
      </w:pPr>
      <w:r>
        <w:rPr>
          <w:rStyle w:val="FootnoteReference"/>
        </w:rPr>
        <w:footnoteRef/>
      </w:r>
      <w:r>
        <w:t xml:space="preserve"> </w:t>
      </w:r>
      <w:r w:rsidR="007F31EA">
        <w:t xml:space="preserve">Mr. Jackowitz </w:t>
      </w:r>
      <w:r w:rsidR="00E941BA">
        <w:t xml:space="preserve">failed to file a timely response to the </w:t>
      </w:r>
      <w:r w:rsidR="00E941BA">
        <w:rPr>
          <w:i/>
        </w:rPr>
        <w:t xml:space="preserve">NAL </w:t>
      </w:r>
      <w:r w:rsidR="00E941BA">
        <w:t>or request</w:t>
      </w:r>
      <w:r w:rsidR="001178EF">
        <w:t xml:space="preserve"> an </w:t>
      </w:r>
      <w:r w:rsidR="007F31EA">
        <w:t xml:space="preserve">extension of time to respond to the </w:t>
      </w:r>
      <w:r w:rsidR="007F31EA" w:rsidRPr="006354FC">
        <w:rPr>
          <w:i/>
        </w:rPr>
        <w:t>NAL</w:t>
      </w:r>
      <w:r w:rsidR="001178EF">
        <w:t xml:space="preserve">.  </w:t>
      </w:r>
      <w:r w:rsidR="00A054E9">
        <w:rPr>
          <w:i/>
        </w:rPr>
        <w:t>Cf.</w:t>
      </w:r>
      <w:r w:rsidR="007F31EA">
        <w:t xml:space="preserve"> 47 C.F.R. § 1.46</w:t>
      </w:r>
      <w:r w:rsidR="003370C0">
        <w:t xml:space="preserve"> (stating that it is Commission policy “that extensions of time shall not be routinely granted</w:t>
      </w:r>
      <w:r w:rsidR="00A054E9">
        <w:t>.</w:t>
      </w:r>
      <w:r w:rsidR="003370C0">
        <w:t>”)</w:t>
      </w:r>
      <w:r w:rsidR="007F31EA" w:rsidRPr="00344C0B">
        <w:t>.</w:t>
      </w:r>
      <w:r w:rsidR="007F31EA">
        <w:t xml:space="preserve">  Nonetheless, o</w:t>
      </w:r>
      <w:r w:rsidR="009B10B3">
        <w:t>n July 21, 2014</w:t>
      </w:r>
      <w:r w:rsidR="00E941BA">
        <w:t xml:space="preserve"> (approximately</w:t>
      </w:r>
      <w:r w:rsidR="002811E0">
        <w:t xml:space="preserve"> three</w:t>
      </w:r>
      <w:r w:rsidR="00E941BA">
        <w:t xml:space="preserve"> months after the filing deadline)</w:t>
      </w:r>
      <w:r w:rsidR="009B10B3">
        <w:t xml:space="preserve">, </w:t>
      </w:r>
      <w:r w:rsidR="003E2839">
        <w:t xml:space="preserve">Mr. Jackowitz sent an e-mail </w:t>
      </w:r>
      <w:r w:rsidR="00124693">
        <w:t xml:space="preserve">response </w:t>
      </w:r>
      <w:r w:rsidR="003E2839">
        <w:t xml:space="preserve">to the </w:t>
      </w:r>
      <w:r w:rsidR="003E2839" w:rsidRPr="009B10B3">
        <w:rPr>
          <w:i/>
        </w:rPr>
        <w:t>NAL</w:t>
      </w:r>
      <w:r w:rsidR="003E2839">
        <w:t>.</w:t>
      </w:r>
      <w:r w:rsidR="007F31EA">
        <w:t xml:space="preserve">  </w:t>
      </w:r>
      <w:r w:rsidR="007F31EA" w:rsidRPr="000B4B73">
        <w:rPr>
          <w:i/>
        </w:rPr>
        <w:t>See</w:t>
      </w:r>
      <w:r w:rsidR="007F31EA">
        <w:t xml:space="preserve"> </w:t>
      </w:r>
      <w:r w:rsidR="000B4B73">
        <w:t>E-mail from Richard Jackowitz to Sarah Citrin, Assistant Div</w:t>
      </w:r>
      <w:r w:rsidR="000B6A3C">
        <w:t xml:space="preserve">ision Chief, Telecommunications </w:t>
      </w:r>
      <w:r w:rsidR="000B4B73">
        <w:t xml:space="preserve">Consumers Division, FCC Enforcement Bureau (July 21, 2014, 19:26 EDT) </w:t>
      </w:r>
      <w:r w:rsidR="007F31EA">
        <w:t>(July 21 E-mail).</w:t>
      </w:r>
      <w:r w:rsidR="003E2839">
        <w:t xml:space="preserve"> </w:t>
      </w:r>
      <w:r w:rsidR="006354FC">
        <w:t xml:space="preserve"> </w:t>
      </w:r>
      <w:r w:rsidR="00124693">
        <w:t>W</w:t>
      </w:r>
      <w:r w:rsidR="00FD6A7B">
        <w:t>e</w:t>
      </w:r>
      <w:r w:rsidR="003E2839">
        <w:t xml:space="preserve"> reject </w:t>
      </w:r>
      <w:r w:rsidR="00124693">
        <w:t xml:space="preserve">Mr. Jackowitz e-mail response to the </w:t>
      </w:r>
      <w:r w:rsidR="00124693">
        <w:rPr>
          <w:i/>
        </w:rPr>
        <w:t xml:space="preserve">NAL </w:t>
      </w:r>
      <w:r w:rsidR="009B10B3">
        <w:t xml:space="preserve">as untimely.  </w:t>
      </w:r>
      <w:r w:rsidR="003E2839">
        <w:t xml:space="preserve">Moreover, </w:t>
      </w:r>
      <w:r w:rsidR="00FD6A7B">
        <w:t>even if the</w:t>
      </w:r>
      <w:r w:rsidR="009B10B3">
        <w:t xml:space="preserve"> July 21 E</w:t>
      </w:r>
      <w:r w:rsidR="003E2839">
        <w:t xml:space="preserve">-mail </w:t>
      </w:r>
      <w:r w:rsidR="00FD6A7B">
        <w:t>had been timely, it is meritless—</w:t>
      </w:r>
      <w:r w:rsidR="004B2C67">
        <w:t>Mr. Jackowitz contested certain facts in the NAL (</w:t>
      </w:r>
      <w:r w:rsidR="004B2C67" w:rsidRPr="008C680A">
        <w:rPr>
          <w:i/>
        </w:rPr>
        <w:t>e.g</w:t>
      </w:r>
      <w:r w:rsidR="004B2C67">
        <w:t xml:space="preserve">., that he returned certain monies for numbers he could not procure, and that he sold a certain number for less than the NAL stated), but he provided no documentary or other reliable support for his claims, and, in any event, acknowledged that he did, in fact, sell toll-free numbers.  As a result, Mr. Jackowitz </w:t>
      </w:r>
      <w:r w:rsidR="003E2839">
        <w:t xml:space="preserve">did not </w:t>
      </w:r>
      <w:r w:rsidR="004B2C67">
        <w:t xml:space="preserve">offer </w:t>
      </w:r>
      <w:r w:rsidR="003E2839">
        <w:t xml:space="preserve">any </w:t>
      </w:r>
      <w:r w:rsidR="004B2C67">
        <w:t xml:space="preserve">credible </w:t>
      </w:r>
      <w:r w:rsidR="003E2839">
        <w:t xml:space="preserve">evidence or arguments in response to the </w:t>
      </w:r>
      <w:r w:rsidR="003E2839" w:rsidRPr="009B10B3">
        <w:rPr>
          <w:i/>
        </w:rPr>
        <w:t>NAL</w:t>
      </w:r>
      <w:r w:rsidR="00FD6A7B">
        <w:t xml:space="preserve">, did not </w:t>
      </w:r>
      <w:r w:rsidR="004B2C67">
        <w:t xml:space="preserve">contest </w:t>
      </w:r>
      <w:r w:rsidR="00FD6A7B">
        <w:t xml:space="preserve">the underlying violations, and did not </w:t>
      </w:r>
      <w:r w:rsidR="004B2C67">
        <w:t>argue</w:t>
      </w:r>
      <w:r w:rsidR="00FD6A7B">
        <w:t xml:space="preserve"> that the forfeiture should be reduced or cancelled.</w:t>
      </w:r>
      <w:r w:rsidR="004B2C67">
        <w:t xml:space="preserve">  </w:t>
      </w:r>
    </w:p>
  </w:footnote>
  <w:footnote w:id="4">
    <w:p w:rsidR="00966A58" w:rsidRDefault="00966A58">
      <w:pPr>
        <w:pStyle w:val="FootnoteText"/>
      </w:pPr>
      <w:r>
        <w:rPr>
          <w:rStyle w:val="FootnoteReference"/>
        </w:rPr>
        <w:footnoteRef/>
      </w:r>
      <w:r>
        <w:t xml:space="preserve"> On May 7, 2013, the Commission imposed a $240,000 forfeiture against Mr. Jackowitz and IT Connect, Inc. for similar brokering violations</w:t>
      </w:r>
      <w:r w:rsidR="002811E0">
        <w:t xml:space="preserve">.  </w:t>
      </w:r>
      <w:r w:rsidR="002811E0">
        <w:rPr>
          <w:i/>
          <w:snapToGrid w:val="0"/>
        </w:rPr>
        <w:t>Richard Jackowitz and IT Connect, Inc.</w:t>
      </w:r>
      <w:r w:rsidR="002811E0">
        <w:rPr>
          <w:snapToGrid w:val="0"/>
        </w:rPr>
        <w:t xml:space="preserve">, </w:t>
      </w:r>
      <w:r w:rsidR="002811E0">
        <w:t>Forfeiture Order, 28</w:t>
      </w:r>
      <w:r w:rsidR="002811E0" w:rsidRPr="0007571D">
        <w:t xml:space="preserve"> FCC Rcd </w:t>
      </w:r>
      <w:r w:rsidR="002811E0">
        <w:t>6692 (2013).</w:t>
      </w:r>
    </w:p>
  </w:footnote>
  <w:footnote w:id="5">
    <w:p w:rsidR="00B055F3" w:rsidRPr="00344C0B" w:rsidRDefault="00B055F3" w:rsidP="00B055F3">
      <w:pPr>
        <w:pStyle w:val="FootnoteText"/>
      </w:pPr>
      <w:r w:rsidRPr="00344C0B">
        <w:rPr>
          <w:rStyle w:val="FootnoteReference"/>
        </w:rPr>
        <w:footnoteRef/>
      </w:r>
      <w:r w:rsidRPr="00344C0B">
        <w:t xml:space="preserve"> 47 U.S.C. § 503(b).</w:t>
      </w:r>
    </w:p>
  </w:footnote>
  <w:footnote w:id="6">
    <w:p w:rsidR="00B055F3" w:rsidRPr="00344C0B" w:rsidRDefault="00B055F3" w:rsidP="00B055F3">
      <w:pPr>
        <w:pStyle w:val="FootnoteText"/>
      </w:pPr>
      <w:r w:rsidRPr="00344C0B">
        <w:rPr>
          <w:rStyle w:val="FootnoteReference"/>
        </w:rPr>
        <w:footnoteRef/>
      </w:r>
      <w:r w:rsidRPr="00344C0B">
        <w:t xml:space="preserve"> 47 C.F.R. § 1.80.</w:t>
      </w:r>
    </w:p>
  </w:footnote>
  <w:footnote w:id="7">
    <w:p w:rsidR="00B055F3" w:rsidRDefault="00B055F3" w:rsidP="00B055F3">
      <w:pPr>
        <w:pStyle w:val="FootnoteText"/>
      </w:pPr>
      <w:r>
        <w:rPr>
          <w:rStyle w:val="FootnoteReference"/>
        </w:rPr>
        <w:footnoteRef/>
      </w:r>
      <w:r>
        <w:t xml:space="preserve"> </w:t>
      </w:r>
      <w:r w:rsidR="00147B8F" w:rsidRPr="00344C0B">
        <w:t xml:space="preserve">47 C.F.R. § </w:t>
      </w:r>
      <w:r w:rsidR="00147B8F">
        <w:t>52.107</w:t>
      </w:r>
      <w:r w:rsidR="00147B8F" w:rsidRPr="00344C0B">
        <w:t>.</w:t>
      </w:r>
    </w:p>
  </w:footnote>
  <w:footnote w:id="8">
    <w:p w:rsidR="00B055F3" w:rsidRPr="007D40D2" w:rsidRDefault="00B055F3" w:rsidP="00B055F3">
      <w:pPr>
        <w:pStyle w:val="FootnoteText"/>
      </w:pPr>
      <w:r w:rsidRPr="00344C0B">
        <w:rPr>
          <w:rStyle w:val="FootnoteReference"/>
        </w:rPr>
        <w:footnoteRef/>
      </w:r>
      <w:r w:rsidRPr="00344C0B">
        <w:t xml:space="preserve"> 47 C.F.R. § 1.80.</w:t>
      </w:r>
    </w:p>
  </w:footnote>
  <w:footnote w:id="9">
    <w:p w:rsidR="00B055F3" w:rsidRPr="00344C0B" w:rsidRDefault="00B055F3" w:rsidP="00B055F3">
      <w:pPr>
        <w:pStyle w:val="FootnoteText"/>
      </w:pPr>
      <w:r w:rsidRPr="00344C0B">
        <w:rPr>
          <w:rStyle w:val="FootnoteReference"/>
        </w:rPr>
        <w:footnoteRef/>
      </w:r>
      <w:r w:rsidRPr="00344C0B">
        <w:t xml:space="preserve"> 47 U.S.C. § 504(a).</w:t>
      </w:r>
    </w:p>
  </w:footnote>
  <w:footnote w:id="10">
    <w:p w:rsidR="00B055F3" w:rsidRPr="00344C0B" w:rsidRDefault="00B055F3" w:rsidP="00B055F3">
      <w:pPr>
        <w:pStyle w:val="FootnoteText"/>
      </w:pPr>
      <w:r w:rsidRPr="00344C0B">
        <w:rPr>
          <w:rStyle w:val="FootnoteReference"/>
        </w:rPr>
        <w:footnoteRef/>
      </w:r>
      <w:r w:rsidRPr="00344C0B">
        <w:t xml:space="preserve"> </w:t>
      </w:r>
      <w:r w:rsidRPr="00344C0B">
        <w:rPr>
          <w:rStyle w:val="FootnoteTextChar"/>
        </w:rPr>
        <w:t xml:space="preserve">An FCC Form 159 and detailed instructions for completing the form may be obtained at </w:t>
      </w:r>
      <w:r w:rsidRPr="00344C0B">
        <w:t>http://www.fcc.gov/Forms/Form159/159.pdf</w:t>
      </w:r>
      <w:r w:rsidRPr="00344C0B">
        <w:rPr>
          <w:rStyle w:val="FootnoteTextChar"/>
        </w:rPr>
        <w:t>.</w:t>
      </w:r>
    </w:p>
  </w:footnote>
  <w:footnote w:id="11">
    <w:p w:rsidR="00B055F3" w:rsidRPr="0030738C" w:rsidRDefault="00B055F3" w:rsidP="00B055F3">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B05" w:rsidRDefault="00AF5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C5960">
      <w:t>FCC 15-23</w:t>
    </w:r>
  </w:p>
  <w:p w:rsidR="00D25FB5" w:rsidRDefault="00B055F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F09B677" wp14:editId="32A9E67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055F3"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3AFB715F" wp14:editId="5B3912F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A0E38">
      <w:rPr>
        <w:spacing w:val="-2"/>
      </w:rPr>
      <w:t>FCC 15-23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32817C4"/>
    <w:multiLevelType w:val="multilevel"/>
    <w:tmpl w:val="3C50564A"/>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60256BB"/>
    <w:multiLevelType w:val="hybridMultilevel"/>
    <w:tmpl w:val="232E0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5"/>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5F3"/>
    <w:rsid w:val="00022F05"/>
    <w:rsid w:val="00036039"/>
    <w:rsid w:val="00037F90"/>
    <w:rsid w:val="000875BF"/>
    <w:rsid w:val="00096D8C"/>
    <w:rsid w:val="000B4B73"/>
    <w:rsid w:val="000B6A3C"/>
    <w:rsid w:val="000C0B65"/>
    <w:rsid w:val="000E05FE"/>
    <w:rsid w:val="000E1DF9"/>
    <w:rsid w:val="000E3D42"/>
    <w:rsid w:val="000E4F4C"/>
    <w:rsid w:val="00104D69"/>
    <w:rsid w:val="0011257C"/>
    <w:rsid w:val="001178EF"/>
    <w:rsid w:val="00122BD5"/>
    <w:rsid w:val="00124693"/>
    <w:rsid w:val="00133F79"/>
    <w:rsid w:val="00147B8F"/>
    <w:rsid w:val="00157983"/>
    <w:rsid w:val="00194A66"/>
    <w:rsid w:val="001D6BCF"/>
    <w:rsid w:val="001E01CA"/>
    <w:rsid w:val="00255944"/>
    <w:rsid w:val="002710D8"/>
    <w:rsid w:val="00275CF5"/>
    <w:rsid w:val="002811E0"/>
    <w:rsid w:val="0028301F"/>
    <w:rsid w:val="00285017"/>
    <w:rsid w:val="00292461"/>
    <w:rsid w:val="00295C0E"/>
    <w:rsid w:val="002A2D2E"/>
    <w:rsid w:val="002C00E8"/>
    <w:rsid w:val="003010C1"/>
    <w:rsid w:val="003370C0"/>
    <w:rsid w:val="00343749"/>
    <w:rsid w:val="003660ED"/>
    <w:rsid w:val="003B0550"/>
    <w:rsid w:val="003B694F"/>
    <w:rsid w:val="003B7EAA"/>
    <w:rsid w:val="003D57CB"/>
    <w:rsid w:val="003E2839"/>
    <w:rsid w:val="003F171C"/>
    <w:rsid w:val="00412FC5"/>
    <w:rsid w:val="00422276"/>
    <w:rsid w:val="004242F1"/>
    <w:rsid w:val="00445A00"/>
    <w:rsid w:val="00451B0F"/>
    <w:rsid w:val="004B2C67"/>
    <w:rsid w:val="004B4C15"/>
    <w:rsid w:val="004C284C"/>
    <w:rsid w:val="004C2EE3"/>
    <w:rsid w:val="004C5960"/>
    <w:rsid w:val="004C5AC8"/>
    <w:rsid w:val="004E4A22"/>
    <w:rsid w:val="00511968"/>
    <w:rsid w:val="0052127E"/>
    <w:rsid w:val="0055614C"/>
    <w:rsid w:val="00562757"/>
    <w:rsid w:val="00562DA6"/>
    <w:rsid w:val="005844A4"/>
    <w:rsid w:val="00586C87"/>
    <w:rsid w:val="00587F30"/>
    <w:rsid w:val="005B0F98"/>
    <w:rsid w:val="005E14C2"/>
    <w:rsid w:val="005F53E4"/>
    <w:rsid w:val="00607BA5"/>
    <w:rsid w:val="0061180A"/>
    <w:rsid w:val="00626EB6"/>
    <w:rsid w:val="006354FC"/>
    <w:rsid w:val="00655D03"/>
    <w:rsid w:val="00683388"/>
    <w:rsid w:val="00683F84"/>
    <w:rsid w:val="006A6A81"/>
    <w:rsid w:val="006A7876"/>
    <w:rsid w:val="006F0F95"/>
    <w:rsid w:val="006F7393"/>
    <w:rsid w:val="0070224F"/>
    <w:rsid w:val="007115F7"/>
    <w:rsid w:val="00785689"/>
    <w:rsid w:val="0079754B"/>
    <w:rsid w:val="007A1E6D"/>
    <w:rsid w:val="007B0EB2"/>
    <w:rsid w:val="007F31EA"/>
    <w:rsid w:val="00810B6F"/>
    <w:rsid w:val="00813F23"/>
    <w:rsid w:val="00822CE0"/>
    <w:rsid w:val="008303DA"/>
    <w:rsid w:val="00841AB1"/>
    <w:rsid w:val="008941DE"/>
    <w:rsid w:val="008C68F1"/>
    <w:rsid w:val="008F604D"/>
    <w:rsid w:val="00921803"/>
    <w:rsid w:val="00926503"/>
    <w:rsid w:val="00960369"/>
    <w:rsid w:val="00966A58"/>
    <w:rsid w:val="009726D8"/>
    <w:rsid w:val="009A64C8"/>
    <w:rsid w:val="009B10B3"/>
    <w:rsid w:val="009F76DB"/>
    <w:rsid w:val="00A00DB7"/>
    <w:rsid w:val="00A054E9"/>
    <w:rsid w:val="00A169D4"/>
    <w:rsid w:val="00A17F7A"/>
    <w:rsid w:val="00A32C3B"/>
    <w:rsid w:val="00A45F4F"/>
    <w:rsid w:val="00A600A9"/>
    <w:rsid w:val="00A72430"/>
    <w:rsid w:val="00AA0E38"/>
    <w:rsid w:val="00AA55B7"/>
    <w:rsid w:val="00AA5B9E"/>
    <w:rsid w:val="00AB2407"/>
    <w:rsid w:val="00AB53DF"/>
    <w:rsid w:val="00AF5B05"/>
    <w:rsid w:val="00B055F3"/>
    <w:rsid w:val="00B07E5C"/>
    <w:rsid w:val="00B24CAE"/>
    <w:rsid w:val="00B811F7"/>
    <w:rsid w:val="00BA5DC6"/>
    <w:rsid w:val="00BA6196"/>
    <w:rsid w:val="00BC6D8C"/>
    <w:rsid w:val="00C34006"/>
    <w:rsid w:val="00C426B1"/>
    <w:rsid w:val="00C66160"/>
    <w:rsid w:val="00C721AC"/>
    <w:rsid w:val="00C90D6A"/>
    <w:rsid w:val="00C92B05"/>
    <w:rsid w:val="00CA247E"/>
    <w:rsid w:val="00CC72B6"/>
    <w:rsid w:val="00CF2F75"/>
    <w:rsid w:val="00CF4106"/>
    <w:rsid w:val="00CF4B87"/>
    <w:rsid w:val="00D0218D"/>
    <w:rsid w:val="00D25FB5"/>
    <w:rsid w:val="00D44223"/>
    <w:rsid w:val="00DA2529"/>
    <w:rsid w:val="00DB130A"/>
    <w:rsid w:val="00DB2EBB"/>
    <w:rsid w:val="00DC10A1"/>
    <w:rsid w:val="00DC655F"/>
    <w:rsid w:val="00DD0B59"/>
    <w:rsid w:val="00DD1150"/>
    <w:rsid w:val="00DD7EBD"/>
    <w:rsid w:val="00DF62B6"/>
    <w:rsid w:val="00E07225"/>
    <w:rsid w:val="00E15CE6"/>
    <w:rsid w:val="00E464B4"/>
    <w:rsid w:val="00E53554"/>
    <w:rsid w:val="00E5409F"/>
    <w:rsid w:val="00E941BA"/>
    <w:rsid w:val="00ED01DA"/>
    <w:rsid w:val="00EE6488"/>
    <w:rsid w:val="00F021FA"/>
    <w:rsid w:val="00F62E97"/>
    <w:rsid w:val="00F64209"/>
    <w:rsid w:val="00F73BE4"/>
    <w:rsid w:val="00F93BF5"/>
    <w:rsid w:val="00FD6A7B"/>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D69"/>
    <w:pPr>
      <w:widowControl w:val="0"/>
    </w:pPr>
    <w:rPr>
      <w:snapToGrid w:val="0"/>
      <w:kern w:val="28"/>
      <w:sz w:val="22"/>
    </w:rPr>
  </w:style>
  <w:style w:type="paragraph" w:styleId="Heading1">
    <w:name w:val="heading 1"/>
    <w:basedOn w:val="Normal"/>
    <w:next w:val="ParaNum"/>
    <w:qFormat/>
    <w:rsid w:val="00104D6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04D69"/>
    <w:pPr>
      <w:keepNext/>
      <w:numPr>
        <w:ilvl w:val="1"/>
        <w:numId w:val="3"/>
      </w:numPr>
      <w:spacing w:after="120"/>
      <w:outlineLvl w:val="1"/>
    </w:pPr>
    <w:rPr>
      <w:b/>
    </w:rPr>
  </w:style>
  <w:style w:type="paragraph" w:styleId="Heading3">
    <w:name w:val="heading 3"/>
    <w:basedOn w:val="Normal"/>
    <w:next w:val="ParaNum"/>
    <w:qFormat/>
    <w:rsid w:val="00104D69"/>
    <w:pPr>
      <w:keepNext/>
      <w:numPr>
        <w:ilvl w:val="2"/>
        <w:numId w:val="3"/>
      </w:numPr>
      <w:tabs>
        <w:tab w:val="left" w:pos="2160"/>
      </w:tabs>
      <w:spacing w:after="120"/>
      <w:outlineLvl w:val="2"/>
    </w:pPr>
    <w:rPr>
      <w:b/>
    </w:rPr>
  </w:style>
  <w:style w:type="paragraph" w:styleId="Heading4">
    <w:name w:val="heading 4"/>
    <w:basedOn w:val="Normal"/>
    <w:next w:val="ParaNum"/>
    <w:qFormat/>
    <w:rsid w:val="00104D69"/>
    <w:pPr>
      <w:keepNext/>
      <w:numPr>
        <w:ilvl w:val="3"/>
        <w:numId w:val="3"/>
      </w:numPr>
      <w:tabs>
        <w:tab w:val="left" w:pos="2880"/>
      </w:tabs>
      <w:spacing w:after="120"/>
      <w:outlineLvl w:val="3"/>
    </w:pPr>
    <w:rPr>
      <w:b/>
    </w:rPr>
  </w:style>
  <w:style w:type="paragraph" w:styleId="Heading5">
    <w:name w:val="heading 5"/>
    <w:basedOn w:val="Normal"/>
    <w:next w:val="ParaNum"/>
    <w:qFormat/>
    <w:rsid w:val="00104D6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04D69"/>
    <w:pPr>
      <w:numPr>
        <w:ilvl w:val="5"/>
        <w:numId w:val="3"/>
      </w:numPr>
      <w:tabs>
        <w:tab w:val="left" w:pos="4320"/>
      </w:tabs>
      <w:spacing w:after="120"/>
      <w:outlineLvl w:val="5"/>
    </w:pPr>
    <w:rPr>
      <w:b/>
    </w:rPr>
  </w:style>
  <w:style w:type="paragraph" w:styleId="Heading7">
    <w:name w:val="heading 7"/>
    <w:basedOn w:val="Normal"/>
    <w:next w:val="ParaNum"/>
    <w:qFormat/>
    <w:rsid w:val="00104D6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04D6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04D6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04D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4D69"/>
  </w:style>
  <w:style w:type="paragraph" w:customStyle="1" w:styleId="ParaNum">
    <w:name w:val="ParaNum"/>
    <w:basedOn w:val="Normal"/>
    <w:link w:val="ParaNumChar"/>
    <w:rsid w:val="00104D69"/>
    <w:pPr>
      <w:numPr>
        <w:numId w:val="2"/>
      </w:numPr>
      <w:tabs>
        <w:tab w:val="clear" w:pos="1080"/>
        <w:tab w:val="num" w:pos="1440"/>
      </w:tabs>
      <w:spacing w:after="120"/>
    </w:pPr>
  </w:style>
  <w:style w:type="paragraph" w:styleId="EndnoteText">
    <w:name w:val="endnote text"/>
    <w:basedOn w:val="Normal"/>
    <w:semiHidden/>
    <w:rsid w:val="00104D69"/>
    <w:rPr>
      <w:sz w:val="20"/>
    </w:rPr>
  </w:style>
  <w:style w:type="character" w:styleId="EndnoteReference">
    <w:name w:val="endnote reference"/>
    <w:semiHidden/>
    <w:rsid w:val="00104D69"/>
    <w:rPr>
      <w:vertAlign w:val="superscript"/>
    </w:rPr>
  </w:style>
  <w:style w:type="paragraph" w:styleId="FootnoteText">
    <w:name w:val="footnote text"/>
    <w:aliases w:val="Footnote Text Char1,ALTS FOOTNOTE Char,fn Char,rrfootnote Char1,Footnote Text Char Char,rrfootnote Char Char Char Char,Footnote Text Char1 Char Char Char Char,ALTS FOOTNOTE,f"/>
    <w:link w:val="FootnoteTextChar"/>
    <w:rsid w:val="00104D69"/>
    <w:pPr>
      <w:spacing w:after="120"/>
    </w:pPr>
  </w:style>
  <w:style w:type="character" w:styleId="FootnoteReference">
    <w:name w:val="footnote reference"/>
    <w:aliases w:val="Style 12,(NECG) Footnote Reference,Appel note de bas de p,Style 124,Style 4,Style 13,o,fr,Style 3,FR,Style 17,Style 6,Footnote Reference/,Footnote Reference1"/>
    <w:rsid w:val="00104D69"/>
    <w:rPr>
      <w:rFonts w:ascii="Times New Roman" w:hAnsi="Times New Roman"/>
      <w:dstrike w:val="0"/>
      <w:color w:val="auto"/>
      <w:sz w:val="20"/>
      <w:vertAlign w:val="superscript"/>
    </w:rPr>
  </w:style>
  <w:style w:type="paragraph" w:styleId="TOC1">
    <w:name w:val="toc 1"/>
    <w:basedOn w:val="Normal"/>
    <w:next w:val="Normal"/>
    <w:semiHidden/>
    <w:rsid w:val="00104D6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4D69"/>
    <w:pPr>
      <w:tabs>
        <w:tab w:val="left" w:pos="720"/>
        <w:tab w:val="right" w:leader="dot" w:pos="9360"/>
      </w:tabs>
      <w:suppressAutoHyphens/>
      <w:ind w:left="720" w:right="720" w:hanging="360"/>
    </w:pPr>
    <w:rPr>
      <w:noProof/>
    </w:rPr>
  </w:style>
  <w:style w:type="paragraph" w:styleId="TOC3">
    <w:name w:val="toc 3"/>
    <w:basedOn w:val="Normal"/>
    <w:next w:val="Normal"/>
    <w:semiHidden/>
    <w:rsid w:val="00104D6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4D6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4D6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4D6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4D6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4D6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4D6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4D69"/>
    <w:pPr>
      <w:tabs>
        <w:tab w:val="right" w:pos="9360"/>
      </w:tabs>
      <w:suppressAutoHyphens/>
    </w:pPr>
  </w:style>
  <w:style w:type="character" w:customStyle="1" w:styleId="EquationCaption">
    <w:name w:val="_Equation Caption"/>
    <w:rsid w:val="00104D69"/>
  </w:style>
  <w:style w:type="paragraph" w:styleId="Header">
    <w:name w:val="header"/>
    <w:basedOn w:val="Normal"/>
    <w:autoRedefine/>
    <w:rsid w:val="00104D69"/>
    <w:pPr>
      <w:tabs>
        <w:tab w:val="center" w:pos="4680"/>
        <w:tab w:val="right" w:pos="9360"/>
      </w:tabs>
    </w:pPr>
    <w:rPr>
      <w:b/>
    </w:rPr>
  </w:style>
  <w:style w:type="paragraph" w:styleId="Footer">
    <w:name w:val="footer"/>
    <w:basedOn w:val="Normal"/>
    <w:link w:val="FooterChar"/>
    <w:rsid w:val="00104D69"/>
    <w:pPr>
      <w:tabs>
        <w:tab w:val="center" w:pos="4320"/>
        <w:tab w:val="right" w:pos="8640"/>
      </w:tabs>
    </w:pPr>
  </w:style>
  <w:style w:type="character" w:styleId="PageNumber">
    <w:name w:val="page number"/>
    <w:basedOn w:val="DefaultParagraphFont"/>
    <w:rsid w:val="00104D69"/>
  </w:style>
  <w:style w:type="paragraph" w:styleId="BlockText">
    <w:name w:val="Block Text"/>
    <w:basedOn w:val="Normal"/>
    <w:rsid w:val="00104D69"/>
    <w:pPr>
      <w:spacing w:after="240"/>
      <w:ind w:left="1440" w:right="1440"/>
    </w:pPr>
  </w:style>
  <w:style w:type="paragraph" w:customStyle="1" w:styleId="Paratitle">
    <w:name w:val="Para title"/>
    <w:basedOn w:val="Normal"/>
    <w:rsid w:val="00104D69"/>
    <w:pPr>
      <w:tabs>
        <w:tab w:val="center" w:pos="9270"/>
      </w:tabs>
      <w:spacing w:after="240"/>
    </w:pPr>
    <w:rPr>
      <w:spacing w:val="-2"/>
    </w:rPr>
  </w:style>
  <w:style w:type="paragraph" w:customStyle="1" w:styleId="Bullet">
    <w:name w:val="Bullet"/>
    <w:basedOn w:val="Normal"/>
    <w:rsid w:val="00104D69"/>
    <w:pPr>
      <w:tabs>
        <w:tab w:val="left" w:pos="2160"/>
      </w:tabs>
      <w:spacing w:after="220"/>
      <w:ind w:left="2160" w:hanging="720"/>
    </w:pPr>
  </w:style>
  <w:style w:type="paragraph" w:customStyle="1" w:styleId="TableFormat">
    <w:name w:val="TableFormat"/>
    <w:basedOn w:val="Bullet"/>
    <w:rsid w:val="00104D69"/>
    <w:pPr>
      <w:tabs>
        <w:tab w:val="clear" w:pos="2160"/>
        <w:tab w:val="left" w:pos="5040"/>
      </w:tabs>
      <w:ind w:left="5040" w:hanging="3600"/>
    </w:pPr>
  </w:style>
  <w:style w:type="paragraph" w:customStyle="1" w:styleId="TOCTitle">
    <w:name w:val="TOC Title"/>
    <w:basedOn w:val="Normal"/>
    <w:rsid w:val="00104D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4D69"/>
    <w:pPr>
      <w:jc w:val="center"/>
    </w:pPr>
    <w:rPr>
      <w:rFonts w:ascii="Times New Roman Bold" w:hAnsi="Times New Roman Bold"/>
      <w:b/>
      <w:bCs/>
      <w:caps/>
      <w:szCs w:val="22"/>
    </w:rPr>
  </w:style>
  <w:style w:type="character" w:styleId="Hyperlink">
    <w:name w:val="Hyperlink"/>
    <w:rsid w:val="00104D69"/>
    <w:rPr>
      <w:color w:val="0000FF"/>
      <w:u w:val="single"/>
    </w:rPr>
  </w:style>
  <w:style w:type="character" w:customStyle="1" w:styleId="FootnoteTextChar">
    <w:name w:val="Footnote Text Char"/>
    <w:aliases w:val="Footnote Text Char1 Char,ALTS FOOTNOTE Char Char,fn Char Char,rrfootnote Char1 Char,Footnote Text Char Char Char,rrfootnote Char Char Char Char Char,Footnote Text Char1 Char Char Char Char Char,ALTS FOOTNOTE Char1,f Char"/>
    <w:link w:val="FootnoteText"/>
    <w:rsid w:val="00B055F3"/>
  </w:style>
  <w:style w:type="paragraph" w:styleId="BalloonText">
    <w:name w:val="Balloon Text"/>
    <w:basedOn w:val="Normal"/>
    <w:link w:val="BalloonTextChar"/>
    <w:rsid w:val="007F31EA"/>
    <w:rPr>
      <w:rFonts w:ascii="Tahoma" w:hAnsi="Tahoma" w:cs="Tahoma"/>
      <w:sz w:val="16"/>
      <w:szCs w:val="16"/>
    </w:rPr>
  </w:style>
  <w:style w:type="character" w:customStyle="1" w:styleId="BalloonTextChar">
    <w:name w:val="Balloon Text Char"/>
    <w:basedOn w:val="DefaultParagraphFont"/>
    <w:link w:val="BalloonText"/>
    <w:rsid w:val="007F31EA"/>
    <w:rPr>
      <w:rFonts w:ascii="Tahoma" w:hAnsi="Tahoma" w:cs="Tahoma"/>
      <w:snapToGrid w:val="0"/>
      <w:kern w:val="28"/>
      <w:sz w:val="16"/>
      <w:szCs w:val="16"/>
    </w:rPr>
  </w:style>
  <w:style w:type="character" w:styleId="CommentReference">
    <w:name w:val="annotation reference"/>
    <w:basedOn w:val="DefaultParagraphFont"/>
    <w:rsid w:val="00124693"/>
    <w:rPr>
      <w:sz w:val="16"/>
      <w:szCs w:val="16"/>
    </w:rPr>
  </w:style>
  <w:style w:type="paragraph" w:styleId="CommentText">
    <w:name w:val="annotation text"/>
    <w:basedOn w:val="Normal"/>
    <w:link w:val="CommentTextChar"/>
    <w:rsid w:val="00124693"/>
    <w:rPr>
      <w:sz w:val="20"/>
    </w:rPr>
  </w:style>
  <w:style w:type="character" w:customStyle="1" w:styleId="CommentTextChar">
    <w:name w:val="Comment Text Char"/>
    <w:basedOn w:val="DefaultParagraphFont"/>
    <w:link w:val="CommentText"/>
    <w:rsid w:val="00124693"/>
    <w:rPr>
      <w:snapToGrid w:val="0"/>
      <w:kern w:val="28"/>
    </w:rPr>
  </w:style>
  <w:style w:type="paragraph" w:styleId="CommentSubject">
    <w:name w:val="annotation subject"/>
    <w:basedOn w:val="CommentText"/>
    <w:next w:val="CommentText"/>
    <w:link w:val="CommentSubjectChar"/>
    <w:rsid w:val="00124693"/>
    <w:rPr>
      <w:b/>
      <w:bCs/>
    </w:rPr>
  </w:style>
  <w:style w:type="character" w:customStyle="1" w:styleId="CommentSubjectChar">
    <w:name w:val="Comment Subject Char"/>
    <w:basedOn w:val="CommentTextChar"/>
    <w:link w:val="CommentSubject"/>
    <w:rsid w:val="00124693"/>
    <w:rPr>
      <w:b/>
      <w:bCs/>
      <w:snapToGrid w:val="0"/>
      <w:kern w:val="28"/>
    </w:rPr>
  </w:style>
  <w:style w:type="character" w:customStyle="1" w:styleId="ParaNumChar">
    <w:name w:val="ParaNum Char"/>
    <w:link w:val="ParaNum"/>
    <w:locked/>
    <w:rsid w:val="00E15CE6"/>
    <w:rPr>
      <w:snapToGrid w:val="0"/>
      <w:kern w:val="28"/>
      <w:sz w:val="22"/>
    </w:rPr>
  </w:style>
  <w:style w:type="character" w:customStyle="1" w:styleId="FooterChar">
    <w:name w:val="Footer Char"/>
    <w:basedOn w:val="DefaultParagraphFont"/>
    <w:link w:val="Footer"/>
    <w:rsid w:val="004C284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D69"/>
    <w:pPr>
      <w:widowControl w:val="0"/>
    </w:pPr>
    <w:rPr>
      <w:snapToGrid w:val="0"/>
      <w:kern w:val="28"/>
      <w:sz w:val="22"/>
    </w:rPr>
  </w:style>
  <w:style w:type="paragraph" w:styleId="Heading1">
    <w:name w:val="heading 1"/>
    <w:basedOn w:val="Normal"/>
    <w:next w:val="ParaNum"/>
    <w:qFormat/>
    <w:rsid w:val="00104D6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04D69"/>
    <w:pPr>
      <w:keepNext/>
      <w:numPr>
        <w:ilvl w:val="1"/>
        <w:numId w:val="3"/>
      </w:numPr>
      <w:spacing w:after="120"/>
      <w:outlineLvl w:val="1"/>
    </w:pPr>
    <w:rPr>
      <w:b/>
    </w:rPr>
  </w:style>
  <w:style w:type="paragraph" w:styleId="Heading3">
    <w:name w:val="heading 3"/>
    <w:basedOn w:val="Normal"/>
    <w:next w:val="ParaNum"/>
    <w:qFormat/>
    <w:rsid w:val="00104D69"/>
    <w:pPr>
      <w:keepNext/>
      <w:numPr>
        <w:ilvl w:val="2"/>
        <w:numId w:val="3"/>
      </w:numPr>
      <w:tabs>
        <w:tab w:val="left" w:pos="2160"/>
      </w:tabs>
      <w:spacing w:after="120"/>
      <w:outlineLvl w:val="2"/>
    </w:pPr>
    <w:rPr>
      <w:b/>
    </w:rPr>
  </w:style>
  <w:style w:type="paragraph" w:styleId="Heading4">
    <w:name w:val="heading 4"/>
    <w:basedOn w:val="Normal"/>
    <w:next w:val="ParaNum"/>
    <w:qFormat/>
    <w:rsid w:val="00104D69"/>
    <w:pPr>
      <w:keepNext/>
      <w:numPr>
        <w:ilvl w:val="3"/>
        <w:numId w:val="3"/>
      </w:numPr>
      <w:tabs>
        <w:tab w:val="left" w:pos="2880"/>
      </w:tabs>
      <w:spacing w:after="120"/>
      <w:outlineLvl w:val="3"/>
    </w:pPr>
    <w:rPr>
      <w:b/>
    </w:rPr>
  </w:style>
  <w:style w:type="paragraph" w:styleId="Heading5">
    <w:name w:val="heading 5"/>
    <w:basedOn w:val="Normal"/>
    <w:next w:val="ParaNum"/>
    <w:qFormat/>
    <w:rsid w:val="00104D6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04D69"/>
    <w:pPr>
      <w:numPr>
        <w:ilvl w:val="5"/>
        <w:numId w:val="3"/>
      </w:numPr>
      <w:tabs>
        <w:tab w:val="left" w:pos="4320"/>
      </w:tabs>
      <w:spacing w:after="120"/>
      <w:outlineLvl w:val="5"/>
    </w:pPr>
    <w:rPr>
      <w:b/>
    </w:rPr>
  </w:style>
  <w:style w:type="paragraph" w:styleId="Heading7">
    <w:name w:val="heading 7"/>
    <w:basedOn w:val="Normal"/>
    <w:next w:val="ParaNum"/>
    <w:qFormat/>
    <w:rsid w:val="00104D6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04D6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04D6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04D6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4D69"/>
  </w:style>
  <w:style w:type="paragraph" w:customStyle="1" w:styleId="ParaNum">
    <w:name w:val="ParaNum"/>
    <w:basedOn w:val="Normal"/>
    <w:link w:val="ParaNumChar"/>
    <w:rsid w:val="00104D69"/>
    <w:pPr>
      <w:numPr>
        <w:numId w:val="2"/>
      </w:numPr>
      <w:tabs>
        <w:tab w:val="clear" w:pos="1080"/>
        <w:tab w:val="num" w:pos="1440"/>
      </w:tabs>
      <w:spacing w:after="120"/>
    </w:pPr>
  </w:style>
  <w:style w:type="paragraph" w:styleId="EndnoteText">
    <w:name w:val="endnote text"/>
    <w:basedOn w:val="Normal"/>
    <w:semiHidden/>
    <w:rsid w:val="00104D69"/>
    <w:rPr>
      <w:sz w:val="20"/>
    </w:rPr>
  </w:style>
  <w:style w:type="character" w:styleId="EndnoteReference">
    <w:name w:val="endnote reference"/>
    <w:semiHidden/>
    <w:rsid w:val="00104D69"/>
    <w:rPr>
      <w:vertAlign w:val="superscript"/>
    </w:rPr>
  </w:style>
  <w:style w:type="paragraph" w:styleId="FootnoteText">
    <w:name w:val="footnote text"/>
    <w:aliases w:val="Footnote Text Char1,ALTS FOOTNOTE Char,fn Char,rrfootnote Char1,Footnote Text Char Char,rrfootnote Char Char Char Char,Footnote Text Char1 Char Char Char Char,ALTS FOOTNOTE,f"/>
    <w:link w:val="FootnoteTextChar"/>
    <w:rsid w:val="00104D69"/>
    <w:pPr>
      <w:spacing w:after="120"/>
    </w:pPr>
  </w:style>
  <w:style w:type="character" w:styleId="FootnoteReference">
    <w:name w:val="footnote reference"/>
    <w:aliases w:val="Style 12,(NECG) Footnote Reference,Appel note de bas de p,Style 124,Style 4,Style 13,o,fr,Style 3,FR,Style 17,Style 6,Footnote Reference/,Footnote Reference1"/>
    <w:rsid w:val="00104D69"/>
    <w:rPr>
      <w:rFonts w:ascii="Times New Roman" w:hAnsi="Times New Roman"/>
      <w:dstrike w:val="0"/>
      <w:color w:val="auto"/>
      <w:sz w:val="20"/>
      <w:vertAlign w:val="superscript"/>
    </w:rPr>
  </w:style>
  <w:style w:type="paragraph" w:styleId="TOC1">
    <w:name w:val="toc 1"/>
    <w:basedOn w:val="Normal"/>
    <w:next w:val="Normal"/>
    <w:semiHidden/>
    <w:rsid w:val="00104D6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04D69"/>
    <w:pPr>
      <w:tabs>
        <w:tab w:val="left" w:pos="720"/>
        <w:tab w:val="right" w:leader="dot" w:pos="9360"/>
      </w:tabs>
      <w:suppressAutoHyphens/>
      <w:ind w:left="720" w:right="720" w:hanging="360"/>
    </w:pPr>
    <w:rPr>
      <w:noProof/>
    </w:rPr>
  </w:style>
  <w:style w:type="paragraph" w:styleId="TOC3">
    <w:name w:val="toc 3"/>
    <w:basedOn w:val="Normal"/>
    <w:next w:val="Normal"/>
    <w:semiHidden/>
    <w:rsid w:val="00104D6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04D6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04D6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04D6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04D6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04D6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04D6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04D69"/>
    <w:pPr>
      <w:tabs>
        <w:tab w:val="right" w:pos="9360"/>
      </w:tabs>
      <w:suppressAutoHyphens/>
    </w:pPr>
  </w:style>
  <w:style w:type="character" w:customStyle="1" w:styleId="EquationCaption">
    <w:name w:val="_Equation Caption"/>
    <w:rsid w:val="00104D69"/>
  </w:style>
  <w:style w:type="paragraph" w:styleId="Header">
    <w:name w:val="header"/>
    <w:basedOn w:val="Normal"/>
    <w:autoRedefine/>
    <w:rsid w:val="00104D69"/>
    <w:pPr>
      <w:tabs>
        <w:tab w:val="center" w:pos="4680"/>
        <w:tab w:val="right" w:pos="9360"/>
      </w:tabs>
    </w:pPr>
    <w:rPr>
      <w:b/>
    </w:rPr>
  </w:style>
  <w:style w:type="paragraph" w:styleId="Footer">
    <w:name w:val="footer"/>
    <w:basedOn w:val="Normal"/>
    <w:link w:val="FooterChar"/>
    <w:rsid w:val="00104D69"/>
    <w:pPr>
      <w:tabs>
        <w:tab w:val="center" w:pos="4320"/>
        <w:tab w:val="right" w:pos="8640"/>
      </w:tabs>
    </w:pPr>
  </w:style>
  <w:style w:type="character" w:styleId="PageNumber">
    <w:name w:val="page number"/>
    <w:basedOn w:val="DefaultParagraphFont"/>
    <w:rsid w:val="00104D69"/>
  </w:style>
  <w:style w:type="paragraph" w:styleId="BlockText">
    <w:name w:val="Block Text"/>
    <w:basedOn w:val="Normal"/>
    <w:rsid w:val="00104D69"/>
    <w:pPr>
      <w:spacing w:after="240"/>
      <w:ind w:left="1440" w:right="1440"/>
    </w:pPr>
  </w:style>
  <w:style w:type="paragraph" w:customStyle="1" w:styleId="Paratitle">
    <w:name w:val="Para title"/>
    <w:basedOn w:val="Normal"/>
    <w:rsid w:val="00104D69"/>
    <w:pPr>
      <w:tabs>
        <w:tab w:val="center" w:pos="9270"/>
      </w:tabs>
      <w:spacing w:after="240"/>
    </w:pPr>
    <w:rPr>
      <w:spacing w:val="-2"/>
    </w:rPr>
  </w:style>
  <w:style w:type="paragraph" w:customStyle="1" w:styleId="Bullet">
    <w:name w:val="Bullet"/>
    <w:basedOn w:val="Normal"/>
    <w:rsid w:val="00104D69"/>
    <w:pPr>
      <w:tabs>
        <w:tab w:val="left" w:pos="2160"/>
      </w:tabs>
      <w:spacing w:after="220"/>
      <w:ind w:left="2160" w:hanging="720"/>
    </w:pPr>
  </w:style>
  <w:style w:type="paragraph" w:customStyle="1" w:styleId="TableFormat">
    <w:name w:val="TableFormat"/>
    <w:basedOn w:val="Bullet"/>
    <w:rsid w:val="00104D69"/>
    <w:pPr>
      <w:tabs>
        <w:tab w:val="clear" w:pos="2160"/>
        <w:tab w:val="left" w:pos="5040"/>
      </w:tabs>
      <w:ind w:left="5040" w:hanging="3600"/>
    </w:pPr>
  </w:style>
  <w:style w:type="paragraph" w:customStyle="1" w:styleId="TOCTitle">
    <w:name w:val="TOC Title"/>
    <w:basedOn w:val="Normal"/>
    <w:rsid w:val="00104D6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04D69"/>
    <w:pPr>
      <w:jc w:val="center"/>
    </w:pPr>
    <w:rPr>
      <w:rFonts w:ascii="Times New Roman Bold" w:hAnsi="Times New Roman Bold"/>
      <w:b/>
      <w:bCs/>
      <w:caps/>
      <w:szCs w:val="22"/>
    </w:rPr>
  </w:style>
  <w:style w:type="character" w:styleId="Hyperlink">
    <w:name w:val="Hyperlink"/>
    <w:rsid w:val="00104D69"/>
    <w:rPr>
      <w:color w:val="0000FF"/>
      <w:u w:val="single"/>
    </w:rPr>
  </w:style>
  <w:style w:type="character" w:customStyle="1" w:styleId="FootnoteTextChar">
    <w:name w:val="Footnote Text Char"/>
    <w:aliases w:val="Footnote Text Char1 Char,ALTS FOOTNOTE Char Char,fn Char Char,rrfootnote Char1 Char,Footnote Text Char Char Char,rrfootnote Char Char Char Char Char,Footnote Text Char1 Char Char Char Char Char,ALTS FOOTNOTE Char1,f Char"/>
    <w:link w:val="FootnoteText"/>
    <w:rsid w:val="00B055F3"/>
  </w:style>
  <w:style w:type="paragraph" w:styleId="BalloonText">
    <w:name w:val="Balloon Text"/>
    <w:basedOn w:val="Normal"/>
    <w:link w:val="BalloonTextChar"/>
    <w:rsid w:val="007F31EA"/>
    <w:rPr>
      <w:rFonts w:ascii="Tahoma" w:hAnsi="Tahoma" w:cs="Tahoma"/>
      <w:sz w:val="16"/>
      <w:szCs w:val="16"/>
    </w:rPr>
  </w:style>
  <w:style w:type="character" w:customStyle="1" w:styleId="BalloonTextChar">
    <w:name w:val="Balloon Text Char"/>
    <w:basedOn w:val="DefaultParagraphFont"/>
    <w:link w:val="BalloonText"/>
    <w:rsid w:val="007F31EA"/>
    <w:rPr>
      <w:rFonts w:ascii="Tahoma" w:hAnsi="Tahoma" w:cs="Tahoma"/>
      <w:snapToGrid w:val="0"/>
      <w:kern w:val="28"/>
      <w:sz w:val="16"/>
      <w:szCs w:val="16"/>
    </w:rPr>
  </w:style>
  <w:style w:type="character" w:styleId="CommentReference">
    <w:name w:val="annotation reference"/>
    <w:basedOn w:val="DefaultParagraphFont"/>
    <w:rsid w:val="00124693"/>
    <w:rPr>
      <w:sz w:val="16"/>
      <w:szCs w:val="16"/>
    </w:rPr>
  </w:style>
  <w:style w:type="paragraph" w:styleId="CommentText">
    <w:name w:val="annotation text"/>
    <w:basedOn w:val="Normal"/>
    <w:link w:val="CommentTextChar"/>
    <w:rsid w:val="00124693"/>
    <w:rPr>
      <w:sz w:val="20"/>
    </w:rPr>
  </w:style>
  <w:style w:type="character" w:customStyle="1" w:styleId="CommentTextChar">
    <w:name w:val="Comment Text Char"/>
    <w:basedOn w:val="DefaultParagraphFont"/>
    <w:link w:val="CommentText"/>
    <w:rsid w:val="00124693"/>
    <w:rPr>
      <w:snapToGrid w:val="0"/>
      <w:kern w:val="28"/>
    </w:rPr>
  </w:style>
  <w:style w:type="paragraph" w:styleId="CommentSubject">
    <w:name w:val="annotation subject"/>
    <w:basedOn w:val="CommentText"/>
    <w:next w:val="CommentText"/>
    <w:link w:val="CommentSubjectChar"/>
    <w:rsid w:val="00124693"/>
    <w:rPr>
      <w:b/>
      <w:bCs/>
    </w:rPr>
  </w:style>
  <w:style w:type="character" w:customStyle="1" w:styleId="CommentSubjectChar">
    <w:name w:val="Comment Subject Char"/>
    <w:basedOn w:val="CommentTextChar"/>
    <w:link w:val="CommentSubject"/>
    <w:rsid w:val="00124693"/>
    <w:rPr>
      <w:b/>
      <w:bCs/>
      <w:snapToGrid w:val="0"/>
      <w:kern w:val="28"/>
    </w:rPr>
  </w:style>
  <w:style w:type="character" w:customStyle="1" w:styleId="ParaNumChar">
    <w:name w:val="ParaNum Char"/>
    <w:link w:val="ParaNum"/>
    <w:locked/>
    <w:rsid w:val="00E15CE6"/>
    <w:rPr>
      <w:snapToGrid w:val="0"/>
      <w:kern w:val="28"/>
      <w:sz w:val="22"/>
    </w:rPr>
  </w:style>
  <w:style w:type="character" w:customStyle="1" w:styleId="FooterChar">
    <w:name w:val="Footer Char"/>
    <w:basedOn w:val="DefaultParagraphFont"/>
    <w:link w:val="Footer"/>
    <w:rsid w:val="004C284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4855">
      <w:bodyDiv w:val="1"/>
      <w:marLeft w:val="0"/>
      <w:marRight w:val="0"/>
      <w:marTop w:val="0"/>
      <w:marBottom w:val="0"/>
      <w:divBdr>
        <w:top w:val="none" w:sz="0" w:space="0" w:color="auto"/>
        <w:left w:val="none" w:sz="0" w:space="0" w:color="auto"/>
        <w:bottom w:val="none" w:sz="0" w:space="0" w:color="auto"/>
        <w:right w:val="none" w:sz="0" w:space="0" w:color="auto"/>
      </w:divBdr>
    </w:div>
    <w:div w:id="94315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753</Words>
  <Characters>4035</Characters>
  <Application>Microsoft Office Word</Application>
  <DocSecurity>0</DocSecurity>
  <Lines>95</Lines>
  <Paragraphs>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4810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2015-02-04T18:28:00Z</cp:lastPrinted>
  <dcterms:created xsi:type="dcterms:W3CDTF">2015-02-19T16:31:00Z</dcterms:created>
  <dcterms:modified xsi:type="dcterms:W3CDTF">2015-02-19T16:31:00Z</dcterms:modified>
  <cp:category> </cp:category>
  <cp:contentStatus> </cp:contentStatus>
</cp:coreProperties>
</file>