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6342E" w14:textId="7463C88E" w:rsidR="000B6E98" w:rsidRPr="0084514D" w:rsidRDefault="000B6E98" w:rsidP="0084514D">
      <w:pPr>
        <w:spacing w:after="240"/>
        <w:jc w:val="center"/>
        <w:rPr>
          <w:rFonts w:cs="Times New Roman"/>
          <w:b/>
        </w:rPr>
      </w:pPr>
      <w:bookmarkStart w:id="0" w:name="_GoBack"/>
      <w:bookmarkEnd w:id="0"/>
      <w:r w:rsidRPr="0084514D">
        <w:rPr>
          <w:rFonts w:cs="Times New Roman"/>
          <w:b/>
        </w:rPr>
        <w:t>DISSENTING STATEMENT OF</w:t>
      </w:r>
      <w:r w:rsidR="0084514D" w:rsidRPr="0084514D">
        <w:rPr>
          <w:rFonts w:cs="Times New Roman"/>
          <w:b/>
        </w:rPr>
        <w:br/>
      </w:r>
      <w:r w:rsidRPr="0084514D">
        <w:rPr>
          <w:rFonts w:cs="Times New Roman"/>
          <w:b/>
        </w:rPr>
        <w:t>COMMISSIONER AJIT PAI</w:t>
      </w:r>
    </w:p>
    <w:p w14:paraId="789C8001" w14:textId="2BDEA96B" w:rsidR="000B6E98" w:rsidRPr="0084514D" w:rsidRDefault="000B6E98" w:rsidP="00875577">
      <w:pPr>
        <w:spacing w:after="240"/>
        <w:ind w:left="720" w:hanging="720"/>
        <w:rPr>
          <w:rFonts w:cs="Times New Roman"/>
        </w:rPr>
      </w:pPr>
      <w:r w:rsidRPr="0084514D">
        <w:rPr>
          <w:rFonts w:cs="Times New Roman"/>
        </w:rPr>
        <w:t>Re:</w:t>
      </w:r>
      <w:r w:rsidRPr="0084514D">
        <w:rPr>
          <w:rFonts w:cs="Times New Roman"/>
        </w:rPr>
        <w:tab/>
      </w:r>
      <w:r w:rsidRPr="0084514D">
        <w:rPr>
          <w:rFonts w:cs="Times New Roman"/>
          <w:i/>
        </w:rPr>
        <w:t xml:space="preserve">City of Wilson, North Carolina Petition for Preemption of North Carolina General Statute Sections 160A-340 </w:t>
      </w:r>
      <w:r w:rsidRPr="00875577">
        <w:rPr>
          <w:rFonts w:cs="Times New Roman"/>
          <w:i/>
        </w:rPr>
        <w:t>et seq.</w:t>
      </w:r>
      <w:r w:rsidRPr="0084514D">
        <w:rPr>
          <w:rFonts w:cs="Times New Roman"/>
        </w:rPr>
        <w:t>, WC Docket No. 14-115</w:t>
      </w:r>
      <w:r w:rsidR="00875577">
        <w:rPr>
          <w:rFonts w:cs="Times New Roman"/>
        </w:rPr>
        <w:t>,</w:t>
      </w:r>
      <w:r w:rsidRPr="0084514D">
        <w:rPr>
          <w:rFonts w:cs="Times New Roman"/>
        </w:rPr>
        <w:t xml:space="preserve"> </w:t>
      </w:r>
      <w:r w:rsidRPr="0084514D">
        <w:rPr>
          <w:rFonts w:cs="Times New Roman"/>
          <w:i/>
        </w:rPr>
        <w:t xml:space="preserve">The Electric </w:t>
      </w:r>
      <w:r w:rsidR="00E13E4C">
        <w:rPr>
          <w:rFonts w:cs="Times New Roman"/>
          <w:i/>
        </w:rPr>
        <w:t xml:space="preserve">Power </w:t>
      </w:r>
      <w:r w:rsidRPr="0084514D">
        <w:rPr>
          <w:rFonts w:cs="Times New Roman"/>
          <w:i/>
        </w:rPr>
        <w:t>Board of Chattanooga, Tennessee Petition for Preemption of a Portion of Tennessee Code Annotated Section 7-52-601</w:t>
      </w:r>
      <w:r w:rsidRPr="0084514D">
        <w:rPr>
          <w:rFonts w:cs="Times New Roman"/>
        </w:rPr>
        <w:t>, WC Docket No. 14-116</w:t>
      </w:r>
      <w:r w:rsidR="0084514D" w:rsidRPr="0084514D">
        <w:rPr>
          <w:rFonts w:cs="Times New Roman"/>
        </w:rPr>
        <w:t>.</w:t>
      </w:r>
    </w:p>
    <w:p w14:paraId="554E97F1" w14:textId="457504B2" w:rsidR="00F42FB3" w:rsidRPr="0084514D" w:rsidRDefault="00F42FB3" w:rsidP="00D57365">
      <w:pPr>
        <w:ind w:firstLine="720"/>
        <w:rPr>
          <w:rFonts w:cs="Times New Roman"/>
        </w:rPr>
      </w:pPr>
      <w:r w:rsidRPr="0084514D">
        <w:rPr>
          <w:rFonts w:cs="Times New Roman"/>
        </w:rPr>
        <w:t>In 1999, the State of Tennessee authorized municipal electric systems to provide Internet service within the boundaries of their service areas.</w:t>
      </w:r>
      <w:r w:rsidR="0037033C" w:rsidRPr="0084514D">
        <w:rPr>
          <w:rStyle w:val="FootnoteReference"/>
          <w:rFonts w:cs="Times New Roman"/>
        </w:rPr>
        <w:footnoteReference w:id="2"/>
      </w:r>
      <w:r w:rsidRPr="0084514D">
        <w:rPr>
          <w:rFonts w:cs="Times New Roman"/>
        </w:rPr>
        <w:t xml:space="preserve">  </w:t>
      </w:r>
      <w:r w:rsidR="00992A9A" w:rsidRPr="0084514D">
        <w:rPr>
          <w:rFonts w:cs="Times New Roman"/>
        </w:rPr>
        <w:t>The legislation</w:t>
      </w:r>
      <w:r w:rsidRPr="0084514D">
        <w:rPr>
          <w:rFonts w:cs="Times New Roman"/>
        </w:rPr>
        <w:t xml:space="preserve"> enjoyed widespread support among Tennessee’s elected representatives.  It passed the Tennessee General Assembly and the Tennessee Senate</w:t>
      </w:r>
      <w:r w:rsidR="00FC529A" w:rsidRPr="0084514D">
        <w:rPr>
          <w:rFonts w:cs="Times New Roman"/>
        </w:rPr>
        <w:t xml:space="preserve"> unanimously</w:t>
      </w:r>
      <w:r w:rsidRPr="0084514D">
        <w:rPr>
          <w:rFonts w:cs="Times New Roman"/>
        </w:rPr>
        <w:t>, each of which was under the control of the Democratic Party.  The votes were 96-0 and 32-0, respectively.</w:t>
      </w:r>
      <w:r w:rsidR="0037033C" w:rsidRPr="0084514D">
        <w:rPr>
          <w:rStyle w:val="FootnoteReference"/>
          <w:rFonts w:cs="Times New Roman"/>
        </w:rPr>
        <w:footnoteReference w:id="3"/>
      </w:r>
      <w:r w:rsidRPr="0084514D">
        <w:rPr>
          <w:rFonts w:cs="Times New Roman"/>
        </w:rPr>
        <w:t xml:space="preserve">  The Republican Governor of Tennessee then signed the bill into law.</w:t>
      </w:r>
      <w:r w:rsidR="0037033C" w:rsidRPr="0084514D">
        <w:rPr>
          <w:rStyle w:val="FootnoteReference"/>
          <w:rFonts w:cs="Times New Roman"/>
        </w:rPr>
        <w:footnoteReference w:id="4"/>
      </w:r>
    </w:p>
    <w:p w14:paraId="50098DBC" w14:textId="58B0C0BF" w:rsidR="001D4A8D" w:rsidRPr="0084514D" w:rsidRDefault="00F42FB3" w:rsidP="00D57365">
      <w:pPr>
        <w:ind w:firstLine="720"/>
        <w:rPr>
          <w:rFonts w:cs="Times New Roman"/>
        </w:rPr>
      </w:pPr>
      <w:r w:rsidRPr="0084514D">
        <w:rPr>
          <w:rFonts w:cs="Times New Roman"/>
        </w:rPr>
        <w:t>Today, however, three unelected officials in Washington, DC</w:t>
      </w:r>
      <w:r w:rsidR="008F74EA" w:rsidRPr="0084514D">
        <w:rPr>
          <w:rFonts w:cs="Times New Roman"/>
        </w:rPr>
        <w:t>,</w:t>
      </w:r>
      <w:r w:rsidRPr="0084514D">
        <w:rPr>
          <w:rFonts w:cs="Times New Roman"/>
        </w:rPr>
        <w:t xml:space="preserve"> purport to rewrite Tennessee law</w:t>
      </w:r>
      <w:r w:rsidR="00FC529A" w:rsidRPr="0084514D">
        <w:rPr>
          <w:rFonts w:cs="Times New Roman"/>
        </w:rPr>
        <w:t xml:space="preserve"> on a party-line vote</w:t>
      </w:r>
      <w:r w:rsidRPr="0084514D">
        <w:rPr>
          <w:rFonts w:cs="Times New Roman"/>
        </w:rPr>
        <w:t>.</w:t>
      </w:r>
      <w:r w:rsidR="00FC529A" w:rsidRPr="0084514D">
        <w:rPr>
          <w:rFonts w:cs="Times New Roman"/>
        </w:rPr>
        <w:t xml:space="preserve">  Specifically, they attempt to empower Tennessee municipal electric systems to offer broadband service outside of their service areas</w:t>
      </w:r>
      <w:r w:rsidR="008F74EA" w:rsidRPr="0084514D">
        <w:rPr>
          <w:rFonts w:cs="Times New Roman"/>
        </w:rPr>
        <w:t>—a</w:t>
      </w:r>
      <w:r w:rsidR="00FC529A" w:rsidRPr="0084514D">
        <w:rPr>
          <w:rFonts w:cs="Times New Roman"/>
        </w:rPr>
        <w:t xml:space="preserve">uthority which those systems have </w:t>
      </w:r>
      <w:r w:rsidR="00FC529A" w:rsidRPr="0084514D">
        <w:rPr>
          <w:rFonts w:cs="Times New Roman"/>
          <w:i/>
        </w:rPr>
        <w:t>never</w:t>
      </w:r>
      <w:r w:rsidR="00FC529A" w:rsidRPr="0084514D">
        <w:rPr>
          <w:rFonts w:cs="Times New Roman"/>
        </w:rPr>
        <w:t xml:space="preserve"> possessed.  </w:t>
      </w:r>
      <w:r w:rsidR="007A783B" w:rsidRPr="0084514D">
        <w:rPr>
          <w:rFonts w:cs="Times New Roman"/>
        </w:rPr>
        <w:t>While</w:t>
      </w:r>
      <w:r w:rsidR="009C0D5F" w:rsidRPr="0084514D">
        <w:rPr>
          <w:rFonts w:cs="Times New Roman"/>
        </w:rPr>
        <w:t xml:space="preserve"> they do not </w:t>
      </w:r>
      <w:r w:rsidR="00CB6CAD" w:rsidRPr="0084514D">
        <w:rPr>
          <w:rFonts w:cs="Times New Roman"/>
        </w:rPr>
        <w:t>conte</w:t>
      </w:r>
      <w:r w:rsidR="00CB6CAD">
        <w:rPr>
          <w:rFonts w:cs="Times New Roman"/>
        </w:rPr>
        <w:t>st</w:t>
      </w:r>
      <w:r w:rsidR="00CB6CAD" w:rsidRPr="0084514D">
        <w:rPr>
          <w:rFonts w:cs="Times New Roman"/>
        </w:rPr>
        <w:t xml:space="preserve"> </w:t>
      </w:r>
      <w:r w:rsidR="009C0D5F" w:rsidRPr="0084514D">
        <w:rPr>
          <w:rFonts w:cs="Times New Roman"/>
        </w:rPr>
        <w:t>that</w:t>
      </w:r>
      <w:r w:rsidR="00FC529A" w:rsidRPr="0084514D">
        <w:rPr>
          <w:rFonts w:cs="Times New Roman"/>
        </w:rPr>
        <w:t xml:space="preserve"> Tennessee </w:t>
      </w:r>
      <w:r w:rsidR="00992A9A" w:rsidRPr="0084514D">
        <w:rPr>
          <w:rFonts w:cs="Times New Roman"/>
        </w:rPr>
        <w:t>may prohibit</w:t>
      </w:r>
      <w:r w:rsidR="00FC529A" w:rsidRPr="0084514D">
        <w:rPr>
          <w:rFonts w:cs="Times New Roman"/>
        </w:rPr>
        <w:t xml:space="preserve"> municipal electric systems </w:t>
      </w:r>
      <w:r w:rsidR="00992A9A" w:rsidRPr="0084514D">
        <w:rPr>
          <w:rFonts w:cs="Times New Roman"/>
        </w:rPr>
        <w:t>from offering</w:t>
      </w:r>
      <w:r w:rsidR="00FC529A" w:rsidRPr="0084514D">
        <w:rPr>
          <w:rFonts w:cs="Times New Roman"/>
        </w:rPr>
        <w:t xml:space="preserve"> Internet service </w:t>
      </w:r>
      <w:r w:rsidR="0002155B" w:rsidRPr="0084514D">
        <w:rPr>
          <w:rFonts w:cs="Times New Roman"/>
          <w:i/>
        </w:rPr>
        <w:t>altogether</w:t>
      </w:r>
      <w:r w:rsidR="00FC529A" w:rsidRPr="0084514D">
        <w:rPr>
          <w:rFonts w:cs="Times New Roman"/>
        </w:rPr>
        <w:t xml:space="preserve">, </w:t>
      </w:r>
      <w:r w:rsidR="009C0D5F" w:rsidRPr="0084514D">
        <w:rPr>
          <w:rFonts w:cs="Times New Roman"/>
        </w:rPr>
        <w:t xml:space="preserve">the </w:t>
      </w:r>
      <w:r w:rsidR="009C0D5F" w:rsidRPr="0084514D">
        <w:rPr>
          <w:rFonts w:cs="Times New Roman"/>
          <w:i/>
        </w:rPr>
        <w:t>Order</w:t>
      </w:r>
      <w:r w:rsidR="009C0D5F" w:rsidRPr="0084514D">
        <w:rPr>
          <w:rFonts w:cs="Times New Roman"/>
        </w:rPr>
        <w:t xml:space="preserve"> c</w:t>
      </w:r>
      <w:r w:rsidR="00C403C4" w:rsidRPr="0084514D">
        <w:rPr>
          <w:rFonts w:cs="Times New Roman"/>
        </w:rPr>
        <w:t>laims</w:t>
      </w:r>
      <w:r w:rsidR="009C0D5F" w:rsidRPr="0084514D">
        <w:rPr>
          <w:rFonts w:cs="Times New Roman"/>
        </w:rPr>
        <w:t xml:space="preserve"> that </w:t>
      </w:r>
      <w:r w:rsidR="00FC529A" w:rsidRPr="0084514D">
        <w:rPr>
          <w:rFonts w:cs="Times New Roman"/>
        </w:rPr>
        <w:t xml:space="preserve">the Volunteer State may not </w:t>
      </w:r>
      <w:r w:rsidR="00FB01D3" w:rsidRPr="0084514D">
        <w:rPr>
          <w:rFonts w:cs="Times New Roman"/>
        </w:rPr>
        <w:t xml:space="preserve">grant </w:t>
      </w:r>
      <w:r w:rsidR="00FC529A" w:rsidRPr="0084514D">
        <w:rPr>
          <w:rFonts w:cs="Times New Roman"/>
        </w:rPr>
        <w:t xml:space="preserve">municipalities such authority on the condition that they only </w:t>
      </w:r>
      <w:r w:rsidR="00A80730" w:rsidRPr="0084514D">
        <w:rPr>
          <w:rFonts w:cs="Times New Roman"/>
        </w:rPr>
        <w:t>serve customers</w:t>
      </w:r>
      <w:r w:rsidR="00FC529A" w:rsidRPr="0084514D">
        <w:rPr>
          <w:rFonts w:cs="Times New Roman"/>
        </w:rPr>
        <w:t xml:space="preserve"> within their service areas.  </w:t>
      </w:r>
      <w:r w:rsidR="001D4A8D" w:rsidRPr="0084514D">
        <w:rPr>
          <w:rFonts w:cs="Times New Roman"/>
        </w:rPr>
        <w:t>In other words, o</w:t>
      </w:r>
      <w:r w:rsidR="00FC529A" w:rsidRPr="0084514D">
        <w:rPr>
          <w:rFonts w:cs="Times New Roman"/>
        </w:rPr>
        <w:t xml:space="preserve">nce </w:t>
      </w:r>
      <w:r w:rsidR="00C752D2" w:rsidRPr="0084514D">
        <w:rPr>
          <w:rFonts w:cs="Times New Roman"/>
        </w:rPr>
        <w:t xml:space="preserve">the people’s elected representatives </w:t>
      </w:r>
      <w:r w:rsidR="00FB01D3" w:rsidRPr="0084514D">
        <w:rPr>
          <w:rFonts w:cs="Times New Roman"/>
        </w:rPr>
        <w:t xml:space="preserve">allow </w:t>
      </w:r>
      <w:r w:rsidR="00C752D2" w:rsidRPr="0084514D">
        <w:rPr>
          <w:rFonts w:cs="Times New Roman"/>
        </w:rPr>
        <w:t>municipalities</w:t>
      </w:r>
      <w:r w:rsidR="001D4A8D" w:rsidRPr="0084514D">
        <w:rPr>
          <w:rFonts w:cs="Times New Roman"/>
        </w:rPr>
        <w:t xml:space="preserve"> to offer</w:t>
      </w:r>
      <w:r w:rsidR="004506FF" w:rsidRPr="0084514D">
        <w:rPr>
          <w:rFonts w:cs="Times New Roman"/>
        </w:rPr>
        <w:t xml:space="preserve"> any</w:t>
      </w:r>
      <w:r w:rsidR="001D4A8D" w:rsidRPr="0084514D">
        <w:rPr>
          <w:rFonts w:cs="Times New Roman"/>
        </w:rPr>
        <w:t xml:space="preserve"> Internet service</w:t>
      </w:r>
      <w:r w:rsidR="00FB01D3" w:rsidRPr="0084514D">
        <w:rPr>
          <w:rFonts w:cs="Times New Roman"/>
        </w:rPr>
        <w:t xml:space="preserve"> at all</w:t>
      </w:r>
      <w:r w:rsidR="001D4A8D" w:rsidRPr="0084514D">
        <w:rPr>
          <w:rFonts w:cs="Times New Roman"/>
        </w:rPr>
        <w:t xml:space="preserve">, </w:t>
      </w:r>
      <w:r w:rsidR="002E5536" w:rsidRPr="0084514D">
        <w:rPr>
          <w:rFonts w:cs="Times New Roman"/>
        </w:rPr>
        <w:t>the camel’s nose owns the tent.</w:t>
      </w:r>
    </w:p>
    <w:p w14:paraId="5ADBC1E6" w14:textId="3AD14DAF" w:rsidR="00D3590A" w:rsidRPr="0084514D" w:rsidRDefault="00142DA3" w:rsidP="00D57365">
      <w:pPr>
        <w:ind w:firstLine="720"/>
        <w:rPr>
          <w:rFonts w:cs="Times New Roman"/>
        </w:rPr>
      </w:pPr>
      <w:r w:rsidRPr="0084514D">
        <w:rPr>
          <w:rFonts w:cs="Times New Roman"/>
        </w:rPr>
        <w:t>This decision</w:t>
      </w:r>
      <w:r w:rsidR="00097D40" w:rsidRPr="0084514D">
        <w:rPr>
          <w:rFonts w:cs="Times New Roman"/>
        </w:rPr>
        <w:t xml:space="preserve">, along with </w:t>
      </w:r>
      <w:r w:rsidR="009D3819" w:rsidRPr="0084514D">
        <w:rPr>
          <w:rFonts w:cs="Times New Roman"/>
        </w:rPr>
        <w:t>the</w:t>
      </w:r>
      <w:r w:rsidR="00097D40" w:rsidRPr="0084514D">
        <w:rPr>
          <w:rFonts w:cs="Times New Roman"/>
        </w:rPr>
        <w:t xml:space="preserve"> decision to preempt a similar North Carolina law,</w:t>
      </w:r>
      <w:r w:rsidR="0037033C" w:rsidRPr="0084514D">
        <w:rPr>
          <w:rStyle w:val="FootnoteReference"/>
          <w:rFonts w:cs="Times New Roman"/>
        </w:rPr>
        <w:footnoteReference w:id="5"/>
      </w:r>
      <w:r w:rsidRPr="0084514D">
        <w:rPr>
          <w:rFonts w:cs="Times New Roman"/>
        </w:rPr>
        <w:t xml:space="preserve"> does not make any sense.  </w:t>
      </w:r>
      <w:r w:rsidR="00C752D2" w:rsidRPr="0084514D">
        <w:rPr>
          <w:rFonts w:cs="Times New Roman"/>
        </w:rPr>
        <w:t>Even more importantly, it</w:t>
      </w:r>
      <w:r w:rsidRPr="0084514D">
        <w:rPr>
          <w:rFonts w:cs="Times New Roman"/>
        </w:rPr>
        <w:t xml:space="preserve"> </w:t>
      </w:r>
      <w:r w:rsidR="009D3819" w:rsidRPr="0084514D">
        <w:rPr>
          <w:rFonts w:cs="Times New Roman"/>
        </w:rPr>
        <w:t xml:space="preserve">is unlawful.  </w:t>
      </w:r>
      <w:r w:rsidRPr="0084514D">
        <w:rPr>
          <w:rFonts w:cs="Times New Roman"/>
        </w:rPr>
        <w:t xml:space="preserve">Supreme Court precedent </w:t>
      </w:r>
      <w:r w:rsidR="009D3819" w:rsidRPr="0084514D">
        <w:rPr>
          <w:rFonts w:cs="Times New Roman"/>
        </w:rPr>
        <w:t xml:space="preserve">makes </w:t>
      </w:r>
      <w:r w:rsidR="005E500E" w:rsidRPr="0084514D">
        <w:rPr>
          <w:rFonts w:cs="Times New Roman"/>
        </w:rPr>
        <w:t xml:space="preserve">evident </w:t>
      </w:r>
      <w:r w:rsidR="009D3819" w:rsidRPr="0084514D">
        <w:rPr>
          <w:rFonts w:cs="Times New Roman"/>
        </w:rPr>
        <w:t>that t</w:t>
      </w:r>
      <w:r w:rsidR="00C752D2" w:rsidRPr="0084514D">
        <w:rPr>
          <w:rFonts w:cs="Times New Roman"/>
        </w:rPr>
        <w:t xml:space="preserve">he </w:t>
      </w:r>
      <w:r w:rsidR="005E500E" w:rsidRPr="0084514D">
        <w:rPr>
          <w:rFonts w:cs="Times New Roman"/>
        </w:rPr>
        <w:t xml:space="preserve">FCC </w:t>
      </w:r>
      <w:r w:rsidR="00C752D2" w:rsidRPr="0084514D">
        <w:rPr>
          <w:rFonts w:cs="Times New Roman"/>
        </w:rPr>
        <w:t xml:space="preserve">simply does not have the </w:t>
      </w:r>
      <w:r w:rsidR="003909A0" w:rsidRPr="0084514D">
        <w:rPr>
          <w:rFonts w:cs="Times New Roman"/>
        </w:rPr>
        <w:t xml:space="preserve">power </w:t>
      </w:r>
      <w:r w:rsidR="00C752D2" w:rsidRPr="0084514D">
        <w:rPr>
          <w:rFonts w:cs="Times New Roman"/>
        </w:rPr>
        <w:t xml:space="preserve">to do what it claims to be doing.  In taking this step, the </w:t>
      </w:r>
      <w:r w:rsidR="005E500E" w:rsidRPr="0084514D">
        <w:rPr>
          <w:rFonts w:cs="Times New Roman"/>
        </w:rPr>
        <w:t xml:space="preserve">FCC </w:t>
      </w:r>
      <w:r w:rsidR="0037033C" w:rsidRPr="0084514D">
        <w:rPr>
          <w:rFonts w:cs="Times New Roman"/>
        </w:rPr>
        <w:t>usurp</w:t>
      </w:r>
      <w:r w:rsidR="005E500E" w:rsidRPr="0084514D">
        <w:rPr>
          <w:rFonts w:cs="Times New Roman"/>
        </w:rPr>
        <w:t>s</w:t>
      </w:r>
      <w:r w:rsidR="00C752D2" w:rsidRPr="0084514D">
        <w:rPr>
          <w:rFonts w:cs="Times New Roman"/>
        </w:rPr>
        <w:t xml:space="preserve"> fundamental aspects of state sovereignty</w:t>
      </w:r>
      <w:r w:rsidR="005E500E" w:rsidRPr="0084514D">
        <w:rPr>
          <w:rFonts w:cs="Times New Roman"/>
        </w:rPr>
        <w:t xml:space="preserve">. </w:t>
      </w:r>
      <w:r w:rsidR="00D3590A" w:rsidRPr="0084514D">
        <w:rPr>
          <w:rFonts w:cs="Times New Roman"/>
        </w:rPr>
        <w:t xml:space="preserve"> </w:t>
      </w:r>
      <w:r w:rsidR="005E500E" w:rsidRPr="0084514D">
        <w:rPr>
          <w:rFonts w:cs="Times New Roman"/>
        </w:rPr>
        <w:t>A</w:t>
      </w:r>
      <w:r w:rsidR="00D3590A" w:rsidRPr="0084514D">
        <w:rPr>
          <w:rFonts w:cs="Times New Roman"/>
        </w:rPr>
        <w:t xml:space="preserve">nd </w:t>
      </w:r>
      <w:r w:rsidR="005E500E" w:rsidRPr="0084514D">
        <w:rPr>
          <w:rFonts w:cs="Times New Roman"/>
        </w:rPr>
        <w:t xml:space="preserve">it </w:t>
      </w:r>
      <w:r w:rsidR="00A80730" w:rsidRPr="0084514D">
        <w:rPr>
          <w:rFonts w:cs="Times New Roman"/>
        </w:rPr>
        <w:t>disrupt</w:t>
      </w:r>
      <w:r w:rsidR="005E500E" w:rsidRPr="0084514D">
        <w:rPr>
          <w:rFonts w:cs="Times New Roman"/>
        </w:rPr>
        <w:t>s</w:t>
      </w:r>
      <w:r w:rsidR="00A80730" w:rsidRPr="0084514D">
        <w:rPr>
          <w:rFonts w:cs="Times New Roman"/>
        </w:rPr>
        <w:t xml:space="preserve"> the balance of power</w:t>
      </w:r>
      <w:r w:rsidR="00D3590A" w:rsidRPr="0084514D">
        <w:rPr>
          <w:rFonts w:cs="Times New Roman"/>
        </w:rPr>
        <w:t xml:space="preserve"> between </w:t>
      </w:r>
      <w:r w:rsidR="008F77B9" w:rsidRPr="0084514D">
        <w:rPr>
          <w:rFonts w:cs="Times New Roman"/>
        </w:rPr>
        <w:t>the federal government and state governments</w:t>
      </w:r>
      <w:r w:rsidR="00D3590A" w:rsidRPr="0084514D">
        <w:rPr>
          <w:rFonts w:cs="Times New Roman"/>
        </w:rPr>
        <w:t xml:space="preserve"> that lies at the core of our constitutional system of government.  </w:t>
      </w:r>
      <w:r w:rsidR="008B09D6" w:rsidRPr="0084514D">
        <w:rPr>
          <w:rFonts w:cs="Times New Roman"/>
        </w:rPr>
        <w:t>Whatever the merits of any particular municipal broadband project—</w:t>
      </w:r>
      <w:r w:rsidR="005E500E" w:rsidRPr="0084514D">
        <w:rPr>
          <w:rFonts w:cs="Times New Roman"/>
        </w:rPr>
        <w:t xml:space="preserve">and to be clear, on this </w:t>
      </w:r>
      <w:r w:rsidR="008B09D6" w:rsidRPr="0084514D">
        <w:rPr>
          <w:rFonts w:cs="Times New Roman"/>
        </w:rPr>
        <w:t xml:space="preserve">question I </w:t>
      </w:r>
      <w:r w:rsidR="005E500E" w:rsidRPr="0084514D">
        <w:rPr>
          <w:rFonts w:cs="Times New Roman"/>
        </w:rPr>
        <w:t xml:space="preserve">take no position, </w:t>
      </w:r>
      <w:r w:rsidR="008B09D6" w:rsidRPr="0084514D">
        <w:rPr>
          <w:rFonts w:cs="Times New Roman"/>
        </w:rPr>
        <w:t>defer</w:t>
      </w:r>
      <w:r w:rsidR="005E500E" w:rsidRPr="0084514D">
        <w:rPr>
          <w:rFonts w:cs="Times New Roman"/>
        </w:rPr>
        <w:t>ring</w:t>
      </w:r>
      <w:r w:rsidR="008B09D6" w:rsidRPr="0084514D">
        <w:rPr>
          <w:rFonts w:cs="Times New Roman"/>
        </w:rPr>
        <w:t xml:space="preserve"> to </w:t>
      </w:r>
      <w:r w:rsidR="005E500E" w:rsidRPr="0084514D">
        <w:rPr>
          <w:rFonts w:cs="Times New Roman"/>
        </w:rPr>
        <w:t>voters and elected officials</w:t>
      </w:r>
      <w:r w:rsidR="008B09D6" w:rsidRPr="0084514D">
        <w:rPr>
          <w:rFonts w:cs="Times New Roman"/>
        </w:rPr>
        <w:t xml:space="preserve">—I do not believe this agency has the power to preempt.  </w:t>
      </w:r>
      <w:r w:rsidR="00D3590A" w:rsidRPr="0084514D">
        <w:rPr>
          <w:rFonts w:cs="Times New Roman"/>
        </w:rPr>
        <w:t>I therefore dissent.</w:t>
      </w:r>
    </w:p>
    <w:p w14:paraId="6B029390" w14:textId="2040BBF8" w:rsidR="00F42FB3" w:rsidRPr="0084514D" w:rsidRDefault="00D3590A" w:rsidP="002416FF">
      <w:pPr>
        <w:keepNext/>
        <w:spacing w:before="240"/>
        <w:jc w:val="center"/>
        <w:rPr>
          <w:rFonts w:cs="Times New Roman"/>
        </w:rPr>
      </w:pPr>
      <w:r w:rsidRPr="0084514D">
        <w:rPr>
          <w:rFonts w:cs="Times New Roman"/>
        </w:rPr>
        <w:t>I</w:t>
      </w:r>
      <w:r w:rsidR="0084514D" w:rsidRPr="0084514D">
        <w:rPr>
          <w:rFonts w:cs="Times New Roman"/>
        </w:rPr>
        <w:t>.</w:t>
      </w:r>
    </w:p>
    <w:p w14:paraId="360802C0" w14:textId="06629E08" w:rsidR="00AB3973" w:rsidRPr="0084514D" w:rsidRDefault="00992A9A" w:rsidP="0084514D">
      <w:pPr>
        <w:ind w:firstLine="720"/>
        <w:rPr>
          <w:rFonts w:cs="Times New Roman"/>
        </w:rPr>
      </w:pPr>
      <w:r w:rsidRPr="0084514D">
        <w:rPr>
          <w:rFonts w:cs="Times New Roman"/>
        </w:rPr>
        <w:t>Let’s begin</w:t>
      </w:r>
      <w:r w:rsidR="00A80730" w:rsidRPr="0084514D">
        <w:rPr>
          <w:rFonts w:cs="Times New Roman"/>
        </w:rPr>
        <w:t xml:space="preserve"> with</w:t>
      </w:r>
      <w:r w:rsidRPr="0084514D">
        <w:rPr>
          <w:rFonts w:cs="Times New Roman"/>
        </w:rPr>
        <w:t xml:space="preserve"> the one key point that today’s </w:t>
      </w:r>
      <w:r w:rsidRPr="0084514D">
        <w:rPr>
          <w:rFonts w:cs="Times New Roman"/>
          <w:i/>
        </w:rPr>
        <w:t>Order</w:t>
      </w:r>
      <w:r w:rsidRPr="0084514D">
        <w:rPr>
          <w:rFonts w:cs="Times New Roman"/>
        </w:rPr>
        <w:t xml:space="preserve"> </w:t>
      </w:r>
      <w:r w:rsidR="009C0D5F" w:rsidRPr="0084514D">
        <w:rPr>
          <w:rFonts w:cs="Times New Roman"/>
        </w:rPr>
        <w:t xml:space="preserve">does not </w:t>
      </w:r>
      <w:r w:rsidR="00DC173C" w:rsidRPr="0084514D">
        <w:rPr>
          <w:rFonts w:cs="Times New Roman"/>
        </w:rPr>
        <w:t>dispute</w:t>
      </w:r>
      <w:r w:rsidRPr="0084514D">
        <w:rPr>
          <w:rFonts w:cs="Times New Roman"/>
        </w:rPr>
        <w:t>:  T</w:t>
      </w:r>
      <w:r w:rsidR="0015123B" w:rsidRPr="0084514D">
        <w:rPr>
          <w:rFonts w:cs="Times New Roman"/>
        </w:rPr>
        <w:t xml:space="preserve">he Commission cannot preempt state laws that </w:t>
      </w:r>
      <w:r w:rsidR="00555BC6" w:rsidRPr="0084514D">
        <w:rPr>
          <w:rFonts w:cs="Times New Roman"/>
        </w:rPr>
        <w:t xml:space="preserve">flat-out </w:t>
      </w:r>
      <w:r w:rsidR="0015123B" w:rsidRPr="0084514D">
        <w:rPr>
          <w:rFonts w:cs="Times New Roman"/>
        </w:rPr>
        <w:t>prohibit municipalities from offering broadband service.</w:t>
      </w:r>
      <w:r w:rsidRPr="0084514D">
        <w:rPr>
          <w:rFonts w:cs="Times New Roman"/>
        </w:rPr>
        <w:t xml:space="preserve">  Why?  The answer </w:t>
      </w:r>
      <w:r w:rsidR="00A80730" w:rsidRPr="0084514D">
        <w:rPr>
          <w:rFonts w:cs="Times New Roman"/>
        </w:rPr>
        <w:t xml:space="preserve">begins </w:t>
      </w:r>
      <w:r w:rsidR="00097D40" w:rsidRPr="0084514D">
        <w:rPr>
          <w:rFonts w:cs="Times New Roman"/>
        </w:rPr>
        <w:t>with</w:t>
      </w:r>
      <w:r w:rsidRPr="0084514D">
        <w:rPr>
          <w:rFonts w:cs="Times New Roman"/>
        </w:rPr>
        <w:t xml:space="preserve"> Constitutional Law 101.</w:t>
      </w:r>
    </w:p>
    <w:p w14:paraId="6C5E5398" w14:textId="20C133B8" w:rsidR="004801BA" w:rsidRPr="0084514D" w:rsidRDefault="00992A9A" w:rsidP="008C7FE3">
      <w:pPr>
        <w:ind w:firstLine="720"/>
        <w:rPr>
          <w:rFonts w:cs="Times New Roman"/>
        </w:rPr>
      </w:pPr>
      <w:r w:rsidRPr="0084514D">
        <w:rPr>
          <w:rFonts w:cs="Times New Roman"/>
        </w:rPr>
        <w:t xml:space="preserve">Our </w:t>
      </w:r>
      <w:r w:rsidR="00BC5DF0" w:rsidRPr="0084514D">
        <w:rPr>
          <w:rFonts w:cs="Times New Roman"/>
        </w:rPr>
        <w:t>Constitution establishes a system of dual sovereig</w:t>
      </w:r>
      <w:r w:rsidR="000E4902" w:rsidRPr="0084514D">
        <w:rPr>
          <w:rFonts w:cs="Times New Roman"/>
        </w:rPr>
        <w:t>nty between the States and the federal g</w:t>
      </w:r>
      <w:r w:rsidR="00BC5DF0" w:rsidRPr="0084514D">
        <w:rPr>
          <w:rFonts w:cs="Times New Roman"/>
        </w:rPr>
        <w:t>overnment</w:t>
      </w:r>
      <w:r w:rsidR="008B7E9D" w:rsidRPr="0084514D">
        <w:rPr>
          <w:rFonts w:cs="Times New Roman"/>
        </w:rPr>
        <w:t xml:space="preserve">, such that </w:t>
      </w:r>
      <w:r w:rsidR="00913D25" w:rsidRPr="0084514D">
        <w:rPr>
          <w:rFonts w:cs="Times New Roman"/>
        </w:rPr>
        <w:t>sovereignty rests</w:t>
      </w:r>
      <w:r w:rsidR="006D6D5C" w:rsidRPr="0084514D">
        <w:rPr>
          <w:rFonts w:cs="Times New Roman"/>
        </w:rPr>
        <w:t xml:space="preserve"> concurrently</w:t>
      </w:r>
      <w:r w:rsidR="000E4902" w:rsidRPr="0084514D">
        <w:rPr>
          <w:rFonts w:cs="Times New Roman"/>
        </w:rPr>
        <w:t xml:space="preserve"> with both the federal g</w:t>
      </w:r>
      <w:r w:rsidR="00913D25" w:rsidRPr="0084514D">
        <w:rPr>
          <w:rFonts w:cs="Times New Roman"/>
        </w:rPr>
        <w:t>overnment and the States.</w:t>
      </w:r>
      <w:r w:rsidR="001F14C1" w:rsidRPr="0084514D">
        <w:rPr>
          <w:rStyle w:val="FootnoteReference"/>
          <w:rFonts w:cs="Times New Roman"/>
        </w:rPr>
        <w:footnoteReference w:id="6"/>
      </w:r>
      <w:r w:rsidR="00C53879" w:rsidRPr="0084514D">
        <w:rPr>
          <w:rFonts w:cs="Times New Roman"/>
        </w:rPr>
        <w:t xml:space="preserve"> </w:t>
      </w:r>
      <w:r w:rsidR="006A164F" w:rsidRPr="0084514D">
        <w:rPr>
          <w:rFonts w:cs="Times New Roman"/>
        </w:rPr>
        <w:t xml:space="preserve"> </w:t>
      </w:r>
      <w:r w:rsidR="00502169" w:rsidRPr="0084514D">
        <w:rPr>
          <w:rFonts w:cs="Times New Roman"/>
        </w:rPr>
        <w:t xml:space="preserve">Specifically, the </w:t>
      </w:r>
      <w:r w:rsidRPr="0084514D">
        <w:rPr>
          <w:rFonts w:cs="Times New Roman"/>
        </w:rPr>
        <w:t xml:space="preserve">Tenth </w:t>
      </w:r>
      <w:r w:rsidR="00502169" w:rsidRPr="0084514D">
        <w:rPr>
          <w:rFonts w:cs="Times New Roman"/>
        </w:rPr>
        <w:t xml:space="preserve">Amendment </w:t>
      </w:r>
      <w:r w:rsidR="005E20F2" w:rsidRPr="0084514D">
        <w:rPr>
          <w:rFonts w:cs="Times New Roman"/>
        </w:rPr>
        <w:t>reserves all powers not</w:t>
      </w:r>
      <w:r w:rsidR="000E4902" w:rsidRPr="0084514D">
        <w:rPr>
          <w:rFonts w:cs="Times New Roman"/>
        </w:rPr>
        <w:t xml:space="preserve"> specifically delegated to the federal g</w:t>
      </w:r>
      <w:r w:rsidR="005E20F2" w:rsidRPr="0084514D">
        <w:rPr>
          <w:rFonts w:cs="Times New Roman"/>
        </w:rPr>
        <w:t>overnment</w:t>
      </w:r>
      <w:r w:rsidR="006F2350" w:rsidRPr="0084514D">
        <w:rPr>
          <w:rFonts w:cs="Times New Roman"/>
        </w:rPr>
        <w:t xml:space="preserve"> by the Constitution</w:t>
      </w:r>
      <w:r w:rsidR="005E20F2" w:rsidRPr="0084514D">
        <w:rPr>
          <w:rFonts w:cs="Times New Roman"/>
        </w:rPr>
        <w:t xml:space="preserve"> to the States</w:t>
      </w:r>
      <w:r w:rsidR="006F2350" w:rsidRPr="0084514D">
        <w:rPr>
          <w:rFonts w:cs="Times New Roman"/>
        </w:rPr>
        <w:t xml:space="preserve"> or to the people</w:t>
      </w:r>
      <w:r w:rsidR="005E20F2" w:rsidRPr="0084514D">
        <w:rPr>
          <w:rFonts w:cs="Times New Roman"/>
        </w:rPr>
        <w:t>.</w:t>
      </w:r>
      <w:r w:rsidR="00200DF5" w:rsidRPr="0084514D">
        <w:rPr>
          <w:rStyle w:val="FootnoteReference"/>
          <w:rFonts w:cs="Times New Roman"/>
        </w:rPr>
        <w:footnoteReference w:id="7"/>
      </w:r>
      <w:r w:rsidR="006F2350" w:rsidRPr="0084514D">
        <w:rPr>
          <w:rFonts w:cs="Times New Roman"/>
        </w:rPr>
        <w:t xml:space="preserve"> </w:t>
      </w:r>
      <w:r w:rsidRPr="0084514D">
        <w:rPr>
          <w:rFonts w:cs="Times New Roman"/>
        </w:rPr>
        <w:t xml:space="preserve"> </w:t>
      </w:r>
      <w:r w:rsidR="00097D40" w:rsidRPr="0084514D">
        <w:rPr>
          <w:rFonts w:cs="Times New Roman"/>
        </w:rPr>
        <w:t xml:space="preserve">Thus, </w:t>
      </w:r>
      <w:r w:rsidR="007866B5" w:rsidRPr="0084514D">
        <w:rPr>
          <w:rFonts w:cs="Times New Roman"/>
        </w:rPr>
        <w:t xml:space="preserve">States are not creations of the </w:t>
      </w:r>
      <w:r w:rsidR="007866B5" w:rsidRPr="0084514D">
        <w:rPr>
          <w:rFonts w:cs="Times New Roman"/>
        </w:rPr>
        <w:lastRenderedPageBreak/>
        <w:t xml:space="preserve">central government.  </w:t>
      </w:r>
      <w:r w:rsidR="00DC173C" w:rsidRPr="0084514D">
        <w:rPr>
          <w:rFonts w:cs="Times New Roman"/>
        </w:rPr>
        <w:t>T</w:t>
      </w:r>
      <w:r w:rsidR="007866B5" w:rsidRPr="0084514D">
        <w:rPr>
          <w:rFonts w:cs="Times New Roman"/>
        </w:rPr>
        <w:t xml:space="preserve">hey are separate sovereigns.  </w:t>
      </w:r>
      <w:r w:rsidR="004E225F" w:rsidRPr="0084514D">
        <w:rPr>
          <w:rFonts w:cs="Times New Roman"/>
        </w:rPr>
        <w:t xml:space="preserve">This </w:t>
      </w:r>
      <w:r w:rsidR="007866B5" w:rsidRPr="0084514D">
        <w:rPr>
          <w:rFonts w:cs="Times New Roman"/>
        </w:rPr>
        <w:t>distribution of sovereignty</w:t>
      </w:r>
      <w:r w:rsidR="004E225F" w:rsidRPr="0084514D">
        <w:rPr>
          <w:rFonts w:cs="Times New Roman"/>
        </w:rPr>
        <w:t>, otherwise kn</w:t>
      </w:r>
      <w:r w:rsidR="005340F9" w:rsidRPr="0084514D">
        <w:rPr>
          <w:rFonts w:cs="Times New Roman"/>
        </w:rPr>
        <w:t xml:space="preserve">own as federalism, is the defining </w:t>
      </w:r>
      <w:r w:rsidR="003909A0" w:rsidRPr="0084514D">
        <w:rPr>
          <w:rFonts w:cs="Times New Roman"/>
        </w:rPr>
        <w:t xml:space="preserve">feature </w:t>
      </w:r>
      <w:r w:rsidR="005340F9" w:rsidRPr="0084514D">
        <w:rPr>
          <w:rFonts w:cs="Times New Roman"/>
        </w:rPr>
        <w:t xml:space="preserve">of the relationship between the federal and state governments. </w:t>
      </w:r>
    </w:p>
    <w:p w14:paraId="7EBECB0E" w14:textId="699B4EBF" w:rsidR="00A926DA" w:rsidRPr="0084514D" w:rsidRDefault="007866B5" w:rsidP="008C7FE3">
      <w:pPr>
        <w:ind w:firstLine="720"/>
        <w:rPr>
          <w:rFonts w:cs="Times New Roman"/>
        </w:rPr>
      </w:pPr>
      <w:r w:rsidRPr="0084514D">
        <w:rPr>
          <w:rFonts w:cs="Times New Roman"/>
        </w:rPr>
        <w:t>The relationship between a State and its political subdivisions</w:t>
      </w:r>
      <w:r w:rsidR="003909A0" w:rsidRPr="0084514D">
        <w:rPr>
          <w:rFonts w:cs="Times New Roman"/>
        </w:rPr>
        <w:t xml:space="preserve"> (counties and cities)</w:t>
      </w:r>
      <w:r w:rsidRPr="0084514D">
        <w:rPr>
          <w:rFonts w:cs="Times New Roman"/>
        </w:rPr>
        <w:t xml:space="preserve">, however, is </w:t>
      </w:r>
      <w:r w:rsidR="000E4902" w:rsidRPr="0084514D">
        <w:rPr>
          <w:rFonts w:cs="Times New Roman"/>
        </w:rPr>
        <w:t>an entirely different animal</w:t>
      </w:r>
      <w:r w:rsidRPr="0084514D">
        <w:rPr>
          <w:rFonts w:cs="Times New Roman"/>
        </w:rPr>
        <w:t xml:space="preserve">.  </w:t>
      </w:r>
      <w:r w:rsidR="003909A0" w:rsidRPr="0084514D">
        <w:rPr>
          <w:rFonts w:cs="Times New Roman"/>
        </w:rPr>
        <w:t>Legally speaking, m</w:t>
      </w:r>
      <w:r w:rsidRPr="0084514D">
        <w:rPr>
          <w:rFonts w:cs="Times New Roman"/>
        </w:rPr>
        <w:t>unicipalities exist as arms of the State</w:t>
      </w:r>
      <w:r w:rsidR="00DC173C" w:rsidRPr="0084514D">
        <w:rPr>
          <w:rFonts w:cs="Times New Roman"/>
        </w:rPr>
        <w:t>.  As the Supreme Court has explained</w:t>
      </w:r>
      <w:r w:rsidR="002E5536" w:rsidRPr="0084514D">
        <w:rPr>
          <w:rFonts w:cs="Times New Roman"/>
        </w:rPr>
        <w:t>,</w:t>
      </w:r>
      <w:r w:rsidR="00DC173C" w:rsidRPr="0084514D">
        <w:rPr>
          <w:rFonts w:cs="Times New Roman"/>
        </w:rPr>
        <w:t xml:space="preserve"> municipalities are</w:t>
      </w:r>
      <w:r w:rsidRPr="0084514D">
        <w:rPr>
          <w:rFonts w:cs="Times New Roman"/>
        </w:rPr>
        <w:t xml:space="preserve"> “created as convenient agencies for exercising such of the governmental powers of the State as may be entrusted to them</w:t>
      </w:r>
      <w:r w:rsidR="00AC7F3F">
        <w:rPr>
          <w:rFonts w:cs="Times New Roman"/>
        </w:rPr>
        <w:t> </w:t>
      </w:r>
      <w:r w:rsidR="008F74EA" w:rsidRPr="0084514D">
        <w:rPr>
          <w:rFonts w:cs="Times New Roman"/>
        </w:rPr>
        <w:t>.</w:t>
      </w:r>
      <w:r w:rsidR="00AC7F3F">
        <w:rPr>
          <w:rFonts w:cs="Times New Roman"/>
        </w:rPr>
        <w:t> </w:t>
      </w:r>
      <w:r w:rsidR="008F74EA" w:rsidRPr="0084514D">
        <w:rPr>
          <w:rFonts w:cs="Times New Roman"/>
        </w:rPr>
        <w:t>.</w:t>
      </w:r>
      <w:r w:rsidR="00AC7F3F">
        <w:rPr>
          <w:rFonts w:cs="Times New Roman"/>
        </w:rPr>
        <w:t> </w:t>
      </w:r>
      <w:r w:rsidR="008F74EA" w:rsidRPr="0084514D">
        <w:rPr>
          <w:rFonts w:cs="Times New Roman"/>
        </w:rPr>
        <w:t xml:space="preserve">. </w:t>
      </w:r>
      <w:r w:rsidRPr="0084514D">
        <w:rPr>
          <w:rFonts w:cs="Times New Roman"/>
        </w:rPr>
        <w:t xml:space="preserve">in </w:t>
      </w:r>
      <w:r w:rsidR="008F74EA" w:rsidRPr="0084514D">
        <w:rPr>
          <w:rFonts w:cs="Times New Roman"/>
        </w:rPr>
        <w:t>[</w:t>
      </w:r>
      <w:r w:rsidRPr="0084514D">
        <w:rPr>
          <w:rFonts w:cs="Times New Roman"/>
        </w:rPr>
        <w:t>its</w:t>
      </w:r>
      <w:r w:rsidR="008F74EA" w:rsidRPr="0084514D">
        <w:rPr>
          <w:rFonts w:cs="Times New Roman"/>
        </w:rPr>
        <w:t>]</w:t>
      </w:r>
      <w:r w:rsidRPr="0084514D">
        <w:rPr>
          <w:rFonts w:cs="Times New Roman"/>
        </w:rPr>
        <w:t xml:space="preserve"> absolute discretion.”</w:t>
      </w:r>
      <w:r w:rsidR="00A926DA" w:rsidRPr="0084514D">
        <w:rPr>
          <w:rStyle w:val="FootnoteReference"/>
          <w:rFonts w:cs="Times New Roman"/>
        </w:rPr>
        <w:footnoteReference w:id="8"/>
      </w:r>
      <w:r w:rsidRPr="0084514D">
        <w:rPr>
          <w:rFonts w:cs="Times New Roman"/>
        </w:rPr>
        <w:t xml:space="preserve">  </w:t>
      </w:r>
      <w:r w:rsidR="00DC173C" w:rsidRPr="0084514D">
        <w:rPr>
          <w:rFonts w:cs="Times New Roman"/>
        </w:rPr>
        <w:t>Because a</w:t>
      </w:r>
      <w:r w:rsidR="00DE1C35" w:rsidRPr="0084514D">
        <w:rPr>
          <w:rFonts w:cs="Times New Roman"/>
        </w:rPr>
        <w:t xml:space="preserve"> municipality is merely a department of the state, the state may withhold, grant or withdraw powers and privileges </w:t>
      </w:r>
      <w:r w:rsidR="003909A0" w:rsidRPr="0084514D">
        <w:rPr>
          <w:rFonts w:cs="Times New Roman"/>
        </w:rPr>
        <w:t xml:space="preserve">to </w:t>
      </w:r>
      <w:r w:rsidR="009C0D5F" w:rsidRPr="0084514D">
        <w:rPr>
          <w:rFonts w:cs="Times New Roman"/>
        </w:rPr>
        <w:t xml:space="preserve">a </w:t>
      </w:r>
      <w:r w:rsidR="003909A0" w:rsidRPr="0084514D">
        <w:rPr>
          <w:rFonts w:cs="Times New Roman"/>
        </w:rPr>
        <w:t xml:space="preserve">municipality </w:t>
      </w:r>
      <w:r w:rsidR="00DE1C35" w:rsidRPr="0084514D">
        <w:rPr>
          <w:rFonts w:cs="Times New Roman"/>
        </w:rPr>
        <w:t>as it sees fit.</w:t>
      </w:r>
      <w:r w:rsidR="00995E9A" w:rsidRPr="0084514D">
        <w:rPr>
          <w:rFonts w:cs="Times New Roman"/>
        </w:rPr>
        <w:t xml:space="preserve"> </w:t>
      </w:r>
      <w:r w:rsidR="00DE1C35" w:rsidRPr="0084514D">
        <w:rPr>
          <w:rFonts w:cs="Times New Roman"/>
        </w:rPr>
        <w:t xml:space="preserve"> </w:t>
      </w:r>
      <w:r w:rsidR="00DC173C" w:rsidRPr="0084514D">
        <w:rPr>
          <w:rFonts w:cs="Times New Roman"/>
        </w:rPr>
        <w:t>That is to say, cities and counties are not s</w:t>
      </w:r>
      <w:r w:rsidRPr="0084514D">
        <w:rPr>
          <w:rFonts w:cs="Times New Roman"/>
        </w:rPr>
        <w:t>overeign.</w:t>
      </w:r>
      <w:r w:rsidR="00DE1C35" w:rsidRPr="0084514D">
        <w:rPr>
          <w:rStyle w:val="FootnoteReference"/>
          <w:rFonts w:cs="Times New Roman"/>
        </w:rPr>
        <w:footnoteReference w:id="9"/>
      </w:r>
      <w:r w:rsidRPr="0084514D">
        <w:rPr>
          <w:rFonts w:cs="Times New Roman"/>
        </w:rPr>
        <w:t xml:space="preserve">  </w:t>
      </w:r>
      <w:r w:rsidR="00DE1C35" w:rsidRPr="0084514D">
        <w:rPr>
          <w:rFonts w:cs="Times New Roman"/>
        </w:rPr>
        <w:t xml:space="preserve">A </w:t>
      </w:r>
      <w:r w:rsidR="00DC173C" w:rsidRPr="0084514D">
        <w:rPr>
          <w:rFonts w:cs="Times New Roman"/>
        </w:rPr>
        <w:t xml:space="preserve">municipality </w:t>
      </w:r>
      <w:r w:rsidR="00DE1C35" w:rsidRPr="0084514D">
        <w:rPr>
          <w:rFonts w:cs="Times New Roman"/>
        </w:rPr>
        <w:t>has “no privileges or immunities under the federal constitution which it may invoke in opposition to the will of its creator.”</w:t>
      </w:r>
      <w:r w:rsidR="00DE1C35" w:rsidRPr="0084514D">
        <w:rPr>
          <w:rStyle w:val="FootnoteReference"/>
          <w:rFonts w:cs="Times New Roman"/>
        </w:rPr>
        <w:footnoteReference w:id="10"/>
      </w:r>
    </w:p>
    <w:p w14:paraId="5AFA1FA3" w14:textId="1E5B2C13" w:rsidR="00A926DA" w:rsidRPr="0084514D" w:rsidRDefault="00A926DA" w:rsidP="008C7FE3">
      <w:pPr>
        <w:ind w:firstLine="720"/>
        <w:rPr>
          <w:rFonts w:cs="Times New Roman"/>
        </w:rPr>
      </w:pPr>
      <w:r w:rsidRPr="0084514D">
        <w:rPr>
          <w:rFonts w:cs="Times New Roman"/>
        </w:rPr>
        <w:t xml:space="preserve">What does all </w:t>
      </w:r>
      <w:r w:rsidR="00E16225" w:rsidRPr="0084514D">
        <w:rPr>
          <w:rFonts w:cs="Times New Roman"/>
        </w:rPr>
        <w:t xml:space="preserve">of </w:t>
      </w:r>
      <w:r w:rsidRPr="0084514D">
        <w:rPr>
          <w:rFonts w:cs="Times New Roman"/>
        </w:rPr>
        <w:t xml:space="preserve">this mean for purposes of today’s </w:t>
      </w:r>
      <w:r w:rsidRPr="0084514D">
        <w:rPr>
          <w:rFonts w:cs="Times New Roman"/>
          <w:i/>
        </w:rPr>
        <w:t>Order</w:t>
      </w:r>
      <w:r w:rsidRPr="0084514D">
        <w:rPr>
          <w:rFonts w:cs="Times New Roman"/>
        </w:rPr>
        <w:t xml:space="preserve">?  </w:t>
      </w:r>
      <w:r w:rsidRPr="0084514D">
        <w:rPr>
          <w:rFonts w:cs="Times New Roman"/>
          <w:i/>
        </w:rPr>
        <w:t>First</w:t>
      </w:r>
      <w:r w:rsidRPr="0084514D">
        <w:rPr>
          <w:rFonts w:cs="Times New Roman"/>
        </w:rPr>
        <w:t>, as a result of our system of dual sovereignty, the Supreme Court has advised</w:t>
      </w:r>
      <w:r w:rsidR="003837CD" w:rsidRPr="0084514D">
        <w:rPr>
          <w:rFonts w:cs="Times New Roman"/>
        </w:rPr>
        <w:t xml:space="preserve"> that</w:t>
      </w:r>
      <w:r w:rsidRPr="0084514D">
        <w:rPr>
          <w:rFonts w:cs="Times New Roman"/>
        </w:rPr>
        <w:t xml:space="preserve"> any “federal legislation threatening to trench on the States’ arrangements for conducting their own governments should be treated with great skepticism.”</w:t>
      </w:r>
      <w:r w:rsidRPr="0084514D">
        <w:rPr>
          <w:rStyle w:val="FootnoteReference"/>
          <w:rFonts w:cs="Times New Roman"/>
        </w:rPr>
        <w:footnoteReference w:id="11"/>
      </w:r>
      <w:r w:rsidRPr="0084514D">
        <w:rPr>
          <w:rFonts w:cs="Times New Roman"/>
        </w:rPr>
        <w:t xml:space="preserve">  Specifically, in </w:t>
      </w:r>
      <w:r w:rsidRPr="0084514D">
        <w:rPr>
          <w:rFonts w:cs="Times New Roman"/>
          <w:i/>
        </w:rPr>
        <w:t>Gregory v. Ashcroft</w:t>
      </w:r>
      <w:r w:rsidRPr="0084514D">
        <w:rPr>
          <w:rFonts w:cs="Times New Roman"/>
        </w:rPr>
        <w:t xml:space="preserve">, the Court held that if </w:t>
      </w:r>
      <w:r w:rsidR="00511325" w:rsidRPr="0084514D">
        <w:rPr>
          <w:rFonts w:cs="Times New Roman"/>
        </w:rPr>
        <w:t xml:space="preserve">Congress </w:t>
      </w:r>
      <w:r w:rsidRPr="0084514D">
        <w:rPr>
          <w:rFonts w:cs="Times New Roman"/>
        </w:rPr>
        <w:t>wishes to allow the fed</w:t>
      </w:r>
      <w:r w:rsidR="00A80730" w:rsidRPr="0084514D">
        <w:rPr>
          <w:rFonts w:cs="Times New Roman"/>
        </w:rPr>
        <w:t>eral government to preempt the S</w:t>
      </w:r>
      <w:r w:rsidRPr="0084514D">
        <w:rPr>
          <w:rFonts w:cs="Times New Roman"/>
        </w:rPr>
        <w:t xml:space="preserve">tates’ historic powers, </w:t>
      </w:r>
      <w:r w:rsidR="00511325" w:rsidRPr="0084514D">
        <w:rPr>
          <w:rFonts w:cs="Times New Roman"/>
        </w:rPr>
        <w:t xml:space="preserve">it </w:t>
      </w:r>
      <w:r w:rsidRPr="0084514D">
        <w:rPr>
          <w:rFonts w:cs="Times New Roman"/>
        </w:rPr>
        <w:t>must make its intent “unmistakably clear.”</w:t>
      </w:r>
      <w:r w:rsidRPr="0084514D">
        <w:rPr>
          <w:rStyle w:val="FootnoteReference"/>
          <w:rFonts w:cs="Times New Roman"/>
        </w:rPr>
        <w:footnoteReference w:id="12"/>
      </w:r>
      <w:r w:rsidR="007536E3" w:rsidRPr="0084514D">
        <w:rPr>
          <w:rFonts w:cs="Times New Roman"/>
        </w:rPr>
        <w:t xml:space="preserve">  This has come to be know</w:t>
      </w:r>
      <w:r w:rsidR="0084514D">
        <w:rPr>
          <w:rFonts w:cs="Times New Roman"/>
        </w:rPr>
        <w:t>n as the clear statement rule.</w:t>
      </w:r>
    </w:p>
    <w:p w14:paraId="7CC9073C" w14:textId="7C44C89D" w:rsidR="007866B5" w:rsidRPr="0084514D" w:rsidRDefault="00A926DA" w:rsidP="008C7FE3">
      <w:pPr>
        <w:ind w:firstLine="720"/>
        <w:rPr>
          <w:rFonts w:cs="Times New Roman"/>
        </w:rPr>
      </w:pPr>
      <w:r w:rsidRPr="0084514D">
        <w:rPr>
          <w:rFonts w:cs="Times New Roman"/>
        </w:rPr>
        <w:t xml:space="preserve">And </w:t>
      </w:r>
      <w:r w:rsidRPr="0084514D">
        <w:rPr>
          <w:rFonts w:cs="Times New Roman"/>
          <w:i/>
        </w:rPr>
        <w:t>second</w:t>
      </w:r>
      <w:r w:rsidR="007866B5" w:rsidRPr="0084514D">
        <w:rPr>
          <w:rFonts w:cs="Times New Roman"/>
        </w:rPr>
        <w:t xml:space="preserve">, </w:t>
      </w:r>
      <w:r w:rsidRPr="0084514D">
        <w:rPr>
          <w:rFonts w:cs="Times New Roman"/>
        </w:rPr>
        <w:t xml:space="preserve">because localities are merely creations of the State, </w:t>
      </w:r>
      <w:r w:rsidR="007866B5" w:rsidRPr="0084514D">
        <w:rPr>
          <w:rFonts w:cs="Times New Roman"/>
        </w:rPr>
        <w:t xml:space="preserve">any attempt </w:t>
      </w:r>
      <w:r w:rsidRPr="0084514D">
        <w:rPr>
          <w:rFonts w:cs="Times New Roman"/>
        </w:rPr>
        <w:t xml:space="preserve">by the federal government </w:t>
      </w:r>
      <w:r w:rsidR="007866B5" w:rsidRPr="0084514D">
        <w:rPr>
          <w:rFonts w:cs="Times New Roman"/>
        </w:rPr>
        <w:t>to interfere with a State’s governance of its own municipalities necessarily “constrains traditional state authority to order its government.”</w:t>
      </w:r>
      <w:r w:rsidR="00BF2849" w:rsidRPr="0084514D">
        <w:rPr>
          <w:rStyle w:val="FootnoteReference"/>
          <w:rFonts w:cs="Times New Roman"/>
        </w:rPr>
        <w:footnoteReference w:id="13"/>
      </w:r>
      <w:r w:rsidR="007866B5" w:rsidRPr="0084514D">
        <w:rPr>
          <w:rFonts w:cs="Times New Roman"/>
        </w:rPr>
        <w:t xml:space="preserve"> </w:t>
      </w:r>
      <w:r w:rsidRPr="0084514D">
        <w:rPr>
          <w:rFonts w:cs="Times New Roman"/>
        </w:rPr>
        <w:t xml:space="preserve"> Indeed</w:t>
      </w:r>
      <w:r w:rsidR="007866B5" w:rsidRPr="0084514D">
        <w:rPr>
          <w:rFonts w:cs="Times New Roman"/>
        </w:rPr>
        <w:t xml:space="preserve">, </w:t>
      </w:r>
      <w:r w:rsidRPr="0084514D">
        <w:rPr>
          <w:rFonts w:cs="Times New Roman"/>
        </w:rPr>
        <w:t xml:space="preserve">the </w:t>
      </w:r>
      <w:r w:rsidR="007866B5" w:rsidRPr="0084514D">
        <w:rPr>
          <w:rFonts w:cs="Times New Roman"/>
        </w:rPr>
        <w:t>D.C. Circuit ha</w:t>
      </w:r>
      <w:r w:rsidR="003837CD" w:rsidRPr="0084514D">
        <w:rPr>
          <w:rFonts w:cs="Times New Roman"/>
        </w:rPr>
        <w:t>s</w:t>
      </w:r>
      <w:r w:rsidR="007866B5" w:rsidRPr="0084514D">
        <w:rPr>
          <w:rFonts w:cs="Times New Roman"/>
        </w:rPr>
        <w:t xml:space="preserve"> held that “interfering with the relationship between a State and its political subdivisions strikes near the heart of State sovereignty.”</w:t>
      </w:r>
      <w:r w:rsidRPr="0084514D">
        <w:rPr>
          <w:rStyle w:val="FootnoteReference"/>
          <w:rFonts w:cs="Times New Roman"/>
        </w:rPr>
        <w:footnoteReference w:id="14"/>
      </w:r>
    </w:p>
    <w:p w14:paraId="0D40643D" w14:textId="2A92DF20" w:rsidR="00FB1E5D" w:rsidRPr="0084514D" w:rsidRDefault="00066E66" w:rsidP="004801BA">
      <w:pPr>
        <w:ind w:firstLine="720"/>
        <w:rPr>
          <w:rFonts w:cs="Times New Roman"/>
        </w:rPr>
      </w:pPr>
      <w:r w:rsidRPr="0084514D">
        <w:rPr>
          <w:rFonts w:cs="Times New Roman"/>
        </w:rPr>
        <w:t xml:space="preserve">Each of these points applies </w:t>
      </w:r>
      <w:r w:rsidR="00C403C4" w:rsidRPr="0084514D">
        <w:rPr>
          <w:rFonts w:cs="Times New Roman"/>
        </w:rPr>
        <w:t xml:space="preserve">to </w:t>
      </w:r>
      <w:r w:rsidRPr="0084514D">
        <w:rPr>
          <w:rFonts w:cs="Times New Roman"/>
        </w:rPr>
        <w:t xml:space="preserve">this </w:t>
      </w:r>
      <w:r w:rsidRPr="0084514D">
        <w:rPr>
          <w:rFonts w:cs="Times New Roman"/>
          <w:i/>
        </w:rPr>
        <w:t>Order</w:t>
      </w:r>
      <w:r w:rsidRPr="0084514D">
        <w:rPr>
          <w:rFonts w:cs="Times New Roman"/>
        </w:rPr>
        <w:t xml:space="preserve">.  </w:t>
      </w:r>
      <w:r w:rsidR="007536E3" w:rsidRPr="0084514D">
        <w:rPr>
          <w:rFonts w:cs="Times New Roman"/>
        </w:rPr>
        <w:t xml:space="preserve">It should come as no surprise that any attempt by the Commission to preempt </w:t>
      </w:r>
      <w:r w:rsidR="00A80730" w:rsidRPr="0084514D">
        <w:rPr>
          <w:rFonts w:cs="Times New Roman"/>
        </w:rPr>
        <w:t xml:space="preserve">a state statute </w:t>
      </w:r>
      <w:r w:rsidR="007536E3" w:rsidRPr="0084514D">
        <w:rPr>
          <w:rFonts w:cs="Times New Roman"/>
        </w:rPr>
        <w:t xml:space="preserve">prohibiting municipalities from offering broadband service would trigger the clear statement rule.  The Supreme Court case of </w:t>
      </w:r>
      <w:r w:rsidR="007536E3" w:rsidRPr="0084514D">
        <w:rPr>
          <w:rFonts w:cs="Times New Roman"/>
          <w:i/>
        </w:rPr>
        <w:t>Nixon v. Missouri Municipal League</w:t>
      </w:r>
      <w:r w:rsidR="007536E3" w:rsidRPr="0084514D">
        <w:rPr>
          <w:rFonts w:cs="Times New Roman"/>
        </w:rPr>
        <w:t xml:space="preserve"> is squarely on point.  </w:t>
      </w:r>
      <w:r w:rsidR="00AE607E" w:rsidRPr="0084514D">
        <w:rPr>
          <w:rFonts w:cs="Times New Roman"/>
        </w:rPr>
        <w:t>In that case</w:t>
      </w:r>
      <w:r w:rsidR="007536E3" w:rsidRPr="0084514D">
        <w:rPr>
          <w:rFonts w:cs="Times New Roman"/>
        </w:rPr>
        <w:t xml:space="preserve">, the Court </w:t>
      </w:r>
      <w:r w:rsidR="00AE607E" w:rsidRPr="0084514D">
        <w:rPr>
          <w:rFonts w:cs="Times New Roman"/>
        </w:rPr>
        <w:t xml:space="preserve">confronted the question of </w:t>
      </w:r>
      <w:r w:rsidR="00BF2849" w:rsidRPr="0084514D">
        <w:rPr>
          <w:rFonts w:cs="Times New Roman"/>
        </w:rPr>
        <w:t xml:space="preserve">whether the </w:t>
      </w:r>
      <w:r w:rsidR="00AE607E" w:rsidRPr="0084514D">
        <w:rPr>
          <w:rFonts w:cs="Times New Roman"/>
        </w:rPr>
        <w:t xml:space="preserve">FCC </w:t>
      </w:r>
      <w:r w:rsidR="003837CD" w:rsidRPr="0084514D">
        <w:rPr>
          <w:rFonts w:cs="Times New Roman"/>
        </w:rPr>
        <w:t>could use s</w:t>
      </w:r>
      <w:r w:rsidR="00BF2849" w:rsidRPr="0084514D">
        <w:rPr>
          <w:rFonts w:cs="Times New Roman"/>
        </w:rPr>
        <w:t>ection 253</w:t>
      </w:r>
      <w:r w:rsidR="007536E3" w:rsidRPr="0084514D">
        <w:rPr>
          <w:rFonts w:cs="Times New Roman"/>
        </w:rPr>
        <w:t xml:space="preserve"> of the Communications Act </w:t>
      </w:r>
      <w:r w:rsidR="00BF2849" w:rsidRPr="0084514D">
        <w:rPr>
          <w:rFonts w:cs="Times New Roman"/>
        </w:rPr>
        <w:t>to preempt a</w:t>
      </w:r>
      <w:r w:rsidR="007536E3" w:rsidRPr="0084514D">
        <w:rPr>
          <w:rFonts w:cs="Times New Roman"/>
        </w:rPr>
        <w:t xml:space="preserve"> Missouri law </w:t>
      </w:r>
      <w:r w:rsidR="00AE607E" w:rsidRPr="0084514D">
        <w:rPr>
          <w:rFonts w:cs="Times New Roman"/>
        </w:rPr>
        <w:t xml:space="preserve">that </w:t>
      </w:r>
      <w:r w:rsidR="007536E3" w:rsidRPr="0084514D">
        <w:rPr>
          <w:rFonts w:cs="Times New Roman"/>
        </w:rPr>
        <w:t>prohibit</w:t>
      </w:r>
      <w:r w:rsidR="00AE607E" w:rsidRPr="0084514D">
        <w:rPr>
          <w:rFonts w:cs="Times New Roman"/>
        </w:rPr>
        <w:t>ed</w:t>
      </w:r>
      <w:r w:rsidR="007536E3" w:rsidRPr="0084514D">
        <w:rPr>
          <w:rFonts w:cs="Times New Roman"/>
        </w:rPr>
        <w:t xml:space="preserve"> municipalities </w:t>
      </w:r>
      <w:r w:rsidR="00D373AF" w:rsidRPr="0084514D">
        <w:rPr>
          <w:rFonts w:cs="Times New Roman"/>
        </w:rPr>
        <w:t xml:space="preserve">from providing </w:t>
      </w:r>
      <w:r w:rsidR="007536E3" w:rsidRPr="0084514D">
        <w:rPr>
          <w:rFonts w:cs="Times New Roman"/>
        </w:rPr>
        <w:t>telecommunications services.  The Court concluded that Missouri’s ability to determine whether its municipalities could provide such services was part and parcel of the “traditional state authority to order its government</w:t>
      </w:r>
      <w:r w:rsidR="00AE607E" w:rsidRPr="0084514D">
        <w:rPr>
          <w:rFonts w:cs="Times New Roman"/>
        </w:rPr>
        <w:t>.</w:t>
      </w:r>
      <w:r w:rsidR="007536E3" w:rsidRPr="0084514D">
        <w:rPr>
          <w:rFonts w:cs="Times New Roman"/>
        </w:rPr>
        <w:t>”</w:t>
      </w:r>
      <w:r w:rsidR="00563844" w:rsidRPr="0084514D">
        <w:rPr>
          <w:rStyle w:val="FootnoteReference"/>
          <w:rFonts w:cs="Times New Roman"/>
        </w:rPr>
        <w:footnoteReference w:id="15"/>
      </w:r>
      <w:r w:rsidR="007536E3" w:rsidRPr="0084514D">
        <w:rPr>
          <w:rFonts w:cs="Times New Roman"/>
        </w:rPr>
        <w:t xml:space="preserve"> </w:t>
      </w:r>
      <w:r w:rsidR="00AE607E" w:rsidRPr="0084514D">
        <w:rPr>
          <w:rFonts w:cs="Times New Roman"/>
        </w:rPr>
        <w:t xml:space="preserve"> It </w:t>
      </w:r>
      <w:r w:rsidR="007536E3" w:rsidRPr="0084514D">
        <w:rPr>
          <w:rFonts w:cs="Times New Roman"/>
        </w:rPr>
        <w:t xml:space="preserve">therefore </w:t>
      </w:r>
      <w:r w:rsidR="00AE607E" w:rsidRPr="0084514D">
        <w:rPr>
          <w:rFonts w:cs="Times New Roman"/>
        </w:rPr>
        <w:t xml:space="preserve">decided </w:t>
      </w:r>
      <w:r w:rsidR="003837CD" w:rsidRPr="0084514D">
        <w:rPr>
          <w:rFonts w:cs="Times New Roman"/>
        </w:rPr>
        <w:t xml:space="preserve">that </w:t>
      </w:r>
      <w:r w:rsidR="007536E3" w:rsidRPr="0084514D">
        <w:rPr>
          <w:rFonts w:cs="Times New Roman"/>
        </w:rPr>
        <w:t xml:space="preserve">the clear statement rule from </w:t>
      </w:r>
      <w:r w:rsidR="007536E3" w:rsidRPr="0084514D">
        <w:rPr>
          <w:rFonts w:cs="Times New Roman"/>
          <w:i/>
        </w:rPr>
        <w:t xml:space="preserve">Gregory </w:t>
      </w:r>
      <w:r w:rsidR="007536E3" w:rsidRPr="0084514D">
        <w:rPr>
          <w:rFonts w:cs="Times New Roman"/>
        </w:rPr>
        <w:t>applied.</w:t>
      </w:r>
      <w:r w:rsidR="007536E3" w:rsidRPr="0084514D">
        <w:rPr>
          <w:rStyle w:val="FootnoteReference"/>
          <w:rFonts w:cs="Times New Roman"/>
        </w:rPr>
        <w:footnoteReference w:id="16"/>
      </w:r>
    </w:p>
    <w:p w14:paraId="2E76AD97" w14:textId="3A980CCC" w:rsidR="00BF2849" w:rsidRPr="0084514D" w:rsidRDefault="00BF2849" w:rsidP="00BF2849">
      <w:pPr>
        <w:ind w:firstLine="720"/>
        <w:rPr>
          <w:rFonts w:cs="Times New Roman"/>
        </w:rPr>
      </w:pPr>
      <w:r w:rsidRPr="0084514D">
        <w:rPr>
          <w:rFonts w:cs="Times New Roman"/>
        </w:rPr>
        <w:t xml:space="preserve">It is also </w:t>
      </w:r>
      <w:r w:rsidR="00D314B1" w:rsidRPr="0084514D">
        <w:rPr>
          <w:rFonts w:cs="Times New Roman"/>
        </w:rPr>
        <w:t xml:space="preserve">apparent </w:t>
      </w:r>
      <w:r w:rsidRPr="0084514D">
        <w:rPr>
          <w:rFonts w:cs="Times New Roman"/>
        </w:rPr>
        <w:t xml:space="preserve">that any attempt by the Commission to preempt state prohibitions on municipalities offering broadband service would </w:t>
      </w:r>
      <w:r w:rsidR="00E662CB" w:rsidRPr="0084514D">
        <w:rPr>
          <w:rFonts w:cs="Times New Roman"/>
        </w:rPr>
        <w:t>not satisfy</w:t>
      </w:r>
      <w:r w:rsidRPr="0084514D">
        <w:rPr>
          <w:rFonts w:cs="Times New Roman"/>
        </w:rPr>
        <w:t xml:space="preserve"> the clear statement rule.  The Court’s decision in </w:t>
      </w:r>
      <w:r w:rsidRPr="0084514D">
        <w:rPr>
          <w:rFonts w:cs="Times New Roman"/>
          <w:i/>
        </w:rPr>
        <w:t>Nixon</w:t>
      </w:r>
      <w:r w:rsidRPr="0084514D">
        <w:rPr>
          <w:rFonts w:cs="Times New Roman"/>
        </w:rPr>
        <w:t xml:space="preserve"> is again instructive.  There, Misso</w:t>
      </w:r>
      <w:r w:rsidR="003837CD" w:rsidRPr="0084514D">
        <w:rPr>
          <w:rFonts w:cs="Times New Roman"/>
        </w:rPr>
        <w:t>uri municipalities argued that s</w:t>
      </w:r>
      <w:r w:rsidRPr="0084514D">
        <w:rPr>
          <w:rFonts w:cs="Times New Roman"/>
        </w:rPr>
        <w:t xml:space="preserve">ection 253 of the Communications Act </w:t>
      </w:r>
      <w:r w:rsidR="00066E66" w:rsidRPr="0084514D">
        <w:rPr>
          <w:rFonts w:cs="Times New Roman"/>
        </w:rPr>
        <w:t xml:space="preserve">gave </w:t>
      </w:r>
      <w:r w:rsidRPr="0084514D">
        <w:rPr>
          <w:rFonts w:cs="Times New Roman"/>
        </w:rPr>
        <w:t xml:space="preserve">the Commission the authority to preempt the Missouri statute </w:t>
      </w:r>
      <w:r w:rsidR="00A80730" w:rsidRPr="0084514D">
        <w:rPr>
          <w:rFonts w:cs="Times New Roman"/>
        </w:rPr>
        <w:t>at issue</w:t>
      </w:r>
      <w:r w:rsidRPr="0084514D">
        <w:rPr>
          <w:rFonts w:cs="Times New Roman"/>
        </w:rPr>
        <w:t>.</w:t>
      </w:r>
      <w:r w:rsidRPr="0084514D">
        <w:rPr>
          <w:rStyle w:val="FootnoteReference"/>
          <w:rFonts w:cs="Times New Roman"/>
        </w:rPr>
        <w:footnoteReference w:id="17"/>
      </w:r>
      <w:r w:rsidR="003837CD" w:rsidRPr="0084514D">
        <w:rPr>
          <w:rFonts w:cs="Times New Roman"/>
        </w:rPr>
        <w:t xml:space="preserve">  </w:t>
      </w:r>
      <w:r w:rsidR="00066E66" w:rsidRPr="0084514D">
        <w:rPr>
          <w:rFonts w:cs="Times New Roman"/>
        </w:rPr>
        <w:t>H</w:t>
      </w:r>
      <w:r w:rsidR="003837CD" w:rsidRPr="0084514D">
        <w:rPr>
          <w:rFonts w:cs="Times New Roman"/>
        </w:rPr>
        <w:t>ere is what s</w:t>
      </w:r>
      <w:r w:rsidRPr="0084514D">
        <w:rPr>
          <w:rFonts w:cs="Times New Roman"/>
        </w:rPr>
        <w:t>ection 253 h</w:t>
      </w:r>
      <w:r w:rsidR="00A80730" w:rsidRPr="0084514D">
        <w:rPr>
          <w:rFonts w:cs="Times New Roman"/>
        </w:rPr>
        <w:t>ad</w:t>
      </w:r>
      <w:r w:rsidR="0084514D">
        <w:rPr>
          <w:rFonts w:cs="Times New Roman"/>
        </w:rPr>
        <w:t xml:space="preserve"> to say in relevant part:</w:t>
      </w:r>
    </w:p>
    <w:p w14:paraId="62565BA7" w14:textId="45948074" w:rsidR="00BF2849" w:rsidRPr="0084514D" w:rsidRDefault="00BF2849" w:rsidP="00BF2849">
      <w:pPr>
        <w:ind w:right="720" w:firstLine="720"/>
        <w:rPr>
          <w:rFonts w:cs="Times New Roman"/>
        </w:rPr>
      </w:pPr>
      <w:r w:rsidRPr="0084514D">
        <w:rPr>
          <w:rFonts w:cs="Times New Roman"/>
        </w:rPr>
        <w:t>(a) In general</w:t>
      </w:r>
    </w:p>
    <w:p w14:paraId="2606F38E" w14:textId="77777777" w:rsidR="00BF2849" w:rsidRPr="0084514D" w:rsidRDefault="00BF2849" w:rsidP="00BF2849">
      <w:pPr>
        <w:ind w:left="720" w:right="720"/>
        <w:rPr>
          <w:rFonts w:cs="Times New Roman"/>
        </w:rPr>
      </w:pPr>
      <w:r w:rsidRPr="0084514D">
        <w:rPr>
          <w:rFonts w:cs="Times New Roman"/>
        </w:rPr>
        <w:t>No state or local statute or regulation, or other State or local legal requirement, may prohibit or have the effect of prohibiting the ability of any entity to provide any interstate or intrastate telecommunications service.</w:t>
      </w:r>
    </w:p>
    <w:p w14:paraId="176B27D0" w14:textId="47FB60BB" w:rsidR="00BF2849" w:rsidRPr="0084514D" w:rsidRDefault="0084514D" w:rsidP="00BF2849">
      <w:pPr>
        <w:ind w:left="720" w:right="720"/>
        <w:rPr>
          <w:rFonts w:cs="Times New Roman"/>
        </w:rPr>
      </w:pPr>
      <w:r>
        <w:rPr>
          <w:rFonts w:cs="Times New Roman"/>
        </w:rPr>
        <w:t>. . .</w:t>
      </w:r>
    </w:p>
    <w:p w14:paraId="73BA58E9" w14:textId="77777777" w:rsidR="00BF2849" w:rsidRPr="0084514D" w:rsidRDefault="00BF2849" w:rsidP="00BF2849">
      <w:pPr>
        <w:ind w:right="720" w:firstLine="720"/>
        <w:rPr>
          <w:rFonts w:cs="Times New Roman"/>
        </w:rPr>
      </w:pPr>
      <w:r w:rsidRPr="0084514D">
        <w:rPr>
          <w:rFonts w:cs="Times New Roman"/>
        </w:rPr>
        <w:t>(d) Preemption</w:t>
      </w:r>
    </w:p>
    <w:p w14:paraId="4EF1EA0A" w14:textId="77777777" w:rsidR="00BF2849" w:rsidRPr="0084514D" w:rsidRDefault="00BF2849" w:rsidP="00BF2849">
      <w:pPr>
        <w:ind w:left="720" w:right="720"/>
        <w:rPr>
          <w:rFonts w:cs="Times New Roman"/>
        </w:rPr>
      </w:pPr>
      <w:r w:rsidRPr="0084514D">
        <w:rPr>
          <w:rFonts w:cs="Times New Roman"/>
        </w:rPr>
        <w:t xml:space="preserve">If, after notice and an opportunity for public comment, the Commission determines that a State or local government has permitted or imposed any statute, regulation, or legal requirement that violates subsection (a) or (b) of this section, </w:t>
      </w:r>
      <w:r w:rsidRPr="0084514D">
        <w:rPr>
          <w:rFonts w:cs="Times New Roman"/>
          <w:i/>
        </w:rPr>
        <w:t>the Commission shall preempt the enforcement of such statute</w:t>
      </w:r>
      <w:r w:rsidRPr="0084514D">
        <w:rPr>
          <w:rFonts w:cs="Times New Roman"/>
        </w:rPr>
        <w:t>, regulation, or legal requirement to the extent necessary to correct such violation or inconsistency.</w:t>
      </w:r>
      <w:r w:rsidRPr="0084514D">
        <w:rPr>
          <w:rStyle w:val="FootnoteReference"/>
          <w:rFonts w:cs="Times New Roman"/>
        </w:rPr>
        <w:footnoteReference w:id="18"/>
      </w:r>
    </w:p>
    <w:p w14:paraId="31AC642A" w14:textId="11BAC59F" w:rsidR="00BF2849" w:rsidRPr="0084514D" w:rsidRDefault="003837CD" w:rsidP="00BF2849">
      <w:pPr>
        <w:ind w:firstLine="720"/>
        <w:rPr>
          <w:rFonts w:cs="Times New Roman"/>
        </w:rPr>
      </w:pPr>
      <w:r w:rsidRPr="0084514D">
        <w:rPr>
          <w:rFonts w:cs="Times New Roman"/>
        </w:rPr>
        <w:t>But</w:t>
      </w:r>
      <w:r w:rsidR="00097D40" w:rsidRPr="0084514D">
        <w:rPr>
          <w:rFonts w:cs="Times New Roman"/>
        </w:rPr>
        <w:t xml:space="preserve"> </w:t>
      </w:r>
      <w:r w:rsidRPr="0084514D">
        <w:rPr>
          <w:rFonts w:cs="Times New Roman"/>
        </w:rPr>
        <w:t>despite the fact that s</w:t>
      </w:r>
      <w:r w:rsidR="00BF2849" w:rsidRPr="0084514D">
        <w:rPr>
          <w:rFonts w:cs="Times New Roman"/>
        </w:rPr>
        <w:t xml:space="preserve">ection 253(a) </w:t>
      </w:r>
      <w:r w:rsidR="00BF2849" w:rsidRPr="0084514D">
        <w:rPr>
          <w:rFonts w:cs="Times New Roman"/>
          <w:i/>
        </w:rPr>
        <w:t>specifically contemplates the preemption of state laws</w:t>
      </w:r>
      <w:r w:rsidRPr="0084514D">
        <w:rPr>
          <w:rFonts w:cs="Times New Roman"/>
        </w:rPr>
        <w:t xml:space="preserve"> and s</w:t>
      </w:r>
      <w:r w:rsidR="00BF2849" w:rsidRPr="0084514D">
        <w:rPr>
          <w:rFonts w:cs="Times New Roman"/>
        </w:rPr>
        <w:t xml:space="preserve">ection 253(d) </w:t>
      </w:r>
      <w:r w:rsidR="00BF2849" w:rsidRPr="0084514D">
        <w:rPr>
          <w:rFonts w:cs="Times New Roman"/>
          <w:i/>
        </w:rPr>
        <w:t>specifically directs the Commission to preempt state laws</w:t>
      </w:r>
      <w:r w:rsidR="00BF2849" w:rsidRPr="0084514D">
        <w:rPr>
          <w:rFonts w:cs="Times New Roman"/>
        </w:rPr>
        <w:t xml:space="preserve"> that </w:t>
      </w:r>
      <w:r w:rsidRPr="0084514D">
        <w:rPr>
          <w:rFonts w:cs="Times New Roman"/>
        </w:rPr>
        <w:t>have the effect of prohibiting the</w:t>
      </w:r>
      <w:r w:rsidR="00BF2849" w:rsidRPr="0084514D">
        <w:rPr>
          <w:rFonts w:cs="Times New Roman"/>
        </w:rPr>
        <w:t xml:space="preserve"> offering of telecommunications services, the </w:t>
      </w:r>
      <w:r w:rsidR="002318E3" w:rsidRPr="0084514D">
        <w:rPr>
          <w:rFonts w:cs="Times New Roman"/>
        </w:rPr>
        <w:t xml:space="preserve">Supreme </w:t>
      </w:r>
      <w:r w:rsidR="00BF2849" w:rsidRPr="0084514D">
        <w:rPr>
          <w:rFonts w:cs="Times New Roman"/>
        </w:rPr>
        <w:t xml:space="preserve">Court </w:t>
      </w:r>
      <w:r w:rsidR="00BF2849" w:rsidRPr="0084514D">
        <w:rPr>
          <w:rFonts w:cs="Times New Roman"/>
          <w:i/>
        </w:rPr>
        <w:t xml:space="preserve">still </w:t>
      </w:r>
      <w:r w:rsidRPr="0084514D">
        <w:rPr>
          <w:rFonts w:cs="Times New Roman"/>
        </w:rPr>
        <w:t>concluded that s</w:t>
      </w:r>
      <w:r w:rsidR="00BF2849" w:rsidRPr="0084514D">
        <w:rPr>
          <w:rFonts w:cs="Times New Roman"/>
        </w:rPr>
        <w:t xml:space="preserve">ection 253 </w:t>
      </w:r>
      <w:r w:rsidR="00AE66AB" w:rsidRPr="0084514D">
        <w:rPr>
          <w:rFonts w:cs="Times New Roman"/>
        </w:rPr>
        <w:t>did not contain the requisite clear statement necessary for the Commission to preempt</w:t>
      </w:r>
      <w:r w:rsidR="00BF2849" w:rsidRPr="0084514D">
        <w:rPr>
          <w:rFonts w:cs="Times New Roman"/>
        </w:rPr>
        <w:t xml:space="preserve">. </w:t>
      </w:r>
      <w:r w:rsidR="00AE66AB" w:rsidRPr="0084514D">
        <w:rPr>
          <w:rFonts w:cs="Times New Roman"/>
        </w:rPr>
        <w:t xml:space="preserve"> </w:t>
      </w:r>
      <w:r w:rsidR="002318E3" w:rsidRPr="0084514D">
        <w:rPr>
          <w:rFonts w:cs="Times New Roman"/>
        </w:rPr>
        <w:t>As Justice Souter explained in his opinion for</w:t>
      </w:r>
      <w:r w:rsidR="00BF2849" w:rsidRPr="0084514D">
        <w:rPr>
          <w:rFonts w:cs="Times New Roman"/>
        </w:rPr>
        <w:t xml:space="preserve"> the Court</w:t>
      </w:r>
      <w:r w:rsidR="002318E3" w:rsidRPr="0084514D">
        <w:rPr>
          <w:rFonts w:cs="Times New Roman"/>
        </w:rPr>
        <w:t>,</w:t>
      </w:r>
      <w:r w:rsidR="00BF2849" w:rsidRPr="0084514D">
        <w:rPr>
          <w:rFonts w:cs="Times New Roman"/>
        </w:rPr>
        <w:t xml:space="preserve"> it was ambiguous whether Congress intended the phrase “any entity” </w:t>
      </w:r>
      <w:r w:rsidRPr="0084514D">
        <w:rPr>
          <w:rFonts w:cs="Times New Roman"/>
        </w:rPr>
        <w:t>in s</w:t>
      </w:r>
      <w:r w:rsidR="00AE66AB" w:rsidRPr="0084514D">
        <w:rPr>
          <w:rFonts w:cs="Times New Roman"/>
        </w:rPr>
        <w:t xml:space="preserve">ection 253(a) </w:t>
      </w:r>
      <w:r w:rsidR="00BF2849" w:rsidRPr="0084514D">
        <w:rPr>
          <w:rFonts w:cs="Times New Roman"/>
        </w:rPr>
        <w:t xml:space="preserve">to </w:t>
      </w:r>
      <w:r w:rsidR="000E4902" w:rsidRPr="0084514D">
        <w:rPr>
          <w:rFonts w:cs="Times New Roman"/>
        </w:rPr>
        <w:t>include</w:t>
      </w:r>
      <w:r w:rsidR="00BF2849" w:rsidRPr="0084514D">
        <w:rPr>
          <w:rFonts w:cs="Times New Roman"/>
        </w:rPr>
        <w:t xml:space="preserve"> state </w:t>
      </w:r>
      <w:r w:rsidR="00097D40" w:rsidRPr="0084514D">
        <w:rPr>
          <w:rFonts w:cs="Times New Roman"/>
        </w:rPr>
        <w:t xml:space="preserve">and municipal </w:t>
      </w:r>
      <w:r w:rsidR="00BF2849" w:rsidRPr="0084514D">
        <w:rPr>
          <w:rFonts w:cs="Times New Roman"/>
        </w:rPr>
        <w:t>entities</w:t>
      </w:r>
      <w:r w:rsidR="002318E3" w:rsidRPr="0084514D">
        <w:rPr>
          <w:rFonts w:cs="Times New Roman"/>
        </w:rPr>
        <w:t>.</w:t>
      </w:r>
      <w:r w:rsidR="00BF2849" w:rsidRPr="0084514D">
        <w:rPr>
          <w:rFonts w:cs="Times New Roman"/>
        </w:rPr>
        <w:t xml:space="preserve"> </w:t>
      </w:r>
      <w:r w:rsidR="002318E3" w:rsidRPr="0084514D">
        <w:rPr>
          <w:rFonts w:cs="Times New Roman"/>
        </w:rPr>
        <w:t xml:space="preserve"> The Court </w:t>
      </w:r>
      <w:r w:rsidR="00BF2849" w:rsidRPr="0084514D">
        <w:rPr>
          <w:rFonts w:cs="Times New Roman"/>
        </w:rPr>
        <w:t xml:space="preserve">thus held that section 253 was insufficiently clear to satisfy </w:t>
      </w:r>
      <w:r w:rsidR="00AE66AB" w:rsidRPr="0084514D">
        <w:rPr>
          <w:rFonts w:cs="Times New Roman"/>
          <w:i/>
        </w:rPr>
        <w:t>Gregory</w:t>
      </w:r>
      <w:r w:rsidR="00AE66AB" w:rsidRPr="0084514D">
        <w:rPr>
          <w:rFonts w:cs="Times New Roman"/>
        </w:rPr>
        <w:t xml:space="preserve">’s </w:t>
      </w:r>
      <w:r w:rsidR="00BF2849" w:rsidRPr="0084514D">
        <w:rPr>
          <w:rFonts w:cs="Times New Roman"/>
        </w:rPr>
        <w:t>clear statement rule.</w:t>
      </w:r>
      <w:r w:rsidR="00BF2849" w:rsidRPr="0084514D">
        <w:rPr>
          <w:rStyle w:val="FootnoteReference"/>
          <w:rFonts w:cs="Times New Roman"/>
        </w:rPr>
        <w:footnoteReference w:id="19"/>
      </w:r>
    </w:p>
    <w:p w14:paraId="24821454" w14:textId="6E181A48" w:rsidR="00B472AD" w:rsidRPr="0084514D" w:rsidRDefault="0081397E" w:rsidP="00BF2849">
      <w:pPr>
        <w:ind w:firstLine="720"/>
        <w:rPr>
          <w:rFonts w:cs="Times New Roman"/>
        </w:rPr>
      </w:pPr>
      <w:r w:rsidRPr="0084514D">
        <w:rPr>
          <w:rFonts w:cs="Times New Roman"/>
        </w:rPr>
        <w:t xml:space="preserve">Here, the Commission relies on section 706 of the Telecommunications Act of 1996, not section 253 of the Communications Act, </w:t>
      </w:r>
      <w:r w:rsidR="003837CD" w:rsidRPr="0084514D">
        <w:rPr>
          <w:rFonts w:cs="Times New Roman"/>
        </w:rPr>
        <w:t>for</w:t>
      </w:r>
      <w:r w:rsidRPr="0084514D">
        <w:rPr>
          <w:rFonts w:cs="Times New Roman"/>
        </w:rPr>
        <w:t xml:space="preserve"> its authority to preempt state laws governing municipal</w:t>
      </w:r>
      <w:r w:rsidR="00A80730" w:rsidRPr="0084514D">
        <w:rPr>
          <w:rFonts w:cs="Times New Roman"/>
        </w:rPr>
        <w:t xml:space="preserve"> broadband</w:t>
      </w:r>
      <w:r w:rsidRPr="0084514D">
        <w:rPr>
          <w:rFonts w:cs="Times New Roman"/>
        </w:rPr>
        <w:t>.  But i</w:t>
      </w:r>
      <w:r w:rsidR="00BF2849" w:rsidRPr="0084514D">
        <w:rPr>
          <w:rFonts w:cs="Times New Roman"/>
        </w:rPr>
        <w:t xml:space="preserve">f section 253 could not clear the high hurdle presented by </w:t>
      </w:r>
      <w:r w:rsidR="00BF2849" w:rsidRPr="0084514D">
        <w:rPr>
          <w:rFonts w:cs="Times New Roman"/>
          <w:i/>
        </w:rPr>
        <w:t>Gregory</w:t>
      </w:r>
      <w:r w:rsidR="00BF2849" w:rsidRPr="0084514D">
        <w:rPr>
          <w:rFonts w:cs="Times New Roman"/>
        </w:rPr>
        <w:t xml:space="preserve">, section 706 </w:t>
      </w:r>
      <w:r w:rsidRPr="0084514D">
        <w:rPr>
          <w:rFonts w:cs="Times New Roman"/>
        </w:rPr>
        <w:t xml:space="preserve">falls </w:t>
      </w:r>
      <w:r w:rsidR="008F1DFE" w:rsidRPr="0084514D">
        <w:rPr>
          <w:rFonts w:cs="Times New Roman"/>
        </w:rPr>
        <w:t xml:space="preserve">even further </w:t>
      </w:r>
      <w:r w:rsidRPr="0084514D">
        <w:rPr>
          <w:rFonts w:cs="Times New Roman"/>
        </w:rPr>
        <w:t>short of the mark</w:t>
      </w:r>
      <w:r w:rsidR="00BF2849" w:rsidRPr="0084514D">
        <w:rPr>
          <w:rFonts w:cs="Times New Roman"/>
        </w:rPr>
        <w:t>.</w:t>
      </w:r>
    </w:p>
    <w:p w14:paraId="40629D8A" w14:textId="09C6C561" w:rsidR="0081397E" w:rsidRPr="0084514D" w:rsidRDefault="0081397E" w:rsidP="00BF2849">
      <w:pPr>
        <w:ind w:firstLine="720"/>
        <w:rPr>
          <w:rFonts w:cs="Times New Roman"/>
        </w:rPr>
      </w:pPr>
      <w:r w:rsidRPr="0084514D">
        <w:rPr>
          <w:rFonts w:cs="Times New Roman"/>
        </w:rPr>
        <w:t xml:space="preserve">For </w:t>
      </w:r>
      <w:r w:rsidR="00B472AD" w:rsidRPr="0084514D">
        <w:rPr>
          <w:rFonts w:cs="Times New Roman"/>
        </w:rPr>
        <w:t xml:space="preserve">starters, </w:t>
      </w:r>
      <w:r w:rsidRPr="0084514D">
        <w:rPr>
          <w:rFonts w:cs="Times New Roman"/>
        </w:rPr>
        <w:t>while</w:t>
      </w:r>
      <w:r w:rsidR="00BF2849" w:rsidRPr="0084514D">
        <w:rPr>
          <w:rFonts w:cs="Times New Roman"/>
        </w:rPr>
        <w:t xml:space="preserve"> section 253 </w:t>
      </w:r>
      <w:r w:rsidR="003837CD" w:rsidRPr="0084514D">
        <w:rPr>
          <w:rFonts w:cs="Times New Roman"/>
        </w:rPr>
        <w:t xml:space="preserve">at least </w:t>
      </w:r>
      <w:r w:rsidRPr="0084514D">
        <w:rPr>
          <w:rFonts w:cs="Times New Roman"/>
        </w:rPr>
        <w:t>expressly mentions</w:t>
      </w:r>
      <w:r w:rsidR="00BF2849" w:rsidRPr="0084514D">
        <w:rPr>
          <w:rFonts w:cs="Times New Roman"/>
        </w:rPr>
        <w:t xml:space="preserve"> preemption, the text of section 706 makes no reference </w:t>
      </w:r>
      <w:r w:rsidR="007A6053">
        <w:rPr>
          <w:rFonts w:cs="Times New Roman"/>
        </w:rPr>
        <w:t>to</w:t>
      </w:r>
      <w:r w:rsidR="008F1DFE" w:rsidRPr="0084514D">
        <w:rPr>
          <w:rFonts w:cs="Times New Roman"/>
        </w:rPr>
        <w:t xml:space="preserve"> it </w:t>
      </w:r>
      <w:r w:rsidR="003837CD" w:rsidRPr="0084514D">
        <w:rPr>
          <w:rFonts w:cs="Times New Roman"/>
        </w:rPr>
        <w:t>whatsoever.</w:t>
      </w:r>
      <w:r w:rsidR="00B472AD" w:rsidRPr="0084514D">
        <w:rPr>
          <w:rFonts w:cs="Times New Roman"/>
        </w:rPr>
        <w:t xml:space="preserve">  </w:t>
      </w:r>
      <w:r w:rsidRPr="0084514D">
        <w:rPr>
          <w:rFonts w:cs="Times New Roman"/>
        </w:rPr>
        <w:t>S</w:t>
      </w:r>
      <w:r w:rsidR="00BF2849" w:rsidRPr="0084514D">
        <w:rPr>
          <w:rFonts w:cs="Times New Roman"/>
        </w:rPr>
        <w:t>ection 706(a) urges the Commission to encourage broadband deployment using an enumerated list of tools that include</w:t>
      </w:r>
      <w:r w:rsidR="00600DB6">
        <w:rPr>
          <w:rFonts w:cs="Times New Roman"/>
        </w:rPr>
        <w:t>s</w:t>
      </w:r>
      <w:r w:rsidR="00BF2849" w:rsidRPr="0084514D">
        <w:rPr>
          <w:rFonts w:cs="Times New Roman"/>
        </w:rPr>
        <w:t xml:space="preserve"> “price cap regulation, regulatory forbearance, measures that promote competition in the local telecommunications market, or other regulating methods that remove barriers to entry.</w:t>
      </w:r>
      <w:r w:rsidR="00BF2849" w:rsidRPr="0084514D">
        <w:rPr>
          <w:rStyle w:val="FootnoteReference"/>
          <w:rFonts w:cs="Times New Roman"/>
        </w:rPr>
        <w:footnoteReference w:id="20"/>
      </w:r>
      <w:r w:rsidR="00BF2849" w:rsidRPr="0084514D">
        <w:rPr>
          <w:rFonts w:cs="Times New Roman"/>
        </w:rPr>
        <w:t xml:space="preserve"> </w:t>
      </w:r>
      <w:r w:rsidRPr="0084514D">
        <w:rPr>
          <w:rFonts w:cs="Times New Roman"/>
        </w:rPr>
        <w:t xml:space="preserve"> Preemption is </w:t>
      </w:r>
      <w:r w:rsidR="00E662CB" w:rsidRPr="0084514D">
        <w:rPr>
          <w:rFonts w:cs="Times New Roman"/>
        </w:rPr>
        <w:t>nowhere</w:t>
      </w:r>
      <w:r w:rsidRPr="0084514D">
        <w:rPr>
          <w:rFonts w:cs="Times New Roman"/>
        </w:rPr>
        <w:t xml:space="preserve"> discussed.  </w:t>
      </w:r>
      <w:r w:rsidR="00BF2849" w:rsidRPr="0084514D">
        <w:rPr>
          <w:rFonts w:cs="Times New Roman"/>
        </w:rPr>
        <w:t xml:space="preserve">Similarly, section 706(b) tasks the Commission </w:t>
      </w:r>
      <w:r w:rsidRPr="0084514D">
        <w:rPr>
          <w:rFonts w:cs="Times New Roman"/>
        </w:rPr>
        <w:t>with evaluating</w:t>
      </w:r>
      <w:r w:rsidR="00BF2849" w:rsidRPr="0084514D">
        <w:rPr>
          <w:rFonts w:cs="Times New Roman"/>
        </w:rPr>
        <w:t xml:space="preserve"> the current state of broadband dep</w:t>
      </w:r>
      <w:r w:rsidRPr="0084514D">
        <w:rPr>
          <w:rFonts w:cs="Times New Roman"/>
        </w:rPr>
        <w:t>loyment and, if necessary, “tak[ing]</w:t>
      </w:r>
      <w:r w:rsidR="00BF2849" w:rsidRPr="0084514D">
        <w:rPr>
          <w:rFonts w:cs="Times New Roman"/>
        </w:rPr>
        <w:t xml:space="preserve"> immediate action to accelerate deployment of such capability by removing barriers to infrastructure investment and by promoting competition in the telecommunications market.”</w:t>
      </w:r>
      <w:r w:rsidR="00BF2849" w:rsidRPr="0084514D">
        <w:rPr>
          <w:rStyle w:val="FootnoteReference"/>
          <w:rFonts w:cs="Times New Roman"/>
        </w:rPr>
        <w:footnoteReference w:id="21"/>
      </w:r>
      <w:r w:rsidRPr="0084514D">
        <w:rPr>
          <w:rFonts w:cs="Times New Roman"/>
        </w:rPr>
        <w:t xml:space="preserve">  Again, there’s no mention of preemption.</w:t>
      </w:r>
      <w:r w:rsidR="00A80730" w:rsidRPr="0084514D">
        <w:rPr>
          <w:rStyle w:val="FootnoteReference"/>
          <w:rFonts w:cs="Times New Roman"/>
        </w:rPr>
        <w:footnoteReference w:id="22"/>
      </w:r>
    </w:p>
    <w:p w14:paraId="69726DF1" w14:textId="4EC36951" w:rsidR="00C7349D" w:rsidRPr="0084514D" w:rsidRDefault="00A80730" w:rsidP="00C7349D">
      <w:pPr>
        <w:ind w:firstLine="720"/>
        <w:rPr>
          <w:rFonts w:cs="Times New Roman"/>
        </w:rPr>
      </w:pPr>
      <w:r w:rsidRPr="0084514D">
        <w:rPr>
          <w:rFonts w:cs="Times New Roman"/>
        </w:rPr>
        <w:t xml:space="preserve">In short, </w:t>
      </w:r>
      <w:r w:rsidR="00A4136D" w:rsidRPr="0084514D">
        <w:rPr>
          <w:rFonts w:cs="Times New Roman"/>
        </w:rPr>
        <w:t>s</w:t>
      </w:r>
      <w:r w:rsidR="00C7349D" w:rsidRPr="0084514D">
        <w:rPr>
          <w:rFonts w:cs="Times New Roman"/>
        </w:rPr>
        <w:t>ection 706 does not “point unequivocally to a commitment by Congress”</w:t>
      </w:r>
      <w:r w:rsidR="00C7349D" w:rsidRPr="0084514D">
        <w:rPr>
          <w:rStyle w:val="FootnoteReference"/>
          <w:rFonts w:cs="Times New Roman"/>
        </w:rPr>
        <w:footnoteReference w:id="23"/>
      </w:r>
      <w:r w:rsidR="00C7349D" w:rsidRPr="0084514D">
        <w:rPr>
          <w:rFonts w:cs="Times New Roman"/>
        </w:rPr>
        <w:t xml:space="preserve"> to permit the </w:t>
      </w:r>
      <w:r w:rsidR="00610D2B" w:rsidRPr="0084514D">
        <w:rPr>
          <w:rFonts w:cs="Times New Roman"/>
        </w:rPr>
        <w:t xml:space="preserve">FCC </w:t>
      </w:r>
      <w:r w:rsidR="00C7349D" w:rsidRPr="0084514D">
        <w:rPr>
          <w:rFonts w:cs="Times New Roman"/>
        </w:rPr>
        <w:t xml:space="preserve">to preempt state laws governing their own municipalities.  </w:t>
      </w:r>
      <w:r w:rsidR="00610D2B" w:rsidRPr="0084514D">
        <w:rPr>
          <w:rFonts w:cs="Times New Roman"/>
        </w:rPr>
        <w:t xml:space="preserve">Section 706 </w:t>
      </w:r>
      <w:r w:rsidR="00C7349D" w:rsidRPr="0084514D">
        <w:rPr>
          <w:rFonts w:cs="Times New Roman"/>
        </w:rPr>
        <w:t>therefore does not satisfy the clear statement rule</w:t>
      </w:r>
      <w:r w:rsidR="00A4136D" w:rsidRPr="0084514D">
        <w:rPr>
          <w:rFonts w:cs="Times New Roman"/>
        </w:rPr>
        <w:t xml:space="preserve"> and </w:t>
      </w:r>
      <w:r w:rsidR="00610D2B" w:rsidRPr="0084514D">
        <w:rPr>
          <w:rFonts w:cs="Times New Roman"/>
        </w:rPr>
        <w:t xml:space="preserve">does </w:t>
      </w:r>
      <w:r w:rsidR="00A4136D" w:rsidRPr="0084514D">
        <w:rPr>
          <w:rFonts w:cs="Times New Roman"/>
        </w:rPr>
        <w:t>not permit the Commission to preempt state prohibitions on municipal broadband projects</w:t>
      </w:r>
      <w:r w:rsidR="00C7349D" w:rsidRPr="0084514D">
        <w:rPr>
          <w:rFonts w:cs="Times New Roman"/>
        </w:rPr>
        <w:t xml:space="preserve">.  Indeed, </w:t>
      </w:r>
      <w:r w:rsidR="0081397E" w:rsidRPr="0084514D">
        <w:rPr>
          <w:rFonts w:cs="Times New Roman"/>
        </w:rPr>
        <w:t>it’s far from certain</w:t>
      </w:r>
      <w:r w:rsidR="00BF2849" w:rsidRPr="0084514D">
        <w:rPr>
          <w:rFonts w:cs="Times New Roman"/>
        </w:rPr>
        <w:t xml:space="preserve"> that section 706 </w:t>
      </w:r>
      <w:r w:rsidR="0081397E" w:rsidRPr="0084514D">
        <w:rPr>
          <w:rFonts w:cs="Times New Roman"/>
        </w:rPr>
        <w:t xml:space="preserve">even </w:t>
      </w:r>
      <w:r w:rsidR="00BF2849" w:rsidRPr="0084514D">
        <w:rPr>
          <w:rFonts w:cs="Times New Roman"/>
        </w:rPr>
        <w:t xml:space="preserve">gives the Commission the ability to preempt state laws regulating </w:t>
      </w:r>
      <w:r w:rsidR="00BF2849" w:rsidRPr="0084514D">
        <w:rPr>
          <w:rFonts w:cs="Times New Roman"/>
          <w:i/>
        </w:rPr>
        <w:t>private actors</w:t>
      </w:r>
      <w:r w:rsidR="00B472AD" w:rsidRPr="0084514D">
        <w:rPr>
          <w:rFonts w:cs="Times New Roman"/>
        </w:rPr>
        <w:t>—</w:t>
      </w:r>
      <w:r w:rsidR="00C7349D" w:rsidRPr="0084514D">
        <w:rPr>
          <w:rFonts w:cs="Times New Roman"/>
        </w:rPr>
        <w:t xml:space="preserve">but </w:t>
      </w:r>
      <w:r w:rsidR="0081397E" w:rsidRPr="0084514D">
        <w:rPr>
          <w:rFonts w:cs="Times New Roman"/>
        </w:rPr>
        <w:t>more on th</w:t>
      </w:r>
      <w:r w:rsidR="00C7349D" w:rsidRPr="0084514D">
        <w:rPr>
          <w:rFonts w:cs="Times New Roman"/>
        </w:rPr>
        <w:t>at later</w:t>
      </w:r>
      <w:r w:rsidR="0081397E" w:rsidRPr="0084514D">
        <w:rPr>
          <w:rFonts w:cs="Times New Roman"/>
        </w:rPr>
        <w:t>.</w:t>
      </w:r>
      <w:r w:rsidR="00A4136D" w:rsidRPr="0084514D">
        <w:rPr>
          <w:rStyle w:val="FootnoteReference"/>
          <w:rFonts w:cs="Times New Roman"/>
        </w:rPr>
        <w:footnoteReference w:id="24"/>
      </w:r>
    </w:p>
    <w:p w14:paraId="79B9D1DF" w14:textId="25DA8340" w:rsidR="007523C9" w:rsidRPr="0084514D" w:rsidRDefault="00097D40" w:rsidP="002416FF">
      <w:pPr>
        <w:keepNext/>
        <w:spacing w:before="240"/>
        <w:jc w:val="center"/>
        <w:rPr>
          <w:rFonts w:cs="Times New Roman"/>
        </w:rPr>
      </w:pPr>
      <w:r w:rsidRPr="0084514D">
        <w:rPr>
          <w:rFonts w:cs="Times New Roman"/>
        </w:rPr>
        <w:t>II</w:t>
      </w:r>
      <w:r w:rsidR="0084514D">
        <w:rPr>
          <w:rFonts w:cs="Times New Roman"/>
        </w:rPr>
        <w:t>.</w:t>
      </w:r>
    </w:p>
    <w:p w14:paraId="1E46D09A" w14:textId="68A52B55" w:rsidR="0095615A" w:rsidRPr="0084514D" w:rsidRDefault="00DC09F4" w:rsidP="0084514D">
      <w:pPr>
        <w:ind w:firstLine="720"/>
        <w:rPr>
          <w:rFonts w:cs="Times New Roman"/>
        </w:rPr>
      </w:pPr>
      <w:r>
        <w:rPr>
          <w:rFonts w:cs="Times New Roman"/>
        </w:rPr>
        <w:t>Notwithstanding all of this</w:t>
      </w:r>
      <w:r w:rsidR="0095615A" w:rsidRPr="0084514D">
        <w:rPr>
          <w:rFonts w:cs="Times New Roman"/>
        </w:rPr>
        <w:t xml:space="preserve">, </w:t>
      </w:r>
      <w:r>
        <w:rPr>
          <w:rFonts w:cs="Times New Roman"/>
        </w:rPr>
        <w:t>the</w:t>
      </w:r>
      <w:r w:rsidRPr="0084514D">
        <w:rPr>
          <w:rFonts w:cs="Times New Roman"/>
        </w:rPr>
        <w:t xml:space="preserve"> </w:t>
      </w:r>
      <w:r>
        <w:rPr>
          <w:rFonts w:cs="Times New Roman"/>
        </w:rPr>
        <w:t xml:space="preserve">Commission </w:t>
      </w:r>
      <w:r w:rsidR="0095615A" w:rsidRPr="0084514D">
        <w:rPr>
          <w:rFonts w:cs="Times New Roman"/>
        </w:rPr>
        <w:t xml:space="preserve">nonetheless maintains that it can preempt the Tennessee and North Carolina laws at issue here.  Why?  According to the </w:t>
      </w:r>
      <w:r w:rsidR="0095615A" w:rsidRPr="0084514D">
        <w:rPr>
          <w:rFonts w:cs="Times New Roman"/>
          <w:i/>
        </w:rPr>
        <w:t>Order</w:t>
      </w:r>
      <w:r w:rsidR="0095615A" w:rsidRPr="0084514D">
        <w:rPr>
          <w:rFonts w:cs="Times New Roman"/>
        </w:rPr>
        <w:t xml:space="preserve">, the clear statement rule does not apply because Tennessee and North Carolina have not prohibited municipalities from offering broadband service altogether.  </w:t>
      </w:r>
      <w:r w:rsidR="003A14DD" w:rsidRPr="0084514D">
        <w:rPr>
          <w:rFonts w:cs="Times New Roman"/>
        </w:rPr>
        <w:t>T</w:t>
      </w:r>
      <w:r w:rsidR="0095615A" w:rsidRPr="0084514D">
        <w:rPr>
          <w:rFonts w:cs="Times New Roman"/>
        </w:rPr>
        <w:t xml:space="preserve">hey have </w:t>
      </w:r>
      <w:r w:rsidR="000A138C" w:rsidRPr="0084514D">
        <w:rPr>
          <w:rFonts w:cs="Times New Roman"/>
        </w:rPr>
        <w:t xml:space="preserve">only </w:t>
      </w:r>
      <w:r w:rsidR="0095615A" w:rsidRPr="0084514D">
        <w:rPr>
          <w:rFonts w:cs="Times New Roman"/>
        </w:rPr>
        <w:t>imposed restrictions on their ability to do so.</w:t>
      </w:r>
      <w:r w:rsidR="00E9383E" w:rsidRPr="0084514D">
        <w:rPr>
          <w:rStyle w:val="FootnoteReference"/>
          <w:rFonts w:cs="Times New Roman"/>
        </w:rPr>
        <w:footnoteReference w:id="25"/>
      </w:r>
    </w:p>
    <w:p w14:paraId="25C7C164" w14:textId="4057A48A" w:rsidR="0095615A" w:rsidRPr="0084514D" w:rsidRDefault="00D373AF" w:rsidP="0095615A">
      <w:pPr>
        <w:ind w:firstLine="720"/>
        <w:rPr>
          <w:rFonts w:cs="Times New Roman"/>
        </w:rPr>
      </w:pPr>
      <w:r w:rsidRPr="0084514D">
        <w:rPr>
          <w:rFonts w:cs="Times New Roman"/>
        </w:rPr>
        <w:t>T</w:t>
      </w:r>
      <w:r w:rsidR="0095615A" w:rsidRPr="0084514D">
        <w:rPr>
          <w:rFonts w:cs="Times New Roman"/>
        </w:rPr>
        <w:t xml:space="preserve">he </w:t>
      </w:r>
      <w:r w:rsidR="0095615A" w:rsidRPr="0084514D">
        <w:rPr>
          <w:rFonts w:cs="Times New Roman"/>
          <w:i/>
        </w:rPr>
        <w:t>Order</w:t>
      </w:r>
      <w:r w:rsidR="0095615A" w:rsidRPr="0084514D">
        <w:rPr>
          <w:rFonts w:cs="Times New Roman"/>
        </w:rPr>
        <w:t xml:space="preserve"> claims that </w:t>
      </w:r>
      <w:r w:rsidR="00224842" w:rsidRPr="0084514D">
        <w:rPr>
          <w:rFonts w:cs="Times New Roman"/>
        </w:rPr>
        <w:t xml:space="preserve">the </w:t>
      </w:r>
      <w:r w:rsidR="000A138C" w:rsidRPr="0084514D">
        <w:rPr>
          <w:rFonts w:cs="Times New Roman"/>
        </w:rPr>
        <w:t xml:space="preserve">relevant </w:t>
      </w:r>
      <w:r w:rsidR="00224842" w:rsidRPr="0084514D">
        <w:rPr>
          <w:rFonts w:cs="Times New Roman"/>
        </w:rPr>
        <w:t xml:space="preserve">Tennessee and North Carolina laws do not implicate </w:t>
      </w:r>
      <w:r w:rsidR="0095615A" w:rsidRPr="0084514D">
        <w:rPr>
          <w:rFonts w:cs="Times New Roman"/>
        </w:rPr>
        <w:t>“</w:t>
      </w:r>
      <w:r w:rsidR="007A22A6" w:rsidRPr="0084514D">
        <w:rPr>
          <w:rFonts w:cs="Times New Roman"/>
        </w:rPr>
        <w:t xml:space="preserve">core </w:t>
      </w:r>
      <w:r w:rsidR="007C3812" w:rsidRPr="0084514D">
        <w:rPr>
          <w:rFonts w:cs="Times New Roman"/>
        </w:rPr>
        <w:t>a</w:t>
      </w:r>
      <w:r w:rsidR="007C3812">
        <w:rPr>
          <w:rFonts w:cs="Times New Roman"/>
        </w:rPr>
        <w:t>ttributes</w:t>
      </w:r>
      <w:r w:rsidR="007C3812" w:rsidRPr="0084514D">
        <w:rPr>
          <w:rFonts w:cs="Times New Roman"/>
        </w:rPr>
        <w:t xml:space="preserve"> </w:t>
      </w:r>
      <w:r w:rsidR="007A22A6" w:rsidRPr="0084514D">
        <w:rPr>
          <w:rFonts w:cs="Times New Roman"/>
        </w:rPr>
        <w:t>of state sovereignty</w:t>
      </w:r>
      <w:r w:rsidR="0095615A" w:rsidRPr="0084514D">
        <w:rPr>
          <w:rFonts w:cs="Times New Roman"/>
        </w:rPr>
        <w:t>.”</w:t>
      </w:r>
      <w:r w:rsidR="00E9383E" w:rsidRPr="0084514D">
        <w:rPr>
          <w:rStyle w:val="FootnoteReference"/>
          <w:rFonts w:cs="Times New Roman"/>
        </w:rPr>
        <w:footnoteReference w:id="26"/>
      </w:r>
      <w:r w:rsidR="0095615A" w:rsidRPr="0084514D">
        <w:rPr>
          <w:rFonts w:cs="Times New Roman"/>
        </w:rPr>
        <w:t xml:space="preserve">  </w:t>
      </w:r>
      <w:r w:rsidR="003A14DD" w:rsidRPr="0084514D">
        <w:rPr>
          <w:rFonts w:cs="Times New Roman"/>
        </w:rPr>
        <w:t>Instead</w:t>
      </w:r>
      <w:r w:rsidR="0095615A" w:rsidRPr="0084514D">
        <w:rPr>
          <w:rFonts w:cs="Times New Roman"/>
        </w:rPr>
        <w:t xml:space="preserve">, </w:t>
      </w:r>
      <w:r w:rsidR="003A14DD" w:rsidRPr="0084514D">
        <w:rPr>
          <w:rFonts w:cs="Times New Roman"/>
        </w:rPr>
        <w:t xml:space="preserve">it asserts that </w:t>
      </w:r>
      <w:r w:rsidR="00224842" w:rsidRPr="0084514D">
        <w:rPr>
          <w:rFonts w:cs="Times New Roman"/>
        </w:rPr>
        <w:t>when States impose</w:t>
      </w:r>
      <w:r w:rsidR="0095615A" w:rsidRPr="0084514D">
        <w:rPr>
          <w:rFonts w:cs="Times New Roman"/>
        </w:rPr>
        <w:t xml:space="preserve"> </w:t>
      </w:r>
      <w:r w:rsidR="00224842" w:rsidRPr="0084514D">
        <w:rPr>
          <w:rFonts w:cs="Times New Roman"/>
        </w:rPr>
        <w:t xml:space="preserve">restrictions on municipal broadband </w:t>
      </w:r>
      <w:r w:rsidR="00FC1A7F" w:rsidRPr="0084514D">
        <w:rPr>
          <w:rFonts w:cs="Times New Roman"/>
        </w:rPr>
        <w:t xml:space="preserve">less onerous </w:t>
      </w:r>
      <w:r w:rsidR="0095615A" w:rsidRPr="0084514D">
        <w:rPr>
          <w:rFonts w:cs="Times New Roman"/>
        </w:rPr>
        <w:t xml:space="preserve">than a flat-out ban, </w:t>
      </w:r>
      <w:r w:rsidR="00224842" w:rsidRPr="0084514D">
        <w:rPr>
          <w:rFonts w:cs="Times New Roman"/>
        </w:rPr>
        <w:t>such</w:t>
      </w:r>
      <w:r w:rsidR="0095615A" w:rsidRPr="0084514D">
        <w:rPr>
          <w:rFonts w:cs="Times New Roman"/>
        </w:rPr>
        <w:t xml:space="preserve"> </w:t>
      </w:r>
      <w:r w:rsidR="00FC1A7F" w:rsidRPr="0084514D">
        <w:rPr>
          <w:rFonts w:cs="Times New Roman"/>
        </w:rPr>
        <w:t xml:space="preserve">restrictions </w:t>
      </w:r>
      <w:r w:rsidR="0095615A" w:rsidRPr="0084514D">
        <w:rPr>
          <w:rFonts w:cs="Times New Roman"/>
        </w:rPr>
        <w:t>are magically transformed</w:t>
      </w:r>
      <w:r w:rsidRPr="0084514D">
        <w:rPr>
          <w:rFonts w:cs="Times New Roman"/>
        </w:rPr>
        <w:t xml:space="preserve"> </w:t>
      </w:r>
      <w:r w:rsidR="0095615A" w:rsidRPr="0084514D">
        <w:rPr>
          <w:rFonts w:cs="Times New Roman"/>
        </w:rPr>
        <w:t>into an effectuation of a “state’s preferred communications policy objectives</w:t>
      </w:r>
      <w:r w:rsidR="002F1B68">
        <w:rPr>
          <w:rFonts w:cs="Times New Roman"/>
        </w:rPr>
        <w:t>”</w:t>
      </w:r>
      <w:r w:rsidR="00FC1A7F" w:rsidRPr="0084514D">
        <w:rPr>
          <w:rFonts w:cs="Times New Roman"/>
        </w:rPr>
        <w:t>—</w:t>
      </w:r>
      <w:r w:rsidR="0095615A" w:rsidRPr="0084514D">
        <w:rPr>
          <w:rFonts w:cs="Times New Roman"/>
        </w:rPr>
        <w:t>and therefore subject to federal preemption if they conflict with federal policy objectives.</w:t>
      </w:r>
      <w:r w:rsidR="00E9383E" w:rsidRPr="0084514D">
        <w:rPr>
          <w:rStyle w:val="FootnoteReference"/>
          <w:rFonts w:cs="Times New Roman"/>
        </w:rPr>
        <w:footnoteReference w:id="27"/>
      </w:r>
    </w:p>
    <w:p w14:paraId="080D3288" w14:textId="228A11D3" w:rsidR="00B263C8" w:rsidRPr="0084514D" w:rsidRDefault="003A14DD" w:rsidP="00224842">
      <w:pPr>
        <w:ind w:firstLine="720"/>
        <w:rPr>
          <w:rFonts w:cs="Times New Roman"/>
        </w:rPr>
      </w:pPr>
      <w:r w:rsidRPr="0084514D">
        <w:rPr>
          <w:rFonts w:cs="Times New Roman"/>
        </w:rPr>
        <w:t xml:space="preserve">What difference does </w:t>
      </w:r>
      <w:r w:rsidR="00770212" w:rsidRPr="0084514D">
        <w:rPr>
          <w:rFonts w:cs="Times New Roman"/>
        </w:rPr>
        <w:t xml:space="preserve">any of this </w:t>
      </w:r>
      <w:r w:rsidRPr="0084514D">
        <w:rPr>
          <w:rFonts w:cs="Times New Roman"/>
        </w:rPr>
        <w:t xml:space="preserve">make?  </w:t>
      </w:r>
      <w:r w:rsidR="0095615A" w:rsidRPr="0084514D">
        <w:rPr>
          <w:rFonts w:cs="Times New Roman"/>
        </w:rPr>
        <w:t xml:space="preserve">A state is not </w:t>
      </w:r>
      <w:r w:rsidR="00603E1F" w:rsidRPr="0084514D">
        <w:rPr>
          <w:rFonts w:cs="Times New Roman"/>
        </w:rPr>
        <w:t xml:space="preserve">stripped </w:t>
      </w:r>
      <w:r w:rsidR="0095615A" w:rsidRPr="0084514D">
        <w:rPr>
          <w:rFonts w:cs="Times New Roman"/>
        </w:rPr>
        <w:t>of its core sovereign power to</w:t>
      </w:r>
      <w:r w:rsidR="00563844" w:rsidRPr="0084514D">
        <w:rPr>
          <w:rFonts w:cs="Times New Roman"/>
        </w:rPr>
        <w:t xml:space="preserve"> </w:t>
      </w:r>
      <w:r w:rsidR="0095615A" w:rsidRPr="0084514D">
        <w:rPr>
          <w:rFonts w:cs="Times New Roman"/>
        </w:rPr>
        <w:t>govern its political subdivisions</w:t>
      </w:r>
      <w:r w:rsidR="00224842" w:rsidRPr="0084514D">
        <w:rPr>
          <w:rFonts w:cs="Times New Roman"/>
        </w:rPr>
        <w:t>, which are arms of the state,</w:t>
      </w:r>
      <w:r w:rsidR="0095615A" w:rsidRPr="0084514D">
        <w:rPr>
          <w:rFonts w:cs="Times New Roman"/>
        </w:rPr>
        <w:t xml:space="preserve"> merely because it grants them certain powers. </w:t>
      </w:r>
      <w:r w:rsidR="00B263C8" w:rsidRPr="0084514D">
        <w:rPr>
          <w:rFonts w:cs="Times New Roman"/>
        </w:rPr>
        <w:t xml:space="preserve"> </w:t>
      </w:r>
      <w:r w:rsidR="006B5345" w:rsidRPr="0084514D">
        <w:rPr>
          <w:rFonts w:cs="Times New Roman"/>
        </w:rPr>
        <w:t>Rather, “</w:t>
      </w:r>
      <w:r w:rsidR="006B5345" w:rsidRPr="0084514D">
        <w:rPr>
          <w:rFonts w:cs="Times New Roman"/>
          <w:i/>
        </w:rPr>
        <w:t xml:space="preserve">[t]he number, nature, and duration </w:t>
      </w:r>
      <w:r w:rsidR="006B5345" w:rsidRPr="0084514D">
        <w:rPr>
          <w:rFonts w:cs="Times New Roman"/>
        </w:rPr>
        <w:t>of the powers conferred upon [municipal] corporations and the territory over which they shall be exercised rest[] in the absolute discretion of the state.”</w:t>
      </w:r>
      <w:r w:rsidR="006B5345" w:rsidRPr="0084514D">
        <w:rPr>
          <w:rStyle w:val="FootnoteReference"/>
          <w:rFonts w:cs="Times New Roman"/>
        </w:rPr>
        <w:footnoteReference w:id="28"/>
      </w:r>
      <w:r w:rsidR="006B5345" w:rsidRPr="0084514D">
        <w:rPr>
          <w:rFonts w:cs="Times New Roman"/>
        </w:rPr>
        <w:t xml:space="preserve"> </w:t>
      </w:r>
      <w:r w:rsidR="0095615A" w:rsidRPr="0084514D">
        <w:rPr>
          <w:rFonts w:cs="Times New Roman"/>
        </w:rPr>
        <w:t xml:space="preserve">And </w:t>
      </w:r>
      <w:r w:rsidR="0083206D" w:rsidRPr="0084514D">
        <w:rPr>
          <w:rFonts w:cs="Times New Roman"/>
        </w:rPr>
        <w:t xml:space="preserve">a </w:t>
      </w:r>
      <w:r w:rsidR="0095615A" w:rsidRPr="0084514D">
        <w:rPr>
          <w:rFonts w:cs="Times New Roman"/>
        </w:rPr>
        <w:t xml:space="preserve">state </w:t>
      </w:r>
      <w:r w:rsidR="0083206D" w:rsidRPr="0084514D">
        <w:rPr>
          <w:rFonts w:cs="Times New Roman"/>
        </w:rPr>
        <w:t xml:space="preserve">does not relinquish that “absolute discretion” simply by </w:t>
      </w:r>
      <w:r w:rsidR="00603E1F" w:rsidRPr="0084514D">
        <w:rPr>
          <w:rFonts w:cs="Times New Roman"/>
        </w:rPr>
        <w:t xml:space="preserve">affording </w:t>
      </w:r>
      <w:r w:rsidR="00224842" w:rsidRPr="0084514D">
        <w:rPr>
          <w:rFonts w:cs="Times New Roman"/>
        </w:rPr>
        <w:t xml:space="preserve">a </w:t>
      </w:r>
      <w:r w:rsidR="0095615A" w:rsidRPr="0084514D">
        <w:rPr>
          <w:rFonts w:cs="Times New Roman"/>
        </w:rPr>
        <w:t xml:space="preserve">municipality </w:t>
      </w:r>
      <w:r w:rsidR="00224842" w:rsidRPr="0084514D">
        <w:rPr>
          <w:rFonts w:cs="Times New Roman"/>
        </w:rPr>
        <w:t>some</w:t>
      </w:r>
      <w:r w:rsidR="00770212" w:rsidRPr="0084514D">
        <w:rPr>
          <w:rFonts w:cs="Times New Roman"/>
        </w:rPr>
        <w:t>, rather than plenary,</w:t>
      </w:r>
      <w:r w:rsidR="00224842" w:rsidRPr="0084514D">
        <w:rPr>
          <w:rFonts w:cs="Times New Roman"/>
        </w:rPr>
        <w:t xml:space="preserve"> authority </w:t>
      </w:r>
      <w:r w:rsidR="0095615A" w:rsidRPr="0084514D">
        <w:rPr>
          <w:rFonts w:cs="Times New Roman"/>
        </w:rPr>
        <w:t xml:space="preserve">to </w:t>
      </w:r>
      <w:r w:rsidR="00E9383E" w:rsidRPr="0084514D">
        <w:rPr>
          <w:rFonts w:cs="Times New Roman"/>
        </w:rPr>
        <w:t>offer</w:t>
      </w:r>
      <w:r w:rsidR="0095615A" w:rsidRPr="0084514D">
        <w:rPr>
          <w:rFonts w:cs="Times New Roman"/>
        </w:rPr>
        <w:t xml:space="preserve"> broadband service.</w:t>
      </w:r>
      <w:r w:rsidRPr="0084514D">
        <w:rPr>
          <w:rFonts w:cs="Times New Roman"/>
        </w:rPr>
        <w:t xml:space="preserve">  Unfortunately for the Commission, all the lipstick in the w</w:t>
      </w:r>
      <w:r w:rsidR="0084514D">
        <w:rPr>
          <w:rFonts w:cs="Times New Roman"/>
        </w:rPr>
        <w:t>orld cannot disguise this pig.</w:t>
      </w:r>
    </w:p>
    <w:p w14:paraId="427A745F" w14:textId="489883A8" w:rsidR="00B74A8B" w:rsidRPr="0084514D" w:rsidRDefault="00B74A8B" w:rsidP="002416FF">
      <w:pPr>
        <w:keepNext/>
        <w:spacing w:before="240"/>
        <w:jc w:val="center"/>
        <w:rPr>
          <w:rFonts w:cs="Times New Roman"/>
        </w:rPr>
      </w:pPr>
      <w:r w:rsidRPr="0084514D">
        <w:rPr>
          <w:rFonts w:cs="Times New Roman"/>
        </w:rPr>
        <w:t>A</w:t>
      </w:r>
      <w:r w:rsidR="002416FF">
        <w:rPr>
          <w:rFonts w:cs="Times New Roman"/>
        </w:rPr>
        <w:t>.</w:t>
      </w:r>
    </w:p>
    <w:p w14:paraId="5388256F" w14:textId="288EE790" w:rsidR="00B6043A" w:rsidRPr="0084514D" w:rsidRDefault="00224842" w:rsidP="00224842">
      <w:pPr>
        <w:ind w:firstLine="720"/>
        <w:rPr>
          <w:rFonts w:cs="Times New Roman"/>
        </w:rPr>
      </w:pPr>
      <w:r w:rsidRPr="0084514D">
        <w:rPr>
          <w:rFonts w:cs="Times New Roman"/>
        </w:rPr>
        <w:t>Take, for example, the geographic restrictions set forth in the Tennessee and North Carolina laws</w:t>
      </w:r>
      <w:r w:rsidR="00E9383E" w:rsidRPr="0084514D">
        <w:rPr>
          <w:rFonts w:cs="Times New Roman"/>
        </w:rPr>
        <w:t xml:space="preserve"> at issue here</w:t>
      </w:r>
      <w:r w:rsidRPr="0084514D">
        <w:rPr>
          <w:rFonts w:cs="Times New Roman"/>
        </w:rPr>
        <w:t>.  In Tennessee, a municipal electric system is authorized to offer broadband service within its service area, but not outside of those boundaries.</w:t>
      </w:r>
      <w:r w:rsidR="00E9383E" w:rsidRPr="0084514D">
        <w:rPr>
          <w:rStyle w:val="FootnoteReference"/>
          <w:rFonts w:cs="Times New Roman"/>
        </w:rPr>
        <w:footnoteReference w:id="29"/>
      </w:r>
      <w:r w:rsidRPr="0084514D">
        <w:rPr>
          <w:rFonts w:cs="Times New Roman"/>
        </w:rPr>
        <w:t xml:space="preserve">  </w:t>
      </w:r>
      <w:r w:rsidR="009E4577" w:rsidRPr="0084514D">
        <w:rPr>
          <w:rFonts w:cs="Times New Roman"/>
        </w:rPr>
        <w:t>I</w:t>
      </w:r>
      <w:r w:rsidRPr="0084514D">
        <w:rPr>
          <w:rFonts w:cs="Times New Roman"/>
        </w:rPr>
        <w:t xml:space="preserve">n North Carolina, </w:t>
      </w:r>
      <w:r w:rsidR="00B6043A" w:rsidRPr="0084514D">
        <w:rPr>
          <w:rFonts w:cs="Times New Roman"/>
        </w:rPr>
        <w:t xml:space="preserve">a city may only provide </w:t>
      </w:r>
      <w:r w:rsidR="00D373AF" w:rsidRPr="0084514D">
        <w:rPr>
          <w:rFonts w:cs="Times New Roman"/>
        </w:rPr>
        <w:t xml:space="preserve">broadband </w:t>
      </w:r>
      <w:r w:rsidR="00B6043A" w:rsidRPr="0084514D">
        <w:rPr>
          <w:rFonts w:cs="Times New Roman"/>
        </w:rPr>
        <w:t>services within its city limits.</w:t>
      </w:r>
      <w:r w:rsidR="00E9383E" w:rsidRPr="0084514D">
        <w:rPr>
          <w:rStyle w:val="FootnoteReference"/>
          <w:rFonts w:cs="Times New Roman"/>
        </w:rPr>
        <w:footnoteReference w:id="30"/>
      </w:r>
    </w:p>
    <w:p w14:paraId="25DC8683" w14:textId="5D300E00" w:rsidR="0083258C" w:rsidRPr="0084514D" w:rsidRDefault="00D612FF" w:rsidP="00B6043A">
      <w:pPr>
        <w:ind w:firstLine="720"/>
        <w:rPr>
          <w:rFonts w:cs="Times New Roman"/>
        </w:rPr>
      </w:pPr>
      <w:r w:rsidRPr="0084514D">
        <w:rPr>
          <w:rFonts w:cs="Times New Roman"/>
        </w:rPr>
        <w:t xml:space="preserve">These geographic </w:t>
      </w:r>
      <w:r w:rsidR="00245F7E" w:rsidRPr="0084514D">
        <w:rPr>
          <w:rFonts w:cs="Times New Roman"/>
        </w:rPr>
        <w:t>restrictions go to the heart of a state’s “</w:t>
      </w:r>
      <w:r w:rsidR="00563844" w:rsidRPr="0084514D">
        <w:rPr>
          <w:rFonts w:cs="Times New Roman"/>
        </w:rPr>
        <w:t>traditional</w:t>
      </w:r>
      <w:r w:rsidR="00187EC2" w:rsidRPr="0084514D">
        <w:rPr>
          <w:rFonts w:cs="Times New Roman"/>
        </w:rPr>
        <w:t xml:space="preserve"> []</w:t>
      </w:r>
      <w:r w:rsidR="00563844" w:rsidRPr="0084514D">
        <w:rPr>
          <w:rFonts w:cs="Times New Roman"/>
        </w:rPr>
        <w:t xml:space="preserve"> authority to order its government.”</w:t>
      </w:r>
      <w:r w:rsidR="00563844" w:rsidRPr="0084514D">
        <w:rPr>
          <w:rStyle w:val="FootnoteReference"/>
          <w:rFonts w:cs="Times New Roman"/>
        </w:rPr>
        <w:footnoteReference w:id="31"/>
      </w:r>
      <w:r w:rsidR="00563844" w:rsidRPr="0084514D">
        <w:rPr>
          <w:rFonts w:cs="Times New Roman"/>
        </w:rPr>
        <w:t xml:space="preserve">  </w:t>
      </w:r>
      <w:r w:rsidR="00245F7E" w:rsidRPr="0084514D">
        <w:rPr>
          <w:rFonts w:cs="Times New Roman"/>
        </w:rPr>
        <w:t xml:space="preserve">Indeed, the Commission’s claim to the contrary is absurd.  </w:t>
      </w:r>
      <w:r w:rsidR="00E43638" w:rsidRPr="0084514D">
        <w:rPr>
          <w:rFonts w:cs="Times New Roman"/>
        </w:rPr>
        <w:t>A critical component of a</w:t>
      </w:r>
      <w:r w:rsidR="00245F7E" w:rsidRPr="0084514D">
        <w:rPr>
          <w:rFonts w:cs="Times New Roman"/>
        </w:rPr>
        <w:t xml:space="preserve"> state’s </w:t>
      </w:r>
      <w:r w:rsidR="0095615A" w:rsidRPr="0084514D">
        <w:rPr>
          <w:rFonts w:cs="Times New Roman"/>
        </w:rPr>
        <w:t xml:space="preserve">ability to </w:t>
      </w:r>
      <w:r w:rsidR="00563844" w:rsidRPr="0084514D">
        <w:rPr>
          <w:rFonts w:cs="Times New Roman"/>
        </w:rPr>
        <w:t xml:space="preserve">order its government is the ability to </w:t>
      </w:r>
      <w:r w:rsidR="0095615A" w:rsidRPr="0084514D">
        <w:rPr>
          <w:rFonts w:cs="Times New Roman"/>
        </w:rPr>
        <w:t>organize its own municipal subdivisions</w:t>
      </w:r>
      <w:r w:rsidR="00563844" w:rsidRPr="0084514D">
        <w:rPr>
          <w:rFonts w:cs="Times New Roman"/>
        </w:rPr>
        <w:t xml:space="preserve">.  And a critical component of organizing municipalities is the </w:t>
      </w:r>
      <w:r w:rsidRPr="0084514D">
        <w:rPr>
          <w:rFonts w:cs="Times New Roman"/>
        </w:rPr>
        <w:t xml:space="preserve">power </w:t>
      </w:r>
      <w:r w:rsidR="00245F7E" w:rsidRPr="0084514D">
        <w:rPr>
          <w:rFonts w:cs="Times New Roman"/>
        </w:rPr>
        <w:t xml:space="preserve">to </w:t>
      </w:r>
      <w:r w:rsidRPr="0084514D">
        <w:rPr>
          <w:rFonts w:cs="Times New Roman"/>
        </w:rPr>
        <w:t xml:space="preserve">define </w:t>
      </w:r>
      <w:r w:rsidR="00563844" w:rsidRPr="0084514D">
        <w:rPr>
          <w:rFonts w:cs="Times New Roman"/>
        </w:rPr>
        <w:t>each subdivision’s</w:t>
      </w:r>
      <w:r w:rsidR="0095615A" w:rsidRPr="0084514D">
        <w:rPr>
          <w:rFonts w:cs="Times New Roman"/>
        </w:rPr>
        <w:t xml:space="preserve"> geographic reach. </w:t>
      </w:r>
      <w:r w:rsidR="00E43638" w:rsidRPr="0084514D">
        <w:rPr>
          <w:rFonts w:cs="Times New Roman"/>
        </w:rPr>
        <w:t xml:space="preserve"> For i</w:t>
      </w:r>
      <w:r w:rsidR="00245F7E" w:rsidRPr="0084514D">
        <w:rPr>
          <w:rFonts w:cs="Times New Roman"/>
        </w:rPr>
        <w:t xml:space="preserve">nherent in the concept of a </w:t>
      </w:r>
      <w:r w:rsidR="00245F7E" w:rsidRPr="0084514D">
        <w:rPr>
          <w:rFonts w:cs="Times New Roman"/>
          <w:i/>
        </w:rPr>
        <w:t>sub</w:t>
      </w:r>
      <w:r w:rsidR="00245F7E" w:rsidRPr="0084514D">
        <w:rPr>
          <w:rFonts w:cs="Times New Roman"/>
        </w:rPr>
        <w:t xml:space="preserve">division is the idea that a locality will exercise authority over </w:t>
      </w:r>
      <w:r w:rsidR="00B454F0" w:rsidRPr="0084514D">
        <w:rPr>
          <w:rFonts w:cs="Times New Roman"/>
        </w:rPr>
        <w:t xml:space="preserve">a limited geographic area within a State.  </w:t>
      </w:r>
      <w:r w:rsidR="00716837" w:rsidRPr="0084514D">
        <w:rPr>
          <w:rFonts w:cs="Times New Roman"/>
        </w:rPr>
        <w:t xml:space="preserve">For example, the definition of a “city” under North Carolina law is “a municipal corporation organized under the laws of this State for the better government </w:t>
      </w:r>
      <w:r w:rsidR="00716837" w:rsidRPr="0084514D">
        <w:rPr>
          <w:rFonts w:cs="Times New Roman"/>
          <w:i/>
        </w:rPr>
        <w:t>of the people within its jurisdiction</w:t>
      </w:r>
      <w:r w:rsidR="00716837" w:rsidRPr="0084514D">
        <w:rPr>
          <w:rFonts w:cs="Times New Roman"/>
        </w:rPr>
        <w:t>.”</w:t>
      </w:r>
      <w:r w:rsidR="00716837" w:rsidRPr="0084514D">
        <w:rPr>
          <w:rStyle w:val="FootnoteReference"/>
          <w:rFonts w:cs="Times New Roman"/>
        </w:rPr>
        <w:footnoteReference w:id="32"/>
      </w:r>
      <w:r w:rsidR="0084514D">
        <w:rPr>
          <w:rFonts w:cs="Times New Roman"/>
        </w:rPr>
        <w:t xml:space="preserve">  </w:t>
      </w:r>
      <w:r w:rsidR="00245F7E" w:rsidRPr="0084514D">
        <w:rPr>
          <w:rFonts w:cs="Times New Roman"/>
        </w:rPr>
        <w:t>Indeed, if a State could not confine a municipality’s activities to a specified geographic area, then there would be little point in maintaining local governments</w:t>
      </w:r>
      <w:r w:rsidR="00B454F0" w:rsidRPr="0084514D">
        <w:rPr>
          <w:rFonts w:cs="Times New Roman"/>
        </w:rPr>
        <w:t xml:space="preserve"> at all</w:t>
      </w:r>
      <w:r w:rsidR="009902D9" w:rsidRPr="0084514D">
        <w:rPr>
          <w:rFonts w:cs="Times New Roman"/>
        </w:rPr>
        <w:t>; it would be more efficient to do everything at the state level</w:t>
      </w:r>
      <w:r w:rsidR="00B454F0" w:rsidRPr="0084514D">
        <w:rPr>
          <w:rFonts w:cs="Times New Roman"/>
        </w:rPr>
        <w:t>.</w:t>
      </w:r>
    </w:p>
    <w:p w14:paraId="068D2FB1" w14:textId="32D9406A" w:rsidR="0099497A" w:rsidRPr="0084514D" w:rsidRDefault="0083258C" w:rsidP="0099497A">
      <w:pPr>
        <w:ind w:firstLine="720"/>
        <w:rPr>
          <w:rFonts w:cs="Times New Roman"/>
        </w:rPr>
      </w:pPr>
      <w:r w:rsidRPr="0084514D">
        <w:rPr>
          <w:rFonts w:cs="Times New Roman"/>
        </w:rPr>
        <w:t xml:space="preserve">This is why the U.S. Supreme Court has </w:t>
      </w:r>
      <w:r w:rsidR="00B263C8" w:rsidRPr="0084514D">
        <w:rPr>
          <w:rFonts w:cs="Times New Roman"/>
        </w:rPr>
        <w:t>made clear:</w:t>
      </w:r>
      <w:r w:rsidR="00EA05C3">
        <w:rPr>
          <w:rFonts w:cs="Times New Roman"/>
        </w:rPr>
        <w:t xml:space="preserve"> </w:t>
      </w:r>
      <w:r w:rsidR="00B263C8" w:rsidRPr="0084514D">
        <w:rPr>
          <w:rFonts w:cs="Times New Roman"/>
        </w:rPr>
        <w:t xml:space="preserve"> </w:t>
      </w:r>
      <w:r w:rsidRPr="0084514D">
        <w:rPr>
          <w:rFonts w:cs="Times New Roman"/>
        </w:rPr>
        <w:t>“</w:t>
      </w:r>
      <w:r w:rsidR="0083206D" w:rsidRPr="0084514D">
        <w:rPr>
          <w:rFonts w:cs="Times New Roman"/>
        </w:rPr>
        <w:t>[T]he</w:t>
      </w:r>
      <w:r w:rsidRPr="0084514D">
        <w:rPr>
          <w:rFonts w:cs="Times New Roman"/>
        </w:rPr>
        <w:t xml:space="preserve"> territory over which </w:t>
      </w:r>
      <w:r w:rsidR="0083206D" w:rsidRPr="0084514D">
        <w:rPr>
          <w:rFonts w:cs="Times New Roman"/>
        </w:rPr>
        <w:t xml:space="preserve">[a municipality’s powers] </w:t>
      </w:r>
      <w:r w:rsidRPr="0084514D">
        <w:rPr>
          <w:rFonts w:cs="Times New Roman"/>
        </w:rPr>
        <w:t>shall be exercised rests in the absolute discretion of the state.”</w:t>
      </w:r>
      <w:r w:rsidRPr="0084514D">
        <w:rPr>
          <w:rStyle w:val="FootnoteReference"/>
          <w:rFonts w:cs="Times New Roman"/>
        </w:rPr>
        <w:footnoteReference w:id="33"/>
      </w:r>
      <w:r w:rsidR="00B263C8" w:rsidRPr="0084514D">
        <w:rPr>
          <w:rFonts w:cs="Times New Roman"/>
        </w:rPr>
        <w:t xml:space="preserve">  </w:t>
      </w:r>
      <w:r w:rsidR="0095615A" w:rsidRPr="0084514D">
        <w:rPr>
          <w:rFonts w:cs="Times New Roman"/>
        </w:rPr>
        <w:t xml:space="preserve">Thus, when the Commission </w:t>
      </w:r>
      <w:r w:rsidR="00B454F0" w:rsidRPr="0084514D">
        <w:rPr>
          <w:rFonts w:cs="Times New Roman"/>
        </w:rPr>
        <w:t>tries to preempt</w:t>
      </w:r>
      <w:r w:rsidR="0095615A" w:rsidRPr="0084514D">
        <w:rPr>
          <w:rFonts w:cs="Times New Roman"/>
        </w:rPr>
        <w:t xml:space="preserve"> </w:t>
      </w:r>
      <w:r w:rsidR="00B454F0" w:rsidRPr="0084514D">
        <w:rPr>
          <w:rFonts w:cs="Times New Roman"/>
        </w:rPr>
        <w:t>provisions of T</w:t>
      </w:r>
      <w:r w:rsidR="000E4902" w:rsidRPr="0084514D">
        <w:rPr>
          <w:rFonts w:cs="Times New Roman"/>
        </w:rPr>
        <w:t>ennessee and North Carolina law</w:t>
      </w:r>
      <w:r w:rsidR="00B454F0" w:rsidRPr="0084514D">
        <w:rPr>
          <w:rFonts w:cs="Times New Roman"/>
        </w:rPr>
        <w:t xml:space="preserve"> that impose geographic restrictions on </w:t>
      </w:r>
      <w:r w:rsidR="00E43638" w:rsidRPr="0084514D">
        <w:rPr>
          <w:rFonts w:cs="Times New Roman"/>
        </w:rPr>
        <w:t xml:space="preserve">municipalities’ </w:t>
      </w:r>
      <w:r w:rsidR="00B454F0" w:rsidRPr="0084514D">
        <w:rPr>
          <w:rFonts w:cs="Times New Roman"/>
        </w:rPr>
        <w:t>activities</w:t>
      </w:r>
      <w:r w:rsidR="000A138C" w:rsidRPr="0084514D">
        <w:rPr>
          <w:rFonts w:cs="Times New Roman"/>
        </w:rPr>
        <w:t xml:space="preserve"> with respect to broadband</w:t>
      </w:r>
      <w:r w:rsidR="00B454F0" w:rsidRPr="0084514D">
        <w:rPr>
          <w:rFonts w:cs="Times New Roman"/>
        </w:rPr>
        <w:t xml:space="preserve">, </w:t>
      </w:r>
      <w:r w:rsidR="0095615A" w:rsidRPr="0084514D">
        <w:rPr>
          <w:rFonts w:cs="Times New Roman"/>
        </w:rPr>
        <w:t xml:space="preserve">it </w:t>
      </w:r>
      <w:r w:rsidR="00B454F0" w:rsidRPr="0084514D">
        <w:rPr>
          <w:rFonts w:cs="Times New Roman"/>
        </w:rPr>
        <w:t xml:space="preserve">is </w:t>
      </w:r>
      <w:r w:rsidR="0095615A" w:rsidRPr="0084514D">
        <w:rPr>
          <w:rFonts w:cs="Times New Roman"/>
        </w:rPr>
        <w:t>directly interfer</w:t>
      </w:r>
      <w:r w:rsidR="00B454F0" w:rsidRPr="0084514D">
        <w:rPr>
          <w:rFonts w:cs="Times New Roman"/>
        </w:rPr>
        <w:t>ing</w:t>
      </w:r>
      <w:r w:rsidR="0095615A" w:rsidRPr="0084514D">
        <w:rPr>
          <w:rFonts w:cs="Times New Roman"/>
        </w:rPr>
        <w:t xml:space="preserve"> with a core aspect of state sovereignty—namely </w:t>
      </w:r>
      <w:r w:rsidR="00B454F0" w:rsidRPr="0084514D">
        <w:rPr>
          <w:rFonts w:cs="Times New Roman"/>
        </w:rPr>
        <w:t>the</w:t>
      </w:r>
      <w:r w:rsidR="0095615A" w:rsidRPr="0084514D">
        <w:rPr>
          <w:rFonts w:cs="Times New Roman"/>
        </w:rPr>
        <w:t xml:space="preserve"> ability </w:t>
      </w:r>
      <w:r w:rsidR="00B454F0" w:rsidRPr="0084514D">
        <w:rPr>
          <w:rFonts w:cs="Times New Roman"/>
        </w:rPr>
        <w:t xml:space="preserve">of Tennessee and North Carolina </w:t>
      </w:r>
      <w:r w:rsidR="0095615A" w:rsidRPr="0084514D">
        <w:rPr>
          <w:rFonts w:cs="Times New Roman"/>
        </w:rPr>
        <w:t xml:space="preserve">to </w:t>
      </w:r>
      <w:r w:rsidR="00700117" w:rsidRPr="0084514D">
        <w:rPr>
          <w:rFonts w:cs="Times New Roman"/>
        </w:rPr>
        <w:t>make “arrangements for conducting their own governments”</w:t>
      </w:r>
      <w:r w:rsidR="00700117" w:rsidRPr="0084514D">
        <w:rPr>
          <w:rStyle w:val="FootnoteReference"/>
          <w:rFonts w:cs="Times New Roman"/>
        </w:rPr>
        <w:footnoteReference w:id="34"/>
      </w:r>
      <w:r w:rsidR="00B263C8" w:rsidRPr="0084514D">
        <w:rPr>
          <w:rFonts w:cs="Times New Roman"/>
        </w:rPr>
        <w:t xml:space="preserve"> and </w:t>
      </w:r>
      <w:r w:rsidR="009E4577" w:rsidRPr="0084514D">
        <w:rPr>
          <w:rFonts w:cs="Times New Roman"/>
        </w:rPr>
        <w:t xml:space="preserve">to </w:t>
      </w:r>
      <w:r w:rsidR="00B263C8" w:rsidRPr="0084514D">
        <w:rPr>
          <w:rFonts w:cs="Times New Roman"/>
        </w:rPr>
        <w:t>determine “the territory over which [their municipalities’ powers] shall be exercised.”</w:t>
      </w:r>
      <w:r w:rsidR="00B263C8" w:rsidRPr="0084514D">
        <w:rPr>
          <w:rStyle w:val="FootnoteReference"/>
          <w:rFonts w:cs="Times New Roman"/>
        </w:rPr>
        <w:footnoteReference w:id="35"/>
      </w:r>
    </w:p>
    <w:p w14:paraId="375BD4E6" w14:textId="616C87CB" w:rsidR="0095615A" w:rsidRPr="0084514D" w:rsidRDefault="0099497A" w:rsidP="0099497A">
      <w:pPr>
        <w:ind w:firstLine="720"/>
        <w:rPr>
          <w:rFonts w:cs="Times New Roman"/>
        </w:rPr>
      </w:pPr>
      <w:r w:rsidRPr="0084514D">
        <w:rPr>
          <w:rFonts w:cs="Times New Roman"/>
        </w:rPr>
        <w:t xml:space="preserve">The implausibility of the Commission’s claim to the contrary is perhaps best illustrated by a couple of hypotheticals.  Suppose, for example, that the federal government attempted to tell Tennessee that it could not limit the City of Chattanooga’s Police Department to enforcing the law in Chattanooga.  </w:t>
      </w:r>
      <w:r w:rsidR="005D40FA" w:rsidRPr="0084514D">
        <w:rPr>
          <w:rFonts w:cs="Times New Roman"/>
        </w:rPr>
        <w:t>Instead</w:t>
      </w:r>
      <w:r w:rsidRPr="0084514D">
        <w:rPr>
          <w:rFonts w:cs="Times New Roman"/>
        </w:rPr>
        <w:t>,</w:t>
      </w:r>
      <w:r w:rsidR="00420AF8" w:rsidRPr="0084514D">
        <w:rPr>
          <w:rFonts w:cs="Times New Roman"/>
        </w:rPr>
        <w:t xml:space="preserve"> once the State of Tennessee authorized the City of Chattanooga to have a police department, it was required to let Chattanooga’s police officers have free rein to patrol from Memphis to Knoxville.  Would anyone seriously contend that such an edict from the federal government </w:t>
      </w:r>
      <w:r w:rsidR="000A138C" w:rsidRPr="0084514D">
        <w:rPr>
          <w:rFonts w:cs="Times New Roman"/>
        </w:rPr>
        <w:t>wouldn’t</w:t>
      </w:r>
      <w:r w:rsidR="00420AF8" w:rsidRPr="0084514D">
        <w:rPr>
          <w:rFonts w:cs="Times New Roman"/>
        </w:rPr>
        <w:t xml:space="preserve"> interfere with Tennessee’s ability to order its political subdivisions?</w:t>
      </w:r>
      <w:r w:rsidR="009E5443">
        <w:rPr>
          <w:rFonts w:cs="Times New Roman"/>
        </w:rPr>
        <w:t xml:space="preserve">  Of course not.  </w:t>
      </w:r>
    </w:p>
    <w:p w14:paraId="483A33E8" w14:textId="43EAFEDB" w:rsidR="000A138C" w:rsidRPr="0084514D" w:rsidRDefault="005B1091" w:rsidP="0099497A">
      <w:pPr>
        <w:ind w:firstLine="720"/>
        <w:rPr>
          <w:rFonts w:cs="Times New Roman"/>
        </w:rPr>
      </w:pPr>
      <w:r w:rsidRPr="0084514D">
        <w:rPr>
          <w:rFonts w:cs="Times New Roman"/>
        </w:rPr>
        <w:t xml:space="preserve">Or suppose that the federal government tried to forbid North Carolina from limiting the City of Wilson’s Parks and Recreation Department to operating parks </w:t>
      </w:r>
      <w:r w:rsidR="00EB3D90" w:rsidRPr="0084514D">
        <w:rPr>
          <w:rFonts w:cs="Times New Roman"/>
        </w:rPr>
        <w:t xml:space="preserve">only </w:t>
      </w:r>
      <w:r w:rsidRPr="0084514D">
        <w:rPr>
          <w:rFonts w:cs="Times New Roman"/>
        </w:rPr>
        <w:t xml:space="preserve">within Wilson.  Instead, if North Carolina wanted to allow Wilson to have a Parks and Recreation Department, it would have to permit the Department to operate parks from Asheville to the Outer Banks.  Again, such a mandate from the federal government would </w:t>
      </w:r>
      <w:r w:rsidR="000E4902" w:rsidRPr="0084514D">
        <w:rPr>
          <w:rFonts w:cs="Times New Roman"/>
        </w:rPr>
        <w:t>obviously</w:t>
      </w:r>
      <w:r w:rsidRPr="0084514D">
        <w:rPr>
          <w:rFonts w:cs="Times New Roman"/>
        </w:rPr>
        <w:t xml:space="preserve"> interfere with North Carolina’s ability to order its political subdivisions as it sees fit.</w:t>
      </w:r>
    </w:p>
    <w:p w14:paraId="4652E794" w14:textId="70398CA0" w:rsidR="00B74A8B" w:rsidRPr="0084514D" w:rsidRDefault="00B74A8B" w:rsidP="002416FF">
      <w:pPr>
        <w:keepNext/>
        <w:spacing w:before="240"/>
        <w:jc w:val="center"/>
        <w:rPr>
          <w:rFonts w:cs="Times New Roman"/>
        </w:rPr>
      </w:pPr>
      <w:r w:rsidRPr="0084514D">
        <w:rPr>
          <w:rFonts w:cs="Times New Roman"/>
        </w:rPr>
        <w:t>B</w:t>
      </w:r>
      <w:r w:rsidR="002416FF">
        <w:rPr>
          <w:rFonts w:cs="Times New Roman"/>
        </w:rPr>
        <w:t>.</w:t>
      </w:r>
    </w:p>
    <w:p w14:paraId="2DB49018" w14:textId="2C699E21" w:rsidR="00162BFC" w:rsidRPr="0084514D" w:rsidRDefault="009902D9" w:rsidP="00145674">
      <w:pPr>
        <w:ind w:firstLine="720"/>
        <w:rPr>
          <w:rFonts w:cs="Times New Roman"/>
        </w:rPr>
      </w:pPr>
      <w:r w:rsidRPr="0084514D">
        <w:rPr>
          <w:rFonts w:cs="Times New Roman"/>
        </w:rPr>
        <w:t xml:space="preserve">There are </w:t>
      </w:r>
      <w:r w:rsidR="00145674" w:rsidRPr="0084514D">
        <w:rPr>
          <w:rFonts w:cs="Times New Roman"/>
        </w:rPr>
        <w:t>other</w:t>
      </w:r>
      <w:r w:rsidRPr="0084514D">
        <w:rPr>
          <w:rFonts w:cs="Times New Roman"/>
        </w:rPr>
        <w:t xml:space="preserve"> problems with the Commission’s contention that it can preempt state restrictions on municipal broadband projects.  To begin with, </w:t>
      </w:r>
      <w:r w:rsidR="00D373AF" w:rsidRPr="0084514D">
        <w:rPr>
          <w:rFonts w:cs="Times New Roman"/>
        </w:rPr>
        <w:t xml:space="preserve">such a claim </w:t>
      </w:r>
      <w:r w:rsidRPr="0084514D">
        <w:rPr>
          <w:rFonts w:cs="Times New Roman"/>
        </w:rPr>
        <w:t xml:space="preserve">leads to an exceptionally </w:t>
      </w:r>
      <w:r w:rsidR="00145674" w:rsidRPr="0084514D">
        <w:rPr>
          <w:rFonts w:cs="Times New Roman"/>
        </w:rPr>
        <w:t>strange</w:t>
      </w:r>
      <w:r w:rsidRPr="0084514D">
        <w:rPr>
          <w:rFonts w:cs="Times New Roman"/>
        </w:rPr>
        <w:t xml:space="preserve"> result.  While a state </w:t>
      </w:r>
      <w:r w:rsidR="00145674" w:rsidRPr="0084514D">
        <w:rPr>
          <w:rFonts w:cs="Times New Roman"/>
        </w:rPr>
        <w:t>would be</w:t>
      </w:r>
      <w:r w:rsidRPr="0084514D">
        <w:rPr>
          <w:rFonts w:cs="Times New Roman"/>
        </w:rPr>
        <w:t xml:space="preserve"> free to ban municipal broadband projects outright, it </w:t>
      </w:r>
      <w:r w:rsidR="00145674" w:rsidRPr="0084514D">
        <w:rPr>
          <w:rFonts w:cs="Times New Roman"/>
        </w:rPr>
        <w:t>would be forbidden from imposing</w:t>
      </w:r>
      <w:r w:rsidRPr="0084514D">
        <w:rPr>
          <w:rFonts w:cs="Times New Roman"/>
        </w:rPr>
        <w:t xml:space="preserve"> </w:t>
      </w:r>
      <w:r w:rsidR="00B74A8B" w:rsidRPr="0084514D">
        <w:rPr>
          <w:rFonts w:cs="Times New Roman"/>
        </w:rPr>
        <w:t>more modest</w:t>
      </w:r>
      <w:r w:rsidRPr="0084514D">
        <w:rPr>
          <w:rFonts w:cs="Times New Roman"/>
        </w:rPr>
        <w:t xml:space="preserve"> restrictions on such projects.  </w:t>
      </w:r>
      <w:r w:rsidR="00145674" w:rsidRPr="0084514D">
        <w:rPr>
          <w:rFonts w:cs="Times New Roman"/>
        </w:rPr>
        <w:t xml:space="preserve">Or, in other words, the most severe state law restrictions on municipal broadband projects (prohibitions) </w:t>
      </w:r>
      <w:r w:rsidR="00145674" w:rsidRPr="0084514D">
        <w:rPr>
          <w:rFonts w:cs="Times New Roman"/>
          <w:i/>
        </w:rPr>
        <w:t>could not</w:t>
      </w:r>
      <w:r w:rsidR="00145674" w:rsidRPr="0084514D">
        <w:rPr>
          <w:rFonts w:cs="Times New Roman"/>
        </w:rPr>
        <w:t xml:space="preserve"> be preempted, whereas less stringent restrictions (those that </w:t>
      </w:r>
      <w:r w:rsidR="00700117" w:rsidRPr="0084514D">
        <w:rPr>
          <w:rFonts w:cs="Times New Roman"/>
        </w:rPr>
        <w:t xml:space="preserve">purportedly </w:t>
      </w:r>
      <w:r w:rsidR="00145674" w:rsidRPr="0084514D">
        <w:rPr>
          <w:rFonts w:cs="Times New Roman"/>
        </w:rPr>
        <w:t>do not amount to prohibitions)</w:t>
      </w:r>
      <w:r w:rsidR="00145674" w:rsidRPr="0084514D">
        <w:rPr>
          <w:rFonts w:cs="Times New Roman"/>
          <w:i/>
        </w:rPr>
        <w:t xml:space="preserve"> could</w:t>
      </w:r>
      <w:r w:rsidR="0084514D">
        <w:rPr>
          <w:rFonts w:cs="Times New Roman"/>
        </w:rPr>
        <w:t xml:space="preserve"> be preempted.</w:t>
      </w:r>
    </w:p>
    <w:p w14:paraId="2923DDF2" w14:textId="02233136" w:rsidR="00162BFC" w:rsidRPr="0084514D" w:rsidRDefault="00162BFC" w:rsidP="00145674">
      <w:pPr>
        <w:ind w:firstLine="720"/>
        <w:rPr>
          <w:rFonts w:cs="Times New Roman"/>
        </w:rPr>
      </w:pPr>
      <w:r w:rsidRPr="0084514D">
        <w:rPr>
          <w:rFonts w:cs="Times New Roman"/>
        </w:rPr>
        <w:t xml:space="preserve">I highly doubt </w:t>
      </w:r>
      <w:r w:rsidR="00700117" w:rsidRPr="0084514D">
        <w:rPr>
          <w:rFonts w:cs="Times New Roman"/>
        </w:rPr>
        <w:t xml:space="preserve">that </w:t>
      </w:r>
      <w:r w:rsidRPr="0084514D">
        <w:rPr>
          <w:rFonts w:cs="Times New Roman"/>
        </w:rPr>
        <w:t xml:space="preserve">Congress </w:t>
      </w:r>
      <w:r w:rsidR="009E5443">
        <w:rPr>
          <w:rFonts w:cs="Times New Roman"/>
        </w:rPr>
        <w:t>adopted</w:t>
      </w:r>
      <w:r w:rsidRPr="0084514D">
        <w:rPr>
          <w:rFonts w:cs="Times New Roman"/>
        </w:rPr>
        <w:t xml:space="preserve">, much less intended, such a convoluted framework when it enacted </w:t>
      </w:r>
      <w:r w:rsidR="00B74A8B" w:rsidRPr="0084514D">
        <w:rPr>
          <w:rFonts w:cs="Times New Roman"/>
        </w:rPr>
        <w:t>the Telecommunications Act of 1996</w:t>
      </w:r>
      <w:r w:rsidR="00F87374" w:rsidRPr="0084514D">
        <w:rPr>
          <w:rFonts w:cs="Times New Roman"/>
        </w:rPr>
        <w:t xml:space="preserve">, in part because </w:t>
      </w:r>
      <w:r w:rsidR="007C35BA" w:rsidRPr="0084514D">
        <w:rPr>
          <w:rFonts w:cs="Times New Roman"/>
        </w:rPr>
        <w:t xml:space="preserve">this </w:t>
      </w:r>
      <w:r w:rsidR="009902D9" w:rsidRPr="0084514D">
        <w:rPr>
          <w:rFonts w:cs="Times New Roman"/>
        </w:rPr>
        <w:t>would lead to perverse consequences</w:t>
      </w:r>
      <w:r w:rsidR="00145674" w:rsidRPr="0084514D">
        <w:rPr>
          <w:rFonts w:cs="Times New Roman"/>
        </w:rPr>
        <w:t>.  For</w:t>
      </w:r>
      <w:r w:rsidR="009902D9" w:rsidRPr="0084514D">
        <w:rPr>
          <w:rFonts w:cs="Times New Roman"/>
        </w:rPr>
        <w:t xml:space="preserve"> </w:t>
      </w:r>
      <w:r w:rsidR="00F87374" w:rsidRPr="0084514D">
        <w:rPr>
          <w:rFonts w:cs="Times New Roman"/>
        </w:rPr>
        <w:t xml:space="preserve">example, </w:t>
      </w:r>
      <w:r w:rsidR="009902D9" w:rsidRPr="0084514D">
        <w:rPr>
          <w:rFonts w:cs="Times New Roman"/>
        </w:rPr>
        <w:t xml:space="preserve">if a state is denied the power to </w:t>
      </w:r>
      <w:r w:rsidR="00145674" w:rsidRPr="0084514D">
        <w:rPr>
          <w:rFonts w:cs="Times New Roman"/>
        </w:rPr>
        <w:t>authorize municipalities to offer broadband service with conditions, it will be less likely to authorize them to do so at all.  And i</w:t>
      </w:r>
      <w:r w:rsidR="009902D9" w:rsidRPr="0084514D">
        <w:rPr>
          <w:rFonts w:cs="Times New Roman"/>
        </w:rPr>
        <w:t xml:space="preserve">f, as the Commission suggests, municipal broadband </w:t>
      </w:r>
      <w:r w:rsidR="00145674" w:rsidRPr="0084514D">
        <w:rPr>
          <w:rFonts w:cs="Times New Roman"/>
        </w:rPr>
        <w:t xml:space="preserve">projects </w:t>
      </w:r>
      <w:r w:rsidR="009902D9" w:rsidRPr="0084514D">
        <w:rPr>
          <w:rFonts w:cs="Times New Roman"/>
        </w:rPr>
        <w:t>truly</w:t>
      </w:r>
      <w:r w:rsidR="00145674" w:rsidRPr="0084514D">
        <w:rPr>
          <w:rFonts w:cs="Times New Roman"/>
        </w:rPr>
        <w:t xml:space="preserve"> advance</w:t>
      </w:r>
      <w:r w:rsidR="009902D9" w:rsidRPr="0084514D">
        <w:rPr>
          <w:rFonts w:cs="Times New Roman"/>
        </w:rPr>
        <w:t xml:space="preserve"> section 706’s </w:t>
      </w:r>
      <w:r w:rsidR="00145674" w:rsidRPr="0084514D">
        <w:rPr>
          <w:rFonts w:cs="Times New Roman"/>
        </w:rPr>
        <w:t xml:space="preserve">aim </w:t>
      </w:r>
      <w:r w:rsidR="009902D9" w:rsidRPr="0084514D">
        <w:rPr>
          <w:rFonts w:cs="Times New Roman"/>
        </w:rPr>
        <w:t xml:space="preserve">of enhancing broadband deployment and competition, it </w:t>
      </w:r>
      <w:r w:rsidR="00145674" w:rsidRPr="0084514D">
        <w:rPr>
          <w:rFonts w:cs="Times New Roman"/>
        </w:rPr>
        <w:t xml:space="preserve">would seem odd to interpret the statute in a manner that would push states </w:t>
      </w:r>
      <w:r w:rsidR="007C35BA" w:rsidRPr="0084514D">
        <w:rPr>
          <w:rFonts w:cs="Times New Roman"/>
        </w:rPr>
        <w:t xml:space="preserve">toward </w:t>
      </w:r>
      <w:r w:rsidR="00145674" w:rsidRPr="0084514D">
        <w:rPr>
          <w:rFonts w:cs="Times New Roman"/>
        </w:rPr>
        <w:t>prohibiting municipal broadband projects altogether.</w:t>
      </w:r>
      <w:r w:rsidR="00537DE2" w:rsidRPr="0084514D">
        <w:rPr>
          <w:rStyle w:val="FootnoteReference"/>
          <w:rFonts w:cs="Times New Roman"/>
        </w:rPr>
        <w:footnoteReference w:id="36"/>
      </w:r>
    </w:p>
    <w:p w14:paraId="700564E8" w14:textId="69A980E6" w:rsidR="00B74A8B" w:rsidRPr="0084514D" w:rsidRDefault="00B74A8B" w:rsidP="002416FF">
      <w:pPr>
        <w:keepNext/>
        <w:spacing w:before="240"/>
        <w:jc w:val="center"/>
        <w:rPr>
          <w:rFonts w:cs="Times New Roman"/>
        </w:rPr>
      </w:pPr>
      <w:r w:rsidRPr="0084514D">
        <w:rPr>
          <w:rFonts w:cs="Times New Roman"/>
        </w:rPr>
        <w:t>C</w:t>
      </w:r>
      <w:r w:rsidR="002416FF">
        <w:rPr>
          <w:rFonts w:cs="Times New Roman"/>
        </w:rPr>
        <w:t>.</w:t>
      </w:r>
    </w:p>
    <w:p w14:paraId="19ED2408" w14:textId="6221449D" w:rsidR="00B74A8B" w:rsidRPr="0084514D" w:rsidRDefault="00B74A8B" w:rsidP="00162BFC">
      <w:pPr>
        <w:ind w:firstLine="720"/>
        <w:rPr>
          <w:rFonts w:cs="Times New Roman"/>
        </w:rPr>
      </w:pPr>
      <w:r w:rsidRPr="0084514D">
        <w:rPr>
          <w:rFonts w:cs="Times New Roman"/>
        </w:rPr>
        <w:t xml:space="preserve">Moreover, the line </w:t>
      </w:r>
      <w:r w:rsidR="00F87374" w:rsidRPr="0084514D">
        <w:rPr>
          <w:rFonts w:cs="Times New Roman"/>
        </w:rPr>
        <w:t xml:space="preserve">the Commission </w:t>
      </w:r>
      <w:r w:rsidRPr="0084514D">
        <w:rPr>
          <w:rFonts w:cs="Times New Roman"/>
        </w:rPr>
        <w:t>draw</w:t>
      </w:r>
      <w:r w:rsidR="00F87374" w:rsidRPr="0084514D">
        <w:rPr>
          <w:rFonts w:cs="Times New Roman"/>
        </w:rPr>
        <w:t>s</w:t>
      </w:r>
      <w:r w:rsidRPr="0084514D">
        <w:rPr>
          <w:rFonts w:cs="Times New Roman"/>
        </w:rPr>
        <w:t xml:space="preserve"> between state prohibitions </w:t>
      </w:r>
      <w:r w:rsidR="0066674C" w:rsidRPr="0084514D">
        <w:rPr>
          <w:rFonts w:cs="Times New Roman"/>
        </w:rPr>
        <w:t xml:space="preserve">of </w:t>
      </w:r>
      <w:r w:rsidR="002B18D2" w:rsidRPr="0084514D">
        <w:rPr>
          <w:rFonts w:cs="Times New Roman"/>
        </w:rPr>
        <w:t>municipal broadband projects</w:t>
      </w:r>
      <w:r w:rsidR="008F74EA" w:rsidRPr="0084514D">
        <w:rPr>
          <w:rFonts w:cs="Times New Roman"/>
        </w:rPr>
        <w:t xml:space="preserve"> </w:t>
      </w:r>
      <w:r w:rsidR="00BF7C25" w:rsidRPr="0084514D">
        <w:rPr>
          <w:rFonts w:cs="Times New Roman"/>
        </w:rPr>
        <w:t>(</w:t>
      </w:r>
      <w:r w:rsidR="008F74EA" w:rsidRPr="0084514D">
        <w:rPr>
          <w:rFonts w:cs="Times New Roman"/>
        </w:rPr>
        <w:t xml:space="preserve">which it claims present </w:t>
      </w:r>
      <w:r w:rsidR="00563844" w:rsidRPr="0084514D">
        <w:rPr>
          <w:rFonts w:cs="Times New Roman"/>
        </w:rPr>
        <w:t>“</w:t>
      </w:r>
      <w:r w:rsidR="008F74EA" w:rsidRPr="0084514D">
        <w:rPr>
          <w:rFonts w:cs="Times New Roman"/>
        </w:rPr>
        <w:t>a different question</w:t>
      </w:r>
      <w:r w:rsidR="00563844" w:rsidRPr="0084514D">
        <w:rPr>
          <w:rFonts w:cs="Times New Roman"/>
        </w:rPr>
        <w:t>”</w:t>
      </w:r>
      <w:r w:rsidR="00563844" w:rsidRPr="0084514D">
        <w:rPr>
          <w:rStyle w:val="FootnoteReference"/>
          <w:rFonts w:cs="Times New Roman"/>
        </w:rPr>
        <w:footnoteReference w:id="37"/>
      </w:r>
      <w:r w:rsidR="00BF7C25" w:rsidRPr="0084514D">
        <w:rPr>
          <w:rFonts w:cs="Times New Roman"/>
        </w:rPr>
        <w:t>)</w:t>
      </w:r>
      <w:r w:rsidR="00700117" w:rsidRPr="0084514D">
        <w:rPr>
          <w:rFonts w:cs="Times New Roman"/>
        </w:rPr>
        <w:t xml:space="preserve"> </w:t>
      </w:r>
      <w:r w:rsidRPr="0084514D">
        <w:rPr>
          <w:rFonts w:cs="Times New Roman"/>
        </w:rPr>
        <w:t xml:space="preserve">and state restrictions on </w:t>
      </w:r>
      <w:r w:rsidR="002B18D2" w:rsidRPr="0084514D">
        <w:rPr>
          <w:rFonts w:cs="Times New Roman"/>
        </w:rPr>
        <w:t>such</w:t>
      </w:r>
      <w:r w:rsidRPr="0084514D">
        <w:rPr>
          <w:rFonts w:cs="Times New Roman"/>
        </w:rPr>
        <w:t xml:space="preserve"> projects</w:t>
      </w:r>
      <w:r w:rsidR="00700117" w:rsidRPr="0084514D">
        <w:rPr>
          <w:rFonts w:cs="Times New Roman"/>
        </w:rPr>
        <w:t xml:space="preserve"> </w:t>
      </w:r>
      <w:r w:rsidRPr="0084514D">
        <w:rPr>
          <w:rFonts w:cs="Times New Roman"/>
        </w:rPr>
        <w:t xml:space="preserve">is artificial and thus untenable.  This is because all </w:t>
      </w:r>
      <w:r w:rsidR="00162BFC" w:rsidRPr="0084514D">
        <w:rPr>
          <w:rFonts w:cs="Times New Roman"/>
        </w:rPr>
        <w:t>conditions on the provision of services are e</w:t>
      </w:r>
      <w:r w:rsidR="00700117" w:rsidRPr="0084514D">
        <w:rPr>
          <w:rFonts w:cs="Times New Roman"/>
        </w:rPr>
        <w:t>ffectively prohibitions when those</w:t>
      </w:r>
      <w:r w:rsidR="00162BFC" w:rsidRPr="0084514D">
        <w:rPr>
          <w:rFonts w:cs="Times New Roman"/>
        </w:rPr>
        <w:t xml:space="preserve"> specified conditions are not satisfied.</w:t>
      </w:r>
    </w:p>
    <w:p w14:paraId="30CE3077" w14:textId="79CD598B" w:rsidR="00162BFC" w:rsidRPr="0084514D" w:rsidRDefault="00B74A8B" w:rsidP="00162BFC">
      <w:pPr>
        <w:ind w:firstLine="720"/>
        <w:rPr>
          <w:rFonts w:cs="Times New Roman"/>
        </w:rPr>
      </w:pPr>
      <w:r w:rsidRPr="0084514D">
        <w:rPr>
          <w:rFonts w:cs="Times New Roman"/>
        </w:rPr>
        <w:t xml:space="preserve">Consider, for example, a state law </w:t>
      </w:r>
      <w:r w:rsidR="0070556F" w:rsidRPr="0084514D">
        <w:rPr>
          <w:rFonts w:cs="Times New Roman"/>
        </w:rPr>
        <w:t>stating that a</w:t>
      </w:r>
      <w:r w:rsidRPr="0084514D">
        <w:rPr>
          <w:rFonts w:cs="Times New Roman"/>
        </w:rPr>
        <w:t xml:space="preserve"> municipality may not offer broadband service </w:t>
      </w:r>
      <w:r w:rsidR="0070556F" w:rsidRPr="0084514D">
        <w:rPr>
          <w:rFonts w:cs="Times New Roman"/>
        </w:rPr>
        <w:t xml:space="preserve">so long as </w:t>
      </w:r>
      <w:r w:rsidRPr="0084514D">
        <w:rPr>
          <w:rFonts w:cs="Times New Roman"/>
        </w:rPr>
        <w:t xml:space="preserve">at least one private broadband provider is offering service to all </w:t>
      </w:r>
      <w:r w:rsidR="0070556F" w:rsidRPr="0084514D">
        <w:rPr>
          <w:rFonts w:cs="Times New Roman"/>
        </w:rPr>
        <w:t>residents of that municipality.</w:t>
      </w:r>
      <w:r w:rsidRPr="0084514D">
        <w:rPr>
          <w:rFonts w:cs="Times New Roman"/>
        </w:rPr>
        <w:t xml:space="preserve">  The Commission </w:t>
      </w:r>
      <w:r w:rsidR="0070556F" w:rsidRPr="0084514D">
        <w:rPr>
          <w:rFonts w:cs="Times New Roman"/>
        </w:rPr>
        <w:t>likely would</w:t>
      </w:r>
      <w:r w:rsidRPr="0084514D">
        <w:rPr>
          <w:rFonts w:cs="Times New Roman"/>
        </w:rPr>
        <w:t xml:space="preserve"> claim that such a law would be a restriction on municipal broadband projects subject to preemption under section 706 because it does not forbid a municipality from providing broadband service </w:t>
      </w:r>
      <w:r w:rsidR="0066674C" w:rsidRPr="0084514D">
        <w:rPr>
          <w:rFonts w:cs="Times New Roman"/>
        </w:rPr>
        <w:t xml:space="preserve">in all circumstances.  But in reality, </w:t>
      </w:r>
      <w:r w:rsidR="00DD6D13" w:rsidRPr="0084514D">
        <w:rPr>
          <w:rFonts w:cs="Times New Roman"/>
        </w:rPr>
        <w:t>the state law functions</w:t>
      </w:r>
      <w:r w:rsidR="0070556F" w:rsidRPr="0084514D">
        <w:rPr>
          <w:rFonts w:cs="Times New Roman"/>
        </w:rPr>
        <w:t xml:space="preserve"> as a prohibition</w:t>
      </w:r>
      <w:r w:rsidR="0066674C" w:rsidRPr="0084514D">
        <w:rPr>
          <w:rFonts w:cs="Times New Roman"/>
        </w:rPr>
        <w:t xml:space="preserve"> as applied to any municipality where all residents are being offered broadband service by a private provider.</w:t>
      </w:r>
    </w:p>
    <w:p w14:paraId="2A7E53D9" w14:textId="1C0526E4" w:rsidR="0066674C" w:rsidRPr="0084514D" w:rsidRDefault="0066674C" w:rsidP="00162BFC">
      <w:pPr>
        <w:ind w:firstLine="720"/>
        <w:rPr>
          <w:rFonts w:cs="Times New Roman"/>
        </w:rPr>
      </w:pPr>
      <w:r w:rsidRPr="0084514D">
        <w:rPr>
          <w:rFonts w:cs="Times New Roman"/>
        </w:rPr>
        <w:t xml:space="preserve">Or </w:t>
      </w:r>
      <w:r w:rsidR="00F87374" w:rsidRPr="0084514D">
        <w:rPr>
          <w:rFonts w:cs="Times New Roman"/>
        </w:rPr>
        <w:t xml:space="preserve">consider </w:t>
      </w:r>
      <w:r w:rsidRPr="0084514D">
        <w:rPr>
          <w:rFonts w:cs="Times New Roman"/>
        </w:rPr>
        <w:t xml:space="preserve">a state law providing that municipalities </w:t>
      </w:r>
      <w:r w:rsidR="00DD6D13" w:rsidRPr="0084514D">
        <w:rPr>
          <w:rFonts w:cs="Times New Roman"/>
        </w:rPr>
        <w:t>were</w:t>
      </w:r>
      <w:r w:rsidRPr="0084514D">
        <w:rPr>
          <w:rFonts w:cs="Times New Roman"/>
        </w:rPr>
        <w:t xml:space="preserve"> authorized to operate municipal broadband</w:t>
      </w:r>
      <w:r w:rsidR="00DD6D13" w:rsidRPr="0084514D">
        <w:rPr>
          <w:rFonts w:cs="Times New Roman"/>
        </w:rPr>
        <w:t xml:space="preserve"> projects beginning January 1, 2020</w:t>
      </w:r>
      <w:r w:rsidR="00F87374" w:rsidRPr="0084514D">
        <w:rPr>
          <w:rFonts w:cs="Times New Roman"/>
        </w:rPr>
        <w:t>.</w:t>
      </w:r>
      <w:r w:rsidRPr="0084514D">
        <w:rPr>
          <w:rFonts w:cs="Times New Roman"/>
        </w:rPr>
        <w:t xml:space="preserve">  Would that condition as to timing be a restriction that could be preempted using section 706?  Or would it be a prohibition on municipal broadband projects through the end of 201</w:t>
      </w:r>
      <w:r w:rsidR="0084514D">
        <w:rPr>
          <w:rFonts w:cs="Times New Roman"/>
        </w:rPr>
        <w:t>9 that could not be preempted?</w:t>
      </w:r>
    </w:p>
    <w:p w14:paraId="6668DDB1" w14:textId="3E55507D" w:rsidR="00DC09F4" w:rsidRDefault="0066674C" w:rsidP="00162BFC">
      <w:pPr>
        <w:ind w:firstLine="720"/>
        <w:rPr>
          <w:rFonts w:cs="Times New Roman"/>
        </w:rPr>
      </w:pPr>
      <w:r w:rsidRPr="0084514D">
        <w:rPr>
          <w:rFonts w:cs="Times New Roman"/>
        </w:rPr>
        <w:t>In short, the heart of the Commission’s analysis rest</w:t>
      </w:r>
      <w:r w:rsidR="00A80477" w:rsidRPr="0084514D">
        <w:rPr>
          <w:rFonts w:cs="Times New Roman"/>
        </w:rPr>
        <w:t>s</w:t>
      </w:r>
      <w:r w:rsidRPr="0084514D">
        <w:rPr>
          <w:rFonts w:cs="Times New Roman"/>
        </w:rPr>
        <w:t xml:space="preserve"> </w:t>
      </w:r>
      <w:r w:rsidR="00A80477" w:rsidRPr="0084514D">
        <w:rPr>
          <w:rFonts w:cs="Times New Roman"/>
        </w:rPr>
        <w:t xml:space="preserve">not </w:t>
      </w:r>
      <w:r w:rsidRPr="0084514D">
        <w:rPr>
          <w:rFonts w:cs="Times New Roman"/>
        </w:rPr>
        <w:t>on a principled distinction but semantic</w:t>
      </w:r>
      <w:r w:rsidR="00F87374" w:rsidRPr="0084514D">
        <w:rPr>
          <w:rFonts w:cs="Times New Roman"/>
        </w:rPr>
        <w:t>s</w:t>
      </w:r>
      <w:r w:rsidRPr="0084514D">
        <w:rPr>
          <w:rFonts w:cs="Times New Roman"/>
        </w:rPr>
        <w:t>.  And no matter what word</w:t>
      </w:r>
      <w:r w:rsidR="002B18D2" w:rsidRPr="0084514D">
        <w:rPr>
          <w:rFonts w:cs="Times New Roman"/>
        </w:rPr>
        <w:t>play</w:t>
      </w:r>
      <w:r w:rsidRPr="0084514D">
        <w:rPr>
          <w:rFonts w:cs="Times New Roman"/>
        </w:rPr>
        <w:t xml:space="preserve"> the Commission employs, it cannot escape one basic </w:t>
      </w:r>
      <w:r w:rsidR="002B18D2" w:rsidRPr="0084514D">
        <w:rPr>
          <w:rFonts w:cs="Times New Roman"/>
        </w:rPr>
        <w:t>fact</w:t>
      </w:r>
      <w:r w:rsidR="00F87374" w:rsidRPr="0084514D">
        <w:rPr>
          <w:rFonts w:cs="Times New Roman"/>
        </w:rPr>
        <w:t>:</w:t>
      </w:r>
      <w:r w:rsidRPr="0084514D">
        <w:rPr>
          <w:rFonts w:cs="Times New Roman"/>
        </w:rPr>
        <w:t xml:space="preserve">  Through preemption, the Commission is attempting to </w:t>
      </w:r>
      <w:r w:rsidR="002B18D2" w:rsidRPr="0084514D">
        <w:rPr>
          <w:rFonts w:cs="Times New Roman"/>
        </w:rPr>
        <w:t>provide</w:t>
      </w:r>
      <w:r w:rsidRPr="0084514D">
        <w:rPr>
          <w:rFonts w:cs="Times New Roman"/>
        </w:rPr>
        <w:t xml:space="preserve"> municipalities in Tennessee and North Carolina </w:t>
      </w:r>
      <w:r w:rsidR="002B18D2" w:rsidRPr="0084514D">
        <w:rPr>
          <w:rFonts w:cs="Times New Roman"/>
        </w:rPr>
        <w:t xml:space="preserve">with </w:t>
      </w:r>
      <w:r w:rsidRPr="0084514D">
        <w:rPr>
          <w:rFonts w:cs="Times New Roman"/>
        </w:rPr>
        <w:t>authority that their state governments have no</w:t>
      </w:r>
      <w:r w:rsidR="002B18D2" w:rsidRPr="0084514D">
        <w:rPr>
          <w:rFonts w:cs="Times New Roman"/>
        </w:rPr>
        <w:t>t</w:t>
      </w:r>
      <w:r w:rsidRPr="0084514D">
        <w:rPr>
          <w:rFonts w:cs="Times New Roman"/>
        </w:rPr>
        <w:t xml:space="preserve"> given them.</w:t>
      </w:r>
      <w:r w:rsidR="002B18D2" w:rsidRPr="0084514D">
        <w:rPr>
          <w:rFonts w:cs="Times New Roman"/>
        </w:rPr>
        <w:t xml:space="preserve">  </w:t>
      </w:r>
    </w:p>
    <w:p w14:paraId="553FBBB2" w14:textId="600DABE9" w:rsidR="0066674C" w:rsidRPr="0084514D" w:rsidRDefault="00F87374" w:rsidP="00162BFC">
      <w:pPr>
        <w:ind w:firstLine="720"/>
        <w:rPr>
          <w:rFonts w:cs="Times New Roman"/>
        </w:rPr>
      </w:pPr>
      <w:r w:rsidRPr="0084514D">
        <w:rPr>
          <w:rFonts w:cs="Times New Roman"/>
        </w:rPr>
        <w:t>S</w:t>
      </w:r>
      <w:r w:rsidR="00204D18" w:rsidRPr="0084514D">
        <w:rPr>
          <w:rFonts w:cs="Times New Roman"/>
        </w:rPr>
        <w:t>uch action would interfere</w:t>
      </w:r>
      <w:r w:rsidR="002B18D2" w:rsidRPr="0084514D">
        <w:rPr>
          <w:rFonts w:cs="Times New Roman"/>
        </w:rPr>
        <w:t xml:space="preserve"> with “States’ arrangements for conducting their own governments”</w:t>
      </w:r>
      <w:r w:rsidR="00935212" w:rsidRPr="0084514D">
        <w:rPr>
          <w:rStyle w:val="FootnoteReference"/>
          <w:rFonts w:cs="Times New Roman"/>
        </w:rPr>
        <w:t xml:space="preserve"> </w:t>
      </w:r>
      <w:r w:rsidR="00935212" w:rsidRPr="0084514D">
        <w:rPr>
          <w:rStyle w:val="FootnoteReference"/>
          <w:rFonts w:cs="Times New Roman"/>
        </w:rPr>
        <w:footnoteReference w:id="38"/>
      </w:r>
      <w:r w:rsidR="002B18D2" w:rsidRPr="0084514D">
        <w:rPr>
          <w:rFonts w:cs="Times New Roman"/>
        </w:rPr>
        <w:t xml:space="preserve"> because it</w:t>
      </w:r>
      <w:r w:rsidR="00204D18" w:rsidRPr="0084514D">
        <w:rPr>
          <w:rFonts w:cs="Times New Roman"/>
        </w:rPr>
        <w:t xml:space="preserve"> would be</w:t>
      </w:r>
      <w:r w:rsidR="002B18D2" w:rsidRPr="0084514D">
        <w:rPr>
          <w:rFonts w:cs="Times New Roman"/>
        </w:rPr>
        <w:t xml:space="preserve"> inconsistent with the fundamental principle </w:t>
      </w:r>
      <w:r w:rsidR="00654858" w:rsidRPr="0084514D">
        <w:rPr>
          <w:rFonts w:cs="Times New Roman"/>
        </w:rPr>
        <w:t xml:space="preserve">that </w:t>
      </w:r>
      <w:r w:rsidR="0070556F" w:rsidRPr="0084514D">
        <w:rPr>
          <w:rFonts w:cs="Times New Roman"/>
        </w:rPr>
        <w:t xml:space="preserve">a State has “absolute discretion” </w:t>
      </w:r>
      <w:r w:rsidR="00563844" w:rsidRPr="0084514D">
        <w:rPr>
          <w:rFonts w:cs="Times New Roman"/>
        </w:rPr>
        <w:t>to determine</w:t>
      </w:r>
      <w:r w:rsidR="0070556F" w:rsidRPr="0084514D">
        <w:rPr>
          <w:rFonts w:cs="Times New Roman"/>
        </w:rPr>
        <w:t xml:space="preserve"> </w:t>
      </w:r>
      <w:r w:rsidR="00E16225" w:rsidRPr="0084514D">
        <w:rPr>
          <w:rFonts w:cs="Times New Roman"/>
        </w:rPr>
        <w:t>the “number, nature, and duration” of the powers it wishes to entrust to its municipalities</w:t>
      </w:r>
      <w:r w:rsidR="002B18D2" w:rsidRPr="0084514D">
        <w:rPr>
          <w:rFonts w:cs="Times New Roman"/>
        </w:rPr>
        <w:t>.</w:t>
      </w:r>
      <w:r w:rsidR="0070556F" w:rsidRPr="0084514D">
        <w:rPr>
          <w:rStyle w:val="FootnoteReference"/>
          <w:rFonts w:cs="Times New Roman"/>
        </w:rPr>
        <w:footnoteReference w:id="39"/>
      </w:r>
      <w:r w:rsidR="002B18D2" w:rsidRPr="0084514D">
        <w:rPr>
          <w:rFonts w:cs="Times New Roman"/>
        </w:rPr>
        <w:t xml:space="preserve">  As a result, there must be a clear statement that Congress intended to give the Commission the authority to infringe </w:t>
      </w:r>
      <w:r w:rsidR="00DD6D13" w:rsidRPr="0084514D">
        <w:rPr>
          <w:rFonts w:cs="Times New Roman"/>
        </w:rPr>
        <w:t>upon</w:t>
      </w:r>
      <w:r w:rsidR="002B18D2" w:rsidRPr="0084514D">
        <w:rPr>
          <w:rFonts w:cs="Times New Roman"/>
        </w:rPr>
        <w:t xml:space="preserve"> the sovereignty of Tennessee and North Carolina</w:t>
      </w:r>
      <w:r w:rsidR="00CF432E" w:rsidRPr="0084514D">
        <w:rPr>
          <w:rFonts w:cs="Times New Roman"/>
        </w:rPr>
        <w:t xml:space="preserve"> in this manner</w:t>
      </w:r>
      <w:r w:rsidR="008F74EA" w:rsidRPr="0084514D">
        <w:rPr>
          <w:rFonts w:cs="Times New Roman"/>
        </w:rPr>
        <w:t>—</w:t>
      </w:r>
      <w:r w:rsidR="002B18D2" w:rsidRPr="0084514D">
        <w:rPr>
          <w:rFonts w:cs="Times New Roman"/>
        </w:rPr>
        <w:t>a</w:t>
      </w:r>
      <w:r w:rsidR="008F74EA" w:rsidRPr="0084514D">
        <w:rPr>
          <w:rFonts w:cs="Times New Roman"/>
        </w:rPr>
        <w:t xml:space="preserve"> </w:t>
      </w:r>
      <w:r w:rsidR="002B18D2" w:rsidRPr="0084514D">
        <w:rPr>
          <w:rFonts w:cs="Times New Roman"/>
        </w:rPr>
        <w:t xml:space="preserve">clear statement that </w:t>
      </w:r>
      <w:r w:rsidR="00CB3BAE" w:rsidRPr="0084514D">
        <w:rPr>
          <w:rFonts w:cs="Times New Roman"/>
        </w:rPr>
        <w:t>is nowhere</w:t>
      </w:r>
      <w:r w:rsidR="002B18D2" w:rsidRPr="0084514D">
        <w:rPr>
          <w:rFonts w:cs="Times New Roman"/>
        </w:rPr>
        <w:t xml:space="preserve"> found in section 706.</w:t>
      </w:r>
    </w:p>
    <w:p w14:paraId="78D2A0C6" w14:textId="178E9D2D" w:rsidR="004B7A3B" w:rsidRPr="0084514D" w:rsidRDefault="00CF432E" w:rsidP="002416FF">
      <w:pPr>
        <w:keepNext/>
        <w:spacing w:before="240"/>
        <w:jc w:val="center"/>
        <w:rPr>
          <w:rFonts w:cs="Times New Roman"/>
        </w:rPr>
      </w:pPr>
      <w:r w:rsidRPr="0084514D">
        <w:rPr>
          <w:rFonts w:cs="Times New Roman"/>
        </w:rPr>
        <w:t>III</w:t>
      </w:r>
      <w:r w:rsidR="0084514D">
        <w:rPr>
          <w:rFonts w:cs="Times New Roman"/>
        </w:rPr>
        <w:t>.</w:t>
      </w:r>
    </w:p>
    <w:p w14:paraId="71579845" w14:textId="7C6DA145" w:rsidR="009B4CA7" w:rsidRPr="0084514D" w:rsidRDefault="009B4CA7" w:rsidP="00D373AF">
      <w:pPr>
        <w:ind w:firstLine="720"/>
        <w:rPr>
          <w:rFonts w:cs="Times New Roman"/>
        </w:rPr>
      </w:pPr>
      <w:r w:rsidRPr="0084514D">
        <w:rPr>
          <w:rFonts w:cs="Times New Roman"/>
        </w:rPr>
        <w:t xml:space="preserve">But it even gets worse for the Commission’s position.  For not only does section 706 </w:t>
      </w:r>
      <w:r w:rsidR="007C5D03" w:rsidRPr="0084514D">
        <w:rPr>
          <w:rFonts w:cs="Times New Roman"/>
        </w:rPr>
        <w:t xml:space="preserve">lack any </w:t>
      </w:r>
      <w:r w:rsidRPr="0084514D">
        <w:rPr>
          <w:rFonts w:cs="Times New Roman"/>
        </w:rPr>
        <w:t>clear s</w:t>
      </w:r>
      <w:r w:rsidR="008F74EA" w:rsidRPr="0084514D">
        <w:rPr>
          <w:rFonts w:cs="Times New Roman"/>
        </w:rPr>
        <w:t>tatement necessary to preempt “S</w:t>
      </w:r>
      <w:r w:rsidRPr="0084514D">
        <w:rPr>
          <w:rFonts w:cs="Times New Roman"/>
        </w:rPr>
        <w:t xml:space="preserve">tates’ arrangements for conducting their own governments,” I also very much doubt that it </w:t>
      </w:r>
      <w:r w:rsidR="00DD6D13" w:rsidRPr="0084514D">
        <w:rPr>
          <w:rFonts w:cs="Times New Roman"/>
        </w:rPr>
        <w:t xml:space="preserve">even </w:t>
      </w:r>
      <w:r w:rsidRPr="0084514D">
        <w:rPr>
          <w:rFonts w:cs="Times New Roman"/>
        </w:rPr>
        <w:t xml:space="preserve">gives the Commission the authority to preempt </w:t>
      </w:r>
      <w:r w:rsidRPr="0084514D">
        <w:rPr>
          <w:rFonts w:cs="Times New Roman"/>
          <w:i/>
        </w:rPr>
        <w:t>any</w:t>
      </w:r>
      <w:r w:rsidRPr="0084514D">
        <w:rPr>
          <w:rFonts w:cs="Times New Roman"/>
        </w:rPr>
        <w:t xml:space="preserve"> state laws, even those governing private actors.</w:t>
      </w:r>
    </w:p>
    <w:p w14:paraId="40A502D6" w14:textId="094B74D7" w:rsidR="009B4CA7" w:rsidRPr="0084514D" w:rsidRDefault="009B4CA7" w:rsidP="009B4CA7">
      <w:pPr>
        <w:ind w:firstLine="720"/>
        <w:rPr>
          <w:rFonts w:cs="Times New Roman"/>
        </w:rPr>
      </w:pPr>
      <w:r w:rsidRPr="0084514D">
        <w:rPr>
          <w:rFonts w:cs="Times New Roman"/>
        </w:rPr>
        <w:t>For example, section 601(c)(1) of the Telecommunications Act of 1996 states: “NO IMPLIED EFFECT- This Act and the amendments made by this Act shall not be construed to modify, impair, or supersede Federal, State, or local law unless expressly so provided in such Act or amendments.”</w:t>
      </w:r>
      <w:r w:rsidR="00935212" w:rsidRPr="0084514D">
        <w:rPr>
          <w:rStyle w:val="FootnoteReference"/>
          <w:rFonts w:cs="Times New Roman"/>
        </w:rPr>
        <w:t xml:space="preserve"> </w:t>
      </w:r>
      <w:r w:rsidR="00935212" w:rsidRPr="0084514D">
        <w:rPr>
          <w:rStyle w:val="FootnoteReference"/>
          <w:rFonts w:cs="Times New Roman"/>
        </w:rPr>
        <w:footnoteReference w:id="40"/>
      </w:r>
      <w:r w:rsidR="00935212" w:rsidRPr="0084514D">
        <w:rPr>
          <w:rFonts w:cs="Times New Roman"/>
        </w:rPr>
        <w:t xml:space="preserve"> </w:t>
      </w:r>
      <w:r w:rsidRPr="0084514D">
        <w:rPr>
          <w:rFonts w:cs="Times New Roman"/>
        </w:rPr>
        <w:t xml:space="preserve"> The Commission acknowledges that “[b]y its terms, section 601(c</w:t>
      </w:r>
      <w:r w:rsidR="003A4DCF" w:rsidRPr="0084514D">
        <w:rPr>
          <w:rFonts w:cs="Times New Roman"/>
        </w:rPr>
        <w:t>) prevents ‘implied’</w:t>
      </w:r>
      <w:r w:rsidRPr="0084514D">
        <w:rPr>
          <w:rFonts w:cs="Times New Roman"/>
        </w:rPr>
        <w:t xml:space="preserve"> preemption”</w:t>
      </w:r>
      <w:r w:rsidR="00DD6D13" w:rsidRPr="0084514D">
        <w:rPr>
          <w:rStyle w:val="FootnoteReference"/>
          <w:rFonts w:cs="Times New Roman"/>
        </w:rPr>
        <w:footnoteReference w:id="41"/>
      </w:r>
      <w:r w:rsidRPr="0084514D">
        <w:rPr>
          <w:rFonts w:cs="Times New Roman"/>
        </w:rPr>
        <w:t xml:space="preserve"> and </w:t>
      </w:r>
      <w:r w:rsidR="0070556F" w:rsidRPr="0084514D">
        <w:rPr>
          <w:rFonts w:cs="Times New Roman"/>
        </w:rPr>
        <w:t>nowhere</w:t>
      </w:r>
      <w:r w:rsidRPr="0084514D">
        <w:rPr>
          <w:rFonts w:cs="Times New Roman"/>
        </w:rPr>
        <w:t xml:space="preserve"> claim</w:t>
      </w:r>
      <w:r w:rsidR="0070556F" w:rsidRPr="0084514D">
        <w:rPr>
          <w:rFonts w:cs="Times New Roman"/>
        </w:rPr>
        <w:t>s</w:t>
      </w:r>
      <w:r w:rsidRPr="0084514D">
        <w:rPr>
          <w:rFonts w:cs="Times New Roman"/>
        </w:rPr>
        <w:t xml:space="preserve"> that section 706 expressly refers to the preemptio</w:t>
      </w:r>
      <w:r w:rsidR="0084514D">
        <w:rPr>
          <w:rFonts w:cs="Times New Roman"/>
        </w:rPr>
        <w:t>n or impairment of state law.</w:t>
      </w:r>
    </w:p>
    <w:p w14:paraId="1D334372" w14:textId="1E75697A" w:rsidR="00F80E14" w:rsidRPr="0084514D" w:rsidRDefault="009B4CA7" w:rsidP="009B4CA7">
      <w:pPr>
        <w:ind w:firstLine="720"/>
        <w:rPr>
          <w:rFonts w:cs="Times New Roman"/>
        </w:rPr>
      </w:pPr>
      <w:r w:rsidRPr="0084514D">
        <w:rPr>
          <w:rFonts w:cs="Times New Roman"/>
        </w:rPr>
        <w:t xml:space="preserve">Nonetheless, the Commission tries to circumvent this prohibition by claiming that section 601(c) only prevents the Act itself from being read to preempt state law by implication.  Section 601(c), according to the Commission, does </w:t>
      </w:r>
      <w:r w:rsidR="003A4DCF" w:rsidRPr="0084514D">
        <w:rPr>
          <w:rFonts w:cs="Times New Roman"/>
        </w:rPr>
        <w:t>not prevent</w:t>
      </w:r>
      <w:r w:rsidRPr="0084514D">
        <w:rPr>
          <w:rFonts w:cs="Times New Roman"/>
        </w:rPr>
        <w:t xml:space="preserve"> the Act </w:t>
      </w:r>
      <w:r w:rsidR="003A4DCF" w:rsidRPr="0084514D">
        <w:rPr>
          <w:rFonts w:cs="Times New Roman"/>
        </w:rPr>
        <w:t xml:space="preserve">from being read to </w:t>
      </w:r>
      <w:r w:rsidRPr="0084514D">
        <w:rPr>
          <w:rFonts w:cs="Times New Roman"/>
        </w:rPr>
        <w:t>implicitly give such preemptive powers to the Commission.</w:t>
      </w:r>
      <w:r w:rsidR="0070556F" w:rsidRPr="0084514D">
        <w:rPr>
          <w:rStyle w:val="FootnoteReference"/>
          <w:rFonts w:cs="Times New Roman"/>
        </w:rPr>
        <w:footnoteReference w:id="42"/>
      </w:r>
      <w:r w:rsidRPr="0084514D">
        <w:rPr>
          <w:rFonts w:cs="Times New Roman"/>
        </w:rPr>
        <w:t xml:space="preserve">  </w:t>
      </w:r>
      <w:r w:rsidR="003A4DCF" w:rsidRPr="0084514D">
        <w:rPr>
          <w:rFonts w:cs="Times New Roman"/>
        </w:rPr>
        <w:t xml:space="preserve">Nowhere does the </w:t>
      </w:r>
      <w:r w:rsidR="003A4DCF" w:rsidRPr="0084514D">
        <w:rPr>
          <w:rFonts w:cs="Times New Roman"/>
          <w:i/>
        </w:rPr>
        <w:t xml:space="preserve">Order </w:t>
      </w:r>
      <w:r w:rsidR="003A4DCF" w:rsidRPr="0084514D">
        <w:rPr>
          <w:rFonts w:cs="Times New Roman"/>
        </w:rPr>
        <w:t>contain any explanation for why Congress would have intended such an odd result.  It is difficult to believe that Congress would have been concerned about implicitly superseding state law in the text</w:t>
      </w:r>
      <w:r w:rsidR="00F80E14" w:rsidRPr="0084514D">
        <w:rPr>
          <w:rFonts w:cs="Times New Roman"/>
        </w:rPr>
        <w:t xml:space="preserve"> of the Act yet would implicitly give</w:t>
      </w:r>
      <w:r w:rsidR="003A4DCF" w:rsidRPr="0084514D">
        <w:rPr>
          <w:rFonts w:cs="Times New Roman"/>
        </w:rPr>
        <w:t xml:space="preserve"> the Commission the a</w:t>
      </w:r>
      <w:r w:rsidR="00F80E14" w:rsidRPr="0084514D">
        <w:rPr>
          <w:rFonts w:cs="Times New Roman"/>
        </w:rPr>
        <w:t xml:space="preserve">uthority to do the </w:t>
      </w:r>
      <w:r w:rsidR="00DD6D13" w:rsidRPr="0084514D">
        <w:rPr>
          <w:rFonts w:cs="Times New Roman"/>
        </w:rPr>
        <w:t xml:space="preserve">exact </w:t>
      </w:r>
      <w:r w:rsidR="00F80E14" w:rsidRPr="0084514D">
        <w:rPr>
          <w:rFonts w:cs="Times New Roman"/>
        </w:rPr>
        <w:t xml:space="preserve">same thing.  </w:t>
      </w:r>
      <w:r w:rsidR="00D822B1" w:rsidRPr="0084514D">
        <w:rPr>
          <w:rFonts w:cs="Times New Roman"/>
        </w:rPr>
        <w:t>No</w:t>
      </w:r>
      <w:r w:rsidR="00F80E14" w:rsidRPr="0084514D">
        <w:rPr>
          <w:rFonts w:cs="Times New Roman"/>
        </w:rPr>
        <w:t xml:space="preserve">, </w:t>
      </w:r>
      <w:r w:rsidRPr="0084514D">
        <w:rPr>
          <w:rFonts w:cs="Times New Roman"/>
        </w:rPr>
        <w:t>section 601(c) “counsel</w:t>
      </w:r>
      <w:r w:rsidR="008F74EA" w:rsidRPr="0084514D">
        <w:rPr>
          <w:rFonts w:cs="Times New Roman"/>
        </w:rPr>
        <w:t>[</w:t>
      </w:r>
      <w:r w:rsidRPr="0084514D">
        <w:rPr>
          <w:rFonts w:cs="Times New Roman"/>
        </w:rPr>
        <w:t>s</w:t>
      </w:r>
      <w:r w:rsidR="008F74EA" w:rsidRPr="0084514D">
        <w:rPr>
          <w:rFonts w:cs="Times New Roman"/>
        </w:rPr>
        <w:t>]</w:t>
      </w:r>
      <w:r w:rsidRPr="0084514D">
        <w:rPr>
          <w:rFonts w:cs="Times New Roman"/>
        </w:rPr>
        <w:t xml:space="preserve"> against any broad construction” of the </w:t>
      </w:r>
      <w:r w:rsidR="00DD6D13" w:rsidRPr="0084514D">
        <w:rPr>
          <w:rFonts w:cs="Times New Roman"/>
        </w:rPr>
        <w:t>1996 Act</w:t>
      </w:r>
      <w:r w:rsidRPr="0084514D">
        <w:rPr>
          <w:rFonts w:cs="Times New Roman"/>
        </w:rPr>
        <w:t xml:space="preserve"> “that would create an implicit conflict with state [] law.”</w:t>
      </w:r>
      <w:r w:rsidR="0070556F" w:rsidRPr="0084514D">
        <w:rPr>
          <w:rStyle w:val="FootnoteReference"/>
          <w:rFonts w:cs="Times New Roman"/>
        </w:rPr>
        <w:footnoteReference w:id="43"/>
      </w:r>
      <w:r w:rsidRPr="0084514D">
        <w:rPr>
          <w:rFonts w:cs="Times New Roman"/>
        </w:rPr>
        <w:t xml:space="preserve"> </w:t>
      </w:r>
      <w:r w:rsidR="00F80E14" w:rsidRPr="0084514D">
        <w:rPr>
          <w:rFonts w:cs="Times New Roman"/>
        </w:rPr>
        <w:t xml:space="preserve"> Here, that principle </w:t>
      </w:r>
      <w:r w:rsidR="00D822B1" w:rsidRPr="0084514D">
        <w:rPr>
          <w:rFonts w:cs="Times New Roman"/>
        </w:rPr>
        <w:t xml:space="preserve">suggests </w:t>
      </w:r>
      <w:r w:rsidR="00F80E14" w:rsidRPr="0084514D">
        <w:rPr>
          <w:rFonts w:cs="Times New Roman"/>
        </w:rPr>
        <w:t xml:space="preserve">not reading section 706 of the </w:t>
      </w:r>
      <w:r w:rsidR="00DD6D13" w:rsidRPr="0084514D">
        <w:rPr>
          <w:rFonts w:cs="Times New Roman"/>
        </w:rPr>
        <w:t xml:space="preserve">Telecommunications </w:t>
      </w:r>
      <w:r w:rsidR="00F80E14" w:rsidRPr="0084514D">
        <w:rPr>
          <w:rFonts w:cs="Times New Roman"/>
        </w:rPr>
        <w:t xml:space="preserve">Act </w:t>
      </w:r>
      <w:r w:rsidR="00D822B1" w:rsidRPr="0084514D">
        <w:rPr>
          <w:rFonts w:cs="Times New Roman"/>
        </w:rPr>
        <w:t xml:space="preserve">so broadly as </w:t>
      </w:r>
      <w:r w:rsidR="00F80E14" w:rsidRPr="0084514D">
        <w:rPr>
          <w:rFonts w:cs="Times New Roman"/>
        </w:rPr>
        <w:t>to give the Commission the power to manufacture conflicts with state law.</w:t>
      </w:r>
      <w:r w:rsidR="0070556F" w:rsidRPr="0084514D">
        <w:rPr>
          <w:rFonts w:cs="Times New Roman"/>
        </w:rPr>
        <w:t xml:space="preserve">  Hence, it counsels against interpreting section 706 to give the Commission t</w:t>
      </w:r>
      <w:r w:rsidR="0084514D">
        <w:rPr>
          <w:rFonts w:cs="Times New Roman"/>
        </w:rPr>
        <w:t>he power to preempt state law.</w:t>
      </w:r>
    </w:p>
    <w:p w14:paraId="6BC2D9D4" w14:textId="10BC49A1" w:rsidR="00263652" w:rsidRPr="0084514D" w:rsidRDefault="00D822B1" w:rsidP="009B4CA7">
      <w:pPr>
        <w:ind w:firstLine="720"/>
        <w:rPr>
          <w:rFonts w:cs="Times New Roman"/>
        </w:rPr>
      </w:pPr>
      <w:r w:rsidRPr="0084514D">
        <w:rPr>
          <w:rFonts w:cs="Times New Roman"/>
        </w:rPr>
        <w:t xml:space="preserve">There’s an additional problem with the Commission’s approach: </w:t>
      </w:r>
      <w:r w:rsidR="00EA05C3">
        <w:rPr>
          <w:rFonts w:cs="Times New Roman"/>
        </w:rPr>
        <w:t xml:space="preserve"> S</w:t>
      </w:r>
      <w:r w:rsidRPr="0084514D">
        <w:rPr>
          <w:rFonts w:cs="Times New Roman"/>
        </w:rPr>
        <w:t>ection 706</w:t>
      </w:r>
      <w:r w:rsidR="00A65338" w:rsidRPr="0084514D">
        <w:rPr>
          <w:rFonts w:cs="Times New Roman"/>
        </w:rPr>
        <w:t>(a)</w:t>
      </w:r>
      <w:r w:rsidRPr="0084514D">
        <w:rPr>
          <w:rFonts w:cs="Times New Roman"/>
        </w:rPr>
        <w:t xml:space="preserve"> extends beyond the FCC.  R</w:t>
      </w:r>
      <w:r w:rsidR="00F80E14" w:rsidRPr="0084514D">
        <w:rPr>
          <w:rFonts w:cs="Times New Roman"/>
        </w:rPr>
        <w:t xml:space="preserve">emember that the text of </w:t>
      </w:r>
      <w:r w:rsidR="00A65338" w:rsidRPr="0084514D">
        <w:rPr>
          <w:rFonts w:cs="Times New Roman"/>
        </w:rPr>
        <w:t>that sub</w:t>
      </w:r>
      <w:r w:rsidR="00F80E14" w:rsidRPr="0084514D">
        <w:rPr>
          <w:rFonts w:cs="Times New Roman"/>
        </w:rPr>
        <w:t xml:space="preserve">section </w:t>
      </w:r>
      <w:r w:rsidR="0070556F" w:rsidRPr="0084514D">
        <w:rPr>
          <w:rFonts w:cs="Times New Roman"/>
        </w:rPr>
        <w:t>gives</w:t>
      </w:r>
      <w:r w:rsidR="00F80E14" w:rsidRPr="0084514D">
        <w:rPr>
          <w:rFonts w:cs="Times New Roman"/>
        </w:rPr>
        <w:t xml:space="preserve"> the FCC “and each State commission with regulatory jurisdiction over telecommunications services” the </w:t>
      </w:r>
      <w:r w:rsidR="00F80E14" w:rsidRPr="0084514D">
        <w:rPr>
          <w:rFonts w:cs="Times New Roman"/>
          <w:i/>
        </w:rPr>
        <w:t>same direction</w:t>
      </w:r>
      <w:r w:rsidR="00F80E14" w:rsidRPr="0084514D">
        <w:rPr>
          <w:rFonts w:cs="Times New Roman"/>
        </w:rPr>
        <w:t xml:space="preserve">: to </w:t>
      </w:r>
      <w:r w:rsidR="00EA05C3">
        <w:rPr>
          <w:rFonts w:cs="Times New Roman"/>
        </w:rPr>
        <w:t>“</w:t>
      </w:r>
      <w:r w:rsidR="00F80E14" w:rsidRPr="0084514D">
        <w:rPr>
          <w:rFonts w:cs="Times New Roman"/>
        </w:rPr>
        <w:t>encourage the deployment on a reasonable and timely basis of advanced telecommunications capability to all Americans (including, in particular, elementary and secondary schools and classrooms) by utilizing, in a manner consistent with the public interest, convenience, and necessity, price cap regulation, regulatory forbearance, measures that promote competition in the local telecommunications market, or other regulating methods that remove barriers to infrastructure investment.</w:t>
      </w:r>
      <w:r w:rsidR="00263652" w:rsidRPr="0084514D">
        <w:rPr>
          <w:rFonts w:cs="Times New Roman"/>
        </w:rPr>
        <w:t>”</w:t>
      </w:r>
      <w:r w:rsidR="0070556F" w:rsidRPr="0084514D">
        <w:rPr>
          <w:rStyle w:val="FootnoteReference"/>
          <w:rFonts w:cs="Times New Roman"/>
        </w:rPr>
        <w:footnoteReference w:id="44"/>
      </w:r>
    </w:p>
    <w:p w14:paraId="1CC64E07" w14:textId="7DB03ED3" w:rsidR="00203FF7" w:rsidRPr="0084514D" w:rsidRDefault="00263652" w:rsidP="009B4CA7">
      <w:pPr>
        <w:ind w:firstLine="720"/>
        <w:rPr>
          <w:rFonts w:cs="Times New Roman"/>
        </w:rPr>
      </w:pPr>
      <w:r w:rsidRPr="0084514D">
        <w:rPr>
          <w:rFonts w:cs="Times New Roman"/>
        </w:rPr>
        <w:t xml:space="preserve">Therefore, if section 706(a) </w:t>
      </w:r>
      <w:r w:rsidR="00C12E72" w:rsidRPr="0084514D">
        <w:rPr>
          <w:rFonts w:cs="Times New Roman"/>
        </w:rPr>
        <w:t>authorizes</w:t>
      </w:r>
      <w:r w:rsidRPr="0084514D">
        <w:rPr>
          <w:rFonts w:cs="Times New Roman"/>
        </w:rPr>
        <w:t xml:space="preserve"> the FCC to preempt state law, it would appear to empower State commissions to do the same.  Recognizing the absurdity of this result (and</w:t>
      </w:r>
      <w:r w:rsidR="00E174B3">
        <w:rPr>
          <w:rFonts w:cs="Times New Roman"/>
        </w:rPr>
        <w:t xml:space="preserve"> perhaps</w:t>
      </w:r>
      <w:r w:rsidRPr="0084514D">
        <w:rPr>
          <w:rFonts w:cs="Times New Roman"/>
        </w:rPr>
        <w:t xml:space="preserve"> how problematic it is from </w:t>
      </w:r>
      <w:r w:rsidR="008F74EA" w:rsidRPr="0084514D">
        <w:rPr>
          <w:rFonts w:cs="Times New Roman"/>
        </w:rPr>
        <w:t>a federalism standpoint</w:t>
      </w:r>
      <w:r w:rsidRPr="0084514D">
        <w:rPr>
          <w:rFonts w:cs="Times New Roman"/>
        </w:rPr>
        <w:t xml:space="preserve">), the </w:t>
      </w:r>
      <w:r w:rsidRPr="0084514D">
        <w:rPr>
          <w:rFonts w:cs="Times New Roman"/>
          <w:i/>
        </w:rPr>
        <w:t>Order</w:t>
      </w:r>
      <w:r w:rsidRPr="0084514D">
        <w:rPr>
          <w:rFonts w:cs="Times New Roman"/>
        </w:rPr>
        <w:t xml:space="preserve"> contends that the phrase “other regulating methods” in section 706(a) means one thing when applied to the FCC and</w:t>
      </w:r>
      <w:r w:rsidR="00563844" w:rsidRPr="0084514D">
        <w:rPr>
          <w:rFonts w:cs="Times New Roman"/>
        </w:rPr>
        <w:t xml:space="preserve"> another when applied to State c</w:t>
      </w:r>
      <w:r w:rsidRPr="0084514D">
        <w:rPr>
          <w:rFonts w:cs="Times New Roman"/>
        </w:rPr>
        <w:t>ommissions.</w:t>
      </w:r>
      <w:r w:rsidR="00C12E72" w:rsidRPr="0084514D">
        <w:rPr>
          <w:rStyle w:val="FootnoteReference"/>
          <w:rFonts w:cs="Times New Roman"/>
        </w:rPr>
        <w:footnoteReference w:id="45"/>
      </w:r>
      <w:r w:rsidRPr="0084514D">
        <w:rPr>
          <w:rFonts w:cs="Times New Roman"/>
        </w:rPr>
        <w:t xml:space="preserve">  But nothing in the text of the statute supports th</w:t>
      </w:r>
      <w:r w:rsidR="00C12E72" w:rsidRPr="0084514D">
        <w:rPr>
          <w:rFonts w:cs="Times New Roman"/>
        </w:rPr>
        <w:t>at</w:t>
      </w:r>
      <w:r w:rsidRPr="0084514D">
        <w:rPr>
          <w:rFonts w:cs="Times New Roman"/>
        </w:rPr>
        <w:t xml:space="preserve"> argument.  </w:t>
      </w:r>
      <w:r w:rsidR="005B1328" w:rsidRPr="0084514D">
        <w:rPr>
          <w:rFonts w:cs="Times New Roman"/>
        </w:rPr>
        <w:t xml:space="preserve">Only by rewriting section 706(a), rather than interpreting it, can </w:t>
      </w:r>
      <w:r w:rsidRPr="0084514D">
        <w:rPr>
          <w:rFonts w:cs="Times New Roman"/>
        </w:rPr>
        <w:t>the Commission</w:t>
      </w:r>
      <w:r w:rsidR="005B1328" w:rsidRPr="0084514D">
        <w:rPr>
          <w:rFonts w:cs="Times New Roman"/>
        </w:rPr>
        <w:t xml:space="preserve"> reach this result</w:t>
      </w:r>
      <w:r w:rsidR="0084514D">
        <w:rPr>
          <w:rFonts w:cs="Times New Roman"/>
        </w:rPr>
        <w:t>.</w:t>
      </w:r>
      <w:r w:rsidR="00671307">
        <w:rPr>
          <w:rStyle w:val="FootnoteReference"/>
          <w:rFonts w:cs="Times New Roman"/>
        </w:rPr>
        <w:footnoteReference w:id="46"/>
      </w:r>
    </w:p>
    <w:p w14:paraId="42D9B80C" w14:textId="558A6B81" w:rsidR="00F80E14" w:rsidRPr="0084514D" w:rsidRDefault="00203FF7" w:rsidP="009B4CA7">
      <w:pPr>
        <w:ind w:firstLine="720"/>
        <w:rPr>
          <w:rFonts w:cs="Times New Roman"/>
        </w:rPr>
      </w:pPr>
      <w:r w:rsidRPr="0084514D">
        <w:rPr>
          <w:rFonts w:cs="Times New Roman"/>
        </w:rPr>
        <w:t xml:space="preserve">As support for its position, the </w:t>
      </w:r>
      <w:r w:rsidRPr="0084514D">
        <w:rPr>
          <w:rFonts w:cs="Times New Roman"/>
          <w:i/>
        </w:rPr>
        <w:t xml:space="preserve">Order </w:t>
      </w:r>
      <w:r w:rsidRPr="0084514D">
        <w:rPr>
          <w:rFonts w:cs="Times New Roman"/>
        </w:rPr>
        <w:t xml:space="preserve">looks to the D.C. Circuit’s decision in </w:t>
      </w:r>
      <w:r w:rsidRPr="0084514D">
        <w:rPr>
          <w:rFonts w:cs="Times New Roman"/>
          <w:i/>
        </w:rPr>
        <w:t>Verizon v. FCC</w:t>
      </w:r>
      <w:r w:rsidRPr="0084514D">
        <w:rPr>
          <w:rFonts w:cs="Times New Roman"/>
        </w:rPr>
        <w:t>.</w:t>
      </w:r>
      <w:r w:rsidR="00C12E72" w:rsidRPr="0084514D">
        <w:rPr>
          <w:rStyle w:val="FootnoteReference"/>
          <w:rFonts w:cs="Times New Roman"/>
        </w:rPr>
        <w:footnoteReference w:id="47"/>
      </w:r>
      <w:r w:rsidRPr="0084514D">
        <w:rPr>
          <w:rFonts w:cs="Times New Roman"/>
        </w:rPr>
        <w:t xml:space="preserve">  But there, the D.C. Circuit simply said that it was not implausible to believe that Congress would h</w:t>
      </w:r>
      <w:r w:rsidR="009E5443">
        <w:rPr>
          <w:rFonts w:cs="Times New Roman"/>
        </w:rPr>
        <w:t>ave granted authority to S</w:t>
      </w:r>
      <w:r w:rsidR="008F74EA" w:rsidRPr="0084514D">
        <w:rPr>
          <w:rFonts w:cs="Times New Roman"/>
        </w:rPr>
        <w:t>tate c</w:t>
      </w:r>
      <w:r w:rsidRPr="0084514D">
        <w:rPr>
          <w:rFonts w:cs="Times New Roman"/>
        </w:rPr>
        <w:t xml:space="preserve">ommissions in section 706(a).  The </w:t>
      </w:r>
      <w:r w:rsidR="005B1328" w:rsidRPr="0084514D">
        <w:rPr>
          <w:rFonts w:cs="Times New Roman"/>
        </w:rPr>
        <w:t xml:space="preserve">court </w:t>
      </w:r>
      <w:r w:rsidRPr="0084514D">
        <w:rPr>
          <w:rFonts w:cs="Times New Roman"/>
        </w:rPr>
        <w:t xml:space="preserve">nowhere stated that </w:t>
      </w:r>
      <w:r w:rsidR="002127FD" w:rsidRPr="0084514D">
        <w:rPr>
          <w:rFonts w:cs="Times New Roman"/>
        </w:rPr>
        <w:t xml:space="preserve">a single phrase in section 706(a)—“other regulating methods”—could mean two different </w:t>
      </w:r>
      <w:r w:rsidR="00DD6D13" w:rsidRPr="0084514D">
        <w:rPr>
          <w:rFonts w:cs="Times New Roman"/>
        </w:rPr>
        <w:t xml:space="preserve">things in the same </w:t>
      </w:r>
      <w:r w:rsidR="0084514D">
        <w:rPr>
          <w:rFonts w:cs="Times New Roman"/>
        </w:rPr>
        <w:t>provision.</w:t>
      </w:r>
    </w:p>
    <w:p w14:paraId="68C36C10" w14:textId="0034936F" w:rsidR="00D06483" w:rsidRPr="0084514D" w:rsidRDefault="00C12E72" w:rsidP="009B4CA7">
      <w:pPr>
        <w:ind w:firstLine="720"/>
        <w:rPr>
          <w:rFonts w:cs="Times New Roman"/>
        </w:rPr>
      </w:pPr>
      <w:r w:rsidRPr="0084514D">
        <w:rPr>
          <w:rFonts w:cs="Times New Roman"/>
        </w:rPr>
        <w:t xml:space="preserve">Turning to section 706(b), the case for interpreting the statute to permit the Commission to preempt state law is similarly </w:t>
      </w:r>
      <w:r w:rsidR="00E174B3">
        <w:rPr>
          <w:rFonts w:cs="Times New Roman"/>
        </w:rPr>
        <w:t>unavailing</w:t>
      </w:r>
      <w:r w:rsidRPr="0084514D">
        <w:rPr>
          <w:rFonts w:cs="Times New Roman"/>
        </w:rPr>
        <w:t>.  Under the Commission’s own interpretation of section 706(b), the provision only gives the Commission authority</w:t>
      </w:r>
      <w:r w:rsidRPr="0084514D">
        <w:t xml:space="preserve"> </w:t>
      </w:r>
      <w:r w:rsidRPr="0084514D">
        <w:rPr>
          <w:rFonts w:cs="Times New Roman"/>
        </w:rPr>
        <w:t xml:space="preserve">when the FCC determines that advanced telecommunications capability is </w:t>
      </w:r>
      <w:r w:rsidRPr="0084514D">
        <w:rPr>
          <w:rFonts w:cs="Times New Roman"/>
          <w:i/>
        </w:rPr>
        <w:t>not</w:t>
      </w:r>
      <w:r w:rsidRPr="0084514D">
        <w:rPr>
          <w:rFonts w:cs="Times New Roman"/>
        </w:rPr>
        <w:t xml:space="preserve"> being deployed to all Americans in a reasonable and timely fashion</w:t>
      </w:r>
      <w:r w:rsidR="009A5618" w:rsidRPr="0084514D">
        <w:rPr>
          <w:rFonts w:cs="Times New Roman"/>
        </w:rPr>
        <w:t>.  And the Commission asserts that it currently possesses the power to use section 706(b) to preempt state laws because it has made such a negative determination.</w:t>
      </w:r>
      <w:r w:rsidR="009A5618" w:rsidRPr="0084514D">
        <w:rPr>
          <w:rStyle w:val="FootnoteReference"/>
          <w:rFonts w:cs="Times New Roman"/>
        </w:rPr>
        <w:footnoteReference w:id="48"/>
      </w:r>
      <w:r w:rsidR="009A5618" w:rsidRPr="0084514D">
        <w:rPr>
          <w:rFonts w:cs="Times New Roman"/>
        </w:rPr>
        <w:t xml:space="preserve">  But </w:t>
      </w:r>
      <w:r w:rsidR="0075233F" w:rsidRPr="0084514D">
        <w:rPr>
          <w:rFonts w:cs="Times New Roman"/>
        </w:rPr>
        <w:t>that</w:t>
      </w:r>
      <w:r w:rsidR="009A5618" w:rsidRPr="0084514D">
        <w:rPr>
          <w:rFonts w:cs="Times New Roman"/>
        </w:rPr>
        <w:t xml:space="preserve"> argument </w:t>
      </w:r>
      <w:r w:rsidR="00417E13" w:rsidRPr="0084514D">
        <w:rPr>
          <w:rFonts w:cs="Times New Roman"/>
        </w:rPr>
        <w:t>presents a pickle</w:t>
      </w:r>
      <w:r w:rsidR="009A5618" w:rsidRPr="0084514D">
        <w:rPr>
          <w:rFonts w:cs="Times New Roman"/>
        </w:rPr>
        <w:t xml:space="preserve">: </w:t>
      </w:r>
      <w:r w:rsidR="00671307">
        <w:rPr>
          <w:rFonts w:cs="Times New Roman"/>
        </w:rPr>
        <w:t xml:space="preserve"> W</w:t>
      </w:r>
      <w:r w:rsidR="009A5618" w:rsidRPr="0084514D">
        <w:rPr>
          <w:rFonts w:cs="Times New Roman"/>
        </w:rPr>
        <w:t xml:space="preserve">hat happens if the Commission finds at a later date that broadband </w:t>
      </w:r>
      <w:r w:rsidR="009A5618" w:rsidRPr="0084514D">
        <w:rPr>
          <w:rFonts w:cs="Times New Roman"/>
          <w:i/>
        </w:rPr>
        <w:t>is</w:t>
      </w:r>
      <w:r w:rsidR="009A5618" w:rsidRPr="0084514D">
        <w:rPr>
          <w:rFonts w:cs="Times New Roman"/>
        </w:rPr>
        <w:t xml:space="preserve"> being deployed to all Americans in a reasonable and timely fashion?  Once the Commission’s supposed section 706(b) authority evaporates, </w:t>
      </w:r>
      <w:r w:rsidR="000312C7" w:rsidRPr="0084514D">
        <w:rPr>
          <w:rFonts w:cs="Times New Roman"/>
        </w:rPr>
        <w:t xml:space="preserve">would any </w:t>
      </w:r>
      <w:r w:rsidR="009A5618" w:rsidRPr="0084514D">
        <w:rPr>
          <w:rFonts w:cs="Times New Roman"/>
        </w:rPr>
        <w:t>state laws that were preempted under section 706(b) cease to be preempted?  That would seem to be the case since the Commission’</w:t>
      </w:r>
      <w:r w:rsidR="000312C7" w:rsidRPr="0084514D">
        <w:rPr>
          <w:rFonts w:cs="Times New Roman"/>
        </w:rPr>
        <w:t>s authority to preempt</w:t>
      </w:r>
      <w:r w:rsidR="009A5618" w:rsidRPr="0084514D">
        <w:rPr>
          <w:rFonts w:cs="Times New Roman"/>
        </w:rPr>
        <w:t xml:space="preserve"> such laws would </w:t>
      </w:r>
      <w:r w:rsidR="0075233F" w:rsidRPr="0084514D">
        <w:rPr>
          <w:rFonts w:cs="Times New Roman"/>
        </w:rPr>
        <w:t xml:space="preserve">no longer exist.  But this would be an odd </w:t>
      </w:r>
      <w:r w:rsidR="00D06483" w:rsidRPr="0084514D">
        <w:rPr>
          <w:rFonts w:cs="Times New Roman"/>
        </w:rPr>
        <w:t>result to say the least (notice the recurring theme</w:t>
      </w:r>
      <w:r w:rsidR="008F74EA" w:rsidRPr="0084514D">
        <w:rPr>
          <w:rFonts w:cs="Times New Roman"/>
        </w:rPr>
        <w:t xml:space="preserve"> </w:t>
      </w:r>
      <w:r w:rsidR="005B1328" w:rsidRPr="0084514D">
        <w:rPr>
          <w:rFonts w:cs="Times New Roman"/>
        </w:rPr>
        <w:t>here</w:t>
      </w:r>
      <w:r w:rsidR="00D06483" w:rsidRPr="0084514D">
        <w:rPr>
          <w:rFonts w:cs="Times New Roman"/>
        </w:rPr>
        <w:t xml:space="preserve">).  Indeed, I am unaware of any similar statutory scheme involving preemption, </w:t>
      </w:r>
      <w:r w:rsidR="00091B44" w:rsidRPr="0084514D">
        <w:rPr>
          <w:rFonts w:cs="Times New Roman"/>
        </w:rPr>
        <w:t xml:space="preserve">which </w:t>
      </w:r>
      <w:r w:rsidR="00D06483" w:rsidRPr="0084514D">
        <w:rPr>
          <w:rFonts w:cs="Times New Roman"/>
        </w:rPr>
        <w:t xml:space="preserve">again </w:t>
      </w:r>
      <w:r w:rsidR="00DD6D13" w:rsidRPr="0084514D">
        <w:rPr>
          <w:rFonts w:cs="Times New Roman"/>
        </w:rPr>
        <w:t xml:space="preserve">suggests </w:t>
      </w:r>
      <w:r w:rsidR="00D06483" w:rsidRPr="0084514D">
        <w:rPr>
          <w:rFonts w:cs="Times New Roman"/>
        </w:rPr>
        <w:t xml:space="preserve">that Congress did not intend to give the Commission the power to preempt </w:t>
      </w:r>
      <w:r w:rsidR="00DD6D13" w:rsidRPr="0084514D">
        <w:rPr>
          <w:rFonts w:cs="Times New Roman"/>
        </w:rPr>
        <w:t xml:space="preserve">state law </w:t>
      </w:r>
      <w:r w:rsidR="00D06483" w:rsidRPr="0084514D">
        <w:rPr>
          <w:rFonts w:cs="Times New Roman"/>
        </w:rPr>
        <w:t>under section 706(b).</w:t>
      </w:r>
      <w:r w:rsidR="00CA0AF5">
        <w:rPr>
          <w:rStyle w:val="FootnoteReference"/>
          <w:rFonts w:cs="Times New Roman"/>
        </w:rPr>
        <w:footnoteReference w:id="49"/>
      </w:r>
    </w:p>
    <w:p w14:paraId="56E0BB17" w14:textId="77777777" w:rsidR="00F05DAD" w:rsidRDefault="005168A7" w:rsidP="009B4CA7">
      <w:pPr>
        <w:ind w:firstLine="720"/>
      </w:pPr>
      <w:r w:rsidRPr="0084514D">
        <w:rPr>
          <w:rFonts w:cs="Times New Roman"/>
        </w:rPr>
        <w:t>Furthermore</w:t>
      </w:r>
      <w:r w:rsidR="00D06483" w:rsidRPr="0084514D">
        <w:rPr>
          <w:rFonts w:cs="Times New Roman"/>
        </w:rPr>
        <w:t xml:space="preserve">, the statutory history </w:t>
      </w:r>
      <w:r w:rsidR="00091B44" w:rsidRPr="0084514D">
        <w:rPr>
          <w:rFonts w:cs="Times New Roman"/>
        </w:rPr>
        <w:t xml:space="preserve">underlying section 706(b) </w:t>
      </w:r>
      <w:r w:rsidR="00DD6D13" w:rsidRPr="0084514D">
        <w:rPr>
          <w:rFonts w:cs="Times New Roman"/>
        </w:rPr>
        <w:t>also points in the same direction.</w:t>
      </w:r>
      <w:r w:rsidR="00094B40" w:rsidRPr="0084514D">
        <w:t xml:space="preserve"> When the Senate in 1995 passed the bill that became the Telecommunications Act of 1996, that legislation contained a precursor to section 706(b) that authorized the FCC, if it determined that broadband was not being deployed in a reasonable and timely fashion, to “preempt State commissions that fail to act to ensure [the] availability [of advanced telecommunications capability to all Americans].”</w:t>
      </w:r>
      <w:r w:rsidR="00094B40" w:rsidRPr="0084514D">
        <w:rPr>
          <w:vertAlign w:val="superscript"/>
        </w:rPr>
        <w:footnoteReference w:id="50"/>
      </w:r>
      <w:r w:rsidR="00094B40" w:rsidRPr="0084514D">
        <w:t xml:space="preserve">  </w:t>
      </w:r>
      <w:r w:rsidR="005B1328" w:rsidRPr="0084514D">
        <w:t xml:space="preserve">But </w:t>
      </w:r>
      <w:r w:rsidR="00094B40" w:rsidRPr="0084514D">
        <w:t xml:space="preserve">Congress </w:t>
      </w:r>
      <w:r w:rsidR="005B1328" w:rsidRPr="0084514D">
        <w:t xml:space="preserve">ultimately decided not to </w:t>
      </w:r>
      <w:r w:rsidR="00094B40" w:rsidRPr="0084514D">
        <w:t xml:space="preserve">grant </w:t>
      </w:r>
      <w:r w:rsidR="005B1328" w:rsidRPr="0084514D">
        <w:t xml:space="preserve">this </w:t>
      </w:r>
      <w:r w:rsidR="00094B40" w:rsidRPr="0084514D">
        <w:t xml:space="preserve">preemptory power to the Commission </w:t>
      </w:r>
      <w:r w:rsidR="005B1328" w:rsidRPr="0084514D">
        <w:t xml:space="preserve">and </w:t>
      </w:r>
      <w:r w:rsidR="00780126" w:rsidRPr="0084514D">
        <w:rPr>
          <w:i/>
        </w:rPr>
        <w:t>eliminated</w:t>
      </w:r>
      <w:r w:rsidR="00780126" w:rsidRPr="0084514D">
        <w:t xml:space="preserve"> </w:t>
      </w:r>
      <w:r w:rsidR="00094B40" w:rsidRPr="0084514D">
        <w:rPr>
          <w:i/>
        </w:rPr>
        <w:t>that language from the final version of the bill</w:t>
      </w:r>
      <w:r w:rsidR="0084514D">
        <w:t>.</w:t>
      </w:r>
      <w:r w:rsidR="00AC5FCB">
        <w:t xml:space="preserve">  </w:t>
      </w:r>
    </w:p>
    <w:p w14:paraId="3B1B306A" w14:textId="0EBBD122" w:rsidR="00620C7D" w:rsidRPr="0084514D" w:rsidRDefault="00AC5FCB" w:rsidP="009B4CA7">
      <w:pPr>
        <w:ind w:firstLine="720"/>
      </w:pPr>
      <w:r>
        <w:t xml:space="preserve">The fact that Congress expressly contemplated providing the Commission with the power to preempt </w:t>
      </w:r>
      <w:r w:rsidR="00F05DAD">
        <w:t xml:space="preserve">in section 706 </w:t>
      </w:r>
      <w:r>
        <w:t xml:space="preserve">but </w:t>
      </w:r>
      <w:r w:rsidR="00F05DAD">
        <w:t>removed such language from the legislation</w:t>
      </w:r>
      <w:r>
        <w:t xml:space="preserve"> strongly counsels against interpreting the provision to allow the Commission to preempt state law.  As the Supreme Court explained in a similar case involving a Conference Committee removing language from a House bill, Congress’s</w:t>
      </w:r>
      <w:r w:rsidRPr="00AC5FCB">
        <w:t xml:space="preserve"> </w:t>
      </w:r>
      <w:r>
        <w:t>“</w:t>
      </w:r>
      <w:r w:rsidRPr="00AC5FCB">
        <w:t>action strongly militates against a judgment that Congress intended a result that it expressly declined to enact.”</w:t>
      </w:r>
      <w:r>
        <w:rPr>
          <w:rStyle w:val="FootnoteReference"/>
        </w:rPr>
        <w:footnoteReference w:id="51"/>
      </w:r>
      <w:r w:rsidR="00A178AF">
        <w:t xml:space="preserve">  </w:t>
      </w:r>
      <w:r w:rsidR="00F05DAD">
        <w:t>Accordingly</w:t>
      </w:r>
      <w:r w:rsidR="0047210F" w:rsidRPr="0084514D">
        <w:t>, there can</w:t>
      </w:r>
      <w:r w:rsidR="00620C7D" w:rsidRPr="0084514D">
        <w:t xml:space="preserve"> be no doubt that neither the text of the statute nor </w:t>
      </w:r>
      <w:r w:rsidR="00903FF8">
        <w:t xml:space="preserve">its </w:t>
      </w:r>
      <w:r w:rsidR="00620C7D" w:rsidRPr="0084514D">
        <w:t>legislative history provide</w:t>
      </w:r>
      <w:r w:rsidR="00DD6D13" w:rsidRPr="0084514D">
        <w:t>s</w:t>
      </w:r>
      <w:r w:rsidR="00620C7D" w:rsidRPr="0084514D">
        <w:t xml:space="preserve"> support for the argument that section 706(b) give</w:t>
      </w:r>
      <w:r w:rsidR="00DD6D13" w:rsidRPr="0084514D">
        <w:t>s</w:t>
      </w:r>
      <w:r w:rsidR="00620C7D" w:rsidRPr="0084514D">
        <w:t xml:space="preserve"> the Commission the power to preempt state law.</w:t>
      </w:r>
    </w:p>
    <w:p w14:paraId="03541398" w14:textId="155AB515" w:rsidR="0047210F" w:rsidRPr="0084514D" w:rsidRDefault="0047210F" w:rsidP="009B4CA7">
      <w:pPr>
        <w:ind w:firstLine="720"/>
      </w:pPr>
      <w:r w:rsidRPr="0084514D">
        <w:t xml:space="preserve">One more point regarding the statutory history merits mention.  The discussion of preemption in both the </w:t>
      </w:r>
      <w:r w:rsidR="00DD6D13" w:rsidRPr="0084514D">
        <w:t xml:space="preserve">Senate’s version </w:t>
      </w:r>
      <w:r w:rsidRPr="0084514D">
        <w:t xml:space="preserve">of the </w:t>
      </w:r>
      <w:r w:rsidR="00DD6D13" w:rsidRPr="0084514D">
        <w:t>Act</w:t>
      </w:r>
      <w:r w:rsidRPr="0084514D">
        <w:t xml:space="preserve"> </w:t>
      </w:r>
      <w:r w:rsidR="00A801E9" w:rsidRPr="0084514D">
        <w:t>only</w:t>
      </w:r>
      <w:r w:rsidRPr="0084514D">
        <w:t xml:space="preserve"> involved Commission authority to preempt </w:t>
      </w:r>
      <w:r w:rsidR="009E5443">
        <w:rPr>
          <w:i/>
        </w:rPr>
        <w:t>S</w:t>
      </w:r>
      <w:r w:rsidRPr="0084514D">
        <w:rPr>
          <w:i/>
        </w:rPr>
        <w:t>tate commissions</w:t>
      </w:r>
      <w:r w:rsidRPr="0084514D">
        <w:t xml:space="preserve">.  This </w:t>
      </w:r>
      <w:r w:rsidRPr="0084514D">
        <w:rPr>
          <w:i/>
        </w:rPr>
        <w:t>Order</w:t>
      </w:r>
      <w:r w:rsidRPr="0084514D">
        <w:t xml:space="preserve">, however, </w:t>
      </w:r>
      <w:r w:rsidR="00DD6D13" w:rsidRPr="0084514D">
        <w:t>involves</w:t>
      </w:r>
      <w:r w:rsidRPr="0084514D">
        <w:t xml:space="preserve"> the preemption of statutes passed by the Tennessee and North Carolina </w:t>
      </w:r>
      <w:r w:rsidR="009E5443">
        <w:rPr>
          <w:i/>
        </w:rPr>
        <w:t>S</w:t>
      </w:r>
      <w:r w:rsidRPr="0084514D">
        <w:rPr>
          <w:i/>
        </w:rPr>
        <w:t>tate legislatures</w:t>
      </w:r>
      <w:r w:rsidR="00B740A4" w:rsidRPr="0084514D">
        <w:t>.</w:t>
      </w:r>
      <w:r w:rsidRPr="0084514D">
        <w:t xml:space="preserve"> </w:t>
      </w:r>
      <w:r w:rsidR="00B740A4" w:rsidRPr="0084514D">
        <w:t xml:space="preserve"> </w:t>
      </w:r>
      <w:r w:rsidR="00887FED">
        <w:t>Although</w:t>
      </w:r>
      <w:r w:rsidR="00F05DAD">
        <w:t xml:space="preserve"> the </w:t>
      </w:r>
      <w:r w:rsidR="00F05DAD" w:rsidRPr="00BB789E">
        <w:rPr>
          <w:i/>
        </w:rPr>
        <w:t xml:space="preserve">Order </w:t>
      </w:r>
      <w:r w:rsidR="00F05DAD">
        <w:t>claims that this is helpful to the Commission’s case,</w:t>
      </w:r>
      <w:r w:rsidR="00F05DAD">
        <w:rPr>
          <w:rStyle w:val="FootnoteReference"/>
        </w:rPr>
        <w:footnoteReference w:id="52"/>
      </w:r>
      <w:r w:rsidR="00F05DAD">
        <w:t xml:space="preserve"> it actually cuts the other way.  For if Congress was unwilling to give the Commission the authority to preempt State commissions, it strains credulity to believe that it intended to empower the Commission to take the far more serious step of displacing the will of a State’s democratically-elected legislators.  </w:t>
      </w:r>
    </w:p>
    <w:p w14:paraId="063DB802" w14:textId="7A944E6D" w:rsidR="000312C7" w:rsidRPr="0084514D" w:rsidRDefault="00A801E9" w:rsidP="00DD6A48">
      <w:pPr>
        <w:ind w:firstLine="720"/>
      </w:pPr>
      <w:r w:rsidRPr="0084514D">
        <w:t xml:space="preserve">Finally, </w:t>
      </w:r>
      <w:r w:rsidR="00DD6A48" w:rsidRPr="0084514D">
        <w:t xml:space="preserve">at the very least, </w:t>
      </w:r>
      <w:r w:rsidRPr="0084514D">
        <w:t xml:space="preserve">section 601(c) </w:t>
      </w:r>
      <w:r w:rsidR="00DD6A48" w:rsidRPr="0084514D">
        <w:t>and</w:t>
      </w:r>
      <w:r w:rsidRPr="0084514D">
        <w:t xml:space="preserve"> the text and statutory history of section 706 add substantial weight to the argument that section 706 does not give the Commission the authority to preempt state restrictions on municipal broadband.  That is because they make it even more obvious that section 706 does not contain the “unmistakably clear</w:t>
      </w:r>
      <w:r w:rsidR="00DD6D13" w:rsidRPr="0084514D">
        <w:t>”</w:t>
      </w:r>
      <w:r w:rsidRPr="0084514D">
        <w:t xml:space="preserve"> statement required by </w:t>
      </w:r>
      <w:r w:rsidRPr="0084514D">
        <w:rPr>
          <w:i/>
        </w:rPr>
        <w:t>Gregory</w:t>
      </w:r>
      <w:r w:rsidRPr="0084514D">
        <w:t xml:space="preserve">.  </w:t>
      </w:r>
      <w:r w:rsidR="00B740A4" w:rsidRPr="0084514D">
        <w:t xml:space="preserve">Any </w:t>
      </w:r>
      <w:r w:rsidRPr="0084514D">
        <w:t xml:space="preserve">interpretation </w:t>
      </w:r>
      <w:r w:rsidR="00B740A4" w:rsidRPr="0084514D">
        <w:t>that suggests otherwise requires one to grasp at statutory straws</w:t>
      </w:r>
      <w:r w:rsidR="004B2210" w:rsidRPr="0084514D">
        <w:t>.</w:t>
      </w:r>
    </w:p>
    <w:p w14:paraId="429C60CA" w14:textId="3DF18212" w:rsidR="004B2210" w:rsidRPr="0084514D" w:rsidRDefault="004B2210" w:rsidP="002416FF">
      <w:pPr>
        <w:keepNext/>
        <w:spacing w:before="240"/>
        <w:jc w:val="center"/>
      </w:pPr>
      <w:r w:rsidRPr="0084514D">
        <w:t>IV</w:t>
      </w:r>
      <w:r w:rsidR="002416FF">
        <w:t>.</w:t>
      </w:r>
    </w:p>
    <w:p w14:paraId="11868C26" w14:textId="3E09E539" w:rsidR="00480687" w:rsidRPr="0084514D" w:rsidRDefault="004C056D" w:rsidP="0084514D">
      <w:pPr>
        <w:ind w:firstLine="720"/>
      </w:pPr>
      <w:r w:rsidRPr="0084514D">
        <w:t xml:space="preserve">There is one last reason why section 706 doesn’t give the Commission authority to preempt Tennessee or North Carolina laws pertaining to municipal broadband projects.  Up until this point, I have accepted for the sake of argument the premise that section 706 gives the FCC some measure of independent authority.  But it doesn’t.  </w:t>
      </w:r>
      <w:r w:rsidR="00F800FA" w:rsidRPr="0084514D">
        <w:t>T</w:t>
      </w:r>
      <w:r w:rsidR="00480687" w:rsidRPr="0084514D">
        <w:t>he text, statutory structure, and its legislative history all make clear that Congress intended section 706 to be hortatory—not delegatory—in nature.</w:t>
      </w:r>
    </w:p>
    <w:p w14:paraId="33B3CC4B" w14:textId="3F16B494" w:rsidR="00480687" w:rsidRPr="0084514D" w:rsidRDefault="00F26A5F" w:rsidP="00480687">
      <w:pPr>
        <w:ind w:firstLine="720"/>
      </w:pPr>
      <w:r w:rsidRPr="0084514D">
        <w:t xml:space="preserve">Although each of its </w:t>
      </w:r>
      <w:r w:rsidR="00480687" w:rsidRPr="0084514D">
        <w:t xml:space="preserve">subsections suggests a call to action (“shall encourage,” “shall take immediate action”), neither reads like nor is a delegation of authority.  </w:t>
      </w:r>
      <w:r w:rsidR="00480687" w:rsidRPr="0084514D">
        <w:rPr>
          <w:i/>
        </w:rPr>
        <w:t>For one</w:t>
      </w:r>
      <w:r w:rsidR="00480687" w:rsidRPr="0084514D">
        <w:t>, neither subsection expressly authorizes the FCC to engage in rulemaking.  Congress knows how to confer such authority on the FCC and has done so repeatedly:  It has delegated rulemaking authority to the FCC over both specific provisions of the Communications Act (e.g., “[t]he Commission shall prescribe regulations to implement the requirements of this subsection”</w:t>
      </w:r>
      <w:r w:rsidR="00480687" w:rsidRPr="0084514D">
        <w:rPr>
          <w:vertAlign w:val="superscript"/>
        </w:rPr>
        <w:footnoteReference w:id="53"/>
      </w:r>
      <w:r w:rsidR="00480687" w:rsidRPr="0084514D">
        <w:t xml:space="preserve"> or “the Commission shall complete all actions necessary to establish regulations to implement the requirements of this section”</w:t>
      </w:r>
      <w:r w:rsidR="00480687" w:rsidRPr="0084514D">
        <w:rPr>
          <w:vertAlign w:val="superscript"/>
        </w:rPr>
        <w:footnoteReference w:id="54"/>
      </w:r>
      <w:r w:rsidR="00480687" w:rsidRPr="0084514D">
        <w:t>), and it has done so more generally (e.g., “[t]he Commission[] may prescribe such rules and regulations as may be necessary in the public interest to carry out the provisions of th[e Communications] Act”</w:t>
      </w:r>
      <w:r w:rsidR="00480687" w:rsidRPr="0084514D">
        <w:rPr>
          <w:vertAlign w:val="superscript"/>
        </w:rPr>
        <w:footnoteReference w:id="55"/>
      </w:r>
      <w:r w:rsidR="00480687" w:rsidRPr="0084514D">
        <w:t>).  Congress did not do either in section 706.</w:t>
      </w:r>
    </w:p>
    <w:p w14:paraId="13B12574" w14:textId="77777777" w:rsidR="00480687" w:rsidRPr="0084514D" w:rsidRDefault="00480687" w:rsidP="00480687">
      <w:pPr>
        <w:ind w:firstLine="720"/>
      </w:pPr>
      <w:r w:rsidRPr="0084514D">
        <w:rPr>
          <w:i/>
        </w:rPr>
        <w:t>For another</w:t>
      </w:r>
      <w:r w:rsidRPr="0084514D">
        <w:t>, neither subsection expressly authorizes the FCC to prescribe or proscribe the conduct of any party.  Again, Congress knows how to empower the Commission to prescribe conduct (e.g., “the Commission is authorized and empowered to determine and prescribe what will be the just and reasonable charge”</w:t>
      </w:r>
      <w:r w:rsidRPr="0084514D">
        <w:rPr>
          <w:vertAlign w:val="superscript"/>
        </w:rPr>
        <w:footnoteReference w:id="56"/>
      </w:r>
      <w:r w:rsidRPr="0084514D">
        <w:t>) and to proscribe conduct (e.g., “the Commission is authorized and empowered . . . to make an order  that the carrier or carriers shall cease and desist”</w:t>
      </w:r>
      <w:r w:rsidRPr="0084514D">
        <w:rPr>
          <w:vertAlign w:val="superscript"/>
        </w:rPr>
        <w:footnoteReference w:id="57"/>
      </w:r>
      <w:r w:rsidRPr="0084514D">
        <w:t>).  And again, Congress has repeatedly empowered the FCC to direct the conduct of particular parties (e.g., “[t]he Commission may at any time require any such carrier to file with the Commission an inventory of all or of any part of the property owned or used by said carrier,”</w:t>
      </w:r>
      <w:r w:rsidRPr="0084514D">
        <w:rPr>
          <w:vertAlign w:val="superscript"/>
        </w:rPr>
        <w:footnoteReference w:id="58"/>
      </w:r>
      <w:r w:rsidRPr="0084514D">
        <w:t xml:space="preserve"> or “the Commission shall have the power to require by subpoena the attendance and testimony of witnesses”</w:t>
      </w:r>
      <w:r w:rsidRPr="0084514D">
        <w:rPr>
          <w:vertAlign w:val="superscript"/>
        </w:rPr>
        <w:footnoteReference w:id="59"/>
      </w:r>
      <w:r w:rsidRPr="0084514D">
        <w:t>).  Congress did not do any of this in section 706.</w:t>
      </w:r>
    </w:p>
    <w:p w14:paraId="0DF67C34" w14:textId="77777777" w:rsidR="00480687" w:rsidRPr="0084514D" w:rsidRDefault="00480687" w:rsidP="00480687">
      <w:pPr>
        <w:ind w:firstLine="720"/>
      </w:pPr>
      <w:r w:rsidRPr="0084514D">
        <w:rPr>
          <w:i/>
        </w:rPr>
        <w:t>For yet another</w:t>
      </w:r>
      <w:r w:rsidRPr="0084514D">
        <w:t>, neither subsection expressly authorizes the FCC to enforce compliance by ordering payment for noncompliance.  Where Congress has authorized the Commission to impose liability it has always done so clearly:  For forfeitures, the Communications Act directs that “[a]ny person who is determined by the Commission . . . shall be liable to the United States for a forfeiture penalty”</w:t>
      </w:r>
      <w:r w:rsidRPr="0084514D">
        <w:rPr>
          <w:vertAlign w:val="superscript"/>
        </w:rPr>
        <w:footnoteReference w:id="60"/>
      </w:r>
      <w:r w:rsidRPr="0084514D">
        <w:t xml:space="preserve"> and “[t]he amount of such forfeiture penalty shall be assessed by the Commission . . . by written notice.”</w:t>
      </w:r>
      <w:r w:rsidRPr="0084514D">
        <w:rPr>
          <w:vertAlign w:val="superscript"/>
        </w:rPr>
        <w:footnoteReference w:id="61"/>
      </w:r>
      <w:r w:rsidRPr="0084514D">
        <w:t xml:space="preserve">  And for other liabilities, the Communications Act directs that “the Commission shall make an order directing the carrier to pay to the complainant the sum to which he is entitled.”</w:t>
      </w:r>
      <w:r w:rsidRPr="0084514D">
        <w:rPr>
          <w:vertAlign w:val="superscript"/>
        </w:rPr>
        <w:footnoteReference w:id="62"/>
      </w:r>
    </w:p>
    <w:p w14:paraId="44079F0C" w14:textId="5A6937D5" w:rsidR="00480687" w:rsidRPr="0084514D" w:rsidRDefault="00480687" w:rsidP="00480687">
      <w:pPr>
        <w:ind w:firstLine="720"/>
      </w:pPr>
      <w:r w:rsidRPr="0084514D">
        <w:t xml:space="preserve">The lack of express authority to issue rules, order conduct, or enforce compliance should be unsurprising, however, since section 706’s subsections lay out precisely </w:t>
      </w:r>
      <w:r w:rsidRPr="0084514D">
        <w:rPr>
          <w:i/>
        </w:rPr>
        <w:t>how</w:t>
      </w:r>
      <w:r w:rsidRPr="0084514D">
        <w:t xml:space="preserve"> Congress expected the FCC to “encourage . . . deployment” and “take action”:  Congress expected the FCC to use the authority it had given the </w:t>
      </w:r>
      <w:r w:rsidR="00F800FA" w:rsidRPr="0084514D">
        <w:t xml:space="preserve">agency </w:t>
      </w:r>
      <w:r w:rsidRPr="0084514D">
        <w:t xml:space="preserve">elsewhere.  The FCC already had the authority to adopt “price cap regulation” since </w:t>
      </w:r>
      <w:r w:rsidR="00F800FA" w:rsidRPr="0084514D">
        <w:t xml:space="preserve">it </w:t>
      </w:r>
      <w:r w:rsidRPr="0084514D">
        <w:t>had started converting carriers from rate-of-return regulation to price-cap regulation in the early 1990s.</w:t>
      </w:r>
      <w:r w:rsidRPr="0084514D">
        <w:rPr>
          <w:vertAlign w:val="superscript"/>
        </w:rPr>
        <w:footnoteReference w:id="63"/>
      </w:r>
      <w:r w:rsidRPr="0084514D">
        <w:t xml:space="preserve">  The Telecommunications Act established the FCC’s “regulatory forbearance” authority.</w:t>
      </w:r>
      <w:r w:rsidRPr="0084514D">
        <w:rPr>
          <w:vertAlign w:val="superscript"/>
        </w:rPr>
        <w:footnoteReference w:id="64"/>
      </w:r>
      <w:r w:rsidRPr="0084514D">
        <w:t xml:space="preserve">  The Telecommunications Act also authorized the FCC to “remove barriers to infrastructure investment,” specifically barriers to entry created by state or local laws,</w:t>
      </w:r>
      <w:r w:rsidRPr="0084514D">
        <w:rPr>
          <w:vertAlign w:val="superscript"/>
        </w:rPr>
        <w:footnoteReference w:id="65"/>
      </w:r>
      <w:r w:rsidRPr="0084514D">
        <w:t xml:space="preserve"> and </w:t>
      </w:r>
      <w:r w:rsidR="00F800FA" w:rsidRPr="0084514D">
        <w:t xml:space="preserve">instructed it to </w:t>
      </w:r>
      <w:r w:rsidRPr="0084514D">
        <w:t>identify and eliminat</w:t>
      </w:r>
      <w:r w:rsidR="00F800FA" w:rsidRPr="0084514D">
        <w:t>e</w:t>
      </w:r>
      <w:r w:rsidRPr="0084514D">
        <w:t xml:space="preserve"> market entry barriers.</w:t>
      </w:r>
      <w:r w:rsidRPr="0084514D">
        <w:rPr>
          <w:vertAlign w:val="superscript"/>
        </w:rPr>
        <w:footnoteReference w:id="66"/>
      </w:r>
      <w:r w:rsidRPr="0084514D">
        <w:t xml:space="preserve">  And as for “promoting competition in the telecommunications market,”</w:t>
      </w:r>
      <w:r w:rsidR="005A0073">
        <w:t xml:space="preserve"> </w:t>
      </w:r>
      <w:r w:rsidRPr="0084514D">
        <w:t>the Telecommunications Act added a whole second part to Title II of the Communications Act, titling it “Development of Competitive Markets.”</w:t>
      </w:r>
      <w:r w:rsidRPr="0084514D">
        <w:rPr>
          <w:vertAlign w:val="superscript"/>
        </w:rPr>
        <w:footnoteReference w:id="67"/>
      </w:r>
      <w:r w:rsidRPr="0084514D">
        <w:t xml:space="preserve">  In other words, Congress did in fact “invest[] the Commission with the statutory authority to carry out those acts” described in section 706</w:t>
      </w:r>
      <w:r w:rsidRPr="0084514D">
        <w:rPr>
          <w:vertAlign w:val="superscript"/>
        </w:rPr>
        <w:footnoteReference w:id="68"/>
      </w:r>
      <w:r w:rsidRPr="0084514D">
        <w:t>—it just did so through provisions other than section 706.</w:t>
      </w:r>
    </w:p>
    <w:p w14:paraId="736D6620" w14:textId="1B5C31E2" w:rsidR="00480687" w:rsidRPr="0084514D" w:rsidRDefault="00480687" w:rsidP="00480687">
      <w:pPr>
        <w:ind w:firstLine="720"/>
      </w:pPr>
      <w:r w:rsidRPr="0084514D">
        <w:t>The structure of federal law confirms this reading.  Although Congress directed that many provisions of the Telecommunications Act be inserted into the Communications Act,</w:t>
      </w:r>
      <w:r w:rsidRPr="0084514D">
        <w:rPr>
          <w:vertAlign w:val="superscript"/>
        </w:rPr>
        <w:footnoteReference w:id="69"/>
      </w:r>
      <w:r w:rsidRPr="0084514D">
        <w:t xml:space="preserve"> section 706 was not one of them.  Instead, it was left as a freestanding provision of federal law.</w:t>
      </w:r>
      <w:r w:rsidRPr="0084514D">
        <w:rPr>
          <w:vertAlign w:val="superscript"/>
        </w:rPr>
        <w:footnoteReference w:id="70"/>
      </w:r>
      <w:r w:rsidRPr="0084514D">
        <w:t xml:space="preserve">  As such, the provisions of the Communications Act that grant rulemaking authority “under this Act” (like section 201(b)), that grant prescription-and-proscription authority “[f]or purposes of this Act” (like section 409(e)), and that grant enforcement authority for violations of “this Act” (like section 503) simply do not apply to section 706 of the Telecommunications Act.  Indeed, the so-called subject-matter jurisdiction of the FCC under section 2 applies, by its own terms, only to “provisions of this Act”</w:t>
      </w:r>
      <w:r w:rsidRPr="0084514D">
        <w:rPr>
          <w:vertAlign w:val="superscript"/>
        </w:rPr>
        <w:footnoteReference w:id="71"/>
      </w:r>
      <w:r w:rsidRPr="0084514D">
        <w:t xml:space="preserve">—and so the “most important[]” limit the </w:t>
      </w:r>
      <w:r w:rsidR="004C056D" w:rsidRPr="0084514D">
        <w:t xml:space="preserve">D.C. Circuit in </w:t>
      </w:r>
      <w:r w:rsidRPr="0084514D">
        <w:rPr>
          <w:i/>
        </w:rPr>
        <w:t>Verizon</w:t>
      </w:r>
      <w:r w:rsidRPr="0084514D">
        <w:t xml:space="preserve"> thought applied to section 706 does not in fact exist.</w:t>
      </w:r>
      <w:r w:rsidRPr="0084514D">
        <w:rPr>
          <w:vertAlign w:val="superscript"/>
        </w:rPr>
        <w:footnoteReference w:id="72"/>
      </w:r>
      <w:r w:rsidRPr="0084514D">
        <w:t xml:space="preserve">  In other words, the statutory superstructure that normally undergirds Commission action just does not exist for section 706 of the Telecommunications Act.</w:t>
      </w:r>
    </w:p>
    <w:p w14:paraId="46F3C080" w14:textId="71EA7098" w:rsidR="00480687" w:rsidRPr="0084514D" w:rsidRDefault="00480687" w:rsidP="00480687">
      <w:pPr>
        <w:ind w:firstLine="720"/>
      </w:pPr>
      <w:r w:rsidRPr="0084514D">
        <w:t xml:space="preserve">What is more, reading section 706 as a grant of authority outside the bounds of the Communications Act yields absurd results.  As the Commission recognized in the </w:t>
      </w:r>
      <w:r w:rsidRPr="0084514D">
        <w:rPr>
          <w:i/>
        </w:rPr>
        <w:t>Advanced Services Order</w:t>
      </w:r>
      <w:r w:rsidRPr="0084514D">
        <w:t xml:space="preserve"> with respect to “regulatory forbearance,” reading section 706 as an “independent grant of authority . . . would allow us to forbear from applying” certain provisions in the Act even when section 10 would not let </w:t>
      </w:r>
      <w:r w:rsidR="004E2C54" w:rsidRPr="0084514D">
        <w:t xml:space="preserve">us </w:t>
      </w:r>
      <w:r w:rsidRPr="0084514D">
        <w:t>do so.</w:t>
      </w:r>
      <w:r w:rsidRPr="0084514D">
        <w:rPr>
          <w:vertAlign w:val="superscript"/>
        </w:rPr>
        <w:footnoteReference w:id="73"/>
      </w:r>
      <w:r w:rsidRPr="0084514D">
        <w:t xml:space="preserve">  That same logic applies to every “regulating method” specified in section 706.  If Congress had intended to grant the FCC almost limitless authority for “price cap regulation,” “removing barriers,” or “promoting competition,” what was the point of specifying limited authority in the Telecommunications Act’s actual amendments to the Communications Act?</w:t>
      </w:r>
      <w:r w:rsidRPr="0084514D">
        <w:rPr>
          <w:vertAlign w:val="superscript"/>
        </w:rPr>
        <w:footnoteReference w:id="74"/>
      </w:r>
    </w:p>
    <w:p w14:paraId="1CC41CBA" w14:textId="49EE5AA6" w:rsidR="00480687" w:rsidRPr="0084514D" w:rsidRDefault="00480687" w:rsidP="00480687">
      <w:pPr>
        <w:ind w:firstLine="720"/>
      </w:pPr>
      <w:r w:rsidRPr="0084514D">
        <w:t xml:space="preserve">Lastly, the history of section 706 confirms its hortatory nature.  For years after 1998’s </w:t>
      </w:r>
      <w:r w:rsidRPr="0084514D">
        <w:rPr>
          <w:i/>
        </w:rPr>
        <w:t>Advanced Services Order</w:t>
      </w:r>
      <w:r w:rsidRPr="0084514D">
        <w:t>, the Commission consistently interpreted the section to direct the agency to “use, among other authority, our forbearance authority under section 10(a) to encourage the deployment of advanced services.”</w:t>
      </w:r>
      <w:r w:rsidRPr="0084514D">
        <w:rPr>
          <w:vertAlign w:val="superscript"/>
        </w:rPr>
        <w:footnoteReference w:id="75"/>
      </w:r>
      <w:r w:rsidRPr="0084514D">
        <w:t xml:space="preserve">  And so the Commission has consulted section 706 in resolving one forbearance petition</w:t>
      </w:r>
      <w:r w:rsidRPr="0084514D">
        <w:rPr>
          <w:vertAlign w:val="superscript"/>
        </w:rPr>
        <w:footnoteReference w:id="76"/>
      </w:r>
      <w:r w:rsidRPr="0084514D">
        <w:t xml:space="preserve"> after another</w:t>
      </w:r>
      <w:r w:rsidRPr="0084514D">
        <w:rPr>
          <w:vertAlign w:val="superscript"/>
        </w:rPr>
        <w:footnoteReference w:id="77"/>
      </w:r>
      <w:r w:rsidRPr="0084514D">
        <w:t xml:space="preserve"> after another.</w:t>
      </w:r>
      <w:r w:rsidRPr="0084514D">
        <w:rPr>
          <w:vertAlign w:val="superscript"/>
        </w:rPr>
        <w:footnoteReference w:id="78"/>
      </w:r>
      <w:r w:rsidRPr="0084514D">
        <w:t xml:space="preserve">  And the Commission has looked to section 706 when employing its authorities under the Communications Act to promote local competition</w:t>
      </w:r>
      <w:r w:rsidRPr="0084514D">
        <w:rPr>
          <w:vertAlign w:val="superscript"/>
        </w:rPr>
        <w:footnoteReference w:id="79"/>
      </w:r>
      <w:r w:rsidRPr="0084514D">
        <w:t xml:space="preserve"> and to remove barriers to infrastructure investment (such as the Commission’s authority over pole attachments).</w:t>
      </w:r>
      <w:r w:rsidRPr="0084514D">
        <w:rPr>
          <w:vertAlign w:val="superscript"/>
        </w:rPr>
        <w:footnoteReference w:id="80"/>
      </w:r>
      <w:r w:rsidRPr="0084514D">
        <w:t xml:space="preserve">  In other words, our own history shows that we can meet section 706’s goals without </w:t>
      </w:r>
      <w:r w:rsidR="004E2C54" w:rsidRPr="0084514D">
        <w:t xml:space="preserve">relying on it as </w:t>
      </w:r>
      <w:r w:rsidRPr="0084514D">
        <w:t>an independent grant of authority.</w:t>
      </w:r>
    </w:p>
    <w:p w14:paraId="2A8EC7E4" w14:textId="0EF40CBE" w:rsidR="00480687" w:rsidRPr="0084514D" w:rsidRDefault="00480687" w:rsidP="00480687">
      <w:pPr>
        <w:ind w:firstLine="720"/>
      </w:pPr>
      <w:r w:rsidRPr="0084514D">
        <w:t xml:space="preserve">And the actual legislative history clinches the point.  Recall that the </w:t>
      </w:r>
      <w:r w:rsidRPr="0084514D">
        <w:rPr>
          <w:i/>
        </w:rPr>
        <w:t>Verizon</w:t>
      </w:r>
      <w:r w:rsidRPr="0084514D">
        <w:t xml:space="preserve"> court looked to the Senate Report’s description of section 706 as a “necessary fail-safe to ensure that the bill achieves its intended infrastructure objective.”</w:t>
      </w:r>
      <w:r w:rsidRPr="0084514D">
        <w:rPr>
          <w:vertAlign w:val="superscript"/>
        </w:rPr>
        <w:footnoteReference w:id="81"/>
      </w:r>
      <w:r w:rsidRPr="0084514D">
        <w:t xml:space="preserve">  That was a mistake </w:t>
      </w:r>
      <w:r w:rsidR="004E2C54" w:rsidRPr="0084514D">
        <w:t xml:space="preserve">because </w:t>
      </w:r>
      <w:r w:rsidRPr="0084514D">
        <w:t xml:space="preserve">the provision described in the Senate Report was </w:t>
      </w:r>
      <w:r w:rsidRPr="0084514D">
        <w:rPr>
          <w:i/>
        </w:rPr>
        <w:t>not</w:t>
      </w:r>
      <w:r w:rsidRPr="0084514D">
        <w:t xml:space="preserve"> the section 706 that Congress enacted.  </w:t>
      </w:r>
      <w:r w:rsidR="00F26A5F" w:rsidRPr="0084514D">
        <w:t>As reviewed above, w</w:t>
      </w:r>
      <w:r w:rsidRPr="0084514D">
        <w:t>hen the Senate passed in 1995 the bill that became the Telecommunications Act of 1996, that legislation contained a precursor to section 706(b) that authorized the FCC to “preempt State commissions that fail to act to ensure [the] availability [of advanced telecommunications capability to all Americans].”</w:t>
      </w:r>
      <w:r w:rsidRPr="0084514D">
        <w:rPr>
          <w:vertAlign w:val="superscript"/>
        </w:rPr>
        <w:footnoteReference w:id="82"/>
      </w:r>
      <w:r w:rsidRPr="0084514D">
        <w:t xml:space="preserve">  In other words, the Senate version </w:t>
      </w:r>
      <w:r w:rsidR="004E2C54" w:rsidRPr="0084514D">
        <w:t xml:space="preserve">would have </w:t>
      </w:r>
      <w:r w:rsidRPr="0084514D">
        <w:t>let the FCC step into the shoes of the state commissions and exercise their authority under federal law if they failed to act.  That’s a “fail-safe.”  But the enacted version contained, as the Conference Report dryly put it, “a modification” to that section:  This preemptory language was excised.</w:t>
      </w:r>
      <w:r w:rsidRPr="0084514D">
        <w:rPr>
          <w:vertAlign w:val="superscript"/>
        </w:rPr>
        <w:footnoteReference w:id="83"/>
      </w:r>
      <w:r w:rsidRPr="0084514D">
        <w:t xml:space="preserve">  In other words, Congress contemplated giving the FCC fail-safe authority in section 706, but then expressly decided not to do so.</w:t>
      </w:r>
    </w:p>
    <w:p w14:paraId="429731C5" w14:textId="25DC388E" w:rsidR="00480687" w:rsidRPr="0084514D" w:rsidRDefault="00F26A5F" w:rsidP="00480687">
      <w:pPr>
        <w:ind w:firstLine="720"/>
      </w:pPr>
      <w:r w:rsidRPr="0084514D">
        <w:t>In short, w</w:t>
      </w:r>
      <w:r w:rsidR="00480687" w:rsidRPr="0084514D">
        <w:t>hether one looks at the statute’s text, structure, or history, only one conclusion is possible:  Congress did not delegate substantive authority to the FCC in section 706 of the Telecommunications Act.</w:t>
      </w:r>
      <w:r w:rsidR="00BA482D">
        <w:t xml:space="preserve"> </w:t>
      </w:r>
      <w:r w:rsidR="00E54E2C">
        <w:t xml:space="preserve"> </w:t>
      </w:r>
    </w:p>
    <w:p w14:paraId="73CDF965" w14:textId="443F2927" w:rsidR="006B5345" w:rsidRPr="0084514D" w:rsidRDefault="00F26A5F" w:rsidP="0084514D">
      <w:pPr>
        <w:ind w:firstLine="720"/>
      </w:pPr>
      <w:r w:rsidRPr="0084514D">
        <w:t>But even</w:t>
      </w:r>
      <w:r w:rsidR="00C403C4" w:rsidRPr="0084514D">
        <w:t xml:space="preserve"> if one agrees with the D.C. Circuit’s</w:t>
      </w:r>
      <w:r w:rsidR="006B5345" w:rsidRPr="0084514D">
        <w:t xml:space="preserve"> </w:t>
      </w:r>
      <w:r w:rsidR="006B5345" w:rsidRPr="0084514D">
        <w:rPr>
          <w:i/>
        </w:rPr>
        <w:t xml:space="preserve">Verizon </w:t>
      </w:r>
      <w:r w:rsidR="006B5345" w:rsidRPr="0084514D">
        <w:t>decision</w:t>
      </w:r>
      <w:r w:rsidRPr="0084514D">
        <w:t xml:space="preserve"> to the contrary</w:t>
      </w:r>
      <w:r w:rsidR="00C403C4" w:rsidRPr="0084514D">
        <w:t>,</w:t>
      </w:r>
      <w:r w:rsidR="006B5345" w:rsidRPr="0084514D">
        <w:t xml:space="preserve"> </w:t>
      </w:r>
      <w:r w:rsidR="00C403C4" w:rsidRPr="0084514D">
        <w:t>the court’s reasoning bolsters the argument that section 706 does not contain the “unmistakably clear” state</w:t>
      </w:r>
      <w:r w:rsidR="00563844" w:rsidRPr="0084514D">
        <w:t>ment</w:t>
      </w:r>
      <w:r w:rsidR="00C403C4" w:rsidRPr="0084514D">
        <w:t xml:space="preserve"> required by </w:t>
      </w:r>
      <w:r w:rsidR="00C403C4" w:rsidRPr="0084514D">
        <w:rPr>
          <w:i/>
        </w:rPr>
        <w:t>Gregory</w:t>
      </w:r>
      <w:r w:rsidR="00C403C4" w:rsidRPr="0084514D">
        <w:t xml:space="preserve">.  </w:t>
      </w:r>
      <w:r w:rsidR="006B5345" w:rsidRPr="0084514D">
        <w:t xml:space="preserve">Under </w:t>
      </w:r>
      <w:r w:rsidR="006B5345" w:rsidRPr="0084514D">
        <w:rPr>
          <w:i/>
        </w:rPr>
        <w:t>Chevron</w:t>
      </w:r>
      <w:r w:rsidR="006B5345" w:rsidRPr="0084514D">
        <w:t>,</w:t>
      </w:r>
      <w:r w:rsidR="006B5345" w:rsidRPr="0084514D">
        <w:rPr>
          <w:i/>
        </w:rPr>
        <w:t xml:space="preserve"> </w:t>
      </w:r>
      <w:r w:rsidR="006B5345" w:rsidRPr="0084514D">
        <w:t>an agency’s reasonable interpretation of a statute is entitled to deference “if the statutory language does not reveal the ‘unambiguously expressed intent of Congress.’”</w:t>
      </w:r>
      <w:r w:rsidR="006B5345" w:rsidRPr="0084514D">
        <w:rPr>
          <w:vertAlign w:val="superscript"/>
        </w:rPr>
        <w:footnoteReference w:id="84"/>
      </w:r>
      <w:r w:rsidR="006B5345" w:rsidRPr="0084514D">
        <w:t xml:space="preserve"> </w:t>
      </w:r>
      <w:r w:rsidR="00563844" w:rsidRPr="0084514D">
        <w:t xml:space="preserve"> </w:t>
      </w:r>
      <w:r w:rsidR="006B5345" w:rsidRPr="0084514D">
        <w:t xml:space="preserve">In its </w:t>
      </w:r>
      <w:r w:rsidR="0042281A" w:rsidRPr="0084514D">
        <w:rPr>
          <w:i/>
        </w:rPr>
        <w:t xml:space="preserve">Verizon </w:t>
      </w:r>
      <w:r w:rsidR="006B5345" w:rsidRPr="0084514D">
        <w:t>brief, the Commission argued that its interpretation of section 706 was entitled to such</w:t>
      </w:r>
      <w:r w:rsidR="006B5345" w:rsidRPr="0084514D">
        <w:rPr>
          <w:i/>
        </w:rPr>
        <w:t xml:space="preserve"> </w:t>
      </w:r>
      <w:r w:rsidR="006B5345" w:rsidRPr="0084514D">
        <w:t>deference.</w:t>
      </w:r>
      <w:r w:rsidR="006B5345" w:rsidRPr="0084514D">
        <w:rPr>
          <w:vertAlign w:val="superscript"/>
        </w:rPr>
        <w:footnoteReference w:id="85"/>
      </w:r>
      <w:r w:rsidR="006B5345" w:rsidRPr="0084514D">
        <w:t xml:space="preserve"> The court ultimately agreed, concluding that the Commission’s asserted authority under section 706 was a “reasonable interpretation of an ambiguous statute.”</w:t>
      </w:r>
      <w:r w:rsidR="006B5345" w:rsidRPr="0084514D">
        <w:rPr>
          <w:vertAlign w:val="superscript"/>
        </w:rPr>
        <w:footnoteReference w:id="86"/>
      </w:r>
      <w:r w:rsidR="006B5345" w:rsidRPr="0084514D">
        <w:t xml:space="preserve"> The D.C. Circuit </w:t>
      </w:r>
      <w:r w:rsidR="00C403C4" w:rsidRPr="0084514D">
        <w:t>contended</w:t>
      </w:r>
      <w:r w:rsidR="006B5345" w:rsidRPr="0084514D">
        <w:t xml:space="preserve"> that “Congress ha[d] not ‘directly spoken’ to the question of whether section 706(a) is a grant of regulatory authority” </w:t>
      </w:r>
      <w:r w:rsidR="006B5345" w:rsidRPr="0084514D">
        <w:rPr>
          <w:i/>
        </w:rPr>
        <w:t>at all</w:t>
      </w:r>
      <w:r w:rsidR="006B5345" w:rsidRPr="0084514D">
        <w:rPr>
          <w:vertAlign w:val="superscript"/>
        </w:rPr>
        <w:footnoteReference w:id="87"/>
      </w:r>
      <w:r w:rsidR="006B5345" w:rsidRPr="0084514D">
        <w:rPr>
          <w:rFonts w:cs="Times New Roman"/>
        </w:rPr>
        <w:t>—</w:t>
      </w:r>
      <w:r w:rsidR="006B5345" w:rsidRPr="0084514D">
        <w:t xml:space="preserve">much less whether it grants the Commission authority to preempt state laws. </w:t>
      </w:r>
      <w:r w:rsidR="00C403C4" w:rsidRPr="0084514D">
        <w:t xml:space="preserve"> </w:t>
      </w:r>
      <w:r w:rsidR="006B5345" w:rsidRPr="0084514D">
        <w:t>Accepting</w:t>
      </w:r>
      <w:r w:rsidR="00C403C4" w:rsidRPr="0084514D">
        <w:t>,</w:t>
      </w:r>
      <w:r w:rsidR="006B5345" w:rsidRPr="0084514D">
        <w:t xml:space="preserve"> </w:t>
      </w:r>
      <w:r w:rsidR="00C403C4" w:rsidRPr="0084514D">
        <w:t xml:space="preserve">for the sake of argument, </w:t>
      </w:r>
      <w:r w:rsidR="006B5345" w:rsidRPr="0084514D">
        <w:t>the Commission</w:t>
      </w:r>
      <w:r w:rsidR="0042281A" w:rsidRPr="0084514D">
        <w:t>’s</w:t>
      </w:r>
      <w:r w:rsidR="006B5345" w:rsidRPr="0084514D">
        <w:t xml:space="preserve"> and </w:t>
      </w:r>
      <w:r w:rsidR="00C403C4" w:rsidRPr="0084514D">
        <w:t xml:space="preserve">court’s arguments as true, </w:t>
      </w:r>
      <w:r w:rsidR="006B5345" w:rsidRPr="0084514D">
        <w:t xml:space="preserve">I find it difficult to see how section 706 could be at the same time both “ambiguous” </w:t>
      </w:r>
      <w:r w:rsidR="00563844" w:rsidRPr="0084514D">
        <w:t xml:space="preserve">as to whether it gives the FCC any authority at all </w:t>
      </w:r>
      <w:r w:rsidR="006B5345" w:rsidRPr="0084514D">
        <w:t>and “unmistakably clear” as to Congress’ intent</w:t>
      </w:r>
      <w:r w:rsidR="00563844" w:rsidRPr="0084514D">
        <w:t xml:space="preserve"> to </w:t>
      </w:r>
      <w:r w:rsidR="0042281A" w:rsidRPr="0084514D">
        <w:t xml:space="preserve">allow </w:t>
      </w:r>
      <w:r w:rsidR="00563844" w:rsidRPr="0084514D">
        <w:t>the FCC to preempt state restrictions on municipal broadband projects</w:t>
      </w:r>
      <w:r w:rsidR="006B5345" w:rsidRPr="0084514D">
        <w:t>.</w:t>
      </w:r>
      <w:r w:rsidR="006B5345" w:rsidRPr="0084514D">
        <w:rPr>
          <w:vertAlign w:val="superscript"/>
        </w:rPr>
        <w:footnoteReference w:id="88"/>
      </w:r>
    </w:p>
    <w:p w14:paraId="0FC7C0CD" w14:textId="3500019D" w:rsidR="00074704" w:rsidRPr="0084514D" w:rsidRDefault="00074704" w:rsidP="00074704">
      <w:pPr>
        <w:jc w:val="center"/>
      </w:pPr>
      <w:r w:rsidRPr="0084514D">
        <w:t>*</w:t>
      </w:r>
      <w:r w:rsidR="002416FF">
        <w:t> </w:t>
      </w:r>
      <w:r w:rsidRPr="0084514D">
        <w:t>*</w:t>
      </w:r>
      <w:r w:rsidR="002416FF">
        <w:t> </w:t>
      </w:r>
      <w:r w:rsidRPr="0084514D">
        <w:t>*</w:t>
      </w:r>
    </w:p>
    <w:p w14:paraId="021A1C6A" w14:textId="264D4884" w:rsidR="00460A91" w:rsidRPr="0084514D" w:rsidRDefault="00074704" w:rsidP="0084514D">
      <w:pPr>
        <w:ind w:firstLine="720"/>
      </w:pPr>
      <w:r w:rsidRPr="0084514D">
        <w:t xml:space="preserve">The elected representatives of the people of Tennessee and North Carolina have chosen to grant limited authorizations to municipalities </w:t>
      </w:r>
      <w:r w:rsidR="00AA6A22" w:rsidRPr="0084514D">
        <w:t xml:space="preserve">in their </w:t>
      </w:r>
      <w:r w:rsidR="008F74EA" w:rsidRPr="0084514D">
        <w:t>respective</w:t>
      </w:r>
      <w:r w:rsidR="00AA6A22" w:rsidRPr="0084514D">
        <w:t xml:space="preserve"> states </w:t>
      </w:r>
      <w:r w:rsidRPr="0084514D">
        <w:t>to offer broadband services</w:t>
      </w:r>
      <w:r w:rsidR="00E00893" w:rsidRPr="0084514D">
        <w:t>.  Most notably</w:t>
      </w:r>
      <w:r w:rsidR="003E1BB1" w:rsidRPr="0084514D">
        <w:t>,</w:t>
      </w:r>
      <w:r w:rsidR="00E00893" w:rsidRPr="0084514D">
        <w:t xml:space="preserve"> they </w:t>
      </w:r>
      <w:r w:rsidR="00D0064B" w:rsidRPr="0084514D">
        <w:t>have a</w:t>
      </w:r>
      <w:r w:rsidR="003E1BB1" w:rsidRPr="0084514D">
        <w:t>llowed</w:t>
      </w:r>
      <w:r w:rsidR="00D0064B" w:rsidRPr="0084514D">
        <w:t xml:space="preserve"> </w:t>
      </w:r>
      <w:r w:rsidR="00E00893" w:rsidRPr="0084514D">
        <w:t>municipalities</w:t>
      </w:r>
      <w:r w:rsidR="00D0064B" w:rsidRPr="0084514D">
        <w:t xml:space="preserve"> to provide service only within a specified geographic area.  Reasonable people can disagree about the wisdom of </w:t>
      </w:r>
      <w:r w:rsidR="00AA6A22" w:rsidRPr="0084514D">
        <w:t>such policies</w:t>
      </w:r>
      <w:r w:rsidR="00D0064B" w:rsidRPr="0084514D">
        <w:t>.  Some believe that the conditions imposed by Tennessee and North Carolina are too restrictive.  Others believe that municipal governments shouldn’t be in the broadband business at all.</w:t>
      </w:r>
      <w:r w:rsidR="00AA6A22" w:rsidRPr="0084514D">
        <w:t xml:space="preserve">  </w:t>
      </w:r>
      <w:r w:rsidR="005D12BC" w:rsidRPr="0084514D">
        <w:t xml:space="preserve">As I said earlier, </w:t>
      </w:r>
      <w:r w:rsidR="00AA6A22" w:rsidRPr="0084514D">
        <w:t>I will leave that debate to others</w:t>
      </w:r>
      <w:r w:rsidR="0084514D">
        <w:t>.</w:t>
      </w:r>
    </w:p>
    <w:p w14:paraId="70820946" w14:textId="76E2AB11" w:rsidR="00C6196B" w:rsidRPr="0084514D" w:rsidRDefault="00AA6A22" w:rsidP="0084514D">
      <w:pPr>
        <w:ind w:firstLine="720"/>
      </w:pPr>
      <w:r w:rsidRPr="0084514D">
        <w:t xml:space="preserve">What is clear, however, is that the FCC </w:t>
      </w:r>
      <w:r w:rsidR="00E00893" w:rsidRPr="0084514D">
        <w:t>does</w:t>
      </w:r>
      <w:r w:rsidR="003E1BB1" w:rsidRPr="0084514D">
        <w:t xml:space="preserve"> not</w:t>
      </w:r>
      <w:r w:rsidR="00E00893" w:rsidRPr="0084514D">
        <w:t xml:space="preserve"> have the</w:t>
      </w:r>
      <w:r w:rsidRPr="0084514D">
        <w:t xml:space="preserve"> </w:t>
      </w:r>
      <w:r w:rsidR="005D12BC" w:rsidRPr="0084514D">
        <w:t xml:space="preserve">legal </w:t>
      </w:r>
      <w:r w:rsidRPr="0084514D">
        <w:t>authority to override the decisions made by Tennessee and North Carolina.  Under the law, it is up to the people of those two states</w:t>
      </w:r>
      <w:r w:rsidR="00D45A93" w:rsidRPr="0084514D">
        <w:t xml:space="preserve"> and their </w:t>
      </w:r>
      <w:r w:rsidRPr="0084514D">
        <w:t>elected representatives</w:t>
      </w:r>
      <w:r w:rsidR="005D12BC" w:rsidRPr="0084514D">
        <w:t>—not the Commission—</w:t>
      </w:r>
      <w:r w:rsidRPr="0084514D">
        <w:t xml:space="preserve">to decide whether and to what extent to allow </w:t>
      </w:r>
      <w:r w:rsidR="00E00893" w:rsidRPr="0084514D">
        <w:t xml:space="preserve">municipalities to operate broadband projects.  Today’s </w:t>
      </w:r>
      <w:r w:rsidR="00E00893" w:rsidRPr="0084514D">
        <w:rPr>
          <w:i/>
        </w:rPr>
        <w:t>Order</w:t>
      </w:r>
      <w:r w:rsidR="0084514D">
        <w:t xml:space="preserve"> is therefore unlawful.</w:t>
      </w:r>
    </w:p>
    <w:p w14:paraId="17233F61" w14:textId="43998461" w:rsidR="00C6196B" w:rsidRPr="0084514D" w:rsidRDefault="0042281A" w:rsidP="0084514D">
      <w:pPr>
        <w:ind w:firstLine="720"/>
      </w:pPr>
      <w:r w:rsidRPr="0084514D">
        <w:t xml:space="preserve">During the Clinton Administration, </w:t>
      </w:r>
      <w:r w:rsidR="00C6196B" w:rsidRPr="0084514D">
        <w:t xml:space="preserve">the City of Abilene </w:t>
      </w:r>
      <w:r w:rsidR="006A0FE0" w:rsidRPr="0084514D">
        <w:t xml:space="preserve">asked the </w:t>
      </w:r>
      <w:r w:rsidR="0031766B" w:rsidRPr="0084514D">
        <w:t xml:space="preserve">FCC </w:t>
      </w:r>
      <w:r w:rsidR="00C6196B" w:rsidRPr="0084514D">
        <w:t>to preempt a Texas law prohibiting Abilene and other Texas municipalities from entering the telecommunications business</w:t>
      </w:r>
      <w:r w:rsidR="0019357F" w:rsidRPr="0084514D">
        <w:t xml:space="preserve">. </w:t>
      </w:r>
      <w:r w:rsidR="00C6196B" w:rsidRPr="0084514D">
        <w:t xml:space="preserve"> </w:t>
      </w:r>
      <w:r w:rsidR="0019357F" w:rsidRPr="0084514D">
        <w:t>T</w:t>
      </w:r>
      <w:r w:rsidR="00C6196B" w:rsidRPr="0084514D">
        <w:t xml:space="preserve">he </w:t>
      </w:r>
      <w:r w:rsidR="0031766B" w:rsidRPr="0084514D">
        <w:t>FCC</w:t>
      </w:r>
      <w:r w:rsidR="00C6196B" w:rsidRPr="0084514D">
        <w:t xml:space="preserve"> described </w:t>
      </w:r>
      <w:r w:rsidR="00A123BE" w:rsidRPr="0084514D">
        <w:t xml:space="preserve">the city’s </w:t>
      </w:r>
      <w:r w:rsidR="00C6196B" w:rsidRPr="0084514D">
        <w:t>request</w:t>
      </w:r>
      <w:r w:rsidR="005D12BC" w:rsidRPr="0084514D">
        <w:t xml:space="preserve"> as follows</w:t>
      </w:r>
      <w:r w:rsidR="00C6196B" w:rsidRPr="0084514D">
        <w:t xml:space="preserve">: </w:t>
      </w:r>
      <w:r w:rsidR="0019357F" w:rsidRPr="0084514D">
        <w:t xml:space="preserve"> </w:t>
      </w:r>
      <w:r w:rsidR="00C6196B" w:rsidRPr="0084514D">
        <w:t>“Abilene asked the FCC to take the extraordinary step of preempting a State</w:t>
      </w:r>
      <w:r w:rsidR="0031766B" w:rsidRPr="0084514D">
        <w:t>’</w:t>
      </w:r>
      <w:r w:rsidR="00C6196B" w:rsidRPr="0084514D">
        <w:t>s sovereign power to regulate its own municipalities.”</w:t>
      </w:r>
      <w:r w:rsidR="006A0FE0" w:rsidRPr="0084514D">
        <w:rPr>
          <w:rStyle w:val="FootnoteReference"/>
        </w:rPr>
        <w:footnoteReference w:id="89"/>
      </w:r>
      <w:r w:rsidR="00C6196B" w:rsidRPr="0084514D">
        <w:t xml:space="preserve">  </w:t>
      </w:r>
      <w:r w:rsidR="006A0FE0" w:rsidRPr="0084514D">
        <w:t xml:space="preserve">In 1997, the Commission </w:t>
      </w:r>
      <w:r w:rsidR="0019357F" w:rsidRPr="0084514D">
        <w:t xml:space="preserve">stayed within its legal bounds and </w:t>
      </w:r>
      <w:r w:rsidR="006A0FE0" w:rsidRPr="0084514D">
        <w:t xml:space="preserve">refused to take that </w:t>
      </w:r>
      <w:r w:rsidR="00023714" w:rsidRPr="0084514D">
        <w:t>“</w:t>
      </w:r>
      <w:r w:rsidR="006A0FE0" w:rsidRPr="0084514D">
        <w:t>extraordinary step.</w:t>
      </w:r>
      <w:r w:rsidR="00023714" w:rsidRPr="0084514D">
        <w:t>”</w:t>
      </w:r>
      <w:r w:rsidR="006A0FE0" w:rsidRPr="0084514D">
        <w:t xml:space="preserve">  </w:t>
      </w:r>
      <w:r w:rsidR="00C6196B" w:rsidRPr="0084514D">
        <w:t xml:space="preserve">Unfortunately, </w:t>
      </w:r>
      <w:r w:rsidR="006A0FE0" w:rsidRPr="0084514D">
        <w:t xml:space="preserve">the </w:t>
      </w:r>
      <w:r w:rsidR="0019357F" w:rsidRPr="0084514D">
        <w:t xml:space="preserve">agency does not </w:t>
      </w:r>
      <w:r w:rsidR="006A0FE0" w:rsidRPr="0084514D">
        <w:t>exhibit the same restraint today.</w:t>
      </w:r>
    </w:p>
    <w:p w14:paraId="4D327CCD" w14:textId="3274E65B" w:rsidR="00E00893" w:rsidRPr="0084514D" w:rsidRDefault="005D12BC" w:rsidP="0084514D">
      <w:pPr>
        <w:ind w:firstLine="720"/>
      </w:pPr>
      <w:r w:rsidRPr="0084514D">
        <w:t xml:space="preserve">This </w:t>
      </w:r>
      <w:r w:rsidR="00C6196B" w:rsidRPr="0084514D">
        <w:t xml:space="preserve">decision </w:t>
      </w:r>
      <w:r w:rsidR="00DE5D21" w:rsidRPr="0084514D">
        <w:t xml:space="preserve">violates the </w:t>
      </w:r>
      <w:r w:rsidRPr="0084514D">
        <w:t xml:space="preserve">constitutional </w:t>
      </w:r>
      <w:r w:rsidR="00E00893" w:rsidRPr="0084514D">
        <w:t>principles that lie at the heart of our system of government</w:t>
      </w:r>
      <w:r w:rsidR="00E16225" w:rsidRPr="0084514D">
        <w:t xml:space="preserve">.  The </w:t>
      </w:r>
      <w:r w:rsidRPr="0084514D">
        <w:t xml:space="preserve">FCC </w:t>
      </w:r>
      <w:r w:rsidR="006A0FE0" w:rsidRPr="0084514D">
        <w:t xml:space="preserve">is treating </w:t>
      </w:r>
      <w:r w:rsidR="00D45A93" w:rsidRPr="0084514D">
        <w:t xml:space="preserve">Tennessee and North Carolina as mere appendages of the federal government rather than the separate sovereigns that they are.  </w:t>
      </w:r>
      <w:r w:rsidR="008E4286">
        <w:t xml:space="preserve">For all of these reasons, </w:t>
      </w:r>
      <w:r w:rsidRPr="0084514D">
        <w:t xml:space="preserve">I </w:t>
      </w:r>
      <w:r w:rsidR="008E4286">
        <w:t xml:space="preserve">dissent.  </w:t>
      </w:r>
    </w:p>
    <w:sectPr w:rsidR="00E00893" w:rsidRPr="0084514D" w:rsidSect="0087557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0465B1" w15:done="0"/>
  <w15:commentEx w15:paraId="4429C177" w15:done="0"/>
  <w15:commentEx w15:paraId="6A32DE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79B5A" w14:textId="77777777" w:rsidR="00B2590E" w:rsidRDefault="00B2590E" w:rsidP="001A1174">
      <w:pPr>
        <w:spacing w:after="0"/>
      </w:pPr>
      <w:r>
        <w:separator/>
      </w:r>
    </w:p>
  </w:endnote>
  <w:endnote w:type="continuationSeparator" w:id="0">
    <w:p w14:paraId="08BC01E9" w14:textId="77777777" w:rsidR="00B2590E" w:rsidRDefault="00B2590E" w:rsidP="001A11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C8072" w14:textId="77777777" w:rsidR="00E767F4" w:rsidRDefault="00E767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114514"/>
      <w:docPartObj>
        <w:docPartGallery w:val="Page Numbers (Bottom of Page)"/>
        <w:docPartUnique/>
      </w:docPartObj>
    </w:sdtPr>
    <w:sdtEndPr>
      <w:rPr>
        <w:noProof/>
      </w:rPr>
    </w:sdtEndPr>
    <w:sdtContent>
      <w:p w14:paraId="58FCDB17" w14:textId="4FA3BAA0" w:rsidR="00875577" w:rsidRPr="00875577" w:rsidRDefault="00875577">
        <w:pPr>
          <w:pStyle w:val="Footer"/>
          <w:jc w:val="center"/>
        </w:pPr>
        <w:r w:rsidRPr="00875577">
          <w:fldChar w:fldCharType="begin"/>
        </w:r>
        <w:r w:rsidRPr="00875577">
          <w:instrText xml:space="preserve"> PAGE   \* MERGEFORMAT </w:instrText>
        </w:r>
        <w:r w:rsidRPr="00875577">
          <w:fldChar w:fldCharType="separate"/>
        </w:r>
        <w:r w:rsidR="00B60A58">
          <w:rPr>
            <w:noProof/>
          </w:rPr>
          <w:t>14</w:t>
        </w:r>
        <w:r w:rsidRPr="00875577">
          <w:rPr>
            <w:noProof/>
          </w:rPr>
          <w:fldChar w:fldCharType="end"/>
        </w:r>
      </w:p>
    </w:sdtContent>
  </w:sdt>
  <w:p w14:paraId="089EB302" w14:textId="77777777" w:rsidR="00875577" w:rsidRDefault="008755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2F446" w14:textId="77777777" w:rsidR="00E767F4" w:rsidRDefault="00E76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1088E" w14:textId="77777777" w:rsidR="00B2590E" w:rsidRDefault="00B2590E" w:rsidP="001A1174">
      <w:pPr>
        <w:spacing w:after="0"/>
      </w:pPr>
      <w:r>
        <w:separator/>
      </w:r>
    </w:p>
  </w:footnote>
  <w:footnote w:type="continuationSeparator" w:id="0">
    <w:p w14:paraId="6F26219B" w14:textId="77777777" w:rsidR="00B2590E" w:rsidRPr="00875577" w:rsidRDefault="00B2590E" w:rsidP="00875577">
      <w:pPr>
        <w:spacing w:after="0"/>
        <w:rPr>
          <w:sz w:val="20"/>
          <w:szCs w:val="20"/>
        </w:rPr>
      </w:pPr>
      <w:r w:rsidRPr="00875577">
        <w:rPr>
          <w:sz w:val="20"/>
          <w:szCs w:val="20"/>
        </w:rPr>
        <w:t xml:space="preserve">(Continued from previous page) </w:t>
      </w:r>
      <w:r w:rsidRPr="00875577">
        <w:rPr>
          <w:sz w:val="20"/>
          <w:szCs w:val="20"/>
        </w:rPr>
        <w:separator/>
      </w:r>
    </w:p>
  </w:footnote>
  <w:footnote w:type="continuationNotice" w:id="1">
    <w:p w14:paraId="608BE145" w14:textId="77777777" w:rsidR="00B2590E" w:rsidRPr="00875577" w:rsidRDefault="00B2590E" w:rsidP="00875577">
      <w:pPr>
        <w:spacing w:after="0"/>
        <w:jc w:val="right"/>
        <w:rPr>
          <w:sz w:val="20"/>
          <w:szCs w:val="20"/>
        </w:rPr>
      </w:pPr>
      <w:r>
        <w:rPr>
          <w:sz w:val="20"/>
          <w:szCs w:val="20"/>
        </w:rPr>
        <w:t>(continued…)</w:t>
      </w:r>
    </w:p>
  </w:footnote>
  <w:footnote w:id="2">
    <w:p w14:paraId="55828723" w14:textId="13510BA0" w:rsidR="00417E13" w:rsidRPr="00E9383E" w:rsidRDefault="00417E13">
      <w:pPr>
        <w:pStyle w:val="FootnoteText"/>
        <w:rPr>
          <w:rFonts w:cs="Times New Roman"/>
        </w:rPr>
      </w:pPr>
      <w:r w:rsidRPr="00E9383E">
        <w:rPr>
          <w:rStyle w:val="FootnoteReference"/>
          <w:rFonts w:cs="Times New Roman"/>
        </w:rPr>
        <w:footnoteRef/>
      </w:r>
      <w:r w:rsidRPr="00E9383E">
        <w:rPr>
          <w:rFonts w:cs="Times New Roman"/>
        </w:rPr>
        <w:t xml:space="preserve"> </w:t>
      </w:r>
      <w:r w:rsidRPr="00D40AD9">
        <w:rPr>
          <w:rFonts w:cs="Times New Roman"/>
        </w:rPr>
        <w:t>Tenn. Code Ann. § 7-52-601.</w:t>
      </w:r>
    </w:p>
  </w:footnote>
  <w:footnote w:id="3">
    <w:p w14:paraId="4AC52F0F" w14:textId="29F8DF97" w:rsidR="00417E13" w:rsidRPr="00E9383E" w:rsidRDefault="00417E13">
      <w:pPr>
        <w:pStyle w:val="FootnoteText"/>
        <w:rPr>
          <w:rFonts w:cs="Times New Roman"/>
        </w:rPr>
      </w:pPr>
      <w:r w:rsidRPr="00E9383E">
        <w:rPr>
          <w:rStyle w:val="FootnoteReference"/>
          <w:rFonts w:cs="Times New Roman"/>
        </w:rPr>
        <w:footnoteRef/>
      </w:r>
      <w:r w:rsidRPr="00E9383E">
        <w:rPr>
          <w:rFonts w:cs="Times New Roman"/>
        </w:rPr>
        <w:t xml:space="preserve"> </w:t>
      </w:r>
      <w:r w:rsidRPr="00D40AD9">
        <w:rPr>
          <w:rFonts w:cs="Times New Roman"/>
        </w:rPr>
        <w:t xml:space="preserve">HB 1032, </w:t>
      </w:r>
      <w:r w:rsidRPr="00D40AD9">
        <w:rPr>
          <w:rFonts w:cs="Times New Roman"/>
          <w:smallCaps/>
        </w:rPr>
        <w:t>Tenn. Gen. Assembly</w:t>
      </w:r>
      <w:r w:rsidRPr="008C4370">
        <w:rPr>
          <w:rFonts w:cs="Times New Roman"/>
        </w:rPr>
        <w:t xml:space="preserve">, </w:t>
      </w:r>
      <w:r w:rsidR="005118A2" w:rsidRPr="005118A2">
        <w:rPr>
          <w:rFonts w:cs="Times New Roman"/>
        </w:rPr>
        <w:t>http://go.usa.gov/3cQfH</w:t>
      </w:r>
      <w:r w:rsidR="0084514D" w:rsidRPr="008C4370">
        <w:rPr>
          <w:rFonts w:cs="Times New Roman"/>
        </w:rPr>
        <w:t xml:space="preserve"> </w:t>
      </w:r>
      <w:r w:rsidRPr="008C4370">
        <w:rPr>
          <w:rFonts w:cs="Times New Roman"/>
        </w:rPr>
        <w:t>(last visited Feb. 24, 2015).</w:t>
      </w:r>
    </w:p>
  </w:footnote>
  <w:footnote w:id="4">
    <w:p w14:paraId="4286DBAC" w14:textId="0F9C4B5F" w:rsidR="00417E13" w:rsidRPr="00E9383E" w:rsidRDefault="00417E13">
      <w:pPr>
        <w:pStyle w:val="FootnoteText"/>
        <w:rPr>
          <w:rFonts w:cs="Times New Roman"/>
        </w:rPr>
      </w:pPr>
      <w:r w:rsidRPr="00E9383E">
        <w:rPr>
          <w:rStyle w:val="FootnoteReference"/>
          <w:rFonts w:cs="Times New Roman"/>
        </w:rPr>
        <w:footnoteRef/>
      </w:r>
      <w:r w:rsidRPr="00E9383E">
        <w:rPr>
          <w:rFonts w:cs="Times New Roman"/>
        </w:rPr>
        <w:t xml:space="preserve"> </w:t>
      </w:r>
      <w:r w:rsidRPr="008C4370">
        <w:rPr>
          <w:rFonts w:cs="Times New Roman"/>
          <w:i/>
        </w:rPr>
        <w:t>Id.</w:t>
      </w:r>
    </w:p>
  </w:footnote>
  <w:footnote w:id="5">
    <w:p w14:paraId="0931EC50" w14:textId="6020B7CD" w:rsidR="00417E13" w:rsidRPr="00E9383E" w:rsidRDefault="00417E13">
      <w:pPr>
        <w:pStyle w:val="FootnoteText"/>
        <w:rPr>
          <w:rFonts w:cs="Times New Roman"/>
        </w:rPr>
      </w:pPr>
      <w:r w:rsidRPr="00E9383E">
        <w:rPr>
          <w:rStyle w:val="FootnoteReference"/>
          <w:rFonts w:cs="Times New Roman"/>
        </w:rPr>
        <w:footnoteRef/>
      </w:r>
      <w:r w:rsidRPr="00E9383E">
        <w:rPr>
          <w:rFonts w:cs="Times New Roman"/>
        </w:rPr>
        <w:t xml:space="preserve"> </w:t>
      </w:r>
      <w:r w:rsidRPr="00D40AD9">
        <w:rPr>
          <w:rFonts w:cs="Times New Roman"/>
        </w:rPr>
        <w:t>N.C. Gen. Stat. §§ 160</w:t>
      </w:r>
      <w:r w:rsidRPr="00F31F9B">
        <w:rPr>
          <w:rFonts w:cs="Times New Roman"/>
        </w:rPr>
        <w:t>a</w:t>
      </w:r>
      <w:r w:rsidRPr="003B43CD">
        <w:rPr>
          <w:rFonts w:cs="Times New Roman"/>
        </w:rPr>
        <w:t>-340 through 160a-340.6.</w:t>
      </w:r>
    </w:p>
  </w:footnote>
  <w:footnote w:id="6">
    <w:p w14:paraId="13D07C3D" w14:textId="22F8565C" w:rsidR="00417E13" w:rsidRPr="00E9383E" w:rsidRDefault="00417E13">
      <w:pPr>
        <w:pStyle w:val="FootnoteText"/>
        <w:rPr>
          <w:rFonts w:cs="Times New Roman"/>
        </w:rPr>
      </w:pPr>
      <w:r w:rsidRPr="00E9383E">
        <w:rPr>
          <w:rStyle w:val="FootnoteReference"/>
          <w:rFonts w:cs="Times New Roman"/>
        </w:rPr>
        <w:footnoteRef/>
      </w:r>
      <w:r w:rsidRPr="00E9383E">
        <w:rPr>
          <w:rFonts w:cs="Times New Roman"/>
        </w:rPr>
        <w:t xml:space="preserve"> </w:t>
      </w:r>
      <w:r w:rsidRPr="00E9383E">
        <w:rPr>
          <w:rFonts w:cs="Times New Roman"/>
          <w:i/>
        </w:rPr>
        <w:t>Gregory v. Ashcroft</w:t>
      </w:r>
      <w:r w:rsidRPr="00E9383E">
        <w:rPr>
          <w:rFonts w:cs="Times New Roman"/>
        </w:rPr>
        <w:t>, 501 U.S. 452, 457</w:t>
      </w:r>
      <w:r>
        <w:rPr>
          <w:rFonts w:cs="Times New Roman"/>
        </w:rPr>
        <w:t xml:space="preserve"> (1991)</w:t>
      </w:r>
      <w:r w:rsidRPr="00E9383E">
        <w:rPr>
          <w:rFonts w:cs="Times New Roman"/>
        </w:rPr>
        <w:t xml:space="preserve"> (</w:t>
      </w:r>
      <w:r w:rsidRPr="00E9383E">
        <w:rPr>
          <w:rFonts w:cs="Times New Roman"/>
          <w:i/>
        </w:rPr>
        <w:t>citing Tafflin v. Levitt</w:t>
      </w:r>
      <w:r w:rsidRPr="00E9383E">
        <w:rPr>
          <w:rFonts w:cs="Times New Roman"/>
        </w:rPr>
        <w:t>, 493 U.S. 455, 458 (1990)).</w:t>
      </w:r>
    </w:p>
  </w:footnote>
  <w:footnote w:id="7">
    <w:p w14:paraId="403ADB8B" w14:textId="77777777" w:rsidR="00417E13" w:rsidRPr="00E9383E" w:rsidRDefault="00417E13">
      <w:pPr>
        <w:pStyle w:val="FootnoteText"/>
        <w:rPr>
          <w:rFonts w:cs="Times New Roman"/>
        </w:rPr>
      </w:pPr>
      <w:r w:rsidRPr="00E9383E">
        <w:rPr>
          <w:rStyle w:val="FootnoteReference"/>
          <w:rFonts w:cs="Times New Roman"/>
        </w:rPr>
        <w:footnoteRef/>
      </w:r>
      <w:r w:rsidRPr="00E9383E">
        <w:rPr>
          <w:rFonts w:cs="Times New Roman"/>
        </w:rPr>
        <w:t xml:space="preserve"> </w:t>
      </w:r>
      <w:r w:rsidRPr="00E9383E">
        <w:rPr>
          <w:rFonts w:cs="Times New Roman"/>
          <w:i/>
        </w:rPr>
        <w:t xml:space="preserve">See </w:t>
      </w:r>
      <w:r w:rsidRPr="00E9383E">
        <w:rPr>
          <w:rFonts w:cs="Times New Roman"/>
          <w:smallCaps/>
        </w:rPr>
        <w:t>U.S. Const</w:t>
      </w:r>
      <w:r w:rsidRPr="00E9383E">
        <w:rPr>
          <w:rFonts w:cs="Times New Roman"/>
        </w:rPr>
        <w:t>. Amdt. 10.</w:t>
      </w:r>
    </w:p>
  </w:footnote>
  <w:footnote w:id="8">
    <w:p w14:paraId="6F2E8912" w14:textId="0B9CE8D7" w:rsidR="00417E13" w:rsidRPr="00D57365" w:rsidRDefault="00417E13" w:rsidP="00A926DA">
      <w:pPr>
        <w:pStyle w:val="FootnoteText"/>
        <w:rPr>
          <w:rFonts w:cs="Times New Roman"/>
        </w:rPr>
      </w:pPr>
      <w:r w:rsidRPr="00E9383E">
        <w:rPr>
          <w:rStyle w:val="FootnoteReference"/>
          <w:rFonts w:cs="Times New Roman"/>
        </w:rPr>
        <w:footnoteRef/>
      </w:r>
      <w:r w:rsidRPr="00E9383E">
        <w:rPr>
          <w:rFonts w:cs="Times New Roman"/>
        </w:rPr>
        <w:t xml:space="preserve"> </w:t>
      </w:r>
      <w:r w:rsidRPr="00D40AD9">
        <w:rPr>
          <w:rFonts w:cs="Times New Roman"/>
          <w:i/>
        </w:rPr>
        <w:t>Wisconsin Pub. Intervenor v. Mortier</w:t>
      </w:r>
      <w:r w:rsidRPr="00F31F9B">
        <w:rPr>
          <w:rFonts w:cs="Times New Roman"/>
        </w:rPr>
        <w:t>, 501 U.S. 597, 607-08 (1991)</w:t>
      </w:r>
      <w:r w:rsidRPr="008C4370">
        <w:rPr>
          <w:rFonts w:cs="Times New Roman"/>
        </w:rPr>
        <w:t xml:space="preserve"> (alteration in original) (internal quotation marks and citations omitted) (quoting </w:t>
      </w:r>
      <w:r w:rsidRPr="008C4370">
        <w:rPr>
          <w:rFonts w:cs="Times New Roman"/>
          <w:i/>
        </w:rPr>
        <w:t xml:space="preserve">Sailors v. Board of Ed. </w:t>
      </w:r>
      <w:r w:rsidR="0084514D">
        <w:rPr>
          <w:rFonts w:cs="Times New Roman"/>
          <w:i/>
        </w:rPr>
        <w:t>o</w:t>
      </w:r>
      <w:r w:rsidRPr="008C4370">
        <w:rPr>
          <w:rFonts w:cs="Times New Roman"/>
          <w:i/>
        </w:rPr>
        <w:t>f Kent Cty.</w:t>
      </w:r>
      <w:r w:rsidRPr="008C4370">
        <w:rPr>
          <w:rFonts w:cs="Times New Roman"/>
        </w:rPr>
        <w:t>, 387 U.S. 105, 108 (1967)).</w:t>
      </w:r>
    </w:p>
  </w:footnote>
  <w:footnote w:id="9">
    <w:p w14:paraId="37BA7BCB" w14:textId="6CB8AFA5" w:rsidR="00417E13" w:rsidRPr="00DE1C35" w:rsidRDefault="00417E13">
      <w:pPr>
        <w:pStyle w:val="FootnoteText"/>
        <w:rPr>
          <w:rFonts w:cs="Times New Roman"/>
          <w:sz w:val="22"/>
          <w:szCs w:val="22"/>
        </w:rPr>
      </w:pPr>
      <w:r w:rsidRPr="00DE1C35">
        <w:rPr>
          <w:rStyle w:val="FootnoteReference"/>
          <w:rFonts w:cs="Times New Roman"/>
          <w:sz w:val="22"/>
          <w:szCs w:val="22"/>
        </w:rPr>
        <w:footnoteRef/>
      </w:r>
      <w:r w:rsidRPr="00DE1C35">
        <w:rPr>
          <w:rFonts w:cs="Times New Roman"/>
          <w:sz w:val="22"/>
          <w:szCs w:val="22"/>
        </w:rPr>
        <w:t xml:space="preserve"> </w:t>
      </w:r>
      <w:r w:rsidRPr="00DE1C35">
        <w:rPr>
          <w:rFonts w:cs="Times New Roman"/>
          <w:i/>
        </w:rPr>
        <w:t>Reynolds v. Sims</w:t>
      </w:r>
      <w:r w:rsidR="00AC7F3F">
        <w:rPr>
          <w:rFonts w:cs="Times New Roman"/>
        </w:rPr>
        <w:t>, 377 U.S. 533, 575</w:t>
      </w:r>
      <w:r w:rsidRPr="00DE1C35">
        <w:rPr>
          <w:rFonts w:cs="Times New Roman"/>
        </w:rPr>
        <w:t xml:space="preserve"> (1964)</w:t>
      </w:r>
      <w:r>
        <w:rPr>
          <w:rFonts w:cs="Times New Roman"/>
        </w:rPr>
        <w:t xml:space="preserve"> (</w:t>
      </w:r>
      <w:r w:rsidRPr="00DE1C35">
        <w:rPr>
          <w:rFonts w:cs="Times New Roman"/>
        </w:rPr>
        <w:t>“Political subdivisions of States—counties, cities, or whatever—never were and never have been co</w:t>
      </w:r>
      <w:r>
        <w:rPr>
          <w:rFonts w:cs="Times New Roman"/>
        </w:rPr>
        <w:t>nsidered as sovereign entities”).  Indeed, nothing in the U.S. Constitution prevents a State from abolishin</w:t>
      </w:r>
      <w:r w:rsidR="0084514D">
        <w:rPr>
          <w:rFonts w:cs="Times New Roman"/>
        </w:rPr>
        <w:t>g municipalities altogether.</w:t>
      </w:r>
    </w:p>
  </w:footnote>
  <w:footnote w:id="10">
    <w:p w14:paraId="08F02794" w14:textId="68AF85DD" w:rsidR="00417E13" w:rsidRPr="00DE1C35" w:rsidRDefault="00417E13">
      <w:pPr>
        <w:pStyle w:val="FootnoteText"/>
        <w:rPr>
          <w:rFonts w:cs="Times New Roman"/>
        </w:rPr>
      </w:pPr>
      <w:r w:rsidRPr="00DE1C35">
        <w:rPr>
          <w:rStyle w:val="FootnoteReference"/>
          <w:rFonts w:cs="Times New Roman"/>
        </w:rPr>
        <w:footnoteRef/>
      </w:r>
      <w:r w:rsidRPr="00DE1C35">
        <w:rPr>
          <w:rFonts w:cs="Times New Roman"/>
        </w:rPr>
        <w:t xml:space="preserve"> </w:t>
      </w:r>
      <w:r w:rsidRPr="00D40AD9">
        <w:rPr>
          <w:rFonts w:cs="Times New Roman"/>
          <w:i/>
        </w:rPr>
        <w:t>Ysursa v. Pocatello Educ. Ass</w:t>
      </w:r>
      <w:r w:rsidRPr="00F31F9B">
        <w:rPr>
          <w:rFonts w:cs="Times New Roman"/>
          <w:i/>
        </w:rPr>
        <w:t>’n</w:t>
      </w:r>
      <w:r w:rsidRPr="00F31F9B">
        <w:rPr>
          <w:rFonts w:cs="Times New Roman"/>
        </w:rPr>
        <w:t xml:space="preserve">, 555 U.S. 353, </w:t>
      </w:r>
      <w:r w:rsidRPr="008C4370">
        <w:rPr>
          <w:rFonts w:cs="Times New Roman"/>
        </w:rPr>
        <w:t xml:space="preserve">362 (2009) (citing </w:t>
      </w:r>
      <w:r w:rsidRPr="008C4370">
        <w:rPr>
          <w:rFonts w:cs="Times New Roman"/>
          <w:i/>
        </w:rPr>
        <w:t>Williams v. Mayor of Balt.</w:t>
      </w:r>
      <w:r w:rsidRPr="008C4370">
        <w:rPr>
          <w:rFonts w:cs="Times New Roman"/>
        </w:rPr>
        <w:t>, 289 U.S. 36, 40 (1933)).</w:t>
      </w:r>
    </w:p>
  </w:footnote>
  <w:footnote w:id="11">
    <w:p w14:paraId="5565872D" w14:textId="4173D7E6" w:rsidR="00417E13" w:rsidRPr="00D57365" w:rsidRDefault="00417E13" w:rsidP="00A926DA">
      <w:pPr>
        <w:pStyle w:val="FootnoteText"/>
        <w:rPr>
          <w:rFonts w:cs="Times New Roman"/>
        </w:rPr>
      </w:pPr>
      <w:r w:rsidRPr="00D57365">
        <w:rPr>
          <w:rStyle w:val="FootnoteReference"/>
          <w:rFonts w:cs="Times New Roman"/>
        </w:rPr>
        <w:footnoteRef/>
      </w:r>
      <w:r w:rsidRPr="00D57365">
        <w:rPr>
          <w:rFonts w:cs="Times New Roman"/>
        </w:rPr>
        <w:t xml:space="preserve"> </w:t>
      </w:r>
      <w:r w:rsidRPr="00E9383E">
        <w:rPr>
          <w:rFonts w:cs="Times New Roman"/>
          <w:i/>
        </w:rPr>
        <w:t>Nixon v. Missouri Mun. League</w:t>
      </w:r>
      <w:r w:rsidRPr="00E9383E">
        <w:rPr>
          <w:rFonts w:cs="Times New Roman"/>
        </w:rPr>
        <w:t>, 541 U.S. 125, 140 (2004).</w:t>
      </w:r>
    </w:p>
  </w:footnote>
  <w:footnote w:id="12">
    <w:p w14:paraId="2B9253EA" w14:textId="1ECDF79D" w:rsidR="00417E13" w:rsidRPr="00D57365" w:rsidRDefault="00417E13" w:rsidP="00A926DA">
      <w:pPr>
        <w:pStyle w:val="FootnoteText"/>
        <w:rPr>
          <w:rFonts w:cs="Times New Roman"/>
        </w:rPr>
      </w:pPr>
      <w:r w:rsidRPr="00D57365">
        <w:rPr>
          <w:rStyle w:val="FootnoteReference"/>
          <w:rFonts w:cs="Times New Roman"/>
        </w:rPr>
        <w:footnoteRef/>
      </w:r>
      <w:r w:rsidRPr="00D57365">
        <w:rPr>
          <w:rFonts w:cs="Times New Roman"/>
        </w:rPr>
        <w:t xml:space="preserve"> </w:t>
      </w:r>
      <w:r w:rsidRPr="003837CD">
        <w:rPr>
          <w:rFonts w:cs="Times New Roman"/>
          <w:i/>
        </w:rPr>
        <w:t>Gregory</w:t>
      </w:r>
      <w:r>
        <w:rPr>
          <w:rFonts w:cs="Times New Roman"/>
        </w:rPr>
        <w:t xml:space="preserve">, </w:t>
      </w:r>
      <w:r w:rsidRPr="00D57365">
        <w:rPr>
          <w:rFonts w:cs="Times New Roman"/>
        </w:rPr>
        <w:t xml:space="preserve">501 U.S. </w:t>
      </w:r>
      <w:r>
        <w:rPr>
          <w:rFonts w:cs="Times New Roman"/>
        </w:rPr>
        <w:t>at 460</w:t>
      </w:r>
      <w:r w:rsidRPr="00F31F9B">
        <w:rPr>
          <w:rFonts w:cs="Times New Roman"/>
        </w:rPr>
        <w:t xml:space="preserve"> </w:t>
      </w:r>
      <w:r w:rsidRPr="003B43CD">
        <w:rPr>
          <w:rFonts w:cs="Times New Roman"/>
        </w:rPr>
        <w:t xml:space="preserve">(quoting </w:t>
      </w:r>
      <w:r w:rsidRPr="008C4370">
        <w:rPr>
          <w:rFonts w:cs="Times New Roman"/>
          <w:i/>
        </w:rPr>
        <w:t>Atascadero State Hosp. v. Scanlon</w:t>
      </w:r>
      <w:r w:rsidRPr="008C4370">
        <w:rPr>
          <w:rFonts w:cs="Times New Roman"/>
        </w:rPr>
        <w:t>, 473 U.S. 234, 242 (1985))</w:t>
      </w:r>
      <w:r>
        <w:rPr>
          <w:rFonts w:cs="Times New Roman"/>
        </w:rPr>
        <w:t>.</w:t>
      </w:r>
    </w:p>
  </w:footnote>
  <w:footnote w:id="13">
    <w:p w14:paraId="5846B16B" w14:textId="77777777" w:rsidR="00417E13" w:rsidRPr="00D57365" w:rsidRDefault="00417E13" w:rsidP="00BF2849">
      <w:pPr>
        <w:pStyle w:val="FootnoteText"/>
        <w:rPr>
          <w:rFonts w:cs="Times New Roman"/>
        </w:rPr>
      </w:pPr>
      <w:r w:rsidRPr="00D57365">
        <w:rPr>
          <w:rStyle w:val="FootnoteReference"/>
          <w:rFonts w:cs="Times New Roman"/>
        </w:rPr>
        <w:footnoteRef/>
      </w:r>
      <w:r w:rsidRPr="00D57365">
        <w:rPr>
          <w:rFonts w:cs="Times New Roman"/>
        </w:rPr>
        <w:t xml:space="preserve"> </w:t>
      </w:r>
      <w:r w:rsidRPr="00D57365">
        <w:rPr>
          <w:rFonts w:cs="Times New Roman"/>
          <w:i/>
        </w:rPr>
        <w:t>Nixon</w:t>
      </w:r>
      <w:r w:rsidRPr="00D57365">
        <w:rPr>
          <w:rFonts w:cs="Times New Roman"/>
        </w:rPr>
        <w:t>, 541 U.S. at 130.</w:t>
      </w:r>
    </w:p>
  </w:footnote>
  <w:footnote w:id="14">
    <w:p w14:paraId="437E9233" w14:textId="77777777" w:rsidR="00417E13" w:rsidRPr="00D57365" w:rsidRDefault="00417E13" w:rsidP="00A926DA">
      <w:pPr>
        <w:pStyle w:val="FootnoteText"/>
        <w:rPr>
          <w:rFonts w:cs="Times New Roman"/>
        </w:rPr>
      </w:pPr>
      <w:r w:rsidRPr="00D57365">
        <w:rPr>
          <w:rStyle w:val="FootnoteReference"/>
          <w:rFonts w:cs="Times New Roman"/>
        </w:rPr>
        <w:footnoteRef/>
      </w:r>
      <w:r w:rsidRPr="00D57365">
        <w:rPr>
          <w:rFonts w:cs="Times New Roman"/>
        </w:rPr>
        <w:t xml:space="preserve"> </w:t>
      </w:r>
      <w:r w:rsidRPr="003837CD">
        <w:rPr>
          <w:rFonts w:cs="Times New Roman"/>
          <w:i/>
        </w:rPr>
        <w:t>City of Abilene v. FCC</w:t>
      </w:r>
      <w:r w:rsidRPr="00D57365">
        <w:rPr>
          <w:rFonts w:cs="Times New Roman"/>
        </w:rPr>
        <w:t>, 164 F.3d 49, 52 (D.C. Cir. 1999).</w:t>
      </w:r>
    </w:p>
  </w:footnote>
  <w:footnote w:id="15">
    <w:p w14:paraId="6FA13B4E" w14:textId="73784F48" w:rsidR="00417E13" w:rsidRPr="00B8608C" w:rsidRDefault="00417E13">
      <w:pPr>
        <w:pStyle w:val="FootnoteText"/>
      </w:pPr>
      <w:r>
        <w:rPr>
          <w:rStyle w:val="FootnoteReference"/>
        </w:rPr>
        <w:footnoteRef/>
      </w:r>
      <w:r>
        <w:t xml:space="preserve"> </w:t>
      </w:r>
      <w:r w:rsidR="00B8608C">
        <w:rPr>
          <w:rFonts w:cs="Times New Roman"/>
          <w:i/>
        </w:rPr>
        <w:t>Nixon</w:t>
      </w:r>
      <w:r w:rsidR="00B8608C">
        <w:rPr>
          <w:rFonts w:cs="Times New Roman"/>
        </w:rPr>
        <w:t xml:space="preserve">, 541 U.S. at 130. </w:t>
      </w:r>
    </w:p>
  </w:footnote>
  <w:footnote w:id="16">
    <w:p w14:paraId="73196DA9" w14:textId="26BBF160" w:rsidR="00417E13" w:rsidRPr="00D57365" w:rsidRDefault="00417E13" w:rsidP="007536E3">
      <w:pPr>
        <w:pStyle w:val="FootnoteText"/>
        <w:rPr>
          <w:rFonts w:cs="Times New Roman"/>
        </w:rPr>
      </w:pPr>
      <w:r w:rsidRPr="00D57365">
        <w:rPr>
          <w:rStyle w:val="FootnoteReference"/>
          <w:rFonts w:cs="Times New Roman"/>
        </w:rPr>
        <w:footnoteRef/>
      </w:r>
      <w:r w:rsidRPr="00D57365">
        <w:rPr>
          <w:rFonts w:cs="Times New Roman"/>
        </w:rPr>
        <w:t xml:space="preserve"> </w:t>
      </w:r>
      <w:r w:rsidR="001C6853">
        <w:rPr>
          <w:rFonts w:cs="Times New Roman"/>
          <w:i/>
        </w:rPr>
        <w:t>Id.</w:t>
      </w:r>
      <w:r>
        <w:rPr>
          <w:rFonts w:cs="Times New Roman"/>
        </w:rPr>
        <w:t xml:space="preserve">  Of course, the fact that this </w:t>
      </w:r>
      <w:r w:rsidRPr="007536E3">
        <w:rPr>
          <w:rFonts w:cs="Times New Roman"/>
          <w:i/>
        </w:rPr>
        <w:t>Order</w:t>
      </w:r>
      <w:r>
        <w:rPr>
          <w:rFonts w:cs="Times New Roman"/>
        </w:rPr>
        <w:t xml:space="preserve"> deals with broadband services while </w:t>
      </w:r>
      <w:r w:rsidRPr="007536E3">
        <w:rPr>
          <w:rFonts w:cs="Times New Roman"/>
          <w:i/>
        </w:rPr>
        <w:t xml:space="preserve">Nixon </w:t>
      </w:r>
      <w:r>
        <w:rPr>
          <w:rFonts w:cs="Times New Roman"/>
        </w:rPr>
        <w:t xml:space="preserve">addressed telecommunications services is of no constitutional moment.  The federalism implications are exactly the same.  </w:t>
      </w:r>
      <w:r w:rsidRPr="007536E3">
        <w:rPr>
          <w:rFonts w:cs="Times New Roman"/>
        </w:rPr>
        <w:t>In</w:t>
      </w:r>
      <w:r w:rsidR="00493EAA">
        <w:rPr>
          <w:rFonts w:cs="Times New Roman"/>
        </w:rPr>
        <w:t xml:space="preserve"> any event</w:t>
      </w:r>
      <w:r w:rsidRPr="007536E3">
        <w:rPr>
          <w:rFonts w:cs="Times New Roman"/>
        </w:rPr>
        <w:t xml:space="preserve">, today the Commission </w:t>
      </w:r>
      <w:r>
        <w:rPr>
          <w:rFonts w:cs="Times New Roman"/>
        </w:rPr>
        <w:t xml:space="preserve">in another item </w:t>
      </w:r>
      <w:r w:rsidRPr="007536E3">
        <w:rPr>
          <w:rFonts w:cs="Times New Roman"/>
        </w:rPr>
        <w:t>reclassifies broadband service as a telecommunications service</w:t>
      </w:r>
      <w:r>
        <w:rPr>
          <w:rFonts w:cs="Times New Roman"/>
        </w:rPr>
        <w:t xml:space="preserve">.  </w:t>
      </w:r>
      <w:r w:rsidRPr="00AC7F3F">
        <w:rPr>
          <w:rFonts w:cs="Times New Roman"/>
          <w:i/>
        </w:rPr>
        <w:t>Protecting and Promoting the Open Internet</w:t>
      </w:r>
      <w:r w:rsidRPr="00F31F9B">
        <w:rPr>
          <w:rFonts w:cs="Times New Roman"/>
        </w:rPr>
        <w:t xml:space="preserve">, </w:t>
      </w:r>
      <w:r w:rsidR="00AC7F3F" w:rsidRPr="008C4370">
        <w:rPr>
          <w:rFonts w:cs="Times New Roman"/>
        </w:rPr>
        <w:t>GN Dock</w:t>
      </w:r>
      <w:r w:rsidR="00AC7F3F" w:rsidRPr="00D40AD9">
        <w:rPr>
          <w:rFonts w:cs="Times New Roman"/>
        </w:rPr>
        <w:t>et No. 14-28</w:t>
      </w:r>
      <w:r w:rsidR="00AC7F3F">
        <w:rPr>
          <w:rFonts w:cs="Times New Roman"/>
        </w:rPr>
        <w:t>,</w:t>
      </w:r>
      <w:r w:rsidR="00AC7F3F" w:rsidRPr="00D40AD9">
        <w:rPr>
          <w:rFonts w:cs="Times New Roman"/>
        </w:rPr>
        <w:t xml:space="preserve"> </w:t>
      </w:r>
      <w:r w:rsidRPr="00AC7F3F">
        <w:rPr>
          <w:rFonts w:cs="Times New Roman"/>
        </w:rPr>
        <w:t>Report and Order on Remand, Declaratory Ruling, and Order</w:t>
      </w:r>
      <w:r w:rsidRPr="003B43CD">
        <w:rPr>
          <w:rFonts w:cs="Times New Roman"/>
        </w:rPr>
        <w:t xml:space="preserve">, </w:t>
      </w:r>
      <w:r w:rsidRPr="00704C9B">
        <w:rPr>
          <w:rFonts w:cs="Times New Roman"/>
        </w:rPr>
        <w:t>FCC 15-XXX</w:t>
      </w:r>
      <w:r w:rsidRPr="008C4370">
        <w:rPr>
          <w:rFonts w:cs="Times New Roman"/>
        </w:rPr>
        <w:t xml:space="preserve"> </w:t>
      </w:r>
      <w:r w:rsidRPr="00D40AD9">
        <w:rPr>
          <w:rFonts w:cs="Times New Roman"/>
        </w:rPr>
        <w:t>(2015) (</w:t>
      </w:r>
      <w:r w:rsidRPr="00F31F9B">
        <w:rPr>
          <w:rFonts w:cs="Times New Roman"/>
        </w:rPr>
        <w:t xml:space="preserve">reclassifying broadband Internet access service </w:t>
      </w:r>
      <w:r w:rsidRPr="008C4370">
        <w:rPr>
          <w:rFonts w:cs="Times New Roman"/>
        </w:rPr>
        <w:t xml:space="preserve">as </w:t>
      </w:r>
      <w:r w:rsidR="00AC7F3F">
        <w:rPr>
          <w:rFonts w:cs="Times New Roman"/>
        </w:rPr>
        <w:t xml:space="preserve">a </w:t>
      </w:r>
      <w:r w:rsidRPr="008C4370">
        <w:rPr>
          <w:rFonts w:cs="Times New Roman"/>
        </w:rPr>
        <w:t>telecommunications service)</w:t>
      </w:r>
      <w:r>
        <w:rPr>
          <w:rFonts w:cs="Times New Roman"/>
        </w:rPr>
        <w:t>.</w:t>
      </w:r>
    </w:p>
  </w:footnote>
  <w:footnote w:id="17">
    <w:p w14:paraId="20ADD12C" w14:textId="77777777" w:rsidR="00417E13" w:rsidRPr="00D57365" w:rsidRDefault="00417E13" w:rsidP="00BF2849">
      <w:pPr>
        <w:pStyle w:val="FootnoteText"/>
        <w:rPr>
          <w:rFonts w:cs="Times New Roman"/>
        </w:rPr>
      </w:pPr>
      <w:r w:rsidRPr="00D57365">
        <w:rPr>
          <w:rStyle w:val="FootnoteReference"/>
          <w:rFonts w:cs="Times New Roman"/>
        </w:rPr>
        <w:footnoteRef/>
      </w:r>
      <w:r w:rsidRPr="00D57365">
        <w:rPr>
          <w:rFonts w:cs="Times New Roman"/>
        </w:rPr>
        <w:t xml:space="preserve"> </w:t>
      </w:r>
      <w:r w:rsidRPr="00D57365">
        <w:rPr>
          <w:rFonts w:cs="Times New Roman"/>
          <w:i/>
        </w:rPr>
        <w:t>Nixon</w:t>
      </w:r>
      <w:r w:rsidRPr="00D57365">
        <w:rPr>
          <w:rFonts w:cs="Times New Roman"/>
        </w:rPr>
        <w:t>, 541 U.S. at 128.</w:t>
      </w:r>
    </w:p>
  </w:footnote>
  <w:footnote w:id="18">
    <w:p w14:paraId="473E58FB" w14:textId="77777777" w:rsidR="00417E13" w:rsidRPr="00E9383E" w:rsidRDefault="00417E13" w:rsidP="00BF2849">
      <w:pPr>
        <w:pStyle w:val="FootnoteText"/>
        <w:rPr>
          <w:rFonts w:cs="Times New Roman"/>
        </w:rPr>
      </w:pPr>
      <w:r w:rsidRPr="00E9383E">
        <w:rPr>
          <w:rStyle w:val="FootnoteReference"/>
          <w:rFonts w:cs="Times New Roman"/>
        </w:rPr>
        <w:footnoteRef/>
      </w:r>
      <w:r w:rsidRPr="00E9383E">
        <w:rPr>
          <w:rFonts w:cs="Times New Roman"/>
        </w:rPr>
        <w:t xml:space="preserve"> Telecommunications Act of 1996, Pub. L. No. 104-104, § 253, 110 Stat. 56 (codified at 47 U.S.C. § 253)) (emphasis added).</w:t>
      </w:r>
    </w:p>
  </w:footnote>
  <w:footnote w:id="19">
    <w:p w14:paraId="3DE86069" w14:textId="41FAE3DF" w:rsidR="00417E13" w:rsidRPr="00E9383E" w:rsidRDefault="00417E13" w:rsidP="00BF2849">
      <w:pPr>
        <w:pStyle w:val="FootnoteText"/>
        <w:rPr>
          <w:rFonts w:cs="Times New Roman"/>
        </w:rPr>
      </w:pPr>
      <w:r w:rsidRPr="00E9383E">
        <w:rPr>
          <w:rStyle w:val="FootnoteReference"/>
          <w:rFonts w:cs="Times New Roman"/>
        </w:rPr>
        <w:footnoteRef/>
      </w:r>
      <w:r w:rsidRPr="00E9383E">
        <w:rPr>
          <w:rFonts w:cs="Times New Roman"/>
        </w:rPr>
        <w:t xml:space="preserve"> </w:t>
      </w:r>
      <w:r w:rsidRPr="00E9383E">
        <w:rPr>
          <w:rFonts w:cs="Times New Roman"/>
          <w:i/>
        </w:rPr>
        <w:t>Nixon</w:t>
      </w:r>
      <w:r w:rsidR="0084514D">
        <w:rPr>
          <w:rFonts w:cs="Times New Roman"/>
        </w:rPr>
        <w:t>, 541 U.S. at 140–</w:t>
      </w:r>
      <w:r w:rsidRPr="00E9383E">
        <w:rPr>
          <w:rFonts w:cs="Times New Roman"/>
        </w:rPr>
        <w:t>41.</w:t>
      </w:r>
    </w:p>
  </w:footnote>
  <w:footnote w:id="20">
    <w:p w14:paraId="16C78413" w14:textId="77777777" w:rsidR="00417E13" w:rsidRPr="00E9383E" w:rsidRDefault="00417E13" w:rsidP="00BF2849">
      <w:pPr>
        <w:pStyle w:val="FootnoteText"/>
        <w:rPr>
          <w:rFonts w:cs="Times New Roman"/>
        </w:rPr>
      </w:pPr>
      <w:r w:rsidRPr="00E9383E">
        <w:rPr>
          <w:rStyle w:val="FootnoteReference"/>
          <w:rFonts w:cs="Times New Roman"/>
        </w:rPr>
        <w:footnoteRef/>
      </w:r>
      <w:r w:rsidRPr="00E9383E">
        <w:rPr>
          <w:rFonts w:cs="Times New Roman"/>
        </w:rPr>
        <w:t xml:space="preserve"> Telecommunications Act § 706(a) (codified at 47 U.S.C. § 1302(a)).</w:t>
      </w:r>
    </w:p>
  </w:footnote>
  <w:footnote w:id="21">
    <w:p w14:paraId="7F227DE7" w14:textId="77777777" w:rsidR="00417E13" w:rsidRPr="00E9383E" w:rsidRDefault="00417E13" w:rsidP="00BF2849">
      <w:pPr>
        <w:pStyle w:val="FootnoteText"/>
        <w:rPr>
          <w:rFonts w:cs="Times New Roman"/>
        </w:rPr>
      </w:pPr>
      <w:r w:rsidRPr="00E9383E">
        <w:rPr>
          <w:rStyle w:val="FootnoteReference"/>
          <w:rFonts w:cs="Times New Roman"/>
        </w:rPr>
        <w:footnoteRef/>
      </w:r>
      <w:r w:rsidRPr="00E9383E">
        <w:rPr>
          <w:rFonts w:cs="Times New Roman"/>
        </w:rPr>
        <w:t xml:space="preserve"> </w:t>
      </w:r>
      <w:r w:rsidRPr="00E9383E">
        <w:rPr>
          <w:rFonts w:cs="Times New Roman"/>
          <w:i/>
        </w:rPr>
        <w:t>Id.</w:t>
      </w:r>
      <w:r w:rsidRPr="00E9383E">
        <w:rPr>
          <w:rFonts w:cs="Times New Roman"/>
        </w:rPr>
        <w:t xml:space="preserve"> § 706(b) (codified at 47 U.S.C. § 1302(b)).</w:t>
      </w:r>
    </w:p>
  </w:footnote>
  <w:footnote w:id="22">
    <w:p w14:paraId="69569C88" w14:textId="5BF5F0E2" w:rsidR="00417E13" w:rsidRPr="00E9383E" w:rsidRDefault="00417E13">
      <w:pPr>
        <w:pStyle w:val="FootnoteText"/>
        <w:rPr>
          <w:rFonts w:cs="Times New Roman"/>
        </w:rPr>
      </w:pPr>
      <w:r w:rsidRPr="00E9383E">
        <w:rPr>
          <w:rStyle w:val="FootnoteReference"/>
          <w:rFonts w:cs="Times New Roman"/>
        </w:rPr>
        <w:footnoteRef/>
      </w:r>
      <w:r w:rsidRPr="00E9383E">
        <w:rPr>
          <w:rFonts w:cs="Times New Roman"/>
        </w:rPr>
        <w:t xml:space="preserve"> For purposes of Sections I, II, and III of this statement, I will assume arguendo that section 706 provides the Commission with some measure of independent authority.  </w:t>
      </w:r>
      <w:r>
        <w:rPr>
          <w:rFonts w:cs="Times New Roman"/>
        </w:rPr>
        <w:t>However, i</w:t>
      </w:r>
      <w:r w:rsidRPr="00E9383E">
        <w:rPr>
          <w:rFonts w:cs="Times New Roman"/>
        </w:rPr>
        <w:t xml:space="preserve">n Section IV, I will explain why I do not believe that section 706 delegates to the Commission </w:t>
      </w:r>
      <w:r w:rsidRPr="00E9383E">
        <w:rPr>
          <w:rFonts w:cs="Times New Roman"/>
          <w:i/>
        </w:rPr>
        <w:t>any</w:t>
      </w:r>
      <w:r w:rsidR="0084514D">
        <w:rPr>
          <w:rFonts w:cs="Times New Roman"/>
        </w:rPr>
        <w:t xml:space="preserve"> additional authority.</w:t>
      </w:r>
    </w:p>
  </w:footnote>
  <w:footnote w:id="23">
    <w:p w14:paraId="0AD4245E" w14:textId="5E1EE40A" w:rsidR="00417E13" w:rsidRPr="00E9383E" w:rsidRDefault="00417E13" w:rsidP="00C7349D">
      <w:pPr>
        <w:pStyle w:val="FootnoteText"/>
        <w:rPr>
          <w:rFonts w:cs="Times New Roman"/>
        </w:rPr>
      </w:pPr>
      <w:r w:rsidRPr="00E9383E">
        <w:rPr>
          <w:rStyle w:val="FootnoteReference"/>
          <w:rFonts w:cs="Times New Roman"/>
        </w:rPr>
        <w:footnoteRef/>
      </w:r>
      <w:r w:rsidRPr="00E9383E">
        <w:rPr>
          <w:rFonts w:cs="Times New Roman"/>
        </w:rPr>
        <w:t xml:space="preserve"> </w:t>
      </w:r>
      <w:r w:rsidRPr="00E9383E">
        <w:rPr>
          <w:rFonts w:cs="Times New Roman"/>
          <w:i/>
        </w:rPr>
        <w:t>Nixon</w:t>
      </w:r>
      <w:r w:rsidRPr="00E9383E">
        <w:rPr>
          <w:rFonts w:cs="Times New Roman"/>
        </w:rPr>
        <w:t>, 541 U.S. at 141.</w:t>
      </w:r>
    </w:p>
  </w:footnote>
  <w:footnote w:id="24">
    <w:p w14:paraId="1E728CBC" w14:textId="488DE1B6" w:rsidR="00417E13" w:rsidRPr="00E9383E" w:rsidRDefault="00417E13">
      <w:pPr>
        <w:pStyle w:val="FootnoteText"/>
        <w:rPr>
          <w:rFonts w:cs="Times New Roman"/>
          <w:i/>
        </w:rPr>
      </w:pPr>
      <w:r w:rsidRPr="00E9383E">
        <w:rPr>
          <w:rStyle w:val="FootnoteReference"/>
          <w:rFonts w:cs="Times New Roman"/>
          <w:i/>
        </w:rPr>
        <w:footnoteRef/>
      </w:r>
      <w:r w:rsidRPr="00E9383E">
        <w:rPr>
          <w:rFonts w:cs="Times New Roman"/>
          <w:i/>
        </w:rPr>
        <w:t xml:space="preserve"> See infra </w:t>
      </w:r>
      <w:r>
        <w:rPr>
          <w:rFonts w:cs="Times New Roman"/>
        </w:rPr>
        <w:t>S</w:t>
      </w:r>
      <w:r w:rsidRPr="00E9383E">
        <w:rPr>
          <w:rFonts w:cs="Times New Roman"/>
        </w:rPr>
        <w:t>ection III.</w:t>
      </w:r>
    </w:p>
  </w:footnote>
  <w:footnote w:id="25">
    <w:p w14:paraId="53B5783A" w14:textId="148EB621" w:rsidR="00417E13" w:rsidRPr="00E9383E" w:rsidRDefault="00417E13">
      <w:pPr>
        <w:pStyle w:val="FootnoteText"/>
        <w:rPr>
          <w:rFonts w:cs="Times New Roman"/>
        </w:rPr>
      </w:pPr>
      <w:r w:rsidRPr="00E9383E">
        <w:rPr>
          <w:rStyle w:val="FootnoteReference"/>
          <w:rFonts w:cs="Times New Roman"/>
        </w:rPr>
        <w:footnoteRef/>
      </w:r>
      <w:r w:rsidRPr="00E9383E">
        <w:rPr>
          <w:rFonts w:cs="Times New Roman"/>
        </w:rPr>
        <w:t xml:space="preserve"> </w:t>
      </w:r>
      <w:r w:rsidRPr="008C4370">
        <w:rPr>
          <w:rFonts w:cs="Times New Roman"/>
          <w:i/>
        </w:rPr>
        <w:t>Order</w:t>
      </w:r>
      <w:r w:rsidR="00487392">
        <w:rPr>
          <w:rFonts w:cs="Times New Roman"/>
        </w:rPr>
        <w:t xml:space="preserve"> at para. 16</w:t>
      </w:r>
      <w:r w:rsidR="007C3812">
        <w:rPr>
          <w:rFonts w:cs="Times New Roman"/>
        </w:rPr>
        <w:t>2</w:t>
      </w:r>
      <w:r w:rsidR="0084514D">
        <w:rPr>
          <w:rFonts w:cs="Times New Roman"/>
        </w:rPr>
        <w:t>.</w:t>
      </w:r>
    </w:p>
  </w:footnote>
  <w:footnote w:id="26">
    <w:p w14:paraId="1F787E76" w14:textId="41EDD572" w:rsidR="00417E13" w:rsidRDefault="00417E13">
      <w:pPr>
        <w:pStyle w:val="FootnoteText"/>
      </w:pPr>
      <w:r w:rsidRPr="00E9383E">
        <w:rPr>
          <w:rStyle w:val="FootnoteReference"/>
          <w:rFonts w:cs="Times New Roman"/>
        </w:rPr>
        <w:footnoteRef/>
      </w:r>
      <w:r>
        <w:rPr>
          <w:rFonts w:cs="Times New Roman"/>
        </w:rPr>
        <w:t xml:space="preserve"> </w:t>
      </w:r>
      <w:r w:rsidRPr="008C4370">
        <w:rPr>
          <w:rFonts w:cs="Times New Roman"/>
          <w:i/>
        </w:rPr>
        <w:t xml:space="preserve">Id. </w:t>
      </w:r>
      <w:r w:rsidR="00487392">
        <w:rPr>
          <w:rFonts w:cs="Times New Roman"/>
        </w:rPr>
        <w:t>at para. 15</w:t>
      </w:r>
      <w:r w:rsidR="007C3812">
        <w:rPr>
          <w:rFonts w:cs="Times New Roman"/>
        </w:rPr>
        <w:t>7</w:t>
      </w:r>
      <w:r w:rsidRPr="00D40AD9">
        <w:rPr>
          <w:rFonts w:cs="Times New Roman"/>
        </w:rPr>
        <w:t>.</w:t>
      </w:r>
    </w:p>
  </w:footnote>
  <w:footnote w:id="27">
    <w:p w14:paraId="0DB09AEA" w14:textId="2B80DDB9" w:rsidR="00417E13" w:rsidRPr="00E9383E" w:rsidRDefault="00417E13">
      <w:pPr>
        <w:pStyle w:val="FootnoteText"/>
        <w:rPr>
          <w:rFonts w:cs="Times New Roman"/>
        </w:rPr>
      </w:pPr>
      <w:r w:rsidRPr="00E9383E">
        <w:rPr>
          <w:rStyle w:val="FootnoteReference"/>
          <w:rFonts w:cs="Times New Roman"/>
        </w:rPr>
        <w:footnoteRef/>
      </w:r>
      <w:r>
        <w:rPr>
          <w:rFonts w:cs="Times New Roman"/>
        </w:rPr>
        <w:t xml:space="preserve"> </w:t>
      </w:r>
      <w:r w:rsidRPr="005520E2">
        <w:rPr>
          <w:rFonts w:cs="Times New Roman"/>
          <w:i/>
        </w:rPr>
        <w:t>Id</w:t>
      </w:r>
      <w:r>
        <w:rPr>
          <w:rFonts w:cs="Times New Roman"/>
        </w:rPr>
        <w:t>.</w:t>
      </w:r>
      <w:r w:rsidR="00487392">
        <w:rPr>
          <w:rFonts w:cs="Times New Roman"/>
        </w:rPr>
        <w:t xml:space="preserve"> at para. 147.</w:t>
      </w:r>
    </w:p>
  </w:footnote>
  <w:footnote w:id="28">
    <w:p w14:paraId="30228B14" w14:textId="77777777" w:rsidR="00417E13" w:rsidRPr="009428EC" w:rsidRDefault="00417E13" w:rsidP="006B5345">
      <w:pPr>
        <w:pStyle w:val="FootnoteText"/>
        <w:rPr>
          <w:rFonts w:cs="Times New Roman"/>
        </w:rPr>
      </w:pPr>
      <w:r w:rsidRPr="009428EC">
        <w:rPr>
          <w:rStyle w:val="FootnoteReference"/>
          <w:rFonts w:cs="Times New Roman"/>
        </w:rPr>
        <w:footnoteRef/>
      </w:r>
      <w:r w:rsidRPr="009428EC">
        <w:rPr>
          <w:rFonts w:cs="Times New Roman"/>
          <w:i/>
        </w:rPr>
        <w:t>Holt Civic Club v. City of Tuscaloosa</w:t>
      </w:r>
      <w:r w:rsidRPr="009428EC">
        <w:rPr>
          <w:rFonts w:cs="Times New Roman"/>
        </w:rPr>
        <w:t xml:space="preserve">, 439 U.S. 60, 71 (1978) (emphasis added) (quoting </w:t>
      </w:r>
      <w:r w:rsidRPr="009428EC">
        <w:rPr>
          <w:rFonts w:cs="Times New Roman"/>
          <w:i/>
        </w:rPr>
        <w:t>Hunter v. Pittsburgh</w:t>
      </w:r>
      <w:r w:rsidRPr="009428EC">
        <w:rPr>
          <w:rFonts w:cs="Times New Roman"/>
        </w:rPr>
        <w:t>, 207 U.S. 161, 178 (1907)).</w:t>
      </w:r>
    </w:p>
  </w:footnote>
  <w:footnote w:id="29">
    <w:p w14:paraId="321E0FA0" w14:textId="355D60EE" w:rsidR="00417E13" w:rsidRPr="00E9383E" w:rsidRDefault="00417E13">
      <w:pPr>
        <w:pStyle w:val="FootnoteText"/>
        <w:rPr>
          <w:rFonts w:cs="Times New Roman"/>
        </w:rPr>
      </w:pPr>
      <w:r w:rsidRPr="00E9383E">
        <w:rPr>
          <w:rStyle w:val="FootnoteReference"/>
          <w:rFonts w:cs="Times New Roman"/>
        </w:rPr>
        <w:footnoteRef/>
      </w:r>
      <w:r>
        <w:rPr>
          <w:rFonts w:cs="Times New Roman"/>
        </w:rPr>
        <w:t xml:space="preserve"> </w:t>
      </w:r>
      <w:r w:rsidRPr="00D40AD9">
        <w:rPr>
          <w:rFonts w:cs="Times New Roman"/>
        </w:rPr>
        <w:t>Tenn. Code Ann. § 7-52-601.</w:t>
      </w:r>
    </w:p>
  </w:footnote>
  <w:footnote w:id="30">
    <w:p w14:paraId="5E532D56" w14:textId="17B224D5" w:rsidR="00417E13" w:rsidRPr="00700117" w:rsidRDefault="00417E13">
      <w:pPr>
        <w:pStyle w:val="FootnoteText"/>
        <w:rPr>
          <w:rFonts w:cs="Times New Roman"/>
        </w:rPr>
      </w:pPr>
      <w:r w:rsidRPr="00700117">
        <w:rPr>
          <w:rStyle w:val="FootnoteReference"/>
          <w:rFonts w:cs="Times New Roman"/>
        </w:rPr>
        <w:footnoteRef/>
      </w:r>
      <w:r>
        <w:rPr>
          <w:rFonts w:cs="Times New Roman"/>
        </w:rPr>
        <w:t xml:space="preserve"> </w:t>
      </w:r>
      <w:r w:rsidRPr="00D40AD9">
        <w:rPr>
          <w:rFonts w:cs="Times New Roman"/>
        </w:rPr>
        <w:t>N.C. Gen. Stat. §§ 160a-340.1(a)(3).</w:t>
      </w:r>
      <w:r w:rsidRPr="00700117">
        <w:rPr>
          <w:rFonts w:cs="Times New Roman"/>
        </w:rPr>
        <w:t xml:space="preserve"> </w:t>
      </w:r>
    </w:p>
  </w:footnote>
  <w:footnote w:id="31">
    <w:p w14:paraId="2F3881A9" w14:textId="7ACA2D52" w:rsidR="00417E13" w:rsidRPr="00187EC2" w:rsidRDefault="00417E13">
      <w:pPr>
        <w:pStyle w:val="FootnoteText"/>
        <w:rPr>
          <w:rFonts w:cs="Times New Roman"/>
        </w:rPr>
      </w:pPr>
      <w:r w:rsidRPr="00DC09F4">
        <w:rPr>
          <w:rStyle w:val="FootnoteReference"/>
          <w:rFonts w:cs="Times New Roman"/>
        </w:rPr>
        <w:footnoteRef/>
      </w:r>
      <w:r w:rsidRPr="00DC09F4">
        <w:rPr>
          <w:rFonts w:cs="Times New Roman"/>
        </w:rPr>
        <w:t xml:space="preserve"> </w:t>
      </w:r>
      <w:r w:rsidR="00187EC2">
        <w:rPr>
          <w:rFonts w:cs="Times New Roman"/>
          <w:i/>
        </w:rPr>
        <w:t>Nixon</w:t>
      </w:r>
      <w:r w:rsidR="00187EC2">
        <w:rPr>
          <w:rFonts w:cs="Times New Roman"/>
        </w:rPr>
        <w:t>, 541 U.S.</w:t>
      </w:r>
      <w:r w:rsidR="00EC6A80">
        <w:rPr>
          <w:rFonts w:cs="Times New Roman"/>
        </w:rPr>
        <w:t xml:space="preserve"> at </w:t>
      </w:r>
      <w:r w:rsidR="00187EC2">
        <w:rPr>
          <w:rFonts w:cs="Times New Roman"/>
        </w:rPr>
        <w:t>130.</w:t>
      </w:r>
    </w:p>
  </w:footnote>
  <w:footnote w:id="32">
    <w:p w14:paraId="489BCC29" w14:textId="744CBFA0" w:rsidR="00417E13" w:rsidRDefault="00417E13">
      <w:pPr>
        <w:pStyle w:val="FootnoteText"/>
      </w:pPr>
      <w:r>
        <w:rPr>
          <w:rStyle w:val="FootnoteReference"/>
        </w:rPr>
        <w:footnoteRef/>
      </w:r>
      <w:r>
        <w:t xml:space="preserve"> </w:t>
      </w:r>
      <w:r w:rsidRPr="00D40AD9">
        <w:rPr>
          <w:rFonts w:cs="Times New Roman"/>
        </w:rPr>
        <w:t>N.C. Gen. Stat. § 160A-1(3).</w:t>
      </w:r>
    </w:p>
  </w:footnote>
  <w:footnote w:id="33">
    <w:p w14:paraId="4CE5245A" w14:textId="79EA014D" w:rsidR="00417E13" w:rsidRPr="00B263C8" w:rsidRDefault="00417E13">
      <w:pPr>
        <w:pStyle w:val="FootnoteText"/>
        <w:rPr>
          <w:rFonts w:cs="Times New Roman"/>
        </w:rPr>
      </w:pPr>
      <w:r w:rsidRPr="00B263C8">
        <w:rPr>
          <w:rStyle w:val="FootnoteReference"/>
          <w:rFonts w:cs="Times New Roman"/>
        </w:rPr>
        <w:footnoteRef/>
      </w:r>
      <w:r w:rsidRPr="00B263C8">
        <w:rPr>
          <w:rFonts w:cs="Times New Roman"/>
        </w:rPr>
        <w:t xml:space="preserve"> </w:t>
      </w:r>
      <w:r w:rsidRPr="008C4370">
        <w:rPr>
          <w:rFonts w:cs="Times New Roman"/>
          <w:i/>
        </w:rPr>
        <w:t>Holt Civic Club</w:t>
      </w:r>
      <w:r w:rsidRPr="00D40AD9">
        <w:rPr>
          <w:rFonts w:cs="Times New Roman"/>
        </w:rPr>
        <w:t>, 439 U.S. at 71.</w:t>
      </w:r>
    </w:p>
  </w:footnote>
  <w:footnote w:id="34">
    <w:p w14:paraId="4CA16A64" w14:textId="252394F5" w:rsidR="00417E13" w:rsidRPr="00700117" w:rsidRDefault="00417E13">
      <w:pPr>
        <w:pStyle w:val="FootnoteText"/>
        <w:rPr>
          <w:rFonts w:cs="Times New Roman"/>
        </w:rPr>
      </w:pPr>
      <w:r w:rsidRPr="00700117">
        <w:rPr>
          <w:rStyle w:val="FootnoteReference"/>
          <w:rFonts w:cs="Times New Roman"/>
        </w:rPr>
        <w:footnoteRef/>
      </w:r>
      <w:r w:rsidRPr="00700117">
        <w:rPr>
          <w:rFonts w:cs="Times New Roman"/>
        </w:rPr>
        <w:t xml:space="preserve"> </w:t>
      </w:r>
      <w:r w:rsidRPr="008C4370">
        <w:rPr>
          <w:rFonts w:cs="Times New Roman"/>
          <w:i/>
        </w:rPr>
        <w:t>Nixon</w:t>
      </w:r>
      <w:r w:rsidRPr="00D40AD9">
        <w:rPr>
          <w:rFonts w:cs="Times New Roman"/>
        </w:rPr>
        <w:t xml:space="preserve">, 541 U.S. </w:t>
      </w:r>
      <w:r w:rsidR="00EC6A80">
        <w:rPr>
          <w:rFonts w:cs="Times New Roman"/>
        </w:rPr>
        <w:t>at</w:t>
      </w:r>
      <w:r w:rsidRPr="00D40AD9">
        <w:rPr>
          <w:rFonts w:cs="Times New Roman"/>
        </w:rPr>
        <w:t xml:space="preserve"> 140.</w:t>
      </w:r>
    </w:p>
  </w:footnote>
  <w:footnote w:id="35">
    <w:p w14:paraId="0B9F4C20" w14:textId="1ABCDDAC" w:rsidR="00417E13" w:rsidRPr="00B263C8" w:rsidRDefault="00417E13">
      <w:pPr>
        <w:pStyle w:val="FootnoteText"/>
        <w:rPr>
          <w:rFonts w:cs="Times New Roman"/>
        </w:rPr>
      </w:pPr>
      <w:r w:rsidRPr="00B263C8">
        <w:rPr>
          <w:rStyle w:val="FootnoteReference"/>
          <w:rFonts w:cs="Times New Roman"/>
        </w:rPr>
        <w:footnoteRef/>
      </w:r>
      <w:r w:rsidRPr="00B263C8">
        <w:rPr>
          <w:rFonts w:cs="Times New Roman"/>
        </w:rPr>
        <w:t xml:space="preserve"> </w:t>
      </w:r>
      <w:r w:rsidRPr="008C4370">
        <w:rPr>
          <w:rFonts w:cs="Times New Roman"/>
          <w:i/>
        </w:rPr>
        <w:t>Holt Civic Club</w:t>
      </w:r>
      <w:r w:rsidRPr="00D40AD9">
        <w:rPr>
          <w:rFonts w:cs="Times New Roman"/>
        </w:rPr>
        <w:t>, 439 U.S. at 71.</w:t>
      </w:r>
    </w:p>
  </w:footnote>
  <w:footnote w:id="36">
    <w:p w14:paraId="7F26C271" w14:textId="309101EB" w:rsidR="00417E13" w:rsidRDefault="00417E13">
      <w:pPr>
        <w:pStyle w:val="FootnoteText"/>
        <w:rPr>
          <w:rFonts w:cs="Times New Roman"/>
        </w:rPr>
      </w:pPr>
      <w:r w:rsidRPr="00537DE2">
        <w:rPr>
          <w:rStyle w:val="FootnoteReference"/>
          <w:rFonts w:cs="Times New Roman"/>
        </w:rPr>
        <w:footnoteRef/>
      </w:r>
      <w:r w:rsidRPr="00537DE2">
        <w:rPr>
          <w:rFonts w:cs="Times New Roman"/>
        </w:rPr>
        <w:t xml:space="preserve"> Indeed, it is worth nothing that in 1997, the Commission explicitly encouraged states to impose restrictions on municipal entry into the telecommunications market that would </w:t>
      </w:r>
      <w:r>
        <w:rPr>
          <w:rFonts w:cs="Times New Roman"/>
        </w:rPr>
        <w:t xml:space="preserve">fall </w:t>
      </w:r>
      <w:r w:rsidR="0084514D">
        <w:rPr>
          <w:rFonts w:cs="Times New Roman"/>
        </w:rPr>
        <w:t>short of a total prohibition.</w:t>
      </w:r>
    </w:p>
    <w:p w14:paraId="37E6CA97" w14:textId="7800A2D0" w:rsidR="00417E13" w:rsidRDefault="00FC7A4B" w:rsidP="005520E2">
      <w:pPr>
        <w:pStyle w:val="FootnoteText"/>
        <w:tabs>
          <w:tab w:val="left" w:pos="720"/>
        </w:tabs>
        <w:ind w:left="720" w:right="720"/>
        <w:rPr>
          <w:rFonts w:cs="Times New Roman"/>
        </w:rPr>
      </w:pPr>
      <w:r>
        <w:rPr>
          <w:rFonts w:cs="Times New Roman"/>
        </w:rPr>
        <w:t>[</w:t>
      </w:r>
      <w:r w:rsidR="00417E13">
        <w:rPr>
          <w:rFonts w:cs="Times New Roman"/>
        </w:rPr>
        <w:t>W</w:t>
      </w:r>
      <w:r>
        <w:rPr>
          <w:rFonts w:cs="Times New Roman"/>
        </w:rPr>
        <w:t>]</w:t>
      </w:r>
      <w:r w:rsidR="00417E13">
        <w:rPr>
          <w:rFonts w:cs="Times New Roman"/>
        </w:rPr>
        <w:t>e encourage</w:t>
      </w:r>
      <w:r w:rsidR="00417E13" w:rsidRPr="00537DE2">
        <w:rPr>
          <w:rFonts w:cs="Times New Roman"/>
        </w:rPr>
        <w:t xml:space="preserve"> states to avoid enacting absolute prohibitions on municipal entry into telecommunications</w:t>
      </w:r>
      <w:r w:rsidR="0084514D">
        <w:rPr>
          <w:rFonts w:cs="Times New Roman"/>
        </w:rPr>
        <w:t> </w:t>
      </w:r>
      <w:r w:rsidR="00417E13">
        <w:rPr>
          <w:rFonts w:cs="Times New Roman"/>
        </w:rPr>
        <w:t>.</w:t>
      </w:r>
      <w:r w:rsidR="0084514D">
        <w:rPr>
          <w:rFonts w:cs="Times New Roman"/>
        </w:rPr>
        <w:t> </w:t>
      </w:r>
      <w:r w:rsidR="00417E13">
        <w:rPr>
          <w:rFonts w:cs="Times New Roman"/>
        </w:rPr>
        <w:t>.</w:t>
      </w:r>
      <w:r w:rsidR="0084514D">
        <w:rPr>
          <w:rFonts w:cs="Times New Roman"/>
        </w:rPr>
        <w:t> </w:t>
      </w:r>
      <w:r w:rsidR="00417E13">
        <w:rPr>
          <w:rFonts w:cs="Times New Roman"/>
        </w:rPr>
        <w:t>.</w:t>
      </w:r>
      <w:r w:rsidR="0084514D">
        <w:rPr>
          <w:rFonts w:cs="Times New Roman"/>
        </w:rPr>
        <w:t> </w:t>
      </w:r>
      <w:r w:rsidR="00417E13">
        <w:rPr>
          <w:rFonts w:cs="Times New Roman"/>
        </w:rPr>
        <w:t>.</w:t>
      </w:r>
      <w:r w:rsidR="00417E13" w:rsidRPr="00537DE2">
        <w:rPr>
          <w:rFonts w:cs="Times New Roman"/>
        </w:rPr>
        <w:t xml:space="preserve"> </w:t>
      </w:r>
      <w:r w:rsidR="0084514D">
        <w:rPr>
          <w:rFonts w:cs="Times New Roman"/>
        </w:rPr>
        <w:t xml:space="preserve"> </w:t>
      </w:r>
      <w:r w:rsidR="00417E13" w:rsidRPr="00537DE2">
        <w:rPr>
          <w:rFonts w:cs="Times New Roman"/>
        </w:rPr>
        <w:t xml:space="preserve">Municipal entry can bring significant benefits by making additional facilities available for the provision of competitive services. </w:t>
      </w:r>
      <w:r w:rsidR="0084514D">
        <w:rPr>
          <w:rFonts w:cs="Times New Roman"/>
        </w:rPr>
        <w:t xml:space="preserve"> </w:t>
      </w:r>
      <w:r w:rsidR="00417E13" w:rsidRPr="00537DE2">
        <w:rPr>
          <w:rFonts w:cs="Times New Roman"/>
        </w:rPr>
        <w:t>At the same time, we recognize that entry by municipalities into telecommunications may raise issues regarding taxpayer protection from the economic risks of entry, as well as questions concerning possible regulatory bias when separate arms of a municipality act as both a regulator and a competitor.</w:t>
      </w:r>
      <w:r w:rsidR="00417E13">
        <w:rPr>
          <w:rFonts w:cs="Times New Roman"/>
        </w:rPr>
        <w:t xml:space="preserve"> </w:t>
      </w:r>
      <w:r w:rsidR="00417E13" w:rsidRPr="00537DE2">
        <w:rPr>
          <w:rFonts w:cs="Times New Roman"/>
        </w:rPr>
        <w:t xml:space="preserve"> We believe, however, that these issues can be dealt with successfully through measures that are much less restrictive than an outright ban on entry, permitting consumers to reap the ben</w:t>
      </w:r>
      <w:r w:rsidR="00417E13">
        <w:rPr>
          <w:rFonts w:cs="Times New Roman"/>
        </w:rPr>
        <w:t>e</w:t>
      </w:r>
      <w:r w:rsidR="0084514D">
        <w:rPr>
          <w:rFonts w:cs="Times New Roman"/>
        </w:rPr>
        <w:t>fits of increased competition.</w:t>
      </w:r>
    </w:p>
    <w:p w14:paraId="5A59DF21" w14:textId="28E2458E" w:rsidR="00417E13" w:rsidRPr="00537DE2" w:rsidRDefault="00417E13" w:rsidP="0084514D">
      <w:pPr>
        <w:pStyle w:val="FootnoteText"/>
        <w:tabs>
          <w:tab w:val="left" w:pos="720"/>
        </w:tabs>
        <w:ind w:right="720"/>
        <w:rPr>
          <w:rFonts w:cs="Times New Roman"/>
        </w:rPr>
      </w:pPr>
      <w:r w:rsidRPr="0084514D">
        <w:rPr>
          <w:rFonts w:cs="Times New Roman"/>
          <w:i/>
        </w:rPr>
        <w:t>Pub. Util. Comm’n of Tex.</w:t>
      </w:r>
      <w:r w:rsidR="00EA05C3">
        <w:rPr>
          <w:rFonts w:cs="Times New Roman"/>
          <w:i/>
        </w:rPr>
        <w:t xml:space="preserve"> et al.</w:t>
      </w:r>
      <w:r w:rsidRPr="003B43CD">
        <w:rPr>
          <w:rFonts w:cs="Times New Roman"/>
        </w:rPr>
        <w:t xml:space="preserve">, </w:t>
      </w:r>
      <w:r w:rsidR="00EA05C3">
        <w:rPr>
          <w:rFonts w:cs="Times New Roman"/>
        </w:rPr>
        <w:t xml:space="preserve">CCB Pols. 96-13, 96-14, 96-16, 96-19, </w:t>
      </w:r>
      <w:r w:rsidRPr="0084514D">
        <w:rPr>
          <w:rFonts w:cs="Times New Roman"/>
        </w:rPr>
        <w:t>Memorandum Opinion and Order</w:t>
      </w:r>
      <w:r w:rsidRPr="008C4370">
        <w:rPr>
          <w:rFonts w:cs="Times New Roman"/>
        </w:rPr>
        <w:t>, 13 FCC Rcd 3460</w:t>
      </w:r>
      <w:r w:rsidR="00FC7A4B">
        <w:rPr>
          <w:rFonts w:cs="Times New Roman"/>
        </w:rPr>
        <w:t>, 3549</w:t>
      </w:r>
      <w:r w:rsidR="0084514D">
        <w:rPr>
          <w:rFonts w:cs="Times New Roman"/>
        </w:rPr>
        <w:t>, para. 190 (1997).</w:t>
      </w:r>
    </w:p>
  </w:footnote>
  <w:footnote w:id="37">
    <w:p w14:paraId="22D0F973" w14:textId="6C228AB2" w:rsidR="00417E13" w:rsidRPr="00563844" w:rsidRDefault="00417E13">
      <w:pPr>
        <w:pStyle w:val="FootnoteText"/>
        <w:rPr>
          <w:rFonts w:cs="Times New Roman"/>
        </w:rPr>
      </w:pPr>
      <w:r w:rsidRPr="00563844">
        <w:rPr>
          <w:rStyle w:val="FootnoteReference"/>
          <w:rFonts w:cs="Times New Roman"/>
        </w:rPr>
        <w:footnoteRef/>
      </w:r>
      <w:r w:rsidRPr="00563844">
        <w:rPr>
          <w:rFonts w:cs="Times New Roman"/>
        </w:rPr>
        <w:t xml:space="preserve"> </w:t>
      </w:r>
      <w:r w:rsidRPr="00563844">
        <w:rPr>
          <w:rFonts w:cs="Times New Roman"/>
          <w:i/>
        </w:rPr>
        <w:t xml:space="preserve">Order </w:t>
      </w:r>
      <w:r w:rsidR="00487392">
        <w:rPr>
          <w:rFonts w:cs="Times New Roman"/>
        </w:rPr>
        <w:t>at para. 147</w:t>
      </w:r>
      <w:r w:rsidR="0084514D">
        <w:rPr>
          <w:rFonts w:cs="Times New Roman"/>
        </w:rPr>
        <w:t>.</w:t>
      </w:r>
    </w:p>
  </w:footnote>
  <w:footnote w:id="38">
    <w:p w14:paraId="73A8FC3F" w14:textId="77777777" w:rsidR="00417E13" w:rsidRPr="00D40AD9" w:rsidRDefault="00417E13" w:rsidP="00935212">
      <w:pPr>
        <w:pStyle w:val="FootnoteText"/>
        <w:rPr>
          <w:rFonts w:cs="Times New Roman"/>
        </w:rPr>
      </w:pPr>
      <w:r w:rsidRPr="00D40AD9">
        <w:rPr>
          <w:rStyle w:val="FootnoteReference"/>
          <w:rFonts w:cs="Times New Roman"/>
        </w:rPr>
        <w:footnoteRef/>
      </w:r>
      <w:r w:rsidRPr="00D40AD9">
        <w:rPr>
          <w:rFonts w:cs="Times New Roman"/>
        </w:rPr>
        <w:t xml:space="preserve"> </w:t>
      </w:r>
      <w:r w:rsidRPr="00D40AD9">
        <w:rPr>
          <w:rFonts w:cs="Times New Roman"/>
          <w:i/>
        </w:rPr>
        <w:t>Nixon</w:t>
      </w:r>
      <w:r w:rsidRPr="00D40AD9">
        <w:rPr>
          <w:rFonts w:cs="Times New Roman"/>
        </w:rPr>
        <w:t>, 541 U.S. at 140.</w:t>
      </w:r>
    </w:p>
  </w:footnote>
  <w:footnote w:id="39">
    <w:p w14:paraId="07C3CBEE" w14:textId="38479ECF" w:rsidR="00417E13" w:rsidRPr="0070556F" w:rsidRDefault="00417E13">
      <w:pPr>
        <w:pStyle w:val="FootnoteText"/>
        <w:rPr>
          <w:rFonts w:cs="Times New Roman"/>
        </w:rPr>
      </w:pPr>
      <w:r w:rsidRPr="0070556F">
        <w:rPr>
          <w:rStyle w:val="FootnoteReference"/>
          <w:rFonts w:cs="Times New Roman"/>
        </w:rPr>
        <w:footnoteRef/>
      </w:r>
      <w:r w:rsidRPr="0070556F">
        <w:rPr>
          <w:rFonts w:cs="Times New Roman"/>
        </w:rPr>
        <w:t xml:space="preserve"> </w:t>
      </w:r>
      <w:r w:rsidRPr="00D40AD9">
        <w:rPr>
          <w:rFonts w:cs="Times New Roman"/>
          <w:i/>
        </w:rPr>
        <w:t>Wisconsin Pub. Intervenor</w:t>
      </w:r>
      <w:r w:rsidRPr="00D40AD9">
        <w:rPr>
          <w:rFonts w:cs="Times New Roman"/>
        </w:rPr>
        <w:t xml:space="preserve">, 501 U.S. </w:t>
      </w:r>
      <w:r w:rsidR="00EC6A80">
        <w:rPr>
          <w:rFonts w:cs="Times New Roman"/>
        </w:rPr>
        <w:t>at</w:t>
      </w:r>
      <w:r w:rsidRPr="00D40AD9">
        <w:rPr>
          <w:rFonts w:cs="Times New Roman"/>
        </w:rPr>
        <w:t xml:space="preserve"> 607</w:t>
      </w:r>
      <w:r w:rsidR="0084514D">
        <w:rPr>
          <w:rFonts w:cs="Times New Roman"/>
        </w:rPr>
        <w:t>–</w:t>
      </w:r>
      <w:r w:rsidRPr="00D40AD9">
        <w:rPr>
          <w:rFonts w:cs="Times New Roman"/>
        </w:rPr>
        <w:t>08</w:t>
      </w:r>
      <w:r w:rsidR="00875577">
        <w:rPr>
          <w:rFonts w:cs="Times New Roman"/>
        </w:rPr>
        <w:t xml:space="preserve"> </w:t>
      </w:r>
      <w:r w:rsidRPr="00D40AD9">
        <w:rPr>
          <w:rFonts w:cs="Times New Roman"/>
        </w:rPr>
        <w:t xml:space="preserve">(citations omitted); </w:t>
      </w:r>
      <w:r w:rsidRPr="008C4370">
        <w:rPr>
          <w:rFonts w:cs="Times New Roman"/>
          <w:i/>
        </w:rPr>
        <w:t>Holt Civic Club</w:t>
      </w:r>
      <w:r w:rsidRPr="008C4370">
        <w:rPr>
          <w:rFonts w:cs="Times New Roman"/>
        </w:rPr>
        <w:t xml:space="preserve">, 439 U.S. </w:t>
      </w:r>
      <w:r w:rsidR="00EC6A80">
        <w:rPr>
          <w:rFonts w:cs="Times New Roman"/>
        </w:rPr>
        <w:t xml:space="preserve">at </w:t>
      </w:r>
      <w:r w:rsidRPr="008C4370">
        <w:rPr>
          <w:rFonts w:cs="Times New Roman"/>
        </w:rPr>
        <w:t xml:space="preserve">71 (quoting </w:t>
      </w:r>
      <w:r w:rsidRPr="008C4370">
        <w:rPr>
          <w:rFonts w:cs="Times New Roman"/>
          <w:i/>
        </w:rPr>
        <w:t>Hunter v. Pittsburgh</w:t>
      </w:r>
      <w:r w:rsidR="0084514D">
        <w:rPr>
          <w:rFonts w:cs="Times New Roman"/>
        </w:rPr>
        <w:t>, 207 U.S. 161, 178 (1907)).</w:t>
      </w:r>
    </w:p>
  </w:footnote>
  <w:footnote w:id="40">
    <w:p w14:paraId="74CC0CDE" w14:textId="5DFF341E" w:rsidR="00417E13" w:rsidRPr="00D40AD9" w:rsidRDefault="00417E13" w:rsidP="00935212">
      <w:pPr>
        <w:pStyle w:val="FootnoteText"/>
        <w:rPr>
          <w:rFonts w:cs="Times New Roman"/>
        </w:rPr>
      </w:pPr>
      <w:r w:rsidRPr="00D40AD9">
        <w:rPr>
          <w:rStyle w:val="FootnoteReference"/>
          <w:rFonts w:cs="Times New Roman"/>
        </w:rPr>
        <w:footnoteRef/>
      </w:r>
      <w:r w:rsidRPr="00D40AD9">
        <w:rPr>
          <w:rFonts w:cs="Times New Roman"/>
        </w:rPr>
        <w:t xml:space="preserve"> </w:t>
      </w:r>
      <w:r w:rsidRPr="008C4370">
        <w:rPr>
          <w:rFonts w:cs="Times New Roman"/>
        </w:rPr>
        <w:t xml:space="preserve">Telecommunications Act of </w:t>
      </w:r>
      <w:r w:rsidRPr="00D40AD9">
        <w:rPr>
          <w:rFonts w:cs="Times New Roman"/>
        </w:rPr>
        <w:t>1996, Pub. L. No. 104-104, § 601(c), 110 Stat. 56 (codified at 47 U.S.C. § 152).</w:t>
      </w:r>
    </w:p>
  </w:footnote>
  <w:footnote w:id="41">
    <w:p w14:paraId="2E5E9B15" w14:textId="56D7A6E3" w:rsidR="00417E13" w:rsidRPr="00DD6D13" w:rsidRDefault="00417E13">
      <w:pPr>
        <w:pStyle w:val="FootnoteText"/>
        <w:rPr>
          <w:rFonts w:cs="Times New Roman"/>
        </w:rPr>
      </w:pPr>
      <w:r w:rsidRPr="00DD6D13">
        <w:rPr>
          <w:rStyle w:val="FootnoteReference"/>
          <w:rFonts w:cs="Times New Roman"/>
        </w:rPr>
        <w:footnoteRef/>
      </w:r>
      <w:r>
        <w:rPr>
          <w:rFonts w:cs="Times New Roman"/>
          <w:i/>
        </w:rPr>
        <w:t xml:space="preserve"> </w:t>
      </w:r>
      <w:r w:rsidRPr="008C4370">
        <w:rPr>
          <w:rFonts w:cs="Times New Roman"/>
          <w:i/>
        </w:rPr>
        <w:t>Order</w:t>
      </w:r>
      <w:r>
        <w:rPr>
          <w:rFonts w:cs="Times New Roman"/>
        </w:rPr>
        <w:t xml:space="preserve"> at para. 15</w:t>
      </w:r>
      <w:r w:rsidR="007C3812">
        <w:rPr>
          <w:rFonts w:cs="Times New Roman"/>
        </w:rPr>
        <w:t>3</w:t>
      </w:r>
      <w:r w:rsidRPr="00D40AD9">
        <w:rPr>
          <w:rFonts w:cs="Times New Roman"/>
        </w:rPr>
        <w:t>.</w:t>
      </w:r>
    </w:p>
  </w:footnote>
  <w:footnote w:id="42">
    <w:p w14:paraId="4CA8C287" w14:textId="443C32DC" w:rsidR="00417E13" w:rsidRPr="0070556F" w:rsidRDefault="00417E13">
      <w:pPr>
        <w:pStyle w:val="FootnoteText"/>
        <w:rPr>
          <w:rFonts w:cs="Times New Roman"/>
        </w:rPr>
      </w:pPr>
      <w:r w:rsidRPr="0070556F">
        <w:rPr>
          <w:rStyle w:val="FootnoteReference"/>
          <w:rFonts w:cs="Times New Roman"/>
        </w:rPr>
        <w:footnoteRef/>
      </w:r>
      <w:r w:rsidRPr="0070556F">
        <w:rPr>
          <w:rFonts w:cs="Times New Roman"/>
        </w:rPr>
        <w:t xml:space="preserve"> </w:t>
      </w:r>
      <w:r w:rsidRPr="008C4370">
        <w:rPr>
          <w:rFonts w:cs="Times New Roman"/>
          <w:i/>
        </w:rPr>
        <w:t>Id.</w:t>
      </w:r>
    </w:p>
  </w:footnote>
  <w:footnote w:id="43">
    <w:p w14:paraId="160D1FB3" w14:textId="227F49DA" w:rsidR="00417E13" w:rsidRPr="0070556F" w:rsidRDefault="00417E13">
      <w:pPr>
        <w:pStyle w:val="FootnoteText"/>
        <w:rPr>
          <w:rFonts w:cs="Times New Roman"/>
        </w:rPr>
      </w:pPr>
      <w:r w:rsidRPr="0070556F">
        <w:rPr>
          <w:rStyle w:val="FootnoteReference"/>
          <w:rFonts w:cs="Times New Roman"/>
        </w:rPr>
        <w:footnoteRef/>
      </w:r>
      <w:r w:rsidRPr="0070556F">
        <w:rPr>
          <w:rFonts w:cs="Times New Roman"/>
        </w:rPr>
        <w:t xml:space="preserve"> </w:t>
      </w:r>
      <w:r w:rsidRPr="008C4370">
        <w:rPr>
          <w:rFonts w:cs="Times New Roman"/>
          <w:i/>
        </w:rPr>
        <w:t>Pinney v. Nokia, Inc.</w:t>
      </w:r>
      <w:r w:rsidRPr="00D40AD9">
        <w:rPr>
          <w:rFonts w:cs="Times New Roman"/>
        </w:rPr>
        <w:t xml:space="preserve">, 402 F.3d </w:t>
      </w:r>
      <w:r w:rsidR="00176298" w:rsidRPr="00D40AD9">
        <w:rPr>
          <w:rFonts w:cs="Times New Roman"/>
        </w:rPr>
        <w:t>4</w:t>
      </w:r>
      <w:r w:rsidR="00176298">
        <w:rPr>
          <w:rFonts w:cs="Times New Roman"/>
        </w:rPr>
        <w:t>3</w:t>
      </w:r>
      <w:r w:rsidR="00176298" w:rsidRPr="00D40AD9">
        <w:rPr>
          <w:rFonts w:cs="Times New Roman"/>
        </w:rPr>
        <w:t>0</w:t>
      </w:r>
      <w:r w:rsidRPr="00D40AD9">
        <w:rPr>
          <w:rFonts w:cs="Times New Roman"/>
        </w:rPr>
        <w:t>, 458 (4th Cir. 2005).</w:t>
      </w:r>
    </w:p>
  </w:footnote>
  <w:footnote w:id="44">
    <w:p w14:paraId="7366F8C1" w14:textId="7D3EA529" w:rsidR="00417E13" w:rsidRPr="0070556F" w:rsidRDefault="00417E13">
      <w:pPr>
        <w:pStyle w:val="FootnoteText"/>
        <w:rPr>
          <w:rFonts w:cs="Times New Roman"/>
        </w:rPr>
      </w:pPr>
      <w:r w:rsidRPr="0070556F">
        <w:rPr>
          <w:rStyle w:val="FootnoteReference"/>
          <w:rFonts w:cs="Times New Roman"/>
        </w:rPr>
        <w:footnoteRef/>
      </w:r>
      <w:r w:rsidRPr="0070556F">
        <w:rPr>
          <w:rFonts w:cs="Times New Roman"/>
        </w:rPr>
        <w:t xml:space="preserve"> </w:t>
      </w:r>
      <w:r w:rsidRPr="00D40AD9">
        <w:rPr>
          <w:rFonts w:cs="Times New Roman"/>
        </w:rPr>
        <w:t>Telecommunications Act of 1996 § 706(a) (codified at 47 U.S.C. § 1302(a)).</w:t>
      </w:r>
    </w:p>
  </w:footnote>
  <w:footnote w:id="45">
    <w:p w14:paraId="4850B621" w14:textId="1D63B3F7" w:rsidR="00417E13" w:rsidRPr="00C12E72" w:rsidRDefault="00417E13">
      <w:pPr>
        <w:pStyle w:val="FootnoteText"/>
        <w:rPr>
          <w:rFonts w:cs="Times New Roman"/>
        </w:rPr>
      </w:pPr>
      <w:r w:rsidRPr="00C12E72">
        <w:rPr>
          <w:rStyle w:val="FootnoteReference"/>
          <w:rFonts w:cs="Times New Roman"/>
        </w:rPr>
        <w:footnoteRef/>
      </w:r>
      <w:r w:rsidRPr="00C12E72">
        <w:rPr>
          <w:rFonts w:cs="Times New Roman"/>
        </w:rPr>
        <w:t xml:space="preserve"> </w:t>
      </w:r>
      <w:r w:rsidRPr="008C4370">
        <w:rPr>
          <w:rFonts w:cs="Times New Roman"/>
          <w:i/>
        </w:rPr>
        <w:t>Order</w:t>
      </w:r>
      <w:r w:rsidR="000142F5">
        <w:rPr>
          <w:rFonts w:cs="Times New Roman"/>
        </w:rPr>
        <w:t xml:space="preserve"> at para. 151</w:t>
      </w:r>
      <w:r w:rsidRPr="00D40AD9">
        <w:rPr>
          <w:rFonts w:cs="Times New Roman"/>
        </w:rPr>
        <w:t>.</w:t>
      </w:r>
    </w:p>
  </w:footnote>
  <w:footnote w:id="46">
    <w:p w14:paraId="3E5ADB5D" w14:textId="105269D4" w:rsidR="00671307" w:rsidRPr="00671307" w:rsidRDefault="00671307">
      <w:pPr>
        <w:pStyle w:val="FootnoteText"/>
      </w:pPr>
      <w:r>
        <w:rPr>
          <w:rStyle w:val="FootnoteReference"/>
        </w:rPr>
        <w:footnoteRef/>
      </w:r>
      <w:r>
        <w:t xml:space="preserve"> </w:t>
      </w:r>
      <w:r>
        <w:rPr>
          <w:i/>
        </w:rPr>
        <w:t>Cf.</w:t>
      </w:r>
      <w:r>
        <w:t xml:space="preserve"> </w:t>
      </w:r>
      <w:r>
        <w:rPr>
          <w:i/>
        </w:rPr>
        <w:t>Clark v. Martinez</w:t>
      </w:r>
      <w:r>
        <w:t>, 543 U.S. 371, 378 (2005) (“To give these same words a different meaning for each category would be to invent a statute rather than interpret one.”).</w:t>
      </w:r>
    </w:p>
  </w:footnote>
  <w:footnote w:id="47">
    <w:p w14:paraId="6D121F24" w14:textId="5F7E1FEB" w:rsidR="00417E13" w:rsidRPr="00C12E72" w:rsidRDefault="00417E13">
      <w:pPr>
        <w:pStyle w:val="FootnoteText"/>
        <w:rPr>
          <w:rFonts w:cs="Times New Roman"/>
        </w:rPr>
      </w:pPr>
      <w:r w:rsidRPr="00C12E72">
        <w:rPr>
          <w:rStyle w:val="FootnoteReference"/>
          <w:rFonts w:cs="Times New Roman"/>
        </w:rPr>
        <w:footnoteRef/>
      </w:r>
      <w:r w:rsidRPr="00C12E72">
        <w:rPr>
          <w:rFonts w:cs="Times New Roman"/>
        </w:rPr>
        <w:t xml:space="preserve"> </w:t>
      </w:r>
      <w:r w:rsidRPr="008C4370">
        <w:rPr>
          <w:rFonts w:cs="Times New Roman"/>
          <w:i/>
        </w:rPr>
        <w:t xml:space="preserve">Id. </w:t>
      </w:r>
      <w:r w:rsidRPr="00D40AD9">
        <w:rPr>
          <w:rFonts w:cs="Times New Roman"/>
        </w:rPr>
        <w:t xml:space="preserve">(citing </w:t>
      </w:r>
      <w:r w:rsidRPr="00D40AD9">
        <w:rPr>
          <w:rFonts w:cs="Times New Roman"/>
          <w:i/>
        </w:rPr>
        <w:t>Verizon v. FCC</w:t>
      </w:r>
      <w:r w:rsidRPr="00D40AD9">
        <w:rPr>
          <w:rFonts w:cs="Times New Roman"/>
        </w:rPr>
        <w:t>, 740 F.3d 623, 638 (D.C. Cir. 2014)).</w:t>
      </w:r>
    </w:p>
  </w:footnote>
  <w:footnote w:id="48">
    <w:p w14:paraId="68ACE3CC" w14:textId="6907C4DD" w:rsidR="00417E13" w:rsidRPr="009A5618" w:rsidRDefault="00417E13">
      <w:pPr>
        <w:pStyle w:val="FootnoteText"/>
        <w:rPr>
          <w:rFonts w:cs="Times New Roman"/>
        </w:rPr>
      </w:pPr>
      <w:r w:rsidRPr="009A5618">
        <w:rPr>
          <w:rStyle w:val="FootnoteReference"/>
          <w:rFonts w:cs="Times New Roman"/>
        </w:rPr>
        <w:footnoteRef/>
      </w:r>
      <w:r w:rsidRPr="009A5618">
        <w:rPr>
          <w:rFonts w:cs="Times New Roman"/>
        </w:rPr>
        <w:t xml:space="preserve"> </w:t>
      </w:r>
      <w:r w:rsidRPr="008C4370">
        <w:rPr>
          <w:rFonts w:cs="Times New Roman"/>
          <w:i/>
        </w:rPr>
        <w:t>Order</w:t>
      </w:r>
      <w:r w:rsidR="000142F5">
        <w:rPr>
          <w:rFonts w:cs="Times New Roman"/>
        </w:rPr>
        <w:t xml:space="preserve"> at para</w:t>
      </w:r>
      <w:r w:rsidR="0084514D">
        <w:rPr>
          <w:rFonts w:cs="Times New Roman"/>
        </w:rPr>
        <w:t xml:space="preserve">. </w:t>
      </w:r>
      <w:r w:rsidR="000142F5">
        <w:rPr>
          <w:rFonts w:cs="Times New Roman"/>
        </w:rPr>
        <w:t>137</w:t>
      </w:r>
      <w:r w:rsidR="0084514D">
        <w:rPr>
          <w:rFonts w:cs="Times New Roman"/>
        </w:rPr>
        <w:t>.</w:t>
      </w:r>
    </w:p>
  </w:footnote>
  <w:footnote w:id="49">
    <w:p w14:paraId="7C08C603" w14:textId="33BBBFF6" w:rsidR="00CA0AF5" w:rsidRDefault="00CA0AF5">
      <w:pPr>
        <w:pStyle w:val="FootnoteText"/>
      </w:pPr>
      <w:r>
        <w:rPr>
          <w:rStyle w:val="FootnoteReference"/>
        </w:rPr>
        <w:footnoteRef/>
      </w:r>
      <w:r>
        <w:t xml:space="preserve"> Relying on a statement contained in a </w:t>
      </w:r>
      <w:r w:rsidRPr="00BB789E">
        <w:rPr>
          <w:i/>
        </w:rPr>
        <w:t xml:space="preserve">dissenting </w:t>
      </w:r>
      <w:r>
        <w:t>opinion by a U.S. Supreme Court Justice,</w:t>
      </w:r>
      <w:r w:rsidRPr="00CA0AF5">
        <w:t xml:space="preserve"> the </w:t>
      </w:r>
      <w:r w:rsidRPr="00BB789E">
        <w:rPr>
          <w:i/>
        </w:rPr>
        <w:t xml:space="preserve">Order </w:t>
      </w:r>
      <w:r w:rsidRPr="00CA0AF5">
        <w:t xml:space="preserve">speculates that “Commission actions adopted pursuant to a negative section 706(b) determination would not simply be swept away </w:t>
      </w:r>
      <w:r>
        <w:t>by a future positive section 706(b) finding.</w:t>
      </w:r>
      <w:r w:rsidRPr="00CA0AF5">
        <w:t xml:space="preserve">” </w:t>
      </w:r>
      <w:r w:rsidRPr="00BB789E">
        <w:rPr>
          <w:i/>
        </w:rPr>
        <w:t>Order</w:t>
      </w:r>
      <w:r w:rsidRPr="00CA0AF5">
        <w:t xml:space="preserve"> at note </w:t>
      </w:r>
      <w:r>
        <w:t>374.  B</w:t>
      </w:r>
      <w:r w:rsidRPr="00CA0AF5">
        <w:t xml:space="preserve">ut what authority would the Commission have to </w:t>
      </w:r>
      <w:r>
        <w:t xml:space="preserve">maintain </w:t>
      </w:r>
      <w:r w:rsidR="00F3190C">
        <w:t>the</w:t>
      </w:r>
      <w:r>
        <w:t xml:space="preserve"> preemption of state law under section 706(b) without section 706(b) authority? </w:t>
      </w:r>
      <w:r w:rsidRPr="00CA0AF5">
        <w:t xml:space="preserve"> </w:t>
      </w:r>
      <w:r>
        <w:t>Indeed, i</w:t>
      </w:r>
      <w:r w:rsidRPr="00CA0AF5">
        <w:t xml:space="preserve">f Congress gave the Federal Emergency Management Agency (FEMA) authority to </w:t>
      </w:r>
      <w:r>
        <w:t xml:space="preserve">preempt state law during a </w:t>
      </w:r>
      <w:r w:rsidR="006852A5">
        <w:t>hurricane</w:t>
      </w:r>
      <w:r>
        <w:t xml:space="preserve">, would anyone think that FEMA could continue to preempt that state law once </w:t>
      </w:r>
      <w:r w:rsidR="006852A5">
        <w:t>the storm had passed, sunny skies had returned, and recovery efforts were over</w:t>
      </w:r>
      <w:r>
        <w:t xml:space="preserve">?  </w:t>
      </w:r>
      <w:r w:rsidRPr="00CA0AF5">
        <w:t xml:space="preserve"> Of course not.  So too here.  But more to the point, even asking this question is sure to trap the agency in the labyrinth of section 706(b)’s on-off authority; the only way to escape is not to enter in the first place.</w:t>
      </w:r>
      <w:r>
        <w:t xml:space="preserve">  </w:t>
      </w:r>
      <w:r w:rsidR="00F3190C">
        <w:t xml:space="preserve">Here, that means </w:t>
      </w:r>
      <w:r>
        <w:t xml:space="preserve">not interpreting section 706 to provide the Commission with the authority to preempt state law.  </w:t>
      </w:r>
    </w:p>
  </w:footnote>
  <w:footnote w:id="50">
    <w:p w14:paraId="01A4F7E0" w14:textId="77777777" w:rsidR="00417E13" w:rsidRPr="00074704" w:rsidRDefault="00417E13" w:rsidP="00094B40">
      <w:pPr>
        <w:pStyle w:val="FootnoteText"/>
        <w:rPr>
          <w:rFonts w:cs="Times New Roman"/>
        </w:rPr>
      </w:pPr>
      <w:r w:rsidRPr="00074704">
        <w:rPr>
          <w:rStyle w:val="FootnoteReference"/>
          <w:rFonts w:cs="Times New Roman"/>
        </w:rPr>
        <w:footnoteRef/>
      </w:r>
      <w:r w:rsidRPr="00074704">
        <w:rPr>
          <w:rFonts w:cs="Times New Roman"/>
        </w:rPr>
        <w:t xml:space="preserve"> </w:t>
      </w:r>
      <w:r w:rsidRPr="00074704">
        <w:rPr>
          <w:rFonts w:cs="Times New Roman"/>
          <w:i/>
        </w:rPr>
        <w:t>See</w:t>
      </w:r>
      <w:r w:rsidRPr="00074704">
        <w:rPr>
          <w:rFonts w:cs="Times New Roman"/>
        </w:rPr>
        <w:t xml:space="preserve"> S. 652 § 304(b) (104</w:t>
      </w:r>
      <w:r w:rsidRPr="00074704">
        <w:rPr>
          <w:rFonts w:cs="Times New Roman"/>
          <w:vertAlign w:val="superscript"/>
        </w:rPr>
        <w:t>th</w:t>
      </w:r>
      <w:r w:rsidRPr="00074704">
        <w:rPr>
          <w:rFonts w:cs="Times New Roman"/>
        </w:rPr>
        <w:t xml:space="preserve"> Cong. 1995) (contained in “Title III—An End to Regulation”).</w:t>
      </w:r>
    </w:p>
  </w:footnote>
  <w:footnote w:id="51">
    <w:p w14:paraId="2841B557" w14:textId="0B9ABA11" w:rsidR="00AC5FCB" w:rsidRDefault="00AC5FCB">
      <w:pPr>
        <w:pStyle w:val="FootnoteText"/>
      </w:pPr>
      <w:r>
        <w:rPr>
          <w:rStyle w:val="FootnoteReference"/>
        </w:rPr>
        <w:footnoteRef/>
      </w:r>
      <w:r>
        <w:t xml:space="preserve"> </w:t>
      </w:r>
      <w:r w:rsidRPr="00BB789E">
        <w:rPr>
          <w:i/>
        </w:rPr>
        <w:t>Gulf Oil Corp. v. Copp Paving Co., Inc.</w:t>
      </w:r>
      <w:r w:rsidRPr="00AC5FCB">
        <w:t>, 419 U.S. 186, 200 (1974</w:t>
      </w:r>
      <w:r>
        <w:t xml:space="preserve">).  </w:t>
      </w:r>
      <w:r w:rsidRPr="00BB789E">
        <w:rPr>
          <w:i/>
        </w:rPr>
        <w:t>See</w:t>
      </w:r>
      <w:r>
        <w:t xml:space="preserve"> </w:t>
      </w:r>
      <w:r w:rsidR="00F05DAD" w:rsidRPr="00BB789E">
        <w:rPr>
          <w:i/>
        </w:rPr>
        <w:t>INS v. Cardoza-Fonseca</w:t>
      </w:r>
      <w:r w:rsidR="00F05DAD" w:rsidRPr="00F05DAD">
        <w:t>, 480 U.S. 421, 442 (1987</w:t>
      </w:r>
      <w:r w:rsidR="00F05DAD">
        <w:t>) (</w:t>
      </w:r>
      <w:r w:rsidR="00F05DAD" w:rsidRPr="00F05DAD">
        <w:t xml:space="preserve">“‘Few principles of statutory construction are more compelling than the proposition that Congress does not intend </w:t>
      </w:r>
      <w:r w:rsidR="00F05DAD" w:rsidRPr="00BB789E">
        <w:rPr>
          <w:i/>
        </w:rPr>
        <w:t xml:space="preserve">sub silentio </w:t>
      </w:r>
      <w:r w:rsidR="00F05DAD" w:rsidRPr="00F05DAD">
        <w:t>to enact statutory language that it has earlier discarded in favor of other language.’”</w:t>
      </w:r>
      <w:r w:rsidR="00F05DAD">
        <w:t>) (</w:t>
      </w:r>
      <w:r w:rsidR="00F05DAD" w:rsidRPr="00F05DAD">
        <w:t xml:space="preserve">quoting </w:t>
      </w:r>
      <w:r w:rsidR="00F05DAD" w:rsidRPr="00BB789E">
        <w:rPr>
          <w:i/>
        </w:rPr>
        <w:t>Nachman Corp. v. Pension Benefit Guaranty Corp.</w:t>
      </w:r>
      <w:r w:rsidR="00F05DAD" w:rsidRPr="00F05DAD">
        <w:t>, 446 U.S. 359, 392-93 (1980) (Stewart, J., dissenting))</w:t>
      </w:r>
      <w:r w:rsidR="00F05DAD">
        <w:t xml:space="preserve">; </w:t>
      </w:r>
      <w:r w:rsidRPr="00BB789E">
        <w:rPr>
          <w:i/>
        </w:rPr>
        <w:t>International Broth. of Elec. Workers v. NLRB</w:t>
      </w:r>
      <w:r w:rsidRPr="00AC5FCB">
        <w:t xml:space="preserve">, 814 F.2d 697, 711 (D.C. Cir. 1987) </w:t>
      </w:r>
      <w:r>
        <w:t>(“</w:t>
      </w:r>
      <w:r w:rsidRPr="00AC5FCB">
        <w:t xml:space="preserve">Congress, however, decided against the modification of section 9 proposed by Senator Taft. </w:t>
      </w:r>
      <w:r w:rsidR="00F3190C">
        <w:t xml:space="preserve"> </w:t>
      </w:r>
      <w:r w:rsidRPr="00AC5FCB">
        <w:t>This fact alone, we believe, ‘strongly militates against a judgment that Congress intended a result that it expressly declined to enact.’”</w:t>
      </w:r>
      <w:r>
        <w:t xml:space="preserve">) </w:t>
      </w:r>
      <w:r w:rsidRPr="00AC5FCB">
        <w:t xml:space="preserve">(quoting </w:t>
      </w:r>
      <w:r w:rsidRPr="00BB789E">
        <w:rPr>
          <w:i/>
        </w:rPr>
        <w:t>Gulf Oil Corp.</w:t>
      </w:r>
      <w:r w:rsidRPr="00AC5FCB">
        <w:t>, 419 U.S. at 200).</w:t>
      </w:r>
      <w:r>
        <w:t xml:space="preserve">  </w:t>
      </w:r>
    </w:p>
  </w:footnote>
  <w:footnote w:id="52">
    <w:p w14:paraId="11E6905B" w14:textId="0245060B" w:rsidR="00F05DAD" w:rsidRDefault="00F05DAD">
      <w:pPr>
        <w:pStyle w:val="FootnoteText"/>
      </w:pPr>
      <w:r>
        <w:rPr>
          <w:rStyle w:val="FootnoteReference"/>
        </w:rPr>
        <w:footnoteRef/>
      </w:r>
      <w:r>
        <w:t xml:space="preserve"> </w:t>
      </w:r>
      <w:r w:rsidRPr="00BB789E">
        <w:rPr>
          <w:i/>
        </w:rPr>
        <w:t>Order</w:t>
      </w:r>
      <w:r>
        <w:t xml:space="preserve"> at para. 152.  </w:t>
      </w:r>
    </w:p>
  </w:footnote>
  <w:footnote w:id="53">
    <w:p w14:paraId="5D1A7A13" w14:textId="77777777" w:rsidR="00480687" w:rsidRPr="00480687" w:rsidRDefault="00480687" w:rsidP="00480687">
      <w:pPr>
        <w:pStyle w:val="FootnoteText"/>
        <w:rPr>
          <w:rFonts w:cs="Times New Roman"/>
        </w:rPr>
      </w:pPr>
      <w:r w:rsidRPr="00480687">
        <w:rPr>
          <w:rStyle w:val="FootnoteReference"/>
          <w:rFonts w:cs="Times New Roman"/>
        </w:rPr>
        <w:footnoteRef/>
      </w:r>
      <w:r w:rsidRPr="00480687">
        <w:rPr>
          <w:rFonts w:cs="Times New Roman"/>
        </w:rPr>
        <w:t xml:space="preserve"> Communications Act of 1934, as amended, § 227(b)(2).</w:t>
      </w:r>
    </w:p>
  </w:footnote>
  <w:footnote w:id="54">
    <w:p w14:paraId="5BCA02A4" w14:textId="77777777" w:rsidR="00480687" w:rsidRPr="00480687" w:rsidRDefault="00480687" w:rsidP="00480687">
      <w:pPr>
        <w:pStyle w:val="FootnoteText"/>
        <w:rPr>
          <w:rFonts w:cs="Times New Roman"/>
        </w:rPr>
      </w:pPr>
      <w:r w:rsidRPr="00480687">
        <w:rPr>
          <w:rStyle w:val="FootnoteReference"/>
          <w:rFonts w:cs="Times New Roman"/>
        </w:rPr>
        <w:footnoteRef/>
      </w:r>
      <w:r w:rsidRPr="00480687">
        <w:rPr>
          <w:rFonts w:cs="Times New Roman"/>
        </w:rPr>
        <w:t xml:space="preserve"> Communications Act of 1934, as amended, § 251(d)(1).</w:t>
      </w:r>
    </w:p>
  </w:footnote>
  <w:footnote w:id="55">
    <w:p w14:paraId="6FD44250" w14:textId="77777777" w:rsidR="00480687" w:rsidRPr="00480687" w:rsidRDefault="00480687" w:rsidP="00480687">
      <w:pPr>
        <w:pStyle w:val="FootnoteText"/>
        <w:rPr>
          <w:rFonts w:cs="Times New Roman"/>
        </w:rPr>
      </w:pPr>
      <w:r w:rsidRPr="00480687">
        <w:rPr>
          <w:rStyle w:val="FootnoteReference"/>
          <w:rFonts w:cs="Times New Roman"/>
        </w:rPr>
        <w:footnoteRef/>
      </w:r>
      <w:r w:rsidRPr="00480687">
        <w:rPr>
          <w:rFonts w:cs="Times New Roman"/>
        </w:rPr>
        <w:t xml:space="preserve"> Communications Act of 1934, as amended, § 201(b) (“The Commissioner [</w:t>
      </w:r>
      <w:r w:rsidRPr="00480687">
        <w:rPr>
          <w:rFonts w:cs="Times New Roman"/>
          <w:i/>
        </w:rPr>
        <w:t>sic</w:t>
      </w:r>
      <w:r w:rsidRPr="00480687">
        <w:rPr>
          <w:rFonts w:cs="Times New Roman"/>
        </w:rPr>
        <w:t xml:space="preserve">] may prescribe such rules and regulations as may be necessary in the public interest to carry out the provisions of this Act.”); </w:t>
      </w:r>
      <w:r w:rsidRPr="00480687">
        <w:rPr>
          <w:rFonts w:cs="Times New Roman"/>
          <w:i/>
        </w:rPr>
        <w:t>see also</w:t>
      </w:r>
      <w:r w:rsidRPr="00480687">
        <w:rPr>
          <w:rFonts w:cs="Times New Roman"/>
        </w:rPr>
        <w:t xml:space="preserve"> Communications Act of 1934, as amended, § 303(r) (“Except as otherwise provided in this Act, the Commission from time to time, as public convenience, interest, or necessity requires shall— . . . [m]ake such rules and regulations and prescribe such restrictions, not inconsistent with law, as may be necessary to carry out the provisions of this Act . . . .”).</w:t>
      </w:r>
    </w:p>
  </w:footnote>
  <w:footnote w:id="56">
    <w:p w14:paraId="3D00F71E" w14:textId="77777777" w:rsidR="00480687" w:rsidRPr="00480687" w:rsidRDefault="00480687" w:rsidP="00480687">
      <w:pPr>
        <w:pStyle w:val="FootnoteText"/>
        <w:rPr>
          <w:rFonts w:cs="Times New Roman"/>
        </w:rPr>
      </w:pPr>
      <w:r w:rsidRPr="00480687">
        <w:rPr>
          <w:rStyle w:val="FootnoteReference"/>
          <w:rFonts w:cs="Times New Roman"/>
        </w:rPr>
        <w:footnoteRef/>
      </w:r>
      <w:r w:rsidRPr="00480687">
        <w:rPr>
          <w:rFonts w:cs="Times New Roman"/>
        </w:rPr>
        <w:t xml:space="preserve"> Communications Act of 1934, as amended, § 205(a).</w:t>
      </w:r>
    </w:p>
  </w:footnote>
  <w:footnote w:id="57">
    <w:p w14:paraId="6914FDB5" w14:textId="77777777" w:rsidR="00480687" w:rsidRPr="00480687" w:rsidRDefault="00480687" w:rsidP="00480687">
      <w:pPr>
        <w:pStyle w:val="FootnoteText"/>
        <w:rPr>
          <w:rFonts w:cs="Times New Roman"/>
        </w:rPr>
      </w:pPr>
      <w:r w:rsidRPr="00480687">
        <w:rPr>
          <w:rStyle w:val="FootnoteReference"/>
          <w:rFonts w:cs="Times New Roman"/>
        </w:rPr>
        <w:footnoteRef/>
      </w:r>
      <w:r w:rsidRPr="00480687">
        <w:rPr>
          <w:rFonts w:cs="Times New Roman"/>
        </w:rPr>
        <w:t xml:space="preserve"> Communications Act of 1934, as amended, § 205(a).</w:t>
      </w:r>
    </w:p>
  </w:footnote>
  <w:footnote w:id="58">
    <w:p w14:paraId="6555F15A" w14:textId="77777777" w:rsidR="00480687" w:rsidRPr="00480687" w:rsidRDefault="00480687" w:rsidP="00480687">
      <w:pPr>
        <w:pStyle w:val="FootnoteText"/>
        <w:rPr>
          <w:rFonts w:cs="Times New Roman"/>
        </w:rPr>
      </w:pPr>
      <w:r w:rsidRPr="00480687">
        <w:rPr>
          <w:rStyle w:val="FootnoteReference"/>
          <w:rFonts w:cs="Times New Roman"/>
        </w:rPr>
        <w:footnoteRef/>
      </w:r>
      <w:r w:rsidRPr="00480687">
        <w:rPr>
          <w:rFonts w:cs="Times New Roman"/>
        </w:rPr>
        <w:t xml:space="preserve"> Communications Act of 1934, as amended, § 213(b).</w:t>
      </w:r>
    </w:p>
  </w:footnote>
  <w:footnote w:id="59">
    <w:p w14:paraId="2D18F96A" w14:textId="77777777" w:rsidR="00480687" w:rsidRPr="00480687" w:rsidRDefault="00480687" w:rsidP="00480687">
      <w:pPr>
        <w:pStyle w:val="FootnoteText"/>
        <w:rPr>
          <w:rFonts w:cs="Times New Roman"/>
        </w:rPr>
      </w:pPr>
      <w:r w:rsidRPr="00480687">
        <w:rPr>
          <w:rStyle w:val="FootnoteReference"/>
          <w:rFonts w:cs="Times New Roman"/>
        </w:rPr>
        <w:footnoteRef/>
      </w:r>
      <w:r w:rsidRPr="00480687">
        <w:rPr>
          <w:rFonts w:cs="Times New Roman"/>
        </w:rPr>
        <w:t xml:space="preserve"> Communications Act of 1934, as amended, § 409(e).</w:t>
      </w:r>
    </w:p>
  </w:footnote>
  <w:footnote w:id="60">
    <w:p w14:paraId="32252AAE" w14:textId="77777777" w:rsidR="00480687" w:rsidRPr="00480687" w:rsidRDefault="00480687" w:rsidP="00480687">
      <w:pPr>
        <w:pStyle w:val="FootnoteText"/>
        <w:rPr>
          <w:rFonts w:cs="Times New Roman"/>
        </w:rPr>
      </w:pPr>
      <w:r w:rsidRPr="00480687">
        <w:rPr>
          <w:rStyle w:val="FootnoteReference"/>
          <w:rFonts w:cs="Times New Roman"/>
        </w:rPr>
        <w:footnoteRef/>
      </w:r>
      <w:r w:rsidRPr="00480687">
        <w:rPr>
          <w:rFonts w:cs="Times New Roman"/>
        </w:rPr>
        <w:t xml:space="preserve"> Communications Act of 1934, as amended, § 503(b)(1).</w:t>
      </w:r>
    </w:p>
  </w:footnote>
  <w:footnote w:id="61">
    <w:p w14:paraId="56E32083" w14:textId="77777777" w:rsidR="00480687" w:rsidRPr="00480687" w:rsidRDefault="00480687" w:rsidP="00480687">
      <w:pPr>
        <w:pStyle w:val="FootnoteText"/>
        <w:rPr>
          <w:rFonts w:cs="Times New Roman"/>
        </w:rPr>
      </w:pPr>
      <w:r w:rsidRPr="00480687">
        <w:rPr>
          <w:rStyle w:val="FootnoteReference"/>
          <w:rFonts w:cs="Times New Roman"/>
        </w:rPr>
        <w:footnoteRef/>
      </w:r>
      <w:r w:rsidRPr="00480687">
        <w:rPr>
          <w:rFonts w:cs="Times New Roman"/>
        </w:rPr>
        <w:t xml:space="preserve"> Communications Act of 1934, as amended, § 503(b)(2)(E).</w:t>
      </w:r>
    </w:p>
  </w:footnote>
  <w:footnote w:id="62">
    <w:p w14:paraId="6263307B" w14:textId="77777777" w:rsidR="00480687" w:rsidRDefault="00480687" w:rsidP="00480687">
      <w:pPr>
        <w:pStyle w:val="FootnoteText"/>
      </w:pPr>
      <w:r w:rsidRPr="00480687">
        <w:rPr>
          <w:rStyle w:val="FootnoteReference"/>
          <w:rFonts w:cs="Times New Roman"/>
        </w:rPr>
        <w:footnoteRef/>
      </w:r>
      <w:r w:rsidRPr="00480687">
        <w:rPr>
          <w:rFonts w:cs="Times New Roman"/>
        </w:rPr>
        <w:t xml:space="preserve"> Communications Act of 1934, as amended, § 209.</w:t>
      </w:r>
    </w:p>
  </w:footnote>
  <w:footnote w:id="63">
    <w:p w14:paraId="1247D84C" w14:textId="0B932624" w:rsidR="00480687" w:rsidRPr="00480687" w:rsidRDefault="00480687" w:rsidP="00F1418F">
      <w:pPr>
        <w:pStyle w:val="FootnoteText"/>
        <w:rPr>
          <w:rFonts w:cs="Times New Roman"/>
        </w:rPr>
      </w:pPr>
      <w:r w:rsidRPr="00480687">
        <w:rPr>
          <w:rStyle w:val="FootnoteReference"/>
          <w:rFonts w:cs="Times New Roman"/>
        </w:rPr>
        <w:footnoteRef/>
      </w:r>
      <w:r w:rsidRPr="00480687">
        <w:rPr>
          <w:rFonts w:cs="Times New Roman"/>
        </w:rPr>
        <w:t xml:space="preserve"> </w:t>
      </w:r>
      <w:r w:rsidR="00F1418F" w:rsidRPr="00F1418F">
        <w:rPr>
          <w:rFonts w:cs="Times New Roman"/>
          <w:i/>
        </w:rPr>
        <w:t>Policy and Rules Concerning Rates for Dominant Carriers</w:t>
      </w:r>
      <w:r w:rsidR="00F1418F" w:rsidRPr="00F1418F">
        <w:rPr>
          <w:rFonts w:cs="Times New Roman"/>
        </w:rPr>
        <w:t>, CC Docket</w:t>
      </w:r>
      <w:r w:rsidR="00F1418F">
        <w:rPr>
          <w:rFonts w:cs="Times New Roman"/>
        </w:rPr>
        <w:t xml:space="preserve"> </w:t>
      </w:r>
      <w:r w:rsidR="00F1418F" w:rsidRPr="00F1418F">
        <w:rPr>
          <w:rFonts w:cs="Times New Roman"/>
        </w:rPr>
        <w:t>No. 87-313, Second Re</w:t>
      </w:r>
      <w:r w:rsidR="00F1418F">
        <w:rPr>
          <w:rFonts w:cs="Times New Roman"/>
        </w:rPr>
        <w:t xml:space="preserve">port and Order, 5 FCC Rcd 6786 </w:t>
      </w:r>
      <w:r w:rsidR="00F1418F" w:rsidRPr="00F1418F">
        <w:rPr>
          <w:rFonts w:cs="Times New Roman"/>
        </w:rPr>
        <w:t>(1990)</w:t>
      </w:r>
      <w:r w:rsidR="00F1418F">
        <w:rPr>
          <w:rFonts w:cs="Times New Roman"/>
        </w:rPr>
        <w:t>.</w:t>
      </w:r>
    </w:p>
  </w:footnote>
  <w:footnote w:id="64">
    <w:p w14:paraId="69418784" w14:textId="77777777" w:rsidR="00480687" w:rsidRPr="00480687" w:rsidRDefault="00480687" w:rsidP="00480687">
      <w:pPr>
        <w:pStyle w:val="FootnoteText"/>
        <w:rPr>
          <w:rFonts w:cs="Times New Roman"/>
        </w:rPr>
      </w:pPr>
      <w:r w:rsidRPr="00480687">
        <w:rPr>
          <w:rStyle w:val="FootnoteReference"/>
          <w:rFonts w:cs="Times New Roman"/>
        </w:rPr>
        <w:footnoteRef/>
      </w:r>
      <w:r w:rsidRPr="00480687">
        <w:rPr>
          <w:rFonts w:cs="Times New Roman"/>
        </w:rPr>
        <w:t xml:space="preserve"> Communications Act of 1934, as amended, § 10 (“[T]he Commission shall forbear from applying any regulation or any provision of this Act to a telecommunications carrier or telecommunications service, or class of telecommunications carriers or telecommunications services . . . .”).</w:t>
      </w:r>
    </w:p>
  </w:footnote>
  <w:footnote w:id="65">
    <w:p w14:paraId="11F8BDBB" w14:textId="77777777" w:rsidR="00480687" w:rsidRPr="00480687" w:rsidRDefault="00480687" w:rsidP="00480687">
      <w:pPr>
        <w:pStyle w:val="FootnoteText"/>
        <w:rPr>
          <w:rFonts w:cs="Times New Roman"/>
        </w:rPr>
      </w:pPr>
      <w:r w:rsidRPr="00480687">
        <w:rPr>
          <w:rStyle w:val="FootnoteReference"/>
          <w:rFonts w:cs="Times New Roman"/>
        </w:rPr>
        <w:footnoteRef/>
      </w:r>
      <w:r w:rsidRPr="00480687">
        <w:rPr>
          <w:rFonts w:cs="Times New Roman"/>
        </w:rPr>
        <w:t xml:space="preserve"> Communications Act of 1934, as amended, § 253.</w:t>
      </w:r>
    </w:p>
  </w:footnote>
  <w:footnote w:id="66">
    <w:p w14:paraId="0E935C32" w14:textId="77777777" w:rsidR="00480687" w:rsidRPr="00480687" w:rsidRDefault="00480687" w:rsidP="00480687">
      <w:pPr>
        <w:pStyle w:val="FootnoteText"/>
        <w:rPr>
          <w:rFonts w:cs="Times New Roman"/>
        </w:rPr>
      </w:pPr>
      <w:r w:rsidRPr="00480687">
        <w:rPr>
          <w:rStyle w:val="FootnoteReference"/>
          <w:rFonts w:cs="Times New Roman"/>
        </w:rPr>
        <w:footnoteRef/>
      </w:r>
      <w:r w:rsidRPr="00480687">
        <w:rPr>
          <w:rFonts w:cs="Times New Roman"/>
        </w:rPr>
        <w:t xml:space="preserve"> Communications Act of 1934, as amended, § 257.</w:t>
      </w:r>
    </w:p>
  </w:footnote>
  <w:footnote w:id="67">
    <w:p w14:paraId="4644928D" w14:textId="77777777" w:rsidR="00480687" w:rsidRPr="00480687" w:rsidRDefault="00480687" w:rsidP="00480687">
      <w:pPr>
        <w:pStyle w:val="FootnoteText"/>
        <w:rPr>
          <w:rFonts w:cs="Times New Roman"/>
        </w:rPr>
      </w:pPr>
      <w:r w:rsidRPr="00480687">
        <w:rPr>
          <w:rStyle w:val="FootnoteReference"/>
          <w:rFonts w:cs="Times New Roman"/>
        </w:rPr>
        <w:footnoteRef/>
      </w:r>
      <w:r w:rsidRPr="00480687">
        <w:rPr>
          <w:rFonts w:cs="Times New Roman"/>
        </w:rPr>
        <w:t xml:space="preserve"> Communications Act of 1934, as amended, Title II, Part II, §§ 251–60.</w:t>
      </w:r>
    </w:p>
  </w:footnote>
  <w:footnote w:id="68">
    <w:p w14:paraId="4FB70164" w14:textId="77777777" w:rsidR="00480687" w:rsidRPr="00480687" w:rsidRDefault="00480687" w:rsidP="00480687">
      <w:pPr>
        <w:pStyle w:val="FootnoteText"/>
        <w:rPr>
          <w:rFonts w:cs="Times New Roman"/>
        </w:rPr>
      </w:pPr>
      <w:r w:rsidRPr="00480687">
        <w:rPr>
          <w:rStyle w:val="FootnoteReference"/>
          <w:rFonts w:cs="Times New Roman"/>
        </w:rPr>
        <w:footnoteRef/>
      </w:r>
      <w:r w:rsidRPr="00480687">
        <w:rPr>
          <w:rFonts w:cs="Times New Roman"/>
        </w:rPr>
        <w:t xml:space="preserve"> </w:t>
      </w:r>
      <w:r w:rsidRPr="00480687">
        <w:rPr>
          <w:rFonts w:cs="Times New Roman"/>
          <w:i/>
        </w:rPr>
        <w:t>Verizon v. FCC</w:t>
      </w:r>
      <w:r w:rsidRPr="00480687">
        <w:rPr>
          <w:rFonts w:cs="Times New Roman"/>
        </w:rPr>
        <w:t xml:space="preserve">, 740 F.3d 623, 638 (D.C. Cir. 2014) (quoting </w:t>
      </w:r>
      <w:r w:rsidRPr="00480687">
        <w:rPr>
          <w:rFonts w:cs="Times New Roman"/>
          <w:i/>
        </w:rPr>
        <w:t>Open Internet Order</w:t>
      </w:r>
      <w:r w:rsidRPr="00480687">
        <w:rPr>
          <w:rFonts w:cs="Times New Roman"/>
        </w:rPr>
        <w:t>, 25 FCC Rcd at 17969 ¶ 120).</w:t>
      </w:r>
    </w:p>
  </w:footnote>
  <w:footnote w:id="69">
    <w:p w14:paraId="3ABD2ED2" w14:textId="77777777" w:rsidR="00480687" w:rsidRPr="00480687" w:rsidRDefault="00480687" w:rsidP="00480687">
      <w:pPr>
        <w:pStyle w:val="FootnoteText"/>
        <w:rPr>
          <w:rFonts w:cs="Times New Roman"/>
        </w:rPr>
      </w:pPr>
      <w:r w:rsidRPr="00480687">
        <w:rPr>
          <w:rStyle w:val="FootnoteReference"/>
          <w:rFonts w:cs="Times New Roman"/>
        </w:rPr>
        <w:footnoteRef/>
      </w:r>
      <w:r w:rsidRPr="00480687">
        <w:rPr>
          <w:rFonts w:cs="Times New Roman"/>
        </w:rPr>
        <w:t xml:space="preserve"> Telecommunications Act of 1996, as amended, § 1(b) (“[W]henever in this Act an amendment or repeal is expressed in terms of an amendment to, or repeal of, a section or other provision, the reference shall be considered to be made to a section or other provision of the Communications Act of 1934 (47 U.S.C. 151 et seq.).”); </w:t>
      </w:r>
      <w:r w:rsidRPr="00480687">
        <w:rPr>
          <w:rFonts w:cs="Times New Roman"/>
          <w:i/>
        </w:rPr>
        <w:t>see also</w:t>
      </w:r>
      <w:r w:rsidRPr="00480687">
        <w:rPr>
          <w:rFonts w:cs="Times New Roman"/>
        </w:rPr>
        <w:t xml:space="preserve"> Telecommunications Act of 1996, as amended, § 101 (“Establishment of Part II of Title II. (a) Amendment.—Title II is amended by inserting after section 229 (47 U.S.C. 229) the following new part: . . . .”).  Notably, all of the provisions at issue in </w:t>
      </w:r>
      <w:r w:rsidRPr="00480687">
        <w:rPr>
          <w:rFonts w:cs="Times New Roman"/>
          <w:i/>
        </w:rPr>
        <w:t>AT&amp;T v. Iowa Utils. Bd.</w:t>
      </w:r>
      <w:r w:rsidRPr="00480687">
        <w:rPr>
          <w:rFonts w:cs="Times New Roman"/>
        </w:rPr>
        <w:t xml:space="preserve"> were in fact inserted into the Communications Act, and thus the Court could plausibly claim that “Congress expressly directed that the 1996 Act . . . be inserted into the Communications Act.”  525 U.S. 366, 377 (1999).</w:t>
      </w:r>
    </w:p>
  </w:footnote>
  <w:footnote w:id="70">
    <w:p w14:paraId="06BA11CC" w14:textId="77777777" w:rsidR="00480687" w:rsidRPr="00480687" w:rsidRDefault="00480687" w:rsidP="00480687">
      <w:pPr>
        <w:pStyle w:val="FootnoteText"/>
        <w:rPr>
          <w:rFonts w:cs="Times New Roman"/>
        </w:rPr>
      </w:pPr>
      <w:r w:rsidRPr="00480687">
        <w:rPr>
          <w:rStyle w:val="FootnoteReference"/>
          <w:rFonts w:cs="Times New Roman"/>
        </w:rPr>
        <w:footnoteRef/>
      </w:r>
      <w:r w:rsidRPr="00480687">
        <w:rPr>
          <w:rFonts w:cs="Times New Roman"/>
        </w:rPr>
        <w:t xml:space="preserve"> For other examples, </w:t>
      </w:r>
      <w:r w:rsidRPr="002F1B68">
        <w:rPr>
          <w:rFonts w:cs="Times New Roman"/>
          <w:i/>
        </w:rPr>
        <w:t>see</w:t>
      </w:r>
      <w:r w:rsidRPr="00480687">
        <w:rPr>
          <w:rFonts w:cs="Times New Roman"/>
        </w:rPr>
        <w:t xml:space="preserve"> Telecommunications Act of 1996, as amended, §§ 202(h), 704(c).</w:t>
      </w:r>
    </w:p>
  </w:footnote>
  <w:footnote w:id="71">
    <w:p w14:paraId="2B497AFB" w14:textId="77777777" w:rsidR="00480687" w:rsidRPr="00480687" w:rsidRDefault="00480687" w:rsidP="00480687">
      <w:pPr>
        <w:pStyle w:val="FootnoteText"/>
        <w:rPr>
          <w:rFonts w:cs="Times New Roman"/>
        </w:rPr>
      </w:pPr>
      <w:r w:rsidRPr="00480687">
        <w:rPr>
          <w:rStyle w:val="FootnoteReference"/>
          <w:rFonts w:cs="Times New Roman"/>
        </w:rPr>
        <w:footnoteRef/>
      </w:r>
      <w:r w:rsidRPr="00480687">
        <w:rPr>
          <w:rFonts w:cs="Times New Roman"/>
        </w:rPr>
        <w:t xml:space="preserve"> Communications Act of 1934, as amended, § 2(a).</w:t>
      </w:r>
    </w:p>
  </w:footnote>
  <w:footnote w:id="72">
    <w:p w14:paraId="3CFFA7AE" w14:textId="77777777" w:rsidR="00480687" w:rsidRPr="00480687" w:rsidRDefault="00480687" w:rsidP="00480687">
      <w:pPr>
        <w:pStyle w:val="FootnoteText"/>
        <w:rPr>
          <w:rFonts w:cs="Times New Roman"/>
        </w:rPr>
      </w:pPr>
      <w:r w:rsidRPr="00480687">
        <w:rPr>
          <w:rStyle w:val="FootnoteReference"/>
          <w:rFonts w:cs="Times New Roman"/>
        </w:rPr>
        <w:footnoteRef/>
      </w:r>
      <w:r w:rsidRPr="00480687">
        <w:rPr>
          <w:rFonts w:cs="Times New Roman"/>
        </w:rPr>
        <w:t xml:space="preserve"> </w:t>
      </w:r>
      <w:r w:rsidRPr="00480687">
        <w:rPr>
          <w:rFonts w:cs="Times New Roman"/>
          <w:i/>
        </w:rPr>
        <w:t>Verizon v. FCC</w:t>
      </w:r>
      <w:r w:rsidRPr="00480687">
        <w:rPr>
          <w:rFonts w:cs="Times New Roman"/>
        </w:rPr>
        <w:t>, 740 F.3d 623, 640 (D.C. Cir. 2014).</w:t>
      </w:r>
    </w:p>
  </w:footnote>
  <w:footnote w:id="73">
    <w:p w14:paraId="36D09667" w14:textId="77777777" w:rsidR="00480687" w:rsidRPr="002D5F6A" w:rsidRDefault="00480687" w:rsidP="00480687">
      <w:pPr>
        <w:pStyle w:val="FootnoteText"/>
      </w:pPr>
      <w:r w:rsidRPr="00480687">
        <w:rPr>
          <w:rStyle w:val="FootnoteReference"/>
          <w:rFonts w:cs="Times New Roman"/>
        </w:rPr>
        <w:footnoteRef/>
      </w:r>
      <w:r w:rsidRPr="00480687">
        <w:rPr>
          <w:rFonts w:cs="Times New Roman"/>
        </w:rPr>
        <w:t xml:space="preserve"> </w:t>
      </w:r>
      <w:r w:rsidRPr="00480687">
        <w:rPr>
          <w:rFonts w:cs="Times New Roman"/>
          <w:i/>
        </w:rPr>
        <w:t>Deployment of Wireline Services Offering Advanced Telecommunications Capability</w:t>
      </w:r>
      <w:r w:rsidRPr="00480687">
        <w:rPr>
          <w:rFonts w:cs="Times New Roman"/>
        </w:rPr>
        <w:t>, CC Docket No. 98-147, Memorandum Opinion and Order and Notice of Proposed Rulemaking, 13 FCC Rcd 24012, 24046, para. 73 (1998) (</w:t>
      </w:r>
      <w:r w:rsidRPr="00480687">
        <w:rPr>
          <w:rFonts w:cs="Times New Roman"/>
          <w:i/>
        </w:rPr>
        <w:t>Advanced Services Order</w:t>
      </w:r>
      <w:r w:rsidRPr="00480687">
        <w:rPr>
          <w:rFonts w:cs="Times New Roman"/>
        </w:rPr>
        <w:t>).</w:t>
      </w:r>
    </w:p>
  </w:footnote>
  <w:footnote w:id="74">
    <w:p w14:paraId="7B26BF3D" w14:textId="6B7A7469" w:rsidR="00480687" w:rsidRPr="00480687" w:rsidRDefault="00480687" w:rsidP="00480687">
      <w:pPr>
        <w:pStyle w:val="FootnoteText"/>
        <w:rPr>
          <w:rFonts w:cs="Times New Roman"/>
        </w:rPr>
      </w:pPr>
      <w:r w:rsidRPr="00480687">
        <w:rPr>
          <w:rStyle w:val="FootnoteReference"/>
          <w:rFonts w:cs="Times New Roman"/>
        </w:rPr>
        <w:footnoteRef/>
      </w:r>
      <w:r w:rsidRPr="00480687">
        <w:rPr>
          <w:rFonts w:cs="Times New Roman"/>
        </w:rPr>
        <w:t xml:space="preserve"> The </w:t>
      </w:r>
      <w:r w:rsidRPr="00480687">
        <w:rPr>
          <w:rFonts w:cs="Times New Roman"/>
          <w:i/>
        </w:rPr>
        <w:t>Verizon</w:t>
      </w:r>
      <w:r w:rsidRPr="00480687">
        <w:rPr>
          <w:rFonts w:cs="Times New Roman"/>
        </w:rPr>
        <w:t xml:space="preserve"> court asked the wrong question when it noted that it “might well hesitate to conclude that Congress intended to grant the Commission substantive authority in section 706(a) if that authority would have no limiting principle.”  </w:t>
      </w:r>
      <w:r w:rsidRPr="00480687">
        <w:rPr>
          <w:rFonts w:cs="Times New Roman"/>
          <w:i/>
        </w:rPr>
        <w:t>Verizon</w:t>
      </w:r>
      <w:r w:rsidRPr="00480687">
        <w:rPr>
          <w:rFonts w:cs="Times New Roman"/>
        </w:rPr>
        <w:t xml:space="preserve">, 740 F.3d </w:t>
      </w:r>
      <w:r w:rsidR="00EC6A80">
        <w:rPr>
          <w:rFonts w:cs="Times New Roman"/>
        </w:rPr>
        <w:t xml:space="preserve">at </w:t>
      </w:r>
      <w:r w:rsidRPr="00480687">
        <w:rPr>
          <w:rFonts w:cs="Times New Roman"/>
        </w:rPr>
        <w:t xml:space="preserve">639.  But the question is not whether section 706 of the Telecommunications Act contains some “intelligible principle” and thus does not violate the non-delegation doctrine, </w:t>
      </w:r>
      <w:r w:rsidRPr="00480687">
        <w:rPr>
          <w:rFonts w:cs="Times New Roman"/>
          <w:i/>
        </w:rPr>
        <w:t>see</w:t>
      </w:r>
      <w:r w:rsidRPr="00480687">
        <w:rPr>
          <w:rFonts w:cs="Times New Roman"/>
        </w:rPr>
        <w:t xml:space="preserve"> </w:t>
      </w:r>
      <w:r w:rsidRPr="00480687">
        <w:rPr>
          <w:rFonts w:cs="Times New Roman"/>
          <w:i/>
        </w:rPr>
        <w:t>Whitman v. American Trucking Associations</w:t>
      </w:r>
      <w:r w:rsidRPr="00480687">
        <w:rPr>
          <w:rFonts w:cs="Times New Roman"/>
        </w:rPr>
        <w:t>, 531 U.S. 457, 472 (2001</w:t>
      </w:r>
      <w:r w:rsidR="004E2C54">
        <w:rPr>
          <w:rFonts w:cs="Times New Roman"/>
        </w:rPr>
        <w:t>)</w:t>
      </w:r>
      <w:r w:rsidRPr="00480687">
        <w:rPr>
          <w:rFonts w:cs="Times New Roman"/>
        </w:rPr>
        <w:t xml:space="preserve">.  Instead, the question is one of congressional intent:  Did Congress really intend to put specific limits on the Commission’s forbearance authority in one place (section 10 of the Communications Act) only to largely eliminate them in another (section 706 of the Telecommunications Act)?  Such an interpretation </w:t>
      </w:r>
      <w:r w:rsidR="004E2C54">
        <w:rPr>
          <w:rFonts w:cs="Times New Roman"/>
        </w:rPr>
        <w:t>doesn’t</w:t>
      </w:r>
      <w:r w:rsidR="004E2C54" w:rsidRPr="00480687">
        <w:rPr>
          <w:rFonts w:cs="Times New Roman"/>
        </w:rPr>
        <w:t xml:space="preserve"> </w:t>
      </w:r>
      <w:r w:rsidRPr="00480687">
        <w:rPr>
          <w:rFonts w:cs="Times New Roman"/>
        </w:rPr>
        <w:t>make sense.</w:t>
      </w:r>
    </w:p>
  </w:footnote>
  <w:footnote w:id="75">
    <w:p w14:paraId="5E84DD79" w14:textId="77777777" w:rsidR="00480687" w:rsidRPr="00480687" w:rsidRDefault="00480687" w:rsidP="00480687">
      <w:pPr>
        <w:pStyle w:val="FootnoteText"/>
        <w:rPr>
          <w:rFonts w:cs="Times New Roman"/>
          <w:i/>
        </w:rPr>
      </w:pPr>
      <w:r w:rsidRPr="00480687">
        <w:rPr>
          <w:rStyle w:val="FootnoteReference"/>
          <w:rFonts w:cs="Times New Roman"/>
        </w:rPr>
        <w:footnoteRef/>
      </w:r>
      <w:r w:rsidRPr="00480687">
        <w:rPr>
          <w:rFonts w:cs="Times New Roman"/>
        </w:rPr>
        <w:t xml:space="preserve"> </w:t>
      </w:r>
      <w:r w:rsidRPr="00480687">
        <w:rPr>
          <w:rFonts w:cs="Times New Roman"/>
          <w:i/>
        </w:rPr>
        <w:t>Deployment of Wireline Services Offering Advanced Telecommunications Capability</w:t>
      </w:r>
      <w:r w:rsidRPr="00480687">
        <w:rPr>
          <w:rFonts w:cs="Times New Roman"/>
        </w:rPr>
        <w:t>, CC Docket No. 98-147, Memorandum Opinion and Order and Notice of Proposed Rulemaking, 13 FCC Rcd 24012, 24047, para. 77 (1998) (</w:t>
      </w:r>
      <w:r w:rsidRPr="00480687">
        <w:rPr>
          <w:rFonts w:cs="Times New Roman"/>
          <w:i/>
        </w:rPr>
        <w:t>Advanced Services Order</w:t>
      </w:r>
      <w:r w:rsidRPr="00480687">
        <w:rPr>
          <w:rFonts w:cs="Times New Roman"/>
        </w:rPr>
        <w:t>).</w:t>
      </w:r>
    </w:p>
  </w:footnote>
  <w:footnote w:id="76">
    <w:p w14:paraId="2A315FB2" w14:textId="77777777" w:rsidR="00480687" w:rsidRPr="00480687" w:rsidRDefault="00480687" w:rsidP="00480687">
      <w:pPr>
        <w:pStyle w:val="FootnoteText"/>
        <w:rPr>
          <w:rFonts w:cs="Times New Roman"/>
        </w:rPr>
      </w:pPr>
      <w:r w:rsidRPr="00480687">
        <w:rPr>
          <w:rStyle w:val="FootnoteReference"/>
          <w:rFonts w:cs="Times New Roman"/>
        </w:rPr>
        <w:footnoteRef/>
      </w:r>
      <w:r w:rsidRPr="00480687">
        <w:rPr>
          <w:rFonts w:cs="Times New Roman"/>
        </w:rPr>
        <w:t xml:space="preserve"> </w:t>
      </w:r>
      <w:r w:rsidRPr="00480687">
        <w:rPr>
          <w:rFonts w:cs="Times New Roman"/>
          <w:i/>
        </w:rPr>
        <w:t>Petition of Qwest Corporation for Forbearance Pursuant to 47 U.S.C. § 160(c) in the Omaha Metropolitan Statistical Area</w:t>
      </w:r>
      <w:r w:rsidRPr="00480687">
        <w:rPr>
          <w:rFonts w:cs="Times New Roman"/>
        </w:rPr>
        <w:t xml:space="preserve">, WC Docket No. 04-223, Memorandum Opinion and Order, 20 FCC Rcd 19415, 19469, para. 107 (2005), </w:t>
      </w:r>
      <w:r w:rsidRPr="00480687">
        <w:rPr>
          <w:rFonts w:cs="Times New Roman"/>
          <w:i/>
        </w:rPr>
        <w:t>aff’d by</w:t>
      </w:r>
      <w:r w:rsidRPr="00480687">
        <w:rPr>
          <w:rFonts w:cs="Times New Roman"/>
        </w:rPr>
        <w:t xml:space="preserve"> </w:t>
      </w:r>
      <w:r w:rsidRPr="00480687">
        <w:rPr>
          <w:rFonts w:cs="Times New Roman"/>
          <w:i/>
        </w:rPr>
        <w:t>Qwest Corp. v. FCC</w:t>
      </w:r>
      <w:r w:rsidRPr="00480687">
        <w:rPr>
          <w:rFonts w:cs="Times New Roman"/>
        </w:rPr>
        <w:t>, 482 F.3d 471 (D.C. Cir. 2007).</w:t>
      </w:r>
    </w:p>
  </w:footnote>
  <w:footnote w:id="77">
    <w:p w14:paraId="4331095A" w14:textId="77777777" w:rsidR="00480687" w:rsidRPr="00480687" w:rsidRDefault="00480687" w:rsidP="00480687">
      <w:pPr>
        <w:pStyle w:val="FootnoteText"/>
        <w:rPr>
          <w:rFonts w:cs="Times New Roman"/>
        </w:rPr>
      </w:pPr>
      <w:r w:rsidRPr="00480687">
        <w:rPr>
          <w:rStyle w:val="FootnoteReference"/>
          <w:rFonts w:cs="Times New Roman"/>
        </w:rPr>
        <w:footnoteRef/>
      </w:r>
      <w:r w:rsidRPr="00480687">
        <w:rPr>
          <w:rFonts w:cs="Times New Roman"/>
        </w:rPr>
        <w:t xml:space="preserve"> </w:t>
      </w:r>
      <w:r w:rsidRPr="00480687">
        <w:rPr>
          <w:rFonts w:cs="Times New Roman"/>
          <w:i/>
        </w:rPr>
        <w:t>Petition of ACS of Anchorage</w:t>
      </w:r>
      <w:r w:rsidRPr="00480687">
        <w:rPr>
          <w:rFonts w:cs="Times New Roman"/>
        </w:rPr>
        <w:t>, WC Docket No. 06-109, Memorandum Opinion and Order, 22 FCC Rcd 16304, 16356, para. 118 (2007).</w:t>
      </w:r>
    </w:p>
  </w:footnote>
  <w:footnote w:id="78">
    <w:p w14:paraId="4B40ABCB" w14:textId="77777777" w:rsidR="00480687" w:rsidRPr="00480687" w:rsidRDefault="00480687" w:rsidP="00480687">
      <w:pPr>
        <w:pStyle w:val="FootnoteText"/>
        <w:rPr>
          <w:rFonts w:cs="Times New Roman"/>
        </w:rPr>
      </w:pPr>
      <w:r w:rsidRPr="00480687">
        <w:rPr>
          <w:rStyle w:val="FootnoteReference"/>
          <w:rFonts w:cs="Times New Roman"/>
        </w:rPr>
        <w:footnoteRef/>
      </w:r>
      <w:r w:rsidRPr="00480687">
        <w:rPr>
          <w:rFonts w:cs="Times New Roman"/>
        </w:rPr>
        <w:t xml:space="preserve"> </w:t>
      </w:r>
      <w:r w:rsidRPr="00480687">
        <w:rPr>
          <w:rFonts w:cs="Times New Roman"/>
          <w:i/>
        </w:rPr>
        <w:t>Petition of the Embarq Local Operating Companies For Forbearance et al.</w:t>
      </w:r>
      <w:r w:rsidRPr="00480687">
        <w:rPr>
          <w:rFonts w:cs="Times New Roman"/>
        </w:rPr>
        <w:t xml:space="preserve">, WC Docket No. 06-147, Memorandum Opinion and Order, 22 FCC Rcd 19478, 19503–04, para. 46 (2007), </w:t>
      </w:r>
      <w:r w:rsidRPr="002F1B68">
        <w:rPr>
          <w:rFonts w:cs="Times New Roman"/>
          <w:i/>
        </w:rPr>
        <w:t>aff’d by</w:t>
      </w:r>
      <w:r w:rsidRPr="00046CB2">
        <w:rPr>
          <w:rFonts w:cs="Times New Roman"/>
        </w:rPr>
        <w:t xml:space="preserve"> </w:t>
      </w:r>
      <w:r w:rsidRPr="00480687">
        <w:rPr>
          <w:rFonts w:cs="Times New Roman"/>
          <w:i/>
        </w:rPr>
        <w:t>Ad Hoc Telecommunications Users Committee v. FCC</w:t>
      </w:r>
      <w:r w:rsidRPr="00480687">
        <w:rPr>
          <w:rFonts w:cs="Times New Roman"/>
        </w:rPr>
        <w:t>, 572 F.3d 903 (D.C. Cir. 2009).</w:t>
      </w:r>
    </w:p>
  </w:footnote>
  <w:footnote w:id="79">
    <w:p w14:paraId="0B0B6C62" w14:textId="77777777" w:rsidR="00480687" w:rsidRPr="00480687" w:rsidRDefault="00480687" w:rsidP="00480687">
      <w:pPr>
        <w:pStyle w:val="FootnoteText"/>
        <w:rPr>
          <w:rFonts w:cs="Times New Roman"/>
        </w:rPr>
      </w:pPr>
      <w:r w:rsidRPr="00480687">
        <w:rPr>
          <w:rStyle w:val="FootnoteReference"/>
          <w:rFonts w:cs="Times New Roman"/>
        </w:rPr>
        <w:footnoteRef/>
      </w:r>
      <w:r w:rsidRPr="00480687">
        <w:rPr>
          <w:rFonts w:cs="Times New Roman"/>
        </w:rPr>
        <w:t xml:space="preserve"> </w:t>
      </w:r>
      <w:r w:rsidRPr="00480687">
        <w:rPr>
          <w:rFonts w:cs="Times New Roman"/>
          <w:i/>
        </w:rPr>
        <w:t>Implementation of the Local Competition Provisions of the Telecommunications Act of 1996</w:t>
      </w:r>
      <w:r w:rsidRPr="00480687">
        <w:rPr>
          <w:rFonts w:cs="Times New Roman"/>
        </w:rPr>
        <w:t xml:space="preserve">, CC Docket No. 96-98, Third Report and Order and Fourth Further Notice of Proposed Rulemaking, 15 FCC Rcd 3696, 3840, para. 317 (1999) (“Our overriding objective, consistent with the congressional directive in section 706, is to ensure that advanced services are deployed on a timely basis to all Americans so that consumers across America have the full benefits of the ‘Information Age.’”); </w:t>
      </w:r>
      <w:r w:rsidRPr="00480687">
        <w:rPr>
          <w:rFonts w:cs="Times New Roman"/>
          <w:i/>
        </w:rPr>
        <w:t>Vonage Holdings Corporation Petition for Declaratory Ruling Concerning an Order of the Minnesota Public Utilities Commission</w:t>
      </w:r>
      <w:r w:rsidRPr="00480687">
        <w:rPr>
          <w:rFonts w:cs="Times New Roman"/>
        </w:rPr>
        <w:t>, WC Docket No. 03-211, Memorandum Opinion and Order, 19 FCC Rcd 22404, 22426–27, paras. 36–37 (2004).</w:t>
      </w:r>
    </w:p>
  </w:footnote>
  <w:footnote w:id="80">
    <w:p w14:paraId="504992B7" w14:textId="77777777" w:rsidR="00480687" w:rsidRPr="00480687" w:rsidRDefault="00480687" w:rsidP="00480687">
      <w:pPr>
        <w:pStyle w:val="FootnoteText"/>
        <w:rPr>
          <w:rFonts w:cs="Times New Roman"/>
        </w:rPr>
      </w:pPr>
      <w:r w:rsidRPr="00480687">
        <w:rPr>
          <w:rStyle w:val="FootnoteReference"/>
          <w:rFonts w:cs="Times New Roman"/>
        </w:rPr>
        <w:footnoteRef/>
      </w:r>
      <w:r w:rsidRPr="00480687">
        <w:rPr>
          <w:rFonts w:cs="Times New Roman"/>
        </w:rPr>
        <w:t xml:space="preserve"> </w:t>
      </w:r>
      <w:r w:rsidRPr="00480687">
        <w:rPr>
          <w:rFonts w:cs="Times New Roman"/>
          <w:i/>
        </w:rPr>
        <w:t>Implementation of Section 224 of the Act; A National Broadband Plan for Our Future</w:t>
      </w:r>
      <w:r w:rsidRPr="00480687">
        <w:rPr>
          <w:rFonts w:cs="Times New Roman"/>
        </w:rPr>
        <w:t xml:space="preserve">, WC Docket No. 07-245, GN Docket No. 09-51, Report and Order and Order on Reconsideration, 26 FCC Rcd 5240, 5317, 5330, paras. 173, 208 (2011); </w:t>
      </w:r>
      <w:r w:rsidRPr="00480687">
        <w:rPr>
          <w:rFonts w:cs="Times New Roman"/>
          <w:i/>
        </w:rPr>
        <w:t>Implementation of Section 224 of the Act; Amendment of the Commission’s Rules and Policies Governing Pole Attachments</w:t>
      </w:r>
      <w:r w:rsidRPr="00480687">
        <w:rPr>
          <w:rFonts w:cs="Times New Roman"/>
        </w:rPr>
        <w:t>, WC Docket No. 07-245, RM-11293, RM-11303, Notice of Proposed Rulemaking, 22 FCC Rcd 20195, 20209, para. 36 (2007).</w:t>
      </w:r>
    </w:p>
  </w:footnote>
  <w:footnote w:id="81">
    <w:p w14:paraId="318E4947" w14:textId="07220CF4" w:rsidR="00480687" w:rsidRPr="00480687" w:rsidRDefault="00480687" w:rsidP="00480687">
      <w:pPr>
        <w:pStyle w:val="FootnoteText"/>
        <w:rPr>
          <w:rFonts w:cs="Times New Roman"/>
        </w:rPr>
      </w:pPr>
      <w:r w:rsidRPr="00480687">
        <w:rPr>
          <w:rStyle w:val="FootnoteReference"/>
          <w:rFonts w:cs="Times New Roman"/>
        </w:rPr>
        <w:footnoteRef/>
      </w:r>
      <w:r w:rsidRPr="00480687">
        <w:rPr>
          <w:rFonts w:cs="Times New Roman"/>
        </w:rPr>
        <w:t xml:space="preserve"> S. Rep. No. 104-23 at 50–51 (1995); </w:t>
      </w:r>
      <w:r w:rsidRPr="00480687">
        <w:rPr>
          <w:rFonts w:cs="Times New Roman"/>
          <w:i/>
        </w:rPr>
        <w:t>see</w:t>
      </w:r>
      <w:r w:rsidRPr="00480687">
        <w:rPr>
          <w:rFonts w:cs="Times New Roman"/>
        </w:rPr>
        <w:t xml:space="preserve"> </w:t>
      </w:r>
      <w:r w:rsidRPr="00480687">
        <w:rPr>
          <w:rFonts w:cs="Times New Roman"/>
          <w:i/>
        </w:rPr>
        <w:t>Verizon</w:t>
      </w:r>
      <w:r w:rsidRPr="00480687">
        <w:rPr>
          <w:rFonts w:cs="Times New Roman"/>
        </w:rPr>
        <w:t xml:space="preserve">, 740 F.3d </w:t>
      </w:r>
      <w:r w:rsidR="00EC6A80">
        <w:rPr>
          <w:rFonts w:cs="Times New Roman"/>
        </w:rPr>
        <w:t xml:space="preserve">at </w:t>
      </w:r>
      <w:r w:rsidRPr="00480687">
        <w:rPr>
          <w:rFonts w:cs="Times New Roman"/>
        </w:rPr>
        <w:t>639.</w:t>
      </w:r>
    </w:p>
  </w:footnote>
  <w:footnote w:id="82">
    <w:p w14:paraId="3A9DF79E" w14:textId="77777777" w:rsidR="00480687" w:rsidRPr="001019C5" w:rsidRDefault="00480687" w:rsidP="00480687">
      <w:pPr>
        <w:pStyle w:val="FootnoteText"/>
      </w:pPr>
      <w:r w:rsidRPr="00480687">
        <w:rPr>
          <w:rStyle w:val="FootnoteReference"/>
          <w:rFonts w:cs="Times New Roman"/>
        </w:rPr>
        <w:footnoteRef/>
      </w:r>
      <w:r w:rsidRPr="00480687">
        <w:rPr>
          <w:rFonts w:cs="Times New Roman"/>
        </w:rPr>
        <w:t xml:space="preserve"> </w:t>
      </w:r>
      <w:r w:rsidRPr="00480687">
        <w:rPr>
          <w:rFonts w:cs="Times New Roman"/>
          <w:i/>
        </w:rPr>
        <w:t>See</w:t>
      </w:r>
      <w:r w:rsidRPr="00480687">
        <w:rPr>
          <w:rFonts w:cs="Times New Roman"/>
        </w:rPr>
        <w:t xml:space="preserve"> S. 652 § 304(b) (104th Cong. 1995) (contained in “Title III—An End to Regulation”).</w:t>
      </w:r>
    </w:p>
  </w:footnote>
  <w:footnote w:id="83">
    <w:p w14:paraId="59314588" w14:textId="77777777" w:rsidR="00480687" w:rsidRPr="00480687" w:rsidRDefault="00480687" w:rsidP="00480687">
      <w:pPr>
        <w:pStyle w:val="FootnoteText"/>
        <w:rPr>
          <w:rFonts w:cs="Times New Roman"/>
        </w:rPr>
      </w:pPr>
      <w:r w:rsidRPr="00480687">
        <w:rPr>
          <w:rStyle w:val="FootnoteReference"/>
          <w:rFonts w:cs="Times New Roman"/>
        </w:rPr>
        <w:footnoteRef/>
      </w:r>
      <w:r w:rsidRPr="00480687">
        <w:rPr>
          <w:rFonts w:cs="Times New Roman"/>
        </w:rPr>
        <w:t xml:space="preserve"> S. Rep. No. 104-230 at 210 (1996).</w:t>
      </w:r>
    </w:p>
  </w:footnote>
  <w:footnote w:id="84">
    <w:p w14:paraId="102A6FD1" w14:textId="1327C79E" w:rsidR="00417E13" w:rsidRPr="009428EC" w:rsidRDefault="00417E13" w:rsidP="006B5345">
      <w:pPr>
        <w:pStyle w:val="FootnoteText"/>
        <w:rPr>
          <w:rFonts w:cs="Times New Roman"/>
        </w:rPr>
      </w:pPr>
      <w:r w:rsidRPr="009428EC">
        <w:rPr>
          <w:rStyle w:val="FootnoteReference"/>
          <w:rFonts w:cs="Times New Roman"/>
        </w:rPr>
        <w:footnoteRef/>
      </w:r>
      <w:r w:rsidRPr="00D76395">
        <w:rPr>
          <w:rFonts w:cs="Times New Roman"/>
        </w:rPr>
        <w:t xml:space="preserve"> Brief for Appellee/Re</w:t>
      </w:r>
      <w:r w:rsidRPr="009428EC">
        <w:rPr>
          <w:rFonts w:cs="Times New Roman"/>
        </w:rPr>
        <w:t xml:space="preserve">spondents at 23, </w:t>
      </w:r>
      <w:r w:rsidRPr="00C403C4">
        <w:rPr>
          <w:rFonts w:cs="Times New Roman"/>
          <w:i/>
        </w:rPr>
        <w:t>Verizon v. FCC</w:t>
      </w:r>
      <w:r w:rsidRPr="009428EC">
        <w:rPr>
          <w:rFonts w:cs="Times New Roman"/>
        </w:rPr>
        <w:t xml:space="preserve">, 740 F.3d 623 (D.C. Cir. 2014) (11-1355) (citing </w:t>
      </w:r>
      <w:r w:rsidRPr="00C403C4">
        <w:rPr>
          <w:rFonts w:cs="Times New Roman"/>
          <w:i/>
        </w:rPr>
        <w:t>Chevron USA, Inc. v. N</w:t>
      </w:r>
      <w:r w:rsidR="00AD0306">
        <w:rPr>
          <w:rFonts w:cs="Times New Roman"/>
          <w:i/>
        </w:rPr>
        <w:t>atural Resources Defense Council</w:t>
      </w:r>
      <w:r w:rsidRPr="009428EC">
        <w:rPr>
          <w:rFonts w:cs="Times New Roman"/>
        </w:rPr>
        <w:t>, 467 U.S. 837, 842</w:t>
      </w:r>
      <w:r w:rsidR="0084514D">
        <w:rPr>
          <w:rFonts w:cs="Times New Roman"/>
        </w:rPr>
        <w:t>–</w:t>
      </w:r>
      <w:r w:rsidRPr="009428EC">
        <w:rPr>
          <w:rFonts w:cs="Times New Roman"/>
        </w:rPr>
        <w:t>43 (1984)).</w:t>
      </w:r>
    </w:p>
  </w:footnote>
  <w:footnote w:id="85">
    <w:p w14:paraId="4710618B" w14:textId="552CF34D" w:rsidR="00417E13" w:rsidRPr="009428EC" w:rsidRDefault="00417E13" w:rsidP="006B5345">
      <w:pPr>
        <w:pStyle w:val="FootnoteText"/>
        <w:rPr>
          <w:rFonts w:cs="Times New Roman"/>
        </w:rPr>
      </w:pPr>
      <w:r w:rsidRPr="009428EC">
        <w:rPr>
          <w:rStyle w:val="FootnoteReference"/>
          <w:rFonts w:cs="Times New Roman"/>
        </w:rPr>
        <w:footnoteRef/>
      </w:r>
      <w:r w:rsidRPr="009428EC">
        <w:rPr>
          <w:rFonts w:cs="Times New Roman"/>
        </w:rPr>
        <w:t xml:space="preserve"> </w:t>
      </w:r>
      <w:r w:rsidRPr="009428EC">
        <w:rPr>
          <w:rFonts w:cs="Times New Roman"/>
          <w:i/>
        </w:rPr>
        <w:t xml:space="preserve">Id. </w:t>
      </w:r>
      <w:r w:rsidRPr="009428EC">
        <w:rPr>
          <w:rFonts w:cs="Times New Roman"/>
        </w:rPr>
        <w:t>at 25</w:t>
      </w:r>
      <w:r w:rsidR="0084514D">
        <w:rPr>
          <w:rFonts w:cs="Times New Roman"/>
        </w:rPr>
        <w:t>–</w:t>
      </w:r>
      <w:r w:rsidRPr="009428EC">
        <w:rPr>
          <w:rFonts w:cs="Times New Roman"/>
        </w:rPr>
        <w:t>30.</w:t>
      </w:r>
    </w:p>
  </w:footnote>
  <w:footnote w:id="86">
    <w:p w14:paraId="5A7AE950" w14:textId="77777777" w:rsidR="00417E13" w:rsidRPr="009428EC" w:rsidRDefault="00417E13" w:rsidP="006B5345">
      <w:pPr>
        <w:pStyle w:val="FootnoteText"/>
        <w:rPr>
          <w:rFonts w:cs="Times New Roman"/>
        </w:rPr>
      </w:pPr>
      <w:r w:rsidRPr="009428EC">
        <w:rPr>
          <w:rStyle w:val="FootnoteReference"/>
          <w:rFonts w:cs="Times New Roman"/>
        </w:rPr>
        <w:footnoteRef/>
      </w:r>
      <w:r w:rsidRPr="009428EC">
        <w:rPr>
          <w:rFonts w:cs="Times New Roman"/>
        </w:rPr>
        <w:t xml:space="preserve"> </w:t>
      </w:r>
      <w:r w:rsidRPr="009428EC">
        <w:rPr>
          <w:rFonts w:cs="Times New Roman"/>
          <w:i/>
        </w:rPr>
        <w:t>Verizon</w:t>
      </w:r>
      <w:r w:rsidRPr="009428EC">
        <w:rPr>
          <w:rFonts w:cs="Times New Roman"/>
        </w:rPr>
        <w:t>, 740 F.3d at 637.</w:t>
      </w:r>
    </w:p>
  </w:footnote>
  <w:footnote w:id="87">
    <w:p w14:paraId="38557768" w14:textId="77777777" w:rsidR="00417E13" w:rsidRPr="009428EC" w:rsidRDefault="00417E13" w:rsidP="006B5345">
      <w:pPr>
        <w:pStyle w:val="FootnoteText"/>
        <w:rPr>
          <w:rFonts w:cs="Times New Roman"/>
        </w:rPr>
      </w:pPr>
      <w:r w:rsidRPr="009428EC">
        <w:rPr>
          <w:rStyle w:val="FootnoteReference"/>
          <w:rFonts w:cs="Times New Roman"/>
        </w:rPr>
        <w:footnoteRef/>
      </w:r>
      <w:r w:rsidRPr="009428EC">
        <w:rPr>
          <w:rFonts w:cs="Times New Roman"/>
        </w:rPr>
        <w:t xml:space="preserve"> </w:t>
      </w:r>
      <w:r w:rsidRPr="009428EC">
        <w:rPr>
          <w:rFonts w:cs="Times New Roman"/>
          <w:i/>
        </w:rPr>
        <w:t>Id.</w:t>
      </w:r>
      <w:r w:rsidRPr="009428EC">
        <w:rPr>
          <w:rFonts w:cs="Times New Roman"/>
        </w:rPr>
        <w:t xml:space="preserve"> at 638.</w:t>
      </w:r>
    </w:p>
  </w:footnote>
  <w:footnote w:id="88">
    <w:p w14:paraId="41D2A659" w14:textId="5C26A5B4" w:rsidR="00417E13" w:rsidRPr="00BF4017" w:rsidRDefault="00417E13" w:rsidP="00BF4017">
      <w:pPr>
        <w:rPr>
          <w:sz w:val="20"/>
          <w:szCs w:val="20"/>
        </w:rPr>
      </w:pPr>
      <w:r w:rsidRPr="00D76395">
        <w:rPr>
          <w:rStyle w:val="FootnoteReference"/>
          <w:rFonts w:cs="Times New Roman"/>
        </w:rPr>
        <w:footnoteRef/>
      </w:r>
      <w:r w:rsidRPr="00D76395">
        <w:rPr>
          <w:rFonts w:cs="Times New Roman"/>
        </w:rPr>
        <w:t xml:space="preserve"> </w:t>
      </w:r>
      <w:r w:rsidRPr="00BF4017">
        <w:rPr>
          <w:rFonts w:cs="Times New Roman"/>
          <w:sz w:val="20"/>
          <w:szCs w:val="20"/>
        </w:rPr>
        <w:t>US Telecom notes that “[i]f the underlying grant of authority in Section 706 is ‘ambiguous,’ the statute by definition does not contain a ‘plain statement’ of Congressional intent.”</w:t>
      </w:r>
      <w:r w:rsidR="00BF4017" w:rsidRPr="00BF4017">
        <w:rPr>
          <w:sz w:val="20"/>
          <w:szCs w:val="20"/>
        </w:rPr>
        <w:t xml:space="preserve"> </w:t>
      </w:r>
      <w:r w:rsidR="00292A13">
        <w:rPr>
          <w:sz w:val="20"/>
          <w:szCs w:val="20"/>
        </w:rPr>
        <w:t xml:space="preserve"> </w:t>
      </w:r>
      <w:r w:rsidR="00BF4017" w:rsidRPr="00BF4017">
        <w:rPr>
          <w:sz w:val="20"/>
          <w:szCs w:val="20"/>
        </w:rPr>
        <w:t>Comments of US</w:t>
      </w:r>
      <w:r w:rsidR="00BF4017">
        <w:rPr>
          <w:sz w:val="20"/>
          <w:szCs w:val="20"/>
        </w:rPr>
        <w:t xml:space="preserve"> </w:t>
      </w:r>
      <w:r w:rsidR="00BF4017" w:rsidRPr="00BF4017">
        <w:rPr>
          <w:sz w:val="20"/>
          <w:szCs w:val="20"/>
        </w:rPr>
        <w:t xml:space="preserve">Telecom at 15, WCB Docket No. 14-115 (filed Aug. 29, 2014). </w:t>
      </w:r>
    </w:p>
  </w:footnote>
  <w:footnote w:id="89">
    <w:p w14:paraId="30C07E0F" w14:textId="42FFC947" w:rsidR="00417E13" w:rsidRPr="005520E2" w:rsidRDefault="00417E13">
      <w:pPr>
        <w:pStyle w:val="FootnoteText"/>
        <w:rPr>
          <w:rFonts w:cs="Times New Roman"/>
        </w:rPr>
      </w:pPr>
      <w:r w:rsidRPr="005520E2">
        <w:rPr>
          <w:rStyle w:val="FootnoteReference"/>
          <w:rFonts w:cs="Times New Roman"/>
        </w:rPr>
        <w:footnoteRef/>
      </w:r>
      <w:r w:rsidRPr="005520E2">
        <w:rPr>
          <w:rFonts w:cs="Times New Roman"/>
        </w:rPr>
        <w:t xml:space="preserve"> Brief for Respondents at 11, </w:t>
      </w:r>
      <w:r w:rsidRPr="005520E2">
        <w:rPr>
          <w:rFonts w:cs="Times New Roman"/>
          <w:i/>
        </w:rPr>
        <w:t>City of Abilene v. FCC</w:t>
      </w:r>
      <w:r w:rsidRPr="005520E2">
        <w:rPr>
          <w:rFonts w:cs="Times New Roman"/>
        </w:rPr>
        <w:t xml:space="preserve">, 164 F.3d 49 (D.C. </w:t>
      </w:r>
      <w:r w:rsidR="00F1418F">
        <w:rPr>
          <w:rFonts w:cs="Times New Roman"/>
        </w:rPr>
        <w:t>Cir. 1999) (97-1633, 97-1634).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9F221" w14:textId="77777777" w:rsidR="00E767F4" w:rsidRDefault="00E767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21B84" w14:textId="77777777" w:rsidR="00E767F4" w:rsidRDefault="00E767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BF0DB" w14:textId="77777777" w:rsidR="00E767F4" w:rsidRDefault="00E76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A522A"/>
    <w:multiLevelType w:val="hybridMultilevel"/>
    <w:tmpl w:val="AA586D16"/>
    <w:lvl w:ilvl="0" w:tplc="672C62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98"/>
    <w:rsid w:val="000034AB"/>
    <w:rsid w:val="00004BDC"/>
    <w:rsid w:val="00007967"/>
    <w:rsid w:val="00011A9E"/>
    <w:rsid w:val="000142F5"/>
    <w:rsid w:val="00015853"/>
    <w:rsid w:val="000205D6"/>
    <w:rsid w:val="0002155B"/>
    <w:rsid w:val="00023714"/>
    <w:rsid w:val="0003065E"/>
    <w:rsid w:val="000312C7"/>
    <w:rsid w:val="00031AAC"/>
    <w:rsid w:val="00035C80"/>
    <w:rsid w:val="000452B7"/>
    <w:rsid w:val="00046CB2"/>
    <w:rsid w:val="000537B7"/>
    <w:rsid w:val="00056396"/>
    <w:rsid w:val="00062118"/>
    <w:rsid w:val="00062E67"/>
    <w:rsid w:val="000631E4"/>
    <w:rsid w:val="00066E66"/>
    <w:rsid w:val="000670CF"/>
    <w:rsid w:val="0007001E"/>
    <w:rsid w:val="00070BEA"/>
    <w:rsid w:val="000736A2"/>
    <w:rsid w:val="000738F6"/>
    <w:rsid w:val="00074704"/>
    <w:rsid w:val="00077761"/>
    <w:rsid w:val="000808C8"/>
    <w:rsid w:val="00082E85"/>
    <w:rsid w:val="00083BD4"/>
    <w:rsid w:val="00085245"/>
    <w:rsid w:val="00090D3A"/>
    <w:rsid w:val="00091B44"/>
    <w:rsid w:val="00094B40"/>
    <w:rsid w:val="00097D40"/>
    <w:rsid w:val="000A1064"/>
    <w:rsid w:val="000A138C"/>
    <w:rsid w:val="000A5D15"/>
    <w:rsid w:val="000B50F8"/>
    <w:rsid w:val="000B5EC3"/>
    <w:rsid w:val="000B60BE"/>
    <w:rsid w:val="000B6A3B"/>
    <w:rsid w:val="000B6B3E"/>
    <w:rsid w:val="000B6E98"/>
    <w:rsid w:val="000C15FE"/>
    <w:rsid w:val="000C1D64"/>
    <w:rsid w:val="000C1FA9"/>
    <w:rsid w:val="000D02FF"/>
    <w:rsid w:val="000D0940"/>
    <w:rsid w:val="000D2667"/>
    <w:rsid w:val="000D460E"/>
    <w:rsid w:val="000E4902"/>
    <w:rsid w:val="000E5591"/>
    <w:rsid w:val="000E602D"/>
    <w:rsid w:val="000E7269"/>
    <w:rsid w:val="000F24D8"/>
    <w:rsid w:val="000F2E1B"/>
    <w:rsid w:val="000F5337"/>
    <w:rsid w:val="00101DC7"/>
    <w:rsid w:val="00101E63"/>
    <w:rsid w:val="00102F91"/>
    <w:rsid w:val="0010441D"/>
    <w:rsid w:val="00104656"/>
    <w:rsid w:val="001065C8"/>
    <w:rsid w:val="00110931"/>
    <w:rsid w:val="00120075"/>
    <w:rsid w:val="00121AC5"/>
    <w:rsid w:val="00122CB5"/>
    <w:rsid w:val="001266E3"/>
    <w:rsid w:val="00131640"/>
    <w:rsid w:val="00134655"/>
    <w:rsid w:val="001362C3"/>
    <w:rsid w:val="001372C5"/>
    <w:rsid w:val="00141A21"/>
    <w:rsid w:val="00142DA3"/>
    <w:rsid w:val="00143253"/>
    <w:rsid w:val="0014481A"/>
    <w:rsid w:val="00145674"/>
    <w:rsid w:val="0015123B"/>
    <w:rsid w:val="00151391"/>
    <w:rsid w:val="001523AA"/>
    <w:rsid w:val="00155E4B"/>
    <w:rsid w:val="001602CB"/>
    <w:rsid w:val="0016294E"/>
    <w:rsid w:val="00162B66"/>
    <w:rsid w:val="00162BFC"/>
    <w:rsid w:val="0016351E"/>
    <w:rsid w:val="001672FC"/>
    <w:rsid w:val="00173D0C"/>
    <w:rsid w:val="00176298"/>
    <w:rsid w:val="00180711"/>
    <w:rsid w:val="00180DFC"/>
    <w:rsid w:val="001824B5"/>
    <w:rsid w:val="001853AF"/>
    <w:rsid w:val="00186D75"/>
    <w:rsid w:val="00187EC2"/>
    <w:rsid w:val="001930C6"/>
    <w:rsid w:val="0019357F"/>
    <w:rsid w:val="001947A1"/>
    <w:rsid w:val="001953CC"/>
    <w:rsid w:val="0019713E"/>
    <w:rsid w:val="00197D84"/>
    <w:rsid w:val="001A0109"/>
    <w:rsid w:val="001A08B4"/>
    <w:rsid w:val="001A1174"/>
    <w:rsid w:val="001A44B2"/>
    <w:rsid w:val="001B2BCD"/>
    <w:rsid w:val="001B4160"/>
    <w:rsid w:val="001C62A6"/>
    <w:rsid w:val="001C6853"/>
    <w:rsid w:val="001D467D"/>
    <w:rsid w:val="001D4A8D"/>
    <w:rsid w:val="001D6D2A"/>
    <w:rsid w:val="001E0A56"/>
    <w:rsid w:val="001E25A5"/>
    <w:rsid w:val="001E36C8"/>
    <w:rsid w:val="001E3783"/>
    <w:rsid w:val="001E6C61"/>
    <w:rsid w:val="001E6E78"/>
    <w:rsid w:val="001E76E9"/>
    <w:rsid w:val="001E7C69"/>
    <w:rsid w:val="001F14C1"/>
    <w:rsid w:val="001F47EE"/>
    <w:rsid w:val="001F5184"/>
    <w:rsid w:val="001F52C7"/>
    <w:rsid w:val="001F5419"/>
    <w:rsid w:val="001F5540"/>
    <w:rsid w:val="001F75B1"/>
    <w:rsid w:val="001F76DE"/>
    <w:rsid w:val="00200DF5"/>
    <w:rsid w:val="00201033"/>
    <w:rsid w:val="00203605"/>
    <w:rsid w:val="00203FF7"/>
    <w:rsid w:val="00204D18"/>
    <w:rsid w:val="00205A54"/>
    <w:rsid w:val="002103AC"/>
    <w:rsid w:val="002127FD"/>
    <w:rsid w:val="00213D46"/>
    <w:rsid w:val="00214330"/>
    <w:rsid w:val="00214409"/>
    <w:rsid w:val="0021486B"/>
    <w:rsid w:val="00217642"/>
    <w:rsid w:val="002213DF"/>
    <w:rsid w:val="00221457"/>
    <w:rsid w:val="002214D3"/>
    <w:rsid w:val="00221BDC"/>
    <w:rsid w:val="00222650"/>
    <w:rsid w:val="00222DB4"/>
    <w:rsid w:val="00224216"/>
    <w:rsid w:val="00224842"/>
    <w:rsid w:val="00224F64"/>
    <w:rsid w:val="00225899"/>
    <w:rsid w:val="0022592E"/>
    <w:rsid w:val="00226BCE"/>
    <w:rsid w:val="002310C0"/>
    <w:rsid w:val="00231186"/>
    <w:rsid w:val="002318E3"/>
    <w:rsid w:val="00231D89"/>
    <w:rsid w:val="002333F7"/>
    <w:rsid w:val="00233B0F"/>
    <w:rsid w:val="00235810"/>
    <w:rsid w:val="00235BE3"/>
    <w:rsid w:val="002404F6"/>
    <w:rsid w:val="002416FF"/>
    <w:rsid w:val="00241B2A"/>
    <w:rsid w:val="0024326A"/>
    <w:rsid w:val="00244EE7"/>
    <w:rsid w:val="00245D2B"/>
    <w:rsid w:val="00245F7E"/>
    <w:rsid w:val="00251666"/>
    <w:rsid w:val="002634D7"/>
    <w:rsid w:val="00263652"/>
    <w:rsid w:val="0026657B"/>
    <w:rsid w:val="00266D69"/>
    <w:rsid w:val="00267779"/>
    <w:rsid w:val="0027279F"/>
    <w:rsid w:val="002727DE"/>
    <w:rsid w:val="00273A32"/>
    <w:rsid w:val="0027494E"/>
    <w:rsid w:val="0027712C"/>
    <w:rsid w:val="0028284C"/>
    <w:rsid w:val="00292116"/>
    <w:rsid w:val="00292A13"/>
    <w:rsid w:val="00294719"/>
    <w:rsid w:val="00294DD7"/>
    <w:rsid w:val="00295D98"/>
    <w:rsid w:val="002970FD"/>
    <w:rsid w:val="002A434C"/>
    <w:rsid w:val="002B18D2"/>
    <w:rsid w:val="002B4343"/>
    <w:rsid w:val="002B5A39"/>
    <w:rsid w:val="002B5FF0"/>
    <w:rsid w:val="002C011B"/>
    <w:rsid w:val="002C01D5"/>
    <w:rsid w:val="002C1D65"/>
    <w:rsid w:val="002C2016"/>
    <w:rsid w:val="002C3B85"/>
    <w:rsid w:val="002C3E5D"/>
    <w:rsid w:val="002C7456"/>
    <w:rsid w:val="002D0574"/>
    <w:rsid w:val="002D2D0D"/>
    <w:rsid w:val="002D310F"/>
    <w:rsid w:val="002D73BA"/>
    <w:rsid w:val="002E5536"/>
    <w:rsid w:val="002E5893"/>
    <w:rsid w:val="002F1B68"/>
    <w:rsid w:val="002F3664"/>
    <w:rsid w:val="002F3B9C"/>
    <w:rsid w:val="002F4B67"/>
    <w:rsid w:val="002F7299"/>
    <w:rsid w:val="002F7FCC"/>
    <w:rsid w:val="00300F5F"/>
    <w:rsid w:val="00302662"/>
    <w:rsid w:val="003059BB"/>
    <w:rsid w:val="00310BE0"/>
    <w:rsid w:val="00313079"/>
    <w:rsid w:val="003148D7"/>
    <w:rsid w:val="00314B9E"/>
    <w:rsid w:val="0031766B"/>
    <w:rsid w:val="00330165"/>
    <w:rsid w:val="00340DDE"/>
    <w:rsid w:val="00343C22"/>
    <w:rsid w:val="00346B47"/>
    <w:rsid w:val="00347495"/>
    <w:rsid w:val="00347EFD"/>
    <w:rsid w:val="00352417"/>
    <w:rsid w:val="00353091"/>
    <w:rsid w:val="00353547"/>
    <w:rsid w:val="00355630"/>
    <w:rsid w:val="00361388"/>
    <w:rsid w:val="00363E56"/>
    <w:rsid w:val="003668FC"/>
    <w:rsid w:val="003670A7"/>
    <w:rsid w:val="0037033C"/>
    <w:rsid w:val="003721EE"/>
    <w:rsid w:val="00377FD5"/>
    <w:rsid w:val="003837CD"/>
    <w:rsid w:val="00385571"/>
    <w:rsid w:val="00386507"/>
    <w:rsid w:val="003909A0"/>
    <w:rsid w:val="0039292A"/>
    <w:rsid w:val="003942BB"/>
    <w:rsid w:val="0039676E"/>
    <w:rsid w:val="00396B73"/>
    <w:rsid w:val="00396BD2"/>
    <w:rsid w:val="00396ED6"/>
    <w:rsid w:val="00397432"/>
    <w:rsid w:val="003A14DD"/>
    <w:rsid w:val="003A2503"/>
    <w:rsid w:val="003A37B6"/>
    <w:rsid w:val="003A4DCF"/>
    <w:rsid w:val="003B625B"/>
    <w:rsid w:val="003B694C"/>
    <w:rsid w:val="003B7531"/>
    <w:rsid w:val="003C1D20"/>
    <w:rsid w:val="003C2566"/>
    <w:rsid w:val="003D3456"/>
    <w:rsid w:val="003D5837"/>
    <w:rsid w:val="003D6844"/>
    <w:rsid w:val="003E1BB1"/>
    <w:rsid w:val="003E1F94"/>
    <w:rsid w:val="003E31BF"/>
    <w:rsid w:val="003E3AA0"/>
    <w:rsid w:val="003E5ABF"/>
    <w:rsid w:val="003E6770"/>
    <w:rsid w:val="003F1314"/>
    <w:rsid w:val="003F2700"/>
    <w:rsid w:val="003F6462"/>
    <w:rsid w:val="003F709C"/>
    <w:rsid w:val="00405C8E"/>
    <w:rsid w:val="004079C6"/>
    <w:rsid w:val="0041336C"/>
    <w:rsid w:val="0041347F"/>
    <w:rsid w:val="00414F64"/>
    <w:rsid w:val="004156EF"/>
    <w:rsid w:val="0041780C"/>
    <w:rsid w:val="00417E13"/>
    <w:rsid w:val="00420AF8"/>
    <w:rsid w:val="0042281A"/>
    <w:rsid w:val="00423429"/>
    <w:rsid w:val="00426BF7"/>
    <w:rsid w:val="0043178E"/>
    <w:rsid w:val="0043195E"/>
    <w:rsid w:val="004339A7"/>
    <w:rsid w:val="0043731C"/>
    <w:rsid w:val="00440F48"/>
    <w:rsid w:val="0044426A"/>
    <w:rsid w:val="00446271"/>
    <w:rsid w:val="0044644C"/>
    <w:rsid w:val="004506FF"/>
    <w:rsid w:val="00454B4B"/>
    <w:rsid w:val="004603BB"/>
    <w:rsid w:val="00460A91"/>
    <w:rsid w:val="00464AEA"/>
    <w:rsid w:val="00465851"/>
    <w:rsid w:val="00471E0B"/>
    <w:rsid w:val="0047210F"/>
    <w:rsid w:val="004801BA"/>
    <w:rsid w:val="00480687"/>
    <w:rsid w:val="00484618"/>
    <w:rsid w:val="00486D88"/>
    <w:rsid w:val="00487392"/>
    <w:rsid w:val="00493EAA"/>
    <w:rsid w:val="00494F36"/>
    <w:rsid w:val="0049772C"/>
    <w:rsid w:val="004A1C66"/>
    <w:rsid w:val="004A4DA3"/>
    <w:rsid w:val="004A4FDD"/>
    <w:rsid w:val="004A68F8"/>
    <w:rsid w:val="004A7724"/>
    <w:rsid w:val="004A7DF5"/>
    <w:rsid w:val="004B2210"/>
    <w:rsid w:val="004B3A74"/>
    <w:rsid w:val="004B7A3B"/>
    <w:rsid w:val="004C017B"/>
    <w:rsid w:val="004C056D"/>
    <w:rsid w:val="004C1616"/>
    <w:rsid w:val="004C1FC0"/>
    <w:rsid w:val="004C3DF9"/>
    <w:rsid w:val="004D04F3"/>
    <w:rsid w:val="004E1A90"/>
    <w:rsid w:val="004E225F"/>
    <w:rsid w:val="004E2C54"/>
    <w:rsid w:val="004E348E"/>
    <w:rsid w:val="004E35C9"/>
    <w:rsid w:val="004E4325"/>
    <w:rsid w:val="004E43BE"/>
    <w:rsid w:val="004E4E8C"/>
    <w:rsid w:val="004F1A5B"/>
    <w:rsid w:val="004F1C82"/>
    <w:rsid w:val="004F5BD9"/>
    <w:rsid w:val="004F632A"/>
    <w:rsid w:val="00502169"/>
    <w:rsid w:val="0050294A"/>
    <w:rsid w:val="00507CCD"/>
    <w:rsid w:val="00511325"/>
    <w:rsid w:val="005115EA"/>
    <w:rsid w:val="005118A2"/>
    <w:rsid w:val="00513FFD"/>
    <w:rsid w:val="005168A7"/>
    <w:rsid w:val="00517AF6"/>
    <w:rsid w:val="00520634"/>
    <w:rsid w:val="005241AD"/>
    <w:rsid w:val="00524581"/>
    <w:rsid w:val="00530AE2"/>
    <w:rsid w:val="005340F9"/>
    <w:rsid w:val="0053429B"/>
    <w:rsid w:val="00536576"/>
    <w:rsid w:val="005366D1"/>
    <w:rsid w:val="0053773A"/>
    <w:rsid w:val="00537DE2"/>
    <w:rsid w:val="00542EC4"/>
    <w:rsid w:val="00546CDF"/>
    <w:rsid w:val="005473A8"/>
    <w:rsid w:val="005520E2"/>
    <w:rsid w:val="00552A3C"/>
    <w:rsid w:val="00555BC6"/>
    <w:rsid w:val="00556195"/>
    <w:rsid w:val="0055692B"/>
    <w:rsid w:val="00556AE4"/>
    <w:rsid w:val="00556F41"/>
    <w:rsid w:val="00563844"/>
    <w:rsid w:val="0056546B"/>
    <w:rsid w:val="005666A1"/>
    <w:rsid w:val="00566837"/>
    <w:rsid w:val="00566B48"/>
    <w:rsid w:val="00570014"/>
    <w:rsid w:val="005738A6"/>
    <w:rsid w:val="005752F8"/>
    <w:rsid w:val="0057641B"/>
    <w:rsid w:val="00576561"/>
    <w:rsid w:val="0057657F"/>
    <w:rsid w:val="0057668E"/>
    <w:rsid w:val="005767CF"/>
    <w:rsid w:val="005802DC"/>
    <w:rsid w:val="0058274F"/>
    <w:rsid w:val="005828C6"/>
    <w:rsid w:val="005848C5"/>
    <w:rsid w:val="00584DB4"/>
    <w:rsid w:val="00586B5F"/>
    <w:rsid w:val="00587F7E"/>
    <w:rsid w:val="0059174F"/>
    <w:rsid w:val="00593536"/>
    <w:rsid w:val="0059587D"/>
    <w:rsid w:val="00595A7B"/>
    <w:rsid w:val="00597C0F"/>
    <w:rsid w:val="005A0073"/>
    <w:rsid w:val="005A0584"/>
    <w:rsid w:val="005A19E8"/>
    <w:rsid w:val="005A25E4"/>
    <w:rsid w:val="005A71FB"/>
    <w:rsid w:val="005A7A75"/>
    <w:rsid w:val="005B1091"/>
    <w:rsid w:val="005B1328"/>
    <w:rsid w:val="005B2984"/>
    <w:rsid w:val="005B60B8"/>
    <w:rsid w:val="005B62DE"/>
    <w:rsid w:val="005C03FB"/>
    <w:rsid w:val="005C7562"/>
    <w:rsid w:val="005D12BC"/>
    <w:rsid w:val="005D1B19"/>
    <w:rsid w:val="005D2FEA"/>
    <w:rsid w:val="005D3AC0"/>
    <w:rsid w:val="005D40FA"/>
    <w:rsid w:val="005D6BAD"/>
    <w:rsid w:val="005D7E27"/>
    <w:rsid w:val="005E1113"/>
    <w:rsid w:val="005E20F2"/>
    <w:rsid w:val="005E235B"/>
    <w:rsid w:val="005E2AA9"/>
    <w:rsid w:val="005E2B3D"/>
    <w:rsid w:val="005E500E"/>
    <w:rsid w:val="005E53EA"/>
    <w:rsid w:val="005E596A"/>
    <w:rsid w:val="005E6132"/>
    <w:rsid w:val="005E639B"/>
    <w:rsid w:val="005E6924"/>
    <w:rsid w:val="005F0CDE"/>
    <w:rsid w:val="00600DB6"/>
    <w:rsid w:val="006025B7"/>
    <w:rsid w:val="006035ED"/>
    <w:rsid w:val="00603E1F"/>
    <w:rsid w:val="00610D2B"/>
    <w:rsid w:val="00612040"/>
    <w:rsid w:val="0061275D"/>
    <w:rsid w:val="00612E92"/>
    <w:rsid w:val="006162BC"/>
    <w:rsid w:val="006176AC"/>
    <w:rsid w:val="00620C7D"/>
    <w:rsid w:val="0062280B"/>
    <w:rsid w:val="00623ABB"/>
    <w:rsid w:val="00626718"/>
    <w:rsid w:val="0063129E"/>
    <w:rsid w:val="00631EEB"/>
    <w:rsid w:val="00632AAA"/>
    <w:rsid w:val="00634438"/>
    <w:rsid w:val="0063591A"/>
    <w:rsid w:val="00637E55"/>
    <w:rsid w:val="006417CE"/>
    <w:rsid w:val="00642091"/>
    <w:rsid w:val="00642894"/>
    <w:rsid w:val="006443CA"/>
    <w:rsid w:val="00646B00"/>
    <w:rsid w:val="00646BDC"/>
    <w:rsid w:val="0064717B"/>
    <w:rsid w:val="006511C2"/>
    <w:rsid w:val="00652FB2"/>
    <w:rsid w:val="00653F9C"/>
    <w:rsid w:val="00654858"/>
    <w:rsid w:val="00654A20"/>
    <w:rsid w:val="00657531"/>
    <w:rsid w:val="0066249E"/>
    <w:rsid w:val="0066674C"/>
    <w:rsid w:val="00670E47"/>
    <w:rsid w:val="00671307"/>
    <w:rsid w:val="006727CF"/>
    <w:rsid w:val="00673824"/>
    <w:rsid w:val="00675B10"/>
    <w:rsid w:val="006812FD"/>
    <w:rsid w:val="00682BB1"/>
    <w:rsid w:val="006852A5"/>
    <w:rsid w:val="006906CD"/>
    <w:rsid w:val="006909C0"/>
    <w:rsid w:val="0069274D"/>
    <w:rsid w:val="006948BF"/>
    <w:rsid w:val="00694A32"/>
    <w:rsid w:val="00694E89"/>
    <w:rsid w:val="006A0FE0"/>
    <w:rsid w:val="006A164F"/>
    <w:rsid w:val="006A16E3"/>
    <w:rsid w:val="006A5357"/>
    <w:rsid w:val="006A5B77"/>
    <w:rsid w:val="006B1D81"/>
    <w:rsid w:val="006B51BE"/>
    <w:rsid w:val="006B5345"/>
    <w:rsid w:val="006B5411"/>
    <w:rsid w:val="006B7BFE"/>
    <w:rsid w:val="006C07A2"/>
    <w:rsid w:val="006C09A4"/>
    <w:rsid w:val="006C0B23"/>
    <w:rsid w:val="006C1E89"/>
    <w:rsid w:val="006C444F"/>
    <w:rsid w:val="006C5050"/>
    <w:rsid w:val="006C5FAD"/>
    <w:rsid w:val="006D6D5C"/>
    <w:rsid w:val="006D7FDA"/>
    <w:rsid w:val="006E3840"/>
    <w:rsid w:val="006E4E01"/>
    <w:rsid w:val="006F04D4"/>
    <w:rsid w:val="006F2350"/>
    <w:rsid w:val="006F2EB0"/>
    <w:rsid w:val="006F4F55"/>
    <w:rsid w:val="00700117"/>
    <w:rsid w:val="00704C9B"/>
    <w:rsid w:val="0070556F"/>
    <w:rsid w:val="00705FC6"/>
    <w:rsid w:val="007118F4"/>
    <w:rsid w:val="00712224"/>
    <w:rsid w:val="00712FF5"/>
    <w:rsid w:val="00715DD6"/>
    <w:rsid w:val="00716837"/>
    <w:rsid w:val="007176FF"/>
    <w:rsid w:val="00722A2C"/>
    <w:rsid w:val="00734832"/>
    <w:rsid w:val="00736F60"/>
    <w:rsid w:val="00737833"/>
    <w:rsid w:val="007400D2"/>
    <w:rsid w:val="00740820"/>
    <w:rsid w:val="007409A3"/>
    <w:rsid w:val="0074529E"/>
    <w:rsid w:val="007500D3"/>
    <w:rsid w:val="0075233F"/>
    <w:rsid w:val="007523C9"/>
    <w:rsid w:val="007536E3"/>
    <w:rsid w:val="00756838"/>
    <w:rsid w:val="00761089"/>
    <w:rsid w:val="00761AF3"/>
    <w:rsid w:val="00766897"/>
    <w:rsid w:val="00770212"/>
    <w:rsid w:val="00774C80"/>
    <w:rsid w:val="007762C8"/>
    <w:rsid w:val="00780126"/>
    <w:rsid w:val="00783C3C"/>
    <w:rsid w:val="007866B5"/>
    <w:rsid w:val="007936D9"/>
    <w:rsid w:val="00793A9C"/>
    <w:rsid w:val="007A082F"/>
    <w:rsid w:val="007A0DCB"/>
    <w:rsid w:val="007A167C"/>
    <w:rsid w:val="007A22A6"/>
    <w:rsid w:val="007A32F9"/>
    <w:rsid w:val="007A6053"/>
    <w:rsid w:val="007A783B"/>
    <w:rsid w:val="007B167E"/>
    <w:rsid w:val="007C1C8E"/>
    <w:rsid w:val="007C35BA"/>
    <w:rsid w:val="007C3812"/>
    <w:rsid w:val="007C5D03"/>
    <w:rsid w:val="007C7058"/>
    <w:rsid w:val="007C7773"/>
    <w:rsid w:val="007D1883"/>
    <w:rsid w:val="007D624F"/>
    <w:rsid w:val="007E5106"/>
    <w:rsid w:val="007E5447"/>
    <w:rsid w:val="007E583A"/>
    <w:rsid w:val="007E617F"/>
    <w:rsid w:val="007F04B7"/>
    <w:rsid w:val="007F3B5B"/>
    <w:rsid w:val="007F79FA"/>
    <w:rsid w:val="00804485"/>
    <w:rsid w:val="00804CED"/>
    <w:rsid w:val="00804EF0"/>
    <w:rsid w:val="00807271"/>
    <w:rsid w:val="00810F6A"/>
    <w:rsid w:val="008121C0"/>
    <w:rsid w:val="008128E7"/>
    <w:rsid w:val="008132D1"/>
    <w:rsid w:val="00813560"/>
    <w:rsid w:val="0081397E"/>
    <w:rsid w:val="00816B1B"/>
    <w:rsid w:val="00827F3E"/>
    <w:rsid w:val="0083206D"/>
    <w:rsid w:val="0083258C"/>
    <w:rsid w:val="00834058"/>
    <w:rsid w:val="008348CC"/>
    <w:rsid w:val="00842563"/>
    <w:rsid w:val="0084514D"/>
    <w:rsid w:val="00847888"/>
    <w:rsid w:val="00850DA4"/>
    <w:rsid w:val="00852364"/>
    <w:rsid w:val="0085539C"/>
    <w:rsid w:val="00856601"/>
    <w:rsid w:val="008648C2"/>
    <w:rsid w:val="00865BE8"/>
    <w:rsid w:val="008676F0"/>
    <w:rsid w:val="00875577"/>
    <w:rsid w:val="00885BAB"/>
    <w:rsid w:val="00886E77"/>
    <w:rsid w:val="00887FED"/>
    <w:rsid w:val="00891CD5"/>
    <w:rsid w:val="008925A0"/>
    <w:rsid w:val="00892610"/>
    <w:rsid w:val="00895F20"/>
    <w:rsid w:val="008A6C3C"/>
    <w:rsid w:val="008A7D2A"/>
    <w:rsid w:val="008B09D6"/>
    <w:rsid w:val="008B4B20"/>
    <w:rsid w:val="008B4DF1"/>
    <w:rsid w:val="008B7519"/>
    <w:rsid w:val="008B7E9D"/>
    <w:rsid w:val="008B7EAC"/>
    <w:rsid w:val="008C5809"/>
    <w:rsid w:val="008C7FE3"/>
    <w:rsid w:val="008D18C1"/>
    <w:rsid w:val="008D6A7C"/>
    <w:rsid w:val="008E4286"/>
    <w:rsid w:val="008F1CE9"/>
    <w:rsid w:val="008F1DFE"/>
    <w:rsid w:val="008F3109"/>
    <w:rsid w:val="008F5437"/>
    <w:rsid w:val="008F74EA"/>
    <w:rsid w:val="008F77B9"/>
    <w:rsid w:val="008F7816"/>
    <w:rsid w:val="008F789C"/>
    <w:rsid w:val="009023BA"/>
    <w:rsid w:val="009036EE"/>
    <w:rsid w:val="00903FF8"/>
    <w:rsid w:val="009040D7"/>
    <w:rsid w:val="00911712"/>
    <w:rsid w:val="00911726"/>
    <w:rsid w:val="00912463"/>
    <w:rsid w:val="00913D25"/>
    <w:rsid w:val="009159C2"/>
    <w:rsid w:val="00915D4E"/>
    <w:rsid w:val="00916822"/>
    <w:rsid w:val="009215BB"/>
    <w:rsid w:val="00925A28"/>
    <w:rsid w:val="00925C56"/>
    <w:rsid w:val="00931436"/>
    <w:rsid w:val="00932DBA"/>
    <w:rsid w:val="00935212"/>
    <w:rsid w:val="00935A72"/>
    <w:rsid w:val="00935DA9"/>
    <w:rsid w:val="0093757C"/>
    <w:rsid w:val="0094127E"/>
    <w:rsid w:val="00941CBB"/>
    <w:rsid w:val="009431C2"/>
    <w:rsid w:val="00943F15"/>
    <w:rsid w:val="00945501"/>
    <w:rsid w:val="00946906"/>
    <w:rsid w:val="009500DA"/>
    <w:rsid w:val="009506AB"/>
    <w:rsid w:val="009533AB"/>
    <w:rsid w:val="0095615A"/>
    <w:rsid w:val="009612E2"/>
    <w:rsid w:val="00963939"/>
    <w:rsid w:val="0096400B"/>
    <w:rsid w:val="0096668D"/>
    <w:rsid w:val="00973058"/>
    <w:rsid w:val="00973A77"/>
    <w:rsid w:val="00974132"/>
    <w:rsid w:val="009741FB"/>
    <w:rsid w:val="00982E41"/>
    <w:rsid w:val="00983F60"/>
    <w:rsid w:val="00987470"/>
    <w:rsid w:val="00987BFC"/>
    <w:rsid w:val="009902D9"/>
    <w:rsid w:val="00990824"/>
    <w:rsid w:val="009910BA"/>
    <w:rsid w:val="00992A9A"/>
    <w:rsid w:val="0099497A"/>
    <w:rsid w:val="00994BAC"/>
    <w:rsid w:val="00994CF2"/>
    <w:rsid w:val="00995DB3"/>
    <w:rsid w:val="00995E9A"/>
    <w:rsid w:val="0099772F"/>
    <w:rsid w:val="009A2C43"/>
    <w:rsid w:val="009A4A71"/>
    <w:rsid w:val="009A5159"/>
    <w:rsid w:val="009A5582"/>
    <w:rsid w:val="009A5618"/>
    <w:rsid w:val="009B4CA7"/>
    <w:rsid w:val="009B5631"/>
    <w:rsid w:val="009B6A3B"/>
    <w:rsid w:val="009C0D5F"/>
    <w:rsid w:val="009C21D8"/>
    <w:rsid w:val="009C5B93"/>
    <w:rsid w:val="009C7A59"/>
    <w:rsid w:val="009D195C"/>
    <w:rsid w:val="009D1CE0"/>
    <w:rsid w:val="009D1D52"/>
    <w:rsid w:val="009D2CBE"/>
    <w:rsid w:val="009D34BE"/>
    <w:rsid w:val="009D3819"/>
    <w:rsid w:val="009E1209"/>
    <w:rsid w:val="009E389A"/>
    <w:rsid w:val="009E4577"/>
    <w:rsid w:val="009E5443"/>
    <w:rsid w:val="009F352A"/>
    <w:rsid w:val="009F710E"/>
    <w:rsid w:val="00A0145F"/>
    <w:rsid w:val="00A02698"/>
    <w:rsid w:val="00A02D16"/>
    <w:rsid w:val="00A042ED"/>
    <w:rsid w:val="00A049AD"/>
    <w:rsid w:val="00A05A7F"/>
    <w:rsid w:val="00A05B20"/>
    <w:rsid w:val="00A0647A"/>
    <w:rsid w:val="00A065AD"/>
    <w:rsid w:val="00A123BE"/>
    <w:rsid w:val="00A14FBD"/>
    <w:rsid w:val="00A15590"/>
    <w:rsid w:val="00A156C6"/>
    <w:rsid w:val="00A178AF"/>
    <w:rsid w:val="00A20597"/>
    <w:rsid w:val="00A21308"/>
    <w:rsid w:val="00A23CF3"/>
    <w:rsid w:val="00A24DC0"/>
    <w:rsid w:val="00A251AD"/>
    <w:rsid w:val="00A30835"/>
    <w:rsid w:val="00A30F4B"/>
    <w:rsid w:val="00A32C14"/>
    <w:rsid w:val="00A337DD"/>
    <w:rsid w:val="00A34434"/>
    <w:rsid w:val="00A34E8F"/>
    <w:rsid w:val="00A3585D"/>
    <w:rsid w:val="00A37166"/>
    <w:rsid w:val="00A3763B"/>
    <w:rsid w:val="00A404A4"/>
    <w:rsid w:val="00A4053E"/>
    <w:rsid w:val="00A40C0F"/>
    <w:rsid w:val="00A40F95"/>
    <w:rsid w:val="00A4136D"/>
    <w:rsid w:val="00A45336"/>
    <w:rsid w:val="00A46DFE"/>
    <w:rsid w:val="00A543E7"/>
    <w:rsid w:val="00A55502"/>
    <w:rsid w:val="00A65338"/>
    <w:rsid w:val="00A65712"/>
    <w:rsid w:val="00A66BD3"/>
    <w:rsid w:val="00A66DA9"/>
    <w:rsid w:val="00A71738"/>
    <w:rsid w:val="00A73C88"/>
    <w:rsid w:val="00A74550"/>
    <w:rsid w:val="00A801E9"/>
    <w:rsid w:val="00A80477"/>
    <w:rsid w:val="00A80730"/>
    <w:rsid w:val="00A80AC3"/>
    <w:rsid w:val="00A84346"/>
    <w:rsid w:val="00A85270"/>
    <w:rsid w:val="00A85589"/>
    <w:rsid w:val="00A86FB9"/>
    <w:rsid w:val="00A879DD"/>
    <w:rsid w:val="00A87ABD"/>
    <w:rsid w:val="00A90963"/>
    <w:rsid w:val="00A926DA"/>
    <w:rsid w:val="00A94192"/>
    <w:rsid w:val="00A954FD"/>
    <w:rsid w:val="00A95DF4"/>
    <w:rsid w:val="00AA11AF"/>
    <w:rsid w:val="00AA140C"/>
    <w:rsid w:val="00AA3CA8"/>
    <w:rsid w:val="00AA51C6"/>
    <w:rsid w:val="00AA68CB"/>
    <w:rsid w:val="00AA6A22"/>
    <w:rsid w:val="00AA7365"/>
    <w:rsid w:val="00AB2E71"/>
    <w:rsid w:val="00AB3973"/>
    <w:rsid w:val="00AB5890"/>
    <w:rsid w:val="00AB6B3F"/>
    <w:rsid w:val="00AB741D"/>
    <w:rsid w:val="00AC063F"/>
    <w:rsid w:val="00AC0BE3"/>
    <w:rsid w:val="00AC2F69"/>
    <w:rsid w:val="00AC344A"/>
    <w:rsid w:val="00AC39C5"/>
    <w:rsid w:val="00AC5FCB"/>
    <w:rsid w:val="00AC7F3F"/>
    <w:rsid w:val="00AD0306"/>
    <w:rsid w:val="00AD066A"/>
    <w:rsid w:val="00AD180A"/>
    <w:rsid w:val="00AD1F6F"/>
    <w:rsid w:val="00AD2091"/>
    <w:rsid w:val="00AD3553"/>
    <w:rsid w:val="00AE0908"/>
    <w:rsid w:val="00AE1D73"/>
    <w:rsid w:val="00AE21F2"/>
    <w:rsid w:val="00AE5FC8"/>
    <w:rsid w:val="00AE607E"/>
    <w:rsid w:val="00AE66AB"/>
    <w:rsid w:val="00AF0B96"/>
    <w:rsid w:val="00AF121D"/>
    <w:rsid w:val="00AF1D49"/>
    <w:rsid w:val="00AF3617"/>
    <w:rsid w:val="00AF36E7"/>
    <w:rsid w:val="00AF434A"/>
    <w:rsid w:val="00AF496A"/>
    <w:rsid w:val="00AF4D05"/>
    <w:rsid w:val="00B02D5E"/>
    <w:rsid w:val="00B044EC"/>
    <w:rsid w:val="00B05514"/>
    <w:rsid w:val="00B06493"/>
    <w:rsid w:val="00B06981"/>
    <w:rsid w:val="00B122AD"/>
    <w:rsid w:val="00B131A8"/>
    <w:rsid w:val="00B13325"/>
    <w:rsid w:val="00B147C0"/>
    <w:rsid w:val="00B161A2"/>
    <w:rsid w:val="00B16E92"/>
    <w:rsid w:val="00B17736"/>
    <w:rsid w:val="00B215BA"/>
    <w:rsid w:val="00B2590E"/>
    <w:rsid w:val="00B263C8"/>
    <w:rsid w:val="00B36C24"/>
    <w:rsid w:val="00B401BA"/>
    <w:rsid w:val="00B40B7A"/>
    <w:rsid w:val="00B443F9"/>
    <w:rsid w:val="00B454F0"/>
    <w:rsid w:val="00B457A7"/>
    <w:rsid w:val="00B46332"/>
    <w:rsid w:val="00B46859"/>
    <w:rsid w:val="00B46866"/>
    <w:rsid w:val="00B46EB7"/>
    <w:rsid w:val="00B472AD"/>
    <w:rsid w:val="00B50975"/>
    <w:rsid w:val="00B51734"/>
    <w:rsid w:val="00B52740"/>
    <w:rsid w:val="00B57325"/>
    <w:rsid w:val="00B602CE"/>
    <w:rsid w:val="00B6043A"/>
    <w:rsid w:val="00B60A58"/>
    <w:rsid w:val="00B61E2D"/>
    <w:rsid w:val="00B63762"/>
    <w:rsid w:val="00B72550"/>
    <w:rsid w:val="00B72DF2"/>
    <w:rsid w:val="00B73ED7"/>
    <w:rsid w:val="00B740A4"/>
    <w:rsid w:val="00B74A8B"/>
    <w:rsid w:val="00B750FB"/>
    <w:rsid w:val="00B76456"/>
    <w:rsid w:val="00B7749F"/>
    <w:rsid w:val="00B80113"/>
    <w:rsid w:val="00B840F8"/>
    <w:rsid w:val="00B85DCF"/>
    <w:rsid w:val="00B8600B"/>
    <w:rsid w:val="00B8608C"/>
    <w:rsid w:val="00B9046A"/>
    <w:rsid w:val="00B907B3"/>
    <w:rsid w:val="00B91740"/>
    <w:rsid w:val="00B951BA"/>
    <w:rsid w:val="00B97BD7"/>
    <w:rsid w:val="00BA2907"/>
    <w:rsid w:val="00BA2DC1"/>
    <w:rsid w:val="00BA482D"/>
    <w:rsid w:val="00BA556B"/>
    <w:rsid w:val="00BA57A0"/>
    <w:rsid w:val="00BB275E"/>
    <w:rsid w:val="00BB345C"/>
    <w:rsid w:val="00BB3D80"/>
    <w:rsid w:val="00BB6350"/>
    <w:rsid w:val="00BB65EC"/>
    <w:rsid w:val="00BB789E"/>
    <w:rsid w:val="00BB7B44"/>
    <w:rsid w:val="00BB7C32"/>
    <w:rsid w:val="00BC4DF1"/>
    <w:rsid w:val="00BC5DF0"/>
    <w:rsid w:val="00BC6522"/>
    <w:rsid w:val="00BC79D5"/>
    <w:rsid w:val="00BD48F8"/>
    <w:rsid w:val="00BD72CD"/>
    <w:rsid w:val="00BD7DEC"/>
    <w:rsid w:val="00BE1632"/>
    <w:rsid w:val="00BE204B"/>
    <w:rsid w:val="00BE23BB"/>
    <w:rsid w:val="00BE3B97"/>
    <w:rsid w:val="00BE4DE5"/>
    <w:rsid w:val="00BF04B2"/>
    <w:rsid w:val="00BF2849"/>
    <w:rsid w:val="00BF2BF8"/>
    <w:rsid w:val="00BF4017"/>
    <w:rsid w:val="00BF527C"/>
    <w:rsid w:val="00BF56A6"/>
    <w:rsid w:val="00BF6834"/>
    <w:rsid w:val="00BF6DC4"/>
    <w:rsid w:val="00BF708F"/>
    <w:rsid w:val="00BF7C25"/>
    <w:rsid w:val="00C01B1A"/>
    <w:rsid w:val="00C02092"/>
    <w:rsid w:val="00C0457D"/>
    <w:rsid w:val="00C0569B"/>
    <w:rsid w:val="00C1040E"/>
    <w:rsid w:val="00C10CD7"/>
    <w:rsid w:val="00C1116B"/>
    <w:rsid w:val="00C11817"/>
    <w:rsid w:val="00C12E72"/>
    <w:rsid w:val="00C154B1"/>
    <w:rsid w:val="00C22872"/>
    <w:rsid w:val="00C2372F"/>
    <w:rsid w:val="00C2601D"/>
    <w:rsid w:val="00C30E6C"/>
    <w:rsid w:val="00C347A9"/>
    <w:rsid w:val="00C403C4"/>
    <w:rsid w:val="00C40978"/>
    <w:rsid w:val="00C446DD"/>
    <w:rsid w:val="00C457F1"/>
    <w:rsid w:val="00C45F59"/>
    <w:rsid w:val="00C46C4B"/>
    <w:rsid w:val="00C53879"/>
    <w:rsid w:val="00C55C0A"/>
    <w:rsid w:val="00C6196B"/>
    <w:rsid w:val="00C62B92"/>
    <w:rsid w:val="00C633FB"/>
    <w:rsid w:val="00C636AF"/>
    <w:rsid w:val="00C67A37"/>
    <w:rsid w:val="00C716A8"/>
    <w:rsid w:val="00C7349D"/>
    <w:rsid w:val="00C73EED"/>
    <w:rsid w:val="00C752D2"/>
    <w:rsid w:val="00C82A85"/>
    <w:rsid w:val="00C83F7F"/>
    <w:rsid w:val="00C84558"/>
    <w:rsid w:val="00C8569C"/>
    <w:rsid w:val="00C91C50"/>
    <w:rsid w:val="00C92578"/>
    <w:rsid w:val="00CA0AF5"/>
    <w:rsid w:val="00CA10CE"/>
    <w:rsid w:val="00CA4EEB"/>
    <w:rsid w:val="00CA7EE2"/>
    <w:rsid w:val="00CB0482"/>
    <w:rsid w:val="00CB0688"/>
    <w:rsid w:val="00CB0944"/>
    <w:rsid w:val="00CB3BAE"/>
    <w:rsid w:val="00CB42EF"/>
    <w:rsid w:val="00CB52AA"/>
    <w:rsid w:val="00CB69D9"/>
    <w:rsid w:val="00CB6CAD"/>
    <w:rsid w:val="00CC4D40"/>
    <w:rsid w:val="00CC54C8"/>
    <w:rsid w:val="00CC6F5C"/>
    <w:rsid w:val="00CC7379"/>
    <w:rsid w:val="00CD36D6"/>
    <w:rsid w:val="00CD43D0"/>
    <w:rsid w:val="00CD6C25"/>
    <w:rsid w:val="00CE0427"/>
    <w:rsid w:val="00CE5948"/>
    <w:rsid w:val="00CE6318"/>
    <w:rsid w:val="00CF2AFE"/>
    <w:rsid w:val="00CF432E"/>
    <w:rsid w:val="00CF5197"/>
    <w:rsid w:val="00CF6474"/>
    <w:rsid w:val="00CF6501"/>
    <w:rsid w:val="00D0064B"/>
    <w:rsid w:val="00D0190A"/>
    <w:rsid w:val="00D02BFE"/>
    <w:rsid w:val="00D03706"/>
    <w:rsid w:val="00D06483"/>
    <w:rsid w:val="00D07BD2"/>
    <w:rsid w:val="00D12F03"/>
    <w:rsid w:val="00D15D85"/>
    <w:rsid w:val="00D20755"/>
    <w:rsid w:val="00D23C8A"/>
    <w:rsid w:val="00D26A6C"/>
    <w:rsid w:val="00D27AD8"/>
    <w:rsid w:val="00D27DAD"/>
    <w:rsid w:val="00D314B1"/>
    <w:rsid w:val="00D32B6A"/>
    <w:rsid w:val="00D3448E"/>
    <w:rsid w:val="00D34E8E"/>
    <w:rsid w:val="00D35743"/>
    <w:rsid w:val="00D3590A"/>
    <w:rsid w:val="00D35B7F"/>
    <w:rsid w:val="00D373AF"/>
    <w:rsid w:val="00D414E3"/>
    <w:rsid w:val="00D45A93"/>
    <w:rsid w:val="00D45FB6"/>
    <w:rsid w:val="00D46333"/>
    <w:rsid w:val="00D503EC"/>
    <w:rsid w:val="00D52623"/>
    <w:rsid w:val="00D57365"/>
    <w:rsid w:val="00D57B51"/>
    <w:rsid w:val="00D60725"/>
    <w:rsid w:val="00D612FF"/>
    <w:rsid w:val="00D63557"/>
    <w:rsid w:val="00D654B6"/>
    <w:rsid w:val="00D656D2"/>
    <w:rsid w:val="00D67D05"/>
    <w:rsid w:val="00D705EE"/>
    <w:rsid w:val="00D7151A"/>
    <w:rsid w:val="00D7193D"/>
    <w:rsid w:val="00D74B2A"/>
    <w:rsid w:val="00D75705"/>
    <w:rsid w:val="00D76683"/>
    <w:rsid w:val="00D807B1"/>
    <w:rsid w:val="00D822B1"/>
    <w:rsid w:val="00D83610"/>
    <w:rsid w:val="00D83712"/>
    <w:rsid w:val="00D838AB"/>
    <w:rsid w:val="00D84329"/>
    <w:rsid w:val="00D8684F"/>
    <w:rsid w:val="00D86D04"/>
    <w:rsid w:val="00D87F64"/>
    <w:rsid w:val="00D94854"/>
    <w:rsid w:val="00D94B3A"/>
    <w:rsid w:val="00D97A5B"/>
    <w:rsid w:val="00DA0C86"/>
    <w:rsid w:val="00DA4BCE"/>
    <w:rsid w:val="00DA551D"/>
    <w:rsid w:val="00DB0466"/>
    <w:rsid w:val="00DB065C"/>
    <w:rsid w:val="00DB294C"/>
    <w:rsid w:val="00DB30E1"/>
    <w:rsid w:val="00DB4742"/>
    <w:rsid w:val="00DB771E"/>
    <w:rsid w:val="00DC042B"/>
    <w:rsid w:val="00DC09F4"/>
    <w:rsid w:val="00DC173C"/>
    <w:rsid w:val="00DC2D81"/>
    <w:rsid w:val="00DC3698"/>
    <w:rsid w:val="00DD13EE"/>
    <w:rsid w:val="00DD505F"/>
    <w:rsid w:val="00DD5F1E"/>
    <w:rsid w:val="00DD6A48"/>
    <w:rsid w:val="00DD6D13"/>
    <w:rsid w:val="00DE1C35"/>
    <w:rsid w:val="00DE2C48"/>
    <w:rsid w:val="00DE37B0"/>
    <w:rsid w:val="00DE5299"/>
    <w:rsid w:val="00DE5D21"/>
    <w:rsid w:val="00DE700B"/>
    <w:rsid w:val="00DF15E4"/>
    <w:rsid w:val="00DF67E2"/>
    <w:rsid w:val="00DF7342"/>
    <w:rsid w:val="00DF7F03"/>
    <w:rsid w:val="00E00893"/>
    <w:rsid w:val="00E04922"/>
    <w:rsid w:val="00E0527D"/>
    <w:rsid w:val="00E076AB"/>
    <w:rsid w:val="00E07A60"/>
    <w:rsid w:val="00E10868"/>
    <w:rsid w:val="00E10A76"/>
    <w:rsid w:val="00E11D42"/>
    <w:rsid w:val="00E13316"/>
    <w:rsid w:val="00E13E4C"/>
    <w:rsid w:val="00E1613D"/>
    <w:rsid w:val="00E16225"/>
    <w:rsid w:val="00E16261"/>
    <w:rsid w:val="00E174B3"/>
    <w:rsid w:val="00E202CD"/>
    <w:rsid w:val="00E207B1"/>
    <w:rsid w:val="00E23614"/>
    <w:rsid w:val="00E23755"/>
    <w:rsid w:val="00E306CA"/>
    <w:rsid w:val="00E31096"/>
    <w:rsid w:val="00E3415C"/>
    <w:rsid w:val="00E35C59"/>
    <w:rsid w:val="00E36235"/>
    <w:rsid w:val="00E4012F"/>
    <w:rsid w:val="00E40F80"/>
    <w:rsid w:val="00E43638"/>
    <w:rsid w:val="00E455D1"/>
    <w:rsid w:val="00E46CFF"/>
    <w:rsid w:val="00E46D47"/>
    <w:rsid w:val="00E52D90"/>
    <w:rsid w:val="00E54E2C"/>
    <w:rsid w:val="00E57803"/>
    <w:rsid w:val="00E62083"/>
    <w:rsid w:val="00E64AF5"/>
    <w:rsid w:val="00E650BD"/>
    <w:rsid w:val="00E662CB"/>
    <w:rsid w:val="00E67102"/>
    <w:rsid w:val="00E67457"/>
    <w:rsid w:val="00E71B5E"/>
    <w:rsid w:val="00E725A2"/>
    <w:rsid w:val="00E7426E"/>
    <w:rsid w:val="00E750D6"/>
    <w:rsid w:val="00E751B4"/>
    <w:rsid w:val="00E75507"/>
    <w:rsid w:val="00E767F4"/>
    <w:rsid w:val="00E805B5"/>
    <w:rsid w:val="00E85A75"/>
    <w:rsid w:val="00E877EC"/>
    <w:rsid w:val="00E9383E"/>
    <w:rsid w:val="00E96CA8"/>
    <w:rsid w:val="00E974DF"/>
    <w:rsid w:val="00EA05C3"/>
    <w:rsid w:val="00EA0E17"/>
    <w:rsid w:val="00EA1CC8"/>
    <w:rsid w:val="00EA5F5A"/>
    <w:rsid w:val="00EB2593"/>
    <w:rsid w:val="00EB3D90"/>
    <w:rsid w:val="00EB4C99"/>
    <w:rsid w:val="00EB5650"/>
    <w:rsid w:val="00EB568A"/>
    <w:rsid w:val="00EC3AD3"/>
    <w:rsid w:val="00EC4423"/>
    <w:rsid w:val="00EC53A0"/>
    <w:rsid w:val="00EC5715"/>
    <w:rsid w:val="00EC6A80"/>
    <w:rsid w:val="00ED144F"/>
    <w:rsid w:val="00ED3404"/>
    <w:rsid w:val="00ED3457"/>
    <w:rsid w:val="00ED4E0F"/>
    <w:rsid w:val="00ED5669"/>
    <w:rsid w:val="00EE12A2"/>
    <w:rsid w:val="00EE1B04"/>
    <w:rsid w:val="00EE1E5B"/>
    <w:rsid w:val="00EE2E03"/>
    <w:rsid w:val="00EE328D"/>
    <w:rsid w:val="00EE4FEC"/>
    <w:rsid w:val="00EE50AC"/>
    <w:rsid w:val="00EE6EA6"/>
    <w:rsid w:val="00EE6EE3"/>
    <w:rsid w:val="00EF0A1B"/>
    <w:rsid w:val="00EF4A2C"/>
    <w:rsid w:val="00F01BFA"/>
    <w:rsid w:val="00F02235"/>
    <w:rsid w:val="00F05DAD"/>
    <w:rsid w:val="00F06255"/>
    <w:rsid w:val="00F11168"/>
    <w:rsid w:val="00F1322C"/>
    <w:rsid w:val="00F1418F"/>
    <w:rsid w:val="00F14F5C"/>
    <w:rsid w:val="00F216D1"/>
    <w:rsid w:val="00F22480"/>
    <w:rsid w:val="00F24DFC"/>
    <w:rsid w:val="00F2697D"/>
    <w:rsid w:val="00F26A5F"/>
    <w:rsid w:val="00F26F60"/>
    <w:rsid w:val="00F27C66"/>
    <w:rsid w:val="00F3190B"/>
    <w:rsid w:val="00F3190C"/>
    <w:rsid w:val="00F35DC5"/>
    <w:rsid w:val="00F417F6"/>
    <w:rsid w:val="00F42FB3"/>
    <w:rsid w:val="00F4578F"/>
    <w:rsid w:val="00F471D6"/>
    <w:rsid w:val="00F4724F"/>
    <w:rsid w:val="00F500E7"/>
    <w:rsid w:val="00F51955"/>
    <w:rsid w:val="00F522A3"/>
    <w:rsid w:val="00F60840"/>
    <w:rsid w:val="00F6086B"/>
    <w:rsid w:val="00F61008"/>
    <w:rsid w:val="00F62C14"/>
    <w:rsid w:val="00F62DB1"/>
    <w:rsid w:val="00F70937"/>
    <w:rsid w:val="00F714C6"/>
    <w:rsid w:val="00F72F93"/>
    <w:rsid w:val="00F7495C"/>
    <w:rsid w:val="00F751F5"/>
    <w:rsid w:val="00F759E1"/>
    <w:rsid w:val="00F800FA"/>
    <w:rsid w:val="00F8057C"/>
    <w:rsid w:val="00F80E14"/>
    <w:rsid w:val="00F81342"/>
    <w:rsid w:val="00F815B1"/>
    <w:rsid w:val="00F823BC"/>
    <w:rsid w:val="00F83D13"/>
    <w:rsid w:val="00F857CC"/>
    <w:rsid w:val="00F87374"/>
    <w:rsid w:val="00F902A2"/>
    <w:rsid w:val="00F9151B"/>
    <w:rsid w:val="00F917D3"/>
    <w:rsid w:val="00F91A36"/>
    <w:rsid w:val="00F921CF"/>
    <w:rsid w:val="00F9444D"/>
    <w:rsid w:val="00F96A6F"/>
    <w:rsid w:val="00FA08F2"/>
    <w:rsid w:val="00FA0C4D"/>
    <w:rsid w:val="00FA21AB"/>
    <w:rsid w:val="00FA383E"/>
    <w:rsid w:val="00FA46DE"/>
    <w:rsid w:val="00FA4719"/>
    <w:rsid w:val="00FB01D3"/>
    <w:rsid w:val="00FB1E5D"/>
    <w:rsid w:val="00FB2D5F"/>
    <w:rsid w:val="00FB7304"/>
    <w:rsid w:val="00FC1A7F"/>
    <w:rsid w:val="00FC1F6E"/>
    <w:rsid w:val="00FC2B00"/>
    <w:rsid w:val="00FC529A"/>
    <w:rsid w:val="00FC579B"/>
    <w:rsid w:val="00FC6629"/>
    <w:rsid w:val="00FC7A4B"/>
    <w:rsid w:val="00FD31B3"/>
    <w:rsid w:val="00FD773E"/>
    <w:rsid w:val="00FE43C5"/>
    <w:rsid w:val="00FE781C"/>
    <w:rsid w:val="00FF1B03"/>
    <w:rsid w:val="00FF5A89"/>
    <w:rsid w:val="00FF6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7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14D"/>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514D"/>
    <w:rPr>
      <w:sz w:val="20"/>
      <w:szCs w:val="20"/>
    </w:rPr>
  </w:style>
  <w:style w:type="character" w:customStyle="1" w:styleId="FootnoteTextChar">
    <w:name w:val="Footnote Text Char"/>
    <w:basedOn w:val="DefaultParagraphFont"/>
    <w:link w:val="FootnoteText"/>
    <w:uiPriority w:val="99"/>
    <w:semiHidden/>
    <w:rsid w:val="0084514D"/>
    <w:rPr>
      <w:rFonts w:ascii="Times New Roman" w:hAnsi="Times New Roman"/>
      <w:sz w:val="20"/>
      <w:szCs w:val="20"/>
    </w:rPr>
  </w:style>
  <w:style w:type="character" w:styleId="FootnoteReference">
    <w:name w:val="footnote reference"/>
    <w:aliases w:val="Style 12,(NECG) Footnote Reference,Appel note de bas de p,Style 124,o,fr,Style 3,Style 13,FR,Style 17,Style 6,Footnote Reference/,Style 7,Style 4,Style 34,Style 9,Footnote Reference1"/>
    <w:basedOn w:val="DefaultParagraphFont"/>
    <w:uiPriority w:val="99"/>
    <w:unhideWhenUsed/>
    <w:rsid w:val="001A1174"/>
    <w:rPr>
      <w:vertAlign w:val="superscript"/>
    </w:rPr>
  </w:style>
  <w:style w:type="character" w:styleId="CommentReference">
    <w:name w:val="annotation reference"/>
    <w:basedOn w:val="DefaultParagraphFont"/>
    <w:uiPriority w:val="99"/>
    <w:semiHidden/>
    <w:unhideWhenUsed/>
    <w:rsid w:val="00B06493"/>
    <w:rPr>
      <w:sz w:val="16"/>
      <w:szCs w:val="16"/>
    </w:rPr>
  </w:style>
  <w:style w:type="paragraph" w:styleId="CommentText">
    <w:name w:val="annotation text"/>
    <w:basedOn w:val="Normal"/>
    <w:link w:val="CommentTextChar"/>
    <w:uiPriority w:val="99"/>
    <w:semiHidden/>
    <w:unhideWhenUsed/>
    <w:rsid w:val="00B06493"/>
    <w:rPr>
      <w:sz w:val="20"/>
      <w:szCs w:val="20"/>
    </w:rPr>
  </w:style>
  <w:style w:type="character" w:customStyle="1" w:styleId="CommentTextChar">
    <w:name w:val="Comment Text Char"/>
    <w:basedOn w:val="DefaultParagraphFont"/>
    <w:link w:val="CommentText"/>
    <w:uiPriority w:val="99"/>
    <w:semiHidden/>
    <w:rsid w:val="00B06493"/>
    <w:rPr>
      <w:sz w:val="20"/>
      <w:szCs w:val="20"/>
    </w:rPr>
  </w:style>
  <w:style w:type="paragraph" w:styleId="CommentSubject">
    <w:name w:val="annotation subject"/>
    <w:basedOn w:val="CommentText"/>
    <w:next w:val="CommentText"/>
    <w:link w:val="CommentSubjectChar"/>
    <w:uiPriority w:val="99"/>
    <w:semiHidden/>
    <w:unhideWhenUsed/>
    <w:rsid w:val="00B06493"/>
    <w:rPr>
      <w:b/>
      <w:bCs/>
    </w:rPr>
  </w:style>
  <w:style w:type="character" w:customStyle="1" w:styleId="CommentSubjectChar">
    <w:name w:val="Comment Subject Char"/>
    <w:basedOn w:val="CommentTextChar"/>
    <w:link w:val="CommentSubject"/>
    <w:uiPriority w:val="99"/>
    <w:semiHidden/>
    <w:rsid w:val="00B06493"/>
    <w:rPr>
      <w:b/>
      <w:bCs/>
      <w:sz w:val="20"/>
      <w:szCs w:val="20"/>
    </w:rPr>
  </w:style>
  <w:style w:type="paragraph" w:styleId="BalloonText">
    <w:name w:val="Balloon Text"/>
    <w:basedOn w:val="Normal"/>
    <w:link w:val="BalloonTextChar"/>
    <w:uiPriority w:val="99"/>
    <w:semiHidden/>
    <w:unhideWhenUsed/>
    <w:rsid w:val="00B064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493"/>
    <w:rPr>
      <w:rFonts w:ascii="Segoe UI" w:hAnsi="Segoe UI" w:cs="Segoe UI"/>
      <w:sz w:val="18"/>
      <w:szCs w:val="18"/>
    </w:rPr>
  </w:style>
  <w:style w:type="paragraph" w:styleId="ListParagraph">
    <w:name w:val="List Paragraph"/>
    <w:basedOn w:val="Normal"/>
    <w:uiPriority w:val="34"/>
    <w:qFormat/>
    <w:rsid w:val="00074704"/>
    <w:pPr>
      <w:ind w:left="720"/>
      <w:contextualSpacing/>
    </w:pPr>
  </w:style>
  <w:style w:type="paragraph" w:styleId="Header">
    <w:name w:val="header"/>
    <w:basedOn w:val="Normal"/>
    <w:link w:val="HeaderChar"/>
    <w:uiPriority w:val="99"/>
    <w:unhideWhenUsed/>
    <w:rsid w:val="00875577"/>
    <w:pPr>
      <w:tabs>
        <w:tab w:val="center" w:pos="4680"/>
        <w:tab w:val="right" w:pos="9360"/>
      </w:tabs>
      <w:spacing w:after="0"/>
    </w:pPr>
  </w:style>
  <w:style w:type="character" w:customStyle="1" w:styleId="HeaderChar">
    <w:name w:val="Header Char"/>
    <w:basedOn w:val="DefaultParagraphFont"/>
    <w:link w:val="Header"/>
    <w:uiPriority w:val="99"/>
    <w:rsid w:val="00875577"/>
    <w:rPr>
      <w:rFonts w:ascii="Times New Roman" w:hAnsi="Times New Roman"/>
    </w:rPr>
  </w:style>
  <w:style w:type="paragraph" w:styleId="Footer">
    <w:name w:val="footer"/>
    <w:basedOn w:val="Normal"/>
    <w:link w:val="FooterChar"/>
    <w:uiPriority w:val="99"/>
    <w:unhideWhenUsed/>
    <w:rsid w:val="00875577"/>
    <w:pPr>
      <w:tabs>
        <w:tab w:val="center" w:pos="4680"/>
        <w:tab w:val="right" w:pos="9360"/>
      </w:tabs>
      <w:spacing w:after="0"/>
    </w:pPr>
  </w:style>
  <w:style w:type="character" w:customStyle="1" w:styleId="FooterChar">
    <w:name w:val="Footer Char"/>
    <w:basedOn w:val="DefaultParagraphFont"/>
    <w:link w:val="Footer"/>
    <w:uiPriority w:val="99"/>
    <w:rsid w:val="0087557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14D"/>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514D"/>
    <w:rPr>
      <w:sz w:val="20"/>
      <w:szCs w:val="20"/>
    </w:rPr>
  </w:style>
  <w:style w:type="character" w:customStyle="1" w:styleId="FootnoteTextChar">
    <w:name w:val="Footnote Text Char"/>
    <w:basedOn w:val="DefaultParagraphFont"/>
    <w:link w:val="FootnoteText"/>
    <w:uiPriority w:val="99"/>
    <w:semiHidden/>
    <w:rsid w:val="0084514D"/>
    <w:rPr>
      <w:rFonts w:ascii="Times New Roman" w:hAnsi="Times New Roman"/>
      <w:sz w:val="20"/>
      <w:szCs w:val="20"/>
    </w:rPr>
  </w:style>
  <w:style w:type="character" w:styleId="FootnoteReference">
    <w:name w:val="footnote reference"/>
    <w:aliases w:val="Style 12,(NECG) Footnote Reference,Appel note de bas de p,Style 124,o,fr,Style 3,Style 13,FR,Style 17,Style 6,Footnote Reference/,Style 7,Style 4,Style 34,Style 9,Footnote Reference1"/>
    <w:basedOn w:val="DefaultParagraphFont"/>
    <w:uiPriority w:val="99"/>
    <w:unhideWhenUsed/>
    <w:rsid w:val="001A1174"/>
    <w:rPr>
      <w:vertAlign w:val="superscript"/>
    </w:rPr>
  </w:style>
  <w:style w:type="character" w:styleId="CommentReference">
    <w:name w:val="annotation reference"/>
    <w:basedOn w:val="DefaultParagraphFont"/>
    <w:uiPriority w:val="99"/>
    <w:semiHidden/>
    <w:unhideWhenUsed/>
    <w:rsid w:val="00B06493"/>
    <w:rPr>
      <w:sz w:val="16"/>
      <w:szCs w:val="16"/>
    </w:rPr>
  </w:style>
  <w:style w:type="paragraph" w:styleId="CommentText">
    <w:name w:val="annotation text"/>
    <w:basedOn w:val="Normal"/>
    <w:link w:val="CommentTextChar"/>
    <w:uiPriority w:val="99"/>
    <w:semiHidden/>
    <w:unhideWhenUsed/>
    <w:rsid w:val="00B06493"/>
    <w:rPr>
      <w:sz w:val="20"/>
      <w:szCs w:val="20"/>
    </w:rPr>
  </w:style>
  <w:style w:type="character" w:customStyle="1" w:styleId="CommentTextChar">
    <w:name w:val="Comment Text Char"/>
    <w:basedOn w:val="DefaultParagraphFont"/>
    <w:link w:val="CommentText"/>
    <w:uiPriority w:val="99"/>
    <w:semiHidden/>
    <w:rsid w:val="00B06493"/>
    <w:rPr>
      <w:sz w:val="20"/>
      <w:szCs w:val="20"/>
    </w:rPr>
  </w:style>
  <w:style w:type="paragraph" w:styleId="CommentSubject">
    <w:name w:val="annotation subject"/>
    <w:basedOn w:val="CommentText"/>
    <w:next w:val="CommentText"/>
    <w:link w:val="CommentSubjectChar"/>
    <w:uiPriority w:val="99"/>
    <w:semiHidden/>
    <w:unhideWhenUsed/>
    <w:rsid w:val="00B06493"/>
    <w:rPr>
      <w:b/>
      <w:bCs/>
    </w:rPr>
  </w:style>
  <w:style w:type="character" w:customStyle="1" w:styleId="CommentSubjectChar">
    <w:name w:val="Comment Subject Char"/>
    <w:basedOn w:val="CommentTextChar"/>
    <w:link w:val="CommentSubject"/>
    <w:uiPriority w:val="99"/>
    <w:semiHidden/>
    <w:rsid w:val="00B06493"/>
    <w:rPr>
      <w:b/>
      <w:bCs/>
      <w:sz w:val="20"/>
      <w:szCs w:val="20"/>
    </w:rPr>
  </w:style>
  <w:style w:type="paragraph" w:styleId="BalloonText">
    <w:name w:val="Balloon Text"/>
    <w:basedOn w:val="Normal"/>
    <w:link w:val="BalloonTextChar"/>
    <w:uiPriority w:val="99"/>
    <w:semiHidden/>
    <w:unhideWhenUsed/>
    <w:rsid w:val="00B064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493"/>
    <w:rPr>
      <w:rFonts w:ascii="Segoe UI" w:hAnsi="Segoe UI" w:cs="Segoe UI"/>
      <w:sz w:val="18"/>
      <w:szCs w:val="18"/>
    </w:rPr>
  </w:style>
  <w:style w:type="paragraph" w:styleId="ListParagraph">
    <w:name w:val="List Paragraph"/>
    <w:basedOn w:val="Normal"/>
    <w:uiPriority w:val="34"/>
    <w:qFormat/>
    <w:rsid w:val="00074704"/>
    <w:pPr>
      <w:ind w:left="720"/>
      <w:contextualSpacing/>
    </w:pPr>
  </w:style>
  <w:style w:type="paragraph" w:styleId="Header">
    <w:name w:val="header"/>
    <w:basedOn w:val="Normal"/>
    <w:link w:val="HeaderChar"/>
    <w:uiPriority w:val="99"/>
    <w:unhideWhenUsed/>
    <w:rsid w:val="00875577"/>
    <w:pPr>
      <w:tabs>
        <w:tab w:val="center" w:pos="4680"/>
        <w:tab w:val="right" w:pos="9360"/>
      </w:tabs>
      <w:spacing w:after="0"/>
    </w:pPr>
  </w:style>
  <w:style w:type="character" w:customStyle="1" w:styleId="HeaderChar">
    <w:name w:val="Header Char"/>
    <w:basedOn w:val="DefaultParagraphFont"/>
    <w:link w:val="Header"/>
    <w:uiPriority w:val="99"/>
    <w:rsid w:val="00875577"/>
    <w:rPr>
      <w:rFonts w:ascii="Times New Roman" w:hAnsi="Times New Roman"/>
    </w:rPr>
  </w:style>
  <w:style w:type="paragraph" w:styleId="Footer">
    <w:name w:val="footer"/>
    <w:basedOn w:val="Normal"/>
    <w:link w:val="FooterChar"/>
    <w:uiPriority w:val="99"/>
    <w:unhideWhenUsed/>
    <w:rsid w:val="00875577"/>
    <w:pPr>
      <w:tabs>
        <w:tab w:val="center" w:pos="4680"/>
        <w:tab w:val="right" w:pos="9360"/>
      </w:tabs>
      <w:spacing w:after="0"/>
    </w:pPr>
  </w:style>
  <w:style w:type="character" w:customStyle="1" w:styleId="FooterChar">
    <w:name w:val="Footer Char"/>
    <w:basedOn w:val="DefaultParagraphFont"/>
    <w:link w:val="Footer"/>
    <w:uiPriority w:val="99"/>
    <w:rsid w:val="0087557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5530</Words>
  <Characters>30430</Characters>
  <Application>Microsoft Office Word</Application>
  <DocSecurity>0</DocSecurity>
  <Lines>396</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36054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2015-02-27T17:40:00Z</cp:lastPrinted>
  <dcterms:created xsi:type="dcterms:W3CDTF">2015-03-12T18:18:00Z</dcterms:created>
  <dcterms:modified xsi:type="dcterms:W3CDTF">2015-03-12T18:18:00Z</dcterms:modified>
  <cp:category> </cp:category>
  <cp:contentStatus> </cp:contentStatus>
</cp:coreProperties>
</file>