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EF" w:rsidRPr="003213F7" w:rsidRDefault="00A434EF">
      <w:pPr>
        <w:jc w:val="center"/>
        <w:rPr>
          <w:b/>
        </w:rPr>
      </w:pPr>
      <w:bookmarkStart w:id="0" w:name="_GoBack"/>
      <w:bookmarkEnd w:id="0"/>
      <w:r w:rsidRPr="003213F7">
        <w:rPr>
          <w:b/>
        </w:rPr>
        <w:t>Before the</w:t>
      </w:r>
    </w:p>
    <w:p w:rsidR="00A434EF" w:rsidRPr="003213F7" w:rsidRDefault="00A434EF">
      <w:pPr>
        <w:pStyle w:val="StyleBoldCentered"/>
        <w:rPr>
          <w:rFonts w:ascii="Times New Roman" w:hAnsi="Times New Roman"/>
        </w:rPr>
      </w:pPr>
      <w:r w:rsidRPr="003213F7">
        <w:rPr>
          <w:rFonts w:ascii="Times New Roman" w:hAnsi="Times New Roman"/>
        </w:rPr>
        <w:t>F</w:t>
      </w:r>
      <w:r w:rsidRPr="003213F7">
        <w:rPr>
          <w:rFonts w:ascii="Times New Roman" w:hAnsi="Times New Roman"/>
          <w:caps w:val="0"/>
        </w:rPr>
        <w:t>ederal Communications Commission</w:t>
      </w:r>
    </w:p>
    <w:p w:rsidR="00A434EF" w:rsidRPr="003213F7" w:rsidRDefault="00A434EF">
      <w:pPr>
        <w:pStyle w:val="StyleBoldCentered"/>
        <w:rPr>
          <w:rFonts w:ascii="Times New Roman" w:hAnsi="Times New Roman"/>
        </w:rPr>
      </w:pPr>
      <w:r w:rsidRPr="003213F7">
        <w:rPr>
          <w:rFonts w:ascii="Times New Roman" w:hAnsi="Times New Roman"/>
          <w:caps w:val="0"/>
        </w:rPr>
        <w:t>Washington</w:t>
      </w:r>
      <w:r w:rsidRPr="003213F7">
        <w:rPr>
          <w:rFonts w:ascii="Times New Roman" w:hAnsi="Times New Roman"/>
        </w:rPr>
        <w:t>, D.C. 20554</w:t>
      </w:r>
    </w:p>
    <w:p w:rsidR="00A434EF" w:rsidRPr="003213F7" w:rsidRDefault="00A434EF"/>
    <w:p w:rsidR="00A434EF" w:rsidRPr="003213F7" w:rsidRDefault="00A434EF"/>
    <w:tbl>
      <w:tblPr>
        <w:tblW w:w="0" w:type="auto"/>
        <w:tblLayout w:type="fixed"/>
        <w:tblLook w:val="0000" w:firstRow="0" w:lastRow="0" w:firstColumn="0" w:lastColumn="0" w:noHBand="0" w:noVBand="0"/>
      </w:tblPr>
      <w:tblGrid>
        <w:gridCol w:w="4698"/>
        <w:gridCol w:w="630"/>
        <w:gridCol w:w="4248"/>
      </w:tblGrid>
      <w:tr w:rsidR="00A434EF" w:rsidRPr="003213F7">
        <w:tc>
          <w:tcPr>
            <w:tcW w:w="4698" w:type="dxa"/>
          </w:tcPr>
          <w:p w:rsidR="00A434EF" w:rsidRPr="003213F7" w:rsidRDefault="00A434EF">
            <w:pPr>
              <w:tabs>
                <w:tab w:val="center" w:pos="4680"/>
              </w:tabs>
              <w:suppressAutoHyphens/>
              <w:rPr>
                <w:spacing w:val="-2"/>
              </w:rPr>
            </w:pPr>
            <w:r w:rsidRPr="003213F7">
              <w:rPr>
                <w:spacing w:val="-2"/>
              </w:rPr>
              <w:t>In the Matter of</w:t>
            </w:r>
          </w:p>
          <w:p w:rsidR="00A434EF" w:rsidRPr="003213F7" w:rsidRDefault="00A434EF">
            <w:pPr>
              <w:tabs>
                <w:tab w:val="center" w:pos="4680"/>
              </w:tabs>
              <w:suppressAutoHyphens/>
              <w:rPr>
                <w:spacing w:val="-2"/>
              </w:rPr>
            </w:pPr>
          </w:p>
          <w:p w:rsidR="00A434EF" w:rsidRPr="003213F7" w:rsidRDefault="00A434EF">
            <w:pPr>
              <w:tabs>
                <w:tab w:val="center" w:pos="4680"/>
              </w:tabs>
              <w:suppressAutoHyphens/>
              <w:rPr>
                <w:spacing w:val="-2"/>
              </w:rPr>
            </w:pPr>
            <w:r w:rsidRPr="003213F7">
              <w:rPr>
                <w:spacing w:val="-2"/>
              </w:rPr>
              <w:t>Carriage of Digital Television Broadcast</w:t>
            </w:r>
          </w:p>
          <w:p w:rsidR="00A434EF" w:rsidRPr="003213F7" w:rsidRDefault="00A434EF">
            <w:pPr>
              <w:tabs>
                <w:tab w:val="center" w:pos="4680"/>
              </w:tabs>
              <w:suppressAutoHyphens/>
              <w:rPr>
                <w:spacing w:val="-2"/>
              </w:rPr>
            </w:pPr>
            <w:r w:rsidRPr="003213F7">
              <w:rPr>
                <w:spacing w:val="-2"/>
              </w:rPr>
              <w:t>Signals:  Amendment to Part 76 of the Commission’s Rules</w:t>
            </w:r>
          </w:p>
        </w:tc>
        <w:tc>
          <w:tcPr>
            <w:tcW w:w="630" w:type="dxa"/>
          </w:tcPr>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spacing w:val="-2"/>
              </w:rPr>
            </w:pPr>
          </w:p>
        </w:tc>
        <w:tc>
          <w:tcPr>
            <w:tcW w:w="4248" w:type="dxa"/>
          </w:tcPr>
          <w:p w:rsidR="00A434EF" w:rsidRPr="003213F7" w:rsidRDefault="00A434EF">
            <w:pPr>
              <w:tabs>
                <w:tab w:val="center" w:pos="4680"/>
              </w:tabs>
              <w:suppressAutoHyphens/>
              <w:rPr>
                <w:spacing w:val="-2"/>
              </w:rPr>
            </w:pPr>
          </w:p>
          <w:p w:rsidR="00A434EF" w:rsidRPr="003213F7" w:rsidRDefault="00A434EF">
            <w:pPr>
              <w:pStyle w:val="TOAHeading"/>
              <w:tabs>
                <w:tab w:val="clear" w:pos="9360"/>
                <w:tab w:val="center" w:pos="4680"/>
              </w:tabs>
              <w:rPr>
                <w:spacing w:val="-2"/>
                <w:szCs w:val="22"/>
              </w:rPr>
            </w:pPr>
          </w:p>
          <w:p w:rsidR="00A434EF" w:rsidRPr="003213F7" w:rsidRDefault="00A434EF">
            <w:pPr>
              <w:tabs>
                <w:tab w:val="center" w:pos="4680"/>
              </w:tabs>
              <w:suppressAutoHyphens/>
              <w:rPr>
                <w:spacing w:val="-2"/>
              </w:rPr>
            </w:pPr>
            <w:r w:rsidRPr="003213F7">
              <w:rPr>
                <w:spacing w:val="-2"/>
              </w:rPr>
              <w:t>CS Docket 98-120</w:t>
            </w:r>
          </w:p>
        </w:tc>
      </w:tr>
    </w:tbl>
    <w:p w:rsidR="00A434EF" w:rsidRPr="003213F7" w:rsidRDefault="00E642B1">
      <w:pPr>
        <w:pStyle w:val="StyleBoldCentered"/>
        <w:rPr>
          <w:rFonts w:ascii="Times New Roman" w:hAnsi="Times New Roman"/>
        </w:rPr>
      </w:pPr>
      <w:r w:rsidRPr="003213F7">
        <w:rPr>
          <w:rFonts w:ascii="Times New Roman" w:hAnsi="Times New Roman"/>
        </w:rPr>
        <w:t>Fifth</w:t>
      </w:r>
      <w:r w:rsidR="00A434EF" w:rsidRPr="003213F7">
        <w:rPr>
          <w:rFonts w:ascii="Times New Roman" w:hAnsi="Times New Roman"/>
        </w:rPr>
        <w:t xml:space="preserve"> further notice of proposed rulemaking</w:t>
      </w:r>
    </w:p>
    <w:p w:rsidR="00A434EF" w:rsidRPr="003213F7" w:rsidRDefault="00A434EF">
      <w:pPr>
        <w:pStyle w:val="StyleBoldCentered"/>
        <w:rPr>
          <w:rFonts w:ascii="Times New Roman" w:hAnsi="Times New Roman"/>
        </w:rPr>
      </w:pPr>
    </w:p>
    <w:p w:rsidR="00A434EF" w:rsidRPr="003213F7" w:rsidRDefault="00A434EF">
      <w:pPr>
        <w:tabs>
          <w:tab w:val="left" w:pos="-720"/>
        </w:tabs>
        <w:suppressAutoHyphens/>
        <w:spacing w:line="227" w:lineRule="auto"/>
        <w:rPr>
          <w:spacing w:val="-2"/>
        </w:rPr>
      </w:pPr>
    </w:p>
    <w:p w:rsidR="00A434EF" w:rsidRPr="003213F7" w:rsidRDefault="00096B30">
      <w:pPr>
        <w:tabs>
          <w:tab w:val="left" w:pos="720"/>
          <w:tab w:val="left" w:pos="5760"/>
        </w:tabs>
        <w:suppressAutoHyphens/>
        <w:spacing w:line="227" w:lineRule="auto"/>
        <w:rPr>
          <w:b/>
          <w:spacing w:val="-2"/>
        </w:rPr>
      </w:pPr>
      <w:r>
        <w:rPr>
          <w:b/>
          <w:spacing w:val="-2"/>
        </w:rPr>
        <w:t>Adopted:  March</w:t>
      </w:r>
      <w:r w:rsidR="00A434EF" w:rsidRPr="003213F7">
        <w:rPr>
          <w:b/>
          <w:spacing w:val="-2"/>
        </w:rPr>
        <w:t xml:space="preserve"> </w:t>
      </w:r>
      <w:r w:rsidR="006A7262">
        <w:rPr>
          <w:b/>
          <w:spacing w:val="-2"/>
        </w:rPr>
        <w:t>11</w:t>
      </w:r>
      <w:r>
        <w:rPr>
          <w:b/>
          <w:spacing w:val="-2"/>
        </w:rPr>
        <w:t>, 2015</w:t>
      </w:r>
      <w:r>
        <w:rPr>
          <w:b/>
          <w:spacing w:val="-2"/>
        </w:rPr>
        <w:tab/>
      </w:r>
      <w:r>
        <w:rPr>
          <w:b/>
          <w:spacing w:val="-2"/>
        </w:rPr>
        <w:tab/>
        <w:t>Released:  March</w:t>
      </w:r>
      <w:r w:rsidR="00E642B1" w:rsidRPr="003213F7">
        <w:rPr>
          <w:b/>
          <w:spacing w:val="-2"/>
        </w:rPr>
        <w:t xml:space="preserve"> </w:t>
      </w:r>
      <w:r w:rsidR="006A7262">
        <w:rPr>
          <w:b/>
          <w:spacing w:val="-2"/>
        </w:rPr>
        <w:t>12</w:t>
      </w:r>
      <w:r w:rsidR="00E642B1" w:rsidRPr="003213F7">
        <w:rPr>
          <w:b/>
          <w:spacing w:val="-2"/>
        </w:rPr>
        <w:t>, 2015</w:t>
      </w:r>
    </w:p>
    <w:p w:rsidR="00A434EF" w:rsidRPr="003213F7" w:rsidRDefault="00A434EF">
      <w:pPr>
        <w:tabs>
          <w:tab w:val="left" w:pos="720"/>
          <w:tab w:val="left" w:pos="5760"/>
        </w:tabs>
        <w:suppressAutoHyphens/>
        <w:spacing w:line="227" w:lineRule="auto"/>
        <w:rPr>
          <w:b/>
          <w:spacing w:val="-2"/>
        </w:rPr>
      </w:pPr>
    </w:p>
    <w:p w:rsidR="00A434EF" w:rsidRPr="003213F7" w:rsidRDefault="00E642B1">
      <w:pPr>
        <w:tabs>
          <w:tab w:val="left" w:pos="720"/>
          <w:tab w:val="left" w:pos="2160"/>
        </w:tabs>
        <w:suppressAutoHyphens/>
        <w:spacing w:line="227" w:lineRule="auto"/>
        <w:rPr>
          <w:b/>
          <w:spacing w:val="-2"/>
        </w:rPr>
      </w:pPr>
      <w:r w:rsidRPr="003213F7">
        <w:rPr>
          <w:b/>
          <w:spacing w:val="-2"/>
        </w:rPr>
        <w:t>Comment Date:</w:t>
      </w:r>
      <w:r w:rsidRPr="003213F7">
        <w:rPr>
          <w:b/>
          <w:spacing w:val="-2"/>
        </w:rPr>
        <w:tab/>
        <w:t>[20</w:t>
      </w:r>
      <w:r w:rsidR="00A434EF" w:rsidRPr="003213F7">
        <w:rPr>
          <w:b/>
          <w:spacing w:val="-2"/>
        </w:rPr>
        <w:t xml:space="preserve"> days after date of publication in the Federal Register]</w:t>
      </w:r>
    </w:p>
    <w:p w:rsidR="00A434EF" w:rsidRPr="003213F7" w:rsidRDefault="00E642B1">
      <w:pPr>
        <w:tabs>
          <w:tab w:val="left" w:pos="720"/>
          <w:tab w:val="left" w:pos="2160"/>
        </w:tabs>
        <w:suppressAutoHyphens/>
        <w:spacing w:line="227" w:lineRule="auto"/>
        <w:rPr>
          <w:spacing w:val="-2"/>
        </w:rPr>
      </w:pPr>
      <w:r w:rsidRPr="003213F7">
        <w:rPr>
          <w:b/>
          <w:spacing w:val="-2"/>
        </w:rPr>
        <w:t>Reply Comment Date:</w:t>
      </w:r>
      <w:r w:rsidRPr="003213F7">
        <w:rPr>
          <w:b/>
          <w:spacing w:val="-2"/>
        </w:rPr>
        <w:tab/>
        <w:t>[30</w:t>
      </w:r>
      <w:r w:rsidR="00A434EF" w:rsidRPr="003213F7">
        <w:rPr>
          <w:b/>
          <w:spacing w:val="-2"/>
        </w:rPr>
        <w:t xml:space="preserve"> days after date of publication in the Federal Register]</w:t>
      </w:r>
    </w:p>
    <w:p w:rsidR="00A434EF" w:rsidRPr="003213F7" w:rsidRDefault="00A434EF"/>
    <w:p w:rsidR="00A434EF" w:rsidRPr="003213F7" w:rsidRDefault="00A434EF">
      <w:pPr>
        <w:rPr>
          <w:spacing w:val="-2"/>
        </w:rPr>
      </w:pPr>
      <w:r w:rsidRPr="003213F7">
        <w:t xml:space="preserve">By the </w:t>
      </w:r>
      <w:r w:rsidRPr="003213F7">
        <w:rPr>
          <w:spacing w:val="-2"/>
        </w:rPr>
        <w:t xml:space="preserve">Commission:   </w:t>
      </w:r>
    </w:p>
    <w:p w:rsidR="00A434EF" w:rsidRPr="003213F7" w:rsidRDefault="00A434EF"/>
    <w:p w:rsidR="00A434EF" w:rsidRPr="003213F7" w:rsidRDefault="00A434EF" w:rsidP="0080643E">
      <w:pPr>
        <w:pStyle w:val="Heading1"/>
      </w:pPr>
      <w:r w:rsidRPr="003213F7">
        <w:t>introduction</w:t>
      </w:r>
    </w:p>
    <w:p w:rsidR="003F484E" w:rsidRPr="003213F7" w:rsidRDefault="00E642B1" w:rsidP="00F51D8C">
      <w:pPr>
        <w:pStyle w:val="ParaNum"/>
        <w:rPr>
          <w:szCs w:val="22"/>
        </w:rPr>
      </w:pPr>
      <w:r w:rsidRPr="003213F7">
        <w:rPr>
          <w:szCs w:val="22"/>
        </w:rPr>
        <w:t xml:space="preserve">In this </w:t>
      </w:r>
      <w:r w:rsidRPr="003213F7">
        <w:rPr>
          <w:i/>
          <w:szCs w:val="22"/>
        </w:rPr>
        <w:t>Fifth Further Notice of Proposed Rulemaking</w:t>
      </w:r>
      <w:r w:rsidR="005172EE" w:rsidRPr="003213F7">
        <w:rPr>
          <w:szCs w:val="22"/>
        </w:rPr>
        <w:t xml:space="preserve">, we seek comment on </w:t>
      </w:r>
      <w:r w:rsidR="00102B30" w:rsidRPr="003213F7">
        <w:rPr>
          <w:szCs w:val="22"/>
        </w:rPr>
        <w:t>a Petition for Rulemaking filed by the American Cable Association (“ACA”)</w:t>
      </w:r>
      <w:r w:rsidR="00D3182A" w:rsidRPr="003213F7">
        <w:rPr>
          <w:rStyle w:val="FootnoteReference"/>
          <w:sz w:val="22"/>
          <w:szCs w:val="22"/>
        </w:rPr>
        <w:footnoteReference w:id="2"/>
      </w:r>
      <w:r w:rsidR="00102B30" w:rsidRPr="003213F7">
        <w:rPr>
          <w:szCs w:val="22"/>
        </w:rPr>
        <w:t xml:space="preserve"> requesting</w:t>
      </w:r>
      <w:r w:rsidR="00024A6E" w:rsidRPr="003213F7">
        <w:rPr>
          <w:szCs w:val="22"/>
        </w:rPr>
        <w:t>, among other things,</w:t>
      </w:r>
      <w:r w:rsidR="00102B30" w:rsidRPr="003213F7">
        <w:rPr>
          <w:szCs w:val="22"/>
        </w:rPr>
        <w:t xml:space="preserve"> that </w:t>
      </w:r>
      <w:r w:rsidR="00B73497" w:rsidRPr="003213F7">
        <w:rPr>
          <w:szCs w:val="22"/>
        </w:rPr>
        <w:t>the Commission</w:t>
      </w:r>
      <w:r w:rsidR="00102B30" w:rsidRPr="003213F7">
        <w:rPr>
          <w:szCs w:val="22"/>
        </w:rPr>
        <w:t xml:space="preserve"> extend </w:t>
      </w:r>
      <w:r w:rsidR="00B40178" w:rsidRPr="003213F7">
        <w:rPr>
          <w:szCs w:val="22"/>
        </w:rPr>
        <w:t xml:space="preserve">for an additional three years </w:t>
      </w:r>
      <w:r w:rsidR="000F70A0" w:rsidRPr="003213F7">
        <w:rPr>
          <w:szCs w:val="22"/>
        </w:rPr>
        <w:t xml:space="preserve">the </w:t>
      </w:r>
      <w:r w:rsidR="005172EE" w:rsidRPr="003213F7">
        <w:rPr>
          <w:szCs w:val="22"/>
        </w:rPr>
        <w:t>exemption</w:t>
      </w:r>
      <w:r w:rsidR="003F484E" w:rsidRPr="003213F7">
        <w:rPr>
          <w:szCs w:val="22"/>
        </w:rPr>
        <w:t xml:space="preserve"> </w:t>
      </w:r>
      <w:r w:rsidR="005172EE" w:rsidRPr="003213F7">
        <w:rPr>
          <w:szCs w:val="22"/>
        </w:rPr>
        <w:t xml:space="preserve">from </w:t>
      </w:r>
      <w:r w:rsidR="00CD5EEB" w:rsidRPr="003213F7">
        <w:rPr>
          <w:szCs w:val="22"/>
        </w:rPr>
        <w:t xml:space="preserve">the </w:t>
      </w:r>
      <w:r w:rsidR="003F484E" w:rsidRPr="003213F7">
        <w:rPr>
          <w:szCs w:val="22"/>
        </w:rPr>
        <w:t xml:space="preserve">requirement </w:t>
      </w:r>
      <w:r w:rsidR="00CD5EEB" w:rsidRPr="003213F7">
        <w:rPr>
          <w:szCs w:val="22"/>
        </w:rPr>
        <w:t xml:space="preserve">to carry </w:t>
      </w:r>
      <w:r w:rsidR="000F70A0" w:rsidRPr="003213F7">
        <w:rPr>
          <w:szCs w:val="22"/>
        </w:rPr>
        <w:t xml:space="preserve">high definition (“HD”) </w:t>
      </w:r>
      <w:r w:rsidR="00CD5EEB" w:rsidRPr="003213F7">
        <w:rPr>
          <w:szCs w:val="22"/>
        </w:rPr>
        <w:t>broadcast signals under the “material degradation” provision</w:t>
      </w:r>
      <w:r w:rsidR="00886EFD" w:rsidRPr="003213F7">
        <w:rPr>
          <w:szCs w:val="22"/>
        </w:rPr>
        <w:t>s</w:t>
      </w:r>
      <w:r w:rsidR="00CD5EEB" w:rsidRPr="003213F7">
        <w:rPr>
          <w:szCs w:val="22"/>
        </w:rPr>
        <w:t xml:space="preserve"> </w:t>
      </w:r>
      <w:r w:rsidR="005C2476" w:rsidRPr="003213F7">
        <w:rPr>
          <w:szCs w:val="22"/>
        </w:rPr>
        <w:t>of</w:t>
      </w:r>
      <w:r w:rsidR="00DC646F" w:rsidRPr="003213F7">
        <w:rPr>
          <w:szCs w:val="22"/>
        </w:rPr>
        <w:t xml:space="preserve"> the </w:t>
      </w:r>
      <w:r w:rsidR="00886EFD" w:rsidRPr="003213F7">
        <w:rPr>
          <w:szCs w:val="22"/>
        </w:rPr>
        <w:t>Communications Act of 1934, as amended (“the Act”)</w:t>
      </w:r>
      <w:r w:rsidR="00A912BA" w:rsidRPr="003213F7">
        <w:rPr>
          <w:rStyle w:val="FootnoteReference"/>
          <w:sz w:val="22"/>
          <w:szCs w:val="22"/>
        </w:rPr>
        <w:footnoteReference w:id="3"/>
      </w:r>
      <w:r w:rsidR="00886EFD" w:rsidRPr="003213F7">
        <w:rPr>
          <w:szCs w:val="22"/>
        </w:rPr>
        <w:t xml:space="preserve"> </w:t>
      </w:r>
      <w:r w:rsidR="00B73497" w:rsidRPr="003213F7">
        <w:rPr>
          <w:szCs w:val="22"/>
        </w:rPr>
        <w:t>that it</w:t>
      </w:r>
      <w:r w:rsidR="00A912BA" w:rsidRPr="003213F7">
        <w:rPr>
          <w:szCs w:val="22"/>
        </w:rPr>
        <w:t xml:space="preserve"> granted to certain small cable systems in the </w:t>
      </w:r>
      <w:r w:rsidR="00A912BA" w:rsidRPr="003213F7">
        <w:rPr>
          <w:i/>
          <w:szCs w:val="22"/>
        </w:rPr>
        <w:t xml:space="preserve">Fifth Report and Order </w:t>
      </w:r>
      <w:r w:rsidR="00A912BA" w:rsidRPr="003213F7">
        <w:rPr>
          <w:szCs w:val="22"/>
        </w:rPr>
        <w:t xml:space="preserve">(“HD </w:t>
      </w:r>
      <w:r w:rsidR="00D3182A" w:rsidRPr="003213F7">
        <w:rPr>
          <w:szCs w:val="22"/>
        </w:rPr>
        <w:t xml:space="preserve">carriage </w:t>
      </w:r>
      <w:r w:rsidR="00A912BA" w:rsidRPr="003213F7">
        <w:rPr>
          <w:szCs w:val="22"/>
        </w:rPr>
        <w:t>exemption”)</w:t>
      </w:r>
      <w:r w:rsidR="00886EFD" w:rsidRPr="003213F7">
        <w:rPr>
          <w:szCs w:val="22"/>
        </w:rPr>
        <w:t>.</w:t>
      </w:r>
      <w:r w:rsidR="003F484E" w:rsidRPr="003213F7">
        <w:rPr>
          <w:rStyle w:val="FootnoteReference"/>
          <w:sz w:val="22"/>
          <w:szCs w:val="22"/>
        </w:rPr>
        <w:footnoteReference w:id="4"/>
      </w:r>
      <w:r w:rsidR="003F484E" w:rsidRPr="003213F7">
        <w:rPr>
          <w:szCs w:val="22"/>
        </w:rPr>
        <w:t xml:space="preserve">  </w:t>
      </w:r>
      <w:r w:rsidR="00AA6ACB" w:rsidRPr="003213F7">
        <w:rPr>
          <w:szCs w:val="22"/>
        </w:rPr>
        <w:t>T</w:t>
      </w:r>
      <w:r w:rsidR="00102B30" w:rsidRPr="003213F7">
        <w:rPr>
          <w:szCs w:val="22"/>
        </w:rPr>
        <w:t xml:space="preserve">his exemption is slated to expire on June 12, 2015 absent further </w:t>
      </w:r>
      <w:r w:rsidR="00D3182A" w:rsidRPr="003213F7">
        <w:rPr>
          <w:szCs w:val="22"/>
        </w:rPr>
        <w:t>action</w:t>
      </w:r>
      <w:r w:rsidR="00F67154" w:rsidRPr="003213F7">
        <w:rPr>
          <w:szCs w:val="22"/>
        </w:rPr>
        <w:t xml:space="preserve"> by the Commission.</w:t>
      </w:r>
      <w:r w:rsidR="00024A6E" w:rsidRPr="003213F7">
        <w:rPr>
          <w:szCs w:val="22"/>
        </w:rPr>
        <w:t xml:space="preserve">  </w:t>
      </w:r>
      <w:r w:rsidR="00AA6ACB" w:rsidRPr="003213F7">
        <w:rPr>
          <w:szCs w:val="22"/>
        </w:rPr>
        <w:t xml:space="preserve">As discussed below, we tentatively conclude that the public interest would be served by extending the HD carriage exemption for three years, or </w:t>
      </w:r>
      <w:r w:rsidR="001E3D31" w:rsidRPr="003213F7">
        <w:rPr>
          <w:szCs w:val="22"/>
        </w:rPr>
        <w:t xml:space="preserve">until </w:t>
      </w:r>
      <w:r w:rsidR="00AA6ACB" w:rsidRPr="003213F7">
        <w:rPr>
          <w:szCs w:val="22"/>
        </w:rPr>
        <w:t xml:space="preserve">June 12, 2018.  </w:t>
      </w:r>
      <w:r w:rsidR="00024A6E" w:rsidRPr="003213F7">
        <w:rPr>
          <w:szCs w:val="22"/>
        </w:rPr>
        <w:t>W</w:t>
      </w:r>
      <w:r w:rsidR="00D3182A" w:rsidRPr="003213F7">
        <w:rPr>
          <w:szCs w:val="22"/>
        </w:rPr>
        <w:t xml:space="preserve">e set forth </w:t>
      </w:r>
      <w:r w:rsidR="00024A6E" w:rsidRPr="003213F7">
        <w:rPr>
          <w:szCs w:val="22"/>
        </w:rPr>
        <w:t xml:space="preserve">below </w:t>
      </w:r>
      <w:r w:rsidR="00D3182A" w:rsidRPr="003213F7">
        <w:rPr>
          <w:szCs w:val="22"/>
        </w:rPr>
        <w:t xml:space="preserve">a brief history of the HD carriage exemption and </w:t>
      </w:r>
      <w:r w:rsidR="00831116" w:rsidRPr="003213F7">
        <w:rPr>
          <w:szCs w:val="22"/>
        </w:rPr>
        <w:t xml:space="preserve">a summary </w:t>
      </w:r>
      <w:r w:rsidR="00155F81" w:rsidRPr="003213F7">
        <w:rPr>
          <w:szCs w:val="22"/>
        </w:rPr>
        <w:t xml:space="preserve">of </w:t>
      </w:r>
      <w:r w:rsidR="00D3182A" w:rsidRPr="003213F7">
        <w:rPr>
          <w:szCs w:val="22"/>
        </w:rPr>
        <w:t>ACA’s argum</w:t>
      </w:r>
      <w:r w:rsidR="00A207ED" w:rsidRPr="003213F7">
        <w:rPr>
          <w:szCs w:val="22"/>
        </w:rPr>
        <w:t>ents in support of its Petition</w:t>
      </w:r>
      <w:r w:rsidR="00831116" w:rsidRPr="003213F7">
        <w:rPr>
          <w:szCs w:val="22"/>
        </w:rPr>
        <w:t xml:space="preserve">, and seek comment on </w:t>
      </w:r>
      <w:r w:rsidR="00AA6ACB" w:rsidRPr="003213F7">
        <w:rPr>
          <w:szCs w:val="22"/>
        </w:rPr>
        <w:t xml:space="preserve">our tentative conclusion to grant </w:t>
      </w:r>
      <w:r w:rsidR="00831116" w:rsidRPr="003213F7">
        <w:rPr>
          <w:szCs w:val="22"/>
        </w:rPr>
        <w:t>ACA’s proposal</w:t>
      </w:r>
      <w:r w:rsidR="00D3182A" w:rsidRPr="003213F7">
        <w:rPr>
          <w:szCs w:val="22"/>
        </w:rPr>
        <w:t>.</w:t>
      </w:r>
      <w:r w:rsidR="00F67154" w:rsidRPr="003213F7">
        <w:rPr>
          <w:szCs w:val="22"/>
        </w:rPr>
        <w:t xml:space="preserve"> </w:t>
      </w:r>
      <w:r w:rsidR="00831116" w:rsidRPr="003213F7">
        <w:rPr>
          <w:szCs w:val="22"/>
        </w:rPr>
        <w:t xml:space="preserve">  </w:t>
      </w:r>
    </w:p>
    <w:p w:rsidR="00A434EF" w:rsidRPr="003213F7" w:rsidRDefault="00A434EF" w:rsidP="0080643E">
      <w:pPr>
        <w:pStyle w:val="Heading1"/>
      </w:pPr>
      <w:r w:rsidRPr="003213F7">
        <w:t>background</w:t>
      </w:r>
    </w:p>
    <w:p w:rsidR="0098400B" w:rsidRPr="003213F7" w:rsidRDefault="00DC646F" w:rsidP="00F51D8C">
      <w:pPr>
        <w:pStyle w:val="ParaNum"/>
        <w:rPr>
          <w:szCs w:val="22"/>
        </w:rPr>
      </w:pPr>
      <w:r w:rsidRPr="003213F7">
        <w:rPr>
          <w:szCs w:val="22"/>
        </w:rPr>
        <w:t xml:space="preserve">Sections 614(b)(4)(A) and 615(g)(2) of the Act </w:t>
      </w:r>
      <w:r w:rsidR="00E01CB6" w:rsidRPr="003213F7">
        <w:rPr>
          <w:szCs w:val="22"/>
        </w:rPr>
        <w:t xml:space="preserve">require that </w:t>
      </w:r>
      <w:r w:rsidR="005C2476" w:rsidRPr="003213F7">
        <w:rPr>
          <w:szCs w:val="22"/>
        </w:rPr>
        <w:t>c</w:t>
      </w:r>
      <w:r w:rsidR="00C02AFC" w:rsidRPr="003213F7">
        <w:rPr>
          <w:szCs w:val="22"/>
        </w:rPr>
        <w:t>able operators c</w:t>
      </w:r>
      <w:r w:rsidR="005C2476" w:rsidRPr="003213F7">
        <w:rPr>
          <w:szCs w:val="22"/>
        </w:rPr>
        <w:t xml:space="preserve">arry signals </w:t>
      </w:r>
      <w:r w:rsidR="00AA6891" w:rsidRPr="003213F7">
        <w:rPr>
          <w:szCs w:val="22"/>
        </w:rPr>
        <w:t xml:space="preserve">of commercial and noncommercial broadcast television stations, respectively, </w:t>
      </w:r>
      <w:r w:rsidR="005C2476" w:rsidRPr="003213F7">
        <w:rPr>
          <w:szCs w:val="22"/>
        </w:rPr>
        <w:t>“without material degradation.”</w:t>
      </w:r>
      <w:r w:rsidR="005C2476" w:rsidRPr="003213F7">
        <w:rPr>
          <w:rStyle w:val="FootnoteReference"/>
          <w:sz w:val="22"/>
          <w:szCs w:val="22"/>
        </w:rPr>
        <w:footnoteReference w:id="5"/>
      </w:r>
      <w:r w:rsidR="005C2476" w:rsidRPr="003213F7">
        <w:rPr>
          <w:szCs w:val="22"/>
        </w:rPr>
        <w:t xml:space="preserve">  In the context of the carriage of digital signals, the Commission has interpreted this </w:t>
      </w:r>
      <w:r w:rsidR="005C2476" w:rsidRPr="003213F7">
        <w:rPr>
          <w:szCs w:val="22"/>
        </w:rPr>
        <w:lastRenderedPageBreak/>
        <w:t>requirement</w:t>
      </w:r>
      <w:r w:rsidR="00963A08" w:rsidRPr="003213F7">
        <w:rPr>
          <w:szCs w:val="22"/>
        </w:rPr>
        <w:t>:  (i)</w:t>
      </w:r>
      <w:r w:rsidR="005C2476" w:rsidRPr="003213F7">
        <w:rPr>
          <w:szCs w:val="22"/>
        </w:rPr>
        <w:t xml:space="preserve"> to </w:t>
      </w:r>
      <w:r w:rsidR="00963A08" w:rsidRPr="003213F7">
        <w:rPr>
          <w:szCs w:val="22"/>
        </w:rPr>
        <w:t>prohibit cable operators from dis</w:t>
      </w:r>
      <w:r w:rsidR="000C6E90" w:rsidRPr="003213F7">
        <w:rPr>
          <w:szCs w:val="22"/>
        </w:rPr>
        <w:t>criminating in their carriage between</w:t>
      </w:r>
      <w:r w:rsidR="00963A08" w:rsidRPr="003213F7">
        <w:rPr>
          <w:szCs w:val="22"/>
        </w:rPr>
        <w:t xml:space="preserve"> broadcast and non-broadcast signals; and (ii) to require cable operators to carry HD broadcast signals to their viewers in HD.</w:t>
      </w:r>
      <w:r w:rsidR="001705DA" w:rsidRPr="003213F7">
        <w:rPr>
          <w:rStyle w:val="FootnoteReference"/>
          <w:sz w:val="22"/>
          <w:szCs w:val="22"/>
        </w:rPr>
        <w:footnoteReference w:id="6"/>
      </w:r>
      <w:r w:rsidR="00963A08" w:rsidRPr="003213F7">
        <w:rPr>
          <w:szCs w:val="22"/>
        </w:rPr>
        <w:t xml:space="preserve">  </w:t>
      </w:r>
      <w:r w:rsidR="00B0510D" w:rsidRPr="003213F7">
        <w:rPr>
          <w:szCs w:val="22"/>
        </w:rPr>
        <w:t>In response to concerns from small cable operators about cost and technical capacity, the Commission</w:t>
      </w:r>
      <w:r w:rsidR="00711F76" w:rsidRPr="003213F7">
        <w:rPr>
          <w:szCs w:val="22"/>
        </w:rPr>
        <w:t xml:space="preserve">, in the </w:t>
      </w:r>
      <w:r w:rsidR="003C0FAE" w:rsidRPr="003213F7">
        <w:rPr>
          <w:szCs w:val="22"/>
        </w:rPr>
        <w:t xml:space="preserve">2008 </w:t>
      </w:r>
      <w:r w:rsidR="00711F76" w:rsidRPr="003213F7">
        <w:rPr>
          <w:i/>
          <w:szCs w:val="22"/>
        </w:rPr>
        <w:t>Fourth Report and Order</w:t>
      </w:r>
      <w:r w:rsidR="00711F76" w:rsidRPr="003213F7">
        <w:rPr>
          <w:szCs w:val="22"/>
        </w:rPr>
        <w:t xml:space="preserve">, </w:t>
      </w:r>
      <w:r w:rsidR="00716D79" w:rsidRPr="003213F7">
        <w:rPr>
          <w:szCs w:val="22"/>
        </w:rPr>
        <w:t xml:space="preserve">granted a three-year </w:t>
      </w:r>
      <w:r w:rsidR="00E01CB6" w:rsidRPr="003213F7">
        <w:rPr>
          <w:szCs w:val="22"/>
        </w:rPr>
        <w:t>exempt</w:t>
      </w:r>
      <w:r w:rsidR="0014065C" w:rsidRPr="003213F7">
        <w:rPr>
          <w:szCs w:val="22"/>
        </w:rPr>
        <w:t>ion from</w:t>
      </w:r>
      <w:r w:rsidR="00940FE0" w:rsidRPr="003213F7">
        <w:rPr>
          <w:szCs w:val="22"/>
        </w:rPr>
        <w:t xml:space="preserve"> the HD carriage requirement to</w:t>
      </w:r>
      <w:r w:rsidR="00E01CB6" w:rsidRPr="003213F7">
        <w:rPr>
          <w:szCs w:val="22"/>
        </w:rPr>
        <w:t xml:space="preserve"> </w:t>
      </w:r>
      <w:r w:rsidR="00912CFD" w:rsidRPr="003213F7">
        <w:rPr>
          <w:szCs w:val="22"/>
        </w:rPr>
        <w:t xml:space="preserve">certain small </w:t>
      </w:r>
      <w:r w:rsidR="00940FE0" w:rsidRPr="003213F7">
        <w:rPr>
          <w:szCs w:val="22"/>
        </w:rPr>
        <w:t xml:space="preserve">cable </w:t>
      </w:r>
      <w:r w:rsidR="00912CFD" w:rsidRPr="003213F7">
        <w:rPr>
          <w:szCs w:val="22"/>
        </w:rPr>
        <w:t>systems</w:t>
      </w:r>
      <w:r w:rsidR="00B0510D" w:rsidRPr="003213F7">
        <w:rPr>
          <w:szCs w:val="22"/>
        </w:rPr>
        <w:t>.</w:t>
      </w:r>
      <w:r w:rsidR="00B0510D" w:rsidRPr="003213F7">
        <w:rPr>
          <w:szCs w:val="22"/>
          <w:vertAlign w:val="superscript"/>
        </w:rPr>
        <w:footnoteReference w:id="7"/>
      </w:r>
      <w:r w:rsidR="00B0510D" w:rsidRPr="003213F7">
        <w:rPr>
          <w:szCs w:val="22"/>
        </w:rPr>
        <w:t xml:space="preserve">  Specifically, the Commission exempted small cable systems with 2,500 or fewer subscribers that are not affiliated with a cable operator serving more than 10 percent of all MVPD subscribers, and those with an activated channel capacity of 552 MHz or less.</w:t>
      </w:r>
      <w:r w:rsidR="00940FE0" w:rsidRPr="003213F7">
        <w:rPr>
          <w:rStyle w:val="FootnoteReference"/>
          <w:sz w:val="22"/>
          <w:szCs w:val="22"/>
        </w:rPr>
        <w:footnoteReference w:id="8"/>
      </w:r>
      <w:r w:rsidR="00940FE0" w:rsidRPr="003213F7">
        <w:rPr>
          <w:szCs w:val="22"/>
        </w:rPr>
        <w:t xml:space="preserve">  </w:t>
      </w:r>
    </w:p>
    <w:p w:rsidR="00AF1F29" w:rsidRPr="003213F7" w:rsidRDefault="00940FE0" w:rsidP="00D86AE9">
      <w:pPr>
        <w:pStyle w:val="ParaNum"/>
        <w:widowControl/>
        <w:rPr>
          <w:szCs w:val="22"/>
        </w:rPr>
      </w:pPr>
      <w:r w:rsidRPr="003213F7">
        <w:rPr>
          <w:szCs w:val="22"/>
        </w:rPr>
        <w:t xml:space="preserve">The exemption from this </w:t>
      </w:r>
      <w:r w:rsidR="00B0510D" w:rsidRPr="003213F7">
        <w:rPr>
          <w:szCs w:val="22"/>
        </w:rPr>
        <w:t>material degradation requirement permit</w:t>
      </w:r>
      <w:r w:rsidR="000C6E90" w:rsidRPr="003213F7">
        <w:rPr>
          <w:szCs w:val="22"/>
        </w:rPr>
        <w:t>s</w:t>
      </w:r>
      <w:r w:rsidR="00B0510D" w:rsidRPr="003213F7">
        <w:rPr>
          <w:szCs w:val="22"/>
        </w:rPr>
        <w:t xml:space="preserve"> such systems to carry broadcast signals in standard definition (“SD”) digital and/or analog format, even if the signals are broadcast in HD, so long as all subscribers can receive and view the signal.</w:t>
      </w:r>
      <w:r w:rsidR="00B0510D" w:rsidRPr="003213F7">
        <w:rPr>
          <w:szCs w:val="22"/>
          <w:vertAlign w:val="superscript"/>
        </w:rPr>
        <w:footnoteReference w:id="9"/>
      </w:r>
      <w:r w:rsidR="00B0510D" w:rsidRPr="003213F7">
        <w:rPr>
          <w:szCs w:val="22"/>
        </w:rPr>
        <w:t xml:space="preserve">  The Commission provided that the exemption would expire three years after the conclusion of the DTV transition, but </w:t>
      </w:r>
      <w:r w:rsidR="00490C21" w:rsidRPr="003213F7">
        <w:rPr>
          <w:szCs w:val="22"/>
        </w:rPr>
        <w:t xml:space="preserve">stated that </w:t>
      </w:r>
      <w:r w:rsidR="00B0510D" w:rsidRPr="003213F7">
        <w:rPr>
          <w:szCs w:val="22"/>
        </w:rPr>
        <w:t>it would consider whethe</w:t>
      </w:r>
      <w:r w:rsidR="00490C21" w:rsidRPr="003213F7">
        <w:rPr>
          <w:szCs w:val="22"/>
        </w:rPr>
        <w:t>r to extend the exemption in its</w:t>
      </w:r>
      <w:r w:rsidR="00B0510D" w:rsidRPr="003213F7">
        <w:rPr>
          <w:szCs w:val="22"/>
        </w:rPr>
        <w:t xml:space="preserve"> final year.</w:t>
      </w:r>
      <w:r w:rsidR="00B0510D" w:rsidRPr="003213F7">
        <w:rPr>
          <w:szCs w:val="22"/>
          <w:vertAlign w:val="superscript"/>
        </w:rPr>
        <w:footnoteReference w:id="10"/>
      </w:r>
      <w:r w:rsidR="00B0510D" w:rsidRPr="003213F7">
        <w:rPr>
          <w:szCs w:val="22"/>
        </w:rPr>
        <w:t xml:space="preserve">  </w:t>
      </w:r>
      <w:r w:rsidR="00015762" w:rsidRPr="003213F7">
        <w:rPr>
          <w:szCs w:val="22"/>
        </w:rPr>
        <w:t xml:space="preserve">After </w:t>
      </w:r>
      <w:r w:rsidR="00C527FB" w:rsidRPr="003213F7">
        <w:rPr>
          <w:szCs w:val="22"/>
        </w:rPr>
        <w:t xml:space="preserve">conducting </w:t>
      </w:r>
      <w:r w:rsidR="00015762" w:rsidRPr="003213F7">
        <w:rPr>
          <w:szCs w:val="22"/>
        </w:rPr>
        <w:t>that review,</w:t>
      </w:r>
      <w:r w:rsidR="00015762" w:rsidRPr="003213F7">
        <w:rPr>
          <w:szCs w:val="22"/>
          <w:vertAlign w:val="superscript"/>
        </w:rPr>
        <w:footnoteReference w:id="11"/>
      </w:r>
      <w:r w:rsidR="00015762" w:rsidRPr="003213F7">
        <w:rPr>
          <w:szCs w:val="22"/>
        </w:rPr>
        <w:t xml:space="preserve"> the Commission</w:t>
      </w:r>
      <w:r w:rsidR="00F67154" w:rsidRPr="003213F7">
        <w:rPr>
          <w:szCs w:val="22"/>
        </w:rPr>
        <w:t xml:space="preserve">, in </w:t>
      </w:r>
      <w:r w:rsidR="003C0FAE" w:rsidRPr="003213F7">
        <w:rPr>
          <w:szCs w:val="22"/>
        </w:rPr>
        <w:t xml:space="preserve">the </w:t>
      </w:r>
      <w:r w:rsidR="00F67154" w:rsidRPr="003213F7">
        <w:rPr>
          <w:szCs w:val="22"/>
        </w:rPr>
        <w:t>2012</w:t>
      </w:r>
      <w:r w:rsidR="003C0FAE" w:rsidRPr="003213F7">
        <w:rPr>
          <w:szCs w:val="22"/>
        </w:rPr>
        <w:t xml:space="preserve"> </w:t>
      </w:r>
      <w:r w:rsidR="003C0FAE" w:rsidRPr="003213F7">
        <w:rPr>
          <w:i/>
          <w:szCs w:val="22"/>
        </w:rPr>
        <w:t>Fifth Report and Order</w:t>
      </w:r>
      <w:r w:rsidR="00F67154" w:rsidRPr="003213F7">
        <w:rPr>
          <w:szCs w:val="22"/>
        </w:rPr>
        <w:t xml:space="preserve">, </w:t>
      </w:r>
      <w:r w:rsidR="00015762" w:rsidRPr="003213F7">
        <w:rPr>
          <w:szCs w:val="22"/>
        </w:rPr>
        <w:t>extended for an additional three years</w:t>
      </w:r>
      <w:r w:rsidR="00F67154" w:rsidRPr="003213F7">
        <w:rPr>
          <w:szCs w:val="22"/>
        </w:rPr>
        <w:t>, or until June 12, 2015,</w:t>
      </w:r>
      <w:r w:rsidR="00490C21" w:rsidRPr="003213F7">
        <w:rPr>
          <w:szCs w:val="22"/>
        </w:rPr>
        <w:t xml:space="preserve"> </w:t>
      </w:r>
      <w:r w:rsidR="00076563" w:rsidRPr="003213F7">
        <w:rPr>
          <w:szCs w:val="22"/>
        </w:rPr>
        <w:t>the HD</w:t>
      </w:r>
      <w:r w:rsidR="00490C21" w:rsidRPr="003213F7">
        <w:rPr>
          <w:szCs w:val="22"/>
        </w:rPr>
        <w:t xml:space="preserve"> carriage exemption for certain small cable system</w:t>
      </w:r>
      <w:r w:rsidR="00076563" w:rsidRPr="003213F7">
        <w:rPr>
          <w:szCs w:val="22"/>
        </w:rPr>
        <w:t>s</w:t>
      </w:r>
      <w:r w:rsidR="00490C21" w:rsidRPr="003213F7">
        <w:rPr>
          <w:szCs w:val="22"/>
        </w:rPr>
        <w:t>.</w:t>
      </w:r>
      <w:r w:rsidR="00C527FB" w:rsidRPr="003213F7">
        <w:rPr>
          <w:rStyle w:val="FootnoteReference"/>
          <w:sz w:val="22"/>
          <w:szCs w:val="22"/>
        </w:rPr>
        <w:footnoteReference w:id="12"/>
      </w:r>
      <w:r w:rsidR="00811750" w:rsidRPr="003213F7">
        <w:rPr>
          <w:szCs w:val="22"/>
        </w:rPr>
        <w:t xml:space="preserve">  The Commission stated that the exemption was not intended to be permanent and that its purpose was “to provide small systems additional time to upgrade and, where necessary, expand their systems to come into full compliance with </w:t>
      </w:r>
      <w:r w:rsidR="00811750" w:rsidRPr="003213F7">
        <w:rPr>
          <w:szCs w:val="22"/>
        </w:rPr>
        <w:lastRenderedPageBreak/>
        <w:t>the material degradation provisions . . . by carrying HD versions of all HD broadcast signals without having to make relatively large expenditures over a short period of time.”</w:t>
      </w:r>
      <w:r w:rsidR="00811750" w:rsidRPr="003213F7">
        <w:rPr>
          <w:rStyle w:val="FootnoteReference"/>
          <w:sz w:val="22"/>
          <w:szCs w:val="22"/>
        </w:rPr>
        <w:footnoteReference w:id="13"/>
      </w:r>
      <w:r w:rsidR="00490C21" w:rsidRPr="003213F7">
        <w:rPr>
          <w:szCs w:val="22"/>
        </w:rPr>
        <w:t xml:space="preserve">  </w:t>
      </w:r>
      <w:r w:rsidR="00015762" w:rsidRPr="003213F7">
        <w:rPr>
          <w:szCs w:val="22"/>
        </w:rPr>
        <w:t xml:space="preserve">   </w:t>
      </w:r>
      <w:r w:rsidR="00A434EF" w:rsidRPr="003213F7">
        <w:rPr>
          <w:szCs w:val="22"/>
        </w:rPr>
        <w:t xml:space="preserve"> </w:t>
      </w:r>
    </w:p>
    <w:p w:rsidR="0052542D" w:rsidRPr="007A7760" w:rsidRDefault="00D3182A" w:rsidP="0083797C">
      <w:pPr>
        <w:pStyle w:val="ParaNum"/>
      </w:pPr>
      <w:r w:rsidRPr="007A7760">
        <w:t>On January 28, 2015, ACA filed its Petition</w:t>
      </w:r>
      <w:r w:rsidR="00A434EF" w:rsidRPr="007A7760">
        <w:t xml:space="preserve"> </w:t>
      </w:r>
      <w:r w:rsidR="00024A6E" w:rsidRPr="007A7760">
        <w:t xml:space="preserve">requesting that the Commission:  (i) </w:t>
      </w:r>
      <w:r w:rsidR="00433551" w:rsidRPr="007A7760">
        <w:t xml:space="preserve">commence a rulemaking proceeding to </w:t>
      </w:r>
      <w:r w:rsidR="00024A6E" w:rsidRPr="007A7760">
        <w:t>extend for an additional three years the HD carriage exemp</w:t>
      </w:r>
      <w:r w:rsidR="00E06DCA" w:rsidRPr="007A7760">
        <w:t xml:space="preserve">tion; and (ii) clarify that </w:t>
      </w:r>
      <w:r w:rsidR="00024A6E" w:rsidRPr="007A7760">
        <w:t>analog</w:t>
      </w:r>
      <w:r w:rsidR="00E06DCA" w:rsidRPr="007A7760">
        <w:t>-only</w:t>
      </w:r>
      <w:r w:rsidR="00024A6E" w:rsidRPr="007A7760">
        <w:t xml:space="preserve"> cable systems are not required, and have never been required, to transmit must-carry signals in HD.</w:t>
      </w:r>
      <w:r w:rsidR="00433551" w:rsidRPr="003213F7">
        <w:rPr>
          <w:rStyle w:val="FootnoteReference"/>
          <w:sz w:val="22"/>
          <w:szCs w:val="22"/>
        </w:rPr>
        <w:footnoteReference w:id="14"/>
      </w:r>
      <w:r w:rsidR="00433551" w:rsidRPr="007A7760">
        <w:t xml:space="preserve">  </w:t>
      </w:r>
      <w:r w:rsidR="005B15E5" w:rsidRPr="007A7760">
        <w:t xml:space="preserve">In general, </w:t>
      </w:r>
      <w:r w:rsidR="00433551" w:rsidRPr="007A7760">
        <w:t xml:space="preserve">ACA </w:t>
      </w:r>
      <w:r w:rsidR="004E75FA" w:rsidRPr="007A7760">
        <w:t>contends</w:t>
      </w:r>
      <w:r w:rsidR="00433551" w:rsidRPr="007A7760">
        <w:t xml:space="preserve"> that </w:t>
      </w:r>
      <w:r w:rsidR="00384400" w:rsidRPr="007A7760">
        <w:t xml:space="preserve">the </w:t>
      </w:r>
      <w:r w:rsidR="00E06DCA" w:rsidRPr="007A7760">
        <w:t xml:space="preserve">HD carriage </w:t>
      </w:r>
      <w:r w:rsidR="00384400" w:rsidRPr="007A7760">
        <w:t xml:space="preserve">exemption </w:t>
      </w:r>
      <w:r w:rsidR="00E26C74" w:rsidRPr="007A7760">
        <w:t xml:space="preserve">has worked as intended by providing eligible systems with additional time to provide must-carry signals in HD, but that the exemption </w:t>
      </w:r>
      <w:r w:rsidR="00384400" w:rsidRPr="007A7760">
        <w:t xml:space="preserve">is still needed </w:t>
      </w:r>
      <w:r w:rsidR="00E26C74" w:rsidRPr="007A7760">
        <w:t>to protect a</w:t>
      </w:r>
      <w:r w:rsidR="00384400" w:rsidRPr="007A7760">
        <w:t xml:space="preserve"> small </w:t>
      </w:r>
      <w:r w:rsidR="00E26C74" w:rsidRPr="007A7760">
        <w:t xml:space="preserve">number of </w:t>
      </w:r>
      <w:r w:rsidR="00384400" w:rsidRPr="007A7760">
        <w:t xml:space="preserve">systems and their subscribers from the potential costs and service disruptions that would result from immediate compliance with </w:t>
      </w:r>
      <w:r w:rsidR="00E26C74" w:rsidRPr="007A7760">
        <w:t>an HD carriage requirement</w:t>
      </w:r>
      <w:r w:rsidR="00384400" w:rsidRPr="007A7760">
        <w:t>.</w:t>
      </w:r>
      <w:r w:rsidR="00384400" w:rsidRPr="003213F7">
        <w:rPr>
          <w:rStyle w:val="FootnoteReference"/>
          <w:sz w:val="22"/>
          <w:szCs w:val="22"/>
        </w:rPr>
        <w:footnoteReference w:id="15"/>
      </w:r>
      <w:r w:rsidR="00433551" w:rsidRPr="007A7760">
        <w:t xml:space="preserve"> </w:t>
      </w:r>
      <w:r w:rsidR="002E3CDB" w:rsidRPr="007A7760">
        <w:t xml:space="preserve"> </w:t>
      </w:r>
      <w:r w:rsidR="0083797C" w:rsidRPr="007A7760">
        <w:rPr>
          <w:szCs w:val="22"/>
        </w:rPr>
        <w:t>In support of its request for an extension, ACA points to data from a recent survey</w:t>
      </w:r>
      <w:r w:rsidR="0083797C" w:rsidRPr="003213F7">
        <w:rPr>
          <w:rStyle w:val="FootnoteReference"/>
          <w:sz w:val="22"/>
          <w:szCs w:val="22"/>
        </w:rPr>
        <w:footnoteReference w:id="16"/>
      </w:r>
      <w:r w:rsidR="0083797C" w:rsidRPr="007A7760">
        <w:rPr>
          <w:szCs w:val="22"/>
        </w:rPr>
        <w:t xml:space="preserve"> that shows that </w:t>
      </w:r>
      <w:r w:rsidR="0083797C">
        <w:rPr>
          <w:szCs w:val="22"/>
        </w:rPr>
        <w:t xml:space="preserve">roughly 6%, or </w:t>
      </w:r>
      <w:r w:rsidR="0083797C" w:rsidRPr="007A7760">
        <w:rPr>
          <w:szCs w:val="22"/>
        </w:rPr>
        <w:t>53 of its members, continue to rely on it.</w:t>
      </w:r>
      <w:r w:rsidR="0083797C" w:rsidRPr="003213F7">
        <w:rPr>
          <w:rStyle w:val="FootnoteReference"/>
          <w:sz w:val="22"/>
          <w:szCs w:val="22"/>
        </w:rPr>
        <w:footnoteReference w:id="17"/>
      </w:r>
      <w:r w:rsidR="0083797C" w:rsidRPr="0083797C">
        <w:rPr>
          <w:szCs w:val="22"/>
        </w:rPr>
        <w:t xml:space="preserve">   </w:t>
      </w:r>
    </w:p>
    <w:p w:rsidR="002333C0" w:rsidRPr="003213F7" w:rsidRDefault="002333C0" w:rsidP="00D86AE9">
      <w:pPr>
        <w:pStyle w:val="ParaNum"/>
        <w:widowControl/>
        <w:rPr>
          <w:szCs w:val="22"/>
        </w:rPr>
      </w:pPr>
      <w:r w:rsidRPr="003213F7">
        <w:rPr>
          <w:szCs w:val="22"/>
        </w:rPr>
        <w:t xml:space="preserve">With respect to </w:t>
      </w:r>
      <w:r w:rsidR="00541854" w:rsidRPr="003213F7">
        <w:rPr>
          <w:szCs w:val="22"/>
        </w:rPr>
        <w:t xml:space="preserve">the category of </w:t>
      </w:r>
      <w:r w:rsidR="00D738AA" w:rsidRPr="003213F7">
        <w:rPr>
          <w:szCs w:val="22"/>
        </w:rPr>
        <w:t xml:space="preserve">small </w:t>
      </w:r>
      <w:r w:rsidRPr="003213F7">
        <w:rPr>
          <w:szCs w:val="22"/>
        </w:rPr>
        <w:t xml:space="preserve">systems </w:t>
      </w:r>
      <w:r w:rsidR="00541854" w:rsidRPr="003213F7">
        <w:rPr>
          <w:szCs w:val="22"/>
        </w:rPr>
        <w:t xml:space="preserve">that have </w:t>
      </w:r>
      <w:r w:rsidRPr="003213F7">
        <w:rPr>
          <w:szCs w:val="22"/>
        </w:rPr>
        <w:t>a capacity of 552 MHz or less, ACA reports that 42 respondents (that account for at least 117 systems serving a total of 35,758 subscribers, or an average of 306 subscribers per system) continue to rely on the HD carriage exemption.</w:t>
      </w:r>
      <w:r w:rsidRPr="003213F7">
        <w:rPr>
          <w:rStyle w:val="FootnoteReference"/>
          <w:sz w:val="22"/>
          <w:szCs w:val="22"/>
        </w:rPr>
        <w:footnoteReference w:id="18"/>
      </w:r>
      <w:r w:rsidRPr="003213F7">
        <w:rPr>
          <w:szCs w:val="22"/>
        </w:rPr>
        <w:t xml:space="preserve">  </w:t>
      </w:r>
      <w:r w:rsidR="007C0EED" w:rsidRPr="003213F7">
        <w:rPr>
          <w:szCs w:val="22"/>
        </w:rPr>
        <w:t>Similarly, w</w:t>
      </w:r>
      <w:r w:rsidRPr="003213F7">
        <w:rPr>
          <w:szCs w:val="22"/>
        </w:rPr>
        <w:t xml:space="preserve">ith respect to </w:t>
      </w:r>
      <w:r w:rsidR="00541854" w:rsidRPr="003213F7">
        <w:rPr>
          <w:szCs w:val="22"/>
        </w:rPr>
        <w:t xml:space="preserve">the category of </w:t>
      </w:r>
      <w:r w:rsidRPr="003213F7">
        <w:rPr>
          <w:szCs w:val="22"/>
        </w:rPr>
        <w:t>systems that serve 2,500 or fewer subscribers and that are not affiliated with an operator serving more than 10 percent of all MVPD subscribers, ACA reports that 53 respondents (that account for 143 systems serving a total of 49,790 subscribers, or an average of 348 subscribers per system)</w:t>
      </w:r>
      <w:r w:rsidR="0046400D" w:rsidRPr="003213F7">
        <w:rPr>
          <w:rStyle w:val="FootnoteReference"/>
          <w:sz w:val="22"/>
          <w:szCs w:val="22"/>
        </w:rPr>
        <w:footnoteReference w:id="19"/>
      </w:r>
      <w:r w:rsidR="007C0EED" w:rsidRPr="003213F7">
        <w:rPr>
          <w:szCs w:val="22"/>
        </w:rPr>
        <w:t xml:space="preserve"> still rely on the </w:t>
      </w:r>
      <w:r w:rsidRPr="003213F7">
        <w:rPr>
          <w:szCs w:val="22"/>
        </w:rPr>
        <w:t>exemption.</w:t>
      </w:r>
      <w:r w:rsidRPr="003213F7">
        <w:rPr>
          <w:rStyle w:val="FootnoteReference"/>
          <w:sz w:val="22"/>
          <w:szCs w:val="22"/>
        </w:rPr>
        <w:footnoteReference w:id="20"/>
      </w:r>
      <w:r w:rsidR="00D738AA" w:rsidRPr="003213F7">
        <w:rPr>
          <w:szCs w:val="22"/>
        </w:rPr>
        <w:t xml:space="preserve">  </w:t>
      </w:r>
      <w:r w:rsidR="0083797C" w:rsidRPr="007A7760">
        <w:rPr>
          <w:szCs w:val="22"/>
        </w:rPr>
        <w:t>The survey reveals further that these systems offer an average of 2.5 must-carry stations in a “down-converted” format only.</w:t>
      </w:r>
      <w:r w:rsidR="0083797C" w:rsidRPr="003213F7">
        <w:rPr>
          <w:rStyle w:val="FootnoteReference"/>
          <w:sz w:val="22"/>
          <w:szCs w:val="22"/>
        </w:rPr>
        <w:footnoteReference w:id="21"/>
      </w:r>
      <w:r w:rsidR="0083797C" w:rsidRPr="007A7760">
        <w:rPr>
          <w:szCs w:val="22"/>
        </w:rPr>
        <w:t xml:space="preserve">  </w:t>
      </w:r>
      <w:r w:rsidR="00D738AA" w:rsidRPr="003213F7">
        <w:rPr>
          <w:szCs w:val="22"/>
        </w:rPr>
        <w:t>Given th</w:t>
      </w:r>
      <w:r w:rsidR="007C0EED" w:rsidRPr="003213F7">
        <w:rPr>
          <w:szCs w:val="22"/>
        </w:rPr>
        <w:t>is data</w:t>
      </w:r>
      <w:r w:rsidR="00D738AA" w:rsidRPr="003213F7">
        <w:rPr>
          <w:szCs w:val="22"/>
        </w:rPr>
        <w:t>, ACA asserts</w:t>
      </w:r>
      <w:r w:rsidR="007C0EED" w:rsidRPr="003213F7">
        <w:rPr>
          <w:szCs w:val="22"/>
        </w:rPr>
        <w:t>,</w:t>
      </w:r>
      <w:r w:rsidR="00D738AA" w:rsidRPr="003213F7">
        <w:rPr>
          <w:szCs w:val="22"/>
        </w:rPr>
        <w:t xml:space="preserve"> imposing an HD carriage requirement at this time would be as detrimental to small systems today as it was when the Commission initially granted the exemption.</w:t>
      </w:r>
      <w:r w:rsidR="00D738AA" w:rsidRPr="003213F7">
        <w:rPr>
          <w:rStyle w:val="FootnoteReference"/>
          <w:sz w:val="22"/>
          <w:szCs w:val="22"/>
        </w:rPr>
        <w:footnoteReference w:id="22"/>
      </w:r>
      <w:r w:rsidR="00A878D0" w:rsidRPr="003213F7">
        <w:rPr>
          <w:szCs w:val="22"/>
        </w:rPr>
        <w:t xml:space="preserve"> </w:t>
      </w:r>
    </w:p>
    <w:p w:rsidR="0052542D" w:rsidRPr="00A64CF5" w:rsidRDefault="007F1618" w:rsidP="00F51D8C">
      <w:pPr>
        <w:pStyle w:val="ParaNum"/>
        <w:rPr>
          <w:szCs w:val="22"/>
        </w:rPr>
      </w:pPr>
      <w:r w:rsidRPr="003213F7">
        <w:rPr>
          <w:szCs w:val="22"/>
        </w:rPr>
        <w:t>ACA a</w:t>
      </w:r>
      <w:r w:rsidR="009706D4" w:rsidRPr="003213F7">
        <w:rPr>
          <w:szCs w:val="22"/>
        </w:rPr>
        <w:t xml:space="preserve">rgues </w:t>
      </w:r>
      <w:r w:rsidRPr="003213F7">
        <w:rPr>
          <w:szCs w:val="22"/>
        </w:rPr>
        <w:t xml:space="preserve">that </w:t>
      </w:r>
      <w:r w:rsidR="009706D4" w:rsidRPr="003213F7">
        <w:rPr>
          <w:szCs w:val="22"/>
        </w:rPr>
        <w:t>applying the HD carriage exemption to cable systems with 552 MHz or less of channe</w:t>
      </w:r>
      <w:r w:rsidR="00892A23" w:rsidRPr="003213F7">
        <w:rPr>
          <w:szCs w:val="22"/>
        </w:rPr>
        <w:t>l capacity is still justified because such s</w:t>
      </w:r>
      <w:r w:rsidRPr="003213F7">
        <w:rPr>
          <w:szCs w:val="22"/>
        </w:rPr>
        <w:t xml:space="preserve">ystems continue to </w:t>
      </w:r>
      <w:r w:rsidR="009706D4" w:rsidRPr="003213F7">
        <w:rPr>
          <w:szCs w:val="22"/>
        </w:rPr>
        <w:t>face</w:t>
      </w:r>
      <w:r w:rsidRPr="003213F7">
        <w:rPr>
          <w:szCs w:val="22"/>
        </w:rPr>
        <w:t xml:space="preserve"> significant bandwidth constraints that affect their ability to provide must-carry</w:t>
      </w:r>
      <w:r w:rsidR="009706D4" w:rsidRPr="003213F7">
        <w:rPr>
          <w:szCs w:val="22"/>
        </w:rPr>
        <w:t xml:space="preserve"> </w:t>
      </w:r>
      <w:r w:rsidRPr="003213F7">
        <w:rPr>
          <w:szCs w:val="22"/>
        </w:rPr>
        <w:t>signals in both analog and HD format.</w:t>
      </w:r>
      <w:r w:rsidRPr="003213F7">
        <w:rPr>
          <w:rStyle w:val="FootnoteReference"/>
          <w:sz w:val="22"/>
          <w:szCs w:val="22"/>
        </w:rPr>
        <w:footnoteReference w:id="23"/>
      </w:r>
      <w:r w:rsidRPr="003213F7">
        <w:rPr>
          <w:szCs w:val="22"/>
        </w:rPr>
        <w:t xml:space="preserve">  </w:t>
      </w:r>
      <w:r w:rsidR="00892A23" w:rsidRPr="003213F7">
        <w:rPr>
          <w:szCs w:val="22"/>
        </w:rPr>
        <w:t xml:space="preserve">To support its assertion, </w:t>
      </w:r>
      <w:r w:rsidR="005F1394" w:rsidRPr="003213F7">
        <w:rPr>
          <w:szCs w:val="22"/>
        </w:rPr>
        <w:t xml:space="preserve">ACA </w:t>
      </w:r>
      <w:r w:rsidR="00892A23" w:rsidRPr="003213F7">
        <w:rPr>
          <w:szCs w:val="22"/>
        </w:rPr>
        <w:t xml:space="preserve">points to survey data demonstrating </w:t>
      </w:r>
      <w:r w:rsidR="005F1394" w:rsidRPr="003213F7">
        <w:rPr>
          <w:szCs w:val="22"/>
        </w:rPr>
        <w:t xml:space="preserve">that for 81% of </w:t>
      </w:r>
      <w:r w:rsidR="00AF0480" w:rsidRPr="003213F7">
        <w:rPr>
          <w:szCs w:val="22"/>
        </w:rPr>
        <w:t xml:space="preserve">respondents </w:t>
      </w:r>
      <w:r w:rsidR="005F1394" w:rsidRPr="003213F7">
        <w:rPr>
          <w:szCs w:val="22"/>
        </w:rPr>
        <w:t xml:space="preserve">with a capacity of 552 MHz or less, the amount of unused channel capacity that is available for </w:t>
      </w:r>
      <w:r w:rsidR="00892A23" w:rsidRPr="003213F7">
        <w:rPr>
          <w:szCs w:val="22"/>
        </w:rPr>
        <w:t xml:space="preserve">new channels or services either </w:t>
      </w:r>
      <w:r w:rsidR="004D4666" w:rsidRPr="003213F7">
        <w:rPr>
          <w:szCs w:val="22"/>
        </w:rPr>
        <w:t xml:space="preserve">has </w:t>
      </w:r>
      <w:r w:rsidR="005F1394" w:rsidRPr="003213F7">
        <w:rPr>
          <w:szCs w:val="22"/>
        </w:rPr>
        <w:t>decreased</w:t>
      </w:r>
      <w:r w:rsidR="00F25C3F" w:rsidRPr="003213F7">
        <w:rPr>
          <w:rStyle w:val="FootnoteReference"/>
          <w:sz w:val="22"/>
          <w:szCs w:val="22"/>
        </w:rPr>
        <w:footnoteReference w:id="24"/>
      </w:r>
      <w:r w:rsidR="005F1394" w:rsidRPr="003213F7">
        <w:rPr>
          <w:szCs w:val="22"/>
        </w:rPr>
        <w:t xml:space="preserve"> or remained the same</w:t>
      </w:r>
      <w:r w:rsidR="00F25C3F" w:rsidRPr="003213F7">
        <w:rPr>
          <w:rStyle w:val="FootnoteReference"/>
          <w:sz w:val="22"/>
          <w:szCs w:val="22"/>
        </w:rPr>
        <w:footnoteReference w:id="25"/>
      </w:r>
      <w:r w:rsidR="005F1394" w:rsidRPr="003213F7">
        <w:rPr>
          <w:szCs w:val="22"/>
        </w:rPr>
        <w:t xml:space="preserve"> in the past three years.</w:t>
      </w:r>
      <w:r w:rsidR="00377488" w:rsidRPr="003213F7">
        <w:rPr>
          <w:szCs w:val="22"/>
        </w:rPr>
        <w:t xml:space="preserve">  ACA asserts further that a substantial majority of </w:t>
      </w:r>
      <w:r w:rsidR="00892A23" w:rsidRPr="003213F7">
        <w:rPr>
          <w:szCs w:val="22"/>
        </w:rPr>
        <w:t xml:space="preserve">survey </w:t>
      </w:r>
      <w:r w:rsidR="00377488" w:rsidRPr="003213F7">
        <w:rPr>
          <w:szCs w:val="22"/>
        </w:rPr>
        <w:t xml:space="preserve">respondents in this category </w:t>
      </w:r>
      <w:r w:rsidR="00892A23" w:rsidRPr="003213F7">
        <w:rPr>
          <w:szCs w:val="22"/>
        </w:rPr>
        <w:t xml:space="preserve">report that they </w:t>
      </w:r>
      <w:r w:rsidR="00377488" w:rsidRPr="003213F7">
        <w:rPr>
          <w:szCs w:val="22"/>
        </w:rPr>
        <w:t>cannot deliver HD signals without changing existing channels or servic</w:t>
      </w:r>
      <w:r w:rsidR="00053252" w:rsidRPr="003213F7">
        <w:rPr>
          <w:szCs w:val="22"/>
        </w:rPr>
        <w:t xml:space="preserve">es, and that it would be </w:t>
      </w:r>
      <w:r w:rsidR="00377488" w:rsidRPr="003213F7">
        <w:rPr>
          <w:szCs w:val="22"/>
        </w:rPr>
        <w:t>burden</w:t>
      </w:r>
      <w:r w:rsidR="00053252" w:rsidRPr="003213F7">
        <w:rPr>
          <w:szCs w:val="22"/>
        </w:rPr>
        <w:t>some</w:t>
      </w:r>
      <w:r w:rsidR="00377488" w:rsidRPr="003213F7">
        <w:rPr>
          <w:szCs w:val="22"/>
        </w:rPr>
        <w:t xml:space="preserve"> </w:t>
      </w:r>
      <w:r w:rsidR="00892A23" w:rsidRPr="003213F7">
        <w:rPr>
          <w:szCs w:val="22"/>
        </w:rPr>
        <w:t xml:space="preserve">for them </w:t>
      </w:r>
      <w:r w:rsidR="00377488" w:rsidRPr="003213F7">
        <w:rPr>
          <w:szCs w:val="22"/>
        </w:rPr>
        <w:t>to make available channel capacity for HD signals.</w:t>
      </w:r>
      <w:r w:rsidR="00377488" w:rsidRPr="003213F7">
        <w:rPr>
          <w:rStyle w:val="FootnoteReference"/>
          <w:sz w:val="22"/>
          <w:szCs w:val="22"/>
        </w:rPr>
        <w:footnoteReference w:id="26"/>
      </w:r>
      <w:r w:rsidR="00053252" w:rsidRPr="003213F7">
        <w:rPr>
          <w:szCs w:val="22"/>
        </w:rPr>
        <w:t xml:space="preserve">  ACA contends that imposing an HD carriage requirement </w:t>
      </w:r>
      <w:r w:rsidR="00A84962" w:rsidRPr="003213F7">
        <w:rPr>
          <w:szCs w:val="22"/>
        </w:rPr>
        <w:t xml:space="preserve">at this time </w:t>
      </w:r>
      <w:r w:rsidR="00053252" w:rsidRPr="003213F7">
        <w:rPr>
          <w:szCs w:val="22"/>
        </w:rPr>
        <w:t>would harm subscribers of these systems by forcing such systems</w:t>
      </w:r>
      <w:r w:rsidR="003F1908" w:rsidRPr="003213F7">
        <w:rPr>
          <w:szCs w:val="22"/>
        </w:rPr>
        <w:t>:  (i)</w:t>
      </w:r>
      <w:r w:rsidR="00053252" w:rsidRPr="003213F7">
        <w:rPr>
          <w:szCs w:val="22"/>
        </w:rPr>
        <w:t xml:space="preserve"> </w:t>
      </w:r>
      <w:r w:rsidR="003F1908" w:rsidRPr="003213F7">
        <w:rPr>
          <w:szCs w:val="22"/>
        </w:rPr>
        <w:t>to drop channels; (ii)</w:t>
      </w:r>
      <w:r w:rsidR="00053252" w:rsidRPr="003213F7">
        <w:rPr>
          <w:szCs w:val="22"/>
        </w:rPr>
        <w:t xml:space="preserve"> to continue providing signals only in a down-conver</w:t>
      </w:r>
      <w:r w:rsidR="00892A23" w:rsidRPr="003213F7">
        <w:rPr>
          <w:szCs w:val="22"/>
        </w:rPr>
        <w:t xml:space="preserve">ted format, thereby </w:t>
      </w:r>
      <w:r w:rsidR="00053252" w:rsidRPr="003213F7">
        <w:rPr>
          <w:szCs w:val="22"/>
        </w:rPr>
        <w:t>risk</w:t>
      </w:r>
      <w:r w:rsidR="00892A23" w:rsidRPr="003213F7">
        <w:rPr>
          <w:szCs w:val="22"/>
        </w:rPr>
        <w:t>ing</w:t>
      </w:r>
      <w:r w:rsidR="00053252" w:rsidRPr="003213F7">
        <w:rPr>
          <w:szCs w:val="22"/>
        </w:rPr>
        <w:t xml:space="preserve"> Commission</w:t>
      </w:r>
      <w:r w:rsidR="003F1908" w:rsidRPr="003213F7">
        <w:rPr>
          <w:szCs w:val="22"/>
        </w:rPr>
        <w:t xml:space="preserve"> enforcement action;</w:t>
      </w:r>
      <w:r w:rsidR="00053252" w:rsidRPr="003213F7">
        <w:rPr>
          <w:szCs w:val="22"/>
        </w:rPr>
        <w:t xml:space="preserve"> or </w:t>
      </w:r>
      <w:r w:rsidR="003F1908" w:rsidRPr="003213F7">
        <w:rPr>
          <w:szCs w:val="22"/>
        </w:rPr>
        <w:t xml:space="preserve">(iii) </w:t>
      </w:r>
      <w:r w:rsidR="00053252" w:rsidRPr="003213F7">
        <w:rPr>
          <w:szCs w:val="22"/>
        </w:rPr>
        <w:t>to cease operations entirely.</w:t>
      </w:r>
      <w:r w:rsidR="00053252" w:rsidRPr="003213F7">
        <w:rPr>
          <w:rStyle w:val="FootnoteReference"/>
          <w:sz w:val="22"/>
          <w:szCs w:val="22"/>
        </w:rPr>
        <w:footnoteReference w:id="27"/>
      </w:r>
    </w:p>
    <w:p w:rsidR="00FD0E0E" w:rsidRPr="006B779B" w:rsidRDefault="00327222" w:rsidP="00D86AE9">
      <w:pPr>
        <w:pStyle w:val="ParaNum"/>
        <w:widowControl/>
        <w:rPr>
          <w:szCs w:val="22"/>
        </w:rPr>
      </w:pPr>
      <w:r w:rsidRPr="003213F7">
        <w:rPr>
          <w:szCs w:val="22"/>
        </w:rPr>
        <w:t>ACA contends that extending the HD carriage exemption to cable systems with 2,500 or fewer subscribers (and that are not affiliated with an operator serving more than 10 percent of all MVPD subscribers)</w:t>
      </w:r>
      <w:r w:rsidR="000A5A9B" w:rsidRPr="003213F7">
        <w:rPr>
          <w:szCs w:val="22"/>
        </w:rPr>
        <w:t xml:space="preserve"> </w:t>
      </w:r>
      <w:r w:rsidRPr="003213F7">
        <w:rPr>
          <w:szCs w:val="22"/>
        </w:rPr>
        <w:t xml:space="preserve">also </w:t>
      </w:r>
      <w:r w:rsidR="000A5A9B" w:rsidRPr="003213F7">
        <w:rPr>
          <w:szCs w:val="22"/>
        </w:rPr>
        <w:t>remains justified because such systems still lack the financial resources necessary to purchase equipment needed to provide HD signals.</w:t>
      </w:r>
      <w:r w:rsidR="00F00F45" w:rsidRPr="003213F7">
        <w:rPr>
          <w:rStyle w:val="FootnoteReference"/>
          <w:sz w:val="22"/>
          <w:szCs w:val="22"/>
        </w:rPr>
        <w:footnoteReference w:id="28"/>
      </w:r>
      <w:r w:rsidR="000A5A9B" w:rsidRPr="003213F7">
        <w:rPr>
          <w:szCs w:val="22"/>
        </w:rPr>
        <w:t xml:space="preserve">  </w:t>
      </w:r>
      <w:r w:rsidR="00F00F45" w:rsidRPr="003213F7">
        <w:rPr>
          <w:szCs w:val="22"/>
        </w:rPr>
        <w:t xml:space="preserve">To support its assertion, </w:t>
      </w:r>
      <w:r w:rsidR="004B25C6" w:rsidRPr="003213F7">
        <w:rPr>
          <w:szCs w:val="22"/>
        </w:rPr>
        <w:t xml:space="preserve">ACA </w:t>
      </w:r>
      <w:r w:rsidR="00F00F45" w:rsidRPr="003213F7">
        <w:rPr>
          <w:szCs w:val="22"/>
        </w:rPr>
        <w:t xml:space="preserve">points to survey data showing </w:t>
      </w:r>
      <w:r w:rsidR="00224338" w:rsidRPr="003213F7">
        <w:rPr>
          <w:szCs w:val="22"/>
        </w:rPr>
        <w:t xml:space="preserve">that an overwhelming number of </w:t>
      </w:r>
      <w:r w:rsidR="00F00F45" w:rsidRPr="003213F7">
        <w:rPr>
          <w:szCs w:val="22"/>
        </w:rPr>
        <w:t xml:space="preserve">systems in this category </w:t>
      </w:r>
      <w:r w:rsidR="00224338" w:rsidRPr="003213F7">
        <w:rPr>
          <w:szCs w:val="22"/>
        </w:rPr>
        <w:t>reported that the</w:t>
      </w:r>
      <w:r w:rsidR="00F00F45" w:rsidRPr="003213F7">
        <w:rPr>
          <w:szCs w:val="22"/>
        </w:rPr>
        <w:t>ir</w:t>
      </w:r>
      <w:r w:rsidR="00224338" w:rsidRPr="003213F7">
        <w:rPr>
          <w:szCs w:val="22"/>
        </w:rPr>
        <w:t xml:space="preserve"> net income from </w:t>
      </w:r>
      <w:r w:rsidR="0003394D" w:rsidRPr="003213F7">
        <w:rPr>
          <w:szCs w:val="22"/>
        </w:rPr>
        <w:t>video service</w:t>
      </w:r>
      <w:r w:rsidR="00224338" w:rsidRPr="003213F7">
        <w:rPr>
          <w:szCs w:val="22"/>
        </w:rPr>
        <w:t>s has declined over the last three years.</w:t>
      </w:r>
      <w:r w:rsidR="00224338" w:rsidRPr="003213F7">
        <w:rPr>
          <w:rStyle w:val="FootnoteReference"/>
          <w:sz w:val="22"/>
          <w:szCs w:val="22"/>
        </w:rPr>
        <w:footnoteReference w:id="29"/>
      </w:r>
      <w:r w:rsidR="00224338" w:rsidRPr="003213F7">
        <w:rPr>
          <w:szCs w:val="22"/>
        </w:rPr>
        <w:t xml:space="preserve">  ACA contends</w:t>
      </w:r>
      <w:r w:rsidR="00124C02" w:rsidRPr="003213F7">
        <w:rPr>
          <w:szCs w:val="22"/>
        </w:rPr>
        <w:t xml:space="preserve">, based on its survey, </w:t>
      </w:r>
      <w:r w:rsidR="00224338" w:rsidRPr="003213F7">
        <w:rPr>
          <w:szCs w:val="22"/>
        </w:rPr>
        <w:t xml:space="preserve">that many </w:t>
      </w:r>
      <w:r w:rsidR="00D711FA" w:rsidRPr="003213F7">
        <w:rPr>
          <w:szCs w:val="22"/>
        </w:rPr>
        <w:t xml:space="preserve">such </w:t>
      </w:r>
      <w:r w:rsidR="00224338" w:rsidRPr="003213F7">
        <w:rPr>
          <w:szCs w:val="22"/>
        </w:rPr>
        <w:t xml:space="preserve">systems would need to purchase additional equipment to offer must-carry signals in HD, and that doing so would be </w:t>
      </w:r>
      <w:r w:rsidR="0003394D" w:rsidRPr="003213F7">
        <w:rPr>
          <w:szCs w:val="22"/>
        </w:rPr>
        <w:t xml:space="preserve">financially </w:t>
      </w:r>
      <w:r w:rsidR="00224338" w:rsidRPr="003213F7">
        <w:rPr>
          <w:szCs w:val="22"/>
        </w:rPr>
        <w:t xml:space="preserve">burdensome for </w:t>
      </w:r>
      <w:r w:rsidR="00D711FA" w:rsidRPr="003213F7">
        <w:rPr>
          <w:szCs w:val="22"/>
        </w:rPr>
        <w:t>them</w:t>
      </w:r>
      <w:r w:rsidR="00224338" w:rsidRPr="003213F7">
        <w:rPr>
          <w:szCs w:val="22"/>
        </w:rPr>
        <w:t>.</w:t>
      </w:r>
      <w:r w:rsidR="00224338" w:rsidRPr="003213F7">
        <w:rPr>
          <w:rStyle w:val="FootnoteReference"/>
          <w:sz w:val="22"/>
          <w:szCs w:val="22"/>
        </w:rPr>
        <w:footnoteReference w:id="30"/>
      </w:r>
      <w:r w:rsidR="00224338" w:rsidRPr="003213F7">
        <w:rPr>
          <w:szCs w:val="22"/>
        </w:rPr>
        <w:t xml:space="preserve">  </w:t>
      </w:r>
      <w:r w:rsidR="0003394D" w:rsidRPr="003213F7">
        <w:rPr>
          <w:szCs w:val="22"/>
        </w:rPr>
        <w:t>ACA</w:t>
      </w:r>
      <w:r w:rsidR="00124C02" w:rsidRPr="003213F7">
        <w:rPr>
          <w:szCs w:val="22"/>
        </w:rPr>
        <w:t xml:space="preserve"> argues that </w:t>
      </w:r>
      <w:r w:rsidR="0003394D" w:rsidRPr="003213F7">
        <w:rPr>
          <w:szCs w:val="22"/>
        </w:rPr>
        <w:t>requiring these systems to</w:t>
      </w:r>
      <w:r w:rsidR="00124C02" w:rsidRPr="003213F7">
        <w:rPr>
          <w:szCs w:val="22"/>
        </w:rPr>
        <w:t xml:space="preserve"> transmit </w:t>
      </w:r>
      <w:r w:rsidR="0003394D" w:rsidRPr="003213F7">
        <w:rPr>
          <w:szCs w:val="22"/>
        </w:rPr>
        <w:t xml:space="preserve">HD </w:t>
      </w:r>
      <w:r w:rsidR="00124C02" w:rsidRPr="003213F7">
        <w:rPr>
          <w:szCs w:val="22"/>
        </w:rPr>
        <w:t xml:space="preserve">signals </w:t>
      </w:r>
      <w:r w:rsidR="00ED16DF" w:rsidRPr="003213F7">
        <w:rPr>
          <w:szCs w:val="22"/>
        </w:rPr>
        <w:t xml:space="preserve">would </w:t>
      </w:r>
      <w:r w:rsidR="00E452C7" w:rsidRPr="003213F7">
        <w:rPr>
          <w:szCs w:val="22"/>
        </w:rPr>
        <w:t xml:space="preserve">force </w:t>
      </w:r>
      <w:r w:rsidR="00F84227" w:rsidRPr="003213F7">
        <w:rPr>
          <w:szCs w:val="22"/>
        </w:rPr>
        <w:t>them</w:t>
      </w:r>
      <w:r w:rsidR="00E452C7" w:rsidRPr="003213F7">
        <w:rPr>
          <w:szCs w:val="22"/>
        </w:rPr>
        <w:t xml:space="preserve"> to </w:t>
      </w:r>
      <w:r w:rsidR="0003394D" w:rsidRPr="003213F7">
        <w:rPr>
          <w:szCs w:val="22"/>
        </w:rPr>
        <w:t xml:space="preserve">absorb </w:t>
      </w:r>
      <w:r w:rsidR="00D711FA" w:rsidRPr="003213F7">
        <w:rPr>
          <w:szCs w:val="22"/>
        </w:rPr>
        <w:t>the</w:t>
      </w:r>
      <w:r w:rsidR="00E452C7" w:rsidRPr="003213F7">
        <w:rPr>
          <w:szCs w:val="22"/>
        </w:rPr>
        <w:t xml:space="preserve"> equipment costs or pass such costs </w:t>
      </w:r>
      <w:r w:rsidR="0003394D" w:rsidRPr="003213F7">
        <w:rPr>
          <w:szCs w:val="22"/>
        </w:rPr>
        <w:t>on to subscribers</w:t>
      </w:r>
      <w:r w:rsidR="00F84227" w:rsidRPr="003213F7">
        <w:rPr>
          <w:szCs w:val="22"/>
        </w:rPr>
        <w:t>,</w:t>
      </w:r>
      <w:r w:rsidR="0003394D" w:rsidRPr="003213F7">
        <w:rPr>
          <w:szCs w:val="22"/>
        </w:rPr>
        <w:t xml:space="preserve"> </w:t>
      </w:r>
      <w:r w:rsidR="00F84227" w:rsidRPr="003213F7">
        <w:rPr>
          <w:szCs w:val="22"/>
        </w:rPr>
        <w:t xml:space="preserve">and </w:t>
      </w:r>
      <w:r w:rsidR="00F13426" w:rsidRPr="003213F7">
        <w:rPr>
          <w:szCs w:val="22"/>
        </w:rPr>
        <w:t>that these harms far outweigh any benefits derived fr</w:t>
      </w:r>
      <w:r w:rsidR="00FA034A" w:rsidRPr="003213F7">
        <w:rPr>
          <w:szCs w:val="22"/>
        </w:rPr>
        <w:t>om an HD carriage mandate.</w:t>
      </w:r>
      <w:r w:rsidR="00F84227" w:rsidRPr="003213F7">
        <w:rPr>
          <w:rStyle w:val="FootnoteReference"/>
          <w:sz w:val="22"/>
          <w:szCs w:val="22"/>
        </w:rPr>
        <w:footnoteReference w:id="31"/>
      </w:r>
      <w:r w:rsidR="00B71852">
        <w:rPr>
          <w:szCs w:val="22"/>
        </w:rPr>
        <w:t xml:space="preserve">  ACA also highlights concerns about cost and compliance that may result from the upcoming broadcast spectrum incentive auction because the auction could result in fewer stations and/or channel sharing.</w:t>
      </w:r>
      <w:r w:rsidR="00B71852">
        <w:rPr>
          <w:rStyle w:val="FootnoteReference"/>
          <w:szCs w:val="22"/>
        </w:rPr>
        <w:footnoteReference w:id="32"/>
      </w:r>
    </w:p>
    <w:p w:rsidR="00851CA0" w:rsidRPr="006B779B" w:rsidRDefault="007A7760" w:rsidP="00F51D8C">
      <w:pPr>
        <w:pStyle w:val="ParaNum"/>
        <w:rPr>
          <w:szCs w:val="22"/>
        </w:rPr>
      </w:pPr>
      <w:r>
        <w:t xml:space="preserve">Moreover, </w:t>
      </w:r>
      <w:r w:rsidR="00851CA0" w:rsidDel="00AA2C06">
        <w:t xml:space="preserve">ACA asserts that the number of </w:t>
      </w:r>
      <w:r>
        <w:t xml:space="preserve">cable </w:t>
      </w:r>
      <w:r w:rsidR="00851CA0" w:rsidDel="00AA2C06">
        <w:t xml:space="preserve">systems </w:t>
      </w:r>
      <w:r>
        <w:t xml:space="preserve">relying on the HD carriage exemption </w:t>
      </w:r>
      <w:r w:rsidR="00851CA0" w:rsidDel="00AA2C06">
        <w:t>is declining and will continue to decline over the next three years.</w:t>
      </w:r>
      <w:r w:rsidR="00851CA0">
        <w:rPr>
          <w:rStyle w:val="FootnoteReference"/>
        </w:rPr>
        <w:footnoteReference w:id="33"/>
      </w:r>
      <w:r w:rsidR="00851CA0" w:rsidDel="00AA2C06">
        <w:t xml:space="preserve">  </w:t>
      </w:r>
      <w:r w:rsidR="001B71BE">
        <w:t xml:space="preserve">In particular, </w:t>
      </w:r>
      <w:r w:rsidR="00851CA0" w:rsidDel="00AA2C06">
        <w:t xml:space="preserve">ACA claims that more than 200 fewer </w:t>
      </w:r>
      <w:r w:rsidR="00851CA0" w:rsidRPr="00E77D8E" w:rsidDel="00AA2C06">
        <w:rPr>
          <w:i/>
        </w:rPr>
        <w:t>systems</w:t>
      </w:r>
      <w:r w:rsidR="00851CA0" w:rsidDel="00AA2C06">
        <w:t xml:space="preserve"> are using the HD exemption today than in 2012, and that by June 2018, only 73 of the 143 systems that are currently relying on the exemption are expected to still be in operation and meet the criteria for taking advantage of the exemption.</w:t>
      </w:r>
      <w:r w:rsidR="00851CA0">
        <w:rPr>
          <w:rStyle w:val="FootnoteReference"/>
        </w:rPr>
        <w:footnoteReference w:id="34"/>
      </w:r>
      <w:r w:rsidR="00851CA0" w:rsidDel="00AA2C06">
        <w:t xml:space="preserve">  ACA anticipates that this decline in the number of systems will result from system shutdowns or system upgrades to increase channel capacity.</w:t>
      </w:r>
      <w:r w:rsidR="001B71BE">
        <w:rPr>
          <w:rStyle w:val="FootnoteReference"/>
        </w:rPr>
        <w:footnoteReference w:id="35"/>
      </w:r>
      <w:r w:rsidR="00851CA0" w:rsidDel="00AA2C06">
        <w:t xml:space="preserve">  </w:t>
      </w:r>
      <w:r w:rsidR="00066F43">
        <w:t xml:space="preserve">ACA argues that </w:t>
      </w:r>
      <w:r w:rsidR="00066F43" w:rsidRPr="00066F43">
        <w:t>“[g]iven . . . the trend of decreasing reliance . . . , it is appropriate to extend the HD exemption for the relatively few remaining operators that continue to rely on the exemption.”</w:t>
      </w:r>
      <w:r w:rsidR="00AB72DE" w:rsidRPr="00066F43">
        <w:rPr>
          <w:rStyle w:val="FootnoteReference"/>
        </w:rPr>
        <w:footnoteReference w:id="36"/>
      </w:r>
      <w:r w:rsidR="00851CA0" w:rsidRPr="00066F43" w:rsidDel="00AA2C06">
        <w:t xml:space="preserve">  </w:t>
      </w:r>
    </w:p>
    <w:p w:rsidR="00A21D0A" w:rsidRPr="003213F7" w:rsidRDefault="004E75FA" w:rsidP="00F51D8C">
      <w:pPr>
        <w:pStyle w:val="ParaNum"/>
        <w:rPr>
          <w:szCs w:val="22"/>
        </w:rPr>
      </w:pPr>
      <w:r w:rsidRPr="003213F7">
        <w:rPr>
          <w:szCs w:val="22"/>
        </w:rPr>
        <w:t xml:space="preserve">Finally, ACA </w:t>
      </w:r>
      <w:r w:rsidR="00D01006" w:rsidRPr="003213F7">
        <w:rPr>
          <w:szCs w:val="22"/>
        </w:rPr>
        <w:t xml:space="preserve">seeks a clarification that </w:t>
      </w:r>
      <w:r w:rsidRPr="003213F7">
        <w:rPr>
          <w:szCs w:val="22"/>
        </w:rPr>
        <w:t xml:space="preserve">cable systems </w:t>
      </w:r>
      <w:r w:rsidR="00D01006" w:rsidRPr="003213F7">
        <w:rPr>
          <w:szCs w:val="22"/>
        </w:rPr>
        <w:t xml:space="preserve">that offer video programming only in analog </w:t>
      </w:r>
      <w:r w:rsidRPr="003213F7">
        <w:rPr>
          <w:szCs w:val="22"/>
        </w:rPr>
        <w:t>are not required, and have never been required, to transmit must-carry signals in HD because such carriage is not “technically feasible” within the meaning of Section 614(b)(4)(A) of the Act and its implementing rules.</w:t>
      </w:r>
      <w:r w:rsidR="00D01006" w:rsidRPr="003213F7">
        <w:rPr>
          <w:rStyle w:val="FootnoteReference"/>
          <w:sz w:val="22"/>
          <w:szCs w:val="22"/>
        </w:rPr>
        <w:footnoteReference w:id="37"/>
      </w:r>
      <w:r w:rsidR="00D01006" w:rsidRPr="003213F7">
        <w:rPr>
          <w:szCs w:val="22"/>
        </w:rPr>
        <w:t xml:space="preserve">  </w:t>
      </w:r>
      <w:r w:rsidR="00A21D0A" w:rsidRPr="003213F7">
        <w:rPr>
          <w:szCs w:val="22"/>
        </w:rPr>
        <w:t xml:space="preserve">In particular, ACA contends that: </w:t>
      </w:r>
    </w:p>
    <w:p w:rsidR="004E75FA" w:rsidRPr="003213F7" w:rsidRDefault="00A21D0A" w:rsidP="00A21D0A">
      <w:pPr>
        <w:pStyle w:val="ParaNum"/>
        <w:numPr>
          <w:ilvl w:val="0"/>
          <w:numId w:val="0"/>
        </w:numPr>
        <w:ind w:left="720" w:right="720"/>
        <w:rPr>
          <w:szCs w:val="22"/>
        </w:rPr>
      </w:pPr>
      <w:r w:rsidRPr="003213F7">
        <w:rPr>
          <w:szCs w:val="22"/>
        </w:rPr>
        <w:t xml:space="preserve">analog-only systems are unable to carry </w:t>
      </w:r>
      <w:r w:rsidRPr="003213F7">
        <w:rPr>
          <w:i/>
          <w:szCs w:val="22"/>
        </w:rPr>
        <w:t xml:space="preserve">any </w:t>
      </w:r>
      <w:r w:rsidRPr="003213F7">
        <w:rPr>
          <w:szCs w:val="22"/>
        </w:rPr>
        <w:t>HD signals.  If an analog-only system had the capability of carrying an HD signal, which can only be done in digital format, the system would no longer be, by definition, an analog-only system.  It would be a hybrid analog/digital system.</w:t>
      </w:r>
      <w:r w:rsidRPr="003213F7">
        <w:rPr>
          <w:rStyle w:val="FootnoteReference"/>
          <w:sz w:val="22"/>
          <w:szCs w:val="22"/>
        </w:rPr>
        <w:footnoteReference w:id="38"/>
      </w:r>
      <w:r w:rsidRPr="003213F7">
        <w:rPr>
          <w:szCs w:val="22"/>
        </w:rPr>
        <w:t xml:space="preserve"> </w:t>
      </w:r>
    </w:p>
    <w:p w:rsidR="00A21D0A" w:rsidRPr="003213F7" w:rsidRDefault="00D02AFE">
      <w:pPr>
        <w:pStyle w:val="ParaNum"/>
        <w:numPr>
          <w:ilvl w:val="0"/>
          <w:numId w:val="0"/>
        </w:numPr>
        <w:ind w:right="720"/>
        <w:rPr>
          <w:szCs w:val="22"/>
        </w:rPr>
      </w:pPr>
      <w:r w:rsidRPr="003213F7">
        <w:rPr>
          <w:szCs w:val="22"/>
        </w:rPr>
        <w:t xml:space="preserve">ACA claims that </w:t>
      </w:r>
      <w:r w:rsidR="00A21D0A" w:rsidRPr="003213F7">
        <w:rPr>
          <w:szCs w:val="22"/>
        </w:rPr>
        <w:t>a sm</w:t>
      </w:r>
      <w:r w:rsidR="0005339F" w:rsidRPr="003213F7">
        <w:rPr>
          <w:szCs w:val="22"/>
        </w:rPr>
        <w:t xml:space="preserve">all </w:t>
      </w:r>
      <w:r w:rsidR="00A21D0A" w:rsidRPr="003213F7">
        <w:rPr>
          <w:szCs w:val="22"/>
        </w:rPr>
        <w:t>number of cable systems</w:t>
      </w:r>
      <w:r w:rsidR="0005339F" w:rsidRPr="003213F7">
        <w:rPr>
          <w:szCs w:val="22"/>
        </w:rPr>
        <w:t xml:space="preserve"> </w:t>
      </w:r>
      <w:r w:rsidRPr="003213F7">
        <w:rPr>
          <w:szCs w:val="22"/>
        </w:rPr>
        <w:t xml:space="preserve">that </w:t>
      </w:r>
      <w:r w:rsidR="0005339F" w:rsidRPr="003213F7">
        <w:rPr>
          <w:szCs w:val="22"/>
        </w:rPr>
        <w:t>rely on the HD carriage exemption</w:t>
      </w:r>
      <w:r w:rsidRPr="003213F7">
        <w:rPr>
          <w:szCs w:val="22"/>
        </w:rPr>
        <w:t xml:space="preserve"> would benefit from the requested clarification</w:t>
      </w:r>
      <w:r w:rsidR="0005339F" w:rsidRPr="003213F7">
        <w:rPr>
          <w:szCs w:val="22"/>
        </w:rPr>
        <w:t>, and that this number is decreasing.</w:t>
      </w:r>
      <w:r w:rsidR="0044695A" w:rsidRPr="003213F7">
        <w:rPr>
          <w:rStyle w:val="FootnoteReference"/>
          <w:sz w:val="22"/>
          <w:szCs w:val="22"/>
        </w:rPr>
        <w:footnoteReference w:id="39"/>
      </w:r>
      <w:r w:rsidR="0005339F" w:rsidRPr="003213F7">
        <w:rPr>
          <w:szCs w:val="22"/>
        </w:rPr>
        <w:t xml:space="preserve">  </w:t>
      </w:r>
      <w:r w:rsidR="0044695A" w:rsidRPr="003213F7">
        <w:rPr>
          <w:szCs w:val="22"/>
        </w:rPr>
        <w:t xml:space="preserve">Even so, </w:t>
      </w:r>
      <w:r w:rsidR="0005339F" w:rsidRPr="003213F7">
        <w:rPr>
          <w:szCs w:val="22"/>
        </w:rPr>
        <w:t>ACA asserts</w:t>
      </w:r>
      <w:r w:rsidR="0044695A" w:rsidRPr="003213F7">
        <w:rPr>
          <w:szCs w:val="22"/>
        </w:rPr>
        <w:t xml:space="preserve">, </w:t>
      </w:r>
      <w:r w:rsidR="0005339F" w:rsidRPr="003213F7">
        <w:rPr>
          <w:szCs w:val="22"/>
        </w:rPr>
        <w:t>some analog-only systems will remain in operation</w:t>
      </w:r>
      <w:r w:rsidR="0044695A" w:rsidRPr="003213F7">
        <w:rPr>
          <w:szCs w:val="22"/>
        </w:rPr>
        <w:t xml:space="preserve">, and </w:t>
      </w:r>
      <w:r w:rsidR="0005339F" w:rsidRPr="003213F7">
        <w:rPr>
          <w:szCs w:val="22"/>
        </w:rPr>
        <w:t>many of those systems provide the only available video service in rural areas where over-the-air reception of broadcast signals is infeasible.</w:t>
      </w:r>
      <w:r w:rsidR="0044695A" w:rsidRPr="003213F7">
        <w:rPr>
          <w:rStyle w:val="FootnoteReference"/>
          <w:sz w:val="22"/>
          <w:szCs w:val="22"/>
        </w:rPr>
        <w:footnoteReference w:id="40"/>
      </w:r>
      <w:r w:rsidR="0005339F" w:rsidRPr="003213F7">
        <w:rPr>
          <w:szCs w:val="22"/>
        </w:rPr>
        <w:t xml:space="preserve">  </w:t>
      </w:r>
    </w:p>
    <w:p w:rsidR="00A434EF" w:rsidRPr="003213F7" w:rsidRDefault="00AA7648" w:rsidP="0080643E">
      <w:pPr>
        <w:pStyle w:val="Heading1"/>
      </w:pPr>
      <w:r w:rsidRPr="003213F7">
        <w:t>discussion</w:t>
      </w:r>
    </w:p>
    <w:p w:rsidR="00556B26" w:rsidRPr="003213F7" w:rsidRDefault="00A434EF" w:rsidP="00F51D8C">
      <w:pPr>
        <w:pStyle w:val="ParaNum"/>
        <w:rPr>
          <w:szCs w:val="22"/>
        </w:rPr>
      </w:pPr>
      <w:r w:rsidRPr="003213F7">
        <w:rPr>
          <w:szCs w:val="22"/>
        </w:rPr>
        <w:t xml:space="preserve">We </w:t>
      </w:r>
      <w:r w:rsidR="00B15250" w:rsidRPr="003213F7">
        <w:rPr>
          <w:szCs w:val="22"/>
        </w:rPr>
        <w:t xml:space="preserve">tentatively conclude that </w:t>
      </w:r>
      <w:r w:rsidR="003124F3" w:rsidRPr="003213F7">
        <w:rPr>
          <w:szCs w:val="22"/>
        </w:rPr>
        <w:t xml:space="preserve">it would serve the public interest </w:t>
      </w:r>
      <w:r w:rsidR="00AA7648" w:rsidRPr="003213F7">
        <w:rPr>
          <w:szCs w:val="22"/>
        </w:rPr>
        <w:t xml:space="preserve">to extend the </w:t>
      </w:r>
      <w:r w:rsidRPr="003213F7">
        <w:rPr>
          <w:szCs w:val="22"/>
        </w:rPr>
        <w:t xml:space="preserve">HD </w:t>
      </w:r>
      <w:r w:rsidR="003124F3" w:rsidRPr="003213F7">
        <w:rPr>
          <w:szCs w:val="22"/>
        </w:rPr>
        <w:t xml:space="preserve">carriage </w:t>
      </w:r>
      <w:r w:rsidRPr="003213F7">
        <w:rPr>
          <w:szCs w:val="22"/>
        </w:rPr>
        <w:t>exemption for an</w:t>
      </w:r>
      <w:r w:rsidR="00A84962" w:rsidRPr="003213F7">
        <w:rPr>
          <w:szCs w:val="22"/>
        </w:rPr>
        <w:t xml:space="preserve"> additional</w:t>
      </w:r>
      <w:r w:rsidRPr="003213F7">
        <w:rPr>
          <w:szCs w:val="22"/>
        </w:rPr>
        <w:t xml:space="preserve"> three years </w:t>
      </w:r>
      <w:r w:rsidR="003124F3" w:rsidRPr="003213F7">
        <w:rPr>
          <w:szCs w:val="22"/>
        </w:rPr>
        <w:t xml:space="preserve">as requested by ACA.  </w:t>
      </w:r>
      <w:r w:rsidR="00B0180A" w:rsidRPr="003213F7">
        <w:rPr>
          <w:szCs w:val="22"/>
        </w:rPr>
        <w:t xml:space="preserve">Based on the results of ACA’s survey, </w:t>
      </w:r>
      <w:r w:rsidR="00873113" w:rsidRPr="003213F7">
        <w:rPr>
          <w:szCs w:val="22"/>
        </w:rPr>
        <w:t xml:space="preserve">we tentatively conclude </w:t>
      </w:r>
      <w:r w:rsidR="00A73AAC" w:rsidRPr="003213F7">
        <w:rPr>
          <w:szCs w:val="22"/>
        </w:rPr>
        <w:t xml:space="preserve">that </w:t>
      </w:r>
      <w:r w:rsidR="009F675D" w:rsidRPr="003213F7">
        <w:rPr>
          <w:szCs w:val="22"/>
        </w:rPr>
        <w:t xml:space="preserve">the exemption is still necessary to protect </w:t>
      </w:r>
      <w:r w:rsidR="00555F37" w:rsidRPr="003213F7">
        <w:rPr>
          <w:szCs w:val="22"/>
        </w:rPr>
        <w:t xml:space="preserve">the subscribers of </w:t>
      </w:r>
      <w:r w:rsidR="009F675D" w:rsidRPr="003213F7">
        <w:rPr>
          <w:szCs w:val="22"/>
        </w:rPr>
        <w:t>small cable systems from the costs and service disruptions that</w:t>
      </w:r>
      <w:r w:rsidR="00DE4407" w:rsidRPr="003213F7">
        <w:rPr>
          <w:szCs w:val="22"/>
        </w:rPr>
        <w:t xml:space="preserve"> </w:t>
      </w:r>
      <w:r w:rsidR="00A73AAC" w:rsidRPr="003213F7">
        <w:rPr>
          <w:szCs w:val="22"/>
        </w:rPr>
        <w:t>may</w:t>
      </w:r>
      <w:r w:rsidR="00DE4407" w:rsidRPr="003213F7">
        <w:rPr>
          <w:szCs w:val="22"/>
        </w:rPr>
        <w:t xml:space="preserve"> </w:t>
      </w:r>
      <w:r w:rsidR="009F675D" w:rsidRPr="003213F7">
        <w:rPr>
          <w:szCs w:val="22"/>
        </w:rPr>
        <w:t xml:space="preserve">result from requiring those systems to deliver HD signals in HD </w:t>
      </w:r>
      <w:r w:rsidR="004259E5" w:rsidRPr="003213F7">
        <w:rPr>
          <w:szCs w:val="22"/>
        </w:rPr>
        <w:t xml:space="preserve">beginning </w:t>
      </w:r>
      <w:r w:rsidR="009F675D" w:rsidRPr="003213F7">
        <w:rPr>
          <w:szCs w:val="22"/>
        </w:rPr>
        <w:t xml:space="preserve">in June 2015.  </w:t>
      </w:r>
      <w:r w:rsidR="00873113" w:rsidRPr="003213F7">
        <w:rPr>
          <w:szCs w:val="22"/>
        </w:rPr>
        <w:t>We seek comment on th</w:t>
      </w:r>
      <w:r w:rsidR="00555F37" w:rsidRPr="003213F7">
        <w:rPr>
          <w:szCs w:val="22"/>
        </w:rPr>
        <w:t>is</w:t>
      </w:r>
      <w:r w:rsidR="00B0180A" w:rsidRPr="003213F7">
        <w:rPr>
          <w:szCs w:val="22"/>
        </w:rPr>
        <w:t xml:space="preserve"> tentative conclusion.  </w:t>
      </w:r>
      <w:r w:rsidR="00A84962" w:rsidRPr="003213F7">
        <w:rPr>
          <w:szCs w:val="22"/>
        </w:rPr>
        <w:t xml:space="preserve">We also seek comment on whether we should retain or revise the </w:t>
      </w:r>
      <w:r w:rsidR="00F73F2D" w:rsidRPr="003213F7">
        <w:rPr>
          <w:szCs w:val="22"/>
        </w:rPr>
        <w:t xml:space="preserve">definition of the </w:t>
      </w:r>
      <w:r w:rsidR="00A84962" w:rsidRPr="003213F7">
        <w:rPr>
          <w:szCs w:val="22"/>
        </w:rPr>
        <w:t xml:space="preserve">category of small cable systems eligible for the exemption.  </w:t>
      </w:r>
      <w:r w:rsidR="005A0ABE" w:rsidRPr="003213F7">
        <w:rPr>
          <w:szCs w:val="22"/>
        </w:rPr>
        <w:t xml:space="preserve">The fact that </w:t>
      </w:r>
      <w:r w:rsidR="00DE4407" w:rsidRPr="003213F7">
        <w:rPr>
          <w:szCs w:val="22"/>
        </w:rPr>
        <w:t xml:space="preserve">small </w:t>
      </w:r>
      <w:r w:rsidR="00A84962" w:rsidRPr="003213F7">
        <w:rPr>
          <w:szCs w:val="22"/>
        </w:rPr>
        <w:t>operators</w:t>
      </w:r>
      <w:r w:rsidR="00DE4407" w:rsidRPr="003213F7">
        <w:rPr>
          <w:szCs w:val="22"/>
        </w:rPr>
        <w:t xml:space="preserve"> that continue to rely on the exemption </w:t>
      </w:r>
      <w:r w:rsidR="005A0ABE" w:rsidRPr="003213F7">
        <w:rPr>
          <w:szCs w:val="22"/>
        </w:rPr>
        <w:t>have, on average, only 348 subscribers per system</w:t>
      </w:r>
      <w:r w:rsidR="005241B6" w:rsidRPr="003213F7">
        <w:rPr>
          <w:rStyle w:val="FootnoteReference"/>
          <w:sz w:val="22"/>
          <w:szCs w:val="22"/>
        </w:rPr>
        <w:footnoteReference w:id="41"/>
      </w:r>
      <w:r w:rsidR="005A0ABE" w:rsidRPr="003213F7">
        <w:rPr>
          <w:szCs w:val="22"/>
        </w:rPr>
        <w:t xml:space="preserve"> suggests that our current definition of “small system”</w:t>
      </w:r>
      <w:r w:rsidR="00A73AAC" w:rsidRPr="003213F7">
        <w:rPr>
          <w:szCs w:val="22"/>
        </w:rPr>
        <w:t xml:space="preserve"> is overly</w:t>
      </w:r>
      <w:r w:rsidR="005A0ABE" w:rsidRPr="003213F7">
        <w:rPr>
          <w:szCs w:val="22"/>
        </w:rPr>
        <w:t xml:space="preserve"> broad.  </w:t>
      </w:r>
      <w:r w:rsidR="00A84962" w:rsidRPr="003213F7">
        <w:rPr>
          <w:szCs w:val="22"/>
        </w:rPr>
        <w:t xml:space="preserve">To the extent parties assert that </w:t>
      </w:r>
      <w:r w:rsidR="005A0ABE" w:rsidRPr="003213F7">
        <w:rPr>
          <w:szCs w:val="22"/>
        </w:rPr>
        <w:t xml:space="preserve">we </w:t>
      </w:r>
      <w:r w:rsidR="00A84962" w:rsidRPr="003213F7">
        <w:rPr>
          <w:szCs w:val="22"/>
        </w:rPr>
        <w:t xml:space="preserve">should </w:t>
      </w:r>
      <w:r w:rsidR="005A0ABE" w:rsidRPr="003213F7">
        <w:rPr>
          <w:szCs w:val="22"/>
        </w:rPr>
        <w:t xml:space="preserve">restrict </w:t>
      </w:r>
      <w:r w:rsidR="00A92844" w:rsidRPr="003213F7">
        <w:rPr>
          <w:szCs w:val="22"/>
        </w:rPr>
        <w:t xml:space="preserve">further </w:t>
      </w:r>
      <w:r w:rsidR="005A0ABE" w:rsidRPr="003213F7">
        <w:rPr>
          <w:szCs w:val="22"/>
        </w:rPr>
        <w:t>the category of small systems elig</w:t>
      </w:r>
      <w:r w:rsidR="00A84962" w:rsidRPr="003213F7">
        <w:rPr>
          <w:szCs w:val="22"/>
        </w:rPr>
        <w:t xml:space="preserve">ible for the exemption, </w:t>
      </w:r>
      <w:r w:rsidR="005A0ABE" w:rsidRPr="003213F7">
        <w:rPr>
          <w:szCs w:val="22"/>
        </w:rPr>
        <w:t xml:space="preserve">what is the appropriate </w:t>
      </w:r>
      <w:r w:rsidR="00A84962" w:rsidRPr="003213F7">
        <w:rPr>
          <w:szCs w:val="22"/>
        </w:rPr>
        <w:t xml:space="preserve">small system standard?  </w:t>
      </w:r>
      <w:r w:rsidR="00A73AAC" w:rsidRPr="003213F7">
        <w:rPr>
          <w:snapToGrid/>
          <w:kern w:val="0"/>
          <w:szCs w:val="22"/>
        </w:rPr>
        <w:t>What, if any, harms would accrue to small systems if we were to narrow further the category of systems eligible for the exemption?</w:t>
      </w:r>
      <w:r w:rsidR="00556B26" w:rsidRPr="003213F7">
        <w:rPr>
          <w:szCs w:val="22"/>
        </w:rPr>
        <w:t xml:space="preserve">  </w:t>
      </w:r>
      <w:r w:rsidR="00AA2C06">
        <w:rPr>
          <w:szCs w:val="22"/>
        </w:rPr>
        <w:t>What, if any, benefits would result from narrowing the exemption?</w:t>
      </w:r>
    </w:p>
    <w:p w:rsidR="00F73F2D" w:rsidRPr="003213F7" w:rsidRDefault="00556B26" w:rsidP="00F51D8C">
      <w:pPr>
        <w:pStyle w:val="ParaNum"/>
        <w:rPr>
          <w:snapToGrid/>
          <w:kern w:val="0"/>
          <w:szCs w:val="22"/>
        </w:rPr>
      </w:pPr>
      <w:r w:rsidRPr="003213F7">
        <w:rPr>
          <w:szCs w:val="22"/>
        </w:rPr>
        <w:t xml:space="preserve">We seek comment on whether any circumstances have changed since release of the </w:t>
      </w:r>
      <w:r w:rsidRPr="003213F7">
        <w:rPr>
          <w:i/>
          <w:iCs/>
          <w:szCs w:val="22"/>
        </w:rPr>
        <w:t xml:space="preserve">Fifth Report and Order </w:t>
      </w:r>
      <w:r w:rsidRPr="003213F7">
        <w:rPr>
          <w:szCs w:val="22"/>
        </w:rPr>
        <w:t>that weigh in favor of revisiting our decision not to eliminate the HD carriage exemption for systems carrying any signal in HD.</w:t>
      </w:r>
      <w:r w:rsidR="005543C8" w:rsidRPr="003213F7">
        <w:rPr>
          <w:rStyle w:val="FootnoteReference"/>
          <w:sz w:val="22"/>
          <w:szCs w:val="22"/>
        </w:rPr>
        <w:footnoteReference w:id="42"/>
      </w:r>
      <w:r w:rsidRPr="003213F7">
        <w:rPr>
          <w:szCs w:val="22"/>
        </w:rPr>
        <w:t>  As noted, ACA’s data indicate that at least 20 percent of systems relying on the exemption are currently offering some HD digital television services.</w:t>
      </w:r>
      <w:r w:rsidR="005543C8" w:rsidRPr="003213F7">
        <w:rPr>
          <w:rStyle w:val="FootnoteReference"/>
          <w:sz w:val="22"/>
          <w:szCs w:val="22"/>
        </w:rPr>
        <w:footnoteReference w:id="43"/>
      </w:r>
      <w:r w:rsidRPr="003213F7">
        <w:rPr>
          <w:szCs w:val="22"/>
        </w:rPr>
        <w:t>  In particular, we request comment on whether there is any evidence that exempt systems that provide HD programming have discriminated unfairly against must-carry HD signals in favor of other HD signals.</w:t>
      </w:r>
      <w:r w:rsidR="00530E4B">
        <w:rPr>
          <w:szCs w:val="22"/>
        </w:rPr>
        <w:t xml:space="preserve">  </w:t>
      </w:r>
      <w:r w:rsidR="00530E4B" w:rsidRPr="00530E4B">
        <w:t>We also request comment on whether systems that carry a significant amou</w:t>
      </w:r>
      <w:r w:rsidR="00530E4B">
        <w:t>nt of HD programming, such as ten</w:t>
      </w:r>
      <w:r w:rsidR="00530E4B" w:rsidRPr="00530E4B">
        <w:t xml:space="preserve"> HD channels, should continue to be able to qualify for the exemption.</w:t>
      </w:r>
      <w:r w:rsidRPr="003213F7">
        <w:rPr>
          <w:szCs w:val="22"/>
        </w:rPr>
        <w:t>   </w:t>
      </w:r>
      <w:r w:rsidR="00E6377D" w:rsidRPr="003213F7">
        <w:rPr>
          <w:snapToGrid/>
          <w:kern w:val="0"/>
          <w:szCs w:val="22"/>
        </w:rPr>
        <w:t xml:space="preserve">  </w:t>
      </w:r>
    </w:p>
    <w:p w:rsidR="00D20E87" w:rsidRPr="003213F7" w:rsidRDefault="00842755" w:rsidP="0080643E">
      <w:pPr>
        <w:pStyle w:val="ParaNum"/>
      </w:pPr>
      <w:r w:rsidRPr="003213F7">
        <w:rPr>
          <w:snapToGrid/>
        </w:rPr>
        <w:t xml:space="preserve">  In addition, we seek comment on the costs and benefits of the exemption for broadcasters and cable subscribers.  Commenters should quantify any </w:t>
      </w:r>
      <w:r w:rsidR="00443AA7" w:rsidRPr="003213F7">
        <w:rPr>
          <w:snapToGrid/>
        </w:rPr>
        <w:t>asserted</w:t>
      </w:r>
      <w:r w:rsidRPr="003213F7">
        <w:rPr>
          <w:snapToGrid/>
        </w:rPr>
        <w:t xml:space="preserve"> costs or benefits.</w:t>
      </w:r>
      <w:r w:rsidR="00443AA7" w:rsidRPr="003213F7">
        <w:rPr>
          <w:snapToGrid/>
        </w:rPr>
        <w:t xml:space="preserve">  W</w:t>
      </w:r>
      <w:r w:rsidR="00514DEF" w:rsidRPr="003213F7">
        <w:rPr>
          <w:snapToGrid/>
        </w:rPr>
        <w:t xml:space="preserve">e </w:t>
      </w:r>
      <w:r w:rsidR="00443AA7" w:rsidRPr="003213F7">
        <w:rPr>
          <w:snapToGrid/>
        </w:rPr>
        <w:t xml:space="preserve">also </w:t>
      </w:r>
      <w:r w:rsidR="00514DEF" w:rsidRPr="003213F7">
        <w:rPr>
          <w:snapToGrid/>
        </w:rPr>
        <w:t>request</w:t>
      </w:r>
      <w:r w:rsidR="008658F4" w:rsidRPr="003213F7">
        <w:rPr>
          <w:snapToGrid/>
        </w:rPr>
        <w:t xml:space="preserve"> comment on whether any </w:t>
      </w:r>
      <w:r w:rsidR="00443AA7" w:rsidRPr="003213F7">
        <w:rPr>
          <w:snapToGrid/>
        </w:rPr>
        <w:t>claimed</w:t>
      </w:r>
      <w:r w:rsidR="008658F4" w:rsidRPr="003213F7">
        <w:rPr>
          <w:snapToGrid/>
        </w:rPr>
        <w:t xml:space="preserve"> benefits</w:t>
      </w:r>
      <w:r w:rsidRPr="003213F7">
        <w:rPr>
          <w:snapToGrid/>
        </w:rPr>
        <w:t xml:space="preserve"> </w:t>
      </w:r>
      <w:r w:rsidR="008658F4" w:rsidRPr="003213F7">
        <w:rPr>
          <w:snapToGrid/>
        </w:rPr>
        <w:t xml:space="preserve">to small cable systems of extending the exemption </w:t>
      </w:r>
      <w:r w:rsidR="005E44BD" w:rsidRPr="003213F7">
        <w:rPr>
          <w:snapToGrid/>
        </w:rPr>
        <w:t xml:space="preserve">for another three years </w:t>
      </w:r>
      <w:r w:rsidR="008658F4" w:rsidRPr="003213F7">
        <w:rPr>
          <w:snapToGrid/>
        </w:rPr>
        <w:t>would outweigh the costs to broadcasters and cable subscribers.</w:t>
      </w:r>
      <w:r w:rsidRPr="003213F7">
        <w:rPr>
          <w:snapToGrid/>
        </w:rPr>
        <w:t xml:space="preserve">  </w:t>
      </w:r>
      <w:r w:rsidR="008658F4" w:rsidRPr="003213F7">
        <w:rPr>
          <w:snapToGrid/>
        </w:rPr>
        <w:t>H</w:t>
      </w:r>
      <w:r w:rsidR="005E44BD" w:rsidRPr="003213F7">
        <w:rPr>
          <w:snapToGrid/>
        </w:rPr>
        <w:t xml:space="preserve">ow many, if any, </w:t>
      </w:r>
      <w:r w:rsidR="008658F4" w:rsidRPr="003213F7">
        <w:rPr>
          <w:snapToGrid/>
        </w:rPr>
        <w:t>small systems rely</w:t>
      </w:r>
      <w:r w:rsidR="005E44BD" w:rsidRPr="003213F7">
        <w:rPr>
          <w:snapToGrid/>
        </w:rPr>
        <w:t>ing</w:t>
      </w:r>
      <w:r w:rsidR="008658F4" w:rsidRPr="003213F7">
        <w:rPr>
          <w:snapToGrid/>
        </w:rPr>
        <w:t xml:space="preserve"> on the exemption </w:t>
      </w:r>
      <w:r w:rsidR="005E44BD" w:rsidRPr="003213F7">
        <w:rPr>
          <w:snapToGrid/>
        </w:rPr>
        <w:t xml:space="preserve">have </w:t>
      </w:r>
      <w:r w:rsidR="008658F4" w:rsidRPr="003213F7">
        <w:rPr>
          <w:snapToGrid/>
        </w:rPr>
        <w:t xml:space="preserve">received complaints from subscribers about the </w:t>
      </w:r>
      <w:r w:rsidR="005E44BD" w:rsidRPr="003213F7">
        <w:rPr>
          <w:snapToGrid/>
        </w:rPr>
        <w:t xml:space="preserve">absence </w:t>
      </w:r>
      <w:r w:rsidR="008658F4" w:rsidRPr="003213F7">
        <w:rPr>
          <w:snapToGrid/>
        </w:rPr>
        <w:t>or amount of HD programming</w:t>
      </w:r>
      <w:r w:rsidR="00443AA7" w:rsidRPr="003213F7">
        <w:rPr>
          <w:snapToGrid/>
        </w:rPr>
        <w:t xml:space="preserve"> available to them</w:t>
      </w:r>
      <w:r w:rsidR="008658F4" w:rsidRPr="003213F7">
        <w:rPr>
          <w:snapToGrid/>
        </w:rPr>
        <w:t xml:space="preserve">?  </w:t>
      </w:r>
      <w:r w:rsidR="008F164F">
        <w:rPr>
          <w:snapToGrid/>
        </w:rPr>
        <w:t>ACA’s data also reveal</w:t>
      </w:r>
      <w:r w:rsidR="005E44BD" w:rsidRPr="003213F7">
        <w:rPr>
          <w:snapToGrid/>
        </w:rPr>
        <w:t xml:space="preserve"> that some systems relying on the exemption currently provide broadband service.</w:t>
      </w:r>
      <w:r w:rsidR="005E44BD" w:rsidRPr="003213F7">
        <w:rPr>
          <w:rStyle w:val="FootnoteReference"/>
          <w:snapToGrid/>
          <w:kern w:val="0"/>
          <w:sz w:val="22"/>
          <w:szCs w:val="22"/>
        </w:rPr>
        <w:footnoteReference w:id="44"/>
      </w:r>
      <w:r w:rsidR="005E44BD" w:rsidRPr="003213F7">
        <w:rPr>
          <w:snapToGrid/>
        </w:rPr>
        <w:t xml:space="preserve">  </w:t>
      </w:r>
      <w:r w:rsidR="008658F4" w:rsidRPr="003213F7">
        <w:rPr>
          <w:snapToGrid/>
        </w:rPr>
        <w:t xml:space="preserve">How many, if any, </w:t>
      </w:r>
      <w:r w:rsidR="005E44BD" w:rsidRPr="003213F7">
        <w:rPr>
          <w:snapToGrid/>
        </w:rPr>
        <w:t xml:space="preserve">such </w:t>
      </w:r>
      <w:r w:rsidR="008658F4" w:rsidRPr="003213F7">
        <w:rPr>
          <w:snapToGrid/>
        </w:rPr>
        <w:t xml:space="preserve">systems would reduce or eliminate such service if required to carry HD signals in June 2015? </w:t>
      </w:r>
      <w:r w:rsidR="00DF69B3" w:rsidRPr="003213F7">
        <w:rPr>
          <w:snapToGrid/>
        </w:rPr>
        <w:t xml:space="preserve"> </w:t>
      </w:r>
    </w:p>
    <w:p w:rsidR="00842755" w:rsidRPr="003213F7" w:rsidRDefault="00514DEF" w:rsidP="00974BED">
      <w:pPr>
        <w:pStyle w:val="ParaNum"/>
      </w:pPr>
      <w:r w:rsidRPr="003213F7">
        <w:rPr>
          <w:snapToGrid/>
          <w:kern w:val="0"/>
        </w:rPr>
        <w:t>We also invite</w:t>
      </w:r>
      <w:r w:rsidR="00DF69B3" w:rsidRPr="003213F7">
        <w:rPr>
          <w:snapToGrid/>
          <w:kern w:val="0"/>
        </w:rPr>
        <w:t xml:space="preserve"> comment on whether </w:t>
      </w:r>
      <w:r w:rsidR="00DF69B3" w:rsidRPr="003213F7">
        <w:t xml:space="preserve">an additional three years will provide adequate time for eligible systems to upgrade their facilities to provide HD signals.  </w:t>
      </w:r>
      <w:r w:rsidR="00CD62FA" w:rsidRPr="003213F7">
        <w:t xml:space="preserve">Although ACA’s data indicate that </w:t>
      </w:r>
      <w:r w:rsidR="00555F37" w:rsidRPr="003213F7">
        <w:t>at least</w:t>
      </w:r>
      <w:r w:rsidR="00153476" w:rsidRPr="003213F7">
        <w:t xml:space="preserve"> </w:t>
      </w:r>
      <w:r w:rsidR="00CD62FA" w:rsidRPr="003213F7">
        <w:t>200 fewer</w:t>
      </w:r>
      <w:r w:rsidR="00945401" w:rsidRPr="003213F7">
        <w:t xml:space="preserve"> cable</w:t>
      </w:r>
      <w:r w:rsidR="00CD62FA" w:rsidRPr="003213F7">
        <w:t xml:space="preserve"> systems are relying on the HD exemption today than did in 2012,</w:t>
      </w:r>
      <w:r w:rsidR="00153476" w:rsidRPr="003213F7">
        <w:rPr>
          <w:rStyle w:val="FootnoteReference"/>
          <w:sz w:val="22"/>
          <w:szCs w:val="22"/>
        </w:rPr>
        <w:footnoteReference w:id="45"/>
      </w:r>
      <w:r w:rsidR="00CD62FA" w:rsidRPr="003213F7">
        <w:t xml:space="preserve"> </w:t>
      </w:r>
      <w:r w:rsidR="0062134C" w:rsidRPr="003213F7">
        <w:t xml:space="preserve">the data </w:t>
      </w:r>
      <w:r w:rsidR="00436CB6" w:rsidRPr="003213F7">
        <w:t xml:space="preserve">also </w:t>
      </w:r>
      <w:r w:rsidR="0062134C" w:rsidRPr="003213F7">
        <w:t xml:space="preserve">indicate that the number of ACA </w:t>
      </w:r>
      <w:r w:rsidR="00945401" w:rsidRPr="003213F7">
        <w:t xml:space="preserve">cable operator </w:t>
      </w:r>
      <w:r w:rsidR="0062134C" w:rsidRPr="003213F7">
        <w:t xml:space="preserve">members relying on the HD exemption has </w:t>
      </w:r>
      <w:r w:rsidR="00436CB6" w:rsidRPr="003213F7">
        <w:t>not changed</w:t>
      </w:r>
      <w:r w:rsidR="00F73F2D" w:rsidRPr="003213F7">
        <w:t xml:space="preserve"> significantly</w:t>
      </w:r>
      <w:r w:rsidR="0062134C" w:rsidRPr="003213F7">
        <w:t>.</w:t>
      </w:r>
      <w:r w:rsidR="0062134C" w:rsidRPr="003213F7">
        <w:rPr>
          <w:rStyle w:val="FootnoteReference"/>
          <w:sz w:val="22"/>
          <w:szCs w:val="22"/>
        </w:rPr>
        <w:footnoteReference w:id="46"/>
      </w:r>
      <w:r w:rsidR="0062134C" w:rsidRPr="003213F7">
        <w:t xml:space="preserve">  </w:t>
      </w:r>
      <w:r w:rsidR="00DE4CBC" w:rsidRPr="003213F7">
        <w:t>Therefo</w:t>
      </w:r>
      <w:r w:rsidR="00636DF6" w:rsidRPr="003213F7">
        <w:t>re, do these data points reflect</w:t>
      </w:r>
      <w:r w:rsidR="00DE4CBC" w:rsidRPr="003213F7">
        <w:t xml:space="preserve"> actual progress of ACA members coming into compliance with the HD </w:t>
      </w:r>
      <w:r w:rsidR="00636DF6" w:rsidRPr="003213F7">
        <w:t>carriage requirement</w:t>
      </w:r>
      <w:r w:rsidR="00DE4CBC" w:rsidRPr="003213F7">
        <w:t xml:space="preserve">? </w:t>
      </w:r>
      <w:r w:rsidR="002809F7" w:rsidRPr="003213F7">
        <w:t xml:space="preserve"> For example, </w:t>
      </w:r>
      <w:r w:rsidR="0019699D" w:rsidRPr="003213F7">
        <w:t xml:space="preserve">to what extent is </w:t>
      </w:r>
      <w:r w:rsidR="002809F7" w:rsidRPr="003213F7">
        <w:t xml:space="preserve">the decrease in the number of systems relying on the exemption attributable to the fact that some operators have expanded system </w:t>
      </w:r>
      <w:r w:rsidR="00873113" w:rsidRPr="003213F7">
        <w:t>capacity to provide signals in HD (thus rendering them ineligible for the exemption)</w:t>
      </w:r>
      <w:r w:rsidR="002809F7" w:rsidRPr="003213F7">
        <w:t xml:space="preserve">, or the fact that systems have </w:t>
      </w:r>
      <w:r w:rsidR="003E6037" w:rsidRPr="003213F7">
        <w:t>ceased operations</w:t>
      </w:r>
      <w:r w:rsidR="002809F7" w:rsidRPr="003213F7">
        <w:t>?</w:t>
      </w:r>
      <w:r w:rsidR="0019699D" w:rsidRPr="003213F7">
        <w:rPr>
          <w:rStyle w:val="FootnoteReference"/>
          <w:sz w:val="22"/>
          <w:szCs w:val="22"/>
        </w:rPr>
        <w:footnoteReference w:id="47"/>
      </w:r>
      <w:r w:rsidR="002809F7" w:rsidRPr="003213F7">
        <w:t xml:space="preserve"> </w:t>
      </w:r>
      <w:r w:rsidR="00627131" w:rsidRPr="003213F7">
        <w:t xml:space="preserve"> </w:t>
      </w:r>
      <w:r w:rsidR="00DE4CBC" w:rsidRPr="003213F7">
        <w:t xml:space="preserve">In addition, </w:t>
      </w:r>
      <w:r w:rsidRPr="003213F7">
        <w:t xml:space="preserve">ACA estimates that </w:t>
      </w:r>
      <w:r w:rsidR="00153476" w:rsidRPr="003213F7">
        <w:t xml:space="preserve">more than </w:t>
      </w:r>
      <w:r w:rsidR="00CD62FA" w:rsidRPr="003213F7">
        <w:t xml:space="preserve">70 of the 143 systems </w:t>
      </w:r>
      <w:r w:rsidRPr="003213F7">
        <w:t xml:space="preserve">that </w:t>
      </w:r>
      <w:r w:rsidR="00CD62FA" w:rsidRPr="003213F7">
        <w:t xml:space="preserve">currently </w:t>
      </w:r>
      <w:r w:rsidRPr="003213F7">
        <w:t>invoke</w:t>
      </w:r>
      <w:r w:rsidR="00CD62FA" w:rsidRPr="003213F7">
        <w:t xml:space="preserve"> the exemption are expected to be eligible for the exemption in June 2018.</w:t>
      </w:r>
      <w:r w:rsidR="00CD62FA" w:rsidRPr="003213F7">
        <w:rPr>
          <w:rStyle w:val="FootnoteReference"/>
          <w:sz w:val="22"/>
          <w:szCs w:val="22"/>
        </w:rPr>
        <w:footnoteReference w:id="48"/>
      </w:r>
      <w:r w:rsidR="00CD62FA" w:rsidRPr="003213F7">
        <w:t xml:space="preserve">  To the extent </w:t>
      </w:r>
      <w:r w:rsidR="00DF69B3" w:rsidRPr="003213F7">
        <w:t xml:space="preserve">some systems expect that they </w:t>
      </w:r>
      <w:r w:rsidR="00CD62FA" w:rsidRPr="003213F7">
        <w:t xml:space="preserve">still </w:t>
      </w:r>
      <w:r w:rsidR="00DF69B3" w:rsidRPr="003213F7">
        <w:t xml:space="preserve">will be unable to provide HD signals </w:t>
      </w:r>
      <w:r w:rsidR="005831A3" w:rsidRPr="003213F7">
        <w:t>in three years</w:t>
      </w:r>
      <w:r w:rsidR="00DF69B3" w:rsidRPr="003213F7">
        <w:t xml:space="preserve">, when would such systems likely be </w:t>
      </w:r>
      <w:r w:rsidR="00C0525D" w:rsidRPr="003213F7">
        <w:t xml:space="preserve">able to </w:t>
      </w:r>
      <w:r w:rsidR="00DF69B3" w:rsidRPr="003213F7">
        <w:t xml:space="preserve">comply with an HD carriage requirement?  </w:t>
      </w:r>
      <w:r w:rsidR="00945401" w:rsidRPr="003213F7">
        <w:t xml:space="preserve">That is, we invite comment on the plans of these small systems to upgrade to HD.  </w:t>
      </w:r>
      <w:r w:rsidR="00DF69B3" w:rsidRPr="003213F7">
        <w:t>We seek comment on whether there are any systems for which the costs of providing HD signals likely will outweigh the benefits for the indefinite future, and, if so, the projected number of such systems.</w:t>
      </w:r>
      <w:r w:rsidRPr="003213F7">
        <w:t xml:space="preserve">  We invite</w:t>
      </w:r>
      <w:r w:rsidR="00C0525D" w:rsidRPr="003213F7">
        <w:t xml:space="preserve"> comment on any other issues that are relevant to our determination whether to extend the HD carriage exemption for small cable systems.</w:t>
      </w:r>
      <w:r w:rsidR="00DB1987">
        <w:t xml:space="preserve">  </w:t>
      </w:r>
      <w:r w:rsidR="00DB1987" w:rsidRPr="00DF6F87">
        <w:t>We also seek comment on any other approach to this issue that would appropriately balance the interest of broadcast stations in being carried in HD and the technical and financial limitations some small cable operators face.</w:t>
      </w:r>
      <w:r w:rsidR="00974BED">
        <w:t xml:space="preserve">  In addition, w</w:t>
      </w:r>
      <w:r w:rsidR="00974BED" w:rsidRPr="00974BED">
        <w:t xml:space="preserve">e request comment on whether there is any merit to ACA’s argument that requiring small systems to provide HD signals at this time would be inequitable given the uncertainty surrounding the broadcast spectrum incentive auction.  </w:t>
      </w:r>
    </w:p>
    <w:p w:rsidR="00436CB6" w:rsidRPr="003213F7" w:rsidRDefault="00436CB6" w:rsidP="00F51D8C">
      <w:pPr>
        <w:pStyle w:val="ParaNum"/>
        <w:rPr>
          <w:szCs w:val="22"/>
        </w:rPr>
      </w:pPr>
      <w:r w:rsidRPr="003213F7">
        <w:rPr>
          <w:szCs w:val="22"/>
        </w:rPr>
        <w:t xml:space="preserve">We note that the HD exemption was not intended to be permanent and that, based on ACA’s survey, a number of systems must make </w:t>
      </w:r>
      <w:r w:rsidR="00155F81" w:rsidRPr="003213F7">
        <w:rPr>
          <w:szCs w:val="22"/>
        </w:rPr>
        <w:t xml:space="preserve">greater </w:t>
      </w:r>
      <w:r w:rsidRPr="003213F7">
        <w:rPr>
          <w:szCs w:val="22"/>
        </w:rPr>
        <w:t>progress in compl</w:t>
      </w:r>
      <w:r w:rsidR="00155F81" w:rsidRPr="003213F7">
        <w:rPr>
          <w:szCs w:val="22"/>
        </w:rPr>
        <w:t>ying</w:t>
      </w:r>
      <w:r w:rsidRPr="003213F7">
        <w:rPr>
          <w:szCs w:val="22"/>
        </w:rPr>
        <w:t xml:space="preserve"> with the HD carriage requirement.  Assuming we were to </w:t>
      </w:r>
      <w:r w:rsidR="0004622E" w:rsidRPr="003213F7">
        <w:rPr>
          <w:szCs w:val="22"/>
        </w:rPr>
        <w:t xml:space="preserve">adopt our tentative conclusion to </w:t>
      </w:r>
      <w:r w:rsidRPr="003213F7">
        <w:rPr>
          <w:szCs w:val="22"/>
        </w:rPr>
        <w:t xml:space="preserve">extend the exemption for three more years, we seek comment on what steps we can take to facilitate such compliance within that time period. </w:t>
      </w:r>
      <w:r w:rsidR="00DB1987">
        <w:rPr>
          <w:szCs w:val="22"/>
        </w:rPr>
        <w:t xml:space="preserve"> </w:t>
      </w:r>
      <w:r w:rsidR="0019763D">
        <w:rPr>
          <w:szCs w:val="22"/>
        </w:rPr>
        <w:t>For example, should we require individual cable systems that rely on the exemption to file information with the Commission indicating such, so that we can better understand the particular technical and financial challenges faced by these systems and track each system’s progress for coming into compliance with the HD carriage requirement?</w:t>
      </w:r>
    </w:p>
    <w:p w:rsidR="008264ED" w:rsidRPr="00D328B4" w:rsidRDefault="009A3282" w:rsidP="00D328B4">
      <w:pPr>
        <w:pStyle w:val="ParaNum"/>
        <w:rPr>
          <w:szCs w:val="22"/>
        </w:rPr>
      </w:pPr>
      <w:r w:rsidRPr="00D328B4">
        <w:rPr>
          <w:szCs w:val="22"/>
        </w:rPr>
        <w:t xml:space="preserve">Finally, we </w:t>
      </w:r>
      <w:r w:rsidR="00D222DC" w:rsidRPr="00D328B4">
        <w:rPr>
          <w:szCs w:val="22"/>
        </w:rPr>
        <w:t>seek comment on ACA</w:t>
      </w:r>
      <w:r w:rsidRPr="00D328B4">
        <w:rPr>
          <w:szCs w:val="22"/>
        </w:rPr>
        <w:t xml:space="preserve">’s request for </w:t>
      </w:r>
      <w:r w:rsidR="00D222DC" w:rsidRPr="00D328B4">
        <w:rPr>
          <w:szCs w:val="22"/>
        </w:rPr>
        <w:t xml:space="preserve">clarification that </w:t>
      </w:r>
      <w:r w:rsidRPr="00D328B4">
        <w:rPr>
          <w:szCs w:val="22"/>
        </w:rPr>
        <w:t xml:space="preserve">all-analog </w:t>
      </w:r>
      <w:r w:rsidR="00D222DC" w:rsidRPr="00D328B4">
        <w:rPr>
          <w:szCs w:val="22"/>
        </w:rPr>
        <w:t xml:space="preserve">systems </w:t>
      </w:r>
      <w:r w:rsidRPr="00D328B4">
        <w:rPr>
          <w:szCs w:val="22"/>
        </w:rPr>
        <w:t xml:space="preserve">are </w:t>
      </w:r>
      <w:r w:rsidR="006B7CC6" w:rsidRPr="00D328B4">
        <w:rPr>
          <w:szCs w:val="22"/>
        </w:rPr>
        <w:t>not subject to</w:t>
      </w:r>
      <w:r w:rsidRPr="00D328B4">
        <w:rPr>
          <w:szCs w:val="22"/>
        </w:rPr>
        <w:t xml:space="preserve"> the HD carriage requirement </w:t>
      </w:r>
      <w:r w:rsidR="00D222DC" w:rsidRPr="00D328B4">
        <w:rPr>
          <w:szCs w:val="22"/>
        </w:rPr>
        <w:t xml:space="preserve">because such carriage is technically </w:t>
      </w:r>
      <w:r w:rsidRPr="00D328B4">
        <w:rPr>
          <w:szCs w:val="22"/>
        </w:rPr>
        <w:t>in</w:t>
      </w:r>
      <w:r w:rsidR="00D222DC" w:rsidRPr="00D328B4">
        <w:rPr>
          <w:szCs w:val="22"/>
        </w:rPr>
        <w:t>feasible</w:t>
      </w:r>
      <w:r w:rsidRPr="00D328B4">
        <w:rPr>
          <w:szCs w:val="22"/>
        </w:rPr>
        <w:t xml:space="preserve"> under</w:t>
      </w:r>
      <w:r w:rsidR="00D222DC" w:rsidRPr="00D328B4">
        <w:rPr>
          <w:szCs w:val="22"/>
        </w:rPr>
        <w:t xml:space="preserve"> Section 614(b)(4)(A) of the Act and its implementing rules.</w:t>
      </w:r>
      <w:r w:rsidR="00D4324B" w:rsidRPr="00D328B4">
        <w:rPr>
          <w:szCs w:val="22"/>
        </w:rPr>
        <w:t xml:space="preserve">  How many cable systems </w:t>
      </w:r>
      <w:r w:rsidR="00514DEF" w:rsidRPr="00D328B4">
        <w:rPr>
          <w:szCs w:val="22"/>
        </w:rPr>
        <w:t xml:space="preserve">that </w:t>
      </w:r>
      <w:r w:rsidR="00153476" w:rsidRPr="00D328B4">
        <w:rPr>
          <w:szCs w:val="22"/>
        </w:rPr>
        <w:t xml:space="preserve">currently </w:t>
      </w:r>
      <w:r w:rsidR="00D4324B" w:rsidRPr="00D328B4">
        <w:rPr>
          <w:szCs w:val="22"/>
        </w:rPr>
        <w:t xml:space="preserve">rely on the exemption are all-analog systems? </w:t>
      </w:r>
      <w:r w:rsidR="00945401" w:rsidRPr="00D328B4">
        <w:rPr>
          <w:szCs w:val="22"/>
        </w:rPr>
        <w:t xml:space="preserve"> </w:t>
      </w:r>
      <w:r w:rsidR="008D59D3" w:rsidRPr="00D328B4">
        <w:rPr>
          <w:szCs w:val="22"/>
        </w:rPr>
        <w:t xml:space="preserve">To what extent are all-analog systems capable of passing the </w:t>
      </w:r>
      <w:r w:rsidR="008264ED" w:rsidRPr="00D328B4">
        <w:rPr>
          <w:szCs w:val="22"/>
        </w:rPr>
        <w:t>ATSC</w:t>
      </w:r>
      <w:r w:rsidR="008264ED" w:rsidRPr="003213F7">
        <w:rPr>
          <w:rStyle w:val="FootnoteReference"/>
          <w:sz w:val="22"/>
          <w:szCs w:val="22"/>
        </w:rPr>
        <w:footnoteReference w:id="49"/>
      </w:r>
      <w:r w:rsidR="008264ED" w:rsidRPr="00D328B4">
        <w:rPr>
          <w:szCs w:val="22"/>
        </w:rPr>
        <w:t xml:space="preserve"> </w:t>
      </w:r>
      <w:r w:rsidR="008D59D3" w:rsidRPr="00D328B4">
        <w:rPr>
          <w:szCs w:val="22"/>
        </w:rPr>
        <w:t xml:space="preserve">digital broadcast signal through to their customers for reception on digital televisions?  </w:t>
      </w:r>
      <w:r w:rsidR="0007188E" w:rsidRPr="00DF6F87">
        <w:t>What upgrades, if any, to an all-analog system’s cable amplifiers and other equipment outside the headend would be required to support passing through the ATSC signal on a cable channel?  What upgrades would be required in the headend?</w:t>
      </w:r>
      <w:r w:rsidR="00945401" w:rsidRPr="00D328B4">
        <w:rPr>
          <w:szCs w:val="22"/>
        </w:rPr>
        <w:t xml:space="preserve">  </w:t>
      </w:r>
    </w:p>
    <w:p w:rsidR="00A434EF" w:rsidRPr="003213F7" w:rsidRDefault="00A434EF" w:rsidP="0080643E">
      <w:pPr>
        <w:pStyle w:val="Heading1"/>
      </w:pPr>
      <w:r w:rsidRPr="003213F7">
        <w:t xml:space="preserve">procedural matters  </w:t>
      </w:r>
    </w:p>
    <w:p w:rsidR="00A434EF" w:rsidRPr="003213F7" w:rsidRDefault="00A434EF" w:rsidP="0080643E">
      <w:pPr>
        <w:pStyle w:val="Heading2"/>
      </w:pPr>
      <w:r w:rsidRPr="003213F7">
        <w:t>Regulatory Flexibility A</w:t>
      </w:r>
      <w:r w:rsidR="00AA7648" w:rsidRPr="003213F7">
        <w:t>ct</w:t>
      </w:r>
    </w:p>
    <w:p w:rsidR="00AA7648" w:rsidRPr="003213F7" w:rsidRDefault="00AA7648" w:rsidP="00647FA9">
      <w:pPr>
        <w:pStyle w:val="ParaNum"/>
        <w:rPr>
          <w:szCs w:val="22"/>
        </w:rPr>
      </w:pPr>
      <w:r w:rsidRPr="003213F7">
        <w:rPr>
          <w:szCs w:val="22"/>
        </w:rPr>
        <w:t>As required by the Regulatory Flexibility Act of 1980 (“RFA”),</w:t>
      </w:r>
      <w:r w:rsidRPr="003213F7">
        <w:rPr>
          <w:rStyle w:val="FootnoteReference"/>
          <w:sz w:val="22"/>
          <w:szCs w:val="22"/>
        </w:rPr>
        <w:footnoteReference w:id="50"/>
      </w:r>
      <w:r w:rsidRPr="003213F7">
        <w:rPr>
          <w:szCs w:val="22"/>
        </w:rPr>
        <w:t xml:space="preserve"> the Commission has prepared an Initial Regulatory Flexibility Act Analysis (“IRFA”) relating to this </w:t>
      </w:r>
      <w:r w:rsidRPr="003213F7">
        <w:rPr>
          <w:i/>
          <w:szCs w:val="22"/>
        </w:rPr>
        <w:t>Fifth F</w:t>
      </w:r>
      <w:r w:rsidR="00CC2D83">
        <w:rPr>
          <w:i/>
          <w:szCs w:val="22"/>
        </w:rPr>
        <w:t>urther Notice</w:t>
      </w:r>
      <w:r w:rsidRPr="003213F7">
        <w:rPr>
          <w:szCs w:val="22"/>
        </w:rPr>
        <w:t xml:space="preserve">.  The IRFA is attached to this </w:t>
      </w:r>
      <w:r w:rsidRPr="003213F7">
        <w:rPr>
          <w:i/>
          <w:szCs w:val="22"/>
        </w:rPr>
        <w:t>F</w:t>
      </w:r>
      <w:r w:rsidR="00CC2D83">
        <w:rPr>
          <w:i/>
          <w:szCs w:val="22"/>
        </w:rPr>
        <w:t>ifth Further Notice</w:t>
      </w:r>
      <w:r w:rsidR="001F248B" w:rsidRPr="003213F7">
        <w:rPr>
          <w:szCs w:val="22"/>
        </w:rPr>
        <w:t xml:space="preserve"> as </w:t>
      </w:r>
      <w:r w:rsidR="00717EF9">
        <w:rPr>
          <w:szCs w:val="22"/>
        </w:rPr>
        <w:t xml:space="preserve">an </w:t>
      </w:r>
      <w:r w:rsidR="001F248B" w:rsidRPr="003213F7">
        <w:rPr>
          <w:szCs w:val="22"/>
        </w:rPr>
        <w:t>Appendix</w:t>
      </w:r>
      <w:r w:rsidRPr="003213F7">
        <w:rPr>
          <w:szCs w:val="22"/>
        </w:rPr>
        <w:t>.</w:t>
      </w:r>
    </w:p>
    <w:p w:rsidR="00A434EF" w:rsidRPr="003213F7" w:rsidRDefault="00A434EF" w:rsidP="0080643E">
      <w:pPr>
        <w:pStyle w:val="Heading2"/>
      </w:pPr>
      <w:r w:rsidRPr="003213F7">
        <w:t>Paperwor</w:t>
      </w:r>
      <w:r w:rsidR="00AA7648" w:rsidRPr="003213F7">
        <w:t>k Reduction Act</w:t>
      </w:r>
    </w:p>
    <w:p w:rsidR="009E2763" w:rsidRPr="00D924FE" w:rsidRDefault="00F46A52" w:rsidP="00647FA9">
      <w:pPr>
        <w:pStyle w:val="ParaNum"/>
        <w:rPr>
          <w:szCs w:val="22"/>
        </w:rPr>
      </w:pPr>
      <w:r w:rsidRPr="00D924FE">
        <w:rPr>
          <w:szCs w:val="22"/>
        </w:rPr>
        <w:t>This document seeks comment on potential information collection requirements.  The Commission, as part of its continuing effort to reduce paperwork burdens, invites the general public and the Office of Management and Budget (OMB) to comment on the potential information collection requirements contained in this document, as required by the Paperwork Reduction Act of 1995, Public Law 104-13.</w:t>
      </w:r>
      <w:r w:rsidRPr="00D924FE">
        <w:rPr>
          <w:rStyle w:val="FootnoteReference"/>
          <w:sz w:val="22"/>
          <w:szCs w:val="22"/>
        </w:rPr>
        <w:footnoteReference w:id="51"/>
      </w:r>
      <w:r w:rsidRPr="00D924FE">
        <w:rPr>
          <w:szCs w:val="22"/>
        </w:rPr>
        <w:t xml:space="preserve">  In addition, pursuant to the Small Business Paperwork Relief Act of 2002, Public Law 107-198,</w:t>
      </w:r>
      <w:r w:rsidRPr="00D924FE">
        <w:rPr>
          <w:rStyle w:val="apple-converted-space"/>
          <w:szCs w:val="22"/>
        </w:rPr>
        <w:t> </w:t>
      </w:r>
      <w:r w:rsidRPr="00D924FE">
        <w:rPr>
          <w:i/>
          <w:iCs/>
          <w:szCs w:val="22"/>
        </w:rPr>
        <w:t>see</w:t>
      </w:r>
      <w:r w:rsidRPr="00D924FE">
        <w:rPr>
          <w:rStyle w:val="apple-converted-space"/>
          <w:szCs w:val="22"/>
        </w:rPr>
        <w:t> </w:t>
      </w:r>
      <w:r w:rsidRPr="00D924FE">
        <w:rPr>
          <w:szCs w:val="22"/>
        </w:rPr>
        <w:t>44 U.S.C. 3506(c)(4), we seek specific comment on how we might further reduce the potential information collection burden for small business concerns with fewer than 25 employees.</w:t>
      </w:r>
      <w:r w:rsidRPr="00D924FE">
        <w:rPr>
          <w:rStyle w:val="FootnoteReference"/>
          <w:sz w:val="22"/>
          <w:szCs w:val="22"/>
        </w:rPr>
        <w:footnoteReference w:id="52"/>
      </w:r>
    </w:p>
    <w:p w:rsidR="00A434EF" w:rsidRPr="003213F7" w:rsidRDefault="00A434EF" w:rsidP="0080643E">
      <w:pPr>
        <w:pStyle w:val="Heading2"/>
      </w:pPr>
      <w:r w:rsidRPr="0080643E">
        <w:rPr>
          <w:i/>
        </w:rPr>
        <w:t>Ex Parte</w:t>
      </w:r>
      <w:r w:rsidRPr="003213F7">
        <w:t xml:space="preserve"> Rules</w:t>
      </w:r>
    </w:p>
    <w:p w:rsidR="00A434EF" w:rsidRPr="003213F7" w:rsidRDefault="00A434EF" w:rsidP="00647FA9">
      <w:pPr>
        <w:pStyle w:val="ParaNum"/>
        <w:rPr>
          <w:szCs w:val="22"/>
        </w:rPr>
      </w:pPr>
      <w:r w:rsidRPr="003213F7">
        <w:rPr>
          <w:szCs w:val="22"/>
        </w:rPr>
        <w:t xml:space="preserve">The proceeding this Notice initiates shall be treated as a “permit-but-disclose” proceeding in accordance with the Commission’s </w:t>
      </w:r>
      <w:r w:rsidRPr="003213F7">
        <w:rPr>
          <w:i/>
          <w:iCs/>
          <w:szCs w:val="22"/>
        </w:rPr>
        <w:t xml:space="preserve">ex parte </w:t>
      </w:r>
      <w:r w:rsidRPr="003213F7">
        <w:rPr>
          <w:szCs w:val="22"/>
        </w:rPr>
        <w:t>rules.</w:t>
      </w:r>
      <w:r w:rsidRPr="003213F7">
        <w:rPr>
          <w:rStyle w:val="FootnoteReference"/>
          <w:sz w:val="22"/>
          <w:szCs w:val="22"/>
        </w:rPr>
        <w:footnoteReference w:id="53"/>
      </w:r>
      <w:r w:rsidRPr="003213F7">
        <w:rPr>
          <w:szCs w:val="22"/>
        </w:rPr>
        <w:t xml:space="preserve">  Persons making </w:t>
      </w:r>
      <w:r w:rsidRPr="003213F7">
        <w:rPr>
          <w:i/>
          <w:szCs w:val="22"/>
        </w:rPr>
        <w:t xml:space="preserve">ex parte </w:t>
      </w:r>
      <w:r w:rsidRPr="003213F7">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213F7">
        <w:rPr>
          <w:i/>
          <w:iCs/>
          <w:szCs w:val="22"/>
        </w:rPr>
        <w:t xml:space="preserve">ex parte </w:t>
      </w:r>
      <w:r w:rsidRPr="003213F7">
        <w:rPr>
          <w:szCs w:val="22"/>
        </w:rPr>
        <w:t xml:space="preserve">presentations are reminded that memoranda summarizing the presentation must (1) list all persons attending or otherwise participating in the meeting at which the </w:t>
      </w:r>
      <w:r w:rsidRPr="003213F7">
        <w:rPr>
          <w:i/>
          <w:iCs/>
          <w:szCs w:val="22"/>
        </w:rPr>
        <w:t xml:space="preserve">ex parte </w:t>
      </w:r>
      <w:r w:rsidRPr="003213F7">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213F7">
        <w:rPr>
          <w:i/>
          <w:iCs/>
          <w:szCs w:val="22"/>
        </w:rPr>
        <w:t xml:space="preserve">ex parte </w:t>
      </w:r>
      <w:r w:rsidRPr="003213F7">
        <w:rPr>
          <w:szCs w:val="22"/>
        </w:rPr>
        <w:t xml:space="preserve">meetings are deemed to be written </w:t>
      </w:r>
      <w:r w:rsidRPr="003213F7">
        <w:rPr>
          <w:i/>
          <w:iCs/>
          <w:szCs w:val="22"/>
        </w:rPr>
        <w:t>ex parte</w:t>
      </w:r>
      <w:r w:rsidRPr="003213F7">
        <w:rPr>
          <w:szCs w:val="22"/>
        </w:rPr>
        <w:t xml:space="preserve"> presentations and must be filed consistent with rule 1.1206(b).  In proceedings governed by rule 1.49(f) or for which the Commission has made available a method of electronic filing, written </w:t>
      </w:r>
      <w:r w:rsidRPr="003213F7">
        <w:rPr>
          <w:i/>
          <w:iCs/>
          <w:szCs w:val="22"/>
        </w:rPr>
        <w:t xml:space="preserve">ex parte </w:t>
      </w:r>
      <w:r w:rsidRPr="003213F7">
        <w:rPr>
          <w:szCs w:val="22"/>
        </w:rPr>
        <w:t xml:space="preserve">presentations and memoranda summarizing oral </w:t>
      </w:r>
      <w:r w:rsidRPr="003213F7">
        <w:rPr>
          <w:i/>
          <w:iCs/>
          <w:szCs w:val="22"/>
        </w:rPr>
        <w:t xml:space="preserve">ex parte </w:t>
      </w:r>
      <w:r w:rsidRPr="003213F7">
        <w:rPr>
          <w:szCs w:val="22"/>
        </w:rPr>
        <w:t>presentations, and all attachments thereto, must be filed through the electronic comment filing system available for that proceeding, and must be filed in their native format (</w:t>
      </w:r>
      <w:r w:rsidRPr="003213F7">
        <w:rPr>
          <w:i/>
          <w:iCs/>
          <w:szCs w:val="22"/>
        </w:rPr>
        <w:t>e.g.</w:t>
      </w:r>
      <w:r w:rsidRPr="003213F7">
        <w:rPr>
          <w:szCs w:val="22"/>
        </w:rPr>
        <w:t xml:space="preserve">, .doc, .xml, .ppt, searchable .pdf).  Participants in this proceeding should familiarize themselves with the Commission’s </w:t>
      </w:r>
      <w:r w:rsidRPr="003213F7">
        <w:rPr>
          <w:i/>
          <w:iCs/>
          <w:szCs w:val="22"/>
        </w:rPr>
        <w:t xml:space="preserve">ex parte </w:t>
      </w:r>
      <w:r w:rsidRPr="003213F7">
        <w:rPr>
          <w:szCs w:val="22"/>
        </w:rPr>
        <w:t>rules.</w:t>
      </w:r>
    </w:p>
    <w:p w:rsidR="00A434EF" w:rsidRPr="003213F7" w:rsidRDefault="00A434EF" w:rsidP="0080643E">
      <w:pPr>
        <w:pStyle w:val="Heading2"/>
      </w:pPr>
      <w:r w:rsidRPr="003213F7">
        <w:t>Filing Requirements</w:t>
      </w:r>
    </w:p>
    <w:p w:rsidR="00A434EF" w:rsidRPr="003213F7" w:rsidRDefault="00A434EF" w:rsidP="00647FA9">
      <w:pPr>
        <w:pStyle w:val="ParaNum"/>
        <w:rPr>
          <w:szCs w:val="22"/>
        </w:rPr>
      </w:pPr>
      <w:r w:rsidRPr="003213F7">
        <w:rPr>
          <w:szCs w:val="22"/>
        </w:rPr>
        <w:t>Pursuant to sections 1.415 and 1.419 of the Commission’s rules,</w:t>
      </w:r>
      <w:r w:rsidR="009E2763" w:rsidRPr="003213F7">
        <w:rPr>
          <w:rStyle w:val="FootnoteReference"/>
          <w:sz w:val="22"/>
          <w:szCs w:val="22"/>
        </w:rPr>
        <w:footnoteReference w:id="54"/>
      </w:r>
      <w:r w:rsidRPr="003213F7">
        <w:rPr>
          <w:szCs w:val="22"/>
        </w:rPr>
        <w:t xml:space="preserve"> interested parties may file comments and reply comments on or before the dates indicated on the first page of this document.  Comments may be filed using the Commission’s Electronic Comment Filing System (ECFS).</w:t>
      </w:r>
      <w:r w:rsidR="009E2763" w:rsidRPr="003213F7">
        <w:rPr>
          <w:rStyle w:val="FootnoteReference"/>
          <w:sz w:val="22"/>
          <w:szCs w:val="22"/>
        </w:rPr>
        <w:footnoteReference w:id="55"/>
      </w:r>
      <w:r w:rsidRPr="003213F7">
        <w:rPr>
          <w:szCs w:val="22"/>
        </w:rPr>
        <w:t xml:space="preserve">  </w:t>
      </w:r>
    </w:p>
    <w:p w:rsidR="00A434EF" w:rsidRPr="003213F7" w:rsidRDefault="00A434EF"/>
    <w:p w:rsidR="00A434EF" w:rsidRPr="003213F7" w:rsidRDefault="00A434EF" w:rsidP="00232793">
      <w:pPr>
        <w:numPr>
          <w:ilvl w:val="0"/>
          <w:numId w:val="7"/>
        </w:numPr>
      </w:pPr>
      <w:r w:rsidRPr="003213F7">
        <w:t xml:space="preserve">Electronic Filers:  Comments may be filed electronically using the Internet by accessing the ECFS:  </w:t>
      </w:r>
      <w:hyperlink r:id="rId8" w:history="1">
        <w:r w:rsidRPr="003213F7">
          <w:rPr>
            <w:rStyle w:val="Hyperlink"/>
          </w:rPr>
          <w:t>http://fjallfoss.fcc.gov/ecfs2/</w:t>
        </w:r>
      </w:hyperlink>
      <w:r w:rsidRPr="003213F7">
        <w:t xml:space="preserve">.  </w:t>
      </w:r>
    </w:p>
    <w:p w:rsidR="00A434EF" w:rsidRPr="003213F7" w:rsidRDefault="00A434EF"/>
    <w:p w:rsidR="00A434EF" w:rsidRPr="003213F7" w:rsidRDefault="00A434EF" w:rsidP="00232793">
      <w:pPr>
        <w:numPr>
          <w:ilvl w:val="0"/>
          <w:numId w:val="5"/>
        </w:numPr>
      </w:pPr>
      <w:r w:rsidRPr="003213F7">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434EF" w:rsidRPr="003213F7" w:rsidRDefault="00A434EF"/>
    <w:p w:rsidR="00A434EF" w:rsidRPr="003213F7" w:rsidRDefault="00A434EF">
      <w:pPr>
        <w:ind w:left="720"/>
      </w:pPr>
      <w:r w:rsidRPr="003213F7">
        <w:t>Filings can be sent by hand or messenger delivery, by commercial overnight courier, or by first-class or overnight U.S. Postal Service mail.  All filings must be addressed to the Commission’s Secretary, Office of the Secretary, Federal Communications Commission.</w:t>
      </w:r>
    </w:p>
    <w:p w:rsidR="00A434EF" w:rsidRPr="003213F7" w:rsidRDefault="00A434EF"/>
    <w:p w:rsidR="00A434EF" w:rsidRPr="003213F7" w:rsidRDefault="00A434EF" w:rsidP="00232793">
      <w:pPr>
        <w:numPr>
          <w:ilvl w:val="0"/>
          <w:numId w:val="6"/>
        </w:numPr>
      </w:pPr>
      <w:r w:rsidRPr="003213F7">
        <w:t>All hand-delivered or messenger-delivered paper filings for the Commission’s Secretary must be delivered to FCC Headquarters at 445 12</w:t>
      </w:r>
      <w:r w:rsidRPr="003213F7">
        <w:rPr>
          <w:vertAlign w:val="superscript"/>
        </w:rPr>
        <w:t>th</w:t>
      </w:r>
      <w:r w:rsidRPr="003213F7">
        <w:t xml:space="preserve"> St., SW, Room TW-A325, Washington, DC 20554.  The filing hours are 8:00 a.m. to 7:00 p.m.   All hand deliveries must be held together with rubber bands or fasteners.  Any envelopes and boxes must be disposed of </w:t>
      </w:r>
      <w:r w:rsidRPr="003213F7">
        <w:rPr>
          <w:u w:val="single"/>
        </w:rPr>
        <w:t>before</w:t>
      </w:r>
      <w:r w:rsidRPr="003213F7">
        <w:t xml:space="preserve"> entering the building.  </w:t>
      </w:r>
    </w:p>
    <w:p w:rsidR="00A434EF" w:rsidRPr="003213F7" w:rsidRDefault="00A434EF">
      <w:pPr>
        <w:ind w:left="1080"/>
      </w:pPr>
    </w:p>
    <w:p w:rsidR="00A434EF" w:rsidRPr="003213F7" w:rsidRDefault="00A434EF" w:rsidP="00232793">
      <w:pPr>
        <w:numPr>
          <w:ilvl w:val="0"/>
          <w:numId w:val="6"/>
        </w:numPr>
      </w:pPr>
      <w:r w:rsidRPr="003213F7">
        <w:t>Commercial overnight mail (other than U.S. Postal Service Express Mail and Priority Mail) must be sent to 9300 East Hamp</w:t>
      </w:r>
      <w:r w:rsidR="00FC5100" w:rsidRPr="003213F7">
        <w:t xml:space="preserve">ton Drive, Capitol Heights, MD </w:t>
      </w:r>
      <w:r w:rsidRPr="003213F7">
        <w:t>20743.</w:t>
      </w:r>
    </w:p>
    <w:p w:rsidR="00A434EF" w:rsidRPr="003213F7" w:rsidRDefault="00A434EF"/>
    <w:p w:rsidR="00A434EF" w:rsidRPr="003213F7" w:rsidRDefault="00A434EF" w:rsidP="00232793">
      <w:pPr>
        <w:numPr>
          <w:ilvl w:val="0"/>
          <w:numId w:val="6"/>
        </w:numPr>
      </w:pPr>
      <w:r w:rsidRPr="003213F7">
        <w:t>U.S. Postal Service first-class, Express, and Priority mail must be addressed to 445 12</w:t>
      </w:r>
      <w:r w:rsidRPr="003213F7">
        <w:rPr>
          <w:vertAlign w:val="superscript"/>
        </w:rPr>
        <w:t>th</w:t>
      </w:r>
      <w:r w:rsidR="00FC5100" w:rsidRPr="003213F7">
        <w:t xml:space="preserve"> Street, SW, Washington DC </w:t>
      </w:r>
      <w:r w:rsidRPr="003213F7">
        <w:t>20554.</w:t>
      </w:r>
    </w:p>
    <w:p w:rsidR="00A434EF" w:rsidRPr="003213F7" w:rsidRDefault="00A434EF"/>
    <w:p w:rsidR="00A434EF" w:rsidRPr="003213F7" w:rsidRDefault="00A434EF" w:rsidP="00647FA9">
      <w:pPr>
        <w:pStyle w:val="ParaNum"/>
        <w:rPr>
          <w:szCs w:val="22"/>
        </w:rPr>
      </w:pPr>
      <w:r w:rsidRPr="003213F7">
        <w:rPr>
          <w:szCs w:val="22"/>
        </w:rPr>
        <w:t xml:space="preserve">People with Disabilities:  To request materials in accessible formats for people with disabilities (braille, large print, electronic files, audio format), send an e-mail to </w:t>
      </w:r>
      <w:hyperlink r:id="rId9" w:history="1">
        <w:r w:rsidRPr="003213F7">
          <w:rPr>
            <w:rStyle w:val="Hyperlink"/>
            <w:szCs w:val="22"/>
          </w:rPr>
          <w:t>fcc504@fcc.gov</w:t>
        </w:r>
      </w:hyperlink>
      <w:r w:rsidRPr="003213F7">
        <w:rPr>
          <w:szCs w:val="22"/>
        </w:rPr>
        <w:t xml:space="preserve"> or call the Consumer &amp; Governmental Affairs Bureau at 202-418-0530 (voice), 202-418-0432 (tty).</w:t>
      </w:r>
    </w:p>
    <w:p w:rsidR="00A434EF" w:rsidRPr="003213F7" w:rsidRDefault="00A434EF" w:rsidP="00647FA9">
      <w:pPr>
        <w:pStyle w:val="ParaNum"/>
        <w:rPr>
          <w:szCs w:val="22"/>
        </w:rPr>
      </w:pPr>
      <w:r w:rsidRPr="003213F7">
        <w:rPr>
          <w:i/>
          <w:szCs w:val="22"/>
        </w:rPr>
        <w:t>Availability of Documents</w:t>
      </w:r>
      <w:r w:rsidRPr="003213F7">
        <w:rPr>
          <w:szCs w:val="22"/>
        </w:rPr>
        <w:t xml:space="preserve">.  Comments, reply comments, and </w:t>
      </w:r>
      <w:r w:rsidRPr="003213F7">
        <w:rPr>
          <w:i/>
          <w:szCs w:val="22"/>
        </w:rPr>
        <w:t>ex parte</w:t>
      </w:r>
      <w:r w:rsidRPr="003213F7">
        <w:rPr>
          <w:szCs w:val="22"/>
        </w:rPr>
        <w:t xml:space="preserve"> submissions will be available for public inspection during regular business hours in the FCC Reference Center, Federal Communications Commission, 445 12</w:t>
      </w:r>
      <w:r w:rsidRPr="003213F7">
        <w:rPr>
          <w:szCs w:val="22"/>
          <w:vertAlign w:val="superscript"/>
        </w:rPr>
        <w:t>th</w:t>
      </w:r>
      <w:r w:rsidRPr="003213F7">
        <w:rPr>
          <w:szCs w:val="22"/>
        </w:rPr>
        <w:t xml:space="preserve"> Street, S.W., CY-A257, Washington, D.C., 20554.  These documents will also be available via ECFS.  Documents will be available electronically in ASCII, Microsoft Word, and/or Adobe Acrobat. </w:t>
      </w:r>
    </w:p>
    <w:p w:rsidR="00A434EF" w:rsidRPr="003213F7" w:rsidRDefault="00A434EF" w:rsidP="00647FA9">
      <w:pPr>
        <w:pStyle w:val="ParaNum"/>
        <w:rPr>
          <w:szCs w:val="22"/>
        </w:rPr>
      </w:pPr>
      <w:r w:rsidRPr="003213F7">
        <w:rPr>
          <w:i/>
          <w:szCs w:val="22"/>
        </w:rPr>
        <w:t>Additional Information</w:t>
      </w:r>
      <w:r w:rsidRPr="003213F7">
        <w:rPr>
          <w:szCs w:val="22"/>
        </w:rPr>
        <w:t xml:space="preserve">.  For additional information on this proceeding, contact </w:t>
      </w:r>
      <w:r w:rsidR="005551EC" w:rsidRPr="003213F7">
        <w:rPr>
          <w:szCs w:val="22"/>
        </w:rPr>
        <w:t xml:space="preserve">Raelynn Remy of the Policy Division, Media Bureau, at </w:t>
      </w:r>
      <w:hyperlink r:id="rId10" w:history="1">
        <w:r w:rsidR="005551EC" w:rsidRPr="003213F7">
          <w:rPr>
            <w:rStyle w:val="Hyperlink"/>
            <w:szCs w:val="22"/>
          </w:rPr>
          <w:t>raelynn.remy@fcc.gov</w:t>
        </w:r>
      </w:hyperlink>
      <w:r w:rsidR="005551EC" w:rsidRPr="003213F7">
        <w:rPr>
          <w:szCs w:val="22"/>
        </w:rPr>
        <w:t xml:space="preserve"> or </w:t>
      </w:r>
      <w:r w:rsidRPr="003213F7">
        <w:rPr>
          <w:szCs w:val="22"/>
        </w:rPr>
        <w:t>(202) 418-</w:t>
      </w:r>
      <w:r w:rsidR="005551EC" w:rsidRPr="003213F7">
        <w:rPr>
          <w:szCs w:val="22"/>
        </w:rPr>
        <w:t>2936</w:t>
      </w:r>
      <w:r w:rsidRPr="003213F7">
        <w:rPr>
          <w:szCs w:val="22"/>
        </w:rPr>
        <w:t>.</w:t>
      </w:r>
    </w:p>
    <w:p w:rsidR="00A434EF" w:rsidRPr="003213F7" w:rsidRDefault="00A434EF" w:rsidP="0080643E">
      <w:pPr>
        <w:pStyle w:val="Heading1"/>
      </w:pPr>
      <w:r w:rsidRPr="003213F7">
        <w:t>Ordering clauses</w:t>
      </w:r>
    </w:p>
    <w:p w:rsidR="00A434EF" w:rsidRPr="003213F7" w:rsidRDefault="00A434EF" w:rsidP="00647FA9">
      <w:pPr>
        <w:pStyle w:val="ParaNum"/>
        <w:rPr>
          <w:spacing w:val="-2"/>
          <w:szCs w:val="22"/>
        </w:rPr>
      </w:pPr>
      <w:r w:rsidRPr="003213F7">
        <w:rPr>
          <w:b/>
          <w:szCs w:val="22"/>
        </w:rPr>
        <w:t>IT IS ORDERED</w:t>
      </w:r>
      <w:r w:rsidRPr="003213F7">
        <w:rPr>
          <w:szCs w:val="22"/>
        </w:rPr>
        <w:t xml:space="preserve"> that, pursuant to </w:t>
      </w:r>
      <w:r w:rsidR="0037585D" w:rsidRPr="003213F7">
        <w:rPr>
          <w:szCs w:val="22"/>
        </w:rPr>
        <w:t xml:space="preserve">the authority found in </w:t>
      </w:r>
      <w:r w:rsidRPr="003213F7">
        <w:rPr>
          <w:szCs w:val="22"/>
        </w:rPr>
        <w:t xml:space="preserve">Sections 4, 303, 614, and 615 of the Communications Act of 1934, as amended, 47 U.S.C. §§ 154, 303, 534, and 535, this </w:t>
      </w:r>
      <w:r w:rsidRPr="003213F7">
        <w:rPr>
          <w:i/>
          <w:szCs w:val="22"/>
        </w:rPr>
        <w:t>F</w:t>
      </w:r>
      <w:r w:rsidR="0037585D" w:rsidRPr="003213F7">
        <w:rPr>
          <w:i/>
          <w:szCs w:val="22"/>
        </w:rPr>
        <w:t>ifth</w:t>
      </w:r>
      <w:r w:rsidRPr="003213F7">
        <w:rPr>
          <w:i/>
          <w:szCs w:val="22"/>
        </w:rPr>
        <w:t xml:space="preserve"> Further </w:t>
      </w:r>
      <w:r w:rsidR="00A5028E" w:rsidRPr="003213F7">
        <w:rPr>
          <w:i/>
          <w:spacing w:val="-2"/>
          <w:szCs w:val="22"/>
        </w:rPr>
        <w:t>Notice o</w:t>
      </w:r>
      <w:r w:rsidRPr="003213F7">
        <w:rPr>
          <w:i/>
          <w:spacing w:val="-2"/>
          <w:szCs w:val="22"/>
        </w:rPr>
        <w:t xml:space="preserve">f Proposed Rulemaking </w:t>
      </w:r>
      <w:r w:rsidRPr="003213F7">
        <w:rPr>
          <w:spacing w:val="-2"/>
          <w:szCs w:val="22"/>
        </w:rPr>
        <w:t xml:space="preserve">is </w:t>
      </w:r>
      <w:r w:rsidRPr="002A01E8">
        <w:rPr>
          <w:b/>
          <w:spacing w:val="-2"/>
          <w:szCs w:val="22"/>
        </w:rPr>
        <w:t>ADOPTED</w:t>
      </w:r>
      <w:r w:rsidRPr="003213F7">
        <w:rPr>
          <w:spacing w:val="-2"/>
          <w:szCs w:val="22"/>
        </w:rPr>
        <w:t>.</w:t>
      </w:r>
    </w:p>
    <w:p w:rsidR="00A434EF" w:rsidRPr="003213F7" w:rsidRDefault="00A434EF" w:rsidP="00647FA9">
      <w:pPr>
        <w:pStyle w:val="ParaNum"/>
        <w:rPr>
          <w:szCs w:val="22"/>
        </w:rPr>
      </w:pPr>
      <w:r w:rsidRPr="003213F7">
        <w:rPr>
          <w:b/>
          <w:szCs w:val="22"/>
        </w:rPr>
        <w:t xml:space="preserve">IT IS </w:t>
      </w:r>
      <w:r w:rsidR="0037585D" w:rsidRPr="003213F7">
        <w:rPr>
          <w:b/>
          <w:szCs w:val="22"/>
        </w:rPr>
        <w:t xml:space="preserve">FURTHER </w:t>
      </w:r>
      <w:r w:rsidRPr="003213F7">
        <w:rPr>
          <w:b/>
          <w:szCs w:val="22"/>
        </w:rPr>
        <w:t>ORDERED</w:t>
      </w:r>
      <w:r w:rsidRPr="003213F7">
        <w:rPr>
          <w:szCs w:val="22"/>
        </w:rPr>
        <w:t xml:space="preserve"> that the</w:t>
      </w:r>
      <w:r w:rsidR="0037585D" w:rsidRPr="003213F7">
        <w:rPr>
          <w:szCs w:val="22"/>
        </w:rPr>
        <w:t xml:space="preserve"> </w:t>
      </w:r>
      <w:r w:rsidRPr="003213F7">
        <w:rPr>
          <w:szCs w:val="22"/>
        </w:rPr>
        <w:t xml:space="preserve">Consumer and Governmental Affairs Bureau, </w:t>
      </w:r>
      <w:r w:rsidR="0037585D" w:rsidRPr="003213F7">
        <w:rPr>
          <w:szCs w:val="22"/>
        </w:rPr>
        <w:t xml:space="preserve">Reference Information Center, </w:t>
      </w:r>
      <w:r w:rsidRPr="003213F7">
        <w:rPr>
          <w:szCs w:val="22"/>
        </w:rPr>
        <w:t xml:space="preserve">shall send a copy of this </w:t>
      </w:r>
      <w:r w:rsidR="0037585D" w:rsidRPr="003213F7">
        <w:rPr>
          <w:i/>
          <w:szCs w:val="22"/>
        </w:rPr>
        <w:t xml:space="preserve">Fifth Further </w:t>
      </w:r>
      <w:r w:rsidRPr="003213F7">
        <w:rPr>
          <w:i/>
          <w:szCs w:val="22"/>
        </w:rPr>
        <w:t>Notice of Proposed Rulemaking</w:t>
      </w:r>
      <w:r w:rsidRPr="003213F7">
        <w:rPr>
          <w:szCs w:val="22"/>
        </w:rPr>
        <w:t xml:space="preserve">, including the Initial Regulatory Flexibility </w:t>
      </w:r>
      <w:r w:rsidR="0037585D" w:rsidRPr="003213F7">
        <w:rPr>
          <w:szCs w:val="22"/>
        </w:rPr>
        <w:t xml:space="preserve">Act </w:t>
      </w:r>
      <w:r w:rsidRPr="003213F7">
        <w:rPr>
          <w:szCs w:val="22"/>
        </w:rPr>
        <w:t>Analysis, to the Chief Counsel for Advocacy of the Small Business Administration.</w:t>
      </w:r>
    </w:p>
    <w:p w:rsidR="00A434EF" w:rsidRPr="003213F7" w:rsidRDefault="00A434EF"/>
    <w:p w:rsidR="00AC7CFA" w:rsidRDefault="00AC7CFA" w:rsidP="0017296B">
      <w:r>
        <w:tab/>
      </w:r>
      <w:r>
        <w:tab/>
      </w:r>
      <w:r>
        <w:tab/>
      </w:r>
      <w:r>
        <w:tab/>
      </w:r>
      <w:r>
        <w:tab/>
      </w:r>
      <w:r>
        <w:tab/>
        <w:t>FEDERAL COMMUNICATIONS COMMISSION</w:t>
      </w:r>
    </w:p>
    <w:p w:rsidR="00AC7CFA" w:rsidRDefault="00AC7CFA" w:rsidP="0017296B"/>
    <w:p w:rsidR="00AC7CFA" w:rsidRDefault="00AC7CFA" w:rsidP="0017296B"/>
    <w:p w:rsidR="00AC7CFA" w:rsidRDefault="00AC7CFA" w:rsidP="0017296B"/>
    <w:p w:rsidR="00AC7CFA" w:rsidRDefault="00AC7CFA" w:rsidP="0017296B"/>
    <w:p w:rsidR="00AC7CFA" w:rsidRDefault="00AC7CFA" w:rsidP="0017296B">
      <w:r>
        <w:tab/>
      </w:r>
      <w:r>
        <w:tab/>
      </w:r>
      <w:r>
        <w:tab/>
      </w:r>
      <w:r>
        <w:tab/>
      </w:r>
      <w:r>
        <w:tab/>
      </w:r>
      <w:r>
        <w:tab/>
        <w:t>Marlene H. Dortch</w:t>
      </w:r>
    </w:p>
    <w:p w:rsidR="00AC7CFA" w:rsidRDefault="00AC7CFA" w:rsidP="0017296B">
      <w:r>
        <w:tab/>
      </w:r>
      <w:r>
        <w:tab/>
      </w:r>
      <w:r>
        <w:tab/>
      </w:r>
      <w:r>
        <w:tab/>
      </w:r>
      <w:r>
        <w:tab/>
      </w:r>
      <w:r>
        <w:tab/>
        <w:t>Secretary</w:t>
      </w:r>
    </w:p>
    <w:p w:rsidR="00A434EF" w:rsidRPr="003213F7" w:rsidRDefault="00A434EF"/>
    <w:p w:rsidR="004052C3" w:rsidRDefault="00A434EF" w:rsidP="004052C3">
      <w:r w:rsidRPr="003213F7">
        <w:tab/>
      </w:r>
      <w:r w:rsidRPr="003213F7">
        <w:tab/>
      </w:r>
      <w:r w:rsidRPr="003213F7">
        <w:tab/>
      </w:r>
      <w:r w:rsidRPr="003213F7">
        <w:tab/>
      </w:r>
      <w:r w:rsidRPr="003213F7">
        <w:tab/>
      </w:r>
    </w:p>
    <w:p w:rsidR="004052C3" w:rsidRDefault="004052C3" w:rsidP="004052C3"/>
    <w:p w:rsidR="004052C3" w:rsidRDefault="004052C3" w:rsidP="004052C3">
      <w:pPr>
        <w:sectPr w:rsidR="004052C3">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2240" w:h="15840"/>
          <w:pgMar w:top="1440" w:right="1440" w:bottom="720" w:left="1440" w:header="720" w:footer="720" w:gutter="0"/>
          <w:cols w:space="720"/>
          <w:noEndnote/>
          <w:titlePg/>
        </w:sectPr>
      </w:pPr>
    </w:p>
    <w:p w:rsidR="004052C3" w:rsidRDefault="004052C3" w:rsidP="004052C3"/>
    <w:p w:rsidR="00A434EF" w:rsidRPr="003213F7" w:rsidRDefault="00A434EF" w:rsidP="004052C3">
      <w:pPr>
        <w:jc w:val="center"/>
        <w:rPr>
          <w:b/>
        </w:rPr>
      </w:pPr>
      <w:r w:rsidRPr="003213F7">
        <w:rPr>
          <w:b/>
        </w:rPr>
        <w:t>APPENDIX</w:t>
      </w:r>
    </w:p>
    <w:p w:rsidR="00A434EF" w:rsidRPr="003213F7" w:rsidRDefault="00A434EF">
      <w:pPr>
        <w:tabs>
          <w:tab w:val="left" w:pos="0"/>
          <w:tab w:val="left" w:pos="720"/>
          <w:tab w:val="left" w:pos="1440"/>
          <w:tab w:val="left" w:pos="2160"/>
          <w:tab w:val="left" w:pos="2880"/>
        </w:tabs>
        <w:suppressAutoHyphens/>
      </w:pPr>
    </w:p>
    <w:p w:rsidR="00A434EF" w:rsidRPr="003213F7" w:rsidRDefault="00A434EF">
      <w:pPr>
        <w:tabs>
          <w:tab w:val="left" w:pos="0"/>
          <w:tab w:val="left" w:pos="720"/>
          <w:tab w:val="left" w:pos="1440"/>
          <w:tab w:val="left" w:pos="2160"/>
          <w:tab w:val="left" w:pos="2880"/>
        </w:tabs>
        <w:suppressAutoHyphens/>
        <w:ind w:left="720" w:hanging="720"/>
        <w:jc w:val="center"/>
        <w:rPr>
          <w:b/>
        </w:rPr>
      </w:pPr>
      <w:r w:rsidRPr="003213F7">
        <w:rPr>
          <w:b/>
        </w:rPr>
        <w:t xml:space="preserve">Initial Regulatory Flexibility </w:t>
      </w:r>
      <w:r w:rsidR="00C50284" w:rsidRPr="003213F7">
        <w:rPr>
          <w:b/>
        </w:rPr>
        <w:t xml:space="preserve">Act </w:t>
      </w:r>
      <w:r w:rsidR="00101567" w:rsidRPr="003213F7">
        <w:rPr>
          <w:b/>
        </w:rPr>
        <w:t>Analysis</w:t>
      </w:r>
    </w:p>
    <w:p w:rsidR="00A434EF" w:rsidRPr="003213F7" w:rsidRDefault="00A434EF">
      <w:pPr>
        <w:tabs>
          <w:tab w:val="left" w:pos="0"/>
          <w:tab w:val="left" w:pos="720"/>
          <w:tab w:val="left" w:pos="1440"/>
          <w:tab w:val="left" w:pos="2160"/>
          <w:tab w:val="left" w:pos="2880"/>
        </w:tabs>
        <w:suppressAutoHyphens/>
      </w:pPr>
    </w:p>
    <w:p w:rsidR="00A434EF" w:rsidRPr="003213F7" w:rsidRDefault="00A434EF" w:rsidP="00232793">
      <w:pPr>
        <w:pStyle w:val="ParaNum"/>
        <w:numPr>
          <w:ilvl w:val="0"/>
          <w:numId w:val="4"/>
        </w:numPr>
        <w:tabs>
          <w:tab w:val="clear" w:pos="1080"/>
          <w:tab w:val="num" w:pos="1440"/>
        </w:tabs>
        <w:rPr>
          <w:szCs w:val="22"/>
        </w:rPr>
      </w:pPr>
      <w:r w:rsidRPr="003213F7">
        <w:rPr>
          <w:szCs w:val="22"/>
        </w:rPr>
        <w:t>As required by the Regulatory Flexibility Act of 1980, as amended (“RFA”)</w:t>
      </w:r>
      <w:r w:rsidR="002D4375" w:rsidRPr="003213F7">
        <w:rPr>
          <w:szCs w:val="22"/>
        </w:rPr>
        <w:t>,</w:t>
      </w:r>
      <w:r w:rsidRPr="003213F7">
        <w:rPr>
          <w:rStyle w:val="FootnoteReference"/>
          <w:sz w:val="22"/>
          <w:szCs w:val="22"/>
        </w:rPr>
        <w:footnoteReference w:id="56"/>
      </w:r>
      <w:r w:rsidRPr="003213F7">
        <w:rPr>
          <w:szCs w:val="22"/>
        </w:rPr>
        <w:t xml:space="preserve"> the Commission has prepared this Initial Regulatory Flexibility </w:t>
      </w:r>
      <w:r w:rsidR="002D4375" w:rsidRPr="003213F7">
        <w:rPr>
          <w:szCs w:val="22"/>
        </w:rPr>
        <w:t xml:space="preserve">Act </w:t>
      </w:r>
      <w:r w:rsidRPr="003213F7">
        <w:rPr>
          <w:szCs w:val="22"/>
        </w:rPr>
        <w:t xml:space="preserve">Analysis (“IRFA”) of the possible economic impact on a substantial number of small entities by the </w:t>
      </w:r>
      <w:r w:rsidR="00FC5100" w:rsidRPr="003213F7">
        <w:rPr>
          <w:szCs w:val="22"/>
        </w:rPr>
        <w:t xml:space="preserve">actions </w:t>
      </w:r>
      <w:r w:rsidRPr="003213F7">
        <w:rPr>
          <w:szCs w:val="22"/>
        </w:rPr>
        <w:t xml:space="preserve">proposed in this </w:t>
      </w:r>
      <w:r w:rsidRPr="003213F7">
        <w:rPr>
          <w:i/>
          <w:szCs w:val="22"/>
        </w:rPr>
        <w:t>F</w:t>
      </w:r>
      <w:r w:rsidR="002D4375" w:rsidRPr="003213F7">
        <w:rPr>
          <w:i/>
          <w:szCs w:val="22"/>
        </w:rPr>
        <w:t>ifth Further</w:t>
      </w:r>
      <w:r w:rsidRPr="003213F7">
        <w:rPr>
          <w:i/>
          <w:szCs w:val="22"/>
        </w:rPr>
        <w:t xml:space="preserve"> Notice of Proposed Rulemaking </w:t>
      </w:r>
      <w:r w:rsidRPr="003213F7">
        <w:rPr>
          <w:szCs w:val="22"/>
        </w:rPr>
        <w:t>(“</w:t>
      </w:r>
      <w:r w:rsidR="007B7C40">
        <w:rPr>
          <w:i/>
          <w:szCs w:val="22"/>
        </w:rPr>
        <w:t>Fifth Further Notice</w:t>
      </w:r>
      <w:r w:rsidRPr="003213F7">
        <w:rPr>
          <w:i/>
          <w:szCs w:val="22"/>
        </w:rPr>
        <w:t>”</w:t>
      </w:r>
      <w:r w:rsidRPr="003213F7">
        <w:rPr>
          <w:szCs w:val="22"/>
        </w:rPr>
        <w:t xml:space="preserve">).  Written public comments are requested on this IRFA.  Comments must be identified as responses to the IRFA and must be filed by the deadlines for comments on the </w:t>
      </w:r>
      <w:r w:rsidR="002D4375" w:rsidRPr="003213F7">
        <w:rPr>
          <w:i/>
          <w:szCs w:val="22"/>
        </w:rPr>
        <w:t>F</w:t>
      </w:r>
      <w:r w:rsidR="007B7C40">
        <w:rPr>
          <w:i/>
          <w:szCs w:val="22"/>
        </w:rPr>
        <w:t>ifth Further Notice</w:t>
      </w:r>
      <w:r w:rsidRPr="003213F7">
        <w:rPr>
          <w:szCs w:val="22"/>
        </w:rPr>
        <w:t xml:space="preserve"> as indicated on its first page.  The Commission will send a copy of the </w:t>
      </w:r>
      <w:r w:rsidR="002D4375" w:rsidRPr="003213F7">
        <w:rPr>
          <w:i/>
          <w:szCs w:val="22"/>
        </w:rPr>
        <w:t>F</w:t>
      </w:r>
      <w:r w:rsidR="007B7C40">
        <w:rPr>
          <w:i/>
          <w:szCs w:val="22"/>
        </w:rPr>
        <w:t>ifth Further Notice</w:t>
      </w:r>
      <w:r w:rsidRPr="003213F7">
        <w:rPr>
          <w:szCs w:val="22"/>
        </w:rPr>
        <w:t>, including this IRFA, to the Chief Counsel for Advocacy of the Small Business Administration (“SBA”).</w:t>
      </w:r>
      <w:r w:rsidRPr="003213F7">
        <w:rPr>
          <w:rStyle w:val="FootnoteReference"/>
          <w:sz w:val="22"/>
          <w:szCs w:val="22"/>
        </w:rPr>
        <w:footnoteReference w:id="57"/>
      </w:r>
      <w:r w:rsidRPr="003213F7">
        <w:rPr>
          <w:szCs w:val="22"/>
        </w:rPr>
        <w:t xml:space="preserve">  In addition, the </w:t>
      </w:r>
      <w:r w:rsidR="002D4375" w:rsidRPr="003213F7">
        <w:rPr>
          <w:i/>
          <w:szCs w:val="22"/>
        </w:rPr>
        <w:t>F</w:t>
      </w:r>
      <w:r w:rsidR="007B7C40">
        <w:rPr>
          <w:i/>
          <w:szCs w:val="22"/>
        </w:rPr>
        <w:t>ifth Further Notice</w:t>
      </w:r>
      <w:r w:rsidRPr="003213F7">
        <w:rPr>
          <w:szCs w:val="22"/>
        </w:rPr>
        <w:t xml:space="preserve"> and IRFA (or summaries thereof) will be published in the Federal Register.</w:t>
      </w:r>
      <w:r w:rsidRPr="003213F7">
        <w:rPr>
          <w:rStyle w:val="FootnoteReference"/>
          <w:sz w:val="22"/>
          <w:szCs w:val="22"/>
        </w:rPr>
        <w:footnoteReference w:id="58"/>
      </w:r>
    </w:p>
    <w:p w:rsidR="00A434EF" w:rsidRPr="003213F7" w:rsidRDefault="00A434EF" w:rsidP="0080643E">
      <w:pPr>
        <w:pStyle w:val="Heading2"/>
      </w:pPr>
      <w:r w:rsidRPr="003213F7">
        <w:t xml:space="preserve">Need for, and Objectives of, the Proposals   </w:t>
      </w:r>
      <w:r w:rsidRPr="003213F7">
        <w:rPr>
          <w:color w:val="000000"/>
        </w:rPr>
        <w:t xml:space="preserve"> </w:t>
      </w:r>
    </w:p>
    <w:p w:rsidR="00591350" w:rsidRPr="00CC2D83" w:rsidRDefault="007B7C40" w:rsidP="00CC2D83">
      <w:pPr>
        <w:pStyle w:val="ParaNum"/>
        <w:rPr>
          <w:szCs w:val="22"/>
        </w:rPr>
      </w:pPr>
      <w:r>
        <w:rPr>
          <w:szCs w:val="22"/>
        </w:rPr>
        <w:t>In the accompanying</w:t>
      </w:r>
      <w:r w:rsidR="00A434EF" w:rsidRPr="003213F7">
        <w:rPr>
          <w:szCs w:val="22"/>
        </w:rPr>
        <w:t xml:space="preserve"> </w:t>
      </w:r>
      <w:r w:rsidR="002D4375" w:rsidRPr="003213F7">
        <w:rPr>
          <w:i/>
          <w:szCs w:val="22"/>
        </w:rPr>
        <w:t>F</w:t>
      </w:r>
      <w:r>
        <w:rPr>
          <w:i/>
          <w:szCs w:val="22"/>
        </w:rPr>
        <w:t>ifth Further Notice</w:t>
      </w:r>
      <w:r>
        <w:rPr>
          <w:szCs w:val="22"/>
        </w:rPr>
        <w:t>, the Commission</w:t>
      </w:r>
      <w:r w:rsidR="00A434EF" w:rsidRPr="003213F7">
        <w:rPr>
          <w:szCs w:val="22"/>
        </w:rPr>
        <w:t xml:space="preserve"> </w:t>
      </w:r>
      <w:r w:rsidR="00FC5100" w:rsidRPr="003213F7">
        <w:rPr>
          <w:szCs w:val="22"/>
        </w:rPr>
        <w:t>seeks comment on</w:t>
      </w:r>
      <w:r w:rsidR="002A01E8">
        <w:rPr>
          <w:szCs w:val="22"/>
        </w:rPr>
        <w:t>, among other things,</w:t>
      </w:r>
      <w:r w:rsidR="00FC5100" w:rsidRPr="003213F7">
        <w:rPr>
          <w:szCs w:val="22"/>
        </w:rPr>
        <w:t xml:space="preserve"> whether </w:t>
      </w:r>
      <w:r w:rsidR="00A434EF" w:rsidRPr="003213F7">
        <w:rPr>
          <w:szCs w:val="22"/>
        </w:rPr>
        <w:t xml:space="preserve">to extend for </w:t>
      </w:r>
      <w:r w:rsidR="00FC5100" w:rsidRPr="003213F7">
        <w:rPr>
          <w:szCs w:val="22"/>
        </w:rPr>
        <w:t xml:space="preserve">an additional </w:t>
      </w:r>
      <w:r w:rsidR="00591350">
        <w:rPr>
          <w:szCs w:val="22"/>
        </w:rPr>
        <w:t xml:space="preserve">three years the </w:t>
      </w:r>
      <w:r w:rsidR="00A434EF" w:rsidRPr="003213F7">
        <w:rPr>
          <w:szCs w:val="22"/>
        </w:rPr>
        <w:t>exemption</w:t>
      </w:r>
      <w:r w:rsidR="00591350">
        <w:rPr>
          <w:szCs w:val="22"/>
        </w:rPr>
        <w:t xml:space="preserve"> from the requirement to carry high definition (“HD”) broadcast signals under the “material degradation” provisions of the Communications Act of 1934, as amended</w:t>
      </w:r>
      <w:r w:rsidR="00A434EF" w:rsidRPr="003213F7">
        <w:rPr>
          <w:szCs w:val="22"/>
        </w:rPr>
        <w:t xml:space="preserve">, </w:t>
      </w:r>
      <w:r>
        <w:rPr>
          <w:szCs w:val="22"/>
        </w:rPr>
        <w:t xml:space="preserve">that it granted to certain small cable systems in the 2012 </w:t>
      </w:r>
      <w:r>
        <w:rPr>
          <w:i/>
          <w:szCs w:val="22"/>
        </w:rPr>
        <w:t>Fifth Report and Order</w:t>
      </w:r>
      <w:r w:rsidR="00CC2D83">
        <w:rPr>
          <w:i/>
          <w:szCs w:val="22"/>
        </w:rPr>
        <w:t xml:space="preserve"> </w:t>
      </w:r>
      <w:r w:rsidR="00CC2D83">
        <w:rPr>
          <w:szCs w:val="22"/>
        </w:rPr>
        <w:t>(“HD carriage exemption”)</w:t>
      </w:r>
      <w:r>
        <w:rPr>
          <w:i/>
          <w:szCs w:val="22"/>
        </w:rPr>
        <w:t>.</w:t>
      </w:r>
      <w:r w:rsidRPr="007B7C40">
        <w:rPr>
          <w:rStyle w:val="FootnoteReference"/>
          <w:szCs w:val="22"/>
        </w:rPr>
        <w:footnoteReference w:id="59"/>
      </w:r>
      <w:r>
        <w:rPr>
          <w:i/>
          <w:szCs w:val="22"/>
        </w:rPr>
        <w:t xml:space="preserve">  </w:t>
      </w:r>
      <w:r w:rsidR="00096B30">
        <w:rPr>
          <w:szCs w:val="22"/>
        </w:rPr>
        <w:t xml:space="preserve">The </w:t>
      </w:r>
      <w:r>
        <w:rPr>
          <w:i/>
          <w:szCs w:val="22"/>
        </w:rPr>
        <w:t>Fifth Further Notice</w:t>
      </w:r>
      <w:r w:rsidR="00096B30">
        <w:rPr>
          <w:i/>
          <w:szCs w:val="22"/>
        </w:rPr>
        <w:t xml:space="preserve"> </w:t>
      </w:r>
      <w:r w:rsidR="00096B30">
        <w:rPr>
          <w:szCs w:val="22"/>
        </w:rPr>
        <w:t>s</w:t>
      </w:r>
      <w:r w:rsidR="00591350">
        <w:rPr>
          <w:szCs w:val="22"/>
        </w:rPr>
        <w:t xml:space="preserve">tems from </w:t>
      </w:r>
      <w:r w:rsidR="00096B30">
        <w:rPr>
          <w:szCs w:val="22"/>
        </w:rPr>
        <w:t xml:space="preserve">a </w:t>
      </w:r>
      <w:r w:rsidR="00096B30" w:rsidRPr="003213F7">
        <w:rPr>
          <w:szCs w:val="22"/>
        </w:rPr>
        <w:t>Petition for Rulemaking filed by the American Cable Association</w:t>
      </w:r>
      <w:r>
        <w:rPr>
          <w:szCs w:val="22"/>
        </w:rPr>
        <w:t xml:space="preserve"> </w:t>
      </w:r>
      <w:r w:rsidR="00591350">
        <w:rPr>
          <w:szCs w:val="22"/>
        </w:rPr>
        <w:t xml:space="preserve">principally </w:t>
      </w:r>
      <w:r w:rsidR="00096B30" w:rsidRPr="003213F7">
        <w:rPr>
          <w:szCs w:val="22"/>
        </w:rPr>
        <w:t xml:space="preserve">requesting that the Commission extend </w:t>
      </w:r>
      <w:r w:rsidR="00591350">
        <w:rPr>
          <w:szCs w:val="22"/>
        </w:rPr>
        <w:t>this exemption, which will</w:t>
      </w:r>
      <w:r w:rsidR="00096B30" w:rsidRPr="003213F7">
        <w:rPr>
          <w:szCs w:val="22"/>
        </w:rPr>
        <w:t xml:space="preserve"> expire on June 12, 2015 </w:t>
      </w:r>
      <w:r w:rsidR="00591350">
        <w:rPr>
          <w:szCs w:val="22"/>
        </w:rPr>
        <w:t>without</w:t>
      </w:r>
      <w:r w:rsidR="00096B30" w:rsidRPr="003213F7">
        <w:rPr>
          <w:szCs w:val="22"/>
        </w:rPr>
        <w:t xml:space="preserve"> action by the Commission.  </w:t>
      </w:r>
      <w:r w:rsidR="00CC2D83">
        <w:rPr>
          <w:szCs w:val="22"/>
        </w:rPr>
        <w:t>In t</w:t>
      </w:r>
      <w:r w:rsidR="00591350">
        <w:rPr>
          <w:szCs w:val="22"/>
        </w:rPr>
        <w:t xml:space="preserve">he </w:t>
      </w:r>
      <w:r w:rsidR="00591350">
        <w:rPr>
          <w:i/>
          <w:szCs w:val="22"/>
        </w:rPr>
        <w:t>F</w:t>
      </w:r>
      <w:r>
        <w:rPr>
          <w:i/>
          <w:szCs w:val="22"/>
        </w:rPr>
        <w:t>ifth Further Notice</w:t>
      </w:r>
      <w:r w:rsidR="00CC2D83">
        <w:rPr>
          <w:szCs w:val="22"/>
        </w:rPr>
        <w:t>, the Commission</w:t>
      </w:r>
      <w:r w:rsidR="00096B30" w:rsidRPr="003213F7">
        <w:rPr>
          <w:szCs w:val="22"/>
        </w:rPr>
        <w:t xml:space="preserve"> tentatively conclude</w:t>
      </w:r>
      <w:r w:rsidR="00591350">
        <w:rPr>
          <w:szCs w:val="22"/>
        </w:rPr>
        <w:t>s</w:t>
      </w:r>
      <w:r w:rsidR="00096B30" w:rsidRPr="003213F7">
        <w:rPr>
          <w:szCs w:val="22"/>
        </w:rPr>
        <w:t xml:space="preserve"> that the public interest would be served by extending the HD carriage exemption for three years, or until June 12, 2018.</w:t>
      </w:r>
      <w:r>
        <w:rPr>
          <w:szCs w:val="22"/>
        </w:rPr>
        <w:t xml:space="preserve">  </w:t>
      </w:r>
      <w:r w:rsidR="00CC2D83">
        <w:rPr>
          <w:szCs w:val="22"/>
        </w:rPr>
        <w:t>In particular, the Commission</w:t>
      </w:r>
      <w:r w:rsidRPr="003213F7">
        <w:rPr>
          <w:szCs w:val="22"/>
        </w:rPr>
        <w:t xml:space="preserve"> tentatively conclude</w:t>
      </w:r>
      <w:r>
        <w:rPr>
          <w:szCs w:val="22"/>
        </w:rPr>
        <w:t>s</w:t>
      </w:r>
      <w:r w:rsidRPr="003213F7">
        <w:rPr>
          <w:szCs w:val="22"/>
        </w:rPr>
        <w:t xml:space="preserve"> that the </w:t>
      </w:r>
      <w:r w:rsidR="00336072">
        <w:rPr>
          <w:szCs w:val="22"/>
        </w:rPr>
        <w:t xml:space="preserve">HD carriage </w:t>
      </w:r>
      <w:r w:rsidRPr="003213F7">
        <w:rPr>
          <w:szCs w:val="22"/>
        </w:rPr>
        <w:t>exemption is still necessary to protect the subscribers of small cable systems from the costs and service disruptions that may result from requiring those systems to deliver HD signals in HD beginning in June 2015.</w:t>
      </w:r>
      <w:r w:rsidR="00CC2D83">
        <w:rPr>
          <w:szCs w:val="22"/>
        </w:rPr>
        <w:t xml:space="preserve">  </w:t>
      </w:r>
      <w:r w:rsidR="00A434EF" w:rsidRPr="003213F7">
        <w:rPr>
          <w:szCs w:val="22"/>
        </w:rPr>
        <w:t xml:space="preserve">The exemption applies to operators of cable systems with 2,500 or fewer subscribers that are not affiliated with a cable operator serving more than 10% of all MVPD subscribers, and to those with an activated </w:t>
      </w:r>
      <w:r w:rsidR="00C22C51">
        <w:rPr>
          <w:szCs w:val="22"/>
        </w:rPr>
        <w:t xml:space="preserve">channel </w:t>
      </w:r>
      <w:r w:rsidR="00A434EF" w:rsidRPr="003213F7">
        <w:rPr>
          <w:szCs w:val="22"/>
        </w:rPr>
        <w:t>ca</w:t>
      </w:r>
      <w:r w:rsidR="00CC2D83">
        <w:rPr>
          <w:szCs w:val="22"/>
        </w:rPr>
        <w:t xml:space="preserve">pacity of 552 MHz or less. </w:t>
      </w:r>
    </w:p>
    <w:p w:rsidR="00A434EF" w:rsidRPr="003213F7" w:rsidRDefault="00A434EF" w:rsidP="0080643E">
      <w:pPr>
        <w:pStyle w:val="Heading2"/>
      </w:pPr>
      <w:r w:rsidRPr="003213F7">
        <w:t>Legal Basis</w:t>
      </w:r>
    </w:p>
    <w:p w:rsidR="00A434EF" w:rsidRPr="003213F7" w:rsidRDefault="00A434EF" w:rsidP="00647FA9">
      <w:pPr>
        <w:pStyle w:val="ParaNum"/>
        <w:rPr>
          <w:szCs w:val="22"/>
        </w:rPr>
      </w:pPr>
      <w:r w:rsidRPr="003213F7">
        <w:rPr>
          <w:szCs w:val="22"/>
        </w:rPr>
        <w:t>The authority for the action proposed in this rulemaking is contained in Sections 4, 303, 614, and 615 of the Communications Act of 1934, as amended, 47 U.S.C. §§ 154, 303, 534, and 535.</w:t>
      </w:r>
    </w:p>
    <w:p w:rsidR="00A434EF" w:rsidRPr="003213F7" w:rsidRDefault="00A434EF" w:rsidP="0080643E">
      <w:pPr>
        <w:pStyle w:val="Heading2"/>
      </w:pPr>
      <w:r w:rsidRPr="003213F7">
        <w:t>Description and Estimate of the Number of Small Entities to Which the Proposals Will Apply</w:t>
      </w:r>
      <w:r w:rsidRPr="003213F7">
        <w:tab/>
      </w:r>
    </w:p>
    <w:p w:rsidR="00A434EF" w:rsidRPr="003213F7" w:rsidRDefault="00A434EF" w:rsidP="00647FA9">
      <w:pPr>
        <w:pStyle w:val="ParaNum"/>
        <w:rPr>
          <w:szCs w:val="22"/>
        </w:rPr>
      </w:pPr>
      <w:r w:rsidRPr="003213F7">
        <w:rPr>
          <w:szCs w:val="22"/>
        </w:rPr>
        <w:t>The RFA directs the Commission to provide a description of and, where feasible, an estimate of the number of small entities that will b</w:t>
      </w:r>
      <w:r w:rsidR="009A4B56" w:rsidRPr="003213F7">
        <w:rPr>
          <w:szCs w:val="22"/>
        </w:rPr>
        <w:t>e affected by the proposed actions</w:t>
      </w:r>
      <w:r w:rsidRPr="003213F7">
        <w:rPr>
          <w:szCs w:val="22"/>
        </w:rPr>
        <w:t xml:space="preserve"> if adopted.</w:t>
      </w:r>
      <w:r w:rsidRPr="003213F7">
        <w:rPr>
          <w:rStyle w:val="FootnoteReference"/>
          <w:sz w:val="22"/>
          <w:szCs w:val="22"/>
        </w:rPr>
        <w:footnoteReference w:id="60"/>
      </w:r>
      <w:r w:rsidRPr="003213F7">
        <w:rPr>
          <w:szCs w:val="22"/>
        </w:rPr>
        <w:t xml:space="preserve">  The RFA generally defines the term “small entity” as having the same meaning as the terms “small business,” “small organization,” and “small governmental jurisdiction</w:t>
      </w:r>
      <w:r w:rsidR="009A4B56" w:rsidRPr="003213F7">
        <w:rPr>
          <w:szCs w:val="22"/>
        </w:rPr>
        <w:t>.</w:t>
      </w:r>
      <w:r w:rsidRPr="003213F7">
        <w:rPr>
          <w:szCs w:val="22"/>
        </w:rPr>
        <w:t>”</w:t>
      </w:r>
      <w:r w:rsidRPr="003213F7">
        <w:rPr>
          <w:rStyle w:val="FootnoteReference"/>
          <w:sz w:val="22"/>
          <w:szCs w:val="22"/>
        </w:rPr>
        <w:footnoteReference w:id="61"/>
      </w:r>
      <w:r w:rsidRPr="003213F7">
        <w:rPr>
          <w:szCs w:val="22"/>
        </w:rPr>
        <w:t xml:space="preserve">  In addition, the term “small business” has the same meaning as the term “small business concern” under the Small Business Act.</w:t>
      </w:r>
      <w:r w:rsidRPr="003213F7">
        <w:rPr>
          <w:rStyle w:val="FootnoteReference"/>
          <w:sz w:val="22"/>
          <w:szCs w:val="22"/>
        </w:rPr>
        <w:footnoteReference w:id="62"/>
      </w:r>
      <w:r w:rsidRPr="003213F7">
        <w:rPr>
          <w:szCs w:val="22"/>
        </w:rPr>
        <w:t xml:space="preserve">  A “small business concern” is one which:  (1) is independently owned and operated; (2) is not dominant in its field of operation; and (3) satisfies any additional criteria established by the Small Business Administration (SBA).</w:t>
      </w:r>
      <w:r w:rsidRPr="003213F7">
        <w:rPr>
          <w:rStyle w:val="FootnoteReference"/>
          <w:sz w:val="22"/>
          <w:szCs w:val="22"/>
        </w:rPr>
        <w:footnoteReference w:id="63"/>
      </w:r>
      <w:r w:rsidR="009A4B56" w:rsidRPr="003213F7">
        <w:rPr>
          <w:szCs w:val="22"/>
        </w:rPr>
        <w:t xml:space="preserve">  The action </w:t>
      </w:r>
      <w:r w:rsidRPr="003213F7">
        <w:rPr>
          <w:szCs w:val="22"/>
        </w:rPr>
        <w:t>proposed here</w:t>
      </w:r>
      <w:r w:rsidR="009A4B56" w:rsidRPr="003213F7">
        <w:rPr>
          <w:szCs w:val="22"/>
        </w:rPr>
        <w:t xml:space="preserve">in will affect </w:t>
      </w:r>
      <w:r w:rsidRPr="003213F7">
        <w:rPr>
          <w:szCs w:val="22"/>
        </w:rPr>
        <w:t xml:space="preserve">small cable </w:t>
      </w:r>
      <w:r w:rsidR="009A4B56" w:rsidRPr="003213F7">
        <w:rPr>
          <w:szCs w:val="22"/>
        </w:rPr>
        <w:t xml:space="preserve">system </w:t>
      </w:r>
      <w:r w:rsidRPr="003213F7">
        <w:rPr>
          <w:szCs w:val="22"/>
        </w:rPr>
        <w:t>operators</w:t>
      </w:r>
      <w:r w:rsidR="009A4B56" w:rsidRPr="003213F7">
        <w:rPr>
          <w:szCs w:val="22"/>
        </w:rPr>
        <w:t xml:space="preserve"> and small television broadcast stations</w:t>
      </w:r>
      <w:r w:rsidRPr="003213F7">
        <w:rPr>
          <w:szCs w:val="22"/>
        </w:rPr>
        <w:t>.  A description of these small entities, as well as an estimate of the number of such small entities, is provided below.</w:t>
      </w:r>
    </w:p>
    <w:p w:rsidR="00E62CC8" w:rsidRPr="003213F7" w:rsidRDefault="00E62CC8" w:rsidP="00647FA9">
      <w:pPr>
        <w:pStyle w:val="ParaNum"/>
        <w:rPr>
          <w:szCs w:val="22"/>
        </w:rPr>
      </w:pPr>
      <w:r w:rsidRPr="003213F7">
        <w:rPr>
          <w:i/>
          <w:szCs w:val="22"/>
        </w:rPr>
        <w:t>Cable Companies and Systems.</w:t>
      </w:r>
      <w:r w:rsidRPr="003213F7">
        <w:rPr>
          <w:szCs w:val="22"/>
        </w:rPr>
        <w:t xml:space="preserve">  The Commission has developed its own small business size standards for the purpose of cable rate regulation.  Under the Commission’s rules, a “small cable company” is one serving 400,000 or fewer subscribers nationwide.</w:t>
      </w:r>
      <w:r w:rsidRPr="003213F7">
        <w:rPr>
          <w:rStyle w:val="FootnoteReference"/>
          <w:sz w:val="22"/>
          <w:szCs w:val="22"/>
        </w:rPr>
        <w:footnoteReference w:id="64"/>
      </w:r>
      <w:r w:rsidRPr="003213F7">
        <w:rPr>
          <w:szCs w:val="22"/>
        </w:rPr>
        <w:t xml:space="preserve">  Industry data indicate that there are currently 660 cable operators.</w:t>
      </w:r>
      <w:r w:rsidRPr="003213F7">
        <w:rPr>
          <w:rStyle w:val="FootnoteReference"/>
          <w:sz w:val="22"/>
          <w:szCs w:val="22"/>
        </w:rPr>
        <w:footnoteReference w:id="65"/>
      </w:r>
      <w:r w:rsidRPr="003213F7">
        <w:rPr>
          <w:szCs w:val="22"/>
        </w:rPr>
        <w:t xml:space="preserve"> </w:t>
      </w:r>
      <w:r w:rsidRPr="003213F7">
        <w:rPr>
          <w:b/>
          <w:szCs w:val="22"/>
        </w:rPr>
        <w:t xml:space="preserve"> </w:t>
      </w:r>
      <w:r w:rsidRPr="003213F7">
        <w:rPr>
          <w:szCs w:val="22"/>
        </w:rPr>
        <w:t>Of this total, all but ten cable operators nationwide are small under this size standard.</w:t>
      </w:r>
      <w:r w:rsidRPr="003213F7">
        <w:rPr>
          <w:rStyle w:val="FootnoteReference"/>
          <w:sz w:val="22"/>
          <w:szCs w:val="22"/>
        </w:rPr>
        <w:footnoteReference w:id="66"/>
      </w:r>
      <w:r w:rsidRPr="003213F7">
        <w:rPr>
          <w:szCs w:val="22"/>
        </w:rPr>
        <w:t xml:space="preserve">  In addition, under the Commission’s rate regulation rules, a “small system” is a cable system serving 15,000 or fewer subscribers.</w:t>
      </w:r>
      <w:r w:rsidRPr="003213F7">
        <w:rPr>
          <w:rStyle w:val="FootnoteReference"/>
          <w:sz w:val="22"/>
          <w:szCs w:val="22"/>
        </w:rPr>
        <w:footnoteReference w:id="67"/>
      </w:r>
      <w:r w:rsidRPr="003213F7">
        <w:rPr>
          <w:szCs w:val="22"/>
        </w:rPr>
        <w:t xml:space="preserve">  Current Commission records show 4,629 cable systems nationwide.</w:t>
      </w:r>
      <w:r w:rsidRPr="003213F7">
        <w:rPr>
          <w:rStyle w:val="FootnoteReference"/>
          <w:sz w:val="22"/>
          <w:szCs w:val="22"/>
        </w:rPr>
        <w:footnoteReference w:id="68"/>
      </w:r>
      <w:r w:rsidRPr="003213F7">
        <w:rPr>
          <w:szCs w:val="22"/>
        </w:rPr>
        <w:t xml:space="preserve">  Of this total, 4,057 cable systems have less than 20,000 subscribers, and 572 systems have 20,000 or more subscribers, based on the same records.  Thus, under this standard, we estimate that most cable systems are small entities.    </w:t>
      </w:r>
    </w:p>
    <w:p w:rsidR="00A434EF" w:rsidRPr="003213F7" w:rsidRDefault="00E62CC8" w:rsidP="00647FA9">
      <w:pPr>
        <w:pStyle w:val="ParaNum"/>
        <w:rPr>
          <w:szCs w:val="22"/>
        </w:rPr>
      </w:pPr>
      <w:r w:rsidRPr="003213F7">
        <w:rPr>
          <w:i/>
          <w:szCs w:val="22"/>
        </w:rPr>
        <w:t>Cable System Operators (Telecom Act Standard)</w:t>
      </w:r>
      <w:r w:rsidRPr="003213F7">
        <w:rPr>
          <w:szCs w:val="22"/>
        </w:rPr>
        <w:t>.</w:t>
      </w:r>
      <w:r w:rsidRPr="003213F7">
        <w:rPr>
          <w:b/>
          <w:szCs w:val="22"/>
        </w:rPr>
        <w:t xml:space="preserve">  </w:t>
      </w:r>
      <w:r w:rsidRPr="003213F7">
        <w:rPr>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3213F7">
        <w:rPr>
          <w:rStyle w:val="FootnoteReference"/>
          <w:sz w:val="22"/>
          <w:szCs w:val="22"/>
        </w:rPr>
        <w:footnoteReference w:id="69"/>
      </w:r>
      <w:r w:rsidRPr="003213F7">
        <w:rPr>
          <w:szCs w:val="22"/>
        </w:rPr>
        <w:t xml:space="preserve">  There are approximately 54 million cable video subscribers in the United States today.</w:t>
      </w:r>
      <w:r w:rsidRPr="003213F7">
        <w:rPr>
          <w:rStyle w:val="FootnoteReference"/>
          <w:sz w:val="22"/>
          <w:szCs w:val="22"/>
        </w:rPr>
        <w:footnoteReference w:id="70"/>
      </w:r>
      <w:r w:rsidRPr="003213F7">
        <w:rPr>
          <w:szCs w:val="22"/>
        </w:rPr>
        <w:t xml:space="preserve">  Accordingly, an operator serving fewer than 540,000 subscribers shall be deemed a small operator if its annual revenues, when combined with the total annual revenues of all its affiliates, do not exceed $250 million in the aggregate.</w:t>
      </w:r>
      <w:r w:rsidRPr="003213F7">
        <w:rPr>
          <w:rStyle w:val="FootnoteReference"/>
          <w:sz w:val="22"/>
          <w:szCs w:val="22"/>
        </w:rPr>
        <w:footnoteReference w:id="71"/>
      </w:r>
      <w:r w:rsidRPr="003213F7">
        <w:rPr>
          <w:szCs w:val="22"/>
        </w:rPr>
        <w:t xml:space="preserve">  Based on available data, we find that all but ten incumbent cable operators are small entities under this size standard.</w:t>
      </w:r>
      <w:r w:rsidRPr="003213F7">
        <w:rPr>
          <w:rStyle w:val="FootnoteReference"/>
          <w:sz w:val="22"/>
          <w:szCs w:val="22"/>
        </w:rPr>
        <w:footnoteReference w:id="72"/>
      </w:r>
      <w:r w:rsidRPr="003213F7">
        <w:rPr>
          <w:szCs w:val="22"/>
        </w:rPr>
        <w:t xml:space="preserve">  We note that the Commission neither requests nor collects information on whether cable system operators are affiliated with entities whose gross annual revenues exceed $250 million.</w:t>
      </w:r>
      <w:r w:rsidRPr="003213F7">
        <w:rPr>
          <w:rStyle w:val="FootnoteReference"/>
          <w:sz w:val="22"/>
          <w:szCs w:val="22"/>
        </w:rPr>
        <w:footnoteReference w:id="73"/>
      </w:r>
      <w:r w:rsidRPr="003213F7">
        <w:rPr>
          <w:szCs w:val="22"/>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r w:rsidR="00A434EF" w:rsidRPr="003213F7">
        <w:rPr>
          <w:szCs w:val="22"/>
        </w:rPr>
        <w:t xml:space="preserve">  </w:t>
      </w:r>
    </w:p>
    <w:p w:rsidR="00076563" w:rsidRPr="003213F7" w:rsidRDefault="009A4B56" w:rsidP="00647FA9">
      <w:pPr>
        <w:pStyle w:val="ParaNum"/>
        <w:rPr>
          <w:szCs w:val="22"/>
        </w:rPr>
      </w:pPr>
      <w:r w:rsidRPr="003213F7">
        <w:rPr>
          <w:i/>
          <w:iCs/>
          <w:szCs w:val="22"/>
        </w:rPr>
        <w:t>Open Video Systems.</w:t>
      </w:r>
      <w:r w:rsidRPr="003213F7">
        <w:rPr>
          <w:szCs w:val="22"/>
        </w:rPr>
        <w:t>  The open video system (OVS) framework was established in 1996, and is one of four statutorily recognized options for the provision of video programming services by local exchange carriers.</w:t>
      </w:r>
      <w:r w:rsidRPr="003213F7">
        <w:rPr>
          <w:rStyle w:val="FootnoteReference"/>
          <w:sz w:val="22"/>
          <w:szCs w:val="22"/>
        </w:rPr>
        <w:footnoteReference w:id="74"/>
      </w:r>
      <w:r w:rsidRPr="003213F7">
        <w:rPr>
          <w:szCs w:val="22"/>
        </w:rPr>
        <w:t>  The OVS framework provides opportunities for the distribution of video programming other than through cable systems.  Because OVS operators provide subscription services,</w:t>
      </w:r>
      <w:r w:rsidRPr="003213F7">
        <w:rPr>
          <w:rStyle w:val="FootnoteReference"/>
          <w:sz w:val="22"/>
          <w:szCs w:val="22"/>
        </w:rPr>
        <w:footnoteReference w:id="75"/>
      </w:r>
      <w:r w:rsidRPr="003213F7">
        <w:rPr>
          <w:szCs w:val="22"/>
        </w:rPr>
        <w:t xml:space="preserve"> OVS falls within the SBA small business size standard covering cable services, which is “Wired Telecommunications Carriers.”</w:t>
      </w:r>
      <w:r w:rsidRPr="003213F7">
        <w:rPr>
          <w:rStyle w:val="FootnoteReference"/>
          <w:sz w:val="22"/>
          <w:szCs w:val="22"/>
        </w:rPr>
        <w:footnoteReference w:id="76"/>
      </w:r>
      <w:r w:rsidRPr="003213F7">
        <w:rPr>
          <w:szCs w:val="22"/>
        </w:rPr>
        <w:t>  The SBA has developed a small business size standard for this category, which is:  all such businesses having 1,500 or fewer employees.</w:t>
      </w:r>
      <w:r w:rsidRPr="003213F7">
        <w:rPr>
          <w:rStyle w:val="FootnoteReference"/>
          <w:sz w:val="22"/>
          <w:szCs w:val="22"/>
        </w:rPr>
        <w:footnoteReference w:id="77"/>
      </w:r>
      <w:r w:rsidRPr="003213F7">
        <w:rPr>
          <w:szCs w:val="22"/>
        </w:rPr>
        <w:t>  Census data for 2007 shows that there were 3,188 firms that operated for that entire year.</w:t>
      </w:r>
      <w:r w:rsidRPr="003213F7">
        <w:rPr>
          <w:rStyle w:val="FootnoteReference"/>
          <w:sz w:val="22"/>
          <w:szCs w:val="22"/>
        </w:rPr>
        <w:footnoteReference w:id="78"/>
      </w:r>
      <w:r w:rsidRPr="003213F7">
        <w:rPr>
          <w:szCs w:val="22"/>
        </w:rPr>
        <w:t xml:space="preserve">  Of this total, 2,940 firms had fewer than 100 employees, and 248 firms had 100 or more employees.</w:t>
      </w:r>
      <w:r w:rsidRPr="003213F7">
        <w:rPr>
          <w:rStyle w:val="FootnoteReference"/>
          <w:sz w:val="22"/>
          <w:szCs w:val="22"/>
        </w:rPr>
        <w:footnoteReference w:id="79"/>
      </w:r>
      <w:r w:rsidRPr="003213F7">
        <w:rPr>
          <w:szCs w:val="22"/>
        </w:rPr>
        <w:t xml:space="preserve"> </w:t>
      </w:r>
      <w:r w:rsidR="005F03C8" w:rsidRPr="003213F7">
        <w:rPr>
          <w:szCs w:val="22"/>
        </w:rPr>
        <w:t xml:space="preserve"> </w:t>
      </w:r>
      <w:r w:rsidRPr="003213F7">
        <w:rPr>
          <w:szCs w:val="22"/>
        </w:rPr>
        <w:t>Therefore, under this size standard, we estimate that the majority of these businesses can be considered small entities.</w:t>
      </w:r>
    </w:p>
    <w:p w:rsidR="00076563" w:rsidRPr="003213F7" w:rsidRDefault="00076563" w:rsidP="00647FA9">
      <w:pPr>
        <w:pStyle w:val="ParaNum"/>
        <w:rPr>
          <w:szCs w:val="22"/>
        </w:rPr>
      </w:pPr>
      <w:r w:rsidRPr="003213F7">
        <w:rPr>
          <w:i/>
          <w:szCs w:val="22"/>
        </w:rPr>
        <w:t>Television Broadcasting</w:t>
      </w:r>
      <w:r w:rsidRPr="003213F7">
        <w:rPr>
          <w:szCs w:val="22"/>
        </w:rPr>
        <w:t>.  This economic Census category “comprises establishments primarily engaged in broadcasting images together with sound.”</w:t>
      </w:r>
      <w:r w:rsidRPr="003213F7">
        <w:rPr>
          <w:szCs w:val="22"/>
          <w:vertAlign w:val="superscript"/>
        </w:rPr>
        <w:footnoteReference w:id="80"/>
      </w:r>
      <w:r w:rsidRPr="003213F7">
        <w:rPr>
          <w:szCs w:val="22"/>
        </w:rPr>
        <w:t xml:space="preserve">  The SBA has created the following small business size standard for such businesses:  those having $38.5 million or less in annual receipts.</w:t>
      </w:r>
      <w:r w:rsidRPr="003213F7">
        <w:rPr>
          <w:szCs w:val="22"/>
          <w:vertAlign w:val="superscript"/>
        </w:rPr>
        <w:footnoteReference w:id="81"/>
      </w:r>
      <w:r w:rsidRPr="003213F7">
        <w:rPr>
          <w:szCs w:val="22"/>
        </w:rPr>
        <w:t xml:space="preserve">    The 2007 U.S. Census indicates that 808 firms in this category operated in that year.  Of that number, 709 had annual receipts of $25,000,000 or less, and 99 had annual receipts of more than $25,000,000.</w:t>
      </w:r>
      <w:r w:rsidRPr="003213F7">
        <w:rPr>
          <w:rStyle w:val="FootnoteReference"/>
          <w:sz w:val="22"/>
          <w:szCs w:val="22"/>
        </w:rPr>
        <w:footnoteReference w:id="82"/>
      </w:r>
      <w:r w:rsidRPr="003213F7">
        <w:rPr>
          <w:szCs w:val="22"/>
        </w:rPr>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rsidR="00076563" w:rsidRPr="003213F7" w:rsidRDefault="00076563" w:rsidP="00647FA9">
      <w:pPr>
        <w:pStyle w:val="ParaNum"/>
        <w:rPr>
          <w:szCs w:val="22"/>
        </w:rPr>
      </w:pPr>
      <w:r w:rsidRPr="003213F7">
        <w:rPr>
          <w:szCs w:val="22"/>
        </w:rPr>
        <w:t>Apart from the U.S. Census, the Commission has estimated the number of licensed commercial television stations to be 1,387 stations.</w:t>
      </w:r>
      <w:r w:rsidRPr="003213F7">
        <w:rPr>
          <w:szCs w:val="22"/>
          <w:vertAlign w:val="superscript"/>
        </w:rPr>
        <w:footnoteReference w:id="83"/>
      </w:r>
      <w:r w:rsidRPr="003213F7">
        <w:rPr>
          <w:szCs w:val="22"/>
        </w:rPr>
        <w:t xml:space="preserve">  Of this total, 1,221 stations (or about 88 percent) had revenues of $38.5 million or less, according to Commission staff review of the BIA Kelsey Inc. Media Access Pro Television Database (BIA) on July 2, 2014.  In addition, the Commission has estimated the number of licensed noncommercial educational (NCE) television stations to be 395.</w:t>
      </w:r>
      <w:r w:rsidRPr="003213F7">
        <w:rPr>
          <w:szCs w:val="22"/>
          <w:vertAlign w:val="superscript"/>
        </w:rPr>
        <w:footnoteReference w:id="84"/>
      </w:r>
      <w:r w:rsidRPr="003213F7">
        <w:rPr>
          <w:szCs w:val="22"/>
        </w:rPr>
        <w:t xml:space="preserve">  NCE stations are non-profit, and therefore considered to be small entities.</w:t>
      </w:r>
      <w:r w:rsidRPr="003213F7">
        <w:rPr>
          <w:szCs w:val="22"/>
          <w:vertAlign w:val="superscript"/>
        </w:rPr>
        <w:footnoteReference w:id="85"/>
      </w:r>
      <w:r w:rsidRPr="003213F7">
        <w:rPr>
          <w:szCs w:val="22"/>
        </w:rPr>
        <w:t xml:space="preserve">  Based on these data, we estimate that the majority of television broadcast stations are small entities.  </w:t>
      </w:r>
    </w:p>
    <w:p w:rsidR="00076563" w:rsidRPr="003213F7" w:rsidRDefault="00076563" w:rsidP="00647FA9">
      <w:pPr>
        <w:pStyle w:val="ParaNum"/>
        <w:rPr>
          <w:szCs w:val="22"/>
        </w:rPr>
      </w:pPr>
      <w:r w:rsidRPr="003213F7">
        <w:rPr>
          <w:szCs w:val="22"/>
        </w:rPr>
        <w:t>We note, however, that in assessing whether a business concern qualifies as “small” under the above definition, business (control) affiliations</w:t>
      </w:r>
      <w:r w:rsidRPr="003213F7">
        <w:rPr>
          <w:szCs w:val="22"/>
          <w:vertAlign w:val="superscript"/>
        </w:rPr>
        <w:footnoteReference w:id="86"/>
      </w:r>
      <w:r w:rsidRPr="003213F7">
        <w:rPr>
          <w:szCs w:val="22"/>
        </w:rPr>
        <w:t xml:space="preserve"> must be included.  Because we do not include or aggregate revenues from affiliated companies in determining whether an entity meets the revenue threshold noted above, our estimate of the number of small entities affected is likely overstated.  In addition, we note that one element of the definition of “small business” is that an entity not be dominant in its field of operation.  We are unable at this time to define or quantify the criteria that would establish whether a specific television broadcast station is dominant in its field of operation.  Accordingly, our estimate of small television stations potentially affected by the proposed rules includes those that could be dominant in their field of operation.  For this reason, such estimate likely is over-inclusive.</w:t>
      </w:r>
    </w:p>
    <w:p w:rsidR="00A434EF" w:rsidRPr="003213F7" w:rsidRDefault="00A434EF" w:rsidP="0080643E">
      <w:pPr>
        <w:pStyle w:val="Heading2"/>
      </w:pPr>
      <w:r w:rsidRPr="003213F7">
        <w:t>Description of Projected Reporting, Record Keeping, and other Compliance Requirements for Small Entities</w:t>
      </w:r>
    </w:p>
    <w:p w:rsidR="00A434EF" w:rsidRPr="003213F7" w:rsidRDefault="00A434EF" w:rsidP="00647FA9">
      <w:pPr>
        <w:pStyle w:val="ParaNum"/>
        <w:rPr>
          <w:szCs w:val="22"/>
        </w:rPr>
      </w:pPr>
      <w:r w:rsidRPr="003213F7">
        <w:rPr>
          <w:szCs w:val="22"/>
        </w:rPr>
        <w:t>The</w:t>
      </w:r>
      <w:r w:rsidR="00D1465F">
        <w:rPr>
          <w:szCs w:val="22"/>
        </w:rPr>
        <w:t xml:space="preserve"> accompanying</w:t>
      </w:r>
      <w:r w:rsidRPr="003213F7">
        <w:rPr>
          <w:szCs w:val="22"/>
        </w:rPr>
        <w:t xml:space="preserve"> </w:t>
      </w:r>
      <w:r w:rsidR="00CC2D83">
        <w:rPr>
          <w:i/>
          <w:szCs w:val="22"/>
        </w:rPr>
        <w:t>Fifth Further Notice</w:t>
      </w:r>
      <w:r w:rsidR="00D32155" w:rsidRPr="003213F7">
        <w:rPr>
          <w:i/>
          <w:szCs w:val="22"/>
        </w:rPr>
        <w:t xml:space="preserve"> </w:t>
      </w:r>
      <w:r w:rsidRPr="003213F7">
        <w:rPr>
          <w:szCs w:val="22"/>
        </w:rPr>
        <w:t>seeks comment on</w:t>
      </w:r>
      <w:r w:rsidR="00C22C51">
        <w:rPr>
          <w:szCs w:val="22"/>
        </w:rPr>
        <w:t>, among other things,</w:t>
      </w:r>
      <w:r w:rsidRPr="003213F7">
        <w:rPr>
          <w:szCs w:val="22"/>
        </w:rPr>
        <w:t xml:space="preserve"> </w:t>
      </w:r>
      <w:r w:rsidR="00FC5100" w:rsidRPr="003213F7">
        <w:rPr>
          <w:szCs w:val="22"/>
        </w:rPr>
        <w:t xml:space="preserve">whether to </w:t>
      </w:r>
      <w:r w:rsidRPr="003213F7">
        <w:rPr>
          <w:szCs w:val="22"/>
        </w:rPr>
        <w:t xml:space="preserve">extend </w:t>
      </w:r>
      <w:r w:rsidR="00FC5100" w:rsidRPr="003213F7">
        <w:rPr>
          <w:szCs w:val="22"/>
        </w:rPr>
        <w:t xml:space="preserve">for an additional three years </w:t>
      </w:r>
      <w:r w:rsidRPr="003213F7">
        <w:rPr>
          <w:szCs w:val="22"/>
        </w:rPr>
        <w:t xml:space="preserve">the HD carriage exemption, which would affect small </w:t>
      </w:r>
      <w:r w:rsidR="009A4B56" w:rsidRPr="003213F7">
        <w:rPr>
          <w:szCs w:val="22"/>
        </w:rPr>
        <w:t xml:space="preserve">cable </w:t>
      </w:r>
      <w:r w:rsidR="00FC5100" w:rsidRPr="003213F7">
        <w:rPr>
          <w:szCs w:val="22"/>
        </w:rPr>
        <w:t xml:space="preserve">system </w:t>
      </w:r>
      <w:r w:rsidR="009A4B56" w:rsidRPr="003213F7">
        <w:rPr>
          <w:szCs w:val="22"/>
        </w:rPr>
        <w:t xml:space="preserve">operators and </w:t>
      </w:r>
      <w:r w:rsidRPr="003213F7">
        <w:rPr>
          <w:szCs w:val="22"/>
        </w:rPr>
        <w:t>t</w:t>
      </w:r>
      <w:r w:rsidR="009A4B56" w:rsidRPr="003213F7">
        <w:rPr>
          <w:szCs w:val="22"/>
        </w:rPr>
        <w:t>elevision broadcast stations</w:t>
      </w:r>
      <w:r w:rsidRPr="003213F7">
        <w:rPr>
          <w:szCs w:val="22"/>
        </w:rPr>
        <w:t xml:space="preserve">.  </w:t>
      </w:r>
      <w:r w:rsidR="00FC5100" w:rsidRPr="003213F7">
        <w:rPr>
          <w:szCs w:val="22"/>
        </w:rPr>
        <w:t xml:space="preserve">The exemption </w:t>
      </w:r>
      <w:r w:rsidRPr="003213F7">
        <w:rPr>
          <w:szCs w:val="22"/>
        </w:rPr>
        <w:t>benefi</w:t>
      </w:r>
      <w:r w:rsidR="00FC5100" w:rsidRPr="003213F7">
        <w:rPr>
          <w:szCs w:val="22"/>
        </w:rPr>
        <w:t>ts</w:t>
      </w:r>
      <w:r w:rsidRPr="003213F7">
        <w:rPr>
          <w:szCs w:val="22"/>
        </w:rPr>
        <w:t xml:space="preserve"> small cable </w:t>
      </w:r>
      <w:r w:rsidR="00FC5100" w:rsidRPr="003213F7">
        <w:rPr>
          <w:szCs w:val="22"/>
        </w:rPr>
        <w:t xml:space="preserve">system </w:t>
      </w:r>
      <w:r w:rsidRPr="003213F7">
        <w:rPr>
          <w:szCs w:val="22"/>
        </w:rPr>
        <w:t>operator</w:t>
      </w:r>
      <w:r w:rsidR="00FC5100" w:rsidRPr="003213F7">
        <w:rPr>
          <w:szCs w:val="22"/>
        </w:rPr>
        <w:t>s</w:t>
      </w:r>
      <w:r w:rsidRPr="003213F7">
        <w:rPr>
          <w:szCs w:val="22"/>
        </w:rPr>
        <w:t xml:space="preserve"> by providing them with </w:t>
      </w:r>
      <w:r w:rsidR="00D1465F">
        <w:rPr>
          <w:szCs w:val="22"/>
        </w:rPr>
        <w:t xml:space="preserve">continued </w:t>
      </w:r>
      <w:r w:rsidRPr="003213F7">
        <w:rPr>
          <w:szCs w:val="22"/>
        </w:rPr>
        <w:t xml:space="preserve">flexibility, and imposes no </w:t>
      </w:r>
      <w:r w:rsidR="00D1465F">
        <w:rPr>
          <w:szCs w:val="22"/>
        </w:rPr>
        <w:t xml:space="preserve">new regulatory </w:t>
      </w:r>
      <w:r w:rsidRPr="003213F7">
        <w:rPr>
          <w:szCs w:val="22"/>
        </w:rPr>
        <w:t>compliance burden</w:t>
      </w:r>
      <w:r w:rsidR="00D1465F">
        <w:rPr>
          <w:szCs w:val="22"/>
        </w:rPr>
        <w:t>s</w:t>
      </w:r>
      <w:r w:rsidRPr="003213F7">
        <w:rPr>
          <w:szCs w:val="22"/>
        </w:rPr>
        <w:t xml:space="preserve"> on small television broadcast stations who need take no action as a result of </w:t>
      </w:r>
      <w:r w:rsidR="00D1465F">
        <w:rPr>
          <w:szCs w:val="22"/>
        </w:rPr>
        <w:t>the proposed</w:t>
      </w:r>
      <w:r w:rsidRPr="003213F7">
        <w:rPr>
          <w:szCs w:val="22"/>
        </w:rPr>
        <w:t xml:space="preserve"> extension.</w:t>
      </w:r>
    </w:p>
    <w:p w:rsidR="00A434EF" w:rsidRPr="003213F7" w:rsidRDefault="00A434EF" w:rsidP="0080643E">
      <w:pPr>
        <w:pStyle w:val="Heading2"/>
      </w:pPr>
      <w:r w:rsidRPr="003213F7">
        <w:t>Steps Taken to Minimize Significant Economic Impact on Small Entities, and Significant Alternatives Considered</w:t>
      </w:r>
    </w:p>
    <w:p w:rsidR="00A434EF" w:rsidRPr="003213F7" w:rsidRDefault="00A434EF" w:rsidP="00647FA9">
      <w:pPr>
        <w:pStyle w:val="ParaNum"/>
        <w:rPr>
          <w:szCs w:val="22"/>
        </w:rPr>
      </w:pPr>
      <w:r w:rsidRPr="003213F7">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3213F7">
        <w:rPr>
          <w:rStyle w:val="FootnoteReference"/>
          <w:sz w:val="22"/>
          <w:szCs w:val="22"/>
        </w:rPr>
        <w:footnoteReference w:id="87"/>
      </w:r>
      <w:r w:rsidRPr="003213F7">
        <w:rPr>
          <w:szCs w:val="22"/>
        </w:rPr>
        <w:t xml:space="preserve">  We seek comment on the applicability of any of these alternatives to affected small entities.</w:t>
      </w:r>
    </w:p>
    <w:p w:rsidR="00A434EF" w:rsidRPr="003213F7" w:rsidRDefault="00D32155" w:rsidP="00647FA9">
      <w:pPr>
        <w:pStyle w:val="ParaNum"/>
        <w:rPr>
          <w:szCs w:val="22"/>
        </w:rPr>
      </w:pPr>
      <w:r w:rsidRPr="003213F7">
        <w:rPr>
          <w:szCs w:val="22"/>
        </w:rPr>
        <w:t>Extending</w:t>
      </w:r>
      <w:r w:rsidR="00D1465F">
        <w:rPr>
          <w:szCs w:val="22"/>
        </w:rPr>
        <w:t xml:space="preserve"> the HD carriage exemption</w:t>
      </w:r>
      <w:r w:rsidR="00FC5100" w:rsidRPr="003213F7">
        <w:rPr>
          <w:szCs w:val="22"/>
        </w:rPr>
        <w:t xml:space="preserve"> likely </w:t>
      </w:r>
      <w:r w:rsidRPr="003213F7">
        <w:rPr>
          <w:szCs w:val="22"/>
        </w:rPr>
        <w:t>would not have an adverse economic impact on</w:t>
      </w:r>
      <w:r w:rsidR="00FC5100" w:rsidRPr="003213F7">
        <w:rPr>
          <w:szCs w:val="22"/>
        </w:rPr>
        <w:t xml:space="preserve"> any small entities, and </w:t>
      </w:r>
      <w:r w:rsidRPr="003213F7">
        <w:rPr>
          <w:szCs w:val="22"/>
        </w:rPr>
        <w:t xml:space="preserve">would have a positive economic impact on </w:t>
      </w:r>
      <w:r w:rsidR="00A434EF" w:rsidRPr="003213F7">
        <w:rPr>
          <w:szCs w:val="22"/>
        </w:rPr>
        <w:t xml:space="preserve">small </w:t>
      </w:r>
      <w:r w:rsidRPr="003213F7">
        <w:rPr>
          <w:szCs w:val="22"/>
        </w:rPr>
        <w:t xml:space="preserve">cable </w:t>
      </w:r>
      <w:r w:rsidR="00FC5100" w:rsidRPr="003213F7">
        <w:rPr>
          <w:szCs w:val="22"/>
        </w:rPr>
        <w:t xml:space="preserve">system </w:t>
      </w:r>
      <w:r w:rsidRPr="003213F7">
        <w:rPr>
          <w:szCs w:val="22"/>
        </w:rPr>
        <w:t xml:space="preserve">operators </w:t>
      </w:r>
      <w:r w:rsidR="00A434EF" w:rsidRPr="003213F7">
        <w:rPr>
          <w:szCs w:val="22"/>
        </w:rPr>
        <w:t xml:space="preserve">that choose to take advantage of the exemption.  </w:t>
      </w:r>
      <w:r w:rsidRPr="003213F7">
        <w:rPr>
          <w:szCs w:val="22"/>
        </w:rPr>
        <w:t xml:space="preserve">In addition, </w:t>
      </w:r>
      <w:r w:rsidR="00FC5100" w:rsidRPr="003213F7">
        <w:rPr>
          <w:szCs w:val="22"/>
        </w:rPr>
        <w:t xml:space="preserve">extending </w:t>
      </w:r>
      <w:r w:rsidRPr="003213F7">
        <w:rPr>
          <w:szCs w:val="22"/>
        </w:rPr>
        <w:t>t</w:t>
      </w:r>
      <w:r w:rsidR="00A434EF" w:rsidRPr="003213F7">
        <w:rPr>
          <w:szCs w:val="22"/>
        </w:rPr>
        <w:t xml:space="preserve">he exemption </w:t>
      </w:r>
      <w:r w:rsidR="00FC5100" w:rsidRPr="003213F7">
        <w:rPr>
          <w:szCs w:val="22"/>
        </w:rPr>
        <w:t xml:space="preserve">would </w:t>
      </w:r>
      <w:r w:rsidR="00A434EF" w:rsidRPr="003213F7">
        <w:rPr>
          <w:szCs w:val="22"/>
        </w:rPr>
        <w:t>not impose any significant burdens on small television stations.  We invite small entities to submit comment on the impact of exten</w:t>
      </w:r>
      <w:r w:rsidRPr="003213F7">
        <w:rPr>
          <w:szCs w:val="22"/>
        </w:rPr>
        <w:t xml:space="preserve">ding </w:t>
      </w:r>
      <w:r w:rsidR="00A434EF" w:rsidRPr="003213F7">
        <w:rPr>
          <w:szCs w:val="22"/>
        </w:rPr>
        <w:t xml:space="preserve">the HD carriage exemption, and on </w:t>
      </w:r>
      <w:r w:rsidRPr="003213F7">
        <w:rPr>
          <w:szCs w:val="22"/>
        </w:rPr>
        <w:t>how the Commission could</w:t>
      </w:r>
      <w:r w:rsidR="00A434EF" w:rsidRPr="003213F7">
        <w:rPr>
          <w:szCs w:val="22"/>
        </w:rPr>
        <w:t xml:space="preserve"> minimize </w:t>
      </w:r>
      <w:r w:rsidRPr="003213F7">
        <w:rPr>
          <w:szCs w:val="22"/>
        </w:rPr>
        <w:t xml:space="preserve">any </w:t>
      </w:r>
      <w:r w:rsidR="00A434EF" w:rsidRPr="003213F7">
        <w:rPr>
          <w:szCs w:val="22"/>
        </w:rPr>
        <w:t>potential burdens on small entities.</w:t>
      </w:r>
    </w:p>
    <w:p w:rsidR="00A434EF" w:rsidRPr="003213F7" w:rsidRDefault="00A434EF" w:rsidP="0080643E">
      <w:pPr>
        <w:pStyle w:val="Heading2"/>
      </w:pPr>
      <w:r w:rsidRPr="003213F7">
        <w:t>Federal Rules that May Duplicate, Overlap, or Conflict with the Proposed Rules</w:t>
      </w:r>
    </w:p>
    <w:p w:rsidR="00A434EF" w:rsidRPr="003213F7" w:rsidRDefault="00A434EF" w:rsidP="00647FA9">
      <w:pPr>
        <w:pStyle w:val="ParaNum"/>
        <w:rPr>
          <w:szCs w:val="22"/>
        </w:rPr>
      </w:pPr>
      <w:r w:rsidRPr="003213F7">
        <w:rPr>
          <w:szCs w:val="22"/>
        </w:rPr>
        <w:t>None.</w:t>
      </w:r>
    </w:p>
    <w:sectPr w:rsidR="00A434EF" w:rsidRPr="003213F7" w:rsidSect="002B2DC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E2" w:rsidRDefault="009D5AE2">
      <w:pPr>
        <w:spacing w:line="20" w:lineRule="exact"/>
      </w:pPr>
    </w:p>
  </w:endnote>
  <w:endnote w:type="continuationSeparator" w:id="0">
    <w:p w:rsidR="009D5AE2" w:rsidRDefault="009D5AE2">
      <w:r>
        <w:t xml:space="preserve"> </w:t>
      </w:r>
    </w:p>
  </w:endnote>
  <w:endnote w:type="continuationNotice" w:id="1">
    <w:p w:rsidR="009D5AE2" w:rsidRDefault="009D5A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CB" w:rsidRDefault="00AA6ACB">
    <w:pPr>
      <w:pStyle w:val="Footer"/>
      <w:framePr w:wrap="around" w:vAnchor="text" w:hAnchor="margin" w:xAlign="center" w:y="1"/>
    </w:pPr>
    <w:r>
      <w:fldChar w:fldCharType="begin"/>
    </w:r>
    <w:r>
      <w:instrText xml:space="preserve">PAGE  </w:instrText>
    </w:r>
    <w:r>
      <w:fldChar w:fldCharType="end"/>
    </w:r>
  </w:p>
  <w:p w:rsidR="00AA6ACB" w:rsidRDefault="00AA6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CB" w:rsidRDefault="00AA6ACB">
    <w:pPr>
      <w:pStyle w:val="Footer"/>
      <w:framePr w:wrap="around" w:vAnchor="text" w:hAnchor="margin" w:xAlign="center" w:y="1"/>
    </w:pPr>
    <w:r>
      <w:fldChar w:fldCharType="begin"/>
    </w:r>
    <w:r>
      <w:instrText xml:space="preserve">PAGE  </w:instrText>
    </w:r>
    <w:r>
      <w:fldChar w:fldCharType="separate"/>
    </w:r>
    <w:r w:rsidR="00A771C7">
      <w:rPr>
        <w:noProof/>
      </w:rPr>
      <w:t>2</w:t>
    </w:r>
    <w:r>
      <w:fldChar w:fldCharType="end"/>
    </w:r>
  </w:p>
  <w:p w:rsidR="00AA6ACB" w:rsidRDefault="00AA6ACB">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F8" w:rsidRDefault="00F72DF8">
    <w:pPr>
      <w:pStyle w:val="Footer"/>
    </w:pPr>
  </w:p>
  <w:p w:rsidR="00AA6ACB" w:rsidRDefault="00AA6ACB">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E2" w:rsidRDefault="009D5AE2">
      <w:r>
        <w:separator/>
      </w:r>
    </w:p>
  </w:footnote>
  <w:footnote w:type="continuationSeparator" w:id="0">
    <w:p w:rsidR="009D5AE2" w:rsidRDefault="009D5AE2">
      <w:pPr>
        <w:rPr>
          <w:sz w:val="20"/>
        </w:rPr>
      </w:pPr>
      <w:r>
        <w:rPr>
          <w:sz w:val="20"/>
        </w:rPr>
        <w:t xml:space="preserve">(Continued from previous page)  </w:t>
      </w:r>
      <w:r>
        <w:rPr>
          <w:sz w:val="20"/>
        </w:rPr>
        <w:separator/>
      </w:r>
    </w:p>
  </w:footnote>
  <w:footnote w:type="continuationNotice" w:id="1">
    <w:p w:rsidR="009D5AE2" w:rsidRDefault="009D5AE2" w:rsidP="0022735B">
      <w:pPr>
        <w:jc w:val="right"/>
        <w:rPr>
          <w:sz w:val="20"/>
        </w:rPr>
      </w:pPr>
      <w:r>
        <w:rPr>
          <w:sz w:val="20"/>
        </w:rPr>
        <w:t>(continued….)</w:t>
      </w:r>
    </w:p>
  </w:footnote>
  <w:footnote w:id="2">
    <w:p w:rsidR="00AA6ACB" w:rsidRPr="00D3182A" w:rsidRDefault="00AA6ACB">
      <w:pPr>
        <w:pStyle w:val="FootnoteText"/>
      </w:pPr>
      <w:r>
        <w:rPr>
          <w:rStyle w:val="FootnoteReference"/>
        </w:rPr>
        <w:footnoteRef/>
      </w:r>
      <w:r>
        <w:t xml:space="preserve"> </w:t>
      </w:r>
      <w:r>
        <w:rPr>
          <w:i/>
        </w:rPr>
        <w:t xml:space="preserve">See </w:t>
      </w:r>
      <w:r>
        <w:t xml:space="preserve">American Cable Association Petition for Rulemaking, CS </w:t>
      </w:r>
      <w:r w:rsidR="009E6C6D">
        <w:t>Docket No. 98-120 (filed Jan. 27</w:t>
      </w:r>
      <w:r>
        <w:t>, 2015) (“</w:t>
      </w:r>
      <w:r>
        <w:rPr>
          <w:i/>
        </w:rPr>
        <w:t>Petition</w:t>
      </w:r>
      <w:r>
        <w:t>”).</w:t>
      </w:r>
    </w:p>
  </w:footnote>
  <w:footnote w:id="3">
    <w:p w:rsidR="00AA6ACB" w:rsidRDefault="00AA6ACB">
      <w:pPr>
        <w:pStyle w:val="FootnoteText"/>
      </w:pPr>
      <w:r>
        <w:rPr>
          <w:rStyle w:val="FootnoteReference"/>
        </w:rPr>
        <w:footnoteRef/>
      </w:r>
      <w:r>
        <w:t xml:space="preserve"> </w:t>
      </w:r>
      <w:r>
        <w:rPr>
          <w:i/>
        </w:rPr>
        <w:t xml:space="preserve">See </w:t>
      </w:r>
      <w:r>
        <w:t>47 U.S.C. §§ 534(b)(4)(A), 535(g)(2) (material degradation requirements relating to signals of local commercial and noncommercial television stations, respectively).</w:t>
      </w:r>
    </w:p>
  </w:footnote>
  <w:footnote w:id="4">
    <w:p w:rsidR="00AA6ACB" w:rsidRPr="005C2476" w:rsidRDefault="00AA6ACB">
      <w:pPr>
        <w:pStyle w:val="FootnoteText"/>
      </w:pPr>
      <w:r>
        <w:rPr>
          <w:rStyle w:val="FootnoteReference"/>
        </w:rPr>
        <w:footnoteRef/>
      </w:r>
      <w:r>
        <w:t xml:space="preserve"> </w:t>
      </w:r>
      <w:r>
        <w:rPr>
          <w:i/>
        </w:rPr>
        <w:t>See Carriage of Digital Television Broadcast Signals:  Amendment to Part 76 of the Commission’s Rules</w:t>
      </w:r>
      <w:r>
        <w:t xml:space="preserve">, </w:t>
      </w:r>
      <w:r w:rsidRPr="003C0FAE">
        <w:t xml:space="preserve">CS Docket No. 98-120, </w:t>
      </w:r>
      <w:r>
        <w:t xml:space="preserve">Fifth Report and Order, 27 FCC Rcd 6529, </w:t>
      </w:r>
      <w:r w:rsidRPr="00904F72">
        <w:t>65</w:t>
      </w:r>
      <w:r w:rsidR="009E6C6D">
        <w:t>46-49</w:t>
      </w:r>
      <w:r>
        <w:t>, ¶¶ 19-23 (2012) (“</w:t>
      </w:r>
      <w:r>
        <w:rPr>
          <w:i/>
        </w:rPr>
        <w:t>Fifth Report and Order</w:t>
      </w:r>
      <w:r>
        <w:t>”).</w:t>
      </w:r>
    </w:p>
  </w:footnote>
  <w:footnote w:id="5">
    <w:p w:rsidR="00AA6ACB" w:rsidRDefault="00AA6ACB" w:rsidP="005C2476">
      <w:pPr>
        <w:pStyle w:val="FootnoteText"/>
      </w:pPr>
      <w:r>
        <w:rPr>
          <w:rStyle w:val="FootnoteReference"/>
        </w:rPr>
        <w:footnoteRef/>
      </w:r>
      <w:r>
        <w:t xml:space="preserve"> In particular, Section 614(b)(4)(A) of the Act provides that:</w:t>
      </w:r>
    </w:p>
    <w:p w:rsidR="00AA6ACB" w:rsidRDefault="00AA6ACB" w:rsidP="0014065C">
      <w:pPr>
        <w:pStyle w:val="FootnoteText"/>
        <w:ind w:left="720" w:right="720"/>
      </w:pPr>
      <w:r>
        <w:t>[t]he signals of local commercial television stations that a cable operator carries shall be carried without material degradation.  The Commission shall adopt carriage standards to ensure that, to the extent technically feasible, the quality of signal processing and carriage provided by a cable system for the carriage of local commercial television stations will be no less than that provided by the system for carriage of any other type of signal.</w:t>
      </w:r>
    </w:p>
    <w:p w:rsidR="00AA6ACB" w:rsidRDefault="00AA6ACB" w:rsidP="005C2476">
      <w:pPr>
        <w:pStyle w:val="FootnoteText"/>
      </w:pPr>
      <w:r>
        <w:t>47 U.S.C. § 534(b)(4)(A).  Section 615(g)(2) of the Act provides that:</w:t>
      </w:r>
    </w:p>
    <w:p w:rsidR="00AA6ACB" w:rsidRDefault="00AA6ACB" w:rsidP="005F5E5F">
      <w:pPr>
        <w:pStyle w:val="FootnoteText"/>
        <w:ind w:left="720" w:right="720"/>
      </w:pPr>
      <w:r>
        <w:t>[a] cable operator shall provide each qualified local noncommercial educational television station whose signal is carried in accordance with this section with bandwidth and technical capacity equivalent to that provided to commercial television broadcast stations carried on the cable system and shall carry the signal of each qualified local noncommercial educational television station without material degradation.</w:t>
      </w:r>
    </w:p>
    <w:p w:rsidR="00AA6ACB" w:rsidRPr="00963A08" w:rsidRDefault="00AA6ACB" w:rsidP="005C2476">
      <w:pPr>
        <w:pStyle w:val="FootnoteText"/>
      </w:pPr>
      <w:r>
        <w:rPr>
          <w:i/>
        </w:rPr>
        <w:t xml:space="preserve">See </w:t>
      </w:r>
      <w:r>
        <w:t xml:space="preserve">47 U.S.C. § 535(g)(2).  </w:t>
      </w:r>
      <w:r>
        <w:rPr>
          <w:i/>
        </w:rPr>
        <w:t xml:space="preserve">See also </w:t>
      </w:r>
      <w:r>
        <w:t xml:space="preserve">47 C.F.R. § 76.62(b)-(d), (h).  </w:t>
      </w:r>
    </w:p>
  </w:footnote>
  <w:footnote w:id="6">
    <w:p w:rsidR="00AA6ACB" w:rsidRPr="0086241D" w:rsidRDefault="00AA6ACB">
      <w:pPr>
        <w:pStyle w:val="FootnoteText"/>
      </w:pPr>
      <w:r>
        <w:rPr>
          <w:rStyle w:val="FootnoteReference"/>
        </w:rPr>
        <w:footnoteRef/>
      </w:r>
      <w:r>
        <w:t xml:space="preserve"> </w:t>
      </w:r>
      <w:r>
        <w:rPr>
          <w:i/>
        </w:rPr>
        <w:t xml:space="preserve">See Carriage of Digital Television Broadcast Signals:  Amendment to Part 76 of the Commission’s Rules, </w:t>
      </w:r>
      <w:r>
        <w:rPr>
          <w:iCs/>
        </w:rPr>
        <w:t xml:space="preserve">CS Docket No. 98-120, </w:t>
      </w:r>
      <w:r>
        <w:t>Third Report and Order and Third Further Notice of Proposed Rulemaking, 22 FCC Rcd 21064, 21067, ¶ 7 (2007) (“</w:t>
      </w:r>
      <w:r>
        <w:rPr>
          <w:i/>
        </w:rPr>
        <w:t>Viewability Order</w:t>
      </w:r>
      <w:r w:rsidR="0086241D">
        <w:t xml:space="preserve">”).  </w:t>
      </w:r>
      <w:r w:rsidR="0086241D">
        <w:rPr>
          <w:i/>
        </w:rPr>
        <w:t>See also Fifth Report and Order</w:t>
      </w:r>
      <w:r w:rsidR="0086241D">
        <w:t>, 27 FCC Rcd at 6546, ¶ 19.</w:t>
      </w:r>
    </w:p>
  </w:footnote>
  <w:footnote w:id="7">
    <w:p w:rsidR="00AA6ACB" w:rsidRPr="00716D79" w:rsidRDefault="00AA6ACB" w:rsidP="00B0510D">
      <w:pPr>
        <w:pStyle w:val="FootnoteText"/>
      </w:pPr>
      <w:r>
        <w:rPr>
          <w:rStyle w:val="FootnoteReference"/>
        </w:rPr>
        <w:footnoteRef/>
      </w:r>
      <w:r>
        <w:t xml:space="preserve"> </w:t>
      </w:r>
      <w:r>
        <w:rPr>
          <w:i/>
        </w:rPr>
        <w:t>See</w:t>
      </w:r>
      <w:r>
        <w:t xml:space="preserve"> </w:t>
      </w:r>
      <w:r>
        <w:rPr>
          <w:i/>
        </w:rPr>
        <w:t xml:space="preserve">Carriage of Digital Television Broadcast Signals:  Amendment to Part 76 of the Commission’s Rules, </w:t>
      </w:r>
      <w:r>
        <w:rPr>
          <w:iCs/>
        </w:rPr>
        <w:t xml:space="preserve">CS Docket No. 98-120, </w:t>
      </w:r>
      <w:r>
        <w:t>Fourth Report and Order, 23 FCC Rcd 13618 (2008) (“</w:t>
      </w:r>
      <w:r>
        <w:rPr>
          <w:i/>
        </w:rPr>
        <w:t>Fourth Report and Order</w:t>
      </w:r>
      <w:r>
        <w:t xml:space="preserve">”).  </w:t>
      </w:r>
    </w:p>
  </w:footnote>
  <w:footnote w:id="8">
    <w:p w:rsidR="00AA6ACB" w:rsidRPr="00940FE0" w:rsidRDefault="00AA6ACB">
      <w:pPr>
        <w:pStyle w:val="FootnoteText"/>
        <w:rPr>
          <w:i/>
        </w:rPr>
      </w:pPr>
      <w:r>
        <w:rPr>
          <w:rStyle w:val="FootnoteReference"/>
        </w:rPr>
        <w:footnoteRef/>
      </w:r>
      <w:r>
        <w:t xml:space="preserve"> </w:t>
      </w:r>
      <w:r>
        <w:rPr>
          <w:i/>
        </w:rPr>
        <w:t>See id.</w:t>
      </w:r>
    </w:p>
  </w:footnote>
  <w:footnote w:id="9">
    <w:p w:rsidR="00AA6ACB" w:rsidRDefault="00AA6ACB" w:rsidP="00B0510D">
      <w:pPr>
        <w:pStyle w:val="FootnoteText"/>
      </w:pPr>
      <w:r>
        <w:rPr>
          <w:rStyle w:val="FootnoteReference"/>
        </w:rPr>
        <w:footnoteRef/>
      </w:r>
      <w:r>
        <w:t xml:space="preserve"> </w:t>
      </w:r>
      <w:r>
        <w:rPr>
          <w:i/>
        </w:rPr>
        <w:t>Id.</w:t>
      </w:r>
      <w:r>
        <w:t xml:space="preserve"> at 13620, ¶ 5.  The Commission concluded that cable operators, regardless of system size, need not carry an SD digital version of a broadcast station’s signal, in addition to the analog version, to satisfy the material degradation requirement, because both an SD digital version and an analog version of the digital broadcast signal received at the headend should have the same 480i resolution; thus, there should be no perceivable difference between the two versions of the signal.  </w:t>
      </w:r>
      <w:r>
        <w:rPr>
          <w:i/>
        </w:rPr>
        <w:t>Id</w:t>
      </w:r>
      <w:r>
        <w:t>.</w:t>
      </w:r>
      <w:r w:rsidRPr="00AF0CCA">
        <w:t xml:space="preserve"> </w:t>
      </w:r>
    </w:p>
  </w:footnote>
  <w:footnote w:id="10">
    <w:p w:rsidR="00AA6ACB" w:rsidRPr="002E4C63" w:rsidRDefault="00AA6ACB" w:rsidP="00B0510D">
      <w:pPr>
        <w:pStyle w:val="FootnoteText"/>
      </w:pPr>
      <w:r>
        <w:rPr>
          <w:rStyle w:val="FootnoteReference"/>
        </w:rPr>
        <w:footnoteRef/>
      </w:r>
      <w:r>
        <w:t xml:space="preserve"> </w:t>
      </w:r>
      <w:r>
        <w:rPr>
          <w:i/>
        </w:rPr>
        <w:t>See id.</w:t>
      </w:r>
      <w:r>
        <w:t xml:space="preserve"> at 13622, ¶ 11.  </w:t>
      </w:r>
      <w:r>
        <w:rPr>
          <w:i/>
        </w:rPr>
        <w:t xml:space="preserve">See also Carriage of Digital Television Broadcast Signals:  Amendment to Part 76 of the Commission’s Rules, </w:t>
      </w:r>
      <w:r>
        <w:rPr>
          <w:iCs/>
        </w:rPr>
        <w:t xml:space="preserve">CS Docket No. 98-120, </w:t>
      </w:r>
      <w:r>
        <w:t>Fourth Further Notice of Proposed Rulemaking and Declaratory Order, 27 FCC Rcd 1713, 1724, ¶ 23 (2012) (“</w:t>
      </w:r>
      <w:r w:rsidR="00CC2D83">
        <w:rPr>
          <w:i/>
        </w:rPr>
        <w:t>Fourth Further Notice</w:t>
      </w:r>
      <w:r>
        <w:rPr>
          <w:i/>
        </w:rPr>
        <w:t>”</w:t>
      </w:r>
      <w:r>
        <w:t xml:space="preserve">).  The exemption </w:t>
      </w:r>
      <w:r w:rsidRPr="000E32D3">
        <w:t>would have expired on February 17, 2012</w:t>
      </w:r>
      <w:r>
        <w:t>,</w:t>
      </w:r>
      <w:r w:rsidRPr="000E32D3">
        <w:t xml:space="preserve"> if </w:t>
      </w:r>
      <w:r>
        <w:t xml:space="preserve">Congress had not delayed </w:t>
      </w:r>
      <w:r w:rsidRPr="000E32D3">
        <w:t xml:space="preserve">the DTV transition </w:t>
      </w:r>
      <w:r>
        <w:t xml:space="preserve">date from February 17, 2009 until June 12, 2009.  </w:t>
      </w:r>
      <w:r w:rsidRPr="00B355D2">
        <w:rPr>
          <w:i/>
        </w:rPr>
        <w:t>Id</w:t>
      </w:r>
      <w:r>
        <w:t>.</w:t>
      </w:r>
      <w:r w:rsidRPr="000E32D3">
        <w:t xml:space="preserve"> </w:t>
      </w:r>
      <w:r>
        <w:t xml:space="preserve"> In the 2012 Declaratory Order accompanying the </w:t>
      </w:r>
      <w:r w:rsidR="00CC2D83">
        <w:rPr>
          <w:i/>
        </w:rPr>
        <w:t>Fourth Further Notice</w:t>
      </w:r>
      <w:r>
        <w:rPr>
          <w:i/>
        </w:rPr>
        <w:t>,</w:t>
      </w:r>
      <w:r>
        <w:t xml:space="preserve"> the Commission clarified that the HD carriage exemption was effective until June 12, 2012 because the HD exemption was intended to remain in effect for three full years from the </w:t>
      </w:r>
      <w:r w:rsidRPr="000E32D3">
        <w:t xml:space="preserve">DTV transition </w:t>
      </w:r>
      <w:r>
        <w:t xml:space="preserve">date.  </w:t>
      </w:r>
      <w:r w:rsidR="00101567">
        <w:rPr>
          <w:i/>
        </w:rPr>
        <w:t>I</w:t>
      </w:r>
      <w:r>
        <w:rPr>
          <w:i/>
        </w:rPr>
        <w:t>d.</w:t>
      </w:r>
    </w:p>
  </w:footnote>
  <w:footnote w:id="11">
    <w:p w:rsidR="00AA6ACB" w:rsidRPr="007541C7" w:rsidRDefault="00AA6ACB" w:rsidP="00015762">
      <w:pPr>
        <w:pStyle w:val="FootnoteText"/>
        <w:rPr>
          <w:i/>
        </w:rPr>
      </w:pPr>
      <w:r>
        <w:rPr>
          <w:rStyle w:val="FootnoteReference"/>
        </w:rPr>
        <w:footnoteRef/>
      </w:r>
      <w:r>
        <w:t xml:space="preserve"> </w:t>
      </w:r>
      <w:r w:rsidR="007541C7">
        <w:rPr>
          <w:i/>
        </w:rPr>
        <w:t>See i</w:t>
      </w:r>
      <w:r w:rsidRPr="00B355D2">
        <w:rPr>
          <w:i/>
        </w:rPr>
        <w:t>d.</w:t>
      </w:r>
      <w:r>
        <w:t xml:space="preserve"> at 1714, ¶ 3.  </w:t>
      </w:r>
      <w:r w:rsidR="007541C7">
        <w:rPr>
          <w:i/>
        </w:rPr>
        <w:t>See also Fifth Report and Order</w:t>
      </w:r>
      <w:r w:rsidR="007541C7">
        <w:t xml:space="preserve">, 27 FCC Rcd at </w:t>
      </w:r>
      <w:r w:rsidR="007541C7" w:rsidRPr="00904F72">
        <w:t>65</w:t>
      </w:r>
      <w:r w:rsidR="007541C7">
        <w:t>46-49, ¶¶ 19-23.</w:t>
      </w:r>
    </w:p>
  </w:footnote>
  <w:footnote w:id="12">
    <w:p w:rsidR="00AA6ACB" w:rsidRPr="00811750" w:rsidRDefault="00AA6ACB">
      <w:pPr>
        <w:pStyle w:val="FootnoteText"/>
      </w:pPr>
      <w:r>
        <w:rPr>
          <w:rStyle w:val="FootnoteReference"/>
        </w:rPr>
        <w:footnoteRef/>
      </w:r>
      <w:r>
        <w:t xml:space="preserve"> </w:t>
      </w:r>
      <w:r>
        <w:rPr>
          <w:i/>
        </w:rPr>
        <w:t xml:space="preserve">See </w:t>
      </w:r>
      <w:r w:rsidR="007541C7">
        <w:rPr>
          <w:i/>
        </w:rPr>
        <w:t>id.</w:t>
      </w:r>
      <w:r>
        <w:t xml:space="preserve">  The Commission extended the exemption based on its finding that the same financial and capacity constraints that confronted small cable operators when it initially granted the exemption in 2008 continued to exist.  </w:t>
      </w:r>
      <w:r>
        <w:rPr>
          <w:i/>
        </w:rPr>
        <w:t>Id.</w:t>
      </w:r>
      <w:r w:rsidR="0094646D">
        <w:t xml:space="preserve"> at 6547</w:t>
      </w:r>
      <w:r w:rsidR="0086241D">
        <w:t>-48</w:t>
      </w:r>
      <w:r>
        <w:t xml:space="preserve">, ¶ </w:t>
      </w:r>
      <w:r w:rsidR="0094646D">
        <w:t>21</w:t>
      </w:r>
      <w:r>
        <w:t xml:space="preserve">.  In particular, the Commission found that the exemption “remains necessary to protect the viability of small systems and their service to rural and smaller market consumers.”  </w:t>
      </w:r>
      <w:r>
        <w:rPr>
          <w:i/>
        </w:rPr>
        <w:t>Id.</w:t>
      </w:r>
    </w:p>
  </w:footnote>
  <w:footnote w:id="13">
    <w:p w:rsidR="00AA6ACB" w:rsidRPr="00811750" w:rsidRDefault="00AA6ACB">
      <w:pPr>
        <w:pStyle w:val="FootnoteText"/>
      </w:pPr>
      <w:r>
        <w:rPr>
          <w:rStyle w:val="FootnoteReference"/>
        </w:rPr>
        <w:footnoteRef/>
      </w:r>
      <w:r>
        <w:t xml:space="preserve"> </w:t>
      </w:r>
      <w:r>
        <w:rPr>
          <w:i/>
        </w:rPr>
        <w:t xml:space="preserve">Id. </w:t>
      </w:r>
      <w:r w:rsidR="0094646D">
        <w:t>at 6548</w:t>
      </w:r>
      <w:r>
        <w:t xml:space="preserve">, ¶ 22.  The Commission declined to restrict the exemption further by eliminating its application to systems that carry any signal in HD, as suggested by the National Association of Broadcasters (“NAB”).  In so doing, the Commission reasoned that the exemption had already been crafted narrowly to excuse only a limited number of systems with certain capacity constraints or low subscribership, and that a small system’s ability to offer some HD service did not necessarily render that system capable of offering additional HD service.  </w:t>
      </w:r>
      <w:r>
        <w:rPr>
          <w:i/>
        </w:rPr>
        <w:t>Id.</w:t>
      </w:r>
      <w:r w:rsidR="0094646D">
        <w:t xml:space="preserve"> at 6548</w:t>
      </w:r>
      <w:r>
        <w:t xml:space="preserve">, ¶ 23.  The Commission also expressed concern that restricting the exemption further would create a disincentive for systems to offer more HD programming incrementally.  </w:t>
      </w:r>
      <w:r>
        <w:rPr>
          <w:i/>
        </w:rPr>
        <w:t>Id.</w:t>
      </w:r>
      <w:r>
        <w:t xml:space="preserve">  </w:t>
      </w:r>
    </w:p>
  </w:footnote>
  <w:footnote w:id="14">
    <w:p w:rsidR="00AA6ACB" w:rsidRPr="00433551" w:rsidRDefault="00AA6ACB">
      <w:pPr>
        <w:pStyle w:val="FootnoteText"/>
      </w:pPr>
      <w:r>
        <w:rPr>
          <w:rStyle w:val="FootnoteReference"/>
        </w:rPr>
        <w:footnoteRef/>
      </w:r>
      <w:r>
        <w:t xml:space="preserve"> </w:t>
      </w:r>
      <w:r>
        <w:rPr>
          <w:i/>
        </w:rPr>
        <w:t xml:space="preserve">See Petition </w:t>
      </w:r>
      <w:r>
        <w:t xml:space="preserve">at 1-2, 18.  </w:t>
      </w:r>
    </w:p>
  </w:footnote>
  <w:footnote w:id="15">
    <w:p w:rsidR="00AA6ACB" w:rsidRPr="00384400" w:rsidRDefault="00AA6ACB">
      <w:pPr>
        <w:pStyle w:val="FootnoteText"/>
      </w:pPr>
      <w:r>
        <w:rPr>
          <w:rStyle w:val="FootnoteReference"/>
        </w:rPr>
        <w:footnoteRef/>
      </w:r>
      <w:r>
        <w:t xml:space="preserve"> </w:t>
      </w:r>
      <w:r w:rsidR="0007188E">
        <w:rPr>
          <w:i/>
        </w:rPr>
        <w:t>Id.</w:t>
      </w:r>
      <w:r w:rsidR="0094646D">
        <w:rPr>
          <w:i/>
        </w:rPr>
        <w:t xml:space="preserve"> </w:t>
      </w:r>
      <w:r>
        <w:t xml:space="preserve">at 2.  </w:t>
      </w:r>
    </w:p>
  </w:footnote>
  <w:footnote w:id="16">
    <w:p w:rsidR="0083797C" w:rsidRDefault="0083797C" w:rsidP="0083797C">
      <w:pPr>
        <w:pStyle w:val="FootnoteText"/>
      </w:pPr>
      <w:r>
        <w:rPr>
          <w:rStyle w:val="FootnoteReference"/>
        </w:rPr>
        <w:footnoteRef/>
      </w:r>
      <w:r>
        <w:t xml:space="preserve"> ACA conducted an online survey of its members from October 2 through October 22, 2014 to determine the number of systems still relying on the HD carriage exemption.  </w:t>
      </w:r>
      <w:r>
        <w:rPr>
          <w:i/>
        </w:rPr>
        <w:t xml:space="preserve">Id. </w:t>
      </w:r>
      <w:r>
        <w:t xml:space="preserve">at 4, n.8.  ACA represents approximately 840 independent MVPDs that serve about 7.4 million video subscribers primarily in smaller markets and rural areas.  ACA’s members range from family-run operations that serve a single town to multiple system operators with small systems.  The median number of video subscribers per ACA member is 1,060.  </w:t>
      </w:r>
      <w:r>
        <w:rPr>
          <w:i/>
        </w:rPr>
        <w:t>Id.</w:t>
      </w:r>
      <w:r>
        <w:t xml:space="preserve"> at 4, n.9.  </w:t>
      </w:r>
    </w:p>
  </w:footnote>
  <w:footnote w:id="17">
    <w:p w:rsidR="0083797C" w:rsidRPr="007547B2" w:rsidRDefault="0083797C" w:rsidP="0083797C">
      <w:pPr>
        <w:pStyle w:val="FootnoteText"/>
      </w:pPr>
      <w:r>
        <w:rPr>
          <w:rStyle w:val="FootnoteReference"/>
        </w:rPr>
        <w:footnoteRef/>
      </w:r>
      <w:r>
        <w:t xml:space="preserve"> </w:t>
      </w:r>
      <w:r>
        <w:rPr>
          <w:i/>
        </w:rPr>
        <w:t>Id.</w:t>
      </w:r>
      <w:r>
        <w:t xml:space="preserve"> at 4-5.  </w:t>
      </w:r>
    </w:p>
  </w:footnote>
  <w:footnote w:id="18">
    <w:p w:rsidR="00AA6ACB" w:rsidRPr="001C1833" w:rsidRDefault="00AA6ACB" w:rsidP="002333C0">
      <w:pPr>
        <w:pStyle w:val="FootnoteText"/>
      </w:pPr>
      <w:r>
        <w:rPr>
          <w:rStyle w:val="FootnoteReference"/>
        </w:rPr>
        <w:footnoteRef/>
      </w:r>
      <w:r>
        <w:t xml:space="preserve"> </w:t>
      </w:r>
      <w:r>
        <w:rPr>
          <w:i/>
        </w:rPr>
        <w:t>Id.</w:t>
      </w:r>
      <w:r>
        <w:t xml:space="preserve"> at 5.  ACA asserts that the survey further indicates that:  (i) those systems offer an average of 2.3 must-carry stations in a down-converted format only; (ii) only 20.5% of those systems offer some HD television services; and (iii) 38.5% of those systems offer broadband service.  </w:t>
      </w:r>
      <w:r>
        <w:rPr>
          <w:i/>
        </w:rPr>
        <w:t xml:space="preserve">Id. </w:t>
      </w:r>
      <w:r>
        <w:t>and Table 1.</w:t>
      </w:r>
    </w:p>
  </w:footnote>
  <w:footnote w:id="19">
    <w:p w:rsidR="0046400D" w:rsidRDefault="0046400D">
      <w:pPr>
        <w:pStyle w:val="FootnoteText"/>
      </w:pPr>
      <w:r>
        <w:rPr>
          <w:rStyle w:val="FootnoteReference"/>
        </w:rPr>
        <w:footnoteRef/>
      </w:r>
      <w:r>
        <w:t xml:space="preserve"> </w:t>
      </w:r>
      <w:r w:rsidR="00B44721">
        <w:t>ACA reports</w:t>
      </w:r>
      <w:r>
        <w:t xml:space="preserve"> that all 117 of the systems </w:t>
      </w:r>
      <w:r w:rsidR="00B44721">
        <w:t xml:space="preserve">with a capacity of </w:t>
      </w:r>
      <w:r>
        <w:t>552 MHz or less</w:t>
      </w:r>
      <w:r w:rsidR="00B44721">
        <w:t xml:space="preserve"> </w:t>
      </w:r>
      <w:r>
        <w:t xml:space="preserve">also </w:t>
      </w:r>
      <w:r w:rsidR="00B44721">
        <w:t xml:space="preserve">have </w:t>
      </w:r>
      <w:r>
        <w:t>fewer than 2,500 sub</w:t>
      </w:r>
      <w:r w:rsidR="00B44721">
        <w:t>scriber</w:t>
      </w:r>
      <w:r>
        <w:t>s, and that</w:t>
      </w:r>
      <w:r w:rsidR="00B44721">
        <w:t xml:space="preserve"> 81.8% of the systems with </w:t>
      </w:r>
      <w:r>
        <w:t>fewer than 2,500 subs</w:t>
      </w:r>
      <w:r w:rsidR="00B44721">
        <w:t xml:space="preserve">cribers also have a capacity of </w:t>
      </w:r>
      <w:r>
        <w:t xml:space="preserve">552 MHz or less.  </w:t>
      </w:r>
      <w:r>
        <w:rPr>
          <w:i/>
        </w:rPr>
        <w:t xml:space="preserve">See Petition </w:t>
      </w:r>
      <w:r w:rsidRPr="00CC432E">
        <w:t xml:space="preserve">at </w:t>
      </w:r>
      <w:r w:rsidR="00B44721">
        <w:t>5-</w:t>
      </w:r>
      <w:r w:rsidRPr="00CC432E">
        <w:t>6 and Table</w:t>
      </w:r>
      <w:r w:rsidR="00101567">
        <w:t xml:space="preserve">s </w:t>
      </w:r>
      <w:r w:rsidR="00B44721">
        <w:t xml:space="preserve">1, </w:t>
      </w:r>
      <w:r w:rsidRPr="00CC432E">
        <w:t>2.</w:t>
      </w:r>
    </w:p>
  </w:footnote>
  <w:footnote w:id="20">
    <w:p w:rsidR="00AA6ACB" w:rsidRPr="001C1833" w:rsidRDefault="00AA6ACB" w:rsidP="002333C0">
      <w:pPr>
        <w:pStyle w:val="FootnoteText"/>
      </w:pPr>
      <w:r>
        <w:rPr>
          <w:rStyle w:val="FootnoteReference"/>
        </w:rPr>
        <w:footnoteRef/>
      </w:r>
      <w:r>
        <w:t xml:space="preserve"> </w:t>
      </w:r>
      <w:r>
        <w:rPr>
          <w:i/>
        </w:rPr>
        <w:t>Id.</w:t>
      </w:r>
      <w:r>
        <w:t xml:space="preserve"> at 6.  ACA asserts that the survey further indicates that:  (i) those systems offer an average of 2.5 must-carry stations in a down-converted format only; (ii) only 25.9% of those systems offer some HD television services; and (iii) 54.4% of those systems offer broadband service.  </w:t>
      </w:r>
      <w:r>
        <w:rPr>
          <w:i/>
        </w:rPr>
        <w:t>Id.</w:t>
      </w:r>
      <w:r>
        <w:t xml:space="preserve"> and Table 2.</w:t>
      </w:r>
    </w:p>
  </w:footnote>
  <w:footnote w:id="21">
    <w:p w:rsidR="0083797C" w:rsidRPr="004F49FF" w:rsidRDefault="0083797C" w:rsidP="0083797C">
      <w:pPr>
        <w:pStyle w:val="FootnoteText"/>
      </w:pPr>
      <w:r>
        <w:rPr>
          <w:rStyle w:val="FootnoteReference"/>
        </w:rPr>
        <w:footnoteRef/>
      </w:r>
      <w:r>
        <w:t xml:space="preserve"> </w:t>
      </w:r>
      <w:r>
        <w:rPr>
          <w:i/>
        </w:rPr>
        <w:t xml:space="preserve">Id.  </w:t>
      </w:r>
      <w:r>
        <w:t xml:space="preserve">Although ACA does not define “down-converted format,” we assume this term refers to a cable system’s conversion of a high definition broadcast signal to standard definition when retransmitting the signal to subscribers.  </w:t>
      </w:r>
    </w:p>
  </w:footnote>
  <w:footnote w:id="22">
    <w:p w:rsidR="00AA6ACB" w:rsidRPr="00D738AA" w:rsidRDefault="00AA6ACB">
      <w:pPr>
        <w:pStyle w:val="FootnoteText"/>
      </w:pPr>
      <w:r>
        <w:rPr>
          <w:rStyle w:val="FootnoteReference"/>
        </w:rPr>
        <w:footnoteRef/>
      </w:r>
      <w:r>
        <w:t xml:space="preserve"> </w:t>
      </w:r>
      <w:r>
        <w:rPr>
          <w:i/>
        </w:rPr>
        <w:t xml:space="preserve">Id. </w:t>
      </w:r>
      <w:r>
        <w:t>at 3.</w:t>
      </w:r>
    </w:p>
  </w:footnote>
  <w:footnote w:id="23">
    <w:p w:rsidR="00AA6ACB" w:rsidRPr="007F1618" w:rsidRDefault="00AA6ACB">
      <w:pPr>
        <w:pStyle w:val="FootnoteText"/>
      </w:pPr>
      <w:r>
        <w:rPr>
          <w:rStyle w:val="FootnoteReference"/>
        </w:rPr>
        <w:footnoteRef/>
      </w:r>
      <w:r>
        <w:t xml:space="preserve"> </w:t>
      </w:r>
      <w:r>
        <w:rPr>
          <w:i/>
        </w:rPr>
        <w:t>Id.</w:t>
      </w:r>
      <w:r>
        <w:t xml:space="preserve"> at 7-8.</w:t>
      </w:r>
    </w:p>
  </w:footnote>
  <w:footnote w:id="24">
    <w:p w:rsidR="00AA6ACB" w:rsidRPr="00F25C3F" w:rsidRDefault="00AA6ACB" w:rsidP="00F25C3F">
      <w:pPr>
        <w:pStyle w:val="FootnoteText"/>
      </w:pPr>
      <w:r>
        <w:rPr>
          <w:rStyle w:val="FootnoteReference"/>
        </w:rPr>
        <w:footnoteRef/>
      </w:r>
      <w:r>
        <w:t xml:space="preserve"> </w:t>
      </w:r>
      <w:r>
        <w:rPr>
          <w:i/>
        </w:rPr>
        <w:t>Id.</w:t>
      </w:r>
      <w:r>
        <w:t xml:space="preserve"> at 8 and Table 4.  According to ACA, the decrease in </w:t>
      </w:r>
      <w:r w:rsidR="00B47818">
        <w:t xml:space="preserve">unused channel </w:t>
      </w:r>
      <w:r>
        <w:t xml:space="preserve">capacity has resulted from the need of operators to accommodate non-broadcast programmers that demand carriage of additional channels in exchange for access to, or less drastic rate increases for, popular non-broadcast channels.  </w:t>
      </w:r>
      <w:r>
        <w:rPr>
          <w:i/>
        </w:rPr>
        <w:t>Id.</w:t>
      </w:r>
      <w:r>
        <w:t xml:space="preserve"> at 8-9.  ACA also attributes this decrease in capacity to the need of operators to allocate capacity for broadband services.  </w:t>
      </w:r>
      <w:r>
        <w:rPr>
          <w:i/>
        </w:rPr>
        <w:t>Id.</w:t>
      </w:r>
      <w:r>
        <w:t xml:space="preserve"> at 9.</w:t>
      </w:r>
    </w:p>
  </w:footnote>
  <w:footnote w:id="25">
    <w:p w:rsidR="00AA6ACB" w:rsidRPr="00340EDB" w:rsidRDefault="00AA6ACB">
      <w:pPr>
        <w:pStyle w:val="FootnoteText"/>
      </w:pPr>
      <w:r>
        <w:rPr>
          <w:rStyle w:val="FootnoteReference"/>
        </w:rPr>
        <w:footnoteRef/>
      </w:r>
      <w:r>
        <w:t xml:space="preserve"> ACA asserts that the most common reason reported for no change in channel capacity was that the system was channel locked three years ago and remains the same today due to a lack of financial resources for capacity expansion or the absence of a business case to support such expansion.  </w:t>
      </w:r>
      <w:r>
        <w:rPr>
          <w:i/>
        </w:rPr>
        <w:t>Id.</w:t>
      </w:r>
      <w:r w:rsidR="00556B26">
        <w:rPr>
          <w:i/>
        </w:rPr>
        <w:t xml:space="preserve">  </w:t>
      </w:r>
    </w:p>
  </w:footnote>
  <w:footnote w:id="26">
    <w:p w:rsidR="00AA6ACB" w:rsidRPr="00377488" w:rsidRDefault="00AA6ACB">
      <w:pPr>
        <w:pStyle w:val="FootnoteText"/>
      </w:pPr>
      <w:r>
        <w:rPr>
          <w:rStyle w:val="FootnoteReference"/>
        </w:rPr>
        <w:footnoteRef/>
      </w:r>
      <w:r>
        <w:t xml:space="preserve"> </w:t>
      </w:r>
      <w:r>
        <w:rPr>
          <w:i/>
        </w:rPr>
        <w:t>Id.</w:t>
      </w:r>
      <w:r w:rsidR="004D4D78">
        <w:t xml:space="preserve"> </w:t>
      </w:r>
      <w:r>
        <w:t>and Table 5.</w:t>
      </w:r>
    </w:p>
  </w:footnote>
  <w:footnote w:id="27">
    <w:p w:rsidR="00AA6ACB" w:rsidRPr="00053252" w:rsidRDefault="00AA6ACB">
      <w:pPr>
        <w:pStyle w:val="FootnoteText"/>
        <w:rPr>
          <w:i/>
        </w:rPr>
      </w:pPr>
      <w:r>
        <w:rPr>
          <w:rStyle w:val="FootnoteReference"/>
        </w:rPr>
        <w:footnoteRef/>
      </w:r>
      <w:r>
        <w:t xml:space="preserve"> </w:t>
      </w:r>
      <w:r>
        <w:rPr>
          <w:i/>
        </w:rPr>
        <w:t>Id.</w:t>
      </w:r>
      <w:r>
        <w:t xml:space="preserve"> at 10.  ACA reports that 45.2% of survey respondents in this category would shut down their systems; 14.3% would drop existing channels; and 19% would risk Commission enforcement action rather than comply with an HD carriage requirement.  </w:t>
      </w:r>
      <w:r>
        <w:rPr>
          <w:i/>
        </w:rPr>
        <w:t>Id.</w:t>
      </w:r>
    </w:p>
  </w:footnote>
  <w:footnote w:id="28">
    <w:p w:rsidR="00AA6ACB" w:rsidRPr="00F00F45" w:rsidRDefault="00AA6ACB">
      <w:pPr>
        <w:pStyle w:val="FootnoteText"/>
      </w:pPr>
      <w:r>
        <w:rPr>
          <w:rStyle w:val="FootnoteReference"/>
        </w:rPr>
        <w:footnoteRef/>
      </w:r>
      <w:r>
        <w:t xml:space="preserve"> </w:t>
      </w:r>
      <w:r>
        <w:rPr>
          <w:i/>
        </w:rPr>
        <w:t>Id.</w:t>
      </w:r>
      <w:r>
        <w:t xml:space="preserve"> at 11-12.</w:t>
      </w:r>
    </w:p>
  </w:footnote>
  <w:footnote w:id="29">
    <w:p w:rsidR="00AA6ACB" w:rsidRPr="00224338" w:rsidRDefault="00AA6ACB">
      <w:pPr>
        <w:pStyle w:val="FootnoteText"/>
      </w:pPr>
      <w:r>
        <w:rPr>
          <w:rStyle w:val="FootnoteReference"/>
        </w:rPr>
        <w:footnoteRef/>
      </w:r>
      <w:r>
        <w:t xml:space="preserve"> </w:t>
      </w:r>
      <w:r>
        <w:rPr>
          <w:i/>
        </w:rPr>
        <w:t xml:space="preserve">Id. </w:t>
      </w:r>
      <w:r>
        <w:t>at 12-13 and Table 6.</w:t>
      </w:r>
    </w:p>
  </w:footnote>
  <w:footnote w:id="30">
    <w:p w:rsidR="00AA6ACB" w:rsidRPr="00224338" w:rsidRDefault="00AA6ACB">
      <w:pPr>
        <w:pStyle w:val="FootnoteText"/>
      </w:pPr>
      <w:r>
        <w:rPr>
          <w:rStyle w:val="FootnoteReference"/>
        </w:rPr>
        <w:footnoteRef/>
      </w:r>
      <w:r>
        <w:t xml:space="preserve"> </w:t>
      </w:r>
      <w:r>
        <w:rPr>
          <w:i/>
        </w:rPr>
        <w:t>Id.</w:t>
      </w:r>
      <w:r>
        <w:t xml:space="preserve"> at 13-14.</w:t>
      </w:r>
    </w:p>
  </w:footnote>
  <w:footnote w:id="31">
    <w:p w:rsidR="00AA6ACB" w:rsidRPr="0089272D" w:rsidRDefault="00AA6ACB" w:rsidP="00F84227">
      <w:pPr>
        <w:pStyle w:val="FootnoteText"/>
      </w:pPr>
      <w:r>
        <w:rPr>
          <w:rStyle w:val="FootnoteReference"/>
        </w:rPr>
        <w:footnoteRef/>
      </w:r>
      <w:r>
        <w:t xml:space="preserve"> </w:t>
      </w:r>
      <w:r>
        <w:rPr>
          <w:i/>
        </w:rPr>
        <w:t>Id.</w:t>
      </w:r>
      <w:r>
        <w:t xml:space="preserve"> at 14.  ACA reports that 37.3% of cable systems in this category would shut down their systems rather than invest in the equipment needed to comply with an HD carriage requirement; 22% would risk Commission enforcement action; and 35.6% would absorb or pass along to their subscribers the cost of the requisite equipment.  </w:t>
      </w:r>
      <w:r>
        <w:rPr>
          <w:i/>
        </w:rPr>
        <w:t>Id.</w:t>
      </w:r>
    </w:p>
  </w:footnote>
  <w:footnote w:id="32">
    <w:p w:rsidR="00B71852" w:rsidRDefault="00B71852">
      <w:pPr>
        <w:pStyle w:val="FootnoteText"/>
      </w:pPr>
      <w:r>
        <w:rPr>
          <w:rStyle w:val="FootnoteReference"/>
        </w:rPr>
        <w:footnoteRef/>
      </w:r>
      <w:r>
        <w:t xml:space="preserve"> </w:t>
      </w:r>
      <w:r w:rsidRPr="00B71852">
        <w:rPr>
          <w:i/>
        </w:rPr>
        <w:t>Id</w:t>
      </w:r>
      <w:r w:rsidRPr="00B71852">
        <w:t>. at 3, 15.</w:t>
      </w:r>
    </w:p>
  </w:footnote>
  <w:footnote w:id="33">
    <w:p w:rsidR="00851CA0" w:rsidRDefault="00851CA0">
      <w:pPr>
        <w:pStyle w:val="FootnoteText"/>
      </w:pPr>
      <w:r>
        <w:rPr>
          <w:rStyle w:val="FootnoteReference"/>
        </w:rPr>
        <w:footnoteRef/>
      </w:r>
      <w:r>
        <w:t xml:space="preserve"> </w:t>
      </w:r>
      <w:r w:rsidDel="00AA2C06">
        <w:rPr>
          <w:i/>
        </w:rPr>
        <w:t xml:space="preserve">Id. </w:t>
      </w:r>
      <w:r w:rsidDel="00AA2C06">
        <w:t xml:space="preserve">at 15.  </w:t>
      </w:r>
    </w:p>
  </w:footnote>
  <w:footnote w:id="34">
    <w:p w:rsidR="00851CA0" w:rsidRDefault="00851CA0">
      <w:pPr>
        <w:pStyle w:val="FootnoteText"/>
      </w:pPr>
      <w:r>
        <w:rPr>
          <w:rStyle w:val="FootnoteReference"/>
        </w:rPr>
        <w:footnoteRef/>
      </w:r>
      <w:r>
        <w:t xml:space="preserve"> </w:t>
      </w:r>
      <w:r w:rsidR="00AB72DE">
        <w:rPr>
          <w:i/>
        </w:rPr>
        <w:t xml:space="preserve">Id. </w:t>
      </w:r>
      <w:r w:rsidR="00AB72DE">
        <w:t xml:space="preserve">at </w:t>
      </w:r>
      <w:r w:rsidDel="00AA2C06">
        <w:t>15-16</w:t>
      </w:r>
      <w:r>
        <w:t>.</w:t>
      </w:r>
      <w:r w:rsidR="001B71BE">
        <w:t xml:space="preserve">  </w:t>
      </w:r>
      <w:r w:rsidR="007A7760">
        <w:t>We note, h</w:t>
      </w:r>
      <w:r w:rsidR="001B71BE">
        <w:t xml:space="preserve">owever, </w:t>
      </w:r>
      <w:r w:rsidR="007A7760">
        <w:t xml:space="preserve">that </w:t>
      </w:r>
      <w:r w:rsidR="001B71BE">
        <w:t>t</w:t>
      </w:r>
      <w:r w:rsidR="001B71BE" w:rsidDel="00AA2C06">
        <w:t xml:space="preserve">he number of ACA </w:t>
      </w:r>
      <w:r w:rsidR="001B71BE" w:rsidRPr="00E77D8E" w:rsidDel="00AA2C06">
        <w:rPr>
          <w:i/>
        </w:rPr>
        <w:t>members</w:t>
      </w:r>
      <w:r w:rsidR="001B71BE" w:rsidDel="00AA2C06">
        <w:t xml:space="preserve"> reporting that they rely on the HD exemption has increased from 52 to 53.  </w:t>
      </w:r>
      <w:r w:rsidR="001B71BE" w:rsidDel="00AA2C06">
        <w:rPr>
          <w:i/>
        </w:rPr>
        <w:t>See Fifth Report and Order</w:t>
      </w:r>
      <w:r w:rsidR="008F164F">
        <w:t>, 27 FCC Rcd at 6</w:t>
      </w:r>
      <w:r w:rsidR="001B71BE" w:rsidDel="00AA2C06">
        <w:t>5</w:t>
      </w:r>
      <w:r w:rsidR="008F164F">
        <w:t>4</w:t>
      </w:r>
      <w:r w:rsidR="001B71BE" w:rsidDel="00AA2C06">
        <w:t>7, ¶ 20.</w:t>
      </w:r>
    </w:p>
  </w:footnote>
  <w:footnote w:id="35">
    <w:p w:rsidR="001B71BE" w:rsidRPr="0043114A" w:rsidRDefault="001B71BE">
      <w:pPr>
        <w:pStyle w:val="FootnoteText"/>
        <w:rPr>
          <w:i/>
        </w:rPr>
      </w:pPr>
      <w:r>
        <w:rPr>
          <w:rStyle w:val="FootnoteReference"/>
        </w:rPr>
        <w:footnoteRef/>
      </w:r>
      <w:r>
        <w:t xml:space="preserve"> </w:t>
      </w:r>
      <w:r w:rsidDel="00AA2C06">
        <w:rPr>
          <w:i/>
        </w:rPr>
        <w:t>Petition</w:t>
      </w:r>
      <w:r w:rsidDel="00AA2C06">
        <w:t xml:space="preserve"> at 15-16</w:t>
      </w:r>
      <w:r>
        <w:t>.</w:t>
      </w:r>
    </w:p>
  </w:footnote>
  <w:footnote w:id="36">
    <w:p w:rsidR="00AB72DE" w:rsidRDefault="00AB72DE">
      <w:pPr>
        <w:pStyle w:val="FootnoteText"/>
      </w:pPr>
      <w:r>
        <w:rPr>
          <w:rStyle w:val="FootnoteReference"/>
        </w:rPr>
        <w:footnoteRef/>
      </w:r>
      <w:r>
        <w:t xml:space="preserve"> </w:t>
      </w:r>
      <w:r w:rsidDel="00AA2C06">
        <w:rPr>
          <w:i/>
        </w:rPr>
        <w:t xml:space="preserve">Id. </w:t>
      </w:r>
      <w:r w:rsidDel="00AA2C06">
        <w:t>at 16.</w:t>
      </w:r>
    </w:p>
  </w:footnote>
  <w:footnote w:id="37">
    <w:p w:rsidR="00AA6ACB" w:rsidRPr="00D01006" w:rsidRDefault="00AA6ACB">
      <w:pPr>
        <w:pStyle w:val="FootnoteText"/>
      </w:pPr>
      <w:r>
        <w:rPr>
          <w:rStyle w:val="FootnoteReference"/>
        </w:rPr>
        <w:footnoteRef/>
      </w:r>
      <w:r>
        <w:t xml:space="preserve"> As noted above, Section 614(b)(4)(A) of the Act requires that cable operators transmit local broadcast signals “without material degradation” and directs the Commission to “adopt carriage standards to ensure that, </w:t>
      </w:r>
      <w:r w:rsidRPr="00D01006">
        <w:rPr>
          <w:i/>
        </w:rPr>
        <w:t>to the extent technically feasible</w:t>
      </w:r>
      <w:r>
        <w:t xml:space="preserve">, the quality of signal processing and carriage provided . . . will be no less than that provided . . . for the carriage of any other type of signal.”  </w:t>
      </w:r>
      <w:r>
        <w:rPr>
          <w:i/>
        </w:rPr>
        <w:t xml:space="preserve">See </w:t>
      </w:r>
      <w:r w:rsidR="008F164F">
        <w:t>47 U.S.C. § 534</w:t>
      </w:r>
      <w:r>
        <w:t>(b)(4)(A)</w:t>
      </w:r>
      <w:r w:rsidR="008F164F">
        <w:t xml:space="preserve"> </w:t>
      </w:r>
      <w:r>
        <w:t>(emphasis added).</w:t>
      </w:r>
    </w:p>
  </w:footnote>
  <w:footnote w:id="38">
    <w:p w:rsidR="00AA6ACB" w:rsidRPr="00A21D0A" w:rsidRDefault="00AA6ACB">
      <w:pPr>
        <w:pStyle w:val="FootnoteText"/>
      </w:pPr>
      <w:r>
        <w:rPr>
          <w:rStyle w:val="FootnoteReference"/>
        </w:rPr>
        <w:footnoteRef/>
      </w:r>
      <w:r>
        <w:t xml:space="preserve"> </w:t>
      </w:r>
      <w:r>
        <w:rPr>
          <w:i/>
        </w:rPr>
        <w:t xml:space="preserve">See </w:t>
      </w:r>
      <w:r w:rsidRPr="00636DF6">
        <w:rPr>
          <w:i/>
        </w:rPr>
        <w:t xml:space="preserve">Petition </w:t>
      </w:r>
      <w:r>
        <w:t>at 17.</w:t>
      </w:r>
    </w:p>
  </w:footnote>
  <w:footnote w:id="39">
    <w:p w:rsidR="00AA6ACB" w:rsidRPr="0044695A" w:rsidRDefault="00AA6ACB">
      <w:pPr>
        <w:pStyle w:val="FootnoteText"/>
      </w:pPr>
      <w:r>
        <w:rPr>
          <w:rStyle w:val="FootnoteReference"/>
        </w:rPr>
        <w:footnoteRef/>
      </w:r>
      <w:r>
        <w:t xml:space="preserve"> </w:t>
      </w:r>
      <w:r>
        <w:rPr>
          <w:i/>
        </w:rPr>
        <w:t>Id.</w:t>
      </w:r>
    </w:p>
  </w:footnote>
  <w:footnote w:id="40">
    <w:p w:rsidR="00AA6ACB" w:rsidRPr="00773517" w:rsidRDefault="00AA6ACB">
      <w:pPr>
        <w:pStyle w:val="FootnoteText"/>
        <w:rPr>
          <w:i/>
        </w:rPr>
      </w:pPr>
      <w:r>
        <w:rPr>
          <w:rStyle w:val="FootnoteReference"/>
        </w:rPr>
        <w:footnoteRef/>
      </w:r>
      <w:r>
        <w:t xml:space="preserve"> </w:t>
      </w:r>
      <w:r>
        <w:rPr>
          <w:i/>
        </w:rPr>
        <w:t xml:space="preserve">Id.  </w:t>
      </w:r>
      <w:r>
        <w:t xml:space="preserve">ACA also asserts that in some cases, all-analog systems provide a locally operated, lower cost service that allows customers to receive basic cable programming without the need for set-top boxes.  </w:t>
      </w:r>
      <w:r>
        <w:rPr>
          <w:i/>
        </w:rPr>
        <w:t>Id.</w:t>
      </w:r>
    </w:p>
  </w:footnote>
  <w:footnote w:id="41">
    <w:p w:rsidR="00AA6ACB" w:rsidRPr="00A32BF0" w:rsidRDefault="00AA6ACB">
      <w:pPr>
        <w:pStyle w:val="FootnoteText"/>
      </w:pPr>
      <w:r>
        <w:rPr>
          <w:rStyle w:val="FootnoteReference"/>
        </w:rPr>
        <w:footnoteRef/>
      </w:r>
      <w:r>
        <w:t xml:space="preserve"> </w:t>
      </w:r>
      <w:r>
        <w:rPr>
          <w:i/>
        </w:rPr>
        <w:t>Id.</w:t>
      </w:r>
      <w:r>
        <w:t xml:space="preserve"> at 4-5.</w:t>
      </w:r>
    </w:p>
  </w:footnote>
  <w:footnote w:id="42">
    <w:p w:rsidR="005543C8" w:rsidRDefault="005543C8" w:rsidP="005543C8">
      <w:pPr>
        <w:pStyle w:val="FootnoteText"/>
      </w:pPr>
      <w:r>
        <w:rPr>
          <w:rStyle w:val="FootnoteReference"/>
        </w:rPr>
        <w:footnoteRef/>
      </w:r>
      <w:r>
        <w:t xml:space="preserve"> </w:t>
      </w:r>
      <w:r>
        <w:rPr>
          <w:snapToGrid w:val="0"/>
        </w:rPr>
        <w:t xml:space="preserve">As noted above, the Commission, in the </w:t>
      </w:r>
      <w:r>
        <w:rPr>
          <w:i/>
          <w:iCs/>
          <w:snapToGrid w:val="0"/>
        </w:rPr>
        <w:t>Fifth Report and Order</w:t>
      </w:r>
      <w:r>
        <w:rPr>
          <w:snapToGrid w:val="0"/>
        </w:rPr>
        <w:t xml:space="preserve">, declined to eliminate application of the HD carriage exemption to systems that carry any signal in HD on the grounds that a system’s ability to offer some HD service did not refute an argument that offering additional HD service was burdensome, and that not allowing such systems to invoke the exemption would discourage them from taking incremental steps to offer more HD programming to subscribers.  </w:t>
      </w:r>
      <w:r>
        <w:rPr>
          <w:i/>
        </w:rPr>
        <w:t xml:space="preserve">See supra </w:t>
      </w:r>
      <w:r w:rsidR="00D924FE">
        <w:t xml:space="preserve">note </w:t>
      </w:r>
      <w:r w:rsidRPr="00D924FE">
        <w:t>12</w:t>
      </w:r>
      <w:r>
        <w:t>.</w:t>
      </w:r>
    </w:p>
  </w:footnote>
  <w:footnote w:id="43">
    <w:p w:rsidR="005543C8" w:rsidRPr="005543C8" w:rsidRDefault="005543C8">
      <w:pPr>
        <w:pStyle w:val="FootnoteText"/>
      </w:pPr>
      <w:r>
        <w:rPr>
          <w:rStyle w:val="FootnoteReference"/>
        </w:rPr>
        <w:footnoteRef/>
      </w:r>
      <w:r>
        <w:t xml:space="preserve"> </w:t>
      </w:r>
      <w:r>
        <w:rPr>
          <w:i/>
        </w:rPr>
        <w:t>Petition</w:t>
      </w:r>
      <w:r>
        <w:t xml:space="preserve"> at 5-6.</w:t>
      </w:r>
    </w:p>
  </w:footnote>
  <w:footnote w:id="44">
    <w:p w:rsidR="00AA6ACB" w:rsidRPr="005E44BD" w:rsidRDefault="00AA6ACB">
      <w:pPr>
        <w:pStyle w:val="FootnoteText"/>
      </w:pPr>
      <w:r>
        <w:rPr>
          <w:rStyle w:val="FootnoteReference"/>
        </w:rPr>
        <w:footnoteRef/>
      </w:r>
      <w:r>
        <w:t xml:space="preserve"> </w:t>
      </w:r>
      <w:r w:rsidR="00E6377D">
        <w:rPr>
          <w:i/>
        </w:rPr>
        <w:t xml:space="preserve">Id. </w:t>
      </w:r>
      <w:r w:rsidR="0083797C">
        <w:t xml:space="preserve">at 5-7 and Tables </w:t>
      </w:r>
      <w:r>
        <w:t>2</w:t>
      </w:r>
      <w:r w:rsidR="0083797C">
        <w:t>, 3</w:t>
      </w:r>
      <w:r>
        <w:t>.</w:t>
      </w:r>
    </w:p>
  </w:footnote>
  <w:footnote w:id="45">
    <w:p w:rsidR="00AA6ACB" w:rsidRDefault="00AA6ACB">
      <w:pPr>
        <w:pStyle w:val="FootnoteText"/>
      </w:pPr>
      <w:r>
        <w:rPr>
          <w:rStyle w:val="FootnoteReference"/>
        </w:rPr>
        <w:footnoteRef/>
      </w:r>
      <w:r>
        <w:t xml:space="preserve"> </w:t>
      </w:r>
      <w:r w:rsidRPr="00636DF6">
        <w:rPr>
          <w:i/>
        </w:rPr>
        <w:t>See supra</w:t>
      </w:r>
      <w:r>
        <w:t xml:space="preserve"> </w:t>
      </w:r>
      <w:r w:rsidR="00AD14EE" w:rsidRPr="00D924FE">
        <w:t xml:space="preserve">¶ </w:t>
      </w:r>
      <w:r w:rsidR="007D5D10" w:rsidRPr="00D924FE">
        <w:t>8</w:t>
      </w:r>
      <w:r>
        <w:t>.</w:t>
      </w:r>
    </w:p>
  </w:footnote>
  <w:footnote w:id="46">
    <w:p w:rsidR="00AA6ACB" w:rsidRDefault="00AA6ACB">
      <w:pPr>
        <w:pStyle w:val="FootnoteText"/>
      </w:pPr>
      <w:r>
        <w:rPr>
          <w:rStyle w:val="FootnoteReference"/>
        </w:rPr>
        <w:footnoteRef/>
      </w:r>
      <w:r>
        <w:t xml:space="preserve"> </w:t>
      </w:r>
      <w:r>
        <w:rPr>
          <w:i/>
        </w:rPr>
        <w:t>Compare Fifth Report and Order</w:t>
      </w:r>
      <w:r w:rsidR="008F164F">
        <w:t>, 27 FCC Rcd at 6</w:t>
      </w:r>
      <w:r>
        <w:t>5</w:t>
      </w:r>
      <w:r w:rsidR="008F164F">
        <w:t>4</w:t>
      </w:r>
      <w:r>
        <w:t xml:space="preserve">7, ¶ 20 (citing ACA’s report that “at least 52 of its members” rely on the exemption) </w:t>
      </w:r>
      <w:r>
        <w:rPr>
          <w:i/>
        </w:rPr>
        <w:t xml:space="preserve">with Petition </w:t>
      </w:r>
      <w:r>
        <w:t xml:space="preserve">at 4-5 (reporting that </w:t>
      </w:r>
      <w:r w:rsidR="00FA6FC0">
        <w:t>“</w:t>
      </w:r>
      <w:r>
        <w:t xml:space="preserve">at </w:t>
      </w:r>
      <w:r w:rsidR="00FA6FC0">
        <w:t xml:space="preserve">a minimum, </w:t>
      </w:r>
      <w:r>
        <w:t xml:space="preserve">53 </w:t>
      </w:r>
      <w:r w:rsidR="00FA6FC0">
        <w:t xml:space="preserve">ACA </w:t>
      </w:r>
      <w:r>
        <w:t xml:space="preserve">members </w:t>
      </w:r>
      <w:r w:rsidR="00FA6FC0">
        <w:t xml:space="preserve">. . . continue to </w:t>
      </w:r>
      <w:r>
        <w:t xml:space="preserve">rely on the </w:t>
      </w:r>
      <w:r w:rsidR="00FA6FC0">
        <w:t xml:space="preserve">HD carriage </w:t>
      </w:r>
      <w:r>
        <w:t>exemption</w:t>
      </w:r>
      <w:r w:rsidR="00FA6FC0">
        <w:t>”)</w:t>
      </w:r>
      <w:r>
        <w:t>.</w:t>
      </w:r>
    </w:p>
  </w:footnote>
  <w:footnote w:id="47">
    <w:p w:rsidR="0019699D" w:rsidRDefault="0019699D">
      <w:pPr>
        <w:pStyle w:val="FootnoteText"/>
      </w:pPr>
      <w:r>
        <w:rPr>
          <w:rStyle w:val="FootnoteReference"/>
        </w:rPr>
        <w:footnoteRef/>
      </w:r>
      <w:r>
        <w:t xml:space="preserve"> Although </w:t>
      </w:r>
      <w:r w:rsidR="00892C36">
        <w:t>ACA states</w:t>
      </w:r>
      <w:r>
        <w:t xml:space="preserve"> that “some systems that relied on the HD exemption in the past no longer rely upon it because a business case materialized for an upgrade to occur,” </w:t>
      </w:r>
      <w:r w:rsidR="00892C36">
        <w:t>ACA</w:t>
      </w:r>
      <w:r>
        <w:t xml:space="preserve"> also </w:t>
      </w:r>
      <w:r w:rsidR="00892C36">
        <w:t xml:space="preserve">asserts </w:t>
      </w:r>
      <w:r>
        <w:t xml:space="preserve">that “system shutdowns [will be] the primary reason that there will be fewer systems relying on the HD exemption” in the next three years.  </w:t>
      </w:r>
      <w:r>
        <w:rPr>
          <w:i/>
        </w:rPr>
        <w:t xml:space="preserve">Petition </w:t>
      </w:r>
      <w:r>
        <w:t xml:space="preserve">at 16 and n.33.  </w:t>
      </w:r>
      <w:r w:rsidR="00535CB8">
        <w:t xml:space="preserve">ACA thus contends that “the benefit of the HD exemption is not only in avoiding the hastening of system closings, but in giving systems time to make upgrades possible.”  </w:t>
      </w:r>
      <w:r w:rsidR="00535CB8">
        <w:rPr>
          <w:i/>
        </w:rPr>
        <w:t>Id.</w:t>
      </w:r>
      <w:r>
        <w:t xml:space="preserve"> </w:t>
      </w:r>
    </w:p>
  </w:footnote>
  <w:footnote w:id="48">
    <w:p w:rsidR="00AA6ACB" w:rsidRDefault="00AA6ACB">
      <w:pPr>
        <w:pStyle w:val="FootnoteText"/>
      </w:pPr>
      <w:r>
        <w:rPr>
          <w:rStyle w:val="FootnoteReference"/>
        </w:rPr>
        <w:footnoteRef/>
      </w:r>
      <w:r>
        <w:t xml:space="preserve"> </w:t>
      </w:r>
      <w:r w:rsidR="00101567">
        <w:rPr>
          <w:i/>
        </w:rPr>
        <w:t>Id.</w:t>
      </w:r>
      <w:r>
        <w:t xml:space="preserve"> at 15-16.  </w:t>
      </w:r>
    </w:p>
  </w:footnote>
  <w:footnote w:id="49">
    <w:p w:rsidR="008B7F38" w:rsidRPr="008B7F38" w:rsidRDefault="008264ED">
      <w:pPr>
        <w:pStyle w:val="FootnoteText"/>
      </w:pPr>
      <w:r>
        <w:rPr>
          <w:rStyle w:val="FootnoteReference"/>
        </w:rPr>
        <w:footnoteRef/>
      </w:r>
      <w:r>
        <w:t xml:space="preserve"> </w:t>
      </w:r>
      <w:bookmarkStart w:id="1" w:name="SR;1089"/>
      <w:bookmarkStart w:id="2" w:name="SR;1090"/>
      <w:bookmarkStart w:id="3" w:name="SR;1091"/>
      <w:bookmarkStart w:id="4" w:name="SR;1100"/>
      <w:bookmarkStart w:id="5" w:name="SR;1103"/>
      <w:bookmarkEnd w:id="1"/>
      <w:bookmarkEnd w:id="2"/>
      <w:bookmarkEnd w:id="3"/>
      <w:bookmarkEnd w:id="4"/>
      <w:bookmarkEnd w:id="5"/>
      <w:r w:rsidR="008B7F38" w:rsidRPr="008B7F38">
        <w:rPr>
          <w:color w:val="000000"/>
        </w:rPr>
        <w:t>Section</w:t>
      </w:r>
      <w:r w:rsidR="008B7F38">
        <w:rPr>
          <w:color w:val="000000"/>
        </w:rPr>
        <w:t xml:space="preserve"> 73.682(d)</w:t>
      </w:r>
      <w:bookmarkStart w:id="6" w:name="SR;641"/>
      <w:bookmarkStart w:id="7" w:name="SR;642"/>
      <w:bookmarkStart w:id="8" w:name="SR;643"/>
      <w:bookmarkEnd w:id="6"/>
      <w:bookmarkEnd w:id="7"/>
      <w:bookmarkEnd w:id="8"/>
      <w:r w:rsidR="008B7F38" w:rsidRPr="008B7F38">
        <w:rPr>
          <w:color w:val="000000"/>
        </w:rPr>
        <w:t xml:space="preserve"> of the </w:t>
      </w:r>
      <w:r w:rsidR="00F05CFF">
        <w:rPr>
          <w:color w:val="000000"/>
        </w:rPr>
        <w:t>Commission</w:t>
      </w:r>
      <w:r w:rsidR="008B7F38" w:rsidRPr="008B7F38">
        <w:rPr>
          <w:color w:val="000000"/>
        </w:rPr>
        <w:t xml:space="preserve">'s rules prescribes that digital broadcast television signals must comply with certain privately developed engineering protocols that the rule incorporates by reference. </w:t>
      </w:r>
      <w:r w:rsidR="00804C6C">
        <w:rPr>
          <w:color w:val="000000"/>
        </w:rPr>
        <w:t xml:space="preserve"> </w:t>
      </w:r>
      <w:r w:rsidR="008B7F38" w:rsidRPr="00804C6C">
        <w:rPr>
          <w:i/>
          <w:color w:val="000000"/>
        </w:rPr>
        <w:t>See</w:t>
      </w:r>
      <w:r w:rsidR="008B7F38" w:rsidRPr="00804C6C">
        <w:rPr>
          <w:color w:val="000000"/>
        </w:rPr>
        <w:t xml:space="preserve"> 47 C.F.R. § </w:t>
      </w:r>
      <w:r w:rsidR="00804C6C">
        <w:rPr>
          <w:color w:val="000000"/>
        </w:rPr>
        <w:t>73.682(d)</w:t>
      </w:r>
      <w:r w:rsidR="008B7F38" w:rsidRPr="00804C6C">
        <w:rPr>
          <w:color w:val="000000"/>
        </w:rPr>
        <w:t>.  The channel identification data that a station t</w:t>
      </w:r>
      <w:r w:rsidR="008B7F38" w:rsidRPr="005F65C6">
        <w:rPr>
          <w:color w:val="000000"/>
        </w:rPr>
        <w:t>ransmits, for example, must comply with “</w:t>
      </w:r>
      <w:bookmarkStart w:id="9" w:name="SR;689"/>
      <w:bookmarkEnd w:id="9"/>
      <w:r w:rsidR="008B7F38">
        <w:rPr>
          <w:color w:val="000000"/>
        </w:rPr>
        <w:t>ATSC</w:t>
      </w:r>
      <w:r w:rsidR="008B7F38" w:rsidRPr="00804C6C">
        <w:rPr>
          <w:color w:val="000000"/>
        </w:rPr>
        <w:t xml:space="preserve"> A/65C: ‘</w:t>
      </w:r>
      <w:bookmarkStart w:id="10" w:name="SR;692"/>
      <w:bookmarkEnd w:id="10"/>
      <w:r w:rsidR="00804C6C">
        <w:rPr>
          <w:color w:val="000000"/>
        </w:rPr>
        <w:t>ATSC</w:t>
      </w:r>
      <w:r w:rsidR="008B7F38" w:rsidRPr="00804C6C">
        <w:rPr>
          <w:color w:val="000000"/>
        </w:rPr>
        <w:t xml:space="preserve"> Program and System Information Protocol for Terrestrial Bro</w:t>
      </w:r>
      <w:r w:rsidR="008B7F38" w:rsidRPr="005F65C6">
        <w:rPr>
          <w:color w:val="000000"/>
        </w:rPr>
        <w:t>adcast and Cable, Revision C With Amendment No. 1 dated May 9, 2006,’ (January 2, 2006).</w:t>
      </w:r>
      <w:r w:rsidR="008F164F">
        <w:rPr>
          <w:color w:val="000000"/>
        </w:rPr>
        <w:t>”</w:t>
      </w:r>
      <w:r w:rsidR="008B7F38" w:rsidRPr="005F65C6">
        <w:rPr>
          <w:color w:val="000000"/>
        </w:rPr>
        <w:t xml:space="preserve">  </w:t>
      </w:r>
      <w:r w:rsidR="008B7F38" w:rsidRPr="005F65C6">
        <w:rPr>
          <w:i/>
          <w:color w:val="000000"/>
        </w:rPr>
        <w:t>Id.</w:t>
      </w:r>
    </w:p>
  </w:footnote>
  <w:footnote w:id="50">
    <w:p w:rsidR="00AA6ACB" w:rsidRDefault="00AA6ACB" w:rsidP="00AA7648">
      <w:pPr>
        <w:pStyle w:val="FootnoteText"/>
        <w:rPr>
          <w:highlight w:val="yellow"/>
        </w:rPr>
      </w:pPr>
      <w:r>
        <w:rPr>
          <w:rStyle w:val="FootnoteReference"/>
        </w:rPr>
        <w:footnoteRef/>
      </w:r>
      <w:r>
        <w:t xml:space="preserve"> </w:t>
      </w:r>
      <w:r>
        <w:rPr>
          <w:i/>
        </w:rPr>
        <w:t>See</w:t>
      </w:r>
      <w:r>
        <w:t xml:space="preserve"> 5 U.S.C. § 603.  The RFA, </w:t>
      </w:r>
      <w:r>
        <w:rPr>
          <w:i/>
        </w:rPr>
        <w:t>see</w:t>
      </w:r>
      <w:r>
        <w:t xml:space="preserve"> 5 U.S.C. § 601 </w:t>
      </w:r>
      <w:r w:rsidRPr="00C0478E">
        <w:rPr>
          <w:i/>
        </w:rPr>
        <w:t>et seq</w:t>
      </w:r>
      <w:r>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51">
    <w:p w:rsidR="00F46A52" w:rsidRDefault="00F46A52" w:rsidP="00F46A52">
      <w:pPr>
        <w:pStyle w:val="FootnoteText"/>
      </w:pPr>
      <w:r>
        <w:rPr>
          <w:rStyle w:val="FootnoteReference"/>
        </w:rPr>
        <w:footnoteRef/>
      </w:r>
      <w:r>
        <w:t xml:space="preserve"> Paperwork Reduction Act of 1995 (“PRA”), Pub. L. No. 104-13, 109 Stat 163 (1995) (codified in Chapter 35 of Title 44 U.S.C.).</w:t>
      </w:r>
    </w:p>
  </w:footnote>
  <w:footnote w:id="52">
    <w:p w:rsidR="00F46A52" w:rsidRPr="00AD538C" w:rsidRDefault="00F46A52" w:rsidP="00F46A52">
      <w:pPr>
        <w:pStyle w:val="FootnoteText"/>
      </w:pPr>
      <w:r w:rsidRPr="00AD538C">
        <w:rPr>
          <w:rStyle w:val="FootnoteReference"/>
        </w:rPr>
        <w:footnoteRef/>
      </w:r>
      <w:r w:rsidRPr="00AD538C">
        <w:t xml:space="preserve"> The Small Business Paperwork Relief Act of 2002 (SBPRA), Pub. L. No. 107-198, 116 Stat 729 (2002) (codified in Chapter 35 of title 44 U.S.C.); </w:t>
      </w:r>
      <w:r w:rsidRPr="00AD538C">
        <w:rPr>
          <w:i/>
        </w:rPr>
        <w:t>see</w:t>
      </w:r>
      <w:r w:rsidRPr="00AD538C">
        <w:t xml:space="preserve"> 44 U.S.C. 3506(c)(4).</w:t>
      </w:r>
    </w:p>
  </w:footnote>
  <w:footnote w:id="53">
    <w:p w:rsidR="00AA6ACB" w:rsidRDefault="00AA6ACB">
      <w:pPr>
        <w:pStyle w:val="FootnoteText"/>
        <w:rPr>
          <w:i/>
          <w:iCs/>
        </w:rPr>
      </w:pPr>
      <w:r>
        <w:rPr>
          <w:rStyle w:val="FootnoteReference"/>
        </w:rPr>
        <w:footnoteRef/>
      </w:r>
      <w:r>
        <w:t xml:space="preserve"> 47 C.F.R. §§ 1.1200 </w:t>
      </w:r>
      <w:r>
        <w:rPr>
          <w:i/>
          <w:iCs/>
        </w:rPr>
        <w:t>et seq.</w:t>
      </w:r>
    </w:p>
  </w:footnote>
  <w:footnote w:id="54">
    <w:p w:rsidR="00AA6ACB" w:rsidRPr="00AD538C" w:rsidRDefault="00AA6ACB" w:rsidP="009E2763">
      <w:pPr>
        <w:pStyle w:val="FootnoteText"/>
      </w:pPr>
      <w:r w:rsidRPr="00AD538C">
        <w:rPr>
          <w:rStyle w:val="FootnoteReference"/>
        </w:rPr>
        <w:footnoteRef/>
      </w:r>
      <w:r w:rsidRPr="00AD538C">
        <w:t xml:space="preserve"> </w:t>
      </w:r>
      <w:r w:rsidRPr="00AD538C">
        <w:rPr>
          <w:i/>
        </w:rPr>
        <w:t>See</w:t>
      </w:r>
      <w:r w:rsidRPr="00AD538C">
        <w:t xml:space="preserve"> 47 C.F.R. §§ 1.415, 1419.</w:t>
      </w:r>
    </w:p>
  </w:footnote>
  <w:footnote w:id="55">
    <w:p w:rsidR="00AA6ACB" w:rsidRPr="00AD538C" w:rsidRDefault="00AA6ACB" w:rsidP="009E2763">
      <w:pPr>
        <w:pStyle w:val="FootnoteText"/>
        <w:rPr>
          <w:szCs w:val="22"/>
        </w:rPr>
      </w:pPr>
      <w:r w:rsidRPr="00AD538C">
        <w:rPr>
          <w:rStyle w:val="FootnoteReference"/>
        </w:rPr>
        <w:footnoteRef/>
      </w:r>
      <w:r w:rsidRPr="00AD538C">
        <w:t xml:space="preserve"> </w:t>
      </w:r>
      <w:r w:rsidRPr="00AD538C">
        <w:rPr>
          <w:i/>
          <w:szCs w:val="22"/>
        </w:rPr>
        <w:t>See</w:t>
      </w:r>
      <w:r w:rsidRPr="00AD538C">
        <w:rPr>
          <w:szCs w:val="22"/>
        </w:rPr>
        <w:t xml:space="preserve"> </w:t>
      </w:r>
      <w:r w:rsidRPr="00AD538C">
        <w:rPr>
          <w:i/>
          <w:szCs w:val="22"/>
        </w:rPr>
        <w:t>Electronic Filing of Documents in Rulemaking Proceedings</w:t>
      </w:r>
      <w:r w:rsidRPr="00AD538C">
        <w:rPr>
          <w:szCs w:val="22"/>
        </w:rPr>
        <w:t>, GC Docket No. 97-113, Report and Order, 13 FCC Rcd 11322 (1998).</w:t>
      </w:r>
    </w:p>
  </w:footnote>
  <w:footnote w:id="56">
    <w:p w:rsidR="00AA6ACB" w:rsidRDefault="00AA6ACB">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w:t>
      </w:r>
    </w:p>
  </w:footnote>
  <w:footnote w:id="57">
    <w:p w:rsidR="00AA6ACB" w:rsidRDefault="00AA6ACB">
      <w:pPr>
        <w:pStyle w:val="FootnoteText"/>
      </w:pPr>
      <w:r>
        <w:rPr>
          <w:rStyle w:val="FootnoteReference"/>
        </w:rPr>
        <w:footnoteRef/>
      </w:r>
      <w:r>
        <w:t xml:space="preserve"> </w:t>
      </w:r>
      <w:r>
        <w:rPr>
          <w:i/>
        </w:rPr>
        <w:t>See</w:t>
      </w:r>
      <w:r>
        <w:t xml:space="preserve"> 5 U.S.C. § 603(a).</w:t>
      </w:r>
    </w:p>
  </w:footnote>
  <w:footnote w:id="58">
    <w:p w:rsidR="00AA6ACB" w:rsidRDefault="00AA6ACB">
      <w:pPr>
        <w:pStyle w:val="FootnoteText"/>
      </w:pPr>
      <w:r>
        <w:rPr>
          <w:rStyle w:val="FootnoteReference"/>
        </w:rPr>
        <w:footnoteRef/>
      </w:r>
      <w:r>
        <w:t xml:space="preserve"> </w:t>
      </w:r>
      <w:r>
        <w:rPr>
          <w:i/>
        </w:rPr>
        <w:t>See</w:t>
      </w:r>
      <w:r>
        <w:t xml:space="preserve"> </w:t>
      </w:r>
      <w:r>
        <w:rPr>
          <w:i/>
        </w:rPr>
        <w:t>id.</w:t>
      </w:r>
      <w:r>
        <w:t xml:space="preserve">  </w:t>
      </w:r>
    </w:p>
  </w:footnote>
  <w:footnote w:id="59">
    <w:p w:rsidR="007B7C40" w:rsidRPr="007B7C40" w:rsidRDefault="007B7C40">
      <w:pPr>
        <w:pStyle w:val="FootnoteText"/>
      </w:pPr>
      <w:r>
        <w:rPr>
          <w:rStyle w:val="FootnoteReference"/>
        </w:rPr>
        <w:footnoteRef/>
      </w:r>
      <w:r>
        <w:t xml:space="preserve"> </w:t>
      </w:r>
      <w:r>
        <w:rPr>
          <w:i/>
        </w:rPr>
        <w:t>See F</w:t>
      </w:r>
      <w:r w:rsidR="00CC2D83">
        <w:rPr>
          <w:i/>
        </w:rPr>
        <w:t>ifth Further Notice</w:t>
      </w:r>
      <w:r>
        <w:t xml:space="preserve"> at ¶¶ 10-15.</w:t>
      </w:r>
    </w:p>
  </w:footnote>
  <w:footnote w:id="60">
    <w:p w:rsidR="00AA6ACB" w:rsidRDefault="00AA6ACB">
      <w:pPr>
        <w:pStyle w:val="FootnoteText"/>
        <w:tabs>
          <w:tab w:val="left" w:pos="0"/>
        </w:tabs>
        <w:suppressAutoHyphens/>
      </w:pPr>
      <w:r>
        <w:rPr>
          <w:rStyle w:val="FootnoteReference"/>
        </w:rPr>
        <w:footnoteRef/>
      </w:r>
      <w:r>
        <w:t xml:space="preserve"> 5 U.S.C. § 603(b)(3). </w:t>
      </w:r>
    </w:p>
  </w:footnote>
  <w:footnote w:id="61">
    <w:p w:rsidR="00AA6ACB" w:rsidRDefault="00AA6ACB">
      <w:pPr>
        <w:pStyle w:val="FootnoteText"/>
        <w:tabs>
          <w:tab w:val="left" w:pos="0"/>
        </w:tabs>
        <w:suppressAutoHyphens/>
      </w:pPr>
      <w:r>
        <w:rPr>
          <w:rStyle w:val="FootnoteReference"/>
        </w:rPr>
        <w:footnoteRef/>
      </w:r>
      <w:r>
        <w:t xml:space="preserve"> 5 U.S.C. § 601(b).</w:t>
      </w:r>
    </w:p>
  </w:footnote>
  <w:footnote w:id="62">
    <w:p w:rsidR="00AA6ACB" w:rsidRDefault="00AA6ACB">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3">
    <w:p w:rsidR="00AA6ACB" w:rsidRDefault="00AA6ACB">
      <w:pPr>
        <w:pStyle w:val="FootnoteText"/>
        <w:tabs>
          <w:tab w:val="left" w:pos="0"/>
        </w:tabs>
        <w:suppressAutoHyphens/>
      </w:pPr>
      <w:r>
        <w:rPr>
          <w:rStyle w:val="FootnoteReference"/>
        </w:rPr>
        <w:footnoteRef/>
      </w:r>
      <w:r>
        <w:t xml:space="preserve"> 15 U.S.C. § 632.</w:t>
      </w:r>
    </w:p>
  </w:footnote>
  <w:footnote w:id="64">
    <w:p w:rsidR="00AA6ACB" w:rsidRPr="00C63321" w:rsidRDefault="00AA6ACB" w:rsidP="00E62CC8">
      <w:pPr>
        <w:pStyle w:val="FootnoteText"/>
        <w:spacing w:line="240" w:lineRule="atLeast"/>
        <w:rPr>
          <w:i/>
        </w:rPr>
      </w:pPr>
      <w:r w:rsidRPr="009539DB">
        <w:rPr>
          <w:rStyle w:val="FootnoteReference"/>
        </w:rPr>
        <w:footnoteRef/>
      </w:r>
      <w:r w:rsidRPr="009539DB">
        <w:t xml:space="preserve"> 47 C.F.R. § 76.901(e).  The Commission determined that this size standard equates approximately to a size standard of $100 million or less in annual revenues.  </w:t>
      </w:r>
      <w:r w:rsidRPr="009539DB">
        <w:rPr>
          <w:i/>
        </w:rPr>
        <w:t xml:space="preserve">Implementation of Sections of the Cable </w:t>
      </w:r>
      <w:r w:rsidRPr="00601DB5">
        <w:rPr>
          <w:i/>
        </w:rPr>
        <w:t xml:space="preserve">Television Consumer Protection And Competition </w:t>
      </w:r>
      <w:r w:rsidRPr="009539DB">
        <w:rPr>
          <w:i/>
        </w:rPr>
        <w:t>Act</w:t>
      </w:r>
      <w:r>
        <w:rPr>
          <w:i/>
        </w:rPr>
        <w:t xml:space="preserve"> of 1992</w:t>
      </w:r>
      <w:r w:rsidRPr="009539DB">
        <w:rPr>
          <w:i/>
        </w:rPr>
        <w:t xml:space="preserve">: Rate Regulation, </w:t>
      </w:r>
      <w:r w:rsidRPr="00601DB5">
        <w:t>MM Docket No. 92-266, MM Docket No. 93-215</w:t>
      </w:r>
      <w:r w:rsidRPr="00601DB5">
        <w:rPr>
          <w:i/>
        </w:rPr>
        <w:t xml:space="preserve">, </w:t>
      </w:r>
      <w:r w:rsidRPr="009539DB">
        <w:t>Sixth Report and Order and Eleventh Order on Reconsideration, 10 FCC Rcd 7393, 7408</w:t>
      </w:r>
      <w:r>
        <w:t>, ¶ 28</w:t>
      </w:r>
      <w:r w:rsidRPr="009539DB">
        <w:t xml:space="preserve"> (1995).</w:t>
      </w:r>
    </w:p>
  </w:footnote>
  <w:footnote w:id="65">
    <w:p w:rsidR="00AA6ACB" w:rsidRPr="00601DB5" w:rsidRDefault="00AA6ACB" w:rsidP="00E62CC8">
      <w:pPr>
        <w:pStyle w:val="FootnoteText"/>
      </w:pPr>
      <w:r w:rsidRPr="00601DB5">
        <w:rPr>
          <w:rStyle w:val="FootnoteReference"/>
        </w:rPr>
        <w:footnoteRef/>
      </w:r>
      <w:r w:rsidRPr="00601DB5">
        <w:t xml:space="preserve"> NCTA, Industry Data, Number of Cable Operat</w:t>
      </w:r>
      <w:r>
        <w:t>ors and Systems</w:t>
      </w:r>
      <w:r w:rsidRPr="00601DB5">
        <w:t xml:space="preserve">, </w:t>
      </w:r>
      <w:hyperlink r:id="rId1" w:history="1">
        <w:r w:rsidR="00BE37B0" w:rsidRPr="00BE37B0">
          <w:rPr>
            <w:rStyle w:val="Hyperlink"/>
          </w:rPr>
          <w:t>htt</w:t>
        </w:r>
        <w:r w:rsidR="00BE37B0" w:rsidRPr="005F65C6">
          <w:rPr>
            <w:rStyle w:val="Hyperlink"/>
          </w:rPr>
          <w:t>p://www.ncta.com/Statistics.aspx</w:t>
        </w:r>
      </w:hyperlink>
      <w:r w:rsidRPr="00601DB5">
        <w:t xml:space="preserve"> (visited </w:t>
      </w:r>
      <w:r>
        <w:t>October 13</w:t>
      </w:r>
      <w:r w:rsidRPr="00601DB5">
        <w:t>, 201</w:t>
      </w:r>
      <w:r>
        <w:t>4</w:t>
      </w:r>
      <w:r w:rsidRPr="00601DB5">
        <w:t xml:space="preserve">).  Depending upon the number of homes and the size of the geographic area served, cable operators use one or more cable systems to provide video service.  </w:t>
      </w:r>
      <w:r w:rsidRPr="00601DB5">
        <w:rPr>
          <w:i/>
        </w:rPr>
        <w:t xml:space="preserve">See Annual Assessment of the Status of Competition in the Market for Delivery of Video Programming, </w:t>
      </w:r>
      <w:r w:rsidRPr="00601DB5">
        <w:t xml:space="preserve">MB Docket No. 12-203, Fifteenth Report, </w:t>
      </w:r>
      <w:r>
        <w:t xml:space="preserve">28 FCC Rcd 10496, 10505-6, </w:t>
      </w:r>
      <w:r w:rsidRPr="00601DB5">
        <w:t>¶ 24 (2013) (</w:t>
      </w:r>
      <w:r>
        <w:t>“</w:t>
      </w:r>
      <w:r w:rsidRPr="00601DB5">
        <w:rPr>
          <w:i/>
        </w:rPr>
        <w:t>15</w:t>
      </w:r>
      <w:r w:rsidRPr="00601DB5">
        <w:rPr>
          <w:i/>
          <w:vertAlign w:val="superscript"/>
        </w:rPr>
        <w:t>th</w:t>
      </w:r>
      <w:r w:rsidRPr="00601DB5">
        <w:rPr>
          <w:i/>
        </w:rPr>
        <w:t xml:space="preserve"> Annual Competition Report</w:t>
      </w:r>
      <w:r w:rsidRPr="00601DB5">
        <w:t>”</w:t>
      </w:r>
      <w:r w:rsidRPr="00601DB5">
        <w:rPr>
          <w:i/>
        </w:rPr>
        <w:t>)</w:t>
      </w:r>
      <w:r w:rsidRPr="00601DB5">
        <w:t>.</w:t>
      </w:r>
    </w:p>
  </w:footnote>
  <w:footnote w:id="66">
    <w:p w:rsidR="00AA6ACB" w:rsidRPr="000F7EED" w:rsidRDefault="00AA6ACB" w:rsidP="00E62CC8">
      <w:pPr>
        <w:pStyle w:val="FootnoteText"/>
        <w:rPr>
          <w:b/>
        </w:rPr>
      </w:pPr>
      <w:r w:rsidRPr="009539DB">
        <w:rPr>
          <w:rStyle w:val="FootnoteReference"/>
        </w:rPr>
        <w:footnoteRef/>
      </w:r>
      <w:r w:rsidRPr="009539DB">
        <w:t xml:space="preserve"> </w:t>
      </w:r>
      <w:r w:rsidRPr="009539DB">
        <w:rPr>
          <w:i/>
        </w:rPr>
        <w:t>See</w:t>
      </w:r>
      <w:r w:rsidRPr="00DA0210">
        <w:rPr>
          <w:i/>
        </w:rPr>
        <w:t xml:space="preserve"> </w:t>
      </w:r>
      <w:r w:rsidRPr="00601DB5">
        <w:t xml:space="preserve">SNL Kagan, “Top Cable MSOs – 12/12 Q”; available at </w:t>
      </w:r>
      <w:hyperlink r:id="rId2" w:history="1">
        <w:r w:rsidRPr="00601DB5">
          <w:rPr>
            <w:rStyle w:val="Hyperlink"/>
          </w:rPr>
          <w:t>http://www.snl.com/InteractiveX/TopCableMSOs.aspx?period=2012Q4&amp;sortcol=subscribersbasic&amp;sortorder=desc</w:t>
        </w:r>
      </w:hyperlink>
      <w:r w:rsidRPr="00601DB5">
        <w:t>.</w:t>
      </w:r>
      <w:r w:rsidRPr="00601DB5">
        <w:rPr>
          <w:b/>
        </w:rPr>
        <w:t xml:space="preserve">  </w:t>
      </w:r>
    </w:p>
  </w:footnote>
  <w:footnote w:id="67">
    <w:p w:rsidR="00AA6ACB" w:rsidRDefault="00AA6ACB" w:rsidP="00E62CC8">
      <w:pPr>
        <w:pStyle w:val="FootnoteText"/>
        <w:spacing w:line="240" w:lineRule="atLeast"/>
      </w:pPr>
      <w:r w:rsidRPr="009539DB">
        <w:rPr>
          <w:rStyle w:val="FootnoteReference"/>
        </w:rPr>
        <w:footnoteRef/>
      </w:r>
      <w:r w:rsidRPr="009539DB">
        <w:t xml:space="preserve"> 47 C.F.R. § 76.901(c).  </w:t>
      </w:r>
    </w:p>
  </w:footnote>
  <w:footnote w:id="68">
    <w:p w:rsidR="00AA6ACB" w:rsidRPr="00601DB5" w:rsidRDefault="00AA6ACB" w:rsidP="00E62CC8">
      <w:pPr>
        <w:pStyle w:val="FootnoteText"/>
      </w:pPr>
      <w:r w:rsidRPr="00601DB5">
        <w:rPr>
          <w:rStyle w:val="FootnoteReference"/>
        </w:rPr>
        <w:footnoteRef/>
      </w:r>
      <w:r w:rsidRPr="00601DB5">
        <w:t xml:space="preserve"> The number of active, registered cable systems comes from the Commission’s Cable Operations and Licensing System (COALS) database on </w:t>
      </w:r>
      <w:r>
        <w:t>October 10, 2014.</w:t>
      </w:r>
      <w:r w:rsidRPr="00601DB5">
        <w:t xml:space="preserve">  A cable system is a physical system integrated to a principal headend.</w:t>
      </w:r>
    </w:p>
  </w:footnote>
  <w:footnote w:id="69">
    <w:p w:rsidR="00AA6ACB" w:rsidRDefault="00AA6ACB" w:rsidP="00E62CC8">
      <w:pPr>
        <w:pStyle w:val="FootnoteText"/>
        <w:spacing w:line="240" w:lineRule="atLeast"/>
      </w:pPr>
      <w:r w:rsidRPr="009539DB">
        <w:rPr>
          <w:rStyle w:val="FootnoteReference"/>
        </w:rPr>
        <w:footnoteRef/>
      </w:r>
      <w:r w:rsidRPr="009539DB">
        <w:t xml:space="preserve"> 47 U.S.C. § 543(m)(2); </w:t>
      </w:r>
      <w:r w:rsidRPr="009539DB">
        <w:rPr>
          <w:i/>
        </w:rPr>
        <w:t>see</w:t>
      </w:r>
      <w:r w:rsidRPr="009539DB">
        <w:t xml:space="preserve"> 47 C.F.R. § 76.901(f) &amp; nn. 1-3.</w:t>
      </w:r>
    </w:p>
  </w:footnote>
  <w:footnote w:id="70">
    <w:p w:rsidR="00AA6ACB" w:rsidRPr="00601DB5" w:rsidRDefault="00AA6ACB" w:rsidP="00E62CC8">
      <w:pPr>
        <w:pStyle w:val="FootnoteText"/>
      </w:pPr>
      <w:r w:rsidRPr="00601DB5">
        <w:rPr>
          <w:rStyle w:val="FootnoteReference"/>
        </w:rPr>
        <w:footnoteRef/>
      </w:r>
      <w:r w:rsidRPr="00601DB5">
        <w:t xml:space="preserve"> </w:t>
      </w:r>
      <w:r w:rsidRPr="00601DB5">
        <w:rPr>
          <w:i/>
        </w:rPr>
        <w:t>See</w:t>
      </w:r>
      <w:r w:rsidRPr="00601DB5">
        <w:t xml:space="preserve"> NCTA, Indus</w:t>
      </w:r>
      <w:r>
        <w:t>try Data, Cable’s Customer Base</w:t>
      </w:r>
      <w:r w:rsidRPr="00601DB5">
        <w:t xml:space="preserve">, </w:t>
      </w:r>
      <w:hyperlink r:id="rId3" w:history="1">
        <w:r w:rsidRPr="00601DB5">
          <w:rPr>
            <w:rStyle w:val="Hyperlink"/>
          </w:rPr>
          <w:t>http://www.ncta.com/industry-data</w:t>
        </w:r>
      </w:hyperlink>
      <w:r w:rsidRPr="00601DB5">
        <w:t xml:space="preserve"> (visited </w:t>
      </w:r>
      <w:r>
        <w:t>October 13, 2014</w:t>
      </w:r>
      <w:r w:rsidRPr="00601DB5">
        <w:t>).</w:t>
      </w:r>
    </w:p>
  </w:footnote>
  <w:footnote w:id="71">
    <w:p w:rsidR="00AA6ACB" w:rsidRDefault="00AA6ACB" w:rsidP="00E62CC8">
      <w:pPr>
        <w:pStyle w:val="FootnoteText"/>
        <w:spacing w:line="240" w:lineRule="atLeast"/>
      </w:pPr>
      <w:r w:rsidRPr="009539DB">
        <w:rPr>
          <w:rStyle w:val="FootnoteReference"/>
        </w:rPr>
        <w:footnoteRef/>
      </w:r>
      <w:r w:rsidRPr="009539DB">
        <w:t xml:space="preserve"> 47 C.F.R. § 76.901(f); </w:t>
      </w:r>
      <w:r w:rsidRPr="009539DB">
        <w:rPr>
          <w:i/>
        </w:rPr>
        <w:t>see FCC Announces New Subscriber Count for the Definition of Small Cable Operator</w:t>
      </w:r>
      <w:r w:rsidRPr="009539DB">
        <w:t>, Public Notice, 16 FCC Rcd 2225 (Cable Services Bureau 2001).</w:t>
      </w:r>
    </w:p>
  </w:footnote>
  <w:footnote w:id="72">
    <w:p w:rsidR="00AA6ACB" w:rsidRPr="00252424" w:rsidRDefault="00AA6ACB" w:rsidP="00E62CC8">
      <w:pPr>
        <w:pStyle w:val="FootnoteText"/>
        <w:tabs>
          <w:tab w:val="left" w:pos="0"/>
        </w:tabs>
        <w:suppressAutoHyphens/>
        <w:rPr>
          <w:b/>
        </w:rPr>
      </w:pPr>
      <w:r w:rsidRPr="009539DB">
        <w:rPr>
          <w:rStyle w:val="FootnoteReference"/>
        </w:rPr>
        <w:footnoteRef/>
      </w:r>
      <w:r w:rsidRPr="009539DB">
        <w:t xml:space="preserve"> </w:t>
      </w:r>
      <w:r w:rsidRPr="009539DB">
        <w:rPr>
          <w:i/>
        </w:rPr>
        <w:t>See</w:t>
      </w:r>
      <w:r w:rsidRPr="002710FE">
        <w:t xml:space="preserve"> </w:t>
      </w:r>
      <w:r w:rsidRPr="00601DB5">
        <w:t xml:space="preserve">NCTA, Industry Data, Top 25 Multichannel Video Service Customers (2012), </w:t>
      </w:r>
      <w:hyperlink r:id="rId4" w:history="1">
        <w:r w:rsidRPr="00601DB5">
          <w:rPr>
            <w:rStyle w:val="Hyperlink"/>
          </w:rPr>
          <w:t>http://www.ncta.com/industry-data</w:t>
        </w:r>
      </w:hyperlink>
      <w:r w:rsidRPr="00601DB5">
        <w:t xml:space="preserve"> (visited Aug. 30, 2013)</w:t>
      </w:r>
      <w:r w:rsidRPr="009539DB">
        <w:t>.</w:t>
      </w:r>
      <w:r>
        <w:t xml:space="preserve"> </w:t>
      </w:r>
    </w:p>
  </w:footnote>
  <w:footnote w:id="73">
    <w:p w:rsidR="00AA6ACB" w:rsidRPr="00601DB5" w:rsidRDefault="00AA6ACB" w:rsidP="00E62CC8">
      <w:pPr>
        <w:pStyle w:val="FootnoteText"/>
        <w:spacing w:line="240" w:lineRule="atLeast"/>
      </w:pPr>
      <w:r w:rsidRPr="00601DB5">
        <w:rPr>
          <w:rStyle w:val="FootnoteReference"/>
        </w:rPr>
        <w:footnoteRef/>
      </w:r>
      <w:r w:rsidRPr="00601DB5">
        <w:t xml:space="preserve"> The Commission does receive such information on a case-by-case basis if a cable operator appeals a local franchise authority’s finding that the operator does not qualify as a small cable operator pursuant to § 76.901(f) of the Commission’s rules.  </w:t>
      </w:r>
      <w:r w:rsidRPr="00601DB5">
        <w:rPr>
          <w:i/>
        </w:rPr>
        <w:t>See</w:t>
      </w:r>
      <w:r w:rsidRPr="00601DB5">
        <w:t xml:space="preserve"> 47 C.F.R. § 76.901(f).</w:t>
      </w:r>
    </w:p>
  </w:footnote>
  <w:footnote w:id="74">
    <w:p w:rsidR="00AA6ACB" w:rsidRDefault="00AA6ACB" w:rsidP="009A4B56">
      <w:pPr>
        <w:pStyle w:val="FootnoteText"/>
      </w:pPr>
      <w:r w:rsidRPr="00177EC4">
        <w:rPr>
          <w:rStyle w:val="FootnoteReference"/>
        </w:rPr>
        <w:footnoteRef/>
      </w:r>
      <w:r w:rsidRPr="00177EC4">
        <w:t xml:space="preserve"> 47 U.S.C. § 571(a)(3)-(4); </w:t>
      </w:r>
      <w:r w:rsidRPr="00177EC4">
        <w:rPr>
          <w:i/>
        </w:rPr>
        <w:t xml:space="preserve">see </w:t>
      </w:r>
      <w:r w:rsidRPr="00177EC4">
        <w:rPr>
          <w:i/>
          <w:iCs/>
        </w:rPr>
        <w:t>Implementation of Section 19 of the 1992 Cable Act and Annual Assessment of the Status of Competition in the Market for the Delivery of Video Programming</w:t>
      </w:r>
      <w:r w:rsidRPr="00177EC4">
        <w:t xml:space="preserve">, </w:t>
      </w:r>
      <w:r w:rsidRPr="00601DB5">
        <w:t>MB Docket No. 06-189,</w:t>
      </w:r>
      <w:r>
        <w:t xml:space="preserve"> </w:t>
      </w:r>
      <w:r w:rsidRPr="00177EC4">
        <w:t>Thirteenth Report, 24 FCC Rcd 542, 606, ¶ 135 (2009) (”</w:t>
      </w:r>
      <w:r w:rsidRPr="00177EC4">
        <w:rPr>
          <w:i/>
        </w:rPr>
        <w:t>13</w:t>
      </w:r>
      <w:r w:rsidRPr="00177EC4">
        <w:rPr>
          <w:i/>
          <w:vertAlign w:val="superscript"/>
        </w:rPr>
        <w:t>th</w:t>
      </w:r>
      <w:r w:rsidRPr="00177EC4">
        <w:rPr>
          <w:i/>
        </w:rPr>
        <w:t xml:space="preserve"> Annual </w:t>
      </w:r>
      <w:r>
        <w:rPr>
          <w:i/>
        </w:rPr>
        <w:t xml:space="preserve">Competition </w:t>
      </w:r>
      <w:r w:rsidRPr="00177EC4">
        <w:rPr>
          <w:i/>
        </w:rPr>
        <w:t>Report</w:t>
      </w:r>
      <w:r w:rsidRPr="00177EC4">
        <w:t>”).</w:t>
      </w:r>
    </w:p>
  </w:footnote>
  <w:footnote w:id="75">
    <w:p w:rsidR="00AA6ACB" w:rsidRDefault="00AA6ACB" w:rsidP="009A4B56">
      <w:pPr>
        <w:pStyle w:val="FootnoteText"/>
      </w:pPr>
      <w:r w:rsidRPr="00177EC4">
        <w:rPr>
          <w:rStyle w:val="FootnoteReference"/>
        </w:rPr>
        <w:footnoteRef/>
      </w:r>
      <w:r w:rsidRPr="00177EC4">
        <w:t xml:space="preserve"> </w:t>
      </w:r>
      <w:r w:rsidRPr="00177EC4">
        <w:rPr>
          <w:i/>
          <w:iCs/>
        </w:rPr>
        <w:t xml:space="preserve">See </w:t>
      </w:r>
      <w:r w:rsidRPr="00177EC4">
        <w:t>47 U.S.C. § 573.</w:t>
      </w:r>
    </w:p>
  </w:footnote>
  <w:footnote w:id="76">
    <w:p w:rsidR="00AA6ACB" w:rsidRDefault="00AA6ACB" w:rsidP="009A4B56">
      <w:pPr>
        <w:pStyle w:val="FootnoteText"/>
      </w:pPr>
      <w:r w:rsidRPr="00177EC4">
        <w:rPr>
          <w:rStyle w:val="FootnoteReference"/>
        </w:rPr>
        <w:footnoteRef/>
      </w:r>
      <w:r w:rsidRPr="002D6837">
        <w:rPr>
          <w:i/>
        </w:rPr>
        <w:t xml:space="preserve"> </w:t>
      </w:r>
      <w:r w:rsidRPr="00601DB5">
        <w:rPr>
          <w:i/>
        </w:rPr>
        <w:t>See</w:t>
      </w:r>
      <w:r w:rsidRPr="00601DB5">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sidRPr="00601DB5">
        <w:rPr>
          <w:bCs/>
        </w:rPr>
        <w:t>517110 Wired Telecommunications Carriers</w:t>
      </w:r>
      <w:r>
        <w:rPr>
          <w:bCs/>
        </w:rPr>
        <w:t>,</w:t>
      </w:r>
      <w:r w:rsidRPr="00601DB5">
        <w:rPr>
          <w:bCs/>
        </w:rPr>
        <w:t xml:space="preserve">” at </w:t>
      </w:r>
      <w:hyperlink r:id="rId5" w:history="1">
        <w:r w:rsidRPr="00601DB5">
          <w:rPr>
            <w:rStyle w:val="Hyperlink"/>
          </w:rPr>
          <w:t>http://www.census.gov/cgi-bin/sssd/naics/naicsrch</w:t>
        </w:r>
      </w:hyperlink>
      <w:r w:rsidRPr="00177EC4">
        <w:t>.</w:t>
      </w:r>
    </w:p>
  </w:footnote>
  <w:footnote w:id="77">
    <w:p w:rsidR="00AA6ACB" w:rsidRDefault="00AA6ACB" w:rsidP="009A4B56">
      <w:pPr>
        <w:pStyle w:val="FootnoteText"/>
      </w:pPr>
      <w:r w:rsidRPr="00177EC4">
        <w:rPr>
          <w:rStyle w:val="FootnoteReference"/>
        </w:rPr>
        <w:footnoteRef/>
      </w:r>
      <w:r w:rsidRPr="00177EC4">
        <w:t xml:space="preserve"> 13 C.F.R. § 121.201</w:t>
      </w:r>
      <w:r>
        <w:t>;</w:t>
      </w:r>
      <w:r w:rsidRPr="00177EC4">
        <w:t xml:space="preserve"> </w:t>
      </w:r>
      <w:r>
        <w:t xml:space="preserve">2012 </w:t>
      </w:r>
      <w:r w:rsidRPr="00177EC4">
        <w:t>NAICS code 517110.</w:t>
      </w:r>
    </w:p>
  </w:footnote>
  <w:footnote w:id="78">
    <w:p w:rsidR="00AA6ACB" w:rsidRPr="00601DB5" w:rsidRDefault="00AA6ACB" w:rsidP="009A4B56">
      <w:pPr>
        <w:pStyle w:val="FootnoteText"/>
      </w:pPr>
      <w:r w:rsidRPr="00601DB5">
        <w:rPr>
          <w:rStyle w:val="FootnoteReference"/>
        </w:rPr>
        <w:footnoteRef/>
      </w:r>
      <w:r w:rsidRPr="00601DB5">
        <w:t xml:space="preserve"> U.S. Census Bureau, 2007 Economic Census.  </w:t>
      </w:r>
      <w:r w:rsidRPr="00601DB5">
        <w:rPr>
          <w:i/>
        </w:rPr>
        <w:t>See</w:t>
      </w:r>
      <w:r w:rsidRPr="00601DB5">
        <w:t xml:space="preserve"> U.S. Census Bureau, American FactFinder, “Information: Subject Series – Estab and Firm Size: Employment Size of Establishments for the United States: 2007 – 2007 Economic Census,” NAICS code 517110, Table </w:t>
      </w:r>
      <w:r>
        <w:t>EC0751SSSZ5; available at http://factfinder2.census.gov/faces/tableservices/jsf/pages/productview.xhtml?pid=ECN_2007_US_51SSSZ5&amp;prodType=table.</w:t>
      </w:r>
    </w:p>
  </w:footnote>
  <w:footnote w:id="79">
    <w:p w:rsidR="00AA6ACB" w:rsidRPr="00601DB5" w:rsidRDefault="00AA6ACB" w:rsidP="009A4B56">
      <w:pPr>
        <w:pStyle w:val="FootnoteText"/>
      </w:pPr>
      <w:r w:rsidRPr="00601DB5">
        <w:rPr>
          <w:rStyle w:val="FootnoteReference"/>
        </w:rPr>
        <w:footnoteRef/>
      </w:r>
      <w:r w:rsidRPr="00601DB5">
        <w:t xml:space="preserve"> </w:t>
      </w:r>
      <w:r w:rsidRPr="00601DB5">
        <w:rPr>
          <w:i/>
        </w:rPr>
        <w:t>Id</w:t>
      </w:r>
      <w:r w:rsidRPr="00601DB5">
        <w:t>.</w:t>
      </w:r>
    </w:p>
  </w:footnote>
  <w:footnote w:id="80">
    <w:p w:rsidR="00AA6ACB" w:rsidRPr="00C813F4" w:rsidRDefault="00AA6ACB" w:rsidP="00076563">
      <w:pPr>
        <w:pStyle w:val="FootnoteText"/>
      </w:pPr>
      <w:r w:rsidRPr="00C813F4">
        <w:rPr>
          <w:rStyle w:val="FootnoteReference"/>
        </w:rPr>
        <w:footnoteRef/>
      </w:r>
      <w:r w:rsidRPr="00C813F4">
        <w:t xml:space="preserve"> U.S. Census Bureau, 2012 NAICS Definitions, “515120 Television Broadcasting,” at </w:t>
      </w:r>
      <w:hyperlink r:id="rId6" w:history="1">
        <w:r w:rsidRPr="00C813F4">
          <w:rPr>
            <w:rStyle w:val="Hyperlink"/>
          </w:rPr>
          <w:t>http://www.census.gov./cgi-bin/sssd/naics/naicsrch</w:t>
        </w:r>
      </w:hyperlink>
      <w:r w:rsidRPr="00C813F4">
        <w:t>.</w:t>
      </w:r>
    </w:p>
  </w:footnote>
  <w:footnote w:id="81">
    <w:p w:rsidR="00AA6ACB" w:rsidRPr="00C813F4" w:rsidRDefault="00AA6ACB" w:rsidP="00076563">
      <w:pPr>
        <w:pStyle w:val="FootnoteText"/>
      </w:pPr>
      <w:r w:rsidRPr="00C813F4">
        <w:rPr>
          <w:rStyle w:val="FootnoteReference"/>
        </w:rPr>
        <w:footnoteRef/>
      </w:r>
      <w:r w:rsidRPr="00C813F4">
        <w:t xml:space="preserve"> 13 C.F.R. § 121.201; 2012 NAICS code 515120.</w:t>
      </w:r>
    </w:p>
  </w:footnote>
  <w:footnote w:id="82">
    <w:p w:rsidR="00AA6ACB" w:rsidRPr="006B1E34" w:rsidRDefault="00AA6ACB" w:rsidP="00076563">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2007</w:t>
      </w:r>
      <w:r>
        <w:t xml:space="preserve"> (515120), </w:t>
      </w:r>
      <w:hyperlink r:id="rId7" w:history="1">
        <w:r w:rsidRPr="00B248D7">
          <w:rPr>
            <w:rStyle w:val="Hyperlink"/>
          </w:rPr>
          <w:t>http://factfinder2.census.gov/faces/tableservices/jsf/pages/productview.xhtml?pid=ECN_2007_US_51SSSZ4&amp;prodType=table</w:t>
        </w:r>
      </w:hyperlink>
      <w:r>
        <w:t xml:space="preserve">. </w:t>
      </w:r>
    </w:p>
  </w:footnote>
  <w:footnote w:id="83">
    <w:p w:rsidR="00AA6ACB" w:rsidRDefault="00AA6ACB" w:rsidP="00076563">
      <w:pPr>
        <w:pStyle w:val="FootnoteText"/>
      </w:pPr>
      <w:r>
        <w:rPr>
          <w:rStyle w:val="FootnoteReference"/>
        </w:rPr>
        <w:footnoteRef/>
      </w:r>
      <w:r>
        <w:t xml:space="preserve"> </w:t>
      </w:r>
      <w:r>
        <w:rPr>
          <w:i/>
        </w:rPr>
        <w:t xml:space="preserve">See Broadcast Station Totals as of June 30, 2014, </w:t>
      </w:r>
      <w:r>
        <w:t>Press Release (MB rel. July 9, 2014) (</w:t>
      </w:r>
      <w:r>
        <w:rPr>
          <w:i/>
        </w:rPr>
        <w:t xml:space="preserve">Broadcast Station Totals) </w:t>
      </w:r>
      <w:r>
        <w:t xml:space="preserve">at </w:t>
      </w:r>
      <w:hyperlink r:id="rId8" w:history="1">
        <w:r w:rsidRPr="00620E39">
          <w:rPr>
            <w:rStyle w:val="Hyperlink"/>
          </w:rPr>
          <w:t>https://apps.fcc.gov/edocs_public/attachmatch/DOC-328096A1.pdf</w:t>
        </w:r>
      </w:hyperlink>
      <w:r>
        <w:t>.</w:t>
      </w:r>
    </w:p>
  </w:footnote>
  <w:footnote w:id="84">
    <w:p w:rsidR="00AA6ACB" w:rsidRDefault="00AA6ACB" w:rsidP="00076563">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85">
    <w:p w:rsidR="00AA6ACB" w:rsidRDefault="00AA6ACB" w:rsidP="00076563">
      <w:pPr>
        <w:pStyle w:val="FootnoteText"/>
      </w:pPr>
      <w:r>
        <w:rPr>
          <w:rStyle w:val="FootnoteReference"/>
        </w:rPr>
        <w:footnoteRef/>
      </w:r>
      <w:r>
        <w:t xml:space="preserve"> </w:t>
      </w:r>
      <w:r>
        <w:rPr>
          <w:i/>
        </w:rPr>
        <w:t>See generally</w:t>
      </w:r>
      <w:r>
        <w:t xml:space="preserve"> 5 U.S.C. §§ 601(4), (6).</w:t>
      </w:r>
    </w:p>
  </w:footnote>
  <w:footnote w:id="86">
    <w:p w:rsidR="00AA6ACB" w:rsidRPr="00C813F4" w:rsidRDefault="00AA6ACB" w:rsidP="00076563">
      <w:pPr>
        <w:pStyle w:val="FootnoteText"/>
      </w:pPr>
      <w:r w:rsidRPr="00C813F4">
        <w:rPr>
          <w:rStyle w:val="FootnoteReference"/>
        </w:rPr>
        <w:footnoteRef/>
      </w:r>
      <w:r w:rsidRPr="00C813F4">
        <w:t xml:space="preserve"> “[Business concerns] are affiliates of each other when one concern controls or has the power to control the other or a third par</w:t>
      </w:r>
      <w:r>
        <w:t>ty or parties controls or has the</w:t>
      </w:r>
      <w:r w:rsidRPr="00C813F4">
        <w:t xml:space="preserve"> power to control both.”  13 C.F.R. § 21.103(a)(1).</w:t>
      </w:r>
    </w:p>
  </w:footnote>
  <w:footnote w:id="87">
    <w:p w:rsidR="00AA6ACB" w:rsidRDefault="00AA6ACB">
      <w:pPr>
        <w:pStyle w:val="FootnoteText"/>
      </w:pPr>
      <w:r>
        <w:rPr>
          <w:rStyle w:val="FootnoteReference"/>
        </w:rPr>
        <w:footnoteRef/>
      </w:r>
      <w:r>
        <w:t xml:space="preserve"> 5 U.S.C. § 603(c)(1) – (c)(4).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46" w:rsidRDefault="00F54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CB" w:rsidRDefault="00AA6ACB">
    <w:pPr>
      <w:pStyle w:val="Header"/>
      <w:pBdr>
        <w:bottom w:val="single" w:sz="12" w:space="1" w:color="auto"/>
      </w:pBdr>
      <w:rPr>
        <w:b w:val="0"/>
      </w:rPr>
    </w:pPr>
    <w:r>
      <w:tab/>
      <w:t>Federal Communications Commission</w:t>
    </w:r>
    <w:r>
      <w:tab/>
    </w:r>
    <w:r w:rsidR="000A6D80">
      <w:rPr>
        <w:spacing w:val="-2"/>
      </w:rPr>
      <w:t>FCC 15</w:t>
    </w:r>
    <w:r>
      <w:rPr>
        <w:spacing w:val="-2"/>
      </w:rPr>
      <w:t>-</w:t>
    </w:r>
    <w:r w:rsidR="006A7262">
      <w:rPr>
        <w:spacing w:val="-2"/>
      </w:rPr>
      <w:t>29</w:t>
    </w:r>
  </w:p>
  <w:p w:rsidR="00AA6ACB" w:rsidRDefault="00AA6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CB" w:rsidRDefault="00AA6ACB">
    <w:pPr>
      <w:pStyle w:val="Header"/>
      <w:pBdr>
        <w:bottom w:val="single" w:sz="12" w:space="1" w:color="auto"/>
      </w:pBdr>
      <w:rPr>
        <w:b w:val="0"/>
      </w:rPr>
    </w:pPr>
    <w:r>
      <w:tab/>
      <w:t>Federal Communications Commission</w:t>
    </w:r>
    <w:r>
      <w:tab/>
    </w:r>
    <w:r w:rsidR="00350980">
      <w:rPr>
        <w:spacing w:val="-2"/>
      </w:rPr>
      <w:t>FCC 15</w:t>
    </w:r>
    <w:r>
      <w:rPr>
        <w:spacing w:val="-2"/>
      </w:rPr>
      <w:t>-</w:t>
    </w:r>
    <w:r w:rsidR="006A7262">
      <w:rPr>
        <w:spacing w:val="-2"/>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9"/>
    <w:lvl w:ilvl="0">
      <w:start w:val="1"/>
      <w:numFmt w:val="bullet"/>
      <w:lvlText w:val=""/>
      <w:lvlJc w:val="left"/>
      <w:pPr>
        <w:tabs>
          <w:tab w:val="num" w:pos="720"/>
        </w:tabs>
        <w:ind w:left="720" w:hanging="360"/>
      </w:pPr>
      <w:rPr>
        <w:rFonts w:ascii="Wingdings" w:hAnsi="Wingdings"/>
      </w:rPr>
    </w:lvl>
  </w:abstractNum>
  <w:abstractNum w:abstractNumId="2">
    <w:nsid w:val="00000009"/>
    <w:multiLevelType w:val="singleLevel"/>
    <w:tmpl w:val="00000009"/>
    <w:name w:val="WW8Num18"/>
    <w:lvl w:ilvl="0">
      <w:start w:val="1"/>
      <w:numFmt w:val="bullet"/>
      <w:lvlText w:val=""/>
      <w:lvlJc w:val="left"/>
      <w:pPr>
        <w:tabs>
          <w:tab w:val="num" w:pos="1440"/>
        </w:tabs>
        <w:ind w:left="1440" w:hanging="360"/>
      </w:pPr>
      <w:rPr>
        <w:rFonts w:ascii="Wingdings" w:hAnsi="Wingdings"/>
      </w:rPr>
    </w:lvl>
  </w:abstractNum>
  <w:abstractNum w:abstractNumId="3">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10"/>
  </w:num>
  <w:num w:numId="3">
    <w:abstractNumId w:val="7"/>
  </w:num>
  <w:num w:numId="4">
    <w:abstractNumId w:val="10"/>
    <w:lvlOverride w:ilvl="0">
      <w:startOverride w:val="1"/>
    </w:lvlOverride>
  </w:num>
  <w:num w:numId="5">
    <w:abstractNumId w:val="3"/>
  </w:num>
  <w:num w:numId="6">
    <w:abstractNumId w:val="11"/>
  </w:num>
  <w:num w:numId="7">
    <w:abstractNumId w:val="8"/>
  </w:num>
  <w:num w:numId="8">
    <w:abstractNumId w:val="9"/>
  </w:num>
  <w:num w:numId="9">
    <w:abstractNumId w:val="6"/>
  </w:num>
  <w:num w:numId="10">
    <w:abstractNumId w:val="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D4"/>
    <w:rsid w:val="00000BBE"/>
    <w:rsid w:val="00006F82"/>
    <w:rsid w:val="00011265"/>
    <w:rsid w:val="00015762"/>
    <w:rsid w:val="00024A6E"/>
    <w:rsid w:val="0003076A"/>
    <w:rsid w:val="000335B6"/>
    <w:rsid w:val="0003394D"/>
    <w:rsid w:val="000457F7"/>
    <w:rsid w:val="0004622E"/>
    <w:rsid w:val="000478D9"/>
    <w:rsid w:val="00053252"/>
    <w:rsid w:val="0005339F"/>
    <w:rsid w:val="0006106D"/>
    <w:rsid w:val="000622C7"/>
    <w:rsid w:val="00066F43"/>
    <w:rsid w:val="00071266"/>
    <w:rsid w:val="0007188E"/>
    <w:rsid w:val="0007467C"/>
    <w:rsid w:val="0007565F"/>
    <w:rsid w:val="00076563"/>
    <w:rsid w:val="00080644"/>
    <w:rsid w:val="000834B4"/>
    <w:rsid w:val="00087391"/>
    <w:rsid w:val="00087A06"/>
    <w:rsid w:val="0009174B"/>
    <w:rsid w:val="00094409"/>
    <w:rsid w:val="00095D03"/>
    <w:rsid w:val="00096B30"/>
    <w:rsid w:val="000A5A9B"/>
    <w:rsid w:val="000A6D80"/>
    <w:rsid w:val="000B3C9B"/>
    <w:rsid w:val="000B5534"/>
    <w:rsid w:val="000B7603"/>
    <w:rsid w:val="000C1FEC"/>
    <w:rsid w:val="000C6161"/>
    <w:rsid w:val="000C6E90"/>
    <w:rsid w:val="000E05B7"/>
    <w:rsid w:val="000E32D3"/>
    <w:rsid w:val="000F2C38"/>
    <w:rsid w:val="000F2C3C"/>
    <w:rsid w:val="000F38BB"/>
    <w:rsid w:val="000F70A0"/>
    <w:rsid w:val="00101567"/>
    <w:rsid w:val="00102B30"/>
    <w:rsid w:val="00104D28"/>
    <w:rsid w:val="00105DEF"/>
    <w:rsid w:val="00123908"/>
    <w:rsid w:val="00124C02"/>
    <w:rsid w:val="00125CB0"/>
    <w:rsid w:val="00137490"/>
    <w:rsid w:val="001378DE"/>
    <w:rsid w:val="0014065C"/>
    <w:rsid w:val="00147071"/>
    <w:rsid w:val="00153476"/>
    <w:rsid w:val="001541C1"/>
    <w:rsid w:val="00155F81"/>
    <w:rsid w:val="00164CCE"/>
    <w:rsid w:val="00166977"/>
    <w:rsid w:val="001705DA"/>
    <w:rsid w:val="0018679A"/>
    <w:rsid w:val="0019699D"/>
    <w:rsid w:val="0019763D"/>
    <w:rsid w:val="001A578E"/>
    <w:rsid w:val="001B364F"/>
    <w:rsid w:val="001B37B5"/>
    <w:rsid w:val="001B3819"/>
    <w:rsid w:val="001B714C"/>
    <w:rsid w:val="001B71BE"/>
    <w:rsid w:val="001C1833"/>
    <w:rsid w:val="001D4910"/>
    <w:rsid w:val="001E3D31"/>
    <w:rsid w:val="001F248B"/>
    <w:rsid w:val="001F4A71"/>
    <w:rsid w:val="00214561"/>
    <w:rsid w:val="002179DE"/>
    <w:rsid w:val="0022136A"/>
    <w:rsid w:val="00224338"/>
    <w:rsid w:val="002251E3"/>
    <w:rsid w:val="0022735B"/>
    <w:rsid w:val="00232793"/>
    <w:rsid w:val="002333C0"/>
    <w:rsid w:val="00276663"/>
    <w:rsid w:val="002809F7"/>
    <w:rsid w:val="00286660"/>
    <w:rsid w:val="002A01E8"/>
    <w:rsid w:val="002A45FF"/>
    <w:rsid w:val="002B2DC9"/>
    <w:rsid w:val="002B4D94"/>
    <w:rsid w:val="002C118A"/>
    <w:rsid w:val="002D4375"/>
    <w:rsid w:val="002E3CDB"/>
    <w:rsid w:val="002E49F8"/>
    <w:rsid w:val="002E4C63"/>
    <w:rsid w:val="002E6B9A"/>
    <w:rsid w:val="002F7448"/>
    <w:rsid w:val="00301F36"/>
    <w:rsid w:val="003124F3"/>
    <w:rsid w:val="003213F7"/>
    <w:rsid w:val="00327222"/>
    <w:rsid w:val="00336072"/>
    <w:rsid w:val="003370D9"/>
    <w:rsid w:val="00340E8E"/>
    <w:rsid w:val="00340EDB"/>
    <w:rsid w:val="00350980"/>
    <w:rsid w:val="00361A03"/>
    <w:rsid w:val="0037585D"/>
    <w:rsid w:val="00377488"/>
    <w:rsid w:val="00384400"/>
    <w:rsid w:val="0039542F"/>
    <w:rsid w:val="003A02DA"/>
    <w:rsid w:val="003A0779"/>
    <w:rsid w:val="003A106D"/>
    <w:rsid w:val="003B2B95"/>
    <w:rsid w:val="003C0FAE"/>
    <w:rsid w:val="003E5E34"/>
    <w:rsid w:val="003E6037"/>
    <w:rsid w:val="003F1908"/>
    <w:rsid w:val="003F484E"/>
    <w:rsid w:val="004052C3"/>
    <w:rsid w:val="004124E5"/>
    <w:rsid w:val="00414063"/>
    <w:rsid w:val="00415F5A"/>
    <w:rsid w:val="00421BF2"/>
    <w:rsid w:val="00424BBF"/>
    <w:rsid w:val="004259E5"/>
    <w:rsid w:val="0043114A"/>
    <w:rsid w:val="00433551"/>
    <w:rsid w:val="00436CB6"/>
    <w:rsid w:val="00443AA7"/>
    <w:rsid w:val="00443B1D"/>
    <w:rsid w:val="004457A5"/>
    <w:rsid w:val="004462D6"/>
    <w:rsid w:val="0044695A"/>
    <w:rsid w:val="00455E25"/>
    <w:rsid w:val="00457D39"/>
    <w:rsid w:val="0046400D"/>
    <w:rsid w:val="00475CA3"/>
    <w:rsid w:val="004775A0"/>
    <w:rsid w:val="00490C21"/>
    <w:rsid w:val="00495713"/>
    <w:rsid w:val="00497F3A"/>
    <w:rsid w:val="004B1199"/>
    <w:rsid w:val="004B25C6"/>
    <w:rsid w:val="004B3D13"/>
    <w:rsid w:val="004C4BD2"/>
    <w:rsid w:val="004C732C"/>
    <w:rsid w:val="004D428B"/>
    <w:rsid w:val="004D4666"/>
    <w:rsid w:val="004D4D78"/>
    <w:rsid w:val="004D5068"/>
    <w:rsid w:val="004D7F0B"/>
    <w:rsid w:val="004E382A"/>
    <w:rsid w:val="004E3D19"/>
    <w:rsid w:val="004E6AD2"/>
    <w:rsid w:val="004E75FA"/>
    <w:rsid w:val="004E7A88"/>
    <w:rsid w:val="004F49FF"/>
    <w:rsid w:val="004F7BD7"/>
    <w:rsid w:val="005131AE"/>
    <w:rsid w:val="00514570"/>
    <w:rsid w:val="00514DEF"/>
    <w:rsid w:val="005172EE"/>
    <w:rsid w:val="00520DB0"/>
    <w:rsid w:val="005241B6"/>
    <w:rsid w:val="00524C45"/>
    <w:rsid w:val="0052542D"/>
    <w:rsid w:val="00530E4B"/>
    <w:rsid w:val="00535CB8"/>
    <w:rsid w:val="00540EC1"/>
    <w:rsid w:val="00541854"/>
    <w:rsid w:val="00550A7F"/>
    <w:rsid w:val="00551BE2"/>
    <w:rsid w:val="005543C8"/>
    <w:rsid w:val="00555082"/>
    <w:rsid w:val="005551EC"/>
    <w:rsid w:val="00555F37"/>
    <w:rsid w:val="00556B26"/>
    <w:rsid w:val="005614CB"/>
    <w:rsid w:val="00574670"/>
    <w:rsid w:val="005831A3"/>
    <w:rsid w:val="00586EA0"/>
    <w:rsid w:val="00587B34"/>
    <w:rsid w:val="00591350"/>
    <w:rsid w:val="00592A1E"/>
    <w:rsid w:val="005A0ABE"/>
    <w:rsid w:val="005B0243"/>
    <w:rsid w:val="005B15E5"/>
    <w:rsid w:val="005C2476"/>
    <w:rsid w:val="005C3543"/>
    <w:rsid w:val="005E44BD"/>
    <w:rsid w:val="005F03C8"/>
    <w:rsid w:val="005F1394"/>
    <w:rsid w:val="005F3DAB"/>
    <w:rsid w:val="005F5E5F"/>
    <w:rsid w:val="005F65C6"/>
    <w:rsid w:val="00600D39"/>
    <w:rsid w:val="0060104A"/>
    <w:rsid w:val="00602413"/>
    <w:rsid w:val="00602AC0"/>
    <w:rsid w:val="006070FA"/>
    <w:rsid w:val="00611386"/>
    <w:rsid w:val="0062134C"/>
    <w:rsid w:val="00623D02"/>
    <w:rsid w:val="00627131"/>
    <w:rsid w:val="006276C0"/>
    <w:rsid w:val="00636DF6"/>
    <w:rsid w:val="00642B5D"/>
    <w:rsid w:val="00647FA9"/>
    <w:rsid w:val="00670054"/>
    <w:rsid w:val="00686645"/>
    <w:rsid w:val="006A45AB"/>
    <w:rsid w:val="006A7262"/>
    <w:rsid w:val="006B779B"/>
    <w:rsid w:val="006B7CC6"/>
    <w:rsid w:val="006C5C8D"/>
    <w:rsid w:val="006C6495"/>
    <w:rsid w:val="006D1385"/>
    <w:rsid w:val="006E3B05"/>
    <w:rsid w:val="006F207B"/>
    <w:rsid w:val="006F4771"/>
    <w:rsid w:val="006F6BBE"/>
    <w:rsid w:val="006F6E99"/>
    <w:rsid w:val="0071096D"/>
    <w:rsid w:val="00711F76"/>
    <w:rsid w:val="00716D79"/>
    <w:rsid w:val="00717EF9"/>
    <w:rsid w:val="00721911"/>
    <w:rsid w:val="007408CB"/>
    <w:rsid w:val="007541C7"/>
    <w:rsid w:val="007547B2"/>
    <w:rsid w:val="00770D4E"/>
    <w:rsid w:val="00773517"/>
    <w:rsid w:val="00774E8C"/>
    <w:rsid w:val="0078179F"/>
    <w:rsid w:val="00784426"/>
    <w:rsid w:val="00796D9D"/>
    <w:rsid w:val="007A7760"/>
    <w:rsid w:val="007B7C40"/>
    <w:rsid w:val="007C0EED"/>
    <w:rsid w:val="007D5D10"/>
    <w:rsid w:val="007D72DA"/>
    <w:rsid w:val="007E17C9"/>
    <w:rsid w:val="007E35AF"/>
    <w:rsid w:val="007E7667"/>
    <w:rsid w:val="007F1618"/>
    <w:rsid w:val="007F51C2"/>
    <w:rsid w:val="00804C6C"/>
    <w:rsid w:val="0080643E"/>
    <w:rsid w:val="00811750"/>
    <w:rsid w:val="00817C1F"/>
    <w:rsid w:val="0082565B"/>
    <w:rsid w:val="008264ED"/>
    <w:rsid w:val="008309E2"/>
    <w:rsid w:val="00831116"/>
    <w:rsid w:val="0083306E"/>
    <w:rsid w:val="0083797C"/>
    <w:rsid w:val="00842249"/>
    <w:rsid w:val="0084271C"/>
    <w:rsid w:val="00842755"/>
    <w:rsid w:val="00851CA0"/>
    <w:rsid w:val="0086241D"/>
    <w:rsid w:val="008658F4"/>
    <w:rsid w:val="0087304A"/>
    <w:rsid w:val="00873113"/>
    <w:rsid w:val="00873FD9"/>
    <w:rsid w:val="00876E28"/>
    <w:rsid w:val="00886EFD"/>
    <w:rsid w:val="0089272D"/>
    <w:rsid w:val="00892A23"/>
    <w:rsid w:val="00892C36"/>
    <w:rsid w:val="008A080B"/>
    <w:rsid w:val="008A4A4A"/>
    <w:rsid w:val="008A6D3B"/>
    <w:rsid w:val="008A7F47"/>
    <w:rsid w:val="008B5C41"/>
    <w:rsid w:val="008B7F38"/>
    <w:rsid w:val="008B7F61"/>
    <w:rsid w:val="008C67BF"/>
    <w:rsid w:val="008D1133"/>
    <w:rsid w:val="008D59D3"/>
    <w:rsid w:val="008F034F"/>
    <w:rsid w:val="008F164F"/>
    <w:rsid w:val="00900F77"/>
    <w:rsid w:val="00903AA4"/>
    <w:rsid w:val="009045D4"/>
    <w:rsid w:val="00904F72"/>
    <w:rsid w:val="00912CFD"/>
    <w:rsid w:val="00913A3D"/>
    <w:rsid w:val="00940FE0"/>
    <w:rsid w:val="00945401"/>
    <w:rsid w:val="0094646D"/>
    <w:rsid w:val="009522F0"/>
    <w:rsid w:val="00963A08"/>
    <w:rsid w:val="009706D4"/>
    <w:rsid w:val="00974BED"/>
    <w:rsid w:val="00980B49"/>
    <w:rsid w:val="0098400B"/>
    <w:rsid w:val="009860AF"/>
    <w:rsid w:val="009A15C7"/>
    <w:rsid w:val="009A3282"/>
    <w:rsid w:val="009A4B56"/>
    <w:rsid w:val="009B13B7"/>
    <w:rsid w:val="009B52AB"/>
    <w:rsid w:val="009B6F75"/>
    <w:rsid w:val="009D5AE2"/>
    <w:rsid w:val="009E2763"/>
    <w:rsid w:val="009E287A"/>
    <w:rsid w:val="009E6C6D"/>
    <w:rsid w:val="009F675D"/>
    <w:rsid w:val="009F6B6D"/>
    <w:rsid w:val="00A00272"/>
    <w:rsid w:val="00A04F42"/>
    <w:rsid w:val="00A207ED"/>
    <w:rsid w:val="00A218F7"/>
    <w:rsid w:val="00A21D0A"/>
    <w:rsid w:val="00A235F7"/>
    <w:rsid w:val="00A2651C"/>
    <w:rsid w:val="00A27E58"/>
    <w:rsid w:val="00A32BF0"/>
    <w:rsid w:val="00A434EF"/>
    <w:rsid w:val="00A5028E"/>
    <w:rsid w:val="00A607AA"/>
    <w:rsid w:val="00A64CF5"/>
    <w:rsid w:val="00A73AAC"/>
    <w:rsid w:val="00A771C7"/>
    <w:rsid w:val="00A84327"/>
    <w:rsid w:val="00A84962"/>
    <w:rsid w:val="00A872A1"/>
    <w:rsid w:val="00A878D0"/>
    <w:rsid w:val="00A912BA"/>
    <w:rsid w:val="00A92844"/>
    <w:rsid w:val="00AA2C06"/>
    <w:rsid w:val="00AA59E2"/>
    <w:rsid w:val="00AA6891"/>
    <w:rsid w:val="00AA6ACB"/>
    <w:rsid w:val="00AA7648"/>
    <w:rsid w:val="00AB72DE"/>
    <w:rsid w:val="00AB75AF"/>
    <w:rsid w:val="00AC3688"/>
    <w:rsid w:val="00AC7CFA"/>
    <w:rsid w:val="00AD14EE"/>
    <w:rsid w:val="00AE3EE1"/>
    <w:rsid w:val="00AF0480"/>
    <w:rsid w:val="00AF0CCA"/>
    <w:rsid w:val="00AF1F29"/>
    <w:rsid w:val="00B0180A"/>
    <w:rsid w:val="00B0510D"/>
    <w:rsid w:val="00B15250"/>
    <w:rsid w:val="00B2162F"/>
    <w:rsid w:val="00B21EA2"/>
    <w:rsid w:val="00B25F99"/>
    <w:rsid w:val="00B27EED"/>
    <w:rsid w:val="00B355D2"/>
    <w:rsid w:val="00B37547"/>
    <w:rsid w:val="00B37EDC"/>
    <w:rsid w:val="00B40178"/>
    <w:rsid w:val="00B44721"/>
    <w:rsid w:val="00B47818"/>
    <w:rsid w:val="00B712E1"/>
    <w:rsid w:val="00B71852"/>
    <w:rsid w:val="00B73497"/>
    <w:rsid w:val="00B85656"/>
    <w:rsid w:val="00B86B6D"/>
    <w:rsid w:val="00B92EE8"/>
    <w:rsid w:val="00BA5408"/>
    <w:rsid w:val="00BA577F"/>
    <w:rsid w:val="00BA5D4C"/>
    <w:rsid w:val="00BB39FD"/>
    <w:rsid w:val="00BE37B0"/>
    <w:rsid w:val="00C02AFC"/>
    <w:rsid w:val="00C0525D"/>
    <w:rsid w:val="00C10304"/>
    <w:rsid w:val="00C15EB1"/>
    <w:rsid w:val="00C16556"/>
    <w:rsid w:val="00C20317"/>
    <w:rsid w:val="00C229F1"/>
    <w:rsid w:val="00C22C51"/>
    <w:rsid w:val="00C2377A"/>
    <w:rsid w:val="00C31EF9"/>
    <w:rsid w:val="00C427B9"/>
    <w:rsid w:val="00C50284"/>
    <w:rsid w:val="00C527FB"/>
    <w:rsid w:val="00C636BE"/>
    <w:rsid w:val="00C64671"/>
    <w:rsid w:val="00C905EA"/>
    <w:rsid w:val="00CA3BEC"/>
    <w:rsid w:val="00CA5F53"/>
    <w:rsid w:val="00CB2882"/>
    <w:rsid w:val="00CC2D83"/>
    <w:rsid w:val="00CC432E"/>
    <w:rsid w:val="00CD027E"/>
    <w:rsid w:val="00CD5EEB"/>
    <w:rsid w:val="00CD62FA"/>
    <w:rsid w:val="00CE6BA5"/>
    <w:rsid w:val="00CF5BAB"/>
    <w:rsid w:val="00D01006"/>
    <w:rsid w:val="00D02AFE"/>
    <w:rsid w:val="00D0704A"/>
    <w:rsid w:val="00D10C1B"/>
    <w:rsid w:val="00D127D6"/>
    <w:rsid w:val="00D1465F"/>
    <w:rsid w:val="00D1539F"/>
    <w:rsid w:val="00D17183"/>
    <w:rsid w:val="00D174F4"/>
    <w:rsid w:val="00D20E87"/>
    <w:rsid w:val="00D218DC"/>
    <w:rsid w:val="00D222DC"/>
    <w:rsid w:val="00D3182A"/>
    <w:rsid w:val="00D32155"/>
    <w:rsid w:val="00D328B4"/>
    <w:rsid w:val="00D331A4"/>
    <w:rsid w:val="00D36929"/>
    <w:rsid w:val="00D4324B"/>
    <w:rsid w:val="00D60564"/>
    <w:rsid w:val="00D711FA"/>
    <w:rsid w:val="00D738AA"/>
    <w:rsid w:val="00D77B94"/>
    <w:rsid w:val="00D8080E"/>
    <w:rsid w:val="00D81646"/>
    <w:rsid w:val="00D86AE9"/>
    <w:rsid w:val="00D90329"/>
    <w:rsid w:val="00D9185E"/>
    <w:rsid w:val="00D924FE"/>
    <w:rsid w:val="00DB1987"/>
    <w:rsid w:val="00DC183F"/>
    <w:rsid w:val="00DC4550"/>
    <w:rsid w:val="00DC646F"/>
    <w:rsid w:val="00DD0631"/>
    <w:rsid w:val="00DD6313"/>
    <w:rsid w:val="00DE1EE4"/>
    <w:rsid w:val="00DE4407"/>
    <w:rsid w:val="00DE4CBC"/>
    <w:rsid w:val="00DF3E05"/>
    <w:rsid w:val="00DF69B3"/>
    <w:rsid w:val="00DF6F87"/>
    <w:rsid w:val="00E01CB6"/>
    <w:rsid w:val="00E06DCA"/>
    <w:rsid w:val="00E25336"/>
    <w:rsid w:val="00E26C74"/>
    <w:rsid w:val="00E3243B"/>
    <w:rsid w:val="00E452C7"/>
    <w:rsid w:val="00E62CC8"/>
    <w:rsid w:val="00E6377D"/>
    <w:rsid w:val="00E642B1"/>
    <w:rsid w:val="00E75D29"/>
    <w:rsid w:val="00E77D8E"/>
    <w:rsid w:val="00E83154"/>
    <w:rsid w:val="00E873E5"/>
    <w:rsid w:val="00E9018A"/>
    <w:rsid w:val="00E97372"/>
    <w:rsid w:val="00EA13B7"/>
    <w:rsid w:val="00EA74E0"/>
    <w:rsid w:val="00EB0B9D"/>
    <w:rsid w:val="00EB2494"/>
    <w:rsid w:val="00ED11E2"/>
    <w:rsid w:val="00ED16DF"/>
    <w:rsid w:val="00ED5708"/>
    <w:rsid w:val="00ED6A12"/>
    <w:rsid w:val="00ED7E76"/>
    <w:rsid w:val="00F00F45"/>
    <w:rsid w:val="00F03F0B"/>
    <w:rsid w:val="00F0505F"/>
    <w:rsid w:val="00F05CFF"/>
    <w:rsid w:val="00F13426"/>
    <w:rsid w:val="00F25C3F"/>
    <w:rsid w:val="00F36498"/>
    <w:rsid w:val="00F409B9"/>
    <w:rsid w:val="00F46A52"/>
    <w:rsid w:val="00F47AC0"/>
    <w:rsid w:val="00F51D8C"/>
    <w:rsid w:val="00F54B46"/>
    <w:rsid w:val="00F618F2"/>
    <w:rsid w:val="00F67154"/>
    <w:rsid w:val="00F72DF8"/>
    <w:rsid w:val="00F73F2D"/>
    <w:rsid w:val="00F74852"/>
    <w:rsid w:val="00F84227"/>
    <w:rsid w:val="00F92716"/>
    <w:rsid w:val="00FA034A"/>
    <w:rsid w:val="00FA4213"/>
    <w:rsid w:val="00FA6FC0"/>
    <w:rsid w:val="00FB4040"/>
    <w:rsid w:val="00FC3EE9"/>
    <w:rsid w:val="00FC5100"/>
    <w:rsid w:val="00FD0E0E"/>
    <w:rsid w:val="00FD5B45"/>
    <w:rsid w:val="00FE74AE"/>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1C7"/>
    <w:pPr>
      <w:widowControl w:val="0"/>
    </w:pPr>
    <w:rPr>
      <w:snapToGrid w:val="0"/>
      <w:kern w:val="28"/>
      <w:sz w:val="22"/>
    </w:rPr>
  </w:style>
  <w:style w:type="paragraph" w:styleId="Heading1">
    <w:name w:val="heading 1"/>
    <w:basedOn w:val="Normal"/>
    <w:next w:val="ParaNum"/>
    <w:qFormat/>
    <w:rsid w:val="00A771C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71C7"/>
    <w:pPr>
      <w:keepNext/>
      <w:numPr>
        <w:ilvl w:val="1"/>
        <w:numId w:val="3"/>
      </w:numPr>
      <w:spacing w:after="120"/>
      <w:outlineLvl w:val="1"/>
    </w:pPr>
    <w:rPr>
      <w:b/>
    </w:rPr>
  </w:style>
  <w:style w:type="paragraph" w:styleId="Heading3">
    <w:name w:val="heading 3"/>
    <w:basedOn w:val="Normal"/>
    <w:next w:val="ParaNum"/>
    <w:qFormat/>
    <w:rsid w:val="00A771C7"/>
    <w:pPr>
      <w:keepNext/>
      <w:numPr>
        <w:ilvl w:val="2"/>
        <w:numId w:val="3"/>
      </w:numPr>
      <w:tabs>
        <w:tab w:val="left" w:pos="2160"/>
      </w:tabs>
      <w:spacing w:after="120"/>
      <w:outlineLvl w:val="2"/>
    </w:pPr>
    <w:rPr>
      <w:b/>
    </w:rPr>
  </w:style>
  <w:style w:type="paragraph" w:styleId="Heading4">
    <w:name w:val="heading 4"/>
    <w:basedOn w:val="Normal"/>
    <w:next w:val="ParaNum"/>
    <w:qFormat/>
    <w:rsid w:val="00A771C7"/>
    <w:pPr>
      <w:keepNext/>
      <w:numPr>
        <w:ilvl w:val="3"/>
        <w:numId w:val="3"/>
      </w:numPr>
      <w:tabs>
        <w:tab w:val="left" w:pos="2880"/>
      </w:tabs>
      <w:spacing w:after="120"/>
      <w:outlineLvl w:val="3"/>
    </w:pPr>
    <w:rPr>
      <w:b/>
    </w:rPr>
  </w:style>
  <w:style w:type="paragraph" w:styleId="Heading5">
    <w:name w:val="heading 5"/>
    <w:basedOn w:val="Normal"/>
    <w:next w:val="ParaNum"/>
    <w:qFormat/>
    <w:rsid w:val="00A771C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771C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771C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771C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771C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771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71C7"/>
  </w:style>
  <w:style w:type="paragraph" w:customStyle="1" w:styleId="ParaNum">
    <w:name w:val="ParaNum"/>
    <w:basedOn w:val="Normal"/>
    <w:link w:val="ParaNumChar"/>
    <w:rsid w:val="00A771C7"/>
    <w:pPr>
      <w:numPr>
        <w:numId w:val="2"/>
      </w:numPr>
      <w:tabs>
        <w:tab w:val="clear" w:pos="1080"/>
        <w:tab w:val="num" w:pos="1440"/>
      </w:tabs>
      <w:spacing w:after="120"/>
    </w:pPr>
  </w:style>
  <w:style w:type="paragraph" w:styleId="EndnoteText">
    <w:name w:val="endnote text"/>
    <w:basedOn w:val="Normal"/>
    <w:semiHidden/>
    <w:rsid w:val="00A771C7"/>
    <w:rPr>
      <w:sz w:val="20"/>
    </w:rPr>
  </w:style>
  <w:style w:type="character" w:styleId="EndnoteReference">
    <w:name w:val="endnote reference"/>
    <w:semiHidden/>
    <w:rsid w:val="00A771C7"/>
    <w:rPr>
      <w:vertAlign w:val="superscript"/>
    </w:rPr>
  </w:style>
  <w:style w:type="paragraph" w:styleId="FootnoteText">
    <w:name w:val="footnote text"/>
    <w:aliases w:val="Footnote Text Char,Footnote Text Char3 Char,Footnote Text Char2 Char1 Char,Footnote Text Char Char2 Char Char,Footnote Text Char2 Char Char Char Char,Footnote Text Char Char2 Char Char Char Char,Footnote Text Char3,Footnote Text Char Char2"/>
    <w:link w:val="FootnoteTextChar1"/>
    <w:rsid w:val="00A771C7"/>
    <w:pPr>
      <w:spacing w:after="120"/>
    </w:pPr>
  </w:style>
  <w:style w:type="character" w:styleId="FootnoteReference">
    <w:name w:val="footnote reference"/>
    <w:aliases w:val="Style 12,(NECG) Footnote Reference,o,fr,Style 3,Appel note de bas de p,Style 124,Style 13,FR,Style 17,Style 6,Footnote Reference/,Style 4,Style 7"/>
    <w:rsid w:val="00A771C7"/>
    <w:rPr>
      <w:rFonts w:ascii="Times New Roman" w:hAnsi="Times New Roman"/>
      <w:dstrike w:val="0"/>
      <w:color w:val="auto"/>
      <w:sz w:val="20"/>
      <w:vertAlign w:val="superscript"/>
    </w:rPr>
  </w:style>
  <w:style w:type="paragraph" w:styleId="TOC1">
    <w:name w:val="toc 1"/>
    <w:basedOn w:val="Normal"/>
    <w:next w:val="Normal"/>
    <w:semiHidden/>
    <w:rsid w:val="00A771C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71C7"/>
    <w:pPr>
      <w:tabs>
        <w:tab w:val="left" w:pos="720"/>
        <w:tab w:val="right" w:leader="dot" w:pos="9360"/>
      </w:tabs>
      <w:suppressAutoHyphens/>
      <w:ind w:left="720" w:right="720" w:hanging="360"/>
    </w:pPr>
    <w:rPr>
      <w:noProof/>
    </w:rPr>
  </w:style>
  <w:style w:type="paragraph" w:styleId="TOC3">
    <w:name w:val="toc 3"/>
    <w:basedOn w:val="Normal"/>
    <w:next w:val="Normal"/>
    <w:semiHidden/>
    <w:rsid w:val="00A771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71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71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71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71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71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71C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71C7"/>
    <w:pPr>
      <w:tabs>
        <w:tab w:val="right" w:pos="9360"/>
      </w:tabs>
      <w:suppressAutoHyphens/>
    </w:pPr>
  </w:style>
  <w:style w:type="character" w:customStyle="1" w:styleId="EquationCaption">
    <w:name w:val="_Equation Caption"/>
    <w:rsid w:val="00A771C7"/>
  </w:style>
  <w:style w:type="paragraph" w:styleId="Header">
    <w:name w:val="header"/>
    <w:basedOn w:val="Normal"/>
    <w:link w:val="HeaderChar"/>
    <w:autoRedefine/>
    <w:rsid w:val="00A771C7"/>
    <w:pPr>
      <w:tabs>
        <w:tab w:val="center" w:pos="4680"/>
        <w:tab w:val="right" w:pos="9360"/>
      </w:tabs>
    </w:pPr>
    <w:rPr>
      <w:b/>
    </w:rPr>
  </w:style>
  <w:style w:type="paragraph" w:styleId="Footer">
    <w:name w:val="footer"/>
    <w:basedOn w:val="Normal"/>
    <w:link w:val="FooterChar"/>
    <w:rsid w:val="00A771C7"/>
    <w:pPr>
      <w:tabs>
        <w:tab w:val="center" w:pos="4320"/>
        <w:tab w:val="right" w:pos="8640"/>
      </w:tabs>
    </w:pPr>
  </w:style>
  <w:style w:type="character" w:styleId="PageNumber">
    <w:name w:val="page number"/>
    <w:basedOn w:val="DefaultParagraphFont"/>
    <w:rsid w:val="00A771C7"/>
  </w:style>
  <w:style w:type="paragraph" w:styleId="BlockText">
    <w:name w:val="Block Text"/>
    <w:basedOn w:val="Normal"/>
    <w:rsid w:val="00A771C7"/>
    <w:pPr>
      <w:spacing w:after="240"/>
      <w:ind w:left="1440" w:right="1440"/>
    </w:pPr>
  </w:style>
  <w:style w:type="paragraph" w:customStyle="1" w:styleId="Paratitle">
    <w:name w:val="Para title"/>
    <w:basedOn w:val="Normal"/>
    <w:rsid w:val="00A771C7"/>
    <w:pPr>
      <w:tabs>
        <w:tab w:val="center" w:pos="9270"/>
      </w:tabs>
      <w:spacing w:after="240"/>
    </w:pPr>
    <w:rPr>
      <w:spacing w:val="-2"/>
    </w:rPr>
  </w:style>
  <w:style w:type="paragraph" w:customStyle="1" w:styleId="Bullet">
    <w:name w:val="Bullet"/>
    <w:basedOn w:val="Normal"/>
    <w:rsid w:val="00A771C7"/>
    <w:pPr>
      <w:tabs>
        <w:tab w:val="left" w:pos="2160"/>
      </w:tabs>
      <w:spacing w:after="220"/>
      <w:ind w:left="2160" w:hanging="720"/>
    </w:pPr>
  </w:style>
  <w:style w:type="paragraph" w:customStyle="1" w:styleId="TableFormat">
    <w:name w:val="TableFormat"/>
    <w:basedOn w:val="Bullet"/>
    <w:rsid w:val="00A771C7"/>
    <w:pPr>
      <w:tabs>
        <w:tab w:val="clear" w:pos="2160"/>
        <w:tab w:val="left" w:pos="5040"/>
      </w:tabs>
      <w:ind w:left="5040" w:hanging="3600"/>
    </w:pPr>
  </w:style>
  <w:style w:type="paragraph" w:customStyle="1" w:styleId="TOCTitle">
    <w:name w:val="TOC Title"/>
    <w:basedOn w:val="Normal"/>
    <w:rsid w:val="00A771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71C7"/>
    <w:pPr>
      <w:jc w:val="center"/>
    </w:pPr>
    <w:rPr>
      <w:rFonts w:ascii="Times New Roman Bold" w:hAnsi="Times New Roman Bold"/>
      <w:b/>
      <w:bCs/>
      <w:caps/>
      <w:szCs w:val="22"/>
    </w:rPr>
  </w:style>
  <w:style w:type="character" w:styleId="Hyperlink">
    <w:name w:val="Hyperlink"/>
    <w:rsid w:val="00A771C7"/>
    <w:rPr>
      <w:color w:val="0000FF"/>
      <w:u w:val="single"/>
    </w:rPr>
  </w:style>
  <w:style w:type="character" w:customStyle="1" w:styleId="FootnoteCharacters">
    <w:name w:val="Footnote Characters"/>
    <w:rPr>
      <w:vertAlign w:val="superscript"/>
    </w:rPr>
  </w:style>
  <w:style w:type="character" w:customStyle="1" w:styleId="FootnoteTextCharChar">
    <w:name w:val="Footnote Text Char Char"/>
    <w:aliases w:val="Footnote Text Char3 Char Char,Footnote Text Char2 Char1 Char Char,Footnote Text Char Char2 Char Char Char,Footnote Text Char2 Char Char Char Char Char,Footnote Text Char Char2 Char Char Char Char Char,Footnote Text Char3 Char1"/>
    <w:locked/>
    <w:rPr>
      <w:lang w:val="en-US" w:eastAsia="en-US" w:bidi="ar-SA"/>
    </w:rPr>
  </w:style>
  <w:style w:type="character" w:customStyle="1" w:styleId="ParaNumChar1">
    <w:name w:val="ParaNum Char1"/>
    <w:rPr>
      <w:snapToGrid w:val="0"/>
      <w:kern w:val="28"/>
      <w:sz w:val="22"/>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styleId="Emphasis">
    <w:name w:val="Emphasis"/>
    <w:qFormat/>
    <w:rPr>
      <w:i/>
      <w:iCs/>
    </w:rPr>
  </w:style>
  <w:style w:type="paragraph" w:styleId="BalloonText">
    <w:name w:val="Balloon Text"/>
    <w:basedOn w:val="Normal"/>
    <w:semiHidden/>
    <w:rPr>
      <w:rFonts w:ascii="Tahoma" w:hAnsi="Tahoma" w:cs="Tahoma"/>
      <w:snapToGrid/>
      <w:sz w:val="16"/>
      <w:szCs w:val="16"/>
    </w:rPr>
  </w:style>
  <w:style w:type="character" w:styleId="CommentReference">
    <w:name w:val="annotation reference"/>
    <w:semiHidden/>
    <w:rPr>
      <w:sz w:val="16"/>
      <w:szCs w:val="16"/>
    </w:rPr>
  </w:style>
  <w:style w:type="paragraph" w:styleId="CommentText">
    <w:name w:val="annotation text"/>
    <w:basedOn w:val="Normal"/>
    <w:semiHidden/>
    <w:rPr>
      <w:snapToGrid/>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FootnoteTextChar1">
    <w:name w:val="Footnote Text Char1"/>
    <w:aliases w:val="Footnote Text Char Char1,Footnote Text Char3 Char Char1,Footnote Text Char2 Char1 Char Char1,Footnote Text Char Char2 Char Char Char1,Footnote Text Char2 Char Char Char Char Char1,Footnote Text Char Char2 Char Char Char Char Char1"/>
    <w:link w:val="FootnoteText"/>
    <w:locked/>
    <w:rsid w:val="00B0510D"/>
  </w:style>
  <w:style w:type="character" w:customStyle="1" w:styleId="msoins0">
    <w:name w:val="msoins"/>
    <w:basedOn w:val="DefaultParagraphFont"/>
  </w:style>
  <w:style w:type="character" w:customStyle="1" w:styleId="ParaNumChar">
    <w:name w:val="ParaNum Char"/>
    <w:link w:val="ParaNum"/>
    <w:rsid w:val="00AA7648"/>
    <w:rPr>
      <w:snapToGrid w:val="0"/>
      <w:kern w:val="28"/>
      <w:sz w:val="22"/>
    </w:rPr>
  </w:style>
  <w:style w:type="character" w:customStyle="1" w:styleId="FootnoteTextChar1CharChar">
    <w:name w:val="Footnote Text Char1 Char Char"/>
    <w:aliases w:val="Footnote Text Char Char Char Char,Footnote Text Char1 Char Char Char1 Char,Footnote Text Char Char Char Char Char1 Char,Footnote Text Char2 Char Char Char Char Char1 Char,Footnote Text Char2 Char Char"/>
    <w:rsid w:val="009E2763"/>
  </w:style>
  <w:style w:type="character" w:customStyle="1" w:styleId="HeaderChar">
    <w:name w:val="Header Char"/>
    <w:basedOn w:val="DefaultParagraphFont"/>
    <w:link w:val="Header"/>
    <w:rsid w:val="004462D6"/>
    <w:rPr>
      <w:b/>
      <w:snapToGrid w:val="0"/>
      <w:kern w:val="28"/>
      <w:sz w:val="22"/>
    </w:rPr>
  </w:style>
  <w:style w:type="character" w:customStyle="1" w:styleId="apple-converted-space">
    <w:name w:val="apple-converted-space"/>
    <w:basedOn w:val="DefaultParagraphFont"/>
    <w:rsid w:val="00F46A52"/>
  </w:style>
  <w:style w:type="character" w:customStyle="1" w:styleId="FooterChar">
    <w:name w:val="Footer Char"/>
    <w:basedOn w:val="DefaultParagraphFont"/>
    <w:link w:val="Footer"/>
    <w:rsid w:val="00F72DF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1C7"/>
    <w:pPr>
      <w:widowControl w:val="0"/>
    </w:pPr>
    <w:rPr>
      <w:snapToGrid w:val="0"/>
      <w:kern w:val="28"/>
      <w:sz w:val="22"/>
    </w:rPr>
  </w:style>
  <w:style w:type="paragraph" w:styleId="Heading1">
    <w:name w:val="heading 1"/>
    <w:basedOn w:val="Normal"/>
    <w:next w:val="ParaNum"/>
    <w:qFormat/>
    <w:rsid w:val="00A771C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71C7"/>
    <w:pPr>
      <w:keepNext/>
      <w:numPr>
        <w:ilvl w:val="1"/>
        <w:numId w:val="3"/>
      </w:numPr>
      <w:spacing w:after="120"/>
      <w:outlineLvl w:val="1"/>
    </w:pPr>
    <w:rPr>
      <w:b/>
    </w:rPr>
  </w:style>
  <w:style w:type="paragraph" w:styleId="Heading3">
    <w:name w:val="heading 3"/>
    <w:basedOn w:val="Normal"/>
    <w:next w:val="ParaNum"/>
    <w:qFormat/>
    <w:rsid w:val="00A771C7"/>
    <w:pPr>
      <w:keepNext/>
      <w:numPr>
        <w:ilvl w:val="2"/>
        <w:numId w:val="3"/>
      </w:numPr>
      <w:tabs>
        <w:tab w:val="left" w:pos="2160"/>
      </w:tabs>
      <w:spacing w:after="120"/>
      <w:outlineLvl w:val="2"/>
    </w:pPr>
    <w:rPr>
      <w:b/>
    </w:rPr>
  </w:style>
  <w:style w:type="paragraph" w:styleId="Heading4">
    <w:name w:val="heading 4"/>
    <w:basedOn w:val="Normal"/>
    <w:next w:val="ParaNum"/>
    <w:qFormat/>
    <w:rsid w:val="00A771C7"/>
    <w:pPr>
      <w:keepNext/>
      <w:numPr>
        <w:ilvl w:val="3"/>
        <w:numId w:val="3"/>
      </w:numPr>
      <w:tabs>
        <w:tab w:val="left" w:pos="2880"/>
      </w:tabs>
      <w:spacing w:after="120"/>
      <w:outlineLvl w:val="3"/>
    </w:pPr>
    <w:rPr>
      <w:b/>
    </w:rPr>
  </w:style>
  <w:style w:type="paragraph" w:styleId="Heading5">
    <w:name w:val="heading 5"/>
    <w:basedOn w:val="Normal"/>
    <w:next w:val="ParaNum"/>
    <w:qFormat/>
    <w:rsid w:val="00A771C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771C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771C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771C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771C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771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71C7"/>
  </w:style>
  <w:style w:type="paragraph" w:customStyle="1" w:styleId="ParaNum">
    <w:name w:val="ParaNum"/>
    <w:basedOn w:val="Normal"/>
    <w:link w:val="ParaNumChar"/>
    <w:rsid w:val="00A771C7"/>
    <w:pPr>
      <w:numPr>
        <w:numId w:val="2"/>
      </w:numPr>
      <w:tabs>
        <w:tab w:val="clear" w:pos="1080"/>
        <w:tab w:val="num" w:pos="1440"/>
      </w:tabs>
      <w:spacing w:after="120"/>
    </w:pPr>
  </w:style>
  <w:style w:type="paragraph" w:styleId="EndnoteText">
    <w:name w:val="endnote text"/>
    <w:basedOn w:val="Normal"/>
    <w:semiHidden/>
    <w:rsid w:val="00A771C7"/>
    <w:rPr>
      <w:sz w:val="20"/>
    </w:rPr>
  </w:style>
  <w:style w:type="character" w:styleId="EndnoteReference">
    <w:name w:val="endnote reference"/>
    <w:semiHidden/>
    <w:rsid w:val="00A771C7"/>
    <w:rPr>
      <w:vertAlign w:val="superscript"/>
    </w:rPr>
  </w:style>
  <w:style w:type="paragraph" w:styleId="FootnoteText">
    <w:name w:val="footnote text"/>
    <w:aliases w:val="Footnote Text Char,Footnote Text Char3 Char,Footnote Text Char2 Char1 Char,Footnote Text Char Char2 Char Char,Footnote Text Char2 Char Char Char Char,Footnote Text Char Char2 Char Char Char Char,Footnote Text Char3,Footnote Text Char Char2"/>
    <w:link w:val="FootnoteTextChar1"/>
    <w:rsid w:val="00A771C7"/>
    <w:pPr>
      <w:spacing w:after="120"/>
    </w:pPr>
  </w:style>
  <w:style w:type="character" w:styleId="FootnoteReference">
    <w:name w:val="footnote reference"/>
    <w:aliases w:val="Style 12,(NECG) Footnote Reference,o,fr,Style 3,Appel note de bas de p,Style 124,Style 13,FR,Style 17,Style 6,Footnote Reference/,Style 4,Style 7"/>
    <w:rsid w:val="00A771C7"/>
    <w:rPr>
      <w:rFonts w:ascii="Times New Roman" w:hAnsi="Times New Roman"/>
      <w:dstrike w:val="0"/>
      <w:color w:val="auto"/>
      <w:sz w:val="20"/>
      <w:vertAlign w:val="superscript"/>
    </w:rPr>
  </w:style>
  <w:style w:type="paragraph" w:styleId="TOC1">
    <w:name w:val="toc 1"/>
    <w:basedOn w:val="Normal"/>
    <w:next w:val="Normal"/>
    <w:semiHidden/>
    <w:rsid w:val="00A771C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71C7"/>
    <w:pPr>
      <w:tabs>
        <w:tab w:val="left" w:pos="720"/>
        <w:tab w:val="right" w:leader="dot" w:pos="9360"/>
      </w:tabs>
      <w:suppressAutoHyphens/>
      <w:ind w:left="720" w:right="720" w:hanging="360"/>
    </w:pPr>
    <w:rPr>
      <w:noProof/>
    </w:rPr>
  </w:style>
  <w:style w:type="paragraph" w:styleId="TOC3">
    <w:name w:val="toc 3"/>
    <w:basedOn w:val="Normal"/>
    <w:next w:val="Normal"/>
    <w:semiHidden/>
    <w:rsid w:val="00A771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71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71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71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71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71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71C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71C7"/>
    <w:pPr>
      <w:tabs>
        <w:tab w:val="right" w:pos="9360"/>
      </w:tabs>
      <w:suppressAutoHyphens/>
    </w:pPr>
  </w:style>
  <w:style w:type="character" w:customStyle="1" w:styleId="EquationCaption">
    <w:name w:val="_Equation Caption"/>
    <w:rsid w:val="00A771C7"/>
  </w:style>
  <w:style w:type="paragraph" w:styleId="Header">
    <w:name w:val="header"/>
    <w:basedOn w:val="Normal"/>
    <w:link w:val="HeaderChar"/>
    <w:autoRedefine/>
    <w:rsid w:val="00A771C7"/>
    <w:pPr>
      <w:tabs>
        <w:tab w:val="center" w:pos="4680"/>
        <w:tab w:val="right" w:pos="9360"/>
      </w:tabs>
    </w:pPr>
    <w:rPr>
      <w:b/>
    </w:rPr>
  </w:style>
  <w:style w:type="paragraph" w:styleId="Footer">
    <w:name w:val="footer"/>
    <w:basedOn w:val="Normal"/>
    <w:link w:val="FooterChar"/>
    <w:rsid w:val="00A771C7"/>
    <w:pPr>
      <w:tabs>
        <w:tab w:val="center" w:pos="4320"/>
        <w:tab w:val="right" w:pos="8640"/>
      </w:tabs>
    </w:pPr>
  </w:style>
  <w:style w:type="character" w:styleId="PageNumber">
    <w:name w:val="page number"/>
    <w:basedOn w:val="DefaultParagraphFont"/>
    <w:rsid w:val="00A771C7"/>
  </w:style>
  <w:style w:type="paragraph" w:styleId="BlockText">
    <w:name w:val="Block Text"/>
    <w:basedOn w:val="Normal"/>
    <w:rsid w:val="00A771C7"/>
    <w:pPr>
      <w:spacing w:after="240"/>
      <w:ind w:left="1440" w:right="1440"/>
    </w:pPr>
  </w:style>
  <w:style w:type="paragraph" w:customStyle="1" w:styleId="Paratitle">
    <w:name w:val="Para title"/>
    <w:basedOn w:val="Normal"/>
    <w:rsid w:val="00A771C7"/>
    <w:pPr>
      <w:tabs>
        <w:tab w:val="center" w:pos="9270"/>
      </w:tabs>
      <w:spacing w:after="240"/>
    </w:pPr>
    <w:rPr>
      <w:spacing w:val="-2"/>
    </w:rPr>
  </w:style>
  <w:style w:type="paragraph" w:customStyle="1" w:styleId="Bullet">
    <w:name w:val="Bullet"/>
    <w:basedOn w:val="Normal"/>
    <w:rsid w:val="00A771C7"/>
    <w:pPr>
      <w:tabs>
        <w:tab w:val="left" w:pos="2160"/>
      </w:tabs>
      <w:spacing w:after="220"/>
      <w:ind w:left="2160" w:hanging="720"/>
    </w:pPr>
  </w:style>
  <w:style w:type="paragraph" w:customStyle="1" w:styleId="TableFormat">
    <w:name w:val="TableFormat"/>
    <w:basedOn w:val="Bullet"/>
    <w:rsid w:val="00A771C7"/>
    <w:pPr>
      <w:tabs>
        <w:tab w:val="clear" w:pos="2160"/>
        <w:tab w:val="left" w:pos="5040"/>
      </w:tabs>
      <w:ind w:left="5040" w:hanging="3600"/>
    </w:pPr>
  </w:style>
  <w:style w:type="paragraph" w:customStyle="1" w:styleId="TOCTitle">
    <w:name w:val="TOC Title"/>
    <w:basedOn w:val="Normal"/>
    <w:rsid w:val="00A771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71C7"/>
    <w:pPr>
      <w:jc w:val="center"/>
    </w:pPr>
    <w:rPr>
      <w:rFonts w:ascii="Times New Roman Bold" w:hAnsi="Times New Roman Bold"/>
      <w:b/>
      <w:bCs/>
      <w:caps/>
      <w:szCs w:val="22"/>
    </w:rPr>
  </w:style>
  <w:style w:type="character" w:styleId="Hyperlink">
    <w:name w:val="Hyperlink"/>
    <w:rsid w:val="00A771C7"/>
    <w:rPr>
      <w:color w:val="0000FF"/>
      <w:u w:val="single"/>
    </w:rPr>
  </w:style>
  <w:style w:type="character" w:customStyle="1" w:styleId="FootnoteCharacters">
    <w:name w:val="Footnote Characters"/>
    <w:rPr>
      <w:vertAlign w:val="superscript"/>
    </w:rPr>
  </w:style>
  <w:style w:type="character" w:customStyle="1" w:styleId="FootnoteTextCharChar">
    <w:name w:val="Footnote Text Char Char"/>
    <w:aliases w:val="Footnote Text Char3 Char Char,Footnote Text Char2 Char1 Char Char,Footnote Text Char Char2 Char Char Char,Footnote Text Char2 Char Char Char Char Char,Footnote Text Char Char2 Char Char Char Char Char,Footnote Text Char3 Char1"/>
    <w:locked/>
    <w:rPr>
      <w:lang w:val="en-US" w:eastAsia="en-US" w:bidi="ar-SA"/>
    </w:rPr>
  </w:style>
  <w:style w:type="character" w:customStyle="1" w:styleId="ParaNumChar1">
    <w:name w:val="ParaNum Char1"/>
    <w:rPr>
      <w:snapToGrid w:val="0"/>
      <w:kern w:val="28"/>
      <w:sz w:val="22"/>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styleId="Emphasis">
    <w:name w:val="Emphasis"/>
    <w:qFormat/>
    <w:rPr>
      <w:i/>
      <w:iCs/>
    </w:rPr>
  </w:style>
  <w:style w:type="paragraph" w:styleId="BalloonText">
    <w:name w:val="Balloon Text"/>
    <w:basedOn w:val="Normal"/>
    <w:semiHidden/>
    <w:rPr>
      <w:rFonts w:ascii="Tahoma" w:hAnsi="Tahoma" w:cs="Tahoma"/>
      <w:snapToGrid/>
      <w:sz w:val="16"/>
      <w:szCs w:val="16"/>
    </w:rPr>
  </w:style>
  <w:style w:type="character" w:styleId="CommentReference">
    <w:name w:val="annotation reference"/>
    <w:semiHidden/>
    <w:rPr>
      <w:sz w:val="16"/>
      <w:szCs w:val="16"/>
    </w:rPr>
  </w:style>
  <w:style w:type="paragraph" w:styleId="CommentText">
    <w:name w:val="annotation text"/>
    <w:basedOn w:val="Normal"/>
    <w:semiHidden/>
    <w:rPr>
      <w:snapToGrid/>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FootnoteTextChar1">
    <w:name w:val="Footnote Text Char1"/>
    <w:aliases w:val="Footnote Text Char Char1,Footnote Text Char3 Char Char1,Footnote Text Char2 Char1 Char Char1,Footnote Text Char Char2 Char Char Char1,Footnote Text Char2 Char Char Char Char Char1,Footnote Text Char Char2 Char Char Char Char Char1"/>
    <w:link w:val="FootnoteText"/>
    <w:locked/>
    <w:rsid w:val="00B0510D"/>
  </w:style>
  <w:style w:type="character" w:customStyle="1" w:styleId="msoins0">
    <w:name w:val="msoins"/>
    <w:basedOn w:val="DefaultParagraphFont"/>
  </w:style>
  <w:style w:type="character" w:customStyle="1" w:styleId="ParaNumChar">
    <w:name w:val="ParaNum Char"/>
    <w:link w:val="ParaNum"/>
    <w:rsid w:val="00AA7648"/>
    <w:rPr>
      <w:snapToGrid w:val="0"/>
      <w:kern w:val="28"/>
      <w:sz w:val="22"/>
    </w:rPr>
  </w:style>
  <w:style w:type="character" w:customStyle="1" w:styleId="FootnoteTextChar1CharChar">
    <w:name w:val="Footnote Text Char1 Char Char"/>
    <w:aliases w:val="Footnote Text Char Char Char Char,Footnote Text Char1 Char Char Char1 Char,Footnote Text Char Char Char Char Char1 Char,Footnote Text Char2 Char Char Char Char Char1 Char,Footnote Text Char2 Char Char"/>
    <w:rsid w:val="009E2763"/>
  </w:style>
  <w:style w:type="character" w:customStyle="1" w:styleId="HeaderChar">
    <w:name w:val="Header Char"/>
    <w:basedOn w:val="DefaultParagraphFont"/>
    <w:link w:val="Header"/>
    <w:rsid w:val="004462D6"/>
    <w:rPr>
      <w:b/>
      <w:snapToGrid w:val="0"/>
      <w:kern w:val="28"/>
      <w:sz w:val="22"/>
    </w:rPr>
  </w:style>
  <w:style w:type="character" w:customStyle="1" w:styleId="apple-converted-space">
    <w:name w:val="apple-converted-space"/>
    <w:basedOn w:val="DefaultParagraphFont"/>
    <w:rsid w:val="00F46A52"/>
  </w:style>
  <w:style w:type="character" w:customStyle="1" w:styleId="FooterChar">
    <w:name w:val="Footer Char"/>
    <w:basedOn w:val="DefaultParagraphFont"/>
    <w:link w:val="Footer"/>
    <w:rsid w:val="00F72DF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483">
      <w:bodyDiv w:val="1"/>
      <w:marLeft w:val="0"/>
      <w:marRight w:val="0"/>
      <w:marTop w:val="0"/>
      <w:marBottom w:val="0"/>
      <w:divBdr>
        <w:top w:val="none" w:sz="0" w:space="0" w:color="auto"/>
        <w:left w:val="none" w:sz="0" w:space="0" w:color="auto"/>
        <w:bottom w:val="none" w:sz="0" w:space="0" w:color="auto"/>
        <w:right w:val="none" w:sz="0" w:space="0" w:color="auto"/>
      </w:divBdr>
      <w:divsChild>
        <w:div w:id="871192639">
          <w:marLeft w:val="0"/>
          <w:marRight w:val="0"/>
          <w:marTop w:val="0"/>
          <w:marBottom w:val="0"/>
          <w:divBdr>
            <w:top w:val="none" w:sz="0" w:space="0" w:color="auto"/>
            <w:left w:val="none" w:sz="0" w:space="0" w:color="auto"/>
            <w:bottom w:val="none" w:sz="0" w:space="0" w:color="auto"/>
            <w:right w:val="none" w:sz="0" w:space="0" w:color="auto"/>
          </w:divBdr>
        </w:div>
      </w:divsChild>
    </w:div>
    <w:div w:id="945817683">
      <w:bodyDiv w:val="1"/>
      <w:marLeft w:val="0"/>
      <w:marRight w:val="0"/>
      <w:marTop w:val="0"/>
      <w:marBottom w:val="0"/>
      <w:divBdr>
        <w:top w:val="none" w:sz="0" w:space="0" w:color="auto"/>
        <w:left w:val="none" w:sz="0" w:space="0" w:color="auto"/>
        <w:bottom w:val="none" w:sz="0" w:space="0" w:color="auto"/>
        <w:right w:val="none" w:sz="0" w:space="0" w:color="auto"/>
      </w:divBdr>
    </w:div>
    <w:div w:id="1130248887">
      <w:bodyDiv w:val="1"/>
      <w:marLeft w:val="0"/>
      <w:marRight w:val="0"/>
      <w:marTop w:val="0"/>
      <w:marBottom w:val="0"/>
      <w:divBdr>
        <w:top w:val="none" w:sz="0" w:space="0" w:color="auto"/>
        <w:left w:val="none" w:sz="0" w:space="0" w:color="auto"/>
        <w:bottom w:val="none" w:sz="0" w:space="0" w:color="auto"/>
        <w:right w:val="none" w:sz="0" w:space="0" w:color="auto"/>
      </w:divBdr>
    </w:div>
    <w:div w:id="1171412231">
      <w:bodyDiv w:val="1"/>
      <w:marLeft w:val="0"/>
      <w:marRight w:val="0"/>
      <w:marTop w:val="0"/>
      <w:marBottom w:val="0"/>
      <w:divBdr>
        <w:top w:val="none" w:sz="0" w:space="0" w:color="auto"/>
        <w:left w:val="none" w:sz="0" w:space="0" w:color="auto"/>
        <w:bottom w:val="none" w:sz="0" w:space="0" w:color="auto"/>
        <w:right w:val="none" w:sz="0" w:space="0" w:color="auto"/>
      </w:divBdr>
    </w:div>
    <w:div w:id="1490171651">
      <w:bodyDiv w:val="1"/>
      <w:marLeft w:val="0"/>
      <w:marRight w:val="0"/>
      <w:marTop w:val="0"/>
      <w:marBottom w:val="0"/>
      <w:divBdr>
        <w:top w:val="none" w:sz="0" w:space="0" w:color="auto"/>
        <w:left w:val="none" w:sz="0" w:space="0" w:color="auto"/>
        <w:bottom w:val="none" w:sz="0" w:space="0" w:color="auto"/>
        <w:right w:val="none" w:sz="0" w:space="0" w:color="auto"/>
      </w:divBdr>
      <w:divsChild>
        <w:div w:id="891696354">
          <w:marLeft w:val="0"/>
          <w:marRight w:val="0"/>
          <w:marTop w:val="0"/>
          <w:marBottom w:val="0"/>
          <w:divBdr>
            <w:top w:val="none" w:sz="0" w:space="0" w:color="auto"/>
            <w:left w:val="none" w:sz="0" w:space="0" w:color="auto"/>
            <w:bottom w:val="none" w:sz="0" w:space="0" w:color="auto"/>
            <w:right w:val="none" w:sz="0" w:space="0" w:color="auto"/>
          </w:divBdr>
        </w:div>
      </w:divsChild>
    </w:div>
    <w:div w:id="1840382439">
      <w:bodyDiv w:val="1"/>
      <w:marLeft w:val="0"/>
      <w:marRight w:val="0"/>
      <w:marTop w:val="0"/>
      <w:marBottom w:val="0"/>
      <w:divBdr>
        <w:top w:val="none" w:sz="0" w:space="0" w:color="auto"/>
        <w:left w:val="none" w:sz="0" w:space="0" w:color="auto"/>
        <w:bottom w:val="none" w:sz="0" w:space="0" w:color="auto"/>
        <w:right w:val="none" w:sz="0" w:space="0" w:color="auto"/>
      </w:divBdr>
    </w:div>
    <w:div w:id="1925676706">
      <w:bodyDiv w:val="1"/>
      <w:marLeft w:val="0"/>
      <w:marRight w:val="0"/>
      <w:marTop w:val="0"/>
      <w:marBottom w:val="0"/>
      <w:divBdr>
        <w:top w:val="none" w:sz="0" w:space="0" w:color="auto"/>
        <w:left w:val="none" w:sz="0" w:space="0" w:color="auto"/>
        <w:bottom w:val="none" w:sz="0" w:space="0" w:color="auto"/>
        <w:right w:val="none" w:sz="0" w:space="0" w:color="auto"/>
      </w:divBdr>
    </w:div>
    <w:div w:id="20432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aelynn.remy@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pps.fcc.gov/edocs_public/attachmatch/DOC-328096A1.pdf" TargetMode="External"/><Relationship Id="rId3" Type="http://schemas.openxmlformats.org/officeDocument/2006/relationships/hyperlink" Target="http://www.ncta.com/industry-data" TargetMode="External"/><Relationship Id="rId7" Type="http://schemas.openxmlformats.org/officeDocument/2006/relationships/hyperlink" Target="http://factfinder2.census.gov/faces/tableservices/jsf/pages/productview.xhtml?pid=ECN_2007_US_51SSSZ4&amp;prodType=table" TargetMode="External"/><Relationship Id="rId2" Type="http://schemas.openxmlformats.org/officeDocument/2006/relationships/hyperlink" Target="http://www.snl.com/InteractiveX/TopCableMSOs.aspx?period=2012Q4&amp;sortcol=subscribersbasic&amp;sortorder=desc" TargetMode="External"/><Relationship Id="rId1" Type="http://schemas.openxmlformats.org/officeDocument/2006/relationships/hyperlink" Target="http://www.ncta.com/Statistics.aspx" TargetMode="External"/><Relationship Id="rId6" Type="http://schemas.openxmlformats.org/officeDocument/2006/relationships/hyperlink" Target="http://www.census.gov./cgi-bin/sssd/naics/naicsrch" TargetMode="External"/><Relationship Id="rId5" Type="http://schemas.openxmlformats.org/officeDocument/2006/relationships/hyperlink" Target="http://www.census.gov/cgi-bin/sssd/naics/naicsrch" TargetMode="External"/><Relationship Id="rId4" Type="http://schemas.openxmlformats.org/officeDocument/2006/relationships/hyperlink" Target="http://www.ncta.com/industry-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5181</Words>
  <Characters>27836</Characters>
  <Application>Microsoft Office Word</Application>
  <DocSecurity>0</DocSecurity>
  <Lines>408</Lines>
  <Paragraphs>83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33165</CharactersWithSpaces>
  <SharedDoc>false</SharedDoc>
  <HyperlinkBase> </HyperlinkBase>
  <HLinks>
    <vt:vector size="66" baseType="variant">
      <vt:variant>
        <vt:i4>2031737</vt:i4>
      </vt:variant>
      <vt:variant>
        <vt:i4>6</vt:i4>
      </vt:variant>
      <vt:variant>
        <vt:i4>0</vt:i4>
      </vt:variant>
      <vt:variant>
        <vt:i4>5</vt:i4>
      </vt:variant>
      <vt:variant>
        <vt:lpwstr>mailto:raelynn.remy@fcc.gov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2752585</vt:i4>
      </vt:variant>
      <vt:variant>
        <vt:i4>21</vt:i4>
      </vt:variant>
      <vt:variant>
        <vt:i4>0</vt:i4>
      </vt:variant>
      <vt:variant>
        <vt:i4>5</vt:i4>
      </vt:variant>
      <vt:variant>
        <vt:lpwstr>https://apps.fcc.gov/edocs_public/attachmatch/DOC-328096A1.pdf</vt:lpwstr>
      </vt:variant>
      <vt:variant>
        <vt:lpwstr/>
      </vt:variant>
      <vt:variant>
        <vt:i4>4456492</vt:i4>
      </vt:variant>
      <vt:variant>
        <vt:i4>18</vt:i4>
      </vt:variant>
      <vt:variant>
        <vt:i4>0</vt:i4>
      </vt:variant>
      <vt:variant>
        <vt:i4>5</vt:i4>
      </vt:variant>
      <vt:variant>
        <vt:lpwstr>http://factfinder2.census.gov/faces/tableservices/jsf/pages/productview.xhtml?pid=ECN_2007_US_51SSSZ4&amp;prodType=table</vt:lpwstr>
      </vt:variant>
      <vt:variant>
        <vt:lpwstr/>
      </vt:variant>
      <vt:variant>
        <vt:i4>2097267</vt:i4>
      </vt:variant>
      <vt:variant>
        <vt:i4>15</vt:i4>
      </vt:variant>
      <vt:variant>
        <vt:i4>0</vt:i4>
      </vt:variant>
      <vt:variant>
        <vt:i4>5</vt:i4>
      </vt:variant>
      <vt:variant>
        <vt:lpwstr>http://www.census.gov./cgi-bin/sssd/naics/naicsrch</vt:lpwstr>
      </vt:variant>
      <vt:variant>
        <vt:lpwstr/>
      </vt:variant>
      <vt:variant>
        <vt:i4>4522064</vt:i4>
      </vt:variant>
      <vt:variant>
        <vt:i4>12</vt:i4>
      </vt:variant>
      <vt:variant>
        <vt:i4>0</vt:i4>
      </vt:variant>
      <vt:variant>
        <vt:i4>5</vt:i4>
      </vt:variant>
      <vt:variant>
        <vt:lpwstr>http://www.census.gov/cgi-bin/sssd/naics/naicsrch</vt:lpwstr>
      </vt:variant>
      <vt:variant>
        <vt:lpwstr/>
      </vt:variant>
      <vt:variant>
        <vt:i4>5832732</vt:i4>
      </vt:variant>
      <vt:variant>
        <vt:i4>9</vt:i4>
      </vt:variant>
      <vt:variant>
        <vt:i4>0</vt:i4>
      </vt:variant>
      <vt:variant>
        <vt:i4>5</vt:i4>
      </vt:variant>
      <vt:variant>
        <vt:lpwstr>http://www.ncta.com/industry-data</vt:lpwstr>
      </vt:variant>
      <vt:variant>
        <vt:lpwstr/>
      </vt:variant>
      <vt:variant>
        <vt:i4>5832732</vt:i4>
      </vt:variant>
      <vt:variant>
        <vt:i4>6</vt:i4>
      </vt:variant>
      <vt:variant>
        <vt:i4>0</vt:i4>
      </vt:variant>
      <vt:variant>
        <vt:i4>5</vt:i4>
      </vt:variant>
      <vt:variant>
        <vt:lpwstr>http://www.ncta.com/industry-data</vt:lpwstr>
      </vt:variant>
      <vt:variant>
        <vt:lpwstr/>
      </vt:variant>
      <vt:variant>
        <vt:i4>3932273</vt:i4>
      </vt:variant>
      <vt:variant>
        <vt:i4>3</vt:i4>
      </vt:variant>
      <vt:variant>
        <vt:i4>0</vt:i4>
      </vt:variant>
      <vt:variant>
        <vt:i4>5</vt:i4>
      </vt:variant>
      <vt:variant>
        <vt:lpwstr>http://www.snl.com/InteractiveX/TopCableMSOs.aspx?period=2012Q4&amp;sortcol=subscribersbasic&amp;sortorder=desc</vt:lpwstr>
      </vt:variant>
      <vt:variant>
        <vt:lpwstr/>
      </vt:variant>
      <vt:variant>
        <vt:i4>2556013</vt:i4>
      </vt:variant>
      <vt:variant>
        <vt:i4>0</vt:i4>
      </vt:variant>
      <vt:variant>
        <vt:i4>0</vt:i4>
      </vt:variant>
      <vt:variant>
        <vt:i4>5</vt:i4>
      </vt:variant>
      <vt:variant>
        <vt:lpwstr>http://www.ncta.com/Statistics.aspx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2015-03-12T16:25:00Z</cp:lastPrinted>
  <dcterms:created xsi:type="dcterms:W3CDTF">2015-03-12T17:21:00Z</dcterms:created>
  <dcterms:modified xsi:type="dcterms:W3CDTF">2015-03-12T17:21:00Z</dcterms:modified>
  <cp:category> </cp:category>
  <cp:contentStatus> </cp:contentStatus>
</cp:coreProperties>
</file>