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5B" w:rsidRPr="00D062E6" w:rsidRDefault="0010335B" w:rsidP="006D6DAA">
      <w:pPr>
        <w:widowControl/>
        <w:jc w:val="center"/>
        <w:rPr>
          <w:b/>
          <w:color w:val="000000"/>
          <w:szCs w:val="22"/>
        </w:rPr>
      </w:pPr>
      <w:bookmarkStart w:id="0" w:name="_GoBack"/>
      <w:bookmarkEnd w:id="0"/>
      <w:r w:rsidRPr="00D062E6">
        <w:rPr>
          <w:b/>
          <w:color w:val="000000"/>
          <w:szCs w:val="22"/>
        </w:rPr>
        <w:t>Before the</w:t>
      </w:r>
    </w:p>
    <w:p w:rsidR="0010335B" w:rsidRPr="00D062E6" w:rsidRDefault="0010335B">
      <w:pPr>
        <w:widowControl/>
        <w:jc w:val="center"/>
        <w:rPr>
          <w:b/>
          <w:color w:val="000000"/>
          <w:szCs w:val="22"/>
        </w:rPr>
      </w:pPr>
      <w:r w:rsidRPr="00D062E6">
        <w:rPr>
          <w:b/>
          <w:color w:val="000000"/>
          <w:szCs w:val="22"/>
        </w:rPr>
        <w:t>Federal Communications Commission</w:t>
      </w:r>
    </w:p>
    <w:p w:rsidR="0010335B" w:rsidRPr="00D062E6" w:rsidRDefault="00735B6A" w:rsidP="00046706">
      <w:pPr>
        <w:widowControl/>
        <w:tabs>
          <w:tab w:val="center" w:pos="4680"/>
          <w:tab w:val="left" w:pos="7140"/>
        </w:tabs>
        <w:rPr>
          <w:b/>
          <w:color w:val="000000"/>
          <w:szCs w:val="22"/>
        </w:rPr>
      </w:pPr>
      <w:r>
        <w:rPr>
          <w:b/>
          <w:color w:val="000000"/>
          <w:szCs w:val="22"/>
        </w:rPr>
        <w:tab/>
      </w:r>
      <w:r w:rsidR="0010335B" w:rsidRPr="00D062E6">
        <w:rPr>
          <w:b/>
          <w:color w:val="000000"/>
          <w:szCs w:val="22"/>
        </w:rPr>
        <w:t>Washington, D.C. 20554</w:t>
      </w:r>
      <w:r>
        <w:rPr>
          <w:b/>
          <w:color w:val="000000"/>
          <w:szCs w:val="22"/>
        </w:rPr>
        <w:tab/>
      </w:r>
    </w:p>
    <w:p w:rsidR="00036EC0" w:rsidRPr="00F563A3" w:rsidRDefault="00036EC0" w:rsidP="00036EC0">
      <w:pPr>
        <w:widowControl/>
        <w:tabs>
          <w:tab w:val="center" w:pos="4680"/>
        </w:tabs>
        <w:suppressAutoHyphens/>
        <w:spacing w:line="240" w:lineRule="atLeast"/>
        <w:outlineLvl w:val="0"/>
        <w:rPr>
          <w:b/>
          <w:spacing w:val="-2"/>
          <w:szCs w:val="22"/>
        </w:rPr>
      </w:pPr>
    </w:p>
    <w:tbl>
      <w:tblPr>
        <w:tblW w:w="9450" w:type="dxa"/>
        <w:tblInd w:w="108" w:type="dxa"/>
        <w:tblLayout w:type="fixed"/>
        <w:tblLook w:val="0000" w:firstRow="0" w:lastRow="0" w:firstColumn="0" w:lastColumn="0" w:noHBand="0" w:noVBand="0"/>
      </w:tblPr>
      <w:tblGrid>
        <w:gridCol w:w="4500"/>
        <w:gridCol w:w="270"/>
        <w:gridCol w:w="4680"/>
      </w:tblGrid>
      <w:tr w:rsidR="00036EC0" w:rsidRPr="00F563A3">
        <w:tc>
          <w:tcPr>
            <w:tcW w:w="4500" w:type="dxa"/>
          </w:tcPr>
          <w:p w:rsidR="00036EC0" w:rsidRPr="00F563A3" w:rsidRDefault="00036EC0" w:rsidP="00036EC0">
            <w:pPr>
              <w:widowControl/>
              <w:rPr>
                <w:szCs w:val="22"/>
              </w:rPr>
            </w:pPr>
            <w:r w:rsidRPr="00F563A3">
              <w:rPr>
                <w:spacing w:val="-2"/>
                <w:szCs w:val="22"/>
              </w:rPr>
              <w:t>In the Matter of</w:t>
            </w:r>
            <w:r w:rsidRPr="00F563A3">
              <w:rPr>
                <w:szCs w:val="22"/>
              </w:rPr>
              <w:t xml:space="preserve"> </w:t>
            </w:r>
          </w:p>
          <w:p w:rsidR="00036EC0" w:rsidRPr="00F563A3" w:rsidRDefault="00036EC0" w:rsidP="00036EC0">
            <w:pPr>
              <w:widowControl/>
              <w:rPr>
                <w:szCs w:val="22"/>
              </w:rPr>
            </w:pPr>
          </w:p>
          <w:p w:rsidR="00036EC0" w:rsidRPr="00A830F3" w:rsidRDefault="00036EC0" w:rsidP="00036EC0">
            <w:pPr>
              <w:widowControl/>
              <w:rPr>
                <w:b/>
                <w:spacing w:val="-2"/>
                <w:szCs w:val="22"/>
              </w:rPr>
            </w:pPr>
            <w:r w:rsidRPr="00A830F3">
              <w:rPr>
                <w:b/>
                <w:spacing w:val="-2"/>
                <w:szCs w:val="22"/>
              </w:rPr>
              <w:t>Viacom Inc.</w:t>
            </w:r>
          </w:p>
          <w:p w:rsidR="00036EC0" w:rsidRDefault="00036EC0" w:rsidP="00036EC0">
            <w:pPr>
              <w:widowControl/>
              <w:rPr>
                <w:spacing w:val="-2"/>
                <w:szCs w:val="22"/>
              </w:rPr>
            </w:pPr>
          </w:p>
          <w:p w:rsidR="00036EC0" w:rsidRDefault="00036EC0" w:rsidP="00036EC0">
            <w:pPr>
              <w:widowControl/>
              <w:rPr>
                <w:spacing w:val="-2"/>
                <w:szCs w:val="22"/>
              </w:rPr>
            </w:pPr>
          </w:p>
          <w:p w:rsidR="00036EC0" w:rsidRDefault="00036EC0" w:rsidP="00036EC0">
            <w:pPr>
              <w:widowControl/>
              <w:rPr>
                <w:spacing w:val="-2"/>
                <w:szCs w:val="22"/>
              </w:rPr>
            </w:pPr>
          </w:p>
          <w:p w:rsidR="00036EC0" w:rsidRPr="00C812E5" w:rsidRDefault="00036EC0" w:rsidP="00036EC0">
            <w:pPr>
              <w:widowControl/>
              <w:tabs>
                <w:tab w:val="left" w:pos="360"/>
                <w:tab w:val="right" w:leader="dot" w:pos="9360"/>
              </w:tabs>
              <w:suppressAutoHyphens/>
              <w:ind w:left="360" w:right="720" w:hanging="360"/>
              <w:rPr>
                <w:b/>
                <w:spacing w:val="-2"/>
              </w:rPr>
            </w:pPr>
            <w:r w:rsidRPr="00A830F3">
              <w:rPr>
                <w:b/>
                <w:spacing w:val="-2"/>
                <w:szCs w:val="22"/>
              </w:rPr>
              <w:t>ESPN Inc.</w:t>
            </w:r>
          </w:p>
        </w:tc>
        <w:tc>
          <w:tcPr>
            <w:tcW w:w="270" w:type="dxa"/>
          </w:tcPr>
          <w:p w:rsidR="00036EC0" w:rsidRPr="00F563A3" w:rsidRDefault="00036EC0" w:rsidP="00036EC0">
            <w:pPr>
              <w:widowControl/>
              <w:tabs>
                <w:tab w:val="center" w:pos="4680"/>
              </w:tabs>
              <w:suppressAutoHyphens/>
              <w:spacing w:line="240" w:lineRule="atLeast"/>
              <w:outlineLvl w:val="0"/>
              <w:rPr>
                <w:szCs w:val="22"/>
              </w:rPr>
            </w:pPr>
            <w:r w:rsidRPr="00F563A3">
              <w:rPr>
                <w:szCs w:val="22"/>
              </w:rPr>
              <w:t>)</w:t>
            </w:r>
          </w:p>
          <w:p w:rsidR="00036EC0" w:rsidRPr="00F563A3" w:rsidRDefault="00036EC0" w:rsidP="00036EC0">
            <w:pPr>
              <w:widowControl/>
              <w:tabs>
                <w:tab w:val="center" w:pos="4680"/>
              </w:tabs>
              <w:suppressAutoHyphens/>
              <w:spacing w:line="240" w:lineRule="atLeast"/>
              <w:outlineLvl w:val="0"/>
              <w:rPr>
                <w:szCs w:val="22"/>
              </w:rPr>
            </w:pPr>
            <w:r>
              <w:rPr>
                <w:szCs w:val="22"/>
              </w:rPr>
              <w:t>)</w:t>
            </w:r>
          </w:p>
          <w:p w:rsidR="00036EC0" w:rsidRDefault="00036EC0" w:rsidP="00036EC0">
            <w:pPr>
              <w:widowControl/>
              <w:tabs>
                <w:tab w:val="center" w:pos="4680"/>
              </w:tabs>
              <w:suppressAutoHyphens/>
              <w:spacing w:line="240" w:lineRule="atLeast"/>
              <w:outlineLvl w:val="0"/>
              <w:rPr>
                <w:szCs w:val="22"/>
              </w:rPr>
            </w:pPr>
            <w:r>
              <w:rPr>
                <w:szCs w:val="22"/>
              </w:rPr>
              <w:t>)</w:t>
            </w:r>
          </w:p>
          <w:p w:rsidR="00036EC0" w:rsidRDefault="00036EC0" w:rsidP="00036EC0">
            <w:pPr>
              <w:widowControl/>
              <w:tabs>
                <w:tab w:val="center" w:pos="4680"/>
              </w:tabs>
              <w:suppressAutoHyphens/>
              <w:spacing w:line="240" w:lineRule="atLeast"/>
              <w:outlineLvl w:val="0"/>
              <w:rPr>
                <w:szCs w:val="22"/>
              </w:rPr>
            </w:pPr>
            <w:r>
              <w:rPr>
                <w:szCs w:val="22"/>
              </w:rPr>
              <w:t>)</w:t>
            </w:r>
          </w:p>
          <w:p w:rsidR="00036EC0" w:rsidRDefault="00036EC0" w:rsidP="00036EC0">
            <w:pPr>
              <w:widowControl/>
              <w:tabs>
                <w:tab w:val="center" w:pos="4680"/>
              </w:tabs>
              <w:suppressAutoHyphens/>
              <w:spacing w:line="240" w:lineRule="atLeast"/>
              <w:outlineLvl w:val="0"/>
              <w:rPr>
                <w:szCs w:val="22"/>
              </w:rPr>
            </w:pPr>
            <w:r>
              <w:rPr>
                <w:szCs w:val="22"/>
              </w:rPr>
              <w:t>)</w:t>
            </w:r>
          </w:p>
          <w:p w:rsidR="00036EC0" w:rsidRDefault="00036EC0" w:rsidP="00036EC0">
            <w:pPr>
              <w:widowControl/>
              <w:tabs>
                <w:tab w:val="center" w:pos="4680"/>
              </w:tabs>
              <w:suppressAutoHyphens/>
              <w:spacing w:line="240" w:lineRule="atLeast"/>
              <w:outlineLvl w:val="0"/>
              <w:rPr>
                <w:szCs w:val="22"/>
              </w:rPr>
            </w:pPr>
            <w:r>
              <w:rPr>
                <w:szCs w:val="22"/>
              </w:rPr>
              <w:t>)</w:t>
            </w:r>
          </w:p>
          <w:p w:rsidR="00036EC0" w:rsidRDefault="00036EC0" w:rsidP="00036EC0">
            <w:pPr>
              <w:widowControl/>
              <w:tabs>
                <w:tab w:val="center" w:pos="4680"/>
              </w:tabs>
              <w:suppressAutoHyphens/>
              <w:spacing w:line="240" w:lineRule="atLeast"/>
              <w:outlineLvl w:val="0"/>
              <w:rPr>
                <w:szCs w:val="22"/>
              </w:rPr>
            </w:pPr>
            <w:r>
              <w:rPr>
                <w:szCs w:val="22"/>
              </w:rPr>
              <w:t>)</w:t>
            </w:r>
          </w:p>
          <w:p w:rsidR="00036EC0" w:rsidRDefault="00036EC0" w:rsidP="00036EC0">
            <w:pPr>
              <w:widowControl/>
              <w:tabs>
                <w:tab w:val="center" w:pos="4680"/>
              </w:tabs>
              <w:suppressAutoHyphens/>
              <w:spacing w:line="240" w:lineRule="atLeast"/>
              <w:outlineLvl w:val="0"/>
              <w:rPr>
                <w:szCs w:val="22"/>
              </w:rPr>
            </w:pPr>
            <w:r>
              <w:rPr>
                <w:szCs w:val="22"/>
              </w:rPr>
              <w:t>)</w:t>
            </w:r>
          </w:p>
          <w:p w:rsidR="00036EC0" w:rsidRDefault="00036EC0" w:rsidP="00036EC0">
            <w:pPr>
              <w:widowControl/>
              <w:tabs>
                <w:tab w:val="center" w:pos="4680"/>
              </w:tabs>
              <w:suppressAutoHyphens/>
              <w:spacing w:line="240" w:lineRule="atLeast"/>
              <w:outlineLvl w:val="0"/>
              <w:rPr>
                <w:szCs w:val="22"/>
              </w:rPr>
            </w:pPr>
            <w:r>
              <w:rPr>
                <w:szCs w:val="22"/>
              </w:rPr>
              <w:t>)</w:t>
            </w:r>
          </w:p>
          <w:p w:rsidR="00036EC0" w:rsidRPr="00F563A3" w:rsidRDefault="00036EC0" w:rsidP="00036EC0">
            <w:pPr>
              <w:widowControl/>
              <w:tabs>
                <w:tab w:val="center" w:pos="4680"/>
              </w:tabs>
              <w:suppressAutoHyphens/>
              <w:spacing w:line="240" w:lineRule="atLeast"/>
              <w:outlineLvl w:val="0"/>
              <w:rPr>
                <w:szCs w:val="22"/>
              </w:rPr>
            </w:pPr>
          </w:p>
        </w:tc>
        <w:tc>
          <w:tcPr>
            <w:tcW w:w="4680" w:type="dxa"/>
          </w:tcPr>
          <w:p w:rsidR="00036EC0" w:rsidRPr="00F563A3" w:rsidRDefault="00036EC0" w:rsidP="00036EC0">
            <w:pPr>
              <w:widowControl/>
              <w:tabs>
                <w:tab w:val="left" w:pos="252"/>
                <w:tab w:val="left" w:pos="612"/>
              </w:tabs>
              <w:rPr>
                <w:szCs w:val="22"/>
              </w:rPr>
            </w:pPr>
          </w:p>
          <w:p w:rsidR="00036EC0" w:rsidRDefault="00036EC0" w:rsidP="00036EC0">
            <w:pPr>
              <w:widowControl/>
              <w:tabs>
                <w:tab w:val="left" w:pos="252"/>
                <w:tab w:val="left" w:pos="612"/>
              </w:tabs>
              <w:rPr>
                <w:szCs w:val="22"/>
              </w:rPr>
            </w:pPr>
          </w:p>
          <w:p w:rsidR="00036EC0" w:rsidRPr="00F563A3" w:rsidRDefault="00036EC0" w:rsidP="00C812E5">
            <w:pPr>
              <w:widowControl/>
              <w:ind w:left="612"/>
              <w:rPr>
                <w:szCs w:val="22"/>
              </w:rPr>
            </w:pPr>
            <w:r>
              <w:rPr>
                <w:szCs w:val="22"/>
              </w:rPr>
              <w:t>File No.: EB-IHD-13-00011468</w:t>
            </w:r>
          </w:p>
          <w:p w:rsidR="00036EC0" w:rsidRPr="00F563A3" w:rsidRDefault="00036EC0" w:rsidP="00C812E5">
            <w:pPr>
              <w:widowControl/>
              <w:tabs>
                <w:tab w:val="left" w:pos="252"/>
                <w:tab w:val="left" w:pos="612"/>
              </w:tabs>
              <w:ind w:left="612"/>
              <w:rPr>
                <w:szCs w:val="22"/>
              </w:rPr>
            </w:pPr>
            <w:r w:rsidRPr="00F563A3">
              <w:rPr>
                <w:szCs w:val="22"/>
              </w:rPr>
              <w:t xml:space="preserve">NAL/Acct. No. </w:t>
            </w:r>
            <w:r w:rsidRPr="00256194">
              <w:rPr>
                <w:szCs w:val="22"/>
              </w:rPr>
              <w:t xml:space="preserve">201432080027 </w:t>
            </w:r>
          </w:p>
          <w:p w:rsidR="00036EC0" w:rsidRDefault="00036EC0" w:rsidP="00C812E5">
            <w:pPr>
              <w:widowControl/>
              <w:tabs>
                <w:tab w:val="left" w:pos="252"/>
                <w:tab w:val="left" w:pos="612"/>
              </w:tabs>
              <w:ind w:left="612"/>
              <w:rPr>
                <w:szCs w:val="22"/>
              </w:rPr>
            </w:pPr>
            <w:r>
              <w:rPr>
                <w:szCs w:val="22"/>
              </w:rPr>
              <w:t xml:space="preserve">FRN:  </w:t>
            </w:r>
            <w:r w:rsidRPr="00256194">
              <w:rPr>
                <w:szCs w:val="22"/>
              </w:rPr>
              <w:t>0014247977</w:t>
            </w:r>
          </w:p>
          <w:p w:rsidR="00036EC0" w:rsidRDefault="00036EC0" w:rsidP="00036EC0">
            <w:pPr>
              <w:widowControl/>
              <w:tabs>
                <w:tab w:val="left" w:pos="252"/>
                <w:tab w:val="left" w:pos="612"/>
              </w:tabs>
              <w:rPr>
                <w:szCs w:val="22"/>
              </w:rPr>
            </w:pPr>
          </w:p>
          <w:p w:rsidR="00036EC0" w:rsidRPr="00F563A3" w:rsidRDefault="00036EC0" w:rsidP="00C812E5">
            <w:pPr>
              <w:widowControl/>
              <w:ind w:left="612"/>
              <w:rPr>
                <w:szCs w:val="22"/>
              </w:rPr>
            </w:pPr>
            <w:r>
              <w:rPr>
                <w:szCs w:val="22"/>
              </w:rPr>
              <w:t>File No.: EB-IHD-13-00011476</w:t>
            </w:r>
            <w:r w:rsidRPr="00F563A3">
              <w:rPr>
                <w:szCs w:val="22"/>
              </w:rPr>
              <w:t xml:space="preserve"> </w:t>
            </w:r>
          </w:p>
          <w:p w:rsidR="00036EC0" w:rsidRPr="00F563A3" w:rsidRDefault="00036EC0" w:rsidP="00C812E5">
            <w:pPr>
              <w:widowControl/>
              <w:tabs>
                <w:tab w:val="left" w:pos="252"/>
              </w:tabs>
              <w:ind w:left="612"/>
              <w:rPr>
                <w:szCs w:val="22"/>
              </w:rPr>
            </w:pPr>
            <w:r w:rsidRPr="00F563A3">
              <w:rPr>
                <w:szCs w:val="22"/>
              </w:rPr>
              <w:t>NAL/Acct. No.</w:t>
            </w:r>
            <w:r>
              <w:rPr>
                <w:szCs w:val="22"/>
              </w:rPr>
              <w:t xml:space="preserve"> </w:t>
            </w:r>
            <w:r w:rsidRPr="00256194">
              <w:rPr>
                <w:szCs w:val="22"/>
              </w:rPr>
              <w:t>201432080029</w:t>
            </w:r>
          </w:p>
          <w:p w:rsidR="00036EC0" w:rsidRDefault="00036EC0" w:rsidP="00C812E5">
            <w:pPr>
              <w:widowControl/>
              <w:tabs>
                <w:tab w:val="left" w:pos="252"/>
              </w:tabs>
              <w:ind w:left="612"/>
              <w:rPr>
                <w:szCs w:val="22"/>
              </w:rPr>
            </w:pPr>
            <w:r w:rsidRPr="00D33545">
              <w:rPr>
                <w:szCs w:val="22"/>
              </w:rPr>
              <w:t xml:space="preserve">FRN: </w:t>
            </w:r>
            <w:r>
              <w:rPr>
                <w:szCs w:val="22"/>
              </w:rPr>
              <w:t xml:space="preserve"> </w:t>
            </w:r>
            <w:r w:rsidRPr="00D5446B">
              <w:rPr>
                <w:szCs w:val="22"/>
              </w:rPr>
              <w:t>0001548064</w:t>
            </w:r>
          </w:p>
          <w:p w:rsidR="00036EC0" w:rsidRPr="00F563A3" w:rsidRDefault="00036EC0" w:rsidP="00036EC0">
            <w:pPr>
              <w:widowControl/>
              <w:tabs>
                <w:tab w:val="left" w:pos="252"/>
                <w:tab w:val="left" w:pos="612"/>
              </w:tabs>
              <w:rPr>
                <w:szCs w:val="22"/>
              </w:rPr>
            </w:pPr>
          </w:p>
        </w:tc>
      </w:tr>
    </w:tbl>
    <w:p w:rsidR="0032315B" w:rsidRPr="0032315B" w:rsidRDefault="0032315B" w:rsidP="0032315B">
      <w:pPr>
        <w:widowControl/>
        <w:tabs>
          <w:tab w:val="left" w:pos="0"/>
          <w:tab w:val="left" w:pos="720"/>
          <w:tab w:val="left" w:pos="5760"/>
        </w:tabs>
        <w:suppressAutoHyphens/>
        <w:jc w:val="center"/>
        <w:rPr>
          <w:b/>
          <w:spacing w:val="-2"/>
        </w:rPr>
      </w:pPr>
      <w:r w:rsidRPr="0032315B">
        <w:rPr>
          <w:b/>
          <w:spacing w:val="-2"/>
        </w:rPr>
        <w:t>FORFEITURE ORDER</w:t>
      </w:r>
    </w:p>
    <w:p w:rsidR="0032315B" w:rsidRDefault="0032315B" w:rsidP="0032315B">
      <w:pPr>
        <w:widowControl/>
        <w:tabs>
          <w:tab w:val="left" w:pos="0"/>
          <w:tab w:val="left" w:pos="720"/>
          <w:tab w:val="left" w:pos="5760"/>
        </w:tabs>
        <w:suppressAutoHyphens/>
        <w:rPr>
          <w:b/>
          <w:spacing w:val="-2"/>
          <w:szCs w:val="22"/>
        </w:rPr>
      </w:pPr>
    </w:p>
    <w:p w:rsidR="00981F78" w:rsidRDefault="00981F78" w:rsidP="00981F78">
      <w:pPr>
        <w:tabs>
          <w:tab w:val="left" w:pos="720"/>
          <w:tab w:val="right" w:pos="9360"/>
        </w:tabs>
        <w:suppressAutoHyphens/>
        <w:spacing w:line="227" w:lineRule="auto"/>
        <w:rPr>
          <w:spacing w:val="-2"/>
        </w:rPr>
      </w:pPr>
      <w:r>
        <w:rPr>
          <w:b/>
          <w:spacing w:val="-2"/>
        </w:rPr>
        <w:t xml:space="preserve">Adopted:  </w:t>
      </w:r>
      <w:r w:rsidR="003B53CF">
        <w:rPr>
          <w:b/>
          <w:spacing w:val="-2"/>
        </w:rPr>
        <w:t>January 16, 2015</w:t>
      </w:r>
      <w:r>
        <w:rPr>
          <w:b/>
          <w:spacing w:val="-2"/>
        </w:rPr>
        <w:tab/>
        <w:t xml:space="preserve">Released:  </w:t>
      </w:r>
      <w:r w:rsidR="003B53CF">
        <w:rPr>
          <w:b/>
          <w:spacing w:val="-2"/>
        </w:rPr>
        <w:t>January 20, 2015</w:t>
      </w:r>
    </w:p>
    <w:p w:rsidR="00981F78" w:rsidRDefault="00981F78" w:rsidP="00981F78"/>
    <w:p w:rsidR="00036EC0" w:rsidRPr="00F563A3" w:rsidRDefault="00036EC0" w:rsidP="00036EC0">
      <w:pPr>
        <w:widowControl/>
        <w:tabs>
          <w:tab w:val="left" w:pos="0"/>
          <w:tab w:val="left" w:pos="720"/>
          <w:tab w:val="left" w:pos="5760"/>
        </w:tabs>
        <w:suppressAutoHyphens/>
        <w:spacing w:line="240" w:lineRule="atLeast"/>
        <w:rPr>
          <w:spacing w:val="-2"/>
          <w:szCs w:val="22"/>
        </w:rPr>
      </w:pPr>
      <w:r w:rsidRPr="00F563A3">
        <w:rPr>
          <w:spacing w:val="-2"/>
          <w:szCs w:val="22"/>
        </w:rPr>
        <w:t>By the Commission:</w:t>
      </w:r>
    </w:p>
    <w:p w:rsidR="00036EC0" w:rsidRDefault="00036EC0" w:rsidP="00036EC0">
      <w:pPr>
        <w:widowControl/>
        <w:tabs>
          <w:tab w:val="left" w:pos="0"/>
        </w:tabs>
        <w:suppressAutoHyphens/>
        <w:spacing w:line="240" w:lineRule="atLeast"/>
        <w:rPr>
          <w:szCs w:val="22"/>
        </w:rPr>
      </w:pPr>
    </w:p>
    <w:p w:rsidR="00ED0BCC" w:rsidRPr="001B3F19" w:rsidRDefault="002A43B1" w:rsidP="00046706">
      <w:pPr>
        <w:pStyle w:val="Heading1"/>
      </w:pPr>
      <w:r w:rsidRPr="00D85434">
        <w:t>INTRODUCTION</w:t>
      </w:r>
    </w:p>
    <w:p w:rsidR="00C6674A" w:rsidRPr="00576728" w:rsidRDefault="00E83B39">
      <w:pPr>
        <w:pStyle w:val="ParaNum"/>
        <w:rPr>
          <w:szCs w:val="22"/>
        </w:rPr>
      </w:pPr>
      <w:r>
        <w:t xml:space="preserve">The Emergency Alert System (EAS) is a national public warning system that requires broadcasters, cable television operators, wireline video service providers, satellite digital audio radio service providers, and direct broadcast satellite providers to supply the communications capability to the President of the United States to address the American public during a national emergency.  Federal, state, and local authorities may also use the EAS to deliver important emergency information, such as AMBER alerts and weather information targeted to specific areas.  </w:t>
      </w:r>
      <w:r w:rsidR="00FC37C8">
        <w:t xml:space="preserve">  </w:t>
      </w:r>
      <w:r w:rsidR="00C6674A">
        <w:rPr>
          <w:szCs w:val="22"/>
        </w:rPr>
        <w:t xml:space="preserve">The </w:t>
      </w:r>
      <w:r w:rsidR="0049618F">
        <w:rPr>
          <w:szCs w:val="22"/>
        </w:rPr>
        <w:t>EAS</w:t>
      </w:r>
      <w:r w:rsidR="00C6674A">
        <w:rPr>
          <w:szCs w:val="22"/>
        </w:rPr>
        <w:t xml:space="preserve"> is well known to the American public as the nation</w:t>
      </w:r>
      <w:r w:rsidR="0049618F">
        <w:rPr>
          <w:szCs w:val="22"/>
        </w:rPr>
        <w:t>wide</w:t>
      </w:r>
      <w:r w:rsidR="00C6674A">
        <w:rPr>
          <w:szCs w:val="22"/>
        </w:rPr>
        <w:t xml:space="preserve"> warning system </w:t>
      </w:r>
      <w:r w:rsidR="0049618F">
        <w:rPr>
          <w:szCs w:val="22"/>
        </w:rPr>
        <w:t>used</w:t>
      </w:r>
      <w:r w:rsidR="00C6674A">
        <w:rPr>
          <w:szCs w:val="22"/>
        </w:rPr>
        <w:t xml:space="preserve"> to address the public in national or local emergencies.  The specific sounds comprising the EAS tones are defined in our rules, and </w:t>
      </w:r>
      <w:r w:rsidR="006C15E2">
        <w:rPr>
          <w:szCs w:val="22"/>
        </w:rPr>
        <w:t xml:space="preserve">are </w:t>
      </w:r>
      <w:r w:rsidR="00C6674A">
        <w:rPr>
          <w:szCs w:val="22"/>
        </w:rPr>
        <w:t xml:space="preserve">designed to alert the public and activate the emergency communication system when necessary.  To preserve the unique purpose of the EAS </w:t>
      </w:r>
      <w:r w:rsidR="006C15E2">
        <w:rPr>
          <w:szCs w:val="22"/>
        </w:rPr>
        <w:t>tones</w:t>
      </w:r>
      <w:r w:rsidR="0005679C">
        <w:rPr>
          <w:szCs w:val="22"/>
        </w:rPr>
        <w:t>, the</w:t>
      </w:r>
      <w:r w:rsidR="00C6674A">
        <w:rPr>
          <w:szCs w:val="22"/>
        </w:rPr>
        <w:t xml:space="preserve"> Federal Communications</w:t>
      </w:r>
      <w:r w:rsidR="0005679C">
        <w:rPr>
          <w:szCs w:val="22"/>
        </w:rPr>
        <w:t xml:space="preserve"> </w:t>
      </w:r>
      <w:r w:rsidR="00C6674A">
        <w:rPr>
          <w:szCs w:val="22"/>
        </w:rPr>
        <w:t xml:space="preserve">Commission </w:t>
      </w:r>
      <w:r w:rsidR="00C812E5">
        <w:rPr>
          <w:szCs w:val="22"/>
        </w:rPr>
        <w:t xml:space="preserve">(Commission) </w:t>
      </w:r>
      <w:r w:rsidR="00C6674A">
        <w:rPr>
          <w:szCs w:val="22"/>
        </w:rPr>
        <w:t xml:space="preserve">enforces laws that prohibit the use of the tones, or simulations of them, except in actual emergencies or authorized tests of the EAS.  </w:t>
      </w:r>
      <w:r w:rsidR="0049618F">
        <w:rPr>
          <w:szCs w:val="22"/>
        </w:rPr>
        <w:t xml:space="preserve">As many of the complaints about EAS abuse have said, misuse of the tones creates a “Cry Wolf” scenario, which risks desensitizing the public to the significance of the tones in a real emergency.  </w:t>
      </w:r>
      <w:r w:rsidRPr="00EF65E9">
        <w:t xml:space="preserve">In this Forfeiture Order, we </w:t>
      </w:r>
      <w:r>
        <w:t xml:space="preserve">assess monetary forfeitures of $1,120,000 against Viacom Inc. (Viacom) and $280,000 against ESPN Inc. (ESPN), respectively, </w:t>
      </w:r>
      <w:r w:rsidRPr="00EF65E9">
        <w:t xml:space="preserve">for </w:t>
      </w:r>
      <w:r>
        <w:t xml:space="preserve">violations of the Commission’s laws that prohibit misuse of tones reserved for the EAS.  </w:t>
      </w:r>
      <w:r w:rsidR="0049618F">
        <w:rPr>
          <w:szCs w:val="22"/>
        </w:rPr>
        <w:t>W</w:t>
      </w:r>
      <w:r w:rsidR="00C6674A">
        <w:rPr>
          <w:szCs w:val="22"/>
        </w:rPr>
        <w:t>hen Viacom and ESPN</w:t>
      </w:r>
      <w:r w:rsidR="00010863">
        <w:rPr>
          <w:szCs w:val="22"/>
        </w:rPr>
        <w:t xml:space="preserve"> </w:t>
      </w:r>
      <w:r w:rsidR="00010863">
        <w:t>(collectively, the Companies)</w:t>
      </w:r>
      <w:r w:rsidR="00C6674A">
        <w:rPr>
          <w:szCs w:val="22"/>
        </w:rPr>
        <w:t xml:space="preserve"> transmitted or caused the transmission of </w:t>
      </w:r>
      <w:r w:rsidR="0049618F">
        <w:rPr>
          <w:szCs w:val="22"/>
        </w:rPr>
        <w:t>advertisements</w:t>
      </w:r>
      <w:r w:rsidR="00C6674A">
        <w:rPr>
          <w:szCs w:val="22"/>
        </w:rPr>
        <w:t xml:space="preserve"> containing actual EAS tones, they violated </w:t>
      </w:r>
      <w:r w:rsidR="0049618F">
        <w:rPr>
          <w:szCs w:val="22"/>
        </w:rPr>
        <w:t>the</w:t>
      </w:r>
      <w:r w:rsidR="00C6674A">
        <w:rPr>
          <w:szCs w:val="22"/>
        </w:rPr>
        <w:t xml:space="preserve"> law</w:t>
      </w:r>
      <w:r>
        <w:rPr>
          <w:szCs w:val="22"/>
        </w:rPr>
        <w:t xml:space="preserve"> and</w:t>
      </w:r>
      <w:r w:rsidR="00C6674A">
        <w:rPr>
          <w:szCs w:val="22"/>
        </w:rPr>
        <w:t xml:space="preserve"> jeopardized the </w:t>
      </w:r>
      <w:r w:rsidR="0049618F">
        <w:rPr>
          <w:szCs w:val="22"/>
        </w:rPr>
        <w:t xml:space="preserve">essential and exclusive </w:t>
      </w:r>
      <w:r w:rsidR="00C6674A">
        <w:rPr>
          <w:szCs w:val="22"/>
        </w:rPr>
        <w:t xml:space="preserve">function of the EAS </w:t>
      </w:r>
      <w:r w:rsidR="0049618F">
        <w:rPr>
          <w:szCs w:val="22"/>
        </w:rPr>
        <w:t xml:space="preserve">– </w:t>
      </w:r>
      <w:r w:rsidR="00C6674A">
        <w:rPr>
          <w:szCs w:val="22"/>
        </w:rPr>
        <w:t>to immediately ale</w:t>
      </w:r>
      <w:r w:rsidR="00576728">
        <w:rPr>
          <w:szCs w:val="22"/>
        </w:rPr>
        <w:t xml:space="preserve">rt the public to an </w:t>
      </w:r>
      <w:r w:rsidR="0005679C">
        <w:rPr>
          <w:szCs w:val="22"/>
        </w:rPr>
        <w:t xml:space="preserve">actual </w:t>
      </w:r>
      <w:r w:rsidR="00576728">
        <w:rPr>
          <w:szCs w:val="22"/>
        </w:rPr>
        <w:t xml:space="preserve">emergency. </w:t>
      </w:r>
    </w:p>
    <w:p w:rsidR="009A542E" w:rsidRPr="00184FB5" w:rsidRDefault="00025B48" w:rsidP="00046706">
      <w:pPr>
        <w:pStyle w:val="ParaNum"/>
        <w:widowControl/>
        <w:rPr>
          <w:color w:val="000000"/>
          <w:szCs w:val="22"/>
        </w:rPr>
      </w:pPr>
      <w:r>
        <w:t xml:space="preserve">We </w:t>
      </w:r>
      <w:r w:rsidR="0049618F">
        <w:t xml:space="preserve">therefore </w:t>
      </w:r>
      <w:r>
        <w:t xml:space="preserve">affirm </w:t>
      </w:r>
      <w:r w:rsidR="007D1700">
        <w:t xml:space="preserve">the </w:t>
      </w:r>
      <w:r w:rsidR="006C15E2">
        <w:t xml:space="preserve">findings </w:t>
      </w:r>
      <w:r w:rsidR="007D1700">
        <w:t xml:space="preserve">in </w:t>
      </w:r>
      <w:r>
        <w:t xml:space="preserve">our </w:t>
      </w:r>
      <w:r w:rsidRPr="00C812E5">
        <w:t>Notice of Apparent Liability</w:t>
      </w:r>
      <w:r w:rsidR="006F29D7" w:rsidRPr="00C812E5">
        <w:t xml:space="preserve"> for Forfeiture</w:t>
      </w:r>
      <w:r>
        <w:t xml:space="preserve"> (</w:t>
      </w:r>
      <w:r w:rsidRPr="00BE52D4">
        <w:rPr>
          <w:i/>
        </w:rPr>
        <w:t>NAL</w:t>
      </w:r>
      <w:r>
        <w:t>)</w:t>
      </w:r>
      <w:r w:rsidR="006C15E2">
        <w:t>:</w:t>
      </w:r>
      <w:r w:rsidR="004238D4">
        <w:rPr>
          <w:rStyle w:val="FootnoteReference"/>
        </w:rPr>
        <w:footnoteReference w:id="2"/>
      </w:r>
      <w:r w:rsidR="0005679C">
        <w:t xml:space="preserve">  (1) </w:t>
      </w:r>
      <w:r w:rsidR="00FC37C8">
        <w:t>t</w:t>
      </w:r>
      <w:r>
        <w:t xml:space="preserve">hat Viacom committed 108 violations </w:t>
      </w:r>
      <w:r w:rsidR="007D1700">
        <w:t>of the Communications Act</w:t>
      </w:r>
      <w:r w:rsidR="0005679C">
        <w:t xml:space="preserve"> of 1934, as amended (Act),</w:t>
      </w:r>
      <w:r w:rsidR="007D1700">
        <w:t xml:space="preserve"> and </w:t>
      </w:r>
      <w:r w:rsidR="0005679C">
        <w:t xml:space="preserve">the </w:t>
      </w:r>
      <w:r w:rsidR="007D1700">
        <w:t>Commission</w:t>
      </w:r>
      <w:r w:rsidR="0005679C">
        <w:t>’s</w:t>
      </w:r>
      <w:r w:rsidR="007D1700">
        <w:t xml:space="preserve"> rule</w:t>
      </w:r>
      <w:r w:rsidR="00EB68B6">
        <w:t>s</w:t>
      </w:r>
      <w:r w:rsidR="007D1700">
        <w:t xml:space="preserve"> </w:t>
      </w:r>
      <w:r>
        <w:t xml:space="preserve">by transmitting or causing the transmission </w:t>
      </w:r>
      <w:r w:rsidR="007450ED">
        <w:t xml:space="preserve">of </w:t>
      </w:r>
      <w:r w:rsidR="00EB68B6">
        <w:t>the EAS tone in</w:t>
      </w:r>
      <w:r>
        <w:t xml:space="preserve"> a promotional announcement for the movie, “Olympus Has Fallen,” on </w:t>
      </w:r>
      <w:r w:rsidR="007D1700">
        <w:t xml:space="preserve">seven cable networks a total of </w:t>
      </w:r>
      <w:r>
        <w:t xml:space="preserve">108 </w:t>
      </w:r>
      <w:r w:rsidR="007D1700">
        <w:lastRenderedPageBreak/>
        <w:t>times</w:t>
      </w:r>
      <w:r w:rsidR="00FC37C8">
        <w:t>;</w:t>
      </w:r>
      <w:r w:rsidR="004238D4">
        <w:rPr>
          <w:rStyle w:val="FootnoteReference"/>
        </w:rPr>
        <w:footnoteReference w:id="3"/>
      </w:r>
      <w:r w:rsidR="007D1700">
        <w:t xml:space="preserve"> </w:t>
      </w:r>
      <w:r w:rsidR="00FC37C8">
        <w:t xml:space="preserve">and </w:t>
      </w:r>
      <w:r w:rsidR="0005679C">
        <w:t xml:space="preserve">(2) </w:t>
      </w:r>
      <w:r w:rsidR="007D1700">
        <w:t>th</w:t>
      </w:r>
      <w:r w:rsidR="00EB68B6">
        <w:t>at</w:t>
      </w:r>
      <w:r w:rsidR="007D1700">
        <w:t xml:space="preserve"> ESPN committed 13 violations </w:t>
      </w:r>
      <w:r w:rsidR="00EB68B6">
        <w:t xml:space="preserve">of the Act and </w:t>
      </w:r>
      <w:r w:rsidR="0005679C">
        <w:t xml:space="preserve">the Commission’s </w:t>
      </w:r>
      <w:r w:rsidR="00EB68B6">
        <w:t xml:space="preserve">rules </w:t>
      </w:r>
      <w:r w:rsidR="007D1700">
        <w:t>by transmitting or causing the transmission of the same promotional announcement containing the EAS tone 13 times on three cable networks.</w:t>
      </w:r>
      <w:r w:rsidR="004238D4">
        <w:rPr>
          <w:rStyle w:val="FootnoteReference"/>
        </w:rPr>
        <w:footnoteReference w:id="4"/>
      </w:r>
    </w:p>
    <w:p w:rsidR="00BC21A5" w:rsidRDefault="00BC21A5" w:rsidP="00046706">
      <w:pPr>
        <w:pStyle w:val="ParaNum"/>
      </w:pPr>
      <w:r>
        <w:t xml:space="preserve">We reject Viacom’s and ESPN’s arguments </w:t>
      </w:r>
      <w:r w:rsidR="009A542E">
        <w:t>in the</w:t>
      </w:r>
      <w:r w:rsidR="00E92F80">
        <w:t>ir</w:t>
      </w:r>
      <w:r w:rsidR="009A542E">
        <w:t xml:space="preserve"> responses to the </w:t>
      </w:r>
      <w:r w:rsidR="009A542E" w:rsidRPr="00BE52D4">
        <w:rPr>
          <w:i/>
        </w:rPr>
        <w:t>NAL</w:t>
      </w:r>
      <w:r w:rsidR="009A542E">
        <w:t xml:space="preserve"> </w:t>
      </w:r>
      <w:r>
        <w:t xml:space="preserve">urging us to reduce or rescind the forfeitures proposed in the </w:t>
      </w:r>
      <w:r w:rsidRPr="00BE52D4">
        <w:rPr>
          <w:i/>
        </w:rPr>
        <w:t>NAL</w:t>
      </w:r>
      <w:r>
        <w:t>.</w:t>
      </w:r>
      <w:r w:rsidR="004238D4">
        <w:rPr>
          <w:rStyle w:val="FootnoteReference"/>
          <w:szCs w:val="22"/>
        </w:rPr>
        <w:footnoteReference w:id="5"/>
      </w:r>
      <w:r>
        <w:t xml:space="preserve">  We further </w:t>
      </w:r>
      <w:r w:rsidR="009A542E">
        <w:t>underscore</w:t>
      </w:r>
      <w:r>
        <w:t xml:space="preserve"> the importance of compliance with the laws prohibiting EAS misuse, which are grounded in protecting the public from the frivolous and casual use of the EAS tones</w:t>
      </w:r>
      <w:r w:rsidR="00914F14">
        <w:t xml:space="preserve"> that </w:t>
      </w:r>
      <w:r w:rsidR="00F006E1">
        <w:t>undermine</w:t>
      </w:r>
      <w:r w:rsidR="00553E2B">
        <w:t>s</w:t>
      </w:r>
      <w:r w:rsidR="00F006E1">
        <w:t xml:space="preserve"> the effectiveness</w:t>
      </w:r>
      <w:r w:rsidR="00914F14">
        <w:t xml:space="preserve"> of these special tones for their public safety purposes.</w:t>
      </w:r>
    </w:p>
    <w:p w:rsidR="00EF65E9" w:rsidRDefault="007D1700" w:rsidP="001B3F19">
      <w:pPr>
        <w:pStyle w:val="ParaNum"/>
        <w:tabs>
          <w:tab w:val="left" w:pos="1440"/>
        </w:tabs>
        <w:rPr>
          <w:color w:val="000000"/>
          <w:szCs w:val="22"/>
        </w:rPr>
      </w:pPr>
      <w:r>
        <w:rPr>
          <w:color w:val="000000"/>
        </w:rPr>
        <w:t xml:space="preserve"> </w:t>
      </w:r>
      <w:r w:rsidR="00025B48">
        <w:rPr>
          <w:color w:val="000000"/>
        </w:rPr>
        <w:t xml:space="preserve"> </w:t>
      </w:r>
      <w:r w:rsidR="007B6D3B">
        <w:rPr>
          <w:color w:val="000000"/>
        </w:rPr>
        <w:t xml:space="preserve">For the reasons described herein and as previously detailed in the </w:t>
      </w:r>
      <w:r w:rsidR="007B6D3B" w:rsidRPr="00BE52D4">
        <w:rPr>
          <w:i/>
          <w:color w:val="000000"/>
        </w:rPr>
        <w:t>NAL</w:t>
      </w:r>
      <w:r w:rsidR="00CA6BAF">
        <w:rPr>
          <w:color w:val="000000"/>
        </w:rPr>
        <w:t xml:space="preserve">, </w:t>
      </w:r>
      <w:r w:rsidR="007B6D3B">
        <w:rPr>
          <w:color w:val="000000"/>
        </w:rPr>
        <w:t>we assess monetary forfeitu</w:t>
      </w:r>
      <w:r w:rsidR="00E92F80">
        <w:rPr>
          <w:color w:val="000000"/>
        </w:rPr>
        <w:t>r</w:t>
      </w:r>
      <w:r w:rsidR="007B6D3B">
        <w:rPr>
          <w:color w:val="000000"/>
        </w:rPr>
        <w:t xml:space="preserve">es in the amounts of one million, one </w:t>
      </w:r>
      <w:r w:rsidR="00E92F80">
        <w:rPr>
          <w:color w:val="000000"/>
        </w:rPr>
        <w:t>h</w:t>
      </w:r>
      <w:r w:rsidR="007B6D3B">
        <w:rPr>
          <w:color w:val="000000"/>
        </w:rPr>
        <w:t>u</w:t>
      </w:r>
      <w:r w:rsidR="00E92F80">
        <w:rPr>
          <w:color w:val="000000"/>
        </w:rPr>
        <w:t>n</w:t>
      </w:r>
      <w:r w:rsidR="007B6D3B">
        <w:rPr>
          <w:color w:val="000000"/>
        </w:rPr>
        <w:t>dred twenty thousand dollars ($1,120,000) against Viacom and two hundre</w:t>
      </w:r>
      <w:r w:rsidR="00E92F80">
        <w:rPr>
          <w:color w:val="000000"/>
        </w:rPr>
        <w:t>d</w:t>
      </w:r>
      <w:r w:rsidR="007B6D3B">
        <w:rPr>
          <w:color w:val="000000"/>
        </w:rPr>
        <w:t xml:space="preserve"> eighty thousand dollars ($280,000) against ESPN, respectively</w:t>
      </w:r>
      <w:r w:rsidR="00E92F80">
        <w:rPr>
          <w:color w:val="000000"/>
        </w:rPr>
        <w:t>,</w:t>
      </w:r>
      <w:r w:rsidR="007B6D3B">
        <w:rPr>
          <w:color w:val="000000"/>
        </w:rPr>
        <w:t xml:space="preserve"> for </w:t>
      </w:r>
      <w:r w:rsidR="00EF65E9" w:rsidRPr="00BF263B">
        <w:t xml:space="preserve">willfully and repeatedly </w:t>
      </w:r>
      <w:r w:rsidR="00EF65E9">
        <w:t>violating</w:t>
      </w:r>
      <w:r w:rsidR="00553E2B">
        <w:t xml:space="preserve"> Section 325(a) of the Act</w:t>
      </w:r>
      <w:r w:rsidR="00EF65E9" w:rsidRPr="00F563A3">
        <w:rPr>
          <w:rStyle w:val="FootnoteReference"/>
          <w:spacing w:val="-2"/>
          <w:szCs w:val="22"/>
        </w:rPr>
        <w:footnoteReference w:id="6"/>
      </w:r>
      <w:r w:rsidR="00EF65E9" w:rsidRPr="00BF263B">
        <w:t xml:space="preserve"> and Section 11.45 of the Commission’s rules</w:t>
      </w:r>
      <w:r w:rsidR="00553E2B" w:rsidRPr="001A7169">
        <w:rPr>
          <w:rStyle w:val="FootnoteReference"/>
          <w:spacing w:val="-2"/>
          <w:szCs w:val="22"/>
        </w:rPr>
        <w:footnoteReference w:id="7"/>
      </w:r>
      <w:r w:rsidR="00553E2B" w:rsidRPr="00BF263B">
        <w:t xml:space="preserve"> </w:t>
      </w:r>
      <w:r w:rsidR="00EF65E9" w:rsidRPr="00BF263B">
        <w:t xml:space="preserve">by transmitting or causing the </w:t>
      </w:r>
      <w:r w:rsidR="00322B20">
        <w:t>transmission of EAS codes or the</w:t>
      </w:r>
      <w:r w:rsidR="00EF65E9" w:rsidRPr="00BF263B">
        <w:t xml:space="preserve"> Attention Signal, or recordings or simulations thereof (EAS Tones), in the absence of an actual emergency or authorized test of the EAS.  </w:t>
      </w:r>
      <w:r w:rsidR="0010335B" w:rsidRPr="00EF65E9">
        <w:rPr>
          <w:color w:val="000000"/>
          <w:szCs w:val="22"/>
        </w:rPr>
        <w:t xml:space="preserve">       </w:t>
      </w:r>
    </w:p>
    <w:p w:rsidR="002A43B1" w:rsidRPr="002A43B1" w:rsidRDefault="002A43B1" w:rsidP="00046706">
      <w:pPr>
        <w:pStyle w:val="Heading1"/>
      </w:pPr>
      <w:r w:rsidRPr="002A43B1">
        <w:t>BACKGROUND</w:t>
      </w:r>
    </w:p>
    <w:p w:rsidR="00986440" w:rsidRDefault="001D2435" w:rsidP="001B3F19">
      <w:pPr>
        <w:pStyle w:val="ParaNum"/>
        <w:rPr>
          <w:color w:val="000000"/>
        </w:rPr>
      </w:pPr>
      <w:r w:rsidRPr="00D062E6">
        <w:rPr>
          <w:color w:val="000000"/>
        </w:rPr>
        <w:t xml:space="preserve">As discussed in the </w:t>
      </w:r>
      <w:r w:rsidR="000509EB">
        <w:rPr>
          <w:i/>
          <w:color w:val="000000"/>
        </w:rPr>
        <w:t>NAL</w:t>
      </w:r>
      <w:r w:rsidRPr="00D062E6">
        <w:rPr>
          <w:color w:val="000000"/>
        </w:rPr>
        <w:t>,</w:t>
      </w:r>
      <w:r w:rsidRPr="00D062E6">
        <w:rPr>
          <w:rStyle w:val="FootnoteReference"/>
          <w:color w:val="000000"/>
        </w:rPr>
        <w:footnoteReference w:id="8"/>
      </w:r>
      <w:r w:rsidRPr="00D062E6">
        <w:rPr>
          <w:color w:val="000000"/>
        </w:rPr>
        <w:t xml:space="preserve"> the </w:t>
      </w:r>
      <w:r w:rsidR="002B3F70" w:rsidRPr="00D062E6">
        <w:rPr>
          <w:color w:val="000000"/>
        </w:rPr>
        <w:t>Commission</w:t>
      </w:r>
      <w:r w:rsidRPr="00D062E6">
        <w:rPr>
          <w:color w:val="000000"/>
        </w:rPr>
        <w:t xml:space="preserve"> </w:t>
      </w:r>
      <w:r w:rsidR="00BF4FA9" w:rsidRPr="00F563A3">
        <w:t xml:space="preserve">received complaints alleging </w:t>
      </w:r>
      <w:r w:rsidR="00BF4FA9" w:rsidRPr="00FD3AFD">
        <w:rPr>
          <w:color w:val="000000"/>
        </w:rPr>
        <w:t>that</w:t>
      </w:r>
      <w:r w:rsidR="00BF4FA9" w:rsidRPr="00F563A3">
        <w:t xml:space="preserve"> </w:t>
      </w:r>
      <w:r w:rsidR="00BF4FA9">
        <w:t>the Companies</w:t>
      </w:r>
      <w:r w:rsidR="00BF4FA9" w:rsidRPr="00F563A3">
        <w:t xml:space="preserve"> violated</w:t>
      </w:r>
      <w:r w:rsidR="00BF4FA9">
        <w:t xml:space="preserve"> Section 325(a) of the Act and </w:t>
      </w:r>
      <w:r w:rsidR="00BF4FA9" w:rsidRPr="00F563A3">
        <w:t xml:space="preserve">Section 11.45 of the Commission’s </w:t>
      </w:r>
      <w:r w:rsidR="00BF4FA9">
        <w:t>r</w:t>
      </w:r>
      <w:r w:rsidR="00BF4FA9" w:rsidRPr="00F563A3">
        <w:t>ules</w:t>
      </w:r>
      <w:r w:rsidR="00BF4FA9">
        <w:t xml:space="preserve"> (EAS Rules) related to misuse of the</w:t>
      </w:r>
      <w:r w:rsidR="00553E2B">
        <w:t xml:space="preserve"> </w:t>
      </w:r>
      <w:r w:rsidR="00553E2B" w:rsidRPr="00BF263B">
        <w:t>EAS Tones</w:t>
      </w:r>
      <w:r w:rsidR="00BF4FA9">
        <w:rPr>
          <w:rStyle w:val="FootnoteReference"/>
          <w:spacing w:val="-2"/>
          <w:szCs w:val="22"/>
        </w:rPr>
        <w:footnoteReference w:id="9"/>
      </w:r>
      <w:r w:rsidR="00BF4FA9">
        <w:t xml:space="preserve"> </w:t>
      </w:r>
      <w:r w:rsidR="00BF4FA9" w:rsidRPr="00966195">
        <w:t xml:space="preserve">during a commercial for the </w:t>
      </w:r>
      <w:r w:rsidR="00BF4FA9">
        <w:t xml:space="preserve">movie </w:t>
      </w:r>
      <w:r w:rsidR="00BF4FA9">
        <w:rPr>
          <w:i/>
        </w:rPr>
        <w:t>O</w:t>
      </w:r>
      <w:r w:rsidR="00BF4FA9" w:rsidRPr="00F21F4C">
        <w:rPr>
          <w:i/>
        </w:rPr>
        <w:t>lympus Has Fallen</w:t>
      </w:r>
      <w:r w:rsidR="00BF4FA9" w:rsidRPr="00562137">
        <w:rPr>
          <w:i/>
        </w:rPr>
        <w:t xml:space="preserve"> </w:t>
      </w:r>
      <w:r w:rsidR="00BF4FA9">
        <w:t xml:space="preserve">(the </w:t>
      </w:r>
      <w:r w:rsidR="00BF4FA9" w:rsidRPr="007F5A84">
        <w:rPr>
          <w:i/>
        </w:rPr>
        <w:t>No Surrender Trailer</w:t>
      </w:r>
      <w:r w:rsidR="00BF4FA9">
        <w:t>)</w:t>
      </w:r>
      <w:r w:rsidR="00BF4FA9" w:rsidRPr="007C07DD">
        <w:t>.</w:t>
      </w:r>
      <w:r w:rsidR="00BF4FA9">
        <w:rPr>
          <w:rStyle w:val="FootnoteReference"/>
          <w:spacing w:val="-2"/>
          <w:szCs w:val="22"/>
        </w:rPr>
        <w:footnoteReference w:id="10"/>
      </w:r>
      <w:r w:rsidR="00BF4FA9" w:rsidRPr="007C07DD">
        <w:t xml:space="preserve">  </w:t>
      </w:r>
    </w:p>
    <w:p w:rsidR="00F775F7" w:rsidRDefault="00F775F7" w:rsidP="00046706">
      <w:pPr>
        <w:pStyle w:val="ParaNum"/>
        <w:widowControl/>
      </w:pPr>
      <w:r>
        <w:t>Preliminarily, we note that the</w:t>
      </w:r>
      <w:r w:rsidRPr="00C63C62">
        <w:t xml:space="preserve"> </w:t>
      </w:r>
      <w:r w:rsidRPr="00FD3AFD">
        <w:rPr>
          <w:color w:val="000000"/>
        </w:rPr>
        <w:t>Companies</w:t>
      </w:r>
      <w:r w:rsidRPr="00C63C62">
        <w:t xml:space="preserve"> </w:t>
      </w:r>
      <w:r w:rsidR="00594886">
        <w:t xml:space="preserve">have </w:t>
      </w:r>
      <w:r>
        <w:t>at no time disputed these key facts</w:t>
      </w:r>
      <w:r w:rsidRPr="00C63C62">
        <w:t xml:space="preserve">: </w:t>
      </w:r>
      <w:r w:rsidR="000325EB">
        <w:t xml:space="preserve"> </w:t>
      </w:r>
      <w:r w:rsidRPr="00C63C62">
        <w:t xml:space="preserve">(1) they included the </w:t>
      </w:r>
      <w:r w:rsidRPr="00C63C62">
        <w:rPr>
          <w:i/>
        </w:rPr>
        <w:t xml:space="preserve">No Surrender Trailer </w:t>
      </w:r>
      <w:r w:rsidRPr="00C63C62">
        <w:t xml:space="preserve">in the programming supplied to cable and satellite systems for distribution to subscribers; (2) the </w:t>
      </w:r>
      <w:r w:rsidRPr="00C63C62">
        <w:rPr>
          <w:i/>
        </w:rPr>
        <w:t xml:space="preserve">No Surrender Trailer </w:t>
      </w:r>
      <w:r w:rsidRPr="00C63C62">
        <w:t xml:space="preserve">included actual </w:t>
      </w:r>
      <w:r w:rsidR="00594886" w:rsidRPr="00BF263B">
        <w:t>EAS Tones</w:t>
      </w:r>
      <w:r w:rsidRPr="00C63C62">
        <w:t>; and (3) the</w:t>
      </w:r>
      <w:r>
        <w:t>ir</w:t>
      </w:r>
      <w:r w:rsidRPr="00C63C62">
        <w:t xml:space="preserve"> </w:t>
      </w:r>
      <w:r>
        <w:t xml:space="preserve">inclusion of </w:t>
      </w:r>
      <w:r w:rsidR="00594886" w:rsidRPr="00BF263B">
        <w:t>EAS Tones</w:t>
      </w:r>
      <w:r w:rsidR="00594886" w:rsidRPr="00C63C62">
        <w:t xml:space="preserve"> </w:t>
      </w:r>
      <w:r w:rsidRPr="00C63C62">
        <w:t xml:space="preserve">in </w:t>
      </w:r>
      <w:r>
        <w:t xml:space="preserve">such </w:t>
      </w:r>
      <w:r w:rsidRPr="00C63C62">
        <w:t xml:space="preserve">programming </w:t>
      </w:r>
      <w:r>
        <w:t xml:space="preserve">was not done </w:t>
      </w:r>
      <w:r w:rsidRPr="00C63C62">
        <w:t xml:space="preserve">in connection </w:t>
      </w:r>
      <w:r w:rsidRPr="00FD3AFD">
        <w:rPr>
          <w:color w:val="000000"/>
        </w:rPr>
        <w:t>with</w:t>
      </w:r>
      <w:r w:rsidRPr="00C63C62">
        <w:t xml:space="preserve"> an actual </w:t>
      </w:r>
      <w:r w:rsidR="00F006E1">
        <w:t xml:space="preserve">national, state or local area </w:t>
      </w:r>
      <w:r w:rsidRPr="00C63C62">
        <w:t>emergency or authorized EAS test.</w:t>
      </w:r>
      <w:r>
        <w:rPr>
          <w:rStyle w:val="FootnoteReference"/>
          <w:szCs w:val="22"/>
        </w:rPr>
        <w:footnoteReference w:id="11"/>
      </w:r>
      <w:r w:rsidRPr="00C63C62">
        <w:t xml:space="preserve">  </w:t>
      </w:r>
      <w:r w:rsidR="00B20B55" w:rsidRPr="00B20B55">
        <w:t>Despite these facts, the Companies dispute that their actions should be subject to liability under the Act and our rules.</w:t>
      </w:r>
      <w:r w:rsidRPr="00C63C62">
        <w:t xml:space="preserve">  </w:t>
      </w:r>
    </w:p>
    <w:p w:rsidR="0045660A" w:rsidRDefault="00D44FE5" w:rsidP="00046706">
      <w:pPr>
        <w:pStyle w:val="Heading1"/>
        <w:rPr>
          <w:szCs w:val="22"/>
        </w:rPr>
      </w:pPr>
      <w:r w:rsidRPr="00D44FE5">
        <w:t>DISCUSSION</w:t>
      </w:r>
    </w:p>
    <w:p w:rsidR="0045660A" w:rsidRPr="001A5A6A" w:rsidRDefault="009659A1" w:rsidP="001B3F19">
      <w:pPr>
        <w:pStyle w:val="ParaNum"/>
      </w:pPr>
      <w:r>
        <w:t xml:space="preserve">In </w:t>
      </w:r>
      <w:r w:rsidR="00E42F00">
        <w:t>their</w:t>
      </w:r>
      <w:r>
        <w:t xml:space="preserve"> </w:t>
      </w:r>
      <w:r w:rsidR="00A279F4">
        <w:t>response</w:t>
      </w:r>
      <w:r w:rsidR="00E42F00">
        <w:t>s</w:t>
      </w:r>
      <w:r w:rsidR="00981C04">
        <w:t xml:space="preserve"> to the </w:t>
      </w:r>
      <w:r w:rsidR="00981C04">
        <w:rPr>
          <w:i/>
        </w:rPr>
        <w:t>NAL</w:t>
      </w:r>
      <w:r w:rsidR="00A279F4">
        <w:t>,</w:t>
      </w:r>
      <w:r>
        <w:t xml:space="preserve"> </w:t>
      </w:r>
      <w:r w:rsidR="007023ED">
        <w:t>the Companies</w:t>
      </w:r>
      <w:r w:rsidR="00F40AD1">
        <w:t xml:space="preserve"> </w:t>
      </w:r>
      <w:r w:rsidR="001D2435" w:rsidRPr="00F40AD1">
        <w:t>request that the proposed forfeiture</w:t>
      </w:r>
      <w:r w:rsidR="00F40AD1">
        <w:t>s</w:t>
      </w:r>
      <w:r w:rsidR="001D2435" w:rsidRPr="00F40AD1">
        <w:t xml:space="preserve"> be</w:t>
      </w:r>
      <w:r w:rsidR="00F40AD1">
        <w:t xml:space="preserve"> rescinded or substantially reduced</w:t>
      </w:r>
      <w:r w:rsidR="001D2435" w:rsidRPr="00F40AD1">
        <w:t>.</w:t>
      </w:r>
      <w:r w:rsidR="001D2435" w:rsidRPr="00F40AD1">
        <w:rPr>
          <w:rStyle w:val="FootnoteReference"/>
          <w:color w:val="000000"/>
        </w:rPr>
        <w:footnoteReference w:id="12"/>
      </w:r>
      <w:r w:rsidR="001D2435" w:rsidRPr="00F40AD1">
        <w:t xml:space="preserve">  </w:t>
      </w:r>
      <w:r w:rsidR="00DB3DC7">
        <w:t xml:space="preserve">The Companies’ NAL Responses largely reiterate the same </w:t>
      </w:r>
      <w:r w:rsidR="00DB3DC7">
        <w:lastRenderedPageBreak/>
        <w:t>arguments they asserted in their LOI Responses, which the Comm</w:t>
      </w:r>
      <w:r w:rsidR="00594886">
        <w:t>ission considered</w:t>
      </w:r>
      <w:r w:rsidR="00B20B55">
        <w:t>, discussed</w:t>
      </w:r>
      <w:r w:rsidR="00594886">
        <w:t xml:space="preserve"> and</w:t>
      </w:r>
      <w:r w:rsidR="00B20B55">
        <w:t xml:space="preserve"> rejected</w:t>
      </w:r>
      <w:r w:rsidR="00594886">
        <w:t xml:space="preserve"> </w:t>
      </w:r>
      <w:r w:rsidR="00DB3DC7">
        <w:t xml:space="preserve">in the </w:t>
      </w:r>
      <w:r w:rsidR="00DB3DC7" w:rsidRPr="00FD3AFD">
        <w:rPr>
          <w:i/>
        </w:rPr>
        <w:t>NAL</w:t>
      </w:r>
      <w:r w:rsidR="00DB3DC7">
        <w:t>.</w:t>
      </w:r>
      <w:r w:rsidR="00594886">
        <w:rPr>
          <w:rStyle w:val="FootnoteReference"/>
        </w:rPr>
        <w:footnoteReference w:id="13"/>
      </w:r>
      <w:r w:rsidR="00DB3DC7">
        <w:t xml:space="preserve">  At their essence, </w:t>
      </w:r>
      <w:r w:rsidR="00C549A4">
        <w:t>many of the Companies’ arguments rest</w:t>
      </w:r>
      <w:r w:rsidR="00DB3DC7">
        <w:t xml:space="preserve"> on the </w:t>
      </w:r>
      <w:r w:rsidR="00C549A4">
        <w:t>assertion</w:t>
      </w:r>
      <w:r w:rsidR="00DB3DC7">
        <w:t xml:space="preserve"> </w:t>
      </w:r>
      <w:r w:rsidR="00453B63">
        <w:t>that they lacked</w:t>
      </w:r>
      <w:r w:rsidR="00DB3DC7">
        <w:t xml:space="preserve"> notice that the Commission would enforce the </w:t>
      </w:r>
      <w:r w:rsidR="001D0C26">
        <w:t>EAS Rules</w:t>
      </w:r>
      <w:r w:rsidR="00DB3DC7">
        <w:t xml:space="preserve"> against them with respect to </w:t>
      </w:r>
      <w:r w:rsidR="001D0C26">
        <w:t xml:space="preserve">transmission of </w:t>
      </w:r>
      <w:r w:rsidR="00DB3DC7">
        <w:t xml:space="preserve">the </w:t>
      </w:r>
      <w:r w:rsidR="00D44FE5" w:rsidRPr="00D44FE5">
        <w:rPr>
          <w:i/>
        </w:rPr>
        <w:t>No Sur</w:t>
      </w:r>
      <w:r w:rsidR="001D0C26">
        <w:rPr>
          <w:i/>
        </w:rPr>
        <w:t>r</w:t>
      </w:r>
      <w:r w:rsidR="00D44FE5" w:rsidRPr="00D44FE5">
        <w:rPr>
          <w:i/>
        </w:rPr>
        <w:t>ender Trailer</w:t>
      </w:r>
      <w:r w:rsidR="003716E9">
        <w:t>.</w:t>
      </w:r>
      <w:r w:rsidR="003716E9">
        <w:rPr>
          <w:rStyle w:val="FootnoteReference"/>
        </w:rPr>
        <w:footnoteReference w:id="14"/>
      </w:r>
      <w:r w:rsidR="003716E9">
        <w:t xml:space="preserve">  </w:t>
      </w:r>
      <w:r w:rsidR="00734A8A">
        <w:t xml:space="preserve">Viacom </w:t>
      </w:r>
      <w:r w:rsidR="001D0C26">
        <w:t xml:space="preserve">also </w:t>
      </w:r>
      <w:r w:rsidR="00734A8A">
        <w:t>argues</w:t>
      </w:r>
      <w:r w:rsidR="002A186B">
        <w:t xml:space="preserve"> that Section 11.45</w:t>
      </w:r>
      <w:r w:rsidR="001D0C26">
        <w:t>’s prohibition of</w:t>
      </w:r>
      <w:r w:rsidR="002A186B">
        <w:t xml:space="preserve"> transmitting or causing </w:t>
      </w:r>
      <w:r w:rsidR="001D0C26">
        <w:t xml:space="preserve">the </w:t>
      </w:r>
      <w:r w:rsidR="002A186B">
        <w:t>transmission</w:t>
      </w:r>
      <w:r w:rsidR="001D0C26">
        <w:t xml:space="preserve"> of EAS Tones</w:t>
      </w:r>
      <w:r w:rsidR="002A186B">
        <w:t xml:space="preserve">, “does not apply to </w:t>
      </w:r>
      <w:r w:rsidR="002A186B" w:rsidRPr="00FD3AFD">
        <w:rPr>
          <w:color w:val="000000"/>
        </w:rPr>
        <w:t>intermediaries</w:t>
      </w:r>
      <w:r w:rsidR="002A186B">
        <w:t xml:space="preserve"> like [Viacom], which neither produced the Advertisement nor transmitted it directly to consumers.”</w:t>
      </w:r>
      <w:r w:rsidR="002A186B">
        <w:rPr>
          <w:rStyle w:val="FootnoteReference"/>
        </w:rPr>
        <w:footnoteReference w:id="15"/>
      </w:r>
      <w:r w:rsidR="00D92291">
        <w:t xml:space="preserve">  </w:t>
      </w:r>
      <w:r w:rsidR="002A7BCE">
        <w:t>The</w:t>
      </w:r>
      <w:r w:rsidR="00981C04">
        <w:t xml:space="preserve"> </w:t>
      </w:r>
      <w:r w:rsidR="009F086A">
        <w:t>Companies</w:t>
      </w:r>
      <w:r w:rsidR="00734A8A">
        <w:t xml:space="preserve"> </w:t>
      </w:r>
      <w:r w:rsidR="009A2AA7">
        <w:t xml:space="preserve">also </w:t>
      </w:r>
      <w:r w:rsidR="001D0C26">
        <w:t xml:space="preserve">repeat their assertion </w:t>
      </w:r>
      <w:r w:rsidR="009F086A">
        <w:t xml:space="preserve">that </w:t>
      </w:r>
      <w:r w:rsidR="001D0C26">
        <w:t>the EAS Rules do not</w:t>
      </w:r>
      <w:r w:rsidR="00BF6312">
        <w:t xml:space="preserve"> apply</w:t>
      </w:r>
      <w:r w:rsidR="00734A8A">
        <w:t xml:space="preserve"> </w:t>
      </w:r>
      <w:r w:rsidR="009F086A">
        <w:t xml:space="preserve">to </w:t>
      </w:r>
      <w:r w:rsidR="001D0C26">
        <w:t xml:space="preserve">what they deem </w:t>
      </w:r>
      <w:r w:rsidR="00666965">
        <w:t>“</w:t>
      </w:r>
      <w:r w:rsidR="009F086A">
        <w:t>non-deceptive movie trailers.</w:t>
      </w:r>
      <w:r w:rsidR="00734A8A">
        <w:t>”</w:t>
      </w:r>
      <w:r w:rsidR="009F086A">
        <w:rPr>
          <w:rStyle w:val="FootnoteReference"/>
        </w:rPr>
        <w:footnoteReference w:id="16"/>
      </w:r>
      <w:r w:rsidR="00734A8A">
        <w:t xml:space="preserve"> </w:t>
      </w:r>
      <w:r w:rsidR="00D64C9B">
        <w:t xml:space="preserve"> </w:t>
      </w:r>
      <w:r w:rsidR="009A2AA7">
        <w:t>In addition, t</w:t>
      </w:r>
      <w:r w:rsidR="00D64C9B">
        <w:t xml:space="preserve">he Companies </w:t>
      </w:r>
      <w:r w:rsidR="001D0C26">
        <w:t xml:space="preserve">continue to </w:t>
      </w:r>
      <w:r w:rsidR="00D64C9B">
        <w:t xml:space="preserve">disclaim liability because they </w:t>
      </w:r>
      <w:r w:rsidR="00594886">
        <w:t>argue</w:t>
      </w:r>
      <w:r w:rsidR="00707FFB">
        <w:t xml:space="preserve"> they </w:t>
      </w:r>
      <w:r w:rsidR="00D64C9B">
        <w:t xml:space="preserve">did not knowingly violate </w:t>
      </w:r>
      <w:r w:rsidR="00D92291">
        <w:t>the EAS Rules</w:t>
      </w:r>
      <w:r w:rsidR="009A2AA7">
        <w:t>.</w:t>
      </w:r>
      <w:r w:rsidR="00707FFB">
        <w:rPr>
          <w:rStyle w:val="FootnoteReference"/>
        </w:rPr>
        <w:footnoteReference w:id="17"/>
      </w:r>
      <w:r w:rsidR="00E17991">
        <w:t xml:space="preserve"> </w:t>
      </w:r>
      <w:r w:rsidR="00D64C9B">
        <w:t xml:space="preserve"> </w:t>
      </w:r>
      <w:r w:rsidR="00707FFB" w:rsidRPr="00D062E6">
        <w:t>We reject these arguments</w:t>
      </w:r>
      <w:r w:rsidR="00707FFB">
        <w:t xml:space="preserve">, </w:t>
      </w:r>
      <w:r w:rsidR="00594886">
        <w:t xml:space="preserve">each of </w:t>
      </w:r>
      <w:r w:rsidR="00CA6BAF">
        <w:t>which was</w:t>
      </w:r>
      <w:r w:rsidR="00707FFB">
        <w:t xml:space="preserve"> directly and fully addressed in the </w:t>
      </w:r>
      <w:r w:rsidR="00707FFB" w:rsidRPr="00BE52D4">
        <w:rPr>
          <w:i/>
        </w:rPr>
        <w:t>NAL</w:t>
      </w:r>
      <w:r w:rsidR="00707FFB">
        <w:t xml:space="preserve">, and briefly discuss them below </w:t>
      </w:r>
      <w:r w:rsidR="00594886">
        <w:t xml:space="preserve">only </w:t>
      </w:r>
      <w:r w:rsidR="00707FFB">
        <w:t>to reiterate the failings in their a</w:t>
      </w:r>
      <w:r w:rsidR="009A2AA7">
        <w:t>ssertions</w:t>
      </w:r>
      <w:r w:rsidR="00F364F2">
        <w:t xml:space="preserve"> and our bases for confirm</w:t>
      </w:r>
      <w:r w:rsidR="005D2913">
        <w:t xml:space="preserve">ing the </w:t>
      </w:r>
      <w:r w:rsidR="00F364F2" w:rsidRPr="00FD3AFD">
        <w:rPr>
          <w:i/>
        </w:rPr>
        <w:t>NAL</w:t>
      </w:r>
      <w:r w:rsidR="00CA6BAF">
        <w:t xml:space="preserve">’s </w:t>
      </w:r>
      <w:r w:rsidR="005D2913">
        <w:t>findings</w:t>
      </w:r>
      <w:r w:rsidR="00F364F2">
        <w:t>.</w:t>
      </w:r>
      <w:r w:rsidR="00707FFB">
        <w:t xml:space="preserve">  </w:t>
      </w:r>
      <w:r w:rsidR="005D2913">
        <w:t xml:space="preserve">As discussed below, we also reject the </w:t>
      </w:r>
      <w:r w:rsidR="009F086A">
        <w:t>Companies</w:t>
      </w:r>
      <w:r w:rsidR="005D2913">
        <w:t>’</w:t>
      </w:r>
      <w:r w:rsidR="009F086A">
        <w:t xml:space="preserve"> </w:t>
      </w:r>
      <w:r w:rsidR="005D2913">
        <w:t>argument</w:t>
      </w:r>
      <w:r w:rsidR="00734A8A">
        <w:t xml:space="preserve"> that the </w:t>
      </w:r>
      <w:r w:rsidR="00924457">
        <w:t xml:space="preserve">proposed </w:t>
      </w:r>
      <w:r w:rsidR="00734A8A">
        <w:t>forfeiture</w:t>
      </w:r>
      <w:r w:rsidR="009F086A">
        <w:t>s exceed</w:t>
      </w:r>
      <w:r w:rsidR="00734A8A">
        <w:t xml:space="preserve"> </w:t>
      </w:r>
      <w:r w:rsidR="00CA6BAF">
        <w:t xml:space="preserve">the </w:t>
      </w:r>
      <w:r w:rsidR="00734A8A">
        <w:t xml:space="preserve">amounts </w:t>
      </w:r>
      <w:r w:rsidR="009F086A">
        <w:t>“</w:t>
      </w:r>
      <w:r w:rsidR="00734A8A">
        <w:t>authorized under the governing statute and the Commission’s rules</w:t>
      </w:r>
      <w:r w:rsidR="009B23EC">
        <w:t>,</w:t>
      </w:r>
      <w:r w:rsidR="009F086A">
        <w:t>”</w:t>
      </w:r>
      <w:r w:rsidR="00734A8A">
        <w:t xml:space="preserve"> and </w:t>
      </w:r>
      <w:r w:rsidR="00924457">
        <w:t>are</w:t>
      </w:r>
      <w:r w:rsidR="00D063FE">
        <w:t xml:space="preserve"> </w:t>
      </w:r>
      <w:r w:rsidR="009F086A">
        <w:t>“</w:t>
      </w:r>
      <w:r w:rsidR="00734A8A">
        <w:t xml:space="preserve">applied in an </w:t>
      </w:r>
      <w:r w:rsidR="00CA6BAF">
        <w:t>arbitrary and capricious manner.</w:t>
      </w:r>
      <w:r w:rsidR="009C3A8B" w:rsidRPr="00C812E5">
        <w:rPr>
          <w:shd w:val="clear" w:color="auto" w:fill="FFFFFF"/>
        </w:rPr>
        <w:t>”</w:t>
      </w:r>
      <w:r w:rsidR="00734A8A">
        <w:rPr>
          <w:rStyle w:val="FootnoteReference"/>
        </w:rPr>
        <w:footnoteReference w:id="18"/>
      </w:r>
      <w:r w:rsidR="00707FFB">
        <w:t xml:space="preserve"> </w:t>
      </w:r>
      <w:r w:rsidR="00734A8A">
        <w:t xml:space="preserve"> </w:t>
      </w:r>
      <w:r w:rsidR="009F086A">
        <w:t xml:space="preserve"> </w:t>
      </w:r>
    </w:p>
    <w:p w:rsidR="00736D3A" w:rsidRDefault="00736D3A" w:rsidP="002E0D76">
      <w:pPr>
        <w:pStyle w:val="Heading2"/>
      </w:pPr>
      <w:r w:rsidRPr="007D0865">
        <w:t>The Co</w:t>
      </w:r>
      <w:r>
        <w:t>mmission Gave Adequate</w:t>
      </w:r>
      <w:r w:rsidRPr="007D0865">
        <w:t xml:space="preserve"> Notice </w:t>
      </w:r>
      <w:r>
        <w:t xml:space="preserve">As To </w:t>
      </w:r>
      <w:r w:rsidR="00C549A4">
        <w:t xml:space="preserve">the Applicability of </w:t>
      </w:r>
      <w:r w:rsidRPr="007D0865">
        <w:t>Section 11.45 of the Commission’s Rules an</w:t>
      </w:r>
      <w:r w:rsidR="00C549A4">
        <w:t>d Section 325(a) of the Act</w:t>
      </w:r>
    </w:p>
    <w:p w:rsidR="00B5188B" w:rsidRPr="00BA13FA" w:rsidRDefault="00BF10A7" w:rsidP="00046706">
      <w:pPr>
        <w:pStyle w:val="ParaNum"/>
        <w:widowControl/>
        <w:rPr>
          <w:color w:val="1A1A1A"/>
        </w:rPr>
      </w:pPr>
      <w:r>
        <w:t xml:space="preserve">The Companies contend that they did not have </w:t>
      </w:r>
      <w:r w:rsidR="00736D3A" w:rsidRPr="007D0865">
        <w:t>adequate notice of the requirement</w:t>
      </w:r>
      <w:r w:rsidR="005C06FD">
        <w:t>s and applicability of the EAS Rules</w:t>
      </w:r>
      <w:r w:rsidR="00736D3A" w:rsidRPr="007D0865">
        <w:t>.</w:t>
      </w:r>
      <w:r w:rsidR="00736D3A" w:rsidRPr="007D0865">
        <w:rPr>
          <w:rStyle w:val="FootnoteReference"/>
          <w:szCs w:val="22"/>
        </w:rPr>
        <w:footnoteReference w:id="19"/>
      </w:r>
      <w:r w:rsidR="00736D3A" w:rsidRPr="007D0865">
        <w:t xml:space="preserve">  We disagree.  </w:t>
      </w:r>
      <w:r w:rsidR="00E159D5">
        <w:t xml:space="preserve">The </w:t>
      </w:r>
      <w:r w:rsidR="00E159D5">
        <w:rPr>
          <w:i/>
        </w:rPr>
        <w:t xml:space="preserve">NAL </w:t>
      </w:r>
      <w:r w:rsidR="00E159D5">
        <w:t>clearly notes the Commission’s previous findings that misuse of emergency tones constitute false distress signals in violation of Section 325(a) of the Act.</w:t>
      </w:r>
      <w:r w:rsidR="00E159D5">
        <w:rPr>
          <w:rStyle w:val="FootnoteReference"/>
        </w:rPr>
        <w:footnoteReference w:id="20"/>
      </w:r>
      <w:r w:rsidR="00E159D5">
        <w:t xml:space="preserve">  </w:t>
      </w:r>
      <w:r w:rsidR="00736D3A" w:rsidRPr="007D0865">
        <w:t xml:space="preserve">As the </w:t>
      </w:r>
      <w:r w:rsidR="00736D3A" w:rsidRPr="007D0865">
        <w:rPr>
          <w:i/>
        </w:rPr>
        <w:t>NAL</w:t>
      </w:r>
      <w:r w:rsidR="00736D3A" w:rsidRPr="007D0865">
        <w:t xml:space="preserve"> </w:t>
      </w:r>
      <w:r w:rsidR="00E159D5">
        <w:t xml:space="preserve">also </w:t>
      </w:r>
      <w:r w:rsidR="00736D3A">
        <w:t xml:space="preserve">makes clear, </w:t>
      </w:r>
      <w:r w:rsidR="00736D3A" w:rsidRPr="007D0865">
        <w:t>the requirements of Section 11.45 have been well settled via rulemaking and administrative</w:t>
      </w:r>
      <w:r w:rsidR="00736D3A">
        <w:t xml:space="preserve"> action for nearly 20 years.</w:t>
      </w:r>
      <w:r w:rsidR="00736D3A">
        <w:rPr>
          <w:rStyle w:val="FootnoteReference"/>
          <w:szCs w:val="22"/>
        </w:rPr>
        <w:footnoteReference w:id="21"/>
      </w:r>
      <w:r w:rsidR="00736D3A">
        <w:t xml:space="preserve">  </w:t>
      </w:r>
      <w:r>
        <w:t>On its face, t</w:t>
      </w:r>
      <w:r w:rsidR="00736D3A">
        <w:t xml:space="preserve">he rule applies </w:t>
      </w:r>
      <w:r w:rsidR="00F006E1">
        <w:t xml:space="preserve">broadly </w:t>
      </w:r>
      <w:r w:rsidR="00736D3A">
        <w:t>to “persons” and does not exclude cable programmers.</w:t>
      </w:r>
      <w:r w:rsidR="00736D3A">
        <w:rPr>
          <w:rStyle w:val="FootnoteReference"/>
          <w:szCs w:val="22"/>
        </w:rPr>
        <w:footnoteReference w:id="22"/>
      </w:r>
      <w:r w:rsidR="00736D3A">
        <w:t xml:space="preserve">  </w:t>
      </w:r>
      <w:r>
        <w:t>Likewise, i</w:t>
      </w:r>
      <w:r w:rsidR="00736D3A">
        <w:t>t</w:t>
      </w:r>
      <w:r>
        <w:t xml:space="preserve"> explicitly</w:t>
      </w:r>
      <w:r w:rsidR="00736D3A">
        <w:t xml:space="preserve"> applies to actions that “transmit or </w:t>
      </w:r>
      <w:r w:rsidR="00736D3A" w:rsidRPr="001B2121">
        <w:rPr>
          <w:szCs w:val="22"/>
        </w:rPr>
        <w:t xml:space="preserve">cause to transmit” the restricted </w:t>
      </w:r>
      <w:r w:rsidR="00FF2AE8">
        <w:rPr>
          <w:szCs w:val="22"/>
        </w:rPr>
        <w:t>EAS T</w:t>
      </w:r>
      <w:r w:rsidR="00736D3A" w:rsidRPr="001B2121">
        <w:rPr>
          <w:szCs w:val="22"/>
        </w:rPr>
        <w:t>ones</w:t>
      </w:r>
      <w:r w:rsidR="00366166">
        <w:rPr>
          <w:szCs w:val="22"/>
        </w:rPr>
        <w:t>,</w:t>
      </w:r>
      <w:r w:rsidR="00736D3A" w:rsidRPr="001B2121">
        <w:rPr>
          <w:szCs w:val="22"/>
        </w:rPr>
        <w:t xml:space="preserve"> and is not limited to direct </w:t>
      </w:r>
      <w:r w:rsidR="00736D3A" w:rsidRPr="00FD3AFD">
        <w:rPr>
          <w:color w:val="000000"/>
        </w:rPr>
        <w:t>transmissions</w:t>
      </w:r>
      <w:r w:rsidR="00736D3A" w:rsidRPr="001B2121">
        <w:rPr>
          <w:szCs w:val="22"/>
        </w:rPr>
        <w:t xml:space="preserve"> by or </w:t>
      </w:r>
      <w:r w:rsidR="00736D3A" w:rsidRPr="001B2121">
        <w:rPr>
          <w:szCs w:val="22"/>
        </w:rPr>
        <w:lastRenderedPageBreak/>
        <w:t>to a particular person or entity.</w:t>
      </w:r>
      <w:r w:rsidR="00736D3A" w:rsidRPr="007A7AC4">
        <w:rPr>
          <w:rStyle w:val="FootnoteReference"/>
        </w:rPr>
        <w:footnoteReference w:id="23"/>
      </w:r>
      <w:r w:rsidR="00736D3A" w:rsidRPr="001B2121">
        <w:rPr>
          <w:szCs w:val="22"/>
        </w:rPr>
        <w:t xml:space="preserve"> </w:t>
      </w:r>
      <w:r w:rsidR="005A427A" w:rsidRPr="001B2121">
        <w:rPr>
          <w:szCs w:val="22"/>
        </w:rPr>
        <w:t xml:space="preserve"> </w:t>
      </w:r>
      <w:r w:rsidR="00B5188B">
        <w:t xml:space="preserve">Moreover, the </w:t>
      </w:r>
      <w:r w:rsidR="00736D3A" w:rsidRPr="000E4707">
        <w:rPr>
          <w:szCs w:val="22"/>
        </w:rPr>
        <w:t>rule explicitly applies to the “EAS codes or Attention Signal, or a recording or simulation thereof</w:t>
      </w:r>
      <w:r w:rsidR="00CB4AF9" w:rsidRPr="000E4707">
        <w:rPr>
          <w:szCs w:val="22"/>
        </w:rPr>
        <w:t>,</w:t>
      </w:r>
      <w:r w:rsidR="00736D3A" w:rsidRPr="000E4707">
        <w:rPr>
          <w:szCs w:val="22"/>
        </w:rPr>
        <w:t xml:space="preserve">” </w:t>
      </w:r>
      <w:r w:rsidR="00736D3A" w:rsidRPr="000E4707">
        <w:rPr>
          <w:rStyle w:val="FootnoteReference"/>
          <w:szCs w:val="22"/>
        </w:rPr>
        <w:footnoteReference w:id="24"/>
      </w:r>
      <w:r w:rsidR="00736D3A" w:rsidRPr="000E4707">
        <w:rPr>
          <w:szCs w:val="22"/>
        </w:rPr>
        <w:t xml:space="preserve"> and applies regardless of whether the transmission of the codes results in an inadvertent act</w:t>
      </w:r>
      <w:r w:rsidR="00736D3A">
        <w:t>ivation of the EAS.</w:t>
      </w:r>
      <w:r w:rsidR="00FF2AE8">
        <w:rPr>
          <w:rStyle w:val="FootnoteReference"/>
        </w:rPr>
        <w:footnoteReference w:id="25"/>
      </w:r>
      <w:r w:rsidR="00D77B75">
        <w:t xml:space="preserve">  </w:t>
      </w:r>
      <w:r w:rsidR="00736D3A">
        <w:t>In sum,</w:t>
      </w:r>
      <w:r>
        <w:t xml:space="preserve"> as fully discussed in the </w:t>
      </w:r>
      <w:r w:rsidRPr="000E4707">
        <w:rPr>
          <w:i/>
        </w:rPr>
        <w:t>NAL</w:t>
      </w:r>
      <w:r>
        <w:t>,</w:t>
      </w:r>
      <w:r w:rsidR="00736D3A">
        <w:t xml:space="preserve"> the plain language of </w:t>
      </w:r>
      <w:r w:rsidR="008B633E">
        <w:t>this</w:t>
      </w:r>
      <w:r w:rsidR="00736D3A">
        <w:t xml:space="preserve"> long-standing rule </w:t>
      </w:r>
      <w:r w:rsidR="008B633E">
        <w:t>gave</w:t>
      </w:r>
      <w:r w:rsidR="00736D3A">
        <w:t xml:space="preserve"> unambiguous notice that the Companies’ actions would be subject to sanction.</w:t>
      </w:r>
      <w:r w:rsidR="00736D3A">
        <w:rPr>
          <w:rStyle w:val="FootnoteReference"/>
          <w:szCs w:val="22"/>
        </w:rPr>
        <w:footnoteReference w:id="26"/>
      </w:r>
      <w:r w:rsidR="0068273C" w:rsidRPr="00FD3AFD">
        <w:t xml:space="preserve">  </w:t>
      </w:r>
      <w:r w:rsidR="00486D3A">
        <w:rPr>
          <w:color w:val="000000"/>
          <w:szCs w:val="22"/>
        </w:rPr>
        <w:t>Thus,</w:t>
      </w:r>
      <w:r w:rsidR="00D44FE5" w:rsidRPr="00D44FE5">
        <w:rPr>
          <w:color w:val="000000"/>
        </w:rPr>
        <w:t xml:space="preserve"> we </w:t>
      </w:r>
      <w:r w:rsidR="00486D3A">
        <w:rPr>
          <w:color w:val="000000"/>
          <w:szCs w:val="22"/>
        </w:rPr>
        <w:t>are not persuaded by</w:t>
      </w:r>
      <w:r w:rsidR="00D44FE5" w:rsidRPr="00D44FE5">
        <w:rPr>
          <w:color w:val="000000"/>
        </w:rPr>
        <w:t xml:space="preserve"> the </w:t>
      </w:r>
      <w:r w:rsidR="00486D3A">
        <w:rPr>
          <w:color w:val="000000"/>
          <w:szCs w:val="22"/>
        </w:rPr>
        <w:t>Companies’ arguments</w:t>
      </w:r>
      <w:r w:rsidR="00D44FE5" w:rsidRPr="00D44FE5">
        <w:rPr>
          <w:color w:val="000000"/>
        </w:rPr>
        <w:t xml:space="preserve"> that </w:t>
      </w:r>
      <w:r w:rsidR="00486D3A">
        <w:rPr>
          <w:color w:val="000000"/>
          <w:szCs w:val="22"/>
        </w:rPr>
        <w:t>the</w:t>
      </w:r>
      <w:r w:rsidR="00CE16BF">
        <w:rPr>
          <w:color w:val="000000"/>
          <w:szCs w:val="22"/>
        </w:rPr>
        <w:t>y</w:t>
      </w:r>
      <w:r w:rsidR="00486D3A">
        <w:rPr>
          <w:color w:val="000000"/>
          <w:szCs w:val="22"/>
        </w:rPr>
        <w:t xml:space="preserve"> received inadequate notice</w:t>
      </w:r>
      <w:r w:rsidR="00D44FE5" w:rsidRPr="00D44FE5">
        <w:rPr>
          <w:color w:val="000000"/>
        </w:rPr>
        <w:t xml:space="preserve"> of </w:t>
      </w:r>
      <w:r w:rsidR="00486D3A">
        <w:rPr>
          <w:color w:val="000000"/>
          <w:szCs w:val="22"/>
        </w:rPr>
        <w:t xml:space="preserve">the </w:t>
      </w:r>
      <w:r w:rsidR="009C3A8B">
        <w:t>EAS Rules</w:t>
      </w:r>
      <w:r w:rsidR="009C3A8B">
        <w:rPr>
          <w:color w:val="000000"/>
          <w:szCs w:val="22"/>
        </w:rPr>
        <w:t xml:space="preserve">’ </w:t>
      </w:r>
      <w:r w:rsidR="00486D3A">
        <w:rPr>
          <w:color w:val="000000"/>
          <w:szCs w:val="22"/>
        </w:rPr>
        <w:t>requirements.</w:t>
      </w:r>
      <w:r w:rsidR="00D44FE5" w:rsidRPr="00D44FE5">
        <w:rPr>
          <w:color w:val="000000"/>
        </w:rPr>
        <w:t xml:space="preserve"> </w:t>
      </w:r>
    </w:p>
    <w:p w:rsidR="00ED0BCC" w:rsidRDefault="00BF6312" w:rsidP="002E0D76">
      <w:pPr>
        <w:pStyle w:val="Heading2"/>
        <w:rPr>
          <w:szCs w:val="22"/>
        </w:rPr>
      </w:pPr>
      <w:r w:rsidRPr="003610EA">
        <w:t>Section 11.45 of the Commission’s Rules Appli</w:t>
      </w:r>
      <w:r w:rsidR="00C63C62" w:rsidRPr="003610EA">
        <w:t xml:space="preserve">es to </w:t>
      </w:r>
      <w:r w:rsidR="008B633E" w:rsidRPr="003610EA">
        <w:t>Those Who</w:t>
      </w:r>
      <w:r w:rsidR="00C63C62" w:rsidRPr="003610EA">
        <w:t xml:space="preserve"> Transmit or Caus</w:t>
      </w:r>
      <w:r w:rsidR="008B633E" w:rsidRPr="003610EA">
        <w:t>e</w:t>
      </w:r>
      <w:r w:rsidR="00C63C62" w:rsidRPr="003610EA">
        <w:t xml:space="preserve"> </w:t>
      </w:r>
      <w:r w:rsidR="008B633E" w:rsidRPr="003610EA">
        <w:t>t</w:t>
      </w:r>
      <w:r w:rsidR="00453B63" w:rsidRPr="003610EA">
        <w:t>he</w:t>
      </w:r>
      <w:r w:rsidR="00453B63">
        <w:t xml:space="preserve"> </w:t>
      </w:r>
      <w:r w:rsidR="008B633E" w:rsidRPr="00C73971">
        <w:t>Transmi</w:t>
      </w:r>
      <w:r w:rsidR="00453B63">
        <w:t xml:space="preserve">ssion of </w:t>
      </w:r>
      <w:r w:rsidR="008B633E" w:rsidRPr="00C73971">
        <w:t>t</w:t>
      </w:r>
      <w:r w:rsidR="00453B63">
        <w:t>he</w:t>
      </w:r>
      <w:r w:rsidR="003F3863" w:rsidRPr="00C73971">
        <w:t xml:space="preserve"> </w:t>
      </w:r>
      <w:r w:rsidR="00C63C62" w:rsidRPr="00C73971">
        <w:t>EAS</w:t>
      </w:r>
      <w:r w:rsidR="00322B20">
        <w:t xml:space="preserve"> Tones</w:t>
      </w:r>
    </w:p>
    <w:p w:rsidR="00AA7528" w:rsidRDefault="00F51C2A" w:rsidP="00046706">
      <w:pPr>
        <w:pStyle w:val="ParaNum"/>
        <w:widowControl/>
      </w:pPr>
      <w:r w:rsidRPr="004630A0">
        <w:t xml:space="preserve">Viacom </w:t>
      </w:r>
      <w:r w:rsidR="008B633E" w:rsidRPr="004630A0">
        <w:t>argues</w:t>
      </w:r>
      <w:r w:rsidRPr="004630A0">
        <w:t xml:space="preserve"> that, as an “int</w:t>
      </w:r>
      <w:r w:rsidR="00455847" w:rsidRPr="004630A0">
        <w:t>ermediary,”</w:t>
      </w:r>
      <w:r w:rsidRPr="004630A0">
        <w:t xml:space="preserve"> it did not cause the transmission of the EAS Tones.</w:t>
      </w:r>
      <w:r w:rsidR="00455847" w:rsidRPr="004630A0">
        <w:rPr>
          <w:rStyle w:val="FootnoteReference"/>
          <w:szCs w:val="22"/>
        </w:rPr>
        <w:footnoteReference w:id="27"/>
      </w:r>
      <w:r w:rsidRPr="004630A0">
        <w:t xml:space="preserve">  Viacom </w:t>
      </w:r>
      <w:r w:rsidR="00C7022A">
        <w:t xml:space="preserve">further </w:t>
      </w:r>
      <w:r w:rsidR="00455847" w:rsidRPr="004630A0">
        <w:t>alleges</w:t>
      </w:r>
      <w:r w:rsidRPr="004630A0">
        <w:t xml:space="preserve"> that </w:t>
      </w:r>
      <w:r w:rsidR="008B633E" w:rsidRPr="004630A0">
        <w:t xml:space="preserve">liability lies </w:t>
      </w:r>
      <w:r w:rsidR="00BF10A7" w:rsidRPr="004630A0">
        <w:t xml:space="preserve">exclusively </w:t>
      </w:r>
      <w:r w:rsidR="008B633E" w:rsidRPr="004630A0">
        <w:t xml:space="preserve">with </w:t>
      </w:r>
      <w:r w:rsidRPr="004630A0">
        <w:t>Horizon Media, which produced the trailer and embedded the EAS Tones in the trailer, and the multichannel video program distributors (MVPDs)</w:t>
      </w:r>
      <w:r w:rsidR="00C7022A">
        <w:t>, which transmitted</w:t>
      </w:r>
      <w:r w:rsidR="00455847" w:rsidRPr="004630A0">
        <w:t xml:space="preserve"> </w:t>
      </w:r>
      <w:r w:rsidR="00C832DC" w:rsidRPr="004630A0">
        <w:t>t</w:t>
      </w:r>
      <w:r w:rsidR="00455847" w:rsidRPr="004630A0">
        <w:t xml:space="preserve">he </w:t>
      </w:r>
      <w:r w:rsidR="00455847" w:rsidRPr="004630A0">
        <w:rPr>
          <w:i/>
        </w:rPr>
        <w:t>No Surrender Trailer</w:t>
      </w:r>
      <w:r w:rsidR="00455847" w:rsidRPr="004630A0">
        <w:t>.</w:t>
      </w:r>
      <w:r w:rsidR="00BF10A7" w:rsidRPr="004630A0">
        <w:rPr>
          <w:rStyle w:val="FootnoteReference"/>
          <w:szCs w:val="22"/>
        </w:rPr>
        <w:footnoteReference w:id="28"/>
      </w:r>
      <w:r w:rsidRPr="004630A0">
        <w:t xml:space="preserve">  </w:t>
      </w:r>
      <w:r w:rsidR="00EE3AD3" w:rsidRPr="004630A0">
        <w:t>We reject th</w:t>
      </w:r>
      <w:r w:rsidR="00B30845" w:rsidRPr="004630A0">
        <w:t>is</w:t>
      </w:r>
      <w:r w:rsidR="00EE3AD3" w:rsidRPr="004630A0">
        <w:t xml:space="preserve"> argument for the reasons stated in the </w:t>
      </w:r>
      <w:r w:rsidR="00EE3AD3" w:rsidRPr="004630A0">
        <w:rPr>
          <w:i/>
        </w:rPr>
        <w:t>NAL</w:t>
      </w:r>
      <w:r w:rsidR="00BF10A7" w:rsidRPr="004630A0">
        <w:rPr>
          <w:i/>
        </w:rPr>
        <w:t>.</w:t>
      </w:r>
      <w:r w:rsidRPr="004630A0">
        <w:rPr>
          <w:rStyle w:val="FootnoteReference"/>
          <w:szCs w:val="22"/>
        </w:rPr>
        <w:footnoteReference w:id="29"/>
      </w:r>
      <w:r w:rsidRPr="004630A0">
        <w:t xml:space="preserve">  </w:t>
      </w:r>
      <w:r w:rsidR="009A239B">
        <w:t>In particular, we note that t</w:t>
      </w:r>
      <w:r w:rsidR="00646B41">
        <w:t xml:space="preserve">he Companies acknowledge that the </w:t>
      </w:r>
      <w:r w:rsidR="00646B41">
        <w:rPr>
          <w:i/>
        </w:rPr>
        <w:t xml:space="preserve">No Surrender </w:t>
      </w:r>
      <w:r w:rsidR="00646B41" w:rsidRPr="00646B41">
        <w:rPr>
          <w:i/>
        </w:rPr>
        <w:t>Trailer</w:t>
      </w:r>
      <w:r w:rsidR="00646B41">
        <w:t xml:space="preserve"> </w:t>
      </w:r>
      <w:r w:rsidR="009A239B">
        <w:t xml:space="preserve">included the EAS Tones and that each Company reviewed the </w:t>
      </w:r>
      <w:r w:rsidR="009A239B">
        <w:rPr>
          <w:i/>
        </w:rPr>
        <w:t xml:space="preserve">No Surrender Trailer </w:t>
      </w:r>
      <w:r w:rsidR="009A239B">
        <w:t xml:space="preserve">prior to inserting it </w:t>
      </w:r>
      <w:r w:rsidR="00646B41">
        <w:t>in their networks</w:t>
      </w:r>
      <w:r w:rsidR="009A239B">
        <w:t>’ programming</w:t>
      </w:r>
      <w:r w:rsidR="00646B41">
        <w:t xml:space="preserve"> in the absence of an emergency or authorized test.</w:t>
      </w:r>
      <w:r w:rsidR="00646B41">
        <w:rPr>
          <w:rStyle w:val="FootnoteReference"/>
        </w:rPr>
        <w:footnoteReference w:id="30"/>
      </w:r>
      <w:r w:rsidR="00646B41">
        <w:t xml:space="preserve">  </w:t>
      </w:r>
      <w:r w:rsidR="009A239B">
        <w:t xml:space="preserve">Furthermore, as stated in the NAL, each of the </w:t>
      </w:r>
      <w:r w:rsidR="000A528B">
        <w:t>Companies delivers their network programming to MVPDs th</w:t>
      </w:r>
      <w:r w:rsidR="009A239B">
        <w:t>r</w:t>
      </w:r>
      <w:r w:rsidR="000A528B">
        <w:t>oughout the country with the intent (indeed, the contractual obligation) that the MVPDs transmit the networks’ programming to the MVPDs’ subscribers.</w:t>
      </w:r>
      <w:r w:rsidR="000A528B">
        <w:rPr>
          <w:rStyle w:val="FootnoteReference"/>
        </w:rPr>
        <w:footnoteReference w:id="31"/>
      </w:r>
      <w:r w:rsidR="000A528B">
        <w:t xml:space="preserve">  </w:t>
      </w:r>
      <w:r w:rsidR="009A239B">
        <w:t>Thus, each of the Companies transmitted or ca</w:t>
      </w:r>
      <w:r w:rsidR="00880CBC">
        <w:t>u</w:t>
      </w:r>
      <w:r w:rsidR="009A239B">
        <w:t xml:space="preserve">sed the transmission of the EAS Tones in violation of Section 11.45.  </w:t>
      </w:r>
      <w:r w:rsidR="005C605C">
        <w:t>Moreover, we</w:t>
      </w:r>
      <w:r w:rsidR="004630A0" w:rsidRPr="006E1149">
        <w:t xml:space="preserve"> reaffirm the Commission’s holding that entities acting as “conduits” for misconduct cannot shift blame to a </w:t>
      </w:r>
      <w:r w:rsidR="004630A0" w:rsidRPr="004630A0">
        <w:t>third party.</w:t>
      </w:r>
      <w:r w:rsidR="004630A0" w:rsidRPr="004630A0">
        <w:rPr>
          <w:rStyle w:val="FootnoteReference"/>
          <w:szCs w:val="22"/>
        </w:rPr>
        <w:footnoteReference w:id="32"/>
      </w:r>
      <w:r w:rsidR="004630A0" w:rsidRPr="004630A0">
        <w:t xml:space="preserve">  </w:t>
      </w:r>
      <w:r w:rsidR="00927D9E">
        <w:t>However, even if the Commission’s precedent acknowledged that such entities enjoy diminished liability due to their passive participatio</w:t>
      </w:r>
      <w:r w:rsidR="00322B20">
        <w:t>n, Viacom cannot credibly argue</w:t>
      </w:r>
      <w:r w:rsidR="00927D9E">
        <w:t xml:space="preserve"> on the facts of th</w:t>
      </w:r>
      <w:r w:rsidR="00322B20">
        <w:t>is case</w:t>
      </w:r>
      <w:r w:rsidR="00927D9E">
        <w:t xml:space="preserve"> that it is entitled to such relief.  In the instant case, Viacom was not a mere a passive “intermediary” between Horizon Media and the MVPDs, because record evidence demonstrates it was an active participant in inserting the </w:t>
      </w:r>
      <w:r w:rsidR="00927D9E">
        <w:rPr>
          <w:i/>
          <w:iCs/>
        </w:rPr>
        <w:t>No Surrender Trailer</w:t>
      </w:r>
      <w:r w:rsidR="00927D9E">
        <w:t xml:space="preserve"> into its programming feeds on multiple occasions</w:t>
      </w:r>
      <w:r w:rsidR="004630A0">
        <w:rPr>
          <w:color w:val="000000"/>
        </w:rPr>
        <w:t xml:space="preserve">.  </w:t>
      </w:r>
      <w:r w:rsidRPr="00C832DC">
        <w:t>Viacom admits that it accepted the ad</w:t>
      </w:r>
      <w:r w:rsidR="00EE3AD3" w:rsidRPr="00C832DC">
        <w:t>vertisement</w:t>
      </w:r>
      <w:r w:rsidRPr="00C832DC">
        <w:t xml:space="preserve"> and distributed it through its networks.</w:t>
      </w:r>
      <w:r w:rsidR="007250BB">
        <w:rPr>
          <w:rStyle w:val="FootnoteReference"/>
        </w:rPr>
        <w:footnoteReference w:id="33"/>
      </w:r>
      <w:r w:rsidRPr="00C832DC">
        <w:t xml:space="preserve"> </w:t>
      </w:r>
      <w:r w:rsidR="007250BB">
        <w:t xml:space="preserve"> </w:t>
      </w:r>
      <w:r w:rsidR="00AA7528">
        <w:t>Furthermore</w:t>
      </w:r>
      <w:r w:rsidRPr="00C832DC">
        <w:t xml:space="preserve">, </w:t>
      </w:r>
      <w:r w:rsidR="0078607B" w:rsidRPr="00C832DC">
        <w:t xml:space="preserve">Viacom </w:t>
      </w:r>
      <w:r w:rsidRPr="00C832DC">
        <w:t>acknowledges that it reviewed the trailer prior to including it in its networks’ programming.</w:t>
      </w:r>
      <w:r w:rsidRPr="00C832DC">
        <w:rPr>
          <w:rStyle w:val="FootnoteReference"/>
          <w:szCs w:val="22"/>
        </w:rPr>
        <w:footnoteReference w:id="34"/>
      </w:r>
      <w:r w:rsidRPr="00C832DC">
        <w:t xml:space="preserve">  Indeed, according to Viacom’s own advertising guidelines, </w:t>
      </w:r>
      <w:r w:rsidR="00832996" w:rsidRPr="00C832DC">
        <w:t xml:space="preserve">it </w:t>
      </w:r>
      <w:r w:rsidRPr="00C832DC">
        <w:t xml:space="preserve">retains the express right to review commercials “to ensure compliance with </w:t>
      </w:r>
      <w:r w:rsidRPr="00C832DC">
        <w:lastRenderedPageBreak/>
        <w:t>relevant government and industry regulations” and “reject any advertising that it determines . . . violates applicable law.”</w:t>
      </w:r>
      <w:r w:rsidRPr="00C832DC">
        <w:rPr>
          <w:rStyle w:val="FootnoteReference"/>
          <w:szCs w:val="22"/>
        </w:rPr>
        <w:footnoteReference w:id="35"/>
      </w:r>
      <w:r w:rsidRPr="00C832DC">
        <w:t xml:space="preserve">  </w:t>
      </w:r>
    </w:p>
    <w:p w:rsidR="00ED0BCC" w:rsidRDefault="00AA7528" w:rsidP="001B3F19">
      <w:pPr>
        <w:pStyle w:val="ParaNum"/>
      </w:pPr>
      <w:r>
        <w:t xml:space="preserve">We </w:t>
      </w:r>
      <w:r w:rsidR="0068273C">
        <w:t>reiterate</w:t>
      </w:r>
      <w:r>
        <w:t xml:space="preserve"> that</w:t>
      </w:r>
      <w:r w:rsidR="00832996" w:rsidRPr="00C832DC">
        <w:t xml:space="preserve"> s</w:t>
      </w:r>
      <w:r w:rsidR="00F51C2A" w:rsidRPr="00C832DC">
        <w:t xml:space="preserve">taff at </w:t>
      </w:r>
      <w:r w:rsidR="00832996" w:rsidRPr="00C832DC">
        <w:t>both</w:t>
      </w:r>
      <w:r w:rsidR="00F51C2A" w:rsidRPr="00C832DC">
        <w:t xml:space="preserve"> Companies reviewed the content of the </w:t>
      </w:r>
      <w:r w:rsidR="00F51C2A" w:rsidRPr="00C832DC">
        <w:rPr>
          <w:i/>
          <w:color w:val="000000"/>
        </w:rPr>
        <w:t>No Surrender Trailer</w:t>
      </w:r>
      <w:r w:rsidR="00F51C2A" w:rsidRPr="00C832DC">
        <w:t xml:space="preserve"> and included it in their programming, which they then distributed to MVPDs </w:t>
      </w:r>
      <w:r w:rsidR="00BF10A7">
        <w:t xml:space="preserve">with the expectation that it would be </w:t>
      </w:r>
      <w:r w:rsidR="00F51C2A" w:rsidRPr="00C832DC">
        <w:t>transmi</w:t>
      </w:r>
      <w:r w:rsidR="00BF10A7">
        <w:t>tted</w:t>
      </w:r>
      <w:r w:rsidR="00F51C2A" w:rsidRPr="00C832DC">
        <w:t xml:space="preserve"> to the public.</w:t>
      </w:r>
      <w:r w:rsidR="00BF10A7">
        <w:rPr>
          <w:rStyle w:val="FootnoteReference"/>
          <w:szCs w:val="22"/>
        </w:rPr>
        <w:footnoteReference w:id="36"/>
      </w:r>
      <w:r w:rsidR="00CE3713">
        <w:t xml:space="preserve">  </w:t>
      </w:r>
      <w:r w:rsidR="006D25BC">
        <w:t>The</w:t>
      </w:r>
      <w:r w:rsidR="00CE3713">
        <w:t xml:space="preserve"> </w:t>
      </w:r>
      <w:r w:rsidR="00CE3713" w:rsidRPr="00FD3AFD">
        <w:rPr>
          <w:color w:val="000000"/>
        </w:rPr>
        <w:t>Compan</w:t>
      </w:r>
      <w:r w:rsidR="006D25BC" w:rsidRPr="00FD3AFD">
        <w:rPr>
          <w:color w:val="000000"/>
        </w:rPr>
        <w:t>ies</w:t>
      </w:r>
      <w:r w:rsidR="006D25BC">
        <w:t xml:space="preserve"> </w:t>
      </w:r>
      <w:r w:rsidR="008B4873">
        <w:t>neither</w:t>
      </w:r>
      <w:r w:rsidR="00CE3713">
        <w:t xml:space="preserve"> denied </w:t>
      </w:r>
      <w:r w:rsidR="008B4873">
        <w:t>n</w:t>
      </w:r>
      <w:r w:rsidR="00CE3713">
        <w:t xml:space="preserve">or refuted </w:t>
      </w:r>
      <w:r>
        <w:t>that this was their</w:t>
      </w:r>
      <w:r w:rsidR="00CE3713">
        <w:t xml:space="preserve"> process</w:t>
      </w:r>
      <w:r>
        <w:t xml:space="preserve">, </w:t>
      </w:r>
      <w:r w:rsidR="0068273C">
        <w:t>n</w:t>
      </w:r>
      <w:r>
        <w:t xml:space="preserve">or </w:t>
      </w:r>
      <w:r w:rsidR="0068273C">
        <w:t xml:space="preserve">do they claim </w:t>
      </w:r>
      <w:r>
        <w:t xml:space="preserve">that the </w:t>
      </w:r>
      <w:r w:rsidRPr="00BA13FA">
        <w:rPr>
          <w:i/>
        </w:rPr>
        <w:t>NAL</w:t>
      </w:r>
      <w:r>
        <w:t xml:space="preserve"> mischaracterized it</w:t>
      </w:r>
      <w:r w:rsidR="00CE3713">
        <w:t>.  Therefore, f</w:t>
      </w:r>
      <w:r w:rsidR="00C00895" w:rsidRPr="00C832DC">
        <w:t xml:space="preserve">or the reasons stated in the </w:t>
      </w:r>
      <w:r w:rsidR="00C00895" w:rsidRPr="00CB4AF9">
        <w:rPr>
          <w:i/>
        </w:rPr>
        <w:t>NAL</w:t>
      </w:r>
      <w:r w:rsidR="00C00895" w:rsidRPr="00C832DC">
        <w:t>,</w:t>
      </w:r>
      <w:r w:rsidR="00F51C2A" w:rsidRPr="00C832DC">
        <w:t xml:space="preserve"> </w:t>
      </w:r>
      <w:r w:rsidR="00C00895" w:rsidRPr="00C832DC">
        <w:t xml:space="preserve">we find that </w:t>
      </w:r>
      <w:r w:rsidR="00F51C2A" w:rsidRPr="00C832DC">
        <w:t>the Companies transmitted or caused the transmission of</w:t>
      </w:r>
      <w:r w:rsidR="00322B20">
        <w:t xml:space="preserve"> the EAS Tones</w:t>
      </w:r>
      <w:r w:rsidR="00F51C2A" w:rsidRPr="00C832DC">
        <w:t xml:space="preserve"> in circumstances prohibited by the rule</w:t>
      </w:r>
      <w:r w:rsidR="00C549A4">
        <w:t>.</w:t>
      </w:r>
      <w:r w:rsidR="00F51C2A" w:rsidRPr="00C832DC">
        <w:t xml:space="preserve">  </w:t>
      </w:r>
      <w:r w:rsidR="000D4BB3" w:rsidRPr="000F3C51">
        <w:t xml:space="preserve"> </w:t>
      </w:r>
      <w:r w:rsidR="0078607B" w:rsidRPr="000F3C51">
        <w:t xml:space="preserve"> </w:t>
      </w:r>
      <w:r w:rsidR="000F3C51" w:rsidRPr="000F3C51">
        <w:t xml:space="preserve"> </w:t>
      </w:r>
    </w:p>
    <w:p w:rsidR="00ED0BCC" w:rsidRDefault="001F2C6D" w:rsidP="002E0D76">
      <w:pPr>
        <w:pStyle w:val="Heading2"/>
      </w:pPr>
      <w:r w:rsidRPr="000F3C51">
        <w:rPr>
          <w:szCs w:val="22"/>
        </w:rPr>
        <w:t>Section</w:t>
      </w:r>
      <w:r w:rsidRPr="001B3766">
        <w:t xml:space="preserve"> 11.45 of the Commission’s Rules and Section 325(a) of the Act </w:t>
      </w:r>
      <w:r w:rsidR="00914013">
        <w:t>Prohibit</w:t>
      </w:r>
      <w:r w:rsidRPr="001B3766">
        <w:t xml:space="preserve"> Misuse of the EAS Tones</w:t>
      </w:r>
      <w:r w:rsidR="000B70D5">
        <w:t xml:space="preserve"> and Do Not Require a Showing that the Material is Deceptive</w:t>
      </w:r>
    </w:p>
    <w:p w:rsidR="00BE1063" w:rsidRPr="00427A4C" w:rsidRDefault="007B0E2B" w:rsidP="00046706">
      <w:pPr>
        <w:pStyle w:val="ParaNum"/>
        <w:widowControl/>
        <w:rPr>
          <w:color w:val="000000"/>
        </w:rPr>
      </w:pPr>
      <w:r>
        <w:t>The Companies</w:t>
      </w:r>
      <w:r w:rsidR="00BE1063">
        <w:t xml:space="preserve"> </w:t>
      </w:r>
      <w:r w:rsidR="001E0FCC">
        <w:t>repeat their prior arguments</w:t>
      </w:r>
      <w:r w:rsidR="00BE1063">
        <w:t xml:space="preserve"> that </w:t>
      </w:r>
      <w:r w:rsidR="001E0FCC">
        <w:t>the EAS Rules pertain only if the material transmitted is “deceptive.”</w:t>
      </w:r>
      <w:r w:rsidR="001E0FCC">
        <w:rPr>
          <w:rStyle w:val="FootnoteReference"/>
          <w:color w:val="1A1A1A"/>
          <w:szCs w:val="22"/>
        </w:rPr>
        <w:footnoteReference w:id="37"/>
      </w:r>
      <w:r w:rsidR="001E0FCC">
        <w:t xml:space="preserve">  We reiterate here our discussion of this argument in the </w:t>
      </w:r>
      <w:r w:rsidR="001E0FCC" w:rsidRPr="00FD3AFD">
        <w:rPr>
          <w:i/>
        </w:rPr>
        <w:t>NAL</w:t>
      </w:r>
      <w:r w:rsidR="001E0FCC">
        <w:t>, and we address the particular assertions made in the NAL Responses on this topic.</w:t>
      </w:r>
      <w:r w:rsidR="001E0FCC">
        <w:rPr>
          <w:rStyle w:val="FootnoteReference"/>
        </w:rPr>
        <w:footnoteReference w:id="38"/>
      </w:r>
      <w:r w:rsidR="001E0FCC">
        <w:t xml:space="preserve">  In particular, </w:t>
      </w:r>
      <w:r w:rsidR="002C124D">
        <w:t xml:space="preserve">Viacom </w:t>
      </w:r>
      <w:r w:rsidR="001E0FCC">
        <w:t>contends</w:t>
      </w:r>
      <w:r w:rsidR="002C124D">
        <w:t xml:space="preserve"> that the </w:t>
      </w:r>
      <w:r w:rsidR="002C124D">
        <w:rPr>
          <w:i/>
        </w:rPr>
        <w:t>No Surrender Trailer</w:t>
      </w:r>
      <w:r w:rsidR="002C124D">
        <w:t xml:space="preserve"> “did not cry wolf . . . </w:t>
      </w:r>
      <w:r w:rsidR="00D44FE5" w:rsidRPr="00D44FE5">
        <w:t xml:space="preserve">.  It </w:t>
      </w:r>
      <w:r w:rsidR="002C124D">
        <w:t>simply advertised a movie portraying a fictional attack on the White House . . . .  [T]here was no public outcry or reasonable public fear or confusion . . . .”</w:t>
      </w:r>
      <w:r w:rsidR="002C124D">
        <w:rPr>
          <w:rStyle w:val="FootnoteReference"/>
        </w:rPr>
        <w:footnoteReference w:id="39"/>
      </w:r>
      <w:r w:rsidR="002C124D">
        <w:t xml:space="preserve">  ESPN states that the </w:t>
      </w:r>
      <w:r w:rsidR="002C124D">
        <w:rPr>
          <w:i/>
        </w:rPr>
        <w:t>No Surrender Trailer</w:t>
      </w:r>
      <w:r w:rsidR="002C124D">
        <w:t xml:space="preserve"> “created no such ‘misimpression’ of an actual emergency.  To the contrary, the context and content of the spot clearly and immediately conveyed to ESPN’s audience that this was a commercial advertisement for a motion picture, not a genuine alert.”</w:t>
      </w:r>
      <w:r w:rsidR="002C124D">
        <w:rPr>
          <w:rStyle w:val="FootnoteReference"/>
        </w:rPr>
        <w:footnoteReference w:id="40"/>
      </w:r>
      <w:r w:rsidR="00740972">
        <w:t xml:space="preserve"> </w:t>
      </w:r>
      <w:r w:rsidR="00E9397A">
        <w:t xml:space="preserve"> </w:t>
      </w:r>
      <w:r w:rsidR="008B4873">
        <w:t xml:space="preserve">The Companies </w:t>
      </w:r>
      <w:r w:rsidR="00D308BB">
        <w:t>argue</w:t>
      </w:r>
      <w:r w:rsidR="00A843FC">
        <w:t xml:space="preserve"> that </w:t>
      </w:r>
      <w:r w:rsidR="00D308BB">
        <w:t xml:space="preserve">because </w:t>
      </w:r>
      <w:r w:rsidR="00BE1063" w:rsidRPr="00427A4C">
        <w:rPr>
          <w:spacing w:val="-2"/>
        </w:rPr>
        <w:t xml:space="preserve">Section 11.45 derives from Section 325 of the Act, which proscribes the transmission of false or fraudulent distress signals, </w:t>
      </w:r>
      <w:r w:rsidR="00D308BB" w:rsidRPr="00427A4C">
        <w:rPr>
          <w:spacing w:val="-2"/>
        </w:rPr>
        <w:t>liability under the rule must be limited to de</w:t>
      </w:r>
      <w:r w:rsidR="00BE1063" w:rsidRPr="00427A4C">
        <w:rPr>
          <w:spacing w:val="-2"/>
        </w:rPr>
        <w:t>ceptive</w:t>
      </w:r>
      <w:r w:rsidR="00D308BB" w:rsidRPr="00427A4C">
        <w:rPr>
          <w:spacing w:val="-2"/>
        </w:rPr>
        <w:t xml:space="preserve"> use of</w:t>
      </w:r>
      <w:r w:rsidR="00BE1063" w:rsidRPr="00427A4C">
        <w:rPr>
          <w:spacing w:val="-2"/>
        </w:rPr>
        <w:t xml:space="preserve"> EAS Tones, </w:t>
      </w:r>
      <w:r w:rsidR="00D308BB" w:rsidRPr="00427A4C">
        <w:rPr>
          <w:spacing w:val="-2"/>
        </w:rPr>
        <w:t>and not for those</w:t>
      </w:r>
      <w:r w:rsidR="00BE1063" w:rsidRPr="00427A4C">
        <w:rPr>
          <w:spacing w:val="-2"/>
        </w:rPr>
        <w:t xml:space="preserve"> embedded in the trailer.</w:t>
      </w:r>
      <w:r w:rsidR="00BE1063">
        <w:rPr>
          <w:rStyle w:val="FootnoteReference"/>
          <w:spacing w:val="-2"/>
          <w:szCs w:val="22"/>
        </w:rPr>
        <w:footnoteReference w:id="41"/>
      </w:r>
      <w:r w:rsidR="00BE1063" w:rsidRPr="00427A4C">
        <w:rPr>
          <w:spacing w:val="-2"/>
        </w:rPr>
        <w:t xml:space="preserve">  </w:t>
      </w:r>
      <w:r w:rsidR="00FD0A04">
        <w:t>With respect</w:t>
      </w:r>
      <w:r w:rsidR="00FD0A04" w:rsidRPr="00FD3AFD">
        <w:t xml:space="preserve"> to Section </w:t>
      </w:r>
      <w:r w:rsidR="00FD0A04">
        <w:t>325(</w:t>
      </w:r>
      <w:r w:rsidR="00FD0A04" w:rsidRPr="00FD3AFD">
        <w:t>a</w:t>
      </w:r>
      <w:r w:rsidR="00FD0A04">
        <w:t xml:space="preserve">), Viacom </w:t>
      </w:r>
      <w:r w:rsidR="00FF2AE8">
        <w:t xml:space="preserve">similarly </w:t>
      </w:r>
      <w:r w:rsidR="00FD0A04">
        <w:t>contends that liability under Section 325(</w:t>
      </w:r>
      <w:r w:rsidR="00FD0A04" w:rsidRPr="00FD3AFD">
        <w:t>a</w:t>
      </w:r>
      <w:r w:rsidR="00FD0A04">
        <w:t>) is “limited to false</w:t>
      </w:r>
      <w:r w:rsidR="00FD0A04" w:rsidRPr="00FD3AFD">
        <w:t xml:space="preserve"> or </w:t>
      </w:r>
      <w:r w:rsidR="00FD0A04">
        <w:t>fraudulent signals . . . [and] simply does not reach the [</w:t>
      </w:r>
      <w:r w:rsidR="00FD0A04">
        <w:rPr>
          <w:i/>
        </w:rPr>
        <w:t>No Surrender Trailer</w:t>
      </w:r>
      <w:r w:rsidR="00FD0A04">
        <w:t xml:space="preserve">],” and that the </w:t>
      </w:r>
      <w:r w:rsidR="00FD0A04">
        <w:rPr>
          <w:i/>
        </w:rPr>
        <w:t>No Surrender Trailer</w:t>
      </w:r>
      <w:r w:rsidR="00FD0A04">
        <w:t xml:space="preserve"> was “nothing more than a commercial for a movie, not a false or fraudulent distress signal.”</w:t>
      </w:r>
      <w:r w:rsidR="00FD0A04">
        <w:rPr>
          <w:rStyle w:val="FootnoteReference"/>
        </w:rPr>
        <w:footnoteReference w:id="42"/>
      </w:r>
      <w:r w:rsidR="00FD0A04">
        <w:t xml:space="preserve"> </w:t>
      </w:r>
      <w:r w:rsidR="00BE1063" w:rsidRPr="00427A4C">
        <w:rPr>
          <w:spacing w:val="-2"/>
        </w:rPr>
        <w:t xml:space="preserve">  </w:t>
      </w:r>
    </w:p>
    <w:p w:rsidR="00BE1063" w:rsidRPr="00BE1063" w:rsidRDefault="0063555D" w:rsidP="001B3F19">
      <w:pPr>
        <w:pStyle w:val="ParaNum"/>
      </w:pPr>
      <w:r>
        <w:t>We reject</w:t>
      </w:r>
      <w:r w:rsidR="007B0E2B">
        <w:t xml:space="preserve"> t</w:t>
      </w:r>
      <w:r w:rsidR="00BE1063" w:rsidRPr="007B0E2B">
        <w:t>hese</w:t>
      </w:r>
      <w:r w:rsidR="00BE1063" w:rsidRPr="00BE1063">
        <w:t xml:space="preserve"> arguments </w:t>
      </w:r>
      <w:r>
        <w:t xml:space="preserve">for the reasons stated in the </w:t>
      </w:r>
      <w:r w:rsidRPr="00427A4C">
        <w:rPr>
          <w:i/>
        </w:rPr>
        <w:t>NAL</w:t>
      </w:r>
      <w:r>
        <w:t>.</w:t>
      </w:r>
      <w:r w:rsidR="0062453D">
        <w:rPr>
          <w:rStyle w:val="FootnoteReference"/>
        </w:rPr>
        <w:footnoteReference w:id="43"/>
      </w:r>
      <w:r w:rsidR="00D308BB">
        <w:t xml:space="preserve">  </w:t>
      </w:r>
      <w:r w:rsidR="00DF164F">
        <w:t>T</w:t>
      </w:r>
      <w:r w:rsidR="00BE1063" w:rsidRPr="00BE1063">
        <w:t>he plain language of the rule prohibit</w:t>
      </w:r>
      <w:r w:rsidR="00D308BB">
        <w:t>s</w:t>
      </w:r>
      <w:r w:rsidR="00BE1063" w:rsidRPr="00BE1063">
        <w:t xml:space="preserve"> </w:t>
      </w:r>
      <w:r w:rsidR="00BE1063" w:rsidRPr="00427A4C">
        <w:rPr>
          <w:i/>
        </w:rPr>
        <w:t>any</w:t>
      </w:r>
      <w:r w:rsidR="00BE1063" w:rsidRPr="00BE1063">
        <w:t xml:space="preserve"> transmission of </w:t>
      </w:r>
      <w:r w:rsidR="00322B20">
        <w:t xml:space="preserve">the EAS Tones </w:t>
      </w:r>
      <w:r w:rsidR="00BE1063" w:rsidRPr="00BE1063">
        <w:t>in the absence of an actual emergency or authorized test</w:t>
      </w:r>
      <w:r w:rsidR="00D308BB">
        <w:t>, and the Companies have cited no authority holding otherwise</w:t>
      </w:r>
      <w:r w:rsidR="00BE1063" w:rsidRPr="00BE1063">
        <w:t>.</w:t>
      </w:r>
      <w:r w:rsidR="00BE1063" w:rsidRPr="00BE1063">
        <w:rPr>
          <w:rStyle w:val="FootnoteReference"/>
          <w:color w:val="000000"/>
          <w:szCs w:val="22"/>
        </w:rPr>
        <w:footnoteReference w:id="44"/>
      </w:r>
      <w:r w:rsidR="00BE1063" w:rsidRPr="00BE1063">
        <w:t xml:space="preserve">  </w:t>
      </w:r>
      <w:r w:rsidR="00D308BB">
        <w:t xml:space="preserve">Moreover, </w:t>
      </w:r>
      <w:r w:rsidR="00CC3A26">
        <w:t>Section 11.45 contains no provision</w:t>
      </w:r>
      <w:r w:rsidR="00BE1063" w:rsidRPr="00BE1063">
        <w:t xml:space="preserve"> </w:t>
      </w:r>
      <w:r w:rsidR="00730651">
        <w:t>limiting</w:t>
      </w:r>
      <w:r w:rsidR="00CC3A26">
        <w:t xml:space="preserve"> </w:t>
      </w:r>
      <w:r w:rsidR="00730651">
        <w:t>liability under the rule to cases where i</w:t>
      </w:r>
      <w:r w:rsidR="00BE1063" w:rsidRPr="00BE1063">
        <w:t>ntent to deceive</w:t>
      </w:r>
      <w:r w:rsidR="00730651">
        <w:t xml:space="preserve"> exist</w:t>
      </w:r>
      <w:r w:rsidR="00740972">
        <w:t>s</w:t>
      </w:r>
      <w:r w:rsidR="00BE1063" w:rsidRPr="00BE1063">
        <w:t>, nor do</w:t>
      </w:r>
      <w:r w:rsidR="00730651">
        <w:t xml:space="preserve">es the rule </w:t>
      </w:r>
      <w:r w:rsidR="00914013">
        <w:t>make exceptions</w:t>
      </w:r>
      <w:r w:rsidR="00CC3A26">
        <w:t xml:space="preserve"> </w:t>
      </w:r>
      <w:r w:rsidR="00914013">
        <w:t>for, or</w:t>
      </w:r>
      <w:r w:rsidR="00CC3A26">
        <w:t xml:space="preserve"> </w:t>
      </w:r>
      <w:r w:rsidR="00730651">
        <w:t>protect</w:t>
      </w:r>
      <w:r w:rsidR="00914013">
        <w:t>,</w:t>
      </w:r>
      <w:r w:rsidR="00BE1063" w:rsidRPr="00BE1063">
        <w:t xml:space="preserve"> </w:t>
      </w:r>
      <w:r w:rsidR="00730651">
        <w:t xml:space="preserve">“dramatic” </w:t>
      </w:r>
      <w:r w:rsidR="00BE1063" w:rsidRPr="00BE1063">
        <w:t>uses</w:t>
      </w:r>
      <w:r w:rsidR="009C3A8B">
        <w:t xml:space="preserve"> of the EAS Tones</w:t>
      </w:r>
      <w:r w:rsidR="00CC3A26">
        <w:t>.  Instead, the</w:t>
      </w:r>
      <w:r w:rsidR="00BE1063" w:rsidRPr="00BE1063">
        <w:t xml:space="preserve"> rule provides that </w:t>
      </w:r>
      <w:r w:rsidR="00730651">
        <w:t xml:space="preserve">the </w:t>
      </w:r>
      <w:r w:rsidR="00BE1063" w:rsidRPr="00BE1063">
        <w:t xml:space="preserve">transmission of </w:t>
      </w:r>
      <w:r w:rsidR="00CC3A26">
        <w:t>the</w:t>
      </w:r>
      <w:r w:rsidR="00BE1063" w:rsidRPr="00BE1063">
        <w:t xml:space="preserve"> </w:t>
      </w:r>
      <w:r w:rsidR="0062453D">
        <w:t xml:space="preserve">EAS Tones </w:t>
      </w:r>
      <w:r w:rsidR="00CC3A26">
        <w:t xml:space="preserve">is </w:t>
      </w:r>
      <w:r w:rsidR="00BE1063" w:rsidRPr="00BE1063">
        <w:t>prohibited in “any circumstance” except when an actual emergency or authorized test warrants their use.</w:t>
      </w:r>
      <w:r w:rsidR="00F102B9">
        <w:rPr>
          <w:rStyle w:val="FootnoteReference"/>
        </w:rPr>
        <w:footnoteReference w:id="45"/>
      </w:r>
      <w:r w:rsidR="00BE1063" w:rsidRPr="00BE1063">
        <w:t xml:space="preserve">  Moreover, </w:t>
      </w:r>
      <w:r w:rsidR="00427A4C">
        <w:t>for the reasons set forth in the</w:t>
      </w:r>
      <w:r w:rsidR="00427A4C" w:rsidRPr="00427A4C">
        <w:rPr>
          <w:i/>
        </w:rPr>
        <w:t xml:space="preserve"> NAL</w:t>
      </w:r>
      <w:r w:rsidR="00427A4C">
        <w:t xml:space="preserve">, </w:t>
      </w:r>
      <w:r w:rsidR="00730651">
        <w:t xml:space="preserve">we give no weight to </w:t>
      </w:r>
      <w:r w:rsidR="00BE1063" w:rsidRPr="00BE1063">
        <w:t>Viacom’s suggestion that decep</w:t>
      </w:r>
      <w:r w:rsidR="00427A4C">
        <w:t>tion</w:t>
      </w:r>
      <w:r w:rsidR="00BE1063" w:rsidRPr="00BE1063">
        <w:t xml:space="preserve"> is a necessary </w:t>
      </w:r>
      <w:r w:rsidR="00427A4C">
        <w:t>element for enforcement of either</w:t>
      </w:r>
      <w:r w:rsidR="00BE1063" w:rsidRPr="00BE1063">
        <w:t xml:space="preserve"> Section 325(a) </w:t>
      </w:r>
      <w:r w:rsidR="00427A4C">
        <w:t>or</w:t>
      </w:r>
      <w:r w:rsidR="00BE1063" w:rsidRPr="00BE1063">
        <w:t xml:space="preserve"> Section 11.</w:t>
      </w:r>
      <w:r w:rsidR="003E57B5">
        <w:t>45</w:t>
      </w:r>
      <w:r w:rsidR="00427A4C">
        <w:t>.</w:t>
      </w:r>
      <w:r w:rsidR="00BE1063">
        <w:rPr>
          <w:rStyle w:val="FootnoteReference"/>
          <w:szCs w:val="22"/>
        </w:rPr>
        <w:footnoteReference w:id="46"/>
      </w:r>
      <w:r w:rsidR="00BE1063">
        <w:t xml:space="preserve">  </w:t>
      </w:r>
      <w:r w:rsidR="00BE1063" w:rsidRPr="00BE1063">
        <w:t xml:space="preserve">Therefore, it is not necessary to demonstrate that the Companies’ use of the EAS Tones was </w:t>
      </w:r>
      <w:r w:rsidR="00177281">
        <w:t xml:space="preserve">intended to deceive or </w:t>
      </w:r>
      <w:r w:rsidR="00262B59">
        <w:t xml:space="preserve">resulted in </w:t>
      </w:r>
      <w:r w:rsidR="00177281">
        <w:t xml:space="preserve">actual </w:t>
      </w:r>
      <w:r w:rsidR="00BE1063" w:rsidRPr="00BE1063">
        <w:t>decepti</w:t>
      </w:r>
      <w:r w:rsidR="00262B59">
        <w:t>on, because</w:t>
      </w:r>
      <w:r w:rsidR="00BE1063" w:rsidRPr="00BE1063">
        <w:t xml:space="preserve"> it is sufficient </w:t>
      </w:r>
      <w:r w:rsidR="00427A4C">
        <w:t xml:space="preserve">to demonstrate </w:t>
      </w:r>
      <w:r w:rsidR="00BE1063" w:rsidRPr="00BE1063">
        <w:t>that they transmitted or caused the transmission of the EAS Tones, when, as the Companies admit, there was no actual emergency or authorized test.</w:t>
      </w:r>
      <w:r w:rsidR="00BE1063" w:rsidRPr="00BE1063">
        <w:rPr>
          <w:rStyle w:val="FootnoteReference"/>
          <w:color w:val="000000"/>
          <w:szCs w:val="22"/>
        </w:rPr>
        <w:footnoteReference w:id="47"/>
      </w:r>
      <w:r w:rsidR="00BE1063" w:rsidRPr="00BE1063">
        <w:t xml:space="preserve">  </w:t>
      </w:r>
      <w:r w:rsidR="00DF164F">
        <w:t xml:space="preserve">In addition, as noted in the </w:t>
      </w:r>
      <w:r w:rsidR="00DF164F">
        <w:rPr>
          <w:i/>
        </w:rPr>
        <w:t>NAL</w:t>
      </w:r>
      <w:r w:rsidR="00DF164F" w:rsidRPr="00BE1063">
        <w:t xml:space="preserve">, </w:t>
      </w:r>
      <w:r w:rsidR="00DF164F">
        <w:t xml:space="preserve">the record belies the Companies’ claims.  In this case, </w:t>
      </w:r>
      <w:r w:rsidR="00DF164F" w:rsidRPr="00BE1063">
        <w:t xml:space="preserve">viewers </w:t>
      </w:r>
      <w:r w:rsidR="00DF164F" w:rsidRPr="00BE1063">
        <w:rPr>
          <w:i/>
        </w:rPr>
        <w:t>were</w:t>
      </w:r>
      <w:r w:rsidR="00DF164F" w:rsidRPr="00BE1063">
        <w:t xml:space="preserve"> </w:t>
      </w:r>
      <w:r w:rsidR="00DF164F">
        <w:t>confused and thus harmed because they</w:t>
      </w:r>
      <w:r w:rsidR="00DF164F" w:rsidRPr="00BE1063">
        <w:t xml:space="preserve"> associate</w:t>
      </w:r>
      <w:r w:rsidR="00DF164F">
        <w:t xml:space="preserve">d the tones </w:t>
      </w:r>
      <w:r w:rsidR="0062453D">
        <w:t xml:space="preserve">in the </w:t>
      </w:r>
      <w:r w:rsidR="0062453D">
        <w:rPr>
          <w:i/>
        </w:rPr>
        <w:t xml:space="preserve">No Surrender Trailer </w:t>
      </w:r>
      <w:r w:rsidR="00DF164F">
        <w:t xml:space="preserve">with </w:t>
      </w:r>
      <w:r w:rsidR="00DF164F" w:rsidRPr="00BE1063">
        <w:t>emergencies</w:t>
      </w:r>
      <w:r w:rsidR="00DF164F">
        <w:t xml:space="preserve"> that did not exist</w:t>
      </w:r>
      <w:r w:rsidR="00DF164F" w:rsidRPr="00BE1063">
        <w:t>.</w:t>
      </w:r>
      <w:r w:rsidR="00DF164F" w:rsidRPr="00BE1063">
        <w:rPr>
          <w:rStyle w:val="FootnoteReference"/>
          <w:color w:val="000000"/>
          <w:szCs w:val="22"/>
        </w:rPr>
        <w:footnoteReference w:id="48"/>
      </w:r>
      <w:r w:rsidR="00DF164F">
        <w:t xml:space="preserve">  </w:t>
      </w:r>
    </w:p>
    <w:p w:rsidR="00884BDD" w:rsidRDefault="00FB1B34" w:rsidP="001B3F19">
      <w:pPr>
        <w:pStyle w:val="ParaNum"/>
      </w:pPr>
      <w:r>
        <w:t>Even if we were to accept the Companies’ revision of Section 11.45 to require deception,</w:t>
      </w:r>
      <w:r w:rsidR="00E81441">
        <w:t xml:space="preserve"> which we do not,</w:t>
      </w:r>
      <w:r>
        <w:t xml:space="preserve"> we emphasize that transmission of the EAS Tones in a commercial advertisement is inherently deceptive and potentially harmful.  </w:t>
      </w:r>
      <w:r w:rsidR="00FF2AE8">
        <w:t xml:space="preserve">A commercial advertisement is, by its nature, program material designed to promote a product or service, not a </w:t>
      </w:r>
      <w:r w:rsidR="00FF2AE8" w:rsidRPr="009C4D71">
        <w:rPr>
          <w:i/>
        </w:rPr>
        <w:t>bona fide</w:t>
      </w:r>
      <w:r w:rsidR="00FF2AE8">
        <w:t xml:space="preserve"> alert of an emergency situation or authorized test of the EAS system.  </w:t>
      </w:r>
      <w:r>
        <w:t xml:space="preserve">This misuse can cause the public to believe there is an emergency when there is none.  This harm is not remedied by arguing that the listener or viewer should quickly realize that he or she has been fooled into paying attention to a mere commercial message.  </w:t>
      </w:r>
      <w:r w:rsidR="00165D04">
        <w:t>On</w:t>
      </w:r>
      <w:r>
        <w:t xml:space="preserve"> the contrary, encouraging the perception that the EAS Tones may signal anything other an actual emergency or test </w:t>
      </w:r>
      <w:r w:rsidR="00E81441">
        <w:t>harms the integrity of the EAS in exactly the way Section 11.45 was designed to prevent.</w:t>
      </w:r>
      <w:r w:rsidR="00E81441">
        <w:rPr>
          <w:rStyle w:val="FootnoteReference"/>
        </w:rPr>
        <w:footnoteReference w:id="49"/>
      </w:r>
      <w:r w:rsidR="00884BDD">
        <w:t xml:space="preserve">  </w:t>
      </w:r>
    </w:p>
    <w:p w:rsidR="005D4308" w:rsidRDefault="00884BDD" w:rsidP="00046706">
      <w:pPr>
        <w:pStyle w:val="ParaNum"/>
        <w:widowControl/>
      </w:pPr>
      <w:r>
        <w:t xml:space="preserve">A similar argument applies to </w:t>
      </w:r>
      <w:r w:rsidR="005860AF">
        <w:t xml:space="preserve">the </w:t>
      </w:r>
      <w:r>
        <w:t xml:space="preserve">violations of Section 325(a).  As explained in the </w:t>
      </w:r>
      <w:r w:rsidRPr="004C0DAF">
        <w:rPr>
          <w:i/>
        </w:rPr>
        <w:t>NAL</w:t>
      </w:r>
      <w:r>
        <w:t xml:space="preserve">, the use of EAS Tones, whose sole purpose is to alert the public to emergency situations, in a non-emergency context, is by its nature false and constitutes a violation of Section 325(a), which prohibits false </w:t>
      </w:r>
      <w:r w:rsidRPr="005473AD">
        <w:rPr>
          <w:i/>
        </w:rPr>
        <w:t>or</w:t>
      </w:r>
      <w:r>
        <w:t xml:space="preserve"> fraudulent signals of distress.</w:t>
      </w:r>
      <w:r>
        <w:rPr>
          <w:rStyle w:val="FootnoteReference"/>
        </w:rPr>
        <w:footnoteReference w:id="50"/>
      </w:r>
      <w:r>
        <w:t xml:space="preserve">  </w:t>
      </w:r>
      <w:r w:rsidRPr="005473AD">
        <w:rPr>
          <w:color w:val="000000"/>
          <w:szCs w:val="22"/>
        </w:rPr>
        <w:t xml:space="preserve">As stated in the </w:t>
      </w:r>
      <w:r w:rsidRPr="005473AD">
        <w:rPr>
          <w:i/>
          <w:color w:val="000000"/>
          <w:szCs w:val="22"/>
        </w:rPr>
        <w:t>NAL</w:t>
      </w:r>
      <w:r w:rsidRPr="005473AD">
        <w:rPr>
          <w:color w:val="000000"/>
          <w:szCs w:val="22"/>
        </w:rPr>
        <w:t xml:space="preserve">, </w:t>
      </w:r>
      <w:r>
        <w:t>the disjunctive description of “false or fraudulent” establishes that false use, even where it is arguably not fraudulent or deceptive in nature, is sufficient to trigger a violation</w:t>
      </w:r>
      <w:r w:rsidR="00165D04">
        <w:t>,</w:t>
      </w:r>
      <w:r>
        <w:t xml:space="preserve"> and the Commission has so interpreted Section 325(a).</w:t>
      </w:r>
      <w:r>
        <w:rPr>
          <w:rStyle w:val="FootnoteReference"/>
        </w:rPr>
        <w:footnoteReference w:id="51"/>
      </w:r>
      <w:r w:rsidR="005860AF">
        <w:t xml:space="preserve"> </w:t>
      </w:r>
      <w:r w:rsidR="0099266D">
        <w:t xml:space="preserve"> </w:t>
      </w:r>
      <w:r w:rsidR="000B70D5">
        <w:t xml:space="preserve">Moreover, as noted </w:t>
      </w:r>
      <w:r w:rsidR="00DF164F">
        <w:t xml:space="preserve">above, we reiterate that </w:t>
      </w:r>
      <w:r w:rsidR="000B70D5" w:rsidRPr="00BE1063">
        <w:t xml:space="preserve">viewers </w:t>
      </w:r>
      <w:r w:rsidR="000B70D5" w:rsidRPr="00BE1063">
        <w:rPr>
          <w:i/>
        </w:rPr>
        <w:t>were</w:t>
      </w:r>
      <w:r w:rsidR="000B70D5" w:rsidRPr="00BE1063">
        <w:t xml:space="preserve"> </w:t>
      </w:r>
      <w:r w:rsidR="000B70D5">
        <w:t>confused and thus harmed because they</w:t>
      </w:r>
      <w:r w:rsidR="000B70D5" w:rsidRPr="00BE1063">
        <w:t xml:space="preserve"> associate</w:t>
      </w:r>
      <w:r w:rsidR="000B70D5">
        <w:t xml:space="preserve">d the tones with </w:t>
      </w:r>
      <w:r w:rsidR="000B70D5" w:rsidRPr="00BE1063">
        <w:t>emergencies</w:t>
      </w:r>
      <w:r w:rsidR="000B70D5">
        <w:t xml:space="preserve"> that did not exist</w:t>
      </w:r>
      <w:r w:rsidR="000B70D5" w:rsidRPr="00BE1063">
        <w:t>.</w:t>
      </w:r>
      <w:r w:rsidR="000B70D5" w:rsidRPr="00BE1063">
        <w:rPr>
          <w:rStyle w:val="FootnoteReference"/>
          <w:color w:val="000000"/>
          <w:szCs w:val="22"/>
        </w:rPr>
        <w:footnoteReference w:id="52"/>
      </w:r>
      <w:r w:rsidR="000B70D5">
        <w:t xml:space="preserve"> </w:t>
      </w:r>
      <w:r w:rsidR="0099266D">
        <w:t xml:space="preserve"> </w:t>
      </w:r>
      <w:r>
        <w:t xml:space="preserve">We </w:t>
      </w:r>
      <w:r w:rsidR="00DF164F">
        <w:t xml:space="preserve">further emphasize </w:t>
      </w:r>
      <w:r>
        <w:t>that preserving the integrity of the EAS system has been, and continues to be, of paramount importance, and that it is imperative that the public not be desensitized to the serious implications of the transmission of th</w:t>
      </w:r>
      <w:r w:rsidR="00322B20">
        <w:t>e EAS Tones</w:t>
      </w:r>
      <w:r>
        <w:t>.</w:t>
      </w:r>
      <w:r>
        <w:rPr>
          <w:rStyle w:val="FootnoteReference"/>
        </w:rPr>
        <w:footnoteReference w:id="53"/>
      </w:r>
    </w:p>
    <w:p w:rsidR="00B5188B" w:rsidRDefault="00BE22D8" w:rsidP="002E0D76">
      <w:pPr>
        <w:pStyle w:val="Heading2"/>
      </w:pPr>
      <w:r>
        <w:t xml:space="preserve">The Companies </w:t>
      </w:r>
      <w:r w:rsidR="00FF2AE8">
        <w:t xml:space="preserve">Willfully </w:t>
      </w:r>
      <w:r>
        <w:t xml:space="preserve">Violated </w:t>
      </w:r>
      <w:r w:rsidR="00B5188B" w:rsidRPr="00BA13FA">
        <w:t xml:space="preserve">Section 325 of the Act </w:t>
      </w:r>
      <w:r>
        <w:t>and</w:t>
      </w:r>
      <w:r w:rsidR="00B5188B" w:rsidRPr="00BA13FA">
        <w:t xml:space="preserve"> Section 11.45 </w:t>
      </w:r>
      <w:r w:rsidR="00486D3A">
        <w:t>of</w:t>
      </w:r>
      <w:r w:rsidR="00B5188B" w:rsidRPr="00BA13FA">
        <w:t xml:space="preserve"> the </w:t>
      </w:r>
      <w:r w:rsidR="003E57B5">
        <w:t xml:space="preserve">Commission’s </w:t>
      </w:r>
      <w:r w:rsidR="00B5188B" w:rsidRPr="00BA13FA">
        <w:t>R</w:t>
      </w:r>
      <w:r>
        <w:t>ules</w:t>
      </w:r>
      <w:r w:rsidR="00B5188B" w:rsidRPr="00BA13FA">
        <w:t xml:space="preserve"> </w:t>
      </w:r>
    </w:p>
    <w:p w:rsidR="00DF164F" w:rsidRDefault="000D222D" w:rsidP="00046706">
      <w:pPr>
        <w:pStyle w:val="ParaNum"/>
        <w:widowControl/>
      </w:pPr>
      <w:r w:rsidRPr="00DD792B">
        <w:t>Via</w:t>
      </w:r>
      <w:r w:rsidRPr="00C65EB5">
        <w:t xml:space="preserve">com argues that it could not have violated Section 325 of the Act </w:t>
      </w:r>
      <w:r w:rsidR="003E57B5">
        <w:t>or Section 11.45 of the Commission’s r</w:t>
      </w:r>
      <w:r w:rsidRPr="00C65EB5">
        <w:t>ules because it lacked the necessary scienter to do so.</w:t>
      </w:r>
      <w:r>
        <w:rPr>
          <w:rStyle w:val="FootnoteReference"/>
          <w:szCs w:val="22"/>
        </w:rPr>
        <w:footnoteReference w:id="54"/>
      </w:r>
      <w:r w:rsidRPr="00C65EB5">
        <w:t xml:space="preserve">  In support, it asserts that it did not intend to v</w:t>
      </w:r>
      <w:r w:rsidR="003E57B5">
        <w:t xml:space="preserve">iolate Section 11.45 </w:t>
      </w:r>
      <w:r w:rsidRPr="00C65EB5">
        <w:t>and, furthermore, “the Rule was not on the compliance radar of any of the Program Providers.”</w:t>
      </w:r>
      <w:r>
        <w:rPr>
          <w:rStyle w:val="FootnoteReference"/>
          <w:szCs w:val="22"/>
        </w:rPr>
        <w:footnoteReference w:id="55"/>
      </w:r>
      <w:r w:rsidRPr="00C65EB5">
        <w:t xml:space="preserve">  Viacom, however, misconstrues the applicable standards.  </w:t>
      </w:r>
      <w:r w:rsidR="00434F93" w:rsidRPr="00C65EB5">
        <w:t xml:space="preserve">As clearly stated in the </w:t>
      </w:r>
      <w:r w:rsidR="00434F93" w:rsidRPr="00FD3AFD">
        <w:rPr>
          <w:i/>
        </w:rPr>
        <w:t>NAL</w:t>
      </w:r>
      <w:r w:rsidR="00434F93" w:rsidRPr="00C65EB5">
        <w:t xml:space="preserve">, </w:t>
      </w:r>
      <w:r w:rsidR="00434F93" w:rsidRPr="00C442F2">
        <w:t>Section 503(b)</w:t>
      </w:r>
      <w:r w:rsidR="00434F93">
        <w:t>(1)(B)</w:t>
      </w:r>
      <w:r w:rsidR="00434F93" w:rsidRPr="00C442F2">
        <w:t xml:space="preserve"> of the Act authorizes the Commission to impose a forfeiture penalty on any person who willfully fails to comply with any p</w:t>
      </w:r>
      <w:r w:rsidR="00D85FB7">
        <w:t>rovisions of the Act or of any r</w:t>
      </w:r>
      <w:r w:rsidR="00434F93" w:rsidRPr="00C442F2">
        <w:t>ule, regulation or Comm</w:t>
      </w:r>
      <w:r w:rsidR="00434F93">
        <w:t>ission order.</w:t>
      </w:r>
      <w:r w:rsidR="00434F93">
        <w:rPr>
          <w:rStyle w:val="FootnoteReference"/>
        </w:rPr>
        <w:footnoteReference w:id="56"/>
      </w:r>
      <w:r w:rsidR="00434F93">
        <w:t xml:space="preserve">  Section 312(f)</w:t>
      </w:r>
      <w:r w:rsidR="00434F93" w:rsidRPr="00C442F2">
        <w:t>(1) of the Act defines “willful” as the “conscious and deliberate commission or omission of [any] act, irrespective of an</w:t>
      </w:r>
      <w:r w:rsidR="00434F93">
        <w:t>y intent to violate” the law.</w:t>
      </w:r>
      <w:r w:rsidR="00D85FB7">
        <w:rPr>
          <w:rStyle w:val="FootnoteReference"/>
        </w:rPr>
        <w:footnoteReference w:id="57"/>
      </w:r>
      <w:r w:rsidR="00434F93">
        <w:t xml:space="preserve">  </w:t>
      </w:r>
      <w:r w:rsidR="00434F93" w:rsidRPr="00C442F2">
        <w:t>The legislative history to Section 312(f)(1) of the Act clarifies that this definition of willful applies to both Sections 312 and 503(b) of the Act,</w:t>
      </w:r>
      <w:r w:rsidR="00434F93">
        <w:rPr>
          <w:rStyle w:val="FootnoteReference"/>
        </w:rPr>
        <w:footnoteReference w:id="58"/>
      </w:r>
      <w:r w:rsidR="00434F93" w:rsidRPr="00C442F2">
        <w:t xml:space="preserve"> and the Commission has so interpreted the term i</w:t>
      </w:r>
      <w:r w:rsidR="00434F93">
        <w:t>n the Section 503(b) context.</w:t>
      </w:r>
      <w:r w:rsidR="00434F93">
        <w:rPr>
          <w:rStyle w:val="FootnoteReference"/>
        </w:rPr>
        <w:footnoteReference w:id="59"/>
      </w:r>
      <w:r w:rsidR="00C65EB5">
        <w:t xml:space="preserve">  As such, Viacom’s assertion that it did not intend to violate the law is unavailing.</w:t>
      </w:r>
      <w:r w:rsidR="005C605C">
        <w:rPr>
          <w:rStyle w:val="FootnoteReference"/>
        </w:rPr>
        <w:footnoteReference w:id="60"/>
      </w:r>
      <w:r w:rsidR="00C65EB5">
        <w:t xml:space="preserve">  </w:t>
      </w:r>
    </w:p>
    <w:p w:rsidR="00DF164F" w:rsidRPr="00BE22D8" w:rsidRDefault="00C65EB5" w:rsidP="001B3F19">
      <w:pPr>
        <w:pStyle w:val="ParaNum"/>
      </w:pPr>
      <w:r>
        <w:t xml:space="preserve">Viacom’s further assertion that </w:t>
      </w:r>
      <w:r w:rsidRPr="00C65EB5">
        <w:rPr>
          <w:color w:val="000000"/>
        </w:rPr>
        <w:t>the EAS Rules were not on its internal compliance checklist is</w:t>
      </w:r>
      <w:r>
        <w:rPr>
          <w:color w:val="000000"/>
        </w:rPr>
        <w:t xml:space="preserve"> likewise</w:t>
      </w:r>
      <w:r w:rsidRPr="00C65EB5">
        <w:rPr>
          <w:color w:val="000000"/>
        </w:rPr>
        <w:t xml:space="preserve"> unavailing as </w:t>
      </w:r>
      <w:r w:rsidRPr="00BF7CFE">
        <w:t>the Commission has consistently held that ignorance or mistake of law are not exculpating or mitigating</w:t>
      </w:r>
      <w:r w:rsidR="00D85FB7">
        <w:t xml:space="preserve"> factors when assessing a forfeiture</w:t>
      </w:r>
      <w:r w:rsidRPr="00C65EB5">
        <w:t>.</w:t>
      </w:r>
      <w:r w:rsidRPr="00BF7CFE">
        <w:rPr>
          <w:rStyle w:val="FootnoteReference"/>
          <w:szCs w:val="22"/>
        </w:rPr>
        <w:footnoteReference w:id="61"/>
      </w:r>
      <w:r w:rsidRPr="00C65EB5">
        <w:t xml:space="preserve">  </w:t>
      </w:r>
      <w:r>
        <w:t>As described above, the Companies had ample notice that misuse of the EAS Tones was prohibited.  Moreover</w:t>
      </w:r>
      <w:r w:rsidR="00013983">
        <w:t xml:space="preserve">, </w:t>
      </w:r>
      <w:r>
        <w:t>t</w:t>
      </w:r>
      <w:r w:rsidR="00BE22D8">
        <w:t>he record demonstrates that the Companies knowingly transmitted, or caused t</w:t>
      </w:r>
      <w:r w:rsidR="00377AD8">
        <w:t>he transmission of</w:t>
      </w:r>
      <w:r w:rsidR="009A2AA7">
        <w:t>,</w:t>
      </w:r>
      <w:r w:rsidR="00BE22D8">
        <w:t xml:space="preserve"> the </w:t>
      </w:r>
      <w:r w:rsidR="00BE22D8">
        <w:rPr>
          <w:i/>
        </w:rPr>
        <w:t xml:space="preserve">No Surrender </w:t>
      </w:r>
      <w:r w:rsidR="00BE22D8" w:rsidRPr="00E92E23">
        <w:rPr>
          <w:i/>
        </w:rPr>
        <w:t>Trailer</w:t>
      </w:r>
      <w:r w:rsidR="00BE22D8">
        <w:t xml:space="preserve">, </w:t>
      </w:r>
      <w:r w:rsidR="00377AD8">
        <w:t>because</w:t>
      </w:r>
      <w:r w:rsidR="00BE22D8">
        <w:t xml:space="preserve"> staff at each Company reviewed the content of the trailer, and affirmatively inserted it into each Company’s programming feed, over multiple channels, over multiple days.</w:t>
      </w:r>
      <w:r w:rsidR="006C79DC">
        <w:rPr>
          <w:rStyle w:val="FootnoteReference"/>
          <w:szCs w:val="22"/>
        </w:rPr>
        <w:footnoteReference w:id="62"/>
      </w:r>
      <w:r w:rsidR="00BE22D8">
        <w:t xml:space="preserve">  </w:t>
      </w:r>
      <w:r w:rsidR="009A2AA7">
        <w:t>W</w:t>
      </w:r>
      <w:r>
        <w:t>e find that the Compan</w:t>
      </w:r>
      <w:r w:rsidR="00377AD8">
        <w:t>ies</w:t>
      </w:r>
      <w:r>
        <w:t xml:space="preserve"> </w:t>
      </w:r>
      <w:r w:rsidR="00FF2AE8">
        <w:t xml:space="preserve">willfully </w:t>
      </w:r>
      <w:r>
        <w:t>violated Section 325 of th</w:t>
      </w:r>
      <w:r w:rsidR="007D62F6">
        <w:t>e Act and Section 11.45 of the Commission’s r</w:t>
      </w:r>
      <w:r>
        <w:t xml:space="preserve">ules, </w:t>
      </w:r>
      <w:r w:rsidR="009A2AA7">
        <w:t xml:space="preserve">and </w:t>
      </w:r>
      <w:r>
        <w:t>we reject the assertion that they lacked the necessary scienter to do so.</w:t>
      </w:r>
    </w:p>
    <w:p w:rsidR="003610EA" w:rsidRPr="00FD3AFD" w:rsidRDefault="00C01766" w:rsidP="002E0D76">
      <w:pPr>
        <w:pStyle w:val="Heading2"/>
      </w:pPr>
      <w:r>
        <w:t>Enforcement Against the Companies</w:t>
      </w:r>
      <w:r w:rsidR="00010863">
        <w:t xml:space="preserve"> is Within the Commission’s Discretion and Authority</w:t>
      </w:r>
      <w:r>
        <w:t xml:space="preserve"> </w:t>
      </w:r>
    </w:p>
    <w:p w:rsidR="00AC1FCF" w:rsidRDefault="00AC1FCF" w:rsidP="004C4F92">
      <w:pPr>
        <w:pStyle w:val="ParaNum"/>
        <w:widowControl/>
      </w:pPr>
      <w:r>
        <w:t xml:space="preserve">Viacom </w:t>
      </w:r>
      <w:r w:rsidRPr="000F3C51">
        <w:t xml:space="preserve">further suggests that because the Commission did not commence parallel enforcement actions against Horizon Media or the MVPDs, </w:t>
      </w:r>
      <w:r>
        <w:t>it is obliged to</w:t>
      </w:r>
      <w:r w:rsidRPr="000F3C51">
        <w:t xml:space="preserve"> forbear </w:t>
      </w:r>
      <w:r>
        <w:t>with respect to Viacom.</w:t>
      </w:r>
      <w:r w:rsidRPr="000F3C51">
        <w:rPr>
          <w:rStyle w:val="FootnoteReference"/>
          <w:szCs w:val="22"/>
        </w:rPr>
        <w:footnoteReference w:id="63"/>
      </w:r>
      <w:r w:rsidRPr="000F3C51">
        <w:t xml:space="preserve">  We reject this argument and note that Viacom has failed to cite any authority in support of its contention</w:t>
      </w:r>
      <w:r>
        <w:t xml:space="preserve">.  </w:t>
      </w:r>
      <w:r w:rsidR="00DF164F">
        <w:t>T</w:t>
      </w:r>
      <w:r w:rsidRPr="000F3C51">
        <w:t xml:space="preserve">he Commission has prosecutorial discretion in choosing to initiate investigations, and the absence of action against any or all potentially liable entities does not preclude it from enforcing against a specific </w:t>
      </w:r>
      <w:r w:rsidR="00FF2AE8">
        <w:t>violator</w:t>
      </w:r>
      <w:r w:rsidRPr="000F3C51">
        <w:t>.</w:t>
      </w:r>
      <w:r w:rsidRPr="000F3C51">
        <w:rPr>
          <w:rStyle w:val="FootnoteReference"/>
          <w:szCs w:val="22"/>
        </w:rPr>
        <w:footnoteReference w:id="64"/>
      </w:r>
      <w:r w:rsidRPr="000F3C51">
        <w:t xml:space="preserve">  Moreover, the courts have generally found that the Commission “is best positioned to weigh the benefits of pursuing an adjudication against the </w:t>
      </w:r>
      <w:r w:rsidR="007D62F6">
        <w:t xml:space="preserve">costs to the agency </w:t>
      </w:r>
      <w:r w:rsidRPr="000F3C51">
        <w:t>(including financial and opportunity costs) and the likelihood of success.”</w:t>
      </w:r>
      <w:r w:rsidRPr="000F3C51">
        <w:rPr>
          <w:rStyle w:val="FootnoteReference"/>
          <w:szCs w:val="22"/>
        </w:rPr>
        <w:footnoteReference w:id="65"/>
      </w:r>
      <w:r w:rsidR="00010863">
        <w:t xml:space="preserve">  </w:t>
      </w:r>
    </w:p>
    <w:p w:rsidR="00262BC3" w:rsidRPr="00FD3AFD" w:rsidRDefault="00262BC3" w:rsidP="00046706">
      <w:pPr>
        <w:pStyle w:val="ParaNum"/>
        <w:widowControl/>
      </w:pPr>
      <w:r>
        <w:t xml:space="preserve">The Companies </w:t>
      </w:r>
      <w:r w:rsidR="00010863">
        <w:t xml:space="preserve">further </w:t>
      </w:r>
      <w:r>
        <w:t xml:space="preserve">contend </w:t>
      </w:r>
      <w:r w:rsidR="00010863">
        <w:t xml:space="preserve">that enforcement is inappropriate because </w:t>
      </w:r>
      <w:r>
        <w:t xml:space="preserve">they did not receive complaints about the </w:t>
      </w:r>
      <w:r w:rsidRPr="00D44FE5">
        <w:rPr>
          <w:i/>
        </w:rPr>
        <w:t>No Surrender Trailer</w:t>
      </w:r>
      <w:r>
        <w:t xml:space="preserve"> after it was carried on their networks</w:t>
      </w:r>
      <w:r w:rsidR="00AC1FCF">
        <w:t>.</w:t>
      </w:r>
      <w:r w:rsidR="00AC1FCF">
        <w:rPr>
          <w:rStyle w:val="FootnoteReference"/>
        </w:rPr>
        <w:footnoteReference w:id="66"/>
      </w:r>
      <w:r w:rsidR="00AC1FCF">
        <w:t xml:space="preserve">  More particularly, </w:t>
      </w:r>
      <w:r w:rsidR="00AC1FCF" w:rsidRPr="00352728">
        <w:t xml:space="preserve">ESPN </w:t>
      </w:r>
      <w:r w:rsidR="00AC1FCF">
        <w:t xml:space="preserve">contends, without </w:t>
      </w:r>
      <w:r w:rsidR="00AC1FCF" w:rsidRPr="00352728">
        <w:t>cit</w:t>
      </w:r>
      <w:r w:rsidR="00AC1FCF">
        <w:t xml:space="preserve">ing any </w:t>
      </w:r>
      <w:r w:rsidR="00AC1FCF" w:rsidRPr="00352728">
        <w:t>authority</w:t>
      </w:r>
      <w:r w:rsidR="00AC1FCF">
        <w:t>,</w:t>
      </w:r>
      <w:r w:rsidR="00AC1FCF" w:rsidRPr="00352728">
        <w:t xml:space="preserve"> </w:t>
      </w:r>
      <w:r w:rsidR="00AC1FCF">
        <w:t>that</w:t>
      </w:r>
      <w:r w:rsidR="00AC1FCF" w:rsidRPr="00352728">
        <w:t xml:space="preserve"> </w:t>
      </w:r>
      <w:r w:rsidR="00AC1FCF">
        <w:t xml:space="preserve">we may not investigate or sanction ESPN </w:t>
      </w:r>
      <w:r w:rsidR="00AC1FCF" w:rsidRPr="00352728">
        <w:t xml:space="preserve">prompted by a complaint </w:t>
      </w:r>
      <w:r w:rsidR="00AC1FCF">
        <w:t>from</w:t>
      </w:r>
      <w:r w:rsidR="00AC1FCF" w:rsidRPr="00352728">
        <w:t xml:space="preserve"> </w:t>
      </w:r>
      <w:r w:rsidR="00AC1FCF">
        <w:t>a Commission</w:t>
      </w:r>
      <w:r w:rsidR="00AC1FCF" w:rsidRPr="00352728">
        <w:t xml:space="preserve"> employee who viewed the programming.</w:t>
      </w:r>
      <w:r w:rsidR="00AC1FCF">
        <w:rPr>
          <w:rStyle w:val="FootnoteReference"/>
        </w:rPr>
        <w:footnoteReference w:id="67"/>
      </w:r>
      <w:r w:rsidR="00AC1FCF">
        <w:t xml:space="preserve">  </w:t>
      </w:r>
      <w:r w:rsidR="00AC1FCF" w:rsidRPr="005E6222">
        <w:rPr>
          <w:color w:val="000000"/>
        </w:rPr>
        <w:t>We</w:t>
      </w:r>
      <w:r w:rsidR="00AC1FCF" w:rsidRPr="002047D5">
        <w:rPr>
          <w:color w:val="000000"/>
        </w:rPr>
        <w:t xml:space="preserve"> reject</w:t>
      </w:r>
      <w:r w:rsidR="00AC1FCF">
        <w:t xml:space="preserve"> ESPN’s argument.  </w:t>
      </w:r>
      <w:r w:rsidR="005E6222">
        <w:t xml:space="preserve">The complainant at issue is an engineer employed in the Commission’s Atlanta field office, who viewed the </w:t>
      </w:r>
      <w:r w:rsidR="005E6222">
        <w:rPr>
          <w:i/>
        </w:rPr>
        <w:t xml:space="preserve">No Surrender Trailer </w:t>
      </w:r>
      <w:r w:rsidR="005E6222">
        <w:t xml:space="preserve">on ESPN while off duty from his work at the Commission.  Moreover, </w:t>
      </w:r>
      <w:r w:rsidR="00AC1FCF" w:rsidRPr="00352728">
        <w:t>Section 403 of the Act</w:t>
      </w:r>
      <w:r w:rsidR="00AC1FCF">
        <w:t xml:space="preserve"> gives</w:t>
      </w:r>
      <w:r w:rsidR="00AC1FCF" w:rsidRPr="00352728">
        <w:t xml:space="preserve"> the Commission discretion to initiate investigations on its o</w:t>
      </w:r>
      <w:r w:rsidR="009E0826">
        <w:t>wn motion, so long as the</w:t>
      </w:r>
      <w:r w:rsidR="00AC1FCF" w:rsidRPr="00352728">
        <w:t xml:space="preserve"> matter </w:t>
      </w:r>
      <w:r w:rsidR="009E0826">
        <w:t xml:space="preserve">is </w:t>
      </w:r>
      <w:r w:rsidR="00AC1FCF" w:rsidRPr="00352728">
        <w:t>w</w:t>
      </w:r>
      <w:r w:rsidR="00AC1FCF">
        <w:t>ithin the agency’s jurisdiction.</w:t>
      </w:r>
      <w:r>
        <w:rPr>
          <w:rStyle w:val="FootnoteReference"/>
        </w:rPr>
        <w:footnoteReference w:id="68"/>
      </w:r>
      <w:r>
        <w:t xml:space="preserve"> </w:t>
      </w:r>
    </w:p>
    <w:p w:rsidR="00ED0BCC" w:rsidRDefault="00174B70" w:rsidP="002E0D76">
      <w:pPr>
        <w:pStyle w:val="Heading2"/>
      </w:pPr>
      <w:r w:rsidRPr="00BE22D8">
        <w:t>The</w:t>
      </w:r>
      <w:r w:rsidR="001F2C6D" w:rsidRPr="00BE22D8">
        <w:t xml:space="preserve"> </w:t>
      </w:r>
      <w:r w:rsidR="00D44FE5" w:rsidRPr="00D44FE5">
        <w:t>Forfeiture</w:t>
      </w:r>
      <w:r w:rsidR="00D308BB" w:rsidRPr="003D5725">
        <w:t xml:space="preserve"> Amounts</w:t>
      </w:r>
      <w:r w:rsidR="001F2C6D" w:rsidRPr="00BA13FA">
        <w:t xml:space="preserve"> </w:t>
      </w:r>
      <w:r w:rsidR="00244531" w:rsidRPr="00BA13FA">
        <w:t xml:space="preserve">Proposed in the </w:t>
      </w:r>
      <w:r w:rsidR="00244531" w:rsidRPr="004C0DAF">
        <w:rPr>
          <w:i/>
        </w:rPr>
        <w:t>NAL</w:t>
      </w:r>
      <w:r w:rsidR="00244531" w:rsidRPr="00BA13FA">
        <w:t xml:space="preserve"> </w:t>
      </w:r>
      <w:r w:rsidR="00D308BB" w:rsidRPr="00BA13FA">
        <w:t>Are</w:t>
      </w:r>
      <w:r w:rsidR="001F2C6D" w:rsidRPr="00BA13FA">
        <w:t xml:space="preserve"> </w:t>
      </w:r>
      <w:r w:rsidR="00D308BB" w:rsidRPr="00BA13FA">
        <w:t>Appropriate Under the</w:t>
      </w:r>
      <w:r w:rsidR="003D5725">
        <w:t xml:space="preserve"> </w:t>
      </w:r>
      <w:r w:rsidR="00D308BB" w:rsidRPr="00BA13FA">
        <w:t>Circumstances of this Case</w:t>
      </w:r>
    </w:p>
    <w:p w:rsidR="00486D3A" w:rsidRPr="00067EFF" w:rsidRDefault="0010396C" w:rsidP="001B3F19">
      <w:pPr>
        <w:pStyle w:val="ParaNum"/>
      </w:pPr>
      <w:r w:rsidRPr="00BA13FA">
        <w:t>B</w:t>
      </w:r>
      <w:r w:rsidR="00BE1063" w:rsidRPr="00D35F4B">
        <w:t xml:space="preserve">ased upon the evidence before us, we find that each of the Companies willfully and repeatedly violated Section 11.45 of the Commission’s rules and Section 325(a) of the Act.  The Commission’s </w:t>
      </w:r>
      <w:r w:rsidR="00BE1063" w:rsidRPr="00D35F4B">
        <w:rPr>
          <w:i/>
        </w:rPr>
        <w:t xml:space="preserve">Forfeiture Policy Statement </w:t>
      </w:r>
      <w:r w:rsidR="00BE1063" w:rsidRPr="00BE22D8">
        <w:rPr>
          <w:spacing w:val="-2"/>
        </w:rPr>
        <w:t>sets a base forfeiture amount of eight thousand dollars ($8,000) for false distress communications.</w:t>
      </w:r>
      <w:r w:rsidR="00BE1063" w:rsidRPr="007A7AC4">
        <w:rPr>
          <w:rStyle w:val="FootnoteReference"/>
          <w:spacing w:val="-2"/>
        </w:rPr>
        <w:footnoteReference w:id="69"/>
      </w:r>
      <w:r w:rsidR="00BE1063" w:rsidRPr="00D35F4B">
        <w:rPr>
          <w:spacing w:val="-2"/>
        </w:rPr>
        <w:t xml:space="preserve">  In assessing the monetary forfeiture amount, we must take into account the statutory factors set forth in Section 503(b)(2)(E) of the Act and Section 1.80</w:t>
      </w:r>
      <w:r w:rsidR="00FF2AE8">
        <w:rPr>
          <w:spacing w:val="-2"/>
        </w:rPr>
        <w:t>(b)(8)</w:t>
      </w:r>
      <w:r w:rsidR="00BE1063" w:rsidRPr="00D35F4B">
        <w:rPr>
          <w:spacing w:val="-2"/>
        </w:rPr>
        <w:t xml:space="preserve"> of the Commission’s rules, </w:t>
      </w:r>
      <w:r w:rsidR="00BE1063" w:rsidRPr="006D25BC">
        <w:rPr>
          <w:rStyle w:val="documentbody1"/>
          <w:rFonts w:ascii="Times New Roman" w:hAnsi="Times New Roman"/>
          <w:color w:val="000000"/>
          <w:sz w:val="22"/>
          <w:szCs w:val="22"/>
        </w:rPr>
        <w:t>which include the nature, circumstances, extent, and gravity of the violation, and with respect to the violator, the degree of culpability, any history of prior offenses, ability to pay, and other such matters as justice may require.</w:t>
      </w:r>
      <w:r w:rsidR="00BE1063" w:rsidRPr="007A7AC4">
        <w:rPr>
          <w:rStyle w:val="FootnoteReference"/>
          <w:color w:val="000000"/>
          <w:shd w:val="clear" w:color="auto" w:fill="FFFFFF"/>
        </w:rPr>
        <w:footnoteReference w:id="70"/>
      </w:r>
      <w:r w:rsidR="00BE1063" w:rsidRPr="006D25BC">
        <w:rPr>
          <w:rStyle w:val="documentbody1"/>
          <w:rFonts w:ascii="Times New Roman" w:hAnsi="Times New Roman"/>
          <w:color w:val="000000"/>
          <w:sz w:val="22"/>
          <w:szCs w:val="22"/>
        </w:rPr>
        <w:t xml:space="preserve">  </w:t>
      </w:r>
    </w:p>
    <w:p w:rsidR="00C469AA" w:rsidRPr="00C73971" w:rsidRDefault="00CB1896" w:rsidP="001B3F19">
      <w:pPr>
        <w:pStyle w:val="ParaNum"/>
        <w:widowControl/>
      </w:pPr>
      <w:r w:rsidRPr="00D35F4B">
        <w:t>As explained in the</w:t>
      </w:r>
      <w:r w:rsidRPr="00D35F4B">
        <w:rPr>
          <w:i/>
        </w:rPr>
        <w:t xml:space="preserve"> NAL</w:t>
      </w:r>
      <w:r w:rsidR="009E0826" w:rsidRPr="0015641D">
        <w:t>,</w:t>
      </w:r>
      <w:r w:rsidRPr="00BE22D8">
        <w:t xml:space="preserve"> our forfeiture determination</w:t>
      </w:r>
      <w:r w:rsidR="00F56631" w:rsidRPr="00E92E23">
        <w:t xml:space="preserve"> in this case</w:t>
      </w:r>
      <w:r w:rsidRPr="00B92DA2">
        <w:t xml:space="preserve"> is based on multiple factors associated with the nature of the violation and the violator.</w:t>
      </w:r>
      <w:r w:rsidRPr="007A7AC4">
        <w:rPr>
          <w:rStyle w:val="FootnoteReference"/>
        </w:rPr>
        <w:footnoteReference w:id="71"/>
      </w:r>
      <w:r w:rsidRPr="00D35F4B">
        <w:t xml:space="preserve">  No single factor (e.g</w:t>
      </w:r>
      <w:r w:rsidRPr="00D35F4B">
        <w:rPr>
          <w:i/>
        </w:rPr>
        <w:t>.</w:t>
      </w:r>
      <w:r w:rsidRPr="00BE22D8">
        <w:t xml:space="preserve">, the number of transmissions) is controlling; rather, all of the statutory factors </w:t>
      </w:r>
      <w:r w:rsidR="00F56631" w:rsidRPr="00BE22D8">
        <w:t>are</w:t>
      </w:r>
      <w:r w:rsidRPr="00E92E23">
        <w:t xml:space="preserve"> given appro</w:t>
      </w:r>
      <w:r w:rsidRPr="00B92DA2">
        <w:t xml:space="preserve">priate weight.  When applying the statutory factors concerning the </w:t>
      </w:r>
      <w:r w:rsidR="000C1468" w:rsidRPr="006C79DC">
        <w:t>nature of the</w:t>
      </w:r>
      <w:r w:rsidRPr="006C79DC">
        <w:t xml:space="preserve"> violation</w:t>
      </w:r>
      <w:r w:rsidR="0068778F" w:rsidRPr="006C79DC">
        <w:t>s in this case</w:t>
      </w:r>
      <w:r w:rsidRPr="006C79DC">
        <w:t xml:space="preserve">, we </w:t>
      </w:r>
      <w:r w:rsidR="0068778F" w:rsidRPr="00802E15">
        <w:t>considered a</w:t>
      </w:r>
      <w:r w:rsidRPr="003D5725">
        <w:t xml:space="preserve"> </w:t>
      </w:r>
      <w:r w:rsidRPr="006D25BC">
        <w:rPr>
          <w:rStyle w:val="documentbody1"/>
          <w:rFonts w:ascii="Times New Roman" w:hAnsi="Times New Roman"/>
          <w:color w:val="000000"/>
          <w:sz w:val="22"/>
          <w:szCs w:val="22"/>
        </w:rPr>
        <w:t>number of specific factors, including:</w:t>
      </w:r>
      <w:r w:rsidRPr="00D35F4B">
        <w:t xml:space="preserve"> (1) the number of networks over which the transmissions occurred; (2) the number of repetitions (i.e., the number of individual transmissions); (3) the duration of the violation (i.e., the number of days over which the violation occurred); (4) the audience reach of the transmissions (e.g., nationw</w:t>
      </w:r>
      <w:r w:rsidRPr="00D43B53">
        <w:t xml:space="preserve">ide, regional, or local); and (5) the extent of the public safety impact (e.g., whether an EAS activation </w:t>
      </w:r>
      <w:r w:rsidR="00B63665">
        <w:t>wa</w:t>
      </w:r>
      <w:r w:rsidR="00B63665" w:rsidRPr="00D43B53">
        <w:t xml:space="preserve">s </w:t>
      </w:r>
      <w:r w:rsidRPr="00D43B53">
        <w:t>triggered).</w:t>
      </w:r>
      <w:r w:rsidRPr="00D43B53">
        <w:rPr>
          <w:rStyle w:val="FootnoteReference"/>
          <w:szCs w:val="22"/>
        </w:rPr>
        <w:footnoteReference w:id="72"/>
      </w:r>
      <w:r w:rsidRPr="00D43B53">
        <w:t xml:space="preserve">  </w:t>
      </w:r>
      <w:r w:rsidR="00D90B5A" w:rsidRPr="000C1468">
        <w:rPr>
          <w:rStyle w:val="documentbody1"/>
          <w:rFonts w:ascii="Times New Roman" w:hAnsi="Times New Roman"/>
          <w:sz w:val="22"/>
          <w:szCs w:val="20"/>
        </w:rPr>
        <w:t xml:space="preserve">Each of the above-described factors was carefully </w:t>
      </w:r>
      <w:r w:rsidR="00D90B5A">
        <w:rPr>
          <w:rStyle w:val="documentbody1"/>
          <w:rFonts w:ascii="Times New Roman" w:hAnsi="Times New Roman"/>
          <w:sz w:val="22"/>
          <w:szCs w:val="20"/>
        </w:rPr>
        <w:t xml:space="preserve">described and </w:t>
      </w:r>
      <w:r w:rsidR="00D90B5A" w:rsidRPr="000C1468">
        <w:rPr>
          <w:rStyle w:val="documentbody1"/>
          <w:rFonts w:ascii="Times New Roman" w:hAnsi="Times New Roman"/>
          <w:sz w:val="22"/>
          <w:szCs w:val="20"/>
        </w:rPr>
        <w:t xml:space="preserve">considered with respect to each of the Companies in the </w:t>
      </w:r>
      <w:r w:rsidR="00D44FE5" w:rsidRPr="00D44FE5">
        <w:rPr>
          <w:rStyle w:val="documentbody1"/>
          <w:rFonts w:ascii="Times New Roman" w:hAnsi="Times New Roman"/>
          <w:i/>
          <w:sz w:val="22"/>
        </w:rPr>
        <w:t>NAL</w:t>
      </w:r>
      <w:r w:rsidR="00D90B5A" w:rsidRPr="000C1468">
        <w:rPr>
          <w:rStyle w:val="documentbody1"/>
          <w:rFonts w:ascii="Times New Roman" w:hAnsi="Times New Roman"/>
          <w:sz w:val="22"/>
          <w:szCs w:val="20"/>
        </w:rPr>
        <w:t>.</w:t>
      </w:r>
      <w:r w:rsidR="00D90B5A">
        <w:rPr>
          <w:rStyle w:val="FootnoteReference"/>
          <w:shd w:val="clear" w:color="auto" w:fill="FFFFFF"/>
        </w:rPr>
        <w:footnoteReference w:id="73"/>
      </w:r>
      <w:r w:rsidR="00D90B5A" w:rsidRPr="000C1468">
        <w:rPr>
          <w:rStyle w:val="documentbody1"/>
          <w:rFonts w:ascii="Times New Roman" w:hAnsi="Times New Roman"/>
          <w:sz w:val="22"/>
          <w:szCs w:val="20"/>
        </w:rPr>
        <w:t xml:space="preserve">  </w:t>
      </w:r>
    </w:p>
    <w:p w:rsidR="00C469AA" w:rsidRPr="00C73971" w:rsidRDefault="00930B45" w:rsidP="00046706">
      <w:pPr>
        <w:pStyle w:val="ParaNum"/>
        <w:widowControl/>
      </w:pPr>
      <w:r>
        <w:rPr>
          <w:rStyle w:val="documentbody1"/>
          <w:rFonts w:ascii="Times New Roman" w:hAnsi="Times New Roman"/>
          <w:sz w:val="22"/>
          <w:szCs w:val="20"/>
        </w:rPr>
        <w:t>With respect to the nature of the violations, a</w:t>
      </w:r>
      <w:r w:rsidR="00C469AA" w:rsidRPr="008571FB">
        <w:rPr>
          <w:rStyle w:val="documentbody1"/>
          <w:rFonts w:ascii="Times New Roman" w:hAnsi="Times New Roman"/>
          <w:color w:val="000000"/>
          <w:sz w:val="22"/>
          <w:szCs w:val="22"/>
        </w:rPr>
        <w:t xml:space="preserve">s explained in the </w:t>
      </w:r>
      <w:r w:rsidR="00C469AA" w:rsidRPr="008571FB">
        <w:rPr>
          <w:rStyle w:val="documentbody1"/>
          <w:rFonts w:ascii="Times New Roman" w:hAnsi="Times New Roman"/>
          <w:i/>
          <w:color w:val="000000"/>
          <w:sz w:val="22"/>
          <w:szCs w:val="22"/>
        </w:rPr>
        <w:t>NAL</w:t>
      </w:r>
      <w:r w:rsidR="00C469AA" w:rsidRPr="008571FB">
        <w:rPr>
          <w:rStyle w:val="documentbody1"/>
          <w:rFonts w:ascii="Times New Roman" w:hAnsi="Times New Roman"/>
          <w:color w:val="000000"/>
          <w:sz w:val="22"/>
          <w:szCs w:val="22"/>
        </w:rPr>
        <w:t xml:space="preserve">, each of the Companies committed multiple violations over multiple days on multiple networks, with the number of transmissions doubled on some networks </w:t>
      </w:r>
      <w:r w:rsidR="00C469AA" w:rsidRPr="00BB3723">
        <w:t>due to the separate East Coast and West Coast programming feeds.</w:t>
      </w:r>
      <w:r w:rsidR="00C469AA">
        <w:rPr>
          <w:rStyle w:val="FootnoteReference"/>
        </w:rPr>
        <w:footnoteReference w:id="74"/>
      </w:r>
      <w:r w:rsidR="00C469AA" w:rsidRPr="00BB3723">
        <w:t xml:space="preserve">  </w:t>
      </w:r>
      <w:r w:rsidR="00B87367">
        <w:t xml:space="preserve">Although </w:t>
      </w:r>
      <w:r w:rsidR="00FF1D91">
        <w:rPr>
          <w:color w:val="000000"/>
        </w:rPr>
        <w:t>V</w:t>
      </w:r>
      <w:r w:rsidR="00B87367">
        <w:rPr>
          <w:color w:val="000000"/>
        </w:rPr>
        <w:t xml:space="preserve">iacom objects </w:t>
      </w:r>
      <w:r w:rsidR="00FF1D91">
        <w:rPr>
          <w:color w:val="000000"/>
        </w:rPr>
        <w:t xml:space="preserve">to </w:t>
      </w:r>
      <w:r w:rsidR="00B87367">
        <w:rPr>
          <w:color w:val="000000"/>
        </w:rPr>
        <w:t xml:space="preserve">the </w:t>
      </w:r>
      <w:r w:rsidR="00B87367" w:rsidRPr="00CE03F6">
        <w:rPr>
          <w:i/>
          <w:color w:val="000000"/>
        </w:rPr>
        <w:t>NAL</w:t>
      </w:r>
      <w:r w:rsidR="00B87367" w:rsidRPr="00D750DC">
        <w:rPr>
          <w:color w:val="000000"/>
        </w:rPr>
        <w:t>’</w:t>
      </w:r>
      <w:r w:rsidR="00B87367" w:rsidRPr="00617676">
        <w:rPr>
          <w:color w:val="000000"/>
        </w:rPr>
        <w:t>s</w:t>
      </w:r>
      <w:r w:rsidR="00B87367" w:rsidRPr="0090277C">
        <w:rPr>
          <w:color w:val="000000"/>
        </w:rPr>
        <w:t xml:space="preserve"> </w:t>
      </w:r>
      <w:r w:rsidR="00FF1D91">
        <w:rPr>
          <w:color w:val="000000"/>
        </w:rPr>
        <w:t>separately counting the East Coast and West Coast Transmissions</w:t>
      </w:r>
      <w:r w:rsidR="00B87367">
        <w:rPr>
          <w:color w:val="000000"/>
        </w:rPr>
        <w:t>,</w:t>
      </w:r>
      <w:r w:rsidR="00FF1D91">
        <w:rPr>
          <w:color w:val="000000"/>
        </w:rPr>
        <w:t xml:space="preserve"> </w:t>
      </w:r>
      <w:r w:rsidR="00B87367">
        <w:rPr>
          <w:color w:val="000000"/>
        </w:rPr>
        <w:t xml:space="preserve">that argument </w:t>
      </w:r>
      <w:r w:rsidR="00FF1D91">
        <w:rPr>
          <w:color w:val="000000"/>
        </w:rPr>
        <w:t xml:space="preserve">is unavailing.  As noted in the </w:t>
      </w:r>
      <w:r w:rsidR="00FF1D91" w:rsidRPr="00CE03F6">
        <w:rPr>
          <w:i/>
          <w:color w:val="000000"/>
        </w:rPr>
        <w:t>NAL</w:t>
      </w:r>
      <w:r w:rsidR="00FF1D91">
        <w:rPr>
          <w:color w:val="000000"/>
        </w:rPr>
        <w:t>, these feeds represented separate transmissions that occurred three hours apart.</w:t>
      </w:r>
      <w:r w:rsidR="00FF1D91">
        <w:rPr>
          <w:rStyle w:val="FootnoteReference"/>
        </w:rPr>
        <w:footnoteReference w:id="75"/>
      </w:r>
      <w:r w:rsidR="00FF1D91">
        <w:rPr>
          <w:color w:val="000000"/>
        </w:rPr>
        <w:t xml:space="preserve">  Moreover, nothing in the record indicates that the Companies removed the No Surrender Trailer from the second feed where such second feeds existed.</w:t>
      </w:r>
      <w:r w:rsidR="00FF1D91">
        <w:rPr>
          <w:rStyle w:val="FootnoteReference"/>
        </w:rPr>
        <w:footnoteReference w:id="76"/>
      </w:r>
      <w:r w:rsidR="00FF1D91">
        <w:rPr>
          <w:color w:val="000000"/>
        </w:rPr>
        <w:t xml:space="preserve"> </w:t>
      </w:r>
      <w:r w:rsidR="009A239B">
        <w:rPr>
          <w:color w:val="000000"/>
        </w:rPr>
        <w:t xml:space="preserve"> </w:t>
      </w:r>
      <w:r w:rsidR="00FF1D91">
        <w:rPr>
          <w:color w:val="000000"/>
        </w:rPr>
        <w:t>As the rule clearly applies to each transmission, each separate transmission represents a separate violation</w:t>
      </w:r>
      <w:r w:rsidR="00B87367">
        <w:rPr>
          <w:color w:val="000000"/>
        </w:rPr>
        <w:t xml:space="preserve"> and Viacom cites no authority to the contrary</w:t>
      </w:r>
      <w:r w:rsidR="00FF1D91">
        <w:rPr>
          <w:color w:val="000000"/>
        </w:rPr>
        <w:t xml:space="preserve">.  </w:t>
      </w:r>
      <w:r w:rsidR="00C469AA">
        <w:t xml:space="preserve">Moreover, the vast audience reach of </w:t>
      </w:r>
      <w:r w:rsidR="00037B80">
        <w:t xml:space="preserve">each </w:t>
      </w:r>
      <w:r w:rsidR="000B70D5">
        <w:t>C</w:t>
      </w:r>
      <w:r w:rsidR="00C469AA">
        <w:t xml:space="preserve">ompany’s programming greatly increased </w:t>
      </w:r>
      <w:r w:rsidR="00C469AA" w:rsidRPr="002764D6">
        <w:t xml:space="preserve">the </w:t>
      </w:r>
      <w:r w:rsidR="00C469AA" w:rsidRPr="008571FB">
        <w:rPr>
          <w:rStyle w:val="documentbody1"/>
          <w:rFonts w:ascii="Times New Roman" w:hAnsi="Times New Roman"/>
          <w:color w:val="000000"/>
          <w:sz w:val="22"/>
          <w:szCs w:val="22"/>
        </w:rPr>
        <w:t>extent and gravity of the</w:t>
      </w:r>
      <w:r w:rsidR="00C469AA" w:rsidRPr="008571FB">
        <w:rPr>
          <w:rStyle w:val="documentbody1"/>
          <w:rFonts w:ascii="Times New Roman" w:hAnsi="Times New Roman"/>
          <w:sz w:val="22"/>
          <w:szCs w:val="22"/>
        </w:rPr>
        <w:t xml:space="preserve"> violations</w:t>
      </w:r>
      <w:r w:rsidR="00C469AA" w:rsidRPr="009F0325">
        <w:rPr>
          <w:rStyle w:val="documentbody1"/>
          <w:rFonts w:ascii="Times New Roman" w:hAnsi="Times New Roman"/>
          <w:sz w:val="22"/>
        </w:rPr>
        <w:t>.</w:t>
      </w:r>
      <w:r w:rsidR="00C469AA" w:rsidRPr="009F0325">
        <w:rPr>
          <w:rStyle w:val="FootnoteReference"/>
          <w:shd w:val="clear" w:color="auto" w:fill="FFFFFF"/>
        </w:rPr>
        <w:footnoteReference w:id="77"/>
      </w:r>
      <w:r w:rsidR="00C469AA" w:rsidRPr="009F0325">
        <w:rPr>
          <w:rStyle w:val="documentbody1"/>
          <w:rFonts w:ascii="Times New Roman" w:hAnsi="Times New Roman"/>
          <w:sz w:val="22"/>
        </w:rPr>
        <w:t xml:space="preserve">  </w:t>
      </w:r>
      <w:r w:rsidR="00C469AA" w:rsidRPr="00BE5340">
        <w:t xml:space="preserve">Given the </w:t>
      </w:r>
      <w:r w:rsidR="00C469AA">
        <w:t>public safety implications raised by</w:t>
      </w:r>
      <w:r w:rsidR="00C469AA" w:rsidRPr="00BE5340">
        <w:t xml:space="preserve"> the transmissions</w:t>
      </w:r>
      <w:r w:rsidR="00C469AA">
        <w:t>,</w:t>
      </w:r>
      <w:r w:rsidR="00C469AA" w:rsidRPr="00BE5340">
        <w:t xml:space="preserve"> and </w:t>
      </w:r>
      <w:r w:rsidR="00C469AA">
        <w:t xml:space="preserve">for </w:t>
      </w:r>
      <w:r w:rsidR="00C469AA" w:rsidRPr="00BE5340">
        <w:t xml:space="preserve">the </w:t>
      </w:r>
      <w:r w:rsidR="00C469AA">
        <w:t xml:space="preserve">reasons set forth in the </w:t>
      </w:r>
      <w:r w:rsidR="00C469AA" w:rsidRPr="008571FB">
        <w:rPr>
          <w:i/>
        </w:rPr>
        <w:t>NAL</w:t>
      </w:r>
      <w:r w:rsidR="00C469AA" w:rsidRPr="00BE5340">
        <w:t xml:space="preserve">, we find that </w:t>
      </w:r>
      <w:r w:rsidR="00C469AA">
        <w:t>the instant violations,</w:t>
      </w:r>
      <w:r w:rsidR="00C469AA" w:rsidRPr="00BE5340">
        <w:t xml:space="preserve"> due to </w:t>
      </w:r>
      <w:r w:rsidR="00C469AA" w:rsidRPr="002764D6">
        <w:t>the</w:t>
      </w:r>
      <w:r w:rsidR="00C469AA">
        <w:t>ir</w:t>
      </w:r>
      <w:r w:rsidR="00C469AA" w:rsidRPr="00BE5340">
        <w:t xml:space="preserve"> egregiousness</w:t>
      </w:r>
      <w:r w:rsidR="00C469AA">
        <w:t xml:space="preserve">, warrant </w:t>
      </w:r>
      <w:r w:rsidR="00FB4519">
        <w:t xml:space="preserve">the </w:t>
      </w:r>
      <w:r w:rsidR="00C469AA">
        <w:t>upwardly adjusted forfeiture amounts</w:t>
      </w:r>
      <w:r w:rsidR="004277C5">
        <w:t xml:space="preserve"> detailed by the Commission</w:t>
      </w:r>
      <w:r w:rsidR="00C469AA" w:rsidRPr="002764D6">
        <w:t>.</w:t>
      </w:r>
      <w:r w:rsidR="00C469AA">
        <w:rPr>
          <w:rStyle w:val="FootnoteReference"/>
          <w:szCs w:val="22"/>
        </w:rPr>
        <w:footnoteReference w:id="78"/>
      </w:r>
      <w:r w:rsidR="00C469AA" w:rsidRPr="00C832DC">
        <w:t xml:space="preserve"> </w:t>
      </w:r>
    </w:p>
    <w:p w:rsidR="00CB1896" w:rsidRPr="001951E2" w:rsidRDefault="00C469AA" w:rsidP="001B3F19">
      <w:pPr>
        <w:pStyle w:val="ParaNum"/>
        <w:rPr>
          <w:color w:val="000000"/>
        </w:rPr>
      </w:pPr>
      <w:r w:rsidRPr="00BB3723">
        <w:t xml:space="preserve">With respect to </w:t>
      </w:r>
      <w:r w:rsidR="00930B45">
        <w:t>the violators in this case</w:t>
      </w:r>
      <w:r w:rsidRPr="00BB3723">
        <w:t>, we note</w:t>
      </w:r>
      <w:r w:rsidR="00930B45">
        <w:t xml:space="preserve">d in the </w:t>
      </w:r>
      <w:r w:rsidR="00D44FE5" w:rsidRPr="00D44FE5">
        <w:rPr>
          <w:i/>
        </w:rPr>
        <w:t>NAL</w:t>
      </w:r>
      <w:r w:rsidRPr="00BB3723">
        <w:t xml:space="preserve"> that Viacom reported annual revenues in excess of $13.7 billion as of September 30, 2013.</w:t>
      </w:r>
      <w:r>
        <w:rPr>
          <w:rStyle w:val="FootnoteReference"/>
          <w:color w:val="000000"/>
          <w:szCs w:val="22"/>
        </w:rPr>
        <w:footnoteReference w:id="79"/>
      </w:r>
      <w:r w:rsidRPr="00BB3723">
        <w:t xml:space="preserve">  The Walt Disney Company reported 2013 total revenues in excess of $45 billion, with its Media Networks segment, including ESPN, accounting for over $20.3 billion of total revenues.</w:t>
      </w:r>
      <w:r>
        <w:rPr>
          <w:rStyle w:val="FootnoteReference"/>
          <w:color w:val="000000"/>
          <w:szCs w:val="22"/>
        </w:rPr>
        <w:footnoteReference w:id="80"/>
      </w:r>
      <w:r w:rsidRPr="00BB3723">
        <w:t xml:space="preserve">  As the Commission made clear in the </w:t>
      </w:r>
      <w:r w:rsidRPr="00BB3723">
        <w:rPr>
          <w:i/>
        </w:rPr>
        <w:t>Forfeiture Policy Statement</w:t>
      </w:r>
      <w:r w:rsidR="00044710">
        <w:t>, entities</w:t>
      </w:r>
      <w:r w:rsidRPr="00BB3723">
        <w:t xml:space="preserve"> with substantial revenues, such as the Companies, may expect the imposition of forfeitures well above the base amounts in order to deter </w:t>
      </w:r>
      <w:r>
        <w:t>improper</w:t>
      </w:r>
      <w:r w:rsidRPr="00BB3723">
        <w:t xml:space="preserve"> behavior.</w:t>
      </w:r>
      <w:r>
        <w:rPr>
          <w:rStyle w:val="FootnoteReference"/>
          <w:color w:val="000000"/>
          <w:szCs w:val="22"/>
        </w:rPr>
        <w:footnoteReference w:id="81"/>
      </w:r>
      <w:r w:rsidRPr="00BB3723">
        <w:rPr>
          <w:shd w:val="clear" w:color="auto" w:fill="FFFFFF"/>
        </w:rPr>
        <w:t xml:space="preserve"> </w:t>
      </w:r>
      <w:r>
        <w:rPr>
          <w:shd w:val="clear" w:color="auto" w:fill="FFFFFF"/>
        </w:rPr>
        <w:t xml:space="preserve"> </w:t>
      </w:r>
      <w:r w:rsidRPr="00BB3723">
        <w:t>In calculating the appropriate forfeiture, we also consider the entity’s past compliance record.  We found nothing in the record or in the Companies’ prior history of violations or compliance sufficient to reduce the proposed forfeiture amounts based on such factors.</w:t>
      </w:r>
      <w:r w:rsidR="00930B45">
        <w:rPr>
          <w:rStyle w:val="FootnoteReference"/>
        </w:rPr>
        <w:footnoteReference w:id="82"/>
      </w:r>
      <w:r w:rsidR="00930B45">
        <w:t xml:space="preserve">  Thus, the </w:t>
      </w:r>
      <w:r w:rsidR="00C02427">
        <w:t xml:space="preserve">Commission carefully considered and applied the </w:t>
      </w:r>
      <w:r w:rsidR="00930B45">
        <w:t xml:space="preserve">statutory factors in the </w:t>
      </w:r>
      <w:r w:rsidR="00D44FE5" w:rsidRPr="00D44FE5">
        <w:rPr>
          <w:i/>
        </w:rPr>
        <w:t>NAL</w:t>
      </w:r>
      <w:r w:rsidR="00930B45">
        <w:t xml:space="preserve">.  </w:t>
      </w:r>
      <w:r w:rsidR="00673A9D" w:rsidRPr="000C1468">
        <w:rPr>
          <w:rStyle w:val="documentbody1"/>
          <w:rFonts w:ascii="Times New Roman" w:hAnsi="Times New Roman"/>
          <w:sz w:val="22"/>
          <w:szCs w:val="20"/>
        </w:rPr>
        <w:t>Nevertheless, the Companies object to the proposed forfeiture</w:t>
      </w:r>
      <w:r w:rsidR="006F201B">
        <w:rPr>
          <w:rStyle w:val="documentbody1"/>
          <w:rFonts w:ascii="Times New Roman" w:hAnsi="Times New Roman"/>
          <w:sz w:val="22"/>
          <w:szCs w:val="20"/>
        </w:rPr>
        <w:t>s</w:t>
      </w:r>
      <w:r w:rsidR="00673A9D" w:rsidRPr="000C1468">
        <w:rPr>
          <w:rStyle w:val="documentbody1"/>
          <w:rFonts w:ascii="Times New Roman" w:hAnsi="Times New Roman"/>
          <w:sz w:val="22"/>
          <w:szCs w:val="20"/>
        </w:rPr>
        <w:t xml:space="preserve"> on several grounds, </w:t>
      </w:r>
      <w:r w:rsidR="00C02427">
        <w:rPr>
          <w:rStyle w:val="documentbody1"/>
          <w:rFonts w:ascii="Times New Roman" w:hAnsi="Times New Roman"/>
          <w:sz w:val="22"/>
          <w:szCs w:val="20"/>
        </w:rPr>
        <w:t xml:space="preserve">as discussed below, </w:t>
      </w:r>
      <w:r w:rsidR="00673A9D" w:rsidRPr="000C1468">
        <w:rPr>
          <w:rStyle w:val="documentbody1"/>
          <w:rFonts w:ascii="Times New Roman" w:hAnsi="Times New Roman"/>
          <w:sz w:val="22"/>
          <w:szCs w:val="20"/>
        </w:rPr>
        <w:t>none of which we find persuasive.</w:t>
      </w:r>
    </w:p>
    <w:p w:rsidR="00931560" w:rsidRPr="00931560" w:rsidRDefault="00E10947" w:rsidP="00046706">
      <w:pPr>
        <w:pStyle w:val="ParaNum"/>
        <w:widowControl/>
        <w:tabs>
          <w:tab w:val="left" w:pos="1440"/>
        </w:tabs>
        <w:rPr>
          <w:szCs w:val="22"/>
          <w:shd w:val="clear" w:color="auto" w:fill="FFFFFF"/>
        </w:rPr>
      </w:pPr>
      <w:r>
        <w:t>Viacom</w:t>
      </w:r>
      <w:r w:rsidR="005A4B60">
        <w:t xml:space="preserve"> </w:t>
      </w:r>
      <w:r>
        <w:t>asserts</w:t>
      </w:r>
      <w:r w:rsidR="005A4B60">
        <w:t xml:space="preserve"> that the for</w:t>
      </w:r>
      <w:r w:rsidR="00961190">
        <w:t>feiture amount is</w:t>
      </w:r>
      <w:r w:rsidR="005A4B60">
        <w:t xml:space="preserve"> </w:t>
      </w:r>
      <w:r w:rsidR="00961190">
        <w:t xml:space="preserve">“grossly </w:t>
      </w:r>
      <w:r w:rsidR="005A4B60">
        <w:t>excessive</w:t>
      </w:r>
      <w:r w:rsidR="00961190">
        <w:t>”</w:t>
      </w:r>
      <w:r w:rsidR="005A4B60">
        <w:t xml:space="preserve"> under the governing statute</w:t>
      </w:r>
      <w:r w:rsidR="00931560">
        <w:t xml:space="preserve"> because the Commission failed to carefully apply the statutory factors and failed</w:t>
      </w:r>
      <w:r w:rsidR="005A4B60">
        <w:t xml:space="preserve"> </w:t>
      </w:r>
      <w:r w:rsidR="00931560">
        <w:t>to take into account various</w:t>
      </w:r>
      <w:r w:rsidR="005A4B60">
        <w:t xml:space="preserve"> mitigating circumstances</w:t>
      </w:r>
      <w:r w:rsidR="00D90B5A">
        <w:t>, in particular, a lack of culpability on Viacom’s part</w:t>
      </w:r>
      <w:r w:rsidR="005A4B60">
        <w:t>.</w:t>
      </w:r>
      <w:r w:rsidR="005A4B60">
        <w:rPr>
          <w:rStyle w:val="FootnoteReference"/>
          <w:szCs w:val="22"/>
        </w:rPr>
        <w:footnoteReference w:id="83"/>
      </w:r>
      <w:r w:rsidR="005A4B60">
        <w:t xml:space="preserve">  </w:t>
      </w:r>
      <w:r w:rsidR="00D90B5A">
        <w:t>Specifically</w:t>
      </w:r>
      <w:r w:rsidR="00673A9D">
        <w:t xml:space="preserve">, </w:t>
      </w:r>
      <w:r w:rsidR="00A37D33" w:rsidRPr="00362AE4">
        <w:t xml:space="preserve">Viacom argues that the </w:t>
      </w:r>
      <w:r w:rsidR="00A37D33" w:rsidRPr="00BF7CFE">
        <w:rPr>
          <w:i/>
        </w:rPr>
        <w:t>NAL</w:t>
      </w:r>
      <w:r w:rsidR="00A37D33" w:rsidRPr="00362AE4">
        <w:t xml:space="preserve"> failed to take into account that the trailer was produced</w:t>
      </w:r>
      <w:r w:rsidR="00E00CD7">
        <w:t xml:space="preserve"> </w:t>
      </w:r>
      <w:r w:rsidR="00A37D33" w:rsidRPr="00362AE4">
        <w:t>by a third party;</w:t>
      </w:r>
      <w:r w:rsidR="006F201B">
        <w:t xml:space="preserve"> that Section 11.45</w:t>
      </w:r>
      <w:r w:rsidR="00A37D33" w:rsidRPr="00362AE4">
        <w:t xml:space="preserve"> was poorly known among programmers; </w:t>
      </w:r>
      <w:r w:rsidR="00E00CD7">
        <w:t>and that Viacom</w:t>
      </w:r>
      <w:r w:rsidR="00A37D33" w:rsidRPr="00362AE4">
        <w:t xml:space="preserve"> ceased including the trailer in</w:t>
      </w:r>
      <w:r w:rsidR="00E00CD7">
        <w:t xml:space="preserve"> programming</w:t>
      </w:r>
      <w:r w:rsidR="00A37D33" w:rsidRPr="00362AE4">
        <w:t xml:space="preserve"> feeds as soon as it learned of a potential problem</w:t>
      </w:r>
      <w:r w:rsidR="00A37D33" w:rsidRPr="00362AE4">
        <w:rPr>
          <w:szCs w:val="22"/>
        </w:rPr>
        <w:t>.</w:t>
      </w:r>
      <w:r w:rsidR="00A37D33" w:rsidRPr="00362AE4">
        <w:rPr>
          <w:rStyle w:val="FootnoteReference"/>
          <w:szCs w:val="22"/>
        </w:rPr>
        <w:footnoteReference w:id="84"/>
      </w:r>
      <w:r w:rsidR="00A37D33" w:rsidRPr="002F7337">
        <w:rPr>
          <w:szCs w:val="22"/>
        </w:rPr>
        <w:t xml:space="preserve"> </w:t>
      </w:r>
      <w:r w:rsidR="002F7337">
        <w:rPr>
          <w:szCs w:val="22"/>
        </w:rPr>
        <w:t xml:space="preserve"> </w:t>
      </w:r>
      <w:r w:rsidR="00931560">
        <w:rPr>
          <w:szCs w:val="22"/>
        </w:rPr>
        <w:t xml:space="preserve">As set forth in the </w:t>
      </w:r>
      <w:r w:rsidR="00D44FE5" w:rsidRPr="00D44FE5">
        <w:rPr>
          <w:i/>
        </w:rPr>
        <w:t>NAL</w:t>
      </w:r>
      <w:r w:rsidR="00931560">
        <w:rPr>
          <w:szCs w:val="22"/>
        </w:rPr>
        <w:t xml:space="preserve"> and further described </w:t>
      </w:r>
      <w:r w:rsidR="00D90B5A">
        <w:rPr>
          <w:szCs w:val="22"/>
        </w:rPr>
        <w:t>above</w:t>
      </w:r>
      <w:r w:rsidR="00931560">
        <w:rPr>
          <w:szCs w:val="22"/>
        </w:rPr>
        <w:t>,</w:t>
      </w:r>
      <w:r w:rsidR="00D90B5A">
        <w:rPr>
          <w:szCs w:val="22"/>
        </w:rPr>
        <w:t xml:space="preserve"> however, </w:t>
      </w:r>
      <w:r w:rsidR="00931560">
        <w:rPr>
          <w:szCs w:val="22"/>
        </w:rPr>
        <w:t>the Com</w:t>
      </w:r>
      <w:r w:rsidR="002A43B1">
        <w:rPr>
          <w:szCs w:val="22"/>
        </w:rPr>
        <w:t xml:space="preserve">mission considered </w:t>
      </w:r>
      <w:r w:rsidR="00931560">
        <w:rPr>
          <w:szCs w:val="22"/>
        </w:rPr>
        <w:t>the statutory factors in making its forfeiture determinations.</w:t>
      </w:r>
      <w:r w:rsidR="00931560">
        <w:rPr>
          <w:rStyle w:val="FootnoteReference"/>
          <w:szCs w:val="22"/>
        </w:rPr>
        <w:footnoteReference w:id="85"/>
      </w:r>
      <w:r w:rsidR="00931560">
        <w:rPr>
          <w:szCs w:val="22"/>
        </w:rPr>
        <w:t xml:space="preserve">  Moreover, none of the “mitigating” factors cited by Viacom </w:t>
      </w:r>
      <w:r w:rsidR="00EC7E8D">
        <w:rPr>
          <w:szCs w:val="22"/>
        </w:rPr>
        <w:t xml:space="preserve">reduce the Companies’ culpability or otherwise </w:t>
      </w:r>
      <w:r w:rsidR="00931560">
        <w:rPr>
          <w:szCs w:val="22"/>
        </w:rPr>
        <w:t xml:space="preserve">warrant a downward adjustment to the proposed forfeiture.  As noted above, </w:t>
      </w:r>
      <w:r w:rsidR="00465515" w:rsidRPr="00131385">
        <w:rPr>
          <w:color w:val="000000"/>
          <w:szCs w:val="22"/>
        </w:rPr>
        <w:t xml:space="preserve">the Commission has held that </w:t>
      </w:r>
      <w:r w:rsidR="00465515" w:rsidRPr="00131385">
        <w:rPr>
          <w:szCs w:val="22"/>
        </w:rPr>
        <w:t xml:space="preserve">entities acting as “conduits” for </w:t>
      </w:r>
      <w:r w:rsidR="00E62A51">
        <w:rPr>
          <w:szCs w:val="22"/>
        </w:rPr>
        <w:t>improper</w:t>
      </w:r>
      <w:r w:rsidR="00465515" w:rsidRPr="00131385">
        <w:rPr>
          <w:szCs w:val="22"/>
        </w:rPr>
        <w:t xml:space="preserve"> behavior cannot</w:t>
      </w:r>
      <w:r w:rsidR="00931560">
        <w:rPr>
          <w:szCs w:val="22"/>
        </w:rPr>
        <w:t xml:space="preserve"> divest themselves of liability by shifting</w:t>
      </w:r>
      <w:r w:rsidR="00465515" w:rsidRPr="00131385">
        <w:rPr>
          <w:szCs w:val="22"/>
        </w:rPr>
        <w:t xml:space="preserve"> blame to a third party.</w:t>
      </w:r>
      <w:r w:rsidR="00465515" w:rsidRPr="00131385">
        <w:rPr>
          <w:rStyle w:val="FootnoteReference"/>
          <w:szCs w:val="22"/>
        </w:rPr>
        <w:footnoteReference w:id="86"/>
      </w:r>
      <w:r w:rsidR="00465515" w:rsidRPr="00131385">
        <w:rPr>
          <w:szCs w:val="22"/>
        </w:rPr>
        <w:t xml:space="preserve">  </w:t>
      </w:r>
      <w:r w:rsidR="00A47EF9" w:rsidRPr="00131385">
        <w:rPr>
          <w:szCs w:val="22"/>
        </w:rPr>
        <w:t>I</w:t>
      </w:r>
      <w:r w:rsidR="00465515" w:rsidRPr="00131385">
        <w:rPr>
          <w:szCs w:val="22"/>
        </w:rPr>
        <w:t xml:space="preserve">n the EAS context, the Commission has previously held a </w:t>
      </w:r>
      <w:r w:rsidR="00E00CD7">
        <w:rPr>
          <w:szCs w:val="22"/>
        </w:rPr>
        <w:t>cable programmer such as Viacom</w:t>
      </w:r>
      <w:r w:rsidR="00465515" w:rsidRPr="00131385">
        <w:rPr>
          <w:szCs w:val="22"/>
        </w:rPr>
        <w:t xml:space="preserve"> responsible for transmitting </w:t>
      </w:r>
      <w:r w:rsidR="00E62A51">
        <w:rPr>
          <w:szCs w:val="22"/>
        </w:rPr>
        <w:t>objectionable</w:t>
      </w:r>
      <w:r w:rsidR="00465515" w:rsidRPr="00131385">
        <w:rPr>
          <w:szCs w:val="22"/>
        </w:rPr>
        <w:t xml:space="preserve"> material produced by a third party.</w:t>
      </w:r>
      <w:r w:rsidR="00465515" w:rsidRPr="00131385">
        <w:rPr>
          <w:rStyle w:val="FootnoteReference"/>
          <w:szCs w:val="22"/>
        </w:rPr>
        <w:footnoteReference w:id="87"/>
      </w:r>
      <w:r w:rsidR="00A47EF9" w:rsidRPr="00131385">
        <w:rPr>
          <w:color w:val="000000"/>
          <w:szCs w:val="22"/>
        </w:rPr>
        <w:t xml:space="preserve">  </w:t>
      </w:r>
      <w:r w:rsidR="000A25DE">
        <w:rPr>
          <w:color w:val="000000"/>
          <w:szCs w:val="22"/>
        </w:rPr>
        <w:t>Moreover, as previously discussed,</w:t>
      </w:r>
      <w:r w:rsidR="00D44FE5" w:rsidRPr="00D44FE5">
        <w:rPr>
          <w:color w:val="000000"/>
        </w:rPr>
        <w:t xml:space="preserve"> </w:t>
      </w:r>
      <w:r w:rsidR="00C36F40" w:rsidRPr="00BF7CFE">
        <w:t>ignorance or mistake of law are n</w:t>
      </w:r>
      <w:r w:rsidR="000A25DE">
        <w:t>either</w:t>
      </w:r>
      <w:r w:rsidR="00C36F40" w:rsidRPr="00BF7CFE">
        <w:t xml:space="preserve"> exculpating </w:t>
      </w:r>
      <w:r w:rsidR="000A25DE">
        <w:t>n</w:t>
      </w:r>
      <w:r w:rsidR="00C36F40" w:rsidRPr="00BF7CFE">
        <w:t>or mitigating</w:t>
      </w:r>
      <w:r w:rsidR="006F201B">
        <w:t xml:space="preserve"> factors when assessing a forfeiture</w:t>
      </w:r>
      <w:r w:rsidR="00131385" w:rsidRPr="00BF7CFE">
        <w:rPr>
          <w:szCs w:val="22"/>
        </w:rPr>
        <w:t>.</w:t>
      </w:r>
      <w:r w:rsidR="00131385" w:rsidRPr="00BF7CFE">
        <w:rPr>
          <w:rStyle w:val="FootnoteReference"/>
          <w:szCs w:val="22"/>
        </w:rPr>
        <w:footnoteReference w:id="88"/>
      </w:r>
      <w:r w:rsidR="00A47EF9" w:rsidRPr="00BF7CFE">
        <w:rPr>
          <w:szCs w:val="22"/>
        </w:rPr>
        <w:t xml:space="preserve"> </w:t>
      </w:r>
      <w:r w:rsidR="00931560">
        <w:rPr>
          <w:szCs w:val="22"/>
        </w:rPr>
        <w:t xml:space="preserve"> </w:t>
      </w:r>
      <w:r w:rsidR="00E00CD7">
        <w:rPr>
          <w:szCs w:val="22"/>
        </w:rPr>
        <w:t>Likewise, i</w:t>
      </w:r>
      <w:r w:rsidR="00931560" w:rsidRPr="002F7337">
        <w:rPr>
          <w:color w:val="000000"/>
          <w:szCs w:val="22"/>
        </w:rPr>
        <w:t>t is well settled precedent that subsequent remedial actions do not excuse or nullify a licensee</w:t>
      </w:r>
      <w:r w:rsidR="008A2D46">
        <w:rPr>
          <w:color w:val="000000"/>
          <w:szCs w:val="22"/>
        </w:rPr>
        <w:t>’</w:t>
      </w:r>
      <w:r w:rsidR="00931560" w:rsidRPr="002F7337">
        <w:rPr>
          <w:color w:val="000000"/>
          <w:szCs w:val="22"/>
        </w:rPr>
        <w:t xml:space="preserve">s violation of a </w:t>
      </w:r>
      <w:r w:rsidR="00931560" w:rsidRPr="00131385">
        <w:rPr>
          <w:color w:val="000000"/>
          <w:szCs w:val="22"/>
        </w:rPr>
        <w:t>Commission rule.</w:t>
      </w:r>
      <w:r w:rsidR="00931560" w:rsidRPr="00131385">
        <w:rPr>
          <w:rStyle w:val="FootnoteReference"/>
          <w:szCs w:val="22"/>
        </w:rPr>
        <w:footnoteReference w:id="89"/>
      </w:r>
      <w:r w:rsidR="00931560" w:rsidRPr="00131385">
        <w:rPr>
          <w:color w:val="000000"/>
          <w:szCs w:val="22"/>
        </w:rPr>
        <w:t xml:space="preserve">  </w:t>
      </w:r>
    </w:p>
    <w:p w:rsidR="0068778F" w:rsidRPr="006E6059" w:rsidRDefault="005A4B60" w:rsidP="00046706">
      <w:pPr>
        <w:pStyle w:val="ParaNum"/>
        <w:widowControl/>
        <w:rPr>
          <w:shd w:val="clear" w:color="auto" w:fill="FFFFFF"/>
        </w:rPr>
      </w:pPr>
      <w:r w:rsidRPr="002F7337">
        <w:t xml:space="preserve">Viacom </w:t>
      </w:r>
      <w:r w:rsidR="00E00CD7">
        <w:t xml:space="preserve">further </w:t>
      </w:r>
      <w:r w:rsidRPr="002F7337">
        <w:t xml:space="preserve">asserts </w:t>
      </w:r>
      <w:r w:rsidR="00C02427">
        <w:t xml:space="preserve">that </w:t>
      </w:r>
      <w:r w:rsidR="00E00CD7">
        <w:t xml:space="preserve">the forfeiture amounts exceed statutory maximums because </w:t>
      </w:r>
      <w:r w:rsidR="00914013" w:rsidRPr="002F7337">
        <w:t>its conduct</w:t>
      </w:r>
      <w:r w:rsidR="002A43B1">
        <w:t>,</w:t>
      </w:r>
      <w:r w:rsidR="00E00CD7">
        <w:t xml:space="preserve"> at most</w:t>
      </w:r>
      <w:r w:rsidR="002A43B1">
        <w:t>,</w:t>
      </w:r>
      <w:r w:rsidR="00914013" w:rsidRPr="002F7337">
        <w:t xml:space="preserve"> constituted</w:t>
      </w:r>
      <w:r w:rsidRPr="002F7337">
        <w:t xml:space="preserve"> a single violation or a </w:t>
      </w:r>
      <w:r w:rsidR="00914013" w:rsidRPr="002F7337">
        <w:t xml:space="preserve">unitary </w:t>
      </w:r>
      <w:r w:rsidRPr="002F7337">
        <w:t>“continuing violation” that</w:t>
      </w:r>
      <w:r>
        <w:t xml:space="preserve"> lasted just five days.</w:t>
      </w:r>
      <w:r>
        <w:rPr>
          <w:rStyle w:val="FootnoteReference"/>
          <w:szCs w:val="22"/>
        </w:rPr>
        <w:footnoteReference w:id="90"/>
      </w:r>
      <w:r>
        <w:t xml:space="preserve"> </w:t>
      </w:r>
      <w:r w:rsidR="00EC55D8">
        <w:t xml:space="preserve"> </w:t>
      </w:r>
      <w:r w:rsidR="00E00CD7">
        <w:t xml:space="preserve">We do not agree.  </w:t>
      </w:r>
      <w:r w:rsidR="00E00CD7" w:rsidRPr="0068778F">
        <w:rPr>
          <w:shd w:val="clear" w:color="auto" w:fill="FFFFFF"/>
        </w:rPr>
        <w:t xml:space="preserve">In determining the proposed forfeiture amounts, we appropriately found that each transmission of </w:t>
      </w:r>
      <w:r w:rsidR="00E00CD7" w:rsidRPr="0068778F">
        <w:rPr>
          <w:i/>
          <w:shd w:val="clear" w:color="auto" w:fill="FFFFFF"/>
        </w:rPr>
        <w:t>The No Surrender Trailer</w:t>
      </w:r>
      <w:r w:rsidR="00E00CD7" w:rsidRPr="0068778F">
        <w:rPr>
          <w:shd w:val="clear" w:color="auto" w:fill="FFFFFF"/>
        </w:rPr>
        <w:t xml:space="preserve"> constitute</w:t>
      </w:r>
      <w:r w:rsidR="00F56631">
        <w:rPr>
          <w:shd w:val="clear" w:color="auto" w:fill="FFFFFF"/>
        </w:rPr>
        <w:t>d</w:t>
      </w:r>
      <w:r w:rsidR="00E00CD7" w:rsidRPr="0068778F">
        <w:rPr>
          <w:shd w:val="clear" w:color="auto" w:fill="FFFFFF"/>
        </w:rPr>
        <w:t xml:space="preserve"> a separate and distinct violation.</w:t>
      </w:r>
      <w:r w:rsidR="00E00CD7">
        <w:rPr>
          <w:rStyle w:val="FootnoteReference"/>
          <w:shd w:val="clear" w:color="auto" w:fill="FFFFFF"/>
        </w:rPr>
        <w:footnoteReference w:id="91"/>
      </w:r>
      <w:r w:rsidR="00E00CD7" w:rsidRPr="0068778F">
        <w:rPr>
          <w:shd w:val="clear" w:color="auto" w:fill="FFFFFF"/>
        </w:rPr>
        <w:t xml:space="preserve">  The Companies actively and </w:t>
      </w:r>
      <w:r w:rsidR="00FF2AE8">
        <w:rPr>
          <w:shd w:val="clear" w:color="auto" w:fill="FFFFFF"/>
        </w:rPr>
        <w:t>willfully</w:t>
      </w:r>
      <w:r w:rsidR="00FF2AE8" w:rsidRPr="0068778F">
        <w:rPr>
          <w:shd w:val="clear" w:color="auto" w:fill="FFFFFF"/>
        </w:rPr>
        <w:t xml:space="preserve"> </w:t>
      </w:r>
      <w:r w:rsidR="00E00CD7" w:rsidRPr="0068778F">
        <w:rPr>
          <w:shd w:val="clear" w:color="auto" w:fill="FFFFFF"/>
        </w:rPr>
        <w:t>inserted each transmission multiple times into their programming feeds</w:t>
      </w:r>
      <w:r w:rsidR="00C02427">
        <w:rPr>
          <w:shd w:val="clear" w:color="auto" w:fill="FFFFFF"/>
        </w:rPr>
        <w:t xml:space="preserve"> for multiple networks, potentially reaching different audiences throughout the country.</w:t>
      </w:r>
      <w:r w:rsidR="00E9397A">
        <w:rPr>
          <w:rStyle w:val="FootnoteReference"/>
          <w:shd w:val="clear" w:color="auto" w:fill="FFFFFF"/>
        </w:rPr>
        <w:footnoteReference w:id="92"/>
      </w:r>
      <w:r w:rsidR="00E00CD7" w:rsidRPr="0068778F">
        <w:rPr>
          <w:shd w:val="clear" w:color="auto" w:fill="FFFFFF"/>
        </w:rPr>
        <w:t xml:space="preserve">  The Commission’s finding that these actions constituted multiple, separate violations is consistent with other circumstances in which </w:t>
      </w:r>
      <w:r w:rsidR="0068778F" w:rsidRPr="0068778F">
        <w:rPr>
          <w:shd w:val="clear" w:color="auto" w:fill="FFFFFF"/>
        </w:rPr>
        <w:t>multiple violations of the same rule are counted as separate and distinct violations for the purpose of forfeiture calculation.</w:t>
      </w:r>
      <w:r w:rsidR="00E00CD7" w:rsidRPr="009978FE">
        <w:rPr>
          <w:rStyle w:val="FootnoteReference"/>
          <w:szCs w:val="22"/>
        </w:rPr>
        <w:footnoteReference w:id="93"/>
      </w:r>
      <w:r w:rsidR="00E00CD7">
        <w:t xml:space="preserve">  </w:t>
      </w:r>
      <w:r w:rsidR="0068778F">
        <w:t xml:space="preserve">Thus, contrary to Viacom’s claim, </w:t>
      </w:r>
      <w:r w:rsidR="0068778F" w:rsidRPr="00BE5340">
        <w:t>the forfeiture amounts</w:t>
      </w:r>
      <w:r w:rsidR="0068778F">
        <w:rPr>
          <w:rStyle w:val="documentbody1"/>
          <w:rFonts w:ascii="Times New Roman" w:hAnsi="Times New Roman"/>
          <w:color w:val="000000"/>
          <w:sz w:val="22"/>
          <w:szCs w:val="22"/>
        </w:rPr>
        <w:t xml:space="preserve"> proposed in the </w:t>
      </w:r>
      <w:r w:rsidR="0068778F" w:rsidRPr="000D4BB3">
        <w:rPr>
          <w:rStyle w:val="documentbody1"/>
          <w:rFonts w:ascii="Times New Roman" w:hAnsi="Times New Roman"/>
          <w:i/>
          <w:color w:val="000000"/>
          <w:sz w:val="22"/>
          <w:szCs w:val="22"/>
        </w:rPr>
        <w:t>NAL</w:t>
      </w:r>
      <w:r w:rsidR="0068778F" w:rsidRPr="006E6059">
        <w:rPr>
          <w:spacing w:val="-2"/>
        </w:rPr>
        <w:t xml:space="preserve"> do not exceed the maximum monetary forfeiture</w:t>
      </w:r>
      <w:r w:rsidR="0068778F">
        <w:rPr>
          <w:spacing w:val="-2"/>
        </w:rPr>
        <w:t>s</w:t>
      </w:r>
      <w:r w:rsidR="0068778F" w:rsidRPr="006E6059">
        <w:rPr>
          <w:spacing w:val="-2"/>
        </w:rPr>
        <w:t xml:space="preserve"> permissible under the Act and the rules</w:t>
      </w:r>
      <w:r w:rsidR="0068778F" w:rsidRPr="006E6059">
        <w:t>.</w:t>
      </w:r>
      <w:r w:rsidR="0068778F" w:rsidRPr="006E6059">
        <w:rPr>
          <w:vertAlign w:val="superscript"/>
        </w:rPr>
        <w:footnoteReference w:id="94"/>
      </w:r>
      <w:r w:rsidR="0068778F">
        <w:t xml:space="preserve">  </w:t>
      </w:r>
    </w:p>
    <w:p w:rsidR="0068778F" w:rsidRPr="00CE03F6" w:rsidRDefault="005A4B60" w:rsidP="00617676">
      <w:pPr>
        <w:pStyle w:val="ParaNum"/>
        <w:rPr>
          <w:color w:val="1F497D"/>
        </w:rPr>
      </w:pPr>
      <w:r>
        <w:t xml:space="preserve">ESPN </w:t>
      </w:r>
      <w:r w:rsidR="00E10947">
        <w:t>asserts that the Commission “fails to explain or justify the much higher per-occurrence forfeiture assessed against ESPN as compared to Viacom and NBC, especially considering that ESPN distributed the [</w:t>
      </w:r>
      <w:r w:rsidR="00E10947">
        <w:rPr>
          <w:i/>
        </w:rPr>
        <w:t>No Surrender Trailer</w:t>
      </w:r>
      <w:r w:rsidR="00E10947">
        <w:t>] fewer times than either Viacom or NBC.”</w:t>
      </w:r>
      <w:r w:rsidR="00E10947">
        <w:rPr>
          <w:rStyle w:val="FootnoteReference"/>
          <w:szCs w:val="22"/>
        </w:rPr>
        <w:footnoteReference w:id="95"/>
      </w:r>
      <w:r w:rsidR="00AE016B">
        <w:t xml:space="preserve"> </w:t>
      </w:r>
      <w:r w:rsidR="002D6D7B">
        <w:t xml:space="preserve"> </w:t>
      </w:r>
      <w:r w:rsidR="0068778F">
        <w:t xml:space="preserve">ESPN’s objection, however, </w:t>
      </w:r>
      <w:r w:rsidR="00833D52">
        <w:t xml:space="preserve">incorrectly </w:t>
      </w:r>
      <w:r w:rsidR="0068778F">
        <w:t xml:space="preserve">assumes that </w:t>
      </w:r>
      <w:r w:rsidR="006F018C">
        <w:t>the instant</w:t>
      </w:r>
      <w:r w:rsidR="0068778F">
        <w:t xml:space="preserve"> forfeiture determination</w:t>
      </w:r>
      <w:r w:rsidR="006F018C">
        <w:t xml:space="preserve"> wa</w:t>
      </w:r>
      <w:r w:rsidR="0068778F">
        <w:t xml:space="preserve">s </w:t>
      </w:r>
      <w:r w:rsidR="006F018C">
        <w:t xml:space="preserve">based </w:t>
      </w:r>
      <w:r w:rsidR="0068778F">
        <w:t xml:space="preserve">solely on a “per occurrence” calculation.  </w:t>
      </w:r>
      <w:r w:rsidR="006F018C">
        <w:t>ESPN’s mistaken surmise ignores several other</w:t>
      </w:r>
      <w:r w:rsidR="0068778F">
        <w:t xml:space="preserve"> important factors that we </w:t>
      </w:r>
      <w:r w:rsidR="006F018C">
        <w:t>duly took into</w:t>
      </w:r>
      <w:r w:rsidR="002A43B1">
        <w:t xml:space="preserve"> consideration</w:t>
      </w:r>
      <w:r w:rsidR="006F018C">
        <w:t xml:space="preserve"> in determining the forfeiture amount</w:t>
      </w:r>
      <w:r w:rsidR="002A43B1">
        <w:t>, including the relative audience reach of the transmissions at issue, the violator’s ability to pay, and the other factors described above.</w:t>
      </w:r>
      <w:r w:rsidR="002A43B1">
        <w:rPr>
          <w:rStyle w:val="FootnoteReference"/>
        </w:rPr>
        <w:footnoteReference w:id="96"/>
      </w:r>
      <w:r w:rsidR="00015037">
        <w:t xml:space="preserve">  For example, all of ESPN’s violations occurred on channels with nationwide reach, whereas some of NBCUniversal’s violations occurred on regional channels.</w:t>
      </w:r>
      <w:r w:rsidR="00015037">
        <w:rPr>
          <w:rStyle w:val="FootnoteReference"/>
        </w:rPr>
        <w:footnoteReference w:id="97"/>
      </w:r>
    </w:p>
    <w:p w:rsidR="008571FB" w:rsidRPr="00E00CD7" w:rsidRDefault="008571FB" w:rsidP="00D750DC">
      <w:pPr>
        <w:pStyle w:val="ParaNum"/>
        <w:rPr>
          <w:shd w:val="clear" w:color="auto" w:fill="FFFFFF"/>
        </w:rPr>
      </w:pPr>
      <w:r>
        <w:t xml:space="preserve">Finally, both Companies argue that </w:t>
      </w:r>
      <w:r w:rsidR="003055AF">
        <w:t xml:space="preserve">imposition of </w:t>
      </w:r>
      <w:r>
        <w:t xml:space="preserve">the forfeitures </w:t>
      </w:r>
      <w:r w:rsidR="003055AF">
        <w:t>is</w:t>
      </w:r>
      <w:r>
        <w:t xml:space="preserve"> arbitrary and capricious because the</w:t>
      </w:r>
      <w:r w:rsidR="006F018C">
        <w:t xml:space="preserve"> Companies</w:t>
      </w:r>
      <w:r>
        <w:t xml:space="preserve"> lacked notice with respect to </w:t>
      </w:r>
      <w:r w:rsidR="00D43CBA">
        <w:t>Section 11.45</w:t>
      </w:r>
      <w:r w:rsidR="003055AF">
        <w:t>’s</w:t>
      </w:r>
      <w:r w:rsidR="006F018C">
        <w:t xml:space="preserve"> </w:t>
      </w:r>
      <w:r>
        <w:t>application</w:t>
      </w:r>
      <w:r>
        <w:rPr>
          <w:i/>
        </w:rPr>
        <w:t>.</w:t>
      </w:r>
      <w:r w:rsidRPr="00CD34E1">
        <w:rPr>
          <w:rStyle w:val="FootnoteReference"/>
          <w:szCs w:val="22"/>
        </w:rPr>
        <w:footnoteReference w:id="98"/>
      </w:r>
      <w:r>
        <w:t xml:space="preserve">  </w:t>
      </w:r>
      <w:r w:rsidR="006F018C">
        <w:t xml:space="preserve">For the reasons set forth in the </w:t>
      </w:r>
      <w:r w:rsidR="006F018C" w:rsidRPr="00746827">
        <w:rPr>
          <w:i/>
        </w:rPr>
        <w:t>NAL</w:t>
      </w:r>
      <w:r w:rsidR="006F018C">
        <w:t>, and as f</w:t>
      </w:r>
      <w:r>
        <w:t xml:space="preserve">urther </w:t>
      </w:r>
      <w:r w:rsidR="006F018C">
        <w:t>amplified above</w:t>
      </w:r>
      <w:r>
        <w:t xml:space="preserve">, we </w:t>
      </w:r>
      <w:r w:rsidR="006F018C">
        <w:t>disagree.</w:t>
      </w:r>
      <w:r w:rsidR="002A43B1">
        <w:rPr>
          <w:rStyle w:val="FootnoteReference"/>
        </w:rPr>
        <w:footnoteReference w:id="99"/>
      </w:r>
      <w:r>
        <w:t xml:space="preserve">  </w:t>
      </w:r>
      <w:r w:rsidR="003055AF">
        <w:t>Therefore, we find that</w:t>
      </w:r>
      <w:r>
        <w:t xml:space="preserve"> imposition of the proposed forfeitures is</w:t>
      </w:r>
      <w:r w:rsidR="003055AF">
        <w:t xml:space="preserve"> fully </w:t>
      </w:r>
      <w:r>
        <w:t>warranted.</w:t>
      </w:r>
    </w:p>
    <w:p w:rsidR="005D2913" w:rsidRPr="001B3F19" w:rsidRDefault="00A83727" w:rsidP="001B3F19">
      <w:pPr>
        <w:pStyle w:val="ParaNum"/>
        <w:widowControl/>
        <w:rPr>
          <w:rStyle w:val="documentbody1"/>
          <w:rFonts w:ascii="Times New Roman" w:hAnsi="Times New Roman"/>
          <w:sz w:val="22"/>
          <w:shd w:val="clear" w:color="auto" w:fill="auto"/>
        </w:rPr>
      </w:pPr>
      <w:r>
        <w:rPr>
          <w:shd w:val="clear" w:color="auto" w:fill="FFFFFF"/>
        </w:rPr>
        <w:t>In conclusion</w:t>
      </w:r>
      <w:r w:rsidR="00BE1063" w:rsidRPr="00BB3723">
        <w:rPr>
          <w:shd w:val="clear" w:color="auto" w:fill="FFFFFF"/>
        </w:rPr>
        <w:t>, based on the number of transmissions at issue, the number of networks involved, the amount of time over which the transmissions took place, the nationwide scope of the Companies’ audience reach, the serious public safety implications of the violations,</w:t>
      </w:r>
      <w:r w:rsidR="008571FB">
        <w:rPr>
          <w:shd w:val="clear" w:color="auto" w:fill="FFFFFF"/>
        </w:rPr>
        <w:t xml:space="preserve"> the Compan</w:t>
      </w:r>
      <w:r w:rsidR="00375F77">
        <w:rPr>
          <w:shd w:val="clear" w:color="auto" w:fill="FFFFFF"/>
        </w:rPr>
        <w:t>ies</w:t>
      </w:r>
      <w:r w:rsidR="008571FB">
        <w:rPr>
          <w:shd w:val="clear" w:color="auto" w:fill="FFFFFF"/>
        </w:rPr>
        <w:t>’ degree of culpability and ability to pay,</w:t>
      </w:r>
      <w:r w:rsidR="00BE1063" w:rsidRPr="00BB3723">
        <w:rPr>
          <w:shd w:val="clear" w:color="auto" w:fill="FFFFFF"/>
        </w:rPr>
        <w:t xml:space="preserve"> as well as </w:t>
      </w:r>
      <w:r w:rsidR="00BE1063" w:rsidRPr="006E6059">
        <w:rPr>
          <w:rStyle w:val="documentbody1"/>
          <w:rFonts w:ascii="Times New Roman" w:hAnsi="Times New Roman"/>
          <w:color w:val="000000"/>
          <w:sz w:val="22"/>
          <w:szCs w:val="22"/>
        </w:rPr>
        <w:t xml:space="preserve">the other factors as outlined in the Commission’s </w:t>
      </w:r>
      <w:r w:rsidR="00BE1063" w:rsidRPr="006E6059">
        <w:rPr>
          <w:rStyle w:val="documentbody1"/>
          <w:rFonts w:ascii="Times New Roman" w:hAnsi="Times New Roman"/>
          <w:i/>
          <w:color w:val="000000"/>
          <w:sz w:val="22"/>
          <w:szCs w:val="22"/>
        </w:rPr>
        <w:t>Forfeiture Policy Statement</w:t>
      </w:r>
      <w:r w:rsidR="00BE1063" w:rsidRPr="006E6059">
        <w:rPr>
          <w:rStyle w:val="documentbody1"/>
          <w:rFonts w:ascii="Times New Roman" w:hAnsi="Times New Roman"/>
          <w:color w:val="000000"/>
          <w:sz w:val="22"/>
          <w:szCs w:val="22"/>
        </w:rPr>
        <w:t xml:space="preserve">, we </w:t>
      </w:r>
      <w:r w:rsidR="008A7825">
        <w:rPr>
          <w:rStyle w:val="documentbody1"/>
          <w:rFonts w:ascii="Times New Roman" w:hAnsi="Times New Roman"/>
          <w:color w:val="000000"/>
          <w:sz w:val="22"/>
          <w:szCs w:val="22"/>
        </w:rPr>
        <w:t>confirm</w:t>
      </w:r>
      <w:r w:rsidR="00BE1063" w:rsidRPr="006E6059">
        <w:rPr>
          <w:rStyle w:val="documentbody1"/>
          <w:rFonts w:ascii="Times New Roman" w:hAnsi="Times New Roman"/>
          <w:color w:val="000000"/>
          <w:sz w:val="22"/>
          <w:szCs w:val="22"/>
        </w:rPr>
        <w:t xml:space="preserve"> that a forfeiture of </w:t>
      </w:r>
      <w:r w:rsidR="00BE1063" w:rsidRPr="006E6059">
        <w:rPr>
          <w:spacing w:val="-2"/>
        </w:rPr>
        <w:t>one million, one hundred twenty thousand dollars ($1,120,000)</w:t>
      </w:r>
      <w:r w:rsidR="00BE1063" w:rsidRPr="006E6059">
        <w:t xml:space="preserve"> </w:t>
      </w:r>
      <w:r w:rsidR="00BE1063" w:rsidRPr="006E6059">
        <w:rPr>
          <w:rStyle w:val="documentbody1"/>
          <w:rFonts w:ascii="Times New Roman" w:hAnsi="Times New Roman"/>
          <w:color w:val="000000"/>
          <w:sz w:val="22"/>
          <w:szCs w:val="22"/>
        </w:rPr>
        <w:t>is appropriate against Viacom; and a forfeiture of two hundred eighty thousand dollars ($280,000) is appropriate against ESPN.</w:t>
      </w:r>
      <w:r w:rsidR="00BE1063" w:rsidRPr="006E6059">
        <w:rPr>
          <w:rStyle w:val="FootnoteReference"/>
          <w:color w:val="000000"/>
          <w:szCs w:val="22"/>
          <w:shd w:val="clear" w:color="auto" w:fill="FFFFFF"/>
        </w:rPr>
        <w:footnoteReference w:id="100"/>
      </w:r>
    </w:p>
    <w:p w:rsidR="005D2913" w:rsidRPr="001B3F19" w:rsidRDefault="005D2913" w:rsidP="00046706">
      <w:pPr>
        <w:pStyle w:val="Heading1"/>
      </w:pPr>
      <w:r w:rsidRPr="005D2913">
        <w:t>ORDERING CLAUSES</w:t>
      </w:r>
    </w:p>
    <w:p w:rsidR="00ED50F3" w:rsidRDefault="00ED50F3" w:rsidP="00046706">
      <w:pPr>
        <w:pStyle w:val="ParaNum"/>
        <w:widowControl/>
      </w:pPr>
      <w:r>
        <w:rPr>
          <w:b/>
        </w:rPr>
        <w:t>ACCORDINGLY</w:t>
      </w:r>
      <w:r>
        <w:t xml:space="preserve">, </w:t>
      </w:r>
      <w:r>
        <w:rPr>
          <w:b/>
        </w:rPr>
        <w:t>IT IS ORDERED</w:t>
      </w:r>
      <w:r>
        <w:t>, pursuant to Section 503(b) of the</w:t>
      </w:r>
      <w:r w:rsidR="00D9364F" w:rsidRPr="00833AF8">
        <w:rPr>
          <w:color w:val="000000"/>
        </w:rPr>
        <w:t xml:space="preserve"> </w:t>
      </w:r>
      <w:r w:rsidR="00D9364F">
        <w:rPr>
          <w:color w:val="000000"/>
        </w:rPr>
        <w:t>Act</w:t>
      </w:r>
      <w:r>
        <w:t>,</w:t>
      </w:r>
      <w:r>
        <w:rPr>
          <w:rStyle w:val="FootnoteReference"/>
          <w:spacing w:val="-2"/>
          <w:szCs w:val="22"/>
        </w:rPr>
        <w:footnoteReference w:id="101"/>
      </w:r>
      <w:r>
        <w:t xml:space="preserve"> and Section 1.80 of the Commission’s rules,</w:t>
      </w:r>
      <w:r>
        <w:rPr>
          <w:rStyle w:val="FootnoteReference"/>
          <w:spacing w:val="-2"/>
          <w:szCs w:val="22"/>
        </w:rPr>
        <w:footnoteReference w:id="102"/>
      </w:r>
      <w:r>
        <w:t xml:space="preserve"> that </w:t>
      </w:r>
      <w:r>
        <w:rPr>
          <w:spacing w:val="-2"/>
        </w:rPr>
        <w:t xml:space="preserve">Viacom Inc. </w:t>
      </w:r>
      <w:r>
        <w:rPr>
          <w:b/>
          <w:spacing w:val="-2"/>
        </w:rPr>
        <w:t>IS LIABLE FOR A MONETARY FORFEITURE</w:t>
      </w:r>
      <w:r>
        <w:t xml:space="preserve"> in the amount of </w:t>
      </w:r>
      <w:r>
        <w:rPr>
          <w:spacing w:val="-2"/>
        </w:rPr>
        <w:t>one million, one hundred twenty thousand dollars ($1,120,000)</w:t>
      </w:r>
      <w:r>
        <w:t xml:space="preserve"> for willfully and repeatedly violating Section 11.45 of the Commission’s rules</w:t>
      </w:r>
      <w:r>
        <w:rPr>
          <w:rStyle w:val="FootnoteReference"/>
          <w:szCs w:val="22"/>
        </w:rPr>
        <w:footnoteReference w:id="103"/>
      </w:r>
      <w:r>
        <w:t xml:space="preserve"> and Section 325(a) of the Act.</w:t>
      </w:r>
      <w:r>
        <w:rPr>
          <w:rStyle w:val="FootnoteReference"/>
          <w:szCs w:val="22"/>
        </w:rPr>
        <w:footnoteReference w:id="104"/>
      </w:r>
    </w:p>
    <w:p w:rsidR="003055AF" w:rsidRPr="00ED50F3" w:rsidRDefault="00ED50F3" w:rsidP="001B3F19">
      <w:pPr>
        <w:pStyle w:val="ParaNum"/>
      </w:pPr>
      <w:r w:rsidRPr="00ED50F3">
        <w:rPr>
          <w:b/>
        </w:rPr>
        <w:t>IT IS FURTHER ORDERED</w:t>
      </w:r>
      <w:r w:rsidRPr="00ED50F3">
        <w:t xml:space="preserve">, pursuant to Section 503(b) of the </w:t>
      </w:r>
      <w:r w:rsidR="00D9364F">
        <w:rPr>
          <w:color w:val="000000"/>
        </w:rPr>
        <w:t>Act</w:t>
      </w:r>
      <w:r w:rsidRPr="00ED50F3">
        <w:t>,</w:t>
      </w:r>
      <w:r w:rsidRPr="00ED50F3">
        <w:rPr>
          <w:rStyle w:val="FootnoteReference"/>
          <w:spacing w:val="-2"/>
          <w:szCs w:val="22"/>
        </w:rPr>
        <w:footnoteReference w:id="105"/>
      </w:r>
      <w:r w:rsidRPr="00ED50F3">
        <w:t xml:space="preserve"> and Section 1.80 of the Commission’s rules,</w:t>
      </w:r>
      <w:r w:rsidRPr="00ED50F3">
        <w:rPr>
          <w:rStyle w:val="FootnoteReference"/>
          <w:spacing w:val="-2"/>
          <w:szCs w:val="22"/>
        </w:rPr>
        <w:footnoteReference w:id="106"/>
      </w:r>
      <w:r w:rsidRPr="00ED50F3">
        <w:t xml:space="preserve"> that </w:t>
      </w:r>
      <w:r w:rsidRPr="00ED50F3">
        <w:rPr>
          <w:spacing w:val="-2"/>
        </w:rPr>
        <w:t xml:space="preserve">ESPN Inc. </w:t>
      </w:r>
      <w:r w:rsidRPr="00ED50F3">
        <w:rPr>
          <w:b/>
          <w:spacing w:val="-2"/>
        </w:rPr>
        <w:t>IS LIABLE FOR A MONETARY FORFEITURE</w:t>
      </w:r>
      <w:r w:rsidRPr="00ED50F3">
        <w:t xml:space="preserve"> in the amount of </w:t>
      </w:r>
      <w:r w:rsidRPr="00ED50F3">
        <w:rPr>
          <w:rStyle w:val="documentbody1"/>
          <w:rFonts w:ascii="Times New Roman" w:hAnsi="Times New Roman"/>
          <w:color w:val="000000"/>
          <w:sz w:val="22"/>
          <w:szCs w:val="22"/>
        </w:rPr>
        <w:t xml:space="preserve">two hundred eighty thousand dollars ($280,000) </w:t>
      </w:r>
      <w:r w:rsidRPr="00ED50F3">
        <w:t>for willfully and repeatedly violating Section 11.45 of the Commission’s rules</w:t>
      </w:r>
      <w:r w:rsidRPr="00ED50F3">
        <w:rPr>
          <w:rStyle w:val="FootnoteReference"/>
          <w:szCs w:val="22"/>
        </w:rPr>
        <w:footnoteReference w:id="107"/>
      </w:r>
      <w:r w:rsidRPr="00ED50F3">
        <w:t xml:space="preserve"> and Section 325(a) of the Act.</w:t>
      </w:r>
      <w:r w:rsidRPr="00ED50F3">
        <w:rPr>
          <w:rStyle w:val="FootnoteReference"/>
          <w:szCs w:val="22"/>
        </w:rPr>
        <w:footnoteReference w:id="108"/>
      </w:r>
    </w:p>
    <w:p w:rsidR="00ED50F3" w:rsidRDefault="00ED50F3" w:rsidP="001B3F19">
      <w:pPr>
        <w:pStyle w:val="ParaNum"/>
        <w:tabs>
          <w:tab w:val="left" w:pos="1440"/>
        </w:tabs>
      </w:pPr>
      <w:r>
        <w:t>Payment of the forfeiture must be made by check or similar instrument, wire transfer, or credit card</w:t>
      </w:r>
      <w:r w:rsidR="00D9364F">
        <w:t xml:space="preserve"> within thirty (30) calendar days of the release date of this Forfeiture Order</w:t>
      </w:r>
      <w:r>
        <w:t xml:space="preserve">, and must include the NAL/Account Numbers and FRNs referenced above.  </w:t>
      </w:r>
      <w:r w:rsidR="00D9364F">
        <w:t>If the forfeiture is not paid within the period specified, the case may be referred to the U.S. Department of Justice for enforcement of the forfeiture pursuant to Section 504(a) of the Act.</w:t>
      </w:r>
      <w:r w:rsidR="00D9364F">
        <w:rPr>
          <w:rStyle w:val="FootnoteReference"/>
        </w:rPr>
        <w:footnoteReference w:id="109"/>
      </w:r>
      <w:r w:rsidR="00D9364F">
        <w:t xml:space="preserve">  </w:t>
      </w:r>
      <w:r>
        <w:rPr>
          <w:spacing w:val="-2"/>
        </w:rPr>
        <w:t xml:space="preserve">Viacom Inc. and ESPN Inc., respectively, </w:t>
      </w:r>
      <w:r>
        <w:t>shall send electronic notification of payment to Terry.Cavanaugh@fcc.gov, Jeffrey.Gee@fcc.gov, Kenneth.Scheibel@fcc.gov, and Jennifer.Lewis@fcc.gov, on the date said payment is made.  Regardless of the form of payment, a completed FCC Form 159 (Remittance Advice) must be submitted.</w:t>
      </w:r>
      <w:r>
        <w:rPr>
          <w:rStyle w:val="FootnoteReference"/>
          <w:color w:val="000000"/>
          <w:shd w:val="clear" w:color="auto" w:fill="FFFFFF"/>
        </w:rPr>
        <w:footnoteReference w:id="110"/>
      </w:r>
      <w:r>
        <w:rPr>
          <w:rStyle w:val="FootnoteReference"/>
          <w:color w:val="000000"/>
          <w:shd w:val="clear" w:color="auto" w:fill="FFFFFF"/>
        </w:rPr>
        <w:t xml:space="preserve"> </w:t>
      </w:r>
      <w:r>
        <w:t xml:space="preserve"> When completing the FCC Form 159, enter the Account Number in block number 23A (call sign/other ID) and enter the letters “FORF” in block number 24A (payment type code).  Below</w:t>
      </w:r>
      <w:r w:rsidR="00D9364F">
        <w:t xml:space="preserve"> are additional instructions </w:t>
      </w:r>
      <w:r w:rsidR="00D9364F">
        <w:rPr>
          <w:spacing w:val="-2"/>
        </w:rPr>
        <w:t>Viacom Inc. and ESPN Inc.</w:t>
      </w:r>
      <w:r>
        <w:t xml:space="preserve"> should follow </w:t>
      </w:r>
      <w:r w:rsidR="00D9364F">
        <w:t>based on the form of payment they</w:t>
      </w:r>
      <w:r>
        <w:t xml:space="preserve"> select:</w:t>
      </w:r>
    </w:p>
    <w:p w:rsidR="00ED50F3" w:rsidRDefault="00ED50F3" w:rsidP="001B3F19">
      <w:pPr>
        <w:pStyle w:val="ParaNum"/>
        <w:numPr>
          <w:ilvl w:val="0"/>
          <w:numId w:val="5"/>
        </w:numPr>
        <w:tabs>
          <w:tab w:val="left" w:pos="1440"/>
        </w:tabs>
        <w:autoSpaceDN w:val="0"/>
        <w:rPr>
          <w:rFonts w:eastAsia="MS Mincho"/>
          <w:szCs w:val="22"/>
        </w:rPr>
      </w:pPr>
      <w:r>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ED50F3" w:rsidRDefault="00ED50F3" w:rsidP="001B3F19">
      <w:pPr>
        <w:pStyle w:val="ParaNum"/>
        <w:numPr>
          <w:ilvl w:val="0"/>
          <w:numId w:val="5"/>
        </w:numPr>
        <w:tabs>
          <w:tab w:val="left" w:pos="1440"/>
        </w:tabs>
        <w:autoSpaceDN w:val="0"/>
        <w:rPr>
          <w:rFonts w:eastAsia="MS Mincho"/>
          <w:szCs w:val="22"/>
        </w:rPr>
      </w:pPr>
      <w:r>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ED50F3" w:rsidRDefault="00ED50F3" w:rsidP="00046706">
      <w:pPr>
        <w:pStyle w:val="ParaNum"/>
        <w:widowControl/>
        <w:numPr>
          <w:ilvl w:val="0"/>
          <w:numId w:val="5"/>
        </w:numPr>
        <w:tabs>
          <w:tab w:val="left" w:pos="1440"/>
        </w:tabs>
        <w:autoSpaceDN w:val="0"/>
        <w:rPr>
          <w:rFonts w:eastAsia="MS Mincho"/>
          <w:szCs w:val="22"/>
        </w:rPr>
      </w:pPr>
      <w:r>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353564" w:rsidRDefault="00ED50F3" w:rsidP="001B3F19">
      <w:pPr>
        <w:pStyle w:val="ParaNum"/>
        <w:rPr>
          <w:rFonts w:eastAsia="MS Mincho"/>
        </w:rPr>
      </w:pPr>
      <w:r w:rsidRPr="00C832DC">
        <w:rPr>
          <w:rFonts w:eastAsia="MS Mincho"/>
        </w:rPr>
        <w:t>Any request for full payment over time under an installment plan should be sent to:  Chief, Financial Officer—Financial Operations, Federal Communications Commission, 445 12th Street, S.W., Room 1-A625, Washington, D.C.  20554.</w:t>
      </w:r>
      <w:r>
        <w:rPr>
          <w:rStyle w:val="FootnoteReference"/>
          <w:rFonts w:eastAsia="MS Mincho"/>
          <w:szCs w:val="22"/>
        </w:rPr>
        <w:footnoteReference w:id="111"/>
      </w:r>
      <w:r w:rsidRPr="00C832DC">
        <w:rPr>
          <w:rFonts w:eastAsia="MS Mincho"/>
        </w:rPr>
        <w:t>  If there are questions regarding payment procedures, the respective Company should contact the Financial Operations Group Help Desk by phone, 1-877-480-3201, or by e</w:t>
      </w:r>
      <w:r w:rsidRPr="00C832DC">
        <w:rPr>
          <w:rFonts w:eastAsia="MS Mincho"/>
        </w:rPr>
        <w:noBreakHyphen/>
        <w:t xml:space="preserve">mail, </w:t>
      </w:r>
      <w:r w:rsidR="00C832DC" w:rsidRPr="00D9364F">
        <w:rPr>
          <w:rFonts w:eastAsia="MS Mincho"/>
        </w:rPr>
        <w:t>ARINQUIRIES@fcc.gov</w:t>
      </w:r>
    </w:p>
    <w:p w:rsidR="00ED50F3" w:rsidRPr="00BB3723" w:rsidRDefault="00ED50F3" w:rsidP="001B3F19">
      <w:pPr>
        <w:pStyle w:val="ParaNum"/>
      </w:pPr>
      <w:r w:rsidRPr="00BB3723">
        <w:rPr>
          <w:b/>
        </w:rPr>
        <w:t xml:space="preserve">IT IS FURTHER ORDERED, </w:t>
      </w:r>
      <w:r w:rsidRPr="00BB3723">
        <w:t>that</w:t>
      </w:r>
      <w:r w:rsidR="00D9364F">
        <w:t xml:space="preserve"> copies of this Forfeiture Order</w:t>
      </w:r>
      <w:r w:rsidRPr="00BB3723">
        <w:t xml:space="preserve"> shall be sent, by First Class Mail and Certified Mail, to Meredith S. Senter, Jr., Esq. and Dennis P. Corbett, Esq., counsel to Viacom Inc., Lerman Senter PLLC, 2000 K Street, NW, Suite 600, Washington, DC 20006, and </w:t>
      </w:r>
      <w:r w:rsidR="00D9364F">
        <w:t xml:space="preserve">to </w:t>
      </w:r>
      <w:r w:rsidRPr="00BB3723">
        <w:t>Tom W. Davidson, Esq., counsel to ESPN Inc., Akin Gump Strauss Hauer &amp; Feld LLP, 1333 New Hampshire Avenue, NW, Washington, DC 20036-1564.</w:t>
      </w:r>
    </w:p>
    <w:p w:rsidR="00ED50F3" w:rsidRDefault="00ED50F3" w:rsidP="00A7441B">
      <w:pPr>
        <w:widowControl/>
        <w:tabs>
          <w:tab w:val="left" w:pos="0"/>
        </w:tabs>
        <w:suppressAutoHyphens/>
        <w:spacing w:line="240" w:lineRule="atLeast"/>
        <w:ind w:firstLine="720"/>
        <w:rPr>
          <w:spacing w:val="-2"/>
          <w:szCs w:val="22"/>
        </w:rPr>
      </w:pPr>
    </w:p>
    <w:p w:rsidR="00ED50F3" w:rsidRDefault="00ED50F3" w:rsidP="00ED50F3">
      <w:pPr>
        <w:widowControl/>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sidR="00370A21">
        <w:rPr>
          <w:spacing w:val="-2"/>
          <w:szCs w:val="22"/>
        </w:rPr>
        <w:tab/>
      </w:r>
      <w:r>
        <w:rPr>
          <w:spacing w:val="-2"/>
          <w:szCs w:val="22"/>
        </w:rPr>
        <w:t>FEDERAL COMMUNICATIONS COMMISSION</w:t>
      </w:r>
    </w:p>
    <w:p w:rsidR="00ED50F3" w:rsidRDefault="00ED50F3" w:rsidP="00ED50F3">
      <w:pPr>
        <w:widowControl/>
        <w:tabs>
          <w:tab w:val="left" w:pos="0"/>
        </w:tabs>
        <w:suppressAutoHyphens/>
        <w:spacing w:line="240" w:lineRule="atLeast"/>
        <w:rPr>
          <w:spacing w:val="-2"/>
          <w:szCs w:val="22"/>
        </w:rPr>
      </w:pPr>
    </w:p>
    <w:p w:rsidR="00975081" w:rsidRDefault="00975081" w:rsidP="00ED50F3">
      <w:pPr>
        <w:widowControl/>
        <w:tabs>
          <w:tab w:val="left" w:pos="0"/>
        </w:tabs>
        <w:suppressAutoHyphens/>
        <w:spacing w:line="240" w:lineRule="atLeast"/>
        <w:rPr>
          <w:spacing w:val="-2"/>
          <w:szCs w:val="22"/>
        </w:rPr>
      </w:pPr>
    </w:p>
    <w:p w:rsidR="00677453" w:rsidRDefault="00677453" w:rsidP="00ED50F3">
      <w:pPr>
        <w:widowControl/>
        <w:tabs>
          <w:tab w:val="left" w:pos="0"/>
        </w:tabs>
        <w:suppressAutoHyphens/>
        <w:spacing w:line="240" w:lineRule="atLeast"/>
        <w:rPr>
          <w:spacing w:val="-2"/>
          <w:szCs w:val="22"/>
        </w:rPr>
      </w:pPr>
    </w:p>
    <w:p w:rsidR="00677453" w:rsidRDefault="00677453" w:rsidP="00ED50F3">
      <w:pPr>
        <w:widowControl/>
        <w:tabs>
          <w:tab w:val="left" w:pos="0"/>
        </w:tabs>
        <w:suppressAutoHyphens/>
        <w:spacing w:line="240" w:lineRule="atLeast"/>
        <w:rPr>
          <w:spacing w:val="-2"/>
          <w:szCs w:val="22"/>
        </w:rPr>
      </w:pPr>
    </w:p>
    <w:p w:rsidR="00ED50F3" w:rsidRDefault="00975081" w:rsidP="00ED50F3">
      <w:pPr>
        <w:widowControl/>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sidR="00370A21">
        <w:rPr>
          <w:spacing w:val="-2"/>
          <w:szCs w:val="22"/>
        </w:rPr>
        <w:tab/>
      </w:r>
      <w:r w:rsidR="00ED50F3">
        <w:rPr>
          <w:spacing w:val="-2"/>
          <w:szCs w:val="22"/>
        </w:rPr>
        <w:t>Marlene H. Dortch</w:t>
      </w:r>
    </w:p>
    <w:p w:rsidR="00ED50F3" w:rsidRDefault="00ED50F3" w:rsidP="00ED50F3">
      <w:pPr>
        <w:widowControl/>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sidR="00370A21">
        <w:rPr>
          <w:spacing w:val="-2"/>
          <w:szCs w:val="22"/>
        </w:rPr>
        <w:tab/>
      </w:r>
      <w:r>
        <w:rPr>
          <w:spacing w:val="-2"/>
          <w:szCs w:val="22"/>
        </w:rPr>
        <w:t>Secretary</w:t>
      </w:r>
    </w:p>
    <w:sectPr w:rsidR="00ED50F3" w:rsidSect="005910E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52" w:rsidRDefault="00D83552">
      <w:pPr>
        <w:spacing w:line="20" w:lineRule="exact"/>
      </w:pPr>
    </w:p>
    <w:p w:rsidR="00D83552" w:rsidRDefault="00D83552"/>
  </w:endnote>
  <w:endnote w:type="continuationSeparator" w:id="0">
    <w:p w:rsidR="00D83552" w:rsidRDefault="00D83552">
      <w:r>
        <w:t xml:space="preserve"> </w:t>
      </w:r>
    </w:p>
    <w:p w:rsidR="00D83552" w:rsidRDefault="00D83552"/>
  </w:endnote>
  <w:endnote w:type="continuationNotice" w:id="1">
    <w:p w:rsidR="00D83552" w:rsidRDefault="00D83552">
      <w:r>
        <w:t xml:space="preserve"> </w:t>
      </w:r>
    </w:p>
    <w:p w:rsidR="00D83552" w:rsidRDefault="00D83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1D" w:rsidRDefault="0015641D">
    <w:pPr>
      <w:pStyle w:val="Foote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15641D" w:rsidRDefault="0015641D">
    <w:pPr>
      <w:pStyle w:val="Footer"/>
    </w:pPr>
  </w:p>
  <w:p w:rsidR="0015641D" w:rsidRDefault="001564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354272"/>
      <w:docPartObj>
        <w:docPartGallery w:val="Page Numbers (Bottom of Page)"/>
        <w:docPartUnique/>
      </w:docPartObj>
    </w:sdtPr>
    <w:sdtEndPr>
      <w:rPr>
        <w:noProof/>
      </w:rPr>
    </w:sdtEndPr>
    <w:sdtContent>
      <w:p w:rsidR="0015641D" w:rsidRPr="00370A21" w:rsidRDefault="00370A21" w:rsidP="004C4F92">
        <w:pPr>
          <w:pStyle w:val="Footer"/>
          <w:tabs>
            <w:tab w:val="clear" w:pos="4320"/>
            <w:tab w:val="clear" w:pos="8640"/>
          </w:tabs>
          <w:jc w:val="center"/>
          <w:rPr>
            <w:rStyle w:val="PageNumber"/>
          </w:rPr>
        </w:pPr>
        <w:r>
          <w:fldChar w:fldCharType="begin"/>
        </w:r>
        <w:r>
          <w:instrText xml:space="preserve"> PAGE   \* MERGEFORMAT </w:instrText>
        </w:r>
        <w:r>
          <w:fldChar w:fldCharType="separate"/>
        </w:r>
        <w:r w:rsidR="00782A3F">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ED" w:rsidRDefault="00306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52" w:rsidRDefault="00D83552">
      <w:r>
        <w:separator/>
      </w:r>
    </w:p>
  </w:footnote>
  <w:footnote w:type="continuationSeparator" w:id="0">
    <w:p w:rsidR="00D83552" w:rsidRPr="0015641D" w:rsidRDefault="00D83552">
      <w:pPr>
        <w:rPr>
          <w:sz w:val="20"/>
        </w:rPr>
      </w:pPr>
      <w:r>
        <w:rPr>
          <w:sz w:val="20"/>
        </w:rPr>
        <w:t xml:space="preserve">(Continued from previous page)  </w:t>
      </w:r>
      <w:r>
        <w:rPr>
          <w:sz w:val="20"/>
        </w:rPr>
        <w:separator/>
      </w:r>
    </w:p>
  </w:footnote>
  <w:footnote w:type="continuationNotice" w:id="1">
    <w:p w:rsidR="00D83552" w:rsidRPr="00C812E5" w:rsidRDefault="00D83552" w:rsidP="00046706">
      <w:pPr>
        <w:jc w:val="right"/>
        <w:rPr>
          <w:sz w:val="20"/>
        </w:rPr>
      </w:pPr>
      <w:r>
        <w:rPr>
          <w:sz w:val="20"/>
        </w:rPr>
        <w:t>(continued….)</w:t>
      </w:r>
    </w:p>
  </w:footnote>
  <w:footnote w:id="2">
    <w:p w:rsidR="0015641D" w:rsidRPr="001B3F19" w:rsidRDefault="0015641D" w:rsidP="001B3F19">
      <w:pPr>
        <w:pStyle w:val="FootnoteText"/>
      </w:pPr>
      <w:r w:rsidRPr="001B3F19">
        <w:rPr>
          <w:rStyle w:val="FootnoteReference"/>
        </w:rPr>
        <w:footnoteRef/>
      </w:r>
      <w:r w:rsidRPr="001B3F19">
        <w:t xml:space="preserve"> </w:t>
      </w:r>
      <w:r w:rsidRPr="001B3F19">
        <w:rPr>
          <w:i/>
        </w:rPr>
        <w:t xml:space="preserve">See </w:t>
      </w:r>
      <w:r w:rsidRPr="001B3F19">
        <w:rPr>
          <w:i/>
          <w:color w:val="000000"/>
        </w:rPr>
        <w:t>Viacom Inc., NBCUniversal Media LLC, and ESPN, Inc.</w:t>
      </w:r>
      <w:r w:rsidRPr="001B3F19">
        <w:rPr>
          <w:color w:val="000000"/>
        </w:rPr>
        <w:t>, Notice of Apparent Liability for Forfeiture, 29 FCC Rcd 2548 (2014) (</w:t>
      </w:r>
      <w:r w:rsidRPr="001B3F19">
        <w:rPr>
          <w:i/>
          <w:color w:val="000000"/>
        </w:rPr>
        <w:t>NAL</w:t>
      </w:r>
      <w:r w:rsidRPr="001B3F19">
        <w:rPr>
          <w:color w:val="000000"/>
        </w:rPr>
        <w:t xml:space="preserve">).  </w:t>
      </w:r>
      <w:r w:rsidRPr="001B3F19">
        <w:t xml:space="preserve">This Forfeiture Order does not include NBCUniversal Media LLC (NBCUniversal) as a party, as NBCUniversal elected to pay the forfeiture in response to the </w:t>
      </w:r>
      <w:r w:rsidRPr="001B3F19">
        <w:rPr>
          <w:i/>
        </w:rPr>
        <w:t>NAL</w:t>
      </w:r>
      <w:r w:rsidRPr="001B3F19">
        <w:t>.  Letter from Margaret Tobey, Vice President, Regulatory Affairs, NBCUniversal, to Terry Cavanaugh, Chief, Investigations and Hearings Division, Enforcement Bureau, Federal Communications Commission (Mar. 31, 2014).</w:t>
      </w:r>
    </w:p>
  </w:footnote>
  <w:footnote w:id="3">
    <w:p w:rsidR="0015641D" w:rsidRPr="001B3F19" w:rsidRDefault="0015641D" w:rsidP="001B3F19">
      <w:pPr>
        <w:pStyle w:val="FootnoteText"/>
      </w:pPr>
      <w:r w:rsidRPr="001B3F19">
        <w:rPr>
          <w:rStyle w:val="FootnoteReference"/>
        </w:rPr>
        <w:footnoteRef/>
      </w:r>
      <w:r w:rsidRPr="001B3F19">
        <w:t xml:space="preserve"> </w:t>
      </w:r>
      <w:r w:rsidRPr="001B3F19">
        <w:rPr>
          <w:i/>
        </w:rPr>
        <w:t>See NAL</w:t>
      </w:r>
      <w:r w:rsidRPr="001B3F19">
        <w:t>, 29 FCC Rcd at 2556, para. 22.</w:t>
      </w:r>
    </w:p>
  </w:footnote>
  <w:footnote w:id="4">
    <w:p w:rsidR="0015641D" w:rsidRPr="001B3F19" w:rsidRDefault="0015641D" w:rsidP="001B3F19">
      <w:pPr>
        <w:pStyle w:val="FootnoteText"/>
      </w:pPr>
      <w:r w:rsidRPr="001B3F19">
        <w:rPr>
          <w:rStyle w:val="FootnoteReference"/>
        </w:rPr>
        <w:footnoteRef/>
      </w:r>
      <w:r w:rsidRPr="001B3F19">
        <w:t xml:space="preserve"> </w:t>
      </w:r>
      <w:r w:rsidRPr="001B3F19">
        <w:rPr>
          <w:i/>
        </w:rPr>
        <w:t>See id</w:t>
      </w:r>
      <w:r w:rsidRPr="001B3F19">
        <w:t>.</w:t>
      </w:r>
    </w:p>
  </w:footnote>
  <w:footnote w:id="5">
    <w:p w:rsidR="0015641D" w:rsidRPr="001B3F19" w:rsidRDefault="0015641D" w:rsidP="001B3F19">
      <w:pPr>
        <w:pStyle w:val="FootnoteText"/>
      </w:pPr>
      <w:r w:rsidRPr="001B3F19">
        <w:rPr>
          <w:rStyle w:val="FootnoteReference"/>
        </w:rPr>
        <w:footnoteRef/>
      </w:r>
      <w:r w:rsidRPr="001B3F19">
        <w:t xml:space="preserve"> </w:t>
      </w:r>
      <w:r w:rsidRPr="001B3F19">
        <w:rPr>
          <w:i/>
          <w:color w:val="000000"/>
        </w:rPr>
        <w:t xml:space="preserve">See </w:t>
      </w:r>
      <w:r w:rsidRPr="001B3F19">
        <w:rPr>
          <w:color w:val="000000"/>
        </w:rPr>
        <w:t>Viacom, Inc., Response to Notice of Apparent Liability for Forfeiture at 1, 7, 14 (Apr. 2, 2014) (on file in EB-IHD-13-00011468) (Viacom NAL Response); ESPN, Inc. Opposition to Notice of Apparent Liability for Forfeiture of ESPN, Inc. and Statement Seeking Rescission or Reduction of Proposed Forfeiture at ii–iii, 2, 4, 7, 11, 12, 15, 16 (Apr. 2, 2014) (on file in EB-IHD-13-00011476) (ESPN NAL Response).</w:t>
      </w:r>
    </w:p>
  </w:footnote>
  <w:footnote w:id="6">
    <w:p w:rsidR="0015641D" w:rsidRPr="001B3F19" w:rsidRDefault="0015641D" w:rsidP="001B3F19">
      <w:pPr>
        <w:pStyle w:val="FootnoteText"/>
      </w:pPr>
      <w:r w:rsidRPr="001B3F19">
        <w:rPr>
          <w:rStyle w:val="FootnoteReference"/>
        </w:rPr>
        <w:footnoteRef/>
      </w:r>
      <w:r w:rsidRPr="001B3F19">
        <w:t xml:space="preserve"> </w:t>
      </w:r>
      <w:r w:rsidRPr="001B3F19">
        <w:rPr>
          <w:i/>
        </w:rPr>
        <w:t xml:space="preserve">See </w:t>
      </w:r>
      <w:r w:rsidRPr="001B3F19">
        <w:t>47 U.S.C. § 325(a).</w:t>
      </w:r>
    </w:p>
  </w:footnote>
  <w:footnote w:id="7">
    <w:p w:rsidR="0015641D" w:rsidRPr="001B3F19" w:rsidRDefault="0015641D" w:rsidP="001B3F19">
      <w:pPr>
        <w:pStyle w:val="FootnoteText"/>
      </w:pPr>
      <w:r w:rsidRPr="001B3F19">
        <w:rPr>
          <w:rStyle w:val="FootnoteReference"/>
        </w:rPr>
        <w:footnoteRef/>
      </w:r>
      <w:r w:rsidRPr="001B3F19">
        <w:t xml:space="preserve"> </w:t>
      </w:r>
      <w:r w:rsidRPr="001B3F19">
        <w:rPr>
          <w:i/>
        </w:rPr>
        <w:t xml:space="preserve">See </w:t>
      </w:r>
      <w:r w:rsidRPr="001B3F19">
        <w:t>47 C.F.R. §</w:t>
      </w:r>
      <w:r w:rsidRPr="001B3F19">
        <w:rPr>
          <w:b/>
        </w:rPr>
        <w:t xml:space="preserve"> </w:t>
      </w:r>
      <w:r w:rsidRPr="001B3F19">
        <w:t xml:space="preserve">11.45.  </w:t>
      </w:r>
    </w:p>
  </w:footnote>
  <w:footnote w:id="8">
    <w:p w:rsidR="0015641D" w:rsidRPr="001B3F19" w:rsidRDefault="0015641D" w:rsidP="001B3F19">
      <w:pPr>
        <w:pStyle w:val="FootnoteText"/>
        <w:rPr>
          <w:color w:val="000000"/>
        </w:rPr>
      </w:pPr>
      <w:r w:rsidRPr="001B3F19">
        <w:rPr>
          <w:rStyle w:val="FootnoteReference"/>
          <w:color w:val="000000"/>
        </w:rPr>
        <w:footnoteRef/>
      </w:r>
      <w:r w:rsidRPr="001B3F19">
        <w:rPr>
          <w:color w:val="000000"/>
        </w:rPr>
        <w:t xml:space="preserve"> </w:t>
      </w:r>
      <w:r w:rsidRPr="001B3F19">
        <w:rPr>
          <w:i/>
          <w:color w:val="000000"/>
        </w:rPr>
        <w:t>See NAL</w:t>
      </w:r>
      <w:r w:rsidRPr="001B3F19">
        <w:rPr>
          <w:color w:val="000000"/>
        </w:rPr>
        <w:t>,</w:t>
      </w:r>
      <w:r w:rsidRPr="001B3F19">
        <w:rPr>
          <w:i/>
          <w:color w:val="000000"/>
        </w:rPr>
        <w:t xml:space="preserve"> supra</w:t>
      </w:r>
      <w:r w:rsidRPr="001B3F19">
        <w:rPr>
          <w:color w:val="000000"/>
        </w:rPr>
        <w:t xml:space="preserve"> note 1.</w:t>
      </w:r>
      <w:r w:rsidRPr="001B3F19">
        <w:rPr>
          <w:color w:val="000000"/>
        </w:rPr>
        <w:tab/>
      </w:r>
    </w:p>
  </w:footnote>
  <w:footnote w:id="9">
    <w:p w:rsidR="0015641D" w:rsidRPr="001B3F19" w:rsidRDefault="0015641D" w:rsidP="001B3F19">
      <w:pPr>
        <w:pStyle w:val="FootnoteText"/>
      </w:pPr>
      <w:r w:rsidRPr="001B3F19">
        <w:rPr>
          <w:rStyle w:val="FootnoteReference"/>
        </w:rPr>
        <w:footnoteRef/>
      </w:r>
      <w:r w:rsidRPr="001B3F19">
        <w:t xml:space="preserve"> </w:t>
      </w:r>
      <w:r w:rsidRPr="001B3F19">
        <w:rPr>
          <w:i/>
        </w:rPr>
        <w:t xml:space="preserve">See </w:t>
      </w:r>
      <w:r w:rsidRPr="001B3F19">
        <w:t>Complaint, Form 2000D, Key No. 13-C00477601-1 (Mar. 4, 2013) (on file in EB-IHD-13-00011468 formerly EB-13-IH-0369); and E-mail complaint (Mar. 5, 2013) (on file in EB-IHD-13-00011476 formerly EB-13-IH-0370).</w:t>
      </w:r>
    </w:p>
  </w:footnote>
  <w:footnote w:id="10">
    <w:p w:rsidR="0015641D" w:rsidRPr="001B3F19" w:rsidRDefault="0015641D" w:rsidP="001B3F19">
      <w:pPr>
        <w:pStyle w:val="FootnoteText"/>
      </w:pPr>
      <w:r w:rsidRPr="001B3F19">
        <w:rPr>
          <w:rStyle w:val="FootnoteReference"/>
        </w:rPr>
        <w:footnoteRef/>
      </w:r>
      <w:r w:rsidRPr="001B3F19">
        <w:t xml:space="preserve"> The record reflects that media </w:t>
      </w:r>
      <w:r w:rsidRPr="001B3F19">
        <w:rPr>
          <w:spacing w:val="-2"/>
        </w:rPr>
        <w:t xml:space="preserve">agency Horizon Media, Inc. (Horizon Media) released </w:t>
      </w:r>
      <w:r w:rsidRPr="001B3F19">
        <w:t xml:space="preserve">multiple versions of a movie trailer for the film </w:t>
      </w:r>
      <w:r w:rsidRPr="001B3F19">
        <w:rPr>
          <w:i/>
        </w:rPr>
        <w:t>Olympus Has Fallen</w:t>
      </w:r>
      <w:r w:rsidRPr="001B3F19">
        <w:t xml:space="preserve"> around the same time but only one of these trailers contained the EAS Tones.  That trailer is the subject of the </w:t>
      </w:r>
      <w:r w:rsidRPr="001B3F19">
        <w:rPr>
          <w:i/>
        </w:rPr>
        <w:t>NAL</w:t>
      </w:r>
      <w:r w:rsidRPr="001B3F19">
        <w:t xml:space="preserve"> and this Forfeiture Order, and is referred to herein as the </w:t>
      </w:r>
      <w:r w:rsidRPr="001B3F19">
        <w:rPr>
          <w:i/>
        </w:rPr>
        <w:t>No Surrender Trailer.</w:t>
      </w:r>
    </w:p>
  </w:footnote>
  <w:footnote w:id="11">
    <w:p w:rsidR="0015641D" w:rsidRPr="001B3F19" w:rsidRDefault="0015641D" w:rsidP="001B3F19">
      <w:pPr>
        <w:pStyle w:val="FootnoteText"/>
      </w:pPr>
      <w:r w:rsidRPr="001B3F19">
        <w:rPr>
          <w:rStyle w:val="FootnoteReference"/>
        </w:rPr>
        <w:footnoteRef/>
      </w:r>
      <w:r w:rsidRPr="001B3F19">
        <w:t xml:space="preserve"> </w:t>
      </w:r>
      <w:r w:rsidRPr="001B3F19">
        <w:rPr>
          <w:i/>
        </w:rPr>
        <w:t>See</w:t>
      </w:r>
      <w:r w:rsidRPr="001B3F19">
        <w:t xml:space="preserve"> </w:t>
      </w:r>
      <w:r w:rsidRPr="001B3F19">
        <w:rPr>
          <w:i/>
        </w:rPr>
        <w:t>NAL</w:t>
      </w:r>
      <w:r w:rsidRPr="001B3F19">
        <w:t xml:space="preserve">, </w:t>
      </w:r>
      <w:r w:rsidRPr="001B3F19">
        <w:rPr>
          <w:color w:val="000000"/>
        </w:rPr>
        <w:t>29 FCC Rcd at 2555,</w:t>
      </w:r>
      <w:r w:rsidRPr="001B3F19">
        <w:t xml:space="preserve"> para. 20.</w:t>
      </w:r>
    </w:p>
  </w:footnote>
  <w:footnote w:id="12">
    <w:p w:rsidR="0015641D" w:rsidRPr="001B3F19" w:rsidRDefault="0015641D" w:rsidP="001B3F19">
      <w:pPr>
        <w:pStyle w:val="FootnoteText"/>
        <w:rPr>
          <w:color w:val="000000"/>
        </w:rPr>
      </w:pPr>
      <w:r w:rsidRPr="001B3F19">
        <w:rPr>
          <w:rStyle w:val="FootnoteReference"/>
          <w:color w:val="000000"/>
        </w:rPr>
        <w:footnoteRef/>
      </w:r>
      <w:r w:rsidRPr="001B3F19">
        <w:rPr>
          <w:color w:val="000000"/>
        </w:rPr>
        <w:t xml:space="preserve"> </w:t>
      </w:r>
      <w:r w:rsidRPr="001B3F19">
        <w:rPr>
          <w:i/>
          <w:color w:val="000000"/>
        </w:rPr>
        <w:t xml:space="preserve">See </w:t>
      </w:r>
      <w:r w:rsidRPr="001B3F19">
        <w:rPr>
          <w:color w:val="000000"/>
        </w:rPr>
        <w:t xml:space="preserve">Viacom NAL Response at 1, 7, 14; ESPN NAL Response at ii–iii, 2, 4, 7, 11, 12, 15, 16. </w:t>
      </w:r>
    </w:p>
  </w:footnote>
  <w:footnote w:id="13">
    <w:p w:rsidR="0015641D" w:rsidRPr="001B3F19" w:rsidRDefault="0015641D" w:rsidP="001B3F19">
      <w:pPr>
        <w:pStyle w:val="FootnoteText"/>
      </w:pPr>
      <w:r w:rsidRPr="001B3F19">
        <w:rPr>
          <w:rStyle w:val="FootnoteReference"/>
        </w:rPr>
        <w:footnoteRef/>
      </w:r>
      <w:r w:rsidRPr="001B3F19">
        <w:t xml:space="preserve"> </w:t>
      </w:r>
      <w:r w:rsidRPr="001B3F19">
        <w:rPr>
          <w:i/>
        </w:rPr>
        <w:t xml:space="preserve">See </w:t>
      </w:r>
      <w:r w:rsidRPr="001B3F19">
        <w:t>Letter from Meredith S. Senter, Jr., Esq. and Dennis P. Corbett, Esq., Lerman Senter PLLC, Counsel to Viacom Inc., to Jennifer A. Lewis, Attorney Advisor, Investigations and Hearings Division, FCC Enforcement Bureau (May 22, 2013) (on file in EB-IHD-13-00011468 formerly EB-13-IH-0369); Letter from Tom W. Davidson, Esq., Akin Gump Strauss Hauer &amp; Feld LLP, Counsel to ESPN Inc., to Jennifer Lewis, Attorney Advisor, Investigations and Hearings Division, FCC Enforcement Bureau (May 22, 2013) (on file in EB-IHD-13-00011476 formerly EB-13-IH-0370).</w:t>
      </w:r>
    </w:p>
  </w:footnote>
  <w:footnote w:id="14">
    <w:p w:rsidR="0015641D" w:rsidRPr="001B3F19" w:rsidRDefault="0015641D" w:rsidP="001B3F19">
      <w:pPr>
        <w:pStyle w:val="FootnoteText"/>
      </w:pPr>
      <w:r w:rsidRPr="001B3F19">
        <w:rPr>
          <w:rStyle w:val="FootnoteReference"/>
        </w:rPr>
        <w:footnoteRef/>
      </w:r>
      <w:r w:rsidRPr="001B3F19">
        <w:t xml:space="preserve"> Viacom NAL Response at 2, 13, 14; ESPN NAL Response at ii, 1, 3, 4, 7, 11.</w:t>
      </w:r>
    </w:p>
  </w:footnote>
  <w:footnote w:id="15">
    <w:p w:rsidR="0015641D" w:rsidRPr="001B3F19" w:rsidRDefault="0015641D" w:rsidP="001B3F19">
      <w:pPr>
        <w:pStyle w:val="FootnoteText"/>
      </w:pPr>
      <w:r w:rsidRPr="001B3F19">
        <w:rPr>
          <w:rStyle w:val="FootnoteReference"/>
        </w:rPr>
        <w:footnoteRef/>
      </w:r>
      <w:r w:rsidRPr="001B3F19">
        <w:t xml:space="preserve"> Viacom NAL Response at 2.  </w:t>
      </w:r>
    </w:p>
  </w:footnote>
  <w:footnote w:id="16">
    <w:p w:rsidR="0015641D" w:rsidRPr="001B3F19" w:rsidRDefault="0015641D" w:rsidP="001B3F19">
      <w:pPr>
        <w:pStyle w:val="FootnoteText"/>
      </w:pPr>
      <w:r w:rsidRPr="001B3F19">
        <w:rPr>
          <w:rStyle w:val="FootnoteReference"/>
        </w:rPr>
        <w:footnoteRef/>
      </w:r>
      <w:r w:rsidRPr="001B3F19">
        <w:t xml:space="preserve"> </w:t>
      </w:r>
      <w:r w:rsidRPr="001B3F19">
        <w:rPr>
          <w:i/>
        </w:rPr>
        <w:t xml:space="preserve">Id. </w:t>
      </w:r>
      <w:r w:rsidRPr="001B3F19">
        <w:t>at 2, 6; ESPN NAL Response at ii, 3, 4.</w:t>
      </w:r>
    </w:p>
  </w:footnote>
  <w:footnote w:id="17">
    <w:p w:rsidR="0015641D" w:rsidRPr="001B3F19" w:rsidRDefault="0015641D" w:rsidP="001B3F19">
      <w:pPr>
        <w:pStyle w:val="FootnoteText"/>
      </w:pPr>
      <w:r w:rsidRPr="001B3F19">
        <w:rPr>
          <w:rStyle w:val="FootnoteReference"/>
        </w:rPr>
        <w:footnoteRef/>
      </w:r>
      <w:r w:rsidRPr="001B3F19">
        <w:t xml:space="preserve"> Viacom NAL Response at 6; ESPN NAL Response at 6–7. </w:t>
      </w:r>
    </w:p>
  </w:footnote>
  <w:footnote w:id="18">
    <w:p w:rsidR="0015641D" w:rsidRPr="001B3F19" w:rsidRDefault="0015641D" w:rsidP="001B3F19">
      <w:pPr>
        <w:pStyle w:val="FootnoteText"/>
      </w:pPr>
      <w:r w:rsidRPr="001B3F19">
        <w:rPr>
          <w:rStyle w:val="FootnoteReference"/>
        </w:rPr>
        <w:footnoteRef/>
      </w:r>
      <w:r w:rsidRPr="001B3F19">
        <w:t xml:space="preserve"> Viacom NAL Response at 14; ESPN NAL Response at 12–14.</w:t>
      </w:r>
    </w:p>
  </w:footnote>
  <w:footnote w:id="19">
    <w:p w:rsidR="0015641D" w:rsidRPr="001B3F19" w:rsidRDefault="0015641D" w:rsidP="001B3F19">
      <w:pPr>
        <w:pStyle w:val="FootnoteText"/>
      </w:pPr>
      <w:r w:rsidRPr="001B3F19">
        <w:rPr>
          <w:rStyle w:val="FootnoteReference"/>
        </w:rPr>
        <w:footnoteRef/>
      </w:r>
      <w:r w:rsidRPr="001B3F19">
        <w:t xml:space="preserve"> </w:t>
      </w:r>
      <w:r w:rsidRPr="001B3F19">
        <w:rPr>
          <w:i/>
        </w:rPr>
        <w:t xml:space="preserve">See </w:t>
      </w:r>
      <w:r w:rsidRPr="001B3F19">
        <w:t xml:space="preserve">Viacom NAL Response at 2, 6–7, 9, 12–13; ESPN NAL Response at ii, 1–2, 3–4, 7–11. </w:t>
      </w:r>
    </w:p>
  </w:footnote>
  <w:footnote w:id="20">
    <w:p w:rsidR="00E159D5" w:rsidRPr="00323C84" w:rsidRDefault="00E159D5" w:rsidP="003A41BB">
      <w:pPr>
        <w:pStyle w:val="FootnoteText"/>
      </w:pPr>
      <w:r w:rsidRPr="003A41BB">
        <w:rPr>
          <w:rStyle w:val="Footnote"/>
          <w:vertAlign w:val="superscript"/>
        </w:rPr>
        <w:footnoteRef/>
      </w:r>
      <w:r w:rsidRPr="005910E1">
        <w:rPr>
          <w:rStyle w:val="Footnote"/>
        </w:rPr>
        <w:t xml:space="preserve"> </w:t>
      </w:r>
      <w:r w:rsidRPr="003A41BB">
        <w:rPr>
          <w:rStyle w:val="Footnote"/>
          <w:i/>
        </w:rPr>
        <w:t>See NAL</w:t>
      </w:r>
      <w:r w:rsidRPr="005910E1">
        <w:rPr>
          <w:rStyle w:val="Footnote"/>
        </w:rPr>
        <w:t xml:space="preserve">, 29 </w:t>
      </w:r>
      <w:r w:rsidRPr="003A41BB">
        <w:t>FCC</w:t>
      </w:r>
      <w:r w:rsidRPr="005910E1">
        <w:rPr>
          <w:rStyle w:val="Footnote"/>
        </w:rPr>
        <w:t xml:space="preserve"> Rcd at 2564, para.</w:t>
      </w:r>
      <w:r w:rsidR="00265B09" w:rsidRPr="005910E1">
        <w:rPr>
          <w:rStyle w:val="Footnote"/>
        </w:rPr>
        <w:t xml:space="preserve"> </w:t>
      </w:r>
      <w:r w:rsidRPr="005910E1">
        <w:rPr>
          <w:rStyle w:val="Footnote"/>
        </w:rPr>
        <w:t>33</w:t>
      </w:r>
      <w:r w:rsidR="00071959" w:rsidRPr="005910E1">
        <w:rPr>
          <w:rStyle w:val="Footnote"/>
        </w:rPr>
        <w:t xml:space="preserve"> (citin</w:t>
      </w:r>
      <w:r w:rsidR="00325FB7" w:rsidRPr="005910E1">
        <w:rPr>
          <w:rStyle w:val="Footnote"/>
        </w:rPr>
        <w:t xml:space="preserve">g, </w:t>
      </w:r>
      <w:r w:rsidR="00071959" w:rsidRPr="003A41BB">
        <w:rPr>
          <w:rStyle w:val="Footnote"/>
          <w:i/>
        </w:rPr>
        <w:t>inter alia</w:t>
      </w:r>
      <w:r w:rsidR="00071959" w:rsidRPr="005910E1">
        <w:rPr>
          <w:rStyle w:val="Footnote"/>
        </w:rPr>
        <w:t xml:space="preserve">, </w:t>
      </w:r>
      <w:r w:rsidR="00071959" w:rsidRPr="003A41BB">
        <w:rPr>
          <w:rStyle w:val="Footnote"/>
          <w:i/>
        </w:rPr>
        <w:t xml:space="preserve">Amendment of Part 73, Subpart G, of the Commission’s Rules Regarding the </w:t>
      </w:r>
      <w:r w:rsidR="00071959" w:rsidRPr="003A41BB">
        <w:rPr>
          <w:i/>
        </w:rPr>
        <w:t>Emergency</w:t>
      </w:r>
      <w:r w:rsidR="00071959" w:rsidRPr="003A41BB">
        <w:rPr>
          <w:rStyle w:val="Footnote"/>
          <w:i/>
        </w:rPr>
        <w:t xml:space="preserve"> Broadcast System</w:t>
      </w:r>
      <w:r w:rsidR="00071959" w:rsidRPr="005910E1">
        <w:rPr>
          <w:rStyle w:val="Footnote"/>
        </w:rPr>
        <w:t>, Report and Order and Further Notice of Proposed Rule Making, 10 FCC Rcd 1786, 1815, para. 84 (1994) (</w:t>
      </w:r>
      <w:r w:rsidR="00071959" w:rsidRPr="003A41BB">
        <w:rPr>
          <w:rStyle w:val="Footnote"/>
          <w:i/>
        </w:rPr>
        <w:t>1994 EBS Order</w:t>
      </w:r>
      <w:r w:rsidR="00071959" w:rsidRPr="005910E1">
        <w:rPr>
          <w:rStyle w:val="Footnote"/>
        </w:rPr>
        <w:t xml:space="preserve">) (“[s]uch false use and misconduct will be considered a false distress </w:t>
      </w:r>
      <w:r w:rsidR="00071959" w:rsidRPr="003A41BB">
        <w:t>communication</w:t>
      </w:r>
      <w:r w:rsidR="00071959" w:rsidRPr="005910E1">
        <w:rPr>
          <w:rStyle w:val="Footnote"/>
        </w:rPr>
        <w:t xml:space="preserve"> and will be subject to Commission penalties, such as monetary forfeiture or other appropriate sanctions.”)).</w:t>
      </w:r>
      <w:r w:rsidR="00323C84" w:rsidRPr="005910E1">
        <w:rPr>
          <w:rStyle w:val="Footnote"/>
        </w:rPr>
        <w:t xml:space="preserve">  </w:t>
      </w:r>
      <w:r w:rsidR="00323C84" w:rsidRPr="003A41BB">
        <w:rPr>
          <w:rStyle w:val="Footnote"/>
          <w:i/>
        </w:rPr>
        <w:t>See also Emmis Broadcasting Corp. of St. Louis</w:t>
      </w:r>
      <w:r w:rsidR="00323C84" w:rsidRPr="005910E1">
        <w:rPr>
          <w:rStyle w:val="Footnote"/>
        </w:rPr>
        <w:t xml:space="preserve">, Notice of Apparent Liability for Forfeiture, 6 FCC Rcd 2289, </w:t>
      </w:r>
      <w:r w:rsidR="003A41BB">
        <w:rPr>
          <w:rStyle w:val="Footnote"/>
        </w:rPr>
        <w:t>228–</w:t>
      </w:r>
      <w:r w:rsidR="00323C84" w:rsidRPr="005910E1">
        <w:rPr>
          <w:rStyle w:val="Footnote"/>
        </w:rPr>
        <w:t xml:space="preserve">90 (1991) </w:t>
      </w:r>
      <w:r w:rsidR="0001139B" w:rsidRPr="005910E1">
        <w:rPr>
          <w:rStyle w:val="Footnote"/>
        </w:rPr>
        <w:t xml:space="preserve">(finding a radio </w:t>
      </w:r>
      <w:r w:rsidR="0001139B" w:rsidRPr="003A41BB">
        <w:t>station</w:t>
      </w:r>
      <w:r w:rsidR="0001139B" w:rsidRPr="005910E1">
        <w:rPr>
          <w:rStyle w:val="Footnote"/>
        </w:rPr>
        <w:t xml:space="preserve"> apparently liable for a violation of Section</w:t>
      </w:r>
      <w:r w:rsidR="003A41BB">
        <w:rPr>
          <w:rStyle w:val="Footnote"/>
        </w:rPr>
        <w:t xml:space="preserve"> </w:t>
      </w:r>
      <w:r w:rsidR="0001139B" w:rsidRPr="005910E1">
        <w:rPr>
          <w:rStyle w:val="Footnote"/>
        </w:rPr>
        <w:t xml:space="preserve">325(a) after the station broadcast a “bleep” that listeners mistook as the </w:t>
      </w:r>
      <w:r w:rsidR="0001139B" w:rsidRPr="003A41BB">
        <w:t>tone</w:t>
      </w:r>
      <w:r w:rsidR="0001139B" w:rsidRPr="005910E1">
        <w:rPr>
          <w:rStyle w:val="Footnote"/>
        </w:rPr>
        <w:t xml:space="preserve"> for an authentic emergency</w:t>
      </w:r>
      <w:r w:rsidR="003A41BB">
        <w:rPr>
          <w:rStyle w:val="Footnote"/>
        </w:rPr>
        <w:t xml:space="preserve"> </w:t>
      </w:r>
      <w:r w:rsidR="0001139B" w:rsidRPr="005910E1">
        <w:rPr>
          <w:rStyle w:val="Footnote"/>
        </w:rPr>
        <w:t>Signal).  The decision held that using the tone to “cry wolf” undermined the integrity of the EBS and</w:t>
      </w:r>
      <w:r w:rsidR="003A41BB">
        <w:rPr>
          <w:rStyle w:val="Footnote"/>
        </w:rPr>
        <w:t xml:space="preserve"> </w:t>
      </w:r>
      <w:r w:rsidR="0001139B" w:rsidRPr="005910E1">
        <w:rPr>
          <w:rStyle w:val="Footnote"/>
        </w:rPr>
        <w:t>endangered the effectiveness of the EBS warning tone as a method of alerting the public to danger</w:t>
      </w:r>
      <w:r w:rsidR="00323C84" w:rsidRPr="005910E1">
        <w:rPr>
          <w:rStyle w:val="Footnote"/>
        </w:rPr>
        <w:t>.</w:t>
      </w:r>
      <w:r w:rsidR="0001139B" w:rsidRPr="005910E1">
        <w:rPr>
          <w:rStyle w:val="Footnote"/>
        </w:rPr>
        <w:t xml:space="preserve">  </w:t>
      </w:r>
      <w:r w:rsidR="0001139B" w:rsidRPr="003A41BB">
        <w:rPr>
          <w:rStyle w:val="Footnote"/>
          <w:i/>
        </w:rPr>
        <w:t>Id</w:t>
      </w:r>
      <w:r w:rsidR="0001139B" w:rsidRPr="005910E1">
        <w:rPr>
          <w:rStyle w:val="Footnote"/>
        </w:rPr>
        <w:t>.</w:t>
      </w:r>
      <w:r w:rsidR="00323C84" w:rsidRPr="005910E1">
        <w:rPr>
          <w:rStyle w:val="Footnote"/>
        </w:rPr>
        <w:t xml:space="preserve">  </w:t>
      </w:r>
    </w:p>
  </w:footnote>
  <w:footnote w:id="21">
    <w:p w:rsidR="0015641D" w:rsidRPr="001B3F19" w:rsidRDefault="0015641D" w:rsidP="001B3F19">
      <w:pPr>
        <w:pStyle w:val="FootnoteText"/>
      </w:pPr>
      <w:r w:rsidRPr="001B3F19">
        <w:rPr>
          <w:rStyle w:val="FootnoteReference"/>
        </w:rPr>
        <w:footnoteRef/>
      </w:r>
      <w:r w:rsidRPr="001B3F19">
        <w:t xml:space="preserve"> </w:t>
      </w:r>
      <w:r w:rsidRPr="001B3F19">
        <w:rPr>
          <w:i/>
        </w:rPr>
        <w:t>See NAL</w:t>
      </w:r>
      <w:r w:rsidRPr="001B3F19">
        <w:t xml:space="preserve">, </w:t>
      </w:r>
      <w:r w:rsidRPr="001B3F19">
        <w:rPr>
          <w:color w:val="000000"/>
        </w:rPr>
        <w:t>29 FCC Rcd</w:t>
      </w:r>
      <w:r w:rsidR="00E159D5" w:rsidRPr="005C70D8">
        <w:rPr>
          <w:i/>
        </w:rPr>
        <w:t xml:space="preserve"> </w:t>
      </w:r>
      <w:r w:rsidRPr="001B3F19">
        <w:rPr>
          <w:color w:val="000000"/>
        </w:rPr>
        <w:t>at 2558–59,</w:t>
      </w:r>
      <w:r w:rsidRPr="001B3F19">
        <w:t xml:space="preserve"> para. 23.</w:t>
      </w:r>
    </w:p>
  </w:footnote>
  <w:footnote w:id="22">
    <w:p w:rsidR="0015641D" w:rsidRPr="001B3F19" w:rsidRDefault="0015641D" w:rsidP="001B3F19">
      <w:pPr>
        <w:pStyle w:val="FootnoteText"/>
      </w:pPr>
      <w:r w:rsidRPr="001B3F19">
        <w:rPr>
          <w:rStyle w:val="FootnoteReference"/>
        </w:rPr>
        <w:footnoteRef/>
      </w:r>
      <w:r w:rsidRPr="001B3F19">
        <w:t xml:space="preserve"> </w:t>
      </w:r>
      <w:r w:rsidRPr="001B3F19">
        <w:rPr>
          <w:i/>
        </w:rPr>
        <w:t>Id</w:t>
      </w:r>
      <w:r w:rsidRPr="001B3F19">
        <w:t xml:space="preserve">.  Section 11.45 applies broadly to any person.  Moreover, the Act broadly defines “person” to include “an individual, partnership, association, joint-stock company, trust, or corporation.”  47 U.S.C. § 153(39).   </w:t>
      </w:r>
    </w:p>
  </w:footnote>
  <w:footnote w:id="23">
    <w:p w:rsidR="0015641D" w:rsidRPr="001B3F19" w:rsidRDefault="0015641D" w:rsidP="001B3F19">
      <w:pPr>
        <w:pStyle w:val="FootnoteText"/>
        <w:rPr>
          <w:i/>
        </w:rPr>
      </w:pPr>
      <w:r w:rsidRPr="001B3F19">
        <w:rPr>
          <w:rStyle w:val="FootnoteReference"/>
        </w:rPr>
        <w:footnoteRef/>
      </w:r>
      <w:r w:rsidRPr="001B3F19">
        <w:t xml:space="preserve"> </w:t>
      </w:r>
      <w:r w:rsidRPr="001B3F19">
        <w:rPr>
          <w:i/>
        </w:rPr>
        <w:t>Id.</w:t>
      </w:r>
    </w:p>
  </w:footnote>
  <w:footnote w:id="24">
    <w:p w:rsidR="0015641D" w:rsidRPr="001B3F19" w:rsidRDefault="0015641D" w:rsidP="001B3F19">
      <w:pPr>
        <w:pStyle w:val="FootnoteText"/>
      </w:pPr>
      <w:r w:rsidRPr="001B3F19">
        <w:rPr>
          <w:rStyle w:val="FootnoteReference"/>
        </w:rPr>
        <w:footnoteRef/>
      </w:r>
      <w:r w:rsidRPr="001B3F19">
        <w:t xml:space="preserve"> </w:t>
      </w:r>
      <w:r w:rsidRPr="001B3F19">
        <w:rPr>
          <w:i/>
        </w:rPr>
        <w:t>Id.</w:t>
      </w:r>
      <w:r w:rsidRPr="001B3F19">
        <w:t>;</w:t>
      </w:r>
      <w:r w:rsidRPr="001B3F19">
        <w:rPr>
          <w:i/>
        </w:rPr>
        <w:t xml:space="preserve"> see</w:t>
      </w:r>
      <w:r w:rsidRPr="001B3F19">
        <w:t xml:space="preserve"> 47 C.F.R. §11.45.</w:t>
      </w:r>
    </w:p>
  </w:footnote>
  <w:footnote w:id="25">
    <w:p w:rsidR="0015641D" w:rsidRPr="001B3F19" w:rsidRDefault="0015641D" w:rsidP="001B3F19">
      <w:pPr>
        <w:pStyle w:val="FootnoteText"/>
      </w:pPr>
      <w:r w:rsidRPr="001B3F19">
        <w:rPr>
          <w:rStyle w:val="FootnoteReference"/>
        </w:rPr>
        <w:footnoteRef/>
      </w:r>
      <w:r w:rsidRPr="001B3F19">
        <w:t xml:space="preserve"> See discussion of willfulness of the subject violations at </w:t>
      </w:r>
      <w:r w:rsidRPr="001B3F19">
        <w:rPr>
          <w:i/>
        </w:rPr>
        <w:t xml:space="preserve">infra </w:t>
      </w:r>
      <w:r w:rsidRPr="001B3F19">
        <w:t>paras. 15–16</w:t>
      </w:r>
      <w:r w:rsidRPr="001B3F19">
        <w:rPr>
          <w:i/>
        </w:rPr>
        <w:t>.</w:t>
      </w:r>
    </w:p>
  </w:footnote>
  <w:footnote w:id="26">
    <w:p w:rsidR="0015641D" w:rsidRPr="001B3F19" w:rsidRDefault="0015641D" w:rsidP="001B3F19">
      <w:pPr>
        <w:pStyle w:val="FootnoteText"/>
      </w:pPr>
      <w:r w:rsidRPr="001B3F19">
        <w:rPr>
          <w:rStyle w:val="FootnoteReference"/>
        </w:rPr>
        <w:footnoteRef/>
      </w:r>
      <w:r w:rsidRPr="001B3F19">
        <w:t xml:space="preserve"> </w:t>
      </w:r>
      <w:r w:rsidRPr="001B3F19">
        <w:rPr>
          <w:i/>
        </w:rPr>
        <w:t>See NAL</w:t>
      </w:r>
      <w:r w:rsidRPr="001B3F19">
        <w:t>, 29 FCC Rcd at 2558–59, para 23</w:t>
      </w:r>
      <w:r w:rsidRPr="001B3F19">
        <w:rPr>
          <w:i/>
        </w:rPr>
        <w:t>.  See also</w:t>
      </w:r>
      <w:r w:rsidRPr="001B3F19">
        <w:t xml:space="preserve"> </w:t>
      </w:r>
      <w:r w:rsidRPr="001B3F19">
        <w:rPr>
          <w:i/>
        </w:rPr>
        <w:t>Gen. Elec. Co. v. EPA</w:t>
      </w:r>
      <w:r w:rsidRPr="001B3F19">
        <w:t xml:space="preserve">, 53 F.3d 1324, 1328–29 (D.C. Cir. 1995) (discussing whether GE had adequate notice of EPA’s rule interpretation, and finding “[i]n such cases, we must ask whether the regulated party received, or should have received, notice of the agency’s interpretation in the most </w:t>
      </w:r>
      <w:r w:rsidRPr="001B3F19">
        <w:rPr>
          <w:bCs/>
        </w:rPr>
        <w:t>obvious</w:t>
      </w:r>
      <w:r w:rsidRPr="001B3F19">
        <w:t xml:space="preserve"> way of all: </w:t>
      </w:r>
      <w:r w:rsidR="0082404A" w:rsidRPr="001B3F19">
        <w:t xml:space="preserve"> </w:t>
      </w:r>
      <w:r w:rsidRPr="001B3F19">
        <w:t>by reading the regulations.”).</w:t>
      </w:r>
    </w:p>
  </w:footnote>
  <w:footnote w:id="27">
    <w:p w:rsidR="0015641D" w:rsidRPr="001B3F19" w:rsidRDefault="0015641D" w:rsidP="001B3F19">
      <w:pPr>
        <w:pStyle w:val="FootnoteText"/>
      </w:pPr>
      <w:r w:rsidRPr="001B3F19">
        <w:rPr>
          <w:rStyle w:val="FootnoteReference"/>
        </w:rPr>
        <w:footnoteRef/>
      </w:r>
      <w:r w:rsidRPr="001B3F19">
        <w:t xml:space="preserve"> Viacom NAL Response at 4.</w:t>
      </w:r>
    </w:p>
  </w:footnote>
  <w:footnote w:id="28">
    <w:p w:rsidR="0015641D" w:rsidRPr="001B3F19" w:rsidRDefault="0015641D" w:rsidP="001B3F19">
      <w:pPr>
        <w:pStyle w:val="FootnoteText"/>
      </w:pPr>
      <w:r w:rsidRPr="001B3F19">
        <w:rPr>
          <w:rStyle w:val="FootnoteReference"/>
        </w:rPr>
        <w:footnoteRef/>
      </w:r>
      <w:r w:rsidRPr="001B3F19">
        <w:t xml:space="preserve"> </w:t>
      </w:r>
      <w:r w:rsidRPr="001B3F19">
        <w:rPr>
          <w:i/>
        </w:rPr>
        <w:t>Id</w:t>
      </w:r>
      <w:r w:rsidRPr="001B3F19">
        <w:t>. at 6.</w:t>
      </w:r>
    </w:p>
  </w:footnote>
  <w:footnote w:id="29">
    <w:p w:rsidR="0015641D" w:rsidRPr="001B3F19" w:rsidRDefault="0015641D" w:rsidP="001B3F19">
      <w:pPr>
        <w:pStyle w:val="FootnoteText"/>
      </w:pPr>
      <w:r w:rsidRPr="001B3F19">
        <w:rPr>
          <w:rStyle w:val="FootnoteReference"/>
        </w:rPr>
        <w:footnoteRef/>
      </w:r>
      <w:r w:rsidRPr="001B3F19">
        <w:t xml:space="preserve"> </w:t>
      </w:r>
      <w:r w:rsidRPr="001B3F19">
        <w:rPr>
          <w:i/>
        </w:rPr>
        <w:t>See</w:t>
      </w:r>
      <w:r w:rsidRPr="001B3F19">
        <w:t xml:space="preserve"> </w:t>
      </w:r>
      <w:r w:rsidRPr="001B3F19">
        <w:rPr>
          <w:i/>
        </w:rPr>
        <w:t>NAL</w:t>
      </w:r>
      <w:r w:rsidRPr="001B3F19">
        <w:t xml:space="preserve">, </w:t>
      </w:r>
      <w:r w:rsidRPr="001B3F19">
        <w:rPr>
          <w:color w:val="000000"/>
        </w:rPr>
        <w:t xml:space="preserve">29 FCC Rcd at 2562, </w:t>
      </w:r>
      <w:r w:rsidRPr="001B3F19">
        <w:t xml:space="preserve">paras. 28–29.    </w:t>
      </w:r>
      <w:r w:rsidRPr="001B3F19">
        <w:rPr>
          <w:color w:val="000000"/>
        </w:rPr>
        <w:t xml:space="preserve">  </w:t>
      </w:r>
    </w:p>
  </w:footnote>
  <w:footnote w:id="30">
    <w:p w:rsidR="00646B41" w:rsidRPr="00646B41" w:rsidRDefault="00646B41">
      <w:pPr>
        <w:pStyle w:val="FootnoteText"/>
      </w:pPr>
      <w:r>
        <w:rPr>
          <w:rStyle w:val="FootnoteReference"/>
        </w:rPr>
        <w:footnoteRef/>
      </w:r>
      <w:r>
        <w:t xml:space="preserve"> </w:t>
      </w:r>
      <w:r>
        <w:rPr>
          <w:i/>
        </w:rPr>
        <w:t>See NAL</w:t>
      </w:r>
      <w:r>
        <w:t>, 29 FCC Rcd at 25</w:t>
      </w:r>
      <w:r w:rsidR="002155F9">
        <w:t>51</w:t>
      </w:r>
      <w:r w:rsidR="009A239B" w:rsidRPr="001B3F19">
        <w:t>–</w:t>
      </w:r>
      <w:r w:rsidR="002155F9">
        <w:t>52</w:t>
      </w:r>
      <w:r w:rsidR="009A239B">
        <w:t>, paras. 9</w:t>
      </w:r>
      <w:r w:rsidR="009A239B" w:rsidRPr="001B3F19">
        <w:t>–</w:t>
      </w:r>
      <w:r w:rsidR="009A239B">
        <w:t>12</w:t>
      </w:r>
      <w:r>
        <w:t>.</w:t>
      </w:r>
    </w:p>
  </w:footnote>
  <w:footnote w:id="31">
    <w:p w:rsidR="000A528B" w:rsidRPr="002155F9" w:rsidRDefault="000A528B">
      <w:pPr>
        <w:pStyle w:val="FootnoteText"/>
      </w:pPr>
      <w:r>
        <w:rPr>
          <w:rStyle w:val="FootnoteReference"/>
        </w:rPr>
        <w:footnoteRef/>
      </w:r>
      <w:r>
        <w:t xml:space="preserve"> </w:t>
      </w:r>
      <w:r w:rsidR="002155F9">
        <w:rPr>
          <w:i/>
        </w:rPr>
        <w:t>See id</w:t>
      </w:r>
      <w:r w:rsidR="002155F9">
        <w:t>. at 2556, para. 22.</w:t>
      </w:r>
    </w:p>
  </w:footnote>
  <w:footnote w:id="32">
    <w:p w:rsidR="0015641D" w:rsidRPr="001B3F19" w:rsidRDefault="0015641D" w:rsidP="001B3F19">
      <w:pPr>
        <w:pStyle w:val="FootnoteText"/>
      </w:pPr>
      <w:r w:rsidRPr="001B3F19">
        <w:rPr>
          <w:rStyle w:val="FootnoteReference"/>
        </w:rPr>
        <w:footnoteRef/>
      </w:r>
      <w:r w:rsidRPr="001B3F19">
        <w:t xml:space="preserve"> </w:t>
      </w:r>
      <w:r w:rsidRPr="001B3F19">
        <w:rPr>
          <w:i/>
        </w:rPr>
        <w:t>See</w:t>
      </w:r>
      <w:r w:rsidRPr="001B3F19">
        <w:t xml:space="preserve"> </w:t>
      </w:r>
      <w:r w:rsidRPr="001B3F19">
        <w:rPr>
          <w:i/>
        </w:rPr>
        <w:t>Dialing Services LLC</w:t>
      </w:r>
      <w:r w:rsidRPr="001B3F19">
        <w:t xml:space="preserve">, Notice of Apparent Liability for Forfeiture, </w:t>
      </w:r>
      <w:r w:rsidRPr="001B3F19">
        <w:rPr>
          <w:color w:val="000000"/>
        </w:rPr>
        <w:t>29 FCC Rcd 5537, 5542, para. 13 (2014) (</w:t>
      </w:r>
      <w:r w:rsidRPr="001B3F19">
        <w:rPr>
          <w:i/>
          <w:color w:val="000000"/>
        </w:rPr>
        <w:t>Dialing Services</w:t>
      </w:r>
      <w:r w:rsidRPr="001B3F19">
        <w:rPr>
          <w:color w:val="000000"/>
        </w:rPr>
        <w:t>) (rejecting carrier’s argument that it should not be liable because it acts as a “conduit” and “merely facilitates” illegal activity but does not itself engage in the practice).</w:t>
      </w:r>
    </w:p>
  </w:footnote>
  <w:footnote w:id="33">
    <w:p w:rsidR="0015641D" w:rsidRPr="001B3F19" w:rsidRDefault="0015641D" w:rsidP="001B3F19">
      <w:pPr>
        <w:pStyle w:val="FootnoteText"/>
      </w:pPr>
      <w:r w:rsidRPr="001B3F19">
        <w:rPr>
          <w:rStyle w:val="FootnoteReference"/>
        </w:rPr>
        <w:footnoteRef/>
      </w:r>
      <w:r w:rsidRPr="001B3F19">
        <w:t xml:space="preserve"> </w:t>
      </w:r>
      <w:r w:rsidRPr="001B3F19">
        <w:rPr>
          <w:i/>
        </w:rPr>
        <w:t>See NAL</w:t>
      </w:r>
      <w:r w:rsidRPr="001B3F19">
        <w:t>, 29 FCC Rcd at 2551, para. 9.</w:t>
      </w:r>
    </w:p>
  </w:footnote>
  <w:footnote w:id="34">
    <w:p w:rsidR="0015641D" w:rsidRPr="001B3F19" w:rsidRDefault="0015641D" w:rsidP="001B3F19">
      <w:pPr>
        <w:pStyle w:val="FootnoteText"/>
      </w:pPr>
      <w:r w:rsidRPr="001B3F19">
        <w:rPr>
          <w:rStyle w:val="FootnoteReference"/>
        </w:rPr>
        <w:footnoteRef/>
      </w:r>
      <w:r w:rsidRPr="001B3F19">
        <w:t xml:space="preserve"> </w:t>
      </w:r>
      <w:r w:rsidRPr="001B3F19">
        <w:rPr>
          <w:i/>
        </w:rPr>
        <w:t>See</w:t>
      </w:r>
      <w:r w:rsidRPr="001B3F19">
        <w:t xml:space="preserve"> </w:t>
      </w:r>
      <w:r w:rsidRPr="001B3F19">
        <w:rPr>
          <w:i/>
        </w:rPr>
        <w:t xml:space="preserve">id. </w:t>
      </w:r>
      <w:r w:rsidRPr="001B3F19">
        <w:rPr>
          <w:color w:val="000000"/>
        </w:rPr>
        <w:t>at 2562,</w:t>
      </w:r>
      <w:r w:rsidRPr="001B3F19">
        <w:t xml:space="preserve"> para. 29.</w:t>
      </w:r>
    </w:p>
  </w:footnote>
  <w:footnote w:id="35">
    <w:p w:rsidR="0015641D" w:rsidRPr="001B3F19" w:rsidRDefault="0015641D" w:rsidP="001B3F19">
      <w:pPr>
        <w:pStyle w:val="FootnoteText"/>
      </w:pPr>
      <w:r w:rsidRPr="001B3F19">
        <w:rPr>
          <w:rStyle w:val="FootnoteReference"/>
        </w:rPr>
        <w:footnoteRef/>
      </w:r>
      <w:r w:rsidRPr="001B3F19">
        <w:t xml:space="preserve"> </w:t>
      </w:r>
      <w:r w:rsidRPr="001B3F19">
        <w:rPr>
          <w:i/>
        </w:rPr>
        <w:t>See id</w:t>
      </w:r>
      <w:r w:rsidRPr="001B3F19">
        <w:t xml:space="preserve">. </w:t>
      </w:r>
    </w:p>
  </w:footnote>
  <w:footnote w:id="36">
    <w:p w:rsidR="0015641D" w:rsidRPr="001B3F19" w:rsidRDefault="0015641D" w:rsidP="001B3F19">
      <w:pPr>
        <w:pStyle w:val="FootnoteText"/>
      </w:pPr>
      <w:r w:rsidRPr="001B3F19">
        <w:rPr>
          <w:rStyle w:val="FootnoteReference"/>
        </w:rPr>
        <w:footnoteRef/>
      </w:r>
      <w:r w:rsidRPr="001B3F19">
        <w:t xml:space="preserve"> </w:t>
      </w:r>
      <w:r w:rsidRPr="001B3F19">
        <w:rPr>
          <w:i/>
        </w:rPr>
        <w:t xml:space="preserve">See id. </w:t>
      </w:r>
      <w:r w:rsidRPr="001B3F19">
        <w:t>at 2562, para. 28.</w:t>
      </w:r>
    </w:p>
  </w:footnote>
  <w:footnote w:id="37">
    <w:p w:rsidR="0015641D" w:rsidRPr="001B3F19" w:rsidRDefault="0015641D" w:rsidP="001B3F19">
      <w:pPr>
        <w:pStyle w:val="FootnoteText"/>
        <w:rPr>
          <w:b/>
        </w:rPr>
      </w:pPr>
      <w:r w:rsidRPr="001B3F19">
        <w:rPr>
          <w:rStyle w:val="FootnoteReference"/>
        </w:rPr>
        <w:footnoteRef/>
      </w:r>
      <w:r w:rsidRPr="001B3F19">
        <w:t xml:space="preserve"> </w:t>
      </w:r>
      <w:r w:rsidRPr="001B3F19">
        <w:rPr>
          <w:i/>
        </w:rPr>
        <w:t>See</w:t>
      </w:r>
      <w:r w:rsidRPr="001B3F19">
        <w:t xml:space="preserve"> Viacom NAL Response at 6; ESPN NAL Response at 3–4 </w:t>
      </w:r>
      <w:r w:rsidR="00B20B55" w:rsidRPr="001B3F19">
        <w:t>(both Companies asserting that Section 11.45 does not clearly prohibit network programming providers from using EAS Tones in dramatic programming or other “non-deceptive” circumstances).</w:t>
      </w:r>
    </w:p>
  </w:footnote>
  <w:footnote w:id="38">
    <w:p w:rsidR="0015641D" w:rsidRPr="001B3F19" w:rsidRDefault="0015641D" w:rsidP="001B3F19">
      <w:pPr>
        <w:pStyle w:val="FootnoteText"/>
      </w:pPr>
      <w:r w:rsidRPr="001B3F19">
        <w:rPr>
          <w:rStyle w:val="FootnoteReference"/>
        </w:rPr>
        <w:footnoteRef/>
      </w:r>
      <w:r w:rsidRPr="001B3F19">
        <w:t xml:space="preserve"> </w:t>
      </w:r>
      <w:r w:rsidRPr="001B3F19">
        <w:rPr>
          <w:i/>
        </w:rPr>
        <w:t>See NAL</w:t>
      </w:r>
      <w:r w:rsidRPr="001B3F19">
        <w:t>, 29 FCC Rcd 2548, 2562</w:t>
      </w:r>
      <w:r w:rsidR="00B87367" w:rsidRPr="001B3F19">
        <w:t>–</w:t>
      </w:r>
      <w:r w:rsidRPr="001B3F19">
        <w:t>63.</w:t>
      </w:r>
    </w:p>
  </w:footnote>
  <w:footnote w:id="39">
    <w:p w:rsidR="0015641D" w:rsidRPr="001B3F19" w:rsidRDefault="0015641D" w:rsidP="001B3F19">
      <w:pPr>
        <w:pStyle w:val="FootnoteText"/>
      </w:pPr>
      <w:r w:rsidRPr="001B3F19">
        <w:rPr>
          <w:rStyle w:val="FootnoteReference"/>
        </w:rPr>
        <w:footnoteRef/>
      </w:r>
      <w:r w:rsidRPr="001B3F19">
        <w:t xml:space="preserve"> Viacom NAL Response at 8.</w:t>
      </w:r>
    </w:p>
  </w:footnote>
  <w:footnote w:id="40">
    <w:p w:rsidR="0015641D" w:rsidRPr="001B3F19" w:rsidRDefault="0015641D" w:rsidP="001B3F19">
      <w:pPr>
        <w:pStyle w:val="FootnoteText"/>
      </w:pPr>
      <w:r w:rsidRPr="001B3F19">
        <w:rPr>
          <w:rStyle w:val="FootnoteReference"/>
        </w:rPr>
        <w:footnoteRef/>
      </w:r>
      <w:r w:rsidRPr="001B3F19">
        <w:t xml:space="preserve"> ESPN NAL Response at 6–7.</w:t>
      </w:r>
    </w:p>
  </w:footnote>
  <w:footnote w:id="41">
    <w:p w:rsidR="0015641D" w:rsidRPr="001B3F19" w:rsidRDefault="0015641D" w:rsidP="001B3F19">
      <w:pPr>
        <w:pStyle w:val="FootnoteText"/>
      </w:pPr>
      <w:r w:rsidRPr="001B3F19">
        <w:rPr>
          <w:rStyle w:val="FootnoteReference"/>
        </w:rPr>
        <w:footnoteRef/>
      </w:r>
      <w:r w:rsidRPr="001B3F19">
        <w:t xml:space="preserve"> </w:t>
      </w:r>
      <w:r w:rsidRPr="001B3F19">
        <w:rPr>
          <w:i/>
        </w:rPr>
        <w:t xml:space="preserve">See </w:t>
      </w:r>
      <w:r w:rsidRPr="001B3F19">
        <w:t xml:space="preserve">ESPN NAL Response at 6–7; Viacom NAL Response at 6–8.  The Companies also attempt to link the deception argument to the notice argument, contending that the Commission’s prior actions relating to Section 11.45 did not provide adequate notice that a non-deceptive use of EAS Tones might result in a monetary fine or other punishment.  </w:t>
      </w:r>
      <w:r w:rsidRPr="001B3F19">
        <w:rPr>
          <w:i/>
        </w:rPr>
        <w:t xml:space="preserve">See </w:t>
      </w:r>
      <w:r w:rsidRPr="001B3F19">
        <w:t xml:space="preserve">Viacom NAL Response at 13; ESPN NAL Response at 1–4, 7.  ESPN offers a related argument, contending its liability should be mitigated due to the lack of adequate notice given by the Commission that “a non-deceptive use of EAS-like tones in what was clearly a commercial advertisement for a movie could give rise to liability.”  ESPN NAL Response at 15.  We again reject these arguments for the reasons discussed in the </w:t>
      </w:r>
      <w:r w:rsidRPr="001B3F19">
        <w:rPr>
          <w:i/>
        </w:rPr>
        <w:t>NAL</w:t>
      </w:r>
      <w:r w:rsidRPr="001B3F19">
        <w:t xml:space="preserve"> and at </w:t>
      </w:r>
      <w:r w:rsidRPr="001B3F19">
        <w:rPr>
          <w:i/>
        </w:rPr>
        <w:t>supra</w:t>
      </w:r>
      <w:r w:rsidRPr="001B3F19">
        <w:t xml:space="preserve"> para. 8. </w:t>
      </w:r>
    </w:p>
  </w:footnote>
  <w:footnote w:id="42">
    <w:p w:rsidR="0015641D" w:rsidRPr="001B3F19" w:rsidRDefault="0015641D" w:rsidP="001B3F19">
      <w:pPr>
        <w:pStyle w:val="FootnoteText"/>
      </w:pPr>
      <w:r w:rsidRPr="001B3F19">
        <w:rPr>
          <w:rStyle w:val="FootnoteReference"/>
        </w:rPr>
        <w:footnoteRef/>
      </w:r>
      <w:r w:rsidRPr="001B3F19">
        <w:t xml:space="preserve"> Viacom NAL Response at 7.</w:t>
      </w:r>
    </w:p>
  </w:footnote>
  <w:footnote w:id="43">
    <w:p w:rsidR="0015641D" w:rsidRPr="001B3F19" w:rsidRDefault="0015641D" w:rsidP="001B3F19">
      <w:pPr>
        <w:pStyle w:val="FootnoteText"/>
      </w:pPr>
      <w:r w:rsidRPr="001B3F19">
        <w:rPr>
          <w:rStyle w:val="FootnoteReference"/>
        </w:rPr>
        <w:footnoteRef/>
      </w:r>
      <w:r w:rsidRPr="001B3F19">
        <w:t xml:space="preserve"> </w:t>
      </w:r>
      <w:r w:rsidRPr="001B3F19">
        <w:rPr>
          <w:i/>
        </w:rPr>
        <w:t>See NAL</w:t>
      </w:r>
      <w:r w:rsidRPr="001B3F19">
        <w:t>, 29 FCC Rcd at 2562–63, paras. 30–32.</w:t>
      </w:r>
    </w:p>
  </w:footnote>
  <w:footnote w:id="44">
    <w:p w:rsidR="0015641D" w:rsidRPr="001B3F19" w:rsidRDefault="0015641D" w:rsidP="001B3F19">
      <w:pPr>
        <w:pStyle w:val="FootnoteText"/>
        <w:rPr>
          <w:color w:val="000000" w:themeColor="text1"/>
        </w:rPr>
      </w:pPr>
      <w:r w:rsidRPr="001B3F19">
        <w:rPr>
          <w:rStyle w:val="FootnoteReference"/>
          <w:color w:val="000000" w:themeColor="text1"/>
        </w:rPr>
        <w:footnoteRef/>
      </w:r>
      <w:r w:rsidRPr="001B3F19">
        <w:rPr>
          <w:color w:val="000000" w:themeColor="text1"/>
        </w:rPr>
        <w:t xml:space="preserve"> </w:t>
      </w:r>
      <w:r w:rsidRPr="001B3F19">
        <w:rPr>
          <w:i/>
          <w:color w:val="000000" w:themeColor="text1"/>
        </w:rPr>
        <w:t xml:space="preserve">See </w:t>
      </w:r>
      <w:r w:rsidRPr="001B3F19">
        <w:rPr>
          <w:color w:val="000000" w:themeColor="text1"/>
        </w:rPr>
        <w:t xml:space="preserve">47 C.F.R. § 11.45; </w:t>
      </w:r>
      <w:r w:rsidRPr="001B3F19">
        <w:rPr>
          <w:i/>
          <w:color w:val="000000" w:themeColor="text1"/>
        </w:rPr>
        <w:t>NAL</w:t>
      </w:r>
      <w:r w:rsidRPr="001B3F19">
        <w:rPr>
          <w:color w:val="000000" w:themeColor="text1"/>
        </w:rPr>
        <w:t>,</w:t>
      </w:r>
      <w:r w:rsidRPr="001B3F19">
        <w:rPr>
          <w:i/>
          <w:color w:val="000000" w:themeColor="text1"/>
        </w:rPr>
        <w:t xml:space="preserve"> </w:t>
      </w:r>
      <w:r w:rsidRPr="001B3F19">
        <w:rPr>
          <w:color w:val="000000" w:themeColor="text1"/>
        </w:rPr>
        <w:t>29 FCC Rcd at 2563, para. 31.</w:t>
      </w:r>
    </w:p>
  </w:footnote>
  <w:footnote w:id="45">
    <w:p w:rsidR="0015641D" w:rsidRPr="001B3F19" w:rsidRDefault="0015641D" w:rsidP="001B3F19">
      <w:pPr>
        <w:pStyle w:val="FootnoteText"/>
        <w:rPr>
          <w:color w:val="000000" w:themeColor="text1"/>
        </w:rPr>
      </w:pPr>
      <w:r w:rsidRPr="001B3F19">
        <w:rPr>
          <w:rStyle w:val="FootnoteReference"/>
          <w:color w:val="000000" w:themeColor="text1"/>
        </w:rPr>
        <w:footnoteRef/>
      </w:r>
      <w:r w:rsidRPr="001B3F19">
        <w:rPr>
          <w:color w:val="000000" w:themeColor="text1"/>
        </w:rPr>
        <w:t xml:space="preserve"> 47 C.F.R. § 11.45; </w:t>
      </w:r>
      <w:r w:rsidRPr="001B3F19">
        <w:rPr>
          <w:i/>
          <w:color w:val="000000" w:themeColor="text1"/>
        </w:rPr>
        <w:t>see NAL</w:t>
      </w:r>
      <w:r w:rsidRPr="001B3F19">
        <w:rPr>
          <w:color w:val="000000" w:themeColor="text1"/>
        </w:rPr>
        <w:t>, 29 FCC Rcd at 2563, para. 31.</w:t>
      </w:r>
    </w:p>
  </w:footnote>
  <w:footnote w:id="46">
    <w:p w:rsidR="0015641D" w:rsidRPr="001B3F19" w:rsidRDefault="0015641D" w:rsidP="001B3F19">
      <w:pPr>
        <w:pStyle w:val="FootnoteText"/>
        <w:rPr>
          <w:b/>
          <w:color w:val="000000" w:themeColor="text1"/>
        </w:rPr>
      </w:pPr>
      <w:r w:rsidRPr="001B3F19">
        <w:rPr>
          <w:rStyle w:val="FootnoteReference"/>
          <w:color w:val="000000" w:themeColor="text1"/>
        </w:rPr>
        <w:footnoteRef/>
      </w:r>
      <w:r w:rsidRPr="001B3F19">
        <w:rPr>
          <w:color w:val="000000" w:themeColor="text1"/>
        </w:rPr>
        <w:t xml:space="preserve"> </w:t>
      </w:r>
      <w:r w:rsidRPr="001B3F19">
        <w:rPr>
          <w:i/>
          <w:color w:val="000000" w:themeColor="text1"/>
        </w:rPr>
        <w:t>See NAL</w:t>
      </w:r>
      <w:r w:rsidRPr="001B3F19">
        <w:rPr>
          <w:color w:val="000000" w:themeColor="text1"/>
        </w:rPr>
        <w:t>, 29 FCC Rcd at 2563, para. 31</w:t>
      </w:r>
      <w:r w:rsidRPr="001B3F19">
        <w:rPr>
          <w:i/>
          <w:color w:val="000000" w:themeColor="text1"/>
        </w:rPr>
        <w:t xml:space="preserve">.  See </w:t>
      </w:r>
      <w:r w:rsidR="00071959">
        <w:rPr>
          <w:i/>
          <w:color w:val="000000" w:themeColor="text1"/>
        </w:rPr>
        <w:t>also</w:t>
      </w:r>
      <w:r w:rsidR="00071959" w:rsidRPr="005C70D8">
        <w:rPr>
          <w:i/>
          <w:color w:val="000000" w:themeColor="text1"/>
        </w:rPr>
        <w:t xml:space="preserve"> </w:t>
      </w:r>
      <w:r w:rsidRPr="001B3F19">
        <w:rPr>
          <w:i/>
          <w:color w:val="1A1A1A"/>
        </w:rPr>
        <w:t>1994 EBS Order</w:t>
      </w:r>
      <w:r w:rsidR="00071959">
        <w:rPr>
          <w:color w:val="1A1A1A"/>
        </w:rPr>
        <w:t>, 10 FCC Rcd at 1815, para. 84</w:t>
      </w:r>
      <w:r w:rsidR="00A35910" w:rsidRPr="001B3F19">
        <w:rPr>
          <w:color w:val="1A1A1A"/>
        </w:rPr>
        <w:t>;</w:t>
      </w:r>
      <w:r w:rsidRPr="001B3F19">
        <w:rPr>
          <w:color w:val="1A1A1A"/>
        </w:rPr>
        <w:t xml:space="preserve"> </w:t>
      </w:r>
      <w:r w:rsidR="00A35910" w:rsidRPr="001B3F19">
        <w:t>Viacom NAL Response at 6.</w:t>
      </w:r>
      <w:r w:rsidR="00A35910" w:rsidRPr="001B3F19" w:rsidDel="00A35910">
        <w:rPr>
          <w:b/>
          <w:color w:val="1A1A1A"/>
        </w:rPr>
        <w:t xml:space="preserve"> </w:t>
      </w:r>
    </w:p>
  </w:footnote>
  <w:footnote w:id="47">
    <w:p w:rsidR="0015641D" w:rsidRPr="001B3F19" w:rsidRDefault="0015641D" w:rsidP="001B3F19">
      <w:pPr>
        <w:pStyle w:val="FootnoteText"/>
        <w:rPr>
          <w:color w:val="000000" w:themeColor="text1"/>
        </w:rPr>
      </w:pPr>
      <w:r w:rsidRPr="001B3F19">
        <w:rPr>
          <w:rStyle w:val="FootnoteReference"/>
          <w:color w:val="000000" w:themeColor="text1"/>
        </w:rPr>
        <w:footnoteRef/>
      </w:r>
      <w:r w:rsidRPr="001B3F19">
        <w:rPr>
          <w:color w:val="000000" w:themeColor="text1"/>
        </w:rPr>
        <w:t xml:space="preserve"> </w:t>
      </w:r>
      <w:r w:rsidRPr="001B3F19">
        <w:rPr>
          <w:i/>
          <w:iCs/>
          <w:color w:val="000000" w:themeColor="text1"/>
        </w:rPr>
        <w:t>See NAL</w:t>
      </w:r>
      <w:r w:rsidRPr="001B3F19">
        <w:rPr>
          <w:color w:val="000000" w:themeColor="text1"/>
        </w:rPr>
        <w:t>,</w:t>
      </w:r>
      <w:r w:rsidRPr="001B3F19">
        <w:rPr>
          <w:iCs/>
          <w:color w:val="000000" w:themeColor="text1"/>
        </w:rPr>
        <w:t xml:space="preserve"> </w:t>
      </w:r>
      <w:r w:rsidRPr="001B3F19">
        <w:rPr>
          <w:color w:val="000000" w:themeColor="text1"/>
        </w:rPr>
        <w:t xml:space="preserve">29 FCC Rcd at 2563, </w:t>
      </w:r>
      <w:r w:rsidRPr="001B3F19">
        <w:rPr>
          <w:iCs/>
          <w:color w:val="000000" w:themeColor="text1"/>
        </w:rPr>
        <w:t>para. 31</w:t>
      </w:r>
      <w:r w:rsidRPr="001B3F19">
        <w:rPr>
          <w:color w:val="000000" w:themeColor="text1"/>
        </w:rPr>
        <w:t>.</w:t>
      </w:r>
    </w:p>
  </w:footnote>
  <w:footnote w:id="48">
    <w:p w:rsidR="0015641D" w:rsidRPr="001B3F19" w:rsidRDefault="0015641D" w:rsidP="001B3F19">
      <w:pPr>
        <w:pStyle w:val="FootnoteText"/>
        <w:rPr>
          <w:i/>
          <w:color w:val="000000" w:themeColor="text1"/>
        </w:rPr>
      </w:pPr>
      <w:r w:rsidRPr="001B3F19">
        <w:rPr>
          <w:rStyle w:val="FootnoteReference"/>
          <w:color w:val="000000" w:themeColor="text1"/>
        </w:rPr>
        <w:footnoteRef/>
      </w:r>
      <w:r w:rsidRPr="001B3F19">
        <w:rPr>
          <w:color w:val="000000" w:themeColor="text1"/>
        </w:rPr>
        <w:t xml:space="preserve"> </w:t>
      </w:r>
      <w:r w:rsidRPr="001B3F19">
        <w:rPr>
          <w:i/>
          <w:color w:val="000000" w:themeColor="text1"/>
        </w:rPr>
        <w:t>Id</w:t>
      </w:r>
      <w:r w:rsidRPr="001B3F19">
        <w:rPr>
          <w:color w:val="000000" w:themeColor="text1"/>
        </w:rPr>
        <w:t>. at 2563, para. 32.</w:t>
      </w:r>
    </w:p>
  </w:footnote>
  <w:footnote w:id="49">
    <w:p w:rsidR="0015641D" w:rsidRPr="001B3F19" w:rsidRDefault="0015641D" w:rsidP="001B3F19">
      <w:pPr>
        <w:pStyle w:val="FootnoteText"/>
        <w:rPr>
          <w:color w:val="000000" w:themeColor="text1"/>
        </w:rPr>
      </w:pPr>
      <w:r w:rsidRPr="001B3F19">
        <w:rPr>
          <w:rStyle w:val="FootnoteReference"/>
          <w:color w:val="000000" w:themeColor="text1"/>
        </w:rPr>
        <w:footnoteRef/>
      </w:r>
      <w:r w:rsidRPr="001B3F19">
        <w:rPr>
          <w:color w:val="000000" w:themeColor="text1"/>
        </w:rPr>
        <w:t xml:space="preserve"> </w:t>
      </w:r>
      <w:r w:rsidRPr="001B3F19">
        <w:rPr>
          <w:i/>
          <w:color w:val="000000" w:themeColor="text1"/>
        </w:rPr>
        <w:t xml:space="preserve">Id. </w:t>
      </w:r>
      <w:r w:rsidRPr="001B3F19">
        <w:rPr>
          <w:color w:val="000000" w:themeColor="text1"/>
        </w:rPr>
        <w:t xml:space="preserve">at 2563, para. 31 (citing </w:t>
      </w:r>
      <w:r w:rsidRPr="001B3F19">
        <w:rPr>
          <w:i/>
          <w:color w:val="000000" w:themeColor="text1"/>
        </w:rPr>
        <w:t>1994 EBS Order</w:t>
      </w:r>
      <w:r w:rsidRPr="001B3F19">
        <w:rPr>
          <w:color w:val="000000" w:themeColor="text1"/>
        </w:rPr>
        <w:t>, 10 FCC Rcd at 1815, para. 84).</w:t>
      </w:r>
    </w:p>
  </w:footnote>
  <w:footnote w:id="50">
    <w:p w:rsidR="0015641D" w:rsidRPr="001B3F19" w:rsidRDefault="0015641D" w:rsidP="001B3F19">
      <w:pPr>
        <w:pStyle w:val="FootnoteText"/>
        <w:rPr>
          <w:color w:val="000000" w:themeColor="text1"/>
        </w:rPr>
      </w:pPr>
      <w:r w:rsidRPr="001B3F19">
        <w:rPr>
          <w:rStyle w:val="FootnoteReference"/>
          <w:color w:val="000000" w:themeColor="text1"/>
        </w:rPr>
        <w:footnoteRef/>
      </w:r>
      <w:r w:rsidRPr="001B3F19">
        <w:rPr>
          <w:color w:val="000000" w:themeColor="text1"/>
        </w:rPr>
        <w:t xml:space="preserve"> 47 U.S.C. § 325(a); </w:t>
      </w:r>
      <w:r w:rsidRPr="001B3F19">
        <w:rPr>
          <w:i/>
          <w:color w:val="000000" w:themeColor="text1"/>
        </w:rPr>
        <w:t>see NAL</w:t>
      </w:r>
      <w:r w:rsidRPr="001B3F19">
        <w:rPr>
          <w:color w:val="000000" w:themeColor="text1"/>
        </w:rPr>
        <w:t xml:space="preserve">, 29 FCC Rcd at 2565, para. 35. </w:t>
      </w:r>
    </w:p>
  </w:footnote>
  <w:footnote w:id="51">
    <w:p w:rsidR="0015641D" w:rsidRPr="001B3F19" w:rsidRDefault="0015641D" w:rsidP="001B3F19">
      <w:pPr>
        <w:pStyle w:val="FootnoteText"/>
        <w:rPr>
          <w:color w:val="000000" w:themeColor="text1"/>
        </w:rPr>
      </w:pPr>
      <w:r w:rsidRPr="001B3F19">
        <w:rPr>
          <w:rStyle w:val="FootnoteReference"/>
          <w:color w:val="000000" w:themeColor="text1"/>
        </w:rPr>
        <w:footnoteRef/>
      </w:r>
      <w:r w:rsidRPr="001B3F19">
        <w:rPr>
          <w:color w:val="000000" w:themeColor="text1"/>
        </w:rPr>
        <w:t xml:space="preserve"> </w:t>
      </w:r>
      <w:r w:rsidRPr="001B3F19">
        <w:rPr>
          <w:i/>
          <w:color w:val="000000" w:themeColor="text1"/>
        </w:rPr>
        <w:t xml:space="preserve">See supra </w:t>
      </w:r>
      <w:r w:rsidRPr="001B3F19">
        <w:rPr>
          <w:color w:val="000000" w:themeColor="text1"/>
        </w:rPr>
        <w:t>note 4</w:t>
      </w:r>
      <w:r w:rsidR="009A239B">
        <w:rPr>
          <w:color w:val="000000" w:themeColor="text1"/>
        </w:rPr>
        <w:t>5</w:t>
      </w:r>
      <w:r w:rsidRPr="001B3F19">
        <w:rPr>
          <w:snapToGrid w:val="0"/>
          <w:color w:val="000000" w:themeColor="text1"/>
          <w:shd w:val="clear" w:color="auto" w:fill="FFFFFF"/>
        </w:rPr>
        <w:t>.</w:t>
      </w:r>
      <w:r w:rsidR="005E6222" w:rsidRPr="001B3F19">
        <w:rPr>
          <w:snapToGrid w:val="0"/>
          <w:color w:val="000000" w:themeColor="text1"/>
          <w:shd w:val="clear" w:color="auto" w:fill="FFFFFF"/>
        </w:rPr>
        <w:t xml:space="preserve">  </w:t>
      </w:r>
      <w:r w:rsidR="005E6222" w:rsidRPr="001B3F19">
        <w:rPr>
          <w:i/>
        </w:rPr>
        <w:t>See also Turner Broad. Sys., Inc.</w:t>
      </w:r>
      <w:r w:rsidR="005E6222" w:rsidRPr="001B3F19">
        <w:t>,</w:t>
      </w:r>
      <w:r w:rsidR="005E6222" w:rsidRPr="001B3F19">
        <w:rPr>
          <w:i/>
        </w:rPr>
        <w:t xml:space="preserve"> </w:t>
      </w:r>
      <w:r w:rsidR="005E6222" w:rsidRPr="001B3F19">
        <w:t>Notice of Apparent Liability for Forfei</w:t>
      </w:r>
      <w:r w:rsidR="004F15A0">
        <w:t>t</w:t>
      </w:r>
      <w:r w:rsidR="005E6222" w:rsidRPr="001B3F19">
        <w:t xml:space="preserve">ure, </w:t>
      </w:r>
      <w:r w:rsidR="005E6222" w:rsidRPr="001B3F19">
        <w:rPr>
          <w:color w:val="000000"/>
        </w:rPr>
        <w:t>29 FCC Rcd 752 (</w:t>
      </w:r>
      <w:r w:rsidR="005E6222" w:rsidRPr="001B3F19">
        <w:rPr>
          <w:rStyle w:val="documentbody"/>
        </w:rPr>
        <w:t>2014) (</w:t>
      </w:r>
      <w:r w:rsidR="005E6222" w:rsidRPr="001B3F19">
        <w:rPr>
          <w:rStyle w:val="documentbody"/>
          <w:i/>
        </w:rPr>
        <w:t>Turner II</w:t>
      </w:r>
      <w:r w:rsidR="005E6222" w:rsidRPr="001B3F19">
        <w:rPr>
          <w:rStyle w:val="documentbody"/>
        </w:rPr>
        <w:t>)</w:t>
      </w:r>
      <w:r w:rsidR="005E6222" w:rsidRPr="001B3F19">
        <w:t xml:space="preserve">; </w:t>
      </w:r>
      <w:r w:rsidR="005E6222" w:rsidRPr="001B3F19">
        <w:rPr>
          <w:i/>
        </w:rPr>
        <w:t>Turner Broad. Sys., Inc.</w:t>
      </w:r>
      <w:r w:rsidR="005E6222" w:rsidRPr="001B3F19">
        <w:t>, Notice of Apparent Liability for Forfeiture, 28 FCC Rcd 15455 (Enf. Bur. 2013) (</w:t>
      </w:r>
      <w:r w:rsidR="005E6222" w:rsidRPr="001B3F19">
        <w:rPr>
          <w:i/>
        </w:rPr>
        <w:t>Turner I</w:t>
      </w:r>
      <w:r w:rsidR="005E6222" w:rsidRPr="001B3F19">
        <w:t>).</w:t>
      </w:r>
    </w:p>
  </w:footnote>
  <w:footnote w:id="52">
    <w:p w:rsidR="0015641D" w:rsidRPr="001B3F19" w:rsidRDefault="0015641D" w:rsidP="001B3F19">
      <w:pPr>
        <w:pStyle w:val="FootnoteText"/>
        <w:rPr>
          <w:i/>
          <w:color w:val="000000" w:themeColor="text1"/>
        </w:rPr>
      </w:pPr>
      <w:r w:rsidRPr="001B3F19">
        <w:rPr>
          <w:rStyle w:val="FootnoteReference"/>
          <w:color w:val="000000" w:themeColor="text1"/>
        </w:rPr>
        <w:footnoteRef/>
      </w:r>
      <w:r w:rsidRPr="001B3F19">
        <w:rPr>
          <w:color w:val="000000" w:themeColor="text1"/>
        </w:rPr>
        <w:t xml:space="preserve"> </w:t>
      </w:r>
      <w:r w:rsidRPr="001B3F19">
        <w:rPr>
          <w:i/>
          <w:color w:val="000000" w:themeColor="text1"/>
        </w:rPr>
        <w:t>See NAL</w:t>
      </w:r>
      <w:r w:rsidRPr="001B3F19">
        <w:rPr>
          <w:color w:val="000000" w:themeColor="text1"/>
        </w:rPr>
        <w:t>, 29 FCC Rcd at 2563, para. 32.</w:t>
      </w:r>
    </w:p>
  </w:footnote>
  <w:footnote w:id="53">
    <w:p w:rsidR="0015641D" w:rsidRPr="001B3F19" w:rsidRDefault="0015641D" w:rsidP="001B3F19">
      <w:pPr>
        <w:pStyle w:val="FootnoteText"/>
      </w:pPr>
      <w:r w:rsidRPr="001B3F19">
        <w:rPr>
          <w:rStyle w:val="FootnoteReference"/>
          <w:color w:val="000000" w:themeColor="text1"/>
        </w:rPr>
        <w:footnoteRef/>
      </w:r>
      <w:r w:rsidRPr="001B3F19">
        <w:rPr>
          <w:color w:val="000000" w:themeColor="text1"/>
        </w:rPr>
        <w:t xml:space="preserve"> </w:t>
      </w:r>
      <w:r w:rsidRPr="001B3F19">
        <w:rPr>
          <w:i/>
          <w:color w:val="000000" w:themeColor="text1"/>
        </w:rPr>
        <w:t xml:space="preserve">See id. </w:t>
      </w:r>
      <w:r w:rsidRPr="001B3F19">
        <w:rPr>
          <w:color w:val="000000" w:themeColor="text1"/>
        </w:rPr>
        <w:t>at 2564–65, paras. 34–35.</w:t>
      </w:r>
    </w:p>
  </w:footnote>
  <w:footnote w:id="54">
    <w:p w:rsidR="0015641D" w:rsidRPr="001B3F19" w:rsidRDefault="0015641D" w:rsidP="001B3F19">
      <w:pPr>
        <w:pStyle w:val="FootnoteText"/>
      </w:pPr>
      <w:r w:rsidRPr="001B3F19">
        <w:rPr>
          <w:rStyle w:val="FootnoteReference"/>
        </w:rPr>
        <w:footnoteRef/>
      </w:r>
      <w:r w:rsidRPr="001B3F19">
        <w:t xml:space="preserve"> Viacom NAL Response at 6–8.</w:t>
      </w:r>
    </w:p>
  </w:footnote>
  <w:footnote w:id="55">
    <w:p w:rsidR="0015641D" w:rsidRPr="001B3F19" w:rsidRDefault="0015641D" w:rsidP="001B3F19">
      <w:pPr>
        <w:pStyle w:val="FootnoteText"/>
      </w:pPr>
      <w:r w:rsidRPr="001B3F19">
        <w:rPr>
          <w:rStyle w:val="FootnoteReference"/>
        </w:rPr>
        <w:footnoteRef/>
      </w:r>
      <w:r w:rsidRPr="001B3F19">
        <w:t xml:space="preserve"> </w:t>
      </w:r>
      <w:r w:rsidRPr="001B3F19">
        <w:rPr>
          <w:i/>
        </w:rPr>
        <w:t>Id.</w:t>
      </w:r>
      <w:r w:rsidRPr="001B3F19">
        <w:t xml:space="preserve"> at n.18.</w:t>
      </w:r>
    </w:p>
  </w:footnote>
  <w:footnote w:id="56">
    <w:p w:rsidR="0015641D" w:rsidRPr="001B3F19" w:rsidRDefault="0015641D" w:rsidP="001B3F19">
      <w:pPr>
        <w:pStyle w:val="FootnoteText"/>
      </w:pPr>
      <w:r w:rsidRPr="001B3F19">
        <w:rPr>
          <w:rStyle w:val="FootnoteReference"/>
        </w:rPr>
        <w:footnoteRef/>
      </w:r>
      <w:r w:rsidRPr="001B3F19">
        <w:t xml:space="preserve"> </w:t>
      </w:r>
      <w:r w:rsidRPr="001B3F19">
        <w:rPr>
          <w:i/>
        </w:rPr>
        <w:t>NAL</w:t>
      </w:r>
      <w:r w:rsidRPr="001B3F19">
        <w:t>, 29 FCC Rcd at 2554, para. 18</w:t>
      </w:r>
      <w:r w:rsidRPr="001B3F19">
        <w:rPr>
          <w:i/>
        </w:rPr>
        <w:t xml:space="preserve"> </w:t>
      </w:r>
      <w:r w:rsidRPr="001B3F19">
        <w:t>(citing 47 U.S.C. § 503(b)(1)(B)).</w:t>
      </w:r>
    </w:p>
  </w:footnote>
  <w:footnote w:id="57">
    <w:p w:rsidR="0015641D" w:rsidRPr="001B3F19" w:rsidRDefault="0015641D" w:rsidP="001B3F19">
      <w:pPr>
        <w:pStyle w:val="FootnoteText"/>
      </w:pPr>
      <w:r w:rsidRPr="001B3F19">
        <w:rPr>
          <w:rStyle w:val="FootnoteReference"/>
        </w:rPr>
        <w:footnoteRef/>
      </w:r>
      <w:r w:rsidRPr="001B3F19">
        <w:t xml:space="preserve"> 47 U.S.C. § 312(f)(1).</w:t>
      </w:r>
    </w:p>
  </w:footnote>
  <w:footnote w:id="58">
    <w:p w:rsidR="0015641D" w:rsidRPr="001B3F19" w:rsidRDefault="0015641D" w:rsidP="001B3F19">
      <w:pPr>
        <w:pStyle w:val="FootnoteText"/>
      </w:pPr>
      <w:r w:rsidRPr="001B3F19">
        <w:rPr>
          <w:rStyle w:val="FootnoteReference"/>
        </w:rPr>
        <w:footnoteRef/>
      </w:r>
      <w:r w:rsidRPr="001B3F19">
        <w:t xml:space="preserve"> H.R. Rep. No. 97-765, 97</w:t>
      </w:r>
      <w:r w:rsidRPr="001B3F19">
        <w:rPr>
          <w:vertAlign w:val="superscript"/>
        </w:rPr>
        <w:t>th</w:t>
      </w:r>
      <w:r w:rsidRPr="001B3F19">
        <w:t xml:space="preserve"> Cong. 2d Sess. 51 (1982), reprinted in 1982 U.S.C.C.A.N. 2294-95 (“This provision [inserted in Section 312] defines the term[s] ‘willful’ [ . . .] for purposes of section 312 and for any other relevant section of the act (e.g., Section 503) . . . . As defined . . . ‘willful’ means that the licensee knew that he was doing the act in question, regardless of whether there was an intent to violate the law. . . . The definitions are intended primarily to clarify the language in Section 312 and 503, and are consistent with the Commission’s application of those terms . . . .”).</w:t>
      </w:r>
    </w:p>
  </w:footnote>
  <w:footnote w:id="59">
    <w:p w:rsidR="0015641D" w:rsidRPr="001B3F19" w:rsidRDefault="0015641D" w:rsidP="001B3F19">
      <w:pPr>
        <w:pStyle w:val="FootnoteText"/>
      </w:pPr>
      <w:r w:rsidRPr="001B3F19">
        <w:rPr>
          <w:rStyle w:val="FootnoteReference"/>
        </w:rPr>
        <w:footnoteRef/>
      </w:r>
      <w:r w:rsidRPr="001B3F19">
        <w:t xml:space="preserve"> </w:t>
      </w:r>
      <w:r w:rsidRPr="001B3F19">
        <w:rPr>
          <w:i/>
        </w:rPr>
        <w:t>See, e.g.</w:t>
      </w:r>
      <w:r w:rsidRPr="001B3F19">
        <w:t>,</w:t>
      </w:r>
      <w:r w:rsidRPr="001B3F19">
        <w:rPr>
          <w:i/>
        </w:rPr>
        <w:t xml:space="preserve"> S. Cal. Broad. Co.</w:t>
      </w:r>
      <w:r w:rsidRPr="001B3F19">
        <w:t xml:space="preserve">, Memorandum Opinion and Order, 6 FCC Rcd 4387, 4388, para. 5 (1991), </w:t>
      </w:r>
      <w:r w:rsidRPr="001B3F19">
        <w:rPr>
          <w:i/>
        </w:rPr>
        <w:t>recons. denied</w:t>
      </w:r>
      <w:r w:rsidRPr="001B3F19">
        <w:t>, 7 FCC Rcd 3454 (1992).</w:t>
      </w:r>
      <w:r w:rsidRPr="001B3F19" w:rsidDel="00484FE7">
        <w:t xml:space="preserve"> </w:t>
      </w:r>
    </w:p>
  </w:footnote>
  <w:footnote w:id="60">
    <w:p w:rsidR="005C605C" w:rsidRPr="0090277C" w:rsidRDefault="005C605C" w:rsidP="003A41BB">
      <w:pPr>
        <w:pStyle w:val="FootnoteText"/>
      </w:pPr>
      <w:r w:rsidRPr="00803742">
        <w:rPr>
          <w:rStyle w:val="FootnoteReference"/>
        </w:rPr>
        <w:footnoteRef/>
      </w:r>
      <w:r w:rsidRPr="00CE03F6">
        <w:t xml:space="preserve"> </w:t>
      </w:r>
      <w:r w:rsidR="004370EC">
        <w:t xml:space="preserve">Viacom argues that because it did not intend to violate Section 11.45, it lacks the requisite scienter to be found liable.  Viacom NAL Response at 6-7.  Viacom cites </w:t>
      </w:r>
      <w:r w:rsidR="004370EC">
        <w:rPr>
          <w:i/>
          <w:iCs/>
        </w:rPr>
        <w:t>CBS Corp. v. FCC</w:t>
      </w:r>
      <w:r w:rsidR="004370EC">
        <w:t>, 535 F.3d 167 (3</w:t>
      </w:r>
      <w:r w:rsidR="004370EC">
        <w:rPr>
          <w:vertAlign w:val="superscript"/>
        </w:rPr>
        <w:t>rd</w:t>
      </w:r>
      <w:r w:rsidR="004370EC">
        <w:t xml:space="preserve"> Cir. 2008)  (CBS), noting that the Third Circuit remanded that case, in part, on the issue of scienter, holding that “scienter is the constitutional minimum showing for penalizing the speech or expression of broadcasters . . . .”  535 F.3d at 205-06.  Viacom further argues that “[f]or scienter to exist, an offending party must have prior knowledge that the act in question is wrong, or at least have acted recklessly.”  Viacom NAL Response at 7.  Even assuming, </w:t>
      </w:r>
      <w:r w:rsidR="004370EC">
        <w:rPr>
          <w:i/>
          <w:iCs/>
        </w:rPr>
        <w:t>arguendo</w:t>
      </w:r>
      <w:r w:rsidR="004370EC">
        <w:t xml:space="preserve">, that such standard applies here, we disagree that the Companies lacked scienter.  The undisputed record in this case demonstrates that the Companies knew that the EAS tones were embedded in the material that they transmitted.  </w:t>
      </w:r>
      <w:r w:rsidR="004370EC">
        <w:rPr>
          <w:i/>
          <w:iCs/>
        </w:rPr>
        <w:t>See</w:t>
      </w:r>
      <w:r w:rsidR="004370EC">
        <w:t xml:space="preserve"> NAL, 29 FCC Rcd</w:t>
      </w:r>
      <w:r w:rsidR="004370EC">
        <w:rPr>
          <w:i/>
          <w:iCs/>
        </w:rPr>
        <w:t xml:space="preserve"> </w:t>
      </w:r>
      <w:r w:rsidR="004370EC">
        <w:rPr>
          <w:color w:val="000000"/>
        </w:rPr>
        <w:t>at 2562,</w:t>
      </w:r>
      <w:r w:rsidR="004370EC">
        <w:t xml:space="preserve"> para. 29.  Moreover, as demonstrated in the NAL and herein, the Companies cannot credibly argue that they did not know that misuse of the EAS tones was prohibited.  Therefore, because the Companies knew that they transmitted the subject material and knew, or should have known, that such material was prohibited by law, they cannot reasonably argue that they lacked scienter in fact or law.</w:t>
      </w:r>
    </w:p>
  </w:footnote>
  <w:footnote w:id="61">
    <w:p w:rsidR="0015641D" w:rsidRPr="001B3F19" w:rsidRDefault="0015641D" w:rsidP="004370EC">
      <w:pPr>
        <w:pStyle w:val="FootnoteText"/>
      </w:pPr>
      <w:r w:rsidRPr="001B3F19">
        <w:rPr>
          <w:rStyle w:val="FootnoteReference"/>
        </w:rPr>
        <w:footnoteRef/>
      </w:r>
      <w:r w:rsidRPr="001B3F19">
        <w:t xml:space="preserve"> </w:t>
      </w:r>
      <w:r w:rsidRPr="001B3F19">
        <w:rPr>
          <w:i/>
        </w:rPr>
        <w:t>See, e.g.</w:t>
      </w:r>
      <w:r w:rsidRPr="001B3F19">
        <w:t>,</w:t>
      </w:r>
      <w:r w:rsidRPr="001B3F19">
        <w:rPr>
          <w:i/>
        </w:rPr>
        <w:t xml:space="preserve"> Constellium Rolled Prods. Ravenswood, LLC</w:t>
      </w:r>
      <w:r w:rsidRPr="001B3F19">
        <w:t xml:space="preserve">, 29 FCC Rcd 6277, 6284, para. 14 (citing </w:t>
      </w:r>
      <w:hyperlink r:id="rId1" w:tgtFrame="_top" w:history="1">
        <w:r w:rsidRPr="001B3F19">
          <w:rPr>
            <w:i/>
            <w:iCs/>
          </w:rPr>
          <w:t>Profit Enters., Inc.</w:t>
        </w:r>
        <w:r w:rsidRPr="001B3F19">
          <w:t>, Forfeiture Order, 8 FCC Rcd 2846, 2846, para. 5 (1993)</w:t>
        </w:r>
      </w:hyperlink>
      <w:r w:rsidRPr="001B3F19">
        <w:t xml:space="preserve"> (where Commission found target’s claim of mistake or ignorance of law neither exculpating nor mitigating); </w:t>
      </w:r>
      <w:hyperlink r:id="rId2" w:tgtFrame="_top" w:history="1">
        <w:r w:rsidRPr="001B3F19">
          <w:rPr>
            <w:i/>
            <w:iCs/>
          </w:rPr>
          <w:t>Lakewood Broad. Serv., Inc.</w:t>
        </w:r>
        <w:r w:rsidRPr="001B3F19">
          <w:t>, Memorandum Opinion and Order, 37 FCC 2d 437, 438, para. 6 (1972)</w:t>
        </w:r>
      </w:hyperlink>
      <w:r w:rsidRPr="001B3F19">
        <w:t xml:space="preserve"> (same)).</w:t>
      </w:r>
    </w:p>
  </w:footnote>
  <w:footnote w:id="62">
    <w:p w:rsidR="0015641D" w:rsidRPr="001B3F19" w:rsidRDefault="0015641D" w:rsidP="001B3F19">
      <w:pPr>
        <w:pStyle w:val="FootnoteText"/>
      </w:pPr>
      <w:r w:rsidRPr="001B3F19">
        <w:rPr>
          <w:rStyle w:val="FootnoteReference"/>
        </w:rPr>
        <w:footnoteRef/>
      </w:r>
      <w:r w:rsidRPr="001B3F19">
        <w:t xml:space="preserve"> </w:t>
      </w:r>
      <w:r w:rsidRPr="001B3F19">
        <w:rPr>
          <w:i/>
        </w:rPr>
        <w:t>See NAL</w:t>
      </w:r>
      <w:r w:rsidRPr="001B3F19">
        <w:t>, 29 FCC Rcd at 2550–53, 2555–58, paras</w:t>
      </w:r>
      <w:r w:rsidR="00E0662D" w:rsidRPr="001B3F19">
        <w:t>.</w:t>
      </w:r>
      <w:r w:rsidRPr="001B3F19">
        <w:t xml:space="preserve"> 8–14, 21–22.</w:t>
      </w:r>
    </w:p>
  </w:footnote>
  <w:footnote w:id="63">
    <w:p w:rsidR="0015641D" w:rsidRPr="001B3F19" w:rsidRDefault="0015641D" w:rsidP="001B3F19">
      <w:pPr>
        <w:pStyle w:val="FootnoteText"/>
      </w:pPr>
      <w:r w:rsidRPr="001B3F19">
        <w:rPr>
          <w:rStyle w:val="FootnoteReference"/>
        </w:rPr>
        <w:footnoteRef/>
      </w:r>
      <w:r w:rsidRPr="001B3F19">
        <w:t xml:space="preserve"> </w:t>
      </w:r>
      <w:r w:rsidRPr="001B3F19">
        <w:rPr>
          <w:i/>
        </w:rPr>
        <w:t xml:space="preserve">See </w:t>
      </w:r>
      <w:r w:rsidRPr="001B3F19">
        <w:t>Viacom NAL Response at 10.</w:t>
      </w:r>
    </w:p>
  </w:footnote>
  <w:footnote w:id="64">
    <w:p w:rsidR="0015641D" w:rsidRPr="001B3F19" w:rsidRDefault="0015641D" w:rsidP="001B3F19">
      <w:pPr>
        <w:pStyle w:val="FootnoteText"/>
        <w:rPr>
          <w:i/>
        </w:rPr>
      </w:pPr>
      <w:r w:rsidRPr="001B3F19">
        <w:rPr>
          <w:rStyle w:val="FootnoteReference"/>
        </w:rPr>
        <w:footnoteRef/>
      </w:r>
      <w:r w:rsidRPr="001B3F19">
        <w:t xml:space="preserve"> </w:t>
      </w:r>
      <w:r w:rsidRPr="001B3F19">
        <w:rPr>
          <w:i/>
        </w:rPr>
        <w:t>See</w:t>
      </w:r>
      <w:r w:rsidRPr="001B3F19">
        <w:t xml:space="preserve"> 47 U.S.C. § 503; </w:t>
      </w:r>
      <w:r w:rsidRPr="001B3F19">
        <w:rPr>
          <w:i/>
        </w:rPr>
        <w:t>see also</w:t>
      </w:r>
      <w:r w:rsidRPr="001B3F19">
        <w:t xml:space="preserve"> </w:t>
      </w:r>
      <w:hyperlink r:id="rId3" w:tgtFrame="_top" w:history="1">
        <w:r w:rsidRPr="001B3F19">
          <w:rPr>
            <w:i/>
            <w:iCs/>
          </w:rPr>
          <w:t>Heckler v. Chaney,</w:t>
        </w:r>
        <w:r w:rsidRPr="001B3F19">
          <w:t xml:space="preserve"> 470 U.S. 821, 831 (1985)</w:t>
        </w:r>
      </w:hyperlink>
      <w:r w:rsidRPr="001B3F19">
        <w:t xml:space="preserve"> (“[A]n agency’s decision not to prosecute or enforce, whether through civil or criminal process, is a decision generally committed to an agency’s absolute discretion.”).  </w:t>
      </w:r>
    </w:p>
  </w:footnote>
  <w:footnote w:id="65">
    <w:p w:rsidR="0015641D" w:rsidRPr="001B3F19" w:rsidRDefault="0015641D" w:rsidP="001B3F19">
      <w:pPr>
        <w:pStyle w:val="FootnoteText"/>
      </w:pPr>
      <w:r w:rsidRPr="001B3F19">
        <w:rPr>
          <w:rStyle w:val="FootnoteReference"/>
        </w:rPr>
        <w:footnoteRef/>
      </w:r>
      <w:r w:rsidRPr="001B3F19">
        <w:t xml:space="preserve"> </w:t>
      </w:r>
      <w:hyperlink r:id="rId4" w:tgtFrame="_top" w:history="1">
        <w:r w:rsidRPr="001B3F19">
          <w:rPr>
            <w:i/>
            <w:iCs/>
          </w:rPr>
          <w:t>Radio One Licenses, LLC</w:t>
        </w:r>
        <w:r w:rsidRPr="001B3F19">
          <w:t>, Forfeiture Order, 19 FCC Rcd 23922, 23932, para. 24 (2004)</w:t>
        </w:r>
      </w:hyperlink>
      <w:r w:rsidRPr="001B3F19">
        <w:t xml:space="preserve"> (citing</w:t>
      </w:r>
      <w:r w:rsidRPr="001B3F19">
        <w:rPr>
          <w:i/>
        </w:rPr>
        <w:t xml:space="preserve"> </w:t>
      </w:r>
      <w:hyperlink r:id="rId5" w:tgtFrame="_top" w:history="1">
        <w:r w:rsidRPr="001B3F19">
          <w:rPr>
            <w:i/>
            <w:iCs/>
          </w:rPr>
          <w:t>N.Y. State Dept. of Law v. FCC</w:t>
        </w:r>
        <w:r w:rsidRPr="001B3F19">
          <w:t>, 984 F.2d 1209, 1213 (D.C. Cir. 1993)</w:t>
        </w:r>
      </w:hyperlink>
      <w:r w:rsidRPr="001B3F19">
        <w:t>).</w:t>
      </w:r>
    </w:p>
  </w:footnote>
  <w:footnote w:id="66">
    <w:p w:rsidR="0015641D" w:rsidRPr="001B3F19" w:rsidRDefault="0015641D" w:rsidP="001B3F19">
      <w:pPr>
        <w:pStyle w:val="FootnoteText"/>
      </w:pPr>
      <w:r w:rsidRPr="001B3F19">
        <w:rPr>
          <w:rStyle w:val="FootnoteReference"/>
        </w:rPr>
        <w:footnoteRef/>
      </w:r>
      <w:r w:rsidRPr="001B3F19">
        <w:t xml:space="preserve"> </w:t>
      </w:r>
      <w:r w:rsidRPr="001B3F19">
        <w:rPr>
          <w:i/>
        </w:rPr>
        <w:t>See</w:t>
      </w:r>
      <w:r w:rsidRPr="001B3F19">
        <w:t xml:space="preserve"> Viacom NAL Response at 8; ESPN LOI Response at 7.</w:t>
      </w:r>
    </w:p>
  </w:footnote>
  <w:footnote w:id="67">
    <w:p w:rsidR="0015641D" w:rsidRPr="001B3F19" w:rsidRDefault="0015641D" w:rsidP="001B3F19">
      <w:pPr>
        <w:pStyle w:val="FootnoteText"/>
      </w:pPr>
      <w:r w:rsidRPr="001B3F19">
        <w:rPr>
          <w:rStyle w:val="FootnoteReference"/>
        </w:rPr>
        <w:footnoteRef/>
      </w:r>
      <w:r w:rsidRPr="001B3F19">
        <w:t xml:space="preserve"> ESPN NAL Response at 11–12</w:t>
      </w:r>
      <w:r w:rsidRPr="001B3F19">
        <w:rPr>
          <w:color w:val="000000"/>
        </w:rPr>
        <w:t xml:space="preserve">.  </w:t>
      </w:r>
    </w:p>
  </w:footnote>
  <w:footnote w:id="68">
    <w:p w:rsidR="0015641D" w:rsidRPr="001B3F19" w:rsidRDefault="0015641D" w:rsidP="001B3F19">
      <w:pPr>
        <w:pStyle w:val="FootnoteText"/>
      </w:pPr>
      <w:r w:rsidRPr="001B3F19">
        <w:rPr>
          <w:rStyle w:val="FootnoteReference"/>
        </w:rPr>
        <w:footnoteRef/>
      </w:r>
      <w:r w:rsidRPr="001B3F19">
        <w:t xml:space="preserve"> 47 U.S.C. § 403.  </w:t>
      </w:r>
      <w:r w:rsidRPr="001B3F19">
        <w:rPr>
          <w:i/>
          <w:color w:val="000000"/>
        </w:rPr>
        <w:t>See also</w:t>
      </w:r>
      <w:r w:rsidRPr="001B3F19">
        <w:rPr>
          <w:color w:val="000000"/>
        </w:rPr>
        <w:t xml:space="preserve"> </w:t>
      </w:r>
      <w:r w:rsidRPr="001B3F19">
        <w:rPr>
          <w:i/>
          <w:color w:val="000000"/>
        </w:rPr>
        <w:t>Spanish Broad. Sys. Holding Co., Inc.</w:t>
      </w:r>
      <w:r w:rsidRPr="001B3F19">
        <w:rPr>
          <w:color w:val="000000"/>
        </w:rPr>
        <w:t>, Forfeiture Order, 27 FCC Rcd 11956, 11959, para. 8 n. 30 (Enf. Bur. 2012) (holding that Section 403 provides broad discretion as to the type of complaints that the agency may investigate and subject to enforcement action).</w:t>
      </w:r>
    </w:p>
  </w:footnote>
  <w:footnote w:id="69">
    <w:p w:rsidR="0015641D" w:rsidRPr="001B3F19" w:rsidRDefault="0015641D" w:rsidP="001B3F19">
      <w:pPr>
        <w:pStyle w:val="FootnoteText"/>
      </w:pPr>
      <w:r w:rsidRPr="001B3F19">
        <w:rPr>
          <w:rStyle w:val="FootnoteReference"/>
        </w:rPr>
        <w:footnoteRef/>
      </w:r>
      <w:r w:rsidRPr="001B3F19">
        <w:t xml:space="preserve"> </w:t>
      </w:r>
      <w:r w:rsidRPr="001B3F19">
        <w:rPr>
          <w:i/>
        </w:rPr>
        <w:t>See</w:t>
      </w:r>
      <w:r w:rsidRPr="001B3F19">
        <w:t xml:space="preserve"> </w:t>
      </w:r>
      <w:r w:rsidRPr="001B3F19">
        <w:rPr>
          <w:i/>
        </w:rPr>
        <w:t>Commission’s Forfeiture Policy Statement and Amendment of Section 1.80 of the Rules to Incorporate the Forfeiture Guidelines</w:t>
      </w:r>
      <w:r w:rsidRPr="001B3F19">
        <w:t xml:space="preserve">, Report and Order, 12 FCC Rcd 17087, 17113 (1997), </w:t>
      </w:r>
      <w:r w:rsidRPr="001B3F19">
        <w:rPr>
          <w:i/>
        </w:rPr>
        <w:t>recons. denied</w:t>
      </w:r>
      <w:r w:rsidRPr="001B3F19">
        <w:t>, 15 FCC Rcd 303 (1999) (</w:t>
      </w:r>
      <w:r w:rsidRPr="001B3F19">
        <w:rPr>
          <w:i/>
        </w:rPr>
        <w:t>Forfeiture Policy Statement</w:t>
      </w:r>
      <w:r w:rsidRPr="001B3F19">
        <w:t>).</w:t>
      </w:r>
    </w:p>
  </w:footnote>
  <w:footnote w:id="70">
    <w:p w:rsidR="0015641D" w:rsidRPr="001B3F19" w:rsidRDefault="0015641D" w:rsidP="001B3F19">
      <w:pPr>
        <w:pStyle w:val="FootnoteText"/>
      </w:pPr>
      <w:r w:rsidRPr="001B3F19">
        <w:rPr>
          <w:rStyle w:val="FootnoteReference"/>
        </w:rPr>
        <w:footnoteRef/>
      </w:r>
      <w:r w:rsidRPr="001B3F19">
        <w:t xml:space="preserve"> </w:t>
      </w:r>
      <w:r w:rsidRPr="001B3F19">
        <w:rPr>
          <w:i/>
        </w:rPr>
        <w:t>See</w:t>
      </w:r>
      <w:r w:rsidRPr="001B3F19">
        <w:t xml:space="preserve"> 47 U.S.C. § 503(b)(2)(E); 47 C.F.R. § 1.80(b)(8).</w:t>
      </w:r>
    </w:p>
  </w:footnote>
  <w:footnote w:id="71">
    <w:p w:rsidR="0015641D" w:rsidRPr="001B3F19" w:rsidRDefault="0015641D" w:rsidP="001B3F19">
      <w:pPr>
        <w:pStyle w:val="FootnoteText"/>
      </w:pPr>
      <w:r w:rsidRPr="001B3F19">
        <w:rPr>
          <w:rStyle w:val="FootnoteReference"/>
        </w:rPr>
        <w:footnoteRef/>
      </w:r>
      <w:r w:rsidRPr="001B3F19">
        <w:t xml:space="preserve"> </w:t>
      </w:r>
      <w:r w:rsidRPr="001B3F19">
        <w:rPr>
          <w:i/>
        </w:rPr>
        <w:t>See NAL</w:t>
      </w:r>
      <w:r w:rsidRPr="001B3F19">
        <w:t xml:space="preserve">, </w:t>
      </w:r>
      <w:r w:rsidRPr="001B3F19">
        <w:rPr>
          <w:color w:val="000000"/>
        </w:rPr>
        <w:t xml:space="preserve">29 FCC Rcd at 2566, </w:t>
      </w:r>
      <w:r w:rsidRPr="001B3F19">
        <w:t xml:space="preserve">para. 37; </w:t>
      </w:r>
      <w:r w:rsidRPr="001B3F19">
        <w:rPr>
          <w:i/>
        </w:rPr>
        <w:t xml:space="preserve">Turner </w:t>
      </w:r>
      <w:r w:rsidR="005E6222" w:rsidRPr="001B3F19">
        <w:rPr>
          <w:i/>
        </w:rPr>
        <w:t>II</w:t>
      </w:r>
      <w:r w:rsidRPr="001B3F19">
        <w:t xml:space="preserve">, </w:t>
      </w:r>
      <w:r w:rsidRPr="001B3F19">
        <w:rPr>
          <w:color w:val="000000"/>
        </w:rPr>
        <w:t>29 FCC Rcd 752,</w:t>
      </w:r>
      <w:r w:rsidRPr="001B3F19">
        <w:rPr>
          <w:rStyle w:val="documentbody"/>
        </w:rPr>
        <w:t xml:space="preserve"> 757, para. 13 (2014)</w:t>
      </w:r>
      <w:r w:rsidRPr="001B3F19">
        <w:t>.</w:t>
      </w:r>
    </w:p>
  </w:footnote>
  <w:footnote w:id="72">
    <w:p w:rsidR="0015641D" w:rsidRPr="001B3F19" w:rsidRDefault="0015641D" w:rsidP="001B3F19">
      <w:pPr>
        <w:pStyle w:val="FootnoteText"/>
      </w:pPr>
      <w:r w:rsidRPr="001B3F19">
        <w:rPr>
          <w:rStyle w:val="FootnoteReference"/>
        </w:rPr>
        <w:footnoteRef/>
      </w:r>
      <w:r w:rsidRPr="001B3F19">
        <w:t xml:space="preserve"> </w:t>
      </w:r>
      <w:r w:rsidRPr="001B3F19">
        <w:rPr>
          <w:i/>
        </w:rPr>
        <w:t>NAL</w:t>
      </w:r>
      <w:r w:rsidRPr="001B3F19">
        <w:t xml:space="preserve">, </w:t>
      </w:r>
      <w:r w:rsidRPr="001B3F19">
        <w:rPr>
          <w:color w:val="000000"/>
        </w:rPr>
        <w:t xml:space="preserve">29 FCC Rcd at 2566, </w:t>
      </w:r>
      <w:r w:rsidRPr="001B3F19">
        <w:t xml:space="preserve">para. 37; </w:t>
      </w:r>
      <w:r w:rsidRPr="001B3F19">
        <w:rPr>
          <w:i/>
        </w:rPr>
        <w:t>see Turner II</w:t>
      </w:r>
      <w:r w:rsidRPr="001B3F19">
        <w:t>, 29 FCC Rcd at 757, para. 13.</w:t>
      </w:r>
    </w:p>
  </w:footnote>
  <w:footnote w:id="73">
    <w:p w:rsidR="0015641D" w:rsidRPr="001B3F19" w:rsidRDefault="0015641D" w:rsidP="001B3F19">
      <w:pPr>
        <w:pStyle w:val="FootnoteText"/>
      </w:pPr>
      <w:r w:rsidRPr="001B3F19">
        <w:rPr>
          <w:rStyle w:val="FootnoteReference"/>
        </w:rPr>
        <w:footnoteRef/>
      </w:r>
      <w:r w:rsidRPr="001B3F19">
        <w:t xml:space="preserve"> </w:t>
      </w:r>
      <w:r w:rsidRPr="001B3F19">
        <w:rPr>
          <w:i/>
        </w:rPr>
        <w:t>See NAL</w:t>
      </w:r>
      <w:r w:rsidRPr="001B3F19">
        <w:t>, 29 FCC Rcd at 2566–68, paras. 38–42.</w:t>
      </w:r>
    </w:p>
  </w:footnote>
  <w:footnote w:id="74">
    <w:p w:rsidR="0015641D" w:rsidRPr="001B3F19" w:rsidRDefault="0015641D" w:rsidP="001B3F19">
      <w:pPr>
        <w:pStyle w:val="FootnoteText"/>
      </w:pPr>
      <w:r w:rsidRPr="001B3F19">
        <w:rPr>
          <w:rStyle w:val="FootnoteReference"/>
        </w:rPr>
        <w:footnoteRef/>
      </w:r>
      <w:r w:rsidRPr="001B3F19">
        <w:t xml:space="preserve"> </w:t>
      </w:r>
      <w:r w:rsidRPr="001B3F19">
        <w:rPr>
          <w:i/>
        </w:rPr>
        <w:t>See id.</w:t>
      </w:r>
      <w:r w:rsidRPr="001B3F19">
        <w:t xml:space="preserve"> at 2550–53, 2555–58, paras</w:t>
      </w:r>
      <w:r w:rsidR="00D750DC">
        <w:t>.</w:t>
      </w:r>
      <w:r w:rsidRPr="001B3F19">
        <w:t xml:space="preserve"> 8–14, 21–22.</w:t>
      </w:r>
    </w:p>
  </w:footnote>
  <w:footnote w:id="75">
    <w:p w:rsidR="00FF1D91" w:rsidRPr="00FF1D91" w:rsidRDefault="00FF1D91">
      <w:pPr>
        <w:pStyle w:val="FootnoteText"/>
      </w:pPr>
      <w:r>
        <w:rPr>
          <w:rStyle w:val="FootnoteReference"/>
        </w:rPr>
        <w:footnoteRef/>
      </w:r>
      <w:r>
        <w:t xml:space="preserve"> </w:t>
      </w:r>
      <w:r>
        <w:rPr>
          <w:i/>
        </w:rPr>
        <w:t>See id</w:t>
      </w:r>
      <w:r w:rsidR="00D750DC">
        <w:t>. at 2556</w:t>
      </w:r>
      <w:r w:rsidR="009A239B" w:rsidRPr="009A239B">
        <w:t>–</w:t>
      </w:r>
      <w:r>
        <w:t>57, para</w:t>
      </w:r>
      <w:r w:rsidR="00D750DC">
        <w:t>.</w:t>
      </w:r>
      <w:r>
        <w:t xml:space="preserve"> 22.</w:t>
      </w:r>
    </w:p>
  </w:footnote>
  <w:footnote w:id="76">
    <w:p w:rsidR="00FF1D91" w:rsidRPr="00CE03F6" w:rsidRDefault="00FF1D91" w:rsidP="00046706">
      <w:pPr>
        <w:pStyle w:val="FootnoteText"/>
        <w:tabs>
          <w:tab w:val="left" w:pos="2175"/>
        </w:tabs>
        <w:rPr>
          <w:i/>
        </w:rPr>
      </w:pPr>
      <w:r>
        <w:rPr>
          <w:rStyle w:val="FootnoteReference"/>
        </w:rPr>
        <w:footnoteRef/>
      </w:r>
      <w:r>
        <w:t xml:space="preserve"> </w:t>
      </w:r>
      <w:r>
        <w:rPr>
          <w:i/>
        </w:rPr>
        <w:t>Id.</w:t>
      </w:r>
      <w:r w:rsidR="00150C77">
        <w:rPr>
          <w:i/>
        </w:rPr>
        <w:tab/>
      </w:r>
    </w:p>
  </w:footnote>
  <w:footnote w:id="77">
    <w:p w:rsidR="0015641D" w:rsidRPr="001B3F19" w:rsidRDefault="0015641D" w:rsidP="001B3F19">
      <w:pPr>
        <w:pStyle w:val="FootnoteText"/>
      </w:pPr>
      <w:r w:rsidRPr="001B3F19">
        <w:rPr>
          <w:rStyle w:val="FootnoteReference"/>
        </w:rPr>
        <w:footnoteRef/>
      </w:r>
      <w:r w:rsidRPr="001B3F19">
        <w:t xml:space="preserve"> </w:t>
      </w:r>
      <w:r w:rsidRPr="001B3F19">
        <w:rPr>
          <w:i/>
        </w:rPr>
        <w:t xml:space="preserve">See id. </w:t>
      </w:r>
      <w:r w:rsidRPr="001B3F19">
        <w:t>at 2566, para. 38.</w:t>
      </w:r>
    </w:p>
  </w:footnote>
  <w:footnote w:id="78">
    <w:p w:rsidR="0015641D" w:rsidRPr="001B3F19" w:rsidRDefault="0015641D" w:rsidP="001B3F19">
      <w:pPr>
        <w:pStyle w:val="FootnoteText"/>
      </w:pPr>
      <w:r w:rsidRPr="001B3F19">
        <w:rPr>
          <w:rStyle w:val="FootnoteReference"/>
        </w:rPr>
        <w:footnoteRef/>
      </w:r>
      <w:r w:rsidRPr="001B3F19">
        <w:t xml:space="preserve"> </w:t>
      </w:r>
      <w:r w:rsidRPr="001B3F19">
        <w:rPr>
          <w:i/>
        </w:rPr>
        <w:t xml:space="preserve">See </w:t>
      </w:r>
      <w:hyperlink r:id="rId6" w:tgtFrame="_top" w:history="1">
        <w:r w:rsidRPr="001B3F19">
          <w:t>47 C.F.R. § 1.80</w:t>
        </w:r>
      </w:hyperlink>
      <w:r w:rsidRPr="001B3F19">
        <w:t xml:space="preserve">(b)(8), note (providing upward adjustment criteria for forfeitures); </w:t>
      </w:r>
      <w:r w:rsidRPr="001B3F19">
        <w:rPr>
          <w:i/>
        </w:rPr>
        <w:t>Greater Boston Radio, Inc</w:t>
      </w:r>
      <w:r w:rsidRPr="001B3F19">
        <w:t xml:space="preserve">., Forfeiture Order, 28 FCC Rcd 1951, 1957, para. 12 (Enf. Bur. 2013) (where Bureau found, consistent with discretion afforded agency under Section 1.80, that comparatively egregious nature of violation warranted upward adjustment); </w:t>
      </w:r>
      <w:hyperlink r:id="rId7" w:tgtFrame="_top" w:history="1">
        <w:r w:rsidRPr="001B3F19">
          <w:rPr>
            <w:i/>
            <w:iCs/>
          </w:rPr>
          <w:t>Entercom Wichita License, LLC</w:t>
        </w:r>
        <w:r w:rsidRPr="001B3F19">
          <w:t>, Forfeiture Order, 24 FCC Rcd 1270, 1273, para. 8 (Enf. Bur. 2009)</w:t>
        </w:r>
      </w:hyperlink>
      <w:r w:rsidRPr="001B3F19">
        <w:t xml:space="preserve"> (same); </w:t>
      </w:r>
      <w:r w:rsidRPr="001B3F19">
        <w:rPr>
          <w:i/>
        </w:rPr>
        <w:t xml:space="preserve">see also </w:t>
      </w:r>
      <w:r w:rsidRPr="001B3F19">
        <w:rPr>
          <w:i/>
          <w:color w:val="000000"/>
        </w:rPr>
        <w:t xml:space="preserve">Net One </w:t>
      </w:r>
      <w:r w:rsidRPr="001B3F19">
        <w:rPr>
          <w:i/>
          <w:iCs/>
          <w:color w:val="000000"/>
        </w:rPr>
        <w:t>Int’l, Inc.</w:t>
      </w:r>
      <w:r w:rsidRPr="001B3F19">
        <w:rPr>
          <w:iCs/>
          <w:color w:val="000000"/>
        </w:rPr>
        <w:t>,</w:t>
      </w:r>
      <w:r w:rsidRPr="001B3F19">
        <w:rPr>
          <w:i/>
          <w:iCs/>
          <w:color w:val="000000"/>
        </w:rPr>
        <w:t xml:space="preserve"> </w:t>
      </w:r>
      <w:r w:rsidRPr="001B3F19">
        <w:rPr>
          <w:iCs/>
          <w:color w:val="000000"/>
        </w:rPr>
        <w:t xml:space="preserve">Notice of Apparent Liability for Forfeiture, </w:t>
      </w:r>
      <w:r w:rsidRPr="001B3F19">
        <w:rPr>
          <w:color w:val="000000"/>
        </w:rPr>
        <w:t>FCC 14-100, 2014 WL 3468905, para. 8 (2014) (</w:t>
      </w:r>
      <w:r w:rsidRPr="001B3F19">
        <w:rPr>
          <w:i/>
          <w:color w:val="000000"/>
        </w:rPr>
        <w:t>Net One NAL</w:t>
      </w:r>
      <w:r w:rsidRPr="001B3F19">
        <w:rPr>
          <w:color w:val="000000"/>
        </w:rPr>
        <w:t>)</w:t>
      </w:r>
      <w:r w:rsidRPr="001B3F19">
        <w:t xml:space="preserve"> (</w:t>
      </w:r>
      <w:bookmarkStart w:id="1" w:name="SR;2340"/>
      <w:bookmarkStart w:id="2" w:name="SR;2359"/>
      <w:bookmarkStart w:id="3" w:name="FN[FN43]"/>
      <w:bookmarkEnd w:id="1"/>
      <w:bookmarkEnd w:id="2"/>
      <w:bookmarkEnd w:id="3"/>
      <w:r w:rsidRPr="001B3F19">
        <w:t>finding an upward adjustment of forfeiture appropriate under egregious circumstances</w:t>
      </w:r>
      <w:r w:rsidRPr="001B3F19">
        <w:rPr>
          <w:color w:val="000000"/>
        </w:rPr>
        <w:t>).</w:t>
      </w:r>
    </w:p>
  </w:footnote>
  <w:footnote w:id="79">
    <w:p w:rsidR="0015641D" w:rsidRPr="001B3F19" w:rsidRDefault="0015641D" w:rsidP="001B3F19">
      <w:pPr>
        <w:pStyle w:val="FootnoteText"/>
      </w:pPr>
      <w:r w:rsidRPr="001B3F19">
        <w:rPr>
          <w:rStyle w:val="FootnoteReference"/>
        </w:rPr>
        <w:footnoteRef/>
      </w:r>
      <w:r w:rsidRPr="001B3F19">
        <w:t xml:space="preserve"> </w:t>
      </w:r>
      <w:r w:rsidRPr="001B3F19">
        <w:rPr>
          <w:i/>
        </w:rPr>
        <w:t>See</w:t>
      </w:r>
      <w:r w:rsidRPr="001B3F19">
        <w:t xml:space="preserve"> </w:t>
      </w:r>
      <w:r w:rsidRPr="001B3F19">
        <w:rPr>
          <w:i/>
        </w:rPr>
        <w:t>NAL</w:t>
      </w:r>
      <w:r w:rsidRPr="001B3F19">
        <w:t xml:space="preserve">, </w:t>
      </w:r>
      <w:r w:rsidRPr="001B3F19">
        <w:rPr>
          <w:color w:val="000000"/>
        </w:rPr>
        <w:t xml:space="preserve">29 FCC Rcd at 2566, </w:t>
      </w:r>
      <w:r w:rsidRPr="001B3F19">
        <w:t>para. 39.</w:t>
      </w:r>
    </w:p>
  </w:footnote>
  <w:footnote w:id="80">
    <w:p w:rsidR="0015641D" w:rsidRPr="001B3F19" w:rsidRDefault="0015641D" w:rsidP="001B3F19">
      <w:pPr>
        <w:pStyle w:val="FootnoteText"/>
      </w:pPr>
      <w:r w:rsidRPr="001B3F19">
        <w:rPr>
          <w:rStyle w:val="FootnoteReference"/>
        </w:rPr>
        <w:footnoteRef/>
      </w:r>
      <w:r w:rsidRPr="001B3F19">
        <w:t xml:space="preserve"> </w:t>
      </w:r>
      <w:r w:rsidRPr="001B3F19">
        <w:rPr>
          <w:i/>
        </w:rPr>
        <w:t>See</w:t>
      </w:r>
      <w:r w:rsidRPr="001B3F19">
        <w:t xml:space="preserve"> </w:t>
      </w:r>
      <w:r w:rsidRPr="001B3F19">
        <w:rPr>
          <w:i/>
        </w:rPr>
        <w:t>id</w:t>
      </w:r>
      <w:r w:rsidRPr="001B3F19">
        <w:t>.</w:t>
      </w:r>
    </w:p>
  </w:footnote>
  <w:footnote w:id="81">
    <w:p w:rsidR="0015641D" w:rsidRPr="001B3F19" w:rsidRDefault="0015641D" w:rsidP="00046706">
      <w:pPr>
        <w:pStyle w:val="FootnoteText"/>
      </w:pPr>
      <w:r w:rsidRPr="001B3F19">
        <w:rPr>
          <w:rStyle w:val="FootnoteReference"/>
        </w:rPr>
        <w:footnoteRef/>
      </w:r>
      <w:r w:rsidRPr="001B3F19">
        <w:t xml:space="preserve"> </w:t>
      </w:r>
      <w:r w:rsidRPr="001B3F19">
        <w:rPr>
          <w:i/>
        </w:rPr>
        <w:t xml:space="preserve">See </w:t>
      </w:r>
      <w:r w:rsidRPr="00046706">
        <w:t>id</w:t>
      </w:r>
      <w:r w:rsidRPr="001B3F19">
        <w:t xml:space="preserve">.  In the </w:t>
      </w:r>
      <w:r w:rsidRPr="001B3F19">
        <w:rPr>
          <w:i/>
        </w:rPr>
        <w:t>Forfeiture Policy Statement</w:t>
      </w:r>
      <w:r w:rsidRPr="001B3F19">
        <w:t>, the Commission found:</w:t>
      </w:r>
    </w:p>
    <w:p w:rsidR="0015641D" w:rsidRPr="001B3F19" w:rsidRDefault="0015641D" w:rsidP="001B3F19">
      <w:pPr>
        <w:widowControl/>
        <w:spacing w:after="120"/>
        <w:ind w:left="720" w:right="720"/>
        <w:rPr>
          <w:color w:val="000000"/>
          <w:sz w:val="20"/>
        </w:rPr>
      </w:pPr>
      <w:r w:rsidRPr="001B3F19">
        <w:rPr>
          <w:sz w:val="20"/>
        </w:rPr>
        <w:t xml:space="preserve">[O]n the other end of the spectrum of potential violators, we recognize that for large or highly profitable communications </w:t>
      </w:r>
      <w:r w:rsidRPr="001B3F19">
        <w:rPr>
          <w:color w:val="000000"/>
          <w:sz w:val="20"/>
        </w:rPr>
        <w:t>entities, the base forfeiture amounts . . . are generally low.  In this regard, we are mindful that, as Congress has stated, for a forfeiture to be an effective deterrent against these entities, the forfeiture must be issued at a high level.  For this reason, we caution all entities and individuals that, independent from the uniform base forfeiture amounts . . . we intend to take into account the subject violator’s ability to pay in determining the amount of a forfeiture to guarantee that forfeitures issued against large or highly profitable entities are not considered merely an affordable cost of doing business.  Such large or highly profitable entities should expect in this regard that the forfeiture amount set out in a Notice of Apparent Liability against them may in many cases be above, or even well above, the relevant base amount.</w:t>
      </w:r>
    </w:p>
    <w:p w:rsidR="0015641D" w:rsidRPr="001B3F19" w:rsidRDefault="00782A3F" w:rsidP="001B3F19">
      <w:pPr>
        <w:pStyle w:val="FootnoteText"/>
      </w:pPr>
      <w:hyperlink r:id="rId8" w:tgtFrame="_top" w:history="1">
        <w:r w:rsidR="0015641D" w:rsidRPr="001B3F19">
          <w:rPr>
            <w:rStyle w:val="Hyperlink"/>
            <w:i/>
            <w:color w:val="auto"/>
            <w:u w:val="none"/>
          </w:rPr>
          <w:t>Forfeiture Policy Statement</w:t>
        </w:r>
        <w:r w:rsidR="0015641D" w:rsidRPr="001B3F19">
          <w:rPr>
            <w:rStyle w:val="Hyperlink"/>
            <w:color w:val="auto"/>
            <w:u w:val="none"/>
          </w:rPr>
          <w:t xml:space="preserve">, </w:t>
        </w:r>
        <w:r w:rsidR="0015641D" w:rsidRPr="001B3F19">
          <w:t xml:space="preserve">12 FCC Rcd </w:t>
        </w:r>
        <w:r w:rsidR="0015641D" w:rsidRPr="001B3F19">
          <w:rPr>
            <w:rStyle w:val="Hyperlink"/>
            <w:color w:val="auto"/>
            <w:u w:val="none"/>
          </w:rPr>
          <w:t>at 17099–100, para. 24</w:t>
        </w:r>
      </w:hyperlink>
      <w:r w:rsidR="0015641D" w:rsidRPr="001B3F19">
        <w:t>.</w:t>
      </w:r>
    </w:p>
  </w:footnote>
  <w:footnote w:id="82">
    <w:p w:rsidR="0015641D" w:rsidRPr="001B3F19" w:rsidRDefault="0015641D" w:rsidP="001B3F19">
      <w:pPr>
        <w:pStyle w:val="FootnoteText"/>
      </w:pPr>
      <w:r w:rsidRPr="001B3F19">
        <w:rPr>
          <w:rStyle w:val="FootnoteReference"/>
        </w:rPr>
        <w:footnoteRef/>
      </w:r>
      <w:r w:rsidRPr="001B3F19">
        <w:t xml:space="preserve"> </w:t>
      </w:r>
      <w:r w:rsidRPr="001B3F19">
        <w:rPr>
          <w:i/>
        </w:rPr>
        <w:t>See NAL</w:t>
      </w:r>
      <w:r w:rsidRPr="001B3F19">
        <w:t>, 29 FCC Rcd at 2567, para. 40.</w:t>
      </w:r>
    </w:p>
  </w:footnote>
  <w:footnote w:id="83">
    <w:p w:rsidR="0015641D" w:rsidRPr="001B3F19" w:rsidRDefault="0015641D" w:rsidP="001B3F19">
      <w:pPr>
        <w:pStyle w:val="FootnoteText"/>
      </w:pPr>
      <w:r w:rsidRPr="001B3F19">
        <w:rPr>
          <w:rStyle w:val="FootnoteReference"/>
        </w:rPr>
        <w:footnoteRef/>
      </w:r>
      <w:r w:rsidRPr="001B3F19">
        <w:t xml:space="preserve"> </w:t>
      </w:r>
      <w:r w:rsidRPr="001B3F19">
        <w:rPr>
          <w:i/>
        </w:rPr>
        <w:t>See</w:t>
      </w:r>
      <w:r w:rsidRPr="001B3F19">
        <w:t xml:space="preserve"> Viacom NAL Response at 3, 14–15. </w:t>
      </w:r>
    </w:p>
  </w:footnote>
  <w:footnote w:id="84">
    <w:p w:rsidR="0015641D" w:rsidRPr="001B3F19" w:rsidRDefault="0015641D" w:rsidP="001B3F19">
      <w:pPr>
        <w:pStyle w:val="FootnoteText"/>
      </w:pPr>
      <w:r w:rsidRPr="001B3F19">
        <w:rPr>
          <w:rStyle w:val="FootnoteReference"/>
        </w:rPr>
        <w:footnoteRef/>
      </w:r>
      <w:r w:rsidRPr="001B3F19">
        <w:t xml:space="preserve"> </w:t>
      </w:r>
      <w:r w:rsidRPr="001B3F19">
        <w:rPr>
          <w:i/>
        </w:rPr>
        <w:t>Id.</w:t>
      </w:r>
    </w:p>
  </w:footnote>
  <w:footnote w:id="85">
    <w:p w:rsidR="0015641D" w:rsidRPr="001B3F19" w:rsidRDefault="0015641D" w:rsidP="001B3F19">
      <w:pPr>
        <w:pStyle w:val="FootnoteText"/>
      </w:pPr>
      <w:r w:rsidRPr="001B3F19">
        <w:rPr>
          <w:rStyle w:val="FootnoteReference"/>
        </w:rPr>
        <w:footnoteRef/>
      </w:r>
      <w:r w:rsidRPr="001B3F19">
        <w:t xml:space="preserve"> </w:t>
      </w:r>
      <w:r w:rsidRPr="001B3F19">
        <w:rPr>
          <w:i/>
        </w:rPr>
        <w:t>See NAL</w:t>
      </w:r>
      <w:r w:rsidRPr="001B3F19">
        <w:t>, 29 FCC Rcd at 2566–68, paras. 38–42.</w:t>
      </w:r>
    </w:p>
  </w:footnote>
  <w:footnote w:id="86">
    <w:p w:rsidR="0015641D" w:rsidRPr="001B3F19" w:rsidRDefault="0015641D" w:rsidP="001B3F19">
      <w:pPr>
        <w:pStyle w:val="FootnoteText"/>
      </w:pPr>
      <w:r w:rsidRPr="001B3F19">
        <w:rPr>
          <w:rStyle w:val="FootnoteReference"/>
        </w:rPr>
        <w:footnoteRef/>
      </w:r>
      <w:r w:rsidRPr="001B3F19">
        <w:t xml:space="preserve"> </w:t>
      </w:r>
      <w:r w:rsidRPr="001B3F19">
        <w:rPr>
          <w:i/>
        </w:rPr>
        <w:t>See Dialing Services</w:t>
      </w:r>
      <w:r w:rsidRPr="001B3F19">
        <w:t xml:space="preserve">, </w:t>
      </w:r>
      <w:r w:rsidRPr="001B3F19">
        <w:rPr>
          <w:i/>
        </w:rPr>
        <w:t>supra</w:t>
      </w:r>
      <w:r w:rsidRPr="001B3F19">
        <w:t xml:space="preserve"> note </w:t>
      </w:r>
      <w:r w:rsidR="0063511C">
        <w:t>3</w:t>
      </w:r>
      <w:r w:rsidR="009A239B">
        <w:t>1</w:t>
      </w:r>
      <w:r w:rsidRPr="001B3F19">
        <w:t>.</w:t>
      </w:r>
    </w:p>
  </w:footnote>
  <w:footnote w:id="87">
    <w:p w:rsidR="0015641D" w:rsidRPr="001B3F19" w:rsidRDefault="0015641D" w:rsidP="003A41BB">
      <w:pPr>
        <w:pStyle w:val="FootnoteText"/>
      </w:pPr>
      <w:r w:rsidRPr="001B3F19">
        <w:rPr>
          <w:rStyle w:val="FootnoteReference"/>
        </w:rPr>
        <w:footnoteRef/>
      </w:r>
      <w:r w:rsidRPr="001B3F19">
        <w:t xml:space="preserve"> </w:t>
      </w:r>
      <w:r w:rsidRPr="001B3F19">
        <w:rPr>
          <w:i/>
        </w:rPr>
        <w:t>See</w:t>
      </w:r>
      <w:r w:rsidRPr="001B3F19">
        <w:t xml:space="preserve"> </w:t>
      </w:r>
      <w:r w:rsidRPr="001B3F19">
        <w:rPr>
          <w:i/>
        </w:rPr>
        <w:t>Turner II</w:t>
      </w:r>
      <w:r w:rsidRPr="001B3F19">
        <w:t xml:space="preserve">, </w:t>
      </w:r>
      <w:r w:rsidRPr="001B3F19">
        <w:rPr>
          <w:i/>
        </w:rPr>
        <w:t xml:space="preserve">supra </w:t>
      </w:r>
      <w:r w:rsidRPr="001B3F19">
        <w:t>note</w:t>
      </w:r>
      <w:r w:rsidR="0063511C">
        <w:t xml:space="preserve"> 5</w:t>
      </w:r>
      <w:r w:rsidR="009A239B">
        <w:t>0</w:t>
      </w:r>
      <w:r w:rsidRPr="001B3F19">
        <w:t>.</w:t>
      </w:r>
    </w:p>
  </w:footnote>
  <w:footnote w:id="88">
    <w:p w:rsidR="0015641D" w:rsidRPr="001B3F19" w:rsidRDefault="0015641D">
      <w:pPr>
        <w:pStyle w:val="FootnoteText"/>
      </w:pPr>
      <w:r w:rsidRPr="001B3F19">
        <w:rPr>
          <w:rStyle w:val="FootnoteReference"/>
        </w:rPr>
        <w:footnoteRef/>
      </w:r>
      <w:r w:rsidRPr="001B3F19">
        <w:t xml:space="preserve"> </w:t>
      </w:r>
      <w:r w:rsidRPr="00150C77">
        <w:rPr>
          <w:i/>
        </w:rPr>
        <w:t>See</w:t>
      </w:r>
      <w:r w:rsidRPr="001B3F19">
        <w:rPr>
          <w:i/>
        </w:rPr>
        <w:t xml:space="preserve"> supra</w:t>
      </w:r>
      <w:r w:rsidRPr="001B3F19">
        <w:t xml:space="preserve"> note </w:t>
      </w:r>
      <w:r w:rsidR="0063511C">
        <w:t>6</w:t>
      </w:r>
      <w:r w:rsidR="009A239B">
        <w:t>0</w:t>
      </w:r>
      <w:r w:rsidRPr="001B3F19">
        <w:t xml:space="preserve"> and accompanying text.</w:t>
      </w:r>
    </w:p>
  </w:footnote>
  <w:footnote w:id="89">
    <w:p w:rsidR="0015641D" w:rsidRPr="001B3F19" w:rsidRDefault="0015641D" w:rsidP="001B3F19">
      <w:pPr>
        <w:pStyle w:val="FootnoteText"/>
      </w:pPr>
      <w:r w:rsidRPr="001B3F19">
        <w:rPr>
          <w:rStyle w:val="FootnoteReference"/>
        </w:rPr>
        <w:footnoteRef/>
      </w:r>
      <w:r w:rsidRPr="001B3F19">
        <w:t xml:space="preserve"> </w:t>
      </w:r>
      <w:r w:rsidRPr="001B3F19">
        <w:rPr>
          <w:i/>
        </w:rPr>
        <w:t xml:space="preserve">See Turner </w:t>
      </w:r>
      <w:r w:rsidR="005E6222" w:rsidRPr="001B3F19">
        <w:rPr>
          <w:i/>
        </w:rPr>
        <w:t>I</w:t>
      </w:r>
      <w:r w:rsidRPr="001B3F19">
        <w:t xml:space="preserve">, 28 FCC Rcd 15455, 15460, para. 14 (Enf. Bur. 2013) (citing </w:t>
      </w:r>
      <w:hyperlink r:id="rId9" w:tgtFrame="_top" w:history="1">
        <w:r w:rsidRPr="001B3F19">
          <w:rPr>
            <w:i/>
            <w:iCs/>
          </w:rPr>
          <w:t>Seawest</w:t>
        </w:r>
        <w:r w:rsidRPr="001B3F19">
          <w:rPr>
            <w:iCs/>
          </w:rPr>
          <w:t xml:space="preserve"> </w:t>
        </w:r>
        <w:r w:rsidRPr="001B3F19">
          <w:rPr>
            <w:i/>
            <w:iCs/>
          </w:rPr>
          <w:t>Yacht</w:t>
        </w:r>
        <w:r w:rsidRPr="001B3F19">
          <w:rPr>
            <w:iCs/>
          </w:rPr>
          <w:t xml:space="preserve"> </w:t>
        </w:r>
        <w:r w:rsidRPr="001B3F19">
          <w:rPr>
            <w:i/>
            <w:iCs/>
          </w:rPr>
          <w:t>Brokers</w:t>
        </w:r>
        <w:r w:rsidRPr="001B3F19">
          <w:rPr>
            <w:iCs/>
          </w:rPr>
          <w:t xml:space="preserve"> </w:t>
        </w:r>
        <w:r w:rsidRPr="001B3F19">
          <w:rPr>
            <w:i/>
            <w:iCs/>
          </w:rPr>
          <w:t>dba</w:t>
        </w:r>
        <w:r w:rsidRPr="001B3F19">
          <w:rPr>
            <w:iCs/>
          </w:rPr>
          <w:t xml:space="preserve"> </w:t>
        </w:r>
        <w:r w:rsidRPr="001B3F19">
          <w:rPr>
            <w:i/>
            <w:iCs/>
          </w:rPr>
          <w:t>San</w:t>
        </w:r>
        <w:r w:rsidRPr="001B3F19">
          <w:rPr>
            <w:iCs/>
          </w:rPr>
          <w:t xml:space="preserve"> </w:t>
        </w:r>
        <w:r w:rsidRPr="001B3F19">
          <w:rPr>
            <w:i/>
            <w:iCs/>
          </w:rPr>
          <w:t>Juan</w:t>
        </w:r>
        <w:r w:rsidRPr="001B3F19">
          <w:rPr>
            <w:iCs/>
          </w:rPr>
          <w:t xml:space="preserve"> </w:t>
        </w:r>
        <w:r w:rsidRPr="001B3F19">
          <w:rPr>
            <w:i/>
            <w:iCs/>
          </w:rPr>
          <w:t>Marina</w:t>
        </w:r>
        <w:r w:rsidRPr="001B3F19">
          <w:rPr>
            <w:iCs/>
          </w:rPr>
          <w:t xml:space="preserve"> </w:t>
        </w:r>
        <w:r w:rsidRPr="001B3F19">
          <w:rPr>
            <w:i/>
            <w:iCs/>
          </w:rPr>
          <w:t>Friday</w:t>
        </w:r>
        <w:r w:rsidRPr="001B3F19">
          <w:rPr>
            <w:iCs/>
          </w:rPr>
          <w:t xml:space="preserve"> </w:t>
        </w:r>
        <w:r w:rsidRPr="001B3F19">
          <w:rPr>
            <w:i/>
            <w:iCs/>
          </w:rPr>
          <w:t>Harbor</w:t>
        </w:r>
        <w:r w:rsidRPr="001B3F19">
          <w:rPr>
            <w:iCs/>
          </w:rPr>
          <w:t>, Notice of Forfeiture, 9 FCC Rcd 6099 (1994)</w:t>
        </w:r>
      </w:hyperlink>
      <w:r w:rsidRPr="001B3F19">
        <w:rPr>
          <w:iCs/>
        </w:rPr>
        <w:t xml:space="preserve"> (noting that “corrective action taken to come into compliance with Commission rules or policy is expected, and does not nullify or mitigate any prior forfeitures or violations”);</w:t>
      </w:r>
      <w:r w:rsidRPr="001B3F19">
        <w:t xml:space="preserve"> </w:t>
      </w:r>
      <w:hyperlink r:id="rId10" w:tgtFrame="_top" w:history="1">
        <w:r w:rsidRPr="001B3F19">
          <w:rPr>
            <w:i/>
            <w:iCs/>
          </w:rPr>
          <w:t>Station KGVL, Inc.</w:t>
        </w:r>
        <w:r w:rsidRPr="001B3F19">
          <w:t>, Memorandum Opinion and Order, 42 FCC 2d 258, 259, para. 6 (1973)</w:t>
        </w:r>
      </w:hyperlink>
      <w:r w:rsidRPr="001B3F19">
        <w:t xml:space="preserve">; </w:t>
      </w:r>
      <w:hyperlink r:id="rId11" w:tgtFrame="_top" w:history="1">
        <w:r w:rsidRPr="001B3F19">
          <w:rPr>
            <w:i/>
            <w:iCs/>
          </w:rPr>
          <w:t>Exec. Broad. Corp.</w:t>
        </w:r>
        <w:r w:rsidRPr="001B3F19">
          <w:t>, Memorandum Opinion and Order, 3 FCC 2d 699, 699, para. 6 (1966)</w:t>
        </w:r>
      </w:hyperlink>
      <w:r w:rsidRPr="001B3F19">
        <w:t xml:space="preserve"> (“The fact that prompt corrective action was taken . . . does not excuse the prior violations.”)).</w:t>
      </w:r>
    </w:p>
  </w:footnote>
  <w:footnote w:id="90">
    <w:p w:rsidR="0015641D" w:rsidRPr="001B3F19" w:rsidRDefault="0015641D" w:rsidP="001B3F19">
      <w:pPr>
        <w:pStyle w:val="FootnoteText"/>
      </w:pPr>
      <w:r w:rsidRPr="001B3F19">
        <w:rPr>
          <w:rStyle w:val="FootnoteReference"/>
        </w:rPr>
        <w:footnoteRef/>
      </w:r>
      <w:r w:rsidRPr="001B3F19">
        <w:t xml:space="preserve"> Viacom NAL Response at 3, 16–17.</w:t>
      </w:r>
    </w:p>
  </w:footnote>
  <w:footnote w:id="91">
    <w:p w:rsidR="0015641D" w:rsidRPr="001B3F19" w:rsidRDefault="0015641D" w:rsidP="001B3F19">
      <w:pPr>
        <w:pStyle w:val="FootnoteText"/>
      </w:pPr>
      <w:r w:rsidRPr="001B3F19">
        <w:rPr>
          <w:rStyle w:val="FootnoteReference"/>
        </w:rPr>
        <w:footnoteRef/>
      </w:r>
      <w:r w:rsidRPr="001B3F19">
        <w:t xml:space="preserve"> </w:t>
      </w:r>
      <w:r w:rsidRPr="001B3F19">
        <w:rPr>
          <w:i/>
        </w:rPr>
        <w:t>See NAL</w:t>
      </w:r>
      <w:r w:rsidRPr="001B3F19">
        <w:t xml:space="preserve">, 29 FCC Rcd at 2565–66, paras. 36–38.  </w:t>
      </w:r>
      <w:r w:rsidRPr="001B3F19">
        <w:rPr>
          <w:i/>
        </w:rPr>
        <w:t xml:space="preserve">See also </w:t>
      </w:r>
      <w:hyperlink r:id="rId12" w:tgtFrame="_top" w:history="1">
        <w:r w:rsidRPr="001B3F19">
          <w:t>47 U.S.C. § 312(f)(2)</w:t>
        </w:r>
      </w:hyperlink>
      <w:r w:rsidRPr="001B3F19">
        <w:t xml:space="preserve"> (providing that “[t]he term ‘repeated,’ when used with reference to the commission or omission of any act, means the commission or omission of such act more than once or, if such commission or omission is continuous, for more than one day”).  The Commission has followed this approach to calculate forfeitures in many enforcement areas, including sponsorship identification, cramming, and junk fax enforcement.  </w:t>
      </w:r>
      <w:r w:rsidRPr="001B3F19">
        <w:rPr>
          <w:i/>
        </w:rPr>
        <w:t>See Radio License Holding XI, LLC</w:t>
      </w:r>
      <w:r w:rsidRPr="001B3F19">
        <w:t xml:space="preserve">, 29 FCC Rcd 1623, 1628 at para. 12 (2014) (where Commission found that eleven deficient broadcasts that failed to include required sponsorship disclosures constituted eleven discrete violations, not a single violation); </w:t>
      </w:r>
      <w:r w:rsidRPr="001B3F19">
        <w:rPr>
          <w:i/>
          <w:iCs/>
          <w:color w:val="000000"/>
        </w:rPr>
        <w:t xml:space="preserve">see also Net One International, Inc., </w:t>
      </w:r>
      <w:r w:rsidRPr="001B3F19">
        <w:rPr>
          <w:iCs/>
          <w:color w:val="000000"/>
        </w:rPr>
        <w:t xml:space="preserve">Notice of Apparent Liability for Forfeiture, </w:t>
      </w:r>
      <w:r w:rsidRPr="001B3F19">
        <w:rPr>
          <w:color w:val="000000"/>
        </w:rPr>
        <w:t>2014 WL 3468905 at paras. 9-10, FCC 14-100 (2014) (</w:t>
      </w:r>
      <w:r w:rsidRPr="001B3F19">
        <w:rPr>
          <w:i/>
          <w:color w:val="000000"/>
        </w:rPr>
        <w:t>Net One NAL</w:t>
      </w:r>
      <w:r w:rsidRPr="001B3F19">
        <w:rPr>
          <w:color w:val="000000"/>
        </w:rPr>
        <w:t xml:space="preserve">), </w:t>
      </w:r>
      <w:r w:rsidRPr="001B3F19">
        <w:t>citing</w:t>
      </w:r>
      <w:r w:rsidRPr="001B3F19">
        <w:rPr>
          <w:i/>
        </w:rPr>
        <w:t xml:space="preserve"> </w:t>
      </w:r>
      <w:hyperlink r:id="rId13" w:tgtFrame="_top" w:history="1">
        <w:r w:rsidRPr="001B3F19">
          <w:rPr>
            <w:i/>
            <w:iCs/>
          </w:rPr>
          <w:t>Consumer Telcom, Inc</w:t>
        </w:r>
        <w:r w:rsidRPr="001B3F19">
          <w:t>., Notice of Apparent Liability for Forfeiture, 28 FCC Rcd 17196</w:t>
        </w:r>
      </w:hyperlink>
      <w:r w:rsidRPr="001B3F19">
        <w:t xml:space="preserve"> </w:t>
      </w:r>
      <w:hyperlink r:id="rId14" w:tgtFrame="_top" w:history="1">
        <w:r w:rsidRPr="001B3F19">
          <w:t>at 17208, n.79</w:t>
        </w:r>
      </w:hyperlink>
      <w:r w:rsidRPr="001B3F19">
        <w:t xml:space="preserve">; </w:t>
      </w:r>
      <w:r w:rsidRPr="001B3F19">
        <w:rPr>
          <w:i/>
        </w:rPr>
        <w:t>Scott Malcolm DSM Supply, LLC, Somaticare, LLC</w:t>
      </w:r>
      <w:r w:rsidRPr="001B3F19">
        <w:t xml:space="preserve">, Notice of Apparent Liability for Forfeiture, 29 FCC Rcd 2476, 2484 at para. 20 (2014) (finding that each junk fax violation constitutes a separate and distinct rule violation). </w:t>
      </w:r>
    </w:p>
  </w:footnote>
  <w:footnote w:id="92">
    <w:p w:rsidR="0015641D" w:rsidRPr="001B3F19" w:rsidRDefault="0015641D" w:rsidP="001B3F19">
      <w:pPr>
        <w:pStyle w:val="FootnoteText"/>
      </w:pPr>
      <w:r w:rsidRPr="001B3F19">
        <w:rPr>
          <w:rStyle w:val="FootnoteReference"/>
        </w:rPr>
        <w:footnoteRef/>
      </w:r>
      <w:r w:rsidRPr="001B3F19">
        <w:t xml:space="preserve"> </w:t>
      </w:r>
      <w:r w:rsidRPr="001B3F19">
        <w:rPr>
          <w:i/>
        </w:rPr>
        <w:t>See NAL</w:t>
      </w:r>
      <w:r w:rsidRPr="001B3F19">
        <w:t xml:space="preserve">, 29 FCC Rcd at 2551–52, paras. 9, 12.  Note that Viacom transmitted the </w:t>
      </w:r>
      <w:r w:rsidRPr="001B3F19">
        <w:rPr>
          <w:i/>
        </w:rPr>
        <w:t>No Surrender Trailer</w:t>
      </w:r>
      <w:r w:rsidRPr="001B3F19">
        <w:t xml:space="preserve"> on seven networks and ESPN transmitted the </w:t>
      </w:r>
      <w:r w:rsidRPr="001B3F19">
        <w:rPr>
          <w:i/>
        </w:rPr>
        <w:t>No Surrender Trailer</w:t>
      </w:r>
      <w:r w:rsidRPr="001B3F19">
        <w:t xml:space="preserve"> on three networks.  </w:t>
      </w:r>
      <w:r w:rsidRPr="001B3F19">
        <w:rPr>
          <w:i/>
        </w:rPr>
        <w:t xml:space="preserve">Id. </w:t>
      </w:r>
      <w:r w:rsidRPr="001B3F19">
        <w:t>at 2551–52, paras. 8, 11.</w:t>
      </w:r>
    </w:p>
  </w:footnote>
  <w:footnote w:id="93">
    <w:p w:rsidR="0015641D" w:rsidRPr="001B3F19" w:rsidRDefault="0015641D" w:rsidP="001B3F19">
      <w:pPr>
        <w:pStyle w:val="FootnoteText"/>
      </w:pPr>
      <w:r w:rsidRPr="001B3F19">
        <w:rPr>
          <w:rStyle w:val="FootnoteReference"/>
        </w:rPr>
        <w:footnoteRef/>
      </w:r>
      <w:r w:rsidRPr="001B3F19">
        <w:t xml:space="preserve"> </w:t>
      </w:r>
      <w:r w:rsidRPr="001B3F19">
        <w:rPr>
          <w:i/>
        </w:rPr>
        <w:t>See, e.g.</w:t>
      </w:r>
      <w:r w:rsidRPr="001B3F19">
        <w:t>,</w:t>
      </w:r>
      <w:r w:rsidRPr="001B3F19">
        <w:rPr>
          <w:i/>
        </w:rPr>
        <w:t xml:space="preserve"> Radio License Holding XI, LLC</w:t>
      </w:r>
      <w:r w:rsidRPr="001B3F19">
        <w:t xml:space="preserve">, Forfeiture Order, 29 FCC Rcd 1623, 1628, para. 12 (2014) (where Commission found that eleven deficient broadcasts that failed to include required sponsorship disclosures constituted eleven discrete violations, not a single violation); </w:t>
      </w:r>
      <w:r w:rsidRPr="001B3F19">
        <w:rPr>
          <w:i/>
          <w:iCs/>
          <w:color w:val="000000"/>
        </w:rPr>
        <w:t xml:space="preserve">see also </w:t>
      </w:r>
      <w:r w:rsidRPr="001B3F19">
        <w:rPr>
          <w:i/>
          <w:color w:val="000000"/>
        </w:rPr>
        <w:t>Net One NAL</w:t>
      </w:r>
      <w:r w:rsidRPr="001B3F19">
        <w:rPr>
          <w:color w:val="000000"/>
        </w:rPr>
        <w:t>, 2014 WL 3468905 at paras. 9–10 (applying base forfeiture to each of 20 cramming violations) (</w:t>
      </w:r>
      <w:r w:rsidRPr="001B3F19">
        <w:t>citing</w:t>
      </w:r>
      <w:r w:rsidRPr="001B3F19">
        <w:rPr>
          <w:i/>
        </w:rPr>
        <w:t xml:space="preserve"> </w:t>
      </w:r>
      <w:hyperlink r:id="rId15" w:tgtFrame="_top" w:history="1">
        <w:r w:rsidRPr="001B3F19">
          <w:rPr>
            <w:i/>
            <w:iCs/>
          </w:rPr>
          <w:t>Consumer Telcom, Inc</w:t>
        </w:r>
        <w:r w:rsidRPr="001B3F19">
          <w:t>., Notice of Apparent Liability for Forfeiture, 28 FCC Rcd 17196</w:t>
        </w:r>
      </w:hyperlink>
      <w:r w:rsidRPr="001B3F19">
        <w:t xml:space="preserve">, </w:t>
      </w:r>
      <w:hyperlink r:id="rId16" w:tgtFrame="_top" w:history="1">
        <w:r w:rsidRPr="001B3F19">
          <w:t>17208 n.79</w:t>
        </w:r>
      </w:hyperlink>
      <w:r w:rsidRPr="001B3F19">
        <w:t xml:space="preserve">); </w:t>
      </w:r>
      <w:r w:rsidRPr="001B3F19">
        <w:rPr>
          <w:i/>
        </w:rPr>
        <w:t>Scott Malcolm DSM Supply, LLC, Somaticare, LLC</w:t>
      </w:r>
      <w:r w:rsidRPr="001B3F19">
        <w:t>, Notice of Apparent Liability for Forfeiture, 29 FCC Rcd 2476, 2484, para. 20 (2014) (finding that each junk fax violation constitutes a separate and distinct rule violation).</w:t>
      </w:r>
    </w:p>
  </w:footnote>
  <w:footnote w:id="94">
    <w:p w:rsidR="0015641D" w:rsidRPr="001B3F19" w:rsidRDefault="0015641D" w:rsidP="003A41BB">
      <w:pPr>
        <w:pStyle w:val="FootnoteText"/>
      </w:pPr>
      <w:r w:rsidRPr="001B3F19">
        <w:rPr>
          <w:vertAlign w:val="superscript"/>
        </w:rPr>
        <w:footnoteRef/>
      </w:r>
      <w:r w:rsidRPr="001B3F19">
        <w:t xml:space="preserve"> </w:t>
      </w:r>
      <w:r w:rsidRPr="001B3F19">
        <w:rPr>
          <w:i/>
          <w:iCs/>
        </w:rPr>
        <w:t>See NAL</w:t>
      </w:r>
      <w:r w:rsidRPr="001B3F19">
        <w:t>,</w:t>
      </w:r>
      <w:r w:rsidRPr="001B3F19">
        <w:rPr>
          <w:iCs/>
        </w:rPr>
        <w:t xml:space="preserve"> </w:t>
      </w:r>
      <w:r w:rsidRPr="001B3F19">
        <w:t>29 FCC Rcd at 2565–66,</w:t>
      </w:r>
      <w:r w:rsidRPr="001B3F19">
        <w:rPr>
          <w:iCs/>
        </w:rPr>
        <w:t xml:space="preserve"> para. 36; </w:t>
      </w:r>
      <w:r w:rsidRPr="001B3F19">
        <w:rPr>
          <w:i/>
          <w:iCs/>
        </w:rPr>
        <w:t>see also</w:t>
      </w:r>
      <w:r w:rsidRPr="001B3F19">
        <w:t xml:space="preserve"> 47 U.S.C. § 503(b)(2); 47 C.F.R. § 1.80(b); Federal Civil Penalties Inflation Adjustment Act of 1990, Pub. L. No. 101-410, 104 Stat. 890, </w:t>
      </w:r>
      <w:r w:rsidRPr="001B3F19">
        <w:rPr>
          <w:i/>
          <w:iCs/>
        </w:rPr>
        <w:t>amended by</w:t>
      </w:r>
      <w:r w:rsidRPr="001B3F19">
        <w:t xml:space="preserve"> Debt Collection Improvement Act of 1996, Pub. L. No. 104-134, Sec. 31001, 110 Stat. 1321 (codified as amended at 28 U.S.C. § 2461 note (4)); </w:t>
      </w:r>
      <w:r w:rsidRPr="001B3F19">
        <w:rPr>
          <w:i/>
          <w:iCs/>
        </w:rPr>
        <w:t>Inflation Adjustment of Maximum Forfeiture Penalties</w:t>
      </w:r>
      <w:r w:rsidRPr="001B3F19">
        <w:t xml:space="preserve">, Rules and Regulations, 73 Fed. Reg. 44663, 44664 (July 31, 2008) (applicable for violations that occurred after Sept. 2, 2008, but before Sept. 13, 2013); </w:t>
      </w:r>
      <w:r w:rsidRPr="001B3F19">
        <w:rPr>
          <w:i/>
          <w:iCs/>
        </w:rPr>
        <w:t>Amendment of Section 1.80(b) of the Commission’s Rules, Adjustment of Civil Monetary Penalties to Reflect Inflation</w:t>
      </w:r>
      <w:r w:rsidRPr="001B3F19">
        <w:t xml:space="preserve">, Order, 28 FCC Rcd 10785 (Enf. Bur. 2013); </w:t>
      </w:r>
      <w:r w:rsidRPr="001B3F19">
        <w:rPr>
          <w:i/>
          <w:iCs/>
        </w:rPr>
        <w:t>Inflation Adjustment of Maximum Forfeiture Penalties</w:t>
      </w:r>
      <w:r w:rsidRPr="001B3F19">
        <w:rPr>
          <w:iCs/>
        </w:rPr>
        <w:t xml:space="preserve">, Rules and Regulations, 78 Fed. Reg. 49370 (Aug. 14, 2013) </w:t>
      </w:r>
      <w:r w:rsidRPr="001B3F19">
        <w:t>(applicable for violations that occurred after Sept. 13, 2013).</w:t>
      </w:r>
    </w:p>
  </w:footnote>
  <w:footnote w:id="95">
    <w:p w:rsidR="0015641D" w:rsidRPr="001B3F19" w:rsidRDefault="0015641D" w:rsidP="001B3F19">
      <w:pPr>
        <w:pStyle w:val="FootnoteText"/>
      </w:pPr>
      <w:r w:rsidRPr="001B3F19">
        <w:rPr>
          <w:rStyle w:val="FootnoteReference"/>
        </w:rPr>
        <w:footnoteRef/>
      </w:r>
      <w:r w:rsidRPr="001B3F19">
        <w:t xml:space="preserve"> ESPN NAL Response at 12.</w:t>
      </w:r>
    </w:p>
  </w:footnote>
  <w:footnote w:id="96">
    <w:p w:rsidR="0015641D" w:rsidRPr="001B3F19" w:rsidRDefault="0015641D" w:rsidP="001B3F19">
      <w:pPr>
        <w:pStyle w:val="FootnoteText"/>
      </w:pPr>
      <w:r w:rsidRPr="001B3F19">
        <w:rPr>
          <w:rStyle w:val="FootnoteReference"/>
        </w:rPr>
        <w:footnoteRef/>
      </w:r>
      <w:r w:rsidRPr="001B3F19">
        <w:t xml:space="preserve"> </w:t>
      </w:r>
      <w:r w:rsidRPr="001B3F19">
        <w:rPr>
          <w:i/>
        </w:rPr>
        <w:t>See supra</w:t>
      </w:r>
      <w:r w:rsidRPr="001B3F19">
        <w:t xml:space="preserve"> para. 20; </w:t>
      </w:r>
      <w:r w:rsidRPr="001B3F19">
        <w:rPr>
          <w:i/>
        </w:rPr>
        <w:t>NAL</w:t>
      </w:r>
      <w:r w:rsidRPr="001B3F19">
        <w:t>, 29 FCC Rcd at 2565–68, paras. 36–42.</w:t>
      </w:r>
    </w:p>
  </w:footnote>
  <w:footnote w:id="97">
    <w:p w:rsidR="00015037" w:rsidRPr="00CE03F6" w:rsidRDefault="00015037" w:rsidP="003A41BB">
      <w:pPr>
        <w:pStyle w:val="FootnoteText"/>
      </w:pPr>
      <w:r>
        <w:rPr>
          <w:rStyle w:val="FootnoteReference"/>
        </w:rPr>
        <w:footnoteRef/>
      </w:r>
      <w:r>
        <w:t xml:space="preserve"> </w:t>
      </w:r>
      <w:r w:rsidR="00F6186A" w:rsidRPr="00CE03F6">
        <w:rPr>
          <w:i/>
          <w:iCs/>
        </w:rPr>
        <w:t>See NAL</w:t>
      </w:r>
      <w:r w:rsidR="00F6186A" w:rsidRPr="00CE03F6">
        <w:t xml:space="preserve">, 29 FCC Rcd at 2556–58.  ESPN further argues that the forfeiture amount proposed against it is inconsistent with that assessed against Turner Broadcasting  in </w:t>
      </w:r>
      <w:r w:rsidR="00F6186A" w:rsidRPr="00CE03F6">
        <w:rPr>
          <w:i/>
          <w:iCs/>
        </w:rPr>
        <w:t>Turner II,</w:t>
      </w:r>
      <w:r w:rsidR="00F6186A" w:rsidRPr="00CE03F6">
        <w:t> because in that case Turner committed more violations.  ESPN’s argument, however, ignores that its instant violations occurred over more channels than in Turner’s case and fails to recognize that the corresponding harm caused thereby requires greater redress</w:t>
      </w:r>
      <w:r w:rsidR="009908F4" w:rsidRPr="00CE03F6">
        <w:t>.</w:t>
      </w:r>
    </w:p>
  </w:footnote>
  <w:footnote w:id="98">
    <w:p w:rsidR="0015641D" w:rsidRPr="001B3F19" w:rsidRDefault="0015641D" w:rsidP="0090277C">
      <w:pPr>
        <w:pStyle w:val="FootnoteText"/>
      </w:pPr>
      <w:r w:rsidRPr="001B3F19">
        <w:rPr>
          <w:rStyle w:val="FootnoteReference"/>
        </w:rPr>
        <w:footnoteRef/>
      </w:r>
      <w:r w:rsidRPr="001B3F19">
        <w:t xml:space="preserve"> Viacom NAL Response at 14; ESPN NAL Response at 12–14.</w:t>
      </w:r>
    </w:p>
  </w:footnote>
  <w:footnote w:id="99">
    <w:p w:rsidR="0015641D" w:rsidRPr="001B3F19" w:rsidRDefault="0015641D" w:rsidP="001B3F19">
      <w:pPr>
        <w:pStyle w:val="FootnoteText"/>
      </w:pPr>
      <w:r w:rsidRPr="001B3F19">
        <w:rPr>
          <w:rStyle w:val="FootnoteReference"/>
        </w:rPr>
        <w:footnoteRef/>
      </w:r>
      <w:r w:rsidRPr="001B3F19">
        <w:t xml:space="preserve"> </w:t>
      </w:r>
      <w:r w:rsidRPr="001B3F19">
        <w:rPr>
          <w:i/>
        </w:rPr>
        <w:t>See supra</w:t>
      </w:r>
      <w:r w:rsidRPr="001B3F19">
        <w:t xml:space="preserve"> para. 8; </w:t>
      </w:r>
      <w:r w:rsidRPr="001B3F19">
        <w:rPr>
          <w:i/>
        </w:rPr>
        <w:t>NAL</w:t>
      </w:r>
      <w:r w:rsidRPr="001B3F19">
        <w:t>, 29 FCC Rcd at 2558–60, paras. 23–25.</w:t>
      </w:r>
    </w:p>
  </w:footnote>
  <w:footnote w:id="100">
    <w:p w:rsidR="0015641D" w:rsidRPr="001B3F19" w:rsidRDefault="0015641D" w:rsidP="001B3F19">
      <w:pPr>
        <w:pStyle w:val="FootnoteText"/>
      </w:pPr>
      <w:r w:rsidRPr="001B3F19">
        <w:rPr>
          <w:rStyle w:val="FootnoteReference"/>
        </w:rPr>
        <w:footnoteRef/>
      </w:r>
      <w:r w:rsidRPr="001B3F19">
        <w:t xml:space="preserve"> </w:t>
      </w:r>
      <w:r w:rsidRPr="001B3F19">
        <w:rPr>
          <w:i/>
        </w:rPr>
        <w:t>See</w:t>
      </w:r>
      <w:r w:rsidRPr="001B3F19">
        <w:t xml:space="preserve"> </w:t>
      </w:r>
      <w:r w:rsidRPr="001B3F19">
        <w:rPr>
          <w:i/>
          <w:iCs/>
        </w:rPr>
        <w:t>SBC Commc’ns Inc. v. FCC</w:t>
      </w:r>
      <w:r w:rsidRPr="001B3F19">
        <w:t>,</w:t>
      </w:r>
      <w:r w:rsidRPr="001B3F19">
        <w:rPr>
          <w:i/>
          <w:iCs/>
        </w:rPr>
        <w:t xml:space="preserve"> </w:t>
      </w:r>
      <w:r w:rsidRPr="001B3F19">
        <w:t>373 F.3d 140, 152 (D.C. Cir. 2004) (noting that “substantial and widespread” behavior with a multistate scope may warrant an increased forfeiture, and that it is “reasonable to expect that a larger fine might be necessary to deter a large company [from future violations]”).</w:t>
      </w:r>
    </w:p>
  </w:footnote>
  <w:footnote w:id="101">
    <w:p w:rsidR="0015641D" w:rsidRPr="001B3F19" w:rsidRDefault="0015641D" w:rsidP="001B3F19">
      <w:pPr>
        <w:pStyle w:val="FootnoteText"/>
      </w:pPr>
      <w:r w:rsidRPr="001B3F19">
        <w:rPr>
          <w:rStyle w:val="FootnoteReference"/>
        </w:rPr>
        <w:footnoteRef/>
      </w:r>
      <w:r w:rsidRPr="001B3F19">
        <w:t xml:space="preserve"> 47 U.S.C. § 503(b).</w:t>
      </w:r>
    </w:p>
  </w:footnote>
  <w:footnote w:id="102">
    <w:p w:rsidR="0015641D" w:rsidRPr="001B3F19" w:rsidRDefault="0015641D" w:rsidP="001B3F19">
      <w:pPr>
        <w:pStyle w:val="FootnoteText"/>
      </w:pPr>
      <w:r w:rsidRPr="001B3F19">
        <w:rPr>
          <w:rStyle w:val="FootnoteReference"/>
        </w:rPr>
        <w:footnoteRef/>
      </w:r>
      <w:r w:rsidRPr="001B3F19">
        <w:t xml:space="preserve"> 47 C.F.R. § 1.80.</w:t>
      </w:r>
    </w:p>
  </w:footnote>
  <w:footnote w:id="103">
    <w:p w:rsidR="0015641D" w:rsidRPr="001B3F19" w:rsidRDefault="0015641D" w:rsidP="001B3F19">
      <w:pPr>
        <w:pStyle w:val="FootnoteText"/>
      </w:pPr>
      <w:r w:rsidRPr="001B3F19">
        <w:rPr>
          <w:rStyle w:val="FootnoteReference"/>
        </w:rPr>
        <w:footnoteRef/>
      </w:r>
      <w:r w:rsidRPr="001B3F19">
        <w:t xml:space="preserve"> 47 C.F.R. § 11.45.</w:t>
      </w:r>
    </w:p>
  </w:footnote>
  <w:footnote w:id="104">
    <w:p w:rsidR="0015641D" w:rsidRPr="001B3F19" w:rsidRDefault="0015641D" w:rsidP="001B3F19">
      <w:pPr>
        <w:pStyle w:val="FootnoteText"/>
      </w:pPr>
      <w:r w:rsidRPr="001B3F19">
        <w:rPr>
          <w:rStyle w:val="FootnoteReference"/>
        </w:rPr>
        <w:footnoteRef/>
      </w:r>
      <w:r w:rsidRPr="001B3F19">
        <w:t xml:space="preserve"> 47 U.S.C. § 325(a).</w:t>
      </w:r>
    </w:p>
  </w:footnote>
  <w:footnote w:id="105">
    <w:p w:rsidR="0015641D" w:rsidRPr="001B3F19" w:rsidRDefault="0015641D" w:rsidP="001B3F19">
      <w:pPr>
        <w:pStyle w:val="FootnoteText"/>
      </w:pPr>
      <w:r w:rsidRPr="001B3F19">
        <w:rPr>
          <w:rStyle w:val="FootnoteReference"/>
        </w:rPr>
        <w:footnoteRef/>
      </w:r>
      <w:r w:rsidRPr="001B3F19">
        <w:t xml:space="preserve"> 47 U.S.C. § 503(b).</w:t>
      </w:r>
    </w:p>
  </w:footnote>
  <w:footnote w:id="106">
    <w:p w:rsidR="0015641D" w:rsidRPr="001B3F19" w:rsidRDefault="0015641D" w:rsidP="001B3F19">
      <w:pPr>
        <w:pStyle w:val="FootnoteText"/>
      </w:pPr>
      <w:r w:rsidRPr="001B3F19">
        <w:rPr>
          <w:rStyle w:val="FootnoteReference"/>
        </w:rPr>
        <w:footnoteRef/>
      </w:r>
      <w:r w:rsidRPr="001B3F19">
        <w:t xml:space="preserve"> 47 C.F.R. § 1.80.</w:t>
      </w:r>
    </w:p>
  </w:footnote>
  <w:footnote w:id="107">
    <w:p w:rsidR="0015641D" w:rsidRPr="001B3F19" w:rsidRDefault="0015641D" w:rsidP="001B3F19">
      <w:pPr>
        <w:pStyle w:val="FootnoteText"/>
      </w:pPr>
      <w:r w:rsidRPr="001B3F19">
        <w:rPr>
          <w:rStyle w:val="FootnoteReference"/>
        </w:rPr>
        <w:footnoteRef/>
      </w:r>
      <w:r w:rsidRPr="001B3F19">
        <w:t xml:space="preserve"> 47 C.F.R. § 11.45.</w:t>
      </w:r>
    </w:p>
  </w:footnote>
  <w:footnote w:id="108">
    <w:p w:rsidR="0015641D" w:rsidRPr="001B3F19" w:rsidRDefault="0015641D" w:rsidP="001B3F19">
      <w:pPr>
        <w:pStyle w:val="FootnoteText"/>
      </w:pPr>
      <w:r w:rsidRPr="001B3F19">
        <w:rPr>
          <w:rStyle w:val="FootnoteReference"/>
        </w:rPr>
        <w:footnoteRef/>
      </w:r>
      <w:r w:rsidRPr="001B3F19">
        <w:t xml:space="preserve"> 47 U.S.C. § 325(a).</w:t>
      </w:r>
    </w:p>
  </w:footnote>
  <w:footnote w:id="109">
    <w:p w:rsidR="0015641D" w:rsidRPr="001B3F19" w:rsidRDefault="0015641D" w:rsidP="001B3F19">
      <w:pPr>
        <w:pStyle w:val="FootnoteText"/>
      </w:pPr>
      <w:r w:rsidRPr="001B3F19">
        <w:rPr>
          <w:rStyle w:val="FootnoteReference"/>
        </w:rPr>
        <w:footnoteRef/>
      </w:r>
      <w:r w:rsidRPr="001B3F19">
        <w:t xml:space="preserve"> 47 U.S.C. § 504(a).</w:t>
      </w:r>
    </w:p>
  </w:footnote>
  <w:footnote w:id="110">
    <w:p w:rsidR="0015641D" w:rsidRPr="001B3F19" w:rsidRDefault="0015641D" w:rsidP="001B3F19">
      <w:pPr>
        <w:pStyle w:val="FootnoteText"/>
        <w:rPr>
          <w:color w:val="000000"/>
        </w:rPr>
      </w:pPr>
      <w:r w:rsidRPr="001B3F19">
        <w:rPr>
          <w:rStyle w:val="FootnoteReference"/>
          <w:color w:val="000000"/>
        </w:rPr>
        <w:footnoteRef/>
      </w:r>
      <w:r w:rsidRPr="001B3F19">
        <w:rPr>
          <w:color w:val="000000"/>
        </w:rPr>
        <w:t xml:space="preserve"> </w:t>
      </w:r>
      <w:r w:rsidRPr="001B3F19">
        <w:rPr>
          <w:rFonts w:eastAsia="MS Mincho"/>
          <w:color w:val="000000"/>
        </w:rPr>
        <w:t>An FCC Form 159 and detailed instructions for completing the form may be obtained at http://www.fcc.gov/Forms/Form159/159.pdf.</w:t>
      </w:r>
    </w:p>
  </w:footnote>
  <w:footnote w:id="111">
    <w:p w:rsidR="0015641D" w:rsidRPr="001B3F19" w:rsidRDefault="0015641D" w:rsidP="001B3F19">
      <w:pPr>
        <w:pStyle w:val="FootnoteText"/>
        <w:rPr>
          <w:color w:val="000000"/>
        </w:rPr>
      </w:pPr>
      <w:r w:rsidRPr="001B3F19">
        <w:rPr>
          <w:rStyle w:val="FootnoteReference"/>
          <w:color w:val="000000"/>
        </w:rPr>
        <w:footnoteRef/>
      </w:r>
      <w:r w:rsidRPr="001B3F19">
        <w:rPr>
          <w:color w:val="000000"/>
        </w:rPr>
        <w:t xml:space="preserve"> </w:t>
      </w:r>
      <w:r w:rsidRPr="001B3F19">
        <w:rPr>
          <w:i/>
          <w:color w:val="000000"/>
        </w:rPr>
        <w:t>See</w:t>
      </w:r>
      <w:r w:rsidRPr="001B3F19">
        <w:rPr>
          <w:color w:val="00000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ED" w:rsidRDefault="00306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1D" w:rsidRDefault="0015641D">
    <w:pPr>
      <w:pStyle w:val="Header"/>
    </w:pPr>
    <w:r>
      <w:rPr>
        <w:noProof/>
        <w:snapToGrid/>
      </w:rPr>
      <mc:AlternateContent>
        <mc:Choice Requires="wps">
          <w:drawing>
            <wp:anchor distT="0" distB="0" distL="114300" distR="114300" simplePos="0" relativeHeight="251661312" behindDoc="1" locked="0" layoutInCell="0" allowOverlap="1" wp14:anchorId="136AEFD6" wp14:editId="087F9E37">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C656FD">
      <w:rPr>
        <w:spacing w:val="-2"/>
      </w:rPr>
      <w:t>FCC 15-2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1D" w:rsidRDefault="0015641D">
    <w:pPr>
      <w:pStyle w:val="Header"/>
      <w:rPr>
        <w:b w:val="0"/>
      </w:rPr>
    </w:pPr>
    <w:r>
      <w:rPr>
        <w:noProof/>
        <w:snapToGrid/>
      </w:rPr>
      <mc:AlternateContent>
        <mc:Choice Requires="wps">
          <w:drawing>
            <wp:anchor distT="0" distB="0" distL="114300" distR="114300" simplePos="0" relativeHeight="251659264" behindDoc="1" locked="0" layoutInCell="0" allowOverlap="1" wp14:anchorId="22E563AC" wp14:editId="552D8018">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C656FD">
      <w:rPr>
        <w:spacing w:val="-2"/>
      </w:rPr>
      <w:t>FCC 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3C9"/>
    <w:multiLevelType w:val="hybridMultilevel"/>
    <w:tmpl w:val="BDFE48B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C575A8"/>
    <w:multiLevelType w:val="hybridMultilevel"/>
    <w:tmpl w:val="98F680CA"/>
    <w:lvl w:ilvl="0" w:tplc="3C342272">
      <w:start w:val="1"/>
      <w:numFmt w:val="decimal"/>
      <w:lvlText w:val="%1."/>
      <w:lvlJc w:val="left"/>
      <w:pPr>
        <w:tabs>
          <w:tab w:val="num" w:pos="360"/>
        </w:tabs>
        <w:ind w:left="-360" w:firstLine="360"/>
      </w:pPr>
      <w:rPr>
        <w:rFonts w:ascii="Times New Roman" w:eastAsia="Times New Roman" w:hAnsi="Times New Roman" w:cs="Times New Roman"/>
        <w:b w:val="0"/>
      </w:rPr>
    </w:lvl>
    <w:lvl w:ilvl="1" w:tplc="8F18065E">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C8735A"/>
    <w:multiLevelType w:val="hybridMultilevel"/>
    <w:tmpl w:val="C1349BDA"/>
    <w:lvl w:ilvl="0" w:tplc="A7D400F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440D5"/>
    <w:multiLevelType w:val="hybridMultilevel"/>
    <w:tmpl w:val="C19E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30538"/>
    <w:multiLevelType w:val="multilevel"/>
    <w:tmpl w:val="487A00F8"/>
    <w:lvl w:ilvl="0">
      <w:start w:val="73"/>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6C77DC6"/>
    <w:multiLevelType w:val="hybridMultilevel"/>
    <w:tmpl w:val="BF4E93B8"/>
    <w:lvl w:ilvl="0" w:tplc="A30464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8">
    <w:nsid w:val="170E2BF1"/>
    <w:multiLevelType w:val="multilevel"/>
    <w:tmpl w:val="2208F2FA"/>
    <w:lvl w:ilvl="0">
      <w:start w:val="12"/>
      <w:numFmt w:val="decimal"/>
      <w:lvlText w:val="%1."/>
      <w:lvlJc w:val="left"/>
      <w:pPr>
        <w:tabs>
          <w:tab w:val="num" w:pos="1440"/>
        </w:tabs>
        <w:ind w:left="360" w:firstLine="720"/>
      </w:pPr>
      <w:rPr>
        <w:rFonts w:ascii="Times New Roman" w:hAnsi="Times New Roman" w:cs="Times New Roman" w:hint="default"/>
        <w:b w:val="0"/>
        <w:i w:val="0"/>
        <w:sz w:val="22"/>
        <w:szCs w:val="22"/>
      </w:rPr>
    </w:lvl>
    <w:lvl w:ilvl="1">
      <w:start w:val="8"/>
      <w:numFmt w:val="decimal"/>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nsid w:val="184B1CFD"/>
    <w:multiLevelType w:val="hybridMultilevel"/>
    <w:tmpl w:val="E8D4C58A"/>
    <w:lvl w:ilvl="0" w:tplc="CF687C4C">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41B89"/>
    <w:multiLevelType w:val="hybridMultilevel"/>
    <w:tmpl w:val="29169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4EF27F0"/>
    <w:multiLevelType w:val="hybridMultilevel"/>
    <w:tmpl w:val="3CDEA4DE"/>
    <w:lvl w:ilvl="0" w:tplc="E5CED0E4">
      <w:start w:val="1"/>
      <w:numFmt w:val="upperRoman"/>
      <w:lvlText w:val="%1&gt;"/>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8D06602"/>
    <w:multiLevelType w:val="multilevel"/>
    <w:tmpl w:val="05E43F6A"/>
    <w:lvl w:ilvl="0">
      <w:start w:val="6"/>
      <w:numFmt w:val="decimal"/>
      <w:lvlText w:val="%1."/>
      <w:lvlJc w:val="left"/>
      <w:pPr>
        <w:tabs>
          <w:tab w:val="num" w:pos="1440"/>
        </w:tabs>
        <w:ind w:left="360" w:firstLine="720"/>
      </w:pPr>
      <w:rPr>
        <w:rFonts w:ascii="Times New Roman" w:hAnsi="Times New Roman" w:cs="Times New Roman" w:hint="default"/>
        <w:b w:val="0"/>
        <w:i w:val="0"/>
        <w:sz w:val="22"/>
        <w:szCs w:val="22"/>
      </w:rPr>
    </w:lvl>
    <w:lvl w:ilvl="1">
      <w:start w:val="8"/>
      <w:numFmt w:val="decimal"/>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2E4D6940"/>
    <w:multiLevelType w:val="hybridMultilevel"/>
    <w:tmpl w:val="07B05394"/>
    <w:lvl w:ilvl="0" w:tplc="EDAA221E">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B43BD"/>
    <w:multiLevelType w:val="hybridMultilevel"/>
    <w:tmpl w:val="DC3A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73730"/>
    <w:multiLevelType w:val="hybridMultilevel"/>
    <w:tmpl w:val="F6A6F552"/>
    <w:lvl w:ilvl="0" w:tplc="79DA0FCE">
      <w:start w:val="1"/>
      <w:numFmt w:val="decimal"/>
      <w:pStyle w:val="StyleParaNumAfter11p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D0F1B3D"/>
    <w:multiLevelType w:val="singleLevel"/>
    <w:tmpl w:val="8800D236"/>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1127E7E"/>
    <w:multiLevelType w:val="hybridMultilevel"/>
    <w:tmpl w:val="EDD0E9C6"/>
    <w:lvl w:ilvl="0" w:tplc="292CCE7E">
      <w:start w:val="1"/>
      <w:numFmt w:val="bullet"/>
      <w:lvlText w:val=""/>
      <w:lvlJc w:val="left"/>
      <w:pPr>
        <w:tabs>
          <w:tab w:val="num" w:pos="3960"/>
        </w:tabs>
        <w:ind w:left="3960" w:hanging="360"/>
      </w:pPr>
      <w:rPr>
        <w:rFonts w:ascii="Wingdings" w:hAnsi="Wingdings" w:hint="default"/>
        <w:color w:val="auto"/>
        <w:sz w:val="16"/>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432817C4"/>
    <w:multiLevelType w:val="multilevel"/>
    <w:tmpl w:val="4C8CEA78"/>
    <w:lvl w:ilvl="0">
      <w:start w:val="1"/>
      <w:numFmt w:val="decimal"/>
      <w:lvlText w:val="%1."/>
      <w:lvlJc w:val="left"/>
      <w:pPr>
        <w:tabs>
          <w:tab w:val="num" w:pos="1440"/>
        </w:tabs>
        <w:ind w:left="360" w:firstLine="720"/>
      </w:pPr>
      <w:rPr>
        <w:rFonts w:ascii="Times New Roman" w:hAnsi="Times New Roman" w:cs="Times New Roman" w:hint="default"/>
        <w:b w:val="0"/>
        <w:i w:val="0"/>
        <w:sz w:val="22"/>
        <w:szCs w:val="22"/>
      </w:rPr>
    </w:lvl>
    <w:lvl w:ilvl="1">
      <w:start w:val="8"/>
      <w:numFmt w:val="decimal"/>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nsid w:val="461A10D2"/>
    <w:multiLevelType w:val="multilevel"/>
    <w:tmpl w:val="493A8EA4"/>
    <w:lvl w:ilvl="0">
      <w:start w:val="20"/>
      <w:numFmt w:val="decimal"/>
      <w:lvlText w:val="%1."/>
      <w:lvlJc w:val="left"/>
      <w:pPr>
        <w:tabs>
          <w:tab w:val="num" w:pos="1440"/>
        </w:tabs>
        <w:ind w:left="360" w:firstLine="720"/>
      </w:pPr>
      <w:rPr>
        <w:rFonts w:ascii="Times New Roman" w:hAnsi="Times New Roman" w:cs="Times New Roman" w:hint="default"/>
        <w:b w:val="0"/>
        <w:i w:val="0"/>
        <w:sz w:val="22"/>
        <w:szCs w:val="22"/>
      </w:rPr>
    </w:lvl>
    <w:lvl w:ilvl="1">
      <w:start w:val="8"/>
      <w:numFmt w:val="decimal"/>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46E5073C"/>
    <w:multiLevelType w:val="hybridMultilevel"/>
    <w:tmpl w:val="05D88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F8A2E88"/>
    <w:multiLevelType w:val="hybridMultilevel"/>
    <w:tmpl w:val="BC546E42"/>
    <w:lvl w:ilvl="0" w:tplc="1F462C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AB54C5"/>
    <w:multiLevelType w:val="multilevel"/>
    <w:tmpl w:val="DBBAF81E"/>
    <w:lvl w:ilvl="0">
      <w:start w:val="1"/>
      <w:numFmt w:val="decimal"/>
      <w:lvlText w:val="%1."/>
      <w:lvlJc w:val="left"/>
      <w:pPr>
        <w:tabs>
          <w:tab w:val="num" w:pos="1440"/>
        </w:tabs>
        <w:ind w:left="720" w:firstLine="720"/>
      </w:pPr>
      <w:rPr>
        <w:rFonts w:ascii="Times New Roman" w:hAnsi="Times New Roman" w:hint="default"/>
        <w:b w:val="0"/>
        <w:color w:val="auto"/>
        <w:sz w:val="22"/>
      </w:rPr>
    </w:lvl>
    <w:lvl w:ilvl="1">
      <w:start w:val="1"/>
      <w:numFmt w:val="bullet"/>
      <w:lvlText w:val=""/>
      <w:lvlJc w:val="left"/>
      <w:pPr>
        <w:tabs>
          <w:tab w:val="num" w:pos="1440"/>
        </w:tabs>
        <w:ind w:left="1440" w:hanging="360"/>
      </w:pPr>
      <w:rPr>
        <w:rFonts w:ascii="Wingdings" w:hAnsi="Wingdings" w:hint="default"/>
        <w:b w:val="0"/>
        <w:color w:val="auto"/>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F85AA2"/>
    <w:multiLevelType w:val="hybridMultilevel"/>
    <w:tmpl w:val="BE14A602"/>
    <w:lvl w:ilvl="0" w:tplc="3814C360">
      <w:start w:val="1"/>
      <w:numFmt w:val="decimal"/>
      <w:pStyle w:val="StyleParaNumLeft"/>
      <w:lvlText w:val="%1."/>
      <w:lvlJc w:val="lef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C2ECF"/>
    <w:multiLevelType w:val="multilevel"/>
    <w:tmpl w:val="A63CE69A"/>
    <w:lvl w:ilvl="0">
      <w:start w:val="5"/>
      <w:numFmt w:val="decimal"/>
      <w:lvlText w:val="%1."/>
      <w:lvlJc w:val="left"/>
      <w:pPr>
        <w:tabs>
          <w:tab w:val="num" w:pos="1440"/>
        </w:tabs>
        <w:ind w:left="360" w:firstLine="720"/>
      </w:pPr>
      <w:rPr>
        <w:rFonts w:ascii="Times New Roman" w:hAnsi="Times New Roman" w:cs="Times New Roman" w:hint="default"/>
        <w:b w:val="0"/>
        <w:i w:val="0"/>
        <w:sz w:val="22"/>
        <w:szCs w:val="22"/>
      </w:rPr>
    </w:lvl>
    <w:lvl w:ilvl="1">
      <w:start w:val="8"/>
      <w:numFmt w:val="decimal"/>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nsid w:val="6653405B"/>
    <w:multiLevelType w:val="hybridMultilevel"/>
    <w:tmpl w:val="463832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7B0E3E"/>
    <w:multiLevelType w:val="hybridMultilevel"/>
    <w:tmpl w:val="413C0714"/>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A53F64"/>
    <w:multiLevelType w:val="hybridMultilevel"/>
    <w:tmpl w:val="5CE89558"/>
    <w:lvl w:ilvl="0" w:tplc="4C327CF8">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4">
    <w:nsid w:val="6D2B48D2"/>
    <w:multiLevelType w:val="singleLevel"/>
    <w:tmpl w:val="C9C40FE0"/>
    <w:lvl w:ilvl="0">
      <w:start w:val="1"/>
      <w:numFmt w:val="decimal"/>
      <w:pStyle w:val="Paranum0"/>
      <w:lvlText w:val="%1."/>
      <w:lvlJc w:val="left"/>
      <w:pPr>
        <w:tabs>
          <w:tab w:val="num" w:pos="1170"/>
        </w:tabs>
        <w:ind w:left="1170" w:hanging="360"/>
      </w:pPr>
    </w:lvl>
  </w:abstractNum>
  <w:abstractNum w:abstractNumId="35">
    <w:nsid w:val="6D5A7791"/>
    <w:multiLevelType w:val="multilevel"/>
    <w:tmpl w:val="A2AABCFE"/>
    <w:lvl w:ilvl="0">
      <w:start w:val="14"/>
      <w:numFmt w:val="decimal"/>
      <w:lvlText w:val="%1."/>
      <w:lvlJc w:val="left"/>
      <w:pPr>
        <w:tabs>
          <w:tab w:val="num" w:pos="1440"/>
        </w:tabs>
        <w:ind w:left="360" w:firstLine="720"/>
      </w:pPr>
      <w:rPr>
        <w:rFonts w:ascii="Times New Roman" w:hAnsi="Times New Roman" w:cs="Times New Roman" w:hint="default"/>
        <w:b w:val="0"/>
        <w:i w:val="0"/>
        <w:sz w:val="22"/>
        <w:szCs w:val="22"/>
      </w:rPr>
    </w:lvl>
    <w:lvl w:ilvl="1">
      <w:start w:val="8"/>
      <w:numFmt w:val="decimal"/>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6EC01641"/>
    <w:multiLevelType w:val="hybridMultilevel"/>
    <w:tmpl w:val="EA928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04C6153"/>
    <w:multiLevelType w:val="hybridMultilevel"/>
    <w:tmpl w:val="B0148CEA"/>
    <w:lvl w:ilvl="0" w:tplc="A7C0F98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6F18C5"/>
    <w:multiLevelType w:val="hybridMultilevel"/>
    <w:tmpl w:val="487A00F8"/>
    <w:lvl w:ilvl="0" w:tplc="EC94A3E0">
      <w:start w:val="7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7BA681B"/>
    <w:multiLevelType w:val="hybridMultilevel"/>
    <w:tmpl w:val="2256B12E"/>
    <w:lvl w:ilvl="0" w:tplc="A7C0F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0D26A8"/>
    <w:multiLevelType w:val="hybridMultilevel"/>
    <w:tmpl w:val="89E249DC"/>
    <w:lvl w:ilvl="0" w:tplc="79DA0FC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B7873B1"/>
    <w:multiLevelType w:val="multilevel"/>
    <w:tmpl w:val="8CC259BE"/>
    <w:lvl w:ilvl="0">
      <w:start w:val="7"/>
      <w:numFmt w:val="decimal"/>
      <w:lvlText w:val="%1."/>
      <w:lvlJc w:val="left"/>
      <w:pPr>
        <w:tabs>
          <w:tab w:val="num" w:pos="1440"/>
        </w:tabs>
        <w:ind w:left="360" w:firstLine="720"/>
      </w:pPr>
      <w:rPr>
        <w:rFonts w:ascii="Times New Roman" w:hAnsi="Times New Roman" w:cs="Times New Roman" w:hint="default"/>
        <w:b w:val="0"/>
        <w:i w:val="0"/>
        <w:sz w:val="22"/>
        <w:szCs w:val="22"/>
      </w:rPr>
    </w:lvl>
    <w:lvl w:ilvl="1">
      <w:start w:val="8"/>
      <w:numFmt w:val="decimal"/>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4"/>
  </w:num>
  <w:num w:numId="2">
    <w:abstractNumId w:val="34"/>
  </w:num>
  <w:num w:numId="3">
    <w:abstractNumId w:val="18"/>
  </w:num>
  <w:num w:numId="4">
    <w:abstractNumId w:val="30"/>
  </w:num>
  <w:num w:numId="5">
    <w:abstractNumId w:val="23"/>
  </w:num>
  <w:num w:numId="6">
    <w:abstractNumId w:val="28"/>
  </w:num>
  <w:num w:numId="7">
    <w:abstractNumId w:val="3"/>
  </w:num>
  <w:num w:numId="8">
    <w:abstractNumId w:val="25"/>
  </w:num>
  <w:num w:numId="9">
    <w:abstractNumId w:val="11"/>
  </w:num>
  <w:num w:numId="10">
    <w:abstractNumId w:val="19"/>
  </w:num>
  <w:num w:numId="11">
    <w:abstractNumId w:val="7"/>
  </w:num>
  <w:num w:numId="12">
    <w:abstractNumId w:val="20"/>
  </w:num>
  <w:num w:numId="13">
    <w:abstractNumId w:val="26"/>
  </w:num>
  <w:num w:numId="14">
    <w:abstractNumId w:val="33"/>
  </w:num>
  <w:num w:numId="15">
    <w:abstractNumId w:val="40"/>
  </w:num>
  <w:num w:numId="16">
    <w:abstractNumId w:val="1"/>
  </w:num>
  <w:num w:numId="17">
    <w:abstractNumId w:val="27"/>
  </w:num>
  <w:num w:numId="18">
    <w:abstractNumId w:val="0"/>
  </w:num>
  <w:num w:numId="19">
    <w:abstractNumId w:val="38"/>
  </w:num>
  <w:num w:numId="20">
    <w:abstractNumId w:val="5"/>
  </w:num>
  <w:num w:numId="21">
    <w:abstractNumId w:val="36"/>
  </w:num>
  <w:num w:numId="22">
    <w:abstractNumId w:val="19"/>
    <w:lvlOverride w:ilvl="0">
      <w:startOverride w:val="1"/>
    </w:lvlOverride>
  </w:num>
  <w:num w:numId="23">
    <w:abstractNumId w:val="21"/>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9"/>
  </w:num>
  <w:num w:numId="27">
    <w:abstractNumId w:val="35"/>
  </w:num>
  <w:num w:numId="28">
    <w:abstractNumId w:val="22"/>
  </w:num>
  <w:num w:numId="29">
    <w:abstractNumId w:val="15"/>
  </w:num>
  <w:num w:numId="30">
    <w:abstractNumId w:val="41"/>
  </w:num>
  <w:num w:numId="31">
    <w:abstractNumId w:val="1"/>
    <w:lvlOverride w:ilvl="0">
      <w:startOverride w:val="9"/>
    </w:lvlOverride>
  </w:num>
  <w:num w:numId="32">
    <w:abstractNumId w:val="37"/>
  </w:num>
  <w:num w:numId="33">
    <w:abstractNumId w:val="4"/>
  </w:num>
  <w:num w:numId="34">
    <w:abstractNumId w:val="17"/>
  </w:num>
  <w:num w:numId="35">
    <w:abstractNumId w:val="31"/>
  </w:num>
  <w:num w:numId="36">
    <w:abstractNumId w:val="10"/>
  </w:num>
  <w:num w:numId="37">
    <w:abstractNumId w:val="6"/>
  </w:num>
  <w:num w:numId="38">
    <w:abstractNumId w:val="39"/>
  </w:num>
  <w:num w:numId="39">
    <w:abstractNumId w:val="32"/>
  </w:num>
  <w:num w:numId="40">
    <w:abstractNumId w:val="24"/>
  </w:num>
  <w:num w:numId="41">
    <w:abstractNumId w:val="12"/>
  </w:num>
  <w:num w:numId="42">
    <w:abstractNumId w:val="2"/>
  </w:num>
  <w:num w:numId="43">
    <w:abstractNumId w:val="30"/>
    <w:lvlOverride w:ilvl="0">
      <w:startOverride w:val="17"/>
    </w:lvlOverride>
  </w:num>
  <w:num w:numId="44">
    <w:abstractNumId w:val="30"/>
    <w:lvlOverride w:ilvl="0">
      <w:startOverride w:val="17"/>
    </w:lvlOverride>
  </w:num>
  <w:num w:numId="45">
    <w:abstractNumId w:val="30"/>
  </w:num>
  <w:num w:numId="46">
    <w:abstractNumId w:val="30"/>
  </w:num>
  <w:num w:numId="47">
    <w:abstractNumId w:val="30"/>
  </w:num>
  <w:num w:numId="48">
    <w:abstractNumId w:val="30"/>
  </w:num>
  <w:num w:numId="49">
    <w:abstractNumId w:val="30"/>
  </w:num>
  <w:num w:numId="50">
    <w:abstractNumId w:val="30"/>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13"/>
  </w:num>
  <w:num w:numId="58">
    <w:abstractNumId w:val="9"/>
  </w:num>
  <w:num w:numId="59">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52"/>
    <w:rsid w:val="00000414"/>
    <w:rsid w:val="00001B37"/>
    <w:rsid w:val="00003D5B"/>
    <w:rsid w:val="00010863"/>
    <w:rsid w:val="0001139B"/>
    <w:rsid w:val="000120D0"/>
    <w:rsid w:val="00013983"/>
    <w:rsid w:val="00013E62"/>
    <w:rsid w:val="00015037"/>
    <w:rsid w:val="0001695B"/>
    <w:rsid w:val="000209F2"/>
    <w:rsid w:val="00024FB1"/>
    <w:rsid w:val="00025B48"/>
    <w:rsid w:val="00026581"/>
    <w:rsid w:val="0003020A"/>
    <w:rsid w:val="000325EB"/>
    <w:rsid w:val="0003427A"/>
    <w:rsid w:val="00034D69"/>
    <w:rsid w:val="00036EC0"/>
    <w:rsid w:val="00037B80"/>
    <w:rsid w:val="000401CB"/>
    <w:rsid w:val="00044710"/>
    <w:rsid w:val="00046706"/>
    <w:rsid w:val="00050538"/>
    <w:rsid w:val="000509EB"/>
    <w:rsid w:val="00050AB3"/>
    <w:rsid w:val="00056532"/>
    <w:rsid w:val="0005679C"/>
    <w:rsid w:val="000618D7"/>
    <w:rsid w:val="000630CF"/>
    <w:rsid w:val="00063787"/>
    <w:rsid w:val="00066090"/>
    <w:rsid w:val="000670E7"/>
    <w:rsid w:val="00067EFF"/>
    <w:rsid w:val="00071959"/>
    <w:rsid w:val="0007268F"/>
    <w:rsid w:val="00072691"/>
    <w:rsid w:val="000729E1"/>
    <w:rsid w:val="0007427A"/>
    <w:rsid w:val="0007540E"/>
    <w:rsid w:val="00076D63"/>
    <w:rsid w:val="00076F7D"/>
    <w:rsid w:val="00077E6B"/>
    <w:rsid w:val="00077ED7"/>
    <w:rsid w:val="00083D8E"/>
    <w:rsid w:val="000850AC"/>
    <w:rsid w:val="00085D7D"/>
    <w:rsid w:val="000918D0"/>
    <w:rsid w:val="00092AB9"/>
    <w:rsid w:val="000934F2"/>
    <w:rsid w:val="00093A20"/>
    <w:rsid w:val="00094006"/>
    <w:rsid w:val="00095130"/>
    <w:rsid w:val="000A043C"/>
    <w:rsid w:val="000A0677"/>
    <w:rsid w:val="000A25DE"/>
    <w:rsid w:val="000A528B"/>
    <w:rsid w:val="000A71D0"/>
    <w:rsid w:val="000B0E9A"/>
    <w:rsid w:val="000B4073"/>
    <w:rsid w:val="000B449C"/>
    <w:rsid w:val="000B45F4"/>
    <w:rsid w:val="000B534C"/>
    <w:rsid w:val="000B70D5"/>
    <w:rsid w:val="000C1468"/>
    <w:rsid w:val="000C559E"/>
    <w:rsid w:val="000C6AA1"/>
    <w:rsid w:val="000D025D"/>
    <w:rsid w:val="000D2184"/>
    <w:rsid w:val="000D222D"/>
    <w:rsid w:val="000D2C76"/>
    <w:rsid w:val="000D3484"/>
    <w:rsid w:val="000D374F"/>
    <w:rsid w:val="000D38A6"/>
    <w:rsid w:val="000D4BB3"/>
    <w:rsid w:val="000E1379"/>
    <w:rsid w:val="000E4707"/>
    <w:rsid w:val="000F073F"/>
    <w:rsid w:val="000F3633"/>
    <w:rsid w:val="000F3C51"/>
    <w:rsid w:val="000F406C"/>
    <w:rsid w:val="000F5A69"/>
    <w:rsid w:val="000F5B5F"/>
    <w:rsid w:val="000F7B91"/>
    <w:rsid w:val="00102159"/>
    <w:rsid w:val="00102419"/>
    <w:rsid w:val="0010335B"/>
    <w:rsid w:val="0010396C"/>
    <w:rsid w:val="00105082"/>
    <w:rsid w:val="00106348"/>
    <w:rsid w:val="00106B21"/>
    <w:rsid w:val="00111A79"/>
    <w:rsid w:val="00112141"/>
    <w:rsid w:val="00114C1A"/>
    <w:rsid w:val="001162EC"/>
    <w:rsid w:val="00116D82"/>
    <w:rsid w:val="00116E8D"/>
    <w:rsid w:val="00117442"/>
    <w:rsid w:val="001248D3"/>
    <w:rsid w:val="0012547B"/>
    <w:rsid w:val="00126E82"/>
    <w:rsid w:val="0013137C"/>
    <w:rsid w:val="00131385"/>
    <w:rsid w:val="00131662"/>
    <w:rsid w:val="0013228C"/>
    <w:rsid w:val="00133145"/>
    <w:rsid w:val="00134975"/>
    <w:rsid w:val="00137729"/>
    <w:rsid w:val="00137AF5"/>
    <w:rsid w:val="00141486"/>
    <w:rsid w:val="00144F39"/>
    <w:rsid w:val="00150C77"/>
    <w:rsid w:val="0015315A"/>
    <w:rsid w:val="0015415A"/>
    <w:rsid w:val="001542A4"/>
    <w:rsid w:val="0015641D"/>
    <w:rsid w:val="00157202"/>
    <w:rsid w:val="0015725A"/>
    <w:rsid w:val="00165857"/>
    <w:rsid w:val="00165D04"/>
    <w:rsid w:val="00167A6F"/>
    <w:rsid w:val="0017356F"/>
    <w:rsid w:val="00174B70"/>
    <w:rsid w:val="001761BF"/>
    <w:rsid w:val="00176D2B"/>
    <w:rsid w:val="00177281"/>
    <w:rsid w:val="001805CE"/>
    <w:rsid w:val="00181329"/>
    <w:rsid w:val="00181373"/>
    <w:rsid w:val="001837E7"/>
    <w:rsid w:val="00184FB5"/>
    <w:rsid w:val="00187A91"/>
    <w:rsid w:val="00190B5D"/>
    <w:rsid w:val="0019106E"/>
    <w:rsid w:val="00192E2A"/>
    <w:rsid w:val="00193A31"/>
    <w:rsid w:val="00193DC9"/>
    <w:rsid w:val="001951E2"/>
    <w:rsid w:val="00196158"/>
    <w:rsid w:val="0019654C"/>
    <w:rsid w:val="00197E62"/>
    <w:rsid w:val="001A55DB"/>
    <w:rsid w:val="001A5A6A"/>
    <w:rsid w:val="001A6421"/>
    <w:rsid w:val="001B14AA"/>
    <w:rsid w:val="001B14C3"/>
    <w:rsid w:val="001B2121"/>
    <w:rsid w:val="001B3766"/>
    <w:rsid w:val="001B3F19"/>
    <w:rsid w:val="001C0A6D"/>
    <w:rsid w:val="001C27AF"/>
    <w:rsid w:val="001C4D03"/>
    <w:rsid w:val="001D0BEA"/>
    <w:rsid w:val="001D0C26"/>
    <w:rsid w:val="001D0CA7"/>
    <w:rsid w:val="001D0EB1"/>
    <w:rsid w:val="001D21FC"/>
    <w:rsid w:val="001D2435"/>
    <w:rsid w:val="001D6D8B"/>
    <w:rsid w:val="001E0FCC"/>
    <w:rsid w:val="001E1F77"/>
    <w:rsid w:val="001E2882"/>
    <w:rsid w:val="001E32AE"/>
    <w:rsid w:val="001E44ED"/>
    <w:rsid w:val="001E44EF"/>
    <w:rsid w:val="001E58FE"/>
    <w:rsid w:val="001E5E05"/>
    <w:rsid w:val="001E73FE"/>
    <w:rsid w:val="001E793F"/>
    <w:rsid w:val="001E7ECF"/>
    <w:rsid w:val="001F0EBB"/>
    <w:rsid w:val="001F2C6D"/>
    <w:rsid w:val="001F4ACD"/>
    <w:rsid w:val="001F4F39"/>
    <w:rsid w:val="002012F1"/>
    <w:rsid w:val="002025C9"/>
    <w:rsid w:val="002047D5"/>
    <w:rsid w:val="00212AE2"/>
    <w:rsid w:val="00212B42"/>
    <w:rsid w:val="002155F9"/>
    <w:rsid w:val="002164BA"/>
    <w:rsid w:val="0022156A"/>
    <w:rsid w:val="00221D11"/>
    <w:rsid w:val="00225C90"/>
    <w:rsid w:val="00225CF8"/>
    <w:rsid w:val="002272FB"/>
    <w:rsid w:val="00230D10"/>
    <w:rsid w:val="0023200E"/>
    <w:rsid w:val="002343C6"/>
    <w:rsid w:val="00234F50"/>
    <w:rsid w:val="00236811"/>
    <w:rsid w:val="002369F3"/>
    <w:rsid w:val="00237E8F"/>
    <w:rsid w:val="002400B6"/>
    <w:rsid w:val="00244531"/>
    <w:rsid w:val="00244DDB"/>
    <w:rsid w:val="002451CE"/>
    <w:rsid w:val="002466FC"/>
    <w:rsid w:val="002500E1"/>
    <w:rsid w:val="002513A9"/>
    <w:rsid w:val="002520E5"/>
    <w:rsid w:val="002548CE"/>
    <w:rsid w:val="0025521A"/>
    <w:rsid w:val="00255A9B"/>
    <w:rsid w:val="00256AAA"/>
    <w:rsid w:val="00260EBB"/>
    <w:rsid w:val="00261623"/>
    <w:rsid w:val="00262B59"/>
    <w:rsid w:val="00262BC3"/>
    <w:rsid w:val="002633C5"/>
    <w:rsid w:val="0026480E"/>
    <w:rsid w:val="002654B5"/>
    <w:rsid w:val="00265B09"/>
    <w:rsid w:val="00275318"/>
    <w:rsid w:val="00276057"/>
    <w:rsid w:val="00276087"/>
    <w:rsid w:val="002764D6"/>
    <w:rsid w:val="002769F4"/>
    <w:rsid w:val="002774F9"/>
    <w:rsid w:val="00277DC2"/>
    <w:rsid w:val="00282AC1"/>
    <w:rsid w:val="00287490"/>
    <w:rsid w:val="00291744"/>
    <w:rsid w:val="00293D49"/>
    <w:rsid w:val="002945B5"/>
    <w:rsid w:val="00294AC7"/>
    <w:rsid w:val="00294CDC"/>
    <w:rsid w:val="0029565D"/>
    <w:rsid w:val="00295B63"/>
    <w:rsid w:val="00297475"/>
    <w:rsid w:val="002A0B19"/>
    <w:rsid w:val="002A186B"/>
    <w:rsid w:val="002A2A18"/>
    <w:rsid w:val="002A43B1"/>
    <w:rsid w:val="002A43F7"/>
    <w:rsid w:val="002A4904"/>
    <w:rsid w:val="002A4E18"/>
    <w:rsid w:val="002A4E39"/>
    <w:rsid w:val="002A695D"/>
    <w:rsid w:val="002A7BCE"/>
    <w:rsid w:val="002B18E0"/>
    <w:rsid w:val="002B2242"/>
    <w:rsid w:val="002B3F70"/>
    <w:rsid w:val="002B650F"/>
    <w:rsid w:val="002B6B4F"/>
    <w:rsid w:val="002C124D"/>
    <w:rsid w:val="002C1AB7"/>
    <w:rsid w:val="002C2AF8"/>
    <w:rsid w:val="002C445C"/>
    <w:rsid w:val="002C5F8B"/>
    <w:rsid w:val="002D09F1"/>
    <w:rsid w:val="002D403F"/>
    <w:rsid w:val="002D6240"/>
    <w:rsid w:val="002D6D7B"/>
    <w:rsid w:val="002D77AC"/>
    <w:rsid w:val="002E0D76"/>
    <w:rsid w:val="002E1756"/>
    <w:rsid w:val="002E6415"/>
    <w:rsid w:val="002E65EC"/>
    <w:rsid w:val="002F00A6"/>
    <w:rsid w:val="002F1B58"/>
    <w:rsid w:val="002F20CC"/>
    <w:rsid w:val="002F48D3"/>
    <w:rsid w:val="002F4F48"/>
    <w:rsid w:val="002F7337"/>
    <w:rsid w:val="00300416"/>
    <w:rsid w:val="003011B2"/>
    <w:rsid w:val="00302C36"/>
    <w:rsid w:val="00304D22"/>
    <w:rsid w:val="003055AF"/>
    <w:rsid w:val="003068ED"/>
    <w:rsid w:val="00314274"/>
    <w:rsid w:val="0031704F"/>
    <w:rsid w:val="00322B20"/>
    <w:rsid w:val="0032315B"/>
    <w:rsid w:val="003239D2"/>
    <w:rsid w:val="00323C84"/>
    <w:rsid w:val="00323DBD"/>
    <w:rsid w:val="00325FB7"/>
    <w:rsid w:val="00326DCA"/>
    <w:rsid w:val="00331F37"/>
    <w:rsid w:val="003353F9"/>
    <w:rsid w:val="00340274"/>
    <w:rsid w:val="0034206D"/>
    <w:rsid w:val="003436FD"/>
    <w:rsid w:val="00347699"/>
    <w:rsid w:val="00347AB9"/>
    <w:rsid w:val="003520A5"/>
    <w:rsid w:val="00352728"/>
    <w:rsid w:val="00352E2F"/>
    <w:rsid w:val="00353564"/>
    <w:rsid w:val="00355373"/>
    <w:rsid w:val="00356475"/>
    <w:rsid w:val="0036004A"/>
    <w:rsid w:val="003610EA"/>
    <w:rsid w:val="003629FC"/>
    <w:rsid w:val="00362AE4"/>
    <w:rsid w:val="00366166"/>
    <w:rsid w:val="003700FB"/>
    <w:rsid w:val="00370A12"/>
    <w:rsid w:val="00370A21"/>
    <w:rsid w:val="003716E9"/>
    <w:rsid w:val="00372057"/>
    <w:rsid w:val="00373335"/>
    <w:rsid w:val="00374354"/>
    <w:rsid w:val="00375F77"/>
    <w:rsid w:val="00376FCE"/>
    <w:rsid w:val="00377AD8"/>
    <w:rsid w:val="00377B03"/>
    <w:rsid w:val="00380C41"/>
    <w:rsid w:val="00386FA6"/>
    <w:rsid w:val="00387328"/>
    <w:rsid w:val="003902F3"/>
    <w:rsid w:val="003939F8"/>
    <w:rsid w:val="00396BA1"/>
    <w:rsid w:val="003970D7"/>
    <w:rsid w:val="00397FBD"/>
    <w:rsid w:val="003A41BB"/>
    <w:rsid w:val="003B2E34"/>
    <w:rsid w:val="003B390C"/>
    <w:rsid w:val="003B53CF"/>
    <w:rsid w:val="003B6708"/>
    <w:rsid w:val="003C7D08"/>
    <w:rsid w:val="003D19A8"/>
    <w:rsid w:val="003D1C2C"/>
    <w:rsid w:val="003D5725"/>
    <w:rsid w:val="003E1E1B"/>
    <w:rsid w:val="003E25E2"/>
    <w:rsid w:val="003E330F"/>
    <w:rsid w:val="003E57B5"/>
    <w:rsid w:val="003E6078"/>
    <w:rsid w:val="003F020C"/>
    <w:rsid w:val="003F0EAB"/>
    <w:rsid w:val="003F2520"/>
    <w:rsid w:val="003F25A9"/>
    <w:rsid w:val="003F3863"/>
    <w:rsid w:val="003F6506"/>
    <w:rsid w:val="003F6B52"/>
    <w:rsid w:val="003F77E7"/>
    <w:rsid w:val="00402595"/>
    <w:rsid w:val="00403D87"/>
    <w:rsid w:val="00405CAC"/>
    <w:rsid w:val="004114B5"/>
    <w:rsid w:val="004161D2"/>
    <w:rsid w:val="004175A9"/>
    <w:rsid w:val="00417C8F"/>
    <w:rsid w:val="004200FB"/>
    <w:rsid w:val="004223F3"/>
    <w:rsid w:val="00422C74"/>
    <w:rsid w:val="00423737"/>
    <w:rsid w:val="004238D4"/>
    <w:rsid w:val="0042543B"/>
    <w:rsid w:val="004277C5"/>
    <w:rsid w:val="00427A4C"/>
    <w:rsid w:val="00434F93"/>
    <w:rsid w:val="004352F5"/>
    <w:rsid w:val="004361D4"/>
    <w:rsid w:val="00436D03"/>
    <w:rsid w:val="00436F4A"/>
    <w:rsid w:val="004370EC"/>
    <w:rsid w:val="00440213"/>
    <w:rsid w:val="004409ED"/>
    <w:rsid w:val="00441117"/>
    <w:rsid w:val="004413BF"/>
    <w:rsid w:val="00447F0E"/>
    <w:rsid w:val="004507A1"/>
    <w:rsid w:val="004524F3"/>
    <w:rsid w:val="00453B63"/>
    <w:rsid w:val="004541FC"/>
    <w:rsid w:val="0045540D"/>
    <w:rsid w:val="00455612"/>
    <w:rsid w:val="00455847"/>
    <w:rsid w:val="0045660A"/>
    <w:rsid w:val="004567E2"/>
    <w:rsid w:val="0046111E"/>
    <w:rsid w:val="00462154"/>
    <w:rsid w:val="004623AB"/>
    <w:rsid w:val="004630A0"/>
    <w:rsid w:val="004640B1"/>
    <w:rsid w:val="00464989"/>
    <w:rsid w:val="00465515"/>
    <w:rsid w:val="004714C2"/>
    <w:rsid w:val="00471CBF"/>
    <w:rsid w:val="00472DB8"/>
    <w:rsid w:val="00473DB6"/>
    <w:rsid w:val="004745A0"/>
    <w:rsid w:val="00475612"/>
    <w:rsid w:val="004765AC"/>
    <w:rsid w:val="00482748"/>
    <w:rsid w:val="00482A7C"/>
    <w:rsid w:val="00486D3A"/>
    <w:rsid w:val="00486DAD"/>
    <w:rsid w:val="00486EF9"/>
    <w:rsid w:val="004879B3"/>
    <w:rsid w:val="00492568"/>
    <w:rsid w:val="004935B8"/>
    <w:rsid w:val="004940D7"/>
    <w:rsid w:val="00495025"/>
    <w:rsid w:val="00495A6E"/>
    <w:rsid w:val="0049618F"/>
    <w:rsid w:val="00497DBD"/>
    <w:rsid w:val="004A07A1"/>
    <w:rsid w:val="004A17CB"/>
    <w:rsid w:val="004A2B59"/>
    <w:rsid w:val="004A4122"/>
    <w:rsid w:val="004A55B1"/>
    <w:rsid w:val="004A59FA"/>
    <w:rsid w:val="004B3E45"/>
    <w:rsid w:val="004B5605"/>
    <w:rsid w:val="004C0DAF"/>
    <w:rsid w:val="004C4053"/>
    <w:rsid w:val="004C4F92"/>
    <w:rsid w:val="004C714A"/>
    <w:rsid w:val="004D12BE"/>
    <w:rsid w:val="004D3844"/>
    <w:rsid w:val="004D3FA2"/>
    <w:rsid w:val="004D73DA"/>
    <w:rsid w:val="004E0F83"/>
    <w:rsid w:val="004E37E6"/>
    <w:rsid w:val="004E3987"/>
    <w:rsid w:val="004E5223"/>
    <w:rsid w:val="004E6B97"/>
    <w:rsid w:val="004E6EDE"/>
    <w:rsid w:val="004F15A0"/>
    <w:rsid w:val="004F267B"/>
    <w:rsid w:val="004F77DF"/>
    <w:rsid w:val="00503759"/>
    <w:rsid w:val="0050569F"/>
    <w:rsid w:val="00506ED3"/>
    <w:rsid w:val="00510561"/>
    <w:rsid w:val="00511592"/>
    <w:rsid w:val="00511EA3"/>
    <w:rsid w:val="00512C92"/>
    <w:rsid w:val="00512D02"/>
    <w:rsid w:val="00512F4A"/>
    <w:rsid w:val="005146F4"/>
    <w:rsid w:val="0052058D"/>
    <w:rsid w:val="00520894"/>
    <w:rsid w:val="00520E8B"/>
    <w:rsid w:val="00524F16"/>
    <w:rsid w:val="00527069"/>
    <w:rsid w:val="005270A1"/>
    <w:rsid w:val="00531B62"/>
    <w:rsid w:val="00531FFE"/>
    <w:rsid w:val="00532801"/>
    <w:rsid w:val="0053495B"/>
    <w:rsid w:val="00535CBD"/>
    <w:rsid w:val="00536AB9"/>
    <w:rsid w:val="00536D17"/>
    <w:rsid w:val="00537071"/>
    <w:rsid w:val="00537CA2"/>
    <w:rsid w:val="00542628"/>
    <w:rsid w:val="005431AA"/>
    <w:rsid w:val="00544B48"/>
    <w:rsid w:val="0054599B"/>
    <w:rsid w:val="005473AD"/>
    <w:rsid w:val="005517D9"/>
    <w:rsid w:val="00553E2B"/>
    <w:rsid w:val="00562DFE"/>
    <w:rsid w:val="005633E1"/>
    <w:rsid w:val="00563D4F"/>
    <w:rsid w:val="005664DE"/>
    <w:rsid w:val="005706D9"/>
    <w:rsid w:val="00571A91"/>
    <w:rsid w:val="005725C7"/>
    <w:rsid w:val="00576728"/>
    <w:rsid w:val="005772FF"/>
    <w:rsid w:val="00581179"/>
    <w:rsid w:val="00582271"/>
    <w:rsid w:val="00584D26"/>
    <w:rsid w:val="005860AF"/>
    <w:rsid w:val="00586A2B"/>
    <w:rsid w:val="00587E0F"/>
    <w:rsid w:val="005910E1"/>
    <w:rsid w:val="005921D6"/>
    <w:rsid w:val="00594886"/>
    <w:rsid w:val="005A13CA"/>
    <w:rsid w:val="005A30E7"/>
    <w:rsid w:val="005A316D"/>
    <w:rsid w:val="005A427A"/>
    <w:rsid w:val="005A4B60"/>
    <w:rsid w:val="005B02E3"/>
    <w:rsid w:val="005B26F2"/>
    <w:rsid w:val="005B2849"/>
    <w:rsid w:val="005B322F"/>
    <w:rsid w:val="005B32C3"/>
    <w:rsid w:val="005B3C81"/>
    <w:rsid w:val="005B3CA8"/>
    <w:rsid w:val="005B4A5C"/>
    <w:rsid w:val="005B5DDF"/>
    <w:rsid w:val="005B5EC3"/>
    <w:rsid w:val="005B64FB"/>
    <w:rsid w:val="005B7A78"/>
    <w:rsid w:val="005C06FD"/>
    <w:rsid w:val="005C0905"/>
    <w:rsid w:val="005C0A53"/>
    <w:rsid w:val="005C38E1"/>
    <w:rsid w:val="005C3FBA"/>
    <w:rsid w:val="005C412C"/>
    <w:rsid w:val="005C50B0"/>
    <w:rsid w:val="005C605C"/>
    <w:rsid w:val="005C6651"/>
    <w:rsid w:val="005C6E6D"/>
    <w:rsid w:val="005C70D8"/>
    <w:rsid w:val="005C7194"/>
    <w:rsid w:val="005D2913"/>
    <w:rsid w:val="005D3BBF"/>
    <w:rsid w:val="005D4308"/>
    <w:rsid w:val="005D597B"/>
    <w:rsid w:val="005D5B74"/>
    <w:rsid w:val="005D65C3"/>
    <w:rsid w:val="005E1929"/>
    <w:rsid w:val="005E3CFA"/>
    <w:rsid w:val="005E5339"/>
    <w:rsid w:val="005E6222"/>
    <w:rsid w:val="005F2E1F"/>
    <w:rsid w:val="005F410B"/>
    <w:rsid w:val="005F5C87"/>
    <w:rsid w:val="005F5D41"/>
    <w:rsid w:val="00603187"/>
    <w:rsid w:val="00603BA0"/>
    <w:rsid w:val="00603C73"/>
    <w:rsid w:val="006056A9"/>
    <w:rsid w:val="0060638B"/>
    <w:rsid w:val="00612005"/>
    <w:rsid w:val="006127EA"/>
    <w:rsid w:val="00612CE3"/>
    <w:rsid w:val="00613DC8"/>
    <w:rsid w:val="0061408F"/>
    <w:rsid w:val="006150DE"/>
    <w:rsid w:val="00617676"/>
    <w:rsid w:val="0062036B"/>
    <w:rsid w:val="00620845"/>
    <w:rsid w:val="006228DF"/>
    <w:rsid w:val="0062453D"/>
    <w:rsid w:val="00625406"/>
    <w:rsid w:val="00625FC3"/>
    <w:rsid w:val="00630E74"/>
    <w:rsid w:val="00631FA4"/>
    <w:rsid w:val="0063511C"/>
    <w:rsid w:val="0063555D"/>
    <w:rsid w:val="00640C0C"/>
    <w:rsid w:val="00646B41"/>
    <w:rsid w:val="0065153A"/>
    <w:rsid w:val="00653537"/>
    <w:rsid w:val="006567E9"/>
    <w:rsid w:val="00657DE5"/>
    <w:rsid w:val="00662262"/>
    <w:rsid w:val="00665F81"/>
    <w:rsid w:val="00666965"/>
    <w:rsid w:val="00666FC7"/>
    <w:rsid w:val="00671A04"/>
    <w:rsid w:val="00672AA6"/>
    <w:rsid w:val="00673A9D"/>
    <w:rsid w:val="006766B8"/>
    <w:rsid w:val="00677453"/>
    <w:rsid w:val="00677707"/>
    <w:rsid w:val="00677E61"/>
    <w:rsid w:val="00681CDC"/>
    <w:rsid w:val="0068273C"/>
    <w:rsid w:val="00682B56"/>
    <w:rsid w:val="00686903"/>
    <w:rsid w:val="0068778F"/>
    <w:rsid w:val="006922EA"/>
    <w:rsid w:val="006969C8"/>
    <w:rsid w:val="00696F74"/>
    <w:rsid w:val="006A09FD"/>
    <w:rsid w:val="006A0E43"/>
    <w:rsid w:val="006A59AD"/>
    <w:rsid w:val="006A5FE9"/>
    <w:rsid w:val="006A6069"/>
    <w:rsid w:val="006B4363"/>
    <w:rsid w:val="006B5A07"/>
    <w:rsid w:val="006C0BEF"/>
    <w:rsid w:val="006C15E2"/>
    <w:rsid w:val="006C1E2C"/>
    <w:rsid w:val="006C3490"/>
    <w:rsid w:val="006C7020"/>
    <w:rsid w:val="006C74E9"/>
    <w:rsid w:val="006C79DC"/>
    <w:rsid w:val="006D1294"/>
    <w:rsid w:val="006D25BC"/>
    <w:rsid w:val="006D3895"/>
    <w:rsid w:val="006D556D"/>
    <w:rsid w:val="006D5906"/>
    <w:rsid w:val="006D6DAA"/>
    <w:rsid w:val="006D706C"/>
    <w:rsid w:val="006D7521"/>
    <w:rsid w:val="006D753B"/>
    <w:rsid w:val="006D7849"/>
    <w:rsid w:val="006D7AE4"/>
    <w:rsid w:val="006E1149"/>
    <w:rsid w:val="006E5720"/>
    <w:rsid w:val="006E585D"/>
    <w:rsid w:val="006E6059"/>
    <w:rsid w:val="006E715F"/>
    <w:rsid w:val="006F018C"/>
    <w:rsid w:val="006F0F0B"/>
    <w:rsid w:val="006F201B"/>
    <w:rsid w:val="006F29D7"/>
    <w:rsid w:val="006F546B"/>
    <w:rsid w:val="006F5542"/>
    <w:rsid w:val="006F70B4"/>
    <w:rsid w:val="007023ED"/>
    <w:rsid w:val="007073D0"/>
    <w:rsid w:val="00707FFB"/>
    <w:rsid w:val="00710B75"/>
    <w:rsid w:val="00711DF6"/>
    <w:rsid w:val="00712D68"/>
    <w:rsid w:val="00713FD0"/>
    <w:rsid w:val="00714F36"/>
    <w:rsid w:val="00715C7E"/>
    <w:rsid w:val="00720606"/>
    <w:rsid w:val="00721AD6"/>
    <w:rsid w:val="00721B54"/>
    <w:rsid w:val="00724138"/>
    <w:rsid w:val="00724497"/>
    <w:rsid w:val="007250BB"/>
    <w:rsid w:val="00730651"/>
    <w:rsid w:val="007313F4"/>
    <w:rsid w:val="007337E1"/>
    <w:rsid w:val="00734A8A"/>
    <w:rsid w:val="00734F32"/>
    <w:rsid w:val="007353EE"/>
    <w:rsid w:val="00735B6A"/>
    <w:rsid w:val="00736D3A"/>
    <w:rsid w:val="00737DB9"/>
    <w:rsid w:val="00740972"/>
    <w:rsid w:val="00741BCB"/>
    <w:rsid w:val="00741C7F"/>
    <w:rsid w:val="00743A11"/>
    <w:rsid w:val="007450ED"/>
    <w:rsid w:val="00745282"/>
    <w:rsid w:val="007457CE"/>
    <w:rsid w:val="00745CF2"/>
    <w:rsid w:val="007464EB"/>
    <w:rsid w:val="00746827"/>
    <w:rsid w:val="00752B5B"/>
    <w:rsid w:val="00753C9B"/>
    <w:rsid w:val="00755670"/>
    <w:rsid w:val="00755A4A"/>
    <w:rsid w:val="00761BC2"/>
    <w:rsid w:val="007633C7"/>
    <w:rsid w:val="00774AC9"/>
    <w:rsid w:val="00780411"/>
    <w:rsid w:val="007807BC"/>
    <w:rsid w:val="00780930"/>
    <w:rsid w:val="0078131C"/>
    <w:rsid w:val="0078239B"/>
    <w:rsid w:val="00782A3F"/>
    <w:rsid w:val="00782E26"/>
    <w:rsid w:val="00783A37"/>
    <w:rsid w:val="0078534E"/>
    <w:rsid w:val="00785648"/>
    <w:rsid w:val="00785D83"/>
    <w:rsid w:val="0078607B"/>
    <w:rsid w:val="007940EB"/>
    <w:rsid w:val="0079557E"/>
    <w:rsid w:val="00795C72"/>
    <w:rsid w:val="00797E5B"/>
    <w:rsid w:val="007A2526"/>
    <w:rsid w:val="007A27B7"/>
    <w:rsid w:val="007A3165"/>
    <w:rsid w:val="007A3337"/>
    <w:rsid w:val="007A60A0"/>
    <w:rsid w:val="007A7AC4"/>
    <w:rsid w:val="007B0498"/>
    <w:rsid w:val="007B0A36"/>
    <w:rsid w:val="007B0DEC"/>
    <w:rsid w:val="007B0E2B"/>
    <w:rsid w:val="007B2DC2"/>
    <w:rsid w:val="007B41C2"/>
    <w:rsid w:val="007B5B82"/>
    <w:rsid w:val="007B6D3B"/>
    <w:rsid w:val="007B7804"/>
    <w:rsid w:val="007C0456"/>
    <w:rsid w:val="007C40F9"/>
    <w:rsid w:val="007C44A6"/>
    <w:rsid w:val="007D0284"/>
    <w:rsid w:val="007D03FF"/>
    <w:rsid w:val="007D0865"/>
    <w:rsid w:val="007D0A14"/>
    <w:rsid w:val="007D13A2"/>
    <w:rsid w:val="007D1700"/>
    <w:rsid w:val="007D1768"/>
    <w:rsid w:val="007D1B18"/>
    <w:rsid w:val="007D2442"/>
    <w:rsid w:val="007D429C"/>
    <w:rsid w:val="007D4CEE"/>
    <w:rsid w:val="007D5793"/>
    <w:rsid w:val="007D62F6"/>
    <w:rsid w:val="007D6D8C"/>
    <w:rsid w:val="007E0037"/>
    <w:rsid w:val="007E59A5"/>
    <w:rsid w:val="007E62E8"/>
    <w:rsid w:val="007E7220"/>
    <w:rsid w:val="007F1C70"/>
    <w:rsid w:val="007F1D32"/>
    <w:rsid w:val="007F2555"/>
    <w:rsid w:val="007F3AFB"/>
    <w:rsid w:val="007F755D"/>
    <w:rsid w:val="007F78CF"/>
    <w:rsid w:val="008012E2"/>
    <w:rsid w:val="00802E15"/>
    <w:rsid w:val="00803742"/>
    <w:rsid w:val="00804223"/>
    <w:rsid w:val="0080758B"/>
    <w:rsid w:val="00811127"/>
    <w:rsid w:val="00812092"/>
    <w:rsid w:val="00820815"/>
    <w:rsid w:val="008223F0"/>
    <w:rsid w:val="00822A52"/>
    <w:rsid w:val="0082404A"/>
    <w:rsid w:val="00831371"/>
    <w:rsid w:val="00832996"/>
    <w:rsid w:val="00832B18"/>
    <w:rsid w:val="00833AF8"/>
    <w:rsid w:val="00833D52"/>
    <w:rsid w:val="00834215"/>
    <w:rsid w:val="0083429B"/>
    <w:rsid w:val="008349C7"/>
    <w:rsid w:val="008405E0"/>
    <w:rsid w:val="0084083B"/>
    <w:rsid w:val="00840910"/>
    <w:rsid w:val="00842045"/>
    <w:rsid w:val="00844DB4"/>
    <w:rsid w:val="008511E9"/>
    <w:rsid w:val="00855107"/>
    <w:rsid w:val="008571FB"/>
    <w:rsid w:val="00865E4A"/>
    <w:rsid w:val="00867DE7"/>
    <w:rsid w:val="00870931"/>
    <w:rsid w:val="008709DA"/>
    <w:rsid w:val="00871EA6"/>
    <w:rsid w:val="00872557"/>
    <w:rsid w:val="008726DF"/>
    <w:rsid w:val="00872DB9"/>
    <w:rsid w:val="008745B0"/>
    <w:rsid w:val="00875285"/>
    <w:rsid w:val="00876DA2"/>
    <w:rsid w:val="00880CBC"/>
    <w:rsid w:val="00881AA4"/>
    <w:rsid w:val="00884BDD"/>
    <w:rsid w:val="00890C01"/>
    <w:rsid w:val="00892292"/>
    <w:rsid w:val="00892A4B"/>
    <w:rsid w:val="00895E24"/>
    <w:rsid w:val="0089739B"/>
    <w:rsid w:val="008A05AB"/>
    <w:rsid w:val="008A07F3"/>
    <w:rsid w:val="008A1CD7"/>
    <w:rsid w:val="008A2D46"/>
    <w:rsid w:val="008A7825"/>
    <w:rsid w:val="008A7C56"/>
    <w:rsid w:val="008B0E38"/>
    <w:rsid w:val="008B3565"/>
    <w:rsid w:val="008B4873"/>
    <w:rsid w:val="008B4BF4"/>
    <w:rsid w:val="008B5CB8"/>
    <w:rsid w:val="008B633E"/>
    <w:rsid w:val="008B7F50"/>
    <w:rsid w:val="008C0AD6"/>
    <w:rsid w:val="008C2B0D"/>
    <w:rsid w:val="008C2C7F"/>
    <w:rsid w:val="008D2548"/>
    <w:rsid w:val="008D2760"/>
    <w:rsid w:val="008D4BDD"/>
    <w:rsid w:val="008D4F71"/>
    <w:rsid w:val="008D513B"/>
    <w:rsid w:val="008D5209"/>
    <w:rsid w:val="008E085C"/>
    <w:rsid w:val="008E0BC8"/>
    <w:rsid w:val="008E2F2B"/>
    <w:rsid w:val="008E6761"/>
    <w:rsid w:val="008F391E"/>
    <w:rsid w:val="0090277C"/>
    <w:rsid w:val="00903BD3"/>
    <w:rsid w:val="00903D10"/>
    <w:rsid w:val="00903D44"/>
    <w:rsid w:val="009043D9"/>
    <w:rsid w:val="00904A1C"/>
    <w:rsid w:val="00904A87"/>
    <w:rsid w:val="00904B99"/>
    <w:rsid w:val="009050AD"/>
    <w:rsid w:val="009058DE"/>
    <w:rsid w:val="009064E2"/>
    <w:rsid w:val="00907F86"/>
    <w:rsid w:val="00914013"/>
    <w:rsid w:val="00914F14"/>
    <w:rsid w:val="00915035"/>
    <w:rsid w:val="00920C66"/>
    <w:rsid w:val="00920F16"/>
    <w:rsid w:val="00922629"/>
    <w:rsid w:val="00923624"/>
    <w:rsid w:val="00924457"/>
    <w:rsid w:val="00924DCC"/>
    <w:rsid w:val="00925135"/>
    <w:rsid w:val="00925727"/>
    <w:rsid w:val="00927D9E"/>
    <w:rsid w:val="00930B45"/>
    <w:rsid w:val="00931560"/>
    <w:rsid w:val="00932109"/>
    <w:rsid w:val="009332F3"/>
    <w:rsid w:val="009349F2"/>
    <w:rsid w:val="00934ADF"/>
    <w:rsid w:val="00936784"/>
    <w:rsid w:val="009372FA"/>
    <w:rsid w:val="009443E2"/>
    <w:rsid w:val="00944947"/>
    <w:rsid w:val="00945FD6"/>
    <w:rsid w:val="00955963"/>
    <w:rsid w:val="009571CD"/>
    <w:rsid w:val="009605F8"/>
    <w:rsid w:val="00961190"/>
    <w:rsid w:val="00961FAF"/>
    <w:rsid w:val="00963D94"/>
    <w:rsid w:val="00965981"/>
    <w:rsid w:val="009659A1"/>
    <w:rsid w:val="00966A09"/>
    <w:rsid w:val="00972192"/>
    <w:rsid w:val="00974C3C"/>
    <w:rsid w:val="00975081"/>
    <w:rsid w:val="00975145"/>
    <w:rsid w:val="00977B3C"/>
    <w:rsid w:val="00981C04"/>
    <w:rsid w:val="00981F78"/>
    <w:rsid w:val="0098241B"/>
    <w:rsid w:val="00982CAB"/>
    <w:rsid w:val="009853E9"/>
    <w:rsid w:val="00986440"/>
    <w:rsid w:val="009908F4"/>
    <w:rsid w:val="00992316"/>
    <w:rsid w:val="0099266D"/>
    <w:rsid w:val="00992EF4"/>
    <w:rsid w:val="00993992"/>
    <w:rsid w:val="00994C5A"/>
    <w:rsid w:val="009959FF"/>
    <w:rsid w:val="00995CA4"/>
    <w:rsid w:val="009965FE"/>
    <w:rsid w:val="009978FE"/>
    <w:rsid w:val="00997B1F"/>
    <w:rsid w:val="009A10D6"/>
    <w:rsid w:val="009A239B"/>
    <w:rsid w:val="009A2AA7"/>
    <w:rsid w:val="009A2B39"/>
    <w:rsid w:val="009A3542"/>
    <w:rsid w:val="009A378D"/>
    <w:rsid w:val="009A42E1"/>
    <w:rsid w:val="009A542E"/>
    <w:rsid w:val="009B23EC"/>
    <w:rsid w:val="009B3683"/>
    <w:rsid w:val="009B3BBB"/>
    <w:rsid w:val="009B3CFF"/>
    <w:rsid w:val="009C3751"/>
    <w:rsid w:val="009C3A8B"/>
    <w:rsid w:val="009C4669"/>
    <w:rsid w:val="009C7C66"/>
    <w:rsid w:val="009D01A1"/>
    <w:rsid w:val="009D1A6A"/>
    <w:rsid w:val="009D210D"/>
    <w:rsid w:val="009E0826"/>
    <w:rsid w:val="009E41AC"/>
    <w:rsid w:val="009E42F5"/>
    <w:rsid w:val="009E78DF"/>
    <w:rsid w:val="009F0325"/>
    <w:rsid w:val="009F086A"/>
    <w:rsid w:val="009F474B"/>
    <w:rsid w:val="009F5876"/>
    <w:rsid w:val="00A05825"/>
    <w:rsid w:val="00A0754A"/>
    <w:rsid w:val="00A107BC"/>
    <w:rsid w:val="00A10AE6"/>
    <w:rsid w:val="00A12669"/>
    <w:rsid w:val="00A1494C"/>
    <w:rsid w:val="00A16AE4"/>
    <w:rsid w:val="00A23A46"/>
    <w:rsid w:val="00A279F4"/>
    <w:rsid w:val="00A305F6"/>
    <w:rsid w:val="00A3223F"/>
    <w:rsid w:val="00A33D3F"/>
    <w:rsid w:val="00A34C9A"/>
    <w:rsid w:val="00A356BE"/>
    <w:rsid w:val="00A35910"/>
    <w:rsid w:val="00A37D33"/>
    <w:rsid w:val="00A418CB"/>
    <w:rsid w:val="00A425D8"/>
    <w:rsid w:val="00A436DC"/>
    <w:rsid w:val="00A45730"/>
    <w:rsid w:val="00A47139"/>
    <w:rsid w:val="00A47782"/>
    <w:rsid w:val="00A47EF9"/>
    <w:rsid w:val="00A505C4"/>
    <w:rsid w:val="00A505CD"/>
    <w:rsid w:val="00A511E0"/>
    <w:rsid w:val="00A57183"/>
    <w:rsid w:val="00A60277"/>
    <w:rsid w:val="00A6207A"/>
    <w:rsid w:val="00A64C92"/>
    <w:rsid w:val="00A65899"/>
    <w:rsid w:val="00A65D03"/>
    <w:rsid w:val="00A67249"/>
    <w:rsid w:val="00A7143A"/>
    <w:rsid w:val="00A7441B"/>
    <w:rsid w:val="00A753A9"/>
    <w:rsid w:val="00A767EA"/>
    <w:rsid w:val="00A76C7A"/>
    <w:rsid w:val="00A82322"/>
    <w:rsid w:val="00A8290F"/>
    <w:rsid w:val="00A83727"/>
    <w:rsid w:val="00A843FC"/>
    <w:rsid w:val="00A85967"/>
    <w:rsid w:val="00A85D93"/>
    <w:rsid w:val="00A87D50"/>
    <w:rsid w:val="00A925AB"/>
    <w:rsid w:val="00A959CF"/>
    <w:rsid w:val="00A95DB5"/>
    <w:rsid w:val="00A96241"/>
    <w:rsid w:val="00AA16E4"/>
    <w:rsid w:val="00AA2158"/>
    <w:rsid w:val="00AA2C51"/>
    <w:rsid w:val="00AA527F"/>
    <w:rsid w:val="00AA7528"/>
    <w:rsid w:val="00AB17DD"/>
    <w:rsid w:val="00AB7E22"/>
    <w:rsid w:val="00AC1FCF"/>
    <w:rsid w:val="00AC2420"/>
    <w:rsid w:val="00AC28C5"/>
    <w:rsid w:val="00AC59A7"/>
    <w:rsid w:val="00AD1B91"/>
    <w:rsid w:val="00AD3D57"/>
    <w:rsid w:val="00AD422A"/>
    <w:rsid w:val="00AD43D2"/>
    <w:rsid w:val="00AD4705"/>
    <w:rsid w:val="00AD5832"/>
    <w:rsid w:val="00AD72D3"/>
    <w:rsid w:val="00AD7BB4"/>
    <w:rsid w:val="00AE016B"/>
    <w:rsid w:val="00AE090D"/>
    <w:rsid w:val="00AE23DC"/>
    <w:rsid w:val="00AE65A0"/>
    <w:rsid w:val="00AE7709"/>
    <w:rsid w:val="00AF06F3"/>
    <w:rsid w:val="00AF18C7"/>
    <w:rsid w:val="00AF4F31"/>
    <w:rsid w:val="00AF5B9D"/>
    <w:rsid w:val="00AF5FDC"/>
    <w:rsid w:val="00B005E9"/>
    <w:rsid w:val="00B03398"/>
    <w:rsid w:val="00B067A8"/>
    <w:rsid w:val="00B10848"/>
    <w:rsid w:val="00B112F0"/>
    <w:rsid w:val="00B11EC1"/>
    <w:rsid w:val="00B12FF0"/>
    <w:rsid w:val="00B1437E"/>
    <w:rsid w:val="00B153EF"/>
    <w:rsid w:val="00B1616D"/>
    <w:rsid w:val="00B176A7"/>
    <w:rsid w:val="00B2042B"/>
    <w:rsid w:val="00B20A23"/>
    <w:rsid w:val="00B20B55"/>
    <w:rsid w:val="00B22C19"/>
    <w:rsid w:val="00B23D72"/>
    <w:rsid w:val="00B24597"/>
    <w:rsid w:val="00B27E01"/>
    <w:rsid w:val="00B30845"/>
    <w:rsid w:val="00B3257E"/>
    <w:rsid w:val="00B3341E"/>
    <w:rsid w:val="00B3475D"/>
    <w:rsid w:val="00B352C7"/>
    <w:rsid w:val="00B3590A"/>
    <w:rsid w:val="00B4049E"/>
    <w:rsid w:val="00B40F39"/>
    <w:rsid w:val="00B438C5"/>
    <w:rsid w:val="00B44C63"/>
    <w:rsid w:val="00B508D5"/>
    <w:rsid w:val="00B50E3E"/>
    <w:rsid w:val="00B5188B"/>
    <w:rsid w:val="00B54595"/>
    <w:rsid w:val="00B564F1"/>
    <w:rsid w:val="00B56F5C"/>
    <w:rsid w:val="00B608B9"/>
    <w:rsid w:val="00B63665"/>
    <w:rsid w:val="00B63B63"/>
    <w:rsid w:val="00B6433D"/>
    <w:rsid w:val="00B7211A"/>
    <w:rsid w:val="00B73A62"/>
    <w:rsid w:val="00B768ED"/>
    <w:rsid w:val="00B82F89"/>
    <w:rsid w:val="00B86DBA"/>
    <w:rsid w:val="00B87367"/>
    <w:rsid w:val="00B91E3D"/>
    <w:rsid w:val="00B92DA2"/>
    <w:rsid w:val="00B96DE4"/>
    <w:rsid w:val="00BA0EB2"/>
    <w:rsid w:val="00BA13FA"/>
    <w:rsid w:val="00BA33EC"/>
    <w:rsid w:val="00BA7EA6"/>
    <w:rsid w:val="00BB23B6"/>
    <w:rsid w:val="00BB3723"/>
    <w:rsid w:val="00BB37BD"/>
    <w:rsid w:val="00BB794B"/>
    <w:rsid w:val="00BC21A5"/>
    <w:rsid w:val="00BC2913"/>
    <w:rsid w:val="00BC4621"/>
    <w:rsid w:val="00BC5146"/>
    <w:rsid w:val="00BC60A0"/>
    <w:rsid w:val="00BC6127"/>
    <w:rsid w:val="00BC687E"/>
    <w:rsid w:val="00BD3F6E"/>
    <w:rsid w:val="00BD421C"/>
    <w:rsid w:val="00BD7C69"/>
    <w:rsid w:val="00BE1063"/>
    <w:rsid w:val="00BE22D8"/>
    <w:rsid w:val="00BE3BB6"/>
    <w:rsid w:val="00BE52D4"/>
    <w:rsid w:val="00BE5340"/>
    <w:rsid w:val="00BE617C"/>
    <w:rsid w:val="00BF10A7"/>
    <w:rsid w:val="00BF3C2A"/>
    <w:rsid w:val="00BF4FA9"/>
    <w:rsid w:val="00BF62C7"/>
    <w:rsid w:val="00BF6312"/>
    <w:rsid w:val="00BF6F6A"/>
    <w:rsid w:val="00BF7CFE"/>
    <w:rsid w:val="00C00895"/>
    <w:rsid w:val="00C01766"/>
    <w:rsid w:val="00C02427"/>
    <w:rsid w:val="00C10397"/>
    <w:rsid w:val="00C106AA"/>
    <w:rsid w:val="00C145D7"/>
    <w:rsid w:val="00C2010E"/>
    <w:rsid w:val="00C22A3B"/>
    <w:rsid w:val="00C239CC"/>
    <w:rsid w:val="00C24118"/>
    <w:rsid w:val="00C3317A"/>
    <w:rsid w:val="00C36843"/>
    <w:rsid w:val="00C36F40"/>
    <w:rsid w:val="00C3772F"/>
    <w:rsid w:val="00C41C09"/>
    <w:rsid w:val="00C469AA"/>
    <w:rsid w:val="00C549A4"/>
    <w:rsid w:val="00C55E91"/>
    <w:rsid w:val="00C560A0"/>
    <w:rsid w:val="00C571E2"/>
    <w:rsid w:val="00C60586"/>
    <w:rsid w:val="00C60F6C"/>
    <w:rsid w:val="00C617D6"/>
    <w:rsid w:val="00C63C62"/>
    <w:rsid w:val="00C656E1"/>
    <w:rsid w:val="00C656FD"/>
    <w:rsid w:val="00C65EB5"/>
    <w:rsid w:val="00C6674A"/>
    <w:rsid w:val="00C7022A"/>
    <w:rsid w:val="00C70D5D"/>
    <w:rsid w:val="00C727E6"/>
    <w:rsid w:val="00C73971"/>
    <w:rsid w:val="00C73976"/>
    <w:rsid w:val="00C75DF9"/>
    <w:rsid w:val="00C77ADE"/>
    <w:rsid w:val="00C812E5"/>
    <w:rsid w:val="00C832DC"/>
    <w:rsid w:val="00C836BB"/>
    <w:rsid w:val="00C84258"/>
    <w:rsid w:val="00C860F8"/>
    <w:rsid w:val="00C86A0C"/>
    <w:rsid w:val="00C87EE8"/>
    <w:rsid w:val="00C9123E"/>
    <w:rsid w:val="00C91967"/>
    <w:rsid w:val="00C95108"/>
    <w:rsid w:val="00C952B4"/>
    <w:rsid w:val="00C96AB4"/>
    <w:rsid w:val="00C96EBD"/>
    <w:rsid w:val="00C973DB"/>
    <w:rsid w:val="00CA2901"/>
    <w:rsid w:val="00CA2975"/>
    <w:rsid w:val="00CA3834"/>
    <w:rsid w:val="00CA3C2C"/>
    <w:rsid w:val="00CA4083"/>
    <w:rsid w:val="00CA5FAD"/>
    <w:rsid w:val="00CA61A3"/>
    <w:rsid w:val="00CA64FF"/>
    <w:rsid w:val="00CA6BAF"/>
    <w:rsid w:val="00CA7686"/>
    <w:rsid w:val="00CB1896"/>
    <w:rsid w:val="00CB2993"/>
    <w:rsid w:val="00CB4AF9"/>
    <w:rsid w:val="00CC05B9"/>
    <w:rsid w:val="00CC3A26"/>
    <w:rsid w:val="00CC426A"/>
    <w:rsid w:val="00CC65D7"/>
    <w:rsid w:val="00CC7D86"/>
    <w:rsid w:val="00CD1419"/>
    <w:rsid w:val="00CD34E1"/>
    <w:rsid w:val="00CD370B"/>
    <w:rsid w:val="00CD3DB3"/>
    <w:rsid w:val="00CD54F7"/>
    <w:rsid w:val="00CE03F6"/>
    <w:rsid w:val="00CE16BF"/>
    <w:rsid w:val="00CE187F"/>
    <w:rsid w:val="00CE2B8E"/>
    <w:rsid w:val="00CE3713"/>
    <w:rsid w:val="00CE4B88"/>
    <w:rsid w:val="00CE5E49"/>
    <w:rsid w:val="00CF54C5"/>
    <w:rsid w:val="00CF5D05"/>
    <w:rsid w:val="00D01631"/>
    <w:rsid w:val="00D0452E"/>
    <w:rsid w:val="00D04F1E"/>
    <w:rsid w:val="00D062E6"/>
    <w:rsid w:val="00D063FE"/>
    <w:rsid w:val="00D06DA8"/>
    <w:rsid w:val="00D11B3F"/>
    <w:rsid w:val="00D124F6"/>
    <w:rsid w:val="00D12D05"/>
    <w:rsid w:val="00D13A75"/>
    <w:rsid w:val="00D14DE9"/>
    <w:rsid w:val="00D159E9"/>
    <w:rsid w:val="00D1729E"/>
    <w:rsid w:val="00D2082D"/>
    <w:rsid w:val="00D2157E"/>
    <w:rsid w:val="00D22899"/>
    <w:rsid w:val="00D255F2"/>
    <w:rsid w:val="00D30341"/>
    <w:rsid w:val="00D308BB"/>
    <w:rsid w:val="00D31F5D"/>
    <w:rsid w:val="00D35F4B"/>
    <w:rsid w:val="00D364BD"/>
    <w:rsid w:val="00D37F7E"/>
    <w:rsid w:val="00D43B53"/>
    <w:rsid w:val="00D43CBA"/>
    <w:rsid w:val="00D44FE5"/>
    <w:rsid w:val="00D45B4B"/>
    <w:rsid w:val="00D4614E"/>
    <w:rsid w:val="00D46A3D"/>
    <w:rsid w:val="00D52526"/>
    <w:rsid w:val="00D5367C"/>
    <w:rsid w:val="00D54EB6"/>
    <w:rsid w:val="00D573DB"/>
    <w:rsid w:val="00D57802"/>
    <w:rsid w:val="00D60D94"/>
    <w:rsid w:val="00D63DD8"/>
    <w:rsid w:val="00D643E5"/>
    <w:rsid w:val="00D64C9B"/>
    <w:rsid w:val="00D67CFE"/>
    <w:rsid w:val="00D67DC0"/>
    <w:rsid w:val="00D71620"/>
    <w:rsid w:val="00D72584"/>
    <w:rsid w:val="00D72EC3"/>
    <w:rsid w:val="00D74C6E"/>
    <w:rsid w:val="00D750DC"/>
    <w:rsid w:val="00D755FB"/>
    <w:rsid w:val="00D7638C"/>
    <w:rsid w:val="00D763E8"/>
    <w:rsid w:val="00D779A7"/>
    <w:rsid w:val="00D77B75"/>
    <w:rsid w:val="00D83552"/>
    <w:rsid w:val="00D83670"/>
    <w:rsid w:val="00D83C4E"/>
    <w:rsid w:val="00D85434"/>
    <w:rsid w:val="00D85FB7"/>
    <w:rsid w:val="00D905F6"/>
    <w:rsid w:val="00D90954"/>
    <w:rsid w:val="00D90B5A"/>
    <w:rsid w:val="00D90F79"/>
    <w:rsid w:val="00D92291"/>
    <w:rsid w:val="00D92B87"/>
    <w:rsid w:val="00D9364F"/>
    <w:rsid w:val="00D93ED7"/>
    <w:rsid w:val="00D95588"/>
    <w:rsid w:val="00D95E4D"/>
    <w:rsid w:val="00D95FA3"/>
    <w:rsid w:val="00D96D15"/>
    <w:rsid w:val="00D971D8"/>
    <w:rsid w:val="00DA0C12"/>
    <w:rsid w:val="00DA4753"/>
    <w:rsid w:val="00DA6BA2"/>
    <w:rsid w:val="00DA6E24"/>
    <w:rsid w:val="00DA7C6D"/>
    <w:rsid w:val="00DB1868"/>
    <w:rsid w:val="00DB1D13"/>
    <w:rsid w:val="00DB2052"/>
    <w:rsid w:val="00DB3DC7"/>
    <w:rsid w:val="00DB4CB4"/>
    <w:rsid w:val="00DB7BAC"/>
    <w:rsid w:val="00DC114E"/>
    <w:rsid w:val="00DC2423"/>
    <w:rsid w:val="00DC38A1"/>
    <w:rsid w:val="00DC3DBC"/>
    <w:rsid w:val="00DD19F8"/>
    <w:rsid w:val="00DD2322"/>
    <w:rsid w:val="00DD3DCC"/>
    <w:rsid w:val="00DD4765"/>
    <w:rsid w:val="00DD5041"/>
    <w:rsid w:val="00DD792B"/>
    <w:rsid w:val="00DE0DB7"/>
    <w:rsid w:val="00DE37D1"/>
    <w:rsid w:val="00DE514A"/>
    <w:rsid w:val="00DF0A0A"/>
    <w:rsid w:val="00DF164F"/>
    <w:rsid w:val="00DF202E"/>
    <w:rsid w:val="00DF3F08"/>
    <w:rsid w:val="00DF4DC3"/>
    <w:rsid w:val="00DF68CD"/>
    <w:rsid w:val="00E00481"/>
    <w:rsid w:val="00E00CD7"/>
    <w:rsid w:val="00E00E61"/>
    <w:rsid w:val="00E019CD"/>
    <w:rsid w:val="00E03139"/>
    <w:rsid w:val="00E034EB"/>
    <w:rsid w:val="00E0662D"/>
    <w:rsid w:val="00E07D6B"/>
    <w:rsid w:val="00E10947"/>
    <w:rsid w:val="00E1156A"/>
    <w:rsid w:val="00E11681"/>
    <w:rsid w:val="00E12238"/>
    <w:rsid w:val="00E131A7"/>
    <w:rsid w:val="00E15947"/>
    <w:rsid w:val="00E159D5"/>
    <w:rsid w:val="00E17943"/>
    <w:rsid w:val="00E17991"/>
    <w:rsid w:val="00E24595"/>
    <w:rsid w:val="00E265AF"/>
    <w:rsid w:val="00E26649"/>
    <w:rsid w:val="00E3078D"/>
    <w:rsid w:val="00E3269D"/>
    <w:rsid w:val="00E35A98"/>
    <w:rsid w:val="00E36948"/>
    <w:rsid w:val="00E37F1A"/>
    <w:rsid w:val="00E41493"/>
    <w:rsid w:val="00E41F73"/>
    <w:rsid w:val="00E42A6A"/>
    <w:rsid w:val="00E42F00"/>
    <w:rsid w:val="00E43975"/>
    <w:rsid w:val="00E44B9F"/>
    <w:rsid w:val="00E450AF"/>
    <w:rsid w:val="00E5695F"/>
    <w:rsid w:val="00E57279"/>
    <w:rsid w:val="00E6057B"/>
    <w:rsid w:val="00E62A51"/>
    <w:rsid w:val="00E64AB9"/>
    <w:rsid w:val="00E65DAD"/>
    <w:rsid w:val="00E66687"/>
    <w:rsid w:val="00E70052"/>
    <w:rsid w:val="00E70E2B"/>
    <w:rsid w:val="00E711E8"/>
    <w:rsid w:val="00E7186E"/>
    <w:rsid w:val="00E7276F"/>
    <w:rsid w:val="00E7519D"/>
    <w:rsid w:val="00E77749"/>
    <w:rsid w:val="00E808D1"/>
    <w:rsid w:val="00E81441"/>
    <w:rsid w:val="00E824BF"/>
    <w:rsid w:val="00E83B39"/>
    <w:rsid w:val="00E84120"/>
    <w:rsid w:val="00E843E0"/>
    <w:rsid w:val="00E84C72"/>
    <w:rsid w:val="00E85226"/>
    <w:rsid w:val="00E90073"/>
    <w:rsid w:val="00E92E23"/>
    <w:rsid w:val="00E92F80"/>
    <w:rsid w:val="00E9397A"/>
    <w:rsid w:val="00E97DBA"/>
    <w:rsid w:val="00EA0C21"/>
    <w:rsid w:val="00EA1295"/>
    <w:rsid w:val="00EA4016"/>
    <w:rsid w:val="00EA4E66"/>
    <w:rsid w:val="00EB1EAD"/>
    <w:rsid w:val="00EB60EA"/>
    <w:rsid w:val="00EB6700"/>
    <w:rsid w:val="00EB68B6"/>
    <w:rsid w:val="00EB7519"/>
    <w:rsid w:val="00EB79A0"/>
    <w:rsid w:val="00EC08F9"/>
    <w:rsid w:val="00EC0D20"/>
    <w:rsid w:val="00EC25E2"/>
    <w:rsid w:val="00EC2EFB"/>
    <w:rsid w:val="00EC3327"/>
    <w:rsid w:val="00EC3638"/>
    <w:rsid w:val="00EC4932"/>
    <w:rsid w:val="00EC55D8"/>
    <w:rsid w:val="00EC7E8D"/>
    <w:rsid w:val="00ED0BCC"/>
    <w:rsid w:val="00ED201A"/>
    <w:rsid w:val="00ED3498"/>
    <w:rsid w:val="00ED4FDF"/>
    <w:rsid w:val="00ED50F3"/>
    <w:rsid w:val="00ED5F53"/>
    <w:rsid w:val="00ED6690"/>
    <w:rsid w:val="00ED6F36"/>
    <w:rsid w:val="00EE0791"/>
    <w:rsid w:val="00EE3AD3"/>
    <w:rsid w:val="00EE4FA2"/>
    <w:rsid w:val="00EF0CDA"/>
    <w:rsid w:val="00EF3B4E"/>
    <w:rsid w:val="00EF65E9"/>
    <w:rsid w:val="00EF677F"/>
    <w:rsid w:val="00EF7CC8"/>
    <w:rsid w:val="00F006E1"/>
    <w:rsid w:val="00F0226B"/>
    <w:rsid w:val="00F0413A"/>
    <w:rsid w:val="00F06621"/>
    <w:rsid w:val="00F06B66"/>
    <w:rsid w:val="00F07255"/>
    <w:rsid w:val="00F074DF"/>
    <w:rsid w:val="00F079DD"/>
    <w:rsid w:val="00F102B9"/>
    <w:rsid w:val="00F10880"/>
    <w:rsid w:val="00F168B4"/>
    <w:rsid w:val="00F211C5"/>
    <w:rsid w:val="00F238B3"/>
    <w:rsid w:val="00F25A80"/>
    <w:rsid w:val="00F2608B"/>
    <w:rsid w:val="00F269A3"/>
    <w:rsid w:val="00F30BE6"/>
    <w:rsid w:val="00F31E35"/>
    <w:rsid w:val="00F32243"/>
    <w:rsid w:val="00F32363"/>
    <w:rsid w:val="00F33886"/>
    <w:rsid w:val="00F364F2"/>
    <w:rsid w:val="00F37450"/>
    <w:rsid w:val="00F40AD1"/>
    <w:rsid w:val="00F4195A"/>
    <w:rsid w:val="00F432D6"/>
    <w:rsid w:val="00F43FB7"/>
    <w:rsid w:val="00F44E4C"/>
    <w:rsid w:val="00F46FC0"/>
    <w:rsid w:val="00F47DF9"/>
    <w:rsid w:val="00F50270"/>
    <w:rsid w:val="00F51C2A"/>
    <w:rsid w:val="00F56631"/>
    <w:rsid w:val="00F6186A"/>
    <w:rsid w:val="00F63BFD"/>
    <w:rsid w:val="00F66717"/>
    <w:rsid w:val="00F67F28"/>
    <w:rsid w:val="00F733BC"/>
    <w:rsid w:val="00F73961"/>
    <w:rsid w:val="00F747D5"/>
    <w:rsid w:val="00F775F7"/>
    <w:rsid w:val="00F81B44"/>
    <w:rsid w:val="00F8267C"/>
    <w:rsid w:val="00F832A9"/>
    <w:rsid w:val="00F83877"/>
    <w:rsid w:val="00F8487A"/>
    <w:rsid w:val="00F85576"/>
    <w:rsid w:val="00F85946"/>
    <w:rsid w:val="00F86929"/>
    <w:rsid w:val="00F871CF"/>
    <w:rsid w:val="00F90112"/>
    <w:rsid w:val="00F91F1A"/>
    <w:rsid w:val="00F91FFD"/>
    <w:rsid w:val="00F94E48"/>
    <w:rsid w:val="00F9537F"/>
    <w:rsid w:val="00F96C2C"/>
    <w:rsid w:val="00FA2115"/>
    <w:rsid w:val="00FA225C"/>
    <w:rsid w:val="00FA4406"/>
    <w:rsid w:val="00FA6083"/>
    <w:rsid w:val="00FA6382"/>
    <w:rsid w:val="00FA6B8C"/>
    <w:rsid w:val="00FB1B34"/>
    <w:rsid w:val="00FB4519"/>
    <w:rsid w:val="00FB4D15"/>
    <w:rsid w:val="00FB53C1"/>
    <w:rsid w:val="00FC04D5"/>
    <w:rsid w:val="00FC27F0"/>
    <w:rsid w:val="00FC2FF5"/>
    <w:rsid w:val="00FC37C8"/>
    <w:rsid w:val="00FC4EF0"/>
    <w:rsid w:val="00FC5647"/>
    <w:rsid w:val="00FC7060"/>
    <w:rsid w:val="00FD0A04"/>
    <w:rsid w:val="00FD2216"/>
    <w:rsid w:val="00FD2836"/>
    <w:rsid w:val="00FD3AFD"/>
    <w:rsid w:val="00FD556F"/>
    <w:rsid w:val="00FD77F9"/>
    <w:rsid w:val="00FD7A9F"/>
    <w:rsid w:val="00FE0160"/>
    <w:rsid w:val="00FE103E"/>
    <w:rsid w:val="00FE12E1"/>
    <w:rsid w:val="00FE1E4A"/>
    <w:rsid w:val="00FE2526"/>
    <w:rsid w:val="00FE43AA"/>
    <w:rsid w:val="00FE64ED"/>
    <w:rsid w:val="00FE6B03"/>
    <w:rsid w:val="00FE73F9"/>
    <w:rsid w:val="00FF01AB"/>
    <w:rsid w:val="00FF0D0B"/>
    <w:rsid w:val="00FF1D91"/>
    <w:rsid w:val="00FF2AE8"/>
    <w:rsid w:val="00FF5F94"/>
    <w:rsid w:val="00FF69D9"/>
    <w:rsid w:val="00FF7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A3F"/>
    <w:pPr>
      <w:widowControl w:val="0"/>
    </w:pPr>
    <w:rPr>
      <w:snapToGrid w:val="0"/>
      <w:kern w:val="28"/>
      <w:sz w:val="22"/>
    </w:rPr>
  </w:style>
  <w:style w:type="paragraph" w:styleId="Heading1">
    <w:name w:val="heading 1"/>
    <w:basedOn w:val="Normal"/>
    <w:next w:val="ParaNum"/>
    <w:qFormat/>
    <w:rsid w:val="00782A3F"/>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82A3F"/>
    <w:pPr>
      <w:keepNext/>
      <w:numPr>
        <w:ilvl w:val="1"/>
        <w:numId w:val="1"/>
      </w:numPr>
      <w:spacing w:after="120"/>
      <w:outlineLvl w:val="1"/>
    </w:pPr>
    <w:rPr>
      <w:b/>
    </w:rPr>
  </w:style>
  <w:style w:type="paragraph" w:styleId="Heading3">
    <w:name w:val="heading 3"/>
    <w:basedOn w:val="Normal"/>
    <w:next w:val="ParaNum"/>
    <w:qFormat/>
    <w:rsid w:val="00782A3F"/>
    <w:pPr>
      <w:keepNext/>
      <w:numPr>
        <w:ilvl w:val="2"/>
        <w:numId w:val="1"/>
      </w:numPr>
      <w:tabs>
        <w:tab w:val="left" w:pos="2160"/>
      </w:tabs>
      <w:spacing w:after="120"/>
      <w:outlineLvl w:val="2"/>
    </w:pPr>
    <w:rPr>
      <w:b/>
    </w:rPr>
  </w:style>
  <w:style w:type="paragraph" w:styleId="Heading4">
    <w:name w:val="heading 4"/>
    <w:basedOn w:val="Normal"/>
    <w:next w:val="ParaNum"/>
    <w:qFormat/>
    <w:rsid w:val="00782A3F"/>
    <w:pPr>
      <w:keepNext/>
      <w:numPr>
        <w:ilvl w:val="3"/>
        <w:numId w:val="1"/>
      </w:numPr>
      <w:tabs>
        <w:tab w:val="left" w:pos="2880"/>
      </w:tabs>
      <w:spacing w:after="120"/>
      <w:outlineLvl w:val="3"/>
    </w:pPr>
    <w:rPr>
      <w:b/>
    </w:rPr>
  </w:style>
  <w:style w:type="paragraph" w:styleId="Heading5">
    <w:name w:val="heading 5"/>
    <w:basedOn w:val="Normal"/>
    <w:next w:val="ParaNum"/>
    <w:qFormat/>
    <w:rsid w:val="00782A3F"/>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782A3F"/>
    <w:pPr>
      <w:numPr>
        <w:ilvl w:val="5"/>
        <w:numId w:val="1"/>
      </w:numPr>
      <w:tabs>
        <w:tab w:val="left" w:pos="4320"/>
      </w:tabs>
      <w:spacing w:after="120"/>
      <w:outlineLvl w:val="5"/>
    </w:pPr>
    <w:rPr>
      <w:b/>
    </w:rPr>
  </w:style>
  <w:style w:type="paragraph" w:styleId="Heading7">
    <w:name w:val="heading 7"/>
    <w:basedOn w:val="Normal"/>
    <w:next w:val="ParaNum"/>
    <w:qFormat/>
    <w:rsid w:val="00782A3F"/>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782A3F"/>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782A3F"/>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82A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2A3F"/>
  </w:style>
  <w:style w:type="paragraph" w:customStyle="1" w:styleId="ParaNum">
    <w:name w:val="ParaNum"/>
    <w:basedOn w:val="Normal"/>
    <w:link w:val="ParaNumChar"/>
    <w:rsid w:val="00782A3F"/>
    <w:pPr>
      <w:numPr>
        <w:numId w:val="4"/>
      </w:numPr>
      <w:tabs>
        <w:tab w:val="clear" w:pos="1080"/>
        <w:tab w:val="num" w:pos="1440"/>
      </w:tabs>
      <w:spacing w:after="120"/>
    </w:pPr>
  </w:style>
  <w:style w:type="paragraph" w:styleId="EndnoteText">
    <w:name w:val="endnote text"/>
    <w:basedOn w:val="Normal"/>
    <w:semiHidden/>
    <w:rsid w:val="00782A3F"/>
    <w:rPr>
      <w:sz w:val="20"/>
    </w:rPr>
  </w:style>
  <w:style w:type="character" w:styleId="EndnoteReference">
    <w:name w:val="endnote reference"/>
    <w:semiHidden/>
    <w:rsid w:val="00782A3F"/>
    <w:rPr>
      <w:vertAlign w:val="superscript"/>
    </w:rPr>
  </w:style>
  <w:style w:type="paragraph" w:styleId="FootnoteText">
    <w:name w:val="footnote text"/>
    <w:aliases w:val="Footnote Text Char1,Footnote Text Char Char,rrfootnote Char Char,Footnote Text Char1 Char Char,Footnote Text Char Char Char Char,rrfootnote Char Char Char Char,rrfootnote Char1 Char Char,Footnote Text Char2 Char,Footnote Text Char2,f,fn,ft"/>
    <w:link w:val="FootnoteTextChar"/>
    <w:rsid w:val="00782A3F"/>
    <w:pPr>
      <w:spacing w:after="120"/>
    </w:pPr>
  </w:style>
  <w:style w:type="character" w:styleId="FootnoteReference">
    <w:name w:val="footnote reference"/>
    <w:aliases w:val="Style 12,(NECG) Footnote Reference,Appel note de bas de p,Style 124,Style 4,Style 13,o,fr,Style 3,Footnote Reference1"/>
    <w:rsid w:val="00782A3F"/>
    <w:rPr>
      <w:rFonts w:ascii="Times New Roman" w:hAnsi="Times New Roman"/>
      <w:dstrike w:val="0"/>
      <w:color w:val="auto"/>
      <w:sz w:val="20"/>
      <w:vertAlign w:val="superscript"/>
    </w:rPr>
  </w:style>
  <w:style w:type="paragraph" w:styleId="TOC1">
    <w:name w:val="toc 1"/>
    <w:basedOn w:val="Normal"/>
    <w:next w:val="Normal"/>
    <w:semiHidden/>
    <w:rsid w:val="00782A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82A3F"/>
    <w:pPr>
      <w:tabs>
        <w:tab w:val="left" w:pos="720"/>
        <w:tab w:val="right" w:leader="dot" w:pos="9360"/>
      </w:tabs>
      <w:suppressAutoHyphens/>
      <w:ind w:left="720" w:right="720" w:hanging="360"/>
    </w:pPr>
    <w:rPr>
      <w:noProof/>
    </w:rPr>
  </w:style>
  <w:style w:type="paragraph" w:styleId="TOC3">
    <w:name w:val="toc 3"/>
    <w:basedOn w:val="Normal"/>
    <w:next w:val="Normal"/>
    <w:semiHidden/>
    <w:rsid w:val="00782A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82A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82A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82A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82A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82A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82A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82A3F"/>
    <w:pPr>
      <w:tabs>
        <w:tab w:val="right" w:pos="9360"/>
      </w:tabs>
      <w:suppressAutoHyphens/>
    </w:pPr>
  </w:style>
  <w:style w:type="character" w:customStyle="1" w:styleId="EquationCaption">
    <w:name w:val="_Equation Caption"/>
    <w:rsid w:val="00782A3F"/>
  </w:style>
  <w:style w:type="paragraph" w:styleId="Header">
    <w:name w:val="header"/>
    <w:basedOn w:val="Normal"/>
    <w:autoRedefine/>
    <w:rsid w:val="00782A3F"/>
    <w:pPr>
      <w:tabs>
        <w:tab w:val="center" w:pos="4680"/>
        <w:tab w:val="right" w:pos="9360"/>
      </w:tabs>
    </w:pPr>
    <w:rPr>
      <w:b/>
    </w:rPr>
  </w:style>
  <w:style w:type="paragraph" w:styleId="Footer">
    <w:name w:val="footer"/>
    <w:basedOn w:val="Normal"/>
    <w:link w:val="FooterChar"/>
    <w:rsid w:val="00782A3F"/>
    <w:pPr>
      <w:tabs>
        <w:tab w:val="center" w:pos="4320"/>
        <w:tab w:val="right" w:pos="8640"/>
      </w:tabs>
    </w:pPr>
  </w:style>
  <w:style w:type="character" w:styleId="PageNumber">
    <w:name w:val="page number"/>
    <w:basedOn w:val="DefaultParagraphFont"/>
    <w:rsid w:val="00782A3F"/>
  </w:style>
  <w:style w:type="paragraph" w:styleId="BlockText">
    <w:name w:val="Block Text"/>
    <w:basedOn w:val="Normal"/>
    <w:rsid w:val="00782A3F"/>
    <w:pPr>
      <w:spacing w:after="240"/>
      <w:ind w:left="1440" w:right="1440"/>
    </w:pPr>
  </w:style>
  <w:style w:type="paragraph" w:customStyle="1" w:styleId="Paratitle">
    <w:name w:val="Para title"/>
    <w:basedOn w:val="Normal"/>
    <w:rsid w:val="00782A3F"/>
    <w:pPr>
      <w:tabs>
        <w:tab w:val="center" w:pos="9270"/>
      </w:tabs>
      <w:spacing w:after="240"/>
    </w:pPr>
    <w:rPr>
      <w:spacing w:val="-2"/>
    </w:rPr>
  </w:style>
  <w:style w:type="paragraph" w:customStyle="1" w:styleId="Bullet">
    <w:name w:val="Bullet"/>
    <w:basedOn w:val="Normal"/>
    <w:rsid w:val="00782A3F"/>
    <w:pPr>
      <w:tabs>
        <w:tab w:val="left" w:pos="2160"/>
      </w:tabs>
      <w:spacing w:after="220"/>
      <w:ind w:left="2160" w:hanging="720"/>
    </w:pPr>
  </w:style>
  <w:style w:type="paragraph" w:customStyle="1" w:styleId="TableFormat">
    <w:name w:val="TableFormat"/>
    <w:basedOn w:val="Bullet"/>
    <w:rsid w:val="00782A3F"/>
    <w:pPr>
      <w:tabs>
        <w:tab w:val="clear" w:pos="2160"/>
        <w:tab w:val="left" w:pos="5040"/>
      </w:tabs>
      <w:ind w:left="5040" w:hanging="3600"/>
    </w:pPr>
  </w:style>
  <w:style w:type="paragraph" w:customStyle="1" w:styleId="TOCTitle">
    <w:name w:val="TOC Title"/>
    <w:basedOn w:val="Normal"/>
    <w:rsid w:val="00782A3F"/>
    <w:pPr>
      <w:spacing w:before="240" w:after="240"/>
      <w:jc w:val="center"/>
    </w:pPr>
    <w:rPr>
      <w:rFonts w:ascii="Times New Roman Bold" w:hAnsi="Times New Roman Bold"/>
      <w:b/>
      <w:caps/>
      <w:spacing w:val="-2"/>
    </w:rPr>
  </w:style>
  <w:style w:type="paragraph" w:customStyle="1" w:styleId="Paranum0">
    <w:name w:val="Paranum"/>
    <w:rsid w:val="00D44FE5"/>
    <w:pPr>
      <w:numPr>
        <w:numId w:val="2"/>
      </w:numPr>
      <w:tabs>
        <w:tab w:val="left" w:pos="1440"/>
      </w:tabs>
      <w:spacing w:after="240"/>
      <w:ind w:left="0" w:firstLine="720"/>
      <w:jc w:val="both"/>
    </w:pPr>
    <w:rPr>
      <w:sz w:val="22"/>
    </w:rPr>
  </w:style>
  <w:style w:type="character" w:customStyle="1" w:styleId="Footnote">
    <w:name w:val="Footnote"/>
    <w:rsid w:val="00D44FE5"/>
    <w:rPr>
      <w:rFonts w:ascii="Times New Roman" w:hAnsi="Times New Roman"/>
      <w:sz w:val="20"/>
    </w:rPr>
  </w:style>
  <w:style w:type="paragraph" w:styleId="BalloonText">
    <w:name w:val="Balloon Text"/>
    <w:basedOn w:val="Normal"/>
    <w:semiHidden/>
    <w:rsid w:val="007A7AC4"/>
    <w:rPr>
      <w:rFonts w:ascii="Tahoma" w:hAnsi="Tahoma" w:cs="Tahoma"/>
      <w:sz w:val="16"/>
      <w:szCs w:val="16"/>
    </w:rPr>
  </w:style>
  <w:style w:type="character" w:customStyle="1" w:styleId="FootnoteTextChar">
    <w:name w:val="Footnote Text Char"/>
    <w:aliases w:val="Footnote Text Char1 Char,Footnote Text Char Char Char,rrfootnote Char Char Char,Footnote Text Char1 Char Char Char,Footnote Text Char Char Char Char Char,rrfootnote Char Char Char Char Char,rrfootnote Char1 Char Char Char,f Char"/>
    <w:link w:val="FootnoteText"/>
    <w:rsid w:val="00D44FE5"/>
  </w:style>
  <w:style w:type="character" w:styleId="Hyperlink">
    <w:name w:val="Hyperlink"/>
    <w:rsid w:val="00782A3F"/>
    <w:rPr>
      <w:color w:val="0000FF"/>
      <w:u w:val="single"/>
    </w:rPr>
  </w:style>
  <w:style w:type="character" w:customStyle="1" w:styleId="documentbody1">
    <w:name w:val="documentbody1"/>
    <w:rsid w:val="00D44FE5"/>
    <w:rPr>
      <w:rFonts w:ascii="Verdana" w:hAnsi="Verdana" w:hint="default"/>
      <w:sz w:val="19"/>
      <w:szCs w:val="19"/>
      <w:shd w:val="clear" w:color="auto" w:fill="FFFFFF"/>
    </w:rPr>
  </w:style>
  <w:style w:type="paragraph" w:styleId="DocumentMap">
    <w:name w:val="Document Map"/>
    <w:basedOn w:val="Normal"/>
    <w:semiHidden/>
    <w:rsid w:val="007A7AC4"/>
    <w:pPr>
      <w:shd w:val="clear" w:color="auto" w:fill="000080"/>
    </w:pPr>
    <w:rPr>
      <w:rFonts w:ascii="Tahoma" w:hAnsi="Tahoma" w:cs="Tahoma"/>
    </w:rPr>
  </w:style>
  <w:style w:type="character" w:customStyle="1" w:styleId="documentbody">
    <w:name w:val="documentbody"/>
    <w:basedOn w:val="DefaultParagraphFont"/>
    <w:rsid w:val="00D44FE5"/>
  </w:style>
  <w:style w:type="character" w:customStyle="1" w:styleId="searchterm">
    <w:name w:val="searchterm"/>
    <w:basedOn w:val="DefaultParagraphFont"/>
    <w:rsid w:val="00D44FE5"/>
  </w:style>
  <w:style w:type="character" w:customStyle="1" w:styleId="bestsection">
    <w:name w:val="bestsection"/>
    <w:basedOn w:val="DefaultParagraphFont"/>
    <w:rsid w:val="00D44FE5"/>
  </w:style>
  <w:style w:type="character" w:customStyle="1" w:styleId="FootnoteTextChar1CharCharCharChar">
    <w:name w:val="Footnote Text Char1 Char Char Char Char"/>
    <w:aliases w:val="rrfootnote Char1 Char Char Char Char,Footnote Text Char Char Char Char Char Char1,Footnote Text Char2 Char1 Char Char Char Char,Footnote Text Char Char2 Char Char Char Char Char Char"/>
    <w:rsid w:val="00D44FE5"/>
    <w:rPr>
      <w:b/>
      <w:spacing w:val="-2"/>
      <w:sz w:val="22"/>
      <w:lang w:val="en-US" w:eastAsia="en-US" w:bidi="ar-SA"/>
    </w:rPr>
  </w:style>
  <w:style w:type="character" w:customStyle="1" w:styleId="FootnoteTextChar2Char1">
    <w:name w:val="Footnote Text Char2 Char1"/>
    <w:aliases w:val="Footnote Text Char1 Char Char Char Char1,Footnote Text Char Char Char Char Char Char2,Footnote Text Char2 Char1 Char Char Char Char Char Char"/>
    <w:rsid w:val="00D44FE5"/>
    <w:rPr>
      <w:lang w:val="en-US" w:eastAsia="en-US" w:bidi="ar-SA"/>
    </w:rPr>
  </w:style>
  <w:style w:type="character" w:customStyle="1" w:styleId="bestsection1">
    <w:name w:val="bestsection1"/>
    <w:rsid w:val="00D44FE5"/>
    <w:rPr>
      <w:color w:val="FF0000"/>
    </w:rPr>
  </w:style>
  <w:style w:type="character" w:customStyle="1" w:styleId="searchterm1">
    <w:name w:val="searchterm1"/>
    <w:rsid w:val="00D44FE5"/>
    <w:rPr>
      <w:b/>
      <w:bCs/>
      <w:shd w:val="clear" w:color="auto" w:fill="FFFF00"/>
    </w:rPr>
  </w:style>
  <w:style w:type="paragraph" w:customStyle="1" w:styleId="SignatureCompany">
    <w:name w:val="Signature Company"/>
    <w:basedOn w:val="Signature"/>
    <w:rsid w:val="007A7AC4"/>
    <w:pPr>
      <w:widowControl/>
      <w:ind w:left="0"/>
    </w:pPr>
    <w:rPr>
      <w:snapToGrid/>
      <w:kern w:val="0"/>
      <w:sz w:val="24"/>
    </w:rPr>
  </w:style>
  <w:style w:type="paragraph" w:styleId="Signature">
    <w:name w:val="Signature"/>
    <w:basedOn w:val="Normal"/>
    <w:rsid w:val="007A7AC4"/>
    <w:pPr>
      <w:ind w:left="4320"/>
    </w:pPr>
  </w:style>
  <w:style w:type="paragraph" w:styleId="BodyTextIndent">
    <w:name w:val="Body Text Indent"/>
    <w:basedOn w:val="Normal"/>
    <w:rsid w:val="007A7AC4"/>
    <w:pPr>
      <w:widowControl/>
      <w:tabs>
        <w:tab w:val="left" w:pos="0"/>
      </w:tabs>
      <w:suppressAutoHyphens/>
      <w:ind w:left="3600"/>
    </w:pPr>
    <w:rPr>
      <w:snapToGrid/>
      <w:spacing w:val="-2"/>
      <w:kern w:val="0"/>
    </w:rPr>
  </w:style>
  <w:style w:type="paragraph" w:styleId="NormalWeb">
    <w:name w:val="Normal (Web)"/>
    <w:basedOn w:val="Normal"/>
    <w:rsid w:val="007A7AC4"/>
    <w:pPr>
      <w:widowControl/>
      <w:spacing w:before="100" w:beforeAutospacing="1" w:after="100" w:afterAutospacing="1"/>
    </w:pPr>
    <w:rPr>
      <w:snapToGrid/>
      <w:kern w:val="0"/>
      <w:sz w:val="24"/>
      <w:szCs w:val="24"/>
    </w:rPr>
  </w:style>
  <w:style w:type="character" w:customStyle="1" w:styleId="rrfootnoteChar">
    <w:name w:val="rrfootnote Char"/>
    <w:aliases w:val="Footnote Text Char1 Char1,Footnote Text Char Char Char1,Footnote Text Char1 Char Char Char1,rrfootnote Char Char Char Char1,Footnote Text Char2 Char Char Char Char1,Footnote Text Char Char1 Char Char Char Char1"/>
    <w:rsid w:val="00D44FE5"/>
    <w:rPr>
      <w:lang w:val="en-US" w:eastAsia="en-US" w:bidi="ar-SA"/>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Footnote Text Char2 Char2"/>
    <w:rsid w:val="00D44FE5"/>
    <w:rPr>
      <w:lang w:val="en-US" w:eastAsia="en-US" w:bidi="ar-SA"/>
    </w:rPr>
  </w:style>
  <w:style w:type="character" w:styleId="CommentReference">
    <w:name w:val="annotation reference"/>
    <w:semiHidden/>
    <w:rsid w:val="00D44FE5"/>
    <w:rPr>
      <w:sz w:val="16"/>
      <w:szCs w:val="16"/>
    </w:rPr>
  </w:style>
  <w:style w:type="paragraph" w:styleId="CommentText">
    <w:name w:val="annotation text"/>
    <w:basedOn w:val="Normal"/>
    <w:link w:val="CommentTextChar"/>
    <w:semiHidden/>
    <w:rsid w:val="007A7AC4"/>
    <w:rPr>
      <w:sz w:val="20"/>
    </w:rPr>
  </w:style>
  <w:style w:type="paragraph" w:styleId="CommentSubject">
    <w:name w:val="annotation subject"/>
    <w:basedOn w:val="CommentText"/>
    <w:next w:val="CommentText"/>
    <w:semiHidden/>
    <w:rsid w:val="007A7AC4"/>
    <w:rPr>
      <w:b/>
      <w:bCs/>
    </w:rPr>
  </w:style>
  <w:style w:type="paragraph" w:customStyle="1" w:styleId="FootnoteTextFCC">
    <w:name w:val="Footnote Text FCC"/>
    <w:basedOn w:val="Normal"/>
    <w:rsid w:val="007A7AC4"/>
    <w:pPr>
      <w:widowControl/>
      <w:spacing w:after="120"/>
    </w:pPr>
    <w:rPr>
      <w:snapToGrid/>
      <w:kern w:val="0"/>
      <w:sz w:val="20"/>
    </w:rPr>
  </w:style>
  <w:style w:type="character" w:customStyle="1" w:styleId="searchterm3">
    <w:name w:val="searchterm3"/>
    <w:rsid w:val="00D44FE5"/>
    <w:rPr>
      <w:b/>
      <w:bCs/>
      <w:shd w:val="clear" w:color="auto" w:fill="FFFF00"/>
    </w:rPr>
  </w:style>
  <w:style w:type="paragraph" w:customStyle="1" w:styleId="StyleParaNumCondensedby01pt">
    <w:name w:val="Style ParaNum + Condensed by  0.1 pt"/>
    <w:basedOn w:val="ParaNum"/>
    <w:link w:val="StyleParaNumCondensedby01ptChar"/>
    <w:autoRedefine/>
    <w:rsid w:val="007A7AC4"/>
    <w:rPr>
      <w:spacing w:val="-2"/>
    </w:rPr>
  </w:style>
  <w:style w:type="character" w:customStyle="1" w:styleId="ParaNumChar">
    <w:name w:val="ParaNum Char"/>
    <w:link w:val="ParaNum"/>
    <w:rsid w:val="00D44FE5"/>
    <w:rPr>
      <w:snapToGrid w:val="0"/>
      <w:kern w:val="28"/>
      <w:sz w:val="22"/>
    </w:rPr>
  </w:style>
  <w:style w:type="character" w:customStyle="1" w:styleId="StyleParaNumCondensedby01ptChar">
    <w:name w:val="Style ParaNum + Condensed by  0.1 pt Char"/>
    <w:link w:val="StyleParaNumCondensedby01pt"/>
    <w:rsid w:val="00D44FE5"/>
    <w:rPr>
      <w:snapToGrid w:val="0"/>
      <w:spacing w:val="-2"/>
      <w:kern w:val="28"/>
      <w:sz w:val="22"/>
    </w:rPr>
  </w:style>
  <w:style w:type="paragraph" w:customStyle="1" w:styleId="StyleParaNumBold">
    <w:name w:val="Style ParaNum + Bold"/>
    <w:basedOn w:val="ParaNum"/>
    <w:link w:val="StyleParaNumBoldChar"/>
    <w:autoRedefine/>
    <w:rsid w:val="007A7AC4"/>
    <w:rPr>
      <w:b/>
      <w:bCs/>
    </w:rPr>
  </w:style>
  <w:style w:type="character" w:customStyle="1" w:styleId="StyleParaNumBoldChar">
    <w:name w:val="Style ParaNum + Bold Char"/>
    <w:link w:val="StyleParaNumBold"/>
    <w:rsid w:val="00D44FE5"/>
    <w:rPr>
      <w:b/>
      <w:bCs/>
      <w:snapToGrid w:val="0"/>
      <w:kern w:val="28"/>
      <w:sz w:val="22"/>
    </w:rPr>
  </w:style>
  <w:style w:type="paragraph" w:customStyle="1" w:styleId="StyleParaNumLeft">
    <w:name w:val="Style ParaNum + Left"/>
    <w:basedOn w:val="ParaNum"/>
    <w:autoRedefine/>
    <w:rsid w:val="007A7AC4"/>
    <w:pPr>
      <w:numPr>
        <w:numId w:val="6"/>
      </w:numPr>
      <w:spacing w:before="100" w:beforeAutospacing="1" w:after="100" w:afterAutospacing="1"/>
      <w:ind w:left="0" w:firstLine="720"/>
    </w:pPr>
  </w:style>
  <w:style w:type="paragraph" w:customStyle="1" w:styleId="StyleParaNumAfter11pt">
    <w:name w:val="Style ParaNum + After:  11 pt"/>
    <w:basedOn w:val="Normal"/>
    <w:rsid w:val="007A7AC4"/>
    <w:pPr>
      <w:numPr>
        <w:numId w:val="3"/>
      </w:numPr>
    </w:pPr>
  </w:style>
  <w:style w:type="paragraph" w:styleId="HTMLPreformatted">
    <w:name w:val="HTML Preformatted"/>
    <w:basedOn w:val="Normal"/>
    <w:rsid w:val="007A7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emphb">
    <w:name w:val="emphb"/>
    <w:basedOn w:val="DefaultParagraphFont"/>
    <w:rsid w:val="00D44FE5"/>
  </w:style>
  <w:style w:type="character" w:customStyle="1" w:styleId="rrfootnoteChar1">
    <w:name w:val="rrfootnote Char1"/>
    <w:aliases w:val="Footnote Text Char2 Char Char1 Char Char,Footnote Text Char1 Char Char Char Char Char,Footnote Text Char2 Char Char"/>
    <w:rsid w:val="00D44FE5"/>
    <w:rPr>
      <w:snapToGrid w:val="0"/>
      <w:sz w:val="24"/>
      <w:lang w:val="en-US" w:eastAsia="en-US" w:bidi="ar-SA"/>
    </w:rPr>
  </w:style>
  <w:style w:type="character" w:customStyle="1" w:styleId="mw-headline">
    <w:name w:val="mw-headline"/>
    <w:basedOn w:val="DefaultParagraphFont"/>
    <w:rsid w:val="00D44FE5"/>
  </w:style>
  <w:style w:type="character" w:customStyle="1" w:styleId="displayhltext1">
    <w:name w:val="display_hl_text1"/>
    <w:rsid w:val="001D2435"/>
    <w:rPr>
      <w:shd w:val="clear" w:color="auto" w:fill="FFFF99"/>
    </w:rPr>
  </w:style>
  <w:style w:type="character" w:customStyle="1" w:styleId="emphi1">
    <w:name w:val="emphi1"/>
    <w:rsid w:val="001D2435"/>
    <w:rPr>
      <w:i/>
      <w:iCs/>
    </w:rPr>
  </w:style>
  <w:style w:type="character" w:customStyle="1" w:styleId="document-link1">
    <w:name w:val="document-link1"/>
    <w:rsid w:val="00975145"/>
    <w:rPr>
      <w:rFonts w:ascii="Verdana" w:hAnsi="Verdana" w:hint="default"/>
    </w:rPr>
  </w:style>
  <w:style w:type="character" w:customStyle="1" w:styleId="emphb1">
    <w:name w:val="emphb1"/>
    <w:rsid w:val="007D1B18"/>
    <w:rPr>
      <w:b/>
      <w:bCs/>
    </w:rPr>
  </w:style>
  <w:style w:type="character" w:customStyle="1" w:styleId="cosearchdetaillevel2">
    <w:name w:val="co_search_detaillevel_2"/>
    <w:basedOn w:val="DefaultParagraphFont"/>
    <w:rsid w:val="00234F50"/>
  </w:style>
  <w:style w:type="paragraph" w:styleId="ListParagraph">
    <w:name w:val="List Paragraph"/>
    <w:basedOn w:val="Normal"/>
    <w:uiPriority w:val="34"/>
    <w:qFormat/>
    <w:rsid w:val="007A7AC4"/>
    <w:pPr>
      <w:autoSpaceDE w:val="0"/>
      <w:autoSpaceDN w:val="0"/>
      <w:adjustRightInd w:val="0"/>
      <w:ind w:left="720"/>
    </w:pPr>
    <w:rPr>
      <w:snapToGrid/>
      <w:kern w:val="0"/>
      <w:sz w:val="20"/>
    </w:rPr>
  </w:style>
  <w:style w:type="paragraph" w:customStyle="1" w:styleId="FootnoteTextA">
    <w:name w:val="Footnote Text A"/>
    <w:rsid w:val="00BE1063"/>
    <w:rPr>
      <w:rFonts w:ascii="Helvetica" w:eastAsia="ヒラギノ角ゴ Pro W3" w:hAnsi="Helvetica"/>
      <w:color w:val="000000"/>
    </w:rPr>
  </w:style>
  <w:style w:type="paragraph" w:customStyle="1" w:styleId="StyleBoldCentered">
    <w:name w:val="Style Bold Centered"/>
    <w:basedOn w:val="Normal"/>
    <w:rsid w:val="00782A3F"/>
    <w:pPr>
      <w:jc w:val="center"/>
    </w:pPr>
    <w:rPr>
      <w:rFonts w:ascii="Times New Roman Bold" w:hAnsi="Times New Roman Bold"/>
      <w:b/>
      <w:bCs/>
      <w:caps/>
      <w:szCs w:val="22"/>
    </w:rPr>
  </w:style>
  <w:style w:type="character" w:customStyle="1" w:styleId="displayhltext">
    <w:name w:val="display_hl_text"/>
    <w:basedOn w:val="DefaultParagraphFont"/>
    <w:rsid w:val="008A1CD7"/>
  </w:style>
  <w:style w:type="character" w:customStyle="1" w:styleId="apple-converted-space">
    <w:name w:val="apple-converted-space"/>
    <w:basedOn w:val="DefaultParagraphFont"/>
    <w:rsid w:val="008A1CD7"/>
  </w:style>
  <w:style w:type="character" w:styleId="Emphasis">
    <w:name w:val="Emphasis"/>
    <w:basedOn w:val="DefaultParagraphFont"/>
    <w:uiPriority w:val="20"/>
    <w:qFormat/>
    <w:rsid w:val="008A1CD7"/>
    <w:rPr>
      <w:i/>
      <w:iCs/>
    </w:rPr>
  </w:style>
  <w:style w:type="paragraph" w:styleId="Revision">
    <w:name w:val="Revision"/>
    <w:hidden/>
    <w:uiPriority w:val="99"/>
    <w:semiHidden/>
    <w:rsid w:val="0078131C"/>
    <w:rPr>
      <w:snapToGrid w:val="0"/>
      <w:kern w:val="28"/>
      <w:sz w:val="22"/>
    </w:rPr>
  </w:style>
  <w:style w:type="character" w:customStyle="1" w:styleId="CommentTextChar">
    <w:name w:val="Comment Text Char"/>
    <w:basedOn w:val="DefaultParagraphFont"/>
    <w:link w:val="CommentText"/>
    <w:semiHidden/>
    <w:rsid w:val="00AC1FCF"/>
    <w:rPr>
      <w:snapToGrid w:val="0"/>
      <w:kern w:val="28"/>
    </w:rPr>
  </w:style>
  <w:style w:type="character" w:customStyle="1" w:styleId="FooterChar">
    <w:name w:val="Footer Char"/>
    <w:basedOn w:val="DefaultParagraphFont"/>
    <w:link w:val="Footer"/>
    <w:rsid w:val="005910E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A3F"/>
    <w:pPr>
      <w:widowControl w:val="0"/>
    </w:pPr>
    <w:rPr>
      <w:snapToGrid w:val="0"/>
      <w:kern w:val="28"/>
      <w:sz w:val="22"/>
    </w:rPr>
  </w:style>
  <w:style w:type="paragraph" w:styleId="Heading1">
    <w:name w:val="heading 1"/>
    <w:basedOn w:val="Normal"/>
    <w:next w:val="ParaNum"/>
    <w:qFormat/>
    <w:rsid w:val="00782A3F"/>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82A3F"/>
    <w:pPr>
      <w:keepNext/>
      <w:numPr>
        <w:ilvl w:val="1"/>
        <w:numId w:val="1"/>
      </w:numPr>
      <w:spacing w:after="120"/>
      <w:outlineLvl w:val="1"/>
    </w:pPr>
    <w:rPr>
      <w:b/>
    </w:rPr>
  </w:style>
  <w:style w:type="paragraph" w:styleId="Heading3">
    <w:name w:val="heading 3"/>
    <w:basedOn w:val="Normal"/>
    <w:next w:val="ParaNum"/>
    <w:qFormat/>
    <w:rsid w:val="00782A3F"/>
    <w:pPr>
      <w:keepNext/>
      <w:numPr>
        <w:ilvl w:val="2"/>
        <w:numId w:val="1"/>
      </w:numPr>
      <w:tabs>
        <w:tab w:val="left" w:pos="2160"/>
      </w:tabs>
      <w:spacing w:after="120"/>
      <w:outlineLvl w:val="2"/>
    </w:pPr>
    <w:rPr>
      <w:b/>
    </w:rPr>
  </w:style>
  <w:style w:type="paragraph" w:styleId="Heading4">
    <w:name w:val="heading 4"/>
    <w:basedOn w:val="Normal"/>
    <w:next w:val="ParaNum"/>
    <w:qFormat/>
    <w:rsid w:val="00782A3F"/>
    <w:pPr>
      <w:keepNext/>
      <w:numPr>
        <w:ilvl w:val="3"/>
        <w:numId w:val="1"/>
      </w:numPr>
      <w:tabs>
        <w:tab w:val="left" w:pos="2880"/>
      </w:tabs>
      <w:spacing w:after="120"/>
      <w:outlineLvl w:val="3"/>
    </w:pPr>
    <w:rPr>
      <w:b/>
    </w:rPr>
  </w:style>
  <w:style w:type="paragraph" w:styleId="Heading5">
    <w:name w:val="heading 5"/>
    <w:basedOn w:val="Normal"/>
    <w:next w:val="ParaNum"/>
    <w:qFormat/>
    <w:rsid w:val="00782A3F"/>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782A3F"/>
    <w:pPr>
      <w:numPr>
        <w:ilvl w:val="5"/>
        <w:numId w:val="1"/>
      </w:numPr>
      <w:tabs>
        <w:tab w:val="left" w:pos="4320"/>
      </w:tabs>
      <w:spacing w:after="120"/>
      <w:outlineLvl w:val="5"/>
    </w:pPr>
    <w:rPr>
      <w:b/>
    </w:rPr>
  </w:style>
  <w:style w:type="paragraph" w:styleId="Heading7">
    <w:name w:val="heading 7"/>
    <w:basedOn w:val="Normal"/>
    <w:next w:val="ParaNum"/>
    <w:qFormat/>
    <w:rsid w:val="00782A3F"/>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782A3F"/>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782A3F"/>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82A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2A3F"/>
  </w:style>
  <w:style w:type="paragraph" w:customStyle="1" w:styleId="ParaNum">
    <w:name w:val="ParaNum"/>
    <w:basedOn w:val="Normal"/>
    <w:link w:val="ParaNumChar"/>
    <w:rsid w:val="00782A3F"/>
    <w:pPr>
      <w:numPr>
        <w:numId w:val="4"/>
      </w:numPr>
      <w:tabs>
        <w:tab w:val="clear" w:pos="1080"/>
        <w:tab w:val="num" w:pos="1440"/>
      </w:tabs>
      <w:spacing w:after="120"/>
    </w:pPr>
  </w:style>
  <w:style w:type="paragraph" w:styleId="EndnoteText">
    <w:name w:val="endnote text"/>
    <w:basedOn w:val="Normal"/>
    <w:semiHidden/>
    <w:rsid w:val="00782A3F"/>
    <w:rPr>
      <w:sz w:val="20"/>
    </w:rPr>
  </w:style>
  <w:style w:type="character" w:styleId="EndnoteReference">
    <w:name w:val="endnote reference"/>
    <w:semiHidden/>
    <w:rsid w:val="00782A3F"/>
    <w:rPr>
      <w:vertAlign w:val="superscript"/>
    </w:rPr>
  </w:style>
  <w:style w:type="paragraph" w:styleId="FootnoteText">
    <w:name w:val="footnote text"/>
    <w:aliases w:val="Footnote Text Char1,Footnote Text Char Char,rrfootnote Char Char,Footnote Text Char1 Char Char,Footnote Text Char Char Char Char,rrfootnote Char Char Char Char,rrfootnote Char1 Char Char,Footnote Text Char2 Char,Footnote Text Char2,f,fn,ft"/>
    <w:link w:val="FootnoteTextChar"/>
    <w:rsid w:val="00782A3F"/>
    <w:pPr>
      <w:spacing w:after="120"/>
    </w:pPr>
  </w:style>
  <w:style w:type="character" w:styleId="FootnoteReference">
    <w:name w:val="footnote reference"/>
    <w:aliases w:val="Style 12,(NECG) Footnote Reference,Appel note de bas de p,Style 124,Style 4,Style 13,o,fr,Style 3,Footnote Reference1"/>
    <w:rsid w:val="00782A3F"/>
    <w:rPr>
      <w:rFonts w:ascii="Times New Roman" w:hAnsi="Times New Roman"/>
      <w:dstrike w:val="0"/>
      <w:color w:val="auto"/>
      <w:sz w:val="20"/>
      <w:vertAlign w:val="superscript"/>
    </w:rPr>
  </w:style>
  <w:style w:type="paragraph" w:styleId="TOC1">
    <w:name w:val="toc 1"/>
    <w:basedOn w:val="Normal"/>
    <w:next w:val="Normal"/>
    <w:semiHidden/>
    <w:rsid w:val="00782A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82A3F"/>
    <w:pPr>
      <w:tabs>
        <w:tab w:val="left" w:pos="720"/>
        <w:tab w:val="right" w:leader="dot" w:pos="9360"/>
      </w:tabs>
      <w:suppressAutoHyphens/>
      <w:ind w:left="720" w:right="720" w:hanging="360"/>
    </w:pPr>
    <w:rPr>
      <w:noProof/>
    </w:rPr>
  </w:style>
  <w:style w:type="paragraph" w:styleId="TOC3">
    <w:name w:val="toc 3"/>
    <w:basedOn w:val="Normal"/>
    <w:next w:val="Normal"/>
    <w:semiHidden/>
    <w:rsid w:val="00782A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82A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82A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82A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82A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82A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82A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82A3F"/>
    <w:pPr>
      <w:tabs>
        <w:tab w:val="right" w:pos="9360"/>
      </w:tabs>
      <w:suppressAutoHyphens/>
    </w:pPr>
  </w:style>
  <w:style w:type="character" w:customStyle="1" w:styleId="EquationCaption">
    <w:name w:val="_Equation Caption"/>
    <w:rsid w:val="00782A3F"/>
  </w:style>
  <w:style w:type="paragraph" w:styleId="Header">
    <w:name w:val="header"/>
    <w:basedOn w:val="Normal"/>
    <w:autoRedefine/>
    <w:rsid w:val="00782A3F"/>
    <w:pPr>
      <w:tabs>
        <w:tab w:val="center" w:pos="4680"/>
        <w:tab w:val="right" w:pos="9360"/>
      </w:tabs>
    </w:pPr>
    <w:rPr>
      <w:b/>
    </w:rPr>
  </w:style>
  <w:style w:type="paragraph" w:styleId="Footer">
    <w:name w:val="footer"/>
    <w:basedOn w:val="Normal"/>
    <w:link w:val="FooterChar"/>
    <w:rsid w:val="00782A3F"/>
    <w:pPr>
      <w:tabs>
        <w:tab w:val="center" w:pos="4320"/>
        <w:tab w:val="right" w:pos="8640"/>
      </w:tabs>
    </w:pPr>
  </w:style>
  <w:style w:type="character" w:styleId="PageNumber">
    <w:name w:val="page number"/>
    <w:basedOn w:val="DefaultParagraphFont"/>
    <w:rsid w:val="00782A3F"/>
  </w:style>
  <w:style w:type="paragraph" w:styleId="BlockText">
    <w:name w:val="Block Text"/>
    <w:basedOn w:val="Normal"/>
    <w:rsid w:val="00782A3F"/>
    <w:pPr>
      <w:spacing w:after="240"/>
      <w:ind w:left="1440" w:right="1440"/>
    </w:pPr>
  </w:style>
  <w:style w:type="paragraph" w:customStyle="1" w:styleId="Paratitle">
    <w:name w:val="Para title"/>
    <w:basedOn w:val="Normal"/>
    <w:rsid w:val="00782A3F"/>
    <w:pPr>
      <w:tabs>
        <w:tab w:val="center" w:pos="9270"/>
      </w:tabs>
      <w:spacing w:after="240"/>
    </w:pPr>
    <w:rPr>
      <w:spacing w:val="-2"/>
    </w:rPr>
  </w:style>
  <w:style w:type="paragraph" w:customStyle="1" w:styleId="Bullet">
    <w:name w:val="Bullet"/>
    <w:basedOn w:val="Normal"/>
    <w:rsid w:val="00782A3F"/>
    <w:pPr>
      <w:tabs>
        <w:tab w:val="left" w:pos="2160"/>
      </w:tabs>
      <w:spacing w:after="220"/>
      <w:ind w:left="2160" w:hanging="720"/>
    </w:pPr>
  </w:style>
  <w:style w:type="paragraph" w:customStyle="1" w:styleId="TableFormat">
    <w:name w:val="TableFormat"/>
    <w:basedOn w:val="Bullet"/>
    <w:rsid w:val="00782A3F"/>
    <w:pPr>
      <w:tabs>
        <w:tab w:val="clear" w:pos="2160"/>
        <w:tab w:val="left" w:pos="5040"/>
      </w:tabs>
      <w:ind w:left="5040" w:hanging="3600"/>
    </w:pPr>
  </w:style>
  <w:style w:type="paragraph" w:customStyle="1" w:styleId="TOCTitle">
    <w:name w:val="TOC Title"/>
    <w:basedOn w:val="Normal"/>
    <w:rsid w:val="00782A3F"/>
    <w:pPr>
      <w:spacing w:before="240" w:after="240"/>
      <w:jc w:val="center"/>
    </w:pPr>
    <w:rPr>
      <w:rFonts w:ascii="Times New Roman Bold" w:hAnsi="Times New Roman Bold"/>
      <w:b/>
      <w:caps/>
      <w:spacing w:val="-2"/>
    </w:rPr>
  </w:style>
  <w:style w:type="paragraph" w:customStyle="1" w:styleId="Paranum0">
    <w:name w:val="Paranum"/>
    <w:rsid w:val="00D44FE5"/>
    <w:pPr>
      <w:numPr>
        <w:numId w:val="2"/>
      </w:numPr>
      <w:tabs>
        <w:tab w:val="left" w:pos="1440"/>
      </w:tabs>
      <w:spacing w:after="240"/>
      <w:ind w:left="0" w:firstLine="720"/>
      <w:jc w:val="both"/>
    </w:pPr>
    <w:rPr>
      <w:sz w:val="22"/>
    </w:rPr>
  </w:style>
  <w:style w:type="character" w:customStyle="1" w:styleId="Footnote">
    <w:name w:val="Footnote"/>
    <w:rsid w:val="00D44FE5"/>
    <w:rPr>
      <w:rFonts w:ascii="Times New Roman" w:hAnsi="Times New Roman"/>
      <w:sz w:val="20"/>
    </w:rPr>
  </w:style>
  <w:style w:type="paragraph" w:styleId="BalloonText">
    <w:name w:val="Balloon Text"/>
    <w:basedOn w:val="Normal"/>
    <w:semiHidden/>
    <w:rsid w:val="007A7AC4"/>
    <w:rPr>
      <w:rFonts w:ascii="Tahoma" w:hAnsi="Tahoma" w:cs="Tahoma"/>
      <w:sz w:val="16"/>
      <w:szCs w:val="16"/>
    </w:rPr>
  </w:style>
  <w:style w:type="character" w:customStyle="1" w:styleId="FootnoteTextChar">
    <w:name w:val="Footnote Text Char"/>
    <w:aliases w:val="Footnote Text Char1 Char,Footnote Text Char Char Char,rrfootnote Char Char Char,Footnote Text Char1 Char Char Char,Footnote Text Char Char Char Char Char,rrfootnote Char Char Char Char Char,rrfootnote Char1 Char Char Char,f Char"/>
    <w:link w:val="FootnoteText"/>
    <w:rsid w:val="00D44FE5"/>
  </w:style>
  <w:style w:type="character" w:styleId="Hyperlink">
    <w:name w:val="Hyperlink"/>
    <w:rsid w:val="00782A3F"/>
    <w:rPr>
      <w:color w:val="0000FF"/>
      <w:u w:val="single"/>
    </w:rPr>
  </w:style>
  <w:style w:type="character" w:customStyle="1" w:styleId="documentbody1">
    <w:name w:val="documentbody1"/>
    <w:rsid w:val="00D44FE5"/>
    <w:rPr>
      <w:rFonts w:ascii="Verdana" w:hAnsi="Verdana" w:hint="default"/>
      <w:sz w:val="19"/>
      <w:szCs w:val="19"/>
      <w:shd w:val="clear" w:color="auto" w:fill="FFFFFF"/>
    </w:rPr>
  </w:style>
  <w:style w:type="paragraph" w:styleId="DocumentMap">
    <w:name w:val="Document Map"/>
    <w:basedOn w:val="Normal"/>
    <w:semiHidden/>
    <w:rsid w:val="007A7AC4"/>
    <w:pPr>
      <w:shd w:val="clear" w:color="auto" w:fill="000080"/>
    </w:pPr>
    <w:rPr>
      <w:rFonts w:ascii="Tahoma" w:hAnsi="Tahoma" w:cs="Tahoma"/>
    </w:rPr>
  </w:style>
  <w:style w:type="character" w:customStyle="1" w:styleId="documentbody">
    <w:name w:val="documentbody"/>
    <w:basedOn w:val="DefaultParagraphFont"/>
    <w:rsid w:val="00D44FE5"/>
  </w:style>
  <w:style w:type="character" w:customStyle="1" w:styleId="searchterm">
    <w:name w:val="searchterm"/>
    <w:basedOn w:val="DefaultParagraphFont"/>
    <w:rsid w:val="00D44FE5"/>
  </w:style>
  <w:style w:type="character" w:customStyle="1" w:styleId="bestsection">
    <w:name w:val="bestsection"/>
    <w:basedOn w:val="DefaultParagraphFont"/>
    <w:rsid w:val="00D44FE5"/>
  </w:style>
  <w:style w:type="character" w:customStyle="1" w:styleId="FootnoteTextChar1CharCharCharChar">
    <w:name w:val="Footnote Text Char1 Char Char Char Char"/>
    <w:aliases w:val="rrfootnote Char1 Char Char Char Char,Footnote Text Char Char Char Char Char Char1,Footnote Text Char2 Char1 Char Char Char Char,Footnote Text Char Char2 Char Char Char Char Char Char"/>
    <w:rsid w:val="00D44FE5"/>
    <w:rPr>
      <w:b/>
      <w:spacing w:val="-2"/>
      <w:sz w:val="22"/>
      <w:lang w:val="en-US" w:eastAsia="en-US" w:bidi="ar-SA"/>
    </w:rPr>
  </w:style>
  <w:style w:type="character" w:customStyle="1" w:styleId="FootnoteTextChar2Char1">
    <w:name w:val="Footnote Text Char2 Char1"/>
    <w:aliases w:val="Footnote Text Char1 Char Char Char Char1,Footnote Text Char Char Char Char Char Char2,Footnote Text Char2 Char1 Char Char Char Char Char Char"/>
    <w:rsid w:val="00D44FE5"/>
    <w:rPr>
      <w:lang w:val="en-US" w:eastAsia="en-US" w:bidi="ar-SA"/>
    </w:rPr>
  </w:style>
  <w:style w:type="character" w:customStyle="1" w:styleId="bestsection1">
    <w:name w:val="bestsection1"/>
    <w:rsid w:val="00D44FE5"/>
    <w:rPr>
      <w:color w:val="FF0000"/>
    </w:rPr>
  </w:style>
  <w:style w:type="character" w:customStyle="1" w:styleId="searchterm1">
    <w:name w:val="searchterm1"/>
    <w:rsid w:val="00D44FE5"/>
    <w:rPr>
      <w:b/>
      <w:bCs/>
      <w:shd w:val="clear" w:color="auto" w:fill="FFFF00"/>
    </w:rPr>
  </w:style>
  <w:style w:type="paragraph" w:customStyle="1" w:styleId="SignatureCompany">
    <w:name w:val="Signature Company"/>
    <w:basedOn w:val="Signature"/>
    <w:rsid w:val="007A7AC4"/>
    <w:pPr>
      <w:widowControl/>
      <w:ind w:left="0"/>
    </w:pPr>
    <w:rPr>
      <w:snapToGrid/>
      <w:kern w:val="0"/>
      <w:sz w:val="24"/>
    </w:rPr>
  </w:style>
  <w:style w:type="paragraph" w:styleId="Signature">
    <w:name w:val="Signature"/>
    <w:basedOn w:val="Normal"/>
    <w:rsid w:val="007A7AC4"/>
    <w:pPr>
      <w:ind w:left="4320"/>
    </w:pPr>
  </w:style>
  <w:style w:type="paragraph" w:styleId="BodyTextIndent">
    <w:name w:val="Body Text Indent"/>
    <w:basedOn w:val="Normal"/>
    <w:rsid w:val="007A7AC4"/>
    <w:pPr>
      <w:widowControl/>
      <w:tabs>
        <w:tab w:val="left" w:pos="0"/>
      </w:tabs>
      <w:suppressAutoHyphens/>
      <w:ind w:left="3600"/>
    </w:pPr>
    <w:rPr>
      <w:snapToGrid/>
      <w:spacing w:val="-2"/>
      <w:kern w:val="0"/>
    </w:rPr>
  </w:style>
  <w:style w:type="paragraph" w:styleId="NormalWeb">
    <w:name w:val="Normal (Web)"/>
    <w:basedOn w:val="Normal"/>
    <w:rsid w:val="007A7AC4"/>
    <w:pPr>
      <w:widowControl/>
      <w:spacing w:before="100" w:beforeAutospacing="1" w:after="100" w:afterAutospacing="1"/>
    </w:pPr>
    <w:rPr>
      <w:snapToGrid/>
      <w:kern w:val="0"/>
      <w:sz w:val="24"/>
      <w:szCs w:val="24"/>
    </w:rPr>
  </w:style>
  <w:style w:type="character" w:customStyle="1" w:styleId="rrfootnoteChar">
    <w:name w:val="rrfootnote Char"/>
    <w:aliases w:val="Footnote Text Char1 Char1,Footnote Text Char Char Char1,Footnote Text Char1 Char Char Char1,rrfootnote Char Char Char Char1,Footnote Text Char2 Char Char Char Char1,Footnote Text Char Char1 Char Char Char Char1"/>
    <w:rsid w:val="00D44FE5"/>
    <w:rPr>
      <w:lang w:val="en-US" w:eastAsia="en-US" w:bidi="ar-SA"/>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Footnote Text Char2 Char2"/>
    <w:rsid w:val="00D44FE5"/>
    <w:rPr>
      <w:lang w:val="en-US" w:eastAsia="en-US" w:bidi="ar-SA"/>
    </w:rPr>
  </w:style>
  <w:style w:type="character" w:styleId="CommentReference">
    <w:name w:val="annotation reference"/>
    <w:semiHidden/>
    <w:rsid w:val="00D44FE5"/>
    <w:rPr>
      <w:sz w:val="16"/>
      <w:szCs w:val="16"/>
    </w:rPr>
  </w:style>
  <w:style w:type="paragraph" w:styleId="CommentText">
    <w:name w:val="annotation text"/>
    <w:basedOn w:val="Normal"/>
    <w:link w:val="CommentTextChar"/>
    <w:semiHidden/>
    <w:rsid w:val="007A7AC4"/>
    <w:rPr>
      <w:sz w:val="20"/>
    </w:rPr>
  </w:style>
  <w:style w:type="paragraph" w:styleId="CommentSubject">
    <w:name w:val="annotation subject"/>
    <w:basedOn w:val="CommentText"/>
    <w:next w:val="CommentText"/>
    <w:semiHidden/>
    <w:rsid w:val="007A7AC4"/>
    <w:rPr>
      <w:b/>
      <w:bCs/>
    </w:rPr>
  </w:style>
  <w:style w:type="paragraph" w:customStyle="1" w:styleId="FootnoteTextFCC">
    <w:name w:val="Footnote Text FCC"/>
    <w:basedOn w:val="Normal"/>
    <w:rsid w:val="007A7AC4"/>
    <w:pPr>
      <w:widowControl/>
      <w:spacing w:after="120"/>
    </w:pPr>
    <w:rPr>
      <w:snapToGrid/>
      <w:kern w:val="0"/>
      <w:sz w:val="20"/>
    </w:rPr>
  </w:style>
  <w:style w:type="character" w:customStyle="1" w:styleId="searchterm3">
    <w:name w:val="searchterm3"/>
    <w:rsid w:val="00D44FE5"/>
    <w:rPr>
      <w:b/>
      <w:bCs/>
      <w:shd w:val="clear" w:color="auto" w:fill="FFFF00"/>
    </w:rPr>
  </w:style>
  <w:style w:type="paragraph" w:customStyle="1" w:styleId="StyleParaNumCondensedby01pt">
    <w:name w:val="Style ParaNum + Condensed by  0.1 pt"/>
    <w:basedOn w:val="ParaNum"/>
    <w:link w:val="StyleParaNumCondensedby01ptChar"/>
    <w:autoRedefine/>
    <w:rsid w:val="007A7AC4"/>
    <w:rPr>
      <w:spacing w:val="-2"/>
    </w:rPr>
  </w:style>
  <w:style w:type="character" w:customStyle="1" w:styleId="ParaNumChar">
    <w:name w:val="ParaNum Char"/>
    <w:link w:val="ParaNum"/>
    <w:rsid w:val="00D44FE5"/>
    <w:rPr>
      <w:snapToGrid w:val="0"/>
      <w:kern w:val="28"/>
      <w:sz w:val="22"/>
    </w:rPr>
  </w:style>
  <w:style w:type="character" w:customStyle="1" w:styleId="StyleParaNumCondensedby01ptChar">
    <w:name w:val="Style ParaNum + Condensed by  0.1 pt Char"/>
    <w:link w:val="StyleParaNumCondensedby01pt"/>
    <w:rsid w:val="00D44FE5"/>
    <w:rPr>
      <w:snapToGrid w:val="0"/>
      <w:spacing w:val="-2"/>
      <w:kern w:val="28"/>
      <w:sz w:val="22"/>
    </w:rPr>
  </w:style>
  <w:style w:type="paragraph" w:customStyle="1" w:styleId="StyleParaNumBold">
    <w:name w:val="Style ParaNum + Bold"/>
    <w:basedOn w:val="ParaNum"/>
    <w:link w:val="StyleParaNumBoldChar"/>
    <w:autoRedefine/>
    <w:rsid w:val="007A7AC4"/>
    <w:rPr>
      <w:b/>
      <w:bCs/>
    </w:rPr>
  </w:style>
  <w:style w:type="character" w:customStyle="1" w:styleId="StyleParaNumBoldChar">
    <w:name w:val="Style ParaNum + Bold Char"/>
    <w:link w:val="StyleParaNumBold"/>
    <w:rsid w:val="00D44FE5"/>
    <w:rPr>
      <w:b/>
      <w:bCs/>
      <w:snapToGrid w:val="0"/>
      <w:kern w:val="28"/>
      <w:sz w:val="22"/>
    </w:rPr>
  </w:style>
  <w:style w:type="paragraph" w:customStyle="1" w:styleId="StyleParaNumLeft">
    <w:name w:val="Style ParaNum + Left"/>
    <w:basedOn w:val="ParaNum"/>
    <w:autoRedefine/>
    <w:rsid w:val="007A7AC4"/>
    <w:pPr>
      <w:numPr>
        <w:numId w:val="6"/>
      </w:numPr>
      <w:spacing w:before="100" w:beforeAutospacing="1" w:after="100" w:afterAutospacing="1"/>
      <w:ind w:left="0" w:firstLine="720"/>
    </w:pPr>
  </w:style>
  <w:style w:type="paragraph" w:customStyle="1" w:styleId="StyleParaNumAfter11pt">
    <w:name w:val="Style ParaNum + After:  11 pt"/>
    <w:basedOn w:val="Normal"/>
    <w:rsid w:val="007A7AC4"/>
    <w:pPr>
      <w:numPr>
        <w:numId w:val="3"/>
      </w:numPr>
    </w:pPr>
  </w:style>
  <w:style w:type="paragraph" w:styleId="HTMLPreformatted">
    <w:name w:val="HTML Preformatted"/>
    <w:basedOn w:val="Normal"/>
    <w:rsid w:val="007A7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emphb">
    <w:name w:val="emphb"/>
    <w:basedOn w:val="DefaultParagraphFont"/>
    <w:rsid w:val="00D44FE5"/>
  </w:style>
  <w:style w:type="character" w:customStyle="1" w:styleId="rrfootnoteChar1">
    <w:name w:val="rrfootnote Char1"/>
    <w:aliases w:val="Footnote Text Char2 Char Char1 Char Char,Footnote Text Char1 Char Char Char Char Char,Footnote Text Char2 Char Char"/>
    <w:rsid w:val="00D44FE5"/>
    <w:rPr>
      <w:snapToGrid w:val="0"/>
      <w:sz w:val="24"/>
      <w:lang w:val="en-US" w:eastAsia="en-US" w:bidi="ar-SA"/>
    </w:rPr>
  </w:style>
  <w:style w:type="character" w:customStyle="1" w:styleId="mw-headline">
    <w:name w:val="mw-headline"/>
    <w:basedOn w:val="DefaultParagraphFont"/>
    <w:rsid w:val="00D44FE5"/>
  </w:style>
  <w:style w:type="character" w:customStyle="1" w:styleId="displayhltext1">
    <w:name w:val="display_hl_text1"/>
    <w:rsid w:val="001D2435"/>
    <w:rPr>
      <w:shd w:val="clear" w:color="auto" w:fill="FFFF99"/>
    </w:rPr>
  </w:style>
  <w:style w:type="character" w:customStyle="1" w:styleId="emphi1">
    <w:name w:val="emphi1"/>
    <w:rsid w:val="001D2435"/>
    <w:rPr>
      <w:i/>
      <w:iCs/>
    </w:rPr>
  </w:style>
  <w:style w:type="character" w:customStyle="1" w:styleId="document-link1">
    <w:name w:val="document-link1"/>
    <w:rsid w:val="00975145"/>
    <w:rPr>
      <w:rFonts w:ascii="Verdana" w:hAnsi="Verdana" w:hint="default"/>
    </w:rPr>
  </w:style>
  <w:style w:type="character" w:customStyle="1" w:styleId="emphb1">
    <w:name w:val="emphb1"/>
    <w:rsid w:val="007D1B18"/>
    <w:rPr>
      <w:b/>
      <w:bCs/>
    </w:rPr>
  </w:style>
  <w:style w:type="character" w:customStyle="1" w:styleId="cosearchdetaillevel2">
    <w:name w:val="co_search_detaillevel_2"/>
    <w:basedOn w:val="DefaultParagraphFont"/>
    <w:rsid w:val="00234F50"/>
  </w:style>
  <w:style w:type="paragraph" w:styleId="ListParagraph">
    <w:name w:val="List Paragraph"/>
    <w:basedOn w:val="Normal"/>
    <w:uiPriority w:val="34"/>
    <w:qFormat/>
    <w:rsid w:val="007A7AC4"/>
    <w:pPr>
      <w:autoSpaceDE w:val="0"/>
      <w:autoSpaceDN w:val="0"/>
      <w:adjustRightInd w:val="0"/>
      <w:ind w:left="720"/>
    </w:pPr>
    <w:rPr>
      <w:snapToGrid/>
      <w:kern w:val="0"/>
      <w:sz w:val="20"/>
    </w:rPr>
  </w:style>
  <w:style w:type="paragraph" w:customStyle="1" w:styleId="FootnoteTextA">
    <w:name w:val="Footnote Text A"/>
    <w:rsid w:val="00BE1063"/>
    <w:rPr>
      <w:rFonts w:ascii="Helvetica" w:eastAsia="ヒラギノ角ゴ Pro W3" w:hAnsi="Helvetica"/>
      <w:color w:val="000000"/>
    </w:rPr>
  </w:style>
  <w:style w:type="paragraph" w:customStyle="1" w:styleId="StyleBoldCentered">
    <w:name w:val="Style Bold Centered"/>
    <w:basedOn w:val="Normal"/>
    <w:rsid w:val="00782A3F"/>
    <w:pPr>
      <w:jc w:val="center"/>
    </w:pPr>
    <w:rPr>
      <w:rFonts w:ascii="Times New Roman Bold" w:hAnsi="Times New Roman Bold"/>
      <w:b/>
      <w:bCs/>
      <w:caps/>
      <w:szCs w:val="22"/>
    </w:rPr>
  </w:style>
  <w:style w:type="character" w:customStyle="1" w:styleId="displayhltext">
    <w:name w:val="display_hl_text"/>
    <w:basedOn w:val="DefaultParagraphFont"/>
    <w:rsid w:val="008A1CD7"/>
  </w:style>
  <w:style w:type="character" w:customStyle="1" w:styleId="apple-converted-space">
    <w:name w:val="apple-converted-space"/>
    <w:basedOn w:val="DefaultParagraphFont"/>
    <w:rsid w:val="008A1CD7"/>
  </w:style>
  <w:style w:type="character" w:styleId="Emphasis">
    <w:name w:val="Emphasis"/>
    <w:basedOn w:val="DefaultParagraphFont"/>
    <w:uiPriority w:val="20"/>
    <w:qFormat/>
    <w:rsid w:val="008A1CD7"/>
    <w:rPr>
      <w:i/>
      <w:iCs/>
    </w:rPr>
  </w:style>
  <w:style w:type="paragraph" w:styleId="Revision">
    <w:name w:val="Revision"/>
    <w:hidden/>
    <w:uiPriority w:val="99"/>
    <w:semiHidden/>
    <w:rsid w:val="0078131C"/>
    <w:rPr>
      <w:snapToGrid w:val="0"/>
      <w:kern w:val="28"/>
      <w:sz w:val="22"/>
    </w:rPr>
  </w:style>
  <w:style w:type="character" w:customStyle="1" w:styleId="CommentTextChar">
    <w:name w:val="Comment Text Char"/>
    <w:basedOn w:val="DefaultParagraphFont"/>
    <w:link w:val="CommentText"/>
    <w:semiHidden/>
    <w:rsid w:val="00AC1FCF"/>
    <w:rPr>
      <w:snapToGrid w:val="0"/>
      <w:kern w:val="28"/>
    </w:rPr>
  </w:style>
  <w:style w:type="character" w:customStyle="1" w:styleId="FooterChar">
    <w:name w:val="Footer Char"/>
    <w:basedOn w:val="DefaultParagraphFont"/>
    <w:link w:val="Footer"/>
    <w:rsid w:val="005910E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5210">
      <w:bodyDiv w:val="1"/>
      <w:marLeft w:val="0"/>
      <w:marRight w:val="0"/>
      <w:marTop w:val="0"/>
      <w:marBottom w:val="0"/>
      <w:divBdr>
        <w:top w:val="none" w:sz="0" w:space="0" w:color="auto"/>
        <w:left w:val="none" w:sz="0" w:space="0" w:color="auto"/>
        <w:bottom w:val="none" w:sz="0" w:space="0" w:color="auto"/>
        <w:right w:val="none" w:sz="0" w:space="0" w:color="auto"/>
      </w:divBdr>
      <w:divsChild>
        <w:div w:id="1852723309">
          <w:marLeft w:val="0"/>
          <w:marRight w:val="0"/>
          <w:marTop w:val="0"/>
          <w:marBottom w:val="0"/>
          <w:divBdr>
            <w:top w:val="none" w:sz="0" w:space="0" w:color="auto"/>
            <w:left w:val="none" w:sz="0" w:space="0" w:color="auto"/>
            <w:bottom w:val="none" w:sz="0" w:space="0" w:color="auto"/>
            <w:right w:val="none" w:sz="0" w:space="0" w:color="auto"/>
          </w:divBdr>
          <w:divsChild>
            <w:div w:id="5005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2936">
      <w:bodyDiv w:val="1"/>
      <w:marLeft w:val="0"/>
      <w:marRight w:val="0"/>
      <w:marTop w:val="0"/>
      <w:marBottom w:val="0"/>
      <w:divBdr>
        <w:top w:val="none" w:sz="0" w:space="0" w:color="auto"/>
        <w:left w:val="none" w:sz="0" w:space="0" w:color="auto"/>
        <w:bottom w:val="none" w:sz="0" w:space="0" w:color="auto"/>
        <w:right w:val="none" w:sz="0" w:space="0" w:color="auto"/>
      </w:divBdr>
    </w:div>
    <w:div w:id="265043792">
      <w:bodyDiv w:val="1"/>
      <w:marLeft w:val="0"/>
      <w:marRight w:val="0"/>
      <w:marTop w:val="0"/>
      <w:marBottom w:val="0"/>
      <w:divBdr>
        <w:top w:val="none" w:sz="0" w:space="0" w:color="auto"/>
        <w:left w:val="none" w:sz="0" w:space="0" w:color="auto"/>
        <w:bottom w:val="none" w:sz="0" w:space="0" w:color="auto"/>
        <w:right w:val="none" w:sz="0" w:space="0" w:color="auto"/>
      </w:divBdr>
    </w:div>
    <w:div w:id="270627239">
      <w:bodyDiv w:val="1"/>
      <w:marLeft w:val="0"/>
      <w:marRight w:val="0"/>
      <w:marTop w:val="0"/>
      <w:marBottom w:val="0"/>
      <w:divBdr>
        <w:top w:val="none" w:sz="0" w:space="0" w:color="auto"/>
        <w:left w:val="none" w:sz="0" w:space="0" w:color="auto"/>
        <w:bottom w:val="none" w:sz="0" w:space="0" w:color="auto"/>
        <w:right w:val="none" w:sz="0" w:space="0" w:color="auto"/>
      </w:divBdr>
    </w:div>
    <w:div w:id="317004216">
      <w:bodyDiv w:val="1"/>
      <w:marLeft w:val="0"/>
      <w:marRight w:val="0"/>
      <w:marTop w:val="0"/>
      <w:marBottom w:val="0"/>
      <w:divBdr>
        <w:top w:val="none" w:sz="0" w:space="0" w:color="auto"/>
        <w:left w:val="none" w:sz="0" w:space="0" w:color="auto"/>
        <w:bottom w:val="none" w:sz="0" w:space="0" w:color="auto"/>
        <w:right w:val="none" w:sz="0" w:space="0" w:color="auto"/>
      </w:divBdr>
    </w:div>
    <w:div w:id="328798239">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50784327">
      <w:bodyDiv w:val="1"/>
      <w:marLeft w:val="0"/>
      <w:marRight w:val="0"/>
      <w:marTop w:val="0"/>
      <w:marBottom w:val="0"/>
      <w:divBdr>
        <w:top w:val="none" w:sz="0" w:space="0" w:color="auto"/>
        <w:left w:val="none" w:sz="0" w:space="0" w:color="auto"/>
        <w:bottom w:val="none" w:sz="0" w:space="0" w:color="auto"/>
        <w:right w:val="none" w:sz="0" w:space="0" w:color="auto"/>
      </w:divBdr>
    </w:div>
    <w:div w:id="463501611">
      <w:bodyDiv w:val="1"/>
      <w:marLeft w:val="0"/>
      <w:marRight w:val="0"/>
      <w:marTop w:val="0"/>
      <w:marBottom w:val="0"/>
      <w:divBdr>
        <w:top w:val="none" w:sz="0" w:space="0" w:color="auto"/>
        <w:left w:val="none" w:sz="0" w:space="0" w:color="auto"/>
        <w:bottom w:val="none" w:sz="0" w:space="0" w:color="auto"/>
        <w:right w:val="none" w:sz="0" w:space="0" w:color="auto"/>
      </w:divBdr>
    </w:div>
    <w:div w:id="730468952">
      <w:bodyDiv w:val="1"/>
      <w:marLeft w:val="0"/>
      <w:marRight w:val="0"/>
      <w:marTop w:val="0"/>
      <w:marBottom w:val="0"/>
      <w:divBdr>
        <w:top w:val="none" w:sz="0" w:space="0" w:color="auto"/>
        <w:left w:val="none" w:sz="0" w:space="0" w:color="auto"/>
        <w:bottom w:val="none" w:sz="0" w:space="0" w:color="auto"/>
        <w:right w:val="none" w:sz="0" w:space="0" w:color="auto"/>
      </w:divBdr>
    </w:div>
    <w:div w:id="881206771">
      <w:bodyDiv w:val="1"/>
      <w:marLeft w:val="0"/>
      <w:marRight w:val="0"/>
      <w:marTop w:val="0"/>
      <w:marBottom w:val="0"/>
      <w:divBdr>
        <w:top w:val="none" w:sz="0" w:space="0" w:color="auto"/>
        <w:left w:val="none" w:sz="0" w:space="0" w:color="auto"/>
        <w:bottom w:val="none" w:sz="0" w:space="0" w:color="auto"/>
        <w:right w:val="none" w:sz="0" w:space="0" w:color="auto"/>
      </w:divBdr>
      <w:divsChild>
        <w:div w:id="776407989">
          <w:marLeft w:val="0"/>
          <w:marRight w:val="0"/>
          <w:marTop w:val="0"/>
          <w:marBottom w:val="0"/>
          <w:divBdr>
            <w:top w:val="none" w:sz="0" w:space="0" w:color="auto"/>
            <w:left w:val="none" w:sz="0" w:space="0" w:color="auto"/>
            <w:bottom w:val="none" w:sz="0" w:space="0" w:color="auto"/>
            <w:right w:val="none" w:sz="0" w:space="0" w:color="auto"/>
          </w:divBdr>
        </w:div>
      </w:divsChild>
    </w:div>
    <w:div w:id="886258457">
      <w:bodyDiv w:val="1"/>
      <w:marLeft w:val="0"/>
      <w:marRight w:val="0"/>
      <w:marTop w:val="0"/>
      <w:marBottom w:val="0"/>
      <w:divBdr>
        <w:top w:val="none" w:sz="0" w:space="0" w:color="auto"/>
        <w:left w:val="none" w:sz="0" w:space="0" w:color="auto"/>
        <w:bottom w:val="none" w:sz="0" w:space="0" w:color="auto"/>
        <w:right w:val="none" w:sz="0" w:space="0" w:color="auto"/>
      </w:divBdr>
      <w:divsChild>
        <w:div w:id="556471282">
          <w:marLeft w:val="0"/>
          <w:marRight w:val="0"/>
          <w:marTop w:val="0"/>
          <w:marBottom w:val="0"/>
          <w:divBdr>
            <w:top w:val="none" w:sz="0" w:space="0" w:color="auto"/>
            <w:left w:val="none" w:sz="0" w:space="0" w:color="auto"/>
            <w:bottom w:val="none" w:sz="0" w:space="0" w:color="auto"/>
            <w:right w:val="none" w:sz="0" w:space="0" w:color="auto"/>
          </w:divBdr>
        </w:div>
      </w:divsChild>
    </w:div>
    <w:div w:id="975598356">
      <w:bodyDiv w:val="1"/>
      <w:marLeft w:val="0"/>
      <w:marRight w:val="0"/>
      <w:marTop w:val="0"/>
      <w:marBottom w:val="0"/>
      <w:divBdr>
        <w:top w:val="none" w:sz="0" w:space="0" w:color="auto"/>
        <w:left w:val="none" w:sz="0" w:space="0" w:color="auto"/>
        <w:bottom w:val="none" w:sz="0" w:space="0" w:color="auto"/>
        <w:right w:val="none" w:sz="0" w:space="0" w:color="auto"/>
      </w:divBdr>
    </w:div>
    <w:div w:id="1017924811">
      <w:bodyDiv w:val="1"/>
      <w:marLeft w:val="0"/>
      <w:marRight w:val="0"/>
      <w:marTop w:val="0"/>
      <w:marBottom w:val="0"/>
      <w:divBdr>
        <w:top w:val="none" w:sz="0" w:space="0" w:color="auto"/>
        <w:left w:val="none" w:sz="0" w:space="0" w:color="auto"/>
        <w:bottom w:val="none" w:sz="0" w:space="0" w:color="auto"/>
        <w:right w:val="none" w:sz="0" w:space="0" w:color="auto"/>
      </w:divBdr>
    </w:div>
    <w:div w:id="1277176289">
      <w:bodyDiv w:val="1"/>
      <w:marLeft w:val="0"/>
      <w:marRight w:val="0"/>
      <w:marTop w:val="0"/>
      <w:marBottom w:val="0"/>
      <w:divBdr>
        <w:top w:val="none" w:sz="0" w:space="0" w:color="auto"/>
        <w:left w:val="none" w:sz="0" w:space="0" w:color="auto"/>
        <w:bottom w:val="none" w:sz="0" w:space="0" w:color="auto"/>
        <w:right w:val="none" w:sz="0" w:space="0" w:color="auto"/>
      </w:divBdr>
    </w:div>
    <w:div w:id="1424913369">
      <w:bodyDiv w:val="1"/>
      <w:marLeft w:val="0"/>
      <w:marRight w:val="0"/>
      <w:marTop w:val="0"/>
      <w:marBottom w:val="0"/>
      <w:divBdr>
        <w:top w:val="none" w:sz="0" w:space="0" w:color="auto"/>
        <w:left w:val="none" w:sz="0" w:space="0" w:color="auto"/>
        <w:bottom w:val="none" w:sz="0" w:space="0" w:color="auto"/>
        <w:right w:val="none" w:sz="0" w:space="0" w:color="auto"/>
      </w:divBdr>
    </w:div>
    <w:div w:id="1473059028">
      <w:bodyDiv w:val="1"/>
      <w:marLeft w:val="0"/>
      <w:marRight w:val="0"/>
      <w:marTop w:val="0"/>
      <w:marBottom w:val="0"/>
      <w:divBdr>
        <w:top w:val="none" w:sz="0" w:space="0" w:color="auto"/>
        <w:left w:val="none" w:sz="0" w:space="0" w:color="auto"/>
        <w:bottom w:val="none" w:sz="0" w:space="0" w:color="auto"/>
        <w:right w:val="none" w:sz="0" w:space="0" w:color="auto"/>
      </w:divBdr>
    </w:div>
    <w:div w:id="1501002658">
      <w:bodyDiv w:val="1"/>
      <w:marLeft w:val="0"/>
      <w:marRight w:val="0"/>
      <w:marTop w:val="0"/>
      <w:marBottom w:val="0"/>
      <w:divBdr>
        <w:top w:val="none" w:sz="0" w:space="0" w:color="auto"/>
        <w:left w:val="none" w:sz="0" w:space="0" w:color="auto"/>
        <w:bottom w:val="none" w:sz="0" w:space="0" w:color="auto"/>
        <w:right w:val="none" w:sz="0" w:space="0" w:color="auto"/>
      </w:divBdr>
    </w:div>
    <w:div w:id="1542473253">
      <w:bodyDiv w:val="1"/>
      <w:marLeft w:val="0"/>
      <w:marRight w:val="0"/>
      <w:marTop w:val="0"/>
      <w:marBottom w:val="0"/>
      <w:divBdr>
        <w:top w:val="none" w:sz="0" w:space="0" w:color="auto"/>
        <w:left w:val="none" w:sz="0" w:space="0" w:color="auto"/>
        <w:bottom w:val="none" w:sz="0" w:space="0" w:color="auto"/>
        <w:right w:val="none" w:sz="0" w:space="0" w:color="auto"/>
      </w:divBdr>
    </w:div>
    <w:div w:id="1701201411">
      <w:bodyDiv w:val="1"/>
      <w:marLeft w:val="0"/>
      <w:marRight w:val="0"/>
      <w:marTop w:val="0"/>
      <w:marBottom w:val="0"/>
      <w:divBdr>
        <w:top w:val="none" w:sz="0" w:space="0" w:color="auto"/>
        <w:left w:val="none" w:sz="0" w:space="0" w:color="auto"/>
        <w:bottom w:val="none" w:sz="0" w:space="0" w:color="auto"/>
        <w:right w:val="none" w:sz="0" w:space="0" w:color="auto"/>
      </w:divBdr>
    </w:div>
    <w:div w:id="1797604054">
      <w:bodyDiv w:val="1"/>
      <w:marLeft w:val="0"/>
      <w:marRight w:val="0"/>
      <w:marTop w:val="0"/>
      <w:marBottom w:val="0"/>
      <w:divBdr>
        <w:top w:val="none" w:sz="0" w:space="0" w:color="auto"/>
        <w:left w:val="none" w:sz="0" w:space="0" w:color="auto"/>
        <w:bottom w:val="none" w:sz="0" w:space="0" w:color="auto"/>
        <w:right w:val="none" w:sz="0" w:space="0" w:color="auto"/>
      </w:divBdr>
      <w:divsChild>
        <w:div w:id="1504859601">
          <w:marLeft w:val="0"/>
          <w:marRight w:val="0"/>
          <w:marTop w:val="0"/>
          <w:marBottom w:val="0"/>
          <w:divBdr>
            <w:top w:val="none" w:sz="0" w:space="0" w:color="auto"/>
            <w:left w:val="none" w:sz="0" w:space="0" w:color="auto"/>
            <w:bottom w:val="none" w:sz="0" w:space="0" w:color="auto"/>
            <w:right w:val="none" w:sz="0" w:space="0" w:color="auto"/>
          </w:divBdr>
        </w:div>
        <w:div w:id="1327902283">
          <w:marLeft w:val="0"/>
          <w:marRight w:val="0"/>
          <w:marTop w:val="0"/>
          <w:marBottom w:val="0"/>
          <w:divBdr>
            <w:top w:val="none" w:sz="0" w:space="0" w:color="auto"/>
            <w:left w:val="none" w:sz="0" w:space="0" w:color="auto"/>
            <w:bottom w:val="none" w:sz="0" w:space="0" w:color="auto"/>
            <w:right w:val="none" w:sz="0" w:space="0" w:color="auto"/>
          </w:divBdr>
        </w:div>
        <w:div w:id="2129857389">
          <w:marLeft w:val="0"/>
          <w:marRight w:val="0"/>
          <w:marTop w:val="0"/>
          <w:marBottom w:val="0"/>
          <w:divBdr>
            <w:top w:val="none" w:sz="0" w:space="0" w:color="auto"/>
            <w:left w:val="none" w:sz="0" w:space="0" w:color="auto"/>
            <w:bottom w:val="none" w:sz="0" w:space="0" w:color="auto"/>
            <w:right w:val="none" w:sz="0" w:space="0" w:color="auto"/>
          </w:divBdr>
        </w:div>
        <w:div w:id="1737774375">
          <w:marLeft w:val="0"/>
          <w:marRight w:val="0"/>
          <w:marTop w:val="0"/>
          <w:marBottom w:val="0"/>
          <w:divBdr>
            <w:top w:val="none" w:sz="0" w:space="0" w:color="auto"/>
            <w:left w:val="none" w:sz="0" w:space="0" w:color="auto"/>
            <w:bottom w:val="none" w:sz="0" w:space="0" w:color="auto"/>
            <w:right w:val="none" w:sz="0" w:space="0" w:color="auto"/>
          </w:divBdr>
        </w:div>
        <w:div w:id="1586262223">
          <w:marLeft w:val="0"/>
          <w:marRight w:val="0"/>
          <w:marTop w:val="0"/>
          <w:marBottom w:val="0"/>
          <w:divBdr>
            <w:top w:val="none" w:sz="0" w:space="0" w:color="auto"/>
            <w:left w:val="none" w:sz="0" w:space="0" w:color="auto"/>
            <w:bottom w:val="none" w:sz="0" w:space="0" w:color="auto"/>
            <w:right w:val="none" w:sz="0" w:space="0" w:color="auto"/>
          </w:divBdr>
        </w:div>
      </w:divsChild>
    </w:div>
    <w:div w:id="2005156396">
      <w:bodyDiv w:val="1"/>
      <w:marLeft w:val="0"/>
      <w:marRight w:val="0"/>
      <w:marTop w:val="0"/>
      <w:marBottom w:val="0"/>
      <w:divBdr>
        <w:top w:val="none" w:sz="0" w:space="0" w:color="auto"/>
        <w:left w:val="none" w:sz="0" w:space="0" w:color="auto"/>
        <w:bottom w:val="none" w:sz="0" w:space="0" w:color="auto"/>
        <w:right w:val="none" w:sz="0" w:space="0" w:color="auto"/>
      </w:divBdr>
    </w:div>
    <w:div w:id="2078749090">
      <w:bodyDiv w:val="1"/>
      <w:marLeft w:val="0"/>
      <w:marRight w:val="0"/>
      <w:marTop w:val="0"/>
      <w:marBottom w:val="0"/>
      <w:divBdr>
        <w:top w:val="none" w:sz="0" w:space="0" w:color="auto"/>
        <w:left w:val="none" w:sz="0" w:space="0" w:color="auto"/>
        <w:bottom w:val="none" w:sz="0" w:space="0" w:color="auto"/>
        <w:right w:val="none" w:sz="0" w:space="0" w:color="auto"/>
      </w:divBdr>
    </w:div>
    <w:div w:id="2098624905">
      <w:bodyDiv w:val="1"/>
      <w:marLeft w:val="0"/>
      <w:marRight w:val="0"/>
      <w:marTop w:val="0"/>
      <w:marBottom w:val="0"/>
      <w:divBdr>
        <w:top w:val="none" w:sz="0" w:space="0" w:color="auto"/>
        <w:left w:val="none" w:sz="0" w:space="0" w:color="auto"/>
        <w:bottom w:val="none" w:sz="0" w:space="0" w:color="auto"/>
        <w:right w:val="none" w:sz="0" w:space="0" w:color="auto"/>
      </w:divBdr>
      <w:divsChild>
        <w:div w:id="9307510">
          <w:marLeft w:val="0"/>
          <w:marRight w:val="0"/>
          <w:marTop w:val="0"/>
          <w:marBottom w:val="0"/>
          <w:divBdr>
            <w:top w:val="none" w:sz="0" w:space="0" w:color="auto"/>
            <w:left w:val="none" w:sz="0" w:space="0" w:color="auto"/>
            <w:bottom w:val="none" w:sz="0" w:space="0" w:color="auto"/>
            <w:right w:val="none" w:sz="0" w:space="0" w:color="auto"/>
          </w:divBdr>
          <w:divsChild>
            <w:div w:id="1015887782">
              <w:marLeft w:val="0"/>
              <w:marRight w:val="0"/>
              <w:marTop w:val="0"/>
              <w:marBottom w:val="0"/>
              <w:divBdr>
                <w:top w:val="none" w:sz="0" w:space="0" w:color="auto"/>
                <w:left w:val="none" w:sz="0" w:space="0" w:color="auto"/>
                <w:bottom w:val="none" w:sz="0" w:space="0" w:color="auto"/>
                <w:right w:val="none" w:sz="0" w:space="0" w:color="auto"/>
              </w:divBdr>
              <w:divsChild>
                <w:div w:id="14970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eb2.westlaw.com/find/default.wl?mt=Communications&amp;db=0004493&amp;rs=WLW13.04&amp;tc=-1&amp;rp=%2ffind%2fdefault.wl&amp;findtype=Y&amp;ordoc=2030461424&amp;serialnum=1997263097&amp;vr=2.0&amp;fn=_top&amp;sv=Split&amp;tf=-1&amp;referencepositiontype=S&amp;pbc=83D96126&amp;referenceposition=17099&amp;utid=1" TargetMode="External"/><Relationship Id="rId13" Type="http://schemas.openxmlformats.org/officeDocument/2006/relationships/hyperlink" Target="http://web2.westlaw.com/find/default.wl?mt=Communications&amp;db=0004493&amp;rs=WLW14.04&amp;tc=-1&amp;rp=%2ffind%2fdefault.wl&amp;findtype=Y&amp;ordoc=2033854105&amp;serialnum=2032336560&amp;vr=2.0&amp;fn=_top&amp;sv=Split&amp;tf=-1&amp;referencepositiontype=S&amp;pbc=FEE2E497&amp;referenceposition=17202&amp;utid=1" TargetMode="External"/><Relationship Id="rId3" Type="http://schemas.openxmlformats.org/officeDocument/2006/relationships/hyperlink" Target="http://web2.westlaw.com/find/default.wl?mt=Communications&amp;db=780&amp;rs=WLW14.04&amp;tc=-1&amp;rp=%2ffind%2fdefault.wl&amp;findtype=Y&amp;ordoc=2024725669&amp;serialnum=1985114100&amp;vr=2.0&amp;fn=_top&amp;sv=Split&amp;tf=-1&amp;referencepositiontype=S&amp;pbc=E4785F99&amp;referenceposition=831&amp;utid=1" TargetMode="External"/><Relationship Id="rId7" Type="http://schemas.openxmlformats.org/officeDocument/2006/relationships/hyperlink" Target="http://web2.westlaw.com/find/default.wl?mt=Communications&amp;db=0004493&amp;rs=WLW14.04&amp;tc=-1&amp;rp=%2ffind%2fdefault.wl&amp;findtype=Y&amp;ordoc=2029967801&amp;serialnum=2018088205&amp;vr=2.0&amp;fn=_top&amp;sv=Split&amp;tf=-1&amp;referencepositiontype=S&amp;pbc=7D895E48&amp;referenceposition=1273&amp;utid=1" TargetMode="External"/><Relationship Id="rId12" Type="http://schemas.openxmlformats.org/officeDocument/2006/relationships/hyperlink" Target="http://web2.westlaw.com/find/default.wl?mt=Communications&amp;db=1000546&amp;rs=WLW14.04&amp;docname=47USCAS312&amp;rp=%2ffind%2fdefault.wl&amp;findtype=L&amp;ordoc=2033972832&amp;tc=-1&amp;vr=2.0&amp;fn=_top&amp;sv=Split&amp;tf=-1&amp;referencepositiontype=T&amp;pbc=34D35E13&amp;referenceposition=SP%3bac4e0000281c0&amp;utid=1" TargetMode="External"/><Relationship Id="rId2" Type="http://schemas.openxmlformats.org/officeDocument/2006/relationships/hyperlink" Target="http://web2.westlaw.com/find/default.wl?mt=Communications&amp;db=0001017&amp;rs=WLW14.04&amp;tc=-1&amp;rp=%2ffind%2fdefault.wl&amp;findtype=Y&amp;ordoc=2033483995&amp;serialnum=1972024661&amp;vr=2.0&amp;fn=_top&amp;sv=Split&amp;tf=-1&amp;referencepositiontype=S&amp;pbc=4F8D9B9B&amp;referenceposition=438&amp;utid=1" TargetMode="External"/><Relationship Id="rId16" Type="http://schemas.openxmlformats.org/officeDocument/2006/relationships/hyperlink" Target="http://web2.westlaw.com/find/default.wl?mt=Communications&amp;db=0004493&amp;rs=WLW14.04&amp;tc=-1&amp;rp=%2ffind%2fdefault.wl&amp;findtype=Y&amp;ordoc=2033854105&amp;serialnum=2032336560&amp;vr=2.0&amp;fn=_top&amp;sv=Split&amp;tf=-1&amp;referencepositiontype=S&amp;pbc=096882D1&amp;referenceposition=17208&amp;utid=1" TargetMode="External"/><Relationship Id="rId1" Type="http://schemas.openxmlformats.org/officeDocument/2006/relationships/hyperlink" Target="http://web2.westlaw.com/find/default.wl?mt=Communications&amp;db=0004493&amp;rs=WLW14.04&amp;tc=-1&amp;rp=%2ffind%2fdefault.wl&amp;findtype=Y&amp;ordoc=2033483995&amp;serialnum=1993255710&amp;vr=2.0&amp;fn=_top&amp;sv=Split&amp;tf=-1&amp;pbc=4F8D9B9B&amp;utid=1" TargetMode="External"/><Relationship Id="rId6" Type="http://schemas.openxmlformats.org/officeDocument/2006/relationships/hyperlink" Target="http://web2.westlaw.com/find/default.wl?mt=Communications&amp;db=1000547&amp;rs=WLW14.04&amp;docname=47CFRS1.80&amp;rp=%2ffind%2fdefault.wl&amp;findtype=L&amp;ordoc=2029967801&amp;tc=-1&amp;vr=2.0&amp;fn=_top&amp;sv=Split&amp;tf=-1&amp;pbc=7D895E48&amp;utid=1" TargetMode="External"/><Relationship Id="rId11" Type="http://schemas.openxmlformats.org/officeDocument/2006/relationships/hyperlink" Target="http://web2.westlaw.com/find/default.wl?mt=Communications&amp;db=0001017&amp;rs=WLW14.04&amp;tc=-1&amp;rp=%2ffind%2fdefault.wl&amp;findtype=Y&amp;ordoc=2033091862&amp;serialnum=1966017707&amp;vr=2.0&amp;fn=_top&amp;sv=Split&amp;tf=-1&amp;pbc=6AA8038C&amp;utid=1" TargetMode="External"/><Relationship Id="rId5" Type="http://schemas.openxmlformats.org/officeDocument/2006/relationships/hyperlink" Target="http://web2.westlaw.com/find/default.wl?mt=Communications&amp;db=350&amp;rs=WLW14.04&amp;tc=-1&amp;rp=%2ffind%2fdefault.wl&amp;findtype=Y&amp;ordoc=2020948946&amp;serialnum=1993038080&amp;vr=2.0&amp;fn=_top&amp;sv=Split&amp;tf=-1&amp;referencepositiontype=S&amp;pbc=6D8E1A57&amp;referenceposition=1213&amp;utid=1" TargetMode="External"/><Relationship Id="rId15" Type="http://schemas.openxmlformats.org/officeDocument/2006/relationships/hyperlink" Target="http://web2.westlaw.com/find/default.wl?mt=Communications&amp;db=0004493&amp;rs=WLW14.04&amp;tc=-1&amp;rp=%2ffind%2fdefault.wl&amp;findtype=Y&amp;ordoc=2033854105&amp;serialnum=2032336560&amp;vr=2.0&amp;fn=_top&amp;sv=Split&amp;tf=-1&amp;referencepositiontype=S&amp;pbc=FEE2E497&amp;referenceposition=17202&amp;utid=1" TargetMode="External"/><Relationship Id="rId10" Type="http://schemas.openxmlformats.org/officeDocument/2006/relationships/hyperlink" Target="http://web2.westlaw.com/find/default.wl?mt=Communications&amp;db=0001017&amp;rs=WLW14.04&amp;tc=-1&amp;rp=%2ffind%2fdefault.wl&amp;findtype=Y&amp;ordoc=2033091862&amp;serialnum=1973029838&amp;vr=2.0&amp;fn=_top&amp;sv=Split&amp;tf=-1&amp;referencepositiontype=S&amp;pbc=6AA8038C&amp;referenceposition=259&amp;utid=1" TargetMode="External"/><Relationship Id="rId4" Type="http://schemas.openxmlformats.org/officeDocument/2006/relationships/hyperlink" Target="http://web2.westlaw.com/find/default.wl?mt=Communications&amp;db=4493&amp;rs=WLW14.04&amp;tc=-1&amp;rp=%2ffind%2fdefault.wl&amp;findtype=Y&amp;ordoc=2020948946&amp;serialnum=2005746761&amp;vr=2.0&amp;fn=_top&amp;sv=Split&amp;tf=-1&amp;referencepositiontype=S&amp;pbc=6D8E1A57&amp;referenceposition=23932&amp;utid=1" TargetMode="External"/><Relationship Id="rId9" Type="http://schemas.openxmlformats.org/officeDocument/2006/relationships/hyperlink" Target="http://web2.westlaw.com/find/default.wl?mt=Communications&amp;db=0004493&amp;rs=WLW14.04&amp;tc=-1&amp;rp=%2ffind%2fdefault.wl&amp;findtype=Y&amp;ordoc=2033091862&amp;serialnum=1994265397&amp;vr=2.0&amp;fn=_top&amp;sv=Split&amp;tf=-1&amp;pbc=6AA8038C&amp;utid=1" TargetMode="External"/><Relationship Id="rId14" Type="http://schemas.openxmlformats.org/officeDocument/2006/relationships/hyperlink" Target="http://web2.westlaw.com/find/default.wl?mt=Communications&amp;db=0004493&amp;rs=WLW14.04&amp;tc=-1&amp;rp=%2ffind%2fdefault.wl&amp;findtype=Y&amp;ordoc=2033854105&amp;serialnum=2032336560&amp;vr=2.0&amp;fn=_top&amp;sv=Split&amp;tf=-1&amp;referencepositiontype=S&amp;pbc=096882D1&amp;referenceposition=17208&amp;ut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4870</Words>
  <Characters>26326</Characters>
  <Application>Microsoft Office Word</Application>
  <DocSecurity>0</DocSecurity>
  <Lines>381</Lines>
  <Paragraphs>72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31339</CharactersWithSpaces>
  <SharedDoc>false</SharedDoc>
  <HyperlinkBase> </HyperlinkBase>
  <HLinks>
    <vt:vector size="60" baseType="variant">
      <vt:variant>
        <vt:i4>3866655</vt:i4>
      </vt:variant>
      <vt:variant>
        <vt:i4>27</vt:i4>
      </vt:variant>
      <vt:variant>
        <vt:i4>0</vt:i4>
      </vt:variant>
      <vt:variant>
        <vt:i4>5</vt:i4>
      </vt:variant>
      <vt:variant>
        <vt:lpwstr>http://web2.westlaw.com/find/default.wl?mt=Communications&amp;db=0004493&amp;rs=WLW13.04&amp;tc=-1&amp;rp=%2ffind%2fdefault.wl&amp;findtype=Y&amp;ordoc=2030461424&amp;serialnum=1997263097&amp;vr=2.0&amp;fn=_top&amp;sv=Split&amp;tf=-1&amp;referencepositiontype=S&amp;pbc=83D96126&amp;referenceposition=17099&amp;utid=1</vt:lpwstr>
      </vt:variant>
      <vt:variant>
        <vt:lpwstr/>
      </vt:variant>
      <vt:variant>
        <vt:i4>7864338</vt:i4>
      </vt:variant>
      <vt:variant>
        <vt:i4>24</vt:i4>
      </vt:variant>
      <vt:variant>
        <vt:i4>0</vt:i4>
      </vt:variant>
      <vt:variant>
        <vt:i4>5</vt:i4>
      </vt:variant>
      <vt:variant>
        <vt:lpwstr>http://web2.westlaw.com/find/default.wl?mt=Communications&amp;db=1000547&amp;rs=WLW14.04&amp;docname=47CFRS1.80&amp;rp=%2ffind%2fdefault.wl&amp;findtype=L&amp;ordoc=2029967801&amp;tc=-1&amp;vr=2.0&amp;fn=_top&amp;sv=Split&amp;tf=-1&amp;pbc=7D895E48&amp;utid=1</vt:lpwstr>
      </vt:variant>
      <vt:variant>
        <vt:lpwstr/>
      </vt:variant>
      <vt:variant>
        <vt:i4>2686991</vt:i4>
      </vt:variant>
      <vt:variant>
        <vt:i4>21</vt:i4>
      </vt:variant>
      <vt:variant>
        <vt:i4>0</vt:i4>
      </vt:variant>
      <vt:variant>
        <vt:i4>5</vt:i4>
      </vt:variant>
      <vt:variant>
        <vt:lpwstr>http://web2.westlaw.com/find/default.wl?mt=Communications&amp;db=0004493&amp;rs=WLW14.04&amp;tc=-1&amp;rp=%2ffind%2fdefault.wl&amp;findtype=Y&amp;ordoc=2029967801&amp;serialnum=2018088205&amp;vr=2.0&amp;fn=_top&amp;sv=Split&amp;tf=-1&amp;referencepositiontype=S&amp;pbc=7D895E48&amp;referenceposition=1273&amp;utid=1</vt:lpwstr>
      </vt:variant>
      <vt:variant>
        <vt:lpwstr/>
      </vt:variant>
      <vt:variant>
        <vt:i4>3932228</vt:i4>
      </vt:variant>
      <vt:variant>
        <vt:i4>18</vt:i4>
      </vt:variant>
      <vt:variant>
        <vt:i4>0</vt:i4>
      </vt:variant>
      <vt:variant>
        <vt:i4>5</vt:i4>
      </vt:variant>
      <vt:variant>
        <vt:lpwstr>http://web2.westlaw.com/find/default.wl?mt=Communications&amp;db=0004493&amp;rs=WLW14.04&amp;tc=-1&amp;rp=%2ffind%2fdefault.wl&amp;findtype=Y&amp;ordoc=2033854105&amp;serialnum=2032612121&amp;vr=2.0&amp;fn=_top&amp;sv=Split&amp;tf=-1&amp;referencepositiontype=S&amp;pbc=096882D1&amp;referenceposition=836&amp;utid=1</vt:lpwstr>
      </vt:variant>
      <vt:variant>
        <vt:lpwstr/>
      </vt:variant>
      <vt:variant>
        <vt:i4>3211283</vt:i4>
      </vt:variant>
      <vt:variant>
        <vt:i4>15</vt:i4>
      </vt:variant>
      <vt:variant>
        <vt:i4>0</vt:i4>
      </vt:variant>
      <vt:variant>
        <vt:i4>5</vt:i4>
      </vt:variant>
      <vt:variant>
        <vt:lpwstr>http://web2.westlaw.com/find/default.wl?mt=Communications&amp;db=0004493&amp;rs=WLW14.04&amp;tc=-1&amp;rp=%2ffind%2fdefault.wl&amp;findtype=Y&amp;ordoc=2033854105&amp;serialnum=2032336560&amp;vr=2.0&amp;fn=_top&amp;sv=Split&amp;tf=-1&amp;referencepositiontype=S&amp;pbc=096882D1&amp;referenceposition=17208&amp;utid=1</vt:lpwstr>
      </vt:variant>
      <vt:variant>
        <vt:lpwstr/>
      </vt:variant>
      <vt:variant>
        <vt:i4>7143505</vt:i4>
      </vt:variant>
      <vt:variant>
        <vt:i4>12</vt:i4>
      </vt:variant>
      <vt:variant>
        <vt:i4>0</vt:i4>
      </vt:variant>
      <vt:variant>
        <vt:i4>5</vt:i4>
      </vt:variant>
      <vt:variant>
        <vt:lpwstr>http://web2.westlaw.com/find/default.wl?mt=Communications&amp;db=1000546&amp;rs=WLW14.04&amp;docname=47USCAS403&amp;rp=%2ffind%2fdefault.wl&amp;findtype=L&amp;ordoc=2005828288&amp;tc=-1&amp;vr=2.0&amp;fn=_top&amp;sv=Split&amp;tf=-1&amp;pbc=A82A9420&amp;utid=1</vt:lpwstr>
      </vt:variant>
      <vt:variant>
        <vt:lpwstr/>
      </vt:variant>
      <vt:variant>
        <vt:i4>4390971</vt:i4>
      </vt:variant>
      <vt:variant>
        <vt:i4>9</vt:i4>
      </vt:variant>
      <vt:variant>
        <vt:i4>0</vt:i4>
      </vt:variant>
      <vt:variant>
        <vt:i4>5</vt:i4>
      </vt:variant>
      <vt:variant>
        <vt:lpwstr>http://web2.westlaw.com/find/default.wl?mt=Communications&amp;db=350&amp;rs=WLW14.04&amp;tc=-1&amp;rp=%2ffind%2fdefault.wl&amp;findtype=Y&amp;ordoc=2020948946&amp;serialnum=1993038080&amp;vr=2.0&amp;fn=_top&amp;sv=Split&amp;tf=-1&amp;referencepositiontype=S&amp;pbc=6D8E1A57&amp;referenceposition=1213&amp;utid=1</vt:lpwstr>
      </vt:variant>
      <vt:variant>
        <vt:lpwstr/>
      </vt:variant>
      <vt:variant>
        <vt:i4>655477</vt:i4>
      </vt:variant>
      <vt:variant>
        <vt:i4>6</vt:i4>
      </vt:variant>
      <vt:variant>
        <vt:i4>0</vt:i4>
      </vt:variant>
      <vt:variant>
        <vt:i4>5</vt:i4>
      </vt:variant>
      <vt:variant>
        <vt:lpwstr>http://web2.westlaw.com/find/default.wl?mt=Communications&amp;db=4493&amp;rs=WLW14.04&amp;tc=-1&amp;rp=%2ffind%2fdefault.wl&amp;findtype=Y&amp;ordoc=2020948946&amp;serialnum=2005746761&amp;vr=2.0&amp;fn=_top&amp;sv=Split&amp;tf=-1&amp;referencepositiontype=S&amp;pbc=6D8E1A57&amp;referenceposition=23932&amp;utid=1</vt:lpwstr>
      </vt:variant>
      <vt:variant>
        <vt:lpwstr/>
      </vt:variant>
      <vt:variant>
        <vt:i4>2424922</vt:i4>
      </vt:variant>
      <vt:variant>
        <vt:i4>3</vt:i4>
      </vt:variant>
      <vt:variant>
        <vt:i4>0</vt:i4>
      </vt:variant>
      <vt:variant>
        <vt:i4>5</vt:i4>
      </vt:variant>
      <vt:variant>
        <vt:lpwstr>http://web2.westlaw.com/find/default.wl?mt=Communications&amp;db=4493&amp;rs=WLW14.04&amp;tc=-1&amp;rp=%2ffind%2fdefault.wl&amp;findtype=Y&amp;ordoc=2020948946&amp;serialnum=1999289283&amp;vr=2.0&amp;fn=_top&amp;sv=Split&amp;tf=-1&amp;referencepositiontype=S&amp;pbc=6D8E1A57&amp;referenceposition=7186&amp;utid=1</vt:lpwstr>
      </vt:variant>
      <vt:variant>
        <vt:lpwstr/>
      </vt:variant>
      <vt:variant>
        <vt:i4>6946883</vt:i4>
      </vt:variant>
      <vt:variant>
        <vt:i4>0</vt:i4>
      </vt:variant>
      <vt:variant>
        <vt:i4>0</vt:i4>
      </vt:variant>
      <vt:variant>
        <vt:i4>5</vt:i4>
      </vt:variant>
      <vt:variant>
        <vt:lpwstr>http://web2.westlaw.com/find/default.wl?mt=Communications&amp;db=780&amp;rs=WLW14.04&amp;tc=-1&amp;rp=%2ffind%2fdefault.wl&amp;findtype=Y&amp;ordoc=2024725669&amp;serialnum=1985114100&amp;vr=2.0&amp;fn=_top&amp;sv=Split&amp;tf=-1&amp;referencepositiontype=S&amp;pbc=E4785F99&amp;referenceposition=831&amp;ut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2014-09-04T16:26:00Z</cp:lastPrinted>
  <dcterms:created xsi:type="dcterms:W3CDTF">2015-01-20T17:45:00Z</dcterms:created>
  <dcterms:modified xsi:type="dcterms:W3CDTF">2015-01-20T17:45:00Z</dcterms:modified>
  <cp:category> </cp:category>
  <cp:contentStatus> </cp:contentStatus>
</cp:coreProperties>
</file>