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9063A3" w:rsidP="00D74F32">
      <w:pPr>
        <w:tabs>
          <w:tab w:val="left" w:pos="7209"/>
        </w:tabs>
      </w:pPr>
      <w:r>
        <w:tab/>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1D6E83" w:rsidP="007115F7">
            <w:pPr>
              <w:tabs>
                <w:tab w:val="center" w:pos="4680"/>
              </w:tabs>
              <w:suppressAutoHyphens/>
              <w:rPr>
                <w:spacing w:val="-2"/>
              </w:rPr>
            </w:pPr>
            <w:r>
              <w:rPr>
                <w:spacing w:val="-2"/>
              </w:rPr>
              <w:t>AT&amp;T Services Inc. and AT&amp;T Corp.,</w:t>
            </w:r>
          </w:p>
          <w:p w:rsidR="001D6E83" w:rsidRDefault="001D6E83" w:rsidP="007115F7">
            <w:pPr>
              <w:tabs>
                <w:tab w:val="center" w:pos="4680"/>
              </w:tabs>
              <w:suppressAutoHyphens/>
              <w:rPr>
                <w:spacing w:val="-2"/>
              </w:rPr>
            </w:pPr>
          </w:p>
          <w:p w:rsidR="001D6E83" w:rsidRDefault="001D6E83" w:rsidP="007115F7">
            <w:pPr>
              <w:tabs>
                <w:tab w:val="center" w:pos="4680"/>
              </w:tabs>
              <w:suppressAutoHyphens/>
              <w:rPr>
                <w:spacing w:val="-2"/>
              </w:rPr>
            </w:pPr>
            <w:r>
              <w:rPr>
                <w:spacing w:val="-2"/>
              </w:rPr>
              <w:t xml:space="preserve">     Complainants,</w:t>
            </w:r>
          </w:p>
          <w:p w:rsidR="001D6E83" w:rsidRDefault="001D6E83" w:rsidP="007115F7">
            <w:pPr>
              <w:tabs>
                <w:tab w:val="center" w:pos="4680"/>
              </w:tabs>
              <w:suppressAutoHyphens/>
              <w:rPr>
                <w:spacing w:val="-2"/>
              </w:rPr>
            </w:pPr>
          </w:p>
          <w:p w:rsidR="001D6E83" w:rsidRDefault="001D6E83" w:rsidP="007115F7">
            <w:pPr>
              <w:tabs>
                <w:tab w:val="center" w:pos="4680"/>
              </w:tabs>
              <w:suppressAutoHyphens/>
              <w:rPr>
                <w:spacing w:val="-2"/>
              </w:rPr>
            </w:pPr>
            <w:r>
              <w:rPr>
                <w:spacing w:val="-2"/>
              </w:rPr>
              <w:t>v.</w:t>
            </w:r>
          </w:p>
          <w:p w:rsidR="001D6E83" w:rsidRDefault="001D6E83" w:rsidP="007115F7">
            <w:pPr>
              <w:tabs>
                <w:tab w:val="center" w:pos="4680"/>
              </w:tabs>
              <w:suppressAutoHyphens/>
              <w:rPr>
                <w:spacing w:val="-2"/>
              </w:rPr>
            </w:pPr>
          </w:p>
          <w:p w:rsidR="001D6E83" w:rsidRDefault="001D6E83" w:rsidP="007115F7">
            <w:pPr>
              <w:tabs>
                <w:tab w:val="center" w:pos="4680"/>
              </w:tabs>
              <w:suppressAutoHyphens/>
              <w:rPr>
                <w:spacing w:val="-2"/>
              </w:rPr>
            </w:pPr>
            <w:r>
              <w:rPr>
                <w:spacing w:val="-2"/>
              </w:rPr>
              <w:t xml:space="preserve">Great Lakes Comnet, Inc. and </w:t>
            </w:r>
          </w:p>
          <w:p w:rsidR="001D6E83" w:rsidRDefault="001D6E83" w:rsidP="007115F7">
            <w:pPr>
              <w:tabs>
                <w:tab w:val="center" w:pos="4680"/>
              </w:tabs>
              <w:suppressAutoHyphens/>
              <w:rPr>
                <w:spacing w:val="-2"/>
              </w:rPr>
            </w:pPr>
            <w:r>
              <w:rPr>
                <w:spacing w:val="-2"/>
              </w:rPr>
              <w:t>Westphalia Telephone Company,</w:t>
            </w:r>
          </w:p>
          <w:p w:rsidR="001D6E83" w:rsidRDefault="001D6E83" w:rsidP="007115F7">
            <w:pPr>
              <w:tabs>
                <w:tab w:val="center" w:pos="4680"/>
              </w:tabs>
              <w:suppressAutoHyphens/>
              <w:rPr>
                <w:spacing w:val="-2"/>
              </w:rPr>
            </w:pPr>
          </w:p>
          <w:p w:rsidR="001D6E83" w:rsidRDefault="001D6E83" w:rsidP="007115F7">
            <w:pPr>
              <w:tabs>
                <w:tab w:val="center" w:pos="4680"/>
              </w:tabs>
              <w:suppressAutoHyphens/>
              <w:rPr>
                <w:spacing w:val="-2"/>
              </w:rPr>
            </w:pPr>
            <w:r>
              <w:rPr>
                <w:spacing w:val="-2"/>
              </w:rPr>
              <w:t xml:space="preserve">     Defendants.</w:t>
            </w:r>
          </w:p>
          <w:p w:rsidR="001D6E83" w:rsidRPr="007115F7" w:rsidRDefault="001D6E83" w:rsidP="007115F7">
            <w:pPr>
              <w:tabs>
                <w:tab w:val="center" w:pos="4680"/>
              </w:tabs>
              <w:suppressAutoHyphens/>
              <w:rPr>
                <w:spacing w:val="-2"/>
              </w:rPr>
            </w:pP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1D6E83" w:rsidRDefault="001D6E83">
            <w:pPr>
              <w:tabs>
                <w:tab w:val="center" w:pos="4680"/>
              </w:tabs>
              <w:suppressAutoHyphens/>
              <w:rPr>
                <w:b/>
                <w:spacing w:val="-2"/>
              </w:rPr>
            </w:pPr>
            <w:r>
              <w:rPr>
                <w:b/>
                <w:spacing w:val="-2"/>
              </w:rPr>
              <w:t>)</w:t>
            </w:r>
          </w:p>
          <w:p w:rsidR="001D6E83" w:rsidRDefault="001D6E83">
            <w:pPr>
              <w:tabs>
                <w:tab w:val="center" w:pos="4680"/>
              </w:tabs>
              <w:suppressAutoHyphens/>
              <w:rPr>
                <w:b/>
                <w:spacing w:val="-2"/>
              </w:rPr>
            </w:pPr>
            <w:r>
              <w:rPr>
                <w:b/>
                <w:spacing w:val="-2"/>
              </w:rPr>
              <w:t>)</w:t>
            </w:r>
          </w:p>
          <w:p w:rsidR="001D6E83" w:rsidRDefault="001D6E8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FD1C92" w:rsidRDefault="00FD1C92">
            <w:pPr>
              <w:tabs>
                <w:tab w:val="center" w:pos="4680"/>
              </w:tabs>
              <w:suppressAutoHyphens/>
              <w:rPr>
                <w:spacing w:val="-2"/>
              </w:rPr>
            </w:pPr>
          </w:p>
          <w:p w:rsidR="00FD1C92" w:rsidRDefault="00FD1C92">
            <w:pPr>
              <w:tabs>
                <w:tab w:val="center" w:pos="4680"/>
              </w:tabs>
              <w:suppressAutoHyphens/>
              <w:rPr>
                <w:spacing w:val="-2"/>
              </w:rPr>
            </w:pPr>
          </w:p>
          <w:p w:rsidR="00FD1C92" w:rsidRDefault="00FD1C92">
            <w:pPr>
              <w:tabs>
                <w:tab w:val="center" w:pos="4680"/>
              </w:tabs>
              <w:suppressAutoHyphens/>
              <w:rPr>
                <w:spacing w:val="-2"/>
              </w:rPr>
            </w:pPr>
          </w:p>
          <w:p w:rsidR="00FD1C92" w:rsidRDefault="00176979" w:rsidP="00FD1C92">
            <w:pPr>
              <w:tabs>
                <w:tab w:val="center" w:pos="4680"/>
              </w:tabs>
              <w:suppressAutoHyphens/>
              <w:rPr>
                <w:spacing w:val="-2"/>
              </w:rPr>
            </w:pPr>
            <w:r>
              <w:rPr>
                <w:spacing w:val="-2"/>
              </w:rPr>
              <w:t xml:space="preserve">EB Docket </w:t>
            </w:r>
            <w:r w:rsidR="00FD1C92">
              <w:rPr>
                <w:spacing w:val="-2"/>
              </w:rPr>
              <w:t>No. 14-222</w:t>
            </w:r>
          </w:p>
          <w:p w:rsidR="004C2EE3" w:rsidRDefault="00FD1C92">
            <w:pPr>
              <w:tabs>
                <w:tab w:val="center" w:pos="4680"/>
              </w:tabs>
              <w:suppressAutoHyphens/>
              <w:rPr>
                <w:spacing w:val="-2"/>
              </w:rPr>
            </w:pPr>
            <w:r>
              <w:rPr>
                <w:spacing w:val="-2"/>
              </w:rPr>
              <w:t>File No. EB-14-MD-013</w:t>
            </w:r>
          </w:p>
        </w:tc>
      </w:tr>
    </w:tbl>
    <w:p w:rsidR="004C2EE3" w:rsidRDefault="004C2EE3" w:rsidP="0070224F"/>
    <w:p w:rsidR="00841AB1" w:rsidRDefault="00273217"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273159">
        <w:rPr>
          <w:b/>
          <w:spacing w:val="-2"/>
        </w:rPr>
        <w:t>March 17,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73159">
        <w:rPr>
          <w:b/>
          <w:spacing w:val="-2"/>
        </w:rPr>
        <w:t>March 18, 2015</w:t>
      </w:r>
    </w:p>
    <w:p w:rsidR="00822CE0" w:rsidRDefault="00822CE0"/>
    <w:p w:rsidR="004C2EE3" w:rsidRDefault="004C2EE3">
      <w:pPr>
        <w:rPr>
          <w:spacing w:val="-2"/>
        </w:rPr>
      </w:pPr>
      <w:r>
        <w:t xml:space="preserve">By </w:t>
      </w:r>
      <w:r w:rsidR="004E4A22">
        <w:t>the</w:t>
      </w:r>
      <w:r w:rsidR="002A2D2E">
        <w:t xml:space="preserve"> </w:t>
      </w:r>
      <w:r w:rsidR="001D6E83">
        <w:rPr>
          <w:spacing w:val="-2"/>
        </w:rPr>
        <w:t>Commission</w:t>
      </w:r>
      <w:r>
        <w:rPr>
          <w:spacing w:val="-2"/>
        </w:rPr>
        <w:t>:</w:t>
      </w:r>
    </w:p>
    <w:p w:rsidR="00412FC5" w:rsidRDefault="00412FC5" w:rsidP="00412FC5"/>
    <w:p w:rsidR="00A87414" w:rsidRDefault="00A87414" w:rsidP="00A87414">
      <w:pPr>
        <w:pStyle w:val="Heading1"/>
      </w:pPr>
      <w:r>
        <w:t>INTRODUCTION</w:t>
      </w:r>
    </w:p>
    <w:p w:rsidR="00394F52" w:rsidRPr="005D0057" w:rsidRDefault="006B3163" w:rsidP="00F06FBB">
      <w:pPr>
        <w:pStyle w:val="ParaNum"/>
      </w:pPr>
      <w:r>
        <w:t xml:space="preserve">Complainants AT&amp;T </w:t>
      </w:r>
      <w:r w:rsidRPr="00550230">
        <w:t>Services Inc. and AT&amp;T Corp. (collectively, AT&amp;T)</w:t>
      </w:r>
      <w:r>
        <w:t xml:space="preserve"> allege that </w:t>
      </w:r>
      <w:r w:rsidR="005D0057">
        <w:t xml:space="preserve">Great </w:t>
      </w:r>
      <w:r w:rsidR="005D0057" w:rsidRPr="00550230">
        <w:t xml:space="preserve">Lakes Comnet, Inc. </w:t>
      </w:r>
      <w:r w:rsidR="005D0057">
        <w:t xml:space="preserve">(GLC) charged them unlawful </w:t>
      </w:r>
      <w:r>
        <w:t xml:space="preserve">tariffed rates for interstate access services.  In this Memorandum Opinion and Order, we grant AT&amp;T’s complaint in part because we find that </w:t>
      </w:r>
      <w:r w:rsidR="00D522EE">
        <w:t xml:space="preserve">GLC violated the Commission’s </w:t>
      </w:r>
      <w:r w:rsidR="00935FD8">
        <w:t>R</w:t>
      </w:r>
      <w:r w:rsidR="00D522EE">
        <w:t>ules for the tariffing of such services by a competitive local exchange carrier</w:t>
      </w:r>
      <w:r>
        <w:t>.</w:t>
      </w:r>
      <w:r w:rsidR="005D0057">
        <w:t xml:space="preserve">  </w:t>
      </w:r>
    </w:p>
    <w:p w:rsidR="00771304" w:rsidRDefault="005D0057" w:rsidP="00F06FBB">
      <w:pPr>
        <w:pStyle w:val="ParaNum"/>
      </w:pPr>
      <w:r>
        <w:t xml:space="preserve">Specifically, </w:t>
      </w:r>
      <w:r w:rsidR="00DE3E7F">
        <w:t xml:space="preserve">we grant Count I of AT&amp;T’s formal complaint against </w:t>
      </w:r>
      <w:r w:rsidR="00DE3E7F" w:rsidRPr="00550230">
        <w:rPr>
          <w:szCs w:val="22"/>
        </w:rPr>
        <w:t>G</w:t>
      </w:r>
      <w:r w:rsidR="00DE3E7F">
        <w:rPr>
          <w:szCs w:val="22"/>
        </w:rPr>
        <w:t>LC</w:t>
      </w:r>
      <w:r w:rsidR="00DE3E7F" w:rsidRPr="00550230">
        <w:rPr>
          <w:szCs w:val="22"/>
        </w:rPr>
        <w:t xml:space="preserve"> and Westphalia Telephone Company (WTC) (collectively, Defendants)</w:t>
      </w:r>
      <w:r w:rsidR="005F21B2">
        <w:rPr>
          <w:szCs w:val="22"/>
        </w:rPr>
        <w:t>,</w:t>
      </w:r>
      <w:r w:rsidR="00DE3E7F">
        <w:rPr>
          <w:rStyle w:val="FootnoteReference"/>
          <w:szCs w:val="22"/>
        </w:rPr>
        <w:footnoteReference w:id="2"/>
      </w:r>
      <w:r w:rsidR="00DE3E7F" w:rsidRPr="00550230">
        <w:rPr>
          <w:szCs w:val="22"/>
        </w:rPr>
        <w:t xml:space="preserve"> </w:t>
      </w:r>
      <w:r w:rsidR="005F21B2">
        <w:rPr>
          <w:szCs w:val="22"/>
        </w:rPr>
        <w:t xml:space="preserve">which </w:t>
      </w:r>
      <w:r w:rsidR="00DE6B65" w:rsidRPr="00550230">
        <w:t xml:space="preserve">alleges that </w:t>
      </w:r>
      <w:r w:rsidR="001719C0">
        <w:t>GLC</w:t>
      </w:r>
      <w:r w:rsidR="00DE6B65" w:rsidRPr="00550230">
        <w:t xml:space="preserve"> </w:t>
      </w:r>
      <w:r w:rsidR="005F21B2">
        <w:t>billed AT&amp;T for interstate access services under an unlawful tariff</w:t>
      </w:r>
      <w:r w:rsidR="00DE6B65">
        <w:t>.</w:t>
      </w:r>
      <w:r w:rsidR="00DE6B65" w:rsidRPr="00391653">
        <w:rPr>
          <w:rStyle w:val="FootnoteReference"/>
          <w:szCs w:val="22"/>
        </w:rPr>
        <w:footnoteReference w:id="3"/>
      </w:r>
      <w:r w:rsidR="00DE6B65">
        <w:t xml:space="preserve">  </w:t>
      </w:r>
      <w:r w:rsidR="00ED0249">
        <w:t xml:space="preserve">We </w:t>
      </w:r>
      <w:r w:rsidR="005B2162">
        <w:t>agree</w:t>
      </w:r>
      <w:r w:rsidR="001C6E18">
        <w:t xml:space="preserve"> with AT&amp;T</w:t>
      </w:r>
      <w:r w:rsidR="005B2162">
        <w:t xml:space="preserve">.  We </w:t>
      </w:r>
      <w:r w:rsidR="00511A80">
        <w:t>find</w:t>
      </w:r>
      <w:r w:rsidR="00ED0249">
        <w:t xml:space="preserve"> that </w:t>
      </w:r>
      <w:r w:rsidR="00511A80">
        <w:t xml:space="preserve">GLC </w:t>
      </w:r>
      <w:r w:rsidR="00717EED">
        <w:t>violated</w:t>
      </w:r>
      <w:r w:rsidR="00ED0249">
        <w:t xml:space="preserve"> </w:t>
      </w:r>
      <w:r w:rsidR="005F21B2">
        <w:t>the Commission’s Rules govern</w:t>
      </w:r>
      <w:r w:rsidR="00D522EE">
        <w:t>ing</w:t>
      </w:r>
      <w:r w:rsidR="005F21B2">
        <w:t xml:space="preserve"> </w:t>
      </w:r>
      <w:r w:rsidR="00D522EE">
        <w:t xml:space="preserve">competitive local exchange carrier </w:t>
      </w:r>
      <w:r w:rsidR="005F21B2">
        <w:t>tariffs for interstate access services,</w:t>
      </w:r>
      <w:r w:rsidR="00D522EE">
        <w:rPr>
          <w:rStyle w:val="FootnoteReference"/>
        </w:rPr>
        <w:footnoteReference w:id="4"/>
      </w:r>
      <w:r w:rsidR="005F21B2">
        <w:t xml:space="preserve"> </w:t>
      </w:r>
      <w:r w:rsidR="00F4025D">
        <w:t xml:space="preserve">and that </w:t>
      </w:r>
      <w:r w:rsidR="004702B9">
        <w:t xml:space="preserve">the </w:t>
      </w:r>
      <w:r w:rsidR="00F4025D">
        <w:t>tariff therefore is</w:t>
      </w:r>
      <w:r w:rsidR="00ED0249">
        <w:t xml:space="preserve"> unlawful.</w:t>
      </w:r>
      <w:r w:rsidR="00310958">
        <w:rPr>
          <w:rStyle w:val="FootnoteReference"/>
        </w:rPr>
        <w:footnoteReference w:id="5"/>
      </w:r>
      <w:r w:rsidR="00511A80">
        <w:t xml:space="preserve">  </w:t>
      </w:r>
    </w:p>
    <w:p w:rsidR="00DE3E7F" w:rsidRDefault="00771304" w:rsidP="00F06FBB">
      <w:pPr>
        <w:pStyle w:val="ParaNum"/>
      </w:pPr>
      <w:r>
        <w:lastRenderedPageBreak/>
        <w:t xml:space="preserve">We also grant AT&amp;T’s claim in Count III that </w:t>
      </w:r>
      <w:r w:rsidRPr="00177162">
        <w:rPr>
          <w:szCs w:val="22"/>
        </w:rPr>
        <w:t xml:space="preserve">WTC </w:t>
      </w:r>
      <w:r>
        <w:rPr>
          <w:szCs w:val="22"/>
        </w:rPr>
        <w:t xml:space="preserve">unlawfully </w:t>
      </w:r>
      <w:r w:rsidRPr="00177162">
        <w:rPr>
          <w:szCs w:val="22"/>
        </w:rPr>
        <w:t>billed for services prior to May 20</w:t>
      </w:r>
      <w:r>
        <w:rPr>
          <w:szCs w:val="22"/>
        </w:rPr>
        <w:t xml:space="preserve">13 </w:t>
      </w:r>
      <w:r w:rsidR="007E29F1">
        <w:rPr>
          <w:szCs w:val="22"/>
        </w:rPr>
        <w:t>that GLC provided</w:t>
      </w:r>
      <w:r>
        <w:rPr>
          <w:szCs w:val="22"/>
        </w:rPr>
        <w:t>.</w:t>
      </w:r>
      <w:r>
        <w:rPr>
          <w:rStyle w:val="FootnoteReference"/>
          <w:szCs w:val="22"/>
        </w:rPr>
        <w:footnoteReference w:id="6"/>
      </w:r>
      <w:r>
        <w:t xml:space="preserve">  </w:t>
      </w:r>
      <w:r>
        <w:rPr>
          <w:szCs w:val="22"/>
        </w:rPr>
        <w:t xml:space="preserve">Defendants admit that WTC improperly billed AT&amp;T at WTC’s rates and under WTC’s </w:t>
      </w:r>
      <w:r>
        <w:t>operating company number (</w:t>
      </w:r>
      <w:r w:rsidRPr="00AC4F3E">
        <w:t>OCN</w:t>
      </w:r>
      <w:r>
        <w:t>)</w:t>
      </w:r>
      <w:r w:rsidRPr="00AC4F3E">
        <w:t xml:space="preserve"> </w:t>
      </w:r>
      <w:r>
        <w:t>for services GLC actually provided.</w:t>
      </w:r>
      <w:r>
        <w:rPr>
          <w:rStyle w:val="FootnoteReference"/>
          <w:szCs w:val="22"/>
        </w:rPr>
        <w:footnoteReference w:id="7"/>
      </w:r>
      <w:r>
        <w:rPr>
          <w:szCs w:val="22"/>
        </w:rPr>
        <w:t xml:space="preserve">  We therefore grant Count III of the Complaint to the extent it challenges those bills.  </w:t>
      </w:r>
      <w:r w:rsidR="00511A80">
        <w:t xml:space="preserve">We dismiss the remainder of the Complaint.  </w:t>
      </w:r>
    </w:p>
    <w:p w:rsidR="00DE3E7F" w:rsidRPr="009515FE" w:rsidRDefault="00DE3E7F" w:rsidP="00F06FBB">
      <w:pPr>
        <w:pStyle w:val="ParaNum"/>
      </w:pPr>
      <w:r>
        <w:t xml:space="preserve">In accordance with </w:t>
      </w:r>
      <w:r w:rsidRPr="004F04B7">
        <w:t xml:space="preserve">the Commission’s </w:t>
      </w:r>
      <w:r w:rsidR="00F4025D">
        <w:t>R</w:t>
      </w:r>
      <w:r w:rsidRPr="004F04B7">
        <w:t>ules,</w:t>
      </w:r>
      <w:r w:rsidR="00D522EE">
        <w:rPr>
          <w:rStyle w:val="FootnoteReference"/>
        </w:rPr>
        <w:footnoteReference w:id="8"/>
      </w:r>
      <w:r w:rsidRPr="004F04B7">
        <w:t xml:space="preserve"> </w:t>
      </w:r>
      <w:r w:rsidR="00511A80">
        <w:t>AT&amp;T bifurcated its</w:t>
      </w:r>
      <w:r>
        <w:t xml:space="preserve"> </w:t>
      </w:r>
      <w:r w:rsidRPr="004F04B7">
        <w:t>liability and damages claims</w:t>
      </w:r>
      <w:r w:rsidR="00511A80">
        <w:t xml:space="preserve"> in the Complaint</w:t>
      </w:r>
      <w:r w:rsidRPr="004F04B7">
        <w:t>.</w:t>
      </w:r>
      <w:r>
        <w:rPr>
          <w:rStyle w:val="FootnoteReference"/>
        </w:rPr>
        <w:footnoteReference w:id="9"/>
      </w:r>
      <w:r>
        <w:t xml:space="preserve">  </w:t>
      </w:r>
      <w:r>
        <w:rPr>
          <w:szCs w:val="22"/>
        </w:rPr>
        <w:t xml:space="preserve">As a result, AT&amp;T is entitled to pursue an award of damages to be determined in </w:t>
      </w:r>
      <w:r w:rsidR="005B2162">
        <w:rPr>
          <w:szCs w:val="22"/>
        </w:rPr>
        <w:t>the next</w:t>
      </w:r>
      <w:r>
        <w:rPr>
          <w:szCs w:val="22"/>
        </w:rPr>
        <w:t xml:space="preserve"> phase of this proceeding.  </w:t>
      </w:r>
    </w:p>
    <w:p w:rsidR="009515FE" w:rsidRPr="009515FE" w:rsidRDefault="009515FE" w:rsidP="009515FE">
      <w:pPr>
        <w:pStyle w:val="Heading1"/>
      </w:pPr>
      <w:r>
        <w:t>BACKGROUND</w:t>
      </w:r>
    </w:p>
    <w:p w:rsidR="00ED70F8" w:rsidRPr="00DA2A98" w:rsidRDefault="00ED70F8" w:rsidP="0026533E">
      <w:pPr>
        <w:pStyle w:val="Heading2"/>
      </w:pPr>
      <w:r>
        <w:t xml:space="preserve">Parties </w:t>
      </w:r>
    </w:p>
    <w:p w:rsidR="00ED70F8" w:rsidRDefault="00ED70F8" w:rsidP="00B427C8">
      <w:pPr>
        <w:pStyle w:val="ParaNum"/>
      </w:pPr>
      <w:r>
        <w:t xml:space="preserve">Complainant AT&amp;T Services Inc. </w:t>
      </w:r>
      <w:r w:rsidR="00DF09DF">
        <w:t>performs</w:t>
      </w:r>
      <w:r>
        <w:t xml:space="preserve"> centralized administrative support services</w:t>
      </w:r>
      <w:r w:rsidR="00DF09DF">
        <w:t xml:space="preserve">, including </w:t>
      </w:r>
      <w:r>
        <w:t>information technology and billing, real estate, procurement, human resources, training, and finance.</w:t>
      </w:r>
      <w:r>
        <w:rPr>
          <w:rStyle w:val="FootnoteReference"/>
        </w:rPr>
        <w:footnoteReference w:id="10"/>
      </w:r>
      <w:r>
        <w:t xml:space="preserve">  Complainant AT&amp;T Corp. is an interexchange carrier (IXC) that provides long-distance service, including 8YY </w:t>
      </w:r>
      <w:r w:rsidR="00F4025D">
        <w:t>(</w:t>
      </w:r>
      <w:r w:rsidR="00F4025D" w:rsidRPr="00745F90">
        <w:t>i.e.</w:t>
      </w:r>
      <w:r w:rsidR="00F4025D">
        <w:t xml:space="preserve">, 1-800) </w:t>
      </w:r>
      <w:r>
        <w:t>toll-free service, to end users across the country.</w:t>
      </w:r>
      <w:r>
        <w:rPr>
          <w:rStyle w:val="FootnoteReference"/>
        </w:rPr>
        <w:footnoteReference w:id="11"/>
      </w:r>
      <w:r w:rsidR="00394EBB">
        <w:t xml:space="preserve">  AT&amp;T Corp. is the entity involved with routing the traffic in dispute.</w:t>
      </w:r>
      <w:r w:rsidR="00394EBB">
        <w:rPr>
          <w:rStyle w:val="FootnoteReference"/>
        </w:rPr>
        <w:footnoteReference w:id="12"/>
      </w:r>
    </w:p>
    <w:p w:rsidR="00ED70F8" w:rsidRDefault="00ED70F8" w:rsidP="00ED70F8">
      <w:pPr>
        <w:pStyle w:val="ParaNum"/>
      </w:pPr>
      <w:r>
        <w:t xml:space="preserve">Defendant WTC is a rural incumbent local exchange carrier </w:t>
      </w:r>
      <w:r w:rsidR="00ED1586">
        <w:t xml:space="preserve">(ILEC) </w:t>
      </w:r>
      <w:r>
        <w:t>that provides telephone exchange and exchange access services to business and residential customers in Michigan through its main switch in Westphalia, Michigan.</w:t>
      </w:r>
      <w:r>
        <w:rPr>
          <w:rStyle w:val="FootnoteReference"/>
        </w:rPr>
        <w:footnoteReference w:id="13"/>
      </w:r>
      <w:r>
        <w:t xml:space="preserve">  WTC </w:t>
      </w:r>
      <w:r w:rsidR="000778DA">
        <w:t xml:space="preserve">acts as </w:t>
      </w:r>
      <w:r w:rsidR="00B324C4">
        <w:t xml:space="preserve">a </w:t>
      </w:r>
      <w:r w:rsidR="000778DA">
        <w:t xml:space="preserve">billing agent for </w:t>
      </w:r>
      <w:r w:rsidR="00586E15">
        <w:t>other</w:t>
      </w:r>
      <w:r w:rsidR="000778DA">
        <w:t xml:space="preserve"> carriers, including GLC.</w:t>
      </w:r>
      <w:r>
        <w:rPr>
          <w:rStyle w:val="FootnoteReference"/>
        </w:rPr>
        <w:footnoteReference w:id="14"/>
      </w:r>
      <w:r>
        <w:t xml:space="preserve">  Clinton County Telephone Company (CCTC)</w:t>
      </w:r>
      <w:r w:rsidR="00B638AD">
        <w:t xml:space="preserve"> owns WTC</w:t>
      </w:r>
      <w:r w:rsidR="00790DAF">
        <w:t>.</w:t>
      </w:r>
      <w:r>
        <w:rPr>
          <w:rStyle w:val="FootnoteReference"/>
        </w:rPr>
        <w:footnoteReference w:id="15"/>
      </w:r>
      <w:r>
        <w:t xml:space="preserve">  </w:t>
      </w:r>
    </w:p>
    <w:p w:rsidR="00ED70F8" w:rsidRDefault="00ED70F8" w:rsidP="00847A58">
      <w:pPr>
        <w:pStyle w:val="ParaNum"/>
        <w:widowControl/>
      </w:pPr>
      <w:r>
        <w:t xml:space="preserve">GLC is </w:t>
      </w:r>
      <w:r w:rsidR="00B638AD">
        <w:t xml:space="preserve">registered with the Michigan Public Service Commission as </w:t>
      </w:r>
      <w:r>
        <w:t>a facilities-based competitive access provider (CAP).</w:t>
      </w:r>
      <w:r>
        <w:rPr>
          <w:rStyle w:val="FootnoteReference"/>
        </w:rPr>
        <w:footnoteReference w:id="16"/>
      </w:r>
      <w:r>
        <w:t xml:space="preserve">  GLC </w:t>
      </w:r>
      <w:r w:rsidR="007147B9">
        <w:t>provides interstate switched and special access services, including tandem switched transport, tandem switched facility, tandem switched termination</w:t>
      </w:r>
      <w:r w:rsidR="00B638AD">
        <w:t>,</w:t>
      </w:r>
      <w:r w:rsidR="007147B9">
        <w:t xml:space="preserve"> and tandem </w:t>
      </w:r>
      <w:r w:rsidR="007147B9">
        <w:lastRenderedPageBreak/>
        <w:t>switching</w:t>
      </w:r>
      <w:r w:rsidR="00DF09DF">
        <w:t xml:space="preserve"> via a tandem switch located in Westphalia, Michigan</w:t>
      </w:r>
      <w:r w:rsidR="007147B9">
        <w:t>.</w:t>
      </w:r>
      <w:r w:rsidR="007147B9">
        <w:rPr>
          <w:rStyle w:val="FootnoteReference"/>
        </w:rPr>
        <w:footnoteReference w:id="17"/>
      </w:r>
      <w:r w:rsidR="007147B9">
        <w:t xml:space="preserve">  </w:t>
      </w:r>
      <w:r w:rsidR="00C04FE5">
        <w:t>GLC has facilities located in both rural and urban areas</w:t>
      </w:r>
      <w:r w:rsidR="008E24A3">
        <w:t>.</w:t>
      </w:r>
      <w:r>
        <w:rPr>
          <w:rStyle w:val="FootnoteReference"/>
        </w:rPr>
        <w:footnoteReference w:id="18"/>
      </w:r>
      <w:r>
        <w:t xml:space="preserve"> </w:t>
      </w:r>
      <w:r w:rsidR="008E24A3">
        <w:t xml:space="preserve"> GLC</w:t>
      </w:r>
      <w:r w:rsidR="00A65345">
        <w:t xml:space="preserve"> owns CCTC and</w:t>
      </w:r>
      <w:r w:rsidR="00B638AD">
        <w:t>, therefore,</w:t>
      </w:r>
      <w:r w:rsidR="00A65345">
        <w:t xml:space="preserve"> WTC.</w:t>
      </w:r>
      <w:r w:rsidR="00A65345">
        <w:rPr>
          <w:rStyle w:val="FootnoteReference"/>
        </w:rPr>
        <w:footnoteReference w:id="19"/>
      </w:r>
      <w:r w:rsidR="00A65345">
        <w:t xml:space="preserve">  </w:t>
      </w:r>
    </w:p>
    <w:p w:rsidR="00ED70F8" w:rsidRDefault="00ED70F8" w:rsidP="0026533E">
      <w:pPr>
        <w:pStyle w:val="Heading2"/>
      </w:pPr>
      <w:r>
        <w:t>Relevant Non-Part</w:t>
      </w:r>
      <w:r w:rsidR="00711816">
        <w:t>ies</w:t>
      </w:r>
      <w:r w:rsidR="00E229BB">
        <w:rPr>
          <w:rStyle w:val="FootnoteReference"/>
        </w:rPr>
        <w:footnoteReference w:id="20"/>
      </w:r>
      <w:r>
        <w:t xml:space="preserve"> </w:t>
      </w:r>
    </w:p>
    <w:p w:rsidR="007A2123" w:rsidRDefault="00835CFE" w:rsidP="00414834">
      <w:pPr>
        <w:pStyle w:val="ParaNum"/>
      </w:pPr>
      <w:r>
        <w:t xml:space="preserve">123.net a/k/a </w:t>
      </w:r>
      <w:r w:rsidR="00ED70F8">
        <w:t xml:space="preserve">Local Exchange Carriers of Michigan, Inc. (LEC-MI) is a </w:t>
      </w:r>
      <w:r w:rsidR="00D522EE">
        <w:t>competitive local exchange carrier (</w:t>
      </w:r>
      <w:r w:rsidR="00F4025D">
        <w:t>CLEC</w:t>
      </w:r>
      <w:r w:rsidR="00D522EE">
        <w:t>)</w:t>
      </w:r>
      <w:r w:rsidR="00F4025D">
        <w:t xml:space="preserve"> </w:t>
      </w:r>
      <w:r w:rsidR="00ED70F8">
        <w:t>that operates a</w:t>
      </w:r>
      <w:r>
        <w:t>n end office</w:t>
      </w:r>
      <w:r w:rsidR="00ED70F8">
        <w:t xml:space="preserve"> switch in Southfield, Michigan</w:t>
      </w:r>
      <w:r w:rsidR="00ED1586">
        <w:t xml:space="preserve"> (</w:t>
      </w:r>
      <w:r w:rsidR="00ED70F8">
        <w:t>a suburb of Detroit</w:t>
      </w:r>
      <w:r w:rsidR="00ED1586">
        <w:t>)</w:t>
      </w:r>
      <w:r w:rsidR="00ED70F8">
        <w:t>.</w:t>
      </w:r>
      <w:r w:rsidR="00415A3A">
        <w:rPr>
          <w:rStyle w:val="FootnoteReference"/>
        </w:rPr>
        <w:footnoteReference w:id="21"/>
      </w:r>
      <w:r w:rsidR="00ED70F8">
        <w:t xml:space="preserve">  </w:t>
      </w:r>
      <w:r w:rsidR="00415A3A">
        <w:t>Between October 21, 2003</w:t>
      </w:r>
      <w:r w:rsidR="00B638AD">
        <w:t xml:space="preserve">, and </w:t>
      </w:r>
      <w:r w:rsidR="00415A3A">
        <w:t xml:space="preserve">September 19, 2014, </w:t>
      </w:r>
      <w:r w:rsidR="00ED70F8">
        <w:t>LEC-MI</w:t>
      </w:r>
      <w:r w:rsidR="003127F8">
        <w:t xml:space="preserve"> connected its</w:t>
      </w:r>
      <w:r w:rsidR="00415A3A">
        <w:t xml:space="preserve"> end office switch </w:t>
      </w:r>
      <w:r w:rsidR="00A368E5">
        <w:t>to GLC</w:t>
      </w:r>
      <w:r w:rsidR="00415A3A">
        <w:t>’s tandem switch</w:t>
      </w:r>
      <w:r w:rsidR="00ED70F8">
        <w:t>.</w:t>
      </w:r>
      <w:r w:rsidR="00ED70F8">
        <w:rPr>
          <w:rStyle w:val="FootnoteReference"/>
        </w:rPr>
        <w:footnoteReference w:id="22"/>
      </w:r>
      <w:r w:rsidR="00ED70F8">
        <w:t xml:space="preserve">  </w:t>
      </w:r>
      <w:r w:rsidR="001858DF">
        <w:t>LEC-MI is not affiliated with GLC or WTC.</w:t>
      </w:r>
      <w:r w:rsidR="001858DF">
        <w:rPr>
          <w:rStyle w:val="FootnoteReference"/>
        </w:rPr>
        <w:footnoteReference w:id="23"/>
      </w:r>
      <w:r w:rsidR="003163EF">
        <w:t xml:space="preserve">  </w:t>
      </w:r>
    </w:p>
    <w:p w:rsidR="00D1579B" w:rsidRPr="00694A0B" w:rsidRDefault="00D1579B" w:rsidP="00D1579B">
      <w:pPr>
        <w:pStyle w:val="ParaNum"/>
      </w:pPr>
      <w:r>
        <w:t xml:space="preserve">“Traffic </w:t>
      </w:r>
      <w:r w:rsidR="00AE46EA">
        <w:t>a</w:t>
      </w:r>
      <w:r>
        <w:t xml:space="preserve">ggregators” </w:t>
      </w:r>
      <w:r w:rsidR="00B638AD">
        <w:t xml:space="preserve">in this case are </w:t>
      </w:r>
      <w:r>
        <w:t>intermediate service providers that carry calls from wireless carriers to the facilities of LEC-MI and/or Defendants.</w:t>
      </w:r>
      <w:r>
        <w:rPr>
          <w:rStyle w:val="FootnoteReference"/>
        </w:rPr>
        <w:footnoteReference w:id="24"/>
      </w:r>
      <w:r>
        <w:t xml:space="preserve">  </w:t>
      </w:r>
    </w:p>
    <w:p w:rsidR="00ED70F8" w:rsidRDefault="00ED70F8" w:rsidP="0026533E">
      <w:pPr>
        <w:pStyle w:val="Heading2"/>
      </w:pPr>
      <w:r>
        <w:t xml:space="preserve">The Commission’s </w:t>
      </w:r>
      <w:r w:rsidR="001C5749">
        <w:t xml:space="preserve">CLEC </w:t>
      </w:r>
      <w:r>
        <w:t>Access Tariff Regime</w:t>
      </w:r>
    </w:p>
    <w:p w:rsidR="005A182F" w:rsidRPr="00B56952" w:rsidRDefault="001C5749" w:rsidP="0084028E">
      <w:pPr>
        <w:pStyle w:val="ParaNum"/>
      </w:pPr>
      <w:r>
        <w:rPr>
          <w:szCs w:val="22"/>
        </w:rPr>
        <w:t xml:space="preserve">Under the Commission’s </w:t>
      </w:r>
      <w:r w:rsidR="00935FD8">
        <w:rPr>
          <w:szCs w:val="22"/>
        </w:rPr>
        <w:t>R</w:t>
      </w:r>
      <w:r>
        <w:rPr>
          <w:szCs w:val="22"/>
        </w:rPr>
        <w:t>ules</w:t>
      </w:r>
      <w:r w:rsidR="001719C0">
        <w:rPr>
          <w:szCs w:val="22"/>
        </w:rPr>
        <w:t xml:space="preserve"> governing the tariffing of competitive interstate switched exchange access services</w:t>
      </w:r>
      <w:r>
        <w:rPr>
          <w:szCs w:val="22"/>
        </w:rPr>
        <w:t>, CLECs are l</w:t>
      </w:r>
      <w:r w:rsidR="005A182F" w:rsidRPr="006A4026">
        <w:rPr>
          <w:szCs w:val="22"/>
        </w:rPr>
        <w:t>ocal exchange carriers that are not ILECs</w:t>
      </w:r>
      <w:r w:rsidR="00F4025D">
        <w:rPr>
          <w:szCs w:val="22"/>
        </w:rPr>
        <w:t>,</w:t>
      </w:r>
      <w:r w:rsidR="005A182F" w:rsidRPr="006A4026">
        <w:rPr>
          <w:szCs w:val="22"/>
        </w:rPr>
        <w:t xml:space="preserve"> but that provide some or all of </w:t>
      </w:r>
      <w:r w:rsidR="00777DB6">
        <w:rPr>
          <w:szCs w:val="22"/>
        </w:rPr>
        <w:t xml:space="preserve">the </w:t>
      </w:r>
      <w:r w:rsidR="005A182F" w:rsidRPr="006A4026">
        <w:rPr>
          <w:szCs w:val="22"/>
        </w:rPr>
        <w:t>interstate exchange access services used to send traffic to or from an end user.</w:t>
      </w:r>
      <w:r w:rsidR="005A182F" w:rsidRPr="005F7EDD">
        <w:rPr>
          <w:rStyle w:val="FootnoteReference"/>
          <w:szCs w:val="22"/>
        </w:rPr>
        <w:footnoteReference w:id="25"/>
      </w:r>
      <w:r w:rsidR="005A182F" w:rsidRPr="006A4026">
        <w:rPr>
          <w:szCs w:val="22"/>
        </w:rPr>
        <w:t xml:space="preserve">  </w:t>
      </w:r>
      <w:r>
        <w:rPr>
          <w:szCs w:val="22"/>
        </w:rPr>
        <w:t xml:space="preserve">There are two means by which </w:t>
      </w:r>
      <w:r w:rsidR="00630F84">
        <w:rPr>
          <w:szCs w:val="22"/>
        </w:rPr>
        <w:t>a CLEC</w:t>
      </w:r>
      <w:r>
        <w:rPr>
          <w:szCs w:val="22"/>
        </w:rPr>
        <w:t xml:space="preserve"> </w:t>
      </w:r>
      <w:r w:rsidR="005A182F" w:rsidRPr="006A4026">
        <w:rPr>
          <w:szCs w:val="22"/>
        </w:rPr>
        <w:t xml:space="preserve">can provide </w:t>
      </w:r>
      <w:r w:rsidR="00630F84">
        <w:rPr>
          <w:szCs w:val="22"/>
        </w:rPr>
        <w:t>an IXC</w:t>
      </w:r>
      <w:r w:rsidR="00264AE4">
        <w:rPr>
          <w:szCs w:val="22"/>
        </w:rPr>
        <w:t xml:space="preserve"> with, </w:t>
      </w:r>
      <w:r w:rsidR="005A182F" w:rsidRPr="006A4026">
        <w:rPr>
          <w:szCs w:val="22"/>
        </w:rPr>
        <w:t>and charge for</w:t>
      </w:r>
      <w:r w:rsidR="00264AE4">
        <w:rPr>
          <w:szCs w:val="22"/>
        </w:rPr>
        <w:t>,</w:t>
      </w:r>
      <w:r w:rsidR="005A182F" w:rsidRPr="006A4026">
        <w:rPr>
          <w:szCs w:val="22"/>
        </w:rPr>
        <w:t xml:space="preserve"> interstate access services</w:t>
      </w:r>
      <w:r w:rsidR="00DE5112">
        <w:rPr>
          <w:szCs w:val="22"/>
        </w:rPr>
        <w:t>.</w:t>
      </w:r>
      <w:r w:rsidR="000D7604">
        <w:rPr>
          <w:rStyle w:val="FootnoteReference"/>
          <w:szCs w:val="22"/>
        </w:rPr>
        <w:footnoteReference w:id="26"/>
      </w:r>
      <w:r w:rsidR="005A182F" w:rsidRPr="006A4026">
        <w:rPr>
          <w:szCs w:val="22"/>
        </w:rPr>
        <w:t xml:space="preserve">  First, a CLEC may tariff interstate access charges if </w:t>
      </w:r>
      <w:r w:rsidR="003E1208">
        <w:rPr>
          <w:szCs w:val="22"/>
        </w:rPr>
        <w:t>its</w:t>
      </w:r>
      <w:r w:rsidR="005A182F" w:rsidRPr="006A4026">
        <w:rPr>
          <w:szCs w:val="22"/>
        </w:rPr>
        <w:t xml:space="preserve"> rates are no higher than the rate</w:t>
      </w:r>
      <w:r w:rsidR="00C42D3F">
        <w:rPr>
          <w:szCs w:val="22"/>
        </w:rPr>
        <w:t>s</w:t>
      </w:r>
      <w:r w:rsidR="005A182F" w:rsidRPr="006A4026">
        <w:rPr>
          <w:szCs w:val="22"/>
        </w:rPr>
        <w:t xml:space="preserve"> charged for such services by the competing ILEC (the benchmark rule).</w:t>
      </w:r>
      <w:r w:rsidR="005A182F" w:rsidRPr="005F7EDD">
        <w:rPr>
          <w:rStyle w:val="FootnoteReference"/>
          <w:szCs w:val="22"/>
        </w:rPr>
        <w:footnoteReference w:id="27"/>
      </w:r>
      <w:r w:rsidR="005A182F" w:rsidRPr="006A4026">
        <w:rPr>
          <w:szCs w:val="22"/>
        </w:rPr>
        <w:t xml:space="preserve">  </w:t>
      </w:r>
      <w:r w:rsidR="00414834">
        <w:rPr>
          <w:szCs w:val="22"/>
        </w:rPr>
        <w:t xml:space="preserve">If a CLEC provides only a </w:t>
      </w:r>
      <w:r w:rsidR="00777DB6">
        <w:rPr>
          <w:szCs w:val="22"/>
        </w:rPr>
        <w:t>“</w:t>
      </w:r>
      <w:r w:rsidR="00414834" w:rsidRPr="00DC6234">
        <w:rPr>
          <w:szCs w:val="22"/>
        </w:rPr>
        <w:t>portion of the switched exchange access services used to send traffic to or from an end user not served by th</w:t>
      </w:r>
      <w:r w:rsidR="00414834">
        <w:rPr>
          <w:szCs w:val="22"/>
        </w:rPr>
        <w:t>at CLEC,</w:t>
      </w:r>
      <w:r w:rsidR="00777DB6">
        <w:rPr>
          <w:szCs w:val="22"/>
        </w:rPr>
        <w:t>”</w:t>
      </w:r>
      <w:r w:rsidR="00414834">
        <w:rPr>
          <w:szCs w:val="22"/>
        </w:rPr>
        <w:t xml:space="preserve"> its rate must </w:t>
      </w:r>
      <w:r w:rsidR="00777DB6">
        <w:rPr>
          <w:szCs w:val="22"/>
        </w:rPr>
        <w:t>“</w:t>
      </w:r>
      <w:r w:rsidR="00414834">
        <w:rPr>
          <w:szCs w:val="22"/>
        </w:rPr>
        <w:t>not exceed the rate charged by the competing ILEC for the same access service</w:t>
      </w:r>
      <w:r w:rsidR="00777DB6">
        <w:rPr>
          <w:szCs w:val="22"/>
        </w:rPr>
        <w:t>s.</w:t>
      </w:r>
      <w:r w:rsidR="00310958">
        <w:rPr>
          <w:szCs w:val="22"/>
        </w:rPr>
        <w:t>”</w:t>
      </w:r>
      <w:r w:rsidR="00414834">
        <w:rPr>
          <w:rStyle w:val="FootnoteReference"/>
          <w:szCs w:val="22"/>
        </w:rPr>
        <w:footnoteReference w:id="28"/>
      </w:r>
      <w:r w:rsidR="00414834">
        <w:rPr>
          <w:szCs w:val="22"/>
        </w:rPr>
        <w:t xml:space="preserve">  T</w:t>
      </w:r>
      <w:r w:rsidR="00414834" w:rsidRPr="00DC6234">
        <w:rPr>
          <w:szCs w:val="22"/>
        </w:rPr>
        <w:t xml:space="preserve">he Commission exempts a narrow class of rural CLECs from its </w:t>
      </w:r>
      <w:r w:rsidR="0084028E">
        <w:rPr>
          <w:szCs w:val="22"/>
        </w:rPr>
        <w:t>benchmark rule</w:t>
      </w:r>
      <w:r w:rsidR="00414834" w:rsidRPr="00DC6234">
        <w:rPr>
          <w:szCs w:val="22"/>
        </w:rPr>
        <w:t>,</w:t>
      </w:r>
      <w:bookmarkStart w:id="1" w:name="_Ref409510198"/>
      <w:r w:rsidR="00414834">
        <w:rPr>
          <w:rStyle w:val="FootnoteReference"/>
          <w:szCs w:val="22"/>
        </w:rPr>
        <w:footnoteReference w:id="29"/>
      </w:r>
      <w:bookmarkEnd w:id="1"/>
      <w:r w:rsidR="00414834" w:rsidRPr="00DC6234">
        <w:rPr>
          <w:szCs w:val="22"/>
        </w:rPr>
        <w:t xml:space="preserve"> </w:t>
      </w:r>
      <w:r w:rsidR="0084028E">
        <w:rPr>
          <w:szCs w:val="22"/>
        </w:rPr>
        <w:t xml:space="preserve">however, </w:t>
      </w:r>
      <w:r w:rsidR="00414834" w:rsidRPr="00DC6234">
        <w:rPr>
          <w:szCs w:val="22"/>
        </w:rPr>
        <w:t xml:space="preserve">permitting qualifying carriers to file tariffs containing rates “at the level of those in the NECA </w:t>
      </w:r>
      <w:r w:rsidR="00414834">
        <w:rPr>
          <w:szCs w:val="22"/>
        </w:rPr>
        <w:t xml:space="preserve">[National Exchange </w:t>
      </w:r>
      <w:r w:rsidR="00414834">
        <w:rPr>
          <w:szCs w:val="22"/>
        </w:rPr>
        <w:lastRenderedPageBreak/>
        <w:t xml:space="preserve">Carrier Association] </w:t>
      </w:r>
      <w:r w:rsidR="00414834" w:rsidRPr="00DC6234">
        <w:rPr>
          <w:szCs w:val="22"/>
        </w:rPr>
        <w:t>access tariff.”</w:t>
      </w:r>
      <w:r w:rsidR="00414834">
        <w:rPr>
          <w:rStyle w:val="FootnoteReference"/>
          <w:szCs w:val="22"/>
        </w:rPr>
        <w:footnoteReference w:id="30"/>
      </w:r>
      <w:r w:rsidR="00414834">
        <w:rPr>
          <w:szCs w:val="22"/>
        </w:rPr>
        <w:t xml:space="preserve">  </w:t>
      </w:r>
      <w:r w:rsidR="00804941">
        <w:rPr>
          <w:szCs w:val="22"/>
        </w:rPr>
        <w:t xml:space="preserve">Second, </w:t>
      </w:r>
      <w:r w:rsidR="0084028E">
        <w:rPr>
          <w:szCs w:val="22"/>
        </w:rPr>
        <w:t xml:space="preserve">as an alternative to tariffing, </w:t>
      </w:r>
      <w:r w:rsidR="00804941" w:rsidRPr="006A4026">
        <w:rPr>
          <w:szCs w:val="22"/>
        </w:rPr>
        <w:t xml:space="preserve">a CLEC may negotiate and enter into </w:t>
      </w:r>
      <w:r w:rsidR="00804941">
        <w:rPr>
          <w:szCs w:val="22"/>
        </w:rPr>
        <w:t xml:space="preserve">an </w:t>
      </w:r>
      <w:r w:rsidR="00804941" w:rsidRPr="006A4026">
        <w:rPr>
          <w:szCs w:val="22"/>
        </w:rPr>
        <w:t xml:space="preserve">agreement with </w:t>
      </w:r>
      <w:r w:rsidR="00804941">
        <w:rPr>
          <w:szCs w:val="22"/>
        </w:rPr>
        <w:t xml:space="preserve">an </w:t>
      </w:r>
      <w:r w:rsidR="00804941" w:rsidRPr="006A4026">
        <w:rPr>
          <w:szCs w:val="22"/>
        </w:rPr>
        <w:t>IXC to charge rates higher than those permitted under the benchmark rule.</w:t>
      </w:r>
      <w:r w:rsidR="00804941" w:rsidRPr="005F7EDD">
        <w:rPr>
          <w:rStyle w:val="FootnoteReference"/>
          <w:szCs w:val="22"/>
        </w:rPr>
        <w:footnoteReference w:id="31"/>
      </w:r>
      <w:r w:rsidR="00C42D3F" w:rsidRPr="0084028E">
        <w:rPr>
          <w:szCs w:val="22"/>
        </w:rPr>
        <w:t xml:space="preserve"> </w:t>
      </w:r>
      <w:r w:rsidR="00BB2B89" w:rsidRPr="0084028E">
        <w:rPr>
          <w:szCs w:val="22"/>
        </w:rPr>
        <w:t xml:space="preserve"> </w:t>
      </w:r>
      <w:r w:rsidR="00776485" w:rsidRPr="0084028E">
        <w:rPr>
          <w:szCs w:val="22"/>
        </w:rPr>
        <w:t xml:space="preserve">  </w:t>
      </w:r>
    </w:p>
    <w:p w:rsidR="005A182F" w:rsidRPr="005A182F" w:rsidRDefault="00C42D3F" w:rsidP="0080334F">
      <w:pPr>
        <w:pStyle w:val="ParaNum"/>
      </w:pPr>
      <w:r>
        <w:t>T</w:t>
      </w:r>
      <w:r w:rsidR="00DC6234" w:rsidRPr="00DC6234">
        <w:t>he Commission</w:t>
      </w:r>
      <w:r>
        <w:t xml:space="preserve"> also has promulgated rules</w:t>
      </w:r>
      <w:r w:rsidR="00BC066E">
        <w:t xml:space="preserve"> to address CLECs engaged in “access stimulation</w:t>
      </w:r>
      <w:r w:rsidR="00E86889">
        <w:t>,</w:t>
      </w:r>
      <w:r w:rsidR="00BC066E">
        <w:t>”</w:t>
      </w:r>
      <w:r w:rsidR="00BC066E">
        <w:rPr>
          <w:rStyle w:val="FootnoteReference"/>
        </w:rPr>
        <w:footnoteReference w:id="32"/>
      </w:r>
      <w:r w:rsidR="00BC066E">
        <w:t xml:space="preserve"> </w:t>
      </w:r>
      <w:r w:rsidR="00E86889">
        <w:rPr>
          <w:szCs w:val="22"/>
        </w:rPr>
        <w:t>which</w:t>
      </w:r>
      <w:r w:rsidR="00BC066E" w:rsidRPr="00BC066E">
        <w:rPr>
          <w:szCs w:val="22"/>
        </w:rPr>
        <w:t xml:space="preserve"> occurs when a LEC with high switched access rates enters into an arrangement with a provider of high call volume operations to stimulate the access minutes terminated to the LEC</w:t>
      </w:r>
      <w:r w:rsidR="00E86889">
        <w:rPr>
          <w:szCs w:val="22"/>
        </w:rPr>
        <w:t>.</w:t>
      </w:r>
      <w:r w:rsidR="00137F2D">
        <w:rPr>
          <w:rStyle w:val="FootnoteReference"/>
          <w:szCs w:val="22"/>
        </w:rPr>
        <w:footnoteReference w:id="33"/>
      </w:r>
      <w:r w:rsidR="00E86889">
        <w:rPr>
          <w:szCs w:val="22"/>
        </w:rPr>
        <w:t xml:space="preserve">  T</w:t>
      </w:r>
      <w:r w:rsidR="00BC066E" w:rsidRPr="00BC066E">
        <w:rPr>
          <w:szCs w:val="22"/>
        </w:rPr>
        <w:t>he LEC then shares a portion of the increased access revenues resulting from the increased demand</w:t>
      </w:r>
      <w:r w:rsidR="00E86889">
        <w:rPr>
          <w:szCs w:val="22"/>
        </w:rPr>
        <w:t>,</w:t>
      </w:r>
      <w:r w:rsidR="00BC066E" w:rsidRPr="00BC066E">
        <w:rPr>
          <w:szCs w:val="22"/>
        </w:rPr>
        <w:t xml:space="preserve"> </w:t>
      </w:r>
      <w:r w:rsidR="00E86889" w:rsidRPr="00BC066E">
        <w:rPr>
          <w:szCs w:val="22"/>
        </w:rPr>
        <w:t>or some other benefit</w:t>
      </w:r>
      <w:r w:rsidR="00E86889">
        <w:rPr>
          <w:szCs w:val="22"/>
        </w:rPr>
        <w:t>,</w:t>
      </w:r>
      <w:r w:rsidR="00E86889" w:rsidRPr="00BC066E">
        <w:rPr>
          <w:szCs w:val="22"/>
        </w:rPr>
        <w:t xml:space="preserve"> </w:t>
      </w:r>
      <w:r w:rsidR="00BC066E" w:rsidRPr="00BC066E">
        <w:rPr>
          <w:szCs w:val="22"/>
        </w:rPr>
        <w:t>with the service provider.</w:t>
      </w:r>
      <w:r w:rsidR="00DC6234">
        <w:rPr>
          <w:rStyle w:val="FootnoteReference"/>
          <w:szCs w:val="22"/>
        </w:rPr>
        <w:footnoteReference w:id="34"/>
      </w:r>
      <w:r w:rsidR="00C70ABC">
        <w:t xml:space="preserve">  CLECs engaged in access stimulation may charge rates</w:t>
      </w:r>
      <w:r w:rsidR="00DC6234" w:rsidRPr="00DC6234">
        <w:t xml:space="preserve"> that are no greater than the </w:t>
      </w:r>
      <w:r w:rsidR="00CE4057">
        <w:t xml:space="preserve">interstate switched access rates of the </w:t>
      </w:r>
      <w:r w:rsidR="00DC6234" w:rsidRPr="00DC6234">
        <w:t>lowest price cap LEC</w:t>
      </w:r>
      <w:r w:rsidR="00CE4057">
        <w:t xml:space="preserve"> in the state</w:t>
      </w:r>
      <w:r w:rsidR="00DC6234" w:rsidRPr="00DC6234">
        <w:t>.</w:t>
      </w:r>
      <w:r w:rsidR="00DC6234">
        <w:rPr>
          <w:rStyle w:val="FootnoteReference"/>
          <w:szCs w:val="22"/>
        </w:rPr>
        <w:footnoteReference w:id="35"/>
      </w:r>
    </w:p>
    <w:p w:rsidR="00283A9B" w:rsidRDefault="00283A9B" w:rsidP="0026533E">
      <w:pPr>
        <w:pStyle w:val="Heading2"/>
      </w:pPr>
      <w:r>
        <w:t>Defendants’ Tari</w:t>
      </w:r>
      <w:r w:rsidR="00124F69">
        <w:t>ffs for Switched Access Service</w:t>
      </w:r>
    </w:p>
    <w:p w:rsidR="00283A9B" w:rsidRDefault="0098541F" w:rsidP="00283A9B">
      <w:pPr>
        <w:pStyle w:val="ParaNum"/>
      </w:pPr>
      <w:r>
        <w:t>WTC is a member of N</w:t>
      </w:r>
      <w:r w:rsidR="00AB0A42">
        <w:t>ECA</w:t>
      </w:r>
      <w:r w:rsidR="00033CAB">
        <w:t>,</w:t>
      </w:r>
      <w:r>
        <w:rPr>
          <w:rStyle w:val="FootnoteReference"/>
        </w:rPr>
        <w:footnoteReference w:id="36"/>
      </w:r>
      <w:r>
        <w:t xml:space="preserve"> and </w:t>
      </w:r>
      <w:r w:rsidR="00033CAB">
        <w:t xml:space="preserve">it </w:t>
      </w:r>
      <w:r>
        <w:t>participates in NECA Tariff No. 5.</w:t>
      </w:r>
      <w:r>
        <w:rPr>
          <w:rStyle w:val="FootnoteReference"/>
        </w:rPr>
        <w:footnoteReference w:id="37"/>
      </w:r>
      <w:r>
        <w:t xml:space="preserve">  </w:t>
      </w:r>
      <w:r w:rsidR="00283A9B">
        <w:t xml:space="preserve">GLC </w:t>
      </w:r>
      <w:r w:rsidR="008C50B9">
        <w:t xml:space="preserve">filed an interstate </w:t>
      </w:r>
      <w:r w:rsidR="00461A34">
        <w:t xml:space="preserve">switched and special </w:t>
      </w:r>
      <w:r w:rsidR="008C50B9">
        <w:t>access service tariff (GLC Tariff).</w:t>
      </w:r>
      <w:r w:rsidR="00283A9B">
        <w:rPr>
          <w:rStyle w:val="FootnoteReference"/>
        </w:rPr>
        <w:footnoteReference w:id="38"/>
      </w:r>
      <w:r w:rsidR="00283A9B">
        <w:t xml:space="preserve"> </w:t>
      </w:r>
      <w:r w:rsidR="008C50B9">
        <w:t xml:space="preserve"> </w:t>
      </w:r>
      <w:r w:rsidR="00036D4F">
        <w:t>Although GLC is not a NECA member,</w:t>
      </w:r>
      <w:r w:rsidR="00036D4F">
        <w:rPr>
          <w:rStyle w:val="FootnoteReference"/>
        </w:rPr>
        <w:footnoteReference w:id="39"/>
      </w:r>
      <w:r w:rsidR="00036D4F">
        <w:t xml:space="preserve"> t</w:t>
      </w:r>
      <w:r w:rsidR="008C50B9">
        <w:t xml:space="preserve">he rates in the GLC Tariff reference the rates in NECA </w:t>
      </w:r>
      <w:r w:rsidR="00AD28B7">
        <w:t>Tariff No. 5</w:t>
      </w:r>
      <w:r w:rsidR="008C50B9">
        <w:t xml:space="preserve"> for the same services.</w:t>
      </w:r>
      <w:r w:rsidR="00150C86">
        <w:rPr>
          <w:rStyle w:val="FootnoteReference"/>
        </w:rPr>
        <w:footnoteReference w:id="40"/>
      </w:r>
      <w:r w:rsidR="00283A9B">
        <w:t xml:space="preserve">  </w:t>
      </w:r>
      <w:r w:rsidR="00036D4F">
        <w:t xml:space="preserve">The </w:t>
      </w:r>
      <w:r w:rsidR="00283A9B">
        <w:t xml:space="preserve">GLC </w:t>
      </w:r>
      <w:r w:rsidR="00036D4F">
        <w:t>T</w:t>
      </w:r>
      <w:r w:rsidR="00283A9B">
        <w:t>ariff has been in effect since April 2, 2002</w:t>
      </w:r>
      <w:r w:rsidR="00BA7CEA">
        <w:t>.</w:t>
      </w:r>
      <w:r w:rsidR="00283A9B">
        <w:rPr>
          <w:rStyle w:val="FootnoteReference"/>
        </w:rPr>
        <w:footnoteReference w:id="41"/>
      </w:r>
      <w:r w:rsidR="00283A9B">
        <w:t xml:space="preserve">  </w:t>
      </w:r>
    </w:p>
    <w:p w:rsidR="00814714" w:rsidRDefault="008244AF" w:rsidP="0026533E">
      <w:pPr>
        <w:pStyle w:val="Heading2"/>
      </w:pPr>
      <w:r>
        <w:t>8YY Wireless Traffic Aggregation</w:t>
      </w:r>
      <w:r w:rsidR="0000058D">
        <w:t xml:space="preserve"> and Routing</w:t>
      </w:r>
    </w:p>
    <w:p w:rsidR="0027641E" w:rsidRDefault="00814714" w:rsidP="00847A58">
      <w:pPr>
        <w:pStyle w:val="ParaNum"/>
        <w:widowControl/>
      </w:pPr>
      <w:r>
        <w:t>Wireless carriers generally cannot file tariffs for</w:t>
      </w:r>
      <w:r w:rsidR="00F40628">
        <w:t>, or collect tariffed fees relating to,</w:t>
      </w:r>
      <w:r w:rsidR="00396293">
        <w:t xml:space="preserve"> </w:t>
      </w:r>
      <w:r>
        <w:t>switched access services</w:t>
      </w:r>
      <w:r w:rsidR="00F40628">
        <w:t>.</w:t>
      </w:r>
      <w:r w:rsidR="00EA097D">
        <w:rPr>
          <w:rStyle w:val="FootnoteReference"/>
        </w:rPr>
        <w:footnoteReference w:id="42"/>
      </w:r>
      <w:r w:rsidR="00F40628">
        <w:t xml:space="preserve">  </w:t>
      </w:r>
      <w:r w:rsidR="00B763E0">
        <w:t>Som</w:t>
      </w:r>
      <w:r>
        <w:t xml:space="preserve">e wireless carriers direct </w:t>
      </w:r>
      <w:r w:rsidR="006523CD">
        <w:t xml:space="preserve">wireless-originated 8YY traffic </w:t>
      </w:r>
      <w:r>
        <w:t xml:space="preserve">to traffic aggregators </w:t>
      </w:r>
      <w:r w:rsidR="006523CD">
        <w:t>that se</w:t>
      </w:r>
      <w:r>
        <w:t xml:space="preserve">nd the calls to wireline LECs, which </w:t>
      </w:r>
      <w:r w:rsidR="006523CD">
        <w:t xml:space="preserve">in turn </w:t>
      </w:r>
      <w:r>
        <w:t>charge</w:t>
      </w:r>
      <w:r w:rsidR="002906E5">
        <w:t xml:space="preserve"> </w:t>
      </w:r>
      <w:r>
        <w:t>for switched access service</w:t>
      </w:r>
      <w:r w:rsidR="00BF4C77">
        <w:t>s provided by the wireline LECs</w:t>
      </w:r>
      <w:r>
        <w:t>.</w:t>
      </w:r>
      <w:r w:rsidR="00A43E98">
        <w:rPr>
          <w:rStyle w:val="FootnoteReference"/>
        </w:rPr>
        <w:footnoteReference w:id="43"/>
      </w:r>
      <w:r>
        <w:t xml:space="preserve">  </w:t>
      </w:r>
      <w:r w:rsidR="006523CD">
        <w:t>Th</w:t>
      </w:r>
      <w:r>
        <w:t xml:space="preserve">e LECs </w:t>
      </w:r>
      <w:r w:rsidR="006523CD">
        <w:t xml:space="preserve">and the traffic aggregators often </w:t>
      </w:r>
      <w:r>
        <w:t>share the access revenues</w:t>
      </w:r>
      <w:r w:rsidR="00113685">
        <w:t xml:space="preserve">.  </w:t>
      </w:r>
      <w:r w:rsidR="00113685">
        <w:lastRenderedPageBreak/>
        <w:t xml:space="preserve">Pursuant to agreements between the wireless carrier and the aggregator, the wireless carrier </w:t>
      </w:r>
      <w:r w:rsidR="005C64A1">
        <w:t xml:space="preserve">ultimately </w:t>
      </w:r>
      <w:r w:rsidR="00113685">
        <w:t>receives</w:t>
      </w:r>
      <w:r w:rsidR="00ED41BB">
        <w:t xml:space="preserve"> payment for the aggregated traffic</w:t>
      </w:r>
      <w:r>
        <w:t>.</w:t>
      </w:r>
      <w:r w:rsidR="00502644">
        <w:rPr>
          <w:rStyle w:val="FootnoteReference"/>
        </w:rPr>
        <w:footnoteReference w:id="44"/>
      </w:r>
      <w:r>
        <w:t xml:space="preserve">  </w:t>
      </w:r>
    </w:p>
    <w:p w:rsidR="009972C5" w:rsidRDefault="009F5031" w:rsidP="00301FBF">
      <w:pPr>
        <w:pStyle w:val="ParaNum"/>
      </w:pPr>
      <w:r>
        <w:t>In 2010, Defendants</w:t>
      </w:r>
      <w:r w:rsidR="00E061BB">
        <w:t>’</w:t>
      </w:r>
      <w:r>
        <w:t xml:space="preserve"> charges to AT&amp;T grew substantially due to the aggregation of 8YY traffic that originated from wireless customers throughout the country.</w:t>
      </w:r>
      <w:r>
        <w:rPr>
          <w:rStyle w:val="FootnoteReference"/>
        </w:rPr>
        <w:footnoteReference w:id="45"/>
      </w:r>
      <w:r>
        <w:t xml:space="preserve">  The wireless carriers routed the 8YY calls to traffic aggregators </w:t>
      </w:r>
      <w:r w:rsidR="00C0418A">
        <w:t xml:space="preserve">that had contracts or other arrangements </w:t>
      </w:r>
      <w:r>
        <w:t>with the wireless carriers.</w:t>
      </w:r>
      <w:r>
        <w:rPr>
          <w:rStyle w:val="FootnoteReference"/>
        </w:rPr>
        <w:footnoteReference w:id="46"/>
      </w:r>
      <w:r>
        <w:t xml:space="preserve">  </w:t>
      </w:r>
      <w:r w:rsidR="005C64A1">
        <w:t>T</w:t>
      </w:r>
      <w:r>
        <w:t xml:space="preserve">he parties disagree as to the exact routing and arrangements related to the 8YY traffic after it was </w:t>
      </w:r>
      <w:r w:rsidR="002906E5">
        <w:t>a</w:t>
      </w:r>
      <w:r>
        <w:t>ggregated</w:t>
      </w:r>
      <w:r w:rsidR="005C64A1">
        <w:t>.  Nonetheless</w:t>
      </w:r>
      <w:r>
        <w:t>, they agree</w:t>
      </w:r>
      <w:r w:rsidR="005C64A1">
        <w:t xml:space="preserve"> generally</w:t>
      </w:r>
      <w:r>
        <w:t xml:space="preserve"> that</w:t>
      </w:r>
      <w:r w:rsidR="005C64A1">
        <w:t>,</w:t>
      </w:r>
      <w:r>
        <w:t xml:space="preserve"> </w:t>
      </w:r>
      <w:r w:rsidR="00E061BB">
        <w:t xml:space="preserve">after </w:t>
      </w:r>
      <w:r>
        <w:t>the traffic aggregators</w:t>
      </w:r>
      <w:r w:rsidR="00E061BB">
        <w:t xml:space="preserve"> handled the traffic</w:t>
      </w:r>
      <w:r w:rsidR="005C64A1">
        <w:t>,</w:t>
      </w:r>
      <w:r>
        <w:t xml:space="preserve"> it was handed off to intermediate service providers and delivered to an end-office switch operated by LEC-MI.</w:t>
      </w:r>
      <w:r>
        <w:rPr>
          <w:rStyle w:val="FootnoteReference"/>
        </w:rPr>
        <w:footnoteReference w:id="47"/>
      </w:r>
      <w:r>
        <w:t xml:space="preserve">  LEC-MI established an IP point of interconnection for this traffic </w:t>
      </w:r>
      <w:r w:rsidR="00371533">
        <w:t xml:space="preserve">and </w:t>
      </w:r>
      <w:r w:rsidR="002C0CA4">
        <w:t>sent</w:t>
      </w:r>
      <w:r w:rsidR="00371533">
        <w:t xml:space="preserve"> the traffic to GLC</w:t>
      </w:r>
      <w:r>
        <w:t>.</w:t>
      </w:r>
      <w:r>
        <w:rPr>
          <w:rStyle w:val="FootnoteReference"/>
        </w:rPr>
        <w:footnoteReference w:id="48"/>
      </w:r>
      <w:r>
        <w:t xml:space="preserve">  Thereafter, the aggregated 8YY wireless traffic was transported 83 airline miles between Southfield, Michigan</w:t>
      </w:r>
      <w:r w:rsidR="005C64A1">
        <w:t>,</w:t>
      </w:r>
      <w:r>
        <w:t xml:space="preserve"> and Westphalia, Michigan.</w:t>
      </w:r>
      <w:r>
        <w:rPr>
          <w:rStyle w:val="FootnoteReference"/>
        </w:rPr>
        <w:footnoteReference w:id="49"/>
      </w:r>
      <w:r>
        <w:t xml:space="preserve">  Finally, GLC identified AT&amp;T as the long distance carrier providing the 8YY service, and directed the traffic to AT&amp;T for completion.</w:t>
      </w:r>
      <w:bookmarkStart w:id="2" w:name="_Ref405548089"/>
      <w:r>
        <w:rPr>
          <w:rStyle w:val="FootnoteReference"/>
        </w:rPr>
        <w:footnoteReference w:id="50"/>
      </w:r>
      <w:bookmarkEnd w:id="2"/>
    </w:p>
    <w:p w:rsidR="005C64A1" w:rsidRDefault="005C64A1" w:rsidP="0080334F">
      <w:pPr>
        <w:pStyle w:val="ParaNum"/>
      </w:pPr>
      <w:bookmarkStart w:id="3" w:name="_Ref408913939"/>
      <w:r>
        <w:t>From 2010 to 2013, GLC had an access revenue sharing agreement with IBDC</w:t>
      </w:r>
      <w:r w:rsidR="002C0CA4">
        <w:t xml:space="preserve"> Telecom Corporation</w:t>
      </w:r>
      <w:r>
        <w:t>, one of the traffic aggregators.</w:t>
      </w:r>
      <w:r>
        <w:rPr>
          <w:rStyle w:val="FootnoteReference"/>
        </w:rPr>
        <w:footnoteReference w:id="51"/>
      </w:r>
      <w:r>
        <w:t xml:space="preserve">  </w:t>
      </w:r>
      <w:r w:rsidRPr="005C64A1">
        <w:t>GLC also had an access revenue sharing arrangement with LEC-MI,</w:t>
      </w:r>
      <w:r>
        <w:t xml:space="preserve"> which GLC canceled as of January 1, 2012.</w:t>
      </w:r>
      <w:r>
        <w:rPr>
          <w:rStyle w:val="FootnoteReference"/>
        </w:rPr>
        <w:footnoteReference w:id="52"/>
      </w:r>
      <w:bookmarkEnd w:id="3"/>
      <w:r w:rsidR="00ED41BB">
        <w:t xml:space="preserve">  </w:t>
      </w:r>
      <w:r w:rsidR="00ED41BB" w:rsidRPr="00ED41BB">
        <w:t>Under the agreements, GLC paid IBDC and LEC-MI a portion of the access charges GLC received from AT&amp;T in exchange for IBDC and LEC-MI sending the traffic to GLC’s tandem</w:t>
      </w:r>
      <w:r w:rsidR="00ED41BB">
        <w:t>.</w:t>
      </w:r>
      <w:r w:rsidR="00ED41BB">
        <w:rPr>
          <w:rStyle w:val="FootnoteReference"/>
        </w:rPr>
        <w:footnoteReference w:id="53"/>
      </w:r>
    </w:p>
    <w:p w:rsidR="007D352A" w:rsidRDefault="007D352A" w:rsidP="0026533E">
      <w:pPr>
        <w:pStyle w:val="Heading2"/>
      </w:pPr>
      <w:r>
        <w:t>The Disputed Access Rates</w:t>
      </w:r>
    </w:p>
    <w:p w:rsidR="0035250F" w:rsidRPr="00C86E55" w:rsidRDefault="0035250F" w:rsidP="0035250F">
      <w:pPr>
        <w:pStyle w:val="ParaNum"/>
      </w:pPr>
      <w:r w:rsidRPr="00C86E55">
        <w:t>On March 20, 2013, AT&amp;T disputed WTC’s charges and routing practices.</w:t>
      </w:r>
      <w:r w:rsidR="007662A3">
        <w:rPr>
          <w:rStyle w:val="FootnoteReference"/>
        </w:rPr>
        <w:footnoteReference w:id="54"/>
      </w:r>
      <w:r w:rsidR="007662A3" w:rsidRPr="00C86E55">
        <w:t xml:space="preserve"> </w:t>
      </w:r>
      <w:r w:rsidRPr="00C86E55">
        <w:t xml:space="preserve">  Among other things, AT&amp;T complained that WTC could not properly bill for 83 miles of transport because the traffic crossed LATA boundaries, and WTC’s tariff provides that its access services must be provided within a single LATA.</w:t>
      </w:r>
      <w:r w:rsidR="00E4330D">
        <w:rPr>
          <w:rStyle w:val="FootnoteReference"/>
        </w:rPr>
        <w:footnoteReference w:id="55"/>
      </w:r>
      <w:r w:rsidRPr="00C86E55">
        <w:t xml:space="preserve">  In addition, AT&amp;T complained that WTC improperly billed for tandem switching when GLC owned and operated the tandem switch.</w:t>
      </w:r>
      <w:r>
        <w:rPr>
          <w:rStyle w:val="FootnoteReference"/>
        </w:rPr>
        <w:footnoteReference w:id="56"/>
      </w:r>
      <w:r w:rsidRPr="00C86E55">
        <w:t xml:space="preserve">  </w:t>
      </w:r>
    </w:p>
    <w:p w:rsidR="00C90AC5" w:rsidRDefault="00C90AC5" w:rsidP="00847A58">
      <w:pPr>
        <w:pStyle w:val="ParaNum"/>
        <w:widowControl/>
      </w:pPr>
      <w:r>
        <w:lastRenderedPageBreak/>
        <w:t>Defendants billed AT&amp;T for tandem transport, tandem switching, tandem switched termination, and an 8YY database query charge.</w:t>
      </w:r>
      <w:r>
        <w:rPr>
          <w:rStyle w:val="FootnoteReference"/>
        </w:rPr>
        <w:footnoteReference w:id="57"/>
      </w:r>
      <w:r>
        <w:t xml:space="preserve">  From January 2013 through June 2014, Defendants billed AT&amp;T a</w:t>
      </w:r>
      <w:r w:rsidR="002A690C">
        <w:t>t rates totaling</w:t>
      </w:r>
      <w:r>
        <w:t xml:space="preserve"> $0.008</w:t>
      </w:r>
      <w:r w:rsidR="007E722E">
        <w:t>483</w:t>
      </w:r>
      <w:r w:rsidR="00071418">
        <w:t xml:space="preserve"> exclusive of mileage</w:t>
      </w:r>
      <w:r>
        <w:t xml:space="preserve"> for each minute of 8YY wireless traffic delivered to AT&amp;T from the LEC-MI end-office switch in Southfield, Michigan.</w:t>
      </w:r>
      <w:r>
        <w:rPr>
          <w:rStyle w:val="FootnoteReference"/>
        </w:rPr>
        <w:footnoteReference w:id="58"/>
      </w:r>
      <w:r w:rsidR="00D21F67">
        <w:t xml:space="preserve">  </w:t>
      </w:r>
      <w:r>
        <w:t xml:space="preserve">In contrast, </w:t>
      </w:r>
      <w:r w:rsidR="00777DB6">
        <w:t xml:space="preserve">the aggregate rates of </w:t>
      </w:r>
      <w:r>
        <w:t>AT&amp;T Michigan</w:t>
      </w:r>
      <w:r w:rsidR="00B25BA8">
        <w:t xml:space="preserve">—an incumbent LEC operating in and around Southfield, Michigan—for </w:t>
      </w:r>
      <w:r>
        <w:t>the same exchange access functions provided by GLC and WTC would have been $0.00</w:t>
      </w:r>
      <w:r w:rsidR="0095148E">
        <w:t>1239</w:t>
      </w:r>
      <w:r>
        <w:t xml:space="preserve"> per-minute</w:t>
      </w:r>
      <w:r w:rsidR="00E40F8A">
        <w:t xml:space="preserve"> exclusive of mileage.</w:t>
      </w:r>
      <w:r>
        <w:rPr>
          <w:rStyle w:val="FootnoteReference"/>
        </w:rPr>
        <w:footnoteReference w:id="59"/>
      </w:r>
      <w:r>
        <w:t xml:space="preserve">  </w:t>
      </w:r>
    </w:p>
    <w:p w:rsidR="00DE2758" w:rsidRDefault="00DE2758" w:rsidP="00DE2758">
      <w:pPr>
        <w:pStyle w:val="Heading1"/>
      </w:pPr>
      <w:r>
        <w:t>Discussion</w:t>
      </w:r>
    </w:p>
    <w:p w:rsidR="00523A8A" w:rsidRPr="00301FBF" w:rsidRDefault="008D0EA4" w:rsidP="00C21A55">
      <w:pPr>
        <w:pStyle w:val="ParaNum"/>
      </w:pPr>
      <w:r>
        <w:t xml:space="preserve">As explained below, </w:t>
      </w:r>
      <w:r w:rsidR="00607B4E">
        <w:t>the evidence establishes</w:t>
      </w:r>
      <w:r w:rsidR="00523A8A" w:rsidRPr="00550230">
        <w:t xml:space="preserve"> th</w:t>
      </w:r>
      <w:r w:rsidR="00523A8A">
        <w:t>at GLC is subject to</w:t>
      </w:r>
      <w:r w:rsidR="00DA6308">
        <w:t xml:space="preserve"> </w:t>
      </w:r>
      <w:r w:rsidR="002C0CA4">
        <w:t xml:space="preserve">and violated </w:t>
      </w:r>
      <w:r w:rsidR="00133F08">
        <w:t xml:space="preserve">Section </w:t>
      </w:r>
      <w:r w:rsidR="00523A8A">
        <w:t xml:space="preserve">61.26 </w:t>
      </w:r>
      <w:r w:rsidR="00133F08">
        <w:t>of our Rules</w:t>
      </w:r>
      <w:r>
        <w:t>.  Accordingly</w:t>
      </w:r>
      <w:r w:rsidR="00523A8A">
        <w:t>, we grant Count I of the Complaint</w:t>
      </w:r>
      <w:r w:rsidR="00523A8A" w:rsidRPr="00550230">
        <w:t>.</w:t>
      </w:r>
      <w:r w:rsidR="00523A8A">
        <w:rPr>
          <w:rStyle w:val="FootnoteReference"/>
          <w:szCs w:val="22"/>
        </w:rPr>
        <w:t xml:space="preserve"> </w:t>
      </w:r>
      <w:r w:rsidR="00523A8A">
        <w:t xml:space="preserve"> </w:t>
      </w:r>
      <w:r w:rsidR="00A12B36">
        <w:t xml:space="preserve">In light of this </w:t>
      </w:r>
      <w:r w:rsidR="00867545">
        <w:t>holding</w:t>
      </w:r>
      <w:r w:rsidR="00A12B36">
        <w:t xml:space="preserve">, we dismiss Count II without prejudice.  </w:t>
      </w:r>
      <w:r w:rsidR="008C3031">
        <w:t xml:space="preserve">We grant Count III in part.  </w:t>
      </w:r>
      <w:r w:rsidR="00523A8A">
        <w:t xml:space="preserve">Finally, </w:t>
      </w:r>
      <w:r w:rsidR="00523A8A">
        <w:rPr>
          <w:szCs w:val="22"/>
        </w:rPr>
        <w:t xml:space="preserve">we dismiss </w:t>
      </w:r>
      <w:r w:rsidR="00523A8A">
        <w:t>AT&amp;T’s alternative claims in Counts III and IV</w:t>
      </w:r>
      <w:r>
        <w:t xml:space="preserve"> in light of our holding </w:t>
      </w:r>
      <w:r>
        <w:rPr>
          <w:szCs w:val="22"/>
        </w:rPr>
        <w:t>that the GLC Tariff is unlawful</w:t>
      </w:r>
      <w:r w:rsidR="00523A8A">
        <w:t>.</w:t>
      </w:r>
      <w:r w:rsidR="0064327B">
        <w:t xml:space="preserve"> </w:t>
      </w:r>
      <w:r w:rsidR="0064327B" w:rsidRPr="0064327B">
        <w:t xml:space="preserve"> </w:t>
      </w:r>
      <w:r w:rsidR="0064327B" w:rsidRPr="0026763A">
        <w:t>AT&amp;T may file a supplemental complaint for damages</w:t>
      </w:r>
      <w:r w:rsidRPr="008D0EA4">
        <w:t xml:space="preserve"> </w:t>
      </w:r>
      <w:r w:rsidRPr="0026763A">
        <w:t>with the Commission</w:t>
      </w:r>
      <w:r w:rsidR="0064327B" w:rsidRPr="0026763A">
        <w:t xml:space="preserve"> in accordance with</w:t>
      </w:r>
      <w:r w:rsidR="0064327B">
        <w:t xml:space="preserve"> </w:t>
      </w:r>
      <w:r w:rsidR="00E931C2">
        <w:t xml:space="preserve">Section </w:t>
      </w:r>
      <w:r>
        <w:t>1.722(e</w:t>
      </w:r>
      <w:r w:rsidR="0064327B">
        <w:t>)</w:t>
      </w:r>
      <w:r w:rsidR="00E931C2">
        <w:t xml:space="preserve"> of our Rules</w:t>
      </w:r>
      <w:r w:rsidR="0064327B">
        <w:t>.</w:t>
      </w:r>
      <w:r w:rsidR="0064327B">
        <w:rPr>
          <w:rStyle w:val="FootnoteReference"/>
        </w:rPr>
        <w:footnoteReference w:id="60"/>
      </w:r>
    </w:p>
    <w:p w:rsidR="00B1300D" w:rsidRDefault="008274EA" w:rsidP="0026533E">
      <w:pPr>
        <w:pStyle w:val="Heading2"/>
      </w:pPr>
      <w:bookmarkStart w:id="4" w:name="_Ref331566324"/>
      <w:r>
        <w:t>GLC Vi</w:t>
      </w:r>
      <w:r w:rsidR="00C333B6">
        <w:t xml:space="preserve">olated </w:t>
      </w:r>
      <w:r w:rsidR="00133F08">
        <w:t xml:space="preserve">Section </w:t>
      </w:r>
      <w:r w:rsidR="00C333B6">
        <w:t>61.26</w:t>
      </w:r>
      <w:r w:rsidR="00526D01">
        <w:t>(f)</w:t>
      </w:r>
      <w:r w:rsidR="00133F08">
        <w:t xml:space="preserve"> of the Commission’s Rules</w:t>
      </w:r>
      <w:r w:rsidR="00B1300D">
        <w:t>.</w:t>
      </w:r>
    </w:p>
    <w:p w:rsidR="00CC39F3" w:rsidRDefault="00CC39F3" w:rsidP="00C21A55">
      <w:pPr>
        <w:pStyle w:val="Heading3"/>
      </w:pPr>
      <w:r>
        <w:t>G</w:t>
      </w:r>
      <w:r w:rsidR="00094F8F">
        <w:t>LC</w:t>
      </w:r>
      <w:r>
        <w:t xml:space="preserve"> </w:t>
      </w:r>
      <w:r w:rsidR="00094F8F">
        <w:t>I</w:t>
      </w:r>
      <w:r>
        <w:t xml:space="preserve">s </w:t>
      </w:r>
      <w:r w:rsidR="006B6347">
        <w:t xml:space="preserve">Subject to the Requirements of </w:t>
      </w:r>
      <w:r w:rsidR="00133F08">
        <w:t>Section</w:t>
      </w:r>
      <w:r w:rsidR="006B6347">
        <w:t xml:space="preserve"> 61.26</w:t>
      </w:r>
      <w:r w:rsidR="00094F8F">
        <w:t>.</w:t>
      </w:r>
    </w:p>
    <w:p w:rsidR="00CC39F3" w:rsidRDefault="00AE7822" w:rsidP="009C6029">
      <w:pPr>
        <w:pStyle w:val="ParaNum"/>
      </w:pPr>
      <w:r>
        <w:t>At the heart of GLC</w:t>
      </w:r>
      <w:r w:rsidR="00A762E2">
        <w:t>’s</w:t>
      </w:r>
      <w:r>
        <w:t xml:space="preserve"> </w:t>
      </w:r>
      <w:r w:rsidR="00A45EBD">
        <w:t xml:space="preserve">defense </w:t>
      </w:r>
      <w:r w:rsidR="009C5C27">
        <w:t xml:space="preserve">is its contention that it is not a </w:t>
      </w:r>
      <w:r w:rsidR="006B6347">
        <w:t xml:space="preserve">CLEC for purposes of </w:t>
      </w:r>
      <w:r w:rsidR="00133F08">
        <w:t xml:space="preserve">Section </w:t>
      </w:r>
      <w:r w:rsidR="005251D5">
        <w:t>61.26</w:t>
      </w:r>
      <w:r w:rsidR="00133F08">
        <w:t xml:space="preserve"> of the Commission’s Rules</w:t>
      </w:r>
      <w:r w:rsidR="005251D5">
        <w:t xml:space="preserve">.  </w:t>
      </w:r>
      <w:r w:rsidR="006B6347">
        <w:t>We disagree.</w:t>
      </w:r>
      <w:r w:rsidR="005251D5" w:rsidRPr="003749B1" w:rsidDel="005251D5">
        <w:rPr>
          <w:szCs w:val="22"/>
        </w:rPr>
        <w:t xml:space="preserve"> </w:t>
      </w:r>
      <w:r w:rsidR="005251D5">
        <w:rPr>
          <w:szCs w:val="22"/>
        </w:rPr>
        <w:t xml:space="preserve"> </w:t>
      </w:r>
      <w:r w:rsidR="00133F08">
        <w:rPr>
          <w:szCs w:val="22"/>
        </w:rPr>
        <w:t xml:space="preserve">Section </w:t>
      </w:r>
      <w:r w:rsidR="005251D5">
        <w:t xml:space="preserve">61.26 </w:t>
      </w:r>
      <w:r w:rsidR="00CC39F3">
        <w:t>state</w:t>
      </w:r>
      <w:r w:rsidR="005251D5">
        <w:t>s</w:t>
      </w:r>
      <w:r w:rsidR="00CC39F3">
        <w:t xml:space="preserve"> that a CLEC is </w:t>
      </w:r>
      <w:r w:rsidR="00CC39F3" w:rsidRPr="0009152E">
        <w:t xml:space="preserve">a </w:t>
      </w:r>
      <w:r w:rsidR="00CC39F3">
        <w:t>“</w:t>
      </w:r>
      <w:r w:rsidR="00CC39F3" w:rsidRPr="0009152E">
        <w:t xml:space="preserve">local exchange carrier that provides some or all of the interstate exchange access services used to send traffic to or from an end user and does not fall within the definition of </w:t>
      </w:r>
      <w:r w:rsidR="00CC39F3">
        <w:t>‘</w:t>
      </w:r>
      <w:r w:rsidR="00CC39F3" w:rsidRPr="0009152E">
        <w:t>incumbent local exchange carrier.</w:t>
      </w:r>
      <w:r w:rsidR="00CC39F3">
        <w:t>’</w:t>
      </w:r>
      <w:r w:rsidR="00CC39F3" w:rsidRPr="0009152E">
        <w:t>”</w:t>
      </w:r>
      <w:r w:rsidR="00CC39F3">
        <w:rPr>
          <w:rStyle w:val="FootnoteReference"/>
          <w:szCs w:val="22"/>
        </w:rPr>
        <w:footnoteReference w:id="61"/>
      </w:r>
      <w:r w:rsidR="00133F08">
        <w:t xml:space="preserve">  </w:t>
      </w:r>
      <w:r w:rsidR="00133F08">
        <w:rPr>
          <w:szCs w:val="22"/>
        </w:rPr>
        <w:t>The R</w:t>
      </w:r>
      <w:r w:rsidR="006515DA">
        <w:rPr>
          <w:szCs w:val="22"/>
        </w:rPr>
        <w:t xml:space="preserve">ule defines </w:t>
      </w:r>
      <w:r w:rsidR="00CC39F3">
        <w:t>“</w:t>
      </w:r>
      <w:r w:rsidR="006515DA">
        <w:t>s</w:t>
      </w:r>
      <w:r w:rsidR="006515DA" w:rsidRPr="0009152E">
        <w:t xml:space="preserve">witched </w:t>
      </w:r>
      <w:r w:rsidR="00CC39F3" w:rsidRPr="0009152E">
        <w:t>exchange access services</w:t>
      </w:r>
      <w:r w:rsidR="00CC39F3">
        <w:t xml:space="preserve">” </w:t>
      </w:r>
      <w:r w:rsidR="006515DA">
        <w:t xml:space="preserve">as </w:t>
      </w:r>
      <w:r w:rsidR="00CC39F3" w:rsidRPr="0009152E">
        <w:t>includ</w:t>
      </w:r>
      <w:r w:rsidR="006515DA">
        <w:t>ing</w:t>
      </w:r>
      <w:r w:rsidR="00CC39F3">
        <w:t xml:space="preserve"> </w:t>
      </w:r>
      <w:r w:rsidR="00CC39F3" w:rsidRPr="0009152E">
        <w:t>“tandem switched transport termination (fixed); tandem switched transport facility (per mile); [and] tandem switching.”</w:t>
      </w:r>
      <w:r w:rsidR="00CC39F3">
        <w:rPr>
          <w:rStyle w:val="FootnoteReference"/>
          <w:szCs w:val="22"/>
        </w:rPr>
        <w:footnoteReference w:id="62"/>
      </w:r>
      <w:r w:rsidR="00CC39F3">
        <w:t xml:space="preserve">  </w:t>
      </w:r>
    </w:p>
    <w:p w:rsidR="00E96BB4" w:rsidRDefault="00A419A9" w:rsidP="00CC39F3">
      <w:pPr>
        <w:pStyle w:val="ParaNum"/>
        <w:rPr>
          <w:szCs w:val="22"/>
        </w:rPr>
      </w:pPr>
      <w:bookmarkStart w:id="5" w:name="_Ref405461544"/>
      <w:r>
        <w:rPr>
          <w:szCs w:val="22"/>
        </w:rPr>
        <w:t>GLC</w:t>
      </w:r>
      <w:r w:rsidR="00D662F6">
        <w:rPr>
          <w:szCs w:val="22"/>
        </w:rPr>
        <w:t xml:space="preserve">—which </w:t>
      </w:r>
      <w:r w:rsidR="002C0CA4">
        <w:rPr>
          <w:szCs w:val="22"/>
        </w:rPr>
        <w:t xml:space="preserve">admittedly </w:t>
      </w:r>
      <w:r>
        <w:rPr>
          <w:szCs w:val="22"/>
        </w:rPr>
        <w:t xml:space="preserve">is not an </w:t>
      </w:r>
      <w:r w:rsidR="00B2303F">
        <w:rPr>
          <w:szCs w:val="22"/>
        </w:rPr>
        <w:t>ILEC</w:t>
      </w:r>
      <w:r w:rsidR="0004597F">
        <w:rPr>
          <w:rStyle w:val="FootnoteReference"/>
          <w:szCs w:val="22"/>
        </w:rPr>
        <w:footnoteReference w:id="63"/>
      </w:r>
      <w:r w:rsidR="00D662F6">
        <w:rPr>
          <w:szCs w:val="22"/>
        </w:rPr>
        <w:t xml:space="preserve">—furnishes </w:t>
      </w:r>
      <w:r w:rsidR="00CC39F3" w:rsidRPr="00F66597">
        <w:rPr>
          <w:szCs w:val="22"/>
        </w:rPr>
        <w:t>tandem switched transport termination, tandem switched transport facility, and tandem switching.</w:t>
      </w:r>
      <w:r w:rsidR="00CC39F3">
        <w:rPr>
          <w:rStyle w:val="FootnoteReference"/>
          <w:szCs w:val="22"/>
        </w:rPr>
        <w:footnoteReference w:id="64"/>
      </w:r>
      <w:r w:rsidR="00CC39F3" w:rsidRPr="00F66597">
        <w:rPr>
          <w:szCs w:val="22"/>
        </w:rPr>
        <w:t xml:space="preserve">  </w:t>
      </w:r>
      <w:r w:rsidR="000A5195">
        <w:rPr>
          <w:szCs w:val="22"/>
        </w:rPr>
        <w:t>Thus</w:t>
      </w:r>
      <w:r w:rsidR="00CC39F3" w:rsidRPr="00F66597">
        <w:rPr>
          <w:szCs w:val="22"/>
        </w:rPr>
        <w:t xml:space="preserve">, it provides </w:t>
      </w:r>
      <w:r w:rsidR="00CC39F3" w:rsidRPr="00F66597">
        <w:rPr>
          <w:i/>
          <w:szCs w:val="22"/>
        </w:rPr>
        <w:t>some</w:t>
      </w:r>
      <w:r w:rsidR="00CC39F3" w:rsidRPr="00F66597">
        <w:rPr>
          <w:szCs w:val="22"/>
        </w:rPr>
        <w:t xml:space="preserve"> of the interstate exchange access services used to send traffic to or from an end user.</w:t>
      </w:r>
      <w:r w:rsidR="00761F4D">
        <w:rPr>
          <w:rStyle w:val="FootnoteReference"/>
          <w:szCs w:val="22"/>
        </w:rPr>
        <w:footnoteReference w:id="65"/>
      </w:r>
      <w:r w:rsidR="00CC39F3" w:rsidRPr="00F66597">
        <w:rPr>
          <w:szCs w:val="22"/>
        </w:rPr>
        <w:t xml:space="preserve">  As a definitional matter, then, </w:t>
      </w:r>
      <w:r w:rsidR="00052FC6">
        <w:rPr>
          <w:szCs w:val="22"/>
        </w:rPr>
        <w:t xml:space="preserve">GLC </w:t>
      </w:r>
      <w:r w:rsidR="00CC39F3" w:rsidRPr="00F66597">
        <w:rPr>
          <w:szCs w:val="22"/>
        </w:rPr>
        <w:t xml:space="preserve">is a CLEC </w:t>
      </w:r>
      <w:r w:rsidR="00B526A0">
        <w:rPr>
          <w:szCs w:val="22"/>
        </w:rPr>
        <w:t xml:space="preserve">for purposes of </w:t>
      </w:r>
      <w:r w:rsidR="008A3BDF">
        <w:rPr>
          <w:szCs w:val="22"/>
        </w:rPr>
        <w:t xml:space="preserve">Section </w:t>
      </w:r>
      <w:r w:rsidR="00052FC6">
        <w:rPr>
          <w:szCs w:val="22"/>
        </w:rPr>
        <w:t>61.26</w:t>
      </w:r>
      <w:r w:rsidR="008A3BDF">
        <w:rPr>
          <w:szCs w:val="22"/>
        </w:rPr>
        <w:t>, and it is therefore subject to the requirements of Section 61.26(f)</w:t>
      </w:r>
      <w:r w:rsidR="00CC39F3" w:rsidRPr="00F66597">
        <w:rPr>
          <w:szCs w:val="22"/>
        </w:rPr>
        <w:t xml:space="preserve">.  </w:t>
      </w:r>
      <w:r w:rsidR="00052FC6">
        <w:rPr>
          <w:szCs w:val="22"/>
        </w:rPr>
        <w:t xml:space="preserve">This conclusion </w:t>
      </w:r>
      <w:r w:rsidR="00A17263">
        <w:rPr>
          <w:szCs w:val="22"/>
        </w:rPr>
        <w:t xml:space="preserve">is warranted </w:t>
      </w:r>
      <w:r w:rsidR="00E429BC" w:rsidRPr="00F66597">
        <w:rPr>
          <w:szCs w:val="22"/>
        </w:rPr>
        <w:t xml:space="preserve">even though </w:t>
      </w:r>
      <w:r w:rsidR="00052FC6">
        <w:rPr>
          <w:szCs w:val="22"/>
        </w:rPr>
        <w:t xml:space="preserve">GLC </w:t>
      </w:r>
      <w:r w:rsidR="00BB72D2">
        <w:rPr>
          <w:szCs w:val="22"/>
        </w:rPr>
        <w:t xml:space="preserve">is an intermediate carrier that </w:t>
      </w:r>
      <w:r w:rsidR="00CC39F3" w:rsidRPr="00F66597">
        <w:rPr>
          <w:szCs w:val="22"/>
        </w:rPr>
        <w:t xml:space="preserve">does not directly serve end users.  </w:t>
      </w:r>
      <w:r w:rsidR="003C4E8A" w:rsidRPr="00F66597">
        <w:rPr>
          <w:szCs w:val="22"/>
        </w:rPr>
        <w:t xml:space="preserve">Indeed, </w:t>
      </w:r>
      <w:r w:rsidR="008A3BDF">
        <w:rPr>
          <w:szCs w:val="22"/>
        </w:rPr>
        <w:t>Section</w:t>
      </w:r>
      <w:r w:rsidR="005935FF" w:rsidRPr="00F66597">
        <w:rPr>
          <w:szCs w:val="22"/>
        </w:rPr>
        <w:t xml:space="preserve"> 61.26(f)</w:t>
      </w:r>
      <w:r w:rsidR="00E162DA" w:rsidRPr="00F66597">
        <w:rPr>
          <w:szCs w:val="22"/>
        </w:rPr>
        <w:t xml:space="preserve"> </w:t>
      </w:r>
      <w:r w:rsidR="005935FF" w:rsidRPr="00F66597">
        <w:rPr>
          <w:szCs w:val="22"/>
        </w:rPr>
        <w:t xml:space="preserve">addresses </w:t>
      </w:r>
      <w:r w:rsidR="003C4E8A" w:rsidRPr="00F66597">
        <w:rPr>
          <w:szCs w:val="22"/>
        </w:rPr>
        <w:t xml:space="preserve">this precise </w:t>
      </w:r>
      <w:r w:rsidR="005935FF" w:rsidRPr="00F66597">
        <w:rPr>
          <w:szCs w:val="22"/>
        </w:rPr>
        <w:t>situation</w:t>
      </w:r>
      <w:r w:rsidR="00052FC6">
        <w:rPr>
          <w:szCs w:val="22"/>
        </w:rPr>
        <w:t xml:space="preserve">: </w:t>
      </w:r>
      <w:r w:rsidR="005935FF" w:rsidRPr="00F66597">
        <w:rPr>
          <w:szCs w:val="22"/>
        </w:rPr>
        <w:t xml:space="preserve"> “[i]</w:t>
      </w:r>
      <w:r w:rsidR="005935FF" w:rsidRPr="00D950F5">
        <w:t>f a CLEC provides some portion of the switched exchange access services used to send traffic to or from an end user not served by that CLEC, the rate for the access services provided may not exceed the rate charged by the competing ILEC for the same access services.”</w:t>
      </w:r>
      <w:r w:rsidR="005935FF" w:rsidRPr="00D950F5">
        <w:rPr>
          <w:rStyle w:val="FootnoteReference"/>
          <w:szCs w:val="22"/>
        </w:rPr>
        <w:footnoteReference w:id="66"/>
      </w:r>
      <w:bookmarkEnd w:id="5"/>
    </w:p>
    <w:p w:rsidR="00D4703F" w:rsidRPr="00F66597" w:rsidRDefault="00052FC6" w:rsidP="00CC39F3">
      <w:pPr>
        <w:pStyle w:val="ParaNum"/>
        <w:rPr>
          <w:szCs w:val="22"/>
        </w:rPr>
      </w:pPr>
      <w:r>
        <w:t xml:space="preserve">Defendants provide no meaningful support for their position that </w:t>
      </w:r>
      <w:r w:rsidR="002D335E">
        <w:t xml:space="preserve">Section </w:t>
      </w:r>
      <w:r>
        <w:t>61.26</w:t>
      </w:r>
      <w:r w:rsidR="008B060D">
        <w:t>(f)</w:t>
      </w:r>
      <w:r>
        <w:t xml:space="preserve"> does not apply to GLC even though it provides</w:t>
      </w:r>
      <w:r w:rsidR="000A5195">
        <w:t xml:space="preserve"> </w:t>
      </w:r>
      <w:r w:rsidR="000002FD">
        <w:t xml:space="preserve">switched </w:t>
      </w:r>
      <w:r>
        <w:t>exchange access services</w:t>
      </w:r>
      <w:r w:rsidR="000A5195">
        <w:t>.</w:t>
      </w:r>
      <w:r w:rsidR="00171463">
        <w:rPr>
          <w:rStyle w:val="FootnoteReference"/>
          <w:szCs w:val="22"/>
        </w:rPr>
        <w:footnoteReference w:id="67"/>
      </w:r>
      <w:r w:rsidR="000B65A3" w:rsidRPr="00F66597">
        <w:rPr>
          <w:szCs w:val="22"/>
        </w:rPr>
        <w:t xml:space="preserve"> </w:t>
      </w:r>
      <w:r w:rsidR="0072066E">
        <w:rPr>
          <w:szCs w:val="22"/>
        </w:rPr>
        <w:t xml:space="preserve"> </w:t>
      </w:r>
      <w:r w:rsidR="002B2408">
        <w:t>T</w:t>
      </w:r>
      <w:r w:rsidR="002B2408" w:rsidRPr="000532E2">
        <w:t>he Commission added paragraph (f)</w:t>
      </w:r>
      <w:r w:rsidR="009D318F">
        <w:t xml:space="preserve"> to </w:t>
      </w:r>
      <w:r w:rsidR="002D335E">
        <w:t xml:space="preserve">Section </w:t>
      </w:r>
      <w:r w:rsidR="009D318F">
        <w:t>61.26</w:t>
      </w:r>
      <w:r w:rsidR="002B2408">
        <w:t xml:space="preserve"> </w:t>
      </w:r>
      <w:r w:rsidR="00BB72D2" w:rsidRPr="006B77F0">
        <w:t>because it had not previously addressed the appropriate rate “when a competitive LEC handles traffic that is not originated or terminated by the competitive LEC’s own end-users” and</w:t>
      </w:r>
      <w:r w:rsidR="00BB72D2">
        <w:t xml:space="preserve"> </w:t>
      </w:r>
      <w:r w:rsidR="002B2408">
        <w:t>“[b]ecause of the many disputes related to the rates charged by competitive LECs when they act as intermediate carriers” for interexchange traffic</w:t>
      </w:r>
      <w:r w:rsidR="00992C57">
        <w:t>.</w:t>
      </w:r>
      <w:r w:rsidR="009D318F">
        <w:rPr>
          <w:rStyle w:val="FootnoteReference"/>
        </w:rPr>
        <w:footnoteReference w:id="68"/>
      </w:r>
      <w:r w:rsidR="009D318F">
        <w:t xml:space="preserve">  T</w:t>
      </w:r>
      <w:r w:rsidR="009D318F" w:rsidRPr="000532E2">
        <w:t>he Commission explained</w:t>
      </w:r>
      <w:r w:rsidR="009D318F">
        <w:t xml:space="preserve"> that</w:t>
      </w:r>
      <w:r w:rsidR="009D318F" w:rsidRPr="000532E2">
        <w:t xml:space="preserve"> </w:t>
      </w:r>
      <w:r w:rsidR="009D318F">
        <w:t xml:space="preserve">an IXC </w:t>
      </w:r>
      <w:r w:rsidR="009D318F" w:rsidRPr="000532E2">
        <w:t>“may have no choice but to accept traffic from an intermediate competitive LEC chosen by the originating or terminating carrier and it is necessary to constrain the ability of competitive LECs to exercise monopoly power.”</w:t>
      </w:r>
      <w:r w:rsidR="009D318F">
        <w:rPr>
          <w:rStyle w:val="FootnoteReference"/>
        </w:rPr>
        <w:footnoteReference w:id="69"/>
      </w:r>
      <w:r w:rsidR="001F421C">
        <w:t xml:space="preserve">  </w:t>
      </w:r>
      <w:r w:rsidR="009D318F">
        <w:t>At the same time, the Commission</w:t>
      </w:r>
      <w:r w:rsidR="002B2408" w:rsidRPr="00D67FED">
        <w:t xml:space="preserve"> modified </w:t>
      </w:r>
      <w:r w:rsidR="002D335E">
        <w:t>Section</w:t>
      </w:r>
      <w:r w:rsidR="000002FD">
        <w:t xml:space="preserve"> </w:t>
      </w:r>
      <w:r w:rsidR="002B2408" w:rsidRPr="00D67FED">
        <w:t xml:space="preserve">61.26’s definition of CLEC to make clear that it applied to intermediate </w:t>
      </w:r>
      <w:r w:rsidR="000002FD">
        <w:t>carriers</w:t>
      </w:r>
      <w:r w:rsidR="002B2408" w:rsidRPr="00D67FED">
        <w:t xml:space="preserve"> that provided “some . . . of the interstate exchange access services used to send t</w:t>
      </w:r>
      <w:r w:rsidR="009D318F">
        <w:t>raffic to or from an end user.”</w:t>
      </w:r>
      <w:r w:rsidR="009D318F">
        <w:rPr>
          <w:rStyle w:val="FootnoteReference"/>
        </w:rPr>
        <w:footnoteReference w:id="70"/>
      </w:r>
      <w:r w:rsidR="002B2408">
        <w:t xml:space="preserve"> </w:t>
      </w:r>
      <w:r w:rsidR="009D318F">
        <w:t xml:space="preserve"> The new definition </w:t>
      </w:r>
      <w:r w:rsidR="00777821" w:rsidRPr="00D67FED">
        <w:t>track</w:t>
      </w:r>
      <w:r w:rsidR="00777821">
        <w:t>s</w:t>
      </w:r>
      <w:r w:rsidR="00777821" w:rsidRPr="00D67FED">
        <w:t xml:space="preserve"> </w:t>
      </w:r>
      <w:r w:rsidR="002B2408" w:rsidRPr="00D67FED">
        <w:t>the language</w:t>
      </w:r>
      <w:r w:rsidR="009D318F">
        <w:t xml:space="preserve"> in paragraph (f).</w:t>
      </w:r>
      <w:r w:rsidR="009D318F">
        <w:rPr>
          <w:rStyle w:val="FootnoteReference"/>
        </w:rPr>
        <w:footnoteReference w:id="71"/>
      </w:r>
      <w:r w:rsidR="002B2408" w:rsidRPr="00D67FED">
        <w:t xml:space="preserve">  </w:t>
      </w:r>
      <w:r w:rsidR="00777821">
        <w:t>A</w:t>
      </w:r>
      <w:r w:rsidR="002B2408" w:rsidRPr="00D67FED">
        <w:t xml:space="preserve">pplying </w:t>
      </w:r>
      <w:r w:rsidR="002D335E">
        <w:t>Section</w:t>
      </w:r>
      <w:r w:rsidR="002B2408" w:rsidRPr="00D67FED">
        <w:t xml:space="preserve"> 61.26(f) to GLC </w:t>
      </w:r>
      <w:r w:rsidR="000002FD">
        <w:t xml:space="preserve">thus </w:t>
      </w:r>
      <w:r w:rsidR="002B2408" w:rsidRPr="00D67FED">
        <w:t>does not</w:t>
      </w:r>
      <w:r w:rsidR="00777821">
        <w:t>, as Defendants contend,</w:t>
      </w:r>
      <w:r w:rsidR="002B2408" w:rsidRPr="00D67FED">
        <w:t xml:space="preserve"> violate </w:t>
      </w:r>
      <w:r w:rsidR="002B2408">
        <w:t xml:space="preserve">the </w:t>
      </w:r>
      <w:r w:rsidR="007119DE">
        <w:t>“</w:t>
      </w:r>
      <w:r w:rsidR="00D14280">
        <w:t>rule against surplusage</w:t>
      </w:r>
      <w:r w:rsidR="00777821">
        <w:t>.</w:t>
      </w:r>
      <w:r w:rsidR="002B2408">
        <w:t>”</w:t>
      </w:r>
      <w:r w:rsidR="00777821">
        <w:rPr>
          <w:rStyle w:val="FootnoteReference"/>
        </w:rPr>
        <w:footnoteReference w:id="72"/>
      </w:r>
      <w:r w:rsidR="002B2408">
        <w:t xml:space="preserve"> </w:t>
      </w:r>
      <w:r w:rsidR="00777821">
        <w:t xml:space="preserve"> Rather, it </w:t>
      </w:r>
      <w:r w:rsidR="00D14280">
        <w:t xml:space="preserve">is </w:t>
      </w:r>
      <w:r w:rsidR="002B2408" w:rsidRPr="00D67FED">
        <w:t xml:space="preserve">compelled by the structure of </w:t>
      </w:r>
      <w:r w:rsidR="002D335E">
        <w:t>Section</w:t>
      </w:r>
      <w:r w:rsidR="007119DE">
        <w:t xml:space="preserve"> 61.26</w:t>
      </w:r>
      <w:r w:rsidR="00D14280">
        <w:t xml:space="preserve"> as a whole</w:t>
      </w:r>
      <w:r w:rsidR="002B2408" w:rsidRPr="00D67FED">
        <w:t>.</w:t>
      </w:r>
      <w:r w:rsidR="008B060D">
        <w:rPr>
          <w:rStyle w:val="FootnoteReference"/>
        </w:rPr>
        <w:footnoteReference w:id="73"/>
      </w:r>
    </w:p>
    <w:p w:rsidR="00CC39F3" w:rsidRDefault="00F24075" w:rsidP="00847A58">
      <w:pPr>
        <w:pStyle w:val="ParaNum"/>
        <w:widowControl/>
      </w:pPr>
      <w:r>
        <w:t xml:space="preserve">We reject Defendants’ argument that </w:t>
      </w:r>
      <w:r w:rsidR="00CC39F3">
        <w:t xml:space="preserve">the </w:t>
      </w:r>
      <w:r w:rsidR="00CC39F3" w:rsidRPr="008C1F79">
        <w:rPr>
          <w:i/>
        </w:rPr>
        <w:t>USF/ICC Transformation Order</w:t>
      </w:r>
      <w:r w:rsidR="006640C6" w:rsidRPr="00C21A55">
        <w:rPr>
          <w:rStyle w:val="FootnoteReference"/>
        </w:rPr>
        <w:footnoteReference w:id="74"/>
      </w:r>
      <w:r w:rsidR="00CC39F3">
        <w:t xml:space="preserve"> </w:t>
      </w:r>
      <w:r w:rsidR="00E85121">
        <w:t xml:space="preserve">undermines </w:t>
      </w:r>
      <w:r w:rsidR="00AA4376">
        <w:t>our</w:t>
      </w:r>
      <w:r>
        <w:t xml:space="preserve"> conclusion that </w:t>
      </w:r>
      <w:r w:rsidR="008A3BDF">
        <w:t>Section</w:t>
      </w:r>
      <w:r w:rsidR="00E85121">
        <w:t xml:space="preserve"> 61.26(f) applies to GLC.</w:t>
      </w:r>
      <w:r w:rsidR="00CC39F3">
        <w:rPr>
          <w:rStyle w:val="FootnoteReference"/>
          <w:szCs w:val="22"/>
        </w:rPr>
        <w:footnoteReference w:id="75"/>
      </w:r>
      <w:r w:rsidR="00CC39F3">
        <w:t xml:space="preserve">  </w:t>
      </w:r>
      <w:r w:rsidR="00F64830">
        <w:t xml:space="preserve">To be sure, in the </w:t>
      </w:r>
      <w:r w:rsidR="00F64830">
        <w:rPr>
          <w:i/>
        </w:rPr>
        <w:t xml:space="preserve">USF/ICC Transformation </w:t>
      </w:r>
      <w:r w:rsidR="00F64830" w:rsidRPr="003749B1">
        <w:rPr>
          <w:i/>
        </w:rPr>
        <w:t>Order</w:t>
      </w:r>
      <w:r w:rsidR="00F64830">
        <w:t>, the Commission r</w:t>
      </w:r>
      <w:r w:rsidR="008A3BDF">
        <w:t xml:space="preserve">aised </w:t>
      </w:r>
      <w:r w:rsidR="00F64830">
        <w:t xml:space="preserve">certain issues regarding </w:t>
      </w:r>
      <w:r w:rsidR="00F64830" w:rsidRPr="008C1F79">
        <w:t xml:space="preserve">the transition to </w:t>
      </w:r>
      <w:r w:rsidR="008473A1">
        <w:t xml:space="preserve">a </w:t>
      </w:r>
      <w:r w:rsidR="00F64830" w:rsidRPr="008C1F79">
        <w:t>“bill and keep”</w:t>
      </w:r>
      <w:r w:rsidR="008A3BDF">
        <w:t xml:space="preserve"> framework for all telecommunications traffic exchanged with a LEC, including ho</w:t>
      </w:r>
      <w:r w:rsidR="00F64830">
        <w:t>w the transition will occur “</w:t>
      </w:r>
      <w:r w:rsidR="00F64830" w:rsidRPr="00F64830">
        <w:rPr>
          <w:szCs w:val="22"/>
        </w:rPr>
        <w:t>in situations where the tandem owner does not own the end office</w:t>
      </w:r>
      <w:r w:rsidR="00F64830">
        <w:rPr>
          <w:szCs w:val="22"/>
        </w:rPr>
        <w:t>.”</w:t>
      </w:r>
      <w:r w:rsidR="00F64830">
        <w:rPr>
          <w:rStyle w:val="FootnoteReference"/>
          <w:szCs w:val="22"/>
        </w:rPr>
        <w:footnoteReference w:id="76"/>
      </w:r>
      <w:r w:rsidR="00F64830" w:rsidRPr="008C1F79">
        <w:t xml:space="preserve"> </w:t>
      </w:r>
      <w:r w:rsidR="00F64830">
        <w:t xml:space="preserve"> </w:t>
      </w:r>
      <w:r w:rsidR="00FC4264">
        <w:t>But t</w:t>
      </w:r>
      <w:r w:rsidR="006640C6">
        <w:t xml:space="preserve">hose </w:t>
      </w:r>
      <w:r w:rsidR="008A3BDF">
        <w:t>issues</w:t>
      </w:r>
      <w:r w:rsidR="006640C6">
        <w:t xml:space="preserve"> have no bearing </w:t>
      </w:r>
      <w:r w:rsidR="00FC6052">
        <w:t xml:space="preserve">on </w:t>
      </w:r>
      <w:r w:rsidR="000002FD">
        <w:t xml:space="preserve">whether </w:t>
      </w:r>
      <w:r w:rsidR="00FC6052">
        <w:t xml:space="preserve">Section </w:t>
      </w:r>
      <w:r w:rsidR="000002FD">
        <w:t xml:space="preserve">61.26 presently applies to </w:t>
      </w:r>
      <w:r w:rsidR="006640C6">
        <w:t xml:space="preserve">GLC.  </w:t>
      </w:r>
      <w:r w:rsidR="002C0CA4">
        <w:t>Contrary to GLC’s assertion, t</w:t>
      </w:r>
      <w:r w:rsidR="006640C6">
        <w:t xml:space="preserve">here is no </w:t>
      </w:r>
      <w:r w:rsidR="00F64830">
        <w:t>“longstanding</w:t>
      </w:r>
      <w:r w:rsidR="006640C6">
        <w:t xml:space="preserve"> [Commission]</w:t>
      </w:r>
      <w:r w:rsidR="00F64830">
        <w:t xml:space="preserve"> policy of not imposing rate caps on carriers that do not serve end-users,”</w:t>
      </w:r>
      <w:r w:rsidR="006640C6">
        <w:rPr>
          <w:rStyle w:val="FootnoteReference"/>
        </w:rPr>
        <w:footnoteReference w:id="77"/>
      </w:r>
      <w:r w:rsidR="00F64830">
        <w:t xml:space="preserve"> </w:t>
      </w:r>
      <w:r w:rsidR="006640C6">
        <w:t xml:space="preserve">and GLC must comply with existing rules </w:t>
      </w:r>
      <w:r w:rsidR="008A3BDF">
        <w:t xml:space="preserve">during </w:t>
      </w:r>
      <w:r w:rsidR="00CC39F3" w:rsidRPr="008C1F79">
        <w:t>the transition to “bill and keep</w:t>
      </w:r>
      <w:r w:rsidR="008A3BDF">
        <w:t>.</w:t>
      </w:r>
      <w:r w:rsidR="00CC39F3" w:rsidRPr="008C1F79">
        <w:t>”</w:t>
      </w:r>
      <w:r w:rsidR="00CC39F3">
        <w:rPr>
          <w:rStyle w:val="FootnoteReference"/>
          <w:szCs w:val="22"/>
        </w:rPr>
        <w:footnoteReference w:id="78"/>
      </w:r>
      <w:r w:rsidR="00CC39F3">
        <w:t xml:space="preserve">  </w:t>
      </w:r>
    </w:p>
    <w:p w:rsidR="00F34073" w:rsidRDefault="00F34073" w:rsidP="00F34073">
      <w:pPr>
        <w:pStyle w:val="ParaNum"/>
      </w:pPr>
      <w:r w:rsidRPr="00F34073">
        <w:rPr>
          <w:szCs w:val="22"/>
        </w:rPr>
        <w:t xml:space="preserve">Similarly unavailing is </w:t>
      </w:r>
      <w:r w:rsidR="008247E0">
        <w:rPr>
          <w:szCs w:val="22"/>
        </w:rPr>
        <w:t>Defendants’</w:t>
      </w:r>
      <w:r w:rsidRPr="00F34073">
        <w:rPr>
          <w:szCs w:val="22"/>
        </w:rPr>
        <w:t xml:space="preserve"> reliance on Commission statements that </w:t>
      </w:r>
      <w:r w:rsidR="00AD6ECB">
        <w:rPr>
          <w:szCs w:val="22"/>
        </w:rPr>
        <w:t>competitive access providers</w:t>
      </w:r>
      <w:r w:rsidRPr="00F34073">
        <w:rPr>
          <w:szCs w:val="22"/>
        </w:rPr>
        <w:t xml:space="preserve"> are non</w:t>
      </w:r>
      <w:r w:rsidR="00A45EBD">
        <w:rPr>
          <w:szCs w:val="22"/>
        </w:rPr>
        <w:t>-</w:t>
      </w:r>
      <w:r w:rsidRPr="00F34073">
        <w:rPr>
          <w:szCs w:val="22"/>
        </w:rPr>
        <w:t>dominant, lack market power, and do not control bottleneck facilities.</w:t>
      </w:r>
      <w:r>
        <w:rPr>
          <w:rStyle w:val="FootnoteReference"/>
          <w:szCs w:val="22"/>
        </w:rPr>
        <w:footnoteReference w:id="79"/>
      </w:r>
      <w:r w:rsidRPr="00F34073">
        <w:rPr>
          <w:szCs w:val="22"/>
        </w:rPr>
        <w:t xml:space="preserve">  </w:t>
      </w:r>
      <w:r w:rsidR="008247E0">
        <w:rPr>
          <w:szCs w:val="22"/>
        </w:rPr>
        <w:t xml:space="preserve">These </w:t>
      </w:r>
      <w:r w:rsidRPr="00F34073">
        <w:rPr>
          <w:szCs w:val="22"/>
        </w:rPr>
        <w:t xml:space="preserve">statements </w:t>
      </w:r>
      <w:r w:rsidR="008247E0">
        <w:rPr>
          <w:szCs w:val="22"/>
        </w:rPr>
        <w:t xml:space="preserve">either </w:t>
      </w:r>
      <w:r w:rsidRPr="00F34073">
        <w:rPr>
          <w:szCs w:val="22"/>
        </w:rPr>
        <w:t xml:space="preserve">predate </w:t>
      </w:r>
      <w:r w:rsidR="003830EF">
        <w:rPr>
          <w:szCs w:val="22"/>
        </w:rPr>
        <w:t xml:space="preserve">the 1996 Act </w:t>
      </w:r>
      <w:r w:rsidR="00823D2E">
        <w:rPr>
          <w:szCs w:val="22"/>
        </w:rPr>
        <w:t>or</w:t>
      </w:r>
      <w:r w:rsidRPr="00F34073">
        <w:rPr>
          <w:szCs w:val="22"/>
        </w:rPr>
        <w:t xml:space="preserve"> reflect the Commission’s preliminary efforts to </w:t>
      </w:r>
      <w:r w:rsidR="003749B1">
        <w:rPr>
          <w:szCs w:val="22"/>
        </w:rPr>
        <w:t xml:space="preserve">address CLEC access charges in order to </w:t>
      </w:r>
      <w:r w:rsidRPr="00F34073">
        <w:rPr>
          <w:szCs w:val="22"/>
        </w:rPr>
        <w:t>establish a “pro-competitive, deregulatory national policy framework following the 1996 Act.”</w:t>
      </w:r>
      <w:r>
        <w:rPr>
          <w:rStyle w:val="FootnoteReference"/>
          <w:szCs w:val="22"/>
        </w:rPr>
        <w:footnoteReference w:id="80"/>
      </w:r>
      <w:r w:rsidRPr="00F34073">
        <w:rPr>
          <w:szCs w:val="22"/>
        </w:rPr>
        <w:t xml:space="preserve">  The Commission’s views regarding carriers</w:t>
      </w:r>
      <w:r w:rsidR="00645FFB">
        <w:rPr>
          <w:szCs w:val="22"/>
        </w:rPr>
        <w:t>’ market power with respect to switched access</w:t>
      </w:r>
      <w:r w:rsidR="006A5D6B">
        <w:rPr>
          <w:szCs w:val="22"/>
        </w:rPr>
        <w:t xml:space="preserve"> </w:t>
      </w:r>
      <w:r w:rsidRPr="00F34073">
        <w:rPr>
          <w:szCs w:val="22"/>
        </w:rPr>
        <w:t xml:space="preserve">have </w:t>
      </w:r>
      <w:r w:rsidR="00A45EBD">
        <w:rPr>
          <w:szCs w:val="22"/>
        </w:rPr>
        <w:t>evolv</w:t>
      </w:r>
      <w:r w:rsidR="00A45EBD" w:rsidRPr="00F34073">
        <w:rPr>
          <w:szCs w:val="22"/>
        </w:rPr>
        <w:t xml:space="preserve">ed </w:t>
      </w:r>
      <w:r w:rsidRPr="00F34073">
        <w:rPr>
          <w:szCs w:val="22"/>
        </w:rPr>
        <w:t>over time</w:t>
      </w:r>
      <w:r w:rsidR="007C1911">
        <w:rPr>
          <w:szCs w:val="22"/>
        </w:rPr>
        <w:t>.</w:t>
      </w:r>
      <w:r>
        <w:rPr>
          <w:rStyle w:val="FootnoteReference"/>
          <w:szCs w:val="22"/>
        </w:rPr>
        <w:footnoteReference w:id="81"/>
      </w:r>
      <w:r w:rsidR="007C1911">
        <w:rPr>
          <w:szCs w:val="22"/>
        </w:rPr>
        <w:t xml:space="preserve">  </w:t>
      </w:r>
      <w:r w:rsidR="009365C0">
        <w:rPr>
          <w:szCs w:val="22"/>
        </w:rPr>
        <w:t>More recently, t</w:t>
      </w:r>
      <w:r w:rsidR="00557421">
        <w:rPr>
          <w:szCs w:val="22"/>
        </w:rPr>
        <w:t xml:space="preserve">he Commission has </w:t>
      </w:r>
      <w:r w:rsidR="00823D2E">
        <w:rPr>
          <w:szCs w:val="22"/>
        </w:rPr>
        <w:t xml:space="preserve">concluded </w:t>
      </w:r>
      <w:r w:rsidR="00557421">
        <w:rPr>
          <w:szCs w:val="22"/>
        </w:rPr>
        <w:t xml:space="preserve">that </w:t>
      </w:r>
      <w:r w:rsidR="00645FFB">
        <w:rPr>
          <w:szCs w:val="22"/>
        </w:rPr>
        <w:t xml:space="preserve">otherwise </w:t>
      </w:r>
      <w:r w:rsidR="00557421">
        <w:rPr>
          <w:szCs w:val="22"/>
        </w:rPr>
        <w:t>n</w:t>
      </w:r>
      <w:r w:rsidR="006A5D6B">
        <w:rPr>
          <w:szCs w:val="22"/>
        </w:rPr>
        <w:t>on-</w:t>
      </w:r>
      <w:r w:rsidRPr="00F34073">
        <w:rPr>
          <w:szCs w:val="22"/>
        </w:rPr>
        <w:t>dominant carriers</w:t>
      </w:r>
      <w:r w:rsidR="009365C0">
        <w:rPr>
          <w:szCs w:val="22"/>
        </w:rPr>
        <w:t>,</w:t>
      </w:r>
      <w:r w:rsidR="009365C0" w:rsidRPr="009365C0">
        <w:rPr>
          <w:szCs w:val="22"/>
        </w:rPr>
        <w:t xml:space="preserve"> </w:t>
      </w:r>
      <w:r w:rsidR="009365C0">
        <w:rPr>
          <w:szCs w:val="22"/>
        </w:rPr>
        <w:t>including intermediate carriers that do not serve end users,</w:t>
      </w:r>
      <w:r w:rsidR="009365C0">
        <w:rPr>
          <w:rStyle w:val="FootnoteReference"/>
          <w:szCs w:val="22"/>
        </w:rPr>
        <w:footnoteReference w:id="82"/>
      </w:r>
      <w:r w:rsidRPr="00F34073">
        <w:rPr>
          <w:szCs w:val="22"/>
        </w:rPr>
        <w:t xml:space="preserve"> sometimes engage in practices resulting in unreasonably high access rates</w:t>
      </w:r>
      <w:r w:rsidR="009365C0">
        <w:rPr>
          <w:szCs w:val="22"/>
        </w:rPr>
        <w:t>.</w:t>
      </w:r>
      <w:r w:rsidR="007C1911" w:rsidRPr="00D950F5">
        <w:rPr>
          <w:rStyle w:val="FootnoteReference"/>
          <w:szCs w:val="22"/>
        </w:rPr>
        <w:footnoteReference w:id="83"/>
      </w:r>
      <w:r w:rsidRPr="00F34073">
        <w:rPr>
          <w:szCs w:val="22"/>
        </w:rPr>
        <w:t xml:space="preserve">  </w:t>
      </w:r>
      <w:r w:rsidR="005554A2">
        <w:rPr>
          <w:szCs w:val="22"/>
        </w:rPr>
        <w:t>Defendants are unable to offer any recent authority squaring their argument</w:t>
      </w:r>
      <w:r w:rsidR="009365C0">
        <w:rPr>
          <w:szCs w:val="22"/>
        </w:rPr>
        <w:t>s</w:t>
      </w:r>
      <w:r w:rsidR="005554A2">
        <w:rPr>
          <w:szCs w:val="22"/>
        </w:rPr>
        <w:t xml:space="preserve"> with the Commission’s</w:t>
      </w:r>
      <w:r w:rsidR="00147416">
        <w:rPr>
          <w:szCs w:val="22"/>
        </w:rPr>
        <w:t xml:space="preserve"> current</w:t>
      </w:r>
      <w:r w:rsidR="005554A2">
        <w:rPr>
          <w:szCs w:val="22"/>
        </w:rPr>
        <w:t xml:space="preserve"> </w:t>
      </w:r>
      <w:r w:rsidR="005554A2">
        <w:t>benchmarking</w:t>
      </w:r>
      <w:r w:rsidRPr="000532E2">
        <w:t xml:space="preserve"> rule</w:t>
      </w:r>
      <w:r w:rsidR="00A366B5">
        <w:t xml:space="preserve">.  </w:t>
      </w:r>
      <w:r w:rsidRPr="000532E2">
        <w:t xml:space="preserve"> </w:t>
      </w:r>
      <w:r>
        <w:t xml:space="preserve"> </w:t>
      </w:r>
    </w:p>
    <w:p w:rsidR="002F3F3B" w:rsidRDefault="00F8364F" w:rsidP="00F8364F">
      <w:pPr>
        <w:pStyle w:val="ParaNum"/>
      </w:pPr>
      <w:r>
        <w:t>F</w:t>
      </w:r>
      <w:r w:rsidR="002F3F3B">
        <w:t xml:space="preserve">inally, GLC </w:t>
      </w:r>
      <w:r w:rsidR="00CD277E">
        <w:rPr>
          <w:szCs w:val="22"/>
        </w:rPr>
        <w:t>states</w:t>
      </w:r>
      <w:r w:rsidR="00CD277E">
        <w:t xml:space="preserve"> </w:t>
      </w:r>
      <w:r w:rsidR="002F3F3B">
        <w:t xml:space="preserve">in its tariff that it is </w:t>
      </w:r>
      <w:r w:rsidR="002F3F3B" w:rsidRPr="00056CFA">
        <w:t>“a rural CLEC under Section 61.26(a)(6) of the [Commission’s] rules.”</w:t>
      </w:r>
      <w:r w:rsidR="002F3F3B" w:rsidRPr="0016462B">
        <w:rPr>
          <w:rStyle w:val="FootnoteReference"/>
          <w:szCs w:val="22"/>
        </w:rPr>
        <w:footnoteReference w:id="84"/>
      </w:r>
      <w:r w:rsidR="002F3F3B" w:rsidRPr="00056CFA">
        <w:t xml:space="preserve">  GLC argues that this language </w:t>
      </w:r>
      <w:r w:rsidR="002F3F3B">
        <w:t>“</w:t>
      </w:r>
      <w:r w:rsidR="002F3F3B" w:rsidRPr="00F8364F">
        <w:rPr>
          <w:szCs w:val="22"/>
        </w:rPr>
        <w:t>is merely intended to explain that GLC’s rates were set as if GLC were a ‘rural CLEC’ under 47 C.F.R. § 61.26(a)(6).”</w:t>
      </w:r>
      <w:r w:rsidR="002F3F3B" w:rsidRPr="0016462B">
        <w:rPr>
          <w:rStyle w:val="FootnoteReference"/>
          <w:szCs w:val="22"/>
        </w:rPr>
        <w:footnoteReference w:id="85"/>
      </w:r>
      <w:r w:rsidR="002F3F3B" w:rsidRPr="00056CFA">
        <w:t xml:space="preserve">  </w:t>
      </w:r>
      <w:r w:rsidR="002F3F3B">
        <w:t>Of course, o</w:t>
      </w:r>
      <w:r w:rsidR="002F3F3B" w:rsidRPr="00056CFA">
        <w:t xml:space="preserve">nly </w:t>
      </w:r>
      <w:r w:rsidR="002F3F3B" w:rsidRPr="00F8364F">
        <w:rPr>
          <w:i/>
        </w:rPr>
        <w:t>CLECs</w:t>
      </w:r>
      <w:r w:rsidR="002F3F3B" w:rsidRPr="00056CFA">
        <w:t xml:space="preserve"> that meet the narrow eligibility criteria for the rural exemption are entitled to claim it</w:t>
      </w:r>
      <w:r w:rsidR="002F3F3B">
        <w:t>,</w:t>
      </w:r>
      <w:r w:rsidR="002F3F3B">
        <w:rPr>
          <w:rStyle w:val="FootnoteReference"/>
        </w:rPr>
        <w:footnoteReference w:id="86"/>
      </w:r>
      <w:r w:rsidR="002F3F3B">
        <w:t xml:space="preserve"> so GLC’s argument has little force.</w:t>
      </w:r>
      <w:r w:rsidR="002F3F3B" w:rsidRPr="00056CFA">
        <w:t xml:space="preserve">  Similarly unpersuasive is GLC’s contention that the tariff language was a remnant from a time when it had state authority to operate as a CLEC, which it relinquished in May 2003.</w:t>
      </w:r>
      <w:r w:rsidR="002F3F3B">
        <w:rPr>
          <w:rStyle w:val="FootnoteReference"/>
          <w:szCs w:val="22"/>
        </w:rPr>
        <w:footnoteReference w:id="87"/>
      </w:r>
      <w:r w:rsidR="002F3F3B" w:rsidRPr="00056CFA">
        <w:t xml:space="preserve">  GLC made numerous modifications to its tariff </w:t>
      </w:r>
      <w:r w:rsidR="002F3F3B">
        <w:t xml:space="preserve">in the almost </w:t>
      </w:r>
      <w:r w:rsidR="00FC6052">
        <w:t>12</w:t>
      </w:r>
      <w:r w:rsidR="002F3F3B">
        <w:t xml:space="preserve"> years since then,</w:t>
      </w:r>
      <w:r w:rsidR="002F3F3B" w:rsidRPr="00056CFA">
        <w:t xml:space="preserve"> but </w:t>
      </w:r>
      <w:r w:rsidR="002F3F3B">
        <w:t xml:space="preserve">only </w:t>
      </w:r>
      <w:r w:rsidR="002F3F3B" w:rsidRPr="00056CFA">
        <w:t>delete</w:t>
      </w:r>
      <w:r w:rsidR="002F3F3B">
        <w:t>d</w:t>
      </w:r>
      <w:r w:rsidR="002F3F3B" w:rsidRPr="00056CFA">
        <w:t xml:space="preserve"> the</w:t>
      </w:r>
      <w:r w:rsidR="008A769E">
        <w:t xml:space="preserve"> “rural CLEC”</w:t>
      </w:r>
      <w:r w:rsidR="002F3F3B" w:rsidRPr="00056CFA">
        <w:t xml:space="preserve"> statement </w:t>
      </w:r>
      <w:r w:rsidR="002F3F3B">
        <w:t>four days before filing its Answer to AT&amp;T’s Complaint.</w:t>
      </w:r>
      <w:r w:rsidR="002F3F3B">
        <w:rPr>
          <w:rStyle w:val="FootnoteReference"/>
          <w:szCs w:val="22"/>
        </w:rPr>
        <w:footnoteReference w:id="88"/>
      </w:r>
      <w:r w:rsidR="002F3F3B">
        <w:t xml:space="preserve">  As the issuer of the tariff, GLC is responsible for its content.</w:t>
      </w:r>
      <w:r w:rsidR="002F3F3B">
        <w:rPr>
          <w:rStyle w:val="FootnoteReference"/>
        </w:rPr>
        <w:footnoteReference w:id="89"/>
      </w:r>
    </w:p>
    <w:bookmarkEnd w:id="4"/>
    <w:p w:rsidR="007B31AA" w:rsidRDefault="00E30D8D" w:rsidP="00C21A55">
      <w:pPr>
        <w:pStyle w:val="Heading3"/>
      </w:pPr>
      <w:r>
        <w:t xml:space="preserve">The </w:t>
      </w:r>
      <w:r w:rsidR="007B31AA">
        <w:t>G</w:t>
      </w:r>
      <w:r w:rsidR="006E6A39">
        <w:t xml:space="preserve">LC </w:t>
      </w:r>
      <w:r w:rsidR="00F333D2">
        <w:t>T</w:t>
      </w:r>
      <w:r w:rsidR="007B31AA">
        <w:t xml:space="preserve">ariff </w:t>
      </w:r>
      <w:r w:rsidR="00D33781">
        <w:t xml:space="preserve">Violates </w:t>
      </w:r>
      <w:r w:rsidR="00FC6052">
        <w:t>Section</w:t>
      </w:r>
      <w:r>
        <w:t xml:space="preserve"> </w:t>
      </w:r>
      <w:r w:rsidR="007B31AA">
        <w:t>61.26</w:t>
      </w:r>
      <w:r>
        <w:t>(f).</w:t>
      </w:r>
    </w:p>
    <w:p w:rsidR="00F82346" w:rsidRDefault="0047782A" w:rsidP="00C21A55">
      <w:pPr>
        <w:pStyle w:val="ParaNum"/>
      </w:pPr>
      <w:r>
        <w:t xml:space="preserve">When GLC </w:t>
      </w:r>
      <w:r w:rsidRPr="00EA7346">
        <w:rPr>
          <w:szCs w:val="22"/>
        </w:rPr>
        <w:t>acts</w:t>
      </w:r>
      <w:r>
        <w:t xml:space="preserve"> as an intermediate carrier not serving the end user, “the rate for the access services provided may not exceed the rate charged by the competing ILEC for the same access services.”</w:t>
      </w:r>
      <w:r>
        <w:rPr>
          <w:rStyle w:val="FootnoteReference"/>
        </w:rPr>
        <w:footnoteReference w:id="90"/>
      </w:r>
      <w:r>
        <w:t xml:space="preserve">  A “competing ILEC” is the “incumbent local exchange carrier, as defined by 47 U.S.C. § 251(h), that would provide interstate exchange access services, in whole or in part, to the extent those services were not provided by the CLEC.”</w:t>
      </w:r>
      <w:r>
        <w:rPr>
          <w:rStyle w:val="FootnoteReference"/>
        </w:rPr>
        <w:footnoteReference w:id="91"/>
      </w:r>
      <w:r w:rsidR="006C5C3D">
        <w:t xml:space="preserve">  Defendants argue that, had GLC not provided the services, WTC would have provided them.</w:t>
      </w:r>
      <w:r w:rsidR="006C5C3D">
        <w:rPr>
          <w:rStyle w:val="FootnoteReference"/>
        </w:rPr>
        <w:footnoteReference w:id="92"/>
      </w:r>
      <w:r w:rsidR="008B2EE2">
        <w:t xml:space="preserve">  WTC could not have provided the services, however, because doing so would have required it to provide and bill for services outside its LATA boundaries in violation of its tariff.</w:t>
      </w:r>
      <w:r w:rsidR="008B2EE2">
        <w:rPr>
          <w:rStyle w:val="FootnoteReference"/>
        </w:rPr>
        <w:footnoteReference w:id="93"/>
      </w:r>
      <w:r>
        <w:t xml:space="preserve">  </w:t>
      </w:r>
      <w:r w:rsidR="009C71B0">
        <w:t>Accordingly, we find that AT&amp;T Michigan is the competing ILEC</w:t>
      </w:r>
      <w:r w:rsidR="00A90FE1">
        <w:t xml:space="preserve"> and that GLC therefore was required to benchmark its rates against those of AT&amp;T Michigan</w:t>
      </w:r>
      <w:r w:rsidR="009C71B0">
        <w:t>.</w:t>
      </w:r>
      <w:r w:rsidR="007F4A4F">
        <w:rPr>
          <w:rStyle w:val="FootnoteReference"/>
        </w:rPr>
        <w:footnoteReference w:id="94"/>
      </w:r>
      <w:r>
        <w:t xml:space="preserve">  </w:t>
      </w:r>
    </w:p>
    <w:p w:rsidR="00C972C4" w:rsidRDefault="00F82346" w:rsidP="00C21A55">
      <w:pPr>
        <w:pStyle w:val="ParaNum"/>
      </w:pPr>
      <w:r>
        <w:t>GLC’s tandem charges (exclusive of mileage) totaled $0.008065 per-minute</w:t>
      </w:r>
      <w:r>
        <w:rPr>
          <w:rStyle w:val="FootnoteReference"/>
        </w:rPr>
        <w:footnoteReference w:id="95"/>
      </w:r>
      <w:r>
        <w:t xml:space="preserve"> compared to AT&amp;T Michigan’s aggregate charges of $0.001239 per-minute.</w:t>
      </w:r>
      <w:r>
        <w:rPr>
          <w:rStyle w:val="FootnoteReference"/>
        </w:rPr>
        <w:footnoteReference w:id="96"/>
      </w:r>
      <w:r>
        <w:t xml:space="preserve">  </w:t>
      </w:r>
      <w:r w:rsidR="007356FB">
        <w:t xml:space="preserve">GLC violated the benchmarking rule by charging rates that were </w:t>
      </w:r>
      <w:r w:rsidR="007A6587">
        <w:t>considerably</w:t>
      </w:r>
      <w:r w:rsidR="007356FB">
        <w:t xml:space="preserve"> higher than the rates AT&amp;T Michigan </w:t>
      </w:r>
      <w:r>
        <w:t xml:space="preserve">charged </w:t>
      </w:r>
      <w:r w:rsidR="007356FB">
        <w:t xml:space="preserve">for the same services.  </w:t>
      </w:r>
      <w:r w:rsidR="00855CB9">
        <w:t xml:space="preserve">  </w:t>
      </w:r>
      <w:r w:rsidR="00E76ABD">
        <w:t xml:space="preserve"> </w:t>
      </w:r>
      <w:r w:rsidR="000A3557" w:rsidRPr="00EA7346">
        <w:rPr>
          <w:szCs w:val="22"/>
        </w:rPr>
        <w:t xml:space="preserve">  </w:t>
      </w:r>
      <w:r w:rsidR="00476156">
        <w:t xml:space="preserve">  </w:t>
      </w:r>
    </w:p>
    <w:p w:rsidR="00F333D2" w:rsidRDefault="003A2EF5" w:rsidP="00C21A55">
      <w:pPr>
        <w:pStyle w:val="Heading3"/>
      </w:pPr>
      <w:r>
        <w:t>G</w:t>
      </w:r>
      <w:r w:rsidR="006E6A39">
        <w:t xml:space="preserve">LC </w:t>
      </w:r>
      <w:r>
        <w:t>is Not Entitled to the Rural Exemption</w:t>
      </w:r>
      <w:r w:rsidR="00F42CF0">
        <w:t>.</w:t>
      </w:r>
    </w:p>
    <w:p w:rsidR="0019522B" w:rsidRPr="008864B2" w:rsidRDefault="007811AE" w:rsidP="00D21F67">
      <w:pPr>
        <w:pStyle w:val="ParaNum"/>
      </w:pPr>
      <w:bookmarkStart w:id="6" w:name="_Ref401907644"/>
      <w:r w:rsidRPr="00D21F67">
        <w:t>Section</w:t>
      </w:r>
      <w:r w:rsidR="0019522B" w:rsidRPr="0019522B">
        <w:rPr>
          <w:szCs w:val="22"/>
        </w:rPr>
        <w:t xml:space="preserve"> 61.26 defines </w:t>
      </w:r>
      <w:r w:rsidR="0019522B">
        <w:t>a “rural CLEC” as a CLEC “that does not serve any end users located within [two types of urban areas].”</w:t>
      </w:r>
      <w:r w:rsidR="0019522B">
        <w:rPr>
          <w:rStyle w:val="FootnoteReference"/>
        </w:rPr>
        <w:footnoteReference w:id="97"/>
      </w:r>
      <w:r w:rsidR="0019522B">
        <w:t xml:space="preserve">  Rural CLECs may file tariffs containing rates above the benchmark rate.</w:t>
      </w:r>
      <w:r w:rsidR="00147D78">
        <w:rPr>
          <w:rStyle w:val="FootnoteReference"/>
        </w:rPr>
        <w:footnoteReference w:id="98"/>
      </w:r>
      <w:r w:rsidR="0019522B">
        <w:t xml:space="preserve">  </w:t>
      </w:r>
      <w:r w:rsidR="0019522B" w:rsidRPr="0019522B">
        <w:rPr>
          <w:szCs w:val="22"/>
        </w:rPr>
        <w:t xml:space="preserve">GLC asserts that, even assuming it is subject to </w:t>
      </w:r>
      <w:r>
        <w:rPr>
          <w:szCs w:val="22"/>
        </w:rPr>
        <w:t>Section</w:t>
      </w:r>
      <w:r w:rsidR="0019522B" w:rsidRPr="0019522B">
        <w:rPr>
          <w:szCs w:val="22"/>
        </w:rPr>
        <w:t xml:space="preserve"> 61.26, it is entitled to the rural exemption.</w:t>
      </w:r>
      <w:r w:rsidR="0019522B">
        <w:rPr>
          <w:rStyle w:val="FootnoteReference"/>
          <w:szCs w:val="22"/>
        </w:rPr>
        <w:footnoteReference w:id="99"/>
      </w:r>
      <w:r w:rsidR="0019522B" w:rsidRPr="0019522B">
        <w:rPr>
          <w:szCs w:val="22"/>
        </w:rPr>
        <w:t xml:space="preserve">  </w:t>
      </w:r>
      <w:r w:rsidR="0019522B">
        <w:t xml:space="preserve"> The exemption is</w:t>
      </w:r>
      <w:r w:rsidR="0019522B" w:rsidRPr="003249B9">
        <w:t xml:space="preserve"> </w:t>
      </w:r>
      <w:r w:rsidR="0019522B">
        <w:t>not available, however, “if any portion of the competitive LECs’ service area falls within a non-rural area.”</w:t>
      </w:r>
      <w:r w:rsidR="0019522B">
        <w:rPr>
          <w:rStyle w:val="FootnoteReference"/>
        </w:rPr>
        <w:footnoteReference w:id="100"/>
      </w:r>
      <w:r w:rsidR="0019522B">
        <w:t xml:space="preserve">  </w:t>
      </w:r>
      <w:r>
        <w:t>Because GLC stipulates that its service area falls within urban areas, i</w:t>
      </w:r>
      <w:r w:rsidR="0019522B">
        <w:t>t is undisputed that GLC operates beyond the “rural areas of a Non-rural ILEC.”</w:t>
      </w:r>
      <w:r w:rsidR="0019522B">
        <w:rPr>
          <w:rStyle w:val="FootnoteReference"/>
        </w:rPr>
        <w:footnoteReference w:id="101"/>
      </w:r>
      <w:r w:rsidR="0019522B" w:rsidRPr="0019522B">
        <w:rPr>
          <w:szCs w:val="22"/>
        </w:rPr>
        <w:t xml:space="preserve"> </w:t>
      </w:r>
      <w:r w:rsidR="002C0CA4">
        <w:rPr>
          <w:szCs w:val="22"/>
        </w:rPr>
        <w:t xml:space="preserve"> Accordingly, GLC is not entitled to the rural exemption. </w:t>
      </w:r>
      <w:r w:rsidR="0019522B" w:rsidRPr="0019522B">
        <w:rPr>
          <w:szCs w:val="22"/>
        </w:rPr>
        <w:t xml:space="preserve"> </w:t>
      </w:r>
      <w:r w:rsidR="0019522B">
        <w:t xml:space="preserve">  </w:t>
      </w:r>
    </w:p>
    <w:bookmarkEnd w:id="6"/>
    <w:p w:rsidR="00434C60" w:rsidRDefault="000A3FFE" w:rsidP="00C21A55">
      <w:pPr>
        <w:pStyle w:val="Heading3"/>
      </w:pPr>
      <w:r>
        <w:t>The</w:t>
      </w:r>
      <w:r w:rsidR="0086448B">
        <w:t xml:space="preserve"> GLC Tariff is </w:t>
      </w:r>
      <w:r w:rsidR="0086448B" w:rsidRPr="00C21A55">
        <w:t>Void</w:t>
      </w:r>
      <w:r w:rsidR="0086448B">
        <w:rPr>
          <w:i/>
        </w:rPr>
        <w:t xml:space="preserve"> Ab Initio</w:t>
      </w:r>
      <w:r>
        <w:t>.</w:t>
      </w:r>
    </w:p>
    <w:p w:rsidR="0086448B" w:rsidRDefault="00434C60" w:rsidP="000A3FFE">
      <w:pPr>
        <w:pStyle w:val="ParaNum"/>
      </w:pPr>
      <w:bookmarkStart w:id="7" w:name="_Ref405461662"/>
      <w:r>
        <w:t xml:space="preserve">Although GLC’s tariff was presumed lawful when it was filed, the presumption of lawfulness </w:t>
      </w:r>
      <w:r w:rsidR="00A71C39">
        <w:t>applies only</w:t>
      </w:r>
      <w:r>
        <w:t xml:space="preserve"> to the filing of the tariff and not to any subsequent challenge to the tariff’s lawfulness.</w:t>
      </w:r>
      <w:r w:rsidR="00512780">
        <w:rPr>
          <w:rStyle w:val="FootnoteReference"/>
        </w:rPr>
        <w:footnoteReference w:id="102"/>
      </w:r>
      <w:r>
        <w:t xml:space="preserve">  </w:t>
      </w:r>
      <w:r w:rsidR="00A71C39">
        <w:t xml:space="preserve">In other words, </w:t>
      </w:r>
      <w:r w:rsidR="00A71C39" w:rsidRPr="000A3FFE">
        <w:rPr>
          <w:szCs w:val="22"/>
        </w:rPr>
        <w:t>p</w:t>
      </w:r>
      <w:r w:rsidRPr="000A3FFE">
        <w:rPr>
          <w:szCs w:val="22"/>
        </w:rPr>
        <w:t>resumed</w:t>
      </w:r>
      <w:r>
        <w:t xml:space="preserve"> lawful tariffs may subsequently be</w:t>
      </w:r>
      <w:r w:rsidR="00D97AE3">
        <w:t xml:space="preserve"> found to be </w:t>
      </w:r>
      <w:r>
        <w:t>unlawful.</w:t>
      </w:r>
      <w:bookmarkStart w:id="8" w:name="_Ref409510494"/>
      <w:r w:rsidR="00512780">
        <w:rPr>
          <w:rStyle w:val="FootnoteReference"/>
        </w:rPr>
        <w:footnoteReference w:id="103"/>
      </w:r>
      <w:bookmarkEnd w:id="8"/>
      <w:r>
        <w:t xml:space="preserve">  </w:t>
      </w:r>
      <w:r w:rsidR="00D15B67">
        <w:t>A</w:t>
      </w:r>
      <w:r>
        <w:t xml:space="preserve"> CLEC tariff for interstate switched access services that includes rates in excess of the </w:t>
      </w:r>
      <w:r w:rsidR="00B73482">
        <w:t xml:space="preserve">applicable </w:t>
      </w:r>
      <w:r>
        <w:t xml:space="preserve">benchmark in </w:t>
      </w:r>
      <w:r w:rsidR="002B083B">
        <w:t>Section</w:t>
      </w:r>
      <w:r>
        <w:t xml:space="preserve"> 61.26 is subject to mandatory detariffing.</w:t>
      </w:r>
      <w:r w:rsidR="00512780">
        <w:rPr>
          <w:rStyle w:val="FootnoteReference"/>
        </w:rPr>
        <w:footnoteReference w:id="104"/>
      </w:r>
      <w:r>
        <w:t>  Under the Commission’s benchmark regime, a carrier is prohibited from filing a tariff with rates above the benchmark;</w:t>
      </w:r>
      <w:r w:rsidR="00A71C39">
        <w:t xml:space="preserve"> doing so violates the </w:t>
      </w:r>
      <w:r w:rsidR="00935FD8">
        <w:t>Commission’s</w:t>
      </w:r>
      <w:r>
        <w:t xml:space="preserve"> </w:t>
      </w:r>
      <w:r w:rsidR="00935FD8">
        <w:t>R</w:t>
      </w:r>
      <w:r>
        <w:t>ules and render</w:t>
      </w:r>
      <w:r w:rsidR="009F4849">
        <w:t>s</w:t>
      </w:r>
      <w:r>
        <w:t xml:space="preserve"> the prohibited tariff </w:t>
      </w:r>
      <w:r w:rsidRPr="00C21A55">
        <w:t>void</w:t>
      </w:r>
      <w:r>
        <w:t xml:space="preserve"> </w:t>
      </w:r>
      <w:r w:rsidRPr="000A3FFE">
        <w:rPr>
          <w:i/>
          <w:iCs/>
        </w:rPr>
        <w:t>ab initio</w:t>
      </w:r>
      <w:r w:rsidR="005158D5">
        <w:t>.</w:t>
      </w:r>
      <w:r w:rsidR="00512780">
        <w:rPr>
          <w:rStyle w:val="FootnoteReference"/>
        </w:rPr>
        <w:footnoteReference w:id="105"/>
      </w:r>
      <w:bookmarkEnd w:id="7"/>
      <w:r w:rsidR="00B73482">
        <w:t xml:space="preserve">  </w:t>
      </w:r>
    </w:p>
    <w:p w:rsidR="00E3395D" w:rsidRDefault="00F82346">
      <w:pPr>
        <w:pStyle w:val="ParaNum"/>
      </w:pPr>
      <w:bookmarkStart w:id="9" w:name="_Ref409517413"/>
      <w:r>
        <w:t xml:space="preserve">In this case, for reasons discussed above, the applicable benchmark is specified in Section 61.26(f).  </w:t>
      </w:r>
      <w:r w:rsidR="0086448B">
        <w:t xml:space="preserve">Because GLC’s aggregate tariff charges for its tandem services exceed the aggregate charged by AT&amp;T Michigan for the same functions, </w:t>
      </w:r>
      <w:r w:rsidR="00C56F07">
        <w:t xml:space="preserve">the </w:t>
      </w:r>
      <w:r w:rsidR="0086448B">
        <w:t xml:space="preserve">GLC </w:t>
      </w:r>
      <w:r w:rsidR="00C56F07">
        <w:t>T</w:t>
      </w:r>
      <w:r w:rsidR="0086448B">
        <w:t xml:space="preserve">ariff </w:t>
      </w:r>
      <w:r w:rsidR="004F79EA">
        <w:t xml:space="preserve">exceeds the required benchmark and therefore </w:t>
      </w:r>
      <w:r w:rsidR="0086448B">
        <w:t xml:space="preserve">violates </w:t>
      </w:r>
      <w:r w:rsidR="004F79EA">
        <w:t xml:space="preserve">Section </w:t>
      </w:r>
      <w:r w:rsidR="0086448B">
        <w:t>61.26(f).</w:t>
      </w:r>
      <w:r w:rsidR="0086448B">
        <w:rPr>
          <w:rStyle w:val="FootnoteReference"/>
        </w:rPr>
        <w:footnoteReference w:id="106"/>
      </w:r>
      <w:r w:rsidR="000A3FFE">
        <w:t xml:space="preserve">  </w:t>
      </w:r>
      <w:r w:rsidR="00C56F07">
        <w:t>The GLC Tariff</w:t>
      </w:r>
      <w:r w:rsidR="000A3FFE">
        <w:t xml:space="preserve"> did not comply with </w:t>
      </w:r>
      <w:r w:rsidR="004F79EA">
        <w:t>Section</w:t>
      </w:r>
      <w:r w:rsidR="00B54878">
        <w:t xml:space="preserve"> 61.26(f)</w:t>
      </w:r>
      <w:r w:rsidR="000A3FFE">
        <w:t xml:space="preserve"> when </w:t>
      </w:r>
      <w:r w:rsidR="00C56F07">
        <w:t>GLC filed it;</w:t>
      </w:r>
      <w:r w:rsidR="002C6348">
        <w:rPr>
          <w:rStyle w:val="FootnoteReference"/>
        </w:rPr>
        <w:footnoteReference w:id="107"/>
      </w:r>
      <w:r w:rsidR="00C56F07">
        <w:t xml:space="preserve"> accordingly, the tariff</w:t>
      </w:r>
      <w:r w:rsidR="000A3FFE">
        <w:t xml:space="preserve"> is </w:t>
      </w:r>
      <w:r w:rsidR="000A3FFE" w:rsidRPr="00C21A55">
        <w:t>void</w:t>
      </w:r>
      <w:r w:rsidR="000A3FFE">
        <w:t xml:space="preserve"> </w:t>
      </w:r>
      <w:r w:rsidR="000A3FFE" w:rsidRPr="000A3FFE">
        <w:rPr>
          <w:i/>
          <w:iCs/>
        </w:rPr>
        <w:t>ab initio</w:t>
      </w:r>
      <w:r w:rsidR="000A3FFE">
        <w:rPr>
          <w:iCs/>
        </w:rPr>
        <w:t>.</w:t>
      </w:r>
      <w:bookmarkEnd w:id="9"/>
    </w:p>
    <w:p w:rsidR="007E42A3" w:rsidRDefault="001E3EB0" w:rsidP="0026533E">
      <w:pPr>
        <w:pStyle w:val="Heading2"/>
      </w:pPr>
      <w:r>
        <w:t>We Dismiss Count II Without Prejudice.</w:t>
      </w:r>
      <w:bookmarkStart w:id="10" w:name="_Ref405890987"/>
    </w:p>
    <w:p w:rsidR="001E3EB0" w:rsidRDefault="007E42A3" w:rsidP="007E42A3">
      <w:pPr>
        <w:pStyle w:val="ParaNum"/>
        <w:snapToGrid w:val="0"/>
      </w:pPr>
      <w:r>
        <w:t xml:space="preserve">In Count II, AT&amp;T alleges that Defendants’ access charges are unlawful because they engaged in access stimulation as defined by the Commission’s </w:t>
      </w:r>
      <w:r w:rsidR="00935FD8">
        <w:t>R</w:t>
      </w:r>
      <w:r>
        <w:t>ules and failed to file revised access tariffs as required by those rules.</w:t>
      </w:r>
      <w:r>
        <w:rPr>
          <w:rStyle w:val="FootnoteReference"/>
        </w:rPr>
        <w:footnoteReference w:id="108"/>
      </w:r>
      <w:r>
        <w:t xml:space="preserve">  Specifically, AT&amp;T contends that </w:t>
      </w:r>
      <w:r w:rsidRPr="00EC1462">
        <w:t xml:space="preserve">Defendants met the “growth” triggers </w:t>
      </w:r>
      <w:r w:rsidR="003978EE">
        <w:t xml:space="preserve">necessary for </w:t>
      </w:r>
      <w:r w:rsidRPr="00EC1462">
        <w:t>“access stimulation” by having more than a 100 percent growth in interstate originating switched access minutes of use in a month compared to the same m</w:t>
      </w:r>
      <w:r>
        <w:t>onth in the preceding year.</w:t>
      </w:r>
      <w:r>
        <w:rPr>
          <w:rStyle w:val="FootnoteReference"/>
        </w:rPr>
        <w:footnoteReference w:id="109"/>
      </w:r>
      <w:r>
        <w:t xml:space="preserve">  AT&amp;T further maintains that GLC has admitted that it has entered </w:t>
      </w:r>
      <w:r w:rsidRPr="00EC1462">
        <w:t xml:space="preserve">into at least two “access revenue sharing agreements” as defined in the Commission’s </w:t>
      </w:r>
      <w:r w:rsidR="00935FD8">
        <w:t>R</w:t>
      </w:r>
      <w:r w:rsidRPr="00EC1462">
        <w:t>ules.</w:t>
      </w:r>
      <w:r>
        <w:rPr>
          <w:rStyle w:val="FootnoteReference"/>
        </w:rPr>
        <w:footnoteReference w:id="110"/>
      </w:r>
      <w:r w:rsidRPr="00EC1462">
        <w:t xml:space="preserve"> </w:t>
      </w:r>
      <w:r>
        <w:t xml:space="preserve"> Although AT&amp;T does not allege that WTC entered into its own revenue sharing agreement, AT&amp;T contends WTC and GLC are commonly owned, have acted in concert, and therefore are jointly</w:t>
      </w:r>
      <w:r w:rsidR="003978EE">
        <w:t xml:space="preserve"> liable</w:t>
      </w:r>
      <w:r>
        <w:t>.</w:t>
      </w:r>
      <w:r>
        <w:rPr>
          <w:rStyle w:val="FootnoteReference"/>
        </w:rPr>
        <w:footnoteReference w:id="111"/>
      </w:r>
      <w:r>
        <w:t xml:space="preserve"> </w:t>
      </w:r>
    </w:p>
    <w:p w:rsidR="001E3EB0" w:rsidRPr="001E3EB0" w:rsidRDefault="007E42A3" w:rsidP="00DC1AD0">
      <w:pPr>
        <w:pStyle w:val="ParaNum"/>
        <w:snapToGrid w:val="0"/>
        <w:rPr>
          <w:szCs w:val="22"/>
        </w:rPr>
      </w:pPr>
      <w:r>
        <w:t xml:space="preserve">We </w:t>
      </w:r>
      <w:r w:rsidR="00750606">
        <w:t xml:space="preserve">dismiss </w:t>
      </w:r>
      <w:r w:rsidR="001E3EB0">
        <w:t xml:space="preserve">Count II </w:t>
      </w:r>
      <w:r w:rsidR="00750606">
        <w:t>without prejudice</w:t>
      </w:r>
      <w:r w:rsidR="001E3EB0">
        <w:t xml:space="preserve">.  By </w:t>
      </w:r>
      <w:r w:rsidR="00750606">
        <w:t>granting Count I</w:t>
      </w:r>
      <w:r w:rsidR="001E3EB0">
        <w:t xml:space="preserve"> </w:t>
      </w:r>
      <w:r w:rsidR="009507EC">
        <w:t xml:space="preserve">and </w:t>
      </w:r>
      <w:r w:rsidR="005275E7">
        <w:t xml:space="preserve">declaring the GLC Tariff void </w:t>
      </w:r>
      <w:r w:rsidR="005275E7">
        <w:rPr>
          <w:i/>
        </w:rPr>
        <w:t xml:space="preserve">ab </w:t>
      </w:r>
      <w:r w:rsidR="005275E7" w:rsidRPr="005275E7">
        <w:rPr>
          <w:i/>
        </w:rPr>
        <w:t>initio</w:t>
      </w:r>
      <w:r w:rsidR="005275E7">
        <w:t xml:space="preserve"> because </w:t>
      </w:r>
      <w:r w:rsidR="009507EC">
        <w:t xml:space="preserve">GLC </w:t>
      </w:r>
      <w:r w:rsidR="005275E7">
        <w:t xml:space="preserve">failed </w:t>
      </w:r>
      <w:r w:rsidR="009507EC">
        <w:t>to benchmark its rates to those of AT&amp;T Michigan,</w:t>
      </w:r>
      <w:r w:rsidR="009507EC">
        <w:rPr>
          <w:rStyle w:val="FootnoteReference"/>
        </w:rPr>
        <w:footnoteReference w:id="112"/>
      </w:r>
      <w:r w:rsidR="009507EC">
        <w:t xml:space="preserve"> </w:t>
      </w:r>
      <w:r w:rsidR="001E3EB0">
        <w:t xml:space="preserve">we have afforded </w:t>
      </w:r>
      <w:r w:rsidR="00750606">
        <w:t>AT&amp;T all of the relief against GLC to which it would be entitled under Count II.</w:t>
      </w:r>
      <w:r w:rsidR="00750606">
        <w:rPr>
          <w:rStyle w:val="FootnoteReference"/>
        </w:rPr>
        <w:footnoteReference w:id="113"/>
      </w:r>
    </w:p>
    <w:bookmarkEnd w:id="10"/>
    <w:p w:rsidR="00E11E87" w:rsidRDefault="00460AA2" w:rsidP="0026533E">
      <w:pPr>
        <w:pStyle w:val="Heading2"/>
      </w:pPr>
      <w:r>
        <w:t>WTC Improperly Billed AT&amp;T for Services that GLC Provided.</w:t>
      </w:r>
      <w:r w:rsidR="00840AF5" w:rsidRPr="00840AF5">
        <w:t> </w:t>
      </w:r>
    </w:p>
    <w:p w:rsidR="00D82FBC" w:rsidRDefault="00E11E87" w:rsidP="00E11E87">
      <w:pPr>
        <w:pStyle w:val="ParaNum"/>
        <w:rPr>
          <w:szCs w:val="22"/>
        </w:rPr>
      </w:pPr>
      <w:r>
        <w:rPr>
          <w:szCs w:val="22"/>
        </w:rPr>
        <w:t xml:space="preserve">Count III </w:t>
      </w:r>
      <w:r w:rsidR="00D82FBC">
        <w:rPr>
          <w:szCs w:val="22"/>
        </w:rPr>
        <w:t xml:space="preserve">alleges </w:t>
      </w:r>
      <w:r w:rsidRPr="00177162">
        <w:rPr>
          <w:szCs w:val="22"/>
        </w:rPr>
        <w:t>that</w:t>
      </w:r>
      <w:r w:rsidR="00174144">
        <w:rPr>
          <w:szCs w:val="22"/>
        </w:rPr>
        <w:t>,</w:t>
      </w:r>
      <w:r w:rsidRPr="00177162">
        <w:rPr>
          <w:szCs w:val="22"/>
        </w:rPr>
        <w:t xml:space="preserve"> </w:t>
      </w:r>
      <w:r w:rsidR="000B3309">
        <w:rPr>
          <w:szCs w:val="22"/>
        </w:rPr>
        <w:t xml:space="preserve">even assuming </w:t>
      </w:r>
      <w:r w:rsidR="000B3309">
        <w:t>Defendants had lawfully filed tariffs that complied with the Commission’s access charge rules</w:t>
      </w:r>
      <w:r w:rsidR="002D491F">
        <w:t>,</w:t>
      </w:r>
      <w:r w:rsidR="000B3309">
        <w:t xml:space="preserve"> they</w:t>
      </w:r>
      <w:r w:rsidRPr="00177162">
        <w:rPr>
          <w:szCs w:val="22"/>
        </w:rPr>
        <w:t xml:space="preserve"> billed for services </w:t>
      </w:r>
      <w:r>
        <w:rPr>
          <w:szCs w:val="22"/>
        </w:rPr>
        <w:t xml:space="preserve">that </w:t>
      </w:r>
      <w:r w:rsidRPr="00177162">
        <w:rPr>
          <w:szCs w:val="22"/>
        </w:rPr>
        <w:t>they did not provide</w:t>
      </w:r>
      <w:r w:rsidR="00D82FBC">
        <w:rPr>
          <w:szCs w:val="22"/>
        </w:rPr>
        <w:t xml:space="preserve">.  Specifically, the Complaint avers that </w:t>
      </w:r>
      <w:r w:rsidRPr="00177162">
        <w:rPr>
          <w:szCs w:val="22"/>
        </w:rPr>
        <w:t>(1) WTC billed for services prior to May 20</w:t>
      </w:r>
      <w:r>
        <w:rPr>
          <w:szCs w:val="22"/>
        </w:rPr>
        <w:t>13 a</w:t>
      </w:r>
      <w:r w:rsidR="00CF2776">
        <w:rPr>
          <w:szCs w:val="22"/>
        </w:rPr>
        <w:t>s if it</w:t>
      </w:r>
      <w:r w:rsidR="00D82FBC">
        <w:rPr>
          <w:szCs w:val="22"/>
        </w:rPr>
        <w:t>, rather than GLC,</w:t>
      </w:r>
      <w:r w:rsidR="00CF2776">
        <w:rPr>
          <w:szCs w:val="22"/>
        </w:rPr>
        <w:t xml:space="preserve"> was providing them</w:t>
      </w:r>
      <w:r w:rsidR="00D82FBC">
        <w:rPr>
          <w:szCs w:val="22"/>
        </w:rPr>
        <w:t>;</w:t>
      </w:r>
      <w:r w:rsidRPr="00177162">
        <w:rPr>
          <w:szCs w:val="22"/>
        </w:rPr>
        <w:t xml:space="preserve"> and (2) </w:t>
      </w:r>
      <w:r>
        <w:rPr>
          <w:szCs w:val="22"/>
        </w:rPr>
        <w:t xml:space="preserve">GLC billed for approximately 83 miles of transport even though </w:t>
      </w:r>
      <w:r w:rsidRPr="00177162">
        <w:rPr>
          <w:szCs w:val="22"/>
        </w:rPr>
        <w:t xml:space="preserve">LEC-MI provided </w:t>
      </w:r>
      <w:r w:rsidR="00D82FBC">
        <w:rPr>
          <w:szCs w:val="22"/>
        </w:rPr>
        <w:t xml:space="preserve">roughly 37 </w:t>
      </w:r>
      <w:r>
        <w:rPr>
          <w:szCs w:val="22"/>
        </w:rPr>
        <w:t xml:space="preserve">miles of </w:t>
      </w:r>
      <w:r w:rsidRPr="00177162">
        <w:rPr>
          <w:szCs w:val="22"/>
        </w:rPr>
        <w:t>th</w:t>
      </w:r>
      <w:r w:rsidR="00D82FBC">
        <w:rPr>
          <w:szCs w:val="22"/>
        </w:rPr>
        <w:t>at</w:t>
      </w:r>
      <w:r w:rsidRPr="00177162">
        <w:rPr>
          <w:szCs w:val="22"/>
        </w:rPr>
        <w:t xml:space="preserve"> transport.</w:t>
      </w:r>
      <w:r>
        <w:rPr>
          <w:rStyle w:val="FootnoteReference"/>
          <w:szCs w:val="22"/>
        </w:rPr>
        <w:footnoteReference w:id="114"/>
      </w:r>
      <w:r w:rsidRPr="00177162">
        <w:rPr>
          <w:szCs w:val="22"/>
        </w:rPr>
        <w:t xml:space="preserve">  </w:t>
      </w:r>
      <w:r w:rsidR="00D82FBC">
        <w:rPr>
          <w:szCs w:val="22"/>
        </w:rPr>
        <w:t xml:space="preserve">Count IV </w:t>
      </w:r>
      <w:r w:rsidRPr="000618BF">
        <w:rPr>
          <w:szCs w:val="22"/>
        </w:rPr>
        <w:t xml:space="preserve">alleges that Defendants’ billing and routing practices with regard to the 8YY aggregated traffic are unlawful and unreasonable under Section 201(b) because they serve no valid purpose and only increase the costs </w:t>
      </w:r>
      <w:r w:rsidR="00D82FBC">
        <w:rPr>
          <w:szCs w:val="22"/>
        </w:rPr>
        <w:t>to</w:t>
      </w:r>
      <w:r w:rsidR="00D82FBC" w:rsidRPr="000618BF">
        <w:rPr>
          <w:szCs w:val="22"/>
        </w:rPr>
        <w:t xml:space="preserve"> </w:t>
      </w:r>
      <w:r w:rsidRPr="000618BF">
        <w:rPr>
          <w:szCs w:val="22"/>
        </w:rPr>
        <w:t>AT&amp;T and its customers</w:t>
      </w:r>
      <w:r>
        <w:rPr>
          <w:szCs w:val="22"/>
        </w:rPr>
        <w:t xml:space="preserve"> without</w:t>
      </w:r>
      <w:r w:rsidR="00D82FBC">
        <w:rPr>
          <w:szCs w:val="22"/>
        </w:rPr>
        <w:t xml:space="preserve"> providing any benefit</w:t>
      </w:r>
      <w:r w:rsidRPr="000618BF">
        <w:rPr>
          <w:szCs w:val="22"/>
        </w:rPr>
        <w:t>.</w:t>
      </w:r>
      <w:r>
        <w:rPr>
          <w:rStyle w:val="FootnoteReference"/>
          <w:szCs w:val="22"/>
        </w:rPr>
        <w:footnoteReference w:id="115"/>
      </w:r>
    </w:p>
    <w:p w:rsidR="00460AA2" w:rsidRDefault="0091006D" w:rsidP="00E11E87">
      <w:pPr>
        <w:pStyle w:val="ParaNum"/>
        <w:rPr>
          <w:szCs w:val="22"/>
        </w:rPr>
      </w:pPr>
      <w:r>
        <w:rPr>
          <w:szCs w:val="22"/>
        </w:rPr>
        <w:t xml:space="preserve">With respect to Count III, Defendants admit that, prior to May 2013, WTC improperly billed AT&amp;T at WTC’s rates under </w:t>
      </w:r>
      <w:r w:rsidR="00715521">
        <w:rPr>
          <w:szCs w:val="22"/>
        </w:rPr>
        <w:t xml:space="preserve">WTC’s </w:t>
      </w:r>
      <w:r>
        <w:rPr>
          <w:szCs w:val="22"/>
        </w:rPr>
        <w:t>OCN for services that GLC actually provided.</w:t>
      </w:r>
      <w:r>
        <w:rPr>
          <w:rStyle w:val="FootnoteReference"/>
          <w:szCs w:val="22"/>
        </w:rPr>
        <w:footnoteReference w:id="116"/>
      </w:r>
      <w:r>
        <w:rPr>
          <w:szCs w:val="22"/>
        </w:rPr>
        <w:t xml:space="preserve">  In light of this admission, we grant Count III to the extent it c</w:t>
      </w:r>
      <w:r w:rsidR="00715521">
        <w:rPr>
          <w:szCs w:val="22"/>
        </w:rPr>
        <w:t>hallenges those amounts.</w:t>
      </w:r>
      <w:r>
        <w:rPr>
          <w:szCs w:val="22"/>
        </w:rPr>
        <w:t xml:space="preserve">  </w:t>
      </w:r>
    </w:p>
    <w:p w:rsidR="0091006D" w:rsidRDefault="00715521" w:rsidP="00E11E87">
      <w:pPr>
        <w:pStyle w:val="ParaNum"/>
        <w:rPr>
          <w:szCs w:val="22"/>
        </w:rPr>
      </w:pPr>
      <w:r>
        <w:rPr>
          <w:szCs w:val="22"/>
        </w:rPr>
        <w:t>W</w:t>
      </w:r>
      <w:r w:rsidR="0091006D">
        <w:rPr>
          <w:szCs w:val="22"/>
        </w:rPr>
        <w:t>e</w:t>
      </w:r>
      <w:r>
        <w:rPr>
          <w:szCs w:val="22"/>
        </w:rPr>
        <w:t xml:space="preserve"> </w:t>
      </w:r>
      <w:r w:rsidR="0091006D">
        <w:rPr>
          <w:szCs w:val="22"/>
        </w:rPr>
        <w:t xml:space="preserve">dismiss the remainder of Count III, as well as Count IV.  As explained above, we find that the GLC Tariff is unlawful and void </w:t>
      </w:r>
      <w:r w:rsidR="0091006D">
        <w:rPr>
          <w:i/>
          <w:szCs w:val="22"/>
        </w:rPr>
        <w:t xml:space="preserve">ab initio </w:t>
      </w:r>
      <w:r w:rsidR="0091006D">
        <w:rPr>
          <w:szCs w:val="22"/>
        </w:rPr>
        <w:t>because it violates the Commission’s access charge rules.</w:t>
      </w:r>
      <w:r w:rsidR="006F1960">
        <w:rPr>
          <w:rStyle w:val="FootnoteReference"/>
        </w:rPr>
        <w:footnoteReference w:id="117"/>
      </w:r>
      <w:r w:rsidR="0091006D">
        <w:rPr>
          <w:szCs w:val="22"/>
        </w:rPr>
        <w:t xml:space="preserve">  In light of that holding, we need not reach those portions of Count III and Count IV that pertain to the GLC Tariff.</w:t>
      </w:r>
    </w:p>
    <w:p w:rsidR="00F97A33" w:rsidRDefault="00A40E34" w:rsidP="0026533E">
      <w:pPr>
        <w:pStyle w:val="Heading2"/>
      </w:pPr>
      <w:r>
        <w:t xml:space="preserve">Defendants’ Affirmative Defenses </w:t>
      </w:r>
      <w:r w:rsidR="002027B8">
        <w:t>Are Unpersuasive.</w:t>
      </w:r>
    </w:p>
    <w:p w:rsidR="00525D4C" w:rsidRPr="00886066" w:rsidRDefault="006743B0" w:rsidP="00440AFF">
      <w:pPr>
        <w:pStyle w:val="ParaNum"/>
        <w:rPr>
          <w:bCs/>
        </w:rPr>
      </w:pPr>
      <w:r>
        <w:t>T</w:t>
      </w:r>
      <w:r w:rsidR="00525D4C">
        <w:t xml:space="preserve">he affirmative defenses in the Defendants’ Answer have </w:t>
      </w:r>
      <w:r>
        <w:t xml:space="preserve">no </w:t>
      </w:r>
      <w:r w:rsidR="00525D4C">
        <w:t>merit.  AT&amp;T has alleged sufficient facts within the statute of limitations to state a claim upon which relief can be granted,</w:t>
      </w:r>
      <w:r w:rsidR="00525D4C">
        <w:rPr>
          <w:rStyle w:val="FootnoteReference"/>
        </w:rPr>
        <w:footnoteReference w:id="118"/>
      </w:r>
      <w:r w:rsidR="00525D4C">
        <w:t xml:space="preserve"> and it was not required to join other parties when it challenged Defendants’ tariffed rates.</w:t>
      </w:r>
      <w:r w:rsidR="00525D4C">
        <w:rPr>
          <w:rStyle w:val="FootnoteReference"/>
        </w:rPr>
        <w:footnoteReference w:id="119"/>
      </w:r>
      <w:r w:rsidR="00525D4C">
        <w:t xml:space="preserve">  In addition, because we find the GLC Tariff to be </w:t>
      </w:r>
      <w:r w:rsidR="00525D4C" w:rsidRPr="00C21A55">
        <w:t>void</w:t>
      </w:r>
      <w:r w:rsidR="00525D4C" w:rsidRPr="00A6568C">
        <w:rPr>
          <w:i/>
        </w:rPr>
        <w:t xml:space="preserve"> ab initio</w:t>
      </w:r>
      <w:r w:rsidR="00525D4C">
        <w:t xml:space="preserve">, </w:t>
      </w:r>
      <w:r w:rsidR="00525D4C" w:rsidRPr="00295E3B">
        <w:t>AT</w:t>
      </w:r>
      <w:r w:rsidR="00525D4C">
        <w:t xml:space="preserve">&amp;T’s claims are not barred by the filed tariff doctrine or any provision in </w:t>
      </w:r>
      <w:r w:rsidR="00BA2B32">
        <w:t>Defendants’ t</w:t>
      </w:r>
      <w:r w:rsidR="004214B1">
        <w:t>ariff</w:t>
      </w:r>
      <w:r w:rsidR="00BA2B32">
        <w:t>s</w:t>
      </w:r>
      <w:r w:rsidR="00525D4C">
        <w:t>.</w:t>
      </w:r>
      <w:r w:rsidR="00525D4C">
        <w:rPr>
          <w:rStyle w:val="FootnoteReference"/>
        </w:rPr>
        <w:footnoteReference w:id="120"/>
      </w:r>
      <w:r w:rsidR="00525D4C">
        <w:t xml:space="preserve">  </w:t>
      </w:r>
      <w:r w:rsidR="00525D4C" w:rsidRPr="00A6568C">
        <w:rPr>
          <w:bCs/>
        </w:rPr>
        <w:t xml:space="preserve">The filed rate doctrine also does not protect WTC from any refunds because </w:t>
      </w:r>
      <w:r w:rsidR="004214B1">
        <w:rPr>
          <w:bCs/>
        </w:rPr>
        <w:t>the NECA tariff applies to “Issuing Carriers,” and GLC is not an Issuing Carrier in the NECA tariff.</w:t>
      </w:r>
      <w:r w:rsidR="004214B1">
        <w:rPr>
          <w:rStyle w:val="FootnoteReference"/>
          <w:bCs/>
        </w:rPr>
        <w:footnoteReference w:id="121"/>
      </w:r>
      <w:r w:rsidR="004214B1">
        <w:rPr>
          <w:bCs/>
        </w:rPr>
        <w:t xml:space="preserve">  Tariffed rates are deemed lawful only to the extent the tariff at issue actually applies.</w:t>
      </w:r>
      <w:r w:rsidR="004214B1">
        <w:rPr>
          <w:rStyle w:val="FootnoteReference"/>
          <w:bCs/>
        </w:rPr>
        <w:footnoteReference w:id="122"/>
      </w:r>
    </w:p>
    <w:p w:rsidR="00884370" w:rsidRDefault="00DA685E" w:rsidP="00DA685E">
      <w:pPr>
        <w:pStyle w:val="ParaNum"/>
      </w:pPr>
      <w:r>
        <w:t>We also are unpersuaded by Defendants’ numerous equitable defenses.</w:t>
      </w:r>
      <w:r>
        <w:rPr>
          <w:rStyle w:val="FootnoteReference"/>
        </w:rPr>
        <w:footnoteReference w:id="123"/>
      </w:r>
      <w:r>
        <w:t xml:space="preserve">  </w:t>
      </w:r>
      <w:r w:rsidR="008665C2">
        <w:t>Even if equitable defenses were available in a Section 208 formal complaint proceeding,</w:t>
      </w:r>
      <w:r w:rsidR="008665C2">
        <w:rPr>
          <w:rStyle w:val="FootnoteReference"/>
        </w:rPr>
        <w:footnoteReference w:id="124"/>
      </w:r>
      <w:r w:rsidR="008665C2">
        <w:t xml:space="preserve"> the record does not support their application in this case.  </w:t>
      </w:r>
      <w:r w:rsidR="00D26D0B">
        <w:t xml:space="preserve">To begin, </w:t>
      </w:r>
      <w:r w:rsidR="008665C2">
        <w:t xml:space="preserve">Defendants’ “unclean hands” defense fails because </w:t>
      </w:r>
      <w:r w:rsidR="00D26D0B">
        <w:t>w</w:t>
      </w:r>
      <w:r w:rsidR="008665C2">
        <w:t xml:space="preserve">e have found above that GLC’s tariffed rates are unjust and unreasonable and that its tariff is unlawful and void </w:t>
      </w:r>
      <w:r w:rsidR="008665C2" w:rsidRPr="00DA685E">
        <w:rPr>
          <w:i/>
        </w:rPr>
        <w:t>ab initio</w:t>
      </w:r>
      <w:r w:rsidR="008665C2">
        <w:t xml:space="preserve">.  </w:t>
      </w:r>
      <w:r w:rsidR="00231C98">
        <w:t>The source of the traffic (i.e., that it may have originated from customers of Cricket Wireless, which AT&amp;T recently acquired) has no bearing on that finding.</w:t>
      </w:r>
      <w:r w:rsidR="008665C2">
        <w:t xml:space="preserve">  </w:t>
      </w:r>
      <w:r w:rsidR="00231C98">
        <w:t>Similarly, the doctrines of waiver, estoppel, laches, and ratification do not preclude AT&amp;T from challenging GLC’s and WTC’s rates, terms, and practices under Sections 208 and 415 of the Act.</w:t>
      </w:r>
      <w:r w:rsidR="00231C98">
        <w:rPr>
          <w:rStyle w:val="FootnoteReference"/>
        </w:rPr>
        <w:footnoteReference w:id="125"/>
      </w:r>
      <w:r w:rsidR="00231C98">
        <w:t xml:space="preserve">  AT&amp;T is entitled to receive Defendants’ services at rates no higher than what the Commission has determined to be just and reasonable.  That AT&amp;T ordered and paid for Defendants’ services for a period of time, therefore, is of no consequence.  Moreover, AT&amp;T properly disputed Defendants’ charges and filed its complaint within the applicable statute of limitations, and it has not waived any of its claims to relief.  Any delay by AT&amp;T in challenging Defendants’ rates was the result of Defendants’ </w:t>
      </w:r>
      <w:r w:rsidR="00D46FAF">
        <w:t>conduct</w:t>
      </w:r>
      <w:r w:rsidR="00231C98">
        <w:t xml:space="preserve"> and, therefore, is excusable.</w:t>
      </w:r>
      <w:r w:rsidR="00D46FAF">
        <w:rPr>
          <w:rStyle w:val="FootnoteReference"/>
        </w:rPr>
        <w:footnoteReference w:id="126"/>
      </w:r>
      <w:r w:rsidR="00231C98">
        <w:t xml:space="preserve">  Defendants also have not demonstrated that they relied upon AT&amp;T’s conduct in any way in setting their access rates or that, because of AT&amp;T’s actions, they changed their behavior in a manner that caused them harm.</w:t>
      </w:r>
      <w:r w:rsidR="00231C98">
        <w:rPr>
          <w:rStyle w:val="FootnoteReference"/>
        </w:rPr>
        <w:footnoteReference w:id="127"/>
      </w:r>
    </w:p>
    <w:p w:rsidR="003979AC" w:rsidRDefault="00231C98" w:rsidP="003979AC">
      <w:pPr>
        <w:pStyle w:val="ParaNum"/>
      </w:pPr>
      <w:r>
        <w:t xml:space="preserve">Finally, under </w:t>
      </w:r>
      <w:r w:rsidR="00123C52">
        <w:t xml:space="preserve">the facts </w:t>
      </w:r>
      <w:r w:rsidR="006E1ED1">
        <w:t>and our conclusions</w:t>
      </w:r>
      <w:r w:rsidR="00073219">
        <w:t xml:space="preserve"> above</w:t>
      </w:r>
      <w:r w:rsidR="006E1ED1">
        <w:t>,</w:t>
      </w:r>
      <w:r w:rsidR="00123C52">
        <w:t xml:space="preserve"> </w:t>
      </w:r>
      <w:r w:rsidR="00884370">
        <w:t xml:space="preserve">AT&amp;T’s claims are not barred by </w:t>
      </w:r>
      <w:r w:rsidR="00D37993">
        <w:t xml:space="preserve">Michigan’s </w:t>
      </w:r>
      <w:r w:rsidR="00884370">
        <w:t>voluntary payment doctrine</w:t>
      </w:r>
      <w:r w:rsidR="001E5B15">
        <w:t>,</w:t>
      </w:r>
      <w:r w:rsidR="001E5B15">
        <w:rPr>
          <w:rStyle w:val="FootnoteReference"/>
        </w:rPr>
        <w:footnoteReference w:id="128"/>
      </w:r>
      <w:r w:rsidR="001E5B15">
        <w:t xml:space="preserve"> </w:t>
      </w:r>
      <w:r w:rsidR="00BD74C3">
        <w:t>w</w:t>
      </w:r>
      <w:r w:rsidR="001E5B15">
        <w:t xml:space="preserve">hich is inapplicable to interstate services governed by the Communications Act and Commission </w:t>
      </w:r>
      <w:r w:rsidR="00935FD8">
        <w:t>R</w:t>
      </w:r>
      <w:r w:rsidR="001E5B15">
        <w:t>ules</w:t>
      </w:r>
      <w:r w:rsidR="00884370">
        <w:t>.</w:t>
      </w:r>
      <w:r w:rsidR="001E5B15">
        <w:rPr>
          <w:rStyle w:val="FootnoteReference"/>
        </w:rPr>
        <w:footnoteReference w:id="129"/>
      </w:r>
      <w:r w:rsidR="00430362">
        <w:t xml:space="preserve"> </w:t>
      </w:r>
      <w:r w:rsidR="005D753D">
        <w:t xml:space="preserve"> </w:t>
      </w:r>
      <w:r w:rsidR="001E5B15">
        <w:t>Even assuming that the doctrine applies here, it would still fail because a</w:t>
      </w:r>
      <w:r w:rsidR="002740BE">
        <w:t xml:space="preserve"> payment is not considered voluntary unless it is “made with a full knowledge of all circumstances upon which it is demanded, and without artifice, fraud or deception.”</w:t>
      </w:r>
      <w:r w:rsidR="002740BE">
        <w:rPr>
          <w:rStyle w:val="FootnoteReference"/>
        </w:rPr>
        <w:footnoteReference w:id="130"/>
      </w:r>
      <w:r w:rsidR="002740BE">
        <w:t xml:space="preserve">  </w:t>
      </w:r>
      <w:r w:rsidR="00123C52" w:rsidRPr="00D83573">
        <w:t>AT&amp;T</w:t>
      </w:r>
      <w:r w:rsidR="00D83573">
        <w:t xml:space="preserve"> did not make voluntary</w:t>
      </w:r>
      <w:r w:rsidR="00FC453C" w:rsidRPr="00D83573">
        <w:t xml:space="preserve"> payments</w:t>
      </w:r>
      <w:r w:rsidR="00553B28">
        <w:t xml:space="preserve">. </w:t>
      </w:r>
      <w:r w:rsidR="00F606BA" w:rsidRPr="00D83573">
        <w:t xml:space="preserve"> </w:t>
      </w:r>
      <w:r w:rsidR="00553B28">
        <w:t>I</w:t>
      </w:r>
      <w:r w:rsidR="00D83573">
        <w:t xml:space="preserve">t did not know </w:t>
      </w:r>
      <w:r w:rsidR="0083556A" w:rsidRPr="00D83573">
        <w:t>that</w:t>
      </w:r>
      <w:r w:rsidR="001B25F6" w:rsidRPr="00D83573">
        <w:t xml:space="preserve"> </w:t>
      </w:r>
      <w:r>
        <w:t xml:space="preserve">(1) </w:t>
      </w:r>
      <w:r w:rsidR="001B25F6" w:rsidRPr="00D83573">
        <w:t xml:space="preserve">GLC was not a </w:t>
      </w:r>
      <w:r w:rsidR="004C5B52" w:rsidRPr="00D83573">
        <w:t xml:space="preserve">rural </w:t>
      </w:r>
      <w:r w:rsidR="001B25F6" w:rsidRPr="00D83573">
        <w:t>CLEC</w:t>
      </w:r>
      <w:r w:rsidR="00D83573">
        <w:t>,</w:t>
      </w:r>
      <w:r w:rsidR="001B25F6" w:rsidRPr="00D83573">
        <w:t xml:space="preserve"> as represented in its tariff</w:t>
      </w:r>
      <w:r w:rsidR="00D83573">
        <w:t>;</w:t>
      </w:r>
      <w:r w:rsidR="001B25F6" w:rsidRPr="00D83573">
        <w:t xml:space="preserve"> </w:t>
      </w:r>
      <w:r>
        <w:t xml:space="preserve">(2) </w:t>
      </w:r>
      <w:r w:rsidR="00223B64">
        <w:t>the GLC Tariff</w:t>
      </w:r>
      <w:r w:rsidR="001B25F6" w:rsidRPr="00D83573">
        <w:t xml:space="preserve"> violated Commission </w:t>
      </w:r>
      <w:r w:rsidR="00935FD8">
        <w:t>R</w:t>
      </w:r>
      <w:r w:rsidR="001B25F6" w:rsidRPr="00D83573">
        <w:t>ules and w</w:t>
      </w:r>
      <w:r w:rsidR="00714DFB" w:rsidRPr="00D83573">
        <w:t>as</w:t>
      </w:r>
      <w:r w:rsidR="001B25F6" w:rsidRPr="00D83573">
        <w:t xml:space="preserve"> unlawful</w:t>
      </w:r>
      <w:r w:rsidR="00223B64">
        <w:t>;</w:t>
      </w:r>
      <w:r w:rsidR="004C5B52" w:rsidRPr="00D83573">
        <w:t xml:space="preserve"> </w:t>
      </w:r>
      <w:r>
        <w:t xml:space="preserve">(3) </w:t>
      </w:r>
      <w:r w:rsidR="004C5B52" w:rsidRPr="00D83573">
        <w:t>GLC’s rates exceeded the Commission’s benchmark rates</w:t>
      </w:r>
      <w:r w:rsidR="00223B64">
        <w:t>;</w:t>
      </w:r>
      <w:r w:rsidR="00AD65DE" w:rsidRPr="00D83573">
        <w:t xml:space="preserve"> </w:t>
      </w:r>
      <w:r>
        <w:t xml:space="preserve">and (4) </w:t>
      </w:r>
      <w:r w:rsidR="00AD65DE" w:rsidRPr="00D83573">
        <w:t>GLC’s rates were unjust and unreasona</w:t>
      </w:r>
      <w:r w:rsidR="00223B64">
        <w:t>ble</w:t>
      </w:r>
      <w:r w:rsidR="00F606BA" w:rsidRPr="00D17CEF">
        <w:t>.</w:t>
      </w:r>
      <w:r w:rsidR="00287B1C" w:rsidRPr="00D83573">
        <w:t xml:space="preserve">  </w:t>
      </w:r>
      <w:r w:rsidR="004A65BA" w:rsidRPr="00D83573">
        <w:t xml:space="preserve">Moreover, </w:t>
      </w:r>
      <w:r w:rsidR="00287B1C" w:rsidRPr="00D83573">
        <w:t>th</w:t>
      </w:r>
      <w:r w:rsidR="00E12B0D" w:rsidRPr="00D83573">
        <w:t xml:space="preserve">e voluntary payment doctrine cannot be harmonized with the Commission’s obligations under </w:t>
      </w:r>
      <w:r w:rsidR="00287B1C" w:rsidRPr="00D83573">
        <w:t>Sections 20</w:t>
      </w:r>
      <w:r w:rsidR="00081DF6" w:rsidRPr="00D83573">
        <w:t>5</w:t>
      </w:r>
      <w:r w:rsidR="00287B1C" w:rsidRPr="00D83573">
        <w:t>-20</w:t>
      </w:r>
      <w:r w:rsidR="006E1ED1" w:rsidRPr="00D83573">
        <w:t>9 of the Act</w:t>
      </w:r>
      <w:r w:rsidR="00223B64">
        <w:t>,</w:t>
      </w:r>
      <w:r w:rsidR="00B86D07" w:rsidRPr="00D83573">
        <w:t xml:space="preserve"> which permit </w:t>
      </w:r>
      <w:r w:rsidR="00DC1904" w:rsidRPr="00D83573">
        <w:t xml:space="preserve">investigations into the reasonableness of charges and </w:t>
      </w:r>
      <w:r w:rsidR="00B86D07" w:rsidRPr="00D83573">
        <w:t xml:space="preserve">claims </w:t>
      </w:r>
      <w:r w:rsidR="00704C8B" w:rsidRPr="00D83573">
        <w:t xml:space="preserve">against carriers for damages </w:t>
      </w:r>
      <w:r w:rsidR="001D74C6" w:rsidRPr="00D83573">
        <w:t xml:space="preserve">relating to </w:t>
      </w:r>
      <w:r w:rsidR="00AA7AB7" w:rsidRPr="00D83573">
        <w:t>violations of the Act</w:t>
      </w:r>
      <w:r w:rsidR="00553B28">
        <w:t>,</w:t>
      </w:r>
      <w:r w:rsidR="00900DFF" w:rsidRPr="00D83573">
        <w:rPr>
          <w:rStyle w:val="FootnoteReference"/>
        </w:rPr>
        <w:footnoteReference w:id="131"/>
      </w:r>
      <w:r w:rsidR="001E6E23">
        <w:t xml:space="preserve"> </w:t>
      </w:r>
      <w:r w:rsidR="00F606BA">
        <w:t>nor with</w:t>
      </w:r>
      <w:r w:rsidR="001E6E23">
        <w:t xml:space="preserve"> Defendants’ tariffs</w:t>
      </w:r>
      <w:r w:rsidR="00F606BA">
        <w:t>,</w:t>
      </w:r>
      <w:r w:rsidR="001E6E23">
        <w:t xml:space="preserve"> which permit refunds within two years of </w:t>
      </w:r>
      <w:r w:rsidR="00F606BA">
        <w:t>issuing</w:t>
      </w:r>
      <w:r w:rsidR="001E6E23">
        <w:t xml:space="preserve"> </w:t>
      </w:r>
      <w:r w:rsidR="00F606BA">
        <w:t>bills</w:t>
      </w:r>
      <w:r w:rsidR="006E1ED1">
        <w:t>.</w:t>
      </w:r>
      <w:r w:rsidR="009221B8">
        <w:rPr>
          <w:rStyle w:val="FootnoteReference"/>
        </w:rPr>
        <w:footnoteReference w:id="132"/>
      </w:r>
      <w:r w:rsidR="003979AC" w:rsidRPr="003979AC">
        <w:t xml:space="preserve"> </w:t>
      </w:r>
    </w:p>
    <w:p w:rsidR="00E70C96" w:rsidRDefault="003004E5" w:rsidP="00152308">
      <w:pPr>
        <w:pStyle w:val="ParaNum"/>
      </w:pPr>
      <w:r>
        <w:t xml:space="preserve">Because AT&amp;T elected to bifurcate its claims for damages pursuant to Section 1.722(d) of the Commission’s </w:t>
      </w:r>
      <w:r w:rsidR="00935FD8">
        <w:t>R</w:t>
      </w:r>
      <w:r>
        <w:t>ules, w</w:t>
      </w:r>
      <w:r w:rsidR="003979AC">
        <w:t xml:space="preserve">e do not address in this </w:t>
      </w:r>
      <w:r w:rsidR="00553B28">
        <w:t xml:space="preserve">Order </w:t>
      </w:r>
      <w:r w:rsidR="00F606BA">
        <w:t xml:space="preserve">the </w:t>
      </w:r>
      <w:r w:rsidR="00553B28">
        <w:t xml:space="preserve">Defendants’ </w:t>
      </w:r>
      <w:r w:rsidR="00F606BA">
        <w:t xml:space="preserve">affirmative </w:t>
      </w:r>
      <w:r w:rsidR="003979AC">
        <w:t>defenses re</w:t>
      </w:r>
      <w:r w:rsidR="00F606BA">
        <w:t>lating to</w:t>
      </w:r>
      <w:r w:rsidR="003979AC">
        <w:t xml:space="preserve"> the extent of any damages AT&amp;T allegedly incurred.</w:t>
      </w:r>
      <w:r w:rsidR="003979AC">
        <w:rPr>
          <w:rStyle w:val="FootnoteReference"/>
        </w:rPr>
        <w:footnoteReference w:id="133"/>
      </w:r>
      <w:r w:rsidR="003979AC">
        <w:t xml:space="preserve">  </w:t>
      </w:r>
      <w:r w:rsidR="006E5CED">
        <w:t xml:space="preserve"> </w:t>
      </w:r>
      <w:r w:rsidR="00A47828">
        <w:t>W</w:t>
      </w:r>
      <w:r w:rsidR="00553B28">
        <w:t>e will address those defenses in the damages phase of this case.</w:t>
      </w:r>
    </w:p>
    <w:p w:rsidR="00152308" w:rsidRDefault="00152308" w:rsidP="00E70C96">
      <w:pPr>
        <w:pStyle w:val="Heading1"/>
      </w:pPr>
      <w:r>
        <w:t>Ordering clauses</w:t>
      </w:r>
    </w:p>
    <w:p w:rsidR="00152308" w:rsidRDefault="00243E69" w:rsidP="00550230">
      <w:pPr>
        <w:pStyle w:val="ParaNum"/>
      </w:pPr>
      <w:r>
        <w:t xml:space="preserve">Accordingly, IT IS HEREBY ORDERED, pursuant to Sections 1, 4(i), 4(j), 201, 203, and 208 of the Communications Act of 1934, as amended, 47 U.S.C. §§ 151, 154(i), 154(j), 201, 203, 208, and Sections 1.720-1.736 of the Commission’s </w:t>
      </w:r>
      <w:r w:rsidR="00935FD8">
        <w:t>R</w:t>
      </w:r>
      <w:r>
        <w:t>ules, 47 C.F.R. §</w:t>
      </w:r>
      <w:r w:rsidR="00374B5B">
        <w:t>§</w:t>
      </w:r>
      <w:r>
        <w:t xml:space="preserve"> 1.720-1.736, that </w:t>
      </w:r>
      <w:r w:rsidR="00163D32">
        <w:t xml:space="preserve">Count I </w:t>
      </w:r>
      <w:r w:rsidR="00E70C96">
        <w:t>is</w:t>
      </w:r>
      <w:r w:rsidR="0066633E">
        <w:t xml:space="preserve"> </w:t>
      </w:r>
      <w:r w:rsidR="00163D32">
        <w:t>GRANTED.</w:t>
      </w:r>
      <w:r>
        <w:t xml:space="preserve"> </w:t>
      </w:r>
    </w:p>
    <w:p w:rsidR="0066633E" w:rsidRDefault="0066633E" w:rsidP="00346EE9">
      <w:pPr>
        <w:pStyle w:val="ParaNum"/>
      </w:pPr>
      <w:r>
        <w:t xml:space="preserve">IT IS FURTHER ORDERED, pursuant to Sections 1, 4(i), 4(j), 201, 203, and 208 of the Communications Act of 1934, as amended, 47 U.S.C. §§ 151, 154(i), 154(j), 201, 203, 208, and Sections 1.720-1.736 of the Commission’s </w:t>
      </w:r>
      <w:r w:rsidR="00935FD8">
        <w:t>R</w:t>
      </w:r>
      <w:r>
        <w:t>ules, 47 C.F.R. §</w:t>
      </w:r>
      <w:r w:rsidR="00374B5B">
        <w:t>§</w:t>
      </w:r>
      <w:r>
        <w:t xml:space="preserve"> 1.720-1.736, that Count II is D</w:t>
      </w:r>
      <w:r w:rsidR="004F63F7">
        <w:t>ISMISSED WITHOUT PREJUDICE</w:t>
      </w:r>
      <w:r>
        <w:t>.</w:t>
      </w:r>
    </w:p>
    <w:p w:rsidR="00E70C96" w:rsidRDefault="00E70C96" w:rsidP="00346EE9">
      <w:pPr>
        <w:pStyle w:val="ParaNum"/>
      </w:pPr>
      <w:r>
        <w:t xml:space="preserve">IT IS FURTHER ORDERED, pursuant to Sections 1, 4(i), 4(j), 201, 203, and 208 of the Communications Act of 1934, as amended, 47 U.S.C. §§ 151, 154(i), 154(j), 201, 203, 208, and Sections 1.720-1.736 of the Commission’s </w:t>
      </w:r>
      <w:r w:rsidR="00935FD8">
        <w:t>R</w:t>
      </w:r>
      <w:r>
        <w:t>ules, 47 C.F.R. §§ 1.720-1.736, that Count</w:t>
      </w:r>
      <w:r w:rsidR="007F6618">
        <w:t xml:space="preserve"> </w:t>
      </w:r>
      <w:r>
        <w:t xml:space="preserve">III is GRANTED </w:t>
      </w:r>
      <w:r w:rsidR="00950170">
        <w:t xml:space="preserve">IN PART </w:t>
      </w:r>
      <w:r w:rsidR="007F6618">
        <w:t xml:space="preserve">and </w:t>
      </w:r>
      <w:r w:rsidR="00950170">
        <w:t xml:space="preserve">DISMISSED </w:t>
      </w:r>
      <w:r w:rsidR="00525827">
        <w:t xml:space="preserve">IN PART </w:t>
      </w:r>
      <w:r w:rsidR="007F6618">
        <w:t>WITHOUT PREJUDICE</w:t>
      </w:r>
      <w:r w:rsidR="00950170">
        <w:t xml:space="preserve"> as described herein</w:t>
      </w:r>
      <w:r>
        <w:t xml:space="preserve">. </w:t>
      </w:r>
    </w:p>
    <w:p w:rsidR="00346EE9" w:rsidRDefault="00243E69" w:rsidP="00346EE9">
      <w:pPr>
        <w:pStyle w:val="ParaNum"/>
      </w:pPr>
      <w:r>
        <w:t xml:space="preserve">IT IS FURTHER ORDERED, pursuant to Sections 1, 4(i), 4(j), 201, 203, and 208 of the Communications Act of 1934, as amended, 47 U.S.C. §§ 151, 154(i), 154(j), 201, 203, 208, and Sections 1.720-1.736 of the Commission’s </w:t>
      </w:r>
      <w:r w:rsidR="00935FD8">
        <w:t>R</w:t>
      </w:r>
      <w:r>
        <w:t>ules, 47 C.F.R. §</w:t>
      </w:r>
      <w:r w:rsidR="00374B5B">
        <w:t>§</w:t>
      </w:r>
      <w:r>
        <w:t xml:space="preserve"> 1.720-1.736, that</w:t>
      </w:r>
      <w:r w:rsidR="00163D32">
        <w:t xml:space="preserve"> Count IV </w:t>
      </w:r>
      <w:r w:rsidR="00E70C96">
        <w:t>is</w:t>
      </w:r>
      <w:r w:rsidR="00163D32">
        <w:t xml:space="preserve"> DISMISSED WITHOUT PREJUDICE.</w:t>
      </w:r>
    </w:p>
    <w:p w:rsidR="00346EE9" w:rsidRPr="00034270" w:rsidRDefault="00346EE9" w:rsidP="00B7055C">
      <w:pPr>
        <w:ind w:left="3600" w:firstLine="720"/>
      </w:pPr>
      <w:r w:rsidRPr="00034270">
        <w:t>FEDERAL COMMUNICATIONS COMMISSION</w:t>
      </w:r>
    </w:p>
    <w:p w:rsidR="00346EE9" w:rsidRPr="00034270" w:rsidRDefault="00346EE9" w:rsidP="00B7055C"/>
    <w:p w:rsidR="00346EE9" w:rsidRPr="00034270" w:rsidRDefault="00346EE9" w:rsidP="00B7055C"/>
    <w:p w:rsidR="00346EE9" w:rsidRPr="00034270" w:rsidRDefault="00346EE9" w:rsidP="00B7055C"/>
    <w:p w:rsidR="00346EE9" w:rsidRPr="00034270" w:rsidRDefault="00346EE9" w:rsidP="00B7055C">
      <w:pPr>
        <w:ind w:left="3600" w:firstLine="720"/>
      </w:pPr>
      <w:r w:rsidRPr="00034270">
        <w:t>Marlene H. Dortch</w:t>
      </w:r>
    </w:p>
    <w:p w:rsidR="001C5749" w:rsidRPr="00152308" w:rsidRDefault="00346EE9" w:rsidP="006D2ED8">
      <w:pPr>
        <w:ind w:left="3600" w:firstLine="720"/>
      </w:pPr>
      <w:r w:rsidRPr="00034270">
        <w:t>Secretary</w:t>
      </w:r>
      <w:r w:rsidR="001C5749" w:rsidRPr="006A4026">
        <w:rPr>
          <w:szCs w:val="22"/>
        </w:rPr>
        <w:t xml:space="preserve"> </w:t>
      </w:r>
    </w:p>
    <w:sectPr w:rsidR="001C5749" w:rsidRPr="0015230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F73" w:rsidRDefault="00072F73">
      <w:pPr>
        <w:spacing w:line="20" w:lineRule="exact"/>
      </w:pPr>
    </w:p>
  </w:endnote>
  <w:endnote w:type="continuationSeparator" w:id="0">
    <w:p w:rsidR="00072F73" w:rsidRDefault="00072F73">
      <w:r>
        <w:t xml:space="preserve"> </w:t>
      </w:r>
    </w:p>
  </w:endnote>
  <w:endnote w:type="continuationNotice" w:id="1">
    <w:p w:rsidR="00072F73" w:rsidRDefault="00072F7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AE3" w:rsidRDefault="00D97AE3" w:rsidP="0055614C">
    <w:pPr>
      <w:pStyle w:val="Footer"/>
      <w:framePr w:wrap="around" w:vAnchor="text" w:hAnchor="margin" w:xAlign="center" w:y="1"/>
    </w:pPr>
    <w:r>
      <w:fldChar w:fldCharType="begin"/>
    </w:r>
    <w:r>
      <w:instrText xml:space="preserve">PAGE  </w:instrText>
    </w:r>
    <w:r>
      <w:fldChar w:fldCharType="end"/>
    </w:r>
  </w:p>
  <w:p w:rsidR="00D97AE3" w:rsidRDefault="00D97A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AE3" w:rsidRDefault="00D97AE3" w:rsidP="0055614C">
    <w:pPr>
      <w:pStyle w:val="Footer"/>
      <w:framePr w:wrap="around" w:vAnchor="text" w:hAnchor="margin" w:xAlign="center" w:y="1"/>
    </w:pPr>
    <w:r>
      <w:fldChar w:fldCharType="begin"/>
    </w:r>
    <w:r>
      <w:instrText xml:space="preserve">PAGE  </w:instrText>
    </w:r>
    <w:r>
      <w:fldChar w:fldCharType="separate"/>
    </w:r>
    <w:r w:rsidR="00DB391E">
      <w:rPr>
        <w:noProof/>
      </w:rPr>
      <w:t>4</w:t>
    </w:r>
    <w:r>
      <w:fldChar w:fldCharType="end"/>
    </w:r>
  </w:p>
  <w:p w:rsidR="00D97AE3" w:rsidRDefault="00D97AE3">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AE3" w:rsidRDefault="00D97AE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F73" w:rsidRDefault="00072F73">
      <w:r>
        <w:separator/>
      </w:r>
    </w:p>
  </w:footnote>
  <w:footnote w:type="continuationSeparator" w:id="0">
    <w:p w:rsidR="00072F73" w:rsidRDefault="00072F73" w:rsidP="00C721AC">
      <w:pPr>
        <w:spacing w:before="120"/>
        <w:rPr>
          <w:sz w:val="20"/>
        </w:rPr>
      </w:pPr>
      <w:r>
        <w:rPr>
          <w:sz w:val="20"/>
        </w:rPr>
        <w:t xml:space="preserve">(Continued from previous page)  </w:t>
      </w:r>
      <w:r>
        <w:rPr>
          <w:sz w:val="20"/>
        </w:rPr>
        <w:separator/>
      </w:r>
    </w:p>
  </w:footnote>
  <w:footnote w:type="continuationNotice" w:id="1">
    <w:p w:rsidR="00072F73" w:rsidRDefault="00072F73" w:rsidP="00C721AC">
      <w:pPr>
        <w:jc w:val="right"/>
        <w:rPr>
          <w:sz w:val="20"/>
        </w:rPr>
      </w:pPr>
      <w:r>
        <w:rPr>
          <w:sz w:val="20"/>
        </w:rPr>
        <w:t>(continued….)</w:t>
      </w:r>
    </w:p>
  </w:footnote>
  <w:footnote w:id="2">
    <w:p w:rsidR="00D97AE3" w:rsidRPr="004F04B7" w:rsidRDefault="00D97AE3" w:rsidP="00DE3E7F">
      <w:pPr>
        <w:pStyle w:val="FootnoteText"/>
      </w:pPr>
      <w:r w:rsidRPr="004F04B7">
        <w:rPr>
          <w:rStyle w:val="FootnoteReference"/>
        </w:rPr>
        <w:footnoteRef/>
      </w:r>
      <w:r w:rsidRPr="004F04B7">
        <w:t xml:space="preserve"> Formal Complaint of AT&amp;T Services Inc. and AT&amp;T Corp., File No. EB-14-MD-013</w:t>
      </w:r>
      <w:r>
        <w:t xml:space="preserve"> (filed Oct. 22, 2014) (Complaint)</w:t>
      </w:r>
      <w:r w:rsidRPr="004F04B7">
        <w:t>.</w:t>
      </w:r>
      <w:r w:rsidR="001C6E18">
        <w:t xml:space="preserve">  </w:t>
      </w:r>
      <w:r w:rsidR="001C6E18">
        <w:rPr>
          <w:i/>
        </w:rPr>
        <w:t xml:space="preserve">See </w:t>
      </w:r>
      <w:r w:rsidR="001C6E18">
        <w:t xml:space="preserve">47 U.S.C. § 208. </w:t>
      </w:r>
      <w:r w:rsidRPr="004F04B7">
        <w:t xml:space="preserve"> AT&amp;T previously </w:t>
      </w:r>
      <w:r>
        <w:t xml:space="preserve">had </w:t>
      </w:r>
      <w:r w:rsidRPr="004F04B7">
        <w:t xml:space="preserve">filed an informal complaint against Defendants.  </w:t>
      </w:r>
      <w:r w:rsidRPr="004F04B7">
        <w:rPr>
          <w:i/>
        </w:rPr>
        <w:t>See</w:t>
      </w:r>
      <w:r w:rsidRPr="004F04B7">
        <w:t xml:space="preserve"> Informal Complaint of AT&amp;T against Local Exchange Carriers of Michigan, Inc., Great Lakes Comnet, Inc., and Westphalia Telephone </w:t>
      </w:r>
      <w:r w:rsidRPr="004E2587">
        <w:t>Company, File No. EB-14-MDIC-0003 (filed Apr. 4, 2014).  Defendants filed their response on May 12, 2014.  Letter from Philip J. Macres, Counsel for GLC and WTC, to Sandra Gray-Fields, FCC, EB, MDRD, File No. EB-14-MDIC-0003 (filed May 12, 2014).  Because</w:t>
      </w:r>
      <w:r w:rsidRPr="004F04B7">
        <w:t xml:space="preserve"> AT&amp;T converted its informal complaint into a formal complaint within six months of Defendants’ response, the formal complaint “relate[s] back to the filing date of the informal complaint.”  </w:t>
      </w:r>
      <w:r w:rsidRPr="004F04B7">
        <w:rPr>
          <w:i/>
        </w:rPr>
        <w:t>See</w:t>
      </w:r>
      <w:r w:rsidRPr="004F04B7">
        <w:t xml:space="preserve"> 47 C.F.R. § 1.718.</w:t>
      </w:r>
    </w:p>
  </w:footnote>
  <w:footnote w:id="3">
    <w:p w:rsidR="00D97AE3" w:rsidRPr="004F04B7" w:rsidRDefault="00D97AE3" w:rsidP="00DE6B65">
      <w:pPr>
        <w:pStyle w:val="FootnoteText"/>
      </w:pPr>
      <w:r w:rsidRPr="004F04B7">
        <w:rPr>
          <w:rStyle w:val="FootnoteReference"/>
        </w:rPr>
        <w:footnoteRef/>
      </w:r>
      <w:r w:rsidRPr="004F04B7">
        <w:t xml:space="preserve"> </w:t>
      </w:r>
      <w:r w:rsidRPr="004F04B7">
        <w:rPr>
          <w:i/>
        </w:rPr>
        <w:t>See</w:t>
      </w:r>
      <w:r w:rsidRPr="004F04B7">
        <w:t xml:space="preserve"> Complaint at 56-58, paras. 165-76.</w:t>
      </w:r>
    </w:p>
  </w:footnote>
  <w:footnote w:id="4">
    <w:p w:rsidR="00D522EE" w:rsidRDefault="00D522EE">
      <w:pPr>
        <w:pStyle w:val="FootnoteText"/>
      </w:pPr>
      <w:r>
        <w:rPr>
          <w:rStyle w:val="FootnoteReference"/>
        </w:rPr>
        <w:footnoteRef/>
      </w:r>
      <w:r>
        <w:t xml:space="preserve"> 47 C.F.R. § 61.26(f).</w:t>
      </w:r>
    </w:p>
  </w:footnote>
  <w:footnote w:id="5">
    <w:p w:rsidR="00310958" w:rsidRDefault="00310958">
      <w:pPr>
        <w:pStyle w:val="FootnoteText"/>
      </w:pPr>
      <w:r>
        <w:rPr>
          <w:rStyle w:val="FootnoteReference"/>
        </w:rPr>
        <w:footnoteRef/>
      </w:r>
      <w:r>
        <w:t xml:space="preserve"> </w:t>
      </w:r>
      <w:r w:rsidR="00100B03">
        <w:t xml:space="preserve">The Commission enacted these rules as “a bright line . . . that permits a simple determination as to whether CLEC access charges are just and reasonable” under Section 201(b) of the Communications Act.  </w:t>
      </w:r>
      <w:r w:rsidR="00100B03" w:rsidRPr="004F04B7">
        <w:rPr>
          <w:bCs/>
          <w:i/>
          <w:iCs/>
        </w:rPr>
        <w:t>Access Charge Reform</w:t>
      </w:r>
      <w:r w:rsidR="00100B03" w:rsidRPr="004F04B7">
        <w:rPr>
          <w:i/>
          <w:iCs/>
        </w:rPr>
        <w:t>, Reform of Access Charges Imposed by Competitive Local Exchange Carriers</w:t>
      </w:r>
      <w:r w:rsidR="00100B03" w:rsidRPr="004F04B7">
        <w:rPr>
          <w:iCs/>
        </w:rPr>
        <w:t>,</w:t>
      </w:r>
      <w:r w:rsidR="00100B03" w:rsidRPr="004F04B7">
        <w:rPr>
          <w:i/>
          <w:iCs/>
        </w:rPr>
        <w:t xml:space="preserve"> </w:t>
      </w:r>
      <w:r w:rsidR="00100B03" w:rsidRPr="004F04B7">
        <w:t>Seventh Report and Order and Further Notice of Proposed Rulemaking, 16 FCC Rcd 9923, 992</w:t>
      </w:r>
      <w:r w:rsidR="00100B03">
        <w:t>5</w:t>
      </w:r>
      <w:r w:rsidR="00100B03" w:rsidRPr="004F04B7">
        <w:t xml:space="preserve">, para. </w:t>
      </w:r>
      <w:r w:rsidR="00100B03">
        <w:t>4</w:t>
      </w:r>
      <w:r w:rsidR="00100B03" w:rsidRPr="004F04B7">
        <w:t xml:space="preserve"> (2001) (</w:t>
      </w:r>
      <w:r w:rsidR="00100B03" w:rsidRPr="004F04B7">
        <w:rPr>
          <w:i/>
          <w:iCs/>
        </w:rPr>
        <w:t>CLEC Access Reform Order</w:t>
      </w:r>
      <w:r w:rsidR="00100B03">
        <w:t>); 47 U.S.C. §§ 201(b), 203.</w:t>
      </w:r>
    </w:p>
  </w:footnote>
  <w:footnote w:id="6">
    <w:p w:rsidR="00771304" w:rsidRPr="004F04B7" w:rsidRDefault="00771304" w:rsidP="00771304">
      <w:pPr>
        <w:pStyle w:val="FootnoteText"/>
      </w:pPr>
      <w:r w:rsidRPr="004F04B7">
        <w:rPr>
          <w:rStyle w:val="FootnoteReference"/>
        </w:rPr>
        <w:footnoteRef/>
      </w:r>
      <w:r w:rsidRPr="004F04B7">
        <w:t xml:space="preserve"> Complaint at 49, para. 137, </w:t>
      </w:r>
      <w:r w:rsidR="008F5AA4">
        <w:t xml:space="preserve">50, paras. 140-41, </w:t>
      </w:r>
      <w:r w:rsidR="00873B70">
        <w:t xml:space="preserve">51, para. 144, 52-53, paras. 151-53, </w:t>
      </w:r>
      <w:r w:rsidRPr="004F04B7">
        <w:t xml:space="preserve">60-61, paras. 185-91.  </w:t>
      </w:r>
    </w:p>
  </w:footnote>
  <w:footnote w:id="7">
    <w:p w:rsidR="00771304" w:rsidRDefault="00771304" w:rsidP="00771304">
      <w:pPr>
        <w:pStyle w:val="FootnoteText"/>
      </w:pPr>
      <w:r>
        <w:rPr>
          <w:rStyle w:val="FootnoteReference"/>
        </w:rPr>
        <w:footnoteRef/>
      </w:r>
      <w:r>
        <w:t xml:space="preserve"> </w:t>
      </w:r>
      <w:r w:rsidR="0076050E" w:rsidRPr="004F04B7">
        <w:t>Joint Statement of Stipulated Facts, Disputed Facts, Key Legal Issues, and Discovery and Scheduling, File No. EB-14-MD-013 (filed Dec. 1, 2014) (Joint Statement) at</w:t>
      </w:r>
      <w:r w:rsidR="0076050E">
        <w:t xml:space="preserve"> </w:t>
      </w:r>
      <w:r>
        <w:t xml:space="preserve">11-12, Stipulated Facts, Nos. </w:t>
      </w:r>
      <w:r>
        <w:rPr>
          <w:szCs w:val="22"/>
        </w:rPr>
        <w:t>65-72.</w:t>
      </w:r>
    </w:p>
  </w:footnote>
  <w:footnote w:id="8">
    <w:p w:rsidR="00D522EE" w:rsidRDefault="00D522EE">
      <w:pPr>
        <w:pStyle w:val="FootnoteText"/>
      </w:pPr>
      <w:r>
        <w:rPr>
          <w:rStyle w:val="FootnoteReference"/>
        </w:rPr>
        <w:footnoteRef/>
      </w:r>
      <w:r>
        <w:t xml:space="preserve"> 47 C.F.R. § 1.722(d).</w:t>
      </w:r>
    </w:p>
  </w:footnote>
  <w:footnote w:id="9">
    <w:p w:rsidR="00D97AE3" w:rsidRDefault="00D97AE3" w:rsidP="00DE3E7F">
      <w:pPr>
        <w:pStyle w:val="FootnoteText"/>
      </w:pPr>
      <w:r>
        <w:rPr>
          <w:rStyle w:val="FootnoteReference"/>
        </w:rPr>
        <w:footnoteRef/>
      </w:r>
      <w:r>
        <w:t xml:space="preserve"> </w:t>
      </w:r>
      <w:r w:rsidRPr="004F04B7">
        <w:t>Complaint at 8, para. 19 (citing 47 C.F.R. § 1.722(d) (setting forth the requirements a complainant must satisfy if it “wishes a determination of damages to be made in a proceeding that is separate from and subsequent to the proceeding in which the determinations of liability and prospective relief are made”)).</w:t>
      </w:r>
    </w:p>
  </w:footnote>
  <w:footnote w:id="10">
    <w:p w:rsidR="00D97AE3" w:rsidRPr="004F04B7" w:rsidRDefault="00D97AE3" w:rsidP="00ED70F8">
      <w:pPr>
        <w:pStyle w:val="FootnoteText"/>
      </w:pPr>
      <w:r w:rsidRPr="004F04B7">
        <w:rPr>
          <w:rStyle w:val="FootnoteReference"/>
        </w:rPr>
        <w:footnoteRef/>
      </w:r>
      <w:r w:rsidRPr="004F04B7">
        <w:t xml:space="preserve"> Joint Statement at 2, Stipulated Facts, No. 1.</w:t>
      </w:r>
      <w:r w:rsidRPr="004F04B7">
        <w:rPr>
          <w:b/>
        </w:rPr>
        <w:t xml:space="preserve">  </w:t>
      </w:r>
    </w:p>
  </w:footnote>
  <w:footnote w:id="11">
    <w:p w:rsidR="00D97AE3" w:rsidRPr="004F04B7" w:rsidRDefault="00D97AE3" w:rsidP="00ED70F8">
      <w:pPr>
        <w:pStyle w:val="FootnoteText"/>
      </w:pPr>
      <w:r w:rsidRPr="004F04B7">
        <w:rPr>
          <w:rStyle w:val="FootnoteReference"/>
        </w:rPr>
        <w:footnoteRef/>
      </w:r>
      <w:r w:rsidRPr="004F04B7">
        <w:t xml:space="preserve"> Joint Statement at 2, Stipulated Facts, No. 2.  8YY is a service in which the customer receiving the call (rather than the customer making the call) pays for the call.  AT&amp;T’s 8YY customers are the businesses that receive 8YY calls.  </w:t>
      </w:r>
      <w:r w:rsidR="003A6B82" w:rsidRPr="003A6B82">
        <w:rPr>
          <w:i/>
        </w:rPr>
        <w:t>Id.</w:t>
      </w:r>
      <w:r w:rsidR="003A6B82">
        <w:t xml:space="preserve">, </w:t>
      </w:r>
      <w:r w:rsidRPr="004F04B7">
        <w:t>Stipulated Facts, No. 3.</w:t>
      </w:r>
      <w:r w:rsidRPr="004F04B7">
        <w:rPr>
          <w:b/>
        </w:rPr>
        <w:t xml:space="preserve">  </w:t>
      </w:r>
    </w:p>
  </w:footnote>
  <w:footnote w:id="12">
    <w:p w:rsidR="00D97AE3" w:rsidRPr="004F04B7" w:rsidRDefault="00D97AE3">
      <w:pPr>
        <w:pStyle w:val="FootnoteText"/>
      </w:pPr>
      <w:r w:rsidRPr="004F04B7">
        <w:rPr>
          <w:rStyle w:val="FootnoteReference"/>
        </w:rPr>
        <w:footnoteRef/>
      </w:r>
      <w:r w:rsidRPr="004F04B7">
        <w:t xml:space="preserve"> </w:t>
      </w:r>
      <w:r w:rsidR="000C6CCD" w:rsidRPr="003A6B82">
        <w:rPr>
          <w:i/>
        </w:rPr>
        <w:t>Id.</w:t>
      </w:r>
      <w:r w:rsidR="000C6CCD">
        <w:t xml:space="preserve">, </w:t>
      </w:r>
      <w:r w:rsidRPr="004F04B7">
        <w:t>Stipulated Facts, No. 3.</w:t>
      </w:r>
    </w:p>
  </w:footnote>
  <w:footnote w:id="13">
    <w:p w:rsidR="00D97AE3" w:rsidRPr="004F04B7" w:rsidRDefault="00D97AE3" w:rsidP="00ED70F8">
      <w:pPr>
        <w:pStyle w:val="FootnoteText"/>
      </w:pPr>
      <w:r w:rsidRPr="004F04B7">
        <w:rPr>
          <w:rStyle w:val="FootnoteReference"/>
        </w:rPr>
        <w:footnoteRef/>
      </w:r>
      <w:r w:rsidRPr="004F04B7">
        <w:t xml:space="preserve"> Joint Statement at 3, Stipulated Facts, No. 5.</w:t>
      </w:r>
    </w:p>
  </w:footnote>
  <w:footnote w:id="14">
    <w:p w:rsidR="00D97AE3" w:rsidRPr="004F04B7" w:rsidRDefault="00D97AE3" w:rsidP="00ED70F8">
      <w:pPr>
        <w:pStyle w:val="FootnoteText"/>
      </w:pPr>
      <w:r w:rsidRPr="004F04B7">
        <w:rPr>
          <w:rStyle w:val="FootnoteReference"/>
        </w:rPr>
        <w:footnoteRef/>
      </w:r>
      <w:r w:rsidRPr="004F04B7">
        <w:t xml:space="preserve"> </w:t>
      </w:r>
      <w:r w:rsidR="003A6B82" w:rsidRPr="003A6B82">
        <w:rPr>
          <w:i/>
        </w:rPr>
        <w:t>Id.</w:t>
      </w:r>
      <w:r w:rsidR="003A6B82">
        <w:t xml:space="preserve">, </w:t>
      </w:r>
      <w:r w:rsidRPr="004F04B7">
        <w:t>Stipulated Facts, No. 6.</w:t>
      </w:r>
    </w:p>
  </w:footnote>
  <w:footnote w:id="15">
    <w:p w:rsidR="00D97AE3" w:rsidRPr="004F04B7" w:rsidRDefault="00D97AE3" w:rsidP="00ED70F8">
      <w:pPr>
        <w:pStyle w:val="FootnoteText"/>
      </w:pPr>
      <w:r w:rsidRPr="004F04B7">
        <w:rPr>
          <w:rStyle w:val="FootnoteReference"/>
        </w:rPr>
        <w:footnoteRef/>
      </w:r>
      <w:r w:rsidRPr="004F04B7">
        <w:t xml:space="preserve"> </w:t>
      </w:r>
      <w:r w:rsidR="003A6B82" w:rsidRPr="003A6B82">
        <w:rPr>
          <w:i/>
        </w:rPr>
        <w:t>Id.</w:t>
      </w:r>
      <w:r w:rsidR="003A6B82">
        <w:t xml:space="preserve">, </w:t>
      </w:r>
      <w:r w:rsidRPr="004F04B7">
        <w:t>Stipulated Facts, Nos. 7, 8.</w:t>
      </w:r>
    </w:p>
  </w:footnote>
  <w:footnote w:id="16">
    <w:p w:rsidR="00D97AE3" w:rsidRPr="004F04B7" w:rsidRDefault="00D97AE3" w:rsidP="00ED70F8">
      <w:pPr>
        <w:pStyle w:val="FootnoteText"/>
      </w:pPr>
      <w:r w:rsidRPr="004F04B7">
        <w:rPr>
          <w:rStyle w:val="FootnoteReference"/>
        </w:rPr>
        <w:footnoteRef/>
      </w:r>
      <w:r w:rsidRPr="004F04B7">
        <w:t xml:space="preserve"> </w:t>
      </w:r>
      <w:r w:rsidR="003A6B82" w:rsidRPr="003A6B82">
        <w:rPr>
          <w:i/>
        </w:rPr>
        <w:t>Id.</w:t>
      </w:r>
      <w:r w:rsidR="003A6B82">
        <w:t xml:space="preserve">, </w:t>
      </w:r>
      <w:r w:rsidRPr="004F04B7">
        <w:t>Stipulated Facts, No. 10.</w:t>
      </w:r>
    </w:p>
  </w:footnote>
  <w:footnote w:id="17">
    <w:p w:rsidR="00D97AE3" w:rsidRPr="004F04B7" w:rsidRDefault="00D97AE3">
      <w:pPr>
        <w:pStyle w:val="FootnoteText"/>
      </w:pPr>
      <w:r w:rsidRPr="004F04B7">
        <w:rPr>
          <w:rStyle w:val="FootnoteReference"/>
        </w:rPr>
        <w:footnoteRef/>
      </w:r>
      <w:r w:rsidRPr="004F04B7">
        <w:t xml:space="preserve"> Joint Statement at 4, Stipulated Facts, No. 12.</w:t>
      </w:r>
    </w:p>
  </w:footnote>
  <w:footnote w:id="18">
    <w:p w:rsidR="00D97AE3" w:rsidRPr="004F04B7" w:rsidRDefault="00D97AE3" w:rsidP="00ED70F8">
      <w:pPr>
        <w:pStyle w:val="FootnoteText"/>
      </w:pPr>
      <w:r w:rsidRPr="004F04B7">
        <w:rPr>
          <w:rStyle w:val="FootnoteReference"/>
        </w:rPr>
        <w:footnoteRef/>
      </w:r>
      <w:r w:rsidRPr="004F04B7">
        <w:t xml:space="preserve"> </w:t>
      </w:r>
      <w:r w:rsidR="003A6B82" w:rsidRPr="003A6B82">
        <w:rPr>
          <w:i/>
        </w:rPr>
        <w:t>Id.</w:t>
      </w:r>
      <w:r w:rsidR="003A6B82">
        <w:t xml:space="preserve">, </w:t>
      </w:r>
      <w:r w:rsidRPr="004F04B7">
        <w:t>Stipulated Facts, No. 17.</w:t>
      </w:r>
      <w:r w:rsidRPr="004F04B7">
        <w:rPr>
          <w:b/>
        </w:rPr>
        <w:t xml:space="preserve">  </w:t>
      </w:r>
    </w:p>
  </w:footnote>
  <w:footnote w:id="19">
    <w:p w:rsidR="00D97AE3" w:rsidRPr="004F04B7" w:rsidRDefault="00D97AE3" w:rsidP="00A65345">
      <w:pPr>
        <w:pStyle w:val="FootnoteText"/>
      </w:pPr>
      <w:r w:rsidRPr="004F04B7">
        <w:rPr>
          <w:rStyle w:val="FootnoteReference"/>
        </w:rPr>
        <w:footnoteRef/>
      </w:r>
      <w:r w:rsidRPr="004F04B7">
        <w:t xml:space="preserve"> Joint Statement at 3, Stipulated Facts, No. 8.</w:t>
      </w:r>
    </w:p>
  </w:footnote>
  <w:footnote w:id="20">
    <w:p w:rsidR="00D97AE3" w:rsidRPr="004F04B7" w:rsidRDefault="00D97AE3">
      <w:pPr>
        <w:pStyle w:val="FootnoteText"/>
      </w:pPr>
      <w:r w:rsidRPr="004F04B7">
        <w:rPr>
          <w:rStyle w:val="FootnoteReference"/>
        </w:rPr>
        <w:footnoteRef/>
      </w:r>
      <w:r w:rsidRPr="004F04B7">
        <w:t xml:space="preserve"> Although the parties have identified a number of non-parties they believe </w:t>
      </w:r>
      <w:r>
        <w:t>are germane</w:t>
      </w:r>
      <w:r w:rsidRPr="004F04B7">
        <w:t xml:space="preserve"> to this dispute (</w:t>
      </w:r>
      <w:r w:rsidRPr="004F04B7">
        <w:rPr>
          <w:i/>
        </w:rPr>
        <w:t>see</w:t>
      </w:r>
      <w:r w:rsidRPr="004F04B7">
        <w:t xml:space="preserve"> Joint Statement at 5-6, Stipulated Facts, Nos. 22-29), we </w:t>
      </w:r>
      <w:r>
        <w:t>discuss</w:t>
      </w:r>
      <w:r w:rsidRPr="004F04B7">
        <w:t xml:space="preserve"> only those </w:t>
      </w:r>
      <w:r>
        <w:t xml:space="preserve">non-parties that </w:t>
      </w:r>
      <w:r w:rsidRPr="004F04B7">
        <w:t xml:space="preserve">are </w:t>
      </w:r>
      <w:r>
        <w:t xml:space="preserve">relevant to </w:t>
      </w:r>
      <w:r w:rsidRPr="004F04B7">
        <w:t>our findings and conclusions.</w:t>
      </w:r>
    </w:p>
  </w:footnote>
  <w:footnote w:id="21">
    <w:p w:rsidR="00D97AE3" w:rsidRPr="004F04B7" w:rsidRDefault="00D97AE3">
      <w:pPr>
        <w:pStyle w:val="FootnoteText"/>
      </w:pPr>
      <w:r w:rsidRPr="004F04B7">
        <w:rPr>
          <w:rStyle w:val="FootnoteReference"/>
        </w:rPr>
        <w:footnoteRef/>
      </w:r>
      <w:r w:rsidRPr="004F04B7">
        <w:t xml:space="preserve"> Joint Statement at 5, Stipulated Facts, No. 22.</w:t>
      </w:r>
    </w:p>
  </w:footnote>
  <w:footnote w:id="22">
    <w:p w:rsidR="00D97AE3" w:rsidRPr="004F04B7" w:rsidRDefault="00D97AE3" w:rsidP="00ED70F8">
      <w:pPr>
        <w:pStyle w:val="FootnoteText"/>
      </w:pPr>
      <w:r w:rsidRPr="004F04B7">
        <w:rPr>
          <w:rStyle w:val="FootnoteReference"/>
        </w:rPr>
        <w:footnoteRef/>
      </w:r>
      <w:r w:rsidRPr="004F04B7">
        <w:t xml:space="preserve"> </w:t>
      </w:r>
      <w:r w:rsidR="00177740">
        <w:rPr>
          <w:i/>
        </w:rPr>
        <w:t>Id.</w:t>
      </w:r>
      <w:r w:rsidRPr="004F04B7">
        <w:rPr>
          <w:b/>
        </w:rPr>
        <w:t xml:space="preserve">  </w:t>
      </w:r>
    </w:p>
  </w:footnote>
  <w:footnote w:id="23">
    <w:p w:rsidR="00D97AE3" w:rsidRPr="004F04B7" w:rsidRDefault="00D97AE3" w:rsidP="001858DF">
      <w:pPr>
        <w:pStyle w:val="FootnoteText"/>
      </w:pPr>
      <w:r w:rsidRPr="004F04B7">
        <w:rPr>
          <w:rStyle w:val="FootnoteReference"/>
        </w:rPr>
        <w:footnoteRef/>
      </w:r>
      <w:r w:rsidRPr="004F04B7">
        <w:t xml:space="preserve"> </w:t>
      </w:r>
      <w:r w:rsidR="00177740">
        <w:rPr>
          <w:i/>
        </w:rPr>
        <w:t>Id.</w:t>
      </w:r>
      <w:r w:rsidRPr="004F04B7">
        <w:rPr>
          <w:b/>
        </w:rPr>
        <w:t xml:space="preserve">  </w:t>
      </w:r>
    </w:p>
  </w:footnote>
  <w:footnote w:id="24">
    <w:p w:rsidR="00D97AE3" w:rsidRPr="004F04B7" w:rsidRDefault="00D97AE3" w:rsidP="00D1579B">
      <w:pPr>
        <w:pStyle w:val="FootnoteText"/>
      </w:pPr>
      <w:r w:rsidRPr="004F04B7">
        <w:rPr>
          <w:rStyle w:val="FootnoteReference"/>
        </w:rPr>
        <w:footnoteRef/>
      </w:r>
      <w:r w:rsidRPr="004F04B7">
        <w:t xml:space="preserve"> </w:t>
      </w:r>
      <w:r w:rsidRPr="004F04B7">
        <w:rPr>
          <w:i/>
        </w:rPr>
        <w:t>See</w:t>
      </w:r>
      <w:r w:rsidRPr="004F04B7">
        <w:t xml:space="preserve"> Complaint at 13, para. 33; Answer of Great Lakes Comnet, Inc. and Westphalia Telephone Company</w:t>
      </w:r>
      <w:r>
        <w:t>,</w:t>
      </w:r>
      <w:r w:rsidRPr="004F04B7">
        <w:t xml:space="preserve"> File No. EB-14-MD-01</w:t>
      </w:r>
      <w:r>
        <w:t>3</w:t>
      </w:r>
      <w:r w:rsidRPr="004F04B7">
        <w:t xml:space="preserve"> (filed Nov. 12, 2014) (Answer), Declaration of John Summerset on Behalf of Great Lakes Comnet, Inc. and Westphalia Telephone Company (Summerset Declaration) at 57-58, paras. 133-35.</w:t>
      </w:r>
    </w:p>
  </w:footnote>
  <w:footnote w:id="25">
    <w:p w:rsidR="00D97AE3" w:rsidRPr="004F04B7" w:rsidRDefault="00D97AE3" w:rsidP="005A182F">
      <w:pPr>
        <w:pStyle w:val="FootnoteText"/>
      </w:pPr>
      <w:r w:rsidRPr="004F04B7">
        <w:rPr>
          <w:rStyle w:val="FootnoteReference"/>
        </w:rPr>
        <w:footnoteRef/>
      </w:r>
      <w:r w:rsidRPr="004F04B7">
        <w:t xml:space="preserve"> </w:t>
      </w:r>
      <w:r>
        <w:t>47 C.F.R. § 61.26(a)(1).</w:t>
      </w:r>
      <w:r>
        <w:rPr>
          <w:b/>
        </w:rPr>
        <w:t xml:space="preserve">  </w:t>
      </w:r>
    </w:p>
  </w:footnote>
  <w:footnote w:id="26">
    <w:p w:rsidR="000D7604" w:rsidRDefault="000D7604">
      <w:pPr>
        <w:pStyle w:val="FootnoteText"/>
      </w:pPr>
      <w:r>
        <w:rPr>
          <w:rStyle w:val="FootnoteReference"/>
        </w:rPr>
        <w:footnoteRef/>
      </w:r>
      <w:r>
        <w:t xml:space="preserve"> </w:t>
      </w:r>
      <w:r w:rsidRPr="004F04B7">
        <w:rPr>
          <w:i/>
          <w:iCs/>
        </w:rPr>
        <w:t xml:space="preserve">See </w:t>
      </w:r>
      <w:r w:rsidRPr="004F04B7">
        <w:rPr>
          <w:bCs/>
          <w:i/>
          <w:iCs/>
        </w:rPr>
        <w:t>Access Charge Reform</w:t>
      </w:r>
      <w:r w:rsidRPr="004F04B7">
        <w:rPr>
          <w:i/>
          <w:iCs/>
        </w:rPr>
        <w:t>, Reform of Access Charges Imposed by Competitive Local Exchange Carriers</w:t>
      </w:r>
      <w:r w:rsidRPr="004F04B7">
        <w:rPr>
          <w:iCs/>
        </w:rPr>
        <w:t>,</w:t>
      </w:r>
      <w:r w:rsidRPr="004F04B7">
        <w:rPr>
          <w:i/>
          <w:iCs/>
        </w:rPr>
        <w:t xml:space="preserve"> </w:t>
      </w:r>
      <w:r w:rsidRPr="004F04B7">
        <w:t>Seventh Report and Order and Further Notice of Proposed Rulemaking, 16 FCC Rcd 9923, 992</w:t>
      </w:r>
      <w:r>
        <w:t>5</w:t>
      </w:r>
      <w:r w:rsidRPr="004F04B7">
        <w:t xml:space="preserve">, para. </w:t>
      </w:r>
      <w:r>
        <w:t>3</w:t>
      </w:r>
      <w:r w:rsidRPr="004F04B7">
        <w:t xml:space="preserve"> (2001) (</w:t>
      </w:r>
      <w:r w:rsidRPr="004F04B7">
        <w:rPr>
          <w:i/>
          <w:iCs/>
        </w:rPr>
        <w:t>CLEC Access Reform Order</w:t>
      </w:r>
      <w:r w:rsidRPr="004F04B7">
        <w:t>).</w:t>
      </w:r>
    </w:p>
  </w:footnote>
  <w:footnote w:id="27">
    <w:p w:rsidR="00D97AE3" w:rsidRPr="004F04B7" w:rsidRDefault="00D97AE3" w:rsidP="005A182F">
      <w:pPr>
        <w:pStyle w:val="FootnoteText"/>
      </w:pPr>
      <w:r w:rsidRPr="004F04B7">
        <w:rPr>
          <w:rStyle w:val="FootnoteReference"/>
        </w:rPr>
        <w:footnoteRef/>
      </w:r>
      <w:r w:rsidRPr="004F04B7">
        <w:t xml:space="preserve"> </w:t>
      </w:r>
      <w:r w:rsidRPr="004F04B7">
        <w:rPr>
          <w:i/>
          <w:iCs/>
        </w:rPr>
        <w:t xml:space="preserve">See </w:t>
      </w:r>
      <w:r w:rsidRPr="004F04B7">
        <w:t>47 C.F.R. § 61.26</w:t>
      </w:r>
      <w:r w:rsidR="003A0AA9">
        <w:t>(b)</w:t>
      </w:r>
      <w:r w:rsidRPr="004F04B7">
        <w:t>.</w:t>
      </w:r>
    </w:p>
  </w:footnote>
  <w:footnote w:id="28">
    <w:p w:rsidR="00414834" w:rsidRPr="004F04B7" w:rsidRDefault="00414834" w:rsidP="00414834">
      <w:pPr>
        <w:pStyle w:val="FootnoteText"/>
      </w:pPr>
      <w:r w:rsidRPr="004F04B7">
        <w:rPr>
          <w:rStyle w:val="FootnoteReference"/>
        </w:rPr>
        <w:footnoteRef/>
      </w:r>
      <w:r w:rsidRPr="004F04B7">
        <w:t xml:space="preserve"> 47 C.F.R. § 61.26(f); </w:t>
      </w:r>
      <w:r w:rsidRPr="004F04B7">
        <w:rPr>
          <w:bCs/>
          <w:i/>
          <w:iCs/>
        </w:rPr>
        <w:t>Access Charge Reform</w:t>
      </w:r>
      <w:r w:rsidRPr="004F04B7">
        <w:rPr>
          <w:i/>
          <w:iCs/>
        </w:rPr>
        <w:t>, Reform of Access Charges Imposed by Competitive Local Exchange Carriers</w:t>
      </w:r>
      <w:r w:rsidRPr="004F04B7">
        <w:rPr>
          <w:iCs/>
        </w:rPr>
        <w:t>,</w:t>
      </w:r>
      <w:r w:rsidRPr="004F04B7">
        <w:rPr>
          <w:i/>
          <w:iCs/>
        </w:rPr>
        <w:t xml:space="preserve"> </w:t>
      </w:r>
      <w:r w:rsidRPr="004F04B7">
        <w:t>Eighth Report and Order and Fifth Order on Reconsideration, 19 FCC Rcd 9108, 9116, para. 17 (2004) (</w:t>
      </w:r>
      <w:r w:rsidRPr="004F04B7">
        <w:rPr>
          <w:i/>
          <w:iCs/>
        </w:rPr>
        <w:t>CLEC Access Reform Reconsideration Order</w:t>
      </w:r>
      <w:r w:rsidRPr="004F04B7">
        <w:t>).</w:t>
      </w:r>
    </w:p>
  </w:footnote>
  <w:footnote w:id="29">
    <w:p w:rsidR="00414834" w:rsidRPr="004F04B7" w:rsidRDefault="00414834" w:rsidP="00414834">
      <w:pPr>
        <w:pStyle w:val="FootnoteText"/>
      </w:pPr>
      <w:r w:rsidRPr="004F04B7">
        <w:rPr>
          <w:rStyle w:val="FootnoteReference"/>
        </w:rPr>
        <w:footnoteRef/>
      </w:r>
      <w:r w:rsidRPr="004F04B7">
        <w:t xml:space="preserve"> </w:t>
      </w:r>
      <w:r w:rsidR="00C365D0" w:rsidRPr="004F04B7">
        <w:t>47 C.F.R. § 61.26(</w:t>
      </w:r>
      <w:r w:rsidR="00C365D0">
        <w:t>a</w:t>
      </w:r>
      <w:r w:rsidR="00C365D0" w:rsidRPr="004F04B7">
        <w:t>)</w:t>
      </w:r>
      <w:r w:rsidR="00C365D0">
        <w:t>(6)</w:t>
      </w:r>
      <w:r w:rsidR="00C365D0" w:rsidRPr="004F04B7">
        <w:t xml:space="preserve">; </w:t>
      </w:r>
      <w:r w:rsidRPr="004F04B7">
        <w:rPr>
          <w:i/>
          <w:iCs/>
        </w:rPr>
        <w:t>CLEC Access Reform Order</w:t>
      </w:r>
      <w:r w:rsidRPr="004F04B7">
        <w:t>, 16 FCC Rcd at 9954-55, para. 7</w:t>
      </w:r>
      <w:r w:rsidR="00310958">
        <w:t>6</w:t>
      </w:r>
      <w:r w:rsidRPr="004F04B7">
        <w:t xml:space="preserve"> (the rural exemption is available for “a CLEC competing with a non-rural ILEC, where no portion of the CLEC’s service area falls within:  (1) any incorporated place of 50,000 inhabitants or more, </w:t>
      </w:r>
      <w:r>
        <w:t xml:space="preserve"> </w:t>
      </w:r>
      <w:r w:rsidRPr="004F04B7">
        <w:t xml:space="preserve">. . . </w:t>
      </w:r>
      <w:r w:rsidR="00310958">
        <w:t xml:space="preserve">or </w:t>
      </w:r>
      <w:r w:rsidRPr="004F04B7">
        <w:t xml:space="preserve">(2) an urbanized area, as defined by the Census Bureau”). </w:t>
      </w:r>
    </w:p>
  </w:footnote>
  <w:footnote w:id="30">
    <w:p w:rsidR="00414834" w:rsidRPr="004F04B7" w:rsidRDefault="00414834" w:rsidP="00414834">
      <w:pPr>
        <w:pStyle w:val="FootnoteText"/>
      </w:pPr>
      <w:r w:rsidRPr="004F04B7">
        <w:rPr>
          <w:rStyle w:val="FootnoteReference"/>
        </w:rPr>
        <w:footnoteRef/>
      </w:r>
      <w:r w:rsidRPr="004F04B7">
        <w:t xml:space="preserve"> </w:t>
      </w:r>
      <w:r w:rsidR="00C365D0" w:rsidRPr="004F04B7">
        <w:t>47 C.F.R. § 61.26(</w:t>
      </w:r>
      <w:r w:rsidR="00C365D0">
        <w:t>e</w:t>
      </w:r>
      <w:r w:rsidR="00C365D0" w:rsidRPr="004F04B7">
        <w:t xml:space="preserve">); </w:t>
      </w:r>
      <w:r w:rsidRPr="004F04B7">
        <w:rPr>
          <w:i/>
          <w:iCs/>
        </w:rPr>
        <w:t>CLEC Access Reform Order</w:t>
      </w:r>
      <w:r w:rsidRPr="004F04B7">
        <w:t>, 16 FCC Rcd at 9955-56, paras. 80-81.</w:t>
      </w:r>
    </w:p>
  </w:footnote>
  <w:footnote w:id="31">
    <w:p w:rsidR="00D97AE3" w:rsidRPr="004F04B7" w:rsidRDefault="00D97AE3" w:rsidP="00804941">
      <w:pPr>
        <w:pStyle w:val="FootnoteText"/>
      </w:pPr>
      <w:r w:rsidRPr="004F04B7">
        <w:rPr>
          <w:rStyle w:val="FootnoteReference"/>
        </w:rPr>
        <w:footnoteRef/>
      </w:r>
      <w:r w:rsidRPr="004F04B7">
        <w:t xml:space="preserve"> </w:t>
      </w:r>
      <w:r w:rsidRPr="004F04B7">
        <w:rPr>
          <w:i/>
          <w:iCs/>
        </w:rPr>
        <w:t>CLEC Access Reform Order</w:t>
      </w:r>
      <w:r w:rsidRPr="004F04B7">
        <w:t>, 16 FCC Rcd at 9925, para. 3</w:t>
      </w:r>
      <w:r w:rsidR="00847494">
        <w:t>, 9938, para. 40</w:t>
      </w:r>
      <w:r w:rsidRPr="004F04B7">
        <w:t xml:space="preserve">.  </w:t>
      </w:r>
    </w:p>
  </w:footnote>
  <w:footnote w:id="32">
    <w:p w:rsidR="00D97AE3" w:rsidRDefault="00D97AE3">
      <w:pPr>
        <w:pStyle w:val="FootnoteText"/>
      </w:pPr>
      <w:r>
        <w:rPr>
          <w:rStyle w:val="FootnoteReference"/>
        </w:rPr>
        <w:footnoteRef/>
      </w:r>
      <w:r>
        <w:t xml:space="preserve"> 47 C.F.R. § 61.26(g).</w:t>
      </w:r>
    </w:p>
  </w:footnote>
  <w:footnote w:id="33">
    <w:p w:rsidR="00137F2D" w:rsidRDefault="00137F2D">
      <w:pPr>
        <w:pStyle w:val="FootnoteText"/>
      </w:pPr>
      <w:r>
        <w:rPr>
          <w:rStyle w:val="FootnoteReference"/>
        </w:rPr>
        <w:footnoteRef/>
      </w:r>
      <w:r>
        <w:t xml:space="preserve"> </w:t>
      </w:r>
      <w:r w:rsidRPr="004F04B7">
        <w:rPr>
          <w:i/>
        </w:rPr>
        <w:t>Connect America Fund et al</w:t>
      </w:r>
      <w:r w:rsidRPr="004F04B7">
        <w:t>., Report and Order and Further Notice of Proposed Rulemaking, 26 FCC Rcd 17663, 17874, para. 656 (2011) (</w:t>
      </w:r>
      <w:r w:rsidRPr="004F04B7">
        <w:rPr>
          <w:i/>
        </w:rPr>
        <w:t>USF/ICC Transformation Order</w:t>
      </w:r>
      <w:r w:rsidRPr="004F04B7">
        <w:t xml:space="preserve">), </w:t>
      </w:r>
      <w:r w:rsidRPr="004F04B7">
        <w:rPr>
          <w:i/>
        </w:rPr>
        <w:t>pets. for review denied, In re FCC 11-161</w:t>
      </w:r>
      <w:r w:rsidRPr="004F04B7">
        <w:t xml:space="preserve">, </w:t>
      </w:r>
      <w:r>
        <w:t>7</w:t>
      </w:r>
      <w:r w:rsidRPr="004F04B7">
        <w:t>53 F.3d 1015 (10</w:t>
      </w:r>
      <w:r w:rsidRPr="004F04B7">
        <w:rPr>
          <w:vertAlign w:val="superscript"/>
        </w:rPr>
        <w:t>th</w:t>
      </w:r>
      <w:r w:rsidRPr="004F04B7">
        <w:t xml:space="preserve"> Cir. 2014)</w:t>
      </w:r>
      <w:r>
        <w:t>.</w:t>
      </w:r>
    </w:p>
  </w:footnote>
  <w:footnote w:id="34">
    <w:p w:rsidR="00D97AE3" w:rsidRPr="00137F2D" w:rsidRDefault="00D97AE3" w:rsidP="00DC6234">
      <w:pPr>
        <w:pStyle w:val="FootnoteText"/>
        <w:rPr>
          <w:i/>
        </w:rPr>
      </w:pPr>
      <w:r w:rsidRPr="004F04B7">
        <w:rPr>
          <w:rStyle w:val="FootnoteReference"/>
        </w:rPr>
        <w:footnoteRef/>
      </w:r>
      <w:r w:rsidRPr="004F04B7">
        <w:t xml:space="preserve"> </w:t>
      </w:r>
      <w:r w:rsidR="00137F2D">
        <w:rPr>
          <w:i/>
        </w:rPr>
        <w:t>Id.</w:t>
      </w:r>
    </w:p>
  </w:footnote>
  <w:footnote w:id="35">
    <w:p w:rsidR="00D97AE3" w:rsidRPr="00777DB6" w:rsidRDefault="00D97AE3" w:rsidP="00DC6234">
      <w:pPr>
        <w:pStyle w:val="FootnoteText"/>
        <w:rPr>
          <w:b/>
        </w:rPr>
      </w:pPr>
      <w:r w:rsidRPr="004F04B7">
        <w:rPr>
          <w:rStyle w:val="FootnoteReference"/>
        </w:rPr>
        <w:footnoteRef/>
      </w:r>
      <w:r w:rsidRPr="004F04B7">
        <w:t xml:space="preserve"> 47 C.F.R. § 61.26(g)(1); </w:t>
      </w:r>
      <w:r w:rsidRPr="004F04B7">
        <w:rPr>
          <w:i/>
        </w:rPr>
        <w:t>USF/ICC Transformation Order</w:t>
      </w:r>
      <w:r w:rsidRPr="004F04B7">
        <w:t>, 26 FCC Rcd at 17886, para. 690.</w:t>
      </w:r>
      <w:r w:rsidR="00777DB6">
        <w:t xml:space="preserve">  </w:t>
      </w:r>
      <w:r w:rsidR="00F875FC" w:rsidRPr="00F875FC">
        <w:t xml:space="preserve">For the services at issue in this proceeding, a price cap local exchange carrier is a dominant carrier that provided switched access service subject to price cap regulation pursuant to </w:t>
      </w:r>
      <w:r w:rsidR="00494114">
        <w:t>S</w:t>
      </w:r>
      <w:r w:rsidR="00F875FC" w:rsidRPr="00F875FC">
        <w:t xml:space="preserve">ections 61.41 through 61.49 of the Commission’s </w:t>
      </w:r>
      <w:r w:rsidR="00935FD8">
        <w:t>R</w:t>
      </w:r>
      <w:r w:rsidR="00F875FC" w:rsidRPr="00F875FC">
        <w:t>ules</w:t>
      </w:r>
      <w:r w:rsidR="00494114">
        <w:t xml:space="preserve">, 47 C.F.R. §§ 61.41-61.49, </w:t>
      </w:r>
      <w:r w:rsidR="00F875FC" w:rsidRPr="00F875FC">
        <w:t>until June 30</w:t>
      </w:r>
      <w:r w:rsidR="008765BF">
        <w:t>,</w:t>
      </w:r>
      <w:r w:rsidR="00F875FC" w:rsidRPr="00F875FC">
        <w:t xml:space="preserve"> 2012, and thereafter provided those services pursuant to Part 51 of the Commission’s </w:t>
      </w:r>
      <w:r w:rsidR="00935FD8">
        <w:t>R</w:t>
      </w:r>
      <w:r w:rsidR="00F875FC" w:rsidRPr="00F875FC">
        <w:t>ules.</w:t>
      </w:r>
      <w:r w:rsidR="00494114">
        <w:t xml:space="preserve">  47 C.F.R. §§ 51.1-51.919.</w:t>
      </w:r>
      <w:r w:rsidR="00F875FC" w:rsidRPr="00F875FC">
        <w:t xml:space="preserve">  </w:t>
      </w:r>
    </w:p>
  </w:footnote>
  <w:footnote w:id="36">
    <w:p w:rsidR="00D97AE3" w:rsidRPr="004F04B7" w:rsidRDefault="00D97AE3" w:rsidP="0098541F">
      <w:pPr>
        <w:pStyle w:val="FootnoteText"/>
      </w:pPr>
      <w:r w:rsidRPr="004F04B7">
        <w:rPr>
          <w:rStyle w:val="FootnoteReference"/>
        </w:rPr>
        <w:footnoteRef/>
      </w:r>
      <w:r>
        <w:t xml:space="preserve"> NECA</w:t>
      </w:r>
      <w:r w:rsidRPr="004F04B7">
        <w:t xml:space="preserve"> administers tariff</w:t>
      </w:r>
      <w:r>
        <w:t>s for qualifying small carriers that are members of NECA.</w:t>
      </w:r>
      <w:r w:rsidRPr="004F04B7">
        <w:t xml:space="preserve">  </w:t>
      </w:r>
      <w:r w:rsidRPr="004F04B7">
        <w:rPr>
          <w:i/>
        </w:rPr>
        <w:t>See</w:t>
      </w:r>
      <w:r w:rsidRPr="004F04B7">
        <w:t xml:space="preserve"> 47 C.F.R. §§ 69.601-69.612.  NECA files tariffed access rates that apply whenever an IXC uses any pool member’s tariffed access services.  47 C.F.R. § 69.3(d).   </w:t>
      </w:r>
    </w:p>
  </w:footnote>
  <w:footnote w:id="37">
    <w:p w:rsidR="00D97AE3" w:rsidRPr="004F04B7" w:rsidRDefault="00D97AE3" w:rsidP="0098541F">
      <w:pPr>
        <w:pStyle w:val="FootnoteText"/>
      </w:pPr>
      <w:r w:rsidRPr="004F04B7">
        <w:rPr>
          <w:rStyle w:val="FootnoteReference"/>
        </w:rPr>
        <w:footnoteRef/>
      </w:r>
      <w:r w:rsidRPr="004F04B7">
        <w:t xml:space="preserve"> Joint Statement at 3, Stipulated Facts, No. 9.</w:t>
      </w:r>
      <w:r w:rsidRPr="004F04B7">
        <w:rPr>
          <w:b/>
        </w:rPr>
        <w:t xml:space="preserve">  </w:t>
      </w:r>
    </w:p>
  </w:footnote>
  <w:footnote w:id="38">
    <w:p w:rsidR="00D97AE3" w:rsidRPr="004F04B7" w:rsidRDefault="00D97AE3" w:rsidP="00283A9B">
      <w:pPr>
        <w:pStyle w:val="FootnoteText"/>
      </w:pPr>
      <w:r w:rsidRPr="004F04B7">
        <w:rPr>
          <w:rStyle w:val="FootnoteReference"/>
        </w:rPr>
        <w:footnoteRef/>
      </w:r>
      <w:r w:rsidRPr="004F04B7">
        <w:t xml:space="preserve"> Joint Statement at 3-4, Stipulated Facts, No. 11.  GLC</w:t>
      </w:r>
      <w:r w:rsidR="00747EE6">
        <w:t xml:space="preserve"> filed its</w:t>
      </w:r>
      <w:r w:rsidR="006C6DC8">
        <w:t xml:space="preserve"> tariff on</w:t>
      </w:r>
      <w:r w:rsidRPr="004F04B7">
        <w:t xml:space="preserve"> one-day’s notice.  </w:t>
      </w:r>
      <w:r w:rsidRPr="004F04B7">
        <w:rPr>
          <w:i/>
        </w:rPr>
        <w:t>Id</w:t>
      </w:r>
      <w:r w:rsidRPr="004F04B7">
        <w:t xml:space="preserve">.     </w:t>
      </w:r>
      <w:r w:rsidRPr="004F04B7">
        <w:rPr>
          <w:b/>
        </w:rPr>
        <w:t xml:space="preserve">  </w:t>
      </w:r>
    </w:p>
  </w:footnote>
  <w:footnote w:id="39">
    <w:p w:rsidR="00D97AE3" w:rsidRDefault="00D97AE3">
      <w:pPr>
        <w:pStyle w:val="FootnoteText"/>
      </w:pPr>
      <w:r>
        <w:rPr>
          <w:rStyle w:val="FootnoteReference"/>
        </w:rPr>
        <w:footnoteRef/>
      </w:r>
      <w:r>
        <w:t xml:space="preserve"> </w:t>
      </w:r>
      <w:r>
        <w:rPr>
          <w:i/>
        </w:rPr>
        <w:t>See</w:t>
      </w:r>
      <w:r>
        <w:t xml:space="preserve"> Complaint at 14, para. 35</w:t>
      </w:r>
      <w:r w:rsidR="00A148A6">
        <w:t>;</w:t>
      </w:r>
      <w:r>
        <w:t xml:space="preserve"> Answer at 14, para. 35.</w:t>
      </w:r>
    </w:p>
  </w:footnote>
  <w:footnote w:id="40">
    <w:p w:rsidR="00D97AE3" w:rsidRPr="00C54F8D" w:rsidRDefault="00D97AE3" w:rsidP="00150C86">
      <w:pPr>
        <w:pStyle w:val="FootnoteText"/>
        <w:rPr>
          <w:b/>
        </w:rPr>
      </w:pPr>
      <w:r w:rsidRPr="004F04B7">
        <w:rPr>
          <w:rStyle w:val="FootnoteReference"/>
        </w:rPr>
        <w:footnoteRef/>
      </w:r>
      <w:r w:rsidRPr="004F04B7">
        <w:t xml:space="preserve"> Joint Statement at 13, Stipulated Facts, No. 77.  </w:t>
      </w:r>
    </w:p>
  </w:footnote>
  <w:footnote w:id="41">
    <w:p w:rsidR="00D97AE3" w:rsidRPr="004F04B7" w:rsidRDefault="00D97AE3" w:rsidP="00283A9B">
      <w:pPr>
        <w:pStyle w:val="FootnoteText"/>
      </w:pPr>
      <w:r w:rsidRPr="004F04B7">
        <w:rPr>
          <w:rStyle w:val="FootnoteReference"/>
        </w:rPr>
        <w:footnoteRef/>
      </w:r>
      <w:r w:rsidRPr="004F04B7">
        <w:t xml:space="preserve"> Joint Statement at 3, Stipulated Facts, No. 11.</w:t>
      </w:r>
    </w:p>
  </w:footnote>
  <w:footnote w:id="42">
    <w:p w:rsidR="00D97AE3" w:rsidRPr="004F04B7" w:rsidRDefault="00D97AE3">
      <w:pPr>
        <w:pStyle w:val="FootnoteText"/>
        <w:rPr>
          <w:b/>
        </w:rPr>
      </w:pPr>
      <w:r w:rsidRPr="004F04B7">
        <w:rPr>
          <w:rStyle w:val="FootnoteReference"/>
        </w:rPr>
        <w:footnoteRef/>
      </w:r>
      <w:r w:rsidRPr="004F04B7">
        <w:t xml:space="preserve"> </w:t>
      </w:r>
      <w:r w:rsidR="00027F1D">
        <w:t xml:space="preserve">47 C.F.R. § 20.15(c); </w:t>
      </w:r>
      <w:r w:rsidRPr="004F04B7">
        <w:t>Complaint at 16, para. 41; Answer at 16, para. 41.</w:t>
      </w:r>
    </w:p>
  </w:footnote>
  <w:footnote w:id="43">
    <w:p w:rsidR="00D97AE3" w:rsidRPr="00BF4C77" w:rsidRDefault="00D97AE3" w:rsidP="006B5F5F">
      <w:pPr>
        <w:pStyle w:val="FootnoteText"/>
        <w:rPr>
          <w:color w:val="000000"/>
        </w:rPr>
      </w:pPr>
      <w:r w:rsidRPr="004F04B7">
        <w:rPr>
          <w:rStyle w:val="FootnoteReference"/>
        </w:rPr>
        <w:footnoteRef/>
      </w:r>
      <w:r w:rsidRPr="004F04B7">
        <w:t xml:space="preserve"> Complaint at 16, para. 41; Answer at 16, para. 41.</w:t>
      </w:r>
      <w:r w:rsidR="00BF4C77">
        <w:rPr>
          <w:b/>
        </w:rPr>
        <w:t xml:space="preserve">  </w:t>
      </w:r>
      <w:r w:rsidR="00BF4C77">
        <w:rPr>
          <w:color w:val="000000"/>
        </w:rPr>
        <w:t>We note that LEC</w:t>
      </w:r>
      <w:r w:rsidR="00752526">
        <w:rPr>
          <w:color w:val="000000"/>
        </w:rPr>
        <w:t xml:space="preserve">s cannot indirectly collect access </w:t>
      </w:r>
      <w:r w:rsidR="00BF4C77">
        <w:rPr>
          <w:color w:val="000000"/>
        </w:rPr>
        <w:t xml:space="preserve">charges </w:t>
      </w:r>
      <w:r w:rsidR="00752526">
        <w:rPr>
          <w:color w:val="000000"/>
        </w:rPr>
        <w:t xml:space="preserve">for services </w:t>
      </w:r>
      <w:r w:rsidR="00BF4C77">
        <w:rPr>
          <w:color w:val="000000"/>
        </w:rPr>
        <w:t xml:space="preserve">provided by CMRS providers that the CMRS providers cannot assess directly.  </w:t>
      </w:r>
      <w:r w:rsidR="00BF4C77">
        <w:rPr>
          <w:i/>
          <w:color w:val="000000"/>
        </w:rPr>
        <w:t>See</w:t>
      </w:r>
      <w:r w:rsidR="00BF4C77">
        <w:rPr>
          <w:color w:val="000000"/>
        </w:rPr>
        <w:t xml:space="preserve"> </w:t>
      </w:r>
      <w:r w:rsidR="00BF4C77">
        <w:rPr>
          <w:i/>
          <w:color w:val="000000"/>
        </w:rPr>
        <w:t>CLEC Access Reform Reconsideration Order</w:t>
      </w:r>
      <w:r w:rsidR="00BF4C77">
        <w:rPr>
          <w:color w:val="000000"/>
        </w:rPr>
        <w:t>, 19 FCC Rcd at 9116, para. 16 &amp; n.57.</w:t>
      </w:r>
    </w:p>
  </w:footnote>
  <w:footnote w:id="44">
    <w:p w:rsidR="00D97AE3" w:rsidRPr="00C110C2" w:rsidRDefault="00D97AE3" w:rsidP="00502644">
      <w:pPr>
        <w:pStyle w:val="FootnoteText"/>
        <w:rPr>
          <w:b/>
        </w:rPr>
      </w:pPr>
      <w:r w:rsidRPr="004F04B7">
        <w:rPr>
          <w:rStyle w:val="FootnoteReference"/>
        </w:rPr>
        <w:footnoteRef/>
      </w:r>
      <w:r w:rsidRPr="004F04B7">
        <w:rPr>
          <w:b/>
        </w:rPr>
        <w:t xml:space="preserve"> </w:t>
      </w:r>
      <w:r w:rsidRPr="004F04B7">
        <w:t xml:space="preserve">Complaint at 16, para. 41.  </w:t>
      </w:r>
      <w:r w:rsidRPr="004F04B7">
        <w:rPr>
          <w:i/>
        </w:rPr>
        <w:t>See</w:t>
      </w:r>
      <w:r w:rsidRPr="004F04B7">
        <w:t xml:space="preserve"> Refiled Declaration of John W. Habiak, File No. EB-14-MD-013 (Habiak Decla</w:t>
      </w:r>
      <w:r w:rsidR="00C110C2">
        <w:t xml:space="preserve">ration) at 6, para. 14 </w:t>
      </w:r>
      <w:r w:rsidR="00566829">
        <w:t>&amp;</w:t>
      </w:r>
      <w:r w:rsidR="00C110C2">
        <w:t xml:space="preserve"> n.10; </w:t>
      </w:r>
      <w:r w:rsidR="00C110C2">
        <w:rPr>
          <w:i/>
        </w:rPr>
        <w:t>see also</w:t>
      </w:r>
      <w:r w:rsidR="00C110C2">
        <w:t xml:space="preserve"> Join</w:t>
      </w:r>
      <w:r w:rsidR="00566829">
        <w:t>t</w:t>
      </w:r>
      <w:r w:rsidR="00C110C2">
        <w:t xml:space="preserve"> Statement at 18-19, Stipulated Facts</w:t>
      </w:r>
      <w:r w:rsidR="00566829">
        <w:t>,</w:t>
      </w:r>
      <w:r w:rsidR="00C110C2">
        <w:t xml:space="preserve"> Nos. 110-1</w:t>
      </w:r>
      <w:r w:rsidR="00226C3E">
        <w:t>6</w:t>
      </w:r>
      <w:r w:rsidR="00C110C2">
        <w:t>; Reply</w:t>
      </w:r>
      <w:r w:rsidR="008A312F">
        <w:t xml:space="preserve"> to Legal Analysis in Support of AT&amp;T Formal Complaint, File No. EB-14-MD-013</w:t>
      </w:r>
      <w:r w:rsidR="00B67A7C">
        <w:t xml:space="preserve"> (filed Nov. 19, 2014)</w:t>
      </w:r>
      <w:r w:rsidR="00C110C2">
        <w:t xml:space="preserve"> </w:t>
      </w:r>
      <w:r w:rsidR="008A312F">
        <w:t>(Reply Legal Analysis) at 39</w:t>
      </w:r>
      <w:r w:rsidR="00C110C2">
        <w:t>.</w:t>
      </w:r>
    </w:p>
  </w:footnote>
  <w:footnote w:id="45">
    <w:p w:rsidR="00D97AE3" w:rsidRPr="004F04B7" w:rsidRDefault="00D97AE3" w:rsidP="009F5031">
      <w:pPr>
        <w:pStyle w:val="FootnoteText"/>
      </w:pPr>
      <w:r w:rsidRPr="004F04B7">
        <w:rPr>
          <w:rStyle w:val="FootnoteReference"/>
        </w:rPr>
        <w:footnoteRef/>
      </w:r>
      <w:r w:rsidRPr="004F04B7">
        <w:t xml:space="preserve"> Joint Statement at 16, Stipulated Facts, No. 97.</w:t>
      </w:r>
      <w:r w:rsidRPr="004F04B7">
        <w:rPr>
          <w:b/>
        </w:rPr>
        <w:t xml:space="preserve">  </w:t>
      </w:r>
    </w:p>
  </w:footnote>
  <w:footnote w:id="46">
    <w:p w:rsidR="00D97AE3" w:rsidRPr="004F04B7" w:rsidRDefault="00D97AE3" w:rsidP="009F5031">
      <w:pPr>
        <w:pStyle w:val="FootnoteText"/>
        <w:rPr>
          <w:b/>
        </w:rPr>
      </w:pPr>
      <w:r w:rsidRPr="004F04B7">
        <w:rPr>
          <w:rStyle w:val="FootnoteReference"/>
        </w:rPr>
        <w:footnoteRef/>
      </w:r>
      <w:r w:rsidRPr="004F04B7">
        <w:t xml:space="preserve"> </w:t>
      </w:r>
      <w:r w:rsidRPr="004F04B7">
        <w:rPr>
          <w:i/>
        </w:rPr>
        <w:t xml:space="preserve">See </w:t>
      </w:r>
      <w:r w:rsidRPr="004F04B7">
        <w:t xml:space="preserve">Joint Statement at 16, 18-19, </w:t>
      </w:r>
      <w:r w:rsidR="00566829">
        <w:t>Stipulated Facts, Nos. 97, 110-</w:t>
      </w:r>
      <w:r w:rsidRPr="004F04B7">
        <w:t>13; Disputed Facts at 20-21; Summerset Declaration at 37-39, paras. 88-91.</w:t>
      </w:r>
    </w:p>
  </w:footnote>
  <w:footnote w:id="47">
    <w:p w:rsidR="00D97AE3" w:rsidRPr="004F04B7" w:rsidRDefault="00D97AE3" w:rsidP="009F5031">
      <w:pPr>
        <w:pStyle w:val="FootnoteText"/>
      </w:pPr>
      <w:r w:rsidRPr="004F04B7">
        <w:rPr>
          <w:rStyle w:val="FootnoteReference"/>
        </w:rPr>
        <w:footnoteRef/>
      </w:r>
      <w:r w:rsidRPr="004F04B7">
        <w:t xml:space="preserve"> Complaint at 17-19, paras. 44-49; Answer at 18-22, paras. 44, 47, 4</w:t>
      </w:r>
      <w:r w:rsidR="00566829">
        <w:t>9</w:t>
      </w:r>
      <w:r w:rsidRPr="004F04B7">
        <w:t xml:space="preserve">; </w:t>
      </w:r>
      <w:r w:rsidRPr="004F04B7">
        <w:rPr>
          <w:i/>
        </w:rPr>
        <w:t>see</w:t>
      </w:r>
      <w:r w:rsidRPr="004F04B7">
        <w:t xml:space="preserve"> Joint Statement at 18-19, </w:t>
      </w:r>
      <w:r>
        <w:t>Stipulat</w:t>
      </w:r>
      <w:r w:rsidR="00EF0661">
        <w:t>ed</w:t>
      </w:r>
      <w:r>
        <w:t xml:space="preserve"> </w:t>
      </w:r>
      <w:r w:rsidR="00EF0661">
        <w:t xml:space="preserve">Facts, </w:t>
      </w:r>
      <w:r>
        <w:t>Nos.</w:t>
      </w:r>
      <w:r w:rsidRPr="004F04B7">
        <w:t xml:space="preserve"> 110-13.</w:t>
      </w:r>
    </w:p>
  </w:footnote>
  <w:footnote w:id="48">
    <w:p w:rsidR="00D97AE3" w:rsidRPr="004F04B7" w:rsidRDefault="00D97AE3" w:rsidP="009F5031">
      <w:pPr>
        <w:pStyle w:val="FootnoteText"/>
      </w:pPr>
      <w:r w:rsidRPr="004F04B7">
        <w:rPr>
          <w:rStyle w:val="FootnoteReference"/>
        </w:rPr>
        <w:footnoteRef/>
      </w:r>
      <w:r w:rsidRPr="004F04B7">
        <w:t xml:space="preserve"> Complaint at 18, para. 47; Answer at 20-21, para. 47.</w:t>
      </w:r>
      <w:r w:rsidRPr="004F04B7">
        <w:rPr>
          <w:b/>
        </w:rPr>
        <w:t xml:space="preserve"> </w:t>
      </w:r>
    </w:p>
  </w:footnote>
  <w:footnote w:id="49">
    <w:p w:rsidR="00D97AE3" w:rsidRPr="004F04B7" w:rsidRDefault="00D97AE3" w:rsidP="009F5031">
      <w:pPr>
        <w:pStyle w:val="FootnoteText"/>
      </w:pPr>
      <w:r w:rsidRPr="004F04B7">
        <w:rPr>
          <w:rStyle w:val="FootnoteReference"/>
        </w:rPr>
        <w:footnoteRef/>
      </w:r>
      <w:r w:rsidRPr="004F04B7">
        <w:t xml:space="preserve"> Answer at 22, para. 49, Summerset Declaration at paras. 17, 24-34, 80, 84.</w:t>
      </w:r>
    </w:p>
  </w:footnote>
  <w:footnote w:id="50">
    <w:p w:rsidR="00D97AE3" w:rsidRPr="004F04B7" w:rsidRDefault="00D97AE3" w:rsidP="009F5031">
      <w:pPr>
        <w:pStyle w:val="FootnoteText"/>
      </w:pPr>
      <w:r w:rsidRPr="004F04B7">
        <w:rPr>
          <w:rStyle w:val="FootnoteReference"/>
        </w:rPr>
        <w:footnoteRef/>
      </w:r>
      <w:r w:rsidRPr="004F04B7">
        <w:t xml:space="preserve"> Complaint at 20, para. 54</w:t>
      </w:r>
      <w:r w:rsidR="009A244B">
        <w:t>;</w:t>
      </w:r>
      <w:r w:rsidRPr="004F04B7">
        <w:t xml:space="preserve"> Answer at 25, para. 54.  </w:t>
      </w:r>
    </w:p>
  </w:footnote>
  <w:footnote w:id="51">
    <w:p w:rsidR="00D97AE3" w:rsidRDefault="00D97AE3">
      <w:pPr>
        <w:pStyle w:val="FootnoteText"/>
      </w:pPr>
      <w:r>
        <w:rPr>
          <w:rStyle w:val="FootnoteReference"/>
        </w:rPr>
        <w:footnoteRef/>
      </w:r>
      <w:r>
        <w:t xml:space="preserve"> Joint Statement at </w:t>
      </w:r>
      <w:r w:rsidR="000F2560">
        <w:t>5, 19, Stipulated Facts, No</w:t>
      </w:r>
      <w:r w:rsidR="00085477">
        <w:t>s</w:t>
      </w:r>
      <w:r w:rsidR="000F2560">
        <w:t xml:space="preserve">. 25, </w:t>
      </w:r>
      <w:r>
        <w:t xml:space="preserve">114-15. </w:t>
      </w:r>
    </w:p>
  </w:footnote>
  <w:footnote w:id="52">
    <w:p w:rsidR="00D97AE3" w:rsidRDefault="00D97AE3">
      <w:pPr>
        <w:pStyle w:val="FootnoteText"/>
      </w:pPr>
      <w:r>
        <w:rPr>
          <w:rStyle w:val="FootnoteReference"/>
        </w:rPr>
        <w:footnoteRef/>
      </w:r>
      <w:r>
        <w:t xml:space="preserve"> Joint Statement at 19, Stipulated Facts, No</w:t>
      </w:r>
      <w:r w:rsidR="00085477">
        <w:t>s</w:t>
      </w:r>
      <w:r>
        <w:t>. 116-17.</w:t>
      </w:r>
    </w:p>
  </w:footnote>
  <w:footnote w:id="53">
    <w:p w:rsidR="00ED41BB" w:rsidRDefault="00ED41BB">
      <w:pPr>
        <w:pStyle w:val="FootnoteText"/>
      </w:pPr>
      <w:r>
        <w:rPr>
          <w:rStyle w:val="FootnoteReference"/>
        </w:rPr>
        <w:footnoteRef/>
      </w:r>
      <w:r>
        <w:t xml:space="preserve"> </w:t>
      </w:r>
      <w:r w:rsidR="00AD385B">
        <w:rPr>
          <w:i/>
        </w:rPr>
        <w:t xml:space="preserve">See </w:t>
      </w:r>
      <w:r w:rsidR="00085477">
        <w:t>Joint Statement at 18-</w:t>
      </w:r>
      <w:r w:rsidR="00A5257C">
        <w:t>1</w:t>
      </w:r>
      <w:r w:rsidR="00085477">
        <w:t>9, Stipulated Facts, Nos. 110-16.</w:t>
      </w:r>
    </w:p>
  </w:footnote>
  <w:footnote w:id="54">
    <w:p w:rsidR="00D97AE3" w:rsidRDefault="00D97AE3" w:rsidP="007662A3">
      <w:pPr>
        <w:pStyle w:val="FootnoteText"/>
      </w:pPr>
      <w:r>
        <w:rPr>
          <w:rStyle w:val="FootnoteReference"/>
        </w:rPr>
        <w:footnoteRef/>
      </w:r>
      <w:r>
        <w:t xml:space="preserve"> </w:t>
      </w:r>
      <w:r w:rsidR="005127AD" w:rsidRPr="004F04B7">
        <w:t>Joint Statement at 1</w:t>
      </w:r>
      <w:r w:rsidR="005127AD">
        <w:t>1</w:t>
      </w:r>
      <w:r w:rsidR="005127AD" w:rsidRPr="004F04B7">
        <w:t xml:space="preserve">, Stipulated Facts, No. </w:t>
      </w:r>
      <w:r w:rsidR="005127AD">
        <w:t xml:space="preserve">66; </w:t>
      </w:r>
      <w:r w:rsidRPr="00C51184">
        <w:t xml:space="preserve">Complaint </w:t>
      </w:r>
      <w:r w:rsidR="007955A2">
        <w:t>at 22, para. 59;</w:t>
      </w:r>
      <w:r w:rsidRPr="00C51184">
        <w:t xml:space="preserve"> Answer at 27, para. 59.</w:t>
      </w:r>
    </w:p>
  </w:footnote>
  <w:footnote w:id="55">
    <w:p w:rsidR="00D97AE3" w:rsidRDefault="00D97AE3" w:rsidP="00E4330D">
      <w:pPr>
        <w:pStyle w:val="FootnoteText"/>
      </w:pPr>
      <w:r>
        <w:rPr>
          <w:rStyle w:val="FootnoteReference"/>
        </w:rPr>
        <w:footnoteRef/>
      </w:r>
      <w:r>
        <w:t xml:space="preserve"> </w:t>
      </w:r>
      <w:r w:rsidRPr="00C51184">
        <w:t>Complaint at 22, para. 59</w:t>
      </w:r>
      <w:r w:rsidR="009A244B">
        <w:t>;</w:t>
      </w:r>
      <w:r w:rsidRPr="00C51184">
        <w:t xml:space="preserve"> Answer at 27, para. 59.</w:t>
      </w:r>
      <w:r w:rsidR="00777DB6">
        <w:t xml:space="preserve">  A “LATA” or “Local Access and Transport Area” means a contiguous geographic area as defined in Section 31 of the Communications Act of 1934, as amended.  47 U.S.C. § 153(31).</w:t>
      </w:r>
    </w:p>
  </w:footnote>
  <w:footnote w:id="56">
    <w:p w:rsidR="00D97AE3" w:rsidRDefault="00D97AE3" w:rsidP="0035250F">
      <w:pPr>
        <w:pStyle w:val="FootnoteText"/>
      </w:pPr>
      <w:r>
        <w:rPr>
          <w:rStyle w:val="FootnoteReference"/>
        </w:rPr>
        <w:footnoteRef/>
      </w:r>
      <w:r w:rsidR="003366BE">
        <w:t xml:space="preserve"> </w:t>
      </w:r>
      <w:r w:rsidR="003366BE" w:rsidRPr="00C51184">
        <w:t>Complaint at 22, para. 59</w:t>
      </w:r>
      <w:r w:rsidR="005F7301">
        <w:t>;</w:t>
      </w:r>
      <w:r w:rsidR="003366BE" w:rsidRPr="00C51184">
        <w:t xml:space="preserve"> Answer at 27, para. 59.</w:t>
      </w:r>
      <w:r w:rsidR="003366BE">
        <w:t xml:space="preserve">  </w:t>
      </w:r>
    </w:p>
  </w:footnote>
  <w:footnote w:id="57">
    <w:p w:rsidR="00C90AC5" w:rsidRPr="00AC4F3E" w:rsidRDefault="00C90AC5" w:rsidP="00C90AC5">
      <w:pPr>
        <w:pStyle w:val="FootnoteText"/>
      </w:pPr>
      <w:r w:rsidRPr="004F04B7">
        <w:rPr>
          <w:rStyle w:val="FootnoteReference"/>
        </w:rPr>
        <w:footnoteRef/>
      </w:r>
      <w:r w:rsidRPr="004F04B7">
        <w:t xml:space="preserve"> </w:t>
      </w:r>
      <w:r w:rsidRPr="00AC4F3E">
        <w:t xml:space="preserve">Joint Statement at 12-16, Stipulated Facts, No. 73, 82, 89, 94.  Prior to May 2013, AT&amp;T was billed under WTC’s OCN </w:t>
      </w:r>
      <w:r w:rsidR="00A21FCE">
        <w:t xml:space="preserve">and rates </w:t>
      </w:r>
      <w:r w:rsidRPr="00AC4F3E">
        <w:t>for all of the tandem switching and tandem transport charges.  Joint Statement at 11, Stipulated Facts, No. 65</w:t>
      </w:r>
      <w:r>
        <w:t>;</w:t>
      </w:r>
      <w:r w:rsidRPr="00AC4F3E">
        <w:t xml:space="preserve"> Complaint at </w:t>
      </w:r>
      <w:r>
        <w:t>21-</w:t>
      </w:r>
      <w:r w:rsidRPr="00AC4F3E">
        <w:t>22, para</w:t>
      </w:r>
      <w:r>
        <w:t>s</w:t>
      </w:r>
      <w:r w:rsidRPr="00AC4F3E">
        <w:t xml:space="preserve">. </w:t>
      </w:r>
      <w:r>
        <w:t>58</w:t>
      </w:r>
      <w:r w:rsidR="005F7301">
        <w:t>;</w:t>
      </w:r>
      <w:r w:rsidRPr="00AC4F3E">
        <w:t xml:space="preserve"> Answer at 27, para. 59.  Beginning in May 2013, AT&amp;T was billed for all of the tandem switching charges and for 82.17 miles of tandem transport under GLC’s OCN</w:t>
      </w:r>
      <w:r w:rsidR="00A21FCE">
        <w:t xml:space="preserve"> and rates</w:t>
      </w:r>
      <w:r w:rsidRPr="00AC4F3E">
        <w:t>, and for 0.83 miles of tandem transport under WTC’s OCN</w:t>
      </w:r>
      <w:r w:rsidR="00306E4D">
        <w:t xml:space="preserve"> and rates</w:t>
      </w:r>
      <w:r w:rsidRPr="00AC4F3E">
        <w:t>.  Joint Statement at 1</w:t>
      </w:r>
      <w:r>
        <w:t>2</w:t>
      </w:r>
      <w:r w:rsidRPr="00AC4F3E">
        <w:t xml:space="preserve">, Stipulated Facts, No. </w:t>
      </w:r>
      <w:r>
        <w:t>70;</w:t>
      </w:r>
      <w:r w:rsidRPr="00AC4F3E">
        <w:t xml:space="preserve"> Complaint at 22, para. 60</w:t>
      </w:r>
      <w:r w:rsidR="005F7301">
        <w:t>;</w:t>
      </w:r>
      <w:r w:rsidRPr="00AC4F3E">
        <w:t xml:space="preserve"> Answer at 27-28, para. 60.</w:t>
      </w:r>
    </w:p>
  </w:footnote>
  <w:footnote w:id="58">
    <w:p w:rsidR="00C90AC5" w:rsidRPr="00E40F8A" w:rsidRDefault="00C90AC5" w:rsidP="00E40F8A">
      <w:pPr>
        <w:pStyle w:val="FootnoteText"/>
      </w:pPr>
      <w:r w:rsidRPr="004F04B7">
        <w:rPr>
          <w:rStyle w:val="FootnoteReference"/>
        </w:rPr>
        <w:footnoteRef/>
      </w:r>
      <w:r w:rsidRPr="004F04B7">
        <w:t xml:space="preserve"> </w:t>
      </w:r>
      <w:r w:rsidRPr="00E40F8A">
        <w:t xml:space="preserve">Joint Statement at </w:t>
      </w:r>
      <w:r w:rsidR="00DA03FA" w:rsidRPr="00E40F8A">
        <w:t>12-</w:t>
      </w:r>
      <w:r w:rsidR="003366BE">
        <w:t>1</w:t>
      </w:r>
      <w:r w:rsidRPr="00E40F8A">
        <w:t>3, Stipulated Facts, No</w:t>
      </w:r>
      <w:r w:rsidR="00DA03FA" w:rsidRPr="00E40F8A">
        <w:t>s</w:t>
      </w:r>
      <w:r w:rsidRPr="00E40F8A">
        <w:t xml:space="preserve">. </w:t>
      </w:r>
      <w:r w:rsidR="00DA03FA" w:rsidRPr="00E40F8A">
        <w:t xml:space="preserve">73, </w:t>
      </w:r>
      <w:r w:rsidRPr="00E40F8A">
        <w:t xml:space="preserve">75.  </w:t>
      </w:r>
      <w:r w:rsidR="00071418" w:rsidRPr="00E40F8A">
        <w:t xml:space="preserve">These charges consisted of GLC’s charges of $0.000418 for tandem switched facility (exclusive of mileage), $0.005476 for tandem switching, </w:t>
      </w:r>
      <w:r w:rsidR="0054298C">
        <w:t xml:space="preserve">and </w:t>
      </w:r>
      <w:r w:rsidR="00071418" w:rsidRPr="00E40F8A">
        <w:t>$0.002171 for tandem switched termination,</w:t>
      </w:r>
      <w:r w:rsidR="0054298C">
        <w:t xml:space="preserve"> as well as</w:t>
      </w:r>
      <w:r w:rsidR="00071418" w:rsidRPr="00E40F8A">
        <w:t xml:space="preserve"> WTC’s charges of $0.000418 (exclusive of mileage) per-mile, per-minute of tandem transport</w:t>
      </w:r>
      <w:r w:rsidR="005853A9" w:rsidRPr="00E40F8A">
        <w:t>.</w:t>
      </w:r>
      <w:r w:rsidR="00E40F8A" w:rsidRPr="00E40F8A">
        <w:t xml:space="preserve">  Joint Statement at 13-16, Stipulated Facts, Nos. 73(c), 82, 89, 94.</w:t>
      </w:r>
      <w:r w:rsidR="00E40F8A" w:rsidRPr="00411689" w:rsidDel="002C0CA4">
        <w:t xml:space="preserve"> </w:t>
      </w:r>
    </w:p>
  </w:footnote>
  <w:footnote w:id="59">
    <w:p w:rsidR="00C90AC5" w:rsidRPr="00E40F8A" w:rsidRDefault="00C90AC5" w:rsidP="00C90AC5">
      <w:pPr>
        <w:pStyle w:val="FootnoteText"/>
        <w:rPr>
          <w:b/>
        </w:rPr>
      </w:pPr>
      <w:r w:rsidRPr="004F04B7">
        <w:rPr>
          <w:rStyle w:val="FootnoteReference"/>
        </w:rPr>
        <w:footnoteRef/>
      </w:r>
      <w:r w:rsidR="00E40F8A">
        <w:t xml:space="preserve"> </w:t>
      </w:r>
      <w:r w:rsidR="007B0462">
        <w:t xml:space="preserve">Joint Statement at 13, Stipulated Facts, No. 76; Complaint at 19, para. 49; Answer at 22, para. 49.  </w:t>
      </w:r>
      <w:r w:rsidR="00E40F8A" w:rsidRPr="00AE320F">
        <w:t>AT&amp;T Michigan charge</w:t>
      </w:r>
      <w:r w:rsidR="00F5794F">
        <w:t>d</w:t>
      </w:r>
      <w:r w:rsidR="00E40F8A" w:rsidRPr="00AE320F">
        <w:t xml:space="preserve"> $0.000014 for tandem switched facility (exclusive of mileage), $0.00112 for tandem switching, and $0.000105 for tandem switched termination.</w:t>
      </w:r>
      <w:r w:rsidR="00E40F8A">
        <w:t xml:space="preserve">  </w:t>
      </w:r>
      <w:r w:rsidR="00E40F8A" w:rsidRPr="004F04B7">
        <w:t>Joint Statement at 1</w:t>
      </w:r>
      <w:r w:rsidR="00E40F8A">
        <w:t>4-16</w:t>
      </w:r>
      <w:r w:rsidR="00E40F8A" w:rsidRPr="004F04B7">
        <w:t>, Stipulated Facts, No</w:t>
      </w:r>
      <w:r w:rsidR="00E40F8A">
        <w:t>s</w:t>
      </w:r>
      <w:r w:rsidR="00E40F8A" w:rsidRPr="004F04B7">
        <w:t>.</w:t>
      </w:r>
      <w:r w:rsidR="00E40F8A">
        <w:t xml:space="preserve"> 83, 90, 95.</w:t>
      </w:r>
    </w:p>
  </w:footnote>
  <w:footnote w:id="60">
    <w:p w:rsidR="00D97AE3" w:rsidRDefault="00D97AE3">
      <w:pPr>
        <w:pStyle w:val="FootnoteText"/>
      </w:pPr>
      <w:r>
        <w:rPr>
          <w:rStyle w:val="FootnoteReference"/>
        </w:rPr>
        <w:footnoteRef/>
      </w:r>
      <w:r>
        <w:t xml:space="preserve"> </w:t>
      </w:r>
      <w:r w:rsidRPr="0026763A">
        <w:t>47 C.F.R. § 1.722(e) (“If a complainant proceeds pursuant to paragraph (d) of this section . . . the complainant may initiate a separate proceeding to obtain a determination of damages by filing a supplemental complaint . . . . ”).</w:t>
      </w:r>
    </w:p>
  </w:footnote>
  <w:footnote w:id="61">
    <w:p w:rsidR="00D97AE3" w:rsidRPr="00DA6308" w:rsidRDefault="00D97AE3" w:rsidP="00745F90">
      <w:pPr>
        <w:pStyle w:val="FootnoteText"/>
        <w:rPr>
          <w:b/>
        </w:rPr>
      </w:pPr>
      <w:r w:rsidRPr="004F04B7">
        <w:rPr>
          <w:rStyle w:val="FootnoteReference"/>
        </w:rPr>
        <w:footnoteRef/>
      </w:r>
      <w:r w:rsidRPr="004F04B7">
        <w:t xml:space="preserve"> 47 C.F.R. § 61.26(a)(1).  </w:t>
      </w:r>
    </w:p>
  </w:footnote>
  <w:footnote w:id="62">
    <w:p w:rsidR="00D97AE3" w:rsidRPr="004F04B7" w:rsidRDefault="00D97AE3" w:rsidP="00CC39F3">
      <w:pPr>
        <w:pStyle w:val="FootnoteText"/>
      </w:pPr>
      <w:r w:rsidRPr="004F04B7">
        <w:rPr>
          <w:rStyle w:val="FootnoteReference"/>
        </w:rPr>
        <w:footnoteRef/>
      </w:r>
      <w:r w:rsidRPr="004F04B7">
        <w:t xml:space="preserve"> 47 C.F. R. § 61.26(a)(3)(i).</w:t>
      </w:r>
    </w:p>
  </w:footnote>
  <w:footnote w:id="63">
    <w:p w:rsidR="00D97AE3" w:rsidRPr="004F04B7" w:rsidRDefault="00D97AE3">
      <w:pPr>
        <w:pStyle w:val="FootnoteText"/>
      </w:pPr>
      <w:r w:rsidRPr="004F04B7">
        <w:rPr>
          <w:rStyle w:val="FootnoteReference"/>
        </w:rPr>
        <w:footnoteRef/>
      </w:r>
      <w:r w:rsidRPr="004F04B7">
        <w:t xml:space="preserve"> Joint Statement at 4, Stipulated Facts, No. 14.  </w:t>
      </w:r>
    </w:p>
  </w:footnote>
  <w:footnote w:id="64">
    <w:p w:rsidR="00D97AE3" w:rsidRPr="004F04B7" w:rsidRDefault="00D97AE3" w:rsidP="00CC39F3">
      <w:pPr>
        <w:pStyle w:val="FootnoteText"/>
        <w:rPr>
          <w:b/>
        </w:rPr>
      </w:pPr>
      <w:r w:rsidRPr="004F04B7">
        <w:rPr>
          <w:rStyle w:val="FootnoteReference"/>
        </w:rPr>
        <w:footnoteRef/>
      </w:r>
      <w:r w:rsidRPr="004F04B7">
        <w:t xml:space="preserve"> </w:t>
      </w:r>
      <w:r w:rsidR="006F54CA" w:rsidRPr="003A6B82">
        <w:rPr>
          <w:i/>
        </w:rPr>
        <w:t>Id.</w:t>
      </w:r>
      <w:r w:rsidR="006F54CA">
        <w:t xml:space="preserve">, </w:t>
      </w:r>
      <w:r w:rsidRPr="004F04B7">
        <w:t>Stipulated Facts, No. 12.</w:t>
      </w:r>
    </w:p>
  </w:footnote>
  <w:footnote w:id="65">
    <w:p w:rsidR="00761F4D" w:rsidRPr="00E94559" w:rsidRDefault="00761F4D">
      <w:pPr>
        <w:pStyle w:val="FootnoteText"/>
      </w:pPr>
      <w:r>
        <w:rPr>
          <w:rStyle w:val="FootnoteReference"/>
        </w:rPr>
        <w:footnoteRef/>
      </w:r>
      <w:r w:rsidR="005A1EA4">
        <w:t xml:space="preserve"> </w:t>
      </w:r>
      <w:r w:rsidR="005A1EA4">
        <w:rPr>
          <w:snapToGrid w:val="0"/>
        </w:rPr>
        <w:t>The</w:t>
      </w:r>
      <w:r w:rsidR="005501F0">
        <w:rPr>
          <w:snapToGrid w:val="0"/>
        </w:rPr>
        <w:t xml:space="preserve"> phrase “an end user” in </w:t>
      </w:r>
      <w:r w:rsidR="00F5794F">
        <w:rPr>
          <w:snapToGrid w:val="0"/>
        </w:rPr>
        <w:t xml:space="preserve">the definition of “CLEC” </w:t>
      </w:r>
      <w:r w:rsidR="005A1EA4">
        <w:rPr>
          <w:snapToGrid w:val="0"/>
        </w:rPr>
        <w:t>means any end user, and is not limited to end users of the CLEC.</w:t>
      </w:r>
      <w:r w:rsidR="00EE1B67">
        <w:rPr>
          <w:snapToGrid w:val="0"/>
        </w:rPr>
        <w:t xml:space="preserve">  </w:t>
      </w:r>
      <w:r w:rsidR="00F5794F">
        <w:rPr>
          <w:i/>
          <w:snapToGrid w:val="0"/>
        </w:rPr>
        <w:t xml:space="preserve">See </w:t>
      </w:r>
      <w:r w:rsidR="00D20A01">
        <w:rPr>
          <w:snapToGrid w:val="0"/>
        </w:rPr>
        <w:t>47 C.F.R. § 61.26(a)</w:t>
      </w:r>
      <w:r w:rsidR="00292BBF">
        <w:rPr>
          <w:snapToGrid w:val="0"/>
        </w:rPr>
        <w:t>(1)</w:t>
      </w:r>
      <w:r w:rsidR="00D20A01">
        <w:rPr>
          <w:snapToGrid w:val="0"/>
        </w:rPr>
        <w:t>.</w:t>
      </w:r>
      <w:r w:rsidR="000F75FC">
        <w:rPr>
          <w:snapToGrid w:val="0"/>
        </w:rPr>
        <w:t xml:space="preserve">  There is no dispute that the interstate exchange access services in this case are associated with traffic that originates and terminates with end user customers.  </w:t>
      </w:r>
      <w:r w:rsidR="000F75FC">
        <w:rPr>
          <w:i/>
          <w:snapToGrid w:val="0"/>
        </w:rPr>
        <w:t xml:space="preserve">See </w:t>
      </w:r>
      <w:r w:rsidR="000F75FC">
        <w:rPr>
          <w:snapToGrid w:val="0"/>
        </w:rPr>
        <w:t xml:space="preserve">Joint Statement at </w:t>
      </w:r>
      <w:r w:rsidR="00D7270D">
        <w:rPr>
          <w:snapToGrid w:val="0"/>
        </w:rPr>
        <w:t xml:space="preserve">10-11, </w:t>
      </w:r>
      <w:r w:rsidR="000F75FC">
        <w:rPr>
          <w:snapToGrid w:val="0"/>
        </w:rPr>
        <w:t>16, Stipulated Facts, No</w:t>
      </w:r>
      <w:r w:rsidR="00D7270D">
        <w:rPr>
          <w:snapToGrid w:val="0"/>
        </w:rPr>
        <w:t>s</w:t>
      </w:r>
      <w:r w:rsidR="000F75FC">
        <w:rPr>
          <w:snapToGrid w:val="0"/>
        </w:rPr>
        <w:t>.</w:t>
      </w:r>
      <w:r w:rsidR="00D7270D">
        <w:rPr>
          <w:snapToGrid w:val="0"/>
        </w:rPr>
        <w:t xml:space="preserve"> 57, 59, 62, </w:t>
      </w:r>
      <w:r w:rsidR="000F75FC">
        <w:rPr>
          <w:snapToGrid w:val="0"/>
        </w:rPr>
        <w:t>97.</w:t>
      </w:r>
      <w:r w:rsidR="00E94559">
        <w:rPr>
          <w:snapToGrid w:val="0"/>
        </w:rPr>
        <w:t xml:space="preserve">  Thus, we disagree with the ruling of the Michigan Public Service Commission in </w:t>
      </w:r>
      <w:r w:rsidR="00E94559">
        <w:rPr>
          <w:i/>
          <w:snapToGrid w:val="0"/>
        </w:rPr>
        <w:t>Westphalia Tel. Co. v. AT&amp;T</w:t>
      </w:r>
      <w:r w:rsidR="00E94559">
        <w:rPr>
          <w:snapToGrid w:val="0"/>
        </w:rPr>
        <w:t xml:space="preserve">, Case No. U-17619 (Mich. Pub. Serv. Comm. Jan. 27, 2015), available at </w:t>
      </w:r>
      <w:hyperlink r:id="rId1" w:history="1">
        <w:r w:rsidR="00E94559" w:rsidRPr="00564788">
          <w:rPr>
            <w:rStyle w:val="Hyperlink"/>
          </w:rPr>
          <w:t>https://efile.mpsc.state.mi.us/efile/docs/17619/0121.pdf</w:t>
        </w:r>
      </w:hyperlink>
      <w:r w:rsidR="00E94559" w:rsidRPr="00564788">
        <w:t>.</w:t>
      </w:r>
    </w:p>
  </w:footnote>
  <w:footnote w:id="66">
    <w:p w:rsidR="00D97AE3" w:rsidRPr="00161AB0" w:rsidRDefault="00D97AE3" w:rsidP="005935FF">
      <w:pPr>
        <w:pStyle w:val="FootnoteText"/>
        <w:rPr>
          <w:i/>
        </w:rPr>
      </w:pPr>
      <w:r w:rsidRPr="004F04B7">
        <w:rPr>
          <w:rStyle w:val="FootnoteReference"/>
        </w:rPr>
        <w:footnoteRef/>
      </w:r>
      <w:r w:rsidRPr="004F04B7">
        <w:t xml:space="preserve"> 47 C.F.R. </w:t>
      </w:r>
      <w:r w:rsidR="003F02F8" w:rsidRPr="004F04B7">
        <w:t>§</w:t>
      </w:r>
      <w:r w:rsidR="003F02F8">
        <w:t xml:space="preserve"> </w:t>
      </w:r>
      <w:r w:rsidRPr="004F04B7">
        <w:t xml:space="preserve">61.26(f).  </w:t>
      </w:r>
      <w:r>
        <w:t xml:space="preserve">  </w:t>
      </w:r>
    </w:p>
  </w:footnote>
  <w:footnote w:id="67">
    <w:p w:rsidR="00D97AE3" w:rsidRPr="004F04B7" w:rsidRDefault="00D97AE3" w:rsidP="00171463">
      <w:pPr>
        <w:pStyle w:val="FootnoteText"/>
        <w:rPr>
          <w:b/>
        </w:rPr>
      </w:pPr>
      <w:r w:rsidRPr="004F04B7">
        <w:rPr>
          <w:rStyle w:val="FootnoteReference"/>
        </w:rPr>
        <w:footnoteRef/>
      </w:r>
      <w:r w:rsidRPr="004F04B7">
        <w:t xml:space="preserve"> </w:t>
      </w:r>
      <w:r w:rsidRPr="004F04B7">
        <w:rPr>
          <w:i/>
        </w:rPr>
        <w:t>See</w:t>
      </w:r>
      <w:r w:rsidRPr="004F04B7">
        <w:t xml:space="preserve"> Answer</w:t>
      </w:r>
      <w:r w:rsidR="008A312F">
        <w:t xml:space="preserve">, </w:t>
      </w:r>
      <w:r w:rsidRPr="004F04B7">
        <w:t>Legal Analysis</w:t>
      </w:r>
      <w:r w:rsidR="008A312F">
        <w:t xml:space="preserve"> in Opposition to Formal Complaint (Answer Legal Analysis)</w:t>
      </w:r>
      <w:r w:rsidRPr="004F04B7">
        <w:t xml:space="preserve"> at 13-17.</w:t>
      </w:r>
    </w:p>
  </w:footnote>
  <w:footnote w:id="68">
    <w:p w:rsidR="00D97AE3" w:rsidRPr="004F04B7" w:rsidRDefault="00D97AE3">
      <w:pPr>
        <w:pStyle w:val="FootnoteText"/>
      </w:pPr>
      <w:r w:rsidRPr="004F04B7">
        <w:rPr>
          <w:rStyle w:val="FootnoteReference"/>
        </w:rPr>
        <w:footnoteRef/>
      </w:r>
      <w:r w:rsidRPr="004F04B7">
        <w:t xml:space="preserve"> </w:t>
      </w:r>
      <w:r w:rsidRPr="004F04B7">
        <w:rPr>
          <w:i/>
        </w:rPr>
        <w:t xml:space="preserve">See </w:t>
      </w:r>
      <w:r w:rsidRPr="004F04B7">
        <w:rPr>
          <w:i/>
          <w:iCs/>
        </w:rPr>
        <w:t>CLEC Access Reform Reconsideration Order</w:t>
      </w:r>
      <w:r>
        <w:rPr>
          <w:iCs/>
        </w:rPr>
        <w:t>, 19 FCC Rcd at 9115</w:t>
      </w:r>
      <w:r w:rsidRPr="004F04B7">
        <w:rPr>
          <w:iCs/>
        </w:rPr>
        <w:t>-17, paras. 15</w:t>
      </w:r>
      <w:r w:rsidRPr="004F04B7">
        <w:t>, 17.</w:t>
      </w:r>
      <w:r>
        <w:t xml:space="preserve">  </w:t>
      </w:r>
      <w:r w:rsidRPr="006B77F0">
        <w:t xml:space="preserve">When </w:t>
      </w:r>
      <w:r>
        <w:t>adding</w:t>
      </w:r>
      <w:r w:rsidRPr="006B77F0">
        <w:t xml:space="preserve"> paragraph (f), the Commission also </w:t>
      </w:r>
      <w:r>
        <w:t>clarified</w:t>
      </w:r>
      <w:r w:rsidRPr="006B77F0">
        <w:t xml:space="preserve"> that “the benchmark established in the </w:t>
      </w:r>
      <w:r w:rsidRPr="006B77F0">
        <w:rPr>
          <w:i/>
        </w:rPr>
        <w:t>CLEC Access Reform Order</w:t>
      </w:r>
      <w:r w:rsidRPr="006B77F0">
        <w:t xml:space="preserve"> is available only when a competitive LEC provides an IXC with access to the competitive LEC’s own end-users.”  </w:t>
      </w:r>
      <w:r w:rsidRPr="006B77F0">
        <w:rPr>
          <w:i/>
        </w:rPr>
        <w:t>Id.</w:t>
      </w:r>
      <w:r w:rsidRPr="006B77F0">
        <w:t>, 19 FCC Rcd at 9115, para. 15.</w:t>
      </w:r>
    </w:p>
  </w:footnote>
  <w:footnote w:id="69">
    <w:p w:rsidR="00D97AE3" w:rsidRPr="004F04B7" w:rsidRDefault="00D97AE3" w:rsidP="009D318F">
      <w:pPr>
        <w:pStyle w:val="FootnoteText"/>
      </w:pPr>
      <w:r w:rsidRPr="004F04B7">
        <w:rPr>
          <w:rStyle w:val="FootnoteReference"/>
        </w:rPr>
        <w:footnoteRef/>
      </w:r>
      <w:r w:rsidRPr="004F04B7">
        <w:t xml:space="preserve"> </w:t>
      </w:r>
      <w:r w:rsidRPr="004F04B7">
        <w:rPr>
          <w:i/>
        </w:rPr>
        <w:t xml:space="preserve">See </w:t>
      </w:r>
      <w:r w:rsidRPr="004F04B7">
        <w:rPr>
          <w:i/>
          <w:iCs/>
        </w:rPr>
        <w:t>CLEC Access Reform Reconsideration Order</w:t>
      </w:r>
      <w:r w:rsidRPr="004F04B7">
        <w:rPr>
          <w:iCs/>
        </w:rPr>
        <w:t>, 19 FCC Rcd at 9116-17, para. 17.</w:t>
      </w:r>
    </w:p>
  </w:footnote>
  <w:footnote w:id="70">
    <w:p w:rsidR="00D97AE3" w:rsidRPr="004F04B7" w:rsidRDefault="00D97AE3">
      <w:pPr>
        <w:pStyle w:val="FootnoteText"/>
      </w:pPr>
      <w:r w:rsidRPr="004F04B7">
        <w:rPr>
          <w:rStyle w:val="FootnoteReference"/>
        </w:rPr>
        <w:footnoteRef/>
      </w:r>
      <w:r w:rsidRPr="004F04B7">
        <w:t xml:space="preserve"> 47 C.F.R. § 61.26(a)(1) (“CLEC shall mean a local exchange carrier that provides </w:t>
      </w:r>
      <w:r w:rsidRPr="004F04B7">
        <w:rPr>
          <w:i/>
        </w:rPr>
        <w:t>some</w:t>
      </w:r>
      <w:r w:rsidRPr="004F04B7">
        <w:t xml:space="preserve"> or all of the interstate exchange access services used to send traffic to or from an end user . . .”) (emphasis added). </w:t>
      </w:r>
    </w:p>
  </w:footnote>
  <w:footnote w:id="71">
    <w:p w:rsidR="00D97AE3" w:rsidRPr="004F04B7" w:rsidRDefault="00D97AE3">
      <w:pPr>
        <w:pStyle w:val="FootnoteText"/>
      </w:pPr>
      <w:r w:rsidRPr="004F04B7">
        <w:rPr>
          <w:rStyle w:val="FootnoteReference"/>
        </w:rPr>
        <w:footnoteRef/>
      </w:r>
      <w:r w:rsidRPr="004F04B7">
        <w:t xml:space="preserve"> 47 C.F.R. §</w:t>
      </w:r>
      <w:r w:rsidR="00AB7F49" w:rsidRPr="004F04B7">
        <w:t>§</w:t>
      </w:r>
      <w:r w:rsidR="00AB7F49">
        <w:t xml:space="preserve"> </w:t>
      </w:r>
      <w:r w:rsidRPr="004F04B7">
        <w:t>61.26(a)(1), (f).</w:t>
      </w:r>
    </w:p>
  </w:footnote>
  <w:footnote w:id="72">
    <w:p w:rsidR="00D97AE3" w:rsidRPr="007B2CE1" w:rsidRDefault="00D97AE3" w:rsidP="007B2CE1">
      <w:pPr>
        <w:pStyle w:val="FootnoteText"/>
        <w:rPr>
          <w:rFonts w:ascii="Arial" w:hAnsi="Arial" w:cs="Arial"/>
        </w:rPr>
      </w:pPr>
      <w:r w:rsidRPr="004F04B7">
        <w:rPr>
          <w:rStyle w:val="FootnoteReference"/>
        </w:rPr>
        <w:footnoteRef/>
      </w:r>
      <w:r w:rsidRPr="004F04B7">
        <w:t xml:space="preserve"> </w:t>
      </w:r>
      <w:r w:rsidRPr="007B2CE1">
        <w:rPr>
          <w:i/>
        </w:rPr>
        <w:t>See</w:t>
      </w:r>
      <w:r w:rsidRPr="007B2CE1">
        <w:t xml:space="preserve"> Answer Legal Analysis at 10-11.  </w:t>
      </w:r>
      <w:r>
        <w:t xml:space="preserve">    </w:t>
      </w:r>
      <w:r>
        <w:rPr>
          <w:b/>
        </w:rPr>
        <w:t xml:space="preserve">  </w:t>
      </w:r>
    </w:p>
  </w:footnote>
  <w:footnote w:id="73">
    <w:p w:rsidR="00D97AE3" w:rsidRPr="004F04B7" w:rsidRDefault="00D97AE3">
      <w:pPr>
        <w:pStyle w:val="FootnoteText"/>
      </w:pPr>
      <w:r w:rsidRPr="004F04B7">
        <w:rPr>
          <w:rStyle w:val="FootnoteReference"/>
        </w:rPr>
        <w:footnoteRef/>
      </w:r>
      <w:r w:rsidRPr="004F04B7">
        <w:t xml:space="preserve"> </w:t>
      </w:r>
      <w:r w:rsidRPr="004F04B7">
        <w:rPr>
          <w:i/>
        </w:rPr>
        <w:t xml:space="preserve">See </w:t>
      </w:r>
      <w:r w:rsidRPr="004F04B7">
        <w:t xml:space="preserve">AT&amp;T Reply Legal Analysis at 9-10.  </w:t>
      </w:r>
      <w:r>
        <w:t xml:space="preserve">There is nothing in the </w:t>
      </w:r>
      <w:r w:rsidRPr="004F04B7">
        <w:t xml:space="preserve">text or structure of </w:t>
      </w:r>
      <w:r w:rsidR="00FF7C05">
        <w:t>Section</w:t>
      </w:r>
      <w:r>
        <w:t xml:space="preserve"> </w:t>
      </w:r>
      <w:r w:rsidRPr="004F04B7">
        <w:t>61.26</w:t>
      </w:r>
      <w:r>
        <w:t xml:space="preserve">, or in the </w:t>
      </w:r>
      <w:r w:rsidRPr="004F04B7">
        <w:rPr>
          <w:i/>
          <w:iCs/>
        </w:rPr>
        <w:t>CLEC Access Reform Reconsideration Order</w:t>
      </w:r>
      <w:r>
        <w:t>, supporting Defendants’ contention</w:t>
      </w:r>
      <w:r w:rsidRPr="004F04B7">
        <w:t xml:space="preserve"> that paragraph (f)</w:t>
      </w:r>
      <w:r>
        <w:t xml:space="preserve"> is somehow limited to situations “</w:t>
      </w:r>
      <w:r w:rsidRPr="00926736">
        <w:t>when a carrier both serves its own end user customers through its end office and routes third-party traffic through the same end office.</w:t>
      </w:r>
      <w:r>
        <w:t>”</w:t>
      </w:r>
      <w:r w:rsidRPr="004F04B7">
        <w:rPr>
          <w:i/>
        </w:rPr>
        <w:t xml:space="preserve"> </w:t>
      </w:r>
      <w:r>
        <w:rPr>
          <w:i/>
        </w:rPr>
        <w:t xml:space="preserve"> </w:t>
      </w:r>
      <w:r w:rsidRPr="004F04B7">
        <w:t xml:space="preserve">Answer Legal Analysis at 27, n.87.  </w:t>
      </w:r>
      <w:r>
        <w:t xml:space="preserve">  </w:t>
      </w:r>
    </w:p>
  </w:footnote>
  <w:footnote w:id="74">
    <w:p w:rsidR="00D97AE3" w:rsidRDefault="00D97AE3">
      <w:pPr>
        <w:pStyle w:val="FootnoteText"/>
      </w:pPr>
      <w:r>
        <w:rPr>
          <w:rStyle w:val="FootnoteReference"/>
        </w:rPr>
        <w:footnoteRef/>
      </w:r>
      <w:r>
        <w:t xml:space="preserve"> </w:t>
      </w:r>
      <w:r w:rsidRPr="004F04B7">
        <w:rPr>
          <w:i/>
        </w:rPr>
        <w:t>USF/ICC Transformation Order</w:t>
      </w:r>
      <w:r w:rsidRPr="004F04B7">
        <w:t>, 26 FCC Rcd 17663</w:t>
      </w:r>
      <w:r>
        <w:t>.</w:t>
      </w:r>
    </w:p>
  </w:footnote>
  <w:footnote w:id="75">
    <w:p w:rsidR="00D97AE3" w:rsidRPr="004F04B7" w:rsidRDefault="00D97AE3" w:rsidP="00CC39F3">
      <w:pPr>
        <w:pStyle w:val="FootnoteText"/>
        <w:rPr>
          <w:b/>
        </w:rPr>
      </w:pPr>
      <w:r w:rsidRPr="004F04B7">
        <w:rPr>
          <w:rStyle w:val="FootnoteReference"/>
        </w:rPr>
        <w:footnoteRef/>
      </w:r>
      <w:r w:rsidRPr="004F04B7">
        <w:t xml:space="preserve"> </w:t>
      </w:r>
      <w:r w:rsidRPr="004F04B7">
        <w:rPr>
          <w:i/>
        </w:rPr>
        <w:t xml:space="preserve">See </w:t>
      </w:r>
      <w:r w:rsidRPr="004F04B7">
        <w:t>Answer Legal Analysis at 18-22</w:t>
      </w:r>
      <w:r>
        <w:t>.</w:t>
      </w:r>
    </w:p>
  </w:footnote>
  <w:footnote w:id="76">
    <w:p w:rsidR="00D97AE3" w:rsidRDefault="00D97AE3">
      <w:pPr>
        <w:pStyle w:val="FootnoteText"/>
      </w:pPr>
      <w:r>
        <w:rPr>
          <w:rStyle w:val="FootnoteReference"/>
        </w:rPr>
        <w:footnoteRef/>
      </w:r>
      <w:r>
        <w:t xml:space="preserve"> </w:t>
      </w:r>
      <w:r>
        <w:rPr>
          <w:i/>
        </w:rPr>
        <w:t>USF/ICC Transformation Order</w:t>
      </w:r>
      <w:r>
        <w:t>, 26 FCC Rcd at 18115, para</w:t>
      </w:r>
      <w:r w:rsidR="000258E7">
        <w:t>.</w:t>
      </w:r>
      <w:r>
        <w:t xml:space="preserve"> </w:t>
      </w:r>
      <w:r w:rsidRPr="006640C6">
        <w:t>1312</w:t>
      </w:r>
      <w:r>
        <w:t>.</w:t>
      </w:r>
    </w:p>
  </w:footnote>
  <w:footnote w:id="77">
    <w:p w:rsidR="00D97AE3" w:rsidRPr="00C21A55" w:rsidRDefault="00D97AE3">
      <w:pPr>
        <w:pStyle w:val="FootnoteText"/>
        <w:rPr>
          <w:i/>
        </w:rPr>
      </w:pPr>
      <w:r>
        <w:rPr>
          <w:rStyle w:val="FootnoteReference"/>
        </w:rPr>
        <w:footnoteRef/>
      </w:r>
      <w:r>
        <w:t xml:space="preserve"> Answer Legal Analysis at 18.  </w:t>
      </w:r>
    </w:p>
  </w:footnote>
  <w:footnote w:id="78">
    <w:p w:rsidR="00D97AE3" w:rsidRPr="004F04B7" w:rsidRDefault="00D97AE3" w:rsidP="00CC39F3">
      <w:pPr>
        <w:pStyle w:val="FootnoteText"/>
        <w:rPr>
          <w:b/>
        </w:rPr>
      </w:pPr>
      <w:r w:rsidRPr="004F04B7">
        <w:rPr>
          <w:rStyle w:val="FootnoteReference"/>
        </w:rPr>
        <w:footnoteRef/>
      </w:r>
      <w:r w:rsidRPr="004F04B7">
        <w:t xml:space="preserve"> </w:t>
      </w:r>
      <w:r>
        <w:rPr>
          <w:i/>
        </w:rPr>
        <w:t xml:space="preserve">USF/ICC Transformation </w:t>
      </w:r>
      <w:r w:rsidRPr="00FC4264">
        <w:rPr>
          <w:i/>
        </w:rPr>
        <w:t>Order</w:t>
      </w:r>
      <w:r>
        <w:t>,</w:t>
      </w:r>
      <w:r w:rsidRPr="004F04B7">
        <w:t xml:space="preserve"> 26 FCC Rcd </w:t>
      </w:r>
      <w:r>
        <w:t>at</w:t>
      </w:r>
      <w:r w:rsidRPr="004F04B7">
        <w:t xml:space="preserve"> 17887, para. 694 (“We maintain the benchmarking approach to the regulation of rates of competitive LECs.”).</w:t>
      </w:r>
    </w:p>
  </w:footnote>
  <w:footnote w:id="79">
    <w:p w:rsidR="00D97AE3" w:rsidRPr="004F04B7" w:rsidRDefault="00D97AE3" w:rsidP="00F34073">
      <w:pPr>
        <w:pStyle w:val="FootnoteText"/>
        <w:rPr>
          <w:b/>
        </w:rPr>
      </w:pPr>
      <w:r w:rsidRPr="004F04B7">
        <w:rPr>
          <w:rStyle w:val="FootnoteReference"/>
        </w:rPr>
        <w:footnoteRef/>
      </w:r>
      <w:r w:rsidRPr="004F04B7">
        <w:t xml:space="preserve"> Answer Legal Analysis at 9, 10, 13-17.</w:t>
      </w:r>
    </w:p>
  </w:footnote>
  <w:footnote w:id="80">
    <w:p w:rsidR="00D97AE3" w:rsidRPr="004F04B7" w:rsidRDefault="00D97AE3" w:rsidP="00F34073">
      <w:pPr>
        <w:pStyle w:val="FootnoteText"/>
        <w:rPr>
          <w:b/>
        </w:rPr>
      </w:pPr>
      <w:r w:rsidRPr="004F04B7">
        <w:rPr>
          <w:rStyle w:val="FootnoteReference"/>
        </w:rPr>
        <w:footnoteRef/>
      </w:r>
      <w:r w:rsidRPr="004F04B7">
        <w:t xml:space="preserve"> </w:t>
      </w:r>
      <w:r w:rsidRPr="004F04B7">
        <w:rPr>
          <w:i/>
        </w:rPr>
        <w:t xml:space="preserve">See CLEC Access </w:t>
      </w:r>
      <w:r>
        <w:rPr>
          <w:i/>
        </w:rPr>
        <w:t>Reform</w:t>
      </w:r>
      <w:r w:rsidRPr="004F04B7">
        <w:rPr>
          <w:i/>
        </w:rPr>
        <w:t xml:space="preserve"> Order</w:t>
      </w:r>
      <w:r w:rsidRPr="004F04B7">
        <w:t xml:space="preserve">, </w:t>
      </w:r>
      <w:r w:rsidRPr="004F04B7">
        <w:rPr>
          <w:iCs/>
        </w:rPr>
        <w:t>1</w:t>
      </w:r>
      <w:r w:rsidRPr="004F04B7">
        <w:t>6 FCC Rcd 9923, para. 1.</w:t>
      </w:r>
      <w:r>
        <w:t xml:space="preserve">  The term “CLEC” did not exist prior to the </w:t>
      </w:r>
      <w:r w:rsidRPr="00823D2E">
        <w:t xml:space="preserve">1996 Act.  The </w:t>
      </w:r>
      <w:r w:rsidRPr="00B2303F">
        <w:t>only decision Defendants cite that was released after 1996 used the pre-Act term “competitive access provider” as interchangeable with “non-ILEC provider</w:t>
      </w:r>
      <w:r>
        <w:t>,</w:t>
      </w:r>
      <w:r w:rsidRPr="00B2303F">
        <w:t>” which is consistent with the post-Act term “CLEC” defined in the Commission’s benchmarking rule.</w:t>
      </w:r>
      <w:r w:rsidRPr="00B2303F">
        <w:rPr>
          <w:i/>
        </w:rPr>
        <w:t xml:space="preserve">  See Hyperion Telecommunications, Inc. Petition for Forbearance</w:t>
      </w:r>
      <w:r w:rsidRPr="00B2303F">
        <w:t>, Memorandum Opinion and Order, 12 FCC Rcd 8596, 8611, para. 29 (1997) (</w:t>
      </w:r>
      <w:r w:rsidRPr="00B2303F">
        <w:rPr>
          <w:i/>
        </w:rPr>
        <w:t>Hyperion Order</w:t>
      </w:r>
      <w:r w:rsidRPr="00B2303F">
        <w:t>) (concluding, in response to Hyperion’s request that the Commission forbear from</w:t>
      </w:r>
      <w:r w:rsidRPr="004F04B7">
        <w:t xml:space="preserve"> imposing tariff filing requirements for competitive access providers, that “the statutory criteria for forbearance have been met with respect to those non-ILEC providers of interstate exchange access services”).</w:t>
      </w:r>
      <w:r>
        <w:t xml:space="preserve">  </w:t>
      </w:r>
      <w:r>
        <w:rPr>
          <w:i/>
        </w:rPr>
        <w:t xml:space="preserve">See </w:t>
      </w:r>
      <w:r w:rsidRPr="00701D96">
        <w:rPr>
          <w:i/>
        </w:rPr>
        <w:t>also</w:t>
      </w:r>
      <w:r>
        <w:t xml:space="preserve"> 47 C.F.R. § 61.26(a)(1) (defining a </w:t>
      </w:r>
      <w:r w:rsidRPr="00823D2E">
        <w:t xml:space="preserve">CLEC to be any carrier other than an </w:t>
      </w:r>
      <w:r>
        <w:t>ILEC that provides some or all</w:t>
      </w:r>
      <w:r w:rsidRPr="00823D2E">
        <w:t xml:space="preserve"> of the interstate access services used to send traffic to or from an end user</w:t>
      </w:r>
      <w:r>
        <w:t>)</w:t>
      </w:r>
      <w:r w:rsidRPr="00823D2E">
        <w:t>.</w:t>
      </w:r>
      <w:r w:rsidRPr="004F04B7">
        <w:t xml:space="preserve">  </w:t>
      </w:r>
    </w:p>
  </w:footnote>
  <w:footnote w:id="81">
    <w:p w:rsidR="00D97AE3" w:rsidRPr="004F04B7" w:rsidRDefault="00D97AE3" w:rsidP="00F34073">
      <w:pPr>
        <w:pStyle w:val="FootnoteText"/>
        <w:rPr>
          <w:b/>
        </w:rPr>
      </w:pPr>
      <w:r w:rsidRPr="004F04B7">
        <w:rPr>
          <w:rStyle w:val="FootnoteReference"/>
        </w:rPr>
        <w:footnoteRef/>
      </w:r>
      <w:r w:rsidRPr="004F04B7">
        <w:t xml:space="preserve"> </w:t>
      </w:r>
      <w:r w:rsidRPr="004F04B7">
        <w:rPr>
          <w:i/>
        </w:rPr>
        <w:t xml:space="preserve">See CLEC Access </w:t>
      </w:r>
      <w:r>
        <w:rPr>
          <w:i/>
        </w:rPr>
        <w:t>Reform</w:t>
      </w:r>
      <w:r w:rsidRPr="004F04B7">
        <w:rPr>
          <w:i/>
        </w:rPr>
        <w:t xml:space="preserve"> Order</w:t>
      </w:r>
      <w:r w:rsidRPr="004F04B7">
        <w:t xml:space="preserve">, </w:t>
      </w:r>
      <w:r w:rsidRPr="004F04B7">
        <w:rPr>
          <w:iCs/>
        </w:rPr>
        <w:t>1</w:t>
      </w:r>
      <w:r w:rsidRPr="004F04B7">
        <w:t xml:space="preserve">6 FCC Rcd at 9933, para. 25 (“It now appears that the best means of proceeding is to restructure and partially deregulate the environment in which CLECs provide access service, providing a bright-line rule that will facilitate effective enforcement.”); at 9933-6, paras. 26-32 (“We now acknowledge that the market for access services does not appear to be </w:t>
      </w:r>
      <w:r w:rsidRPr="00C21A55">
        <w:t>structured</w:t>
      </w:r>
      <w:r w:rsidRPr="004F04B7">
        <w:t xml:space="preserve"> in a manner that allows competition to discipline rates.”); </w:t>
      </w:r>
      <w:r w:rsidRPr="004F04B7">
        <w:rPr>
          <w:i/>
        </w:rPr>
        <w:t>CLEC Access Reform Reconsideration Order</w:t>
      </w:r>
      <w:r w:rsidRPr="004F04B7">
        <w:t xml:space="preserve">, 19 FCC Rcd at 9117, para. 17 (recognizing the need to adopt a new rule to constrain potential monopoly power relating to intermediate carrier services).  </w:t>
      </w:r>
    </w:p>
  </w:footnote>
  <w:footnote w:id="82">
    <w:p w:rsidR="00D97AE3" w:rsidRPr="004F04B7" w:rsidRDefault="00D97AE3" w:rsidP="009365C0">
      <w:pPr>
        <w:pStyle w:val="FootnoteText"/>
      </w:pPr>
      <w:r w:rsidRPr="004F04B7">
        <w:rPr>
          <w:rStyle w:val="FootnoteReference"/>
        </w:rPr>
        <w:footnoteRef/>
      </w:r>
      <w:r w:rsidRPr="004F04B7">
        <w:t xml:space="preserve"> </w:t>
      </w:r>
      <w:r w:rsidRPr="004F04B7">
        <w:rPr>
          <w:i/>
        </w:rPr>
        <w:t>CLEC Access Reform Reconsideration Order</w:t>
      </w:r>
      <w:r w:rsidRPr="004F04B7">
        <w:t>, 19 FCC Rcd at 9117, para. 17</w:t>
      </w:r>
      <w:r>
        <w:t xml:space="preserve"> (</w:t>
      </w:r>
      <w:r w:rsidRPr="00823D2E">
        <w:t>“</w:t>
      </w:r>
      <w:r>
        <w:t>[A]</w:t>
      </w:r>
      <w:r w:rsidRPr="00823D2E">
        <w:t>n IXC may have no choice but to accept traffic from an intermediate competitive LEC chosen by the originating or terminating carrier.”</w:t>
      </w:r>
      <w:r>
        <w:t>).</w:t>
      </w:r>
    </w:p>
  </w:footnote>
  <w:footnote w:id="83">
    <w:p w:rsidR="00D97AE3" w:rsidRPr="004F04B7" w:rsidRDefault="00D97AE3" w:rsidP="00611DF2">
      <w:pPr>
        <w:pStyle w:val="FootnoteText"/>
      </w:pPr>
      <w:r w:rsidRPr="004F04B7">
        <w:rPr>
          <w:rStyle w:val="FootnoteReference"/>
        </w:rPr>
        <w:footnoteRef/>
      </w:r>
      <w:r w:rsidRPr="004F04B7">
        <w:rPr>
          <w:color w:val="0000FF"/>
        </w:rPr>
        <w:t xml:space="preserve"> </w:t>
      </w:r>
      <w:r w:rsidRPr="004F04B7">
        <w:rPr>
          <w:i/>
        </w:rPr>
        <w:t xml:space="preserve">See CLEC Access </w:t>
      </w:r>
      <w:r>
        <w:rPr>
          <w:i/>
        </w:rPr>
        <w:t>Reform</w:t>
      </w:r>
      <w:r w:rsidRPr="004F04B7">
        <w:rPr>
          <w:i/>
        </w:rPr>
        <w:t xml:space="preserve"> Order</w:t>
      </w:r>
      <w:r w:rsidRPr="004F04B7">
        <w:t xml:space="preserve">, </w:t>
      </w:r>
      <w:r w:rsidRPr="004F04B7">
        <w:rPr>
          <w:iCs/>
        </w:rPr>
        <w:t>1</w:t>
      </w:r>
      <w:r w:rsidRPr="004F04B7">
        <w:t>6 FCC Rcd at 9936, para. 34 (“[T]here is ample evidence that the combination of the market’s failure to constrain CLEC access rates, our geographic rate averaging rules for IXCs, the absence of effective limits on CLEC rates and the tariff system create an arbitrage opportunity for CLECs to charge unreasonable access rates.”).</w:t>
      </w:r>
    </w:p>
  </w:footnote>
  <w:footnote w:id="84">
    <w:p w:rsidR="002F3F3B" w:rsidRPr="004F04B7" w:rsidRDefault="002F3F3B" w:rsidP="002F3F3B">
      <w:pPr>
        <w:pStyle w:val="FootnoteText"/>
      </w:pPr>
      <w:r w:rsidRPr="004F04B7">
        <w:rPr>
          <w:rStyle w:val="FootnoteReference"/>
        </w:rPr>
        <w:footnoteRef/>
      </w:r>
      <w:r>
        <w:t xml:space="preserve"> Answer Exhibit 6</w:t>
      </w:r>
      <w:r w:rsidRPr="004F04B7">
        <w:t xml:space="preserve">, GLC Tariff F.C.C. No. 20, </w:t>
      </w:r>
      <w:r>
        <w:t xml:space="preserve">Original Page 6-27, </w:t>
      </w:r>
      <w:r w:rsidRPr="004F04B7">
        <w:t xml:space="preserve">Section 6.4; Complaint at 14, para. 36, 37, para. 102; Answer at 14, para. 36, 47, para. 102.  </w:t>
      </w:r>
    </w:p>
  </w:footnote>
  <w:footnote w:id="85">
    <w:p w:rsidR="002F3F3B" w:rsidRPr="004F04B7" w:rsidRDefault="002F3F3B" w:rsidP="002F3F3B">
      <w:pPr>
        <w:pStyle w:val="FootnoteText"/>
      </w:pPr>
      <w:r w:rsidRPr="004F04B7">
        <w:rPr>
          <w:rStyle w:val="FootnoteReference"/>
        </w:rPr>
        <w:footnoteRef/>
      </w:r>
      <w:r w:rsidRPr="004F04B7">
        <w:t xml:space="preserve"> Answer Legal Analysis at 12, n.36.</w:t>
      </w:r>
    </w:p>
  </w:footnote>
  <w:footnote w:id="86">
    <w:p w:rsidR="002F3F3B" w:rsidRPr="008664AF" w:rsidRDefault="002F3F3B" w:rsidP="002F3F3B">
      <w:pPr>
        <w:pStyle w:val="FootnoteText"/>
      </w:pPr>
      <w:r>
        <w:rPr>
          <w:rStyle w:val="FootnoteReference"/>
        </w:rPr>
        <w:footnoteRef/>
      </w:r>
      <w:r>
        <w:t xml:space="preserve"> </w:t>
      </w:r>
      <w:r>
        <w:rPr>
          <w:i/>
        </w:rPr>
        <w:t>See</w:t>
      </w:r>
      <w:r>
        <w:t xml:space="preserve"> </w:t>
      </w:r>
      <w:r>
        <w:rPr>
          <w:i/>
        </w:rPr>
        <w:t>supra</w:t>
      </w:r>
      <w:r w:rsidRPr="00884C4A">
        <w:t xml:space="preserve"> </w:t>
      </w:r>
      <w:r>
        <w:t>note</w:t>
      </w:r>
      <w:r w:rsidR="00B525B6">
        <w:t xml:space="preserve"> </w:t>
      </w:r>
      <w:r w:rsidR="00B525B6">
        <w:fldChar w:fldCharType="begin"/>
      </w:r>
      <w:r w:rsidR="00B525B6">
        <w:instrText xml:space="preserve"> NOTEREF _Ref409510198 \h </w:instrText>
      </w:r>
      <w:r w:rsidR="00B525B6">
        <w:fldChar w:fldCharType="separate"/>
      </w:r>
      <w:r w:rsidR="00B525B6">
        <w:t>27</w:t>
      </w:r>
      <w:r w:rsidR="00B525B6">
        <w:fldChar w:fldCharType="end"/>
      </w:r>
      <w:r w:rsidR="00B00BE8">
        <w:t>.</w:t>
      </w:r>
    </w:p>
  </w:footnote>
  <w:footnote w:id="87">
    <w:p w:rsidR="002F3F3B" w:rsidRPr="004F04B7" w:rsidRDefault="002F3F3B" w:rsidP="002F3F3B">
      <w:pPr>
        <w:pStyle w:val="FootnoteText"/>
      </w:pPr>
      <w:r w:rsidRPr="004F04B7">
        <w:rPr>
          <w:rStyle w:val="FootnoteReference"/>
        </w:rPr>
        <w:footnoteRef/>
      </w:r>
      <w:r w:rsidRPr="004F04B7">
        <w:t xml:space="preserve"> Answer Legal Analysis at 12, n.36.</w:t>
      </w:r>
    </w:p>
  </w:footnote>
  <w:footnote w:id="88">
    <w:p w:rsidR="002F3F3B" w:rsidRPr="004F04B7" w:rsidRDefault="002F3F3B" w:rsidP="002F3F3B">
      <w:pPr>
        <w:pStyle w:val="FootnoteText"/>
      </w:pPr>
      <w:r w:rsidRPr="004F04B7">
        <w:rPr>
          <w:rStyle w:val="FootnoteReference"/>
        </w:rPr>
        <w:footnoteRef/>
      </w:r>
      <w:r w:rsidRPr="004F04B7">
        <w:t xml:space="preserve"> Joint Statement at 3-4, Stipulated Facts, No. 11; Answer Legal Analysis at 12, n.36; Reply Legal Analysis at 19, n.14.</w:t>
      </w:r>
    </w:p>
  </w:footnote>
  <w:footnote w:id="89">
    <w:p w:rsidR="002F3F3B" w:rsidRPr="00811E95" w:rsidRDefault="002F3F3B" w:rsidP="002F3F3B">
      <w:pPr>
        <w:pStyle w:val="FootnoteText"/>
        <w:rPr>
          <w:b/>
        </w:rPr>
      </w:pPr>
      <w:r>
        <w:rPr>
          <w:rStyle w:val="FootnoteReference"/>
        </w:rPr>
        <w:footnoteRef/>
      </w:r>
      <w:r>
        <w:t xml:space="preserve"> </w:t>
      </w:r>
      <w:r w:rsidRPr="00607B4E">
        <w:rPr>
          <w:i/>
        </w:rPr>
        <w:t>See</w:t>
      </w:r>
      <w:r w:rsidRPr="00607B4E">
        <w:t xml:space="preserve"> </w:t>
      </w:r>
      <w:r w:rsidRPr="00607B4E">
        <w:rPr>
          <w:i/>
        </w:rPr>
        <w:t>Halprin, Temple, Goodman &amp; Sugrue v. MCI Telecommunications Corporation</w:t>
      </w:r>
      <w:r w:rsidRPr="00607B4E">
        <w:t>, Order on Reconsideration, 14 FCC Rcd 21092, 21100, n.50</w:t>
      </w:r>
      <w:r>
        <w:t xml:space="preserve"> (1999)</w:t>
      </w:r>
      <w:r w:rsidRPr="00607B4E">
        <w:t xml:space="preserve"> (“[I]t is well established that any ambiguity in a tariff is interpreted against the party filing the tariff.”).  </w:t>
      </w:r>
    </w:p>
  </w:footnote>
  <w:footnote w:id="90">
    <w:p w:rsidR="00D97AE3" w:rsidRPr="004F04B7" w:rsidRDefault="00D97AE3" w:rsidP="00611DF2">
      <w:pPr>
        <w:pStyle w:val="FootnoteText"/>
        <w:rPr>
          <w:b/>
        </w:rPr>
      </w:pPr>
      <w:r w:rsidRPr="004F04B7">
        <w:rPr>
          <w:rStyle w:val="FootnoteReference"/>
        </w:rPr>
        <w:footnoteRef/>
      </w:r>
      <w:r>
        <w:t xml:space="preserve"> </w:t>
      </w:r>
      <w:r w:rsidRPr="004F04B7">
        <w:t>47 C.F.R. § 61.26(f).</w:t>
      </w:r>
    </w:p>
  </w:footnote>
  <w:footnote w:id="91">
    <w:p w:rsidR="00D97AE3" w:rsidRPr="004F04B7" w:rsidRDefault="00D97AE3" w:rsidP="0047782A">
      <w:pPr>
        <w:pStyle w:val="FootnoteText"/>
      </w:pPr>
      <w:r w:rsidRPr="004F04B7">
        <w:rPr>
          <w:rStyle w:val="FootnoteReference"/>
        </w:rPr>
        <w:footnoteRef/>
      </w:r>
      <w:r w:rsidRPr="004F04B7">
        <w:t xml:space="preserve"> 47 C.F.R. § 61.26(a)(2).  </w:t>
      </w:r>
    </w:p>
  </w:footnote>
  <w:footnote w:id="92">
    <w:p w:rsidR="006C5C3D" w:rsidRDefault="006C5C3D">
      <w:pPr>
        <w:pStyle w:val="FootnoteText"/>
      </w:pPr>
      <w:r>
        <w:rPr>
          <w:rStyle w:val="FootnoteReference"/>
        </w:rPr>
        <w:footnoteRef/>
      </w:r>
      <w:r>
        <w:t xml:space="preserve"> Answer Legal Analysis at 27, n.88; Joint Statement at 22, Disputed GLC and WTC Facts.</w:t>
      </w:r>
    </w:p>
  </w:footnote>
  <w:footnote w:id="93">
    <w:p w:rsidR="008B2EE2" w:rsidRDefault="008B2EE2">
      <w:pPr>
        <w:pStyle w:val="FootnoteText"/>
      </w:pPr>
      <w:r>
        <w:rPr>
          <w:rStyle w:val="FootnoteReference"/>
        </w:rPr>
        <w:footnoteRef/>
      </w:r>
      <w:r>
        <w:t xml:space="preserve"> </w:t>
      </w:r>
      <w:r w:rsidR="00AC5955">
        <w:t>Complaint Exhibit 6, NECA Tariff F.C.C. No. 5 (4</w:t>
      </w:r>
      <w:r w:rsidR="00AC5955" w:rsidRPr="00AC5955">
        <w:rPr>
          <w:vertAlign w:val="superscript"/>
        </w:rPr>
        <w:t>th</w:t>
      </w:r>
      <w:r w:rsidR="00AC5955">
        <w:t xml:space="preserve"> Revised Title Page 1).</w:t>
      </w:r>
    </w:p>
  </w:footnote>
  <w:footnote w:id="94">
    <w:p w:rsidR="007F4A4F" w:rsidRDefault="007F4A4F">
      <w:pPr>
        <w:pStyle w:val="FootnoteText"/>
      </w:pPr>
      <w:r>
        <w:rPr>
          <w:rStyle w:val="FootnoteReference"/>
        </w:rPr>
        <w:footnoteRef/>
      </w:r>
      <w:r>
        <w:t xml:space="preserve"> Joint Statement at 22, Disputed AT&amp;T Facts.</w:t>
      </w:r>
    </w:p>
  </w:footnote>
  <w:footnote w:id="95">
    <w:p w:rsidR="00F82346" w:rsidRPr="004F04B7" w:rsidRDefault="00F82346" w:rsidP="00F82346">
      <w:pPr>
        <w:pStyle w:val="FootnoteText"/>
      </w:pPr>
      <w:r w:rsidRPr="004F04B7">
        <w:rPr>
          <w:rStyle w:val="FootnoteReference"/>
        </w:rPr>
        <w:footnoteRef/>
      </w:r>
      <w:r w:rsidRPr="004F04B7">
        <w:t xml:space="preserve"> Joint Statement at 14-16, Stipulated Facts, Nos. 82, 89, 94.</w:t>
      </w:r>
    </w:p>
  </w:footnote>
  <w:footnote w:id="96">
    <w:p w:rsidR="00F82346" w:rsidRPr="004F04B7" w:rsidRDefault="00F82346" w:rsidP="00F82346">
      <w:pPr>
        <w:pStyle w:val="FootnoteText"/>
        <w:rPr>
          <w:b/>
        </w:rPr>
      </w:pPr>
      <w:r w:rsidRPr="004F04B7">
        <w:rPr>
          <w:rStyle w:val="FootnoteReference"/>
        </w:rPr>
        <w:footnoteRef/>
      </w:r>
      <w:r w:rsidRPr="004F04B7">
        <w:t xml:space="preserve"> Joint Statement at 13, Stipulated Facts, </w:t>
      </w:r>
      <w:r>
        <w:t>No. 76.</w:t>
      </w:r>
    </w:p>
  </w:footnote>
  <w:footnote w:id="97">
    <w:p w:rsidR="0019522B" w:rsidRPr="004F04B7" w:rsidRDefault="0019522B" w:rsidP="0019522B">
      <w:pPr>
        <w:pStyle w:val="FootnoteText"/>
      </w:pPr>
      <w:r w:rsidRPr="004F04B7">
        <w:rPr>
          <w:rStyle w:val="FootnoteReference"/>
        </w:rPr>
        <w:footnoteRef/>
      </w:r>
      <w:r w:rsidRPr="004F04B7">
        <w:t xml:space="preserve"> 47 C.F.R. § 61.26(a)(6) (“Rural CLEC shall mean a CLEC that does not serve (i.e., terminate traffic to or originate traffic from) any end users located within either … (i) Any incorporated place of 50,000 inhabitants or more, based on the most recently available population statistics of the Census Bureau or (ii) An urbanized area, as defined by the Census Bureau.”).</w:t>
      </w:r>
      <w:r>
        <w:t xml:space="preserve">  </w:t>
      </w:r>
      <w:r>
        <w:rPr>
          <w:snapToGrid w:val="0"/>
        </w:rPr>
        <w:t>GLC argues that</w:t>
      </w:r>
      <w:r w:rsidR="004F79EA">
        <w:rPr>
          <w:snapToGrid w:val="0"/>
        </w:rPr>
        <w:t>,</w:t>
      </w:r>
      <w:r>
        <w:rPr>
          <w:snapToGrid w:val="0"/>
        </w:rPr>
        <w:t xml:space="preserve"> although it serves no end users directly, it nonetheless qualifies for the rural exemption.  Answer Legal Analysis at 24-26.  But the rural exemption does not apply to carriers that serve no end users whatsoever.  It applies to carriers that serve no end users in urban areas.  In other words, carriers entitled to the exemption must serve rural end users, and only rural end users.  </w:t>
      </w:r>
      <w:r>
        <w:rPr>
          <w:i/>
          <w:snapToGrid w:val="0"/>
        </w:rPr>
        <w:t xml:space="preserve">See </w:t>
      </w:r>
      <w:r>
        <w:rPr>
          <w:snapToGrid w:val="0"/>
        </w:rPr>
        <w:t>47 C.F.R. § 61.26(a)(6);</w:t>
      </w:r>
      <w:r>
        <w:rPr>
          <w:i/>
          <w:snapToGrid w:val="0"/>
        </w:rPr>
        <w:t xml:space="preserve"> CLEC Access Reform Order</w:t>
      </w:r>
      <w:r>
        <w:rPr>
          <w:snapToGrid w:val="0"/>
        </w:rPr>
        <w:t>, 16 FCC Rcd at 9951, para. 67 (“It is true that an exemption scheme will permit rural CLECs to charge IXCs more for access to their end-user customers than was charged by the non-rural ILECs from whom the CLECs captured their customers . . . .”).</w:t>
      </w:r>
    </w:p>
  </w:footnote>
  <w:footnote w:id="98">
    <w:p w:rsidR="00147D78" w:rsidRDefault="00147D78">
      <w:pPr>
        <w:pStyle w:val="FootnoteText"/>
      </w:pPr>
      <w:r>
        <w:rPr>
          <w:rStyle w:val="FootnoteReference"/>
        </w:rPr>
        <w:footnoteRef/>
      </w:r>
      <w:r>
        <w:t xml:space="preserve"> </w:t>
      </w:r>
      <w:r>
        <w:rPr>
          <w:i/>
        </w:rPr>
        <w:t xml:space="preserve">See </w:t>
      </w:r>
      <w:r>
        <w:t>47 C.F.R. § 61.26(e).</w:t>
      </w:r>
    </w:p>
  </w:footnote>
  <w:footnote w:id="99">
    <w:p w:rsidR="0019522B" w:rsidRPr="004F04B7" w:rsidRDefault="0019522B" w:rsidP="0019522B">
      <w:pPr>
        <w:pStyle w:val="FootnoteText"/>
      </w:pPr>
      <w:r w:rsidRPr="004F04B7">
        <w:rPr>
          <w:rStyle w:val="FootnoteReference"/>
        </w:rPr>
        <w:footnoteRef/>
      </w:r>
      <w:r w:rsidRPr="004F04B7">
        <w:t xml:space="preserve"> Answer Legal Analysis at 24-28.</w:t>
      </w:r>
    </w:p>
  </w:footnote>
  <w:footnote w:id="100">
    <w:p w:rsidR="0019522B" w:rsidRPr="004F04B7" w:rsidRDefault="0019522B" w:rsidP="0019522B">
      <w:pPr>
        <w:pStyle w:val="FootnoteText"/>
      </w:pPr>
      <w:r w:rsidRPr="004F04B7">
        <w:rPr>
          <w:rStyle w:val="FootnoteReference"/>
        </w:rPr>
        <w:footnoteRef/>
      </w:r>
      <w:r w:rsidRPr="004F04B7">
        <w:t xml:space="preserve"> </w:t>
      </w:r>
      <w:r w:rsidRPr="004F04B7">
        <w:rPr>
          <w:i/>
        </w:rPr>
        <w:t>See</w:t>
      </w:r>
      <w:r w:rsidRPr="004F04B7">
        <w:t xml:space="preserve"> </w:t>
      </w:r>
      <w:r w:rsidRPr="004F04B7">
        <w:rPr>
          <w:i/>
          <w:iCs/>
        </w:rPr>
        <w:t>CLEC Access Reform Reconsideration Order</w:t>
      </w:r>
      <w:r w:rsidRPr="00B54878">
        <w:t>,</w:t>
      </w:r>
      <w:r w:rsidRPr="004F04B7">
        <w:rPr>
          <w:i/>
        </w:rPr>
        <w:t xml:space="preserve"> </w:t>
      </w:r>
      <w:r w:rsidRPr="004F04B7">
        <w:t xml:space="preserve">19 FCC Rcd at 9124, para. 33 (“The [rural] exemption is not available . . . if any portion of the competitive LEC’s service area falls within a non-rural area.”).  </w:t>
      </w:r>
    </w:p>
  </w:footnote>
  <w:footnote w:id="101">
    <w:p w:rsidR="0019522B" w:rsidRPr="004F04B7" w:rsidRDefault="0019522B" w:rsidP="0019522B">
      <w:pPr>
        <w:pStyle w:val="FootnoteText"/>
      </w:pPr>
      <w:r w:rsidRPr="004F04B7">
        <w:rPr>
          <w:rStyle w:val="FootnoteReference"/>
        </w:rPr>
        <w:footnoteRef/>
      </w:r>
      <w:r w:rsidRPr="004F04B7">
        <w:t xml:space="preserve"> </w:t>
      </w:r>
      <w:r>
        <w:t>GLC stipulates that it has transport facilities in urban areas, including Chicago, Illinois.  Joint Statement at 4, Stipulated Fact Nos. 17-18; Complaint at 40, para. 111</w:t>
      </w:r>
      <w:r w:rsidR="00EE4781">
        <w:t>;</w:t>
      </w:r>
      <w:r>
        <w:t xml:space="preserve"> Answer at 52, para. 111.  </w:t>
      </w:r>
      <w:r w:rsidRPr="004F04B7">
        <w:rPr>
          <w:i/>
        </w:rPr>
        <w:t>See</w:t>
      </w:r>
      <w:r w:rsidRPr="004F04B7">
        <w:t xml:space="preserve"> </w:t>
      </w:r>
      <w:r>
        <w:t xml:space="preserve">Answer Exhibit 6, </w:t>
      </w:r>
      <w:r w:rsidRPr="004F04B7">
        <w:t>GLC Tariff, FCC No. 20, § 6.4.</w:t>
      </w:r>
      <w:r>
        <w:t xml:space="preserve">  Moreover, </w:t>
      </w:r>
      <w:r w:rsidRPr="004F04B7">
        <w:t xml:space="preserve">the 8YY wireless traffic, by its very nature, originates from locations throughout the country, including locations that are “urban” under the </w:t>
      </w:r>
      <w:r>
        <w:t>R</w:t>
      </w:r>
      <w:r w:rsidRPr="004F04B7">
        <w:t>ule.</w:t>
      </w:r>
      <w:r>
        <w:t xml:space="preserve">  </w:t>
      </w:r>
    </w:p>
  </w:footnote>
  <w:footnote w:id="102">
    <w:p w:rsidR="00D97AE3" w:rsidRPr="00C21A55" w:rsidRDefault="00D97AE3">
      <w:pPr>
        <w:pStyle w:val="FootnoteText"/>
        <w:rPr>
          <w:b/>
        </w:rPr>
      </w:pPr>
      <w:r w:rsidRPr="004F04B7">
        <w:rPr>
          <w:rStyle w:val="FootnoteReference"/>
        </w:rPr>
        <w:footnoteRef/>
      </w:r>
      <w:r w:rsidRPr="004F04B7">
        <w:t xml:space="preserve"> </w:t>
      </w:r>
      <w:r w:rsidRPr="004F04B7">
        <w:rPr>
          <w:i/>
        </w:rPr>
        <w:t>See Policy and Rules Concerning Rates for Competitive Common Carrier Services and Facilities Authorizations Therefor</w:t>
      </w:r>
      <w:r w:rsidRPr="00B54878">
        <w:t>,</w:t>
      </w:r>
      <w:r w:rsidRPr="004F04B7">
        <w:rPr>
          <w:i/>
        </w:rPr>
        <w:t xml:space="preserve"> </w:t>
      </w:r>
      <w:r w:rsidRPr="004F04B7">
        <w:t>First Report and Order, 85 FCC 2d 1</w:t>
      </w:r>
      <w:r>
        <w:t>, 33, para. 94</w:t>
      </w:r>
      <w:r w:rsidRPr="004F04B7">
        <w:t xml:space="preserve"> (1980)</w:t>
      </w:r>
      <w:r w:rsidRPr="00C21A55">
        <w:t>.</w:t>
      </w:r>
    </w:p>
  </w:footnote>
  <w:footnote w:id="103">
    <w:p w:rsidR="00D97AE3" w:rsidRPr="004F04B7" w:rsidRDefault="00D97AE3">
      <w:pPr>
        <w:pStyle w:val="FootnoteText"/>
      </w:pPr>
      <w:r w:rsidRPr="004F04B7">
        <w:rPr>
          <w:rStyle w:val="FootnoteReference"/>
        </w:rPr>
        <w:footnoteRef/>
      </w:r>
      <w:r w:rsidRPr="004F04B7">
        <w:t xml:space="preserve"> </w:t>
      </w:r>
      <w:r w:rsidRPr="004F04B7">
        <w:rPr>
          <w:i/>
          <w:iCs/>
        </w:rPr>
        <w:t>See Global NAPS, Inc. v. FCC</w:t>
      </w:r>
      <w:r w:rsidRPr="004F04B7">
        <w:t xml:space="preserve">, 247 F.3d 252, 259-60 (D.C. Cir. 2001) (“Merely because a tariff is presumed lawful upon filing does not mean that it is lawful”; rather, “[s]uch tariffs still must comply with the applicable statutory and regulatory requirements” and “[t]hose that do not may be declared invalid.”); </w:t>
      </w:r>
      <w:r w:rsidRPr="004F04B7">
        <w:rPr>
          <w:i/>
          <w:iCs/>
        </w:rPr>
        <w:t>In the Matter of GS Texas Ventures, LLC Tariff F.C.C. No. 1</w:t>
      </w:r>
      <w:r w:rsidRPr="004F04B7">
        <w:t>, Order, 29 FCC Rcd 10541, 10543 (WCB/PPD rel. Sept. 8, 2014) (</w:t>
      </w:r>
      <w:r w:rsidRPr="004F04B7">
        <w:rPr>
          <w:i/>
        </w:rPr>
        <w:t>Texas Ventures Tariff Order</w:t>
      </w:r>
      <w:r w:rsidRPr="004F04B7">
        <w:t>) at 10543, n.19</w:t>
      </w:r>
      <w:r>
        <w:t xml:space="preserve"> (“Tariffs that are lawful at the time they are filed may subsequently become unlawful based on particular circumstances”)</w:t>
      </w:r>
      <w:r w:rsidRPr="004F04B7">
        <w:t>.</w:t>
      </w:r>
    </w:p>
  </w:footnote>
  <w:footnote w:id="104">
    <w:p w:rsidR="00D97AE3" w:rsidRPr="004F04B7" w:rsidRDefault="00D97AE3">
      <w:pPr>
        <w:pStyle w:val="FootnoteText"/>
      </w:pPr>
      <w:r w:rsidRPr="004F04B7">
        <w:rPr>
          <w:rStyle w:val="FootnoteReference"/>
        </w:rPr>
        <w:footnoteRef/>
      </w:r>
      <w:r w:rsidRPr="004F04B7">
        <w:t xml:space="preserve"> </w:t>
      </w:r>
      <w:r w:rsidRPr="004F04B7">
        <w:rPr>
          <w:i/>
          <w:iCs/>
        </w:rPr>
        <w:t xml:space="preserve">CLEC Access </w:t>
      </w:r>
      <w:r>
        <w:rPr>
          <w:i/>
          <w:iCs/>
        </w:rPr>
        <w:t>Reform</w:t>
      </w:r>
      <w:r w:rsidRPr="004F04B7">
        <w:rPr>
          <w:i/>
          <w:iCs/>
        </w:rPr>
        <w:t xml:space="preserve"> Order</w:t>
      </w:r>
      <w:r w:rsidRPr="004F04B7">
        <w:t xml:space="preserve">, 16 FCC Rcd at 9956, para. 82 (“[A] CLEC must negotiate with an IXC to reach a contractual agreement before it can charge that IXC access rates above the benchmark. . . . we adopt mandatory detariffing for access rates in excess of the benchmark.”  47 C.F.R. § 61.26(b)(1) (“a CLEC shall not file a tariff for its interstate switched exchange access services that prices those services </w:t>
      </w:r>
      <w:r>
        <w:t>. . .</w:t>
      </w:r>
      <w:r w:rsidRPr="004F04B7">
        <w:t xml:space="preserve"> higher [than t]he rate charged for such services by the competing ILEC”).</w:t>
      </w:r>
    </w:p>
  </w:footnote>
  <w:footnote w:id="105">
    <w:p w:rsidR="00D97AE3" w:rsidRPr="004F04B7" w:rsidRDefault="00D97AE3" w:rsidP="0022318D">
      <w:pPr>
        <w:pStyle w:val="FootnoteText"/>
      </w:pPr>
      <w:r w:rsidRPr="004F04B7">
        <w:rPr>
          <w:rStyle w:val="FootnoteReference"/>
        </w:rPr>
        <w:footnoteRef/>
      </w:r>
      <w:r w:rsidR="000E7610">
        <w:t xml:space="preserve"> </w:t>
      </w:r>
      <w:r w:rsidR="006A0824" w:rsidRPr="0022318D">
        <w:rPr>
          <w:i/>
        </w:rPr>
        <w:t>See supra</w:t>
      </w:r>
      <w:r w:rsidR="006A0824">
        <w:t xml:space="preserve"> note</w:t>
      </w:r>
      <w:r w:rsidR="00B525B6">
        <w:t xml:space="preserve"> </w:t>
      </w:r>
      <w:r w:rsidR="00B525B6">
        <w:fldChar w:fldCharType="begin"/>
      </w:r>
      <w:r w:rsidR="00B525B6">
        <w:instrText xml:space="preserve"> NOTEREF _Ref409510494 \h </w:instrText>
      </w:r>
      <w:r w:rsidR="0022318D">
        <w:instrText xml:space="preserve"> \* MERGEFORMAT </w:instrText>
      </w:r>
      <w:r w:rsidR="00B525B6">
        <w:fldChar w:fldCharType="separate"/>
      </w:r>
      <w:r w:rsidR="00B525B6">
        <w:t>99</w:t>
      </w:r>
      <w:r w:rsidR="00B525B6">
        <w:fldChar w:fldCharType="end"/>
      </w:r>
      <w:r w:rsidR="006A0824">
        <w:t>.</w:t>
      </w:r>
    </w:p>
  </w:footnote>
  <w:footnote w:id="106">
    <w:p w:rsidR="00D97AE3" w:rsidRPr="00686D91" w:rsidRDefault="00D97AE3" w:rsidP="0086448B">
      <w:pPr>
        <w:pStyle w:val="FootnoteText"/>
        <w:rPr>
          <w:b/>
        </w:rPr>
      </w:pPr>
      <w:r w:rsidRPr="004F04B7">
        <w:rPr>
          <w:rStyle w:val="FootnoteReference"/>
        </w:rPr>
        <w:footnoteRef/>
      </w:r>
      <w:r>
        <w:t xml:space="preserve"> This applies to</w:t>
      </w:r>
      <w:r w:rsidRPr="004F04B7">
        <w:t xml:space="preserve"> all of GLC’s charges to AT&amp;T, including but not limited to the 8YY and non-8YY traffic</w:t>
      </w:r>
      <w:r w:rsidR="00711816">
        <w:t>.</w:t>
      </w:r>
    </w:p>
  </w:footnote>
  <w:footnote w:id="107">
    <w:p w:rsidR="00D97AE3" w:rsidRDefault="00D97AE3">
      <w:pPr>
        <w:pStyle w:val="FootnoteText"/>
      </w:pPr>
      <w:r>
        <w:rPr>
          <w:rStyle w:val="FootnoteReference"/>
        </w:rPr>
        <w:footnoteRef/>
      </w:r>
      <w:r>
        <w:t xml:space="preserve"> That “GLC’s rates in its tariff cross-reference the deemed lawful NECA tariff rates” (Answer Legal Analysis at 75) is immaterial, because GLC violated the benchmark rule by not benchmarking to AT&amp;T Michigan.  </w:t>
      </w:r>
    </w:p>
  </w:footnote>
  <w:footnote w:id="108">
    <w:p w:rsidR="00D97AE3" w:rsidRDefault="00D97AE3" w:rsidP="007E42A3">
      <w:pPr>
        <w:pStyle w:val="FootnoteText"/>
      </w:pPr>
      <w:r>
        <w:rPr>
          <w:rStyle w:val="FootnoteReference"/>
        </w:rPr>
        <w:footnoteRef/>
      </w:r>
      <w:r>
        <w:t xml:space="preserve"> Complaint at 43-49, paras. 119-36, 59-60, paras. 177-84.</w:t>
      </w:r>
    </w:p>
  </w:footnote>
  <w:footnote w:id="109">
    <w:p w:rsidR="00D97AE3" w:rsidRPr="0068506D" w:rsidRDefault="00D97AE3" w:rsidP="007E42A3">
      <w:pPr>
        <w:pStyle w:val="FootnoteText"/>
      </w:pPr>
      <w:r>
        <w:rPr>
          <w:rStyle w:val="FootnoteReference"/>
        </w:rPr>
        <w:footnoteRef/>
      </w:r>
      <w:r>
        <w:t xml:space="preserve"> Complaint at 45-46, paras.</w:t>
      </w:r>
      <w:r w:rsidRPr="00EC1462">
        <w:t xml:space="preserve"> 121, 124-26</w:t>
      </w:r>
      <w:r>
        <w:t xml:space="preserve">.  </w:t>
      </w:r>
      <w:r>
        <w:rPr>
          <w:i/>
        </w:rPr>
        <w:t>See</w:t>
      </w:r>
      <w:r>
        <w:t xml:space="preserve"> 47 C.F.R. § 61.3(bbb)(1)(ii).</w:t>
      </w:r>
    </w:p>
  </w:footnote>
  <w:footnote w:id="110">
    <w:p w:rsidR="00D97AE3" w:rsidRPr="00291F70" w:rsidRDefault="00D97AE3" w:rsidP="007E42A3">
      <w:pPr>
        <w:pStyle w:val="FootnoteText"/>
      </w:pPr>
      <w:r>
        <w:rPr>
          <w:rStyle w:val="FootnoteReference"/>
        </w:rPr>
        <w:footnoteRef/>
      </w:r>
      <w:r>
        <w:t xml:space="preserve"> Complaint at 44-47, paras. </w:t>
      </w:r>
      <w:r w:rsidRPr="00EC1462">
        <w:t>122-23, 127- 29 &amp; n.81</w:t>
      </w:r>
      <w:r w:rsidR="00873AA6">
        <w:t xml:space="preserve">; </w:t>
      </w:r>
      <w:r>
        <w:t>Joint Statement at 19, Stipulated Facts, No. 114-17.</w:t>
      </w:r>
      <w:r w:rsidRPr="00611DF2">
        <w:t xml:space="preserve">  See</w:t>
      </w:r>
      <w:r>
        <w:t xml:space="preserve"> 47 C.F.R. § 61.3(bbb)(1)(i).</w:t>
      </w:r>
    </w:p>
  </w:footnote>
  <w:footnote w:id="111">
    <w:p w:rsidR="00D97AE3" w:rsidRDefault="00D97AE3" w:rsidP="007E42A3">
      <w:pPr>
        <w:pStyle w:val="FootnoteText"/>
      </w:pPr>
      <w:r>
        <w:rPr>
          <w:rStyle w:val="FootnoteReference"/>
        </w:rPr>
        <w:footnoteRef/>
      </w:r>
      <w:r>
        <w:t xml:space="preserve"> Complaint at 12, para. 30.  </w:t>
      </w:r>
      <w:r>
        <w:rPr>
          <w:i/>
        </w:rPr>
        <w:t>See</w:t>
      </w:r>
      <w:r>
        <w:t xml:space="preserve"> Response of AT&amp;T Services Inc. and AT&amp;T Corp. to Defendants’ Motion for Third Party Discovery, File No. EB-14-MD-013 (filed Nov. 1, 2014) at 2-4, paras. 5, 8 (characterizing as “unnecessary” Defendants’ request for third-party discovery aimed at establishing that WTC never entered into its own revenue sharing agreement).</w:t>
      </w:r>
    </w:p>
  </w:footnote>
  <w:footnote w:id="112">
    <w:p w:rsidR="009507EC" w:rsidRPr="00BF03B9" w:rsidRDefault="009507EC">
      <w:pPr>
        <w:pStyle w:val="FootnoteText"/>
      </w:pPr>
      <w:r>
        <w:rPr>
          <w:rStyle w:val="FootnoteReference"/>
        </w:rPr>
        <w:footnoteRef/>
      </w:r>
      <w:r w:rsidR="00BF03B9">
        <w:t xml:space="preserve"> </w:t>
      </w:r>
      <w:r w:rsidR="00BF03B9">
        <w:rPr>
          <w:i/>
        </w:rPr>
        <w:t>See supra</w:t>
      </w:r>
      <w:r w:rsidR="00BF03B9">
        <w:t xml:space="preserve"> paragraph </w:t>
      </w:r>
      <w:r w:rsidR="00BF03B9">
        <w:fldChar w:fldCharType="begin"/>
      </w:r>
      <w:r w:rsidR="00BF03B9">
        <w:instrText xml:space="preserve"> REF _Ref409517413 \r \h </w:instrText>
      </w:r>
      <w:r w:rsidR="00BF03B9">
        <w:fldChar w:fldCharType="separate"/>
      </w:r>
      <w:r w:rsidR="00A55CB3">
        <w:t>27</w:t>
      </w:r>
      <w:r w:rsidR="00BF03B9">
        <w:fldChar w:fldCharType="end"/>
      </w:r>
      <w:r w:rsidR="00BF03B9">
        <w:t>.</w:t>
      </w:r>
    </w:p>
  </w:footnote>
  <w:footnote w:id="113">
    <w:p w:rsidR="00750606" w:rsidRDefault="00750606">
      <w:pPr>
        <w:pStyle w:val="FootnoteText"/>
      </w:pPr>
      <w:r>
        <w:rPr>
          <w:rStyle w:val="FootnoteReference"/>
        </w:rPr>
        <w:footnoteRef/>
      </w:r>
      <w:r>
        <w:t xml:space="preserve"> Accordingly, </w:t>
      </w:r>
      <w:r w:rsidRPr="00F05D86">
        <w:t xml:space="preserve">there is no </w:t>
      </w:r>
      <w:r w:rsidRPr="00814398">
        <w:rPr>
          <w:szCs w:val="22"/>
        </w:rPr>
        <w:t xml:space="preserve">basis to find against WTC on a theory of joint liability. </w:t>
      </w:r>
    </w:p>
  </w:footnote>
  <w:footnote w:id="114">
    <w:p w:rsidR="00D97AE3" w:rsidRPr="004F04B7" w:rsidRDefault="00D97AE3" w:rsidP="00E11E87">
      <w:pPr>
        <w:pStyle w:val="FootnoteText"/>
      </w:pPr>
      <w:r w:rsidRPr="004F04B7">
        <w:rPr>
          <w:rStyle w:val="FootnoteReference"/>
        </w:rPr>
        <w:footnoteRef/>
      </w:r>
      <w:r w:rsidRPr="004F04B7">
        <w:t xml:space="preserve"> Complaint at 49, para. 137, 60-61, paras. 185-91.  </w:t>
      </w:r>
    </w:p>
  </w:footnote>
  <w:footnote w:id="115">
    <w:p w:rsidR="00D97AE3" w:rsidRPr="004F04B7" w:rsidRDefault="00D97AE3" w:rsidP="00E11E87">
      <w:pPr>
        <w:pStyle w:val="FootnoteText"/>
      </w:pPr>
      <w:r w:rsidRPr="004F04B7">
        <w:rPr>
          <w:rStyle w:val="FootnoteReference"/>
        </w:rPr>
        <w:footnoteRef/>
      </w:r>
      <w:r w:rsidRPr="004F04B7">
        <w:t xml:space="preserve"> Complaint at 53, para. 154, 62, paras. 192-97.  </w:t>
      </w:r>
    </w:p>
  </w:footnote>
  <w:footnote w:id="116">
    <w:p w:rsidR="0091006D" w:rsidRDefault="0091006D" w:rsidP="0091006D">
      <w:pPr>
        <w:pStyle w:val="FootnoteText"/>
      </w:pPr>
      <w:r>
        <w:rPr>
          <w:rStyle w:val="FootnoteReference"/>
        </w:rPr>
        <w:footnoteRef/>
      </w:r>
      <w:r>
        <w:t xml:space="preserve"> Joint Statement at 11-12, Stipulated Facts, Nos. </w:t>
      </w:r>
      <w:r>
        <w:rPr>
          <w:szCs w:val="22"/>
        </w:rPr>
        <w:t>65-72.</w:t>
      </w:r>
    </w:p>
  </w:footnote>
  <w:footnote w:id="117">
    <w:p w:rsidR="006F1960" w:rsidRPr="00BF03B9" w:rsidRDefault="006F1960" w:rsidP="006F1960">
      <w:pPr>
        <w:pStyle w:val="FootnoteText"/>
      </w:pPr>
      <w:r>
        <w:rPr>
          <w:rStyle w:val="FootnoteReference"/>
        </w:rPr>
        <w:footnoteRef/>
      </w:r>
      <w:r>
        <w:t xml:space="preserve"> </w:t>
      </w:r>
      <w:r>
        <w:rPr>
          <w:i/>
        </w:rPr>
        <w:t>See supra</w:t>
      </w:r>
      <w:r>
        <w:t xml:space="preserve"> paragraph </w:t>
      </w:r>
      <w:r>
        <w:fldChar w:fldCharType="begin"/>
      </w:r>
      <w:r>
        <w:instrText xml:space="preserve"> REF _Ref409517413 \r \h </w:instrText>
      </w:r>
      <w:r>
        <w:fldChar w:fldCharType="separate"/>
      </w:r>
      <w:r w:rsidR="00A55CB3">
        <w:t>27</w:t>
      </w:r>
      <w:r>
        <w:fldChar w:fldCharType="end"/>
      </w:r>
      <w:r>
        <w:t>.</w:t>
      </w:r>
    </w:p>
  </w:footnote>
  <w:footnote w:id="118">
    <w:p w:rsidR="00525D4C" w:rsidRPr="00C21A55" w:rsidRDefault="00525D4C" w:rsidP="00525D4C">
      <w:pPr>
        <w:pStyle w:val="FootnoteText"/>
        <w:rPr>
          <w:b/>
          <w:color w:val="C00000"/>
        </w:rPr>
      </w:pPr>
      <w:r w:rsidRPr="004F04B7">
        <w:rPr>
          <w:rStyle w:val="FootnoteReference"/>
        </w:rPr>
        <w:footnoteRef/>
      </w:r>
      <w:r w:rsidRPr="004F04B7">
        <w:t xml:space="preserve"> Answer at 90, Affirmative Defenses Nos. 1, </w:t>
      </w:r>
      <w:r>
        <w:t xml:space="preserve">3, </w:t>
      </w:r>
      <w:r w:rsidRPr="004F04B7">
        <w:t xml:space="preserve">5; Answer Legal Analysis at 54, </w:t>
      </w:r>
      <w:r>
        <w:t xml:space="preserve">57-59, </w:t>
      </w:r>
      <w:r w:rsidRPr="004F04B7">
        <w:t>64-65.</w:t>
      </w:r>
      <w:r>
        <w:t xml:space="preserve">  </w:t>
      </w:r>
    </w:p>
  </w:footnote>
  <w:footnote w:id="119">
    <w:p w:rsidR="00525D4C" w:rsidRPr="004F04B7" w:rsidRDefault="00525D4C" w:rsidP="00525D4C">
      <w:pPr>
        <w:pStyle w:val="FootnoteText"/>
      </w:pPr>
      <w:r w:rsidRPr="004F04B7">
        <w:rPr>
          <w:rStyle w:val="FootnoteReference"/>
        </w:rPr>
        <w:footnoteRef/>
      </w:r>
      <w:r w:rsidRPr="004F04B7">
        <w:t xml:space="preserve"> Answer at 90, Affirmative Defense No. 6</w:t>
      </w:r>
      <w:r w:rsidR="00352761">
        <w:t>;</w:t>
      </w:r>
      <w:r w:rsidRPr="004F04B7">
        <w:t xml:space="preserve"> Answer Legal Analysis at 65-68.</w:t>
      </w:r>
    </w:p>
  </w:footnote>
  <w:footnote w:id="120">
    <w:p w:rsidR="00525D4C" w:rsidRPr="004F04B7" w:rsidRDefault="00525D4C" w:rsidP="00525D4C">
      <w:pPr>
        <w:pStyle w:val="FootnoteText"/>
      </w:pPr>
      <w:r w:rsidRPr="004F04B7">
        <w:rPr>
          <w:rStyle w:val="FootnoteReference"/>
        </w:rPr>
        <w:footnoteRef/>
      </w:r>
      <w:r w:rsidRPr="004F04B7">
        <w:t xml:space="preserve"> Answer at 90, Affirmative Defenses Nos. 7, 8; Answer Legal Analysis at 69-75.</w:t>
      </w:r>
    </w:p>
  </w:footnote>
  <w:footnote w:id="121">
    <w:p w:rsidR="004214B1" w:rsidRPr="00EE444B" w:rsidRDefault="004214B1" w:rsidP="004214B1">
      <w:pPr>
        <w:pStyle w:val="FootnoteText"/>
        <w:rPr>
          <w:b/>
        </w:rPr>
      </w:pPr>
      <w:r>
        <w:rPr>
          <w:rStyle w:val="FootnoteReference"/>
        </w:rPr>
        <w:footnoteRef/>
      </w:r>
      <w:r>
        <w:t xml:space="preserve"> </w:t>
      </w:r>
      <w:r w:rsidR="00886066">
        <w:t>Complaint Exhibit 6, NECA Tariff F.C.C. No. 5 (4</w:t>
      </w:r>
      <w:r w:rsidR="00886066" w:rsidRPr="00D53F4E">
        <w:rPr>
          <w:vertAlign w:val="superscript"/>
        </w:rPr>
        <w:t>th</w:t>
      </w:r>
      <w:r w:rsidR="00886066">
        <w:t xml:space="preserve"> Revised Title Page 1) </w:t>
      </w:r>
      <w:r>
        <w:t>(the tariff has the “regulations, rates, and charges” for “the provision of” access services of “the Issuing Carriers”).</w:t>
      </w:r>
      <w:r w:rsidR="00886066">
        <w:t xml:space="preserve"> </w:t>
      </w:r>
    </w:p>
  </w:footnote>
  <w:footnote w:id="122">
    <w:p w:rsidR="004214B1" w:rsidRPr="00A6568C" w:rsidRDefault="004214B1" w:rsidP="004214B1">
      <w:pPr>
        <w:pStyle w:val="FootnoteText"/>
      </w:pPr>
      <w:r>
        <w:rPr>
          <w:rStyle w:val="FootnoteReference"/>
        </w:rPr>
        <w:footnoteRef/>
      </w:r>
      <w:r>
        <w:t xml:space="preserve"> </w:t>
      </w:r>
      <w:r w:rsidRPr="00F028DA">
        <w:rPr>
          <w:i/>
        </w:rPr>
        <w:t>Qwest Commc’ns v. Farmers</w:t>
      </w:r>
      <w:r w:rsidRPr="004F63F7">
        <w:t>,</w:t>
      </w:r>
      <w:r>
        <w:t xml:space="preserve"> Second Order on Reconsideration, 24 FCC Rcd 14801, 14813, n.98 (2009)</w:t>
      </w:r>
      <w:r w:rsidRPr="00A6568C">
        <w:t>.</w:t>
      </w:r>
    </w:p>
  </w:footnote>
  <w:footnote w:id="123">
    <w:p w:rsidR="00DA685E" w:rsidRPr="004F04B7" w:rsidRDefault="00DA685E" w:rsidP="00DA685E">
      <w:pPr>
        <w:pStyle w:val="FootnoteText"/>
      </w:pPr>
      <w:r w:rsidRPr="004F04B7">
        <w:rPr>
          <w:rStyle w:val="FootnoteReference"/>
        </w:rPr>
        <w:footnoteRef/>
      </w:r>
      <w:r w:rsidRPr="004F04B7">
        <w:t xml:space="preserve"> Answer at 90, Affirmative Defenses Nos. 2, 9, 10; Answer Legal Analysis at 54-57, 76-83. </w:t>
      </w:r>
    </w:p>
  </w:footnote>
  <w:footnote w:id="124">
    <w:p w:rsidR="008665C2" w:rsidRPr="00207998" w:rsidRDefault="008665C2" w:rsidP="008665C2">
      <w:pPr>
        <w:pStyle w:val="FootnoteText"/>
        <w:rPr>
          <w:b/>
        </w:rPr>
      </w:pPr>
      <w:r w:rsidRPr="00D83573">
        <w:rPr>
          <w:rStyle w:val="FootnoteReference"/>
        </w:rPr>
        <w:footnoteRef/>
      </w:r>
      <w:r w:rsidRPr="00D83573">
        <w:t xml:space="preserve"> </w:t>
      </w:r>
      <w:r w:rsidRPr="00D83573">
        <w:rPr>
          <w:i/>
        </w:rPr>
        <w:t>See</w:t>
      </w:r>
      <w:r w:rsidRPr="00D83573">
        <w:t xml:space="preserve"> </w:t>
      </w:r>
      <w:r w:rsidRPr="00D83573">
        <w:rPr>
          <w:i/>
        </w:rPr>
        <w:t>Marzec v. Power</w:t>
      </w:r>
      <w:r w:rsidRPr="00D83573">
        <w:t xml:space="preserve">, Order, 15 FCC Rcd 4475, 4480, n.35 (2000) (stating that “the Commission has expressed doubts that the unclean hands defense is available in section 208 proceedings”) (citing </w:t>
      </w:r>
      <w:r w:rsidRPr="00D83573">
        <w:rPr>
          <w:i/>
        </w:rPr>
        <w:t>AT&amp;T Corp. v. Bell Atlantic-Pennsylvania</w:t>
      </w:r>
      <w:r w:rsidRPr="00D83573">
        <w:t>, Memorandum Opinion and Order, 14 FCC Rcd 556, 598 &amp; n.233 (1998))</w:t>
      </w:r>
      <w:r>
        <w:t xml:space="preserve">; </w:t>
      </w:r>
      <w:r w:rsidR="0043146D">
        <w:rPr>
          <w:i/>
        </w:rPr>
        <w:t xml:space="preserve"> </w:t>
      </w:r>
      <w:r w:rsidRPr="00AB06A6">
        <w:rPr>
          <w:i/>
        </w:rPr>
        <w:t>Air Touch Cellular v</w:t>
      </w:r>
      <w:r w:rsidR="0074557F">
        <w:rPr>
          <w:i/>
        </w:rPr>
        <w:t>.</w:t>
      </w:r>
      <w:r w:rsidRPr="00AB06A6">
        <w:rPr>
          <w:i/>
        </w:rPr>
        <w:t xml:space="preserve"> Pacific Bell</w:t>
      </w:r>
      <w:r w:rsidRPr="00AB06A6">
        <w:t xml:space="preserve">, </w:t>
      </w:r>
      <w:r>
        <w:t xml:space="preserve">Memorandum Opinion and Order, </w:t>
      </w:r>
      <w:r w:rsidRPr="00AB06A6">
        <w:t>16 FCC Rcd 13502,</w:t>
      </w:r>
      <w:r>
        <w:t xml:space="preserve"> 13509 (2001) (declining to invoke equitable doctrines of estoppel, laches and waiver </w:t>
      </w:r>
      <w:r w:rsidR="008079B1">
        <w:t>did not bar formal complaint</w:t>
      </w:r>
      <w:r w:rsidR="0074557F">
        <w:t>)</w:t>
      </w:r>
      <w:r w:rsidR="002665C1">
        <w:t xml:space="preserve">; </w:t>
      </w:r>
      <w:r w:rsidR="002665C1" w:rsidRPr="00914655">
        <w:rPr>
          <w:i/>
        </w:rPr>
        <w:t>Paetec Communications, Inc. v. MCI Communications, Inc. d/b/a Verizon Business Services, et al.</w:t>
      </w:r>
      <w:r w:rsidR="002665C1">
        <w:t>, 712 F.Supp.2d 405</w:t>
      </w:r>
      <w:r w:rsidR="00914655">
        <w:t>, 417</w:t>
      </w:r>
      <w:r w:rsidR="002665C1">
        <w:t xml:space="preserve"> (E.D.</w:t>
      </w:r>
      <w:r w:rsidR="004F63F7">
        <w:t xml:space="preserve"> </w:t>
      </w:r>
      <w:r w:rsidR="002665C1">
        <w:t xml:space="preserve">Pa. 2010) </w:t>
      </w:r>
      <w:r w:rsidR="005A4B71">
        <w:t>(“the filed rate doctrine bars equitable relief</w:t>
      </w:r>
      <w:r w:rsidR="003C206C">
        <w:t xml:space="preserve"> </w:t>
      </w:r>
      <w:r w:rsidR="005A4B71">
        <w:t xml:space="preserve">”) </w:t>
      </w:r>
      <w:r w:rsidR="002665C1">
        <w:t xml:space="preserve">(citing </w:t>
      </w:r>
      <w:r w:rsidR="002665C1" w:rsidRPr="00914655">
        <w:rPr>
          <w:i/>
        </w:rPr>
        <w:t>MCI WorldCom Network Services, Inc. v. Paetec Communications , Inc.</w:t>
      </w:r>
      <w:r w:rsidR="002665C1">
        <w:t xml:space="preserve">, 2005 WL 2145499 </w:t>
      </w:r>
      <w:r w:rsidR="0000502D">
        <w:t xml:space="preserve">at *5 </w:t>
      </w:r>
      <w:r w:rsidR="002665C1">
        <w:t>(E.D.</w:t>
      </w:r>
      <w:r w:rsidR="00A11980">
        <w:t xml:space="preserve"> </w:t>
      </w:r>
      <w:r w:rsidR="002665C1">
        <w:t>Va.</w:t>
      </w:r>
      <w:r w:rsidR="00A11980">
        <w:t xml:space="preserve"> 2005</w:t>
      </w:r>
      <w:r w:rsidR="002665C1">
        <w:t>)</w:t>
      </w:r>
      <w:r w:rsidR="005A4B71">
        <w:t>)</w:t>
      </w:r>
      <w:r w:rsidR="002665C1">
        <w:t>.</w:t>
      </w:r>
    </w:p>
  </w:footnote>
  <w:footnote w:id="125">
    <w:p w:rsidR="00231C98" w:rsidRPr="004F04B7" w:rsidRDefault="00231C98" w:rsidP="00231C98">
      <w:pPr>
        <w:pStyle w:val="FootnoteText"/>
      </w:pPr>
      <w:r w:rsidRPr="004F04B7">
        <w:rPr>
          <w:rStyle w:val="FootnoteReference"/>
        </w:rPr>
        <w:footnoteRef/>
      </w:r>
      <w:r w:rsidRPr="004F04B7">
        <w:t xml:space="preserve"> Answer</w:t>
      </w:r>
      <w:r>
        <w:t xml:space="preserve"> at 90, Affirmative Defenses No</w:t>
      </w:r>
      <w:r w:rsidRPr="004F04B7">
        <w:t>. 10; Answer Legal Analysis at 7</w:t>
      </w:r>
      <w:r>
        <w:t>7</w:t>
      </w:r>
      <w:r w:rsidRPr="004F04B7">
        <w:t>-8</w:t>
      </w:r>
      <w:r>
        <w:t>2</w:t>
      </w:r>
      <w:r w:rsidRPr="004F04B7">
        <w:t>.</w:t>
      </w:r>
    </w:p>
  </w:footnote>
  <w:footnote w:id="126">
    <w:p w:rsidR="00D46FAF" w:rsidRDefault="00D46FAF">
      <w:pPr>
        <w:pStyle w:val="FootnoteText"/>
      </w:pPr>
      <w:r>
        <w:rPr>
          <w:rStyle w:val="FootnoteReference"/>
        </w:rPr>
        <w:footnoteRef/>
      </w:r>
      <w:r>
        <w:t xml:space="preserve"> </w:t>
      </w:r>
      <w:r w:rsidR="004F63F7">
        <w:t xml:space="preserve">AT&amp;T did not know that </w:t>
      </w:r>
      <w:r w:rsidR="00661B83">
        <w:t>(1) Defendants bill</w:t>
      </w:r>
      <w:r w:rsidR="004F63F7">
        <w:t>ed</w:t>
      </w:r>
      <w:r w:rsidR="00661B83">
        <w:t xml:space="preserve"> for CLEC access services in a manner that reflected incorrectly that an ILEC was providing them, and (2) WTC bill</w:t>
      </w:r>
      <w:r w:rsidR="004F63F7">
        <w:t>ed</w:t>
      </w:r>
      <w:r w:rsidR="00661B83">
        <w:t xml:space="preserve"> on behalf of LEC-MI end office switching on wireless calls, which had the effect of disguising the nature of the Defendants’ arrangements and charges</w:t>
      </w:r>
      <w:r w:rsidR="004F63F7">
        <w:t xml:space="preserve">.  </w:t>
      </w:r>
      <w:r w:rsidR="003D4542">
        <w:rPr>
          <w:i/>
        </w:rPr>
        <w:t xml:space="preserve">See </w:t>
      </w:r>
      <w:r w:rsidR="005F7E6F">
        <w:t>Joint Statement at 11-13, Stipulated Facts Nos. 63, 68-73.</w:t>
      </w:r>
    </w:p>
  </w:footnote>
  <w:footnote w:id="127">
    <w:p w:rsidR="00231C98" w:rsidRDefault="00231C98" w:rsidP="005F7E6F">
      <w:pPr>
        <w:pStyle w:val="FootnoteText"/>
      </w:pPr>
      <w:r>
        <w:rPr>
          <w:rStyle w:val="FootnoteReference"/>
        </w:rPr>
        <w:footnoteRef/>
      </w:r>
      <w:r>
        <w:t xml:space="preserve"> </w:t>
      </w:r>
      <w:r w:rsidRPr="00A35F2C">
        <w:rPr>
          <w:i/>
        </w:rPr>
        <w:t>See AT&amp;T Corp. v. Business Telecom, Inc.</w:t>
      </w:r>
      <w:r>
        <w:t>, Memorandum Opinion and Order, 16 FCC Rcd. 12312, 12336 (2001) (rejecting estoppel defense as unsupported in a case where Commission found that defendant had been charging unjust and unreasonable access rates).</w:t>
      </w:r>
    </w:p>
  </w:footnote>
  <w:footnote w:id="128">
    <w:p w:rsidR="001E5B15" w:rsidRPr="004F04B7" w:rsidRDefault="001E5B15" w:rsidP="001E5B15">
      <w:pPr>
        <w:pStyle w:val="FootnoteText"/>
      </w:pPr>
      <w:r w:rsidRPr="004F04B7">
        <w:rPr>
          <w:rStyle w:val="FootnoteReference"/>
        </w:rPr>
        <w:footnoteRef/>
      </w:r>
      <w:r w:rsidRPr="004F04B7">
        <w:t xml:space="preserve"> Answer at 90, Affirmative Defense No. 11</w:t>
      </w:r>
      <w:r w:rsidR="00336267">
        <w:t>;</w:t>
      </w:r>
      <w:r w:rsidRPr="004F04B7">
        <w:t xml:space="preserve"> Answer Legal Analysis at 82-83.</w:t>
      </w:r>
    </w:p>
  </w:footnote>
  <w:footnote w:id="129">
    <w:p w:rsidR="001E5B15" w:rsidRPr="005D753D" w:rsidRDefault="001E5B15">
      <w:pPr>
        <w:pStyle w:val="FootnoteText"/>
      </w:pPr>
      <w:r>
        <w:rPr>
          <w:rStyle w:val="FootnoteReference"/>
        </w:rPr>
        <w:footnoteRef/>
      </w:r>
      <w:r>
        <w:t xml:space="preserve"> </w:t>
      </w:r>
      <w:r w:rsidR="00167D39">
        <w:rPr>
          <w:i/>
        </w:rPr>
        <w:t>See</w:t>
      </w:r>
      <w:r w:rsidR="00167D39">
        <w:t xml:space="preserve"> 47 U.S.C. § 208.  </w:t>
      </w:r>
      <w:r w:rsidR="00BD74C3">
        <w:t xml:space="preserve">The </w:t>
      </w:r>
      <w:r w:rsidR="00BD74C3" w:rsidRPr="005D753D">
        <w:t>Commission has never applied the voluntary payment doctrine in a Section 208 complaint proceeding.</w:t>
      </w:r>
      <w:r w:rsidR="00BD74C3">
        <w:t xml:space="preserve">  Section 415 of the Communications Act </w:t>
      </w:r>
      <w:r w:rsidR="00167D39">
        <w:t xml:space="preserve">also </w:t>
      </w:r>
      <w:r w:rsidR="00BD74C3">
        <w:t>provides customers with the ability to seek relief against common carriers for violations of the Act and for overcharges for approximately two years from the date the cause of act</w:t>
      </w:r>
      <w:r w:rsidR="0074557F">
        <w:t>ion accrues.  47 U.S.C. § 415.</w:t>
      </w:r>
    </w:p>
  </w:footnote>
  <w:footnote w:id="130">
    <w:p w:rsidR="00D97AE3" w:rsidRPr="004F04B7" w:rsidRDefault="00D97AE3" w:rsidP="002740BE">
      <w:pPr>
        <w:pStyle w:val="FootnoteText"/>
      </w:pPr>
      <w:r w:rsidRPr="004F04B7">
        <w:rPr>
          <w:rStyle w:val="FootnoteReference"/>
        </w:rPr>
        <w:footnoteRef/>
      </w:r>
      <w:r w:rsidRPr="004F04B7">
        <w:t xml:space="preserve"> </w:t>
      </w:r>
      <w:r w:rsidRPr="004F04B7">
        <w:rPr>
          <w:i/>
        </w:rPr>
        <w:t>See, e.g.</w:t>
      </w:r>
      <w:r w:rsidRPr="004F04B7">
        <w:t xml:space="preserve">, </w:t>
      </w:r>
      <w:r w:rsidRPr="004F04B7">
        <w:rPr>
          <w:i/>
        </w:rPr>
        <w:t>Allstate Ins. Co. v. Broe</w:t>
      </w:r>
      <w:r w:rsidRPr="004F04B7">
        <w:t>, 2008 WL 3876188 (Mich. App. Aug. 21, 2008).</w:t>
      </w:r>
    </w:p>
  </w:footnote>
  <w:footnote w:id="131">
    <w:p w:rsidR="00D97AE3" w:rsidRPr="00900DFF" w:rsidRDefault="00D97AE3" w:rsidP="00900DFF">
      <w:pPr>
        <w:pStyle w:val="FootnoteText"/>
        <w:rPr>
          <w:b/>
        </w:rPr>
      </w:pPr>
      <w:r w:rsidRPr="004F04B7">
        <w:rPr>
          <w:rStyle w:val="FootnoteReference"/>
        </w:rPr>
        <w:footnoteRef/>
      </w:r>
      <w:r w:rsidRPr="004F04B7">
        <w:t xml:space="preserve"> 47 U.S.C. §§ 20</w:t>
      </w:r>
      <w:r>
        <w:t>5</w:t>
      </w:r>
      <w:r w:rsidRPr="004F04B7">
        <w:t>-209</w:t>
      </w:r>
      <w:r>
        <w:t>.</w:t>
      </w:r>
    </w:p>
  </w:footnote>
  <w:footnote w:id="132">
    <w:p w:rsidR="00D97AE3" w:rsidRPr="003632B5" w:rsidRDefault="00D97AE3">
      <w:pPr>
        <w:pStyle w:val="FootnoteText"/>
        <w:rPr>
          <w:b/>
          <w:u w:val="single"/>
        </w:rPr>
      </w:pPr>
      <w:r w:rsidRPr="004F04B7">
        <w:rPr>
          <w:rStyle w:val="FootnoteReference"/>
        </w:rPr>
        <w:footnoteRef/>
      </w:r>
      <w:r w:rsidRPr="004F04B7">
        <w:t xml:space="preserve"> </w:t>
      </w:r>
      <w:r w:rsidRPr="00554BD2">
        <w:rPr>
          <w:i/>
        </w:rPr>
        <w:t>See</w:t>
      </w:r>
      <w:r w:rsidRPr="00554BD2">
        <w:t xml:space="preserve"> </w:t>
      </w:r>
      <w:r>
        <w:t xml:space="preserve">Answer Exhibit 6, </w:t>
      </w:r>
      <w:r w:rsidRPr="00554BD2">
        <w:t xml:space="preserve">GLC Tariff F.C.C. No. 20, </w:t>
      </w:r>
      <w:r>
        <w:t xml:space="preserve">Revised Page 2-32, </w:t>
      </w:r>
      <w:r w:rsidRPr="00554BD2">
        <w:t>Section 2.4.1(E).</w:t>
      </w:r>
    </w:p>
  </w:footnote>
  <w:footnote w:id="133">
    <w:p w:rsidR="00D97AE3" w:rsidRDefault="00D97AE3" w:rsidP="003979AC">
      <w:pPr>
        <w:pStyle w:val="FootnoteText"/>
      </w:pPr>
      <w:r w:rsidRPr="004F04B7">
        <w:rPr>
          <w:rStyle w:val="FootnoteReference"/>
        </w:rPr>
        <w:footnoteRef/>
      </w:r>
      <w:r w:rsidRPr="004F04B7">
        <w:t xml:space="preserve"> Answer at 90, Affirmative Defenses Nos. 2,</w:t>
      </w:r>
      <w:r>
        <w:t xml:space="preserve"> </w:t>
      </w:r>
      <w:r w:rsidRPr="004F04B7">
        <w:t xml:space="preserve">4, </w:t>
      </w:r>
      <w:r w:rsidR="00F42620">
        <w:t xml:space="preserve">9, </w:t>
      </w:r>
      <w:r w:rsidRPr="004F04B7">
        <w:t>11</w:t>
      </w:r>
      <w:r w:rsidR="00336267">
        <w:t>;</w:t>
      </w:r>
      <w:r w:rsidRPr="004F04B7">
        <w:t xml:space="preserve"> Answer Legal Analysis at 54-57, 59-64, </w:t>
      </w:r>
      <w:r w:rsidR="00F42620">
        <w:t xml:space="preserve">76-7, </w:t>
      </w:r>
      <w:r w:rsidRPr="004F04B7">
        <w:t>82-83.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371" w:rsidRDefault="00E213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43" w:rsidRDefault="00195843" w:rsidP="00195843">
    <w:pPr>
      <w:pStyle w:val="Header"/>
      <w:rPr>
        <w:b w:val="0"/>
      </w:rPr>
    </w:pPr>
    <w:r>
      <w:rPr>
        <w:noProof/>
        <w:snapToGrid/>
      </w:rPr>
      <mc:AlternateContent>
        <mc:Choice Requires="wps">
          <w:drawing>
            <wp:anchor distT="0" distB="0" distL="114300" distR="114300" simplePos="0" relativeHeight="251669504" behindDoc="1" locked="0" layoutInCell="0" allowOverlap="1" wp14:anchorId="287301A6" wp14:editId="5F130FCD">
              <wp:simplePos x="0" y="0"/>
              <wp:positionH relativeFrom="margin">
                <wp:posOffset>7620</wp:posOffset>
              </wp:positionH>
              <wp:positionV relativeFrom="paragraph">
                <wp:posOffset>160655</wp:posOffset>
              </wp:positionV>
              <wp:extent cx="5943600" cy="12065"/>
              <wp:effectExtent l="0" t="0" r="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pt;margin-top:12.65pt;width:468pt;height:.9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N1wIv3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273159">
      <w:rPr>
        <w:spacing w:val="-2"/>
      </w:rPr>
      <w:t>FCC 15-31</w:t>
    </w:r>
  </w:p>
  <w:p w:rsidR="00D97AE3" w:rsidRPr="00195843" w:rsidRDefault="00D97AE3" w:rsidP="001958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43" w:rsidRDefault="00195843" w:rsidP="00195843">
    <w:pPr>
      <w:pStyle w:val="Header"/>
      <w:rPr>
        <w:b w:val="0"/>
      </w:rPr>
    </w:pPr>
    <w:r>
      <w:rPr>
        <w:noProof/>
        <w:snapToGrid/>
      </w:rPr>
      <mc:AlternateContent>
        <mc:Choice Requires="wps">
          <w:drawing>
            <wp:anchor distT="0" distB="0" distL="114300" distR="114300" simplePos="0" relativeHeight="251667456"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sidR="00273159">
      <w:rPr>
        <w:spacing w:val="-2"/>
      </w:rPr>
      <w:t>FCC 15-31</w:t>
    </w:r>
  </w:p>
  <w:p w:rsidR="00D97AE3" w:rsidRPr="00195843" w:rsidRDefault="00D97AE3" w:rsidP="001958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5"/>
  </w:num>
  <w:num w:numId="2">
    <w:abstractNumId w:val="3"/>
  </w:num>
  <w:num w:numId="3">
    <w:abstractNumId w:val="5"/>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num>
  <w:num w:numId="6">
    <w:abstractNumId w:val="3"/>
  </w:num>
  <w:num w:numId="7">
    <w:abstractNumId w:val="5"/>
  </w:num>
  <w:num w:numId="8">
    <w:abstractNumId w:val="5"/>
  </w:num>
  <w:num w:numId="9">
    <w:abstractNumId w:val="5"/>
  </w:num>
  <w:num w:numId="10">
    <w:abstractNumId w:val="1"/>
  </w:num>
  <w:num w:numId="11">
    <w:abstractNumId w:val="4"/>
  </w:num>
  <w:num w:numId="12">
    <w:abstractNumId w:val="2"/>
  </w:num>
  <w:num w:numId="13">
    <w:abstractNumId w:val="0"/>
  </w:num>
  <w:num w:numId="1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772"/>
    <w:rsid w:val="000002FD"/>
    <w:rsid w:val="0000058D"/>
    <w:rsid w:val="00001265"/>
    <w:rsid w:val="00001570"/>
    <w:rsid w:val="000015BE"/>
    <w:rsid w:val="000017DF"/>
    <w:rsid w:val="00001B4C"/>
    <w:rsid w:val="000022E3"/>
    <w:rsid w:val="00003742"/>
    <w:rsid w:val="00004D03"/>
    <w:rsid w:val="0000502D"/>
    <w:rsid w:val="00006D46"/>
    <w:rsid w:val="000075E8"/>
    <w:rsid w:val="00012F24"/>
    <w:rsid w:val="00013D8E"/>
    <w:rsid w:val="0001421D"/>
    <w:rsid w:val="000144EA"/>
    <w:rsid w:val="00015D46"/>
    <w:rsid w:val="00015F96"/>
    <w:rsid w:val="00021EF0"/>
    <w:rsid w:val="000225AA"/>
    <w:rsid w:val="0002311A"/>
    <w:rsid w:val="00023E43"/>
    <w:rsid w:val="000240C7"/>
    <w:rsid w:val="000258E7"/>
    <w:rsid w:val="00026285"/>
    <w:rsid w:val="00026DC3"/>
    <w:rsid w:val="000272FB"/>
    <w:rsid w:val="00027957"/>
    <w:rsid w:val="00027B83"/>
    <w:rsid w:val="00027F1D"/>
    <w:rsid w:val="000309BC"/>
    <w:rsid w:val="00030B33"/>
    <w:rsid w:val="00032482"/>
    <w:rsid w:val="0003277E"/>
    <w:rsid w:val="00033CAB"/>
    <w:rsid w:val="00034B5A"/>
    <w:rsid w:val="0003511F"/>
    <w:rsid w:val="00035387"/>
    <w:rsid w:val="00036039"/>
    <w:rsid w:val="000360A7"/>
    <w:rsid w:val="00036D4F"/>
    <w:rsid w:val="00036EA9"/>
    <w:rsid w:val="00036FAE"/>
    <w:rsid w:val="00037198"/>
    <w:rsid w:val="000371D8"/>
    <w:rsid w:val="00037F90"/>
    <w:rsid w:val="000407CA"/>
    <w:rsid w:val="00041340"/>
    <w:rsid w:val="000440FB"/>
    <w:rsid w:val="0004597F"/>
    <w:rsid w:val="00046026"/>
    <w:rsid w:val="00047449"/>
    <w:rsid w:val="0005224F"/>
    <w:rsid w:val="00052A8C"/>
    <w:rsid w:val="00052FC6"/>
    <w:rsid w:val="000542C4"/>
    <w:rsid w:val="00054C35"/>
    <w:rsid w:val="000560DD"/>
    <w:rsid w:val="0005770B"/>
    <w:rsid w:val="000618BF"/>
    <w:rsid w:val="000620A9"/>
    <w:rsid w:val="0006257B"/>
    <w:rsid w:val="00066998"/>
    <w:rsid w:val="000673AC"/>
    <w:rsid w:val="000705D1"/>
    <w:rsid w:val="00071418"/>
    <w:rsid w:val="00072339"/>
    <w:rsid w:val="00072580"/>
    <w:rsid w:val="00072F73"/>
    <w:rsid w:val="00073219"/>
    <w:rsid w:val="000751C4"/>
    <w:rsid w:val="00076190"/>
    <w:rsid w:val="000778DA"/>
    <w:rsid w:val="000804F8"/>
    <w:rsid w:val="00081C49"/>
    <w:rsid w:val="00081DF6"/>
    <w:rsid w:val="00082CC9"/>
    <w:rsid w:val="00083890"/>
    <w:rsid w:val="00085477"/>
    <w:rsid w:val="00085517"/>
    <w:rsid w:val="00086194"/>
    <w:rsid w:val="000861B2"/>
    <w:rsid w:val="00086578"/>
    <w:rsid w:val="00086681"/>
    <w:rsid w:val="000875BF"/>
    <w:rsid w:val="0009152E"/>
    <w:rsid w:val="000928D3"/>
    <w:rsid w:val="00094F8F"/>
    <w:rsid w:val="00095136"/>
    <w:rsid w:val="00095B81"/>
    <w:rsid w:val="00096D8C"/>
    <w:rsid w:val="00097834"/>
    <w:rsid w:val="000A07CB"/>
    <w:rsid w:val="000A112E"/>
    <w:rsid w:val="000A2739"/>
    <w:rsid w:val="000A3557"/>
    <w:rsid w:val="000A3FFE"/>
    <w:rsid w:val="000A5195"/>
    <w:rsid w:val="000A69DB"/>
    <w:rsid w:val="000A7912"/>
    <w:rsid w:val="000B10F2"/>
    <w:rsid w:val="000B2DD8"/>
    <w:rsid w:val="000B3309"/>
    <w:rsid w:val="000B65A3"/>
    <w:rsid w:val="000B6656"/>
    <w:rsid w:val="000B6E28"/>
    <w:rsid w:val="000C0B65"/>
    <w:rsid w:val="000C0F35"/>
    <w:rsid w:val="000C1A3E"/>
    <w:rsid w:val="000C3D97"/>
    <w:rsid w:val="000C3E40"/>
    <w:rsid w:val="000C64E1"/>
    <w:rsid w:val="000C6693"/>
    <w:rsid w:val="000C69C3"/>
    <w:rsid w:val="000C6CCD"/>
    <w:rsid w:val="000D15A8"/>
    <w:rsid w:val="000D15D0"/>
    <w:rsid w:val="000D15DD"/>
    <w:rsid w:val="000D2A96"/>
    <w:rsid w:val="000D3296"/>
    <w:rsid w:val="000D4F2D"/>
    <w:rsid w:val="000D6409"/>
    <w:rsid w:val="000D6FF9"/>
    <w:rsid w:val="000D7604"/>
    <w:rsid w:val="000D7645"/>
    <w:rsid w:val="000E05FE"/>
    <w:rsid w:val="000E1695"/>
    <w:rsid w:val="000E273D"/>
    <w:rsid w:val="000E2FD2"/>
    <w:rsid w:val="000E3D42"/>
    <w:rsid w:val="000E65E5"/>
    <w:rsid w:val="000E7610"/>
    <w:rsid w:val="000E7820"/>
    <w:rsid w:val="000F1457"/>
    <w:rsid w:val="000F2560"/>
    <w:rsid w:val="000F4AB6"/>
    <w:rsid w:val="000F5C63"/>
    <w:rsid w:val="000F5E10"/>
    <w:rsid w:val="000F6985"/>
    <w:rsid w:val="000F6E16"/>
    <w:rsid w:val="000F7577"/>
    <w:rsid w:val="000F75FC"/>
    <w:rsid w:val="0010050A"/>
    <w:rsid w:val="00100B03"/>
    <w:rsid w:val="00103DF0"/>
    <w:rsid w:val="00104906"/>
    <w:rsid w:val="001054BB"/>
    <w:rsid w:val="00106177"/>
    <w:rsid w:val="001067B5"/>
    <w:rsid w:val="0010728D"/>
    <w:rsid w:val="00107AB5"/>
    <w:rsid w:val="0011084D"/>
    <w:rsid w:val="00112D46"/>
    <w:rsid w:val="00112EC2"/>
    <w:rsid w:val="00112FC8"/>
    <w:rsid w:val="0011325C"/>
    <w:rsid w:val="00113685"/>
    <w:rsid w:val="00113F0C"/>
    <w:rsid w:val="00114875"/>
    <w:rsid w:val="001150F9"/>
    <w:rsid w:val="00116980"/>
    <w:rsid w:val="00116DE3"/>
    <w:rsid w:val="00121473"/>
    <w:rsid w:val="00122491"/>
    <w:rsid w:val="00122BD5"/>
    <w:rsid w:val="00123AB7"/>
    <w:rsid w:val="00123C52"/>
    <w:rsid w:val="001245BB"/>
    <w:rsid w:val="00124F69"/>
    <w:rsid w:val="00125C99"/>
    <w:rsid w:val="00125F11"/>
    <w:rsid w:val="001266CD"/>
    <w:rsid w:val="0012698E"/>
    <w:rsid w:val="001304AC"/>
    <w:rsid w:val="00130BE4"/>
    <w:rsid w:val="00133F08"/>
    <w:rsid w:val="00133F79"/>
    <w:rsid w:val="0013504B"/>
    <w:rsid w:val="00135C40"/>
    <w:rsid w:val="00135D50"/>
    <w:rsid w:val="001363BF"/>
    <w:rsid w:val="001371A1"/>
    <w:rsid w:val="001372C5"/>
    <w:rsid w:val="00137F2D"/>
    <w:rsid w:val="00140D6F"/>
    <w:rsid w:val="001429DF"/>
    <w:rsid w:val="00144F20"/>
    <w:rsid w:val="0014540D"/>
    <w:rsid w:val="00146D5F"/>
    <w:rsid w:val="00147416"/>
    <w:rsid w:val="00147D78"/>
    <w:rsid w:val="00150C83"/>
    <w:rsid w:val="00150C86"/>
    <w:rsid w:val="0015182B"/>
    <w:rsid w:val="00152308"/>
    <w:rsid w:val="00153F0A"/>
    <w:rsid w:val="001540FE"/>
    <w:rsid w:val="00155DF3"/>
    <w:rsid w:val="00156101"/>
    <w:rsid w:val="001563AA"/>
    <w:rsid w:val="00161AB0"/>
    <w:rsid w:val="00162A1E"/>
    <w:rsid w:val="00163718"/>
    <w:rsid w:val="00163D32"/>
    <w:rsid w:val="00167D39"/>
    <w:rsid w:val="00167E83"/>
    <w:rsid w:val="0017046F"/>
    <w:rsid w:val="00171463"/>
    <w:rsid w:val="001719C0"/>
    <w:rsid w:val="00172854"/>
    <w:rsid w:val="001732D0"/>
    <w:rsid w:val="00174144"/>
    <w:rsid w:val="00174745"/>
    <w:rsid w:val="00174E99"/>
    <w:rsid w:val="0017518D"/>
    <w:rsid w:val="00176221"/>
    <w:rsid w:val="00176979"/>
    <w:rsid w:val="00177162"/>
    <w:rsid w:val="00177740"/>
    <w:rsid w:val="001812FB"/>
    <w:rsid w:val="00181AC2"/>
    <w:rsid w:val="001821CC"/>
    <w:rsid w:val="00183FC3"/>
    <w:rsid w:val="001844DF"/>
    <w:rsid w:val="00185552"/>
    <w:rsid w:val="001858DF"/>
    <w:rsid w:val="00185C19"/>
    <w:rsid w:val="00186C9E"/>
    <w:rsid w:val="001912D6"/>
    <w:rsid w:val="00191FB1"/>
    <w:rsid w:val="00194547"/>
    <w:rsid w:val="00194687"/>
    <w:rsid w:val="00194A66"/>
    <w:rsid w:val="00194CC8"/>
    <w:rsid w:val="0019522B"/>
    <w:rsid w:val="00195843"/>
    <w:rsid w:val="00196ADD"/>
    <w:rsid w:val="00197867"/>
    <w:rsid w:val="001A0A8B"/>
    <w:rsid w:val="001A1D4D"/>
    <w:rsid w:val="001A2650"/>
    <w:rsid w:val="001A3350"/>
    <w:rsid w:val="001A7EAA"/>
    <w:rsid w:val="001B009A"/>
    <w:rsid w:val="001B09BB"/>
    <w:rsid w:val="001B0E68"/>
    <w:rsid w:val="001B0F6E"/>
    <w:rsid w:val="001B19C0"/>
    <w:rsid w:val="001B25F6"/>
    <w:rsid w:val="001B2CA9"/>
    <w:rsid w:val="001B3332"/>
    <w:rsid w:val="001B43D0"/>
    <w:rsid w:val="001B54EB"/>
    <w:rsid w:val="001C0A26"/>
    <w:rsid w:val="001C0E91"/>
    <w:rsid w:val="001C1250"/>
    <w:rsid w:val="001C21D5"/>
    <w:rsid w:val="001C33FF"/>
    <w:rsid w:val="001C3CE8"/>
    <w:rsid w:val="001C5011"/>
    <w:rsid w:val="001C51C4"/>
    <w:rsid w:val="001C5749"/>
    <w:rsid w:val="001C6E18"/>
    <w:rsid w:val="001C76DB"/>
    <w:rsid w:val="001C7E8D"/>
    <w:rsid w:val="001D0FD5"/>
    <w:rsid w:val="001D1A97"/>
    <w:rsid w:val="001D4A57"/>
    <w:rsid w:val="001D6307"/>
    <w:rsid w:val="001D6BCF"/>
    <w:rsid w:val="001D6E83"/>
    <w:rsid w:val="001D74C6"/>
    <w:rsid w:val="001D76A2"/>
    <w:rsid w:val="001D7772"/>
    <w:rsid w:val="001D7F6E"/>
    <w:rsid w:val="001E014E"/>
    <w:rsid w:val="001E018A"/>
    <w:rsid w:val="001E01B9"/>
    <w:rsid w:val="001E01CA"/>
    <w:rsid w:val="001E324D"/>
    <w:rsid w:val="001E3EB0"/>
    <w:rsid w:val="001E40AF"/>
    <w:rsid w:val="001E4C97"/>
    <w:rsid w:val="001E5B15"/>
    <w:rsid w:val="001E6164"/>
    <w:rsid w:val="001E65DE"/>
    <w:rsid w:val="001E6E23"/>
    <w:rsid w:val="001F0469"/>
    <w:rsid w:val="001F06B7"/>
    <w:rsid w:val="001F088D"/>
    <w:rsid w:val="001F103E"/>
    <w:rsid w:val="001F1970"/>
    <w:rsid w:val="001F23A2"/>
    <w:rsid w:val="001F33F5"/>
    <w:rsid w:val="001F3D75"/>
    <w:rsid w:val="001F421C"/>
    <w:rsid w:val="001F7B49"/>
    <w:rsid w:val="002027B8"/>
    <w:rsid w:val="0020295F"/>
    <w:rsid w:val="00204042"/>
    <w:rsid w:val="002044A5"/>
    <w:rsid w:val="00204710"/>
    <w:rsid w:val="00206BC1"/>
    <w:rsid w:val="00207998"/>
    <w:rsid w:val="00207C29"/>
    <w:rsid w:val="002105BA"/>
    <w:rsid w:val="002130DB"/>
    <w:rsid w:val="00213C84"/>
    <w:rsid w:val="00213CA8"/>
    <w:rsid w:val="002147B6"/>
    <w:rsid w:val="00214F00"/>
    <w:rsid w:val="00216AF6"/>
    <w:rsid w:val="00220F38"/>
    <w:rsid w:val="00221E7B"/>
    <w:rsid w:val="0022265A"/>
    <w:rsid w:val="002229A0"/>
    <w:rsid w:val="0022318D"/>
    <w:rsid w:val="00223952"/>
    <w:rsid w:val="00223B64"/>
    <w:rsid w:val="002246DB"/>
    <w:rsid w:val="00225440"/>
    <w:rsid w:val="002257FE"/>
    <w:rsid w:val="00226C3E"/>
    <w:rsid w:val="00227E99"/>
    <w:rsid w:val="002300E8"/>
    <w:rsid w:val="00230F18"/>
    <w:rsid w:val="00231528"/>
    <w:rsid w:val="00231A20"/>
    <w:rsid w:val="00231C98"/>
    <w:rsid w:val="00231F72"/>
    <w:rsid w:val="00233229"/>
    <w:rsid w:val="00235243"/>
    <w:rsid w:val="00235AAE"/>
    <w:rsid w:val="0023676F"/>
    <w:rsid w:val="002374DE"/>
    <w:rsid w:val="00241609"/>
    <w:rsid w:val="00241C98"/>
    <w:rsid w:val="002422EB"/>
    <w:rsid w:val="002428C9"/>
    <w:rsid w:val="00243E69"/>
    <w:rsid w:val="00243FA4"/>
    <w:rsid w:val="00244220"/>
    <w:rsid w:val="00246AA6"/>
    <w:rsid w:val="00247DB9"/>
    <w:rsid w:val="0025078B"/>
    <w:rsid w:val="002509A8"/>
    <w:rsid w:val="00250A5E"/>
    <w:rsid w:val="00250DF9"/>
    <w:rsid w:val="00251728"/>
    <w:rsid w:val="0025336A"/>
    <w:rsid w:val="002542BB"/>
    <w:rsid w:val="00254635"/>
    <w:rsid w:val="00255C80"/>
    <w:rsid w:val="00255DFA"/>
    <w:rsid w:val="0026007B"/>
    <w:rsid w:val="00261725"/>
    <w:rsid w:val="0026179C"/>
    <w:rsid w:val="0026471C"/>
    <w:rsid w:val="00264AE4"/>
    <w:rsid w:val="0026533E"/>
    <w:rsid w:val="002665C1"/>
    <w:rsid w:val="00266F89"/>
    <w:rsid w:val="002701CF"/>
    <w:rsid w:val="00271C80"/>
    <w:rsid w:val="002722ED"/>
    <w:rsid w:val="00272ACB"/>
    <w:rsid w:val="00273159"/>
    <w:rsid w:val="00273217"/>
    <w:rsid w:val="00273969"/>
    <w:rsid w:val="002740BE"/>
    <w:rsid w:val="00275031"/>
    <w:rsid w:val="00275CF5"/>
    <w:rsid w:val="00275D17"/>
    <w:rsid w:val="0027641E"/>
    <w:rsid w:val="00277F18"/>
    <w:rsid w:val="0028002F"/>
    <w:rsid w:val="0028301F"/>
    <w:rsid w:val="00283A9B"/>
    <w:rsid w:val="00283F7E"/>
    <w:rsid w:val="0028437C"/>
    <w:rsid w:val="00285017"/>
    <w:rsid w:val="00285476"/>
    <w:rsid w:val="002854F0"/>
    <w:rsid w:val="00287003"/>
    <w:rsid w:val="00287B1C"/>
    <w:rsid w:val="00287BAC"/>
    <w:rsid w:val="002906E5"/>
    <w:rsid w:val="00291F70"/>
    <w:rsid w:val="00292BBF"/>
    <w:rsid w:val="00292ED4"/>
    <w:rsid w:val="00293477"/>
    <w:rsid w:val="00293499"/>
    <w:rsid w:val="00295E3B"/>
    <w:rsid w:val="0029662B"/>
    <w:rsid w:val="00297467"/>
    <w:rsid w:val="002A0320"/>
    <w:rsid w:val="002A05AE"/>
    <w:rsid w:val="002A298E"/>
    <w:rsid w:val="002A2B73"/>
    <w:rsid w:val="002A2D2E"/>
    <w:rsid w:val="002A3087"/>
    <w:rsid w:val="002A3098"/>
    <w:rsid w:val="002A3352"/>
    <w:rsid w:val="002A4013"/>
    <w:rsid w:val="002A5459"/>
    <w:rsid w:val="002A5478"/>
    <w:rsid w:val="002A65D1"/>
    <w:rsid w:val="002A690C"/>
    <w:rsid w:val="002A6FE1"/>
    <w:rsid w:val="002A7322"/>
    <w:rsid w:val="002B083B"/>
    <w:rsid w:val="002B2408"/>
    <w:rsid w:val="002B6963"/>
    <w:rsid w:val="002B7454"/>
    <w:rsid w:val="002C00D0"/>
    <w:rsid w:val="002C00E8"/>
    <w:rsid w:val="002C091E"/>
    <w:rsid w:val="002C0CA4"/>
    <w:rsid w:val="002C15AC"/>
    <w:rsid w:val="002C27F0"/>
    <w:rsid w:val="002C4235"/>
    <w:rsid w:val="002C4834"/>
    <w:rsid w:val="002C5E1D"/>
    <w:rsid w:val="002C6348"/>
    <w:rsid w:val="002C726F"/>
    <w:rsid w:val="002D1085"/>
    <w:rsid w:val="002D2564"/>
    <w:rsid w:val="002D25F2"/>
    <w:rsid w:val="002D335E"/>
    <w:rsid w:val="002D34FB"/>
    <w:rsid w:val="002D491F"/>
    <w:rsid w:val="002E0521"/>
    <w:rsid w:val="002E0CA8"/>
    <w:rsid w:val="002E1F2A"/>
    <w:rsid w:val="002E23D8"/>
    <w:rsid w:val="002E2ECF"/>
    <w:rsid w:val="002E37EA"/>
    <w:rsid w:val="002E3AC8"/>
    <w:rsid w:val="002E3AF5"/>
    <w:rsid w:val="002E48AE"/>
    <w:rsid w:val="002E6E5C"/>
    <w:rsid w:val="002F34A3"/>
    <w:rsid w:val="002F366D"/>
    <w:rsid w:val="002F3F3B"/>
    <w:rsid w:val="002F435F"/>
    <w:rsid w:val="002F4990"/>
    <w:rsid w:val="002F5DE7"/>
    <w:rsid w:val="002F7A3F"/>
    <w:rsid w:val="003004E5"/>
    <w:rsid w:val="00301FBF"/>
    <w:rsid w:val="00302F93"/>
    <w:rsid w:val="0030427A"/>
    <w:rsid w:val="00306E4D"/>
    <w:rsid w:val="00307080"/>
    <w:rsid w:val="00307575"/>
    <w:rsid w:val="003108E1"/>
    <w:rsid w:val="00310958"/>
    <w:rsid w:val="003127F8"/>
    <w:rsid w:val="00314882"/>
    <w:rsid w:val="00315861"/>
    <w:rsid w:val="003163EF"/>
    <w:rsid w:val="00316985"/>
    <w:rsid w:val="00316B31"/>
    <w:rsid w:val="00320452"/>
    <w:rsid w:val="00320C05"/>
    <w:rsid w:val="00321B95"/>
    <w:rsid w:val="003220A1"/>
    <w:rsid w:val="00322803"/>
    <w:rsid w:val="00322D0D"/>
    <w:rsid w:val="003249B9"/>
    <w:rsid w:val="0032624E"/>
    <w:rsid w:val="00326B86"/>
    <w:rsid w:val="00327251"/>
    <w:rsid w:val="00330450"/>
    <w:rsid w:val="003307DA"/>
    <w:rsid w:val="00334592"/>
    <w:rsid w:val="00334D8B"/>
    <w:rsid w:val="003358DA"/>
    <w:rsid w:val="003359F0"/>
    <w:rsid w:val="00336267"/>
    <w:rsid w:val="003366BE"/>
    <w:rsid w:val="00337608"/>
    <w:rsid w:val="00337CC5"/>
    <w:rsid w:val="00337DA7"/>
    <w:rsid w:val="00340216"/>
    <w:rsid w:val="00340A95"/>
    <w:rsid w:val="00340D6D"/>
    <w:rsid w:val="00341834"/>
    <w:rsid w:val="003427AC"/>
    <w:rsid w:val="003433D9"/>
    <w:rsid w:val="00343749"/>
    <w:rsid w:val="00344173"/>
    <w:rsid w:val="003468EF"/>
    <w:rsid w:val="00346EE9"/>
    <w:rsid w:val="003474B2"/>
    <w:rsid w:val="003476AC"/>
    <w:rsid w:val="003477FA"/>
    <w:rsid w:val="0035225B"/>
    <w:rsid w:val="0035250F"/>
    <w:rsid w:val="00352761"/>
    <w:rsid w:val="00352BB9"/>
    <w:rsid w:val="00356C82"/>
    <w:rsid w:val="00357598"/>
    <w:rsid w:val="003576D1"/>
    <w:rsid w:val="0035771A"/>
    <w:rsid w:val="00357845"/>
    <w:rsid w:val="0036090D"/>
    <w:rsid w:val="003632B5"/>
    <w:rsid w:val="00365378"/>
    <w:rsid w:val="00365407"/>
    <w:rsid w:val="003660ED"/>
    <w:rsid w:val="00366E1C"/>
    <w:rsid w:val="00370948"/>
    <w:rsid w:val="00371533"/>
    <w:rsid w:val="003715A1"/>
    <w:rsid w:val="00371661"/>
    <w:rsid w:val="0037176E"/>
    <w:rsid w:val="00371A94"/>
    <w:rsid w:val="00372496"/>
    <w:rsid w:val="003749B1"/>
    <w:rsid w:val="00374B5B"/>
    <w:rsid w:val="003753A4"/>
    <w:rsid w:val="00376772"/>
    <w:rsid w:val="00380A8E"/>
    <w:rsid w:val="003812A9"/>
    <w:rsid w:val="00382BB7"/>
    <w:rsid w:val="003830EF"/>
    <w:rsid w:val="003843F1"/>
    <w:rsid w:val="00385FAD"/>
    <w:rsid w:val="00391653"/>
    <w:rsid w:val="00392653"/>
    <w:rsid w:val="003932F4"/>
    <w:rsid w:val="00393FB0"/>
    <w:rsid w:val="00394EBB"/>
    <w:rsid w:val="00394ED8"/>
    <w:rsid w:val="00394F52"/>
    <w:rsid w:val="00396293"/>
    <w:rsid w:val="0039644E"/>
    <w:rsid w:val="00397395"/>
    <w:rsid w:val="003978EE"/>
    <w:rsid w:val="003979AC"/>
    <w:rsid w:val="003A0AA9"/>
    <w:rsid w:val="003A0BD1"/>
    <w:rsid w:val="003A0BD8"/>
    <w:rsid w:val="003A1B1F"/>
    <w:rsid w:val="003A2EF5"/>
    <w:rsid w:val="003A3245"/>
    <w:rsid w:val="003A33E0"/>
    <w:rsid w:val="003A3F0D"/>
    <w:rsid w:val="003A498C"/>
    <w:rsid w:val="003A4BF2"/>
    <w:rsid w:val="003A5228"/>
    <w:rsid w:val="003A586C"/>
    <w:rsid w:val="003A5A35"/>
    <w:rsid w:val="003A5CE2"/>
    <w:rsid w:val="003A6B82"/>
    <w:rsid w:val="003A7ED6"/>
    <w:rsid w:val="003B0550"/>
    <w:rsid w:val="003B06ED"/>
    <w:rsid w:val="003B0D4D"/>
    <w:rsid w:val="003B1D54"/>
    <w:rsid w:val="003B2645"/>
    <w:rsid w:val="003B431E"/>
    <w:rsid w:val="003B4566"/>
    <w:rsid w:val="003B5058"/>
    <w:rsid w:val="003B567C"/>
    <w:rsid w:val="003B694F"/>
    <w:rsid w:val="003C0C7E"/>
    <w:rsid w:val="003C1B38"/>
    <w:rsid w:val="003C206C"/>
    <w:rsid w:val="003C2D5A"/>
    <w:rsid w:val="003C48AA"/>
    <w:rsid w:val="003C4E8A"/>
    <w:rsid w:val="003C584C"/>
    <w:rsid w:val="003C7FC7"/>
    <w:rsid w:val="003D0023"/>
    <w:rsid w:val="003D096E"/>
    <w:rsid w:val="003D14B8"/>
    <w:rsid w:val="003D1FF0"/>
    <w:rsid w:val="003D223C"/>
    <w:rsid w:val="003D22C9"/>
    <w:rsid w:val="003D35F3"/>
    <w:rsid w:val="003D3EDB"/>
    <w:rsid w:val="003D4542"/>
    <w:rsid w:val="003D594C"/>
    <w:rsid w:val="003D5954"/>
    <w:rsid w:val="003D7392"/>
    <w:rsid w:val="003D7A64"/>
    <w:rsid w:val="003E08CF"/>
    <w:rsid w:val="003E103E"/>
    <w:rsid w:val="003E1208"/>
    <w:rsid w:val="003E3141"/>
    <w:rsid w:val="003E41A9"/>
    <w:rsid w:val="003E4589"/>
    <w:rsid w:val="003E5554"/>
    <w:rsid w:val="003E5786"/>
    <w:rsid w:val="003E580B"/>
    <w:rsid w:val="003E5BD6"/>
    <w:rsid w:val="003F01C5"/>
    <w:rsid w:val="003F02F8"/>
    <w:rsid w:val="003F171C"/>
    <w:rsid w:val="003F1D4D"/>
    <w:rsid w:val="003F4092"/>
    <w:rsid w:val="003F555B"/>
    <w:rsid w:val="003F5E40"/>
    <w:rsid w:val="003F651B"/>
    <w:rsid w:val="003F6E66"/>
    <w:rsid w:val="003F7237"/>
    <w:rsid w:val="003F7D3D"/>
    <w:rsid w:val="00400C5B"/>
    <w:rsid w:val="00401536"/>
    <w:rsid w:val="004025C1"/>
    <w:rsid w:val="00404E88"/>
    <w:rsid w:val="00405F6E"/>
    <w:rsid w:val="00406367"/>
    <w:rsid w:val="00410F75"/>
    <w:rsid w:val="00411689"/>
    <w:rsid w:val="00411719"/>
    <w:rsid w:val="00412175"/>
    <w:rsid w:val="00412879"/>
    <w:rsid w:val="00412FC5"/>
    <w:rsid w:val="00413173"/>
    <w:rsid w:val="004131E4"/>
    <w:rsid w:val="0041477E"/>
    <w:rsid w:val="00414834"/>
    <w:rsid w:val="00414B2F"/>
    <w:rsid w:val="00415A3A"/>
    <w:rsid w:val="00420387"/>
    <w:rsid w:val="0042101C"/>
    <w:rsid w:val="004214B1"/>
    <w:rsid w:val="00422276"/>
    <w:rsid w:val="00423D93"/>
    <w:rsid w:val="004242F1"/>
    <w:rsid w:val="00424F76"/>
    <w:rsid w:val="004251C9"/>
    <w:rsid w:val="00425E30"/>
    <w:rsid w:val="00426C6E"/>
    <w:rsid w:val="00427E16"/>
    <w:rsid w:val="00430362"/>
    <w:rsid w:val="00430452"/>
    <w:rsid w:val="0043146D"/>
    <w:rsid w:val="004342E5"/>
    <w:rsid w:val="00434C60"/>
    <w:rsid w:val="0044059C"/>
    <w:rsid w:val="00440AFF"/>
    <w:rsid w:val="00441CAD"/>
    <w:rsid w:val="004429C5"/>
    <w:rsid w:val="00445A00"/>
    <w:rsid w:val="004466E7"/>
    <w:rsid w:val="00446D4C"/>
    <w:rsid w:val="004477AD"/>
    <w:rsid w:val="00450E9E"/>
    <w:rsid w:val="0045102F"/>
    <w:rsid w:val="00451B0F"/>
    <w:rsid w:val="004526D5"/>
    <w:rsid w:val="004531EB"/>
    <w:rsid w:val="00454502"/>
    <w:rsid w:val="004560D6"/>
    <w:rsid w:val="00456DB9"/>
    <w:rsid w:val="00460AA2"/>
    <w:rsid w:val="00461258"/>
    <w:rsid w:val="00461A34"/>
    <w:rsid w:val="00461B02"/>
    <w:rsid w:val="004648D9"/>
    <w:rsid w:val="0047012B"/>
    <w:rsid w:val="0047023F"/>
    <w:rsid w:val="004702B9"/>
    <w:rsid w:val="00473683"/>
    <w:rsid w:val="00476156"/>
    <w:rsid w:val="0047782A"/>
    <w:rsid w:val="00477DC9"/>
    <w:rsid w:val="0048220A"/>
    <w:rsid w:val="00482908"/>
    <w:rsid w:val="004838B5"/>
    <w:rsid w:val="00483919"/>
    <w:rsid w:val="0048484B"/>
    <w:rsid w:val="004854FA"/>
    <w:rsid w:val="004875DB"/>
    <w:rsid w:val="004935C3"/>
    <w:rsid w:val="004938B4"/>
    <w:rsid w:val="00493E06"/>
    <w:rsid w:val="00494001"/>
    <w:rsid w:val="00494114"/>
    <w:rsid w:val="0049671E"/>
    <w:rsid w:val="0049706D"/>
    <w:rsid w:val="0049729A"/>
    <w:rsid w:val="00497CCE"/>
    <w:rsid w:val="00497E50"/>
    <w:rsid w:val="004A109D"/>
    <w:rsid w:val="004A18D6"/>
    <w:rsid w:val="004A2684"/>
    <w:rsid w:val="004A3C3A"/>
    <w:rsid w:val="004A3D6A"/>
    <w:rsid w:val="004A533B"/>
    <w:rsid w:val="004A65BA"/>
    <w:rsid w:val="004A6C1E"/>
    <w:rsid w:val="004B066E"/>
    <w:rsid w:val="004B1243"/>
    <w:rsid w:val="004B3D2F"/>
    <w:rsid w:val="004B3EF1"/>
    <w:rsid w:val="004B4A21"/>
    <w:rsid w:val="004B661E"/>
    <w:rsid w:val="004B6FBA"/>
    <w:rsid w:val="004C14DD"/>
    <w:rsid w:val="004C1C4F"/>
    <w:rsid w:val="004C257F"/>
    <w:rsid w:val="004C2EE3"/>
    <w:rsid w:val="004C33EF"/>
    <w:rsid w:val="004C50B4"/>
    <w:rsid w:val="004C56B9"/>
    <w:rsid w:val="004C5B52"/>
    <w:rsid w:val="004C6A4D"/>
    <w:rsid w:val="004D0DB1"/>
    <w:rsid w:val="004D1FB1"/>
    <w:rsid w:val="004D4C72"/>
    <w:rsid w:val="004D668C"/>
    <w:rsid w:val="004E055F"/>
    <w:rsid w:val="004E15BB"/>
    <w:rsid w:val="004E2587"/>
    <w:rsid w:val="004E3ED0"/>
    <w:rsid w:val="004E480D"/>
    <w:rsid w:val="004E48B5"/>
    <w:rsid w:val="004E4A22"/>
    <w:rsid w:val="004E4D21"/>
    <w:rsid w:val="004E576A"/>
    <w:rsid w:val="004F04B7"/>
    <w:rsid w:val="004F0F19"/>
    <w:rsid w:val="004F1342"/>
    <w:rsid w:val="004F1D94"/>
    <w:rsid w:val="004F3A9A"/>
    <w:rsid w:val="004F4511"/>
    <w:rsid w:val="004F5005"/>
    <w:rsid w:val="004F5DF8"/>
    <w:rsid w:val="004F5FA0"/>
    <w:rsid w:val="004F6353"/>
    <w:rsid w:val="004F63F7"/>
    <w:rsid w:val="004F79EA"/>
    <w:rsid w:val="005011F2"/>
    <w:rsid w:val="00502644"/>
    <w:rsid w:val="00503245"/>
    <w:rsid w:val="00506B6B"/>
    <w:rsid w:val="00507022"/>
    <w:rsid w:val="005107B0"/>
    <w:rsid w:val="00510858"/>
    <w:rsid w:val="00511968"/>
    <w:rsid w:val="00511A80"/>
    <w:rsid w:val="005122DE"/>
    <w:rsid w:val="00512780"/>
    <w:rsid w:val="005127AD"/>
    <w:rsid w:val="00513217"/>
    <w:rsid w:val="005146B6"/>
    <w:rsid w:val="005158D5"/>
    <w:rsid w:val="00517EAC"/>
    <w:rsid w:val="0052146C"/>
    <w:rsid w:val="00521680"/>
    <w:rsid w:val="00521D89"/>
    <w:rsid w:val="00523A8A"/>
    <w:rsid w:val="00523D46"/>
    <w:rsid w:val="005251D5"/>
    <w:rsid w:val="00525827"/>
    <w:rsid w:val="00525A8D"/>
    <w:rsid w:val="00525D4C"/>
    <w:rsid w:val="0052612C"/>
    <w:rsid w:val="00526D01"/>
    <w:rsid w:val="00526E9A"/>
    <w:rsid w:val="005275E7"/>
    <w:rsid w:val="0053043B"/>
    <w:rsid w:val="00531D68"/>
    <w:rsid w:val="00532DB6"/>
    <w:rsid w:val="00532F41"/>
    <w:rsid w:val="00535926"/>
    <w:rsid w:val="005418D7"/>
    <w:rsid w:val="0054298C"/>
    <w:rsid w:val="00544C2F"/>
    <w:rsid w:val="0054715B"/>
    <w:rsid w:val="005501F0"/>
    <w:rsid w:val="00550230"/>
    <w:rsid w:val="00553B28"/>
    <w:rsid w:val="00554767"/>
    <w:rsid w:val="00554BD2"/>
    <w:rsid w:val="00554BE4"/>
    <w:rsid w:val="005554A2"/>
    <w:rsid w:val="0055614C"/>
    <w:rsid w:val="00557044"/>
    <w:rsid w:val="00557421"/>
    <w:rsid w:val="00560728"/>
    <w:rsid w:val="005618F0"/>
    <w:rsid w:val="005637D6"/>
    <w:rsid w:val="00564035"/>
    <w:rsid w:val="00564788"/>
    <w:rsid w:val="00564968"/>
    <w:rsid w:val="00564CE4"/>
    <w:rsid w:val="00566829"/>
    <w:rsid w:val="005670A4"/>
    <w:rsid w:val="00567C12"/>
    <w:rsid w:val="00567F23"/>
    <w:rsid w:val="005707BA"/>
    <w:rsid w:val="00572BEE"/>
    <w:rsid w:val="00575495"/>
    <w:rsid w:val="00577002"/>
    <w:rsid w:val="005770B5"/>
    <w:rsid w:val="005770E6"/>
    <w:rsid w:val="005778B7"/>
    <w:rsid w:val="00577996"/>
    <w:rsid w:val="0058124D"/>
    <w:rsid w:val="00581F25"/>
    <w:rsid w:val="00584A3A"/>
    <w:rsid w:val="005852D6"/>
    <w:rsid w:val="005853A9"/>
    <w:rsid w:val="005861BC"/>
    <w:rsid w:val="00586E15"/>
    <w:rsid w:val="005870A8"/>
    <w:rsid w:val="005902BC"/>
    <w:rsid w:val="00590D49"/>
    <w:rsid w:val="00592357"/>
    <w:rsid w:val="00592763"/>
    <w:rsid w:val="0059295F"/>
    <w:rsid w:val="005930F2"/>
    <w:rsid w:val="005935FF"/>
    <w:rsid w:val="00595027"/>
    <w:rsid w:val="005A1314"/>
    <w:rsid w:val="005A182F"/>
    <w:rsid w:val="005A1EA4"/>
    <w:rsid w:val="005A2154"/>
    <w:rsid w:val="005A316D"/>
    <w:rsid w:val="005A3452"/>
    <w:rsid w:val="005A35F7"/>
    <w:rsid w:val="005A4AAF"/>
    <w:rsid w:val="005A4B71"/>
    <w:rsid w:val="005A6A4C"/>
    <w:rsid w:val="005A7A2A"/>
    <w:rsid w:val="005B1704"/>
    <w:rsid w:val="005B2162"/>
    <w:rsid w:val="005B4B3F"/>
    <w:rsid w:val="005B75D3"/>
    <w:rsid w:val="005C1487"/>
    <w:rsid w:val="005C1A0D"/>
    <w:rsid w:val="005C2648"/>
    <w:rsid w:val="005C2F2F"/>
    <w:rsid w:val="005C38E3"/>
    <w:rsid w:val="005C4105"/>
    <w:rsid w:val="005C56EA"/>
    <w:rsid w:val="005C592A"/>
    <w:rsid w:val="005C5D11"/>
    <w:rsid w:val="005C64A1"/>
    <w:rsid w:val="005C6AB3"/>
    <w:rsid w:val="005C6C1D"/>
    <w:rsid w:val="005C7F07"/>
    <w:rsid w:val="005D0057"/>
    <w:rsid w:val="005D02C5"/>
    <w:rsid w:val="005D2C99"/>
    <w:rsid w:val="005D3DA0"/>
    <w:rsid w:val="005D4630"/>
    <w:rsid w:val="005D5FAB"/>
    <w:rsid w:val="005D650B"/>
    <w:rsid w:val="005D753D"/>
    <w:rsid w:val="005E1253"/>
    <w:rsid w:val="005E14C2"/>
    <w:rsid w:val="005E1B18"/>
    <w:rsid w:val="005F10B8"/>
    <w:rsid w:val="005F183E"/>
    <w:rsid w:val="005F21B2"/>
    <w:rsid w:val="005F2DBF"/>
    <w:rsid w:val="005F34E6"/>
    <w:rsid w:val="005F35C2"/>
    <w:rsid w:val="005F35CE"/>
    <w:rsid w:val="005F42A3"/>
    <w:rsid w:val="005F7301"/>
    <w:rsid w:val="005F7E6F"/>
    <w:rsid w:val="00600E0F"/>
    <w:rsid w:val="00600E14"/>
    <w:rsid w:val="0060170A"/>
    <w:rsid w:val="00602052"/>
    <w:rsid w:val="006048E5"/>
    <w:rsid w:val="00605BB2"/>
    <w:rsid w:val="006074D0"/>
    <w:rsid w:val="00607B4E"/>
    <w:rsid w:val="00607BA5"/>
    <w:rsid w:val="00607BDF"/>
    <w:rsid w:val="0061048C"/>
    <w:rsid w:val="00610FCD"/>
    <w:rsid w:val="00611092"/>
    <w:rsid w:val="0061180A"/>
    <w:rsid w:val="00611DF2"/>
    <w:rsid w:val="006138FB"/>
    <w:rsid w:val="00613F93"/>
    <w:rsid w:val="0061473F"/>
    <w:rsid w:val="00614EC4"/>
    <w:rsid w:val="00617290"/>
    <w:rsid w:val="00620964"/>
    <w:rsid w:val="00623C0A"/>
    <w:rsid w:val="0062413A"/>
    <w:rsid w:val="00624665"/>
    <w:rsid w:val="00625350"/>
    <w:rsid w:val="00626583"/>
    <w:rsid w:val="00626EB6"/>
    <w:rsid w:val="006302F7"/>
    <w:rsid w:val="00630AEE"/>
    <w:rsid w:val="00630F84"/>
    <w:rsid w:val="0063110E"/>
    <w:rsid w:val="00633716"/>
    <w:rsid w:val="00635F13"/>
    <w:rsid w:val="00636791"/>
    <w:rsid w:val="00636D3C"/>
    <w:rsid w:val="00636F48"/>
    <w:rsid w:val="00640D03"/>
    <w:rsid w:val="00641CFA"/>
    <w:rsid w:val="00642490"/>
    <w:rsid w:val="00643145"/>
    <w:rsid w:val="0064327B"/>
    <w:rsid w:val="00643944"/>
    <w:rsid w:val="00643C07"/>
    <w:rsid w:val="00645EFE"/>
    <w:rsid w:val="00645FFB"/>
    <w:rsid w:val="006463D1"/>
    <w:rsid w:val="006468E4"/>
    <w:rsid w:val="00647452"/>
    <w:rsid w:val="00650C18"/>
    <w:rsid w:val="006515DA"/>
    <w:rsid w:val="0065173D"/>
    <w:rsid w:val="00651810"/>
    <w:rsid w:val="006523CD"/>
    <w:rsid w:val="00652DFE"/>
    <w:rsid w:val="00653B6C"/>
    <w:rsid w:val="00653ED7"/>
    <w:rsid w:val="00654106"/>
    <w:rsid w:val="00654DBD"/>
    <w:rsid w:val="00654E9E"/>
    <w:rsid w:val="00655D03"/>
    <w:rsid w:val="006571B7"/>
    <w:rsid w:val="00657369"/>
    <w:rsid w:val="00657412"/>
    <w:rsid w:val="00657F25"/>
    <w:rsid w:val="0066102A"/>
    <w:rsid w:val="00661B83"/>
    <w:rsid w:val="006636A8"/>
    <w:rsid w:val="006637F9"/>
    <w:rsid w:val="00663800"/>
    <w:rsid w:val="00663BB4"/>
    <w:rsid w:val="006640C6"/>
    <w:rsid w:val="00664EFE"/>
    <w:rsid w:val="00665B80"/>
    <w:rsid w:val="0066633E"/>
    <w:rsid w:val="006672BB"/>
    <w:rsid w:val="00667846"/>
    <w:rsid w:val="00672E2A"/>
    <w:rsid w:val="006734F7"/>
    <w:rsid w:val="006743B0"/>
    <w:rsid w:val="006752B4"/>
    <w:rsid w:val="00677D47"/>
    <w:rsid w:val="00680947"/>
    <w:rsid w:val="00683388"/>
    <w:rsid w:val="00683725"/>
    <w:rsid w:val="00683F84"/>
    <w:rsid w:val="0068506D"/>
    <w:rsid w:val="00686D91"/>
    <w:rsid w:val="00690CA3"/>
    <w:rsid w:val="00690DC7"/>
    <w:rsid w:val="00691179"/>
    <w:rsid w:val="006922BB"/>
    <w:rsid w:val="00693B64"/>
    <w:rsid w:val="0069481F"/>
    <w:rsid w:val="00697374"/>
    <w:rsid w:val="006A0824"/>
    <w:rsid w:val="006A17DA"/>
    <w:rsid w:val="006A1F41"/>
    <w:rsid w:val="006A3CAA"/>
    <w:rsid w:val="006A3D2A"/>
    <w:rsid w:val="006A50C0"/>
    <w:rsid w:val="006A5D6B"/>
    <w:rsid w:val="006A6A81"/>
    <w:rsid w:val="006B239D"/>
    <w:rsid w:val="006B3163"/>
    <w:rsid w:val="006B4870"/>
    <w:rsid w:val="006B52F3"/>
    <w:rsid w:val="006B5864"/>
    <w:rsid w:val="006B5ADA"/>
    <w:rsid w:val="006B5F5F"/>
    <w:rsid w:val="006B6347"/>
    <w:rsid w:val="006C1D73"/>
    <w:rsid w:val="006C452E"/>
    <w:rsid w:val="006C55FB"/>
    <w:rsid w:val="006C5C3D"/>
    <w:rsid w:val="006C6DC8"/>
    <w:rsid w:val="006C6E67"/>
    <w:rsid w:val="006D0A9F"/>
    <w:rsid w:val="006D0F1C"/>
    <w:rsid w:val="006D2ED8"/>
    <w:rsid w:val="006D2F19"/>
    <w:rsid w:val="006D3A16"/>
    <w:rsid w:val="006D67FE"/>
    <w:rsid w:val="006E00B3"/>
    <w:rsid w:val="006E01AC"/>
    <w:rsid w:val="006E0BBD"/>
    <w:rsid w:val="006E1ED1"/>
    <w:rsid w:val="006E27C1"/>
    <w:rsid w:val="006E34F2"/>
    <w:rsid w:val="006E3B56"/>
    <w:rsid w:val="006E4762"/>
    <w:rsid w:val="006E51E6"/>
    <w:rsid w:val="006E5CED"/>
    <w:rsid w:val="006E66B0"/>
    <w:rsid w:val="006E69B9"/>
    <w:rsid w:val="006E6A39"/>
    <w:rsid w:val="006E6F15"/>
    <w:rsid w:val="006F1207"/>
    <w:rsid w:val="006F1960"/>
    <w:rsid w:val="006F1AA8"/>
    <w:rsid w:val="006F1F58"/>
    <w:rsid w:val="006F3DDD"/>
    <w:rsid w:val="006F4C2E"/>
    <w:rsid w:val="006F54CA"/>
    <w:rsid w:val="006F62F0"/>
    <w:rsid w:val="006F727C"/>
    <w:rsid w:val="006F7393"/>
    <w:rsid w:val="00701D96"/>
    <w:rsid w:val="0070224F"/>
    <w:rsid w:val="00704C8B"/>
    <w:rsid w:val="00704DE8"/>
    <w:rsid w:val="00705043"/>
    <w:rsid w:val="007068BE"/>
    <w:rsid w:val="00707096"/>
    <w:rsid w:val="0070792C"/>
    <w:rsid w:val="007115F7"/>
    <w:rsid w:val="00711816"/>
    <w:rsid w:val="007119DE"/>
    <w:rsid w:val="00712D28"/>
    <w:rsid w:val="007147B9"/>
    <w:rsid w:val="00714BED"/>
    <w:rsid w:val="00714DFB"/>
    <w:rsid w:val="00715521"/>
    <w:rsid w:val="00715DCC"/>
    <w:rsid w:val="00717EED"/>
    <w:rsid w:val="0072066E"/>
    <w:rsid w:val="00721DD2"/>
    <w:rsid w:val="00723B51"/>
    <w:rsid w:val="00723C01"/>
    <w:rsid w:val="00724C9C"/>
    <w:rsid w:val="00726428"/>
    <w:rsid w:val="007264A8"/>
    <w:rsid w:val="007267A6"/>
    <w:rsid w:val="007320F8"/>
    <w:rsid w:val="007347AC"/>
    <w:rsid w:val="007356FB"/>
    <w:rsid w:val="00736EDF"/>
    <w:rsid w:val="007421DF"/>
    <w:rsid w:val="00743FC1"/>
    <w:rsid w:val="00745391"/>
    <w:rsid w:val="0074557F"/>
    <w:rsid w:val="00745F90"/>
    <w:rsid w:val="00747EE6"/>
    <w:rsid w:val="00750478"/>
    <w:rsid w:val="0075047A"/>
    <w:rsid w:val="00750606"/>
    <w:rsid w:val="00751224"/>
    <w:rsid w:val="00752526"/>
    <w:rsid w:val="00753893"/>
    <w:rsid w:val="00753FA5"/>
    <w:rsid w:val="007541DD"/>
    <w:rsid w:val="007548A5"/>
    <w:rsid w:val="00754F45"/>
    <w:rsid w:val="00756041"/>
    <w:rsid w:val="0075683F"/>
    <w:rsid w:val="0076050E"/>
    <w:rsid w:val="00760726"/>
    <w:rsid w:val="0076196A"/>
    <w:rsid w:val="00761F4D"/>
    <w:rsid w:val="0076214C"/>
    <w:rsid w:val="00765047"/>
    <w:rsid w:val="00765839"/>
    <w:rsid w:val="007662A3"/>
    <w:rsid w:val="007665A2"/>
    <w:rsid w:val="00766CFF"/>
    <w:rsid w:val="0076726F"/>
    <w:rsid w:val="007702BD"/>
    <w:rsid w:val="00771280"/>
    <w:rsid w:val="00771304"/>
    <w:rsid w:val="00773E0B"/>
    <w:rsid w:val="0077478A"/>
    <w:rsid w:val="00776485"/>
    <w:rsid w:val="00776573"/>
    <w:rsid w:val="00777821"/>
    <w:rsid w:val="00777DB6"/>
    <w:rsid w:val="007810FC"/>
    <w:rsid w:val="007811AE"/>
    <w:rsid w:val="007813B5"/>
    <w:rsid w:val="007817C5"/>
    <w:rsid w:val="00781BFA"/>
    <w:rsid w:val="00781CDA"/>
    <w:rsid w:val="0078234C"/>
    <w:rsid w:val="0078283B"/>
    <w:rsid w:val="007834F3"/>
    <w:rsid w:val="007855DA"/>
    <w:rsid w:val="00785689"/>
    <w:rsid w:val="00785D59"/>
    <w:rsid w:val="007865EF"/>
    <w:rsid w:val="00786DC2"/>
    <w:rsid w:val="00787ADF"/>
    <w:rsid w:val="00787B38"/>
    <w:rsid w:val="00790DAF"/>
    <w:rsid w:val="007915A5"/>
    <w:rsid w:val="00792940"/>
    <w:rsid w:val="0079460F"/>
    <w:rsid w:val="00794A0C"/>
    <w:rsid w:val="00795467"/>
    <w:rsid w:val="007955A2"/>
    <w:rsid w:val="00796F07"/>
    <w:rsid w:val="0079754B"/>
    <w:rsid w:val="00797A33"/>
    <w:rsid w:val="007A060B"/>
    <w:rsid w:val="007A0BBF"/>
    <w:rsid w:val="007A0CF6"/>
    <w:rsid w:val="007A13FC"/>
    <w:rsid w:val="007A1C38"/>
    <w:rsid w:val="007A1E6D"/>
    <w:rsid w:val="007A2123"/>
    <w:rsid w:val="007A41EF"/>
    <w:rsid w:val="007A6329"/>
    <w:rsid w:val="007A6587"/>
    <w:rsid w:val="007A669B"/>
    <w:rsid w:val="007A7CB8"/>
    <w:rsid w:val="007B0462"/>
    <w:rsid w:val="007B0EB2"/>
    <w:rsid w:val="007B0F1A"/>
    <w:rsid w:val="007B2CE1"/>
    <w:rsid w:val="007B31AA"/>
    <w:rsid w:val="007B3BB3"/>
    <w:rsid w:val="007B3E26"/>
    <w:rsid w:val="007B467C"/>
    <w:rsid w:val="007B47C3"/>
    <w:rsid w:val="007B657B"/>
    <w:rsid w:val="007C0D9A"/>
    <w:rsid w:val="007C0F28"/>
    <w:rsid w:val="007C1617"/>
    <w:rsid w:val="007C1911"/>
    <w:rsid w:val="007C227C"/>
    <w:rsid w:val="007C3B02"/>
    <w:rsid w:val="007C7FA1"/>
    <w:rsid w:val="007D2274"/>
    <w:rsid w:val="007D24FF"/>
    <w:rsid w:val="007D2D82"/>
    <w:rsid w:val="007D352A"/>
    <w:rsid w:val="007D6445"/>
    <w:rsid w:val="007D7108"/>
    <w:rsid w:val="007D7F50"/>
    <w:rsid w:val="007E13D7"/>
    <w:rsid w:val="007E257E"/>
    <w:rsid w:val="007E29F1"/>
    <w:rsid w:val="007E2CD4"/>
    <w:rsid w:val="007E42A3"/>
    <w:rsid w:val="007E5218"/>
    <w:rsid w:val="007E5F73"/>
    <w:rsid w:val="007E6E4B"/>
    <w:rsid w:val="007E722E"/>
    <w:rsid w:val="007E7963"/>
    <w:rsid w:val="007F0CB1"/>
    <w:rsid w:val="007F3721"/>
    <w:rsid w:val="007F41B5"/>
    <w:rsid w:val="007F4A4F"/>
    <w:rsid w:val="007F6618"/>
    <w:rsid w:val="007F76A6"/>
    <w:rsid w:val="00800560"/>
    <w:rsid w:val="008008CF"/>
    <w:rsid w:val="0080334F"/>
    <w:rsid w:val="00803ECF"/>
    <w:rsid w:val="008043C1"/>
    <w:rsid w:val="00804941"/>
    <w:rsid w:val="00804D39"/>
    <w:rsid w:val="00804D69"/>
    <w:rsid w:val="00805A53"/>
    <w:rsid w:val="00805B72"/>
    <w:rsid w:val="008079B1"/>
    <w:rsid w:val="00810B6F"/>
    <w:rsid w:val="008119FA"/>
    <w:rsid w:val="00811E95"/>
    <w:rsid w:val="00813079"/>
    <w:rsid w:val="00813AED"/>
    <w:rsid w:val="00813D2E"/>
    <w:rsid w:val="00814301"/>
    <w:rsid w:val="00814370"/>
    <w:rsid w:val="00814398"/>
    <w:rsid w:val="00814714"/>
    <w:rsid w:val="0081569F"/>
    <w:rsid w:val="00816558"/>
    <w:rsid w:val="008170E1"/>
    <w:rsid w:val="00817A90"/>
    <w:rsid w:val="008207EC"/>
    <w:rsid w:val="00821590"/>
    <w:rsid w:val="00822A93"/>
    <w:rsid w:val="00822CE0"/>
    <w:rsid w:val="00823D2E"/>
    <w:rsid w:val="008244AF"/>
    <w:rsid w:val="008247E0"/>
    <w:rsid w:val="00825852"/>
    <w:rsid w:val="0082653D"/>
    <w:rsid w:val="008274EA"/>
    <w:rsid w:val="00827535"/>
    <w:rsid w:val="0083295B"/>
    <w:rsid w:val="00833224"/>
    <w:rsid w:val="0083556A"/>
    <w:rsid w:val="00835CFE"/>
    <w:rsid w:val="00835D43"/>
    <w:rsid w:val="0084028E"/>
    <w:rsid w:val="00840316"/>
    <w:rsid w:val="00840AF5"/>
    <w:rsid w:val="00841814"/>
    <w:rsid w:val="00841AB1"/>
    <w:rsid w:val="008426AC"/>
    <w:rsid w:val="008463EF"/>
    <w:rsid w:val="008473A1"/>
    <w:rsid w:val="00847494"/>
    <w:rsid w:val="00847A58"/>
    <w:rsid w:val="0085184E"/>
    <w:rsid w:val="00853867"/>
    <w:rsid w:val="00854DD1"/>
    <w:rsid w:val="00854E97"/>
    <w:rsid w:val="0085551B"/>
    <w:rsid w:val="00855CB9"/>
    <w:rsid w:val="00855D48"/>
    <w:rsid w:val="008579E6"/>
    <w:rsid w:val="00857BDA"/>
    <w:rsid w:val="00857CC0"/>
    <w:rsid w:val="00857E84"/>
    <w:rsid w:val="00860163"/>
    <w:rsid w:val="00860290"/>
    <w:rsid w:val="00860940"/>
    <w:rsid w:val="00860A44"/>
    <w:rsid w:val="008610F8"/>
    <w:rsid w:val="008622A6"/>
    <w:rsid w:val="00862AAA"/>
    <w:rsid w:val="00863B05"/>
    <w:rsid w:val="00863FB2"/>
    <w:rsid w:val="0086448B"/>
    <w:rsid w:val="0086575D"/>
    <w:rsid w:val="00865EC0"/>
    <w:rsid w:val="008664AF"/>
    <w:rsid w:val="008665C2"/>
    <w:rsid w:val="00867545"/>
    <w:rsid w:val="00867D5F"/>
    <w:rsid w:val="00871FC9"/>
    <w:rsid w:val="008726DE"/>
    <w:rsid w:val="00873AA6"/>
    <w:rsid w:val="00873B70"/>
    <w:rsid w:val="00873FF1"/>
    <w:rsid w:val="008749C8"/>
    <w:rsid w:val="00875034"/>
    <w:rsid w:val="008765BF"/>
    <w:rsid w:val="008815B9"/>
    <w:rsid w:val="00881820"/>
    <w:rsid w:val="00883468"/>
    <w:rsid w:val="00883A4A"/>
    <w:rsid w:val="00884370"/>
    <w:rsid w:val="00884C04"/>
    <w:rsid w:val="00884C4A"/>
    <w:rsid w:val="00884CBE"/>
    <w:rsid w:val="00884E65"/>
    <w:rsid w:val="00886066"/>
    <w:rsid w:val="008864B2"/>
    <w:rsid w:val="0089028D"/>
    <w:rsid w:val="008925F8"/>
    <w:rsid w:val="00892900"/>
    <w:rsid w:val="00893403"/>
    <w:rsid w:val="00895FDC"/>
    <w:rsid w:val="00897DF8"/>
    <w:rsid w:val="008A0782"/>
    <w:rsid w:val="008A0BBE"/>
    <w:rsid w:val="008A160F"/>
    <w:rsid w:val="008A16C2"/>
    <w:rsid w:val="008A312F"/>
    <w:rsid w:val="008A3BDF"/>
    <w:rsid w:val="008A4A71"/>
    <w:rsid w:val="008A6170"/>
    <w:rsid w:val="008A6BB9"/>
    <w:rsid w:val="008A769E"/>
    <w:rsid w:val="008B04BA"/>
    <w:rsid w:val="008B060D"/>
    <w:rsid w:val="008B074B"/>
    <w:rsid w:val="008B083D"/>
    <w:rsid w:val="008B0C66"/>
    <w:rsid w:val="008B2EE2"/>
    <w:rsid w:val="008B5A35"/>
    <w:rsid w:val="008C070D"/>
    <w:rsid w:val="008C0B6F"/>
    <w:rsid w:val="008C1F79"/>
    <w:rsid w:val="008C1FF7"/>
    <w:rsid w:val="008C2A1B"/>
    <w:rsid w:val="008C3031"/>
    <w:rsid w:val="008C335F"/>
    <w:rsid w:val="008C417A"/>
    <w:rsid w:val="008C4E02"/>
    <w:rsid w:val="008C4E71"/>
    <w:rsid w:val="008C50B9"/>
    <w:rsid w:val="008C5356"/>
    <w:rsid w:val="008C5F36"/>
    <w:rsid w:val="008C68F1"/>
    <w:rsid w:val="008C738E"/>
    <w:rsid w:val="008D08B2"/>
    <w:rsid w:val="008D0EA4"/>
    <w:rsid w:val="008D21DC"/>
    <w:rsid w:val="008D42A2"/>
    <w:rsid w:val="008D68BF"/>
    <w:rsid w:val="008D736C"/>
    <w:rsid w:val="008D7CC8"/>
    <w:rsid w:val="008E074A"/>
    <w:rsid w:val="008E24A3"/>
    <w:rsid w:val="008E26A6"/>
    <w:rsid w:val="008E2E13"/>
    <w:rsid w:val="008E3B73"/>
    <w:rsid w:val="008E3DA8"/>
    <w:rsid w:val="008E43D5"/>
    <w:rsid w:val="008F0091"/>
    <w:rsid w:val="008F0F9E"/>
    <w:rsid w:val="008F170B"/>
    <w:rsid w:val="008F2B4F"/>
    <w:rsid w:val="008F2CF9"/>
    <w:rsid w:val="008F3006"/>
    <w:rsid w:val="008F491A"/>
    <w:rsid w:val="008F5AA4"/>
    <w:rsid w:val="008F766A"/>
    <w:rsid w:val="008F7E50"/>
    <w:rsid w:val="00900532"/>
    <w:rsid w:val="00900DFF"/>
    <w:rsid w:val="009033B3"/>
    <w:rsid w:val="00904099"/>
    <w:rsid w:val="00905243"/>
    <w:rsid w:val="009063A3"/>
    <w:rsid w:val="00906985"/>
    <w:rsid w:val="0091006D"/>
    <w:rsid w:val="00911B98"/>
    <w:rsid w:val="00912C7C"/>
    <w:rsid w:val="00914655"/>
    <w:rsid w:val="009153F8"/>
    <w:rsid w:val="00915B6B"/>
    <w:rsid w:val="00915E4B"/>
    <w:rsid w:val="009167EA"/>
    <w:rsid w:val="00917545"/>
    <w:rsid w:val="0092161B"/>
    <w:rsid w:val="00921803"/>
    <w:rsid w:val="009221B8"/>
    <w:rsid w:val="00925E88"/>
    <w:rsid w:val="00926503"/>
    <w:rsid w:val="00926610"/>
    <w:rsid w:val="00926736"/>
    <w:rsid w:val="00926C8A"/>
    <w:rsid w:val="00927259"/>
    <w:rsid w:val="00930266"/>
    <w:rsid w:val="009309E7"/>
    <w:rsid w:val="00931716"/>
    <w:rsid w:val="00931C77"/>
    <w:rsid w:val="00933A7C"/>
    <w:rsid w:val="00935FD8"/>
    <w:rsid w:val="009361E9"/>
    <w:rsid w:val="00936585"/>
    <w:rsid w:val="009365C0"/>
    <w:rsid w:val="0093675E"/>
    <w:rsid w:val="009377DB"/>
    <w:rsid w:val="009410B5"/>
    <w:rsid w:val="0094160D"/>
    <w:rsid w:val="00941932"/>
    <w:rsid w:val="00941DEB"/>
    <w:rsid w:val="00942834"/>
    <w:rsid w:val="00942E01"/>
    <w:rsid w:val="00944AD8"/>
    <w:rsid w:val="00947578"/>
    <w:rsid w:val="00950170"/>
    <w:rsid w:val="009507EC"/>
    <w:rsid w:val="00950E54"/>
    <w:rsid w:val="0095148E"/>
    <w:rsid w:val="0095154F"/>
    <w:rsid w:val="009515FE"/>
    <w:rsid w:val="00951C5B"/>
    <w:rsid w:val="009526C7"/>
    <w:rsid w:val="0095431F"/>
    <w:rsid w:val="009556E2"/>
    <w:rsid w:val="009566F6"/>
    <w:rsid w:val="0095722F"/>
    <w:rsid w:val="00960CA7"/>
    <w:rsid w:val="0096166A"/>
    <w:rsid w:val="009624B7"/>
    <w:rsid w:val="0096332F"/>
    <w:rsid w:val="009649C9"/>
    <w:rsid w:val="00964D12"/>
    <w:rsid w:val="00965413"/>
    <w:rsid w:val="00965DCC"/>
    <w:rsid w:val="00965E63"/>
    <w:rsid w:val="00965E6F"/>
    <w:rsid w:val="00966706"/>
    <w:rsid w:val="00966AE2"/>
    <w:rsid w:val="00966D8F"/>
    <w:rsid w:val="00970D02"/>
    <w:rsid w:val="00971C99"/>
    <w:rsid w:val="009726D8"/>
    <w:rsid w:val="00973FF0"/>
    <w:rsid w:val="009742B7"/>
    <w:rsid w:val="009743A8"/>
    <w:rsid w:val="00975899"/>
    <w:rsid w:val="0097697A"/>
    <w:rsid w:val="009771FF"/>
    <w:rsid w:val="009778A3"/>
    <w:rsid w:val="00984CCE"/>
    <w:rsid w:val="0098541F"/>
    <w:rsid w:val="00985BBD"/>
    <w:rsid w:val="00986185"/>
    <w:rsid w:val="00986CAF"/>
    <w:rsid w:val="009916EC"/>
    <w:rsid w:val="00992C57"/>
    <w:rsid w:val="00993D1C"/>
    <w:rsid w:val="0099651E"/>
    <w:rsid w:val="009972C5"/>
    <w:rsid w:val="009A0477"/>
    <w:rsid w:val="009A06B5"/>
    <w:rsid w:val="009A132C"/>
    <w:rsid w:val="009A2371"/>
    <w:rsid w:val="009A244B"/>
    <w:rsid w:val="009A4B24"/>
    <w:rsid w:val="009A592C"/>
    <w:rsid w:val="009B0A32"/>
    <w:rsid w:val="009B10B8"/>
    <w:rsid w:val="009B1165"/>
    <w:rsid w:val="009B2AD7"/>
    <w:rsid w:val="009B2C4C"/>
    <w:rsid w:val="009B2D6D"/>
    <w:rsid w:val="009B505D"/>
    <w:rsid w:val="009B554C"/>
    <w:rsid w:val="009B5A0B"/>
    <w:rsid w:val="009B604A"/>
    <w:rsid w:val="009B6256"/>
    <w:rsid w:val="009B67BE"/>
    <w:rsid w:val="009B6921"/>
    <w:rsid w:val="009B7F3A"/>
    <w:rsid w:val="009C1365"/>
    <w:rsid w:val="009C2DAE"/>
    <w:rsid w:val="009C4151"/>
    <w:rsid w:val="009C5230"/>
    <w:rsid w:val="009C5C27"/>
    <w:rsid w:val="009C5FF7"/>
    <w:rsid w:val="009C6029"/>
    <w:rsid w:val="009C71B0"/>
    <w:rsid w:val="009D0EF6"/>
    <w:rsid w:val="009D1511"/>
    <w:rsid w:val="009D23C2"/>
    <w:rsid w:val="009D29BA"/>
    <w:rsid w:val="009D318F"/>
    <w:rsid w:val="009D3CCF"/>
    <w:rsid w:val="009D78CD"/>
    <w:rsid w:val="009D7A18"/>
    <w:rsid w:val="009D7CC0"/>
    <w:rsid w:val="009D7EEF"/>
    <w:rsid w:val="009E19B1"/>
    <w:rsid w:val="009E1E5F"/>
    <w:rsid w:val="009E236D"/>
    <w:rsid w:val="009E4BF2"/>
    <w:rsid w:val="009E54ED"/>
    <w:rsid w:val="009E710E"/>
    <w:rsid w:val="009F1D52"/>
    <w:rsid w:val="009F2BFC"/>
    <w:rsid w:val="009F2C16"/>
    <w:rsid w:val="009F420C"/>
    <w:rsid w:val="009F4849"/>
    <w:rsid w:val="009F4861"/>
    <w:rsid w:val="009F4D4F"/>
    <w:rsid w:val="009F5031"/>
    <w:rsid w:val="009F59C9"/>
    <w:rsid w:val="009F5D0E"/>
    <w:rsid w:val="009F5DE8"/>
    <w:rsid w:val="009F76DB"/>
    <w:rsid w:val="00A00340"/>
    <w:rsid w:val="00A0072B"/>
    <w:rsid w:val="00A00D42"/>
    <w:rsid w:val="00A01372"/>
    <w:rsid w:val="00A03953"/>
    <w:rsid w:val="00A072F6"/>
    <w:rsid w:val="00A078C8"/>
    <w:rsid w:val="00A10A4A"/>
    <w:rsid w:val="00A11411"/>
    <w:rsid w:val="00A11980"/>
    <w:rsid w:val="00A12603"/>
    <w:rsid w:val="00A12B36"/>
    <w:rsid w:val="00A14866"/>
    <w:rsid w:val="00A148A6"/>
    <w:rsid w:val="00A161C8"/>
    <w:rsid w:val="00A167CA"/>
    <w:rsid w:val="00A17263"/>
    <w:rsid w:val="00A175D1"/>
    <w:rsid w:val="00A175FC"/>
    <w:rsid w:val="00A21FCE"/>
    <w:rsid w:val="00A23D23"/>
    <w:rsid w:val="00A25D04"/>
    <w:rsid w:val="00A32C3B"/>
    <w:rsid w:val="00A332D7"/>
    <w:rsid w:val="00A34D62"/>
    <w:rsid w:val="00A366B5"/>
    <w:rsid w:val="00A368E5"/>
    <w:rsid w:val="00A37270"/>
    <w:rsid w:val="00A37ECD"/>
    <w:rsid w:val="00A40E34"/>
    <w:rsid w:val="00A4153C"/>
    <w:rsid w:val="00A419A9"/>
    <w:rsid w:val="00A41AC7"/>
    <w:rsid w:val="00A43676"/>
    <w:rsid w:val="00A43E98"/>
    <w:rsid w:val="00A44D0D"/>
    <w:rsid w:val="00A45EBD"/>
    <w:rsid w:val="00A45F4F"/>
    <w:rsid w:val="00A476B9"/>
    <w:rsid w:val="00A47828"/>
    <w:rsid w:val="00A5051A"/>
    <w:rsid w:val="00A50B0C"/>
    <w:rsid w:val="00A51059"/>
    <w:rsid w:val="00A5174B"/>
    <w:rsid w:val="00A517E4"/>
    <w:rsid w:val="00A51FF3"/>
    <w:rsid w:val="00A5257C"/>
    <w:rsid w:val="00A527AF"/>
    <w:rsid w:val="00A530AD"/>
    <w:rsid w:val="00A55CB3"/>
    <w:rsid w:val="00A55CD6"/>
    <w:rsid w:val="00A56E40"/>
    <w:rsid w:val="00A57A37"/>
    <w:rsid w:val="00A57BC0"/>
    <w:rsid w:val="00A600A9"/>
    <w:rsid w:val="00A6134D"/>
    <w:rsid w:val="00A6171D"/>
    <w:rsid w:val="00A620EF"/>
    <w:rsid w:val="00A62681"/>
    <w:rsid w:val="00A6400E"/>
    <w:rsid w:val="00A65345"/>
    <w:rsid w:val="00A6568C"/>
    <w:rsid w:val="00A658BE"/>
    <w:rsid w:val="00A65AC8"/>
    <w:rsid w:val="00A676F1"/>
    <w:rsid w:val="00A71C39"/>
    <w:rsid w:val="00A731BE"/>
    <w:rsid w:val="00A7471F"/>
    <w:rsid w:val="00A762E2"/>
    <w:rsid w:val="00A77D7E"/>
    <w:rsid w:val="00A80B78"/>
    <w:rsid w:val="00A81DD3"/>
    <w:rsid w:val="00A82394"/>
    <w:rsid w:val="00A8320C"/>
    <w:rsid w:val="00A8353A"/>
    <w:rsid w:val="00A87414"/>
    <w:rsid w:val="00A90176"/>
    <w:rsid w:val="00A90FE1"/>
    <w:rsid w:val="00A917FE"/>
    <w:rsid w:val="00A92538"/>
    <w:rsid w:val="00A937A7"/>
    <w:rsid w:val="00A95FC7"/>
    <w:rsid w:val="00A96189"/>
    <w:rsid w:val="00A97802"/>
    <w:rsid w:val="00AA0653"/>
    <w:rsid w:val="00AA18F8"/>
    <w:rsid w:val="00AA4376"/>
    <w:rsid w:val="00AA550D"/>
    <w:rsid w:val="00AA55B7"/>
    <w:rsid w:val="00AA5B9E"/>
    <w:rsid w:val="00AA5C07"/>
    <w:rsid w:val="00AA5C7A"/>
    <w:rsid w:val="00AA7AB7"/>
    <w:rsid w:val="00AA7C43"/>
    <w:rsid w:val="00AB0818"/>
    <w:rsid w:val="00AB08A2"/>
    <w:rsid w:val="00AB0A42"/>
    <w:rsid w:val="00AB0EFA"/>
    <w:rsid w:val="00AB1869"/>
    <w:rsid w:val="00AB1D95"/>
    <w:rsid w:val="00AB2407"/>
    <w:rsid w:val="00AB294C"/>
    <w:rsid w:val="00AB39C7"/>
    <w:rsid w:val="00AB456C"/>
    <w:rsid w:val="00AB53DF"/>
    <w:rsid w:val="00AB6ADD"/>
    <w:rsid w:val="00AB7F49"/>
    <w:rsid w:val="00AC07FA"/>
    <w:rsid w:val="00AC2331"/>
    <w:rsid w:val="00AC3027"/>
    <w:rsid w:val="00AC3D74"/>
    <w:rsid w:val="00AC5796"/>
    <w:rsid w:val="00AC5955"/>
    <w:rsid w:val="00AC7A6F"/>
    <w:rsid w:val="00AD0C11"/>
    <w:rsid w:val="00AD0EBB"/>
    <w:rsid w:val="00AD28B7"/>
    <w:rsid w:val="00AD3189"/>
    <w:rsid w:val="00AD385B"/>
    <w:rsid w:val="00AD3950"/>
    <w:rsid w:val="00AD65DE"/>
    <w:rsid w:val="00AD6EBF"/>
    <w:rsid w:val="00AD6ECB"/>
    <w:rsid w:val="00AE03F3"/>
    <w:rsid w:val="00AE0E6B"/>
    <w:rsid w:val="00AE2183"/>
    <w:rsid w:val="00AE343F"/>
    <w:rsid w:val="00AE374E"/>
    <w:rsid w:val="00AE445F"/>
    <w:rsid w:val="00AE46EA"/>
    <w:rsid w:val="00AE5147"/>
    <w:rsid w:val="00AE55BF"/>
    <w:rsid w:val="00AE561C"/>
    <w:rsid w:val="00AE5936"/>
    <w:rsid w:val="00AE65FA"/>
    <w:rsid w:val="00AE6D58"/>
    <w:rsid w:val="00AE7822"/>
    <w:rsid w:val="00AF186D"/>
    <w:rsid w:val="00AF1E9B"/>
    <w:rsid w:val="00AF2612"/>
    <w:rsid w:val="00AF2B27"/>
    <w:rsid w:val="00AF49E1"/>
    <w:rsid w:val="00AF54B6"/>
    <w:rsid w:val="00AF66AA"/>
    <w:rsid w:val="00AF7EF8"/>
    <w:rsid w:val="00B0058E"/>
    <w:rsid w:val="00B00BE8"/>
    <w:rsid w:val="00B03BCC"/>
    <w:rsid w:val="00B0434F"/>
    <w:rsid w:val="00B0523B"/>
    <w:rsid w:val="00B05A44"/>
    <w:rsid w:val="00B05BA2"/>
    <w:rsid w:val="00B0667E"/>
    <w:rsid w:val="00B07471"/>
    <w:rsid w:val="00B07584"/>
    <w:rsid w:val="00B07E5C"/>
    <w:rsid w:val="00B10542"/>
    <w:rsid w:val="00B10BDA"/>
    <w:rsid w:val="00B10D20"/>
    <w:rsid w:val="00B10F40"/>
    <w:rsid w:val="00B116CB"/>
    <w:rsid w:val="00B12C25"/>
    <w:rsid w:val="00B12DFB"/>
    <w:rsid w:val="00B12EAE"/>
    <w:rsid w:val="00B1300D"/>
    <w:rsid w:val="00B15597"/>
    <w:rsid w:val="00B15732"/>
    <w:rsid w:val="00B17FAB"/>
    <w:rsid w:val="00B206F1"/>
    <w:rsid w:val="00B21C1A"/>
    <w:rsid w:val="00B2303F"/>
    <w:rsid w:val="00B249A4"/>
    <w:rsid w:val="00B25BA8"/>
    <w:rsid w:val="00B26F20"/>
    <w:rsid w:val="00B271FB"/>
    <w:rsid w:val="00B320CD"/>
    <w:rsid w:val="00B324C4"/>
    <w:rsid w:val="00B32A21"/>
    <w:rsid w:val="00B32C8C"/>
    <w:rsid w:val="00B32EB7"/>
    <w:rsid w:val="00B3320E"/>
    <w:rsid w:val="00B3347B"/>
    <w:rsid w:val="00B33E22"/>
    <w:rsid w:val="00B351A5"/>
    <w:rsid w:val="00B35FB0"/>
    <w:rsid w:val="00B40583"/>
    <w:rsid w:val="00B4110B"/>
    <w:rsid w:val="00B427C8"/>
    <w:rsid w:val="00B44A57"/>
    <w:rsid w:val="00B4567F"/>
    <w:rsid w:val="00B464F5"/>
    <w:rsid w:val="00B4651C"/>
    <w:rsid w:val="00B525B6"/>
    <w:rsid w:val="00B526A0"/>
    <w:rsid w:val="00B52BE1"/>
    <w:rsid w:val="00B54878"/>
    <w:rsid w:val="00B54BEE"/>
    <w:rsid w:val="00B56952"/>
    <w:rsid w:val="00B56C5C"/>
    <w:rsid w:val="00B5724F"/>
    <w:rsid w:val="00B576F8"/>
    <w:rsid w:val="00B57D34"/>
    <w:rsid w:val="00B638AD"/>
    <w:rsid w:val="00B64917"/>
    <w:rsid w:val="00B64C67"/>
    <w:rsid w:val="00B665F4"/>
    <w:rsid w:val="00B670A2"/>
    <w:rsid w:val="00B671EA"/>
    <w:rsid w:val="00B672DD"/>
    <w:rsid w:val="00B67A7C"/>
    <w:rsid w:val="00B7055C"/>
    <w:rsid w:val="00B71061"/>
    <w:rsid w:val="00B71F04"/>
    <w:rsid w:val="00B73482"/>
    <w:rsid w:val="00B7537B"/>
    <w:rsid w:val="00B763E0"/>
    <w:rsid w:val="00B768E6"/>
    <w:rsid w:val="00B80570"/>
    <w:rsid w:val="00B811F7"/>
    <w:rsid w:val="00B8153B"/>
    <w:rsid w:val="00B82201"/>
    <w:rsid w:val="00B82D88"/>
    <w:rsid w:val="00B82DBE"/>
    <w:rsid w:val="00B82DFE"/>
    <w:rsid w:val="00B83346"/>
    <w:rsid w:val="00B84084"/>
    <w:rsid w:val="00B86D07"/>
    <w:rsid w:val="00B92497"/>
    <w:rsid w:val="00B930AB"/>
    <w:rsid w:val="00B93964"/>
    <w:rsid w:val="00B93CA6"/>
    <w:rsid w:val="00B957F9"/>
    <w:rsid w:val="00B960B8"/>
    <w:rsid w:val="00B963E1"/>
    <w:rsid w:val="00BA08F0"/>
    <w:rsid w:val="00BA2B32"/>
    <w:rsid w:val="00BA352A"/>
    <w:rsid w:val="00BA4B3E"/>
    <w:rsid w:val="00BA548A"/>
    <w:rsid w:val="00BA5DC6"/>
    <w:rsid w:val="00BA6196"/>
    <w:rsid w:val="00BA7C0A"/>
    <w:rsid w:val="00BA7CEA"/>
    <w:rsid w:val="00BA7F2C"/>
    <w:rsid w:val="00BB0D10"/>
    <w:rsid w:val="00BB2963"/>
    <w:rsid w:val="00BB2B89"/>
    <w:rsid w:val="00BB356E"/>
    <w:rsid w:val="00BB38F8"/>
    <w:rsid w:val="00BB3905"/>
    <w:rsid w:val="00BB3C54"/>
    <w:rsid w:val="00BB5A9F"/>
    <w:rsid w:val="00BB624A"/>
    <w:rsid w:val="00BB71EA"/>
    <w:rsid w:val="00BB72D2"/>
    <w:rsid w:val="00BB73F6"/>
    <w:rsid w:val="00BC045E"/>
    <w:rsid w:val="00BC066E"/>
    <w:rsid w:val="00BC0A32"/>
    <w:rsid w:val="00BC393C"/>
    <w:rsid w:val="00BC699F"/>
    <w:rsid w:val="00BC6D8C"/>
    <w:rsid w:val="00BD020F"/>
    <w:rsid w:val="00BD0629"/>
    <w:rsid w:val="00BD3B00"/>
    <w:rsid w:val="00BD569C"/>
    <w:rsid w:val="00BD7499"/>
    <w:rsid w:val="00BD74C3"/>
    <w:rsid w:val="00BD763B"/>
    <w:rsid w:val="00BE2261"/>
    <w:rsid w:val="00BE63CF"/>
    <w:rsid w:val="00BE76B9"/>
    <w:rsid w:val="00BF03B9"/>
    <w:rsid w:val="00BF1359"/>
    <w:rsid w:val="00BF18E4"/>
    <w:rsid w:val="00BF2A38"/>
    <w:rsid w:val="00BF2ADB"/>
    <w:rsid w:val="00BF3188"/>
    <w:rsid w:val="00BF4C77"/>
    <w:rsid w:val="00BF5321"/>
    <w:rsid w:val="00BF7DD9"/>
    <w:rsid w:val="00C00527"/>
    <w:rsid w:val="00C03786"/>
    <w:rsid w:val="00C0418A"/>
    <w:rsid w:val="00C04FE5"/>
    <w:rsid w:val="00C05202"/>
    <w:rsid w:val="00C06AB4"/>
    <w:rsid w:val="00C06BB9"/>
    <w:rsid w:val="00C1054D"/>
    <w:rsid w:val="00C110C2"/>
    <w:rsid w:val="00C1199D"/>
    <w:rsid w:val="00C13324"/>
    <w:rsid w:val="00C15932"/>
    <w:rsid w:val="00C16262"/>
    <w:rsid w:val="00C1772B"/>
    <w:rsid w:val="00C17F35"/>
    <w:rsid w:val="00C213BC"/>
    <w:rsid w:val="00C21A55"/>
    <w:rsid w:val="00C21C6F"/>
    <w:rsid w:val="00C23A8E"/>
    <w:rsid w:val="00C23D08"/>
    <w:rsid w:val="00C24516"/>
    <w:rsid w:val="00C25755"/>
    <w:rsid w:val="00C259F2"/>
    <w:rsid w:val="00C26763"/>
    <w:rsid w:val="00C27441"/>
    <w:rsid w:val="00C274D1"/>
    <w:rsid w:val="00C317F4"/>
    <w:rsid w:val="00C3288B"/>
    <w:rsid w:val="00C333B6"/>
    <w:rsid w:val="00C33926"/>
    <w:rsid w:val="00C34006"/>
    <w:rsid w:val="00C348E5"/>
    <w:rsid w:val="00C35FD4"/>
    <w:rsid w:val="00C36482"/>
    <w:rsid w:val="00C365D0"/>
    <w:rsid w:val="00C4026B"/>
    <w:rsid w:val="00C41838"/>
    <w:rsid w:val="00C426B1"/>
    <w:rsid w:val="00C42D3F"/>
    <w:rsid w:val="00C4317A"/>
    <w:rsid w:val="00C440DE"/>
    <w:rsid w:val="00C5123D"/>
    <w:rsid w:val="00C520F6"/>
    <w:rsid w:val="00C52515"/>
    <w:rsid w:val="00C53682"/>
    <w:rsid w:val="00C5370E"/>
    <w:rsid w:val="00C538E8"/>
    <w:rsid w:val="00C5400A"/>
    <w:rsid w:val="00C54F8D"/>
    <w:rsid w:val="00C56180"/>
    <w:rsid w:val="00C56F07"/>
    <w:rsid w:val="00C578AA"/>
    <w:rsid w:val="00C57C8D"/>
    <w:rsid w:val="00C60791"/>
    <w:rsid w:val="00C60F1E"/>
    <w:rsid w:val="00C6319B"/>
    <w:rsid w:val="00C6406B"/>
    <w:rsid w:val="00C64148"/>
    <w:rsid w:val="00C64A1E"/>
    <w:rsid w:val="00C660CA"/>
    <w:rsid w:val="00C66160"/>
    <w:rsid w:val="00C66343"/>
    <w:rsid w:val="00C66C74"/>
    <w:rsid w:val="00C66FCA"/>
    <w:rsid w:val="00C70ABC"/>
    <w:rsid w:val="00C7176B"/>
    <w:rsid w:val="00C721AC"/>
    <w:rsid w:val="00C722BE"/>
    <w:rsid w:val="00C724EC"/>
    <w:rsid w:val="00C7302A"/>
    <w:rsid w:val="00C737C0"/>
    <w:rsid w:val="00C75F59"/>
    <w:rsid w:val="00C77AFB"/>
    <w:rsid w:val="00C80B09"/>
    <w:rsid w:val="00C81384"/>
    <w:rsid w:val="00C8143B"/>
    <w:rsid w:val="00C83282"/>
    <w:rsid w:val="00C85F1D"/>
    <w:rsid w:val="00C86028"/>
    <w:rsid w:val="00C86519"/>
    <w:rsid w:val="00C87A26"/>
    <w:rsid w:val="00C901C7"/>
    <w:rsid w:val="00C90AC5"/>
    <w:rsid w:val="00C90D6A"/>
    <w:rsid w:val="00C92810"/>
    <w:rsid w:val="00C962A1"/>
    <w:rsid w:val="00C972C4"/>
    <w:rsid w:val="00CA1602"/>
    <w:rsid w:val="00CA247E"/>
    <w:rsid w:val="00CA2B3E"/>
    <w:rsid w:val="00CA3F2A"/>
    <w:rsid w:val="00CA427F"/>
    <w:rsid w:val="00CA4370"/>
    <w:rsid w:val="00CA45B9"/>
    <w:rsid w:val="00CA4B41"/>
    <w:rsid w:val="00CB0A1C"/>
    <w:rsid w:val="00CB0A4D"/>
    <w:rsid w:val="00CB2AB0"/>
    <w:rsid w:val="00CB3A70"/>
    <w:rsid w:val="00CB3DDF"/>
    <w:rsid w:val="00CB4547"/>
    <w:rsid w:val="00CB45CC"/>
    <w:rsid w:val="00CB515A"/>
    <w:rsid w:val="00CB59C2"/>
    <w:rsid w:val="00CB5D14"/>
    <w:rsid w:val="00CB5F61"/>
    <w:rsid w:val="00CB660A"/>
    <w:rsid w:val="00CB6738"/>
    <w:rsid w:val="00CC0A54"/>
    <w:rsid w:val="00CC1318"/>
    <w:rsid w:val="00CC3654"/>
    <w:rsid w:val="00CC39F3"/>
    <w:rsid w:val="00CC3D88"/>
    <w:rsid w:val="00CC59E9"/>
    <w:rsid w:val="00CC5F64"/>
    <w:rsid w:val="00CC72B6"/>
    <w:rsid w:val="00CD0EE9"/>
    <w:rsid w:val="00CD1ACC"/>
    <w:rsid w:val="00CD277E"/>
    <w:rsid w:val="00CD2BD7"/>
    <w:rsid w:val="00CD4CF7"/>
    <w:rsid w:val="00CD6792"/>
    <w:rsid w:val="00CE002C"/>
    <w:rsid w:val="00CE2366"/>
    <w:rsid w:val="00CE2759"/>
    <w:rsid w:val="00CE3A27"/>
    <w:rsid w:val="00CE4057"/>
    <w:rsid w:val="00CE4806"/>
    <w:rsid w:val="00CE52F1"/>
    <w:rsid w:val="00CE5EAF"/>
    <w:rsid w:val="00CE728F"/>
    <w:rsid w:val="00CE7F02"/>
    <w:rsid w:val="00CF0BDD"/>
    <w:rsid w:val="00CF16FC"/>
    <w:rsid w:val="00CF20B2"/>
    <w:rsid w:val="00CF2776"/>
    <w:rsid w:val="00CF310A"/>
    <w:rsid w:val="00CF39C1"/>
    <w:rsid w:val="00CF63C9"/>
    <w:rsid w:val="00CF6B76"/>
    <w:rsid w:val="00CF74C5"/>
    <w:rsid w:val="00D0066F"/>
    <w:rsid w:val="00D009D9"/>
    <w:rsid w:val="00D01126"/>
    <w:rsid w:val="00D0218D"/>
    <w:rsid w:val="00D05247"/>
    <w:rsid w:val="00D05D87"/>
    <w:rsid w:val="00D05E62"/>
    <w:rsid w:val="00D07377"/>
    <w:rsid w:val="00D101DD"/>
    <w:rsid w:val="00D106EF"/>
    <w:rsid w:val="00D1093D"/>
    <w:rsid w:val="00D10A56"/>
    <w:rsid w:val="00D1120F"/>
    <w:rsid w:val="00D1208F"/>
    <w:rsid w:val="00D120C2"/>
    <w:rsid w:val="00D12B15"/>
    <w:rsid w:val="00D14280"/>
    <w:rsid w:val="00D14916"/>
    <w:rsid w:val="00D1579B"/>
    <w:rsid w:val="00D15B67"/>
    <w:rsid w:val="00D15E0A"/>
    <w:rsid w:val="00D17693"/>
    <w:rsid w:val="00D17902"/>
    <w:rsid w:val="00D17CEF"/>
    <w:rsid w:val="00D20778"/>
    <w:rsid w:val="00D20A01"/>
    <w:rsid w:val="00D211E5"/>
    <w:rsid w:val="00D21E2A"/>
    <w:rsid w:val="00D21F67"/>
    <w:rsid w:val="00D22F22"/>
    <w:rsid w:val="00D24B05"/>
    <w:rsid w:val="00D25FB5"/>
    <w:rsid w:val="00D26209"/>
    <w:rsid w:val="00D26999"/>
    <w:rsid w:val="00D26C57"/>
    <w:rsid w:val="00D26D0B"/>
    <w:rsid w:val="00D303AC"/>
    <w:rsid w:val="00D31581"/>
    <w:rsid w:val="00D3377A"/>
    <w:rsid w:val="00D33781"/>
    <w:rsid w:val="00D37993"/>
    <w:rsid w:val="00D37E26"/>
    <w:rsid w:val="00D4215A"/>
    <w:rsid w:val="00D4331A"/>
    <w:rsid w:val="00D44223"/>
    <w:rsid w:val="00D45216"/>
    <w:rsid w:val="00D46FAF"/>
    <w:rsid w:val="00D4703F"/>
    <w:rsid w:val="00D478AE"/>
    <w:rsid w:val="00D47970"/>
    <w:rsid w:val="00D47F26"/>
    <w:rsid w:val="00D522EE"/>
    <w:rsid w:val="00D528FF"/>
    <w:rsid w:val="00D52C50"/>
    <w:rsid w:val="00D53387"/>
    <w:rsid w:val="00D53AA6"/>
    <w:rsid w:val="00D53F4E"/>
    <w:rsid w:val="00D55DFB"/>
    <w:rsid w:val="00D56ED7"/>
    <w:rsid w:val="00D648CB"/>
    <w:rsid w:val="00D652B2"/>
    <w:rsid w:val="00D662F6"/>
    <w:rsid w:val="00D66976"/>
    <w:rsid w:val="00D66DFC"/>
    <w:rsid w:val="00D71944"/>
    <w:rsid w:val="00D71D83"/>
    <w:rsid w:val="00D7270D"/>
    <w:rsid w:val="00D74F32"/>
    <w:rsid w:val="00D74FFB"/>
    <w:rsid w:val="00D7560D"/>
    <w:rsid w:val="00D75E60"/>
    <w:rsid w:val="00D769DD"/>
    <w:rsid w:val="00D777D2"/>
    <w:rsid w:val="00D77948"/>
    <w:rsid w:val="00D77A06"/>
    <w:rsid w:val="00D77DC6"/>
    <w:rsid w:val="00D80533"/>
    <w:rsid w:val="00D81469"/>
    <w:rsid w:val="00D8220E"/>
    <w:rsid w:val="00D82FBC"/>
    <w:rsid w:val="00D83455"/>
    <w:rsid w:val="00D83573"/>
    <w:rsid w:val="00D85829"/>
    <w:rsid w:val="00D8691B"/>
    <w:rsid w:val="00D87671"/>
    <w:rsid w:val="00D8775B"/>
    <w:rsid w:val="00D87B73"/>
    <w:rsid w:val="00D87C9C"/>
    <w:rsid w:val="00D9181C"/>
    <w:rsid w:val="00D92A86"/>
    <w:rsid w:val="00D94481"/>
    <w:rsid w:val="00D950F5"/>
    <w:rsid w:val="00D96040"/>
    <w:rsid w:val="00D97AE3"/>
    <w:rsid w:val="00DA03FA"/>
    <w:rsid w:val="00DA069C"/>
    <w:rsid w:val="00DA1887"/>
    <w:rsid w:val="00DA2529"/>
    <w:rsid w:val="00DA2888"/>
    <w:rsid w:val="00DA2A98"/>
    <w:rsid w:val="00DA4736"/>
    <w:rsid w:val="00DA4CF1"/>
    <w:rsid w:val="00DA53C3"/>
    <w:rsid w:val="00DA5BFC"/>
    <w:rsid w:val="00DA6308"/>
    <w:rsid w:val="00DA685E"/>
    <w:rsid w:val="00DA7C2C"/>
    <w:rsid w:val="00DB06AC"/>
    <w:rsid w:val="00DB092A"/>
    <w:rsid w:val="00DB0C80"/>
    <w:rsid w:val="00DB130A"/>
    <w:rsid w:val="00DB25C5"/>
    <w:rsid w:val="00DB2EBB"/>
    <w:rsid w:val="00DB391E"/>
    <w:rsid w:val="00DB656C"/>
    <w:rsid w:val="00DB6CB0"/>
    <w:rsid w:val="00DB7AE2"/>
    <w:rsid w:val="00DB7BC1"/>
    <w:rsid w:val="00DC0945"/>
    <w:rsid w:val="00DC0CE6"/>
    <w:rsid w:val="00DC10A1"/>
    <w:rsid w:val="00DC1904"/>
    <w:rsid w:val="00DC1AD0"/>
    <w:rsid w:val="00DC2CE4"/>
    <w:rsid w:val="00DC4B99"/>
    <w:rsid w:val="00DC556E"/>
    <w:rsid w:val="00DC6234"/>
    <w:rsid w:val="00DC655F"/>
    <w:rsid w:val="00DC7628"/>
    <w:rsid w:val="00DC7810"/>
    <w:rsid w:val="00DD0A7D"/>
    <w:rsid w:val="00DD0B24"/>
    <w:rsid w:val="00DD0B59"/>
    <w:rsid w:val="00DD166B"/>
    <w:rsid w:val="00DD16EF"/>
    <w:rsid w:val="00DD291A"/>
    <w:rsid w:val="00DD29F2"/>
    <w:rsid w:val="00DD359D"/>
    <w:rsid w:val="00DD3840"/>
    <w:rsid w:val="00DD466D"/>
    <w:rsid w:val="00DD531E"/>
    <w:rsid w:val="00DD5665"/>
    <w:rsid w:val="00DD5AB1"/>
    <w:rsid w:val="00DD604F"/>
    <w:rsid w:val="00DD71DE"/>
    <w:rsid w:val="00DD7CD5"/>
    <w:rsid w:val="00DD7EBD"/>
    <w:rsid w:val="00DE1CC2"/>
    <w:rsid w:val="00DE2758"/>
    <w:rsid w:val="00DE2BA8"/>
    <w:rsid w:val="00DE3E7F"/>
    <w:rsid w:val="00DE5112"/>
    <w:rsid w:val="00DE561E"/>
    <w:rsid w:val="00DE5B3C"/>
    <w:rsid w:val="00DE5E95"/>
    <w:rsid w:val="00DE5F74"/>
    <w:rsid w:val="00DE64B6"/>
    <w:rsid w:val="00DE662F"/>
    <w:rsid w:val="00DE6B65"/>
    <w:rsid w:val="00DE7166"/>
    <w:rsid w:val="00DF02A0"/>
    <w:rsid w:val="00DF09DF"/>
    <w:rsid w:val="00DF0B45"/>
    <w:rsid w:val="00DF180A"/>
    <w:rsid w:val="00DF2007"/>
    <w:rsid w:val="00DF35D4"/>
    <w:rsid w:val="00DF3FD4"/>
    <w:rsid w:val="00DF4EEE"/>
    <w:rsid w:val="00DF56FB"/>
    <w:rsid w:val="00DF611E"/>
    <w:rsid w:val="00DF62B6"/>
    <w:rsid w:val="00DF67F7"/>
    <w:rsid w:val="00E0057E"/>
    <w:rsid w:val="00E0099E"/>
    <w:rsid w:val="00E02BB8"/>
    <w:rsid w:val="00E04D91"/>
    <w:rsid w:val="00E06041"/>
    <w:rsid w:val="00E061BB"/>
    <w:rsid w:val="00E06AB4"/>
    <w:rsid w:val="00E07225"/>
    <w:rsid w:val="00E10C1C"/>
    <w:rsid w:val="00E11E3B"/>
    <w:rsid w:val="00E11E87"/>
    <w:rsid w:val="00E12B0D"/>
    <w:rsid w:val="00E12BD0"/>
    <w:rsid w:val="00E12DAA"/>
    <w:rsid w:val="00E1303B"/>
    <w:rsid w:val="00E13835"/>
    <w:rsid w:val="00E138E1"/>
    <w:rsid w:val="00E162DA"/>
    <w:rsid w:val="00E178AA"/>
    <w:rsid w:val="00E200C8"/>
    <w:rsid w:val="00E2022E"/>
    <w:rsid w:val="00E2047D"/>
    <w:rsid w:val="00E208A1"/>
    <w:rsid w:val="00E21371"/>
    <w:rsid w:val="00E215DB"/>
    <w:rsid w:val="00E229BB"/>
    <w:rsid w:val="00E23196"/>
    <w:rsid w:val="00E233E0"/>
    <w:rsid w:val="00E236B1"/>
    <w:rsid w:val="00E24937"/>
    <w:rsid w:val="00E249EE"/>
    <w:rsid w:val="00E24BA6"/>
    <w:rsid w:val="00E2504B"/>
    <w:rsid w:val="00E26297"/>
    <w:rsid w:val="00E30D8D"/>
    <w:rsid w:val="00E32B93"/>
    <w:rsid w:val="00E3395D"/>
    <w:rsid w:val="00E34B82"/>
    <w:rsid w:val="00E354DD"/>
    <w:rsid w:val="00E36491"/>
    <w:rsid w:val="00E406B8"/>
    <w:rsid w:val="00E40F8A"/>
    <w:rsid w:val="00E427D1"/>
    <w:rsid w:val="00E429BC"/>
    <w:rsid w:val="00E42A00"/>
    <w:rsid w:val="00E4330D"/>
    <w:rsid w:val="00E46C4A"/>
    <w:rsid w:val="00E46EED"/>
    <w:rsid w:val="00E50145"/>
    <w:rsid w:val="00E50673"/>
    <w:rsid w:val="00E50806"/>
    <w:rsid w:val="00E51057"/>
    <w:rsid w:val="00E52E1F"/>
    <w:rsid w:val="00E53713"/>
    <w:rsid w:val="00E53CA9"/>
    <w:rsid w:val="00E5409F"/>
    <w:rsid w:val="00E55404"/>
    <w:rsid w:val="00E556A6"/>
    <w:rsid w:val="00E579BE"/>
    <w:rsid w:val="00E57FFB"/>
    <w:rsid w:val="00E63E0C"/>
    <w:rsid w:val="00E66FC4"/>
    <w:rsid w:val="00E67058"/>
    <w:rsid w:val="00E70C96"/>
    <w:rsid w:val="00E71D64"/>
    <w:rsid w:val="00E722A6"/>
    <w:rsid w:val="00E723E1"/>
    <w:rsid w:val="00E72D40"/>
    <w:rsid w:val="00E73C7E"/>
    <w:rsid w:val="00E75B49"/>
    <w:rsid w:val="00E763AD"/>
    <w:rsid w:val="00E76ABD"/>
    <w:rsid w:val="00E76CC8"/>
    <w:rsid w:val="00E76D29"/>
    <w:rsid w:val="00E801D1"/>
    <w:rsid w:val="00E81FCD"/>
    <w:rsid w:val="00E8243F"/>
    <w:rsid w:val="00E83889"/>
    <w:rsid w:val="00E84F13"/>
    <w:rsid w:val="00E85121"/>
    <w:rsid w:val="00E858CA"/>
    <w:rsid w:val="00E86592"/>
    <w:rsid w:val="00E86889"/>
    <w:rsid w:val="00E87F5E"/>
    <w:rsid w:val="00E90ABD"/>
    <w:rsid w:val="00E910CD"/>
    <w:rsid w:val="00E91AF1"/>
    <w:rsid w:val="00E925F6"/>
    <w:rsid w:val="00E928CE"/>
    <w:rsid w:val="00E931C2"/>
    <w:rsid w:val="00E94559"/>
    <w:rsid w:val="00E95F56"/>
    <w:rsid w:val="00E96BB4"/>
    <w:rsid w:val="00E96ECB"/>
    <w:rsid w:val="00E96F98"/>
    <w:rsid w:val="00E96FAB"/>
    <w:rsid w:val="00E9703B"/>
    <w:rsid w:val="00E97BC8"/>
    <w:rsid w:val="00EA002C"/>
    <w:rsid w:val="00EA097D"/>
    <w:rsid w:val="00EA0B8F"/>
    <w:rsid w:val="00EA1B66"/>
    <w:rsid w:val="00EA26FE"/>
    <w:rsid w:val="00EA3159"/>
    <w:rsid w:val="00EA4C99"/>
    <w:rsid w:val="00EA5489"/>
    <w:rsid w:val="00EA7346"/>
    <w:rsid w:val="00EA74B9"/>
    <w:rsid w:val="00EB06C0"/>
    <w:rsid w:val="00EB0F0D"/>
    <w:rsid w:val="00EB2BCC"/>
    <w:rsid w:val="00EB383D"/>
    <w:rsid w:val="00EB6468"/>
    <w:rsid w:val="00EB6BCB"/>
    <w:rsid w:val="00EB7BD2"/>
    <w:rsid w:val="00EC211C"/>
    <w:rsid w:val="00EC2C88"/>
    <w:rsid w:val="00EC4F0B"/>
    <w:rsid w:val="00ED0249"/>
    <w:rsid w:val="00ED1586"/>
    <w:rsid w:val="00ED1625"/>
    <w:rsid w:val="00ED3704"/>
    <w:rsid w:val="00ED41BB"/>
    <w:rsid w:val="00ED4593"/>
    <w:rsid w:val="00ED70F8"/>
    <w:rsid w:val="00EE011F"/>
    <w:rsid w:val="00EE1B67"/>
    <w:rsid w:val="00EE444B"/>
    <w:rsid w:val="00EE4781"/>
    <w:rsid w:val="00EE5720"/>
    <w:rsid w:val="00EE6488"/>
    <w:rsid w:val="00EE6F19"/>
    <w:rsid w:val="00EE72B0"/>
    <w:rsid w:val="00EE77D9"/>
    <w:rsid w:val="00EF0661"/>
    <w:rsid w:val="00EF0B98"/>
    <w:rsid w:val="00EF0C82"/>
    <w:rsid w:val="00EF19B4"/>
    <w:rsid w:val="00EF1DC5"/>
    <w:rsid w:val="00EF2905"/>
    <w:rsid w:val="00EF39CD"/>
    <w:rsid w:val="00EF4A12"/>
    <w:rsid w:val="00EF507A"/>
    <w:rsid w:val="00EF56F4"/>
    <w:rsid w:val="00EF77E9"/>
    <w:rsid w:val="00EF7D1B"/>
    <w:rsid w:val="00F01BD8"/>
    <w:rsid w:val="00F021FA"/>
    <w:rsid w:val="00F0247E"/>
    <w:rsid w:val="00F0405A"/>
    <w:rsid w:val="00F0594B"/>
    <w:rsid w:val="00F05D86"/>
    <w:rsid w:val="00F067B3"/>
    <w:rsid w:val="00F067C9"/>
    <w:rsid w:val="00F067E8"/>
    <w:rsid w:val="00F06FBB"/>
    <w:rsid w:val="00F1196B"/>
    <w:rsid w:val="00F14164"/>
    <w:rsid w:val="00F176A9"/>
    <w:rsid w:val="00F17994"/>
    <w:rsid w:val="00F213B9"/>
    <w:rsid w:val="00F213C0"/>
    <w:rsid w:val="00F2155E"/>
    <w:rsid w:val="00F216F9"/>
    <w:rsid w:val="00F22250"/>
    <w:rsid w:val="00F22310"/>
    <w:rsid w:val="00F23BBE"/>
    <w:rsid w:val="00F24075"/>
    <w:rsid w:val="00F245B7"/>
    <w:rsid w:val="00F247E7"/>
    <w:rsid w:val="00F25C36"/>
    <w:rsid w:val="00F3046C"/>
    <w:rsid w:val="00F31CAC"/>
    <w:rsid w:val="00F333D2"/>
    <w:rsid w:val="00F33D3F"/>
    <w:rsid w:val="00F34073"/>
    <w:rsid w:val="00F348D4"/>
    <w:rsid w:val="00F34B54"/>
    <w:rsid w:val="00F35574"/>
    <w:rsid w:val="00F35AB2"/>
    <w:rsid w:val="00F36299"/>
    <w:rsid w:val="00F36711"/>
    <w:rsid w:val="00F37213"/>
    <w:rsid w:val="00F37CE1"/>
    <w:rsid w:val="00F37F4C"/>
    <w:rsid w:val="00F4025D"/>
    <w:rsid w:val="00F40628"/>
    <w:rsid w:val="00F40D22"/>
    <w:rsid w:val="00F42620"/>
    <w:rsid w:val="00F42CF0"/>
    <w:rsid w:val="00F434D8"/>
    <w:rsid w:val="00F447BC"/>
    <w:rsid w:val="00F448CF"/>
    <w:rsid w:val="00F45CAC"/>
    <w:rsid w:val="00F47035"/>
    <w:rsid w:val="00F47CB3"/>
    <w:rsid w:val="00F50A91"/>
    <w:rsid w:val="00F529FC"/>
    <w:rsid w:val="00F5674E"/>
    <w:rsid w:val="00F576B5"/>
    <w:rsid w:val="00F5794F"/>
    <w:rsid w:val="00F603DB"/>
    <w:rsid w:val="00F606BA"/>
    <w:rsid w:val="00F6082F"/>
    <w:rsid w:val="00F618F6"/>
    <w:rsid w:val="00F62E97"/>
    <w:rsid w:val="00F62FD7"/>
    <w:rsid w:val="00F6321C"/>
    <w:rsid w:val="00F637CF"/>
    <w:rsid w:val="00F63B19"/>
    <w:rsid w:val="00F64199"/>
    <w:rsid w:val="00F64209"/>
    <w:rsid w:val="00F64830"/>
    <w:rsid w:val="00F64F73"/>
    <w:rsid w:val="00F6531D"/>
    <w:rsid w:val="00F65B61"/>
    <w:rsid w:val="00F66597"/>
    <w:rsid w:val="00F66DA6"/>
    <w:rsid w:val="00F70176"/>
    <w:rsid w:val="00F70271"/>
    <w:rsid w:val="00F706B0"/>
    <w:rsid w:val="00F70BD7"/>
    <w:rsid w:val="00F70CA4"/>
    <w:rsid w:val="00F727DE"/>
    <w:rsid w:val="00F72CFE"/>
    <w:rsid w:val="00F7304F"/>
    <w:rsid w:val="00F73169"/>
    <w:rsid w:val="00F736B9"/>
    <w:rsid w:val="00F754CE"/>
    <w:rsid w:val="00F76FD9"/>
    <w:rsid w:val="00F7709A"/>
    <w:rsid w:val="00F77C1D"/>
    <w:rsid w:val="00F815F8"/>
    <w:rsid w:val="00F82346"/>
    <w:rsid w:val="00F826D1"/>
    <w:rsid w:val="00F827B8"/>
    <w:rsid w:val="00F8364F"/>
    <w:rsid w:val="00F84A3A"/>
    <w:rsid w:val="00F856B5"/>
    <w:rsid w:val="00F86CC5"/>
    <w:rsid w:val="00F8703A"/>
    <w:rsid w:val="00F875FC"/>
    <w:rsid w:val="00F87D2F"/>
    <w:rsid w:val="00F9159F"/>
    <w:rsid w:val="00F937CD"/>
    <w:rsid w:val="00F93A68"/>
    <w:rsid w:val="00F93BF5"/>
    <w:rsid w:val="00F94056"/>
    <w:rsid w:val="00F94F5C"/>
    <w:rsid w:val="00F96FC7"/>
    <w:rsid w:val="00F97A33"/>
    <w:rsid w:val="00F97DE1"/>
    <w:rsid w:val="00FA03F8"/>
    <w:rsid w:val="00FA0878"/>
    <w:rsid w:val="00FA5514"/>
    <w:rsid w:val="00FA5CB6"/>
    <w:rsid w:val="00FA6DF6"/>
    <w:rsid w:val="00FB1F02"/>
    <w:rsid w:val="00FB2A78"/>
    <w:rsid w:val="00FB2A7B"/>
    <w:rsid w:val="00FB4402"/>
    <w:rsid w:val="00FB4DF8"/>
    <w:rsid w:val="00FB4FFD"/>
    <w:rsid w:val="00FB5494"/>
    <w:rsid w:val="00FB68A3"/>
    <w:rsid w:val="00FB6943"/>
    <w:rsid w:val="00FC0EF6"/>
    <w:rsid w:val="00FC19A8"/>
    <w:rsid w:val="00FC1A6A"/>
    <w:rsid w:val="00FC4077"/>
    <w:rsid w:val="00FC4264"/>
    <w:rsid w:val="00FC453C"/>
    <w:rsid w:val="00FC522B"/>
    <w:rsid w:val="00FC6052"/>
    <w:rsid w:val="00FC6774"/>
    <w:rsid w:val="00FC67AD"/>
    <w:rsid w:val="00FC695A"/>
    <w:rsid w:val="00FC779A"/>
    <w:rsid w:val="00FD01E7"/>
    <w:rsid w:val="00FD1C92"/>
    <w:rsid w:val="00FD3DD8"/>
    <w:rsid w:val="00FD4A3F"/>
    <w:rsid w:val="00FD783F"/>
    <w:rsid w:val="00FE01C5"/>
    <w:rsid w:val="00FE0CAF"/>
    <w:rsid w:val="00FE2818"/>
    <w:rsid w:val="00FE3843"/>
    <w:rsid w:val="00FE429B"/>
    <w:rsid w:val="00FE520F"/>
    <w:rsid w:val="00FE59B7"/>
    <w:rsid w:val="00FE5CC9"/>
    <w:rsid w:val="00FE7637"/>
    <w:rsid w:val="00FE7C4D"/>
    <w:rsid w:val="00FF30EA"/>
    <w:rsid w:val="00FF33F5"/>
    <w:rsid w:val="00FF4EB8"/>
    <w:rsid w:val="00FF57C3"/>
    <w:rsid w:val="00FF64FF"/>
    <w:rsid w:val="00FF6A48"/>
    <w:rsid w:val="00FF7C05"/>
    <w:rsid w:val="00FF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91E"/>
    <w:pPr>
      <w:widowControl w:val="0"/>
    </w:pPr>
    <w:rPr>
      <w:snapToGrid w:val="0"/>
      <w:kern w:val="28"/>
      <w:sz w:val="22"/>
    </w:rPr>
  </w:style>
  <w:style w:type="paragraph" w:styleId="Heading1">
    <w:name w:val="heading 1"/>
    <w:basedOn w:val="Normal"/>
    <w:next w:val="ParaNum"/>
    <w:link w:val="Heading1Char"/>
    <w:qFormat/>
    <w:rsid w:val="00DB391E"/>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B391E"/>
    <w:pPr>
      <w:keepNext/>
      <w:numPr>
        <w:ilvl w:val="1"/>
        <w:numId w:val="2"/>
      </w:numPr>
      <w:spacing w:after="120"/>
      <w:outlineLvl w:val="1"/>
    </w:pPr>
    <w:rPr>
      <w:b/>
    </w:rPr>
  </w:style>
  <w:style w:type="paragraph" w:styleId="Heading3">
    <w:name w:val="heading 3"/>
    <w:basedOn w:val="Normal"/>
    <w:next w:val="ParaNum"/>
    <w:qFormat/>
    <w:rsid w:val="00DB391E"/>
    <w:pPr>
      <w:keepNext/>
      <w:numPr>
        <w:ilvl w:val="2"/>
        <w:numId w:val="2"/>
      </w:numPr>
      <w:tabs>
        <w:tab w:val="left" w:pos="2160"/>
      </w:tabs>
      <w:spacing w:after="120"/>
      <w:outlineLvl w:val="2"/>
    </w:pPr>
    <w:rPr>
      <w:b/>
    </w:rPr>
  </w:style>
  <w:style w:type="paragraph" w:styleId="Heading4">
    <w:name w:val="heading 4"/>
    <w:basedOn w:val="Normal"/>
    <w:next w:val="ParaNum"/>
    <w:qFormat/>
    <w:rsid w:val="00DB391E"/>
    <w:pPr>
      <w:keepNext/>
      <w:numPr>
        <w:ilvl w:val="3"/>
        <w:numId w:val="2"/>
      </w:numPr>
      <w:tabs>
        <w:tab w:val="left" w:pos="2880"/>
      </w:tabs>
      <w:spacing w:after="120"/>
      <w:outlineLvl w:val="3"/>
    </w:pPr>
    <w:rPr>
      <w:b/>
    </w:rPr>
  </w:style>
  <w:style w:type="paragraph" w:styleId="Heading5">
    <w:name w:val="heading 5"/>
    <w:basedOn w:val="Normal"/>
    <w:next w:val="ParaNum"/>
    <w:qFormat/>
    <w:rsid w:val="00DB391E"/>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DB391E"/>
    <w:pPr>
      <w:numPr>
        <w:ilvl w:val="5"/>
        <w:numId w:val="2"/>
      </w:numPr>
      <w:tabs>
        <w:tab w:val="left" w:pos="4320"/>
      </w:tabs>
      <w:spacing w:after="120"/>
      <w:outlineLvl w:val="5"/>
    </w:pPr>
    <w:rPr>
      <w:b/>
    </w:rPr>
  </w:style>
  <w:style w:type="paragraph" w:styleId="Heading7">
    <w:name w:val="heading 7"/>
    <w:basedOn w:val="Normal"/>
    <w:next w:val="ParaNum"/>
    <w:qFormat/>
    <w:rsid w:val="00DB391E"/>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DB391E"/>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DB391E"/>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B391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391E"/>
  </w:style>
  <w:style w:type="paragraph" w:customStyle="1" w:styleId="ParaNum">
    <w:name w:val="ParaNum"/>
    <w:basedOn w:val="Normal"/>
    <w:link w:val="ParaNumChar"/>
    <w:rsid w:val="00DB391E"/>
    <w:pPr>
      <w:numPr>
        <w:numId w:val="1"/>
      </w:numPr>
      <w:tabs>
        <w:tab w:val="clear" w:pos="1080"/>
        <w:tab w:val="num" w:pos="1440"/>
      </w:tabs>
      <w:spacing w:after="120"/>
    </w:pPr>
  </w:style>
  <w:style w:type="paragraph" w:styleId="EndnoteText">
    <w:name w:val="endnote text"/>
    <w:basedOn w:val="Normal"/>
    <w:semiHidden/>
    <w:rsid w:val="00DB391E"/>
    <w:rPr>
      <w:sz w:val="20"/>
    </w:rPr>
  </w:style>
  <w:style w:type="character" w:styleId="EndnoteReference">
    <w:name w:val="endnote reference"/>
    <w:semiHidden/>
    <w:rsid w:val="00DB391E"/>
    <w:rPr>
      <w:vertAlign w:val="superscript"/>
    </w:rPr>
  </w:style>
  <w:style w:type="paragraph" w:styleId="FootnoteText">
    <w:name w:val="footnote text"/>
    <w:aliases w:val="ALTS FOOTNOTE,fn,Footnote Text 2,Footnote text,FOOTNOTE,Footnote Text Char2 Char,Footnote Text Char1 Char2 Char,Footnote Text Char Char Char Char,Footnote Text Char2 Char Char1 Char Char,ALTS FOOTNOTE Char,fn Char Char,Footnote Text Char1"/>
    <w:link w:val="FootnoteTextChar"/>
    <w:rsid w:val="00DB391E"/>
    <w:pPr>
      <w:spacing w:after="120"/>
    </w:pPr>
  </w:style>
  <w:style w:type="character" w:styleId="FootnoteReference">
    <w:name w:val="footnote reference"/>
    <w:aliases w:val="o,Style 3,(NECG) Footnote Reference,fr,Appel note de bas de p"/>
    <w:rsid w:val="00DB391E"/>
    <w:rPr>
      <w:rFonts w:ascii="Times New Roman" w:hAnsi="Times New Roman"/>
      <w:dstrike w:val="0"/>
      <w:color w:val="auto"/>
      <w:sz w:val="20"/>
      <w:vertAlign w:val="superscript"/>
    </w:rPr>
  </w:style>
  <w:style w:type="paragraph" w:styleId="TOC1">
    <w:name w:val="toc 1"/>
    <w:basedOn w:val="Normal"/>
    <w:next w:val="Normal"/>
    <w:semiHidden/>
    <w:rsid w:val="00DB391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B391E"/>
    <w:pPr>
      <w:tabs>
        <w:tab w:val="left" w:pos="720"/>
        <w:tab w:val="right" w:leader="dot" w:pos="9360"/>
      </w:tabs>
      <w:suppressAutoHyphens/>
      <w:ind w:left="720" w:right="720" w:hanging="360"/>
    </w:pPr>
    <w:rPr>
      <w:noProof/>
    </w:rPr>
  </w:style>
  <w:style w:type="paragraph" w:styleId="TOC3">
    <w:name w:val="toc 3"/>
    <w:basedOn w:val="Normal"/>
    <w:next w:val="Normal"/>
    <w:semiHidden/>
    <w:rsid w:val="00DB391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B391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B391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B391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B391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B391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B391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B391E"/>
    <w:pPr>
      <w:tabs>
        <w:tab w:val="right" w:pos="9360"/>
      </w:tabs>
      <w:suppressAutoHyphens/>
    </w:pPr>
  </w:style>
  <w:style w:type="character" w:customStyle="1" w:styleId="EquationCaption">
    <w:name w:val="_Equation Caption"/>
    <w:rsid w:val="00DB391E"/>
  </w:style>
  <w:style w:type="paragraph" w:styleId="Header">
    <w:name w:val="header"/>
    <w:basedOn w:val="Normal"/>
    <w:link w:val="HeaderChar"/>
    <w:autoRedefine/>
    <w:rsid w:val="00DB391E"/>
    <w:pPr>
      <w:tabs>
        <w:tab w:val="center" w:pos="4680"/>
        <w:tab w:val="right" w:pos="9360"/>
      </w:tabs>
    </w:pPr>
    <w:rPr>
      <w:b/>
    </w:rPr>
  </w:style>
  <w:style w:type="paragraph" w:styleId="Footer">
    <w:name w:val="footer"/>
    <w:basedOn w:val="Normal"/>
    <w:link w:val="FooterChar"/>
    <w:rsid w:val="00DB391E"/>
    <w:pPr>
      <w:tabs>
        <w:tab w:val="center" w:pos="4320"/>
        <w:tab w:val="right" w:pos="8640"/>
      </w:tabs>
    </w:pPr>
  </w:style>
  <w:style w:type="character" w:styleId="PageNumber">
    <w:name w:val="page number"/>
    <w:basedOn w:val="DefaultParagraphFont"/>
    <w:rsid w:val="00DB391E"/>
  </w:style>
  <w:style w:type="paragraph" w:styleId="BlockText">
    <w:name w:val="Block Text"/>
    <w:basedOn w:val="Normal"/>
    <w:rsid w:val="00DB391E"/>
    <w:pPr>
      <w:spacing w:after="240"/>
      <w:ind w:left="1440" w:right="1440"/>
    </w:pPr>
  </w:style>
  <w:style w:type="paragraph" w:customStyle="1" w:styleId="Paratitle">
    <w:name w:val="Para title"/>
    <w:basedOn w:val="Normal"/>
    <w:rsid w:val="00DB391E"/>
    <w:pPr>
      <w:tabs>
        <w:tab w:val="center" w:pos="9270"/>
      </w:tabs>
      <w:spacing w:after="240"/>
    </w:pPr>
    <w:rPr>
      <w:spacing w:val="-2"/>
    </w:rPr>
  </w:style>
  <w:style w:type="paragraph" w:customStyle="1" w:styleId="Bullet">
    <w:name w:val="Bullet"/>
    <w:basedOn w:val="Normal"/>
    <w:rsid w:val="00DB391E"/>
    <w:pPr>
      <w:tabs>
        <w:tab w:val="left" w:pos="2160"/>
      </w:tabs>
      <w:spacing w:after="220"/>
      <w:ind w:left="2160" w:hanging="720"/>
    </w:pPr>
  </w:style>
  <w:style w:type="paragraph" w:customStyle="1" w:styleId="TableFormat">
    <w:name w:val="TableFormat"/>
    <w:basedOn w:val="Bullet"/>
    <w:rsid w:val="00DB391E"/>
    <w:pPr>
      <w:tabs>
        <w:tab w:val="clear" w:pos="2160"/>
        <w:tab w:val="left" w:pos="5040"/>
      </w:tabs>
      <w:ind w:left="5040" w:hanging="3600"/>
    </w:pPr>
  </w:style>
  <w:style w:type="paragraph" w:customStyle="1" w:styleId="TOCTitle">
    <w:name w:val="TOC Title"/>
    <w:basedOn w:val="Normal"/>
    <w:rsid w:val="00DB391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B391E"/>
    <w:pPr>
      <w:jc w:val="center"/>
    </w:pPr>
    <w:rPr>
      <w:rFonts w:ascii="Times New Roman Bold" w:hAnsi="Times New Roman Bold"/>
      <w:b/>
      <w:bCs/>
      <w:caps/>
      <w:szCs w:val="22"/>
    </w:rPr>
  </w:style>
  <w:style w:type="character" w:styleId="Hyperlink">
    <w:name w:val="Hyperlink"/>
    <w:rsid w:val="00DB391E"/>
    <w:rPr>
      <w:color w:val="0000FF"/>
      <w:u w:val="single"/>
    </w:rPr>
  </w:style>
  <w:style w:type="character" w:customStyle="1" w:styleId="ParaNumChar">
    <w:name w:val="ParaNum Char"/>
    <w:link w:val="ParaNum"/>
    <w:rsid w:val="00550230"/>
    <w:rPr>
      <w:snapToGrid w:val="0"/>
      <w:kern w:val="28"/>
      <w:sz w:val="22"/>
    </w:rPr>
  </w:style>
  <w:style w:type="character" w:customStyle="1" w:styleId="FootnoteTextChar">
    <w:name w:val="Footnote Text Char"/>
    <w:aliases w:val="ALTS FOOTNOTE Char1,fn Char,Footnote Text 2 Char,Footnote text Char,FOOTNOTE Char,Footnote Text Char2 Char Char,Footnote Text Char1 Char2 Char Char,Footnote Text Char Char Char Char Char,Footnote Text Char2 Char Char1 Char Char Char"/>
    <w:basedOn w:val="DefaultParagraphFont"/>
    <w:link w:val="FootnoteText"/>
    <w:rsid w:val="00550230"/>
  </w:style>
  <w:style w:type="paragraph" w:styleId="ListParagraph">
    <w:name w:val="List Paragraph"/>
    <w:basedOn w:val="Normal"/>
    <w:uiPriority w:val="34"/>
    <w:qFormat/>
    <w:rsid w:val="001E014E"/>
    <w:pPr>
      <w:widowControl/>
      <w:ind w:left="720"/>
    </w:pPr>
    <w:rPr>
      <w:snapToGrid/>
      <w:kern w:val="0"/>
      <w:sz w:val="24"/>
      <w:szCs w:val="24"/>
    </w:rPr>
  </w:style>
  <w:style w:type="paragraph" w:styleId="BalloonText">
    <w:name w:val="Balloon Text"/>
    <w:basedOn w:val="Normal"/>
    <w:link w:val="BalloonTextChar"/>
    <w:rsid w:val="002D25F2"/>
    <w:rPr>
      <w:rFonts w:ascii="Tahoma" w:hAnsi="Tahoma" w:cs="Tahoma"/>
      <w:sz w:val="16"/>
      <w:szCs w:val="16"/>
    </w:rPr>
  </w:style>
  <w:style w:type="character" w:customStyle="1" w:styleId="BalloonTextChar">
    <w:name w:val="Balloon Text Char"/>
    <w:basedOn w:val="DefaultParagraphFont"/>
    <w:link w:val="BalloonText"/>
    <w:rsid w:val="002D25F2"/>
    <w:rPr>
      <w:rFonts w:ascii="Tahoma" w:hAnsi="Tahoma" w:cs="Tahoma"/>
      <w:snapToGrid w:val="0"/>
      <w:kern w:val="28"/>
      <w:sz w:val="16"/>
      <w:szCs w:val="16"/>
    </w:rPr>
  </w:style>
  <w:style w:type="character" w:customStyle="1" w:styleId="Heading1Char">
    <w:name w:val="Heading 1 Char"/>
    <w:basedOn w:val="DefaultParagraphFont"/>
    <w:link w:val="Heading1"/>
    <w:rsid w:val="00ED70F8"/>
    <w:rPr>
      <w:rFonts w:ascii="Times New Roman Bold" w:hAnsi="Times New Roman Bold"/>
      <w:b/>
      <w:caps/>
      <w:snapToGrid w:val="0"/>
      <w:kern w:val="28"/>
      <w:sz w:val="22"/>
    </w:rPr>
  </w:style>
  <w:style w:type="character" w:customStyle="1" w:styleId="Heading2Char">
    <w:name w:val="Heading 2 Char"/>
    <w:basedOn w:val="DefaultParagraphFont"/>
    <w:link w:val="Heading2"/>
    <w:rsid w:val="0026533E"/>
    <w:rPr>
      <w:b/>
      <w:snapToGrid w:val="0"/>
      <w:kern w:val="28"/>
      <w:sz w:val="22"/>
    </w:rPr>
  </w:style>
  <w:style w:type="character" w:styleId="CommentReference">
    <w:name w:val="annotation reference"/>
    <w:basedOn w:val="DefaultParagraphFont"/>
    <w:rsid w:val="0075047A"/>
    <w:rPr>
      <w:sz w:val="16"/>
      <w:szCs w:val="16"/>
    </w:rPr>
  </w:style>
  <w:style w:type="paragraph" w:styleId="CommentText">
    <w:name w:val="annotation text"/>
    <w:basedOn w:val="Normal"/>
    <w:link w:val="CommentTextChar"/>
    <w:rsid w:val="0075047A"/>
    <w:rPr>
      <w:sz w:val="20"/>
    </w:rPr>
  </w:style>
  <w:style w:type="character" w:customStyle="1" w:styleId="CommentTextChar">
    <w:name w:val="Comment Text Char"/>
    <w:basedOn w:val="DefaultParagraphFont"/>
    <w:link w:val="CommentText"/>
    <w:rsid w:val="0075047A"/>
    <w:rPr>
      <w:snapToGrid w:val="0"/>
      <w:kern w:val="28"/>
    </w:rPr>
  </w:style>
  <w:style w:type="paragraph" w:styleId="CommentSubject">
    <w:name w:val="annotation subject"/>
    <w:basedOn w:val="CommentText"/>
    <w:next w:val="CommentText"/>
    <w:link w:val="CommentSubjectChar"/>
    <w:rsid w:val="0075047A"/>
    <w:rPr>
      <w:b/>
      <w:bCs/>
    </w:rPr>
  </w:style>
  <w:style w:type="character" w:customStyle="1" w:styleId="CommentSubjectChar">
    <w:name w:val="Comment Subject Char"/>
    <w:basedOn w:val="CommentTextChar"/>
    <w:link w:val="CommentSubject"/>
    <w:rsid w:val="0075047A"/>
    <w:rPr>
      <w:b/>
      <w:bCs/>
      <w:snapToGrid w:val="0"/>
      <w:kern w:val="28"/>
    </w:rPr>
  </w:style>
  <w:style w:type="character" w:customStyle="1" w:styleId="FooterChar">
    <w:name w:val="Footer Char"/>
    <w:basedOn w:val="DefaultParagraphFont"/>
    <w:link w:val="Footer"/>
    <w:rsid w:val="00D47970"/>
    <w:rPr>
      <w:snapToGrid w:val="0"/>
      <w:kern w:val="28"/>
      <w:sz w:val="22"/>
    </w:rPr>
  </w:style>
  <w:style w:type="character" w:customStyle="1" w:styleId="HeaderChar">
    <w:name w:val="Header Char"/>
    <w:basedOn w:val="DefaultParagraphFont"/>
    <w:link w:val="Header"/>
    <w:rsid w:val="00425E30"/>
    <w:rPr>
      <w:b/>
      <w:snapToGrid w:val="0"/>
      <w:kern w:val="28"/>
      <w:sz w:val="22"/>
    </w:rPr>
  </w:style>
  <w:style w:type="paragraph" w:styleId="Revision">
    <w:name w:val="Revision"/>
    <w:hidden/>
    <w:uiPriority w:val="99"/>
    <w:semiHidden/>
    <w:rsid w:val="008008CF"/>
    <w:rPr>
      <w:snapToGrid w:val="0"/>
      <w:kern w:val="28"/>
      <w:sz w:val="22"/>
    </w:rPr>
  </w:style>
  <w:style w:type="character" w:customStyle="1" w:styleId="apple-converted-space">
    <w:name w:val="apple-converted-space"/>
    <w:basedOn w:val="DefaultParagraphFont"/>
    <w:rsid w:val="007658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91E"/>
    <w:pPr>
      <w:widowControl w:val="0"/>
    </w:pPr>
    <w:rPr>
      <w:snapToGrid w:val="0"/>
      <w:kern w:val="28"/>
      <w:sz w:val="22"/>
    </w:rPr>
  </w:style>
  <w:style w:type="paragraph" w:styleId="Heading1">
    <w:name w:val="heading 1"/>
    <w:basedOn w:val="Normal"/>
    <w:next w:val="ParaNum"/>
    <w:link w:val="Heading1Char"/>
    <w:qFormat/>
    <w:rsid w:val="00DB391E"/>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B391E"/>
    <w:pPr>
      <w:keepNext/>
      <w:numPr>
        <w:ilvl w:val="1"/>
        <w:numId w:val="2"/>
      </w:numPr>
      <w:spacing w:after="120"/>
      <w:outlineLvl w:val="1"/>
    </w:pPr>
    <w:rPr>
      <w:b/>
    </w:rPr>
  </w:style>
  <w:style w:type="paragraph" w:styleId="Heading3">
    <w:name w:val="heading 3"/>
    <w:basedOn w:val="Normal"/>
    <w:next w:val="ParaNum"/>
    <w:qFormat/>
    <w:rsid w:val="00DB391E"/>
    <w:pPr>
      <w:keepNext/>
      <w:numPr>
        <w:ilvl w:val="2"/>
        <w:numId w:val="2"/>
      </w:numPr>
      <w:tabs>
        <w:tab w:val="left" w:pos="2160"/>
      </w:tabs>
      <w:spacing w:after="120"/>
      <w:outlineLvl w:val="2"/>
    </w:pPr>
    <w:rPr>
      <w:b/>
    </w:rPr>
  </w:style>
  <w:style w:type="paragraph" w:styleId="Heading4">
    <w:name w:val="heading 4"/>
    <w:basedOn w:val="Normal"/>
    <w:next w:val="ParaNum"/>
    <w:qFormat/>
    <w:rsid w:val="00DB391E"/>
    <w:pPr>
      <w:keepNext/>
      <w:numPr>
        <w:ilvl w:val="3"/>
        <w:numId w:val="2"/>
      </w:numPr>
      <w:tabs>
        <w:tab w:val="left" w:pos="2880"/>
      </w:tabs>
      <w:spacing w:after="120"/>
      <w:outlineLvl w:val="3"/>
    </w:pPr>
    <w:rPr>
      <w:b/>
    </w:rPr>
  </w:style>
  <w:style w:type="paragraph" w:styleId="Heading5">
    <w:name w:val="heading 5"/>
    <w:basedOn w:val="Normal"/>
    <w:next w:val="ParaNum"/>
    <w:qFormat/>
    <w:rsid w:val="00DB391E"/>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DB391E"/>
    <w:pPr>
      <w:numPr>
        <w:ilvl w:val="5"/>
        <w:numId w:val="2"/>
      </w:numPr>
      <w:tabs>
        <w:tab w:val="left" w:pos="4320"/>
      </w:tabs>
      <w:spacing w:after="120"/>
      <w:outlineLvl w:val="5"/>
    </w:pPr>
    <w:rPr>
      <w:b/>
    </w:rPr>
  </w:style>
  <w:style w:type="paragraph" w:styleId="Heading7">
    <w:name w:val="heading 7"/>
    <w:basedOn w:val="Normal"/>
    <w:next w:val="ParaNum"/>
    <w:qFormat/>
    <w:rsid w:val="00DB391E"/>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DB391E"/>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DB391E"/>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B391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391E"/>
  </w:style>
  <w:style w:type="paragraph" w:customStyle="1" w:styleId="ParaNum">
    <w:name w:val="ParaNum"/>
    <w:basedOn w:val="Normal"/>
    <w:link w:val="ParaNumChar"/>
    <w:rsid w:val="00DB391E"/>
    <w:pPr>
      <w:numPr>
        <w:numId w:val="1"/>
      </w:numPr>
      <w:tabs>
        <w:tab w:val="clear" w:pos="1080"/>
        <w:tab w:val="num" w:pos="1440"/>
      </w:tabs>
      <w:spacing w:after="120"/>
    </w:pPr>
  </w:style>
  <w:style w:type="paragraph" w:styleId="EndnoteText">
    <w:name w:val="endnote text"/>
    <w:basedOn w:val="Normal"/>
    <w:semiHidden/>
    <w:rsid w:val="00DB391E"/>
    <w:rPr>
      <w:sz w:val="20"/>
    </w:rPr>
  </w:style>
  <w:style w:type="character" w:styleId="EndnoteReference">
    <w:name w:val="endnote reference"/>
    <w:semiHidden/>
    <w:rsid w:val="00DB391E"/>
    <w:rPr>
      <w:vertAlign w:val="superscript"/>
    </w:rPr>
  </w:style>
  <w:style w:type="paragraph" w:styleId="FootnoteText">
    <w:name w:val="footnote text"/>
    <w:aliases w:val="ALTS FOOTNOTE,fn,Footnote Text 2,Footnote text,FOOTNOTE,Footnote Text Char2 Char,Footnote Text Char1 Char2 Char,Footnote Text Char Char Char Char,Footnote Text Char2 Char Char1 Char Char,ALTS FOOTNOTE Char,fn Char Char,Footnote Text Char1"/>
    <w:link w:val="FootnoteTextChar"/>
    <w:rsid w:val="00DB391E"/>
    <w:pPr>
      <w:spacing w:after="120"/>
    </w:pPr>
  </w:style>
  <w:style w:type="character" w:styleId="FootnoteReference">
    <w:name w:val="footnote reference"/>
    <w:aliases w:val="o,Style 3,(NECG) Footnote Reference,fr,Appel note de bas de p"/>
    <w:rsid w:val="00DB391E"/>
    <w:rPr>
      <w:rFonts w:ascii="Times New Roman" w:hAnsi="Times New Roman"/>
      <w:dstrike w:val="0"/>
      <w:color w:val="auto"/>
      <w:sz w:val="20"/>
      <w:vertAlign w:val="superscript"/>
    </w:rPr>
  </w:style>
  <w:style w:type="paragraph" w:styleId="TOC1">
    <w:name w:val="toc 1"/>
    <w:basedOn w:val="Normal"/>
    <w:next w:val="Normal"/>
    <w:semiHidden/>
    <w:rsid w:val="00DB391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B391E"/>
    <w:pPr>
      <w:tabs>
        <w:tab w:val="left" w:pos="720"/>
        <w:tab w:val="right" w:leader="dot" w:pos="9360"/>
      </w:tabs>
      <w:suppressAutoHyphens/>
      <w:ind w:left="720" w:right="720" w:hanging="360"/>
    </w:pPr>
    <w:rPr>
      <w:noProof/>
    </w:rPr>
  </w:style>
  <w:style w:type="paragraph" w:styleId="TOC3">
    <w:name w:val="toc 3"/>
    <w:basedOn w:val="Normal"/>
    <w:next w:val="Normal"/>
    <w:semiHidden/>
    <w:rsid w:val="00DB391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B391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B391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B391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B391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B391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B391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B391E"/>
    <w:pPr>
      <w:tabs>
        <w:tab w:val="right" w:pos="9360"/>
      </w:tabs>
      <w:suppressAutoHyphens/>
    </w:pPr>
  </w:style>
  <w:style w:type="character" w:customStyle="1" w:styleId="EquationCaption">
    <w:name w:val="_Equation Caption"/>
    <w:rsid w:val="00DB391E"/>
  </w:style>
  <w:style w:type="paragraph" w:styleId="Header">
    <w:name w:val="header"/>
    <w:basedOn w:val="Normal"/>
    <w:link w:val="HeaderChar"/>
    <w:autoRedefine/>
    <w:rsid w:val="00DB391E"/>
    <w:pPr>
      <w:tabs>
        <w:tab w:val="center" w:pos="4680"/>
        <w:tab w:val="right" w:pos="9360"/>
      </w:tabs>
    </w:pPr>
    <w:rPr>
      <w:b/>
    </w:rPr>
  </w:style>
  <w:style w:type="paragraph" w:styleId="Footer">
    <w:name w:val="footer"/>
    <w:basedOn w:val="Normal"/>
    <w:link w:val="FooterChar"/>
    <w:rsid w:val="00DB391E"/>
    <w:pPr>
      <w:tabs>
        <w:tab w:val="center" w:pos="4320"/>
        <w:tab w:val="right" w:pos="8640"/>
      </w:tabs>
    </w:pPr>
  </w:style>
  <w:style w:type="character" w:styleId="PageNumber">
    <w:name w:val="page number"/>
    <w:basedOn w:val="DefaultParagraphFont"/>
    <w:rsid w:val="00DB391E"/>
  </w:style>
  <w:style w:type="paragraph" w:styleId="BlockText">
    <w:name w:val="Block Text"/>
    <w:basedOn w:val="Normal"/>
    <w:rsid w:val="00DB391E"/>
    <w:pPr>
      <w:spacing w:after="240"/>
      <w:ind w:left="1440" w:right="1440"/>
    </w:pPr>
  </w:style>
  <w:style w:type="paragraph" w:customStyle="1" w:styleId="Paratitle">
    <w:name w:val="Para title"/>
    <w:basedOn w:val="Normal"/>
    <w:rsid w:val="00DB391E"/>
    <w:pPr>
      <w:tabs>
        <w:tab w:val="center" w:pos="9270"/>
      </w:tabs>
      <w:spacing w:after="240"/>
    </w:pPr>
    <w:rPr>
      <w:spacing w:val="-2"/>
    </w:rPr>
  </w:style>
  <w:style w:type="paragraph" w:customStyle="1" w:styleId="Bullet">
    <w:name w:val="Bullet"/>
    <w:basedOn w:val="Normal"/>
    <w:rsid w:val="00DB391E"/>
    <w:pPr>
      <w:tabs>
        <w:tab w:val="left" w:pos="2160"/>
      </w:tabs>
      <w:spacing w:after="220"/>
      <w:ind w:left="2160" w:hanging="720"/>
    </w:pPr>
  </w:style>
  <w:style w:type="paragraph" w:customStyle="1" w:styleId="TableFormat">
    <w:name w:val="TableFormat"/>
    <w:basedOn w:val="Bullet"/>
    <w:rsid w:val="00DB391E"/>
    <w:pPr>
      <w:tabs>
        <w:tab w:val="clear" w:pos="2160"/>
        <w:tab w:val="left" w:pos="5040"/>
      </w:tabs>
      <w:ind w:left="5040" w:hanging="3600"/>
    </w:pPr>
  </w:style>
  <w:style w:type="paragraph" w:customStyle="1" w:styleId="TOCTitle">
    <w:name w:val="TOC Title"/>
    <w:basedOn w:val="Normal"/>
    <w:rsid w:val="00DB391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B391E"/>
    <w:pPr>
      <w:jc w:val="center"/>
    </w:pPr>
    <w:rPr>
      <w:rFonts w:ascii="Times New Roman Bold" w:hAnsi="Times New Roman Bold"/>
      <w:b/>
      <w:bCs/>
      <w:caps/>
      <w:szCs w:val="22"/>
    </w:rPr>
  </w:style>
  <w:style w:type="character" w:styleId="Hyperlink">
    <w:name w:val="Hyperlink"/>
    <w:rsid w:val="00DB391E"/>
    <w:rPr>
      <w:color w:val="0000FF"/>
      <w:u w:val="single"/>
    </w:rPr>
  </w:style>
  <w:style w:type="character" w:customStyle="1" w:styleId="ParaNumChar">
    <w:name w:val="ParaNum Char"/>
    <w:link w:val="ParaNum"/>
    <w:rsid w:val="00550230"/>
    <w:rPr>
      <w:snapToGrid w:val="0"/>
      <w:kern w:val="28"/>
      <w:sz w:val="22"/>
    </w:rPr>
  </w:style>
  <w:style w:type="character" w:customStyle="1" w:styleId="FootnoteTextChar">
    <w:name w:val="Footnote Text Char"/>
    <w:aliases w:val="ALTS FOOTNOTE Char1,fn Char,Footnote Text 2 Char,Footnote text Char,FOOTNOTE Char,Footnote Text Char2 Char Char,Footnote Text Char1 Char2 Char Char,Footnote Text Char Char Char Char Char,Footnote Text Char2 Char Char1 Char Char Char"/>
    <w:basedOn w:val="DefaultParagraphFont"/>
    <w:link w:val="FootnoteText"/>
    <w:rsid w:val="00550230"/>
  </w:style>
  <w:style w:type="paragraph" w:styleId="ListParagraph">
    <w:name w:val="List Paragraph"/>
    <w:basedOn w:val="Normal"/>
    <w:uiPriority w:val="34"/>
    <w:qFormat/>
    <w:rsid w:val="001E014E"/>
    <w:pPr>
      <w:widowControl/>
      <w:ind w:left="720"/>
    </w:pPr>
    <w:rPr>
      <w:snapToGrid/>
      <w:kern w:val="0"/>
      <w:sz w:val="24"/>
      <w:szCs w:val="24"/>
    </w:rPr>
  </w:style>
  <w:style w:type="paragraph" w:styleId="BalloonText">
    <w:name w:val="Balloon Text"/>
    <w:basedOn w:val="Normal"/>
    <w:link w:val="BalloonTextChar"/>
    <w:rsid w:val="002D25F2"/>
    <w:rPr>
      <w:rFonts w:ascii="Tahoma" w:hAnsi="Tahoma" w:cs="Tahoma"/>
      <w:sz w:val="16"/>
      <w:szCs w:val="16"/>
    </w:rPr>
  </w:style>
  <w:style w:type="character" w:customStyle="1" w:styleId="BalloonTextChar">
    <w:name w:val="Balloon Text Char"/>
    <w:basedOn w:val="DefaultParagraphFont"/>
    <w:link w:val="BalloonText"/>
    <w:rsid w:val="002D25F2"/>
    <w:rPr>
      <w:rFonts w:ascii="Tahoma" w:hAnsi="Tahoma" w:cs="Tahoma"/>
      <w:snapToGrid w:val="0"/>
      <w:kern w:val="28"/>
      <w:sz w:val="16"/>
      <w:szCs w:val="16"/>
    </w:rPr>
  </w:style>
  <w:style w:type="character" w:customStyle="1" w:styleId="Heading1Char">
    <w:name w:val="Heading 1 Char"/>
    <w:basedOn w:val="DefaultParagraphFont"/>
    <w:link w:val="Heading1"/>
    <w:rsid w:val="00ED70F8"/>
    <w:rPr>
      <w:rFonts w:ascii="Times New Roman Bold" w:hAnsi="Times New Roman Bold"/>
      <w:b/>
      <w:caps/>
      <w:snapToGrid w:val="0"/>
      <w:kern w:val="28"/>
      <w:sz w:val="22"/>
    </w:rPr>
  </w:style>
  <w:style w:type="character" w:customStyle="1" w:styleId="Heading2Char">
    <w:name w:val="Heading 2 Char"/>
    <w:basedOn w:val="DefaultParagraphFont"/>
    <w:link w:val="Heading2"/>
    <w:rsid w:val="0026533E"/>
    <w:rPr>
      <w:b/>
      <w:snapToGrid w:val="0"/>
      <w:kern w:val="28"/>
      <w:sz w:val="22"/>
    </w:rPr>
  </w:style>
  <w:style w:type="character" w:styleId="CommentReference">
    <w:name w:val="annotation reference"/>
    <w:basedOn w:val="DefaultParagraphFont"/>
    <w:rsid w:val="0075047A"/>
    <w:rPr>
      <w:sz w:val="16"/>
      <w:szCs w:val="16"/>
    </w:rPr>
  </w:style>
  <w:style w:type="paragraph" w:styleId="CommentText">
    <w:name w:val="annotation text"/>
    <w:basedOn w:val="Normal"/>
    <w:link w:val="CommentTextChar"/>
    <w:rsid w:val="0075047A"/>
    <w:rPr>
      <w:sz w:val="20"/>
    </w:rPr>
  </w:style>
  <w:style w:type="character" w:customStyle="1" w:styleId="CommentTextChar">
    <w:name w:val="Comment Text Char"/>
    <w:basedOn w:val="DefaultParagraphFont"/>
    <w:link w:val="CommentText"/>
    <w:rsid w:val="0075047A"/>
    <w:rPr>
      <w:snapToGrid w:val="0"/>
      <w:kern w:val="28"/>
    </w:rPr>
  </w:style>
  <w:style w:type="paragraph" w:styleId="CommentSubject">
    <w:name w:val="annotation subject"/>
    <w:basedOn w:val="CommentText"/>
    <w:next w:val="CommentText"/>
    <w:link w:val="CommentSubjectChar"/>
    <w:rsid w:val="0075047A"/>
    <w:rPr>
      <w:b/>
      <w:bCs/>
    </w:rPr>
  </w:style>
  <w:style w:type="character" w:customStyle="1" w:styleId="CommentSubjectChar">
    <w:name w:val="Comment Subject Char"/>
    <w:basedOn w:val="CommentTextChar"/>
    <w:link w:val="CommentSubject"/>
    <w:rsid w:val="0075047A"/>
    <w:rPr>
      <w:b/>
      <w:bCs/>
      <w:snapToGrid w:val="0"/>
      <w:kern w:val="28"/>
    </w:rPr>
  </w:style>
  <w:style w:type="character" w:customStyle="1" w:styleId="FooterChar">
    <w:name w:val="Footer Char"/>
    <w:basedOn w:val="DefaultParagraphFont"/>
    <w:link w:val="Footer"/>
    <w:rsid w:val="00D47970"/>
    <w:rPr>
      <w:snapToGrid w:val="0"/>
      <w:kern w:val="28"/>
      <w:sz w:val="22"/>
    </w:rPr>
  </w:style>
  <w:style w:type="character" w:customStyle="1" w:styleId="HeaderChar">
    <w:name w:val="Header Char"/>
    <w:basedOn w:val="DefaultParagraphFont"/>
    <w:link w:val="Header"/>
    <w:rsid w:val="00425E30"/>
    <w:rPr>
      <w:b/>
      <w:snapToGrid w:val="0"/>
      <w:kern w:val="28"/>
      <w:sz w:val="22"/>
    </w:rPr>
  </w:style>
  <w:style w:type="paragraph" w:styleId="Revision">
    <w:name w:val="Revision"/>
    <w:hidden/>
    <w:uiPriority w:val="99"/>
    <w:semiHidden/>
    <w:rsid w:val="008008CF"/>
    <w:rPr>
      <w:snapToGrid w:val="0"/>
      <w:kern w:val="28"/>
      <w:sz w:val="22"/>
    </w:rPr>
  </w:style>
  <w:style w:type="character" w:customStyle="1" w:styleId="apple-converted-space">
    <w:name w:val="apple-converted-space"/>
    <w:basedOn w:val="DefaultParagraphFont"/>
    <w:rsid w:val="00765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357343">
      <w:bodyDiv w:val="1"/>
      <w:marLeft w:val="0"/>
      <w:marRight w:val="0"/>
      <w:marTop w:val="0"/>
      <w:marBottom w:val="0"/>
      <w:divBdr>
        <w:top w:val="none" w:sz="0" w:space="0" w:color="auto"/>
        <w:left w:val="none" w:sz="0" w:space="0" w:color="auto"/>
        <w:bottom w:val="none" w:sz="0" w:space="0" w:color="auto"/>
        <w:right w:val="none" w:sz="0" w:space="0" w:color="auto"/>
      </w:divBdr>
    </w:div>
    <w:div w:id="781611188">
      <w:bodyDiv w:val="1"/>
      <w:marLeft w:val="0"/>
      <w:marRight w:val="0"/>
      <w:marTop w:val="0"/>
      <w:marBottom w:val="0"/>
      <w:divBdr>
        <w:top w:val="none" w:sz="0" w:space="0" w:color="auto"/>
        <w:left w:val="none" w:sz="0" w:space="0" w:color="auto"/>
        <w:bottom w:val="none" w:sz="0" w:space="0" w:color="auto"/>
        <w:right w:val="none" w:sz="0" w:space="0" w:color="auto"/>
      </w:divBdr>
    </w:div>
    <w:div w:id="1235239694">
      <w:bodyDiv w:val="1"/>
      <w:marLeft w:val="0"/>
      <w:marRight w:val="0"/>
      <w:marTop w:val="0"/>
      <w:marBottom w:val="0"/>
      <w:divBdr>
        <w:top w:val="none" w:sz="0" w:space="0" w:color="auto"/>
        <w:left w:val="none" w:sz="0" w:space="0" w:color="auto"/>
        <w:bottom w:val="none" w:sz="0" w:space="0" w:color="auto"/>
        <w:right w:val="none" w:sz="0" w:space="0" w:color="auto"/>
      </w:divBdr>
    </w:div>
    <w:div w:id="1496335173">
      <w:bodyDiv w:val="1"/>
      <w:marLeft w:val="0"/>
      <w:marRight w:val="0"/>
      <w:marTop w:val="0"/>
      <w:marBottom w:val="0"/>
      <w:divBdr>
        <w:top w:val="none" w:sz="0" w:space="0" w:color="auto"/>
        <w:left w:val="none" w:sz="0" w:space="0" w:color="auto"/>
        <w:bottom w:val="none" w:sz="0" w:space="0" w:color="auto"/>
        <w:right w:val="none" w:sz="0" w:space="0" w:color="auto"/>
      </w:divBdr>
    </w:div>
    <w:div w:id="1612207041">
      <w:bodyDiv w:val="1"/>
      <w:marLeft w:val="0"/>
      <w:marRight w:val="0"/>
      <w:marTop w:val="0"/>
      <w:marBottom w:val="0"/>
      <w:divBdr>
        <w:top w:val="none" w:sz="0" w:space="0" w:color="auto"/>
        <w:left w:val="none" w:sz="0" w:space="0" w:color="auto"/>
        <w:bottom w:val="none" w:sz="0" w:space="0" w:color="auto"/>
        <w:right w:val="none" w:sz="0" w:space="0" w:color="auto"/>
      </w:divBdr>
      <w:divsChild>
        <w:div w:id="774330246">
          <w:marLeft w:val="360"/>
          <w:marRight w:val="0"/>
          <w:marTop w:val="0"/>
          <w:marBottom w:val="0"/>
          <w:divBdr>
            <w:top w:val="none" w:sz="0" w:space="0" w:color="auto"/>
            <w:left w:val="none" w:sz="0" w:space="0" w:color="auto"/>
            <w:bottom w:val="none" w:sz="0" w:space="0" w:color="auto"/>
            <w:right w:val="none" w:sz="0" w:space="0" w:color="auto"/>
          </w:divBdr>
        </w:div>
        <w:div w:id="1188954597">
          <w:marLeft w:val="360"/>
          <w:marRight w:val="0"/>
          <w:marTop w:val="0"/>
          <w:marBottom w:val="0"/>
          <w:divBdr>
            <w:top w:val="none" w:sz="0" w:space="0" w:color="auto"/>
            <w:left w:val="none" w:sz="0" w:space="0" w:color="auto"/>
            <w:bottom w:val="none" w:sz="0" w:space="0" w:color="auto"/>
            <w:right w:val="none" w:sz="0" w:space="0" w:color="auto"/>
          </w:divBdr>
        </w:div>
        <w:div w:id="1841238743">
          <w:marLeft w:val="360"/>
          <w:marRight w:val="0"/>
          <w:marTop w:val="0"/>
          <w:marBottom w:val="0"/>
          <w:divBdr>
            <w:top w:val="none" w:sz="0" w:space="0" w:color="auto"/>
            <w:left w:val="none" w:sz="0" w:space="0" w:color="auto"/>
            <w:bottom w:val="none" w:sz="0" w:space="0" w:color="auto"/>
            <w:right w:val="none" w:sz="0" w:space="0" w:color="auto"/>
          </w:divBdr>
        </w:div>
      </w:divsChild>
    </w:div>
    <w:div w:id="214377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file.mpsc.state.mi.us/efile/docs/17619/01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6</Pages>
  <Words>4024</Words>
  <Characters>21376</Characters>
  <Application>Microsoft Office Word</Application>
  <DocSecurity>0</DocSecurity>
  <Lines>335</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25500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2015-01-28T14:10:00Z</cp:lastPrinted>
  <dcterms:created xsi:type="dcterms:W3CDTF">2015-03-18T14:16:00Z</dcterms:created>
  <dcterms:modified xsi:type="dcterms:W3CDTF">2015-03-18T14:16:00Z</dcterms:modified>
  <cp:category> </cp:category>
  <cp:contentStatus> </cp:contentStatus>
</cp:coreProperties>
</file>