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A74FF" w14:textId="77777777" w:rsidR="004C2EE3" w:rsidRPr="00DD68AC" w:rsidRDefault="004C2EE3">
      <w:pPr>
        <w:jc w:val="center"/>
        <w:rPr>
          <w:b/>
        </w:rPr>
      </w:pPr>
      <w:bookmarkStart w:id="0" w:name="_GoBack"/>
      <w:bookmarkEnd w:id="0"/>
      <w:r w:rsidRPr="00DD68AC">
        <w:rPr>
          <w:b/>
          <w:kern w:val="0"/>
          <w:szCs w:val="22"/>
        </w:rPr>
        <w:t>Before</w:t>
      </w:r>
      <w:r w:rsidRPr="00DD68AC">
        <w:rPr>
          <w:b/>
        </w:rPr>
        <w:t xml:space="preserve"> the</w:t>
      </w:r>
    </w:p>
    <w:p w14:paraId="08572E2F" w14:textId="77777777" w:rsidR="00921803" w:rsidRPr="00DD68AC" w:rsidRDefault="00921803" w:rsidP="00921803">
      <w:pPr>
        <w:pStyle w:val="StyleBoldCentered"/>
        <w:rPr>
          <w:rFonts w:ascii="Times New Roman" w:hAnsi="Times New Roman"/>
        </w:rPr>
      </w:pPr>
      <w:r w:rsidRPr="00DD68AC">
        <w:rPr>
          <w:rFonts w:ascii="Times New Roman" w:hAnsi="Times New Roman"/>
        </w:rPr>
        <w:t>F</w:t>
      </w:r>
      <w:r w:rsidRPr="00DD68AC">
        <w:rPr>
          <w:rFonts w:ascii="Times New Roman" w:hAnsi="Times New Roman"/>
          <w:caps w:val="0"/>
        </w:rPr>
        <w:t>ederal Communications Commission</w:t>
      </w:r>
    </w:p>
    <w:p w14:paraId="139388DC" w14:textId="77777777" w:rsidR="004C2EE3" w:rsidRPr="00DD68AC" w:rsidRDefault="00810B6F" w:rsidP="00096D8C">
      <w:pPr>
        <w:pStyle w:val="StyleBoldCentered"/>
        <w:rPr>
          <w:rFonts w:ascii="Times New Roman" w:hAnsi="Times New Roman"/>
        </w:rPr>
      </w:pPr>
      <w:r w:rsidRPr="00DD68AC">
        <w:rPr>
          <w:rFonts w:ascii="Times New Roman" w:hAnsi="Times New Roman"/>
          <w:caps w:val="0"/>
        </w:rPr>
        <w:t>Washington, D.C. 20554</w:t>
      </w:r>
    </w:p>
    <w:p w14:paraId="046440F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4C03EF3" w14:textId="77777777">
        <w:tc>
          <w:tcPr>
            <w:tcW w:w="4698" w:type="dxa"/>
          </w:tcPr>
          <w:p w14:paraId="151C914F" w14:textId="77777777" w:rsidR="004C2EE3" w:rsidRDefault="004C2EE3">
            <w:pPr>
              <w:tabs>
                <w:tab w:val="center" w:pos="4680"/>
              </w:tabs>
              <w:suppressAutoHyphens/>
              <w:rPr>
                <w:spacing w:val="-2"/>
              </w:rPr>
            </w:pPr>
            <w:r>
              <w:rPr>
                <w:spacing w:val="-2"/>
              </w:rPr>
              <w:t>In the Matter of</w:t>
            </w:r>
          </w:p>
          <w:p w14:paraId="03FF2DD0" w14:textId="77777777" w:rsidR="004C2EE3" w:rsidRDefault="004C2EE3">
            <w:pPr>
              <w:tabs>
                <w:tab w:val="center" w:pos="4680"/>
              </w:tabs>
              <w:suppressAutoHyphens/>
              <w:rPr>
                <w:spacing w:val="-2"/>
              </w:rPr>
            </w:pPr>
          </w:p>
          <w:p w14:paraId="6F8D3B2F" w14:textId="77777777" w:rsidR="004C2EE3" w:rsidRDefault="00DD68AC" w:rsidP="007115F7">
            <w:pPr>
              <w:tabs>
                <w:tab w:val="center" w:pos="4680"/>
              </w:tabs>
              <w:suppressAutoHyphens/>
              <w:rPr>
                <w:spacing w:val="-2"/>
              </w:rPr>
            </w:pPr>
            <w:r>
              <w:rPr>
                <w:spacing w:val="-2"/>
              </w:rPr>
              <w:t>WDBJ Television, Inc.</w:t>
            </w:r>
          </w:p>
          <w:p w14:paraId="182463E0" w14:textId="77777777" w:rsidR="00DD68AC" w:rsidRDefault="00DD68AC" w:rsidP="007115F7">
            <w:pPr>
              <w:tabs>
                <w:tab w:val="center" w:pos="4680"/>
              </w:tabs>
              <w:suppressAutoHyphens/>
              <w:rPr>
                <w:spacing w:val="-2"/>
              </w:rPr>
            </w:pPr>
          </w:p>
          <w:p w14:paraId="47184E22" w14:textId="0C89E797" w:rsidR="00815217" w:rsidRDefault="00DD68AC" w:rsidP="007115F7">
            <w:pPr>
              <w:tabs>
                <w:tab w:val="center" w:pos="4680"/>
              </w:tabs>
              <w:suppressAutoHyphens/>
              <w:rPr>
                <w:spacing w:val="-2"/>
              </w:rPr>
            </w:pPr>
            <w:r>
              <w:rPr>
                <w:spacing w:val="-2"/>
              </w:rPr>
              <w:t xml:space="preserve">License of Station WDBJ(DT) </w:t>
            </w:r>
          </w:p>
          <w:p w14:paraId="0A7A4C51" w14:textId="77777777" w:rsidR="00DD68AC" w:rsidRPr="007115F7" w:rsidRDefault="00DD68AC" w:rsidP="007115F7">
            <w:pPr>
              <w:tabs>
                <w:tab w:val="center" w:pos="4680"/>
              </w:tabs>
              <w:suppressAutoHyphens/>
              <w:rPr>
                <w:spacing w:val="-2"/>
              </w:rPr>
            </w:pPr>
            <w:r>
              <w:rPr>
                <w:spacing w:val="-2"/>
              </w:rPr>
              <w:t xml:space="preserve">Roanoke, Virginia </w:t>
            </w:r>
          </w:p>
        </w:tc>
        <w:tc>
          <w:tcPr>
            <w:tcW w:w="630" w:type="dxa"/>
          </w:tcPr>
          <w:p w14:paraId="10CE6A5D" w14:textId="77777777" w:rsidR="004C2EE3" w:rsidRDefault="004C2EE3">
            <w:pPr>
              <w:tabs>
                <w:tab w:val="center" w:pos="4680"/>
              </w:tabs>
              <w:suppressAutoHyphens/>
              <w:rPr>
                <w:b/>
                <w:spacing w:val="-2"/>
              </w:rPr>
            </w:pPr>
            <w:r>
              <w:rPr>
                <w:b/>
                <w:spacing w:val="-2"/>
              </w:rPr>
              <w:t>)</w:t>
            </w:r>
          </w:p>
          <w:p w14:paraId="59D32855" w14:textId="77777777" w:rsidR="004C2EE3" w:rsidRDefault="004C2EE3">
            <w:pPr>
              <w:tabs>
                <w:tab w:val="center" w:pos="4680"/>
              </w:tabs>
              <w:suppressAutoHyphens/>
              <w:rPr>
                <w:b/>
                <w:spacing w:val="-2"/>
              </w:rPr>
            </w:pPr>
            <w:r>
              <w:rPr>
                <w:b/>
                <w:spacing w:val="-2"/>
              </w:rPr>
              <w:t>)</w:t>
            </w:r>
          </w:p>
          <w:p w14:paraId="14BF27B6" w14:textId="77777777" w:rsidR="004C2EE3" w:rsidRDefault="004C2EE3">
            <w:pPr>
              <w:tabs>
                <w:tab w:val="center" w:pos="4680"/>
              </w:tabs>
              <w:suppressAutoHyphens/>
              <w:rPr>
                <w:b/>
                <w:spacing w:val="-2"/>
              </w:rPr>
            </w:pPr>
            <w:r>
              <w:rPr>
                <w:b/>
                <w:spacing w:val="-2"/>
              </w:rPr>
              <w:t>)</w:t>
            </w:r>
          </w:p>
          <w:p w14:paraId="04633B00" w14:textId="77777777" w:rsidR="004C2EE3" w:rsidRDefault="004C2EE3">
            <w:pPr>
              <w:tabs>
                <w:tab w:val="center" w:pos="4680"/>
              </w:tabs>
              <w:suppressAutoHyphens/>
              <w:rPr>
                <w:b/>
                <w:spacing w:val="-2"/>
              </w:rPr>
            </w:pPr>
            <w:r>
              <w:rPr>
                <w:b/>
                <w:spacing w:val="-2"/>
              </w:rPr>
              <w:t>)</w:t>
            </w:r>
          </w:p>
          <w:p w14:paraId="6DDB2638" w14:textId="77777777" w:rsidR="004C2EE3" w:rsidRDefault="004C2EE3">
            <w:pPr>
              <w:tabs>
                <w:tab w:val="center" w:pos="4680"/>
              </w:tabs>
              <w:suppressAutoHyphens/>
              <w:rPr>
                <w:b/>
                <w:spacing w:val="-2"/>
              </w:rPr>
            </w:pPr>
            <w:r>
              <w:rPr>
                <w:b/>
                <w:spacing w:val="-2"/>
              </w:rPr>
              <w:t>)</w:t>
            </w:r>
          </w:p>
          <w:p w14:paraId="0B562D88" w14:textId="77777777" w:rsidR="004C2EE3" w:rsidRDefault="004C2EE3">
            <w:pPr>
              <w:tabs>
                <w:tab w:val="center" w:pos="4680"/>
              </w:tabs>
              <w:suppressAutoHyphens/>
              <w:rPr>
                <w:b/>
                <w:spacing w:val="-2"/>
              </w:rPr>
            </w:pPr>
            <w:r>
              <w:rPr>
                <w:b/>
                <w:spacing w:val="-2"/>
              </w:rPr>
              <w:t>)</w:t>
            </w:r>
          </w:p>
          <w:p w14:paraId="75D9E21E" w14:textId="76D9EE6F" w:rsidR="004C2EE3" w:rsidRDefault="004C2EE3">
            <w:pPr>
              <w:tabs>
                <w:tab w:val="center" w:pos="4680"/>
              </w:tabs>
              <w:suppressAutoHyphens/>
              <w:rPr>
                <w:spacing w:val="-2"/>
              </w:rPr>
            </w:pPr>
            <w:r>
              <w:rPr>
                <w:b/>
                <w:spacing w:val="-2"/>
              </w:rPr>
              <w:t>)</w:t>
            </w:r>
          </w:p>
        </w:tc>
        <w:tc>
          <w:tcPr>
            <w:tcW w:w="4248" w:type="dxa"/>
          </w:tcPr>
          <w:p w14:paraId="42C49AC0" w14:textId="77777777" w:rsidR="004C2EE3" w:rsidRDefault="004C2EE3">
            <w:pPr>
              <w:tabs>
                <w:tab w:val="center" w:pos="4680"/>
              </w:tabs>
              <w:suppressAutoHyphens/>
              <w:rPr>
                <w:spacing w:val="-2"/>
              </w:rPr>
            </w:pPr>
          </w:p>
          <w:p w14:paraId="0B71895A" w14:textId="77777777" w:rsidR="004C2EE3" w:rsidRDefault="004C2EE3">
            <w:pPr>
              <w:pStyle w:val="TOAHeading"/>
              <w:tabs>
                <w:tab w:val="clear" w:pos="9360"/>
                <w:tab w:val="center" w:pos="4680"/>
              </w:tabs>
              <w:rPr>
                <w:spacing w:val="-2"/>
              </w:rPr>
            </w:pPr>
          </w:p>
          <w:p w14:paraId="72627420" w14:textId="460DF2F9" w:rsidR="007751E5" w:rsidRDefault="00DD68AC">
            <w:pPr>
              <w:tabs>
                <w:tab w:val="center" w:pos="4680"/>
              </w:tabs>
              <w:suppressAutoHyphens/>
              <w:rPr>
                <w:spacing w:val="-2"/>
              </w:rPr>
            </w:pPr>
            <w:r>
              <w:rPr>
                <w:spacing w:val="-2"/>
              </w:rPr>
              <w:t>File No</w:t>
            </w:r>
            <w:r w:rsidR="0061542F">
              <w:rPr>
                <w:spacing w:val="-2"/>
              </w:rPr>
              <w:t>s</w:t>
            </w:r>
            <w:r w:rsidR="000F31A0">
              <w:rPr>
                <w:spacing w:val="-2"/>
              </w:rPr>
              <w:t xml:space="preserve">.: </w:t>
            </w:r>
            <w:r w:rsidR="00A57DE4">
              <w:rPr>
                <w:spacing w:val="-2"/>
              </w:rPr>
              <w:t xml:space="preserve"> </w:t>
            </w:r>
            <w:r w:rsidR="000F31A0">
              <w:rPr>
                <w:spacing w:val="-2"/>
              </w:rPr>
              <w:t>EB-IHD-14-00</w:t>
            </w:r>
            <w:r w:rsidR="006C2A79">
              <w:rPr>
                <w:spacing w:val="-2"/>
              </w:rPr>
              <w:t>0</w:t>
            </w:r>
            <w:r w:rsidR="000F31A0">
              <w:rPr>
                <w:spacing w:val="-2"/>
              </w:rPr>
              <w:t>16819</w:t>
            </w:r>
          </w:p>
          <w:p w14:paraId="5AE3D775" w14:textId="713F1BF2" w:rsidR="004C2EE3" w:rsidRDefault="0061542F">
            <w:pPr>
              <w:tabs>
                <w:tab w:val="center" w:pos="4680"/>
              </w:tabs>
              <w:suppressAutoHyphens/>
              <w:rPr>
                <w:spacing w:val="-2"/>
              </w:rPr>
            </w:pPr>
            <w:r>
              <w:rPr>
                <w:spacing w:val="-2"/>
              </w:rPr>
              <w:t xml:space="preserve">                 </w:t>
            </w:r>
            <w:r w:rsidR="00A57DE4">
              <w:rPr>
                <w:spacing w:val="-2"/>
              </w:rPr>
              <w:t xml:space="preserve"> </w:t>
            </w:r>
            <w:r w:rsidR="00DE141A">
              <w:rPr>
                <w:spacing w:val="-2"/>
              </w:rPr>
              <w:t xml:space="preserve"> </w:t>
            </w:r>
            <w:r w:rsidR="00DD68AC">
              <w:rPr>
                <w:spacing w:val="-2"/>
              </w:rPr>
              <w:t>EB-12-IH-1363</w:t>
            </w:r>
          </w:p>
          <w:p w14:paraId="71CD953E" w14:textId="12C2B843" w:rsidR="009278A6" w:rsidRDefault="005F2D9D">
            <w:pPr>
              <w:tabs>
                <w:tab w:val="center" w:pos="4680"/>
              </w:tabs>
              <w:suppressAutoHyphens/>
              <w:rPr>
                <w:spacing w:val="-2"/>
              </w:rPr>
            </w:pPr>
            <w:r>
              <w:rPr>
                <w:spacing w:val="-2"/>
              </w:rPr>
              <w:t>NAL/Acct. No.:</w:t>
            </w:r>
            <w:r w:rsidR="009278A6">
              <w:rPr>
                <w:spacing w:val="-2"/>
              </w:rPr>
              <w:t xml:space="preserve">  </w:t>
            </w:r>
            <w:r w:rsidR="008038FD">
              <w:rPr>
                <w:spacing w:val="-2"/>
              </w:rPr>
              <w:t>2015320800</w:t>
            </w:r>
            <w:r w:rsidR="005A6446">
              <w:rPr>
                <w:spacing w:val="-2"/>
              </w:rPr>
              <w:t>10</w:t>
            </w:r>
          </w:p>
          <w:p w14:paraId="76E36162" w14:textId="77777777" w:rsidR="00DD68AC" w:rsidRDefault="00AC483C">
            <w:pPr>
              <w:tabs>
                <w:tab w:val="center" w:pos="4680"/>
              </w:tabs>
              <w:suppressAutoHyphens/>
              <w:rPr>
                <w:spacing w:val="-2"/>
              </w:rPr>
            </w:pPr>
            <w:r>
              <w:rPr>
                <w:spacing w:val="-2"/>
              </w:rPr>
              <w:t>FRN:  0002061737</w:t>
            </w:r>
          </w:p>
          <w:p w14:paraId="0C1BE22B" w14:textId="77777777" w:rsidR="00DD68AC" w:rsidRDefault="00DD68AC">
            <w:pPr>
              <w:tabs>
                <w:tab w:val="center" w:pos="4680"/>
              </w:tabs>
              <w:suppressAutoHyphens/>
              <w:rPr>
                <w:spacing w:val="-2"/>
              </w:rPr>
            </w:pPr>
            <w:r>
              <w:rPr>
                <w:spacing w:val="-2"/>
              </w:rPr>
              <w:t>Facility ID No.:</w:t>
            </w:r>
            <w:r w:rsidR="0053366C">
              <w:rPr>
                <w:spacing w:val="-2"/>
              </w:rPr>
              <w:t xml:space="preserve">  </w:t>
            </w:r>
            <w:r>
              <w:rPr>
                <w:spacing w:val="-2"/>
              </w:rPr>
              <w:t>71329</w:t>
            </w:r>
          </w:p>
        </w:tc>
      </w:tr>
      <w:tr w:rsidR="0061542F" w14:paraId="350C123E" w14:textId="77777777">
        <w:tc>
          <w:tcPr>
            <w:tcW w:w="4698" w:type="dxa"/>
          </w:tcPr>
          <w:p w14:paraId="7E3BB402" w14:textId="77777777" w:rsidR="0061542F" w:rsidRDefault="0061542F">
            <w:pPr>
              <w:tabs>
                <w:tab w:val="center" w:pos="4680"/>
              </w:tabs>
              <w:suppressAutoHyphens/>
              <w:rPr>
                <w:spacing w:val="-2"/>
              </w:rPr>
            </w:pPr>
          </w:p>
        </w:tc>
        <w:tc>
          <w:tcPr>
            <w:tcW w:w="630" w:type="dxa"/>
          </w:tcPr>
          <w:p w14:paraId="5375B8B8" w14:textId="77777777" w:rsidR="0061542F" w:rsidRDefault="0061542F">
            <w:pPr>
              <w:tabs>
                <w:tab w:val="center" w:pos="4680"/>
              </w:tabs>
              <w:suppressAutoHyphens/>
              <w:rPr>
                <w:b/>
                <w:spacing w:val="-2"/>
              </w:rPr>
            </w:pPr>
          </w:p>
        </w:tc>
        <w:tc>
          <w:tcPr>
            <w:tcW w:w="4248" w:type="dxa"/>
          </w:tcPr>
          <w:p w14:paraId="663C5EC1" w14:textId="77777777" w:rsidR="0061542F" w:rsidRDefault="0061542F">
            <w:pPr>
              <w:tabs>
                <w:tab w:val="center" w:pos="4680"/>
              </w:tabs>
              <w:suppressAutoHyphens/>
              <w:rPr>
                <w:spacing w:val="-2"/>
              </w:rPr>
            </w:pPr>
          </w:p>
        </w:tc>
      </w:tr>
    </w:tbl>
    <w:p w14:paraId="36FD5195" w14:textId="77777777" w:rsidR="00841AB1" w:rsidRPr="00DD68AC" w:rsidRDefault="00DD68AC" w:rsidP="00F021FA">
      <w:pPr>
        <w:pStyle w:val="StyleBoldCentered"/>
        <w:rPr>
          <w:rFonts w:ascii="Times New Roman" w:hAnsi="Times New Roman"/>
        </w:rPr>
      </w:pPr>
      <w:r>
        <w:rPr>
          <w:rFonts w:ascii="Times New Roman" w:hAnsi="Times New Roman"/>
        </w:rPr>
        <w:t>NOTICE OF APPARENT LIABILITY FOR FORFEITURE</w:t>
      </w:r>
    </w:p>
    <w:p w14:paraId="2F2F8EFB" w14:textId="77777777" w:rsidR="004C2EE3" w:rsidRDefault="004C2EE3">
      <w:pPr>
        <w:tabs>
          <w:tab w:val="left" w:pos="-720"/>
        </w:tabs>
        <w:suppressAutoHyphens/>
        <w:spacing w:line="227" w:lineRule="auto"/>
        <w:rPr>
          <w:spacing w:val="-2"/>
        </w:rPr>
      </w:pPr>
    </w:p>
    <w:p w14:paraId="4E8D0275" w14:textId="430B3F26" w:rsidR="004C2EE3" w:rsidRDefault="004C2EE3" w:rsidP="00133F79">
      <w:pPr>
        <w:tabs>
          <w:tab w:val="left" w:pos="720"/>
          <w:tab w:val="right" w:pos="9360"/>
        </w:tabs>
        <w:suppressAutoHyphens/>
        <w:spacing w:line="227" w:lineRule="auto"/>
        <w:rPr>
          <w:spacing w:val="-2"/>
        </w:rPr>
      </w:pPr>
      <w:r>
        <w:rPr>
          <w:b/>
          <w:spacing w:val="-2"/>
        </w:rPr>
        <w:t xml:space="preserve">Adopted:  </w:t>
      </w:r>
      <w:r w:rsidR="00073C59">
        <w:rPr>
          <w:b/>
          <w:spacing w:val="-2"/>
        </w:rPr>
        <w:t>March 20,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3C59">
        <w:rPr>
          <w:b/>
          <w:spacing w:val="-2"/>
        </w:rPr>
        <w:t>March 23, 2015</w:t>
      </w:r>
    </w:p>
    <w:p w14:paraId="12A42317" w14:textId="77777777" w:rsidR="00822CE0" w:rsidRDefault="00822CE0"/>
    <w:p w14:paraId="3DE2E200" w14:textId="77777777" w:rsidR="004C2EE3" w:rsidRDefault="004C2EE3">
      <w:pPr>
        <w:rPr>
          <w:spacing w:val="-2"/>
        </w:rPr>
      </w:pPr>
      <w:r>
        <w:t xml:space="preserve">By </w:t>
      </w:r>
      <w:r w:rsidR="004E4A22">
        <w:t>the</w:t>
      </w:r>
      <w:r w:rsidR="00DD68AC">
        <w:t xml:space="preserve"> Commission</w:t>
      </w:r>
      <w:r>
        <w:rPr>
          <w:spacing w:val="-2"/>
        </w:rPr>
        <w:t>:</w:t>
      </w:r>
    </w:p>
    <w:p w14:paraId="063AE4A7" w14:textId="77777777" w:rsidR="00083880" w:rsidRDefault="00083880">
      <w:pPr>
        <w:rPr>
          <w:spacing w:val="-2"/>
        </w:rPr>
      </w:pPr>
    </w:p>
    <w:p w14:paraId="2B4291C1" w14:textId="31E27DB6" w:rsidR="002C00E8" w:rsidRDefault="007751E5" w:rsidP="007751E5">
      <w:pPr>
        <w:pStyle w:val="Heading1"/>
      </w:pPr>
      <w:r>
        <w:t>INTRODUCTION</w:t>
      </w:r>
    </w:p>
    <w:p w14:paraId="33DE580E" w14:textId="64242303" w:rsidR="00DD68AC" w:rsidRDefault="00770E25" w:rsidP="00770E25">
      <w:pPr>
        <w:pStyle w:val="ParaNum"/>
      </w:pPr>
      <w:r w:rsidRPr="00770E25">
        <w:t>The Commission is charged with enforcing federal laws prohibiting the broadcast of obscene or indecent programming.  Consistent with that responsibility, in this action, we propose the maximum available forfeiture, $325,000, against WDBJ Television, Inc., for apparently broadcasting extremely graphic and explicit sexual material, specifically, a video image of a hand stroking an erect penis.  The broadcast at issue occurred during a news program on Station WDBJ(DT), Roanoke, Virginia, at approximately 6:00 p.m., a time at which children were likely to be in the viewing audience.  Our action today advances the Commission’s goal of protecting children – and the public in general – from the broadcast of clearly indecent sexual material.</w:t>
      </w:r>
      <w:r w:rsidR="008F2A9B">
        <w:t xml:space="preserve"> </w:t>
      </w:r>
    </w:p>
    <w:p w14:paraId="73E4DABD" w14:textId="47AD5CB6" w:rsidR="001036B8" w:rsidRDefault="001036B8" w:rsidP="00DD68AC">
      <w:pPr>
        <w:pStyle w:val="ParaNum"/>
      </w:pPr>
      <w:r>
        <w:t xml:space="preserve">In this Notice of Apparent Liability for </w:t>
      </w:r>
      <w:r w:rsidR="0053366C">
        <w:t>Forfeiture, we find that WDBJ</w:t>
      </w:r>
      <w:r w:rsidR="002E42CB">
        <w:t xml:space="preserve"> Television</w:t>
      </w:r>
      <w:r w:rsidR="0053366C">
        <w:t>,</w:t>
      </w:r>
      <w:r w:rsidR="002E42CB">
        <w:t xml:space="preserve"> Inc. (WDBJ or Licensee),</w:t>
      </w:r>
      <w:r w:rsidR="0053366C">
        <w:t xml:space="preserve"> l</w:t>
      </w:r>
      <w:r>
        <w:t xml:space="preserve">icensee of Station WDBJ(DT) (Station), Roanoke, Virginia, </w:t>
      </w:r>
      <w:r w:rsidR="00211E2F">
        <w:t xml:space="preserve">aired </w:t>
      </w:r>
      <w:r w:rsidR="00A877D9">
        <w:t xml:space="preserve">graphic and sexually explicit </w:t>
      </w:r>
      <w:r w:rsidR="00211E2F">
        <w:t>material</w:t>
      </w:r>
      <w:r w:rsidR="00A877D9">
        <w:t xml:space="preserve"> </w:t>
      </w:r>
      <w:r w:rsidR="000F76BE">
        <w:t>over the Station</w:t>
      </w:r>
      <w:r w:rsidR="002B4919">
        <w:t xml:space="preserve"> on July 12, 2012</w:t>
      </w:r>
      <w:r w:rsidR="00E27573">
        <w:t>,</w:t>
      </w:r>
      <w:r w:rsidR="002B4919">
        <w:t xml:space="preserve"> at approximately 6:00 p.m.,</w:t>
      </w:r>
      <w:r w:rsidR="000F76BE">
        <w:t xml:space="preserve"> </w:t>
      </w:r>
      <w:r w:rsidR="00375CC1">
        <w:t>in apparent willful</w:t>
      </w:r>
      <w:r>
        <w:t xml:space="preserve"> violat</w:t>
      </w:r>
      <w:r w:rsidR="00375CC1">
        <w:t xml:space="preserve">ion of federal restrictions on the broadcast of indecent material set forth in </w:t>
      </w:r>
      <w:r>
        <w:t>18 U.S.C. § 1464 and Section 73.3999 of the Commission’s rules (Rules)</w:t>
      </w:r>
      <w:r w:rsidR="00375CC1">
        <w:t>.</w:t>
      </w:r>
      <w:r>
        <w:rPr>
          <w:rStyle w:val="FootnoteReference"/>
        </w:rPr>
        <w:footnoteReference w:id="2"/>
      </w:r>
      <w:r w:rsidR="00375CC1">
        <w:t xml:space="preserve"> </w:t>
      </w:r>
      <w:r>
        <w:t xml:space="preserve"> </w:t>
      </w:r>
      <w:r w:rsidR="000F76BE">
        <w:t>For the reasons discussed below, w</w:t>
      </w:r>
      <w:r>
        <w:t xml:space="preserve">e conclude that WDBJ is </w:t>
      </w:r>
      <w:r w:rsidR="006C2A79">
        <w:t xml:space="preserve">apparently </w:t>
      </w:r>
      <w:r>
        <w:t xml:space="preserve">liable for a forfeiture in the amount of </w:t>
      </w:r>
      <w:r w:rsidR="00C62665">
        <w:t>three</w:t>
      </w:r>
      <w:r w:rsidR="004666B9">
        <w:t xml:space="preserve"> hundred </w:t>
      </w:r>
      <w:r w:rsidR="00C62665">
        <w:t>twenty-five</w:t>
      </w:r>
      <w:r w:rsidR="004666B9">
        <w:t xml:space="preserve"> thousand </w:t>
      </w:r>
      <w:r w:rsidR="006A2121">
        <w:t>dollar</w:t>
      </w:r>
      <w:r w:rsidR="004666B9">
        <w:t xml:space="preserve">s </w:t>
      </w:r>
      <w:r>
        <w:t>($</w:t>
      </w:r>
      <w:r w:rsidR="00C62665">
        <w:t>325</w:t>
      </w:r>
      <w:r w:rsidR="004666B9">
        <w:t>,000</w:t>
      </w:r>
      <w:r>
        <w:t xml:space="preserve">).  </w:t>
      </w:r>
    </w:p>
    <w:p w14:paraId="2DA873B5" w14:textId="77777777" w:rsidR="001036B8" w:rsidRPr="007751E5" w:rsidRDefault="001036B8" w:rsidP="007751E5">
      <w:pPr>
        <w:pStyle w:val="Heading1"/>
      </w:pPr>
      <w:r w:rsidRPr="007751E5">
        <w:t>BACKGROUND</w:t>
      </w:r>
    </w:p>
    <w:p w14:paraId="326BA1B9" w14:textId="38C7D2E3" w:rsidR="001036B8" w:rsidRDefault="008F2A9B" w:rsidP="008F2A9B">
      <w:pPr>
        <w:pStyle w:val="ParaNum"/>
      </w:pPr>
      <w:r>
        <w:t>Complainants allege</w:t>
      </w:r>
      <w:r w:rsidR="003F3809">
        <w:t xml:space="preserve"> that on July</w:t>
      </w:r>
      <w:r w:rsidR="006C2036">
        <w:t xml:space="preserve"> 12, 2012,</w:t>
      </w:r>
      <w:r w:rsidR="00417F25">
        <w:t xml:space="preserve"> at approximately 6:00 p.m., the Station broadcast </w:t>
      </w:r>
      <w:r>
        <w:t xml:space="preserve">an image of </w:t>
      </w:r>
      <w:r w:rsidR="00F77269">
        <w:t xml:space="preserve">sexual activity </w:t>
      </w:r>
      <w:r>
        <w:t xml:space="preserve">involving </w:t>
      </w:r>
      <w:r w:rsidR="00BC2406">
        <w:t>the graphic display of an erect</w:t>
      </w:r>
      <w:r>
        <w:t xml:space="preserve"> penis </w:t>
      </w:r>
      <w:r w:rsidR="00BC2406">
        <w:t xml:space="preserve">being stroked </w:t>
      </w:r>
      <w:r w:rsidR="00C44BCE">
        <w:t xml:space="preserve">during </w:t>
      </w:r>
      <w:r w:rsidR="00417F25">
        <w:t>a news report about a</w:t>
      </w:r>
      <w:r w:rsidR="003F3809">
        <w:t xml:space="preserve"> former </w:t>
      </w:r>
      <w:r w:rsidR="002B4919">
        <w:t xml:space="preserve">adult </w:t>
      </w:r>
      <w:r w:rsidR="00652799">
        <w:t>film</w:t>
      </w:r>
      <w:r w:rsidR="003F3809">
        <w:t xml:space="preserve"> star who </w:t>
      </w:r>
      <w:r w:rsidR="002B4919">
        <w:t xml:space="preserve">had </w:t>
      </w:r>
      <w:r w:rsidR="003F3809">
        <w:t>joined a</w:t>
      </w:r>
      <w:r w:rsidR="00417F25">
        <w:t xml:space="preserve"> local volunteer rescue s</w:t>
      </w:r>
      <w:r w:rsidR="00D41CEE">
        <w:t>quad</w:t>
      </w:r>
      <w:r w:rsidR="00C44BCE">
        <w:t>.</w:t>
      </w:r>
      <w:r w:rsidR="00D41CEE">
        <w:rPr>
          <w:rStyle w:val="FootnoteReference"/>
        </w:rPr>
        <w:footnoteReference w:id="3"/>
      </w:r>
      <w:r w:rsidR="00417F25">
        <w:t xml:space="preserve"> </w:t>
      </w:r>
      <w:r w:rsidR="00375CC1">
        <w:t xml:space="preserve"> The </w:t>
      </w:r>
      <w:r w:rsidR="00375CC1">
        <w:lastRenderedPageBreak/>
        <w:t xml:space="preserve">Enforcement </w:t>
      </w:r>
      <w:r w:rsidR="000415E1">
        <w:t>Bureau issued a Letter of I</w:t>
      </w:r>
      <w:r w:rsidR="00375CC1">
        <w:t>nquiry (LOI) to WDBJ, directing the Licensee to state whether t</w:t>
      </w:r>
      <w:r w:rsidR="009E718D">
        <w:t>he Station aired the complained-</w:t>
      </w:r>
      <w:r w:rsidR="00375CC1">
        <w:t xml:space="preserve">of material and to provide a recording and written transcript of the </w:t>
      </w:r>
      <w:r w:rsidR="009F2449">
        <w:t>broadcast</w:t>
      </w:r>
      <w:r w:rsidR="004F0165">
        <w:t>.</w:t>
      </w:r>
      <w:r w:rsidR="004F0165">
        <w:rPr>
          <w:rStyle w:val="FootnoteReference"/>
        </w:rPr>
        <w:footnoteReference w:id="4"/>
      </w:r>
      <w:r w:rsidR="004F0165">
        <w:t xml:space="preserve">  </w:t>
      </w:r>
    </w:p>
    <w:p w14:paraId="66280E2C" w14:textId="28F90CE7" w:rsidR="0098081F" w:rsidRDefault="00F77269" w:rsidP="008F2A9B">
      <w:pPr>
        <w:pStyle w:val="ParaNum"/>
      </w:pPr>
      <w:r>
        <w:t xml:space="preserve">The materials submitted by </w:t>
      </w:r>
      <w:r w:rsidR="00AE25FD">
        <w:t>WDBJ confirm that it broadcast a naked</w:t>
      </w:r>
      <w:r>
        <w:t>, erect</w:t>
      </w:r>
      <w:r w:rsidR="00AE25FD">
        <w:t xml:space="preserve"> penis and sexual manipulation thereof during an early evening new</w:t>
      </w:r>
      <w:r w:rsidR="00FD78B0">
        <w:t>s</w:t>
      </w:r>
      <w:r w:rsidR="00AE25FD">
        <w:t xml:space="preserve"> broadcast.  Specifically, WDBJ submits a recording and transcript of the report at issue in the Complaints, </w:t>
      </w:r>
      <w:r w:rsidR="00E80D5E">
        <w:t xml:space="preserve">which it acknowledges </w:t>
      </w:r>
      <w:r w:rsidR="00AE25FD">
        <w:t>aired on its evening news, “WDBJ7 at Six” on July 12, 2012</w:t>
      </w:r>
      <w:r w:rsidR="00FD4C71">
        <w:t>, at approximately 6:00 p.m.</w:t>
      </w:r>
      <w:r w:rsidR="00AE25FD">
        <w:rPr>
          <w:rStyle w:val="FootnoteReference"/>
        </w:rPr>
        <w:footnoteReference w:id="5"/>
      </w:r>
      <w:r w:rsidR="00AE25FD">
        <w:t xml:space="preserve">  The Station anchor introduces the report as the Station’s </w:t>
      </w:r>
      <w:r w:rsidR="00C32E2F">
        <w:t>“</w:t>
      </w:r>
      <w:r w:rsidR="006A2121">
        <w:t>top story [concerning] an</w:t>
      </w:r>
      <w:r w:rsidR="00AE25FD">
        <w:t xml:space="preserve"> ex-porn star</w:t>
      </w:r>
      <w:r w:rsidR="002B4919">
        <w:t>”</w:t>
      </w:r>
      <w:r w:rsidR="00AE25FD">
        <w:t xml:space="preserve"> volunteer for the local rescue squad.</w:t>
      </w:r>
      <w:r w:rsidR="006A2121">
        <w:rPr>
          <w:rStyle w:val="FootnoteReference"/>
        </w:rPr>
        <w:footnoteReference w:id="6"/>
      </w:r>
      <w:r w:rsidR="00AE25FD">
        <w:t xml:space="preserve">  The news report is approximately three minutes and 20 seconds in length.</w:t>
      </w:r>
      <w:r w:rsidR="00AE25FD">
        <w:rPr>
          <w:rStyle w:val="FootnoteReference"/>
        </w:rPr>
        <w:footnoteReference w:id="7"/>
      </w:r>
      <w:r w:rsidR="00AE25FD">
        <w:t xml:space="preserve">  The recording submitted by WDBJ shows that </w:t>
      </w:r>
      <w:r w:rsidR="00FD78B0">
        <w:t xml:space="preserve">the </w:t>
      </w:r>
      <w:r w:rsidR="00AE25FD">
        <w:t xml:space="preserve">broadcast included images of the </w:t>
      </w:r>
      <w:r w:rsidR="006A2121">
        <w:t>former adult film star</w:t>
      </w:r>
      <w:r w:rsidR="00AE25FD">
        <w:t xml:space="preserve">.  The first image is </w:t>
      </w:r>
      <w:r w:rsidR="006A2121">
        <w:t>video</w:t>
      </w:r>
      <w:r>
        <w:t xml:space="preserve"> in which</w:t>
      </w:r>
      <w:r w:rsidR="00C75C7C">
        <w:t xml:space="preserve"> only her face and shoulders can be seen</w:t>
      </w:r>
      <w:r>
        <w:t xml:space="preserve">.  In the video, she </w:t>
      </w:r>
      <w:r w:rsidR="00AE25FD">
        <w:t>has her finger in her mouth, moving it up and down on her tongue, with her lips partially open and then closing as she appears to suck on her finger.</w:t>
      </w:r>
      <w:r w:rsidR="00AE25FD">
        <w:rPr>
          <w:rStyle w:val="FootnoteReference"/>
        </w:rPr>
        <w:footnoteReference w:id="8"/>
      </w:r>
      <w:r w:rsidR="00E16FE5">
        <w:t xml:space="preserve">  Just before this image appears</w:t>
      </w:r>
      <w:r w:rsidR="00AE25FD">
        <w:t xml:space="preserve">, a reporter states: </w:t>
      </w:r>
      <w:r w:rsidR="000415E1">
        <w:t xml:space="preserve"> </w:t>
      </w:r>
      <w:r w:rsidR="00AE25FD">
        <w:t xml:space="preserve">“[t]he Cave Spring rescue squad has been around for more than 60 years.  In that time, it’s probably never had a volunteer like [the </w:t>
      </w:r>
      <w:r w:rsidR="002B4919">
        <w:t>woman</w:t>
      </w:r>
      <w:r w:rsidR="00AE25FD">
        <w:t>].”</w:t>
      </w:r>
      <w:r w:rsidR="00AE25FD">
        <w:rPr>
          <w:rStyle w:val="FootnoteReference"/>
        </w:rPr>
        <w:footnoteReference w:id="9"/>
      </w:r>
      <w:r w:rsidR="008F2A9B">
        <w:t xml:space="preserve">  </w:t>
      </w:r>
      <w:r w:rsidR="00E16FE5">
        <w:t>At the time that the image is displayed, a reporter goes on to state:  “[s]he’s a former porn star.”</w:t>
      </w:r>
      <w:r w:rsidR="000415E1">
        <w:rPr>
          <w:rStyle w:val="FootnoteReference"/>
        </w:rPr>
        <w:footnoteReference w:id="10"/>
      </w:r>
      <w:r w:rsidR="00E16FE5">
        <w:t xml:space="preserve">  </w:t>
      </w:r>
      <w:r>
        <w:t>T</w:t>
      </w:r>
      <w:r w:rsidR="00AE25FD">
        <w:t xml:space="preserve">he Licensee obtained </w:t>
      </w:r>
      <w:r>
        <w:t xml:space="preserve">the video image </w:t>
      </w:r>
      <w:r w:rsidR="000F76BE">
        <w:t xml:space="preserve">online </w:t>
      </w:r>
      <w:r>
        <w:t xml:space="preserve">from </w:t>
      </w:r>
      <w:r w:rsidR="00AE25FD">
        <w:t>the website of a distributo</w:t>
      </w:r>
      <w:r w:rsidR="008F2A9B">
        <w:t xml:space="preserve">r of </w:t>
      </w:r>
      <w:r w:rsidR="00A2643D">
        <w:t xml:space="preserve">the woman’s </w:t>
      </w:r>
      <w:r w:rsidR="008F2A9B">
        <w:t>adult films</w:t>
      </w:r>
      <w:r>
        <w:t>.</w:t>
      </w:r>
      <w:r w:rsidR="000415E1">
        <w:rPr>
          <w:rStyle w:val="FootnoteReference"/>
        </w:rPr>
        <w:footnoteReference w:id="11"/>
      </w:r>
      <w:r>
        <w:t xml:space="preserve">  The website, which was partially displayed along with the video image</w:t>
      </w:r>
      <w:r w:rsidR="008F2A9B">
        <w:t xml:space="preserve">, </w:t>
      </w:r>
      <w:r w:rsidR="008C44B1">
        <w:t>is bordered on the right side by</w:t>
      </w:r>
      <w:r w:rsidR="00AE25FD">
        <w:t xml:space="preserve"> boxes showing video clips from other films</w:t>
      </w:r>
      <w:r w:rsidR="009F2449">
        <w:t xml:space="preserve"> that do not </w:t>
      </w:r>
      <w:r w:rsidR="00CF7933">
        <w:t xml:space="preserve">appear to </w:t>
      </w:r>
      <w:r w:rsidR="009F2449">
        <w:t>show the woman who is the subject of the news report</w:t>
      </w:r>
      <w:r w:rsidR="00AE25FD">
        <w:t xml:space="preserve">.  </w:t>
      </w:r>
    </w:p>
    <w:p w14:paraId="29B49144" w14:textId="4D5D1A65" w:rsidR="00AE25FD" w:rsidRDefault="00AE25FD" w:rsidP="000415E1">
      <w:pPr>
        <w:pStyle w:val="ParaNum"/>
        <w:widowControl/>
      </w:pPr>
      <w:r>
        <w:t xml:space="preserve">One of these video clips, displayed in a box, contains the image of sexual activity involving manipulation of an erect penis.  Although the box does not show </w:t>
      </w:r>
      <w:r w:rsidR="00F77269">
        <w:t>the entire</w:t>
      </w:r>
      <w:r>
        <w:t xml:space="preserve"> body </w:t>
      </w:r>
      <w:r w:rsidR="00F77269">
        <w:t xml:space="preserve">or face </w:t>
      </w:r>
      <w:r w:rsidR="0098081F">
        <w:t xml:space="preserve">of </w:t>
      </w:r>
      <w:r>
        <w:t>the apparently nude male depicted, the image shows a hand moving up and down the length of the shaft of the erect penis.</w:t>
      </w:r>
      <w:r>
        <w:rPr>
          <w:rStyle w:val="FootnoteReference"/>
        </w:rPr>
        <w:footnoteReference w:id="12"/>
      </w:r>
      <w:r w:rsidR="00935AEE">
        <w:t xml:space="preserve">  </w:t>
      </w:r>
      <w:r>
        <w:t xml:space="preserve">WDBJ </w:t>
      </w:r>
      <w:r w:rsidR="009E2B8B">
        <w:t xml:space="preserve">asserts </w:t>
      </w:r>
      <w:r w:rsidR="00935AEE">
        <w:t xml:space="preserve">that </w:t>
      </w:r>
      <w:r>
        <w:t xml:space="preserve">this image was displayed for </w:t>
      </w:r>
      <w:r w:rsidR="009E2B8B">
        <w:t>less than</w:t>
      </w:r>
      <w:r w:rsidR="00935AEE">
        <w:t xml:space="preserve"> three seconds</w:t>
      </w:r>
      <w:r>
        <w:t>.</w:t>
      </w:r>
      <w:r>
        <w:rPr>
          <w:rStyle w:val="FootnoteReference"/>
        </w:rPr>
        <w:footnoteReference w:id="13"/>
      </w:r>
      <w:r>
        <w:t xml:space="preserve">  There are also other images of the </w:t>
      </w:r>
      <w:r w:rsidR="006A2121">
        <w:t xml:space="preserve">woman who is the </w:t>
      </w:r>
      <w:r w:rsidR="002B4919">
        <w:t>subject of the story</w:t>
      </w:r>
      <w:r>
        <w:t xml:space="preserve"> displayed at vari</w:t>
      </w:r>
      <w:r w:rsidR="00F77269">
        <w:t>ous times during the report, including one in which</w:t>
      </w:r>
      <w:r>
        <w:t xml:space="preserve"> she appears to be sitting on a bed, wearing a bra.</w:t>
      </w:r>
      <w:r>
        <w:rPr>
          <w:rStyle w:val="FootnoteReference"/>
        </w:rPr>
        <w:footnoteReference w:id="14"/>
      </w:r>
      <w:r>
        <w:t xml:space="preserve">   </w:t>
      </w:r>
    </w:p>
    <w:p w14:paraId="0F35AB08" w14:textId="24B07911" w:rsidR="00AE25FD" w:rsidRDefault="00AE25FD" w:rsidP="00290B6E">
      <w:pPr>
        <w:pStyle w:val="ParaNum"/>
        <w:widowControl/>
      </w:pPr>
      <w:r>
        <w:t>The Licensee claims that the smaller boxes</w:t>
      </w:r>
      <w:r w:rsidR="00F77269">
        <w:t>,</w:t>
      </w:r>
      <w:r>
        <w:t xml:space="preserve"> including the image of the penis, were not visible on the monitors in the Station’s editing bay, and therefore</w:t>
      </w:r>
      <w:r w:rsidR="00511049">
        <w:t>,</w:t>
      </w:r>
      <w:r>
        <w:t xml:space="preserve"> </w:t>
      </w:r>
      <w:r w:rsidR="00935AEE">
        <w:t>the S</w:t>
      </w:r>
      <w:r w:rsidR="00BC2406">
        <w:t xml:space="preserve">tation’s News Director and other management personnel who </w:t>
      </w:r>
      <w:r w:rsidR="00A2643D">
        <w:t xml:space="preserve">had </w:t>
      </w:r>
      <w:r w:rsidR="00BC2406">
        <w:t>reviewed the story did not see the indecent material</w:t>
      </w:r>
      <w:r>
        <w:t xml:space="preserve"> prior</w:t>
      </w:r>
      <w:r w:rsidR="00511049">
        <w:t xml:space="preserve"> </w:t>
      </w:r>
      <w:r>
        <w:t xml:space="preserve">to </w:t>
      </w:r>
      <w:r w:rsidR="00511049">
        <w:t xml:space="preserve">the </w:t>
      </w:r>
      <w:r>
        <w:t>broadcast.</w:t>
      </w:r>
      <w:r>
        <w:rPr>
          <w:rStyle w:val="FootnoteReference"/>
        </w:rPr>
        <w:footnoteReference w:id="15"/>
      </w:r>
      <w:r>
        <w:t xml:space="preserve">  </w:t>
      </w:r>
      <w:r w:rsidR="00935AEE">
        <w:t xml:space="preserve">However, </w:t>
      </w:r>
      <w:r w:rsidR="00BC2406">
        <w:t>a</w:t>
      </w:r>
      <w:r w:rsidR="00935AEE">
        <w:t xml:space="preserve"> photojournalist on the S</w:t>
      </w:r>
      <w:r w:rsidR="00BC2406">
        <w:t xml:space="preserve">tation’s staff, </w:t>
      </w:r>
      <w:r w:rsidR="00935AEE">
        <w:t xml:space="preserve">who prepared the report, </w:t>
      </w:r>
      <w:r w:rsidR="00BC2406">
        <w:t xml:space="preserve">obtained the screen shots from the </w:t>
      </w:r>
      <w:r w:rsidR="00A2643D">
        <w:t xml:space="preserve">adult </w:t>
      </w:r>
      <w:r w:rsidR="00BC2406">
        <w:t>video distributor</w:t>
      </w:r>
      <w:r w:rsidR="00A2643D">
        <w:t>’s website</w:t>
      </w:r>
      <w:r w:rsidR="00BC2406">
        <w:t xml:space="preserve"> used in the broadcast.</w:t>
      </w:r>
      <w:r w:rsidR="002923E5">
        <w:rPr>
          <w:rStyle w:val="FootnoteReference"/>
        </w:rPr>
        <w:footnoteReference w:id="16"/>
      </w:r>
      <w:r w:rsidR="00BC2406">
        <w:t xml:space="preserve">  </w:t>
      </w:r>
      <w:r w:rsidR="000415E1">
        <w:t xml:space="preserve">The photojournalist </w:t>
      </w:r>
      <w:r w:rsidR="00BC2406">
        <w:t xml:space="preserve">asserts:  “When I recorded the screen shots off of a computer, I did not notice the small ‘boxes’ at the right of screen showing other films available from the distributor,” one of which showed the </w:t>
      </w:r>
      <w:r w:rsidR="002E20C0">
        <w:t xml:space="preserve">sexually </w:t>
      </w:r>
      <w:r w:rsidR="00A2643D">
        <w:t>explicit</w:t>
      </w:r>
      <w:r w:rsidR="002B4919">
        <w:t xml:space="preserve"> image</w:t>
      </w:r>
      <w:r w:rsidR="00BC2406">
        <w:t xml:space="preserve"> at issue here.</w:t>
      </w:r>
      <w:r w:rsidR="003F4C69">
        <w:rPr>
          <w:rStyle w:val="FootnoteReference"/>
        </w:rPr>
        <w:footnoteReference w:id="17"/>
      </w:r>
      <w:r w:rsidR="00935AEE">
        <w:t xml:space="preserve">  The </w:t>
      </w:r>
      <w:r w:rsidR="00BD4E53">
        <w:t xml:space="preserve">photojournalist </w:t>
      </w:r>
      <w:r w:rsidR="00BC2406">
        <w:t>does not claim that those boxes were not visible</w:t>
      </w:r>
      <w:r w:rsidR="003F4C69">
        <w:t xml:space="preserve"> when he downloaded the material from the </w:t>
      </w:r>
      <w:r w:rsidR="00A2643D">
        <w:t xml:space="preserve">adult </w:t>
      </w:r>
      <w:r w:rsidR="003F4C69">
        <w:t>website</w:t>
      </w:r>
      <w:r w:rsidR="00BC2406">
        <w:t xml:space="preserve">, but rather simply that he did not notice them.  </w:t>
      </w:r>
      <w:r>
        <w:t>WDBJ further states that it received complaints from viewers after the news report was broadcast, which alerted it to the image of the penis.</w:t>
      </w:r>
      <w:r>
        <w:rPr>
          <w:rStyle w:val="FootnoteReference"/>
        </w:rPr>
        <w:footnoteReference w:id="18"/>
      </w:r>
      <w:r>
        <w:t xml:space="preserve">  The </w:t>
      </w:r>
      <w:r w:rsidR="008F2A9B">
        <w:t xml:space="preserve">Licensee states that the </w:t>
      </w:r>
      <w:r>
        <w:t>Station immediately decided not to rebroadcast the report in the same form in any later news program that day, and also removed it from the Station’s website.</w:t>
      </w:r>
      <w:r>
        <w:rPr>
          <w:rStyle w:val="FootnoteReference"/>
        </w:rPr>
        <w:footnoteReference w:id="19"/>
      </w:r>
      <w:r>
        <w:t xml:space="preserve">  </w:t>
      </w:r>
    </w:p>
    <w:p w14:paraId="18EF16C5" w14:textId="2BA12020" w:rsidR="00B55559" w:rsidRDefault="009855DB" w:rsidP="001036B8">
      <w:pPr>
        <w:pStyle w:val="ParaNum"/>
      </w:pPr>
      <w:r>
        <w:t>The Licensee argues that the broadcast of this “extremely fleeting and partial image of a penis during a news story” does no</w:t>
      </w:r>
      <w:r w:rsidR="00BD4E53">
        <w:t xml:space="preserve">t violate the </w:t>
      </w:r>
      <w:r>
        <w:t xml:space="preserve">Rules and does not </w:t>
      </w:r>
      <w:r w:rsidR="00B27192">
        <w:t xml:space="preserve">provide any basis for </w:t>
      </w:r>
      <w:r>
        <w:t>enforcement action</w:t>
      </w:r>
      <w:r w:rsidR="00B27192">
        <w:t>.</w:t>
      </w:r>
      <w:r w:rsidR="00B27192">
        <w:rPr>
          <w:rStyle w:val="FootnoteReference"/>
        </w:rPr>
        <w:footnoteReference w:id="20"/>
      </w:r>
      <w:r w:rsidR="00B27192">
        <w:t xml:space="preserve">  </w:t>
      </w:r>
      <w:r w:rsidR="00AB5CC9">
        <w:t xml:space="preserve">First, </w:t>
      </w:r>
      <w:r w:rsidR="00FC4910">
        <w:t>WDBJ argues that it lack</w:t>
      </w:r>
      <w:r w:rsidR="00AB5CC9">
        <w:t>ed</w:t>
      </w:r>
      <w:r w:rsidR="00FC4910">
        <w:t xml:space="preserve"> notice that the Commission could find such material indecent, especially in the context of a news broadcast</w:t>
      </w:r>
      <w:r w:rsidR="00A2643D">
        <w:t xml:space="preserve"> of a story of interest to the community</w:t>
      </w:r>
      <w:r w:rsidR="00160EE9">
        <w:t>.</w:t>
      </w:r>
      <w:r w:rsidR="00FC4910">
        <w:rPr>
          <w:rStyle w:val="FootnoteReference"/>
        </w:rPr>
        <w:footnoteReference w:id="21"/>
      </w:r>
      <w:r w:rsidR="00FC4910">
        <w:t xml:space="preserve"> </w:t>
      </w:r>
      <w:r w:rsidR="001E27D9">
        <w:t xml:space="preserve"> </w:t>
      </w:r>
      <w:r w:rsidR="00160EE9">
        <w:t>In this regard, WDBJ contend</w:t>
      </w:r>
      <w:r w:rsidR="00BD4E53">
        <w:t>s that the Commission issued a Public N</w:t>
      </w:r>
      <w:r w:rsidR="00160EE9">
        <w:t>otice in 2013 seeking comment on its indecency policies without clearly articulating the standards that would apply to indecency enforcement or whether the indecency policies would or would not apply during the pendency of the comment period.</w:t>
      </w:r>
      <w:r w:rsidR="00160EE9">
        <w:rPr>
          <w:rStyle w:val="FootnoteReference"/>
        </w:rPr>
        <w:footnoteReference w:id="22"/>
      </w:r>
      <w:r w:rsidR="00160EE9">
        <w:t xml:space="preserve">  </w:t>
      </w:r>
      <w:r w:rsidR="00BD4E53">
        <w:t>Further, WDBJ notes</w:t>
      </w:r>
      <w:r w:rsidR="004940C0">
        <w:t xml:space="preserve"> the brevity of the image and asserts that the image</w:t>
      </w:r>
      <w:r w:rsidR="00AB5CC9">
        <w:t xml:space="preserve"> was therefore not actionably indecent under judicial precedent.</w:t>
      </w:r>
      <w:r w:rsidR="00AB5CC9">
        <w:rPr>
          <w:rStyle w:val="FootnoteReference"/>
        </w:rPr>
        <w:footnoteReference w:id="23"/>
      </w:r>
      <w:r w:rsidR="00AB5CC9">
        <w:t xml:space="preserve">  Finally, </w:t>
      </w:r>
      <w:r w:rsidR="00160EE9">
        <w:t xml:space="preserve">WDBJ </w:t>
      </w:r>
      <w:r w:rsidR="00FC4910">
        <w:t>summarily asserts that the Commission’s indecency laws are unconstitutional.</w:t>
      </w:r>
      <w:r w:rsidR="00FC4910">
        <w:rPr>
          <w:rStyle w:val="FootnoteReference"/>
        </w:rPr>
        <w:footnoteReference w:id="24"/>
      </w:r>
      <w:r w:rsidR="00FC4910" w:rsidDel="00FC4910">
        <w:t xml:space="preserve"> </w:t>
      </w:r>
    </w:p>
    <w:p w14:paraId="27493446" w14:textId="77777777" w:rsidR="00B55559" w:rsidRDefault="00B55559" w:rsidP="00511049">
      <w:pPr>
        <w:pStyle w:val="Heading1"/>
      </w:pPr>
      <w:r>
        <w:t xml:space="preserve">DISCUSSION </w:t>
      </w:r>
    </w:p>
    <w:p w14:paraId="3E671774" w14:textId="77777777" w:rsidR="00EE3E07" w:rsidRDefault="00EE3E07" w:rsidP="00EE3E07">
      <w:pPr>
        <w:pStyle w:val="Heading2"/>
      </w:pPr>
      <w:r>
        <w:t>Indecency Law</w:t>
      </w:r>
      <w:r w:rsidR="008F2A9B">
        <w:t>s</w:t>
      </w:r>
      <w:r w:rsidR="002C56E4">
        <w:t xml:space="preserve"> Generally Preclude the Patently Offensive Broadcast of Sexual Material.  </w:t>
      </w:r>
    </w:p>
    <w:p w14:paraId="13FB958F" w14:textId="5F5A2E03" w:rsidR="0080376F" w:rsidRDefault="00B104D1" w:rsidP="00B104D1">
      <w:pPr>
        <w:pStyle w:val="ParaNum"/>
      </w:pPr>
      <w:r>
        <w:t>Section 1464 of Title 18, United States Code, prohibits the broadcast of obscene, indecent, or profane programming.</w:t>
      </w:r>
      <w:r w:rsidR="00BD4E53">
        <w:rPr>
          <w:rStyle w:val="FootnoteReference"/>
        </w:rPr>
        <w:footnoteReference w:id="25"/>
      </w:r>
      <w:r>
        <w:t xml:space="preserve">  In addition, Section 73.3999 of the Rules bans the broadcast of obscene material at any time and, consistent with a subsequent statute and court case, prohibits radio and television broadcasts of indecent material between the hours of 6:00 a.m. and 10:00 p.m.</w:t>
      </w:r>
      <w:r>
        <w:rPr>
          <w:rStyle w:val="FootnoteReference"/>
        </w:rPr>
        <w:footnoteReference w:id="26"/>
      </w:r>
      <w:r>
        <w:t xml:space="preserve">  </w:t>
      </w:r>
      <w:r w:rsidR="00BC4397">
        <w:t xml:space="preserve">Enforcing </w:t>
      </w:r>
      <w:r w:rsidR="008D4847">
        <w:t xml:space="preserve">the statute and </w:t>
      </w:r>
      <w:r w:rsidR="00BC4397">
        <w:t xml:space="preserve">Rule restricting indecent, obscene, or profane broadcasts is an important part of the Commission’s overall responsibility for regulating broadcast radio and television operations.  </w:t>
      </w:r>
      <w:r w:rsidR="003C0368">
        <w:t>A broadcast licensee “is granted the free and exclusive use of a limited and valuable part of the public domain; when he accepts that franchise it is burdened by enforceable public obligations.”</w:t>
      </w:r>
      <w:r w:rsidR="003C0368">
        <w:rPr>
          <w:rStyle w:val="FootnoteReference"/>
        </w:rPr>
        <w:footnoteReference w:id="27"/>
      </w:r>
      <w:r w:rsidR="003C0368">
        <w:t xml:space="preserve"> </w:t>
      </w:r>
      <w:r w:rsidR="00BC4397">
        <w:t xml:space="preserve"> </w:t>
      </w:r>
      <w:r w:rsidR="00F77269">
        <w:t>O</w:t>
      </w:r>
      <w:r w:rsidR="003C0368">
        <w:t>ne of those “enforceable public obligations” is</w:t>
      </w:r>
      <w:r w:rsidR="00A2643D">
        <w:t xml:space="preserve"> compliance with </w:t>
      </w:r>
      <w:r w:rsidR="003C0368">
        <w:t xml:space="preserve">the </w:t>
      </w:r>
      <w:r w:rsidR="000C66A9">
        <w:t>prohibition against broadcasting</w:t>
      </w:r>
      <w:r w:rsidR="003C0368">
        <w:t xml:space="preserve"> indecent material </w:t>
      </w:r>
      <w:r w:rsidR="00AB5CC9">
        <w:t xml:space="preserve">between </w:t>
      </w:r>
      <w:r w:rsidR="003C0368">
        <w:t xml:space="preserve">the hours of 6:00 a.m. </w:t>
      </w:r>
      <w:r w:rsidR="00AB5CC9">
        <w:t xml:space="preserve">and </w:t>
      </w:r>
      <w:r w:rsidR="003C0368">
        <w:t>10:00 p.m.</w:t>
      </w:r>
      <w:r w:rsidR="000C66A9">
        <w:rPr>
          <w:rStyle w:val="FootnoteReference"/>
        </w:rPr>
        <w:footnoteReference w:id="28"/>
      </w:r>
      <w:r w:rsidR="003C0368">
        <w:t xml:space="preserve"> </w:t>
      </w:r>
      <w:r w:rsidR="00015DAB">
        <w:t xml:space="preserve"> </w:t>
      </w:r>
    </w:p>
    <w:p w14:paraId="35A54F50" w14:textId="61225AC4" w:rsidR="00EE3E07" w:rsidRDefault="00EE3E07" w:rsidP="00EE3E07">
      <w:pPr>
        <w:pStyle w:val="ParaNum"/>
      </w:pPr>
      <w:r>
        <w:t xml:space="preserve">The Commission defines indecent speech as material that, in context, depicts or describes sexual or excretory organs or activities in terms </w:t>
      </w:r>
      <w:r w:rsidRPr="00161EDF">
        <w:rPr>
          <w:i/>
        </w:rPr>
        <w:t>patently offensive</w:t>
      </w:r>
      <w:r>
        <w:t xml:space="preserve"> as measured by contemporary community standards for the broadcast medium.</w:t>
      </w:r>
      <w:r w:rsidR="00F815AC">
        <w:rPr>
          <w:rStyle w:val="FootnoteReference"/>
        </w:rPr>
        <w:footnoteReference w:id="29"/>
      </w:r>
      <w:r w:rsidR="00F815AC" w:rsidRPr="00EC511C">
        <w:t xml:space="preserve"> </w:t>
      </w:r>
      <w:r w:rsidR="00EC511C">
        <w:t xml:space="preserve"> </w:t>
      </w:r>
      <w:r>
        <w:t>Thus, indecency findings require two fundamental determinations.  First, the material alleged to be indecent must fall within the subject matter scope of our indecency definition – that is, the material must describe or depict sexual or excretory organs or activities.</w:t>
      </w:r>
      <w:r w:rsidR="006820EB">
        <w:rPr>
          <w:rStyle w:val="FootnoteReference"/>
        </w:rPr>
        <w:footnoteReference w:id="30"/>
      </w:r>
      <w:r>
        <w:t xml:space="preserve">  Second, the broadcast must be </w:t>
      </w:r>
      <w:r w:rsidRPr="00E40E18">
        <w:rPr>
          <w:i/>
        </w:rPr>
        <w:t>patently offensive</w:t>
      </w:r>
      <w:r>
        <w:t xml:space="preserve"> as measured by contemporary community standards for the broadcast medium.</w:t>
      </w:r>
      <w:r w:rsidR="00F815AC">
        <w:rPr>
          <w:rStyle w:val="FootnoteReference"/>
        </w:rPr>
        <w:footnoteReference w:id="31"/>
      </w:r>
      <w:r w:rsidR="00F815AC">
        <w:t xml:space="preserve"> </w:t>
      </w:r>
      <w:r w:rsidR="00AF3169">
        <w:t xml:space="preserve"> The Commission’s application of this context</w:t>
      </w:r>
      <w:r w:rsidR="00F77269">
        <w:t>-</w:t>
      </w:r>
      <w:r w:rsidR="00AF3169">
        <w:t xml:space="preserve">based indecency definition was upheld in </w:t>
      </w:r>
      <w:r w:rsidR="00AF3169">
        <w:rPr>
          <w:i/>
        </w:rPr>
        <w:t>FCC v. Pacifica Foundation</w:t>
      </w:r>
      <w:r w:rsidR="00AF3169">
        <w:t>.</w:t>
      </w:r>
      <w:r w:rsidR="00AF3169">
        <w:rPr>
          <w:rStyle w:val="FootnoteReference"/>
        </w:rPr>
        <w:footnoteReference w:id="32"/>
      </w:r>
      <w:r w:rsidR="008D4847">
        <w:t xml:space="preserve">  </w:t>
      </w:r>
      <w:r w:rsidR="00AF3169">
        <w:t xml:space="preserve">  </w:t>
      </w:r>
    </w:p>
    <w:p w14:paraId="21E08B07" w14:textId="77777777" w:rsidR="00EE3E07" w:rsidRDefault="00EE3E07" w:rsidP="002936A0">
      <w:pPr>
        <w:pStyle w:val="ParaNum"/>
        <w:widowControl/>
      </w:pPr>
      <w:r>
        <w:t xml:space="preserve">In assessing whether broadcast material is patently offensive, “the </w:t>
      </w:r>
      <w:r w:rsidRPr="00523BC6">
        <w:rPr>
          <w:i/>
        </w:rPr>
        <w:t>full context</w:t>
      </w:r>
      <w:r>
        <w:t xml:space="preserve"> in which the material appea</w:t>
      </w:r>
      <w:r w:rsidR="007967AB">
        <w:t>red is critically important.”</w:t>
      </w:r>
      <w:r w:rsidR="004F7642">
        <w:rPr>
          <w:rStyle w:val="FootnoteReference"/>
        </w:rPr>
        <w:footnoteReference w:id="33"/>
      </w:r>
      <w:r w:rsidR="007967AB">
        <w:t xml:space="preserve">  </w:t>
      </w:r>
      <w:r>
        <w:t>Three principal factors are significant to this contextual analysis:  (1) the explicitness or graphic nature of the description</w:t>
      </w:r>
      <w:r w:rsidR="0073070A">
        <w:t xml:space="preserve"> or depiction</w:t>
      </w:r>
      <w:r>
        <w:t xml:space="preserve">; (2) whether the material dwells on or repeats at length descriptions </w:t>
      </w:r>
      <w:r w:rsidR="00A32D2C">
        <w:t xml:space="preserve">or depictions </w:t>
      </w:r>
      <w:r>
        <w:t>of sexual or excretory organs or activities; and (3) whether the material panders to, titillates, or shocks the audience.</w:t>
      </w:r>
      <w:r w:rsidR="00523BC6">
        <w:rPr>
          <w:rStyle w:val="FootnoteReference"/>
        </w:rPr>
        <w:footnoteReference w:id="34"/>
      </w:r>
      <w:r>
        <w:t xml:space="preserve">  In examining these three factors, we must weigh and balance them to determine whether the broadcast material is patently offensive because “[e]ach indecency case presents its own particular mix of these, and possibly other, factors.”</w:t>
      </w:r>
      <w:r w:rsidR="00A132AC">
        <w:rPr>
          <w:rStyle w:val="FootnoteReference"/>
        </w:rPr>
        <w:footnoteReference w:id="35"/>
      </w:r>
      <w:r>
        <w:t xml:space="preserve">  In particular cases, one or two of the factors may outweigh the others, either rendering the broadcast material patently offensive and consequently indecent,</w:t>
      </w:r>
      <w:r w:rsidR="002534CB">
        <w:rPr>
          <w:rStyle w:val="FootnoteReference"/>
        </w:rPr>
        <w:footnoteReference w:id="36"/>
      </w:r>
      <w:r>
        <w:t xml:space="preserve"> or, alternatively, removing the broa</w:t>
      </w:r>
      <w:r w:rsidR="000F0668">
        <w:t>dcast material from the universe of actionable</w:t>
      </w:r>
      <w:r>
        <w:t xml:space="preserve"> indecency.</w:t>
      </w:r>
      <w:r w:rsidR="002C3FEC">
        <w:rPr>
          <w:rStyle w:val="FootnoteReference"/>
        </w:rPr>
        <w:footnoteReference w:id="37"/>
      </w:r>
      <w:r>
        <w:t xml:space="preserve">  </w:t>
      </w:r>
    </w:p>
    <w:p w14:paraId="3E4252A6" w14:textId="6BC88500" w:rsidR="00511049" w:rsidRDefault="00D854B9" w:rsidP="008F2A9B">
      <w:pPr>
        <w:pStyle w:val="ParaNum"/>
      </w:pPr>
      <w:r>
        <w:t xml:space="preserve">Considering </w:t>
      </w:r>
      <w:r w:rsidR="00511049">
        <w:t xml:space="preserve">the </w:t>
      </w:r>
      <w:r w:rsidR="00775EB0">
        <w:t xml:space="preserve">contextual analysis </w:t>
      </w:r>
      <w:r w:rsidR="00511049">
        <w:t xml:space="preserve">above, however, the Commission </w:t>
      </w:r>
      <w:r>
        <w:t xml:space="preserve">also recognizes </w:t>
      </w:r>
      <w:r w:rsidR="00511049">
        <w:t>that the First Amendment to the United States Constitu</w:t>
      </w:r>
      <w:r w:rsidR="00576A7E">
        <w:t xml:space="preserve">tion and Section 326 of the </w:t>
      </w:r>
      <w:r w:rsidR="00576A7E" w:rsidRPr="008115F5">
        <w:rPr>
          <w:spacing w:val="-2"/>
        </w:rPr>
        <w:t>Communications Act of 1934, as amended</w:t>
      </w:r>
      <w:r w:rsidR="00576A7E">
        <w:rPr>
          <w:spacing w:val="-2"/>
        </w:rPr>
        <w:t xml:space="preserve"> (Act)</w:t>
      </w:r>
      <w:r w:rsidR="00576A7E">
        <w:t xml:space="preserve">, </w:t>
      </w:r>
      <w:r w:rsidR="00511049">
        <w:t>prohibit the Commission from censoring program material or infringing broadcasters’ free-speech rights.</w:t>
      </w:r>
      <w:r w:rsidR="00511049">
        <w:rPr>
          <w:rStyle w:val="FootnoteReference"/>
        </w:rPr>
        <w:footnoteReference w:id="38"/>
      </w:r>
      <w:r w:rsidR="00511049">
        <w:t xml:space="preserve">  Accordingly, we proceed cautiously and with appropriate restraint when determining whether broadcast material is indecent or not.  The Commission has also “recognize[d] the need for caution with respect to complaints implicating the editorial judgment of broadcast licensees in presenting news and public affairs programming, as these matters are at the core of the First Amendment’s free press guarantee.”</w:t>
      </w:r>
      <w:r w:rsidR="00511049">
        <w:rPr>
          <w:rStyle w:val="FootnoteReference"/>
        </w:rPr>
        <w:footnoteReference w:id="39"/>
      </w:r>
      <w:r w:rsidR="008F6C2F">
        <w:t xml:space="preserve">  </w:t>
      </w:r>
      <w:r w:rsidR="00511049">
        <w:t>Nevertheless, the Commission also has declined to exclude news programming from indecency enforcement, stating that “there is no outright news exemption from our indecency [Rule].”</w:t>
      </w:r>
      <w:r w:rsidR="00511049">
        <w:rPr>
          <w:rStyle w:val="FootnoteReference"/>
        </w:rPr>
        <w:footnoteReference w:id="40"/>
      </w:r>
    </w:p>
    <w:p w14:paraId="1169929C" w14:textId="4E21EA81" w:rsidR="001E2E28" w:rsidRDefault="000065D6" w:rsidP="00D854B9">
      <w:pPr>
        <w:pStyle w:val="Heading2"/>
      </w:pPr>
      <w:r>
        <w:t>WDBJ Broadcast Material</w:t>
      </w:r>
      <w:r w:rsidR="00D07D29">
        <w:t xml:space="preserve"> in Apparent Violation of the Indecency Laws</w:t>
      </w:r>
      <w:r>
        <w:t xml:space="preserve">. </w:t>
      </w:r>
    </w:p>
    <w:p w14:paraId="1A2A1828" w14:textId="731EFC17" w:rsidR="00181D37" w:rsidRPr="00181D37" w:rsidRDefault="00181D37" w:rsidP="001E2E28">
      <w:pPr>
        <w:pStyle w:val="Heading3"/>
      </w:pPr>
      <w:r>
        <w:t>WDBJ’s Broadcast</w:t>
      </w:r>
      <w:r w:rsidR="009E2B8B">
        <w:t xml:space="preserve"> </w:t>
      </w:r>
      <w:r w:rsidR="00D036A0">
        <w:t>Depicts Sexual Activity and Violates Contemporary Community Standards</w:t>
      </w:r>
      <w:r w:rsidR="00E909BF">
        <w:t xml:space="preserve">.  </w:t>
      </w:r>
    </w:p>
    <w:p w14:paraId="5BED73D2" w14:textId="690D397B" w:rsidR="00036DD2" w:rsidRDefault="00EE3E07" w:rsidP="00EE3E07">
      <w:pPr>
        <w:pStyle w:val="ParaNum"/>
      </w:pPr>
      <w:r>
        <w:t>Applying the two-pronged contextual analy</w:t>
      </w:r>
      <w:r w:rsidR="003956B9">
        <w:t xml:space="preserve">sis to the </w:t>
      </w:r>
      <w:r w:rsidR="00A17105">
        <w:t xml:space="preserve">Station’s </w:t>
      </w:r>
      <w:r w:rsidR="003956B9">
        <w:t>July 12, 2012, news report</w:t>
      </w:r>
      <w:r>
        <w:t xml:space="preserve"> </w:t>
      </w:r>
      <w:r w:rsidR="002C3FEC">
        <w:t xml:space="preserve">concerning the </w:t>
      </w:r>
      <w:r w:rsidR="003956B9">
        <w:t>ex-</w:t>
      </w:r>
      <w:r w:rsidR="001E6891">
        <w:t xml:space="preserve">adult </w:t>
      </w:r>
      <w:r w:rsidR="003956B9">
        <w:t>film star volunteer</w:t>
      </w:r>
      <w:r>
        <w:t xml:space="preserve">, we find the material indecent.  First, the material satisfies the threshold prong of our analysis because it depicts, in context, </w:t>
      </w:r>
      <w:r w:rsidR="00A36B99">
        <w:t>a sexual organ</w:t>
      </w:r>
      <w:r>
        <w:t xml:space="preserve"> and </w:t>
      </w:r>
      <w:r w:rsidR="00A36B99">
        <w:t>sexual activity</w:t>
      </w:r>
      <w:r>
        <w:t xml:space="preserve">.  </w:t>
      </w:r>
      <w:r w:rsidR="0053366C">
        <w:t xml:space="preserve">WDBJ concedes </w:t>
      </w:r>
      <w:r w:rsidR="00BC4AD5">
        <w:t xml:space="preserve">and we find </w:t>
      </w:r>
      <w:r w:rsidR="0053366C">
        <w:t xml:space="preserve">that the </w:t>
      </w:r>
      <w:r w:rsidR="00A17105">
        <w:t xml:space="preserve">video clip </w:t>
      </w:r>
      <w:r w:rsidR="0053366C">
        <w:t>include</w:t>
      </w:r>
      <w:r w:rsidR="004C593F">
        <w:t>s</w:t>
      </w:r>
      <w:r w:rsidR="0053366C">
        <w:t xml:space="preserve"> </w:t>
      </w:r>
      <w:r w:rsidR="00F31197">
        <w:t>a nude sex</w:t>
      </w:r>
      <w:r w:rsidR="00AB5CC9">
        <w:t>ual organ</w:t>
      </w:r>
      <w:r w:rsidR="0053366C">
        <w:t>,</w:t>
      </w:r>
      <w:r w:rsidR="00E909BF">
        <w:t xml:space="preserve"> i.e., a penis,</w:t>
      </w:r>
      <w:r w:rsidR="0053366C">
        <w:t xml:space="preserve"> </w:t>
      </w:r>
      <w:r w:rsidR="00AB5CC9">
        <w:t xml:space="preserve">and </w:t>
      </w:r>
      <w:r w:rsidR="00E909BF">
        <w:t xml:space="preserve">we also find that the broadcast </w:t>
      </w:r>
      <w:r w:rsidR="003956B9">
        <w:t>depict</w:t>
      </w:r>
      <w:r w:rsidR="004C593F">
        <w:t>s</w:t>
      </w:r>
      <w:r w:rsidR="003956B9">
        <w:t xml:space="preserve"> </w:t>
      </w:r>
      <w:r w:rsidR="0053366C">
        <w:t>sexual activity</w:t>
      </w:r>
      <w:r w:rsidR="00E909BF">
        <w:t xml:space="preserve">, i.e., </w:t>
      </w:r>
      <w:r w:rsidR="00796530">
        <w:t>a hand</w:t>
      </w:r>
      <w:r w:rsidR="003203C5">
        <w:t xml:space="preserve"> st</w:t>
      </w:r>
      <w:r w:rsidR="00C75C7C">
        <w:t>r</w:t>
      </w:r>
      <w:r w:rsidR="003203C5">
        <w:t xml:space="preserve">oking an erect </w:t>
      </w:r>
      <w:r w:rsidR="00796530">
        <w:t>penis</w:t>
      </w:r>
      <w:r w:rsidR="0065403A">
        <w:t xml:space="preserve">.  </w:t>
      </w:r>
      <w:r w:rsidR="00CE6FE0">
        <w:t xml:space="preserve">Several of the Complaints </w:t>
      </w:r>
      <w:r w:rsidR="00D13395">
        <w:t xml:space="preserve">refer </w:t>
      </w:r>
      <w:r w:rsidR="00A91907">
        <w:t xml:space="preserve">to </w:t>
      </w:r>
      <w:r w:rsidR="00CE6FE0">
        <w:t>sexual activity</w:t>
      </w:r>
      <w:r w:rsidR="00D13395">
        <w:t xml:space="preserve"> depicted in the clip</w:t>
      </w:r>
      <w:r w:rsidR="00796530">
        <w:t xml:space="preserve">, evidencing that viewers noticed the </w:t>
      </w:r>
      <w:r w:rsidR="00EB5D99">
        <w:t>sexual activity shown in the broadcast</w:t>
      </w:r>
      <w:r w:rsidR="00CE6FE0">
        <w:t>.</w:t>
      </w:r>
      <w:r w:rsidR="00CE6FE0">
        <w:rPr>
          <w:rStyle w:val="FootnoteReference"/>
        </w:rPr>
        <w:footnoteReference w:id="41"/>
      </w:r>
      <w:r w:rsidR="00CE6FE0">
        <w:t xml:space="preserve">   </w:t>
      </w:r>
    </w:p>
    <w:p w14:paraId="3F812F75" w14:textId="1591902C" w:rsidR="00036DD2" w:rsidRDefault="00036DD2" w:rsidP="008F6C2F">
      <w:pPr>
        <w:pStyle w:val="ParaNum"/>
        <w:widowControl/>
      </w:pPr>
      <w:r w:rsidRPr="00036DD2">
        <w:t xml:space="preserve">Having determined that this material satisfies the first prong of our analysis, </w:t>
      </w:r>
      <w:r w:rsidR="00A132AC">
        <w:t>we assess</w:t>
      </w:r>
      <w:r w:rsidRPr="00036DD2">
        <w:t xml:space="preserve"> whether the material satisfies the second prong of our contextual analysis — that is, whether the material is patently offensive as measured by contemporary community standards for the broadcast medium.</w:t>
      </w:r>
      <w:r w:rsidR="0073070A">
        <w:t xml:space="preserve"> </w:t>
      </w:r>
      <w:r w:rsidRPr="00036DD2">
        <w:t xml:space="preserve"> Our analysis of pa</w:t>
      </w:r>
      <w:r w:rsidR="00D44800">
        <w:t xml:space="preserve">tent offensiveness requires </w:t>
      </w:r>
      <w:r w:rsidRPr="00036DD2">
        <w:t>assessment of</w:t>
      </w:r>
      <w:r w:rsidR="00A17105">
        <w:t>:  (1) the explicitness or graphic nature of the material; (2) whether the material is repeated or dwelled upon; and (3) w</w:t>
      </w:r>
      <w:r w:rsidR="00985533">
        <w:t>hether it pander</w:t>
      </w:r>
      <w:r w:rsidR="003B113D">
        <w:t>s</w:t>
      </w:r>
      <w:r w:rsidR="00985533">
        <w:t>, titillates</w:t>
      </w:r>
      <w:r w:rsidR="008F6C2F">
        <w:t>,</w:t>
      </w:r>
      <w:r w:rsidR="00985533">
        <w:t xml:space="preserve"> or shocks.  </w:t>
      </w:r>
      <w:r w:rsidR="004862E0">
        <w:t>There is no requirement that particular broadcast material satisfy all three contextual factors in order to be actionably indecent.</w:t>
      </w:r>
      <w:r w:rsidR="00AB69B4">
        <w:rPr>
          <w:rStyle w:val="FootnoteReference"/>
        </w:rPr>
        <w:footnoteReference w:id="42"/>
      </w:r>
    </w:p>
    <w:p w14:paraId="5A06721F" w14:textId="3DF85777" w:rsidR="00915B1B" w:rsidRDefault="0073070A" w:rsidP="00036DD2">
      <w:pPr>
        <w:pStyle w:val="ParaNum"/>
      </w:pPr>
      <w:r>
        <w:t>Under the first factor, we find that</w:t>
      </w:r>
      <w:r w:rsidR="0065403A">
        <w:t xml:space="preserve">, in context, the depiction of </w:t>
      </w:r>
      <w:r w:rsidR="00C00197">
        <w:t>the</w:t>
      </w:r>
      <w:r w:rsidR="00D44800">
        <w:t xml:space="preserve"> sexual</w:t>
      </w:r>
      <w:r w:rsidR="00C00197">
        <w:t xml:space="preserve"> manipulation of an erect penis was </w:t>
      </w:r>
      <w:r w:rsidR="003203C5">
        <w:t xml:space="preserve">extremely </w:t>
      </w:r>
      <w:r w:rsidR="00C00197">
        <w:t xml:space="preserve">graphic and explicit. </w:t>
      </w:r>
      <w:r w:rsidR="00985533">
        <w:t xml:space="preserve"> </w:t>
      </w:r>
      <w:r w:rsidR="00B300DB">
        <w:t xml:space="preserve">The </w:t>
      </w:r>
      <w:r w:rsidR="00B300DB">
        <w:rPr>
          <w:i/>
        </w:rPr>
        <w:t xml:space="preserve">Indecency Policy Statement </w:t>
      </w:r>
      <w:r w:rsidR="00985533">
        <w:t>explains</w:t>
      </w:r>
      <w:r w:rsidR="00B300DB">
        <w:t xml:space="preserve"> that “[t]he more explicit or graphic the … depiction, the greater the likelihood that the material will be considered patently offensive.”</w:t>
      </w:r>
      <w:r w:rsidR="00B300DB">
        <w:rPr>
          <w:rStyle w:val="FootnoteReference"/>
        </w:rPr>
        <w:footnoteReference w:id="43"/>
      </w:r>
      <w:r w:rsidR="00B300DB">
        <w:t xml:space="preserve">  </w:t>
      </w:r>
      <w:r w:rsidR="000065D6">
        <w:t>We apply this factor and note that t</w:t>
      </w:r>
      <w:r w:rsidR="00915B1B">
        <w:t xml:space="preserve">he inclusion of the extremely graphic and explicit sexual material from </w:t>
      </w:r>
      <w:r w:rsidR="001E6891">
        <w:t>an adult</w:t>
      </w:r>
      <w:r w:rsidR="00915B1B">
        <w:t xml:space="preserve"> film in the Station’s broadcast weighs heavily in our </w:t>
      </w:r>
      <w:r w:rsidR="00350E5B">
        <w:t xml:space="preserve">assessment </w:t>
      </w:r>
      <w:r w:rsidR="00FE4A5F">
        <w:t xml:space="preserve">of </w:t>
      </w:r>
      <w:r w:rsidR="00350E5B">
        <w:t xml:space="preserve">the </w:t>
      </w:r>
      <w:r w:rsidR="00FE4A5F">
        <w:t xml:space="preserve">factors concerning whether </w:t>
      </w:r>
      <w:r w:rsidR="00915B1B">
        <w:t xml:space="preserve">the material </w:t>
      </w:r>
      <w:r w:rsidR="00D267B3">
        <w:t xml:space="preserve">is </w:t>
      </w:r>
      <w:r w:rsidR="00915B1B">
        <w:t>patently offensive.</w:t>
      </w:r>
      <w:r w:rsidR="00D854B9">
        <w:t xml:space="preserve"> </w:t>
      </w:r>
      <w:r w:rsidR="00324D3D">
        <w:t xml:space="preserve"> This is especially the case here, where the </w:t>
      </w:r>
      <w:r w:rsidR="0006075D">
        <w:t>video</w:t>
      </w:r>
      <w:r w:rsidR="00324D3D">
        <w:t xml:space="preserve"> of the penis and manipulation thereof was </w:t>
      </w:r>
      <w:r w:rsidR="007462CA">
        <w:t xml:space="preserve">shot </w:t>
      </w:r>
      <w:r w:rsidR="00324D3D">
        <w:t>at close range.</w:t>
      </w:r>
      <w:r w:rsidR="00324D3D">
        <w:rPr>
          <w:rStyle w:val="FootnoteReference"/>
        </w:rPr>
        <w:footnoteReference w:id="44"/>
      </w:r>
    </w:p>
    <w:p w14:paraId="4454E834" w14:textId="6A66FECC" w:rsidR="00C00197" w:rsidRDefault="004C593F" w:rsidP="00290B6E">
      <w:pPr>
        <w:pStyle w:val="ParaNum"/>
        <w:widowControl/>
      </w:pPr>
      <w:r>
        <w:t xml:space="preserve">Under the second factor, </w:t>
      </w:r>
      <w:r w:rsidR="00D854B9">
        <w:t xml:space="preserve">we find </w:t>
      </w:r>
      <w:r w:rsidR="003203C5">
        <w:t>that, although the</w:t>
      </w:r>
      <w:r w:rsidR="00D854B9">
        <w:t xml:space="preserve"> material </w:t>
      </w:r>
      <w:r>
        <w:t xml:space="preserve">did not </w:t>
      </w:r>
      <w:r w:rsidR="00D854B9">
        <w:t xml:space="preserve">extensively </w:t>
      </w:r>
      <w:r>
        <w:t xml:space="preserve">dwell on or contain repetitions of sexual </w:t>
      </w:r>
      <w:r w:rsidR="003203C5">
        <w:t xml:space="preserve">material, the </w:t>
      </w:r>
      <w:r w:rsidR="003F0462">
        <w:t xml:space="preserve">clip aired for approximately three seconds and thus its </w:t>
      </w:r>
      <w:r w:rsidR="003203C5">
        <w:t>duration was not so brief as to preclude</w:t>
      </w:r>
      <w:r>
        <w:t xml:space="preserve"> an indecency finding.</w:t>
      </w:r>
      <w:r w:rsidR="00A32D2C">
        <w:t xml:space="preserve">  </w:t>
      </w:r>
      <w:r w:rsidR="003F0462">
        <w:t>Moreover</w:t>
      </w:r>
      <w:r w:rsidR="00BC4AD5">
        <w:t>, w</w:t>
      </w:r>
      <w:r w:rsidR="00D854B9">
        <w:t xml:space="preserve">e find </w:t>
      </w:r>
      <w:r w:rsidR="003203C5">
        <w:t>that the duration of the material was sufficient to attract and hold viewers’ attention</w:t>
      </w:r>
      <w:r w:rsidR="00D854B9">
        <w:t>; several complainants note that they viewed the material perfectly well.</w:t>
      </w:r>
      <w:r w:rsidR="00D854B9">
        <w:rPr>
          <w:rStyle w:val="FootnoteReference"/>
        </w:rPr>
        <w:footnoteReference w:id="45"/>
      </w:r>
      <w:r w:rsidR="00D854B9">
        <w:t xml:space="preserve">  </w:t>
      </w:r>
      <w:r w:rsidR="00F31197">
        <w:t>Even</w:t>
      </w:r>
      <w:r w:rsidR="00915B1B">
        <w:t xml:space="preserve"> relatively brief material can be indecent where other factors contribute to a finding of patent offensiveness.</w:t>
      </w:r>
      <w:r w:rsidR="00915B1B">
        <w:rPr>
          <w:rStyle w:val="FootnoteReference"/>
        </w:rPr>
        <w:footnoteReference w:id="46"/>
      </w:r>
      <w:r w:rsidR="00915B1B">
        <w:t xml:space="preserve">  </w:t>
      </w:r>
    </w:p>
    <w:p w14:paraId="085CDDAC" w14:textId="60B91C6B" w:rsidR="006C62C0" w:rsidRDefault="008C7DF5" w:rsidP="00036DD2">
      <w:pPr>
        <w:pStyle w:val="ParaNum"/>
      </w:pPr>
      <w:r>
        <w:t>The third factor, whether the material panders to, titillates, or shocks the audience, requires consideration of the manner and purpose of a presentation.</w:t>
      </w:r>
      <w:r>
        <w:rPr>
          <w:rStyle w:val="FootnoteReference"/>
        </w:rPr>
        <w:footnoteReference w:id="47"/>
      </w:r>
      <w:r>
        <w:t xml:space="preserve">  “</w:t>
      </w:r>
      <w:r w:rsidR="00A66053">
        <w:t>In evaluating whether</w:t>
      </w:r>
      <w:r>
        <w:t xml:space="preserve"> material is indecent, we examine the </w:t>
      </w:r>
      <w:r w:rsidR="00A66053">
        <w:t xml:space="preserve">material itself and the </w:t>
      </w:r>
      <w:r>
        <w:t>manner in which it is presented, not the subjective state of mind of the broadcaster.”</w:t>
      </w:r>
      <w:r>
        <w:rPr>
          <w:rStyle w:val="FootnoteReference"/>
        </w:rPr>
        <w:footnoteReference w:id="48"/>
      </w:r>
      <w:r>
        <w:t xml:space="preserve">  </w:t>
      </w:r>
      <w:r w:rsidR="005500FD">
        <w:t>After considering the nature of the material and the context in which it was presented, we find</w:t>
      </w:r>
      <w:r w:rsidR="003F0462">
        <w:t>, under the third factor,</w:t>
      </w:r>
      <w:r w:rsidR="005500FD">
        <w:t xml:space="preserve"> that the material at issue pandered to, titillated</w:t>
      </w:r>
      <w:r w:rsidR="002936A0">
        <w:t>,</w:t>
      </w:r>
      <w:r w:rsidR="005500FD">
        <w:t xml:space="preserve"> or shocked the audience.</w:t>
      </w:r>
      <w:r w:rsidR="00897D2F">
        <w:t xml:space="preserve">  </w:t>
      </w:r>
      <w:r w:rsidR="00C80544">
        <w:t>We</w:t>
      </w:r>
      <w:r w:rsidR="004940C0">
        <w:t xml:space="preserve"> also</w:t>
      </w:r>
      <w:r w:rsidR="00C80544">
        <w:t xml:space="preserve"> find, and it</w:t>
      </w:r>
      <w:r w:rsidR="003F0462">
        <w:t xml:space="preserve"> seems self-evident</w:t>
      </w:r>
      <w:r w:rsidR="00C80544">
        <w:t>,</w:t>
      </w:r>
      <w:r w:rsidR="00DF30B6">
        <w:t xml:space="preserve"> that the stroking of an erect penis on a broadcast </w:t>
      </w:r>
      <w:r w:rsidR="003A7AF3">
        <w:t xml:space="preserve">program </w:t>
      </w:r>
      <w:r w:rsidR="00DF30B6">
        <w:t>is shocking</w:t>
      </w:r>
      <w:r w:rsidR="003203C5">
        <w:t>.</w:t>
      </w:r>
      <w:r w:rsidR="003411F1">
        <w:t xml:space="preserve">  </w:t>
      </w:r>
      <w:r w:rsidR="00D036A0">
        <w:t>WDBJ</w:t>
      </w:r>
      <w:r w:rsidR="009E2B8B">
        <w:t xml:space="preserve"> </w:t>
      </w:r>
      <w:r w:rsidR="00350E5B">
        <w:t>include</w:t>
      </w:r>
      <w:r w:rsidR="00F31197">
        <w:t>d</w:t>
      </w:r>
      <w:r w:rsidR="00350E5B">
        <w:t xml:space="preserve"> </w:t>
      </w:r>
      <w:r w:rsidR="00FE4A5F">
        <w:t xml:space="preserve">in the broadcast </w:t>
      </w:r>
      <w:r w:rsidR="00350E5B">
        <w:t xml:space="preserve">images from </w:t>
      </w:r>
      <w:r w:rsidR="003203C5">
        <w:t>the</w:t>
      </w:r>
      <w:r w:rsidR="003411F1">
        <w:t xml:space="preserve"> </w:t>
      </w:r>
      <w:r w:rsidR="00D267B3">
        <w:t xml:space="preserve">adult film </w:t>
      </w:r>
      <w:r w:rsidR="003411F1">
        <w:t>website</w:t>
      </w:r>
      <w:r w:rsidR="00FE4A5F">
        <w:t xml:space="preserve"> </w:t>
      </w:r>
      <w:r w:rsidR="008932EB">
        <w:t>that</w:t>
      </w:r>
      <w:r w:rsidR="00FE4A5F">
        <w:t xml:space="preserve"> distributes film</w:t>
      </w:r>
      <w:r w:rsidR="00350E5B">
        <w:t>s</w:t>
      </w:r>
      <w:r w:rsidR="00FE4A5F">
        <w:t xml:space="preserve"> featuring the former star</w:t>
      </w:r>
      <w:r w:rsidR="001E6891">
        <w:t xml:space="preserve"> of such films</w:t>
      </w:r>
      <w:r w:rsidR="00D267B3">
        <w:t xml:space="preserve">.  As a direct consequence of that </w:t>
      </w:r>
      <w:r w:rsidR="003A7AF3">
        <w:t>action</w:t>
      </w:r>
      <w:r w:rsidR="003203C5">
        <w:t>,</w:t>
      </w:r>
      <w:r w:rsidR="0021664E">
        <w:t xml:space="preserve"> in conjunction with its f</w:t>
      </w:r>
      <w:r w:rsidR="00D267B3">
        <w:t xml:space="preserve">ailure to monitor the full content of the broadcast, </w:t>
      </w:r>
      <w:r w:rsidR="003411F1">
        <w:t>the Licensee air</w:t>
      </w:r>
      <w:r w:rsidR="00D267B3">
        <w:t>ed</w:t>
      </w:r>
      <w:r w:rsidR="003411F1">
        <w:t xml:space="preserve"> the</w:t>
      </w:r>
      <w:r w:rsidR="00D267B3">
        <w:t xml:space="preserve"> </w:t>
      </w:r>
      <w:r w:rsidR="001E6891">
        <w:t xml:space="preserve">sexually explicit </w:t>
      </w:r>
      <w:r w:rsidR="003411F1">
        <w:t xml:space="preserve">images.  </w:t>
      </w:r>
      <w:r w:rsidR="005500FD">
        <w:t>Moreover</w:t>
      </w:r>
      <w:r w:rsidR="003411F1">
        <w:t xml:space="preserve">, </w:t>
      </w:r>
      <w:r w:rsidR="005500FD">
        <w:t xml:space="preserve">we note that </w:t>
      </w:r>
      <w:r w:rsidR="003411F1">
        <w:t xml:space="preserve">the material indeed shocked the audience, </w:t>
      </w:r>
      <w:r w:rsidR="003203C5">
        <w:t>as reflected in the</w:t>
      </w:r>
      <w:r w:rsidR="003411F1">
        <w:t xml:space="preserve"> complainants’ disbelief that </w:t>
      </w:r>
      <w:r w:rsidR="00D036A0">
        <w:t xml:space="preserve">the Station </w:t>
      </w:r>
      <w:r w:rsidR="003411F1">
        <w:t>aired an image of a</w:t>
      </w:r>
      <w:r w:rsidR="003203C5">
        <w:t>n erect</w:t>
      </w:r>
      <w:r w:rsidR="003411F1">
        <w:t xml:space="preserve"> penis</w:t>
      </w:r>
      <w:r w:rsidR="003203C5">
        <w:t xml:space="preserve"> being stroked</w:t>
      </w:r>
      <w:r w:rsidR="00C73B40">
        <w:t xml:space="preserve"> during </w:t>
      </w:r>
      <w:r w:rsidR="00562696">
        <w:t>the lead story of a newscast aired during the dinner hour, when children were likely to be viewing</w:t>
      </w:r>
      <w:r w:rsidR="003411F1">
        <w:t>.</w:t>
      </w:r>
      <w:r w:rsidR="003411F1">
        <w:rPr>
          <w:rStyle w:val="FootnoteReference"/>
        </w:rPr>
        <w:footnoteReference w:id="49"/>
      </w:r>
      <w:r w:rsidR="003411F1">
        <w:t xml:space="preserve"> </w:t>
      </w:r>
    </w:p>
    <w:p w14:paraId="6DB0CD99" w14:textId="31880352" w:rsidR="00FB7D50" w:rsidRDefault="00FA24B7" w:rsidP="002936A0">
      <w:pPr>
        <w:pStyle w:val="ParaNum"/>
        <w:widowControl/>
      </w:pPr>
      <w:r w:rsidRPr="00697C33">
        <w:t>For</w:t>
      </w:r>
      <w:r>
        <w:t xml:space="preserve"> these reasons, and proceeding with the “utmost restraint” that the First Amendment requires for news programming, we find that the graphic and explicit sexual material a</w:t>
      </w:r>
      <w:r w:rsidR="00DD5B04">
        <w:t>ired on WDBJ’s news broadcast i</w:t>
      </w:r>
      <w:r>
        <w:t xml:space="preserve">s </w:t>
      </w:r>
      <w:r w:rsidR="00DD5B04">
        <w:t>patently offensive as measured by contemporary community standards for the broadcast medium</w:t>
      </w:r>
      <w:r>
        <w:t>.</w:t>
      </w:r>
      <w:r>
        <w:rPr>
          <w:rStyle w:val="FootnoteReference"/>
        </w:rPr>
        <w:footnoteReference w:id="50"/>
      </w:r>
      <w:r w:rsidR="00DD5B04">
        <w:t xml:space="preserve">  </w:t>
      </w:r>
      <w:r w:rsidR="00E10FFF">
        <w:t>W</w:t>
      </w:r>
      <w:r w:rsidR="0021664E">
        <w:t>DBJ and all</w:t>
      </w:r>
      <w:r w:rsidR="006365DE">
        <w:t xml:space="preserve"> broadcaster</w:t>
      </w:r>
      <w:r w:rsidR="0021664E">
        <w:t>s</w:t>
      </w:r>
      <w:r w:rsidR="006365DE">
        <w:t xml:space="preserve"> are </w:t>
      </w:r>
      <w:r w:rsidR="00FF00FC">
        <w:t>free to exercise their</w:t>
      </w:r>
      <w:r w:rsidR="00E10FFF">
        <w:t xml:space="preserve"> discretion to gather and present news, including news related to </w:t>
      </w:r>
      <w:r w:rsidR="00562696">
        <w:t>former adult film stars</w:t>
      </w:r>
      <w:r w:rsidR="00E10FFF">
        <w:t>.</w:t>
      </w:r>
      <w:r w:rsidR="006365DE">
        <w:t xml:space="preserve">  </w:t>
      </w:r>
      <w:r w:rsidR="006111D2">
        <w:t>However, the sexually explicit image at issue here was unrelated to the news story</w:t>
      </w:r>
      <w:r w:rsidR="004940C0">
        <w:t>,</w:t>
      </w:r>
      <w:r w:rsidR="006111D2">
        <w:t xml:space="preserve"> and WDBJ does not claim otherwise.  H</w:t>
      </w:r>
      <w:r w:rsidR="006365DE">
        <w:t xml:space="preserve">aving made the choice to </w:t>
      </w:r>
      <w:r w:rsidR="00C73B40">
        <w:t xml:space="preserve">gather and display images from </w:t>
      </w:r>
      <w:r w:rsidR="006365DE">
        <w:t xml:space="preserve">an </w:t>
      </w:r>
      <w:r w:rsidR="001E6891">
        <w:t xml:space="preserve">adult film </w:t>
      </w:r>
      <w:r w:rsidR="006365DE">
        <w:t>website</w:t>
      </w:r>
      <w:r w:rsidR="00562696">
        <w:t xml:space="preserve"> as part of its newscast</w:t>
      </w:r>
      <w:r w:rsidR="006365DE">
        <w:t>,</w:t>
      </w:r>
      <w:r w:rsidR="006111D2">
        <w:t xml:space="preserve"> WDJB</w:t>
      </w:r>
      <w:r w:rsidR="006365DE">
        <w:t xml:space="preserve"> is subject to sanction for its </w:t>
      </w:r>
      <w:r w:rsidR="00C73B40">
        <w:t xml:space="preserve">broadcast </w:t>
      </w:r>
      <w:r w:rsidR="006365DE">
        <w:t>of actionably indecent sexual material without taking adequate precautions to avoid such result.</w:t>
      </w:r>
      <w:r w:rsidR="006365DE">
        <w:rPr>
          <w:rStyle w:val="FootnoteReference"/>
        </w:rPr>
        <w:footnoteReference w:id="51"/>
      </w:r>
      <w:r w:rsidR="006365DE">
        <w:t xml:space="preserve">  </w:t>
      </w:r>
      <w:r w:rsidR="00712732">
        <w:t>Any other application of the three principal factors of our contextual analysis in this case would permit a broadcaster to air graphic a</w:t>
      </w:r>
      <w:r w:rsidR="00C56AA9">
        <w:t>nd explicit sexual material</w:t>
      </w:r>
      <w:r w:rsidR="006365DE">
        <w:t xml:space="preserve">, including the </w:t>
      </w:r>
      <w:r w:rsidR="00B817C3">
        <w:t xml:space="preserve">sexually explicit </w:t>
      </w:r>
      <w:r w:rsidR="006365DE">
        <w:t>film clip at issue here,</w:t>
      </w:r>
      <w:r w:rsidR="00712732">
        <w:t xml:space="preserve"> during </w:t>
      </w:r>
      <w:r>
        <w:t>news</w:t>
      </w:r>
      <w:r w:rsidR="006365DE">
        <w:t xml:space="preserve"> aired when there is a reasonable risk that children are in the audience—</w:t>
      </w:r>
      <w:r w:rsidR="00712732">
        <w:t>the 6:00</w:t>
      </w:r>
      <w:r w:rsidR="006365DE">
        <w:t xml:space="preserve"> a.m. to 10:00 p.m. time period—</w:t>
      </w:r>
      <w:r w:rsidR="00712732">
        <w:t>as long as such material was displayed for three seconds or less.</w:t>
      </w:r>
      <w:r w:rsidR="00D267B3">
        <w:rPr>
          <w:rStyle w:val="FootnoteReference"/>
        </w:rPr>
        <w:footnoteReference w:id="52"/>
      </w:r>
      <w:r w:rsidR="006365DE">
        <w:t xml:space="preserve">  </w:t>
      </w:r>
    </w:p>
    <w:p w14:paraId="32CC56AD" w14:textId="56783253" w:rsidR="00FB7D50" w:rsidRDefault="00A328C5" w:rsidP="002C56E4">
      <w:pPr>
        <w:pStyle w:val="Heading3"/>
      </w:pPr>
      <w:r>
        <w:t>The Commission Supplie</w:t>
      </w:r>
      <w:r w:rsidR="00B17611">
        <w:t>d</w:t>
      </w:r>
      <w:r>
        <w:t xml:space="preserve"> Sufficient Notice that It Prohibits the Broadcast of </w:t>
      </w:r>
      <w:r w:rsidR="003A7AF3">
        <w:t xml:space="preserve">Indecent Material </w:t>
      </w:r>
      <w:r>
        <w:t>During the Evening News</w:t>
      </w:r>
      <w:r w:rsidR="00FB7D50">
        <w:t xml:space="preserve">.  </w:t>
      </w:r>
    </w:p>
    <w:p w14:paraId="6425FA7F" w14:textId="7E010C88" w:rsidR="00A328C5" w:rsidRDefault="009E4318" w:rsidP="00A328C5">
      <w:pPr>
        <w:pStyle w:val="ParaNum"/>
        <w:rPr>
          <w:szCs w:val="22"/>
        </w:rPr>
      </w:pPr>
      <w:r>
        <w:t>WDBJ asserts lack of sufficient notice that the Commission would fine broadcasts such as this one for violating the indecency laws</w:t>
      </w:r>
      <w:r w:rsidR="00C73B40">
        <w:t>.</w:t>
      </w:r>
      <w:r w:rsidR="00C73B40">
        <w:rPr>
          <w:rStyle w:val="FootnoteReference"/>
        </w:rPr>
        <w:footnoteReference w:id="53"/>
      </w:r>
      <w:r w:rsidR="00C73B40">
        <w:t xml:space="preserve">  </w:t>
      </w:r>
      <w:r w:rsidR="00DD61E7">
        <w:t>In particular, WDBJ argues that it lacked notice that the sexually explicit material aired in its new</w:t>
      </w:r>
      <w:r w:rsidR="004E6D77">
        <w:t>s</w:t>
      </w:r>
      <w:r w:rsidR="00DD61E7">
        <w:t xml:space="preserve"> broadcast would be subject to sanction.</w:t>
      </w:r>
      <w:r w:rsidR="00DD61E7">
        <w:rPr>
          <w:rStyle w:val="FootnoteReference"/>
        </w:rPr>
        <w:footnoteReference w:id="54"/>
      </w:r>
      <w:r w:rsidR="00DD61E7">
        <w:t xml:space="preserve"> </w:t>
      </w:r>
      <w:r w:rsidR="00192CFF">
        <w:t xml:space="preserve"> </w:t>
      </w:r>
      <w:r w:rsidR="009E2B8B" w:rsidRPr="009E2B8B">
        <w:t xml:space="preserve">WDBJ asserts that the Commission has not sufficiently articulated guidance about what news programming may be punished under the indecency rules following the Supreme Court’s decision in </w:t>
      </w:r>
      <w:r w:rsidR="009E2B8B" w:rsidRPr="009E2B8B">
        <w:rPr>
          <w:i/>
        </w:rPr>
        <w:t>Fox I</w:t>
      </w:r>
      <w:r w:rsidR="009E2B8B" w:rsidRPr="009E2B8B">
        <w:t>, and also argues that the Commission’s 2013 Public Notice</w:t>
      </w:r>
      <w:r w:rsidR="009E2B8B" w:rsidRPr="009E2B8B">
        <w:rPr>
          <w:vertAlign w:val="superscript"/>
        </w:rPr>
        <w:footnoteReference w:id="55"/>
      </w:r>
      <w:r w:rsidR="009E2B8B" w:rsidRPr="009E2B8B">
        <w:t xml:space="preserve"> concerning its indecency policies did not provide adequate notice of the factors that would be used to determine whether broadcast material is indecent.</w:t>
      </w:r>
      <w:r w:rsidR="009E2B8B" w:rsidRPr="009E2B8B">
        <w:rPr>
          <w:vertAlign w:val="superscript"/>
        </w:rPr>
        <w:footnoteReference w:id="56"/>
      </w:r>
      <w:r w:rsidR="009E2B8B" w:rsidRPr="009E2B8B">
        <w:t xml:space="preserve"> </w:t>
      </w:r>
      <w:r w:rsidR="009E2B8B">
        <w:t xml:space="preserve"> </w:t>
      </w:r>
      <w:r w:rsidR="00C73B40">
        <w:t>W</w:t>
      </w:r>
      <w:r>
        <w:t>e categorically reject th</w:t>
      </w:r>
      <w:r w:rsidR="009E2B8B">
        <w:t>e</w:t>
      </w:r>
      <w:r>
        <w:t>s</w:t>
      </w:r>
      <w:r w:rsidR="009E2B8B">
        <w:t>e</w:t>
      </w:r>
      <w:r>
        <w:t xml:space="preserve"> assertion</w:t>
      </w:r>
      <w:r w:rsidR="009E2B8B">
        <w:t>s</w:t>
      </w:r>
      <w:r>
        <w:t>.</w:t>
      </w:r>
      <w:r w:rsidR="00712732">
        <w:t xml:space="preserve">  </w:t>
      </w:r>
      <w:r>
        <w:t xml:space="preserve">The Commission has </w:t>
      </w:r>
      <w:r w:rsidR="00373E47">
        <w:t xml:space="preserve">repeatedly </w:t>
      </w:r>
      <w:r>
        <w:t>held that there is no exception from indecency laws for news broadcasts</w:t>
      </w:r>
      <w:r w:rsidR="00CD46BD">
        <w:rPr>
          <w:rStyle w:val="FootnoteReference"/>
        </w:rPr>
        <w:footnoteReference w:id="57"/>
      </w:r>
      <w:r>
        <w:t xml:space="preserve"> and has found </w:t>
      </w:r>
      <w:r w:rsidR="00693434">
        <w:t xml:space="preserve">indecent </w:t>
      </w:r>
      <w:r w:rsidR="00226B7A">
        <w:t xml:space="preserve">material that was far less </w:t>
      </w:r>
      <w:r w:rsidR="00DD61E7">
        <w:t>graphic than that at issue here</w:t>
      </w:r>
      <w:r w:rsidR="00E63B60">
        <w:t>,</w:t>
      </w:r>
      <w:r>
        <w:t xml:space="preserve"> notwithstanding the news context in which the licensee presented it.</w:t>
      </w:r>
      <w:r>
        <w:rPr>
          <w:rStyle w:val="FootnoteReference"/>
        </w:rPr>
        <w:footnoteReference w:id="58"/>
      </w:r>
      <w:r>
        <w:t xml:space="preserve">  </w:t>
      </w:r>
    </w:p>
    <w:p w14:paraId="2007B733" w14:textId="2F5D991D" w:rsidR="008806D3" w:rsidRPr="00BD1CBA" w:rsidRDefault="00A328C5" w:rsidP="00A328C5">
      <w:pPr>
        <w:pStyle w:val="ParaNum"/>
        <w:rPr>
          <w:szCs w:val="22"/>
        </w:rPr>
      </w:pPr>
      <w:r>
        <w:t>For example, i</w:t>
      </w:r>
      <w:r w:rsidR="00586E08" w:rsidRPr="00360989">
        <w:rPr>
          <w:szCs w:val="22"/>
        </w:rPr>
        <w:t xml:space="preserve">n </w:t>
      </w:r>
      <w:r w:rsidR="00586E08" w:rsidRPr="00E4772C">
        <w:rPr>
          <w:i/>
          <w:szCs w:val="22"/>
        </w:rPr>
        <w:t>Young Broadcasting</w:t>
      </w:r>
      <w:r w:rsidR="00985533">
        <w:rPr>
          <w:i/>
          <w:szCs w:val="22"/>
        </w:rPr>
        <w:t xml:space="preserve"> of San Francisco</w:t>
      </w:r>
      <w:r w:rsidR="00586E08" w:rsidRPr="00360989">
        <w:rPr>
          <w:szCs w:val="22"/>
        </w:rPr>
        <w:t>,</w:t>
      </w:r>
      <w:r w:rsidR="00985533">
        <w:rPr>
          <w:szCs w:val="22"/>
        </w:rPr>
        <w:t xml:space="preserve"> </w:t>
      </w:r>
      <w:r w:rsidR="00985533">
        <w:t xml:space="preserve">the Commission </w:t>
      </w:r>
      <w:r w:rsidR="00D7726D">
        <w:t xml:space="preserve">in 2004 </w:t>
      </w:r>
      <w:r w:rsidR="00985533">
        <w:t xml:space="preserve">ruled that an even briefer exposure of a penis </w:t>
      </w:r>
      <w:r w:rsidR="00C73B40">
        <w:t>(</w:t>
      </w:r>
      <w:r w:rsidR="00985533">
        <w:t>less than a second</w:t>
      </w:r>
      <w:r w:rsidR="00C73B40">
        <w:t>)</w:t>
      </w:r>
      <w:r w:rsidR="00985533">
        <w:t xml:space="preserve"> during a news broadcast, in the context presented, was indecent.</w:t>
      </w:r>
      <w:r w:rsidR="00985533">
        <w:rPr>
          <w:rStyle w:val="FootnoteReference"/>
        </w:rPr>
        <w:footnoteReference w:id="59"/>
      </w:r>
      <w:r w:rsidR="00985533">
        <w:t xml:space="preserve">  </w:t>
      </w:r>
      <w:r w:rsidR="004108EC" w:rsidRPr="004108EC">
        <w:t xml:space="preserve">During the news interview </w:t>
      </w:r>
      <w:r w:rsidR="00A82032">
        <w:t>on KRON-</w:t>
      </w:r>
      <w:r w:rsidR="0021664E">
        <w:t>T</w:t>
      </w:r>
      <w:r w:rsidR="00A82032">
        <w:t>V</w:t>
      </w:r>
      <w:r w:rsidR="004108EC" w:rsidRPr="004108EC">
        <w:t>, the hosts interviewed two male performers about their show, “Puppetry of the Penis,” in which they manipulated their genitalia</w:t>
      </w:r>
      <w:r w:rsidR="001E6891">
        <w:t xml:space="preserve"> as puppets</w:t>
      </w:r>
      <w:r w:rsidR="004108EC" w:rsidRPr="004108EC">
        <w:t>.</w:t>
      </w:r>
      <w:r w:rsidR="004108EC" w:rsidRPr="004108EC">
        <w:rPr>
          <w:vertAlign w:val="superscript"/>
        </w:rPr>
        <w:footnoteReference w:id="60"/>
      </w:r>
      <w:r w:rsidR="004108EC" w:rsidRPr="004108EC">
        <w:t xml:space="preserve">  </w:t>
      </w:r>
      <w:r w:rsidR="00DD61E7">
        <w:t>O</w:t>
      </w:r>
      <w:r w:rsidR="004108EC" w:rsidRPr="004108EC">
        <w:t>ne of the performers exposed his penis for less than a second while</w:t>
      </w:r>
      <w:r w:rsidR="00E63B60">
        <w:t xml:space="preserve"> </w:t>
      </w:r>
      <w:r w:rsidR="008932EB">
        <w:t>he</w:t>
      </w:r>
      <w:r w:rsidR="004108EC" w:rsidRPr="004108EC">
        <w:t xml:space="preserve"> prepar</w:t>
      </w:r>
      <w:r w:rsidR="008932EB">
        <w:t>ed</w:t>
      </w:r>
      <w:r w:rsidR="004108EC" w:rsidRPr="004108EC">
        <w:t xml:space="preserve"> to demonstrate their “genital origami.”</w:t>
      </w:r>
      <w:r w:rsidR="004108EC" w:rsidRPr="004108EC">
        <w:rPr>
          <w:vertAlign w:val="superscript"/>
        </w:rPr>
        <w:footnoteReference w:id="61"/>
      </w:r>
      <w:r w:rsidR="005604D4">
        <w:t xml:space="preserve">  The material was considered patently offensive because it was pandering and titillating.</w:t>
      </w:r>
      <w:r w:rsidR="00E32A67">
        <w:rPr>
          <w:rStyle w:val="FootnoteReference"/>
        </w:rPr>
        <w:footnoteReference w:id="62"/>
      </w:r>
      <w:r w:rsidR="00E32A67">
        <w:t xml:space="preserve">  However, </w:t>
      </w:r>
      <w:r w:rsidR="00160EE9">
        <w:t xml:space="preserve">in </w:t>
      </w:r>
      <w:r w:rsidR="00160EE9" w:rsidRPr="00160EE9">
        <w:rPr>
          <w:i/>
        </w:rPr>
        <w:t>Young Broadcasting of San Francisco</w:t>
      </w:r>
      <w:r w:rsidR="00985533">
        <w:t>, there was</w:t>
      </w:r>
      <w:r w:rsidR="00E63B60">
        <w:t xml:space="preserve"> only</w:t>
      </w:r>
      <w:r w:rsidR="00985533">
        <w:t xml:space="preserve"> depiction of a sexual organ, </w:t>
      </w:r>
      <w:r w:rsidR="001C4EA0">
        <w:t>not, as</w:t>
      </w:r>
      <w:r w:rsidR="00985533">
        <w:t xml:space="preserve"> in the WDBJ broadcas</w:t>
      </w:r>
      <w:r w:rsidR="00E32A67">
        <w:t xml:space="preserve">t, </w:t>
      </w:r>
      <w:r w:rsidR="00985533">
        <w:t>sexual activity</w:t>
      </w:r>
      <w:r w:rsidR="00E63B60">
        <w:t xml:space="preserve"> as </w:t>
      </w:r>
      <w:r w:rsidR="001C4EA0">
        <w:t>well as nudity</w:t>
      </w:r>
      <w:r w:rsidR="00985533">
        <w:t xml:space="preserve">. </w:t>
      </w:r>
      <w:r w:rsidR="0021664E">
        <w:t xml:space="preserve"> </w:t>
      </w:r>
      <w:r w:rsidR="009E4318">
        <w:rPr>
          <w:szCs w:val="22"/>
        </w:rPr>
        <w:t>Moreover, u</w:t>
      </w:r>
      <w:r w:rsidR="002E4D2E">
        <w:rPr>
          <w:szCs w:val="22"/>
        </w:rPr>
        <w:t xml:space="preserve">nlike </w:t>
      </w:r>
      <w:r w:rsidR="00BD1CBA">
        <w:rPr>
          <w:szCs w:val="22"/>
        </w:rPr>
        <w:t xml:space="preserve">the live </w:t>
      </w:r>
      <w:r w:rsidR="002E4D2E">
        <w:rPr>
          <w:szCs w:val="22"/>
        </w:rPr>
        <w:t xml:space="preserve">news </w:t>
      </w:r>
      <w:r w:rsidR="00BD1CBA">
        <w:rPr>
          <w:szCs w:val="22"/>
        </w:rPr>
        <w:t xml:space="preserve">broadcast </w:t>
      </w:r>
      <w:r w:rsidR="002E4D2E">
        <w:rPr>
          <w:szCs w:val="22"/>
        </w:rPr>
        <w:t xml:space="preserve">at issue </w:t>
      </w:r>
      <w:r w:rsidR="00BD1CBA">
        <w:rPr>
          <w:szCs w:val="22"/>
        </w:rPr>
        <w:t xml:space="preserve">in </w:t>
      </w:r>
      <w:r w:rsidR="00BD1CBA">
        <w:rPr>
          <w:i/>
          <w:szCs w:val="22"/>
        </w:rPr>
        <w:t xml:space="preserve">Young Broadcasting of </w:t>
      </w:r>
      <w:r w:rsidR="00BD1CBA" w:rsidRPr="00BD1CBA">
        <w:rPr>
          <w:i/>
          <w:szCs w:val="22"/>
        </w:rPr>
        <w:t>San Francisco</w:t>
      </w:r>
      <w:r w:rsidR="00BD1CBA">
        <w:rPr>
          <w:szCs w:val="22"/>
        </w:rPr>
        <w:t xml:space="preserve">, </w:t>
      </w:r>
      <w:r w:rsidR="005604D4">
        <w:rPr>
          <w:szCs w:val="22"/>
        </w:rPr>
        <w:t xml:space="preserve">WDBJ </w:t>
      </w:r>
      <w:r>
        <w:rPr>
          <w:szCs w:val="22"/>
        </w:rPr>
        <w:t>pre-recorded the broadcast and selected</w:t>
      </w:r>
      <w:r w:rsidR="00C73B40">
        <w:rPr>
          <w:szCs w:val="22"/>
        </w:rPr>
        <w:t xml:space="preserve"> </w:t>
      </w:r>
      <w:r>
        <w:rPr>
          <w:szCs w:val="22"/>
        </w:rPr>
        <w:t xml:space="preserve">material from </w:t>
      </w:r>
      <w:r w:rsidR="00D26043">
        <w:rPr>
          <w:szCs w:val="22"/>
        </w:rPr>
        <w:t>an adult website</w:t>
      </w:r>
      <w:r w:rsidR="00693434">
        <w:rPr>
          <w:szCs w:val="22"/>
        </w:rPr>
        <w:t>, giving it ample opportunity to screen the material before it was broadcast</w:t>
      </w:r>
      <w:r w:rsidR="00D26043">
        <w:rPr>
          <w:szCs w:val="22"/>
        </w:rPr>
        <w:t>.</w:t>
      </w:r>
      <w:r>
        <w:rPr>
          <w:szCs w:val="22"/>
        </w:rPr>
        <w:t xml:space="preserve"> </w:t>
      </w:r>
    </w:p>
    <w:p w14:paraId="5728D097" w14:textId="1E71AB2E" w:rsidR="00F16812" w:rsidRDefault="00182B01" w:rsidP="0010215C">
      <w:pPr>
        <w:pStyle w:val="ParaNum"/>
      </w:pPr>
      <w:r>
        <w:t xml:space="preserve">Similarly, </w:t>
      </w:r>
      <w:r w:rsidR="0031447D">
        <w:t xml:space="preserve">WDBJ’s citation to a </w:t>
      </w:r>
      <w:r w:rsidR="001F3EF9">
        <w:t>Commission decision to reverse an indecency finding based on the use of an isolated expletive during the CBS</w:t>
      </w:r>
      <w:r w:rsidR="00E50F06">
        <w:t>’s</w:t>
      </w:r>
      <w:r w:rsidR="001F3EF9">
        <w:t xml:space="preserve"> “</w:t>
      </w:r>
      <w:r w:rsidR="00E50F06">
        <w:t xml:space="preserve">The </w:t>
      </w:r>
      <w:r w:rsidR="001F3EF9">
        <w:t xml:space="preserve">Early Show” does not support its </w:t>
      </w:r>
      <w:r w:rsidR="0031447D">
        <w:t>argument that the Commission has not provided sufficient notice and guidance about the factors that will be considered in evaluating indecency complaints on the news.</w:t>
      </w:r>
      <w:r w:rsidR="00731A98">
        <w:rPr>
          <w:rStyle w:val="FootnoteReference"/>
        </w:rPr>
        <w:footnoteReference w:id="63"/>
      </w:r>
      <w:r w:rsidR="0031447D">
        <w:t xml:space="preserve">  </w:t>
      </w:r>
      <w:r w:rsidR="00E50F06">
        <w:t xml:space="preserve">“The </w:t>
      </w:r>
      <w:r w:rsidR="005C5458">
        <w:t>Early Show” reversal was grounded in</w:t>
      </w:r>
      <w:r w:rsidR="00731A98">
        <w:t xml:space="preserve"> the licensee’s argument that</w:t>
      </w:r>
      <w:r w:rsidR="001C4EA0">
        <w:t xml:space="preserve"> the Commission had not adequately considered the context in which the isolated expletive aired, but </w:t>
      </w:r>
      <w:r w:rsidR="00C33F0F">
        <w:t xml:space="preserve">the Commission </w:t>
      </w:r>
      <w:r w:rsidR="001C4EA0">
        <w:t>explicitly ruled that there is no news exemp</w:t>
      </w:r>
      <w:r w:rsidR="003D41D7">
        <w:t>tion from the indecency law or R</w:t>
      </w:r>
      <w:r w:rsidR="001C4EA0">
        <w:t>ule</w:t>
      </w:r>
      <w:r w:rsidR="00731A98">
        <w:t>.</w:t>
      </w:r>
      <w:r w:rsidR="00731A98">
        <w:rPr>
          <w:rStyle w:val="FootnoteReference"/>
        </w:rPr>
        <w:footnoteReference w:id="64"/>
      </w:r>
      <w:r w:rsidR="005C5458">
        <w:t xml:space="preserve"> </w:t>
      </w:r>
      <w:r w:rsidR="0031447D">
        <w:t xml:space="preserve"> </w:t>
      </w:r>
      <w:r w:rsidR="00274817">
        <w:t xml:space="preserve">In contrast, we have analyzed the </w:t>
      </w:r>
      <w:r w:rsidR="00F941B7">
        <w:t>context of the explicit sexual material broadcast by WDBJ</w:t>
      </w:r>
      <w:r w:rsidR="00274817">
        <w:t xml:space="preserve"> as</w:t>
      </w:r>
      <w:r w:rsidR="00DD5B04">
        <w:t xml:space="preserve"> set forth above</w:t>
      </w:r>
      <w:r w:rsidR="00274817">
        <w:t xml:space="preserve">.  We </w:t>
      </w:r>
      <w:r w:rsidR="00DD5B04">
        <w:t xml:space="preserve">recognize that the material at issue here was aired during a bona fide news program, </w:t>
      </w:r>
      <w:r w:rsidR="00274817">
        <w:t>but we</w:t>
      </w:r>
      <w:r w:rsidR="00DD5B04">
        <w:t xml:space="preserve"> nevertheless find that the graphic and explicit depiction of a</w:t>
      </w:r>
      <w:r w:rsidR="00562696">
        <w:t>n erect</w:t>
      </w:r>
      <w:r w:rsidR="00DD5B04">
        <w:t xml:space="preserve"> sexual organ</w:t>
      </w:r>
      <w:r w:rsidR="002E4D2E">
        <w:t xml:space="preserve"> and activity in a pandering, titillating</w:t>
      </w:r>
      <w:r w:rsidR="00E32A67">
        <w:t>,</w:t>
      </w:r>
      <w:r w:rsidR="002E4D2E">
        <w:t xml:space="preserve"> and shocking manner</w:t>
      </w:r>
      <w:r w:rsidR="00274817">
        <w:t xml:space="preserve"> is patently offensive</w:t>
      </w:r>
      <w:r w:rsidR="007750D8">
        <w:t>.  The fact that the video of sexual activity happened to appear during a news program does not insulate the licensee from enforcement sanctions</w:t>
      </w:r>
      <w:r w:rsidR="002E4D2E">
        <w:t xml:space="preserve">, </w:t>
      </w:r>
      <w:r w:rsidR="00274817">
        <w:t xml:space="preserve">particularly in this case </w:t>
      </w:r>
      <w:r w:rsidR="007750D8">
        <w:t>where</w:t>
      </w:r>
      <w:r w:rsidR="002E4D2E">
        <w:t xml:space="preserve"> the sexual material is</w:t>
      </w:r>
      <w:r w:rsidR="00DD5B04">
        <w:t xml:space="preserve"> </w:t>
      </w:r>
      <w:r w:rsidR="00A17488">
        <w:t xml:space="preserve">unrelated </w:t>
      </w:r>
      <w:r w:rsidR="00DD5B04">
        <w:t>to the subject of the news report.</w:t>
      </w:r>
      <w:r w:rsidR="00DD5B04">
        <w:rPr>
          <w:rStyle w:val="FootnoteReference"/>
        </w:rPr>
        <w:footnoteReference w:id="65"/>
      </w:r>
      <w:r w:rsidR="00DD5B04">
        <w:t xml:space="preserve">  </w:t>
      </w:r>
      <w:r w:rsidR="00A17488">
        <w:t xml:space="preserve">Certainly, broadcasters cannot show news and </w:t>
      </w:r>
      <w:r w:rsidR="001E6891">
        <w:t>sexually explicit</w:t>
      </w:r>
      <w:r w:rsidR="00A17488">
        <w:t xml:space="preserve"> images on a split screen and take the position that the latter is not indecent </w:t>
      </w:r>
      <w:r w:rsidR="00C33F0F">
        <w:t xml:space="preserve">simply </w:t>
      </w:r>
      <w:r w:rsidR="00A17488">
        <w:t xml:space="preserve">because it shares the screen with a news program.  </w:t>
      </w:r>
      <w:r w:rsidR="002E4D2E">
        <w:t>Moreover,</w:t>
      </w:r>
      <w:r w:rsidR="00DD61E7">
        <w:t xml:space="preserve"> </w:t>
      </w:r>
      <w:r w:rsidR="001E6891">
        <w:t>c</w:t>
      </w:r>
      <w:r w:rsidR="00A17488">
        <w:t xml:space="preserve">ontrary to the </w:t>
      </w:r>
      <w:r w:rsidR="00FD4C71">
        <w:t>Licensee</w:t>
      </w:r>
      <w:r w:rsidR="00A17488">
        <w:t>’s contention,</w:t>
      </w:r>
      <w:r w:rsidR="002E4D2E">
        <w:t xml:space="preserve"> </w:t>
      </w:r>
      <w:r w:rsidR="005B5505">
        <w:t>at the time WDBJ aired its news report about the for</w:t>
      </w:r>
      <w:r w:rsidR="00472B12">
        <w:t xml:space="preserve">mer </w:t>
      </w:r>
      <w:r w:rsidR="001E6891">
        <w:t xml:space="preserve">adult </w:t>
      </w:r>
      <w:r w:rsidR="00472B12">
        <w:t>film star</w:t>
      </w:r>
      <w:r w:rsidR="009911B8">
        <w:t>,</w:t>
      </w:r>
      <w:r w:rsidR="00472B12">
        <w:t xml:space="preserve"> </w:t>
      </w:r>
      <w:r w:rsidR="00BA4B1B">
        <w:t xml:space="preserve">it </w:t>
      </w:r>
      <w:r w:rsidR="005B5505">
        <w:t xml:space="preserve">was </w:t>
      </w:r>
      <w:r w:rsidR="00BA4B1B">
        <w:t xml:space="preserve">clear </w:t>
      </w:r>
      <w:r w:rsidR="00FD4C71">
        <w:t xml:space="preserve">from Commission precedent </w:t>
      </w:r>
      <w:r w:rsidR="005B5505">
        <w:t xml:space="preserve">that </w:t>
      </w:r>
      <w:r w:rsidR="0050623B">
        <w:t xml:space="preserve">even brief displays of nudity could be </w:t>
      </w:r>
      <w:r w:rsidR="005B5505">
        <w:t>actionably indecent.</w:t>
      </w:r>
      <w:r w:rsidR="00BA4B1B">
        <w:rPr>
          <w:rStyle w:val="FootnoteReference"/>
        </w:rPr>
        <w:footnoteReference w:id="66"/>
      </w:r>
      <w:r w:rsidR="005B5505">
        <w:t xml:space="preserve"> </w:t>
      </w:r>
      <w:r w:rsidR="00BA4B1B">
        <w:t xml:space="preserve"> </w:t>
      </w:r>
      <w:r w:rsidR="006D6E06">
        <w:t xml:space="preserve">Therefore, we reject WDBJ’s assertion that it did not have notice that </w:t>
      </w:r>
      <w:r w:rsidR="004774BB">
        <w:t xml:space="preserve">a broadcast involving brief </w:t>
      </w:r>
      <w:r w:rsidR="006D6E06">
        <w:t xml:space="preserve">nudity </w:t>
      </w:r>
      <w:r w:rsidR="00DA1127">
        <w:t xml:space="preserve">during a news program </w:t>
      </w:r>
      <w:r w:rsidR="006D6E06">
        <w:t>could result in an indecency finding</w:t>
      </w:r>
      <w:r w:rsidR="00DA1127">
        <w:t xml:space="preserve">.  We </w:t>
      </w:r>
      <w:r w:rsidR="001B149A">
        <w:t>further</w:t>
      </w:r>
      <w:r w:rsidR="00DA1127">
        <w:t xml:space="preserve"> emphasize that WDBJ’s</w:t>
      </w:r>
      <w:r w:rsidR="006D6E06">
        <w:t xml:space="preserve"> </w:t>
      </w:r>
      <w:r w:rsidR="005E68B3">
        <w:t xml:space="preserve">argument overlooks the fact that its </w:t>
      </w:r>
      <w:r w:rsidR="006D6E06">
        <w:t>broadcast contained not only nudity, but also</w:t>
      </w:r>
      <w:r w:rsidR="00E63B60">
        <w:t xml:space="preserve"> </w:t>
      </w:r>
      <w:r w:rsidR="006D6E06">
        <w:t xml:space="preserve">graphic sexual activity.  </w:t>
      </w:r>
    </w:p>
    <w:p w14:paraId="5B1A3776" w14:textId="77777777" w:rsidR="00B17611" w:rsidRDefault="00B17611" w:rsidP="00B65BE8">
      <w:pPr>
        <w:pStyle w:val="Heading3"/>
      </w:pPr>
      <w:r>
        <w:t>The Commission’s 2013 Public Notice Regarding Indecency Policy Does Not Bar En</w:t>
      </w:r>
      <w:r w:rsidR="00160EE9">
        <w:t>forcement Action for WDBJ’s 2012</w:t>
      </w:r>
      <w:r>
        <w:t xml:space="preserve"> Apparent Violation</w:t>
      </w:r>
      <w:r w:rsidR="00E63B60">
        <w:t>.</w:t>
      </w:r>
    </w:p>
    <w:p w14:paraId="17CE8834" w14:textId="29FE7F76" w:rsidR="006B190E" w:rsidRDefault="00B17611" w:rsidP="006B190E">
      <w:pPr>
        <w:pStyle w:val="ParaNum"/>
      </w:pPr>
      <w:r>
        <w:t>WDBJ claims that the Commission</w:t>
      </w:r>
      <w:r w:rsidR="00082834">
        <w:t>’s</w:t>
      </w:r>
      <w:r>
        <w:t xml:space="preserve"> 2013 Public Notice</w:t>
      </w:r>
      <w:r w:rsidR="0010215C">
        <w:rPr>
          <w:rStyle w:val="FootnoteReference"/>
        </w:rPr>
        <w:t xml:space="preserve"> </w:t>
      </w:r>
      <w:r w:rsidR="00082834">
        <w:t>bars enforcement action for WDBJ’s apparent violation of the indecency laws and</w:t>
      </w:r>
      <w:r>
        <w:t xml:space="preserve"> failed to provide broadcasters an articulable standard by which </w:t>
      </w:r>
      <w:r w:rsidR="00082834">
        <w:t>the Commission</w:t>
      </w:r>
      <w:r>
        <w:t xml:space="preserve"> will determine speech that is indecent and subject to sanction and speech that is not indecent.</w:t>
      </w:r>
      <w:r>
        <w:rPr>
          <w:rStyle w:val="FootnoteReference"/>
        </w:rPr>
        <w:footnoteReference w:id="67"/>
      </w:r>
      <w:r>
        <w:t xml:space="preserve"> </w:t>
      </w:r>
      <w:r w:rsidR="00160EE9">
        <w:t xml:space="preserve"> </w:t>
      </w:r>
      <w:r w:rsidR="006B190E">
        <w:t>We reject WDBJ’s assertion that the 2013 Public Notice bars the imposition of a sanction against</w:t>
      </w:r>
      <w:r w:rsidR="00082834">
        <w:t xml:space="preserve"> WDBJ</w:t>
      </w:r>
      <w:r w:rsidR="006B190E">
        <w:t xml:space="preserve"> for airing the clip from a </w:t>
      </w:r>
      <w:r w:rsidR="00C3761A">
        <w:t xml:space="preserve">sexually explicit </w:t>
      </w:r>
      <w:r w:rsidR="006B190E">
        <w:t xml:space="preserve">film on its evening news program on July 12, 2012.  First, the 2013 Public Notice was issued on April 1, 2013, almost nine months </w:t>
      </w:r>
      <w:r w:rsidR="006B190E" w:rsidRPr="00434DA2">
        <w:rPr>
          <w:i/>
        </w:rPr>
        <w:t>after</w:t>
      </w:r>
      <w:r w:rsidR="006B190E">
        <w:t xml:space="preserve"> the WDBJ broadcast at issue here.  </w:t>
      </w:r>
      <w:r w:rsidR="00C33F0F">
        <w:t xml:space="preserve">Thus, it could have had no effect on WDBJ’s exposure to enforcement action for broadcasts before that date.  </w:t>
      </w:r>
      <w:r w:rsidR="006B190E">
        <w:t>Moreover, the 2013 Public Notice explicitly states that the Commission’s substantive indecency policies, including the definition and contextual analysis set forth herein, remain in effect unaltered, “and the Commission and/or [Enforcement] Bureau may take enforcement actions during the pendency of this Public Notice.”</w:t>
      </w:r>
      <w:r w:rsidR="006B190E">
        <w:rPr>
          <w:rStyle w:val="FootnoteReference"/>
        </w:rPr>
        <w:footnoteReference w:id="68"/>
      </w:r>
      <w:r w:rsidR="006B190E">
        <w:t xml:space="preserve">  </w:t>
      </w:r>
      <w:r w:rsidR="00C33F0F">
        <w:t>Accordingly, there is no merit in WDBJ’s argument.</w:t>
      </w:r>
    </w:p>
    <w:p w14:paraId="694C00AA" w14:textId="77777777" w:rsidR="00632BAF" w:rsidRDefault="00632BAF" w:rsidP="00632BAF">
      <w:pPr>
        <w:pStyle w:val="Heading2"/>
      </w:pPr>
      <w:r>
        <w:t xml:space="preserve">The Commission’s Indecency </w:t>
      </w:r>
      <w:r w:rsidR="005D75F9">
        <w:t>Policy Is Constitutional</w:t>
      </w:r>
      <w:r w:rsidR="00A80524">
        <w:t>.</w:t>
      </w:r>
    </w:p>
    <w:p w14:paraId="23C2686E" w14:textId="49F4395B" w:rsidR="00653645" w:rsidRDefault="00A80524" w:rsidP="00653645">
      <w:pPr>
        <w:pStyle w:val="ParaNum"/>
      </w:pPr>
      <w:r>
        <w:t>Consistent with almost forty years of precedent and the Supreme Court’s recent review</w:t>
      </w:r>
      <w:r w:rsidR="009578DF">
        <w:t xml:space="preserve"> of</w:t>
      </w:r>
      <w:r>
        <w:t xml:space="preserve"> our indecency authority,</w:t>
      </w:r>
      <w:r w:rsidR="000F31A0">
        <w:rPr>
          <w:rStyle w:val="FootnoteReference"/>
        </w:rPr>
        <w:footnoteReference w:id="69"/>
      </w:r>
      <w:r>
        <w:t xml:space="preserve"> we </w:t>
      </w:r>
      <w:r w:rsidR="00D26043">
        <w:t>reject WDBJ’s contention that our indecency policy is un</w:t>
      </w:r>
      <w:r>
        <w:t xml:space="preserve">constitutional.  </w:t>
      </w:r>
      <w:r w:rsidR="005D75F9">
        <w:t xml:space="preserve">WDBJ </w:t>
      </w:r>
      <w:r w:rsidR="00053EC9">
        <w:t xml:space="preserve">invites us to reconsider </w:t>
      </w:r>
      <w:r w:rsidR="005D75F9">
        <w:t xml:space="preserve">the viability of </w:t>
      </w:r>
      <w:r w:rsidR="00FE4247">
        <w:t>the Supreme Court’s decision in</w:t>
      </w:r>
      <w:r w:rsidR="005D75F9" w:rsidRPr="00653645">
        <w:rPr>
          <w:i/>
        </w:rPr>
        <w:t xml:space="preserve"> Pacifica</w:t>
      </w:r>
      <w:r w:rsidR="00517ACB">
        <w:t xml:space="preserve">, contending that </w:t>
      </w:r>
      <w:r w:rsidR="00517ACB">
        <w:rPr>
          <w:i/>
        </w:rPr>
        <w:t>Pacifica</w:t>
      </w:r>
      <w:r w:rsidR="00653645">
        <w:t xml:space="preserve"> can no longer sustain regulation of indecent speech on broadcast stations “because the rationale of that case has been overtaken by technological change and the wide availability of multiple other choices for listeners and viewers.”</w:t>
      </w:r>
      <w:r w:rsidR="00653645">
        <w:rPr>
          <w:rStyle w:val="FootnoteReference"/>
        </w:rPr>
        <w:footnoteReference w:id="70"/>
      </w:r>
      <w:r w:rsidR="00653645">
        <w:t xml:space="preserve">  WDBJ </w:t>
      </w:r>
      <w:r w:rsidR="00053EC9">
        <w:t xml:space="preserve">summarily </w:t>
      </w:r>
      <w:r w:rsidR="00653645">
        <w:t xml:space="preserve">adopts and incorporates arguments of ABC, Inc., and others </w:t>
      </w:r>
      <w:r w:rsidR="00472B12">
        <w:t xml:space="preserve">in </w:t>
      </w:r>
      <w:r w:rsidR="005B5505">
        <w:t>litigation unrelated to the b</w:t>
      </w:r>
      <w:r w:rsidR="00472B12">
        <w:t>roadcast at issue here</w:t>
      </w:r>
      <w:r w:rsidR="00653645">
        <w:t>.</w:t>
      </w:r>
      <w:r w:rsidR="00653645">
        <w:rPr>
          <w:rStyle w:val="FootnoteReference"/>
        </w:rPr>
        <w:footnoteReference w:id="71"/>
      </w:r>
      <w:r w:rsidR="00C56AA9">
        <w:t xml:space="preserve">  </w:t>
      </w:r>
      <w:r w:rsidR="00D26043">
        <w:t>We note that</w:t>
      </w:r>
      <w:r w:rsidR="00517ACB">
        <w:t>,</w:t>
      </w:r>
      <w:r w:rsidR="00D26043">
        <w:t xml:space="preserve"> in resolving that litigation, the Supreme Court specifically declined to address the arguments WDBJ now </w:t>
      </w:r>
      <w:r w:rsidR="00F96475">
        <w:t>advances</w:t>
      </w:r>
      <w:r w:rsidR="00C33F0F">
        <w:t xml:space="preserve"> or </w:t>
      </w:r>
      <w:r w:rsidR="009911B8">
        <w:t xml:space="preserve">to </w:t>
      </w:r>
      <w:r w:rsidR="00C33F0F">
        <w:t xml:space="preserve">overrule its </w:t>
      </w:r>
      <w:r w:rsidR="00C33F0F" w:rsidRPr="00434DA2">
        <w:rPr>
          <w:i/>
        </w:rPr>
        <w:t>Pacifica</w:t>
      </w:r>
      <w:r w:rsidR="00C33F0F">
        <w:t xml:space="preserve"> decision</w:t>
      </w:r>
      <w:r w:rsidR="00D26043">
        <w:t>.</w:t>
      </w:r>
      <w:r w:rsidR="00D26043">
        <w:rPr>
          <w:rStyle w:val="FootnoteReference"/>
        </w:rPr>
        <w:footnoteReference w:id="72"/>
      </w:r>
      <w:r w:rsidR="00D26043">
        <w:t xml:space="preserve">  </w:t>
      </w:r>
      <w:r w:rsidR="00517ACB">
        <w:t xml:space="preserve">Thus, </w:t>
      </w:r>
      <w:r w:rsidR="00517ACB">
        <w:rPr>
          <w:i/>
        </w:rPr>
        <w:t xml:space="preserve">Pacifica </w:t>
      </w:r>
      <w:r w:rsidR="00517ACB">
        <w:t xml:space="preserve">remains valid and supporting authority for the Commission’s indecency enforcement.  </w:t>
      </w:r>
      <w:r w:rsidR="00D26043">
        <w:t xml:space="preserve">Moreover, the direct impact </w:t>
      </w:r>
      <w:r w:rsidR="00517ACB">
        <w:t xml:space="preserve">of </w:t>
      </w:r>
      <w:r w:rsidR="00D26043">
        <w:t>WDBJ’s broadcast on audience members, including children, belies WDBJ’</w:t>
      </w:r>
      <w:r w:rsidR="00517ACB">
        <w:t>s assertion that technological advances</w:t>
      </w:r>
      <w:r w:rsidR="00D26043">
        <w:t xml:space="preserve"> and </w:t>
      </w:r>
      <w:r w:rsidR="00517ACB">
        <w:t xml:space="preserve">the existence </w:t>
      </w:r>
      <w:r w:rsidR="00F96475">
        <w:t xml:space="preserve">of </w:t>
      </w:r>
      <w:r w:rsidR="00517ACB">
        <w:t xml:space="preserve">other media have rendered our indecency restrictions invalid and obsolete.  </w:t>
      </w:r>
      <w:r w:rsidR="00F96475">
        <w:t>Broadcasters are trustees of the public air waves, and we believe that parents should be able to tune into a</w:t>
      </w:r>
      <w:r w:rsidR="00C33F0F">
        <w:t>n early</w:t>
      </w:r>
      <w:r w:rsidR="00F96475">
        <w:t xml:space="preserve"> </w:t>
      </w:r>
      <w:r w:rsidR="00C33F0F">
        <w:t xml:space="preserve">evening </w:t>
      </w:r>
      <w:r w:rsidR="00F96475">
        <w:t>broadcast</w:t>
      </w:r>
      <w:r w:rsidR="00C33F0F">
        <w:t xml:space="preserve"> </w:t>
      </w:r>
      <w:r w:rsidR="00F96475">
        <w:t xml:space="preserve">without fear that it will expose their children to </w:t>
      </w:r>
      <w:r w:rsidR="001E6891">
        <w:t>sexually explicit</w:t>
      </w:r>
      <w:r w:rsidR="00F96475">
        <w:t xml:space="preserve"> or other indecent material.  </w:t>
      </w:r>
      <w:r w:rsidR="00517ACB">
        <w:t>We therefore</w:t>
      </w:r>
      <w:r w:rsidR="00053EC9">
        <w:t xml:space="preserve"> decline WDBJ’s invitation</w:t>
      </w:r>
      <w:r w:rsidR="00517ACB">
        <w:t xml:space="preserve"> to invalidate </w:t>
      </w:r>
      <w:r w:rsidR="00D26043">
        <w:t>our indecency policies</w:t>
      </w:r>
      <w:r w:rsidR="00517ACB">
        <w:t xml:space="preserve"> on constitutional grounds.</w:t>
      </w:r>
      <w:r w:rsidR="00053EC9">
        <w:t xml:space="preserve">  </w:t>
      </w:r>
    </w:p>
    <w:p w14:paraId="742D024C" w14:textId="77777777" w:rsidR="00852E66" w:rsidRPr="005D75F9" w:rsidRDefault="00852E66" w:rsidP="00852E66">
      <w:pPr>
        <w:pStyle w:val="Heading1"/>
      </w:pPr>
      <w:r>
        <w:t>PROPOSED FORFEITURE</w:t>
      </w:r>
    </w:p>
    <w:p w14:paraId="7DBE229B" w14:textId="3CA57A5B" w:rsidR="00C442F2" w:rsidRPr="00C442F2" w:rsidRDefault="00C442F2" w:rsidP="00EE4C8D">
      <w:pPr>
        <w:pStyle w:val="ParaNum"/>
      </w:pPr>
      <w:r w:rsidRPr="00C442F2">
        <w:t>Section 503(b)</w:t>
      </w:r>
      <w:r w:rsidR="00FB6350">
        <w:t>(1)</w:t>
      </w:r>
      <w:r w:rsidRPr="00C442F2">
        <w:t xml:space="preserve"> of the Act authorizes the Commission to impose a forfeiture penalty on any person who willfully fails to comply substantially with the terms and conditions of any license, or willfully fails to comply with any provisions of the Act or of any Rule, regulation</w:t>
      </w:r>
      <w:r w:rsidR="007A3AC4">
        <w:t>,</w:t>
      </w:r>
      <w:r w:rsidRPr="00C442F2">
        <w:t xml:space="preserve"> or Comm</w:t>
      </w:r>
      <w:r w:rsidR="00FB6350">
        <w:t>ission order.</w:t>
      </w:r>
      <w:r w:rsidR="007A3AC4">
        <w:rPr>
          <w:rStyle w:val="FootnoteReference"/>
        </w:rPr>
        <w:footnoteReference w:id="73"/>
      </w:r>
      <w:r w:rsidR="00FB6350">
        <w:t xml:space="preserve">  Section 312(f)</w:t>
      </w:r>
      <w:r w:rsidRPr="00C442F2">
        <w:t>(1) of the Act defines “willful” as the “conscious and deliberate commission or omission of [any] act, irrespective of an</w:t>
      </w:r>
      <w:r w:rsidR="003956B9">
        <w:t>y intent to violate” the law.</w:t>
      </w:r>
      <w:r w:rsidR="007A3AC4">
        <w:rPr>
          <w:rStyle w:val="FootnoteReference"/>
        </w:rPr>
        <w:footnoteReference w:id="74"/>
      </w:r>
      <w:r w:rsidR="003956B9">
        <w:t xml:space="preserve">  </w:t>
      </w:r>
      <w:r w:rsidRPr="00C442F2">
        <w:t>The legislative history to Section 312(f)(1) of the Act clarifies that this definition of willful applies to both Sections 312 and 503(b) of the Act,</w:t>
      </w:r>
      <w:r w:rsidR="00FB6350">
        <w:rPr>
          <w:rStyle w:val="FootnoteReference"/>
        </w:rPr>
        <w:footnoteReference w:id="75"/>
      </w:r>
      <w:r w:rsidRPr="00C442F2">
        <w:t xml:space="preserve"> and the Commission has so interpreted the term i</w:t>
      </w:r>
      <w:r w:rsidR="00465F18">
        <w:t>n the Section 503(b) context.</w:t>
      </w:r>
      <w:r w:rsidR="00FB6350">
        <w:rPr>
          <w:rStyle w:val="FootnoteReference"/>
        </w:rPr>
        <w:footnoteReference w:id="76"/>
      </w:r>
      <w:r w:rsidR="00465F18">
        <w:t xml:space="preserve">  </w:t>
      </w:r>
      <w:r w:rsidR="00EE4C8D" w:rsidRPr="00EE4C8D">
        <w:t>To impose such a forfeiture penalty, the Commission must issue a notice of apparent liability and the person against whom the notice has been issued must have an opportunity to show, in writing, why no such forfeiture penalty should be imposed.</w:t>
      </w:r>
      <w:r w:rsidR="00EE4C8D" w:rsidRPr="00EE4C8D">
        <w:rPr>
          <w:vertAlign w:val="superscript"/>
        </w:rPr>
        <w:footnoteReference w:id="77"/>
      </w:r>
      <w:r w:rsidR="00EE4C8D" w:rsidRPr="00EE4C8D">
        <w:t xml:space="preserve">  The Commission will then issue a forfeiture if it finds by a preponderance of the evidence that the per</w:t>
      </w:r>
      <w:r w:rsidR="00BA7399">
        <w:t xml:space="preserve">son has willfully </w:t>
      </w:r>
      <w:r w:rsidR="00EE4C8D" w:rsidRPr="00EE4C8D">
        <w:t>vi</w:t>
      </w:r>
      <w:r w:rsidR="007A3AC4">
        <w:t>olated the Act or a R</w:t>
      </w:r>
      <w:r w:rsidR="00EE4C8D" w:rsidRPr="00EE4C8D">
        <w:t>ule.</w:t>
      </w:r>
      <w:r w:rsidR="00EE4C8D" w:rsidRPr="00EE4C8D">
        <w:rPr>
          <w:vertAlign w:val="superscript"/>
        </w:rPr>
        <w:footnoteReference w:id="78"/>
      </w:r>
      <w:r w:rsidR="00EE4C8D" w:rsidRPr="00EE4C8D">
        <w:t xml:space="preserve"> </w:t>
      </w:r>
      <w:r w:rsidRPr="00C442F2">
        <w:t xml:space="preserve"> </w:t>
      </w:r>
    </w:p>
    <w:p w14:paraId="4BE9DE22" w14:textId="438C46A8" w:rsidR="0003068D" w:rsidRPr="00C32E2F" w:rsidRDefault="00194053" w:rsidP="00C32E2F">
      <w:pPr>
        <w:pStyle w:val="ParaNum"/>
      </w:pPr>
      <w:r>
        <w:t>Based upon the evidence before us, we find that WDBJ apparently willfully violated 18 U.S.C. § 1464 and Secti</w:t>
      </w:r>
      <w:r w:rsidR="00F04667">
        <w:t>on 73.3999 of the R</w:t>
      </w:r>
      <w:r>
        <w:t>ules.</w:t>
      </w:r>
      <w:r w:rsidR="000C7AED">
        <w:t xml:space="preserve">  The record here </w:t>
      </w:r>
      <w:r w:rsidR="007071D2">
        <w:t xml:space="preserve">establishes that the Station employee who </w:t>
      </w:r>
      <w:r w:rsidR="00A770BF">
        <w:t xml:space="preserve">prepared and </w:t>
      </w:r>
      <w:r w:rsidR="007071D2">
        <w:t xml:space="preserve">edited the news report </w:t>
      </w:r>
      <w:r w:rsidR="009D5069">
        <w:t>for broadcast</w:t>
      </w:r>
      <w:r w:rsidR="007071D2">
        <w:t xml:space="preserve"> obtained material concerning the former </w:t>
      </w:r>
      <w:r w:rsidR="001E6891">
        <w:t xml:space="preserve">adult </w:t>
      </w:r>
      <w:r w:rsidR="007071D2">
        <w:t xml:space="preserve">film star from the website of a distributor of her </w:t>
      </w:r>
      <w:r w:rsidR="003F75FF">
        <w:t xml:space="preserve">sexually explicit </w:t>
      </w:r>
      <w:r w:rsidR="007071D2">
        <w:t>films</w:t>
      </w:r>
      <w:r w:rsidR="00E4766A">
        <w:t xml:space="preserve"> for inclusion in the broadcast news story</w:t>
      </w:r>
      <w:r w:rsidR="007071D2">
        <w:t>.</w:t>
      </w:r>
      <w:r w:rsidR="007071D2">
        <w:rPr>
          <w:rStyle w:val="FootnoteReference"/>
        </w:rPr>
        <w:footnoteReference w:id="79"/>
      </w:r>
      <w:r w:rsidR="007071D2">
        <w:t xml:space="preserve">  </w:t>
      </w:r>
      <w:r w:rsidR="00001B18">
        <w:t xml:space="preserve">Though he claims he did not notice the indecent material, he should have been more alert to what he was downloading for broadcast from a sexually explicit website, and we cannot absolve the </w:t>
      </w:r>
      <w:r w:rsidR="001E6891">
        <w:t>Licensee</w:t>
      </w:r>
      <w:r w:rsidR="00001B18">
        <w:t xml:space="preserve"> of responsibility because its employee failed to notice what he </w:t>
      </w:r>
      <w:r w:rsidR="0061380F">
        <w:t>was downloading and preparing</w:t>
      </w:r>
      <w:r w:rsidR="00001B18">
        <w:t xml:space="preserve"> for broadcast</w:t>
      </w:r>
      <w:r w:rsidR="00FD4C71">
        <w:t>.</w:t>
      </w:r>
      <w:r w:rsidR="0061380F">
        <w:rPr>
          <w:rStyle w:val="FootnoteReference"/>
        </w:rPr>
        <w:footnoteReference w:id="80"/>
      </w:r>
      <w:r w:rsidR="00001B18">
        <w:t xml:space="preserve">  Moreover t</w:t>
      </w:r>
      <w:r w:rsidR="007071D2">
        <w:t xml:space="preserve">he </w:t>
      </w:r>
      <w:r w:rsidR="00001B18">
        <w:t>source of the material</w:t>
      </w:r>
      <w:r w:rsidR="007071D2">
        <w:t xml:space="preserve"> should have alerted the </w:t>
      </w:r>
      <w:r w:rsidR="00C00137">
        <w:t xml:space="preserve">Licensee – via its </w:t>
      </w:r>
      <w:r w:rsidR="007071D2">
        <w:t>employee</w:t>
      </w:r>
      <w:r w:rsidR="00001B18">
        <w:t>s</w:t>
      </w:r>
      <w:r w:rsidR="007071D2">
        <w:t xml:space="preserve">, </w:t>
      </w:r>
      <w:r w:rsidR="00631F86">
        <w:t>the News Director</w:t>
      </w:r>
      <w:r w:rsidR="009911B8">
        <w:t>,</w:t>
      </w:r>
      <w:r w:rsidR="00631F86">
        <w:t xml:space="preserve"> </w:t>
      </w:r>
      <w:r w:rsidR="000E29B2">
        <w:t xml:space="preserve">and other management personnel </w:t>
      </w:r>
      <w:r w:rsidR="00631F86">
        <w:t>who reviewed the edited news repor</w:t>
      </w:r>
      <w:r w:rsidR="00C00137">
        <w:t>t – t</w:t>
      </w:r>
      <w:r w:rsidR="007071D2">
        <w:t xml:space="preserve">hat the Station was accessing potentially sexually explicit material.  </w:t>
      </w:r>
      <w:r w:rsidR="003F75FF">
        <w:t>Furthermore, t</w:t>
      </w:r>
      <w:r w:rsidR="004774BB">
        <w:t xml:space="preserve">he Station </w:t>
      </w:r>
      <w:r w:rsidR="00276BBD">
        <w:t xml:space="preserve">knowingly </w:t>
      </w:r>
      <w:r w:rsidR="004774BB">
        <w:t xml:space="preserve">used editing equipment whose viewing capability did not permit the editing staff to view the same content as the audience, and thus, the Licensee omitted appropriate safeguards to assist it in making sure that its audience </w:t>
      </w:r>
      <w:r w:rsidR="00517ACB">
        <w:t>was not subjected to</w:t>
      </w:r>
      <w:r w:rsidR="004774BB">
        <w:t xml:space="preserve"> material such as the </w:t>
      </w:r>
      <w:r w:rsidR="003F75FF">
        <w:t>indecent material broadcast</w:t>
      </w:r>
      <w:r w:rsidR="004774BB">
        <w:t xml:space="preserve"> here.  </w:t>
      </w:r>
      <w:r w:rsidR="009D5069">
        <w:t>Thus, t</w:t>
      </w:r>
      <w:r w:rsidR="004774BB">
        <w:t xml:space="preserve">he </w:t>
      </w:r>
      <w:r w:rsidR="00C32E2F">
        <w:t xml:space="preserve">risk of </w:t>
      </w:r>
      <w:r w:rsidR="007071D2">
        <w:t xml:space="preserve">airing of the indecent material </w:t>
      </w:r>
      <w:r w:rsidR="00A770BF">
        <w:t xml:space="preserve">on the Station’s 6:00 p.m. news </w:t>
      </w:r>
      <w:r w:rsidR="007071D2">
        <w:t xml:space="preserve">was clearly foreseeable, </w:t>
      </w:r>
      <w:r w:rsidR="009D5069">
        <w:t>and</w:t>
      </w:r>
      <w:r w:rsidR="007071D2">
        <w:t xml:space="preserve"> the Station failed to take adequate precautions to ensure that no graphic or explicit sexual material was aired.</w:t>
      </w:r>
      <w:r w:rsidR="007071D2">
        <w:rPr>
          <w:rStyle w:val="FootnoteReference"/>
        </w:rPr>
        <w:footnoteReference w:id="81"/>
      </w:r>
      <w:r w:rsidR="007071D2">
        <w:t xml:space="preserve"> </w:t>
      </w:r>
      <w:r w:rsidR="00A770BF">
        <w:t xml:space="preserve"> Such actions amount to an apparent willful violation of the federal restrictions on the broadcast of indecent material</w:t>
      </w:r>
      <w:r w:rsidR="004774BB">
        <w:t>.</w:t>
      </w:r>
      <w:r w:rsidR="00631F86">
        <w:t xml:space="preserve"> </w:t>
      </w:r>
      <w:r w:rsidR="00603B03">
        <w:t xml:space="preserve"> </w:t>
      </w:r>
      <w:r w:rsidR="00001B18">
        <w:t>At the very least, the Station acted with reckless disregard for the content of its broadcast and must be held responsible for its</w:t>
      </w:r>
      <w:r w:rsidR="002D35BE">
        <w:t xml:space="preserve"> actions.</w:t>
      </w:r>
      <w:r w:rsidR="003F0430">
        <w:rPr>
          <w:rStyle w:val="FootnoteReference"/>
        </w:rPr>
        <w:footnoteReference w:id="82"/>
      </w:r>
      <w:r w:rsidR="00C32E2F">
        <w:t xml:space="preserve"> </w:t>
      </w:r>
    </w:p>
    <w:p w14:paraId="65FBA767" w14:textId="07A94821" w:rsidR="00260AFF" w:rsidRDefault="00194053" w:rsidP="00C442F2">
      <w:pPr>
        <w:pStyle w:val="ParaNum"/>
      </w:pPr>
      <w:r>
        <w:t xml:space="preserve">The Commission’s </w:t>
      </w:r>
      <w:r w:rsidR="00F04667" w:rsidRPr="004774BB">
        <w:rPr>
          <w:i/>
        </w:rPr>
        <w:t xml:space="preserve">Forfeiture </w:t>
      </w:r>
      <w:r w:rsidR="00260AFF" w:rsidRPr="004774BB">
        <w:rPr>
          <w:i/>
        </w:rPr>
        <w:t>Policy Statement</w:t>
      </w:r>
      <w:r w:rsidR="00260AFF">
        <w:t xml:space="preserve"> and Sectio</w:t>
      </w:r>
      <w:r>
        <w:t>n 1.80 of the Rules</w:t>
      </w:r>
      <w:r w:rsidR="00D27EC8">
        <w:t xml:space="preserve"> set a </w:t>
      </w:r>
      <w:r w:rsidR="00260AFF">
        <w:t xml:space="preserve">base forfeiture amount </w:t>
      </w:r>
      <w:r>
        <w:t xml:space="preserve">of seven thousand dollars ($7,000) </w:t>
      </w:r>
      <w:r w:rsidR="00260AFF">
        <w:t xml:space="preserve">for </w:t>
      </w:r>
      <w:r>
        <w:t>an indecency violation.</w:t>
      </w:r>
      <w:r w:rsidR="009D5069">
        <w:rPr>
          <w:rStyle w:val="FootnoteReference"/>
        </w:rPr>
        <w:footnoteReference w:id="83"/>
      </w:r>
      <w:r>
        <w:t xml:space="preserve"> </w:t>
      </w:r>
      <w:r w:rsidR="00D27EC8">
        <w:t xml:space="preserve"> </w:t>
      </w:r>
      <w:r>
        <w:t xml:space="preserve">In assessing the monetary forfeiture amount, we must take into account the statutory </w:t>
      </w:r>
      <w:r w:rsidR="00260AFF">
        <w:t xml:space="preserve">factors </w:t>
      </w:r>
      <w:r>
        <w:t xml:space="preserve">set forth in </w:t>
      </w:r>
      <w:r w:rsidR="00260AFF">
        <w:t>S</w:t>
      </w:r>
      <w:r>
        <w:t xml:space="preserve">ection 503(b)(2)(E) of the Act </w:t>
      </w:r>
      <w:r w:rsidR="00260AFF">
        <w:t xml:space="preserve">and Section </w:t>
      </w:r>
      <w:r w:rsidR="00876B36">
        <w:t>1.80(b)(8</w:t>
      </w:r>
      <w:r>
        <w:t>) of the R</w:t>
      </w:r>
      <w:r w:rsidR="00260AFF">
        <w:t>ules, which include “the nature, circumstances, exte</w:t>
      </w:r>
      <w:r w:rsidR="00AF2730">
        <w:t>nt</w:t>
      </w:r>
      <w:r w:rsidR="000F3001">
        <w:t>, and gravity of the violation</w:t>
      </w:r>
      <w:r w:rsidR="00AF2730">
        <w:t xml:space="preserve"> and</w:t>
      </w:r>
      <w:r w:rsidR="000F3001">
        <w:t>,</w:t>
      </w:r>
      <w:r w:rsidR="00AF2730">
        <w:t xml:space="preserve"> with respect to the violator, </w:t>
      </w:r>
      <w:r w:rsidR="00260AFF">
        <w:t>the degree of culpability, any history of prior offenses, ability to pay, and such other matters as justice may require.”</w:t>
      </w:r>
      <w:r w:rsidR="00AF2730">
        <w:rPr>
          <w:rStyle w:val="FootnoteReference"/>
        </w:rPr>
        <w:footnoteReference w:id="84"/>
      </w:r>
      <w:r w:rsidR="00260AFF">
        <w:t xml:space="preserve">  In the Broadcast Decency Enforcement Act of 2005 (Broadcast Decency Enforcement Act), Congress increase</w:t>
      </w:r>
      <w:r w:rsidR="00FC7305">
        <w:t>d the maximum forfeiture amount</w:t>
      </w:r>
      <w:r w:rsidR="00260AFF">
        <w:t xml:space="preserve"> for obscene, indecent, or profane broadcasts to $325,000 for each violation or each da</w:t>
      </w:r>
      <w:r w:rsidR="00B17599">
        <w:t>y of a continuing violation, excep</w:t>
      </w:r>
      <w:r w:rsidR="00260AFF">
        <w:t>t that the amount assessed for any continuing violation shall not exceed $3,000,000 for an</w:t>
      </w:r>
      <w:r w:rsidR="009D5069">
        <w:t>y</w:t>
      </w:r>
      <w:r w:rsidR="00260AFF">
        <w:t xml:space="preserve"> single act or failure to act.</w:t>
      </w:r>
      <w:r w:rsidR="00617CCD">
        <w:rPr>
          <w:rStyle w:val="FootnoteReference"/>
        </w:rPr>
        <w:footnoteReference w:id="85"/>
      </w:r>
      <w:r w:rsidR="000213CC">
        <w:t xml:space="preserve">  </w:t>
      </w:r>
      <w:r w:rsidR="000763D2">
        <w:t>The Commission amended its R</w:t>
      </w:r>
      <w:r w:rsidR="000213CC" w:rsidRPr="000213CC">
        <w:t>ules</w:t>
      </w:r>
      <w:r w:rsidR="000213CC">
        <w:t xml:space="preserve"> in 2007 </w:t>
      </w:r>
      <w:r w:rsidR="000213CC" w:rsidRPr="000213CC">
        <w:t xml:space="preserve">to implement the </w:t>
      </w:r>
      <w:r w:rsidR="000213CC">
        <w:t xml:space="preserve">Broadcast Decency Enforcement </w:t>
      </w:r>
      <w:r w:rsidR="000213CC" w:rsidRPr="000213CC">
        <w:t>Act.</w:t>
      </w:r>
      <w:r w:rsidR="000213CC">
        <w:rPr>
          <w:rStyle w:val="FootnoteReference"/>
        </w:rPr>
        <w:footnoteReference w:id="86"/>
      </w:r>
      <w:r w:rsidR="00D27EC8">
        <w:t xml:space="preserve">  This is the Commission’s first</w:t>
      </w:r>
      <w:r w:rsidR="000E29B2">
        <w:t xml:space="preserve"> occasion</w:t>
      </w:r>
      <w:r w:rsidR="00D27EC8">
        <w:t xml:space="preserve"> to consider the application of the Broadcast Dec</w:t>
      </w:r>
      <w:r w:rsidR="000F3001">
        <w:t xml:space="preserve">ency Enforcement Act’s </w:t>
      </w:r>
      <w:r w:rsidR="00D27EC8">
        <w:t>statutory maximum forfeiture to an apparent indecency violation.</w:t>
      </w:r>
      <w:r w:rsidR="002B0EF3">
        <w:rPr>
          <w:rStyle w:val="FootnoteReference"/>
        </w:rPr>
        <w:footnoteReference w:id="87"/>
      </w:r>
    </w:p>
    <w:p w14:paraId="0251FE3A" w14:textId="30638E95" w:rsidR="00AF2730" w:rsidRDefault="00260AFF" w:rsidP="00852109">
      <w:pPr>
        <w:pStyle w:val="ParaNum"/>
        <w:widowControl/>
      </w:pPr>
      <w:r>
        <w:t xml:space="preserve">Based upon our review of the entire record, we find that WDBJ’s broadcast of the complained-of material </w:t>
      </w:r>
      <w:r w:rsidR="002345CC">
        <w:t>warrants a significant increase from the base forfeiture amount.  H</w:t>
      </w:r>
      <w:r w:rsidR="0065403A">
        <w:t>er</w:t>
      </w:r>
      <w:r w:rsidR="007F5717">
        <w:t xml:space="preserve">e, we find that the </w:t>
      </w:r>
      <w:r w:rsidR="001C1D6F">
        <w:t>nature of the violation</w:t>
      </w:r>
      <w:r w:rsidR="00AE558F">
        <w:t>,</w:t>
      </w:r>
      <w:r w:rsidR="001C1D6F">
        <w:t xml:space="preserve"> </w:t>
      </w:r>
      <w:r w:rsidR="00F04667">
        <w:t xml:space="preserve">and </w:t>
      </w:r>
      <w:r w:rsidR="002345CC">
        <w:t xml:space="preserve">the </w:t>
      </w:r>
      <w:r w:rsidR="00B17599">
        <w:t xml:space="preserve">Licensee’s </w:t>
      </w:r>
      <w:r w:rsidR="002345CC">
        <w:t>degree of culpability</w:t>
      </w:r>
      <w:r w:rsidR="00F04667">
        <w:t xml:space="preserve"> </w:t>
      </w:r>
      <w:r w:rsidR="00AF2730">
        <w:t>and ability to pay</w:t>
      </w:r>
      <w:r w:rsidR="002345CC">
        <w:t xml:space="preserve"> justify a significant upward adjustment of the $7,000 base forfeiture amount</w:t>
      </w:r>
      <w:r w:rsidR="00517ACB">
        <w:t xml:space="preserve">.  </w:t>
      </w:r>
      <w:r w:rsidR="003A0BAE" w:rsidRPr="00092A07">
        <w:t>Based on our consideration of all the applicable factors set forth in Section 50</w:t>
      </w:r>
      <w:r w:rsidR="00852109">
        <w:t>3(b)(2)(E) and Section 1.80(b)(8</w:t>
      </w:r>
      <w:r w:rsidR="003A0BAE" w:rsidRPr="00092A07">
        <w:t xml:space="preserve">), as described below, we propose the statutory maximum of $325,000.  </w:t>
      </w:r>
    </w:p>
    <w:p w14:paraId="1E92A873" w14:textId="38116CCF" w:rsidR="00D81545" w:rsidRDefault="00D27EC8" w:rsidP="00260AFF">
      <w:pPr>
        <w:pStyle w:val="ParaNum"/>
      </w:pPr>
      <w:r>
        <w:t>As detailed herein</w:t>
      </w:r>
      <w:r w:rsidR="001C1D6F">
        <w:t xml:space="preserve">, the nature of </w:t>
      </w:r>
      <w:r>
        <w:t xml:space="preserve">WDBJ’s apparent violation </w:t>
      </w:r>
      <w:r w:rsidR="007F12B9">
        <w:t>—</w:t>
      </w:r>
      <w:r w:rsidR="001C1D6F">
        <w:t xml:space="preserve">the </w:t>
      </w:r>
      <w:r w:rsidR="00F20694">
        <w:t xml:space="preserve">patently offensive </w:t>
      </w:r>
      <w:r w:rsidR="001C1D6F">
        <w:t xml:space="preserve">depiction of graphic and explicit sexual material </w:t>
      </w:r>
      <w:r w:rsidR="00E4766A">
        <w:t xml:space="preserve">obtained by the Station </w:t>
      </w:r>
      <w:r w:rsidR="001C1D6F">
        <w:t>from a</w:t>
      </w:r>
      <w:r w:rsidR="00E4766A">
        <w:t>n adult film</w:t>
      </w:r>
      <w:r w:rsidR="007F12B9">
        <w:t xml:space="preserve"> website —</w:t>
      </w:r>
      <w:r w:rsidR="00D81545">
        <w:t xml:space="preserve"> is extreme and grave enough to </w:t>
      </w:r>
      <w:r w:rsidR="00E93BC5">
        <w:t>warrant a</w:t>
      </w:r>
      <w:r w:rsidR="001C1D6F">
        <w:t xml:space="preserve"> significant increase from the $7,000 base forfeiture amount.  </w:t>
      </w:r>
      <w:r w:rsidR="00A328C5">
        <w:t xml:space="preserve">The </w:t>
      </w:r>
      <w:r w:rsidR="00260AFF">
        <w:t>material that WDBJ broadcast was extremely graphic, le</w:t>
      </w:r>
      <w:r w:rsidR="002345CC">
        <w:t>wd, and offensive</w:t>
      </w:r>
      <w:r w:rsidR="00A328C5">
        <w:t>, and this action heightens the gravity of the violation and justifies a higher forfeiture</w:t>
      </w:r>
      <w:r w:rsidR="002345CC">
        <w:t xml:space="preserve">. </w:t>
      </w:r>
      <w:r w:rsidR="00C03685">
        <w:t xml:space="preserve"> </w:t>
      </w:r>
      <w:r w:rsidR="00F04667">
        <w:t xml:space="preserve">The </w:t>
      </w:r>
      <w:r w:rsidR="00BF086C">
        <w:t xml:space="preserve">video </w:t>
      </w:r>
      <w:r w:rsidR="00F04667">
        <w:t>clip</w:t>
      </w:r>
      <w:r w:rsidR="00BF086C">
        <w:t xml:space="preserve"> that accompanied the screen shots of the former </w:t>
      </w:r>
      <w:r w:rsidR="00E4766A">
        <w:t xml:space="preserve">adult </w:t>
      </w:r>
      <w:r w:rsidR="00BF086C">
        <w:t>film star</w:t>
      </w:r>
      <w:r w:rsidR="00F04667">
        <w:t xml:space="preserve"> depicted </w:t>
      </w:r>
      <w:r w:rsidR="00BF086C">
        <w:t xml:space="preserve">not only </w:t>
      </w:r>
      <w:r w:rsidR="00F04667">
        <w:t>n</w:t>
      </w:r>
      <w:r w:rsidR="00C03685">
        <w:t>udity</w:t>
      </w:r>
      <w:r w:rsidR="00BF086C">
        <w:t xml:space="preserve"> but also graphic </w:t>
      </w:r>
      <w:r w:rsidR="00C03685">
        <w:t>sexual activity</w:t>
      </w:r>
      <w:r w:rsidR="00F04667">
        <w:t xml:space="preserve"> during a program that was broadcast when </w:t>
      </w:r>
      <w:r w:rsidR="00BF086C">
        <w:t xml:space="preserve">there was a reasonable risk that </w:t>
      </w:r>
      <w:r w:rsidR="00F04667">
        <w:t>children were likely to be in the audience</w:t>
      </w:r>
      <w:r w:rsidR="00BF086C">
        <w:t>, and</w:t>
      </w:r>
      <w:r w:rsidR="000763D2">
        <w:t>, as set forth in one C</w:t>
      </w:r>
      <w:r w:rsidR="00BF086C">
        <w:t xml:space="preserve">omplaint, were in </w:t>
      </w:r>
      <w:r w:rsidR="009D3A42">
        <w:t xml:space="preserve">fact in </w:t>
      </w:r>
      <w:r w:rsidR="00BF086C">
        <w:t>the audience</w:t>
      </w:r>
      <w:r w:rsidR="00F04667">
        <w:t>.</w:t>
      </w:r>
      <w:r w:rsidR="00517ACB">
        <w:rPr>
          <w:rStyle w:val="FootnoteReference"/>
        </w:rPr>
        <w:footnoteReference w:id="88"/>
      </w:r>
      <w:r w:rsidR="00C03685">
        <w:t xml:space="preserve"> </w:t>
      </w:r>
      <w:r w:rsidR="002345CC">
        <w:t xml:space="preserve"> </w:t>
      </w:r>
    </w:p>
    <w:p w14:paraId="7B551227" w14:textId="2E3D421F" w:rsidR="00661783" w:rsidRPr="00661783" w:rsidRDefault="00661783" w:rsidP="00661783">
      <w:pPr>
        <w:pStyle w:val="ParaNum"/>
      </w:pPr>
      <w:r w:rsidRPr="00661783">
        <w:t>With respect to the Licensee’s ability to pay, we note that WDBJ’s parent, Schurz Communications, Inc. (Schurz), is a diversified privately-owned, nationwide communications company.</w:t>
      </w:r>
      <w:r w:rsidR="005E0E55">
        <w:rPr>
          <w:rStyle w:val="FootnoteReference"/>
        </w:rPr>
        <w:footnoteReference w:id="89"/>
      </w:r>
      <w:r w:rsidRPr="00661783">
        <w:t xml:space="preserve">  In addition to publishing a number of daily and weekly newspapers with a combined circulation of nearly 225,000, Schurz has, among other holdings, 10 television stations, is the licensee of 13 radio stations, and owns three cable companies.</w:t>
      </w:r>
      <w:r w:rsidR="005E0E55">
        <w:rPr>
          <w:rStyle w:val="FootnoteReference"/>
        </w:rPr>
        <w:footnoteReference w:id="90"/>
      </w:r>
      <w:r w:rsidR="005E0E55">
        <w:t xml:space="preserve">  </w:t>
      </w:r>
      <w:r w:rsidRPr="00661783">
        <w:t xml:space="preserve">Schurz had reported annual sales </w:t>
      </w:r>
      <w:r w:rsidR="00852109">
        <w:t xml:space="preserve">revenues </w:t>
      </w:r>
      <w:r w:rsidRPr="00661783">
        <w:t>of $127,700,000 in 2013.</w:t>
      </w:r>
      <w:r w:rsidR="005E0E55">
        <w:rPr>
          <w:rStyle w:val="FootnoteReference"/>
        </w:rPr>
        <w:footnoteReference w:id="91"/>
      </w:r>
      <w:r w:rsidRPr="00661783">
        <w:t xml:space="preserve">  As the Commission made clear in the Forfeiture Policy Statement, large or highly profitable communications entities such as Schurz may expect the imposition of forfeitures well above the base amounts in order to deter behavior that violates the Act, the Rules, and other statutory provisions, such as 18 U.S.C. §1464, over which the Commission has civil enforcement authority.</w:t>
      </w:r>
      <w:r w:rsidR="00F93D62">
        <w:rPr>
          <w:rStyle w:val="FootnoteReference"/>
        </w:rPr>
        <w:footnoteReference w:id="92"/>
      </w:r>
      <w:r w:rsidRPr="00661783">
        <w:t xml:space="preserve">    </w:t>
      </w:r>
    </w:p>
    <w:p w14:paraId="09A652DD" w14:textId="68603EAC" w:rsidR="00661783" w:rsidRPr="00661783" w:rsidRDefault="00661783" w:rsidP="00852109">
      <w:pPr>
        <w:pStyle w:val="ParaNum"/>
        <w:widowControl/>
      </w:pPr>
      <w:r w:rsidRPr="00661783">
        <w:t xml:space="preserve">We also consider WDBJ to be sufficiently culpable to support a forfeiture.  As discussed above, WDBJ broadcast material obtained from an online video distributor of </w:t>
      </w:r>
      <w:r w:rsidR="00D436A3">
        <w:t>adult films</w:t>
      </w:r>
      <w:r w:rsidR="00D436A3" w:rsidRPr="00661783">
        <w:t xml:space="preserve"> </w:t>
      </w:r>
      <w:r w:rsidRPr="00661783">
        <w:t>but failed to take adequate precautions to prevent the broadcast of indecent material when it knew, or should have known, that its editing equipment at the time of the apparent violation did not permit full screen review of material intended for broadcast.</w:t>
      </w:r>
      <w:r w:rsidR="003F0430">
        <w:t xml:space="preserve">  In addition, the indecent material was plainly visible to the Station employee who downloaded it; he simply didn’t notice it and transmitted it to Station editors who reviewed the story before it was broadcast.</w:t>
      </w:r>
      <w:r w:rsidR="00101BE4">
        <w:rPr>
          <w:rStyle w:val="FootnoteReference"/>
        </w:rPr>
        <w:footnoteReference w:id="93"/>
      </w:r>
      <w:r w:rsidR="003F0430">
        <w:t xml:space="preserve">  </w:t>
      </w:r>
      <w:r w:rsidRPr="00661783">
        <w:t xml:space="preserve">  </w:t>
      </w:r>
    </w:p>
    <w:p w14:paraId="4CC5A2F4" w14:textId="229B3EA7" w:rsidR="009278A6" w:rsidRDefault="009278A6" w:rsidP="009278A6">
      <w:pPr>
        <w:pStyle w:val="ParaNum"/>
      </w:pPr>
      <w:r>
        <w:t xml:space="preserve">In calculating the appropriate forfeiture, we also consider the Licensee’s past compliance record and find, on balance, that we should not reduce or aggravate on that basis.  We found nothing in the record or in </w:t>
      </w:r>
      <w:r w:rsidR="00185236">
        <w:t>the Licensee’s</w:t>
      </w:r>
      <w:r>
        <w:t xml:space="preserve"> prior history of violations or compliance</w:t>
      </w:r>
      <w:r>
        <w:rPr>
          <w:rStyle w:val="FootnoteReference"/>
        </w:rPr>
        <w:footnoteReference w:id="94"/>
      </w:r>
      <w:r>
        <w:t xml:space="preserve"> sufficient to reduce the proposed forfeiture amount based on this factor.</w:t>
      </w:r>
      <w:r>
        <w:rPr>
          <w:rStyle w:val="FootnoteReference"/>
        </w:rPr>
        <w:footnoteReference w:id="95"/>
      </w:r>
      <w:r>
        <w:t xml:space="preserve">  </w:t>
      </w:r>
    </w:p>
    <w:p w14:paraId="55094D18" w14:textId="38BF4CE2" w:rsidR="0042759F" w:rsidRDefault="00A328C5" w:rsidP="00083DB1">
      <w:pPr>
        <w:pStyle w:val="ParaNum"/>
      </w:pPr>
      <w:r>
        <w:t xml:space="preserve">Similarly, we also </w:t>
      </w:r>
      <w:r w:rsidR="00DF0F0B">
        <w:t>consider whether</w:t>
      </w:r>
      <w:r w:rsidR="00517ACB">
        <w:t xml:space="preserve"> the Licensee’s allegedly</w:t>
      </w:r>
      <w:r w:rsidR="00DF0F0B">
        <w:t xml:space="preserve"> remedial measures should reduce the forfeiture amount</w:t>
      </w:r>
      <w:r w:rsidR="00D47011">
        <w:t>.</w:t>
      </w:r>
      <w:r w:rsidR="00D47011">
        <w:rPr>
          <w:rStyle w:val="FootnoteReference"/>
        </w:rPr>
        <w:footnoteReference w:id="96"/>
      </w:r>
      <w:r w:rsidR="00D47011">
        <w:t xml:space="preserve">  Based on the totality of the circumstances, we determine that no such reduction is warranted.</w:t>
      </w:r>
      <w:r w:rsidR="00DF0F0B">
        <w:t xml:space="preserve"> </w:t>
      </w:r>
      <w:r w:rsidR="00587322">
        <w:t xml:space="preserve"> </w:t>
      </w:r>
      <w:r w:rsidR="00DF0F0B">
        <w:t>WDBJ asserts that</w:t>
      </w:r>
      <w:r w:rsidR="00241BB0">
        <w:t xml:space="preserve"> it “has reviewed story editing procedures with newsroom staff and has instituted controls to make sure that all parts of the visible picture in news stories including potentially offensive material are reviewed in advance of broadcast to make sure that inappropriate images are not unintentionally included in a news story.”</w:t>
      </w:r>
      <w:r w:rsidR="00241BB0">
        <w:rPr>
          <w:rStyle w:val="FootnoteReference"/>
        </w:rPr>
        <w:footnoteReference w:id="97"/>
      </w:r>
      <w:r w:rsidR="00083DB1">
        <w:t xml:space="preserve"> </w:t>
      </w:r>
      <w:r w:rsidR="00241BB0">
        <w:t xml:space="preserve"> </w:t>
      </w:r>
      <w:r w:rsidR="001269A4">
        <w:t>WDBJ was unclear on whether it took such measures before or after our investigation</w:t>
      </w:r>
      <w:r w:rsidR="00D47011">
        <w:t>, the nature of the “controls” it instituted</w:t>
      </w:r>
      <w:r w:rsidR="001269A4">
        <w:t xml:space="preserve">, </w:t>
      </w:r>
      <w:r>
        <w:t>and whether it continues to rely on staff or upgraded its equipment</w:t>
      </w:r>
      <w:r w:rsidR="00D47011">
        <w:t>.  Regardless</w:t>
      </w:r>
      <w:r>
        <w:t xml:space="preserve">, </w:t>
      </w:r>
      <w:r w:rsidR="001269A4">
        <w:t>we determine that t</w:t>
      </w:r>
      <w:r>
        <w:t>he listed</w:t>
      </w:r>
      <w:r w:rsidR="001269A4">
        <w:t xml:space="preserve"> measures are insufficient to </w:t>
      </w:r>
      <w:r w:rsidR="00D47011">
        <w:t>warrant a reduction of</w:t>
      </w:r>
      <w:r w:rsidR="001269A4">
        <w:t xml:space="preserve"> the </w:t>
      </w:r>
      <w:r>
        <w:t>forfeiture amount</w:t>
      </w:r>
      <w:r w:rsidR="00083DB1">
        <w:t>.</w:t>
      </w:r>
      <w:r w:rsidR="00083DB1">
        <w:rPr>
          <w:rStyle w:val="FootnoteReference"/>
        </w:rPr>
        <w:footnoteReference w:id="98"/>
      </w:r>
      <w:r w:rsidR="00DF0F0B">
        <w:t xml:space="preserve"> </w:t>
      </w:r>
      <w:r w:rsidR="00083DB1">
        <w:t xml:space="preserve"> </w:t>
      </w:r>
    </w:p>
    <w:p w14:paraId="60DF857B" w14:textId="69A5A8B3" w:rsidR="00D47B88" w:rsidRDefault="00D300D1" w:rsidP="00D47B88">
      <w:pPr>
        <w:pStyle w:val="ParaNum"/>
      </w:pPr>
      <w:r>
        <w:t>Finally, w</w:t>
      </w:r>
      <w:r w:rsidR="00D47B88">
        <w:t xml:space="preserve">e </w:t>
      </w:r>
      <w:r w:rsidR="00DC2789">
        <w:t>recognize that Congress in the Broadcast Decency Enforcement Act increased the maximum forfeiture for violation of the indecency laws in order to increase and strengthen the Commission’s enforcement authority in light of concerns that the</w:t>
      </w:r>
      <w:r w:rsidR="0059253D">
        <w:t xml:space="preserve"> statutory maximum</w:t>
      </w:r>
      <w:r w:rsidR="00476422">
        <w:t xml:space="preserve"> formerly</w:t>
      </w:r>
      <w:r w:rsidR="0059253D">
        <w:t xml:space="preserve"> in effect</w:t>
      </w:r>
      <w:r w:rsidR="00DC2789">
        <w:t xml:space="preserve"> was not a sufficient deterrent to broadcasting indecent material.</w:t>
      </w:r>
      <w:r w:rsidR="00DC2789">
        <w:rPr>
          <w:rStyle w:val="FootnoteReference"/>
        </w:rPr>
        <w:footnoteReference w:id="99"/>
      </w:r>
      <w:r w:rsidR="00EB4AF0">
        <w:t xml:space="preserve">  We have taken these </w:t>
      </w:r>
      <w:r w:rsidR="002603C7">
        <w:t>c</w:t>
      </w:r>
      <w:r w:rsidR="00EB4AF0">
        <w:t>ongressional concerns into account in determining the level of forfeiture</w:t>
      </w:r>
      <w:r w:rsidR="00BF645D">
        <w:t xml:space="preserve"> to pr</w:t>
      </w:r>
      <w:r w:rsidR="00476422">
        <w:t xml:space="preserve">opose against WDBJ here.  </w:t>
      </w:r>
      <w:r w:rsidR="002457BA">
        <w:t>Therefore</w:t>
      </w:r>
      <w:r w:rsidR="00FA5828">
        <w:t>,</w:t>
      </w:r>
      <w:r>
        <w:t xml:space="preserve"> while we recognize and affirm the Commission’s overall restrained approach to indecency enforcement,</w:t>
      </w:r>
      <w:r>
        <w:rPr>
          <w:rStyle w:val="FootnoteReference"/>
        </w:rPr>
        <w:footnoteReference w:id="100"/>
      </w:r>
      <w:r>
        <w:t xml:space="preserve"> </w:t>
      </w:r>
      <w:r w:rsidR="002457BA">
        <w:t>for</w:t>
      </w:r>
      <w:r w:rsidR="002603C7">
        <w:t xml:space="preserve"> the reasons stated above</w:t>
      </w:r>
      <w:r w:rsidR="00463026">
        <w:t xml:space="preserve">, </w:t>
      </w:r>
      <w:r w:rsidR="00476422">
        <w:t xml:space="preserve">including the gravity of the violation, WDBJ’s ability to pay </w:t>
      </w:r>
      <w:r w:rsidR="008B487A">
        <w:t xml:space="preserve">and culpability, </w:t>
      </w:r>
      <w:r w:rsidR="00476422">
        <w:t xml:space="preserve">and other factors described herein, </w:t>
      </w:r>
      <w:r w:rsidR="00EB4AF0">
        <w:t xml:space="preserve">we find that a proposed forfeiture in the amount of </w:t>
      </w:r>
      <w:r w:rsidR="00C62665">
        <w:t>three</w:t>
      </w:r>
      <w:r w:rsidR="00EB4AF0">
        <w:t xml:space="preserve"> hundred </w:t>
      </w:r>
      <w:r w:rsidR="00C62665">
        <w:t>twenty-five</w:t>
      </w:r>
      <w:r w:rsidR="004666B9">
        <w:t xml:space="preserve"> </w:t>
      </w:r>
      <w:r w:rsidR="00EB4AF0">
        <w:t>thousand</w:t>
      </w:r>
      <w:r w:rsidR="007D59E8">
        <w:t xml:space="preserve"> dollars</w:t>
      </w:r>
      <w:r w:rsidR="00EB4AF0">
        <w:t xml:space="preserve"> </w:t>
      </w:r>
      <w:r w:rsidR="00C62665">
        <w:t>($325</w:t>
      </w:r>
      <w:r w:rsidR="004666B9">
        <w:t>,0</w:t>
      </w:r>
      <w:r w:rsidR="00EB4AF0">
        <w:t xml:space="preserve">00) is appropriate.  </w:t>
      </w:r>
      <w:r w:rsidR="00DC2789">
        <w:t xml:space="preserve"> </w:t>
      </w:r>
      <w:r w:rsidR="00EB4AF0">
        <w:t xml:space="preserve"> </w:t>
      </w:r>
    </w:p>
    <w:p w14:paraId="7A10B1DF" w14:textId="1C3A8F65" w:rsidR="00260AFF" w:rsidRDefault="00260AFF" w:rsidP="00946874">
      <w:pPr>
        <w:pStyle w:val="Heading1"/>
      </w:pPr>
      <w:r>
        <w:t>ORDERING CLAUSES</w:t>
      </w:r>
    </w:p>
    <w:p w14:paraId="6D84B151" w14:textId="2D30446E" w:rsidR="00260AFF" w:rsidRDefault="00260AFF" w:rsidP="00260AFF">
      <w:pPr>
        <w:pStyle w:val="ParaNum"/>
      </w:pPr>
      <w:r>
        <w:t xml:space="preserve">Accordingly, </w:t>
      </w:r>
      <w:r w:rsidRPr="00260AFF">
        <w:rPr>
          <w:b/>
        </w:rPr>
        <w:t>IT IS ORDERED</w:t>
      </w:r>
      <w:r w:rsidR="006704F1">
        <w:t xml:space="preserve"> that,</w:t>
      </w:r>
      <w:r w:rsidR="002345CC">
        <w:t xml:space="preserve"> pursuant to Section 503(b) of the Act and Section 1.80 of</w:t>
      </w:r>
      <w:r w:rsidR="006704F1">
        <w:t xml:space="preserve"> the Rules, WDBJ Television, Inc. is hereby </w:t>
      </w:r>
      <w:r w:rsidR="006704F1" w:rsidRPr="006704F1">
        <w:rPr>
          <w:b/>
        </w:rPr>
        <w:t>NOTIFIED</w:t>
      </w:r>
      <w:r w:rsidR="006704F1">
        <w:t xml:space="preserve"> of its </w:t>
      </w:r>
      <w:r w:rsidR="006704F1" w:rsidRPr="006704F1">
        <w:rPr>
          <w:b/>
        </w:rPr>
        <w:t>APPARENT LIABILITY FOR A FORFEITURE</w:t>
      </w:r>
      <w:r w:rsidR="006704F1">
        <w:t xml:space="preserve"> in the amount of </w:t>
      </w:r>
      <w:r w:rsidR="00C62665">
        <w:t>three</w:t>
      </w:r>
      <w:r w:rsidR="000A3BF8">
        <w:t xml:space="preserve"> hundred </w:t>
      </w:r>
      <w:r w:rsidR="00C62665">
        <w:t>twenty-five</w:t>
      </w:r>
      <w:r w:rsidR="009278A6">
        <w:t xml:space="preserve"> </w:t>
      </w:r>
      <w:r w:rsidR="006704F1">
        <w:t>thousand dollars ($</w:t>
      </w:r>
      <w:r w:rsidR="00C62665">
        <w:t>325</w:t>
      </w:r>
      <w:r w:rsidR="004666B9">
        <w:t>,0</w:t>
      </w:r>
      <w:r w:rsidR="006704F1">
        <w:t xml:space="preserve">00) for </w:t>
      </w:r>
      <w:r w:rsidR="007F5717">
        <w:t>its apparent willful</w:t>
      </w:r>
      <w:r w:rsidR="006704F1">
        <w:t xml:space="preserve"> violation of 18 U.S.C. §</w:t>
      </w:r>
      <w:r w:rsidR="00CD11A0">
        <w:t xml:space="preserve"> </w:t>
      </w:r>
      <w:r w:rsidR="006704F1">
        <w:t>1464 and Section 73.3999 of the Rules.</w:t>
      </w:r>
      <w:r w:rsidR="006704F1">
        <w:rPr>
          <w:rStyle w:val="FootnoteReference"/>
        </w:rPr>
        <w:footnoteReference w:id="101"/>
      </w:r>
      <w:r w:rsidR="002345CC">
        <w:t xml:space="preserve"> </w:t>
      </w:r>
    </w:p>
    <w:p w14:paraId="169373A1" w14:textId="28612106" w:rsidR="006704F1" w:rsidRDefault="006704F1" w:rsidP="00260AFF">
      <w:pPr>
        <w:pStyle w:val="ParaNum"/>
      </w:pPr>
      <w:r w:rsidRPr="006704F1">
        <w:rPr>
          <w:b/>
        </w:rPr>
        <w:t>IT IS FURTHER ORDERED</w:t>
      </w:r>
      <w:r>
        <w:rPr>
          <w:b/>
        </w:rPr>
        <w:t xml:space="preserve"> </w:t>
      </w:r>
      <w:r w:rsidRPr="006704F1">
        <w:t>that</w:t>
      </w:r>
      <w:r>
        <w:t xml:space="preserve">, pursuant to Section 1.80 of the Rules within thirty days of the release date of this Notice of Apparent Liability for Forfeiture, WDBJ Television, Inc. </w:t>
      </w:r>
      <w:r w:rsidRPr="004B7BAF">
        <w:rPr>
          <w:b/>
        </w:rPr>
        <w:t>SHALL PAY</w:t>
      </w:r>
      <w:r>
        <w:t xml:space="preserve"> the full amount of the proposed forfeiture or </w:t>
      </w:r>
      <w:r w:rsidRPr="004B7BAF">
        <w:rPr>
          <w:b/>
        </w:rPr>
        <w:t>SHALL FILE</w:t>
      </w:r>
      <w:r>
        <w:t xml:space="preserve"> a written statement seeking reduction or cancellation of the proposed forfeiture.</w:t>
      </w:r>
      <w:r w:rsidR="00CD11A0">
        <w:rPr>
          <w:rStyle w:val="FootnoteReference"/>
        </w:rPr>
        <w:footnoteReference w:id="102"/>
      </w:r>
    </w:p>
    <w:p w14:paraId="31C79D10" w14:textId="097648BC" w:rsidR="004B7BAF" w:rsidRPr="004B7BAF" w:rsidRDefault="004B7BAF" w:rsidP="004B7BAF">
      <w:pPr>
        <w:pStyle w:val="ParaNum"/>
      </w:pPr>
      <w:r>
        <w:t>P</w:t>
      </w:r>
      <w:r w:rsidRPr="004B7BAF">
        <w:t xml:space="preserve">ayment of the forfeiture must be made by check or similar instrument, wire transfer, or credit card, and must include the NAL/Account Number and FRN referenced above.  </w:t>
      </w:r>
      <w:r w:rsidR="00B37861">
        <w:t xml:space="preserve">WDBJ Television, Inc. shall send electronic notification of the payment to </w:t>
      </w:r>
      <w:r w:rsidR="00B37861" w:rsidRPr="00B37861">
        <w:t>Jeffrey.Gee@fcc.gov</w:t>
      </w:r>
      <w:r w:rsidR="00B37861">
        <w:t xml:space="preserve">, </w:t>
      </w:r>
      <w:r w:rsidR="00F7578D">
        <w:t xml:space="preserve"> </w:t>
      </w:r>
      <w:r w:rsidR="009E2B8B">
        <w:t>Kenneth.Scheibel</w:t>
      </w:r>
      <w:r w:rsidR="00B37861" w:rsidRPr="00B37861">
        <w:t>@fcc.gov</w:t>
      </w:r>
      <w:r w:rsidR="00467F54">
        <w:t>,</w:t>
      </w:r>
      <w:r w:rsidR="00B37861">
        <w:t xml:space="preserve"> and </w:t>
      </w:r>
      <w:r w:rsidR="00CD11A0" w:rsidRPr="00CD11A0">
        <w:t>Melanie.Godschall@fcc.gov</w:t>
      </w:r>
      <w:r w:rsidR="00CD11A0">
        <w:t xml:space="preserve"> on the date said payment is made</w:t>
      </w:r>
      <w:r w:rsidR="00B37861">
        <w:t xml:space="preserve">.  </w:t>
      </w:r>
      <w:r w:rsidRPr="004B7BAF">
        <w:t>Regardless of the form of payment, a completed FCC Form 159 (Remittance Advice) must be submitted.</w:t>
      </w:r>
      <w:r w:rsidRPr="004B7BAF">
        <w:rPr>
          <w:vertAlign w:val="superscript"/>
        </w:rPr>
        <w:footnoteReference w:id="103"/>
      </w:r>
      <w:r w:rsidRPr="004B7BAF">
        <w:t xml:space="preserve">  When completing the FCC Form 159, enter the Account Number in block number 23A (call sign/other ID) and enter the letters “FORF” in block n</w:t>
      </w:r>
      <w:r w:rsidR="00CD11A0">
        <w:t>umber 24A (payment type code). </w:t>
      </w:r>
      <w:r w:rsidRPr="004B7BAF">
        <w:t>Below are additional instructions you should follow based on the form of payment you select:</w:t>
      </w:r>
    </w:p>
    <w:p w14:paraId="51E143C8" w14:textId="77777777" w:rsidR="004B7BAF" w:rsidRPr="004B7BAF" w:rsidRDefault="004B7BAF" w:rsidP="004B7BAF">
      <w:pPr>
        <w:widowControl/>
        <w:numPr>
          <w:ilvl w:val="0"/>
          <w:numId w:val="7"/>
        </w:numPr>
        <w:spacing w:after="120"/>
      </w:pPr>
      <w:r w:rsidRPr="004B7BAF">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49F228BF" w14:textId="77777777" w:rsidR="004B7BAF" w:rsidRPr="004B7BAF" w:rsidRDefault="004B7BAF" w:rsidP="004B7BAF">
      <w:pPr>
        <w:widowControl/>
        <w:numPr>
          <w:ilvl w:val="0"/>
          <w:numId w:val="7"/>
        </w:numPr>
        <w:spacing w:after="120"/>
      </w:pPr>
      <w:r w:rsidRPr="004B7BAF">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6A120019" w14:textId="12A53186" w:rsidR="004B7BAF" w:rsidRPr="004B7BAF" w:rsidRDefault="004B7BAF" w:rsidP="004B7BAF">
      <w:pPr>
        <w:widowControl/>
        <w:numPr>
          <w:ilvl w:val="0"/>
          <w:numId w:val="7"/>
        </w:numPr>
        <w:spacing w:after="120"/>
      </w:pPr>
      <w:r w:rsidRPr="004B7BAF">
        <w:t>Payment by credit card must be made by providing the required credit card information on FCC Form 159 and signing and dating the Form 159 to aut</w:t>
      </w:r>
      <w:r w:rsidR="00CD11A0">
        <w:t>horize the credit card payment.</w:t>
      </w:r>
      <w:r w:rsidRPr="004B7BAF">
        <w:t xml:space="preserve">  The completed Form 159 must then be mailed to Federal Communications Commission, P.O. Box 979088, St. Louis, MO 63197-9000, or sent via overnight mail to U.S. Bank – Government Lockbox #979088, SL-MO-C2-GL, 1005 Convention Plaza, St. Louis, MO 63101. </w:t>
      </w:r>
    </w:p>
    <w:p w14:paraId="4F9AC1AE" w14:textId="77777777" w:rsidR="006704F1" w:rsidRDefault="004B7BAF" w:rsidP="00260AFF">
      <w:pPr>
        <w:pStyle w:val="ParaNum"/>
      </w:pPr>
      <w:r>
        <w:t xml:space="preserve">Any request for making full payment over time under an installment plan should be sent to:  Chief Financial Officer </w:t>
      </w:r>
      <w:r w:rsidR="00B37861">
        <w:t>—Financial Operations, Federal Communications Commission, 445 12</w:t>
      </w:r>
      <w:r w:rsidR="00B37861" w:rsidRPr="00B37861">
        <w:rPr>
          <w:vertAlign w:val="superscript"/>
        </w:rPr>
        <w:t>th</w:t>
      </w:r>
      <w:r w:rsidR="00B37861">
        <w:t xml:space="preserve"> Street, S.W., Room 1-A625, Washington, D.C.  20554.</w:t>
      </w:r>
      <w:r w:rsidR="00B37861">
        <w:rPr>
          <w:rStyle w:val="FootnoteReference"/>
        </w:rPr>
        <w:footnoteReference w:id="104"/>
      </w:r>
      <w:r w:rsidR="00B37861">
        <w:t xml:space="preserve">  If you have questions regarding payment procedures, please contact the Financial Operations Group Help Desk by phone, 1-877-480-3201, or by e-mail, </w:t>
      </w:r>
      <w:r w:rsidR="00B37861" w:rsidRPr="00B37861">
        <w:t>ARINQUIRIES@fcc.gov</w:t>
      </w:r>
      <w:r w:rsidR="00B37861">
        <w:t xml:space="preserve">.  </w:t>
      </w:r>
    </w:p>
    <w:p w14:paraId="7F05210D" w14:textId="52C0764F" w:rsidR="00B37861" w:rsidRDefault="00B37861" w:rsidP="00260AFF">
      <w:pPr>
        <w:pStyle w:val="ParaNum"/>
      </w:pPr>
      <w:r>
        <w:t>The written statement seeking reduction or cancellation of the proposed forfeiture if any, must include a detailed factual statement supported by appropriate documentation and affidavits pursuant to Section</w:t>
      </w:r>
      <w:r w:rsidR="00E4766A">
        <w:t>s</w:t>
      </w:r>
      <w:r>
        <w:t xml:space="preserve"> 1.16 and 1.80(f)(3) of the Rules.</w:t>
      </w:r>
      <w:r>
        <w:rPr>
          <w:rStyle w:val="FootnoteReference"/>
        </w:rPr>
        <w:footnoteReference w:id="105"/>
      </w:r>
      <w:r>
        <w:t xml:space="preserve">  Mail the written statement to </w:t>
      </w:r>
      <w:r w:rsidR="009E2B8B">
        <w:t>Jeffrey J. Gee</w:t>
      </w:r>
      <w:r>
        <w:t xml:space="preserve">, </w:t>
      </w:r>
      <w:r w:rsidR="009E2B8B">
        <w:t xml:space="preserve">Acting </w:t>
      </w:r>
      <w:r>
        <w:t xml:space="preserve">Chief, Investigations and Hearings Division, </w:t>
      </w:r>
      <w:r w:rsidR="00467F54">
        <w:t xml:space="preserve">Enforcement Bureau, </w:t>
      </w:r>
      <w:r>
        <w:t>Federal</w:t>
      </w:r>
      <w:r w:rsidR="00467F54">
        <w:t xml:space="preserve"> Communications Commission, 445 12</w:t>
      </w:r>
      <w:r w:rsidR="00467F54" w:rsidRPr="00467F54">
        <w:rPr>
          <w:vertAlign w:val="superscript"/>
        </w:rPr>
        <w:t>th</w:t>
      </w:r>
      <w:r w:rsidR="00467F54">
        <w:t xml:space="preserve"> Street, S.W., Room 4C-330, W</w:t>
      </w:r>
      <w:r w:rsidR="00CD11A0">
        <w:t xml:space="preserve">ashington, D.C. 20554, and </w:t>
      </w:r>
      <w:r w:rsidR="00467F54">
        <w:t>include the NAL/Acct. No. referenced in the caption.  The statement should also be sent electronically to</w:t>
      </w:r>
      <w:r w:rsidR="00467F54" w:rsidRPr="00467F54">
        <w:t xml:space="preserve"> </w:t>
      </w:r>
      <w:r w:rsidR="00467F54" w:rsidRPr="00B37861">
        <w:t>Jeffrey.Gee@fcc.gov</w:t>
      </w:r>
      <w:r w:rsidR="00467F54">
        <w:t xml:space="preserve">, </w:t>
      </w:r>
      <w:r w:rsidR="009E2B8B">
        <w:t>Kenneth.Scheibel</w:t>
      </w:r>
      <w:r w:rsidR="00467F54" w:rsidRPr="00B37861">
        <w:t>@fcc.gov</w:t>
      </w:r>
      <w:r w:rsidR="00467F54">
        <w:t xml:space="preserve">, and </w:t>
      </w:r>
      <w:r w:rsidR="00467F54" w:rsidRPr="00B37861">
        <w:t>Melanie.Godschall@fcc.gov</w:t>
      </w:r>
      <w:r w:rsidR="00467F54">
        <w:t>.</w:t>
      </w:r>
      <w:r>
        <w:t xml:space="preserve"> </w:t>
      </w:r>
    </w:p>
    <w:p w14:paraId="02D1DEB2" w14:textId="0FD703C1" w:rsidR="00467F54" w:rsidRDefault="00467F54" w:rsidP="00260AFF">
      <w:pPr>
        <w:pStyle w:val="ParaNum"/>
      </w:pPr>
      <w:r>
        <w:t>The Commission will not consider reducing or canceling the forfeiture in response to a claim of inabilit</w:t>
      </w:r>
      <w:r w:rsidR="00B25C24">
        <w:t>y to pay unless t</w:t>
      </w:r>
      <w:r w:rsidR="006C3CDB">
        <w:t xml:space="preserve">he </w:t>
      </w:r>
      <w:r>
        <w:t>responde</w:t>
      </w:r>
      <w:r w:rsidR="00B25C24">
        <w:t>nt</w:t>
      </w:r>
      <w:r>
        <w:t xml:space="preserve"> submits:  (1) federal tax returns for the most recent three-year period; (2) financial statements prepared according to generally accepted accounting practices (GAAP); or (3) some other reliable and objective documentati</w:t>
      </w:r>
      <w:r w:rsidR="006C3CDB">
        <w:t xml:space="preserve">on that accurately reflects the </w:t>
      </w:r>
      <w:r w:rsidR="00B25C24">
        <w:t>respondent’s</w:t>
      </w:r>
      <w:r>
        <w:t xml:space="preserve"> current financial status.  Any claim of inability to pay must specifically identify the basis for the claim by reference to the financial documentation submitted.  </w:t>
      </w:r>
    </w:p>
    <w:p w14:paraId="48590697" w14:textId="77777777" w:rsidR="00774085" w:rsidRDefault="00774085" w:rsidP="00260AFF">
      <w:pPr>
        <w:pStyle w:val="ParaNum"/>
      </w:pPr>
      <w:r w:rsidRPr="00B17599">
        <w:rPr>
          <w:b/>
        </w:rPr>
        <w:t>IT IS FURTHER ORDERED</w:t>
      </w:r>
      <w:r>
        <w:t xml:space="preserve"> that the Complaints </w:t>
      </w:r>
      <w:r w:rsidRPr="00B17599">
        <w:rPr>
          <w:b/>
        </w:rPr>
        <w:t>ARE GRANTED</w:t>
      </w:r>
      <w:r>
        <w:t xml:space="preserve"> to the extent indicated herein and </w:t>
      </w:r>
      <w:r w:rsidRPr="00B17599">
        <w:rPr>
          <w:b/>
        </w:rPr>
        <w:t>ARE OTHERWISE DENIED</w:t>
      </w:r>
      <w:r>
        <w:t xml:space="preserve">, and the proceeding addressing the Complaints </w:t>
      </w:r>
      <w:r w:rsidRPr="00B17599">
        <w:rPr>
          <w:b/>
        </w:rPr>
        <w:t>IS HEREBY TERMINATED</w:t>
      </w:r>
      <w:r>
        <w:t>.</w:t>
      </w:r>
      <w:r>
        <w:rPr>
          <w:rStyle w:val="FootnoteReference"/>
        </w:rPr>
        <w:footnoteReference w:id="106"/>
      </w:r>
    </w:p>
    <w:p w14:paraId="1A5EA3FB" w14:textId="42894403" w:rsidR="00467F54" w:rsidRDefault="00467F54" w:rsidP="007751E5">
      <w:pPr>
        <w:pStyle w:val="ParaNum"/>
      </w:pPr>
      <w:r w:rsidRPr="0010215C">
        <w:rPr>
          <w:b/>
        </w:rPr>
        <w:t>IT IS FURTHER ORDERED</w:t>
      </w:r>
      <w:r>
        <w:t xml:space="preserve"> that a copy of this </w:t>
      </w:r>
      <w:r w:rsidRPr="0010215C">
        <w:rPr>
          <w:b/>
        </w:rPr>
        <w:t>Notice of Apparent Liability for Forfeiture</w:t>
      </w:r>
      <w:r>
        <w:t xml:space="preserve"> shall be sent by both Certified Mail, Return Receipt Requested, and first class mail, to WDBJ Television, Inc., 2807 Hershberger Road, Roanoke, Virginia  24017</w:t>
      </w:r>
      <w:r w:rsidR="00CD11A0">
        <w:t>,</w:t>
      </w:r>
      <w:r>
        <w:t xml:space="preserve"> and to </w:t>
      </w:r>
      <w:r w:rsidR="00774085">
        <w:t xml:space="preserve">its counsel, Jack N. Goodman, Esquire, Law Offices of Jack N. Goodman, 1200 New Hampshire Avenue, N.W., Suite 800, Washington, D.C. </w:t>
      </w:r>
      <w:r w:rsidR="0056497A">
        <w:t xml:space="preserve"> </w:t>
      </w:r>
      <w:r w:rsidR="00774085">
        <w:t>20036.</w:t>
      </w:r>
    </w:p>
    <w:p w14:paraId="1DDED6DA" w14:textId="77777777" w:rsidR="007751E5" w:rsidRDefault="007751E5" w:rsidP="0017296B">
      <w:r>
        <w:tab/>
      </w:r>
      <w:r>
        <w:tab/>
      </w:r>
      <w:r>
        <w:tab/>
      </w:r>
      <w:r>
        <w:tab/>
      </w:r>
      <w:r>
        <w:tab/>
      </w:r>
      <w:r>
        <w:tab/>
        <w:t>FEDERAL COMMUNICATIONS COMMISSION</w:t>
      </w:r>
    </w:p>
    <w:p w14:paraId="08E524D8" w14:textId="77777777" w:rsidR="007751E5" w:rsidRDefault="007751E5" w:rsidP="0017296B"/>
    <w:p w14:paraId="59C3160F" w14:textId="77777777" w:rsidR="007751E5" w:rsidRDefault="007751E5" w:rsidP="0017296B"/>
    <w:p w14:paraId="2C322201" w14:textId="77777777" w:rsidR="007751E5" w:rsidRDefault="007751E5" w:rsidP="0017296B"/>
    <w:p w14:paraId="1A4F5110" w14:textId="77777777" w:rsidR="007751E5" w:rsidRDefault="007751E5" w:rsidP="0017296B"/>
    <w:p w14:paraId="6FE59E56" w14:textId="77777777" w:rsidR="007751E5" w:rsidRDefault="007751E5" w:rsidP="0017296B">
      <w:r>
        <w:tab/>
      </w:r>
      <w:r>
        <w:tab/>
      </w:r>
      <w:r>
        <w:tab/>
      </w:r>
      <w:r>
        <w:tab/>
      </w:r>
      <w:r>
        <w:tab/>
      </w:r>
      <w:r>
        <w:tab/>
        <w:t>Marlene H. Dortch</w:t>
      </w:r>
    </w:p>
    <w:p w14:paraId="4794A8F8" w14:textId="13F72D0F" w:rsidR="00015DAB" w:rsidRDefault="007751E5" w:rsidP="0071585C">
      <w:r>
        <w:tab/>
      </w:r>
      <w:r>
        <w:tab/>
      </w:r>
      <w:r>
        <w:tab/>
      </w:r>
      <w:r>
        <w:tab/>
      </w:r>
      <w:r>
        <w:tab/>
      </w:r>
      <w:r>
        <w:tab/>
        <w:t>Secretary</w:t>
      </w:r>
    </w:p>
    <w:sectPr w:rsidR="00015DAB" w:rsidSect="00236D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C63D" w14:textId="77777777" w:rsidR="00AA38DB" w:rsidRDefault="00AA38DB">
      <w:pPr>
        <w:spacing w:line="20" w:lineRule="exact"/>
      </w:pPr>
    </w:p>
  </w:endnote>
  <w:endnote w:type="continuationSeparator" w:id="0">
    <w:p w14:paraId="536FF33B" w14:textId="77777777" w:rsidR="00AA38DB" w:rsidRDefault="00AA38DB">
      <w:r>
        <w:t xml:space="preserve"> </w:t>
      </w:r>
    </w:p>
  </w:endnote>
  <w:endnote w:type="continuationNotice" w:id="1">
    <w:p w14:paraId="240C3EC1" w14:textId="77777777" w:rsidR="00AA38DB" w:rsidRDefault="00AA38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2BDD" w14:textId="77777777" w:rsidR="001607A3" w:rsidRDefault="001607A3" w:rsidP="0055614C">
    <w:pPr>
      <w:pStyle w:val="Footer"/>
      <w:framePr w:wrap="around" w:vAnchor="text" w:hAnchor="margin" w:xAlign="center" w:y="1"/>
    </w:pPr>
    <w:r>
      <w:fldChar w:fldCharType="begin"/>
    </w:r>
    <w:r>
      <w:instrText xml:space="preserve">PAGE  </w:instrText>
    </w:r>
    <w:r>
      <w:fldChar w:fldCharType="end"/>
    </w:r>
  </w:p>
  <w:p w14:paraId="2A7A65E6" w14:textId="77777777" w:rsidR="001607A3" w:rsidRDefault="00160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2F29" w14:textId="77777777" w:rsidR="001607A3" w:rsidRDefault="001607A3" w:rsidP="0055614C">
    <w:pPr>
      <w:pStyle w:val="Footer"/>
      <w:framePr w:wrap="around" w:vAnchor="text" w:hAnchor="margin" w:xAlign="center" w:y="1"/>
    </w:pPr>
    <w:r>
      <w:fldChar w:fldCharType="begin"/>
    </w:r>
    <w:r>
      <w:instrText xml:space="preserve">PAGE  </w:instrText>
    </w:r>
    <w:r>
      <w:fldChar w:fldCharType="separate"/>
    </w:r>
    <w:r w:rsidR="005A6446">
      <w:rPr>
        <w:noProof/>
      </w:rPr>
      <w:t>15</w:t>
    </w:r>
    <w:r>
      <w:fldChar w:fldCharType="end"/>
    </w:r>
  </w:p>
  <w:p w14:paraId="39D1E530" w14:textId="77777777" w:rsidR="001607A3" w:rsidRDefault="001607A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E813" w14:textId="77777777" w:rsidR="001607A3" w:rsidRDefault="001607A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7A2A4" w14:textId="77777777" w:rsidR="00AA38DB" w:rsidRDefault="00AA38DB">
      <w:r>
        <w:separator/>
      </w:r>
    </w:p>
  </w:footnote>
  <w:footnote w:type="continuationSeparator" w:id="0">
    <w:p w14:paraId="746B9510" w14:textId="77777777" w:rsidR="00AA38DB" w:rsidRDefault="00AA38DB" w:rsidP="00C721AC">
      <w:pPr>
        <w:spacing w:before="120"/>
        <w:rPr>
          <w:sz w:val="20"/>
        </w:rPr>
      </w:pPr>
      <w:r>
        <w:rPr>
          <w:sz w:val="20"/>
        </w:rPr>
        <w:t xml:space="preserve">(Continued from previous page)  </w:t>
      </w:r>
      <w:r>
        <w:rPr>
          <w:sz w:val="20"/>
        </w:rPr>
        <w:separator/>
      </w:r>
    </w:p>
  </w:footnote>
  <w:footnote w:type="continuationNotice" w:id="1">
    <w:p w14:paraId="35ECBCAF" w14:textId="77777777" w:rsidR="00AA38DB" w:rsidRDefault="00AA38DB" w:rsidP="00C721AC">
      <w:pPr>
        <w:jc w:val="right"/>
        <w:rPr>
          <w:sz w:val="20"/>
        </w:rPr>
      </w:pPr>
      <w:r>
        <w:rPr>
          <w:sz w:val="20"/>
        </w:rPr>
        <w:t>(continued….)</w:t>
      </w:r>
    </w:p>
  </w:footnote>
  <w:footnote w:id="2">
    <w:p w14:paraId="35C9D345" w14:textId="77777777" w:rsidR="001607A3" w:rsidRDefault="001607A3">
      <w:pPr>
        <w:pStyle w:val="FootnoteText"/>
      </w:pPr>
      <w:r>
        <w:rPr>
          <w:rStyle w:val="FootnoteReference"/>
        </w:rPr>
        <w:footnoteRef/>
      </w:r>
      <w:r>
        <w:t xml:space="preserve"> 18 U.S.C. § 1464; 47 C.F.R. § 73.3999.  </w:t>
      </w:r>
    </w:p>
  </w:footnote>
  <w:footnote w:id="3">
    <w:p w14:paraId="1ABADE80" w14:textId="1C628441" w:rsidR="001607A3" w:rsidRPr="00D41CEE" w:rsidRDefault="001607A3">
      <w:pPr>
        <w:pStyle w:val="FootnoteText"/>
      </w:pPr>
      <w:r>
        <w:rPr>
          <w:rStyle w:val="FootnoteReference"/>
        </w:rPr>
        <w:footnoteRef/>
      </w:r>
      <w:r>
        <w:t xml:space="preserve"> </w:t>
      </w:r>
      <w:r w:rsidRPr="008421C0">
        <w:rPr>
          <w:i/>
        </w:rPr>
        <w:t>See, e.g.</w:t>
      </w:r>
      <w:r w:rsidRPr="008421C0">
        <w:t xml:space="preserve">, Complaint, No. 12-WB15000043 (July 15, 2012) (on file in EB-12-IH-1363 and </w:t>
      </w:r>
      <w:r w:rsidRPr="008421C0">
        <w:rPr>
          <w:spacing w:val="-2"/>
        </w:rPr>
        <w:t>EB-IHD-14-00016819</w:t>
      </w:r>
      <w:r w:rsidRPr="008421C0">
        <w:t xml:space="preserve">) (“During the news story they showed what appeared to be a website and to the right of the screen in a small window box which showed a penis being manipulated by a hand.  WDBJ has since removed the video from their site and did not show it at a [later] time.”); Complaint, No. 12-WB14998395 (July 13, 2012) (on file in EB-12-IH-1363 and </w:t>
      </w:r>
      <w:r w:rsidRPr="008421C0">
        <w:rPr>
          <w:spacing w:val="-2"/>
        </w:rPr>
        <w:t>EB-IHD-14-00016819</w:t>
      </w:r>
      <w:r w:rsidRPr="008421C0">
        <w:t>) (“in that program they showed [the former adult film star] on a web sit[e] on the far right hand side you can see a male body part being handled</w:t>
      </w:r>
      <w:r w:rsidR="00C32E2F" w:rsidRPr="008421C0">
        <w:t>…</w:t>
      </w:r>
      <w:r w:rsidRPr="008421C0">
        <w:t xml:space="preserve"> with this story my family saw the [w]hole thing.”); Complaint, </w:t>
      </w:r>
      <w:r w:rsidR="00E27573">
        <w:t>No. 12-WB14998157 (July 12, 2012</w:t>
      </w:r>
      <w:r w:rsidRPr="008421C0">
        <w:t xml:space="preserve">) (on file in EB-12-IH-1363 and </w:t>
      </w:r>
      <w:r w:rsidRPr="008421C0">
        <w:rPr>
          <w:spacing w:val="-2"/>
        </w:rPr>
        <w:t>EB-IHD-14-00016819</w:t>
      </w:r>
      <w:r w:rsidRPr="008421C0">
        <w:t>) (“There is an unobscured penis in the c</w:t>
      </w:r>
      <w:r w:rsidR="00C32E2F" w:rsidRPr="008421C0">
        <w:t>lip</w:t>
      </w:r>
      <w:r w:rsidR="00083880">
        <w:t xml:space="preserve"> on story</w:t>
      </w:r>
      <w:r w:rsidR="00C32E2F" w:rsidRPr="008421C0">
        <w:t xml:space="preserve"> about a former porn star. …</w:t>
      </w:r>
      <w:r w:rsidRPr="008421C0">
        <w:t xml:space="preserve"> and with this type of material I can’t believe they didn’t catch the penis before it went to air.”); Complaint, Nos. 12-WB1499813</w:t>
      </w:r>
      <w:r w:rsidR="00E27573">
        <w:t>1 &amp; 12-WB14998136 (July 12, 2012</w:t>
      </w:r>
      <w:r w:rsidRPr="008421C0">
        <w:t xml:space="preserve">) (on file in EB-12-IH-1363 and </w:t>
      </w:r>
      <w:r w:rsidRPr="008421C0">
        <w:rPr>
          <w:spacing w:val="-2"/>
        </w:rPr>
        <w:t>EB-IHD-14-00016819</w:t>
      </w:r>
      <w:r w:rsidRPr="008421C0">
        <w:t>) (“WDBJ was doing a story on an ex-porn star that recently joined the local volunteer rescue squad.  They showed a non-obs[c]ene picture of [the woman] from the computer screen.  HOWEVER, on the right hand side, middle of the screen, there was a video playing of so</w:t>
      </w:r>
      <w:r w:rsidR="00C32E2F" w:rsidRPr="008421C0">
        <w:t>meone stroking a large penis….</w:t>
      </w:r>
      <w:r w:rsidRPr="008421C0">
        <w:t xml:space="preserve">”); Complaint, No. 12-WB14998155 (July 12, 2012) (on file in EB-12-IH-1363 and </w:t>
      </w:r>
      <w:r w:rsidRPr="008421C0">
        <w:rPr>
          <w:spacing w:val="-2"/>
        </w:rPr>
        <w:t>EB-IHD-14-00016819</w:t>
      </w:r>
      <w:r w:rsidRPr="008421C0">
        <w:t>) (“Showed pornographic video as part of a story about an ex porn star joining a local rescue squad.  There was a scene from a pornographic film on the right side of the screen that had not been masked from view by any means whatsoever.  Appalling.”) (collectively, Complaints).</w:t>
      </w:r>
      <w:r>
        <w:t xml:space="preserve"> </w:t>
      </w:r>
    </w:p>
  </w:footnote>
  <w:footnote w:id="4">
    <w:p w14:paraId="0DF6A593" w14:textId="77777777" w:rsidR="001607A3" w:rsidRDefault="001607A3">
      <w:pPr>
        <w:pStyle w:val="FootnoteText"/>
      </w:pPr>
      <w:r>
        <w:rPr>
          <w:rStyle w:val="FootnoteReference"/>
        </w:rPr>
        <w:footnoteRef/>
      </w:r>
      <w:r>
        <w:t xml:space="preserve"> Letter from Jeffrey J. Gee, Deputy Chief, Investigations and Hearings Division, FCC Enforcement Bureau, to WDBJ Television, Inc. (Mar. 8, 2013) (on file in EB-12-IH-1363</w:t>
      </w:r>
      <w:r w:rsidRPr="00AA3F1D">
        <w:t xml:space="preserve"> </w:t>
      </w:r>
      <w:r>
        <w:t xml:space="preserve">and </w:t>
      </w:r>
      <w:r>
        <w:rPr>
          <w:spacing w:val="-2"/>
        </w:rPr>
        <w:t>EB-IHD-14-00016819</w:t>
      </w:r>
      <w:r>
        <w:t>) (LOI).</w:t>
      </w:r>
    </w:p>
  </w:footnote>
  <w:footnote w:id="5">
    <w:p w14:paraId="4A3AC068" w14:textId="39916FDD" w:rsidR="001607A3" w:rsidRPr="008C43DC" w:rsidRDefault="001607A3" w:rsidP="00AE25FD">
      <w:pPr>
        <w:pStyle w:val="FootnoteText"/>
      </w:pPr>
      <w:r>
        <w:rPr>
          <w:rStyle w:val="FootnoteReference"/>
        </w:rPr>
        <w:footnoteRef/>
      </w:r>
      <w:r>
        <w:t xml:space="preserve"> </w:t>
      </w:r>
      <w:r w:rsidRPr="007C3D38">
        <w:t xml:space="preserve">Letter from Jack N. Goodman, Esquire, Law Offices of Jack N. Goodman, </w:t>
      </w:r>
      <w:r w:rsidR="00C61A10">
        <w:t>C</w:t>
      </w:r>
      <w:r w:rsidRPr="007C3D38">
        <w:t xml:space="preserve">ounsel for WDBJ Television, Inc., to Marlene H. Dortch, Secretary, Federal Communications Commission at </w:t>
      </w:r>
      <w:r w:rsidR="000415E1">
        <w:t>1–</w:t>
      </w:r>
      <w:r w:rsidRPr="007C3D38">
        <w:t>2 (Apr. 26, 2013) (on file in EB-12-IH-1363</w:t>
      </w:r>
      <w:r w:rsidRPr="00AA3F1D">
        <w:t xml:space="preserve"> </w:t>
      </w:r>
      <w:r>
        <w:t xml:space="preserve">and </w:t>
      </w:r>
      <w:r>
        <w:rPr>
          <w:spacing w:val="-2"/>
        </w:rPr>
        <w:t>EB-IHD-14-00016819</w:t>
      </w:r>
      <w:r w:rsidRPr="007C3D38">
        <w:t>) (LOI Response).</w:t>
      </w:r>
      <w:r>
        <w:t xml:space="preserve">  The Bureau granted WDBJ an extension of time until April 26, 2013 to respond to the LOI.  </w:t>
      </w:r>
      <w:r>
        <w:rPr>
          <w:i/>
        </w:rPr>
        <w:t xml:space="preserve">See </w:t>
      </w:r>
      <w:r>
        <w:t>E-mail fro</w:t>
      </w:r>
      <w:r w:rsidR="00083880">
        <w:t>m Jeffrey J. Gee, Deputy Chief,</w:t>
      </w:r>
      <w:r w:rsidRPr="008C43DC">
        <w:t xml:space="preserve"> </w:t>
      </w:r>
      <w:r>
        <w:t>Investigations and Hearings Division, FCC Enforcement Bureau</w:t>
      </w:r>
      <w:r w:rsidR="00816C7A">
        <w:t>, to Jack N. Goodman, Esquire, C</w:t>
      </w:r>
      <w:r>
        <w:t xml:space="preserve">ounsel for WDBJ Television, Inc. (Mar. 15, 2013, 15:18 EDT) </w:t>
      </w:r>
      <w:r w:rsidRPr="007C3D38">
        <w:t>(on file in EB-12-IH-1363</w:t>
      </w:r>
      <w:r w:rsidRPr="00AA3F1D">
        <w:t xml:space="preserve"> </w:t>
      </w:r>
      <w:r>
        <w:t xml:space="preserve">and </w:t>
      </w:r>
      <w:r>
        <w:rPr>
          <w:spacing w:val="-2"/>
        </w:rPr>
        <w:t>EB-IHD-14-00016819</w:t>
      </w:r>
      <w:r w:rsidRPr="007C3D38">
        <w:t>)</w:t>
      </w:r>
      <w:r>
        <w:t xml:space="preserve">.  </w:t>
      </w:r>
    </w:p>
  </w:footnote>
  <w:footnote w:id="6">
    <w:p w14:paraId="298A84A2" w14:textId="735E6630" w:rsidR="006A2121" w:rsidRPr="006A2121" w:rsidRDefault="006A2121">
      <w:pPr>
        <w:pStyle w:val="FootnoteText"/>
      </w:pPr>
      <w:r>
        <w:rPr>
          <w:rStyle w:val="FootnoteReference"/>
        </w:rPr>
        <w:footnoteRef/>
      </w:r>
      <w:r>
        <w:t xml:space="preserve"> </w:t>
      </w:r>
      <w:r>
        <w:rPr>
          <w:i/>
        </w:rPr>
        <w:t xml:space="preserve">See </w:t>
      </w:r>
      <w:r>
        <w:t>LOI Response, Transcript and Recording.</w:t>
      </w:r>
    </w:p>
  </w:footnote>
  <w:footnote w:id="7">
    <w:p w14:paraId="4AF444F9" w14:textId="77777777" w:rsidR="001607A3" w:rsidRPr="00632BAF" w:rsidRDefault="001607A3" w:rsidP="00AE25FD">
      <w:pPr>
        <w:pStyle w:val="FootnoteText"/>
      </w:pPr>
      <w:r>
        <w:rPr>
          <w:rStyle w:val="FootnoteReference"/>
        </w:rPr>
        <w:footnoteRef/>
      </w:r>
      <w:r>
        <w:t xml:space="preserve"> </w:t>
      </w:r>
      <w:r>
        <w:rPr>
          <w:i/>
        </w:rPr>
        <w:t xml:space="preserve">See </w:t>
      </w:r>
      <w:r>
        <w:t xml:space="preserve">LOI Response, Recording.  </w:t>
      </w:r>
    </w:p>
  </w:footnote>
  <w:footnote w:id="8">
    <w:p w14:paraId="1806F394" w14:textId="4A91BBF3" w:rsidR="001607A3" w:rsidRPr="00B82F88" w:rsidRDefault="001607A3" w:rsidP="00AE25FD">
      <w:pPr>
        <w:pStyle w:val="FootnoteText"/>
      </w:pPr>
      <w:r>
        <w:rPr>
          <w:rStyle w:val="FootnoteReference"/>
        </w:rPr>
        <w:footnoteRef/>
      </w:r>
      <w:r>
        <w:t xml:space="preserve"> </w:t>
      </w:r>
      <w:r>
        <w:rPr>
          <w:i/>
        </w:rPr>
        <w:t>Id</w:t>
      </w:r>
      <w:r>
        <w:t xml:space="preserve">. at </w:t>
      </w:r>
      <w:r w:rsidR="006A2121">
        <w:t xml:space="preserve">approximately </w:t>
      </w:r>
      <w:r>
        <w:t>1:15–19.</w:t>
      </w:r>
    </w:p>
  </w:footnote>
  <w:footnote w:id="9">
    <w:p w14:paraId="5DBB368D" w14:textId="5D8ABF7B" w:rsidR="001607A3" w:rsidRPr="006C71F2" w:rsidRDefault="001607A3" w:rsidP="00AE25FD">
      <w:pPr>
        <w:pStyle w:val="FootnoteText"/>
      </w:pPr>
      <w:r>
        <w:rPr>
          <w:rStyle w:val="FootnoteReference"/>
        </w:rPr>
        <w:footnoteRef/>
      </w:r>
      <w:r>
        <w:t xml:space="preserve"> </w:t>
      </w:r>
      <w:r w:rsidR="000415E1">
        <w:rPr>
          <w:i/>
        </w:rPr>
        <w:t>I</w:t>
      </w:r>
      <w:r>
        <w:rPr>
          <w:i/>
        </w:rPr>
        <w:t>d</w:t>
      </w:r>
      <w:r>
        <w:t xml:space="preserve">.  </w:t>
      </w:r>
    </w:p>
  </w:footnote>
  <w:footnote w:id="10">
    <w:p w14:paraId="09723660" w14:textId="6D92CB8F" w:rsidR="000415E1" w:rsidRDefault="000415E1">
      <w:pPr>
        <w:pStyle w:val="FootnoteText"/>
      </w:pPr>
      <w:r>
        <w:rPr>
          <w:rStyle w:val="FootnoteReference"/>
        </w:rPr>
        <w:footnoteRef/>
      </w:r>
      <w:r>
        <w:t xml:space="preserve"> </w:t>
      </w:r>
      <w:r w:rsidRPr="00826E7C">
        <w:rPr>
          <w:i/>
        </w:rPr>
        <w:t>Id</w:t>
      </w:r>
      <w:r w:rsidRPr="00826E7C">
        <w:t xml:space="preserve">. </w:t>
      </w:r>
    </w:p>
  </w:footnote>
  <w:footnote w:id="11">
    <w:p w14:paraId="7A63B49B" w14:textId="439F1DDD" w:rsidR="000415E1" w:rsidRPr="00826E7C" w:rsidRDefault="000415E1">
      <w:pPr>
        <w:pStyle w:val="FootnoteText"/>
      </w:pPr>
      <w:r>
        <w:rPr>
          <w:rStyle w:val="FootnoteReference"/>
        </w:rPr>
        <w:footnoteRef/>
      </w:r>
      <w:r>
        <w:t xml:space="preserve"> </w:t>
      </w:r>
      <w:r w:rsidR="00826E7C">
        <w:t>LOI Response at 2.</w:t>
      </w:r>
    </w:p>
  </w:footnote>
  <w:footnote w:id="12">
    <w:p w14:paraId="7228AB7E" w14:textId="7D52CAD5" w:rsidR="001607A3" w:rsidRPr="00A17105" w:rsidRDefault="001607A3" w:rsidP="00AE25FD">
      <w:pPr>
        <w:pStyle w:val="FootnoteText"/>
      </w:pPr>
      <w:r>
        <w:rPr>
          <w:rStyle w:val="FootnoteReference"/>
        </w:rPr>
        <w:footnoteRef/>
      </w:r>
      <w:r>
        <w:t xml:space="preserve"> </w:t>
      </w:r>
      <w:r>
        <w:rPr>
          <w:i/>
        </w:rPr>
        <w:t xml:space="preserve">See </w:t>
      </w:r>
      <w:r w:rsidR="002D6296">
        <w:t>LOI Response, Recording</w:t>
      </w:r>
      <w:r>
        <w:t xml:space="preserve"> at approximately 1:15–18.   </w:t>
      </w:r>
    </w:p>
  </w:footnote>
  <w:footnote w:id="13">
    <w:p w14:paraId="1D47ECAC" w14:textId="343F648D" w:rsidR="001607A3" w:rsidRPr="00B82F88" w:rsidRDefault="001607A3" w:rsidP="00AE25FD">
      <w:pPr>
        <w:pStyle w:val="FootnoteText"/>
      </w:pPr>
      <w:r>
        <w:rPr>
          <w:rStyle w:val="FootnoteReference"/>
        </w:rPr>
        <w:footnoteRef/>
      </w:r>
      <w:r>
        <w:t xml:space="preserve"> LOI Response at 2.</w:t>
      </w:r>
    </w:p>
  </w:footnote>
  <w:footnote w:id="14">
    <w:p w14:paraId="6B4F4B8A" w14:textId="5E824B69" w:rsidR="001607A3" w:rsidRPr="00632BAF" w:rsidRDefault="001607A3" w:rsidP="00AE25FD">
      <w:pPr>
        <w:pStyle w:val="FootnoteText"/>
      </w:pPr>
      <w:r>
        <w:rPr>
          <w:rStyle w:val="FootnoteReference"/>
        </w:rPr>
        <w:footnoteRef/>
      </w:r>
      <w:r>
        <w:t xml:space="preserve"> </w:t>
      </w:r>
      <w:r w:rsidR="00816C7A">
        <w:t>LOI Response, Recording</w:t>
      </w:r>
      <w:r w:rsidR="0066358A">
        <w:t xml:space="preserve"> at approximately 1:37–40; 1:45–49</w:t>
      </w:r>
      <w:r>
        <w:t>; and 3:00–02.</w:t>
      </w:r>
    </w:p>
  </w:footnote>
  <w:footnote w:id="15">
    <w:p w14:paraId="5C11CACB" w14:textId="70FB8F74" w:rsidR="001607A3" w:rsidRPr="00347AD4" w:rsidRDefault="001607A3" w:rsidP="00AE25FD">
      <w:pPr>
        <w:pStyle w:val="FootnoteText"/>
      </w:pPr>
      <w:r>
        <w:rPr>
          <w:rStyle w:val="FootnoteReference"/>
        </w:rPr>
        <w:footnoteRef/>
      </w:r>
      <w:r>
        <w:t xml:space="preserve"> </w:t>
      </w:r>
      <w:r>
        <w:rPr>
          <w:i/>
        </w:rPr>
        <w:t xml:space="preserve"> </w:t>
      </w:r>
      <w:r>
        <w:t>LOI</w:t>
      </w:r>
      <w:r w:rsidR="000415E1">
        <w:t xml:space="preserve"> Response at 2</w:t>
      </w:r>
      <w:r w:rsidR="00C61A10">
        <w:t xml:space="preserve"> and at</w:t>
      </w:r>
      <w:r w:rsidR="000415E1">
        <w:t xml:space="preserve"> </w:t>
      </w:r>
      <w:r w:rsidR="00935AEE">
        <w:t>Declaration of WDBJ Photojournalist (Photojournalist Declaration</w:t>
      </w:r>
      <w:r>
        <w:t>).</w:t>
      </w:r>
    </w:p>
  </w:footnote>
  <w:footnote w:id="16">
    <w:p w14:paraId="087983FA" w14:textId="6700158A" w:rsidR="001607A3" w:rsidRDefault="001607A3">
      <w:pPr>
        <w:pStyle w:val="FootnoteText"/>
      </w:pPr>
      <w:r>
        <w:rPr>
          <w:rStyle w:val="FootnoteReference"/>
        </w:rPr>
        <w:footnoteRef/>
      </w:r>
      <w:r>
        <w:t xml:space="preserve"> </w:t>
      </w:r>
      <w:r w:rsidRPr="00434DA2">
        <w:rPr>
          <w:i/>
        </w:rPr>
        <w:t>See</w:t>
      </w:r>
      <w:r w:rsidR="00935AEE">
        <w:t xml:space="preserve"> </w:t>
      </w:r>
      <w:r w:rsidR="00C61A10" w:rsidRPr="00784703">
        <w:rPr>
          <w:i/>
        </w:rPr>
        <w:t>id.</w:t>
      </w:r>
      <w:r w:rsidR="00C61A10">
        <w:t xml:space="preserve"> at </w:t>
      </w:r>
      <w:r w:rsidR="00935AEE">
        <w:t>Photojournalist</w:t>
      </w:r>
      <w:r>
        <w:t xml:space="preserve"> Declaration.</w:t>
      </w:r>
    </w:p>
  </w:footnote>
  <w:footnote w:id="17">
    <w:p w14:paraId="32AB9FD8" w14:textId="7964CF96" w:rsidR="001607A3" w:rsidRDefault="001607A3">
      <w:pPr>
        <w:pStyle w:val="FootnoteText"/>
      </w:pPr>
      <w:r>
        <w:rPr>
          <w:rStyle w:val="FootnoteReference"/>
        </w:rPr>
        <w:footnoteRef/>
      </w:r>
      <w:r>
        <w:t xml:space="preserve"> </w:t>
      </w:r>
      <w:r w:rsidRPr="00434DA2">
        <w:rPr>
          <w:i/>
        </w:rPr>
        <w:t>Id</w:t>
      </w:r>
      <w:r>
        <w:t>.</w:t>
      </w:r>
    </w:p>
  </w:footnote>
  <w:footnote w:id="18">
    <w:p w14:paraId="319DA9AF" w14:textId="5A640081" w:rsidR="001607A3" w:rsidRPr="009855DB" w:rsidRDefault="001607A3" w:rsidP="00AE25FD">
      <w:pPr>
        <w:pStyle w:val="FootnoteText"/>
      </w:pPr>
      <w:r>
        <w:rPr>
          <w:rStyle w:val="FootnoteReference"/>
        </w:rPr>
        <w:footnoteRef/>
      </w:r>
      <w:r>
        <w:t xml:space="preserve"> </w:t>
      </w:r>
      <w:r>
        <w:rPr>
          <w:i/>
        </w:rPr>
        <w:t xml:space="preserve">See </w:t>
      </w:r>
      <w:r w:rsidR="00C67963">
        <w:t>LOI Response at 3</w:t>
      </w:r>
      <w:r>
        <w:t xml:space="preserve">.  </w:t>
      </w:r>
    </w:p>
  </w:footnote>
  <w:footnote w:id="19">
    <w:p w14:paraId="0883738C" w14:textId="77777777" w:rsidR="001607A3" w:rsidRPr="009855DB" w:rsidRDefault="001607A3" w:rsidP="00AE25FD">
      <w:pPr>
        <w:pStyle w:val="FootnoteText"/>
      </w:pPr>
      <w:r>
        <w:rPr>
          <w:rStyle w:val="FootnoteReference"/>
        </w:rPr>
        <w:footnoteRef/>
      </w:r>
      <w:r>
        <w:t xml:space="preserve"> </w:t>
      </w:r>
      <w:r>
        <w:rPr>
          <w:i/>
        </w:rPr>
        <w:t>Id</w:t>
      </w:r>
      <w:r>
        <w:t>.</w:t>
      </w:r>
    </w:p>
  </w:footnote>
  <w:footnote w:id="20">
    <w:p w14:paraId="35F47496" w14:textId="77777777" w:rsidR="001607A3" w:rsidRPr="00B27192" w:rsidRDefault="001607A3">
      <w:pPr>
        <w:pStyle w:val="FootnoteText"/>
      </w:pPr>
      <w:r>
        <w:rPr>
          <w:rStyle w:val="FootnoteReference"/>
        </w:rPr>
        <w:footnoteRef/>
      </w:r>
      <w:r>
        <w:t xml:space="preserve"> </w:t>
      </w:r>
      <w:r>
        <w:rPr>
          <w:i/>
        </w:rPr>
        <w:t>Id</w:t>
      </w:r>
      <w:r>
        <w:t xml:space="preserve">. </w:t>
      </w:r>
    </w:p>
  </w:footnote>
  <w:footnote w:id="21">
    <w:p w14:paraId="7E297734" w14:textId="3A7A978C" w:rsidR="001607A3" w:rsidRPr="00BD34B8" w:rsidRDefault="001607A3" w:rsidP="00FC4910">
      <w:pPr>
        <w:pStyle w:val="FootnoteText"/>
      </w:pPr>
      <w:r>
        <w:rPr>
          <w:rStyle w:val="FootnoteReference"/>
        </w:rPr>
        <w:footnoteRef/>
      </w:r>
      <w:r>
        <w:t xml:space="preserve"> </w:t>
      </w:r>
      <w:r>
        <w:rPr>
          <w:i/>
        </w:rPr>
        <w:t>Id</w:t>
      </w:r>
      <w:r>
        <w:t>.</w:t>
      </w:r>
      <w:r w:rsidR="00C67963">
        <w:t xml:space="preserve"> at 3–5.</w:t>
      </w:r>
    </w:p>
  </w:footnote>
  <w:footnote w:id="22">
    <w:p w14:paraId="17CF087E" w14:textId="77777777" w:rsidR="001607A3" w:rsidRPr="001E27D9" w:rsidRDefault="001607A3">
      <w:pPr>
        <w:pStyle w:val="FootnoteText"/>
        <w:rPr>
          <w:i/>
        </w:rPr>
      </w:pPr>
      <w:r>
        <w:rPr>
          <w:rStyle w:val="FootnoteReference"/>
        </w:rPr>
        <w:footnoteRef/>
      </w:r>
      <w:r>
        <w:t xml:space="preserve"> </w:t>
      </w:r>
      <w:r>
        <w:rPr>
          <w:i/>
        </w:rPr>
        <w:t>Id.</w:t>
      </w:r>
    </w:p>
  </w:footnote>
  <w:footnote w:id="23">
    <w:p w14:paraId="3798866C" w14:textId="3717D7AD" w:rsidR="001607A3" w:rsidRDefault="001607A3">
      <w:pPr>
        <w:pStyle w:val="FootnoteText"/>
      </w:pPr>
      <w:r>
        <w:rPr>
          <w:rStyle w:val="FootnoteReference"/>
        </w:rPr>
        <w:footnoteRef/>
      </w:r>
      <w:r>
        <w:t xml:space="preserve"> </w:t>
      </w:r>
      <w:r w:rsidRPr="00434DA2">
        <w:rPr>
          <w:i/>
        </w:rPr>
        <w:t>Id.</w:t>
      </w:r>
      <w:r>
        <w:t xml:space="preserve"> </w:t>
      </w:r>
      <w:r w:rsidR="00CF7933">
        <w:t>at 5–6.</w:t>
      </w:r>
    </w:p>
  </w:footnote>
  <w:footnote w:id="24">
    <w:p w14:paraId="7C859453" w14:textId="1B7D5205" w:rsidR="001607A3" w:rsidRPr="00DA7D08" w:rsidRDefault="001607A3" w:rsidP="00FC4910">
      <w:pPr>
        <w:pStyle w:val="FootnoteText"/>
      </w:pPr>
      <w:r>
        <w:rPr>
          <w:rStyle w:val="FootnoteReference"/>
        </w:rPr>
        <w:footnoteRef/>
      </w:r>
      <w:r>
        <w:t xml:space="preserve"> </w:t>
      </w:r>
      <w:r>
        <w:rPr>
          <w:i/>
        </w:rPr>
        <w:t>Id</w:t>
      </w:r>
      <w:r>
        <w:t xml:space="preserve">. at </w:t>
      </w:r>
      <w:r w:rsidR="00083880">
        <w:t xml:space="preserve"> </w:t>
      </w:r>
      <w:r>
        <w:t xml:space="preserve">6.  </w:t>
      </w:r>
    </w:p>
  </w:footnote>
  <w:footnote w:id="25">
    <w:p w14:paraId="21A40062" w14:textId="0C1D2C3D" w:rsidR="00BD4E53" w:rsidRDefault="00BD4E53">
      <w:pPr>
        <w:pStyle w:val="FootnoteText"/>
      </w:pPr>
      <w:r>
        <w:rPr>
          <w:rStyle w:val="FootnoteReference"/>
        </w:rPr>
        <w:footnoteRef/>
      </w:r>
      <w:r>
        <w:t xml:space="preserve"> 18 U.S.C. § 1464.</w:t>
      </w:r>
    </w:p>
  </w:footnote>
  <w:footnote w:id="26">
    <w:p w14:paraId="2B982A17" w14:textId="77777777" w:rsidR="001607A3" w:rsidRPr="00394BE7" w:rsidRDefault="001607A3" w:rsidP="00B104D1">
      <w:pPr>
        <w:pStyle w:val="FootnoteText"/>
      </w:pPr>
      <w:r>
        <w:rPr>
          <w:rStyle w:val="FootnoteReference"/>
        </w:rPr>
        <w:footnoteRef/>
      </w:r>
      <w:r>
        <w:t xml:space="preserve"> 47 C.F.R. § 73.3999.  </w:t>
      </w:r>
      <w:r>
        <w:rPr>
          <w:i/>
        </w:rPr>
        <w:t>See</w:t>
      </w:r>
      <w:r>
        <w:t xml:space="preserve"> Public Telecommunications Act of 1992, Pub. L. No. 102-356, 106 Stat. 949 (1992) (setting safe harbor of 10:00 p.m. to 6:00 a.m. for the broadcast of indecent material); </w:t>
      </w:r>
      <w:r>
        <w:rPr>
          <w:i/>
        </w:rPr>
        <w:t>Action for Children’s Television v. FCC</w:t>
      </w:r>
      <w:r>
        <w:t>, 58 F. 3d 654 (D.C. Cir. 1995) (</w:t>
      </w:r>
      <w:r>
        <w:rPr>
          <w:i/>
        </w:rPr>
        <w:t>en banc</w:t>
      </w:r>
      <w:r>
        <w:t xml:space="preserve">) (affirming restrictions prohibiting the broadcast of indecent material between the hours of 6:00 a.m. and 10:00 p.m.), </w:t>
      </w:r>
      <w:r>
        <w:rPr>
          <w:i/>
        </w:rPr>
        <w:t>cert. denied</w:t>
      </w:r>
      <w:r>
        <w:t xml:space="preserve">, 516 U.S. 1072 (1996).  </w:t>
      </w:r>
    </w:p>
  </w:footnote>
  <w:footnote w:id="27">
    <w:p w14:paraId="07938A9A" w14:textId="2B11336A" w:rsidR="001607A3" w:rsidRPr="000C66A9" w:rsidRDefault="001607A3" w:rsidP="00EB2714">
      <w:pPr>
        <w:pStyle w:val="FootnoteText"/>
        <w:spacing w:before="120"/>
      </w:pPr>
      <w:r>
        <w:rPr>
          <w:rStyle w:val="FootnoteReference"/>
        </w:rPr>
        <w:footnoteRef/>
      </w:r>
      <w:r>
        <w:t xml:space="preserve"> </w:t>
      </w:r>
      <w:r>
        <w:rPr>
          <w:i/>
        </w:rPr>
        <w:t>FCC v. Fox Television Stations, Inc</w:t>
      </w:r>
      <w:r w:rsidR="00BD4E53">
        <w:t>., 556 U.S. 502, 5</w:t>
      </w:r>
      <w:r>
        <w:t>06 (2009) (</w:t>
      </w:r>
      <w:r>
        <w:rPr>
          <w:i/>
        </w:rPr>
        <w:t>Fox I</w:t>
      </w:r>
      <w:r>
        <w:t xml:space="preserve">) (quoting </w:t>
      </w:r>
      <w:r>
        <w:rPr>
          <w:i/>
        </w:rPr>
        <w:t>CBS Inc. v. FCC</w:t>
      </w:r>
      <w:r>
        <w:t>, 453 U.S. 367</w:t>
      </w:r>
      <w:r w:rsidR="00BD4E53">
        <w:t>,</w:t>
      </w:r>
      <w:r>
        <w:t xml:space="preserve"> 395 (1981)).  </w:t>
      </w:r>
      <w:r>
        <w:rPr>
          <w:i/>
        </w:rPr>
        <w:t>See</w:t>
      </w:r>
      <w:r>
        <w:t xml:space="preserve"> 47 U.S.C. § 301 (prohibiting broadcasting “except under and in accordance with [the Communications Act</w:t>
      </w:r>
      <w:r w:rsidR="00FB432C">
        <w:t xml:space="preserve"> of 1934, as amended</w:t>
      </w:r>
      <w:r>
        <w:t>] and with a license”).</w:t>
      </w:r>
    </w:p>
  </w:footnote>
  <w:footnote w:id="28">
    <w:p w14:paraId="4238EC0B" w14:textId="11834980" w:rsidR="001607A3" w:rsidRPr="00392517" w:rsidRDefault="001607A3">
      <w:pPr>
        <w:pStyle w:val="FootnoteText"/>
      </w:pPr>
      <w:r>
        <w:rPr>
          <w:rStyle w:val="FootnoteReference"/>
        </w:rPr>
        <w:footnoteRef/>
      </w:r>
      <w:r w:rsidR="00816C7A">
        <w:t xml:space="preserve"> </w:t>
      </w:r>
      <w:r w:rsidR="00BD4E53">
        <w:rPr>
          <w:i/>
        </w:rPr>
        <w:t>Id</w:t>
      </w:r>
      <w:r>
        <w:t xml:space="preserve">.  </w:t>
      </w:r>
    </w:p>
  </w:footnote>
  <w:footnote w:id="29">
    <w:p w14:paraId="1CC44162" w14:textId="33441930" w:rsidR="001607A3" w:rsidRDefault="001607A3" w:rsidP="00F815AC">
      <w:pPr>
        <w:pStyle w:val="FootnoteText"/>
      </w:pPr>
      <w:r>
        <w:rPr>
          <w:rStyle w:val="FootnoteReference"/>
        </w:rPr>
        <w:footnoteRef/>
      </w:r>
      <w:r>
        <w:t xml:space="preserve"> </w:t>
      </w:r>
      <w:r>
        <w:rPr>
          <w:i/>
        </w:rPr>
        <w:t>Industry Guidance on the Commission’s Case Law Interpreting 18 U.S.C. §1464 and Enforcement Policies Regarding Broadcast Indecency</w:t>
      </w:r>
      <w:r>
        <w:t>, Policy Statement, 16 FCC Rcd 7999, 8002, paras. 7–</w:t>
      </w:r>
      <w:r w:rsidR="00FB432C">
        <w:t xml:space="preserve">8 (2001) </w:t>
      </w:r>
      <w:r>
        <w:t>(</w:t>
      </w:r>
      <w:r>
        <w:rPr>
          <w:i/>
        </w:rPr>
        <w:t>Indecency Policy Statement</w:t>
      </w:r>
      <w:r>
        <w:t xml:space="preserve">); </w:t>
      </w:r>
      <w:r>
        <w:rPr>
          <w:rFonts w:ascii="Times New Roman Italic" w:hAnsi="Times New Roman Italic"/>
        </w:rPr>
        <w:t xml:space="preserve">see </w:t>
      </w:r>
      <w:r w:rsidRPr="000E53F3">
        <w:rPr>
          <w:rFonts w:ascii="Times New Roman Italic" w:hAnsi="Times New Roman Italic"/>
        </w:rPr>
        <w:t xml:space="preserve">Complaints Regarding Various Television Broadcasts Between February 2, 2002 and March 8, </w:t>
      </w:r>
      <w:r w:rsidRPr="00FB432C">
        <w:rPr>
          <w:rFonts w:ascii="Times New Roman Italic" w:hAnsi="Times New Roman Italic"/>
        </w:rPr>
        <w:t>2005</w:t>
      </w:r>
      <w:r w:rsidR="00FB432C" w:rsidRPr="00FB432C">
        <w:t xml:space="preserve">, </w:t>
      </w:r>
      <w:r w:rsidRPr="00FB432C">
        <w:t>Notices of Apparent Liability and Memorandum Opinion and Order,</w:t>
      </w:r>
      <w:r w:rsidRPr="00347AD4">
        <w:t xml:space="preserve"> 21 FCC Rcd 2664, 266</w:t>
      </w:r>
      <w:r w:rsidR="00FB432C">
        <w:t>7–</w:t>
      </w:r>
      <w:r>
        <w:t>68</w:t>
      </w:r>
      <w:r w:rsidRPr="00347AD4">
        <w:t>, para</w:t>
      </w:r>
      <w:r>
        <w:t>s</w:t>
      </w:r>
      <w:r w:rsidRPr="00347AD4">
        <w:t xml:space="preserve">. </w:t>
      </w:r>
      <w:r>
        <w:t>12–</w:t>
      </w:r>
      <w:r w:rsidRPr="000E53F3">
        <w:t>15</w:t>
      </w:r>
      <w:r>
        <w:t xml:space="preserve"> </w:t>
      </w:r>
      <w:r w:rsidR="00FB432C">
        <w:t xml:space="preserve">(2006) </w:t>
      </w:r>
      <w:r w:rsidRPr="00347AD4">
        <w:t>(</w:t>
      </w:r>
      <w:r w:rsidRPr="00347AD4">
        <w:rPr>
          <w:i/>
        </w:rPr>
        <w:t>2006 Indecency Omnibus Order</w:t>
      </w:r>
      <w:r w:rsidRPr="00347AD4">
        <w:t>)</w:t>
      </w:r>
      <w:r>
        <w:t xml:space="preserve"> (explaining the Commission’s interpretation of the term “contemporary community standards for the broadcast medium”), </w:t>
      </w:r>
      <w:r w:rsidRPr="00347AD4">
        <w:rPr>
          <w:i/>
        </w:rPr>
        <w:t>recons. granted in part and denied in part</w:t>
      </w:r>
      <w:r w:rsidRPr="00347AD4">
        <w:t>, Order, 21 FCC Rcd 13299 (2006) (</w:t>
      </w:r>
      <w:r w:rsidRPr="00347AD4">
        <w:rPr>
          <w:i/>
        </w:rPr>
        <w:t>2006 Indecency Omnibus Remand Order</w:t>
      </w:r>
      <w:r w:rsidRPr="00347AD4">
        <w:t xml:space="preserve">), </w:t>
      </w:r>
      <w:r w:rsidRPr="00347AD4">
        <w:rPr>
          <w:i/>
        </w:rPr>
        <w:t>review granted and vacated on other grounds</w:t>
      </w:r>
      <w:r w:rsidRPr="00347AD4">
        <w:t xml:space="preserve">, </w:t>
      </w:r>
      <w:r w:rsidR="006820EB">
        <w:rPr>
          <w:i/>
        </w:rPr>
        <w:t>FCC v. Fox Television Stations, Inc.</w:t>
      </w:r>
      <w:r w:rsidR="006820EB">
        <w:t xml:space="preserve">, 567 </w:t>
      </w:r>
      <w:r w:rsidR="00576A7E">
        <w:t xml:space="preserve">U.S. ___ , 132 S.Ct. 2307 </w:t>
      </w:r>
      <w:r w:rsidR="006820EB">
        <w:t>(2012) (</w:t>
      </w:r>
      <w:r w:rsidR="006820EB">
        <w:rPr>
          <w:i/>
        </w:rPr>
        <w:t>Fox II</w:t>
      </w:r>
      <w:r w:rsidR="00A54E28">
        <w:t>).</w:t>
      </w:r>
    </w:p>
  </w:footnote>
  <w:footnote w:id="30">
    <w:p w14:paraId="682C7655" w14:textId="4C3A191B" w:rsidR="006820EB" w:rsidRDefault="006820EB">
      <w:pPr>
        <w:pStyle w:val="FootnoteText"/>
      </w:pPr>
      <w:r>
        <w:rPr>
          <w:rStyle w:val="FootnoteReference"/>
        </w:rPr>
        <w:footnoteRef/>
      </w:r>
      <w:r>
        <w:t xml:space="preserve"> </w:t>
      </w:r>
      <w:r>
        <w:rPr>
          <w:i/>
        </w:rPr>
        <w:t>Indecency Policy Statement</w:t>
      </w:r>
      <w:r>
        <w:t xml:space="preserve">, 16 FCC Rcd at 8002, para. 7.  </w:t>
      </w:r>
    </w:p>
  </w:footnote>
  <w:footnote w:id="31">
    <w:p w14:paraId="300D08D8" w14:textId="6BD7F5DD" w:rsidR="001607A3" w:rsidRPr="00F815AC" w:rsidRDefault="001607A3">
      <w:pPr>
        <w:pStyle w:val="FootnoteText"/>
      </w:pPr>
      <w:r>
        <w:rPr>
          <w:rStyle w:val="FootnoteReference"/>
        </w:rPr>
        <w:footnoteRef/>
      </w:r>
      <w:r>
        <w:t xml:space="preserve"> </w:t>
      </w:r>
      <w:r w:rsidR="006820EB">
        <w:rPr>
          <w:i/>
        </w:rPr>
        <w:t xml:space="preserve">Id. </w:t>
      </w:r>
      <w:r>
        <w:t>at 8002, p</w:t>
      </w:r>
      <w:r w:rsidR="006820EB">
        <w:t>ara. 8</w:t>
      </w:r>
      <w:r>
        <w:t xml:space="preserve">.  </w:t>
      </w:r>
    </w:p>
  </w:footnote>
  <w:footnote w:id="32">
    <w:p w14:paraId="7F1921CE" w14:textId="0C14A656" w:rsidR="001607A3" w:rsidRPr="00AF3169" w:rsidRDefault="001607A3">
      <w:pPr>
        <w:pStyle w:val="FootnoteText"/>
      </w:pPr>
      <w:r>
        <w:rPr>
          <w:rStyle w:val="FootnoteReference"/>
        </w:rPr>
        <w:footnoteRef/>
      </w:r>
      <w:r>
        <w:t xml:space="preserve"> </w:t>
      </w:r>
      <w:r w:rsidR="009E2B8B">
        <w:rPr>
          <w:i/>
        </w:rPr>
        <w:t xml:space="preserve">See </w:t>
      </w:r>
      <w:r w:rsidR="009E2B8B">
        <w:t xml:space="preserve">438 U.S. 726 (1978).  </w:t>
      </w:r>
      <w:r>
        <w:rPr>
          <w:i/>
        </w:rPr>
        <w:t xml:space="preserve">Pacifica </w:t>
      </w:r>
      <w:r>
        <w:t xml:space="preserve">has not been modified or overruled.  </w:t>
      </w:r>
      <w:r>
        <w:rPr>
          <w:i/>
        </w:rPr>
        <w:t xml:space="preserve">See </w:t>
      </w:r>
      <w:r w:rsidR="00576A7E">
        <w:rPr>
          <w:i/>
        </w:rPr>
        <w:t>Fox II</w:t>
      </w:r>
      <w:r w:rsidR="00C67963">
        <w:t>, 132 S.Ct.</w:t>
      </w:r>
      <w:r w:rsidR="00576A7E">
        <w:rPr>
          <w:i/>
        </w:rPr>
        <w:t xml:space="preserve"> </w:t>
      </w:r>
      <w:r w:rsidR="00576A7E" w:rsidRPr="00576A7E">
        <w:t xml:space="preserve">at </w:t>
      </w:r>
      <w:r w:rsidRPr="00576A7E">
        <w:t>2320</w:t>
      </w:r>
      <w:r>
        <w:t xml:space="preserve"> (in light of holding that Commission failed to provide fair notice that fleeting expletives and momentary nudity could be found actionably indecent, Court finds it unnecessary to reconsider </w:t>
      </w:r>
      <w:r>
        <w:rPr>
          <w:i/>
        </w:rPr>
        <w:t>Pacifica</w:t>
      </w:r>
      <w:r>
        <w:t xml:space="preserve">, adhering to its normal practice of declining to decide cases not before it).   </w:t>
      </w:r>
    </w:p>
  </w:footnote>
  <w:footnote w:id="33">
    <w:p w14:paraId="0232C5CA" w14:textId="77777777" w:rsidR="001607A3" w:rsidRPr="00523BC6" w:rsidRDefault="001607A3">
      <w:pPr>
        <w:pStyle w:val="FootnoteText"/>
      </w:pPr>
      <w:r>
        <w:rPr>
          <w:rStyle w:val="FootnoteReference"/>
        </w:rPr>
        <w:footnoteRef/>
      </w:r>
      <w:r>
        <w:t xml:space="preserve"> </w:t>
      </w:r>
      <w:r>
        <w:rPr>
          <w:i/>
        </w:rPr>
        <w:t>Indecency Policy Statement</w:t>
      </w:r>
      <w:r>
        <w:t xml:space="preserve">, 16 FCC Rcd at 8002, para. 9 (emphasis in original).  </w:t>
      </w:r>
    </w:p>
  </w:footnote>
  <w:footnote w:id="34">
    <w:p w14:paraId="70DA83DD" w14:textId="77777777" w:rsidR="001607A3" w:rsidRPr="00523BC6" w:rsidRDefault="001607A3">
      <w:pPr>
        <w:pStyle w:val="FootnoteText"/>
      </w:pPr>
      <w:r>
        <w:rPr>
          <w:rStyle w:val="FootnoteReference"/>
        </w:rPr>
        <w:footnoteRef/>
      </w:r>
      <w:r>
        <w:t xml:space="preserve"> </w:t>
      </w:r>
      <w:r>
        <w:rPr>
          <w:i/>
        </w:rPr>
        <w:t>See id.</w:t>
      </w:r>
      <w:r>
        <w:t xml:space="preserve"> at 8002–15, paras. 8–23.  </w:t>
      </w:r>
    </w:p>
  </w:footnote>
  <w:footnote w:id="35">
    <w:p w14:paraId="0A0198F2" w14:textId="77777777" w:rsidR="001607A3" w:rsidRPr="00523BC6" w:rsidRDefault="001607A3">
      <w:pPr>
        <w:pStyle w:val="FootnoteText"/>
      </w:pPr>
      <w:r>
        <w:rPr>
          <w:rStyle w:val="FootnoteReference"/>
        </w:rPr>
        <w:footnoteRef/>
      </w:r>
      <w:r>
        <w:t xml:space="preserve"> </w:t>
      </w:r>
      <w:r>
        <w:rPr>
          <w:i/>
        </w:rPr>
        <w:t>Id</w:t>
      </w:r>
      <w:r>
        <w:t xml:space="preserve">. at 8003, para. 10.  </w:t>
      </w:r>
    </w:p>
  </w:footnote>
  <w:footnote w:id="36">
    <w:p w14:paraId="7A55366E" w14:textId="30E8328D" w:rsidR="001607A3" w:rsidRPr="002534CB" w:rsidRDefault="001607A3" w:rsidP="002534CB">
      <w:pPr>
        <w:pStyle w:val="FootnoteTextFCC"/>
        <w:rPr>
          <w:rFonts w:eastAsia="Times New Roman"/>
          <w:color w:val="auto"/>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id.</w:t>
      </w:r>
      <w:r>
        <w:t xml:space="preserve"> at 8009, para. 19 (citing</w:t>
      </w:r>
      <w:r>
        <w:rPr>
          <w:rFonts w:ascii="Times New Roman Italic" w:hAnsi="Times New Roman Italic"/>
        </w:rPr>
        <w:t xml:space="preserve"> Tempe Radio, Inc.</w:t>
      </w:r>
      <w:r>
        <w:t>, Notice of Apparent Liability</w:t>
      </w:r>
      <w:r w:rsidR="004E6D77">
        <w:t xml:space="preserve"> for </w:t>
      </w:r>
      <w:r w:rsidR="00576A7E">
        <w:t>Forfeiture</w:t>
      </w:r>
      <w:r w:rsidR="004F0B8B">
        <w:t>, 12 FCC Rcd 21828 (Mass Media</w:t>
      </w:r>
      <w:r>
        <w:t xml:space="preserve"> Bur. 1997) (forfeiture paid) (finding that extremely graphic or explicit nature of references to sex with children outweighed the fleeting nature of the references); </w:t>
      </w:r>
      <w:r>
        <w:rPr>
          <w:rFonts w:ascii="Times New Roman Italic" w:hAnsi="Times New Roman Italic"/>
        </w:rPr>
        <w:t>EZ New Orleans, Inc.</w:t>
      </w:r>
      <w:r>
        <w:t>, Notice of Apparent Liability</w:t>
      </w:r>
      <w:r w:rsidR="004E6D77">
        <w:t xml:space="preserve"> for </w:t>
      </w:r>
      <w:r w:rsidR="00576A7E">
        <w:t>Forfeiture</w:t>
      </w:r>
      <w:r w:rsidR="004F0B8B">
        <w:t>, 12 FCC Rcd 4147 (Mass Media</w:t>
      </w:r>
      <w:r>
        <w:t xml:space="preserve"> Bur. 1997) (forfeiture paid) (same)</w:t>
      </w:r>
      <w:r w:rsidR="00784703">
        <w:t>)</w:t>
      </w:r>
      <w:r>
        <w:t xml:space="preserve">. </w:t>
      </w:r>
    </w:p>
  </w:footnote>
  <w:footnote w:id="37">
    <w:p w14:paraId="321614D8" w14:textId="77777777" w:rsidR="001607A3" w:rsidRPr="000F0668" w:rsidRDefault="001607A3">
      <w:pPr>
        <w:pStyle w:val="FootnoteText"/>
      </w:pPr>
      <w:r>
        <w:rPr>
          <w:rStyle w:val="FootnoteReference"/>
        </w:rPr>
        <w:footnoteRef/>
      </w:r>
      <w:r>
        <w:t xml:space="preserve"> </w:t>
      </w:r>
      <w:r>
        <w:rPr>
          <w:i/>
        </w:rPr>
        <w:t>See Indecency Policy Statement</w:t>
      </w:r>
      <w:r>
        <w:t>, 16 FCC Rcd at 8010, para. 20 (“[T]he manner and purpose of a presentation may well preclude an indecency determination even though other factors, such as explicitness, might weigh in favor of an indecency finding.”).</w:t>
      </w:r>
    </w:p>
  </w:footnote>
  <w:footnote w:id="38">
    <w:p w14:paraId="142A781D" w14:textId="0F3DE7DE" w:rsidR="001607A3" w:rsidRPr="00394BE7" w:rsidRDefault="001607A3" w:rsidP="00511049">
      <w:pPr>
        <w:pStyle w:val="FootnoteText"/>
      </w:pPr>
      <w:r>
        <w:rPr>
          <w:rStyle w:val="FootnoteReference"/>
        </w:rPr>
        <w:footnoteRef/>
      </w:r>
      <w:r>
        <w:t xml:space="preserve"> </w:t>
      </w:r>
      <w:r>
        <w:rPr>
          <w:i/>
        </w:rPr>
        <w:t>See Action for Children’s Television v. FCC</w:t>
      </w:r>
      <w:r>
        <w:t>, 852 F.2d 1332, 1344</w:t>
      </w:r>
      <w:r w:rsidR="00C67963">
        <w:t xml:space="preserve"> &amp;</w:t>
      </w:r>
      <w:r>
        <w:t xml:space="preserve"> n.14 (D.C. Cir. 1988) (“Broadcast material that is indecent but not obscene is protected by the first Amendment; the FCC may regulate such material only with due respect for the high value our Constitution places on freedom and choice in what people may say</w:t>
      </w:r>
      <w:r w:rsidR="008F6C2F">
        <w:t xml:space="preserve"> and hear,” and any “potential</w:t>
      </w:r>
      <w:r>
        <w:t xml:space="preserve"> chilling effect of the FCC’s generic definition of indecency will be tempered by the Commission’</w:t>
      </w:r>
      <w:r w:rsidR="008F6C2F">
        <w:t>s restrained enforcement policy</w:t>
      </w:r>
      <w:r>
        <w:t xml:space="preserve">”). </w:t>
      </w:r>
    </w:p>
  </w:footnote>
  <w:footnote w:id="39">
    <w:p w14:paraId="3C4EBB9D" w14:textId="1D85119C" w:rsidR="001607A3" w:rsidRPr="00392517" w:rsidRDefault="001607A3" w:rsidP="00511049">
      <w:pPr>
        <w:pStyle w:val="FootnoteText"/>
      </w:pPr>
      <w:r>
        <w:rPr>
          <w:rStyle w:val="FootnoteReference"/>
        </w:rPr>
        <w:footnoteRef/>
      </w:r>
      <w:r>
        <w:t xml:space="preserve"> </w:t>
      </w:r>
      <w:r w:rsidRPr="00CA6164">
        <w:rPr>
          <w:i/>
        </w:rPr>
        <w:t>2006</w:t>
      </w:r>
      <w:r>
        <w:t xml:space="preserve"> </w:t>
      </w:r>
      <w:r>
        <w:rPr>
          <w:i/>
        </w:rPr>
        <w:t>Indecency Omnibus</w:t>
      </w:r>
      <w:r w:rsidRPr="00B921E8">
        <w:rPr>
          <w:i/>
        </w:rPr>
        <w:t xml:space="preserve"> Order</w:t>
      </w:r>
      <w:r>
        <w:t xml:space="preserve">, 21 FCC Rcd at 2668, para. 15.  </w:t>
      </w:r>
      <w:r>
        <w:rPr>
          <w:i/>
        </w:rPr>
        <w:t>See 2006 Indecency Omnibus Remand Order</w:t>
      </w:r>
      <w:r>
        <w:t>, 2</w:t>
      </w:r>
      <w:r w:rsidR="008F6C2F">
        <w:t>1 FCC Rcd at 13327, para. 71 (“[</w:t>
      </w:r>
      <w:r>
        <w:t>I</w:t>
      </w:r>
      <w:r w:rsidR="008F6C2F">
        <w:t>]</w:t>
      </w:r>
      <w:r>
        <w:t xml:space="preserve">n light of the important First Amendment interests at stake as well as the crucial role that context plays in our indecency determinations, it is imperative that we proceed with the utmost restraint when it comes to news programming.”).  </w:t>
      </w:r>
    </w:p>
  </w:footnote>
  <w:footnote w:id="40">
    <w:p w14:paraId="33805006" w14:textId="43360776" w:rsidR="001607A3" w:rsidRPr="00D0383F" w:rsidRDefault="001607A3" w:rsidP="00511049">
      <w:pPr>
        <w:pStyle w:val="FootnoteText"/>
      </w:pPr>
      <w:r>
        <w:rPr>
          <w:rStyle w:val="FootnoteReference"/>
        </w:rPr>
        <w:footnoteRef/>
      </w:r>
      <w:r>
        <w:t xml:space="preserve"> </w:t>
      </w:r>
      <w:r>
        <w:rPr>
          <w:i/>
        </w:rPr>
        <w:t xml:space="preserve">2006 Indecency Omnibus Remand </w:t>
      </w:r>
      <w:r w:rsidRPr="00165D6C">
        <w:rPr>
          <w:i/>
        </w:rPr>
        <w:t>Order</w:t>
      </w:r>
      <w:r>
        <w:t>,</w:t>
      </w:r>
      <w:r w:rsidR="008F6C2F">
        <w:t xml:space="preserve"> 21 FCC Rcd at 13327, para. 71 </w:t>
      </w:r>
      <w:r>
        <w:t>(internal citations omitted).</w:t>
      </w:r>
    </w:p>
  </w:footnote>
  <w:footnote w:id="41">
    <w:p w14:paraId="5C8AD5C9" w14:textId="0A7069A5" w:rsidR="001607A3" w:rsidRPr="00A36B99" w:rsidRDefault="001607A3" w:rsidP="00CE6FE0">
      <w:pPr>
        <w:pStyle w:val="FootnoteText"/>
      </w:pPr>
      <w:r>
        <w:rPr>
          <w:rStyle w:val="FootnoteReference"/>
        </w:rPr>
        <w:footnoteRef/>
      </w:r>
      <w:r>
        <w:t xml:space="preserve"> </w:t>
      </w:r>
      <w:r>
        <w:rPr>
          <w:i/>
        </w:rPr>
        <w:t>See, e.g.</w:t>
      </w:r>
      <w:r>
        <w:t>, Complaint, No. 12-WB15000043; Complaint, Nos. 12-WB14998131 &amp; 12-WB14998136.</w:t>
      </w:r>
    </w:p>
  </w:footnote>
  <w:footnote w:id="42">
    <w:p w14:paraId="55387787" w14:textId="1B6164E7" w:rsidR="001607A3" w:rsidRPr="009578DF" w:rsidRDefault="001607A3">
      <w:pPr>
        <w:pStyle w:val="FootnoteText"/>
      </w:pPr>
      <w:r>
        <w:rPr>
          <w:rStyle w:val="FootnoteReference"/>
        </w:rPr>
        <w:footnoteRef/>
      </w:r>
      <w:r>
        <w:t xml:space="preserve"> </w:t>
      </w:r>
      <w:r>
        <w:rPr>
          <w:i/>
        </w:rPr>
        <w:t>See Indecency Policy Statement</w:t>
      </w:r>
      <w:r w:rsidR="00A66053">
        <w:t>, 16 FCC Rcd at 8003, para. 10</w:t>
      </w:r>
      <w:r>
        <w:t>.</w:t>
      </w:r>
    </w:p>
  </w:footnote>
  <w:footnote w:id="43">
    <w:p w14:paraId="724E6B61" w14:textId="77777777" w:rsidR="001607A3" w:rsidRPr="00B300DB" w:rsidRDefault="001607A3">
      <w:pPr>
        <w:pStyle w:val="FootnoteText"/>
      </w:pPr>
      <w:r>
        <w:rPr>
          <w:rStyle w:val="FootnoteReference"/>
        </w:rPr>
        <w:footnoteRef/>
      </w:r>
      <w:r>
        <w:t xml:space="preserve"> </w:t>
      </w:r>
      <w:r>
        <w:rPr>
          <w:i/>
        </w:rPr>
        <w:t>Id</w:t>
      </w:r>
      <w:r>
        <w:t xml:space="preserve">. at 8003–04, para. 12.  </w:t>
      </w:r>
    </w:p>
  </w:footnote>
  <w:footnote w:id="44">
    <w:p w14:paraId="42A3B817" w14:textId="269EEC97" w:rsidR="00324D3D" w:rsidRDefault="00324D3D">
      <w:pPr>
        <w:pStyle w:val="FootnoteText"/>
      </w:pPr>
      <w:r>
        <w:rPr>
          <w:rStyle w:val="FootnoteReference"/>
        </w:rPr>
        <w:footnoteRef/>
      </w:r>
      <w:r>
        <w:t xml:space="preserve"> We contrast this to precedent concerning a broadcast of a penis </w:t>
      </w:r>
      <w:r w:rsidR="003E0090">
        <w:t xml:space="preserve">that </w:t>
      </w:r>
      <w:r>
        <w:t xml:space="preserve">was not considered indecent because of various factors, including that the image was not at close range.  </w:t>
      </w:r>
      <w:r w:rsidRPr="00113031">
        <w:rPr>
          <w:i/>
        </w:rPr>
        <w:t>See infra</w:t>
      </w:r>
      <w:r w:rsidR="00A66053">
        <w:t xml:space="preserve"> note 5</w:t>
      </w:r>
      <w:r w:rsidR="00E67C45">
        <w:t>7</w:t>
      </w:r>
      <w:r>
        <w:t>.</w:t>
      </w:r>
    </w:p>
  </w:footnote>
  <w:footnote w:id="45">
    <w:p w14:paraId="457A5350" w14:textId="77777777" w:rsidR="001607A3" w:rsidRDefault="001607A3">
      <w:pPr>
        <w:pStyle w:val="FootnoteText"/>
      </w:pPr>
      <w:r>
        <w:rPr>
          <w:rStyle w:val="FootnoteReference"/>
        </w:rPr>
        <w:footnoteRef/>
      </w:r>
      <w:r>
        <w:t xml:space="preserve"> </w:t>
      </w:r>
      <w:r w:rsidRPr="00D854B9">
        <w:rPr>
          <w:i/>
        </w:rPr>
        <w:t>See supra</w:t>
      </w:r>
      <w:r>
        <w:t xml:space="preserve"> note 2.</w:t>
      </w:r>
    </w:p>
  </w:footnote>
  <w:footnote w:id="46">
    <w:p w14:paraId="00DAED46" w14:textId="77777777" w:rsidR="001607A3" w:rsidRPr="00915B1B" w:rsidRDefault="001607A3">
      <w:pPr>
        <w:pStyle w:val="FootnoteText"/>
      </w:pPr>
      <w:r>
        <w:rPr>
          <w:rStyle w:val="FootnoteReference"/>
        </w:rPr>
        <w:footnoteRef/>
      </w:r>
      <w:r>
        <w:t xml:space="preserve"> </w:t>
      </w:r>
      <w:r>
        <w:rPr>
          <w:i/>
        </w:rPr>
        <w:t>Indecency Policy Statement</w:t>
      </w:r>
      <w:r>
        <w:t xml:space="preserve">, 16 FCC Rcd at 8009, para. 19.  </w:t>
      </w:r>
    </w:p>
  </w:footnote>
  <w:footnote w:id="47">
    <w:p w14:paraId="635A7FE9" w14:textId="790AF7F1" w:rsidR="008C7DF5" w:rsidRPr="008C7DF5" w:rsidRDefault="008C7DF5">
      <w:pPr>
        <w:pStyle w:val="FootnoteText"/>
      </w:pPr>
      <w:r>
        <w:rPr>
          <w:rStyle w:val="FootnoteReference"/>
        </w:rPr>
        <w:footnoteRef/>
      </w:r>
      <w:r>
        <w:t xml:space="preserve"> </w:t>
      </w:r>
      <w:r>
        <w:rPr>
          <w:i/>
        </w:rPr>
        <w:t>Id</w:t>
      </w:r>
      <w:r>
        <w:t>. at 8010, para. 20.</w:t>
      </w:r>
    </w:p>
  </w:footnote>
  <w:footnote w:id="48">
    <w:p w14:paraId="5D66A032" w14:textId="52EEB404" w:rsidR="008C7DF5" w:rsidRPr="00F3582D" w:rsidRDefault="008C7DF5" w:rsidP="008C7DF5">
      <w:pPr>
        <w:pStyle w:val="FootnoteText"/>
      </w:pPr>
      <w:r>
        <w:rPr>
          <w:rStyle w:val="FootnoteReference"/>
        </w:rPr>
        <w:footnoteRef/>
      </w:r>
      <w:r>
        <w:t xml:space="preserve"> </w:t>
      </w:r>
      <w:r>
        <w:rPr>
          <w:i/>
        </w:rPr>
        <w:t>See Omnibus Indecency Remand Order</w:t>
      </w:r>
      <w:r>
        <w:t xml:space="preserve">, </w:t>
      </w:r>
      <w:r w:rsidR="00893DFB">
        <w:t xml:space="preserve">21 FCC </w:t>
      </w:r>
      <w:r w:rsidR="002936A0">
        <w:t>Rcd at 13305, para. 17 &amp; n. 43 (</w:t>
      </w:r>
      <w:r w:rsidR="00893DFB">
        <w:t xml:space="preserve">quoting </w:t>
      </w:r>
      <w:r w:rsidR="00893DFB">
        <w:rPr>
          <w:i/>
        </w:rPr>
        <w:t>Complaints Against Various Television Licensees Concerning Their February 1, 2004 Broadcast of the Super Bowl XXXVIII Half-Time Show</w:t>
      </w:r>
      <w:r w:rsidR="00893DFB">
        <w:t>, Order on Reconsi</w:t>
      </w:r>
      <w:r w:rsidR="002936A0">
        <w:t>deration, 21 FCC Rcd 6653, 6657–</w:t>
      </w:r>
      <w:r w:rsidR="00893DFB">
        <w:t xml:space="preserve">58, para. 12 (2006), </w:t>
      </w:r>
      <w:r w:rsidR="00893DFB">
        <w:rPr>
          <w:i/>
        </w:rPr>
        <w:t>vacated on other grounds</w:t>
      </w:r>
      <w:r w:rsidR="00893DFB">
        <w:t xml:space="preserve"> </w:t>
      </w:r>
      <w:r w:rsidR="00893DFB">
        <w:rPr>
          <w:i/>
        </w:rPr>
        <w:t>sub nom. CBS Corp. v. FCC</w:t>
      </w:r>
      <w:r w:rsidR="002936A0">
        <w:t>, 663 F.3d 122 (</w:t>
      </w:r>
      <w:r w:rsidR="00603B03">
        <w:t>3</w:t>
      </w:r>
      <w:r w:rsidR="002936A0">
        <w:t>d</w:t>
      </w:r>
      <w:r w:rsidR="00893DFB">
        <w:t xml:space="preserve"> Cir. 2011)</w:t>
      </w:r>
      <w:r w:rsidR="002936A0">
        <w:t>)</w:t>
      </w:r>
      <w:r w:rsidR="00F3582D">
        <w:t xml:space="preserve">.  </w:t>
      </w:r>
      <w:r w:rsidR="00F3582D">
        <w:rPr>
          <w:i/>
        </w:rPr>
        <w:t xml:space="preserve">See also </w:t>
      </w:r>
      <w:r w:rsidR="002936A0">
        <w:rPr>
          <w:i/>
        </w:rPr>
        <w:t xml:space="preserve">Young Broad. </w:t>
      </w:r>
      <w:r w:rsidR="00F3582D" w:rsidRPr="00F3582D">
        <w:rPr>
          <w:i/>
        </w:rPr>
        <w:t>of San Francisco, Inc</w:t>
      </w:r>
      <w:r w:rsidR="00F3582D" w:rsidRPr="00F3582D">
        <w:t>., Notice of Apparent Liability for Forfeiture, 19 FCC Rcd 1751</w:t>
      </w:r>
      <w:r w:rsidR="002936A0">
        <w:t>, 1757</w:t>
      </w:r>
      <w:r w:rsidR="005E6480">
        <w:t xml:space="preserve">, para. 14 </w:t>
      </w:r>
      <w:r w:rsidR="00F3582D" w:rsidRPr="00F3582D">
        <w:t>(2004) (</w:t>
      </w:r>
      <w:r w:rsidR="00F3582D" w:rsidRPr="00F3582D">
        <w:rPr>
          <w:i/>
        </w:rPr>
        <w:t>Young Broadcasting of San Francisco</w:t>
      </w:r>
      <w:r w:rsidR="00F3582D" w:rsidRPr="00F3582D">
        <w:t>)</w:t>
      </w:r>
      <w:r w:rsidR="00F3582D">
        <w:rPr>
          <w:i/>
        </w:rPr>
        <w:t xml:space="preserve"> </w:t>
      </w:r>
      <w:r w:rsidR="002936A0">
        <w:t>(“[T</w:t>
      </w:r>
      <w:r w:rsidR="00F3582D">
        <w:t xml:space="preserve">]he manner of presentation of the complained-of material … for which the licensee failed to take adequate precautions, was pandering, titillating and shocking.”).  </w:t>
      </w:r>
    </w:p>
  </w:footnote>
  <w:footnote w:id="49">
    <w:p w14:paraId="69CD354C" w14:textId="198F12F1" w:rsidR="001607A3" w:rsidRDefault="001607A3">
      <w:pPr>
        <w:pStyle w:val="FootnoteText"/>
      </w:pPr>
      <w:r>
        <w:rPr>
          <w:rStyle w:val="FootnoteReference"/>
        </w:rPr>
        <w:footnoteRef/>
      </w:r>
      <w:r>
        <w:t xml:space="preserve"> </w:t>
      </w:r>
      <w:r w:rsidRPr="00EE747B">
        <w:rPr>
          <w:i/>
        </w:rPr>
        <w:t>See</w:t>
      </w:r>
      <w:r>
        <w:t xml:space="preserve"> </w:t>
      </w:r>
      <w:r w:rsidRPr="00FE4A5F">
        <w:rPr>
          <w:i/>
        </w:rPr>
        <w:t>supra</w:t>
      </w:r>
      <w:r>
        <w:t xml:space="preserve"> note 2 (Complaint, No. 12-WB14998157 (</w:t>
      </w:r>
      <w:r w:rsidRPr="004108EC">
        <w:t>“I can’t believe they didn’t catch the penis before it went to air.”</w:t>
      </w:r>
      <w:r>
        <w:t>); Complaint, Nos. 12-WB14998131 &amp; 12-WB14998136 (</w:t>
      </w:r>
      <w:r w:rsidR="002936A0">
        <w:t>“</w:t>
      </w:r>
      <w:r w:rsidRPr="004108EC">
        <w:t xml:space="preserve">They also made the suggestion to viewers, including my 4 year old daughter and 10 year old </w:t>
      </w:r>
      <w:r>
        <w:t>[nephew]</w:t>
      </w:r>
      <w:r w:rsidRPr="004108EC">
        <w:t xml:space="preserve"> that were in the room with me, to GOOGLE[™] the name [of the ex-</w:t>
      </w:r>
      <w:r>
        <w:t>film</w:t>
      </w:r>
      <w:r w:rsidRPr="004108EC">
        <w:t xml:space="preserve"> star] and 100’s of pornographic videos come up.”</w:t>
      </w:r>
      <w:r>
        <w:t xml:space="preserve">). </w:t>
      </w:r>
    </w:p>
  </w:footnote>
  <w:footnote w:id="50">
    <w:p w14:paraId="00829E86" w14:textId="77777777" w:rsidR="001607A3" w:rsidRPr="00FA24B7" w:rsidRDefault="001607A3">
      <w:pPr>
        <w:pStyle w:val="FootnoteText"/>
      </w:pPr>
      <w:r>
        <w:rPr>
          <w:rStyle w:val="FootnoteReference"/>
        </w:rPr>
        <w:footnoteRef/>
      </w:r>
      <w:r>
        <w:t xml:space="preserve"> </w:t>
      </w:r>
      <w:r>
        <w:rPr>
          <w:i/>
        </w:rPr>
        <w:t>See 2006 Indecency Omnibus Remand Order</w:t>
      </w:r>
      <w:r>
        <w:t xml:space="preserve">, 21 FCC Rcd at 13327, para. 71. </w:t>
      </w:r>
    </w:p>
  </w:footnote>
  <w:footnote w:id="51">
    <w:p w14:paraId="2E082790" w14:textId="2249C569" w:rsidR="001607A3" w:rsidRPr="006365DE" w:rsidRDefault="001607A3">
      <w:pPr>
        <w:pStyle w:val="FootnoteText"/>
      </w:pPr>
      <w:r>
        <w:rPr>
          <w:rStyle w:val="FootnoteReference"/>
        </w:rPr>
        <w:footnoteRef/>
      </w:r>
      <w:r>
        <w:t xml:space="preserve"> </w:t>
      </w:r>
      <w:r>
        <w:rPr>
          <w:i/>
        </w:rPr>
        <w:t>See 2006 Indecency Omnibus Order</w:t>
      </w:r>
      <w:r w:rsidR="002936A0">
        <w:t xml:space="preserve">, 21 FCC Rcd </w:t>
      </w:r>
      <w:r w:rsidR="004E6D77">
        <w:t>at 26</w:t>
      </w:r>
      <w:r>
        <w:t xml:space="preserve">70, para. 20 (“We emphasize that every licensee is responsible for the decision to air particular programming and will be held accountable for violating federal restrictions on the willful or repeated broadcast of obscene, indecent, or profane material.”).   </w:t>
      </w:r>
    </w:p>
  </w:footnote>
  <w:footnote w:id="52">
    <w:p w14:paraId="09E29197" w14:textId="5EF886B8" w:rsidR="001607A3" w:rsidRDefault="001607A3" w:rsidP="00D267B3">
      <w:pPr>
        <w:pStyle w:val="FootnoteText"/>
      </w:pPr>
      <w:r>
        <w:rPr>
          <w:rStyle w:val="FootnoteReference"/>
        </w:rPr>
        <w:footnoteRef/>
      </w:r>
      <w:r>
        <w:t xml:space="preserve"> </w:t>
      </w:r>
      <w:r w:rsidRPr="00D267B3">
        <w:t xml:space="preserve">As noted, here, the record reflects that the audience did not just </w:t>
      </w:r>
      <w:r w:rsidRPr="00D267B3">
        <w:rPr>
          <w:i/>
        </w:rPr>
        <w:t>potentially</w:t>
      </w:r>
      <w:r w:rsidRPr="00D267B3">
        <w:t xml:space="preserve"> include children; children viewed this </w:t>
      </w:r>
      <w:r>
        <w:t>sexually explicit</w:t>
      </w:r>
      <w:r w:rsidRPr="00D267B3">
        <w:t xml:space="preserve"> material.</w:t>
      </w:r>
      <w:r>
        <w:t xml:space="preserve">  </w:t>
      </w:r>
      <w:r w:rsidRPr="00EE747B">
        <w:rPr>
          <w:i/>
        </w:rPr>
        <w:t>See supra</w:t>
      </w:r>
      <w:r w:rsidR="00192CFF">
        <w:t xml:space="preserve"> note </w:t>
      </w:r>
      <w:r w:rsidR="004E6D77">
        <w:t>48</w:t>
      </w:r>
      <w:r>
        <w:t>.</w:t>
      </w:r>
    </w:p>
  </w:footnote>
  <w:footnote w:id="53">
    <w:p w14:paraId="53F7F767" w14:textId="77777777" w:rsidR="001607A3" w:rsidRPr="00E10FFF" w:rsidRDefault="001607A3" w:rsidP="00C73B40">
      <w:pPr>
        <w:pStyle w:val="FootnoteText"/>
      </w:pPr>
      <w:r>
        <w:rPr>
          <w:rStyle w:val="FootnoteReference"/>
        </w:rPr>
        <w:footnoteRef/>
      </w:r>
      <w:r>
        <w:t xml:space="preserve"> </w:t>
      </w:r>
      <w:r>
        <w:rPr>
          <w:i/>
        </w:rPr>
        <w:t xml:space="preserve">See </w:t>
      </w:r>
      <w:r>
        <w:t xml:space="preserve">LOI Response at 3–6. </w:t>
      </w:r>
    </w:p>
  </w:footnote>
  <w:footnote w:id="54">
    <w:p w14:paraId="5A84B295" w14:textId="1678773E" w:rsidR="00DD61E7" w:rsidRPr="00DD61E7" w:rsidRDefault="00DD61E7">
      <w:pPr>
        <w:pStyle w:val="FootnoteText"/>
      </w:pPr>
      <w:r>
        <w:rPr>
          <w:rStyle w:val="FootnoteReference"/>
        </w:rPr>
        <w:footnoteRef/>
      </w:r>
      <w:r>
        <w:t xml:space="preserve"> </w:t>
      </w:r>
      <w:r>
        <w:rPr>
          <w:i/>
        </w:rPr>
        <w:t xml:space="preserve">Id. </w:t>
      </w:r>
      <w:r>
        <w:t>at 4–5.</w:t>
      </w:r>
    </w:p>
  </w:footnote>
  <w:footnote w:id="55">
    <w:p w14:paraId="41A77A94" w14:textId="77777777" w:rsidR="009E2B8B" w:rsidRDefault="009E2B8B" w:rsidP="009E2B8B">
      <w:pPr>
        <w:pStyle w:val="FootnoteText"/>
      </w:pPr>
      <w:r>
        <w:rPr>
          <w:rStyle w:val="FootnoteReference"/>
        </w:rPr>
        <w:footnoteRef/>
      </w:r>
      <w:r>
        <w:t xml:space="preserve"> </w:t>
      </w:r>
      <w:r w:rsidRPr="000E777D">
        <w:rPr>
          <w:i/>
        </w:rPr>
        <w:t>See FCC Reduces Backlog Of Broadcast Indecency Complaints By 70% (More Than One Million Complaints); Seeks Comment On Adopting Egregious Cases Policy Pleading Cycle Established</w:t>
      </w:r>
      <w:r w:rsidRPr="000E777D">
        <w:t xml:space="preserve">, Public Notice, 28 FCC Rcd 4082 (2013) (2013 Public Notice). </w:t>
      </w:r>
    </w:p>
  </w:footnote>
  <w:footnote w:id="56">
    <w:p w14:paraId="51164479" w14:textId="77777777" w:rsidR="009E2B8B" w:rsidRPr="0029750F" w:rsidRDefault="009E2B8B" w:rsidP="009E2B8B">
      <w:pPr>
        <w:pStyle w:val="FootnoteText"/>
      </w:pPr>
      <w:r>
        <w:rPr>
          <w:rStyle w:val="FootnoteReference"/>
        </w:rPr>
        <w:footnoteRef/>
      </w:r>
      <w:r>
        <w:t xml:space="preserve"> </w:t>
      </w:r>
      <w:r>
        <w:rPr>
          <w:i/>
        </w:rPr>
        <w:t xml:space="preserve">See </w:t>
      </w:r>
      <w:r>
        <w:t>LOI Response at 3–5.</w:t>
      </w:r>
    </w:p>
  </w:footnote>
  <w:footnote w:id="57">
    <w:p w14:paraId="6ADB0CAF" w14:textId="669E5E2B" w:rsidR="001607A3" w:rsidRPr="00D95112" w:rsidRDefault="001607A3">
      <w:pPr>
        <w:pStyle w:val="FootnoteText"/>
      </w:pPr>
      <w:r>
        <w:rPr>
          <w:rStyle w:val="FootnoteReference"/>
        </w:rPr>
        <w:footnoteRef/>
      </w:r>
      <w:r>
        <w:t xml:space="preserve"> </w:t>
      </w:r>
      <w:r>
        <w:rPr>
          <w:i/>
        </w:rPr>
        <w:t>See 2006 Indecency Omnibus Remand Order</w:t>
      </w:r>
      <w:r>
        <w:t xml:space="preserve">, 21 FCC Rcd at 13327, para. 71; </w:t>
      </w:r>
      <w:r>
        <w:rPr>
          <w:i/>
        </w:rPr>
        <w:t>NPR Phoenix, L.L.C.</w:t>
      </w:r>
      <w:r w:rsidR="004E6D77">
        <w:t>, Memorandum Opinion and Order</w:t>
      </w:r>
      <w:r>
        <w:t>, 13 FCC Rcd 1</w:t>
      </w:r>
      <w:r w:rsidR="004E6D77">
        <w:t>4070, 14071, para. 7 (Mass Med</w:t>
      </w:r>
      <w:r w:rsidR="004F0B8B">
        <w:t>ia</w:t>
      </w:r>
      <w:r>
        <w:t xml:space="preserve"> Bur. 1998) (“</w:t>
      </w:r>
      <w:r w:rsidR="00A03855">
        <w:t>[</w:t>
      </w:r>
      <w:r>
        <w:t>W</w:t>
      </w:r>
      <w:r w:rsidR="00A03855">
        <w:t>]</w:t>
      </w:r>
      <w:r>
        <w:t xml:space="preserve">e do not have a ‘news exception’ for indecency cases….”).  </w:t>
      </w:r>
      <w:r>
        <w:rPr>
          <w:i/>
        </w:rPr>
        <w:t xml:space="preserve">See generally Indecency Policy </w:t>
      </w:r>
      <w:r w:rsidRPr="00D95112">
        <w:rPr>
          <w:i/>
        </w:rPr>
        <w:t>Statement</w:t>
      </w:r>
      <w:r w:rsidR="004E6D77">
        <w:t>, 16 FCC Rcd at 8013, para. 22 (</w:t>
      </w:r>
      <w:r>
        <w:t xml:space="preserve">citing </w:t>
      </w:r>
      <w:r w:rsidR="004E6D77">
        <w:rPr>
          <w:i/>
        </w:rPr>
        <w:t>Pac.</w:t>
      </w:r>
      <w:r w:rsidRPr="00D95112">
        <w:rPr>
          <w:i/>
        </w:rPr>
        <w:t xml:space="preserve"> </w:t>
      </w:r>
      <w:r w:rsidR="004E6D77">
        <w:rPr>
          <w:i/>
        </w:rPr>
        <w:t>and S. Co.</w:t>
      </w:r>
      <w:r>
        <w:rPr>
          <w:i/>
        </w:rPr>
        <w:t>, Inc.</w:t>
      </w:r>
      <w:r>
        <w:t xml:space="preserve">, Notice of Apparent Liability for Forfeiture, 6 FCC Rcd 3689 </w:t>
      </w:r>
      <w:r w:rsidR="004E6D77">
        <w:t>(Mass Med</w:t>
      </w:r>
      <w:r w:rsidR="004F0B8B">
        <w:t>ia</w:t>
      </w:r>
      <w:r>
        <w:t xml:space="preserve"> Bur. 1990) (forfeiture paid) (example of case in which licensee unsuccessfully claimed that, because of the context of the broadcast (i.e., alleged news story), the broadcast was not pandering)</w:t>
      </w:r>
      <w:r w:rsidR="004E6D77">
        <w:t>)</w:t>
      </w:r>
      <w:r>
        <w:t>.</w:t>
      </w:r>
    </w:p>
  </w:footnote>
  <w:footnote w:id="58">
    <w:p w14:paraId="70828B0F" w14:textId="39E73559" w:rsidR="001607A3" w:rsidRDefault="001607A3">
      <w:pPr>
        <w:pStyle w:val="FootnoteText"/>
      </w:pPr>
      <w:r>
        <w:rPr>
          <w:rStyle w:val="FootnoteReference"/>
        </w:rPr>
        <w:footnoteRef/>
      </w:r>
      <w:r>
        <w:t xml:space="preserve"> </w:t>
      </w:r>
      <w:r>
        <w:rPr>
          <w:i/>
        </w:rPr>
        <w:t xml:space="preserve">See </w:t>
      </w:r>
      <w:r w:rsidR="004E6D77" w:rsidRPr="00F3582D">
        <w:rPr>
          <w:i/>
        </w:rPr>
        <w:t>Young Broadcasting of San Francisco</w:t>
      </w:r>
      <w:r w:rsidR="00E42BE7">
        <w:t xml:space="preserve">, 19 FCC Rcd </w:t>
      </w:r>
      <w:r w:rsidR="004E6D77">
        <w:t xml:space="preserve">at </w:t>
      </w:r>
      <w:r w:rsidR="00E42BE7">
        <w:t>1751</w:t>
      </w:r>
      <w:r w:rsidR="000E74A7">
        <w:t>, para. 1</w:t>
      </w:r>
      <w:r>
        <w:t xml:space="preserve"> (exposure of a performer’s penis for less than a second during a news interview was patently offensive and actionably indecent).  </w:t>
      </w:r>
      <w:r>
        <w:rPr>
          <w:i/>
        </w:rPr>
        <w:t>But see</w:t>
      </w:r>
      <w:r w:rsidRPr="00A82032">
        <w:t xml:space="preserve"> </w:t>
      </w:r>
      <w:r w:rsidRPr="00A82032">
        <w:rPr>
          <w:i/>
        </w:rPr>
        <w:t>2006</w:t>
      </w:r>
      <w:r w:rsidRPr="00A82032">
        <w:t xml:space="preserve"> </w:t>
      </w:r>
      <w:r w:rsidRPr="00A82032">
        <w:rPr>
          <w:i/>
        </w:rPr>
        <w:t>Indecency Omnibus Order</w:t>
      </w:r>
      <w:r w:rsidRPr="00A82032">
        <w:t>, 21 FCC Rcd at 2716–17, paras. 213–18 (2006</w:t>
      </w:r>
      <w:r>
        <w:t xml:space="preserve">) (exposure of a man’s penis as he is rescued from floodwater wearing only a shirt was not </w:t>
      </w:r>
      <w:r w:rsidRPr="00A82032">
        <w:t xml:space="preserve">indecent because the material was not patently offensive). </w:t>
      </w:r>
      <w:r>
        <w:t xml:space="preserve"> The exposure of a man’s penis during a live news segment on “The Today Show” involving the man’s rescue is distinguishable from the context at issue in </w:t>
      </w:r>
      <w:r>
        <w:rPr>
          <w:i/>
        </w:rPr>
        <w:t>Young Broadcasting of San Francisco</w:t>
      </w:r>
      <w:r>
        <w:t>.  As the man, clothed only in a shirt, is hauled from water level to the boat, his penis is briefly exposed.  Although “The Today Show” segment depicted</w:t>
      </w:r>
      <w:r w:rsidRPr="0069046E">
        <w:t xml:space="preserve"> a sexual organ, </w:t>
      </w:r>
      <w:r>
        <w:t xml:space="preserve">none of the factors of patent offensiveness were present.  </w:t>
      </w:r>
      <w:r w:rsidR="00DA2FD8">
        <w:t>The shot of the man’s penis was not at close range, and is a distant image in footage that displays rescue efforts, and thus is not graphic and explicit.  In addition, the segment did not dwell on or repeat the image of the victim’s penis.  The principal component of the indecency analysis, and the most important in the particular context of the news story</w:t>
      </w:r>
      <w:r w:rsidR="000E74A7">
        <w:t>,</w:t>
      </w:r>
      <w:r w:rsidR="00DA2FD8">
        <w:t xml:space="preserve"> was the finding that the material does not pander to, titillate</w:t>
      </w:r>
      <w:r w:rsidR="000E74A7">
        <w:t>,</w:t>
      </w:r>
      <w:r w:rsidR="00DA2FD8">
        <w:t xml:space="preserve"> or shock the viewing audience.  To the extent that there is shock value, it derives from the rescue effort, and not from the report’s minimal sexual content.  </w:t>
      </w:r>
      <w:r w:rsidRPr="00FC1243">
        <w:rPr>
          <w:i/>
        </w:rPr>
        <w:t>See</w:t>
      </w:r>
      <w:r>
        <w:t xml:space="preserve"> </w:t>
      </w:r>
      <w:r>
        <w:rPr>
          <w:i/>
        </w:rPr>
        <w:t xml:space="preserve">id. </w:t>
      </w:r>
      <w:r>
        <w:t>at 2716–17, para</w:t>
      </w:r>
      <w:r w:rsidR="00DA2FD8">
        <w:t>s</w:t>
      </w:r>
      <w:r>
        <w:t xml:space="preserve">. </w:t>
      </w:r>
      <w:r w:rsidR="00DA2FD8">
        <w:t>215–</w:t>
      </w:r>
      <w:r>
        <w:t xml:space="preserve">17.  By contrast, as discussed below, Young </w:t>
      </w:r>
      <w:r w:rsidR="00E42BE7">
        <w:t xml:space="preserve">Broadcasting of San Francisco </w:t>
      </w:r>
      <w:r w:rsidR="00C32E2F">
        <w:t xml:space="preserve">aired material that was </w:t>
      </w:r>
      <w:r>
        <w:t>patently offensive because it involved depiction of genitalia</w:t>
      </w:r>
      <w:r w:rsidR="000E43A2">
        <w:t xml:space="preserve"> in a manner that was pandering, titillating, and shocking due </w:t>
      </w:r>
      <w:r w:rsidR="003E0090">
        <w:t>to the sexual content of the overall report</w:t>
      </w:r>
      <w:r>
        <w:t xml:space="preserve">.  </w:t>
      </w:r>
      <w:r>
        <w:rPr>
          <w:i/>
        </w:rPr>
        <w:t>See Young Broadcasting of San Francisco</w:t>
      </w:r>
      <w:r w:rsidR="000E74A7">
        <w:t>, 19 FCC Rcd at 1755–</w:t>
      </w:r>
      <w:r>
        <w:t xml:space="preserve">57, paras. 13–14; discussion, </w:t>
      </w:r>
      <w:r w:rsidRPr="00BB7AEF">
        <w:rPr>
          <w:i/>
        </w:rPr>
        <w:t>infra</w:t>
      </w:r>
      <w:r>
        <w:t xml:space="preserve">, para. </w:t>
      </w:r>
      <w:r w:rsidR="00E42BE7">
        <w:t>19</w:t>
      </w:r>
      <w:r>
        <w:t xml:space="preserve">.  </w:t>
      </w:r>
    </w:p>
  </w:footnote>
  <w:footnote w:id="59">
    <w:p w14:paraId="5B1DB775" w14:textId="21F883F8" w:rsidR="001607A3" w:rsidRPr="00A34755" w:rsidRDefault="001607A3" w:rsidP="00985533">
      <w:pPr>
        <w:pStyle w:val="FootnoteText"/>
      </w:pPr>
      <w:r>
        <w:rPr>
          <w:rStyle w:val="FootnoteReference"/>
        </w:rPr>
        <w:footnoteRef/>
      </w:r>
      <w:r>
        <w:t xml:space="preserve"> </w:t>
      </w:r>
      <w:r w:rsidRPr="00EE747B">
        <w:rPr>
          <w:i/>
        </w:rPr>
        <w:t xml:space="preserve">See Young </w:t>
      </w:r>
      <w:r w:rsidRPr="00BA21C8">
        <w:rPr>
          <w:i/>
        </w:rPr>
        <w:t>Broadcasting of San Francisco</w:t>
      </w:r>
      <w:r w:rsidR="000E74A7">
        <w:t>, 19 FCC Rcd at 175</w:t>
      </w:r>
      <w:r w:rsidR="00A03855">
        <w:t>4–5</w:t>
      </w:r>
      <w:r w:rsidR="000E74A7">
        <w:t>5</w:t>
      </w:r>
      <w:r>
        <w:t>, paras. 10, 12</w:t>
      </w:r>
      <w:r>
        <w:rPr>
          <w:i/>
        </w:rPr>
        <w:t>.</w:t>
      </w:r>
    </w:p>
  </w:footnote>
  <w:footnote w:id="60">
    <w:p w14:paraId="1E13EAD5" w14:textId="28D77F7B" w:rsidR="001607A3" w:rsidRPr="005E68B3" w:rsidRDefault="001607A3" w:rsidP="004108EC">
      <w:pPr>
        <w:pStyle w:val="FootnoteText"/>
      </w:pPr>
      <w:r>
        <w:rPr>
          <w:rStyle w:val="FootnoteReference"/>
        </w:rPr>
        <w:footnoteRef/>
      </w:r>
      <w:r>
        <w:t xml:space="preserve"> </w:t>
      </w:r>
      <w:r>
        <w:rPr>
          <w:i/>
        </w:rPr>
        <w:t>See id</w:t>
      </w:r>
      <w:r w:rsidR="000E74A7">
        <w:t>. at 1751–52, para. 2</w:t>
      </w:r>
      <w:r>
        <w:t xml:space="preserve">.  </w:t>
      </w:r>
    </w:p>
  </w:footnote>
  <w:footnote w:id="61">
    <w:p w14:paraId="7D24B35C" w14:textId="6ADC6A02" w:rsidR="001607A3" w:rsidRPr="000E74A7" w:rsidRDefault="001607A3" w:rsidP="004108EC">
      <w:pPr>
        <w:pStyle w:val="FootnoteText"/>
      </w:pPr>
      <w:r>
        <w:rPr>
          <w:rStyle w:val="FootnoteReference"/>
        </w:rPr>
        <w:footnoteRef/>
      </w:r>
      <w:r>
        <w:t xml:space="preserve"> </w:t>
      </w:r>
      <w:r>
        <w:rPr>
          <w:i/>
        </w:rPr>
        <w:t>See id.</w:t>
      </w:r>
      <w:r w:rsidR="000E74A7">
        <w:rPr>
          <w:i/>
        </w:rPr>
        <w:t xml:space="preserve"> </w:t>
      </w:r>
      <w:r w:rsidR="000E74A7">
        <w:t xml:space="preserve">at </w:t>
      </w:r>
      <w:r w:rsidR="00A03855">
        <w:t>1751–52, 1755</w:t>
      </w:r>
      <w:r w:rsidR="000E74A7">
        <w:t>,</w:t>
      </w:r>
      <w:r w:rsidR="00A03855">
        <w:t xml:space="preserve"> </w:t>
      </w:r>
      <w:r w:rsidR="000E74A7">
        <w:t xml:space="preserve"> paras. 2, 12.</w:t>
      </w:r>
    </w:p>
  </w:footnote>
  <w:footnote w:id="62">
    <w:p w14:paraId="71A2F7E2" w14:textId="1CA7745A" w:rsidR="00E32A67" w:rsidRPr="00E32A67" w:rsidRDefault="00E32A67">
      <w:pPr>
        <w:pStyle w:val="FootnoteText"/>
      </w:pPr>
      <w:r>
        <w:rPr>
          <w:rStyle w:val="FootnoteReference"/>
        </w:rPr>
        <w:footnoteRef/>
      </w:r>
      <w:r>
        <w:t xml:space="preserve"> </w:t>
      </w:r>
      <w:r>
        <w:rPr>
          <w:i/>
        </w:rPr>
        <w:t xml:space="preserve">Id. </w:t>
      </w:r>
      <w:r>
        <w:t>at 1756</w:t>
      </w:r>
      <w:r w:rsidR="00A03855">
        <w:t>–57</w:t>
      </w:r>
      <w:r>
        <w:t xml:space="preserve">, para. 14. </w:t>
      </w:r>
    </w:p>
  </w:footnote>
  <w:footnote w:id="63">
    <w:p w14:paraId="0401C34A" w14:textId="34C7C8B9" w:rsidR="001607A3" w:rsidRPr="00731A98" w:rsidRDefault="001607A3">
      <w:pPr>
        <w:pStyle w:val="FootnoteText"/>
      </w:pPr>
      <w:r>
        <w:rPr>
          <w:rStyle w:val="FootnoteReference"/>
        </w:rPr>
        <w:footnoteRef/>
      </w:r>
      <w:r>
        <w:t xml:space="preserve"> </w:t>
      </w:r>
      <w:r>
        <w:rPr>
          <w:i/>
        </w:rPr>
        <w:t xml:space="preserve">See </w:t>
      </w:r>
      <w:r>
        <w:t>LOI Response at 4.  During a live interview on CBS’s “</w:t>
      </w:r>
      <w:r w:rsidRPr="00D000AD">
        <w:t>The Early Show</w:t>
      </w:r>
      <w:r>
        <w:t xml:space="preserve">,” a contestant on “Survivor Vanuatu” described a fellow contestant as “a bullshitter.”  </w:t>
      </w:r>
      <w:r>
        <w:rPr>
          <w:i/>
        </w:rPr>
        <w:t>See 2006 Indecency Omnibus Order</w:t>
      </w:r>
      <w:r>
        <w:t>, 21 FCC Rcd at 2698–99</w:t>
      </w:r>
      <w:r w:rsidR="00C32E2F">
        <w:t xml:space="preserve">, </w:t>
      </w:r>
      <w:r>
        <w:t xml:space="preserve">para. 137.  The Commission initially found this material actionably indecent despite the fact that it was not repeated or dwelled on at length because in context, it was vulgar, graphic and explicit as well as shocking and gratuitous.  </w:t>
      </w:r>
      <w:r>
        <w:rPr>
          <w:i/>
        </w:rPr>
        <w:t>Id</w:t>
      </w:r>
      <w:r>
        <w:t>. at</w:t>
      </w:r>
      <w:r w:rsidR="00E32A67">
        <w:t xml:space="preserve"> 2699,</w:t>
      </w:r>
      <w:r>
        <w:t xml:space="preserve"> paras. 139–42.  On remand, the Commission considered the context of the material as news as it had not done before.  In so doing, the Commission concluded that the material, which did not involve nudity or sexual activity, was not actionably indecent in the context presented, yet held that there is no outright indecency news exemption.  </w:t>
      </w:r>
      <w:r w:rsidRPr="00347AD4">
        <w:rPr>
          <w:i/>
        </w:rPr>
        <w:t>2006 Indecency Omnibus Remand Order</w:t>
      </w:r>
      <w:r>
        <w:t xml:space="preserve">, 21 FCC Rcd at 13327, para. 71 (“To be sure, there is no outright news exemption from our indecency rules.”) (internal citations omitted).  </w:t>
      </w:r>
    </w:p>
  </w:footnote>
  <w:footnote w:id="64">
    <w:p w14:paraId="52ADB2E4" w14:textId="76AC2B98" w:rsidR="001607A3" w:rsidRPr="00731A98" w:rsidRDefault="001607A3">
      <w:pPr>
        <w:pStyle w:val="FootnoteText"/>
      </w:pPr>
      <w:r>
        <w:rPr>
          <w:rStyle w:val="FootnoteReference"/>
        </w:rPr>
        <w:footnoteRef/>
      </w:r>
      <w:r>
        <w:t xml:space="preserve"> </w:t>
      </w:r>
      <w:r w:rsidR="002E33E3">
        <w:rPr>
          <w:i/>
        </w:rPr>
        <w:t>Id.</w:t>
      </w:r>
      <w:r>
        <w:t xml:space="preserve"> </w:t>
      </w:r>
    </w:p>
  </w:footnote>
  <w:footnote w:id="65">
    <w:p w14:paraId="6CB4B9D4" w14:textId="29A9B67E" w:rsidR="001607A3" w:rsidRPr="00DD5B04" w:rsidRDefault="001607A3">
      <w:pPr>
        <w:pStyle w:val="FootnoteText"/>
      </w:pPr>
      <w:r>
        <w:rPr>
          <w:rStyle w:val="FootnoteReference"/>
        </w:rPr>
        <w:footnoteRef/>
      </w:r>
      <w:r>
        <w:t xml:space="preserve"> </w:t>
      </w:r>
      <w:r>
        <w:rPr>
          <w:i/>
        </w:rPr>
        <w:t>See supra</w:t>
      </w:r>
      <w:r>
        <w:t xml:space="preserve"> at paras. 12–1</w:t>
      </w:r>
      <w:r w:rsidR="009911B8">
        <w:t>7</w:t>
      </w:r>
      <w:r>
        <w:t xml:space="preserve">.  </w:t>
      </w:r>
    </w:p>
  </w:footnote>
  <w:footnote w:id="66">
    <w:p w14:paraId="6C49F485" w14:textId="5F27687A" w:rsidR="001607A3" w:rsidRPr="00BA4B1B" w:rsidRDefault="001607A3">
      <w:pPr>
        <w:pStyle w:val="FootnoteText"/>
      </w:pPr>
      <w:r>
        <w:rPr>
          <w:rStyle w:val="FootnoteReference"/>
        </w:rPr>
        <w:footnoteRef/>
      </w:r>
      <w:r>
        <w:t xml:space="preserve"> </w:t>
      </w:r>
      <w:r w:rsidR="00E32A67">
        <w:rPr>
          <w:i/>
        </w:rPr>
        <w:t>See generally</w:t>
      </w:r>
      <w:r>
        <w:rPr>
          <w:i/>
        </w:rPr>
        <w:t xml:space="preserve"> FCC v. CBS Corp.</w:t>
      </w:r>
      <w:r>
        <w:t>, 132 S. Ct. 2677</w:t>
      </w:r>
      <w:r w:rsidR="00A03855">
        <w:t>, 2678</w:t>
      </w:r>
      <w:r>
        <w:t xml:space="preserve"> (2012) (Roberts, Chief J., concurring in the denial of certiorari) (“Even if the Third Circuit is wrong that sanctioning the Super Bowl broadcast constituted an unexplained departure from the FCC’s prior indecency policy, that error has been r</w:t>
      </w:r>
      <w:r w:rsidR="00E32A67">
        <w:t xml:space="preserve">endered moot going forward. … </w:t>
      </w:r>
      <w:r>
        <w:t>It is now clear that the brevity of an indecent broadcast —be it word or image—cannot immuniz</w:t>
      </w:r>
      <w:r w:rsidR="00E32A67">
        <w:t>e [a licensee] from FCC censure</w:t>
      </w:r>
      <w:r>
        <w:t xml:space="preserve">” </w:t>
      </w:r>
      <w:r w:rsidR="00E32A67">
        <w:t>(</w:t>
      </w:r>
      <w:r>
        <w:t xml:space="preserve">citing </w:t>
      </w:r>
      <w:r>
        <w:rPr>
          <w:i/>
        </w:rPr>
        <w:t>Young Broadcasting of San Francisco, Inc.</w:t>
      </w:r>
      <w:r w:rsidR="00E32A67">
        <w:t>, 19 FCC Rcd at 1751</w:t>
      </w:r>
      <w:r>
        <w:t>)</w:t>
      </w:r>
      <w:r w:rsidR="0027479E">
        <w:t>)</w:t>
      </w:r>
      <w:r>
        <w:t xml:space="preserve">.    </w:t>
      </w:r>
    </w:p>
  </w:footnote>
  <w:footnote w:id="67">
    <w:p w14:paraId="0488CB1A" w14:textId="77777777" w:rsidR="001607A3" w:rsidRDefault="001607A3">
      <w:pPr>
        <w:pStyle w:val="FootnoteText"/>
      </w:pPr>
      <w:r>
        <w:rPr>
          <w:rStyle w:val="FootnoteReference"/>
        </w:rPr>
        <w:footnoteRef/>
      </w:r>
      <w:r>
        <w:t xml:space="preserve"> </w:t>
      </w:r>
      <w:r>
        <w:rPr>
          <w:i/>
        </w:rPr>
        <w:t xml:space="preserve">See </w:t>
      </w:r>
      <w:r>
        <w:t>LOI Response at 3.</w:t>
      </w:r>
    </w:p>
  </w:footnote>
  <w:footnote w:id="68">
    <w:p w14:paraId="0EE45920" w14:textId="3419CCBF" w:rsidR="001607A3" w:rsidRPr="00322E41" w:rsidRDefault="001607A3" w:rsidP="006B190E">
      <w:pPr>
        <w:pStyle w:val="FootnoteText"/>
      </w:pPr>
      <w:r>
        <w:rPr>
          <w:rStyle w:val="FootnoteReference"/>
        </w:rPr>
        <w:footnoteRef/>
      </w:r>
      <w:r>
        <w:t xml:space="preserve"> </w:t>
      </w:r>
      <w:r w:rsidR="00322E41">
        <w:t>2013 Public Notice, 28 FCC Rcd at 4083.</w:t>
      </w:r>
    </w:p>
  </w:footnote>
  <w:footnote w:id="69">
    <w:p w14:paraId="693BC856" w14:textId="472DB86F" w:rsidR="001607A3" w:rsidRPr="000F31A0" w:rsidRDefault="001607A3">
      <w:pPr>
        <w:pStyle w:val="FootnoteText"/>
      </w:pPr>
      <w:r>
        <w:rPr>
          <w:rStyle w:val="FootnoteReference"/>
        </w:rPr>
        <w:footnoteRef/>
      </w:r>
      <w:r>
        <w:t xml:space="preserve"> </w:t>
      </w:r>
      <w:r>
        <w:rPr>
          <w:i/>
        </w:rPr>
        <w:t>See Fox I</w:t>
      </w:r>
      <w:r>
        <w:t>, 556 U.S. at 505</w:t>
      </w:r>
      <w:r w:rsidR="00322E41">
        <w:t>–</w:t>
      </w:r>
      <w:r>
        <w:t xml:space="preserve">08; </w:t>
      </w:r>
      <w:r>
        <w:rPr>
          <w:i/>
        </w:rPr>
        <w:t>Fox II</w:t>
      </w:r>
      <w:r>
        <w:t>, 132 S.Ct. at 2312–14.</w:t>
      </w:r>
    </w:p>
  </w:footnote>
  <w:footnote w:id="70">
    <w:p w14:paraId="35816F6C" w14:textId="63A6661E" w:rsidR="001607A3" w:rsidRPr="00BD34B8" w:rsidRDefault="001607A3" w:rsidP="00653645">
      <w:pPr>
        <w:pStyle w:val="FootnoteText"/>
      </w:pPr>
      <w:r>
        <w:rPr>
          <w:rStyle w:val="FootnoteReference"/>
        </w:rPr>
        <w:footnoteRef/>
      </w:r>
      <w:r>
        <w:t xml:space="preserve"> LOI Response at 6, citing </w:t>
      </w:r>
      <w:r>
        <w:rPr>
          <w:i/>
        </w:rPr>
        <w:t>Fox II</w:t>
      </w:r>
      <w:r w:rsidR="00322E41">
        <w:t>, 132 S.Ct. at 2320</w:t>
      </w:r>
      <w:r>
        <w:t xml:space="preserve">.  </w:t>
      </w:r>
    </w:p>
  </w:footnote>
  <w:footnote w:id="71">
    <w:p w14:paraId="419C5674" w14:textId="079FD622" w:rsidR="001607A3" w:rsidRDefault="001607A3" w:rsidP="00653645">
      <w:pPr>
        <w:pStyle w:val="FootnoteText"/>
      </w:pPr>
      <w:r>
        <w:rPr>
          <w:rStyle w:val="FootnoteReference"/>
        </w:rPr>
        <w:footnoteRef/>
      </w:r>
      <w:r>
        <w:t xml:space="preserve"> </w:t>
      </w:r>
      <w:r>
        <w:rPr>
          <w:i/>
        </w:rPr>
        <w:t>See id</w:t>
      </w:r>
      <w:r>
        <w:t>.</w:t>
      </w:r>
      <w:r>
        <w:rPr>
          <w:i/>
        </w:rPr>
        <w:t xml:space="preserve"> </w:t>
      </w:r>
      <w:r w:rsidRPr="00347AD4">
        <w:t>citing</w:t>
      </w:r>
      <w:r>
        <w:rPr>
          <w:i/>
        </w:rPr>
        <w:t xml:space="preserve"> FCC v. Fox Television Stations, Inc</w:t>
      </w:r>
      <w:r w:rsidR="00322E41">
        <w:t>., 556 U.S. 502, 530–</w:t>
      </w:r>
      <w:r>
        <w:t>3</w:t>
      </w:r>
      <w:r w:rsidR="00322E41">
        <w:t>5 (Thomas, J., concurring), 544–</w:t>
      </w:r>
      <w:r>
        <w:t xml:space="preserve">46 (Ginsburg, J., dissenting); </w:t>
      </w:r>
      <w:r>
        <w:rPr>
          <w:i/>
        </w:rPr>
        <w:t>Fox Television Stations, Inc. v</w:t>
      </w:r>
      <w:r>
        <w:t xml:space="preserve">. </w:t>
      </w:r>
      <w:r>
        <w:rPr>
          <w:i/>
        </w:rPr>
        <w:t>FCC</w:t>
      </w:r>
      <w:r w:rsidR="00322E41">
        <w:t>, 613 F.3d 317, 325–</w:t>
      </w:r>
      <w:r>
        <w:t xml:space="preserve">27 (2d Cir. 2010); </w:t>
      </w:r>
      <w:r>
        <w:rPr>
          <w:i/>
        </w:rPr>
        <w:t>Fox Television Stations, Inc. v. FCC</w:t>
      </w:r>
      <w:r w:rsidR="00322E41">
        <w:t>, 489 F. 3d 444, 462–</w:t>
      </w:r>
      <w:r>
        <w:t xml:space="preserve">66 </w:t>
      </w:r>
      <w:r w:rsidR="00322E41">
        <w:t>(2d</w:t>
      </w:r>
      <w:r>
        <w:t xml:space="preserve"> Cir. 2007), </w:t>
      </w:r>
      <w:r>
        <w:rPr>
          <w:i/>
        </w:rPr>
        <w:t>rev’d on other grounds</w:t>
      </w:r>
      <w:r>
        <w:t xml:space="preserve">, 556 U.S. 502 (2009); Brief for Respondents ABC, Inc.; KTRK Television, Inc.; and WLS Television Inc., </w:t>
      </w:r>
      <w:r>
        <w:rPr>
          <w:i/>
        </w:rPr>
        <w:t>FCC v. Fox Television Stations, Inc</w:t>
      </w:r>
      <w:r>
        <w:t xml:space="preserve">., 132 U.S. 2307 (2012) (No. 10-1293).  </w:t>
      </w:r>
    </w:p>
  </w:footnote>
  <w:footnote w:id="72">
    <w:p w14:paraId="25AD8047" w14:textId="1EF7A39E" w:rsidR="001607A3" w:rsidRDefault="001607A3">
      <w:pPr>
        <w:pStyle w:val="FootnoteText"/>
      </w:pPr>
      <w:r>
        <w:rPr>
          <w:rStyle w:val="FootnoteReference"/>
        </w:rPr>
        <w:footnoteRef/>
      </w:r>
      <w:r>
        <w:t xml:space="preserve"> </w:t>
      </w:r>
      <w:r w:rsidR="007A3AC4">
        <w:rPr>
          <w:i/>
        </w:rPr>
        <w:t>See Fox II</w:t>
      </w:r>
      <w:r w:rsidR="007A3AC4">
        <w:t>,</w:t>
      </w:r>
      <w:r>
        <w:rPr>
          <w:i/>
        </w:rPr>
        <w:t xml:space="preserve"> </w:t>
      </w:r>
      <w:r>
        <w:t xml:space="preserve">132 S.Ct. at 2320.  </w:t>
      </w:r>
    </w:p>
  </w:footnote>
  <w:footnote w:id="73">
    <w:p w14:paraId="127444F2" w14:textId="732251C9" w:rsidR="007A3AC4" w:rsidRDefault="007A3AC4">
      <w:pPr>
        <w:pStyle w:val="FootnoteText"/>
      </w:pPr>
      <w:r>
        <w:rPr>
          <w:rStyle w:val="FootnoteReference"/>
        </w:rPr>
        <w:footnoteRef/>
      </w:r>
      <w:r>
        <w:t xml:space="preserve"> 47 U.S.C. § 503(b)(1)(B).</w:t>
      </w:r>
    </w:p>
  </w:footnote>
  <w:footnote w:id="74">
    <w:p w14:paraId="347FC59D" w14:textId="0ABDCC71" w:rsidR="007A3AC4" w:rsidRDefault="007A3AC4">
      <w:pPr>
        <w:pStyle w:val="FootnoteText"/>
      </w:pPr>
      <w:r>
        <w:rPr>
          <w:rStyle w:val="FootnoteReference"/>
        </w:rPr>
        <w:footnoteRef/>
      </w:r>
      <w:r>
        <w:t xml:space="preserve"> 47 U.S.C. § 312(f)(1).</w:t>
      </w:r>
    </w:p>
  </w:footnote>
  <w:footnote w:id="75">
    <w:p w14:paraId="0C1ED8FF" w14:textId="44036906" w:rsidR="001607A3" w:rsidRDefault="001607A3">
      <w:pPr>
        <w:pStyle w:val="FootnoteText"/>
      </w:pPr>
      <w:r>
        <w:rPr>
          <w:rStyle w:val="FootnoteReference"/>
        </w:rPr>
        <w:footnoteRef/>
      </w:r>
      <w:r>
        <w:t xml:space="preserve"> H.R. Rep. No. 97-765, 97</w:t>
      </w:r>
      <w:r w:rsidRPr="00FB6350">
        <w:rPr>
          <w:vertAlign w:val="superscript"/>
        </w:rPr>
        <w:t>th</w:t>
      </w:r>
      <w:r>
        <w:t xml:space="preserve"> Cong. 2d Sess. 51 (1982), reprinted in 1982 U.S.C.C.A.N. 2294</w:t>
      </w:r>
      <w:r w:rsidR="00D34F4F">
        <w:t>–</w:t>
      </w:r>
      <w:r>
        <w:t xml:space="preserve">95 </w:t>
      </w:r>
      <w:r w:rsidRPr="00FB6350">
        <w:t>(“This provision [inserted in Section 312] defines th</w:t>
      </w:r>
      <w:r w:rsidR="007A3AC4">
        <w:t>e term[s] ‘willful’ …</w:t>
      </w:r>
      <w:r w:rsidRPr="00FB6350">
        <w:t xml:space="preserve"> for purposes of section 312</w:t>
      </w:r>
      <w:r w:rsidR="007A3AC4">
        <w:t>,</w:t>
      </w:r>
      <w:r w:rsidRPr="00FB6350">
        <w:t xml:space="preserve"> and for any other relevant section of the act (e.</w:t>
      </w:r>
      <w:r>
        <w:t>g., Section 503) ….As defined</w:t>
      </w:r>
      <w:r w:rsidRPr="00FB6350">
        <w:t xml:space="preserve"> … ‘will</w:t>
      </w:r>
      <w:r>
        <w:t>ful’ means that the licensee kne</w:t>
      </w:r>
      <w:r w:rsidRPr="00FB6350">
        <w:t>w that he was doing the act in question, regardless of whether there was an intent to violate the law</w:t>
      </w:r>
      <w:r>
        <w:t xml:space="preserve">…. </w:t>
      </w:r>
      <w:r w:rsidRPr="00FB6350">
        <w:t>The definitions are intended primarily to clarify the language in Section 312 and 503, and are consistent with the Commission’s application of those terms ….”).</w:t>
      </w:r>
    </w:p>
  </w:footnote>
  <w:footnote w:id="76">
    <w:p w14:paraId="167760C4" w14:textId="11B52BA9" w:rsidR="001607A3" w:rsidRDefault="001607A3">
      <w:pPr>
        <w:pStyle w:val="FootnoteText"/>
      </w:pPr>
      <w:r>
        <w:rPr>
          <w:rStyle w:val="FootnoteReference"/>
        </w:rPr>
        <w:footnoteRef/>
      </w:r>
      <w:r>
        <w:t xml:space="preserve"> </w:t>
      </w:r>
      <w:r w:rsidR="007A3AC4">
        <w:rPr>
          <w:i/>
        </w:rPr>
        <w:t>See, e.g.</w:t>
      </w:r>
      <w:r w:rsidR="007A3AC4">
        <w:t>,</w:t>
      </w:r>
      <w:r w:rsidRPr="00FB6350">
        <w:rPr>
          <w:i/>
        </w:rPr>
        <w:t xml:space="preserve"> S. Cal. Broad. Co.</w:t>
      </w:r>
      <w:r w:rsidRPr="00FB6350">
        <w:t xml:space="preserve">, Memorandum Opinion and Order, 6 FCC Rcd 4387, 4388, para. 5 (1991), </w:t>
      </w:r>
      <w:r>
        <w:rPr>
          <w:i/>
        </w:rPr>
        <w:t>recons. d</w:t>
      </w:r>
      <w:r w:rsidRPr="00FB6350">
        <w:rPr>
          <w:i/>
        </w:rPr>
        <w:t>enied</w:t>
      </w:r>
      <w:r w:rsidRPr="00FB6350">
        <w:t xml:space="preserve">, 7 FCC Rcd 3454 </w:t>
      </w:r>
      <w:r>
        <w:t>(1992)</w:t>
      </w:r>
      <w:r w:rsidRPr="00FB6350">
        <w:t>.</w:t>
      </w:r>
      <w:r w:rsidRPr="00FB6350" w:rsidDel="00484FE7">
        <w:t xml:space="preserve"> </w:t>
      </w:r>
    </w:p>
  </w:footnote>
  <w:footnote w:id="77">
    <w:p w14:paraId="7CC80688" w14:textId="77777777" w:rsidR="001607A3" w:rsidRPr="00AC6B0E" w:rsidRDefault="001607A3" w:rsidP="00EE4C8D">
      <w:pPr>
        <w:pStyle w:val="FootnoteText"/>
      </w:pPr>
      <w:r w:rsidRPr="00AC6B0E">
        <w:rPr>
          <w:rStyle w:val="FootnoteReference"/>
        </w:rPr>
        <w:footnoteRef/>
      </w:r>
      <w:r w:rsidRPr="00AC6B0E">
        <w:t xml:space="preserve"> 47 U.S.C. § 503(b); 47 C.F.R. § 1.80(f).</w:t>
      </w:r>
    </w:p>
  </w:footnote>
  <w:footnote w:id="78">
    <w:p w14:paraId="20AF8C9D" w14:textId="77777777" w:rsidR="001607A3" w:rsidRPr="00AC6B0E" w:rsidRDefault="001607A3" w:rsidP="00EE4C8D">
      <w:pPr>
        <w:pStyle w:val="FootnoteText"/>
      </w:pPr>
      <w:r w:rsidRPr="00AC6B0E">
        <w:rPr>
          <w:rStyle w:val="FootnoteReference"/>
        </w:rPr>
        <w:footnoteRef/>
      </w:r>
      <w:r w:rsidRPr="00AC6B0E">
        <w:rPr>
          <w:i/>
        </w:rPr>
        <w:t xml:space="preserve"> See</w:t>
      </w:r>
      <w:r w:rsidRPr="004D7C2B">
        <w:t>,</w:t>
      </w:r>
      <w:r w:rsidRPr="00AC6B0E">
        <w:rPr>
          <w:i/>
        </w:rPr>
        <w:t xml:space="preserve"> e.g.</w:t>
      </w:r>
      <w:r w:rsidRPr="004D7C2B">
        <w:t xml:space="preserve">, </w:t>
      </w:r>
      <w:r w:rsidRPr="00AC6B0E">
        <w:rPr>
          <w:i/>
        </w:rPr>
        <w:t>SBC Commc</w:t>
      </w:r>
      <w:r>
        <w:rPr>
          <w:i/>
        </w:rPr>
        <w:t>’</w:t>
      </w:r>
      <w:r w:rsidRPr="00AC6B0E">
        <w:rPr>
          <w:i/>
        </w:rPr>
        <w:t>ns, Inc</w:t>
      </w:r>
      <w:r w:rsidRPr="00AC6B0E">
        <w:t>.,</w:t>
      </w:r>
      <w:r w:rsidRPr="00AC6B0E">
        <w:rPr>
          <w:i/>
        </w:rPr>
        <w:t xml:space="preserve"> </w:t>
      </w:r>
      <w:r w:rsidRPr="00AC6B0E">
        <w:t>Forfeiture Order, 17 FCC Rcd 7589, 7591, para. 4 (2002) (forfeiture paid).</w:t>
      </w:r>
    </w:p>
  </w:footnote>
  <w:footnote w:id="79">
    <w:p w14:paraId="09B22A98" w14:textId="27FB038A" w:rsidR="001607A3" w:rsidRPr="007071D2" w:rsidRDefault="001607A3">
      <w:pPr>
        <w:pStyle w:val="FootnoteText"/>
      </w:pPr>
      <w:r>
        <w:rPr>
          <w:rStyle w:val="FootnoteReference"/>
        </w:rPr>
        <w:footnoteRef/>
      </w:r>
      <w:r>
        <w:t xml:space="preserve"> </w:t>
      </w:r>
      <w:r>
        <w:rPr>
          <w:i/>
        </w:rPr>
        <w:t>See</w:t>
      </w:r>
      <w:r>
        <w:t xml:space="preserve"> LOI Response, </w:t>
      </w:r>
      <w:r w:rsidR="00003A91">
        <w:t xml:space="preserve">Photojournalist </w:t>
      </w:r>
      <w:r>
        <w:t xml:space="preserve">Declaration.  </w:t>
      </w:r>
    </w:p>
  </w:footnote>
  <w:footnote w:id="80">
    <w:p w14:paraId="568A46D0" w14:textId="08B82AF4" w:rsidR="0061380F" w:rsidRPr="00003A91" w:rsidRDefault="0061380F">
      <w:pPr>
        <w:pStyle w:val="FootnoteText"/>
      </w:pPr>
      <w:r>
        <w:rPr>
          <w:rStyle w:val="FootnoteReference"/>
        </w:rPr>
        <w:footnoteRef/>
      </w:r>
      <w:r>
        <w:t xml:space="preserve"> </w:t>
      </w:r>
      <w:r>
        <w:rPr>
          <w:i/>
        </w:rPr>
        <w:t xml:space="preserve">See </w:t>
      </w:r>
      <w:r w:rsidR="00603B03">
        <w:rPr>
          <w:i/>
        </w:rPr>
        <w:t>Eure Family Ltd P’</w:t>
      </w:r>
      <w:r w:rsidR="00003A91">
        <w:rPr>
          <w:i/>
        </w:rPr>
        <w:t>ship</w:t>
      </w:r>
      <w:r w:rsidR="00003A91">
        <w:t>, Memorandum Opinion and Order, 17 FCC Rcd 21861, 21863</w:t>
      </w:r>
      <w:r w:rsidR="004940C0">
        <w:t>–</w:t>
      </w:r>
      <w:r w:rsidR="00003A91">
        <w:t>64, para. 7 (2002)</w:t>
      </w:r>
      <w:r w:rsidR="00603B03">
        <w:t xml:space="preserve"> (“[L]icensees and other Commission regulatees are responsible for the acts and omissions of their employees and independent contractors</w:t>
      </w:r>
      <w:r w:rsidR="00003A91">
        <w:t>.</w:t>
      </w:r>
      <w:r w:rsidR="00603B03">
        <w:t>”).</w:t>
      </w:r>
      <w:r w:rsidR="00003A91">
        <w:t xml:space="preserve">  </w:t>
      </w:r>
    </w:p>
  </w:footnote>
  <w:footnote w:id="81">
    <w:p w14:paraId="1318CE9B" w14:textId="4CF825D7" w:rsidR="001607A3" w:rsidRPr="007071D2" w:rsidRDefault="001607A3">
      <w:pPr>
        <w:pStyle w:val="FootnoteText"/>
      </w:pPr>
      <w:r>
        <w:rPr>
          <w:rStyle w:val="FootnoteReference"/>
        </w:rPr>
        <w:footnoteRef/>
      </w:r>
      <w:r>
        <w:t xml:space="preserve"> </w:t>
      </w:r>
      <w:r>
        <w:rPr>
          <w:i/>
        </w:rPr>
        <w:t>See Young Broadcasting of San Francisco</w:t>
      </w:r>
      <w:r>
        <w:t>, 19 FCC Rcd at 1755</w:t>
      </w:r>
      <w:r w:rsidR="004940C0">
        <w:t>–</w:t>
      </w:r>
      <w:r>
        <w:t xml:space="preserve">56, para. 13.  </w:t>
      </w:r>
    </w:p>
  </w:footnote>
  <w:footnote w:id="82">
    <w:p w14:paraId="1C75DFA9" w14:textId="1277B3F8" w:rsidR="003F0430" w:rsidRPr="003F0430" w:rsidRDefault="003F0430">
      <w:pPr>
        <w:pStyle w:val="FootnoteText"/>
        <w:rPr>
          <w:i/>
        </w:rPr>
      </w:pPr>
      <w:r>
        <w:rPr>
          <w:rStyle w:val="FootnoteReference"/>
        </w:rPr>
        <w:footnoteRef/>
      </w:r>
      <w:r>
        <w:t xml:space="preserve"> </w:t>
      </w:r>
      <w:r w:rsidRPr="003F0430">
        <w:rPr>
          <w:i/>
        </w:rPr>
        <w:t>See generally</w:t>
      </w:r>
      <w:r w:rsidRPr="003F0430">
        <w:t xml:space="preserve"> </w:t>
      </w:r>
      <w:hyperlink r:id="rId1" w:tgtFrame="_top" w:history="1">
        <w:r w:rsidRPr="003F0430">
          <w:rPr>
            <w:rStyle w:val="Hyperlink"/>
            <w:bCs/>
            <w:i/>
            <w:color w:val="auto"/>
            <w:u w:val="none"/>
          </w:rPr>
          <w:t>CBS Corp. v. FCC</w:t>
        </w:r>
      </w:hyperlink>
      <w:r w:rsidR="00603B03">
        <w:t xml:space="preserve">, 535 F.3d 167, 206 (3d </w:t>
      </w:r>
      <w:r w:rsidRPr="003F0430">
        <w:t xml:space="preserve">Cir. 2008) (“Recklessness would appear to suffice as the appropriate scienter threshold for the broadcast indecency regime.”), </w:t>
      </w:r>
      <w:r w:rsidRPr="003F0430">
        <w:rPr>
          <w:i/>
        </w:rPr>
        <w:t>vacated and remanded</w:t>
      </w:r>
      <w:r w:rsidRPr="003F0430">
        <w:t xml:space="preserve">, </w:t>
      </w:r>
      <w:r w:rsidRPr="003F0430">
        <w:rPr>
          <w:i/>
        </w:rPr>
        <w:t>FCC v. CBS Corp</w:t>
      </w:r>
      <w:r w:rsidRPr="003F0430">
        <w:t xml:space="preserve">., 556 U.S. 1218 (2009).  On remand, the new majority of the court found that the court’s earlier discussion of the scienter required for a violation was unnecessary and declined to readopt it.  </w:t>
      </w:r>
      <w:r w:rsidRPr="003F0430">
        <w:rPr>
          <w:i/>
        </w:rPr>
        <w:t>CBS Corp. v. FCC</w:t>
      </w:r>
      <w:r w:rsidRPr="003F0430">
        <w:t>, 663 F.3d 122, 134 (</w:t>
      </w:r>
      <w:r w:rsidR="00603B03">
        <w:t xml:space="preserve">3d Cir. </w:t>
      </w:r>
      <w:r w:rsidRPr="003F0430">
        <w:t xml:space="preserve">2011), </w:t>
      </w:r>
      <w:r w:rsidRPr="003F0430">
        <w:rPr>
          <w:i/>
        </w:rPr>
        <w:t>cert. denied</w:t>
      </w:r>
      <w:r w:rsidRPr="003F0430">
        <w:t xml:space="preserve">, 132 S. Ct. 2677 (2012).  </w:t>
      </w:r>
      <w:r>
        <w:rPr>
          <w:i/>
        </w:rPr>
        <w:t>See also Farmer v. Brennan</w:t>
      </w:r>
      <w:r>
        <w:t xml:space="preserve">, 511 U.S. 825, 836 (1994).  </w:t>
      </w:r>
    </w:p>
  </w:footnote>
  <w:footnote w:id="83">
    <w:p w14:paraId="663F7157" w14:textId="77777777" w:rsidR="001607A3" w:rsidRPr="00BA7399" w:rsidRDefault="001607A3">
      <w:pPr>
        <w:pStyle w:val="FootnoteText"/>
      </w:pPr>
      <w:r>
        <w:rPr>
          <w:rStyle w:val="FootnoteReference"/>
        </w:rPr>
        <w:footnoteRef/>
      </w:r>
      <w:r>
        <w:t xml:space="preserve"> </w:t>
      </w:r>
      <w:r>
        <w:rPr>
          <w:i/>
        </w:rPr>
        <w:t xml:space="preserve">See </w:t>
      </w:r>
      <w:r>
        <w:t xml:space="preserve">47 C.F.R. § 1.80; </w:t>
      </w:r>
      <w:r>
        <w:rPr>
          <w:i/>
        </w:rPr>
        <w:t>Commission’s Forfeiture Policy Statement and Amendment of Section 1.80 of the Rules to Incorporate the Forfeiture Guidelines</w:t>
      </w:r>
      <w:r>
        <w:t xml:space="preserve">, Report and Order, 12 FCC Rcd 17087, 17113 (1997), </w:t>
      </w:r>
      <w:r>
        <w:rPr>
          <w:i/>
        </w:rPr>
        <w:t>recons. denied</w:t>
      </w:r>
      <w:r>
        <w:t>, 15 FCC Rcd 303 (1999) (</w:t>
      </w:r>
      <w:r>
        <w:rPr>
          <w:i/>
        </w:rPr>
        <w:t>Forfeiture Policy Statement)</w:t>
      </w:r>
      <w:r>
        <w:t>.</w:t>
      </w:r>
    </w:p>
  </w:footnote>
  <w:footnote w:id="84">
    <w:p w14:paraId="2AEC0773" w14:textId="530D3FB5" w:rsidR="001607A3" w:rsidRPr="00AF2730" w:rsidRDefault="001607A3">
      <w:pPr>
        <w:pStyle w:val="FootnoteText"/>
      </w:pPr>
      <w:r>
        <w:rPr>
          <w:rStyle w:val="FootnoteReference"/>
        </w:rPr>
        <w:footnoteRef/>
      </w:r>
      <w:r>
        <w:t xml:space="preserve"> </w:t>
      </w:r>
      <w:r w:rsidR="000F3001">
        <w:t xml:space="preserve">47 U.S.C. § 503(b)(2)(E).  </w:t>
      </w:r>
      <w:r w:rsidR="000F3001">
        <w:rPr>
          <w:i/>
        </w:rPr>
        <w:t xml:space="preserve">See </w:t>
      </w:r>
      <w:r>
        <w:t>47 C.F.R. § 1.80(b)(8).</w:t>
      </w:r>
    </w:p>
  </w:footnote>
  <w:footnote w:id="85">
    <w:p w14:paraId="3BE68F62" w14:textId="3B4A4C64" w:rsidR="001607A3" w:rsidRPr="009C7858" w:rsidRDefault="001607A3">
      <w:pPr>
        <w:pStyle w:val="FootnoteText"/>
      </w:pPr>
      <w:r>
        <w:rPr>
          <w:rStyle w:val="FootnoteReference"/>
        </w:rPr>
        <w:footnoteRef/>
      </w:r>
      <w:r>
        <w:t xml:space="preserve"> </w:t>
      </w:r>
      <w:r w:rsidRPr="009C7858">
        <w:t>Broadcast Decency Enforcement Act of 200</w:t>
      </w:r>
      <w:r w:rsidRPr="000763D2">
        <w:t>5,</w:t>
      </w:r>
      <w:r w:rsidRPr="009C7858">
        <w:t xml:space="preserve"> Pub. L. No.  109–235, 120 S</w:t>
      </w:r>
      <w:r w:rsidR="000F3001">
        <w:t>tat. 491</w:t>
      </w:r>
      <w:r w:rsidRPr="009C7858">
        <w:t xml:space="preserve">. </w:t>
      </w:r>
      <w:r w:rsidRPr="009C7858">
        <w:rPr>
          <w:i/>
        </w:rPr>
        <w:t>See also</w:t>
      </w:r>
      <w:r w:rsidR="000F3001">
        <w:t xml:space="preserve"> 47 U.S.C. § 503(b)(2)(A), (b)(2)(C)</w:t>
      </w:r>
      <w:r w:rsidRPr="009C7858">
        <w:t xml:space="preserve">. </w:t>
      </w:r>
    </w:p>
  </w:footnote>
  <w:footnote w:id="86">
    <w:p w14:paraId="17177CD1" w14:textId="55F00227" w:rsidR="001607A3" w:rsidRDefault="001607A3">
      <w:pPr>
        <w:pStyle w:val="FootnoteText"/>
      </w:pPr>
      <w:r>
        <w:rPr>
          <w:rStyle w:val="FootnoteReference"/>
        </w:rPr>
        <w:footnoteRef/>
      </w:r>
      <w:r>
        <w:t xml:space="preserve"> </w:t>
      </w:r>
      <w:r w:rsidRPr="000213CC">
        <w:rPr>
          <w:i/>
        </w:rPr>
        <w:t>Amendment of Section 1.80(b)(1) of the Commission’s Rules Increase of Forfeiture Maxima for Obscene, Indecent, and Profane Broadcasts to Implement the Broadcast Decency Enforcement Act of 2005</w:t>
      </w:r>
      <w:r w:rsidRPr="000213CC">
        <w:t>, Order, 22 FCC Rcd</w:t>
      </w:r>
      <w:r>
        <w:t xml:space="preserve"> </w:t>
      </w:r>
      <w:r w:rsidRPr="000213CC">
        <w:t>10418 (2007) (</w:t>
      </w:r>
      <w:r w:rsidRPr="000213CC">
        <w:rPr>
          <w:i/>
        </w:rPr>
        <w:t xml:space="preserve">2007 </w:t>
      </w:r>
      <w:r>
        <w:rPr>
          <w:i/>
        </w:rPr>
        <w:t xml:space="preserve">Inflation Adjustment </w:t>
      </w:r>
      <w:r w:rsidRPr="000213CC">
        <w:rPr>
          <w:i/>
        </w:rPr>
        <w:t>Order</w:t>
      </w:r>
      <w:r w:rsidRPr="000213CC">
        <w:t xml:space="preserve">). </w:t>
      </w:r>
      <w:r>
        <w:t xml:space="preserve"> </w:t>
      </w:r>
      <w:r w:rsidRPr="000213CC">
        <w:t xml:space="preserve">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000F3001">
        <w:t xml:space="preserve"> </w:t>
      </w:r>
      <w:r w:rsidRPr="000213CC">
        <w:rPr>
          <w:i/>
        </w:rPr>
        <w:t>See Amendment of Section 1.80(b) of the Commission’s Rules, Adjustment of Civil Monetary Penalties to Reflect Inflation,</w:t>
      </w:r>
      <w:r w:rsidRPr="000213CC">
        <w:t xml:space="preserve"> Order, 28 FCC Rcd 10785 (Enf. Bur. 2013)</w:t>
      </w:r>
      <w:r>
        <w:t xml:space="preserve"> (</w:t>
      </w:r>
      <w:r>
        <w:rPr>
          <w:i/>
        </w:rPr>
        <w:t>2013 Inflation Adjustment Order)</w:t>
      </w:r>
      <w:r w:rsidRPr="000213CC">
        <w:t>;</w:t>
      </w:r>
      <w:r>
        <w:t xml:space="preserve"> </w:t>
      </w:r>
      <w:r w:rsidRPr="000213CC">
        <w:rPr>
          <w:i/>
        </w:rPr>
        <w:t>see also Inflation Adjustment of Monetary Penalties</w:t>
      </w:r>
      <w:r w:rsidRPr="000213CC">
        <w:t xml:space="preserve">, 78 Fed. Reg. 49,370–01 (Aug. 14, 2013) (setting Sept. 13, 2013, as the effective date for increases). </w:t>
      </w:r>
    </w:p>
  </w:footnote>
  <w:footnote w:id="87">
    <w:p w14:paraId="7B1C2C13" w14:textId="077AB49F" w:rsidR="001607A3" w:rsidRPr="002B0EF3" w:rsidRDefault="001607A3">
      <w:pPr>
        <w:pStyle w:val="FootnoteText"/>
      </w:pPr>
      <w:r>
        <w:rPr>
          <w:rStyle w:val="FootnoteReference"/>
        </w:rPr>
        <w:footnoteRef/>
      </w:r>
      <w:r>
        <w:t xml:space="preserve"> We note that at the time of the broadcast at issue here, the statutory maximum forfeiture for a violation of the indecency laws was $325,000.  The current statutory maximum is $350,000.  </w:t>
      </w:r>
      <w:r>
        <w:rPr>
          <w:i/>
        </w:rPr>
        <w:t>See</w:t>
      </w:r>
      <w:r>
        <w:t xml:space="preserve"> 47 C.F.R. § 1.80(b)(1) (</w:t>
      </w:r>
      <w:r w:rsidR="000F3001">
        <w:t>“</w:t>
      </w:r>
      <w:r>
        <w:t>[I]f the violator is a broadcast station licensee …, and if the violator is determined by the Commission to have broadcast obscene, indecent, or profane material, the forfeiture penalty under this section shall not exceed $350,000 for each violation or each day of a continuing violation, except that the amount assessed for any continuing violation shall not exceed a total of $3,300,000 for any single act or failure to act described in paragraph (a) of this section.”)</w:t>
      </w:r>
      <w:r w:rsidR="00B4526D">
        <w:t xml:space="preserve">.  The </w:t>
      </w:r>
      <w:r w:rsidR="00B4526D">
        <w:rPr>
          <w:i/>
        </w:rPr>
        <w:t>2013 Inflation A</w:t>
      </w:r>
      <w:r w:rsidR="00B4526D" w:rsidRPr="00FC7305">
        <w:rPr>
          <w:i/>
        </w:rPr>
        <w:t>djustment</w:t>
      </w:r>
      <w:r w:rsidR="00B4526D">
        <w:t xml:space="preserve"> </w:t>
      </w:r>
      <w:r w:rsidR="00B4526D">
        <w:rPr>
          <w:i/>
        </w:rPr>
        <w:t xml:space="preserve">Order </w:t>
      </w:r>
      <w:r w:rsidR="00B4526D">
        <w:t xml:space="preserve">increased the maximum forfeiture amount for obscene, indecent, or profane broadcasts aired after September 13, 2013, to $350,000.  </w:t>
      </w:r>
      <w:r w:rsidR="00B4526D">
        <w:rPr>
          <w:i/>
        </w:rPr>
        <w:t xml:space="preserve">See </w:t>
      </w:r>
      <w:r w:rsidR="00B4526D">
        <w:t xml:space="preserve">28 FCC Rcd at </w:t>
      </w:r>
      <w:r w:rsidR="00CF3A0F">
        <w:t>10787, n.16</w:t>
      </w:r>
      <w:r w:rsidR="00B4526D">
        <w:t xml:space="preserve">. </w:t>
      </w:r>
      <w:r w:rsidR="00B4526D">
        <w:rPr>
          <w:i/>
        </w:rPr>
        <w:t xml:space="preserve"> </w:t>
      </w:r>
      <w:r w:rsidR="00B4526D" w:rsidRPr="000213CC">
        <w:t xml:space="preserve">However, because the DCIA specifies that any inflationary adjustment “shall apply only to violations which occur after the date the increase takes effect,” we apply the forfeiture penalties in effect at the time that violation took place. </w:t>
      </w:r>
      <w:r w:rsidR="00B4526D">
        <w:t xml:space="preserve"> </w:t>
      </w:r>
      <w:r w:rsidR="00B4526D" w:rsidRPr="000213CC">
        <w:t>28 U.S.C. § 2461 note (6</w:t>
      </w:r>
      <w:r w:rsidR="00B4526D">
        <w:t>).  Here, because the violation</w:t>
      </w:r>
      <w:r w:rsidR="00B4526D" w:rsidRPr="000213CC">
        <w:t xml:space="preserve"> at issue occurred before September 13, 2013, </w:t>
      </w:r>
      <w:r w:rsidR="00B4526D">
        <w:t>the applicable maximum penalty is</w:t>
      </w:r>
      <w:r w:rsidR="00B4526D" w:rsidRPr="000213CC">
        <w:t xml:space="preserve"> </w:t>
      </w:r>
      <w:r w:rsidR="00B4526D">
        <w:t xml:space="preserve">$325,000, </w:t>
      </w:r>
      <w:r w:rsidR="00B4526D" w:rsidRPr="000213CC">
        <w:t xml:space="preserve">based on the Commission’s </w:t>
      </w:r>
      <w:r w:rsidR="00B4526D" w:rsidRPr="000213CC">
        <w:rPr>
          <w:i/>
        </w:rPr>
        <w:t>2007</w:t>
      </w:r>
      <w:r w:rsidR="00B4526D">
        <w:rPr>
          <w:i/>
        </w:rPr>
        <w:t xml:space="preserve"> Inflation Adjustment</w:t>
      </w:r>
      <w:r w:rsidR="00B4526D" w:rsidRPr="000213CC">
        <w:rPr>
          <w:i/>
        </w:rPr>
        <w:t xml:space="preserve"> Order.</w:t>
      </w:r>
      <w:r w:rsidR="00B4526D" w:rsidRPr="000213CC">
        <w:t xml:space="preserve"> </w:t>
      </w:r>
      <w:r w:rsidR="00B4526D">
        <w:t xml:space="preserve"> </w:t>
      </w:r>
      <w:r w:rsidR="00B4526D" w:rsidRPr="000213CC">
        <w:rPr>
          <w:i/>
        </w:rPr>
        <w:t xml:space="preserve">See </w:t>
      </w:r>
      <w:r w:rsidR="00B4526D" w:rsidRPr="000213CC">
        <w:t xml:space="preserve">22 FCC Rcd at 10420; </w:t>
      </w:r>
      <w:r w:rsidR="00B4526D" w:rsidRPr="000213CC">
        <w:rPr>
          <w:i/>
        </w:rPr>
        <w:t>see also</w:t>
      </w:r>
      <w:r w:rsidR="00B4526D" w:rsidRPr="000213CC">
        <w:t xml:space="preserve"> </w:t>
      </w:r>
      <w:r w:rsidR="00B4526D">
        <w:rPr>
          <w:i/>
        </w:rPr>
        <w:t xml:space="preserve">2013 Inflation Adjustment </w:t>
      </w:r>
      <w:r w:rsidR="00B4526D" w:rsidRPr="000E29B2">
        <w:rPr>
          <w:i/>
        </w:rPr>
        <w:t>Order</w:t>
      </w:r>
      <w:r w:rsidR="00B4526D">
        <w:t xml:space="preserve">, </w:t>
      </w:r>
      <w:r w:rsidR="00B4526D" w:rsidRPr="000E29B2">
        <w:t>28</w:t>
      </w:r>
      <w:r w:rsidR="00B4526D" w:rsidRPr="000213CC">
        <w:t xml:space="preserve"> FCC Rcd at 1078</w:t>
      </w:r>
      <w:r w:rsidR="000F3001">
        <w:t>6–8</w:t>
      </w:r>
      <w:r w:rsidR="00B4526D" w:rsidRPr="000213CC">
        <w:t>7, para. 4 &amp; n</w:t>
      </w:r>
      <w:r w:rsidR="00B4526D">
        <w:t xml:space="preserve">n. 12 &amp; </w:t>
      </w:r>
      <w:r w:rsidR="00B4526D" w:rsidRPr="000213CC">
        <w:t>16</w:t>
      </w:r>
      <w:r w:rsidR="00B4526D">
        <w:t xml:space="preserve"> (noting that the maximum forfeiture penalty for obscene, indecent</w:t>
      </w:r>
      <w:r w:rsidR="00852109">
        <w:t>,</w:t>
      </w:r>
      <w:r w:rsidR="00B4526D">
        <w:t xml:space="preserve"> and profane broadcasts was set in 2007 and has not been adjusted since)</w:t>
      </w:r>
      <w:r w:rsidR="00B4526D" w:rsidRPr="000213CC">
        <w:t>.</w:t>
      </w:r>
      <w:r w:rsidR="00B4526D" w:rsidRPr="000213CC">
        <w:rPr>
          <w:i/>
        </w:rPr>
        <w:t xml:space="preserve"> </w:t>
      </w:r>
    </w:p>
  </w:footnote>
  <w:footnote w:id="88">
    <w:p w14:paraId="6D5C528A" w14:textId="0300D226" w:rsidR="001607A3" w:rsidRDefault="001607A3">
      <w:pPr>
        <w:pStyle w:val="FootnoteText"/>
      </w:pPr>
      <w:r>
        <w:rPr>
          <w:rStyle w:val="FootnoteReference"/>
        </w:rPr>
        <w:footnoteRef/>
      </w:r>
      <w:r>
        <w:t xml:space="preserve"> </w:t>
      </w:r>
      <w:r>
        <w:rPr>
          <w:i/>
        </w:rPr>
        <w:t xml:space="preserve">See supra </w:t>
      </w:r>
      <w:r w:rsidR="00F41649">
        <w:t xml:space="preserve">note </w:t>
      </w:r>
      <w:r w:rsidR="00852109">
        <w:t>48</w:t>
      </w:r>
      <w:r>
        <w:t xml:space="preserve">, Complaint, Nos. 12-WB14998131 &amp; 12-WB14998136 (Complainant states </w:t>
      </w:r>
      <w:r w:rsidR="00F41649">
        <w:t>that viewers of the sexually explicit</w:t>
      </w:r>
      <w:r>
        <w:t xml:space="preserve"> material aired by WDBJ “included my 4 year old daughter and 10 year old nephew</w:t>
      </w:r>
      <w:r w:rsidR="00852109">
        <w:t xml:space="preserve"> [who] were in the room with me</w:t>
      </w:r>
      <w:r>
        <w:t xml:space="preserve">”). </w:t>
      </w:r>
    </w:p>
  </w:footnote>
  <w:footnote w:id="89">
    <w:p w14:paraId="09D75EF0" w14:textId="079A769A" w:rsidR="001607A3" w:rsidRDefault="001607A3">
      <w:pPr>
        <w:pStyle w:val="FootnoteText"/>
      </w:pPr>
      <w:r>
        <w:rPr>
          <w:rStyle w:val="FootnoteReference"/>
        </w:rPr>
        <w:footnoteRef/>
      </w:r>
      <w:r>
        <w:t xml:space="preserve"> </w:t>
      </w:r>
      <w:r w:rsidRPr="005E0E55">
        <w:rPr>
          <w:i/>
        </w:rPr>
        <w:t>See</w:t>
      </w:r>
      <w:r w:rsidR="00852109">
        <w:rPr>
          <w:i/>
        </w:rPr>
        <w:t xml:space="preserve"> </w:t>
      </w:r>
      <w:r w:rsidR="00852109">
        <w:t>Schurz Communications, Inc., About, available at</w:t>
      </w:r>
      <w:r w:rsidRPr="005E0E55">
        <w:rPr>
          <w:i/>
        </w:rPr>
        <w:t xml:space="preserve"> </w:t>
      </w:r>
      <w:r w:rsidRPr="005E0E55">
        <w:t>http://www.sch</w:t>
      </w:r>
      <w:r w:rsidR="00852109">
        <w:t xml:space="preserve">urz.com/about/ (last visited </w:t>
      </w:r>
      <w:r w:rsidR="009E2B8B">
        <w:t>Feb</w:t>
      </w:r>
      <w:r w:rsidR="00852109">
        <w:t xml:space="preserve">. </w:t>
      </w:r>
      <w:r w:rsidR="009E2B8B">
        <w:t>2</w:t>
      </w:r>
      <w:r w:rsidR="00852109">
        <w:t>5</w:t>
      </w:r>
      <w:r w:rsidRPr="005E0E55">
        <w:t>, 201</w:t>
      </w:r>
      <w:r w:rsidR="009E2B8B">
        <w:t>5</w:t>
      </w:r>
      <w:r w:rsidRPr="005E0E55">
        <w:t xml:space="preserve">).  </w:t>
      </w:r>
    </w:p>
  </w:footnote>
  <w:footnote w:id="90">
    <w:p w14:paraId="2661D8C2" w14:textId="77777777" w:rsidR="001607A3" w:rsidRPr="005E0E55" w:rsidRDefault="001607A3">
      <w:pPr>
        <w:pStyle w:val="FootnoteText"/>
      </w:pPr>
      <w:r>
        <w:rPr>
          <w:rStyle w:val="FootnoteReference"/>
        </w:rPr>
        <w:footnoteRef/>
      </w:r>
      <w:r>
        <w:t xml:space="preserve"> </w:t>
      </w:r>
      <w:r>
        <w:rPr>
          <w:i/>
        </w:rPr>
        <w:t>Id</w:t>
      </w:r>
      <w:r>
        <w:t>.</w:t>
      </w:r>
    </w:p>
  </w:footnote>
  <w:footnote w:id="91">
    <w:p w14:paraId="12C54D77" w14:textId="77777777" w:rsidR="001607A3" w:rsidRDefault="001607A3">
      <w:pPr>
        <w:pStyle w:val="FootnoteText"/>
      </w:pPr>
      <w:r>
        <w:rPr>
          <w:rStyle w:val="FootnoteReference"/>
        </w:rPr>
        <w:footnoteRef/>
      </w:r>
      <w:r>
        <w:t xml:space="preserve"> </w:t>
      </w:r>
      <w:r w:rsidRPr="005E0E55">
        <w:t xml:space="preserve">Dun &amp; Bradstreet WorldBase, DUNS® Number 00-521-3269 (Dec. 17, 2013).  </w:t>
      </w:r>
    </w:p>
  </w:footnote>
  <w:footnote w:id="92">
    <w:p w14:paraId="3639908B" w14:textId="77777777" w:rsidR="001607A3" w:rsidRPr="00F93D62" w:rsidRDefault="001607A3" w:rsidP="00F93D62">
      <w:pPr>
        <w:pStyle w:val="FootnoteText"/>
      </w:pPr>
      <w:r>
        <w:rPr>
          <w:rStyle w:val="FootnoteReference"/>
        </w:rPr>
        <w:footnoteRef/>
      </w:r>
      <w:r>
        <w:t xml:space="preserve"> </w:t>
      </w:r>
      <w:r w:rsidRPr="00F93D62">
        <w:t>Specifically, the Commission found:</w:t>
      </w:r>
    </w:p>
    <w:p w14:paraId="596AF4D1" w14:textId="77777777" w:rsidR="001607A3" w:rsidRDefault="001607A3" w:rsidP="00154F22">
      <w:pPr>
        <w:pStyle w:val="FootnoteText"/>
        <w:spacing w:after="0"/>
        <w:ind w:left="720"/>
      </w:pPr>
      <w:r w:rsidRPr="00154F22">
        <w:t xml:space="preserve">[O]n the other end of the spectrum of potential violators, we recognize that for large </w:t>
      </w:r>
    </w:p>
    <w:p w14:paraId="773EEB56" w14:textId="77777777" w:rsidR="001607A3" w:rsidRDefault="001607A3" w:rsidP="00154F22">
      <w:pPr>
        <w:pStyle w:val="FootnoteText"/>
        <w:spacing w:after="0"/>
        <w:ind w:left="720"/>
      </w:pPr>
      <w:r w:rsidRPr="00154F22">
        <w:t>or highly</w:t>
      </w:r>
      <w:r>
        <w:t xml:space="preserve"> </w:t>
      </w:r>
      <w:r w:rsidRPr="00154F22">
        <w:t xml:space="preserve">profitable communications entities, the base forfeiture amounts … are </w:t>
      </w:r>
    </w:p>
    <w:p w14:paraId="43D73448" w14:textId="77777777" w:rsidR="001607A3" w:rsidRDefault="001607A3" w:rsidP="00154F22">
      <w:pPr>
        <w:pStyle w:val="FootnoteText"/>
        <w:spacing w:after="0"/>
        <w:ind w:left="720"/>
      </w:pPr>
      <w:r w:rsidRPr="00154F22">
        <w:t>generally low.  In this</w:t>
      </w:r>
      <w:r>
        <w:t xml:space="preserve"> </w:t>
      </w:r>
      <w:r w:rsidRPr="00154F22">
        <w:t>regard, we are mindful that, as Congress has stated, for a forfeiture</w:t>
      </w:r>
    </w:p>
    <w:p w14:paraId="31FD99AE" w14:textId="77777777" w:rsidR="001607A3" w:rsidRDefault="001607A3" w:rsidP="00154F22">
      <w:pPr>
        <w:pStyle w:val="FootnoteText"/>
        <w:spacing w:after="0"/>
        <w:ind w:left="720"/>
      </w:pPr>
      <w:r w:rsidRPr="00154F22">
        <w:t>to be an effective deterrent</w:t>
      </w:r>
      <w:r>
        <w:t xml:space="preserve"> </w:t>
      </w:r>
      <w:r w:rsidRPr="00154F22">
        <w:t xml:space="preserve">against these entities, the forfeiture must be issued at a high </w:t>
      </w:r>
    </w:p>
    <w:p w14:paraId="68FD74C9" w14:textId="77777777" w:rsidR="001607A3" w:rsidRDefault="001607A3" w:rsidP="00154F22">
      <w:pPr>
        <w:pStyle w:val="FootnoteText"/>
        <w:spacing w:after="0"/>
        <w:ind w:left="720"/>
      </w:pPr>
      <w:r w:rsidRPr="00154F22">
        <w:t xml:space="preserve">level.  For this reason, we caution all entities and individuals that, independent from the </w:t>
      </w:r>
    </w:p>
    <w:p w14:paraId="5E763549" w14:textId="77777777" w:rsidR="001607A3" w:rsidRDefault="001607A3" w:rsidP="00154F22">
      <w:pPr>
        <w:pStyle w:val="FootnoteText"/>
        <w:spacing w:after="0"/>
        <w:ind w:left="720"/>
      </w:pPr>
      <w:r w:rsidRPr="00154F22">
        <w:t xml:space="preserve">uniform base forfeiture amounts … we intend to take into account the subject violator’s </w:t>
      </w:r>
    </w:p>
    <w:p w14:paraId="77E70B6E" w14:textId="77777777" w:rsidR="001607A3" w:rsidRDefault="001607A3" w:rsidP="00154F22">
      <w:pPr>
        <w:pStyle w:val="FootnoteText"/>
        <w:spacing w:after="0"/>
        <w:ind w:left="720"/>
      </w:pPr>
      <w:r w:rsidRPr="00154F22">
        <w:t>ability to pay in determining the amount of a forfeiture</w:t>
      </w:r>
      <w:r>
        <w:t xml:space="preserve"> </w:t>
      </w:r>
      <w:r w:rsidRPr="00154F22">
        <w:t xml:space="preserve">to guarantee that forfeitures issued </w:t>
      </w:r>
    </w:p>
    <w:p w14:paraId="75AE79F6" w14:textId="77777777" w:rsidR="001607A3" w:rsidRDefault="001607A3" w:rsidP="00154F22">
      <w:pPr>
        <w:pStyle w:val="FootnoteText"/>
        <w:spacing w:after="0"/>
        <w:ind w:left="720"/>
      </w:pPr>
      <w:r w:rsidRPr="00154F22">
        <w:t>against large or highly profitable entities are not considered merely an affordable cost of</w:t>
      </w:r>
    </w:p>
    <w:p w14:paraId="4189CE13" w14:textId="77777777" w:rsidR="001607A3" w:rsidRDefault="001607A3" w:rsidP="00154F22">
      <w:pPr>
        <w:pStyle w:val="FootnoteText"/>
        <w:spacing w:after="0"/>
        <w:ind w:left="720"/>
      </w:pPr>
      <w:r w:rsidRPr="00154F22">
        <w:t xml:space="preserve">doing business.  Such large or highly profitable entities should expect in this regard that </w:t>
      </w:r>
    </w:p>
    <w:p w14:paraId="5EB3848B" w14:textId="77777777" w:rsidR="001607A3" w:rsidRDefault="001607A3" w:rsidP="00154F22">
      <w:pPr>
        <w:pStyle w:val="FootnoteText"/>
        <w:spacing w:after="0"/>
        <w:ind w:left="720"/>
      </w:pPr>
      <w:r w:rsidRPr="00154F22">
        <w:t xml:space="preserve">the forfeiture amount set out in a Notice of Apparent Liability against them may in many </w:t>
      </w:r>
    </w:p>
    <w:p w14:paraId="27F0B9F0" w14:textId="77777777" w:rsidR="001607A3" w:rsidRPr="00154F22" w:rsidRDefault="001607A3" w:rsidP="00154F22">
      <w:pPr>
        <w:pStyle w:val="FootnoteText"/>
        <w:spacing w:after="0"/>
        <w:ind w:left="720"/>
      </w:pPr>
      <w:r w:rsidRPr="00154F22">
        <w:t>cases be above, or even well above, the relevant base amount.</w:t>
      </w:r>
    </w:p>
    <w:p w14:paraId="591A062D" w14:textId="77777777" w:rsidR="001607A3" w:rsidRPr="00852109" w:rsidRDefault="001607A3" w:rsidP="00876B36">
      <w:pPr>
        <w:pStyle w:val="FootnoteText"/>
        <w:ind w:left="720"/>
        <w:rPr>
          <w:sz w:val="2"/>
        </w:rPr>
      </w:pPr>
    </w:p>
    <w:p w14:paraId="566BCBF5" w14:textId="59C12768" w:rsidR="001607A3" w:rsidRPr="00F93D62" w:rsidRDefault="001607A3" w:rsidP="00F93D62">
      <w:pPr>
        <w:pStyle w:val="FootnoteText"/>
      </w:pPr>
      <w:r w:rsidRPr="00F93D62">
        <w:rPr>
          <w:i/>
        </w:rPr>
        <w:t xml:space="preserve">Forfeiture Policy </w:t>
      </w:r>
      <w:r w:rsidRPr="00290B6E">
        <w:rPr>
          <w:i/>
        </w:rPr>
        <w:t>Statement</w:t>
      </w:r>
      <w:r w:rsidR="00A03855">
        <w:t>, 12 FCC Rcd at 1709</w:t>
      </w:r>
      <w:r w:rsidRPr="00F93D62">
        <w:t xml:space="preserve">9–100, para. 24.  </w:t>
      </w:r>
      <w:r w:rsidR="00852109">
        <w:rPr>
          <w:i/>
        </w:rPr>
        <w:t>See Journal Broad.</w:t>
      </w:r>
      <w:r w:rsidRPr="00F93D62">
        <w:rPr>
          <w:i/>
        </w:rPr>
        <w:t xml:space="preserve"> Corp</w:t>
      </w:r>
      <w:r w:rsidRPr="00F93D62">
        <w:t xml:space="preserve">., Notice of Apparent Liability for Forfeiture, 24 FCC Rcd </w:t>
      </w:r>
      <w:r w:rsidR="00852109">
        <w:t>10251, 10254–55, para. 12 &amp; n.30</w:t>
      </w:r>
      <w:r w:rsidRPr="00F93D62">
        <w:t xml:space="preserve"> (Enf. Bur. 2009) (upward adjustment based in part on size and ability to pay because target is “a leading television and radio station operator with 35 radio stations and 12 television stations” with net yearly sales of $112,900,000); </w:t>
      </w:r>
      <w:r w:rsidRPr="00F93D62">
        <w:rPr>
          <w:i/>
        </w:rPr>
        <w:t>Kyocera Comm</w:t>
      </w:r>
      <w:r w:rsidR="00852109">
        <w:rPr>
          <w:i/>
        </w:rPr>
        <w:t>c’ns</w:t>
      </w:r>
      <w:r w:rsidRPr="00F93D62">
        <w:rPr>
          <w:i/>
        </w:rPr>
        <w:t>, Inc.</w:t>
      </w:r>
      <w:r w:rsidRPr="00F93D62">
        <w:t>, Notice of Apparent Liability for Forfeiture, 28 FCC Rcd 5987, 5991, para. 10 &amp; n.30 (Enf. Bur. 2013) (finding that target has significant gross revenues based on its reported net sales for fiscal year ending March 2012), Consent Decree, 29 FCC Rcd 3494 (Enf. Bur. 2014) (terminating investigation but not vacating or otherwise overr</w:t>
      </w:r>
      <w:r w:rsidR="004F0B8B">
        <w:t xml:space="preserve">uling findings in underlying </w:t>
      </w:r>
      <w:r w:rsidR="004F0B8B" w:rsidRPr="00F93D62">
        <w:t>Notice of Apparent Liability for Forfeiture</w:t>
      </w:r>
      <w:r w:rsidRPr="00F93D62">
        <w:t>).</w:t>
      </w:r>
      <w:r>
        <w:t xml:space="preserve">  </w:t>
      </w:r>
      <w:r>
        <w:rPr>
          <w:i/>
        </w:rPr>
        <w:t>See also</w:t>
      </w:r>
      <w:r>
        <w:t xml:space="preserve"> </w:t>
      </w:r>
      <w:r w:rsidR="004F0B8B">
        <w:rPr>
          <w:i/>
        </w:rPr>
        <w:t>Turner Broad. Sys.</w:t>
      </w:r>
      <w:r w:rsidRPr="00F93D62">
        <w:rPr>
          <w:i/>
        </w:rPr>
        <w:t>, Inc.</w:t>
      </w:r>
      <w:r>
        <w:t>, Notice of Apparent Liability for Forfeiture, 29 FCC Rcd 752, 758, para. 15 (2014) (forfeiture paid).</w:t>
      </w:r>
    </w:p>
  </w:footnote>
  <w:footnote w:id="93">
    <w:p w14:paraId="7B47971A" w14:textId="4D997646" w:rsidR="00101BE4" w:rsidRPr="00FD2F5E" w:rsidRDefault="00101BE4">
      <w:pPr>
        <w:pStyle w:val="FootnoteText"/>
      </w:pPr>
      <w:r>
        <w:rPr>
          <w:rStyle w:val="FootnoteReference"/>
        </w:rPr>
        <w:footnoteRef/>
      </w:r>
      <w:r>
        <w:t xml:space="preserve"> </w:t>
      </w:r>
      <w:r w:rsidR="00FD2F5E">
        <w:rPr>
          <w:i/>
        </w:rPr>
        <w:t>See</w:t>
      </w:r>
      <w:r w:rsidR="00FD2F5E">
        <w:t xml:space="preserve"> LOI Response at Photojournalist Declaration.  </w:t>
      </w:r>
    </w:p>
  </w:footnote>
  <w:footnote w:id="94">
    <w:p w14:paraId="007C4728" w14:textId="68174D76" w:rsidR="001607A3" w:rsidRDefault="001607A3" w:rsidP="00196D5A">
      <w:pPr>
        <w:pStyle w:val="FootnoteText"/>
      </w:pPr>
      <w:r>
        <w:rPr>
          <w:rStyle w:val="FootnoteReference"/>
        </w:rPr>
        <w:footnoteRef/>
      </w:r>
      <w:r>
        <w:t xml:space="preserve"> </w:t>
      </w:r>
      <w:r w:rsidRPr="00205130">
        <w:rPr>
          <w:i/>
        </w:rPr>
        <w:t>WAGT</w:t>
      </w:r>
      <w:r w:rsidRPr="00205130">
        <w:rPr>
          <w:i/>
          <w:iCs/>
        </w:rPr>
        <w:t xml:space="preserve"> T</w:t>
      </w:r>
      <w:r w:rsidRPr="003F202F">
        <w:rPr>
          <w:i/>
          <w:iCs/>
        </w:rPr>
        <w:t>elevision, Inc.</w:t>
      </w:r>
      <w:r w:rsidRPr="003F202F">
        <w:t>, Notice of Apparent Liability for Forfeiture, 28 FCC Rcd 5179 (</w:t>
      </w:r>
      <w:r w:rsidR="003F0430">
        <w:t xml:space="preserve">proposed $10,000 forfeiture </w:t>
      </w:r>
      <w:r w:rsidR="008421C0">
        <w:t xml:space="preserve">against a station of </w:t>
      </w:r>
      <w:r w:rsidR="007A2F52">
        <w:t xml:space="preserve">an affiliated licensee </w:t>
      </w:r>
      <w:r w:rsidR="00387230">
        <w:t xml:space="preserve">of </w:t>
      </w:r>
      <w:r w:rsidR="008421C0">
        <w:t>which S</w:t>
      </w:r>
      <w:r w:rsidR="00F41649">
        <w:t>churz is also the parent for it</w:t>
      </w:r>
      <w:r w:rsidR="007A2F52">
        <w:t>s apparent will</w:t>
      </w:r>
      <w:r w:rsidRPr="003F202F">
        <w:t>ful</w:t>
      </w:r>
      <w:r w:rsidR="007A2F52">
        <w:t xml:space="preserve"> and/or repeated</w:t>
      </w:r>
      <w:r w:rsidRPr="003F202F">
        <w:t xml:space="preserve"> violated Section 73.3526(e)(11)(iii) of the Rules, by failing to publicize the</w:t>
      </w:r>
      <w:r w:rsidR="007A2F52">
        <w:t xml:space="preserve"> existence and location of the s</w:t>
      </w:r>
      <w:r w:rsidR="004F0B8B">
        <w:t>tation’</w:t>
      </w:r>
      <w:r w:rsidRPr="003F202F">
        <w:t xml:space="preserve">s Children's Television Programming Reports (Form 398)), </w:t>
      </w:r>
      <w:r w:rsidRPr="003F202F">
        <w:rPr>
          <w:i/>
          <w:iCs/>
        </w:rPr>
        <w:t>request for partial remission or reduction in forfeiture dismissed</w:t>
      </w:r>
      <w:r w:rsidRPr="003F202F">
        <w:t>, Letter, 28 FCC Rcd 10936 (Media Bur. 2013).</w:t>
      </w:r>
      <w:r>
        <w:t xml:space="preserve">  </w:t>
      </w:r>
    </w:p>
  </w:footnote>
  <w:footnote w:id="95">
    <w:p w14:paraId="3AC27225" w14:textId="2128E59E" w:rsidR="001607A3" w:rsidRPr="00D37379" w:rsidRDefault="001607A3" w:rsidP="009278A6">
      <w:pPr>
        <w:pStyle w:val="FootnoteText"/>
      </w:pPr>
      <w:r>
        <w:rPr>
          <w:rStyle w:val="FootnoteReference"/>
        </w:rPr>
        <w:footnoteRef/>
      </w:r>
      <w:r>
        <w:t xml:space="preserve"> </w:t>
      </w:r>
      <w:r w:rsidRPr="00D50BDC">
        <w:rPr>
          <w:i/>
        </w:rPr>
        <w:t>See Radio License Holding XI, LLC</w:t>
      </w:r>
      <w:r w:rsidRPr="00D50BDC">
        <w:t>, Forfei</w:t>
      </w:r>
      <w:r>
        <w:t>ture Order, 29 FCC Rcd 1623, 1630, para. 16 &amp; n.61 (2014) (</w:t>
      </w:r>
      <w:r w:rsidR="004F0B8B">
        <w:rPr>
          <w:i/>
        </w:rPr>
        <w:t>Radio License Holding XI</w:t>
      </w:r>
      <w:r>
        <w:t>) (forfeiture paid) (</w:t>
      </w:r>
      <w:r w:rsidR="00816C7A">
        <w:t>finding that based on specific facts and</w:t>
      </w:r>
      <w:r w:rsidR="004F0B8B">
        <w:t xml:space="preserve"> the </w:t>
      </w:r>
      <w:r>
        <w:t xml:space="preserve">totality of the circumstances of case, including nature, extent and gravity of violations, and in the absence of any creditable mitigating factors, </w:t>
      </w:r>
      <w:r w:rsidR="004F0B8B">
        <w:t>record as a whole did</w:t>
      </w:r>
      <w:r>
        <w:t xml:space="preserve"> not support downward adjustment of forfeiture penalty).  </w:t>
      </w:r>
      <w:r>
        <w:rPr>
          <w:i/>
        </w:rPr>
        <w:t>See also TV Max, Inc.</w:t>
      </w:r>
      <w:r w:rsidR="004F0B8B">
        <w:t xml:space="preserve">, Forfeiture Order, </w:t>
      </w:r>
      <w:r w:rsidR="004F0B8B" w:rsidRPr="004F0B8B">
        <w:rPr>
          <w:iCs/>
        </w:rPr>
        <w:t>29 FCC Rcd 8648</w:t>
      </w:r>
      <w:r>
        <w:t>,</w:t>
      </w:r>
      <w:r w:rsidR="004F0B8B">
        <w:t xml:space="preserve"> 8660, para. 24 (</w:t>
      </w:r>
      <w:r>
        <w:t>2014) (claimed record of compliance may be outweighed by application of other factors under Section 503(b)).</w:t>
      </w:r>
    </w:p>
  </w:footnote>
  <w:footnote w:id="96">
    <w:p w14:paraId="50A1BA27" w14:textId="5CC0E541" w:rsidR="001607A3" w:rsidRPr="00DF0F0B" w:rsidRDefault="001607A3" w:rsidP="00D47011">
      <w:pPr>
        <w:pStyle w:val="FootnoteText"/>
      </w:pPr>
      <w:r>
        <w:rPr>
          <w:rStyle w:val="FootnoteReference"/>
        </w:rPr>
        <w:footnoteRef/>
      </w:r>
      <w:r>
        <w:t xml:space="preserve"> </w:t>
      </w:r>
      <w:r>
        <w:rPr>
          <w:i/>
        </w:rPr>
        <w:t xml:space="preserve">See </w:t>
      </w:r>
      <w:r w:rsidR="0050644A" w:rsidRPr="00D50BDC">
        <w:rPr>
          <w:i/>
        </w:rPr>
        <w:t>Radio License Holding XI</w:t>
      </w:r>
      <w:r w:rsidR="0050644A" w:rsidRPr="00D50BDC">
        <w:t xml:space="preserve">, </w:t>
      </w:r>
      <w:r w:rsidR="0050644A">
        <w:t>29 FCC Rcd at 1629</w:t>
      </w:r>
      <w:r w:rsidR="00A03855">
        <w:t>–30</w:t>
      </w:r>
      <w:r w:rsidR="0050644A">
        <w:t>, para. 15.</w:t>
      </w:r>
      <w:r>
        <w:t xml:space="preserve"> </w:t>
      </w:r>
    </w:p>
  </w:footnote>
  <w:footnote w:id="97">
    <w:p w14:paraId="676F3EC3" w14:textId="77777777" w:rsidR="001607A3" w:rsidRDefault="001607A3">
      <w:pPr>
        <w:pStyle w:val="FootnoteText"/>
      </w:pPr>
      <w:r>
        <w:rPr>
          <w:rStyle w:val="FootnoteReference"/>
        </w:rPr>
        <w:footnoteRef/>
      </w:r>
      <w:r>
        <w:t xml:space="preserve"> LOI Response at 3.  </w:t>
      </w:r>
    </w:p>
  </w:footnote>
  <w:footnote w:id="98">
    <w:p w14:paraId="31C79B74" w14:textId="77777777" w:rsidR="001607A3" w:rsidRPr="00D50BDC" w:rsidRDefault="001607A3">
      <w:pPr>
        <w:pStyle w:val="FootnoteText"/>
        <w:rPr>
          <w:i/>
        </w:rPr>
      </w:pPr>
      <w:r>
        <w:rPr>
          <w:rStyle w:val="FootnoteReference"/>
        </w:rPr>
        <w:footnoteRef/>
      </w:r>
      <w:r w:rsidRPr="00D50BDC">
        <w:rPr>
          <w:i/>
        </w:rPr>
        <w:t xml:space="preserve"> See Radio License Holding XI</w:t>
      </w:r>
      <w:r w:rsidRPr="00D50BDC">
        <w:t xml:space="preserve">, </w:t>
      </w:r>
      <w:r>
        <w:t>29 FCC Rcd at 1629</w:t>
      </w:r>
      <w:r w:rsidRPr="00D50BDC">
        <w:t>, para. 15</w:t>
      </w:r>
      <w:r>
        <w:t>–16</w:t>
      </w:r>
      <w:r w:rsidRPr="00D50BDC">
        <w:t xml:space="preserve"> </w:t>
      </w:r>
      <w:r>
        <w:t xml:space="preserve">&amp; n.61 (mitigation for remedial measures taken prior to investigation is not automatic and depends on other Section 503(b)(2)(E) and Section 1.80(b)(8) factors; a downward adjustment of the forfeiture amount for violation of the sponsorship identification Rule is not warranted where the licensee failed to report violations to the Commission or to ameliorate the effects of its prior violations).  </w:t>
      </w:r>
    </w:p>
  </w:footnote>
  <w:footnote w:id="99">
    <w:p w14:paraId="51A37819" w14:textId="2E710E6C" w:rsidR="001607A3" w:rsidRDefault="001607A3">
      <w:pPr>
        <w:pStyle w:val="FootnoteText"/>
      </w:pPr>
      <w:r>
        <w:rPr>
          <w:rStyle w:val="FootnoteReference"/>
        </w:rPr>
        <w:footnoteRef/>
      </w:r>
      <w:r>
        <w:t xml:space="preserve"> </w:t>
      </w:r>
      <w:r>
        <w:rPr>
          <w:i/>
        </w:rPr>
        <w:t xml:space="preserve">See </w:t>
      </w:r>
      <w:r>
        <w:t>H.R. Rep. No. 109-5, 109</w:t>
      </w:r>
      <w:r w:rsidRPr="00FB6350">
        <w:rPr>
          <w:vertAlign w:val="superscript"/>
        </w:rPr>
        <w:t>th</w:t>
      </w:r>
      <w:r>
        <w:t xml:space="preserve"> Cong. 1st Sess. 51 (2005), r</w:t>
      </w:r>
      <w:r w:rsidR="007751E5">
        <w:t>eprinted in 2005 U.S.C.C.A.N. 1–</w:t>
      </w:r>
      <w:r>
        <w:t>22.</w:t>
      </w:r>
    </w:p>
  </w:footnote>
  <w:footnote w:id="100">
    <w:p w14:paraId="1345D10B" w14:textId="474445E7" w:rsidR="00D300D1" w:rsidRDefault="00D300D1">
      <w:pPr>
        <w:pStyle w:val="FootnoteText"/>
      </w:pPr>
      <w:r>
        <w:rPr>
          <w:rStyle w:val="FootnoteReference"/>
        </w:rPr>
        <w:footnoteRef/>
      </w:r>
      <w:r>
        <w:t xml:space="preserve"> </w:t>
      </w:r>
      <w:r w:rsidR="0050644A">
        <w:rPr>
          <w:i/>
          <w:color w:val="000000" w:themeColor="text1"/>
        </w:rPr>
        <w:t xml:space="preserve">See </w:t>
      </w:r>
      <w:r w:rsidRPr="00D300D1">
        <w:rPr>
          <w:i/>
          <w:color w:val="000000" w:themeColor="text1"/>
        </w:rPr>
        <w:t>Pacifica</w:t>
      </w:r>
      <w:r w:rsidR="0050644A">
        <w:rPr>
          <w:color w:val="000000" w:themeColor="text1"/>
        </w:rPr>
        <w:t>, 438 U.S. at 761</w:t>
      </w:r>
      <w:r w:rsidRPr="00D300D1">
        <w:rPr>
          <w:color w:val="000000" w:themeColor="text1"/>
        </w:rPr>
        <w:t xml:space="preserve">; </w:t>
      </w:r>
      <w:r w:rsidR="003E6709">
        <w:rPr>
          <w:rStyle w:val="emphi"/>
          <w:i/>
          <w:color w:val="000000" w:themeColor="text1"/>
        </w:rPr>
        <w:t>Action for Children’</w:t>
      </w:r>
      <w:r w:rsidR="00A03855">
        <w:rPr>
          <w:rStyle w:val="emphi"/>
          <w:i/>
          <w:color w:val="000000" w:themeColor="text1"/>
        </w:rPr>
        <w:t>s Television</w:t>
      </w:r>
      <w:r w:rsidR="0050644A">
        <w:rPr>
          <w:rStyle w:val="emphi"/>
          <w:color w:val="000000" w:themeColor="text1"/>
        </w:rPr>
        <w:t>,</w:t>
      </w:r>
      <w:r w:rsidR="0050644A">
        <w:rPr>
          <w:rStyle w:val="emphi"/>
          <w:i/>
          <w:color w:val="000000" w:themeColor="text1"/>
        </w:rPr>
        <w:t xml:space="preserve"> </w:t>
      </w:r>
      <w:r w:rsidR="0050644A">
        <w:rPr>
          <w:color w:val="000000" w:themeColor="text1"/>
        </w:rPr>
        <w:t>852 F</w:t>
      </w:r>
      <w:r w:rsidR="005B2E30">
        <w:rPr>
          <w:color w:val="000000" w:themeColor="text1"/>
        </w:rPr>
        <w:t>.</w:t>
      </w:r>
      <w:r w:rsidR="0050644A">
        <w:rPr>
          <w:color w:val="000000" w:themeColor="text1"/>
        </w:rPr>
        <w:t>2d at 1340, 1344</w:t>
      </w:r>
      <w:r w:rsidRPr="00D300D1">
        <w:rPr>
          <w:color w:val="000000" w:themeColor="text1"/>
        </w:rPr>
        <w:t>.</w:t>
      </w:r>
    </w:p>
  </w:footnote>
  <w:footnote w:id="101">
    <w:p w14:paraId="07433173" w14:textId="2FBE08B7" w:rsidR="001607A3" w:rsidRDefault="001607A3">
      <w:pPr>
        <w:pStyle w:val="FootnoteText"/>
      </w:pPr>
      <w:r>
        <w:rPr>
          <w:rStyle w:val="FootnoteReference"/>
        </w:rPr>
        <w:footnoteRef/>
      </w:r>
      <w:r>
        <w:t xml:space="preserve"> 18 U.S.C. § 1464; 47 U.S.C. § 503(b); 47 C.F.R. §</w:t>
      </w:r>
      <w:r w:rsidR="00CD11A0">
        <w:t>§ 1.80,</w:t>
      </w:r>
      <w:r>
        <w:t xml:space="preserve"> 73.3999. </w:t>
      </w:r>
    </w:p>
  </w:footnote>
  <w:footnote w:id="102">
    <w:p w14:paraId="313C986B" w14:textId="3C08C99C" w:rsidR="00CD11A0" w:rsidRDefault="00CD11A0">
      <w:pPr>
        <w:pStyle w:val="FootnoteText"/>
      </w:pPr>
      <w:r>
        <w:rPr>
          <w:rStyle w:val="FootnoteReference"/>
        </w:rPr>
        <w:footnoteRef/>
      </w:r>
      <w:r>
        <w:t xml:space="preserve"> 47 C.F.R. § 1.80.</w:t>
      </w:r>
    </w:p>
  </w:footnote>
  <w:footnote w:id="103">
    <w:p w14:paraId="37CCBE80" w14:textId="77777777" w:rsidR="001607A3" w:rsidRPr="00AC6B0E" w:rsidRDefault="001607A3" w:rsidP="004B7BAF">
      <w:pPr>
        <w:pStyle w:val="FootnoteText"/>
      </w:pPr>
      <w:r w:rsidRPr="00AC6B0E">
        <w:rPr>
          <w:rStyle w:val="FootnoteReference"/>
        </w:rPr>
        <w:footnoteRef/>
      </w:r>
      <w:r w:rsidRPr="00AC6B0E">
        <w:t xml:space="preserve"> </w:t>
      </w:r>
      <w:r w:rsidRPr="00AC6B0E">
        <w:rPr>
          <w:rFonts w:eastAsia="MS Mincho" w:cs="Arial"/>
        </w:rPr>
        <w:t>An FCC Form 159 and detailed instructions for completing the form may be obtained at http://www.fcc.gov/Forms/Form159/159.pdf.</w:t>
      </w:r>
    </w:p>
  </w:footnote>
  <w:footnote w:id="104">
    <w:p w14:paraId="44B51768" w14:textId="77777777" w:rsidR="001607A3" w:rsidRPr="00B37861" w:rsidRDefault="001607A3">
      <w:pPr>
        <w:pStyle w:val="FootnoteText"/>
      </w:pPr>
      <w:r>
        <w:rPr>
          <w:rStyle w:val="FootnoteReference"/>
        </w:rPr>
        <w:footnoteRef/>
      </w:r>
      <w:r>
        <w:t xml:space="preserve"> </w:t>
      </w:r>
      <w:r>
        <w:rPr>
          <w:i/>
        </w:rPr>
        <w:t xml:space="preserve">See </w:t>
      </w:r>
      <w:r>
        <w:t>47 C.F.R. § 1.1914.</w:t>
      </w:r>
    </w:p>
  </w:footnote>
  <w:footnote w:id="105">
    <w:p w14:paraId="724FC1A0" w14:textId="77777777" w:rsidR="001607A3" w:rsidRDefault="001607A3">
      <w:pPr>
        <w:pStyle w:val="FootnoteText"/>
      </w:pPr>
      <w:r>
        <w:rPr>
          <w:rStyle w:val="FootnoteReference"/>
        </w:rPr>
        <w:footnoteRef/>
      </w:r>
      <w:r>
        <w:t xml:space="preserve"> 47 C.F.R. §§ 1.16, 1.80(f)(3).   </w:t>
      </w:r>
    </w:p>
  </w:footnote>
  <w:footnote w:id="106">
    <w:p w14:paraId="78C416F3" w14:textId="77953980" w:rsidR="001607A3" w:rsidRDefault="001607A3">
      <w:pPr>
        <w:pStyle w:val="FootnoteText"/>
      </w:pPr>
      <w:r>
        <w:rPr>
          <w:rStyle w:val="FootnoteReference"/>
        </w:rPr>
        <w:footnoteRef/>
      </w:r>
      <w:r>
        <w:t xml:space="preserve"> WDBJ shall be the only party to a forfeiture </w:t>
      </w:r>
      <w:r w:rsidR="00CD11A0">
        <w:t>proceeding initiated by this Notice of Apparent Liability for Forfeiture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4AE0" w14:textId="77777777" w:rsidR="00C15955" w:rsidRDefault="00C15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7503" w14:textId="5F7C9155" w:rsidR="00236D58" w:rsidRPr="00236D58" w:rsidRDefault="00236D58" w:rsidP="00236D58">
    <w:pPr>
      <w:pStyle w:val="Header"/>
    </w:pPr>
    <w:r w:rsidRPr="00236D58">
      <w:rPr>
        <w:noProof/>
      </w:rPr>
      <mc:AlternateContent>
        <mc:Choice Requires="wps">
          <w:drawing>
            <wp:anchor distT="0" distB="0" distL="114300" distR="114300" simplePos="0" relativeHeight="251661312" behindDoc="1" locked="0" layoutInCell="0" allowOverlap="1" wp14:anchorId="7B790194" wp14:editId="1C7D75F2">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236D58">
      <w:tab/>
      <w:t>Federal Communications Commission</w:t>
    </w:r>
    <w:r w:rsidRPr="00236D58">
      <w:tab/>
    </w:r>
    <w:r w:rsidR="00DE141A">
      <w:t>FCC 15-32</w:t>
    </w:r>
  </w:p>
  <w:p w14:paraId="51559030" w14:textId="08375B42" w:rsidR="001607A3" w:rsidRDefault="001607A3" w:rsidP="00810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5C62" w14:textId="5426E10B" w:rsidR="0084375C" w:rsidRPr="0084375C" w:rsidRDefault="0084375C" w:rsidP="0084375C">
    <w:pPr>
      <w:pStyle w:val="Header"/>
    </w:pPr>
    <w:r w:rsidRPr="0084375C">
      <w:rPr>
        <w:noProof/>
      </w:rPr>
      <mc:AlternateContent>
        <mc:Choice Requires="wps">
          <w:drawing>
            <wp:anchor distT="0" distB="0" distL="114300" distR="114300" simplePos="0" relativeHeight="251659264" behindDoc="1" locked="0" layoutInCell="0" allowOverlap="1" wp14:anchorId="35F8ECFC" wp14:editId="0DBDC449">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75C">
      <w:tab/>
      <w:t>Federal Communications Commission</w:t>
    </w:r>
    <w:r w:rsidRPr="0084375C">
      <w:tab/>
    </w:r>
    <w:r w:rsidR="00DE141A">
      <w:t>FCC 15-32</w:t>
    </w:r>
  </w:p>
  <w:p w14:paraId="1A5CC3CB" w14:textId="0EFE60A6" w:rsidR="001607A3" w:rsidRDefault="001607A3"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27138B"/>
    <w:multiLevelType w:val="hybridMultilevel"/>
    <w:tmpl w:val="FC00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AC"/>
    <w:rsid w:val="00001B18"/>
    <w:rsid w:val="00003A91"/>
    <w:rsid w:val="00003D29"/>
    <w:rsid w:val="000065D6"/>
    <w:rsid w:val="0001048B"/>
    <w:rsid w:val="00015DAB"/>
    <w:rsid w:val="00020F0F"/>
    <w:rsid w:val="000213CC"/>
    <w:rsid w:val="00026FB7"/>
    <w:rsid w:val="00027290"/>
    <w:rsid w:val="0003068D"/>
    <w:rsid w:val="00032F93"/>
    <w:rsid w:val="00035447"/>
    <w:rsid w:val="00036039"/>
    <w:rsid w:val="00036DD2"/>
    <w:rsid w:val="00037F90"/>
    <w:rsid w:val="00040AA1"/>
    <w:rsid w:val="000415E1"/>
    <w:rsid w:val="00053EC9"/>
    <w:rsid w:val="0006075D"/>
    <w:rsid w:val="00061BEB"/>
    <w:rsid w:val="00070251"/>
    <w:rsid w:val="00073C59"/>
    <w:rsid w:val="00075692"/>
    <w:rsid w:val="000763D2"/>
    <w:rsid w:val="00082834"/>
    <w:rsid w:val="00083880"/>
    <w:rsid w:val="00083DB1"/>
    <w:rsid w:val="00084780"/>
    <w:rsid w:val="000875BF"/>
    <w:rsid w:val="0009005D"/>
    <w:rsid w:val="00092A07"/>
    <w:rsid w:val="00096D8C"/>
    <w:rsid w:val="000A3BF8"/>
    <w:rsid w:val="000C0107"/>
    <w:rsid w:val="000C0B65"/>
    <w:rsid w:val="000C4816"/>
    <w:rsid w:val="000C5817"/>
    <w:rsid w:val="000C66A9"/>
    <w:rsid w:val="000C7AED"/>
    <w:rsid w:val="000D1EE0"/>
    <w:rsid w:val="000D3B97"/>
    <w:rsid w:val="000E05FE"/>
    <w:rsid w:val="000E29B2"/>
    <w:rsid w:val="000E3D42"/>
    <w:rsid w:val="000E43A2"/>
    <w:rsid w:val="000E53F3"/>
    <w:rsid w:val="000E74A7"/>
    <w:rsid w:val="000E75E1"/>
    <w:rsid w:val="000F0668"/>
    <w:rsid w:val="000F3001"/>
    <w:rsid w:val="000F31A0"/>
    <w:rsid w:val="000F76BE"/>
    <w:rsid w:val="00101BE4"/>
    <w:rsid w:val="0010215C"/>
    <w:rsid w:val="001036B8"/>
    <w:rsid w:val="00104D8B"/>
    <w:rsid w:val="00113031"/>
    <w:rsid w:val="00115AA9"/>
    <w:rsid w:val="00122BD5"/>
    <w:rsid w:val="001269A4"/>
    <w:rsid w:val="00132C01"/>
    <w:rsid w:val="00133F79"/>
    <w:rsid w:val="00134972"/>
    <w:rsid w:val="00137C2D"/>
    <w:rsid w:val="00141888"/>
    <w:rsid w:val="00147C6E"/>
    <w:rsid w:val="00154F22"/>
    <w:rsid w:val="00155DE7"/>
    <w:rsid w:val="001607A3"/>
    <w:rsid w:val="00160EE9"/>
    <w:rsid w:val="00161EDF"/>
    <w:rsid w:val="00165389"/>
    <w:rsid w:val="00165D6C"/>
    <w:rsid w:val="00181D37"/>
    <w:rsid w:val="00182B01"/>
    <w:rsid w:val="00185236"/>
    <w:rsid w:val="00185D27"/>
    <w:rsid w:val="0018648B"/>
    <w:rsid w:val="00187A9E"/>
    <w:rsid w:val="00190FDF"/>
    <w:rsid w:val="00192CFF"/>
    <w:rsid w:val="00194053"/>
    <w:rsid w:val="00194A66"/>
    <w:rsid w:val="00196D5A"/>
    <w:rsid w:val="001A2B19"/>
    <w:rsid w:val="001A538D"/>
    <w:rsid w:val="001A6F85"/>
    <w:rsid w:val="001B0E83"/>
    <w:rsid w:val="001B149A"/>
    <w:rsid w:val="001C03FC"/>
    <w:rsid w:val="001C1924"/>
    <w:rsid w:val="001C1D6F"/>
    <w:rsid w:val="001C4EA0"/>
    <w:rsid w:val="001C6BA3"/>
    <w:rsid w:val="001D1596"/>
    <w:rsid w:val="001D6BCF"/>
    <w:rsid w:val="001E01CA"/>
    <w:rsid w:val="001E27D9"/>
    <w:rsid w:val="001E2E28"/>
    <w:rsid w:val="001E6891"/>
    <w:rsid w:val="001F3EF9"/>
    <w:rsid w:val="001F5EE0"/>
    <w:rsid w:val="00205130"/>
    <w:rsid w:val="002115B3"/>
    <w:rsid w:val="00211E2F"/>
    <w:rsid w:val="0021664E"/>
    <w:rsid w:val="002202A7"/>
    <w:rsid w:val="00221033"/>
    <w:rsid w:val="0022395D"/>
    <w:rsid w:val="00226B7A"/>
    <w:rsid w:val="00226C6B"/>
    <w:rsid w:val="00232ACD"/>
    <w:rsid w:val="002345CC"/>
    <w:rsid w:val="00236D58"/>
    <w:rsid w:val="00241BB0"/>
    <w:rsid w:val="00242209"/>
    <w:rsid w:val="002457BA"/>
    <w:rsid w:val="00246B2C"/>
    <w:rsid w:val="002534CB"/>
    <w:rsid w:val="0025483B"/>
    <w:rsid w:val="002603C7"/>
    <w:rsid w:val="00260AFF"/>
    <w:rsid w:val="00263207"/>
    <w:rsid w:val="002743E4"/>
    <w:rsid w:val="0027479E"/>
    <w:rsid w:val="00274817"/>
    <w:rsid w:val="00274EC4"/>
    <w:rsid w:val="00275CF5"/>
    <w:rsid w:val="00276BBD"/>
    <w:rsid w:val="0028301F"/>
    <w:rsid w:val="0028309C"/>
    <w:rsid w:val="0028319B"/>
    <w:rsid w:val="00285017"/>
    <w:rsid w:val="00290B6E"/>
    <w:rsid w:val="002923E5"/>
    <w:rsid w:val="002936A0"/>
    <w:rsid w:val="00295119"/>
    <w:rsid w:val="002A2D2E"/>
    <w:rsid w:val="002A7848"/>
    <w:rsid w:val="002B0EF3"/>
    <w:rsid w:val="002B4919"/>
    <w:rsid w:val="002C00E8"/>
    <w:rsid w:val="002C3FEC"/>
    <w:rsid w:val="002C56E4"/>
    <w:rsid w:val="002D35BE"/>
    <w:rsid w:val="002D6296"/>
    <w:rsid w:val="002E20C0"/>
    <w:rsid w:val="002E33E3"/>
    <w:rsid w:val="002E42CB"/>
    <w:rsid w:val="002E4D2E"/>
    <w:rsid w:val="002F007C"/>
    <w:rsid w:val="002F45D7"/>
    <w:rsid w:val="00305B37"/>
    <w:rsid w:val="00311E55"/>
    <w:rsid w:val="0031447D"/>
    <w:rsid w:val="00315CE8"/>
    <w:rsid w:val="00315D7C"/>
    <w:rsid w:val="00316105"/>
    <w:rsid w:val="003203C5"/>
    <w:rsid w:val="003222D0"/>
    <w:rsid w:val="00322E41"/>
    <w:rsid w:val="00323907"/>
    <w:rsid w:val="00324C08"/>
    <w:rsid w:val="00324D3D"/>
    <w:rsid w:val="00333721"/>
    <w:rsid w:val="00333CA0"/>
    <w:rsid w:val="003371EF"/>
    <w:rsid w:val="003411F1"/>
    <w:rsid w:val="00343749"/>
    <w:rsid w:val="00347AD4"/>
    <w:rsid w:val="003502B2"/>
    <w:rsid w:val="00350E5B"/>
    <w:rsid w:val="00360E88"/>
    <w:rsid w:val="00360E9E"/>
    <w:rsid w:val="003660ED"/>
    <w:rsid w:val="003712D2"/>
    <w:rsid w:val="0037355E"/>
    <w:rsid w:val="00373E47"/>
    <w:rsid w:val="00375CC1"/>
    <w:rsid w:val="00382C3D"/>
    <w:rsid w:val="00387230"/>
    <w:rsid w:val="00392517"/>
    <w:rsid w:val="00392E63"/>
    <w:rsid w:val="00394BE7"/>
    <w:rsid w:val="003956B9"/>
    <w:rsid w:val="003A0BAE"/>
    <w:rsid w:val="003A7AF3"/>
    <w:rsid w:val="003B0550"/>
    <w:rsid w:val="003B113D"/>
    <w:rsid w:val="003B2F4E"/>
    <w:rsid w:val="003B694F"/>
    <w:rsid w:val="003C0368"/>
    <w:rsid w:val="003C0504"/>
    <w:rsid w:val="003D41D7"/>
    <w:rsid w:val="003E0090"/>
    <w:rsid w:val="003E6709"/>
    <w:rsid w:val="003F0430"/>
    <w:rsid w:val="003F0462"/>
    <w:rsid w:val="003F0A03"/>
    <w:rsid w:val="003F171C"/>
    <w:rsid w:val="003F202F"/>
    <w:rsid w:val="003F3809"/>
    <w:rsid w:val="003F4C69"/>
    <w:rsid w:val="003F620B"/>
    <w:rsid w:val="003F75FF"/>
    <w:rsid w:val="00402EB8"/>
    <w:rsid w:val="00407752"/>
    <w:rsid w:val="004108EC"/>
    <w:rsid w:val="00412FC5"/>
    <w:rsid w:val="00414A45"/>
    <w:rsid w:val="00417A96"/>
    <w:rsid w:val="00417F25"/>
    <w:rsid w:val="00421938"/>
    <w:rsid w:val="00422276"/>
    <w:rsid w:val="004242F1"/>
    <w:rsid w:val="0042759F"/>
    <w:rsid w:val="00431C54"/>
    <w:rsid w:val="00434DA2"/>
    <w:rsid w:val="00445A00"/>
    <w:rsid w:val="004475DE"/>
    <w:rsid w:val="00451B0F"/>
    <w:rsid w:val="0045664E"/>
    <w:rsid w:val="00463026"/>
    <w:rsid w:val="00465F18"/>
    <w:rsid w:val="004666B9"/>
    <w:rsid w:val="00467F54"/>
    <w:rsid w:val="00470F78"/>
    <w:rsid w:val="00472B12"/>
    <w:rsid w:val="00476422"/>
    <w:rsid w:val="004774BB"/>
    <w:rsid w:val="0048299F"/>
    <w:rsid w:val="00483333"/>
    <w:rsid w:val="00484FE7"/>
    <w:rsid w:val="004853C4"/>
    <w:rsid w:val="004862E0"/>
    <w:rsid w:val="00487F7B"/>
    <w:rsid w:val="0049073A"/>
    <w:rsid w:val="00492EEC"/>
    <w:rsid w:val="004940C0"/>
    <w:rsid w:val="004B7BAF"/>
    <w:rsid w:val="004C2EE3"/>
    <w:rsid w:val="004C593F"/>
    <w:rsid w:val="004D120F"/>
    <w:rsid w:val="004D1E51"/>
    <w:rsid w:val="004E4A22"/>
    <w:rsid w:val="004E6D77"/>
    <w:rsid w:val="004E700D"/>
    <w:rsid w:val="004F0165"/>
    <w:rsid w:val="004F0B8B"/>
    <w:rsid w:val="004F1AF9"/>
    <w:rsid w:val="004F7642"/>
    <w:rsid w:val="0050623B"/>
    <w:rsid w:val="0050644A"/>
    <w:rsid w:val="005075D6"/>
    <w:rsid w:val="005108A3"/>
    <w:rsid w:val="00511049"/>
    <w:rsid w:val="00511968"/>
    <w:rsid w:val="00517ACB"/>
    <w:rsid w:val="005233E9"/>
    <w:rsid w:val="00523BC6"/>
    <w:rsid w:val="0053366C"/>
    <w:rsid w:val="005366D3"/>
    <w:rsid w:val="005500FD"/>
    <w:rsid w:val="005534B5"/>
    <w:rsid w:val="00555280"/>
    <w:rsid w:val="0055614C"/>
    <w:rsid w:val="005604D4"/>
    <w:rsid w:val="00560B3A"/>
    <w:rsid w:val="00562696"/>
    <w:rsid w:val="0056497A"/>
    <w:rsid w:val="0057513A"/>
    <w:rsid w:val="00576A7E"/>
    <w:rsid w:val="00586E08"/>
    <w:rsid w:val="00587322"/>
    <w:rsid w:val="00587E9A"/>
    <w:rsid w:val="0059253D"/>
    <w:rsid w:val="00595F7A"/>
    <w:rsid w:val="00597DDF"/>
    <w:rsid w:val="005A6446"/>
    <w:rsid w:val="005A7E5A"/>
    <w:rsid w:val="005B2337"/>
    <w:rsid w:val="005B2DA6"/>
    <w:rsid w:val="005B2E30"/>
    <w:rsid w:val="005B5505"/>
    <w:rsid w:val="005C5059"/>
    <w:rsid w:val="005C5458"/>
    <w:rsid w:val="005D75F9"/>
    <w:rsid w:val="005E0E55"/>
    <w:rsid w:val="005E14C2"/>
    <w:rsid w:val="005E6480"/>
    <w:rsid w:val="005E68B3"/>
    <w:rsid w:val="005F2D9D"/>
    <w:rsid w:val="006016B1"/>
    <w:rsid w:val="00602BCA"/>
    <w:rsid w:val="00603B03"/>
    <w:rsid w:val="00607BA5"/>
    <w:rsid w:val="006111D2"/>
    <w:rsid w:val="0061180A"/>
    <w:rsid w:val="006118EE"/>
    <w:rsid w:val="0061380F"/>
    <w:rsid w:val="00615009"/>
    <w:rsid w:val="0061542F"/>
    <w:rsid w:val="00617CCD"/>
    <w:rsid w:val="00621182"/>
    <w:rsid w:val="0062297A"/>
    <w:rsid w:val="00623F2C"/>
    <w:rsid w:val="00626EB6"/>
    <w:rsid w:val="006314AA"/>
    <w:rsid w:val="00631F86"/>
    <w:rsid w:val="00632BAF"/>
    <w:rsid w:val="00634975"/>
    <w:rsid w:val="006365DE"/>
    <w:rsid w:val="00646A2E"/>
    <w:rsid w:val="00647FE3"/>
    <w:rsid w:val="006500CC"/>
    <w:rsid w:val="00652799"/>
    <w:rsid w:val="00653645"/>
    <w:rsid w:val="00653E83"/>
    <w:rsid w:val="0065403A"/>
    <w:rsid w:val="00655D03"/>
    <w:rsid w:val="00657EB3"/>
    <w:rsid w:val="00660CC2"/>
    <w:rsid w:val="00661783"/>
    <w:rsid w:val="0066358A"/>
    <w:rsid w:val="00664C4F"/>
    <w:rsid w:val="006704F1"/>
    <w:rsid w:val="0067537D"/>
    <w:rsid w:val="006820EB"/>
    <w:rsid w:val="006826D9"/>
    <w:rsid w:val="00683388"/>
    <w:rsid w:val="00683F84"/>
    <w:rsid w:val="006864D0"/>
    <w:rsid w:val="00692F51"/>
    <w:rsid w:val="00693434"/>
    <w:rsid w:val="0069525F"/>
    <w:rsid w:val="00697032"/>
    <w:rsid w:val="00697C33"/>
    <w:rsid w:val="006A1659"/>
    <w:rsid w:val="006A2121"/>
    <w:rsid w:val="006A2A25"/>
    <w:rsid w:val="006A6A81"/>
    <w:rsid w:val="006A777F"/>
    <w:rsid w:val="006B190E"/>
    <w:rsid w:val="006B2E5A"/>
    <w:rsid w:val="006C2036"/>
    <w:rsid w:val="006C2A79"/>
    <w:rsid w:val="006C2E38"/>
    <w:rsid w:val="006C3CDB"/>
    <w:rsid w:val="006C62C0"/>
    <w:rsid w:val="006C71F2"/>
    <w:rsid w:val="006D6E06"/>
    <w:rsid w:val="006E5BBF"/>
    <w:rsid w:val="006F1214"/>
    <w:rsid w:val="006F1676"/>
    <w:rsid w:val="006F7393"/>
    <w:rsid w:val="006F7955"/>
    <w:rsid w:val="0070224F"/>
    <w:rsid w:val="00703D68"/>
    <w:rsid w:val="007071D2"/>
    <w:rsid w:val="00710F1C"/>
    <w:rsid w:val="007115F7"/>
    <w:rsid w:val="00712732"/>
    <w:rsid w:val="0071585C"/>
    <w:rsid w:val="0073070A"/>
    <w:rsid w:val="00731A98"/>
    <w:rsid w:val="00732131"/>
    <w:rsid w:val="00745D50"/>
    <w:rsid w:val="007462CA"/>
    <w:rsid w:val="00770E25"/>
    <w:rsid w:val="00774085"/>
    <w:rsid w:val="007750D8"/>
    <w:rsid w:val="007751E5"/>
    <w:rsid w:val="00775EB0"/>
    <w:rsid w:val="00782160"/>
    <w:rsid w:val="00784703"/>
    <w:rsid w:val="00785689"/>
    <w:rsid w:val="00792BDC"/>
    <w:rsid w:val="00792E53"/>
    <w:rsid w:val="00793DA9"/>
    <w:rsid w:val="00796530"/>
    <w:rsid w:val="007967AB"/>
    <w:rsid w:val="0079754B"/>
    <w:rsid w:val="007A1E6D"/>
    <w:rsid w:val="007A2F52"/>
    <w:rsid w:val="007A3AC4"/>
    <w:rsid w:val="007B0EB2"/>
    <w:rsid w:val="007B7ED8"/>
    <w:rsid w:val="007D0C10"/>
    <w:rsid w:val="007D59E8"/>
    <w:rsid w:val="007F12B9"/>
    <w:rsid w:val="007F5717"/>
    <w:rsid w:val="00802388"/>
    <w:rsid w:val="0080376F"/>
    <w:rsid w:val="008038FD"/>
    <w:rsid w:val="00810B6F"/>
    <w:rsid w:val="00815217"/>
    <w:rsid w:val="00816C7A"/>
    <w:rsid w:val="00822CE0"/>
    <w:rsid w:val="00823059"/>
    <w:rsid w:val="008233FB"/>
    <w:rsid w:val="00826E7C"/>
    <w:rsid w:val="00831AD4"/>
    <w:rsid w:val="00834834"/>
    <w:rsid w:val="00841AB1"/>
    <w:rsid w:val="008421C0"/>
    <w:rsid w:val="0084375C"/>
    <w:rsid w:val="00852109"/>
    <w:rsid w:val="00852E66"/>
    <w:rsid w:val="008622AA"/>
    <w:rsid w:val="00865335"/>
    <w:rsid w:val="008703D9"/>
    <w:rsid w:val="00871A8F"/>
    <w:rsid w:val="008725E7"/>
    <w:rsid w:val="00876B36"/>
    <w:rsid w:val="00877D28"/>
    <w:rsid w:val="008806D3"/>
    <w:rsid w:val="00881620"/>
    <w:rsid w:val="008932EB"/>
    <w:rsid w:val="00893DFB"/>
    <w:rsid w:val="00897D2F"/>
    <w:rsid w:val="008B37B0"/>
    <w:rsid w:val="008B487A"/>
    <w:rsid w:val="008C0559"/>
    <w:rsid w:val="008C43DC"/>
    <w:rsid w:val="008C44B1"/>
    <w:rsid w:val="008C68F1"/>
    <w:rsid w:val="008C78DB"/>
    <w:rsid w:val="008C7DF5"/>
    <w:rsid w:val="008D0A55"/>
    <w:rsid w:val="008D4847"/>
    <w:rsid w:val="008D4AD3"/>
    <w:rsid w:val="008E3195"/>
    <w:rsid w:val="008F2A9B"/>
    <w:rsid w:val="008F6C2F"/>
    <w:rsid w:val="00910380"/>
    <w:rsid w:val="00915B1B"/>
    <w:rsid w:val="00921803"/>
    <w:rsid w:val="00923CF0"/>
    <w:rsid w:val="00926503"/>
    <w:rsid w:val="009278A6"/>
    <w:rsid w:val="00931677"/>
    <w:rsid w:val="00935AEE"/>
    <w:rsid w:val="009366FC"/>
    <w:rsid w:val="00937D9A"/>
    <w:rsid w:val="0094126D"/>
    <w:rsid w:val="00946874"/>
    <w:rsid w:val="00946BC5"/>
    <w:rsid w:val="009528A1"/>
    <w:rsid w:val="009570D7"/>
    <w:rsid w:val="009570F9"/>
    <w:rsid w:val="009578DF"/>
    <w:rsid w:val="00960280"/>
    <w:rsid w:val="009609D8"/>
    <w:rsid w:val="00963E21"/>
    <w:rsid w:val="009715F7"/>
    <w:rsid w:val="009726D8"/>
    <w:rsid w:val="0098081F"/>
    <w:rsid w:val="009821D1"/>
    <w:rsid w:val="00985533"/>
    <w:rsid w:val="009855DB"/>
    <w:rsid w:val="009911B8"/>
    <w:rsid w:val="009A2D22"/>
    <w:rsid w:val="009A3CF0"/>
    <w:rsid w:val="009B436E"/>
    <w:rsid w:val="009C08D8"/>
    <w:rsid w:val="009C48D8"/>
    <w:rsid w:val="009C4C12"/>
    <w:rsid w:val="009C7858"/>
    <w:rsid w:val="009C7F79"/>
    <w:rsid w:val="009D3A42"/>
    <w:rsid w:val="009D5069"/>
    <w:rsid w:val="009E1B3E"/>
    <w:rsid w:val="009E2B8B"/>
    <w:rsid w:val="009E4318"/>
    <w:rsid w:val="009E55FE"/>
    <w:rsid w:val="009E6152"/>
    <w:rsid w:val="009E718D"/>
    <w:rsid w:val="009F0A83"/>
    <w:rsid w:val="009F2449"/>
    <w:rsid w:val="009F32DC"/>
    <w:rsid w:val="009F657A"/>
    <w:rsid w:val="009F76DB"/>
    <w:rsid w:val="00A03855"/>
    <w:rsid w:val="00A132AC"/>
    <w:rsid w:val="00A132D9"/>
    <w:rsid w:val="00A1699C"/>
    <w:rsid w:val="00A17105"/>
    <w:rsid w:val="00A17488"/>
    <w:rsid w:val="00A2643D"/>
    <w:rsid w:val="00A328C5"/>
    <w:rsid w:val="00A32B68"/>
    <w:rsid w:val="00A32C3B"/>
    <w:rsid w:val="00A32D2C"/>
    <w:rsid w:val="00A34755"/>
    <w:rsid w:val="00A36B99"/>
    <w:rsid w:val="00A374BB"/>
    <w:rsid w:val="00A41E6B"/>
    <w:rsid w:val="00A45F4F"/>
    <w:rsid w:val="00A54E28"/>
    <w:rsid w:val="00A57DE4"/>
    <w:rsid w:val="00A600A9"/>
    <w:rsid w:val="00A66053"/>
    <w:rsid w:val="00A75C8F"/>
    <w:rsid w:val="00A770BF"/>
    <w:rsid w:val="00A80524"/>
    <w:rsid w:val="00A82032"/>
    <w:rsid w:val="00A82B04"/>
    <w:rsid w:val="00A877D9"/>
    <w:rsid w:val="00A9052E"/>
    <w:rsid w:val="00A91907"/>
    <w:rsid w:val="00A967E9"/>
    <w:rsid w:val="00AA1784"/>
    <w:rsid w:val="00AA38DB"/>
    <w:rsid w:val="00AA3F1D"/>
    <w:rsid w:val="00AA552E"/>
    <w:rsid w:val="00AA55B7"/>
    <w:rsid w:val="00AA5B9E"/>
    <w:rsid w:val="00AB2407"/>
    <w:rsid w:val="00AB53DF"/>
    <w:rsid w:val="00AB5CC9"/>
    <w:rsid w:val="00AB69B4"/>
    <w:rsid w:val="00AC483C"/>
    <w:rsid w:val="00AE25FD"/>
    <w:rsid w:val="00AE558F"/>
    <w:rsid w:val="00AF0F3E"/>
    <w:rsid w:val="00AF2730"/>
    <w:rsid w:val="00AF3169"/>
    <w:rsid w:val="00AF31FD"/>
    <w:rsid w:val="00AF6BD1"/>
    <w:rsid w:val="00B07E5C"/>
    <w:rsid w:val="00B104D1"/>
    <w:rsid w:val="00B17599"/>
    <w:rsid w:val="00B17611"/>
    <w:rsid w:val="00B20C76"/>
    <w:rsid w:val="00B23CA3"/>
    <w:rsid w:val="00B24C6D"/>
    <w:rsid w:val="00B25C24"/>
    <w:rsid w:val="00B27192"/>
    <w:rsid w:val="00B300DB"/>
    <w:rsid w:val="00B324E5"/>
    <w:rsid w:val="00B37861"/>
    <w:rsid w:val="00B4526D"/>
    <w:rsid w:val="00B510DF"/>
    <w:rsid w:val="00B55559"/>
    <w:rsid w:val="00B65BE8"/>
    <w:rsid w:val="00B716DD"/>
    <w:rsid w:val="00B770B2"/>
    <w:rsid w:val="00B811F7"/>
    <w:rsid w:val="00B817C3"/>
    <w:rsid w:val="00B82F88"/>
    <w:rsid w:val="00B96BF9"/>
    <w:rsid w:val="00BA40AE"/>
    <w:rsid w:val="00BA4B1B"/>
    <w:rsid w:val="00BA5DC6"/>
    <w:rsid w:val="00BA6196"/>
    <w:rsid w:val="00BA7399"/>
    <w:rsid w:val="00BB16FD"/>
    <w:rsid w:val="00BB29A7"/>
    <w:rsid w:val="00BB7AEF"/>
    <w:rsid w:val="00BC017A"/>
    <w:rsid w:val="00BC2406"/>
    <w:rsid w:val="00BC4397"/>
    <w:rsid w:val="00BC4AD5"/>
    <w:rsid w:val="00BC6D8C"/>
    <w:rsid w:val="00BC714C"/>
    <w:rsid w:val="00BD1CBA"/>
    <w:rsid w:val="00BD1D15"/>
    <w:rsid w:val="00BD34B8"/>
    <w:rsid w:val="00BD4E53"/>
    <w:rsid w:val="00BE75D0"/>
    <w:rsid w:val="00BF086C"/>
    <w:rsid w:val="00BF554C"/>
    <w:rsid w:val="00BF645D"/>
    <w:rsid w:val="00C00137"/>
    <w:rsid w:val="00C00197"/>
    <w:rsid w:val="00C03685"/>
    <w:rsid w:val="00C115E2"/>
    <w:rsid w:val="00C12765"/>
    <w:rsid w:val="00C15955"/>
    <w:rsid w:val="00C20288"/>
    <w:rsid w:val="00C32E2F"/>
    <w:rsid w:val="00C33F0F"/>
    <w:rsid w:val="00C34006"/>
    <w:rsid w:val="00C3761A"/>
    <w:rsid w:val="00C4069F"/>
    <w:rsid w:val="00C426B1"/>
    <w:rsid w:val="00C4379A"/>
    <w:rsid w:val="00C442F2"/>
    <w:rsid w:val="00C44BCE"/>
    <w:rsid w:val="00C513C8"/>
    <w:rsid w:val="00C56AA9"/>
    <w:rsid w:val="00C61A10"/>
    <w:rsid w:val="00C62665"/>
    <w:rsid w:val="00C627B6"/>
    <w:rsid w:val="00C66160"/>
    <w:rsid w:val="00C6625D"/>
    <w:rsid w:val="00C67963"/>
    <w:rsid w:val="00C721AC"/>
    <w:rsid w:val="00C73B40"/>
    <w:rsid w:val="00C75850"/>
    <w:rsid w:val="00C7593E"/>
    <w:rsid w:val="00C75C7C"/>
    <w:rsid w:val="00C80544"/>
    <w:rsid w:val="00C84B3E"/>
    <w:rsid w:val="00C90D6A"/>
    <w:rsid w:val="00C97433"/>
    <w:rsid w:val="00CA247E"/>
    <w:rsid w:val="00CA72C9"/>
    <w:rsid w:val="00CB7753"/>
    <w:rsid w:val="00CC1FBC"/>
    <w:rsid w:val="00CC47CD"/>
    <w:rsid w:val="00CC72B6"/>
    <w:rsid w:val="00CD11A0"/>
    <w:rsid w:val="00CD46BD"/>
    <w:rsid w:val="00CE30DB"/>
    <w:rsid w:val="00CE6FE0"/>
    <w:rsid w:val="00CF3688"/>
    <w:rsid w:val="00CF3A0F"/>
    <w:rsid w:val="00CF64FE"/>
    <w:rsid w:val="00CF674C"/>
    <w:rsid w:val="00CF7933"/>
    <w:rsid w:val="00D000AD"/>
    <w:rsid w:val="00D00D44"/>
    <w:rsid w:val="00D0218D"/>
    <w:rsid w:val="00D036A0"/>
    <w:rsid w:val="00D0383F"/>
    <w:rsid w:val="00D07D29"/>
    <w:rsid w:val="00D10A1E"/>
    <w:rsid w:val="00D12F76"/>
    <w:rsid w:val="00D13395"/>
    <w:rsid w:val="00D207CC"/>
    <w:rsid w:val="00D25FB5"/>
    <w:rsid w:val="00D26043"/>
    <w:rsid w:val="00D267B3"/>
    <w:rsid w:val="00D27EC8"/>
    <w:rsid w:val="00D300D1"/>
    <w:rsid w:val="00D33333"/>
    <w:rsid w:val="00D34F4F"/>
    <w:rsid w:val="00D37379"/>
    <w:rsid w:val="00D41CEE"/>
    <w:rsid w:val="00D436A3"/>
    <w:rsid w:val="00D44223"/>
    <w:rsid w:val="00D44800"/>
    <w:rsid w:val="00D44F29"/>
    <w:rsid w:val="00D47011"/>
    <w:rsid w:val="00D47B88"/>
    <w:rsid w:val="00D50BDC"/>
    <w:rsid w:val="00D53ADA"/>
    <w:rsid w:val="00D563C4"/>
    <w:rsid w:val="00D60C75"/>
    <w:rsid w:val="00D60F94"/>
    <w:rsid w:val="00D7369E"/>
    <w:rsid w:val="00D7726D"/>
    <w:rsid w:val="00D808E7"/>
    <w:rsid w:val="00D81545"/>
    <w:rsid w:val="00D854B9"/>
    <w:rsid w:val="00D866AA"/>
    <w:rsid w:val="00D91406"/>
    <w:rsid w:val="00D95112"/>
    <w:rsid w:val="00DA1127"/>
    <w:rsid w:val="00DA1764"/>
    <w:rsid w:val="00DA226F"/>
    <w:rsid w:val="00DA2529"/>
    <w:rsid w:val="00DA2FD8"/>
    <w:rsid w:val="00DA339A"/>
    <w:rsid w:val="00DA5113"/>
    <w:rsid w:val="00DA7457"/>
    <w:rsid w:val="00DA7D08"/>
    <w:rsid w:val="00DB130A"/>
    <w:rsid w:val="00DB2EBB"/>
    <w:rsid w:val="00DC10A1"/>
    <w:rsid w:val="00DC223B"/>
    <w:rsid w:val="00DC2789"/>
    <w:rsid w:val="00DC282E"/>
    <w:rsid w:val="00DC620C"/>
    <w:rsid w:val="00DC655F"/>
    <w:rsid w:val="00DD0B59"/>
    <w:rsid w:val="00DD5B04"/>
    <w:rsid w:val="00DD61E7"/>
    <w:rsid w:val="00DD68AC"/>
    <w:rsid w:val="00DD7EBD"/>
    <w:rsid w:val="00DE0F93"/>
    <w:rsid w:val="00DE141A"/>
    <w:rsid w:val="00DF02B0"/>
    <w:rsid w:val="00DF0F0B"/>
    <w:rsid w:val="00DF30B6"/>
    <w:rsid w:val="00DF4AE8"/>
    <w:rsid w:val="00DF62B6"/>
    <w:rsid w:val="00DF70A1"/>
    <w:rsid w:val="00E07225"/>
    <w:rsid w:val="00E10FFF"/>
    <w:rsid w:val="00E14BD8"/>
    <w:rsid w:val="00E16468"/>
    <w:rsid w:val="00E16FE5"/>
    <w:rsid w:val="00E2089C"/>
    <w:rsid w:val="00E27206"/>
    <w:rsid w:val="00E27573"/>
    <w:rsid w:val="00E32A67"/>
    <w:rsid w:val="00E40E18"/>
    <w:rsid w:val="00E42BE7"/>
    <w:rsid w:val="00E4461F"/>
    <w:rsid w:val="00E4766A"/>
    <w:rsid w:val="00E50DE0"/>
    <w:rsid w:val="00E50F06"/>
    <w:rsid w:val="00E5409F"/>
    <w:rsid w:val="00E54555"/>
    <w:rsid w:val="00E602E0"/>
    <w:rsid w:val="00E6083E"/>
    <w:rsid w:val="00E63B60"/>
    <w:rsid w:val="00E67C45"/>
    <w:rsid w:val="00E778A7"/>
    <w:rsid w:val="00E80D5E"/>
    <w:rsid w:val="00E87267"/>
    <w:rsid w:val="00E909BF"/>
    <w:rsid w:val="00E93BC5"/>
    <w:rsid w:val="00EB2714"/>
    <w:rsid w:val="00EB4A76"/>
    <w:rsid w:val="00EB4AF0"/>
    <w:rsid w:val="00EB5D99"/>
    <w:rsid w:val="00EC511C"/>
    <w:rsid w:val="00EC5C1F"/>
    <w:rsid w:val="00ED6858"/>
    <w:rsid w:val="00EE3E07"/>
    <w:rsid w:val="00EE4C8D"/>
    <w:rsid w:val="00EE6488"/>
    <w:rsid w:val="00EE747B"/>
    <w:rsid w:val="00EF0584"/>
    <w:rsid w:val="00F021FA"/>
    <w:rsid w:val="00F042F4"/>
    <w:rsid w:val="00F04667"/>
    <w:rsid w:val="00F120A1"/>
    <w:rsid w:val="00F16812"/>
    <w:rsid w:val="00F20694"/>
    <w:rsid w:val="00F22C50"/>
    <w:rsid w:val="00F31197"/>
    <w:rsid w:val="00F3582D"/>
    <w:rsid w:val="00F41649"/>
    <w:rsid w:val="00F42A3F"/>
    <w:rsid w:val="00F43FAB"/>
    <w:rsid w:val="00F465CC"/>
    <w:rsid w:val="00F46918"/>
    <w:rsid w:val="00F62E97"/>
    <w:rsid w:val="00F63C72"/>
    <w:rsid w:val="00F64209"/>
    <w:rsid w:val="00F658A2"/>
    <w:rsid w:val="00F7217D"/>
    <w:rsid w:val="00F7578D"/>
    <w:rsid w:val="00F77269"/>
    <w:rsid w:val="00F801CF"/>
    <w:rsid w:val="00F815AC"/>
    <w:rsid w:val="00F81880"/>
    <w:rsid w:val="00F90044"/>
    <w:rsid w:val="00F93BF5"/>
    <w:rsid w:val="00F93D62"/>
    <w:rsid w:val="00F941B7"/>
    <w:rsid w:val="00F95FA2"/>
    <w:rsid w:val="00F96475"/>
    <w:rsid w:val="00FA24B7"/>
    <w:rsid w:val="00FA335D"/>
    <w:rsid w:val="00FA4EB7"/>
    <w:rsid w:val="00FA5828"/>
    <w:rsid w:val="00FB1BB0"/>
    <w:rsid w:val="00FB432C"/>
    <w:rsid w:val="00FB6350"/>
    <w:rsid w:val="00FB7D50"/>
    <w:rsid w:val="00FC1243"/>
    <w:rsid w:val="00FC4910"/>
    <w:rsid w:val="00FC7305"/>
    <w:rsid w:val="00FD2C65"/>
    <w:rsid w:val="00FD2F5E"/>
    <w:rsid w:val="00FD4C71"/>
    <w:rsid w:val="00FD53A8"/>
    <w:rsid w:val="00FD78B0"/>
    <w:rsid w:val="00FE4247"/>
    <w:rsid w:val="00FE4A5F"/>
    <w:rsid w:val="00FE558E"/>
    <w:rsid w:val="00FF00FC"/>
    <w:rsid w:val="00FF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D7C"/>
    <w:pPr>
      <w:widowControl w:val="0"/>
    </w:pPr>
    <w:rPr>
      <w:snapToGrid w:val="0"/>
      <w:kern w:val="28"/>
      <w:sz w:val="22"/>
    </w:rPr>
  </w:style>
  <w:style w:type="paragraph" w:styleId="Heading1">
    <w:name w:val="heading 1"/>
    <w:basedOn w:val="Normal"/>
    <w:next w:val="ParaNum"/>
    <w:qFormat/>
    <w:rsid w:val="00315D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5D7C"/>
    <w:pPr>
      <w:keepNext/>
      <w:numPr>
        <w:ilvl w:val="1"/>
        <w:numId w:val="3"/>
      </w:numPr>
      <w:spacing w:after="120"/>
      <w:outlineLvl w:val="1"/>
    </w:pPr>
    <w:rPr>
      <w:b/>
    </w:rPr>
  </w:style>
  <w:style w:type="paragraph" w:styleId="Heading3">
    <w:name w:val="heading 3"/>
    <w:basedOn w:val="Normal"/>
    <w:next w:val="ParaNum"/>
    <w:qFormat/>
    <w:rsid w:val="00315D7C"/>
    <w:pPr>
      <w:keepNext/>
      <w:numPr>
        <w:ilvl w:val="2"/>
        <w:numId w:val="3"/>
      </w:numPr>
      <w:tabs>
        <w:tab w:val="left" w:pos="2160"/>
      </w:tabs>
      <w:spacing w:after="120"/>
      <w:outlineLvl w:val="2"/>
    </w:pPr>
    <w:rPr>
      <w:b/>
    </w:rPr>
  </w:style>
  <w:style w:type="paragraph" w:styleId="Heading4">
    <w:name w:val="heading 4"/>
    <w:basedOn w:val="Normal"/>
    <w:next w:val="ParaNum"/>
    <w:qFormat/>
    <w:rsid w:val="00315D7C"/>
    <w:pPr>
      <w:keepNext/>
      <w:numPr>
        <w:ilvl w:val="3"/>
        <w:numId w:val="3"/>
      </w:numPr>
      <w:tabs>
        <w:tab w:val="left" w:pos="2880"/>
      </w:tabs>
      <w:spacing w:after="120"/>
      <w:outlineLvl w:val="3"/>
    </w:pPr>
    <w:rPr>
      <w:b/>
    </w:rPr>
  </w:style>
  <w:style w:type="paragraph" w:styleId="Heading5">
    <w:name w:val="heading 5"/>
    <w:basedOn w:val="Normal"/>
    <w:next w:val="ParaNum"/>
    <w:qFormat/>
    <w:rsid w:val="00315D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5D7C"/>
    <w:pPr>
      <w:numPr>
        <w:ilvl w:val="5"/>
        <w:numId w:val="3"/>
      </w:numPr>
      <w:tabs>
        <w:tab w:val="left" w:pos="4320"/>
      </w:tabs>
      <w:spacing w:after="120"/>
      <w:outlineLvl w:val="5"/>
    </w:pPr>
    <w:rPr>
      <w:b/>
    </w:rPr>
  </w:style>
  <w:style w:type="paragraph" w:styleId="Heading7">
    <w:name w:val="heading 7"/>
    <w:basedOn w:val="Normal"/>
    <w:next w:val="ParaNum"/>
    <w:qFormat/>
    <w:rsid w:val="00315D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5D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5D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5D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D7C"/>
  </w:style>
  <w:style w:type="paragraph" w:customStyle="1" w:styleId="ParaNum">
    <w:name w:val="ParaNum"/>
    <w:basedOn w:val="Normal"/>
    <w:rsid w:val="00315D7C"/>
    <w:pPr>
      <w:numPr>
        <w:numId w:val="2"/>
      </w:numPr>
      <w:tabs>
        <w:tab w:val="clear" w:pos="1080"/>
        <w:tab w:val="num" w:pos="1440"/>
      </w:tabs>
      <w:spacing w:after="120"/>
    </w:pPr>
  </w:style>
  <w:style w:type="paragraph" w:styleId="EndnoteText">
    <w:name w:val="endnote text"/>
    <w:basedOn w:val="Normal"/>
    <w:semiHidden/>
    <w:rsid w:val="00315D7C"/>
    <w:rPr>
      <w:sz w:val="20"/>
    </w:rPr>
  </w:style>
  <w:style w:type="character" w:styleId="EndnoteReference">
    <w:name w:val="endnote reference"/>
    <w:semiHidden/>
    <w:rsid w:val="00315D7C"/>
    <w:rPr>
      <w:vertAlign w:val="superscript"/>
    </w:rPr>
  </w:style>
  <w:style w:type="paragraph" w:styleId="FootnoteText">
    <w:name w:val="footnote text"/>
    <w:aliases w:val="rrfootnote Char,Footnote Text Char2 Char,Footnote Text Char1 Char Char,Footnote Text Char Char Char Char,Footnote Text Char1 Char Char Char Char,Footnote Text Char Char Char Char Char Char,Footnote Text Char Char Char1,f"/>
    <w:link w:val="FootnoteTextChar"/>
    <w:rsid w:val="00315D7C"/>
    <w:pPr>
      <w:spacing w:after="120"/>
    </w:pPr>
  </w:style>
  <w:style w:type="character" w:styleId="FootnoteReference">
    <w:name w:val="footnote reference"/>
    <w:aliases w:val="Style 12,(NECG) Footnote Reference,Appel note de bas de p,Style 124,Style 4,Style 13,o,fr,Style 3"/>
    <w:rsid w:val="00315D7C"/>
    <w:rPr>
      <w:rFonts w:ascii="Times New Roman" w:hAnsi="Times New Roman"/>
      <w:dstrike w:val="0"/>
      <w:color w:val="auto"/>
      <w:sz w:val="20"/>
      <w:vertAlign w:val="superscript"/>
    </w:rPr>
  </w:style>
  <w:style w:type="paragraph" w:styleId="TOC1">
    <w:name w:val="toc 1"/>
    <w:basedOn w:val="Normal"/>
    <w:next w:val="Normal"/>
    <w:semiHidden/>
    <w:rsid w:val="00315D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5D7C"/>
    <w:pPr>
      <w:tabs>
        <w:tab w:val="left" w:pos="720"/>
        <w:tab w:val="right" w:leader="dot" w:pos="9360"/>
      </w:tabs>
      <w:suppressAutoHyphens/>
      <w:ind w:left="720" w:right="720" w:hanging="360"/>
    </w:pPr>
    <w:rPr>
      <w:noProof/>
    </w:rPr>
  </w:style>
  <w:style w:type="paragraph" w:styleId="TOC3">
    <w:name w:val="toc 3"/>
    <w:basedOn w:val="Normal"/>
    <w:next w:val="Normal"/>
    <w:semiHidden/>
    <w:rsid w:val="00315D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5D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5D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5D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5D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5D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5D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5D7C"/>
    <w:pPr>
      <w:tabs>
        <w:tab w:val="right" w:pos="9360"/>
      </w:tabs>
      <w:suppressAutoHyphens/>
    </w:pPr>
  </w:style>
  <w:style w:type="character" w:customStyle="1" w:styleId="EquationCaption">
    <w:name w:val="_Equation Caption"/>
    <w:rsid w:val="00315D7C"/>
  </w:style>
  <w:style w:type="paragraph" w:styleId="Header">
    <w:name w:val="header"/>
    <w:basedOn w:val="Normal"/>
    <w:autoRedefine/>
    <w:rsid w:val="00315D7C"/>
    <w:pPr>
      <w:tabs>
        <w:tab w:val="center" w:pos="4680"/>
        <w:tab w:val="right" w:pos="9360"/>
      </w:tabs>
    </w:pPr>
    <w:rPr>
      <w:b/>
    </w:rPr>
  </w:style>
  <w:style w:type="paragraph" w:styleId="Footer">
    <w:name w:val="footer"/>
    <w:basedOn w:val="Normal"/>
    <w:rsid w:val="00315D7C"/>
    <w:pPr>
      <w:tabs>
        <w:tab w:val="center" w:pos="4320"/>
        <w:tab w:val="right" w:pos="8640"/>
      </w:tabs>
    </w:pPr>
  </w:style>
  <w:style w:type="character" w:styleId="PageNumber">
    <w:name w:val="page number"/>
    <w:basedOn w:val="DefaultParagraphFont"/>
    <w:rsid w:val="00315D7C"/>
  </w:style>
  <w:style w:type="paragraph" w:styleId="BlockText">
    <w:name w:val="Block Text"/>
    <w:basedOn w:val="Normal"/>
    <w:rsid w:val="00315D7C"/>
    <w:pPr>
      <w:spacing w:after="240"/>
      <w:ind w:left="1440" w:right="1440"/>
    </w:pPr>
  </w:style>
  <w:style w:type="paragraph" w:customStyle="1" w:styleId="Paratitle">
    <w:name w:val="Para title"/>
    <w:basedOn w:val="Normal"/>
    <w:rsid w:val="00315D7C"/>
    <w:pPr>
      <w:tabs>
        <w:tab w:val="center" w:pos="9270"/>
      </w:tabs>
      <w:spacing w:after="240"/>
    </w:pPr>
    <w:rPr>
      <w:spacing w:val="-2"/>
    </w:rPr>
  </w:style>
  <w:style w:type="paragraph" w:customStyle="1" w:styleId="Bullet">
    <w:name w:val="Bullet"/>
    <w:basedOn w:val="Normal"/>
    <w:rsid w:val="00315D7C"/>
    <w:pPr>
      <w:tabs>
        <w:tab w:val="left" w:pos="2160"/>
      </w:tabs>
      <w:spacing w:after="220"/>
      <w:ind w:left="2160" w:hanging="720"/>
    </w:pPr>
  </w:style>
  <w:style w:type="paragraph" w:customStyle="1" w:styleId="TableFormat">
    <w:name w:val="TableFormat"/>
    <w:basedOn w:val="Bullet"/>
    <w:rsid w:val="00315D7C"/>
    <w:pPr>
      <w:tabs>
        <w:tab w:val="clear" w:pos="2160"/>
        <w:tab w:val="left" w:pos="5040"/>
      </w:tabs>
      <w:ind w:left="5040" w:hanging="3600"/>
    </w:pPr>
  </w:style>
  <w:style w:type="paragraph" w:customStyle="1" w:styleId="TOCTitle">
    <w:name w:val="TOC Title"/>
    <w:basedOn w:val="Normal"/>
    <w:rsid w:val="00315D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5D7C"/>
    <w:pPr>
      <w:jc w:val="center"/>
    </w:pPr>
    <w:rPr>
      <w:rFonts w:ascii="Times New Roman Bold" w:hAnsi="Times New Roman Bold"/>
      <w:b/>
      <w:bCs/>
      <w:caps/>
      <w:szCs w:val="22"/>
    </w:rPr>
  </w:style>
  <w:style w:type="character" w:styleId="Hyperlink">
    <w:name w:val="Hyperlink"/>
    <w:rsid w:val="00315D7C"/>
    <w:rPr>
      <w:color w:val="0000FF"/>
      <w:u w:val="single"/>
    </w:rPr>
  </w:style>
  <w:style w:type="character" w:customStyle="1" w:styleId="FootnoteTextChar">
    <w:name w:val="Footnote Text Char"/>
    <w:aliases w:val="rrfootnote Char Char,Footnote Text Char2 Char Char,Footnote Text Char1 Char Char Char,Footnote Text Char Char Char Char Char,Footnote Text Char1 Char Char Char Char Char,Footnote Text Char Char Char Char Char Char Char,f Char"/>
    <w:link w:val="FootnoteText"/>
    <w:rsid w:val="004B7BAF"/>
  </w:style>
  <w:style w:type="paragraph" w:customStyle="1" w:styleId="FootnoteTextFCC">
    <w:name w:val="Footnote Text FCC"/>
    <w:rsid w:val="002534CB"/>
    <w:pPr>
      <w:spacing w:after="120"/>
    </w:pPr>
    <w:rPr>
      <w:rFonts w:eastAsia="ヒラギノ角ゴ Pro W3"/>
      <w:color w:val="000000"/>
    </w:rPr>
  </w:style>
  <w:style w:type="paragraph" w:styleId="BalloonText">
    <w:name w:val="Balloon Text"/>
    <w:basedOn w:val="Normal"/>
    <w:link w:val="BalloonTextChar"/>
    <w:rsid w:val="006F7955"/>
    <w:rPr>
      <w:rFonts w:ascii="Tahoma" w:hAnsi="Tahoma" w:cs="Tahoma"/>
      <w:sz w:val="16"/>
      <w:szCs w:val="16"/>
    </w:rPr>
  </w:style>
  <w:style w:type="character" w:customStyle="1" w:styleId="BalloonTextChar">
    <w:name w:val="Balloon Text Char"/>
    <w:basedOn w:val="DefaultParagraphFont"/>
    <w:link w:val="BalloonText"/>
    <w:rsid w:val="006F7955"/>
    <w:rPr>
      <w:rFonts w:ascii="Tahoma" w:hAnsi="Tahoma" w:cs="Tahoma"/>
      <w:snapToGrid w:val="0"/>
      <w:kern w:val="28"/>
      <w:sz w:val="16"/>
      <w:szCs w:val="16"/>
    </w:rPr>
  </w:style>
  <w:style w:type="character" w:styleId="CommentReference">
    <w:name w:val="annotation reference"/>
    <w:basedOn w:val="DefaultParagraphFont"/>
    <w:rsid w:val="002743E4"/>
    <w:rPr>
      <w:sz w:val="16"/>
      <w:szCs w:val="16"/>
    </w:rPr>
  </w:style>
  <w:style w:type="paragraph" w:styleId="CommentText">
    <w:name w:val="annotation text"/>
    <w:basedOn w:val="Normal"/>
    <w:link w:val="CommentTextChar"/>
    <w:rsid w:val="002743E4"/>
    <w:rPr>
      <w:sz w:val="20"/>
    </w:rPr>
  </w:style>
  <w:style w:type="character" w:customStyle="1" w:styleId="CommentTextChar">
    <w:name w:val="Comment Text Char"/>
    <w:basedOn w:val="DefaultParagraphFont"/>
    <w:link w:val="CommentText"/>
    <w:rsid w:val="002743E4"/>
    <w:rPr>
      <w:snapToGrid w:val="0"/>
      <w:kern w:val="28"/>
    </w:rPr>
  </w:style>
  <w:style w:type="paragraph" w:styleId="CommentSubject">
    <w:name w:val="annotation subject"/>
    <w:basedOn w:val="CommentText"/>
    <w:next w:val="CommentText"/>
    <w:link w:val="CommentSubjectChar"/>
    <w:rsid w:val="002743E4"/>
    <w:rPr>
      <w:b/>
      <w:bCs/>
    </w:rPr>
  </w:style>
  <w:style w:type="character" w:customStyle="1" w:styleId="CommentSubjectChar">
    <w:name w:val="Comment Subject Char"/>
    <w:basedOn w:val="CommentTextChar"/>
    <w:link w:val="CommentSubject"/>
    <w:rsid w:val="002743E4"/>
    <w:rPr>
      <w:b/>
      <w:bCs/>
      <w:snapToGrid w:val="0"/>
      <w:kern w:val="28"/>
    </w:rPr>
  </w:style>
  <w:style w:type="paragraph" w:styleId="Revision">
    <w:name w:val="Revision"/>
    <w:hidden/>
    <w:uiPriority w:val="99"/>
    <w:semiHidden/>
    <w:rsid w:val="00A877D9"/>
    <w:rPr>
      <w:snapToGrid w:val="0"/>
      <w:kern w:val="28"/>
      <w:sz w:val="22"/>
    </w:rPr>
  </w:style>
  <w:style w:type="character" w:customStyle="1" w:styleId="emphi">
    <w:name w:val="emphi"/>
    <w:basedOn w:val="DefaultParagraphFont"/>
    <w:rsid w:val="00D3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D7C"/>
    <w:pPr>
      <w:widowControl w:val="0"/>
    </w:pPr>
    <w:rPr>
      <w:snapToGrid w:val="0"/>
      <w:kern w:val="28"/>
      <w:sz w:val="22"/>
    </w:rPr>
  </w:style>
  <w:style w:type="paragraph" w:styleId="Heading1">
    <w:name w:val="heading 1"/>
    <w:basedOn w:val="Normal"/>
    <w:next w:val="ParaNum"/>
    <w:qFormat/>
    <w:rsid w:val="00315D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5D7C"/>
    <w:pPr>
      <w:keepNext/>
      <w:numPr>
        <w:ilvl w:val="1"/>
        <w:numId w:val="3"/>
      </w:numPr>
      <w:spacing w:after="120"/>
      <w:outlineLvl w:val="1"/>
    </w:pPr>
    <w:rPr>
      <w:b/>
    </w:rPr>
  </w:style>
  <w:style w:type="paragraph" w:styleId="Heading3">
    <w:name w:val="heading 3"/>
    <w:basedOn w:val="Normal"/>
    <w:next w:val="ParaNum"/>
    <w:qFormat/>
    <w:rsid w:val="00315D7C"/>
    <w:pPr>
      <w:keepNext/>
      <w:numPr>
        <w:ilvl w:val="2"/>
        <w:numId w:val="3"/>
      </w:numPr>
      <w:tabs>
        <w:tab w:val="left" w:pos="2160"/>
      </w:tabs>
      <w:spacing w:after="120"/>
      <w:outlineLvl w:val="2"/>
    </w:pPr>
    <w:rPr>
      <w:b/>
    </w:rPr>
  </w:style>
  <w:style w:type="paragraph" w:styleId="Heading4">
    <w:name w:val="heading 4"/>
    <w:basedOn w:val="Normal"/>
    <w:next w:val="ParaNum"/>
    <w:qFormat/>
    <w:rsid w:val="00315D7C"/>
    <w:pPr>
      <w:keepNext/>
      <w:numPr>
        <w:ilvl w:val="3"/>
        <w:numId w:val="3"/>
      </w:numPr>
      <w:tabs>
        <w:tab w:val="left" w:pos="2880"/>
      </w:tabs>
      <w:spacing w:after="120"/>
      <w:outlineLvl w:val="3"/>
    </w:pPr>
    <w:rPr>
      <w:b/>
    </w:rPr>
  </w:style>
  <w:style w:type="paragraph" w:styleId="Heading5">
    <w:name w:val="heading 5"/>
    <w:basedOn w:val="Normal"/>
    <w:next w:val="ParaNum"/>
    <w:qFormat/>
    <w:rsid w:val="00315D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5D7C"/>
    <w:pPr>
      <w:numPr>
        <w:ilvl w:val="5"/>
        <w:numId w:val="3"/>
      </w:numPr>
      <w:tabs>
        <w:tab w:val="left" w:pos="4320"/>
      </w:tabs>
      <w:spacing w:after="120"/>
      <w:outlineLvl w:val="5"/>
    </w:pPr>
    <w:rPr>
      <w:b/>
    </w:rPr>
  </w:style>
  <w:style w:type="paragraph" w:styleId="Heading7">
    <w:name w:val="heading 7"/>
    <w:basedOn w:val="Normal"/>
    <w:next w:val="ParaNum"/>
    <w:qFormat/>
    <w:rsid w:val="00315D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5D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5D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5D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D7C"/>
  </w:style>
  <w:style w:type="paragraph" w:customStyle="1" w:styleId="ParaNum">
    <w:name w:val="ParaNum"/>
    <w:basedOn w:val="Normal"/>
    <w:rsid w:val="00315D7C"/>
    <w:pPr>
      <w:numPr>
        <w:numId w:val="2"/>
      </w:numPr>
      <w:tabs>
        <w:tab w:val="clear" w:pos="1080"/>
        <w:tab w:val="num" w:pos="1440"/>
      </w:tabs>
      <w:spacing w:after="120"/>
    </w:pPr>
  </w:style>
  <w:style w:type="paragraph" w:styleId="EndnoteText">
    <w:name w:val="endnote text"/>
    <w:basedOn w:val="Normal"/>
    <w:semiHidden/>
    <w:rsid w:val="00315D7C"/>
    <w:rPr>
      <w:sz w:val="20"/>
    </w:rPr>
  </w:style>
  <w:style w:type="character" w:styleId="EndnoteReference">
    <w:name w:val="endnote reference"/>
    <w:semiHidden/>
    <w:rsid w:val="00315D7C"/>
    <w:rPr>
      <w:vertAlign w:val="superscript"/>
    </w:rPr>
  </w:style>
  <w:style w:type="paragraph" w:styleId="FootnoteText">
    <w:name w:val="footnote text"/>
    <w:aliases w:val="rrfootnote Char,Footnote Text Char2 Char,Footnote Text Char1 Char Char,Footnote Text Char Char Char Char,Footnote Text Char1 Char Char Char Char,Footnote Text Char Char Char Char Char Char,Footnote Text Char Char Char1,f"/>
    <w:link w:val="FootnoteTextChar"/>
    <w:rsid w:val="00315D7C"/>
    <w:pPr>
      <w:spacing w:after="120"/>
    </w:pPr>
  </w:style>
  <w:style w:type="character" w:styleId="FootnoteReference">
    <w:name w:val="footnote reference"/>
    <w:aliases w:val="Style 12,(NECG) Footnote Reference,Appel note de bas de p,Style 124,Style 4,Style 13,o,fr,Style 3"/>
    <w:rsid w:val="00315D7C"/>
    <w:rPr>
      <w:rFonts w:ascii="Times New Roman" w:hAnsi="Times New Roman"/>
      <w:dstrike w:val="0"/>
      <w:color w:val="auto"/>
      <w:sz w:val="20"/>
      <w:vertAlign w:val="superscript"/>
    </w:rPr>
  </w:style>
  <w:style w:type="paragraph" w:styleId="TOC1">
    <w:name w:val="toc 1"/>
    <w:basedOn w:val="Normal"/>
    <w:next w:val="Normal"/>
    <w:semiHidden/>
    <w:rsid w:val="00315D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5D7C"/>
    <w:pPr>
      <w:tabs>
        <w:tab w:val="left" w:pos="720"/>
        <w:tab w:val="right" w:leader="dot" w:pos="9360"/>
      </w:tabs>
      <w:suppressAutoHyphens/>
      <w:ind w:left="720" w:right="720" w:hanging="360"/>
    </w:pPr>
    <w:rPr>
      <w:noProof/>
    </w:rPr>
  </w:style>
  <w:style w:type="paragraph" w:styleId="TOC3">
    <w:name w:val="toc 3"/>
    <w:basedOn w:val="Normal"/>
    <w:next w:val="Normal"/>
    <w:semiHidden/>
    <w:rsid w:val="00315D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5D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5D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5D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5D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5D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5D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5D7C"/>
    <w:pPr>
      <w:tabs>
        <w:tab w:val="right" w:pos="9360"/>
      </w:tabs>
      <w:suppressAutoHyphens/>
    </w:pPr>
  </w:style>
  <w:style w:type="character" w:customStyle="1" w:styleId="EquationCaption">
    <w:name w:val="_Equation Caption"/>
    <w:rsid w:val="00315D7C"/>
  </w:style>
  <w:style w:type="paragraph" w:styleId="Header">
    <w:name w:val="header"/>
    <w:basedOn w:val="Normal"/>
    <w:autoRedefine/>
    <w:rsid w:val="00315D7C"/>
    <w:pPr>
      <w:tabs>
        <w:tab w:val="center" w:pos="4680"/>
        <w:tab w:val="right" w:pos="9360"/>
      </w:tabs>
    </w:pPr>
    <w:rPr>
      <w:b/>
    </w:rPr>
  </w:style>
  <w:style w:type="paragraph" w:styleId="Footer">
    <w:name w:val="footer"/>
    <w:basedOn w:val="Normal"/>
    <w:rsid w:val="00315D7C"/>
    <w:pPr>
      <w:tabs>
        <w:tab w:val="center" w:pos="4320"/>
        <w:tab w:val="right" w:pos="8640"/>
      </w:tabs>
    </w:pPr>
  </w:style>
  <w:style w:type="character" w:styleId="PageNumber">
    <w:name w:val="page number"/>
    <w:basedOn w:val="DefaultParagraphFont"/>
    <w:rsid w:val="00315D7C"/>
  </w:style>
  <w:style w:type="paragraph" w:styleId="BlockText">
    <w:name w:val="Block Text"/>
    <w:basedOn w:val="Normal"/>
    <w:rsid w:val="00315D7C"/>
    <w:pPr>
      <w:spacing w:after="240"/>
      <w:ind w:left="1440" w:right="1440"/>
    </w:pPr>
  </w:style>
  <w:style w:type="paragraph" w:customStyle="1" w:styleId="Paratitle">
    <w:name w:val="Para title"/>
    <w:basedOn w:val="Normal"/>
    <w:rsid w:val="00315D7C"/>
    <w:pPr>
      <w:tabs>
        <w:tab w:val="center" w:pos="9270"/>
      </w:tabs>
      <w:spacing w:after="240"/>
    </w:pPr>
    <w:rPr>
      <w:spacing w:val="-2"/>
    </w:rPr>
  </w:style>
  <w:style w:type="paragraph" w:customStyle="1" w:styleId="Bullet">
    <w:name w:val="Bullet"/>
    <w:basedOn w:val="Normal"/>
    <w:rsid w:val="00315D7C"/>
    <w:pPr>
      <w:tabs>
        <w:tab w:val="left" w:pos="2160"/>
      </w:tabs>
      <w:spacing w:after="220"/>
      <w:ind w:left="2160" w:hanging="720"/>
    </w:pPr>
  </w:style>
  <w:style w:type="paragraph" w:customStyle="1" w:styleId="TableFormat">
    <w:name w:val="TableFormat"/>
    <w:basedOn w:val="Bullet"/>
    <w:rsid w:val="00315D7C"/>
    <w:pPr>
      <w:tabs>
        <w:tab w:val="clear" w:pos="2160"/>
        <w:tab w:val="left" w:pos="5040"/>
      </w:tabs>
      <w:ind w:left="5040" w:hanging="3600"/>
    </w:pPr>
  </w:style>
  <w:style w:type="paragraph" w:customStyle="1" w:styleId="TOCTitle">
    <w:name w:val="TOC Title"/>
    <w:basedOn w:val="Normal"/>
    <w:rsid w:val="00315D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5D7C"/>
    <w:pPr>
      <w:jc w:val="center"/>
    </w:pPr>
    <w:rPr>
      <w:rFonts w:ascii="Times New Roman Bold" w:hAnsi="Times New Roman Bold"/>
      <w:b/>
      <w:bCs/>
      <w:caps/>
      <w:szCs w:val="22"/>
    </w:rPr>
  </w:style>
  <w:style w:type="character" w:styleId="Hyperlink">
    <w:name w:val="Hyperlink"/>
    <w:rsid w:val="00315D7C"/>
    <w:rPr>
      <w:color w:val="0000FF"/>
      <w:u w:val="single"/>
    </w:rPr>
  </w:style>
  <w:style w:type="character" w:customStyle="1" w:styleId="FootnoteTextChar">
    <w:name w:val="Footnote Text Char"/>
    <w:aliases w:val="rrfootnote Char Char,Footnote Text Char2 Char Char,Footnote Text Char1 Char Char Char,Footnote Text Char Char Char Char Char,Footnote Text Char1 Char Char Char Char Char,Footnote Text Char Char Char Char Char Char Char,f Char"/>
    <w:link w:val="FootnoteText"/>
    <w:rsid w:val="004B7BAF"/>
  </w:style>
  <w:style w:type="paragraph" w:customStyle="1" w:styleId="FootnoteTextFCC">
    <w:name w:val="Footnote Text FCC"/>
    <w:rsid w:val="002534CB"/>
    <w:pPr>
      <w:spacing w:after="120"/>
    </w:pPr>
    <w:rPr>
      <w:rFonts w:eastAsia="ヒラギノ角ゴ Pro W3"/>
      <w:color w:val="000000"/>
    </w:rPr>
  </w:style>
  <w:style w:type="paragraph" w:styleId="BalloonText">
    <w:name w:val="Balloon Text"/>
    <w:basedOn w:val="Normal"/>
    <w:link w:val="BalloonTextChar"/>
    <w:rsid w:val="006F7955"/>
    <w:rPr>
      <w:rFonts w:ascii="Tahoma" w:hAnsi="Tahoma" w:cs="Tahoma"/>
      <w:sz w:val="16"/>
      <w:szCs w:val="16"/>
    </w:rPr>
  </w:style>
  <w:style w:type="character" w:customStyle="1" w:styleId="BalloonTextChar">
    <w:name w:val="Balloon Text Char"/>
    <w:basedOn w:val="DefaultParagraphFont"/>
    <w:link w:val="BalloonText"/>
    <w:rsid w:val="006F7955"/>
    <w:rPr>
      <w:rFonts w:ascii="Tahoma" w:hAnsi="Tahoma" w:cs="Tahoma"/>
      <w:snapToGrid w:val="0"/>
      <w:kern w:val="28"/>
      <w:sz w:val="16"/>
      <w:szCs w:val="16"/>
    </w:rPr>
  </w:style>
  <w:style w:type="character" w:styleId="CommentReference">
    <w:name w:val="annotation reference"/>
    <w:basedOn w:val="DefaultParagraphFont"/>
    <w:rsid w:val="002743E4"/>
    <w:rPr>
      <w:sz w:val="16"/>
      <w:szCs w:val="16"/>
    </w:rPr>
  </w:style>
  <w:style w:type="paragraph" w:styleId="CommentText">
    <w:name w:val="annotation text"/>
    <w:basedOn w:val="Normal"/>
    <w:link w:val="CommentTextChar"/>
    <w:rsid w:val="002743E4"/>
    <w:rPr>
      <w:sz w:val="20"/>
    </w:rPr>
  </w:style>
  <w:style w:type="character" w:customStyle="1" w:styleId="CommentTextChar">
    <w:name w:val="Comment Text Char"/>
    <w:basedOn w:val="DefaultParagraphFont"/>
    <w:link w:val="CommentText"/>
    <w:rsid w:val="002743E4"/>
    <w:rPr>
      <w:snapToGrid w:val="0"/>
      <w:kern w:val="28"/>
    </w:rPr>
  </w:style>
  <w:style w:type="paragraph" w:styleId="CommentSubject">
    <w:name w:val="annotation subject"/>
    <w:basedOn w:val="CommentText"/>
    <w:next w:val="CommentText"/>
    <w:link w:val="CommentSubjectChar"/>
    <w:rsid w:val="002743E4"/>
    <w:rPr>
      <w:b/>
      <w:bCs/>
    </w:rPr>
  </w:style>
  <w:style w:type="character" w:customStyle="1" w:styleId="CommentSubjectChar">
    <w:name w:val="Comment Subject Char"/>
    <w:basedOn w:val="CommentTextChar"/>
    <w:link w:val="CommentSubject"/>
    <w:rsid w:val="002743E4"/>
    <w:rPr>
      <w:b/>
      <w:bCs/>
      <w:snapToGrid w:val="0"/>
      <w:kern w:val="28"/>
    </w:rPr>
  </w:style>
  <w:style w:type="paragraph" w:styleId="Revision">
    <w:name w:val="Revision"/>
    <w:hidden/>
    <w:uiPriority w:val="99"/>
    <w:semiHidden/>
    <w:rsid w:val="00A877D9"/>
    <w:rPr>
      <w:snapToGrid w:val="0"/>
      <w:kern w:val="28"/>
      <w:sz w:val="22"/>
    </w:rPr>
  </w:style>
  <w:style w:type="character" w:customStyle="1" w:styleId="emphi">
    <w:name w:val="emphi"/>
    <w:basedOn w:val="DefaultParagraphFont"/>
    <w:rsid w:val="00D3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4414">
      <w:bodyDiv w:val="1"/>
      <w:marLeft w:val="0"/>
      <w:marRight w:val="0"/>
      <w:marTop w:val="0"/>
      <w:marBottom w:val="0"/>
      <w:divBdr>
        <w:top w:val="none" w:sz="0" w:space="0" w:color="auto"/>
        <w:left w:val="none" w:sz="0" w:space="0" w:color="auto"/>
        <w:bottom w:val="none" w:sz="0" w:space="0" w:color="auto"/>
        <w:right w:val="none" w:sz="0" w:space="0" w:color="auto"/>
      </w:divBdr>
      <w:divsChild>
        <w:div w:id="1564218497">
          <w:marLeft w:val="0"/>
          <w:marRight w:val="0"/>
          <w:marTop w:val="0"/>
          <w:marBottom w:val="0"/>
          <w:divBdr>
            <w:top w:val="none" w:sz="0" w:space="0" w:color="auto"/>
            <w:left w:val="none" w:sz="0" w:space="0" w:color="auto"/>
            <w:bottom w:val="none" w:sz="0" w:space="0" w:color="auto"/>
            <w:right w:val="none" w:sz="0" w:space="0" w:color="auto"/>
          </w:divBdr>
          <w:divsChild>
            <w:div w:id="586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230">
      <w:bodyDiv w:val="1"/>
      <w:marLeft w:val="0"/>
      <w:marRight w:val="0"/>
      <w:marTop w:val="0"/>
      <w:marBottom w:val="0"/>
      <w:divBdr>
        <w:top w:val="none" w:sz="0" w:space="0" w:color="auto"/>
        <w:left w:val="none" w:sz="0" w:space="0" w:color="auto"/>
        <w:bottom w:val="none" w:sz="0" w:space="0" w:color="auto"/>
        <w:right w:val="none" w:sz="0" w:space="0" w:color="auto"/>
      </w:divBdr>
      <w:divsChild>
        <w:div w:id="1890409262">
          <w:marLeft w:val="0"/>
          <w:marRight w:val="0"/>
          <w:marTop w:val="0"/>
          <w:marBottom w:val="0"/>
          <w:divBdr>
            <w:top w:val="none" w:sz="0" w:space="0" w:color="auto"/>
            <w:left w:val="none" w:sz="0" w:space="0" w:color="auto"/>
            <w:bottom w:val="none" w:sz="0" w:space="0" w:color="auto"/>
            <w:right w:val="none" w:sz="0" w:space="0" w:color="auto"/>
          </w:divBdr>
          <w:divsChild>
            <w:div w:id="1527209442">
              <w:marLeft w:val="0"/>
              <w:marRight w:val="0"/>
              <w:marTop w:val="240"/>
              <w:marBottom w:val="0"/>
              <w:divBdr>
                <w:top w:val="none" w:sz="0" w:space="0" w:color="auto"/>
                <w:left w:val="none" w:sz="0" w:space="0" w:color="auto"/>
                <w:bottom w:val="none" w:sz="0" w:space="0" w:color="auto"/>
                <w:right w:val="none" w:sz="0" w:space="0" w:color="auto"/>
              </w:divBdr>
            </w:div>
            <w:div w:id="1404521409">
              <w:marLeft w:val="0"/>
              <w:marRight w:val="0"/>
              <w:marTop w:val="0"/>
              <w:marBottom w:val="0"/>
              <w:divBdr>
                <w:top w:val="none" w:sz="0" w:space="0" w:color="auto"/>
                <w:left w:val="none" w:sz="0" w:space="0" w:color="auto"/>
                <w:bottom w:val="none" w:sz="0" w:space="0" w:color="auto"/>
                <w:right w:val="none" w:sz="0" w:space="0" w:color="auto"/>
              </w:divBdr>
            </w:div>
            <w:div w:id="1079408145">
              <w:marLeft w:val="0"/>
              <w:marRight w:val="0"/>
              <w:marTop w:val="240"/>
              <w:marBottom w:val="0"/>
              <w:divBdr>
                <w:top w:val="none" w:sz="0" w:space="0" w:color="auto"/>
                <w:left w:val="none" w:sz="0" w:space="0" w:color="auto"/>
                <w:bottom w:val="none" w:sz="0" w:space="0" w:color="auto"/>
                <w:right w:val="none" w:sz="0" w:space="0" w:color="auto"/>
              </w:divBdr>
            </w:div>
            <w:div w:id="514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6075">
      <w:bodyDiv w:val="1"/>
      <w:marLeft w:val="0"/>
      <w:marRight w:val="0"/>
      <w:marTop w:val="0"/>
      <w:marBottom w:val="0"/>
      <w:divBdr>
        <w:top w:val="none" w:sz="0" w:space="0" w:color="auto"/>
        <w:left w:val="none" w:sz="0" w:space="0" w:color="auto"/>
        <w:bottom w:val="none" w:sz="0" w:space="0" w:color="auto"/>
        <w:right w:val="none" w:sz="0" w:space="0" w:color="auto"/>
      </w:divBdr>
    </w:div>
    <w:div w:id="1560441000">
      <w:bodyDiv w:val="1"/>
      <w:marLeft w:val="0"/>
      <w:marRight w:val="0"/>
      <w:marTop w:val="0"/>
      <w:marBottom w:val="0"/>
      <w:divBdr>
        <w:top w:val="none" w:sz="0" w:space="0" w:color="auto"/>
        <w:left w:val="none" w:sz="0" w:space="0" w:color="auto"/>
        <w:bottom w:val="none" w:sz="0" w:space="0" w:color="auto"/>
        <w:right w:val="none" w:sz="0" w:space="0" w:color="auto"/>
      </w:divBdr>
    </w:div>
    <w:div w:id="1571580760">
      <w:bodyDiv w:val="1"/>
      <w:marLeft w:val="0"/>
      <w:marRight w:val="0"/>
      <w:marTop w:val="0"/>
      <w:marBottom w:val="0"/>
      <w:divBdr>
        <w:top w:val="none" w:sz="0" w:space="0" w:color="auto"/>
        <w:left w:val="none" w:sz="0" w:space="0" w:color="auto"/>
        <w:bottom w:val="none" w:sz="0" w:space="0" w:color="auto"/>
        <w:right w:val="none" w:sz="0" w:space="0" w:color="auto"/>
      </w:divBdr>
    </w:div>
    <w:div w:id="1625191519">
      <w:bodyDiv w:val="1"/>
      <w:marLeft w:val="0"/>
      <w:marRight w:val="0"/>
      <w:marTop w:val="0"/>
      <w:marBottom w:val="0"/>
      <w:divBdr>
        <w:top w:val="none" w:sz="0" w:space="0" w:color="auto"/>
        <w:left w:val="none" w:sz="0" w:space="0" w:color="auto"/>
        <w:bottom w:val="none" w:sz="0" w:space="0" w:color="auto"/>
        <w:right w:val="none" w:sz="0" w:space="0" w:color="auto"/>
      </w:divBdr>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2049408821">
      <w:bodyDiv w:val="1"/>
      <w:marLeft w:val="0"/>
      <w:marRight w:val="0"/>
      <w:marTop w:val="0"/>
      <w:marBottom w:val="0"/>
      <w:divBdr>
        <w:top w:val="none" w:sz="0" w:space="0" w:color="auto"/>
        <w:left w:val="none" w:sz="0" w:space="0" w:color="auto"/>
        <w:bottom w:val="none" w:sz="0" w:space="0" w:color="auto"/>
        <w:right w:val="none" w:sz="0" w:space="0" w:color="auto"/>
      </w:divBdr>
      <w:divsChild>
        <w:div w:id="287470356">
          <w:marLeft w:val="0"/>
          <w:marRight w:val="0"/>
          <w:marTop w:val="0"/>
          <w:marBottom w:val="0"/>
          <w:divBdr>
            <w:top w:val="none" w:sz="0" w:space="0" w:color="auto"/>
            <w:left w:val="none" w:sz="0" w:space="0" w:color="auto"/>
            <w:bottom w:val="none" w:sz="0" w:space="0" w:color="auto"/>
            <w:right w:val="none" w:sz="0" w:space="0" w:color="auto"/>
          </w:divBdr>
          <w:divsChild>
            <w:div w:id="31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returnto=BusinessNameReturnTo&amp;db=BC-COMPANYSRBD&amp;rs=WLW14.07&amp;lvbp=T&amp;vr=2.0&amp;rp=%2ffind%2fdefault.wl&amp;sv=Split&amp;fn=_top&amp;findtype=l&amp;mt=Westlaw&amp;docname=CIK(00008138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5628</Words>
  <Characters>30575</Characters>
  <Application>Microsoft Office Word</Application>
  <DocSecurity>0</DocSecurity>
  <Lines>428</Lines>
  <Paragraphs>79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36399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2015-03-19T13:14:00Z</cp:lastPrinted>
  <dcterms:created xsi:type="dcterms:W3CDTF">2015-03-23T15:46:00Z</dcterms:created>
  <dcterms:modified xsi:type="dcterms:W3CDTF">2015-03-23T15:46:00Z</dcterms:modified>
  <cp:category> </cp:category>
  <cp:contentStatus> </cp:contentStatus>
</cp:coreProperties>
</file>