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A844E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A844E8">
      <w:pPr>
        <w:pStyle w:val="StyleBoldCentered"/>
      </w:pPr>
      <w:r>
        <w:t>F</w:t>
      </w:r>
      <w:r>
        <w:rPr>
          <w:caps w:val="0"/>
        </w:rPr>
        <w:t>ederal Communications Commission</w:t>
      </w:r>
    </w:p>
    <w:p w:rsidR="004C2EE3" w:rsidRDefault="00810B6F" w:rsidP="00A844E8">
      <w:pPr>
        <w:pStyle w:val="StyleBoldCentered"/>
      </w:pPr>
      <w:r>
        <w:rPr>
          <w:caps w:val="0"/>
        </w:rPr>
        <w:t>Washington, D.C. 20554</w:t>
      </w:r>
    </w:p>
    <w:p w:rsidR="004C2EE3" w:rsidRDefault="004C2EE3" w:rsidP="00A844E8"/>
    <w:p w:rsidR="004C2EE3" w:rsidRDefault="004C2EE3" w:rsidP="00A844E8"/>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A844E8">
            <w:pPr>
              <w:tabs>
                <w:tab w:val="center" w:pos="4680"/>
              </w:tabs>
              <w:suppressAutoHyphens/>
              <w:rPr>
                <w:spacing w:val="-2"/>
              </w:rPr>
            </w:pPr>
            <w:r>
              <w:rPr>
                <w:spacing w:val="-2"/>
              </w:rPr>
              <w:t>In the Matter of</w:t>
            </w:r>
          </w:p>
          <w:p w:rsidR="004C2EE3" w:rsidRDefault="004C2EE3" w:rsidP="00A844E8">
            <w:pPr>
              <w:tabs>
                <w:tab w:val="center" w:pos="4680"/>
              </w:tabs>
              <w:suppressAutoHyphens/>
              <w:rPr>
                <w:spacing w:val="-2"/>
              </w:rPr>
            </w:pPr>
          </w:p>
          <w:p w:rsidR="004C2EE3" w:rsidRDefault="00D72CF2" w:rsidP="00A844E8">
            <w:pPr>
              <w:tabs>
                <w:tab w:val="center" w:pos="4680"/>
              </w:tabs>
              <w:suppressAutoHyphens/>
              <w:rPr>
                <w:spacing w:val="-2"/>
              </w:rPr>
            </w:pPr>
            <w:r>
              <w:rPr>
                <w:spacing w:val="-2"/>
              </w:rPr>
              <w:t>TODD FEATHERS</w:t>
            </w:r>
          </w:p>
          <w:p w:rsidR="00D72CF2" w:rsidRDefault="00D72CF2" w:rsidP="00A844E8">
            <w:pPr>
              <w:tabs>
                <w:tab w:val="center" w:pos="4680"/>
              </w:tabs>
              <w:suppressAutoHyphens/>
              <w:rPr>
                <w:spacing w:val="-2"/>
              </w:rPr>
            </w:pPr>
          </w:p>
          <w:p w:rsidR="00D72CF2" w:rsidRPr="007115F7" w:rsidRDefault="006B32E1" w:rsidP="00A844E8">
            <w:pPr>
              <w:tabs>
                <w:tab w:val="center" w:pos="4680"/>
              </w:tabs>
              <w:suppressAutoHyphens/>
              <w:rPr>
                <w:spacing w:val="-2"/>
              </w:rPr>
            </w:pPr>
            <w:r>
              <w:rPr>
                <w:spacing w:val="-2"/>
              </w:rPr>
              <w:t>On R</w:t>
            </w:r>
            <w:r w:rsidR="00D72CF2">
              <w:rPr>
                <w:spacing w:val="-2"/>
              </w:rPr>
              <w:t>equest for Inspection of Records</w:t>
            </w:r>
          </w:p>
        </w:tc>
        <w:tc>
          <w:tcPr>
            <w:tcW w:w="630" w:type="dxa"/>
          </w:tcPr>
          <w:p w:rsidR="004C2EE3" w:rsidRDefault="004C2EE3" w:rsidP="00A844E8">
            <w:pPr>
              <w:tabs>
                <w:tab w:val="center" w:pos="4680"/>
              </w:tabs>
              <w:suppressAutoHyphens/>
              <w:rPr>
                <w:b/>
                <w:spacing w:val="-2"/>
              </w:rPr>
            </w:pPr>
            <w:r>
              <w:rPr>
                <w:b/>
                <w:spacing w:val="-2"/>
              </w:rPr>
              <w:t>)</w:t>
            </w:r>
          </w:p>
          <w:p w:rsidR="004C2EE3" w:rsidRDefault="004C2EE3" w:rsidP="00A844E8">
            <w:pPr>
              <w:tabs>
                <w:tab w:val="center" w:pos="4680"/>
              </w:tabs>
              <w:suppressAutoHyphens/>
              <w:rPr>
                <w:b/>
                <w:spacing w:val="-2"/>
              </w:rPr>
            </w:pPr>
            <w:r>
              <w:rPr>
                <w:b/>
                <w:spacing w:val="-2"/>
              </w:rPr>
              <w:t>)</w:t>
            </w:r>
          </w:p>
          <w:p w:rsidR="004C2EE3" w:rsidRDefault="004C2EE3" w:rsidP="00A844E8">
            <w:pPr>
              <w:tabs>
                <w:tab w:val="center" w:pos="4680"/>
              </w:tabs>
              <w:suppressAutoHyphens/>
              <w:rPr>
                <w:b/>
                <w:spacing w:val="-2"/>
              </w:rPr>
            </w:pPr>
            <w:r>
              <w:rPr>
                <w:b/>
                <w:spacing w:val="-2"/>
              </w:rPr>
              <w:t>)</w:t>
            </w:r>
          </w:p>
          <w:p w:rsidR="004C2EE3" w:rsidRDefault="004C2EE3" w:rsidP="00A844E8">
            <w:pPr>
              <w:tabs>
                <w:tab w:val="center" w:pos="4680"/>
              </w:tabs>
              <w:suppressAutoHyphens/>
              <w:rPr>
                <w:b/>
                <w:spacing w:val="-2"/>
              </w:rPr>
            </w:pPr>
            <w:r>
              <w:rPr>
                <w:b/>
                <w:spacing w:val="-2"/>
              </w:rPr>
              <w:t>)</w:t>
            </w:r>
          </w:p>
          <w:p w:rsidR="004C2EE3" w:rsidRDefault="004C2EE3" w:rsidP="00A844E8">
            <w:pPr>
              <w:tabs>
                <w:tab w:val="center" w:pos="4680"/>
              </w:tabs>
              <w:suppressAutoHyphens/>
              <w:rPr>
                <w:b/>
                <w:spacing w:val="-2"/>
              </w:rPr>
            </w:pPr>
            <w:r>
              <w:rPr>
                <w:b/>
                <w:spacing w:val="-2"/>
              </w:rPr>
              <w:t>)</w:t>
            </w:r>
          </w:p>
          <w:p w:rsidR="004C2EE3" w:rsidRDefault="004C2EE3" w:rsidP="00A844E8">
            <w:pPr>
              <w:tabs>
                <w:tab w:val="center" w:pos="4680"/>
              </w:tabs>
              <w:suppressAutoHyphens/>
              <w:rPr>
                <w:b/>
                <w:spacing w:val="-2"/>
              </w:rPr>
            </w:pPr>
            <w:r>
              <w:rPr>
                <w:b/>
                <w:spacing w:val="-2"/>
              </w:rPr>
              <w:t>)</w:t>
            </w:r>
          </w:p>
          <w:p w:rsidR="004C2EE3" w:rsidRDefault="004C2EE3" w:rsidP="00A844E8">
            <w:pPr>
              <w:tabs>
                <w:tab w:val="center" w:pos="4680"/>
              </w:tabs>
              <w:suppressAutoHyphens/>
              <w:rPr>
                <w:b/>
                <w:spacing w:val="-2"/>
              </w:rPr>
            </w:pPr>
            <w:r>
              <w:rPr>
                <w:b/>
                <w:spacing w:val="-2"/>
              </w:rPr>
              <w:t>)</w:t>
            </w:r>
          </w:p>
          <w:p w:rsidR="004C2EE3" w:rsidRDefault="004C2EE3" w:rsidP="00A844E8">
            <w:pPr>
              <w:tabs>
                <w:tab w:val="center" w:pos="4680"/>
              </w:tabs>
              <w:suppressAutoHyphens/>
              <w:rPr>
                <w:b/>
                <w:spacing w:val="-2"/>
              </w:rPr>
            </w:pPr>
            <w:r>
              <w:rPr>
                <w:b/>
                <w:spacing w:val="-2"/>
              </w:rPr>
              <w:t>)</w:t>
            </w:r>
          </w:p>
          <w:p w:rsidR="004C2EE3" w:rsidRDefault="004C2EE3" w:rsidP="00A844E8">
            <w:pPr>
              <w:tabs>
                <w:tab w:val="center" w:pos="4680"/>
              </w:tabs>
              <w:suppressAutoHyphens/>
              <w:rPr>
                <w:spacing w:val="-2"/>
              </w:rPr>
            </w:pPr>
            <w:r>
              <w:rPr>
                <w:b/>
                <w:spacing w:val="-2"/>
              </w:rPr>
              <w:t>)</w:t>
            </w:r>
          </w:p>
        </w:tc>
        <w:tc>
          <w:tcPr>
            <w:tcW w:w="4248" w:type="dxa"/>
          </w:tcPr>
          <w:p w:rsidR="004C2EE3" w:rsidRDefault="004C2EE3" w:rsidP="00A844E8">
            <w:pPr>
              <w:tabs>
                <w:tab w:val="center" w:pos="4680"/>
              </w:tabs>
              <w:suppressAutoHyphens/>
              <w:rPr>
                <w:spacing w:val="-2"/>
              </w:rPr>
            </w:pPr>
          </w:p>
          <w:p w:rsidR="004C2EE3" w:rsidRDefault="004C2EE3" w:rsidP="00A844E8">
            <w:pPr>
              <w:pStyle w:val="TOAHeading"/>
              <w:tabs>
                <w:tab w:val="clear" w:pos="9360"/>
                <w:tab w:val="center" w:pos="4680"/>
              </w:tabs>
              <w:rPr>
                <w:spacing w:val="-2"/>
              </w:rPr>
            </w:pPr>
          </w:p>
          <w:p w:rsidR="004C2EE3" w:rsidRDefault="00D72CF2" w:rsidP="00A844E8">
            <w:pPr>
              <w:tabs>
                <w:tab w:val="center" w:pos="4680"/>
              </w:tabs>
              <w:suppressAutoHyphens/>
              <w:rPr>
                <w:spacing w:val="-2"/>
              </w:rPr>
            </w:pPr>
            <w:r>
              <w:rPr>
                <w:spacing w:val="-2"/>
              </w:rPr>
              <w:t>FOIA Control  No. 2014-514</w:t>
            </w:r>
          </w:p>
        </w:tc>
      </w:tr>
    </w:tbl>
    <w:p w:rsidR="004C2EE3" w:rsidRDefault="004C2EE3" w:rsidP="00A844E8"/>
    <w:p w:rsidR="00841AB1" w:rsidRDefault="00D72CF2" w:rsidP="00A844E8">
      <w:pPr>
        <w:pStyle w:val="StyleBoldCentered"/>
      </w:pPr>
      <w:r>
        <w:t>MEMORANDUM OPINION AND ORDER</w:t>
      </w:r>
    </w:p>
    <w:p w:rsidR="004C2EE3" w:rsidRDefault="004C2EE3" w:rsidP="00A844E8">
      <w:pPr>
        <w:tabs>
          <w:tab w:val="left" w:pos="-720"/>
        </w:tabs>
        <w:suppressAutoHyphens/>
        <w:rPr>
          <w:spacing w:val="-2"/>
        </w:rPr>
      </w:pPr>
    </w:p>
    <w:p w:rsidR="004C2EE3" w:rsidRDefault="004C2EE3" w:rsidP="00A844E8">
      <w:pPr>
        <w:tabs>
          <w:tab w:val="left" w:pos="720"/>
          <w:tab w:val="right" w:pos="9360"/>
        </w:tabs>
        <w:suppressAutoHyphens/>
        <w:rPr>
          <w:spacing w:val="-2"/>
        </w:rPr>
      </w:pPr>
      <w:r>
        <w:rPr>
          <w:b/>
          <w:spacing w:val="-2"/>
        </w:rPr>
        <w:t xml:space="preserve">Adopted:  </w:t>
      </w:r>
      <w:r w:rsidR="00A82D43">
        <w:rPr>
          <w:b/>
          <w:spacing w:val="-2"/>
        </w:rPr>
        <w:t>March 20,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82D43">
        <w:rPr>
          <w:b/>
          <w:spacing w:val="-2"/>
        </w:rPr>
        <w:t>March 20, 2015</w:t>
      </w:r>
    </w:p>
    <w:p w:rsidR="00822CE0" w:rsidRDefault="00822CE0" w:rsidP="00A844E8"/>
    <w:p w:rsidR="004C2EE3" w:rsidRDefault="004C2EE3" w:rsidP="00A844E8">
      <w:pPr>
        <w:rPr>
          <w:spacing w:val="-2"/>
        </w:rPr>
      </w:pPr>
      <w:r>
        <w:t xml:space="preserve">By </w:t>
      </w:r>
      <w:r w:rsidR="004E4A22">
        <w:t>the</w:t>
      </w:r>
      <w:r w:rsidR="002A2D2E">
        <w:t xml:space="preserve"> </w:t>
      </w:r>
      <w:r w:rsidR="00D72CF2">
        <w:rPr>
          <w:spacing w:val="-2"/>
        </w:rPr>
        <w:t>Commission</w:t>
      </w:r>
      <w:r>
        <w:rPr>
          <w:spacing w:val="-2"/>
        </w:rPr>
        <w:t>:</w:t>
      </w:r>
    </w:p>
    <w:p w:rsidR="00822CE0" w:rsidRDefault="00822CE0" w:rsidP="00A844E8">
      <w:pPr>
        <w:rPr>
          <w:spacing w:val="-2"/>
        </w:rPr>
      </w:pPr>
    </w:p>
    <w:p w:rsidR="00412FC5" w:rsidRDefault="00412FC5" w:rsidP="00A844E8"/>
    <w:p w:rsidR="002C00E8" w:rsidRDefault="00D72CF2" w:rsidP="00A844E8">
      <w:pPr>
        <w:pStyle w:val="Heading1"/>
        <w:rPr>
          <w:b w:val="0"/>
        </w:rPr>
      </w:pPr>
      <w:r>
        <w:t>introduction</w:t>
      </w:r>
    </w:p>
    <w:p w:rsidR="00D72CF2" w:rsidRDefault="006A35C8" w:rsidP="00A844E8">
      <w:pPr>
        <w:pStyle w:val="ParaNum"/>
      </w:pPr>
      <w:r>
        <w:t>By this Memorandum Opinion and Order, we deny an application for review filed by Todd Feathers</w:t>
      </w:r>
      <w:r w:rsidR="008F1446">
        <w:t xml:space="preserve"> (Feathers)</w:t>
      </w:r>
      <w:r>
        <w:t>.</w:t>
      </w:r>
      <w:r w:rsidR="008F1446">
        <w:rPr>
          <w:rStyle w:val="FootnoteReference"/>
        </w:rPr>
        <w:footnoteReference w:id="2"/>
      </w:r>
      <w:r w:rsidR="008F1446">
        <w:t xml:space="preserve">  Feathers</w:t>
      </w:r>
      <w:r w:rsidR="00D84554">
        <w:t xml:space="preserve"> </w:t>
      </w:r>
      <w:r w:rsidR="008F1446">
        <w:t>seeks review of a decision</w:t>
      </w:r>
      <w:r w:rsidR="008F1446">
        <w:rPr>
          <w:rStyle w:val="FootnoteReference"/>
        </w:rPr>
        <w:footnoteReference w:id="3"/>
      </w:r>
      <w:r w:rsidR="008F1446">
        <w:t xml:space="preserve"> by the Office of General Counsel (OGC)</w:t>
      </w:r>
      <w:r w:rsidR="00BC3826">
        <w:t xml:space="preserve"> that</w:t>
      </w:r>
      <w:r w:rsidR="00D81A76">
        <w:t xml:space="preserve"> released certain </w:t>
      </w:r>
      <w:r w:rsidR="008F1446">
        <w:t>documents in response to Feathers</w:t>
      </w:r>
      <w:r w:rsidR="0039264A">
        <w:t>’</w:t>
      </w:r>
      <w:r w:rsidR="00D1789E">
        <w:t>s</w:t>
      </w:r>
      <w:r w:rsidR="008F1446">
        <w:t xml:space="preserve"> Freedom of Information Act (FOIA) </w:t>
      </w:r>
      <w:r w:rsidR="00D81A76">
        <w:t>R</w:t>
      </w:r>
      <w:r w:rsidR="008F1446">
        <w:t>equest</w:t>
      </w:r>
      <w:r w:rsidR="00D81A76">
        <w:rPr>
          <w:rStyle w:val="FootnoteReference"/>
        </w:rPr>
        <w:footnoteReference w:id="4"/>
      </w:r>
      <w:r w:rsidR="00D81A76">
        <w:t xml:space="preserve"> </w:t>
      </w:r>
      <w:r w:rsidR="00311A5E">
        <w:t>and with</w:t>
      </w:r>
      <w:r w:rsidR="00D81A76">
        <w:t>held</w:t>
      </w:r>
      <w:r w:rsidR="00311A5E">
        <w:t xml:space="preserve"> others</w:t>
      </w:r>
      <w:r w:rsidR="008F1446">
        <w:t xml:space="preserve">. </w:t>
      </w:r>
      <w:r w:rsidR="00840393">
        <w:t xml:space="preserve"> </w:t>
      </w:r>
      <w:r w:rsidR="008F1446">
        <w:t xml:space="preserve">We find that OGC’s Decision properly withheld some </w:t>
      </w:r>
      <w:r w:rsidR="00D81A76">
        <w:t xml:space="preserve">material </w:t>
      </w:r>
      <w:r w:rsidR="008F1446">
        <w:t xml:space="preserve">as not responsive to </w:t>
      </w:r>
      <w:r w:rsidR="0039264A">
        <w:t>Feathers’</w:t>
      </w:r>
      <w:r w:rsidR="00B92699">
        <w:t>s</w:t>
      </w:r>
      <w:r w:rsidR="008F1446">
        <w:t xml:space="preserve"> Request and </w:t>
      </w:r>
      <w:r w:rsidR="00311A5E">
        <w:t xml:space="preserve">some </w:t>
      </w:r>
      <w:r w:rsidR="008F1446">
        <w:t xml:space="preserve">other </w:t>
      </w:r>
      <w:r w:rsidR="00D81A76">
        <w:t xml:space="preserve">material </w:t>
      </w:r>
      <w:r w:rsidR="008F1446">
        <w:t xml:space="preserve">as exempt under the FOIA. </w:t>
      </w:r>
      <w:r w:rsidR="006D64D1">
        <w:t xml:space="preserve"> </w:t>
      </w:r>
      <w:r w:rsidR="008F1446">
        <w:t xml:space="preserve">  </w:t>
      </w:r>
    </w:p>
    <w:p w:rsidR="008F1446" w:rsidRDefault="008F1446" w:rsidP="00A844E8">
      <w:pPr>
        <w:pStyle w:val="Heading1"/>
        <w:rPr>
          <w:b w:val="0"/>
        </w:rPr>
      </w:pPr>
      <w:r>
        <w:t>BACKGROUND</w:t>
      </w:r>
    </w:p>
    <w:p w:rsidR="008F1446" w:rsidRDefault="0039264A" w:rsidP="00DB0D18">
      <w:pPr>
        <w:pStyle w:val="ParaNum"/>
        <w:tabs>
          <w:tab w:val="clear" w:pos="990"/>
          <w:tab w:val="num" w:pos="1080"/>
        </w:tabs>
        <w:ind w:left="0"/>
      </w:pPr>
      <w:r>
        <w:t>Feathers’</w:t>
      </w:r>
      <w:r w:rsidR="00B92699">
        <w:t>s</w:t>
      </w:r>
      <w:r w:rsidR="00311A5E">
        <w:t xml:space="preserve"> Request sought communications between 12 named Commission personnel and Kath</w:t>
      </w:r>
      <w:r w:rsidR="005B2777">
        <w:t>ryn Z</w:t>
      </w:r>
      <w:r w:rsidR="00311A5E">
        <w:t xml:space="preserve">achem (Zachem), Senior Vice President, </w:t>
      </w:r>
      <w:r w:rsidR="008908C9">
        <w:t>R</w:t>
      </w:r>
      <w:r w:rsidR="00311A5E">
        <w:t xml:space="preserve">egulatory and State </w:t>
      </w:r>
      <w:r w:rsidR="00B92699">
        <w:t>L</w:t>
      </w:r>
      <w:r w:rsidR="00311A5E">
        <w:t>egislative Affairs at Comcast Corporation.</w:t>
      </w:r>
      <w:r w:rsidR="00311A5E">
        <w:rPr>
          <w:rStyle w:val="FootnoteReference"/>
        </w:rPr>
        <w:footnoteReference w:id="5"/>
      </w:r>
      <w:r w:rsidR="00311A5E">
        <w:t xml:space="preserve">   The 12 named individuals </w:t>
      </w:r>
      <w:r w:rsidR="005B2777">
        <w:t>are</w:t>
      </w:r>
      <w:r w:rsidR="00311A5E">
        <w:t xml:space="preserve"> Chairman Wheeler</w:t>
      </w:r>
      <w:r w:rsidR="00BC3826">
        <w:t>;</w:t>
      </w:r>
      <w:r w:rsidR="00311A5E">
        <w:t xml:space="preserve"> Ruth Milkman</w:t>
      </w:r>
      <w:r w:rsidR="0068192F">
        <w:t xml:space="preserve"> (Milkman)</w:t>
      </w:r>
      <w:r w:rsidR="00BC3826">
        <w:t>, the chairman’s chief of staff;</w:t>
      </w:r>
      <w:r w:rsidR="00311A5E">
        <w:t xml:space="preserve"> Commissioners Rosenworcel, Pai, and O’Rielly</w:t>
      </w:r>
      <w:r w:rsidR="00BC3826">
        <w:t>;</w:t>
      </w:r>
      <w:r w:rsidR="00311A5E">
        <w:t xml:space="preserve"> confidential assistants working in the respective offices</w:t>
      </w:r>
      <w:r w:rsidR="008908C9">
        <w:t xml:space="preserve"> of the </w:t>
      </w:r>
      <w:r w:rsidR="00BC3826">
        <w:t>c</w:t>
      </w:r>
      <w:r w:rsidR="008908C9">
        <w:t>hairman and commissioners</w:t>
      </w:r>
      <w:r w:rsidR="00BC3826">
        <w:t xml:space="preserve">; </w:t>
      </w:r>
      <w:r w:rsidR="008908C9">
        <w:t>and</w:t>
      </w:r>
      <w:r w:rsidR="00BC3826">
        <w:t xml:space="preserve"> </w:t>
      </w:r>
      <w:r w:rsidR="008908C9">
        <w:t>William Lake</w:t>
      </w:r>
      <w:r w:rsidR="00BC3826">
        <w:t>, chief of the Media Bureau</w:t>
      </w:r>
      <w:r w:rsidR="00311A5E">
        <w:t>.</w:t>
      </w:r>
      <w:r w:rsidR="00E513C0">
        <w:rPr>
          <w:rStyle w:val="FootnoteReference"/>
        </w:rPr>
        <w:footnoteReference w:id="6"/>
      </w:r>
      <w:r w:rsidR="00311A5E">
        <w:t xml:space="preserve">  </w:t>
      </w:r>
      <w:r w:rsidR="00D11AB7">
        <w:t>The request sought emails and other forms of communication since September 1, 2013.</w:t>
      </w:r>
    </w:p>
    <w:p w:rsidR="00D11AB7" w:rsidRDefault="008F78E0" w:rsidP="00A844E8">
      <w:pPr>
        <w:pStyle w:val="ParaNum"/>
      </w:pPr>
      <w:r>
        <w:t>In response, OGC released numerous email chains reflecting communications between the named individuals and Zachem.</w:t>
      </w:r>
      <w:r>
        <w:rPr>
          <w:rStyle w:val="FootnoteReference"/>
        </w:rPr>
        <w:footnoteReference w:id="7"/>
      </w:r>
      <w:r>
        <w:t xml:space="preserve">  OGC redacted from the email chains (1) </w:t>
      </w:r>
      <w:r w:rsidR="00552CCC">
        <w:t xml:space="preserve">a </w:t>
      </w:r>
      <w:r>
        <w:t>copyrighted subscription newsletter</w:t>
      </w:r>
      <w:r w:rsidR="00015508">
        <w:t xml:space="preserve">, </w:t>
      </w:r>
      <w:r>
        <w:t>pursuant to FOIA Exemption 4</w:t>
      </w:r>
      <w:r w:rsidR="00C950CB">
        <w:t>,</w:t>
      </w:r>
      <w:r w:rsidR="004A2347">
        <w:rPr>
          <w:rStyle w:val="FootnoteReference"/>
        </w:rPr>
        <w:footnoteReference w:id="8"/>
      </w:r>
      <w:r>
        <w:t xml:space="preserve"> (2) </w:t>
      </w:r>
      <w:r w:rsidR="00015508">
        <w:t xml:space="preserve">personal mobile phone numbers and other </w:t>
      </w:r>
      <w:r>
        <w:t xml:space="preserve">information that </w:t>
      </w:r>
      <w:r>
        <w:lastRenderedPageBreak/>
        <w:t>would constitute an unwarranted invasion of personal privacy, pursuant to FOIA Exemptio</w:t>
      </w:r>
      <w:r w:rsidR="00FD6BA8">
        <w:t>n</w:t>
      </w:r>
      <w:r>
        <w:t xml:space="preserve"> 6</w:t>
      </w:r>
      <w:r w:rsidR="00C950CB">
        <w:t>,</w:t>
      </w:r>
      <w:r w:rsidR="00FD6BA8">
        <w:rPr>
          <w:rStyle w:val="FootnoteReference"/>
        </w:rPr>
        <w:footnoteReference w:id="9"/>
      </w:r>
      <w:r>
        <w:t xml:space="preserve"> </w:t>
      </w:r>
      <w:r w:rsidR="002F0429">
        <w:t xml:space="preserve">and </w:t>
      </w:r>
      <w:r>
        <w:t>(3) nonresponsive portions of records.</w:t>
      </w:r>
      <w:r w:rsidR="00286D43">
        <w:t xml:space="preserve">  OGC found no basis to make a discretionary release of this material.</w:t>
      </w:r>
    </w:p>
    <w:p w:rsidR="001D4C3D" w:rsidRDefault="007C0672" w:rsidP="00A844E8">
      <w:pPr>
        <w:pStyle w:val="ParaNum"/>
      </w:pPr>
      <w:r>
        <w:t xml:space="preserve">In his AFR, </w:t>
      </w:r>
      <w:r w:rsidR="0039264A">
        <w:t>Feathers</w:t>
      </w:r>
      <w:r>
        <w:t xml:space="preserve"> disputes four specific non-disclosures.  First, Feathers contends that OGC improperly redacted material as “</w:t>
      </w:r>
      <w:r w:rsidR="000578F3">
        <w:t>N</w:t>
      </w:r>
      <w:r>
        <w:t xml:space="preserve">ot </w:t>
      </w:r>
      <w:r w:rsidR="000578F3">
        <w:t>R</w:t>
      </w:r>
      <w:r>
        <w:t xml:space="preserve">esponsive.”  </w:t>
      </w:r>
      <w:r w:rsidR="0039264A">
        <w:t>Feather</w:t>
      </w:r>
      <w:r w:rsidR="000578F3">
        <w:t xml:space="preserve"> interprets the FOIA as requiring disclosure of all material that is not covered by a specific exemption.  He asserts that “Not Responsive” does not constitute one of the nine exemption</w:t>
      </w:r>
      <w:r w:rsidR="00770BE9">
        <w:t>s</w:t>
      </w:r>
      <w:r w:rsidR="000578F3">
        <w:t xml:space="preserve"> listed in the FOIA.</w:t>
      </w:r>
      <w:r w:rsidR="000578F3">
        <w:rPr>
          <w:rStyle w:val="FootnoteReference"/>
        </w:rPr>
        <w:footnoteReference w:id="10"/>
      </w:r>
      <w:r w:rsidR="000578F3">
        <w:t xml:space="preserve">  Second, Feathers </w:t>
      </w:r>
      <w:r w:rsidR="00F63134">
        <w:t xml:space="preserve">argues that OGC improperly withheld </w:t>
      </w:r>
      <w:r w:rsidR="002B6392">
        <w:t xml:space="preserve">under Exemption 4 </w:t>
      </w:r>
      <w:r w:rsidR="00F63134">
        <w:t xml:space="preserve">the contents of an </w:t>
      </w:r>
      <w:r w:rsidR="002B6392">
        <w:t xml:space="preserve">“Industry Update” issued by Stifel, Nicolaus &amp; Company, Incorporated (Stifel), an investment firm.  </w:t>
      </w:r>
      <w:r w:rsidR="000578F3">
        <w:t xml:space="preserve"> </w:t>
      </w:r>
      <w:r w:rsidR="002B6392">
        <w:t xml:space="preserve">According to Feathers, such a publication </w:t>
      </w:r>
      <w:r w:rsidR="00552CCC">
        <w:t xml:space="preserve">cannot be withheld under Exemption 4, because it </w:t>
      </w:r>
      <w:r w:rsidR="002B6392">
        <w:t xml:space="preserve">does not qualify as a trade secret and cannot be considered </w:t>
      </w:r>
      <w:r w:rsidR="00552CCC">
        <w:t xml:space="preserve">privileged or </w:t>
      </w:r>
      <w:r w:rsidR="002B6392">
        <w:t>confidential.</w:t>
      </w:r>
      <w:r w:rsidR="002B6392">
        <w:rPr>
          <w:rStyle w:val="FootnoteReference"/>
        </w:rPr>
        <w:footnoteReference w:id="11"/>
      </w:r>
      <w:r w:rsidR="002B6392">
        <w:t xml:space="preserve">  Third, Feathers contends that OGC improperly withheld </w:t>
      </w:r>
      <w:r w:rsidR="00770BE9">
        <w:t xml:space="preserve">under Exemption 6 </w:t>
      </w:r>
      <w:r w:rsidR="002B6392">
        <w:t xml:space="preserve">two emails containing personal communications between Zachem and </w:t>
      </w:r>
      <w:r w:rsidR="001D4C3D">
        <w:t>Milkman</w:t>
      </w:r>
      <w:r w:rsidR="002B6392">
        <w:t xml:space="preserve">.  Feathers urges that </w:t>
      </w:r>
      <w:r w:rsidR="001A24F8">
        <w:t xml:space="preserve">these </w:t>
      </w:r>
      <w:r w:rsidR="002B6392">
        <w:t>emails do not fall within the category of “person</w:t>
      </w:r>
      <w:r w:rsidR="00770BE9">
        <w:t>ne</w:t>
      </w:r>
      <w:r w:rsidR="002B6392">
        <w:t xml:space="preserve">l and medical files and similar files,” as specified in Exemption 6.  Further, Feathers </w:t>
      </w:r>
      <w:r w:rsidR="001A24F8">
        <w:t>argues</w:t>
      </w:r>
      <w:r w:rsidR="002B6392">
        <w:t xml:space="preserve"> that </w:t>
      </w:r>
      <w:r w:rsidR="001D4C3D">
        <w:t xml:space="preserve">the balance between personal privacy and the public’s right to disclosure favors disclosure of </w:t>
      </w:r>
      <w:r w:rsidR="001A24F8">
        <w:t xml:space="preserve">“emails that reveal </w:t>
      </w:r>
      <w:r w:rsidR="001C0B22">
        <w:t>the close</w:t>
      </w:r>
      <w:r w:rsidR="001D4C3D">
        <w:t xml:space="preserve"> personal relationship</w:t>
      </w:r>
      <w:r w:rsidR="001A24F8">
        <w:t>s</w:t>
      </w:r>
      <w:r w:rsidR="001D4C3D">
        <w:t xml:space="preserve"> </w:t>
      </w:r>
      <w:r w:rsidR="001A24F8">
        <w:t>top FCC employees share with top Comcast executives</w:t>
      </w:r>
      <w:r w:rsidR="006505F3">
        <w:t>.</w:t>
      </w:r>
      <w:r w:rsidR="001A24F8">
        <w:t>”</w:t>
      </w:r>
      <w:r w:rsidR="001D4C3D">
        <w:rPr>
          <w:rStyle w:val="FootnoteReference"/>
        </w:rPr>
        <w:footnoteReference w:id="12"/>
      </w:r>
      <w:r w:rsidR="001D4C3D">
        <w:t xml:space="preserve">  Fourth, Feathers observes that an email from Zachem to Milkman and others indicates that it had as an attachment an “industry contact list</w:t>
      </w:r>
      <w:r w:rsidR="00AE23B4">
        <w:t>,</w:t>
      </w:r>
      <w:r w:rsidR="001D4C3D">
        <w:t>” but that the attachment was not released with the email.</w:t>
      </w:r>
      <w:r w:rsidR="00C90190">
        <w:t xml:space="preserve"> </w:t>
      </w:r>
    </w:p>
    <w:p w:rsidR="00AE6378" w:rsidRDefault="00AE6378" w:rsidP="00A844E8">
      <w:pPr>
        <w:pStyle w:val="ParaNum"/>
      </w:pPr>
      <w:r>
        <w:t xml:space="preserve">After Feathers filed his AFR, OGC </w:t>
      </w:r>
      <w:r w:rsidR="00CD7602">
        <w:t>made</w:t>
      </w:r>
      <w:r w:rsidR="00A562F0">
        <w:t xml:space="preserve"> </w:t>
      </w:r>
      <w:r w:rsidR="00CD7602">
        <w:t>supplemental release</w:t>
      </w:r>
      <w:r w:rsidR="00A562F0">
        <w:t>s</w:t>
      </w:r>
      <w:r w:rsidR="00CD7602">
        <w:t xml:space="preserve"> of several documents</w:t>
      </w:r>
      <w:r w:rsidR="001F2474" w:rsidRPr="001F2474">
        <w:t xml:space="preserve"> </w:t>
      </w:r>
      <w:r w:rsidR="001F2474">
        <w:t>under its authority to informally resolve outstanding issues raised by an AFR.</w:t>
      </w:r>
      <w:r w:rsidR="00CD7602" w:rsidRPr="00CD7602">
        <w:rPr>
          <w:rStyle w:val="FootnoteReference"/>
        </w:rPr>
        <w:t xml:space="preserve"> </w:t>
      </w:r>
      <w:r w:rsidR="00CD7602">
        <w:rPr>
          <w:rStyle w:val="FootnoteReference"/>
        </w:rPr>
        <w:footnoteReference w:id="13"/>
      </w:r>
      <w:r w:rsidR="00CD7602">
        <w:t xml:space="preserve">  First, OGC </w:t>
      </w:r>
      <w:r>
        <w:t>released the Stifel “Industry Update” and the “industry contact list</w:t>
      </w:r>
      <w:r w:rsidR="001F2474">
        <w:t>.</w:t>
      </w:r>
      <w:r>
        <w:t>”</w:t>
      </w:r>
      <w:r w:rsidR="00855026">
        <w:rPr>
          <w:rStyle w:val="FootnoteReference"/>
        </w:rPr>
        <w:footnoteReference w:id="14"/>
      </w:r>
      <w:r>
        <w:t xml:space="preserve"> </w:t>
      </w:r>
      <w:r w:rsidR="00253848">
        <w:t>Before releasing the “Industry Update,” OGC notified Stifel and learned that Stifel had no objection to disclosure.</w:t>
      </w:r>
      <w:r w:rsidR="00667535">
        <w:rPr>
          <w:rStyle w:val="FootnoteReference"/>
        </w:rPr>
        <w:footnoteReference w:id="15"/>
      </w:r>
      <w:r w:rsidR="00667535">
        <w:t xml:space="preserve">   </w:t>
      </w:r>
      <w:r w:rsidR="001F2474">
        <w:t>A</w:t>
      </w:r>
      <w:r w:rsidR="00667535">
        <w:t>s to the “industry contact list,” OGC determined that nondiscl</w:t>
      </w:r>
      <w:r w:rsidR="00EE630A">
        <w:t>osure</w:t>
      </w:r>
      <w:r w:rsidR="00667535">
        <w:t xml:space="preserve"> of this document was inadvertent.</w:t>
      </w:r>
      <w:r w:rsidR="00226C68">
        <w:rPr>
          <w:rStyle w:val="FootnoteReference"/>
        </w:rPr>
        <w:footnoteReference w:id="16"/>
      </w:r>
      <w:r w:rsidR="00CD7602">
        <w:t xml:space="preserve"> </w:t>
      </w:r>
      <w:r w:rsidR="00252BCC">
        <w:t xml:space="preserve"> </w:t>
      </w:r>
      <w:r w:rsidR="001F2474">
        <w:t>In addition,</w:t>
      </w:r>
      <w:r w:rsidR="008101DA">
        <w:t xml:space="preserve"> </w:t>
      </w:r>
      <w:r w:rsidR="00CD7602">
        <w:t xml:space="preserve">OGC </w:t>
      </w:r>
      <w:r w:rsidR="001F2474">
        <w:t>released</w:t>
      </w:r>
      <w:r w:rsidR="00CD7602">
        <w:t xml:space="preserve"> </w:t>
      </w:r>
      <w:r w:rsidR="00855026">
        <w:t>one</w:t>
      </w:r>
      <w:r w:rsidR="00CD7602">
        <w:t xml:space="preserve"> email from Milkman to Zachem that had been redacted under Exemption 6</w:t>
      </w:r>
      <w:r w:rsidR="001F2474">
        <w:t>, after determining that disclosure</w:t>
      </w:r>
      <w:r w:rsidR="00CD7602">
        <w:t xml:space="preserve"> would not in fact constitute an unwarranted invasion of privacy.</w:t>
      </w:r>
      <w:r w:rsidR="00855026">
        <w:rPr>
          <w:rStyle w:val="FootnoteReference"/>
        </w:rPr>
        <w:footnoteReference w:id="17"/>
      </w:r>
      <w:r w:rsidR="00CD7602">
        <w:t xml:space="preserve">  </w:t>
      </w:r>
      <w:r w:rsidR="001F2474">
        <w:t>Finally</w:t>
      </w:r>
      <w:r w:rsidR="00CD7602">
        <w:t xml:space="preserve">, OGC </w:t>
      </w:r>
      <w:r w:rsidR="001F2474">
        <w:t xml:space="preserve">released two </w:t>
      </w:r>
      <w:r w:rsidR="00CD7602">
        <w:t>emails not involving Zachem</w:t>
      </w:r>
      <w:r w:rsidR="001F2474">
        <w:t xml:space="preserve"> that</w:t>
      </w:r>
      <w:r w:rsidR="00CD7602">
        <w:t xml:space="preserve"> had been redacted</w:t>
      </w:r>
      <w:r w:rsidR="001F2474">
        <w:t xml:space="preserve"> </w:t>
      </w:r>
      <w:r w:rsidR="00CD7602">
        <w:t xml:space="preserve">as not responsive, </w:t>
      </w:r>
      <w:r w:rsidR="001F2474">
        <w:t xml:space="preserve">but that were in fact responsive because they appeared in </w:t>
      </w:r>
      <w:r w:rsidR="008101DA">
        <w:t xml:space="preserve">the </w:t>
      </w:r>
      <w:r w:rsidR="00CD7602">
        <w:t xml:space="preserve">middle of an otherwise responsive email chain. </w:t>
      </w:r>
      <w:r w:rsidR="00855026">
        <w:rPr>
          <w:rStyle w:val="FootnoteReference"/>
        </w:rPr>
        <w:footnoteReference w:id="18"/>
      </w:r>
      <w:r w:rsidR="00667535">
        <w:t xml:space="preserve">   </w:t>
      </w:r>
      <w:r w:rsidR="00933434">
        <w:t xml:space="preserve">  </w:t>
      </w:r>
    </w:p>
    <w:p w:rsidR="001D4C3D" w:rsidRPr="001D4C3D" w:rsidRDefault="001D4C3D" w:rsidP="00A844E8">
      <w:pPr>
        <w:pStyle w:val="Heading1"/>
      </w:pPr>
      <w:r>
        <w:t>DISCUSSION</w:t>
      </w:r>
    </w:p>
    <w:p w:rsidR="00286D43" w:rsidRDefault="001D4C3D" w:rsidP="00D71837">
      <w:pPr>
        <w:pStyle w:val="ParaNum"/>
      </w:pPr>
      <w:r>
        <w:t xml:space="preserve"> </w:t>
      </w:r>
      <w:r w:rsidR="003B3832" w:rsidRPr="00DB0D18">
        <w:rPr>
          <w:u w:val="single"/>
        </w:rPr>
        <w:t xml:space="preserve">Redaction </w:t>
      </w:r>
      <w:r w:rsidR="003B3832" w:rsidRPr="00611F2E">
        <w:rPr>
          <w:u w:val="single"/>
        </w:rPr>
        <w:t>of non-responsive</w:t>
      </w:r>
      <w:r w:rsidR="003B3832" w:rsidRPr="00DB0D18">
        <w:rPr>
          <w:u w:val="single"/>
        </w:rPr>
        <w:t xml:space="preserve"> material</w:t>
      </w:r>
      <w:r w:rsidR="003B3832">
        <w:t xml:space="preserve">.  </w:t>
      </w:r>
      <w:r w:rsidR="00B20768">
        <w:t xml:space="preserve">We find </w:t>
      </w:r>
      <w:r w:rsidR="00BD4338">
        <w:t xml:space="preserve">that </w:t>
      </w:r>
      <w:r w:rsidR="0039264A">
        <w:t>Feathers’</w:t>
      </w:r>
      <w:r w:rsidR="00D20B06">
        <w:t>s</w:t>
      </w:r>
      <w:r w:rsidR="00B20768">
        <w:t xml:space="preserve"> objection to the redaction of material as “Not Responsive” </w:t>
      </w:r>
      <w:r w:rsidR="00BD4338">
        <w:t>is w</w:t>
      </w:r>
      <w:r w:rsidR="00B20768">
        <w:t xml:space="preserve">ithout merit.  </w:t>
      </w:r>
      <w:r w:rsidR="00B54C6D">
        <w:t>The FOIA requires disclosure only in response to “any request for records which [] reasonably describes such records.”</w:t>
      </w:r>
      <w:r w:rsidR="00B54C6D">
        <w:rPr>
          <w:rStyle w:val="FootnoteReference"/>
        </w:rPr>
        <w:footnoteReference w:id="19"/>
      </w:r>
      <w:r w:rsidR="00B54C6D">
        <w:t xml:space="preserve">  </w:t>
      </w:r>
      <w:r w:rsidR="009A09A5">
        <w:t xml:space="preserve">Thus, </w:t>
      </w:r>
      <w:r w:rsidR="00B54C6D">
        <w:t xml:space="preserve">the FOIA does not require the disclosure of material not described by the request.  </w:t>
      </w:r>
      <w:r w:rsidR="008C5D8B">
        <w:t xml:space="preserve"> Here, the Request sought communications between Zachem and 12 named individuals.  </w:t>
      </w:r>
      <w:r w:rsidR="00850836">
        <w:t>The redacted material consisted of emails that did not meet this description</w:t>
      </w:r>
      <w:r w:rsidR="0014070D">
        <w:t xml:space="preserve"> because they did not involve Zachem.  </w:t>
      </w:r>
      <w:r w:rsidR="00185EFB">
        <w:t>The practice of redacting non-responsive material has been judicially approved.</w:t>
      </w:r>
      <w:r w:rsidR="002A5255">
        <w:rPr>
          <w:rStyle w:val="FootnoteReference"/>
        </w:rPr>
        <w:footnoteReference w:id="20"/>
      </w:r>
      <w:r w:rsidR="00FF5A57">
        <w:t xml:space="preserve">  Accordingly, OGC correctly redacted non-responsive material.</w:t>
      </w:r>
      <w:r w:rsidR="00DB0D18">
        <w:t xml:space="preserve">  </w:t>
      </w:r>
    </w:p>
    <w:p w:rsidR="0076157A" w:rsidRDefault="0076157A" w:rsidP="0076157A">
      <w:pPr>
        <w:pStyle w:val="ParaNum"/>
      </w:pPr>
      <w:r>
        <w:rPr>
          <w:u w:val="single"/>
        </w:rPr>
        <w:t>Redaction of personal emails</w:t>
      </w:r>
      <w:r>
        <w:t xml:space="preserve">.  </w:t>
      </w:r>
      <w:r w:rsidR="006505F3">
        <w:t>As an initial matter</w:t>
      </w:r>
      <w:r>
        <w:t xml:space="preserve">, we disagree with Feathers’s suggestion that the emails </w:t>
      </w:r>
      <w:r w:rsidR="002C291A">
        <w:t xml:space="preserve">that were withheld under Exemption 6 </w:t>
      </w:r>
      <w:r>
        <w:t>are not comparable to personnel or medical files and are therefore not within the scope of records protected by Exemption 6.  Exemption 6 covers “personnel and medical files and similar files the disclosure of which would constitute a clearly unwarranted invasion of personal privacy.”</w:t>
      </w:r>
      <w:r>
        <w:rPr>
          <w:rStyle w:val="FootnoteReference"/>
        </w:rPr>
        <w:footnoteReference w:id="21"/>
      </w:r>
      <w:r>
        <w:t xml:space="preserve"> Courts have found that Congress intended the phrase “similar files” to have “a broad, rather than a narrow, meaning,”</w:t>
      </w:r>
      <w:r>
        <w:rPr>
          <w:rStyle w:val="FootnoteReference"/>
        </w:rPr>
        <w:footnoteReference w:id="22"/>
      </w:r>
      <w:r>
        <w:t xml:space="preserve"> such that Exemption 6 applies to records if those records contain information concerning particular individuals.</w:t>
      </w:r>
      <w:r>
        <w:rPr>
          <w:sz w:val="20"/>
          <w:vertAlign w:val="superscript"/>
        </w:rPr>
        <w:footnoteReference w:id="23"/>
      </w:r>
      <w:r>
        <w:t xml:space="preserve">  Emails, in particular, have been held to be within the scope of the exemption.</w:t>
      </w:r>
      <w:r>
        <w:rPr>
          <w:sz w:val="20"/>
          <w:vertAlign w:val="superscript"/>
        </w:rPr>
        <w:footnoteReference w:id="24"/>
      </w:r>
      <w:r>
        <w:t xml:space="preserve">  Accordingly, we find that the emails redacted by OGC are within the scope of records </w:t>
      </w:r>
      <w:r w:rsidR="006505F3">
        <w:t xml:space="preserve">properly </w:t>
      </w:r>
      <w:r>
        <w:t xml:space="preserve">subject to the exemption.  </w:t>
      </w:r>
    </w:p>
    <w:p w:rsidR="00D02DE7" w:rsidRDefault="0076157A" w:rsidP="00A844E8">
      <w:pPr>
        <w:pStyle w:val="ParaNum"/>
        <w:tabs>
          <w:tab w:val="clear" w:pos="990"/>
          <w:tab w:val="num" w:pos="1080"/>
          <w:tab w:val="num" w:pos="1440"/>
        </w:tabs>
        <w:ind w:left="0"/>
      </w:pPr>
      <w:r>
        <w:t xml:space="preserve">Having found that these emails fall within the scope of Exemption 6, we must balance the privacy interest that would be damaged by disclosure against the public interest that would be served by release of these documents. </w:t>
      </w:r>
      <w:r w:rsidR="00840393">
        <w:t xml:space="preserve"> </w:t>
      </w:r>
      <w:r>
        <w:t xml:space="preserve">The </w:t>
      </w:r>
      <w:r w:rsidR="00F85449">
        <w:t xml:space="preserve">one remaining </w:t>
      </w:r>
      <w:r>
        <w:t xml:space="preserve">email in question </w:t>
      </w:r>
      <w:r w:rsidR="00CD7602">
        <w:t xml:space="preserve">is </w:t>
      </w:r>
      <w:r>
        <w:t>an email from Zachem to Milkman dated Monday, January 20, 2014</w:t>
      </w:r>
      <w:r w:rsidR="00CD7602">
        <w:t>.</w:t>
      </w:r>
      <w:r w:rsidR="00CD7602">
        <w:rPr>
          <w:rStyle w:val="FootnoteReference"/>
        </w:rPr>
        <w:footnoteReference w:id="25"/>
      </w:r>
      <w:r>
        <w:t xml:space="preserve"> </w:t>
      </w:r>
      <w:r w:rsidR="00840393">
        <w:t xml:space="preserve"> </w:t>
      </w:r>
      <w:r>
        <w:t xml:space="preserve">The January 20 email consists entirely of a discussion of the activities and plans of Zachem’s and Milkman’s respective </w:t>
      </w:r>
      <w:r w:rsidR="00840393">
        <w:t>families</w:t>
      </w:r>
      <w:r>
        <w:t xml:space="preserve">.  Disclosure of this email would invade and seriously compromise the personal privacy of those </w:t>
      </w:r>
      <w:r w:rsidR="00840393">
        <w:t>families</w:t>
      </w:r>
      <w:r>
        <w:t>, as well as that of Zachem and Milkman.  We reject Feathers’s contention that the public’s interest in emails that reveal “the close personal relationships” between FCC employees and Comcast executives requires disclosure of this email.</w:t>
      </w:r>
      <w:r>
        <w:rPr>
          <w:rStyle w:val="FootnoteReference"/>
        </w:rPr>
        <w:footnoteReference w:id="26"/>
      </w:r>
      <w:r>
        <w:t xml:space="preserve"> We discern no public interest in details of the personal lives of Zachem’s and Milkman’s </w:t>
      </w:r>
      <w:r w:rsidR="00840393">
        <w:t xml:space="preserve">families </w:t>
      </w:r>
      <w:r>
        <w:t>that touches on the purpose of the FOIA, which is to “shed light on an agency’s performance of its statutory duties.”</w:t>
      </w:r>
      <w:r>
        <w:rPr>
          <w:rStyle w:val="FootnoteReference"/>
        </w:rPr>
        <w:footnoteReference w:id="27"/>
      </w:r>
      <w:r>
        <w:t xml:space="preserve">  There is therefore no interest that outweighs the personal privacy interests that would be invaded by disclosure of this particular email. </w:t>
      </w:r>
      <w:r w:rsidR="00840393">
        <w:t xml:space="preserve"> </w:t>
      </w:r>
      <w:r>
        <w:t xml:space="preserve">Disclosure of the January 20 email would therefore be a clearly unwarranted invasion of personal privacy, and we find that OGC was justified in withholding that email under Exemption 6.   </w:t>
      </w:r>
      <w:r w:rsidR="00076AA5">
        <w:t xml:space="preserve">  </w:t>
      </w:r>
    </w:p>
    <w:p w:rsidR="001D4D85" w:rsidRDefault="001D4D85" w:rsidP="00A844E8">
      <w:pPr>
        <w:pStyle w:val="Heading1"/>
      </w:pPr>
      <w:r>
        <w:t>ORDERING CLAUSE</w:t>
      </w:r>
    </w:p>
    <w:p w:rsidR="00356710" w:rsidRPr="00E3242C" w:rsidRDefault="00356710" w:rsidP="00A844E8">
      <w:pPr>
        <w:pStyle w:val="ParaNum"/>
        <w:tabs>
          <w:tab w:val="num" w:pos="1440"/>
        </w:tabs>
        <w:rPr>
          <w:szCs w:val="22"/>
        </w:rPr>
      </w:pPr>
      <w:r>
        <w:t>IT IS ORDERED that the application for review filed by Todd Feathers IS DENIED.  F</w:t>
      </w:r>
      <w:r w:rsidR="0040703E">
        <w:t>ea</w:t>
      </w:r>
      <w:r>
        <w:t>thers may seek judicial review of this action pursuant to 5 U.S.C. § 552(a)(4)(B).</w:t>
      </w:r>
      <w:r w:rsidRPr="00403C26">
        <w:rPr>
          <w:rStyle w:val="FootnoteReference"/>
          <w:szCs w:val="22"/>
        </w:rPr>
        <w:footnoteReference w:id="28"/>
      </w:r>
    </w:p>
    <w:p w:rsidR="00356710" w:rsidRPr="00356710" w:rsidRDefault="00356710" w:rsidP="00A844E8">
      <w:pPr>
        <w:pStyle w:val="ParaNum"/>
        <w:tabs>
          <w:tab w:val="num" w:pos="1440"/>
        </w:tabs>
        <w:rPr>
          <w:szCs w:val="22"/>
        </w:rPr>
      </w:pPr>
      <w:r w:rsidRPr="00356710">
        <w:rPr>
          <w:szCs w:val="22"/>
        </w:rPr>
        <w:t xml:space="preserve">The </w:t>
      </w:r>
      <w:r w:rsidRPr="00F3576F">
        <w:t>officials</w:t>
      </w:r>
      <w:r w:rsidRPr="00356710">
        <w:rPr>
          <w:szCs w:val="22"/>
        </w:rPr>
        <w:t xml:space="preserve"> responsible for this action are the following:  Chairman Wheeler and Commissioners Clyburn, Rosenworcel, Pai, and O’Rielly.</w:t>
      </w:r>
    </w:p>
    <w:p w:rsidR="00356710" w:rsidRDefault="00356710" w:rsidP="00A844E8">
      <w:r>
        <w:tab/>
      </w:r>
      <w:r>
        <w:tab/>
      </w:r>
      <w:r>
        <w:tab/>
      </w:r>
      <w:r>
        <w:tab/>
      </w:r>
      <w:r>
        <w:tab/>
      </w:r>
      <w:r>
        <w:tab/>
        <w:t>FEDERAL COMMUNICATIONS COMMISSION</w:t>
      </w:r>
    </w:p>
    <w:p w:rsidR="00356710" w:rsidRDefault="00356710" w:rsidP="00A844E8"/>
    <w:p w:rsidR="00356710" w:rsidRDefault="00356710" w:rsidP="00A844E8"/>
    <w:p w:rsidR="00356710" w:rsidRDefault="00356710" w:rsidP="00A844E8"/>
    <w:p w:rsidR="00356710" w:rsidRDefault="00356710" w:rsidP="00A844E8"/>
    <w:p w:rsidR="00356710" w:rsidRDefault="00356710" w:rsidP="00A844E8">
      <w:r>
        <w:tab/>
      </w:r>
      <w:r>
        <w:tab/>
      </w:r>
      <w:r>
        <w:tab/>
      </w:r>
      <w:r>
        <w:tab/>
      </w:r>
      <w:r>
        <w:tab/>
      </w:r>
      <w:r>
        <w:tab/>
        <w:t>Marlene H. Dortch</w:t>
      </w:r>
    </w:p>
    <w:p w:rsidR="001D4D85" w:rsidRPr="001D4D85" w:rsidRDefault="00356710" w:rsidP="00A844E8">
      <w:r>
        <w:tab/>
      </w:r>
      <w:r>
        <w:tab/>
      </w:r>
      <w:r>
        <w:tab/>
      </w:r>
      <w:r>
        <w:tab/>
      </w:r>
      <w:r>
        <w:tab/>
      </w:r>
      <w:r>
        <w:tab/>
        <w:t>Secretary</w:t>
      </w:r>
    </w:p>
    <w:sectPr w:rsidR="001D4D85" w:rsidRPr="001D4D8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2E" w:rsidRDefault="00645D2E">
      <w:pPr>
        <w:spacing w:line="20" w:lineRule="exact"/>
      </w:pPr>
    </w:p>
  </w:endnote>
  <w:endnote w:type="continuationSeparator" w:id="0">
    <w:p w:rsidR="00645D2E" w:rsidRDefault="00645D2E">
      <w:r>
        <w:t xml:space="preserve"> </w:t>
      </w:r>
    </w:p>
  </w:endnote>
  <w:endnote w:type="continuationNotice" w:id="1">
    <w:p w:rsidR="00645D2E" w:rsidRDefault="00645D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0" w:rsidRDefault="00356710" w:rsidP="0055614C">
    <w:pPr>
      <w:pStyle w:val="Footer"/>
      <w:framePr w:wrap="around" w:vAnchor="text" w:hAnchor="margin" w:xAlign="center" w:y="1"/>
    </w:pPr>
    <w:r>
      <w:fldChar w:fldCharType="begin"/>
    </w:r>
    <w:r>
      <w:instrText xml:space="preserve">PAGE  </w:instrText>
    </w:r>
    <w:r>
      <w:fldChar w:fldCharType="end"/>
    </w:r>
  </w:p>
  <w:p w:rsidR="00356710" w:rsidRDefault="00356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0" w:rsidRDefault="00356710" w:rsidP="0055614C">
    <w:pPr>
      <w:pStyle w:val="Footer"/>
      <w:framePr w:wrap="around" w:vAnchor="text" w:hAnchor="margin" w:xAlign="center" w:y="1"/>
    </w:pPr>
    <w:r>
      <w:fldChar w:fldCharType="begin"/>
    </w:r>
    <w:r>
      <w:instrText xml:space="preserve">PAGE  </w:instrText>
    </w:r>
    <w:r>
      <w:fldChar w:fldCharType="separate"/>
    </w:r>
    <w:r w:rsidR="005F4628">
      <w:rPr>
        <w:noProof/>
      </w:rPr>
      <w:t>4</w:t>
    </w:r>
    <w:r>
      <w:fldChar w:fldCharType="end"/>
    </w:r>
  </w:p>
  <w:p w:rsidR="00356710" w:rsidRDefault="0035671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0" w:rsidRDefault="0035671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2E" w:rsidRDefault="00645D2E">
      <w:r>
        <w:separator/>
      </w:r>
    </w:p>
  </w:footnote>
  <w:footnote w:type="continuationSeparator" w:id="0">
    <w:p w:rsidR="00645D2E" w:rsidRDefault="00645D2E" w:rsidP="00C721AC">
      <w:pPr>
        <w:spacing w:before="120"/>
        <w:rPr>
          <w:sz w:val="20"/>
        </w:rPr>
      </w:pPr>
      <w:r>
        <w:rPr>
          <w:sz w:val="20"/>
        </w:rPr>
        <w:t xml:space="preserve">(Continued from previous page)  </w:t>
      </w:r>
      <w:r>
        <w:rPr>
          <w:sz w:val="20"/>
        </w:rPr>
        <w:separator/>
      </w:r>
    </w:p>
  </w:footnote>
  <w:footnote w:type="continuationNotice" w:id="1">
    <w:p w:rsidR="00645D2E" w:rsidRDefault="00645D2E" w:rsidP="00C721AC">
      <w:pPr>
        <w:jc w:val="right"/>
        <w:rPr>
          <w:sz w:val="20"/>
        </w:rPr>
      </w:pPr>
      <w:r>
        <w:rPr>
          <w:sz w:val="20"/>
        </w:rPr>
        <w:t>(continued….)</w:t>
      </w:r>
    </w:p>
  </w:footnote>
  <w:footnote w:id="2">
    <w:p w:rsidR="00356710" w:rsidRPr="008F1446" w:rsidRDefault="00356710">
      <w:pPr>
        <w:pStyle w:val="FootnoteText"/>
      </w:pPr>
      <w:r>
        <w:rPr>
          <w:rStyle w:val="FootnoteReference"/>
        </w:rPr>
        <w:footnoteRef/>
      </w:r>
      <w:r>
        <w:t xml:space="preserve"> Letter from Todd Feathers to Larry Schecker, Office of General Counsel, Federal Communications Commission (Aug. 25, 2014) (AFR).</w:t>
      </w:r>
    </w:p>
  </w:footnote>
  <w:footnote w:id="3">
    <w:p w:rsidR="00356710" w:rsidRPr="008F1446" w:rsidRDefault="00356710">
      <w:pPr>
        <w:pStyle w:val="FootnoteText"/>
      </w:pPr>
      <w:r>
        <w:rPr>
          <w:rStyle w:val="FootnoteReference"/>
        </w:rPr>
        <w:footnoteRef/>
      </w:r>
      <w:r>
        <w:t xml:space="preserve"> </w:t>
      </w:r>
      <w:r>
        <w:rPr>
          <w:i/>
        </w:rPr>
        <w:t xml:space="preserve"> </w:t>
      </w:r>
      <w:r>
        <w:t>Letter from Elizabeth Lyle, Assistant General Counsel to Mr. Todd Feathers (Aug. 18, 2014) (Decision).</w:t>
      </w:r>
    </w:p>
  </w:footnote>
  <w:footnote w:id="4">
    <w:p w:rsidR="00D81A76" w:rsidRPr="008F1446" w:rsidRDefault="00D81A76" w:rsidP="00D81A76">
      <w:pPr>
        <w:pStyle w:val="FootnoteText"/>
      </w:pPr>
      <w:r>
        <w:rPr>
          <w:rStyle w:val="FootnoteReference"/>
        </w:rPr>
        <w:footnoteRef/>
      </w:r>
      <w:r>
        <w:t xml:space="preserve"> </w:t>
      </w:r>
      <w:r w:rsidR="00BC3826">
        <w:t>E</w:t>
      </w:r>
      <w:r>
        <w:t xml:space="preserve">mail from Todd Feathers to </w:t>
      </w:r>
      <w:r w:rsidRPr="0043045B">
        <w:t>FOIA@fcc.gov</w:t>
      </w:r>
      <w:r>
        <w:t xml:space="preserve"> (Jul. 3, 2014) (Request).</w:t>
      </w:r>
    </w:p>
  </w:footnote>
  <w:footnote w:id="5">
    <w:p w:rsidR="00356710" w:rsidRPr="00311A5E" w:rsidRDefault="00356710">
      <w:pPr>
        <w:pStyle w:val="FootnoteText"/>
      </w:pPr>
      <w:r>
        <w:rPr>
          <w:rStyle w:val="FootnoteReference"/>
        </w:rPr>
        <w:footnoteRef/>
      </w:r>
      <w:r>
        <w:t xml:space="preserve"> </w:t>
      </w:r>
      <w:r>
        <w:rPr>
          <w:i/>
        </w:rPr>
        <w:t xml:space="preserve">See </w:t>
      </w:r>
      <w:r>
        <w:t>Request at 1.</w:t>
      </w:r>
    </w:p>
  </w:footnote>
  <w:footnote w:id="6">
    <w:p w:rsidR="00356710" w:rsidRDefault="00356710">
      <w:pPr>
        <w:pStyle w:val="FootnoteText"/>
      </w:pPr>
      <w:r>
        <w:rPr>
          <w:rStyle w:val="FootnoteReference"/>
        </w:rPr>
        <w:footnoteRef/>
      </w:r>
      <w:r>
        <w:t xml:space="preserve"> </w:t>
      </w:r>
      <w:r w:rsidR="00770BE9">
        <w:t>T</w:t>
      </w:r>
      <w:r>
        <w:t>he request did not include Commissioner Clyburn but did include her confidential assistant.</w:t>
      </w:r>
    </w:p>
  </w:footnote>
  <w:footnote w:id="7">
    <w:p w:rsidR="00356710" w:rsidRPr="008F78E0" w:rsidRDefault="00356710">
      <w:pPr>
        <w:pStyle w:val="FootnoteText"/>
      </w:pPr>
      <w:r>
        <w:rPr>
          <w:rStyle w:val="FootnoteReference"/>
        </w:rPr>
        <w:footnoteRef/>
      </w:r>
      <w:r>
        <w:t xml:space="preserve"> </w:t>
      </w:r>
      <w:r>
        <w:rPr>
          <w:i/>
        </w:rPr>
        <w:t xml:space="preserve">See </w:t>
      </w:r>
      <w:r>
        <w:t>Decision at 1-2.</w:t>
      </w:r>
    </w:p>
  </w:footnote>
  <w:footnote w:id="8">
    <w:p w:rsidR="00356710" w:rsidRPr="004A2347" w:rsidRDefault="00356710">
      <w:pPr>
        <w:pStyle w:val="FootnoteText"/>
      </w:pPr>
      <w:r>
        <w:rPr>
          <w:rStyle w:val="FootnoteReference"/>
        </w:rPr>
        <w:footnoteRef/>
      </w:r>
      <w:r>
        <w:t xml:space="preserve"> </w:t>
      </w:r>
      <w:r>
        <w:rPr>
          <w:i/>
        </w:rPr>
        <w:t xml:space="preserve">See </w:t>
      </w:r>
      <w:r>
        <w:t>5 U.S.C. § 552(b)(4), which covers “trade secrets and commercial or financial information obtained from a person and privileged or confidential.”</w:t>
      </w:r>
    </w:p>
  </w:footnote>
  <w:footnote w:id="9">
    <w:p w:rsidR="00356710" w:rsidRPr="00FD6BA8" w:rsidRDefault="00356710">
      <w:pPr>
        <w:pStyle w:val="FootnoteText"/>
      </w:pPr>
      <w:r>
        <w:rPr>
          <w:rStyle w:val="FootnoteReference"/>
        </w:rPr>
        <w:footnoteRef/>
      </w:r>
      <w:r>
        <w:t xml:space="preserve"> </w:t>
      </w:r>
      <w:r>
        <w:rPr>
          <w:i/>
        </w:rPr>
        <w:t xml:space="preserve">See </w:t>
      </w:r>
      <w:r>
        <w:t>5 U.S</w:t>
      </w:r>
      <w:r w:rsidR="00D84554">
        <w:t>.</w:t>
      </w:r>
      <w:r>
        <w:t>C. § 552(b)(6), which covers “person</w:t>
      </w:r>
      <w:r w:rsidR="00770BE9">
        <w:t>nel</w:t>
      </w:r>
      <w:r>
        <w:t xml:space="preserve"> and medical files and similar files the disclosure of which would constitute a  clearly unwarranted invasion of personal privacy.”</w:t>
      </w:r>
    </w:p>
  </w:footnote>
  <w:footnote w:id="10">
    <w:p w:rsidR="00356710" w:rsidRPr="000578F3" w:rsidRDefault="00356710">
      <w:pPr>
        <w:pStyle w:val="FootnoteText"/>
      </w:pPr>
      <w:r>
        <w:rPr>
          <w:rStyle w:val="FootnoteReference"/>
        </w:rPr>
        <w:footnoteRef/>
      </w:r>
      <w:r>
        <w:t xml:space="preserve"> </w:t>
      </w:r>
      <w:r>
        <w:rPr>
          <w:i/>
        </w:rPr>
        <w:t xml:space="preserve">See </w:t>
      </w:r>
      <w:r>
        <w:t>AFR at 1</w:t>
      </w:r>
      <w:r w:rsidR="00130993">
        <w:t>; 5 U.S.C. § 552(b)(1) through (9) (listing the exemptions)</w:t>
      </w:r>
      <w:r>
        <w:t xml:space="preserve">.  </w:t>
      </w:r>
    </w:p>
  </w:footnote>
  <w:footnote w:id="11">
    <w:p w:rsidR="00356710" w:rsidRPr="002B6392" w:rsidRDefault="00356710">
      <w:pPr>
        <w:pStyle w:val="FootnoteText"/>
      </w:pPr>
      <w:r>
        <w:rPr>
          <w:rStyle w:val="FootnoteReference"/>
        </w:rPr>
        <w:footnoteRef/>
      </w:r>
      <w:r>
        <w:t xml:space="preserve"> </w:t>
      </w:r>
      <w:r>
        <w:rPr>
          <w:i/>
        </w:rPr>
        <w:t xml:space="preserve">See </w:t>
      </w:r>
      <w:r w:rsidR="00130993">
        <w:t xml:space="preserve">AFR </w:t>
      </w:r>
      <w:r>
        <w:t>at 1-2.</w:t>
      </w:r>
    </w:p>
  </w:footnote>
  <w:footnote w:id="12">
    <w:p w:rsidR="00356710" w:rsidRPr="001D4C3D" w:rsidRDefault="00356710">
      <w:pPr>
        <w:pStyle w:val="FootnoteText"/>
      </w:pPr>
      <w:r>
        <w:rPr>
          <w:rStyle w:val="FootnoteReference"/>
        </w:rPr>
        <w:footnoteRef/>
      </w:r>
      <w:r>
        <w:t xml:space="preserve"> </w:t>
      </w:r>
      <w:r>
        <w:rPr>
          <w:i/>
        </w:rPr>
        <w:t xml:space="preserve">See id. </w:t>
      </w:r>
      <w:r>
        <w:t>at 2-3.  Feathers points out that the emails were dated approximately one month before Comcast announced its planned merger with Time Warner.</w:t>
      </w:r>
    </w:p>
  </w:footnote>
  <w:footnote w:id="13">
    <w:p w:rsidR="00CD7602" w:rsidRPr="00933434" w:rsidRDefault="00CD7602" w:rsidP="00CD7602">
      <w:pPr>
        <w:pStyle w:val="FootnoteText"/>
      </w:pPr>
      <w:r>
        <w:rPr>
          <w:rStyle w:val="FootnoteReference"/>
        </w:rPr>
        <w:footnoteRef/>
      </w:r>
      <w:r>
        <w:t xml:space="preserve"> </w:t>
      </w:r>
      <w:r>
        <w:rPr>
          <w:i/>
        </w:rPr>
        <w:t xml:space="preserve">See </w:t>
      </w:r>
      <w:r>
        <w:t>47 C.F.R. § 0.461 Note to (i) and (j); email from David S. Senzel to Todd Feathers (Oct. 20, 2014); email from David S. Senzel to Todd Feathers (Dec. 23, 2014).</w:t>
      </w:r>
    </w:p>
  </w:footnote>
  <w:footnote w:id="14">
    <w:p w:rsidR="00855026" w:rsidRPr="00855026" w:rsidRDefault="00855026">
      <w:pPr>
        <w:pStyle w:val="FootnoteText"/>
      </w:pPr>
      <w:r>
        <w:rPr>
          <w:rStyle w:val="FootnoteReference"/>
        </w:rPr>
        <w:footnoteRef/>
      </w:r>
      <w:r>
        <w:t xml:space="preserve"> </w:t>
      </w:r>
      <w:r>
        <w:rPr>
          <w:i/>
        </w:rPr>
        <w:t>See</w:t>
      </w:r>
      <w:r>
        <w:t xml:space="preserve"> email from David Senzel to Todd Feathers (Oct. 20, 2014).</w:t>
      </w:r>
    </w:p>
  </w:footnote>
  <w:footnote w:id="15">
    <w:p w:rsidR="00667535" w:rsidRPr="00F701EC" w:rsidRDefault="00667535" w:rsidP="00667535">
      <w:pPr>
        <w:pStyle w:val="FootnoteText"/>
      </w:pPr>
      <w:r>
        <w:rPr>
          <w:rStyle w:val="FootnoteReference"/>
        </w:rPr>
        <w:footnoteRef/>
      </w:r>
      <w:r>
        <w:t xml:space="preserve"> </w:t>
      </w:r>
      <w:r w:rsidR="00253848" w:rsidRPr="00253848">
        <w:rPr>
          <w:i/>
        </w:rPr>
        <w:t xml:space="preserve"> </w:t>
      </w:r>
      <w:r w:rsidR="00253848">
        <w:rPr>
          <w:i/>
        </w:rPr>
        <w:t xml:space="preserve">See </w:t>
      </w:r>
      <w:r w:rsidR="00253848">
        <w:t>47 C.F.R. § 0.461(d)(3);</w:t>
      </w:r>
      <w:r w:rsidR="00253848" w:rsidRPr="004215C0">
        <w:t xml:space="preserve"> </w:t>
      </w:r>
      <w:r w:rsidR="00253848">
        <w:t>email from David Senzel to David M. Minnick, Esq., General Counsel, Stifel Financial Corp. (Sept. 15, 2014);</w:t>
      </w:r>
      <w:r>
        <w:rPr>
          <w:i/>
        </w:rPr>
        <w:t xml:space="preserve"> </w:t>
      </w:r>
      <w:r>
        <w:t>email from David M. Minnick to David Senzel (Oct. 2, 2014).</w:t>
      </w:r>
    </w:p>
  </w:footnote>
  <w:footnote w:id="16">
    <w:p w:rsidR="00226C68" w:rsidRPr="00226C68" w:rsidRDefault="00226C68">
      <w:pPr>
        <w:pStyle w:val="FootnoteText"/>
      </w:pPr>
      <w:r>
        <w:rPr>
          <w:rStyle w:val="FootnoteReference"/>
        </w:rPr>
        <w:footnoteRef/>
      </w:r>
      <w:r>
        <w:t xml:space="preserve"> </w:t>
      </w:r>
      <w:r>
        <w:rPr>
          <w:i/>
        </w:rPr>
        <w:t xml:space="preserve">See supra </w:t>
      </w:r>
      <w:r>
        <w:t>note 13.</w:t>
      </w:r>
    </w:p>
  </w:footnote>
  <w:footnote w:id="17">
    <w:p w:rsidR="00855026" w:rsidRPr="00855026" w:rsidRDefault="00855026">
      <w:pPr>
        <w:pStyle w:val="FootnoteText"/>
      </w:pPr>
      <w:r>
        <w:rPr>
          <w:rStyle w:val="FootnoteReference"/>
        </w:rPr>
        <w:footnoteRef/>
      </w:r>
      <w:r>
        <w:t xml:space="preserve"> </w:t>
      </w:r>
      <w:r>
        <w:rPr>
          <w:i/>
        </w:rPr>
        <w:t>See</w:t>
      </w:r>
      <w:r>
        <w:t xml:space="preserve"> email from David Senzel to Todd Feathers (Dec. 23, 2014)</w:t>
      </w:r>
      <w:r w:rsidR="00896086">
        <w:t>.</w:t>
      </w:r>
    </w:p>
  </w:footnote>
  <w:footnote w:id="18">
    <w:p w:rsidR="00855026" w:rsidRPr="00855026" w:rsidRDefault="00855026">
      <w:pPr>
        <w:pStyle w:val="FootnoteText"/>
      </w:pPr>
      <w:r>
        <w:rPr>
          <w:rStyle w:val="FootnoteReference"/>
        </w:rPr>
        <w:footnoteRef/>
      </w:r>
      <w:r>
        <w:t xml:space="preserve"> </w:t>
      </w:r>
      <w:r>
        <w:rPr>
          <w:i/>
        </w:rPr>
        <w:t>Id.</w:t>
      </w:r>
    </w:p>
  </w:footnote>
  <w:footnote w:id="19">
    <w:p w:rsidR="00356710" w:rsidRPr="00B54C6D" w:rsidRDefault="00356710">
      <w:pPr>
        <w:pStyle w:val="FootnoteText"/>
      </w:pPr>
      <w:r>
        <w:rPr>
          <w:rStyle w:val="FootnoteReference"/>
        </w:rPr>
        <w:footnoteRef/>
      </w:r>
      <w:r>
        <w:t xml:space="preserve"> </w:t>
      </w:r>
      <w:r>
        <w:rPr>
          <w:i/>
        </w:rPr>
        <w:t xml:space="preserve">See </w:t>
      </w:r>
      <w:r>
        <w:t>5 U.S.C. § 552(a)(3)(A).</w:t>
      </w:r>
    </w:p>
  </w:footnote>
  <w:footnote w:id="20">
    <w:p w:rsidR="00356710" w:rsidRPr="00076AA5" w:rsidRDefault="00356710">
      <w:pPr>
        <w:pStyle w:val="FootnoteText"/>
      </w:pPr>
      <w:r>
        <w:rPr>
          <w:rStyle w:val="FootnoteReference"/>
        </w:rPr>
        <w:footnoteRef/>
      </w:r>
      <w:r>
        <w:t xml:space="preserve"> </w:t>
      </w:r>
      <w:r>
        <w:rPr>
          <w:i/>
        </w:rPr>
        <w:t>See Freedom Watch, Inc. v. NSA,</w:t>
      </w:r>
      <w:r>
        <w:t xml:space="preserve"> Case No. 1:12-cv-01088 (CRC) (D.D.C. Jun. 12, 2014), </w:t>
      </w:r>
      <w:r>
        <w:rPr>
          <w:i/>
        </w:rPr>
        <w:t xml:space="preserve">reported at </w:t>
      </w:r>
      <w:r>
        <w:t>2014 WL 2768849 at *4 (</w:t>
      </w:r>
      <w:r w:rsidR="00396574">
        <w:t>“</w:t>
      </w:r>
      <w:r>
        <w:t>The practice of redacting non-responsive materials from documents produced in response to FOIA requests has been approved by courts in this Circuit.”).</w:t>
      </w:r>
      <w:r w:rsidR="00076AA5">
        <w:t xml:space="preserve">  </w:t>
      </w:r>
      <w:r w:rsidR="00076AA5">
        <w:rPr>
          <w:i/>
        </w:rPr>
        <w:t xml:space="preserve">See also Michael Ravnitzky, </w:t>
      </w:r>
      <w:r w:rsidR="00076AA5">
        <w:t xml:space="preserve">16 FCC Rcd 21745,  21747 &amp; n.21 (2001), </w:t>
      </w:r>
      <w:r w:rsidR="00076AA5">
        <w:rPr>
          <w:i/>
        </w:rPr>
        <w:t xml:space="preserve">citing Public Employees for Environmental Responsibility, Rocky Mountain Chapter v. U.S. EPA, </w:t>
      </w:r>
      <w:r w:rsidR="00076AA5">
        <w:t>978 F. Supp. 955, 965 (D. Colo. 1997) (records not responsive to FOIA request need not be disclosed).</w:t>
      </w:r>
    </w:p>
  </w:footnote>
  <w:footnote w:id="21">
    <w:p w:rsidR="0076157A" w:rsidRDefault="0076157A" w:rsidP="0076157A">
      <w:pPr>
        <w:pStyle w:val="FootnoteText"/>
      </w:pPr>
      <w:r>
        <w:rPr>
          <w:rStyle w:val="FootnoteReference"/>
          <w:rFonts w:cstheme="minorBidi"/>
        </w:rPr>
        <w:footnoteRef/>
      </w:r>
      <w:r>
        <w:t xml:space="preserve"> 5 U.S.C. § 552(b)(6).</w:t>
      </w:r>
    </w:p>
  </w:footnote>
  <w:footnote w:id="22">
    <w:p w:rsidR="0076157A" w:rsidRDefault="0076157A" w:rsidP="0076157A">
      <w:pPr>
        <w:pStyle w:val="FootnoteText"/>
      </w:pPr>
      <w:r>
        <w:rPr>
          <w:rStyle w:val="FootnoteReference"/>
          <w:rFonts w:cstheme="minorBidi"/>
        </w:rPr>
        <w:footnoteRef/>
      </w:r>
      <w:r>
        <w:t xml:space="preserve"> </w:t>
      </w:r>
      <w:r>
        <w:rPr>
          <w:i/>
        </w:rPr>
        <w:t>Dept. of State v. Wash. Post Co</w:t>
      </w:r>
      <w:r>
        <w:t>., 456 U.S. 595, 600 (1982).</w:t>
      </w:r>
      <w:r>
        <w:rPr>
          <w:i/>
        </w:rPr>
        <w:t xml:space="preserve"> </w:t>
      </w:r>
      <w:r>
        <w:t xml:space="preserve"> </w:t>
      </w:r>
    </w:p>
  </w:footnote>
  <w:footnote w:id="23">
    <w:p w:rsidR="0076157A" w:rsidRDefault="0076157A" w:rsidP="0076157A">
      <w:pPr>
        <w:pStyle w:val="FootnoteText"/>
        <w:rPr>
          <w:i/>
        </w:rPr>
      </w:pPr>
      <w:r>
        <w:rPr>
          <w:rStyle w:val="FootnoteReference"/>
          <w:rFonts w:cstheme="minorBidi"/>
        </w:rPr>
        <w:footnoteRef/>
      </w:r>
      <w:r>
        <w:t xml:space="preserve"> </w:t>
      </w:r>
      <w:r>
        <w:rPr>
          <w:i/>
        </w:rPr>
        <w:t xml:space="preserve">See id. at 602; see also National Ass’n of Home Builders v. Norton, </w:t>
      </w:r>
      <w:r>
        <w:t>309 F.3d 26, 32 (D.C. Cir. 200</w:t>
      </w:r>
      <w:r w:rsidR="00E76995">
        <w:t>2</w:t>
      </w:r>
      <w:r>
        <w:t>).</w:t>
      </w:r>
      <w:r>
        <w:rPr>
          <w:i/>
        </w:rPr>
        <w:t xml:space="preserve"> </w:t>
      </w:r>
    </w:p>
  </w:footnote>
  <w:footnote w:id="24">
    <w:p w:rsidR="0076157A" w:rsidRDefault="0076157A" w:rsidP="0076157A">
      <w:pPr>
        <w:pStyle w:val="FootnoteText"/>
      </w:pPr>
      <w:r>
        <w:rPr>
          <w:rStyle w:val="FootnoteReference"/>
          <w:rFonts w:cstheme="minorBidi"/>
        </w:rPr>
        <w:footnoteRef/>
      </w:r>
      <w:r>
        <w:t xml:space="preserve"> </w:t>
      </w:r>
      <w:r>
        <w:rPr>
          <w:i/>
        </w:rPr>
        <w:t xml:space="preserve">See Yonemoto v. Dep’t of Veteran’s Affairs, </w:t>
      </w:r>
      <w:r>
        <w:t xml:space="preserve">Civ. No. 06-00378 BMK (D. Haw. Dec. 22, 2009), </w:t>
      </w:r>
      <w:r>
        <w:rPr>
          <w:i/>
        </w:rPr>
        <w:t xml:space="preserve">reported at </w:t>
      </w:r>
      <w:r>
        <w:t>2009 WL                                                                                                                                                                                                                                                                                                                                                                                                                                                                     5033597 at *6 (intra-agency emails qualify as “similar files” for purposes of Exemption 6).</w:t>
      </w:r>
    </w:p>
  </w:footnote>
  <w:footnote w:id="25">
    <w:p w:rsidR="00CD7602" w:rsidRPr="00E76B53" w:rsidRDefault="00CD7602">
      <w:pPr>
        <w:pStyle w:val="FootnoteText"/>
      </w:pPr>
      <w:r>
        <w:rPr>
          <w:rStyle w:val="FootnoteReference"/>
        </w:rPr>
        <w:footnoteRef/>
      </w:r>
      <w:r>
        <w:t xml:space="preserve"> A se</w:t>
      </w:r>
      <w:r w:rsidR="00221DA8">
        <w:t>c</w:t>
      </w:r>
      <w:r>
        <w:t>ond email, Milkman’s January 21, 2014 reply, was disclosed to Feathers in a supplementa</w:t>
      </w:r>
      <w:r w:rsidR="0028181A">
        <w:t>l</w:t>
      </w:r>
      <w:r>
        <w:t xml:space="preserve"> release.  </w:t>
      </w:r>
      <w:r w:rsidR="00E76B53">
        <w:rPr>
          <w:i/>
        </w:rPr>
        <w:t xml:space="preserve">See supra </w:t>
      </w:r>
      <w:r w:rsidR="00E76B53">
        <w:t>paragraph 5.</w:t>
      </w:r>
    </w:p>
  </w:footnote>
  <w:footnote w:id="26">
    <w:p w:rsidR="0076157A" w:rsidRDefault="0076157A" w:rsidP="0076157A">
      <w:pPr>
        <w:pStyle w:val="FootnoteText"/>
      </w:pPr>
      <w:r>
        <w:rPr>
          <w:rStyle w:val="FootnoteReference"/>
          <w:rFonts w:cstheme="minorBidi"/>
        </w:rPr>
        <w:footnoteRef/>
      </w:r>
      <w:r>
        <w:t xml:space="preserve"> </w:t>
      </w:r>
      <w:r>
        <w:rPr>
          <w:i/>
        </w:rPr>
        <w:t>See</w:t>
      </w:r>
      <w:r>
        <w:t xml:space="preserve"> AFR at 2-3.</w:t>
      </w:r>
    </w:p>
  </w:footnote>
  <w:footnote w:id="27">
    <w:p w:rsidR="0076157A" w:rsidRDefault="0076157A" w:rsidP="0076157A">
      <w:pPr>
        <w:pStyle w:val="FootnoteText"/>
      </w:pPr>
      <w:r>
        <w:rPr>
          <w:rStyle w:val="FootnoteReference"/>
          <w:rFonts w:cstheme="minorBidi"/>
        </w:rPr>
        <w:footnoteRef/>
      </w:r>
      <w:r>
        <w:t xml:space="preserve">  </w:t>
      </w:r>
      <w:r>
        <w:rPr>
          <w:i/>
        </w:rPr>
        <w:t>See</w:t>
      </w:r>
      <w:r>
        <w:t xml:space="preserve"> </w:t>
      </w:r>
      <w:r>
        <w:rPr>
          <w:i/>
        </w:rPr>
        <w:t>Dept. of Justice v. Reporters Committee for Freedom of the Press</w:t>
      </w:r>
      <w:r>
        <w:t>, 489 U.S. 749, 773 (1989).</w:t>
      </w:r>
    </w:p>
  </w:footnote>
  <w:footnote w:id="28">
    <w:p w:rsidR="00356710" w:rsidRDefault="00356710" w:rsidP="00356710">
      <w:pPr>
        <w:pStyle w:val="NormalWeb"/>
        <w:spacing w:before="0" w:beforeAutospacing="0" w:after="120" w:afterAutospacing="0"/>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DC0724">
        <w:rPr>
          <w:sz w:val="20"/>
          <w:szCs w:val="20"/>
        </w:rPr>
        <w:t>Feathers’</w:t>
      </w:r>
      <w:r>
        <w:rPr>
          <w:sz w:val="20"/>
          <w:szCs w:val="20"/>
        </w:rPr>
        <w:t xml:space="preserve"> right to pursue litigation.  </w:t>
      </w:r>
      <w:r w:rsidR="00DC0724">
        <w:rPr>
          <w:sz w:val="20"/>
          <w:szCs w:val="20"/>
        </w:rPr>
        <w:t xml:space="preserve">Feathers </w:t>
      </w:r>
      <w:r>
        <w:rPr>
          <w:sz w:val="20"/>
          <w:szCs w:val="20"/>
        </w:rPr>
        <w:t xml:space="preserve">may contact OGIS in any of the following ways: </w:t>
      </w:r>
    </w:p>
    <w:p w:rsidR="00356710" w:rsidRDefault="00356710" w:rsidP="00356710">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BC" w:rsidRDefault="00133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0" w:rsidRDefault="00356710" w:rsidP="00810B6F">
    <w:pPr>
      <w:pStyle w:val="Header"/>
      <w:rPr>
        <w:b w:val="0"/>
      </w:rPr>
    </w:pPr>
    <w:r>
      <w:tab/>
      <w:t>Federal Communications Commission</w:t>
    </w:r>
    <w:r>
      <w:tab/>
    </w:r>
    <w:r w:rsidR="00331291">
      <w:t>FCC 15-33</w:t>
    </w:r>
  </w:p>
  <w:p w:rsidR="00356710" w:rsidRDefault="0035671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98B2500" wp14:editId="5A17424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56710" w:rsidRDefault="0035671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0" w:rsidRDefault="00356710"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31291">
      <w:rPr>
        <w:spacing w:val="-2"/>
      </w:rPr>
      <w:t>FCC 15-33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990"/>
        </w:tabs>
        <w:ind w:left="-9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lvlOverride w:ilvl="0">
      <w:startOverride w:val="1"/>
    </w:lvlOverride>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F2"/>
    <w:rsid w:val="00015508"/>
    <w:rsid w:val="00016390"/>
    <w:rsid w:val="00036039"/>
    <w:rsid w:val="00037F90"/>
    <w:rsid w:val="000578F3"/>
    <w:rsid w:val="00076AA5"/>
    <w:rsid w:val="000875BF"/>
    <w:rsid w:val="00096D8C"/>
    <w:rsid w:val="000C0B65"/>
    <w:rsid w:val="000E05FE"/>
    <w:rsid w:val="000E3D42"/>
    <w:rsid w:val="000F2588"/>
    <w:rsid w:val="00122BD5"/>
    <w:rsid w:val="00130993"/>
    <w:rsid w:val="00133DBC"/>
    <w:rsid w:val="00133F79"/>
    <w:rsid w:val="0014070D"/>
    <w:rsid w:val="00151B07"/>
    <w:rsid w:val="00185EFB"/>
    <w:rsid w:val="00194A66"/>
    <w:rsid w:val="001A24F8"/>
    <w:rsid w:val="001A64CE"/>
    <w:rsid w:val="001C0B22"/>
    <w:rsid w:val="001D0C67"/>
    <w:rsid w:val="001D4C3D"/>
    <w:rsid w:val="001D4D85"/>
    <w:rsid w:val="001D6BCF"/>
    <w:rsid w:val="001E01CA"/>
    <w:rsid w:val="001F2474"/>
    <w:rsid w:val="00204A4E"/>
    <w:rsid w:val="00206F9B"/>
    <w:rsid w:val="00221DA8"/>
    <w:rsid w:val="00224130"/>
    <w:rsid w:val="00226C68"/>
    <w:rsid w:val="00252BCC"/>
    <w:rsid w:val="00253848"/>
    <w:rsid w:val="00275CF5"/>
    <w:rsid w:val="0028181A"/>
    <w:rsid w:val="0028301F"/>
    <w:rsid w:val="00285017"/>
    <w:rsid w:val="00286D43"/>
    <w:rsid w:val="002A2D2E"/>
    <w:rsid w:val="002A5255"/>
    <w:rsid w:val="002B6392"/>
    <w:rsid w:val="002C00E8"/>
    <w:rsid w:val="002C291A"/>
    <w:rsid w:val="002C300E"/>
    <w:rsid w:val="002D61AB"/>
    <w:rsid w:val="002D7B9A"/>
    <w:rsid w:val="002F0429"/>
    <w:rsid w:val="00311A5E"/>
    <w:rsid w:val="00331291"/>
    <w:rsid w:val="00343749"/>
    <w:rsid w:val="00356710"/>
    <w:rsid w:val="0036129E"/>
    <w:rsid w:val="003660ED"/>
    <w:rsid w:val="00377C01"/>
    <w:rsid w:val="00377D89"/>
    <w:rsid w:val="0039264A"/>
    <w:rsid w:val="00396574"/>
    <w:rsid w:val="003B012B"/>
    <w:rsid w:val="003B0550"/>
    <w:rsid w:val="003B2394"/>
    <w:rsid w:val="003B3832"/>
    <w:rsid w:val="003B57C2"/>
    <w:rsid w:val="003B694F"/>
    <w:rsid w:val="003E4862"/>
    <w:rsid w:val="003F171C"/>
    <w:rsid w:val="0040703E"/>
    <w:rsid w:val="00412FC5"/>
    <w:rsid w:val="004215C0"/>
    <w:rsid w:val="00422276"/>
    <w:rsid w:val="004242F1"/>
    <w:rsid w:val="0043045B"/>
    <w:rsid w:val="00445A00"/>
    <w:rsid w:val="00451B0F"/>
    <w:rsid w:val="004703C0"/>
    <w:rsid w:val="0048179D"/>
    <w:rsid w:val="004A2347"/>
    <w:rsid w:val="004A3F06"/>
    <w:rsid w:val="004C2EE3"/>
    <w:rsid w:val="004D4340"/>
    <w:rsid w:val="004E36A7"/>
    <w:rsid w:val="004E4A22"/>
    <w:rsid w:val="0050280C"/>
    <w:rsid w:val="00511968"/>
    <w:rsid w:val="00531E78"/>
    <w:rsid w:val="005354EB"/>
    <w:rsid w:val="00552CCC"/>
    <w:rsid w:val="0055614C"/>
    <w:rsid w:val="0056326C"/>
    <w:rsid w:val="005B2777"/>
    <w:rsid w:val="005E14C2"/>
    <w:rsid w:val="005E4CC1"/>
    <w:rsid w:val="005F4628"/>
    <w:rsid w:val="00607BA5"/>
    <w:rsid w:val="0061180A"/>
    <w:rsid w:val="00611F2E"/>
    <w:rsid w:val="00612E55"/>
    <w:rsid w:val="006248CD"/>
    <w:rsid w:val="00626EB6"/>
    <w:rsid w:val="00635FD4"/>
    <w:rsid w:val="00645D2E"/>
    <w:rsid w:val="006505F3"/>
    <w:rsid w:val="0065437A"/>
    <w:rsid w:val="00655D03"/>
    <w:rsid w:val="00667535"/>
    <w:rsid w:val="0068192F"/>
    <w:rsid w:val="00683388"/>
    <w:rsid w:val="00683F84"/>
    <w:rsid w:val="0069383B"/>
    <w:rsid w:val="006A35C8"/>
    <w:rsid w:val="006A65A1"/>
    <w:rsid w:val="006A6A81"/>
    <w:rsid w:val="006B32E1"/>
    <w:rsid w:val="006D64D1"/>
    <w:rsid w:val="006F141E"/>
    <w:rsid w:val="006F7393"/>
    <w:rsid w:val="0070224F"/>
    <w:rsid w:val="007115F7"/>
    <w:rsid w:val="0076157A"/>
    <w:rsid w:val="00762AF8"/>
    <w:rsid w:val="0076450F"/>
    <w:rsid w:val="007664F6"/>
    <w:rsid w:val="00770BE9"/>
    <w:rsid w:val="007824B2"/>
    <w:rsid w:val="00785222"/>
    <w:rsid w:val="00785689"/>
    <w:rsid w:val="0079754B"/>
    <w:rsid w:val="007A1E6D"/>
    <w:rsid w:val="007A2A79"/>
    <w:rsid w:val="007B0EB2"/>
    <w:rsid w:val="007B126F"/>
    <w:rsid w:val="007C0672"/>
    <w:rsid w:val="008053FC"/>
    <w:rsid w:val="008101DA"/>
    <w:rsid w:val="00810B6F"/>
    <w:rsid w:val="00822CE0"/>
    <w:rsid w:val="008248CD"/>
    <w:rsid w:val="00840393"/>
    <w:rsid w:val="00841AB1"/>
    <w:rsid w:val="008505E1"/>
    <w:rsid w:val="00850836"/>
    <w:rsid w:val="00855026"/>
    <w:rsid w:val="00876B9C"/>
    <w:rsid w:val="00890698"/>
    <w:rsid w:val="008908C9"/>
    <w:rsid w:val="00896086"/>
    <w:rsid w:val="008A4EE9"/>
    <w:rsid w:val="008B002B"/>
    <w:rsid w:val="008C5D8B"/>
    <w:rsid w:val="008C68F1"/>
    <w:rsid w:val="008F0A78"/>
    <w:rsid w:val="008F1446"/>
    <w:rsid w:val="008F78E0"/>
    <w:rsid w:val="00921803"/>
    <w:rsid w:val="00926503"/>
    <w:rsid w:val="00933434"/>
    <w:rsid w:val="00950019"/>
    <w:rsid w:val="009529B8"/>
    <w:rsid w:val="009559F9"/>
    <w:rsid w:val="00961607"/>
    <w:rsid w:val="009726D8"/>
    <w:rsid w:val="00976797"/>
    <w:rsid w:val="009A09A5"/>
    <w:rsid w:val="009B41DF"/>
    <w:rsid w:val="009B7AB6"/>
    <w:rsid w:val="009F76DB"/>
    <w:rsid w:val="00A15792"/>
    <w:rsid w:val="00A161C5"/>
    <w:rsid w:val="00A201F5"/>
    <w:rsid w:val="00A279AB"/>
    <w:rsid w:val="00A32C3B"/>
    <w:rsid w:val="00A37919"/>
    <w:rsid w:val="00A445B8"/>
    <w:rsid w:val="00A45F4F"/>
    <w:rsid w:val="00A562F0"/>
    <w:rsid w:val="00A600A9"/>
    <w:rsid w:val="00A61337"/>
    <w:rsid w:val="00A82D43"/>
    <w:rsid w:val="00A844E8"/>
    <w:rsid w:val="00AA55B7"/>
    <w:rsid w:val="00AA5B9E"/>
    <w:rsid w:val="00AB2407"/>
    <w:rsid w:val="00AB53DF"/>
    <w:rsid w:val="00AC1E64"/>
    <w:rsid w:val="00AC7142"/>
    <w:rsid w:val="00AD1A98"/>
    <w:rsid w:val="00AE23B4"/>
    <w:rsid w:val="00AE6378"/>
    <w:rsid w:val="00B07E5C"/>
    <w:rsid w:val="00B20768"/>
    <w:rsid w:val="00B249FD"/>
    <w:rsid w:val="00B27FAC"/>
    <w:rsid w:val="00B54C6D"/>
    <w:rsid w:val="00B654C5"/>
    <w:rsid w:val="00B802CB"/>
    <w:rsid w:val="00B811F7"/>
    <w:rsid w:val="00B865DD"/>
    <w:rsid w:val="00B92699"/>
    <w:rsid w:val="00B97524"/>
    <w:rsid w:val="00BA5DC6"/>
    <w:rsid w:val="00BA6196"/>
    <w:rsid w:val="00BC33A4"/>
    <w:rsid w:val="00BC3826"/>
    <w:rsid w:val="00BC6D8C"/>
    <w:rsid w:val="00BD4338"/>
    <w:rsid w:val="00BD62A1"/>
    <w:rsid w:val="00C339E7"/>
    <w:rsid w:val="00C34006"/>
    <w:rsid w:val="00C426B1"/>
    <w:rsid w:val="00C528D5"/>
    <w:rsid w:val="00C66160"/>
    <w:rsid w:val="00C721AC"/>
    <w:rsid w:val="00C86025"/>
    <w:rsid w:val="00C90190"/>
    <w:rsid w:val="00C90D6A"/>
    <w:rsid w:val="00C950CB"/>
    <w:rsid w:val="00C9525B"/>
    <w:rsid w:val="00CA247E"/>
    <w:rsid w:val="00CC1753"/>
    <w:rsid w:val="00CC72B6"/>
    <w:rsid w:val="00CD7602"/>
    <w:rsid w:val="00D0218D"/>
    <w:rsid w:val="00D02DE7"/>
    <w:rsid w:val="00D11AB7"/>
    <w:rsid w:val="00D1789E"/>
    <w:rsid w:val="00D20191"/>
    <w:rsid w:val="00D20524"/>
    <w:rsid w:val="00D20B06"/>
    <w:rsid w:val="00D25FB5"/>
    <w:rsid w:val="00D315FC"/>
    <w:rsid w:val="00D33D40"/>
    <w:rsid w:val="00D433A9"/>
    <w:rsid w:val="00D44223"/>
    <w:rsid w:val="00D5519D"/>
    <w:rsid w:val="00D71837"/>
    <w:rsid w:val="00D72CF2"/>
    <w:rsid w:val="00D81A76"/>
    <w:rsid w:val="00D84554"/>
    <w:rsid w:val="00DA2529"/>
    <w:rsid w:val="00DB0D18"/>
    <w:rsid w:val="00DB130A"/>
    <w:rsid w:val="00DB2EBB"/>
    <w:rsid w:val="00DC0724"/>
    <w:rsid w:val="00DC10A1"/>
    <w:rsid w:val="00DC655F"/>
    <w:rsid w:val="00DD0B59"/>
    <w:rsid w:val="00DD7EBD"/>
    <w:rsid w:val="00DE38B0"/>
    <w:rsid w:val="00DF62B6"/>
    <w:rsid w:val="00E07225"/>
    <w:rsid w:val="00E513C0"/>
    <w:rsid w:val="00E51B40"/>
    <w:rsid w:val="00E5409F"/>
    <w:rsid w:val="00E76995"/>
    <w:rsid w:val="00E76B53"/>
    <w:rsid w:val="00E802C1"/>
    <w:rsid w:val="00EB6091"/>
    <w:rsid w:val="00EE630A"/>
    <w:rsid w:val="00EE6488"/>
    <w:rsid w:val="00F021FA"/>
    <w:rsid w:val="00F0366A"/>
    <w:rsid w:val="00F3576F"/>
    <w:rsid w:val="00F62E97"/>
    <w:rsid w:val="00F63134"/>
    <w:rsid w:val="00F64209"/>
    <w:rsid w:val="00F701EC"/>
    <w:rsid w:val="00F82B8B"/>
    <w:rsid w:val="00F82C05"/>
    <w:rsid w:val="00F85449"/>
    <w:rsid w:val="00F93BF5"/>
    <w:rsid w:val="00FD6BA8"/>
    <w:rsid w:val="00FE6F81"/>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B97524"/>
    <w:rPr>
      <w:sz w:val="16"/>
      <w:szCs w:val="16"/>
    </w:rPr>
  </w:style>
  <w:style w:type="paragraph" w:styleId="CommentText">
    <w:name w:val="annotation text"/>
    <w:basedOn w:val="Normal"/>
    <w:link w:val="CommentTextChar"/>
    <w:rsid w:val="00B97524"/>
    <w:rPr>
      <w:sz w:val="20"/>
    </w:rPr>
  </w:style>
  <w:style w:type="character" w:customStyle="1" w:styleId="CommentTextChar">
    <w:name w:val="Comment Text Char"/>
    <w:basedOn w:val="DefaultParagraphFont"/>
    <w:link w:val="CommentText"/>
    <w:rsid w:val="00B97524"/>
    <w:rPr>
      <w:snapToGrid w:val="0"/>
      <w:kern w:val="28"/>
    </w:rPr>
  </w:style>
  <w:style w:type="paragraph" w:styleId="CommentSubject">
    <w:name w:val="annotation subject"/>
    <w:basedOn w:val="CommentText"/>
    <w:next w:val="CommentText"/>
    <w:link w:val="CommentSubjectChar"/>
    <w:rsid w:val="00B97524"/>
    <w:rPr>
      <w:b/>
      <w:bCs/>
    </w:rPr>
  </w:style>
  <w:style w:type="character" w:customStyle="1" w:styleId="CommentSubjectChar">
    <w:name w:val="Comment Subject Char"/>
    <w:basedOn w:val="CommentTextChar"/>
    <w:link w:val="CommentSubject"/>
    <w:rsid w:val="00B97524"/>
    <w:rPr>
      <w:b/>
      <w:bCs/>
      <w:snapToGrid w:val="0"/>
      <w:kern w:val="28"/>
    </w:rPr>
  </w:style>
  <w:style w:type="paragraph" w:styleId="BalloonText">
    <w:name w:val="Balloon Text"/>
    <w:basedOn w:val="Normal"/>
    <w:link w:val="BalloonTextChar"/>
    <w:rsid w:val="00B97524"/>
    <w:rPr>
      <w:rFonts w:ascii="Tahoma" w:hAnsi="Tahoma" w:cs="Tahoma"/>
      <w:sz w:val="16"/>
      <w:szCs w:val="16"/>
    </w:rPr>
  </w:style>
  <w:style w:type="character" w:customStyle="1" w:styleId="BalloonTextChar">
    <w:name w:val="Balloon Text Char"/>
    <w:basedOn w:val="DefaultParagraphFont"/>
    <w:link w:val="BalloonText"/>
    <w:rsid w:val="00B97524"/>
    <w:rPr>
      <w:rFonts w:ascii="Tahoma" w:hAnsi="Tahoma" w:cs="Tahoma"/>
      <w:snapToGrid w:val="0"/>
      <w:kern w:val="28"/>
      <w:sz w:val="16"/>
      <w:szCs w:val="16"/>
    </w:rPr>
  </w:style>
  <w:style w:type="paragraph" w:styleId="NormalWeb">
    <w:name w:val="Normal (Web)"/>
    <w:basedOn w:val="Normal"/>
    <w:uiPriority w:val="99"/>
    <w:unhideWhenUsed/>
    <w:rsid w:val="00356710"/>
    <w:pPr>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rsid w:val="00761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B97524"/>
    <w:rPr>
      <w:sz w:val="16"/>
      <w:szCs w:val="16"/>
    </w:rPr>
  </w:style>
  <w:style w:type="paragraph" w:styleId="CommentText">
    <w:name w:val="annotation text"/>
    <w:basedOn w:val="Normal"/>
    <w:link w:val="CommentTextChar"/>
    <w:rsid w:val="00B97524"/>
    <w:rPr>
      <w:sz w:val="20"/>
    </w:rPr>
  </w:style>
  <w:style w:type="character" w:customStyle="1" w:styleId="CommentTextChar">
    <w:name w:val="Comment Text Char"/>
    <w:basedOn w:val="DefaultParagraphFont"/>
    <w:link w:val="CommentText"/>
    <w:rsid w:val="00B97524"/>
    <w:rPr>
      <w:snapToGrid w:val="0"/>
      <w:kern w:val="28"/>
    </w:rPr>
  </w:style>
  <w:style w:type="paragraph" w:styleId="CommentSubject">
    <w:name w:val="annotation subject"/>
    <w:basedOn w:val="CommentText"/>
    <w:next w:val="CommentText"/>
    <w:link w:val="CommentSubjectChar"/>
    <w:rsid w:val="00B97524"/>
    <w:rPr>
      <w:b/>
      <w:bCs/>
    </w:rPr>
  </w:style>
  <w:style w:type="character" w:customStyle="1" w:styleId="CommentSubjectChar">
    <w:name w:val="Comment Subject Char"/>
    <w:basedOn w:val="CommentTextChar"/>
    <w:link w:val="CommentSubject"/>
    <w:rsid w:val="00B97524"/>
    <w:rPr>
      <w:b/>
      <w:bCs/>
      <w:snapToGrid w:val="0"/>
      <w:kern w:val="28"/>
    </w:rPr>
  </w:style>
  <w:style w:type="paragraph" w:styleId="BalloonText">
    <w:name w:val="Balloon Text"/>
    <w:basedOn w:val="Normal"/>
    <w:link w:val="BalloonTextChar"/>
    <w:rsid w:val="00B97524"/>
    <w:rPr>
      <w:rFonts w:ascii="Tahoma" w:hAnsi="Tahoma" w:cs="Tahoma"/>
      <w:sz w:val="16"/>
      <w:szCs w:val="16"/>
    </w:rPr>
  </w:style>
  <w:style w:type="character" w:customStyle="1" w:styleId="BalloonTextChar">
    <w:name w:val="Balloon Text Char"/>
    <w:basedOn w:val="DefaultParagraphFont"/>
    <w:link w:val="BalloonText"/>
    <w:rsid w:val="00B97524"/>
    <w:rPr>
      <w:rFonts w:ascii="Tahoma" w:hAnsi="Tahoma" w:cs="Tahoma"/>
      <w:snapToGrid w:val="0"/>
      <w:kern w:val="28"/>
      <w:sz w:val="16"/>
      <w:szCs w:val="16"/>
    </w:rPr>
  </w:style>
  <w:style w:type="paragraph" w:styleId="NormalWeb">
    <w:name w:val="Normal (Web)"/>
    <w:basedOn w:val="Normal"/>
    <w:uiPriority w:val="99"/>
    <w:unhideWhenUsed/>
    <w:rsid w:val="00356710"/>
    <w:pPr>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rsid w:val="0076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0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1134</Words>
  <Characters>6332</Characters>
  <Application>Microsoft Office Word</Application>
  <DocSecurity>0</DocSecurity>
  <Lines>115</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2015-01-05T18:38:00Z</cp:lastPrinted>
  <dcterms:created xsi:type="dcterms:W3CDTF">2015-03-20T18:47:00Z</dcterms:created>
  <dcterms:modified xsi:type="dcterms:W3CDTF">2015-03-20T18:47:00Z</dcterms:modified>
  <cp:category> </cp:category>
  <cp:contentStatus> </cp:contentStatus>
</cp:coreProperties>
</file>