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BDB904" w14:textId="77777777" w:rsidR="005D5EB0" w:rsidRPr="006F6F9D" w:rsidRDefault="005D5EB0">
      <w:pPr>
        <w:jc w:val="right"/>
        <w:rPr>
          <w:b/>
        </w:rPr>
      </w:pPr>
      <w:bookmarkStart w:id="0" w:name="_GoBack"/>
      <w:bookmarkEnd w:id="0"/>
    </w:p>
    <w:p w14:paraId="686FBA93" w14:textId="45FD9759" w:rsidR="00614DD1" w:rsidRPr="008D4177" w:rsidRDefault="00AF12B5">
      <w:pPr>
        <w:jc w:val="right"/>
        <w:rPr>
          <w:b/>
        </w:rPr>
      </w:pPr>
      <w:r>
        <w:rPr>
          <w:b/>
        </w:rPr>
        <w:t xml:space="preserve">FCC </w:t>
      </w:r>
      <w:r w:rsidR="00614DD1" w:rsidRPr="008D4177">
        <w:rPr>
          <w:b/>
        </w:rPr>
        <w:t>1</w:t>
      </w:r>
      <w:r w:rsidR="0063559A">
        <w:rPr>
          <w:b/>
        </w:rPr>
        <w:t>5</w:t>
      </w:r>
      <w:r w:rsidR="00614DD1" w:rsidRPr="008D4177">
        <w:rPr>
          <w:b/>
        </w:rPr>
        <w:t>-</w:t>
      </w:r>
      <w:r w:rsidR="00C51F48">
        <w:rPr>
          <w:b/>
        </w:rPr>
        <w:t>38</w:t>
      </w:r>
    </w:p>
    <w:p w14:paraId="2E922727" w14:textId="77777777" w:rsidR="00AD021A" w:rsidRDefault="00AD021A" w:rsidP="00AD021A">
      <w:pPr>
        <w:jc w:val="right"/>
        <w:rPr>
          <w:b/>
        </w:rPr>
      </w:pPr>
      <w:r>
        <w:rPr>
          <w:b/>
        </w:rPr>
        <w:t>Released:  March 26</w:t>
      </w:r>
      <w:r w:rsidRPr="008D4177">
        <w:rPr>
          <w:b/>
        </w:rPr>
        <w:t>, 201</w:t>
      </w:r>
      <w:r>
        <w:rPr>
          <w:b/>
        </w:rPr>
        <w:t>5</w:t>
      </w:r>
    </w:p>
    <w:p w14:paraId="21557771" w14:textId="77777777" w:rsidR="00614DD1" w:rsidRPr="008D4177" w:rsidRDefault="00614DD1">
      <w:pPr>
        <w:jc w:val="right"/>
        <w:rPr>
          <w:b/>
        </w:rPr>
      </w:pPr>
    </w:p>
    <w:p w14:paraId="66D3DBF3" w14:textId="77777777" w:rsidR="00614DD1" w:rsidRPr="00CB7F47" w:rsidRDefault="00614DD1" w:rsidP="00D147B8">
      <w:pPr>
        <w:jc w:val="center"/>
        <w:rPr>
          <w:b/>
        </w:rPr>
      </w:pPr>
    </w:p>
    <w:p w14:paraId="68A9F86E" w14:textId="77777777" w:rsidR="00073439" w:rsidRPr="00CB7F47" w:rsidRDefault="00C3771D" w:rsidP="00CB7F47">
      <w:pPr>
        <w:jc w:val="center"/>
        <w:rPr>
          <w:b/>
        </w:rPr>
      </w:pPr>
      <w:r w:rsidRPr="00CB7F47">
        <w:rPr>
          <w:b/>
        </w:rPr>
        <w:t xml:space="preserve">COMMENT </w:t>
      </w:r>
      <w:r w:rsidR="00AF12B5" w:rsidRPr="00CB7F47">
        <w:rPr>
          <w:b/>
        </w:rPr>
        <w:t xml:space="preserve">SOUGHT </w:t>
      </w:r>
      <w:r w:rsidRPr="00CB7F47">
        <w:rPr>
          <w:b/>
        </w:rPr>
        <w:t>ON</w:t>
      </w:r>
      <w:r w:rsidR="00A65C02" w:rsidRPr="00CB7F47">
        <w:rPr>
          <w:b/>
        </w:rPr>
        <w:t xml:space="preserve"> </w:t>
      </w:r>
      <w:r w:rsidR="006740F3" w:rsidRPr="00CB7F47">
        <w:rPr>
          <w:b/>
        </w:rPr>
        <w:t>DEFINING</w:t>
      </w:r>
      <w:r w:rsidR="00090FA9" w:rsidRPr="00CB7F47">
        <w:rPr>
          <w:b/>
        </w:rPr>
        <w:t xml:space="preserve"> </w:t>
      </w:r>
      <w:r w:rsidR="00561002" w:rsidRPr="00CB7F47">
        <w:rPr>
          <w:b/>
        </w:rPr>
        <w:t>COMMENCE</w:t>
      </w:r>
      <w:r w:rsidR="006740F3" w:rsidRPr="00CB7F47">
        <w:rPr>
          <w:b/>
        </w:rPr>
        <w:t>MENT OF</w:t>
      </w:r>
      <w:r w:rsidR="00561002" w:rsidRPr="00CB7F47">
        <w:rPr>
          <w:b/>
        </w:rPr>
        <w:t xml:space="preserve"> OPERATIONS </w:t>
      </w:r>
    </w:p>
    <w:p w14:paraId="5BAC772A" w14:textId="77777777" w:rsidR="00A65C02" w:rsidRPr="00CB7F47" w:rsidRDefault="00561002" w:rsidP="00CB7F47">
      <w:pPr>
        <w:jc w:val="center"/>
        <w:rPr>
          <w:b/>
        </w:rPr>
      </w:pPr>
      <w:r w:rsidRPr="00CB7F47">
        <w:rPr>
          <w:b/>
        </w:rPr>
        <w:t>IN THE 600 MHZ BAND</w:t>
      </w:r>
    </w:p>
    <w:p w14:paraId="026472FC" w14:textId="77777777" w:rsidR="00A65C02" w:rsidRPr="008D4177" w:rsidRDefault="00A65C02" w:rsidP="00A65C02">
      <w:pPr>
        <w:jc w:val="center"/>
        <w:rPr>
          <w:b/>
        </w:rPr>
      </w:pPr>
    </w:p>
    <w:p w14:paraId="629BD029" w14:textId="77777777" w:rsidR="00A65C02" w:rsidRPr="00C55B49" w:rsidRDefault="00A65C02" w:rsidP="00A65C02">
      <w:pPr>
        <w:jc w:val="center"/>
        <w:rPr>
          <w:b/>
        </w:rPr>
      </w:pPr>
      <w:r w:rsidRPr="008D4177">
        <w:rPr>
          <w:b/>
        </w:rPr>
        <w:t>GN Docket No. 12-268</w:t>
      </w:r>
    </w:p>
    <w:p w14:paraId="0E8DB1F5" w14:textId="77777777" w:rsidR="00A65C02" w:rsidRDefault="00A65C02" w:rsidP="00A5644D">
      <w:pPr>
        <w:jc w:val="right"/>
        <w:rPr>
          <w:b/>
        </w:rPr>
      </w:pPr>
    </w:p>
    <w:p w14:paraId="68574B64" w14:textId="77777777" w:rsidR="00AF12B5" w:rsidRPr="00C55B49" w:rsidRDefault="00AF12B5" w:rsidP="00A5644D">
      <w:pPr>
        <w:jc w:val="right"/>
        <w:rPr>
          <w:b/>
        </w:rPr>
      </w:pPr>
    </w:p>
    <w:p w14:paraId="77F42127" w14:textId="4BA64685" w:rsidR="00A65C02" w:rsidRPr="00EC07C4" w:rsidRDefault="00A65C02" w:rsidP="00A65C02">
      <w:pPr>
        <w:rPr>
          <w:b/>
        </w:rPr>
      </w:pPr>
      <w:r w:rsidRPr="00C55B49">
        <w:rPr>
          <w:b/>
        </w:rPr>
        <w:t>Comment</w:t>
      </w:r>
      <w:r w:rsidR="008E494F">
        <w:rPr>
          <w:b/>
        </w:rPr>
        <w:t>s</w:t>
      </w:r>
      <w:r w:rsidRPr="00C55B49">
        <w:rPr>
          <w:b/>
        </w:rPr>
        <w:t xml:space="preserve"> D</w:t>
      </w:r>
      <w:r w:rsidR="008E494F">
        <w:rPr>
          <w:b/>
        </w:rPr>
        <w:t>ue</w:t>
      </w:r>
      <w:r w:rsidRPr="00C55B49">
        <w:rPr>
          <w:b/>
        </w:rPr>
        <w:t xml:space="preserve">: </w:t>
      </w:r>
      <w:r>
        <w:rPr>
          <w:b/>
        </w:rPr>
        <w:t xml:space="preserve"> </w:t>
      </w:r>
      <w:r w:rsidR="008B189F">
        <w:rPr>
          <w:b/>
        </w:rPr>
        <w:t>May 1, 2015</w:t>
      </w:r>
    </w:p>
    <w:p w14:paraId="6BA8CF99" w14:textId="7F567AA6" w:rsidR="00A65C02" w:rsidRPr="00C55B49" w:rsidRDefault="00A65C02" w:rsidP="00A65C02">
      <w:pPr>
        <w:rPr>
          <w:b/>
        </w:rPr>
      </w:pPr>
      <w:r w:rsidRPr="00EC07C4">
        <w:rPr>
          <w:b/>
        </w:rPr>
        <w:t>Reply Comment</w:t>
      </w:r>
      <w:r w:rsidR="008E494F" w:rsidRPr="00EC07C4">
        <w:rPr>
          <w:b/>
        </w:rPr>
        <w:t>s</w:t>
      </w:r>
      <w:r w:rsidRPr="00EC07C4">
        <w:rPr>
          <w:b/>
        </w:rPr>
        <w:t xml:space="preserve"> D</w:t>
      </w:r>
      <w:r w:rsidR="008E494F" w:rsidRPr="00EC07C4">
        <w:rPr>
          <w:b/>
        </w:rPr>
        <w:t>ue</w:t>
      </w:r>
      <w:r w:rsidRPr="00EC07C4">
        <w:rPr>
          <w:b/>
        </w:rPr>
        <w:t xml:space="preserve">:  </w:t>
      </w:r>
      <w:r w:rsidR="008B189F">
        <w:rPr>
          <w:b/>
        </w:rPr>
        <w:t>May 18, 2015</w:t>
      </w:r>
    </w:p>
    <w:p w14:paraId="4631194B" w14:textId="77777777" w:rsidR="00614DD1" w:rsidRDefault="00614DD1">
      <w:pPr>
        <w:jc w:val="center"/>
        <w:rPr>
          <w:b/>
        </w:rPr>
      </w:pPr>
    </w:p>
    <w:p w14:paraId="64A41DB2" w14:textId="77777777" w:rsidR="000542DD" w:rsidRPr="006F6F9D" w:rsidRDefault="00281E16" w:rsidP="00D147B8">
      <w:pPr>
        <w:pStyle w:val="Paranum"/>
      </w:pPr>
      <w:r w:rsidRPr="006F6F9D">
        <w:t xml:space="preserve">In the </w:t>
      </w:r>
      <w:r w:rsidRPr="006F6F9D">
        <w:rPr>
          <w:i/>
        </w:rPr>
        <w:t>Incentive Auction</w:t>
      </w:r>
      <w:r w:rsidRPr="00281E16">
        <w:t xml:space="preserve"> </w:t>
      </w:r>
      <w:r w:rsidRPr="00281E16">
        <w:rPr>
          <w:i/>
        </w:rPr>
        <w:t>Report and Order,</w:t>
      </w:r>
      <w:r w:rsidRPr="00281E16">
        <w:t xml:space="preserve"> </w:t>
      </w:r>
      <w:r w:rsidR="009F588B">
        <w:t xml:space="preserve">the Commission </w:t>
      </w:r>
      <w:r w:rsidRPr="00281E16">
        <w:t xml:space="preserve">adopted rules to implement the incentive auction </w:t>
      </w:r>
      <w:r w:rsidR="009F588B">
        <w:t xml:space="preserve">through </w:t>
      </w:r>
      <w:r w:rsidRPr="00281E16">
        <w:t xml:space="preserve">which </w:t>
      </w:r>
      <w:r w:rsidR="000542DD">
        <w:t xml:space="preserve">certain </w:t>
      </w:r>
      <w:r w:rsidRPr="00281E16">
        <w:t xml:space="preserve">broadcast </w:t>
      </w:r>
      <w:r w:rsidR="009F588B">
        <w:t xml:space="preserve">television </w:t>
      </w:r>
      <w:r w:rsidRPr="00281E16">
        <w:t>spectrum w</w:t>
      </w:r>
      <w:r w:rsidR="009F588B">
        <w:t>ill</w:t>
      </w:r>
      <w:r w:rsidR="003E0BDE">
        <w:t xml:space="preserve"> </w:t>
      </w:r>
      <w:r w:rsidRPr="00281E16">
        <w:t>be repurposed for wireless flexible use</w:t>
      </w:r>
      <w:r w:rsidR="000542DD">
        <w:t xml:space="preserve"> to create</w:t>
      </w:r>
      <w:r w:rsidR="00E16BB1">
        <w:t xml:space="preserve"> </w:t>
      </w:r>
      <w:r w:rsidRPr="00281E16">
        <w:t>the 600 MHz Band.</w:t>
      </w:r>
      <w:r w:rsidRPr="00281E16">
        <w:rPr>
          <w:vertAlign w:val="superscript"/>
        </w:rPr>
        <w:footnoteReference w:id="2"/>
      </w:r>
      <w:r w:rsidR="009F588B">
        <w:t xml:space="preserve">  These rules include procedures governing the transition of broadcast television services and other operations out of the 600 MHz </w:t>
      </w:r>
      <w:r w:rsidR="00AE05E2">
        <w:t>B</w:t>
      </w:r>
      <w:r w:rsidR="009F588B">
        <w:t>and.</w:t>
      </w:r>
      <w:r w:rsidR="00EB3172">
        <w:rPr>
          <w:rStyle w:val="FootnoteReference"/>
          <w:szCs w:val="22"/>
        </w:rPr>
        <w:footnoteReference w:id="3"/>
      </w:r>
      <w:r w:rsidR="009F588B" w:rsidRPr="006F6F9D">
        <w:t xml:space="preserve"> </w:t>
      </w:r>
      <w:r w:rsidRPr="006F6F9D">
        <w:t xml:space="preserve"> </w:t>
      </w:r>
      <w:r w:rsidR="000542DD">
        <w:t>As described below, the procedures the Commission adopted perm</w:t>
      </w:r>
      <w:r w:rsidR="009A434D">
        <w:t xml:space="preserve">it certain operations to continue </w:t>
      </w:r>
      <w:r w:rsidR="004B4E87">
        <w:t>in</w:t>
      </w:r>
      <w:r w:rsidR="009A434D">
        <w:t xml:space="preserve"> the 600 MHz</w:t>
      </w:r>
      <w:r w:rsidR="00D645DF">
        <w:t xml:space="preserve"> </w:t>
      </w:r>
      <w:r w:rsidR="009A434D">
        <w:t xml:space="preserve">spectrum until </w:t>
      </w:r>
      <w:r w:rsidR="003F0DBE">
        <w:t xml:space="preserve">a </w:t>
      </w:r>
      <w:r w:rsidR="000542DD">
        <w:t xml:space="preserve">600 MHz </w:t>
      </w:r>
      <w:r w:rsidR="00AE05E2">
        <w:t>B</w:t>
      </w:r>
      <w:r w:rsidR="00E16BB1">
        <w:t xml:space="preserve">and </w:t>
      </w:r>
      <w:r w:rsidR="00AE05E2">
        <w:t xml:space="preserve">wireless </w:t>
      </w:r>
      <w:r w:rsidR="00E16BB1">
        <w:t xml:space="preserve">licensee </w:t>
      </w:r>
      <w:r w:rsidR="000542DD">
        <w:t>“commence</w:t>
      </w:r>
      <w:r w:rsidR="00D3693A">
        <w:t>s</w:t>
      </w:r>
      <w:r w:rsidR="000542DD">
        <w:t xml:space="preserve"> operations”</w:t>
      </w:r>
      <w:r w:rsidR="006D474F">
        <w:t xml:space="preserve"> in its</w:t>
      </w:r>
      <w:r w:rsidR="00D645DF">
        <w:t xml:space="preserve"> licensed spectrum</w:t>
      </w:r>
      <w:r w:rsidR="00B60D0C">
        <w:t>.</w:t>
      </w:r>
      <w:r w:rsidR="000542DD">
        <w:t xml:space="preserve">  The Commission did not define the </w:t>
      </w:r>
      <w:r w:rsidR="00AE05E2">
        <w:t>term “commence</w:t>
      </w:r>
      <w:r w:rsidR="000542DD">
        <w:t xml:space="preserve"> operations,” but indicated that it would do so in the pre-auction process.</w:t>
      </w:r>
      <w:r w:rsidR="00392F76" w:rsidRPr="00281E16">
        <w:rPr>
          <w:vertAlign w:val="superscript"/>
        </w:rPr>
        <w:footnoteReference w:id="4"/>
      </w:r>
      <w:r w:rsidR="000542DD">
        <w:t xml:space="preserve">  </w:t>
      </w:r>
      <w:r w:rsidR="000542DD" w:rsidRPr="000542DD">
        <w:t xml:space="preserve">By this Public Notice, </w:t>
      </w:r>
      <w:r w:rsidR="00ED1F52">
        <w:t>the Commission</w:t>
      </w:r>
      <w:r w:rsidR="000542DD" w:rsidRPr="000542DD">
        <w:t xml:space="preserve"> seek</w:t>
      </w:r>
      <w:r w:rsidR="00ED1F52">
        <w:t>s</w:t>
      </w:r>
      <w:r w:rsidR="000542DD" w:rsidRPr="000542DD">
        <w:t xml:space="preserve"> comment on defining the term “commence operations” in the context of </w:t>
      </w:r>
      <w:r w:rsidR="000542DD">
        <w:t xml:space="preserve">these transition </w:t>
      </w:r>
      <w:r w:rsidR="000542DD" w:rsidRPr="000542DD">
        <w:t>rules.</w:t>
      </w:r>
      <w:r w:rsidR="004B4FF6">
        <w:rPr>
          <w:rStyle w:val="FootnoteReference"/>
          <w:szCs w:val="22"/>
        </w:rPr>
        <w:footnoteReference w:id="5"/>
      </w:r>
    </w:p>
    <w:p w14:paraId="07143280" w14:textId="6DD2F126" w:rsidR="001B3AE7" w:rsidRPr="006F6F9D" w:rsidRDefault="001B3AE7" w:rsidP="00D147B8">
      <w:pPr>
        <w:pStyle w:val="Paranum"/>
        <w:widowControl/>
      </w:pPr>
      <w:r w:rsidRPr="006F6F9D">
        <w:t xml:space="preserve">Specifically, we propose that a 600 MHz Band licensee be deemed to “commence operations” in an area </w:t>
      </w:r>
      <w:r w:rsidRPr="00D147B8">
        <w:t>when it begins site activation and commissioning tests, using permanent base station equipment and permanent antenna or tower locations</w:t>
      </w:r>
      <w:r w:rsidR="006154D0" w:rsidRPr="00D147B8">
        <w:t xml:space="preserve"> </w:t>
      </w:r>
      <w:r w:rsidRPr="00D147B8">
        <w:rPr>
          <w:color w:val="000000"/>
        </w:rPr>
        <w:t>(hereinafter “site commissioning tests”).</w:t>
      </w:r>
      <w:r w:rsidRPr="00F35BA1">
        <w:rPr>
          <w:rStyle w:val="FootnoteReference"/>
          <w:szCs w:val="22"/>
        </w:rPr>
        <w:footnoteReference w:id="6"/>
      </w:r>
      <w:r w:rsidRPr="00D147B8">
        <w:rPr>
          <w:color w:val="000000"/>
        </w:rPr>
        <w:t xml:space="preserve"> </w:t>
      </w:r>
      <w:r w:rsidR="009610E6" w:rsidRPr="00D147B8">
        <w:rPr>
          <w:color w:val="000000"/>
        </w:rPr>
        <w:t xml:space="preserve"> This testing </w:t>
      </w:r>
      <w:r w:rsidR="00C8590E" w:rsidRPr="00D147B8">
        <w:rPr>
          <w:color w:val="000000"/>
        </w:rPr>
        <w:t>takes place at</w:t>
      </w:r>
      <w:r w:rsidR="009610E6" w:rsidRPr="00D147B8">
        <w:rPr>
          <w:color w:val="000000"/>
        </w:rPr>
        <w:t xml:space="preserve"> the start of </w:t>
      </w:r>
      <w:r w:rsidR="00073439" w:rsidRPr="00D147B8">
        <w:rPr>
          <w:color w:val="000000"/>
        </w:rPr>
        <w:t>the</w:t>
      </w:r>
      <w:r w:rsidR="009610E6" w:rsidRPr="00D147B8">
        <w:rPr>
          <w:color w:val="000000"/>
        </w:rPr>
        <w:t xml:space="preserve"> site and system optimization processes</w:t>
      </w:r>
      <w:r w:rsidR="009D1376" w:rsidRPr="00D147B8">
        <w:rPr>
          <w:color w:val="000000"/>
        </w:rPr>
        <w:t xml:space="preserve"> and </w:t>
      </w:r>
      <w:r w:rsidR="009610E6" w:rsidRPr="00D147B8">
        <w:rPr>
          <w:color w:val="000000"/>
        </w:rPr>
        <w:t>prepares the network</w:t>
      </w:r>
      <w:r w:rsidR="00DF387F" w:rsidRPr="00D147B8">
        <w:rPr>
          <w:color w:val="000000"/>
        </w:rPr>
        <w:t xml:space="preserve"> for launch</w:t>
      </w:r>
      <w:r w:rsidR="009610E6" w:rsidRPr="00D147B8">
        <w:rPr>
          <w:color w:val="000000"/>
        </w:rPr>
        <w:t xml:space="preserve"> </w:t>
      </w:r>
      <w:r w:rsidR="009D1376" w:rsidRPr="00D147B8">
        <w:t xml:space="preserve">in </w:t>
      </w:r>
      <w:r w:rsidR="00DF387F" w:rsidRPr="00D147B8">
        <w:t>the</w:t>
      </w:r>
      <w:r w:rsidR="009D1376" w:rsidRPr="00D147B8">
        <w:t xml:space="preserve"> </w:t>
      </w:r>
      <w:r w:rsidR="009610E6" w:rsidRPr="00D147B8">
        <w:t xml:space="preserve">area </w:t>
      </w:r>
      <w:r w:rsidR="007F4663" w:rsidRPr="00D147B8">
        <w:t>in</w:t>
      </w:r>
      <w:r w:rsidR="009610E6" w:rsidRPr="00D147B8">
        <w:t xml:space="preserve"> which </w:t>
      </w:r>
      <w:r w:rsidR="005062C5" w:rsidRPr="00D147B8">
        <w:t>the licensee will</w:t>
      </w:r>
      <w:r w:rsidR="009610E6" w:rsidRPr="00D147B8">
        <w:t xml:space="preserve"> provide commercial service</w:t>
      </w:r>
      <w:r w:rsidR="00427C09" w:rsidRPr="00D147B8">
        <w:t>.</w:t>
      </w:r>
      <w:r w:rsidR="00427C09" w:rsidRPr="00D147B8">
        <w:rPr>
          <w:color w:val="000000"/>
        </w:rPr>
        <w:t xml:space="preserve"> </w:t>
      </w:r>
      <w:r w:rsidR="00C25919" w:rsidRPr="00D147B8">
        <w:rPr>
          <w:color w:val="000000"/>
        </w:rPr>
        <w:t xml:space="preserve"> </w:t>
      </w:r>
      <w:r w:rsidRPr="00D147B8">
        <w:rPr>
          <w:color w:val="000000"/>
        </w:rPr>
        <w:t xml:space="preserve">We believe this approach best fulfills </w:t>
      </w:r>
      <w:r w:rsidR="009001CC" w:rsidRPr="006F6F9D">
        <w:t xml:space="preserve">our </w:t>
      </w:r>
      <w:r w:rsidRPr="00F35BA1">
        <w:t xml:space="preserve">objective in the transition process of “promot[ing] ready access to the repurposed spectrum by 600 MHz Band wireless licensees when and where they need it, while at the same time </w:t>
      </w:r>
      <w:r w:rsidRPr="00F35BA1">
        <w:lastRenderedPageBreak/>
        <w:t>providing for an orderly transition process for secondary and unlicensed users that currently are serving various important consumer needs using this spectrum.”</w:t>
      </w:r>
      <w:r w:rsidRPr="00F35BA1">
        <w:rPr>
          <w:vertAlign w:val="superscript"/>
        </w:rPr>
        <w:footnoteReference w:id="7"/>
      </w:r>
    </w:p>
    <w:p w14:paraId="2CE1FD24" w14:textId="507A3724" w:rsidR="000C3EB2" w:rsidRPr="006F6F9D" w:rsidRDefault="00F94B14" w:rsidP="00D147B8">
      <w:pPr>
        <w:pStyle w:val="Paranum"/>
      </w:pPr>
      <w:r w:rsidRPr="006F6F9D">
        <w:t xml:space="preserve">As noted, </w:t>
      </w:r>
      <w:r w:rsidR="001B3AE7" w:rsidRPr="006F6F9D">
        <w:t xml:space="preserve">this definition </w:t>
      </w:r>
      <w:r w:rsidRPr="006F6F9D">
        <w:t xml:space="preserve">will be one element of </w:t>
      </w:r>
      <w:r>
        <w:t>the 600 MHz transition rules.  Under these rules, a</w:t>
      </w:r>
      <w:r w:rsidR="00281E16" w:rsidRPr="00F35BA1">
        <w:t xml:space="preserve">ll full power and Class A television stations </w:t>
      </w:r>
      <w:r w:rsidR="001B3AE7" w:rsidRPr="00F35BA1">
        <w:t xml:space="preserve">must </w:t>
      </w:r>
      <w:r w:rsidR="00281E16" w:rsidRPr="00F35BA1">
        <w:t xml:space="preserve">cease operating in the spectrum repurposed for the 600 MHz Band no later than 39 months from issuance of the </w:t>
      </w:r>
      <w:r w:rsidR="00281E16" w:rsidRPr="00F35BA1">
        <w:rPr>
          <w:i/>
        </w:rPr>
        <w:t xml:space="preserve">Channel Reassignment PN </w:t>
      </w:r>
      <w:r w:rsidR="00281E16" w:rsidRPr="00F35BA1">
        <w:t>(</w:t>
      </w:r>
      <w:r w:rsidR="0038084B">
        <w:t xml:space="preserve">i.e., by the end of </w:t>
      </w:r>
      <w:r w:rsidR="006A1436" w:rsidRPr="00F35BA1">
        <w:t xml:space="preserve">the </w:t>
      </w:r>
      <w:r w:rsidR="00281E16" w:rsidRPr="00F35BA1">
        <w:t>Post-Auction Transition Period).</w:t>
      </w:r>
      <w:r w:rsidR="00281E16" w:rsidRPr="00F35BA1">
        <w:rPr>
          <w:vertAlign w:val="superscript"/>
        </w:rPr>
        <w:footnoteReference w:id="8"/>
      </w:r>
      <w:r w:rsidR="00281E16" w:rsidRPr="00F35BA1">
        <w:t xml:space="preserve">  </w:t>
      </w:r>
      <w:r w:rsidR="000C3EB2" w:rsidRPr="00F35BA1">
        <w:t xml:space="preserve">600 MHz Band wireless </w:t>
      </w:r>
      <w:r w:rsidR="00105ACA" w:rsidRPr="00F35BA1">
        <w:t xml:space="preserve">licensees will not have access to </w:t>
      </w:r>
      <w:r w:rsidR="00F022A0" w:rsidRPr="00F35BA1">
        <w:t xml:space="preserve">the repurposed spectrum </w:t>
      </w:r>
      <w:r w:rsidR="004504AB" w:rsidRPr="00F35BA1">
        <w:t>in an area</w:t>
      </w:r>
      <w:r w:rsidR="00DC105D" w:rsidRPr="00F35BA1">
        <w:t xml:space="preserve"> </w:t>
      </w:r>
      <w:r w:rsidR="000C3EB2" w:rsidRPr="00F35BA1">
        <w:t xml:space="preserve">during the Post-Auction Transition Period </w:t>
      </w:r>
      <w:r w:rsidR="001B6E88" w:rsidRPr="00F35BA1">
        <w:t>unless</w:t>
      </w:r>
      <w:r w:rsidR="00B43417" w:rsidRPr="00F35BA1">
        <w:t xml:space="preserve"> full power and </w:t>
      </w:r>
      <w:r w:rsidR="000C3EB2" w:rsidRPr="00F35BA1">
        <w:t xml:space="preserve">Class A television operations </w:t>
      </w:r>
      <w:r w:rsidR="00B43417" w:rsidRPr="00F35BA1">
        <w:t xml:space="preserve">have </w:t>
      </w:r>
      <w:r w:rsidR="00DC105D" w:rsidRPr="00F35BA1">
        <w:t xml:space="preserve">ceased operations </w:t>
      </w:r>
      <w:r w:rsidR="004504AB" w:rsidRPr="00F35BA1">
        <w:t>in that area</w:t>
      </w:r>
      <w:r w:rsidR="009D546E" w:rsidRPr="00F35BA1">
        <w:t>.</w:t>
      </w:r>
      <w:r w:rsidR="00B43417" w:rsidRPr="00F35BA1">
        <w:rPr>
          <w:rStyle w:val="FootnoteReference"/>
          <w:szCs w:val="22"/>
        </w:rPr>
        <w:footnoteReference w:id="9"/>
      </w:r>
    </w:p>
    <w:p w14:paraId="74B92119" w14:textId="17F6D0AB" w:rsidR="0090544E" w:rsidRPr="006F6F9D" w:rsidRDefault="001B3AE7" w:rsidP="00D147B8">
      <w:pPr>
        <w:pStyle w:val="Paranum"/>
      </w:pPr>
      <w:r w:rsidRPr="006F6F9D">
        <w:t>For</w:t>
      </w:r>
      <w:r w:rsidR="00826FD4" w:rsidRPr="006F6F9D">
        <w:t xml:space="preserve"> </w:t>
      </w:r>
      <w:r w:rsidR="00A132DD" w:rsidRPr="006F6F9D">
        <w:t>secondary and unlicensed users that currently</w:t>
      </w:r>
      <w:r w:rsidR="00B94063" w:rsidRPr="00F35BA1">
        <w:t xml:space="preserve"> </w:t>
      </w:r>
      <w:r w:rsidR="00267D90" w:rsidRPr="00F35BA1">
        <w:t xml:space="preserve">are authorized to operate </w:t>
      </w:r>
      <w:r w:rsidR="00A132DD" w:rsidRPr="00F35BA1">
        <w:t>in this band, including</w:t>
      </w:r>
      <w:r w:rsidR="000542DD" w:rsidRPr="00F35BA1">
        <w:t xml:space="preserve"> </w:t>
      </w:r>
      <w:r w:rsidR="00826FD4" w:rsidRPr="00F35BA1">
        <w:t>l</w:t>
      </w:r>
      <w:r w:rsidR="00281E16" w:rsidRPr="00F35BA1">
        <w:t xml:space="preserve">ow power television </w:t>
      </w:r>
      <w:r w:rsidR="00826FD4" w:rsidRPr="00F35BA1">
        <w:t xml:space="preserve">(“LPTV”) </w:t>
      </w:r>
      <w:r w:rsidR="00281E16" w:rsidRPr="00F35BA1">
        <w:t xml:space="preserve">and TV translator stations, fixed broadcast auxiliary service operations (“BAS”), and </w:t>
      </w:r>
      <w:r w:rsidR="0000482D" w:rsidRPr="00F35BA1">
        <w:t xml:space="preserve">unlicensed </w:t>
      </w:r>
      <w:r w:rsidR="00281E16" w:rsidRPr="00F35BA1">
        <w:t>television white space (“</w:t>
      </w:r>
      <w:r w:rsidR="000C2528" w:rsidRPr="00F35BA1">
        <w:t>TVWS</w:t>
      </w:r>
      <w:r w:rsidR="0000482D" w:rsidRPr="00F35BA1">
        <w:t>”</w:t>
      </w:r>
      <w:r w:rsidR="00281E16" w:rsidRPr="00F35BA1">
        <w:t>)</w:t>
      </w:r>
      <w:r w:rsidR="000C3EB2" w:rsidRPr="00F35BA1">
        <w:t xml:space="preserve"> </w:t>
      </w:r>
      <w:r w:rsidR="001B6E88" w:rsidRPr="00F35BA1">
        <w:t>devices</w:t>
      </w:r>
      <w:r w:rsidRPr="00F35BA1">
        <w:t xml:space="preserve">, </w:t>
      </w:r>
      <w:r w:rsidR="009001CC">
        <w:t>we</w:t>
      </w:r>
      <w:r w:rsidRPr="00D03EF4">
        <w:t xml:space="preserve"> established a phased</w:t>
      </w:r>
      <w:r w:rsidR="001B6E88" w:rsidRPr="00F35BA1">
        <w:t xml:space="preserve"> </w:t>
      </w:r>
      <w:r w:rsidR="00B11D14">
        <w:t>transition</w:t>
      </w:r>
      <w:r w:rsidR="000C3EB2">
        <w:t xml:space="preserve"> out of the 600 MHz Band</w:t>
      </w:r>
      <w:r>
        <w:t>.</w:t>
      </w:r>
      <w:r w:rsidR="0032309E">
        <w:t xml:space="preserve">  </w:t>
      </w:r>
      <w:r w:rsidR="00B43417">
        <w:t>T</w:t>
      </w:r>
      <w:r w:rsidR="0032309E">
        <w:t>he transition procedures applicable to the</w:t>
      </w:r>
      <w:r w:rsidR="009D0BA7">
        <w:t>se</w:t>
      </w:r>
      <w:r w:rsidR="0032309E">
        <w:t xml:space="preserve"> categories of operations vary in certain regards, but all require</w:t>
      </w:r>
      <w:r w:rsidR="000C2528">
        <w:t xml:space="preserve"> that</w:t>
      </w:r>
      <w:r w:rsidR="003E0BDE">
        <w:t xml:space="preserve"> </w:t>
      </w:r>
      <w:r w:rsidR="00656177">
        <w:t>these operations cease in areas where the 600 MHz Band wireless licensee commence</w:t>
      </w:r>
      <w:r w:rsidR="00C02B86">
        <w:t>s</w:t>
      </w:r>
      <w:r w:rsidR="00656177">
        <w:t xml:space="preserve"> operations</w:t>
      </w:r>
      <w:r w:rsidR="00C02B86">
        <w:t xml:space="preserve"> after providing the requisite notice</w:t>
      </w:r>
      <w:r w:rsidR="00656177">
        <w:t>.</w:t>
      </w:r>
      <w:r w:rsidR="00F9579A">
        <w:rPr>
          <w:rStyle w:val="FootnoteReference"/>
          <w:szCs w:val="22"/>
        </w:rPr>
        <w:footnoteReference w:id="10"/>
      </w:r>
      <w:r w:rsidR="00656177" w:rsidRPr="006F6F9D">
        <w:t xml:space="preserve">  </w:t>
      </w:r>
      <w:r w:rsidR="008843D4" w:rsidRPr="006F6F9D">
        <w:t>Except in the guard</w:t>
      </w:r>
      <w:r w:rsidR="009D0BA7" w:rsidRPr="006F6F9D">
        <w:t xml:space="preserve"> </w:t>
      </w:r>
      <w:r w:rsidR="008843D4">
        <w:t>bands, LPTV and TV translator station</w:t>
      </w:r>
      <w:r w:rsidR="009D0BA7">
        <w:t>s</w:t>
      </w:r>
      <w:r w:rsidR="008843D4">
        <w:t xml:space="preserve"> in the 600 MHz Band </w:t>
      </w:r>
      <w:r w:rsidR="00281E16" w:rsidRPr="00281E16">
        <w:t xml:space="preserve">may continue to operate </w:t>
      </w:r>
      <w:r w:rsidR="00FF02B5">
        <w:t xml:space="preserve">indefinitely </w:t>
      </w:r>
      <w:r w:rsidR="006010CA">
        <w:t xml:space="preserve">unless </w:t>
      </w:r>
      <w:r w:rsidR="00F729AA">
        <w:t>they are</w:t>
      </w:r>
      <w:r w:rsidR="006010CA">
        <w:t xml:space="preserve"> </w:t>
      </w:r>
      <w:r w:rsidR="00F85355">
        <w:t xml:space="preserve">in </w:t>
      </w:r>
      <w:r w:rsidR="004B7203">
        <w:t xml:space="preserve">an </w:t>
      </w:r>
      <w:r w:rsidR="00F85355">
        <w:t xml:space="preserve">area in which </w:t>
      </w:r>
      <w:r w:rsidR="00281E16" w:rsidRPr="00281E16">
        <w:t xml:space="preserve">a </w:t>
      </w:r>
      <w:r w:rsidR="009A434D">
        <w:t xml:space="preserve">600 MHz Band </w:t>
      </w:r>
      <w:r w:rsidR="00281E16" w:rsidRPr="00281E16">
        <w:t xml:space="preserve">wireless licensee provides advance </w:t>
      </w:r>
      <w:r w:rsidR="007C2AFE">
        <w:t xml:space="preserve">written </w:t>
      </w:r>
      <w:r w:rsidR="00281E16" w:rsidRPr="00281E16">
        <w:t xml:space="preserve">notice that it intends to commence operations and that the LPTV or TV translator station </w:t>
      </w:r>
      <w:r w:rsidR="009D0BA7">
        <w:t>is</w:t>
      </w:r>
      <w:r w:rsidR="00281E16" w:rsidRPr="00281E16">
        <w:t xml:space="preserve"> likely to cause harmful interference to the licensee’s operations in that area.</w:t>
      </w:r>
      <w:r w:rsidR="00281E16" w:rsidRPr="00281E16">
        <w:rPr>
          <w:vertAlign w:val="superscript"/>
        </w:rPr>
        <w:footnoteReference w:id="11"/>
      </w:r>
      <w:r w:rsidR="008843D4">
        <w:t xml:space="preserve">  </w:t>
      </w:r>
      <w:r w:rsidR="008843D4" w:rsidRPr="00281E16">
        <w:t>LPTV or TV translator station</w:t>
      </w:r>
      <w:r w:rsidR="009D0BA7">
        <w:t>s</w:t>
      </w:r>
      <w:r w:rsidR="008843D4">
        <w:t xml:space="preserve"> in the 600 MHz </w:t>
      </w:r>
      <w:r w:rsidR="009D0BA7">
        <w:t>guard bands</w:t>
      </w:r>
      <w:r w:rsidR="008843D4">
        <w:t xml:space="preserve"> must cease operations no later than the </w:t>
      </w:r>
      <w:r w:rsidR="008843D4" w:rsidRPr="00572BD3">
        <w:t>end of the Post-Auction Transition Period</w:t>
      </w:r>
      <w:r w:rsidR="008843D4">
        <w:t>.</w:t>
      </w:r>
      <w:r w:rsidR="008843D4">
        <w:rPr>
          <w:rStyle w:val="FootnoteReference"/>
          <w:szCs w:val="22"/>
        </w:rPr>
        <w:footnoteReference w:id="12"/>
      </w:r>
      <w:r w:rsidR="008843D4" w:rsidRPr="006F6F9D">
        <w:t xml:space="preserve">  </w:t>
      </w:r>
      <w:r w:rsidR="007C2AFE" w:rsidRPr="006F6F9D">
        <w:t xml:space="preserve">TVWS devices </w:t>
      </w:r>
      <w:r w:rsidR="007C2AFE">
        <w:t xml:space="preserve">may continue to </w:t>
      </w:r>
      <w:r w:rsidR="007C2AFE" w:rsidRPr="00281E16">
        <w:t xml:space="preserve">operate in the 600 MHz Band </w:t>
      </w:r>
      <w:r w:rsidR="007C2AFE">
        <w:t xml:space="preserve">indefinitely, </w:t>
      </w:r>
      <w:r w:rsidR="007C2AFE" w:rsidRPr="00281E16">
        <w:t>except in those areas in which a 600 MHz Band wireless licensee</w:t>
      </w:r>
      <w:r w:rsidR="00C51045">
        <w:t xml:space="preserve"> </w:t>
      </w:r>
      <w:r w:rsidR="0090544E">
        <w:t>commenc</w:t>
      </w:r>
      <w:r w:rsidR="00A815B2">
        <w:t>e</w:t>
      </w:r>
      <w:r w:rsidR="00C02B86">
        <w:t>s</w:t>
      </w:r>
      <w:r w:rsidR="0090544E">
        <w:t xml:space="preserve"> operations</w:t>
      </w:r>
      <w:r w:rsidR="00C02B86">
        <w:t xml:space="preserve"> after providing the requisite notice to the TVWS database administrator</w:t>
      </w:r>
      <w:r w:rsidR="007C2AFE" w:rsidRPr="00281E16">
        <w:t>.</w:t>
      </w:r>
      <w:r w:rsidR="007C2AFE" w:rsidRPr="00281E16">
        <w:rPr>
          <w:vertAlign w:val="superscript"/>
        </w:rPr>
        <w:footnoteReference w:id="13"/>
      </w:r>
      <w:r w:rsidR="007C2AFE" w:rsidRPr="00281E16">
        <w:t xml:space="preserve">  </w:t>
      </w:r>
      <w:r w:rsidR="00281E16" w:rsidRPr="00281E16">
        <w:t>BAS licensees</w:t>
      </w:r>
      <w:r w:rsidR="00AE05E2">
        <w:t xml:space="preserve"> </w:t>
      </w:r>
      <w:r w:rsidR="00FF02B5">
        <w:t>must vacate the 600 MHz Band</w:t>
      </w:r>
      <w:r w:rsidR="0047502A">
        <w:t xml:space="preserve"> </w:t>
      </w:r>
      <w:r w:rsidR="00FF02B5">
        <w:t>by the end of the Post-Auction Transition Period,</w:t>
      </w:r>
      <w:r w:rsidR="00467E7B" w:rsidRPr="00F8633F">
        <w:rPr>
          <w:rStyle w:val="FootnoteReference"/>
        </w:rPr>
        <w:footnoteReference w:id="14"/>
      </w:r>
      <w:r w:rsidR="007C2AFE" w:rsidRPr="006F6F9D">
        <w:t xml:space="preserve"> </w:t>
      </w:r>
      <w:r w:rsidR="009D0BA7" w:rsidRPr="006F6F9D">
        <w:t>or earlier if</w:t>
      </w:r>
      <w:r w:rsidR="00281E16" w:rsidRPr="006F6F9D">
        <w:t xml:space="preserve"> notified</w:t>
      </w:r>
      <w:r w:rsidR="00FF02B5">
        <w:t xml:space="preserve"> </w:t>
      </w:r>
      <w:r w:rsidR="00281E16" w:rsidRPr="00281E16">
        <w:t xml:space="preserve">that they are likely to cause harmful interference </w:t>
      </w:r>
      <w:r w:rsidR="00FF02B5">
        <w:t>to</w:t>
      </w:r>
      <w:r w:rsidR="00281E16" w:rsidRPr="00281E16">
        <w:t xml:space="preserve"> a 600 MHz Band </w:t>
      </w:r>
      <w:r w:rsidR="009A434D">
        <w:t xml:space="preserve">wireless </w:t>
      </w:r>
      <w:r w:rsidR="00281E16" w:rsidRPr="00281E16">
        <w:t xml:space="preserve">licensee </w:t>
      </w:r>
      <w:r w:rsidR="006010CA">
        <w:t>in an area in which it</w:t>
      </w:r>
      <w:r w:rsidR="00FF02B5">
        <w:t xml:space="preserve"> </w:t>
      </w:r>
      <w:r w:rsidR="00281E16" w:rsidRPr="00281E16">
        <w:t>intends to commence operations.</w:t>
      </w:r>
      <w:r w:rsidR="00467E7B" w:rsidRPr="00F8633F">
        <w:rPr>
          <w:rStyle w:val="FootnoteReference"/>
        </w:rPr>
        <w:footnoteReference w:id="15"/>
      </w:r>
      <w:r w:rsidR="00281E16" w:rsidRPr="006F6F9D">
        <w:t xml:space="preserve">  </w:t>
      </w:r>
      <w:r w:rsidR="00E772C1" w:rsidRPr="006F6F9D">
        <w:t xml:space="preserve">While several commenters </w:t>
      </w:r>
      <w:r w:rsidR="00FA010B" w:rsidRPr="006F6F9D">
        <w:t xml:space="preserve">in the </w:t>
      </w:r>
      <w:r w:rsidR="00FA010B" w:rsidRPr="00FE1A26">
        <w:rPr>
          <w:i/>
        </w:rPr>
        <w:t>Incentive Auction</w:t>
      </w:r>
      <w:r w:rsidR="00FA010B" w:rsidRPr="00FE1A26">
        <w:t xml:space="preserve"> proceeding </w:t>
      </w:r>
      <w:r w:rsidR="00E772C1" w:rsidRPr="00FE1A26">
        <w:t>discussed the transition of secondary and unlicensed users out of the 600 MHz Band,</w:t>
      </w:r>
      <w:r w:rsidR="00DC105D" w:rsidRPr="001D56F0">
        <w:t xml:space="preserve"> </w:t>
      </w:r>
      <w:r w:rsidR="009001CC">
        <w:t>we</w:t>
      </w:r>
      <w:r w:rsidR="00FA010B" w:rsidRPr="00FE1A26">
        <w:t xml:space="preserve"> </w:t>
      </w:r>
      <w:r w:rsidR="00E772C1" w:rsidRPr="00FE1A26">
        <w:t xml:space="preserve">received </w:t>
      </w:r>
      <w:r w:rsidR="00A07C93">
        <w:t xml:space="preserve">limited </w:t>
      </w:r>
      <w:r w:rsidR="00E772C1" w:rsidRPr="00FE1A26">
        <w:t xml:space="preserve">comment on how </w:t>
      </w:r>
      <w:r w:rsidR="00A07073">
        <w:t xml:space="preserve">best </w:t>
      </w:r>
      <w:r w:rsidR="00E772C1" w:rsidRPr="00FE1A26">
        <w:t>to de</w:t>
      </w:r>
      <w:r w:rsidR="00FA010B" w:rsidRPr="00FE1A26">
        <w:t xml:space="preserve">fine </w:t>
      </w:r>
      <w:r w:rsidR="00E772C1" w:rsidRPr="00FE1A26">
        <w:t>when</w:t>
      </w:r>
      <w:r w:rsidR="00FA010B" w:rsidRPr="00FE1A26">
        <w:t xml:space="preserve"> a</w:t>
      </w:r>
      <w:r w:rsidR="00E772C1" w:rsidRPr="00FE1A26">
        <w:t xml:space="preserve"> 600 MHz Band </w:t>
      </w:r>
      <w:r w:rsidR="009A434D" w:rsidRPr="00FE1A26">
        <w:t xml:space="preserve">wireless </w:t>
      </w:r>
      <w:r w:rsidR="00E772C1" w:rsidRPr="00FE1A26">
        <w:t>licensee</w:t>
      </w:r>
      <w:r w:rsidR="00FA010B" w:rsidRPr="00FE1A26">
        <w:t xml:space="preserve"> </w:t>
      </w:r>
      <w:r w:rsidR="00E772C1" w:rsidRPr="00FE1A26">
        <w:t>commence</w:t>
      </w:r>
      <w:r w:rsidR="00FA010B" w:rsidRPr="00FE1A26">
        <w:t>s</w:t>
      </w:r>
      <w:r w:rsidR="00E772C1" w:rsidRPr="00FE1A26">
        <w:t xml:space="preserve"> operations</w:t>
      </w:r>
      <w:r w:rsidR="00FA010B" w:rsidRPr="00FE1A26">
        <w:t xml:space="preserve"> for the purpose of these transition procedures</w:t>
      </w:r>
      <w:r w:rsidR="00E772C1" w:rsidRPr="00FE1A26">
        <w:t>.</w:t>
      </w:r>
      <w:r w:rsidR="008843D4">
        <w:rPr>
          <w:rStyle w:val="FootnoteReference"/>
        </w:rPr>
        <w:footnoteReference w:id="16"/>
      </w:r>
    </w:p>
    <w:p w14:paraId="7D379FCF" w14:textId="645DD941" w:rsidR="00FA1633" w:rsidRPr="006F6F9D" w:rsidRDefault="00F35BA1" w:rsidP="00D147B8">
      <w:pPr>
        <w:pStyle w:val="Paranum"/>
      </w:pPr>
      <w:r w:rsidRPr="006F6F9D">
        <w:t xml:space="preserve">Under our proposed definition, </w:t>
      </w:r>
      <w:r w:rsidR="00C34EAF" w:rsidRPr="006F6F9D">
        <w:t>a 600 MHz</w:t>
      </w:r>
      <w:r w:rsidR="00AE05E2" w:rsidRPr="006F6F9D">
        <w:t xml:space="preserve"> Band</w:t>
      </w:r>
      <w:r w:rsidR="00C34EAF">
        <w:t xml:space="preserve"> </w:t>
      </w:r>
      <w:r w:rsidR="00A60890">
        <w:t xml:space="preserve">wireless </w:t>
      </w:r>
      <w:r w:rsidR="00C34EAF">
        <w:t>licensee’s</w:t>
      </w:r>
      <w:r w:rsidR="008F6B7B">
        <w:t xml:space="preserve"> operations </w:t>
      </w:r>
      <w:r>
        <w:t>would be deemed to “commence”</w:t>
      </w:r>
      <w:r w:rsidR="008F6B7B">
        <w:t xml:space="preserve"> prior </w:t>
      </w:r>
      <w:r w:rsidR="006F7E48">
        <w:t xml:space="preserve">to the </w:t>
      </w:r>
      <w:r w:rsidR="00C34EAF">
        <w:t>licensee</w:t>
      </w:r>
      <w:r w:rsidR="006F7E48">
        <w:t xml:space="preserve">’s launch of </w:t>
      </w:r>
      <w:r w:rsidR="008F6B7B">
        <w:t xml:space="preserve">commercial services in an area, </w:t>
      </w:r>
      <w:r w:rsidR="00047980">
        <w:t>specifically</w:t>
      </w:r>
      <w:r w:rsidR="00C37417">
        <w:t xml:space="preserve"> </w:t>
      </w:r>
      <w:r w:rsidR="00047980">
        <w:t>when the licensee begins</w:t>
      </w:r>
      <w:r w:rsidR="00047980" w:rsidRPr="00C25919">
        <w:t xml:space="preserve"> site commissioning tests</w:t>
      </w:r>
      <w:r w:rsidR="008F6B7B" w:rsidRPr="005F1F32">
        <w:t xml:space="preserve">.  </w:t>
      </w:r>
      <w:r w:rsidR="000D1E68">
        <w:rPr>
          <w:color w:val="000000"/>
          <w:kern w:val="28"/>
        </w:rPr>
        <w:t xml:space="preserve">These </w:t>
      </w:r>
      <w:r w:rsidR="00126FAB" w:rsidRPr="005F1F32">
        <w:rPr>
          <w:color w:val="000000"/>
          <w:kern w:val="28"/>
        </w:rPr>
        <w:t>site</w:t>
      </w:r>
      <w:r w:rsidR="006F7E48" w:rsidRPr="005F1F32">
        <w:rPr>
          <w:color w:val="000000"/>
          <w:kern w:val="28"/>
        </w:rPr>
        <w:t xml:space="preserve"> commissioning tests </w:t>
      </w:r>
      <w:r w:rsidR="000D1E68">
        <w:rPr>
          <w:color w:val="000000"/>
          <w:kern w:val="28"/>
        </w:rPr>
        <w:t xml:space="preserve">ordinarily </w:t>
      </w:r>
      <w:r w:rsidR="00126FAB" w:rsidRPr="005F1F32">
        <w:rPr>
          <w:color w:val="000000"/>
          <w:kern w:val="28"/>
        </w:rPr>
        <w:t xml:space="preserve">take place </w:t>
      </w:r>
      <w:r w:rsidR="00C969A5">
        <w:rPr>
          <w:color w:val="000000"/>
          <w:kern w:val="28"/>
        </w:rPr>
        <w:t xml:space="preserve">in the late stages of a deployment, </w:t>
      </w:r>
      <w:r w:rsidR="00126FAB" w:rsidRPr="005F1F32">
        <w:rPr>
          <w:color w:val="000000"/>
          <w:kern w:val="28"/>
        </w:rPr>
        <w:t xml:space="preserve">after the </w:t>
      </w:r>
      <w:r w:rsidR="0010528D" w:rsidRPr="005F1F32">
        <w:t>wireless licensee</w:t>
      </w:r>
      <w:r w:rsidR="00126FAB" w:rsidRPr="005F1F32">
        <w:t xml:space="preserve"> has </w:t>
      </w:r>
      <w:r w:rsidR="0010528D" w:rsidRPr="005F1F32">
        <w:t xml:space="preserve">completed </w:t>
      </w:r>
      <w:r w:rsidR="00C969A5">
        <w:t xml:space="preserve">construction of </w:t>
      </w:r>
      <w:r w:rsidR="00AA3A05" w:rsidRPr="005F1F32">
        <w:t xml:space="preserve">physical </w:t>
      </w:r>
      <w:r w:rsidR="00143D7D" w:rsidRPr="005F1F32">
        <w:t xml:space="preserve">network </w:t>
      </w:r>
      <w:r w:rsidR="000D1E68">
        <w:t xml:space="preserve">infrastructure </w:t>
      </w:r>
      <w:r w:rsidR="00143D7D" w:rsidRPr="005C30B3">
        <w:t>that</w:t>
      </w:r>
      <w:r w:rsidR="00143D7D" w:rsidRPr="005F1F32">
        <w:t xml:space="preserve"> will provide</w:t>
      </w:r>
      <w:r w:rsidR="00222D26" w:rsidRPr="005F1F32">
        <w:t xml:space="preserve"> commercial </w:t>
      </w:r>
      <w:r w:rsidR="001F7542" w:rsidRPr="005F1F32">
        <w:t xml:space="preserve">service </w:t>
      </w:r>
      <w:r w:rsidR="006F7E48" w:rsidRPr="005F1F32">
        <w:t>in the area</w:t>
      </w:r>
      <w:r w:rsidR="00CE3C37">
        <w:t>.</w:t>
      </w:r>
      <w:r w:rsidR="00256D89">
        <w:t xml:space="preserve"> </w:t>
      </w:r>
      <w:r w:rsidR="00CE3C37">
        <w:t xml:space="preserve"> </w:t>
      </w:r>
      <w:r w:rsidR="007F4663">
        <w:t>That is</w:t>
      </w:r>
      <w:r w:rsidR="0063559A">
        <w:t>, t</w:t>
      </w:r>
      <w:r w:rsidR="00FE6D44">
        <w:t>hey</w:t>
      </w:r>
      <w:r w:rsidR="00195E19" w:rsidRPr="00195E19">
        <w:t xml:space="preserve"> are conducted after a cell site has been fully constructed, with all base station equipment, antennas, feed systems, and other hardware installed, and with all power systems and </w:t>
      </w:r>
      <w:r w:rsidR="000D1E68">
        <w:t>backhaul</w:t>
      </w:r>
      <w:r w:rsidR="00195E19" w:rsidRPr="00195E19">
        <w:t xml:space="preserve"> connectivity installed and operational.</w:t>
      </w:r>
      <w:r w:rsidR="00195E19">
        <w:t xml:space="preserve">  </w:t>
      </w:r>
      <w:r w:rsidR="00953634" w:rsidRPr="00953634">
        <w:t xml:space="preserve">This testing encompasses </w:t>
      </w:r>
      <w:r w:rsidR="006154D0">
        <w:t>start-up</w:t>
      </w:r>
      <w:r w:rsidR="00953634" w:rsidRPr="00953634">
        <w:t xml:space="preserve"> procedures and system checks when the system is first powered up, a series of functionality test</w:t>
      </w:r>
      <w:r w:rsidR="006154D0">
        <w:t>s</w:t>
      </w:r>
      <w:r w:rsidR="00B15274">
        <w:t>,</w:t>
      </w:r>
      <w:r w:rsidR="006154D0">
        <w:t xml:space="preserve"> and over-the-air field tests, such as</w:t>
      </w:r>
      <w:r w:rsidR="00953634" w:rsidRPr="00953634">
        <w:t xml:space="preserve"> establish</w:t>
      </w:r>
      <w:r w:rsidR="006154D0">
        <w:t>ing mobile calls, validating</w:t>
      </w:r>
      <w:r w:rsidR="00953634" w:rsidRPr="00953634">
        <w:t xml:space="preserve"> coverage</w:t>
      </w:r>
      <w:r w:rsidR="00942CA2">
        <w:t>,</w:t>
      </w:r>
      <w:r w:rsidR="00953634" w:rsidRPr="00953634">
        <w:t xml:space="preserve"> and confirm</w:t>
      </w:r>
      <w:r w:rsidR="006154D0">
        <w:t>ing</w:t>
      </w:r>
      <w:r w:rsidR="00953634" w:rsidRPr="00953634">
        <w:t xml:space="preserve"> handover between sectors</w:t>
      </w:r>
      <w:r w:rsidR="00953634">
        <w:t xml:space="preserve">.  </w:t>
      </w:r>
      <w:r w:rsidR="00D3693A">
        <w:t xml:space="preserve">Site commissioning </w:t>
      </w:r>
      <w:r w:rsidR="00886697">
        <w:t xml:space="preserve">tests </w:t>
      </w:r>
      <w:r w:rsidR="00195E19">
        <w:t xml:space="preserve">are used to </w:t>
      </w:r>
      <w:r w:rsidR="00683B0F">
        <w:t>confirm</w:t>
      </w:r>
      <w:r w:rsidR="00683B0F" w:rsidRPr="00281E16">
        <w:t xml:space="preserve"> </w:t>
      </w:r>
      <w:r w:rsidR="00886697" w:rsidRPr="00281E16">
        <w:t xml:space="preserve">that </w:t>
      </w:r>
      <w:r w:rsidR="00195E19">
        <w:t xml:space="preserve">all of </w:t>
      </w:r>
      <w:r w:rsidR="006F7E48">
        <w:t xml:space="preserve">the </w:t>
      </w:r>
      <w:r w:rsidR="00886697" w:rsidRPr="00281E16">
        <w:t>site infrastructure is working properly</w:t>
      </w:r>
      <w:r w:rsidR="006F7E48">
        <w:t xml:space="preserve"> and </w:t>
      </w:r>
      <w:r w:rsidR="00886697" w:rsidRPr="00281E16">
        <w:t xml:space="preserve">is integrated into the licensee’s </w:t>
      </w:r>
      <w:r w:rsidR="00886697">
        <w:t>network</w:t>
      </w:r>
      <w:r w:rsidR="00886697" w:rsidRPr="00281E16">
        <w:t xml:space="preserve">, and </w:t>
      </w:r>
      <w:r w:rsidR="00AF3790">
        <w:t>to</w:t>
      </w:r>
      <w:r w:rsidR="00047980">
        <w:t xml:space="preserve"> </w:t>
      </w:r>
      <w:r w:rsidR="00886697">
        <w:t>enable the</w:t>
      </w:r>
      <w:r w:rsidR="00886697" w:rsidRPr="00281E16">
        <w:t xml:space="preserve"> licensee </w:t>
      </w:r>
      <w:r w:rsidR="00886697">
        <w:t xml:space="preserve">to </w:t>
      </w:r>
      <w:r w:rsidR="00886697" w:rsidRPr="00281E16">
        <w:t>verify the site’s coverage through direct measurements.</w:t>
      </w:r>
      <w:r w:rsidR="008B0FD7">
        <w:t xml:space="preserve">  </w:t>
      </w:r>
      <w:r w:rsidR="001C4D39">
        <w:t xml:space="preserve">To ensure the accuracy of this </w:t>
      </w:r>
      <w:r w:rsidR="0063559A">
        <w:t xml:space="preserve">site commissioning </w:t>
      </w:r>
      <w:r w:rsidR="001C4D39">
        <w:t xml:space="preserve">testing, </w:t>
      </w:r>
      <w:r w:rsidR="005062C5">
        <w:t xml:space="preserve">a </w:t>
      </w:r>
      <w:r w:rsidR="001C4D39">
        <w:t>licensee</w:t>
      </w:r>
      <w:r w:rsidR="00FF0F2B">
        <w:t xml:space="preserve"> </w:t>
      </w:r>
      <w:r w:rsidR="00886697">
        <w:t xml:space="preserve">will require </w:t>
      </w:r>
      <w:r w:rsidR="0010528D" w:rsidRPr="00281E16">
        <w:t xml:space="preserve">access to </w:t>
      </w:r>
      <w:r w:rsidR="00467F37">
        <w:t>its</w:t>
      </w:r>
      <w:r w:rsidR="0010528D" w:rsidRPr="00281E16">
        <w:t xml:space="preserve"> 600 MHz </w:t>
      </w:r>
      <w:r w:rsidR="00F12103">
        <w:t xml:space="preserve">Band </w:t>
      </w:r>
      <w:r w:rsidR="0010528D" w:rsidRPr="00281E16">
        <w:t>spectrum</w:t>
      </w:r>
      <w:r w:rsidR="007A0F00">
        <w:t xml:space="preserve"> </w:t>
      </w:r>
      <w:r w:rsidR="00EE2194">
        <w:t>in the area</w:t>
      </w:r>
      <w:r w:rsidR="00C969A5">
        <w:t xml:space="preserve"> </w:t>
      </w:r>
      <w:r w:rsidR="00994616" w:rsidRPr="00994616">
        <w:t xml:space="preserve">in which it is commencing operations </w:t>
      </w:r>
      <w:r w:rsidR="001C4D39">
        <w:t xml:space="preserve">so all of </w:t>
      </w:r>
      <w:r w:rsidR="00662FB6">
        <w:t>its</w:t>
      </w:r>
      <w:r w:rsidR="001C4D39">
        <w:t xml:space="preserve"> facilities can be tested under the real world conditions for which they were designed and in an environment that is</w:t>
      </w:r>
      <w:r w:rsidR="007A0F00">
        <w:rPr>
          <w:i/>
        </w:rPr>
        <w:t xml:space="preserve"> </w:t>
      </w:r>
      <w:r w:rsidR="007A0F00">
        <w:t>free from potential interference</w:t>
      </w:r>
      <w:r w:rsidR="00A07073">
        <w:t xml:space="preserve"> from others.</w:t>
      </w:r>
      <w:r w:rsidR="00467E7B">
        <w:rPr>
          <w:rStyle w:val="FootnoteReference"/>
          <w:szCs w:val="22"/>
        </w:rPr>
        <w:footnoteReference w:id="17"/>
      </w:r>
      <w:r w:rsidR="00F9786C">
        <w:rPr>
          <w:szCs w:val="22"/>
        </w:rPr>
        <w:t xml:space="preserve">  </w:t>
      </w:r>
      <w:r w:rsidR="008626E7">
        <w:rPr>
          <w:szCs w:val="22"/>
        </w:rPr>
        <w:t xml:space="preserve">Alternatively, should any testing </w:t>
      </w:r>
      <w:r w:rsidR="00AB0EF2">
        <w:rPr>
          <w:szCs w:val="22"/>
        </w:rPr>
        <w:t xml:space="preserve">by a wireless licensee </w:t>
      </w:r>
      <w:r w:rsidR="008626E7">
        <w:rPr>
          <w:szCs w:val="22"/>
        </w:rPr>
        <w:t xml:space="preserve">be deemed </w:t>
      </w:r>
      <w:r w:rsidR="00AB0EF2">
        <w:rPr>
          <w:szCs w:val="22"/>
        </w:rPr>
        <w:t xml:space="preserve">the </w:t>
      </w:r>
      <w:r w:rsidR="008626E7">
        <w:rPr>
          <w:szCs w:val="22"/>
        </w:rPr>
        <w:t xml:space="preserve">“commencement” of operations?  </w:t>
      </w:r>
      <w:r w:rsidR="00AB0EF2">
        <w:rPr>
          <w:szCs w:val="22"/>
        </w:rPr>
        <w:t xml:space="preserve">Is there a specific </w:t>
      </w:r>
      <w:r w:rsidR="008626E7">
        <w:rPr>
          <w:szCs w:val="22"/>
        </w:rPr>
        <w:t xml:space="preserve">stage of testing </w:t>
      </w:r>
      <w:r w:rsidR="0091328A">
        <w:rPr>
          <w:szCs w:val="22"/>
        </w:rPr>
        <w:t>other than</w:t>
      </w:r>
      <w:r w:rsidR="008626E7">
        <w:rPr>
          <w:szCs w:val="22"/>
        </w:rPr>
        <w:t xml:space="preserve"> </w:t>
      </w:r>
      <w:r w:rsidR="00AB0EF2">
        <w:rPr>
          <w:szCs w:val="22"/>
        </w:rPr>
        <w:t>site commissioning tests that would be an appropriate benchmark?</w:t>
      </w:r>
      <w:r w:rsidR="008626E7">
        <w:rPr>
          <w:szCs w:val="22"/>
        </w:rPr>
        <w:t xml:space="preserve">  Commenters supporting </w:t>
      </w:r>
      <w:r w:rsidR="00AB0EF2">
        <w:rPr>
          <w:szCs w:val="22"/>
        </w:rPr>
        <w:t xml:space="preserve">one of these alternatives to our proposal above </w:t>
      </w:r>
      <w:r w:rsidR="008626E7">
        <w:rPr>
          <w:szCs w:val="22"/>
        </w:rPr>
        <w:t xml:space="preserve">should explain how it meets </w:t>
      </w:r>
      <w:r w:rsidR="00875329">
        <w:rPr>
          <w:szCs w:val="22"/>
        </w:rPr>
        <w:t>the</w:t>
      </w:r>
      <w:r w:rsidR="008626E7" w:rsidRPr="007F4663">
        <w:t xml:space="preserve"> objectives</w:t>
      </w:r>
      <w:r w:rsidR="005C6DF8" w:rsidRPr="005C6DF8">
        <w:t xml:space="preserve"> </w:t>
      </w:r>
      <w:r w:rsidR="005C6DF8">
        <w:t xml:space="preserve">set forth in the </w:t>
      </w:r>
      <w:r w:rsidR="005C6DF8">
        <w:rPr>
          <w:i/>
        </w:rPr>
        <w:t>Incentive Auction Report and Order</w:t>
      </w:r>
      <w:r w:rsidR="008626E7" w:rsidRPr="007F4663">
        <w:t xml:space="preserve"> regarding an orderly transition process for existing secondary and unlicensed users in the 600 MHz Band</w:t>
      </w:r>
      <w:r w:rsidR="008626E7">
        <w:t>.</w:t>
      </w:r>
      <w:r w:rsidR="00AB0EF2" w:rsidRPr="00B15274">
        <w:rPr>
          <w:rStyle w:val="FootnoteReference"/>
          <w:szCs w:val="22"/>
        </w:rPr>
        <w:footnoteReference w:id="18"/>
      </w:r>
    </w:p>
    <w:p w14:paraId="59FABF69" w14:textId="24855345" w:rsidR="001B6030" w:rsidRPr="006F6F9D" w:rsidRDefault="007257D6" w:rsidP="00D147B8">
      <w:pPr>
        <w:pStyle w:val="Paranum"/>
      </w:pPr>
      <w:r w:rsidRPr="006F6F9D">
        <w:t>We</w:t>
      </w:r>
      <w:r>
        <w:t xml:space="preserve"> </w:t>
      </w:r>
      <w:r w:rsidR="00542F3D">
        <w:t>also</w:t>
      </w:r>
      <w:r w:rsidR="00542F3D" w:rsidRPr="006F6F9D">
        <w:t xml:space="preserve"> </w:t>
      </w:r>
      <w:r w:rsidRPr="006F6F9D">
        <w:t xml:space="preserve">propose that </w:t>
      </w:r>
      <w:r w:rsidR="007312E3" w:rsidRPr="006F6F9D">
        <w:t xml:space="preserve">a </w:t>
      </w:r>
      <w:r w:rsidR="007D1C57">
        <w:t xml:space="preserve">600 MHz Band </w:t>
      </w:r>
      <w:r w:rsidR="007312E3">
        <w:t xml:space="preserve">licensee’s </w:t>
      </w:r>
      <w:r w:rsidR="0081118A">
        <w:t>notification</w:t>
      </w:r>
      <w:r>
        <w:t xml:space="preserve"> </w:t>
      </w:r>
      <w:r w:rsidR="00C02B86">
        <w:t xml:space="preserve">would cover </w:t>
      </w:r>
      <w:r w:rsidR="007312E3">
        <w:t xml:space="preserve">the </w:t>
      </w:r>
      <w:r w:rsidR="00C02B86">
        <w:t xml:space="preserve">area served by the </w:t>
      </w:r>
      <w:r w:rsidR="007312E3">
        <w:t xml:space="preserve">licensee’s </w:t>
      </w:r>
      <w:r w:rsidR="00DF387F">
        <w:t>commercial</w:t>
      </w:r>
      <w:r w:rsidR="00E04737">
        <w:t xml:space="preserve"> service</w:t>
      </w:r>
      <w:r w:rsidR="007312E3">
        <w:t xml:space="preserve"> </w:t>
      </w:r>
      <w:r>
        <w:t xml:space="preserve">infrastructure </w:t>
      </w:r>
      <w:r w:rsidR="007312E3">
        <w:t>deployment</w:t>
      </w:r>
      <w:r>
        <w:t>.</w:t>
      </w:r>
      <w:r w:rsidR="00DE40FB">
        <w:t xml:space="preserve">  </w:t>
      </w:r>
      <w:r w:rsidR="000E2940">
        <w:t xml:space="preserve">Under this approach, </w:t>
      </w:r>
      <w:r w:rsidR="007312E3">
        <w:t xml:space="preserve">the </w:t>
      </w:r>
      <w:r w:rsidR="000D19D9">
        <w:t xml:space="preserve">area </w:t>
      </w:r>
      <w:r w:rsidR="0081118A">
        <w:t xml:space="preserve">subject to notification </w:t>
      </w:r>
      <w:r w:rsidR="007312E3">
        <w:t xml:space="preserve">might </w:t>
      </w:r>
      <w:r w:rsidR="000D19D9">
        <w:t>include an entire metropolitan area</w:t>
      </w:r>
      <w:r w:rsidR="007312E3">
        <w:t>,</w:t>
      </w:r>
      <w:r w:rsidR="000D19D9">
        <w:t xml:space="preserve"> in the case of the initial launch for a market</w:t>
      </w:r>
      <w:r w:rsidR="007312E3">
        <w:t xml:space="preserve">, </w:t>
      </w:r>
      <w:r w:rsidR="000D19D9">
        <w:t>or m</w:t>
      </w:r>
      <w:r w:rsidR="007312E3">
        <w:t xml:space="preserve">ight be a smaller </w:t>
      </w:r>
      <w:r w:rsidR="000D19D9">
        <w:t xml:space="preserve">area, such as a highway corridor, </w:t>
      </w:r>
      <w:r w:rsidR="007312E3">
        <w:t xml:space="preserve">where a licensee is deploying </w:t>
      </w:r>
      <w:r w:rsidR="007F4663">
        <w:t xml:space="preserve">commercial </w:t>
      </w:r>
      <w:r w:rsidR="000D19D9">
        <w:t>service in phases.</w:t>
      </w:r>
      <w:r w:rsidR="007312E3">
        <w:t xml:space="preserve">  </w:t>
      </w:r>
      <w:r w:rsidR="00C02B86">
        <w:t>T</w:t>
      </w:r>
      <w:r w:rsidR="000E2940">
        <w:t xml:space="preserve">he </w:t>
      </w:r>
      <w:r w:rsidR="00646A3E">
        <w:t xml:space="preserve">600 MHz Band </w:t>
      </w:r>
      <w:r w:rsidR="000E2940">
        <w:t>licensee</w:t>
      </w:r>
      <w:r w:rsidR="0081118A">
        <w:t xml:space="preserve"> </w:t>
      </w:r>
      <w:r w:rsidR="000E2940">
        <w:t>would be authorized to</w:t>
      </w:r>
      <w:r w:rsidR="007D1C57">
        <w:t xml:space="preserve"> conduct site commissioning </w:t>
      </w:r>
      <w:r w:rsidR="00677D33">
        <w:t xml:space="preserve">tests </w:t>
      </w:r>
      <w:r w:rsidR="007D1C57">
        <w:t>on all cell sites within th</w:t>
      </w:r>
      <w:r w:rsidR="000E2940">
        <w:t xml:space="preserve">e </w:t>
      </w:r>
      <w:r w:rsidR="007F4663">
        <w:t xml:space="preserve">identified </w:t>
      </w:r>
      <w:r w:rsidR="000E2940">
        <w:t>area</w:t>
      </w:r>
      <w:r w:rsidR="00D3693A">
        <w:t>, starting on the date provided in the notice</w:t>
      </w:r>
      <w:r w:rsidR="000E2940">
        <w:t>.</w:t>
      </w:r>
      <w:r w:rsidR="00F64CD3">
        <w:t xml:space="preserve">  </w:t>
      </w:r>
      <w:r w:rsidR="00F56016" w:rsidRPr="00F56016">
        <w:t>Alternatively, should the area subject to a wireless licensee’s notification cover larger areas to encompass the licensee’s phased deployment of infrastructure? Commenters proposing such alternatives should explain their reasoning and how their proposals meet our transition</w:t>
      </w:r>
      <w:r w:rsidR="00F56016">
        <w:t xml:space="preserve"> objectives.</w:t>
      </w:r>
    </w:p>
    <w:p w14:paraId="038DF8B0" w14:textId="7B4B90CC" w:rsidR="00B15274" w:rsidRPr="005C30B3" w:rsidRDefault="00E45AB3" w:rsidP="00D147B8">
      <w:pPr>
        <w:pStyle w:val="Paranum"/>
      </w:pPr>
      <w:r w:rsidRPr="006F6F9D">
        <w:t xml:space="preserve">Under </w:t>
      </w:r>
      <w:r w:rsidR="00610683">
        <w:t>our</w:t>
      </w:r>
      <w:r w:rsidRPr="006F6F9D">
        <w:t xml:space="preserve"> proposed definition of “commence operations,” </w:t>
      </w:r>
      <w:r w:rsidR="00886697" w:rsidRPr="006F6F9D">
        <w:t>secondary and unlicensed users</w:t>
      </w:r>
      <w:r w:rsidR="001B6030" w:rsidRPr="007F4663">
        <w:t xml:space="preserve"> </w:t>
      </w:r>
      <w:r w:rsidR="00F35BA1" w:rsidRPr="007F4663">
        <w:t>would</w:t>
      </w:r>
      <w:r w:rsidR="00C969A5" w:rsidRPr="007F4663">
        <w:t xml:space="preserve"> </w:t>
      </w:r>
      <w:r w:rsidR="001B6030" w:rsidRPr="007F4663">
        <w:t xml:space="preserve">continue to operate as set forth in the </w:t>
      </w:r>
      <w:r w:rsidR="001B6030" w:rsidRPr="007F4663">
        <w:rPr>
          <w:i/>
        </w:rPr>
        <w:t>Incentive Auction Report and Order</w:t>
      </w:r>
      <w:r w:rsidRPr="007F4663">
        <w:t xml:space="preserve"> until the </w:t>
      </w:r>
      <w:r w:rsidR="00377DA1" w:rsidRPr="00B15274">
        <w:t xml:space="preserve">time </w:t>
      </w:r>
      <w:r w:rsidRPr="007F4663">
        <w:t>prescribed</w:t>
      </w:r>
      <w:r w:rsidRPr="00B15274">
        <w:t xml:space="preserve"> </w:t>
      </w:r>
      <w:r w:rsidR="00377DA1" w:rsidRPr="00B15274">
        <w:t xml:space="preserve">by </w:t>
      </w:r>
      <w:r w:rsidR="00AD0CD2" w:rsidRPr="00B15274">
        <w:t>the</w:t>
      </w:r>
      <w:r w:rsidR="00AD0CD2" w:rsidRPr="007F4663">
        <w:t xml:space="preserve"> </w:t>
      </w:r>
      <w:r w:rsidRPr="007F4663">
        <w:t xml:space="preserve">notice from the 600 MHz </w:t>
      </w:r>
      <w:r w:rsidR="0030607E" w:rsidRPr="007F4663">
        <w:t xml:space="preserve">Band </w:t>
      </w:r>
      <w:r w:rsidR="009D609B" w:rsidRPr="007F4663">
        <w:t xml:space="preserve">wireless </w:t>
      </w:r>
      <w:r w:rsidRPr="007F4663">
        <w:t xml:space="preserve">licensee </w:t>
      </w:r>
      <w:r w:rsidR="00C969A5" w:rsidRPr="007F4663">
        <w:t xml:space="preserve">that </w:t>
      </w:r>
      <w:r w:rsidRPr="007F4663">
        <w:t>trigger</w:t>
      </w:r>
      <w:r w:rsidR="00C969A5" w:rsidRPr="007F4663">
        <w:t>s</w:t>
      </w:r>
      <w:r w:rsidRPr="007F4663">
        <w:t xml:space="preserve"> their obligation to vacate the affected </w:t>
      </w:r>
      <w:r w:rsidR="00923819" w:rsidRPr="007F4663">
        <w:t xml:space="preserve">area(s) of the licensed </w:t>
      </w:r>
      <w:r w:rsidRPr="007F4663">
        <w:t>spectrum</w:t>
      </w:r>
      <w:r w:rsidR="001B6030" w:rsidRPr="007F4663">
        <w:rPr>
          <w:i/>
        </w:rPr>
        <w:t>.</w:t>
      </w:r>
      <w:r w:rsidR="001B6030" w:rsidRPr="007F4663">
        <w:t xml:space="preserve">  </w:t>
      </w:r>
      <w:r w:rsidR="00923819" w:rsidRPr="007F4663">
        <w:t xml:space="preserve">We </w:t>
      </w:r>
      <w:r w:rsidR="00A119B7" w:rsidRPr="007F4663">
        <w:t>believe</w:t>
      </w:r>
      <w:r w:rsidR="00923819" w:rsidRPr="007F4663">
        <w:t xml:space="preserve"> t</w:t>
      </w:r>
      <w:r w:rsidRPr="007F4663">
        <w:t xml:space="preserve">his </w:t>
      </w:r>
      <w:r w:rsidR="000E77B1" w:rsidRPr="007F4663">
        <w:t xml:space="preserve">proposed </w:t>
      </w:r>
      <w:r w:rsidRPr="007F4663">
        <w:t xml:space="preserve">definition of “commence operations” best </w:t>
      </w:r>
      <w:r w:rsidR="00572890" w:rsidRPr="007F4663">
        <w:t>accomplishes</w:t>
      </w:r>
      <w:r w:rsidRPr="007F4663">
        <w:t xml:space="preserve"> </w:t>
      </w:r>
      <w:r w:rsidR="009001CC">
        <w:t>our</w:t>
      </w:r>
      <w:r w:rsidRPr="007F4663">
        <w:t xml:space="preserve"> </w:t>
      </w:r>
      <w:r w:rsidR="00AB0EF2">
        <w:t xml:space="preserve">transition </w:t>
      </w:r>
      <w:r w:rsidRPr="007F4663">
        <w:t>objective</w:t>
      </w:r>
      <w:r w:rsidR="00F35BA1" w:rsidRPr="007F4663">
        <w:t>s.</w:t>
      </w:r>
    </w:p>
    <w:p w14:paraId="788A2DBC" w14:textId="77777777" w:rsidR="00B15274" w:rsidRPr="005C30B3" w:rsidRDefault="00E45AB3" w:rsidP="00D147B8">
      <w:pPr>
        <w:pStyle w:val="Paranum"/>
      </w:pPr>
      <w:r w:rsidRPr="006F6F9D">
        <w:t xml:space="preserve">We seek comment on this proposed </w:t>
      </w:r>
      <w:r w:rsidR="00C969A5" w:rsidRPr="006F6F9D">
        <w:t xml:space="preserve">definition </w:t>
      </w:r>
      <w:r w:rsidR="00E97578" w:rsidRPr="007F4663">
        <w:t xml:space="preserve">of </w:t>
      </w:r>
      <w:r w:rsidRPr="007F4663">
        <w:t>“commence operations”</w:t>
      </w:r>
      <w:r w:rsidR="00F94B14" w:rsidRPr="007F4663">
        <w:t xml:space="preserve"> for the purpose of the transition rules for the 600 MHz Band</w:t>
      </w:r>
      <w:r w:rsidR="003C06F3">
        <w:t xml:space="preserve">, including our proposal for determining the area to be covered </w:t>
      </w:r>
      <w:r w:rsidR="00E8183F">
        <w:t>by the licensee’s</w:t>
      </w:r>
      <w:r w:rsidR="003C06F3">
        <w:t xml:space="preserve"> notification</w:t>
      </w:r>
      <w:r w:rsidR="00F94B14" w:rsidRPr="000D1E68">
        <w:t>.</w:t>
      </w:r>
      <w:r w:rsidRPr="007F4663">
        <w:t xml:space="preserve">  </w:t>
      </w:r>
      <w:r w:rsidR="00672844" w:rsidRPr="007F4663">
        <w:rPr>
          <w:lang w:val="x-none"/>
        </w:rPr>
        <w:t>Commenters should discuss and quantify the costs and benefits of this proposal</w:t>
      </w:r>
      <w:r w:rsidR="00377DA1" w:rsidRPr="00B15274">
        <w:t>,</w:t>
      </w:r>
      <w:r w:rsidR="00672844" w:rsidRPr="00B15274">
        <w:rPr>
          <w:lang w:val="x-none"/>
        </w:rPr>
        <w:t xml:space="preserve"> </w:t>
      </w:r>
      <w:r w:rsidR="005062C5">
        <w:t xml:space="preserve">as well as </w:t>
      </w:r>
      <w:r w:rsidR="007257D6">
        <w:t xml:space="preserve">any </w:t>
      </w:r>
      <w:r w:rsidR="00377DA1" w:rsidRPr="00B15274">
        <w:t>suggested clarifications or revisions to the definition,</w:t>
      </w:r>
      <w:r w:rsidR="00377DA1" w:rsidRPr="007F4663">
        <w:t xml:space="preserve"> </w:t>
      </w:r>
      <w:r w:rsidR="00AF263A" w:rsidRPr="007F4663">
        <w:rPr>
          <w:lang w:val="x-none"/>
        </w:rPr>
        <w:t xml:space="preserve">and any </w:t>
      </w:r>
      <w:r w:rsidR="00672844" w:rsidRPr="007F4663">
        <w:rPr>
          <w:lang w:val="x-none"/>
        </w:rPr>
        <w:t>proposed alternative approaches</w:t>
      </w:r>
      <w:r w:rsidR="00672844" w:rsidRPr="007F4663">
        <w:t xml:space="preserve">.  In advocating an alternative definition, commenters should </w:t>
      </w:r>
      <w:r w:rsidR="00130E09" w:rsidRPr="007F4663">
        <w:t xml:space="preserve">explain why </w:t>
      </w:r>
      <w:r w:rsidR="00672844" w:rsidRPr="007F4663">
        <w:t>the alternative proposal</w:t>
      </w:r>
      <w:r w:rsidR="00130E09" w:rsidRPr="007F4663">
        <w:t xml:space="preserve"> better serves the public interest and </w:t>
      </w:r>
      <w:r w:rsidR="00D350E2" w:rsidRPr="007F4663">
        <w:t xml:space="preserve">the Commission’s </w:t>
      </w:r>
      <w:r w:rsidR="00130E09" w:rsidRPr="007F4663">
        <w:t xml:space="preserve">policy goals than </w:t>
      </w:r>
      <w:r w:rsidR="00672844" w:rsidRPr="007F4663">
        <w:t>the definition being proposed.</w:t>
      </w:r>
    </w:p>
    <w:p w14:paraId="68096F2B" w14:textId="77777777" w:rsidR="00A65C02" w:rsidRDefault="00A65C02" w:rsidP="00B15274">
      <w:pPr>
        <w:pStyle w:val="FootnoteText"/>
        <w:jc w:val="center"/>
      </w:pPr>
      <w:r>
        <w:t>***</w:t>
      </w:r>
    </w:p>
    <w:p w14:paraId="4CFAB7C9" w14:textId="77777777" w:rsidR="00A5644D" w:rsidRDefault="00A65C02" w:rsidP="00D147B8">
      <w:pPr>
        <w:pStyle w:val="Paranum"/>
      </w:pPr>
      <w:r w:rsidRPr="006F6F9D">
        <w:t>Interested parties may file comments and reply comments on or before the dates indicated on the first page of this document.  When filing comments,</w:t>
      </w:r>
      <w:r w:rsidRPr="007F4663">
        <w:t xml:space="preserve"> please reference GN Docket No. 12-268.</w:t>
      </w:r>
      <w:r w:rsidRPr="00B15274">
        <w:rPr>
          <w:rStyle w:val="FootnoteReference"/>
          <w:szCs w:val="22"/>
        </w:rPr>
        <w:footnoteReference w:id="19"/>
      </w:r>
    </w:p>
    <w:p w14:paraId="49697AD4" w14:textId="77777777" w:rsidR="0018339B" w:rsidRDefault="009D609B" w:rsidP="005C30B3">
      <w:pPr>
        <w:pStyle w:val="Paranum"/>
      </w:pPr>
      <w:r>
        <w:t xml:space="preserve">This matter shall be treated as a “permit-but-disclose” proceeding in accordance with the </w:t>
      </w:r>
      <w:r>
        <w:rPr>
          <w:i/>
        </w:rPr>
        <w:t>ex parte</w:t>
      </w:r>
      <w:r>
        <w:t xml:space="preserve"> rules.</w:t>
      </w:r>
      <w:r>
        <w:rPr>
          <w:vertAlign w:val="superscript"/>
        </w:rPr>
        <w:footnoteReference w:id="20"/>
      </w:r>
      <w:r>
        <w:t xml:space="preserve">  Persons making oral </w:t>
      </w:r>
      <w:r>
        <w:rPr>
          <w:i/>
        </w:rPr>
        <w:t>ex parte</w:t>
      </w:r>
      <w:r>
        <w:t xml:space="preserve"> presentations are reminded that memoranda summarizing the presentations must contain summaries of the substance of the presentations and not merely a listing of the subjects discussed.  More than a one- or two-sentence description of the views and arguments presented generally is required.</w:t>
      </w:r>
      <w:r>
        <w:rPr>
          <w:vertAlign w:val="superscript"/>
        </w:rPr>
        <w:footnoteReference w:id="21"/>
      </w:r>
      <w:r>
        <w:t xml:space="preserve">  Other requirements pertaining to oral and written presentations are set forth in section 1.1206(b) of the rules.</w:t>
      </w:r>
      <w:r>
        <w:rPr>
          <w:vertAlign w:val="superscript"/>
        </w:rPr>
        <w:footnoteReference w:id="22"/>
      </w:r>
    </w:p>
    <w:p w14:paraId="6E99E490" w14:textId="77F8177F" w:rsidR="0018339B" w:rsidRDefault="00A65C02" w:rsidP="005C30B3">
      <w:pPr>
        <w:pStyle w:val="Paranum"/>
      </w:pPr>
      <w:r>
        <w:t>Comments may be filed using the Commission’s Electronic Comment Filing System (ECFS) or by filing paper copies.</w:t>
      </w:r>
      <w:r>
        <w:rPr>
          <w:vertAlign w:val="superscript"/>
        </w:rPr>
        <w:footnoteReference w:id="23"/>
      </w:r>
      <w:r>
        <w:rPr>
          <w:vertAlign w:val="superscript"/>
        </w:rPr>
        <w:t xml:space="preserve"> </w:t>
      </w:r>
      <w:r>
        <w:t xml:space="preserve"> Comments filed through the ECFS can be sent as an electronic file via the Internet to http://www.fcc.gov/cgb/ecfs/.  Generally, only one copy of an electronic submission must be filed</w:t>
      </w:r>
      <w:r w:rsidR="00B70E49">
        <w:t xml:space="preserve"> and should include the</w:t>
      </w:r>
      <w:r>
        <w:t xml:space="preserve"> docket or rulemaking number referenced in the caption.  In completing the transmittal screen, commenters should include their full name, U.S. Postal Service mailing address, and the applica</w:t>
      </w:r>
      <w:r w:rsidR="009123BD">
        <w:t>ble docket or rulemaking number</w:t>
      </w:r>
      <w:r>
        <w:t>.  Parties may also submit an electronic comment by Internet e-mail.  To get filing instructions for e-mail comments, commenters should send an e-mail to ecfs@fcc.gov, and should include the following words in the body of the message, “get form.”  A sample form and directions will be sent in reply.  Parties who choose to file by paper must file an original and four copies of each filing.</w:t>
      </w:r>
    </w:p>
    <w:p w14:paraId="20E26871" w14:textId="03AA4FC9" w:rsidR="0018339B" w:rsidRDefault="00A65C02" w:rsidP="005C30B3">
      <w:pPr>
        <w:pStyle w:val="Paranum"/>
      </w:pPr>
      <w:r>
        <w:t>Filings can be sent by hand or messenger delivery, by commercial overnight courier, or by first-class or overnight U.S. Postal Service mail (although we continue to experience delays in receiving U.S. Postal Service mail).  Parties are strongly encouraged to file comments electronically using the Commission’s ECFS.  All filings must be addressed to the Commission’s Secretary, Office of the Secretary, Federal Communications Commission, 445 12t</w:t>
      </w:r>
      <w:r w:rsidR="00D74329">
        <w:t>h Street, S.W., Washington, DC</w:t>
      </w:r>
      <w:r>
        <w:t xml:space="preserve"> </w:t>
      </w:r>
      <w:r w:rsidR="00D74329">
        <w:t xml:space="preserve"> </w:t>
      </w:r>
      <w:r>
        <w:t>20554.</w:t>
      </w:r>
    </w:p>
    <w:p w14:paraId="28CD81E8" w14:textId="77777777" w:rsidR="0018339B" w:rsidRPr="005C30B3" w:rsidRDefault="00A65C02" w:rsidP="005C30B3">
      <w:pPr>
        <w:pStyle w:val="Paranum"/>
        <w:numPr>
          <w:ilvl w:val="0"/>
          <w:numId w:val="20"/>
        </w:numPr>
      </w:pPr>
      <w:r>
        <w:t>Effective December 28, 2009, all hand-delivered or messenger-delivered paper filings for the Commission’s Secretary must be delivered to FCC Headquarters at 445 12</w:t>
      </w:r>
      <w:r>
        <w:rPr>
          <w:vertAlign w:val="superscript"/>
        </w:rPr>
        <w:t>th</w:t>
      </w:r>
      <w:r>
        <w:t xml:space="preserve"> St., SW, Room TW-A325, Washington, DC 20554.  All hand deliveries must be held together with rubber bands or fasteners.  Any envelopes must be disposed of </w:t>
      </w:r>
      <w:r w:rsidRPr="00D147B8">
        <w:t>before</w:t>
      </w:r>
      <w:r>
        <w:t xml:space="preserve"> entering the building.  The filing hours at this location are 8:00 a.m. to 7:00 p.m.</w:t>
      </w:r>
    </w:p>
    <w:p w14:paraId="6EFD665D" w14:textId="77777777" w:rsidR="00A65C02" w:rsidRDefault="00A65C02" w:rsidP="005C30B3">
      <w:pPr>
        <w:pStyle w:val="Paranum"/>
        <w:numPr>
          <w:ilvl w:val="0"/>
          <w:numId w:val="20"/>
        </w:numPr>
      </w:pPr>
      <w:r>
        <w:t>Commercial overnight mail (other than U.S. Postal Service Express Mail and Priority Mail) must be sent to 9300 East Hampton Drive, Capitol Heights, MD  20743.</w:t>
      </w:r>
    </w:p>
    <w:p w14:paraId="0A4CE9C3" w14:textId="77777777" w:rsidR="00A65C02" w:rsidRDefault="00A65C02" w:rsidP="005C30B3">
      <w:pPr>
        <w:pStyle w:val="Paranum"/>
        <w:numPr>
          <w:ilvl w:val="0"/>
          <w:numId w:val="20"/>
        </w:numPr>
      </w:pPr>
      <w:r>
        <w:t>U.S. Postal Service first-class, Express, and Priority mail must be addressed to 445 12</w:t>
      </w:r>
      <w:r>
        <w:rPr>
          <w:vertAlign w:val="superscript"/>
        </w:rPr>
        <w:t>th</w:t>
      </w:r>
      <w:r>
        <w:t xml:space="preserve"> Street, SW, Washington DC  20554.</w:t>
      </w:r>
    </w:p>
    <w:p w14:paraId="43B08793" w14:textId="69EEB18A" w:rsidR="00A65C02" w:rsidRDefault="00A65C02" w:rsidP="00CA7A22">
      <w:pPr>
        <w:pStyle w:val="Paranum"/>
      </w:pPr>
      <w:r>
        <w:t>Documents in GN Docket No. 12-268 will be available for public inspection and copying during business hours at the FCC Reference Information Center, Portals II, 445 12</w:t>
      </w:r>
      <w:r w:rsidRPr="00AA4E50">
        <w:t>th</w:t>
      </w:r>
      <w:r>
        <w:t xml:space="preserve"> St. S.W., Room CY-A257, Washington, DC 20554</w:t>
      </w:r>
      <w:r w:rsidR="00F9786C">
        <w:t xml:space="preserve">, </w:t>
      </w:r>
      <w:r w:rsidR="00CA7A22">
        <w:t xml:space="preserve">or call the </w:t>
      </w:r>
      <w:r w:rsidR="00CA7A22" w:rsidRPr="00CA7A22">
        <w:t xml:space="preserve">Reference Information Center at </w:t>
      </w:r>
      <w:r w:rsidR="00F9786C" w:rsidRPr="00F9786C">
        <w:t>202</w:t>
      </w:r>
      <w:r w:rsidR="00F9786C">
        <w:t>-</w:t>
      </w:r>
      <w:r w:rsidR="00F9786C" w:rsidRPr="00F9786C">
        <w:t>418-0270</w:t>
      </w:r>
      <w:r>
        <w:t xml:space="preserve">.  </w:t>
      </w:r>
    </w:p>
    <w:p w14:paraId="664DF2E8" w14:textId="77777777" w:rsidR="00A65C02" w:rsidRDefault="00A65C02" w:rsidP="005C30B3">
      <w:pPr>
        <w:pStyle w:val="Paranum"/>
      </w:pPr>
      <w:r>
        <w:t>To request materials in accessible formats for people with disabilities (Braille, large print, electronic files, audio format), send an e-mail to fcc504@fcc.gov or call the Consumer &amp; Governmental Affairs Bureau at 202-418-0530 (voice), 202-418-0432 (tty).</w:t>
      </w:r>
    </w:p>
    <w:p w14:paraId="576CACAF" w14:textId="77777777" w:rsidR="00A65C02" w:rsidRDefault="00A65C02" w:rsidP="005C30B3">
      <w:pPr>
        <w:pStyle w:val="Paranum"/>
      </w:pPr>
      <w:r>
        <w:t xml:space="preserve">For </w:t>
      </w:r>
      <w:r w:rsidRPr="008D4177">
        <w:t xml:space="preserve">further </w:t>
      </w:r>
      <w:r w:rsidRPr="00003158">
        <w:t xml:space="preserve">information, contact </w:t>
      </w:r>
      <w:r w:rsidR="00F90712">
        <w:t>Simon Banyai</w:t>
      </w:r>
      <w:r w:rsidR="00B70E49" w:rsidRPr="00B70E49">
        <w:t xml:space="preserve"> </w:t>
      </w:r>
      <w:r w:rsidR="00B70E49">
        <w:t>of the Wireless Telecommunications Bureau, Broadband Division,</w:t>
      </w:r>
      <w:r w:rsidR="00B70E49" w:rsidDel="00F90712">
        <w:t xml:space="preserve"> </w:t>
      </w:r>
      <w:r w:rsidRPr="00003158">
        <w:t>at 202-418-</w:t>
      </w:r>
      <w:r w:rsidR="00F90712">
        <w:t>1443</w:t>
      </w:r>
      <w:r w:rsidRPr="00003158">
        <w:t xml:space="preserve">, or via e-mail at </w:t>
      </w:r>
      <w:r w:rsidR="00F90712">
        <w:t>simon.banyai@fcc.gov</w:t>
      </w:r>
      <w:r w:rsidRPr="00003158">
        <w:t>.</w:t>
      </w:r>
    </w:p>
    <w:p w14:paraId="7F299FD2" w14:textId="66910E55" w:rsidR="00D74329" w:rsidRDefault="00130929" w:rsidP="005C30B3">
      <w:pPr>
        <w:pStyle w:val="Paranum"/>
      </w:pPr>
      <w:r>
        <w:t xml:space="preserve">Action by the Commission </w:t>
      </w:r>
      <w:r w:rsidR="00C51F48">
        <w:t>March</w:t>
      </w:r>
      <w:r>
        <w:t xml:space="preserve"> </w:t>
      </w:r>
      <w:r w:rsidR="00C51F48">
        <w:t>26</w:t>
      </w:r>
      <w:r>
        <w:t>, 2015: By Chairman Wheeler, and Commissioners Clyburn, Rosenworcel, Pai and O’Rielly.</w:t>
      </w:r>
    </w:p>
    <w:p w14:paraId="7AE52ADB" w14:textId="77777777" w:rsidR="001A169B" w:rsidRPr="006F6F9D" w:rsidRDefault="00614DD1" w:rsidP="004B4E87">
      <w:pPr>
        <w:tabs>
          <w:tab w:val="left" w:pos="6960"/>
        </w:tabs>
        <w:spacing w:after="120"/>
        <w:jc w:val="center"/>
      </w:pPr>
      <w:r w:rsidRPr="006F6F9D">
        <w:rPr>
          <w:b/>
        </w:rPr>
        <w:t>-FCC-</w:t>
      </w:r>
    </w:p>
    <w:sectPr w:rsidR="001A169B" w:rsidRPr="006F6F9D" w:rsidSect="00D147B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C45EB7" w14:textId="77777777" w:rsidR="00E839FD" w:rsidRDefault="00E839FD">
      <w:r>
        <w:separator/>
      </w:r>
    </w:p>
  </w:endnote>
  <w:endnote w:type="continuationSeparator" w:id="0">
    <w:p w14:paraId="761107C1" w14:textId="77777777" w:rsidR="00E839FD" w:rsidRDefault="00E839FD">
      <w:r>
        <w:continuationSeparator/>
      </w:r>
    </w:p>
  </w:endnote>
  <w:endnote w:type="continuationNotice" w:id="1">
    <w:p w14:paraId="31440BD5" w14:textId="77777777" w:rsidR="00E839FD" w:rsidRDefault="00E839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AB7A7" w14:textId="77777777" w:rsidR="009B5E01" w:rsidRDefault="009B5E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9F4280" w14:textId="059A28E2" w:rsidR="0046719C" w:rsidRPr="00D147B8" w:rsidRDefault="0046719C" w:rsidP="00D147B8">
    <w:pPr>
      <w:pStyle w:val="Footer"/>
      <w:jc w:val="center"/>
      <w:rPr>
        <w:sz w:val="20"/>
      </w:rPr>
    </w:pPr>
    <w:r w:rsidRPr="006F6F9D">
      <w:rPr>
        <w:sz w:val="20"/>
      </w:rPr>
      <w:fldChar w:fldCharType="begin"/>
    </w:r>
    <w:r w:rsidRPr="00A02D3B">
      <w:rPr>
        <w:sz w:val="20"/>
      </w:rPr>
      <w:instrText xml:space="preserve"> PAGE   \* MERGEFORMAT </w:instrText>
    </w:r>
    <w:r w:rsidRPr="006F6F9D">
      <w:rPr>
        <w:sz w:val="20"/>
      </w:rPr>
      <w:fldChar w:fldCharType="separate"/>
    </w:r>
    <w:r w:rsidR="00AD021A">
      <w:rPr>
        <w:noProof/>
        <w:sz w:val="20"/>
      </w:rPr>
      <w:t>6</w:t>
    </w:r>
    <w:r w:rsidRPr="006F6F9D">
      <w:rPr>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122D6B" w14:textId="77777777" w:rsidR="009B5E01" w:rsidRDefault="009B5E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BF3424" w14:textId="77777777" w:rsidR="00E839FD" w:rsidRDefault="00E839FD">
      <w:r>
        <w:separator/>
      </w:r>
    </w:p>
  </w:footnote>
  <w:footnote w:type="continuationSeparator" w:id="0">
    <w:p w14:paraId="4A9054C4" w14:textId="77777777" w:rsidR="00E839FD" w:rsidRDefault="00E839FD">
      <w:r>
        <w:continuationSeparator/>
      </w:r>
    </w:p>
  </w:footnote>
  <w:footnote w:type="continuationNotice" w:id="1">
    <w:p w14:paraId="01F7CEC5" w14:textId="77777777" w:rsidR="00E839FD" w:rsidRDefault="00E839FD"/>
  </w:footnote>
  <w:footnote w:id="2">
    <w:p w14:paraId="46D6079C" w14:textId="77777777" w:rsidR="0046719C" w:rsidRPr="008B68A2" w:rsidRDefault="0046719C" w:rsidP="00FF52B6">
      <w:pPr>
        <w:pStyle w:val="FootnoteText"/>
        <w:spacing w:before="120"/>
      </w:pPr>
      <w:r w:rsidRPr="008B68A2">
        <w:rPr>
          <w:rStyle w:val="FootnoteReference"/>
          <w:sz w:val="20"/>
        </w:rPr>
        <w:footnoteRef/>
      </w:r>
      <w:r w:rsidRPr="008B68A2">
        <w:t xml:space="preserve"> </w:t>
      </w:r>
      <w:r w:rsidRPr="008B68A2">
        <w:rPr>
          <w:i/>
        </w:rPr>
        <w:t xml:space="preserve">See </w:t>
      </w:r>
      <w:r w:rsidRPr="008B68A2">
        <w:rPr>
          <w:spacing w:val="-2"/>
        </w:rPr>
        <w:t xml:space="preserve">Expanding the Economic and Innovation Opportunities of Spectrum Through Incentive Auctions, GN Docket No. 12-268, </w:t>
      </w:r>
      <w:r w:rsidRPr="008B68A2">
        <w:rPr>
          <w:i/>
          <w:spacing w:val="-2"/>
        </w:rPr>
        <w:t>Report and Order</w:t>
      </w:r>
      <w:r w:rsidRPr="008B68A2">
        <w:rPr>
          <w:spacing w:val="-2"/>
        </w:rPr>
        <w:t>, 29 FCC Rcd 6567 (2014) (</w:t>
      </w:r>
      <w:r w:rsidRPr="008B68A2">
        <w:rPr>
          <w:i/>
          <w:spacing w:val="-2"/>
        </w:rPr>
        <w:t>Incentive Auction Report and Order</w:t>
      </w:r>
      <w:r w:rsidRPr="008B68A2">
        <w:rPr>
          <w:spacing w:val="-2"/>
        </w:rPr>
        <w:t>).</w:t>
      </w:r>
    </w:p>
  </w:footnote>
  <w:footnote w:id="3">
    <w:p w14:paraId="1BEEC79D" w14:textId="77777777" w:rsidR="0046719C" w:rsidRPr="008B68A2" w:rsidRDefault="0046719C" w:rsidP="006B6DE2">
      <w:pPr>
        <w:pStyle w:val="FootnoteText"/>
        <w:spacing w:before="120"/>
      </w:pPr>
      <w:r w:rsidRPr="008B68A2">
        <w:rPr>
          <w:rStyle w:val="FootnoteReference"/>
          <w:sz w:val="20"/>
        </w:rPr>
        <w:footnoteRef/>
      </w:r>
      <w:r w:rsidRPr="008B68A2">
        <w:t xml:space="preserve"> </w:t>
      </w:r>
      <w:r w:rsidRPr="008B68A2">
        <w:rPr>
          <w:i/>
        </w:rPr>
        <w:t>See</w:t>
      </w:r>
      <w:r w:rsidRPr="008B68A2">
        <w:t xml:space="preserve"> </w:t>
      </w:r>
      <w:r w:rsidRPr="008B68A2">
        <w:rPr>
          <w:i/>
        </w:rPr>
        <w:t>Incentive Auction Report and Order</w:t>
      </w:r>
      <w:r w:rsidRPr="008B68A2">
        <w:t xml:space="preserve">, </w:t>
      </w:r>
      <w:r w:rsidRPr="008B68A2">
        <w:rPr>
          <w:spacing w:val="-2"/>
        </w:rPr>
        <w:t xml:space="preserve">29 FCC Rcd at 6833-47, </w:t>
      </w:r>
      <w:r w:rsidRPr="008B68A2">
        <w:t>§ V.D (Transition Procedures for Other Services and Unlicensed Operations).</w:t>
      </w:r>
    </w:p>
  </w:footnote>
  <w:footnote w:id="4">
    <w:p w14:paraId="326C80A4" w14:textId="77777777" w:rsidR="0046719C" w:rsidRPr="008B68A2" w:rsidRDefault="0046719C" w:rsidP="00392F76">
      <w:pPr>
        <w:pStyle w:val="FootnoteText"/>
        <w:spacing w:before="120"/>
      </w:pPr>
      <w:r w:rsidRPr="008B68A2">
        <w:rPr>
          <w:rStyle w:val="FootnoteReference"/>
          <w:sz w:val="20"/>
        </w:rPr>
        <w:footnoteRef/>
      </w:r>
      <w:r w:rsidRPr="008B68A2">
        <w:t xml:space="preserve"> </w:t>
      </w:r>
      <w:r w:rsidRPr="008B68A2">
        <w:rPr>
          <w:i/>
        </w:rPr>
        <w:t>See</w:t>
      </w:r>
      <w:r w:rsidRPr="008B68A2">
        <w:t xml:space="preserve"> </w:t>
      </w:r>
      <w:r w:rsidRPr="008B68A2">
        <w:rPr>
          <w:i/>
        </w:rPr>
        <w:t xml:space="preserve">id. </w:t>
      </w:r>
      <w:r w:rsidRPr="008B68A2">
        <w:t xml:space="preserve">at 6840, para. 668 n.1861.  </w:t>
      </w:r>
    </w:p>
  </w:footnote>
  <w:footnote w:id="5">
    <w:p w14:paraId="078FECAC" w14:textId="77777777" w:rsidR="004B4FF6" w:rsidRPr="008B68A2" w:rsidRDefault="004B4FF6" w:rsidP="00D03EF4">
      <w:pPr>
        <w:pStyle w:val="FootnoteText"/>
        <w:spacing w:before="120"/>
      </w:pPr>
      <w:r w:rsidRPr="008B68A2">
        <w:rPr>
          <w:rStyle w:val="FootnoteReference"/>
          <w:sz w:val="20"/>
        </w:rPr>
        <w:footnoteRef/>
      </w:r>
      <w:r w:rsidRPr="008B68A2">
        <w:t xml:space="preserve"> The full Commission will resolve the issues set forth in this Public Notice.</w:t>
      </w:r>
    </w:p>
  </w:footnote>
  <w:footnote w:id="6">
    <w:p w14:paraId="377734D6" w14:textId="3C45F8F6" w:rsidR="001B3AE7" w:rsidRPr="008B68A2" w:rsidRDefault="001B3AE7" w:rsidP="001B3AE7">
      <w:pPr>
        <w:pStyle w:val="FootnoteText"/>
        <w:spacing w:before="120"/>
      </w:pPr>
      <w:r w:rsidRPr="008B68A2">
        <w:rPr>
          <w:rStyle w:val="FootnoteReference"/>
          <w:sz w:val="20"/>
        </w:rPr>
        <w:footnoteRef/>
      </w:r>
      <w:r w:rsidRPr="008B68A2">
        <w:t xml:space="preserve"> Site activation and commissioning tests</w:t>
      </w:r>
      <w:r w:rsidR="00427C09" w:rsidRPr="008B68A2">
        <w:t xml:space="preserve"> confirm that </w:t>
      </w:r>
      <w:r w:rsidR="006154D0" w:rsidRPr="008B68A2">
        <w:t>the site is operational</w:t>
      </w:r>
      <w:r w:rsidR="00A84E35">
        <w:t>,</w:t>
      </w:r>
      <w:r w:rsidR="007D5699" w:rsidRPr="008B68A2">
        <w:t xml:space="preserve"> integrated into the network</w:t>
      </w:r>
      <w:r w:rsidR="007F4663" w:rsidRPr="008B68A2">
        <w:t>,</w:t>
      </w:r>
      <w:r w:rsidR="006154D0" w:rsidRPr="008B68A2">
        <w:t xml:space="preserve"> and meets key functional requirements and performance metrics</w:t>
      </w:r>
      <w:r w:rsidRPr="008B68A2">
        <w:t xml:space="preserve">.  </w:t>
      </w:r>
      <w:r w:rsidR="0038084B" w:rsidRPr="008B68A2">
        <w:rPr>
          <w:i/>
        </w:rPr>
        <w:t>See also infra</w:t>
      </w:r>
      <w:r w:rsidR="009E5450">
        <w:t xml:space="preserve"> para. 5</w:t>
      </w:r>
      <w:r w:rsidR="0038084B" w:rsidRPr="008B68A2">
        <w:t>.</w:t>
      </w:r>
    </w:p>
  </w:footnote>
  <w:footnote w:id="7">
    <w:p w14:paraId="7332D1FA" w14:textId="77777777" w:rsidR="001B3AE7" w:rsidRPr="008B68A2" w:rsidRDefault="001B3AE7" w:rsidP="001B3AE7">
      <w:pPr>
        <w:pStyle w:val="FootnoteText"/>
        <w:spacing w:before="120"/>
      </w:pPr>
      <w:r w:rsidRPr="008B68A2">
        <w:rPr>
          <w:rStyle w:val="FootnoteReference"/>
          <w:sz w:val="20"/>
        </w:rPr>
        <w:footnoteRef/>
      </w:r>
      <w:r w:rsidRPr="008B68A2">
        <w:t xml:space="preserve"> </w:t>
      </w:r>
      <w:r w:rsidRPr="008B68A2">
        <w:rPr>
          <w:i/>
        </w:rPr>
        <w:t>Incentive Auction Report and Order</w:t>
      </w:r>
      <w:r w:rsidRPr="008B68A2">
        <w:t xml:space="preserve">, </w:t>
      </w:r>
      <w:r w:rsidRPr="008B68A2">
        <w:rPr>
          <w:spacing w:val="-2"/>
        </w:rPr>
        <w:t>29 FCC Rcd at 6834</w:t>
      </w:r>
      <w:r w:rsidRPr="008B68A2">
        <w:t>, para. 655.</w:t>
      </w:r>
    </w:p>
  </w:footnote>
  <w:footnote w:id="8">
    <w:p w14:paraId="7FAE54A9" w14:textId="77777777" w:rsidR="0046719C" w:rsidRPr="008B68A2" w:rsidRDefault="0046719C" w:rsidP="00FF52B6">
      <w:pPr>
        <w:pStyle w:val="FootnoteText"/>
        <w:spacing w:before="120"/>
      </w:pPr>
      <w:r w:rsidRPr="008B68A2">
        <w:rPr>
          <w:rStyle w:val="FootnoteReference"/>
          <w:sz w:val="20"/>
        </w:rPr>
        <w:footnoteRef/>
      </w:r>
      <w:r w:rsidRPr="008B68A2">
        <w:t xml:space="preserve"> The </w:t>
      </w:r>
      <w:r w:rsidRPr="008B68A2">
        <w:rPr>
          <w:i/>
        </w:rPr>
        <w:t>Channel Reassignment PN</w:t>
      </w:r>
      <w:r w:rsidRPr="008B68A2">
        <w:t xml:space="preserve"> will announce the results of the incentive auction and the repacking process.  </w:t>
      </w:r>
      <w:r w:rsidRPr="008B68A2">
        <w:rPr>
          <w:i/>
        </w:rPr>
        <w:t xml:space="preserve">See </w:t>
      </w:r>
      <w:r w:rsidR="00DC105D" w:rsidRPr="008B68A2">
        <w:rPr>
          <w:i/>
        </w:rPr>
        <w:t>Incenti</w:t>
      </w:r>
      <w:r w:rsidR="001C1CF4" w:rsidRPr="008B68A2">
        <w:rPr>
          <w:i/>
        </w:rPr>
        <w:t>v</w:t>
      </w:r>
      <w:r w:rsidR="00DC105D" w:rsidRPr="008B68A2">
        <w:rPr>
          <w:i/>
        </w:rPr>
        <w:t>e Auction Report and Order</w:t>
      </w:r>
      <w:r w:rsidR="001C1CF4" w:rsidRPr="008B68A2">
        <w:t>,</w:t>
      </w:r>
      <w:r w:rsidRPr="008B68A2">
        <w:rPr>
          <w:i/>
        </w:rPr>
        <w:t xml:space="preserve"> </w:t>
      </w:r>
      <w:r w:rsidR="001C1CF4" w:rsidRPr="008B68A2">
        <w:rPr>
          <w:spacing w:val="-2"/>
        </w:rPr>
        <w:t xml:space="preserve">29 FCC Rcd </w:t>
      </w:r>
      <w:r w:rsidRPr="008B68A2">
        <w:t>at 6782, para. 525, 6796, paras. 559-5</w:t>
      </w:r>
      <w:r w:rsidR="00387BDD">
        <w:t>60</w:t>
      </w:r>
      <w:r w:rsidRPr="008B68A2">
        <w:t>.</w:t>
      </w:r>
    </w:p>
  </w:footnote>
  <w:footnote w:id="9">
    <w:p w14:paraId="5DF2C683" w14:textId="77777777" w:rsidR="0046719C" w:rsidRPr="008B68A2" w:rsidRDefault="0046719C" w:rsidP="00DF544C">
      <w:pPr>
        <w:pStyle w:val="FootnoteText"/>
        <w:spacing w:before="120"/>
      </w:pPr>
      <w:r w:rsidRPr="008B68A2">
        <w:rPr>
          <w:rStyle w:val="FootnoteReference"/>
          <w:sz w:val="20"/>
        </w:rPr>
        <w:footnoteRef/>
      </w:r>
      <w:r w:rsidRPr="008B68A2">
        <w:t xml:space="preserve"> </w:t>
      </w:r>
      <w:r w:rsidRPr="008B68A2">
        <w:rPr>
          <w:i/>
        </w:rPr>
        <w:t xml:space="preserve">See id. </w:t>
      </w:r>
      <w:r w:rsidRPr="008B68A2">
        <w:t xml:space="preserve">at 6573, para. 11, </w:t>
      </w:r>
      <w:r w:rsidR="00535A72" w:rsidRPr="008B68A2">
        <w:t>6801-6802, para. 573</w:t>
      </w:r>
      <w:r w:rsidR="001C1CF4" w:rsidRPr="008B68A2">
        <w:t>, 6833-34, para. 655</w:t>
      </w:r>
      <w:r w:rsidR="00535A72" w:rsidRPr="008B68A2">
        <w:t>.</w:t>
      </w:r>
    </w:p>
  </w:footnote>
  <w:footnote w:id="10">
    <w:p w14:paraId="45B677D1" w14:textId="77777777" w:rsidR="00F9579A" w:rsidRPr="008B68A2" w:rsidRDefault="00F9579A" w:rsidP="00F9579A">
      <w:pPr>
        <w:pStyle w:val="FootnoteText"/>
        <w:spacing w:before="120"/>
      </w:pPr>
      <w:r w:rsidRPr="008B68A2">
        <w:rPr>
          <w:rStyle w:val="FootnoteReference"/>
          <w:sz w:val="20"/>
        </w:rPr>
        <w:footnoteRef/>
      </w:r>
      <w:r w:rsidRPr="008B68A2">
        <w:t xml:space="preserve"> </w:t>
      </w:r>
      <w:r w:rsidRPr="008B68A2">
        <w:rPr>
          <w:i/>
        </w:rPr>
        <w:t xml:space="preserve">See </w:t>
      </w:r>
      <w:r w:rsidRPr="008B68A2">
        <w:rPr>
          <w:i/>
          <w:spacing w:val="-2"/>
        </w:rPr>
        <w:t xml:space="preserve">generally </w:t>
      </w:r>
      <w:r w:rsidRPr="008B68A2">
        <w:rPr>
          <w:i/>
        </w:rPr>
        <w:t>Incentive Auction Report and Order</w:t>
      </w:r>
      <w:r w:rsidRPr="008B68A2">
        <w:t xml:space="preserve">, Section V.D., </w:t>
      </w:r>
      <w:r w:rsidRPr="008B68A2">
        <w:rPr>
          <w:spacing w:val="-2"/>
        </w:rPr>
        <w:t xml:space="preserve">29 FCC Rcd at 6833-47, </w:t>
      </w:r>
      <w:r w:rsidRPr="008B68A2">
        <w:t>paras. 655-688.</w:t>
      </w:r>
      <w:r w:rsidRPr="008B68A2">
        <w:rPr>
          <w:spacing w:val="-2"/>
        </w:rPr>
        <w:t xml:space="preserve">  </w:t>
      </w:r>
    </w:p>
  </w:footnote>
  <w:footnote w:id="11">
    <w:p w14:paraId="041F59CE" w14:textId="77777777" w:rsidR="0046719C" w:rsidRPr="008B68A2" w:rsidRDefault="0046719C" w:rsidP="00FF52B6">
      <w:pPr>
        <w:pStyle w:val="FootnoteText"/>
        <w:spacing w:before="120"/>
      </w:pPr>
      <w:r w:rsidRPr="008B68A2">
        <w:rPr>
          <w:rStyle w:val="FootnoteReference"/>
          <w:sz w:val="20"/>
        </w:rPr>
        <w:footnoteRef/>
      </w:r>
      <w:r w:rsidRPr="008B68A2">
        <w:t xml:space="preserve"> The 600 MHz Band wireless licensee must give the LPTV or TV translator stations that are likely to cause harmful interference written notice to cease operations at least 120 days prior to the date the wireless licensee intends to commence operations.  </w:t>
      </w:r>
      <w:r w:rsidRPr="008B68A2">
        <w:rPr>
          <w:i/>
        </w:rPr>
        <w:t>See</w:t>
      </w:r>
      <w:r w:rsidRPr="008B68A2">
        <w:t xml:space="preserve"> </w:t>
      </w:r>
      <w:r w:rsidRPr="008B68A2">
        <w:rPr>
          <w:i/>
        </w:rPr>
        <w:t>id.</w:t>
      </w:r>
      <w:r w:rsidRPr="008B68A2">
        <w:t xml:space="preserve"> at 6839-6840, paras. 668-669</w:t>
      </w:r>
      <w:r w:rsidR="00EC4D3A" w:rsidRPr="008B68A2">
        <w:t>, 6841, para. 672</w:t>
      </w:r>
      <w:r w:rsidRPr="008B68A2">
        <w:t xml:space="preserve">; </w:t>
      </w:r>
      <w:r w:rsidRPr="008B68A2">
        <w:rPr>
          <w:i/>
        </w:rPr>
        <w:t xml:space="preserve">see also </w:t>
      </w:r>
      <w:r w:rsidRPr="008B68A2">
        <w:t>47 C.F.R. § 73.3700(g)(4)</w:t>
      </w:r>
      <w:r w:rsidR="00EC4D3A" w:rsidRPr="008B68A2">
        <w:t>(i)-(v)</w:t>
      </w:r>
      <w:r w:rsidRPr="008B68A2">
        <w:t xml:space="preserve">.  600 MHz Band wireless licensees will be required to determine whether a likelihood of receiving harmful interference exists based on the methodology the Commission adopted to prevent inter-service interference.  </w:t>
      </w:r>
      <w:r w:rsidRPr="008B68A2">
        <w:rPr>
          <w:i/>
          <w:spacing w:val="-2"/>
        </w:rPr>
        <w:t xml:space="preserve">Id. </w:t>
      </w:r>
      <w:r w:rsidRPr="008B68A2">
        <w:t xml:space="preserve">at 6840, para. 668 n.1862; </w:t>
      </w:r>
      <w:r w:rsidRPr="008B68A2">
        <w:rPr>
          <w:i/>
        </w:rPr>
        <w:t>see also</w:t>
      </w:r>
      <w:r w:rsidRPr="008B68A2">
        <w:t xml:space="preserve"> Expanding the Economic and Innovation Opportunities of Spectrum Through Incentive Auctions,</w:t>
      </w:r>
      <w:r w:rsidRPr="008B68A2">
        <w:rPr>
          <w:i/>
        </w:rPr>
        <w:t xml:space="preserve"> </w:t>
      </w:r>
      <w:r w:rsidRPr="008B68A2">
        <w:t xml:space="preserve">GN Docket No. 12-268, ET Docket Nos. 13-26 &amp; 14-14, </w:t>
      </w:r>
      <w:r w:rsidRPr="008B68A2">
        <w:rPr>
          <w:i/>
        </w:rPr>
        <w:t>Second Report and Order and Further Notice of Proposed Rulemaking</w:t>
      </w:r>
      <w:r w:rsidRPr="008B68A2">
        <w:t>, FCC 14-157 at paras. 81-84 (rel. Oct. 17, 2014) (</w:t>
      </w:r>
      <w:r w:rsidRPr="008B68A2">
        <w:rPr>
          <w:i/>
        </w:rPr>
        <w:t>ISIX Report and Order</w:t>
      </w:r>
      <w:r w:rsidRPr="008B68A2">
        <w:t xml:space="preserve">).  To the extent that the 600 MHz Band wireless licensees are commencing operations in areas of their geographic licenses where harmful interference from LPTV or TV translator stations would not be likely, these LPTV or TV translator stations are not required to cease operations.  </w:t>
      </w:r>
      <w:r w:rsidRPr="008B68A2">
        <w:rPr>
          <w:i/>
          <w:spacing w:val="-2"/>
        </w:rPr>
        <w:t>Incentive Auction Report and Order</w:t>
      </w:r>
      <w:r w:rsidRPr="008B68A2">
        <w:rPr>
          <w:spacing w:val="-2"/>
        </w:rPr>
        <w:t>,</w:t>
      </w:r>
      <w:r w:rsidRPr="008B68A2">
        <w:rPr>
          <w:i/>
          <w:spacing w:val="-2"/>
        </w:rPr>
        <w:t xml:space="preserve"> </w:t>
      </w:r>
      <w:r w:rsidRPr="008B68A2">
        <w:rPr>
          <w:spacing w:val="-2"/>
        </w:rPr>
        <w:t>29 FCC Rcd at 6840, para. 668 n.1863.</w:t>
      </w:r>
      <w:r w:rsidR="001040AB" w:rsidRPr="008B68A2">
        <w:rPr>
          <w:spacing w:val="-2"/>
        </w:rPr>
        <w:t xml:space="preserve">  </w:t>
      </w:r>
    </w:p>
  </w:footnote>
  <w:footnote w:id="12">
    <w:p w14:paraId="41C4F540" w14:textId="06168909" w:rsidR="008843D4" w:rsidRPr="008B68A2" w:rsidRDefault="008843D4" w:rsidP="008843D4">
      <w:pPr>
        <w:pStyle w:val="FootnoteText"/>
        <w:spacing w:before="120"/>
      </w:pPr>
      <w:r w:rsidRPr="008B68A2">
        <w:rPr>
          <w:rStyle w:val="FootnoteReference"/>
          <w:sz w:val="20"/>
        </w:rPr>
        <w:footnoteRef/>
      </w:r>
      <w:r w:rsidRPr="008B68A2">
        <w:t xml:space="preserve"> LPTV and TV translator stations operating on channels that include frequencies repurposed for 600 MHz Band guard band use (including the duplex gap) must cease operations on those frequencies no later than the end of the Post-Auction Transition Period (i.e., 39 months after the issuance of the Channel Reassignment PN), and will be required to cease operating prior to that date if any 600 MHz Band licensee has notified them that their operations would be likely to cause harmful interference in areas where the wireless licensee intends to commence operations. </w:t>
      </w:r>
      <w:r w:rsidR="00A501E3">
        <w:t xml:space="preserve"> </w:t>
      </w:r>
      <w:r w:rsidRPr="008B68A2">
        <w:rPr>
          <w:i/>
        </w:rPr>
        <w:t>Id.</w:t>
      </w:r>
      <w:r w:rsidRPr="008B68A2">
        <w:t xml:space="preserve"> at 6841, para. 672; </w:t>
      </w:r>
      <w:r w:rsidRPr="008B68A2">
        <w:rPr>
          <w:i/>
        </w:rPr>
        <w:t xml:space="preserve">see also </w:t>
      </w:r>
      <w:r w:rsidRPr="008B68A2">
        <w:t xml:space="preserve">47 C.F.R. § 73.3700(g)(4)(v).  </w:t>
      </w:r>
    </w:p>
  </w:footnote>
  <w:footnote w:id="13">
    <w:p w14:paraId="3C0161AE" w14:textId="77777777" w:rsidR="0046719C" w:rsidRPr="008B68A2" w:rsidRDefault="0046719C" w:rsidP="007C2AFE">
      <w:pPr>
        <w:pStyle w:val="FootnoteText"/>
        <w:spacing w:before="120"/>
      </w:pPr>
      <w:r w:rsidRPr="008B68A2">
        <w:rPr>
          <w:rStyle w:val="FootnoteReference"/>
          <w:sz w:val="20"/>
        </w:rPr>
        <w:footnoteRef/>
      </w:r>
      <w:r w:rsidRPr="008B68A2">
        <w:t xml:space="preserve"> </w:t>
      </w:r>
      <w:r w:rsidRPr="008B68A2">
        <w:rPr>
          <w:i/>
        </w:rPr>
        <w:t>See id.</w:t>
      </w:r>
      <w:r w:rsidRPr="008B68A2">
        <w:t xml:space="preserve"> at 6843-44, para. 680.  The 600 MHz Band wireless licensee </w:t>
      </w:r>
      <w:r w:rsidR="004E70D0" w:rsidRPr="008B68A2">
        <w:t xml:space="preserve">can </w:t>
      </w:r>
      <w:r w:rsidRPr="008B68A2">
        <w:t>notify any of the TV bands database administrators when and where it plans to commence operations</w:t>
      </w:r>
      <w:r w:rsidR="00195E19" w:rsidRPr="008B68A2">
        <w:t xml:space="preserve">, </w:t>
      </w:r>
      <w:r w:rsidR="006E0B6A" w:rsidRPr="008B68A2">
        <w:t xml:space="preserve">and </w:t>
      </w:r>
      <w:r w:rsidR="00195E19" w:rsidRPr="008B68A2">
        <w:t>the TV bands databases would</w:t>
      </w:r>
      <w:r w:rsidRPr="008B68A2">
        <w:t xml:space="preserve"> </w:t>
      </w:r>
      <w:r w:rsidR="00195E19" w:rsidRPr="008B68A2">
        <w:t xml:space="preserve">be updated </w:t>
      </w:r>
      <w:r w:rsidR="006E0B6A" w:rsidRPr="008B68A2">
        <w:t xml:space="preserve">to </w:t>
      </w:r>
      <w:r w:rsidRPr="008B68A2">
        <w:t xml:space="preserve">preclude unlicensed </w:t>
      </w:r>
      <w:r w:rsidR="00BF548C" w:rsidRPr="008B68A2">
        <w:t xml:space="preserve">TVWS device </w:t>
      </w:r>
      <w:r w:rsidRPr="008B68A2">
        <w:t xml:space="preserve">operations </w:t>
      </w:r>
      <w:r w:rsidR="006E0B6A" w:rsidRPr="008B68A2">
        <w:t xml:space="preserve">when the licensee commences operations </w:t>
      </w:r>
      <w:r w:rsidRPr="008B68A2">
        <w:t xml:space="preserve">in those areas.  </w:t>
      </w:r>
      <w:r w:rsidRPr="008B68A2">
        <w:rPr>
          <w:i/>
        </w:rPr>
        <w:t xml:space="preserve">See id. </w:t>
      </w:r>
      <w:r w:rsidRPr="008B68A2">
        <w:t>at 6844, para. 680</w:t>
      </w:r>
      <w:r w:rsidR="00D3693A" w:rsidRPr="008B68A2">
        <w:t>-81</w:t>
      </w:r>
      <w:r w:rsidRPr="008B68A2">
        <w:t xml:space="preserve">; </w:t>
      </w:r>
      <w:r w:rsidRPr="008B68A2">
        <w:rPr>
          <w:i/>
        </w:rPr>
        <w:t xml:space="preserve">see also </w:t>
      </w:r>
      <w:r w:rsidRPr="008B68A2">
        <w:t xml:space="preserve">47 C.F.R. § 15.707(a)(2).  </w:t>
      </w:r>
      <w:r w:rsidR="00BF548C" w:rsidRPr="008B68A2">
        <w:t xml:space="preserve">Currently, </w:t>
      </w:r>
      <w:r w:rsidR="009001CC">
        <w:t>we</w:t>
      </w:r>
      <w:r w:rsidRPr="008B68A2">
        <w:t xml:space="preserve"> </w:t>
      </w:r>
      <w:r w:rsidR="00853E79">
        <w:t>are</w:t>
      </w:r>
      <w:r w:rsidRPr="008B68A2">
        <w:t xml:space="preserve"> seeking comment on revising various procedures concerning operation of the TVWS databases, including addressing how the databases can be designed to identify a specified geographic area that corresponds to the area where the 600 MHz Band wireless licensee has commenced operations.  </w:t>
      </w:r>
      <w:r w:rsidRPr="008B68A2">
        <w:rPr>
          <w:i/>
        </w:rPr>
        <w:t xml:space="preserve">See </w:t>
      </w:r>
      <w:r w:rsidRPr="008B68A2">
        <w:rPr>
          <w:spacing w:val="-2"/>
        </w:rPr>
        <w:t xml:space="preserve">Amendment of Part 15 of the Commission's Rules for Unlicensed Operations in the TV Bands, Repurposed 600 MHz Band, 600 MHz Guard Bands and Duplex Gap, and Channel 37, GN Docket No. 14-165, ET Docket No. 14-165, </w:t>
      </w:r>
      <w:r w:rsidRPr="008B68A2">
        <w:rPr>
          <w:i/>
          <w:spacing w:val="-2"/>
        </w:rPr>
        <w:t>Notice of Proposed Rulemaking</w:t>
      </w:r>
      <w:r w:rsidRPr="008B68A2">
        <w:rPr>
          <w:spacing w:val="-2"/>
        </w:rPr>
        <w:t>, FCC 14-144 at paras. 178-180 (rel. Sept. 30, 2014)</w:t>
      </w:r>
      <w:r w:rsidRPr="008B68A2">
        <w:t>.</w:t>
      </w:r>
    </w:p>
  </w:footnote>
  <w:footnote w:id="14">
    <w:p w14:paraId="1C0D2A5A" w14:textId="77777777" w:rsidR="00467E7B" w:rsidRPr="008B68A2" w:rsidRDefault="00467E7B" w:rsidP="00550CA9">
      <w:pPr>
        <w:pStyle w:val="FootnoteText"/>
        <w:spacing w:before="120"/>
      </w:pPr>
      <w:r w:rsidRPr="008B68A2">
        <w:rPr>
          <w:rStyle w:val="FootnoteReference"/>
          <w:sz w:val="20"/>
        </w:rPr>
        <w:footnoteRef/>
      </w:r>
      <w:r w:rsidRPr="008B68A2">
        <w:t xml:space="preserve"> </w:t>
      </w:r>
      <w:r w:rsidRPr="008B68A2">
        <w:rPr>
          <w:i/>
        </w:rPr>
        <w:t>See</w:t>
      </w:r>
      <w:r w:rsidRPr="008B68A2">
        <w:t xml:space="preserve"> </w:t>
      </w:r>
      <w:r w:rsidRPr="008B68A2">
        <w:rPr>
          <w:i/>
        </w:rPr>
        <w:t>Incentive Auction Report and Order</w:t>
      </w:r>
      <w:r w:rsidRPr="008B68A2">
        <w:t xml:space="preserve">, </w:t>
      </w:r>
      <w:r w:rsidRPr="008B68A2">
        <w:rPr>
          <w:spacing w:val="-2"/>
        </w:rPr>
        <w:t xml:space="preserve">29 </w:t>
      </w:r>
      <w:r w:rsidRPr="008B68A2">
        <w:t>FCC</w:t>
      </w:r>
      <w:r w:rsidRPr="008B68A2">
        <w:rPr>
          <w:spacing w:val="-2"/>
        </w:rPr>
        <w:t xml:space="preserve"> Rcd at 6841-42, </w:t>
      </w:r>
      <w:r w:rsidRPr="008B68A2">
        <w:t>paras. 673, 674</w:t>
      </w:r>
      <w:r w:rsidR="003C64B1" w:rsidRPr="008B68A2">
        <w:t xml:space="preserve">, &amp; </w:t>
      </w:r>
      <w:r w:rsidR="0047502A" w:rsidRPr="008B68A2">
        <w:t>676.</w:t>
      </w:r>
      <w:r w:rsidRPr="008B68A2">
        <w:t xml:space="preserve">   </w:t>
      </w:r>
    </w:p>
  </w:footnote>
  <w:footnote w:id="15">
    <w:p w14:paraId="401E85E1" w14:textId="77777777" w:rsidR="00467E7B" w:rsidRPr="008B68A2" w:rsidRDefault="00467E7B" w:rsidP="00550CA9">
      <w:pPr>
        <w:pStyle w:val="FootnoteText"/>
        <w:spacing w:before="120"/>
      </w:pPr>
      <w:r w:rsidRPr="008B68A2">
        <w:rPr>
          <w:rStyle w:val="FootnoteReference"/>
          <w:sz w:val="20"/>
        </w:rPr>
        <w:footnoteRef/>
      </w:r>
      <w:r w:rsidRPr="008B68A2">
        <w:t xml:space="preserve"> The 600 MHz Band wireless licensee must provide at least 30 days’ advance notice to a BAS operator.  </w:t>
      </w:r>
      <w:r w:rsidRPr="008B68A2">
        <w:rPr>
          <w:i/>
        </w:rPr>
        <w:t>See id.</w:t>
      </w:r>
      <w:r w:rsidRPr="008B68A2">
        <w:t xml:space="preserve"> at 6841-42, para. 674 &amp; n.1881; </w:t>
      </w:r>
      <w:r w:rsidRPr="008B68A2">
        <w:rPr>
          <w:i/>
        </w:rPr>
        <w:t xml:space="preserve">see also </w:t>
      </w:r>
      <w:r w:rsidRPr="008B68A2">
        <w:t>47 C.F. R. §74.602(h)(5)(ii)</w:t>
      </w:r>
      <w:r w:rsidR="001A4636" w:rsidRPr="008B68A2">
        <w:t xml:space="preserve"> &amp; (h)(6)</w:t>
      </w:r>
      <w:r w:rsidRPr="008B68A2">
        <w:t>.</w:t>
      </w:r>
    </w:p>
  </w:footnote>
  <w:footnote w:id="16">
    <w:p w14:paraId="6E02D1A4" w14:textId="710E40FB" w:rsidR="008843D4" w:rsidRPr="008B68A2" w:rsidRDefault="008843D4" w:rsidP="008843D4">
      <w:pPr>
        <w:pStyle w:val="FootnoteText"/>
        <w:spacing w:before="120"/>
      </w:pPr>
      <w:r w:rsidRPr="008B68A2">
        <w:rPr>
          <w:rStyle w:val="FootnoteReference"/>
          <w:sz w:val="20"/>
        </w:rPr>
        <w:footnoteRef/>
      </w:r>
      <w:r w:rsidRPr="008B68A2">
        <w:t xml:space="preserve"> </w:t>
      </w:r>
      <w:r w:rsidRPr="008B68A2">
        <w:rPr>
          <w:i/>
        </w:rPr>
        <w:t>See</w:t>
      </w:r>
      <w:r w:rsidRPr="008B68A2">
        <w:t>,</w:t>
      </w:r>
      <w:r w:rsidRPr="008B68A2">
        <w:rPr>
          <w:i/>
        </w:rPr>
        <w:t xml:space="preserve"> e.g., </w:t>
      </w:r>
      <w:r w:rsidRPr="008B68A2">
        <w:t xml:space="preserve">Affiliates Association Comments at 41 (“[N]ew licensees should be required to provide advance notice to all incumbent fixed BAS operations within interference range prior to </w:t>
      </w:r>
      <w:r w:rsidRPr="008B68A2">
        <w:rPr>
          <w:i/>
        </w:rPr>
        <w:t>commencing operations</w:t>
      </w:r>
      <w:r w:rsidRPr="008B68A2">
        <w:t xml:space="preserve"> in the vicinity.” (emphasis added)); Association of Public Television Comments at 12. (“[T]ranslators should be permitted to operate . . . until they are displaced by a winning bidder that actually builds out and </w:t>
      </w:r>
      <w:r w:rsidRPr="008B68A2">
        <w:rPr>
          <w:i/>
        </w:rPr>
        <w:t>makes use</w:t>
      </w:r>
      <w:r w:rsidRPr="008B68A2">
        <w:t xml:space="preserve"> of the spectrum acquired in the forward auction for mobile broadband service.” (emphasis added));</w:t>
      </w:r>
      <w:r w:rsidRPr="008B68A2">
        <w:rPr>
          <w:i/>
        </w:rPr>
        <w:t xml:space="preserve"> </w:t>
      </w:r>
      <w:r w:rsidRPr="008B68A2">
        <w:t xml:space="preserve">Computer &amp; Communications Industry Association Comments at 12 (“[T]hose employing unlicensed white space spectrum would bear the onus of monitoring the license database for notices that a licensee of repurposed 600 MHz spectrum intends to </w:t>
      </w:r>
      <w:r w:rsidRPr="008B68A2">
        <w:rPr>
          <w:i/>
        </w:rPr>
        <w:t>commence service</w:t>
      </w:r>
      <w:r w:rsidRPr="008B68A2">
        <w:t xml:space="preserve">.” (emphasis added)); Google/Microsoft Comments at 44-45 (“[The Commission has the opportunity to] allow unlicensed devices to access frequencies within the 600 MHz band . . . where 600 MHz licensees have not yet </w:t>
      </w:r>
      <w:r w:rsidRPr="008B68A2">
        <w:rPr>
          <w:i/>
        </w:rPr>
        <w:t>begun operation</w:t>
      </w:r>
      <w:r w:rsidRPr="008B68A2">
        <w:t xml:space="preserve">s.  . . . As soon as a licensee notifies the Commission that it is ready to </w:t>
      </w:r>
      <w:r w:rsidRPr="008B68A2">
        <w:rPr>
          <w:i/>
        </w:rPr>
        <w:t>begin operations</w:t>
      </w:r>
      <w:r w:rsidRPr="008B68A2">
        <w:t xml:space="preserve">, the rules should require database providers to update their database to prohibit unlicensed operations in the relevant frequencies.” (emphasis added)); Public Interest Spectrum Coalition Comments at 6, 57 (“[A]ll new 600 MHz licenses should include a condition that permits unlicensed white space devices (TVBDs) to continue to operate on a localized basis until such time as the licensee notifies the Commission and a TV Bands Database administrator that the licensee intends to </w:t>
      </w:r>
      <w:r w:rsidRPr="008B68A2">
        <w:rPr>
          <w:i/>
        </w:rPr>
        <w:t>commence service</w:t>
      </w:r>
      <w:r w:rsidRPr="008B68A2">
        <w:t xml:space="preserve">.” (emphasis added)); Wireless Internet Service Provider Association Comments at 26 (“[T]he Commission thus should make clear that auctioned spectrum will remain available in the TV bands database until the licensee notifies the Commission and the database administrators that it is </w:t>
      </w:r>
      <w:r w:rsidRPr="008B68A2">
        <w:rPr>
          <w:i/>
        </w:rPr>
        <w:t>commencing service</w:t>
      </w:r>
      <w:r w:rsidRPr="008B68A2">
        <w:t xml:space="preserve"> to the public.” (emphasis added)); </w:t>
      </w:r>
      <w:r w:rsidRPr="008B68A2">
        <w:rPr>
          <w:i/>
        </w:rPr>
        <w:t>see also</w:t>
      </w:r>
      <w:r w:rsidRPr="008B68A2">
        <w:t xml:space="preserve"> White Space Alliance Comments at 20-21 (“[U]nlicensed, white space use of the spectrum [should be] permitted until a licensee</w:t>
      </w:r>
      <w:r w:rsidRPr="008B68A2">
        <w:rPr>
          <w:i/>
        </w:rPr>
        <w:t xml:space="preserve"> actually builds out and turns on a site</w:t>
      </w:r>
      <w:r w:rsidRPr="008B68A2">
        <w:t xml:space="preserve"> serving a defined geographic area.”) (emphasis added)); White Space Database Administrator Group Comments at 3 ([S]pectrum where </w:t>
      </w:r>
      <w:r w:rsidRPr="008B68A2">
        <w:rPr>
          <w:i/>
        </w:rPr>
        <w:t>no licensed service is deployed</w:t>
      </w:r>
      <w:r w:rsidRPr="008B68A2">
        <w:t xml:space="preserve"> can remain available for use until a relatively short time before a new </w:t>
      </w:r>
      <w:r w:rsidRPr="008B68A2">
        <w:rPr>
          <w:i/>
        </w:rPr>
        <w:t>service goes online…”</w:t>
      </w:r>
      <w:r w:rsidRPr="008B68A2">
        <w:t xml:space="preserve">(emphasis added)).  Complete names of filers are listed in Appendix D of the </w:t>
      </w:r>
      <w:r w:rsidRPr="008B68A2">
        <w:rPr>
          <w:i/>
        </w:rPr>
        <w:t>Incentive Auction Report and Order</w:t>
      </w:r>
      <w:r w:rsidRPr="008B68A2">
        <w:t xml:space="preserve">.  </w:t>
      </w:r>
      <w:r w:rsidRPr="008B68A2">
        <w:rPr>
          <w:i/>
        </w:rPr>
        <w:t>See</w:t>
      </w:r>
      <w:r w:rsidRPr="008B68A2">
        <w:t xml:space="preserve"> </w:t>
      </w:r>
      <w:r w:rsidRPr="008B68A2">
        <w:rPr>
          <w:i/>
        </w:rPr>
        <w:t>Incentive Auction Report and Order</w:t>
      </w:r>
      <w:r w:rsidRPr="008B68A2">
        <w:t xml:space="preserve">, </w:t>
      </w:r>
      <w:r w:rsidRPr="008B68A2">
        <w:rPr>
          <w:spacing w:val="-2"/>
        </w:rPr>
        <w:t xml:space="preserve">29 FCC Rcd at 7026, Appendix D </w:t>
      </w:r>
      <w:r w:rsidRPr="008B68A2">
        <w:t>(Commenter Short Names).</w:t>
      </w:r>
    </w:p>
  </w:footnote>
  <w:footnote w:id="17">
    <w:p w14:paraId="7D3176A9" w14:textId="77777777" w:rsidR="00467E7B" w:rsidRPr="008B68A2" w:rsidRDefault="00467E7B" w:rsidP="00550CA9">
      <w:pPr>
        <w:pStyle w:val="FootnoteText"/>
        <w:spacing w:before="120"/>
      </w:pPr>
      <w:r w:rsidRPr="008B68A2">
        <w:rPr>
          <w:rStyle w:val="FootnoteReference"/>
          <w:sz w:val="20"/>
        </w:rPr>
        <w:footnoteRef/>
      </w:r>
      <w:r w:rsidRPr="008B68A2">
        <w:t xml:space="preserve"> </w:t>
      </w:r>
      <w:r w:rsidRPr="008B68A2">
        <w:rPr>
          <w:i/>
        </w:rPr>
        <w:t>See, e.g.</w:t>
      </w:r>
      <w:r w:rsidRPr="008B68A2">
        <w:t xml:space="preserve"> CTIA Comments at 40 (CTIA argues that “[b]efore a licensee launches commercial service in a particular geographic area, they must engage in extensive construction and testing of equipment and services.  Requiring the licensee to share its spectrum with other uses while in the process of expanding into new geographic areas would undermine or delay the provision of service in these areas.”)</w:t>
      </w:r>
    </w:p>
  </w:footnote>
  <w:footnote w:id="18">
    <w:p w14:paraId="6DA23BC9" w14:textId="51DBBC67" w:rsidR="00AB0EF2" w:rsidRPr="00147439" w:rsidRDefault="00AB0EF2" w:rsidP="00AB0EF2">
      <w:pPr>
        <w:pStyle w:val="FootnoteText"/>
        <w:spacing w:before="120"/>
      </w:pPr>
      <w:r w:rsidRPr="008B68A2">
        <w:rPr>
          <w:rStyle w:val="FootnoteReference"/>
          <w:sz w:val="20"/>
        </w:rPr>
        <w:footnoteRef/>
      </w:r>
      <w:r w:rsidRPr="008B68A2">
        <w:t xml:space="preserve"> </w:t>
      </w:r>
      <w:r w:rsidRPr="008B68A2">
        <w:rPr>
          <w:i/>
        </w:rPr>
        <w:t xml:space="preserve">Incentive Auction Report &amp; Order, </w:t>
      </w:r>
      <w:r w:rsidRPr="008B68A2">
        <w:rPr>
          <w:spacing w:val="-2"/>
        </w:rPr>
        <w:t>29 FCC Rcd at 6834, para. 655</w:t>
      </w:r>
      <w:r w:rsidR="005C6DF8">
        <w:rPr>
          <w:spacing w:val="-2"/>
        </w:rPr>
        <w:t xml:space="preserve">; </w:t>
      </w:r>
      <w:r w:rsidR="005C6DF8">
        <w:rPr>
          <w:i/>
          <w:spacing w:val="-2"/>
        </w:rPr>
        <w:t xml:space="preserve">see also </w:t>
      </w:r>
      <w:r w:rsidR="00DF2B90">
        <w:rPr>
          <w:i/>
          <w:spacing w:val="-2"/>
        </w:rPr>
        <w:t>supra</w:t>
      </w:r>
      <w:r w:rsidR="005C6DF8">
        <w:rPr>
          <w:i/>
          <w:spacing w:val="-2"/>
        </w:rPr>
        <w:t xml:space="preserve"> </w:t>
      </w:r>
      <w:r w:rsidR="005C6DF8">
        <w:rPr>
          <w:spacing w:val="-2"/>
        </w:rPr>
        <w:t>para. 4.</w:t>
      </w:r>
    </w:p>
  </w:footnote>
  <w:footnote w:id="19">
    <w:p w14:paraId="03DC7ABF" w14:textId="77777777" w:rsidR="0046719C" w:rsidRPr="008B68A2" w:rsidRDefault="0046719C" w:rsidP="00FF52B6">
      <w:pPr>
        <w:pStyle w:val="FootnoteText"/>
        <w:spacing w:before="120"/>
      </w:pPr>
      <w:r w:rsidRPr="008B68A2">
        <w:rPr>
          <w:rStyle w:val="FootnoteReference"/>
          <w:sz w:val="20"/>
        </w:rPr>
        <w:footnoteRef/>
      </w:r>
      <w:r w:rsidRPr="008B68A2">
        <w:t xml:space="preserve"> The actions in this Public Notice have not changed, or proposed to change, our Final Regulatory Flexibility Analysis (FRFA), which was set forth in the </w:t>
      </w:r>
      <w:r w:rsidRPr="008B68A2">
        <w:rPr>
          <w:i/>
        </w:rPr>
        <w:t>Incentive Auction Report and Order</w:t>
      </w:r>
      <w:r w:rsidRPr="008B68A2">
        <w:t>.</w:t>
      </w:r>
      <w:r w:rsidRPr="008B68A2">
        <w:rPr>
          <w:i/>
        </w:rPr>
        <w:t xml:space="preserve"> </w:t>
      </w:r>
      <w:r w:rsidRPr="008B68A2">
        <w:t xml:space="preserve"> </w:t>
      </w:r>
      <w:r w:rsidRPr="008B68A2">
        <w:rPr>
          <w:i/>
        </w:rPr>
        <w:t>See Incentive Auction Report and Order</w:t>
      </w:r>
      <w:r w:rsidRPr="008B68A2">
        <w:t xml:space="preserve">, </w:t>
      </w:r>
      <w:r w:rsidRPr="008B68A2">
        <w:rPr>
          <w:spacing w:val="-2"/>
        </w:rPr>
        <w:t xml:space="preserve">29 FCC Rcd at 6947, Appendix B.  </w:t>
      </w:r>
      <w:r w:rsidRPr="008B68A2">
        <w:t xml:space="preserve">Thus, no supplemental FRFA is necessary.  In addition, the action contained herein does not change, or propose to change, the information collection requirements subject to the Paperwork Reduction Act of 1995 (“PRA”), Public Law 104-13, contained in the </w:t>
      </w:r>
      <w:r w:rsidRPr="008B68A2">
        <w:rPr>
          <w:i/>
        </w:rPr>
        <w:t>Incentive Auction Report and Order</w:t>
      </w:r>
      <w:r w:rsidRPr="008B68A2">
        <w:t xml:space="preserve">. </w:t>
      </w:r>
      <w:r w:rsidRPr="008B68A2">
        <w:rPr>
          <w:i/>
        </w:rPr>
        <w:t xml:space="preserve"> </w:t>
      </w:r>
      <w:r w:rsidRPr="008B68A2">
        <w:t>As a result, no new submission to the Office of Management and Budget is necessary to comply with the PRA requirements.</w:t>
      </w:r>
    </w:p>
  </w:footnote>
  <w:footnote w:id="20">
    <w:p w14:paraId="3C5D9414" w14:textId="77777777" w:rsidR="0046719C" w:rsidRPr="008B68A2" w:rsidRDefault="0046719C" w:rsidP="009D609B">
      <w:pPr>
        <w:pStyle w:val="FootnoteText"/>
        <w:spacing w:before="120"/>
      </w:pPr>
      <w:r w:rsidRPr="008B68A2">
        <w:rPr>
          <w:rStyle w:val="FootnoteReference"/>
          <w:sz w:val="20"/>
        </w:rPr>
        <w:footnoteRef/>
      </w:r>
      <w:r w:rsidRPr="008B68A2">
        <w:t xml:space="preserve"> 47 C.F.R. § 1.1200, </w:t>
      </w:r>
      <w:r w:rsidRPr="008B68A2">
        <w:rPr>
          <w:i/>
        </w:rPr>
        <w:t>et seq.   See also</w:t>
      </w:r>
      <w:r w:rsidRPr="008B68A2">
        <w:t xml:space="preserve">, </w:t>
      </w:r>
      <w:r w:rsidRPr="008B68A2">
        <w:rPr>
          <w:spacing w:val="-2"/>
        </w:rPr>
        <w:t xml:space="preserve">Expanding the Economic and Innovation Opportunities of Spectrum Through Incentive Auctions, GN Docket No. 12-268, </w:t>
      </w:r>
      <w:r w:rsidRPr="008B68A2">
        <w:rPr>
          <w:i/>
          <w:spacing w:val="-2"/>
        </w:rPr>
        <w:t>Notice of Proposed Rulemaking</w:t>
      </w:r>
      <w:r w:rsidRPr="008B68A2">
        <w:t>, 27 FCC Rcd 12357, 12494-95, paras. 416-417.</w:t>
      </w:r>
    </w:p>
  </w:footnote>
  <w:footnote w:id="21">
    <w:p w14:paraId="6D06A0EC" w14:textId="77777777" w:rsidR="0046719C" w:rsidRPr="008B68A2" w:rsidRDefault="0046719C" w:rsidP="009D609B">
      <w:pPr>
        <w:pStyle w:val="FootnoteText"/>
        <w:spacing w:before="120"/>
      </w:pPr>
      <w:r w:rsidRPr="008B68A2">
        <w:rPr>
          <w:rStyle w:val="FootnoteReference"/>
          <w:sz w:val="20"/>
        </w:rPr>
        <w:footnoteRef/>
      </w:r>
      <w:r w:rsidRPr="008B68A2">
        <w:t xml:space="preserve"> </w:t>
      </w:r>
      <w:r w:rsidRPr="008B68A2">
        <w:rPr>
          <w:i/>
        </w:rPr>
        <w:t>See</w:t>
      </w:r>
      <w:r w:rsidRPr="008B68A2">
        <w:t xml:space="preserve"> 47 C.F.R. § 1.1206(b)(</w:t>
      </w:r>
      <w:r w:rsidR="00067CFC">
        <w:t>1</w:t>
      </w:r>
      <w:r w:rsidRPr="008B68A2">
        <w:t>).</w:t>
      </w:r>
    </w:p>
  </w:footnote>
  <w:footnote w:id="22">
    <w:p w14:paraId="32587FE3" w14:textId="77777777" w:rsidR="0046719C" w:rsidRPr="008B68A2" w:rsidRDefault="0046719C" w:rsidP="009D609B">
      <w:pPr>
        <w:pStyle w:val="FootnoteText"/>
        <w:spacing w:before="120"/>
      </w:pPr>
      <w:r w:rsidRPr="008B68A2">
        <w:rPr>
          <w:rStyle w:val="FootnoteReference"/>
          <w:sz w:val="20"/>
        </w:rPr>
        <w:footnoteRef/>
      </w:r>
      <w:r w:rsidRPr="008B68A2">
        <w:t xml:space="preserve"> </w:t>
      </w:r>
      <w:r w:rsidRPr="008B68A2">
        <w:rPr>
          <w:i/>
        </w:rPr>
        <w:t xml:space="preserve">See </w:t>
      </w:r>
      <w:r w:rsidRPr="008B68A2">
        <w:t>47 C.F.R. § 1.1206(b).</w:t>
      </w:r>
    </w:p>
  </w:footnote>
  <w:footnote w:id="23">
    <w:p w14:paraId="082EEE93" w14:textId="77777777" w:rsidR="0046719C" w:rsidRPr="008B68A2" w:rsidRDefault="0046719C" w:rsidP="00FF52B6">
      <w:pPr>
        <w:pStyle w:val="FootnoteText"/>
        <w:tabs>
          <w:tab w:val="left" w:pos="450"/>
        </w:tabs>
        <w:spacing w:before="120"/>
      </w:pPr>
      <w:r w:rsidRPr="008B68A2">
        <w:rPr>
          <w:rStyle w:val="FootnoteReference"/>
          <w:sz w:val="20"/>
        </w:rPr>
        <w:footnoteRef/>
      </w:r>
      <w:r w:rsidRPr="008B68A2">
        <w:t xml:space="preserve"> </w:t>
      </w:r>
      <w:r w:rsidRPr="008B68A2">
        <w:rPr>
          <w:i/>
        </w:rPr>
        <w:t xml:space="preserve">See </w:t>
      </w:r>
      <w:r w:rsidRPr="008B68A2">
        <w:t xml:space="preserve">Electronic Filing of Documents in Rulemaking Proceedings, GC Docket No. 97-113, </w:t>
      </w:r>
      <w:r w:rsidRPr="008B68A2">
        <w:rPr>
          <w:i/>
        </w:rPr>
        <w:t>Report and Order</w:t>
      </w:r>
      <w:r w:rsidRPr="008B68A2">
        <w:t>, 13 FCC Rcd 11322 (1998).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EF52A0" w14:textId="77777777" w:rsidR="009B5E01" w:rsidRDefault="009B5E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E540EA" w14:textId="77777777" w:rsidR="009B5E01" w:rsidRDefault="009B5E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E65803" w14:textId="77777777" w:rsidR="0046719C" w:rsidRDefault="0046719C">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59264" behindDoc="0" locked="0" layoutInCell="0" allowOverlap="1" wp14:anchorId="4F5054CE" wp14:editId="57D24CA2">
          <wp:simplePos x="0" y="0"/>
          <wp:positionH relativeFrom="column">
            <wp:posOffset>30480</wp:posOffset>
          </wp:positionH>
          <wp:positionV relativeFrom="paragraph">
            <wp:posOffset>107950</wp:posOffset>
          </wp:positionV>
          <wp:extent cx="530225" cy="530225"/>
          <wp:effectExtent l="0" t="0" r="3175" b="3175"/>
          <wp:wrapTopAndBottom/>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PUBLIC NOTICE</w:t>
    </w:r>
  </w:p>
  <w:p w14:paraId="3FCB2E9A" w14:textId="7949A21F" w:rsidR="0046719C" w:rsidRDefault="00A84E35">
    <w:pPr>
      <w:pStyle w:val="Header"/>
      <w:tabs>
        <w:tab w:val="clear" w:pos="4320"/>
        <w:tab w:val="clear" w:pos="8640"/>
        <w:tab w:val="left" w:pos="1080"/>
      </w:tabs>
      <w:spacing w:line="1120" w:lineRule="exact"/>
      <w:ind w:left="720"/>
      <w:rPr>
        <w:b/>
        <w:sz w:val="28"/>
      </w:rPr>
    </w:pPr>
    <w:r>
      <w:rPr>
        <w:noProof/>
      </w:rPr>
      <mc:AlternateContent>
        <mc:Choice Requires="wps">
          <w:drawing>
            <wp:anchor distT="0" distB="0" distL="114300" distR="114300" simplePos="0" relativeHeight="251657216" behindDoc="0" locked="0" layoutInCell="0" allowOverlap="1" wp14:anchorId="7738D83C" wp14:editId="0E5C825C">
              <wp:simplePos x="0" y="0"/>
              <wp:positionH relativeFrom="column">
                <wp:posOffset>109728</wp:posOffset>
              </wp:positionH>
              <wp:positionV relativeFrom="paragraph">
                <wp:posOffset>703682</wp:posOffset>
              </wp:positionV>
              <wp:extent cx="5833542" cy="0"/>
              <wp:effectExtent l="0" t="0" r="1524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354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5pt,55.4pt" to="468pt,5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Bmv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ZSHzvTGFRBQqZ0NtdGzejHPmn53SOmqJerAI8PXi4G0LGQkb1LCxhnA3/efNYMYcvQ6tunc&#10;2C5AQgPQOapxuavBzx5ROJwtptNZPsGIDr6EFEOisc5/4rpDwSixBM4RmJyenQ9ESDGEhHuU3gop&#10;o9hSob7Ey9lkFhOcloIFZwhz9rCvpEUnEsYlfrEq8DyGWX1ULIK1nLDNzfZEyKsNl0sV8KAUoHOz&#10;rvPwY5kuN4vNIh/lk/lmlKd1Pfq4rfLRfJt9mNXTuqrq7GegluVFKxjjKrAbZjPL/0772yu5TtV9&#10;Ou9tSN6ix34B2eEfSUctg3zXQdhrdtnZQWMYxxh8ezph3h/3YD8+8PUvAAAA//8DAFBLAwQUAAYA&#10;CAAAACEAUAnFu9wAAAAKAQAADwAAAGRycy9kb3ducmV2LnhtbEyPQU/DMAyF70j8h8hIXCaWbJUG&#10;lKYTAnrjwgBx9RrTVjRO12Rb4ddjJCQ4Wc9+ev5esZ58rw40xi6whcXcgCKug+u4sfDyXF1cgYoJ&#10;2WEfmCx8UoR1eXpSYO7CkZ/osEmNkhCOOVpoUxpyrWPdksc4DwOx3N7D6DGJHBvtRjxKuO/10piV&#10;9tixfGhxoLuW6o/N3luI1Svtqq9ZPTNvWRNoubt/fEBrz8+m2xtQiab0Z4YffEGHUpi2Yc8uql70&#10;ZSZOmQsjFcRwna2k3PZ3o8tC/69QfgMAAP//AwBQSwECLQAUAAYACAAAACEAtoM4kv4AAADhAQAA&#10;EwAAAAAAAAAAAAAAAAAAAAAAW0NvbnRlbnRfVHlwZXNdLnhtbFBLAQItABQABgAIAAAAIQA4/SH/&#10;1gAAAJQBAAALAAAAAAAAAAAAAAAAAC8BAABfcmVscy8ucmVsc1BLAQItABQABgAIAAAAIQAbxBmv&#10;EgIAACgEAAAOAAAAAAAAAAAAAAAAAC4CAABkcnMvZTJvRG9jLnhtbFBLAQItABQABgAIAAAAIQBQ&#10;CcW73AAAAAoBAAAPAAAAAAAAAAAAAAAAAGwEAABkcnMvZG93bnJldi54bWxQSwUGAAAAAAQABADz&#10;AAAAdQUAAAAA&#10;" o:allowincell="f"/>
          </w:pict>
        </mc:Fallback>
      </mc:AlternateContent>
    </w:r>
    <w:r w:rsidR="0046719C">
      <w:rPr>
        <w:noProof/>
      </w:rPr>
      <mc:AlternateContent>
        <mc:Choice Requires="wps">
          <w:drawing>
            <wp:anchor distT="0" distB="0" distL="114300" distR="114300" simplePos="0" relativeHeight="251658240" behindDoc="0" locked="0" layoutInCell="0" allowOverlap="1" wp14:anchorId="39D2CEF9" wp14:editId="675B046A">
              <wp:simplePos x="0" y="0"/>
              <wp:positionH relativeFrom="column">
                <wp:posOffset>3733165</wp:posOffset>
              </wp:positionH>
              <wp:positionV relativeFrom="paragraph">
                <wp:posOffset>96520</wp:posOffset>
              </wp:positionV>
              <wp:extent cx="2640965" cy="548640"/>
              <wp:effectExtent l="0" t="0" r="6985"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833F58" w14:textId="77777777" w:rsidR="0046719C" w:rsidRDefault="0046719C" w:rsidP="00C51F48">
                          <w:pPr>
                            <w:spacing w:before="40"/>
                            <w:ind w:right="541"/>
                            <w:jc w:val="right"/>
                            <w:rPr>
                              <w:b/>
                              <w:sz w:val="16"/>
                            </w:rPr>
                          </w:pPr>
                          <w:r>
                            <w:rPr>
                              <w:b/>
                              <w:sz w:val="16"/>
                            </w:rPr>
                            <w:t>News Media Information 202 / 418-0500</w:t>
                          </w:r>
                        </w:p>
                        <w:p w14:paraId="4521C073" w14:textId="77777777" w:rsidR="0046719C" w:rsidRDefault="0046719C" w:rsidP="00C51F48">
                          <w:pPr>
                            <w:ind w:right="541"/>
                            <w:jc w:val="right"/>
                            <w:rPr>
                              <w:b/>
                              <w:sz w:val="16"/>
                            </w:rPr>
                          </w:pPr>
                          <w:r>
                            <w:rPr>
                              <w:b/>
                              <w:sz w:val="16"/>
                            </w:rPr>
                            <w:tab/>
                            <w:t xml:space="preserve">Internet: </w:t>
                          </w:r>
                          <w:bookmarkStart w:id="1" w:name="_Hlt233824"/>
                          <w:r>
                            <w:rPr>
                              <w:b/>
                              <w:sz w:val="16"/>
                            </w:rPr>
                            <w:t>h</w:t>
                          </w:r>
                          <w:bookmarkEnd w:id="1"/>
                          <w:r>
                            <w:rPr>
                              <w:b/>
                              <w:sz w:val="16"/>
                            </w:rPr>
                            <w:t>ttp://www.fcc.gov</w:t>
                          </w:r>
                        </w:p>
                        <w:p w14:paraId="3AE0DF6F" w14:textId="77777777" w:rsidR="0046719C" w:rsidRDefault="0046719C" w:rsidP="00C51F48">
                          <w:pPr>
                            <w:ind w:right="541"/>
                            <w:jc w:val="right"/>
                            <w:rPr>
                              <w:b/>
                              <w:sz w:val="16"/>
                            </w:rPr>
                          </w:pPr>
                          <w:r>
                            <w:rPr>
                              <w:b/>
                              <w:sz w:val="16"/>
                            </w:rPr>
                            <w:t>TTY: 1-888-835-5322</w:t>
                          </w:r>
                        </w:p>
                        <w:p w14:paraId="5FE86F21" w14:textId="77777777" w:rsidR="0046719C" w:rsidRDefault="0046719C">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3.95pt;margin-top:7.6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mI/fgIAAAcFAAAOAAAAZHJzL2Uyb0RvYy54bWysVFtv2yAUfp+0/4B4T32Zk8ZWnKppl2lS&#10;d5Ha/QACOEbDwIDE7qb99x1wkqa7SNM0P2Auh+9cvu+wuBo6ifbcOqFVjbOLFCOuqGZCbWv86WE9&#10;mWPkPFGMSK14jR+5w1fLly8Wval4rlstGbcIQJSrelPj1ntTJYmjLe+Iu9CGKzhstO2Ih6XdJsyS&#10;HtA7meRpOkt6bZmxmnLnYPd2PMTLiN80nPoPTeO4R7LGEJuPo43jJozJckGqrSWmFfQQBvmHKDoi&#10;FDg9Qd0ST9DOil+gOkGtdrrxF1R3iW4aQXnMAbLJ0p+yuW+J4TEXKI4zpzK5/wdL3+8/WiRYjV9h&#10;pEgHFD3wwaOVHlAeqtMbV4HRvQEzP8A2sBwzdeZO088OKX3TErXl19bqvuWEQXRZuJmcXR1xXADZ&#10;9O80Azdk53UEGhrbhdJBMRCgA0uPJ2ZCKBQ281mRlrMpRhTOpsUcltEFqY63jXX+DdcdCpMaW2A+&#10;opP9nfMhGlIdTYIzp6VgayFlXNjt5kZatCegknX8DujPzKQKxkqHayPiuANBgo9wFsKNrH8rs7xI&#10;V3k5Wc/ml5NiXUwn5WU6n6RZuSpnaVEWt+vvIcCsqFrBGFd3QvGjArPi7xg+9MKonahB1Ne4nObT&#10;kaI/JpnG73dJdsJDQ0rR1Xh+MiJVIPa1YpA2qTwRcpwnz8OPVYYaHP+xKlEGgflRA37YDIAStLHR&#10;7BEEYTXwBazDKwKTVtuvGPXQkTV2X3bEcozkWwWiKrMCWEc+LmBiz3c3x12iKEDU2GM0Tm/82O47&#10;Y8W2BQ+jfJW+BgE2ImrjKZqDbKHbYhKHlyG08/k6Wj29X8sfAAAA//8DAFBLAwQUAAYACAAAACEA&#10;0o0Be98AAAALAQAADwAAAGRycy9kb3ducmV2LnhtbEyPwU7DMBBE70j8g7VI3KjdQEtJ41SoggMn&#10;1JZLb068TULjdRS7bejXsznBbUfzNDuTrQbXijP2ofGkYTpRIJBKbxuqNHzt3h8WIEI0ZE3rCTX8&#10;YIBVfnuTmdT6C23wvI2V4BAKqdFQx9ilUoayRmfCxHdI7B1870xk2VfS9ubC4a6ViVJz6UxD/KE2&#10;Ha5rLI/bk9Pwse8/3/ZBXX1SxPV3efS7q3zS+v5ueF2CiDjEPxjG+lwdcu5U+BPZIFoNs8XzC6Ns&#10;zBIQI6DUI48pxms6B5ln8v+G/BcAAP//AwBQSwECLQAUAAYACAAAACEAtoM4kv4AAADhAQAAEwAA&#10;AAAAAAAAAAAAAAAAAAAAW0NvbnRlbnRfVHlwZXNdLnhtbFBLAQItABQABgAIAAAAIQA4/SH/1gAA&#10;AJQBAAALAAAAAAAAAAAAAAAAAC8BAABfcmVscy8ucmVsc1BLAQItABQABgAIAAAAIQA3hmI/fgIA&#10;AAcFAAAOAAAAAAAAAAAAAAAAAC4CAABkcnMvZTJvRG9jLnhtbFBLAQItABQABgAIAAAAIQDSjQF7&#10;3wAAAAsBAAAPAAAAAAAAAAAAAAAAANgEAABkcnMvZG93bnJldi54bWxQSwUGAAAAAAQABADzAAAA&#10;5AUAAAAA&#10;" o:allowincell="f" stroked="f">
              <v:textbox inset=",0,,0">
                <w:txbxContent>
                  <w:p w14:paraId="0B833F58" w14:textId="77777777" w:rsidR="0046719C" w:rsidRDefault="0046719C" w:rsidP="00C51F48">
                    <w:pPr>
                      <w:spacing w:before="40"/>
                      <w:ind w:right="541"/>
                      <w:jc w:val="right"/>
                      <w:rPr>
                        <w:b/>
                        <w:sz w:val="16"/>
                      </w:rPr>
                    </w:pPr>
                    <w:r>
                      <w:rPr>
                        <w:b/>
                        <w:sz w:val="16"/>
                      </w:rPr>
                      <w:t>News Media Information 202 / 418-0500</w:t>
                    </w:r>
                  </w:p>
                  <w:p w14:paraId="4521C073" w14:textId="77777777" w:rsidR="0046719C" w:rsidRDefault="0046719C" w:rsidP="00C51F48">
                    <w:pPr>
                      <w:ind w:right="541"/>
                      <w:jc w:val="right"/>
                      <w:rPr>
                        <w:b/>
                        <w:sz w:val="16"/>
                      </w:rPr>
                    </w:pPr>
                    <w:r>
                      <w:rPr>
                        <w:b/>
                        <w:sz w:val="16"/>
                      </w:rPr>
                      <w:tab/>
                      <w:t xml:space="preserve">Internet: </w:t>
                    </w:r>
                    <w:bookmarkStart w:id="2" w:name="_Hlt233824"/>
                    <w:r>
                      <w:rPr>
                        <w:b/>
                        <w:sz w:val="16"/>
                      </w:rPr>
                      <w:t>h</w:t>
                    </w:r>
                    <w:bookmarkEnd w:id="2"/>
                    <w:r>
                      <w:rPr>
                        <w:b/>
                        <w:sz w:val="16"/>
                      </w:rPr>
                      <w:t>ttp://www.fcc.gov</w:t>
                    </w:r>
                  </w:p>
                  <w:p w14:paraId="3AE0DF6F" w14:textId="77777777" w:rsidR="0046719C" w:rsidRDefault="0046719C" w:rsidP="00C51F48">
                    <w:pPr>
                      <w:ind w:right="541"/>
                      <w:jc w:val="right"/>
                      <w:rPr>
                        <w:b/>
                        <w:sz w:val="16"/>
                      </w:rPr>
                    </w:pPr>
                    <w:r>
                      <w:rPr>
                        <w:b/>
                        <w:sz w:val="16"/>
                      </w:rPr>
                      <w:t>TTY: 1-888-835-5322</w:t>
                    </w:r>
                  </w:p>
                  <w:p w14:paraId="5FE86F21" w14:textId="77777777" w:rsidR="0046719C" w:rsidRDefault="0046719C">
                    <w:pPr>
                      <w:jc w:val="right"/>
                    </w:pPr>
                  </w:p>
                </w:txbxContent>
              </v:textbox>
            </v:shape>
          </w:pict>
        </mc:Fallback>
      </mc:AlternateContent>
    </w:r>
    <w:r w:rsidR="0046719C">
      <w:rPr>
        <w:noProof/>
      </w:rPr>
      <mc:AlternateContent>
        <mc:Choice Requires="wps">
          <w:drawing>
            <wp:anchor distT="0" distB="0" distL="114300" distR="114300" simplePos="0" relativeHeight="251656192" behindDoc="0" locked="0" layoutInCell="0" allowOverlap="1" wp14:anchorId="29C54E2C" wp14:editId="18DD73A1">
              <wp:simplePos x="0" y="0"/>
              <wp:positionH relativeFrom="column">
                <wp:posOffset>0</wp:posOffset>
              </wp:positionH>
              <wp:positionV relativeFrom="paragraph">
                <wp:posOffset>5080</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BBE23F" w14:textId="77777777" w:rsidR="0046719C" w:rsidRDefault="0046719C">
                          <w:pPr>
                            <w:jc w:val="both"/>
                            <w:rPr>
                              <w:b/>
                            </w:rPr>
                          </w:pPr>
                          <w:r>
                            <w:rPr>
                              <w:b/>
                            </w:rPr>
                            <w:t>Federal Communications Commission</w:t>
                          </w:r>
                        </w:p>
                        <w:p w14:paraId="5EE37C1A" w14:textId="77777777" w:rsidR="0046719C" w:rsidRDefault="0046719C">
                          <w:pPr>
                            <w:rPr>
                              <w:b/>
                            </w:rPr>
                          </w:pPr>
                          <w:r>
                            <w:rPr>
                              <w:b/>
                            </w:rPr>
                            <w:t>445 12</w:t>
                          </w:r>
                          <w:r>
                            <w:rPr>
                              <w:b/>
                              <w:vertAlign w:val="superscript"/>
                            </w:rPr>
                            <w:t>th</w:t>
                          </w:r>
                          <w:r>
                            <w:rPr>
                              <w:b/>
                            </w:rPr>
                            <w:t xml:space="preserve"> St., S.W.</w:t>
                          </w:r>
                        </w:p>
                        <w:p w14:paraId="581CDCE4" w14:textId="77777777" w:rsidR="0046719C" w:rsidRDefault="0046719C">
                          <w:r>
                            <w:rPr>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0;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GdxhAIAABY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kPUW9RI&#10;kMhas0fQhdVAGzAMjwlMWm2/YdRDY9bYfd0SyzGS7xRoq8yKInRyXBTTixwW9tSyPrUQRQGqxh6j&#10;cXrjx+7fGis2Ldw0qlnpK9BjI6JUnqPaqxiaL+a0fyhCd5+uo9fzc7b8AQAA//8DAFBLAwQUAAYA&#10;CAAAACEAaMiD/toAAAAFAQAADwAAAGRycy9kb3ducmV2LnhtbEyPzU7DMBCE70i8g7WVuCDqFJW0&#10;DXEqQAJx7c8DbOJtEjVeR7HbpG/PcoLjaEYz3+TbyXXqSkNoPRtYzBNQxJW3LdcGjofPpzWoEJEt&#10;dp7JwI0CbIv7uxwz60fe0XUfayUlHDI00MTYZ1qHqiGHYe57YvFOfnAYRQ61tgOOUu46/ZwkqXbY&#10;siw02NNHQ9V5f3EGTt/j48tmLL/icbVbpu/Yrkp/M+ZhNr29goo0xb8w/OILOhTCVPoL26A6A3Ik&#10;GhB68ZbrTQqqlFCySEEXuf5PX/wAAAD//wMAUEsBAi0AFAAGAAgAAAAhALaDOJL+AAAA4QEAABMA&#10;AAAAAAAAAAAAAAAAAAAAAFtDb250ZW50X1R5cGVzXS54bWxQSwECLQAUAAYACAAAACEAOP0h/9YA&#10;AACUAQAACwAAAAAAAAAAAAAAAAAvAQAAX3JlbHMvLnJlbHNQSwECLQAUAAYACAAAACEAoGxncYQC&#10;AAAWBQAADgAAAAAAAAAAAAAAAAAuAgAAZHJzL2Uyb0RvYy54bWxQSwECLQAUAAYACAAAACEAaMiD&#10;/toAAAAFAQAADwAAAAAAAAAAAAAAAADeBAAAZHJzL2Rvd25yZXYueG1sUEsFBgAAAAAEAAQA8wAA&#10;AOUFAAAAAA==&#10;" o:allowincell="f" stroked="f">
              <v:textbox>
                <w:txbxContent>
                  <w:p w14:paraId="4CBBE23F" w14:textId="77777777" w:rsidR="0046719C" w:rsidRDefault="0046719C">
                    <w:pPr>
                      <w:jc w:val="both"/>
                      <w:rPr>
                        <w:b/>
                      </w:rPr>
                    </w:pPr>
                    <w:r>
                      <w:rPr>
                        <w:b/>
                      </w:rPr>
                      <w:t>Federal Communications Commission</w:t>
                    </w:r>
                  </w:p>
                  <w:p w14:paraId="5EE37C1A" w14:textId="77777777" w:rsidR="0046719C" w:rsidRDefault="0046719C">
                    <w:pPr>
                      <w:rPr>
                        <w:b/>
                      </w:rPr>
                    </w:pPr>
                    <w:r>
                      <w:rPr>
                        <w:b/>
                      </w:rPr>
                      <w:t>445 12</w:t>
                    </w:r>
                    <w:r>
                      <w:rPr>
                        <w:b/>
                        <w:vertAlign w:val="superscript"/>
                      </w:rPr>
                      <w:t>th</w:t>
                    </w:r>
                    <w:r>
                      <w:rPr>
                        <w:b/>
                      </w:rPr>
                      <w:t xml:space="preserve"> St., S.W.</w:t>
                    </w:r>
                  </w:p>
                  <w:p w14:paraId="581CDCE4" w14:textId="77777777" w:rsidR="0046719C" w:rsidRDefault="0046719C">
                    <w:r>
                      <w:rPr>
                        <w:b/>
                      </w:rPr>
                      <w:t>Washington, D.C. 20554</w:t>
                    </w:r>
                  </w:p>
                </w:txbxContent>
              </v:textbox>
            </v:shape>
          </w:pict>
        </mc:Fallback>
      </mc:AlternateContent>
    </w:r>
  </w:p>
  <w:p w14:paraId="70C796AB" w14:textId="77777777" w:rsidR="0046719C" w:rsidRDefault="004671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289A"/>
    <w:multiLevelType w:val="hybridMultilevel"/>
    <w:tmpl w:val="A01E2294"/>
    <w:lvl w:ilvl="0" w:tplc="04090005">
      <w:start w:val="1"/>
      <w:numFmt w:val="bullet"/>
      <w:lvlText w:val=""/>
      <w:lvlJc w:val="left"/>
      <w:pPr>
        <w:ind w:left="1512" w:hanging="360"/>
      </w:pPr>
      <w:rPr>
        <w:rFonts w:ascii="Wingdings" w:hAnsi="Wingdings" w:hint="default"/>
      </w:rPr>
    </w:lvl>
    <w:lvl w:ilvl="1" w:tplc="04090019" w:tentative="1">
      <w:start w:val="1"/>
      <w:numFmt w:val="lowerLetter"/>
      <w:lvlText w:val="%2."/>
      <w:lvlJc w:val="left"/>
      <w:pPr>
        <w:ind w:left="2232" w:hanging="360"/>
      </w:pPr>
      <w:rPr>
        <w:rFonts w:cs="Times New Roman"/>
      </w:rPr>
    </w:lvl>
    <w:lvl w:ilvl="2" w:tplc="0409001B" w:tentative="1">
      <w:start w:val="1"/>
      <w:numFmt w:val="lowerRoman"/>
      <w:lvlText w:val="%3."/>
      <w:lvlJc w:val="right"/>
      <w:pPr>
        <w:ind w:left="2952" w:hanging="180"/>
      </w:pPr>
      <w:rPr>
        <w:rFonts w:cs="Times New Roman"/>
      </w:rPr>
    </w:lvl>
    <w:lvl w:ilvl="3" w:tplc="0409000F" w:tentative="1">
      <w:start w:val="1"/>
      <w:numFmt w:val="decimal"/>
      <w:lvlText w:val="%4."/>
      <w:lvlJc w:val="left"/>
      <w:pPr>
        <w:ind w:left="3672" w:hanging="360"/>
      </w:pPr>
      <w:rPr>
        <w:rFonts w:cs="Times New Roman"/>
      </w:rPr>
    </w:lvl>
    <w:lvl w:ilvl="4" w:tplc="04090019" w:tentative="1">
      <w:start w:val="1"/>
      <w:numFmt w:val="lowerLetter"/>
      <w:lvlText w:val="%5."/>
      <w:lvlJc w:val="left"/>
      <w:pPr>
        <w:ind w:left="4392" w:hanging="360"/>
      </w:pPr>
      <w:rPr>
        <w:rFonts w:cs="Times New Roman"/>
      </w:rPr>
    </w:lvl>
    <w:lvl w:ilvl="5" w:tplc="0409001B" w:tentative="1">
      <w:start w:val="1"/>
      <w:numFmt w:val="lowerRoman"/>
      <w:lvlText w:val="%6."/>
      <w:lvlJc w:val="right"/>
      <w:pPr>
        <w:ind w:left="5112" w:hanging="180"/>
      </w:pPr>
      <w:rPr>
        <w:rFonts w:cs="Times New Roman"/>
      </w:rPr>
    </w:lvl>
    <w:lvl w:ilvl="6" w:tplc="0409000F" w:tentative="1">
      <w:start w:val="1"/>
      <w:numFmt w:val="decimal"/>
      <w:lvlText w:val="%7."/>
      <w:lvlJc w:val="left"/>
      <w:pPr>
        <w:ind w:left="5832" w:hanging="360"/>
      </w:pPr>
      <w:rPr>
        <w:rFonts w:cs="Times New Roman"/>
      </w:rPr>
    </w:lvl>
    <w:lvl w:ilvl="7" w:tplc="04090019" w:tentative="1">
      <w:start w:val="1"/>
      <w:numFmt w:val="lowerLetter"/>
      <w:lvlText w:val="%8."/>
      <w:lvlJc w:val="left"/>
      <w:pPr>
        <w:ind w:left="6552" w:hanging="360"/>
      </w:pPr>
      <w:rPr>
        <w:rFonts w:cs="Times New Roman"/>
      </w:rPr>
    </w:lvl>
    <w:lvl w:ilvl="8" w:tplc="0409001B" w:tentative="1">
      <w:start w:val="1"/>
      <w:numFmt w:val="lowerRoman"/>
      <w:lvlText w:val="%9."/>
      <w:lvlJc w:val="right"/>
      <w:pPr>
        <w:ind w:left="7272" w:hanging="180"/>
      </w:pPr>
      <w:rPr>
        <w:rFonts w:cs="Times New Roman"/>
      </w:rPr>
    </w:lvl>
  </w:abstractNum>
  <w:abstractNum w:abstractNumId="1">
    <w:nsid w:val="012A6347"/>
    <w:multiLevelType w:val="hybridMultilevel"/>
    <w:tmpl w:val="1E84F538"/>
    <w:lvl w:ilvl="0" w:tplc="CF220BC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039D4803"/>
    <w:multiLevelType w:val="hybridMultilevel"/>
    <w:tmpl w:val="B3740778"/>
    <w:lvl w:ilvl="0" w:tplc="62EEB51E">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3F42AE"/>
    <w:multiLevelType w:val="hybridMultilevel"/>
    <w:tmpl w:val="C6A2AB1E"/>
    <w:lvl w:ilvl="0" w:tplc="DB7CAE64">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0F12F85"/>
    <w:multiLevelType w:val="hybridMultilevel"/>
    <w:tmpl w:val="6EB45042"/>
    <w:lvl w:ilvl="0" w:tplc="0409000F">
      <w:start w:val="1"/>
      <w:numFmt w:val="decimal"/>
      <w:lvlText w:val="%1."/>
      <w:lvlJc w:val="left"/>
      <w:pPr>
        <w:ind w:left="1512" w:hanging="360"/>
      </w:pPr>
      <w:rPr>
        <w:rFonts w:cs="Times New Roman"/>
      </w:rPr>
    </w:lvl>
    <w:lvl w:ilvl="1" w:tplc="04090019" w:tentative="1">
      <w:start w:val="1"/>
      <w:numFmt w:val="lowerLetter"/>
      <w:lvlText w:val="%2."/>
      <w:lvlJc w:val="left"/>
      <w:pPr>
        <w:ind w:left="2232" w:hanging="360"/>
      </w:pPr>
      <w:rPr>
        <w:rFonts w:cs="Times New Roman"/>
      </w:rPr>
    </w:lvl>
    <w:lvl w:ilvl="2" w:tplc="0409001B" w:tentative="1">
      <w:start w:val="1"/>
      <w:numFmt w:val="lowerRoman"/>
      <w:lvlText w:val="%3."/>
      <w:lvlJc w:val="right"/>
      <w:pPr>
        <w:ind w:left="2952" w:hanging="180"/>
      </w:pPr>
      <w:rPr>
        <w:rFonts w:cs="Times New Roman"/>
      </w:rPr>
    </w:lvl>
    <w:lvl w:ilvl="3" w:tplc="0409000F" w:tentative="1">
      <w:start w:val="1"/>
      <w:numFmt w:val="decimal"/>
      <w:lvlText w:val="%4."/>
      <w:lvlJc w:val="left"/>
      <w:pPr>
        <w:ind w:left="3672" w:hanging="360"/>
      </w:pPr>
      <w:rPr>
        <w:rFonts w:cs="Times New Roman"/>
      </w:rPr>
    </w:lvl>
    <w:lvl w:ilvl="4" w:tplc="04090019" w:tentative="1">
      <w:start w:val="1"/>
      <w:numFmt w:val="lowerLetter"/>
      <w:lvlText w:val="%5."/>
      <w:lvlJc w:val="left"/>
      <w:pPr>
        <w:ind w:left="4392" w:hanging="360"/>
      </w:pPr>
      <w:rPr>
        <w:rFonts w:cs="Times New Roman"/>
      </w:rPr>
    </w:lvl>
    <w:lvl w:ilvl="5" w:tplc="0409001B" w:tentative="1">
      <w:start w:val="1"/>
      <w:numFmt w:val="lowerRoman"/>
      <w:lvlText w:val="%6."/>
      <w:lvlJc w:val="right"/>
      <w:pPr>
        <w:ind w:left="5112" w:hanging="180"/>
      </w:pPr>
      <w:rPr>
        <w:rFonts w:cs="Times New Roman"/>
      </w:rPr>
    </w:lvl>
    <w:lvl w:ilvl="6" w:tplc="0409000F" w:tentative="1">
      <w:start w:val="1"/>
      <w:numFmt w:val="decimal"/>
      <w:lvlText w:val="%7."/>
      <w:lvlJc w:val="left"/>
      <w:pPr>
        <w:ind w:left="5832" w:hanging="360"/>
      </w:pPr>
      <w:rPr>
        <w:rFonts w:cs="Times New Roman"/>
      </w:rPr>
    </w:lvl>
    <w:lvl w:ilvl="7" w:tplc="04090019" w:tentative="1">
      <w:start w:val="1"/>
      <w:numFmt w:val="lowerLetter"/>
      <w:lvlText w:val="%8."/>
      <w:lvlJc w:val="left"/>
      <w:pPr>
        <w:ind w:left="6552" w:hanging="360"/>
      </w:pPr>
      <w:rPr>
        <w:rFonts w:cs="Times New Roman"/>
      </w:rPr>
    </w:lvl>
    <w:lvl w:ilvl="8" w:tplc="0409001B" w:tentative="1">
      <w:start w:val="1"/>
      <w:numFmt w:val="lowerRoman"/>
      <w:lvlText w:val="%9."/>
      <w:lvlJc w:val="right"/>
      <w:pPr>
        <w:ind w:left="7272" w:hanging="180"/>
      </w:pPr>
      <w:rPr>
        <w:rFonts w:cs="Times New Roman"/>
      </w:rPr>
    </w:lvl>
  </w:abstractNum>
  <w:abstractNum w:abstractNumId="5">
    <w:nsid w:val="13BB2CE4"/>
    <w:multiLevelType w:val="hybridMultilevel"/>
    <w:tmpl w:val="C3229740"/>
    <w:lvl w:ilvl="0" w:tplc="62EEB51E">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B471C8F"/>
    <w:multiLevelType w:val="hybridMultilevel"/>
    <w:tmpl w:val="58F08B32"/>
    <w:lvl w:ilvl="0" w:tplc="E8801F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E222D60"/>
    <w:multiLevelType w:val="hybridMultilevel"/>
    <w:tmpl w:val="D81A0C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9">
    <w:nsid w:val="2D887AF2"/>
    <w:multiLevelType w:val="hybridMultilevel"/>
    <w:tmpl w:val="EC02BBD6"/>
    <w:lvl w:ilvl="0" w:tplc="62EEB51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648"/>
        </w:tabs>
        <w:ind w:left="648" w:hanging="360"/>
      </w:pPr>
      <w:rPr>
        <w:rFonts w:ascii="Courier New" w:hAnsi="Courier New" w:hint="default"/>
      </w:rPr>
    </w:lvl>
    <w:lvl w:ilvl="2" w:tplc="04090005" w:tentative="1">
      <w:start w:val="1"/>
      <w:numFmt w:val="bullet"/>
      <w:lvlText w:val=""/>
      <w:lvlJc w:val="left"/>
      <w:pPr>
        <w:tabs>
          <w:tab w:val="num" w:pos="1368"/>
        </w:tabs>
        <w:ind w:left="1368" w:hanging="360"/>
      </w:pPr>
      <w:rPr>
        <w:rFonts w:ascii="Wingdings" w:hAnsi="Wingdings" w:hint="default"/>
      </w:rPr>
    </w:lvl>
    <w:lvl w:ilvl="3" w:tplc="04090001" w:tentative="1">
      <w:start w:val="1"/>
      <w:numFmt w:val="bullet"/>
      <w:lvlText w:val=""/>
      <w:lvlJc w:val="left"/>
      <w:pPr>
        <w:tabs>
          <w:tab w:val="num" w:pos="2088"/>
        </w:tabs>
        <w:ind w:left="2088" w:hanging="360"/>
      </w:pPr>
      <w:rPr>
        <w:rFonts w:ascii="Symbol" w:hAnsi="Symbol" w:hint="default"/>
      </w:rPr>
    </w:lvl>
    <w:lvl w:ilvl="4" w:tplc="04090003" w:tentative="1">
      <w:start w:val="1"/>
      <w:numFmt w:val="bullet"/>
      <w:lvlText w:val="o"/>
      <w:lvlJc w:val="left"/>
      <w:pPr>
        <w:tabs>
          <w:tab w:val="num" w:pos="2808"/>
        </w:tabs>
        <w:ind w:left="2808" w:hanging="360"/>
      </w:pPr>
      <w:rPr>
        <w:rFonts w:ascii="Courier New" w:hAnsi="Courier New" w:hint="default"/>
      </w:rPr>
    </w:lvl>
    <w:lvl w:ilvl="5" w:tplc="04090005" w:tentative="1">
      <w:start w:val="1"/>
      <w:numFmt w:val="bullet"/>
      <w:lvlText w:val=""/>
      <w:lvlJc w:val="left"/>
      <w:pPr>
        <w:tabs>
          <w:tab w:val="num" w:pos="3528"/>
        </w:tabs>
        <w:ind w:left="3528" w:hanging="360"/>
      </w:pPr>
      <w:rPr>
        <w:rFonts w:ascii="Wingdings" w:hAnsi="Wingdings" w:hint="default"/>
      </w:rPr>
    </w:lvl>
    <w:lvl w:ilvl="6" w:tplc="04090001" w:tentative="1">
      <w:start w:val="1"/>
      <w:numFmt w:val="bullet"/>
      <w:lvlText w:val=""/>
      <w:lvlJc w:val="left"/>
      <w:pPr>
        <w:tabs>
          <w:tab w:val="num" w:pos="4248"/>
        </w:tabs>
        <w:ind w:left="4248" w:hanging="360"/>
      </w:pPr>
      <w:rPr>
        <w:rFonts w:ascii="Symbol" w:hAnsi="Symbol" w:hint="default"/>
      </w:rPr>
    </w:lvl>
    <w:lvl w:ilvl="7" w:tplc="04090003" w:tentative="1">
      <w:start w:val="1"/>
      <w:numFmt w:val="bullet"/>
      <w:lvlText w:val="o"/>
      <w:lvlJc w:val="left"/>
      <w:pPr>
        <w:tabs>
          <w:tab w:val="num" w:pos="4968"/>
        </w:tabs>
        <w:ind w:left="4968" w:hanging="360"/>
      </w:pPr>
      <w:rPr>
        <w:rFonts w:ascii="Courier New" w:hAnsi="Courier New" w:hint="default"/>
      </w:rPr>
    </w:lvl>
    <w:lvl w:ilvl="8" w:tplc="04090005" w:tentative="1">
      <w:start w:val="1"/>
      <w:numFmt w:val="bullet"/>
      <w:lvlText w:val=""/>
      <w:lvlJc w:val="left"/>
      <w:pPr>
        <w:tabs>
          <w:tab w:val="num" w:pos="5688"/>
        </w:tabs>
        <w:ind w:left="5688" w:hanging="360"/>
      </w:pPr>
      <w:rPr>
        <w:rFonts w:ascii="Wingdings" w:hAnsi="Wingdings" w:hint="default"/>
      </w:rPr>
    </w:lvl>
  </w:abstractNum>
  <w:abstractNum w:abstractNumId="10">
    <w:nsid w:val="2EED0201"/>
    <w:multiLevelType w:val="hybridMultilevel"/>
    <w:tmpl w:val="2122596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1705AFC"/>
    <w:multiLevelType w:val="hybridMultilevel"/>
    <w:tmpl w:val="69D0C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DC3133"/>
    <w:multiLevelType w:val="hybridMultilevel"/>
    <w:tmpl w:val="FCA03058"/>
    <w:lvl w:ilvl="0" w:tplc="3F0892D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51D53D6"/>
    <w:multiLevelType w:val="hybridMultilevel"/>
    <w:tmpl w:val="F2786F5E"/>
    <w:lvl w:ilvl="0" w:tplc="62EEB51E">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15">
    <w:nsid w:val="3DFE6948"/>
    <w:multiLevelType w:val="hybridMultilevel"/>
    <w:tmpl w:val="9E5A85BA"/>
    <w:lvl w:ilvl="0" w:tplc="04090001">
      <w:start w:val="1"/>
      <w:numFmt w:val="bullet"/>
      <w:lvlText w:val=""/>
      <w:lvlJc w:val="left"/>
      <w:pPr>
        <w:ind w:left="1512" w:hanging="360"/>
      </w:pPr>
      <w:rPr>
        <w:rFonts w:ascii="Symbol" w:hAnsi="Symbol" w:hint="default"/>
      </w:rPr>
    </w:lvl>
    <w:lvl w:ilvl="1" w:tplc="04090019" w:tentative="1">
      <w:start w:val="1"/>
      <w:numFmt w:val="lowerLetter"/>
      <w:lvlText w:val="%2."/>
      <w:lvlJc w:val="left"/>
      <w:pPr>
        <w:ind w:left="2232" w:hanging="360"/>
      </w:pPr>
      <w:rPr>
        <w:rFonts w:cs="Times New Roman"/>
      </w:rPr>
    </w:lvl>
    <w:lvl w:ilvl="2" w:tplc="0409001B" w:tentative="1">
      <w:start w:val="1"/>
      <w:numFmt w:val="lowerRoman"/>
      <w:lvlText w:val="%3."/>
      <w:lvlJc w:val="right"/>
      <w:pPr>
        <w:ind w:left="2952" w:hanging="180"/>
      </w:pPr>
      <w:rPr>
        <w:rFonts w:cs="Times New Roman"/>
      </w:rPr>
    </w:lvl>
    <w:lvl w:ilvl="3" w:tplc="0409000F" w:tentative="1">
      <w:start w:val="1"/>
      <w:numFmt w:val="decimal"/>
      <w:lvlText w:val="%4."/>
      <w:lvlJc w:val="left"/>
      <w:pPr>
        <w:ind w:left="3672" w:hanging="360"/>
      </w:pPr>
      <w:rPr>
        <w:rFonts w:cs="Times New Roman"/>
      </w:rPr>
    </w:lvl>
    <w:lvl w:ilvl="4" w:tplc="04090019" w:tentative="1">
      <w:start w:val="1"/>
      <w:numFmt w:val="lowerLetter"/>
      <w:lvlText w:val="%5."/>
      <w:lvlJc w:val="left"/>
      <w:pPr>
        <w:ind w:left="4392" w:hanging="360"/>
      </w:pPr>
      <w:rPr>
        <w:rFonts w:cs="Times New Roman"/>
      </w:rPr>
    </w:lvl>
    <w:lvl w:ilvl="5" w:tplc="0409001B" w:tentative="1">
      <w:start w:val="1"/>
      <w:numFmt w:val="lowerRoman"/>
      <w:lvlText w:val="%6."/>
      <w:lvlJc w:val="right"/>
      <w:pPr>
        <w:ind w:left="5112" w:hanging="180"/>
      </w:pPr>
      <w:rPr>
        <w:rFonts w:cs="Times New Roman"/>
      </w:rPr>
    </w:lvl>
    <w:lvl w:ilvl="6" w:tplc="0409000F" w:tentative="1">
      <w:start w:val="1"/>
      <w:numFmt w:val="decimal"/>
      <w:lvlText w:val="%7."/>
      <w:lvlJc w:val="left"/>
      <w:pPr>
        <w:ind w:left="5832" w:hanging="360"/>
      </w:pPr>
      <w:rPr>
        <w:rFonts w:cs="Times New Roman"/>
      </w:rPr>
    </w:lvl>
    <w:lvl w:ilvl="7" w:tplc="04090019" w:tentative="1">
      <w:start w:val="1"/>
      <w:numFmt w:val="lowerLetter"/>
      <w:lvlText w:val="%8."/>
      <w:lvlJc w:val="left"/>
      <w:pPr>
        <w:ind w:left="6552" w:hanging="360"/>
      </w:pPr>
      <w:rPr>
        <w:rFonts w:cs="Times New Roman"/>
      </w:rPr>
    </w:lvl>
    <w:lvl w:ilvl="8" w:tplc="0409001B" w:tentative="1">
      <w:start w:val="1"/>
      <w:numFmt w:val="lowerRoman"/>
      <w:lvlText w:val="%9."/>
      <w:lvlJc w:val="right"/>
      <w:pPr>
        <w:ind w:left="7272" w:hanging="180"/>
      </w:pPr>
      <w:rPr>
        <w:rFonts w:cs="Times New Roman"/>
      </w:rPr>
    </w:lvl>
  </w:abstractNum>
  <w:abstractNum w:abstractNumId="16">
    <w:nsid w:val="4BD1477F"/>
    <w:multiLevelType w:val="hybridMultilevel"/>
    <w:tmpl w:val="19BA61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BED1827"/>
    <w:multiLevelType w:val="hybridMultilevel"/>
    <w:tmpl w:val="7D2698D4"/>
    <w:lvl w:ilvl="0" w:tplc="2B0837B4">
      <w:start w:val="1"/>
      <w:numFmt w:val="bullet"/>
      <w:lvlText w:val=""/>
      <w:lvlJc w:val="left"/>
      <w:pPr>
        <w:tabs>
          <w:tab w:val="num" w:pos="850"/>
        </w:tabs>
        <w:ind w:left="85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13A5CA1"/>
    <w:multiLevelType w:val="hybridMultilevel"/>
    <w:tmpl w:val="D218783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20">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21">
    <w:nsid w:val="56BF38B4"/>
    <w:multiLevelType w:val="hybridMultilevel"/>
    <w:tmpl w:val="07ACBF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23">
    <w:nsid w:val="5B325A48"/>
    <w:multiLevelType w:val="hybridMultilevel"/>
    <w:tmpl w:val="A1DCE912"/>
    <w:lvl w:ilvl="0" w:tplc="2B0837B4">
      <w:start w:val="1"/>
      <w:numFmt w:val="bullet"/>
      <w:lvlText w:val=""/>
      <w:lvlJc w:val="left"/>
      <w:pPr>
        <w:tabs>
          <w:tab w:val="num" w:pos="850"/>
        </w:tabs>
        <w:ind w:left="85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5">
    <w:nsid w:val="61182925"/>
    <w:multiLevelType w:val="singleLevel"/>
    <w:tmpl w:val="A9EE9842"/>
    <w:lvl w:ilvl="0">
      <w:start w:val="1"/>
      <w:numFmt w:val="decimal"/>
      <w:lvlText w:val="%1."/>
      <w:lvlJc w:val="left"/>
      <w:pPr>
        <w:tabs>
          <w:tab w:val="num" w:pos="1080"/>
        </w:tabs>
        <w:ind w:left="0" w:firstLine="720"/>
      </w:pPr>
    </w:lvl>
  </w:abstractNum>
  <w:abstractNum w:abstractNumId="26">
    <w:nsid w:val="6C8E5441"/>
    <w:multiLevelType w:val="hybridMultilevel"/>
    <w:tmpl w:val="E0221A7A"/>
    <w:lvl w:ilvl="0" w:tplc="04090001">
      <w:start w:val="1"/>
      <w:numFmt w:val="bullet"/>
      <w:lvlText w:val=""/>
      <w:lvlJc w:val="left"/>
      <w:pPr>
        <w:ind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7">
    <w:nsid w:val="733A45C9"/>
    <w:multiLevelType w:val="hybridMultilevel"/>
    <w:tmpl w:val="3E7A2EE6"/>
    <w:lvl w:ilvl="0" w:tplc="FFFFFFFF">
      <w:start w:val="1"/>
      <w:numFmt w:val="decimal"/>
      <w:lvlText w:val="%1."/>
      <w:lvlJc w:val="left"/>
      <w:pPr>
        <w:tabs>
          <w:tab w:val="num" w:pos="720"/>
        </w:tabs>
        <w:ind w:left="72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753F4B8A"/>
    <w:multiLevelType w:val="hybridMultilevel"/>
    <w:tmpl w:val="570CC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B123621"/>
    <w:multiLevelType w:val="hybridMultilevel"/>
    <w:tmpl w:val="A99AEE32"/>
    <w:lvl w:ilvl="0" w:tplc="F606CFA4">
      <w:start w:val="1"/>
      <w:numFmt w:val="bullet"/>
      <w:lvlText w:val=""/>
      <w:lvlJc w:val="left"/>
      <w:pPr>
        <w:tabs>
          <w:tab w:val="num" w:pos="850"/>
        </w:tabs>
        <w:ind w:left="85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F0406EE"/>
    <w:multiLevelType w:val="hybridMultilevel"/>
    <w:tmpl w:val="749E4CE6"/>
    <w:lvl w:ilvl="0" w:tplc="04090001">
      <w:start w:val="1"/>
      <w:numFmt w:val="bullet"/>
      <w:lvlText w:val=""/>
      <w:lvlJc w:val="left"/>
      <w:pPr>
        <w:tabs>
          <w:tab w:val="num" w:pos="1350"/>
        </w:tabs>
        <w:ind w:left="1350" w:hanging="360"/>
      </w:pPr>
      <w:rPr>
        <w:rFonts w:ascii="Wingdings" w:hAnsi="Wingdings" w:hint="default"/>
      </w:rPr>
    </w:lvl>
    <w:lvl w:ilvl="1" w:tplc="04090003">
      <w:start w:val="1"/>
      <w:numFmt w:val="decimal"/>
      <w:lvlText w:val="(%2)"/>
      <w:lvlJc w:val="left"/>
      <w:pPr>
        <w:tabs>
          <w:tab w:val="num" w:pos="2070"/>
        </w:tabs>
        <w:ind w:left="2070" w:hanging="360"/>
      </w:pPr>
      <w:rPr>
        <w:rFonts w:hint="default"/>
      </w:rPr>
    </w:lvl>
    <w:lvl w:ilvl="2" w:tplc="04090005">
      <w:start w:val="1"/>
      <w:numFmt w:val="lowerRoman"/>
      <w:lvlText w:val="%3."/>
      <w:lvlJc w:val="right"/>
      <w:pPr>
        <w:tabs>
          <w:tab w:val="num" w:pos="2790"/>
        </w:tabs>
        <w:ind w:left="2790" w:hanging="180"/>
      </w:pPr>
    </w:lvl>
    <w:lvl w:ilvl="3" w:tplc="04090001">
      <w:numFmt w:val="bullet"/>
      <w:lvlText w:val="-"/>
      <w:lvlJc w:val="left"/>
      <w:pPr>
        <w:tabs>
          <w:tab w:val="num" w:pos="1350"/>
        </w:tabs>
        <w:ind w:left="1350" w:hanging="360"/>
      </w:pPr>
      <w:rPr>
        <w:rFonts w:ascii="Times New Roman" w:eastAsia="Times New Roman" w:hAnsi="Times New Roman" w:cs="Times New Roman" w:hint="default"/>
      </w:rPr>
    </w:lvl>
    <w:lvl w:ilvl="4" w:tplc="04090003">
      <w:start w:val="1"/>
      <w:numFmt w:val="lowerLetter"/>
      <w:lvlText w:val="%5."/>
      <w:lvlJc w:val="left"/>
      <w:pPr>
        <w:tabs>
          <w:tab w:val="num" w:pos="4230"/>
        </w:tabs>
        <w:ind w:left="4230" w:hanging="360"/>
      </w:pPr>
    </w:lvl>
    <w:lvl w:ilvl="5" w:tplc="04090005" w:tentative="1">
      <w:start w:val="1"/>
      <w:numFmt w:val="lowerRoman"/>
      <w:lvlText w:val="%6."/>
      <w:lvlJc w:val="right"/>
      <w:pPr>
        <w:tabs>
          <w:tab w:val="num" w:pos="4950"/>
        </w:tabs>
        <w:ind w:left="4950" w:hanging="180"/>
      </w:pPr>
    </w:lvl>
    <w:lvl w:ilvl="6" w:tplc="04090001" w:tentative="1">
      <w:start w:val="1"/>
      <w:numFmt w:val="decimal"/>
      <w:lvlText w:val="%7."/>
      <w:lvlJc w:val="left"/>
      <w:pPr>
        <w:tabs>
          <w:tab w:val="num" w:pos="5670"/>
        </w:tabs>
        <w:ind w:left="5670" w:hanging="360"/>
      </w:pPr>
    </w:lvl>
    <w:lvl w:ilvl="7" w:tplc="04090003" w:tentative="1">
      <w:start w:val="1"/>
      <w:numFmt w:val="lowerLetter"/>
      <w:lvlText w:val="%8."/>
      <w:lvlJc w:val="left"/>
      <w:pPr>
        <w:tabs>
          <w:tab w:val="num" w:pos="6390"/>
        </w:tabs>
        <w:ind w:left="6390" w:hanging="360"/>
      </w:pPr>
    </w:lvl>
    <w:lvl w:ilvl="8" w:tplc="04090005" w:tentative="1">
      <w:start w:val="1"/>
      <w:numFmt w:val="lowerRoman"/>
      <w:lvlText w:val="%9."/>
      <w:lvlJc w:val="right"/>
      <w:pPr>
        <w:tabs>
          <w:tab w:val="num" w:pos="7110"/>
        </w:tabs>
        <w:ind w:left="7110" w:hanging="180"/>
      </w:pPr>
    </w:lvl>
  </w:abstractNum>
  <w:num w:numId="1">
    <w:abstractNumId w:val="5"/>
  </w:num>
  <w:num w:numId="2">
    <w:abstractNumId w:val="13"/>
  </w:num>
  <w:num w:numId="3">
    <w:abstractNumId w:val="2"/>
  </w:num>
  <w:num w:numId="4">
    <w:abstractNumId w:val="17"/>
  </w:num>
  <w:num w:numId="5">
    <w:abstractNumId w:val="23"/>
  </w:num>
  <w:num w:numId="6">
    <w:abstractNumId w:val="9"/>
  </w:num>
  <w:num w:numId="7">
    <w:abstractNumId w:val="26"/>
  </w:num>
  <w:num w:numId="8">
    <w:abstractNumId w:val="29"/>
  </w:num>
  <w:num w:numId="9">
    <w:abstractNumId w:val="1"/>
  </w:num>
  <w:num w:numId="10">
    <w:abstractNumId w:val="18"/>
  </w:num>
  <w:num w:numId="11">
    <w:abstractNumId w:val="10"/>
  </w:num>
  <w:num w:numId="12">
    <w:abstractNumId w:val="3"/>
  </w:num>
  <w:num w:numId="13">
    <w:abstractNumId w:val="21"/>
  </w:num>
  <w:num w:numId="14">
    <w:abstractNumId w:val="4"/>
  </w:num>
  <w:num w:numId="15">
    <w:abstractNumId w:val="15"/>
  </w:num>
  <w:num w:numId="16">
    <w:abstractNumId w:val="0"/>
  </w:num>
  <w:num w:numId="17">
    <w:abstractNumId w:val="28"/>
  </w:num>
  <w:num w:numId="18">
    <w:abstractNumId w:val="11"/>
  </w:num>
  <w:num w:numId="19">
    <w:abstractNumId w:val="16"/>
  </w:num>
  <w:num w:numId="20">
    <w:abstractNumId w:val="30"/>
  </w:num>
  <w:num w:numId="21">
    <w:abstractNumId w:val="6"/>
  </w:num>
  <w:num w:numId="22">
    <w:abstractNumId w:val="12"/>
  </w:num>
  <w:num w:numId="23">
    <w:abstractNumId w:val="27"/>
  </w:num>
  <w:num w:numId="24">
    <w:abstractNumId w:val="25"/>
  </w:num>
  <w:num w:numId="25">
    <w:abstractNumId w:val="25"/>
    <w:lvlOverride w:ilvl="0">
      <w:startOverride w:val="1"/>
    </w:lvlOverride>
  </w:num>
  <w:num w:numId="26">
    <w:abstractNumId w:val="7"/>
  </w:num>
  <w:num w:numId="27">
    <w:abstractNumId w:val="22"/>
  </w:num>
  <w:num w:numId="28">
    <w:abstractNumId w:val="20"/>
  </w:num>
  <w:num w:numId="29">
    <w:abstractNumId w:val="24"/>
  </w:num>
  <w:num w:numId="30">
    <w:abstractNumId w:val="8"/>
  </w:num>
  <w:num w:numId="31">
    <w:abstractNumId w:val="19"/>
  </w:num>
  <w:num w:numId="32">
    <w:abstractNumId w:val="14"/>
  </w:num>
  <w:num w:numId="33">
    <w:abstractNumId w:val="14"/>
  </w:num>
  <w:num w:numId="34">
    <w:abstractNumId w:val="14"/>
  </w:num>
  <w:num w:numId="35">
    <w:abstractNumId w:val="14"/>
  </w:num>
  <w:num w:numId="36">
    <w:abstractNumId w:val="14"/>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 w:numId="46">
    <w:abstractNumId w:val="14"/>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667"/>
    <w:rsid w:val="00000C00"/>
    <w:rsid w:val="00003158"/>
    <w:rsid w:val="00003A72"/>
    <w:rsid w:val="000041F5"/>
    <w:rsid w:val="0000482D"/>
    <w:rsid w:val="00005BC2"/>
    <w:rsid w:val="0001009F"/>
    <w:rsid w:val="00015B35"/>
    <w:rsid w:val="00016159"/>
    <w:rsid w:val="00025824"/>
    <w:rsid w:val="00025AF3"/>
    <w:rsid w:val="00026CA9"/>
    <w:rsid w:val="0003261B"/>
    <w:rsid w:val="000330A7"/>
    <w:rsid w:val="0003554A"/>
    <w:rsid w:val="00040834"/>
    <w:rsid w:val="00043C11"/>
    <w:rsid w:val="000451E7"/>
    <w:rsid w:val="00047980"/>
    <w:rsid w:val="00052CDF"/>
    <w:rsid w:val="000542DD"/>
    <w:rsid w:val="000606E8"/>
    <w:rsid w:val="00060B5F"/>
    <w:rsid w:val="00066C6E"/>
    <w:rsid w:val="00067CFC"/>
    <w:rsid w:val="00070524"/>
    <w:rsid w:val="00073439"/>
    <w:rsid w:val="00076776"/>
    <w:rsid w:val="00085C6F"/>
    <w:rsid w:val="00086C5C"/>
    <w:rsid w:val="00090FA9"/>
    <w:rsid w:val="00091A13"/>
    <w:rsid w:val="000A2D47"/>
    <w:rsid w:val="000A33A4"/>
    <w:rsid w:val="000A3970"/>
    <w:rsid w:val="000A4DD2"/>
    <w:rsid w:val="000A54E2"/>
    <w:rsid w:val="000B25D6"/>
    <w:rsid w:val="000B3E9D"/>
    <w:rsid w:val="000B52F9"/>
    <w:rsid w:val="000B6E6B"/>
    <w:rsid w:val="000C2528"/>
    <w:rsid w:val="000C3692"/>
    <w:rsid w:val="000C3EB2"/>
    <w:rsid w:val="000C5403"/>
    <w:rsid w:val="000D14CF"/>
    <w:rsid w:val="000D19D9"/>
    <w:rsid w:val="000D1E68"/>
    <w:rsid w:val="000D1EE8"/>
    <w:rsid w:val="000D460F"/>
    <w:rsid w:val="000D6CC3"/>
    <w:rsid w:val="000D76C0"/>
    <w:rsid w:val="000D79A8"/>
    <w:rsid w:val="000E1712"/>
    <w:rsid w:val="000E2940"/>
    <w:rsid w:val="000E3A49"/>
    <w:rsid w:val="000E68B9"/>
    <w:rsid w:val="000E704B"/>
    <w:rsid w:val="000E7184"/>
    <w:rsid w:val="000E77B1"/>
    <w:rsid w:val="000F2420"/>
    <w:rsid w:val="000F242E"/>
    <w:rsid w:val="000F2B8D"/>
    <w:rsid w:val="000F5ECF"/>
    <w:rsid w:val="00102879"/>
    <w:rsid w:val="001040AB"/>
    <w:rsid w:val="0010528D"/>
    <w:rsid w:val="00105ACA"/>
    <w:rsid w:val="00105CFE"/>
    <w:rsid w:val="00107E01"/>
    <w:rsid w:val="001117DA"/>
    <w:rsid w:val="0011556C"/>
    <w:rsid w:val="00117C87"/>
    <w:rsid w:val="00124B75"/>
    <w:rsid w:val="00126FAB"/>
    <w:rsid w:val="00130929"/>
    <w:rsid w:val="00130E09"/>
    <w:rsid w:val="00134671"/>
    <w:rsid w:val="00134E84"/>
    <w:rsid w:val="0013636D"/>
    <w:rsid w:val="00137776"/>
    <w:rsid w:val="00140F89"/>
    <w:rsid w:val="00140FBA"/>
    <w:rsid w:val="00141184"/>
    <w:rsid w:val="00143D7D"/>
    <w:rsid w:val="00143D89"/>
    <w:rsid w:val="0014502F"/>
    <w:rsid w:val="00145785"/>
    <w:rsid w:val="00146D87"/>
    <w:rsid w:val="00146E16"/>
    <w:rsid w:val="00147439"/>
    <w:rsid w:val="0015071B"/>
    <w:rsid w:val="00151504"/>
    <w:rsid w:val="00153AD6"/>
    <w:rsid w:val="001573F1"/>
    <w:rsid w:val="00160CB0"/>
    <w:rsid w:val="00160DB6"/>
    <w:rsid w:val="00163DAF"/>
    <w:rsid w:val="001714B0"/>
    <w:rsid w:val="001732EA"/>
    <w:rsid w:val="00175F74"/>
    <w:rsid w:val="00181189"/>
    <w:rsid w:val="0018339B"/>
    <w:rsid w:val="00184431"/>
    <w:rsid w:val="00186612"/>
    <w:rsid w:val="00186B77"/>
    <w:rsid w:val="001937BE"/>
    <w:rsid w:val="00195E19"/>
    <w:rsid w:val="00196A89"/>
    <w:rsid w:val="001A169B"/>
    <w:rsid w:val="001A1700"/>
    <w:rsid w:val="001A2768"/>
    <w:rsid w:val="001A3608"/>
    <w:rsid w:val="001A38BC"/>
    <w:rsid w:val="001A4636"/>
    <w:rsid w:val="001B2F41"/>
    <w:rsid w:val="001B2FF5"/>
    <w:rsid w:val="001B3AE7"/>
    <w:rsid w:val="001B3D04"/>
    <w:rsid w:val="001B6030"/>
    <w:rsid w:val="001B6E88"/>
    <w:rsid w:val="001C1965"/>
    <w:rsid w:val="001C1CF4"/>
    <w:rsid w:val="001C4D39"/>
    <w:rsid w:val="001D560D"/>
    <w:rsid w:val="001D56F0"/>
    <w:rsid w:val="001D5D85"/>
    <w:rsid w:val="001D6963"/>
    <w:rsid w:val="001E4B94"/>
    <w:rsid w:val="001E4DBD"/>
    <w:rsid w:val="001F1083"/>
    <w:rsid w:val="001F41A4"/>
    <w:rsid w:val="001F4A48"/>
    <w:rsid w:val="001F4E88"/>
    <w:rsid w:val="001F7542"/>
    <w:rsid w:val="001F7585"/>
    <w:rsid w:val="00200428"/>
    <w:rsid w:val="002004A4"/>
    <w:rsid w:val="00200661"/>
    <w:rsid w:val="002024C7"/>
    <w:rsid w:val="00204C42"/>
    <w:rsid w:val="00210F28"/>
    <w:rsid w:val="0021564F"/>
    <w:rsid w:val="00220409"/>
    <w:rsid w:val="002205E0"/>
    <w:rsid w:val="00222072"/>
    <w:rsid w:val="00222D26"/>
    <w:rsid w:val="002245AC"/>
    <w:rsid w:val="00225009"/>
    <w:rsid w:val="0023022E"/>
    <w:rsid w:val="002341CB"/>
    <w:rsid w:val="00235BDE"/>
    <w:rsid w:val="00242F63"/>
    <w:rsid w:val="00255CB7"/>
    <w:rsid w:val="00256D89"/>
    <w:rsid w:val="00257602"/>
    <w:rsid w:val="00257860"/>
    <w:rsid w:val="00260D07"/>
    <w:rsid w:val="00262435"/>
    <w:rsid w:val="00267D90"/>
    <w:rsid w:val="00270ADD"/>
    <w:rsid w:val="00275C4A"/>
    <w:rsid w:val="00276182"/>
    <w:rsid w:val="0027718C"/>
    <w:rsid w:val="00281E16"/>
    <w:rsid w:val="00283E17"/>
    <w:rsid w:val="0028623A"/>
    <w:rsid w:val="00286E98"/>
    <w:rsid w:val="00290183"/>
    <w:rsid w:val="00290E8E"/>
    <w:rsid w:val="0029217D"/>
    <w:rsid w:val="00292C7D"/>
    <w:rsid w:val="00296220"/>
    <w:rsid w:val="00296D88"/>
    <w:rsid w:val="002A0ED0"/>
    <w:rsid w:val="002A16BF"/>
    <w:rsid w:val="002A21FA"/>
    <w:rsid w:val="002A2D63"/>
    <w:rsid w:val="002A4486"/>
    <w:rsid w:val="002A47EF"/>
    <w:rsid w:val="002A4FAF"/>
    <w:rsid w:val="002A69C7"/>
    <w:rsid w:val="002A7DB8"/>
    <w:rsid w:val="002B0121"/>
    <w:rsid w:val="002B031C"/>
    <w:rsid w:val="002B067E"/>
    <w:rsid w:val="002B308B"/>
    <w:rsid w:val="002C0890"/>
    <w:rsid w:val="002C32C6"/>
    <w:rsid w:val="002C6C5D"/>
    <w:rsid w:val="002D05AD"/>
    <w:rsid w:val="002D1FC0"/>
    <w:rsid w:val="002D4C20"/>
    <w:rsid w:val="002D77B5"/>
    <w:rsid w:val="002D7A43"/>
    <w:rsid w:val="002E04D0"/>
    <w:rsid w:val="002E05CC"/>
    <w:rsid w:val="002E074D"/>
    <w:rsid w:val="002E4911"/>
    <w:rsid w:val="002E4CBF"/>
    <w:rsid w:val="002E4D20"/>
    <w:rsid w:val="002F1F04"/>
    <w:rsid w:val="002F48F5"/>
    <w:rsid w:val="002F7F7C"/>
    <w:rsid w:val="003016C5"/>
    <w:rsid w:val="003038BB"/>
    <w:rsid w:val="00305010"/>
    <w:rsid w:val="0030540C"/>
    <w:rsid w:val="0030607E"/>
    <w:rsid w:val="003068F7"/>
    <w:rsid w:val="0030793B"/>
    <w:rsid w:val="00311F08"/>
    <w:rsid w:val="0031782B"/>
    <w:rsid w:val="00320071"/>
    <w:rsid w:val="00320457"/>
    <w:rsid w:val="00320B5D"/>
    <w:rsid w:val="0032146B"/>
    <w:rsid w:val="0032209A"/>
    <w:rsid w:val="00322856"/>
    <w:rsid w:val="0032309E"/>
    <w:rsid w:val="00323B64"/>
    <w:rsid w:val="00324144"/>
    <w:rsid w:val="00324832"/>
    <w:rsid w:val="00324D28"/>
    <w:rsid w:val="00332DC1"/>
    <w:rsid w:val="00333B46"/>
    <w:rsid w:val="00336008"/>
    <w:rsid w:val="003405F3"/>
    <w:rsid w:val="0034389C"/>
    <w:rsid w:val="003477AE"/>
    <w:rsid w:val="0035031B"/>
    <w:rsid w:val="0035389A"/>
    <w:rsid w:val="003577E6"/>
    <w:rsid w:val="00360D37"/>
    <w:rsid w:val="00366BAC"/>
    <w:rsid w:val="0037348F"/>
    <w:rsid w:val="00373C41"/>
    <w:rsid w:val="00375FB5"/>
    <w:rsid w:val="0037752C"/>
    <w:rsid w:val="00377DA1"/>
    <w:rsid w:val="003805B9"/>
    <w:rsid w:val="0038084B"/>
    <w:rsid w:val="00381A78"/>
    <w:rsid w:val="00381EE8"/>
    <w:rsid w:val="003833A5"/>
    <w:rsid w:val="00384D35"/>
    <w:rsid w:val="00386716"/>
    <w:rsid w:val="00387BDD"/>
    <w:rsid w:val="0039240A"/>
    <w:rsid w:val="00392F76"/>
    <w:rsid w:val="0039348C"/>
    <w:rsid w:val="003A112D"/>
    <w:rsid w:val="003A146E"/>
    <w:rsid w:val="003A1F53"/>
    <w:rsid w:val="003A68F7"/>
    <w:rsid w:val="003B3D33"/>
    <w:rsid w:val="003B46DC"/>
    <w:rsid w:val="003B53F4"/>
    <w:rsid w:val="003C06F3"/>
    <w:rsid w:val="003C16D9"/>
    <w:rsid w:val="003C1981"/>
    <w:rsid w:val="003C4BB4"/>
    <w:rsid w:val="003C5358"/>
    <w:rsid w:val="003C59A5"/>
    <w:rsid w:val="003C6067"/>
    <w:rsid w:val="003C64B1"/>
    <w:rsid w:val="003C7D95"/>
    <w:rsid w:val="003D498B"/>
    <w:rsid w:val="003D5297"/>
    <w:rsid w:val="003D7C93"/>
    <w:rsid w:val="003E0BDE"/>
    <w:rsid w:val="003E1607"/>
    <w:rsid w:val="003E2733"/>
    <w:rsid w:val="003E324E"/>
    <w:rsid w:val="003E512C"/>
    <w:rsid w:val="003E5352"/>
    <w:rsid w:val="003E7889"/>
    <w:rsid w:val="003F0DBE"/>
    <w:rsid w:val="003F14D6"/>
    <w:rsid w:val="003F1AF2"/>
    <w:rsid w:val="00400812"/>
    <w:rsid w:val="004017FB"/>
    <w:rsid w:val="00401DFE"/>
    <w:rsid w:val="0040331F"/>
    <w:rsid w:val="0040366C"/>
    <w:rsid w:val="004074E9"/>
    <w:rsid w:val="0041258C"/>
    <w:rsid w:val="00416086"/>
    <w:rsid w:val="00417FD8"/>
    <w:rsid w:val="00420DE2"/>
    <w:rsid w:val="00420EAB"/>
    <w:rsid w:val="004220B4"/>
    <w:rsid w:val="004243C5"/>
    <w:rsid w:val="00425AE7"/>
    <w:rsid w:val="00426E49"/>
    <w:rsid w:val="00427C09"/>
    <w:rsid w:val="00427E75"/>
    <w:rsid w:val="00431EF3"/>
    <w:rsid w:val="0043440A"/>
    <w:rsid w:val="00435DA5"/>
    <w:rsid w:val="004369A4"/>
    <w:rsid w:val="00436A52"/>
    <w:rsid w:val="00436DEC"/>
    <w:rsid w:val="00444625"/>
    <w:rsid w:val="00444CDD"/>
    <w:rsid w:val="004466DC"/>
    <w:rsid w:val="00447210"/>
    <w:rsid w:val="004475AD"/>
    <w:rsid w:val="00447D79"/>
    <w:rsid w:val="00447F1A"/>
    <w:rsid w:val="0045025E"/>
    <w:rsid w:val="004504AB"/>
    <w:rsid w:val="0045349D"/>
    <w:rsid w:val="00453B59"/>
    <w:rsid w:val="00460CAA"/>
    <w:rsid w:val="004652FF"/>
    <w:rsid w:val="0046719C"/>
    <w:rsid w:val="004673D7"/>
    <w:rsid w:val="00467E7B"/>
    <w:rsid w:val="00467F37"/>
    <w:rsid w:val="00470506"/>
    <w:rsid w:val="004724EF"/>
    <w:rsid w:val="0047502A"/>
    <w:rsid w:val="00477396"/>
    <w:rsid w:val="00477E19"/>
    <w:rsid w:val="00480667"/>
    <w:rsid w:val="00480FF4"/>
    <w:rsid w:val="00482557"/>
    <w:rsid w:val="004930E7"/>
    <w:rsid w:val="004A0B8F"/>
    <w:rsid w:val="004A12D0"/>
    <w:rsid w:val="004A364F"/>
    <w:rsid w:val="004A4168"/>
    <w:rsid w:val="004A7370"/>
    <w:rsid w:val="004B004D"/>
    <w:rsid w:val="004B01B1"/>
    <w:rsid w:val="004B24E2"/>
    <w:rsid w:val="004B474F"/>
    <w:rsid w:val="004B4A23"/>
    <w:rsid w:val="004B4E87"/>
    <w:rsid w:val="004B4FF6"/>
    <w:rsid w:val="004B5E07"/>
    <w:rsid w:val="004B6D74"/>
    <w:rsid w:val="004B7203"/>
    <w:rsid w:val="004C0057"/>
    <w:rsid w:val="004C5A3D"/>
    <w:rsid w:val="004D2D20"/>
    <w:rsid w:val="004D63F7"/>
    <w:rsid w:val="004E3168"/>
    <w:rsid w:val="004E5BC8"/>
    <w:rsid w:val="004E70D0"/>
    <w:rsid w:val="004F0023"/>
    <w:rsid w:val="004F5997"/>
    <w:rsid w:val="004F5FC0"/>
    <w:rsid w:val="004F72FA"/>
    <w:rsid w:val="005006EF"/>
    <w:rsid w:val="00501650"/>
    <w:rsid w:val="00501A46"/>
    <w:rsid w:val="00502680"/>
    <w:rsid w:val="005062C5"/>
    <w:rsid w:val="005064BC"/>
    <w:rsid w:val="00511E2B"/>
    <w:rsid w:val="005157DC"/>
    <w:rsid w:val="00520087"/>
    <w:rsid w:val="00520168"/>
    <w:rsid w:val="00522F7F"/>
    <w:rsid w:val="0052463E"/>
    <w:rsid w:val="005278D3"/>
    <w:rsid w:val="00527A2F"/>
    <w:rsid w:val="00532D9F"/>
    <w:rsid w:val="00532F1B"/>
    <w:rsid w:val="0053586F"/>
    <w:rsid w:val="00535A72"/>
    <w:rsid w:val="00536A1F"/>
    <w:rsid w:val="005372D0"/>
    <w:rsid w:val="005424BA"/>
    <w:rsid w:val="00542F3D"/>
    <w:rsid w:val="005462A6"/>
    <w:rsid w:val="00546E3A"/>
    <w:rsid w:val="00550CA9"/>
    <w:rsid w:val="00550F0F"/>
    <w:rsid w:val="00550F55"/>
    <w:rsid w:val="00551537"/>
    <w:rsid w:val="00553190"/>
    <w:rsid w:val="00561002"/>
    <w:rsid w:val="00564B7E"/>
    <w:rsid w:val="005717C2"/>
    <w:rsid w:val="0057257A"/>
    <w:rsid w:val="00572890"/>
    <w:rsid w:val="00572BD3"/>
    <w:rsid w:val="005731F1"/>
    <w:rsid w:val="005739BC"/>
    <w:rsid w:val="0057589D"/>
    <w:rsid w:val="00575DC5"/>
    <w:rsid w:val="005821AC"/>
    <w:rsid w:val="00587CF3"/>
    <w:rsid w:val="0059165A"/>
    <w:rsid w:val="00591F65"/>
    <w:rsid w:val="005923B1"/>
    <w:rsid w:val="00593748"/>
    <w:rsid w:val="005972CB"/>
    <w:rsid w:val="005A0B7E"/>
    <w:rsid w:val="005A10F0"/>
    <w:rsid w:val="005A2039"/>
    <w:rsid w:val="005A203C"/>
    <w:rsid w:val="005A2686"/>
    <w:rsid w:val="005A3872"/>
    <w:rsid w:val="005A6B2F"/>
    <w:rsid w:val="005B0002"/>
    <w:rsid w:val="005B2B18"/>
    <w:rsid w:val="005C0CD8"/>
    <w:rsid w:val="005C0F2F"/>
    <w:rsid w:val="005C16E4"/>
    <w:rsid w:val="005C2AD4"/>
    <w:rsid w:val="005C30B3"/>
    <w:rsid w:val="005C3ED1"/>
    <w:rsid w:val="005C554B"/>
    <w:rsid w:val="005C6DF8"/>
    <w:rsid w:val="005C77CA"/>
    <w:rsid w:val="005C7C9A"/>
    <w:rsid w:val="005D04C2"/>
    <w:rsid w:val="005D3B94"/>
    <w:rsid w:val="005D4F17"/>
    <w:rsid w:val="005D4F52"/>
    <w:rsid w:val="005D5A0F"/>
    <w:rsid w:val="005D5EB0"/>
    <w:rsid w:val="005D6ECC"/>
    <w:rsid w:val="005D6FE6"/>
    <w:rsid w:val="005D783B"/>
    <w:rsid w:val="005E066C"/>
    <w:rsid w:val="005E4D02"/>
    <w:rsid w:val="005E61CF"/>
    <w:rsid w:val="005E63B9"/>
    <w:rsid w:val="005E6F3A"/>
    <w:rsid w:val="005E78E8"/>
    <w:rsid w:val="005E7ECE"/>
    <w:rsid w:val="005F1184"/>
    <w:rsid w:val="005F1515"/>
    <w:rsid w:val="005F1F32"/>
    <w:rsid w:val="005F260F"/>
    <w:rsid w:val="005F42C7"/>
    <w:rsid w:val="005F4433"/>
    <w:rsid w:val="006010CA"/>
    <w:rsid w:val="006016E3"/>
    <w:rsid w:val="006037EF"/>
    <w:rsid w:val="006049B5"/>
    <w:rsid w:val="006053AD"/>
    <w:rsid w:val="00610683"/>
    <w:rsid w:val="006137D2"/>
    <w:rsid w:val="006139A5"/>
    <w:rsid w:val="00613C4A"/>
    <w:rsid w:val="00614153"/>
    <w:rsid w:val="00614DD1"/>
    <w:rsid w:val="006151C4"/>
    <w:rsid w:val="006154D0"/>
    <w:rsid w:val="00615D5F"/>
    <w:rsid w:val="00621A04"/>
    <w:rsid w:val="00625760"/>
    <w:rsid w:val="00627BE3"/>
    <w:rsid w:val="00631BF2"/>
    <w:rsid w:val="00632A03"/>
    <w:rsid w:val="00634472"/>
    <w:rsid w:val="006346EB"/>
    <w:rsid w:val="0063559A"/>
    <w:rsid w:val="00637C86"/>
    <w:rsid w:val="00643A3C"/>
    <w:rsid w:val="0064664D"/>
    <w:rsid w:val="00646A3E"/>
    <w:rsid w:val="00647A61"/>
    <w:rsid w:val="00647FE4"/>
    <w:rsid w:val="00651481"/>
    <w:rsid w:val="0065187B"/>
    <w:rsid w:val="0065277A"/>
    <w:rsid w:val="006537F7"/>
    <w:rsid w:val="0065535C"/>
    <w:rsid w:val="00656004"/>
    <w:rsid w:val="00656177"/>
    <w:rsid w:val="00662FB6"/>
    <w:rsid w:val="006650F6"/>
    <w:rsid w:val="006679CB"/>
    <w:rsid w:val="00670DB8"/>
    <w:rsid w:val="00671134"/>
    <w:rsid w:val="006720EB"/>
    <w:rsid w:val="00672844"/>
    <w:rsid w:val="006740F3"/>
    <w:rsid w:val="00676818"/>
    <w:rsid w:val="006776FB"/>
    <w:rsid w:val="00677D33"/>
    <w:rsid w:val="00677EA5"/>
    <w:rsid w:val="00680CF5"/>
    <w:rsid w:val="00683B0F"/>
    <w:rsid w:val="00683D95"/>
    <w:rsid w:val="00683F17"/>
    <w:rsid w:val="0068703E"/>
    <w:rsid w:val="00690749"/>
    <w:rsid w:val="00691FD0"/>
    <w:rsid w:val="00696EB1"/>
    <w:rsid w:val="006A1436"/>
    <w:rsid w:val="006A2C04"/>
    <w:rsid w:val="006A2FEC"/>
    <w:rsid w:val="006A3793"/>
    <w:rsid w:val="006A526C"/>
    <w:rsid w:val="006A646D"/>
    <w:rsid w:val="006A74BA"/>
    <w:rsid w:val="006B4024"/>
    <w:rsid w:val="006B58A7"/>
    <w:rsid w:val="006B6DE2"/>
    <w:rsid w:val="006B73A6"/>
    <w:rsid w:val="006B74E0"/>
    <w:rsid w:val="006C07D7"/>
    <w:rsid w:val="006C20F2"/>
    <w:rsid w:val="006C592A"/>
    <w:rsid w:val="006C70AB"/>
    <w:rsid w:val="006C7B2B"/>
    <w:rsid w:val="006D2030"/>
    <w:rsid w:val="006D466A"/>
    <w:rsid w:val="006D474F"/>
    <w:rsid w:val="006D5C36"/>
    <w:rsid w:val="006D7601"/>
    <w:rsid w:val="006E029F"/>
    <w:rsid w:val="006E0B6A"/>
    <w:rsid w:val="006E2495"/>
    <w:rsid w:val="006E40D4"/>
    <w:rsid w:val="006E782C"/>
    <w:rsid w:val="006F0692"/>
    <w:rsid w:val="006F19A3"/>
    <w:rsid w:val="006F2189"/>
    <w:rsid w:val="006F2421"/>
    <w:rsid w:val="006F6F9D"/>
    <w:rsid w:val="006F7E48"/>
    <w:rsid w:val="007140ED"/>
    <w:rsid w:val="00717924"/>
    <w:rsid w:val="00721640"/>
    <w:rsid w:val="007249FA"/>
    <w:rsid w:val="007257D6"/>
    <w:rsid w:val="0073051D"/>
    <w:rsid w:val="007312E3"/>
    <w:rsid w:val="00732169"/>
    <w:rsid w:val="0073319B"/>
    <w:rsid w:val="00734F44"/>
    <w:rsid w:val="00735B9C"/>
    <w:rsid w:val="00737CA6"/>
    <w:rsid w:val="0074137E"/>
    <w:rsid w:val="00750D01"/>
    <w:rsid w:val="00763AB7"/>
    <w:rsid w:val="00770D71"/>
    <w:rsid w:val="00771A70"/>
    <w:rsid w:val="00772899"/>
    <w:rsid w:val="00772D86"/>
    <w:rsid w:val="00774B52"/>
    <w:rsid w:val="00774E49"/>
    <w:rsid w:val="007753EE"/>
    <w:rsid w:val="007763A5"/>
    <w:rsid w:val="00777A87"/>
    <w:rsid w:val="00780898"/>
    <w:rsid w:val="00781863"/>
    <w:rsid w:val="007830E6"/>
    <w:rsid w:val="00785750"/>
    <w:rsid w:val="00795CCF"/>
    <w:rsid w:val="0079660D"/>
    <w:rsid w:val="007A0297"/>
    <w:rsid w:val="007A0F00"/>
    <w:rsid w:val="007A5CE8"/>
    <w:rsid w:val="007A728B"/>
    <w:rsid w:val="007B210C"/>
    <w:rsid w:val="007B2DFB"/>
    <w:rsid w:val="007B44F8"/>
    <w:rsid w:val="007B4C6F"/>
    <w:rsid w:val="007B6442"/>
    <w:rsid w:val="007B776B"/>
    <w:rsid w:val="007B79CD"/>
    <w:rsid w:val="007C082E"/>
    <w:rsid w:val="007C11D4"/>
    <w:rsid w:val="007C2AFE"/>
    <w:rsid w:val="007C3E9D"/>
    <w:rsid w:val="007C4525"/>
    <w:rsid w:val="007C5679"/>
    <w:rsid w:val="007D1C57"/>
    <w:rsid w:val="007D2D24"/>
    <w:rsid w:val="007D52CD"/>
    <w:rsid w:val="007D5699"/>
    <w:rsid w:val="007E0D3C"/>
    <w:rsid w:val="007E4C67"/>
    <w:rsid w:val="007F42AE"/>
    <w:rsid w:val="007F4663"/>
    <w:rsid w:val="007F4E93"/>
    <w:rsid w:val="007F527B"/>
    <w:rsid w:val="007F596B"/>
    <w:rsid w:val="007F728D"/>
    <w:rsid w:val="008007B0"/>
    <w:rsid w:val="0080127B"/>
    <w:rsid w:val="00803F94"/>
    <w:rsid w:val="00807F8C"/>
    <w:rsid w:val="0081118A"/>
    <w:rsid w:val="008139F5"/>
    <w:rsid w:val="008155BD"/>
    <w:rsid w:val="008230E8"/>
    <w:rsid w:val="00823753"/>
    <w:rsid w:val="00826FD4"/>
    <w:rsid w:val="00827D04"/>
    <w:rsid w:val="00830504"/>
    <w:rsid w:val="008308E9"/>
    <w:rsid w:val="00831308"/>
    <w:rsid w:val="00832CA6"/>
    <w:rsid w:val="00833387"/>
    <w:rsid w:val="00834494"/>
    <w:rsid w:val="00835443"/>
    <w:rsid w:val="0083578E"/>
    <w:rsid w:val="00835C70"/>
    <w:rsid w:val="00842E5C"/>
    <w:rsid w:val="008439C5"/>
    <w:rsid w:val="00843DFF"/>
    <w:rsid w:val="00845727"/>
    <w:rsid w:val="00851564"/>
    <w:rsid w:val="00853E79"/>
    <w:rsid w:val="00856BA5"/>
    <w:rsid w:val="008626E7"/>
    <w:rsid w:val="00867880"/>
    <w:rsid w:val="008723BF"/>
    <w:rsid w:val="00873EE7"/>
    <w:rsid w:val="008752AE"/>
    <w:rsid w:val="00875329"/>
    <w:rsid w:val="00876D6E"/>
    <w:rsid w:val="00880FD0"/>
    <w:rsid w:val="00881292"/>
    <w:rsid w:val="008843D4"/>
    <w:rsid w:val="00886697"/>
    <w:rsid w:val="008868B7"/>
    <w:rsid w:val="00887D3F"/>
    <w:rsid w:val="008A04F3"/>
    <w:rsid w:val="008A2B26"/>
    <w:rsid w:val="008A4581"/>
    <w:rsid w:val="008A6BAD"/>
    <w:rsid w:val="008B0656"/>
    <w:rsid w:val="008B0FD7"/>
    <w:rsid w:val="008B1182"/>
    <w:rsid w:val="008B189F"/>
    <w:rsid w:val="008B3205"/>
    <w:rsid w:val="008B62C6"/>
    <w:rsid w:val="008B68A2"/>
    <w:rsid w:val="008C3669"/>
    <w:rsid w:val="008C3CAB"/>
    <w:rsid w:val="008C5163"/>
    <w:rsid w:val="008C5D06"/>
    <w:rsid w:val="008D1E09"/>
    <w:rsid w:val="008D4177"/>
    <w:rsid w:val="008D4C12"/>
    <w:rsid w:val="008D6EF1"/>
    <w:rsid w:val="008E011E"/>
    <w:rsid w:val="008E0F56"/>
    <w:rsid w:val="008E2755"/>
    <w:rsid w:val="008E2D61"/>
    <w:rsid w:val="008E3155"/>
    <w:rsid w:val="008E494F"/>
    <w:rsid w:val="008E6A79"/>
    <w:rsid w:val="008F6B7B"/>
    <w:rsid w:val="008F78EB"/>
    <w:rsid w:val="009001CC"/>
    <w:rsid w:val="00900661"/>
    <w:rsid w:val="00900C1D"/>
    <w:rsid w:val="00903CE7"/>
    <w:rsid w:val="0090544E"/>
    <w:rsid w:val="009059C0"/>
    <w:rsid w:val="009104DA"/>
    <w:rsid w:val="00911D96"/>
    <w:rsid w:val="009121AD"/>
    <w:rsid w:val="009123BD"/>
    <w:rsid w:val="0091328A"/>
    <w:rsid w:val="00914387"/>
    <w:rsid w:val="009159D0"/>
    <w:rsid w:val="00916DCE"/>
    <w:rsid w:val="00921C67"/>
    <w:rsid w:val="00923819"/>
    <w:rsid w:val="00925832"/>
    <w:rsid w:val="009259A5"/>
    <w:rsid w:val="00930DCF"/>
    <w:rsid w:val="0093231A"/>
    <w:rsid w:val="00935050"/>
    <w:rsid w:val="0093572E"/>
    <w:rsid w:val="00935834"/>
    <w:rsid w:val="0094095C"/>
    <w:rsid w:val="00941D5D"/>
    <w:rsid w:val="00942CA2"/>
    <w:rsid w:val="00945BD9"/>
    <w:rsid w:val="00947B90"/>
    <w:rsid w:val="00950CA5"/>
    <w:rsid w:val="00951053"/>
    <w:rsid w:val="00951564"/>
    <w:rsid w:val="00953634"/>
    <w:rsid w:val="00954BB3"/>
    <w:rsid w:val="009610E6"/>
    <w:rsid w:val="00964B64"/>
    <w:rsid w:val="00965138"/>
    <w:rsid w:val="00965C9B"/>
    <w:rsid w:val="00966382"/>
    <w:rsid w:val="00966B84"/>
    <w:rsid w:val="00975812"/>
    <w:rsid w:val="0097600B"/>
    <w:rsid w:val="00977D88"/>
    <w:rsid w:val="009808E7"/>
    <w:rsid w:val="00982105"/>
    <w:rsid w:val="009847A9"/>
    <w:rsid w:val="00987F7B"/>
    <w:rsid w:val="009904F2"/>
    <w:rsid w:val="0099347D"/>
    <w:rsid w:val="00994168"/>
    <w:rsid w:val="00994324"/>
    <w:rsid w:val="00994616"/>
    <w:rsid w:val="0099525B"/>
    <w:rsid w:val="009956BE"/>
    <w:rsid w:val="009970C7"/>
    <w:rsid w:val="0099726E"/>
    <w:rsid w:val="00997B25"/>
    <w:rsid w:val="009A1089"/>
    <w:rsid w:val="009A17FF"/>
    <w:rsid w:val="009A434D"/>
    <w:rsid w:val="009B0A68"/>
    <w:rsid w:val="009B48FA"/>
    <w:rsid w:val="009B505D"/>
    <w:rsid w:val="009B56D1"/>
    <w:rsid w:val="009B5E01"/>
    <w:rsid w:val="009C017B"/>
    <w:rsid w:val="009C3B5A"/>
    <w:rsid w:val="009C6E6A"/>
    <w:rsid w:val="009D0BA7"/>
    <w:rsid w:val="009D1376"/>
    <w:rsid w:val="009D546E"/>
    <w:rsid w:val="009D609B"/>
    <w:rsid w:val="009D7221"/>
    <w:rsid w:val="009E2C54"/>
    <w:rsid w:val="009E4EFE"/>
    <w:rsid w:val="009E5450"/>
    <w:rsid w:val="009E55C2"/>
    <w:rsid w:val="009F2F35"/>
    <w:rsid w:val="009F41C1"/>
    <w:rsid w:val="009F588B"/>
    <w:rsid w:val="00A01267"/>
    <w:rsid w:val="00A02A00"/>
    <w:rsid w:val="00A02D3B"/>
    <w:rsid w:val="00A047A9"/>
    <w:rsid w:val="00A057F0"/>
    <w:rsid w:val="00A06657"/>
    <w:rsid w:val="00A06D02"/>
    <w:rsid w:val="00A07073"/>
    <w:rsid w:val="00A07C93"/>
    <w:rsid w:val="00A119B7"/>
    <w:rsid w:val="00A132DD"/>
    <w:rsid w:val="00A20776"/>
    <w:rsid w:val="00A219DA"/>
    <w:rsid w:val="00A2619A"/>
    <w:rsid w:val="00A26E3B"/>
    <w:rsid w:val="00A319BD"/>
    <w:rsid w:val="00A32C1F"/>
    <w:rsid w:val="00A34267"/>
    <w:rsid w:val="00A416BE"/>
    <w:rsid w:val="00A437B6"/>
    <w:rsid w:val="00A501E3"/>
    <w:rsid w:val="00A50D59"/>
    <w:rsid w:val="00A51B05"/>
    <w:rsid w:val="00A52138"/>
    <w:rsid w:val="00A5409D"/>
    <w:rsid w:val="00A5588C"/>
    <w:rsid w:val="00A55A93"/>
    <w:rsid w:val="00A5644D"/>
    <w:rsid w:val="00A56580"/>
    <w:rsid w:val="00A60890"/>
    <w:rsid w:val="00A65C02"/>
    <w:rsid w:val="00A65D2A"/>
    <w:rsid w:val="00A66772"/>
    <w:rsid w:val="00A70888"/>
    <w:rsid w:val="00A70CBA"/>
    <w:rsid w:val="00A7670A"/>
    <w:rsid w:val="00A77914"/>
    <w:rsid w:val="00A815B2"/>
    <w:rsid w:val="00A83F5C"/>
    <w:rsid w:val="00A84E35"/>
    <w:rsid w:val="00A87060"/>
    <w:rsid w:val="00A91CE4"/>
    <w:rsid w:val="00A93BC2"/>
    <w:rsid w:val="00A95363"/>
    <w:rsid w:val="00A953DD"/>
    <w:rsid w:val="00A95C00"/>
    <w:rsid w:val="00A966F6"/>
    <w:rsid w:val="00A97F47"/>
    <w:rsid w:val="00AA0A95"/>
    <w:rsid w:val="00AA1B9D"/>
    <w:rsid w:val="00AA23AA"/>
    <w:rsid w:val="00AA3A05"/>
    <w:rsid w:val="00AA4E50"/>
    <w:rsid w:val="00AA5119"/>
    <w:rsid w:val="00AB0EF2"/>
    <w:rsid w:val="00AB2BB0"/>
    <w:rsid w:val="00AB3001"/>
    <w:rsid w:val="00AB5AD0"/>
    <w:rsid w:val="00AB5EF1"/>
    <w:rsid w:val="00AB69A8"/>
    <w:rsid w:val="00AB7192"/>
    <w:rsid w:val="00AB74B3"/>
    <w:rsid w:val="00AC32FD"/>
    <w:rsid w:val="00AC53F7"/>
    <w:rsid w:val="00AC69FA"/>
    <w:rsid w:val="00AD021A"/>
    <w:rsid w:val="00AD0CD2"/>
    <w:rsid w:val="00AD29F4"/>
    <w:rsid w:val="00AD5637"/>
    <w:rsid w:val="00AE05E2"/>
    <w:rsid w:val="00AE0BEB"/>
    <w:rsid w:val="00AE1C48"/>
    <w:rsid w:val="00AE6D2E"/>
    <w:rsid w:val="00AF12B5"/>
    <w:rsid w:val="00AF20B2"/>
    <w:rsid w:val="00AF263A"/>
    <w:rsid w:val="00AF3790"/>
    <w:rsid w:val="00AF4620"/>
    <w:rsid w:val="00AF4843"/>
    <w:rsid w:val="00AF77AA"/>
    <w:rsid w:val="00B02C0B"/>
    <w:rsid w:val="00B04321"/>
    <w:rsid w:val="00B0489D"/>
    <w:rsid w:val="00B07DC3"/>
    <w:rsid w:val="00B11D14"/>
    <w:rsid w:val="00B12306"/>
    <w:rsid w:val="00B12B1A"/>
    <w:rsid w:val="00B12E98"/>
    <w:rsid w:val="00B1514C"/>
    <w:rsid w:val="00B15274"/>
    <w:rsid w:val="00B16D80"/>
    <w:rsid w:val="00B17224"/>
    <w:rsid w:val="00B228B8"/>
    <w:rsid w:val="00B24078"/>
    <w:rsid w:val="00B26248"/>
    <w:rsid w:val="00B30D5B"/>
    <w:rsid w:val="00B33703"/>
    <w:rsid w:val="00B34507"/>
    <w:rsid w:val="00B37DD9"/>
    <w:rsid w:val="00B42902"/>
    <w:rsid w:val="00B43417"/>
    <w:rsid w:val="00B43CEC"/>
    <w:rsid w:val="00B45725"/>
    <w:rsid w:val="00B47541"/>
    <w:rsid w:val="00B50277"/>
    <w:rsid w:val="00B50FF6"/>
    <w:rsid w:val="00B55D96"/>
    <w:rsid w:val="00B56C8F"/>
    <w:rsid w:val="00B5772F"/>
    <w:rsid w:val="00B60D0C"/>
    <w:rsid w:val="00B6280A"/>
    <w:rsid w:val="00B70B3B"/>
    <w:rsid w:val="00B70E49"/>
    <w:rsid w:val="00B74580"/>
    <w:rsid w:val="00B77BD1"/>
    <w:rsid w:val="00B8113F"/>
    <w:rsid w:val="00B817C6"/>
    <w:rsid w:val="00B8459D"/>
    <w:rsid w:val="00B85BBC"/>
    <w:rsid w:val="00B872FB"/>
    <w:rsid w:val="00B917CC"/>
    <w:rsid w:val="00B91C64"/>
    <w:rsid w:val="00B930F6"/>
    <w:rsid w:val="00B94063"/>
    <w:rsid w:val="00B95142"/>
    <w:rsid w:val="00BA14F9"/>
    <w:rsid w:val="00BA36B2"/>
    <w:rsid w:val="00BA48C7"/>
    <w:rsid w:val="00BB1045"/>
    <w:rsid w:val="00BB26E8"/>
    <w:rsid w:val="00BB454D"/>
    <w:rsid w:val="00BB7C9F"/>
    <w:rsid w:val="00BC0D0D"/>
    <w:rsid w:val="00BC5607"/>
    <w:rsid w:val="00BD11AD"/>
    <w:rsid w:val="00BD162B"/>
    <w:rsid w:val="00BD1A17"/>
    <w:rsid w:val="00BD247F"/>
    <w:rsid w:val="00BD2AEE"/>
    <w:rsid w:val="00BD5202"/>
    <w:rsid w:val="00BD5A7B"/>
    <w:rsid w:val="00BE0A4B"/>
    <w:rsid w:val="00BE352B"/>
    <w:rsid w:val="00BE4725"/>
    <w:rsid w:val="00BE6E84"/>
    <w:rsid w:val="00BF3A6A"/>
    <w:rsid w:val="00BF3C23"/>
    <w:rsid w:val="00BF548C"/>
    <w:rsid w:val="00BF68B2"/>
    <w:rsid w:val="00BF70F2"/>
    <w:rsid w:val="00C02B86"/>
    <w:rsid w:val="00C07960"/>
    <w:rsid w:val="00C10126"/>
    <w:rsid w:val="00C10C94"/>
    <w:rsid w:val="00C116C9"/>
    <w:rsid w:val="00C13781"/>
    <w:rsid w:val="00C140E7"/>
    <w:rsid w:val="00C144F9"/>
    <w:rsid w:val="00C157ED"/>
    <w:rsid w:val="00C174E9"/>
    <w:rsid w:val="00C17A9D"/>
    <w:rsid w:val="00C225EC"/>
    <w:rsid w:val="00C23422"/>
    <w:rsid w:val="00C25919"/>
    <w:rsid w:val="00C34353"/>
    <w:rsid w:val="00C34EAF"/>
    <w:rsid w:val="00C36D27"/>
    <w:rsid w:val="00C37417"/>
    <w:rsid w:val="00C3771D"/>
    <w:rsid w:val="00C37EE6"/>
    <w:rsid w:val="00C42B1F"/>
    <w:rsid w:val="00C50BA2"/>
    <w:rsid w:val="00C51045"/>
    <w:rsid w:val="00C51F48"/>
    <w:rsid w:val="00C5496A"/>
    <w:rsid w:val="00C66756"/>
    <w:rsid w:val="00C66AA6"/>
    <w:rsid w:val="00C67311"/>
    <w:rsid w:val="00C745E9"/>
    <w:rsid w:val="00C81D79"/>
    <w:rsid w:val="00C8338D"/>
    <w:rsid w:val="00C83C5F"/>
    <w:rsid w:val="00C8590E"/>
    <w:rsid w:val="00C86797"/>
    <w:rsid w:val="00C86940"/>
    <w:rsid w:val="00C901C9"/>
    <w:rsid w:val="00C904C0"/>
    <w:rsid w:val="00C92B90"/>
    <w:rsid w:val="00C93770"/>
    <w:rsid w:val="00C964D1"/>
    <w:rsid w:val="00C969A5"/>
    <w:rsid w:val="00C96A3B"/>
    <w:rsid w:val="00CA1D46"/>
    <w:rsid w:val="00CA2372"/>
    <w:rsid w:val="00CA2C44"/>
    <w:rsid w:val="00CA617E"/>
    <w:rsid w:val="00CA70AD"/>
    <w:rsid w:val="00CA7A22"/>
    <w:rsid w:val="00CB1239"/>
    <w:rsid w:val="00CB229E"/>
    <w:rsid w:val="00CB2649"/>
    <w:rsid w:val="00CB63C0"/>
    <w:rsid w:val="00CB74DF"/>
    <w:rsid w:val="00CB7F47"/>
    <w:rsid w:val="00CC3165"/>
    <w:rsid w:val="00CC407A"/>
    <w:rsid w:val="00CC4B18"/>
    <w:rsid w:val="00CC5F7E"/>
    <w:rsid w:val="00CD1024"/>
    <w:rsid w:val="00CD6D8A"/>
    <w:rsid w:val="00CE3BFF"/>
    <w:rsid w:val="00CE3C37"/>
    <w:rsid w:val="00CE7AE7"/>
    <w:rsid w:val="00CF094D"/>
    <w:rsid w:val="00CF2DC2"/>
    <w:rsid w:val="00CF49A5"/>
    <w:rsid w:val="00CF5407"/>
    <w:rsid w:val="00CF65D0"/>
    <w:rsid w:val="00CF69D7"/>
    <w:rsid w:val="00CF7776"/>
    <w:rsid w:val="00D024B1"/>
    <w:rsid w:val="00D03EF4"/>
    <w:rsid w:val="00D04350"/>
    <w:rsid w:val="00D04D5E"/>
    <w:rsid w:val="00D060B2"/>
    <w:rsid w:val="00D064DF"/>
    <w:rsid w:val="00D147B8"/>
    <w:rsid w:val="00D1590C"/>
    <w:rsid w:val="00D15C0D"/>
    <w:rsid w:val="00D15D46"/>
    <w:rsid w:val="00D1654C"/>
    <w:rsid w:val="00D176DE"/>
    <w:rsid w:val="00D20C85"/>
    <w:rsid w:val="00D23C6A"/>
    <w:rsid w:val="00D2603D"/>
    <w:rsid w:val="00D30D4A"/>
    <w:rsid w:val="00D31FB7"/>
    <w:rsid w:val="00D350E2"/>
    <w:rsid w:val="00D3693A"/>
    <w:rsid w:val="00D52C3B"/>
    <w:rsid w:val="00D53781"/>
    <w:rsid w:val="00D552F8"/>
    <w:rsid w:val="00D557E9"/>
    <w:rsid w:val="00D55DDA"/>
    <w:rsid w:val="00D55DDE"/>
    <w:rsid w:val="00D6148F"/>
    <w:rsid w:val="00D61C1C"/>
    <w:rsid w:val="00D62475"/>
    <w:rsid w:val="00D6310F"/>
    <w:rsid w:val="00D645DF"/>
    <w:rsid w:val="00D6509D"/>
    <w:rsid w:val="00D668C8"/>
    <w:rsid w:val="00D71C93"/>
    <w:rsid w:val="00D72DDF"/>
    <w:rsid w:val="00D74329"/>
    <w:rsid w:val="00D8067C"/>
    <w:rsid w:val="00D920E1"/>
    <w:rsid w:val="00D9263F"/>
    <w:rsid w:val="00D93E0C"/>
    <w:rsid w:val="00DA7975"/>
    <w:rsid w:val="00DB4322"/>
    <w:rsid w:val="00DB48CA"/>
    <w:rsid w:val="00DC105D"/>
    <w:rsid w:val="00DC5749"/>
    <w:rsid w:val="00DC688D"/>
    <w:rsid w:val="00DC7818"/>
    <w:rsid w:val="00DD09CD"/>
    <w:rsid w:val="00DD52A5"/>
    <w:rsid w:val="00DD5CD0"/>
    <w:rsid w:val="00DD7F89"/>
    <w:rsid w:val="00DE40FB"/>
    <w:rsid w:val="00DF2B90"/>
    <w:rsid w:val="00DF387F"/>
    <w:rsid w:val="00DF3E77"/>
    <w:rsid w:val="00DF544C"/>
    <w:rsid w:val="00DF6259"/>
    <w:rsid w:val="00DF7302"/>
    <w:rsid w:val="00DF77D6"/>
    <w:rsid w:val="00DF7D59"/>
    <w:rsid w:val="00E00406"/>
    <w:rsid w:val="00E00FEA"/>
    <w:rsid w:val="00E04737"/>
    <w:rsid w:val="00E04A94"/>
    <w:rsid w:val="00E04D44"/>
    <w:rsid w:val="00E063EB"/>
    <w:rsid w:val="00E065AB"/>
    <w:rsid w:val="00E15D11"/>
    <w:rsid w:val="00E16AD8"/>
    <w:rsid w:val="00E16BB1"/>
    <w:rsid w:val="00E2013C"/>
    <w:rsid w:val="00E21FC7"/>
    <w:rsid w:val="00E22D7F"/>
    <w:rsid w:val="00E23161"/>
    <w:rsid w:val="00E24AA3"/>
    <w:rsid w:val="00E3303E"/>
    <w:rsid w:val="00E356C4"/>
    <w:rsid w:val="00E36A1C"/>
    <w:rsid w:val="00E411C3"/>
    <w:rsid w:val="00E421D3"/>
    <w:rsid w:val="00E44A13"/>
    <w:rsid w:val="00E45AB3"/>
    <w:rsid w:val="00E46CED"/>
    <w:rsid w:val="00E50681"/>
    <w:rsid w:val="00E531C6"/>
    <w:rsid w:val="00E54A5C"/>
    <w:rsid w:val="00E55EE7"/>
    <w:rsid w:val="00E62251"/>
    <w:rsid w:val="00E7674D"/>
    <w:rsid w:val="00E76C12"/>
    <w:rsid w:val="00E772C1"/>
    <w:rsid w:val="00E80C74"/>
    <w:rsid w:val="00E81725"/>
    <w:rsid w:val="00E8183F"/>
    <w:rsid w:val="00E82BB3"/>
    <w:rsid w:val="00E82F52"/>
    <w:rsid w:val="00E839FD"/>
    <w:rsid w:val="00E83A29"/>
    <w:rsid w:val="00E96DDF"/>
    <w:rsid w:val="00E97578"/>
    <w:rsid w:val="00E97995"/>
    <w:rsid w:val="00EA003C"/>
    <w:rsid w:val="00EA029A"/>
    <w:rsid w:val="00EA08CF"/>
    <w:rsid w:val="00EA30B8"/>
    <w:rsid w:val="00EA6AC0"/>
    <w:rsid w:val="00EB01F6"/>
    <w:rsid w:val="00EB07F4"/>
    <w:rsid w:val="00EB0C50"/>
    <w:rsid w:val="00EB2CE6"/>
    <w:rsid w:val="00EB3172"/>
    <w:rsid w:val="00EB344A"/>
    <w:rsid w:val="00EB4AD1"/>
    <w:rsid w:val="00EB559B"/>
    <w:rsid w:val="00EC054F"/>
    <w:rsid w:val="00EC07C4"/>
    <w:rsid w:val="00EC3CDE"/>
    <w:rsid w:val="00EC3F21"/>
    <w:rsid w:val="00EC4D3A"/>
    <w:rsid w:val="00ED1726"/>
    <w:rsid w:val="00ED1F52"/>
    <w:rsid w:val="00ED7A06"/>
    <w:rsid w:val="00EE0956"/>
    <w:rsid w:val="00EE2194"/>
    <w:rsid w:val="00EE44A8"/>
    <w:rsid w:val="00EE5167"/>
    <w:rsid w:val="00EE5B62"/>
    <w:rsid w:val="00EF0619"/>
    <w:rsid w:val="00EF6CC4"/>
    <w:rsid w:val="00EF7FF2"/>
    <w:rsid w:val="00F01890"/>
    <w:rsid w:val="00F01F65"/>
    <w:rsid w:val="00F022A0"/>
    <w:rsid w:val="00F03A22"/>
    <w:rsid w:val="00F03E93"/>
    <w:rsid w:val="00F04CAE"/>
    <w:rsid w:val="00F05FA2"/>
    <w:rsid w:val="00F06052"/>
    <w:rsid w:val="00F12103"/>
    <w:rsid w:val="00F130F2"/>
    <w:rsid w:val="00F135D0"/>
    <w:rsid w:val="00F1456F"/>
    <w:rsid w:val="00F256B4"/>
    <w:rsid w:val="00F2643A"/>
    <w:rsid w:val="00F31721"/>
    <w:rsid w:val="00F332A5"/>
    <w:rsid w:val="00F35A06"/>
    <w:rsid w:val="00F35BA1"/>
    <w:rsid w:val="00F366D2"/>
    <w:rsid w:val="00F37AF3"/>
    <w:rsid w:val="00F40243"/>
    <w:rsid w:val="00F42514"/>
    <w:rsid w:val="00F4457E"/>
    <w:rsid w:val="00F45DEB"/>
    <w:rsid w:val="00F46FF1"/>
    <w:rsid w:val="00F476FA"/>
    <w:rsid w:val="00F47AEE"/>
    <w:rsid w:val="00F553BD"/>
    <w:rsid w:val="00F56016"/>
    <w:rsid w:val="00F6418B"/>
    <w:rsid w:val="00F64333"/>
    <w:rsid w:val="00F64CD3"/>
    <w:rsid w:val="00F64E25"/>
    <w:rsid w:val="00F655BC"/>
    <w:rsid w:val="00F66D25"/>
    <w:rsid w:val="00F70EC2"/>
    <w:rsid w:val="00F729AA"/>
    <w:rsid w:val="00F83F8F"/>
    <w:rsid w:val="00F85355"/>
    <w:rsid w:val="00F8633F"/>
    <w:rsid w:val="00F868F0"/>
    <w:rsid w:val="00F8754C"/>
    <w:rsid w:val="00F87686"/>
    <w:rsid w:val="00F9060F"/>
    <w:rsid w:val="00F90712"/>
    <w:rsid w:val="00F92A0D"/>
    <w:rsid w:val="00F92B65"/>
    <w:rsid w:val="00F9449B"/>
    <w:rsid w:val="00F94B14"/>
    <w:rsid w:val="00F9566A"/>
    <w:rsid w:val="00F9579A"/>
    <w:rsid w:val="00F97384"/>
    <w:rsid w:val="00F9786C"/>
    <w:rsid w:val="00FA0083"/>
    <w:rsid w:val="00FA010B"/>
    <w:rsid w:val="00FA1234"/>
    <w:rsid w:val="00FA1633"/>
    <w:rsid w:val="00FA3C26"/>
    <w:rsid w:val="00FA3F61"/>
    <w:rsid w:val="00FA4906"/>
    <w:rsid w:val="00FA6909"/>
    <w:rsid w:val="00FA75D8"/>
    <w:rsid w:val="00FB049E"/>
    <w:rsid w:val="00FB08D4"/>
    <w:rsid w:val="00FB1A1C"/>
    <w:rsid w:val="00FB6CC1"/>
    <w:rsid w:val="00FC2B99"/>
    <w:rsid w:val="00FC339B"/>
    <w:rsid w:val="00FC36F1"/>
    <w:rsid w:val="00FC670D"/>
    <w:rsid w:val="00FC7DAB"/>
    <w:rsid w:val="00FD46D8"/>
    <w:rsid w:val="00FD5012"/>
    <w:rsid w:val="00FD746D"/>
    <w:rsid w:val="00FE04FF"/>
    <w:rsid w:val="00FE0D48"/>
    <w:rsid w:val="00FE1A26"/>
    <w:rsid w:val="00FE6D44"/>
    <w:rsid w:val="00FF02B5"/>
    <w:rsid w:val="00FF0F2B"/>
    <w:rsid w:val="00FF385F"/>
    <w:rsid w:val="00FF52B6"/>
    <w:rsid w:val="00FF6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footer"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uiPriority="0"/>
    <w:lsdException w:name="Hyperlink" w:uiPriority="0"/>
    <w:lsdException w:name="FollowedHyperlink" w:uiPriority="0"/>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679"/>
    <w:rPr>
      <w:szCs w:val="20"/>
    </w:rPr>
  </w:style>
  <w:style w:type="paragraph" w:styleId="Heading1">
    <w:name w:val="heading 1"/>
    <w:basedOn w:val="Normal"/>
    <w:next w:val="Normal"/>
    <w:link w:val="Heading1Char"/>
    <w:qFormat/>
    <w:rsid w:val="007C5679"/>
    <w:pPr>
      <w:keepNext/>
      <w:widowControl w:val="0"/>
      <w:numPr>
        <w:numId w:val="28"/>
      </w:numPr>
      <w:suppressAutoHyphens/>
      <w:spacing w:after="220"/>
      <w:jc w:val="both"/>
      <w:outlineLvl w:val="0"/>
    </w:pPr>
    <w:rPr>
      <w:b/>
      <w:caps/>
    </w:rPr>
  </w:style>
  <w:style w:type="paragraph" w:styleId="Heading2">
    <w:name w:val="heading 2"/>
    <w:basedOn w:val="Normal"/>
    <w:next w:val="Normal"/>
    <w:link w:val="Heading2Char"/>
    <w:qFormat/>
    <w:rsid w:val="007C5679"/>
    <w:pPr>
      <w:keepNext/>
      <w:widowControl w:val="0"/>
      <w:numPr>
        <w:ilvl w:val="1"/>
        <w:numId w:val="28"/>
      </w:numPr>
      <w:spacing w:after="220"/>
      <w:jc w:val="both"/>
      <w:outlineLvl w:val="1"/>
    </w:pPr>
    <w:rPr>
      <w:b/>
    </w:rPr>
  </w:style>
  <w:style w:type="paragraph" w:styleId="Heading3">
    <w:name w:val="heading 3"/>
    <w:basedOn w:val="Normal"/>
    <w:next w:val="Normal"/>
    <w:link w:val="Heading3Char"/>
    <w:qFormat/>
    <w:rsid w:val="007C5679"/>
    <w:pPr>
      <w:keepNext/>
      <w:widowControl w:val="0"/>
      <w:numPr>
        <w:ilvl w:val="2"/>
        <w:numId w:val="28"/>
      </w:numPr>
      <w:spacing w:after="220"/>
      <w:jc w:val="both"/>
      <w:outlineLvl w:val="2"/>
    </w:pPr>
    <w:rPr>
      <w:b/>
    </w:rPr>
  </w:style>
  <w:style w:type="paragraph" w:styleId="Heading4">
    <w:name w:val="heading 4"/>
    <w:basedOn w:val="Normal"/>
    <w:next w:val="Normal"/>
    <w:link w:val="Heading4Char"/>
    <w:qFormat/>
    <w:rsid w:val="007C5679"/>
    <w:pPr>
      <w:keepNext/>
      <w:widowControl w:val="0"/>
      <w:numPr>
        <w:ilvl w:val="3"/>
        <w:numId w:val="28"/>
      </w:numPr>
      <w:spacing w:after="220"/>
      <w:jc w:val="both"/>
      <w:outlineLvl w:val="3"/>
    </w:pPr>
    <w:rPr>
      <w:b/>
    </w:rPr>
  </w:style>
  <w:style w:type="paragraph" w:styleId="Heading5">
    <w:name w:val="heading 5"/>
    <w:basedOn w:val="Normal"/>
    <w:next w:val="Normal"/>
    <w:link w:val="Heading5Char"/>
    <w:qFormat/>
    <w:locked/>
    <w:rsid w:val="007C5679"/>
    <w:pPr>
      <w:keepNext/>
      <w:widowControl w:val="0"/>
      <w:numPr>
        <w:ilvl w:val="4"/>
        <w:numId w:val="28"/>
      </w:numPr>
      <w:suppressAutoHyphens/>
      <w:spacing w:after="220"/>
      <w:jc w:val="both"/>
      <w:outlineLvl w:val="4"/>
    </w:pPr>
    <w:rPr>
      <w:b/>
    </w:rPr>
  </w:style>
  <w:style w:type="paragraph" w:styleId="Heading6">
    <w:name w:val="heading 6"/>
    <w:basedOn w:val="Normal"/>
    <w:next w:val="Normal"/>
    <w:link w:val="Heading6Char"/>
    <w:qFormat/>
    <w:locked/>
    <w:rsid w:val="007C5679"/>
    <w:pPr>
      <w:widowControl w:val="0"/>
      <w:numPr>
        <w:ilvl w:val="5"/>
        <w:numId w:val="28"/>
      </w:numPr>
      <w:spacing w:after="220"/>
      <w:jc w:val="both"/>
      <w:outlineLvl w:val="5"/>
    </w:pPr>
    <w:rPr>
      <w:b/>
    </w:rPr>
  </w:style>
  <w:style w:type="paragraph" w:styleId="Heading7">
    <w:name w:val="heading 7"/>
    <w:basedOn w:val="Normal"/>
    <w:next w:val="Normal"/>
    <w:link w:val="Heading7Char"/>
    <w:qFormat/>
    <w:locked/>
    <w:rsid w:val="007C5679"/>
    <w:pPr>
      <w:widowControl w:val="0"/>
      <w:numPr>
        <w:ilvl w:val="7"/>
        <w:numId w:val="28"/>
      </w:numPr>
      <w:spacing w:after="220"/>
      <w:jc w:val="both"/>
      <w:outlineLvl w:val="6"/>
    </w:pPr>
    <w:rPr>
      <w:b/>
    </w:rPr>
  </w:style>
  <w:style w:type="paragraph" w:styleId="Heading8">
    <w:name w:val="heading 8"/>
    <w:basedOn w:val="Normal"/>
    <w:next w:val="Normal"/>
    <w:link w:val="Heading8Char"/>
    <w:qFormat/>
    <w:locked/>
    <w:rsid w:val="007C5679"/>
    <w:pPr>
      <w:widowControl w:val="0"/>
      <w:numPr>
        <w:ilvl w:val="7"/>
        <w:numId w:val="29"/>
      </w:numPr>
      <w:tabs>
        <w:tab w:val="clear" w:pos="5400"/>
      </w:tabs>
      <w:spacing w:after="220"/>
      <w:ind w:left="5760" w:hanging="720"/>
      <w:jc w:val="both"/>
      <w:outlineLvl w:val="7"/>
    </w:pPr>
    <w:rPr>
      <w:b/>
    </w:rPr>
  </w:style>
  <w:style w:type="paragraph" w:styleId="Heading9">
    <w:name w:val="heading 9"/>
    <w:basedOn w:val="Normal"/>
    <w:next w:val="Normal"/>
    <w:link w:val="Heading9Char"/>
    <w:qFormat/>
    <w:locked/>
    <w:rsid w:val="007C5679"/>
    <w:pPr>
      <w:widowControl w:val="0"/>
      <w:numPr>
        <w:ilvl w:val="8"/>
        <w:numId w:val="28"/>
      </w:numPr>
      <w:spacing w:after="220"/>
      <w:jc w:val="both"/>
      <w:outlineLvl w:val="8"/>
    </w:pPr>
    <w:rPr>
      <w:b/>
    </w:rPr>
  </w:style>
  <w:style w:type="character" w:default="1" w:styleId="DefaultParagraphFont">
    <w:name w:val="Default Paragraph Font"/>
    <w:semiHidden/>
    <w:rsid w:val="007C567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C5679"/>
  </w:style>
  <w:style w:type="character" w:customStyle="1" w:styleId="Heading1Char">
    <w:name w:val="Heading 1 Char"/>
    <w:basedOn w:val="DefaultParagraphFont"/>
    <w:link w:val="Heading1"/>
    <w:locked/>
    <w:rsid w:val="00296D88"/>
    <w:rPr>
      <w:b/>
      <w:caps/>
      <w:szCs w:val="20"/>
    </w:rPr>
  </w:style>
  <w:style w:type="character" w:customStyle="1" w:styleId="Heading2Char">
    <w:name w:val="Heading 2 Char"/>
    <w:basedOn w:val="DefaultParagraphFont"/>
    <w:link w:val="Heading2"/>
    <w:locked/>
    <w:rsid w:val="00296D88"/>
    <w:rPr>
      <w:b/>
      <w:szCs w:val="20"/>
    </w:rPr>
  </w:style>
  <w:style w:type="character" w:customStyle="1" w:styleId="Heading3Char">
    <w:name w:val="Heading 3 Char"/>
    <w:basedOn w:val="DefaultParagraphFont"/>
    <w:link w:val="Heading3"/>
    <w:locked/>
    <w:rsid w:val="00296D88"/>
    <w:rPr>
      <w:b/>
      <w:szCs w:val="20"/>
    </w:rPr>
  </w:style>
  <w:style w:type="character" w:customStyle="1" w:styleId="Heading4Char">
    <w:name w:val="Heading 4 Char"/>
    <w:basedOn w:val="DefaultParagraphFont"/>
    <w:link w:val="Heading4"/>
    <w:locked/>
    <w:rsid w:val="00296D88"/>
    <w:rPr>
      <w:b/>
      <w:szCs w:val="20"/>
    </w:rPr>
  </w:style>
  <w:style w:type="character" w:styleId="FootnoteReference">
    <w:name w:val="footnote reference"/>
    <w:aliases w:val="Style 124,Appel note de bas de p,Style 12,(NECG) Footnote Reference,o,fr,Style 3,Style 17,FR,Style 13,Footnote Reference/,Style 6"/>
    <w:rsid w:val="007C5679"/>
    <w:rPr>
      <w:vertAlign w:val="superscript"/>
    </w:rPr>
  </w:style>
  <w:style w:type="paragraph" w:styleId="FootnoteText">
    <w:name w:val="footnote text"/>
    <w:aliases w:val="Footnote Text Char2 Char3,Footnote Text Char Char6 Char,Footnote Text Char6 Char Char Char,Footnote Text Char Char6 Char Char1 Char1,Footnote Text Char4 Char2 Char Char Char Char,Footnote Text Char6 Char,fn,ALTS FOOTNOT,Footnote Text Char1"/>
    <w:basedOn w:val="Normal"/>
    <w:link w:val="FootnoteTextChar"/>
    <w:rsid w:val="007C5679"/>
    <w:pPr>
      <w:tabs>
        <w:tab w:val="left" w:pos="720"/>
      </w:tabs>
      <w:spacing w:after="200"/>
    </w:pPr>
  </w:style>
  <w:style w:type="character" w:customStyle="1" w:styleId="FootnoteTextChar">
    <w:name w:val="Footnote Text Char"/>
    <w:aliases w:val="Footnote Text Char2 Char3 Char,Footnote Text Char Char6 Char Char,Footnote Text Char6 Char Char Char Char,Footnote Text Char Char6 Char Char1 Char1 Char,Footnote Text Char4 Char2 Char Char Char Char Char,Footnote Text Char6 Char Char"/>
    <w:basedOn w:val="DefaultParagraphFont"/>
    <w:link w:val="FootnoteText"/>
    <w:locked/>
    <w:rsid w:val="00296D88"/>
    <w:rPr>
      <w:szCs w:val="20"/>
    </w:rPr>
  </w:style>
  <w:style w:type="paragraph" w:styleId="Header">
    <w:name w:val="header"/>
    <w:basedOn w:val="Normal"/>
    <w:link w:val="HeaderChar"/>
    <w:rsid w:val="007C5679"/>
    <w:pPr>
      <w:tabs>
        <w:tab w:val="center" w:pos="4320"/>
        <w:tab w:val="right" w:pos="8640"/>
      </w:tabs>
    </w:pPr>
  </w:style>
  <w:style w:type="character" w:customStyle="1" w:styleId="HeaderChar">
    <w:name w:val="Header Char"/>
    <w:basedOn w:val="DefaultParagraphFont"/>
    <w:link w:val="Header"/>
    <w:locked/>
    <w:rsid w:val="00296D88"/>
    <w:rPr>
      <w:szCs w:val="20"/>
    </w:rPr>
  </w:style>
  <w:style w:type="paragraph" w:styleId="Footer">
    <w:name w:val="footer"/>
    <w:basedOn w:val="Normal"/>
    <w:link w:val="FooterChar"/>
    <w:rsid w:val="007C5679"/>
    <w:pPr>
      <w:tabs>
        <w:tab w:val="center" w:pos="4320"/>
        <w:tab w:val="right" w:pos="8640"/>
      </w:tabs>
    </w:pPr>
  </w:style>
  <w:style w:type="character" w:customStyle="1" w:styleId="FooterChar">
    <w:name w:val="Footer Char"/>
    <w:basedOn w:val="DefaultParagraphFont"/>
    <w:link w:val="Footer"/>
    <w:locked/>
    <w:rsid w:val="00296D88"/>
    <w:rPr>
      <w:szCs w:val="20"/>
    </w:rPr>
  </w:style>
  <w:style w:type="paragraph" w:styleId="BodyText">
    <w:name w:val="Body Text"/>
    <w:basedOn w:val="Normal"/>
    <w:link w:val="BodyTextChar"/>
    <w:uiPriority w:val="99"/>
    <w:rsid w:val="00296D88"/>
  </w:style>
  <w:style w:type="character" w:customStyle="1" w:styleId="BodyTextChar">
    <w:name w:val="Body Text Char"/>
    <w:basedOn w:val="DefaultParagraphFont"/>
    <w:link w:val="BodyText"/>
    <w:uiPriority w:val="99"/>
    <w:semiHidden/>
    <w:locked/>
    <w:rsid w:val="00296D88"/>
    <w:rPr>
      <w:rFonts w:ascii="Arial" w:hAnsi="Arial" w:cs="Times New Roman"/>
      <w:sz w:val="20"/>
      <w:szCs w:val="20"/>
    </w:rPr>
  </w:style>
  <w:style w:type="character" w:styleId="Hyperlink">
    <w:name w:val="Hyperlink"/>
    <w:rsid w:val="007C5679"/>
    <w:rPr>
      <w:color w:val="0000FF"/>
      <w:u w:val="single"/>
    </w:rPr>
  </w:style>
  <w:style w:type="character" w:styleId="FollowedHyperlink">
    <w:name w:val="FollowedHyperlink"/>
    <w:rsid w:val="007C5679"/>
    <w:rPr>
      <w:color w:val="800080"/>
      <w:u w:val="single"/>
    </w:rPr>
  </w:style>
  <w:style w:type="paragraph" w:styleId="BodyText2">
    <w:name w:val="Body Text 2"/>
    <w:basedOn w:val="Normal"/>
    <w:link w:val="BodyText2Char"/>
    <w:uiPriority w:val="99"/>
    <w:rsid w:val="00296D88"/>
    <w:rPr>
      <w:color w:val="000000"/>
    </w:rPr>
  </w:style>
  <w:style w:type="character" w:customStyle="1" w:styleId="BodyText2Char">
    <w:name w:val="Body Text 2 Char"/>
    <w:basedOn w:val="DefaultParagraphFont"/>
    <w:link w:val="BodyText2"/>
    <w:uiPriority w:val="99"/>
    <w:semiHidden/>
    <w:locked/>
    <w:rsid w:val="00296D88"/>
    <w:rPr>
      <w:rFonts w:ascii="Arial" w:hAnsi="Arial" w:cs="Times New Roman"/>
      <w:sz w:val="20"/>
      <w:szCs w:val="20"/>
    </w:rPr>
  </w:style>
  <w:style w:type="paragraph" w:styleId="PlainText">
    <w:name w:val="Plain Text"/>
    <w:basedOn w:val="Normal"/>
    <w:link w:val="PlainTextChar"/>
    <w:uiPriority w:val="99"/>
    <w:rsid w:val="00296D88"/>
    <w:rPr>
      <w:szCs w:val="22"/>
    </w:rPr>
  </w:style>
  <w:style w:type="character" w:customStyle="1" w:styleId="PlainTextChar">
    <w:name w:val="Plain Text Char"/>
    <w:basedOn w:val="DefaultParagraphFont"/>
    <w:link w:val="PlainText"/>
    <w:uiPriority w:val="99"/>
    <w:semiHidden/>
    <w:locked/>
    <w:rsid w:val="00296D88"/>
    <w:rPr>
      <w:rFonts w:ascii="Courier New" w:hAnsi="Courier New" w:cs="Courier New"/>
      <w:sz w:val="20"/>
      <w:szCs w:val="20"/>
    </w:rPr>
  </w:style>
  <w:style w:type="paragraph" w:styleId="BalloonText">
    <w:name w:val="Balloon Text"/>
    <w:basedOn w:val="Normal"/>
    <w:link w:val="BalloonTextChar"/>
    <w:uiPriority w:val="99"/>
    <w:semiHidden/>
    <w:rsid w:val="00296D8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96D88"/>
    <w:rPr>
      <w:rFonts w:ascii="Tahoma" w:hAnsi="Tahoma" w:cs="Tahoma"/>
      <w:sz w:val="16"/>
      <w:szCs w:val="16"/>
    </w:rPr>
  </w:style>
  <w:style w:type="paragraph" w:styleId="BodyTextIndent">
    <w:name w:val="Body Text Indent"/>
    <w:basedOn w:val="Normal"/>
    <w:link w:val="BodyTextIndentChar"/>
    <w:uiPriority w:val="99"/>
    <w:rsid w:val="006F6F9D"/>
    <w:pPr>
      <w:spacing w:after="120"/>
      <w:ind w:left="360"/>
    </w:pPr>
  </w:style>
  <w:style w:type="character" w:customStyle="1" w:styleId="BodyTextIndentChar">
    <w:name w:val="Body Text Indent Char"/>
    <w:basedOn w:val="DefaultParagraphFont"/>
    <w:link w:val="BodyTextIndent"/>
    <w:uiPriority w:val="99"/>
    <w:locked/>
    <w:rsid w:val="00296D88"/>
    <w:rPr>
      <w:szCs w:val="20"/>
    </w:rPr>
  </w:style>
  <w:style w:type="paragraph" w:customStyle="1" w:styleId="ParaNum0">
    <w:name w:val="ParaNum"/>
    <w:basedOn w:val="Normal"/>
    <w:link w:val="ParaNumChar"/>
    <w:autoRedefine/>
    <w:rsid w:val="00296D88"/>
    <w:pPr>
      <w:tabs>
        <w:tab w:val="left" w:pos="720"/>
      </w:tabs>
      <w:spacing w:after="240"/>
    </w:pPr>
    <w:rPr>
      <w:szCs w:val="22"/>
    </w:rPr>
  </w:style>
  <w:style w:type="character" w:customStyle="1" w:styleId="apple-style-span">
    <w:name w:val="apple-style-span"/>
    <w:basedOn w:val="DefaultParagraphFont"/>
    <w:uiPriority w:val="99"/>
    <w:rsid w:val="00296D88"/>
    <w:rPr>
      <w:rFonts w:cs="Times New Roman"/>
    </w:rPr>
  </w:style>
  <w:style w:type="character" w:styleId="Emphasis">
    <w:name w:val="Emphasis"/>
    <w:basedOn w:val="DefaultParagraphFont"/>
    <w:uiPriority w:val="20"/>
    <w:qFormat/>
    <w:rsid w:val="00296D88"/>
    <w:rPr>
      <w:rFonts w:cs="Times New Roman"/>
      <w:i/>
      <w:iCs/>
    </w:rPr>
  </w:style>
  <w:style w:type="character" w:customStyle="1" w:styleId="apple-converted-space">
    <w:name w:val="apple-converted-space"/>
    <w:basedOn w:val="DefaultParagraphFont"/>
    <w:uiPriority w:val="99"/>
    <w:rsid w:val="00296D88"/>
    <w:rPr>
      <w:rFonts w:cs="Times New Roman"/>
    </w:rPr>
  </w:style>
  <w:style w:type="character" w:styleId="CommentReference">
    <w:name w:val="annotation reference"/>
    <w:basedOn w:val="DefaultParagraphFont"/>
    <w:uiPriority w:val="99"/>
    <w:semiHidden/>
    <w:rsid w:val="00296D88"/>
    <w:rPr>
      <w:rFonts w:cs="Times New Roman"/>
      <w:sz w:val="16"/>
      <w:szCs w:val="16"/>
    </w:rPr>
  </w:style>
  <w:style w:type="paragraph" w:styleId="CommentText">
    <w:name w:val="annotation text"/>
    <w:basedOn w:val="Normal"/>
    <w:link w:val="CommentTextChar"/>
    <w:uiPriority w:val="99"/>
    <w:semiHidden/>
    <w:rsid w:val="006F6F9D"/>
    <w:rPr>
      <w:sz w:val="20"/>
    </w:rPr>
  </w:style>
  <w:style w:type="character" w:customStyle="1" w:styleId="CommentTextChar">
    <w:name w:val="Comment Text Char"/>
    <w:basedOn w:val="DefaultParagraphFont"/>
    <w:link w:val="CommentText"/>
    <w:uiPriority w:val="99"/>
    <w:semiHidden/>
    <w:locked/>
    <w:rsid w:val="00296D88"/>
    <w:rPr>
      <w:sz w:val="20"/>
      <w:szCs w:val="20"/>
    </w:rPr>
  </w:style>
  <w:style w:type="paragraph" w:styleId="CommentSubject">
    <w:name w:val="annotation subject"/>
    <w:basedOn w:val="CommentText"/>
    <w:next w:val="CommentText"/>
    <w:link w:val="CommentSubjectChar"/>
    <w:uiPriority w:val="99"/>
    <w:semiHidden/>
    <w:rsid w:val="006F6F9D"/>
    <w:rPr>
      <w:b/>
      <w:bCs/>
    </w:rPr>
  </w:style>
  <w:style w:type="character" w:customStyle="1" w:styleId="CommentSubjectChar">
    <w:name w:val="Comment Subject Char"/>
    <w:basedOn w:val="CommentTextChar"/>
    <w:link w:val="CommentSubject"/>
    <w:uiPriority w:val="99"/>
    <w:semiHidden/>
    <w:locked/>
    <w:rsid w:val="00296D88"/>
    <w:rPr>
      <w:b/>
      <w:bCs/>
      <w:sz w:val="20"/>
      <w:szCs w:val="20"/>
    </w:rPr>
  </w:style>
  <w:style w:type="paragraph" w:styleId="ListParagraph">
    <w:name w:val="List Paragraph"/>
    <w:basedOn w:val="Normal"/>
    <w:uiPriority w:val="99"/>
    <w:qFormat/>
    <w:rsid w:val="006F6F9D"/>
    <w:pPr>
      <w:ind w:left="720"/>
    </w:pPr>
    <w:rPr>
      <w:szCs w:val="24"/>
    </w:rPr>
  </w:style>
  <w:style w:type="character" w:customStyle="1" w:styleId="fldtextrecip1">
    <w:name w:val="fldtextrecip1"/>
    <w:basedOn w:val="DefaultParagraphFont"/>
    <w:uiPriority w:val="99"/>
    <w:rsid w:val="00296D88"/>
    <w:rPr>
      <w:rFonts w:cs="Times New Roman"/>
    </w:rPr>
  </w:style>
  <w:style w:type="paragraph" w:styleId="DocumentMap">
    <w:name w:val="Document Map"/>
    <w:basedOn w:val="Normal"/>
    <w:link w:val="DocumentMapChar"/>
    <w:uiPriority w:val="99"/>
    <w:semiHidden/>
    <w:rsid w:val="00296D88"/>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296D88"/>
    <w:rPr>
      <w:rFonts w:ascii="Tahoma" w:hAnsi="Tahoma" w:cs="Tahoma"/>
      <w:sz w:val="16"/>
      <w:szCs w:val="16"/>
    </w:rPr>
  </w:style>
  <w:style w:type="paragraph" w:styleId="Revision">
    <w:name w:val="Revision"/>
    <w:hidden/>
    <w:uiPriority w:val="99"/>
    <w:semiHidden/>
    <w:rsid w:val="003E2733"/>
    <w:rPr>
      <w:rFonts w:ascii="Arial" w:hAnsi="Arial"/>
      <w:sz w:val="24"/>
      <w:szCs w:val="20"/>
    </w:rPr>
  </w:style>
  <w:style w:type="paragraph" w:customStyle="1" w:styleId="Paranum">
    <w:name w:val="Paranum"/>
    <w:basedOn w:val="Normal"/>
    <w:rsid w:val="007C5679"/>
    <w:pPr>
      <w:widowControl w:val="0"/>
      <w:numPr>
        <w:numId w:val="32"/>
      </w:numPr>
      <w:tabs>
        <w:tab w:val="clear" w:pos="1080"/>
      </w:tabs>
      <w:spacing w:after="220"/>
      <w:jc w:val="both"/>
    </w:pPr>
  </w:style>
  <w:style w:type="character" w:customStyle="1" w:styleId="ParaNumChar">
    <w:name w:val="ParaNum Char"/>
    <w:link w:val="ParaNum0"/>
    <w:locked/>
    <w:rsid w:val="009904F2"/>
  </w:style>
  <w:style w:type="character" w:customStyle="1" w:styleId="Heading5Char">
    <w:name w:val="Heading 5 Char"/>
    <w:basedOn w:val="DefaultParagraphFont"/>
    <w:link w:val="Heading5"/>
    <w:rsid w:val="00130929"/>
    <w:rPr>
      <w:b/>
      <w:szCs w:val="20"/>
    </w:rPr>
  </w:style>
  <w:style w:type="character" w:customStyle="1" w:styleId="Heading6Char">
    <w:name w:val="Heading 6 Char"/>
    <w:basedOn w:val="DefaultParagraphFont"/>
    <w:link w:val="Heading6"/>
    <w:rsid w:val="00130929"/>
    <w:rPr>
      <w:b/>
      <w:szCs w:val="20"/>
    </w:rPr>
  </w:style>
  <w:style w:type="character" w:customStyle="1" w:styleId="Heading7Char">
    <w:name w:val="Heading 7 Char"/>
    <w:basedOn w:val="DefaultParagraphFont"/>
    <w:link w:val="Heading7"/>
    <w:rsid w:val="00130929"/>
    <w:rPr>
      <w:b/>
      <w:szCs w:val="20"/>
    </w:rPr>
  </w:style>
  <w:style w:type="character" w:customStyle="1" w:styleId="Heading8Char">
    <w:name w:val="Heading 8 Char"/>
    <w:basedOn w:val="DefaultParagraphFont"/>
    <w:link w:val="Heading8"/>
    <w:rsid w:val="00130929"/>
    <w:rPr>
      <w:b/>
      <w:szCs w:val="20"/>
    </w:rPr>
  </w:style>
  <w:style w:type="character" w:customStyle="1" w:styleId="Heading9Char">
    <w:name w:val="Heading 9 Char"/>
    <w:basedOn w:val="DefaultParagraphFont"/>
    <w:link w:val="Heading9"/>
    <w:rsid w:val="00130929"/>
    <w:rPr>
      <w:b/>
      <w:szCs w:val="20"/>
    </w:rPr>
  </w:style>
  <w:style w:type="paragraph" w:styleId="BlockText">
    <w:name w:val="Block Text"/>
    <w:basedOn w:val="Normal"/>
    <w:semiHidden/>
    <w:rsid w:val="007C5679"/>
    <w:pPr>
      <w:widowControl w:val="0"/>
      <w:spacing w:after="220"/>
      <w:ind w:left="1440" w:right="1440"/>
      <w:jc w:val="both"/>
    </w:pPr>
  </w:style>
  <w:style w:type="paragraph" w:customStyle="1" w:styleId="Bullet">
    <w:name w:val="Bullet"/>
    <w:basedOn w:val="Normal"/>
    <w:rsid w:val="007C5679"/>
    <w:pPr>
      <w:widowControl w:val="0"/>
      <w:numPr>
        <w:numId w:val="27"/>
      </w:numPr>
      <w:tabs>
        <w:tab w:val="clear" w:pos="2520"/>
      </w:tabs>
      <w:spacing w:after="220"/>
      <w:ind w:left="2160" w:hanging="720"/>
      <w:jc w:val="both"/>
    </w:pPr>
  </w:style>
  <w:style w:type="paragraph" w:styleId="Caption">
    <w:name w:val="caption"/>
    <w:basedOn w:val="Normal"/>
    <w:next w:val="Normal"/>
    <w:qFormat/>
    <w:locked/>
    <w:rsid w:val="007C5679"/>
    <w:pPr>
      <w:spacing w:before="120" w:after="120"/>
    </w:pPr>
    <w:rPr>
      <w:b/>
    </w:rPr>
  </w:style>
  <w:style w:type="paragraph" w:customStyle="1" w:styleId="NumberedList">
    <w:name w:val="Numbered List"/>
    <w:basedOn w:val="Normal"/>
    <w:rsid w:val="007C5679"/>
    <w:pPr>
      <w:numPr>
        <w:numId w:val="31"/>
      </w:numPr>
      <w:tabs>
        <w:tab w:val="clear" w:pos="1080"/>
      </w:tabs>
      <w:spacing w:after="220"/>
      <w:ind w:firstLine="0"/>
    </w:pPr>
  </w:style>
  <w:style w:type="paragraph" w:customStyle="1" w:styleId="TableFormat">
    <w:name w:val="Table Format"/>
    <w:basedOn w:val="Normal"/>
    <w:rsid w:val="007C5679"/>
    <w:pPr>
      <w:widowControl w:val="0"/>
      <w:tabs>
        <w:tab w:val="left" w:pos="5040"/>
      </w:tabs>
      <w:spacing w:after="220"/>
      <w:ind w:left="5040" w:hanging="3600"/>
      <w:jc w:val="both"/>
    </w:pPr>
  </w:style>
  <w:style w:type="paragraph" w:styleId="TOC1">
    <w:name w:val="toc 1"/>
    <w:basedOn w:val="Normal"/>
    <w:next w:val="Normal"/>
    <w:autoRedefine/>
    <w:locked/>
    <w:rsid w:val="007C5679"/>
    <w:rPr>
      <w: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footer"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uiPriority="0"/>
    <w:lsdException w:name="Hyperlink" w:uiPriority="0"/>
    <w:lsdException w:name="FollowedHyperlink" w:uiPriority="0"/>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679"/>
    <w:rPr>
      <w:szCs w:val="20"/>
    </w:rPr>
  </w:style>
  <w:style w:type="paragraph" w:styleId="Heading1">
    <w:name w:val="heading 1"/>
    <w:basedOn w:val="Normal"/>
    <w:next w:val="Normal"/>
    <w:link w:val="Heading1Char"/>
    <w:qFormat/>
    <w:rsid w:val="007C5679"/>
    <w:pPr>
      <w:keepNext/>
      <w:widowControl w:val="0"/>
      <w:numPr>
        <w:numId w:val="28"/>
      </w:numPr>
      <w:suppressAutoHyphens/>
      <w:spacing w:after="220"/>
      <w:jc w:val="both"/>
      <w:outlineLvl w:val="0"/>
    </w:pPr>
    <w:rPr>
      <w:b/>
      <w:caps/>
    </w:rPr>
  </w:style>
  <w:style w:type="paragraph" w:styleId="Heading2">
    <w:name w:val="heading 2"/>
    <w:basedOn w:val="Normal"/>
    <w:next w:val="Normal"/>
    <w:link w:val="Heading2Char"/>
    <w:qFormat/>
    <w:rsid w:val="007C5679"/>
    <w:pPr>
      <w:keepNext/>
      <w:widowControl w:val="0"/>
      <w:numPr>
        <w:ilvl w:val="1"/>
        <w:numId w:val="28"/>
      </w:numPr>
      <w:spacing w:after="220"/>
      <w:jc w:val="both"/>
      <w:outlineLvl w:val="1"/>
    </w:pPr>
    <w:rPr>
      <w:b/>
    </w:rPr>
  </w:style>
  <w:style w:type="paragraph" w:styleId="Heading3">
    <w:name w:val="heading 3"/>
    <w:basedOn w:val="Normal"/>
    <w:next w:val="Normal"/>
    <w:link w:val="Heading3Char"/>
    <w:qFormat/>
    <w:rsid w:val="007C5679"/>
    <w:pPr>
      <w:keepNext/>
      <w:widowControl w:val="0"/>
      <w:numPr>
        <w:ilvl w:val="2"/>
        <w:numId w:val="28"/>
      </w:numPr>
      <w:spacing w:after="220"/>
      <w:jc w:val="both"/>
      <w:outlineLvl w:val="2"/>
    </w:pPr>
    <w:rPr>
      <w:b/>
    </w:rPr>
  </w:style>
  <w:style w:type="paragraph" w:styleId="Heading4">
    <w:name w:val="heading 4"/>
    <w:basedOn w:val="Normal"/>
    <w:next w:val="Normal"/>
    <w:link w:val="Heading4Char"/>
    <w:qFormat/>
    <w:rsid w:val="007C5679"/>
    <w:pPr>
      <w:keepNext/>
      <w:widowControl w:val="0"/>
      <w:numPr>
        <w:ilvl w:val="3"/>
        <w:numId w:val="28"/>
      </w:numPr>
      <w:spacing w:after="220"/>
      <w:jc w:val="both"/>
      <w:outlineLvl w:val="3"/>
    </w:pPr>
    <w:rPr>
      <w:b/>
    </w:rPr>
  </w:style>
  <w:style w:type="paragraph" w:styleId="Heading5">
    <w:name w:val="heading 5"/>
    <w:basedOn w:val="Normal"/>
    <w:next w:val="Normal"/>
    <w:link w:val="Heading5Char"/>
    <w:qFormat/>
    <w:locked/>
    <w:rsid w:val="007C5679"/>
    <w:pPr>
      <w:keepNext/>
      <w:widowControl w:val="0"/>
      <w:numPr>
        <w:ilvl w:val="4"/>
        <w:numId w:val="28"/>
      </w:numPr>
      <w:suppressAutoHyphens/>
      <w:spacing w:after="220"/>
      <w:jc w:val="both"/>
      <w:outlineLvl w:val="4"/>
    </w:pPr>
    <w:rPr>
      <w:b/>
    </w:rPr>
  </w:style>
  <w:style w:type="paragraph" w:styleId="Heading6">
    <w:name w:val="heading 6"/>
    <w:basedOn w:val="Normal"/>
    <w:next w:val="Normal"/>
    <w:link w:val="Heading6Char"/>
    <w:qFormat/>
    <w:locked/>
    <w:rsid w:val="007C5679"/>
    <w:pPr>
      <w:widowControl w:val="0"/>
      <w:numPr>
        <w:ilvl w:val="5"/>
        <w:numId w:val="28"/>
      </w:numPr>
      <w:spacing w:after="220"/>
      <w:jc w:val="both"/>
      <w:outlineLvl w:val="5"/>
    </w:pPr>
    <w:rPr>
      <w:b/>
    </w:rPr>
  </w:style>
  <w:style w:type="paragraph" w:styleId="Heading7">
    <w:name w:val="heading 7"/>
    <w:basedOn w:val="Normal"/>
    <w:next w:val="Normal"/>
    <w:link w:val="Heading7Char"/>
    <w:qFormat/>
    <w:locked/>
    <w:rsid w:val="007C5679"/>
    <w:pPr>
      <w:widowControl w:val="0"/>
      <w:numPr>
        <w:ilvl w:val="7"/>
        <w:numId w:val="28"/>
      </w:numPr>
      <w:spacing w:after="220"/>
      <w:jc w:val="both"/>
      <w:outlineLvl w:val="6"/>
    </w:pPr>
    <w:rPr>
      <w:b/>
    </w:rPr>
  </w:style>
  <w:style w:type="paragraph" w:styleId="Heading8">
    <w:name w:val="heading 8"/>
    <w:basedOn w:val="Normal"/>
    <w:next w:val="Normal"/>
    <w:link w:val="Heading8Char"/>
    <w:qFormat/>
    <w:locked/>
    <w:rsid w:val="007C5679"/>
    <w:pPr>
      <w:widowControl w:val="0"/>
      <w:numPr>
        <w:ilvl w:val="7"/>
        <w:numId w:val="29"/>
      </w:numPr>
      <w:tabs>
        <w:tab w:val="clear" w:pos="5400"/>
      </w:tabs>
      <w:spacing w:after="220"/>
      <w:ind w:left="5760" w:hanging="720"/>
      <w:jc w:val="both"/>
      <w:outlineLvl w:val="7"/>
    </w:pPr>
    <w:rPr>
      <w:b/>
    </w:rPr>
  </w:style>
  <w:style w:type="paragraph" w:styleId="Heading9">
    <w:name w:val="heading 9"/>
    <w:basedOn w:val="Normal"/>
    <w:next w:val="Normal"/>
    <w:link w:val="Heading9Char"/>
    <w:qFormat/>
    <w:locked/>
    <w:rsid w:val="007C5679"/>
    <w:pPr>
      <w:widowControl w:val="0"/>
      <w:numPr>
        <w:ilvl w:val="8"/>
        <w:numId w:val="28"/>
      </w:numPr>
      <w:spacing w:after="220"/>
      <w:jc w:val="both"/>
      <w:outlineLvl w:val="8"/>
    </w:pPr>
    <w:rPr>
      <w:b/>
    </w:rPr>
  </w:style>
  <w:style w:type="character" w:default="1" w:styleId="DefaultParagraphFont">
    <w:name w:val="Default Paragraph Font"/>
    <w:semiHidden/>
    <w:rsid w:val="007C567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C5679"/>
  </w:style>
  <w:style w:type="character" w:customStyle="1" w:styleId="Heading1Char">
    <w:name w:val="Heading 1 Char"/>
    <w:basedOn w:val="DefaultParagraphFont"/>
    <w:link w:val="Heading1"/>
    <w:locked/>
    <w:rsid w:val="00296D88"/>
    <w:rPr>
      <w:b/>
      <w:caps/>
      <w:szCs w:val="20"/>
    </w:rPr>
  </w:style>
  <w:style w:type="character" w:customStyle="1" w:styleId="Heading2Char">
    <w:name w:val="Heading 2 Char"/>
    <w:basedOn w:val="DefaultParagraphFont"/>
    <w:link w:val="Heading2"/>
    <w:locked/>
    <w:rsid w:val="00296D88"/>
    <w:rPr>
      <w:b/>
      <w:szCs w:val="20"/>
    </w:rPr>
  </w:style>
  <w:style w:type="character" w:customStyle="1" w:styleId="Heading3Char">
    <w:name w:val="Heading 3 Char"/>
    <w:basedOn w:val="DefaultParagraphFont"/>
    <w:link w:val="Heading3"/>
    <w:locked/>
    <w:rsid w:val="00296D88"/>
    <w:rPr>
      <w:b/>
      <w:szCs w:val="20"/>
    </w:rPr>
  </w:style>
  <w:style w:type="character" w:customStyle="1" w:styleId="Heading4Char">
    <w:name w:val="Heading 4 Char"/>
    <w:basedOn w:val="DefaultParagraphFont"/>
    <w:link w:val="Heading4"/>
    <w:locked/>
    <w:rsid w:val="00296D88"/>
    <w:rPr>
      <w:b/>
      <w:szCs w:val="20"/>
    </w:rPr>
  </w:style>
  <w:style w:type="character" w:styleId="FootnoteReference">
    <w:name w:val="footnote reference"/>
    <w:aliases w:val="Style 124,Appel note de bas de p,Style 12,(NECG) Footnote Reference,o,fr,Style 3,Style 17,FR,Style 13,Footnote Reference/,Style 6"/>
    <w:rsid w:val="007C5679"/>
    <w:rPr>
      <w:vertAlign w:val="superscript"/>
    </w:rPr>
  </w:style>
  <w:style w:type="paragraph" w:styleId="FootnoteText">
    <w:name w:val="footnote text"/>
    <w:aliases w:val="Footnote Text Char2 Char3,Footnote Text Char Char6 Char,Footnote Text Char6 Char Char Char,Footnote Text Char Char6 Char Char1 Char1,Footnote Text Char4 Char2 Char Char Char Char,Footnote Text Char6 Char,fn,ALTS FOOTNOT,Footnote Text Char1"/>
    <w:basedOn w:val="Normal"/>
    <w:link w:val="FootnoteTextChar"/>
    <w:rsid w:val="007C5679"/>
    <w:pPr>
      <w:tabs>
        <w:tab w:val="left" w:pos="720"/>
      </w:tabs>
      <w:spacing w:after="200"/>
    </w:pPr>
  </w:style>
  <w:style w:type="character" w:customStyle="1" w:styleId="FootnoteTextChar">
    <w:name w:val="Footnote Text Char"/>
    <w:aliases w:val="Footnote Text Char2 Char3 Char,Footnote Text Char Char6 Char Char,Footnote Text Char6 Char Char Char Char,Footnote Text Char Char6 Char Char1 Char1 Char,Footnote Text Char4 Char2 Char Char Char Char Char,Footnote Text Char6 Char Char"/>
    <w:basedOn w:val="DefaultParagraphFont"/>
    <w:link w:val="FootnoteText"/>
    <w:locked/>
    <w:rsid w:val="00296D88"/>
    <w:rPr>
      <w:szCs w:val="20"/>
    </w:rPr>
  </w:style>
  <w:style w:type="paragraph" w:styleId="Header">
    <w:name w:val="header"/>
    <w:basedOn w:val="Normal"/>
    <w:link w:val="HeaderChar"/>
    <w:rsid w:val="007C5679"/>
    <w:pPr>
      <w:tabs>
        <w:tab w:val="center" w:pos="4320"/>
        <w:tab w:val="right" w:pos="8640"/>
      </w:tabs>
    </w:pPr>
  </w:style>
  <w:style w:type="character" w:customStyle="1" w:styleId="HeaderChar">
    <w:name w:val="Header Char"/>
    <w:basedOn w:val="DefaultParagraphFont"/>
    <w:link w:val="Header"/>
    <w:locked/>
    <w:rsid w:val="00296D88"/>
    <w:rPr>
      <w:szCs w:val="20"/>
    </w:rPr>
  </w:style>
  <w:style w:type="paragraph" w:styleId="Footer">
    <w:name w:val="footer"/>
    <w:basedOn w:val="Normal"/>
    <w:link w:val="FooterChar"/>
    <w:rsid w:val="007C5679"/>
    <w:pPr>
      <w:tabs>
        <w:tab w:val="center" w:pos="4320"/>
        <w:tab w:val="right" w:pos="8640"/>
      </w:tabs>
    </w:pPr>
  </w:style>
  <w:style w:type="character" w:customStyle="1" w:styleId="FooterChar">
    <w:name w:val="Footer Char"/>
    <w:basedOn w:val="DefaultParagraphFont"/>
    <w:link w:val="Footer"/>
    <w:locked/>
    <w:rsid w:val="00296D88"/>
    <w:rPr>
      <w:szCs w:val="20"/>
    </w:rPr>
  </w:style>
  <w:style w:type="paragraph" w:styleId="BodyText">
    <w:name w:val="Body Text"/>
    <w:basedOn w:val="Normal"/>
    <w:link w:val="BodyTextChar"/>
    <w:uiPriority w:val="99"/>
    <w:rsid w:val="00296D88"/>
  </w:style>
  <w:style w:type="character" w:customStyle="1" w:styleId="BodyTextChar">
    <w:name w:val="Body Text Char"/>
    <w:basedOn w:val="DefaultParagraphFont"/>
    <w:link w:val="BodyText"/>
    <w:uiPriority w:val="99"/>
    <w:semiHidden/>
    <w:locked/>
    <w:rsid w:val="00296D88"/>
    <w:rPr>
      <w:rFonts w:ascii="Arial" w:hAnsi="Arial" w:cs="Times New Roman"/>
      <w:sz w:val="20"/>
      <w:szCs w:val="20"/>
    </w:rPr>
  </w:style>
  <w:style w:type="character" w:styleId="Hyperlink">
    <w:name w:val="Hyperlink"/>
    <w:rsid w:val="007C5679"/>
    <w:rPr>
      <w:color w:val="0000FF"/>
      <w:u w:val="single"/>
    </w:rPr>
  </w:style>
  <w:style w:type="character" w:styleId="FollowedHyperlink">
    <w:name w:val="FollowedHyperlink"/>
    <w:rsid w:val="007C5679"/>
    <w:rPr>
      <w:color w:val="800080"/>
      <w:u w:val="single"/>
    </w:rPr>
  </w:style>
  <w:style w:type="paragraph" w:styleId="BodyText2">
    <w:name w:val="Body Text 2"/>
    <w:basedOn w:val="Normal"/>
    <w:link w:val="BodyText2Char"/>
    <w:uiPriority w:val="99"/>
    <w:rsid w:val="00296D88"/>
    <w:rPr>
      <w:color w:val="000000"/>
    </w:rPr>
  </w:style>
  <w:style w:type="character" w:customStyle="1" w:styleId="BodyText2Char">
    <w:name w:val="Body Text 2 Char"/>
    <w:basedOn w:val="DefaultParagraphFont"/>
    <w:link w:val="BodyText2"/>
    <w:uiPriority w:val="99"/>
    <w:semiHidden/>
    <w:locked/>
    <w:rsid w:val="00296D88"/>
    <w:rPr>
      <w:rFonts w:ascii="Arial" w:hAnsi="Arial" w:cs="Times New Roman"/>
      <w:sz w:val="20"/>
      <w:szCs w:val="20"/>
    </w:rPr>
  </w:style>
  <w:style w:type="paragraph" w:styleId="PlainText">
    <w:name w:val="Plain Text"/>
    <w:basedOn w:val="Normal"/>
    <w:link w:val="PlainTextChar"/>
    <w:uiPriority w:val="99"/>
    <w:rsid w:val="00296D88"/>
    <w:rPr>
      <w:szCs w:val="22"/>
    </w:rPr>
  </w:style>
  <w:style w:type="character" w:customStyle="1" w:styleId="PlainTextChar">
    <w:name w:val="Plain Text Char"/>
    <w:basedOn w:val="DefaultParagraphFont"/>
    <w:link w:val="PlainText"/>
    <w:uiPriority w:val="99"/>
    <w:semiHidden/>
    <w:locked/>
    <w:rsid w:val="00296D88"/>
    <w:rPr>
      <w:rFonts w:ascii="Courier New" w:hAnsi="Courier New" w:cs="Courier New"/>
      <w:sz w:val="20"/>
      <w:szCs w:val="20"/>
    </w:rPr>
  </w:style>
  <w:style w:type="paragraph" w:styleId="BalloonText">
    <w:name w:val="Balloon Text"/>
    <w:basedOn w:val="Normal"/>
    <w:link w:val="BalloonTextChar"/>
    <w:uiPriority w:val="99"/>
    <w:semiHidden/>
    <w:rsid w:val="00296D8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96D88"/>
    <w:rPr>
      <w:rFonts w:ascii="Tahoma" w:hAnsi="Tahoma" w:cs="Tahoma"/>
      <w:sz w:val="16"/>
      <w:szCs w:val="16"/>
    </w:rPr>
  </w:style>
  <w:style w:type="paragraph" w:styleId="BodyTextIndent">
    <w:name w:val="Body Text Indent"/>
    <w:basedOn w:val="Normal"/>
    <w:link w:val="BodyTextIndentChar"/>
    <w:uiPriority w:val="99"/>
    <w:rsid w:val="006F6F9D"/>
    <w:pPr>
      <w:spacing w:after="120"/>
      <w:ind w:left="360"/>
    </w:pPr>
  </w:style>
  <w:style w:type="character" w:customStyle="1" w:styleId="BodyTextIndentChar">
    <w:name w:val="Body Text Indent Char"/>
    <w:basedOn w:val="DefaultParagraphFont"/>
    <w:link w:val="BodyTextIndent"/>
    <w:uiPriority w:val="99"/>
    <w:locked/>
    <w:rsid w:val="00296D88"/>
    <w:rPr>
      <w:szCs w:val="20"/>
    </w:rPr>
  </w:style>
  <w:style w:type="paragraph" w:customStyle="1" w:styleId="ParaNum0">
    <w:name w:val="ParaNum"/>
    <w:basedOn w:val="Normal"/>
    <w:link w:val="ParaNumChar"/>
    <w:autoRedefine/>
    <w:rsid w:val="00296D88"/>
    <w:pPr>
      <w:tabs>
        <w:tab w:val="left" w:pos="720"/>
      </w:tabs>
      <w:spacing w:after="240"/>
    </w:pPr>
    <w:rPr>
      <w:szCs w:val="22"/>
    </w:rPr>
  </w:style>
  <w:style w:type="character" w:customStyle="1" w:styleId="apple-style-span">
    <w:name w:val="apple-style-span"/>
    <w:basedOn w:val="DefaultParagraphFont"/>
    <w:uiPriority w:val="99"/>
    <w:rsid w:val="00296D88"/>
    <w:rPr>
      <w:rFonts w:cs="Times New Roman"/>
    </w:rPr>
  </w:style>
  <w:style w:type="character" w:styleId="Emphasis">
    <w:name w:val="Emphasis"/>
    <w:basedOn w:val="DefaultParagraphFont"/>
    <w:uiPriority w:val="20"/>
    <w:qFormat/>
    <w:rsid w:val="00296D88"/>
    <w:rPr>
      <w:rFonts w:cs="Times New Roman"/>
      <w:i/>
      <w:iCs/>
    </w:rPr>
  </w:style>
  <w:style w:type="character" w:customStyle="1" w:styleId="apple-converted-space">
    <w:name w:val="apple-converted-space"/>
    <w:basedOn w:val="DefaultParagraphFont"/>
    <w:uiPriority w:val="99"/>
    <w:rsid w:val="00296D88"/>
    <w:rPr>
      <w:rFonts w:cs="Times New Roman"/>
    </w:rPr>
  </w:style>
  <w:style w:type="character" w:styleId="CommentReference">
    <w:name w:val="annotation reference"/>
    <w:basedOn w:val="DefaultParagraphFont"/>
    <w:uiPriority w:val="99"/>
    <w:semiHidden/>
    <w:rsid w:val="00296D88"/>
    <w:rPr>
      <w:rFonts w:cs="Times New Roman"/>
      <w:sz w:val="16"/>
      <w:szCs w:val="16"/>
    </w:rPr>
  </w:style>
  <w:style w:type="paragraph" w:styleId="CommentText">
    <w:name w:val="annotation text"/>
    <w:basedOn w:val="Normal"/>
    <w:link w:val="CommentTextChar"/>
    <w:uiPriority w:val="99"/>
    <w:semiHidden/>
    <w:rsid w:val="006F6F9D"/>
    <w:rPr>
      <w:sz w:val="20"/>
    </w:rPr>
  </w:style>
  <w:style w:type="character" w:customStyle="1" w:styleId="CommentTextChar">
    <w:name w:val="Comment Text Char"/>
    <w:basedOn w:val="DefaultParagraphFont"/>
    <w:link w:val="CommentText"/>
    <w:uiPriority w:val="99"/>
    <w:semiHidden/>
    <w:locked/>
    <w:rsid w:val="00296D88"/>
    <w:rPr>
      <w:sz w:val="20"/>
      <w:szCs w:val="20"/>
    </w:rPr>
  </w:style>
  <w:style w:type="paragraph" w:styleId="CommentSubject">
    <w:name w:val="annotation subject"/>
    <w:basedOn w:val="CommentText"/>
    <w:next w:val="CommentText"/>
    <w:link w:val="CommentSubjectChar"/>
    <w:uiPriority w:val="99"/>
    <w:semiHidden/>
    <w:rsid w:val="006F6F9D"/>
    <w:rPr>
      <w:b/>
      <w:bCs/>
    </w:rPr>
  </w:style>
  <w:style w:type="character" w:customStyle="1" w:styleId="CommentSubjectChar">
    <w:name w:val="Comment Subject Char"/>
    <w:basedOn w:val="CommentTextChar"/>
    <w:link w:val="CommentSubject"/>
    <w:uiPriority w:val="99"/>
    <w:semiHidden/>
    <w:locked/>
    <w:rsid w:val="00296D88"/>
    <w:rPr>
      <w:b/>
      <w:bCs/>
      <w:sz w:val="20"/>
      <w:szCs w:val="20"/>
    </w:rPr>
  </w:style>
  <w:style w:type="paragraph" w:styleId="ListParagraph">
    <w:name w:val="List Paragraph"/>
    <w:basedOn w:val="Normal"/>
    <w:uiPriority w:val="99"/>
    <w:qFormat/>
    <w:rsid w:val="006F6F9D"/>
    <w:pPr>
      <w:ind w:left="720"/>
    </w:pPr>
    <w:rPr>
      <w:szCs w:val="24"/>
    </w:rPr>
  </w:style>
  <w:style w:type="character" w:customStyle="1" w:styleId="fldtextrecip1">
    <w:name w:val="fldtextrecip1"/>
    <w:basedOn w:val="DefaultParagraphFont"/>
    <w:uiPriority w:val="99"/>
    <w:rsid w:val="00296D88"/>
    <w:rPr>
      <w:rFonts w:cs="Times New Roman"/>
    </w:rPr>
  </w:style>
  <w:style w:type="paragraph" w:styleId="DocumentMap">
    <w:name w:val="Document Map"/>
    <w:basedOn w:val="Normal"/>
    <w:link w:val="DocumentMapChar"/>
    <w:uiPriority w:val="99"/>
    <w:semiHidden/>
    <w:rsid w:val="00296D88"/>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296D88"/>
    <w:rPr>
      <w:rFonts w:ascii="Tahoma" w:hAnsi="Tahoma" w:cs="Tahoma"/>
      <w:sz w:val="16"/>
      <w:szCs w:val="16"/>
    </w:rPr>
  </w:style>
  <w:style w:type="paragraph" w:styleId="Revision">
    <w:name w:val="Revision"/>
    <w:hidden/>
    <w:uiPriority w:val="99"/>
    <w:semiHidden/>
    <w:rsid w:val="003E2733"/>
    <w:rPr>
      <w:rFonts w:ascii="Arial" w:hAnsi="Arial"/>
      <w:sz w:val="24"/>
      <w:szCs w:val="20"/>
    </w:rPr>
  </w:style>
  <w:style w:type="paragraph" w:customStyle="1" w:styleId="Paranum">
    <w:name w:val="Paranum"/>
    <w:basedOn w:val="Normal"/>
    <w:rsid w:val="007C5679"/>
    <w:pPr>
      <w:widowControl w:val="0"/>
      <w:numPr>
        <w:numId w:val="32"/>
      </w:numPr>
      <w:tabs>
        <w:tab w:val="clear" w:pos="1080"/>
      </w:tabs>
      <w:spacing w:after="220"/>
      <w:jc w:val="both"/>
    </w:pPr>
  </w:style>
  <w:style w:type="character" w:customStyle="1" w:styleId="ParaNumChar">
    <w:name w:val="ParaNum Char"/>
    <w:link w:val="ParaNum0"/>
    <w:locked/>
    <w:rsid w:val="009904F2"/>
  </w:style>
  <w:style w:type="character" w:customStyle="1" w:styleId="Heading5Char">
    <w:name w:val="Heading 5 Char"/>
    <w:basedOn w:val="DefaultParagraphFont"/>
    <w:link w:val="Heading5"/>
    <w:rsid w:val="00130929"/>
    <w:rPr>
      <w:b/>
      <w:szCs w:val="20"/>
    </w:rPr>
  </w:style>
  <w:style w:type="character" w:customStyle="1" w:styleId="Heading6Char">
    <w:name w:val="Heading 6 Char"/>
    <w:basedOn w:val="DefaultParagraphFont"/>
    <w:link w:val="Heading6"/>
    <w:rsid w:val="00130929"/>
    <w:rPr>
      <w:b/>
      <w:szCs w:val="20"/>
    </w:rPr>
  </w:style>
  <w:style w:type="character" w:customStyle="1" w:styleId="Heading7Char">
    <w:name w:val="Heading 7 Char"/>
    <w:basedOn w:val="DefaultParagraphFont"/>
    <w:link w:val="Heading7"/>
    <w:rsid w:val="00130929"/>
    <w:rPr>
      <w:b/>
      <w:szCs w:val="20"/>
    </w:rPr>
  </w:style>
  <w:style w:type="character" w:customStyle="1" w:styleId="Heading8Char">
    <w:name w:val="Heading 8 Char"/>
    <w:basedOn w:val="DefaultParagraphFont"/>
    <w:link w:val="Heading8"/>
    <w:rsid w:val="00130929"/>
    <w:rPr>
      <w:b/>
      <w:szCs w:val="20"/>
    </w:rPr>
  </w:style>
  <w:style w:type="character" w:customStyle="1" w:styleId="Heading9Char">
    <w:name w:val="Heading 9 Char"/>
    <w:basedOn w:val="DefaultParagraphFont"/>
    <w:link w:val="Heading9"/>
    <w:rsid w:val="00130929"/>
    <w:rPr>
      <w:b/>
      <w:szCs w:val="20"/>
    </w:rPr>
  </w:style>
  <w:style w:type="paragraph" w:styleId="BlockText">
    <w:name w:val="Block Text"/>
    <w:basedOn w:val="Normal"/>
    <w:semiHidden/>
    <w:rsid w:val="007C5679"/>
    <w:pPr>
      <w:widowControl w:val="0"/>
      <w:spacing w:after="220"/>
      <w:ind w:left="1440" w:right="1440"/>
      <w:jc w:val="both"/>
    </w:pPr>
  </w:style>
  <w:style w:type="paragraph" w:customStyle="1" w:styleId="Bullet">
    <w:name w:val="Bullet"/>
    <w:basedOn w:val="Normal"/>
    <w:rsid w:val="007C5679"/>
    <w:pPr>
      <w:widowControl w:val="0"/>
      <w:numPr>
        <w:numId w:val="27"/>
      </w:numPr>
      <w:tabs>
        <w:tab w:val="clear" w:pos="2520"/>
      </w:tabs>
      <w:spacing w:after="220"/>
      <w:ind w:left="2160" w:hanging="720"/>
      <w:jc w:val="both"/>
    </w:pPr>
  </w:style>
  <w:style w:type="paragraph" w:styleId="Caption">
    <w:name w:val="caption"/>
    <w:basedOn w:val="Normal"/>
    <w:next w:val="Normal"/>
    <w:qFormat/>
    <w:locked/>
    <w:rsid w:val="007C5679"/>
    <w:pPr>
      <w:spacing w:before="120" w:after="120"/>
    </w:pPr>
    <w:rPr>
      <w:b/>
    </w:rPr>
  </w:style>
  <w:style w:type="paragraph" w:customStyle="1" w:styleId="NumberedList">
    <w:name w:val="Numbered List"/>
    <w:basedOn w:val="Normal"/>
    <w:rsid w:val="007C5679"/>
    <w:pPr>
      <w:numPr>
        <w:numId w:val="31"/>
      </w:numPr>
      <w:tabs>
        <w:tab w:val="clear" w:pos="1080"/>
      </w:tabs>
      <w:spacing w:after="220"/>
      <w:ind w:firstLine="0"/>
    </w:pPr>
  </w:style>
  <w:style w:type="paragraph" w:customStyle="1" w:styleId="TableFormat">
    <w:name w:val="Table Format"/>
    <w:basedOn w:val="Normal"/>
    <w:rsid w:val="007C5679"/>
    <w:pPr>
      <w:widowControl w:val="0"/>
      <w:tabs>
        <w:tab w:val="left" w:pos="5040"/>
      </w:tabs>
      <w:spacing w:after="220"/>
      <w:ind w:left="5040" w:hanging="3600"/>
      <w:jc w:val="both"/>
    </w:pPr>
  </w:style>
  <w:style w:type="paragraph" w:styleId="TOC1">
    <w:name w:val="toc 1"/>
    <w:basedOn w:val="Normal"/>
    <w:next w:val="Normal"/>
    <w:autoRedefine/>
    <w:locked/>
    <w:rsid w:val="007C5679"/>
    <w:rPr>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944913">
      <w:bodyDiv w:val="1"/>
      <w:marLeft w:val="0"/>
      <w:marRight w:val="0"/>
      <w:marTop w:val="0"/>
      <w:marBottom w:val="0"/>
      <w:divBdr>
        <w:top w:val="none" w:sz="0" w:space="0" w:color="auto"/>
        <w:left w:val="none" w:sz="0" w:space="0" w:color="auto"/>
        <w:bottom w:val="none" w:sz="0" w:space="0" w:color="auto"/>
        <w:right w:val="none" w:sz="0" w:space="0" w:color="auto"/>
      </w:divBdr>
    </w:div>
    <w:div w:id="1677535273">
      <w:bodyDiv w:val="1"/>
      <w:marLeft w:val="0"/>
      <w:marRight w:val="0"/>
      <w:marTop w:val="0"/>
      <w:marBottom w:val="0"/>
      <w:divBdr>
        <w:top w:val="none" w:sz="0" w:space="0" w:color="auto"/>
        <w:left w:val="none" w:sz="0" w:space="0" w:color="auto"/>
        <w:bottom w:val="none" w:sz="0" w:space="0" w:color="auto"/>
        <w:right w:val="none" w:sz="0" w:space="0" w:color="auto"/>
      </w:divBdr>
    </w:div>
    <w:div w:id="1799954035">
      <w:marLeft w:val="0"/>
      <w:marRight w:val="0"/>
      <w:marTop w:val="0"/>
      <w:marBottom w:val="0"/>
      <w:divBdr>
        <w:top w:val="none" w:sz="0" w:space="0" w:color="auto"/>
        <w:left w:val="none" w:sz="0" w:space="0" w:color="auto"/>
        <w:bottom w:val="none" w:sz="0" w:space="0" w:color="auto"/>
        <w:right w:val="none" w:sz="0" w:space="0" w:color="auto"/>
      </w:divBdr>
      <w:divsChild>
        <w:div w:id="1799954040">
          <w:marLeft w:val="720"/>
          <w:marRight w:val="720"/>
          <w:marTop w:val="100"/>
          <w:marBottom w:val="100"/>
          <w:divBdr>
            <w:top w:val="none" w:sz="0" w:space="0" w:color="auto"/>
            <w:left w:val="none" w:sz="0" w:space="0" w:color="auto"/>
            <w:bottom w:val="none" w:sz="0" w:space="0" w:color="auto"/>
            <w:right w:val="none" w:sz="0" w:space="0" w:color="auto"/>
          </w:divBdr>
        </w:div>
      </w:divsChild>
    </w:div>
    <w:div w:id="1799954041">
      <w:marLeft w:val="0"/>
      <w:marRight w:val="0"/>
      <w:marTop w:val="0"/>
      <w:marBottom w:val="0"/>
      <w:divBdr>
        <w:top w:val="none" w:sz="0" w:space="0" w:color="auto"/>
        <w:left w:val="none" w:sz="0" w:space="0" w:color="auto"/>
        <w:bottom w:val="none" w:sz="0" w:space="0" w:color="auto"/>
        <w:right w:val="none" w:sz="0" w:space="0" w:color="auto"/>
      </w:divBdr>
      <w:divsChild>
        <w:div w:id="1799954038">
          <w:marLeft w:val="0"/>
          <w:marRight w:val="0"/>
          <w:marTop w:val="0"/>
          <w:marBottom w:val="0"/>
          <w:divBdr>
            <w:top w:val="none" w:sz="0" w:space="0" w:color="auto"/>
            <w:left w:val="none" w:sz="0" w:space="0" w:color="auto"/>
            <w:bottom w:val="none" w:sz="0" w:space="0" w:color="auto"/>
            <w:right w:val="none" w:sz="0" w:space="0" w:color="auto"/>
          </w:divBdr>
          <w:divsChild>
            <w:div w:id="1799954045">
              <w:marLeft w:val="0"/>
              <w:marRight w:val="0"/>
              <w:marTop w:val="0"/>
              <w:marBottom w:val="0"/>
              <w:divBdr>
                <w:top w:val="none" w:sz="0" w:space="0" w:color="auto"/>
                <w:left w:val="none" w:sz="0" w:space="0" w:color="auto"/>
                <w:bottom w:val="none" w:sz="0" w:space="0" w:color="auto"/>
                <w:right w:val="none" w:sz="0" w:space="0" w:color="auto"/>
              </w:divBdr>
              <w:divsChild>
                <w:div w:id="1799954042">
                  <w:marLeft w:val="0"/>
                  <w:marRight w:val="0"/>
                  <w:marTop w:val="0"/>
                  <w:marBottom w:val="0"/>
                  <w:divBdr>
                    <w:top w:val="none" w:sz="0" w:space="0" w:color="auto"/>
                    <w:left w:val="none" w:sz="0" w:space="0" w:color="auto"/>
                    <w:bottom w:val="none" w:sz="0" w:space="0" w:color="auto"/>
                    <w:right w:val="none" w:sz="0" w:space="0" w:color="auto"/>
                  </w:divBdr>
                  <w:divsChild>
                    <w:div w:id="1799954039">
                      <w:marLeft w:val="0"/>
                      <w:marRight w:val="0"/>
                      <w:marTop w:val="0"/>
                      <w:marBottom w:val="300"/>
                      <w:divBdr>
                        <w:top w:val="none" w:sz="0" w:space="0" w:color="auto"/>
                        <w:left w:val="none" w:sz="0" w:space="0" w:color="auto"/>
                        <w:bottom w:val="none" w:sz="0" w:space="0" w:color="auto"/>
                        <w:right w:val="none" w:sz="0" w:space="0" w:color="auto"/>
                      </w:divBdr>
                      <w:divsChild>
                        <w:div w:id="1799954037">
                          <w:marLeft w:val="0"/>
                          <w:marRight w:val="0"/>
                          <w:marTop w:val="0"/>
                          <w:marBottom w:val="0"/>
                          <w:divBdr>
                            <w:top w:val="none" w:sz="0" w:space="0" w:color="auto"/>
                            <w:left w:val="none" w:sz="0" w:space="0" w:color="auto"/>
                            <w:bottom w:val="none" w:sz="0" w:space="0" w:color="auto"/>
                            <w:right w:val="none" w:sz="0" w:space="0" w:color="auto"/>
                          </w:divBdr>
                          <w:divsChild>
                            <w:div w:id="1799954036">
                              <w:marLeft w:val="0"/>
                              <w:marRight w:val="0"/>
                              <w:marTop w:val="0"/>
                              <w:marBottom w:val="0"/>
                              <w:divBdr>
                                <w:top w:val="none" w:sz="0" w:space="0" w:color="auto"/>
                                <w:left w:val="none" w:sz="0" w:space="0" w:color="auto"/>
                                <w:bottom w:val="none" w:sz="0" w:space="0" w:color="auto"/>
                                <w:right w:val="none" w:sz="0" w:space="0" w:color="auto"/>
                              </w:divBdr>
                              <w:divsChild>
                                <w:div w:id="1799954043">
                                  <w:marLeft w:val="0"/>
                                  <w:marRight w:val="0"/>
                                  <w:marTop w:val="0"/>
                                  <w:marBottom w:val="0"/>
                                  <w:divBdr>
                                    <w:top w:val="none" w:sz="0" w:space="0" w:color="auto"/>
                                    <w:left w:val="none" w:sz="0" w:space="0" w:color="auto"/>
                                    <w:bottom w:val="none" w:sz="0" w:space="0" w:color="auto"/>
                                    <w:right w:val="none" w:sz="0" w:space="0" w:color="auto"/>
                                  </w:divBdr>
                                  <w:divsChild>
                                    <w:div w:id="179995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9954046">
      <w:marLeft w:val="0"/>
      <w:marRight w:val="0"/>
      <w:marTop w:val="0"/>
      <w:marBottom w:val="0"/>
      <w:divBdr>
        <w:top w:val="none" w:sz="0" w:space="0" w:color="auto"/>
        <w:left w:val="none" w:sz="0" w:space="0" w:color="auto"/>
        <w:bottom w:val="none" w:sz="0" w:space="0" w:color="auto"/>
        <w:right w:val="none" w:sz="0" w:space="0" w:color="auto"/>
      </w:divBdr>
    </w:div>
    <w:div w:id="18026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2</Pages>
  <Words>1847</Words>
  <Characters>10170</Characters>
  <Application>Microsoft Office Word</Application>
  <DocSecurity>0</DocSecurity>
  <Lines>142</Lines>
  <Paragraphs>28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12042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2015-03-10T20:16:00Z</cp:lastPrinted>
  <dcterms:created xsi:type="dcterms:W3CDTF">2015-03-26T19:03:00Z</dcterms:created>
  <dcterms:modified xsi:type="dcterms:W3CDTF">2015-03-26T19:03:00Z</dcterms:modified>
  <cp:category> </cp:category>
  <cp:contentStatus> </cp:contentStatus>
</cp:coreProperties>
</file>