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4EE" w:rsidRDefault="00A404EE">
      <w:pPr>
        <w:jc w:val="center"/>
        <w:rPr>
          <w:b/>
          <w:color w:val="000000"/>
          <w:szCs w:val="22"/>
        </w:rPr>
      </w:pPr>
      <w:bookmarkStart w:id="0" w:name="_GoBack"/>
      <w:bookmarkEnd w:id="0"/>
      <w:r>
        <w:rPr>
          <w:b/>
          <w:color w:val="000000"/>
          <w:szCs w:val="22"/>
        </w:rPr>
        <w:t>Before the</w:t>
      </w:r>
    </w:p>
    <w:p w:rsidR="00A404EE" w:rsidRDefault="00A404EE">
      <w:pPr>
        <w:jc w:val="center"/>
        <w:rPr>
          <w:b/>
          <w:color w:val="000000"/>
          <w:szCs w:val="22"/>
        </w:rPr>
      </w:pPr>
      <w:r>
        <w:rPr>
          <w:b/>
          <w:color w:val="000000"/>
          <w:szCs w:val="22"/>
        </w:rPr>
        <w:t>Federal Communications Commission</w:t>
      </w:r>
    </w:p>
    <w:p w:rsidR="00A404EE" w:rsidRDefault="00A404EE">
      <w:pPr>
        <w:jc w:val="center"/>
        <w:rPr>
          <w:b/>
          <w:color w:val="000000"/>
          <w:szCs w:val="22"/>
        </w:rPr>
      </w:pPr>
      <w:r>
        <w:rPr>
          <w:b/>
          <w:color w:val="000000"/>
          <w:szCs w:val="22"/>
        </w:rPr>
        <w:t>Washington, D.C. 20554</w:t>
      </w:r>
    </w:p>
    <w:p w:rsidR="00A404EE" w:rsidRDefault="00A404EE"/>
    <w:p w:rsidR="00A404EE" w:rsidRDefault="00A404EE"/>
    <w:tbl>
      <w:tblPr>
        <w:tblW w:w="0" w:type="auto"/>
        <w:tblLayout w:type="fixed"/>
        <w:tblLook w:val="0000" w:firstRow="0" w:lastRow="0" w:firstColumn="0" w:lastColumn="0" w:noHBand="0" w:noVBand="0"/>
      </w:tblPr>
      <w:tblGrid>
        <w:gridCol w:w="4698"/>
        <w:gridCol w:w="630"/>
        <w:gridCol w:w="4248"/>
      </w:tblGrid>
      <w:tr w:rsidR="00A404EE">
        <w:tc>
          <w:tcPr>
            <w:tcW w:w="4698" w:type="dxa"/>
          </w:tcPr>
          <w:p w:rsidR="00A404EE" w:rsidRDefault="00A404EE">
            <w:pPr>
              <w:tabs>
                <w:tab w:val="center" w:pos="4680"/>
              </w:tabs>
              <w:snapToGrid w:val="0"/>
              <w:rPr>
                <w:color w:val="000000"/>
                <w:spacing w:val="-2"/>
                <w:szCs w:val="22"/>
              </w:rPr>
            </w:pPr>
            <w:r>
              <w:rPr>
                <w:color w:val="000000"/>
                <w:spacing w:val="-2"/>
                <w:szCs w:val="22"/>
              </w:rPr>
              <w:t>In the Matter of</w:t>
            </w:r>
          </w:p>
          <w:p w:rsidR="00A404EE" w:rsidRDefault="00A404EE">
            <w:pPr>
              <w:tabs>
                <w:tab w:val="center" w:pos="4680"/>
              </w:tabs>
              <w:rPr>
                <w:color w:val="000000"/>
                <w:spacing w:val="-2"/>
                <w:szCs w:val="22"/>
              </w:rPr>
            </w:pPr>
          </w:p>
          <w:p w:rsidR="00A404EE" w:rsidRDefault="00A404EE">
            <w:pPr>
              <w:tabs>
                <w:tab w:val="left" w:pos="5040"/>
              </w:tabs>
              <w:rPr>
                <w:bCs/>
                <w:color w:val="000000"/>
                <w:szCs w:val="22"/>
              </w:rPr>
            </w:pPr>
            <w:r>
              <w:rPr>
                <w:bCs/>
                <w:color w:val="000000"/>
                <w:szCs w:val="22"/>
              </w:rPr>
              <w:t>Implementation of Section 621(a)(1) of the Cable Communications Policy Act of 1984 as amended by the Cable Television Consumer Protection and Competition Act of 1992</w:t>
            </w:r>
          </w:p>
          <w:p w:rsidR="00A404EE" w:rsidRDefault="00A404EE">
            <w:pPr>
              <w:rPr>
                <w:bCs/>
                <w:color w:val="000000"/>
                <w:szCs w:val="22"/>
              </w:rPr>
            </w:pPr>
          </w:p>
        </w:tc>
        <w:tc>
          <w:tcPr>
            <w:tcW w:w="630" w:type="dxa"/>
          </w:tcPr>
          <w:p w:rsidR="00A404EE" w:rsidRDefault="00A404EE">
            <w:pPr>
              <w:tabs>
                <w:tab w:val="center" w:pos="4680"/>
              </w:tabs>
              <w:snapToGrid w:val="0"/>
              <w:rPr>
                <w:b/>
                <w:color w:val="000000"/>
                <w:spacing w:val="-2"/>
                <w:szCs w:val="22"/>
              </w:rPr>
            </w:pPr>
            <w:r>
              <w:rPr>
                <w:b/>
                <w:color w:val="000000"/>
                <w:spacing w:val="-2"/>
                <w:szCs w:val="22"/>
              </w:rPr>
              <w:t>)</w:t>
            </w:r>
          </w:p>
          <w:p w:rsidR="00A404EE" w:rsidRDefault="00A404EE">
            <w:pPr>
              <w:tabs>
                <w:tab w:val="center" w:pos="4680"/>
              </w:tabs>
              <w:rPr>
                <w:b/>
                <w:color w:val="000000"/>
                <w:spacing w:val="-2"/>
                <w:szCs w:val="22"/>
              </w:rPr>
            </w:pPr>
            <w:r>
              <w:rPr>
                <w:b/>
                <w:color w:val="000000"/>
                <w:spacing w:val="-2"/>
                <w:szCs w:val="22"/>
              </w:rPr>
              <w:t>)</w:t>
            </w:r>
          </w:p>
          <w:p w:rsidR="00A404EE" w:rsidRDefault="00A404EE">
            <w:pPr>
              <w:tabs>
                <w:tab w:val="center" w:pos="4680"/>
              </w:tabs>
              <w:rPr>
                <w:b/>
                <w:color w:val="000000"/>
                <w:spacing w:val="-2"/>
                <w:szCs w:val="22"/>
              </w:rPr>
            </w:pPr>
            <w:r>
              <w:rPr>
                <w:b/>
                <w:color w:val="000000"/>
                <w:spacing w:val="-2"/>
                <w:szCs w:val="22"/>
              </w:rPr>
              <w:t>)</w:t>
            </w:r>
          </w:p>
          <w:p w:rsidR="00A404EE" w:rsidRDefault="00A404EE">
            <w:pPr>
              <w:tabs>
                <w:tab w:val="center" w:pos="4680"/>
              </w:tabs>
              <w:rPr>
                <w:b/>
                <w:color w:val="000000"/>
                <w:spacing w:val="-2"/>
                <w:szCs w:val="22"/>
              </w:rPr>
            </w:pPr>
            <w:r>
              <w:rPr>
                <w:b/>
                <w:color w:val="000000"/>
                <w:spacing w:val="-2"/>
                <w:szCs w:val="22"/>
              </w:rPr>
              <w:t>)</w:t>
            </w:r>
          </w:p>
          <w:p w:rsidR="00A404EE" w:rsidRDefault="00A404EE">
            <w:pPr>
              <w:tabs>
                <w:tab w:val="center" w:pos="4680"/>
              </w:tabs>
              <w:rPr>
                <w:b/>
                <w:color w:val="000000"/>
                <w:spacing w:val="-2"/>
                <w:szCs w:val="22"/>
              </w:rPr>
            </w:pPr>
            <w:r>
              <w:rPr>
                <w:b/>
                <w:color w:val="000000"/>
                <w:spacing w:val="-2"/>
                <w:szCs w:val="22"/>
              </w:rPr>
              <w:t>)</w:t>
            </w:r>
          </w:p>
          <w:p w:rsidR="00A404EE" w:rsidRDefault="00A404EE">
            <w:pPr>
              <w:tabs>
                <w:tab w:val="center" w:pos="4680"/>
              </w:tabs>
              <w:rPr>
                <w:b/>
                <w:color w:val="000000"/>
                <w:spacing w:val="-2"/>
                <w:szCs w:val="22"/>
              </w:rPr>
            </w:pPr>
            <w:r>
              <w:rPr>
                <w:b/>
                <w:color w:val="000000"/>
                <w:spacing w:val="-2"/>
                <w:szCs w:val="22"/>
              </w:rPr>
              <w:t>)</w:t>
            </w:r>
          </w:p>
          <w:p w:rsidR="00A404EE" w:rsidRDefault="00A404EE">
            <w:pPr>
              <w:tabs>
                <w:tab w:val="center" w:pos="4680"/>
              </w:tabs>
              <w:rPr>
                <w:b/>
                <w:color w:val="000000"/>
                <w:spacing w:val="-2"/>
                <w:szCs w:val="22"/>
              </w:rPr>
            </w:pPr>
          </w:p>
          <w:p w:rsidR="00A404EE" w:rsidRDefault="00A404EE">
            <w:pPr>
              <w:tabs>
                <w:tab w:val="center" w:pos="4680"/>
              </w:tabs>
              <w:rPr>
                <w:b/>
                <w:color w:val="000000"/>
                <w:spacing w:val="-2"/>
                <w:szCs w:val="22"/>
              </w:rPr>
            </w:pPr>
          </w:p>
        </w:tc>
        <w:tc>
          <w:tcPr>
            <w:tcW w:w="4248" w:type="dxa"/>
          </w:tcPr>
          <w:p w:rsidR="00A404EE" w:rsidRDefault="00A404EE">
            <w:pPr>
              <w:tabs>
                <w:tab w:val="center" w:pos="4680"/>
              </w:tabs>
              <w:snapToGrid w:val="0"/>
              <w:rPr>
                <w:color w:val="000000"/>
                <w:spacing w:val="-2"/>
                <w:szCs w:val="22"/>
              </w:rPr>
            </w:pPr>
          </w:p>
          <w:p w:rsidR="00A404EE" w:rsidRDefault="00A404EE">
            <w:pPr>
              <w:tabs>
                <w:tab w:val="center" w:pos="4680"/>
              </w:tabs>
              <w:rPr>
                <w:color w:val="000000"/>
                <w:spacing w:val="-2"/>
                <w:szCs w:val="22"/>
              </w:rPr>
            </w:pPr>
          </w:p>
          <w:p w:rsidR="00A404EE" w:rsidRDefault="00A404EE">
            <w:pPr>
              <w:tabs>
                <w:tab w:val="center" w:pos="4680"/>
              </w:tabs>
              <w:rPr>
                <w:color w:val="000000"/>
                <w:spacing w:val="-2"/>
                <w:szCs w:val="22"/>
              </w:rPr>
            </w:pPr>
            <w:r>
              <w:rPr>
                <w:color w:val="000000"/>
                <w:spacing w:val="-2"/>
                <w:szCs w:val="22"/>
              </w:rPr>
              <w:t>MB Docket No. 05-311</w:t>
            </w:r>
          </w:p>
          <w:p w:rsidR="00A404EE" w:rsidRDefault="00A404EE">
            <w:pPr>
              <w:tabs>
                <w:tab w:val="center" w:pos="4680"/>
              </w:tabs>
              <w:rPr>
                <w:color w:val="000000"/>
                <w:spacing w:val="-2"/>
                <w:szCs w:val="22"/>
              </w:rPr>
            </w:pPr>
          </w:p>
          <w:p w:rsidR="00A404EE" w:rsidRDefault="00A404EE">
            <w:pPr>
              <w:tabs>
                <w:tab w:val="center" w:pos="4680"/>
              </w:tabs>
              <w:rPr>
                <w:color w:val="000000"/>
                <w:spacing w:val="-2"/>
                <w:szCs w:val="22"/>
              </w:rPr>
            </w:pPr>
          </w:p>
          <w:p w:rsidR="00A404EE" w:rsidRDefault="00A404EE">
            <w:pPr>
              <w:tabs>
                <w:tab w:val="center" w:pos="4680"/>
              </w:tabs>
              <w:rPr>
                <w:color w:val="000000"/>
                <w:spacing w:val="-2"/>
                <w:szCs w:val="22"/>
              </w:rPr>
            </w:pPr>
          </w:p>
        </w:tc>
      </w:tr>
    </w:tbl>
    <w:p w:rsidR="00A404EE" w:rsidRDefault="00A404EE">
      <w:pPr>
        <w:pStyle w:val="Title"/>
        <w:rPr>
          <w:color w:val="000000"/>
          <w:szCs w:val="22"/>
        </w:rPr>
      </w:pPr>
      <w:r>
        <w:rPr>
          <w:color w:val="000000"/>
          <w:szCs w:val="22"/>
        </w:rPr>
        <w:t>ORDER ON RECONSIDERATION</w:t>
      </w:r>
    </w:p>
    <w:p w:rsidR="009F7734" w:rsidRDefault="009F7734">
      <w:pPr>
        <w:rPr>
          <w:b/>
          <w:color w:val="000000"/>
          <w:spacing w:val="-2"/>
          <w:szCs w:val="22"/>
        </w:rPr>
      </w:pPr>
    </w:p>
    <w:p w:rsidR="00A404EE" w:rsidRDefault="00A404EE" w:rsidP="007C4771">
      <w:pPr>
        <w:rPr>
          <w:b/>
          <w:color w:val="000000"/>
          <w:spacing w:val="-2"/>
          <w:szCs w:val="22"/>
        </w:rPr>
      </w:pPr>
      <w:r>
        <w:rPr>
          <w:b/>
          <w:color w:val="000000"/>
          <w:spacing w:val="-2"/>
          <w:szCs w:val="22"/>
        </w:rPr>
        <w:t xml:space="preserve">Adopted:  </w:t>
      </w:r>
      <w:r w:rsidR="00FA74FD">
        <w:rPr>
          <w:b/>
          <w:color w:val="000000"/>
          <w:spacing w:val="-2"/>
          <w:szCs w:val="22"/>
        </w:rPr>
        <w:t>January 20</w:t>
      </w:r>
      <w:r w:rsidR="003D2072">
        <w:rPr>
          <w:b/>
          <w:color w:val="000000"/>
          <w:spacing w:val="-2"/>
          <w:szCs w:val="22"/>
        </w:rPr>
        <w:t>, 2015</w:t>
      </w:r>
      <w:r>
        <w:rPr>
          <w:b/>
          <w:color w:val="000000"/>
          <w:spacing w:val="-2"/>
          <w:szCs w:val="22"/>
        </w:rPr>
        <w:tab/>
      </w:r>
      <w:r>
        <w:rPr>
          <w:b/>
          <w:color w:val="000000"/>
          <w:spacing w:val="-2"/>
          <w:szCs w:val="22"/>
        </w:rPr>
        <w:tab/>
      </w:r>
      <w:r>
        <w:rPr>
          <w:b/>
          <w:color w:val="000000"/>
          <w:spacing w:val="-2"/>
          <w:szCs w:val="22"/>
        </w:rPr>
        <w:tab/>
      </w:r>
      <w:r w:rsidR="00FA74FD">
        <w:rPr>
          <w:b/>
          <w:color w:val="000000"/>
          <w:spacing w:val="-2"/>
          <w:szCs w:val="22"/>
        </w:rPr>
        <w:tab/>
      </w:r>
      <w:r>
        <w:rPr>
          <w:b/>
          <w:color w:val="000000"/>
          <w:spacing w:val="-2"/>
          <w:szCs w:val="22"/>
        </w:rPr>
        <w:tab/>
      </w:r>
      <w:r>
        <w:rPr>
          <w:b/>
          <w:color w:val="000000"/>
          <w:spacing w:val="-2"/>
          <w:szCs w:val="22"/>
        </w:rPr>
        <w:tab/>
        <w:t xml:space="preserve">Released:  </w:t>
      </w:r>
      <w:r w:rsidR="00FA74FD">
        <w:rPr>
          <w:b/>
          <w:color w:val="000000"/>
          <w:spacing w:val="-2"/>
          <w:szCs w:val="22"/>
        </w:rPr>
        <w:t>January 21, 2015</w:t>
      </w:r>
    </w:p>
    <w:p w:rsidR="00A404EE" w:rsidRDefault="00A404EE">
      <w:pPr>
        <w:rPr>
          <w:color w:val="000000"/>
          <w:szCs w:val="22"/>
        </w:rPr>
      </w:pPr>
    </w:p>
    <w:p w:rsidR="00A404EE" w:rsidRDefault="00A404EE">
      <w:pPr>
        <w:rPr>
          <w:color w:val="000000"/>
          <w:spacing w:val="-2"/>
          <w:szCs w:val="22"/>
        </w:rPr>
      </w:pPr>
      <w:r>
        <w:rPr>
          <w:color w:val="000000"/>
          <w:szCs w:val="22"/>
        </w:rPr>
        <w:t>By the Commission</w:t>
      </w:r>
      <w:r>
        <w:rPr>
          <w:color w:val="000000"/>
          <w:spacing w:val="-2"/>
          <w:szCs w:val="22"/>
        </w:rPr>
        <w:t>:</w:t>
      </w:r>
    </w:p>
    <w:p w:rsidR="009F7734" w:rsidRDefault="009F7734"/>
    <w:p w:rsidR="00A404EE" w:rsidRDefault="00A404EE" w:rsidP="0012401B">
      <w:pPr>
        <w:pStyle w:val="Heading1"/>
      </w:pPr>
      <w:r>
        <w:t>INTRODUCTION</w:t>
      </w:r>
      <w:r w:rsidR="00403ECE">
        <w:t xml:space="preserve"> AND BACKGROUND</w:t>
      </w:r>
    </w:p>
    <w:p w:rsidR="00A404EE" w:rsidRDefault="00A404EE" w:rsidP="000A7A40">
      <w:pPr>
        <w:pStyle w:val="ParaNum"/>
        <w:widowControl/>
      </w:pPr>
      <w:r>
        <w:t xml:space="preserve">In this </w:t>
      </w:r>
      <w:r>
        <w:rPr>
          <w:i/>
        </w:rPr>
        <w:t>Order on Reconsideration</w:t>
      </w:r>
      <w:r>
        <w:t>, we respond to several Petitions for Reconsideration.</w:t>
      </w:r>
      <w:r>
        <w:rPr>
          <w:rStyle w:val="FootnoteCharacters"/>
          <w:color w:val="000000"/>
          <w:spacing w:val="-2"/>
          <w:szCs w:val="22"/>
        </w:rPr>
        <w:footnoteReference w:id="2"/>
      </w:r>
      <w:r>
        <w:t xml:space="preserve">  </w:t>
      </w:r>
      <w:r w:rsidR="00F21271">
        <w:t>W</w:t>
      </w:r>
      <w:r>
        <w:t>e</w:t>
      </w:r>
      <w:r w:rsidR="00F21271">
        <w:t xml:space="preserve"> clarify the applicability of </w:t>
      </w:r>
      <w:r w:rsidR="0040135B">
        <w:t>the</w:t>
      </w:r>
      <w:r w:rsidR="00F21271">
        <w:t xml:space="preserve"> </w:t>
      </w:r>
      <w:r w:rsidR="00F21271" w:rsidRPr="00574777">
        <w:rPr>
          <w:i/>
        </w:rPr>
        <w:t>Second Report and Order</w:t>
      </w:r>
      <w:r w:rsidR="00F21271" w:rsidRPr="008A0C90">
        <w:rPr>
          <w:rStyle w:val="FootnoteCharacters"/>
          <w:color w:val="000000"/>
          <w:spacing w:val="-2"/>
          <w:szCs w:val="22"/>
        </w:rPr>
        <w:footnoteReference w:id="3"/>
      </w:r>
      <w:r w:rsidR="00F21271">
        <w:rPr>
          <w:i/>
        </w:rPr>
        <w:t xml:space="preserve"> </w:t>
      </w:r>
      <w:r w:rsidR="00F21271">
        <w:t xml:space="preserve">in states that have state-level franchising, </w:t>
      </w:r>
      <w:r>
        <w:t xml:space="preserve">grant the petitions </w:t>
      </w:r>
      <w:r w:rsidR="00574777">
        <w:t xml:space="preserve">with respect to the request that we </w:t>
      </w:r>
      <w:r w:rsidR="002C5A23">
        <w:t>reconsider</w:t>
      </w:r>
      <w:r w:rsidR="00574777">
        <w:t xml:space="preserve"> our Final Regulatory Flexibility Analysis, and </w:t>
      </w:r>
      <w:r w:rsidR="008A0C90">
        <w:t>deny the petitions in all other respects.</w:t>
      </w:r>
      <w:r>
        <w:t xml:space="preserve">  </w:t>
      </w:r>
    </w:p>
    <w:p w:rsidR="00503517" w:rsidRPr="00192015" w:rsidRDefault="00691A47" w:rsidP="007C4771">
      <w:pPr>
        <w:pStyle w:val="ParaNum"/>
        <w:widowControl/>
        <w:rPr>
          <w:color w:val="000000"/>
          <w:spacing w:val="-2"/>
          <w:szCs w:val="22"/>
        </w:rPr>
      </w:pPr>
      <w:r>
        <w:rPr>
          <w:color w:val="000000"/>
          <w:spacing w:val="-2"/>
          <w:szCs w:val="22"/>
        </w:rPr>
        <w:t>I</w:t>
      </w:r>
      <w:r w:rsidR="00A404EE">
        <w:rPr>
          <w:color w:val="000000"/>
          <w:spacing w:val="-2"/>
          <w:szCs w:val="22"/>
        </w:rPr>
        <w:t xml:space="preserve">n the </w:t>
      </w:r>
      <w:r w:rsidR="00A404EE">
        <w:rPr>
          <w:i/>
          <w:color w:val="000000"/>
          <w:spacing w:val="-2"/>
          <w:szCs w:val="22"/>
        </w:rPr>
        <w:t>First</w:t>
      </w:r>
      <w:r w:rsidR="00A404EE">
        <w:rPr>
          <w:color w:val="000000"/>
          <w:spacing w:val="-2"/>
          <w:szCs w:val="22"/>
        </w:rPr>
        <w:t xml:space="preserve"> </w:t>
      </w:r>
      <w:r w:rsidR="00A404EE">
        <w:rPr>
          <w:i/>
          <w:color w:val="000000"/>
          <w:spacing w:val="-2"/>
          <w:szCs w:val="22"/>
        </w:rPr>
        <w:t>Report and Order and Further Notice of Proposed Rulemaking</w:t>
      </w:r>
      <w:r w:rsidR="00A404EE">
        <w:rPr>
          <w:color w:val="000000"/>
          <w:spacing w:val="-2"/>
          <w:szCs w:val="22"/>
        </w:rPr>
        <w:t>,</w:t>
      </w:r>
      <w:r w:rsidR="00A404EE">
        <w:rPr>
          <w:rStyle w:val="FootnoteCharacters"/>
          <w:color w:val="000000"/>
          <w:spacing w:val="-2"/>
          <w:szCs w:val="22"/>
        </w:rPr>
        <w:footnoteReference w:id="4"/>
      </w:r>
      <w:r w:rsidR="00A404EE">
        <w:rPr>
          <w:color w:val="000000"/>
          <w:spacing w:val="-2"/>
          <w:szCs w:val="22"/>
        </w:rPr>
        <w:t xml:space="preserve"> </w:t>
      </w:r>
      <w:r w:rsidR="0040135B">
        <w:rPr>
          <w:color w:val="000000"/>
          <w:spacing w:val="-2"/>
          <w:szCs w:val="22"/>
        </w:rPr>
        <w:t>the Commission</w:t>
      </w:r>
      <w:r w:rsidR="00A404EE">
        <w:rPr>
          <w:color w:val="000000"/>
          <w:spacing w:val="-2"/>
          <w:szCs w:val="22"/>
        </w:rPr>
        <w:t xml:space="preserve"> adopted rules and provided guidance to ensure that local franchising authorities </w:t>
      </w:r>
      <w:r w:rsidR="006C74F8">
        <w:rPr>
          <w:color w:val="000000"/>
          <w:spacing w:val="-2"/>
          <w:szCs w:val="22"/>
        </w:rPr>
        <w:t xml:space="preserve">(“LFAs”) </w:t>
      </w:r>
      <w:r w:rsidR="00A404EE">
        <w:rPr>
          <w:color w:val="000000"/>
          <w:spacing w:val="-2"/>
          <w:szCs w:val="22"/>
        </w:rPr>
        <w:t xml:space="preserve">do not unreasonably refuse to award competitive </w:t>
      </w:r>
      <w:r w:rsidR="00A404EE" w:rsidRPr="00691A47">
        <w:t>franchises</w:t>
      </w:r>
      <w:r w:rsidR="00A404EE">
        <w:rPr>
          <w:color w:val="000000"/>
          <w:spacing w:val="-2"/>
          <w:szCs w:val="22"/>
        </w:rPr>
        <w:t xml:space="preserve"> for the provision of cable services</w:t>
      </w:r>
      <w:r w:rsidR="00503517">
        <w:rPr>
          <w:color w:val="000000"/>
          <w:spacing w:val="-2"/>
          <w:szCs w:val="22"/>
        </w:rPr>
        <w:t xml:space="preserve">, which is prohibited under Section </w:t>
      </w:r>
      <w:r w:rsidR="00503517">
        <w:t>621(a)(1) of the Communications Act of 1934, as amended (the “Act”).</w:t>
      </w:r>
      <w:r w:rsidR="00503517">
        <w:rPr>
          <w:rStyle w:val="FootnoteReference"/>
          <w:color w:val="000000"/>
          <w:spacing w:val="-2"/>
        </w:rPr>
        <w:footnoteReference w:id="5"/>
      </w:r>
      <w:r w:rsidR="00503517">
        <w:t xml:space="preserve">  </w:t>
      </w:r>
      <w:r w:rsidR="00A404EE">
        <w:rPr>
          <w:color w:val="000000"/>
          <w:spacing w:val="-2"/>
          <w:szCs w:val="22"/>
        </w:rPr>
        <w:t xml:space="preserve"> </w:t>
      </w:r>
      <w:r w:rsidR="00503517">
        <w:t xml:space="preserve">The </w:t>
      </w:r>
      <w:r w:rsidR="00503517">
        <w:rPr>
          <w:i/>
        </w:rPr>
        <w:t xml:space="preserve">First Report and Order </w:t>
      </w:r>
      <w:r w:rsidR="00503517">
        <w:t>found that some franchising practices violated Section 621(a)(1) and also contravened the dual congressional goals of enhancing cable competition and accelerating broadband deployment.</w:t>
      </w:r>
      <w:r w:rsidR="00503517">
        <w:rPr>
          <w:rStyle w:val="FootnoteReference"/>
          <w:color w:val="000000"/>
          <w:spacing w:val="-2"/>
        </w:rPr>
        <w:footnoteReference w:id="6"/>
      </w:r>
      <w:r w:rsidR="00503517">
        <w:t xml:space="preserve">  </w:t>
      </w:r>
      <w:r w:rsidR="00503517">
        <w:rPr>
          <w:color w:val="000000"/>
          <w:spacing w:val="-2"/>
          <w:szCs w:val="22"/>
        </w:rPr>
        <w:t xml:space="preserve">Specifically, the Commission found that: </w:t>
      </w:r>
      <w:r w:rsidR="00503517">
        <w:t xml:space="preserve">(1) an LFA’s failure to issue a decision on a competitive application within the timeframes specified in the order constitutes an unreasonable refusal to award a competitive franchise within the meaning of Section 621(a)(1); (2) an LFA’s refusal to grant a competitive franchise because of an applicant’s unwillingness to agree to unreasonable build-out mandates constitutes an unreasonable refusal to award a competitive franchise within the meaning of Section 621(a)(1); (3) an LFA’s refusal to grant a competitive franchise because of an applicant’s </w:t>
      </w:r>
      <w:r w:rsidR="00503517">
        <w:lastRenderedPageBreak/>
        <w:t>unwillingness to agree to a variety of franchise fee requirements that are impermissible under Section 622 of the Act constitutes an unreasonable refusal to award a competitive franchise within the meaning of Section 621(a)(1); (4) it would be an unreasonable refusal to awar</w:t>
      </w:r>
      <w:r w:rsidR="00763A82">
        <w:t>d a competitive franchise if an</w:t>
      </w:r>
      <w:r w:rsidR="00503517">
        <w:t xml:space="preserve"> LFA denied an application based on a new entrant’s refusal to undertake certain obligations relating to public, educational, and government channels (“PEG”) and institutional networks (“I-Nets”)</w:t>
      </w:r>
      <w:r w:rsidR="00F247AD">
        <w:t xml:space="preserve"> under Section</w:t>
      </w:r>
      <w:r w:rsidR="00CA5F38">
        <w:t>s 622 and</w:t>
      </w:r>
      <w:r w:rsidR="00F247AD">
        <w:t xml:space="preserve"> </w:t>
      </w:r>
      <w:r w:rsidR="00176859">
        <w:t>611</w:t>
      </w:r>
      <w:r w:rsidR="00503517">
        <w:t>; and (5) it is unreasonable under Section 621(a)(1) for an LFA to refuse to grant a franchise based on issues related to non-cable services or facilities</w:t>
      </w:r>
      <w:r w:rsidR="00176859">
        <w:t xml:space="preserve"> </w:t>
      </w:r>
      <w:r w:rsidR="006C74F8">
        <w:t xml:space="preserve">because an </w:t>
      </w:r>
      <w:r w:rsidR="006C74F8" w:rsidRPr="00DD4041">
        <w:rPr>
          <w:color w:val="000000"/>
          <w:szCs w:val="22"/>
        </w:rPr>
        <w:t>LFA</w:t>
      </w:r>
      <w:r w:rsidR="00291AF6">
        <w:rPr>
          <w:color w:val="000000"/>
          <w:szCs w:val="22"/>
        </w:rPr>
        <w:t>’</w:t>
      </w:r>
      <w:r w:rsidR="006C74F8" w:rsidRPr="00DD4041">
        <w:rPr>
          <w:color w:val="000000"/>
          <w:szCs w:val="22"/>
        </w:rPr>
        <w:t>s jurisdiction applies only to the provision of cable services over cable systems</w:t>
      </w:r>
      <w:r w:rsidR="006C74F8">
        <w:t xml:space="preserve"> </w:t>
      </w:r>
      <w:r w:rsidR="00176859">
        <w:t>pursuant to Section 602</w:t>
      </w:r>
      <w:r w:rsidR="00503517">
        <w:t>.</w:t>
      </w:r>
      <w:r w:rsidR="00503517">
        <w:rPr>
          <w:rStyle w:val="FootnoteReference"/>
          <w:color w:val="000000"/>
          <w:spacing w:val="-2"/>
        </w:rPr>
        <w:footnoteReference w:id="7"/>
      </w:r>
    </w:p>
    <w:p w:rsidR="009558EC" w:rsidRPr="00192015" w:rsidRDefault="009558EC" w:rsidP="00691A47">
      <w:pPr>
        <w:pStyle w:val="ParaNum"/>
        <w:rPr>
          <w:color w:val="000000"/>
          <w:spacing w:val="-2"/>
          <w:szCs w:val="22"/>
        </w:rPr>
      </w:pPr>
      <w:r>
        <w:t xml:space="preserve">Some of the Commission’s findings in the </w:t>
      </w:r>
      <w:r>
        <w:rPr>
          <w:i/>
        </w:rPr>
        <w:t>First Report and Order</w:t>
      </w:r>
      <w:r>
        <w:t xml:space="preserve"> relied, in part, on statutory provisions that do not distinguish between incumbent providers and new entrants;</w:t>
      </w:r>
      <w:r>
        <w:rPr>
          <w:color w:val="000000"/>
          <w:spacing w:val="-2"/>
          <w:szCs w:val="22"/>
          <w:vertAlign w:val="superscript"/>
        </w:rPr>
        <w:footnoteReference w:id="8"/>
      </w:r>
      <w:r>
        <w:t xml:space="preserve"> however, because the initial </w:t>
      </w:r>
      <w:r w:rsidRPr="00192015">
        <w:rPr>
          <w:i/>
        </w:rPr>
        <w:t>NPRM</w:t>
      </w:r>
      <w:r>
        <w:t xml:space="preserve"> in the proceeding focused on competitive entrants, the findings were made applicable only to new entrants.</w:t>
      </w:r>
      <w:r>
        <w:rPr>
          <w:rStyle w:val="FootnoteReference"/>
        </w:rPr>
        <w:footnoteReference w:id="9"/>
      </w:r>
      <w:r>
        <w:t xml:space="preserve">  The Commission therefore issued a </w:t>
      </w:r>
      <w:r>
        <w:rPr>
          <w:i/>
        </w:rPr>
        <w:t>Further Notice of Proposed Rulemaking</w:t>
      </w:r>
      <w:r>
        <w:t xml:space="preserve"> (“</w:t>
      </w:r>
      <w:r>
        <w:rPr>
          <w:i/>
        </w:rPr>
        <w:t>FNPRM</w:t>
      </w:r>
      <w:r>
        <w:t>”)</w:t>
      </w:r>
      <w:r>
        <w:rPr>
          <w:i/>
        </w:rPr>
        <w:t xml:space="preserve"> </w:t>
      </w:r>
      <w:r>
        <w:t>to provide interested parties with the opportunity to provide comment on which of those findings should be made applicable to incumbent providers and how that should be done.</w:t>
      </w:r>
      <w:r>
        <w:rPr>
          <w:rStyle w:val="FootnoteReference"/>
        </w:rPr>
        <w:footnoteReference w:id="10"/>
      </w:r>
      <w:r>
        <w:t xml:space="preserve">  </w:t>
      </w:r>
    </w:p>
    <w:p w:rsidR="00D836DA" w:rsidRDefault="00A404EE" w:rsidP="007C4771">
      <w:pPr>
        <w:pStyle w:val="ParaNum"/>
      </w:pPr>
      <w:r>
        <w:t xml:space="preserve">In </w:t>
      </w:r>
      <w:r w:rsidR="0040135B">
        <w:t xml:space="preserve">the </w:t>
      </w:r>
      <w:r>
        <w:rPr>
          <w:i/>
        </w:rPr>
        <w:t>Second Report and Order</w:t>
      </w:r>
      <w:r>
        <w:t xml:space="preserve">, </w:t>
      </w:r>
      <w:r w:rsidR="0040135B">
        <w:t>the Commission</w:t>
      </w:r>
      <w:r>
        <w:t xml:space="preserve"> </w:t>
      </w:r>
      <w:r w:rsidR="00763A82">
        <w:t>determined that</w:t>
      </w:r>
      <w:r w:rsidR="00176859">
        <w:t xml:space="preserve"> the </w:t>
      </w:r>
      <w:r w:rsidR="00763A82">
        <w:t xml:space="preserve">prior </w:t>
      </w:r>
      <w:r w:rsidR="00176859">
        <w:t>findings involving franchise fees</w:t>
      </w:r>
      <w:r w:rsidR="004F53C0">
        <w:t xml:space="preserve"> under Section 622</w:t>
      </w:r>
      <w:r w:rsidR="00176859">
        <w:t xml:space="preserve">, PEG and I-Net </w:t>
      </w:r>
      <w:r w:rsidR="00176859" w:rsidRPr="007C4771">
        <w:t>obligations</w:t>
      </w:r>
      <w:r w:rsidR="004F53C0">
        <w:t xml:space="preserve"> under Sections 622 and 611</w:t>
      </w:r>
      <w:r w:rsidR="00176859">
        <w:t xml:space="preserve">, and non-cable related services and facilities </w:t>
      </w:r>
      <w:r w:rsidR="004F53C0">
        <w:t xml:space="preserve">under Section 602 </w:t>
      </w:r>
      <w:r w:rsidR="00176859" w:rsidRPr="007C4771">
        <w:t>relied</w:t>
      </w:r>
      <w:r w:rsidR="00176859">
        <w:t xml:space="preserve"> on </w:t>
      </w:r>
      <w:r w:rsidR="000021AF">
        <w:t>statutory provisions that did not distinguish between incumbents and new entrants, and therefore should be applicable to incumbent operators.</w:t>
      </w:r>
      <w:r w:rsidR="000021AF">
        <w:rPr>
          <w:rStyle w:val="FootnoteReference"/>
          <w:color w:val="000000"/>
          <w:spacing w:val="-2"/>
          <w:szCs w:val="22"/>
        </w:rPr>
        <w:footnoteReference w:id="11"/>
      </w:r>
      <w:r w:rsidR="000021AF">
        <w:t xml:space="preserve">  The Commission also determined that most favored nation (“MFN”) clauses, by design, would provide some franchisees the option and ability to adjust their existing obligations if and when a competing provider </w:t>
      </w:r>
      <w:r w:rsidR="00D836DA">
        <w:t>obtains more favorable franchise provisions.</w:t>
      </w:r>
      <w:r w:rsidR="00D836DA">
        <w:rPr>
          <w:rStyle w:val="FootnoteReference"/>
          <w:color w:val="000000"/>
          <w:spacing w:val="-2"/>
          <w:szCs w:val="22"/>
        </w:rPr>
        <w:footnoteReference w:id="12"/>
      </w:r>
      <w:r w:rsidR="00D836DA">
        <w:t xml:space="preserve"> </w:t>
      </w:r>
      <w:r w:rsidR="000021AF">
        <w:t xml:space="preserve"> </w:t>
      </w:r>
      <w:r w:rsidR="00403ECE">
        <w:t xml:space="preserve"> </w:t>
      </w:r>
      <w:r>
        <w:t xml:space="preserve"> </w:t>
      </w:r>
    </w:p>
    <w:p w:rsidR="00A404EE" w:rsidRDefault="00A404EE" w:rsidP="007C4771">
      <w:pPr>
        <w:pStyle w:val="ParaNum"/>
      </w:pPr>
      <w:r>
        <w:t xml:space="preserve">Following the </w:t>
      </w:r>
      <w:r w:rsidRPr="007C4771">
        <w:t>release</w:t>
      </w:r>
      <w:r>
        <w:t xml:space="preserve"> of the </w:t>
      </w:r>
      <w:r>
        <w:rPr>
          <w:i/>
        </w:rPr>
        <w:t>Second Report and Order</w:t>
      </w:r>
      <w:r>
        <w:t xml:space="preserve">, petitioners </w:t>
      </w:r>
      <w:r w:rsidR="00403ECE">
        <w:t xml:space="preserve">sought reconsideration of </w:t>
      </w:r>
      <w:r w:rsidR="00EE3010">
        <w:t xml:space="preserve">our rulings </w:t>
      </w:r>
      <w:r>
        <w:t>regarding most favored nation clauses, in-kind payments, mixed-use networks</w:t>
      </w:r>
      <w:r w:rsidR="00403ECE">
        <w:t>,</w:t>
      </w:r>
      <w:r>
        <w:t xml:space="preserve"> and the applicability of the </w:t>
      </w:r>
      <w:r>
        <w:rPr>
          <w:i/>
        </w:rPr>
        <w:t>Second Report and Order</w:t>
      </w:r>
      <w:r>
        <w:t xml:space="preserve"> to state level franchising.  They also brought to our attention an inconsistency between the rules adopted and the rules analyzed in the accompanying Final Regulatory Flexibility Analysis (“FRFA”).</w:t>
      </w:r>
      <w:r>
        <w:rPr>
          <w:rStyle w:val="FootnoteCharacters"/>
          <w:color w:val="000000"/>
          <w:spacing w:val="-2"/>
          <w:szCs w:val="22"/>
        </w:rPr>
        <w:footnoteReference w:id="13"/>
      </w:r>
      <w:r>
        <w:t xml:space="preserve">  In response to these petitions, </w:t>
      </w:r>
      <w:r w:rsidR="0040135B">
        <w:t>the Commission</w:t>
      </w:r>
      <w:r>
        <w:t xml:space="preserve"> received a number of filings opposing reconsideration of these issues</w:t>
      </w:r>
      <w:r>
        <w:rPr>
          <w:rStyle w:val="FootnoteCharacters"/>
          <w:color w:val="000000"/>
          <w:spacing w:val="-2"/>
          <w:szCs w:val="22"/>
        </w:rPr>
        <w:footnoteReference w:id="14"/>
      </w:r>
      <w:r>
        <w:t xml:space="preserve"> and subsequent replies.</w:t>
      </w:r>
      <w:r>
        <w:rPr>
          <w:rStyle w:val="FootnoteCharacters"/>
          <w:color w:val="000000"/>
          <w:spacing w:val="-2"/>
          <w:szCs w:val="22"/>
        </w:rPr>
        <w:footnoteReference w:id="15"/>
      </w:r>
      <w:r>
        <w:t xml:space="preserve">  We discuss each of these issues in turn below.</w:t>
      </w:r>
    </w:p>
    <w:p w:rsidR="00A404EE" w:rsidRDefault="00A404EE" w:rsidP="00411319">
      <w:pPr>
        <w:pStyle w:val="Heading1"/>
        <w:widowControl/>
        <w:rPr>
          <w:b w:val="0"/>
          <w:color w:val="000000"/>
          <w:spacing w:val="-2"/>
          <w:szCs w:val="22"/>
        </w:rPr>
      </w:pPr>
      <w:r w:rsidRPr="0012401B">
        <w:lastRenderedPageBreak/>
        <w:t>DISCUSSION</w:t>
      </w:r>
    </w:p>
    <w:p w:rsidR="00A404EE" w:rsidRDefault="00A404EE" w:rsidP="00411319">
      <w:pPr>
        <w:pStyle w:val="Heading2"/>
        <w:widowControl/>
      </w:pPr>
      <w:r>
        <w:t>State Level Franchising</w:t>
      </w:r>
      <w:r w:rsidR="00B52998">
        <w:t xml:space="preserve"> </w:t>
      </w:r>
    </w:p>
    <w:p w:rsidR="00A404EE" w:rsidRDefault="00574777" w:rsidP="00411319">
      <w:pPr>
        <w:pStyle w:val="ParaNum"/>
        <w:keepNext/>
        <w:widowControl/>
      </w:pPr>
      <w:r>
        <w:t xml:space="preserve">We </w:t>
      </w:r>
      <w:r w:rsidR="00B233AC">
        <w:t xml:space="preserve">first </w:t>
      </w:r>
      <w:r w:rsidR="00134D22">
        <w:t>address</w:t>
      </w:r>
      <w:r>
        <w:t xml:space="preserve"> </w:t>
      </w:r>
      <w:r w:rsidR="00A404EE">
        <w:t>Petitioners</w:t>
      </w:r>
      <w:r w:rsidR="008A0C90">
        <w:t>’</w:t>
      </w:r>
      <w:r w:rsidR="006A0547">
        <w:t xml:space="preserve"> </w:t>
      </w:r>
      <w:r w:rsidR="00134D22">
        <w:t>request for</w:t>
      </w:r>
      <w:r w:rsidR="008A0C90">
        <w:t xml:space="preserve"> </w:t>
      </w:r>
      <w:r w:rsidR="00134D22">
        <w:t xml:space="preserve">clarification </w:t>
      </w:r>
      <w:r w:rsidR="004C7D23">
        <w:t>regarding</w:t>
      </w:r>
      <w:r w:rsidR="00134D22">
        <w:t xml:space="preserve"> </w:t>
      </w:r>
      <w:r w:rsidR="00A404EE">
        <w:t xml:space="preserve">whether the </w:t>
      </w:r>
      <w:r w:rsidR="00A404EE">
        <w:rPr>
          <w:i/>
        </w:rPr>
        <w:t>Second Report and Order</w:t>
      </w:r>
      <w:r w:rsidR="00A404EE">
        <w:t xml:space="preserve"> applies to state level franchises.</w:t>
      </w:r>
      <w:r w:rsidR="00A404EE">
        <w:rPr>
          <w:rStyle w:val="FootnoteCharacters"/>
          <w:color w:val="000000"/>
          <w:spacing w:val="-2"/>
          <w:szCs w:val="22"/>
        </w:rPr>
        <w:footnoteReference w:id="16"/>
      </w:r>
      <w:r w:rsidR="00A404EE">
        <w:t xml:space="preserve">  </w:t>
      </w:r>
      <w:r w:rsidR="00283660">
        <w:t>In the</w:t>
      </w:r>
      <w:r w:rsidR="00283660">
        <w:rPr>
          <w:i/>
        </w:rPr>
        <w:t xml:space="preserve"> First Report and Order, </w:t>
      </w:r>
      <w:r w:rsidR="006A0547">
        <w:t>the Commission determined that it did not have</w:t>
      </w:r>
      <w:r w:rsidR="006A0547" w:rsidRPr="00E843B5">
        <w:t xml:space="preserve"> a</w:t>
      </w:r>
      <w:r w:rsidR="006A0547">
        <w:t xml:space="preserve"> sufficient record to </w:t>
      </w:r>
      <w:r w:rsidR="006A0547" w:rsidRPr="00E843B5">
        <w:t>determine what constitutes an “unreasonable refusal to award an additional competitive franchise” with respect to franchising decisions</w:t>
      </w:r>
      <w:r w:rsidR="006A0547">
        <w:t xml:space="preserve"> where a state is involved versus </w:t>
      </w:r>
      <w:r w:rsidR="00D836DA">
        <w:t xml:space="preserve">a </w:t>
      </w:r>
      <w:r w:rsidR="006A0547">
        <w:t xml:space="preserve">local </w:t>
      </w:r>
      <w:r w:rsidR="00D836DA">
        <w:t>franchising authority</w:t>
      </w:r>
      <w:r w:rsidR="006A0547">
        <w:t>.</w:t>
      </w:r>
      <w:r w:rsidR="006A0547">
        <w:rPr>
          <w:rStyle w:val="FootnoteReference"/>
        </w:rPr>
        <w:footnoteReference w:id="17"/>
      </w:r>
      <w:r w:rsidR="006A0547">
        <w:t xml:space="preserve">  It therefore expressly limit</w:t>
      </w:r>
      <w:r w:rsidR="00D836DA">
        <w:t>ed the</w:t>
      </w:r>
      <w:r w:rsidR="006A0547">
        <w:t xml:space="preserve"> findings and regulations in the </w:t>
      </w:r>
      <w:r w:rsidR="006A0547">
        <w:rPr>
          <w:i/>
        </w:rPr>
        <w:t>First Report and O</w:t>
      </w:r>
      <w:r w:rsidR="006A0547" w:rsidRPr="00A4389B">
        <w:rPr>
          <w:i/>
        </w:rPr>
        <w:t>rder</w:t>
      </w:r>
      <w:r w:rsidR="006A0547">
        <w:t xml:space="preserve"> to actions or inactions at the local level where a state has not specifically circumscribed the LFA’s authority.</w:t>
      </w:r>
      <w:r w:rsidR="006A0547">
        <w:rPr>
          <w:rStyle w:val="FootnoteReference"/>
        </w:rPr>
        <w:footnoteReference w:id="18"/>
      </w:r>
      <w:r w:rsidR="004C7D23">
        <w:t xml:space="preserve">  In the </w:t>
      </w:r>
      <w:r w:rsidR="004C7D23">
        <w:rPr>
          <w:i/>
        </w:rPr>
        <w:t>FNPRM,</w:t>
      </w:r>
      <w:r w:rsidR="004C7D23">
        <w:t xml:space="preserve"> the Commission </w:t>
      </w:r>
      <w:r w:rsidR="009D4141">
        <w:t xml:space="preserve">tentatively concluded that the findings in the </w:t>
      </w:r>
      <w:r w:rsidR="009D4141">
        <w:rPr>
          <w:i/>
        </w:rPr>
        <w:t xml:space="preserve">First Report and Order </w:t>
      </w:r>
      <w:r w:rsidR="009D4141">
        <w:t>“should apply to cable operators that have existing franchise agreements as they negotiate renewal of those agreements with LFAs,” reasoning that several of the “statutory provisions do not distinguish between incumbents and new entrants or franchises issued to incumbents versus franchises issued to new entrants.”</w:t>
      </w:r>
      <w:r w:rsidR="009D4141">
        <w:rPr>
          <w:rStyle w:val="FootnoteReference"/>
        </w:rPr>
        <w:footnoteReference w:id="19"/>
      </w:r>
      <w:r w:rsidR="009D4141">
        <w:t xml:space="preserve">  The </w:t>
      </w:r>
      <w:r w:rsidR="009D4141">
        <w:rPr>
          <w:i/>
        </w:rPr>
        <w:t xml:space="preserve">FNPRM </w:t>
      </w:r>
      <w:r w:rsidR="009D4141">
        <w:t>sought comment on th</w:t>
      </w:r>
      <w:r w:rsidR="00086B15">
        <w:t>is</w:t>
      </w:r>
      <w:r w:rsidR="009D4141">
        <w:t xml:space="preserve"> tentative conclusion.</w:t>
      </w:r>
      <w:r w:rsidR="004C7D23">
        <w:rPr>
          <w:rStyle w:val="FootnoteReference"/>
        </w:rPr>
        <w:footnoteReference w:id="20"/>
      </w:r>
      <w:r w:rsidR="004C7D23">
        <w:t xml:space="preserve">  </w:t>
      </w:r>
      <w:r w:rsidR="00645ECC">
        <w:t>In denying various franchis</w:t>
      </w:r>
      <w:r w:rsidR="007A07B3">
        <w:t>ing</w:t>
      </w:r>
      <w:r w:rsidR="00645ECC">
        <w:t xml:space="preserve"> authorities’ petitions for review of the Commission’s </w:t>
      </w:r>
      <w:r w:rsidR="00645ECC">
        <w:rPr>
          <w:i/>
        </w:rPr>
        <w:t xml:space="preserve">First Report and Order, </w:t>
      </w:r>
      <w:r w:rsidR="00645ECC">
        <w:t>the United States Court of Appeals for the Sixth Circuit observed that “[d]espite its preemption of local laws and regulations,” the</w:t>
      </w:r>
      <w:r w:rsidR="00CE36A6">
        <w:t xml:space="preserve"> Commission, in the</w:t>
      </w:r>
      <w:r w:rsidR="00645ECC">
        <w:t xml:space="preserve"> </w:t>
      </w:r>
      <w:r w:rsidR="00645ECC">
        <w:rPr>
          <w:i/>
        </w:rPr>
        <w:t>First Report and Order</w:t>
      </w:r>
      <w:r w:rsidR="00CE36A6">
        <w:rPr>
          <w:i/>
        </w:rPr>
        <w:t>,</w:t>
      </w:r>
      <w:r w:rsidR="00645ECC">
        <w:rPr>
          <w:i/>
        </w:rPr>
        <w:t xml:space="preserve"> </w:t>
      </w:r>
      <w:r w:rsidR="00645ECC">
        <w:t xml:space="preserve">“declined to preempt state law, state-level franchising decisions, or local franchising decisions ‘specifically authorized by state law … because it lacked ‘a sufficient </w:t>
      </w:r>
      <w:r w:rsidR="00645ECC" w:rsidRPr="007C4771">
        <w:t>record</w:t>
      </w:r>
      <w:r w:rsidR="00645ECC">
        <w:t xml:space="preserve"> to evaluate whether and how such state laws may lead to unreasonable refusals to award additional competitive franchises.’”</w:t>
      </w:r>
      <w:r w:rsidR="00645ECC">
        <w:rPr>
          <w:rStyle w:val="FootnoteReference"/>
        </w:rPr>
        <w:footnoteReference w:id="21"/>
      </w:r>
      <w:r w:rsidR="006A0547">
        <w:t xml:space="preserve"> </w:t>
      </w:r>
      <w:r w:rsidR="00283660">
        <w:t xml:space="preserve"> </w:t>
      </w:r>
      <w:r w:rsidR="00134D22">
        <w:t xml:space="preserve">In </w:t>
      </w:r>
      <w:r w:rsidR="00A404EE">
        <w:t xml:space="preserve">the </w:t>
      </w:r>
      <w:r w:rsidR="00A404EE">
        <w:rPr>
          <w:i/>
        </w:rPr>
        <w:t>Second Report and Order</w:t>
      </w:r>
      <w:r w:rsidR="00134D22">
        <w:rPr>
          <w:i/>
        </w:rPr>
        <w:t>,</w:t>
      </w:r>
      <w:r w:rsidR="00134D22">
        <w:t xml:space="preserve"> the Commission </w:t>
      </w:r>
      <w:r w:rsidR="00CE36A6">
        <w:t>“</w:t>
      </w:r>
      <w:r w:rsidR="00134D22">
        <w:t>provide</w:t>
      </w:r>
      <w:r w:rsidR="00CE36A6">
        <w:t>[d]</w:t>
      </w:r>
      <w:r w:rsidR="00134D22">
        <w:t xml:space="preserve"> further guidance on the operation of the</w:t>
      </w:r>
      <w:r w:rsidR="00086B15">
        <w:t xml:space="preserve"> local franchising process</w:t>
      </w:r>
      <w:r w:rsidR="009B7C2B">
        <w:t>,” explaining that to “</w:t>
      </w:r>
      <w:r w:rsidR="00086B15">
        <w:t xml:space="preserve">promote the federal goals of enhanced cable competition and accelerated broadband development, </w:t>
      </w:r>
      <w:r w:rsidR="00132CF0">
        <w:t>we extend a number of the rules promulgated in</w:t>
      </w:r>
      <w:r w:rsidR="00086B15">
        <w:t xml:space="preserve"> …</w:t>
      </w:r>
      <w:r w:rsidR="00132CF0">
        <w:t xml:space="preserve"> </w:t>
      </w:r>
      <w:r w:rsidR="00086B15">
        <w:t xml:space="preserve">[the </w:t>
      </w:r>
      <w:r w:rsidR="00132CF0">
        <w:rPr>
          <w:i/>
        </w:rPr>
        <w:t>First Report and Order</w:t>
      </w:r>
      <w:r w:rsidR="00086B15">
        <w:t>]</w:t>
      </w:r>
      <w:r w:rsidR="00132CF0">
        <w:t xml:space="preserve"> to incumbents as well as new entrants.”</w:t>
      </w:r>
      <w:r w:rsidR="00132CF0">
        <w:rPr>
          <w:rStyle w:val="FootnoteReference"/>
          <w:color w:val="000000"/>
          <w:spacing w:val="-2"/>
          <w:szCs w:val="22"/>
        </w:rPr>
        <w:footnoteReference w:id="22"/>
      </w:r>
      <w:r w:rsidR="0068509A">
        <w:t xml:space="preserve">  The Commission, however, did not explicitly discuss whether its findings in the </w:t>
      </w:r>
      <w:r w:rsidR="0068509A">
        <w:rPr>
          <w:i/>
        </w:rPr>
        <w:t xml:space="preserve">Second Report and Order </w:t>
      </w:r>
      <w:r w:rsidR="0068509A">
        <w:t xml:space="preserve">applied to state franchising decisions.  </w:t>
      </w:r>
      <w:r w:rsidR="00A404EE">
        <w:t>In response</w:t>
      </w:r>
      <w:r w:rsidR="008A0C90">
        <w:t xml:space="preserve"> to </w:t>
      </w:r>
      <w:r w:rsidR="00706DB8">
        <w:t>a</w:t>
      </w:r>
      <w:r w:rsidR="008A0C90">
        <w:t xml:space="preserve"> request </w:t>
      </w:r>
      <w:r w:rsidR="00A14C15">
        <w:t>for clarification</w:t>
      </w:r>
      <w:r w:rsidR="00A404EE">
        <w:t xml:space="preserve">, the State of Hawaii argued that </w:t>
      </w:r>
      <w:r w:rsidR="00A14C15">
        <w:t xml:space="preserve">because </w:t>
      </w:r>
      <w:r w:rsidR="00A404EE">
        <w:t>we did not address th</w:t>
      </w:r>
      <w:r w:rsidR="00F21271">
        <w:t>is</w:t>
      </w:r>
      <w:r w:rsidR="00A404EE">
        <w:t xml:space="preserve"> issue in the </w:t>
      </w:r>
      <w:r w:rsidR="00A404EE">
        <w:rPr>
          <w:i/>
        </w:rPr>
        <w:t>Second Report and Order</w:t>
      </w:r>
      <w:r w:rsidR="00472171">
        <w:t xml:space="preserve">, </w:t>
      </w:r>
      <w:r w:rsidR="00A404EE">
        <w:t>we did not intend to apply its findings to state</w:t>
      </w:r>
      <w:r w:rsidR="0068509A">
        <w:t>-</w:t>
      </w:r>
      <w:r w:rsidR="00A404EE">
        <w:t>level franchising.</w:t>
      </w:r>
      <w:r w:rsidR="00A404EE">
        <w:rPr>
          <w:rStyle w:val="FootnoteCharacters"/>
          <w:color w:val="000000"/>
          <w:spacing w:val="-2"/>
          <w:szCs w:val="22"/>
        </w:rPr>
        <w:footnoteReference w:id="23"/>
      </w:r>
      <w:r w:rsidR="00A404EE">
        <w:t xml:space="preserve">  Both NCTA and Verizon argued that the Commission unambiguously applied the </w:t>
      </w:r>
      <w:r w:rsidR="00A404EE">
        <w:rPr>
          <w:i/>
        </w:rPr>
        <w:t>Second Report and Order</w:t>
      </w:r>
      <w:r w:rsidR="00A404EE">
        <w:t xml:space="preserve">’s findings to state level franchising, </w:t>
      </w:r>
      <w:r w:rsidR="00A14C15">
        <w:t xml:space="preserve">because </w:t>
      </w:r>
      <w:r w:rsidR="00CE20D6">
        <w:t>it</w:t>
      </w:r>
      <w:r w:rsidR="00A404EE">
        <w:t xml:space="preserve"> stated that </w:t>
      </w:r>
      <w:r w:rsidR="00CE20D6">
        <w:t>the</w:t>
      </w:r>
      <w:r w:rsidR="00A404EE">
        <w:t xml:space="preserve"> statutory interpretations </w:t>
      </w:r>
      <w:r w:rsidR="00CE20D6">
        <w:t xml:space="preserve">at issue in the proceeding </w:t>
      </w:r>
      <w:r w:rsidR="00A404EE">
        <w:t>are “valid throughout the nation.”</w:t>
      </w:r>
      <w:r w:rsidR="00A404EE">
        <w:rPr>
          <w:rStyle w:val="FootnoteCharacters"/>
          <w:color w:val="000000"/>
          <w:spacing w:val="-2"/>
          <w:szCs w:val="22"/>
        </w:rPr>
        <w:footnoteReference w:id="24"/>
      </w:r>
      <w:r w:rsidR="00A404EE">
        <w:t xml:space="preserve">  </w:t>
      </w:r>
    </w:p>
    <w:p w:rsidR="00A404EE" w:rsidRDefault="00A404EE" w:rsidP="00055598">
      <w:pPr>
        <w:pStyle w:val="ParaNum"/>
      </w:pPr>
      <w:r>
        <w:t xml:space="preserve">The </w:t>
      </w:r>
      <w:r w:rsidR="002C12B0">
        <w:t xml:space="preserve">different interpretations </w:t>
      </w:r>
      <w:r>
        <w:t xml:space="preserve">discussed above indicate a need for </w:t>
      </w:r>
      <w:r w:rsidR="002C12B0">
        <w:t>the Commission to clarify</w:t>
      </w:r>
      <w:r w:rsidR="00CE20D6">
        <w:t xml:space="preserve"> </w:t>
      </w:r>
      <w:r>
        <w:t xml:space="preserve">the </w:t>
      </w:r>
      <w:r>
        <w:rPr>
          <w:i/>
        </w:rPr>
        <w:t>Second Report and Order</w:t>
      </w:r>
      <w:r w:rsidR="00922AC1" w:rsidRPr="00922AC1">
        <w:t>’</w:t>
      </w:r>
      <w:r w:rsidR="00922AC1">
        <w:t>s</w:t>
      </w:r>
      <w:r>
        <w:t xml:space="preserve"> </w:t>
      </w:r>
      <w:r w:rsidR="00283660">
        <w:t xml:space="preserve">applicability.  Specifically, it is necessary to clarify whether the </w:t>
      </w:r>
      <w:r w:rsidR="00922AC1">
        <w:t xml:space="preserve">findings </w:t>
      </w:r>
      <w:r w:rsidR="008247EC">
        <w:t>regarding</w:t>
      </w:r>
      <w:r w:rsidR="00922AC1">
        <w:t xml:space="preserve"> franchise fees</w:t>
      </w:r>
      <w:r w:rsidR="00CA5F38">
        <w:t xml:space="preserve"> under Section 622</w:t>
      </w:r>
      <w:r w:rsidR="00922AC1">
        <w:t>,</w:t>
      </w:r>
      <w:r w:rsidR="004B2C2A">
        <w:rPr>
          <w:rStyle w:val="FootnoteReference"/>
          <w:szCs w:val="22"/>
        </w:rPr>
        <w:footnoteReference w:id="25"/>
      </w:r>
      <w:r w:rsidR="00922AC1">
        <w:t xml:space="preserve"> PEG and I-Net obligations</w:t>
      </w:r>
      <w:r w:rsidR="00CA5F38">
        <w:t xml:space="preserve"> under Sections 622 and 611</w:t>
      </w:r>
      <w:r w:rsidR="00922AC1">
        <w:t>,</w:t>
      </w:r>
      <w:r w:rsidR="008247EC">
        <w:rPr>
          <w:rStyle w:val="FootnoteReference"/>
          <w:szCs w:val="22"/>
        </w:rPr>
        <w:footnoteReference w:id="26"/>
      </w:r>
      <w:r w:rsidR="00922AC1">
        <w:t xml:space="preserve"> and non-cable related services and facilities</w:t>
      </w:r>
      <w:r w:rsidR="00CA5F38">
        <w:t xml:space="preserve"> under Section 602</w:t>
      </w:r>
      <w:r w:rsidR="008247EC">
        <w:rPr>
          <w:rStyle w:val="FootnoteReference"/>
          <w:szCs w:val="22"/>
        </w:rPr>
        <w:footnoteReference w:id="27"/>
      </w:r>
      <w:r w:rsidR="00922AC1">
        <w:t xml:space="preserve"> </w:t>
      </w:r>
      <w:r>
        <w:t xml:space="preserve">apply to state level franchising. </w:t>
      </w:r>
      <w:r w:rsidR="00432D8A">
        <w:t xml:space="preserve"> </w:t>
      </w:r>
      <w:r w:rsidR="00C5020B">
        <w:t>We clarify that those rulings were intended to apply only to the local franchising process, and not to franchising laws or decisions at the state</w:t>
      </w:r>
      <w:r w:rsidR="0068509A">
        <w:t xml:space="preserve"> </w:t>
      </w:r>
      <w:r w:rsidR="00C5020B">
        <w:t xml:space="preserve">level.  </w:t>
      </w:r>
      <w:r w:rsidR="00032BC8">
        <w:t xml:space="preserve">This clarification </w:t>
      </w:r>
      <w:r w:rsidR="00C5020B">
        <w:t xml:space="preserve">is consistent with the stated scope of both the </w:t>
      </w:r>
      <w:r w:rsidR="00C5020B">
        <w:rPr>
          <w:i/>
        </w:rPr>
        <w:t xml:space="preserve">FNPRM </w:t>
      </w:r>
      <w:r w:rsidR="00C5020B">
        <w:t xml:space="preserve">and the </w:t>
      </w:r>
      <w:r w:rsidR="00C5020B">
        <w:rPr>
          <w:i/>
        </w:rPr>
        <w:t>Second Report and Order.</w:t>
      </w:r>
      <w:r w:rsidR="00C5020B">
        <w:t xml:space="preserve">  Specifically, the </w:t>
      </w:r>
      <w:r w:rsidR="00C5020B">
        <w:rPr>
          <w:i/>
        </w:rPr>
        <w:t>FNPRM</w:t>
      </w:r>
      <w:r w:rsidR="00C5020B">
        <w:t xml:space="preserve"> sought comment on which of the findings made in the </w:t>
      </w:r>
      <w:r w:rsidR="00C5020B">
        <w:rPr>
          <w:i/>
        </w:rPr>
        <w:t xml:space="preserve">First Report and Order </w:t>
      </w:r>
      <w:r w:rsidR="00C5020B">
        <w:t>should extend to incumbent cable operators.</w:t>
      </w:r>
      <w:r w:rsidR="00C5020B">
        <w:rPr>
          <w:rStyle w:val="FootnoteReference"/>
        </w:rPr>
        <w:footnoteReference w:id="28"/>
      </w:r>
      <w:r w:rsidR="00C5020B">
        <w:t xml:space="preserve">  </w:t>
      </w:r>
      <w:r w:rsidR="004F53C0">
        <w:t>I</w:t>
      </w:r>
      <w:r w:rsidR="00AC4050">
        <w:t xml:space="preserve">n deciding </w:t>
      </w:r>
      <w:r w:rsidR="00D813D8">
        <w:t>which</w:t>
      </w:r>
      <w:r w:rsidR="008268E6">
        <w:t xml:space="preserve"> </w:t>
      </w:r>
      <w:r w:rsidR="00CF593D">
        <w:t>findings</w:t>
      </w:r>
      <w:r w:rsidR="008268E6">
        <w:t xml:space="preserve"> would</w:t>
      </w:r>
      <w:r w:rsidR="00AC4050">
        <w:t xml:space="preserve"> extend to incumbent cable operators, </w:t>
      </w:r>
      <w:r w:rsidR="0040135B">
        <w:t xml:space="preserve">the Commission </w:t>
      </w:r>
      <w:r w:rsidR="009B7C2B">
        <w:t xml:space="preserve">made clear </w:t>
      </w:r>
      <w:r>
        <w:t xml:space="preserve">in the </w:t>
      </w:r>
      <w:r>
        <w:rPr>
          <w:i/>
        </w:rPr>
        <w:t>Second Report and Order</w:t>
      </w:r>
      <w:r>
        <w:t xml:space="preserve"> that </w:t>
      </w:r>
      <w:r w:rsidR="008268E6">
        <w:t xml:space="preserve">it </w:t>
      </w:r>
      <w:r w:rsidR="009B7C2B">
        <w:t xml:space="preserve">was providing “further guidance on the operation of the </w:t>
      </w:r>
      <w:r w:rsidR="009B7C2B">
        <w:rPr>
          <w:i/>
        </w:rPr>
        <w:t xml:space="preserve">local franchising process” </w:t>
      </w:r>
      <w:r w:rsidR="00D813D8">
        <w:t xml:space="preserve">and that it was extending a number of rules promulgated in the </w:t>
      </w:r>
      <w:r w:rsidR="00D813D8">
        <w:rPr>
          <w:i/>
        </w:rPr>
        <w:t xml:space="preserve">First Report and Order </w:t>
      </w:r>
      <w:r w:rsidR="00D813D8">
        <w:t>to incumbents.</w:t>
      </w:r>
      <w:r w:rsidR="00D813D8">
        <w:rPr>
          <w:rStyle w:val="FootnoteReference"/>
        </w:rPr>
        <w:footnoteReference w:id="29"/>
      </w:r>
      <w:r w:rsidR="00D813D8">
        <w:t xml:space="preserve">  As </w:t>
      </w:r>
      <w:r w:rsidR="000F6C2D">
        <w:t>explained</w:t>
      </w:r>
      <w:r w:rsidR="00D813D8">
        <w:t xml:space="preserve"> above,</w:t>
      </w:r>
      <w:r w:rsidR="00C5020B">
        <w:t xml:space="preserve"> in the </w:t>
      </w:r>
      <w:r w:rsidR="00C5020B">
        <w:rPr>
          <w:i/>
        </w:rPr>
        <w:t>First Report and Order,</w:t>
      </w:r>
      <w:r w:rsidR="00C5020B">
        <w:t xml:space="preserve"> the Commission </w:t>
      </w:r>
      <w:r w:rsidR="000F6C2D">
        <w:t>stated</w:t>
      </w:r>
      <w:r w:rsidR="00C5020B">
        <w:t xml:space="preserve"> that its rulings were limited to competitive franchises “at the local level.”</w:t>
      </w:r>
      <w:r w:rsidR="00C5020B">
        <w:rPr>
          <w:rStyle w:val="FootnoteReference"/>
        </w:rPr>
        <w:footnoteReference w:id="30"/>
      </w:r>
      <w:r w:rsidR="00C5020B">
        <w:t xml:space="preserve">  </w:t>
      </w:r>
      <w:r w:rsidR="000F6C2D">
        <w:t>In</w:t>
      </w:r>
      <w:r w:rsidR="00C5020B">
        <w:t xml:space="preserve"> </w:t>
      </w:r>
      <w:r w:rsidR="000F6C2D">
        <w:t xml:space="preserve">both </w:t>
      </w:r>
      <w:r w:rsidR="00C5020B">
        <w:t xml:space="preserve">the </w:t>
      </w:r>
      <w:r w:rsidR="00C5020B">
        <w:rPr>
          <w:i/>
        </w:rPr>
        <w:t xml:space="preserve">FNPRM </w:t>
      </w:r>
      <w:r w:rsidR="00C5020B">
        <w:t xml:space="preserve">and the </w:t>
      </w:r>
      <w:r w:rsidR="00C5020B">
        <w:rPr>
          <w:i/>
        </w:rPr>
        <w:t>Second Report and Order</w:t>
      </w:r>
      <w:r w:rsidR="000F6C2D">
        <w:rPr>
          <w:i/>
        </w:rPr>
        <w:t xml:space="preserve">, </w:t>
      </w:r>
      <w:r w:rsidR="000F6C2D">
        <w:t xml:space="preserve">the Commission expressed </w:t>
      </w:r>
      <w:r w:rsidR="00940F20">
        <w:t>its</w:t>
      </w:r>
      <w:r w:rsidR="000F6C2D">
        <w:t xml:space="preserve"> intent</w:t>
      </w:r>
      <w:r w:rsidR="00D813D8">
        <w:t xml:space="preserve"> </w:t>
      </w:r>
      <w:r w:rsidR="00C5020B">
        <w:t xml:space="preserve">to extend the </w:t>
      </w:r>
      <w:r w:rsidR="00C5020B">
        <w:rPr>
          <w:i/>
        </w:rPr>
        <w:t>First Report and Order</w:t>
      </w:r>
      <w:r w:rsidR="00C5020B" w:rsidRPr="00B233AC">
        <w:t xml:space="preserve">’s </w:t>
      </w:r>
      <w:r w:rsidR="00C5020B">
        <w:t xml:space="preserve">rulings to incumbent cable operators, </w:t>
      </w:r>
      <w:r w:rsidR="000F6C2D">
        <w:t xml:space="preserve">but said nothing about </w:t>
      </w:r>
      <w:r w:rsidR="00032BC8">
        <w:t>extend</w:t>
      </w:r>
      <w:r w:rsidR="000F6C2D">
        <w:t>ing</w:t>
      </w:r>
      <w:r w:rsidR="00032BC8">
        <w:t xml:space="preserve"> those rulings to state-level franchising laws.  </w:t>
      </w:r>
      <w:r w:rsidR="00D10CE2">
        <w:t xml:space="preserve">Some </w:t>
      </w:r>
      <w:r w:rsidR="00EF2724">
        <w:t>commenters</w:t>
      </w:r>
      <w:r w:rsidR="00D10CE2">
        <w:t xml:space="preserve"> argue that language </w:t>
      </w:r>
      <w:r w:rsidR="000F6C2D">
        <w:t>in</w:t>
      </w:r>
      <w:r w:rsidR="00D10CE2">
        <w:t>cluded in</w:t>
      </w:r>
      <w:r w:rsidR="000F6C2D">
        <w:t xml:space="preserve"> the </w:t>
      </w:r>
      <w:r w:rsidR="000F6C2D">
        <w:rPr>
          <w:i/>
        </w:rPr>
        <w:t>Second Report and Order</w:t>
      </w:r>
      <w:r w:rsidR="00B12FA3">
        <w:rPr>
          <w:rStyle w:val="FootnoteCharacters"/>
          <w:color w:val="000000"/>
          <w:spacing w:val="-2"/>
          <w:szCs w:val="22"/>
        </w:rPr>
        <w:footnoteReference w:id="31"/>
      </w:r>
      <w:r w:rsidR="00B12FA3">
        <w:t xml:space="preserve"> indicates that the Commission intended its </w:t>
      </w:r>
      <w:r w:rsidR="00CF593D">
        <w:t>findings</w:t>
      </w:r>
      <w:r w:rsidR="00B12FA3">
        <w:t xml:space="preserve"> to be binding on both the local and state level franchising process.</w:t>
      </w:r>
      <w:r w:rsidR="00EF2724">
        <w:rPr>
          <w:rStyle w:val="FootnoteReference"/>
        </w:rPr>
        <w:footnoteReference w:id="32"/>
      </w:r>
      <w:r>
        <w:t xml:space="preserve"> </w:t>
      </w:r>
      <w:r w:rsidR="00F14E91">
        <w:t xml:space="preserve">  </w:t>
      </w:r>
      <w:r w:rsidR="00B12FA3">
        <w:t xml:space="preserve">We </w:t>
      </w:r>
      <w:r w:rsidR="001C2C34">
        <w:t>disagree</w:t>
      </w:r>
      <w:r w:rsidR="00B12FA3">
        <w:t xml:space="preserve"> that</w:t>
      </w:r>
      <w:r w:rsidR="00426953">
        <w:t xml:space="preserve"> these statements suggest that those rulings extend beyond local franchising authorities.  For the same reason we limited the rulings in the </w:t>
      </w:r>
      <w:r w:rsidR="00426953">
        <w:rPr>
          <w:i/>
          <w:iCs/>
        </w:rPr>
        <w:t xml:space="preserve">First Report and Order </w:t>
      </w:r>
      <w:r w:rsidR="00426953">
        <w:t xml:space="preserve">to the local franchising level – the lack of sufficient information in the record about the state-level franchising process – we did not extend those rulings in the </w:t>
      </w:r>
      <w:r w:rsidR="00426953">
        <w:rPr>
          <w:i/>
          <w:iCs/>
        </w:rPr>
        <w:t xml:space="preserve">Second Report and Order </w:t>
      </w:r>
      <w:r w:rsidR="00426953">
        <w:t>to state-level franchising laws or decisions.</w:t>
      </w:r>
      <w:r>
        <w:rPr>
          <w:rStyle w:val="FootnoteCharacters"/>
          <w:color w:val="000000"/>
          <w:spacing w:val="-2"/>
          <w:szCs w:val="22"/>
        </w:rPr>
        <w:footnoteReference w:id="33"/>
      </w:r>
      <w:r w:rsidR="007E56D4">
        <w:t xml:space="preserve">  </w:t>
      </w:r>
      <w:r w:rsidR="009E508B">
        <w:t>I</w:t>
      </w:r>
      <w:r w:rsidR="008F0294">
        <w:t xml:space="preserve">f </w:t>
      </w:r>
      <w:r w:rsidR="00EE3010">
        <w:t xml:space="preserve">any </w:t>
      </w:r>
      <w:r w:rsidR="00940F20">
        <w:t>interested parties</w:t>
      </w:r>
      <w:r w:rsidR="008F0294">
        <w:t xml:space="preserve"> believe that the Commission should revisit this issue in the future</w:t>
      </w:r>
      <w:r w:rsidR="00940F20">
        <w:t xml:space="preserve">, </w:t>
      </w:r>
      <w:r w:rsidR="008F0294">
        <w:t xml:space="preserve">they remain </w:t>
      </w:r>
      <w:r w:rsidR="007E56D4">
        <w:t xml:space="preserve">free to present the Commission with evidence that the findings </w:t>
      </w:r>
      <w:r w:rsidR="008F0294">
        <w:t xml:space="preserve">in the </w:t>
      </w:r>
      <w:r w:rsidR="009E508B">
        <w:rPr>
          <w:i/>
        </w:rPr>
        <w:t xml:space="preserve">First Report and Order </w:t>
      </w:r>
      <w:r w:rsidR="009E508B">
        <w:t xml:space="preserve">and/or the </w:t>
      </w:r>
      <w:r w:rsidR="008F0294">
        <w:rPr>
          <w:i/>
        </w:rPr>
        <w:t xml:space="preserve">Second Report and Order </w:t>
      </w:r>
      <w:r w:rsidR="007E56D4">
        <w:t xml:space="preserve">are of practical relevance to the franchising process at the state-level and therefore should be </w:t>
      </w:r>
      <w:r w:rsidR="009E508B">
        <w:t xml:space="preserve">applied or </w:t>
      </w:r>
      <w:r w:rsidR="007E56D4">
        <w:t>extended accordingly</w:t>
      </w:r>
      <w:r w:rsidR="00940F20">
        <w:t>.</w:t>
      </w:r>
      <w:r w:rsidR="00CF593D">
        <w:rPr>
          <w:rStyle w:val="FootnoteReference"/>
        </w:rPr>
        <w:footnoteReference w:id="34"/>
      </w:r>
    </w:p>
    <w:p w:rsidR="00A404EE" w:rsidRDefault="00A404EE" w:rsidP="003E1882">
      <w:pPr>
        <w:pStyle w:val="Heading2"/>
      </w:pPr>
      <w:r>
        <w:t>Most Favored Nation Clauses and Disruption of Existing Contracts</w:t>
      </w:r>
    </w:p>
    <w:p w:rsidR="00A36E9D" w:rsidRPr="00192015" w:rsidRDefault="00574777" w:rsidP="007C4771">
      <w:pPr>
        <w:pStyle w:val="ParaNum"/>
        <w:rPr>
          <w:color w:val="000000"/>
          <w:spacing w:val="-2"/>
          <w:szCs w:val="22"/>
        </w:rPr>
      </w:pPr>
      <w:r>
        <w:rPr>
          <w:color w:val="000000"/>
          <w:spacing w:val="-2"/>
          <w:szCs w:val="22"/>
        </w:rPr>
        <w:t xml:space="preserve">We decline to </w:t>
      </w:r>
      <w:r w:rsidR="003F7C2A">
        <w:rPr>
          <w:color w:val="000000"/>
          <w:spacing w:val="-2"/>
          <w:szCs w:val="22"/>
        </w:rPr>
        <w:t xml:space="preserve">modify </w:t>
      </w:r>
      <w:r w:rsidR="0040135B">
        <w:t>the</w:t>
      </w:r>
      <w:r w:rsidR="00A404EE">
        <w:t xml:space="preserve"> conclusions concerning most favored nation</w:t>
      </w:r>
      <w:r w:rsidR="00196202">
        <w:t xml:space="preserve"> (“MFN”)</w:t>
      </w:r>
      <w:r w:rsidR="00A404EE">
        <w:t xml:space="preserve"> clauses and disruption of existing contracts.  In the </w:t>
      </w:r>
      <w:r w:rsidR="00A404EE">
        <w:rPr>
          <w:i/>
          <w:iCs/>
        </w:rPr>
        <w:t>Second Report and Order</w:t>
      </w:r>
      <w:r w:rsidR="00A404EE">
        <w:t xml:space="preserve">, </w:t>
      </w:r>
      <w:r w:rsidR="0040135B">
        <w:t>the Commission</w:t>
      </w:r>
      <w:r w:rsidR="00A404EE">
        <w:t xml:space="preserve"> concluded that</w:t>
      </w:r>
      <w:r w:rsidR="00CA4768" w:rsidRPr="00CA4768">
        <w:rPr>
          <w:rFonts w:ascii="Times" w:hAnsi="Times" w:cs="Times"/>
          <w:color w:val="000000"/>
          <w:sz w:val="21"/>
          <w:szCs w:val="21"/>
        </w:rPr>
        <w:t xml:space="preserve"> </w:t>
      </w:r>
      <w:r w:rsidR="00CA4768" w:rsidRPr="00192015">
        <w:rPr>
          <w:color w:val="000000"/>
          <w:szCs w:val="22"/>
        </w:rPr>
        <w:t xml:space="preserve">the determinations </w:t>
      </w:r>
      <w:r w:rsidR="003F7C2A">
        <w:rPr>
          <w:color w:val="000000"/>
          <w:szCs w:val="22"/>
        </w:rPr>
        <w:t>in</w:t>
      </w:r>
      <w:r w:rsidR="00CA4768" w:rsidRPr="00192015">
        <w:rPr>
          <w:color w:val="000000"/>
          <w:szCs w:val="22"/>
        </w:rPr>
        <w:t xml:space="preserve"> the </w:t>
      </w:r>
      <w:r w:rsidR="00CA4768" w:rsidRPr="00192015">
        <w:rPr>
          <w:i/>
          <w:iCs/>
          <w:color w:val="000000"/>
          <w:szCs w:val="22"/>
        </w:rPr>
        <w:t xml:space="preserve">First Report and Order </w:t>
      </w:r>
      <w:r w:rsidR="00CA4768" w:rsidRPr="00192015">
        <w:rPr>
          <w:iCs/>
          <w:color w:val="000000"/>
          <w:szCs w:val="22"/>
        </w:rPr>
        <w:t xml:space="preserve">may </w:t>
      </w:r>
      <w:r w:rsidR="00CA4768" w:rsidRPr="00192015">
        <w:rPr>
          <w:color w:val="000000"/>
          <w:szCs w:val="22"/>
        </w:rPr>
        <w:t xml:space="preserve">allow competitive providers to enter markets with franchise provisions more favorable than those of the incumbent provider, </w:t>
      </w:r>
      <w:r w:rsidR="00B45296" w:rsidRPr="00192015">
        <w:rPr>
          <w:color w:val="000000"/>
          <w:szCs w:val="22"/>
        </w:rPr>
        <w:t>and expected</w:t>
      </w:r>
      <w:r w:rsidR="00CA4768" w:rsidRPr="00192015">
        <w:rPr>
          <w:color w:val="000000"/>
          <w:szCs w:val="22"/>
        </w:rPr>
        <w:t xml:space="preserve"> that MFN </w:t>
      </w:r>
      <w:r w:rsidR="00B45296" w:rsidRPr="00192015">
        <w:rPr>
          <w:color w:val="000000"/>
          <w:szCs w:val="22"/>
        </w:rPr>
        <w:t>clauses, “</w:t>
      </w:r>
      <w:r w:rsidR="00B45296" w:rsidRPr="007C4771">
        <w:t>pursuant</w:t>
      </w:r>
      <w:r w:rsidR="00B45296" w:rsidRPr="00192015">
        <w:rPr>
          <w:color w:val="000000"/>
          <w:szCs w:val="22"/>
        </w:rPr>
        <w:t xml:space="preserve"> to the </w:t>
      </w:r>
      <w:r w:rsidR="00CA4768" w:rsidRPr="00192015">
        <w:rPr>
          <w:color w:val="000000"/>
          <w:szCs w:val="22"/>
        </w:rPr>
        <w:t xml:space="preserve">operation of their own design, will provide some franchisees the </w:t>
      </w:r>
      <w:r w:rsidR="00B45296" w:rsidRPr="00192015">
        <w:rPr>
          <w:color w:val="000000"/>
          <w:szCs w:val="22"/>
        </w:rPr>
        <w:t xml:space="preserve">option and </w:t>
      </w:r>
      <w:r w:rsidR="00CA4768" w:rsidRPr="00192015">
        <w:rPr>
          <w:color w:val="000000"/>
          <w:szCs w:val="22"/>
        </w:rPr>
        <w:t>ability to change provisions of their existing agreements.</w:t>
      </w:r>
      <w:r w:rsidR="00B45296" w:rsidRPr="00192015">
        <w:rPr>
          <w:color w:val="000000"/>
          <w:szCs w:val="22"/>
        </w:rPr>
        <w:t>”</w:t>
      </w:r>
      <w:r w:rsidR="003969B5">
        <w:rPr>
          <w:rStyle w:val="FootnoteReference"/>
        </w:rPr>
        <w:footnoteReference w:id="35"/>
      </w:r>
      <w:r w:rsidR="00196202">
        <w:t xml:space="preserve"> </w:t>
      </w:r>
      <w:r w:rsidR="00B45296">
        <w:t xml:space="preserve"> The Commission</w:t>
      </w:r>
      <w:r w:rsidR="00A404EE">
        <w:t xml:space="preserve"> also concluded that these clauses would allow incumbents to change provisions of their existing franchises to conform </w:t>
      </w:r>
      <w:r w:rsidR="003F7C2A">
        <w:t xml:space="preserve">to </w:t>
      </w:r>
      <w:r w:rsidR="00A404EE">
        <w:t xml:space="preserve">the findings of the </w:t>
      </w:r>
      <w:r w:rsidR="00A404EE">
        <w:rPr>
          <w:i/>
        </w:rPr>
        <w:t>First Report and Order</w:t>
      </w:r>
      <w:r w:rsidR="00A404EE">
        <w:t xml:space="preserve"> without otherwise modifying the franchise.  </w:t>
      </w:r>
    </w:p>
    <w:p w:rsidR="00A404EE" w:rsidRPr="00470584" w:rsidRDefault="00A404EE" w:rsidP="007C4771">
      <w:pPr>
        <w:pStyle w:val="ParaNum"/>
        <w:rPr>
          <w:color w:val="000000"/>
          <w:spacing w:val="-2"/>
          <w:szCs w:val="22"/>
        </w:rPr>
      </w:pPr>
      <w:r>
        <w:t>Petitioners argue that th</w:t>
      </w:r>
      <w:r w:rsidR="002A42DF">
        <w:t>ese</w:t>
      </w:r>
      <w:r>
        <w:t xml:space="preserve"> conclusion</w:t>
      </w:r>
      <w:r w:rsidR="002A42DF">
        <w:t>s</w:t>
      </w:r>
      <w:r>
        <w:t xml:space="preserve"> </w:t>
      </w:r>
      <w:r w:rsidR="002A42DF">
        <w:t>are</w:t>
      </w:r>
      <w:r>
        <w:t xml:space="preserve"> inconsistent with our preemption of level playing field regulations in the </w:t>
      </w:r>
      <w:r>
        <w:rPr>
          <w:i/>
        </w:rPr>
        <w:t>First Report and Order</w:t>
      </w:r>
      <w:r>
        <w:t>.</w:t>
      </w:r>
      <w:r>
        <w:rPr>
          <w:rStyle w:val="FootnoteCharacters"/>
          <w:color w:val="000000"/>
          <w:spacing w:val="-2"/>
          <w:szCs w:val="22"/>
        </w:rPr>
        <w:footnoteReference w:id="36"/>
      </w:r>
      <w:r>
        <w:t xml:space="preserve">  Petitioners assert that MFN clauses have the same effect as level playing field regulations, </w:t>
      </w:r>
      <w:r w:rsidR="000220CB">
        <w:t>and therefore</w:t>
      </w:r>
      <w:r>
        <w:t xml:space="preserve"> they should also be preempted.  NCTA counters that the decision</w:t>
      </w:r>
      <w:r w:rsidR="002A42DF">
        <w:t>s</w:t>
      </w:r>
      <w:r>
        <w:t xml:space="preserve"> on </w:t>
      </w:r>
      <w:r w:rsidR="00196202" w:rsidRPr="007C4771">
        <w:t>MFN</w:t>
      </w:r>
      <w:r>
        <w:t xml:space="preserve"> clauses should not be reconsidered because of their pro-competitive and public policy purposes.</w:t>
      </w:r>
      <w:r>
        <w:rPr>
          <w:rStyle w:val="FootnoteCharacters"/>
          <w:color w:val="000000"/>
          <w:spacing w:val="-2"/>
          <w:szCs w:val="22"/>
        </w:rPr>
        <w:footnoteReference w:id="37"/>
      </w:r>
      <w:r>
        <w:t xml:space="preserve">  NATOA disagrees with that assertion, especially since both the Department of Justice and the Federal Trade Commission have labeled MFN clauses as </w:t>
      </w:r>
      <w:r w:rsidR="008A434A">
        <w:t>“</w:t>
      </w:r>
      <w:r>
        <w:t>anti-competitive</w:t>
      </w:r>
      <w:r w:rsidR="008A434A">
        <w:t>”</w:t>
      </w:r>
      <w:r w:rsidR="00A36E9D">
        <w:t xml:space="preserve"> in certain instances.</w:t>
      </w:r>
      <w:r>
        <w:rPr>
          <w:rStyle w:val="FootnoteCharacters"/>
          <w:color w:val="000000"/>
          <w:spacing w:val="-2"/>
          <w:szCs w:val="22"/>
        </w:rPr>
        <w:footnoteReference w:id="38"/>
      </w:r>
    </w:p>
    <w:p w:rsidR="00A404EE" w:rsidRPr="00470584" w:rsidRDefault="00470584" w:rsidP="00470584">
      <w:pPr>
        <w:pStyle w:val="ParaNum"/>
        <w:rPr>
          <w:color w:val="000000"/>
          <w:spacing w:val="-2"/>
          <w:szCs w:val="22"/>
        </w:rPr>
      </w:pPr>
      <w:r>
        <w:t>We adhere</w:t>
      </w:r>
      <w:r>
        <w:rPr>
          <w:color w:val="000000"/>
          <w:spacing w:val="-2"/>
          <w:szCs w:val="22"/>
        </w:rPr>
        <w:t xml:space="preserve"> </w:t>
      </w:r>
      <w:r w:rsidR="00341381">
        <w:t>to our previous determinations on</w:t>
      </w:r>
      <w:r w:rsidR="00A404EE">
        <w:t xml:space="preserve"> these issues for the reasons stated in the </w:t>
      </w:r>
      <w:r w:rsidR="00A404EE" w:rsidRPr="00470584">
        <w:rPr>
          <w:i/>
        </w:rPr>
        <w:t>Second Report and Order</w:t>
      </w:r>
      <w:r w:rsidR="00A404EE">
        <w:t>.  Most favored nation clauses allow franchisees to adjust their franchise obligations if a</w:t>
      </w:r>
      <w:r w:rsidR="00A36E9D">
        <w:t xml:space="preserve"> franchisor</w:t>
      </w:r>
      <w:r w:rsidR="00A404EE">
        <w:t xml:space="preserve"> grants a competitive provider more favorable franchise provisions than those in existing contracts.  With respect to disruption of existing </w:t>
      </w:r>
      <w:r w:rsidR="00A404EE" w:rsidRPr="007C4771">
        <w:t>contracts</w:t>
      </w:r>
      <w:r w:rsidR="00A404EE">
        <w:t xml:space="preserve">, the </w:t>
      </w:r>
      <w:r w:rsidR="00A404EE" w:rsidRPr="00470584">
        <w:rPr>
          <w:i/>
        </w:rPr>
        <w:t>Second Report and Order</w:t>
      </w:r>
      <w:r w:rsidR="00A404EE">
        <w:t xml:space="preserve"> did not give incumbent providers a unilateral right to breach their obligations.  The </w:t>
      </w:r>
      <w:r w:rsidR="00A404EE" w:rsidRPr="00470584">
        <w:rPr>
          <w:i/>
        </w:rPr>
        <w:t>Second Report and Order</w:t>
      </w:r>
      <w:r w:rsidR="00A404EE">
        <w:t xml:space="preserve"> directed the incumbent and LFA to work cooperatively to address any issues that may arise.</w:t>
      </w:r>
      <w:r w:rsidR="00A404EE">
        <w:rPr>
          <w:rStyle w:val="FootnoteCharacters"/>
          <w:color w:val="000000"/>
          <w:spacing w:val="-2"/>
          <w:szCs w:val="22"/>
        </w:rPr>
        <w:footnoteReference w:id="39"/>
      </w:r>
      <w:r w:rsidR="00A404EE">
        <w:t xml:space="preserve">  As petitioners have not raised any new arguments, instead relying on </w:t>
      </w:r>
      <w:r w:rsidR="00F052ED">
        <w:t xml:space="preserve">perceived inconsistencies with </w:t>
      </w:r>
      <w:r w:rsidR="00A404EE">
        <w:t xml:space="preserve">the </w:t>
      </w:r>
      <w:r w:rsidR="00A404EE" w:rsidRPr="00470584">
        <w:rPr>
          <w:i/>
          <w:iCs/>
        </w:rPr>
        <w:t>First Report and Order</w:t>
      </w:r>
      <w:r w:rsidR="00A36E9D" w:rsidRPr="00470584">
        <w:rPr>
          <w:iCs/>
        </w:rPr>
        <w:t>’s findings regarding level playing field regulations</w:t>
      </w:r>
      <w:r w:rsidR="00A404EE">
        <w:t>,</w:t>
      </w:r>
      <w:r w:rsidR="00463470">
        <w:rPr>
          <w:rStyle w:val="FootnoteReference"/>
          <w:color w:val="000000"/>
          <w:spacing w:val="-2"/>
          <w:szCs w:val="22"/>
        </w:rPr>
        <w:footnoteReference w:id="40"/>
      </w:r>
      <w:r w:rsidR="00A404EE">
        <w:t xml:space="preserve"> we reaffirm </w:t>
      </w:r>
      <w:r w:rsidR="0040135B">
        <w:t>the</w:t>
      </w:r>
      <w:r w:rsidR="00A404EE">
        <w:t xml:space="preserve"> prior conclusion</w:t>
      </w:r>
      <w:r w:rsidR="00E607EC">
        <w:t xml:space="preserve"> that </w:t>
      </w:r>
      <w:r w:rsidR="00F052ED">
        <w:t xml:space="preserve">MFN clauses are contractual terms </w:t>
      </w:r>
      <w:r w:rsidR="00105565">
        <w:t>that</w:t>
      </w:r>
      <w:r w:rsidR="00F052ED">
        <w:t xml:space="preserve"> are not affected by </w:t>
      </w:r>
      <w:r w:rsidR="00B45296">
        <w:t xml:space="preserve">any of the Commission’s findings in </w:t>
      </w:r>
      <w:r w:rsidR="00F052ED">
        <w:t xml:space="preserve">the </w:t>
      </w:r>
      <w:r w:rsidR="00F052ED" w:rsidRPr="00470584">
        <w:rPr>
          <w:i/>
        </w:rPr>
        <w:t>First Report and Order</w:t>
      </w:r>
      <w:r w:rsidR="00A404EE">
        <w:t>.</w:t>
      </w:r>
      <w:r w:rsidR="00E30E69">
        <w:rPr>
          <w:rStyle w:val="FootnoteReference"/>
          <w:color w:val="000000"/>
          <w:spacing w:val="-2"/>
          <w:szCs w:val="22"/>
        </w:rPr>
        <w:footnoteReference w:id="41"/>
      </w:r>
    </w:p>
    <w:p w:rsidR="00A404EE" w:rsidRDefault="00A404EE" w:rsidP="003E1882">
      <w:pPr>
        <w:pStyle w:val="Heading2"/>
      </w:pPr>
      <w:r>
        <w:t xml:space="preserve">In-Kind </w:t>
      </w:r>
      <w:r w:rsidRPr="003D2072">
        <w:t>Payments</w:t>
      </w:r>
      <w:r>
        <w:t xml:space="preserve"> </w:t>
      </w:r>
    </w:p>
    <w:p w:rsidR="003E156A" w:rsidRPr="00DD709C" w:rsidRDefault="00574777" w:rsidP="00341381">
      <w:pPr>
        <w:pStyle w:val="ParaNum"/>
        <w:widowControl/>
      </w:pPr>
      <w:r>
        <w:t xml:space="preserve">We </w:t>
      </w:r>
      <w:r w:rsidR="00341381">
        <w:t>adhere to our previous</w:t>
      </w:r>
      <w:r>
        <w:t xml:space="preserve"> conclusions</w:t>
      </w:r>
      <w:r w:rsidR="00105565">
        <w:t xml:space="preserve"> in the </w:t>
      </w:r>
      <w:r w:rsidR="008A434A">
        <w:rPr>
          <w:i/>
        </w:rPr>
        <w:t>Second Report and Order</w:t>
      </w:r>
      <w:r>
        <w:t xml:space="preserve"> regarding in-kind payments.  </w:t>
      </w:r>
      <w:r w:rsidR="00A404EE">
        <w:t xml:space="preserve">In the </w:t>
      </w:r>
      <w:r w:rsidR="00A404EE">
        <w:rPr>
          <w:i/>
          <w:iCs/>
        </w:rPr>
        <w:t>First Report and Order</w:t>
      </w:r>
      <w:r w:rsidR="00A404EE">
        <w:t xml:space="preserve">, </w:t>
      </w:r>
      <w:r w:rsidR="0040135B">
        <w:t>the Commission</w:t>
      </w:r>
      <w:r w:rsidR="00A404EE">
        <w:t xml:space="preserve"> interpret</w:t>
      </w:r>
      <w:r w:rsidR="00105565">
        <w:t>ed</w:t>
      </w:r>
      <w:r w:rsidR="00A404EE">
        <w:t xml:space="preserve"> Section 622, which limits the amount of franchise fees that an LFA may collect from a cable operator to five percent of the cable operator's gross revenues</w:t>
      </w:r>
      <w:r w:rsidR="003979D4">
        <w:t>, subject to certain exceptions in subsection (g)</w:t>
      </w:r>
      <w:r w:rsidR="00A404EE">
        <w:t>.</w:t>
      </w:r>
      <w:r w:rsidR="00A404EE">
        <w:rPr>
          <w:rStyle w:val="FootnoteReference"/>
          <w:color w:val="000000"/>
          <w:spacing w:val="-2"/>
          <w:szCs w:val="22"/>
        </w:rPr>
        <w:footnoteReference w:id="42"/>
      </w:r>
      <w:r w:rsidR="00A404EE">
        <w:t xml:space="preserve">  We concluded that “in-kind” payments – non-cash payments, such as goods and services – count toward the five percent franchise fee cap.</w:t>
      </w:r>
      <w:r w:rsidR="00A404EE">
        <w:rPr>
          <w:rStyle w:val="FootnoteReference"/>
          <w:color w:val="000000"/>
          <w:spacing w:val="-2"/>
          <w:szCs w:val="22"/>
        </w:rPr>
        <w:footnoteReference w:id="43"/>
      </w:r>
      <w:r w:rsidR="00A404EE">
        <w:t xml:space="preserve">  In the </w:t>
      </w:r>
      <w:r w:rsidR="00A404EE">
        <w:rPr>
          <w:i/>
          <w:iCs/>
        </w:rPr>
        <w:t>Second Report and Order</w:t>
      </w:r>
      <w:r w:rsidR="00A404EE">
        <w:t xml:space="preserve">, </w:t>
      </w:r>
      <w:r w:rsidR="0040135B">
        <w:t>the Commission</w:t>
      </w:r>
      <w:r w:rsidR="00A404EE">
        <w:t xml:space="preserve"> concluded that </w:t>
      </w:r>
      <w:r w:rsidR="0040135B">
        <w:t>its</w:t>
      </w:r>
      <w:r w:rsidR="00A404EE">
        <w:t xml:space="preserve"> interpretation of Section 622 “applies to both incumbent operators and new entrants.”</w:t>
      </w:r>
      <w:r w:rsidR="00A404EE">
        <w:rPr>
          <w:rStyle w:val="FootnoteReference"/>
          <w:color w:val="000000"/>
          <w:spacing w:val="-2"/>
          <w:szCs w:val="22"/>
        </w:rPr>
        <w:footnoteReference w:id="44"/>
      </w:r>
      <w:r w:rsidR="00A404EE">
        <w:t xml:space="preserve">  LFAs petitioned for reconsideration of the inclusion of in-kind payments in </w:t>
      </w:r>
      <w:r w:rsidR="00F01479">
        <w:t xml:space="preserve">calculating the </w:t>
      </w:r>
      <w:r w:rsidR="00A404EE" w:rsidRPr="00691A47">
        <w:t>franchise fee</w:t>
      </w:r>
      <w:r w:rsidR="00F01479">
        <w:t xml:space="preserve"> cap</w:t>
      </w:r>
      <w:r w:rsidR="00A404EE" w:rsidRPr="00691A47">
        <w:t>, arguing that the Commission</w:t>
      </w:r>
      <w:r w:rsidR="00341381">
        <w:t>’s</w:t>
      </w:r>
      <w:r w:rsidR="00A404EE" w:rsidRPr="00691A47">
        <w:t xml:space="preserve"> </w:t>
      </w:r>
      <w:r w:rsidR="00341381" w:rsidRPr="00341381">
        <w:rPr>
          <w:color w:val="000000"/>
          <w:spacing w:val="-2"/>
          <w:szCs w:val="22"/>
        </w:rPr>
        <w:t xml:space="preserve">determinations give an overly expansive scope to Section 622(g)(2)(D), which exempts “charges incidental to the awarding or enforcing of the franchise” from the five percent franchise fee cap and also </w:t>
      </w:r>
      <w:r w:rsidR="00A404EE" w:rsidRPr="00691A47">
        <w:t xml:space="preserve">expand the </w:t>
      </w:r>
      <w:r w:rsidR="00A404EE" w:rsidRPr="003255CF">
        <w:t xml:space="preserve">definition of in-kind payments </w:t>
      </w:r>
      <w:r w:rsidR="00341381">
        <w:t xml:space="preserve">in </w:t>
      </w:r>
      <w:r w:rsidR="003E156A">
        <w:t xml:space="preserve">the </w:t>
      </w:r>
      <w:r w:rsidR="003E156A">
        <w:rPr>
          <w:i/>
        </w:rPr>
        <w:t>First Report and Order</w:t>
      </w:r>
      <w:r w:rsidR="00A404EE" w:rsidRPr="003255CF">
        <w:t>.</w:t>
      </w:r>
      <w:r w:rsidR="00A404EE" w:rsidRPr="003255CF">
        <w:rPr>
          <w:rStyle w:val="FootnoteCharacters"/>
          <w:color w:val="000000"/>
          <w:spacing w:val="-2"/>
          <w:szCs w:val="22"/>
        </w:rPr>
        <w:footnoteReference w:id="45"/>
      </w:r>
      <w:r w:rsidR="00A404EE" w:rsidRPr="003255CF">
        <w:t xml:space="preserve"> </w:t>
      </w:r>
      <w:r w:rsidR="00691A47" w:rsidRPr="003255CF">
        <w:t xml:space="preserve"> </w:t>
      </w:r>
      <w:r w:rsidR="002A4BC9" w:rsidRPr="003255CF">
        <w:t>Verizon contends that the Commission</w:t>
      </w:r>
      <w:r w:rsidR="002A4BC9" w:rsidRPr="00CF18EF">
        <w:t>’s decision</w:t>
      </w:r>
      <w:r w:rsidR="00D93AD0">
        <w:t xml:space="preserve"> in the </w:t>
      </w:r>
      <w:r w:rsidR="00D93AD0">
        <w:rPr>
          <w:i/>
        </w:rPr>
        <w:t xml:space="preserve">Second Report and Order </w:t>
      </w:r>
      <w:r w:rsidR="002A4BC9" w:rsidRPr="00CF18EF">
        <w:t>is consistent with its statutory interpretation</w:t>
      </w:r>
      <w:r w:rsidR="002A4BC9" w:rsidRPr="00571597">
        <w:t xml:space="preserve"> in</w:t>
      </w:r>
      <w:r w:rsidR="002A4BC9" w:rsidRPr="00691A47">
        <w:t xml:space="preserve"> the </w:t>
      </w:r>
      <w:r w:rsidR="002A4BC9" w:rsidRPr="00691A47">
        <w:rPr>
          <w:i/>
        </w:rPr>
        <w:t>First Report and Order</w:t>
      </w:r>
      <w:r w:rsidR="00890373">
        <w:t>,</w:t>
      </w:r>
      <w:r w:rsidR="002A4BC9">
        <w:t xml:space="preserve"> </w:t>
      </w:r>
      <w:r w:rsidR="002A4BC9" w:rsidRPr="00691A47">
        <w:t xml:space="preserve">and that </w:t>
      </w:r>
      <w:r w:rsidR="00890373">
        <w:t xml:space="preserve">unless </w:t>
      </w:r>
      <w:r w:rsidR="002A4BC9" w:rsidRPr="00691A47">
        <w:t xml:space="preserve">all in-kind fees related to the provision of cable services are </w:t>
      </w:r>
      <w:r w:rsidR="00341381">
        <w:t xml:space="preserve">properly </w:t>
      </w:r>
      <w:r w:rsidR="002A4BC9" w:rsidRPr="00691A47">
        <w:t>included in the franchise fee cap, the cap would be meaningless.</w:t>
      </w:r>
      <w:r w:rsidR="002A4BC9" w:rsidRPr="00691A47">
        <w:rPr>
          <w:rStyle w:val="FootnoteCharacters"/>
          <w:color w:val="000000"/>
          <w:spacing w:val="-2"/>
          <w:szCs w:val="22"/>
        </w:rPr>
        <w:footnoteReference w:id="46"/>
      </w:r>
      <w:r w:rsidR="002A4BC9" w:rsidRPr="00691A47">
        <w:t xml:space="preserve">  </w:t>
      </w:r>
      <w:r w:rsidR="005F1D68">
        <w:t>Petitioner</w:t>
      </w:r>
      <w:r w:rsidR="002A4BC9" w:rsidRPr="00691A47">
        <w:t xml:space="preserve">s respond that </w:t>
      </w:r>
      <w:r w:rsidR="00815236">
        <w:t xml:space="preserve">the </w:t>
      </w:r>
      <w:r w:rsidR="00815236">
        <w:rPr>
          <w:i/>
        </w:rPr>
        <w:t xml:space="preserve">First Report and Order </w:t>
      </w:r>
      <w:r w:rsidR="00815236">
        <w:t>includes</w:t>
      </w:r>
      <w:r w:rsidR="002A4BC9" w:rsidRPr="00691A47">
        <w:t xml:space="preserve"> </w:t>
      </w:r>
      <w:r w:rsidR="00341381">
        <w:t xml:space="preserve">only </w:t>
      </w:r>
      <w:r w:rsidR="002A4BC9" w:rsidRPr="00691A47">
        <w:t xml:space="preserve">in-kind requirements unrelated </w:t>
      </w:r>
      <w:r w:rsidR="00815236">
        <w:t xml:space="preserve">to cable service in </w:t>
      </w:r>
      <w:r w:rsidR="002A4BC9" w:rsidRPr="00691A47">
        <w:t xml:space="preserve">the franchise fee cap, </w:t>
      </w:r>
      <w:r w:rsidR="00815236">
        <w:t>not in-kind requirements that are related to cable service</w:t>
      </w:r>
      <w:r w:rsidR="002A4BC9" w:rsidRPr="00691A47">
        <w:t>.</w:t>
      </w:r>
      <w:r w:rsidR="002A4BC9" w:rsidRPr="00691A47">
        <w:rPr>
          <w:rStyle w:val="FootnoteCharacters"/>
          <w:color w:val="000000"/>
          <w:spacing w:val="-2"/>
          <w:szCs w:val="22"/>
        </w:rPr>
        <w:footnoteReference w:id="47"/>
      </w:r>
      <w:r w:rsidR="002A4BC9">
        <w:t xml:space="preserve"> </w:t>
      </w:r>
    </w:p>
    <w:p w:rsidR="00A404EE" w:rsidRPr="00DD709C" w:rsidRDefault="005F6F52" w:rsidP="007C4771">
      <w:pPr>
        <w:pStyle w:val="ParaNum"/>
        <w:rPr>
          <w:color w:val="000000"/>
          <w:spacing w:val="-2"/>
          <w:szCs w:val="22"/>
        </w:rPr>
      </w:pPr>
      <w:r>
        <w:t>As an initial matter</w:t>
      </w:r>
      <w:r w:rsidR="003E156A">
        <w:t>, w</w:t>
      </w:r>
      <w:r w:rsidR="002A4BC9">
        <w:t>e disagree with the Petitioners that the Commission</w:t>
      </w:r>
      <w:r w:rsidR="003E156A">
        <w:t>’s interpretation of</w:t>
      </w:r>
      <w:r w:rsidR="002A4BC9">
        <w:t xml:space="preserve"> the phrase </w:t>
      </w:r>
      <w:r w:rsidR="009D126A">
        <w:t>“incidental to</w:t>
      </w:r>
      <w:r w:rsidR="002A4BC9">
        <w:t>”</w:t>
      </w:r>
      <w:r w:rsidR="003128D8">
        <w:t xml:space="preserve"> in Section 622(g)(2)(D</w:t>
      </w:r>
      <w:r w:rsidR="009D126A">
        <w:t>)</w:t>
      </w:r>
      <w:r w:rsidR="009F77F9">
        <w:t xml:space="preserve"> </w:t>
      </w:r>
      <w:r w:rsidR="00341381">
        <w:t xml:space="preserve">goes beyond or </w:t>
      </w:r>
      <w:r w:rsidR="009F77F9">
        <w:t xml:space="preserve">is inconsistent with our interpretation in the </w:t>
      </w:r>
      <w:r w:rsidR="009F77F9" w:rsidRPr="005F6F52">
        <w:rPr>
          <w:i/>
        </w:rPr>
        <w:t>First Report and Order</w:t>
      </w:r>
      <w:r w:rsidR="009D126A">
        <w:t>.</w:t>
      </w:r>
      <w:r w:rsidR="002A4BC9">
        <w:t xml:space="preserve">  </w:t>
      </w:r>
      <w:r w:rsidR="0009457F" w:rsidRPr="005F6F52">
        <w:rPr>
          <w:color w:val="000000"/>
          <w:spacing w:val="-2"/>
          <w:szCs w:val="22"/>
        </w:rPr>
        <w:t>The Commission</w:t>
      </w:r>
      <w:r w:rsidR="00A404EE" w:rsidRPr="005F6F52">
        <w:rPr>
          <w:color w:val="000000"/>
          <w:spacing w:val="-2"/>
          <w:szCs w:val="22"/>
        </w:rPr>
        <w:t xml:space="preserve"> concluded in the </w:t>
      </w:r>
      <w:r w:rsidR="00A404EE" w:rsidRPr="005F6F52">
        <w:rPr>
          <w:i/>
          <w:color w:val="000000"/>
          <w:spacing w:val="-2"/>
          <w:szCs w:val="22"/>
        </w:rPr>
        <w:t>First Report and Order</w:t>
      </w:r>
      <w:r w:rsidR="00A404EE" w:rsidRPr="005F6F52">
        <w:rPr>
          <w:color w:val="000000"/>
          <w:spacing w:val="-2"/>
          <w:szCs w:val="22"/>
        </w:rPr>
        <w:t xml:space="preserve"> </w:t>
      </w:r>
      <w:r w:rsidR="00A404EE" w:rsidRPr="005F6F52">
        <w:rPr>
          <w:rStyle w:val="documentbody1"/>
          <w:rFonts w:ascii="Times New Roman" w:hAnsi="Times New Roman"/>
          <w:color w:val="000000"/>
          <w:sz w:val="22"/>
          <w:szCs w:val="22"/>
        </w:rPr>
        <w:t>that the term “incidental” in Section 622(g)(2)(D) should be limited to the list of incidental</w:t>
      </w:r>
      <w:r w:rsidR="003F4300" w:rsidRPr="005F6F52">
        <w:rPr>
          <w:rStyle w:val="documentbody1"/>
          <w:rFonts w:ascii="Times New Roman" w:hAnsi="Times New Roman"/>
          <w:color w:val="000000"/>
          <w:sz w:val="22"/>
          <w:szCs w:val="22"/>
        </w:rPr>
        <w:t xml:space="preserve"> charge</w:t>
      </w:r>
      <w:r w:rsidR="00A404EE" w:rsidRPr="005F6F52">
        <w:rPr>
          <w:rStyle w:val="documentbody1"/>
          <w:rFonts w:ascii="Times New Roman" w:hAnsi="Times New Roman"/>
          <w:color w:val="000000"/>
          <w:sz w:val="22"/>
          <w:szCs w:val="22"/>
        </w:rPr>
        <w:t xml:space="preserve">s </w:t>
      </w:r>
      <w:r w:rsidR="00A404EE" w:rsidRPr="007D4F88">
        <w:rPr>
          <w:spacing w:val="-2"/>
        </w:rPr>
        <w:t>provided</w:t>
      </w:r>
      <w:r w:rsidR="00A404EE" w:rsidRPr="00DD709C">
        <w:rPr>
          <w:rStyle w:val="documentbody1"/>
          <w:rFonts w:ascii="Times New Roman" w:hAnsi="Times New Roman"/>
          <w:color w:val="000000"/>
          <w:sz w:val="22"/>
          <w:szCs w:val="22"/>
        </w:rPr>
        <w:t xml:space="preserve"> in the statute, as well as other minor expenses</w:t>
      </w:r>
      <w:r w:rsidR="00064ADB" w:rsidRPr="00DD709C">
        <w:rPr>
          <w:rStyle w:val="documentbody1"/>
          <w:rFonts w:ascii="Times New Roman" w:hAnsi="Times New Roman"/>
          <w:color w:val="000000"/>
          <w:sz w:val="22"/>
          <w:szCs w:val="22"/>
        </w:rPr>
        <w:t>.</w:t>
      </w:r>
      <w:r w:rsidR="00A642DC" w:rsidRPr="00691A47">
        <w:rPr>
          <w:rStyle w:val="FootnoteCharacters"/>
          <w:color w:val="000000"/>
          <w:szCs w:val="22"/>
        </w:rPr>
        <w:footnoteReference w:id="48"/>
      </w:r>
      <w:r w:rsidR="00A642DC" w:rsidRPr="005F6F52">
        <w:rPr>
          <w:rStyle w:val="documentbody1"/>
          <w:rFonts w:ascii="Times New Roman" w:hAnsi="Times New Roman"/>
          <w:color w:val="000000"/>
          <w:sz w:val="22"/>
          <w:szCs w:val="22"/>
        </w:rPr>
        <w:t xml:space="preserve"> </w:t>
      </w:r>
      <w:r w:rsidR="00064ADB" w:rsidRPr="005F6F52">
        <w:rPr>
          <w:rStyle w:val="documentbody1"/>
          <w:rFonts w:ascii="Times New Roman" w:hAnsi="Times New Roman"/>
          <w:color w:val="000000"/>
          <w:sz w:val="22"/>
          <w:szCs w:val="22"/>
        </w:rPr>
        <w:t xml:space="preserve">The Commission examined the existing case law </w:t>
      </w:r>
      <w:r w:rsidR="00341381">
        <w:rPr>
          <w:rStyle w:val="documentbody1"/>
          <w:rFonts w:ascii="Times New Roman" w:hAnsi="Times New Roman"/>
          <w:color w:val="000000"/>
          <w:sz w:val="22"/>
          <w:szCs w:val="22"/>
        </w:rPr>
        <w:t xml:space="preserve">under </w:t>
      </w:r>
      <w:r w:rsidR="00064ADB" w:rsidRPr="005F6F52">
        <w:rPr>
          <w:rStyle w:val="documentbody1"/>
          <w:rFonts w:ascii="Times New Roman" w:hAnsi="Times New Roman"/>
          <w:color w:val="000000"/>
          <w:sz w:val="22"/>
          <w:szCs w:val="22"/>
        </w:rPr>
        <w:t xml:space="preserve">Section 622(g)(2)(D) and determined that certain fees - including attorney and consultant fees, </w:t>
      </w:r>
      <w:r w:rsidR="00064ADB" w:rsidRPr="007D4F88">
        <w:rPr>
          <w:color w:val="000000"/>
          <w:szCs w:val="22"/>
        </w:rPr>
        <w:t>application or processing fees that exceed the reasona</w:t>
      </w:r>
      <w:r w:rsidR="00064ADB" w:rsidRPr="00DD709C">
        <w:rPr>
          <w:color w:val="000000"/>
          <w:szCs w:val="22"/>
        </w:rPr>
        <w:t xml:space="preserve">ble cost of processing the application, acceptance fees, free or discounted services provided to an LFA, any requirement to lease or purchase equipment from an LFA at prices higher than market </w:t>
      </w:r>
      <w:r w:rsidR="00064ADB" w:rsidRPr="007C4771">
        <w:t>value</w:t>
      </w:r>
      <w:r w:rsidR="00064ADB" w:rsidRPr="00DD709C">
        <w:rPr>
          <w:color w:val="000000"/>
          <w:szCs w:val="22"/>
        </w:rPr>
        <w:t xml:space="preserve">, and in-kind payments - </w:t>
      </w:r>
      <w:r w:rsidR="00064ADB" w:rsidRPr="00DD709C">
        <w:rPr>
          <w:rStyle w:val="documentbody1"/>
          <w:rFonts w:ascii="Times New Roman" w:hAnsi="Times New Roman"/>
          <w:color w:val="000000"/>
          <w:sz w:val="22"/>
          <w:szCs w:val="22"/>
        </w:rPr>
        <w:t xml:space="preserve">are not necessarily to be regarded as “incidental” and </w:t>
      </w:r>
      <w:r w:rsidR="00341381">
        <w:rPr>
          <w:rStyle w:val="documentbody1"/>
          <w:rFonts w:ascii="Times New Roman" w:hAnsi="Times New Roman"/>
          <w:color w:val="000000"/>
          <w:sz w:val="22"/>
          <w:szCs w:val="22"/>
        </w:rPr>
        <w:t xml:space="preserve">thus </w:t>
      </w:r>
      <w:r w:rsidR="00064ADB" w:rsidRPr="00DD709C">
        <w:rPr>
          <w:rStyle w:val="documentbody1"/>
          <w:rFonts w:ascii="Times New Roman" w:hAnsi="Times New Roman"/>
          <w:color w:val="000000"/>
          <w:sz w:val="22"/>
          <w:szCs w:val="22"/>
        </w:rPr>
        <w:t>exempt from the five percent franchise fee cap.</w:t>
      </w:r>
      <w:r w:rsidR="00064ADB" w:rsidRPr="00691A47">
        <w:rPr>
          <w:rStyle w:val="FootnoteCharacters"/>
          <w:color w:val="000000"/>
          <w:spacing w:val="-2"/>
          <w:szCs w:val="22"/>
        </w:rPr>
        <w:footnoteReference w:id="49"/>
      </w:r>
      <w:r w:rsidR="00064ADB" w:rsidRPr="005F6F52">
        <w:rPr>
          <w:color w:val="000000"/>
          <w:spacing w:val="-2"/>
          <w:szCs w:val="22"/>
        </w:rPr>
        <w:t xml:space="preserve">  </w:t>
      </w:r>
      <w:r w:rsidR="00064ADB" w:rsidRPr="005F6F52">
        <w:rPr>
          <w:rStyle w:val="documentbody1"/>
          <w:rFonts w:ascii="Times New Roman" w:hAnsi="Times New Roman"/>
          <w:color w:val="000000"/>
          <w:sz w:val="22"/>
          <w:szCs w:val="22"/>
        </w:rPr>
        <w:t>T</w:t>
      </w:r>
      <w:r w:rsidR="00A642DC" w:rsidRPr="005F6F52">
        <w:rPr>
          <w:rStyle w:val="documentbody1"/>
          <w:rFonts w:ascii="Times New Roman" w:hAnsi="Times New Roman"/>
          <w:color w:val="000000"/>
          <w:sz w:val="22"/>
          <w:szCs w:val="22"/>
        </w:rPr>
        <w:t>he Sixth Circuit Court of Appeals upheld this interpretation</w:t>
      </w:r>
      <w:r w:rsidR="003F4300" w:rsidRPr="005F6F52">
        <w:rPr>
          <w:rStyle w:val="documentbody1"/>
          <w:rFonts w:ascii="Times New Roman" w:hAnsi="Times New Roman"/>
          <w:color w:val="000000"/>
          <w:sz w:val="22"/>
          <w:szCs w:val="22"/>
        </w:rPr>
        <w:t xml:space="preserve">, </w:t>
      </w:r>
      <w:r w:rsidR="003F4300" w:rsidRPr="005F6F52">
        <w:rPr>
          <w:szCs w:val="22"/>
        </w:rPr>
        <w:t>noting that “three district courts independently arrived at the same interpretation … as the Commission.”</w:t>
      </w:r>
      <w:r w:rsidR="00A642DC">
        <w:rPr>
          <w:rStyle w:val="FootnoteReference"/>
          <w:color w:val="000000"/>
          <w:szCs w:val="22"/>
        </w:rPr>
        <w:footnoteReference w:id="50"/>
      </w:r>
      <w:r w:rsidR="00A642DC" w:rsidRPr="005F6F52">
        <w:rPr>
          <w:rStyle w:val="documentbody1"/>
          <w:rFonts w:ascii="Times New Roman" w:hAnsi="Times New Roman"/>
          <w:color w:val="000000"/>
          <w:sz w:val="22"/>
          <w:szCs w:val="22"/>
        </w:rPr>
        <w:t xml:space="preserve"> </w:t>
      </w:r>
      <w:bookmarkStart w:id="1" w:name="FN%5BFN32%5D"/>
      <w:bookmarkEnd w:id="1"/>
      <w:r w:rsidR="009F5134" w:rsidRPr="005F6F52">
        <w:rPr>
          <w:color w:val="000000"/>
          <w:spacing w:val="-2"/>
          <w:szCs w:val="22"/>
        </w:rPr>
        <w:t xml:space="preserve">  </w:t>
      </w:r>
      <w:r w:rsidR="00A404EE" w:rsidRPr="005F6F52">
        <w:rPr>
          <w:color w:val="000000"/>
          <w:spacing w:val="-2"/>
          <w:szCs w:val="22"/>
        </w:rPr>
        <w:t xml:space="preserve">In the </w:t>
      </w:r>
      <w:r w:rsidR="00A404EE" w:rsidRPr="005F6F52">
        <w:rPr>
          <w:i/>
          <w:color w:val="000000"/>
          <w:spacing w:val="-2"/>
          <w:szCs w:val="22"/>
        </w:rPr>
        <w:t>Second Report and Order</w:t>
      </w:r>
      <w:r w:rsidR="00A404EE" w:rsidRPr="005F6F52">
        <w:rPr>
          <w:color w:val="000000"/>
          <w:spacing w:val="-2"/>
          <w:szCs w:val="22"/>
        </w:rPr>
        <w:t xml:space="preserve"> </w:t>
      </w:r>
      <w:r w:rsidR="0009457F" w:rsidRPr="005F6F52">
        <w:rPr>
          <w:color w:val="000000"/>
          <w:spacing w:val="-2"/>
          <w:szCs w:val="22"/>
        </w:rPr>
        <w:t>the Commission</w:t>
      </w:r>
      <w:r w:rsidR="00A404EE" w:rsidRPr="005F6F52">
        <w:rPr>
          <w:color w:val="000000"/>
          <w:spacing w:val="-2"/>
          <w:szCs w:val="22"/>
        </w:rPr>
        <w:t xml:space="preserve"> explicitly stated that the </w:t>
      </w:r>
      <w:r w:rsidR="00A404EE" w:rsidRPr="005F6F52">
        <w:rPr>
          <w:i/>
          <w:color w:val="000000"/>
          <w:spacing w:val="-2"/>
          <w:szCs w:val="22"/>
        </w:rPr>
        <w:t xml:space="preserve">First Report and Order’s </w:t>
      </w:r>
      <w:r w:rsidR="00A404EE" w:rsidRPr="005F6F52">
        <w:rPr>
          <w:color w:val="000000"/>
          <w:spacing w:val="-2"/>
          <w:szCs w:val="22"/>
        </w:rPr>
        <w:t xml:space="preserve">conclusions </w:t>
      </w:r>
      <w:r w:rsidR="00341381">
        <w:rPr>
          <w:color w:val="000000"/>
          <w:spacing w:val="-2"/>
          <w:szCs w:val="22"/>
        </w:rPr>
        <w:t xml:space="preserve">regarding </w:t>
      </w:r>
      <w:r w:rsidR="00A404EE" w:rsidRPr="005F6F52">
        <w:rPr>
          <w:color w:val="000000"/>
          <w:spacing w:val="-2"/>
          <w:szCs w:val="22"/>
        </w:rPr>
        <w:t>application of the term “incidental” in Section 622(g)(2)(D) extend to inc</w:t>
      </w:r>
      <w:r w:rsidR="00A404EE" w:rsidRPr="007D4F88">
        <w:rPr>
          <w:color w:val="000000"/>
          <w:spacing w:val="-2"/>
          <w:szCs w:val="22"/>
        </w:rPr>
        <w:t>umbents</w:t>
      </w:r>
      <w:r w:rsidR="00C006AF" w:rsidRPr="00DD709C">
        <w:rPr>
          <w:color w:val="000000"/>
          <w:spacing w:val="-2"/>
          <w:szCs w:val="22"/>
        </w:rPr>
        <w:t xml:space="preserve">, and </w:t>
      </w:r>
      <w:r w:rsidR="00B91ACC" w:rsidRPr="00DD709C">
        <w:rPr>
          <w:color w:val="000000"/>
          <w:spacing w:val="-2"/>
          <w:szCs w:val="22"/>
        </w:rPr>
        <w:t xml:space="preserve">again stated that </w:t>
      </w:r>
      <w:r w:rsidR="00A404EE" w:rsidRPr="00DD709C">
        <w:rPr>
          <w:color w:val="000000"/>
          <w:spacing w:val="-2"/>
          <w:szCs w:val="22"/>
        </w:rPr>
        <w:t>only those incidental expenses that are listed in the statutory provision,</w:t>
      </w:r>
      <w:r w:rsidR="00A404EE">
        <w:rPr>
          <w:rStyle w:val="FootnoteCharacters"/>
          <w:color w:val="000000"/>
          <w:spacing w:val="-2"/>
          <w:szCs w:val="22"/>
        </w:rPr>
        <w:footnoteReference w:id="51"/>
      </w:r>
      <w:r w:rsidR="00A404EE" w:rsidRPr="005F6F52">
        <w:rPr>
          <w:color w:val="000000"/>
          <w:spacing w:val="-2"/>
          <w:szCs w:val="22"/>
        </w:rPr>
        <w:t xml:space="preserve"> as well as other minor expenses, may be excluded from the five percent franchise fee cap.</w:t>
      </w:r>
      <w:r w:rsidR="00A404EE">
        <w:rPr>
          <w:rStyle w:val="FootnoteCharacters"/>
          <w:color w:val="000000"/>
          <w:spacing w:val="-2"/>
          <w:szCs w:val="22"/>
        </w:rPr>
        <w:footnoteReference w:id="52"/>
      </w:r>
      <w:r w:rsidR="00064ADB" w:rsidRPr="005F6F52">
        <w:rPr>
          <w:color w:val="000000"/>
          <w:spacing w:val="-2"/>
          <w:szCs w:val="22"/>
        </w:rPr>
        <w:t xml:space="preserve">  </w:t>
      </w:r>
      <w:r w:rsidR="00B91ACC" w:rsidRPr="005F6F52">
        <w:rPr>
          <w:color w:val="000000"/>
          <w:spacing w:val="-2"/>
          <w:szCs w:val="22"/>
        </w:rPr>
        <w:t>The Commis</w:t>
      </w:r>
      <w:r w:rsidR="00064ADB" w:rsidRPr="005F6F52">
        <w:rPr>
          <w:color w:val="000000"/>
          <w:spacing w:val="-2"/>
          <w:szCs w:val="22"/>
        </w:rPr>
        <w:t>s</w:t>
      </w:r>
      <w:r w:rsidR="00B91ACC" w:rsidRPr="005F6F52">
        <w:rPr>
          <w:color w:val="000000"/>
          <w:spacing w:val="-2"/>
          <w:szCs w:val="22"/>
        </w:rPr>
        <w:t>i</w:t>
      </w:r>
      <w:r w:rsidR="009F77F9" w:rsidRPr="005F6F52">
        <w:rPr>
          <w:color w:val="000000"/>
          <w:spacing w:val="-2"/>
          <w:szCs w:val="22"/>
        </w:rPr>
        <w:t>on’s interpretation of Section 622(g)(2)(D)</w:t>
      </w:r>
      <w:r w:rsidR="00064ADB" w:rsidRPr="005F6F52">
        <w:rPr>
          <w:color w:val="000000"/>
          <w:spacing w:val="-2"/>
          <w:szCs w:val="22"/>
        </w:rPr>
        <w:t xml:space="preserve"> in the </w:t>
      </w:r>
      <w:r w:rsidR="00064ADB" w:rsidRPr="005F6F52">
        <w:rPr>
          <w:i/>
          <w:color w:val="000000"/>
          <w:spacing w:val="-2"/>
          <w:szCs w:val="22"/>
        </w:rPr>
        <w:t xml:space="preserve">Second Report and Order </w:t>
      </w:r>
      <w:r w:rsidR="00B91ACC" w:rsidRPr="007D4F88">
        <w:rPr>
          <w:color w:val="000000"/>
          <w:spacing w:val="-2"/>
          <w:szCs w:val="22"/>
        </w:rPr>
        <w:t>mirror</w:t>
      </w:r>
      <w:r w:rsidR="009F77F9" w:rsidRPr="00DD709C">
        <w:rPr>
          <w:color w:val="000000"/>
          <w:spacing w:val="-2"/>
          <w:szCs w:val="22"/>
        </w:rPr>
        <w:t>s</w:t>
      </w:r>
      <w:r w:rsidR="00B91ACC" w:rsidRPr="00DD709C">
        <w:rPr>
          <w:color w:val="000000"/>
          <w:spacing w:val="-2"/>
          <w:szCs w:val="22"/>
        </w:rPr>
        <w:t>, and do</w:t>
      </w:r>
      <w:r w:rsidR="009F77F9" w:rsidRPr="00DD709C">
        <w:rPr>
          <w:color w:val="000000"/>
          <w:spacing w:val="-2"/>
          <w:szCs w:val="22"/>
        </w:rPr>
        <w:t>es</w:t>
      </w:r>
      <w:r w:rsidR="00B91ACC" w:rsidRPr="00DD709C">
        <w:rPr>
          <w:color w:val="000000"/>
          <w:spacing w:val="-2"/>
          <w:szCs w:val="22"/>
        </w:rPr>
        <w:t xml:space="preserve"> not expand,</w:t>
      </w:r>
      <w:r w:rsidR="009F77F9" w:rsidRPr="00DD709C">
        <w:rPr>
          <w:color w:val="000000"/>
          <w:spacing w:val="-2"/>
          <w:szCs w:val="22"/>
        </w:rPr>
        <w:t xml:space="preserve"> the interpretation in</w:t>
      </w:r>
      <w:r w:rsidR="00B91ACC" w:rsidRPr="00DD709C">
        <w:rPr>
          <w:color w:val="000000"/>
          <w:spacing w:val="-2"/>
          <w:szCs w:val="22"/>
        </w:rPr>
        <w:t xml:space="preserve"> the </w:t>
      </w:r>
      <w:r w:rsidR="00B91ACC" w:rsidRPr="00DD709C">
        <w:rPr>
          <w:i/>
          <w:color w:val="000000"/>
          <w:spacing w:val="-2"/>
          <w:szCs w:val="22"/>
        </w:rPr>
        <w:t>First Report and Order</w:t>
      </w:r>
      <w:r w:rsidR="009F77F9" w:rsidRPr="00DD709C">
        <w:rPr>
          <w:i/>
          <w:color w:val="000000"/>
          <w:spacing w:val="-2"/>
          <w:szCs w:val="22"/>
        </w:rPr>
        <w:t xml:space="preserve">.  </w:t>
      </w:r>
      <w:r w:rsidR="009F77F9" w:rsidRPr="00DD709C">
        <w:rPr>
          <w:color w:val="000000"/>
          <w:spacing w:val="-2"/>
          <w:szCs w:val="22"/>
        </w:rPr>
        <w:t>C</w:t>
      </w:r>
      <w:r w:rsidR="00B91ACC" w:rsidRPr="00DD709C">
        <w:rPr>
          <w:color w:val="000000"/>
          <w:spacing w:val="-2"/>
          <w:szCs w:val="22"/>
        </w:rPr>
        <w:t xml:space="preserve">onsistent with the Sixth Circuit’s </w:t>
      </w:r>
      <w:r w:rsidR="00890373">
        <w:rPr>
          <w:color w:val="000000"/>
          <w:spacing w:val="-2"/>
          <w:szCs w:val="22"/>
        </w:rPr>
        <w:t>holding</w:t>
      </w:r>
      <w:r w:rsidR="00B91ACC" w:rsidRPr="00DD709C">
        <w:rPr>
          <w:color w:val="000000"/>
          <w:spacing w:val="-2"/>
          <w:szCs w:val="22"/>
        </w:rPr>
        <w:t xml:space="preserve">, </w:t>
      </w:r>
      <w:r w:rsidR="009F77F9" w:rsidRPr="00DD709C">
        <w:rPr>
          <w:color w:val="000000"/>
          <w:spacing w:val="-2"/>
          <w:szCs w:val="22"/>
        </w:rPr>
        <w:t xml:space="preserve">this interpretation </w:t>
      </w:r>
      <w:r w:rsidR="00B91ACC" w:rsidRPr="00DD709C">
        <w:rPr>
          <w:color w:val="000000"/>
          <w:spacing w:val="-2"/>
          <w:szCs w:val="22"/>
        </w:rPr>
        <w:t>of Section 622(g)(2)(D)</w:t>
      </w:r>
      <w:r w:rsidR="009F77F9" w:rsidRPr="00DD709C">
        <w:rPr>
          <w:color w:val="000000"/>
          <w:spacing w:val="-2"/>
          <w:szCs w:val="22"/>
        </w:rPr>
        <w:t xml:space="preserve"> is reasonable, and </w:t>
      </w:r>
      <w:r w:rsidR="00D93AD0">
        <w:rPr>
          <w:color w:val="000000"/>
          <w:spacing w:val="-2"/>
          <w:szCs w:val="22"/>
        </w:rPr>
        <w:t xml:space="preserve">we </w:t>
      </w:r>
      <w:r w:rsidR="00341381">
        <w:rPr>
          <w:color w:val="000000"/>
          <w:spacing w:val="-2"/>
          <w:szCs w:val="22"/>
        </w:rPr>
        <w:t>continue to adhere to</w:t>
      </w:r>
      <w:r w:rsidR="00D93AD0">
        <w:rPr>
          <w:color w:val="000000"/>
          <w:spacing w:val="-2"/>
          <w:szCs w:val="22"/>
        </w:rPr>
        <w:t xml:space="preserve"> it</w:t>
      </w:r>
      <w:r w:rsidR="00B91ACC" w:rsidRPr="00DD709C">
        <w:rPr>
          <w:color w:val="000000"/>
          <w:spacing w:val="-2"/>
          <w:szCs w:val="22"/>
        </w:rPr>
        <w:t>.</w:t>
      </w:r>
      <w:r w:rsidR="000A1AAB" w:rsidRPr="00DD709C">
        <w:rPr>
          <w:color w:val="000000"/>
          <w:spacing w:val="-2"/>
          <w:szCs w:val="22"/>
        </w:rPr>
        <w:t xml:space="preserve">  </w:t>
      </w:r>
    </w:p>
    <w:p w:rsidR="00662835" w:rsidRDefault="00662835" w:rsidP="006818A9">
      <w:pPr>
        <w:pStyle w:val="ParaNum"/>
        <w:widowControl/>
      </w:pPr>
      <w:r>
        <w:t xml:space="preserve">Further, we disagree </w:t>
      </w:r>
      <w:r w:rsidR="00DF741F">
        <w:t xml:space="preserve">with petitioners </w:t>
      </w:r>
      <w:r>
        <w:t>that the</w:t>
      </w:r>
      <w:r w:rsidR="00B91ACC">
        <w:t xml:space="preserve"> </w:t>
      </w:r>
      <w:r w:rsidR="00B91ACC">
        <w:rPr>
          <w:i/>
        </w:rPr>
        <w:t xml:space="preserve">First Report and Order </w:t>
      </w:r>
      <w:r w:rsidR="00B91ACC">
        <w:t xml:space="preserve">limited </w:t>
      </w:r>
      <w:r w:rsidR="00E30E69">
        <w:t xml:space="preserve">the exemption of </w:t>
      </w:r>
      <w:r w:rsidR="00B91ACC">
        <w:t>in-kind payments</w:t>
      </w:r>
      <w:r w:rsidR="00E30E69">
        <w:t xml:space="preserve"> only when such in-kind payment</w:t>
      </w:r>
      <w:r w:rsidR="00341381">
        <w:t>s are</w:t>
      </w:r>
      <w:r w:rsidR="00E30E69">
        <w:t xml:space="preserve"> unrelated to cable service.  While the </w:t>
      </w:r>
      <w:r w:rsidR="00E30E69">
        <w:rPr>
          <w:i/>
        </w:rPr>
        <w:t xml:space="preserve">First Report and Order </w:t>
      </w:r>
      <w:r w:rsidR="00E30E69">
        <w:t xml:space="preserve">does specifically state </w:t>
      </w:r>
      <w:r w:rsidR="00E30E69" w:rsidRPr="006818A9">
        <w:rPr>
          <w:color w:val="000000"/>
          <w:spacing w:val="-2"/>
          <w:szCs w:val="22"/>
        </w:rPr>
        <w:t>that</w:t>
      </w:r>
      <w:r w:rsidR="00E30E69">
        <w:t xml:space="preserve"> “</w:t>
      </w:r>
      <w:r w:rsidR="00E30E69" w:rsidRPr="00347764">
        <w:t xml:space="preserve">any requests made by LFAs that are unrelated to the provision of cable services </w:t>
      </w:r>
      <w:r w:rsidR="00E30E69">
        <w:t xml:space="preserve">by a new competitive entrant </w:t>
      </w:r>
      <w:r w:rsidR="00E30E69" w:rsidRPr="00347764">
        <w:t xml:space="preserve">are subject to the statutory </w:t>
      </w:r>
      <w:r w:rsidR="00E30E69">
        <w:t>5 percent</w:t>
      </w:r>
      <w:r w:rsidR="00E30E69" w:rsidRPr="00347764">
        <w:t xml:space="preserve"> franchise fee cap</w:t>
      </w:r>
      <w:r w:rsidR="00DF741F">
        <w:t>,</w:t>
      </w:r>
      <w:r w:rsidR="00E30E69">
        <w:t>”</w:t>
      </w:r>
      <w:r w:rsidR="00E30E69">
        <w:rPr>
          <w:rStyle w:val="FootnoteReference"/>
          <w:color w:val="000000"/>
          <w:szCs w:val="22"/>
        </w:rPr>
        <w:footnoteReference w:id="53"/>
      </w:r>
      <w:r w:rsidR="00DF741F">
        <w:t xml:space="preserve"> the </w:t>
      </w:r>
      <w:r w:rsidR="00DF741F">
        <w:rPr>
          <w:i/>
        </w:rPr>
        <w:t xml:space="preserve">First Report and Order </w:t>
      </w:r>
      <w:r w:rsidR="00DF741F">
        <w:t xml:space="preserve">also stated that </w:t>
      </w:r>
      <w:r w:rsidR="006164BC">
        <w:t xml:space="preserve">not all </w:t>
      </w:r>
      <w:r w:rsidR="00DF741F" w:rsidRPr="00347764">
        <w:t>free or discounted services provided to an LFA</w:t>
      </w:r>
      <w:r w:rsidR="00DF741F">
        <w:t xml:space="preserve"> </w:t>
      </w:r>
      <w:r w:rsidR="00DF741F" w:rsidRPr="00347764">
        <w:t>and in-k</w:t>
      </w:r>
      <w:r w:rsidR="006164BC">
        <w:t>ind payments were</w:t>
      </w:r>
      <w:r w:rsidR="00DF741F">
        <w:t xml:space="preserve"> incidental costs </w:t>
      </w:r>
      <w:r w:rsidR="00DF741F" w:rsidRPr="006818A9">
        <w:rPr>
          <w:color w:val="000000"/>
          <w:spacing w:val="-2"/>
          <w:szCs w:val="22"/>
        </w:rPr>
        <w:t>exempt</w:t>
      </w:r>
      <w:r w:rsidR="00DF741F">
        <w:t xml:space="preserve"> from franchise fees, and that “[a]ccordingly, if </w:t>
      </w:r>
      <w:r w:rsidR="00DF741F" w:rsidRPr="00347764">
        <w:t>LFAs</w:t>
      </w:r>
      <w:r w:rsidR="00DF741F">
        <w:t xml:space="preserve"> </w:t>
      </w:r>
      <w:r w:rsidR="00DF741F" w:rsidRPr="00347764">
        <w:t xml:space="preserve">continue to request the provision of such in-kind services and the reimbursement of franchise-related costs, the value of such costs and services </w:t>
      </w:r>
      <w:r w:rsidR="00DF741F">
        <w:t xml:space="preserve">should count towards </w:t>
      </w:r>
      <w:r w:rsidR="00DF741F" w:rsidRPr="00347764">
        <w:t>the provider’s franchise fee payments</w:t>
      </w:r>
      <w:r w:rsidR="00DF741F">
        <w:t>.”</w:t>
      </w:r>
      <w:r w:rsidR="00DF741F">
        <w:rPr>
          <w:rStyle w:val="FootnoteReference"/>
          <w:color w:val="000000"/>
          <w:szCs w:val="22"/>
        </w:rPr>
        <w:footnoteReference w:id="54"/>
      </w:r>
      <w:r w:rsidR="003E156A">
        <w:t xml:space="preserve"> </w:t>
      </w:r>
      <w:r w:rsidR="002B7BC1">
        <w:rPr>
          <w:color w:val="000000"/>
          <w:szCs w:val="22"/>
        </w:rPr>
        <w:t xml:space="preserve"> </w:t>
      </w:r>
      <w:r w:rsidR="002505C4">
        <w:rPr>
          <w:color w:val="000000"/>
          <w:szCs w:val="22"/>
        </w:rPr>
        <w:t xml:space="preserve">In a section entitled “Charges incidental to the </w:t>
      </w:r>
      <w:r w:rsidR="006818A9" w:rsidRPr="006818A9">
        <w:rPr>
          <w:szCs w:val="22"/>
        </w:rPr>
        <w:t>awarding or enforcing of a franchise</w:t>
      </w:r>
      <w:r w:rsidR="002505C4">
        <w:rPr>
          <w:szCs w:val="22"/>
        </w:rPr>
        <w:t>,</w:t>
      </w:r>
      <w:r w:rsidR="006818A9" w:rsidRPr="006818A9">
        <w:rPr>
          <w:szCs w:val="22"/>
        </w:rPr>
        <w:t>”</w:t>
      </w:r>
      <w:r w:rsidR="002505C4">
        <w:rPr>
          <w:szCs w:val="22"/>
        </w:rPr>
        <w:t xml:space="preserve"> the </w:t>
      </w:r>
      <w:r w:rsidR="002505C4">
        <w:rPr>
          <w:i/>
          <w:szCs w:val="22"/>
        </w:rPr>
        <w:t xml:space="preserve">First Report and Order </w:t>
      </w:r>
      <w:r w:rsidR="00324371" w:rsidRPr="006818A9">
        <w:rPr>
          <w:szCs w:val="22"/>
        </w:rPr>
        <w:t>identified “free or discounted services provided to an LFA” as one type of “non-incidental” cost that counted toward the franchise fee cap</w:t>
      </w:r>
      <w:r w:rsidR="002B7BC1" w:rsidRPr="006818A9">
        <w:rPr>
          <w:szCs w:val="22"/>
        </w:rPr>
        <w:t>.</w:t>
      </w:r>
      <w:r w:rsidR="002B7BC1" w:rsidRPr="006818A9">
        <w:rPr>
          <w:rStyle w:val="FootnoteReference"/>
          <w:szCs w:val="22"/>
        </w:rPr>
        <w:footnoteReference w:id="55"/>
      </w:r>
      <w:r w:rsidR="006818A9">
        <w:rPr>
          <w:szCs w:val="22"/>
        </w:rPr>
        <w:t xml:space="preserve">  </w:t>
      </w:r>
      <w:r w:rsidR="002505C4">
        <w:rPr>
          <w:szCs w:val="22"/>
        </w:rPr>
        <w:t xml:space="preserve">In that context, the Commission was referring to free or discounted cable services.  The Commission discussed in-kind payments for non-cable services </w:t>
      </w:r>
      <w:r w:rsidR="006818A9">
        <w:rPr>
          <w:szCs w:val="22"/>
        </w:rPr>
        <w:t>in a s</w:t>
      </w:r>
      <w:r w:rsidR="006818A9" w:rsidRPr="006818A9">
        <w:rPr>
          <w:szCs w:val="22"/>
        </w:rPr>
        <w:t>eparate</w:t>
      </w:r>
      <w:r w:rsidR="006818A9">
        <w:rPr>
          <w:szCs w:val="22"/>
        </w:rPr>
        <w:t xml:space="preserve"> section</w:t>
      </w:r>
      <w:r w:rsidR="002505C4">
        <w:rPr>
          <w:szCs w:val="22"/>
        </w:rPr>
        <w:t xml:space="preserve"> of the </w:t>
      </w:r>
      <w:r w:rsidR="002505C4">
        <w:rPr>
          <w:i/>
          <w:szCs w:val="22"/>
        </w:rPr>
        <w:t>First Report and Order</w:t>
      </w:r>
      <w:r w:rsidR="006818A9">
        <w:rPr>
          <w:szCs w:val="22"/>
        </w:rPr>
        <w:t xml:space="preserve"> entitled</w:t>
      </w:r>
      <w:r w:rsidR="006818A9" w:rsidRPr="006818A9">
        <w:rPr>
          <w:szCs w:val="22"/>
        </w:rPr>
        <w:t xml:space="preserve"> “</w:t>
      </w:r>
      <w:r w:rsidR="002505C4">
        <w:rPr>
          <w:szCs w:val="22"/>
        </w:rPr>
        <w:t>I</w:t>
      </w:r>
      <w:r w:rsidR="006818A9" w:rsidRPr="006818A9">
        <w:rPr>
          <w:szCs w:val="22"/>
        </w:rPr>
        <w:t>n-kind payments unrelated to provision of cable service</w:t>
      </w:r>
      <w:r w:rsidR="002505C4">
        <w:rPr>
          <w:szCs w:val="22"/>
        </w:rPr>
        <w:t>.</w:t>
      </w:r>
      <w:r w:rsidR="006818A9">
        <w:rPr>
          <w:szCs w:val="22"/>
        </w:rPr>
        <w:t>”</w:t>
      </w:r>
      <w:r w:rsidR="006818A9">
        <w:rPr>
          <w:rStyle w:val="FootnoteReference"/>
          <w:szCs w:val="22"/>
        </w:rPr>
        <w:footnoteReference w:id="56"/>
      </w:r>
      <w:r w:rsidR="006818A9">
        <w:rPr>
          <w:szCs w:val="22"/>
        </w:rPr>
        <w:t xml:space="preserve">  </w:t>
      </w:r>
      <w:r w:rsidR="002B7BC1" w:rsidRPr="006818A9">
        <w:rPr>
          <w:szCs w:val="22"/>
        </w:rPr>
        <w:t xml:space="preserve">The Sixth Circuit also </w:t>
      </w:r>
      <w:r w:rsidR="00CD500C">
        <w:rPr>
          <w:szCs w:val="22"/>
        </w:rPr>
        <w:t>reference</w:t>
      </w:r>
      <w:r w:rsidR="002505C4">
        <w:rPr>
          <w:szCs w:val="22"/>
        </w:rPr>
        <w:t>d</w:t>
      </w:r>
      <w:r w:rsidR="00CD500C">
        <w:rPr>
          <w:szCs w:val="22"/>
        </w:rPr>
        <w:t xml:space="preserve"> these</w:t>
      </w:r>
      <w:r w:rsidR="00284A41">
        <w:rPr>
          <w:szCs w:val="22"/>
        </w:rPr>
        <w:t xml:space="preserve"> different types of in-kind payments</w:t>
      </w:r>
      <w:r w:rsidR="00324371" w:rsidRPr="006818A9">
        <w:rPr>
          <w:szCs w:val="22"/>
        </w:rPr>
        <w:t xml:space="preserve"> separately when it upheld the FCC’s interpretation of the five percent cap on fees</w:t>
      </w:r>
      <w:r w:rsidR="002B7BC1" w:rsidRPr="006818A9">
        <w:rPr>
          <w:szCs w:val="22"/>
        </w:rPr>
        <w:t>.</w:t>
      </w:r>
      <w:r w:rsidR="002B7BC1" w:rsidRPr="006818A9">
        <w:rPr>
          <w:rStyle w:val="FootnoteReference"/>
          <w:szCs w:val="22"/>
        </w:rPr>
        <w:footnoteReference w:id="57"/>
      </w:r>
      <w:r w:rsidR="002B7BC1" w:rsidRPr="006818A9">
        <w:rPr>
          <w:szCs w:val="22"/>
        </w:rPr>
        <w:t xml:space="preserve">  </w:t>
      </w:r>
      <w:r w:rsidR="00324371" w:rsidRPr="006818A9">
        <w:rPr>
          <w:szCs w:val="22"/>
        </w:rPr>
        <w:t xml:space="preserve">Thus, in upholding the FCC’s interpretation, the Court recognized that the agency was applying the cap to in-kind payments </w:t>
      </w:r>
      <w:r w:rsidR="00B04267">
        <w:rPr>
          <w:szCs w:val="22"/>
        </w:rPr>
        <w:t>involv</w:t>
      </w:r>
      <w:r w:rsidR="00324371" w:rsidRPr="006818A9">
        <w:rPr>
          <w:szCs w:val="22"/>
        </w:rPr>
        <w:t>ing both cable and non-cable servi</w:t>
      </w:r>
      <w:r w:rsidR="00CD500C">
        <w:rPr>
          <w:szCs w:val="22"/>
        </w:rPr>
        <w:t xml:space="preserve">ces.  </w:t>
      </w:r>
      <w:r w:rsidR="00E30E69">
        <w:t xml:space="preserve"> </w:t>
      </w:r>
      <w:r w:rsidR="005F1D68">
        <w:t xml:space="preserve">Consistent with the </w:t>
      </w:r>
      <w:r w:rsidR="005F1D68">
        <w:rPr>
          <w:i/>
        </w:rPr>
        <w:t xml:space="preserve">First Report and Order, </w:t>
      </w:r>
      <w:r w:rsidR="005F1D68">
        <w:t>t</w:t>
      </w:r>
      <w:r w:rsidR="009F77F9">
        <w:t xml:space="preserve">he </w:t>
      </w:r>
      <w:r>
        <w:rPr>
          <w:i/>
        </w:rPr>
        <w:t>Second Report and Order</w:t>
      </w:r>
      <w:r>
        <w:t xml:space="preserve"> </w:t>
      </w:r>
      <w:r w:rsidR="009F77F9">
        <w:t xml:space="preserve">also notes that </w:t>
      </w:r>
      <w:r w:rsidR="006164BC">
        <w:t xml:space="preserve">non-incidental </w:t>
      </w:r>
      <w:r w:rsidR="009F77F9">
        <w:t>in-kind fees must count toward the 5 percent franchise fee ca</w:t>
      </w:r>
      <w:r w:rsidR="006164BC">
        <w:t>p</w:t>
      </w:r>
      <w:r w:rsidR="005F1D68">
        <w:t>, and does not limit</w:t>
      </w:r>
      <w:r w:rsidR="009F77F9">
        <w:t xml:space="preserve"> the franchise fee exemption</w:t>
      </w:r>
      <w:r w:rsidR="003E156A">
        <w:t xml:space="preserve"> to in-kind payments that are unrelated to cable service.</w:t>
      </w:r>
      <w:r w:rsidRPr="00E1643A">
        <w:rPr>
          <w:rStyle w:val="FootnoteReference"/>
          <w:color w:val="000000"/>
          <w:spacing w:val="-2"/>
          <w:szCs w:val="22"/>
        </w:rPr>
        <w:footnoteReference w:id="58"/>
      </w:r>
      <w:r>
        <w:rPr>
          <w:i/>
        </w:rPr>
        <w:t xml:space="preserve"> </w:t>
      </w:r>
      <w:r>
        <w:t xml:space="preserve"> </w:t>
      </w:r>
    </w:p>
    <w:p w:rsidR="000220CB" w:rsidRDefault="000220CB" w:rsidP="003E1882">
      <w:pPr>
        <w:pStyle w:val="Heading2"/>
        <w:rPr>
          <w:color w:val="000000"/>
          <w:spacing w:val="-2"/>
          <w:szCs w:val="22"/>
        </w:rPr>
      </w:pPr>
      <w:r>
        <w:rPr>
          <w:color w:val="000000"/>
          <w:spacing w:val="-2"/>
          <w:szCs w:val="22"/>
        </w:rPr>
        <w:t>Mixed-Use Networks</w:t>
      </w:r>
    </w:p>
    <w:p w:rsidR="00A404EE" w:rsidRDefault="00574777" w:rsidP="007C4771">
      <w:pPr>
        <w:pStyle w:val="ParaNum"/>
      </w:pPr>
      <w:r>
        <w:rPr>
          <w:color w:val="000000"/>
          <w:spacing w:val="-2"/>
          <w:szCs w:val="22"/>
        </w:rPr>
        <w:t xml:space="preserve">We decline to </w:t>
      </w:r>
      <w:r w:rsidR="00341381">
        <w:rPr>
          <w:color w:val="000000"/>
          <w:spacing w:val="-2"/>
          <w:szCs w:val="22"/>
        </w:rPr>
        <w:t xml:space="preserve">modify </w:t>
      </w:r>
      <w:r w:rsidR="0009457F">
        <w:rPr>
          <w:color w:val="000000"/>
          <w:spacing w:val="-2"/>
          <w:szCs w:val="22"/>
        </w:rPr>
        <w:t>the</w:t>
      </w:r>
      <w:r>
        <w:rPr>
          <w:color w:val="000000"/>
          <w:spacing w:val="-2"/>
          <w:szCs w:val="22"/>
        </w:rPr>
        <w:t xml:space="preserve"> conclusions </w:t>
      </w:r>
      <w:r w:rsidR="000A1AAB">
        <w:rPr>
          <w:color w:val="000000"/>
          <w:spacing w:val="-2"/>
          <w:szCs w:val="22"/>
        </w:rPr>
        <w:t xml:space="preserve">in the </w:t>
      </w:r>
      <w:r w:rsidR="00653360">
        <w:rPr>
          <w:i/>
          <w:color w:val="000000"/>
          <w:spacing w:val="-2"/>
          <w:szCs w:val="22"/>
        </w:rPr>
        <w:t>Second Report and Order</w:t>
      </w:r>
      <w:r w:rsidR="000A1AAB">
        <w:rPr>
          <w:color w:val="000000"/>
          <w:spacing w:val="-2"/>
          <w:szCs w:val="22"/>
        </w:rPr>
        <w:t xml:space="preserve"> </w:t>
      </w:r>
      <w:r>
        <w:rPr>
          <w:color w:val="000000"/>
          <w:spacing w:val="-2"/>
          <w:szCs w:val="22"/>
        </w:rPr>
        <w:t xml:space="preserve">regarding mixed-use networks.  </w:t>
      </w:r>
      <w:r w:rsidR="00A404EE">
        <w:t xml:space="preserve">In the </w:t>
      </w:r>
      <w:r w:rsidR="00A404EE">
        <w:rPr>
          <w:i/>
          <w:iCs/>
        </w:rPr>
        <w:t>First Report and Order</w:t>
      </w:r>
      <w:r w:rsidR="00A404EE">
        <w:t xml:space="preserve">, </w:t>
      </w:r>
      <w:r w:rsidR="0009457F">
        <w:t>the Commission</w:t>
      </w:r>
      <w:r w:rsidR="00A404EE">
        <w:t xml:space="preserve"> concluded that </w:t>
      </w:r>
      <w:r w:rsidR="00A404EE" w:rsidRPr="00077B0E">
        <w:t>LFAs</w:t>
      </w:r>
      <w:r w:rsidR="00077B0E" w:rsidRPr="00077B0E">
        <w:t>’ jurisdiction applies only to the provision of cable services over cable systems.</w:t>
      </w:r>
      <w:r w:rsidR="00077B0E">
        <w:rPr>
          <w:rStyle w:val="FootnoteReference"/>
        </w:rPr>
        <w:footnoteReference w:id="59"/>
      </w:r>
      <w:r w:rsidR="00A404EE" w:rsidRPr="00077B0E">
        <w:t xml:space="preserve"> </w:t>
      </w:r>
      <w:r w:rsidR="00077B0E">
        <w:t xml:space="preserve"> In the </w:t>
      </w:r>
      <w:r w:rsidR="00077B0E" w:rsidRPr="00077B0E">
        <w:rPr>
          <w:i/>
        </w:rPr>
        <w:t>Second Report and Order</w:t>
      </w:r>
      <w:r w:rsidR="00077B0E">
        <w:t xml:space="preserve">, </w:t>
      </w:r>
      <w:r w:rsidR="0009457F">
        <w:t>the Commission</w:t>
      </w:r>
      <w:r w:rsidR="000220CB">
        <w:t xml:space="preserve"> clarified that this conclusion extends to incumbent cable operators as well.</w:t>
      </w:r>
      <w:r w:rsidR="000220CB">
        <w:rPr>
          <w:rStyle w:val="FootnoteReference"/>
        </w:rPr>
        <w:footnoteReference w:id="60"/>
      </w:r>
      <w:r w:rsidR="000220CB">
        <w:t xml:space="preserve"> </w:t>
      </w:r>
      <w:r w:rsidR="00341381">
        <w:t xml:space="preserve"> </w:t>
      </w:r>
      <w:r w:rsidR="00A404EE">
        <w:t xml:space="preserve">Petitioners argue that the </w:t>
      </w:r>
      <w:r w:rsidR="00A404EE">
        <w:rPr>
          <w:i/>
        </w:rPr>
        <w:t>Second Report and Order</w:t>
      </w:r>
      <w:r w:rsidR="00A404EE">
        <w:t>’s findings that LFA jurisdiction is limited to cable service</w:t>
      </w:r>
      <w:r w:rsidR="00653360">
        <w:t xml:space="preserve"> </w:t>
      </w:r>
      <w:r w:rsidR="00653360" w:rsidRPr="003255CF">
        <w:rPr>
          <w:szCs w:val="22"/>
        </w:rPr>
        <w:t>is incorrect</w:t>
      </w:r>
      <w:r w:rsidR="006C74F8" w:rsidRPr="003255CF">
        <w:rPr>
          <w:szCs w:val="22"/>
        </w:rPr>
        <w:t xml:space="preserve">, as the </w:t>
      </w:r>
      <w:r w:rsidR="003E375E" w:rsidRPr="003255CF">
        <w:rPr>
          <w:szCs w:val="22"/>
        </w:rPr>
        <w:t xml:space="preserve">Act </w:t>
      </w:r>
      <w:r w:rsidR="002557B1" w:rsidRPr="00192015">
        <w:rPr>
          <w:color w:val="000000"/>
          <w:szCs w:val="22"/>
        </w:rPr>
        <w:t>“</w:t>
      </w:r>
      <w:r w:rsidR="003E375E" w:rsidRPr="00192015">
        <w:rPr>
          <w:color w:val="000000"/>
          <w:szCs w:val="22"/>
        </w:rPr>
        <w:t xml:space="preserve">recognizes local authority </w:t>
      </w:r>
      <w:r w:rsidR="003E375E" w:rsidRPr="007C4771">
        <w:t>with</w:t>
      </w:r>
      <w:r w:rsidR="003E375E" w:rsidRPr="00192015">
        <w:rPr>
          <w:color w:val="000000"/>
          <w:szCs w:val="22"/>
        </w:rPr>
        <w:t xml:space="preserve"> respect to ‘cable systems’ or ‘cable operators’ without restriction to ‘cable service.</w:t>
      </w:r>
      <w:r w:rsidR="006164BC">
        <w:rPr>
          <w:color w:val="000000"/>
          <w:szCs w:val="22"/>
        </w:rPr>
        <w:t>’</w:t>
      </w:r>
      <w:r w:rsidR="003E375E" w:rsidRPr="00192015">
        <w:rPr>
          <w:color w:val="000000"/>
          <w:szCs w:val="22"/>
        </w:rPr>
        <w:t>”</w:t>
      </w:r>
      <w:r w:rsidR="002557B1" w:rsidRPr="00192015">
        <w:rPr>
          <w:rStyle w:val="FootnoteReference"/>
          <w:color w:val="000000"/>
          <w:szCs w:val="22"/>
        </w:rPr>
        <w:footnoteReference w:id="61"/>
      </w:r>
      <w:r w:rsidR="00A404EE">
        <w:t xml:space="preserve">  Verizon disagrees</w:t>
      </w:r>
      <w:r w:rsidR="000220CB">
        <w:t>,</w:t>
      </w:r>
      <w:r w:rsidR="00A404EE">
        <w:t xml:space="preserve"> stating that a provider is a cable operator </w:t>
      </w:r>
      <w:r w:rsidR="00341381">
        <w:t xml:space="preserve">only </w:t>
      </w:r>
      <w:r w:rsidR="00A404EE">
        <w:t xml:space="preserve">to the extent it provides </w:t>
      </w:r>
      <w:r w:rsidR="00F12EDA">
        <w:t>“</w:t>
      </w:r>
      <w:r w:rsidR="00A404EE">
        <w:t>cable service</w:t>
      </w:r>
      <w:r w:rsidR="00F12EDA">
        <w:t>”</w:t>
      </w:r>
      <w:r w:rsidR="00A404EE">
        <w:t xml:space="preserve"> and that any statutory provisions </w:t>
      </w:r>
      <w:r w:rsidR="00A404EE" w:rsidRPr="00077B0E">
        <w:rPr>
          <w:color w:val="000000"/>
          <w:spacing w:val="-2"/>
          <w:szCs w:val="22"/>
        </w:rPr>
        <w:t>applicable</w:t>
      </w:r>
      <w:r w:rsidR="00A404EE">
        <w:t xml:space="preserve"> to </w:t>
      </w:r>
      <w:r w:rsidR="003E375E">
        <w:t>“</w:t>
      </w:r>
      <w:r w:rsidR="00A404EE">
        <w:t>cable operators</w:t>
      </w:r>
      <w:r w:rsidR="003E375E">
        <w:t>”</w:t>
      </w:r>
      <w:r w:rsidR="002557B1">
        <w:t xml:space="preserve"> or “cable systems”</w:t>
      </w:r>
      <w:r w:rsidR="00A404EE">
        <w:t xml:space="preserve"> do not provide an LFA with authority over non-cable services.</w:t>
      </w:r>
      <w:r w:rsidR="00A404EE">
        <w:rPr>
          <w:rStyle w:val="FootnoteCharacters"/>
          <w:color w:val="000000"/>
          <w:spacing w:val="-2"/>
          <w:szCs w:val="22"/>
        </w:rPr>
        <w:footnoteReference w:id="62"/>
      </w:r>
      <w:r w:rsidR="00A404EE">
        <w:t xml:space="preserve">  LFAs assert in reply that legislative history indicates that they have authority over cable systems in their provision of non-cable services.</w:t>
      </w:r>
      <w:r w:rsidR="00A404EE">
        <w:rPr>
          <w:rStyle w:val="FootnoteCharacters"/>
          <w:color w:val="000000"/>
          <w:spacing w:val="-2"/>
          <w:szCs w:val="22"/>
        </w:rPr>
        <w:footnoteReference w:id="63"/>
      </w:r>
      <w:r w:rsidR="00A404EE">
        <w:t xml:space="preserve">  </w:t>
      </w:r>
    </w:p>
    <w:p w:rsidR="00A404EE" w:rsidRDefault="000220CB" w:rsidP="00953FA2">
      <w:pPr>
        <w:pStyle w:val="ParaNum"/>
        <w:widowControl/>
      </w:pPr>
      <w:r>
        <w:t xml:space="preserve">For the reasons stated in the </w:t>
      </w:r>
      <w:r>
        <w:rPr>
          <w:i/>
        </w:rPr>
        <w:t>Second Report and Order</w:t>
      </w:r>
      <w:r>
        <w:t>, w</w:t>
      </w:r>
      <w:r w:rsidR="00A404EE">
        <w:t xml:space="preserve">e </w:t>
      </w:r>
      <w:r w:rsidR="00341381">
        <w:t>adhere to our previous determination on</w:t>
      </w:r>
      <w:r w:rsidR="00A404EE">
        <w:t xml:space="preserve"> </w:t>
      </w:r>
      <w:r>
        <w:t xml:space="preserve">this </w:t>
      </w:r>
      <w:r w:rsidR="00A404EE">
        <w:t xml:space="preserve">issue.  The </w:t>
      </w:r>
      <w:r w:rsidR="00A404EE">
        <w:rPr>
          <w:i/>
        </w:rPr>
        <w:t>Second Report and Order</w:t>
      </w:r>
      <w:r w:rsidR="00A404EE">
        <w:t xml:space="preserve"> extended </w:t>
      </w:r>
      <w:r w:rsidR="0009457F">
        <w:t>the Commission’s</w:t>
      </w:r>
      <w:r w:rsidR="00A404EE">
        <w:t xml:space="preserve"> findings on mixed-use networks to incumbent providers.</w:t>
      </w:r>
      <w:r w:rsidR="00A404EE">
        <w:rPr>
          <w:rStyle w:val="FootnoteCharacters"/>
          <w:color w:val="000000"/>
          <w:spacing w:val="-2"/>
          <w:szCs w:val="22"/>
        </w:rPr>
        <w:footnoteReference w:id="64"/>
      </w:r>
      <w:r w:rsidR="00A404EE">
        <w:t xml:space="preserve">  </w:t>
      </w:r>
      <w:r w:rsidR="0009457F">
        <w:t>The Commission</w:t>
      </w:r>
      <w:r w:rsidR="00A404EE">
        <w:t xml:space="preserve"> provided further clarification that LFAs’ jurisdiction is limited to the provision of cable services over cable systems and that LFAs cannot </w:t>
      </w:r>
      <w:r w:rsidR="00155258">
        <w:t xml:space="preserve">use their franchising authority to </w:t>
      </w:r>
      <w:r w:rsidR="00A404EE">
        <w:t xml:space="preserve">regulate non-cable services </w:t>
      </w:r>
      <w:r w:rsidR="00A404EE" w:rsidRPr="007C4771">
        <w:t>provided</w:t>
      </w:r>
      <w:r w:rsidR="00A404EE">
        <w:t xml:space="preserve"> by an incumbent.</w:t>
      </w:r>
      <w:r w:rsidR="00A404EE">
        <w:rPr>
          <w:rStyle w:val="FootnoteCharacters"/>
          <w:color w:val="000000"/>
          <w:spacing w:val="-2"/>
          <w:szCs w:val="22"/>
        </w:rPr>
        <w:footnoteReference w:id="65"/>
      </w:r>
      <w:r w:rsidR="00A404EE">
        <w:t xml:space="preserve">  </w:t>
      </w:r>
      <w:r w:rsidR="0009457F">
        <w:t>The Commission’s</w:t>
      </w:r>
      <w:r w:rsidR="00A404EE">
        <w:t xml:space="preserve"> </w:t>
      </w:r>
      <w:r w:rsidR="00A404EE">
        <w:rPr>
          <w:i/>
        </w:rPr>
        <w:t xml:space="preserve">First Report and Order </w:t>
      </w:r>
      <w:r w:rsidR="00A404EE">
        <w:t>and the</w:t>
      </w:r>
      <w:r w:rsidR="00A404EE">
        <w:rPr>
          <w:i/>
        </w:rPr>
        <w:t xml:space="preserve"> Second Report and Order </w:t>
      </w:r>
      <w:r w:rsidR="00A404EE">
        <w:t xml:space="preserve">make clear that LFAs </w:t>
      </w:r>
      <w:r w:rsidR="00155258">
        <w:t xml:space="preserve">may not use their franchising </w:t>
      </w:r>
      <w:r w:rsidR="00A404EE">
        <w:t>authority to regulate non-cable services provided by either an incumbent or new entrant.</w:t>
      </w:r>
      <w:r>
        <w:t xml:space="preserve">  As petitioners have not raised any new arguments, we reaffirm </w:t>
      </w:r>
      <w:r w:rsidR="0009457F">
        <w:t>the</w:t>
      </w:r>
      <w:r>
        <w:t xml:space="preserve"> prior conclusion.</w:t>
      </w:r>
      <w:r w:rsidR="003255CF">
        <w:rPr>
          <w:rStyle w:val="FootnoteReference"/>
          <w:color w:val="000000"/>
          <w:spacing w:val="-2"/>
          <w:szCs w:val="22"/>
        </w:rPr>
        <w:footnoteReference w:id="66"/>
      </w:r>
    </w:p>
    <w:p w:rsidR="00A404EE" w:rsidRDefault="00A404EE" w:rsidP="003E1882">
      <w:pPr>
        <w:pStyle w:val="Heading2"/>
      </w:pPr>
      <w:r>
        <w:t>Regulatory Flexibility Act</w:t>
      </w:r>
      <w:r w:rsidR="005F6F52">
        <w:t xml:space="preserve"> </w:t>
      </w:r>
    </w:p>
    <w:p w:rsidR="00A404EE" w:rsidRPr="003255CF" w:rsidRDefault="00574777" w:rsidP="007C4771">
      <w:pPr>
        <w:pStyle w:val="ParaNum"/>
      </w:pPr>
      <w:r>
        <w:t xml:space="preserve">We grant Petitioners’ request that we </w:t>
      </w:r>
      <w:r w:rsidR="00341381">
        <w:t xml:space="preserve">depart from </w:t>
      </w:r>
      <w:r>
        <w:t>our Regulatory Flexibility Analysis and submit a revised FRFA</w:t>
      </w:r>
      <w:r w:rsidRPr="00574777">
        <w:t xml:space="preserve"> </w:t>
      </w:r>
      <w:r>
        <w:t xml:space="preserve">in order to comply with the mandates of the Regulatory Flexibility Act.  </w:t>
      </w:r>
      <w:r w:rsidR="00A404EE">
        <w:t>The Regulatory Flexibility Act requires that an agency prepare a FRFA</w:t>
      </w:r>
      <w:r w:rsidR="00A404EE">
        <w:rPr>
          <w:rStyle w:val="FootnoteCharacters"/>
          <w:color w:val="000000"/>
          <w:spacing w:val="-2"/>
          <w:szCs w:val="22"/>
        </w:rPr>
        <w:footnoteReference w:id="67"/>
      </w:r>
      <w:r w:rsidR="00A404EE">
        <w:t xml:space="preserve"> in conjunction with the promulgation of a final rule in order to </w:t>
      </w:r>
      <w:r w:rsidR="00A404EE" w:rsidRPr="007C4771">
        <w:t>assess</w:t>
      </w:r>
      <w:r w:rsidR="00A404EE">
        <w:t xml:space="preserve"> its impact on small entities and to minimize any undue burdens.  Petitioners </w:t>
      </w:r>
      <w:r w:rsidR="00F83767">
        <w:t xml:space="preserve">note </w:t>
      </w:r>
      <w:r w:rsidR="00A404EE">
        <w:t xml:space="preserve">that the FRFA attached in the Appendix to </w:t>
      </w:r>
      <w:r w:rsidR="0009457F">
        <w:t>the</w:t>
      </w:r>
      <w:r w:rsidR="00A404EE">
        <w:t xml:space="preserve"> </w:t>
      </w:r>
      <w:r w:rsidR="00A404EE">
        <w:rPr>
          <w:i/>
        </w:rPr>
        <w:t xml:space="preserve">Second Report and Order </w:t>
      </w:r>
      <w:r w:rsidR="00A404EE">
        <w:t>provided an analysis of the tentative conclusions set forth in the Initial Regulatory Flexibility Analysis (“IRFA”) rather than the rules adopted.</w:t>
      </w:r>
      <w:r w:rsidR="00A404EE">
        <w:rPr>
          <w:rStyle w:val="FootnoteCharacters"/>
          <w:color w:val="000000"/>
          <w:spacing w:val="-2"/>
          <w:szCs w:val="22"/>
        </w:rPr>
        <w:footnoteReference w:id="68"/>
      </w:r>
      <w:r w:rsidR="00A404EE">
        <w:t xml:space="preserve">  Because of this inconsistency</w:t>
      </w:r>
      <w:r w:rsidR="005F6F52">
        <w:t>,</w:t>
      </w:r>
      <w:r w:rsidR="00A404EE">
        <w:t xml:space="preserve"> they urge us to reconsider </w:t>
      </w:r>
      <w:r w:rsidR="0009457F">
        <w:t>the</w:t>
      </w:r>
      <w:r w:rsidR="00A404EE">
        <w:t xml:space="preserve"> FRFA to reflect the rules adopted which, they assert, will reveal significant burdens faced by small jurisdictions that would require a reconsideration of the entire </w:t>
      </w:r>
      <w:r w:rsidR="00A404EE">
        <w:rPr>
          <w:i/>
        </w:rPr>
        <w:t>Second Report and Order</w:t>
      </w:r>
      <w:r w:rsidR="00A404EE">
        <w:t>.</w:t>
      </w:r>
      <w:r w:rsidR="00A404EE">
        <w:rPr>
          <w:rStyle w:val="FootnoteCharacters"/>
          <w:color w:val="000000"/>
          <w:spacing w:val="-2"/>
          <w:szCs w:val="22"/>
        </w:rPr>
        <w:footnoteReference w:id="69"/>
      </w:r>
      <w:r w:rsidR="00A404EE">
        <w:t xml:space="preserve">  NATOA further ask</w:t>
      </w:r>
      <w:r w:rsidR="00CB2721">
        <w:t>s</w:t>
      </w:r>
      <w:r w:rsidR="00A404EE">
        <w:t xml:space="preserve"> that both the initial and final analyses be reissued to examine the economic impact on small jurisdictions and small organizations in more detail.</w:t>
      </w:r>
      <w:r w:rsidR="00A404EE">
        <w:rPr>
          <w:rStyle w:val="FootnoteCharacters"/>
          <w:color w:val="000000"/>
          <w:spacing w:val="-2"/>
          <w:szCs w:val="22"/>
        </w:rPr>
        <w:footnoteReference w:id="70"/>
      </w:r>
      <w:r w:rsidR="00A404EE">
        <w:t xml:space="preserve">  </w:t>
      </w:r>
      <w:r w:rsidR="00654A5C" w:rsidRPr="00192015">
        <w:t xml:space="preserve">Petitioners argue that making the statutory interpretations </w:t>
      </w:r>
      <w:r w:rsidR="00654A5C">
        <w:t xml:space="preserve">of the </w:t>
      </w:r>
      <w:r w:rsidR="00654A5C">
        <w:rPr>
          <w:i/>
        </w:rPr>
        <w:t xml:space="preserve">Second Report and Order </w:t>
      </w:r>
      <w:r w:rsidR="00654A5C" w:rsidRPr="00192015">
        <w:t>effective immediately instead of on renewal</w:t>
      </w:r>
      <w:r w:rsidR="00654A5C" w:rsidRPr="003255CF">
        <w:t xml:space="preserve"> will </w:t>
      </w:r>
      <w:r w:rsidR="00654A5C" w:rsidRPr="00192015">
        <w:t>un</w:t>
      </w:r>
      <w:r w:rsidR="00654A5C" w:rsidRPr="003255CF">
        <w:t xml:space="preserve">duly disrupt </w:t>
      </w:r>
      <w:r w:rsidR="00126045">
        <w:t xml:space="preserve">and preempt </w:t>
      </w:r>
      <w:r w:rsidR="00654A5C" w:rsidRPr="003255CF">
        <w:t xml:space="preserve">existing contracts and will impose </w:t>
      </w:r>
      <w:r w:rsidR="00654A5C" w:rsidRPr="00192015">
        <w:t>analysis, negotiation, and</w:t>
      </w:r>
      <w:r w:rsidR="00654A5C" w:rsidRPr="003255CF">
        <w:t>/or litigation costs upon LFAs,</w:t>
      </w:r>
      <w:r w:rsidR="00654A5C" w:rsidRPr="00192015">
        <w:t xml:space="preserve"> </w:t>
      </w:r>
      <w:r w:rsidR="00654A5C">
        <w:t xml:space="preserve">and that these costs </w:t>
      </w:r>
      <w:r w:rsidR="00654A5C" w:rsidRPr="00192015">
        <w:t>were not taken into account in the RFA analysis.</w:t>
      </w:r>
      <w:r w:rsidR="00654A5C">
        <w:rPr>
          <w:rStyle w:val="FootnoteReference"/>
          <w:color w:val="000000"/>
          <w:szCs w:val="22"/>
        </w:rPr>
        <w:footnoteReference w:id="71"/>
      </w:r>
    </w:p>
    <w:p w:rsidR="00A404EE" w:rsidRDefault="00A404EE" w:rsidP="007C4771">
      <w:pPr>
        <w:pStyle w:val="ParaNum"/>
      </w:pPr>
      <w:r>
        <w:t xml:space="preserve">NCTA contends that the petitioners’ arguments are </w:t>
      </w:r>
      <w:r w:rsidR="00DB39CF">
        <w:t xml:space="preserve">without </w:t>
      </w:r>
      <w:r>
        <w:t>merit.  NCTA asserts that</w:t>
      </w:r>
      <w:r w:rsidR="00CB2721">
        <w:t>,</w:t>
      </w:r>
      <w:r>
        <w:t xml:space="preserve"> because the </w:t>
      </w:r>
      <w:r>
        <w:rPr>
          <w:i/>
        </w:rPr>
        <w:t xml:space="preserve">Second </w:t>
      </w:r>
      <w:r w:rsidR="00291AF6">
        <w:rPr>
          <w:i/>
        </w:rPr>
        <w:t xml:space="preserve">Report and </w:t>
      </w:r>
      <w:r>
        <w:rPr>
          <w:i/>
        </w:rPr>
        <w:t>Order</w:t>
      </w:r>
      <w:r>
        <w:t xml:space="preserve"> merely extends existing requirements to incumbent providers, local franchising authorities (“LFAs”) should already be familiar with existing franchising requirements</w:t>
      </w:r>
      <w:r w:rsidR="003C5AB5">
        <w:t>, and implementation with respect to incumbents will not be unduly disruptive</w:t>
      </w:r>
      <w:r>
        <w:t>.</w:t>
      </w:r>
      <w:r>
        <w:rPr>
          <w:rStyle w:val="FootnoteCharacters"/>
          <w:color w:val="000000"/>
          <w:spacing w:val="-2"/>
          <w:szCs w:val="22"/>
        </w:rPr>
        <w:footnoteReference w:id="72"/>
      </w:r>
      <w:r>
        <w:t xml:space="preserve">  Therefore, NCTA argues, LFAs will be prepared to deal with the issues that arise as a result of the </w:t>
      </w:r>
      <w:r>
        <w:rPr>
          <w:i/>
        </w:rPr>
        <w:t xml:space="preserve">Second </w:t>
      </w:r>
      <w:r w:rsidR="00291AF6">
        <w:rPr>
          <w:i/>
        </w:rPr>
        <w:t xml:space="preserve">Report and </w:t>
      </w:r>
      <w:r>
        <w:rPr>
          <w:i/>
        </w:rPr>
        <w:t>Order</w:t>
      </w:r>
      <w:r>
        <w:t xml:space="preserve"> regardless of whether these interpretations are applied at the time of renewal or immediately.</w:t>
      </w:r>
      <w:r>
        <w:rPr>
          <w:rStyle w:val="FootnoteCharacters"/>
          <w:color w:val="000000"/>
          <w:spacing w:val="-2"/>
          <w:szCs w:val="22"/>
        </w:rPr>
        <w:footnoteReference w:id="73"/>
      </w:r>
      <w:r>
        <w:t xml:space="preserve">  They also state that any burdens that arise will come from an LFA’s choice to contest the </w:t>
      </w:r>
      <w:r>
        <w:rPr>
          <w:i/>
        </w:rPr>
        <w:t>Second Report and Order</w:t>
      </w:r>
      <w:r>
        <w:t>’s conclusion that the Commission’s statutory interpretations supersede existing franchises</w:t>
      </w:r>
      <w:r w:rsidR="003C5AB5">
        <w:t>, and that no negotiation and/or litigation costs will be imposed on LFAs if they choose not to contest the Commission’s statutory interpretations</w:t>
      </w:r>
      <w:r>
        <w:t>.</w:t>
      </w:r>
      <w:r>
        <w:rPr>
          <w:rStyle w:val="FootnoteCharacters"/>
          <w:color w:val="000000"/>
          <w:spacing w:val="-2"/>
          <w:szCs w:val="22"/>
        </w:rPr>
        <w:footnoteReference w:id="74"/>
      </w:r>
      <w:r>
        <w:t xml:space="preserve"> </w:t>
      </w:r>
      <w:r w:rsidR="00F83767">
        <w:t xml:space="preserve"> </w:t>
      </w:r>
      <w:r>
        <w:t>In response, petitioners assert that</w:t>
      </w:r>
      <w:r w:rsidR="00CB2721">
        <w:t>,</w:t>
      </w:r>
      <w:r>
        <w:t xml:space="preserve"> </w:t>
      </w:r>
      <w:r w:rsidR="003C5AB5">
        <w:t xml:space="preserve">even if they do not challenge the Commission’s statutory interpretations, </w:t>
      </w:r>
      <w:r w:rsidRPr="007C4771">
        <w:t>LFAs</w:t>
      </w:r>
      <w:r>
        <w:t xml:space="preserve"> must review </w:t>
      </w:r>
      <w:r w:rsidR="003C5AB5">
        <w:t xml:space="preserve">on a case-by-case basis any </w:t>
      </w:r>
      <w:r>
        <w:t>incumbent</w:t>
      </w:r>
      <w:r w:rsidR="00CB2721">
        <w:t>’s</w:t>
      </w:r>
      <w:r>
        <w:t xml:space="preserve"> claims </w:t>
      </w:r>
      <w:r w:rsidR="003C5AB5">
        <w:t xml:space="preserve">that the </w:t>
      </w:r>
      <w:r w:rsidR="003C5AB5">
        <w:rPr>
          <w:i/>
        </w:rPr>
        <w:t xml:space="preserve">Second Report and Order </w:t>
      </w:r>
      <w:r w:rsidR="003C5AB5">
        <w:t xml:space="preserve">preempts or modifies </w:t>
      </w:r>
      <w:r w:rsidR="00CB2721">
        <w:t xml:space="preserve">its </w:t>
      </w:r>
      <w:r w:rsidR="003C5AB5">
        <w:t>franchise</w:t>
      </w:r>
      <w:r>
        <w:t>.</w:t>
      </w:r>
      <w:r>
        <w:rPr>
          <w:rStyle w:val="FootnoteCharacters"/>
          <w:color w:val="000000"/>
          <w:spacing w:val="-2"/>
          <w:szCs w:val="22"/>
        </w:rPr>
        <w:footnoteReference w:id="75"/>
      </w:r>
      <w:r>
        <w:t xml:space="preserve">  Petitioners argue that</w:t>
      </w:r>
      <w:r w:rsidR="00CB2721">
        <w:t>,</w:t>
      </w:r>
      <w:r>
        <w:t xml:space="preserve"> as responsible contracting parties, LFAs cannot abandon their contractual rights without careful study.</w:t>
      </w:r>
      <w:r>
        <w:rPr>
          <w:rStyle w:val="FootnoteCharacters"/>
          <w:color w:val="000000"/>
          <w:spacing w:val="-2"/>
          <w:szCs w:val="22"/>
        </w:rPr>
        <w:footnoteReference w:id="76"/>
      </w:r>
      <w:r>
        <w:t xml:space="preserve">  Petitioners also assert that to do otherwise would run afoul of the LFA’s fiduciary duties to the public.</w:t>
      </w:r>
      <w:r>
        <w:rPr>
          <w:rStyle w:val="FootnoteCharacters"/>
          <w:color w:val="000000"/>
          <w:spacing w:val="-2"/>
          <w:szCs w:val="22"/>
        </w:rPr>
        <w:footnoteReference w:id="77"/>
      </w:r>
      <w:r>
        <w:t xml:space="preserve">  </w:t>
      </w:r>
    </w:p>
    <w:p w:rsidR="00A404EE" w:rsidRDefault="00A404EE" w:rsidP="00640F2C">
      <w:pPr>
        <w:pStyle w:val="ParaNum"/>
      </w:pPr>
      <w:r>
        <w:t xml:space="preserve">We agree </w:t>
      </w:r>
      <w:r w:rsidRPr="00192015">
        <w:rPr>
          <w:color w:val="000000"/>
          <w:spacing w:val="-2"/>
          <w:szCs w:val="22"/>
        </w:rPr>
        <w:t>with</w:t>
      </w:r>
      <w:r>
        <w:t xml:space="preserve"> the petitioners that, rather than completing an analysis of the rules adopted, </w:t>
      </w:r>
      <w:r w:rsidR="0009457F">
        <w:t>the</w:t>
      </w:r>
      <w:r>
        <w:t xml:space="preserve"> analysis was inadvertently based on the tentative conclusions presented in the Initial Regulatory Flexibility Analysis, set forth in Appendix C of the </w:t>
      </w:r>
      <w:r>
        <w:rPr>
          <w:i/>
        </w:rPr>
        <w:t>First Report and Order and Further Notice of Proposed Rulemaking</w:t>
      </w:r>
      <w:r>
        <w:t>.</w:t>
      </w:r>
      <w:r>
        <w:rPr>
          <w:rStyle w:val="FootnoteCharacters"/>
          <w:color w:val="000000"/>
          <w:spacing w:val="-2"/>
          <w:szCs w:val="22"/>
        </w:rPr>
        <w:footnoteReference w:id="78"/>
      </w:r>
      <w:r>
        <w:t xml:space="preserve">  In order to comply with the mandates of the Regulatory Flexibility Act, we hereby submit a Supplemental Final Regulatory Flexibility Analysis, set forth in the Appendix, to reflect the rules adopted in the </w:t>
      </w:r>
      <w:r w:rsidRPr="003B2CED">
        <w:rPr>
          <w:i/>
          <w:szCs w:val="22"/>
        </w:rPr>
        <w:t>Second Report and Order</w:t>
      </w:r>
      <w:r w:rsidRPr="003255CF">
        <w:rPr>
          <w:szCs w:val="22"/>
        </w:rPr>
        <w:t xml:space="preserve">.  </w:t>
      </w:r>
      <w:r w:rsidR="00A51D75">
        <w:t>Regarding the claim that the Commission failed to analyze the economic impact o</w:t>
      </w:r>
      <w:r w:rsidR="005620BA">
        <w:t>n</w:t>
      </w:r>
      <w:r w:rsidR="00A51D75">
        <w:t xml:space="preserve"> small entities, </w:t>
      </w:r>
      <w:r w:rsidR="005F71B5">
        <w:t>the IRFA</w:t>
      </w:r>
      <w:r w:rsidR="00F85C45">
        <w:t xml:space="preserve">, FRFA and Supplemental </w:t>
      </w:r>
      <w:r w:rsidR="005F71B5">
        <w:t xml:space="preserve">FRFA all analyze the impacts on small entities, and determine that, because the </w:t>
      </w:r>
      <w:r w:rsidR="00F85C45">
        <w:rPr>
          <w:i/>
        </w:rPr>
        <w:t xml:space="preserve">Second Report and Order </w:t>
      </w:r>
      <w:r w:rsidR="00F85C45">
        <w:t>unifies existing regulations across all market participants</w:t>
      </w:r>
      <w:r w:rsidR="00126045">
        <w:t xml:space="preserve"> and any potential </w:t>
      </w:r>
      <w:r w:rsidR="00133865">
        <w:t xml:space="preserve">franchise </w:t>
      </w:r>
      <w:r w:rsidR="00126045">
        <w:t>preemption</w:t>
      </w:r>
      <w:r w:rsidR="00133865">
        <w:t xml:space="preserve"> or modification</w:t>
      </w:r>
      <w:r w:rsidR="00126045">
        <w:t xml:space="preserve"> is limited in scope</w:t>
      </w:r>
      <w:r w:rsidR="005F71B5">
        <w:t xml:space="preserve">, the impact is </w:t>
      </w:r>
      <w:r w:rsidR="005F71B5">
        <w:rPr>
          <w:i/>
        </w:rPr>
        <w:t>de minimis</w:t>
      </w:r>
      <w:r w:rsidR="00FD62F5">
        <w:t xml:space="preserve"> and </w:t>
      </w:r>
      <w:r w:rsidR="00F52F54">
        <w:t>is likely to be</w:t>
      </w:r>
      <w:r w:rsidR="00FD62F5">
        <w:t xml:space="preserve"> </w:t>
      </w:r>
      <w:r w:rsidR="00CB2721">
        <w:t xml:space="preserve">over </w:t>
      </w:r>
      <w:r w:rsidR="00FD62F5">
        <w:t xml:space="preserve">by now, given the passage of time since the </w:t>
      </w:r>
      <w:r w:rsidR="00FD62F5">
        <w:rPr>
          <w:i/>
        </w:rPr>
        <w:t>Second Report and Order</w:t>
      </w:r>
      <w:r w:rsidR="005F71B5">
        <w:rPr>
          <w:i/>
        </w:rPr>
        <w:t>.</w:t>
      </w:r>
      <w:r w:rsidR="00A51D75">
        <w:t xml:space="preserve">  </w:t>
      </w:r>
      <w:r w:rsidR="003B2CED">
        <w:t>As for consideration of alternatives, w</w:t>
      </w:r>
      <w:r>
        <w:t>e agree with NCTA’s contention that</w:t>
      </w:r>
      <w:r w:rsidR="00CB2721">
        <w:t>,</w:t>
      </w:r>
      <w:r>
        <w:t xml:space="preserve"> since the findings in the </w:t>
      </w:r>
      <w:r>
        <w:rPr>
          <w:i/>
        </w:rPr>
        <w:t>Second Report and Order</w:t>
      </w:r>
      <w:r>
        <w:t xml:space="preserve"> were matters of statutory interpretation, the result was statutorily mandated regardless of the RFA analysis.</w:t>
      </w:r>
      <w:r w:rsidR="00A51D75">
        <w:t xml:space="preserve">  </w:t>
      </w:r>
      <w:r w:rsidR="00640F2C">
        <w:t>In addition</w:t>
      </w:r>
      <w:r w:rsidR="00A51D75">
        <w:t>, the IRFA and FRFA discuss the economic impact on small entities, including small government jurisdictions.  NATOA argues that the Commission should also consider PEG channel operations.</w:t>
      </w:r>
      <w:r w:rsidR="00A51D75">
        <w:rPr>
          <w:rStyle w:val="FootnoteReference"/>
        </w:rPr>
        <w:footnoteReference w:id="79"/>
      </w:r>
      <w:r w:rsidR="00A51D75">
        <w:t xml:space="preserve">  NATOA’s filing does not indicate the extent </w:t>
      </w:r>
      <w:r w:rsidR="00CB2721">
        <w:t xml:space="preserve">to which </w:t>
      </w:r>
      <w:r w:rsidR="00A51D75">
        <w:t xml:space="preserve">these entities fall </w:t>
      </w:r>
      <w:r w:rsidR="00CB2721">
        <w:t xml:space="preserve">outside </w:t>
      </w:r>
      <w:r w:rsidR="00A51D75">
        <w:t>the small government and small cable operator</w:t>
      </w:r>
      <w:r w:rsidR="000C01CF">
        <w:t xml:space="preserve"> categories</w:t>
      </w:r>
      <w:r w:rsidR="00A51D75">
        <w:t xml:space="preserve">.  The Commission does not routinely break out small entities to such a </w:t>
      </w:r>
      <w:r w:rsidR="00131586">
        <w:t>detailed</w:t>
      </w:r>
      <w:r w:rsidR="00A51D75">
        <w:t xml:space="preserve"> level, and we also note that during the IRFA comment phase no commenter suggested that </w:t>
      </w:r>
      <w:r w:rsidR="003B4AC4">
        <w:t xml:space="preserve">additional </w:t>
      </w:r>
      <w:r w:rsidR="00A51D75">
        <w:t>entities should be considered in the analysis</w:t>
      </w:r>
      <w:r w:rsidR="00F85C45">
        <w:t>.</w:t>
      </w:r>
      <w:r w:rsidR="00F83767">
        <w:t xml:space="preserve">  </w:t>
      </w:r>
      <w:r w:rsidR="00640F2C">
        <w:t>Finally, w</w:t>
      </w:r>
      <w:r w:rsidR="00640F2C" w:rsidRPr="00640F2C">
        <w:t>e disagree with NATOA that it is necessary to begin the Regulatory Flexibility Analysis over again</w:t>
      </w:r>
      <w:r w:rsidR="00640F2C">
        <w:t xml:space="preserve">.  The outcome of the Supplemental </w:t>
      </w:r>
      <w:r w:rsidR="00E558CB">
        <w:t>FRFA</w:t>
      </w:r>
      <w:r w:rsidR="00640F2C">
        <w:t xml:space="preserve"> does not show a substantially greater burden than the initial </w:t>
      </w:r>
      <w:r w:rsidR="00E558CB">
        <w:t>FRFA</w:t>
      </w:r>
      <w:r w:rsidR="00640F2C">
        <w:t xml:space="preserve">.  </w:t>
      </w:r>
      <w:r w:rsidR="00E558CB">
        <w:t xml:space="preserve">Because </w:t>
      </w:r>
      <w:r w:rsidR="00640F2C">
        <w:t>the error does not change the outcome of this proceeding</w:t>
      </w:r>
      <w:r w:rsidR="00E558CB">
        <w:t xml:space="preserve">, but would merely cause further delay of the proceeding, </w:t>
      </w:r>
      <w:r w:rsidR="00640F2C">
        <w:t>there is no harm to petitioners</w:t>
      </w:r>
      <w:r w:rsidR="00E558CB">
        <w:t>.  Therefore, we believe that</w:t>
      </w:r>
      <w:r w:rsidR="00640F2C">
        <w:t xml:space="preserve"> </w:t>
      </w:r>
      <w:r w:rsidR="00640F2C" w:rsidRPr="00640F2C">
        <w:t xml:space="preserve">the revised FRFA is sufficient to redress the error.  </w:t>
      </w:r>
    </w:p>
    <w:p w:rsidR="00A404EE" w:rsidRDefault="00A404EE" w:rsidP="0012401B">
      <w:pPr>
        <w:pStyle w:val="Heading1"/>
        <w:rPr>
          <w:b w:val="0"/>
          <w:color w:val="000000"/>
          <w:spacing w:val="-2"/>
          <w:szCs w:val="22"/>
        </w:rPr>
      </w:pPr>
      <w:r>
        <w:rPr>
          <w:color w:val="000000"/>
          <w:spacing w:val="-2"/>
          <w:szCs w:val="22"/>
        </w:rPr>
        <w:t>PROCEDURAL MATTERS</w:t>
      </w:r>
    </w:p>
    <w:p w:rsidR="00A404EE" w:rsidRDefault="00A404EE" w:rsidP="007C4771">
      <w:pPr>
        <w:pStyle w:val="ParaNum"/>
      </w:pPr>
      <w:r>
        <w:rPr>
          <w:i/>
        </w:rPr>
        <w:t>Paperwork Reduction Act Analysis</w:t>
      </w:r>
      <w:r>
        <w:t xml:space="preserve">.  This document does not contain new or modified information collection requirements subject to the Paperwork Reduction Act of 1995 (“PRA”), Public Law 104-13.  In addition, we </w:t>
      </w:r>
      <w:r w:rsidRPr="007C4771">
        <w:t>note</w:t>
      </w:r>
      <w:r>
        <w:t xml:space="preserve"> that there is no new or modified “information burden for small business concerns with fewer than 25 employees,” pursuant to the Small Business Paperwork Relief Act of 2002, Public Law 107-198, </w:t>
      </w:r>
      <w:r>
        <w:rPr>
          <w:i/>
        </w:rPr>
        <w:t>see</w:t>
      </w:r>
      <w:r>
        <w:t xml:space="preserve"> </w:t>
      </w:r>
      <w:r w:rsidR="00B724A3">
        <w:t xml:space="preserve">44 </w:t>
      </w:r>
      <w:r>
        <w:t>U.S.C. 3506(c)(4).</w:t>
      </w:r>
    </w:p>
    <w:p w:rsidR="00A404EE" w:rsidRDefault="00A404EE" w:rsidP="00D930DE">
      <w:pPr>
        <w:pStyle w:val="ParaNum"/>
      </w:pPr>
      <w:r>
        <w:rPr>
          <w:i/>
        </w:rPr>
        <w:t>Final Regulatory Flexibility Analysis</w:t>
      </w:r>
      <w:r>
        <w:t xml:space="preserve">. As required by the Regulatory Flexibility Act, </w:t>
      </w:r>
      <w:r>
        <w:rPr>
          <w:rStyle w:val="FootnoteCharacters"/>
          <w:color w:val="000000"/>
          <w:spacing w:val="-2"/>
          <w:szCs w:val="22"/>
        </w:rPr>
        <w:footnoteReference w:id="80"/>
      </w:r>
      <w:r>
        <w:t xml:space="preserve"> the Commission has prepared a Supplemental Final Regulatory </w:t>
      </w:r>
      <w:r w:rsidRPr="007C4771">
        <w:t>Flexibility</w:t>
      </w:r>
      <w:r>
        <w:t xml:space="preserve"> Analysis (“Supplemental FRFA”) relating to this </w:t>
      </w:r>
      <w:r w:rsidRPr="00192015">
        <w:rPr>
          <w:i/>
        </w:rPr>
        <w:t>Order on Reconsideration</w:t>
      </w:r>
      <w:r>
        <w:t>.  The Supplemental FRFA is set forth in an Appendix.</w:t>
      </w:r>
    </w:p>
    <w:p w:rsidR="00A404EE" w:rsidRDefault="00A404EE" w:rsidP="00D930DE">
      <w:pPr>
        <w:pStyle w:val="Heading1"/>
        <w:keepLines/>
        <w:widowControl/>
      </w:pPr>
      <w:r>
        <w:t>ORDERING CLAUSES</w:t>
      </w:r>
    </w:p>
    <w:p w:rsidR="00A404EE" w:rsidRDefault="00A404EE" w:rsidP="00D930DE">
      <w:pPr>
        <w:pStyle w:val="ParaNum"/>
        <w:keepNext/>
        <w:keepLines/>
        <w:widowControl/>
      </w:pPr>
      <w:r>
        <w:t xml:space="preserve">Accordingly, IT IS ORDERED that pursuant to the Sections 1, 2, 4(i), 303, 405, 602, 611, 621, 622, 625, 626, and 632 of the Communications Act of 1934, 47 U.S.C §§ 151, 152, 154(i), 303, 405, 522, 531, 541, 542, 545, 546, and 552, </w:t>
      </w:r>
      <w:r w:rsidR="00170DCA">
        <w:t xml:space="preserve">and Section 1.429 of the Commission’s rules, 47 C.F.R. § 1.429, </w:t>
      </w:r>
      <w:r>
        <w:t xml:space="preserve">this </w:t>
      </w:r>
      <w:r w:rsidRPr="00192015">
        <w:rPr>
          <w:i/>
        </w:rPr>
        <w:t>Order on Reconsideration</w:t>
      </w:r>
      <w:r>
        <w:t xml:space="preserve"> IS ADOPTED.</w:t>
      </w:r>
    </w:p>
    <w:p w:rsidR="00A404EE" w:rsidRDefault="00691A47" w:rsidP="00B87444">
      <w:pPr>
        <w:pStyle w:val="ParaNum"/>
        <w:widowControl/>
      </w:pPr>
      <w:r>
        <w:t>I</w:t>
      </w:r>
      <w:r w:rsidR="00A404EE">
        <w:t xml:space="preserve">T IS FURTHER ORDERED that the petitions for reconsideration filed by the City of Albuquerque, New Mexico et al, the City of Breckenridge Hills, Missouri and National Association of Telecommunications Officers and Advisors, et al. ARE HEREBY GRANTED IN PART AND DENIED IN PART as described above. This action is taken pursuant to the authority contained in Sections 1, 2, 4(i), 303, 405, 602, 611, 621, 622, 625, 626, and 632 of the </w:t>
      </w:r>
      <w:r w:rsidR="00A404EE" w:rsidRPr="007C4771">
        <w:t>Communications</w:t>
      </w:r>
      <w:r w:rsidR="00A404EE">
        <w:t xml:space="preserve"> Act of 1934, 47 U.S.C §§ 151, 152, 154(i), 303, 405, 522, 531, 541, 542, 545, 546, and 552</w:t>
      </w:r>
      <w:r w:rsidR="00D25B57">
        <w:t>, and Section 1.429 of the Commission’s rules, 47 C.F.R. § 1.429</w:t>
      </w:r>
      <w:r w:rsidR="00A404EE">
        <w:t>.</w:t>
      </w:r>
    </w:p>
    <w:p w:rsidR="00A404EE" w:rsidRDefault="00922AE8" w:rsidP="007C4771">
      <w:pPr>
        <w:pStyle w:val="ParaNum"/>
      </w:pPr>
      <w:r>
        <w:t>I</w:t>
      </w:r>
      <w:r w:rsidR="00A404EE">
        <w:t xml:space="preserve">T IS </w:t>
      </w:r>
      <w:r w:rsidR="00A404EE">
        <w:rPr>
          <w:color w:val="000000"/>
          <w:spacing w:val="-2"/>
          <w:szCs w:val="22"/>
        </w:rPr>
        <w:t>FURTHER</w:t>
      </w:r>
      <w:r w:rsidR="00A404EE">
        <w:t xml:space="preserve"> ORDERED that the </w:t>
      </w:r>
      <w:r w:rsidR="00A404EE" w:rsidRPr="007C4771">
        <w:t>Commission’s</w:t>
      </w:r>
      <w:r w:rsidR="00A404EE">
        <w:t xml:space="preserve"> Consumer and Governmental Affairs Bureau, Reference Information Center, SHALL SEND a copy of this</w:t>
      </w:r>
      <w:r w:rsidR="00A404EE">
        <w:rPr>
          <w:i/>
        </w:rPr>
        <w:t xml:space="preserve"> Order</w:t>
      </w:r>
      <w:r w:rsidR="00563F04">
        <w:rPr>
          <w:i/>
        </w:rPr>
        <w:t xml:space="preserve"> on Reconsideration</w:t>
      </w:r>
      <w:r w:rsidR="00A404EE">
        <w:t>, including the Final Regulatory Flexibility Analysis, to the Chief Counsel for Advocacy of the Small Business Administration.</w:t>
      </w:r>
    </w:p>
    <w:p w:rsidR="00A404EE" w:rsidRDefault="00A404EE" w:rsidP="00922AE8">
      <w:pPr>
        <w:pStyle w:val="ParaNum"/>
      </w:pPr>
      <w:r>
        <w:t xml:space="preserve">IT IS FURTHER ORDERED that the Commission SHALL SEND a copy of this </w:t>
      </w:r>
      <w:r w:rsidR="00563F04">
        <w:rPr>
          <w:i/>
        </w:rPr>
        <w:t>Order on Reconsideration</w:t>
      </w:r>
      <w:r w:rsidR="00563F04" w:rsidDel="00563F04">
        <w:rPr>
          <w:i/>
        </w:rPr>
        <w:t xml:space="preserve"> </w:t>
      </w:r>
      <w:r>
        <w:t>in a report to be sent to Congress and the General Accounting Office pursuant to the Congressional Review Act, see 5 U.S.C. § 801(a)(1)(A).</w:t>
      </w:r>
    </w:p>
    <w:p w:rsidR="003D2072" w:rsidRDefault="003D2072" w:rsidP="002F7D41">
      <w:r>
        <w:tab/>
      </w:r>
      <w:r>
        <w:tab/>
      </w:r>
      <w:r>
        <w:tab/>
      </w:r>
      <w:r>
        <w:tab/>
      </w:r>
      <w:r>
        <w:tab/>
      </w:r>
      <w:r>
        <w:tab/>
        <w:t>FEDERAL COMMUNICATIONS COMMISSION</w:t>
      </w:r>
    </w:p>
    <w:p w:rsidR="003D2072" w:rsidRDefault="003D2072" w:rsidP="002F7D41"/>
    <w:p w:rsidR="003D2072" w:rsidRDefault="003D2072" w:rsidP="002F7D41"/>
    <w:p w:rsidR="003D2072" w:rsidRDefault="003D2072" w:rsidP="002F7D41"/>
    <w:p w:rsidR="003D2072" w:rsidRDefault="003D2072" w:rsidP="002F7D41"/>
    <w:p w:rsidR="003D2072" w:rsidRDefault="003D2072" w:rsidP="002F7D41">
      <w:r>
        <w:tab/>
      </w:r>
      <w:r>
        <w:tab/>
      </w:r>
      <w:r>
        <w:tab/>
      </w:r>
      <w:r>
        <w:tab/>
      </w:r>
      <w:r>
        <w:tab/>
      </w:r>
      <w:r>
        <w:tab/>
        <w:t>Marlene H. Dortch</w:t>
      </w:r>
    </w:p>
    <w:p w:rsidR="003D2072" w:rsidRDefault="003D2072" w:rsidP="002F7D41">
      <w:r>
        <w:tab/>
      </w:r>
      <w:r>
        <w:tab/>
      </w:r>
      <w:r>
        <w:tab/>
      </w:r>
      <w:r>
        <w:tab/>
      </w:r>
      <w:r>
        <w:tab/>
      </w:r>
      <w:r>
        <w:tab/>
        <w:t>Secretary</w:t>
      </w:r>
    </w:p>
    <w:p w:rsidR="00A404EE" w:rsidRDefault="00A404EE">
      <w:pPr>
        <w:rPr>
          <w:color w:val="000000"/>
          <w:spacing w:val="-2"/>
          <w:szCs w:val="22"/>
        </w:rPr>
      </w:pPr>
    </w:p>
    <w:p w:rsidR="001F3777" w:rsidRDefault="001F3777">
      <w:pPr>
        <w:rPr>
          <w:color w:val="000000"/>
          <w:spacing w:val="-2"/>
          <w:szCs w:val="22"/>
        </w:rPr>
      </w:pPr>
    </w:p>
    <w:p w:rsidR="001F3777" w:rsidRDefault="001F3777">
      <w:pPr>
        <w:rPr>
          <w:color w:val="000000"/>
          <w:spacing w:val="-2"/>
          <w:szCs w:val="22"/>
        </w:rPr>
      </w:pPr>
    </w:p>
    <w:p w:rsidR="001F3777" w:rsidRDefault="001F3777">
      <w:pPr>
        <w:sectPr w:rsidR="001F3777" w:rsidSect="008D2E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pPr>
    </w:p>
    <w:p w:rsidR="00A404EE" w:rsidRDefault="00A404EE" w:rsidP="009F7734">
      <w:pPr>
        <w:ind w:right="-360"/>
        <w:jc w:val="center"/>
        <w:rPr>
          <w:b/>
          <w:color w:val="000000"/>
          <w:spacing w:val="-2"/>
          <w:szCs w:val="22"/>
        </w:rPr>
      </w:pPr>
      <w:r>
        <w:rPr>
          <w:b/>
          <w:color w:val="000000"/>
          <w:spacing w:val="-2"/>
          <w:szCs w:val="22"/>
        </w:rPr>
        <w:t>APPENDIX</w:t>
      </w:r>
    </w:p>
    <w:p w:rsidR="00A404EE" w:rsidRPr="0053409E" w:rsidRDefault="00A404EE" w:rsidP="009F7734">
      <w:pPr>
        <w:ind w:right="-360"/>
        <w:jc w:val="center"/>
        <w:rPr>
          <w:color w:val="000000"/>
          <w:spacing w:val="-2"/>
          <w:szCs w:val="22"/>
        </w:rPr>
      </w:pPr>
    </w:p>
    <w:p w:rsidR="00A404EE" w:rsidRDefault="00A404EE" w:rsidP="009F7734">
      <w:pPr>
        <w:ind w:right="-360"/>
        <w:jc w:val="center"/>
        <w:rPr>
          <w:b/>
          <w:color w:val="000000"/>
          <w:spacing w:val="-2"/>
          <w:szCs w:val="22"/>
        </w:rPr>
      </w:pPr>
      <w:r>
        <w:rPr>
          <w:b/>
          <w:color w:val="000000"/>
          <w:spacing w:val="-2"/>
          <w:szCs w:val="22"/>
        </w:rPr>
        <w:t>Supplemental Final Regulatory Flexibility Act Analysis</w:t>
      </w:r>
      <w:r w:rsidR="007275D4">
        <w:rPr>
          <w:b/>
          <w:color w:val="000000"/>
          <w:spacing w:val="-2"/>
          <w:szCs w:val="22"/>
        </w:rPr>
        <w:t xml:space="preserve">  </w:t>
      </w:r>
    </w:p>
    <w:p w:rsidR="00A404EE" w:rsidRDefault="00A404EE" w:rsidP="009F7734">
      <w:pPr>
        <w:ind w:right="-360"/>
        <w:jc w:val="center"/>
        <w:rPr>
          <w:color w:val="000000"/>
          <w:spacing w:val="-2"/>
          <w:szCs w:val="22"/>
        </w:rPr>
      </w:pPr>
    </w:p>
    <w:p w:rsidR="00A404EE" w:rsidRDefault="00A404EE" w:rsidP="0012401B">
      <w:pPr>
        <w:pStyle w:val="ParaNum"/>
        <w:numPr>
          <w:ilvl w:val="0"/>
          <w:numId w:val="3"/>
        </w:numPr>
      </w:pPr>
      <w:r>
        <w:t>As required by the Regulatory Flexibility Act of 1980, as amended (“RFA”)</w:t>
      </w:r>
      <w:r>
        <w:rPr>
          <w:rStyle w:val="FootnoteCharacters"/>
          <w:color w:val="000000"/>
          <w:spacing w:val="-2"/>
          <w:szCs w:val="22"/>
        </w:rPr>
        <w:footnoteReference w:id="81"/>
      </w:r>
      <w:r>
        <w:t xml:space="preserve"> an Initial Regulatory Flexibility Analysis (“IRFA”) was incorporated in the </w:t>
      </w:r>
      <w:r>
        <w:rPr>
          <w:i/>
        </w:rPr>
        <w:t>Further Notice of Proposed Rulemaking</w:t>
      </w:r>
      <w:r>
        <w:t xml:space="preserve"> (“</w:t>
      </w:r>
      <w:r>
        <w:rPr>
          <w:i/>
        </w:rPr>
        <w:t>FNPRM</w:t>
      </w:r>
      <w:r>
        <w:t>”) to this proceeding.</w:t>
      </w:r>
      <w:r>
        <w:rPr>
          <w:rStyle w:val="FootnoteCharacters"/>
          <w:color w:val="000000"/>
          <w:spacing w:val="-2"/>
          <w:szCs w:val="22"/>
        </w:rPr>
        <w:footnoteReference w:id="82"/>
      </w:r>
      <w:r>
        <w:t xml:space="preserve">  The Commission sought written public comment on the proposals in the FNPRM, including comment on the IRFA.  The Commission received one comment on the IRFA.  Subsequently, the Commission adopted a Final Regulatory Flexibility Analysis (“FRFA”) in the </w:t>
      </w:r>
      <w:r>
        <w:rPr>
          <w:i/>
        </w:rPr>
        <w:t>Second Report and Order</w:t>
      </w:r>
      <w:r>
        <w:t xml:space="preserve"> in this proceeding.</w:t>
      </w:r>
      <w:r>
        <w:rPr>
          <w:rStyle w:val="FootnoteCharacters"/>
          <w:color w:val="000000"/>
          <w:spacing w:val="-2"/>
          <w:szCs w:val="22"/>
        </w:rPr>
        <w:footnoteReference w:id="83"/>
      </w:r>
      <w:r>
        <w:t xml:space="preserve">    Following the release of the </w:t>
      </w:r>
      <w:r>
        <w:rPr>
          <w:i/>
        </w:rPr>
        <w:t>Second Report and Order</w:t>
      </w:r>
      <w:r>
        <w:t xml:space="preserve">, petitioners </w:t>
      </w:r>
      <w:r w:rsidR="00155258">
        <w:t xml:space="preserve">sought reconsideration of the FRFA based on </w:t>
      </w:r>
      <w:r>
        <w:t xml:space="preserve">an inconsistency between the rules adopted and the rules analyzed in the accompanying FRFA.  As explained in this </w:t>
      </w:r>
      <w:r>
        <w:rPr>
          <w:i/>
        </w:rPr>
        <w:t>Order on Reconsideration</w:t>
      </w:r>
      <w:r>
        <w:t xml:space="preserve">, we submit </w:t>
      </w:r>
      <w:r w:rsidRPr="007C4771">
        <w:t>this</w:t>
      </w:r>
      <w:r>
        <w:t xml:space="preserve"> Supplemental Final Regulatory Flexibility Analysis to reflect the rules adopted in the </w:t>
      </w:r>
      <w:r>
        <w:rPr>
          <w:i/>
        </w:rPr>
        <w:t>Second Report and Order</w:t>
      </w:r>
      <w:r>
        <w:t xml:space="preserve"> </w:t>
      </w:r>
      <w:r w:rsidR="00205866">
        <w:t xml:space="preserve">and </w:t>
      </w:r>
      <w:r>
        <w:t>to conform to the RFA.</w:t>
      </w:r>
      <w:r>
        <w:rPr>
          <w:rStyle w:val="FootnoteCharacters"/>
          <w:color w:val="000000"/>
          <w:spacing w:val="-2"/>
          <w:szCs w:val="22"/>
        </w:rPr>
        <w:footnoteReference w:id="84"/>
      </w:r>
    </w:p>
    <w:p w:rsidR="00A404EE" w:rsidRDefault="00A404EE" w:rsidP="005C7C81">
      <w:pPr>
        <w:pStyle w:val="Heading2"/>
      </w:pPr>
      <w:r>
        <w:t>Need for, and Objectives of, the Second Report and Order</w:t>
      </w:r>
    </w:p>
    <w:p w:rsidR="00A404EE" w:rsidRDefault="00A404EE" w:rsidP="0012401B">
      <w:pPr>
        <w:pStyle w:val="ParaNum"/>
        <w:numPr>
          <w:ilvl w:val="0"/>
          <w:numId w:val="3"/>
        </w:numPr>
      </w:pPr>
      <w:r>
        <w:t>Th</w:t>
      </w:r>
      <w:r w:rsidR="00133865">
        <w:t>e</w:t>
      </w:r>
      <w:r>
        <w:t xml:space="preserve"> </w:t>
      </w:r>
      <w:r>
        <w:rPr>
          <w:i/>
        </w:rPr>
        <w:t xml:space="preserve">Second Report and Order </w:t>
      </w:r>
      <w:r>
        <w:t>(“</w:t>
      </w:r>
      <w:r>
        <w:rPr>
          <w:i/>
        </w:rPr>
        <w:t>Order</w:t>
      </w:r>
      <w:r>
        <w:t xml:space="preserve">”) </w:t>
      </w:r>
      <w:r w:rsidR="00155258">
        <w:t xml:space="preserve">extends a number of the rules and findings promulgated in this docket’s </w:t>
      </w:r>
      <w:r>
        <w:t xml:space="preserve">First Report and Order dealing with Section 611 and Section 622 of the Communications Act of 1934, as </w:t>
      </w:r>
      <w:r w:rsidRPr="007C4771">
        <w:t>amended</w:t>
      </w:r>
      <w:r>
        <w:t xml:space="preserve"> (the “Communications Act”).</w:t>
      </w:r>
      <w:r>
        <w:rPr>
          <w:rStyle w:val="FootnoteCharacters"/>
          <w:color w:val="000000"/>
          <w:spacing w:val="-2"/>
          <w:szCs w:val="22"/>
        </w:rPr>
        <w:footnoteReference w:id="85"/>
      </w:r>
      <w:r>
        <w:t xml:space="preserve">    The </w:t>
      </w:r>
      <w:r w:rsidRPr="0009457F">
        <w:rPr>
          <w:i/>
        </w:rPr>
        <w:t xml:space="preserve">First Report and Order </w:t>
      </w:r>
      <w:r>
        <w:t>adopted rules in accordance with Section 621(a) of the Communications Act to prevent Local Franchising Authorities (“LFAs”) from creating unreasonable barriers to competitive entry</w:t>
      </w:r>
      <w:r w:rsidR="00A063FB">
        <w:t xml:space="preserve"> of cable operators into local markets</w:t>
      </w:r>
      <w:r>
        <w:t>.</w:t>
      </w:r>
      <w:r>
        <w:rPr>
          <w:rStyle w:val="FootnoteCharacters"/>
          <w:color w:val="000000"/>
          <w:spacing w:val="-2"/>
          <w:szCs w:val="22"/>
        </w:rPr>
        <w:footnoteReference w:id="86"/>
      </w:r>
      <w:r>
        <w:rPr>
          <w:b/>
        </w:rPr>
        <w:t xml:space="preserve">  </w:t>
      </w:r>
      <w:r>
        <w:t xml:space="preserve"> It also provided clarifications of Section 611, restricting LFAs’ authority to establish capacity and support requirements for PEG channels,</w:t>
      </w:r>
      <w:r>
        <w:rPr>
          <w:rStyle w:val="FootnoteCharacters"/>
          <w:color w:val="000000"/>
          <w:spacing w:val="-2"/>
          <w:szCs w:val="22"/>
        </w:rPr>
        <w:footnoteReference w:id="87"/>
      </w:r>
      <w:r>
        <w:t xml:space="preserve"> and Section 622, setting limits </w:t>
      </w:r>
      <w:r w:rsidRPr="007C4771">
        <w:t>on</w:t>
      </w:r>
      <w:r>
        <w:t xml:space="preserve"> the franchise fees LFAs may charge cable operators.</w:t>
      </w:r>
      <w:r>
        <w:rPr>
          <w:rStyle w:val="FootnoteCharacters"/>
          <w:color w:val="000000"/>
          <w:spacing w:val="-2"/>
          <w:szCs w:val="22"/>
        </w:rPr>
        <w:footnoteReference w:id="88"/>
      </w:r>
      <w:r>
        <w:t xml:space="preserve">  Neither of these sections distinguishes between the treatment of new entrants and incumbent cable operators.</w:t>
      </w:r>
      <w:r>
        <w:rPr>
          <w:rStyle w:val="FootnoteCharacters"/>
          <w:color w:val="000000"/>
          <w:spacing w:val="-2"/>
          <w:szCs w:val="22"/>
        </w:rPr>
        <w:footnoteReference w:id="89"/>
      </w:r>
      <w:r>
        <w:t xml:space="preserve">  The </w:t>
      </w:r>
      <w:r w:rsidRPr="007C4771">
        <w:t>Commission</w:t>
      </w:r>
      <w:r>
        <w:t xml:space="preserve"> extends these findings to incumbent cable operators to further the interrelated goals of enhanced cable competition and accelerated broadband deployment.  The Commission also finds that it cannot preempt state or local customer service rules exceeding Commission standards.</w:t>
      </w:r>
    </w:p>
    <w:p w:rsidR="00A404EE" w:rsidRDefault="00A404EE" w:rsidP="005C7C81">
      <w:pPr>
        <w:pStyle w:val="Heading2"/>
      </w:pPr>
      <w:r>
        <w:t>Summary of Significant Issues Raised by Public Comments in Response to the IRFA</w:t>
      </w:r>
    </w:p>
    <w:p w:rsidR="00A404EE" w:rsidRDefault="00A404EE" w:rsidP="0012401B">
      <w:pPr>
        <w:pStyle w:val="ParaNum"/>
        <w:numPr>
          <w:ilvl w:val="0"/>
          <w:numId w:val="3"/>
        </w:numPr>
      </w:pPr>
      <w:r>
        <w:t xml:space="preserve">Only one commenter, the </w:t>
      </w:r>
      <w:r w:rsidRPr="007C4771">
        <w:t>Local</w:t>
      </w:r>
      <w:r>
        <w:t xml:space="preserve"> Government Lawyer’s Roundtable, submitted a comment that specifically responded to the IRFA.  The Local Government Lawyer’s Roundtable contends that the Commission should issue a revised IRFA because of the erroneous determination that the </w:t>
      </w:r>
      <w:r w:rsidRPr="006C0D30">
        <w:t>proposed</w:t>
      </w:r>
      <w:r>
        <w:t xml:space="preserve"> rules would have a </w:t>
      </w:r>
      <w:r>
        <w:rPr>
          <w:i/>
        </w:rPr>
        <w:t>de minimis</w:t>
      </w:r>
      <w:r>
        <w:t xml:space="preserve"> effect on small governments.  They argue that the Commission has not given weight to the economic impact the rules will have on small governments, including training and hiring concerns.</w:t>
      </w:r>
    </w:p>
    <w:p w:rsidR="00A404EE" w:rsidRDefault="00A404EE" w:rsidP="0012401B">
      <w:pPr>
        <w:pStyle w:val="ParaNum"/>
        <w:numPr>
          <w:ilvl w:val="0"/>
          <w:numId w:val="3"/>
        </w:numPr>
      </w:pPr>
      <w:r>
        <w:t xml:space="preserve">We disagree with the Local Government Lawyer’s Roundtable’s assertion that our rules will have any more than a </w:t>
      </w:r>
      <w:r>
        <w:rPr>
          <w:i/>
        </w:rPr>
        <w:t>de minimis</w:t>
      </w:r>
      <w:r>
        <w:t xml:space="preserve"> effect on small governments.  LFAs today must review and decide upon competitive and renewal cable franchise applications, and will continue to perform that role.  </w:t>
      </w:r>
      <w:r w:rsidRPr="006C0D30">
        <w:t>While</w:t>
      </w:r>
      <w:r>
        <w:t xml:space="preserve"> the Local Government Lawyer’s Roundtable expresses concern about additional training that may be necessary to understand these actions, and potential hiring of additional personnel to accommodate the </w:t>
      </w:r>
      <w:r>
        <w:rPr>
          <w:i/>
        </w:rPr>
        <w:t>Order’s</w:t>
      </w:r>
      <w:r>
        <w:t xml:space="preserve"> requirements, we disagree that those steps will be necessary.  Th</w:t>
      </w:r>
      <w:r w:rsidR="00133865">
        <w:t>e</w:t>
      </w:r>
      <w:r>
        <w:t xml:space="preserve"> </w:t>
      </w:r>
      <w:r>
        <w:rPr>
          <w:i/>
        </w:rPr>
        <w:t>Order</w:t>
      </w:r>
      <w:r>
        <w:t xml:space="preserve"> simply extends existing</w:t>
      </w:r>
      <w:r w:rsidR="00133865">
        <w:t>, limited</w:t>
      </w:r>
      <w:r>
        <w:t xml:space="preserve"> requirements to apply to incumbent cable providers.  LFAs should be familiar with those existing requirements, and therefore should not need additional training or personnel to implement the </w:t>
      </w:r>
      <w:r>
        <w:rPr>
          <w:i/>
        </w:rPr>
        <w:t>Order’s</w:t>
      </w:r>
      <w:r>
        <w:t xml:space="preserve"> requirements.  Moreover, modifications made to the franchising process that result from this proceeding further streamline the franchising process, </w:t>
      </w:r>
      <w:r w:rsidR="00133865">
        <w:t xml:space="preserve">ultimately </w:t>
      </w:r>
      <w:r>
        <w:t xml:space="preserve">lessening the economic burdens placed upon LFAs.  </w:t>
      </w:r>
    </w:p>
    <w:p w:rsidR="00E16082" w:rsidRDefault="00E16082" w:rsidP="0012401B">
      <w:pPr>
        <w:pStyle w:val="ParaNum"/>
        <w:numPr>
          <w:ilvl w:val="0"/>
          <w:numId w:val="3"/>
        </w:numPr>
        <w:rPr>
          <w:color w:val="000000"/>
          <w:spacing w:val="-2"/>
          <w:szCs w:val="22"/>
        </w:rPr>
      </w:pPr>
      <w:r>
        <w:rPr>
          <w:color w:val="000000"/>
          <w:spacing w:val="-2"/>
          <w:szCs w:val="22"/>
        </w:rPr>
        <w:t xml:space="preserve">After issuing the FRFA </w:t>
      </w:r>
      <w:r>
        <w:t xml:space="preserve">in the </w:t>
      </w:r>
      <w:r>
        <w:rPr>
          <w:i/>
        </w:rPr>
        <w:t xml:space="preserve">Second Report and Order, </w:t>
      </w:r>
      <w:r>
        <w:t xml:space="preserve">the Commission received a Petition for Reconsideration and Clarification from the National Association of Telecommunications Officers and Advisors (“NATOA”) </w:t>
      </w:r>
      <w:r>
        <w:rPr>
          <w:i/>
        </w:rPr>
        <w:t>et al</w:t>
      </w:r>
      <w:r w:rsidR="000C01CF">
        <w:rPr>
          <w:i/>
        </w:rPr>
        <w:t>.</w:t>
      </w:r>
      <w:r>
        <w:t xml:space="preserve"> regarding the </w:t>
      </w:r>
      <w:r w:rsidR="00F85C45">
        <w:t>Regulatory Flexibility Analysis</w:t>
      </w:r>
      <w:r>
        <w:t xml:space="preserve">.  The petition repeated the Local Government Lawyer’s Roundtable arguments </w:t>
      </w:r>
      <w:r w:rsidR="00F85C45">
        <w:t xml:space="preserve">discussed above, </w:t>
      </w:r>
      <w:r>
        <w:t xml:space="preserve">and </w:t>
      </w:r>
      <w:r w:rsidR="003128D8">
        <w:t>also argued</w:t>
      </w:r>
      <w:r w:rsidR="00F85C45">
        <w:t xml:space="preserve"> </w:t>
      </w:r>
      <w:r w:rsidR="00F85C45" w:rsidRPr="003B2CED">
        <w:rPr>
          <w:szCs w:val="22"/>
        </w:rPr>
        <w:t>that the Commission failed to co</w:t>
      </w:r>
      <w:r w:rsidR="00F85C45">
        <w:rPr>
          <w:szCs w:val="22"/>
        </w:rPr>
        <w:t xml:space="preserve">nsider actual alternatives, </w:t>
      </w:r>
      <w:r w:rsidR="00F85C45" w:rsidRPr="003B2CED">
        <w:rPr>
          <w:szCs w:val="22"/>
        </w:rPr>
        <w:t xml:space="preserve">failed to include small organizations in the </w:t>
      </w:r>
      <w:r w:rsidR="00F85C45">
        <w:rPr>
          <w:szCs w:val="22"/>
        </w:rPr>
        <w:t xml:space="preserve">IRFA, and that the </w:t>
      </w:r>
      <w:r w:rsidR="00F85C45">
        <w:rPr>
          <w:color w:val="000000"/>
          <w:spacing w:val="-2"/>
          <w:szCs w:val="22"/>
        </w:rPr>
        <w:t>FRFA provided an analysis of the tentative conclusions set forth in the Initial Regulatory Flexibility Analysis (“IRFA”) rather than the rules adopted</w:t>
      </w:r>
      <w:r w:rsidR="00F85C45">
        <w:rPr>
          <w:szCs w:val="22"/>
        </w:rPr>
        <w:t xml:space="preserve">.  First, as discussed in the attached Order on Reconsideration, the Commission disagrees that it failed to consider alternatives.  The Commission determined </w:t>
      </w:r>
      <w:r w:rsidR="00F85C45">
        <w:t xml:space="preserve">that since the findings in the </w:t>
      </w:r>
      <w:r w:rsidR="00F85C45">
        <w:rPr>
          <w:i/>
        </w:rPr>
        <w:t>Second Report and Order</w:t>
      </w:r>
      <w:r w:rsidR="00F85C45">
        <w:t xml:space="preserve"> were matters of statutory interpretation, the result was statutorily mandated regardless of the RFA analysis</w:t>
      </w:r>
      <w:r w:rsidR="00A33D49">
        <w:t>, and that</w:t>
      </w:r>
      <w:r w:rsidR="000C01CF">
        <w:t>,</w:t>
      </w:r>
      <w:r w:rsidR="00A33D49">
        <w:t xml:space="preserve"> therefore, no </w:t>
      </w:r>
      <w:r w:rsidR="00205866">
        <w:t xml:space="preserve">meaningful </w:t>
      </w:r>
      <w:r w:rsidR="00A33D49">
        <w:t>alternatives existed</w:t>
      </w:r>
      <w:r w:rsidR="00F85C45">
        <w:t xml:space="preserve">.  </w:t>
      </w:r>
      <w:r w:rsidR="00A33D49">
        <w:t xml:space="preserve">Regarding NATOA’s argument that the Commission failed to include small organizations in the IRFA, we find that </w:t>
      </w:r>
      <w:r w:rsidR="00F85C45">
        <w:t xml:space="preserve">the IRFA and FRFA discuss the economic impact on small entities, including small government jurisdictions.  </w:t>
      </w:r>
      <w:r w:rsidR="00A33D49">
        <w:t xml:space="preserve">While </w:t>
      </w:r>
      <w:r w:rsidR="00F85C45">
        <w:t>NATOA argues that the Commission should also consider PEG channel operations</w:t>
      </w:r>
      <w:r w:rsidR="00A33D49">
        <w:t>,</w:t>
      </w:r>
      <w:r w:rsidR="00F85C45">
        <w:rPr>
          <w:rStyle w:val="FootnoteReference"/>
        </w:rPr>
        <w:footnoteReference w:id="90"/>
      </w:r>
      <w:r w:rsidR="00F85C45">
        <w:t xml:space="preserve"> NATOA’s filing does not indicate the extent that these entities do not fall within the small government and small cable operator</w:t>
      </w:r>
      <w:r w:rsidR="000C01CF">
        <w:t xml:space="preserve"> categories</w:t>
      </w:r>
      <w:r w:rsidR="00F85C45">
        <w:t xml:space="preserve">.  The Commission does not routinely break out small entities to such a </w:t>
      </w:r>
      <w:r w:rsidR="001F5E8B">
        <w:t>detailed</w:t>
      </w:r>
      <w:r w:rsidR="00F85C45">
        <w:t xml:space="preserve"> level, and during the IRFA comment phase, no commenter suggested that further entities should be additionally considered in the analysis.</w:t>
      </w:r>
      <w:r w:rsidR="00A33D49">
        <w:t xml:space="preserve">  F</w:t>
      </w:r>
      <w:r w:rsidR="003128D8">
        <w:t>inally, we agree with NATOA</w:t>
      </w:r>
      <w:r w:rsidR="00A33D49">
        <w:t xml:space="preserve"> </w:t>
      </w:r>
      <w:r w:rsidR="00A33D49">
        <w:rPr>
          <w:color w:val="000000"/>
          <w:spacing w:val="-2"/>
          <w:szCs w:val="22"/>
        </w:rPr>
        <w:t>that</w:t>
      </w:r>
      <w:r w:rsidR="00A33D49">
        <w:t xml:space="preserve">, rather than completing an analysis of the rules adopted, the analysis was inadvertently based on the tentative conclusions presented in the Initial Regulatory Flexibility Analysis, set forth in Appendix C of the </w:t>
      </w:r>
      <w:r w:rsidR="00A33D49">
        <w:rPr>
          <w:i/>
        </w:rPr>
        <w:t>First Report and Order and Further Notice of Proposed Rulemaking</w:t>
      </w:r>
      <w:r w:rsidR="00A33D49">
        <w:t xml:space="preserve">, instead of the rules adopted in the </w:t>
      </w:r>
      <w:r w:rsidR="00A33D49" w:rsidRPr="003B2CED">
        <w:rPr>
          <w:i/>
          <w:szCs w:val="22"/>
        </w:rPr>
        <w:t>Second Report and Order</w:t>
      </w:r>
      <w:r w:rsidR="00A33D49">
        <w:t>.</w:t>
      </w:r>
      <w:r w:rsidR="00A33D49">
        <w:rPr>
          <w:rStyle w:val="FootnoteCharacters"/>
          <w:color w:val="000000"/>
          <w:spacing w:val="-2"/>
          <w:szCs w:val="22"/>
        </w:rPr>
        <w:footnoteReference w:id="91"/>
      </w:r>
      <w:r w:rsidR="00A33D49">
        <w:t xml:space="preserve">  In order to comply with the mandates of the Regulatory Flexibility Act, we are submitting this Supplemental Final Regulatory Flexibility Analysis to correctly reflect the rules adopted in the </w:t>
      </w:r>
      <w:r w:rsidR="00A33D49" w:rsidRPr="003B2CED">
        <w:rPr>
          <w:i/>
          <w:szCs w:val="22"/>
        </w:rPr>
        <w:t>Second Report and Order</w:t>
      </w:r>
      <w:r w:rsidR="00A33D49">
        <w:rPr>
          <w:i/>
          <w:szCs w:val="22"/>
        </w:rPr>
        <w:t>.</w:t>
      </w:r>
    </w:p>
    <w:p w:rsidR="00A404EE" w:rsidRDefault="00A404EE" w:rsidP="005C7C81">
      <w:pPr>
        <w:pStyle w:val="Heading2"/>
      </w:pPr>
      <w:r w:rsidRPr="006C30D2">
        <w:t>Description</w:t>
      </w:r>
      <w:r>
        <w:t xml:space="preserve"> and Estimate of the Number of Small Entities to Which the Rules Will Apply</w:t>
      </w:r>
    </w:p>
    <w:p w:rsidR="00A404EE" w:rsidRDefault="00A404EE" w:rsidP="0012401B">
      <w:pPr>
        <w:pStyle w:val="ParaNum"/>
        <w:numPr>
          <w:ilvl w:val="0"/>
          <w:numId w:val="3"/>
        </w:numPr>
      </w:pPr>
      <w:r>
        <w:t>The RFA directs the Commission to provide a description of and, where feasible, an estimate of the number of small entities that will be affected by the rules adopted herein.</w:t>
      </w:r>
      <w:r>
        <w:rPr>
          <w:rStyle w:val="FootnoteCharacters"/>
          <w:color w:val="000000"/>
          <w:spacing w:val="-2"/>
          <w:szCs w:val="22"/>
        </w:rPr>
        <w:footnoteReference w:id="92"/>
      </w:r>
      <w:r>
        <w:t xml:space="preserve">  The RFA generally defines the term “small entity” as having the same meaning as the terms “small business,” “small </w:t>
      </w:r>
      <w:r w:rsidRPr="006C0D30">
        <w:t>organization</w:t>
      </w:r>
      <w:r>
        <w:t>,” and “small government jurisdiction.”</w:t>
      </w:r>
      <w:r>
        <w:rPr>
          <w:rStyle w:val="FootnoteCharacters"/>
          <w:color w:val="000000"/>
          <w:spacing w:val="-2"/>
          <w:szCs w:val="22"/>
        </w:rPr>
        <w:footnoteReference w:id="93"/>
      </w:r>
      <w:r>
        <w:t xml:space="preserve">  In addition, the term “small business” has the same meaning as the term “small business concern” under the Small Business Act.</w:t>
      </w:r>
      <w:r>
        <w:rPr>
          <w:rStyle w:val="FootnoteCharacters"/>
          <w:color w:val="000000"/>
          <w:spacing w:val="-2"/>
          <w:szCs w:val="22"/>
        </w:rPr>
        <w:footnoteReference w:id="94"/>
      </w:r>
      <w:r>
        <w:t xml:space="preserve">  A small business concern is one which: (1) is independently owned and operated; (2) is not dominant in its field of operation; and (3) satisfies any additional criteria established by the Small Business Administration (SBA).</w:t>
      </w:r>
      <w:r>
        <w:rPr>
          <w:rStyle w:val="FootnoteCharacters"/>
          <w:color w:val="000000"/>
          <w:spacing w:val="-2"/>
          <w:szCs w:val="22"/>
        </w:rPr>
        <w:footnoteReference w:id="95"/>
      </w:r>
    </w:p>
    <w:p w:rsidR="00A404EE" w:rsidRDefault="00A404EE" w:rsidP="0012401B">
      <w:pPr>
        <w:pStyle w:val="ParaNum"/>
        <w:numPr>
          <w:ilvl w:val="0"/>
          <w:numId w:val="3"/>
        </w:numPr>
      </w:pPr>
      <w:r>
        <w:t>The rules adopted by th</w:t>
      </w:r>
      <w:r w:rsidR="00133865">
        <w:t>e</w:t>
      </w:r>
      <w:r>
        <w:t xml:space="preserve"> </w:t>
      </w:r>
      <w:r>
        <w:rPr>
          <w:i/>
        </w:rPr>
        <w:t>Order</w:t>
      </w:r>
      <w:r>
        <w:t xml:space="preserve"> will streamline the local franchising process by adopting rules that provide guidance as to the applicability of prior findings in this proceeding to incumbents and the limitations on the Commission’s authority regarding customer service regulations.  The Commission has determined that the group of small entities directly affected by the rules adopted </w:t>
      </w:r>
      <w:r w:rsidRPr="006C0D30">
        <w:t>herein</w:t>
      </w:r>
      <w:r>
        <w:t xml:space="preserve"> consists of small governmental entities (which, in some cases, may be represented in the local franchising process by not-for-profit enterprises).  Therefore, in this SFRFA, we consider the impact of the rules on small governmental entities.  A description of such small entities, as well as an estimate of the number of such small entities, is provided below.</w:t>
      </w:r>
    </w:p>
    <w:p w:rsidR="00B318CE" w:rsidRPr="00826C5C" w:rsidRDefault="00B318CE" w:rsidP="0012401B">
      <w:pPr>
        <w:pStyle w:val="ParaNum"/>
        <w:widowControl/>
        <w:numPr>
          <w:ilvl w:val="0"/>
          <w:numId w:val="3"/>
        </w:numPr>
      </w:pPr>
      <w:r w:rsidRPr="0053409E">
        <w:rPr>
          <w:i/>
        </w:rPr>
        <w:t xml:space="preserve">Small Businesses, Small Organizations, and Small Governmental Jurisdictions. </w:t>
      </w:r>
      <w:r>
        <w:rPr>
          <w:b/>
        </w:rPr>
        <w:t xml:space="preserve"> </w:t>
      </w:r>
      <w:r w:rsidRPr="00826C5C">
        <w:t>Our action may, over time, affect small entities that are not easily categorized at present.  We therefore describe here, at the outset, three comprehensive, statutory small entity size standards</w:t>
      </w:r>
      <w:r>
        <w:t xml:space="preserve"> that encompass entities that could be directly affected by the proposals under consideration</w:t>
      </w:r>
      <w:r w:rsidRPr="00826C5C">
        <w:t>.</w:t>
      </w:r>
      <w:r w:rsidRPr="00826C5C">
        <w:rPr>
          <w:szCs w:val="22"/>
          <w:vertAlign w:val="superscript"/>
        </w:rPr>
        <w:footnoteReference w:id="96"/>
      </w:r>
      <w:r>
        <w:t xml:space="preserve">  As of 2009, small businesses represented 99.9% of </w:t>
      </w:r>
      <w:r w:rsidRPr="007C4771">
        <w:rPr>
          <w:color w:val="000000"/>
          <w:spacing w:val="-2"/>
          <w:szCs w:val="22"/>
        </w:rPr>
        <w:t>the</w:t>
      </w:r>
      <w:r>
        <w:t xml:space="preserve"> 27.5 million </w:t>
      </w:r>
      <w:r w:rsidRPr="00826C5C">
        <w:rPr>
          <w:szCs w:val="22"/>
        </w:rPr>
        <w:t>businesses</w:t>
      </w:r>
      <w:r>
        <w:rPr>
          <w:szCs w:val="22"/>
        </w:rPr>
        <w:t xml:space="preserve"> in the </w:t>
      </w:r>
      <w:smartTag w:uri="urn:schemas-microsoft-com:office:smarttags" w:element="place">
        <w:smartTag w:uri="urn:schemas-microsoft-com:office:smarttags" w:element="country-region">
          <w:r>
            <w:rPr>
              <w:szCs w:val="22"/>
            </w:rPr>
            <w:t>United States</w:t>
          </w:r>
        </w:smartTag>
      </w:smartTag>
      <w:r w:rsidRPr="00826C5C">
        <w:rPr>
          <w:szCs w:val="22"/>
        </w:rPr>
        <w:t>, according to the SBA.</w:t>
      </w:r>
      <w:r w:rsidRPr="00826C5C">
        <w:rPr>
          <w:szCs w:val="22"/>
          <w:vertAlign w:val="superscript"/>
        </w:rPr>
        <w:footnoteReference w:id="97"/>
      </w:r>
      <w:r>
        <w:rPr>
          <w:szCs w:val="22"/>
        </w:rPr>
        <w:t xml:space="preserve">  </w:t>
      </w:r>
      <w:r>
        <w:t xml:space="preserve">Additionally, a </w:t>
      </w:r>
      <w:r w:rsidRPr="00826C5C">
        <w:t>“small organization” is generally “any not-for-profit enterprise which is independently owne</w:t>
      </w:r>
      <w:r w:rsidRPr="00826C5C">
        <w:rPr>
          <w:iCs/>
        </w:rPr>
        <w:t>d and operated and is not dominant in its field.”</w:t>
      </w:r>
      <w:r w:rsidRPr="00826C5C">
        <w:rPr>
          <w:iCs/>
          <w:szCs w:val="22"/>
          <w:vertAlign w:val="superscript"/>
        </w:rPr>
        <w:footnoteReference w:id="98"/>
      </w:r>
      <w:r w:rsidRPr="00826C5C">
        <w:rPr>
          <w:iCs/>
        </w:rPr>
        <w:t xml:space="preserve">  Nationwide, as of 2007, there were approximately 1,621,315 small organizations.</w:t>
      </w:r>
      <w:r w:rsidRPr="00826C5C">
        <w:rPr>
          <w:iCs/>
          <w:szCs w:val="22"/>
          <w:vertAlign w:val="superscript"/>
        </w:rPr>
        <w:footnoteReference w:id="99"/>
      </w:r>
      <w:r w:rsidRPr="00826C5C">
        <w:rPr>
          <w:iCs/>
        </w:rPr>
        <w:t xml:space="preserve">  Finally, the term “small governmenta</w:t>
      </w:r>
      <w:r w:rsidRPr="00826C5C">
        <w:t>l</w:t>
      </w:r>
      <w:r w:rsidRPr="00826C5C">
        <w:rPr>
          <w:iCs/>
        </w:rPr>
        <w:t xml:space="preserve"> jurisdiction” is defined generally as “governments of cities, </w:t>
      </w:r>
      <w:r>
        <w:rPr>
          <w:iCs/>
        </w:rPr>
        <w:t xml:space="preserve">counties, </w:t>
      </w:r>
      <w:r w:rsidRPr="00826C5C">
        <w:rPr>
          <w:iCs/>
        </w:rPr>
        <w:t>towns, townships, villages, school districts, or special districts, with a population of less than fifty thousand.”</w:t>
      </w:r>
      <w:r w:rsidRPr="00826C5C">
        <w:rPr>
          <w:iCs/>
          <w:szCs w:val="22"/>
          <w:vertAlign w:val="superscript"/>
        </w:rPr>
        <w:footnoteReference w:id="100"/>
      </w:r>
      <w:r w:rsidRPr="00826C5C">
        <w:rPr>
          <w:iCs/>
        </w:rPr>
        <w:t xml:space="preserve">  Census Bureau data for 20</w:t>
      </w:r>
      <w:r>
        <w:rPr>
          <w:iCs/>
        </w:rPr>
        <w:t>07</w:t>
      </w:r>
      <w:r w:rsidRPr="00826C5C">
        <w:rPr>
          <w:iCs/>
        </w:rPr>
        <w:t xml:space="preserve"> indicate that there</w:t>
      </w:r>
      <w:r w:rsidRPr="00826C5C">
        <w:t xml:space="preserve"> were 89,</w:t>
      </w:r>
      <w:r>
        <w:t>527</w:t>
      </w:r>
      <w:r w:rsidRPr="00826C5C">
        <w:t xml:space="preserve"> governmental jurisdictions in the </w:t>
      </w:r>
      <w:smartTag w:uri="urn:schemas-microsoft-com:office:smarttags" w:element="place">
        <w:smartTag w:uri="urn:schemas-microsoft-com:office:smarttags" w:element="country-region">
          <w:r w:rsidRPr="00826C5C">
            <w:t>United States</w:t>
          </w:r>
        </w:smartTag>
      </w:smartTag>
      <w:r w:rsidRPr="00826C5C">
        <w:t>.</w:t>
      </w:r>
      <w:r w:rsidRPr="00826C5C">
        <w:rPr>
          <w:szCs w:val="22"/>
          <w:vertAlign w:val="superscript"/>
        </w:rPr>
        <w:footnoteReference w:id="101"/>
      </w:r>
      <w:r w:rsidRPr="00826C5C">
        <w:t xml:space="preserve">  We estimate that</w:t>
      </w:r>
      <w:r>
        <w:t>, of this total, as many as 88,761</w:t>
      </w:r>
      <w:r w:rsidRPr="00826C5C">
        <w:t xml:space="preserve"> entities may qualify as “small governmental jurisdictions.”</w:t>
      </w:r>
      <w:r w:rsidRPr="00826C5C">
        <w:rPr>
          <w:szCs w:val="22"/>
          <w:vertAlign w:val="superscript"/>
        </w:rPr>
        <w:footnoteReference w:id="102"/>
      </w:r>
      <w:r w:rsidRPr="00826C5C">
        <w:t xml:space="preserve">  Thus, we estimate that most governmental jurisdictions are small.</w:t>
      </w:r>
    </w:p>
    <w:p w:rsidR="000C5F7B" w:rsidRDefault="00A404EE" w:rsidP="0012401B">
      <w:pPr>
        <w:pStyle w:val="ParaNum"/>
        <w:numPr>
          <w:ilvl w:val="0"/>
          <w:numId w:val="3"/>
        </w:numPr>
      </w:pPr>
      <w:r w:rsidRPr="000C5F7B">
        <w:rPr>
          <w:i/>
        </w:rPr>
        <w:t xml:space="preserve">Cable and Other </w:t>
      </w:r>
      <w:r w:rsidR="000C5F7B">
        <w:rPr>
          <w:i/>
        </w:rPr>
        <w:t xml:space="preserve">Subscription Programming.  </w:t>
      </w:r>
      <w:r w:rsidR="000C5F7B" w:rsidRPr="000C5F7B">
        <w:t xml:space="preserve">The Census Bureau defines this category as follows: “This industry comprises establishments primarily engaged in operating studios and facilities for the broadcasting of programs on a subscription or fee basis….  These establishments produce programming in their own facilities or acquire programming from external sources.  The programming material is usually delivered to a third </w:t>
      </w:r>
      <w:r w:rsidR="000C5F7B" w:rsidRPr="007C4771">
        <w:rPr>
          <w:color w:val="000000"/>
          <w:spacing w:val="-2"/>
          <w:szCs w:val="22"/>
        </w:rPr>
        <w:t>party</w:t>
      </w:r>
      <w:r w:rsidR="000C5F7B" w:rsidRPr="000C5F7B">
        <w:t>, such as cable systems or direct-to-home satellite systems, for transmission to viewers.”</w:t>
      </w:r>
      <w:r w:rsidR="000C5F7B" w:rsidRPr="000C5F7B">
        <w:rPr>
          <w:vertAlign w:val="superscript"/>
        </w:rPr>
        <w:footnoteReference w:id="103"/>
      </w:r>
      <w:r w:rsidR="000C5F7B" w:rsidRPr="000C5F7B">
        <w:t xml:space="preserve">  The SBA has developed a small business size standard for this category, which is:  all such businesses having $</w:t>
      </w:r>
      <w:r w:rsidR="00B318CE" w:rsidRPr="000C5F7B">
        <w:t>3</w:t>
      </w:r>
      <w:r w:rsidR="00B318CE">
        <w:t>8</w:t>
      </w:r>
      <w:r w:rsidR="000C5F7B" w:rsidRPr="000C5F7B">
        <w:t>.5 million or less in annual revenues.</w:t>
      </w:r>
      <w:r w:rsidR="000C5F7B" w:rsidRPr="000C5F7B">
        <w:rPr>
          <w:vertAlign w:val="superscript"/>
        </w:rPr>
        <w:footnoteReference w:id="104"/>
      </w:r>
      <w:r w:rsidR="000C5F7B" w:rsidRPr="000C5F7B">
        <w:t xml:space="preserve">  Census data for 2007 shows that there were </w:t>
      </w:r>
      <w:r w:rsidR="00B318CE">
        <w:t>396 firms</w:t>
      </w:r>
      <w:r w:rsidR="000C5F7B" w:rsidRPr="000C5F7B">
        <w:t xml:space="preserve"> that operated for the entire year.</w:t>
      </w:r>
      <w:r w:rsidR="000C5F7B" w:rsidRPr="000C5F7B">
        <w:rPr>
          <w:vertAlign w:val="superscript"/>
        </w:rPr>
        <w:footnoteReference w:id="105"/>
      </w:r>
      <w:r w:rsidR="000C5F7B" w:rsidRPr="000C5F7B">
        <w:t xml:space="preserve">  Of that number, </w:t>
      </w:r>
      <w:r w:rsidR="00B318CE">
        <w:t>349</w:t>
      </w:r>
      <w:r w:rsidR="00B318CE" w:rsidRPr="000C5F7B">
        <w:t xml:space="preserve"> </w:t>
      </w:r>
      <w:r w:rsidR="000C5F7B" w:rsidRPr="000C5F7B">
        <w:t xml:space="preserve">operated with annual revenues </w:t>
      </w:r>
      <w:r w:rsidR="00B318CE">
        <w:t>below</w:t>
      </w:r>
      <w:r w:rsidR="000C5F7B" w:rsidRPr="000C5F7B">
        <w:t xml:space="preserve"> $</w:t>
      </w:r>
      <w:r w:rsidR="00B318CE">
        <w:t>25</w:t>
      </w:r>
      <w:r w:rsidR="000C5F7B" w:rsidRPr="000C5F7B">
        <w:t xml:space="preserve"> million, and </w:t>
      </w:r>
      <w:r w:rsidR="00B318CE">
        <w:t>47</w:t>
      </w:r>
      <w:r w:rsidR="00B318CE" w:rsidRPr="000C5F7B">
        <w:t xml:space="preserve"> </w:t>
      </w:r>
      <w:r w:rsidR="000C5F7B" w:rsidRPr="000C5F7B">
        <w:t>operated with annual revenues of $</w:t>
      </w:r>
      <w:r w:rsidR="00B318CE">
        <w:t>25</w:t>
      </w:r>
      <w:r w:rsidR="00B318CE" w:rsidRPr="000C5F7B">
        <w:t xml:space="preserve"> </w:t>
      </w:r>
      <w:r w:rsidR="000C5F7B" w:rsidRPr="000C5F7B">
        <w:t>million or more.</w:t>
      </w:r>
      <w:r w:rsidR="000C5F7B" w:rsidRPr="000C5F7B">
        <w:rPr>
          <w:vertAlign w:val="superscript"/>
        </w:rPr>
        <w:footnoteReference w:id="106"/>
      </w:r>
      <w:r w:rsidR="000C5F7B" w:rsidRPr="000C5F7B">
        <w:t xml:space="preserve">  Therefore, under this size standard, the majority of such businesses can be considered small</w:t>
      </w:r>
      <w:r w:rsidR="000C5F7B">
        <w:t>.</w:t>
      </w:r>
    </w:p>
    <w:p w:rsidR="00A404EE" w:rsidRDefault="00A404EE" w:rsidP="0012401B">
      <w:pPr>
        <w:pStyle w:val="ParaNum"/>
        <w:numPr>
          <w:ilvl w:val="0"/>
          <w:numId w:val="3"/>
        </w:numPr>
      </w:pPr>
      <w:r w:rsidRPr="000C5F7B">
        <w:rPr>
          <w:i/>
        </w:rPr>
        <w:t xml:space="preserve">Cable </w:t>
      </w:r>
      <w:r w:rsidRPr="000C5F7B">
        <w:rPr>
          <w:i/>
          <w:szCs w:val="22"/>
        </w:rPr>
        <w:t>Companies</w:t>
      </w:r>
      <w:r w:rsidRPr="000C5F7B">
        <w:rPr>
          <w:i/>
        </w:rPr>
        <w:t xml:space="preserve"> and Systems.</w:t>
      </w:r>
      <w:r>
        <w:t xml:space="preserve"> </w:t>
      </w:r>
      <w:r w:rsidR="000C5F7B" w:rsidRPr="000C5F7B">
        <w:t>The Commission has also developed its own small business size standards, for the purpose of cable rate regulation.  Under the Commission’s rate regulation rules, a “small cable company” is one serving 400,000 or fewer subscribers, nationwide.</w:t>
      </w:r>
      <w:r w:rsidR="000C5F7B" w:rsidRPr="000C5F7B">
        <w:rPr>
          <w:vertAlign w:val="superscript"/>
        </w:rPr>
        <w:footnoteReference w:id="107"/>
      </w:r>
      <w:r w:rsidR="000C5F7B" w:rsidRPr="000C5F7B">
        <w:t xml:space="preserve">  According to SNL Kagan, there are 1,258 cable operators.</w:t>
      </w:r>
      <w:r w:rsidR="000C5F7B" w:rsidRPr="000C5F7B">
        <w:rPr>
          <w:vertAlign w:val="superscript"/>
        </w:rPr>
        <w:footnoteReference w:id="108"/>
      </w:r>
      <w:r w:rsidR="000C5F7B" w:rsidRPr="000C5F7B">
        <w:t xml:space="preserve">  Of this total, all but 10 incumbent cable companies are small under this size standard.</w:t>
      </w:r>
      <w:r w:rsidR="000C5F7B" w:rsidRPr="000C5F7B">
        <w:rPr>
          <w:vertAlign w:val="superscript"/>
        </w:rPr>
        <w:footnoteReference w:id="109"/>
      </w:r>
      <w:r w:rsidR="000C5F7B" w:rsidRPr="000C5F7B">
        <w:t xml:space="preserve">  In addition, under the Commission’s rules, a “small system” is a cable system serving 15,000 or fewer subscribers.</w:t>
      </w:r>
      <w:r w:rsidR="000C5F7B" w:rsidRPr="000C5F7B">
        <w:rPr>
          <w:vertAlign w:val="superscript"/>
        </w:rPr>
        <w:footnoteReference w:id="110"/>
      </w:r>
      <w:r w:rsidR="000C5F7B" w:rsidRPr="000C5F7B">
        <w:t xml:space="preserve">  Current Commission records show 4,584 cable systems nationwide.</w:t>
      </w:r>
      <w:r w:rsidR="000C5F7B" w:rsidRPr="000C5F7B">
        <w:rPr>
          <w:vertAlign w:val="superscript"/>
        </w:rPr>
        <w:footnoteReference w:id="111"/>
      </w:r>
      <w:r w:rsidR="000C5F7B" w:rsidRPr="000C5F7B">
        <w:t xml:space="preserve">  Of this total, 4,012 cable systems have fewer than 20,000 subscribers, and 572 systems have 20,000 subscribers or more, based on the same records.  Thus, under this standard, we estimate that most cable systems are small.</w:t>
      </w:r>
    </w:p>
    <w:p w:rsidR="00A404EE" w:rsidRDefault="00A404EE" w:rsidP="0012401B">
      <w:pPr>
        <w:pStyle w:val="ParaNum"/>
        <w:numPr>
          <w:ilvl w:val="0"/>
          <w:numId w:val="3"/>
        </w:numPr>
      </w:pPr>
      <w:r>
        <w:rPr>
          <w:i/>
          <w:color w:val="000000"/>
          <w:spacing w:val="-2"/>
        </w:rPr>
        <w:t>Cable</w:t>
      </w:r>
      <w:r>
        <w:rPr>
          <w:i/>
        </w:rPr>
        <w:t xml:space="preserve"> System Operators</w:t>
      </w:r>
      <w:r w:rsidR="000C5F7B">
        <w:rPr>
          <w:i/>
        </w:rPr>
        <w:t xml:space="preserve"> </w:t>
      </w:r>
      <w:r w:rsidR="000C5F7B">
        <w:t>(Telecom Act Standard)</w:t>
      </w:r>
      <w:r>
        <w:t>.</w:t>
      </w:r>
      <w:r>
        <w:rPr>
          <w:b/>
        </w:rPr>
        <w:t xml:space="preserve">  </w:t>
      </w:r>
      <w:r>
        <w:t xml:space="preserve">The Communications Act of 1934, as amended, also contains a size standard for small cable system operators, which is “a cable operator that, directly or through an affiliate, serves in the aggregate fewer than 1 percent of all subscribers in the United States and is not </w:t>
      </w:r>
      <w:r w:rsidRPr="006C30D2">
        <w:rPr>
          <w:color w:val="000000"/>
          <w:spacing w:val="-2"/>
          <w:szCs w:val="22"/>
        </w:rPr>
        <w:t>affiliated</w:t>
      </w:r>
      <w:r>
        <w:t xml:space="preserve"> with any entity or entities whose gross annual revenues in the aggregate exceed $250,000,000.”</w:t>
      </w:r>
      <w:r>
        <w:rPr>
          <w:rStyle w:val="FootnoteCharacters"/>
        </w:rPr>
        <w:footnoteReference w:id="112"/>
      </w:r>
      <w: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rStyle w:val="FootnoteCharacters"/>
        </w:rPr>
        <w:footnoteReference w:id="113"/>
      </w:r>
      <w:r>
        <w:t xml:space="preserve">  Industry data indicate that, of 1,076</w:t>
      </w:r>
      <w:r w:rsidR="00766F9B">
        <w:t>994</w:t>
      </w:r>
      <w:r>
        <w:t xml:space="preserve"> cable operators nationwide, all but </w:t>
      </w:r>
      <w:r w:rsidR="00766F9B">
        <w:t xml:space="preserve">13 </w:t>
      </w:r>
      <w:r>
        <w:t xml:space="preserve">are small under </w:t>
      </w:r>
      <w:r>
        <w:rPr>
          <w:color w:val="000000"/>
          <w:spacing w:val="-2"/>
        </w:rPr>
        <w:t>this</w:t>
      </w:r>
      <w:r>
        <w:t xml:space="preserve"> size standard.</w:t>
      </w:r>
      <w:r>
        <w:rPr>
          <w:rStyle w:val="FootnoteCharacters"/>
        </w:rPr>
        <w:footnoteReference w:id="114"/>
      </w:r>
      <w:r>
        <w:t xml:space="preserve">  We note that the Commission neither requests nor collects information on whether cable system operators are affiliated with entities whose gross annual revenues exceed $250 million,</w:t>
      </w:r>
      <w:r>
        <w:rPr>
          <w:rStyle w:val="FootnoteCharacters"/>
        </w:rPr>
        <w:footnoteReference w:id="115"/>
      </w:r>
      <w:r>
        <w:t xml:space="preserve"> and therefore we are unable to estimate more accurately the number of cable system operators that would qualify as small under this size standard.</w:t>
      </w:r>
    </w:p>
    <w:p w:rsidR="00A404EE" w:rsidRDefault="00A404EE" w:rsidP="0012401B">
      <w:pPr>
        <w:pStyle w:val="ParaNum"/>
        <w:numPr>
          <w:ilvl w:val="0"/>
          <w:numId w:val="3"/>
        </w:numPr>
      </w:pPr>
      <w:r>
        <w:rPr>
          <w:i/>
        </w:rPr>
        <w:t>Open Video Systems (“OVS”).</w:t>
      </w:r>
      <w:r>
        <w:t xml:space="preserve">  </w:t>
      </w:r>
      <w:r w:rsidR="00A24E02" w:rsidRPr="00A24E02">
        <w:t>The open video system (OVS) framework was established in 1996, and is one of four statutorily recognized options for the provision of video programming services by local exchange carriers.</w:t>
      </w:r>
      <w:r w:rsidR="00A24E02" w:rsidRPr="00A24E02">
        <w:rPr>
          <w:sz w:val="20"/>
          <w:vertAlign w:val="superscript"/>
        </w:rPr>
        <w:footnoteReference w:id="116"/>
      </w:r>
      <w:r w:rsidR="00A24E02">
        <w:t xml:space="preserve">  </w:t>
      </w:r>
      <w:r>
        <w:t xml:space="preserve">The OVS framework provides opportunities for the distribution of video programming other than through cable systems.  </w:t>
      </w:r>
      <w:r w:rsidR="00A24E02" w:rsidRPr="00A24E02">
        <w:t>Because OVS operators provide subscription services,</w:t>
      </w:r>
      <w:r w:rsidR="00A24E02" w:rsidRPr="00A24E02">
        <w:rPr>
          <w:sz w:val="20"/>
          <w:vertAlign w:val="superscript"/>
        </w:rPr>
        <w:footnoteReference w:id="117"/>
      </w:r>
      <w:r w:rsidR="00A24E02" w:rsidRPr="00A24E02">
        <w:t xml:space="preserve"> OVS falls within the SBA small business size standard covering cable services, which is Wired Telecommunications Carriers.</w:t>
      </w:r>
      <w:r w:rsidR="00A24E02" w:rsidRPr="00A24E02">
        <w:rPr>
          <w:sz w:val="20"/>
          <w:vertAlign w:val="superscript"/>
        </w:rPr>
        <w:footnoteReference w:id="118"/>
      </w:r>
      <w:r w:rsidR="00A24E02" w:rsidRPr="00A24E02">
        <w:t xml:space="preserve">  The SBA has developed a small business size standard for this category, which is:  all such businesses having 1,500 or fewer employees.</w:t>
      </w:r>
      <w:r w:rsidR="00A24E02" w:rsidRPr="00A24E02">
        <w:rPr>
          <w:sz w:val="20"/>
          <w:vertAlign w:val="superscript"/>
        </w:rPr>
        <w:footnoteReference w:id="119"/>
      </w:r>
      <w:r w:rsidR="00A24E02" w:rsidRPr="00A24E02">
        <w:t xml:space="preserve">  Census data for 2007 shows that there were </w:t>
      </w:r>
      <w:r w:rsidR="008518DE">
        <w:t>3,188 firms</w:t>
      </w:r>
      <w:r w:rsidR="00A24E02" w:rsidRPr="00A24E02">
        <w:t xml:space="preserve"> that operated that year.</w:t>
      </w:r>
      <w:r w:rsidR="00A24E02" w:rsidRPr="00A24E02">
        <w:rPr>
          <w:sz w:val="20"/>
          <w:vertAlign w:val="superscript"/>
        </w:rPr>
        <w:footnoteReference w:id="120"/>
      </w:r>
      <w:r w:rsidR="00A24E02" w:rsidRPr="00A24E02">
        <w:t xml:space="preserve">  Of this total, </w:t>
      </w:r>
      <w:r w:rsidR="008518DE">
        <w:t>3,144</w:t>
      </w:r>
      <w:r w:rsidR="00A24E02" w:rsidRPr="00A24E02">
        <w:t xml:space="preserve"> </w:t>
      </w:r>
      <w:r w:rsidR="008518DE">
        <w:t xml:space="preserve">firms </w:t>
      </w:r>
      <w:r w:rsidR="00A24E02" w:rsidRPr="00A24E02">
        <w:t>had fewer than 1</w:t>
      </w:r>
      <w:r w:rsidR="008518DE">
        <w:t>,</w:t>
      </w:r>
      <w:r w:rsidR="00A24E02" w:rsidRPr="00A24E02">
        <w:t>00</w:t>
      </w:r>
      <w:r w:rsidR="008518DE">
        <w:t>0</w:t>
      </w:r>
      <w:r w:rsidR="00A24E02" w:rsidRPr="00A24E02">
        <w:t xml:space="preserve"> employees, and </w:t>
      </w:r>
      <w:r w:rsidR="008518DE">
        <w:t>44</w:t>
      </w:r>
      <w:r w:rsidR="00A24E02" w:rsidRPr="00A24E02">
        <w:t xml:space="preserve"> had 1</w:t>
      </w:r>
      <w:r w:rsidR="008518DE">
        <w:t>,</w:t>
      </w:r>
      <w:r w:rsidR="00A24E02" w:rsidRPr="00A24E02">
        <w:t>00</w:t>
      </w:r>
      <w:r w:rsidR="008518DE">
        <w:t>0</w:t>
      </w:r>
      <w:r w:rsidR="00A24E02" w:rsidRPr="00A24E02">
        <w:t xml:space="preserve"> or more employees.</w:t>
      </w:r>
      <w:r w:rsidR="00A24E02" w:rsidRPr="00A24E02">
        <w:rPr>
          <w:sz w:val="20"/>
          <w:vertAlign w:val="superscript"/>
        </w:rPr>
        <w:footnoteReference w:id="121"/>
      </w:r>
      <w:r w:rsidR="00A24E02" w:rsidRPr="00A24E02">
        <w:t xml:space="preserve">  Therefore, under this size standard, we estimate that the majority of businesses can be considered small entities.  In addition, we </w:t>
      </w:r>
      <w:r w:rsidR="00A24E02" w:rsidRPr="006C0D30">
        <w:t>note</w:t>
      </w:r>
      <w:r w:rsidR="00A24E02" w:rsidRPr="00A24E02">
        <w:t xml:space="preserve"> that the Commission has certified some OVS operators, with some now providing service.</w:t>
      </w:r>
      <w:r w:rsidR="00A24E02" w:rsidRPr="00A24E02">
        <w:rPr>
          <w:sz w:val="20"/>
          <w:vertAlign w:val="superscript"/>
        </w:rPr>
        <w:footnoteReference w:id="122"/>
      </w:r>
      <w:r w:rsidR="00A24E02" w:rsidRPr="00A24E02">
        <w:t xml:space="preserve">  Broadband service providers (“BSPs”) are currently the only significant holders of OVS certifications or local OVS franchises.</w:t>
      </w:r>
      <w:r w:rsidR="00A24E02" w:rsidRPr="00A24E02">
        <w:rPr>
          <w:sz w:val="20"/>
          <w:vertAlign w:val="superscript"/>
        </w:rPr>
        <w:footnoteReference w:id="123"/>
      </w:r>
      <w:r w:rsidR="00A24E02" w:rsidRPr="00A24E02">
        <w:t xml:space="preserve">  The Commission does not have financial or employment information regarding the entities authorized to provide OVS, some of which may not yet be operational.  Thus, again, at least some of the OVS operators may qualify as small entities.</w:t>
      </w:r>
    </w:p>
    <w:p w:rsidR="00A404EE" w:rsidRDefault="00A404EE" w:rsidP="005C7C81">
      <w:pPr>
        <w:pStyle w:val="Heading2"/>
      </w:pPr>
      <w:r>
        <w:t>De</w:t>
      </w:r>
      <w:r w:rsidRPr="005C7C81">
        <w:t>s</w:t>
      </w:r>
      <w:r>
        <w:t>cription of Projected Reporting, Recordkeeping and Other Compliance Requirements.</w:t>
      </w:r>
    </w:p>
    <w:p w:rsidR="00A404EE" w:rsidRDefault="00A404EE" w:rsidP="0012401B">
      <w:pPr>
        <w:pStyle w:val="ParaNum"/>
        <w:numPr>
          <w:ilvl w:val="0"/>
          <w:numId w:val="3"/>
        </w:numPr>
      </w:pPr>
      <w:r>
        <w:t xml:space="preserve">The rule and guidance </w:t>
      </w:r>
      <w:r w:rsidRPr="006C0D30">
        <w:t>adopted</w:t>
      </w:r>
      <w:r>
        <w:t xml:space="preserve"> in the </w:t>
      </w:r>
      <w:r>
        <w:rPr>
          <w:i/>
        </w:rPr>
        <w:t>Order</w:t>
      </w:r>
      <w:r>
        <w:t xml:space="preserve"> </w:t>
      </w:r>
      <w:r w:rsidR="00A17042">
        <w:t>imposes no additional reporting or record keeping requirements, and imposes</w:t>
      </w:r>
      <w:r>
        <w:t xml:space="preserve"> </w:t>
      </w:r>
      <w:r>
        <w:rPr>
          <w:i/>
        </w:rPr>
        <w:t xml:space="preserve">de </w:t>
      </w:r>
      <w:r w:rsidR="002E15F0">
        <w:rPr>
          <w:i/>
        </w:rPr>
        <w:t>minimis</w:t>
      </w:r>
      <w:r w:rsidR="00A17042">
        <w:t xml:space="preserve"> </w:t>
      </w:r>
      <w:r>
        <w:t xml:space="preserve">other compliance requirements.  Local franchising authorities (“LFAs”) will continue to perform </w:t>
      </w:r>
      <w:r w:rsidR="00A17042">
        <w:t xml:space="preserve">their </w:t>
      </w:r>
      <w:r>
        <w:t>role of reviewing and deciding upon cable franchise applications</w:t>
      </w:r>
      <w:r w:rsidR="00A17042">
        <w:t>, as required under the Communications Act.   T</w:t>
      </w:r>
      <w:r>
        <w:t>he rules adopted in th</w:t>
      </w:r>
      <w:r w:rsidR="00133865">
        <w:t>e</w:t>
      </w:r>
      <w:r>
        <w:t xml:space="preserve"> </w:t>
      </w:r>
      <w:r>
        <w:rPr>
          <w:i/>
        </w:rPr>
        <w:t>Order</w:t>
      </w:r>
      <w:r>
        <w:t xml:space="preserve"> </w:t>
      </w:r>
      <w:r w:rsidR="00A17042">
        <w:t xml:space="preserve">limit the terms that LFAs may impose and negotiate for in those cable franchise agreements.  Because the rules limit the terms that an LFA may consider and impose in a franchise agreement, the rules </w:t>
      </w:r>
      <w:r>
        <w:t xml:space="preserve">will decrease the procedural burdens faced by LFAs.  Therefore, the rules adopted will not require any additional special skills beyond any already needed in the cable franchising context.  </w:t>
      </w:r>
    </w:p>
    <w:p w:rsidR="00A404EE" w:rsidRDefault="00A404EE" w:rsidP="005C7C81">
      <w:pPr>
        <w:pStyle w:val="Heading2"/>
      </w:pPr>
      <w:r>
        <w:t>Steps Taken to Minimize Significant Impact on Small Entities, and Significant Alternative Considered</w:t>
      </w:r>
    </w:p>
    <w:p w:rsidR="00A404EE" w:rsidRDefault="00A404EE" w:rsidP="0012401B">
      <w:pPr>
        <w:pStyle w:val="ParaNum"/>
        <w:widowControl/>
        <w:numPr>
          <w:ilvl w:val="0"/>
          <w:numId w:val="3"/>
        </w:numPr>
      </w:pPr>
      <w:r>
        <w:t xml:space="preserve">The RFA requires an agency to describe any significant alternatives that it has considered in reaching its proposed approach, </w:t>
      </w:r>
      <w:r w:rsidR="00155258">
        <w:t>which</w:t>
      </w:r>
      <w:r>
        <w:t xml:space="preserve"> may include the following four alternatives (among others): (1) the establishment of differing compliance or reporting requirements or timetables that take into </w:t>
      </w:r>
      <w:r w:rsidRPr="007C4771">
        <w:t>account</w:t>
      </w:r>
      <w:r>
        <w:t xml:space="preserve">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Characters"/>
          <w:color w:val="000000"/>
          <w:spacing w:val="-2"/>
          <w:szCs w:val="22"/>
        </w:rPr>
        <w:footnoteReference w:id="124"/>
      </w:r>
    </w:p>
    <w:p w:rsidR="008568E1" w:rsidRPr="008568E1" w:rsidRDefault="008568E1" w:rsidP="0012401B">
      <w:pPr>
        <w:pStyle w:val="ParaNum"/>
        <w:numPr>
          <w:ilvl w:val="0"/>
          <w:numId w:val="3"/>
        </w:numPr>
      </w:pPr>
      <w:r w:rsidDel="008568E1">
        <w:t xml:space="preserve"> </w:t>
      </w:r>
      <w:r w:rsidR="00A404EE">
        <w:t xml:space="preserve">In the </w:t>
      </w:r>
      <w:r w:rsidR="00A404EE" w:rsidRPr="008568E1">
        <w:rPr>
          <w:i/>
        </w:rPr>
        <w:t>FNPRM</w:t>
      </w:r>
      <w:r w:rsidR="00A404EE">
        <w:t xml:space="preserve">, the Commission sought comment on the extension of its findings in the </w:t>
      </w:r>
      <w:r w:rsidR="00A404EE">
        <w:rPr>
          <w:i/>
        </w:rPr>
        <w:t>First Report and Order</w:t>
      </w:r>
      <w:r w:rsidR="00A404EE">
        <w:t xml:space="preserve"> to incumbent</w:t>
      </w:r>
      <w:r w:rsidR="00142ED9">
        <w:t xml:space="preserve"> cable operators,</w:t>
      </w:r>
      <w:r w:rsidR="00A404EE">
        <w:t xml:space="preserve"> and</w:t>
      </w:r>
      <w:r w:rsidR="00142ED9">
        <w:t xml:space="preserve"> to </w:t>
      </w:r>
      <w:r w:rsidR="00D239C5">
        <w:t>comment on</w:t>
      </w:r>
      <w:r w:rsidR="00142ED9">
        <w:t xml:space="preserve"> the basis for the Commission’s</w:t>
      </w:r>
      <w:r w:rsidR="00A404EE">
        <w:t xml:space="preserve"> authority to do so.</w:t>
      </w:r>
      <w:r w:rsidR="00A404EE">
        <w:rPr>
          <w:rStyle w:val="FootnoteCharacters"/>
          <w:color w:val="000000"/>
          <w:spacing w:val="-2"/>
          <w:szCs w:val="22"/>
        </w:rPr>
        <w:footnoteReference w:id="125"/>
      </w:r>
      <w:r w:rsidR="00A404EE">
        <w:t xml:space="preserve">  The Commission invited comment on the effect, if any, the findings in the </w:t>
      </w:r>
      <w:r w:rsidR="00A404EE">
        <w:rPr>
          <w:i/>
        </w:rPr>
        <w:t>First Report and Order</w:t>
      </w:r>
      <w:r w:rsidR="00A404EE">
        <w:t xml:space="preserve"> had on </w:t>
      </w:r>
      <w:r w:rsidR="00A404EE" w:rsidRPr="007C4771">
        <w:t>most</w:t>
      </w:r>
      <w:r w:rsidR="00A404EE">
        <w:t xml:space="preserve"> favored nation clauses in existing franchises.</w:t>
      </w:r>
      <w:r w:rsidR="00A404EE">
        <w:rPr>
          <w:rStyle w:val="FootnoteCharacters"/>
          <w:color w:val="000000"/>
          <w:spacing w:val="-2"/>
          <w:szCs w:val="22"/>
        </w:rPr>
        <w:footnoteReference w:id="126"/>
      </w:r>
      <w:r w:rsidR="00A404EE">
        <w:t xml:space="preserve">  Additionally, the Commission sought comment on its tentative conclusion that it cannot preempt state or local customer service laws exceeding Commission standards, nor can it prevent LFAs and cable operators from agreeing to more stringent standards.</w:t>
      </w:r>
      <w:r w:rsidR="00A404EE">
        <w:rPr>
          <w:rStyle w:val="FootnoteCharacters"/>
          <w:color w:val="000000"/>
          <w:spacing w:val="-2"/>
          <w:szCs w:val="22"/>
        </w:rPr>
        <w:footnoteReference w:id="127"/>
      </w:r>
      <w:r w:rsidR="00A404EE">
        <w:t xml:space="preserve">  The Commission tentatively concluded that</w:t>
      </w:r>
      <w:r w:rsidR="00972181">
        <w:t xml:space="preserve"> the</w:t>
      </w:r>
      <w:r w:rsidR="00A404EE">
        <w:t xml:space="preserve"> rules</w:t>
      </w:r>
      <w:r w:rsidR="00972181">
        <w:t xml:space="preserve"> adopted in the </w:t>
      </w:r>
      <w:r w:rsidR="00972181">
        <w:rPr>
          <w:i/>
        </w:rPr>
        <w:t>Second Report and Order</w:t>
      </w:r>
      <w:r w:rsidR="00A404EE">
        <w:t xml:space="preserve"> likely would have at most a </w:t>
      </w:r>
      <w:r w:rsidR="00A404EE">
        <w:rPr>
          <w:i/>
        </w:rPr>
        <w:t>de minimis</w:t>
      </w:r>
      <w:r w:rsidR="00A404EE">
        <w:t xml:space="preserve"> impact on small governmental jurisdictions, and that the interrelated, high-priority federal communications policy goals of enhanced cable competition and accelerated broadband deployment necessitated the extension of its rules to incumbent cable providers.  </w:t>
      </w:r>
    </w:p>
    <w:p w:rsidR="00A404EE" w:rsidRPr="008568E1" w:rsidRDefault="00A404EE" w:rsidP="0012401B">
      <w:pPr>
        <w:pStyle w:val="ParaNum"/>
        <w:numPr>
          <w:ilvl w:val="0"/>
          <w:numId w:val="3"/>
        </w:numPr>
      </w:pPr>
      <w:r>
        <w:t xml:space="preserve">We agree with those tentative conclusions, and we believe that the rules adopted in the </w:t>
      </w:r>
      <w:r w:rsidR="00EA16BC">
        <w:rPr>
          <w:i/>
        </w:rPr>
        <w:t xml:space="preserve">Second Report and </w:t>
      </w:r>
      <w:r>
        <w:rPr>
          <w:i/>
        </w:rPr>
        <w:t>Order</w:t>
      </w:r>
      <w:r>
        <w:t xml:space="preserve"> will not impose a significant impact on any small entity</w:t>
      </w:r>
      <w:r w:rsidR="007F08F0">
        <w:t xml:space="preserve">, as the </w:t>
      </w:r>
      <w:r w:rsidR="007F08F0" w:rsidRPr="008568E1">
        <w:t>Commission</w:t>
      </w:r>
      <w:r w:rsidR="007F08F0">
        <w:t xml:space="preserve"> did not disturb many portions of the existing franchise requirements, such as MFN clauses, build-out requirements, time limits for franchise negotiations or customer service laws.</w:t>
      </w:r>
      <w:r>
        <w:t xml:space="preserve">  Furthermore, the decisions made in the </w:t>
      </w:r>
      <w:r>
        <w:rPr>
          <w:i/>
        </w:rPr>
        <w:t>Second Report and Order</w:t>
      </w:r>
      <w:r>
        <w:t xml:space="preserve"> are based on a reading of the statute</w:t>
      </w:r>
      <w:r w:rsidR="006E76BE">
        <w:t>.  W</w:t>
      </w:r>
      <w:r w:rsidR="007F08F0">
        <w:t xml:space="preserve">here the Commission did act, </w:t>
      </w:r>
      <w:r w:rsidR="003A03B0">
        <w:t>it provided regulatory relief to all operators</w:t>
      </w:r>
      <w:r w:rsidR="006E76BE">
        <w:t xml:space="preserve"> in a non-discriminatory fashion.  This action was statutorily necessary, </w:t>
      </w:r>
      <w:r w:rsidR="003A03B0">
        <w:t xml:space="preserve">because </w:t>
      </w:r>
      <w:r>
        <w:t>the</w:t>
      </w:r>
      <w:r w:rsidR="006E76BE">
        <w:t xml:space="preserve"> language of the statutes at issue does not give the</w:t>
      </w:r>
      <w:r>
        <w:t xml:space="preserve"> Commission</w:t>
      </w:r>
      <w:r w:rsidR="006E76BE">
        <w:t xml:space="preserve"> </w:t>
      </w:r>
      <w:r>
        <w:t>authority to adopt significant alternatives</w:t>
      </w:r>
      <w:r w:rsidR="006E76BE">
        <w:t xml:space="preserve">, or to </w:t>
      </w:r>
      <w:r w:rsidR="003A03B0">
        <w:t>distinguish between incumbent providers and new entrants</w:t>
      </w:r>
      <w:r>
        <w:t xml:space="preserve">.  </w:t>
      </w:r>
      <w:r w:rsidR="008568E1" w:rsidRPr="00C229F2">
        <w:t xml:space="preserve">As an alternative, we considered </w:t>
      </w:r>
      <w:r w:rsidR="00B55DDB">
        <w:t xml:space="preserve">refraining from </w:t>
      </w:r>
      <w:r w:rsidR="008568E1" w:rsidRPr="00C229F2">
        <w:t>providing guidance on any franchising terms</w:t>
      </w:r>
      <w:r w:rsidR="006E76BE">
        <w:t xml:space="preserve">, but we determined, and the petitions for reconsideration and clarification confirm, that guidance </w:t>
      </w:r>
      <w:r w:rsidR="00E16082">
        <w:t>was necessary in this instance</w:t>
      </w:r>
      <w:r w:rsidR="008568E1" w:rsidRPr="00C229F2">
        <w:t>.</w:t>
      </w:r>
      <w:r w:rsidR="00D94C43">
        <w:t xml:space="preserve">  </w:t>
      </w:r>
      <w:r w:rsidR="008568E1" w:rsidRPr="00C229F2">
        <w:t xml:space="preserve">We conclude that the guidance we provide </w:t>
      </w:r>
      <w:r w:rsidR="00D245DB">
        <w:t xml:space="preserve">in the </w:t>
      </w:r>
      <w:r w:rsidR="00D245DB" w:rsidRPr="00D245DB">
        <w:rPr>
          <w:i/>
        </w:rPr>
        <w:t>Second Report and Order</w:t>
      </w:r>
      <w:r w:rsidR="00D245DB">
        <w:t xml:space="preserve"> </w:t>
      </w:r>
      <w:r w:rsidR="008568E1" w:rsidRPr="00C229F2">
        <w:t xml:space="preserve">minimizes any adverse impact on small entities because it clarifies the </w:t>
      </w:r>
      <w:r w:rsidR="008568E1">
        <w:t xml:space="preserve">franchising </w:t>
      </w:r>
      <w:r w:rsidR="008568E1" w:rsidRPr="00C229F2">
        <w:t>terms</w:t>
      </w:r>
      <w:r w:rsidR="008568E1">
        <w:t xml:space="preserve"> and requirements that local franchising authorities and cable </w:t>
      </w:r>
      <w:r w:rsidR="008568E1" w:rsidRPr="007C4771">
        <w:t>operators</w:t>
      </w:r>
      <w:r w:rsidR="008568E1">
        <w:t xml:space="preserve"> negotiate</w:t>
      </w:r>
      <w:r w:rsidR="008568E1" w:rsidRPr="00C229F2">
        <w:t xml:space="preserve">, and should prevent small entities from facing costly litigation over </w:t>
      </w:r>
      <w:r w:rsidR="00A17042">
        <w:t>contractual terms regarding in-kind payments, mixed-use networks, and franchise fees</w:t>
      </w:r>
      <w:r w:rsidR="008568E1" w:rsidRPr="00C229F2">
        <w:t>.</w:t>
      </w:r>
    </w:p>
    <w:p w:rsidR="00A404EE" w:rsidRDefault="00A404EE" w:rsidP="0012401B">
      <w:pPr>
        <w:pStyle w:val="ParaNum"/>
        <w:widowControl/>
        <w:numPr>
          <w:ilvl w:val="0"/>
          <w:numId w:val="3"/>
        </w:numPr>
      </w:pPr>
      <w:r w:rsidRPr="0053409E">
        <w:rPr>
          <w:i/>
        </w:rPr>
        <w:t>Report to Congress</w:t>
      </w:r>
      <w:r w:rsidR="0053409E">
        <w:rPr>
          <w:i/>
        </w:rPr>
        <w:t>.</w:t>
      </w:r>
      <w:r>
        <w:tab/>
        <w:t xml:space="preserve">The Commission will send a copy of the </w:t>
      </w:r>
      <w:r>
        <w:rPr>
          <w:i/>
        </w:rPr>
        <w:t>Order</w:t>
      </w:r>
      <w:r>
        <w:t>, including this SFRFA, in a report to be sent to Congress pursuant to the Congressional Review Act.</w:t>
      </w:r>
      <w:r>
        <w:rPr>
          <w:rStyle w:val="FootnoteCharacters"/>
          <w:color w:val="000000"/>
          <w:spacing w:val="-2"/>
          <w:szCs w:val="22"/>
        </w:rPr>
        <w:footnoteReference w:id="128"/>
      </w:r>
      <w:r>
        <w:t xml:space="preserve">  In addition, the Commission will send a </w:t>
      </w:r>
      <w:r w:rsidRPr="007C4771">
        <w:t>copy</w:t>
      </w:r>
      <w:r>
        <w:t xml:space="preserve"> of the </w:t>
      </w:r>
      <w:r>
        <w:rPr>
          <w:i/>
        </w:rPr>
        <w:t>Order</w:t>
      </w:r>
      <w:r>
        <w:t xml:space="preserve">, </w:t>
      </w:r>
      <w:r w:rsidRPr="006C30D2">
        <w:t>including</w:t>
      </w:r>
      <w:r>
        <w:t xml:space="preserve"> the SFRFA, to the Chief Counsel for Advocacy of the Small Business Administration.  A copy of the </w:t>
      </w:r>
      <w:r>
        <w:rPr>
          <w:i/>
        </w:rPr>
        <w:t>Order</w:t>
      </w:r>
      <w:r>
        <w:t xml:space="preserve"> and SFRFA (or summaries thereof) will also be published in the Federal Register.</w:t>
      </w:r>
      <w:r>
        <w:rPr>
          <w:rStyle w:val="FootnoteCharacters"/>
          <w:color w:val="000000"/>
          <w:spacing w:val="-2"/>
          <w:szCs w:val="22"/>
        </w:rPr>
        <w:footnoteReference w:id="129"/>
      </w:r>
    </w:p>
    <w:sectPr w:rsidR="00A404EE" w:rsidSect="00BC483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88" w:rsidRDefault="00472788">
      <w:r>
        <w:separator/>
      </w:r>
    </w:p>
  </w:endnote>
  <w:endnote w:type="continuationSeparator" w:id="0">
    <w:p w:rsidR="00472788" w:rsidRDefault="0047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28" w:rsidRDefault="00FB6328" w:rsidP="00457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6328" w:rsidRDefault="00FB6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BD" w:rsidRDefault="00AA3DBD">
    <w:pPr>
      <w:pStyle w:val="Footer"/>
      <w:jc w:val="center"/>
    </w:pPr>
    <w:r>
      <w:fldChar w:fldCharType="begin"/>
    </w:r>
    <w:r>
      <w:instrText xml:space="preserve"> PAGE   \* MERGEFORMAT </w:instrText>
    </w:r>
    <w:r>
      <w:fldChar w:fldCharType="separate"/>
    </w:r>
    <w:r w:rsidR="0001612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6D" w:rsidRDefault="000018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28" w:rsidRDefault="00FB63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BD" w:rsidRDefault="00AA3DBD">
    <w:pPr>
      <w:pStyle w:val="Footer"/>
      <w:jc w:val="center"/>
    </w:pPr>
    <w:r>
      <w:fldChar w:fldCharType="begin"/>
    </w:r>
    <w:r>
      <w:instrText xml:space="preserve"> PAGE   \* MERGEFORMAT </w:instrText>
    </w:r>
    <w:r>
      <w:fldChar w:fldCharType="separate"/>
    </w:r>
    <w:r w:rsidR="0007231B">
      <w:rPr>
        <w:noProof/>
      </w:rPr>
      <w:t>17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28" w:rsidRDefault="00FB63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88" w:rsidRDefault="00472788">
      <w:r>
        <w:separator/>
      </w:r>
    </w:p>
  </w:footnote>
  <w:footnote w:type="continuationSeparator" w:id="0">
    <w:p w:rsidR="00472788" w:rsidRPr="00601420" w:rsidRDefault="00601420" w:rsidP="00601420">
      <w:pPr>
        <w:spacing w:before="120"/>
        <w:rPr>
          <w:sz w:val="20"/>
        </w:rPr>
      </w:pPr>
      <w:r>
        <w:rPr>
          <w:sz w:val="20"/>
        </w:rPr>
        <w:t xml:space="preserve">(Continued from previous page)  </w:t>
      </w:r>
      <w:r>
        <w:rPr>
          <w:sz w:val="20"/>
        </w:rPr>
        <w:separator/>
      </w:r>
    </w:p>
  </w:footnote>
  <w:footnote w:type="continuationNotice" w:id="1">
    <w:p w:rsidR="004D0D77" w:rsidRPr="004D0D77" w:rsidRDefault="004D0D77" w:rsidP="004D0D77">
      <w:pPr>
        <w:jc w:val="right"/>
        <w:rPr>
          <w:sz w:val="20"/>
        </w:rPr>
      </w:pPr>
      <w:r>
        <w:rPr>
          <w:sz w:val="20"/>
        </w:rPr>
        <w:t>(continued....)</w:t>
      </w:r>
    </w:p>
  </w:footnote>
  <w:footnote w:id="2">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We received three petitions for reconsideration of the Second Report and Order in this proceeding:  one from the National Association of Telecommunications Officers and Advisors (“NATOA”) </w:t>
      </w:r>
      <w:r>
        <w:rPr>
          <w:i/>
        </w:rPr>
        <w:t>et al.</w:t>
      </w:r>
      <w:r>
        <w:t xml:space="preserve">, one from the City of Breckenridge Hills, Missouri, and one from the City of Albuquerque, New Mexico </w:t>
      </w:r>
      <w:r>
        <w:rPr>
          <w:i/>
        </w:rPr>
        <w:t>et al</w:t>
      </w:r>
      <w:r>
        <w:t>.</w:t>
      </w:r>
    </w:p>
  </w:footnote>
  <w:footnote w:id="3">
    <w:p w:rsidR="00FB6328" w:rsidRDefault="00FB6328" w:rsidP="009F7734">
      <w:pPr>
        <w:pStyle w:val="FootnoteText"/>
        <w:tabs>
          <w:tab w:val="left" w:pos="180"/>
          <w:tab w:val="left" w:pos="720"/>
          <w:tab w:val="left" w:pos="1440"/>
          <w:tab w:val="left" w:pos="2160"/>
        </w:tabs>
      </w:pPr>
      <w:r>
        <w:rPr>
          <w:rStyle w:val="FootnoteCharacters"/>
        </w:rPr>
        <w:footnoteRef/>
      </w:r>
      <w:r>
        <w:rPr>
          <w:i/>
        </w:rPr>
        <w:tab/>
        <w:t>Implementation of Section 621(a)(1) of the Cable Communications Policy Act of 1984 as amended by the Cable Television Consumer Protection and Competition Act of 1992</w:t>
      </w:r>
      <w:r>
        <w:t>, Second Report and Order, 22 FCC Rcd 19633 (2007) (“</w:t>
      </w:r>
      <w:r>
        <w:rPr>
          <w:i/>
        </w:rPr>
        <w:t>Second Report and Order”</w:t>
      </w:r>
      <w:r>
        <w:t xml:space="preserve">). </w:t>
      </w:r>
    </w:p>
  </w:footnote>
  <w:footnote w:id="4">
    <w:p w:rsidR="00FB6328" w:rsidRDefault="00FB6328" w:rsidP="009F7734">
      <w:pPr>
        <w:pStyle w:val="FootnoteText"/>
        <w:tabs>
          <w:tab w:val="left" w:pos="180"/>
          <w:tab w:val="left" w:pos="720"/>
          <w:tab w:val="left" w:pos="1440"/>
          <w:tab w:val="left" w:pos="2160"/>
        </w:tabs>
      </w:pPr>
      <w:r>
        <w:rPr>
          <w:rStyle w:val="FootnoteCharacters"/>
        </w:rPr>
        <w:footnoteRef/>
      </w:r>
      <w:r>
        <w:rPr>
          <w:i/>
        </w:rPr>
        <w:tab/>
        <w:t xml:space="preserve">Implementation of Section 621(a)(1) of the Cable Communications Policy Act of 1984 as amended by the Cable Television Consumer Protection and Competition Act of 1992, </w:t>
      </w:r>
      <w:r>
        <w:t>Report and Order and Notice of Proposed Rulemaking, 22 FCC Rcd 5101 (2007) (“</w:t>
      </w:r>
      <w:r>
        <w:rPr>
          <w:i/>
        </w:rPr>
        <w:t>First Report and Order and Further Notice of Proposed Rulemaking</w:t>
      </w:r>
      <w:r>
        <w:t xml:space="preserve">”), </w:t>
      </w:r>
      <w:r w:rsidRPr="00A50B29">
        <w:rPr>
          <w:i/>
        </w:rPr>
        <w:t>pet for review denied</w:t>
      </w:r>
      <w:r>
        <w:t xml:space="preserve">, </w:t>
      </w:r>
      <w:r w:rsidRPr="00964B6B">
        <w:rPr>
          <w:i/>
        </w:rPr>
        <w:t>Alliance for Community Media v. FCC</w:t>
      </w:r>
      <w:r>
        <w:t>, 529 F.3d 763 (6</w:t>
      </w:r>
      <w:r w:rsidRPr="000A7A40">
        <w:rPr>
          <w:vertAlign w:val="superscript"/>
        </w:rPr>
        <w:t>th</w:t>
      </w:r>
      <w:r>
        <w:t xml:space="preserve"> Cir. 2008).</w:t>
      </w:r>
    </w:p>
  </w:footnote>
  <w:footnote w:id="5">
    <w:p w:rsidR="00FB6328" w:rsidRDefault="00FB6328" w:rsidP="009F7734">
      <w:pPr>
        <w:pStyle w:val="FootnoteText"/>
      </w:pPr>
      <w:r>
        <w:rPr>
          <w:rStyle w:val="FootnoteReference"/>
        </w:rPr>
        <w:footnoteRef/>
      </w:r>
      <w:r>
        <w:t xml:space="preserve"> 47 U.S.C. § 541(a)(1).</w:t>
      </w:r>
    </w:p>
  </w:footnote>
  <w:footnote w:id="6">
    <w:p w:rsidR="00FB6328" w:rsidRDefault="00FB6328" w:rsidP="009F7734">
      <w:pPr>
        <w:pStyle w:val="FootnoteText"/>
        <w:rPr>
          <w:i/>
        </w:rPr>
      </w:pPr>
      <w:r>
        <w:rPr>
          <w:rStyle w:val="FootnoteReference"/>
        </w:rPr>
        <w:footnoteRef/>
      </w:r>
      <w:r>
        <w:t xml:space="preserve"> </w:t>
      </w:r>
      <w:r>
        <w:rPr>
          <w:i/>
        </w:rPr>
        <w:t xml:space="preserve">First Report and Order </w:t>
      </w:r>
      <w:r>
        <w:t>at 22 FCC Rcd at 5103</w:t>
      </w:r>
      <w:r>
        <w:rPr>
          <w:i/>
        </w:rPr>
        <w:t>.</w:t>
      </w:r>
    </w:p>
  </w:footnote>
  <w:footnote w:id="7">
    <w:p w:rsidR="00FB6328" w:rsidRDefault="00FB6328" w:rsidP="009F7734">
      <w:pPr>
        <w:pStyle w:val="FootnoteText"/>
      </w:pPr>
      <w:r>
        <w:rPr>
          <w:rStyle w:val="FootnoteReference"/>
        </w:rPr>
        <w:footnoteRef/>
      </w:r>
      <w:r>
        <w:t xml:space="preserve"> </w:t>
      </w:r>
      <w:r>
        <w:rPr>
          <w:i/>
        </w:rPr>
        <w:t>Id</w:t>
      </w:r>
      <w:r>
        <w:t>.</w:t>
      </w:r>
    </w:p>
  </w:footnote>
  <w:footnote w:id="8">
    <w:p w:rsidR="00FB6328" w:rsidRPr="008E4948" w:rsidRDefault="00FB6328" w:rsidP="009F7734">
      <w:pPr>
        <w:pStyle w:val="FootnoteText"/>
      </w:pPr>
      <w:r>
        <w:rPr>
          <w:rStyle w:val="FootnoteReference"/>
        </w:rPr>
        <w:footnoteRef/>
      </w:r>
      <w:r>
        <w:t xml:space="preserve"> </w:t>
      </w:r>
      <w:r>
        <w:rPr>
          <w:i/>
        </w:rPr>
        <w:t>Id</w:t>
      </w:r>
      <w:r w:rsidR="00E904FC">
        <w:t>. at 5165</w:t>
      </w:r>
      <w:r>
        <w:t xml:space="preserve">.  Other portions of the </w:t>
      </w:r>
      <w:r>
        <w:rPr>
          <w:i/>
        </w:rPr>
        <w:t xml:space="preserve">First Report and Order </w:t>
      </w:r>
      <w:r>
        <w:t>were based entirely on Section 621(a)(1).</w:t>
      </w:r>
    </w:p>
  </w:footnote>
  <w:footnote w:id="9">
    <w:p w:rsidR="00FB6328" w:rsidRPr="00192015" w:rsidRDefault="00FB6328" w:rsidP="009F7734">
      <w:pPr>
        <w:pStyle w:val="FootnoteText"/>
        <w:rPr>
          <w:i/>
        </w:rPr>
      </w:pPr>
      <w:r>
        <w:rPr>
          <w:rStyle w:val="FootnoteReference"/>
        </w:rPr>
        <w:footnoteRef/>
      </w:r>
      <w:r>
        <w:t xml:space="preserve"> </w:t>
      </w:r>
      <w:r>
        <w:rPr>
          <w:i/>
        </w:rPr>
        <w:t>Id.</w:t>
      </w:r>
    </w:p>
  </w:footnote>
  <w:footnote w:id="10">
    <w:p w:rsidR="00FB6328" w:rsidRPr="00192015" w:rsidRDefault="00FB6328" w:rsidP="009F7734">
      <w:pPr>
        <w:pStyle w:val="FootnoteText"/>
        <w:rPr>
          <w:i/>
        </w:rPr>
      </w:pPr>
      <w:r>
        <w:rPr>
          <w:rStyle w:val="FootnoteReference"/>
        </w:rPr>
        <w:footnoteRef/>
      </w:r>
      <w:r>
        <w:t xml:space="preserve"> </w:t>
      </w:r>
      <w:r>
        <w:rPr>
          <w:i/>
        </w:rPr>
        <w:t>Id.</w:t>
      </w:r>
    </w:p>
  </w:footnote>
  <w:footnote w:id="11">
    <w:p w:rsidR="00FB6328" w:rsidRPr="000021AF" w:rsidRDefault="00FB6328" w:rsidP="009F7734">
      <w:pPr>
        <w:pStyle w:val="FootnoteText"/>
        <w:tabs>
          <w:tab w:val="left" w:pos="180"/>
          <w:tab w:val="left" w:pos="720"/>
          <w:tab w:val="left" w:pos="1440"/>
          <w:tab w:val="left" w:pos="2160"/>
        </w:tabs>
      </w:pPr>
      <w:r>
        <w:rPr>
          <w:rStyle w:val="FootnoteReference"/>
        </w:rPr>
        <w:footnoteRef/>
      </w:r>
      <w:r>
        <w:t xml:space="preserve"> </w:t>
      </w:r>
      <w:r>
        <w:rPr>
          <w:i/>
        </w:rPr>
        <w:t xml:space="preserve">Second Report and Order, </w:t>
      </w:r>
      <w:r>
        <w:t>22 FCC Rcd at 19633-34.</w:t>
      </w:r>
    </w:p>
  </w:footnote>
  <w:footnote w:id="12">
    <w:p w:rsidR="00FB6328" w:rsidRPr="003255CF" w:rsidRDefault="00FB6328" w:rsidP="009F7734">
      <w:pPr>
        <w:pStyle w:val="FootnoteText"/>
        <w:tabs>
          <w:tab w:val="left" w:pos="180"/>
          <w:tab w:val="left" w:pos="720"/>
          <w:tab w:val="left" w:pos="1440"/>
          <w:tab w:val="left" w:pos="2160"/>
        </w:tabs>
      </w:pPr>
      <w:r>
        <w:rPr>
          <w:rStyle w:val="FootnoteReference"/>
        </w:rPr>
        <w:footnoteRef/>
      </w:r>
      <w:r>
        <w:t xml:space="preserve"> </w:t>
      </w:r>
      <w:r>
        <w:rPr>
          <w:i/>
        </w:rPr>
        <w:t xml:space="preserve">Id. </w:t>
      </w:r>
      <w:r>
        <w:t xml:space="preserve">at </w:t>
      </w:r>
      <w:r w:rsidR="00CF18EF">
        <w:t>19643</w:t>
      </w:r>
      <w:r>
        <w:t>.</w:t>
      </w:r>
    </w:p>
  </w:footnote>
  <w:footnote w:id="13">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Pr>
          <w:i/>
        </w:rPr>
        <w:t xml:space="preserve">See </w:t>
      </w:r>
      <w:r>
        <w:t xml:space="preserve">NATOA </w:t>
      </w:r>
      <w:r>
        <w:rPr>
          <w:i/>
        </w:rPr>
        <w:t xml:space="preserve">et al. </w:t>
      </w:r>
      <w:r>
        <w:t xml:space="preserve">Petition for Reconsideration and Clarification (filed Dec. 21, 2007); City of Breckenridge Hills, Missouri Petition for Reconsideration (filed Dec. 21, 2007); City of Albuquerque, New Mexico </w:t>
      </w:r>
      <w:r>
        <w:rPr>
          <w:i/>
        </w:rPr>
        <w:t>et al.</w:t>
      </w:r>
      <w:r>
        <w:t xml:space="preserve"> Petition for Reconsideration (filed Dec. 21, 2007).</w:t>
      </w:r>
    </w:p>
  </w:footnote>
  <w:footnote w:id="14">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Pr>
          <w:i/>
        </w:rPr>
        <w:t xml:space="preserve">See </w:t>
      </w:r>
      <w:r>
        <w:t>Verizon Opposition to Petitions for Reconsideration (filed Feb. 11, 2008); NCTA Opposition to Petitions for Reconsideration (filed Feb. 11, 2008); Comments of the State of Hawaii (filed Feb. 11, 2008).</w:t>
      </w:r>
    </w:p>
  </w:footnote>
  <w:footnote w:id="15">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Pr>
          <w:i/>
        </w:rPr>
        <w:t xml:space="preserve">See </w:t>
      </w:r>
      <w:r>
        <w:t xml:space="preserve">NATOA </w:t>
      </w:r>
      <w:r>
        <w:rPr>
          <w:i/>
        </w:rPr>
        <w:t xml:space="preserve">et al. </w:t>
      </w:r>
      <w:r>
        <w:t xml:space="preserve">Reply to Oppositions to Petitions for Reconsideration and Clarification (filed Feb. 21, 2008); City of Breckenridge Hills, Missouri Reply to NCTA’s Opposition to Petition for Reconsideration (filed Feb. 26, 2008); City of Albuquerque, New Mexico </w:t>
      </w:r>
      <w:r>
        <w:rPr>
          <w:i/>
        </w:rPr>
        <w:t>et al.</w:t>
      </w:r>
      <w:r>
        <w:t xml:space="preserve"> Reply to Oppositions to Petition for Reconsideration (filed Feb. 26, 2008).</w:t>
      </w:r>
    </w:p>
  </w:footnote>
  <w:footnote w:id="16">
    <w:p w:rsidR="00FB6328" w:rsidRDefault="00FB6328" w:rsidP="009F7734">
      <w:pPr>
        <w:pStyle w:val="FootnoteText"/>
        <w:tabs>
          <w:tab w:val="left" w:pos="180"/>
          <w:tab w:val="left" w:pos="720"/>
          <w:tab w:val="left" w:pos="1440"/>
          <w:tab w:val="left" w:pos="2160"/>
        </w:tabs>
      </w:pPr>
      <w:r>
        <w:rPr>
          <w:rStyle w:val="FootnoteCharacters"/>
        </w:rPr>
        <w:footnoteRef/>
      </w:r>
      <w:r>
        <w:rPr>
          <w:i/>
        </w:rPr>
        <w:tab/>
        <w:t>See</w:t>
      </w:r>
      <w:r>
        <w:t xml:space="preserve"> City of Albuquerque, New Mexico </w:t>
      </w:r>
      <w:r>
        <w:rPr>
          <w:i/>
        </w:rPr>
        <w:t>et al.</w:t>
      </w:r>
      <w:r>
        <w:t xml:space="preserve"> Petition for Reconsideration at 3-5; NATOA Petition on Reconsideration and Clarification at 10.</w:t>
      </w:r>
    </w:p>
  </w:footnote>
  <w:footnote w:id="17">
    <w:p w:rsidR="00FB6328" w:rsidRDefault="00FB6328" w:rsidP="009F7734">
      <w:pPr>
        <w:pStyle w:val="FootnoteText"/>
      </w:pPr>
      <w:r>
        <w:rPr>
          <w:rStyle w:val="FootnoteReference"/>
        </w:rPr>
        <w:footnoteRef/>
      </w:r>
      <w:r>
        <w:t xml:space="preserve"> </w:t>
      </w:r>
      <w:r>
        <w:rPr>
          <w:i/>
        </w:rPr>
        <w:t xml:space="preserve">First Report and Order, </w:t>
      </w:r>
      <w:r>
        <w:t>22 FCC Rcd at 5102 n.2.</w:t>
      </w:r>
    </w:p>
  </w:footnote>
  <w:footnote w:id="18">
    <w:p w:rsidR="00FB6328" w:rsidRPr="00192015" w:rsidRDefault="00FB6328" w:rsidP="009F7734">
      <w:pPr>
        <w:pStyle w:val="FootnoteText"/>
        <w:rPr>
          <w:i/>
        </w:rPr>
      </w:pPr>
      <w:r>
        <w:rPr>
          <w:rStyle w:val="FootnoteReference"/>
        </w:rPr>
        <w:footnoteRef/>
      </w:r>
      <w:r>
        <w:t xml:space="preserve"> </w:t>
      </w:r>
      <w:r>
        <w:rPr>
          <w:i/>
        </w:rPr>
        <w:t>Id.</w:t>
      </w:r>
    </w:p>
  </w:footnote>
  <w:footnote w:id="19">
    <w:p w:rsidR="009D4141" w:rsidRPr="009D4141" w:rsidRDefault="009D4141" w:rsidP="009F7734">
      <w:pPr>
        <w:pStyle w:val="FootnoteText"/>
      </w:pPr>
      <w:r>
        <w:rPr>
          <w:rStyle w:val="FootnoteReference"/>
        </w:rPr>
        <w:footnoteRef/>
      </w:r>
      <w:r>
        <w:t xml:space="preserve"> </w:t>
      </w:r>
      <w:r>
        <w:rPr>
          <w:i/>
        </w:rPr>
        <w:t>Id.</w:t>
      </w:r>
      <w:r>
        <w:t xml:space="preserve"> at 5165.</w:t>
      </w:r>
    </w:p>
  </w:footnote>
  <w:footnote w:id="20">
    <w:p w:rsidR="004C7D23" w:rsidRPr="00192015" w:rsidRDefault="004C7D23" w:rsidP="009F7734">
      <w:pPr>
        <w:pStyle w:val="FootnoteText"/>
        <w:rPr>
          <w:i/>
        </w:rPr>
      </w:pPr>
      <w:r>
        <w:rPr>
          <w:rStyle w:val="FootnoteReference"/>
        </w:rPr>
        <w:footnoteRef/>
      </w:r>
      <w:r>
        <w:t xml:space="preserve"> </w:t>
      </w:r>
      <w:r>
        <w:rPr>
          <w:i/>
        </w:rPr>
        <w:t>Id.</w:t>
      </w:r>
    </w:p>
  </w:footnote>
  <w:footnote w:id="21">
    <w:p w:rsidR="00645ECC" w:rsidRPr="00645ECC" w:rsidRDefault="00645ECC" w:rsidP="009F7734">
      <w:pPr>
        <w:pStyle w:val="FootnoteText"/>
      </w:pPr>
      <w:r>
        <w:rPr>
          <w:rStyle w:val="FootnoteReference"/>
        </w:rPr>
        <w:footnoteRef/>
      </w:r>
      <w:r>
        <w:t xml:space="preserve"> </w:t>
      </w:r>
      <w:r>
        <w:rPr>
          <w:i/>
        </w:rPr>
        <w:t>Alliance for Community Media v. FCC,</w:t>
      </w:r>
      <w:r>
        <w:t xml:space="preserve"> 529 F.3d 763, 772 (6</w:t>
      </w:r>
      <w:r w:rsidRPr="00A46166">
        <w:rPr>
          <w:vertAlign w:val="superscript"/>
        </w:rPr>
        <w:t>th</w:t>
      </w:r>
      <w:r>
        <w:t xml:space="preserve"> Cir. 2008).</w:t>
      </w:r>
    </w:p>
  </w:footnote>
  <w:footnote w:id="22">
    <w:p w:rsidR="00132CF0" w:rsidRPr="00132CF0" w:rsidRDefault="00132CF0" w:rsidP="009F7734">
      <w:pPr>
        <w:pStyle w:val="FootnoteText"/>
      </w:pPr>
      <w:r>
        <w:rPr>
          <w:rStyle w:val="FootnoteReference"/>
        </w:rPr>
        <w:footnoteRef/>
      </w:r>
      <w:r>
        <w:t xml:space="preserve"> </w:t>
      </w:r>
      <w:r>
        <w:rPr>
          <w:i/>
        </w:rPr>
        <w:t>Second Report and Order,</w:t>
      </w:r>
      <w:r>
        <w:t xml:space="preserve"> 22 FCC Rcd at 19633 ¶ 1.</w:t>
      </w:r>
    </w:p>
  </w:footnote>
  <w:footnote w:id="23">
    <w:p w:rsidR="00FB6328" w:rsidRDefault="00FB6328" w:rsidP="009F7734">
      <w:pPr>
        <w:pStyle w:val="FootnoteText"/>
        <w:tabs>
          <w:tab w:val="left" w:pos="180"/>
          <w:tab w:val="left" w:pos="720"/>
          <w:tab w:val="left" w:pos="1440"/>
          <w:tab w:val="left" w:pos="2160"/>
        </w:tabs>
      </w:pPr>
      <w:r>
        <w:rPr>
          <w:rStyle w:val="FootnoteCharacters"/>
        </w:rPr>
        <w:footnoteRef/>
      </w:r>
      <w:r>
        <w:rPr>
          <w:i/>
        </w:rPr>
        <w:tab/>
        <w:t>See</w:t>
      </w:r>
      <w:r>
        <w:t xml:space="preserve"> Comments of the State of Hawaii at 3-5.</w:t>
      </w:r>
    </w:p>
  </w:footnote>
  <w:footnote w:id="24">
    <w:p w:rsidR="00FB6328" w:rsidRDefault="00FB6328" w:rsidP="009F7734">
      <w:pPr>
        <w:pStyle w:val="FootnoteText"/>
        <w:tabs>
          <w:tab w:val="left" w:pos="180"/>
          <w:tab w:val="left" w:pos="720"/>
          <w:tab w:val="left" w:pos="1440"/>
          <w:tab w:val="left" w:pos="2160"/>
        </w:tabs>
      </w:pPr>
      <w:r>
        <w:rPr>
          <w:rStyle w:val="FootnoteCharacters"/>
        </w:rPr>
        <w:footnoteRef/>
      </w:r>
      <w:r>
        <w:rPr>
          <w:i/>
        </w:rPr>
        <w:tab/>
        <w:t xml:space="preserve">See </w:t>
      </w:r>
      <w:r>
        <w:t>NCTA Opposition to Petitions for Reconsideration at 6; Verizon Opposition to Petitions for Reconsideration at 2.</w:t>
      </w:r>
    </w:p>
  </w:footnote>
  <w:footnote w:id="25">
    <w:p w:rsidR="00FB6328" w:rsidRDefault="00FB6328" w:rsidP="009F7734">
      <w:pPr>
        <w:pStyle w:val="FootnoteText"/>
      </w:pPr>
      <w:r>
        <w:rPr>
          <w:rStyle w:val="FootnoteReference"/>
        </w:rPr>
        <w:footnoteRef/>
      </w:r>
      <w:r>
        <w:t xml:space="preserve"> </w:t>
      </w:r>
      <w:r>
        <w:rPr>
          <w:i/>
        </w:rPr>
        <w:t>Second Report and Order</w:t>
      </w:r>
      <w:r>
        <w:t>, 22 FCC Rcd at 1963</w:t>
      </w:r>
      <w:r w:rsidR="0089115B">
        <w:t>7-38</w:t>
      </w:r>
      <w:r>
        <w:t>.</w:t>
      </w:r>
    </w:p>
  </w:footnote>
  <w:footnote w:id="26">
    <w:p w:rsidR="00FB6328" w:rsidRDefault="00FB6328" w:rsidP="009F7734">
      <w:pPr>
        <w:pStyle w:val="FootnoteText"/>
      </w:pPr>
      <w:r>
        <w:rPr>
          <w:rStyle w:val="FootnoteReference"/>
        </w:rPr>
        <w:footnoteRef/>
      </w:r>
      <w:r>
        <w:t xml:space="preserve"> </w:t>
      </w:r>
      <w:r>
        <w:rPr>
          <w:i/>
        </w:rPr>
        <w:t>Second Report and Order</w:t>
      </w:r>
      <w:r>
        <w:t>, 22 FCC Rcd at 1963</w:t>
      </w:r>
      <w:r w:rsidR="0089115B">
        <w:t>8-40</w:t>
      </w:r>
      <w:r>
        <w:t>.</w:t>
      </w:r>
    </w:p>
  </w:footnote>
  <w:footnote w:id="27">
    <w:p w:rsidR="00FB6328" w:rsidRDefault="00FB6328" w:rsidP="009F7734">
      <w:pPr>
        <w:pStyle w:val="FootnoteText"/>
      </w:pPr>
      <w:r>
        <w:rPr>
          <w:rStyle w:val="FootnoteReference"/>
        </w:rPr>
        <w:footnoteRef/>
      </w:r>
      <w:r>
        <w:t xml:space="preserve"> </w:t>
      </w:r>
      <w:r>
        <w:rPr>
          <w:i/>
        </w:rPr>
        <w:t>Second Report and Order</w:t>
      </w:r>
      <w:r>
        <w:t>, 22 FCC Rcd at 196</w:t>
      </w:r>
      <w:r w:rsidR="0089115B">
        <w:t>40-41</w:t>
      </w:r>
      <w:r>
        <w:t>.</w:t>
      </w:r>
    </w:p>
  </w:footnote>
  <w:footnote w:id="28">
    <w:p w:rsidR="00C5020B" w:rsidRDefault="00C5020B" w:rsidP="009F7734">
      <w:pPr>
        <w:pStyle w:val="FootnoteText"/>
      </w:pPr>
      <w:r>
        <w:rPr>
          <w:rStyle w:val="FootnoteReference"/>
        </w:rPr>
        <w:footnoteRef/>
      </w:r>
      <w:r>
        <w:t xml:space="preserve"> </w:t>
      </w:r>
      <w:r>
        <w:rPr>
          <w:i/>
        </w:rPr>
        <w:t xml:space="preserve">First Report and Order, </w:t>
      </w:r>
      <w:r>
        <w:t>22 FCC Rcd at 5165.</w:t>
      </w:r>
    </w:p>
  </w:footnote>
  <w:footnote w:id="29">
    <w:p w:rsidR="00D813D8" w:rsidRPr="00D813D8" w:rsidRDefault="00D813D8" w:rsidP="009F7734">
      <w:pPr>
        <w:pStyle w:val="FootnoteText"/>
      </w:pPr>
      <w:r>
        <w:rPr>
          <w:rStyle w:val="FootnoteReference"/>
        </w:rPr>
        <w:footnoteRef/>
      </w:r>
      <w:r>
        <w:t xml:space="preserve"> </w:t>
      </w:r>
      <w:r>
        <w:rPr>
          <w:i/>
        </w:rPr>
        <w:t>Second Report and Order,</w:t>
      </w:r>
      <w:r>
        <w:t xml:space="preserve"> 22 FCC Rcd at 19633 (emphasis added).</w:t>
      </w:r>
    </w:p>
  </w:footnote>
  <w:footnote w:id="30">
    <w:p w:rsidR="00C5020B" w:rsidRDefault="00C5020B" w:rsidP="009F7734">
      <w:pPr>
        <w:pStyle w:val="FootnoteText"/>
      </w:pPr>
      <w:r>
        <w:rPr>
          <w:rStyle w:val="FootnoteReference"/>
        </w:rPr>
        <w:footnoteRef/>
      </w:r>
      <w:r>
        <w:t xml:space="preserve"> </w:t>
      </w:r>
      <w:r>
        <w:rPr>
          <w:i/>
        </w:rPr>
        <w:t xml:space="preserve">First Report and Order, </w:t>
      </w:r>
      <w:r>
        <w:t>22 FCC Rcd at 5102 n. 2.</w:t>
      </w:r>
    </w:p>
  </w:footnote>
  <w:footnote w:id="31">
    <w:p w:rsidR="00B12FA3" w:rsidRDefault="00B12FA3" w:rsidP="009F7734">
      <w:pPr>
        <w:pStyle w:val="FootnoteText"/>
        <w:tabs>
          <w:tab w:val="left" w:pos="180"/>
          <w:tab w:val="left" w:pos="720"/>
          <w:tab w:val="left" w:pos="1440"/>
          <w:tab w:val="left" w:pos="2160"/>
        </w:tabs>
      </w:pPr>
      <w:r>
        <w:rPr>
          <w:rStyle w:val="FootnoteCharacters"/>
        </w:rPr>
        <w:footnoteRef/>
      </w:r>
      <w:r>
        <w:tab/>
        <w:t xml:space="preserve"> </w:t>
      </w:r>
      <w:r>
        <w:rPr>
          <w:i/>
        </w:rPr>
        <w:t>See, e.g.,</w:t>
      </w:r>
      <w:r>
        <w:t xml:space="preserve"> </w:t>
      </w:r>
      <w:r>
        <w:rPr>
          <w:i/>
        </w:rPr>
        <w:t>Second Report and Order</w:t>
      </w:r>
      <w:r>
        <w:t xml:space="preserve">, 22 FCC Rcd at 19642 (“The statutory interpretations set forth above represent the Commission’s view as to the meaning of various statutory provisions, such as Section 622, and these interpretations are valid immediately”); </w:t>
      </w:r>
      <w:r>
        <w:rPr>
          <w:i/>
        </w:rPr>
        <w:t xml:space="preserve">id. </w:t>
      </w:r>
      <w:r>
        <w:t>at 19642 n. 60 (“because these interpretations do not depend on  Section 621(a)(1), they are also valid throughout the nation”).</w:t>
      </w:r>
    </w:p>
  </w:footnote>
  <w:footnote w:id="32">
    <w:p w:rsidR="00EF2724" w:rsidRPr="00EF2724" w:rsidRDefault="00EF2724" w:rsidP="009F7734">
      <w:pPr>
        <w:pStyle w:val="FootnoteText"/>
      </w:pPr>
      <w:r>
        <w:rPr>
          <w:rStyle w:val="FootnoteReference"/>
        </w:rPr>
        <w:footnoteRef/>
      </w:r>
      <w:r>
        <w:t xml:space="preserve"> </w:t>
      </w:r>
      <w:r>
        <w:rPr>
          <w:i/>
        </w:rPr>
        <w:t>See, e.g.,</w:t>
      </w:r>
      <w:r>
        <w:t xml:space="preserve"> Verizon Opposition, dated February 11, 2008, at 2-4.</w:t>
      </w:r>
    </w:p>
  </w:footnote>
  <w:footnote w:id="33">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sidR="00E90DBA">
        <w:rPr>
          <w:i/>
        </w:rPr>
        <w:t xml:space="preserve">See </w:t>
      </w:r>
      <w:r>
        <w:t>Comments of the State of Hawaii at 4-6</w:t>
      </w:r>
      <w:r w:rsidR="00E90DBA">
        <w:t xml:space="preserve"> (arguing that the Commission cannot apply the </w:t>
      </w:r>
      <w:r w:rsidR="00E90DBA">
        <w:rPr>
          <w:i/>
        </w:rPr>
        <w:t xml:space="preserve">Second Report and Order </w:t>
      </w:r>
      <w:r w:rsidR="00E90DBA">
        <w:t>to state level franchising because there was not a sufficient record to do so)</w:t>
      </w:r>
      <w:r>
        <w:t xml:space="preserve">.  </w:t>
      </w:r>
    </w:p>
  </w:footnote>
  <w:footnote w:id="34">
    <w:p w:rsidR="00CF593D" w:rsidRDefault="00CF593D">
      <w:pPr>
        <w:pStyle w:val="FootnoteText"/>
      </w:pPr>
      <w:r>
        <w:rPr>
          <w:rStyle w:val="FootnoteReference"/>
        </w:rPr>
        <w:footnoteRef/>
      </w:r>
      <w:r>
        <w:t xml:space="preserve"> </w:t>
      </w:r>
      <w:r w:rsidR="0031317C">
        <w:t xml:space="preserve">Nothing in this </w:t>
      </w:r>
      <w:r w:rsidR="0031317C" w:rsidRPr="003D2072">
        <w:rPr>
          <w:i/>
        </w:rPr>
        <w:t>Order on Reconsideration</w:t>
      </w:r>
      <w:r w:rsidR="0031317C">
        <w:t>, of course, changes the fact that i</w:t>
      </w:r>
      <w:r w:rsidRPr="00CF593D">
        <w:t xml:space="preserve">n litigation involving a cable operator and a franchising authority, a court </w:t>
      </w:r>
      <w:r w:rsidR="0031317C">
        <w:t xml:space="preserve">anywhere in the nation </w:t>
      </w:r>
      <w:r w:rsidRPr="00CF593D">
        <w:t xml:space="preserve">would </w:t>
      </w:r>
      <w:r w:rsidR="0031317C">
        <w:t xml:space="preserve">be required to </w:t>
      </w:r>
      <w:r w:rsidRPr="00CF593D">
        <w:t xml:space="preserve">apply the FCC’s </w:t>
      </w:r>
      <w:r w:rsidR="0031317C">
        <w:t>interpretation of any provision</w:t>
      </w:r>
      <w:r w:rsidRPr="00CF593D">
        <w:t xml:space="preserve"> of the Communications Act that would be pertinent</w:t>
      </w:r>
      <w:r w:rsidR="0031317C">
        <w:t xml:space="preserve"> (e.g., Section 622), including those interpretations set forth in the </w:t>
      </w:r>
      <w:r w:rsidR="0031317C" w:rsidRPr="003D2072">
        <w:rPr>
          <w:i/>
        </w:rPr>
        <w:t>First Report and Order</w:t>
      </w:r>
      <w:r w:rsidR="0031317C">
        <w:t xml:space="preserve"> and </w:t>
      </w:r>
      <w:r w:rsidR="0031317C" w:rsidRPr="003D2072">
        <w:rPr>
          <w:i/>
        </w:rPr>
        <w:t>Second Report and Order</w:t>
      </w:r>
      <w:r w:rsidR="0031317C">
        <w:t xml:space="preserve">.  </w:t>
      </w:r>
      <w:r w:rsidR="0031317C" w:rsidRPr="003D2072">
        <w:rPr>
          <w:i/>
        </w:rPr>
        <w:t>See</w:t>
      </w:r>
      <w:r w:rsidR="0031317C" w:rsidRPr="0031317C">
        <w:t xml:space="preserve"> </w:t>
      </w:r>
      <w:r w:rsidR="0031317C" w:rsidRPr="003D2072">
        <w:rPr>
          <w:i/>
        </w:rPr>
        <w:t>Mais v. Gulf Coast Collection Bureau</w:t>
      </w:r>
      <w:r w:rsidR="0031317C" w:rsidRPr="0031317C">
        <w:t xml:space="preserve">, </w:t>
      </w:r>
      <w:r w:rsidR="0031317C" w:rsidRPr="003D2072">
        <w:rPr>
          <w:i/>
        </w:rPr>
        <w:t>Inc.</w:t>
      </w:r>
      <w:r w:rsidR="0031317C" w:rsidRPr="0031317C">
        <w:t>, 768 F.</w:t>
      </w:r>
      <w:r w:rsidR="0031317C">
        <w:t xml:space="preserve">3d 1110, 1119 (11th Cir. 2014) (a court must apply the </w:t>
      </w:r>
      <w:r w:rsidRPr="00CF593D">
        <w:t>“uniform nationwide interpretation of the federal statute by the centralized ex</w:t>
      </w:r>
      <w:r w:rsidR="0031317C">
        <w:t>pert agency created by Congress</w:t>
      </w:r>
      <w:r w:rsidRPr="00CF593D">
        <w:t>”</w:t>
      </w:r>
      <w:r w:rsidR="0031317C">
        <w:t xml:space="preserve">);  </w:t>
      </w:r>
      <w:r w:rsidR="0031317C" w:rsidRPr="003D2072">
        <w:rPr>
          <w:i/>
        </w:rPr>
        <w:t>Nack v. Walburg</w:t>
      </w:r>
      <w:r w:rsidR="0031317C" w:rsidRPr="0031317C">
        <w:t xml:space="preserve">, 715 F.3d 680, 685 (8th Cir. 2013); </w:t>
      </w:r>
      <w:r w:rsidR="0031317C" w:rsidRPr="003D2072">
        <w:rPr>
          <w:i/>
        </w:rPr>
        <w:t>CE Design, Ltd. v. Prism Bus. Media, Inc.</w:t>
      </w:r>
      <w:r w:rsidR="0031317C" w:rsidRPr="0031317C">
        <w:t xml:space="preserve">, 606 F.3d 443, 450 (7th Cir. 2010); </w:t>
      </w:r>
      <w:r w:rsidR="0031317C" w:rsidRPr="003D2072">
        <w:rPr>
          <w:i/>
        </w:rPr>
        <w:t>United States v. Dunifer</w:t>
      </w:r>
      <w:r w:rsidR="0031317C" w:rsidRPr="0031317C">
        <w:t xml:space="preserve">, 219 F.3d 1004, 1008 (9th Cir. 2000).  </w:t>
      </w:r>
    </w:p>
  </w:footnote>
  <w:footnote w:id="35">
    <w:p w:rsidR="00FB6328" w:rsidRPr="003969B5" w:rsidRDefault="00FB6328" w:rsidP="009F7734">
      <w:pPr>
        <w:pStyle w:val="FootnoteText"/>
      </w:pPr>
      <w:r>
        <w:rPr>
          <w:rStyle w:val="FootnoteReference"/>
        </w:rPr>
        <w:footnoteRef/>
      </w:r>
      <w:r>
        <w:t xml:space="preserve"> </w:t>
      </w:r>
      <w:r>
        <w:rPr>
          <w:i/>
        </w:rPr>
        <w:t xml:space="preserve">Second Report and Order, </w:t>
      </w:r>
      <w:r>
        <w:t>22 FCC Rcd at 19642-43.</w:t>
      </w:r>
    </w:p>
  </w:footnote>
  <w:footnote w:id="36">
    <w:p w:rsidR="00FB6328" w:rsidRDefault="00FB6328" w:rsidP="009F7734">
      <w:pPr>
        <w:pStyle w:val="FootnoteText"/>
        <w:tabs>
          <w:tab w:val="left" w:pos="180"/>
          <w:tab w:val="left" w:pos="720"/>
          <w:tab w:val="left" w:pos="1440"/>
          <w:tab w:val="left" w:pos="2160"/>
        </w:tabs>
      </w:pPr>
      <w:r>
        <w:rPr>
          <w:rStyle w:val="FootnoteCharacters"/>
        </w:rPr>
        <w:footnoteRef/>
      </w:r>
      <w:r>
        <w:rPr>
          <w:i/>
        </w:rPr>
        <w:tab/>
        <w:t>See</w:t>
      </w:r>
      <w:r>
        <w:t xml:space="preserve"> City of Albuquerque, New Mexico </w:t>
      </w:r>
      <w:r>
        <w:rPr>
          <w:i/>
        </w:rPr>
        <w:t>et al.</w:t>
      </w:r>
      <w:r>
        <w:t xml:space="preserve"> Petition for Reconsideration at 14-15; NATOA </w:t>
      </w:r>
      <w:r>
        <w:rPr>
          <w:i/>
        </w:rPr>
        <w:t>et al.</w:t>
      </w:r>
      <w:r>
        <w:t xml:space="preserve"> Petition for Reconsideration and Clarification at 4-6.</w:t>
      </w:r>
    </w:p>
  </w:footnote>
  <w:footnote w:id="37">
    <w:p w:rsidR="00FB6328" w:rsidRDefault="00FB6328" w:rsidP="009F7734">
      <w:pPr>
        <w:pStyle w:val="FootnoteText"/>
        <w:tabs>
          <w:tab w:val="left" w:pos="180"/>
          <w:tab w:val="left" w:pos="720"/>
          <w:tab w:val="left" w:pos="1440"/>
          <w:tab w:val="left" w:pos="2160"/>
        </w:tabs>
      </w:pPr>
      <w:r>
        <w:rPr>
          <w:rStyle w:val="FootnoteCharacters"/>
        </w:rPr>
        <w:footnoteRef/>
      </w:r>
      <w:r>
        <w:rPr>
          <w:i/>
        </w:rPr>
        <w:tab/>
        <w:t xml:space="preserve">See </w:t>
      </w:r>
      <w:r>
        <w:t>NCTA Opposition to Petitions for Reconsideration at 7-8.</w:t>
      </w:r>
    </w:p>
  </w:footnote>
  <w:footnote w:id="38">
    <w:p w:rsidR="00FB6328" w:rsidRDefault="00FB6328" w:rsidP="009F7734">
      <w:pPr>
        <w:pStyle w:val="FootnoteText"/>
        <w:tabs>
          <w:tab w:val="left" w:pos="180"/>
          <w:tab w:val="left" w:pos="720"/>
          <w:tab w:val="left" w:pos="1440"/>
          <w:tab w:val="left" w:pos="2160"/>
        </w:tabs>
      </w:pPr>
      <w:r>
        <w:rPr>
          <w:rStyle w:val="FootnoteCharacters"/>
        </w:rPr>
        <w:footnoteRef/>
      </w:r>
      <w:r>
        <w:rPr>
          <w:i/>
        </w:rPr>
        <w:tab/>
        <w:t>See</w:t>
      </w:r>
      <w:r>
        <w:t xml:space="preserve"> NATOA Reply to Oppositions to Petition for Reconsideration and Clarification at 5.</w:t>
      </w:r>
    </w:p>
  </w:footnote>
  <w:footnote w:id="39">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Pr>
          <w:i/>
        </w:rPr>
        <w:t>Second Report and Order,</w:t>
      </w:r>
      <w:r>
        <w:t xml:space="preserve"> 22 FCC Rcd at 1964</w:t>
      </w:r>
      <w:r w:rsidR="0089115B">
        <w:t>3</w:t>
      </w:r>
      <w:r>
        <w:t>.</w:t>
      </w:r>
    </w:p>
  </w:footnote>
  <w:footnote w:id="40">
    <w:p w:rsidR="00463470" w:rsidRDefault="00463470" w:rsidP="009F7734">
      <w:pPr>
        <w:pStyle w:val="FootnoteText"/>
        <w:tabs>
          <w:tab w:val="left" w:pos="180"/>
          <w:tab w:val="left" w:pos="720"/>
          <w:tab w:val="left" w:pos="1440"/>
          <w:tab w:val="left" w:pos="2160"/>
        </w:tabs>
      </w:pPr>
      <w:r>
        <w:rPr>
          <w:rStyle w:val="FootnoteReference"/>
        </w:rPr>
        <w:footnoteRef/>
      </w:r>
      <w:r>
        <w:t xml:space="preserve"> We disagree that </w:t>
      </w:r>
      <w:r w:rsidRPr="00463470">
        <w:t>MFN clauses have the same effect as level playing field regulations</w:t>
      </w:r>
      <w:r>
        <w:t xml:space="preserve">.  </w:t>
      </w:r>
      <w:r w:rsidRPr="00463470">
        <w:t xml:space="preserve">The </w:t>
      </w:r>
      <w:r>
        <w:rPr>
          <w:i/>
        </w:rPr>
        <w:t xml:space="preserve">First Report and Order </w:t>
      </w:r>
      <w:r>
        <w:t xml:space="preserve">noted the Commission’s concern that level playing field regulations </w:t>
      </w:r>
      <w:r w:rsidR="00407DAD">
        <w:t>“</w:t>
      </w:r>
      <w:r w:rsidR="00407DAD" w:rsidRPr="00407DAD">
        <w:t>unreasonably impede competitive entry</w:t>
      </w:r>
      <w:r w:rsidR="00407DAD">
        <w:t>”</w:t>
      </w:r>
      <w:r>
        <w:t xml:space="preserve">.  </w:t>
      </w:r>
      <w:r w:rsidR="00407DAD" w:rsidRPr="00407DAD">
        <w:rPr>
          <w:i/>
        </w:rPr>
        <w:t>First Report and Order</w:t>
      </w:r>
      <w:r w:rsidR="00407DAD">
        <w:t>, 22 FCC Rcd at 5163</w:t>
      </w:r>
      <w:r>
        <w:t>.  Unlike level playing field</w:t>
      </w:r>
      <w:r w:rsidRPr="00463470">
        <w:t xml:space="preserve"> </w:t>
      </w:r>
      <w:r>
        <w:t>regulations</w:t>
      </w:r>
      <w:r w:rsidRPr="00463470">
        <w:t xml:space="preserve">, MFN provisions </w:t>
      </w:r>
      <w:r>
        <w:t>have no effect on market entry</w:t>
      </w:r>
      <w:r w:rsidR="00407DAD">
        <w:t>;</w:t>
      </w:r>
      <w:r>
        <w:t xml:space="preserve"> they merely allow an incumbent to</w:t>
      </w:r>
      <w:r w:rsidRPr="00463470">
        <w:t xml:space="preserve"> obtain the same franchise terms that already applied to their new competitors.  Thus, MFN clauses don’t create the sort of market entry concer</w:t>
      </w:r>
      <w:r w:rsidR="00407DAD">
        <w:t xml:space="preserve">ns that led the FCC to preempt </w:t>
      </w:r>
      <w:r w:rsidRPr="00463470">
        <w:t>level playing field</w:t>
      </w:r>
      <w:r w:rsidR="00407DAD">
        <w:t xml:space="preserve"> regulations in the </w:t>
      </w:r>
      <w:r w:rsidR="00407DAD">
        <w:rPr>
          <w:i/>
        </w:rPr>
        <w:t>First Report and Order.</w:t>
      </w:r>
      <w:r>
        <w:t xml:space="preserve"> </w:t>
      </w:r>
    </w:p>
  </w:footnote>
  <w:footnote w:id="41">
    <w:p w:rsidR="00FB6328" w:rsidRDefault="00FB6328" w:rsidP="009F7734">
      <w:pPr>
        <w:pStyle w:val="FootnoteText"/>
        <w:tabs>
          <w:tab w:val="left" w:pos="180"/>
          <w:tab w:val="left" w:pos="720"/>
          <w:tab w:val="left" w:pos="1440"/>
          <w:tab w:val="left" w:pos="2160"/>
        </w:tabs>
      </w:pPr>
      <w:r>
        <w:rPr>
          <w:rStyle w:val="FootnoteReference"/>
        </w:rPr>
        <w:footnoteRef/>
      </w:r>
      <w:r>
        <w:t xml:space="preserve"> We also find that the FTC and DOJ decisions discussed by the Petitioners are not analogous to this situation, and therefore are not applicable here.</w:t>
      </w:r>
    </w:p>
  </w:footnote>
  <w:footnote w:id="42">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Pr>
          <w:i/>
          <w:iCs/>
        </w:rPr>
        <w:t>First Report and Order</w:t>
      </w:r>
      <w:r>
        <w:t>, 22 FCC Rcd at 5144-50; 47 U.S.C. § 542.</w:t>
      </w:r>
    </w:p>
  </w:footnote>
  <w:footnote w:id="43">
    <w:p w:rsidR="00FB6328" w:rsidRDefault="00FB6328" w:rsidP="009F7734">
      <w:pPr>
        <w:pStyle w:val="FootnoteText"/>
        <w:tabs>
          <w:tab w:val="left" w:pos="180"/>
          <w:tab w:val="left" w:pos="720"/>
          <w:tab w:val="left" w:pos="1440"/>
          <w:tab w:val="left" w:pos="2160"/>
        </w:tabs>
      </w:pPr>
      <w:r>
        <w:rPr>
          <w:rStyle w:val="FootnoteCharacters"/>
        </w:rPr>
        <w:footnoteRef/>
      </w:r>
      <w:r>
        <w:rPr>
          <w:i/>
          <w:iCs/>
        </w:rPr>
        <w:tab/>
        <w:t xml:space="preserve"> First Report and Order</w:t>
      </w:r>
      <w:r>
        <w:t>, 22 FCC Rcd at 5147-50.</w:t>
      </w:r>
    </w:p>
  </w:footnote>
  <w:footnote w:id="44">
    <w:p w:rsidR="00FB6328" w:rsidRDefault="00FB6328" w:rsidP="009F7734">
      <w:pPr>
        <w:pStyle w:val="FootnoteText"/>
        <w:tabs>
          <w:tab w:val="left" w:pos="180"/>
          <w:tab w:val="left" w:pos="720"/>
          <w:tab w:val="left" w:pos="1440"/>
          <w:tab w:val="left" w:pos="2160"/>
        </w:tabs>
      </w:pPr>
      <w:r>
        <w:rPr>
          <w:rStyle w:val="FootnoteCharacters"/>
        </w:rPr>
        <w:footnoteRef/>
      </w:r>
      <w:r>
        <w:rPr>
          <w:i/>
        </w:rPr>
        <w:tab/>
        <w:t xml:space="preserve"> Second Report and Order,</w:t>
      </w:r>
      <w:r>
        <w:t xml:space="preserve"> 22 FCC Rcd at 19637-8.</w:t>
      </w:r>
    </w:p>
  </w:footnote>
  <w:footnote w:id="45">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City of Albuquerque, New Mexico Petition for Reconsideration </w:t>
      </w:r>
      <w:r>
        <w:rPr>
          <w:i/>
        </w:rPr>
        <w:t xml:space="preserve">et al. </w:t>
      </w:r>
      <w:r>
        <w:t>at 5-8; 47 U.S.C. § 542(g)(2)(D).</w:t>
      </w:r>
    </w:p>
  </w:footnote>
  <w:footnote w:id="46">
    <w:p w:rsidR="00FB6328" w:rsidRDefault="00FB6328" w:rsidP="009F7734">
      <w:pPr>
        <w:pStyle w:val="FootnoteText"/>
        <w:tabs>
          <w:tab w:val="left" w:pos="180"/>
          <w:tab w:val="left" w:pos="720"/>
          <w:tab w:val="left" w:pos="1440"/>
          <w:tab w:val="left" w:pos="2160"/>
        </w:tabs>
      </w:pPr>
      <w:r>
        <w:rPr>
          <w:rStyle w:val="FootnoteCharacters"/>
        </w:rPr>
        <w:footnoteRef/>
      </w:r>
      <w:r>
        <w:rPr>
          <w:i/>
        </w:rPr>
        <w:tab/>
        <w:t>See</w:t>
      </w:r>
      <w:r>
        <w:t xml:space="preserve"> Verizon Opposition to Petitions for Reconsideration at 8-10.</w:t>
      </w:r>
    </w:p>
  </w:footnote>
  <w:footnote w:id="47">
    <w:p w:rsidR="00FB6328" w:rsidRDefault="00FB6328" w:rsidP="009F7734">
      <w:pPr>
        <w:pStyle w:val="FootnoteText"/>
        <w:tabs>
          <w:tab w:val="left" w:pos="180"/>
          <w:tab w:val="left" w:pos="720"/>
          <w:tab w:val="left" w:pos="1440"/>
          <w:tab w:val="left" w:pos="2160"/>
        </w:tabs>
      </w:pPr>
      <w:r>
        <w:rPr>
          <w:rStyle w:val="FootnoteCharacters"/>
        </w:rPr>
        <w:footnoteRef/>
      </w:r>
      <w:r>
        <w:rPr>
          <w:i/>
        </w:rPr>
        <w:tab/>
        <w:t>See</w:t>
      </w:r>
      <w:r>
        <w:t xml:space="preserve"> City of Albuquerque, New Mexico </w:t>
      </w:r>
      <w:r>
        <w:rPr>
          <w:i/>
        </w:rPr>
        <w:t>et al.</w:t>
      </w:r>
      <w:r>
        <w:t xml:space="preserve"> Reply to Oppositions to Petition for Reconsideration at 2-3.</w:t>
      </w:r>
    </w:p>
  </w:footnote>
  <w:footnote w:id="48">
    <w:p w:rsidR="00FB6328" w:rsidRPr="003706B2" w:rsidRDefault="00FB6328" w:rsidP="009F7734">
      <w:pPr>
        <w:pStyle w:val="FootnoteText"/>
        <w:tabs>
          <w:tab w:val="left" w:pos="180"/>
          <w:tab w:val="left" w:pos="720"/>
          <w:tab w:val="left" w:pos="1440"/>
          <w:tab w:val="left" w:pos="2160"/>
        </w:tabs>
      </w:pPr>
      <w:r>
        <w:rPr>
          <w:rStyle w:val="FootnoteCharacters"/>
        </w:rPr>
        <w:footnoteRef/>
      </w:r>
      <w:r>
        <w:tab/>
        <w:t xml:space="preserve"> </w:t>
      </w:r>
      <w:r w:rsidRPr="003255CF">
        <w:rPr>
          <w:i/>
        </w:rPr>
        <w:t>First Report and Order</w:t>
      </w:r>
      <w:r w:rsidRPr="003255CF">
        <w:t>,</w:t>
      </w:r>
      <w:r w:rsidRPr="003255CF">
        <w:rPr>
          <w:i/>
        </w:rPr>
        <w:t xml:space="preserve"> </w:t>
      </w:r>
      <w:r w:rsidRPr="00CF18EF">
        <w:t>22 FCC Rcd at 5145-49.  Section 622(g)(2)(D) exempts from franchise fees</w:t>
      </w:r>
      <w:r>
        <w:t xml:space="preserve"> </w:t>
      </w:r>
      <w:r w:rsidRPr="003255CF">
        <w:t xml:space="preserve"> </w:t>
      </w:r>
      <w:r>
        <w:t>“</w:t>
      </w:r>
      <w:r w:rsidRPr="00E1643A">
        <w:t xml:space="preserve">requirements or charges incidental to the awarding or enforcing of the franchise, </w:t>
      </w:r>
      <w:r w:rsidRPr="00192015">
        <w:rPr>
          <w:i/>
        </w:rPr>
        <w:t>including payments for bonds, security funds, letters of credit, insurance, indemnification, penalties, or liquidated damages</w:t>
      </w:r>
      <w:r>
        <w:t>.” (emphasis added).</w:t>
      </w:r>
    </w:p>
  </w:footnote>
  <w:footnote w:id="49">
    <w:p w:rsidR="00FB6328" w:rsidRDefault="00FB6328" w:rsidP="009F7734">
      <w:pPr>
        <w:pStyle w:val="FootnoteText"/>
        <w:tabs>
          <w:tab w:val="left" w:pos="180"/>
          <w:tab w:val="left" w:pos="720"/>
          <w:tab w:val="left" w:pos="1440"/>
          <w:tab w:val="left" w:pos="2160"/>
        </w:tabs>
      </w:pPr>
      <w:r>
        <w:rPr>
          <w:rStyle w:val="FootnoteCharacters"/>
        </w:rPr>
        <w:footnoteRef/>
      </w:r>
      <w:r>
        <w:rPr>
          <w:i/>
        </w:rPr>
        <w:tab/>
        <w:t xml:space="preserve"> First Report and Order</w:t>
      </w:r>
      <w:r>
        <w:t xml:space="preserve">, 22 FCC Rcd at 5147-49.  </w:t>
      </w:r>
      <w:r>
        <w:rPr>
          <w:i/>
        </w:rPr>
        <w:t>See</w:t>
      </w:r>
      <w:r>
        <w:t xml:space="preserve"> </w:t>
      </w:r>
      <w:r>
        <w:rPr>
          <w:i/>
        </w:rPr>
        <w:t xml:space="preserve">also </w:t>
      </w:r>
      <w:r>
        <w:t xml:space="preserve">City of Albuquerque, New Mexico </w:t>
      </w:r>
      <w:r>
        <w:rPr>
          <w:i/>
        </w:rPr>
        <w:t xml:space="preserve">et al. </w:t>
      </w:r>
      <w:r>
        <w:t>Petition for Reconsideration at 5-8.</w:t>
      </w:r>
    </w:p>
  </w:footnote>
  <w:footnote w:id="50">
    <w:p w:rsidR="00FB6328" w:rsidRDefault="00FB6328" w:rsidP="009F7734">
      <w:pPr>
        <w:pStyle w:val="FootnoteText"/>
        <w:tabs>
          <w:tab w:val="left" w:pos="180"/>
          <w:tab w:val="left" w:pos="720"/>
          <w:tab w:val="left" w:pos="1440"/>
          <w:tab w:val="left" w:pos="2160"/>
        </w:tabs>
      </w:pPr>
      <w:r w:rsidRPr="003255CF">
        <w:rPr>
          <w:rStyle w:val="FootnoteReference"/>
        </w:rPr>
        <w:footnoteRef/>
      </w:r>
      <w:r w:rsidRPr="003255CF">
        <w:t xml:space="preserve"> </w:t>
      </w:r>
      <w:r w:rsidRPr="00192015">
        <w:rPr>
          <w:i/>
        </w:rPr>
        <w:t>Alliance for Community Media v</w:t>
      </w:r>
      <w:r w:rsidRPr="003255CF">
        <w:rPr>
          <w:i/>
        </w:rPr>
        <w:t>. FCC</w:t>
      </w:r>
      <w:r w:rsidRPr="003255CF">
        <w:t>, 529 F.3d 763, 783 (6</w:t>
      </w:r>
      <w:r w:rsidRPr="003255CF">
        <w:rPr>
          <w:vertAlign w:val="superscript"/>
        </w:rPr>
        <w:t>th</w:t>
      </w:r>
      <w:r w:rsidRPr="003255CF">
        <w:t xml:space="preserve"> Cir. 2008)</w:t>
      </w:r>
      <w:r w:rsidRPr="00192015">
        <w:t xml:space="preserve"> </w:t>
      </w:r>
    </w:p>
  </w:footnote>
  <w:footnote w:id="51">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Pr>
          <w:i/>
        </w:rPr>
        <w:t xml:space="preserve">See </w:t>
      </w:r>
      <w:r>
        <w:t>47 U.S.C. § 542(g)(2)(D).</w:t>
      </w:r>
    </w:p>
  </w:footnote>
  <w:footnote w:id="52">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Pr>
          <w:i/>
        </w:rPr>
        <w:t>Second Report and Order</w:t>
      </w:r>
      <w:r>
        <w:t xml:space="preserve">, 22 FCC Rcd at 19638. </w:t>
      </w:r>
    </w:p>
  </w:footnote>
  <w:footnote w:id="53">
    <w:p w:rsidR="00FB6328" w:rsidRPr="003255CF" w:rsidRDefault="00FB6328" w:rsidP="009F7734">
      <w:pPr>
        <w:pStyle w:val="FootnoteText"/>
      </w:pPr>
      <w:r>
        <w:rPr>
          <w:rStyle w:val="FootnoteReference"/>
        </w:rPr>
        <w:footnoteRef/>
      </w:r>
      <w:r>
        <w:t xml:space="preserve"> </w:t>
      </w:r>
      <w:r>
        <w:rPr>
          <w:i/>
        </w:rPr>
        <w:t xml:space="preserve">First Report and Order, </w:t>
      </w:r>
      <w:r>
        <w:t xml:space="preserve">22 FCC Rcd at </w:t>
      </w:r>
      <w:r w:rsidR="00763A82">
        <w:t>5149</w:t>
      </w:r>
      <w:r>
        <w:t>.</w:t>
      </w:r>
    </w:p>
  </w:footnote>
  <w:footnote w:id="54">
    <w:p w:rsidR="00FB6328" w:rsidRPr="003255CF" w:rsidRDefault="00FB6328" w:rsidP="009F7734">
      <w:pPr>
        <w:pStyle w:val="FootnoteText"/>
      </w:pPr>
      <w:r>
        <w:rPr>
          <w:rStyle w:val="FootnoteReference"/>
        </w:rPr>
        <w:footnoteRef/>
      </w:r>
      <w:r>
        <w:t xml:space="preserve"> </w:t>
      </w:r>
      <w:r>
        <w:rPr>
          <w:i/>
        </w:rPr>
        <w:t>First Report and Order</w:t>
      </w:r>
      <w:r>
        <w:t xml:space="preserve">, 22 FCC Rcd at </w:t>
      </w:r>
      <w:r w:rsidR="00763A82">
        <w:t>5149</w:t>
      </w:r>
      <w:r>
        <w:t>.</w:t>
      </w:r>
    </w:p>
  </w:footnote>
  <w:footnote w:id="55">
    <w:p w:rsidR="002B7BC1" w:rsidRPr="006818A9" w:rsidRDefault="002B7BC1" w:rsidP="009F7734">
      <w:pPr>
        <w:pStyle w:val="FootnoteText"/>
        <w:rPr>
          <w:i/>
        </w:rPr>
      </w:pPr>
      <w:r>
        <w:rPr>
          <w:rStyle w:val="FootnoteReference"/>
        </w:rPr>
        <w:footnoteRef/>
      </w:r>
      <w:r>
        <w:t xml:space="preserve"> </w:t>
      </w:r>
      <w:r>
        <w:rPr>
          <w:i/>
        </w:rPr>
        <w:t xml:space="preserve">Id.  </w:t>
      </w:r>
    </w:p>
  </w:footnote>
  <w:footnote w:id="56">
    <w:p w:rsidR="006818A9" w:rsidRDefault="006818A9" w:rsidP="009F7734">
      <w:pPr>
        <w:pStyle w:val="FootnoteText"/>
      </w:pPr>
      <w:r>
        <w:rPr>
          <w:rStyle w:val="FootnoteReference"/>
        </w:rPr>
        <w:footnoteRef/>
      </w:r>
      <w:r>
        <w:t xml:space="preserve"> </w:t>
      </w:r>
      <w:r w:rsidRPr="006818A9">
        <w:rPr>
          <w:i/>
        </w:rPr>
        <w:t>First Report and Order</w:t>
      </w:r>
      <w:r w:rsidRPr="006818A9">
        <w:t>, 22 FCC Rcd at 5149</w:t>
      </w:r>
      <w:r>
        <w:t>-50</w:t>
      </w:r>
      <w:r w:rsidRPr="006818A9">
        <w:t>.</w:t>
      </w:r>
    </w:p>
  </w:footnote>
  <w:footnote w:id="57">
    <w:p w:rsidR="002B7BC1" w:rsidRDefault="002B7BC1" w:rsidP="009F7734">
      <w:pPr>
        <w:pStyle w:val="FootnoteText"/>
      </w:pPr>
      <w:r>
        <w:rPr>
          <w:rStyle w:val="FootnoteReference"/>
        </w:rPr>
        <w:footnoteRef/>
      </w:r>
      <w:r>
        <w:t xml:space="preserve"> </w:t>
      </w:r>
      <w:r>
        <w:rPr>
          <w:i/>
        </w:rPr>
        <w:t>See</w:t>
      </w:r>
      <w:r w:rsidR="00CD500C">
        <w:rPr>
          <w:i/>
        </w:rPr>
        <w:t xml:space="preserve"> </w:t>
      </w:r>
      <w:r w:rsidRPr="002B7BC1">
        <w:rPr>
          <w:i/>
        </w:rPr>
        <w:t>Alliance for Community Media</w:t>
      </w:r>
      <w:r w:rsidRPr="002B7BC1">
        <w:t>, 529 F.3d at 782</w:t>
      </w:r>
      <w:r>
        <w:t xml:space="preserve"> (discussing </w:t>
      </w:r>
      <w:r w:rsidR="00CD500C" w:rsidRPr="00CD500C">
        <w:t xml:space="preserve">“free or discounted services” </w:t>
      </w:r>
      <w:r w:rsidR="002505C4">
        <w:t xml:space="preserve">separately from </w:t>
      </w:r>
      <w:r w:rsidR="00CD500C" w:rsidRPr="00CD500C">
        <w:t>“any requests made by LFAs that are unrelated to the provision of cable services”)</w:t>
      </w:r>
      <w:r w:rsidRPr="002B7BC1">
        <w:t xml:space="preserve">.  </w:t>
      </w:r>
    </w:p>
  </w:footnote>
  <w:footnote w:id="58">
    <w:p w:rsidR="00FB6328" w:rsidRPr="00E1643A" w:rsidRDefault="00FB6328" w:rsidP="009F7734">
      <w:pPr>
        <w:pStyle w:val="FootnoteText"/>
      </w:pPr>
      <w:r>
        <w:rPr>
          <w:rStyle w:val="FootnoteReference"/>
        </w:rPr>
        <w:footnoteRef/>
      </w:r>
      <w:r>
        <w:t xml:space="preserve"> </w:t>
      </w:r>
      <w:r>
        <w:rPr>
          <w:i/>
        </w:rPr>
        <w:t>Compare First Report and Order</w:t>
      </w:r>
      <w:r w:rsidR="00291AF6">
        <w:t>, 22 FCC Rcd</w:t>
      </w:r>
      <w:r>
        <w:rPr>
          <w:i/>
        </w:rPr>
        <w:t xml:space="preserve"> </w:t>
      </w:r>
      <w:r>
        <w:t xml:space="preserve">at </w:t>
      </w:r>
      <w:r w:rsidR="00763A82">
        <w:t>5149</w:t>
      </w:r>
      <w:r>
        <w:t xml:space="preserve"> </w:t>
      </w:r>
      <w:r w:rsidR="00291AF6">
        <w:rPr>
          <w:i/>
        </w:rPr>
        <w:t>with</w:t>
      </w:r>
      <w:r>
        <w:t xml:space="preserve"> </w:t>
      </w:r>
      <w:r>
        <w:rPr>
          <w:i/>
        </w:rPr>
        <w:t>Second Report and Order</w:t>
      </w:r>
      <w:r w:rsidR="00291AF6">
        <w:t>, 22 FCC Rcd</w:t>
      </w:r>
      <w:r>
        <w:rPr>
          <w:i/>
        </w:rPr>
        <w:t xml:space="preserve"> </w:t>
      </w:r>
      <w:r>
        <w:t>at</w:t>
      </w:r>
      <w:r w:rsidR="0089115B">
        <w:t xml:space="preserve"> 19637-38</w:t>
      </w:r>
      <w:r w:rsidR="00571597">
        <w:t xml:space="preserve">, </w:t>
      </w:r>
      <w:r>
        <w:t>fn 32.</w:t>
      </w:r>
      <w:r w:rsidR="00324371">
        <w:t xml:space="preserve">  </w:t>
      </w:r>
    </w:p>
  </w:footnote>
  <w:footnote w:id="59">
    <w:p w:rsidR="00FB6328" w:rsidRDefault="00FB6328" w:rsidP="009F7734">
      <w:pPr>
        <w:pStyle w:val="FootnoteText"/>
      </w:pPr>
      <w:r>
        <w:rPr>
          <w:rStyle w:val="FootnoteReference"/>
        </w:rPr>
        <w:footnoteRef/>
      </w:r>
      <w:r>
        <w:t xml:space="preserve"> </w:t>
      </w:r>
      <w:r w:rsidRPr="00077B0E">
        <w:rPr>
          <w:i/>
        </w:rPr>
        <w:t>First Report and Order</w:t>
      </w:r>
      <w:r>
        <w:t xml:space="preserve">, 22 FCC Rcd at 5155-56.  </w:t>
      </w:r>
    </w:p>
  </w:footnote>
  <w:footnote w:id="60">
    <w:p w:rsidR="00FB6328" w:rsidRDefault="00FB6328" w:rsidP="009F7734">
      <w:pPr>
        <w:pStyle w:val="FootnoteText"/>
      </w:pPr>
      <w:r>
        <w:rPr>
          <w:rStyle w:val="FootnoteReference"/>
        </w:rPr>
        <w:footnoteRef/>
      </w:r>
      <w:r>
        <w:t xml:space="preserve"> </w:t>
      </w:r>
      <w:r>
        <w:rPr>
          <w:i/>
        </w:rPr>
        <w:t>Second Report and Order</w:t>
      </w:r>
      <w:r>
        <w:t>, 22 FCC Rcd at 19640.</w:t>
      </w:r>
    </w:p>
  </w:footnote>
  <w:footnote w:id="61">
    <w:p w:rsidR="00FB6328" w:rsidRPr="00192015" w:rsidRDefault="00FB6328" w:rsidP="009F7734">
      <w:pPr>
        <w:pStyle w:val="FootnoteText"/>
        <w:tabs>
          <w:tab w:val="left" w:pos="180"/>
          <w:tab w:val="left" w:pos="720"/>
          <w:tab w:val="left" w:pos="1440"/>
          <w:tab w:val="left" w:pos="2160"/>
        </w:tabs>
        <w:rPr>
          <w:i/>
        </w:rPr>
      </w:pPr>
      <w:r>
        <w:rPr>
          <w:rStyle w:val="FootnoteReference"/>
        </w:rPr>
        <w:footnoteRef/>
      </w:r>
      <w:r>
        <w:t xml:space="preserve"> </w:t>
      </w:r>
      <w:r>
        <w:rPr>
          <w:i/>
        </w:rPr>
        <w:t xml:space="preserve">See </w:t>
      </w:r>
      <w:r>
        <w:t xml:space="preserve">City of Albuquerque, New Mexico </w:t>
      </w:r>
      <w:r>
        <w:rPr>
          <w:i/>
        </w:rPr>
        <w:t>et al.</w:t>
      </w:r>
      <w:r>
        <w:t xml:space="preserve"> </w:t>
      </w:r>
      <w:r w:rsidRPr="003255CF">
        <w:t xml:space="preserve">Petition for Reconsideration at 8, </w:t>
      </w:r>
      <w:r>
        <w:rPr>
          <w:i/>
        </w:rPr>
        <w:t>citing</w:t>
      </w:r>
      <w:r w:rsidRPr="00192015">
        <w:rPr>
          <w:color w:val="000000"/>
        </w:rPr>
        <w:t xml:space="preserve"> 47 U.S.C. § 552 (a LFA may establish and enforce “customer service requirements of the cable operator”); 47 U.S.C. § 551 (a cable operator is subject to privacy requirements when it provides “any cable service or other service to a subscriber”).</w:t>
      </w:r>
    </w:p>
  </w:footnote>
  <w:footnote w:id="62">
    <w:p w:rsidR="00FB6328" w:rsidRDefault="00FB6328" w:rsidP="009F7734">
      <w:pPr>
        <w:pStyle w:val="FootnoteText"/>
        <w:tabs>
          <w:tab w:val="left" w:pos="180"/>
          <w:tab w:val="left" w:pos="720"/>
          <w:tab w:val="left" w:pos="1440"/>
          <w:tab w:val="left" w:pos="2160"/>
        </w:tabs>
      </w:pPr>
      <w:r>
        <w:rPr>
          <w:rStyle w:val="FootnoteCharacters"/>
        </w:rPr>
        <w:footnoteRef/>
      </w:r>
      <w:r>
        <w:rPr>
          <w:i/>
        </w:rPr>
        <w:tab/>
        <w:t>See</w:t>
      </w:r>
      <w:r>
        <w:t xml:space="preserve"> Verizon Opposition to Petitions for Reconsideration at 6</w:t>
      </w:r>
      <w:r w:rsidRPr="003255CF">
        <w:t xml:space="preserve">, </w:t>
      </w:r>
      <w:r w:rsidRPr="003255CF">
        <w:rPr>
          <w:color w:val="000000"/>
        </w:rPr>
        <w:t xml:space="preserve">noting that </w:t>
      </w:r>
      <w:r>
        <w:rPr>
          <w:color w:val="000000"/>
        </w:rPr>
        <w:t>“</w:t>
      </w:r>
      <w:r w:rsidRPr="003255CF">
        <w:rPr>
          <w:color w:val="000000"/>
        </w:rPr>
        <w:t xml:space="preserve">a provider is only a </w:t>
      </w:r>
      <w:r>
        <w:rPr>
          <w:color w:val="000000"/>
        </w:rPr>
        <w:t>‘</w:t>
      </w:r>
      <w:r w:rsidRPr="003255CF">
        <w:rPr>
          <w:color w:val="000000"/>
        </w:rPr>
        <w:t>cable operator</w:t>
      </w:r>
      <w:r>
        <w:rPr>
          <w:color w:val="000000"/>
        </w:rPr>
        <w:t>’</w:t>
      </w:r>
      <w:r w:rsidRPr="00192015">
        <w:rPr>
          <w:color w:val="000000"/>
        </w:rPr>
        <w:t xml:space="preserve"> to the extent that</w:t>
      </w:r>
      <w:r w:rsidRPr="003255CF">
        <w:rPr>
          <w:color w:val="000000"/>
        </w:rPr>
        <w:t xml:space="preserve"> it is providing </w:t>
      </w:r>
      <w:r>
        <w:rPr>
          <w:color w:val="000000"/>
        </w:rPr>
        <w:t>‘</w:t>
      </w:r>
      <w:r w:rsidRPr="003255CF">
        <w:rPr>
          <w:color w:val="000000"/>
        </w:rPr>
        <w:t>cable service</w:t>
      </w:r>
      <w:r>
        <w:rPr>
          <w:color w:val="000000"/>
        </w:rPr>
        <w:t>’</w:t>
      </w:r>
      <w:r w:rsidRPr="003255CF">
        <w:rPr>
          <w:color w:val="000000"/>
        </w:rPr>
        <w:t xml:space="preserve"> over a </w:t>
      </w:r>
      <w:r>
        <w:rPr>
          <w:color w:val="000000"/>
        </w:rPr>
        <w:t>‘</w:t>
      </w:r>
      <w:r w:rsidRPr="003255CF">
        <w:rPr>
          <w:color w:val="000000"/>
        </w:rPr>
        <w:t>cable system.</w:t>
      </w:r>
      <w:r>
        <w:rPr>
          <w:color w:val="000000"/>
        </w:rPr>
        <w:t>’</w:t>
      </w:r>
      <w:r w:rsidRPr="00192015">
        <w:rPr>
          <w:color w:val="000000"/>
        </w:rPr>
        <w:t xml:space="preserve"> 47 U.S.C. § 522(5)</w:t>
      </w:r>
      <w:r>
        <w:t>.</w:t>
      </w:r>
    </w:p>
  </w:footnote>
  <w:footnote w:id="63">
    <w:p w:rsidR="00FB6328" w:rsidRDefault="00FB6328" w:rsidP="009F7734">
      <w:pPr>
        <w:pStyle w:val="FootnoteText"/>
        <w:tabs>
          <w:tab w:val="left" w:pos="180"/>
          <w:tab w:val="left" w:pos="720"/>
          <w:tab w:val="left" w:pos="1440"/>
          <w:tab w:val="left" w:pos="2160"/>
        </w:tabs>
      </w:pPr>
      <w:r>
        <w:rPr>
          <w:rStyle w:val="FootnoteCharacters"/>
        </w:rPr>
        <w:footnoteRef/>
      </w:r>
      <w:r>
        <w:rPr>
          <w:i/>
        </w:rPr>
        <w:tab/>
        <w:t>See</w:t>
      </w:r>
      <w:r>
        <w:t xml:space="preserve"> City of Albuquerque, New Mexico </w:t>
      </w:r>
      <w:r>
        <w:rPr>
          <w:i/>
        </w:rPr>
        <w:t>et al.</w:t>
      </w:r>
      <w:r>
        <w:t xml:space="preserve"> Reply to Oppositions to Petition for Reconsideration at 6-7, </w:t>
      </w:r>
      <w:r>
        <w:rPr>
          <w:i/>
        </w:rPr>
        <w:t>citing</w:t>
      </w:r>
      <w:r>
        <w:t xml:space="preserve"> H.R. No. 98-834, as reprinted in 1984 U.S.C.C.A.N. 465</w:t>
      </w:r>
      <w:r w:rsidR="0069370B">
        <w:t>5</w:t>
      </w:r>
      <w:r>
        <w:t>, 4681.</w:t>
      </w:r>
    </w:p>
  </w:footnote>
  <w:footnote w:id="64">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Pr>
          <w:i/>
        </w:rPr>
        <w:t>Second Report and Order</w:t>
      </w:r>
      <w:r>
        <w:t xml:space="preserve">, 22 FCC Rcd at 19640-41; </w:t>
      </w:r>
      <w:r>
        <w:rPr>
          <w:i/>
        </w:rPr>
        <w:t xml:space="preserve">First Report and Order, </w:t>
      </w:r>
      <w:r>
        <w:t>22 FCC Rcd at 5155.</w:t>
      </w:r>
    </w:p>
  </w:footnote>
  <w:footnote w:id="65">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Pr>
          <w:i/>
        </w:rPr>
        <w:t>Second Report and Order</w:t>
      </w:r>
      <w:r>
        <w:t xml:space="preserve"> at 19640-41.</w:t>
      </w:r>
    </w:p>
  </w:footnote>
  <w:footnote w:id="66">
    <w:p w:rsidR="003255CF" w:rsidRDefault="003255CF" w:rsidP="009F7734">
      <w:pPr>
        <w:pStyle w:val="FootnoteText"/>
        <w:tabs>
          <w:tab w:val="left" w:pos="180"/>
          <w:tab w:val="left" w:pos="720"/>
          <w:tab w:val="left" w:pos="1440"/>
          <w:tab w:val="left" w:pos="2160"/>
        </w:tabs>
      </w:pPr>
      <w:r>
        <w:rPr>
          <w:rStyle w:val="FootnoteReference"/>
        </w:rPr>
        <w:footnoteRef/>
      </w:r>
      <w:r>
        <w:t xml:space="preserve"> </w:t>
      </w:r>
      <w:r w:rsidR="00CF18EF">
        <w:t xml:space="preserve">Petitioners do claim that </w:t>
      </w:r>
      <w:r w:rsidR="00571597">
        <w:t>“</w:t>
      </w:r>
      <w:r w:rsidR="00CF18EF">
        <w:t>localities have authority over cable systems, even if those systems are used to provide other services.</w:t>
      </w:r>
      <w:r w:rsidR="00571597">
        <w:t>”</w:t>
      </w:r>
      <w:r w:rsidR="00CF18EF">
        <w:t xml:space="preserve">  </w:t>
      </w:r>
      <w:r w:rsidR="00CF18EF" w:rsidRPr="00192015">
        <w:rPr>
          <w:i/>
        </w:rPr>
        <w:t>See, e.g.,</w:t>
      </w:r>
      <w:r w:rsidR="00CF18EF">
        <w:t xml:space="preserve"> 1984 House Report at 4678-79, 4681.  While this portion of the legislative history discusses what constitutes a cable service, it does not indicate what authority localities have over such services.</w:t>
      </w:r>
      <w:r w:rsidR="00214561">
        <w:t xml:space="preserve">  Nor does it address whether localities may regulate non-cable services provided over cable systems.</w:t>
      </w:r>
    </w:p>
  </w:footnote>
  <w:footnote w:id="67">
    <w:p w:rsidR="00FB6328" w:rsidRDefault="00FB6328" w:rsidP="009F7734">
      <w:pPr>
        <w:pStyle w:val="FootnoteText"/>
        <w:tabs>
          <w:tab w:val="left" w:pos="180"/>
          <w:tab w:val="left" w:pos="720"/>
          <w:tab w:val="left" w:pos="1440"/>
          <w:tab w:val="left" w:pos="2160"/>
        </w:tabs>
      </w:pPr>
      <w:r>
        <w:rPr>
          <w:rStyle w:val="FootnoteCharacters"/>
        </w:rPr>
        <w:footnoteRef/>
      </w:r>
      <w:r>
        <w:rPr>
          <w:i/>
        </w:rPr>
        <w:tab/>
        <w:t xml:space="preserve"> See</w:t>
      </w:r>
      <w:r>
        <w:t xml:space="preserve"> 5 U.S.C. § 604.</w:t>
      </w:r>
    </w:p>
  </w:footnote>
  <w:footnote w:id="68">
    <w:p w:rsidR="00FB6328" w:rsidRDefault="00FB6328" w:rsidP="009F7734">
      <w:pPr>
        <w:pStyle w:val="FootnoteText"/>
        <w:tabs>
          <w:tab w:val="left" w:pos="180"/>
          <w:tab w:val="left" w:pos="720"/>
          <w:tab w:val="left" w:pos="1440"/>
          <w:tab w:val="left" w:pos="2160"/>
        </w:tabs>
      </w:pPr>
      <w:r>
        <w:rPr>
          <w:rStyle w:val="FootnoteCharacters"/>
        </w:rPr>
        <w:footnoteRef/>
      </w:r>
      <w:r>
        <w:rPr>
          <w:i/>
        </w:rPr>
        <w:tab/>
        <w:t xml:space="preserve"> See</w:t>
      </w:r>
      <w:r>
        <w:t xml:space="preserve"> City of Breckenridge Hills, Missouri Petition for Reconsideration at 2-3; NATOA Petition for Reconsideration and Clarification at 9.</w:t>
      </w:r>
    </w:p>
  </w:footnote>
  <w:footnote w:id="69">
    <w:p w:rsidR="00FB6328" w:rsidRDefault="00FB6328" w:rsidP="009F7734">
      <w:pPr>
        <w:pStyle w:val="FootnoteText"/>
        <w:tabs>
          <w:tab w:val="left" w:pos="180"/>
          <w:tab w:val="left" w:pos="720"/>
          <w:tab w:val="left" w:pos="1440"/>
          <w:tab w:val="left" w:pos="2160"/>
        </w:tabs>
      </w:pPr>
      <w:r>
        <w:rPr>
          <w:rStyle w:val="FootnoteCharacters"/>
        </w:rPr>
        <w:footnoteRef/>
      </w:r>
      <w:r>
        <w:rPr>
          <w:i/>
        </w:rPr>
        <w:tab/>
        <w:t xml:space="preserve"> See</w:t>
      </w:r>
      <w:r>
        <w:t xml:space="preserve"> City of Breckenridge Hills, Missouri Petition for Reconsideration at 6-9. </w:t>
      </w:r>
    </w:p>
  </w:footnote>
  <w:footnote w:id="70">
    <w:p w:rsidR="00FB6328" w:rsidRDefault="00FB6328" w:rsidP="009F7734">
      <w:pPr>
        <w:pStyle w:val="FootnoteText"/>
        <w:tabs>
          <w:tab w:val="left" w:pos="180"/>
          <w:tab w:val="left" w:pos="720"/>
          <w:tab w:val="left" w:pos="1440"/>
          <w:tab w:val="left" w:pos="2160"/>
        </w:tabs>
      </w:pPr>
      <w:r>
        <w:rPr>
          <w:rStyle w:val="FootnoteCharacters"/>
        </w:rPr>
        <w:footnoteRef/>
      </w:r>
      <w:r>
        <w:rPr>
          <w:i/>
        </w:rPr>
        <w:tab/>
        <w:t xml:space="preserve"> See</w:t>
      </w:r>
      <w:r>
        <w:t xml:space="preserve"> NATOA Petition on Reconsideration and Clarification at 6-10.</w:t>
      </w:r>
    </w:p>
  </w:footnote>
  <w:footnote w:id="71">
    <w:p w:rsidR="00FB6328" w:rsidRDefault="00FB6328" w:rsidP="009F7734">
      <w:pPr>
        <w:pStyle w:val="FootnoteText"/>
        <w:tabs>
          <w:tab w:val="left" w:pos="180"/>
          <w:tab w:val="left" w:pos="720"/>
          <w:tab w:val="left" w:pos="1440"/>
          <w:tab w:val="left" w:pos="2160"/>
        </w:tabs>
      </w:pPr>
      <w:r>
        <w:rPr>
          <w:rStyle w:val="FootnoteReference"/>
        </w:rPr>
        <w:footnoteRef/>
      </w:r>
      <w:r>
        <w:t xml:space="preserve"> </w:t>
      </w:r>
      <w:r w:rsidR="00430353" w:rsidRPr="00192015">
        <w:rPr>
          <w:i/>
        </w:rPr>
        <w:t>See</w:t>
      </w:r>
      <w:r w:rsidR="00430353" w:rsidRPr="00430353">
        <w:t xml:space="preserve"> City of Breckenridge Hills, Missouri Petition for Reconsideration at </w:t>
      </w:r>
      <w:r w:rsidR="00430353">
        <w:t>6-8</w:t>
      </w:r>
      <w:r w:rsidR="00E904FC">
        <w:t xml:space="preserve">, </w:t>
      </w:r>
      <w:r w:rsidR="00E904FC" w:rsidRPr="00E904FC">
        <w:t>NATOA Petition on Reconsideration and Clarification at 6-10</w:t>
      </w:r>
      <w:r w:rsidR="00E904FC">
        <w:t>.</w:t>
      </w:r>
    </w:p>
  </w:footnote>
  <w:footnote w:id="72">
    <w:p w:rsidR="00FB6328" w:rsidRDefault="00FB6328" w:rsidP="009F7734">
      <w:pPr>
        <w:pStyle w:val="FootnoteText"/>
        <w:tabs>
          <w:tab w:val="left" w:pos="180"/>
          <w:tab w:val="left" w:pos="720"/>
          <w:tab w:val="left" w:pos="1440"/>
          <w:tab w:val="left" w:pos="2160"/>
        </w:tabs>
      </w:pPr>
      <w:r>
        <w:rPr>
          <w:rStyle w:val="FootnoteCharacters"/>
        </w:rPr>
        <w:footnoteRef/>
      </w:r>
      <w:r>
        <w:rPr>
          <w:i/>
        </w:rPr>
        <w:tab/>
        <w:t xml:space="preserve"> See </w:t>
      </w:r>
      <w:r>
        <w:t xml:space="preserve">NCTA Opposition to Petitions for Reconsideration at 4.  </w:t>
      </w:r>
    </w:p>
  </w:footnote>
  <w:footnote w:id="73">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sidRPr="00563F04">
        <w:rPr>
          <w:i/>
        </w:rPr>
        <w:t>Id</w:t>
      </w:r>
      <w:r>
        <w:t>.</w:t>
      </w:r>
    </w:p>
  </w:footnote>
  <w:footnote w:id="74">
    <w:p w:rsidR="00FB6328" w:rsidRDefault="00FB6328" w:rsidP="009F7734">
      <w:pPr>
        <w:pStyle w:val="FootnoteText"/>
        <w:tabs>
          <w:tab w:val="left" w:pos="180"/>
          <w:tab w:val="left" w:pos="720"/>
          <w:tab w:val="left" w:pos="1440"/>
          <w:tab w:val="left" w:pos="2160"/>
        </w:tabs>
      </w:pPr>
      <w:r>
        <w:rPr>
          <w:rStyle w:val="FootnoteCharacters"/>
        </w:rPr>
        <w:footnoteRef/>
      </w:r>
      <w:r>
        <w:rPr>
          <w:i/>
        </w:rPr>
        <w:tab/>
        <w:t>See</w:t>
      </w:r>
      <w:r>
        <w:t xml:space="preserve"> </w:t>
      </w:r>
      <w:r>
        <w:rPr>
          <w:i/>
        </w:rPr>
        <w:t>Id.</w:t>
      </w:r>
      <w:r>
        <w:t xml:space="preserve"> at 4-5. </w:t>
      </w:r>
    </w:p>
  </w:footnote>
  <w:footnote w:id="75">
    <w:p w:rsidR="00FB6328" w:rsidRDefault="00FB6328" w:rsidP="009F7734">
      <w:pPr>
        <w:pStyle w:val="FootnoteText"/>
        <w:tabs>
          <w:tab w:val="left" w:pos="180"/>
          <w:tab w:val="left" w:pos="720"/>
          <w:tab w:val="left" w:pos="1440"/>
          <w:tab w:val="left" w:pos="2160"/>
        </w:tabs>
      </w:pPr>
      <w:r>
        <w:rPr>
          <w:rStyle w:val="FootnoteCharacters"/>
        </w:rPr>
        <w:footnoteRef/>
      </w:r>
      <w:r>
        <w:rPr>
          <w:i/>
        </w:rPr>
        <w:tab/>
        <w:t>See</w:t>
      </w:r>
      <w:r>
        <w:t xml:space="preserve"> City of Breckenridge Hills, Missouri Reply to NCTA’s Opposition to Petition for Reconsideration at 2; NATOA Reply to Oppositions to Petition for Reconsideration and Clarification at 4.</w:t>
      </w:r>
    </w:p>
  </w:footnote>
  <w:footnote w:id="76">
    <w:p w:rsidR="00FB6328" w:rsidRDefault="00FB6328" w:rsidP="009F7734">
      <w:pPr>
        <w:pStyle w:val="FootnoteText"/>
        <w:tabs>
          <w:tab w:val="left" w:pos="180"/>
          <w:tab w:val="left" w:pos="720"/>
          <w:tab w:val="left" w:pos="1440"/>
          <w:tab w:val="left" w:pos="2160"/>
        </w:tabs>
      </w:pPr>
      <w:r>
        <w:rPr>
          <w:rStyle w:val="FootnoteCharacters"/>
        </w:rPr>
        <w:footnoteRef/>
      </w:r>
      <w:r>
        <w:rPr>
          <w:i/>
        </w:rPr>
        <w:tab/>
        <w:t>See</w:t>
      </w:r>
      <w:r>
        <w:t xml:space="preserve"> City of Breckenridge Hills, Missouri Reply to NCTA’s Opposition to Petition for Reconsideration at 2. </w:t>
      </w:r>
    </w:p>
  </w:footnote>
  <w:footnote w:id="77">
    <w:p w:rsidR="00FB6328" w:rsidRDefault="00FB6328" w:rsidP="009F7734">
      <w:pPr>
        <w:pStyle w:val="FootnoteText"/>
        <w:tabs>
          <w:tab w:val="left" w:pos="180"/>
          <w:tab w:val="left" w:pos="720"/>
          <w:tab w:val="left" w:pos="1440"/>
          <w:tab w:val="left" w:pos="2160"/>
        </w:tabs>
      </w:pPr>
      <w:r>
        <w:rPr>
          <w:rStyle w:val="FootnoteCharacters"/>
        </w:rPr>
        <w:footnoteRef/>
      </w:r>
      <w:r>
        <w:rPr>
          <w:i/>
        </w:rPr>
        <w:tab/>
        <w:t xml:space="preserve">See </w:t>
      </w:r>
      <w:r>
        <w:t xml:space="preserve">NATOA Reply to Oppositions to Petition for Reconsideration and Clarification at 4. </w:t>
      </w:r>
    </w:p>
  </w:footnote>
  <w:footnote w:id="78">
    <w:p w:rsidR="00FB6328" w:rsidRDefault="00FB6328" w:rsidP="009F7734">
      <w:pPr>
        <w:pStyle w:val="FootnoteText"/>
        <w:tabs>
          <w:tab w:val="left" w:pos="180"/>
          <w:tab w:val="left" w:pos="720"/>
          <w:tab w:val="left" w:pos="1440"/>
          <w:tab w:val="left" w:pos="2160"/>
        </w:tabs>
      </w:pPr>
      <w:r>
        <w:rPr>
          <w:rStyle w:val="FootnoteCharacters"/>
        </w:rPr>
        <w:footnoteRef/>
      </w:r>
      <w:r>
        <w:tab/>
        <w:t xml:space="preserve"> </w:t>
      </w:r>
      <w:r>
        <w:rPr>
          <w:i/>
        </w:rPr>
        <w:t>First Report and Order</w:t>
      </w:r>
      <w:r>
        <w:t>, 22 FCC Rcd at 5181-85.</w:t>
      </w:r>
    </w:p>
  </w:footnote>
  <w:footnote w:id="79">
    <w:p w:rsidR="00FB6328" w:rsidRDefault="00FB6328" w:rsidP="009F7734">
      <w:pPr>
        <w:pStyle w:val="FootnoteText"/>
      </w:pPr>
      <w:r>
        <w:rPr>
          <w:rStyle w:val="FootnoteReference"/>
        </w:rPr>
        <w:footnoteRef/>
      </w:r>
      <w:r>
        <w:t xml:space="preserve"> </w:t>
      </w:r>
      <w:r>
        <w:rPr>
          <w:i/>
        </w:rPr>
        <w:t xml:space="preserve">See </w:t>
      </w:r>
      <w:r>
        <w:t>NATOA Reply to Oppositions to Petition for Reconsideration and Clarification at 8.</w:t>
      </w:r>
    </w:p>
  </w:footnote>
  <w:footnote w:id="80">
    <w:p w:rsidR="00FB6328" w:rsidRDefault="00FB6328" w:rsidP="009F7734">
      <w:pPr>
        <w:pStyle w:val="FootnoteText"/>
        <w:tabs>
          <w:tab w:val="left" w:pos="180"/>
          <w:tab w:val="left" w:pos="720"/>
          <w:tab w:val="left" w:pos="1440"/>
          <w:tab w:val="left" w:pos="2160"/>
        </w:tabs>
      </w:pPr>
      <w:r>
        <w:rPr>
          <w:rStyle w:val="FootnoteCharacters"/>
        </w:rPr>
        <w:footnoteRef/>
      </w:r>
      <w:r>
        <w:rPr>
          <w:i/>
        </w:rPr>
        <w:tab/>
        <w:t>See id.</w:t>
      </w:r>
      <w:r>
        <w:t xml:space="preserve"> </w:t>
      </w:r>
    </w:p>
  </w:footnote>
  <w:footnote w:id="81">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w:t>
      </w:r>
    </w:p>
  </w:footnote>
  <w:footnote w:id="82">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w:t>
      </w:r>
      <w:r>
        <w:rPr>
          <w:i/>
        </w:rPr>
        <w:t>Implementation of Section 621(a)(1) of the Cable Communications Policy Act of 1984 as amended by the Cable Television Consumer Protection and Competition Act of 1992</w:t>
      </w:r>
      <w:r>
        <w:t>, 22 FCC Rcd 5101, 5164 (2006) (“</w:t>
      </w:r>
      <w:r>
        <w:rPr>
          <w:i/>
        </w:rPr>
        <w:t>First Report and Order</w:t>
      </w:r>
      <w:r>
        <w:t>”).</w:t>
      </w:r>
    </w:p>
  </w:footnote>
  <w:footnote w:id="83">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w:t>
      </w:r>
      <w:r>
        <w:rPr>
          <w:i/>
        </w:rPr>
        <w:t>Implementation of Section 621(a)(1) of the Cable Communications Policy Act of 1984 as amended by the Cable Television Consumer Protection and Competition Act of 1992</w:t>
      </w:r>
      <w:r>
        <w:t>, Second Report and Order, 22 FCC Rcd 19633 (“</w:t>
      </w:r>
      <w:r>
        <w:rPr>
          <w:i/>
        </w:rPr>
        <w:t>Second Report and Order</w:t>
      </w:r>
      <w:r>
        <w:t>”).</w:t>
      </w:r>
    </w:p>
  </w:footnote>
  <w:footnote w:id="84">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w:t>
      </w:r>
      <w:r>
        <w:rPr>
          <w:i/>
        </w:rPr>
        <w:t>See</w:t>
      </w:r>
      <w:r>
        <w:t xml:space="preserve"> 5 U.S.C. § 604.</w:t>
      </w:r>
    </w:p>
  </w:footnote>
  <w:footnote w:id="85">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47 U.S.C. §§ 531, 622.</w:t>
      </w:r>
    </w:p>
  </w:footnote>
  <w:footnote w:id="86">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w:t>
      </w:r>
      <w:r>
        <w:rPr>
          <w:i/>
        </w:rPr>
        <w:t>First Report and Order</w:t>
      </w:r>
      <w:r>
        <w:t>, 22 FCC Rcd at 5103.</w:t>
      </w:r>
    </w:p>
  </w:footnote>
  <w:footnote w:id="87">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47 U.S.C. § 531.</w:t>
      </w:r>
    </w:p>
  </w:footnote>
  <w:footnote w:id="88">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47 U.S.C. § 622.</w:t>
      </w:r>
    </w:p>
  </w:footnote>
  <w:footnote w:id="89">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47 U.S.C. §§ 531(a), 622(a)</w:t>
      </w:r>
    </w:p>
  </w:footnote>
  <w:footnote w:id="90">
    <w:p w:rsidR="00FB6328" w:rsidRDefault="00FB6328" w:rsidP="00A063FB">
      <w:pPr>
        <w:pStyle w:val="FootnoteText"/>
      </w:pPr>
      <w:r>
        <w:rPr>
          <w:rStyle w:val="FootnoteReference"/>
        </w:rPr>
        <w:footnoteRef/>
      </w:r>
      <w:r>
        <w:t xml:space="preserve"> </w:t>
      </w:r>
      <w:r>
        <w:rPr>
          <w:i/>
        </w:rPr>
        <w:t xml:space="preserve">See </w:t>
      </w:r>
      <w:r>
        <w:t>NATOA Reply to Oppositions to Petition for Reconsideration and Clarification at 8.</w:t>
      </w:r>
    </w:p>
  </w:footnote>
  <w:footnote w:id="91">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w:t>
      </w:r>
      <w:r>
        <w:rPr>
          <w:i/>
        </w:rPr>
        <w:t>See First Report and Order</w:t>
      </w:r>
      <w:r>
        <w:t>, 22 FCC Rcd at 5181-85.</w:t>
      </w:r>
    </w:p>
  </w:footnote>
  <w:footnote w:id="92">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5 U.S.C. § 603(b)(3).</w:t>
      </w:r>
    </w:p>
  </w:footnote>
  <w:footnote w:id="93">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w:t>
      </w:r>
      <w:r>
        <w:rPr>
          <w:i/>
        </w:rPr>
        <w:t>Id</w:t>
      </w:r>
      <w:r>
        <w:t>. § 601(6)</w:t>
      </w:r>
    </w:p>
  </w:footnote>
  <w:footnote w:id="94">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w:t>
      </w:r>
      <w:r>
        <w:rPr>
          <w:i/>
        </w:rPr>
        <w:t>Id</w:t>
      </w:r>
      <w:r>
        <w: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95">
    <w:p w:rsidR="00FB6328" w:rsidRDefault="00FB6328" w:rsidP="00A063FB">
      <w:pPr>
        <w:pStyle w:val="FootnoteText"/>
        <w:tabs>
          <w:tab w:val="left" w:pos="180"/>
          <w:tab w:val="left" w:pos="720"/>
          <w:tab w:val="left" w:pos="1440"/>
          <w:tab w:val="left" w:pos="2160"/>
        </w:tabs>
      </w:pPr>
      <w:r>
        <w:rPr>
          <w:rStyle w:val="FootnoteCharacters"/>
        </w:rPr>
        <w:footnoteRef/>
      </w:r>
      <w:r>
        <w:tab/>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96">
    <w:p w:rsidR="00B318CE" w:rsidRDefault="00B318CE" w:rsidP="00B318CE">
      <w:pPr>
        <w:pStyle w:val="FootnoteText"/>
      </w:pPr>
      <w:r>
        <w:rPr>
          <w:rStyle w:val="FootnoteReference"/>
        </w:rPr>
        <w:footnoteRef/>
      </w:r>
      <w:r>
        <w:rPr>
          <w:i/>
        </w:rPr>
        <w:t xml:space="preserve"> See</w:t>
      </w:r>
      <w:r>
        <w:t xml:space="preserve"> 5 U.S.C. § 601(3)–(6).</w:t>
      </w:r>
    </w:p>
  </w:footnote>
  <w:footnote w:id="97">
    <w:p w:rsidR="00B318CE" w:rsidRDefault="00B318CE" w:rsidP="00B318CE">
      <w:pPr>
        <w:pStyle w:val="FootnoteText"/>
      </w:pPr>
      <w:r w:rsidRPr="005A3505">
        <w:rPr>
          <w:rStyle w:val="FootnoteReference"/>
        </w:rPr>
        <w:footnoteRef/>
      </w:r>
      <w:r>
        <w:rPr>
          <w:i/>
        </w:rPr>
        <w:t xml:space="preserve"> </w:t>
      </w:r>
      <w:r w:rsidRPr="005A3505">
        <w:rPr>
          <w:i/>
        </w:rPr>
        <w:t>See</w:t>
      </w:r>
      <w:r w:rsidRPr="005A3505">
        <w:t xml:space="preserve"> SBA, Office of Advocacy,</w:t>
      </w:r>
      <w:r w:rsidR="003128D8">
        <w:t xml:space="preserve"> Annual Report of the Office of Economic Research, FY 2011 (December 2011)</w:t>
      </w:r>
      <w:r w:rsidRPr="005A3505">
        <w:t>.</w:t>
      </w:r>
    </w:p>
  </w:footnote>
  <w:footnote w:id="98">
    <w:p w:rsidR="00B318CE" w:rsidRDefault="00B318CE" w:rsidP="00B318CE">
      <w:pPr>
        <w:pStyle w:val="FootnoteText"/>
      </w:pPr>
      <w:r>
        <w:rPr>
          <w:rStyle w:val="FootnoteReference"/>
        </w:rPr>
        <w:footnoteRef/>
      </w:r>
      <w:r>
        <w:rPr>
          <w:spacing w:val="-2"/>
        </w:rPr>
        <w:t xml:space="preserve"> 5 U.S.C.</w:t>
      </w:r>
      <w:r>
        <w:t xml:space="preserve"> § 601(4).</w:t>
      </w:r>
    </w:p>
  </w:footnote>
  <w:footnote w:id="99">
    <w:p w:rsidR="00B318CE" w:rsidRDefault="00B318CE" w:rsidP="00B318CE">
      <w:pPr>
        <w:pStyle w:val="FootnoteText"/>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100">
    <w:p w:rsidR="00B318CE" w:rsidRDefault="00B318CE" w:rsidP="00B318CE">
      <w:pPr>
        <w:pStyle w:val="FootnoteText"/>
      </w:pPr>
      <w:r>
        <w:rPr>
          <w:rStyle w:val="FootnoteReference"/>
          <w:spacing w:val="-2"/>
        </w:rPr>
        <w:footnoteRef/>
      </w:r>
      <w:r>
        <w:t xml:space="preserve"> 5 U.S.C. § 601(5).</w:t>
      </w:r>
    </w:p>
  </w:footnote>
  <w:footnote w:id="101">
    <w:p w:rsidR="00B318CE" w:rsidRDefault="00B318CE" w:rsidP="00B318CE">
      <w:pPr>
        <w:pStyle w:val="FootnoteText"/>
      </w:pPr>
      <w:r>
        <w:rPr>
          <w:rStyle w:val="FootnoteReference"/>
        </w:rPr>
        <w:footnoteRef/>
      </w:r>
      <w:r>
        <w:t xml:space="preserve"> </w:t>
      </w:r>
      <w:smartTag w:uri="urn:schemas-microsoft-com:office:smarttags" w:element="place">
        <w:smartTag w:uri="urn:schemas-microsoft-com:office:smarttags" w:element="country-region">
          <w:r>
            <w:t>U.S.</w:t>
          </w:r>
        </w:smartTag>
      </w:smartTag>
      <w:r>
        <w:t xml:space="preserve"> CENSUS BUREAU, STATISTICAL ABSTRACT OF THE UNITED STATES: 2011, Table 427 (2007)</w:t>
      </w:r>
      <w:r>
        <w:rPr>
          <w:rStyle w:val="Footnote"/>
        </w:rPr>
        <w:t>.</w:t>
      </w:r>
    </w:p>
  </w:footnote>
  <w:footnote w:id="102">
    <w:p w:rsidR="00B318CE" w:rsidRDefault="00B318CE" w:rsidP="00B318CE">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1" w:history="1">
        <w:r w:rsidRPr="006F3AAB">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103">
    <w:p w:rsidR="000C5F7B" w:rsidRPr="00F94D58" w:rsidRDefault="000C5F7B" w:rsidP="00A063FB">
      <w:pPr>
        <w:pStyle w:val="FootnoteText"/>
        <w:spacing w:line="0" w:lineRule="atLeast"/>
        <w:rPr>
          <w:bCs/>
        </w:rPr>
      </w:pPr>
      <w:r w:rsidRPr="00F94D58">
        <w:rPr>
          <w:rStyle w:val="FootnoteReference"/>
        </w:rPr>
        <w:footnoteRef/>
      </w:r>
      <w:r w:rsidRPr="00F94D58">
        <w:t xml:space="preserve"> </w:t>
      </w:r>
      <w:r>
        <w:t xml:space="preserve">U.S. Census Bureau, 2012 NAICS Definitions, </w:t>
      </w:r>
      <w:r w:rsidRPr="00F94D58">
        <w:t>“515210 Cable and Other Subscription Programming</w:t>
      </w:r>
      <w:r w:rsidRPr="00F94D58">
        <w:rPr>
          <w:bCs/>
        </w:rPr>
        <w:t>”</w:t>
      </w:r>
      <w:r w:rsidRPr="00ED321A">
        <w:t xml:space="preserve"> </w:t>
      </w:r>
      <w:r>
        <w:rPr>
          <w:bCs/>
        </w:rPr>
        <w:t xml:space="preserve">at </w:t>
      </w:r>
      <w:hyperlink r:id="rId2" w:history="1">
        <w:r w:rsidRPr="00B96893">
          <w:rPr>
            <w:rStyle w:val="Hyperlink"/>
          </w:rPr>
          <w:t>http://www.census.gov/cgi-bin/sssd/naics/naicsrch</w:t>
        </w:r>
      </w:hyperlink>
      <w:r>
        <w:rPr>
          <w:bCs/>
        </w:rPr>
        <w:t>.</w:t>
      </w:r>
    </w:p>
  </w:footnote>
  <w:footnote w:id="104">
    <w:p w:rsidR="000C5F7B" w:rsidRPr="00F94D58" w:rsidRDefault="000C5F7B" w:rsidP="00A063FB">
      <w:pPr>
        <w:pStyle w:val="FootnoteText"/>
      </w:pPr>
      <w:r w:rsidRPr="00F94D58">
        <w:rPr>
          <w:rStyle w:val="FootnoteReference"/>
        </w:rPr>
        <w:footnoteRef/>
      </w:r>
      <w:r w:rsidRPr="00F94D58">
        <w:t xml:space="preserve"> 13 C.F.R. § 121.210; NAICS code 515210.</w:t>
      </w:r>
    </w:p>
  </w:footnote>
  <w:footnote w:id="105">
    <w:p w:rsidR="000C5F7B" w:rsidRPr="00F94D58" w:rsidRDefault="000C5F7B" w:rsidP="00A063FB">
      <w:pPr>
        <w:pStyle w:val="FootnoteText"/>
      </w:pPr>
      <w:r w:rsidRPr="00F94D58">
        <w:rPr>
          <w:rStyle w:val="FootnoteReference"/>
        </w:rPr>
        <w:footnoteRef/>
      </w:r>
      <w:r w:rsidRPr="00F94D58">
        <w:t xml:space="preserve"> U.S. Census Bureau, 2007 Economic Census. </w:t>
      </w:r>
      <w:r w:rsidRPr="00F94D58">
        <w:rPr>
          <w:i/>
          <w:iCs/>
        </w:rPr>
        <w:t xml:space="preserve">See </w:t>
      </w:r>
      <w:r w:rsidRPr="00F94D58">
        <w:t>U.S. Census Bureau, American FactFinder, “</w:t>
      </w:r>
      <w:r w:rsidRPr="00762067">
        <w:t xml:space="preserve">Information: Subject Series </w:t>
      </w:r>
      <w:r>
        <w:t xml:space="preserve">– </w:t>
      </w:r>
      <w:r w:rsidRPr="00762067">
        <w:t>Estab and Firm Size: Receipts Size of Establishments for the United States: 2007 – 2007 Econo</w:t>
      </w:r>
      <w:r>
        <w:t>mic Census;</w:t>
      </w:r>
      <w:r w:rsidRPr="00F94D58">
        <w:t xml:space="preserve">” NAICS code 515210, Table </w:t>
      </w:r>
      <w:r w:rsidRPr="00762067">
        <w:t>EC0751SSSZ1</w:t>
      </w:r>
      <w:r w:rsidRPr="00F94D58">
        <w:t xml:space="preserve">; available at </w:t>
      </w:r>
      <w:hyperlink r:id="rId3" w:history="1">
        <w:r w:rsidR="003128D8" w:rsidRPr="00CD3D46">
          <w:rPr>
            <w:rStyle w:val="Hyperlink"/>
          </w:rPr>
          <w:t>http://factfinder2.census.gov/faces/tableservices/jsf/pages/productview.xhtml?pid=ECN_2007_US_51SSSZ4&amp;prodType=table</w:t>
        </w:r>
      </w:hyperlink>
      <w:r w:rsidRPr="00F94D58">
        <w:t>.</w:t>
      </w:r>
    </w:p>
  </w:footnote>
  <w:footnote w:id="106">
    <w:p w:rsidR="000C5F7B" w:rsidRPr="00F94D58" w:rsidRDefault="000C5F7B" w:rsidP="00A063FB">
      <w:pPr>
        <w:pStyle w:val="FootnoteText"/>
      </w:pPr>
      <w:r w:rsidRPr="00F94D58">
        <w:rPr>
          <w:rStyle w:val="FootnoteReference"/>
        </w:rPr>
        <w:footnoteRef/>
      </w:r>
      <w:r w:rsidRPr="00F94D58">
        <w:t xml:space="preserve"> </w:t>
      </w:r>
      <w:r w:rsidRPr="00F94D58">
        <w:rPr>
          <w:i/>
        </w:rPr>
        <w:t>Id.</w:t>
      </w:r>
    </w:p>
  </w:footnote>
  <w:footnote w:id="107">
    <w:p w:rsidR="000C5F7B" w:rsidRPr="008B5C98" w:rsidRDefault="000C5F7B" w:rsidP="00A063FB">
      <w:pPr>
        <w:pStyle w:val="FootnoteText"/>
        <w:spacing w:line="0" w:lineRule="atLeast"/>
      </w:pPr>
      <w:r w:rsidRPr="008B5C98">
        <w:rPr>
          <w:rStyle w:val="FootnoteReference"/>
        </w:rPr>
        <w:footnoteRef/>
      </w:r>
      <w:r w:rsidRPr="008B5C98">
        <w:t xml:space="preserve"> 47 C.F.R. § 76.901(e).  The Commission determined that this size standard equates approximately to a size standard of $100 million or less in annual revenues.  </w:t>
      </w:r>
      <w:r w:rsidRPr="008B5C98">
        <w:rPr>
          <w:i/>
        </w:rPr>
        <w:t xml:space="preserve">Implementation of Sections of the </w:t>
      </w:r>
      <w:r w:rsidRPr="009A5BF8">
        <w:rPr>
          <w:i/>
        </w:rPr>
        <w:t xml:space="preserve">Cable Television Consumer Protection </w:t>
      </w:r>
      <w:r>
        <w:rPr>
          <w:i/>
        </w:rPr>
        <w:t>a</w:t>
      </w:r>
      <w:r w:rsidRPr="009A5BF8">
        <w:rPr>
          <w:i/>
        </w:rPr>
        <w:t>nd Competition Act of 1992</w:t>
      </w:r>
      <w:r w:rsidRPr="008B5C98">
        <w:rPr>
          <w:i/>
        </w:rPr>
        <w:t xml:space="preserve">: Rate Regulation, </w:t>
      </w:r>
      <w:r w:rsidRPr="009A5BF8">
        <w:t>MM Docket N</w:t>
      </w:r>
      <w:r>
        <w:t>o. 92-266, MM Docket No. 93-215</w:t>
      </w:r>
      <w:r w:rsidRPr="005941A7">
        <w:t>,</w:t>
      </w:r>
      <w:r w:rsidRPr="00CA33D1">
        <w:rPr>
          <w:i/>
        </w:rPr>
        <w:t xml:space="preserve"> </w:t>
      </w:r>
      <w:r w:rsidRPr="008B5C98">
        <w:t>Sixth Report and Order and Eleventh Order on Reconsideration, 10 FCC Rcd 7393, 7408 (1995).</w:t>
      </w:r>
    </w:p>
  </w:footnote>
  <w:footnote w:id="108">
    <w:p w:rsidR="000C5F7B" w:rsidRPr="00290428" w:rsidRDefault="000C5F7B" w:rsidP="00A063FB">
      <w:pPr>
        <w:pStyle w:val="FootnoteText"/>
        <w:rPr>
          <w:highlight w:val="yellow"/>
        </w:rPr>
      </w:pPr>
      <w:r w:rsidRPr="008B5C98">
        <w:rPr>
          <w:rStyle w:val="FootnoteReference"/>
        </w:rPr>
        <w:footnoteRef/>
      </w:r>
      <w:r w:rsidRPr="008B5C98">
        <w:t xml:space="preserve"> </w:t>
      </w:r>
      <w:r>
        <w:t xml:space="preserve">Data provided by </w:t>
      </w:r>
      <w:r w:rsidRPr="000F622D">
        <w:t>SNL Kagan</w:t>
      </w:r>
      <w:r>
        <w:t xml:space="preserve"> to Commission Staff upon request on</w:t>
      </w:r>
      <w:r w:rsidRPr="000F622D">
        <w:t xml:space="preserve"> March 25, 2014</w:t>
      </w:r>
      <w:r>
        <w:t xml:space="preserve">.  </w:t>
      </w:r>
      <w:r w:rsidRPr="008B5C98">
        <w:t xml:space="preserve">Depending upon the number of homes and the size of the geographic area served, cable operators use one or more cable systems to provide video service.  </w:t>
      </w:r>
      <w:r w:rsidRPr="008B5C98">
        <w:rPr>
          <w:i/>
        </w:rPr>
        <w:t>See Annual Assessment of the Status of Competition in the Market for Delivery of Video Programming</w:t>
      </w:r>
      <w:r w:rsidRPr="008B5C98">
        <w:t>,</w:t>
      </w:r>
      <w:r w:rsidRPr="008B5C98">
        <w:rPr>
          <w:i/>
        </w:rPr>
        <w:t xml:space="preserve"> </w:t>
      </w:r>
      <w:r w:rsidRPr="0033322B">
        <w:t xml:space="preserve">MB Docket No. 12-203, </w:t>
      </w:r>
      <w:r w:rsidRPr="008B5C98">
        <w:t>Fifteenth Report, 28 FCC Rcd 10496, 10505-06, ¶ 24 (2013) (“</w:t>
      </w:r>
      <w:r w:rsidRPr="008B5C98">
        <w:rPr>
          <w:i/>
        </w:rPr>
        <w:t>15</w:t>
      </w:r>
      <w:r w:rsidRPr="008B5C98">
        <w:rPr>
          <w:i/>
          <w:vertAlign w:val="superscript"/>
        </w:rPr>
        <w:t>th</w:t>
      </w:r>
      <w:r w:rsidRPr="008B5C98">
        <w:rPr>
          <w:i/>
        </w:rPr>
        <w:t xml:space="preserve"> Annual Competition Report</w:t>
      </w:r>
      <w:r w:rsidRPr="008B5C98">
        <w:t>”).</w:t>
      </w:r>
    </w:p>
  </w:footnote>
  <w:footnote w:id="109">
    <w:p w:rsidR="000C5F7B" w:rsidRPr="008B5C98" w:rsidRDefault="000C5F7B" w:rsidP="00A063FB">
      <w:pPr>
        <w:pStyle w:val="FootnoteText"/>
      </w:pPr>
      <w:r w:rsidRPr="008B5C98">
        <w:rPr>
          <w:rStyle w:val="FootnoteReference"/>
        </w:rPr>
        <w:footnoteRef/>
      </w:r>
      <w:r w:rsidRPr="008B5C98">
        <w:t xml:space="preserve"> </w:t>
      </w:r>
      <w:r w:rsidRPr="002030B1">
        <w:t xml:space="preserve">SNL Kagan, U.S. Multichannel </w:t>
      </w:r>
      <w:r>
        <w:t xml:space="preserve">Top Cable MSOs, </w:t>
      </w:r>
      <w:hyperlink r:id="rId4" w:history="1">
        <w:r w:rsidRPr="006918E9">
          <w:rPr>
            <w:rStyle w:val="Hyperlink"/>
          </w:rPr>
          <w:t>http://www.snl.com/interactivex/TopCableMSOs.aspx</w:t>
        </w:r>
      </w:hyperlink>
      <w:r>
        <w:t xml:space="preserve"> (visited June 26, 2014)</w:t>
      </w:r>
      <w:r w:rsidRPr="002030B1">
        <w:t xml:space="preserve">. </w:t>
      </w:r>
      <w:r>
        <w:t xml:space="preserve"> </w:t>
      </w:r>
      <w:r w:rsidRPr="008B5C98">
        <w:t>We note that when this size standard (</w:t>
      </w:r>
      <w:r w:rsidRPr="008B5C98">
        <w:rPr>
          <w:i/>
        </w:rPr>
        <w:t>i.e.</w:t>
      </w:r>
      <w:r w:rsidRPr="008B5C98">
        <w:t xml:space="preserve">, 400,000 or fewer subscribers) </w:t>
      </w:r>
      <w:r>
        <w:t xml:space="preserve">is </w:t>
      </w:r>
      <w:r w:rsidRPr="008B5C98">
        <w:t xml:space="preserve">applied to </w:t>
      </w:r>
      <w:r>
        <w:t>all</w:t>
      </w:r>
      <w:r w:rsidRPr="008B5C98">
        <w:t xml:space="preserve"> MVPD operator</w:t>
      </w:r>
      <w:r>
        <w:t>s</w:t>
      </w:r>
      <w:r w:rsidRPr="008B5C98">
        <w:t xml:space="preserve">, all but 14 MVPD operators would be considered small.  </w:t>
      </w:r>
      <w:r w:rsidRPr="008B5C98">
        <w:rPr>
          <w:i/>
        </w:rPr>
        <w:t>15</w:t>
      </w:r>
      <w:r w:rsidRPr="008B5C98">
        <w:rPr>
          <w:i/>
          <w:vertAlign w:val="superscript"/>
        </w:rPr>
        <w:t>th</w:t>
      </w:r>
      <w:r w:rsidRPr="008B5C98">
        <w:rPr>
          <w:i/>
        </w:rPr>
        <w:t xml:space="preserve"> Annual Competition Report</w:t>
      </w:r>
      <w:r>
        <w:t xml:space="preserve">, </w:t>
      </w:r>
      <w:r w:rsidRPr="008B5C98">
        <w:t>28 FCC Rcd</w:t>
      </w:r>
      <w:r>
        <w:t xml:space="preserve"> at 10507-08, </w:t>
      </w:r>
      <w:r w:rsidRPr="008B5C98">
        <w:t>¶¶</w:t>
      </w:r>
      <w:r>
        <w:t xml:space="preserve"> 27-28 (subscriber data for DBS and Telephone MVPDs).  </w:t>
      </w:r>
      <w:r w:rsidRPr="008B5C98">
        <w:t xml:space="preserve">The Commission applied this size standard to MVPD operators in its implementation of the CALM Act.  </w:t>
      </w:r>
      <w:r w:rsidRPr="008B5C98">
        <w:rPr>
          <w:i/>
        </w:rPr>
        <w:t>See Implementation of the Commercial Advertisement Loudness Mitigation (CALM) Act</w:t>
      </w:r>
      <w:r w:rsidRPr="008B5C98">
        <w:t xml:space="preserve">, </w:t>
      </w:r>
      <w:r w:rsidRPr="00A35AAA">
        <w:t xml:space="preserve">MB Docket No. 11-93, </w:t>
      </w:r>
      <w:r w:rsidRPr="008B5C98">
        <w:t>Report and Order, 26 FCC Rcd 17222, 17245-46, ¶ 37 (2011) (“</w:t>
      </w:r>
      <w:r w:rsidRPr="008B5C98">
        <w:rPr>
          <w:i/>
        </w:rPr>
        <w:t>CALM Act Report and Order</w:t>
      </w:r>
      <w:r w:rsidRPr="008B5C98">
        <w:t>”) (defining a smaller MVPD operator as one serving 400,000 or fewer subscribers nationwide, as of December 31, 2011).</w:t>
      </w:r>
    </w:p>
  </w:footnote>
  <w:footnote w:id="110">
    <w:p w:rsidR="000C5F7B" w:rsidRPr="008B5C98" w:rsidRDefault="000C5F7B" w:rsidP="00A063FB">
      <w:pPr>
        <w:pStyle w:val="FootnoteText"/>
        <w:spacing w:line="0" w:lineRule="atLeast"/>
      </w:pPr>
      <w:r w:rsidRPr="008B5C98">
        <w:rPr>
          <w:rStyle w:val="FootnoteReference"/>
        </w:rPr>
        <w:footnoteRef/>
      </w:r>
      <w:r w:rsidRPr="008B5C98">
        <w:t xml:space="preserve"> 47 C.F.R. § 76.901(c).  </w:t>
      </w:r>
    </w:p>
  </w:footnote>
  <w:footnote w:id="111">
    <w:p w:rsidR="000C5F7B" w:rsidRPr="00DC1872" w:rsidRDefault="000C5F7B" w:rsidP="00A063FB">
      <w:pPr>
        <w:pStyle w:val="FootnoteText"/>
      </w:pPr>
      <w:r>
        <w:rPr>
          <w:rStyle w:val="FootnoteReference"/>
        </w:rPr>
        <w:footnoteRef/>
      </w:r>
      <w:r>
        <w:t xml:space="preserve"> The number of active, registered cable systems comes from the Commission’s Cable Operations and Licensing System (COALS) database on July 1, 2014.  </w:t>
      </w:r>
      <w:r w:rsidRPr="00EA7C54">
        <w:t>A cable system is a physical system in</w:t>
      </w:r>
      <w:r>
        <w:t>tegrated to a principal headend.</w:t>
      </w:r>
    </w:p>
  </w:footnote>
  <w:footnote w:id="112">
    <w:p w:rsidR="00FB6328" w:rsidRDefault="00FB6328" w:rsidP="00A063FB">
      <w:pPr>
        <w:pStyle w:val="FootnoteText"/>
        <w:tabs>
          <w:tab w:val="left" w:pos="180"/>
          <w:tab w:val="left" w:pos="720"/>
          <w:tab w:val="left" w:pos="1440"/>
          <w:tab w:val="left" w:pos="2160"/>
        </w:tabs>
      </w:pPr>
      <w:r>
        <w:rPr>
          <w:rStyle w:val="FootnoteCharacters"/>
        </w:rPr>
        <w:footnoteRef/>
      </w:r>
      <w:r>
        <w:t xml:space="preserve"> 47 U.S.C. § 543(m)(2); </w:t>
      </w:r>
      <w:r>
        <w:rPr>
          <w:i/>
        </w:rPr>
        <w:t>see</w:t>
      </w:r>
      <w:r>
        <w:t xml:space="preserve"> 47 C.F.R. § 76.901(f) &amp; nn. 1-3.</w:t>
      </w:r>
    </w:p>
  </w:footnote>
  <w:footnote w:id="113">
    <w:p w:rsidR="00FB6328" w:rsidRDefault="00FB6328" w:rsidP="00A063FB">
      <w:pPr>
        <w:pStyle w:val="FootnoteText"/>
        <w:tabs>
          <w:tab w:val="left" w:pos="180"/>
          <w:tab w:val="left" w:pos="720"/>
          <w:tab w:val="left" w:pos="1440"/>
          <w:tab w:val="left" w:pos="2160"/>
        </w:tabs>
      </w:pPr>
      <w:r>
        <w:rPr>
          <w:rStyle w:val="FootnoteCharacters"/>
        </w:rPr>
        <w:footnoteRef/>
      </w:r>
      <w:r>
        <w:t xml:space="preserve"> 47 C.F.R. § 76.901(f); </w:t>
      </w:r>
      <w:r>
        <w:rPr>
          <w:i/>
        </w:rPr>
        <w:t xml:space="preserve">see </w:t>
      </w:r>
      <w:r>
        <w:t>Public Notice</w:t>
      </w:r>
      <w:r>
        <w:rPr>
          <w:i/>
        </w:rPr>
        <w:t>, FCC Announces New Subscriber Count for the Definition of Small Cable Operator</w:t>
      </w:r>
      <w:r>
        <w:t>, DA 01</w:t>
      </w:r>
      <w:r>
        <w:noBreakHyphen/>
        <w:t>158 (Cable Services Bureau, Jan. 24, 2001).</w:t>
      </w:r>
    </w:p>
  </w:footnote>
  <w:footnote w:id="114">
    <w:p w:rsidR="00FB6328" w:rsidRDefault="00FB6328" w:rsidP="00A063FB">
      <w:pPr>
        <w:pStyle w:val="FootnoteText"/>
        <w:tabs>
          <w:tab w:val="left" w:pos="180"/>
          <w:tab w:val="left" w:pos="720"/>
          <w:tab w:val="left" w:pos="1440"/>
          <w:tab w:val="left" w:pos="2160"/>
        </w:tabs>
      </w:pPr>
      <w:r>
        <w:rPr>
          <w:rStyle w:val="FootnoteCharacters"/>
        </w:rPr>
        <w:footnoteRef/>
      </w:r>
      <w:r>
        <w:t xml:space="preserve"> These data are derived from:  R.R. Bowker, </w:t>
      </w:r>
      <w:r>
        <w:rPr>
          <w:i/>
        </w:rPr>
        <w:t xml:space="preserve">Broadcasting &amp; Cable Yearbook </w:t>
      </w:r>
      <w:r w:rsidR="00766F9B">
        <w:rPr>
          <w:i/>
        </w:rPr>
        <w:t>2007</w:t>
      </w:r>
      <w:r>
        <w:t xml:space="preserve">, “Top 25 Cable/Satellite Operators,” pages A-8 &amp; C-2 (data current as of June 30, </w:t>
      </w:r>
      <w:r w:rsidR="00766F9B">
        <w:t>2006</w:t>
      </w:r>
      <w:r>
        <w:t xml:space="preserve">); Warren Communications News, </w:t>
      </w:r>
      <w:r>
        <w:rPr>
          <w:i/>
        </w:rPr>
        <w:t xml:space="preserve">Television &amp; Cable Factbook </w:t>
      </w:r>
      <w:r w:rsidR="00766F9B">
        <w:rPr>
          <w:i/>
        </w:rPr>
        <w:t>2007</w:t>
      </w:r>
      <w:r>
        <w:t>, “Ownership of Cable Systems in the United States,” pages D-</w:t>
      </w:r>
      <w:r w:rsidR="00766F9B">
        <w:t xml:space="preserve">1737 </w:t>
      </w:r>
      <w:r>
        <w:t>to D-</w:t>
      </w:r>
      <w:r w:rsidR="00766F9B">
        <w:t>1786</w:t>
      </w:r>
      <w:r>
        <w:t>.</w:t>
      </w:r>
    </w:p>
  </w:footnote>
  <w:footnote w:id="115">
    <w:p w:rsidR="00FB6328" w:rsidRDefault="00FB6328" w:rsidP="00A063FB">
      <w:pPr>
        <w:pStyle w:val="FootnoteText"/>
        <w:tabs>
          <w:tab w:val="left" w:pos="180"/>
          <w:tab w:val="left" w:pos="720"/>
          <w:tab w:val="left" w:pos="1440"/>
          <w:tab w:val="left" w:pos="2160"/>
        </w:tabs>
      </w:pPr>
      <w:r>
        <w:rPr>
          <w:rStyle w:val="FootnoteCharacters"/>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r>
        <w:rPr>
          <w:i/>
        </w:rPr>
        <w:t>See</w:t>
      </w:r>
      <w:r>
        <w:t xml:space="preserve"> 47 C.F.R. § 76.909(b).</w:t>
      </w:r>
    </w:p>
  </w:footnote>
  <w:footnote w:id="116">
    <w:p w:rsidR="00A24E02" w:rsidRPr="00CA33D1" w:rsidRDefault="00A24E02" w:rsidP="00A063FB">
      <w:pPr>
        <w:pStyle w:val="FootnoteText"/>
      </w:pPr>
      <w:r w:rsidRPr="00CA33D1">
        <w:rPr>
          <w:rStyle w:val="FootnoteReference"/>
        </w:rPr>
        <w:footnoteRef/>
      </w:r>
      <w:r w:rsidRPr="00CA33D1">
        <w:t xml:space="preserve">  47 U.S.C. § 571(a)(3)-(4).  </w:t>
      </w:r>
      <w:r w:rsidRPr="00CA33D1">
        <w:rPr>
          <w:i/>
          <w:iCs/>
        </w:rPr>
        <w:t>See</w:t>
      </w:r>
      <w:r w:rsidRPr="00CA33D1">
        <w:t xml:space="preserve"> </w:t>
      </w:r>
      <w:r w:rsidRPr="00CA33D1">
        <w:rPr>
          <w:i/>
        </w:rPr>
        <w:t>Annual Assessment of the Status of Competition in the Market for the Delivery of Video Programming</w:t>
      </w:r>
      <w:r w:rsidRPr="00CA33D1">
        <w:t>, MB Docket No. 06-189, Thirteenth Annual Report,</w:t>
      </w:r>
      <w:r w:rsidRPr="00CA33D1">
        <w:rPr>
          <w:i/>
        </w:rPr>
        <w:t xml:space="preserve"> </w:t>
      </w:r>
      <w:r w:rsidRPr="00CA33D1">
        <w:t>24 FCC Rcd 542, 606, ¶ 135 (2009) (“</w:t>
      </w:r>
      <w:r w:rsidRPr="00CA33D1">
        <w:rPr>
          <w:i/>
        </w:rPr>
        <w:t>Thirteenth Annual Cable Competition Report</w:t>
      </w:r>
      <w:r w:rsidRPr="00CA33D1">
        <w:t xml:space="preserve">”). </w:t>
      </w:r>
      <w:r>
        <w:t xml:space="preserve"> </w:t>
      </w:r>
    </w:p>
  </w:footnote>
  <w:footnote w:id="117">
    <w:p w:rsidR="00A24E02" w:rsidRPr="00CA33D1" w:rsidRDefault="00A24E02" w:rsidP="00A063FB">
      <w:pPr>
        <w:pStyle w:val="FootnoteText"/>
      </w:pPr>
      <w:r w:rsidRPr="00CA33D1">
        <w:rPr>
          <w:rStyle w:val="FootnoteReference"/>
        </w:rPr>
        <w:footnoteRef/>
      </w:r>
      <w:r w:rsidRPr="00CA33D1">
        <w:t xml:space="preserve">  </w:t>
      </w:r>
      <w:r w:rsidRPr="00CA33D1">
        <w:rPr>
          <w:i/>
        </w:rPr>
        <w:t xml:space="preserve">See </w:t>
      </w:r>
      <w:r w:rsidRPr="00CA33D1">
        <w:t>47 U.S.C. § 573.</w:t>
      </w:r>
    </w:p>
  </w:footnote>
  <w:footnote w:id="118">
    <w:p w:rsidR="00A24E02" w:rsidRPr="00CA33D1" w:rsidRDefault="00A24E02" w:rsidP="00A063FB">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5" w:history="1">
        <w:r w:rsidRPr="00B96893">
          <w:rPr>
            <w:rStyle w:val="Hyperlink"/>
          </w:rPr>
          <w:t>http://www.census.gov/cgi-bin/sssd/naics/naicsrch</w:t>
        </w:r>
      </w:hyperlink>
      <w:r>
        <w:rPr>
          <w:bCs/>
        </w:rPr>
        <w:t>.</w:t>
      </w:r>
    </w:p>
  </w:footnote>
  <w:footnote w:id="119">
    <w:p w:rsidR="00A24E02" w:rsidRPr="00CA33D1" w:rsidRDefault="00A24E02" w:rsidP="00A063FB">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120">
    <w:p w:rsidR="00A24E02" w:rsidRDefault="00A24E02" w:rsidP="00A063FB">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r w:rsidR="008518DE" w:rsidRPr="008518DE">
        <w:t>http://factfinder2.census.gov/faces/tableservices/jsf/pages/productview.xhtml?pid=ECN_2007_US_51SSSZ5&amp;prodType=table</w:t>
      </w:r>
      <w:r w:rsidRPr="00D261BA">
        <w:t>.</w:t>
      </w:r>
    </w:p>
  </w:footnote>
  <w:footnote w:id="121">
    <w:p w:rsidR="00A24E02" w:rsidRPr="00186788" w:rsidRDefault="00A24E02" w:rsidP="00A063FB">
      <w:pPr>
        <w:pStyle w:val="FootnoteText"/>
      </w:pPr>
      <w:r w:rsidRPr="007B04CE">
        <w:rPr>
          <w:rStyle w:val="FootnoteReference"/>
        </w:rPr>
        <w:footnoteRef/>
      </w:r>
      <w:r>
        <w:t xml:space="preserve"> </w:t>
      </w:r>
      <w:r w:rsidRPr="005D0871">
        <w:rPr>
          <w:i/>
        </w:rPr>
        <w:t>Id</w:t>
      </w:r>
      <w:r>
        <w:t>.</w:t>
      </w:r>
    </w:p>
  </w:footnote>
  <w:footnote w:id="122">
    <w:p w:rsidR="00A24E02" w:rsidRPr="00CA33D1" w:rsidRDefault="00A24E02" w:rsidP="00A063FB">
      <w:pPr>
        <w:pStyle w:val="FootnoteText"/>
      </w:pPr>
      <w:r w:rsidRPr="00CA33D1">
        <w:rPr>
          <w:rStyle w:val="FootnoteReference"/>
        </w:rPr>
        <w:footnoteRef/>
      </w:r>
      <w:r w:rsidRPr="00CA33D1">
        <w:t xml:space="preserve">  A list of OVS certifications may be found at </w:t>
      </w:r>
      <w:hyperlink r:id="rId6" w:history="1">
        <w:r w:rsidRPr="00CA33D1">
          <w:rPr>
            <w:rStyle w:val="Hyperlink"/>
          </w:rPr>
          <w:t>http://www.fcc.gov/mb/ovs/csovscer.html</w:t>
        </w:r>
      </w:hyperlink>
      <w:r w:rsidRPr="00CA33D1">
        <w:t>.</w:t>
      </w:r>
    </w:p>
  </w:footnote>
  <w:footnote w:id="123">
    <w:p w:rsidR="00A24E02" w:rsidRPr="00CA33D1" w:rsidRDefault="00A24E02" w:rsidP="00A063FB">
      <w:pPr>
        <w:pStyle w:val="FootnoteText"/>
      </w:pPr>
      <w:r w:rsidRPr="00CA33D1">
        <w:rPr>
          <w:rStyle w:val="FootnoteReference"/>
        </w:rPr>
        <w:footnoteRef/>
      </w:r>
      <w:r w:rsidRPr="00CA33D1">
        <w:t xml:space="preserve">  </w:t>
      </w:r>
      <w:r w:rsidRPr="00CA33D1">
        <w:rPr>
          <w:i/>
        </w:rPr>
        <w:t>See Thirteenth Annual Cable Competition Report</w:t>
      </w:r>
      <w:r w:rsidRPr="00CA33D1">
        <w:rPr>
          <w:iCs/>
        </w:rPr>
        <w:t xml:space="preserve">, </w:t>
      </w:r>
      <w:r w:rsidRPr="00CA33D1">
        <w:t xml:space="preserve">24 FCC Rcd at 606-07, ¶ 135.  </w:t>
      </w:r>
      <w:r w:rsidRPr="00CA33D1">
        <w:rPr>
          <w:szCs w:val="22"/>
        </w:rPr>
        <w:t xml:space="preserve">BSPs are newer </w:t>
      </w:r>
      <w:r>
        <w:rPr>
          <w:szCs w:val="22"/>
        </w:rPr>
        <w:t>businesses</w:t>
      </w:r>
      <w:r w:rsidRPr="00CA33D1">
        <w:rPr>
          <w:szCs w:val="22"/>
        </w:rPr>
        <w:t xml:space="preserve"> that are building state-of-the-art, facilities-based networks to provide video, voice, and data services over a single network.  </w:t>
      </w:r>
    </w:p>
  </w:footnote>
  <w:footnote w:id="124">
    <w:p w:rsidR="00FB6328" w:rsidRDefault="00FB6328" w:rsidP="00A063FB">
      <w:pPr>
        <w:pStyle w:val="FootnoteText"/>
        <w:tabs>
          <w:tab w:val="left" w:pos="180"/>
          <w:tab w:val="left" w:pos="720"/>
          <w:tab w:val="left" w:pos="1440"/>
          <w:tab w:val="left" w:pos="2160"/>
        </w:tabs>
      </w:pPr>
      <w:r>
        <w:rPr>
          <w:rStyle w:val="FootnoteCharacters"/>
        </w:rPr>
        <w:footnoteRef/>
      </w:r>
      <w:r>
        <w:t xml:space="preserve"> 5 U.S.C. § 603(c)(1)-(c)(4).</w:t>
      </w:r>
    </w:p>
  </w:footnote>
  <w:footnote w:id="125">
    <w:p w:rsidR="00FB6328" w:rsidRDefault="00FB6328" w:rsidP="00A063FB">
      <w:pPr>
        <w:pStyle w:val="FootnoteText"/>
        <w:tabs>
          <w:tab w:val="left" w:pos="180"/>
          <w:tab w:val="left" w:pos="720"/>
          <w:tab w:val="left" w:pos="1440"/>
          <w:tab w:val="left" w:pos="2160"/>
        </w:tabs>
      </w:pPr>
      <w:r>
        <w:rPr>
          <w:rStyle w:val="FootnoteCharacters"/>
        </w:rPr>
        <w:footnoteRef/>
      </w:r>
      <w:r>
        <w:t xml:space="preserve"> </w:t>
      </w:r>
      <w:r>
        <w:rPr>
          <w:i/>
        </w:rPr>
        <w:t>First Report and Order</w:t>
      </w:r>
      <w:r>
        <w:t>, 22 FCC Rcd at 5164.</w:t>
      </w:r>
    </w:p>
  </w:footnote>
  <w:footnote w:id="126">
    <w:p w:rsidR="00FB6328" w:rsidRDefault="00FB6328" w:rsidP="00A063FB">
      <w:pPr>
        <w:pStyle w:val="FootnoteText"/>
        <w:tabs>
          <w:tab w:val="left" w:pos="180"/>
          <w:tab w:val="left" w:pos="720"/>
          <w:tab w:val="left" w:pos="1440"/>
          <w:tab w:val="left" w:pos="2160"/>
        </w:tabs>
      </w:pPr>
      <w:r>
        <w:rPr>
          <w:rStyle w:val="FootnoteCharacters"/>
        </w:rPr>
        <w:footnoteRef/>
      </w:r>
      <w:r>
        <w:t xml:space="preserve"> </w:t>
      </w:r>
      <w:r>
        <w:rPr>
          <w:i/>
        </w:rPr>
        <w:t>Id</w:t>
      </w:r>
      <w:r>
        <w:t>. at 5165.</w:t>
      </w:r>
    </w:p>
  </w:footnote>
  <w:footnote w:id="127">
    <w:p w:rsidR="00FB6328" w:rsidRDefault="00FB6328" w:rsidP="00A063FB">
      <w:pPr>
        <w:pStyle w:val="FootnoteText"/>
        <w:tabs>
          <w:tab w:val="left" w:pos="180"/>
          <w:tab w:val="left" w:pos="720"/>
          <w:tab w:val="left" w:pos="1440"/>
          <w:tab w:val="left" w:pos="2160"/>
        </w:tabs>
      </w:pPr>
      <w:r>
        <w:rPr>
          <w:rStyle w:val="FootnoteCharacters"/>
        </w:rPr>
        <w:footnoteRef/>
      </w:r>
      <w:r>
        <w:t xml:space="preserve"> </w:t>
      </w:r>
      <w:r>
        <w:rPr>
          <w:i/>
        </w:rPr>
        <w:t>Id</w:t>
      </w:r>
      <w:r>
        <w:t>. at 5166.</w:t>
      </w:r>
    </w:p>
  </w:footnote>
  <w:footnote w:id="128">
    <w:p w:rsidR="00FB6328" w:rsidRDefault="00FB6328" w:rsidP="00A063FB">
      <w:pPr>
        <w:pStyle w:val="FootnoteText"/>
        <w:tabs>
          <w:tab w:val="left" w:pos="180"/>
          <w:tab w:val="left" w:pos="720"/>
          <w:tab w:val="left" w:pos="1440"/>
          <w:tab w:val="left" w:pos="2160"/>
        </w:tabs>
      </w:pPr>
      <w:r>
        <w:rPr>
          <w:rStyle w:val="FootnoteCharacters"/>
        </w:rPr>
        <w:footnoteRef/>
      </w:r>
      <w:r>
        <w:t xml:space="preserve"> </w:t>
      </w:r>
      <w:r>
        <w:rPr>
          <w:i/>
        </w:rPr>
        <w:t>See</w:t>
      </w:r>
      <w:r>
        <w:t xml:space="preserve"> 5 U.S.C. § 801(a)(1)(A).</w:t>
      </w:r>
    </w:p>
  </w:footnote>
  <w:footnote w:id="129">
    <w:p w:rsidR="00FB6328" w:rsidRDefault="00FB6328" w:rsidP="00A063FB">
      <w:pPr>
        <w:pStyle w:val="FootnoteText"/>
        <w:tabs>
          <w:tab w:val="left" w:pos="180"/>
          <w:tab w:val="left" w:pos="720"/>
          <w:tab w:val="left" w:pos="1440"/>
          <w:tab w:val="left" w:pos="2160"/>
        </w:tabs>
      </w:pPr>
      <w:r>
        <w:rPr>
          <w:rStyle w:val="FootnoteCharacters"/>
        </w:rPr>
        <w:footnoteRef/>
      </w:r>
      <w:r>
        <w:t xml:space="preserve"> </w:t>
      </w:r>
      <w:r>
        <w:rPr>
          <w:i/>
        </w:rPr>
        <w:t>See id</w:t>
      </w:r>
      <w:r>
        <w:t>.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6D" w:rsidRDefault="00001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B8" w:rsidRPr="004306F8" w:rsidRDefault="00B344B8" w:rsidP="00B344B8">
    <w:pPr>
      <w:tabs>
        <w:tab w:val="center" w:pos="4680"/>
        <w:tab w:val="right" w:pos="9360"/>
      </w:tabs>
      <w:jc w:val="both"/>
      <w:rPr>
        <w:spacing w:val="-3"/>
        <w:szCs w:val="22"/>
      </w:rPr>
    </w:pPr>
    <w:r>
      <w:rPr>
        <w:b/>
        <w:spacing w:val="-3"/>
      </w:rPr>
      <w:tab/>
    </w:r>
    <w:r w:rsidRPr="004306F8">
      <w:rPr>
        <w:b/>
        <w:spacing w:val="-3"/>
        <w:szCs w:val="22"/>
      </w:rPr>
      <w:t>Federal Communications Commission</w:t>
    </w:r>
    <w:r w:rsidRPr="004306F8">
      <w:rPr>
        <w:b/>
        <w:spacing w:val="-3"/>
        <w:szCs w:val="22"/>
      </w:rPr>
      <w:tab/>
      <w:t>FCC 1</w:t>
    </w:r>
    <w:r>
      <w:rPr>
        <w:b/>
        <w:spacing w:val="-3"/>
        <w:szCs w:val="22"/>
      </w:rPr>
      <w:t>5-3</w:t>
    </w:r>
  </w:p>
  <w:p w:rsidR="00B344B8" w:rsidRPr="004306F8" w:rsidRDefault="00B344B8" w:rsidP="00B344B8">
    <w:pPr>
      <w:spacing w:line="19" w:lineRule="exact"/>
      <w:jc w:val="both"/>
      <w:rPr>
        <w:spacing w:val="-3"/>
        <w:szCs w:val="22"/>
      </w:rPr>
    </w:pPr>
    <w:r>
      <w:rPr>
        <w:noProof/>
        <w:snapToGrid/>
        <w:szCs w:val="22"/>
      </w:rPr>
      <mc:AlternateContent>
        <mc:Choice Requires="wps">
          <w:drawing>
            <wp:anchor distT="0" distB="0" distL="114300" distR="114300" simplePos="0" relativeHeight="251661312" behindDoc="1" locked="0" layoutInCell="0" allowOverlap="1" wp14:anchorId="08988D66" wp14:editId="5F7537A0">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44B8" w:rsidRDefault="00B344B8" w:rsidP="00B344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o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C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BcNNFa1E9Qx8BHcPC&#10;zFxYNEJ+x2iA+VVg9W1LJMWofcuhFzM/DM3As0YYJQEY8vJkfXlCeAlQBdYYjcuFHofktpds08BL&#10;vg2cixn0b81sb51ZQSjGgBllgzrMUzMEL23rdZ76018A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s1tfo7AIAAD0GAAAOAAAAAAAA&#10;AAAAAAAAAC4CAABkcnMvZTJvRG9jLnhtbFBLAQItABQABgAIAAAAIQAiPO7R1wAAAAMBAAAPAAAA&#10;AAAAAAAAAAAAAEYFAABkcnMvZG93bnJldi54bWxQSwUGAAAAAAQABADzAAAASgYAAAAA&#10;" o:allowincell="f" fillcolor="black" stroked="f" strokeweight=".05pt">
              <v:textbox>
                <w:txbxContent>
                  <w:p w:rsidR="00B344B8" w:rsidRDefault="00B344B8" w:rsidP="00B344B8"/>
                </w:txbxContent>
              </v:textbox>
              <w10:wrap anchorx="margin"/>
            </v:rect>
          </w:pict>
        </mc:Fallback>
      </mc:AlternateContent>
    </w:r>
  </w:p>
  <w:p w:rsidR="00FB6328" w:rsidRPr="00B344B8" w:rsidRDefault="00FB6328" w:rsidP="00B34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02" w:rsidRPr="004306F8" w:rsidRDefault="00920602" w:rsidP="00920602">
    <w:pPr>
      <w:tabs>
        <w:tab w:val="center" w:pos="4680"/>
        <w:tab w:val="right" w:pos="9360"/>
      </w:tabs>
      <w:jc w:val="both"/>
      <w:rPr>
        <w:spacing w:val="-3"/>
        <w:szCs w:val="22"/>
      </w:rPr>
    </w:pPr>
    <w:r>
      <w:rPr>
        <w:b/>
        <w:spacing w:val="-3"/>
      </w:rPr>
      <w:tab/>
    </w:r>
    <w:r w:rsidRPr="004306F8">
      <w:rPr>
        <w:b/>
        <w:spacing w:val="-3"/>
        <w:szCs w:val="22"/>
      </w:rPr>
      <w:t>Federal Communications Commission</w:t>
    </w:r>
    <w:r w:rsidRPr="004306F8">
      <w:rPr>
        <w:b/>
        <w:spacing w:val="-3"/>
        <w:szCs w:val="22"/>
      </w:rPr>
      <w:tab/>
      <w:t>FCC 1</w:t>
    </w:r>
    <w:r>
      <w:rPr>
        <w:b/>
        <w:spacing w:val="-3"/>
        <w:szCs w:val="22"/>
      </w:rPr>
      <w:t>5-3</w:t>
    </w:r>
  </w:p>
  <w:p w:rsidR="00920602" w:rsidRPr="004306F8" w:rsidRDefault="00920602" w:rsidP="00920602">
    <w:pPr>
      <w:spacing w:line="19" w:lineRule="exact"/>
      <w:jc w:val="both"/>
      <w:rPr>
        <w:spacing w:val="-3"/>
        <w:szCs w:val="22"/>
      </w:rPr>
    </w:pPr>
    <w:r>
      <w:rPr>
        <w:noProof/>
        <w:snapToGrid/>
        <w:szCs w:val="22"/>
      </w:rPr>
      <mc:AlternateContent>
        <mc:Choice Requires="wps">
          <w:drawing>
            <wp:anchor distT="0" distB="0" distL="114300" distR="114300" simplePos="0" relativeHeight="251659264" behindDoc="1" locked="0" layoutInCell="0" allowOverlap="1" wp14:anchorId="2EE3F075" wp14:editId="798C9197">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0602" w:rsidRDefault="00920602" w:rsidP="00920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v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Kv897/ACAABEBgAADgAA&#10;AAAAAAAAAAAAAAAuAgAAZHJzL2Uyb0RvYy54bWxQSwECLQAUAAYACAAAACEAIjzu0dcAAAADAQAA&#10;DwAAAAAAAAAAAAAAAABKBQAAZHJzL2Rvd25yZXYueG1sUEsFBgAAAAAEAAQA8wAAAE4GAAAAAA==&#10;" o:allowincell="f" fillcolor="black" stroked="f" strokeweight=".05pt">
              <v:textbox>
                <w:txbxContent>
                  <w:p w:rsidR="00920602" w:rsidRDefault="00920602" w:rsidP="00920602"/>
                </w:txbxContent>
              </v:textbox>
              <w10:wrap anchorx="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28" w:rsidRDefault="00FB632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8B" w:rsidRPr="004306F8" w:rsidRDefault="0061488B" w:rsidP="0061488B">
    <w:pPr>
      <w:tabs>
        <w:tab w:val="center" w:pos="4680"/>
        <w:tab w:val="right" w:pos="9360"/>
      </w:tabs>
      <w:jc w:val="both"/>
      <w:rPr>
        <w:spacing w:val="-3"/>
        <w:szCs w:val="22"/>
      </w:rPr>
    </w:pPr>
    <w:r>
      <w:rPr>
        <w:b/>
        <w:spacing w:val="-3"/>
      </w:rPr>
      <w:tab/>
    </w:r>
    <w:r w:rsidRPr="004306F8">
      <w:rPr>
        <w:b/>
        <w:spacing w:val="-3"/>
        <w:szCs w:val="22"/>
      </w:rPr>
      <w:t>Federal Communications Commission</w:t>
    </w:r>
    <w:r w:rsidRPr="004306F8">
      <w:rPr>
        <w:b/>
        <w:spacing w:val="-3"/>
        <w:szCs w:val="22"/>
      </w:rPr>
      <w:tab/>
      <w:t>FCC 1</w:t>
    </w:r>
    <w:r>
      <w:rPr>
        <w:b/>
        <w:spacing w:val="-3"/>
        <w:szCs w:val="22"/>
      </w:rPr>
      <w:t>5-3</w:t>
    </w:r>
  </w:p>
  <w:p w:rsidR="0061488B" w:rsidRPr="004306F8" w:rsidRDefault="0061488B" w:rsidP="0061488B">
    <w:pPr>
      <w:spacing w:line="19" w:lineRule="exact"/>
      <w:jc w:val="both"/>
      <w:rPr>
        <w:spacing w:val="-3"/>
        <w:szCs w:val="22"/>
      </w:rPr>
    </w:pPr>
    <w:r>
      <w:rPr>
        <w:noProof/>
        <w:snapToGrid/>
        <w:szCs w:val="22"/>
      </w:rPr>
      <mc:AlternateContent>
        <mc:Choice Requires="wps">
          <w:drawing>
            <wp:anchor distT="0" distB="0" distL="114300" distR="114300" simplePos="0" relativeHeight="251663360" behindDoc="1" locked="0" layoutInCell="0" allowOverlap="1" wp14:anchorId="102E8B24" wp14:editId="649C8E69">
              <wp:simplePos x="0" y="0"/>
              <wp:positionH relativeFrom="margin">
                <wp:posOffset>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488B" w:rsidRDefault="0061488B" w:rsidP="00614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AycwR17wIAAEQGAAAOAAAA&#10;AAAAAAAAAAAAAC4CAABkcnMvZTJvRG9jLnhtbFBLAQItABQABgAIAAAAIQAiPO7R1wAAAAMBAAAP&#10;AAAAAAAAAAAAAAAAAEkFAABkcnMvZG93bnJldi54bWxQSwUGAAAAAAQABADzAAAATQYAAAAA&#10;" o:allowincell="f" fillcolor="black" stroked="f" strokeweight=".05pt">
              <v:textbox>
                <w:txbxContent>
                  <w:p w:rsidR="0061488B" w:rsidRDefault="0061488B" w:rsidP="0061488B"/>
                </w:txbxContent>
              </v:textbox>
              <w10:wrap anchorx="margin"/>
            </v:rect>
          </w:pict>
        </mc:Fallback>
      </mc:AlternateContent>
    </w:r>
  </w:p>
  <w:p w:rsidR="00FB6328" w:rsidRPr="0061488B" w:rsidRDefault="00FB6328" w:rsidP="006148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28" w:rsidRDefault="00FB63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pStyle w:val="ParaNumCharChar"/>
      <w:lvlText w:val="%1."/>
      <w:lvlJc w:val="left"/>
      <w:pPr>
        <w:tabs>
          <w:tab w:val="num" w:pos="252"/>
        </w:tabs>
        <w:ind w:left="252" w:firstLine="288"/>
      </w:pPr>
      <w:rPr>
        <w:rFonts w:ascii="Times New Roman" w:hAnsi="Times New Roman"/>
        <w:b w:val="0"/>
        <w:i w:val="0"/>
        <w:sz w:val="22"/>
        <w:szCs w:val="22"/>
      </w:rPr>
    </w:lvl>
  </w:abstractNum>
  <w:abstractNum w:abstractNumId="1">
    <w:nsid w:val="00000002"/>
    <w:multiLevelType w:val="singleLevel"/>
    <w:tmpl w:val="00000002"/>
    <w:name w:val="WW8Num3"/>
    <w:lvl w:ilvl="0">
      <w:start w:val="1"/>
      <w:numFmt w:val="upperLetter"/>
      <w:lvlText w:val="%1."/>
      <w:lvlJc w:val="left"/>
      <w:pPr>
        <w:tabs>
          <w:tab w:val="num" w:pos="1440"/>
        </w:tabs>
        <w:ind w:left="1440" w:hanging="720"/>
      </w:pPr>
      <w:rPr>
        <w:b/>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19601F"/>
    <w:multiLevelType w:val="multilevel"/>
    <w:tmpl w:val="00000008"/>
    <w:lvl w:ilvl="0">
      <w:start w:val="1"/>
      <w:numFmt w:val="decimal"/>
      <w:lvlText w:val="%1."/>
      <w:lvlJc w:val="left"/>
      <w:pPr>
        <w:tabs>
          <w:tab w:val="num" w:pos="0"/>
        </w:tabs>
        <w:ind w:left="0" w:firstLine="720"/>
      </w:pPr>
      <w:rPr>
        <w:rFonts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5"/>
  </w:num>
  <w:num w:numId="7">
    <w:abstractNumId w:val="3"/>
  </w:num>
  <w:num w:numId="8">
    <w:abstractNumId w:val="7"/>
  </w:num>
  <w:num w:numId="9">
    <w:abstractNumId w:val="4"/>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47"/>
    <w:rsid w:val="0000186D"/>
    <w:rsid w:val="000021AF"/>
    <w:rsid w:val="00016122"/>
    <w:rsid w:val="000220CB"/>
    <w:rsid w:val="00031B73"/>
    <w:rsid w:val="00032BC8"/>
    <w:rsid w:val="00033273"/>
    <w:rsid w:val="000536E2"/>
    <w:rsid w:val="00055598"/>
    <w:rsid w:val="00064ADB"/>
    <w:rsid w:val="0007231B"/>
    <w:rsid w:val="00077B0E"/>
    <w:rsid w:val="00086B15"/>
    <w:rsid w:val="0009457F"/>
    <w:rsid w:val="000A1AAB"/>
    <w:rsid w:val="000A6253"/>
    <w:rsid w:val="000A633B"/>
    <w:rsid w:val="000A7A40"/>
    <w:rsid w:val="000B7315"/>
    <w:rsid w:val="000C01CF"/>
    <w:rsid w:val="000C5F7B"/>
    <w:rsid w:val="000E6644"/>
    <w:rsid w:val="000F6C2D"/>
    <w:rsid w:val="00102D02"/>
    <w:rsid w:val="001032B4"/>
    <w:rsid w:val="00105565"/>
    <w:rsid w:val="00111F61"/>
    <w:rsid w:val="00123044"/>
    <w:rsid w:val="00123682"/>
    <w:rsid w:val="0012401B"/>
    <w:rsid w:val="00126045"/>
    <w:rsid w:val="00131586"/>
    <w:rsid w:val="00132CF0"/>
    <w:rsid w:val="00133865"/>
    <w:rsid w:val="00134D22"/>
    <w:rsid w:val="00142ED9"/>
    <w:rsid w:val="00143C2A"/>
    <w:rsid w:val="00145D00"/>
    <w:rsid w:val="001472A0"/>
    <w:rsid w:val="00150AAE"/>
    <w:rsid w:val="00150B1D"/>
    <w:rsid w:val="00155258"/>
    <w:rsid w:val="0016608D"/>
    <w:rsid w:val="00170DCA"/>
    <w:rsid w:val="00174ABB"/>
    <w:rsid w:val="00175FAC"/>
    <w:rsid w:val="00176859"/>
    <w:rsid w:val="00176AB1"/>
    <w:rsid w:val="00181401"/>
    <w:rsid w:val="00192015"/>
    <w:rsid w:val="00196202"/>
    <w:rsid w:val="001B2E68"/>
    <w:rsid w:val="001C2C34"/>
    <w:rsid w:val="001C69DB"/>
    <w:rsid w:val="001C7443"/>
    <w:rsid w:val="001D5EBA"/>
    <w:rsid w:val="001F3777"/>
    <w:rsid w:val="001F5880"/>
    <w:rsid w:val="001F5E8B"/>
    <w:rsid w:val="00205866"/>
    <w:rsid w:val="00214561"/>
    <w:rsid w:val="002247A4"/>
    <w:rsid w:val="0023294E"/>
    <w:rsid w:val="00235DBF"/>
    <w:rsid w:val="002505C4"/>
    <w:rsid w:val="002557B1"/>
    <w:rsid w:val="00255D67"/>
    <w:rsid w:val="002637E8"/>
    <w:rsid w:val="00281B42"/>
    <w:rsid w:val="00283660"/>
    <w:rsid w:val="00284A41"/>
    <w:rsid w:val="002912CA"/>
    <w:rsid w:val="00291905"/>
    <w:rsid w:val="00291AF6"/>
    <w:rsid w:val="0029653B"/>
    <w:rsid w:val="002A01F7"/>
    <w:rsid w:val="002A42DF"/>
    <w:rsid w:val="002A4BC9"/>
    <w:rsid w:val="002B0BF1"/>
    <w:rsid w:val="002B7BC1"/>
    <w:rsid w:val="002C12B0"/>
    <w:rsid w:val="002C5A23"/>
    <w:rsid w:val="002D25AD"/>
    <w:rsid w:val="002E15F0"/>
    <w:rsid w:val="002E6419"/>
    <w:rsid w:val="002F7D41"/>
    <w:rsid w:val="00303814"/>
    <w:rsid w:val="003128D8"/>
    <w:rsid w:val="0031317C"/>
    <w:rsid w:val="003162EB"/>
    <w:rsid w:val="00320E65"/>
    <w:rsid w:val="00323DC0"/>
    <w:rsid w:val="00324371"/>
    <w:rsid w:val="003255CF"/>
    <w:rsid w:val="00340689"/>
    <w:rsid w:val="00341381"/>
    <w:rsid w:val="003706B2"/>
    <w:rsid w:val="003723BB"/>
    <w:rsid w:val="0038666A"/>
    <w:rsid w:val="0039576E"/>
    <w:rsid w:val="003969B5"/>
    <w:rsid w:val="003979D4"/>
    <w:rsid w:val="003A03B0"/>
    <w:rsid w:val="003A076B"/>
    <w:rsid w:val="003B1C62"/>
    <w:rsid w:val="003B2CED"/>
    <w:rsid w:val="003B4AC4"/>
    <w:rsid w:val="003C077B"/>
    <w:rsid w:val="003C5AB5"/>
    <w:rsid w:val="003D2072"/>
    <w:rsid w:val="003E156A"/>
    <w:rsid w:val="003E1882"/>
    <w:rsid w:val="003E1EC6"/>
    <w:rsid w:val="003E375E"/>
    <w:rsid w:val="003F0943"/>
    <w:rsid w:val="003F4300"/>
    <w:rsid w:val="003F7C2A"/>
    <w:rsid w:val="0040135B"/>
    <w:rsid w:val="00403ECE"/>
    <w:rsid w:val="00407DAD"/>
    <w:rsid w:val="00411319"/>
    <w:rsid w:val="00417294"/>
    <w:rsid w:val="004212DA"/>
    <w:rsid w:val="00426953"/>
    <w:rsid w:val="00430353"/>
    <w:rsid w:val="00432D8A"/>
    <w:rsid w:val="00450C8F"/>
    <w:rsid w:val="00457F6A"/>
    <w:rsid w:val="00463470"/>
    <w:rsid w:val="0046445E"/>
    <w:rsid w:val="00466CBA"/>
    <w:rsid w:val="00470584"/>
    <w:rsid w:val="00472171"/>
    <w:rsid w:val="00472788"/>
    <w:rsid w:val="0047489B"/>
    <w:rsid w:val="00484860"/>
    <w:rsid w:val="0048797A"/>
    <w:rsid w:val="00492B73"/>
    <w:rsid w:val="00496198"/>
    <w:rsid w:val="004B2C2A"/>
    <w:rsid w:val="004C15F4"/>
    <w:rsid w:val="004C6478"/>
    <w:rsid w:val="004C7D23"/>
    <w:rsid w:val="004D0D77"/>
    <w:rsid w:val="004F53C0"/>
    <w:rsid w:val="00503517"/>
    <w:rsid w:val="0052476F"/>
    <w:rsid w:val="0053409E"/>
    <w:rsid w:val="00536BF6"/>
    <w:rsid w:val="00553B48"/>
    <w:rsid w:val="00554376"/>
    <w:rsid w:val="005620BA"/>
    <w:rsid w:val="00563F04"/>
    <w:rsid w:val="00567974"/>
    <w:rsid w:val="00571597"/>
    <w:rsid w:val="00574777"/>
    <w:rsid w:val="00583C80"/>
    <w:rsid w:val="00592B72"/>
    <w:rsid w:val="005A2B07"/>
    <w:rsid w:val="005B24CD"/>
    <w:rsid w:val="005B6F73"/>
    <w:rsid w:val="005C7C81"/>
    <w:rsid w:val="005F1D68"/>
    <w:rsid w:val="005F4FE2"/>
    <w:rsid w:val="005F6EA1"/>
    <w:rsid w:val="005F6F52"/>
    <w:rsid w:val="005F71B5"/>
    <w:rsid w:val="00601420"/>
    <w:rsid w:val="006112CC"/>
    <w:rsid w:val="0061488B"/>
    <w:rsid w:val="006164BC"/>
    <w:rsid w:val="006271B3"/>
    <w:rsid w:val="006301B8"/>
    <w:rsid w:val="00634C91"/>
    <w:rsid w:val="006363C2"/>
    <w:rsid w:val="00640F2C"/>
    <w:rsid w:val="00645ECC"/>
    <w:rsid w:val="006523D7"/>
    <w:rsid w:val="00653360"/>
    <w:rsid w:val="00654A5C"/>
    <w:rsid w:val="00662835"/>
    <w:rsid w:val="00667743"/>
    <w:rsid w:val="006729E8"/>
    <w:rsid w:val="006818A9"/>
    <w:rsid w:val="0068509A"/>
    <w:rsid w:val="00685EC3"/>
    <w:rsid w:val="00691A47"/>
    <w:rsid w:val="00692DF0"/>
    <w:rsid w:val="0069370B"/>
    <w:rsid w:val="006A0547"/>
    <w:rsid w:val="006A2940"/>
    <w:rsid w:val="006A2EE4"/>
    <w:rsid w:val="006A643D"/>
    <w:rsid w:val="006B6E04"/>
    <w:rsid w:val="006C0B7F"/>
    <w:rsid w:val="006C0D30"/>
    <w:rsid w:val="006C30D2"/>
    <w:rsid w:val="006C74F8"/>
    <w:rsid w:val="006D413C"/>
    <w:rsid w:val="006E1AD7"/>
    <w:rsid w:val="006E3C6D"/>
    <w:rsid w:val="006E5D2D"/>
    <w:rsid w:val="006E723F"/>
    <w:rsid w:val="006E76BE"/>
    <w:rsid w:val="00706DB8"/>
    <w:rsid w:val="00713EA4"/>
    <w:rsid w:val="007261CB"/>
    <w:rsid w:val="007275D4"/>
    <w:rsid w:val="007537B0"/>
    <w:rsid w:val="0075563D"/>
    <w:rsid w:val="00763A82"/>
    <w:rsid w:val="007668E9"/>
    <w:rsid w:val="00766F9B"/>
    <w:rsid w:val="0077178B"/>
    <w:rsid w:val="00775152"/>
    <w:rsid w:val="00781160"/>
    <w:rsid w:val="00794C0E"/>
    <w:rsid w:val="00795CCF"/>
    <w:rsid w:val="007A07B3"/>
    <w:rsid w:val="007B0373"/>
    <w:rsid w:val="007B5131"/>
    <w:rsid w:val="007C4771"/>
    <w:rsid w:val="007C5CF9"/>
    <w:rsid w:val="007D3D6A"/>
    <w:rsid w:val="007D4C89"/>
    <w:rsid w:val="007D4F88"/>
    <w:rsid w:val="007E56D4"/>
    <w:rsid w:val="007F08F0"/>
    <w:rsid w:val="00815236"/>
    <w:rsid w:val="00823286"/>
    <w:rsid w:val="008247EC"/>
    <w:rsid w:val="008268E6"/>
    <w:rsid w:val="00827328"/>
    <w:rsid w:val="008404B3"/>
    <w:rsid w:val="008518DE"/>
    <w:rsid w:val="008568E1"/>
    <w:rsid w:val="008700DB"/>
    <w:rsid w:val="00890373"/>
    <w:rsid w:val="0089050E"/>
    <w:rsid w:val="0089115B"/>
    <w:rsid w:val="008A0C90"/>
    <w:rsid w:val="008A434A"/>
    <w:rsid w:val="008D2ED8"/>
    <w:rsid w:val="008D43D6"/>
    <w:rsid w:val="008E05A5"/>
    <w:rsid w:val="008E08B3"/>
    <w:rsid w:val="008F0294"/>
    <w:rsid w:val="00920602"/>
    <w:rsid w:val="00922AC1"/>
    <w:rsid w:val="00922AE8"/>
    <w:rsid w:val="00924842"/>
    <w:rsid w:val="00934AD4"/>
    <w:rsid w:val="00940F20"/>
    <w:rsid w:val="009437DF"/>
    <w:rsid w:val="009448B3"/>
    <w:rsid w:val="00953FA2"/>
    <w:rsid w:val="009558EC"/>
    <w:rsid w:val="009570F8"/>
    <w:rsid w:val="00964B6B"/>
    <w:rsid w:val="00971A29"/>
    <w:rsid w:val="00972181"/>
    <w:rsid w:val="0097753A"/>
    <w:rsid w:val="00982537"/>
    <w:rsid w:val="00983A7C"/>
    <w:rsid w:val="00991E0D"/>
    <w:rsid w:val="009B7C2B"/>
    <w:rsid w:val="009D126A"/>
    <w:rsid w:val="009D4141"/>
    <w:rsid w:val="009E3143"/>
    <w:rsid w:val="009E508B"/>
    <w:rsid w:val="009F3049"/>
    <w:rsid w:val="009F5134"/>
    <w:rsid w:val="009F7734"/>
    <w:rsid w:val="009F77F9"/>
    <w:rsid w:val="00A0205F"/>
    <w:rsid w:val="00A04EA8"/>
    <w:rsid w:val="00A063FB"/>
    <w:rsid w:val="00A14C15"/>
    <w:rsid w:val="00A17042"/>
    <w:rsid w:val="00A20FED"/>
    <w:rsid w:val="00A24109"/>
    <w:rsid w:val="00A24E02"/>
    <w:rsid w:val="00A33D49"/>
    <w:rsid w:val="00A3679A"/>
    <w:rsid w:val="00A36E9D"/>
    <w:rsid w:val="00A404EE"/>
    <w:rsid w:val="00A40787"/>
    <w:rsid w:val="00A45C61"/>
    <w:rsid w:val="00A46166"/>
    <w:rsid w:val="00A50B29"/>
    <w:rsid w:val="00A51D75"/>
    <w:rsid w:val="00A53AE0"/>
    <w:rsid w:val="00A642DC"/>
    <w:rsid w:val="00A6526C"/>
    <w:rsid w:val="00A90580"/>
    <w:rsid w:val="00A937EF"/>
    <w:rsid w:val="00AA3DBD"/>
    <w:rsid w:val="00AC4050"/>
    <w:rsid w:val="00AC7E4A"/>
    <w:rsid w:val="00AD084D"/>
    <w:rsid w:val="00B04267"/>
    <w:rsid w:val="00B12FA3"/>
    <w:rsid w:val="00B233AC"/>
    <w:rsid w:val="00B318CE"/>
    <w:rsid w:val="00B344B8"/>
    <w:rsid w:val="00B3660F"/>
    <w:rsid w:val="00B40A95"/>
    <w:rsid w:val="00B45296"/>
    <w:rsid w:val="00B52998"/>
    <w:rsid w:val="00B55DDB"/>
    <w:rsid w:val="00B637FD"/>
    <w:rsid w:val="00B724A3"/>
    <w:rsid w:val="00B87444"/>
    <w:rsid w:val="00B9126E"/>
    <w:rsid w:val="00B91ACC"/>
    <w:rsid w:val="00B95E63"/>
    <w:rsid w:val="00BA534F"/>
    <w:rsid w:val="00BB1D32"/>
    <w:rsid w:val="00BB64F1"/>
    <w:rsid w:val="00BB7032"/>
    <w:rsid w:val="00BC4188"/>
    <w:rsid w:val="00BC4836"/>
    <w:rsid w:val="00BE3762"/>
    <w:rsid w:val="00BF2028"/>
    <w:rsid w:val="00C006AF"/>
    <w:rsid w:val="00C128AA"/>
    <w:rsid w:val="00C15BE5"/>
    <w:rsid w:val="00C40864"/>
    <w:rsid w:val="00C5020B"/>
    <w:rsid w:val="00C53D0F"/>
    <w:rsid w:val="00C560D0"/>
    <w:rsid w:val="00C671A3"/>
    <w:rsid w:val="00C72E06"/>
    <w:rsid w:val="00C86B99"/>
    <w:rsid w:val="00C9569E"/>
    <w:rsid w:val="00CA4768"/>
    <w:rsid w:val="00CA5F38"/>
    <w:rsid w:val="00CB0441"/>
    <w:rsid w:val="00CB1EF3"/>
    <w:rsid w:val="00CB2721"/>
    <w:rsid w:val="00CB78EC"/>
    <w:rsid w:val="00CD500C"/>
    <w:rsid w:val="00CE029D"/>
    <w:rsid w:val="00CE20D6"/>
    <w:rsid w:val="00CE36A6"/>
    <w:rsid w:val="00CE5645"/>
    <w:rsid w:val="00CF18EF"/>
    <w:rsid w:val="00CF593D"/>
    <w:rsid w:val="00D10CE2"/>
    <w:rsid w:val="00D239C5"/>
    <w:rsid w:val="00D245DB"/>
    <w:rsid w:val="00D24FA8"/>
    <w:rsid w:val="00D25B57"/>
    <w:rsid w:val="00D30859"/>
    <w:rsid w:val="00D31894"/>
    <w:rsid w:val="00D356F5"/>
    <w:rsid w:val="00D61460"/>
    <w:rsid w:val="00D65392"/>
    <w:rsid w:val="00D813D8"/>
    <w:rsid w:val="00D836DA"/>
    <w:rsid w:val="00D86B8E"/>
    <w:rsid w:val="00D87135"/>
    <w:rsid w:val="00D91DD3"/>
    <w:rsid w:val="00D930DE"/>
    <w:rsid w:val="00D93AD0"/>
    <w:rsid w:val="00D94C43"/>
    <w:rsid w:val="00DB0164"/>
    <w:rsid w:val="00DB39CF"/>
    <w:rsid w:val="00DC7A6B"/>
    <w:rsid w:val="00DC7BB8"/>
    <w:rsid w:val="00DD0833"/>
    <w:rsid w:val="00DD709C"/>
    <w:rsid w:val="00DE7A64"/>
    <w:rsid w:val="00DF4251"/>
    <w:rsid w:val="00DF741F"/>
    <w:rsid w:val="00E07BF7"/>
    <w:rsid w:val="00E14395"/>
    <w:rsid w:val="00E16082"/>
    <w:rsid w:val="00E30E69"/>
    <w:rsid w:val="00E35A68"/>
    <w:rsid w:val="00E35DCC"/>
    <w:rsid w:val="00E443F7"/>
    <w:rsid w:val="00E4494C"/>
    <w:rsid w:val="00E55838"/>
    <w:rsid w:val="00E558CB"/>
    <w:rsid w:val="00E607EC"/>
    <w:rsid w:val="00E669CF"/>
    <w:rsid w:val="00E805B9"/>
    <w:rsid w:val="00E904FC"/>
    <w:rsid w:val="00E90DBA"/>
    <w:rsid w:val="00EA16BC"/>
    <w:rsid w:val="00EB10F9"/>
    <w:rsid w:val="00EB24D6"/>
    <w:rsid w:val="00EE3010"/>
    <w:rsid w:val="00EE3C2C"/>
    <w:rsid w:val="00EF0056"/>
    <w:rsid w:val="00EF2724"/>
    <w:rsid w:val="00F01479"/>
    <w:rsid w:val="00F052ED"/>
    <w:rsid w:val="00F12EDA"/>
    <w:rsid w:val="00F14E91"/>
    <w:rsid w:val="00F21271"/>
    <w:rsid w:val="00F247AD"/>
    <w:rsid w:val="00F3526A"/>
    <w:rsid w:val="00F41CDA"/>
    <w:rsid w:val="00F52173"/>
    <w:rsid w:val="00F52937"/>
    <w:rsid w:val="00F52F54"/>
    <w:rsid w:val="00F56FE1"/>
    <w:rsid w:val="00F82035"/>
    <w:rsid w:val="00F83767"/>
    <w:rsid w:val="00F85C45"/>
    <w:rsid w:val="00F91B87"/>
    <w:rsid w:val="00F93D23"/>
    <w:rsid w:val="00FA35B8"/>
    <w:rsid w:val="00FA4DB6"/>
    <w:rsid w:val="00FA74FD"/>
    <w:rsid w:val="00FB6328"/>
    <w:rsid w:val="00FC74E5"/>
    <w:rsid w:val="00FD62F5"/>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6122"/>
    <w:pPr>
      <w:widowControl w:val="0"/>
    </w:pPr>
    <w:rPr>
      <w:snapToGrid w:val="0"/>
      <w:kern w:val="28"/>
      <w:sz w:val="22"/>
    </w:rPr>
  </w:style>
  <w:style w:type="paragraph" w:styleId="Heading1">
    <w:name w:val="heading 1"/>
    <w:basedOn w:val="Normal"/>
    <w:next w:val="ParaNum"/>
    <w:qFormat/>
    <w:rsid w:val="00016122"/>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16122"/>
    <w:pPr>
      <w:keepNext/>
      <w:numPr>
        <w:ilvl w:val="1"/>
        <w:numId w:val="5"/>
      </w:numPr>
      <w:spacing w:after="120"/>
      <w:outlineLvl w:val="1"/>
    </w:pPr>
    <w:rPr>
      <w:b/>
    </w:rPr>
  </w:style>
  <w:style w:type="paragraph" w:styleId="Heading3">
    <w:name w:val="heading 3"/>
    <w:basedOn w:val="Normal"/>
    <w:next w:val="ParaNum"/>
    <w:link w:val="Heading3Char"/>
    <w:qFormat/>
    <w:rsid w:val="00016122"/>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016122"/>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016122"/>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016122"/>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016122"/>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016122"/>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16122"/>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61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122"/>
  </w:style>
  <w:style w:type="character" w:customStyle="1" w:styleId="WW8Num1z0">
    <w:name w:val="WW8Num1z0"/>
    <w:rPr>
      <w:rFonts w:ascii="Times New Roman" w:hAnsi="Times New Roman"/>
      <w:b w:val="0"/>
      <w:i w:val="0"/>
      <w:sz w:val="22"/>
      <w:szCs w:val="22"/>
    </w:rPr>
  </w:style>
  <w:style w:type="character" w:customStyle="1" w:styleId="WW8Num2z0">
    <w:name w:val="WW8Num2z0"/>
    <w:rPr>
      <w:b w:val="0"/>
      <w:i w:val="0"/>
      <w:sz w:val="22"/>
      <w:szCs w:val="22"/>
    </w:rPr>
  </w:style>
  <w:style w:type="character" w:customStyle="1" w:styleId="WW8Num3z0">
    <w:name w:val="WW8Num3z0"/>
    <w:rPr>
      <w:b/>
    </w:rPr>
  </w:style>
  <w:style w:type="character" w:customStyle="1" w:styleId="WW8Num6z0">
    <w:name w:val="WW8Num6z0"/>
    <w:rPr>
      <w:b w:val="0"/>
      <w:i w:val="0"/>
    </w:rPr>
  </w:style>
  <w:style w:type="character" w:customStyle="1" w:styleId="FootnoteCharacters">
    <w:name w:val="Footnote Characters"/>
    <w:rPr>
      <w:vertAlign w:val="superscript"/>
    </w:rPr>
  </w:style>
  <w:style w:type="character" w:customStyle="1" w:styleId="FootnoteTextCharChar">
    <w:name w:val="Footnote Text Char Char"/>
    <w:rPr>
      <w:lang w:val="en-US" w:eastAsia="ar-SA" w:bidi="ar-SA"/>
    </w:rPr>
  </w:style>
  <w:style w:type="character" w:customStyle="1" w:styleId="EquationCaption">
    <w:name w:val="_Equation Caption"/>
    <w:rsid w:val="00016122"/>
  </w:style>
  <w:style w:type="character" w:styleId="PageNumber">
    <w:name w:val="page number"/>
    <w:basedOn w:val="DefaultParagraphFont"/>
    <w:rsid w:val="00016122"/>
  </w:style>
  <w:style w:type="character" w:customStyle="1" w:styleId="documentbody1">
    <w:name w:val="documentbody1"/>
    <w:rPr>
      <w:rFonts w:ascii="Verdana" w:hAnsi="Verdana"/>
      <w:sz w:val="19"/>
      <w:szCs w:val="19"/>
    </w:rPr>
  </w:style>
  <w:style w:type="character" w:styleId="FootnoteReference">
    <w:name w:val="footnote reference"/>
    <w:aliases w:val="Style 12,(NECG) Footnote Reference,Appel note de bas de p,Style 124,o,fr,Style 3,Style 17,FR,Style 13,Style 6,Footnote Reference/"/>
    <w:rsid w:val="00016122"/>
    <w:rPr>
      <w:rFonts w:ascii="Times New Roman" w:hAnsi="Times New Roman"/>
      <w:dstrike w:val="0"/>
      <w:color w:val="auto"/>
      <w:sz w:val="20"/>
      <w:vertAlign w:val="superscript"/>
    </w:rPr>
  </w:style>
  <w:style w:type="character" w:styleId="EndnoteReference">
    <w:name w:val="endnote reference"/>
    <w:semiHidden/>
    <w:rsid w:val="00016122"/>
    <w:rPr>
      <w:vertAlign w:val="superscript"/>
    </w:rPr>
  </w:style>
  <w:style w:type="character" w:customStyle="1" w:styleId="EndnoteCharacters">
    <w:name w:val="Endnote Character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
    <w:link w:val="FootnoteTextChar"/>
    <w:rsid w:val="00016122"/>
    <w:pPr>
      <w:spacing w:after="120"/>
    </w:pPr>
  </w:style>
  <w:style w:type="paragraph" w:customStyle="1" w:styleId="ParaNumCharChar">
    <w:name w:val="ParaNum Char Char"/>
    <w:basedOn w:val="Normal"/>
    <w:pPr>
      <w:numPr>
        <w:numId w:val="1"/>
      </w:numPr>
      <w:snapToGrid w:val="0"/>
      <w:spacing w:after="220"/>
      <w:ind w:left="0" w:firstLine="0"/>
    </w:pPr>
    <w:rPr>
      <w:kern w:val="1"/>
      <w:szCs w:val="22"/>
    </w:rPr>
  </w:style>
  <w:style w:type="paragraph" w:styleId="Title">
    <w:name w:val="Title"/>
    <w:basedOn w:val="Normal"/>
    <w:next w:val="Heading1"/>
    <w:qFormat/>
    <w:pPr>
      <w:jc w:val="center"/>
    </w:pPr>
    <w:rPr>
      <w:b/>
    </w:rPr>
  </w:style>
  <w:style w:type="paragraph" w:styleId="Subtitle">
    <w:name w:val="Subtitle"/>
    <w:basedOn w:val="Heading"/>
    <w:next w:val="BodyText"/>
    <w:qFormat/>
    <w:pPr>
      <w:jc w:val="center"/>
    </w:pPr>
    <w:rPr>
      <w:i/>
      <w:iCs/>
    </w:rPr>
  </w:style>
  <w:style w:type="paragraph" w:styleId="Header">
    <w:name w:val="header"/>
    <w:basedOn w:val="Normal"/>
    <w:autoRedefine/>
    <w:rsid w:val="00016122"/>
    <w:pPr>
      <w:tabs>
        <w:tab w:val="center" w:pos="4680"/>
        <w:tab w:val="right" w:pos="9360"/>
      </w:tabs>
    </w:pPr>
    <w:rPr>
      <w:b/>
    </w:rPr>
  </w:style>
  <w:style w:type="paragraph" w:styleId="Footer">
    <w:name w:val="footer"/>
    <w:basedOn w:val="Normal"/>
    <w:link w:val="FooterChar"/>
    <w:rsid w:val="00016122"/>
    <w:pPr>
      <w:tabs>
        <w:tab w:val="center" w:pos="4320"/>
        <w:tab w:val="right" w:pos="8640"/>
      </w:tabs>
    </w:pPr>
  </w:style>
  <w:style w:type="paragraph" w:customStyle="1" w:styleId="ParaNumCharCharChar1Char">
    <w:name w:val="ParaNum Char Char Char1 Char"/>
    <w:basedOn w:val="Normal"/>
    <w:pPr>
      <w:spacing w:after="120"/>
    </w:pPr>
    <w:rPr>
      <w:kern w:val="1"/>
    </w:rPr>
  </w:style>
  <w:style w:type="paragraph" w:customStyle="1" w:styleId="ParaNum">
    <w:name w:val="ParaNum"/>
    <w:basedOn w:val="Normal"/>
    <w:rsid w:val="00016122"/>
    <w:pPr>
      <w:numPr>
        <w:numId w:val="4"/>
      </w:numPr>
      <w:tabs>
        <w:tab w:val="clear" w:pos="1080"/>
        <w:tab w:val="num" w:pos="1440"/>
      </w:tabs>
      <w:spacing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semiHidden/>
    <w:rsid w:val="003969B5"/>
    <w:rPr>
      <w:rFonts w:ascii="Tahoma" w:hAnsi="Tahoma" w:cs="Tahoma"/>
      <w:sz w:val="16"/>
      <w:szCs w:val="16"/>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sid w:val="00503517"/>
  </w:style>
  <w:style w:type="paragraph" w:customStyle="1" w:styleId="FooterOdd">
    <w:name w:val="Footer Odd"/>
    <w:basedOn w:val="Normal"/>
    <w:qFormat/>
    <w:rsid w:val="00AA3DBD"/>
    <w:pPr>
      <w:pBdr>
        <w:top w:val="single" w:sz="4" w:space="1" w:color="4F81BD"/>
      </w:pBdr>
      <w:spacing w:after="180" w:line="264" w:lineRule="auto"/>
      <w:jc w:val="right"/>
    </w:pPr>
    <w:rPr>
      <w:rFonts w:ascii="Calibri" w:eastAsia="Calibri" w:hAnsi="Calibri"/>
      <w:color w:val="1F497D"/>
      <w:sz w:val="20"/>
      <w:lang w:eastAsia="ja-JP"/>
    </w:rPr>
  </w:style>
  <w:style w:type="character" w:customStyle="1" w:styleId="FooterChar">
    <w:name w:val="Footer Char"/>
    <w:link w:val="Footer"/>
    <w:rsid w:val="00AA3DBD"/>
    <w:rPr>
      <w:snapToGrid w:val="0"/>
      <w:kern w:val="28"/>
      <w:sz w:val="22"/>
    </w:rPr>
  </w:style>
  <w:style w:type="paragraph" w:styleId="Revision">
    <w:name w:val="Revision"/>
    <w:hidden/>
    <w:uiPriority w:val="71"/>
    <w:rsid w:val="00192015"/>
    <w:rPr>
      <w:sz w:val="22"/>
      <w:lang w:eastAsia="ar-SA"/>
    </w:rPr>
  </w:style>
  <w:style w:type="character" w:styleId="CommentReference">
    <w:name w:val="annotation reference"/>
    <w:rsid w:val="00E55838"/>
    <w:rPr>
      <w:sz w:val="16"/>
      <w:szCs w:val="16"/>
    </w:rPr>
  </w:style>
  <w:style w:type="paragraph" w:styleId="CommentText">
    <w:name w:val="annotation text"/>
    <w:basedOn w:val="Normal"/>
    <w:link w:val="CommentTextChar"/>
    <w:rsid w:val="00E55838"/>
    <w:rPr>
      <w:sz w:val="20"/>
    </w:rPr>
  </w:style>
  <w:style w:type="character" w:customStyle="1" w:styleId="CommentTextChar">
    <w:name w:val="Comment Text Char"/>
    <w:link w:val="CommentText"/>
    <w:rsid w:val="00E55838"/>
    <w:rPr>
      <w:lang w:eastAsia="ar-SA"/>
    </w:rPr>
  </w:style>
  <w:style w:type="paragraph" w:styleId="CommentSubject">
    <w:name w:val="annotation subject"/>
    <w:basedOn w:val="CommentText"/>
    <w:next w:val="CommentText"/>
    <w:link w:val="CommentSubjectChar"/>
    <w:rsid w:val="00E55838"/>
    <w:rPr>
      <w:b/>
      <w:bCs/>
    </w:rPr>
  </w:style>
  <w:style w:type="character" w:customStyle="1" w:styleId="CommentSubjectChar">
    <w:name w:val="Comment Subject Char"/>
    <w:link w:val="CommentSubject"/>
    <w:rsid w:val="00E55838"/>
    <w:rPr>
      <w:b/>
      <w:bCs/>
      <w:lang w:eastAsia="ar-SA"/>
    </w:rPr>
  </w:style>
  <w:style w:type="character" w:styleId="Hyperlink">
    <w:name w:val="Hyperlink"/>
    <w:rsid w:val="00016122"/>
    <w:rPr>
      <w:color w:val="0000FF"/>
      <w:u w:val="single"/>
    </w:rPr>
  </w:style>
  <w:style w:type="character" w:customStyle="1" w:styleId="FootnoteTextChar2">
    <w:name w:val="Footnote Text Char2"/>
    <w:aliases w:val="Footnote Text Char Char Char,Footnote Text Char5 Char Char Char,Footnote Text Char Char Char Char Char,Footnote Text Char4 Char Char1 Char Char Char,Footnote Text Char2 Char Char2 Char2 Char Char Char"/>
    <w:semiHidden/>
    <w:locked/>
    <w:rsid w:val="00B318CE"/>
    <w:rPr>
      <w:lang w:val="en-US" w:eastAsia="en-US" w:bidi="ar-SA"/>
    </w:rPr>
  </w:style>
  <w:style w:type="character" w:customStyle="1" w:styleId="Footnote">
    <w:name w:val="Footnote"/>
    <w:rsid w:val="00B318CE"/>
  </w:style>
  <w:style w:type="character" w:styleId="FollowedHyperlink">
    <w:name w:val="FollowedHyperlink"/>
    <w:rsid w:val="008518DE"/>
    <w:rPr>
      <w:color w:val="800080"/>
      <w:u w:val="single"/>
    </w:rPr>
  </w:style>
  <w:style w:type="character" w:customStyle="1" w:styleId="Heading2Char">
    <w:name w:val="Heading 2 Char"/>
    <w:link w:val="Heading2"/>
    <w:rsid w:val="007C4771"/>
    <w:rPr>
      <w:b/>
      <w:snapToGrid w:val="0"/>
      <w:kern w:val="28"/>
      <w:sz w:val="22"/>
    </w:rPr>
  </w:style>
  <w:style w:type="character" w:customStyle="1" w:styleId="Heading3Char">
    <w:name w:val="Heading 3 Char"/>
    <w:link w:val="Heading3"/>
    <w:rsid w:val="007C4771"/>
    <w:rPr>
      <w:b/>
      <w:snapToGrid w:val="0"/>
      <w:kern w:val="28"/>
      <w:sz w:val="22"/>
    </w:rPr>
  </w:style>
  <w:style w:type="character" w:customStyle="1" w:styleId="Heading4Char">
    <w:name w:val="Heading 4 Char"/>
    <w:link w:val="Heading4"/>
    <w:rsid w:val="007C4771"/>
    <w:rPr>
      <w:b/>
      <w:snapToGrid w:val="0"/>
      <w:kern w:val="28"/>
      <w:sz w:val="22"/>
    </w:rPr>
  </w:style>
  <w:style w:type="character" w:customStyle="1" w:styleId="Heading5Char">
    <w:name w:val="Heading 5 Char"/>
    <w:link w:val="Heading5"/>
    <w:rsid w:val="007C4771"/>
    <w:rPr>
      <w:b/>
      <w:snapToGrid w:val="0"/>
      <w:kern w:val="28"/>
      <w:sz w:val="22"/>
    </w:rPr>
  </w:style>
  <w:style w:type="character" w:customStyle="1" w:styleId="Heading6Char">
    <w:name w:val="Heading 6 Char"/>
    <w:link w:val="Heading6"/>
    <w:rsid w:val="007C4771"/>
    <w:rPr>
      <w:b/>
      <w:snapToGrid w:val="0"/>
      <w:kern w:val="28"/>
      <w:sz w:val="22"/>
    </w:rPr>
  </w:style>
  <w:style w:type="character" w:customStyle="1" w:styleId="Heading7Char">
    <w:name w:val="Heading 7 Char"/>
    <w:link w:val="Heading7"/>
    <w:rsid w:val="007C4771"/>
    <w:rPr>
      <w:b/>
      <w:snapToGrid w:val="0"/>
      <w:kern w:val="28"/>
      <w:sz w:val="22"/>
    </w:rPr>
  </w:style>
  <w:style w:type="character" w:customStyle="1" w:styleId="Heading8Char">
    <w:name w:val="Heading 8 Char"/>
    <w:link w:val="Heading8"/>
    <w:rsid w:val="007C4771"/>
    <w:rPr>
      <w:b/>
      <w:snapToGrid w:val="0"/>
      <w:kern w:val="28"/>
      <w:sz w:val="22"/>
    </w:rPr>
  </w:style>
  <w:style w:type="character" w:customStyle="1" w:styleId="Heading9Char">
    <w:name w:val="Heading 9 Char"/>
    <w:link w:val="Heading9"/>
    <w:rsid w:val="007C4771"/>
    <w:rPr>
      <w:b/>
      <w:snapToGrid w:val="0"/>
      <w:kern w:val="28"/>
      <w:sz w:val="22"/>
    </w:rPr>
  </w:style>
  <w:style w:type="paragraph" w:styleId="EndnoteText">
    <w:name w:val="endnote text"/>
    <w:basedOn w:val="Normal"/>
    <w:link w:val="EndnoteTextChar"/>
    <w:rsid w:val="00016122"/>
    <w:rPr>
      <w:sz w:val="20"/>
    </w:rPr>
  </w:style>
  <w:style w:type="character" w:customStyle="1" w:styleId="EndnoteTextChar">
    <w:name w:val="Endnote Text Char"/>
    <w:link w:val="EndnoteText"/>
    <w:rsid w:val="007C4771"/>
    <w:rPr>
      <w:snapToGrid w:val="0"/>
      <w:kern w:val="28"/>
    </w:rPr>
  </w:style>
  <w:style w:type="paragraph" w:styleId="TOC1">
    <w:name w:val="toc 1"/>
    <w:basedOn w:val="Normal"/>
    <w:next w:val="Normal"/>
    <w:rsid w:val="00016122"/>
    <w:pPr>
      <w:tabs>
        <w:tab w:val="left" w:pos="360"/>
        <w:tab w:val="right" w:leader="dot" w:pos="9360"/>
      </w:tabs>
      <w:suppressAutoHyphens/>
      <w:ind w:left="360" w:right="720" w:hanging="360"/>
    </w:pPr>
    <w:rPr>
      <w:caps/>
      <w:noProof/>
    </w:rPr>
  </w:style>
  <w:style w:type="paragraph" w:styleId="TOC2">
    <w:name w:val="toc 2"/>
    <w:basedOn w:val="Normal"/>
    <w:next w:val="Normal"/>
    <w:rsid w:val="00016122"/>
    <w:pPr>
      <w:tabs>
        <w:tab w:val="left" w:pos="720"/>
        <w:tab w:val="right" w:leader="dot" w:pos="9360"/>
      </w:tabs>
      <w:suppressAutoHyphens/>
      <w:ind w:left="720" w:right="720" w:hanging="360"/>
    </w:pPr>
    <w:rPr>
      <w:noProof/>
    </w:rPr>
  </w:style>
  <w:style w:type="paragraph" w:styleId="TOC3">
    <w:name w:val="toc 3"/>
    <w:basedOn w:val="Normal"/>
    <w:next w:val="Normal"/>
    <w:rsid w:val="0001612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1612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1612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16122"/>
    <w:pPr>
      <w:tabs>
        <w:tab w:val="left" w:pos="2160"/>
        <w:tab w:val="right" w:leader="dot" w:pos="9360"/>
      </w:tabs>
      <w:suppressAutoHyphens/>
      <w:ind w:left="2160" w:hanging="360"/>
    </w:pPr>
    <w:rPr>
      <w:noProof/>
    </w:rPr>
  </w:style>
  <w:style w:type="paragraph" w:styleId="TOC7">
    <w:name w:val="toc 7"/>
    <w:basedOn w:val="Normal"/>
    <w:next w:val="Normal"/>
    <w:autoRedefine/>
    <w:rsid w:val="00016122"/>
    <w:pPr>
      <w:tabs>
        <w:tab w:val="left" w:pos="2520"/>
        <w:tab w:val="right" w:leader="dot" w:pos="9360"/>
      </w:tabs>
      <w:suppressAutoHyphens/>
      <w:ind w:left="2520" w:hanging="360"/>
    </w:pPr>
    <w:rPr>
      <w:noProof/>
    </w:rPr>
  </w:style>
  <w:style w:type="paragraph" w:styleId="TOC8">
    <w:name w:val="toc 8"/>
    <w:basedOn w:val="Normal"/>
    <w:next w:val="Normal"/>
    <w:autoRedefine/>
    <w:rsid w:val="00016122"/>
    <w:pPr>
      <w:tabs>
        <w:tab w:val="left" w:pos="2880"/>
        <w:tab w:val="right" w:leader="dot" w:pos="9360"/>
      </w:tabs>
      <w:suppressAutoHyphens/>
      <w:ind w:left="2880" w:hanging="360"/>
    </w:pPr>
    <w:rPr>
      <w:noProof/>
    </w:rPr>
  </w:style>
  <w:style w:type="paragraph" w:styleId="TOC9">
    <w:name w:val="toc 9"/>
    <w:basedOn w:val="Normal"/>
    <w:next w:val="Normal"/>
    <w:autoRedefine/>
    <w:rsid w:val="00016122"/>
    <w:pPr>
      <w:tabs>
        <w:tab w:val="left" w:pos="3240"/>
        <w:tab w:val="right" w:leader="dot" w:pos="9360"/>
      </w:tabs>
      <w:suppressAutoHyphens/>
      <w:ind w:left="3240" w:hanging="360"/>
    </w:pPr>
    <w:rPr>
      <w:noProof/>
    </w:rPr>
  </w:style>
  <w:style w:type="paragraph" w:styleId="TOAHeading">
    <w:name w:val="toa heading"/>
    <w:basedOn w:val="Normal"/>
    <w:next w:val="Normal"/>
    <w:rsid w:val="00016122"/>
    <w:pPr>
      <w:tabs>
        <w:tab w:val="right" w:pos="9360"/>
      </w:tabs>
      <w:suppressAutoHyphens/>
    </w:pPr>
  </w:style>
  <w:style w:type="paragraph" w:styleId="BlockText">
    <w:name w:val="Block Text"/>
    <w:basedOn w:val="Normal"/>
    <w:rsid w:val="00016122"/>
    <w:pPr>
      <w:spacing w:after="240"/>
      <w:ind w:left="1440" w:right="1440"/>
    </w:pPr>
  </w:style>
  <w:style w:type="paragraph" w:customStyle="1" w:styleId="Paratitle">
    <w:name w:val="Para title"/>
    <w:basedOn w:val="Normal"/>
    <w:rsid w:val="00016122"/>
    <w:pPr>
      <w:tabs>
        <w:tab w:val="center" w:pos="9270"/>
      </w:tabs>
      <w:spacing w:after="240"/>
    </w:pPr>
    <w:rPr>
      <w:spacing w:val="-2"/>
    </w:rPr>
  </w:style>
  <w:style w:type="paragraph" w:customStyle="1" w:styleId="Bullet">
    <w:name w:val="Bullet"/>
    <w:basedOn w:val="Normal"/>
    <w:rsid w:val="00016122"/>
    <w:pPr>
      <w:tabs>
        <w:tab w:val="left" w:pos="2160"/>
      </w:tabs>
      <w:spacing w:after="220"/>
      <w:ind w:left="2160" w:hanging="720"/>
    </w:pPr>
  </w:style>
  <w:style w:type="paragraph" w:customStyle="1" w:styleId="TableFormat">
    <w:name w:val="TableFormat"/>
    <w:basedOn w:val="Bullet"/>
    <w:rsid w:val="00016122"/>
    <w:pPr>
      <w:tabs>
        <w:tab w:val="clear" w:pos="2160"/>
        <w:tab w:val="left" w:pos="5040"/>
      </w:tabs>
      <w:ind w:left="5040" w:hanging="3600"/>
    </w:pPr>
  </w:style>
  <w:style w:type="paragraph" w:customStyle="1" w:styleId="TOCTitle">
    <w:name w:val="TOC Title"/>
    <w:basedOn w:val="Normal"/>
    <w:rsid w:val="000161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6122"/>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6122"/>
    <w:pPr>
      <w:widowControl w:val="0"/>
    </w:pPr>
    <w:rPr>
      <w:snapToGrid w:val="0"/>
      <w:kern w:val="28"/>
      <w:sz w:val="22"/>
    </w:rPr>
  </w:style>
  <w:style w:type="paragraph" w:styleId="Heading1">
    <w:name w:val="heading 1"/>
    <w:basedOn w:val="Normal"/>
    <w:next w:val="ParaNum"/>
    <w:qFormat/>
    <w:rsid w:val="00016122"/>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16122"/>
    <w:pPr>
      <w:keepNext/>
      <w:numPr>
        <w:ilvl w:val="1"/>
        <w:numId w:val="5"/>
      </w:numPr>
      <w:spacing w:after="120"/>
      <w:outlineLvl w:val="1"/>
    </w:pPr>
    <w:rPr>
      <w:b/>
    </w:rPr>
  </w:style>
  <w:style w:type="paragraph" w:styleId="Heading3">
    <w:name w:val="heading 3"/>
    <w:basedOn w:val="Normal"/>
    <w:next w:val="ParaNum"/>
    <w:link w:val="Heading3Char"/>
    <w:qFormat/>
    <w:rsid w:val="00016122"/>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016122"/>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016122"/>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016122"/>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016122"/>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016122"/>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16122"/>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61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122"/>
  </w:style>
  <w:style w:type="character" w:customStyle="1" w:styleId="WW8Num1z0">
    <w:name w:val="WW8Num1z0"/>
    <w:rPr>
      <w:rFonts w:ascii="Times New Roman" w:hAnsi="Times New Roman"/>
      <w:b w:val="0"/>
      <w:i w:val="0"/>
      <w:sz w:val="22"/>
      <w:szCs w:val="22"/>
    </w:rPr>
  </w:style>
  <w:style w:type="character" w:customStyle="1" w:styleId="WW8Num2z0">
    <w:name w:val="WW8Num2z0"/>
    <w:rPr>
      <w:b w:val="0"/>
      <w:i w:val="0"/>
      <w:sz w:val="22"/>
      <w:szCs w:val="22"/>
    </w:rPr>
  </w:style>
  <w:style w:type="character" w:customStyle="1" w:styleId="WW8Num3z0">
    <w:name w:val="WW8Num3z0"/>
    <w:rPr>
      <w:b/>
    </w:rPr>
  </w:style>
  <w:style w:type="character" w:customStyle="1" w:styleId="WW8Num6z0">
    <w:name w:val="WW8Num6z0"/>
    <w:rPr>
      <w:b w:val="0"/>
      <w:i w:val="0"/>
    </w:rPr>
  </w:style>
  <w:style w:type="character" w:customStyle="1" w:styleId="FootnoteCharacters">
    <w:name w:val="Footnote Characters"/>
    <w:rPr>
      <w:vertAlign w:val="superscript"/>
    </w:rPr>
  </w:style>
  <w:style w:type="character" w:customStyle="1" w:styleId="FootnoteTextCharChar">
    <w:name w:val="Footnote Text Char Char"/>
    <w:rPr>
      <w:lang w:val="en-US" w:eastAsia="ar-SA" w:bidi="ar-SA"/>
    </w:rPr>
  </w:style>
  <w:style w:type="character" w:customStyle="1" w:styleId="EquationCaption">
    <w:name w:val="_Equation Caption"/>
    <w:rsid w:val="00016122"/>
  </w:style>
  <w:style w:type="character" w:styleId="PageNumber">
    <w:name w:val="page number"/>
    <w:basedOn w:val="DefaultParagraphFont"/>
    <w:rsid w:val="00016122"/>
  </w:style>
  <w:style w:type="character" w:customStyle="1" w:styleId="documentbody1">
    <w:name w:val="documentbody1"/>
    <w:rPr>
      <w:rFonts w:ascii="Verdana" w:hAnsi="Verdana"/>
      <w:sz w:val="19"/>
      <w:szCs w:val="19"/>
    </w:rPr>
  </w:style>
  <w:style w:type="character" w:styleId="FootnoteReference">
    <w:name w:val="footnote reference"/>
    <w:aliases w:val="Style 12,(NECG) Footnote Reference,Appel note de bas de p,Style 124,o,fr,Style 3,Style 17,FR,Style 13,Style 6,Footnote Reference/"/>
    <w:rsid w:val="00016122"/>
    <w:rPr>
      <w:rFonts w:ascii="Times New Roman" w:hAnsi="Times New Roman"/>
      <w:dstrike w:val="0"/>
      <w:color w:val="auto"/>
      <w:sz w:val="20"/>
      <w:vertAlign w:val="superscript"/>
    </w:rPr>
  </w:style>
  <w:style w:type="character" w:styleId="EndnoteReference">
    <w:name w:val="endnote reference"/>
    <w:semiHidden/>
    <w:rsid w:val="00016122"/>
    <w:rPr>
      <w:vertAlign w:val="superscript"/>
    </w:rPr>
  </w:style>
  <w:style w:type="character" w:customStyle="1" w:styleId="EndnoteCharacters">
    <w:name w:val="Endnote Character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
    <w:link w:val="FootnoteTextChar"/>
    <w:rsid w:val="00016122"/>
    <w:pPr>
      <w:spacing w:after="120"/>
    </w:pPr>
  </w:style>
  <w:style w:type="paragraph" w:customStyle="1" w:styleId="ParaNumCharChar">
    <w:name w:val="ParaNum Char Char"/>
    <w:basedOn w:val="Normal"/>
    <w:pPr>
      <w:numPr>
        <w:numId w:val="1"/>
      </w:numPr>
      <w:snapToGrid w:val="0"/>
      <w:spacing w:after="220"/>
      <w:ind w:left="0" w:firstLine="0"/>
    </w:pPr>
    <w:rPr>
      <w:kern w:val="1"/>
      <w:szCs w:val="22"/>
    </w:rPr>
  </w:style>
  <w:style w:type="paragraph" w:styleId="Title">
    <w:name w:val="Title"/>
    <w:basedOn w:val="Normal"/>
    <w:next w:val="Heading1"/>
    <w:qFormat/>
    <w:pPr>
      <w:jc w:val="center"/>
    </w:pPr>
    <w:rPr>
      <w:b/>
    </w:rPr>
  </w:style>
  <w:style w:type="paragraph" w:styleId="Subtitle">
    <w:name w:val="Subtitle"/>
    <w:basedOn w:val="Heading"/>
    <w:next w:val="BodyText"/>
    <w:qFormat/>
    <w:pPr>
      <w:jc w:val="center"/>
    </w:pPr>
    <w:rPr>
      <w:i/>
      <w:iCs/>
    </w:rPr>
  </w:style>
  <w:style w:type="paragraph" w:styleId="Header">
    <w:name w:val="header"/>
    <w:basedOn w:val="Normal"/>
    <w:autoRedefine/>
    <w:rsid w:val="00016122"/>
    <w:pPr>
      <w:tabs>
        <w:tab w:val="center" w:pos="4680"/>
        <w:tab w:val="right" w:pos="9360"/>
      </w:tabs>
    </w:pPr>
    <w:rPr>
      <w:b/>
    </w:rPr>
  </w:style>
  <w:style w:type="paragraph" w:styleId="Footer">
    <w:name w:val="footer"/>
    <w:basedOn w:val="Normal"/>
    <w:link w:val="FooterChar"/>
    <w:rsid w:val="00016122"/>
    <w:pPr>
      <w:tabs>
        <w:tab w:val="center" w:pos="4320"/>
        <w:tab w:val="right" w:pos="8640"/>
      </w:tabs>
    </w:pPr>
  </w:style>
  <w:style w:type="paragraph" w:customStyle="1" w:styleId="ParaNumCharCharChar1Char">
    <w:name w:val="ParaNum Char Char Char1 Char"/>
    <w:basedOn w:val="Normal"/>
    <w:pPr>
      <w:spacing w:after="120"/>
    </w:pPr>
    <w:rPr>
      <w:kern w:val="1"/>
    </w:rPr>
  </w:style>
  <w:style w:type="paragraph" w:customStyle="1" w:styleId="ParaNum">
    <w:name w:val="ParaNum"/>
    <w:basedOn w:val="Normal"/>
    <w:rsid w:val="00016122"/>
    <w:pPr>
      <w:numPr>
        <w:numId w:val="4"/>
      </w:numPr>
      <w:tabs>
        <w:tab w:val="clear" w:pos="1080"/>
        <w:tab w:val="num" w:pos="1440"/>
      </w:tabs>
      <w:spacing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semiHidden/>
    <w:rsid w:val="003969B5"/>
    <w:rPr>
      <w:rFonts w:ascii="Tahoma" w:hAnsi="Tahoma" w:cs="Tahoma"/>
      <w:sz w:val="16"/>
      <w:szCs w:val="16"/>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sid w:val="00503517"/>
  </w:style>
  <w:style w:type="paragraph" w:customStyle="1" w:styleId="FooterOdd">
    <w:name w:val="Footer Odd"/>
    <w:basedOn w:val="Normal"/>
    <w:qFormat/>
    <w:rsid w:val="00AA3DBD"/>
    <w:pPr>
      <w:pBdr>
        <w:top w:val="single" w:sz="4" w:space="1" w:color="4F81BD"/>
      </w:pBdr>
      <w:spacing w:after="180" w:line="264" w:lineRule="auto"/>
      <w:jc w:val="right"/>
    </w:pPr>
    <w:rPr>
      <w:rFonts w:ascii="Calibri" w:eastAsia="Calibri" w:hAnsi="Calibri"/>
      <w:color w:val="1F497D"/>
      <w:sz w:val="20"/>
      <w:lang w:eastAsia="ja-JP"/>
    </w:rPr>
  </w:style>
  <w:style w:type="character" w:customStyle="1" w:styleId="FooterChar">
    <w:name w:val="Footer Char"/>
    <w:link w:val="Footer"/>
    <w:rsid w:val="00AA3DBD"/>
    <w:rPr>
      <w:snapToGrid w:val="0"/>
      <w:kern w:val="28"/>
      <w:sz w:val="22"/>
    </w:rPr>
  </w:style>
  <w:style w:type="paragraph" w:styleId="Revision">
    <w:name w:val="Revision"/>
    <w:hidden/>
    <w:uiPriority w:val="71"/>
    <w:rsid w:val="00192015"/>
    <w:rPr>
      <w:sz w:val="22"/>
      <w:lang w:eastAsia="ar-SA"/>
    </w:rPr>
  </w:style>
  <w:style w:type="character" w:styleId="CommentReference">
    <w:name w:val="annotation reference"/>
    <w:rsid w:val="00E55838"/>
    <w:rPr>
      <w:sz w:val="16"/>
      <w:szCs w:val="16"/>
    </w:rPr>
  </w:style>
  <w:style w:type="paragraph" w:styleId="CommentText">
    <w:name w:val="annotation text"/>
    <w:basedOn w:val="Normal"/>
    <w:link w:val="CommentTextChar"/>
    <w:rsid w:val="00E55838"/>
    <w:rPr>
      <w:sz w:val="20"/>
    </w:rPr>
  </w:style>
  <w:style w:type="character" w:customStyle="1" w:styleId="CommentTextChar">
    <w:name w:val="Comment Text Char"/>
    <w:link w:val="CommentText"/>
    <w:rsid w:val="00E55838"/>
    <w:rPr>
      <w:lang w:eastAsia="ar-SA"/>
    </w:rPr>
  </w:style>
  <w:style w:type="paragraph" w:styleId="CommentSubject">
    <w:name w:val="annotation subject"/>
    <w:basedOn w:val="CommentText"/>
    <w:next w:val="CommentText"/>
    <w:link w:val="CommentSubjectChar"/>
    <w:rsid w:val="00E55838"/>
    <w:rPr>
      <w:b/>
      <w:bCs/>
    </w:rPr>
  </w:style>
  <w:style w:type="character" w:customStyle="1" w:styleId="CommentSubjectChar">
    <w:name w:val="Comment Subject Char"/>
    <w:link w:val="CommentSubject"/>
    <w:rsid w:val="00E55838"/>
    <w:rPr>
      <w:b/>
      <w:bCs/>
      <w:lang w:eastAsia="ar-SA"/>
    </w:rPr>
  </w:style>
  <w:style w:type="character" w:styleId="Hyperlink">
    <w:name w:val="Hyperlink"/>
    <w:rsid w:val="00016122"/>
    <w:rPr>
      <w:color w:val="0000FF"/>
      <w:u w:val="single"/>
    </w:rPr>
  </w:style>
  <w:style w:type="character" w:customStyle="1" w:styleId="FootnoteTextChar2">
    <w:name w:val="Footnote Text Char2"/>
    <w:aliases w:val="Footnote Text Char Char Char,Footnote Text Char5 Char Char Char,Footnote Text Char Char Char Char Char,Footnote Text Char4 Char Char1 Char Char Char,Footnote Text Char2 Char Char2 Char2 Char Char Char"/>
    <w:semiHidden/>
    <w:locked/>
    <w:rsid w:val="00B318CE"/>
    <w:rPr>
      <w:lang w:val="en-US" w:eastAsia="en-US" w:bidi="ar-SA"/>
    </w:rPr>
  </w:style>
  <w:style w:type="character" w:customStyle="1" w:styleId="Footnote">
    <w:name w:val="Footnote"/>
    <w:rsid w:val="00B318CE"/>
  </w:style>
  <w:style w:type="character" w:styleId="FollowedHyperlink">
    <w:name w:val="FollowedHyperlink"/>
    <w:rsid w:val="008518DE"/>
    <w:rPr>
      <w:color w:val="800080"/>
      <w:u w:val="single"/>
    </w:rPr>
  </w:style>
  <w:style w:type="character" w:customStyle="1" w:styleId="Heading2Char">
    <w:name w:val="Heading 2 Char"/>
    <w:link w:val="Heading2"/>
    <w:rsid w:val="007C4771"/>
    <w:rPr>
      <w:b/>
      <w:snapToGrid w:val="0"/>
      <w:kern w:val="28"/>
      <w:sz w:val="22"/>
    </w:rPr>
  </w:style>
  <w:style w:type="character" w:customStyle="1" w:styleId="Heading3Char">
    <w:name w:val="Heading 3 Char"/>
    <w:link w:val="Heading3"/>
    <w:rsid w:val="007C4771"/>
    <w:rPr>
      <w:b/>
      <w:snapToGrid w:val="0"/>
      <w:kern w:val="28"/>
      <w:sz w:val="22"/>
    </w:rPr>
  </w:style>
  <w:style w:type="character" w:customStyle="1" w:styleId="Heading4Char">
    <w:name w:val="Heading 4 Char"/>
    <w:link w:val="Heading4"/>
    <w:rsid w:val="007C4771"/>
    <w:rPr>
      <w:b/>
      <w:snapToGrid w:val="0"/>
      <w:kern w:val="28"/>
      <w:sz w:val="22"/>
    </w:rPr>
  </w:style>
  <w:style w:type="character" w:customStyle="1" w:styleId="Heading5Char">
    <w:name w:val="Heading 5 Char"/>
    <w:link w:val="Heading5"/>
    <w:rsid w:val="007C4771"/>
    <w:rPr>
      <w:b/>
      <w:snapToGrid w:val="0"/>
      <w:kern w:val="28"/>
      <w:sz w:val="22"/>
    </w:rPr>
  </w:style>
  <w:style w:type="character" w:customStyle="1" w:styleId="Heading6Char">
    <w:name w:val="Heading 6 Char"/>
    <w:link w:val="Heading6"/>
    <w:rsid w:val="007C4771"/>
    <w:rPr>
      <w:b/>
      <w:snapToGrid w:val="0"/>
      <w:kern w:val="28"/>
      <w:sz w:val="22"/>
    </w:rPr>
  </w:style>
  <w:style w:type="character" w:customStyle="1" w:styleId="Heading7Char">
    <w:name w:val="Heading 7 Char"/>
    <w:link w:val="Heading7"/>
    <w:rsid w:val="007C4771"/>
    <w:rPr>
      <w:b/>
      <w:snapToGrid w:val="0"/>
      <w:kern w:val="28"/>
      <w:sz w:val="22"/>
    </w:rPr>
  </w:style>
  <w:style w:type="character" w:customStyle="1" w:styleId="Heading8Char">
    <w:name w:val="Heading 8 Char"/>
    <w:link w:val="Heading8"/>
    <w:rsid w:val="007C4771"/>
    <w:rPr>
      <w:b/>
      <w:snapToGrid w:val="0"/>
      <w:kern w:val="28"/>
      <w:sz w:val="22"/>
    </w:rPr>
  </w:style>
  <w:style w:type="character" w:customStyle="1" w:styleId="Heading9Char">
    <w:name w:val="Heading 9 Char"/>
    <w:link w:val="Heading9"/>
    <w:rsid w:val="007C4771"/>
    <w:rPr>
      <w:b/>
      <w:snapToGrid w:val="0"/>
      <w:kern w:val="28"/>
      <w:sz w:val="22"/>
    </w:rPr>
  </w:style>
  <w:style w:type="paragraph" w:styleId="EndnoteText">
    <w:name w:val="endnote text"/>
    <w:basedOn w:val="Normal"/>
    <w:link w:val="EndnoteTextChar"/>
    <w:rsid w:val="00016122"/>
    <w:rPr>
      <w:sz w:val="20"/>
    </w:rPr>
  </w:style>
  <w:style w:type="character" w:customStyle="1" w:styleId="EndnoteTextChar">
    <w:name w:val="Endnote Text Char"/>
    <w:link w:val="EndnoteText"/>
    <w:rsid w:val="007C4771"/>
    <w:rPr>
      <w:snapToGrid w:val="0"/>
      <w:kern w:val="28"/>
    </w:rPr>
  </w:style>
  <w:style w:type="paragraph" w:styleId="TOC1">
    <w:name w:val="toc 1"/>
    <w:basedOn w:val="Normal"/>
    <w:next w:val="Normal"/>
    <w:rsid w:val="00016122"/>
    <w:pPr>
      <w:tabs>
        <w:tab w:val="left" w:pos="360"/>
        <w:tab w:val="right" w:leader="dot" w:pos="9360"/>
      </w:tabs>
      <w:suppressAutoHyphens/>
      <w:ind w:left="360" w:right="720" w:hanging="360"/>
    </w:pPr>
    <w:rPr>
      <w:caps/>
      <w:noProof/>
    </w:rPr>
  </w:style>
  <w:style w:type="paragraph" w:styleId="TOC2">
    <w:name w:val="toc 2"/>
    <w:basedOn w:val="Normal"/>
    <w:next w:val="Normal"/>
    <w:rsid w:val="00016122"/>
    <w:pPr>
      <w:tabs>
        <w:tab w:val="left" w:pos="720"/>
        <w:tab w:val="right" w:leader="dot" w:pos="9360"/>
      </w:tabs>
      <w:suppressAutoHyphens/>
      <w:ind w:left="720" w:right="720" w:hanging="360"/>
    </w:pPr>
    <w:rPr>
      <w:noProof/>
    </w:rPr>
  </w:style>
  <w:style w:type="paragraph" w:styleId="TOC3">
    <w:name w:val="toc 3"/>
    <w:basedOn w:val="Normal"/>
    <w:next w:val="Normal"/>
    <w:rsid w:val="0001612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1612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1612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16122"/>
    <w:pPr>
      <w:tabs>
        <w:tab w:val="left" w:pos="2160"/>
        <w:tab w:val="right" w:leader="dot" w:pos="9360"/>
      </w:tabs>
      <w:suppressAutoHyphens/>
      <w:ind w:left="2160" w:hanging="360"/>
    </w:pPr>
    <w:rPr>
      <w:noProof/>
    </w:rPr>
  </w:style>
  <w:style w:type="paragraph" w:styleId="TOC7">
    <w:name w:val="toc 7"/>
    <w:basedOn w:val="Normal"/>
    <w:next w:val="Normal"/>
    <w:autoRedefine/>
    <w:rsid w:val="00016122"/>
    <w:pPr>
      <w:tabs>
        <w:tab w:val="left" w:pos="2520"/>
        <w:tab w:val="right" w:leader="dot" w:pos="9360"/>
      </w:tabs>
      <w:suppressAutoHyphens/>
      <w:ind w:left="2520" w:hanging="360"/>
    </w:pPr>
    <w:rPr>
      <w:noProof/>
    </w:rPr>
  </w:style>
  <w:style w:type="paragraph" w:styleId="TOC8">
    <w:name w:val="toc 8"/>
    <w:basedOn w:val="Normal"/>
    <w:next w:val="Normal"/>
    <w:autoRedefine/>
    <w:rsid w:val="00016122"/>
    <w:pPr>
      <w:tabs>
        <w:tab w:val="left" w:pos="2880"/>
        <w:tab w:val="right" w:leader="dot" w:pos="9360"/>
      </w:tabs>
      <w:suppressAutoHyphens/>
      <w:ind w:left="2880" w:hanging="360"/>
    </w:pPr>
    <w:rPr>
      <w:noProof/>
    </w:rPr>
  </w:style>
  <w:style w:type="paragraph" w:styleId="TOC9">
    <w:name w:val="toc 9"/>
    <w:basedOn w:val="Normal"/>
    <w:next w:val="Normal"/>
    <w:autoRedefine/>
    <w:rsid w:val="00016122"/>
    <w:pPr>
      <w:tabs>
        <w:tab w:val="left" w:pos="3240"/>
        <w:tab w:val="right" w:leader="dot" w:pos="9360"/>
      </w:tabs>
      <w:suppressAutoHyphens/>
      <w:ind w:left="3240" w:hanging="360"/>
    </w:pPr>
    <w:rPr>
      <w:noProof/>
    </w:rPr>
  </w:style>
  <w:style w:type="paragraph" w:styleId="TOAHeading">
    <w:name w:val="toa heading"/>
    <w:basedOn w:val="Normal"/>
    <w:next w:val="Normal"/>
    <w:rsid w:val="00016122"/>
    <w:pPr>
      <w:tabs>
        <w:tab w:val="right" w:pos="9360"/>
      </w:tabs>
      <w:suppressAutoHyphens/>
    </w:pPr>
  </w:style>
  <w:style w:type="paragraph" w:styleId="BlockText">
    <w:name w:val="Block Text"/>
    <w:basedOn w:val="Normal"/>
    <w:rsid w:val="00016122"/>
    <w:pPr>
      <w:spacing w:after="240"/>
      <w:ind w:left="1440" w:right="1440"/>
    </w:pPr>
  </w:style>
  <w:style w:type="paragraph" w:customStyle="1" w:styleId="Paratitle">
    <w:name w:val="Para title"/>
    <w:basedOn w:val="Normal"/>
    <w:rsid w:val="00016122"/>
    <w:pPr>
      <w:tabs>
        <w:tab w:val="center" w:pos="9270"/>
      </w:tabs>
      <w:spacing w:after="240"/>
    </w:pPr>
    <w:rPr>
      <w:spacing w:val="-2"/>
    </w:rPr>
  </w:style>
  <w:style w:type="paragraph" w:customStyle="1" w:styleId="Bullet">
    <w:name w:val="Bullet"/>
    <w:basedOn w:val="Normal"/>
    <w:rsid w:val="00016122"/>
    <w:pPr>
      <w:tabs>
        <w:tab w:val="left" w:pos="2160"/>
      </w:tabs>
      <w:spacing w:after="220"/>
      <w:ind w:left="2160" w:hanging="720"/>
    </w:pPr>
  </w:style>
  <w:style w:type="paragraph" w:customStyle="1" w:styleId="TableFormat">
    <w:name w:val="TableFormat"/>
    <w:basedOn w:val="Bullet"/>
    <w:rsid w:val="00016122"/>
    <w:pPr>
      <w:tabs>
        <w:tab w:val="clear" w:pos="2160"/>
        <w:tab w:val="left" w:pos="5040"/>
      </w:tabs>
      <w:ind w:left="5040" w:hanging="3600"/>
    </w:pPr>
  </w:style>
  <w:style w:type="paragraph" w:customStyle="1" w:styleId="TOCTitle">
    <w:name w:val="TOC Title"/>
    <w:basedOn w:val="Normal"/>
    <w:rsid w:val="000161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6122"/>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factfinder2.census.gov/faces/tableservices/jsf/pages/productview.xhtml?pid=ECN_2007_US_51SSSZ4&amp;prodType=table" TargetMode="External"/><Relationship Id="rId2" Type="http://schemas.openxmlformats.org/officeDocument/2006/relationships/hyperlink" Target="http://www.census.gov/cgi-bin/sssd/naics/naicsrch" TargetMode="External"/><Relationship Id="rId1" Type="http://schemas.openxmlformats.org/officeDocument/2006/relationships/hyperlink" Target="http://www.census.gov/popest/data/cities/totals/2011/index.html" TargetMode="External"/><Relationship Id="rId6" Type="http://schemas.openxmlformats.org/officeDocument/2006/relationships/hyperlink" Target="http://www.fcc.gov/mb/ovs/csovscer.html" TargetMode="External"/><Relationship Id="rId5" Type="http://schemas.openxmlformats.org/officeDocument/2006/relationships/hyperlink" Target="http://www.census.gov/cgi-bin/sssd/naics/naicsrch" TargetMode="External"/><Relationship Id="rId4" Type="http://schemas.openxmlformats.org/officeDocument/2006/relationships/hyperlink" Target="http://www.snl.com/interactivex/TopCableMSO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6752</Words>
  <Characters>37787</Characters>
  <Application>Microsoft Office Word</Application>
  <DocSecurity>0</DocSecurity>
  <Lines>517</Lines>
  <Paragraphs>75</Paragraphs>
  <ScaleCrop>false</ScaleCrop>
  <HeadingPairs>
    <vt:vector size="2" baseType="variant">
      <vt:variant>
        <vt:lpstr>Title</vt:lpstr>
      </vt:variant>
      <vt:variant>
        <vt:i4>1</vt:i4>
      </vt:variant>
    </vt:vector>
  </HeadingPairs>
  <TitlesOfParts>
    <vt:vector size="1" baseType="lpstr">
      <vt:lpstr>APPENDIX</vt:lpstr>
    </vt:vector>
  </TitlesOfParts>
  <Manager/>
  <Company/>
  <LinksUpToDate>false</LinksUpToDate>
  <CharactersWithSpaces>44712</CharactersWithSpaces>
  <SharedDoc>false</SharedDoc>
  <HyperlinkBase> </HyperlinkBase>
  <HLinks>
    <vt:vector size="36" baseType="variant">
      <vt:variant>
        <vt:i4>3473507</vt:i4>
      </vt:variant>
      <vt:variant>
        <vt:i4>15</vt:i4>
      </vt:variant>
      <vt:variant>
        <vt:i4>0</vt:i4>
      </vt:variant>
      <vt:variant>
        <vt:i4>5</vt:i4>
      </vt:variant>
      <vt:variant>
        <vt:lpwstr>http://www.fcc.gov/mb/ovs/csovscer.html</vt:lpwstr>
      </vt:variant>
      <vt:variant>
        <vt:lpwstr/>
      </vt:variant>
      <vt:variant>
        <vt:i4>4522064</vt:i4>
      </vt:variant>
      <vt:variant>
        <vt:i4>12</vt:i4>
      </vt:variant>
      <vt:variant>
        <vt:i4>0</vt:i4>
      </vt:variant>
      <vt:variant>
        <vt:i4>5</vt:i4>
      </vt:variant>
      <vt:variant>
        <vt:lpwstr>http://www.census.gov/cgi-bin/sssd/naics/naicsrch</vt:lpwstr>
      </vt:variant>
      <vt:variant>
        <vt:lpwstr/>
      </vt:variant>
      <vt:variant>
        <vt:i4>983062</vt:i4>
      </vt:variant>
      <vt:variant>
        <vt:i4>9</vt:i4>
      </vt:variant>
      <vt:variant>
        <vt:i4>0</vt:i4>
      </vt:variant>
      <vt:variant>
        <vt:i4>5</vt:i4>
      </vt:variant>
      <vt:variant>
        <vt:lpwstr>http://www.snl.com/interactivex/TopCableMSOs.aspx</vt:lpwstr>
      </vt:variant>
      <vt:variant>
        <vt:lpwstr/>
      </vt:variant>
      <vt:variant>
        <vt:i4>4456492</vt:i4>
      </vt:variant>
      <vt:variant>
        <vt:i4>6</vt:i4>
      </vt:variant>
      <vt:variant>
        <vt:i4>0</vt:i4>
      </vt:variant>
      <vt:variant>
        <vt:i4>5</vt:i4>
      </vt:variant>
      <vt:variant>
        <vt:lpwstr>http://factfinder2.census.gov/faces/tableservices/jsf/pages/productview.xhtml?pid=ECN_2007_US_51SSSZ4&amp;prodType=table</vt:lpwstr>
      </vt:variant>
      <vt:variant>
        <vt:lpwstr/>
      </vt:variant>
      <vt:variant>
        <vt:i4>4522064</vt:i4>
      </vt:variant>
      <vt:variant>
        <vt:i4>3</vt:i4>
      </vt:variant>
      <vt:variant>
        <vt:i4>0</vt:i4>
      </vt:variant>
      <vt:variant>
        <vt:i4>5</vt:i4>
      </vt:variant>
      <vt:variant>
        <vt:lpwstr>http://www.census.gov/cgi-bin/sssd/naics/naicsrch</vt:lpwstr>
      </vt:variant>
      <vt:variant>
        <vt:lpwstr/>
      </vt:variant>
      <vt:variant>
        <vt:i4>3997733</vt:i4>
      </vt:variant>
      <vt:variant>
        <vt:i4>0</vt:i4>
      </vt:variant>
      <vt:variant>
        <vt:i4>0</vt:i4>
      </vt:variant>
      <vt:variant>
        <vt:i4>5</vt:i4>
      </vt:variant>
      <vt:variant>
        <vt:lpwstr>http://www.census.gov/popest/data/cities/totals/2011/index.html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2015-01-21T17:05:00Z</cp:lastPrinted>
  <dcterms:created xsi:type="dcterms:W3CDTF">2015-01-21T20:04:00Z</dcterms:created>
  <dcterms:modified xsi:type="dcterms:W3CDTF">2015-01-21T20:04:00Z</dcterms:modified>
  <cp:category> </cp:category>
  <cp:contentStatus> </cp:contentStatus>
</cp:coreProperties>
</file>