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37E9" w14:textId="77777777" w:rsidR="00407566" w:rsidRPr="005968CD" w:rsidRDefault="00407566" w:rsidP="009B0523">
      <w:pPr>
        <w:jc w:val="center"/>
        <w:rPr>
          <w:b/>
          <w:szCs w:val="22"/>
        </w:rPr>
      </w:pPr>
      <w:bookmarkStart w:id="0" w:name="_GoBack"/>
      <w:bookmarkEnd w:id="0"/>
      <w:r w:rsidRPr="005968CD">
        <w:rPr>
          <w:b/>
          <w:szCs w:val="22"/>
        </w:rPr>
        <w:t>Before the</w:t>
      </w:r>
    </w:p>
    <w:p w14:paraId="4A77DD3B" w14:textId="77777777" w:rsidR="00407566" w:rsidRPr="005968CD" w:rsidRDefault="00407566" w:rsidP="009B0523">
      <w:pPr>
        <w:jc w:val="center"/>
        <w:rPr>
          <w:b/>
          <w:szCs w:val="22"/>
        </w:rPr>
      </w:pPr>
      <w:r w:rsidRPr="005968CD">
        <w:rPr>
          <w:b/>
          <w:szCs w:val="22"/>
        </w:rPr>
        <w:t>Federal Communications Commission</w:t>
      </w:r>
    </w:p>
    <w:p w14:paraId="736EF660" w14:textId="77777777" w:rsidR="00407566" w:rsidRPr="005968CD" w:rsidRDefault="00407566" w:rsidP="009B0523">
      <w:pPr>
        <w:jc w:val="center"/>
        <w:rPr>
          <w:b/>
          <w:szCs w:val="22"/>
        </w:rPr>
      </w:pPr>
      <w:r w:rsidRPr="005968CD">
        <w:rPr>
          <w:b/>
          <w:szCs w:val="22"/>
        </w:rPr>
        <w:t>Washington, D.C. 20554</w:t>
      </w:r>
    </w:p>
    <w:p w14:paraId="02EEA7D5" w14:textId="77777777" w:rsidR="00407566" w:rsidRPr="005968CD" w:rsidRDefault="00407566" w:rsidP="009B0523">
      <w:pPr>
        <w:tabs>
          <w:tab w:val="left" w:pos="-720"/>
        </w:tabs>
        <w:suppressAutoHyphens/>
        <w:rPr>
          <w:spacing w:val="-2"/>
          <w:szCs w:val="22"/>
        </w:rPr>
      </w:pPr>
    </w:p>
    <w:p w14:paraId="18A939AC" w14:textId="77777777" w:rsidR="00407566" w:rsidRPr="005968CD" w:rsidRDefault="00407566" w:rsidP="009B0523">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407566" w:rsidRPr="005968CD" w14:paraId="7CEB3A6C" w14:textId="77777777">
        <w:tc>
          <w:tcPr>
            <w:tcW w:w="4698" w:type="dxa"/>
          </w:tcPr>
          <w:p w14:paraId="2F16442B" w14:textId="77777777" w:rsidR="00407566" w:rsidRPr="005968CD" w:rsidRDefault="00407566" w:rsidP="009B0523">
            <w:pPr>
              <w:tabs>
                <w:tab w:val="center" w:pos="4680"/>
              </w:tabs>
              <w:suppressAutoHyphens/>
              <w:rPr>
                <w:spacing w:val="-2"/>
                <w:szCs w:val="22"/>
              </w:rPr>
            </w:pPr>
            <w:r w:rsidRPr="005968CD">
              <w:rPr>
                <w:spacing w:val="-2"/>
                <w:szCs w:val="22"/>
              </w:rPr>
              <w:t>In the Matter of</w:t>
            </w:r>
          </w:p>
          <w:p w14:paraId="0441F772" w14:textId="77777777" w:rsidR="00407566" w:rsidRPr="005968CD" w:rsidRDefault="00407566" w:rsidP="009B0523">
            <w:pPr>
              <w:tabs>
                <w:tab w:val="center" w:pos="4680"/>
              </w:tabs>
              <w:suppressAutoHyphens/>
              <w:rPr>
                <w:spacing w:val="-2"/>
                <w:szCs w:val="22"/>
              </w:rPr>
            </w:pPr>
          </w:p>
          <w:p w14:paraId="36DBFC39" w14:textId="2D9C69C8" w:rsidR="00407566" w:rsidRPr="005968CD" w:rsidRDefault="00407566" w:rsidP="009B0523">
            <w:pPr>
              <w:rPr>
                <w:szCs w:val="22"/>
              </w:rPr>
            </w:pPr>
            <w:r w:rsidRPr="005968CD">
              <w:rPr>
                <w:szCs w:val="22"/>
              </w:rPr>
              <w:t>911 Call-Forwarding Requirements for Non-</w:t>
            </w:r>
            <w:r w:rsidR="00947DFE" w:rsidRPr="005968CD">
              <w:rPr>
                <w:szCs w:val="22"/>
              </w:rPr>
              <w:t>Service-</w:t>
            </w:r>
            <w:r w:rsidRPr="005968CD">
              <w:rPr>
                <w:szCs w:val="22"/>
              </w:rPr>
              <w:t>Initialized Phones</w:t>
            </w:r>
          </w:p>
        </w:tc>
        <w:tc>
          <w:tcPr>
            <w:tcW w:w="630" w:type="dxa"/>
          </w:tcPr>
          <w:p w14:paraId="3067E35C" w14:textId="77777777" w:rsidR="00407566" w:rsidRPr="005968CD" w:rsidRDefault="00407566" w:rsidP="009B0523">
            <w:pPr>
              <w:tabs>
                <w:tab w:val="center" w:pos="4680"/>
              </w:tabs>
              <w:suppressAutoHyphens/>
              <w:rPr>
                <w:spacing w:val="-2"/>
                <w:szCs w:val="22"/>
              </w:rPr>
            </w:pPr>
            <w:r w:rsidRPr="005968CD">
              <w:rPr>
                <w:spacing w:val="-2"/>
                <w:szCs w:val="22"/>
              </w:rPr>
              <w:t>)</w:t>
            </w:r>
          </w:p>
          <w:p w14:paraId="1C8A134C" w14:textId="77777777" w:rsidR="00407566" w:rsidRPr="005968CD" w:rsidRDefault="00407566" w:rsidP="009B0523">
            <w:pPr>
              <w:tabs>
                <w:tab w:val="center" w:pos="4680"/>
              </w:tabs>
              <w:suppressAutoHyphens/>
              <w:rPr>
                <w:spacing w:val="-2"/>
                <w:szCs w:val="22"/>
              </w:rPr>
            </w:pPr>
            <w:r w:rsidRPr="005968CD">
              <w:rPr>
                <w:spacing w:val="-2"/>
                <w:szCs w:val="22"/>
              </w:rPr>
              <w:t>)</w:t>
            </w:r>
          </w:p>
          <w:p w14:paraId="7812FA09" w14:textId="77777777" w:rsidR="00407566" w:rsidRPr="005968CD" w:rsidRDefault="00407566" w:rsidP="009B0523">
            <w:pPr>
              <w:tabs>
                <w:tab w:val="center" w:pos="4680"/>
              </w:tabs>
              <w:suppressAutoHyphens/>
              <w:rPr>
                <w:spacing w:val="-2"/>
                <w:szCs w:val="22"/>
              </w:rPr>
            </w:pPr>
            <w:r w:rsidRPr="005968CD">
              <w:rPr>
                <w:spacing w:val="-2"/>
                <w:szCs w:val="22"/>
              </w:rPr>
              <w:t>)</w:t>
            </w:r>
          </w:p>
          <w:p w14:paraId="0B0F2AA7" w14:textId="77777777" w:rsidR="00407566" w:rsidRPr="005968CD" w:rsidRDefault="00407566" w:rsidP="009B0523">
            <w:pPr>
              <w:tabs>
                <w:tab w:val="center" w:pos="4680"/>
              </w:tabs>
              <w:suppressAutoHyphens/>
              <w:rPr>
                <w:spacing w:val="-2"/>
                <w:szCs w:val="22"/>
              </w:rPr>
            </w:pPr>
            <w:r w:rsidRPr="005968CD">
              <w:rPr>
                <w:spacing w:val="-2"/>
                <w:szCs w:val="22"/>
              </w:rPr>
              <w:t>)</w:t>
            </w:r>
          </w:p>
        </w:tc>
        <w:tc>
          <w:tcPr>
            <w:tcW w:w="4248" w:type="dxa"/>
          </w:tcPr>
          <w:p w14:paraId="5FE3F40D" w14:textId="77777777" w:rsidR="00407566" w:rsidRPr="005968CD" w:rsidRDefault="00407566" w:rsidP="009B0523">
            <w:pPr>
              <w:tabs>
                <w:tab w:val="center" w:pos="4680"/>
              </w:tabs>
              <w:suppressAutoHyphens/>
              <w:rPr>
                <w:spacing w:val="-2"/>
                <w:szCs w:val="22"/>
              </w:rPr>
            </w:pPr>
          </w:p>
          <w:p w14:paraId="47167715" w14:textId="77777777" w:rsidR="00407566" w:rsidRPr="005968CD" w:rsidRDefault="00407566" w:rsidP="009B0523">
            <w:pPr>
              <w:tabs>
                <w:tab w:val="center" w:pos="4680"/>
              </w:tabs>
              <w:suppressAutoHyphens/>
              <w:rPr>
                <w:spacing w:val="-2"/>
                <w:szCs w:val="22"/>
              </w:rPr>
            </w:pPr>
          </w:p>
          <w:p w14:paraId="43E32ABC" w14:textId="77777777" w:rsidR="00407566" w:rsidRPr="005968CD" w:rsidRDefault="00407566" w:rsidP="009B0523">
            <w:pPr>
              <w:tabs>
                <w:tab w:val="center" w:pos="4680"/>
              </w:tabs>
              <w:suppressAutoHyphens/>
              <w:rPr>
                <w:spacing w:val="-2"/>
                <w:szCs w:val="22"/>
              </w:rPr>
            </w:pPr>
            <w:r w:rsidRPr="005968CD">
              <w:rPr>
                <w:spacing w:val="-2"/>
                <w:szCs w:val="22"/>
              </w:rPr>
              <w:t>PS Docket No. 08-51</w:t>
            </w:r>
          </w:p>
        </w:tc>
      </w:tr>
    </w:tbl>
    <w:p w14:paraId="672D300D" w14:textId="77777777" w:rsidR="00407566" w:rsidRPr="005968CD" w:rsidRDefault="00407566" w:rsidP="009B0523">
      <w:pPr>
        <w:tabs>
          <w:tab w:val="left" w:pos="-720"/>
        </w:tabs>
        <w:suppressAutoHyphens/>
        <w:jc w:val="center"/>
        <w:rPr>
          <w:spacing w:val="-2"/>
          <w:szCs w:val="22"/>
        </w:rPr>
      </w:pPr>
    </w:p>
    <w:p w14:paraId="4B995570" w14:textId="77777777" w:rsidR="00407566" w:rsidRPr="005968CD" w:rsidRDefault="006F09BC" w:rsidP="009B0523">
      <w:pPr>
        <w:jc w:val="center"/>
        <w:rPr>
          <w:b/>
          <w:szCs w:val="22"/>
        </w:rPr>
      </w:pPr>
      <w:r w:rsidRPr="005968CD">
        <w:rPr>
          <w:b/>
          <w:szCs w:val="22"/>
        </w:rPr>
        <w:t>NOTICE OF PROPOSED RULEMAKING</w:t>
      </w:r>
    </w:p>
    <w:p w14:paraId="546F870C" w14:textId="77777777" w:rsidR="00407566" w:rsidRPr="005968CD" w:rsidRDefault="00407566" w:rsidP="009B0523">
      <w:pPr>
        <w:tabs>
          <w:tab w:val="left" w:pos="-720"/>
        </w:tabs>
        <w:suppressAutoHyphens/>
        <w:jc w:val="center"/>
        <w:rPr>
          <w:spacing w:val="-2"/>
          <w:szCs w:val="22"/>
        </w:rPr>
      </w:pPr>
    </w:p>
    <w:p w14:paraId="559CBDA3" w14:textId="4871DF86" w:rsidR="00407566" w:rsidRPr="005968CD" w:rsidRDefault="00407566" w:rsidP="009B0523">
      <w:pPr>
        <w:tabs>
          <w:tab w:val="left" w:pos="720"/>
          <w:tab w:val="left" w:pos="5760"/>
        </w:tabs>
        <w:suppressAutoHyphens/>
        <w:rPr>
          <w:b/>
          <w:spacing w:val="-2"/>
          <w:szCs w:val="22"/>
        </w:rPr>
      </w:pPr>
      <w:r w:rsidRPr="005968CD">
        <w:rPr>
          <w:b/>
          <w:spacing w:val="-2"/>
          <w:szCs w:val="22"/>
        </w:rPr>
        <w:t xml:space="preserve">Adopted:  </w:t>
      </w:r>
      <w:r w:rsidR="00875E50">
        <w:rPr>
          <w:b/>
          <w:spacing w:val="-2"/>
          <w:szCs w:val="22"/>
        </w:rPr>
        <w:t>April</w:t>
      </w:r>
      <w:r w:rsidR="00876C97">
        <w:rPr>
          <w:b/>
          <w:spacing w:val="-2"/>
          <w:szCs w:val="22"/>
        </w:rPr>
        <w:t xml:space="preserve"> 1, 2015</w:t>
      </w:r>
      <w:r w:rsidRPr="005968CD">
        <w:rPr>
          <w:b/>
          <w:spacing w:val="-2"/>
          <w:szCs w:val="22"/>
        </w:rPr>
        <w:tab/>
      </w:r>
      <w:r w:rsidR="00876C97">
        <w:rPr>
          <w:b/>
          <w:spacing w:val="-2"/>
          <w:szCs w:val="22"/>
        </w:rPr>
        <w:tab/>
        <w:t xml:space="preserve">        </w:t>
      </w:r>
      <w:r w:rsidR="0079186D">
        <w:rPr>
          <w:b/>
          <w:spacing w:val="-2"/>
          <w:szCs w:val="22"/>
        </w:rPr>
        <w:t xml:space="preserve"> </w:t>
      </w:r>
      <w:r w:rsidRPr="005968CD">
        <w:rPr>
          <w:b/>
          <w:spacing w:val="-2"/>
          <w:szCs w:val="22"/>
        </w:rPr>
        <w:t xml:space="preserve">Released:  </w:t>
      </w:r>
      <w:r w:rsidR="00FB4F8D">
        <w:rPr>
          <w:b/>
          <w:spacing w:val="-2"/>
          <w:szCs w:val="22"/>
        </w:rPr>
        <w:t>April</w:t>
      </w:r>
      <w:r w:rsidR="000C0DD9">
        <w:rPr>
          <w:b/>
          <w:spacing w:val="-2"/>
          <w:szCs w:val="22"/>
        </w:rPr>
        <w:t xml:space="preserve"> </w:t>
      </w:r>
      <w:r w:rsidR="00B67856">
        <w:rPr>
          <w:b/>
          <w:spacing w:val="-2"/>
          <w:szCs w:val="22"/>
        </w:rPr>
        <w:t>1</w:t>
      </w:r>
      <w:r w:rsidR="00876C97">
        <w:rPr>
          <w:b/>
          <w:spacing w:val="-2"/>
          <w:szCs w:val="22"/>
        </w:rPr>
        <w:t>, 2015</w:t>
      </w:r>
    </w:p>
    <w:p w14:paraId="7923EDBA" w14:textId="77777777" w:rsidR="006F09BC" w:rsidRPr="005968CD" w:rsidRDefault="006F09BC" w:rsidP="009B0523">
      <w:pPr>
        <w:tabs>
          <w:tab w:val="left" w:pos="720"/>
          <w:tab w:val="left" w:pos="5760"/>
        </w:tabs>
        <w:suppressAutoHyphens/>
        <w:rPr>
          <w:b/>
          <w:spacing w:val="-2"/>
          <w:szCs w:val="22"/>
        </w:rPr>
      </w:pPr>
    </w:p>
    <w:p w14:paraId="7263FEC4" w14:textId="77777777" w:rsidR="00407566" w:rsidRPr="005968CD" w:rsidRDefault="00407566" w:rsidP="009B0523">
      <w:pPr>
        <w:tabs>
          <w:tab w:val="left" w:pos="720"/>
          <w:tab w:val="left" w:pos="5760"/>
        </w:tabs>
        <w:suppressAutoHyphens/>
        <w:rPr>
          <w:b/>
          <w:spacing w:val="-2"/>
          <w:szCs w:val="22"/>
        </w:rPr>
      </w:pPr>
      <w:r w:rsidRPr="005968CD">
        <w:rPr>
          <w:b/>
          <w:spacing w:val="-2"/>
          <w:szCs w:val="22"/>
        </w:rPr>
        <w:t>Comment Date:  (</w:t>
      </w:r>
      <w:r w:rsidR="00E7389A" w:rsidRPr="005968CD">
        <w:rPr>
          <w:b/>
          <w:spacing w:val="-2"/>
          <w:szCs w:val="22"/>
        </w:rPr>
        <w:t xml:space="preserve">30 </w:t>
      </w:r>
      <w:r w:rsidRPr="005968CD">
        <w:rPr>
          <w:b/>
          <w:spacing w:val="-2"/>
          <w:szCs w:val="22"/>
        </w:rPr>
        <w:t>Days after Publication in the Federal Register)</w:t>
      </w:r>
    </w:p>
    <w:p w14:paraId="01318B56" w14:textId="77777777" w:rsidR="00AB6657" w:rsidRPr="005968CD" w:rsidRDefault="00407566" w:rsidP="009B0523">
      <w:pPr>
        <w:tabs>
          <w:tab w:val="left" w:pos="720"/>
          <w:tab w:val="left" w:pos="5760"/>
        </w:tabs>
        <w:suppressAutoHyphens/>
        <w:rPr>
          <w:b/>
          <w:spacing w:val="-2"/>
          <w:szCs w:val="22"/>
        </w:rPr>
      </w:pPr>
      <w:r w:rsidRPr="005968CD">
        <w:rPr>
          <w:b/>
          <w:spacing w:val="-2"/>
          <w:szCs w:val="22"/>
        </w:rPr>
        <w:t>Reply Comment Date:  (</w:t>
      </w:r>
      <w:r w:rsidR="00E7389A" w:rsidRPr="005968CD">
        <w:rPr>
          <w:b/>
          <w:spacing w:val="-2"/>
          <w:szCs w:val="22"/>
        </w:rPr>
        <w:t>60</w:t>
      </w:r>
      <w:r w:rsidRPr="005968CD">
        <w:rPr>
          <w:b/>
          <w:spacing w:val="-2"/>
          <w:szCs w:val="22"/>
        </w:rPr>
        <w:t xml:space="preserve"> Days after Publication in the Federal Register)</w:t>
      </w:r>
    </w:p>
    <w:p w14:paraId="64BB0588" w14:textId="77777777" w:rsidR="00AB6657" w:rsidRPr="005968CD" w:rsidRDefault="00AB6657" w:rsidP="009B0523">
      <w:pPr>
        <w:rPr>
          <w:szCs w:val="22"/>
        </w:rPr>
      </w:pPr>
    </w:p>
    <w:p w14:paraId="75D02173" w14:textId="77777777" w:rsidR="004C7CE7" w:rsidRPr="005968CD" w:rsidRDefault="00407566" w:rsidP="009B0523">
      <w:pPr>
        <w:rPr>
          <w:spacing w:val="-2"/>
          <w:szCs w:val="22"/>
        </w:rPr>
      </w:pPr>
      <w:r w:rsidRPr="005968CD">
        <w:rPr>
          <w:szCs w:val="22"/>
        </w:rPr>
        <w:t>By the Commission</w:t>
      </w:r>
      <w:r w:rsidRPr="005968CD">
        <w:rPr>
          <w:spacing w:val="-2"/>
          <w:szCs w:val="22"/>
        </w:rPr>
        <w:t xml:space="preserve">: </w:t>
      </w:r>
    </w:p>
    <w:p w14:paraId="4CA0256C" w14:textId="77777777" w:rsidR="00836E25" w:rsidRPr="005968CD" w:rsidRDefault="00836E25" w:rsidP="00836E25">
      <w:pPr>
        <w:pStyle w:val="TOCTitle"/>
        <w:rPr>
          <w:rFonts w:ascii="Times New Roman" w:hAnsi="Times New Roman"/>
          <w:szCs w:val="22"/>
        </w:rPr>
      </w:pPr>
      <w:r w:rsidRPr="005968CD">
        <w:rPr>
          <w:rFonts w:ascii="Times New Roman" w:hAnsi="Times New Roman"/>
          <w:szCs w:val="22"/>
        </w:rPr>
        <w:t>Table of Contents</w:t>
      </w:r>
    </w:p>
    <w:p w14:paraId="36C888C3" w14:textId="05C7763E" w:rsidR="00AC673F" w:rsidRDefault="00AC673F" w:rsidP="00BF1D50">
      <w:pPr>
        <w:pStyle w:val="Paratitle"/>
      </w:pPr>
      <w:bookmarkStart w:id="1" w:name="TOChere"/>
      <w:r>
        <w:t>Heading</w:t>
      </w:r>
      <w:r>
        <w:tab/>
        <w:t>Paragraph #</w:t>
      </w:r>
      <w:bookmarkStart w:id="2" w:name="start_here"/>
      <w:bookmarkEnd w:id="2"/>
    </w:p>
    <w:p w14:paraId="4633633A" w14:textId="77777777" w:rsidR="00AC673F" w:rsidRDefault="00AC673F">
      <w:pPr>
        <w:pStyle w:val="TOC1"/>
        <w:rPr>
          <w:rFonts w:asciiTheme="minorHAnsi" w:eastAsiaTheme="minorEastAsia" w:hAnsiTheme="minorHAnsi" w:cstheme="minorBidi"/>
          <w:caps w:val="0"/>
          <w:snapToGrid/>
          <w:kern w:val="0"/>
          <w:szCs w:val="22"/>
        </w:rPr>
      </w:pPr>
      <w:r w:rsidRPr="00170B79">
        <w:t>I.</w:t>
      </w:r>
      <w:r>
        <w:rPr>
          <w:rFonts w:asciiTheme="minorHAnsi" w:eastAsiaTheme="minorEastAsia" w:hAnsiTheme="minorHAnsi" w:cstheme="minorBidi"/>
          <w:caps w:val="0"/>
          <w:snapToGrid/>
          <w:kern w:val="0"/>
          <w:szCs w:val="22"/>
        </w:rPr>
        <w:tab/>
      </w:r>
      <w:r w:rsidRPr="00170B79">
        <w:t>INTRODUCTION</w:t>
      </w:r>
      <w:r>
        <w:tab/>
        <w:t>1</w:t>
      </w:r>
    </w:p>
    <w:p w14:paraId="3C727F5D" w14:textId="77777777" w:rsidR="00AC673F" w:rsidRDefault="00AC673F">
      <w:pPr>
        <w:pStyle w:val="TOC1"/>
        <w:rPr>
          <w:rFonts w:asciiTheme="minorHAnsi" w:eastAsiaTheme="minorEastAsia" w:hAnsiTheme="minorHAnsi" w:cstheme="minorBidi"/>
          <w:caps w:val="0"/>
          <w:snapToGrid/>
          <w:kern w:val="0"/>
          <w:szCs w:val="22"/>
        </w:rPr>
      </w:pPr>
      <w:r w:rsidRPr="00170B79">
        <w:t>II.</w:t>
      </w:r>
      <w:r>
        <w:rPr>
          <w:rFonts w:asciiTheme="minorHAnsi" w:eastAsiaTheme="minorEastAsia" w:hAnsiTheme="minorHAnsi" w:cstheme="minorBidi"/>
          <w:caps w:val="0"/>
          <w:snapToGrid/>
          <w:kern w:val="0"/>
          <w:szCs w:val="22"/>
        </w:rPr>
        <w:tab/>
      </w:r>
      <w:r w:rsidRPr="00170B79">
        <w:t>BACKGROUND</w:t>
      </w:r>
      <w:r>
        <w:tab/>
        <w:t>3</w:t>
      </w:r>
    </w:p>
    <w:p w14:paraId="0F8CDDB7"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Adoption of the NSI Device Requirement</w:t>
      </w:r>
      <w:r>
        <w:tab/>
        <w:t>3</w:t>
      </w:r>
    </w:p>
    <w:p w14:paraId="2A228189"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Notice of Inquiry</w:t>
      </w:r>
      <w:r>
        <w:tab/>
        <w:t>7</w:t>
      </w:r>
    </w:p>
    <w:p w14:paraId="08D02643"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2013 Public Notice</w:t>
      </w:r>
      <w:r>
        <w:tab/>
        <w:t>10</w:t>
      </w:r>
    </w:p>
    <w:p w14:paraId="34588260" w14:textId="77777777" w:rsidR="00AC673F" w:rsidRDefault="00AC673F" w:rsidP="00AC673F">
      <w:pPr>
        <w:pStyle w:val="TOC1"/>
        <w:rPr>
          <w:rFonts w:asciiTheme="minorHAnsi" w:eastAsiaTheme="minorEastAsia" w:hAnsiTheme="minorHAnsi" w:cstheme="minorBidi"/>
          <w:caps w:val="0"/>
          <w:snapToGrid/>
          <w:kern w:val="0"/>
          <w:szCs w:val="22"/>
        </w:rPr>
      </w:pPr>
      <w:r w:rsidRPr="00170B79">
        <w:t>III.</w:t>
      </w:r>
      <w:r>
        <w:rPr>
          <w:rFonts w:asciiTheme="minorHAnsi" w:eastAsiaTheme="minorEastAsia" w:hAnsiTheme="minorHAnsi" w:cstheme="minorBidi"/>
          <w:caps w:val="0"/>
          <w:snapToGrid/>
          <w:kern w:val="0"/>
          <w:szCs w:val="22"/>
        </w:rPr>
        <w:tab/>
      </w:r>
      <w:r w:rsidRPr="00170B79">
        <w:t>DISCUSSION</w:t>
      </w:r>
      <w:r>
        <w:tab/>
        <w:t>11</w:t>
      </w:r>
    </w:p>
    <w:p w14:paraId="428E72E5"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Public Policy Analysis and Comparative Benefits</w:t>
      </w:r>
      <w:r>
        <w:tab/>
        <w:t>12</w:t>
      </w:r>
    </w:p>
    <w:p w14:paraId="6DDA82BF"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Sunset of the NSI Requirement after a Reasonable Transition Period</w:t>
      </w:r>
      <w:r>
        <w:tab/>
        <w:t>24</w:t>
      </w:r>
    </w:p>
    <w:p w14:paraId="72D6C521"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Protecting Calls to 911 from Service-Initialized Devices that May Appear to be NSI Devices</w:t>
      </w:r>
      <w:r>
        <w:tab/>
        <w:t>33</w:t>
      </w:r>
    </w:p>
    <w:p w14:paraId="34558AFC"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Technical and Operational Considerations Relating to Sunset of the NSI Rule</w:t>
      </w:r>
      <w:r>
        <w:tab/>
        <w:t>36</w:t>
      </w:r>
    </w:p>
    <w:p w14:paraId="50C1B319"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Alternative Approaches to the Problem of Fraudulent NSI 911 Calls</w:t>
      </w:r>
      <w:r>
        <w:tab/>
        <w:t>38</w:t>
      </w:r>
    </w:p>
    <w:p w14:paraId="32009FD9" w14:textId="77777777" w:rsidR="00AC673F" w:rsidRDefault="00AC673F" w:rsidP="00AC673F">
      <w:pPr>
        <w:pStyle w:val="TOC1"/>
        <w:rPr>
          <w:rFonts w:asciiTheme="minorHAnsi" w:eastAsiaTheme="minorEastAsia" w:hAnsiTheme="minorHAnsi" w:cstheme="minorBidi"/>
          <w:caps w:val="0"/>
          <w:snapToGrid/>
          <w:kern w:val="0"/>
          <w:szCs w:val="22"/>
        </w:rPr>
      </w:pPr>
      <w:r w:rsidRPr="00170B79">
        <w:t>IV.</w:t>
      </w:r>
      <w:r>
        <w:rPr>
          <w:rFonts w:asciiTheme="minorHAnsi" w:eastAsiaTheme="minorEastAsia" w:hAnsiTheme="minorHAnsi" w:cstheme="minorBidi"/>
          <w:caps w:val="0"/>
          <w:snapToGrid/>
          <w:kern w:val="0"/>
          <w:szCs w:val="22"/>
        </w:rPr>
        <w:tab/>
      </w:r>
      <w:r w:rsidRPr="00170B79">
        <w:t>PROCEDURAL MATTERS</w:t>
      </w:r>
      <w:r>
        <w:tab/>
        <w:t>41</w:t>
      </w:r>
    </w:p>
    <w:p w14:paraId="5D011289"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41</w:t>
      </w:r>
    </w:p>
    <w:p w14:paraId="0D30EF49"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Filing Procedures</w:t>
      </w:r>
      <w:r>
        <w:tab/>
        <w:t>42</w:t>
      </w:r>
    </w:p>
    <w:p w14:paraId="29586B02"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Accessible Formats</w:t>
      </w:r>
      <w:r>
        <w:tab/>
        <w:t>43</w:t>
      </w:r>
    </w:p>
    <w:p w14:paraId="400DFB00"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Regulatory Flexibility Analysis</w:t>
      </w:r>
      <w:r>
        <w:tab/>
        <w:t>44</w:t>
      </w:r>
    </w:p>
    <w:p w14:paraId="73630F94" w14:textId="77777777" w:rsidR="00AC673F" w:rsidRDefault="00AC673F" w:rsidP="00BF1D5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Paperwork Reduction Act Analysis</w:t>
      </w:r>
      <w:r>
        <w:tab/>
        <w:t>45</w:t>
      </w:r>
    </w:p>
    <w:p w14:paraId="3A59A623" w14:textId="77777777" w:rsidR="00AC673F" w:rsidRDefault="00AC673F" w:rsidP="00AC673F">
      <w:pPr>
        <w:pStyle w:val="TOC1"/>
        <w:rPr>
          <w:rFonts w:asciiTheme="minorHAnsi" w:eastAsiaTheme="minorEastAsia" w:hAnsiTheme="minorHAnsi" w:cstheme="minorBidi"/>
          <w:caps w:val="0"/>
          <w:snapToGrid/>
          <w:kern w:val="0"/>
          <w:szCs w:val="22"/>
        </w:rPr>
      </w:pPr>
      <w:r w:rsidRPr="00170B79">
        <w:t>V.</w:t>
      </w:r>
      <w:r>
        <w:rPr>
          <w:rFonts w:asciiTheme="minorHAnsi" w:eastAsiaTheme="minorEastAsia" w:hAnsiTheme="minorHAnsi" w:cstheme="minorBidi"/>
          <w:caps w:val="0"/>
          <w:snapToGrid/>
          <w:kern w:val="0"/>
          <w:szCs w:val="22"/>
        </w:rPr>
        <w:tab/>
      </w:r>
      <w:r w:rsidRPr="00170B79">
        <w:t>ORDERING CLAUSES</w:t>
      </w:r>
      <w:r>
        <w:tab/>
        <w:t>46</w:t>
      </w:r>
    </w:p>
    <w:bookmarkEnd w:id="1"/>
    <w:p w14:paraId="1C4772D8" w14:textId="77777777" w:rsidR="00AB6657" w:rsidRPr="005968CD" w:rsidRDefault="00C27468" w:rsidP="009B0523">
      <w:pPr>
        <w:rPr>
          <w:bCs/>
          <w:noProof/>
          <w:szCs w:val="22"/>
        </w:rPr>
      </w:pPr>
      <w:r w:rsidRPr="005968CD">
        <w:rPr>
          <w:bCs/>
          <w:noProof/>
          <w:szCs w:val="22"/>
        </w:rPr>
        <w:t>Appendix A – List of Commenters</w:t>
      </w:r>
    </w:p>
    <w:p w14:paraId="7C0D920C" w14:textId="77777777" w:rsidR="00C27468" w:rsidRPr="005968CD" w:rsidRDefault="00C27468" w:rsidP="009B0523">
      <w:pPr>
        <w:rPr>
          <w:bCs/>
          <w:noProof/>
          <w:szCs w:val="22"/>
        </w:rPr>
      </w:pPr>
      <w:r w:rsidRPr="005968CD">
        <w:rPr>
          <w:bCs/>
          <w:noProof/>
          <w:szCs w:val="22"/>
        </w:rPr>
        <w:t>Appendix B – Proposed Rules</w:t>
      </w:r>
    </w:p>
    <w:p w14:paraId="2FA8BE70" w14:textId="77777777" w:rsidR="00C27468" w:rsidRDefault="00C27468" w:rsidP="009B0523">
      <w:pPr>
        <w:rPr>
          <w:bCs/>
          <w:noProof/>
          <w:szCs w:val="22"/>
        </w:rPr>
      </w:pPr>
      <w:r w:rsidRPr="005968CD">
        <w:rPr>
          <w:bCs/>
          <w:noProof/>
          <w:szCs w:val="22"/>
        </w:rPr>
        <w:t>Appendix C – Initial Regulatory Flexibility Act</w:t>
      </w:r>
    </w:p>
    <w:p w14:paraId="779E8DB3" w14:textId="77777777" w:rsidR="00AA2F8A" w:rsidRPr="005968CD" w:rsidRDefault="00AA2F8A" w:rsidP="009B0523">
      <w:pPr>
        <w:rPr>
          <w:szCs w:val="22"/>
        </w:rPr>
      </w:pPr>
    </w:p>
    <w:p w14:paraId="18AF0304" w14:textId="77777777" w:rsidR="00407566" w:rsidRPr="005968CD" w:rsidRDefault="00407566" w:rsidP="00B250B0">
      <w:pPr>
        <w:pStyle w:val="Heading1"/>
        <w:rPr>
          <w:rFonts w:ascii="Times New Roman" w:hAnsi="Times New Roman"/>
          <w:szCs w:val="22"/>
        </w:rPr>
      </w:pPr>
      <w:bookmarkStart w:id="3" w:name="_Toc225137848"/>
      <w:bookmarkStart w:id="4" w:name="_Toc225138550"/>
      <w:bookmarkStart w:id="5" w:name="_Toc225139734"/>
      <w:bookmarkStart w:id="6" w:name="_Toc225139982"/>
      <w:bookmarkStart w:id="7" w:name="_Toc225140078"/>
      <w:bookmarkStart w:id="8" w:name="_Toc225140822"/>
      <w:bookmarkStart w:id="9" w:name="_Toc225141013"/>
      <w:bookmarkStart w:id="10" w:name="_Toc225141174"/>
      <w:bookmarkStart w:id="11" w:name="_Toc225141450"/>
      <w:bookmarkStart w:id="12" w:name="_Toc311538993"/>
      <w:bookmarkStart w:id="13" w:name="_Toc315776362"/>
      <w:bookmarkStart w:id="14" w:name="_Toc384818444"/>
      <w:bookmarkStart w:id="15" w:name="_Toc385317611"/>
      <w:bookmarkStart w:id="16" w:name="_Toc385317667"/>
      <w:bookmarkStart w:id="17" w:name="_Toc385317688"/>
      <w:bookmarkStart w:id="18" w:name="_Toc386185612"/>
      <w:bookmarkStart w:id="19" w:name="_Toc386193567"/>
      <w:bookmarkStart w:id="20" w:name="_Toc386449403"/>
      <w:bookmarkStart w:id="21" w:name="_Toc390332829"/>
      <w:bookmarkStart w:id="22" w:name="_Toc403549480"/>
      <w:bookmarkStart w:id="23" w:name="_Toc410743422"/>
      <w:bookmarkStart w:id="24" w:name="_Toc415573203"/>
      <w:r w:rsidRPr="005968CD">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D137504" w14:textId="77777777" w:rsidR="000A6811" w:rsidRPr="005968CD" w:rsidRDefault="00E87082" w:rsidP="009F68E7">
      <w:pPr>
        <w:pStyle w:val="ParaNum"/>
        <w:rPr>
          <w:szCs w:val="22"/>
        </w:rPr>
      </w:pPr>
      <w:r w:rsidRPr="005968CD">
        <w:rPr>
          <w:szCs w:val="22"/>
        </w:rPr>
        <w:t xml:space="preserve">The Commission has a longstanding commitment to ensuring access to 911 for the American public.  </w:t>
      </w:r>
      <w:r w:rsidR="00996421" w:rsidRPr="005968CD">
        <w:rPr>
          <w:szCs w:val="22"/>
        </w:rPr>
        <w:t>In support of this objective, t</w:t>
      </w:r>
      <w:r w:rsidR="007D53E4" w:rsidRPr="005968CD">
        <w:rPr>
          <w:szCs w:val="22"/>
        </w:rPr>
        <w:t>he Commission’s rules require commercial mobile radio service (CMRS) providers subject to the 911 rules to transmit all wireless 911 calls</w:t>
      </w:r>
      <w:r w:rsidR="00C4080D" w:rsidRPr="005968CD">
        <w:rPr>
          <w:szCs w:val="22"/>
        </w:rPr>
        <w:t xml:space="preserve"> “without respect to </w:t>
      </w:r>
      <w:r w:rsidR="00C4080D" w:rsidRPr="005968CD">
        <w:rPr>
          <w:szCs w:val="22"/>
        </w:rPr>
        <w:lastRenderedPageBreak/>
        <w:t>their call validation process.”</w:t>
      </w:r>
      <w:r w:rsidR="00C4080D" w:rsidRPr="005968CD">
        <w:rPr>
          <w:rStyle w:val="FootnoteReference"/>
          <w:sz w:val="22"/>
          <w:szCs w:val="22"/>
        </w:rPr>
        <w:footnoteReference w:id="2"/>
      </w:r>
      <w:r w:rsidR="007D53E4" w:rsidRPr="005968CD">
        <w:rPr>
          <w:szCs w:val="22"/>
        </w:rPr>
        <w:t xml:space="preserve"> </w:t>
      </w:r>
      <w:r w:rsidR="00C4080D" w:rsidRPr="005968CD">
        <w:rPr>
          <w:szCs w:val="22"/>
        </w:rPr>
        <w:t xml:space="preserve"> </w:t>
      </w:r>
      <w:r w:rsidR="0015504E" w:rsidRPr="005968CD">
        <w:rPr>
          <w:szCs w:val="22"/>
        </w:rPr>
        <w:t>Thus,</w:t>
      </w:r>
      <w:r w:rsidR="00C4080D" w:rsidRPr="005968CD">
        <w:rPr>
          <w:szCs w:val="22"/>
        </w:rPr>
        <w:t xml:space="preserve"> the rule requires providers to transmit </w:t>
      </w:r>
      <w:r w:rsidR="0092742A" w:rsidRPr="005968CD">
        <w:rPr>
          <w:szCs w:val="22"/>
        </w:rPr>
        <w:t xml:space="preserve">both </w:t>
      </w:r>
      <w:r w:rsidR="00C4080D" w:rsidRPr="005968CD">
        <w:rPr>
          <w:szCs w:val="22"/>
        </w:rPr>
        <w:t xml:space="preserve">911 calls </w:t>
      </w:r>
      <w:r w:rsidR="0092742A" w:rsidRPr="005968CD">
        <w:rPr>
          <w:szCs w:val="22"/>
        </w:rPr>
        <w:t xml:space="preserve">originating </w:t>
      </w:r>
      <w:r w:rsidR="00C4080D" w:rsidRPr="005968CD">
        <w:rPr>
          <w:szCs w:val="22"/>
        </w:rPr>
        <w:t xml:space="preserve">from customers </w:t>
      </w:r>
      <w:r w:rsidR="00FB57F4" w:rsidRPr="005968CD">
        <w:rPr>
          <w:szCs w:val="22"/>
        </w:rPr>
        <w:t>that have contracts with</w:t>
      </w:r>
      <w:r w:rsidR="00C4080D" w:rsidRPr="005968CD">
        <w:rPr>
          <w:szCs w:val="22"/>
        </w:rPr>
        <w:t xml:space="preserve"> </w:t>
      </w:r>
      <w:r w:rsidR="0092742A" w:rsidRPr="005968CD">
        <w:rPr>
          <w:szCs w:val="22"/>
        </w:rPr>
        <w:t xml:space="preserve">CMRS </w:t>
      </w:r>
      <w:r w:rsidR="00C4080D" w:rsidRPr="005968CD">
        <w:rPr>
          <w:szCs w:val="22"/>
        </w:rPr>
        <w:t>providers</w:t>
      </w:r>
      <w:r w:rsidR="008A33F5" w:rsidRPr="005968CD">
        <w:rPr>
          <w:szCs w:val="22"/>
        </w:rPr>
        <w:t xml:space="preserve"> </w:t>
      </w:r>
      <w:r w:rsidR="00C4080D" w:rsidRPr="005968CD">
        <w:rPr>
          <w:szCs w:val="22"/>
        </w:rPr>
        <w:t>and</w:t>
      </w:r>
      <w:r w:rsidR="0092742A" w:rsidRPr="005968CD">
        <w:rPr>
          <w:szCs w:val="22"/>
        </w:rPr>
        <w:t xml:space="preserve"> </w:t>
      </w:r>
      <w:r w:rsidR="00C4080D" w:rsidRPr="005968CD">
        <w:rPr>
          <w:szCs w:val="22"/>
        </w:rPr>
        <w:t xml:space="preserve">calls </w:t>
      </w:r>
      <w:r w:rsidR="001C76A4" w:rsidRPr="005968CD">
        <w:rPr>
          <w:szCs w:val="22"/>
        </w:rPr>
        <w:t xml:space="preserve">originating </w:t>
      </w:r>
      <w:r w:rsidR="007D53E4" w:rsidRPr="005968CD">
        <w:rPr>
          <w:szCs w:val="22"/>
        </w:rPr>
        <w:t>from</w:t>
      </w:r>
      <w:r w:rsidR="001A6974" w:rsidRPr="005968CD">
        <w:rPr>
          <w:szCs w:val="22"/>
        </w:rPr>
        <w:t xml:space="preserve"> </w:t>
      </w:r>
      <w:r w:rsidR="00E959BB" w:rsidRPr="005968CD">
        <w:rPr>
          <w:szCs w:val="22"/>
        </w:rPr>
        <w:t>“</w:t>
      </w:r>
      <w:r w:rsidR="001A6974" w:rsidRPr="005968CD">
        <w:rPr>
          <w:szCs w:val="22"/>
        </w:rPr>
        <w:t>non-service-</w:t>
      </w:r>
      <w:r w:rsidR="007D53E4" w:rsidRPr="005968CD">
        <w:rPr>
          <w:szCs w:val="22"/>
        </w:rPr>
        <w:t>initialized</w:t>
      </w:r>
      <w:r w:rsidR="00E959BB" w:rsidRPr="005968CD">
        <w:rPr>
          <w:szCs w:val="22"/>
        </w:rPr>
        <w:t>”</w:t>
      </w:r>
      <w:r w:rsidR="007D53E4" w:rsidRPr="005968CD">
        <w:rPr>
          <w:szCs w:val="22"/>
        </w:rPr>
        <w:t xml:space="preserve"> (NSI) </w:t>
      </w:r>
      <w:r w:rsidR="001C76A4" w:rsidRPr="005968CD">
        <w:rPr>
          <w:szCs w:val="22"/>
        </w:rPr>
        <w:t>device</w:t>
      </w:r>
      <w:r w:rsidR="007D53E4" w:rsidRPr="005968CD">
        <w:rPr>
          <w:szCs w:val="22"/>
        </w:rPr>
        <w:t>s to P</w:t>
      </w:r>
      <w:r w:rsidR="00CB1237" w:rsidRPr="005968CD">
        <w:rPr>
          <w:szCs w:val="22"/>
        </w:rPr>
        <w:t xml:space="preserve">ublic </w:t>
      </w:r>
      <w:r w:rsidR="007D53E4" w:rsidRPr="005968CD">
        <w:rPr>
          <w:szCs w:val="22"/>
        </w:rPr>
        <w:t>S</w:t>
      </w:r>
      <w:r w:rsidR="00CB1237" w:rsidRPr="005968CD">
        <w:rPr>
          <w:szCs w:val="22"/>
        </w:rPr>
        <w:t xml:space="preserve">afety </w:t>
      </w:r>
      <w:r w:rsidR="007D53E4" w:rsidRPr="005968CD">
        <w:rPr>
          <w:szCs w:val="22"/>
        </w:rPr>
        <w:t>A</w:t>
      </w:r>
      <w:r w:rsidR="00CB1237" w:rsidRPr="005968CD">
        <w:rPr>
          <w:szCs w:val="22"/>
        </w:rPr>
        <w:t xml:space="preserve">nswering </w:t>
      </w:r>
      <w:r w:rsidR="007D53E4" w:rsidRPr="005968CD">
        <w:rPr>
          <w:szCs w:val="22"/>
        </w:rPr>
        <w:t>P</w:t>
      </w:r>
      <w:r w:rsidR="00CB1237" w:rsidRPr="005968CD">
        <w:rPr>
          <w:szCs w:val="22"/>
        </w:rPr>
        <w:t>oint</w:t>
      </w:r>
      <w:r w:rsidR="007D53E4" w:rsidRPr="005968CD">
        <w:rPr>
          <w:szCs w:val="22"/>
        </w:rPr>
        <w:t>s</w:t>
      </w:r>
      <w:r w:rsidR="00CB1237" w:rsidRPr="005968CD">
        <w:rPr>
          <w:szCs w:val="22"/>
        </w:rPr>
        <w:t xml:space="preserve"> (PSAPs)</w:t>
      </w:r>
      <w:r w:rsidR="007D53E4" w:rsidRPr="005968CD">
        <w:rPr>
          <w:szCs w:val="22"/>
        </w:rPr>
        <w:t xml:space="preserve">.  </w:t>
      </w:r>
      <w:r w:rsidR="00947DFE" w:rsidRPr="005968CD">
        <w:rPr>
          <w:szCs w:val="22"/>
        </w:rPr>
        <w:t>A</w:t>
      </w:r>
      <w:r w:rsidR="00FD078F" w:rsidRPr="005968CD">
        <w:rPr>
          <w:szCs w:val="22"/>
        </w:rPr>
        <w:t>n</w:t>
      </w:r>
      <w:r w:rsidR="00947DFE" w:rsidRPr="005968CD">
        <w:rPr>
          <w:szCs w:val="22"/>
        </w:rPr>
        <w:t xml:space="preserve"> </w:t>
      </w:r>
      <w:r w:rsidR="00E959BB" w:rsidRPr="005968CD">
        <w:rPr>
          <w:szCs w:val="22"/>
        </w:rPr>
        <w:t xml:space="preserve">NSI </w:t>
      </w:r>
      <w:r w:rsidR="001C76A4" w:rsidRPr="005968CD">
        <w:rPr>
          <w:szCs w:val="22"/>
        </w:rPr>
        <w:t xml:space="preserve">device </w:t>
      </w:r>
      <w:r w:rsidR="00947DFE" w:rsidRPr="005968CD">
        <w:rPr>
          <w:szCs w:val="22"/>
        </w:rPr>
        <w:t xml:space="preserve">is a </w:t>
      </w:r>
      <w:r w:rsidR="00AC6606" w:rsidRPr="005968CD">
        <w:rPr>
          <w:szCs w:val="22"/>
        </w:rPr>
        <w:t xml:space="preserve">mobile </w:t>
      </w:r>
      <w:r w:rsidR="00B740EF" w:rsidRPr="005968CD">
        <w:rPr>
          <w:szCs w:val="22"/>
        </w:rPr>
        <w:t>device</w:t>
      </w:r>
      <w:r w:rsidR="00AC6606" w:rsidRPr="005968CD">
        <w:rPr>
          <w:szCs w:val="22"/>
        </w:rPr>
        <w:t xml:space="preserve"> </w:t>
      </w:r>
      <w:r w:rsidR="00947DFE" w:rsidRPr="005968CD">
        <w:rPr>
          <w:szCs w:val="22"/>
        </w:rPr>
        <w:t>for which there is no valid service contract with a</w:t>
      </w:r>
      <w:r w:rsidR="00C4080D" w:rsidRPr="005968CD">
        <w:rPr>
          <w:szCs w:val="22"/>
        </w:rPr>
        <w:t>ny</w:t>
      </w:r>
      <w:r w:rsidR="00947DFE" w:rsidRPr="005968CD">
        <w:rPr>
          <w:szCs w:val="22"/>
        </w:rPr>
        <w:t xml:space="preserve"> CMRS provider</w:t>
      </w:r>
      <w:r w:rsidR="001C76A4" w:rsidRPr="005968CD">
        <w:rPr>
          <w:szCs w:val="22"/>
        </w:rPr>
        <w:t>.</w:t>
      </w:r>
      <w:r w:rsidR="001C76A4" w:rsidRPr="005968CD">
        <w:rPr>
          <w:rStyle w:val="FootnoteReference"/>
          <w:sz w:val="22"/>
          <w:szCs w:val="22"/>
        </w:rPr>
        <w:footnoteReference w:id="3"/>
      </w:r>
      <w:r w:rsidR="001C76A4" w:rsidRPr="005968CD">
        <w:rPr>
          <w:szCs w:val="22"/>
        </w:rPr>
        <w:t xml:space="preserve">  As such, </w:t>
      </w:r>
      <w:r w:rsidR="007D53E4" w:rsidRPr="005968CD">
        <w:rPr>
          <w:szCs w:val="22"/>
        </w:rPr>
        <w:t xml:space="preserve">NSI </w:t>
      </w:r>
      <w:r w:rsidR="00B740EF" w:rsidRPr="005968CD">
        <w:rPr>
          <w:szCs w:val="22"/>
        </w:rPr>
        <w:t>device</w:t>
      </w:r>
      <w:r w:rsidR="00AC6606" w:rsidRPr="005968CD">
        <w:rPr>
          <w:szCs w:val="22"/>
        </w:rPr>
        <w:t xml:space="preserve">s </w:t>
      </w:r>
      <w:r w:rsidR="007D53E4" w:rsidRPr="005968CD">
        <w:rPr>
          <w:szCs w:val="22"/>
        </w:rPr>
        <w:t xml:space="preserve">have no associated </w:t>
      </w:r>
      <w:r w:rsidR="00E959BB" w:rsidRPr="005968CD">
        <w:rPr>
          <w:szCs w:val="22"/>
        </w:rPr>
        <w:t xml:space="preserve">subscriber </w:t>
      </w:r>
      <w:r w:rsidR="007D53E4" w:rsidRPr="005968CD">
        <w:rPr>
          <w:szCs w:val="22"/>
        </w:rPr>
        <w:t xml:space="preserve">name and address, and do not provide Automatic Number Identification (ANI) </w:t>
      </w:r>
      <w:r w:rsidR="00752EE9" w:rsidRPr="005968CD">
        <w:rPr>
          <w:szCs w:val="22"/>
        </w:rPr>
        <w:t xml:space="preserve">or </w:t>
      </w:r>
      <w:r w:rsidR="007D53E4" w:rsidRPr="005968CD">
        <w:rPr>
          <w:szCs w:val="22"/>
        </w:rPr>
        <w:t>call</w:t>
      </w:r>
      <w:r w:rsidR="008911FD" w:rsidRPr="005968CD">
        <w:rPr>
          <w:szCs w:val="22"/>
        </w:rPr>
        <w:t>-</w:t>
      </w:r>
      <w:r w:rsidR="007D53E4" w:rsidRPr="005968CD">
        <w:rPr>
          <w:szCs w:val="22"/>
        </w:rPr>
        <w:t>back features.</w:t>
      </w:r>
      <w:r w:rsidR="001C76A4" w:rsidRPr="005968CD">
        <w:rPr>
          <w:rStyle w:val="FootnoteReference"/>
          <w:sz w:val="22"/>
          <w:szCs w:val="22"/>
        </w:rPr>
        <w:footnoteReference w:id="4"/>
      </w:r>
      <w:r w:rsidR="007D53E4" w:rsidRPr="005968CD">
        <w:rPr>
          <w:szCs w:val="22"/>
        </w:rPr>
        <w:t xml:space="preserve"> </w:t>
      </w:r>
      <w:r w:rsidR="007F354D" w:rsidRPr="005968CD">
        <w:rPr>
          <w:szCs w:val="22"/>
        </w:rPr>
        <w:t xml:space="preserve"> </w:t>
      </w:r>
      <w:r w:rsidR="00F856B1" w:rsidRPr="005968CD">
        <w:rPr>
          <w:szCs w:val="22"/>
        </w:rPr>
        <w:t>As a result</w:t>
      </w:r>
      <w:r w:rsidR="007D53E4" w:rsidRPr="005968CD">
        <w:rPr>
          <w:szCs w:val="22"/>
        </w:rPr>
        <w:t xml:space="preserve">, </w:t>
      </w:r>
      <w:r w:rsidR="00E53928" w:rsidRPr="005968CD">
        <w:rPr>
          <w:szCs w:val="22"/>
        </w:rPr>
        <w:t>when a caller uses a NSI</w:t>
      </w:r>
      <w:r w:rsidR="00AC6606" w:rsidRPr="005968CD">
        <w:rPr>
          <w:szCs w:val="22"/>
        </w:rPr>
        <w:t xml:space="preserve"> </w:t>
      </w:r>
      <w:r w:rsidR="00B740EF" w:rsidRPr="005968CD">
        <w:rPr>
          <w:szCs w:val="22"/>
        </w:rPr>
        <w:t>device</w:t>
      </w:r>
      <w:r w:rsidR="00AC6606" w:rsidRPr="005968CD">
        <w:rPr>
          <w:szCs w:val="22"/>
        </w:rPr>
        <w:t xml:space="preserve"> </w:t>
      </w:r>
      <w:r w:rsidR="00E53928" w:rsidRPr="005968CD">
        <w:rPr>
          <w:szCs w:val="22"/>
        </w:rPr>
        <w:t xml:space="preserve">to call 911, the PSAP typically cannot identify the caller. </w:t>
      </w:r>
    </w:p>
    <w:p w14:paraId="3E7CD5A6" w14:textId="77777777" w:rsidR="001C1E36" w:rsidRPr="005968CD" w:rsidRDefault="000A6811" w:rsidP="00C46CCA">
      <w:pPr>
        <w:pStyle w:val="ParaNum"/>
        <w:rPr>
          <w:szCs w:val="22"/>
        </w:rPr>
      </w:pPr>
      <w:r w:rsidRPr="005968CD">
        <w:rPr>
          <w:szCs w:val="22"/>
        </w:rPr>
        <w:t xml:space="preserve">In </w:t>
      </w:r>
      <w:r w:rsidR="00996421" w:rsidRPr="005968CD">
        <w:rPr>
          <w:szCs w:val="22"/>
        </w:rPr>
        <w:t>this Notice of Proposed Rulemaking (</w:t>
      </w:r>
      <w:r w:rsidR="00034F02" w:rsidRPr="005968CD">
        <w:rPr>
          <w:szCs w:val="22"/>
        </w:rPr>
        <w:t>NPRM</w:t>
      </w:r>
      <w:r w:rsidR="00996421" w:rsidRPr="005968CD">
        <w:rPr>
          <w:szCs w:val="22"/>
        </w:rPr>
        <w:t xml:space="preserve">), we seek comment on whether </w:t>
      </w:r>
      <w:r w:rsidR="00C4080D" w:rsidRPr="005968CD">
        <w:rPr>
          <w:szCs w:val="22"/>
        </w:rPr>
        <w:t xml:space="preserve">the obligation to transmit </w:t>
      </w:r>
      <w:r w:rsidR="007C1CA9" w:rsidRPr="005968CD">
        <w:rPr>
          <w:szCs w:val="22"/>
        </w:rPr>
        <w:t xml:space="preserve">911 </w:t>
      </w:r>
      <w:r w:rsidR="00C4080D" w:rsidRPr="005968CD">
        <w:rPr>
          <w:szCs w:val="22"/>
        </w:rPr>
        <w:t xml:space="preserve">calls from </w:t>
      </w:r>
      <w:r w:rsidR="00976602" w:rsidRPr="005968CD">
        <w:rPr>
          <w:szCs w:val="22"/>
        </w:rPr>
        <w:t>NSI</w:t>
      </w:r>
      <w:r w:rsidR="001973E9" w:rsidRPr="005968CD">
        <w:rPr>
          <w:szCs w:val="22"/>
        </w:rPr>
        <w:t xml:space="preserve"> device</w:t>
      </w:r>
      <w:r w:rsidR="00C4080D" w:rsidRPr="005968CD">
        <w:rPr>
          <w:szCs w:val="22"/>
        </w:rPr>
        <w:t>s</w:t>
      </w:r>
      <w:r w:rsidR="00976602" w:rsidRPr="005968CD">
        <w:rPr>
          <w:szCs w:val="22"/>
        </w:rPr>
        <w:t xml:space="preserve"> </w:t>
      </w:r>
      <w:r w:rsidR="00996421" w:rsidRPr="005968CD">
        <w:rPr>
          <w:szCs w:val="22"/>
        </w:rPr>
        <w:t>continues to serve an important public safety objective.</w:t>
      </w:r>
      <w:r w:rsidR="001973E9" w:rsidRPr="005968CD">
        <w:rPr>
          <w:rStyle w:val="FootnoteReference"/>
          <w:sz w:val="22"/>
          <w:szCs w:val="22"/>
        </w:rPr>
        <w:footnoteReference w:id="5"/>
      </w:r>
      <w:r w:rsidR="00996421" w:rsidRPr="005968CD">
        <w:rPr>
          <w:szCs w:val="22"/>
        </w:rPr>
        <w:t xml:space="preserve">  A primary rationale for </w:t>
      </w:r>
      <w:r w:rsidR="00976602" w:rsidRPr="005968CD">
        <w:rPr>
          <w:szCs w:val="22"/>
        </w:rPr>
        <w:t xml:space="preserve">the </w:t>
      </w:r>
      <w:r w:rsidR="00996421" w:rsidRPr="005968CD">
        <w:rPr>
          <w:szCs w:val="22"/>
        </w:rPr>
        <w:t xml:space="preserve">initial adoption of the </w:t>
      </w:r>
      <w:r w:rsidR="00C4080D" w:rsidRPr="005968CD">
        <w:rPr>
          <w:szCs w:val="22"/>
        </w:rPr>
        <w:t xml:space="preserve">Commission’s </w:t>
      </w:r>
      <w:r w:rsidR="00996421" w:rsidRPr="005968CD">
        <w:rPr>
          <w:szCs w:val="22"/>
        </w:rPr>
        <w:t xml:space="preserve">rule in the late 1990s was to expedite </w:t>
      </w:r>
      <w:r w:rsidR="001174A5" w:rsidRPr="005968CD">
        <w:rPr>
          <w:szCs w:val="22"/>
        </w:rPr>
        <w:t xml:space="preserve">wireless </w:t>
      </w:r>
      <w:r w:rsidR="00996421" w:rsidRPr="005968CD">
        <w:rPr>
          <w:szCs w:val="22"/>
        </w:rPr>
        <w:t xml:space="preserve">calls to 911 that would otherwise have been delayed </w:t>
      </w:r>
      <w:r w:rsidR="00976602" w:rsidRPr="005968CD">
        <w:rPr>
          <w:szCs w:val="22"/>
        </w:rPr>
        <w:t>due to</w:t>
      </w:r>
      <w:r w:rsidR="00996421" w:rsidRPr="005968CD">
        <w:rPr>
          <w:szCs w:val="22"/>
        </w:rPr>
        <w:t xml:space="preserve"> </w:t>
      </w:r>
      <w:r w:rsidR="001174A5" w:rsidRPr="005968CD">
        <w:rPr>
          <w:szCs w:val="22"/>
        </w:rPr>
        <w:t xml:space="preserve">lengthy </w:t>
      </w:r>
      <w:r w:rsidR="00996421" w:rsidRPr="005968CD">
        <w:rPr>
          <w:szCs w:val="22"/>
        </w:rPr>
        <w:t>c</w:t>
      </w:r>
      <w:r w:rsidR="00161376" w:rsidRPr="005968CD">
        <w:rPr>
          <w:szCs w:val="22"/>
        </w:rPr>
        <w:t xml:space="preserve">all </w:t>
      </w:r>
      <w:r w:rsidR="00996421" w:rsidRPr="005968CD">
        <w:rPr>
          <w:szCs w:val="22"/>
        </w:rPr>
        <w:t xml:space="preserve">validation </w:t>
      </w:r>
      <w:r w:rsidR="001174A5" w:rsidRPr="005968CD">
        <w:rPr>
          <w:szCs w:val="22"/>
        </w:rPr>
        <w:t xml:space="preserve">processes for unidentified callers </w:t>
      </w:r>
      <w:r w:rsidR="00996421" w:rsidRPr="005968CD">
        <w:rPr>
          <w:szCs w:val="22"/>
        </w:rPr>
        <w:t xml:space="preserve">that were </w:t>
      </w:r>
      <w:r w:rsidR="001174A5" w:rsidRPr="005968CD">
        <w:rPr>
          <w:szCs w:val="22"/>
        </w:rPr>
        <w:t xml:space="preserve">commonly used </w:t>
      </w:r>
      <w:r w:rsidR="00996421" w:rsidRPr="005968CD">
        <w:rPr>
          <w:szCs w:val="22"/>
        </w:rPr>
        <w:t>at the time.  In the nearly two decades since the rule was adopted,</w:t>
      </w:r>
      <w:r w:rsidR="00034F02" w:rsidRPr="005968CD">
        <w:rPr>
          <w:szCs w:val="22"/>
        </w:rPr>
        <w:t xml:space="preserve"> however,</w:t>
      </w:r>
      <w:r w:rsidR="00996421" w:rsidRPr="005968CD">
        <w:rPr>
          <w:szCs w:val="22"/>
        </w:rPr>
        <w:t xml:space="preserve"> </w:t>
      </w:r>
      <w:r w:rsidR="0074407B" w:rsidRPr="005968CD">
        <w:rPr>
          <w:szCs w:val="22"/>
        </w:rPr>
        <w:t xml:space="preserve">the </w:t>
      </w:r>
      <w:r w:rsidR="00996421" w:rsidRPr="005968CD">
        <w:rPr>
          <w:szCs w:val="22"/>
        </w:rPr>
        <w:t xml:space="preserve">call validation methods </w:t>
      </w:r>
      <w:r w:rsidR="0074407B" w:rsidRPr="005968CD">
        <w:rPr>
          <w:szCs w:val="22"/>
        </w:rPr>
        <w:t>of concern</w:t>
      </w:r>
      <w:r w:rsidR="00A94386" w:rsidRPr="005968CD">
        <w:rPr>
          <w:szCs w:val="22"/>
        </w:rPr>
        <w:t xml:space="preserve"> to the Commission</w:t>
      </w:r>
      <w:r w:rsidR="0074407B" w:rsidRPr="005968CD">
        <w:rPr>
          <w:szCs w:val="22"/>
        </w:rPr>
        <w:t xml:space="preserve"> </w:t>
      </w:r>
      <w:r w:rsidR="001174A5" w:rsidRPr="005968CD">
        <w:rPr>
          <w:szCs w:val="22"/>
        </w:rPr>
        <w:t>are no longer in use</w:t>
      </w:r>
      <w:r w:rsidR="0074407B" w:rsidRPr="005968CD">
        <w:rPr>
          <w:szCs w:val="22"/>
        </w:rPr>
        <w:t xml:space="preserve">.  Moreover, </w:t>
      </w:r>
      <w:r w:rsidR="0035371F" w:rsidRPr="005968CD">
        <w:rPr>
          <w:szCs w:val="22"/>
        </w:rPr>
        <w:t xml:space="preserve">the availability of </w:t>
      </w:r>
      <w:r w:rsidR="00996421" w:rsidRPr="005968CD">
        <w:rPr>
          <w:szCs w:val="22"/>
        </w:rPr>
        <w:t>low-cost options for wireless services</w:t>
      </w:r>
      <w:r w:rsidR="0074407B" w:rsidRPr="005968CD">
        <w:rPr>
          <w:szCs w:val="22"/>
        </w:rPr>
        <w:t xml:space="preserve"> ha</w:t>
      </w:r>
      <w:r w:rsidR="0035371F" w:rsidRPr="005968CD">
        <w:rPr>
          <w:szCs w:val="22"/>
        </w:rPr>
        <w:t>s</w:t>
      </w:r>
      <w:r w:rsidR="0074407B" w:rsidRPr="005968CD">
        <w:rPr>
          <w:szCs w:val="22"/>
        </w:rPr>
        <w:t xml:space="preserve"> increased.  These trends</w:t>
      </w:r>
      <w:r w:rsidR="00996421" w:rsidRPr="005968CD">
        <w:rPr>
          <w:szCs w:val="22"/>
        </w:rPr>
        <w:t xml:space="preserve"> </w:t>
      </w:r>
      <w:r w:rsidR="0074407B" w:rsidRPr="005968CD">
        <w:rPr>
          <w:szCs w:val="22"/>
        </w:rPr>
        <w:t>suggest</w:t>
      </w:r>
      <w:r w:rsidR="00976602" w:rsidRPr="005968CD">
        <w:rPr>
          <w:szCs w:val="22"/>
        </w:rPr>
        <w:t xml:space="preserve"> that the NSI </w:t>
      </w:r>
      <w:r w:rsidR="00533546" w:rsidRPr="005968CD">
        <w:rPr>
          <w:szCs w:val="22"/>
        </w:rPr>
        <w:t xml:space="preserve">component of the </w:t>
      </w:r>
      <w:r w:rsidR="00976602" w:rsidRPr="005968CD">
        <w:rPr>
          <w:szCs w:val="22"/>
        </w:rPr>
        <w:t xml:space="preserve">requirement is no longer necessary to </w:t>
      </w:r>
      <w:r w:rsidR="00996421" w:rsidRPr="005968CD">
        <w:rPr>
          <w:szCs w:val="22"/>
        </w:rPr>
        <w:t>ensur</w:t>
      </w:r>
      <w:r w:rsidR="00976602" w:rsidRPr="005968CD">
        <w:rPr>
          <w:szCs w:val="22"/>
        </w:rPr>
        <w:t>e</w:t>
      </w:r>
      <w:r w:rsidR="00996421" w:rsidRPr="005968CD">
        <w:rPr>
          <w:szCs w:val="22"/>
        </w:rPr>
        <w:t xml:space="preserve"> that </w:t>
      </w:r>
      <w:r w:rsidR="001174A5" w:rsidRPr="005968CD">
        <w:rPr>
          <w:szCs w:val="22"/>
        </w:rPr>
        <w:t xml:space="preserve">wireless </w:t>
      </w:r>
      <w:r w:rsidR="00996421" w:rsidRPr="005968CD">
        <w:rPr>
          <w:szCs w:val="22"/>
        </w:rPr>
        <w:t xml:space="preserve">callers have continued access to emergency services.  </w:t>
      </w:r>
      <w:r w:rsidR="00976602" w:rsidRPr="005968CD">
        <w:rPr>
          <w:szCs w:val="22"/>
        </w:rPr>
        <w:t xml:space="preserve">Further, </w:t>
      </w:r>
      <w:r w:rsidR="00E53928" w:rsidRPr="005968CD">
        <w:rPr>
          <w:szCs w:val="22"/>
        </w:rPr>
        <w:t xml:space="preserve">the </w:t>
      </w:r>
      <w:r w:rsidR="00AC6606" w:rsidRPr="005968CD">
        <w:rPr>
          <w:szCs w:val="22"/>
        </w:rPr>
        <w:t xml:space="preserve">inability to identify the caller creates </w:t>
      </w:r>
      <w:r w:rsidR="00F3237F" w:rsidRPr="005968CD">
        <w:rPr>
          <w:szCs w:val="22"/>
        </w:rPr>
        <w:t>considerable</w:t>
      </w:r>
      <w:r w:rsidR="00AC6606" w:rsidRPr="005968CD">
        <w:rPr>
          <w:szCs w:val="22"/>
        </w:rPr>
        <w:t xml:space="preserve"> difficulty for PSAPs when a caller </w:t>
      </w:r>
      <w:r w:rsidR="00F856B1" w:rsidRPr="005968CD">
        <w:rPr>
          <w:szCs w:val="22"/>
        </w:rPr>
        <w:t>use</w:t>
      </w:r>
      <w:r w:rsidR="00AC6606" w:rsidRPr="005968CD">
        <w:rPr>
          <w:szCs w:val="22"/>
        </w:rPr>
        <w:t>s a</w:t>
      </w:r>
      <w:r w:rsidR="005B0460" w:rsidRPr="005968CD">
        <w:rPr>
          <w:szCs w:val="22"/>
        </w:rPr>
        <w:t xml:space="preserve">n </w:t>
      </w:r>
      <w:r w:rsidR="00F856B1" w:rsidRPr="005968CD">
        <w:rPr>
          <w:szCs w:val="22"/>
        </w:rPr>
        <w:t xml:space="preserve">NSI </w:t>
      </w:r>
      <w:r w:rsidR="00B740EF" w:rsidRPr="005968CD">
        <w:rPr>
          <w:szCs w:val="22"/>
        </w:rPr>
        <w:t>device</w:t>
      </w:r>
      <w:r w:rsidR="00F856B1" w:rsidRPr="005968CD">
        <w:rPr>
          <w:szCs w:val="22"/>
        </w:rPr>
        <w:t xml:space="preserve"> to place </w:t>
      </w:r>
      <w:r w:rsidR="00AC6606" w:rsidRPr="005968CD">
        <w:rPr>
          <w:szCs w:val="22"/>
        </w:rPr>
        <w:t xml:space="preserve">fraudulent </w:t>
      </w:r>
      <w:r w:rsidR="00F856B1" w:rsidRPr="005968CD">
        <w:rPr>
          <w:szCs w:val="22"/>
        </w:rPr>
        <w:t>calls</w:t>
      </w:r>
      <w:r w:rsidR="00AC6606" w:rsidRPr="005968CD">
        <w:rPr>
          <w:szCs w:val="22"/>
        </w:rPr>
        <w:t>.</w:t>
      </w:r>
      <w:r w:rsidR="001174A5" w:rsidRPr="005968CD">
        <w:rPr>
          <w:rStyle w:val="FootnoteReference"/>
          <w:sz w:val="22"/>
          <w:szCs w:val="22"/>
        </w:rPr>
        <w:footnoteReference w:id="6"/>
      </w:r>
      <w:r w:rsidR="001174A5" w:rsidRPr="005968CD">
        <w:rPr>
          <w:szCs w:val="22"/>
        </w:rPr>
        <w:t xml:space="preserve"> </w:t>
      </w:r>
      <w:r w:rsidR="007D53E4" w:rsidRPr="005968CD">
        <w:rPr>
          <w:szCs w:val="22"/>
        </w:rPr>
        <w:t xml:space="preserve"> </w:t>
      </w:r>
      <w:r w:rsidR="00976602" w:rsidRPr="005968CD">
        <w:rPr>
          <w:szCs w:val="22"/>
        </w:rPr>
        <w:t xml:space="preserve"> Public safety representatives have indicated that NSI </w:t>
      </w:r>
      <w:r w:rsidR="00B740EF" w:rsidRPr="005968CD">
        <w:rPr>
          <w:szCs w:val="22"/>
        </w:rPr>
        <w:t>device</w:t>
      </w:r>
      <w:r w:rsidR="00976602" w:rsidRPr="005968CD">
        <w:rPr>
          <w:szCs w:val="22"/>
        </w:rPr>
        <w:t xml:space="preserve">s are frequently used to make </w:t>
      </w:r>
      <w:r w:rsidR="0017049C" w:rsidRPr="005968CD">
        <w:rPr>
          <w:szCs w:val="22"/>
        </w:rPr>
        <w:t>such calls</w:t>
      </w:r>
      <w:r w:rsidR="00976602" w:rsidRPr="005968CD">
        <w:rPr>
          <w:szCs w:val="22"/>
        </w:rPr>
        <w:t xml:space="preserve">, causing a significant waste of limited public safety resources.  </w:t>
      </w:r>
      <w:r w:rsidR="000B4533" w:rsidRPr="005968CD">
        <w:rPr>
          <w:szCs w:val="22"/>
        </w:rPr>
        <w:t>For these reasons</w:t>
      </w:r>
      <w:r w:rsidR="00034F02" w:rsidRPr="005968CD">
        <w:rPr>
          <w:szCs w:val="22"/>
        </w:rPr>
        <w:t xml:space="preserve">, we propose to sunset the NSI </w:t>
      </w:r>
      <w:r w:rsidR="00533546" w:rsidRPr="005968CD">
        <w:rPr>
          <w:szCs w:val="22"/>
        </w:rPr>
        <w:t xml:space="preserve">component of the </w:t>
      </w:r>
      <w:r w:rsidR="00034F02" w:rsidRPr="005968CD">
        <w:rPr>
          <w:szCs w:val="22"/>
        </w:rPr>
        <w:t>rule</w:t>
      </w:r>
      <w:r w:rsidR="004203EA" w:rsidRPr="005968CD">
        <w:rPr>
          <w:szCs w:val="22"/>
        </w:rPr>
        <w:t xml:space="preserve"> after</w:t>
      </w:r>
      <w:r w:rsidR="00034F02" w:rsidRPr="005968CD">
        <w:rPr>
          <w:szCs w:val="22"/>
        </w:rPr>
        <w:t xml:space="preserve"> a </w:t>
      </w:r>
      <w:r w:rsidR="00A97658">
        <w:rPr>
          <w:szCs w:val="22"/>
        </w:rPr>
        <w:t>six-month</w:t>
      </w:r>
      <w:r w:rsidR="004203EA" w:rsidRPr="005968CD">
        <w:rPr>
          <w:szCs w:val="22"/>
        </w:rPr>
        <w:t xml:space="preserve"> </w:t>
      </w:r>
      <w:r w:rsidR="00034F02" w:rsidRPr="005968CD">
        <w:rPr>
          <w:szCs w:val="22"/>
        </w:rPr>
        <w:t xml:space="preserve">transition period </w:t>
      </w:r>
      <w:r w:rsidR="0017049C" w:rsidRPr="005968CD">
        <w:rPr>
          <w:szCs w:val="22"/>
        </w:rPr>
        <w:t>that will allow</w:t>
      </w:r>
      <w:r w:rsidR="00034F02" w:rsidRPr="005968CD">
        <w:rPr>
          <w:szCs w:val="22"/>
        </w:rPr>
        <w:t xml:space="preserve"> for public outreach and education.  We also seek comment on alternative approaches to addressing the issue of fraudulent calls from NSI </w:t>
      </w:r>
      <w:r w:rsidR="00B740EF" w:rsidRPr="005968CD">
        <w:rPr>
          <w:szCs w:val="22"/>
        </w:rPr>
        <w:t>device</w:t>
      </w:r>
      <w:r w:rsidR="00034F02" w:rsidRPr="005968CD">
        <w:rPr>
          <w:szCs w:val="22"/>
        </w:rPr>
        <w:t xml:space="preserve">s.  </w:t>
      </w:r>
    </w:p>
    <w:p w14:paraId="561D07D0" w14:textId="77777777" w:rsidR="005D6907" w:rsidRPr="005968CD" w:rsidRDefault="00407566" w:rsidP="001A6974">
      <w:pPr>
        <w:pStyle w:val="Heading1"/>
        <w:widowControl/>
        <w:rPr>
          <w:rFonts w:ascii="Times New Roman" w:hAnsi="Times New Roman"/>
          <w:szCs w:val="22"/>
        </w:rPr>
      </w:pPr>
      <w:bookmarkStart w:id="25" w:name="_Toc225137849"/>
      <w:bookmarkStart w:id="26" w:name="_Toc225138551"/>
      <w:bookmarkStart w:id="27" w:name="_Toc225139735"/>
      <w:bookmarkStart w:id="28" w:name="_Toc225139983"/>
      <w:bookmarkStart w:id="29" w:name="_Toc225140079"/>
      <w:bookmarkStart w:id="30" w:name="_Toc225140823"/>
      <w:bookmarkStart w:id="31" w:name="_Toc225141014"/>
      <w:bookmarkStart w:id="32" w:name="_Toc225141175"/>
      <w:bookmarkStart w:id="33" w:name="_Toc225141451"/>
      <w:bookmarkStart w:id="34" w:name="_Toc311538994"/>
      <w:bookmarkStart w:id="35" w:name="_Toc315776363"/>
      <w:bookmarkStart w:id="36" w:name="_Toc384818445"/>
      <w:bookmarkStart w:id="37" w:name="_Toc385317612"/>
      <w:bookmarkStart w:id="38" w:name="_Toc385317668"/>
      <w:bookmarkStart w:id="39" w:name="_Toc385317689"/>
      <w:bookmarkStart w:id="40" w:name="_Toc386193568"/>
      <w:bookmarkStart w:id="41" w:name="_Toc386449404"/>
      <w:bookmarkStart w:id="42" w:name="_Toc390332830"/>
      <w:bookmarkStart w:id="43" w:name="_Toc403549481"/>
      <w:bookmarkStart w:id="44" w:name="_Toc410743423"/>
      <w:bookmarkStart w:id="45" w:name="_Toc415573204"/>
      <w:r w:rsidRPr="005968CD">
        <w:rPr>
          <w:rFonts w:ascii="Times New Roman" w:hAnsi="Times New Roman"/>
          <w:szCs w:val="22"/>
        </w:rPr>
        <w:t>BACKGROUND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2C18D7B" w14:textId="77777777" w:rsidR="00C84D10" w:rsidRPr="005968CD" w:rsidRDefault="00AB2372" w:rsidP="005D5297">
      <w:pPr>
        <w:pStyle w:val="Heading2"/>
        <w:rPr>
          <w:szCs w:val="22"/>
        </w:rPr>
      </w:pPr>
      <w:bookmarkStart w:id="46" w:name="_Toc390332831"/>
      <w:bookmarkStart w:id="47" w:name="_Toc403549482"/>
      <w:bookmarkStart w:id="48" w:name="_Toc410743424"/>
      <w:bookmarkStart w:id="49" w:name="_Toc415573205"/>
      <w:r w:rsidRPr="005968CD">
        <w:rPr>
          <w:szCs w:val="22"/>
        </w:rPr>
        <w:t xml:space="preserve">Adoption of the NSI </w:t>
      </w:r>
      <w:r w:rsidR="00B740EF" w:rsidRPr="005968CD">
        <w:rPr>
          <w:szCs w:val="22"/>
        </w:rPr>
        <w:t>Device</w:t>
      </w:r>
      <w:r w:rsidRPr="005968CD">
        <w:rPr>
          <w:szCs w:val="22"/>
        </w:rPr>
        <w:t xml:space="preserve"> Requirement</w:t>
      </w:r>
      <w:bookmarkEnd w:id="46"/>
      <w:bookmarkEnd w:id="47"/>
      <w:bookmarkEnd w:id="48"/>
      <w:bookmarkEnd w:id="49"/>
      <w:r w:rsidR="002222F6" w:rsidRPr="005968CD">
        <w:rPr>
          <w:szCs w:val="22"/>
        </w:rPr>
        <w:t xml:space="preserve"> </w:t>
      </w:r>
    </w:p>
    <w:p w14:paraId="465D7622" w14:textId="77777777" w:rsidR="00531656" w:rsidRPr="005968CD" w:rsidRDefault="00407566" w:rsidP="00412CDD">
      <w:pPr>
        <w:pStyle w:val="ParaNum"/>
        <w:widowControl/>
        <w:rPr>
          <w:szCs w:val="22"/>
        </w:rPr>
      </w:pPr>
      <w:r w:rsidRPr="005968CD">
        <w:rPr>
          <w:szCs w:val="22"/>
        </w:rPr>
        <w:t xml:space="preserve">In 1996, the Commission issued its </w:t>
      </w:r>
      <w:r w:rsidR="007641E5" w:rsidRPr="005968CD">
        <w:rPr>
          <w:i/>
          <w:szCs w:val="22"/>
        </w:rPr>
        <w:t>E911</w:t>
      </w:r>
      <w:r w:rsidR="001A6974" w:rsidRPr="005968CD">
        <w:rPr>
          <w:i/>
          <w:szCs w:val="22"/>
        </w:rPr>
        <w:t xml:space="preserve"> </w:t>
      </w:r>
      <w:r w:rsidR="002222F6" w:rsidRPr="005968CD">
        <w:rPr>
          <w:i/>
          <w:szCs w:val="22"/>
        </w:rPr>
        <w:t xml:space="preserve">First </w:t>
      </w:r>
      <w:r w:rsidRPr="005968CD">
        <w:rPr>
          <w:i/>
          <w:szCs w:val="22"/>
        </w:rPr>
        <w:t>Report and Order</w:t>
      </w:r>
      <w:r w:rsidR="001A6974" w:rsidRPr="005968CD">
        <w:rPr>
          <w:szCs w:val="22"/>
        </w:rPr>
        <w:t>,</w:t>
      </w:r>
      <w:r w:rsidR="00B24EE1" w:rsidRPr="005968CD">
        <w:rPr>
          <w:szCs w:val="22"/>
        </w:rPr>
        <w:t xml:space="preserve"> </w:t>
      </w:r>
      <w:r w:rsidRPr="005968CD">
        <w:rPr>
          <w:szCs w:val="22"/>
        </w:rPr>
        <w:t xml:space="preserve">which required </w:t>
      </w:r>
      <w:r w:rsidR="00763577" w:rsidRPr="005968CD">
        <w:rPr>
          <w:szCs w:val="22"/>
        </w:rPr>
        <w:t xml:space="preserve">covered </w:t>
      </w:r>
      <w:r w:rsidRPr="005968CD">
        <w:rPr>
          <w:szCs w:val="22"/>
        </w:rPr>
        <w:t xml:space="preserve">carriers </w:t>
      </w:r>
      <w:r w:rsidR="00F83349" w:rsidRPr="005968CD">
        <w:rPr>
          <w:szCs w:val="22"/>
        </w:rPr>
        <w:t>(now defined as CMRS providers)</w:t>
      </w:r>
      <w:r w:rsidR="00F83349" w:rsidRPr="005968CD">
        <w:rPr>
          <w:rStyle w:val="FootnoteReference"/>
          <w:sz w:val="22"/>
          <w:szCs w:val="22"/>
        </w:rPr>
        <w:footnoteReference w:id="7"/>
      </w:r>
      <w:r w:rsidR="00F83349" w:rsidRPr="005968CD">
        <w:rPr>
          <w:szCs w:val="22"/>
        </w:rPr>
        <w:t xml:space="preserve"> </w:t>
      </w:r>
      <w:r w:rsidRPr="005968CD">
        <w:rPr>
          <w:szCs w:val="22"/>
        </w:rPr>
        <w:t>to transmit all 911 calls from wireless mobile handsets that transmit a</w:t>
      </w:r>
      <w:r w:rsidR="006A46A8" w:rsidRPr="005968CD">
        <w:rPr>
          <w:szCs w:val="22"/>
        </w:rPr>
        <w:t xml:space="preserve"> </w:t>
      </w:r>
      <w:r w:rsidRPr="005968CD">
        <w:rPr>
          <w:szCs w:val="22"/>
        </w:rPr>
        <w:t>code identification</w:t>
      </w:r>
      <w:r w:rsidR="003F51AF" w:rsidRPr="005968CD">
        <w:rPr>
          <w:szCs w:val="22"/>
        </w:rPr>
        <w:t>,</w:t>
      </w:r>
      <w:r w:rsidR="00E5369E" w:rsidRPr="005968CD">
        <w:rPr>
          <w:rStyle w:val="FootnoteReference"/>
          <w:sz w:val="22"/>
          <w:szCs w:val="22"/>
        </w:rPr>
        <w:footnoteReference w:id="8"/>
      </w:r>
      <w:r w:rsidR="003F51AF" w:rsidRPr="005968CD">
        <w:rPr>
          <w:szCs w:val="22"/>
        </w:rPr>
        <w:t xml:space="preserve"> without requiring any user</w:t>
      </w:r>
      <w:r w:rsidR="00D76E61" w:rsidRPr="005968CD">
        <w:rPr>
          <w:szCs w:val="22"/>
        </w:rPr>
        <w:t xml:space="preserve"> or call</w:t>
      </w:r>
      <w:r w:rsidR="003F51AF" w:rsidRPr="005968CD">
        <w:rPr>
          <w:szCs w:val="22"/>
        </w:rPr>
        <w:t xml:space="preserve"> validation or similar procedure</w:t>
      </w:r>
      <w:r w:rsidRPr="005968CD">
        <w:rPr>
          <w:szCs w:val="22"/>
        </w:rPr>
        <w:t>.</w:t>
      </w:r>
      <w:r w:rsidRPr="005968CD">
        <w:rPr>
          <w:rStyle w:val="FootnoteReference"/>
          <w:sz w:val="22"/>
          <w:szCs w:val="22"/>
        </w:rPr>
        <w:footnoteReference w:id="9"/>
      </w:r>
      <w:r w:rsidRPr="005968CD">
        <w:rPr>
          <w:szCs w:val="22"/>
        </w:rPr>
        <w:t xml:space="preserve"> </w:t>
      </w:r>
      <w:r w:rsidR="00A556C6" w:rsidRPr="005968CD">
        <w:rPr>
          <w:szCs w:val="22"/>
        </w:rPr>
        <w:t xml:space="preserve"> </w:t>
      </w:r>
      <w:r w:rsidR="00143303" w:rsidRPr="005968CD">
        <w:rPr>
          <w:szCs w:val="22"/>
        </w:rPr>
        <w:t xml:space="preserve">The </w:t>
      </w:r>
      <w:r w:rsidR="00143303" w:rsidRPr="005968CD">
        <w:rPr>
          <w:szCs w:val="22"/>
        </w:rPr>
        <w:lastRenderedPageBreak/>
        <w:t>Commission noted that u</w:t>
      </w:r>
      <w:r w:rsidR="009F7697" w:rsidRPr="005968CD">
        <w:rPr>
          <w:szCs w:val="22"/>
        </w:rPr>
        <w:t>ser validation</w:t>
      </w:r>
      <w:r w:rsidR="003C13D3" w:rsidRPr="005968CD">
        <w:rPr>
          <w:szCs w:val="22"/>
        </w:rPr>
        <w:t xml:space="preserve"> procedures, such as requiring a caller to provide credit card information, </w:t>
      </w:r>
      <w:r w:rsidR="001F2E5C" w:rsidRPr="005968CD">
        <w:rPr>
          <w:szCs w:val="22"/>
        </w:rPr>
        <w:t xml:space="preserve">could </w:t>
      </w:r>
      <w:r w:rsidR="003C13D3" w:rsidRPr="005968CD">
        <w:rPr>
          <w:szCs w:val="22"/>
        </w:rPr>
        <w:t>be long and cumbersome</w:t>
      </w:r>
      <w:r w:rsidR="001F2E5C" w:rsidRPr="005968CD">
        <w:rPr>
          <w:szCs w:val="22"/>
        </w:rPr>
        <w:t>,</w:t>
      </w:r>
      <w:r w:rsidR="00143303" w:rsidRPr="005968CD">
        <w:rPr>
          <w:szCs w:val="22"/>
        </w:rPr>
        <w:t xml:space="preserve"> and that ap</w:t>
      </w:r>
      <w:r w:rsidR="003C13D3" w:rsidRPr="005968CD">
        <w:rPr>
          <w:szCs w:val="22"/>
        </w:rPr>
        <w:t>plying these procedures in emergencies could thus cause a dangerous de</w:t>
      </w:r>
      <w:r w:rsidR="0035371F" w:rsidRPr="005968CD">
        <w:rPr>
          <w:szCs w:val="22"/>
        </w:rPr>
        <w:t>lay</w:t>
      </w:r>
      <w:r w:rsidR="003C13D3" w:rsidRPr="005968CD">
        <w:rPr>
          <w:szCs w:val="22"/>
        </w:rPr>
        <w:t xml:space="preserve"> or interruption of the 911 assistance process and, effectively, the denial of assistance in some cases.</w:t>
      </w:r>
      <w:r w:rsidR="00143303" w:rsidRPr="005968CD">
        <w:rPr>
          <w:rStyle w:val="FootnoteReference"/>
          <w:sz w:val="22"/>
          <w:szCs w:val="22"/>
        </w:rPr>
        <w:footnoteReference w:id="10"/>
      </w:r>
      <w:r w:rsidR="009F7697" w:rsidRPr="005968CD">
        <w:rPr>
          <w:szCs w:val="22"/>
        </w:rPr>
        <w:t xml:space="preserve">  </w:t>
      </w:r>
      <w:bookmarkStart w:id="50" w:name="sp_999_11"/>
      <w:bookmarkStart w:id="51" w:name="SDU_11"/>
      <w:r w:rsidR="0094346A" w:rsidRPr="005968CD">
        <w:rPr>
          <w:szCs w:val="22"/>
        </w:rPr>
        <w:t>T</w:t>
      </w:r>
      <w:r w:rsidRPr="005968CD">
        <w:rPr>
          <w:szCs w:val="22"/>
        </w:rPr>
        <w:t xml:space="preserve">he Commission also required </w:t>
      </w:r>
      <w:r w:rsidR="00763577" w:rsidRPr="005968CD">
        <w:rPr>
          <w:szCs w:val="22"/>
        </w:rPr>
        <w:t xml:space="preserve">covered </w:t>
      </w:r>
      <w:r w:rsidRPr="005968CD">
        <w:rPr>
          <w:szCs w:val="22"/>
        </w:rPr>
        <w:t>carriers to comply with PSAP</w:t>
      </w:r>
      <w:r w:rsidR="001F2E5C" w:rsidRPr="005968CD">
        <w:rPr>
          <w:szCs w:val="22"/>
        </w:rPr>
        <w:t xml:space="preserve"> requests</w:t>
      </w:r>
      <w:r w:rsidRPr="005968CD">
        <w:rPr>
          <w:szCs w:val="22"/>
        </w:rPr>
        <w:t xml:space="preserve"> </w:t>
      </w:r>
      <w:r w:rsidR="001F2E5C" w:rsidRPr="005968CD">
        <w:rPr>
          <w:szCs w:val="22"/>
        </w:rPr>
        <w:t>for</w:t>
      </w:r>
      <w:r w:rsidRPr="005968CD">
        <w:rPr>
          <w:szCs w:val="22"/>
        </w:rPr>
        <w:t xml:space="preserve"> transmission of </w:t>
      </w:r>
      <w:r w:rsidR="00DA2020" w:rsidRPr="005968CD">
        <w:rPr>
          <w:szCs w:val="22"/>
        </w:rPr>
        <w:t xml:space="preserve">911 </w:t>
      </w:r>
      <w:r w:rsidRPr="005968CD">
        <w:rPr>
          <w:szCs w:val="22"/>
        </w:rPr>
        <w:t>calls</w:t>
      </w:r>
      <w:r w:rsidR="009C4AC6" w:rsidRPr="005968CD">
        <w:rPr>
          <w:szCs w:val="22"/>
        </w:rPr>
        <w:t xml:space="preserve"> made</w:t>
      </w:r>
      <w:r w:rsidRPr="005968CD">
        <w:rPr>
          <w:szCs w:val="22"/>
        </w:rPr>
        <w:t xml:space="preserve"> without code identification.</w:t>
      </w:r>
      <w:r w:rsidRPr="005968CD">
        <w:rPr>
          <w:rStyle w:val="FootnoteReference"/>
          <w:sz w:val="22"/>
          <w:szCs w:val="22"/>
        </w:rPr>
        <w:footnoteReference w:id="11"/>
      </w:r>
      <w:r w:rsidRPr="005968CD">
        <w:rPr>
          <w:szCs w:val="22"/>
        </w:rPr>
        <w:t xml:space="preserve">  </w:t>
      </w:r>
      <w:r w:rsidR="001F2E5C" w:rsidRPr="005968CD">
        <w:rPr>
          <w:szCs w:val="22"/>
        </w:rPr>
        <w:t xml:space="preserve">Even </w:t>
      </w:r>
      <w:r w:rsidR="00392EB8" w:rsidRPr="005968CD">
        <w:rPr>
          <w:szCs w:val="22"/>
        </w:rPr>
        <w:t>at the time of adoption of the NSI requirement</w:t>
      </w:r>
      <w:r w:rsidR="001F2E5C" w:rsidRPr="005968CD">
        <w:rPr>
          <w:szCs w:val="22"/>
        </w:rPr>
        <w:t>, however,</w:t>
      </w:r>
      <w:r w:rsidR="0005433B" w:rsidRPr="005968CD">
        <w:rPr>
          <w:szCs w:val="22"/>
        </w:rPr>
        <w:t xml:space="preserve"> </w:t>
      </w:r>
      <w:r w:rsidR="001F2E5C" w:rsidRPr="005968CD">
        <w:rPr>
          <w:szCs w:val="22"/>
        </w:rPr>
        <w:t xml:space="preserve">the </w:t>
      </w:r>
      <w:r w:rsidRPr="005968CD">
        <w:rPr>
          <w:szCs w:val="22"/>
        </w:rPr>
        <w:t>Commission recognized</w:t>
      </w:r>
      <w:bookmarkStart w:id="52" w:name="sp_999_13"/>
      <w:bookmarkStart w:id="53" w:name="SDU_13"/>
      <w:bookmarkEnd w:id="50"/>
      <w:bookmarkEnd w:id="51"/>
      <w:r w:rsidRPr="005968CD">
        <w:rPr>
          <w:szCs w:val="22"/>
        </w:rPr>
        <w:t xml:space="preserve"> </w:t>
      </w:r>
      <w:r w:rsidR="0017049C" w:rsidRPr="005968CD">
        <w:rPr>
          <w:szCs w:val="22"/>
        </w:rPr>
        <w:t xml:space="preserve">that </w:t>
      </w:r>
      <w:r w:rsidRPr="005968CD">
        <w:rPr>
          <w:szCs w:val="22"/>
        </w:rPr>
        <w:t>“</w:t>
      </w:r>
      <w:r w:rsidRPr="005968CD">
        <w:rPr>
          <w:rStyle w:val="documentbody1"/>
          <w:rFonts w:ascii="Times New Roman" w:hAnsi="Times New Roman"/>
          <w:color w:val="000000"/>
          <w:sz w:val="22"/>
          <w:szCs w:val="22"/>
        </w:rPr>
        <w:t xml:space="preserve">there are disadvantages associated with requiring all 911 calls to be processed without regard to evidence that a call is emanating from an authorized user of </w:t>
      </w:r>
      <w:r w:rsidRPr="005968CD">
        <w:rPr>
          <w:rStyle w:val="documentbody1"/>
          <w:rFonts w:ascii="Times New Roman" w:hAnsi="Times New Roman"/>
          <w:i/>
          <w:iCs/>
          <w:color w:val="000000"/>
          <w:sz w:val="22"/>
          <w:szCs w:val="22"/>
        </w:rPr>
        <w:t>some</w:t>
      </w:r>
      <w:r w:rsidRPr="005968CD">
        <w:rPr>
          <w:rStyle w:val="documentbody1"/>
          <w:rFonts w:ascii="Times New Roman" w:hAnsi="Times New Roman"/>
          <w:color w:val="000000"/>
          <w:sz w:val="22"/>
          <w:szCs w:val="22"/>
        </w:rPr>
        <w:t xml:space="preserve"> CMRS provider.”</w:t>
      </w:r>
      <w:r w:rsidRPr="005968CD">
        <w:rPr>
          <w:rStyle w:val="FootnoteReference"/>
          <w:sz w:val="22"/>
          <w:szCs w:val="22"/>
        </w:rPr>
        <w:footnoteReference w:id="12"/>
      </w:r>
      <w:r w:rsidRPr="005968CD">
        <w:rPr>
          <w:rStyle w:val="documentbody1"/>
          <w:rFonts w:ascii="Times New Roman" w:hAnsi="Times New Roman"/>
          <w:color w:val="000000"/>
          <w:sz w:val="22"/>
          <w:szCs w:val="22"/>
        </w:rPr>
        <w:t xml:space="preserve">  </w:t>
      </w:r>
      <w:r w:rsidR="001A6974" w:rsidRPr="005968CD">
        <w:rPr>
          <w:rStyle w:val="documentbody1"/>
          <w:rFonts w:ascii="Times New Roman" w:hAnsi="Times New Roman"/>
          <w:color w:val="000000"/>
          <w:sz w:val="22"/>
          <w:szCs w:val="22"/>
        </w:rPr>
        <w:t>T</w:t>
      </w:r>
      <w:r w:rsidRPr="005968CD">
        <w:rPr>
          <w:rStyle w:val="documentbody1"/>
          <w:rFonts w:ascii="Times New Roman" w:hAnsi="Times New Roman"/>
          <w:color w:val="000000"/>
          <w:sz w:val="22"/>
          <w:szCs w:val="22"/>
        </w:rPr>
        <w:t xml:space="preserve">he Commission </w:t>
      </w:r>
      <w:r w:rsidR="00EB5DBF" w:rsidRPr="005968CD">
        <w:rPr>
          <w:rStyle w:val="documentbody1"/>
          <w:rFonts w:ascii="Times New Roman" w:hAnsi="Times New Roman"/>
          <w:color w:val="000000"/>
          <w:sz w:val="22"/>
          <w:szCs w:val="22"/>
        </w:rPr>
        <w:t xml:space="preserve">acknowledged </w:t>
      </w:r>
      <w:r w:rsidR="00D90A42" w:rsidRPr="005968CD">
        <w:rPr>
          <w:rStyle w:val="documentbody1"/>
          <w:rFonts w:ascii="Times New Roman" w:hAnsi="Times New Roman"/>
          <w:color w:val="000000"/>
          <w:sz w:val="22"/>
          <w:szCs w:val="22"/>
        </w:rPr>
        <w:t xml:space="preserve">that </w:t>
      </w:r>
      <w:r w:rsidR="003449A5" w:rsidRPr="005968CD">
        <w:rPr>
          <w:rStyle w:val="documentbody1"/>
          <w:rFonts w:ascii="Times New Roman" w:hAnsi="Times New Roman"/>
          <w:color w:val="000000"/>
          <w:sz w:val="22"/>
          <w:szCs w:val="22"/>
        </w:rPr>
        <w:t>“</w:t>
      </w:r>
      <w:r w:rsidRPr="005968CD">
        <w:rPr>
          <w:rStyle w:val="documentbody1"/>
          <w:rFonts w:ascii="Times New Roman" w:hAnsi="Times New Roman"/>
          <w:color w:val="000000"/>
          <w:sz w:val="22"/>
          <w:szCs w:val="22"/>
        </w:rPr>
        <w:t>placing 911 calls from handsets without a code identification has significant drawbacks, including the fact that ANI and call back features may not be usable, and hoax and false alarm calls may be facilitated.</w:t>
      </w:r>
      <w:bookmarkStart w:id="54" w:name="FN[FN55]"/>
      <w:bookmarkEnd w:id="54"/>
      <w:r w:rsidRPr="005968CD">
        <w:rPr>
          <w:rStyle w:val="documentbody1"/>
          <w:rFonts w:ascii="Times New Roman" w:hAnsi="Times New Roman"/>
          <w:color w:val="000000"/>
          <w:sz w:val="22"/>
          <w:szCs w:val="22"/>
          <w:vertAlign w:val="superscript"/>
        </w:rPr>
        <w:t>”</w:t>
      </w:r>
      <w:r w:rsidRPr="005968CD">
        <w:rPr>
          <w:rStyle w:val="FootnoteReference"/>
          <w:sz w:val="22"/>
          <w:szCs w:val="22"/>
        </w:rPr>
        <w:footnoteReference w:id="13"/>
      </w:r>
      <w:r w:rsidR="008F2D14" w:rsidRPr="005968CD">
        <w:rPr>
          <w:rStyle w:val="documentbody1"/>
          <w:rFonts w:ascii="Times New Roman" w:hAnsi="Times New Roman"/>
          <w:color w:val="000000"/>
          <w:sz w:val="22"/>
          <w:szCs w:val="22"/>
          <w:vertAlign w:val="superscript"/>
        </w:rPr>
        <w:t xml:space="preserve"> </w:t>
      </w:r>
      <w:r w:rsidR="008F2D14" w:rsidRPr="005968CD">
        <w:rPr>
          <w:szCs w:val="22"/>
        </w:rPr>
        <w:t xml:space="preserve"> </w:t>
      </w:r>
      <w:r w:rsidR="008A65FE" w:rsidRPr="005968CD">
        <w:rPr>
          <w:szCs w:val="22"/>
        </w:rPr>
        <w:t>The Commission concluded, however, that public safety organizations are in the best position to determine whether acceptance of calls without</w:t>
      </w:r>
      <w:r w:rsidR="00A926E9" w:rsidRPr="005968CD">
        <w:rPr>
          <w:szCs w:val="22"/>
        </w:rPr>
        <w:t xml:space="preserve"> code identification would help</w:t>
      </w:r>
      <w:r w:rsidR="008A65FE" w:rsidRPr="005968CD">
        <w:rPr>
          <w:szCs w:val="22"/>
        </w:rPr>
        <w:t xml:space="preserve"> or hinder their efforts.</w:t>
      </w:r>
      <w:r w:rsidR="008A65FE" w:rsidRPr="005968CD">
        <w:rPr>
          <w:rStyle w:val="FootnoteReference"/>
          <w:sz w:val="22"/>
          <w:szCs w:val="22"/>
        </w:rPr>
        <w:footnoteReference w:id="14"/>
      </w:r>
      <w:r w:rsidR="00A926E9" w:rsidRPr="005968CD">
        <w:rPr>
          <w:szCs w:val="22"/>
        </w:rPr>
        <w:t xml:space="preserve">  </w:t>
      </w:r>
    </w:p>
    <w:p w14:paraId="0A89D703" w14:textId="77777777" w:rsidR="008C60E0" w:rsidRPr="005968CD" w:rsidRDefault="001368A2" w:rsidP="00412CDD">
      <w:pPr>
        <w:pStyle w:val="ParaNum"/>
        <w:widowControl/>
        <w:rPr>
          <w:rStyle w:val="documentbody1"/>
          <w:rFonts w:ascii="Times New Roman" w:hAnsi="Times New Roman"/>
          <w:sz w:val="22"/>
          <w:szCs w:val="22"/>
        </w:rPr>
      </w:pPr>
      <w:r w:rsidRPr="005968CD">
        <w:rPr>
          <w:szCs w:val="22"/>
        </w:rPr>
        <w:t xml:space="preserve">In response to </w:t>
      </w:r>
      <w:r w:rsidR="006F3073" w:rsidRPr="005968CD">
        <w:rPr>
          <w:szCs w:val="22"/>
        </w:rPr>
        <w:t>several petitions</w:t>
      </w:r>
      <w:r w:rsidR="00407566" w:rsidRPr="005968CD">
        <w:rPr>
          <w:szCs w:val="22"/>
        </w:rPr>
        <w:t xml:space="preserve"> for reconsideration of the</w:t>
      </w:r>
      <w:r w:rsidR="002E77D8" w:rsidRPr="005968CD">
        <w:rPr>
          <w:szCs w:val="22"/>
        </w:rPr>
        <w:t xml:space="preserve"> </w:t>
      </w:r>
      <w:r w:rsidR="00407566" w:rsidRPr="005968CD">
        <w:rPr>
          <w:i/>
          <w:szCs w:val="22"/>
        </w:rPr>
        <w:t xml:space="preserve">E911 </w:t>
      </w:r>
      <w:r w:rsidR="002E77D8" w:rsidRPr="005968CD">
        <w:rPr>
          <w:i/>
          <w:szCs w:val="22"/>
        </w:rPr>
        <w:t xml:space="preserve">First </w:t>
      </w:r>
      <w:r w:rsidR="00407566" w:rsidRPr="005968CD">
        <w:rPr>
          <w:i/>
          <w:szCs w:val="22"/>
        </w:rPr>
        <w:t>Report and Order</w:t>
      </w:r>
      <w:r w:rsidR="00407566" w:rsidRPr="005968CD">
        <w:rPr>
          <w:szCs w:val="22"/>
        </w:rPr>
        <w:t xml:space="preserve">, the Commission issued a stay </w:t>
      </w:r>
      <w:r w:rsidR="00274ABB" w:rsidRPr="005968CD">
        <w:rPr>
          <w:szCs w:val="22"/>
        </w:rPr>
        <w:t xml:space="preserve">of its rules </w:t>
      </w:r>
      <w:r w:rsidR="00407566" w:rsidRPr="005968CD">
        <w:rPr>
          <w:szCs w:val="22"/>
        </w:rPr>
        <w:t>and sought additional comment.</w:t>
      </w:r>
      <w:r w:rsidR="00407566" w:rsidRPr="005968CD">
        <w:rPr>
          <w:rStyle w:val="FootnoteReference"/>
          <w:sz w:val="22"/>
          <w:szCs w:val="22"/>
        </w:rPr>
        <w:footnoteReference w:id="15"/>
      </w:r>
      <w:r w:rsidR="00407566" w:rsidRPr="005968CD">
        <w:rPr>
          <w:szCs w:val="22"/>
        </w:rPr>
        <w:t xml:space="preserve">  On the basis of the updated record</w:t>
      </w:r>
      <w:r w:rsidR="00274ABB" w:rsidRPr="005968CD">
        <w:rPr>
          <w:szCs w:val="22"/>
        </w:rPr>
        <w:t xml:space="preserve"> on reconsideration</w:t>
      </w:r>
      <w:r w:rsidR="00407566" w:rsidRPr="005968CD">
        <w:rPr>
          <w:szCs w:val="22"/>
        </w:rPr>
        <w:t xml:space="preserve">, in 1997 the Commission released its </w:t>
      </w:r>
      <w:r w:rsidR="00A926E9" w:rsidRPr="005968CD">
        <w:rPr>
          <w:i/>
          <w:szCs w:val="22"/>
        </w:rPr>
        <w:t xml:space="preserve">E911 </w:t>
      </w:r>
      <w:r w:rsidR="002E77D8" w:rsidRPr="005968CD">
        <w:rPr>
          <w:i/>
          <w:szCs w:val="22"/>
        </w:rPr>
        <w:t xml:space="preserve">First </w:t>
      </w:r>
      <w:r w:rsidR="00407566" w:rsidRPr="005968CD">
        <w:rPr>
          <w:i/>
          <w:szCs w:val="22"/>
        </w:rPr>
        <w:t>Memorandum Opinion and Order</w:t>
      </w:r>
      <w:r w:rsidR="00407566" w:rsidRPr="005968CD">
        <w:rPr>
          <w:szCs w:val="22"/>
        </w:rPr>
        <w:t>.</w:t>
      </w:r>
      <w:r w:rsidR="00407566" w:rsidRPr="005968CD">
        <w:rPr>
          <w:rStyle w:val="FootnoteReference"/>
          <w:sz w:val="22"/>
          <w:szCs w:val="22"/>
        </w:rPr>
        <w:footnoteReference w:id="16"/>
      </w:r>
      <w:r w:rsidR="00407566" w:rsidRPr="005968CD">
        <w:rPr>
          <w:szCs w:val="22"/>
        </w:rPr>
        <w:t xml:space="preserve">  In that order, the Commission determined that without applying validation procedures, </w:t>
      </w:r>
      <w:r w:rsidR="00EB5DBF" w:rsidRPr="005968CD">
        <w:rPr>
          <w:szCs w:val="22"/>
        </w:rPr>
        <w:t>then-</w:t>
      </w:r>
      <w:r w:rsidR="00407566" w:rsidRPr="005968CD">
        <w:rPr>
          <w:szCs w:val="22"/>
        </w:rPr>
        <w:t xml:space="preserve">present technology could not distinguish between </w:t>
      </w:r>
      <w:r w:rsidR="001A6974" w:rsidRPr="005968CD">
        <w:rPr>
          <w:szCs w:val="22"/>
        </w:rPr>
        <w:t>code-identified and non-code-</w:t>
      </w:r>
      <w:r w:rsidR="00DD5A0A" w:rsidRPr="005968CD">
        <w:rPr>
          <w:szCs w:val="22"/>
        </w:rPr>
        <w:t xml:space="preserve">identified </w:t>
      </w:r>
      <w:r w:rsidR="00407566" w:rsidRPr="005968CD">
        <w:rPr>
          <w:szCs w:val="22"/>
        </w:rPr>
        <w:t>handsets.</w:t>
      </w:r>
      <w:r w:rsidR="00407566" w:rsidRPr="005968CD">
        <w:rPr>
          <w:rStyle w:val="FootnoteReference"/>
          <w:sz w:val="22"/>
          <w:szCs w:val="22"/>
        </w:rPr>
        <w:footnoteReference w:id="17"/>
      </w:r>
      <w:r w:rsidR="00407566" w:rsidRPr="005968CD">
        <w:rPr>
          <w:szCs w:val="22"/>
        </w:rPr>
        <w:t xml:space="preserve">  Accordingly, the </w:t>
      </w:r>
      <w:r w:rsidR="00407566" w:rsidRPr="005968CD">
        <w:rPr>
          <w:i/>
          <w:szCs w:val="22"/>
        </w:rPr>
        <w:t>E911</w:t>
      </w:r>
      <w:r w:rsidR="002E77D8" w:rsidRPr="005968CD">
        <w:rPr>
          <w:i/>
          <w:szCs w:val="22"/>
        </w:rPr>
        <w:t xml:space="preserve"> First</w:t>
      </w:r>
      <w:r w:rsidR="00407566" w:rsidRPr="005968CD">
        <w:rPr>
          <w:i/>
          <w:szCs w:val="22"/>
        </w:rPr>
        <w:t xml:space="preserve"> Memorandum Opinion and Order</w:t>
      </w:r>
      <w:r w:rsidR="00407566" w:rsidRPr="005968CD">
        <w:rPr>
          <w:szCs w:val="22"/>
        </w:rPr>
        <w:t xml:space="preserve"> required carriers to forward all 911 calls whether or not they transmit a code identification.</w:t>
      </w:r>
      <w:r w:rsidR="00407566" w:rsidRPr="005968CD">
        <w:rPr>
          <w:rStyle w:val="FootnoteReference"/>
          <w:sz w:val="22"/>
          <w:szCs w:val="22"/>
        </w:rPr>
        <w:footnoteReference w:id="18"/>
      </w:r>
      <w:r w:rsidR="00407566" w:rsidRPr="005968CD">
        <w:rPr>
          <w:szCs w:val="22"/>
        </w:rPr>
        <w:t xml:space="preserve">  The Commission also found that PSAPs</w:t>
      </w:r>
      <w:bookmarkEnd w:id="52"/>
      <w:bookmarkEnd w:id="53"/>
      <w:r w:rsidR="0017049C" w:rsidRPr="005968CD">
        <w:rPr>
          <w:szCs w:val="22"/>
        </w:rPr>
        <w:t xml:space="preserve"> </w:t>
      </w:r>
      <w:r w:rsidR="00B613C4" w:rsidRPr="005968CD">
        <w:rPr>
          <w:szCs w:val="22"/>
        </w:rPr>
        <w:t xml:space="preserve">should be able </w:t>
      </w:r>
      <w:r w:rsidR="003E4A8E" w:rsidRPr="005968CD">
        <w:rPr>
          <w:szCs w:val="22"/>
        </w:rPr>
        <w:t>to “screen out or identify many types of fraudulent calls or those where call back is not possible</w:t>
      </w:r>
      <w:r w:rsidR="0019539F" w:rsidRPr="005968CD">
        <w:rPr>
          <w:szCs w:val="22"/>
        </w:rPr>
        <w:t xml:space="preserve">” and also expressed the hope that PSAPs could implement call back technology for NSI </w:t>
      </w:r>
      <w:r w:rsidR="00B740EF" w:rsidRPr="005968CD">
        <w:rPr>
          <w:szCs w:val="22"/>
        </w:rPr>
        <w:t>device</w:t>
      </w:r>
      <w:r w:rsidR="0019539F" w:rsidRPr="005968CD">
        <w:rPr>
          <w:szCs w:val="22"/>
        </w:rPr>
        <w:t>s.</w:t>
      </w:r>
      <w:r w:rsidR="0019539F" w:rsidRPr="005968CD">
        <w:rPr>
          <w:rStyle w:val="FootnoteReference"/>
          <w:sz w:val="22"/>
          <w:szCs w:val="22"/>
        </w:rPr>
        <w:footnoteReference w:id="19"/>
      </w:r>
    </w:p>
    <w:p w14:paraId="650A4DB4" w14:textId="77777777" w:rsidR="001C1E36" w:rsidRPr="005968CD" w:rsidRDefault="005D6B31" w:rsidP="00412CDD">
      <w:pPr>
        <w:pStyle w:val="ParaNum"/>
        <w:widowControl/>
        <w:rPr>
          <w:szCs w:val="22"/>
        </w:rPr>
      </w:pPr>
      <w:r w:rsidRPr="005968CD">
        <w:rPr>
          <w:szCs w:val="22"/>
        </w:rPr>
        <w:t>Since the adoption of the NSI requirement</w:t>
      </w:r>
      <w:r w:rsidR="00CD6F43" w:rsidRPr="005968CD">
        <w:rPr>
          <w:szCs w:val="22"/>
        </w:rPr>
        <w:t xml:space="preserve">, the Commission has </w:t>
      </w:r>
      <w:r w:rsidR="00105D4A" w:rsidRPr="005968CD">
        <w:rPr>
          <w:szCs w:val="22"/>
        </w:rPr>
        <w:t>been aware of the continuing concern regarding</w:t>
      </w:r>
      <w:r w:rsidR="00CD6F43" w:rsidRPr="005968CD">
        <w:rPr>
          <w:szCs w:val="22"/>
        </w:rPr>
        <w:t xml:space="preserve"> fraudulent calls and the lack of call-back capabilities associated with NSI </w:t>
      </w:r>
      <w:r w:rsidR="00B740EF" w:rsidRPr="005968CD">
        <w:rPr>
          <w:szCs w:val="22"/>
        </w:rPr>
        <w:t>device</w:t>
      </w:r>
      <w:r w:rsidR="00CD6F43" w:rsidRPr="005968CD">
        <w:rPr>
          <w:szCs w:val="22"/>
        </w:rPr>
        <w:t>s</w:t>
      </w:r>
      <w:r w:rsidR="00105D4A" w:rsidRPr="005968CD">
        <w:rPr>
          <w:szCs w:val="22"/>
        </w:rPr>
        <w:t>, and has taken various measures to address this issue</w:t>
      </w:r>
      <w:r w:rsidR="00CD6F43" w:rsidRPr="005968CD">
        <w:rPr>
          <w:szCs w:val="22"/>
        </w:rPr>
        <w:t xml:space="preserve">.  </w:t>
      </w:r>
      <w:r w:rsidR="008C60E0" w:rsidRPr="005968CD">
        <w:rPr>
          <w:szCs w:val="22"/>
        </w:rPr>
        <w:t>I</w:t>
      </w:r>
      <w:r w:rsidR="00407566" w:rsidRPr="005968CD">
        <w:rPr>
          <w:szCs w:val="22"/>
        </w:rPr>
        <w:t>n 2002</w:t>
      </w:r>
      <w:r w:rsidR="00CF6290" w:rsidRPr="005968CD">
        <w:rPr>
          <w:szCs w:val="22"/>
        </w:rPr>
        <w:t>,</w:t>
      </w:r>
      <w:r w:rsidR="00407566" w:rsidRPr="005968CD">
        <w:rPr>
          <w:szCs w:val="22"/>
        </w:rPr>
        <w:t xml:space="preserve"> the Commission required NSI handsets donated through carrier-sponsored programs, as well as newly manufactured </w:t>
      </w:r>
      <w:r w:rsidR="0035371F" w:rsidRPr="005968CD">
        <w:rPr>
          <w:szCs w:val="22"/>
        </w:rPr>
        <w:t>“</w:t>
      </w:r>
      <w:r w:rsidR="00407566" w:rsidRPr="005968CD">
        <w:rPr>
          <w:szCs w:val="22"/>
        </w:rPr>
        <w:t>911-only</w:t>
      </w:r>
      <w:r w:rsidR="0035371F" w:rsidRPr="005968CD">
        <w:rPr>
          <w:szCs w:val="22"/>
        </w:rPr>
        <w:t>”</w:t>
      </w:r>
      <w:r w:rsidR="00407566" w:rsidRPr="005968CD">
        <w:rPr>
          <w:szCs w:val="22"/>
        </w:rPr>
        <w:t xml:space="preserve"> </w:t>
      </w:r>
      <w:r w:rsidR="00B740EF" w:rsidRPr="005968CD">
        <w:rPr>
          <w:szCs w:val="22"/>
        </w:rPr>
        <w:t>device</w:t>
      </w:r>
      <w:r w:rsidR="00407566" w:rsidRPr="005968CD">
        <w:rPr>
          <w:szCs w:val="22"/>
        </w:rPr>
        <w:t xml:space="preserve">s, to be programmed with </w:t>
      </w:r>
      <w:r w:rsidR="00E945D0" w:rsidRPr="005968CD">
        <w:rPr>
          <w:szCs w:val="22"/>
        </w:rPr>
        <w:t>the number 123-456-7890</w:t>
      </w:r>
      <w:r w:rsidR="00407566" w:rsidRPr="005968CD">
        <w:rPr>
          <w:szCs w:val="22"/>
        </w:rPr>
        <w:t xml:space="preserve"> </w:t>
      </w:r>
      <w:r w:rsidR="00E945D0" w:rsidRPr="005968CD">
        <w:rPr>
          <w:szCs w:val="22"/>
        </w:rPr>
        <w:t>as the “telephone number</w:t>
      </w:r>
      <w:r w:rsidRPr="005968CD">
        <w:rPr>
          <w:szCs w:val="22"/>
        </w:rPr>
        <w:t>,</w:t>
      </w:r>
      <w:r w:rsidR="00E945D0" w:rsidRPr="005968CD">
        <w:rPr>
          <w:szCs w:val="22"/>
        </w:rPr>
        <w:t xml:space="preserve">” </w:t>
      </w:r>
      <w:r w:rsidRPr="005968CD">
        <w:rPr>
          <w:szCs w:val="22"/>
        </w:rPr>
        <w:t xml:space="preserve">in order </w:t>
      </w:r>
      <w:r w:rsidR="00407566" w:rsidRPr="005968CD">
        <w:rPr>
          <w:szCs w:val="22"/>
        </w:rPr>
        <w:t xml:space="preserve">to alert PSAPs that call-back </w:t>
      </w:r>
      <w:r w:rsidR="009E46F2" w:rsidRPr="005968CD">
        <w:rPr>
          <w:szCs w:val="22"/>
        </w:rPr>
        <w:t xml:space="preserve">features were </w:t>
      </w:r>
      <w:r w:rsidR="00407566" w:rsidRPr="005968CD">
        <w:rPr>
          <w:szCs w:val="22"/>
        </w:rPr>
        <w:t>unavailable</w:t>
      </w:r>
      <w:r w:rsidR="00A971A7" w:rsidRPr="005968CD">
        <w:rPr>
          <w:szCs w:val="22"/>
        </w:rPr>
        <w:t>.</w:t>
      </w:r>
      <w:r w:rsidR="00CD6F43" w:rsidRPr="005968CD">
        <w:rPr>
          <w:rStyle w:val="FootnoteReference"/>
          <w:sz w:val="22"/>
          <w:szCs w:val="22"/>
        </w:rPr>
        <w:footnoteReference w:id="20"/>
      </w:r>
      <w:r w:rsidR="00CD6F43" w:rsidRPr="005968CD">
        <w:rPr>
          <w:szCs w:val="22"/>
        </w:rPr>
        <w:t xml:space="preserve"> </w:t>
      </w:r>
      <w:r w:rsidR="00A971A7" w:rsidRPr="005968CD">
        <w:rPr>
          <w:szCs w:val="22"/>
        </w:rPr>
        <w:t xml:space="preserve"> The Commission also required </w:t>
      </w:r>
      <w:r w:rsidR="00407566" w:rsidRPr="005968CD">
        <w:rPr>
          <w:szCs w:val="22"/>
        </w:rPr>
        <w:t xml:space="preserve">that carriers complete any network programming necessary to deliver </w:t>
      </w:r>
      <w:r w:rsidR="00136540" w:rsidRPr="005968CD">
        <w:rPr>
          <w:szCs w:val="22"/>
        </w:rPr>
        <w:t>this programmed number</w:t>
      </w:r>
      <w:r w:rsidR="00407566" w:rsidRPr="005968CD">
        <w:rPr>
          <w:szCs w:val="22"/>
        </w:rPr>
        <w:t xml:space="preserve"> to PSAPs.</w:t>
      </w:r>
      <w:r w:rsidR="00407566" w:rsidRPr="005968CD">
        <w:rPr>
          <w:rStyle w:val="FootnoteReference"/>
          <w:sz w:val="22"/>
          <w:szCs w:val="22"/>
        </w:rPr>
        <w:footnoteReference w:id="21"/>
      </w:r>
      <w:r w:rsidR="00407566" w:rsidRPr="005968CD">
        <w:rPr>
          <w:szCs w:val="22"/>
        </w:rPr>
        <w:t xml:space="preserve">  Later that year, the Commission clarif</w:t>
      </w:r>
      <w:r w:rsidR="00DA2020" w:rsidRPr="005968CD">
        <w:rPr>
          <w:szCs w:val="22"/>
        </w:rPr>
        <w:t xml:space="preserve">ied </w:t>
      </w:r>
      <w:r w:rsidR="00407566" w:rsidRPr="005968CD">
        <w:rPr>
          <w:szCs w:val="22"/>
        </w:rPr>
        <w:t xml:space="preserve">that its rules requiring carriers to forward all 911 calls to PSAPs </w:t>
      </w:r>
      <w:r w:rsidR="009E46F2" w:rsidRPr="005968CD">
        <w:rPr>
          <w:szCs w:val="22"/>
        </w:rPr>
        <w:t xml:space="preserve">did </w:t>
      </w:r>
      <w:r w:rsidR="00407566" w:rsidRPr="005968CD">
        <w:rPr>
          <w:szCs w:val="22"/>
        </w:rPr>
        <w:t>not preclude “carriers from blocking fraudulent 911 calls from non-service initialized phones pursuant to applicable state and local law enforcement procedures.”</w:t>
      </w:r>
      <w:r w:rsidR="00407566" w:rsidRPr="005968CD">
        <w:rPr>
          <w:rStyle w:val="FootnoteReference"/>
          <w:sz w:val="22"/>
          <w:szCs w:val="22"/>
        </w:rPr>
        <w:footnoteReference w:id="22"/>
      </w:r>
      <w:r w:rsidR="00407566" w:rsidRPr="005968CD">
        <w:rPr>
          <w:szCs w:val="22"/>
        </w:rPr>
        <w:t xml:space="preserve">  The Commission </w:t>
      </w:r>
      <w:r w:rsidR="00B673B1" w:rsidRPr="005968CD">
        <w:rPr>
          <w:szCs w:val="22"/>
        </w:rPr>
        <w:t>added that “[w]here a PSAP has identified a handset that is transmitting fraudulent 911 calls and makes a request to a wireless carrier to block 911 calls from that handset in accordance with applicable state and local law enforcement procedures, the carrier's compliance does not constitute a violation of Section 20.18(b)</w:t>
      </w:r>
      <w:r w:rsidR="00CD3A9D" w:rsidRPr="005968CD">
        <w:rPr>
          <w:szCs w:val="22"/>
        </w:rPr>
        <w:t>.</w:t>
      </w:r>
      <w:r w:rsidR="00B673B1" w:rsidRPr="005968CD">
        <w:rPr>
          <w:szCs w:val="22"/>
        </w:rPr>
        <w:t>”</w:t>
      </w:r>
      <w:r w:rsidR="00407566" w:rsidRPr="005968CD">
        <w:rPr>
          <w:rStyle w:val="FootnoteReference"/>
          <w:sz w:val="22"/>
          <w:szCs w:val="22"/>
        </w:rPr>
        <w:footnoteReference w:id="23"/>
      </w:r>
    </w:p>
    <w:p w14:paraId="5753D465" w14:textId="77777777" w:rsidR="0094346A" w:rsidRPr="005968CD" w:rsidRDefault="00407566" w:rsidP="00412CDD">
      <w:pPr>
        <w:pStyle w:val="ParaNum"/>
        <w:widowControl/>
        <w:rPr>
          <w:szCs w:val="22"/>
        </w:rPr>
      </w:pPr>
      <w:r w:rsidRPr="005968CD">
        <w:rPr>
          <w:szCs w:val="22"/>
        </w:rPr>
        <w:t>In its</w:t>
      </w:r>
      <w:r w:rsidR="00A971A7" w:rsidRPr="005968CD">
        <w:rPr>
          <w:szCs w:val="22"/>
        </w:rPr>
        <w:t xml:space="preserve"> subsequent</w:t>
      </w:r>
      <w:r w:rsidRPr="005968CD">
        <w:rPr>
          <w:szCs w:val="22"/>
        </w:rPr>
        <w:t xml:space="preserve"> </w:t>
      </w:r>
      <w:r w:rsidR="007641E5" w:rsidRPr="005968CD">
        <w:rPr>
          <w:i/>
          <w:szCs w:val="22"/>
        </w:rPr>
        <w:t>E911</w:t>
      </w:r>
      <w:r w:rsidR="002E77D8" w:rsidRPr="005968CD">
        <w:rPr>
          <w:i/>
          <w:szCs w:val="22"/>
        </w:rPr>
        <w:t xml:space="preserve"> Second</w:t>
      </w:r>
      <w:r w:rsidR="007641E5" w:rsidRPr="005968CD">
        <w:rPr>
          <w:i/>
          <w:szCs w:val="22"/>
        </w:rPr>
        <w:t xml:space="preserve"> </w:t>
      </w:r>
      <w:r w:rsidRPr="005968CD">
        <w:rPr>
          <w:i/>
          <w:szCs w:val="22"/>
        </w:rPr>
        <w:t>Memorandum Opinion and Order</w:t>
      </w:r>
      <w:r w:rsidRPr="005968CD">
        <w:rPr>
          <w:szCs w:val="22"/>
        </w:rPr>
        <w:t xml:space="preserve">, the Commission modified its rules </w:t>
      </w:r>
      <w:r w:rsidR="005D6B31" w:rsidRPr="005968CD">
        <w:rPr>
          <w:szCs w:val="22"/>
        </w:rPr>
        <w:t xml:space="preserve">to require </w:t>
      </w:r>
      <w:r w:rsidRPr="005968CD">
        <w:rPr>
          <w:szCs w:val="22"/>
        </w:rPr>
        <w:t xml:space="preserve">that </w:t>
      </w:r>
      <w:r w:rsidR="00DA2020" w:rsidRPr="005968CD">
        <w:rPr>
          <w:szCs w:val="22"/>
        </w:rPr>
        <w:t xml:space="preserve">carrier-donated </w:t>
      </w:r>
      <w:r w:rsidRPr="005968CD">
        <w:rPr>
          <w:szCs w:val="22"/>
        </w:rPr>
        <w:t xml:space="preserve">handsets </w:t>
      </w:r>
      <w:r w:rsidR="00DA2020" w:rsidRPr="005968CD">
        <w:rPr>
          <w:szCs w:val="22"/>
        </w:rPr>
        <w:t xml:space="preserve">and </w:t>
      </w:r>
      <w:r w:rsidRPr="005968CD">
        <w:rPr>
          <w:szCs w:val="22"/>
        </w:rPr>
        <w:t xml:space="preserve">newly manufactured 911-only </w:t>
      </w:r>
      <w:r w:rsidR="00B740EF" w:rsidRPr="005968CD">
        <w:rPr>
          <w:szCs w:val="22"/>
        </w:rPr>
        <w:t>device</w:t>
      </w:r>
      <w:r w:rsidRPr="005968CD">
        <w:rPr>
          <w:szCs w:val="22"/>
        </w:rPr>
        <w:t>s be</w:t>
      </w:r>
      <w:r w:rsidR="00AC4BF8" w:rsidRPr="005968CD">
        <w:rPr>
          <w:szCs w:val="22"/>
        </w:rPr>
        <w:t xml:space="preserve"> programmed with </w:t>
      </w:r>
      <w:r w:rsidR="00EA3340" w:rsidRPr="005968CD">
        <w:rPr>
          <w:szCs w:val="22"/>
        </w:rPr>
        <w:t xml:space="preserve">the </w:t>
      </w:r>
      <w:r w:rsidR="00AC4BF8" w:rsidRPr="005968CD">
        <w:rPr>
          <w:szCs w:val="22"/>
        </w:rPr>
        <w:t>number “911</w:t>
      </w:r>
      <w:r w:rsidR="005D6B31" w:rsidRPr="005968CD">
        <w:rPr>
          <w:szCs w:val="22"/>
        </w:rPr>
        <w:t>,</w:t>
      </w:r>
      <w:r w:rsidR="00AC4BF8" w:rsidRPr="005968CD">
        <w:rPr>
          <w:szCs w:val="22"/>
        </w:rPr>
        <w:t xml:space="preserve">” </w:t>
      </w:r>
      <w:r w:rsidR="00EA3340" w:rsidRPr="005968CD">
        <w:rPr>
          <w:szCs w:val="22"/>
        </w:rPr>
        <w:t xml:space="preserve">followed by </w:t>
      </w:r>
      <w:r w:rsidR="00AC4BF8" w:rsidRPr="005968CD">
        <w:rPr>
          <w:szCs w:val="22"/>
        </w:rPr>
        <w:t xml:space="preserve">seven digits </w:t>
      </w:r>
      <w:r w:rsidR="00DA2020" w:rsidRPr="005968CD">
        <w:rPr>
          <w:szCs w:val="22"/>
        </w:rPr>
        <w:t xml:space="preserve">from </w:t>
      </w:r>
      <w:r w:rsidR="00AC4BF8" w:rsidRPr="005968CD">
        <w:rPr>
          <w:szCs w:val="22"/>
        </w:rPr>
        <w:t>the handset</w:t>
      </w:r>
      <w:r w:rsidR="00207C2A" w:rsidRPr="005968CD">
        <w:rPr>
          <w:szCs w:val="22"/>
        </w:rPr>
        <w:t>’</w:t>
      </w:r>
      <w:r w:rsidR="00AC4BF8" w:rsidRPr="005968CD">
        <w:rPr>
          <w:szCs w:val="22"/>
        </w:rPr>
        <w:t>s unique identifier</w:t>
      </w:r>
      <w:r w:rsidR="00CE2CCD" w:rsidRPr="005968CD">
        <w:rPr>
          <w:szCs w:val="22"/>
        </w:rPr>
        <w:t xml:space="preserve">, such as the Electronic Serial Number (ESN) or International Mobile </w:t>
      </w:r>
      <w:r w:rsidR="00C3380F" w:rsidRPr="005968CD">
        <w:rPr>
          <w:szCs w:val="22"/>
        </w:rPr>
        <w:t>S</w:t>
      </w:r>
      <w:r w:rsidR="00CE2CCD" w:rsidRPr="005968CD">
        <w:rPr>
          <w:szCs w:val="22"/>
        </w:rPr>
        <w:t>tation Equipment Identity (IMEI)</w:t>
      </w:r>
      <w:r w:rsidR="00E528B7" w:rsidRPr="005968CD">
        <w:rPr>
          <w:szCs w:val="22"/>
        </w:rPr>
        <w:t xml:space="preserve"> (911+ESN/IMEI)</w:t>
      </w:r>
      <w:r w:rsidRPr="005968CD">
        <w:rPr>
          <w:szCs w:val="22"/>
        </w:rPr>
        <w:t>.</w:t>
      </w:r>
      <w:r w:rsidRPr="005968CD">
        <w:rPr>
          <w:rStyle w:val="FootnoteReference"/>
          <w:sz w:val="22"/>
          <w:szCs w:val="22"/>
        </w:rPr>
        <w:footnoteReference w:id="24"/>
      </w:r>
      <w:r w:rsidRPr="005968CD">
        <w:rPr>
          <w:szCs w:val="22"/>
        </w:rPr>
        <w:t xml:space="preserve"> </w:t>
      </w:r>
      <w:r w:rsidR="00B673B1" w:rsidRPr="005968CD">
        <w:rPr>
          <w:szCs w:val="22"/>
        </w:rPr>
        <w:t xml:space="preserve"> </w:t>
      </w:r>
      <w:r w:rsidRPr="005968CD">
        <w:rPr>
          <w:szCs w:val="22"/>
        </w:rPr>
        <w:t>The Commission took th</w:t>
      </w:r>
      <w:r w:rsidR="00DA2020" w:rsidRPr="005968CD">
        <w:rPr>
          <w:szCs w:val="22"/>
        </w:rPr>
        <w:t xml:space="preserve">is </w:t>
      </w:r>
      <w:r w:rsidRPr="005968CD">
        <w:rPr>
          <w:szCs w:val="22"/>
        </w:rPr>
        <w:t xml:space="preserve">action to </w:t>
      </w:r>
      <w:r w:rsidR="00CE2CCD" w:rsidRPr="005968CD">
        <w:rPr>
          <w:szCs w:val="22"/>
        </w:rPr>
        <w:t xml:space="preserve">facilitate identification of </w:t>
      </w:r>
      <w:r w:rsidR="0071416B" w:rsidRPr="005968CD">
        <w:rPr>
          <w:szCs w:val="22"/>
        </w:rPr>
        <w:t>individual</w:t>
      </w:r>
      <w:r w:rsidRPr="005968CD">
        <w:rPr>
          <w:szCs w:val="22"/>
        </w:rPr>
        <w:t xml:space="preserve"> NSI </w:t>
      </w:r>
      <w:r w:rsidR="00B740EF" w:rsidRPr="005968CD">
        <w:rPr>
          <w:szCs w:val="22"/>
        </w:rPr>
        <w:t>device</w:t>
      </w:r>
      <w:r w:rsidR="00DA2020" w:rsidRPr="005968CD">
        <w:rPr>
          <w:szCs w:val="22"/>
        </w:rPr>
        <w:t xml:space="preserve">s </w:t>
      </w:r>
      <w:r w:rsidR="00EA3340" w:rsidRPr="005968CD">
        <w:rPr>
          <w:szCs w:val="22"/>
        </w:rPr>
        <w:t xml:space="preserve">used to </w:t>
      </w:r>
      <w:r w:rsidRPr="005968CD">
        <w:rPr>
          <w:szCs w:val="22"/>
        </w:rPr>
        <w:t>mak</w:t>
      </w:r>
      <w:r w:rsidR="00EA3340" w:rsidRPr="005968CD">
        <w:rPr>
          <w:szCs w:val="22"/>
        </w:rPr>
        <w:t>e</w:t>
      </w:r>
      <w:r w:rsidRPr="005968CD">
        <w:rPr>
          <w:szCs w:val="22"/>
        </w:rPr>
        <w:t xml:space="preserve"> </w:t>
      </w:r>
      <w:r w:rsidR="00DA2020" w:rsidRPr="005968CD">
        <w:rPr>
          <w:szCs w:val="22"/>
        </w:rPr>
        <w:t xml:space="preserve">fraudulent or harassing </w:t>
      </w:r>
      <w:r w:rsidRPr="005968CD">
        <w:rPr>
          <w:szCs w:val="22"/>
        </w:rPr>
        <w:t>call</w:t>
      </w:r>
      <w:r w:rsidR="00DA2020" w:rsidRPr="005968CD">
        <w:rPr>
          <w:szCs w:val="22"/>
        </w:rPr>
        <w:t>s</w:t>
      </w:r>
      <w:r w:rsidRPr="005968CD">
        <w:rPr>
          <w:szCs w:val="22"/>
        </w:rPr>
        <w:t xml:space="preserve">, finding it “highly probable” that </w:t>
      </w:r>
      <w:r w:rsidR="00DA2020" w:rsidRPr="005968CD">
        <w:rPr>
          <w:szCs w:val="22"/>
        </w:rPr>
        <w:t xml:space="preserve">this form of identification would enable a PSAP </w:t>
      </w:r>
      <w:r w:rsidRPr="005968CD">
        <w:rPr>
          <w:szCs w:val="22"/>
        </w:rPr>
        <w:t xml:space="preserve">to identify </w:t>
      </w:r>
      <w:r w:rsidR="0071416B" w:rsidRPr="005968CD">
        <w:rPr>
          <w:szCs w:val="22"/>
        </w:rPr>
        <w:t xml:space="preserve">a suspected </w:t>
      </w:r>
      <w:r w:rsidR="00B740EF" w:rsidRPr="005968CD">
        <w:rPr>
          <w:szCs w:val="22"/>
        </w:rPr>
        <w:t>device</w:t>
      </w:r>
      <w:r w:rsidRPr="005968CD">
        <w:rPr>
          <w:szCs w:val="22"/>
        </w:rPr>
        <w:t xml:space="preserve"> and work with carriers and law enforcement “to trace it and block further harassing calls from the device.”</w:t>
      </w:r>
      <w:r w:rsidRPr="005968CD">
        <w:rPr>
          <w:rStyle w:val="FootnoteReference"/>
          <w:sz w:val="22"/>
          <w:szCs w:val="22"/>
        </w:rPr>
        <w:footnoteReference w:id="25"/>
      </w:r>
      <w:r w:rsidRPr="005968CD">
        <w:rPr>
          <w:szCs w:val="22"/>
        </w:rPr>
        <w:t xml:space="preserve">  </w:t>
      </w:r>
      <w:r w:rsidR="00A33C50" w:rsidRPr="005968CD">
        <w:rPr>
          <w:szCs w:val="22"/>
        </w:rPr>
        <w:t xml:space="preserve">The Commission further </w:t>
      </w:r>
      <w:r w:rsidR="0071416B" w:rsidRPr="005968CD">
        <w:rPr>
          <w:szCs w:val="22"/>
        </w:rPr>
        <w:t xml:space="preserve">stated that </w:t>
      </w:r>
      <w:r w:rsidR="00A33C50" w:rsidRPr="005968CD">
        <w:rPr>
          <w:szCs w:val="22"/>
        </w:rPr>
        <w:t>it</w:t>
      </w:r>
      <w:r w:rsidRPr="005968CD">
        <w:rPr>
          <w:szCs w:val="22"/>
        </w:rPr>
        <w:t xml:space="preserve"> </w:t>
      </w:r>
      <w:r w:rsidR="00A33C50" w:rsidRPr="005968CD">
        <w:rPr>
          <w:szCs w:val="22"/>
        </w:rPr>
        <w:t>would</w:t>
      </w:r>
      <w:r w:rsidRPr="005968CD">
        <w:rPr>
          <w:szCs w:val="22"/>
        </w:rPr>
        <w:t xml:space="preserve"> continue monitoring the nature and extent of problems associated with 911 service for NSI </w:t>
      </w:r>
      <w:r w:rsidR="00B740EF" w:rsidRPr="005968CD">
        <w:rPr>
          <w:szCs w:val="22"/>
        </w:rPr>
        <w:t>device</w:t>
      </w:r>
      <w:r w:rsidR="00EA3340" w:rsidRPr="005968CD">
        <w:rPr>
          <w:szCs w:val="22"/>
        </w:rPr>
        <w:t>s</w:t>
      </w:r>
      <w:r w:rsidRPr="005968CD">
        <w:rPr>
          <w:szCs w:val="22"/>
        </w:rPr>
        <w:t>.</w:t>
      </w:r>
      <w:r w:rsidRPr="005968CD">
        <w:rPr>
          <w:rStyle w:val="FootnoteReference"/>
          <w:sz w:val="22"/>
          <w:szCs w:val="22"/>
        </w:rPr>
        <w:footnoteReference w:id="26"/>
      </w:r>
    </w:p>
    <w:p w14:paraId="46081702" w14:textId="77777777" w:rsidR="00C84D10" w:rsidRPr="005968CD" w:rsidRDefault="00C84D10" w:rsidP="005D5297">
      <w:pPr>
        <w:pStyle w:val="Heading2"/>
        <w:rPr>
          <w:szCs w:val="22"/>
        </w:rPr>
      </w:pPr>
      <w:bookmarkStart w:id="55" w:name="_Toc311538996"/>
      <w:bookmarkStart w:id="56" w:name="_Toc315776365"/>
      <w:bookmarkStart w:id="57" w:name="_Toc384818447"/>
      <w:bookmarkStart w:id="58" w:name="_Toc385317614"/>
      <w:bookmarkStart w:id="59" w:name="_Toc385317670"/>
      <w:bookmarkStart w:id="60" w:name="_Toc385317691"/>
      <w:bookmarkStart w:id="61" w:name="_Toc386185615"/>
      <w:bookmarkStart w:id="62" w:name="_Toc386193570"/>
      <w:bookmarkStart w:id="63" w:name="_Toc386449406"/>
      <w:bookmarkStart w:id="64" w:name="_Toc390332832"/>
      <w:bookmarkStart w:id="65" w:name="_Toc403549483"/>
      <w:bookmarkStart w:id="66" w:name="_Toc410743425"/>
      <w:bookmarkStart w:id="67" w:name="_Toc415573206"/>
      <w:r w:rsidRPr="005968CD">
        <w:rPr>
          <w:szCs w:val="22"/>
        </w:rPr>
        <w:t>Notice of Inquiry</w:t>
      </w:r>
      <w:bookmarkEnd w:id="55"/>
      <w:bookmarkEnd w:id="56"/>
      <w:bookmarkEnd w:id="57"/>
      <w:bookmarkEnd w:id="58"/>
      <w:bookmarkEnd w:id="59"/>
      <w:bookmarkEnd w:id="60"/>
      <w:bookmarkEnd w:id="61"/>
      <w:bookmarkEnd w:id="62"/>
      <w:bookmarkEnd w:id="63"/>
      <w:bookmarkEnd w:id="64"/>
      <w:bookmarkEnd w:id="65"/>
      <w:bookmarkEnd w:id="66"/>
      <w:bookmarkEnd w:id="67"/>
    </w:p>
    <w:p w14:paraId="3F678C48" w14:textId="77777777" w:rsidR="00F94E0A" w:rsidRPr="005968CD" w:rsidRDefault="009F2002" w:rsidP="00412CDD">
      <w:pPr>
        <w:pStyle w:val="ParaNum"/>
        <w:widowControl/>
        <w:rPr>
          <w:szCs w:val="22"/>
        </w:rPr>
      </w:pPr>
      <w:r w:rsidRPr="005968CD">
        <w:rPr>
          <w:szCs w:val="22"/>
        </w:rPr>
        <w:t xml:space="preserve">In February </w:t>
      </w:r>
      <w:r w:rsidR="007A2042" w:rsidRPr="005968CD">
        <w:rPr>
          <w:szCs w:val="22"/>
        </w:rPr>
        <w:t xml:space="preserve">2008, </w:t>
      </w:r>
      <w:r w:rsidR="00634247" w:rsidRPr="005968CD">
        <w:rPr>
          <w:szCs w:val="22"/>
        </w:rPr>
        <w:t xml:space="preserve">a coalition of </w:t>
      </w:r>
      <w:r w:rsidR="007A2042" w:rsidRPr="005968CD">
        <w:rPr>
          <w:szCs w:val="22"/>
        </w:rPr>
        <w:t>nine public safety organizations</w:t>
      </w:r>
      <w:r w:rsidR="0019539F" w:rsidRPr="005968CD">
        <w:rPr>
          <w:szCs w:val="22"/>
        </w:rPr>
        <w:t xml:space="preserve">, including </w:t>
      </w:r>
      <w:r w:rsidR="000B4533" w:rsidRPr="005968CD">
        <w:rPr>
          <w:szCs w:val="22"/>
        </w:rPr>
        <w:t>the National Emergency Number Association (</w:t>
      </w:r>
      <w:r w:rsidR="0019539F" w:rsidRPr="005968CD">
        <w:rPr>
          <w:szCs w:val="22"/>
        </w:rPr>
        <w:t>NENA</w:t>
      </w:r>
      <w:r w:rsidR="000B4533" w:rsidRPr="005968CD">
        <w:rPr>
          <w:szCs w:val="22"/>
        </w:rPr>
        <w:t>)</w:t>
      </w:r>
      <w:r w:rsidR="0019539F" w:rsidRPr="005968CD">
        <w:rPr>
          <w:szCs w:val="22"/>
        </w:rPr>
        <w:t xml:space="preserve"> and </w:t>
      </w:r>
      <w:r w:rsidR="000B4533" w:rsidRPr="005968CD">
        <w:rPr>
          <w:szCs w:val="22"/>
        </w:rPr>
        <w:t>the Associati</w:t>
      </w:r>
      <w:r w:rsidR="00E30007" w:rsidRPr="005968CD">
        <w:rPr>
          <w:szCs w:val="22"/>
        </w:rPr>
        <w:t>on of Public-</w:t>
      </w:r>
      <w:r w:rsidR="000B4533" w:rsidRPr="005968CD">
        <w:rPr>
          <w:szCs w:val="22"/>
        </w:rPr>
        <w:t>Safety Communications Officials (</w:t>
      </w:r>
      <w:r w:rsidR="0019539F" w:rsidRPr="005968CD">
        <w:rPr>
          <w:szCs w:val="22"/>
        </w:rPr>
        <w:t>APCO</w:t>
      </w:r>
      <w:r w:rsidR="000B4533" w:rsidRPr="005968CD">
        <w:rPr>
          <w:szCs w:val="22"/>
        </w:rPr>
        <w:t>)</w:t>
      </w:r>
      <w:r w:rsidR="0019539F" w:rsidRPr="005968CD">
        <w:rPr>
          <w:szCs w:val="22"/>
        </w:rPr>
        <w:t>,</w:t>
      </w:r>
      <w:r w:rsidR="007A2042" w:rsidRPr="005968CD">
        <w:rPr>
          <w:szCs w:val="22"/>
        </w:rPr>
        <w:t xml:space="preserve"> and a software development firm</w:t>
      </w:r>
      <w:r w:rsidR="00C336BC" w:rsidRPr="005968CD">
        <w:rPr>
          <w:szCs w:val="22"/>
        </w:rPr>
        <w:t xml:space="preserve"> (Petitioners)</w:t>
      </w:r>
      <w:r w:rsidR="00541A92" w:rsidRPr="005968CD">
        <w:rPr>
          <w:szCs w:val="22"/>
        </w:rPr>
        <w:t>,</w:t>
      </w:r>
      <w:r w:rsidR="007A2042" w:rsidRPr="005968CD">
        <w:rPr>
          <w:szCs w:val="22"/>
        </w:rPr>
        <w:t xml:space="preserve"> filed a petition for notice of inquiry </w:t>
      </w:r>
      <w:r w:rsidR="00CA30C1" w:rsidRPr="005968CD">
        <w:rPr>
          <w:szCs w:val="22"/>
        </w:rPr>
        <w:t xml:space="preserve">(Petition) </w:t>
      </w:r>
      <w:r w:rsidR="007A2042" w:rsidRPr="005968CD">
        <w:rPr>
          <w:szCs w:val="22"/>
        </w:rPr>
        <w:t xml:space="preserve">to address the problem of non-emergency calls placed </w:t>
      </w:r>
      <w:r w:rsidR="00934A41" w:rsidRPr="005968CD">
        <w:rPr>
          <w:szCs w:val="22"/>
        </w:rPr>
        <w:t xml:space="preserve">to 911 </w:t>
      </w:r>
      <w:r w:rsidR="007A2042" w:rsidRPr="005968CD">
        <w:rPr>
          <w:szCs w:val="22"/>
        </w:rPr>
        <w:t xml:space="preserve">by NSI </w:t>
      </w:r>
      <w:r w:rsidR="00B740EF" w:rsidRPr="005968CD">
        <w:rPr>
          <w:szCs w:val="22"/>
        </w:rPr>
        <w:t>device</w:t>
      </w:r>
      <w:r w:rsidR="007A2042" w:rsidRPr="005968CD">
        <w:rPr>
          <w:szCs w:val="22"/>
        </w:rPr>
        <w:t>s.</w:t>
      </w:r>
      <w:r w:rsidR="007A2042" w:rsidRPr="005968CD">
        <w:rPr>
          <w:rStyle w:val="FootnoteReference"/>
          <w:sz w:val="22"/>
          <w:szCs w:val="22"/>
        </w:rPr>
        <w:footnoteReference w:id="27"/>
      </w:r>
      <w:r w:rsidR="007A2042" w:rsidRPr="005968CD">
        <w:rPr>
          <w:szCs w:val="22"/>
        </w:rPr>
        <w:t xml:space="preserve">  </w:t>
      </w:r>
      <w:r w:rsidR="00407566" w:rsidRPr="005968CD">
        <w:rPr>
          <w:szCs w:val="22"/>
        </w:rPr>
        <w:t xml:space="preserve">The </w:t>
      </w:r>
      <w:r w:rsidR="00CA30C1" w:rsidRPr="005968CD">
        <w:rPr>
          <w:szCs w:val="22"/>
        </w:rPr>
        <w:t>Petition</w:t>
      </w:r>
      <w:r w:rsidR="00AF5FDC" w:rsidRPr="005968CD">
        <w:rPr>
          <w:szCs w:val="22"/>
        </w:rPr>
        <w:t xml:space="preserve"> </w:t>
      </w:r>
      <w:r w:rsidR="00444EAD" w:rsidRPr="005968CD">
        <w:rPr>
          <w:szCs w:val="22"/>
        </w:rPr>
        <w:t>contended</w:t>
      </w:r>
      <w:r w:rsidR="00407566" w:rsidRPr="005968CD">
        <w:rPr>
          <w:szCs w:val="22"/>
        </w:rPr>
        <w:t xml:space="preserve"> that </w:t>
      </w:r>
      <w:r w:rsidR="0035371F" w:rsidRPr="005968CD">
        <w:rPr>
          <w:szCs w:val="22"/>
        </w:rPr>
        <w:t xml:space="preserve">while </w:t>
      </w:r>
      <w:r w:rsidR="00407566" w:rsidRPr="005968CD">
        <w:rPr>
          <w:szCs w:val="22"/>
        </w:rPr>
        <w:t xml:space="preserve">the </w:t>
      </w:r>
      <w:r w:rsidR="00A67CB2" w:rsidRPr="005968CD">
        <w:rPr>
          <w:i/>
          <w:szCs w:val="22"/>
        </w:rPr>
        <w:t xml:space="preserve">E911 </w:t>
      </w:r>
      <w:r w:rsidR="00407566" w:rsidRPr="005968CD">
        <w:rPr>
          <w:i/>
          <w:szCs w:val="22"/>
        </w:rPr>
        <w:t>Second Memorandum Opinion and Order</w:t>
      </w:r>
      <w:r w:rsidR="00407566" w:rsidRPr="005968CD">
        <w:rPr>
          <w:szCs w:val="22"/>
        </w:rPr>
        <w:t xml:space="preserve"> achieve</w:t>
      </w:r>
      <w:r w:rsidR="00E805ED" w:rsidRPr="005968CD">
        <w:rPr>
          <w:szCs w:val="22"/>
        </w:rPr>
        <w:t>d</w:t>
      </w:r>
      <w:r w:rsidR="00407566" w:rsidRPr="005968CD">
        <w:rPr>
          <w:szCs w:val="22"/>
        </w:rPr>
        <w:t xml:space="preserve"> “the goal of helping PSAPs identify when 911 calls are from NSI devices</w:t>
      </w:r>
      <w:r w:rsidR="00444EAD" w:rsidRPr="005968CD">
        <w:rPr>
          <w:szCs w:val="22"/>
        </w:rPr>
        <w:t>,”</w:t>
      </w:r>
      <w:r w:rsidR="00407566" w:rsidRPr="005968CD">
        <w:rPr>
          <w:szCs w:val="22"/>
        </w:rPr>
        <w:t xml:space="preserve"> such calls </w:t>
      </w:r>
      <w:r w:rsidR="00444EAD" w:rsidRPr="005968CD">
        <w:rPr>
          <w:szCs w:val="22"/>
        </w:rPr>
        <w:t>“</w:t>
      </w:r>
      <w:r w:rsidR="00407566" w:rsidRPr="005968CD">
        <w:rPr>
          <w:szCs w:val="22"/>
        </w:rPr>
        <w:t>continue to create severe problems for PSAPs</w:t>
      </w:r>
      <w:r w:rsidR="003162FE" w:rsidRPr="005968CD">
        <w:rPr>
          <w:szCs w:val="22"/>
        </w:rPr>
        <w:t>.</w:t>
      </w:r>
      <w:r w:rsidR="00407566" w:rsidRPr="005968CD">
        <w:rPr>
          <w:szCs w:val="22"/>
        </w:rPr>
        <w:t>”</w:t>
      </w:r>
      <w:r w:rsidR="00407566" w:rsidRPr="005968CD">
        <w:rPr>
          <w:rStyle w:val="FootnoteReference"/>
          <w:sz w:val="22"/>
          <w:szCs w:val="22"/>
        </w:rPr>
        <w:footnoteReference w:id="28"/>
      </w:r>
      <w:r w:rsidR="00407566" w:rsidRPr="005968CD">
        <w:rPr>
          <w:szCs w:val="22"/>
        </w:rPr>
        <w:t xml:space="preserve"> </w:t>
      </w:r>
      <w:r w:rsidR="003162FE" w:rsidRPr="005968CD">
        <w:rPr>
          <w:szCs w:val="22"/>
        </w:rPr>
        <w:t xml:space="preserve"> The Petition asserted </w:t>
      </w:r>
      <w:r w:rsidR="009B5223" w:rsidRPr="005968CD">
        <w:rPr>
          <w:szCs w:val="22"/>
        </w:rPr>
        <w:t xml:space="preserve">that </w:t>
      </w:r>
      <w:r w:rsidR="00407566" w:rsidRPr="005968CD">
        <w:rPr>
          <w:szCs w:val="22"/>
        </w:rPr>
        <w:t>only “a very small minority of the 911 calls from NSI devices were made to report actual emergencies</w:t>
      </w:r>
      <w:r w:rsidR="003162FE" w:rsidRPr="005968CD">
        <w:rPr>
          <w:szCs w:val="22"/>
        </w:rPr>
        <w:t>,</w:t>
      </w:r>
      <w:r w:rsidR="00407566" w:rsidRPr="005968CD">
        <w:rPr>
          <w:szCs w:val="22"/>
        </w:rPr>
        <w:t>”</w:t>
      </w:r>
      <w:r w:rsidR="00E30007" w:rsidRPr="005968CD">
        <w:rPr>
          <w:szCs w:val="22"/>
        </w:rPr>
        <w:t xml:space="preserve"> </w:t>
      </w:r>
      <w:r w:rsidR="009B5223" w:rsidRPr="005968CD">
        <w:rPr>
          <w:szCs w:val="22"/>
        </w:rPr>
        <w:t>and</w:t>
      </w:r>
      <w:r w:rsidR="00EB5F15" w:rsidRPr="005968CD">
        <w:rPr>
          <w:szCs w:val="22"/>
        </w:rPr>
        <w:t xml:space="preserve"> </w:t>
      </w:r>
      <w:r w:rsidR="009B5223" w:rsidRPr="005968CD">
        <w:rPr>
          <w:szCs w:val="22"/>
        </w:rPr>
        <w:t xml:space="preserve">that </w:t>
      </w:r>
      <w:r w:rsidR="005D6B31" w:rsidRPr="005968CD">
        <w:rPr>
          <w:szCs w:val="22"/>
        </w:rPr>
        <w:t xml:space="preserve">non-emergency </w:t>
      </w:r>
      <w:r w:rsidR="0035371F" w:rsidRPr="005968CD">
        <w:rPr>
          <w:szCs w:val="22"/>
        </w:rPr>
        <w:t xml:space="preserve">NSI </w:t>
      </w:r>
      <w:r w:rsidR="00407566" w:rsidRPr="005968CD">
        <w:rPr>
          <w:szCs w:val="22"/>
        </w:rPr>
        <w:t>calls “waste the limited and precious resources of the PSAPs and interfere with PSAPs’ ability to answer emergency calls</w:t>
      </w:r>
      <w:r w:rsidR="005D6B31" w:rsidRPr="005968CD">
        <w:rPr>
          <w:szCs w:val="22"/>
        </w:rPr>
        <w:t>,</w:t>
      </w:r>
      <w:r w:rsidR="00407566" w:rsidRPr="005968CD">
        <w:rPr>
          <w:szCs w:val="22"/>
        </w:rPr>
        <w:t xml:space="preserve">” </w:t>
      </w:r>
      <w:r w:rsidR="009B5223" w:rsidRPr="005968CD">
        <w:rPr>
          <w:szCs w:val="22"/>
        </w:rPr>
        <w:t>as do</w:t>
      </w:r>
      <w:r w:rsidR="00EB5F15" w:rsidRPr="005968CD">
        <w:rPr>
          <w:szCs w:val="22"/>
        </w:rPr>
        <w:t xml:space="preserve"> </w:t>
      </w:r>
      <w:r w:rsidR="00541A92" w:rsidRPr="005968CD">
        <w:rPr>
          <w:szCs w:val="22"/>
        </w:rPr>
        <w:t xml:space="preserve">subsequent </w:t>
      </w:r>
      <w:r w:rsidR="00407566" w:rsidRPr="005968CD">
        <w:rPr>
          <w:szCs w:val="22"/>
        </w:rPr>
        <w:t>“efforts to locate or prosecute the callers.”</w:t>
      </w:r>
      <w:r w:rsidR="00407566" w:rsidRPr="005968CD">
        <w:rPr>
          <w:rStyle w:val="FootnoteReference"/>
          <w:sz w:val="22"/>
          <w:szCs w:val="22"/>
        </w:rPr>
        <w:footnoteReference w:id="29"/>
      </w:r>
    </w:p>
    <w:p w14:paraId="027D76DC" w14:textId="77777777" w:rsidR="00F3627F" w:rsidRPr="005968CD" w:rsidRDefault="00CA30C1" w:rsidP="00412CDD">
      <w:pPr>
        <w:pStyle w:val="ParaNum"/>
        <w:widowControl/>
        <w:rPr>
          <w:szCs w:val="22"/>
        </w:rPr>
      </w:pPr>
      <w:r w:rsidRPr="005968CD">
        <w:rPr>
          <w:szCs w:val="22"/>
        </w:rPr>
        <w:t>The Petition</w:t>
      </w:r>
      <w:r w:rsidR="00407566" w:rsidRPr="005968CD">
        <w:rPr>
          <w:szCs w:val="22"/>
        </w:rPr>
        <w:t xml:space="preserve"> also assert</w:t>
      </w:r>
      <w:r w:rsidR="00AF5FDC" w:rsidRPr="005968CD">
        <w:rPr>
          <w:szCs w:val="22"/>
        </w:rPr>
        <w:t>ed</w:t>
      </w:r>
      <w:r w:rsidR="00407566" w:rsidRPr="005968CD">
        <w:rPr>
          <w:szCs w:val="22"/>
        </w:rPr>
        <w:t xml:space="preserve"> that when PSAPs and other authorities requested </w:t>
      </w:r>
      <w:r w:rsidR="0035371F" w:rsidRPr="005968CD">
        <w:rPr>
          <w:szCs w:val="22"/>
        </w:rPr>
        <w:t xml:space="preserve">that </w:t>
      </w:r>
      <w:r w:rsidR="00246E6B" w:rsidRPr="005968CD">
        <w:rPr>
          <w:szCs w:val="22"/>
        </w:rPr>
        <w:t>CMRS providers</w:t>
      </w:r>
      <w:r w:rsidR="00407566" w:rsidRPr="005968CD">
        <w:rPr>
          <w:szCs w:val="22"/>
        </w:rPr>
        <w:t xml:space="preserve"> block harassing 911 calls from NSI devices, </w:t>
      </w:r>
      <w:r w:rsidR="001360E0" w:rsidRPr="005968CD">
        <w:rPr>
          <w:szCs w:val="22"/>
        </w:rPr>
        <w:t>the</w:t>
      </w:r>
      <w:r w:rsidR="0035371F" w:rsidRPr="005968CD">
        <w:rPr>
          <w:szCs w:val="22"/>
        </w:rPr>
        <w:t xml:space="preserve"> providers</w:t>
      </w:r>
      <w:r w:rsidR="00407566" w:rsidRPr="005968CD">
        <w:rPr>
          <w:szCs w:val="22"/>
        </w:rPr>
        <w:t xml:space="preserve"> </w:t>
      </w:r>
      <w:r w:rsidR="006956E5" w:rsidRPr="005968CD">
        <w:rPr>
          <w:szCs w:val="22"/>
        </w:rPr>
        <w:t xml:space="preserve">had </w:t>
      </w:r>
      <w:r w:rsidR="00934A41" w:rsidRPr="005968CD">
        <w:rPr>
          <w:szCs w:val="22"/>
        </w:rPr>
        <w:t>declined</w:t>
      </w:r>
      <w:r w:rsidR="00FA4C81" w:rsidRPr="005968CD">
        <w:rPr>
          <w:szCs w:val="22"/>
        </w:rPr>
        <w:t xml:space="preserve">, </w:t>
      </w:r>
      <w:r w:rsidR="006956E5" w:rsidRPr="005968CD">
        <w:rPr>
          <w:szCs w:val="22"/>
        </w:rPr>
        <w:t xml:space="preserve">citing </w:t>
      </w:r>
      <w:r w:rsidR="00B20786" w:rsidRPr="005968CD">
        <w:rPr>
          <w:szCs w:val="22"/>
        </w:rPr>
        <w:t xml:space="preserve">technical and legal </w:t>
      </w:r>
      <w:r w:rsidR="00407566" w:rsidRPr="005968CD">
        <w:rPr>
          <w:szCs w:val="22"/>
        </w:rPr>
        <w:t xml:space="preserve">concerns </w:t>
      </w:r>
      <w:r w:rsidR="00EB5F15" w:rsidRPr="005968CD">
        <w:rPr>
          <w:szCs w:val="22"/>
        </w:rPr>
        <w:t>related to</w:t>
      </w:r>
      <w:r w:rsidR="00407566" w:rsidRPr="005968CD">
        <w:rPr>
          <w:szCs w:val="22"/>
        </w:rPr>
        <w:t xml:space="preserve"> complying with such requests.</w:t>
      </w:r>
      <w:r w:rsidR="00407566" w:rsidRPr="005968CD">
        <w:rPr>
          <w:rStyle w:val="FootnoteReference"/>
          <w:sz w:val="22"/>
          <w:szCs w:val="22"/>
        </w:rPr>
        <w:footnoteReference w:id="30"/>
      </w:r>
      <w:r w:rsidR="00407566" w:rsidRPr="005968CD">
        <w:rPr>
          <w:szCs w:val="22"/>
        </w:rPr>
        <w:t xml:space="preserve">  Accordingly, </w:t>
      </w:r>
      <w:r w:rsidRPr="005968CD">
        <w:rPr>
          <w:szCs w:val="22"/>
        </w:rPr>
        <w:t>the Petition</w:t>
      </w:r>
      <w:r w:rsidR="00407566" w:rsidRPr="005968CD">
        <w:rPr>
          <w:szCs w:val="22"/>
        </w:rPr>
        <w:t xml:space="preserve"> </w:t>
      </w:r>
      <w:r w:rsidR="00C81055" w:rsidRPr="005968CD">
        <w:rPr>
          <w:szCs w:val="22"/>
        </w:rPr>
        <w:t xml:space="preserve">requested that the Commission </w:t>
      </w:r>
      <w:r w:rsidR="00407566" w:rsidRPr="005968CD">
        <w:rPr>
          <w:szCs w:val="22"/>
        </w:rPr>
        <w:t>“provide further clarification and guidance on this [blocking] option to stop harassing and fraudulent 911 calls from NSI devices.”</w:t>
      </w:r>
      <w:r w:rsidR="00407566" w:rsidRPr="005968CD">
        <w:rPr>
          <w:rStyle w:val="FootnoteReference"/>
          <w:sz w:val="22"/>
          <w:szCs w:val="22"/>
        </w:rPr>
        <w:footnoteReference w:id="31"/>
      </w:r>
      <w:r w:rsidR="00407566" w:rsidRPr="005968CD">
        <w:rPr>
          <w:szCs w:val="22"/>
        </w:rPr>
        <w:t xml:space="preserve">  </w:t>
      </w:r>
      <w:r w:rsidRPr="005968CD">
        <w:rPr>
          <w:szCs w:val="22"/>
        </w:rPr>
        <w:t>The Petition</w:t>
      </w:r>
      <w:r w:rsidR="00407566" w:rsidRPr="005968CD">
        <w:rPr>
          <w:szCs w:val="22"/>
        </w:rPr>
        <w:t xml:space="preserve"> also ask</w:t>
      </w:r>
      <w:r w:rsidR="005D6907" w:rsidRPr="005968CD">
        <w:rPr>
          <w:szCs w:val="22"/>
        </w:rPr>
        <w:t>ed</w:t>
      </w:r>
      <w:r w:rsidR="00407566" w:rsidRPr="005968CD">
        <w:rPr>
          <w:szCs w:val="22"/>
        </w:rPr>
        <w:t xml:space="preserve"> </w:t>
      </w:r>
      <w:r w:rsidR="00C81055" w:rsidRPr="005968CD">
        <w:rPr>
          <w:szCs w:val="22"/>
        </w:rPr>
        <w:t>the Commission</w:t>
      </w:r>
      <w:r w:rsidR="00407566" w:rsidRPr="005968CD">
        <w:rPr>
          <w:szCs w:val="22"/>
        </w:rPr>
        <w:t xml:space="preserve"> to consider other options</w:t>
      </w:r>
      <w:r w:rsidR="005D6B31" w:rsidRPr="005968CD">
        <w:rPr>
          <w:szCs w:val="22"/>
        </w:rPr>
        <w:t xml:space="preserve"> to address </w:t>
      </w:r>
      <w:r w:rsidR="0035371F" w:rsidRPr="005968CD">
        <w:rPr>
          <w:szCs w:val="22"/>
        </w:rPr>
        <w:t xml:space="preserve">fraudulent </w:t>
      </w:r>
      <w:r w:rsidR="005D6B31" w:rsidRPr="005968CD">
        <w:rPr>
          <w:szCs w:val="22"/>
        </w:rPr>
        <w:t>calls from NSI devices</w:t>
      </w:r>
      <w:r w:rsidR="00407566" w:rsidRPr="005968CD">
        <w:rPr>
          <w:szCs w:val="22"/>
        </w:rPr>
        <w:t>, including</w:t>
      </w:r>
      <w:r w:rsidR="005D6B31" w:rsidRPr="005968CD">
        <w:rPr>
          <w:szCs w:val="22"/>
        </w:rPr>
        <w:t xml:space="preserve"> identifying</w:t>
      </w:r>
      <w:r w:rsidR="00407566" w:rsidRPr="005968CD">
        <w:rPr>
          <w:szCs w:val="22"/>
        </w:rPr>
        <w:t xml:space="preserve"> further call-back capabilities for NSI devices, the elimination of call-forwarding requirements for NSI devices, </w:t>
      </w:r>
      <w:r w:rsidR="00C81055" w:rsidRPr="005968CD">
        <w:rPr>
          <w:szCs w:val="22"/>
        </w:rPr>
        <w:t>and/</w:t>
      </w:r>
      <w:r w:rsidR="00407566" w:rsidRPr="005968CD">
        <w:rPr>
          <w:szCs w:val="22"/>
        </w:rPr>
        <w:t xml:space="preserve">or requiring </w:t>
      </w:r>
      <w:r w:rsidR="00246E6B" w:rsidRPr="005968CD">
        <w:rPr>
          <w:szCs w:val="22"/>
        </w:rPr>
        <w:t>CMRS providers</w:t>
      </w:r>
      <w:r w:rsidR="00407566" w:rsidRPr="005968CD">
        <w:rPr>
          <w:szCs w:val="22"/>
        </w:rPr>
        <w:t xml:space="preserve">’ donation programs to provide service-initialized </w:t>
      </w:r>
      <w:r w:rsidR="00B740EF" w:rsidRPr="005968CD">
        <w:rPr>
          <w:szCs w:val="22"/>
        </w:rPr>
        <w:t>device</w:t>
      </w:r>
      <w:r w:rsidR="00407566" w:rsidRPr="005968CD">
        <w:rPr>
          <w:szCs w:val="22"/>
        </w:rPr>
        <w:t>s.</w:t>
      </w:r>
      <w:r w:rsidR="00407566" w:rsidRPr="005968CD">
        <w:rPr>
          <w:rStyle w:val="FootnoteReference"/>
          <w:sz w:val="22"/>
          <w:szCs w:val="22"/>
        </w:rPr>
        <w:footnoteReference w:id="32"/>
      </w:r>
      <w:r w:rsidR="00407566" w:rsidRPr="005968CD">
        <w:rPr>
          <w:szCs w:val="22"/>
        </w:rPr>
        <w:t xml:space="preserve">  In the alternative, </w:t>
      </w:r>
      <w:r w:rsidRPr="005968CD">
        <w:rPr>
          <w:szCs w:val="22"/>
        </w:rPr>
        <w:t>the Petition</w:t>
      </w:r>
      <w:r w:rsidR="00407566" w:rsidRPr="005968CD">
        <w:rPr>
          <w:szCs w:val="22"/>
        </w:rPr>
        <w:t xml:space="preserve"> ask</w:t>
      </w:r>
      <w:r w:rsidR="005D6907" w:rsidRPr="005968CD">
        <w:rPr>
          <w:szCs w:val="22"/>
        </w:rPr>
        <w:t>ed</w:t>
      </w:r>
      <w:r w:rsidR="00407566" w:rsidRPr="005968CD">
        <w:rPr>
          <w:szCs w:val="22"/>
        </w:rPr>
        <w:t xml:space="preserve"> </w:t>
      </w:r>
      <w:r w:rsidR="00C81055" w:rsidRPr="005968CD">
        <w:rPr>
          <w:szCs w:val="22"/>
        </w:rPr>
        <w:t>the Commission</w:t>
      </w:r>
      <w:r w:rsidR="00407566" w:rsidRPr="005968CD">
        <w:rPr>
          <w:szCs w:val="22"/>
        </w:rPr>
        <w:t xml:space="preserve"> to seek comment on other solutions.</w:t>
      </w:r>
      <w:r w:rsidR="00407566" w:rsidRPr="005968CD">
        <w:rPr>
          <w:rStyle w:val="FootnoteReference"/>
          <w:sz w:val="22"/>
          <w:szCs w:val="22"/>
        </w:rPr>
        <w:footnoteReference w:id="33"/>
      </w:r>
    </w:p>
    <w:p w14:paraId="22457B17" w14:textId="77777777" w:rsidR="001F0CD6" w:rsidRPr="005968CD" w:rsidRDefault="009F2002" w:rsidP="00412CDD">
      <w:pPr>
        <w:pStyle w:val="ParaNum"/>
        <w:widowControl/>
        <w:rPr>
          <w:szCs w:val="22"/>
        </w:rPr>
      </w:pPr>
      <w:r w:rsidRPr="005968CD">
        <w:rPr>
          <w:szCs w:val="22"/>
        </w:rPr>
        <w:t>On April</w:t>
      </w:r>
      <w:r w:rsidR="00AF5FDC" w:rsidRPr="005968CD">
        <w:rPr>
          <w:szCs w:val="22"/>
        </w:rPr>
        <w:t xml:space="preserve"> 2008, </w:t>
      </w:r>
      <w:r w:rsidR="00816A32" w:rsidRPr="005968CD">
        <w:rPr>
          <w:szCs w:val="22"/>
        </w:rPr>
        <w:t xml:space="preserve">the Commission </w:t>
      </w:r>
      <w:r w:rsidR="00AF5FDC" w:rsidRPr="005968CD">
        <w:rPr>
          <w:szCs w:val="22"/>
        </w:rPr>
        <w:t xml:space="preserve">granted </w:t>
      </w:r>
      <w:r w:rsidR="00CA30C1" w:rsidRPr="005968CD">
        <w:rPr>
          <w:szCs w:val="22"/>
        </w:rPr>
        <w:t>the</w:t>
      </w:r>
      <w:r w:rsidR="00AF5FDC" w:rsidRPr="005968CD">
        <w:rPr>
          <w:szCs w:val="22"/>
        </w:rPr>
        <w:t xml:space="preserve"> </w:t>
      </w:r>
      <w:r w:rsidR="00CA30C1" w:rsidRPr="005968CD">
        <w:rPr>
          <w:szCs w:val="22"/>
        </w:rPr>
        <w:t>Petition</w:t>
      </w:r>
      <w:r w:rsidR="00AF5FDC" w:rsidRPr="005968CD">
        <w:rPr>
          <w:szCs w:val="22"/>
        </w:rPr>
        <w:t xml:space="preserve"> and</w:t>
      </w:r>
      <w:r w:rsidR="00902DD3" w:rsidRPr="005968CD">
        <w:rPr>
          <w:szCs w:val="22"/>
        </w:rPr>
        <w:t xml:space="preserve"> issued </w:t>
      </w:r>
      <w:r w:rsidR="00463832" w:rsidRPr="005968CD">
        <w:rPr>
          <w:szCs w:val="22"/>
        </w:rPr>
        <w:t xml:space="preserve">a </w:t>
      </w:r>
      <w:r w:rsidR="00D33671" w:rsidRPr="005968CD">
        <w:rPr>
          <w:i/>
          <w:szCs w:val="22"/>
        </w:rPr>
        <w:t>Notice of Inquiry</w:t>
      </w:r>
      <w:r w:rsidR="005D6907" w:rsidRPr="005968CD">
        <w:rPr>
          <w:szCs w:val="22"/>
        </w:rPr>
        <w:t xml:space="preserve"> </w:t>
      </w:r>
      <w:r w:rsidR="00AF5FDC" w:rsidRPr="005968CD">
        <w:rPr>
          <w:szCs w:val="22"/>
        </w:rPr>
        <w:t xml:space="preserve">to enhance </w:t>
      </w:r>
      <w:r w:rsidR="005D6B31" w:rsidRPr="005968CD">
        <w:rPr>
          <w:szCs w:val="22"/>
        </w:rPr>
        <w:t xml:space="preserve">its </w:t>
      </w:r>
      <w:r w:rsidR="00AF5FDC" w:rsidRPr="005968CD">
        <w:rPr>
          <w:szCs w:val="22"/>
        </w:rPr>
        <w:t xml:space="preserve">understanding of the </w:t>
      </w:r>
      <w:r w:rsidR="001D2D97" w:rsidRPr="005968CD">
        <w:rPr>
          <w:szCs w:val="22"/>
        </w:rPr>
        <w:t xml:space="preserve">problems created by </w:t>
      </w:r>
      <w:r w:rsidR="00AF5FDC" w:rsidRPr="005968CD">
        <w:rPr>
          <w:szCs w:val="22"/>
        </w:rPr>
        <w:t xml:space="preserve">non-emergency 911 calls made from NSI </w:t>
      </w:r>
      <w:r w:rsidR="00B740EF" w:rsidRPr="005968CD">
        <w:rPr>
          <w:szCs w:val="22"/>
        </w:rPr>
        <w:t>device</w:t>
      </w:r>
      <w:r w:rsidR="00AF5FDC" w:rsidRPr="005968CD">
        <w:rPr>
          <w:szCs w:val="22"/>
        </w:rPr>
        <w:t>s and to explore potential solutions.</w:t>
      </w:r>
      <w:r w:rsidR="00AF5FDC" w:rsidRPr="005968CD">
        <w:rPr>
          <w:rStyle w:val="FootnoteReference"/>
          <w:sz w:val="22"/>
          <w:szCs w:val="22"/>
        </w:rPr>
        <w:footnoteReference w:id="34"/>
      </w:r>
      <w:r w:rsidR="00AF5FDC" w:rsidRPr="005968CD">
        <w:rPr>
          <w:szCs w:val="22"/>
        </w:rPr>
        <w:t xml:space="preserve"> </w:t>
      </w:r>
      <w:r w:rsidR="005D6907" w:rsidRPr="005968CD">
        <w:rPr>
          <w:szCs w:val="22"/>
        </w:rPr>
        <w:t xml:space="preserve"> </w:t>
      </w:r>
      <w:r w:rsidR="00F3627F" w:rsidRPr="005968CD">
        <w:rPr>
          <w:szCs w:val="22"/>
        </w:rPr>
        <w:t xml:space="preserve">In the </w:t>
      </w:r>
      <w:r w:rsidR="00D33671" w:rsidRPr="005968CD">
        <w:rPr>
          <w:i/>
          <w:szCs w:val="22"/>
        </w:rPr>
        <w:t>Notice of Inquiry</w:t>
      </w:r>
      <w:r w:rsidR="00F3627F" w:rsidRPr="005968CD">
        <w:rPr>
          <w:szCs w:val="22"/>
        </w:rPr>
        <w:t xml:space="preserve">, the Commission requested comment on three specific areas: (1) the nature and extent of fraudulent 911 calls made from NSI devices; (2) concerns with blocking NSI </w:t>
      </w:r>
      <w:r w:rsidR="00B740EF" w:rsidRPr="005968CD">
        <w:rPr>
          <w:szCs w:val="22"/>
        </w:rPr>
        <w:t>device</w:t>
      </w:r>
      <w:r w:rsidR="00F3627F" w:rsidRPr="005968CD">
        <w:rPr>
          <w:szCs w:val="22"/>
        </w:rPr>
        <w:t xml:space="preserve">s used to make fraudulent 911 calls, and suggestions for making this a more viable option for </w:t>
      </w:r>
      <w:r w:rsidR="00246E6B" w:rsidRPr="005968CD">
        <w:rPr>
          <w:szCs w:val="22"/>
        </w:rPr>
        <w:t>CMRS providers</w:t>
      </w:r>
      <w:r w:rsidR="00F3627F" w:rsidRPr="005968CD">
        <w:rPr>
          <w:szCs w:val="22"/>
        </w:rPr>
        <w:t xml:space="preserve">; and (3) other possible solutions to the problem of fraudulent 911 calls from NSI </w:t>
      </w:r>
      <w:r w:rsidR="00406C97" w:rsidRPr="005968CD">
        <w:rPr>
          <w:szCs w:val="22"/>
        </w:rPr>
        <w:t>devices</w:t>
      </w:r>
      <w:r w:rsidR="00F3627F" w:rsidRPr="005968CD">
        <w:rPr>
          <w:szCs w:val="22"/>
        </w:rPr>
        <w:t>.</w:t>
      </w:r>
      <w:r w:rsidR="00F3627F" w:rsidRPr="005968CD">
        <w:rPr>
          <w:rStyle w:val="FootnoteReference"/>
          <w:sz w:val="22"/>
          <w:szCs w:val="22"/>
        </w:rPr>
        <w:footnoteReference w:id="35"/>
      </w:r>
      <w:r w:rsidR="00F3627F" w:rsidRPr="005968CD">
        <w:rPr>
          <w:szCs w:val="22"/>
        </w:rPr>
        <w:t xml:space="preserve"> </w:t>
      </w:r>
      <w:r w:rsidR="007C5947" w:rsidRPr="005968CD">
        <w:rPr>
          <w:szCs w:val="22"/>
        </w:rPr>
        <w:t xml:space="preserve"> In response to the </w:t>
      </w:r>
      <w:r w:rsidR="007C5947" w:rsidRPr="005968CD">
        <w:rPr>
          <w:i/>
          <w:szCs w:val="22"/>
        </w:rPr>
        <w:t>Notice of Inquiry</w:t>
      </w:r>
      <w:r w:rsidR="007C5947" w:rsidRPr="005968CD">
        <w:rPr>
          <w:szCs w:val="22"/>
        </w:rPr>
        <w:t>, t</w:t>
      </w:r>
      <w:r w:rsidR="007C5947" w:rsidRPr="005968CD">
        <w:rPr>
          <w:rStyle w:val="ParaNumChar"/>
          <w:szCs w:val="22"/>
        </w:rPr>
        <w:t xml:space="preserve">he Commission received comments from public safety representatives at state, county, and local government levels in twenty-one states, as well as comments from </w:t>
      </w:r>
      <w:r w:rsidR="00246E6B" w:rsidRPr="005968CD">
        <w:rPr>
          <w:rStyle w:val="ParaNumChar"/>
          <w:szCs w:val="22"/>
        </w:rPr>
        <w:t>CMRS providers</w:t>
      </w:r>
      <w:r w:rsidR="007C5947" w:rsidRPr="005968CD">
        <w:rPr>
          <w:rStyle w:val="ParaNumChar"/>
          <w:szCs w:val="22"/>
        </w:rPr>
        <w:t>, third-party vendors, and others.</w:t>
      </w:r>
      <w:r w:rsidR="007C5947" w:rsidRPr="005968CD">
        <w:rPr>
          <w:rStyle w:val="FootnoteReference"/>
          <w:color w:val="000000"/>
          <w:sz w:val="22"/>
          <w:szCs w:val="22"/>
        </w:rPr>
        <w:footnoteReference w:id="36"/>
      </w:r>
    </w:p>
    <w:p w14:paraId="5E8FD86E" w14:textId="77777777" w:rsidR="007C5947" w:rsidRPr="005968CD" w:rsidRDefault="007C5947" w:rsidP="007C5947">
      <w:pPr>
        <w:pStyle w:val="Heading2"/>
        <w:rPr>
          <w:szCs w:val="22"/>
        </w:rPr>
      </w:pPr>
      <w:bookmarkStart w:id="68" w:name="_Toc390332833"/>
      <w:bookmarkStart w:id="69" w:name="_Toc403549484"/>
      <w:bookmarkStart w:id="70" w:name="_Toc410743426"/>
      <w:bookmarkStart w:id="71" w:name="_Toc415573207"/>
      <w:r w:rsidRPr="005968CD">
        <w:rPr>
          <w:szCs w:val="22"/>
        </w:rPr>
        <w:t>2013 P</w:t>
      </w:r>
      <w:r w:rsidR="00463832" w:rsidRPr="005968CD">
        <w:rPr>
          <w:szCs w:val="22"/>
        </w:rPr>
        <w:t>ublic Notice</w:t>
      </w:r>
      <w:bookmarkEnd w:id="68"/>
      <w:bookmarkEnd w:id="69"/>
      <w:bookmarkEnd w:id="70"/>
      <w:bookmarkEnd w:id="71"/>
    </w:p>
    <w:p w14:paraId="4F6ED1D8" w14:textId="77777777" w:rsidR="001F0CD6" w:rsidRPr="005968CD" w:rsidRDefault="007B7F8F" w:rsidP="00C46CCA">
      <w:pPr>
        <w:pStyle w:val="ParaNum"/>
        <w:widowControl/>
        <w:rPr>
          <w:szCs w:val="22"/>
        </w:rPr>
      </w:pPr>
      <w:r w:rsidRPr="005968CD">
        <w:rPr>
          <w:szCs w:val="22"/>
        </w:rPr>
        <w:t xml:space="preserve">In </w:t>
      </w:r>
      <w:r w:rsidR="00476880" w:rsidRPr="005968CD">
        <w:rPr>
          <w:szCs w:val="22"/>
        </w:rPr>
        <w:t>their</w:t>
      </w:r>
      <w:r w:rsidRPr="005968CD">
        <w:rPr>
          <w:szCs w:val="22"/>
        </w:rPr>
        <w:t xml:space="preserve"> comments to the </w:t>
      </w:r>
      <w:r w:rsidRPr="005968CD">
        <w:rPr>
          <w:i/>
          <w:szCs w:val="22"/>
        </w:rPr>
        <w:t>Notice of Inquiry</w:t>
      </w:r>
      <w:r w:rsidRPr="005968CD">
        <w:rPr>
          <w:szCs w:val="22"/>
        </w:rPr>
        <w:t xml:space="preserve">, </w:t>
      </w:r>
      <w:r w:rsidR="00476880" w:rsidRPr="005968CD">
        <w:rPr>
          <w:szCs w:val="22"/>
        </w:rPr>
        <w:t xml:space="preserve">the Petitioners, including </w:t>
      </w:r>
      <w:r w:rsidRPr="005968CD">
        <w:rPr>
          <w:szCs w:val="22"/>
        </w:rPr>
        <w:t>NENA</w:t>
      </w:r>
      <w:r w:rsidR="00476880" w:rsidRPr="005968CD">
        <w:rPr>
          <w:szCs w:val="22"/>
        </w:rPr>
        <w:t>,</w:t>
      </w:r>
      <w:r w:rsidRPr="005968CD">
        <w:rPr>
          <w:szCs w:val="22"/>
        </w:rPr>
        <w:t xml:space="preserve"> argued </w:t>
      </w:r>
      <w:r w:rsidR="00AE7141" w:rsidRPr="005968CD">
        <w:rPr>
          <w:szCs w:val="22"/>
        </w:rPr>
        <w:t xml:space="preserve">in favor of retaining the NSI call-forwarding requirement on the grounds </w:t>
      </w:r>
      <w:r w:rsidRPr="005968CD">
        <w:rPr>
          <w:szCs w:val="22"/>
        </w:rPr>
        <w:t>that the public rel</w:t>
      </w:r>
      <w:r w:rsidR="00AE7141" w:rsidRPr="005968CD">
        <w:rPr>
          <w:szCs w:val="22"/>
        </w:rPr>
        <w:t>ied</w:t>
      </w:r>
      <w:r w:rsidRPr="005968CD">
        <w:rPr>
          <w:szCs w:val="22"/>
        </w:rPr>
        <w:t xml:space="preserve"> on the fact that NSI devices are 911-capable and that a significant number of calls to 911 from NSI </w:t>
      </w:r>
      <w:r w:rsidR="00B740EF" w:rsidRPr="005968CD">
        <w:rPr>
          <w:szCs w:val="22"/>
        </w:rPr>
        <w:t>device</w:t>
      </w:r>
      <w:r w:rsidRPr="005968CD">
        <w:rPr>
          <w:szCs w:val="22"/>
        </w:rPr>
        <w:t>s are legitimate.</w:t>
      </w:r>
      <w:r w:rsidRPr="005968CD">
        <w:rPr>
          <w:rStyle w:val="FootnoteReference"/>
          <w:sz w:val="22"/>
          <w:szCs w:val="22"/>
        </w:rPr>
        <w:footnoteReference w:id="37"/>
      </w:r>
      <w:r w:rsidRPr="005968CD">
        <w:rPr>
          <w:szCs w:val="22"/>
        </w:rPr>
        <w:t xml:space="preserve">  However, in an </w:t>
      </w:r>
      <w:r w:rsidRPr="005968CD">
        <w:rPr>
          <w:i/>
          <w:szCs w:val="22"/>
        </w:rPr>
        <w:t xml:space="preserve">ex parte </w:t>
      </w:r>
      <w:r w:rsidRPr="005968CD">
        <w:rPr>
          <w:szCs w:val="22"/>
        </w:rPr>
        <w:t>filing submitted in 2013, NENA revised its view</w:t>
      </w:r>
      <w:r w:rsidR="00AE7141" w:rsidRPr="005968CD">
        <w:rPr>
          <w:szCs w:val="22"/>
        </w:rPr>
        <w:t>,</w:t>
      </w:r>
      <w:r w:rsidRPr="005968CD">
        <w:rPr>
          <w:szCs w:val="22"/>
        </w:rPr>
        <w:t xml:space="preserve"> stating that it now supported eliminating the 911 call-forwarding requirement, and that there </w:t>
      </w:r>
      <w:r w:rsidR="00E30007" w:rsidRPr="005968CD">
        <w:rPr>
          <w:szCs w:val="22"/>
        </w:rPr>
        <w:t>was now</w:t>
      </w:r>
      <w:r w:rsidRPr="005968CD">
        <w:rPr>
          <w:szCs w:val="22"/>
        </w:rPr>
        <w:t xml:space="preserve"> a “consensus view” that requiring 911 call forwarding from NSI devices does more harm than good.</w:t>
      </w:r>
      <w:r w:rsidRPr="005968CD">
        <w:rPr>
          <w:rStyle w:val="FootnoteReference"/>
          <w:sz w:val="22"/>
          <w:szCs w:val="22"/>
        </w:rPr>
        <w:footnoteReference w:id="38"/>
      </w:r>
      <w:r w:rsidR="00B613C4" w:rsidRPr="005968CD">
        <w:rPr>
          <w:szCs w:val="22"/>
        </w:rPr>
        <w:t xml:space="preserve">  </w:t>
      </w:r>
      <w:r w:rsidRPr="005968CD">
        <w:rPr>
          <w:szCs w:val="22"/>
        </w:rPr>
        <w:t>I</w:t>
      </w:r>
      <w:r w:rsidR="00EE4255" w:rsidRPr="005968CD">
        <w:rPr>
          <w:szCs w:val="22"/>
        </w:rPr>
        <w:t xml:space="preserve">n light of NENA’s revised view on the necessity of retaining </w:t>
      </w:r>
      <w:r w:rsidR="007B6DCA" w:rsidRPr="005968CD">
        <w:rPr>
          <w:szCs w:val="22"/>
        </w:rPr>
        <w:t xml:space="preserve">the 911 </w:t>
      </w:r>
      <w:r w:rsidR="0004397E" w:rsidRPr="005968CD">
        <w:rPr>
          <w:szCs w:val="22"/>
        </w:rPr>
        <w:t>call-forwarding requirement</w:t>
      </w:r>
      <w:r w:rsidR="00EE4255" w:rsidRPr="005968CD">
        <w:rPr>
          <w:szCs w:val="22"/>
        </w:rPr>
        <w:t xml:space="preserve">, as well as the passage of time since the filing of comments in response to the </w:t>
      </w:r>
      <w:r w:rsidR="00EE4255" w:rsidRPr="005968CD">
        <w:rPr>
          <w:i/>
          <w:szCs w:val="22"/>
        </w:rPr>
        <w:t>Notice of Inquiry</w:t>
      </w:r>
      <w:r w:rsidR="00EE4255" w:rsidRPr="005968CD">
        <w:rPr>
          <w:szCs w:val="22"/>
        </w:rPr>
        <w:t xml:space="preserve">, </w:t>
      </w:r>
      <w:r w:rsidR="007268CE" w:rsidRPr="005968CD">
        <w:rPr>
          <w:szCs w:val="22"/>
        </w:rPr>
        <w:t xml:space="preserve">in March </w:t>
      </w:r>
      <w:r w:rsidR="00EE4255" w:rsidRPr="005968CD">
        <w:rPr>
          <w:szCs w:val="22"/>
        </w:rPr>
        <w:t xml:space="preserve">2013 the Commission released </w:t>
      </w:r>
      <w:r w:rsidR="00E30007" w:rsidRPr="005968CD">
        <w:rPr>
          <w:szCs w:val="22"/>
        </w:rPr>
        <w:t>a public notice</w:t>
      </w:r>
      <w:r w:rsidR="00EE4255" w:rsidRPr="005968CD">
        <w:rPr>
          <w:szCs w:val="22"/>
        </w:rPr>
        <w:t xml:space="preserve"> seeking to refresh the record</w:t>
      </w:r>
      <w:r w:rsidR="007268CE" w:rsidRPr="005968CD">
        <w:rPr>
          <w:szCs w:val="22"/>
        </w:rPr>
        <w:t xml:space="preserve"> on the foregoing issues</w:t>
      </w:r>
      <w:r w:rsidR="00E30007" w:rsidRPr="005968CD">
        <w:rPr>
          <w:szCs w:val="22"/>
        </w:rPr>
        <w:t xml:space="preserve"> (</w:t>
      </w:r>
      <w:r w:rsidR="00E30007" w:rsidRPr="005968CD">
        <w:rPr>
          <w:i/>
          <w:szCs w:val="22"/>
        </w:rPr>
        <w:t>2013 PN</w:t>
      </w:r>
      <w:r w:rsidR="00E30007" w:rsidRPr="005968CD">
        <w:rPr>
          <w:szCs w:val="22"/>
        </w:rPr>
        <w:t>)</w:t>
      </w:r>
      <w:r w:rsidR="00EE4255" w:rsidRPr="005968CD">
        <w:rPr>
          <w:szCs w:val="22"/>
        </w:rPr>
        <w:t>.</w:t>
      </w:r>
      <w:r w:rsidR="00EE4255" w:rsidRPr="005968CD">
        <w:rPr>
          <w:rStyle w:val="FootnoteReference"/>
          <w:sz w:val="22"/>
          <w:szCs w:val="22"/>
        </w:rPr>
        <w:footnoteReference w:id="39"/>
      </w:r>
      <w:r w:rsidR="00C47A3F" w:rsidRPr="005968CD">
        <w:rPr>
          <w:szCs w:val="22"/>
        </w:rPr>
        <w:t xml:space="preserve">  </w:t>
      </w:r>
      <w:r w:rsidR="00F31920" w:rsidRPr="005968CD">
        <w:rPr>
          <w:szCs w:val="22"/>
        </w:rPr>
        <w:t xml:space="preserve">In response to the </w:t>
      </w:r>
      <w:r w:rsidR="00F31920" w:rsidRPr="005968CD">
        <w:rPr>
          <w:i/>
          <w:szCs w:val="22"/>
        </w:rPr>
        <w:t>2013 PN</w:t>
      </w:r>
      <w:r w:rsidR="00F31920" w:rsidRPr="005968CD">
        <w:rPr>
          <w:szCs w:val="22"/>
        </w:rPr>
        <w:t xml:space="preserve">, the Commission received </w:t>
      </w:r>
      <w:r w:rsidR="00C0163A" w:rsidRPr="005968CD">
        <w:rPr>
          <w:szCs w:val="22"/>
        </w:rPr>
        <w:t>six</w:t>
      </w:r>
      <w:r w:rsidR="00F31920" w:rsidRPr="005968CD">
        <w:rPr>
          <w:szCs w:val="22"/>
        </w:rPr>
        <w:t xml:space="preserve"> comments from public safety entities and one </w:t>
      </w:r>
      <w:r w:rsidR="00C0163A" w:rsidRPr="005968CD">
        <w:rPr>
          <w:szCs w:val="22"/>
        </w:rPr>
        <w:t xml:space="preserve">from a </w:t>
      </w:r>
      <w:r w:rsidR="00F31920" w:rsidRPr="005968CD">
        <w:rPr>
          <w:szCs w:val="22"/>
        </w:rPr>
        <w:t>CMRS provider.</w:t>
      </w:r>
      <w:r w:rsidR="00C0163A" w:rsidRPr="005968CD">
        <w:rPr>
          <w:rStyle w:val="FootnoteReference"/>
          <w:sz w:val="22"/>
          <w:szCs w:val="22"/>
        </w:rPr>
        <w:footnoteReference w:id="40"/>
      </w:r>
    </w:p>
    <w:p w14:paraId="69753C29" w14:textId="77777777" w:rsidR="00F94E0A" w:rsidRPr="005968CD" w:rsidRDefault="00511E9E" w:rsidP="001A6974">
      <w:pPr>
        <w:pStyle w:val="Heading1"/>
        <w:widowControl/>
        <w:rPr>
          <w:rFonts w:ascii="Times New Roman" w:hAnsi="Times New Roman"/>
          <w:szCs w:val="22"/>
        </w:rPr>
      </w:pPr>
      <w:bookmarkStart w:id="72" w:name="_Toc225137850"/>
      <w:bookmarkStart w:id="73" w:name="_Toc225138552"/>
      <w:bookmarkStart w:id="74" w:name="_Toc225139736"/>
      <w:bookmarkStart w:id="75" w:name="_Toc225139984"/>
      <w:bookmarkStart w:id="76" w:name="_Toc225140080"/>
      <w:bookmarkStart w:id="77" w:name="_Toc225140824"/>
      <w:bookmarkStart w:id="78" w:name="_Toc225141015"/>
      <w:bookmarkStart w:id="79" w:name="_Toc225141176"/>
      <w:bookmarkStart w:id="80" w:name="_Toc225141452"/>
      <w:bookmarkStart w:id="81" w:name="_Toc311538998"/>
      <w:bookmarkStart w:id="82" w:name="_Toc315776367"/>
      <w:bookmarkStart w:id="83" w:name="_Toc384818449"/>
      <w:bookmarkStart w:id="84" w:name="_Toc385317616"/>
      <w:bookmarkStart w:id="85" w:name="_Toc385317672"/>
      <w:bookmarkStart w:id="86" w:name="_Toc385317693"/>
      <w:bookmarkStart w:id="87" w:name="_Toc386185617"/>
      <w:bookmarkStart w:id="88" w:name="_Toc386193572"/>
      <w:bookmarkStart w:id="89" w:name="_Toc386449408"/>
      <w:bookmarkStart w:id="90" w:name="_Toc390332834"/>
      <w:bookmarkStart w:id="91" w:name="_Toc403549485"/>
      <w:bookmarkStart w:id="92" w:name="_Toc410743427"/>
      <w:bookmarkStart w:id="93" w:name="_Toc415573208"/>
      <w:r w:rsidRPr="005968CD">
        <w:rPr>
          <w:rFonts w:ascii="Times New Roman" w:hAnsi="Times New Roman"/>
          <w:szCs w:val="22"/>
        </w:rPr>
        <w:t>DISCUSSION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191D1ED" w14:textId="0D800644" w:rsidR="00FE33C9" w:rsidRPr="005968CD" w:rsidRDefault="005A43A6" w:rsidP="00C46CCA">
      <w:pPr>
        <w:pStyle w:val="ParaNum"/>
        <w:widowControl/>
        <w:rPr>
          <w:szCs w:val="22"/>
        </w:rPr>
      </w:pPr>
      <w:r w:rsidRPr="005968CD">
        <w:rPr>
          <w:szCs w:val="22"/>
        </w:rPr>
        <w:t xml:space="preserve">The record received </w:t>
      </w:r>
      <w:r w:rsidR="008C28CB" w:rsidRPr="005968CD">
        <w:rPr>
          <w:szCs w:val="22"/>
        </w:rPr>
        <w:t>in response to</w:t>
      </w:r>
      <w:r w:rsidRPr="005968CD">
        <w:rPr>
          <w:szCs w:val="22"/>
        </w:rPr>
        <w:t xml:space="preserve"> the </w:t>
      </w:r>
      <w:r w:rsidR="00D33671" w:rsidRPr="005968CD">
        <w:rPr>
          <w:i/>
          <w:szCs w:val="22"/>
        </w:rPr>
        <w:t>Notice of Inquiry</w:t>
      </w:r>
      <w:r w:rsidRPr="005968CD">
        <w:rPr>
          <w:szCs w:val="22"/>
        </w:rPr>
        <w:t xml:space="preserve"> </w:t>
      </w:r>
      <w:r w:rsidR="007B6DCA" w:rsidRPr="005968CD">
        <w:rPr>
          <w:szCs w:val="22"/>
        </w:rPr>
        <w:t xml:space="preserve">and </w:t>
      </w:r>
      <w:r w:rsidR="007B6DCA" w:rsidRPr="005968CD">
        <w:rPr>
          <w:i/>
          <w:szCs w:val="22"/>
        </w:rPr>
        <w:t xml:space="preserve">2013 PN </w:t>
      </w:r>
      <w:r w:rsidR="00EE59A7" w:rsidRPr="005968CD">
        <w:rPr>
          <w:szCs w:val="22"/>
        </w:rPr>
        <w:t xml:space="preserve">has helped to </w:t>
      </w:r>
      <w:r w:rsidR="006956E5" w:rsidRPr="005968CD">
        <w:rPr>
          <w:szCs w:val="22"/>
        </w:rPr>
        <w:t xml:space="preserve">further </w:t>
      </w:r>
      <w:r w:rsidRPr="005968CD">
        <w:rPr>
          <w:szCs w:val="22"/>
        </w:rPr>
        <w:t>define and document the problem</w:t>
      </w:r>
      <w:r w:rsidR="00A33C50" w:rsidRPr="005968CD">
        <w:rPr>
          <w:szCs w:val="22"/>
        </w:rPr>
        <w:t xml:space="preserve"> of </w:t>
      </w:r>
      <w:r w:rsidR="00E959BB" w:rsidRPr="005968CD">
        <w:rPr>
          <w:szCs w:val="22"/>
        </w:rPr>
        <w:t xml:space="preserve">fraudulent </w:t>
      </w:r>
      <w:r w:rsidR="00AE7141" w:rsidRPr="005968CD">
        <w:rPr>
          <w:szCs w:val="22"/>
        </w:rPr>
        <w:t xml:space="preserve">911 </w:t>
      </w:r>
      <w:r w:rsidR="00A33C50" w:rsidRPr="005968CD">
        <w:rPr>
          <w:szCs w:val="22"/>
        </w:rPr>
        <w:t xml:space="preserve">calls placed by </w:t>
      </w:r>
      <w:r w:rsidR="00E959BB" w:rsidRPr="005968CD">
        <w:rPr>
          <w:szCs w:val="22"/>
        </w:rPr>
        <w:t xml:space="preserve">users of </w:t>
      </w:r>
      <w:r w:rsidR="00A33C50" w:rsidRPr="005968CD">
        <w:rPr>
          <w:szCs w:val="22"/>
        </w:rPr>
        <w:t>NSI devices</w:t>
      </w:r>
      <w:r w:rsidR="00EE59A7" w:rsidRPr="005968CD">
        <w:rPr>
          <w:szCs w:val="22"/>
        </w:rPr>
        <w:t xml:space="preserve">.  </w:t>
      </w:r>
      <w:r w:rsidR="00E90960" w:rsidRPr="005968CD">
        <w:rPr>
          <w:szCs w:val="22"/>
        </w:rPr>
        <w:t>As discussed be</w:t>
      </w:r>
      <w:r w:rsidR="00365AC6" w:rsidRPr="005968CD">
        <w:rPr>
          <w:szCs w:val="22"/>
        </w:rPr>
        <w:t>low, the problem</w:t>
      </w:r>
      <w:r w:rsidR="001F0CD6" w:rsidRPr="005968CD">
        <w:rPr>
          <w:szCs w:val="22"/>
        </w:rPr>
        <w:t xml:space="preserve"> </w:t>
      </w:r>
      <w:r w:rsidR="00365AC6" w:rsidRPr="005968CD">
        <w:rPr>
          <w:szCs w:val="22"/>
        </w:rPr>
        <w:t xml:space="preserve">remains acute.  </w:t>
      </w:r>
      <w:r w:rsidR="00392EB8" w:rsidRPr="005968CD">
        <w:rPr>
          <w:szCs w:val="22"/>
        </w:rPr>
        <w:t>At the same time</w:t>
      </w:r>
      <w:r w:rsidR="00C2016B" w:rsidRPr="005968CD">
        <w:rPr>
          <w:szCs w:val="22"/>
        </w:rPr>
        <w:t xml:space="preserve">, </w:t>
      </w:r>
      <w:r w:rsidR="001737B0" w:rsidRPr="005968CD">
        <w:rPr>
          <w:szCs w:val="22"/>
        </w:rPr>
        <w:t xml:space="preserve">the evolution of the record </w:t>
      </w:r>
      <w:r w:rsidR="00392EB8" w:rsidRPr="005968CD">
        <w:rPr>
          <w:szCs w:val="22"/>
        </w:rPr>
        <w:t>and changes in wireless service offerings</w:t>
      </w:r>
      <w:r w:rsidR="008C6FC1" w:rsidRPr="005968CD">
        <w:rPr>
          <w:szCs w:val="22"/>
        </w:rPr>
        <w:t>, includ</w:t>
      </w:r>
      <w:r w:rsidR="00D04405" w:rsidRPr="005968CD">
        <w:rPr>
          <w:szCs w:val="22"/>
        </w:rPr>
        <w:t xml:space="preserve">ing the </w:t>
      </w:r>
      <w:r w:rsidR="00CA50BC">
        <w:rPr>
          <w:szCs w:val="22"/>
        </w:rPr>
        <w:t xml:space="preserve">expanded </w:t>
      </w:r>
      <w:r w:rsidR="00D04405" w:rsidRPr="005968CD">
        <w:rPr>
          <w:szCs w:val="22"/>
        </w:rPr>
        <w:t>availability of low-cost wireless service</w:t>
      </w:r>
      <w:r w:rsidR="00CA50BC">
        <w:rPr>
          <w:szCs w:val="22"/>
        </w:rPr>
        <w:t>s,</w:t>
      </w:r>
      <w:r w:rsidR="00392EB8" w:rsidRPr="005968CD">
        <w:rPr>
          <w:szCs w:val="22"/>
        </w:rPr>
        <w:t xml:space="preserve"> </w:t>
      </w:r>
      <w:r w:rsidR="001737B0" w:rsidRPr="005968CD">
        <w:rPr>
          <w:szCs w:val="22"/>
        </w:rPr>
        <w:t xml:space="preserve">suggest there </w:t>
      </w:r>
      <w:r w:rsidR="00AA56D7" w:rsidRPr="005968CD">
        <w:rPr>
          <w:szCs w:val="22"/>
        </w:rPr>
        <w:t>is</w:t>
      </w:r>
      <w:r w:rsidR="001737B0" w:rsidRPr="005968CD">
        <w:rPr>
          <w:szCs w:val="22"/>
        </w:rPr>
        <w:t xml:space="preserve"> now </w:t>
      </w:r>
      <w:r w:rsidR="00E90960" w:rsidRPr="005968CD">
        <w:rPr>
          <w:szCs w:val="22"/>
        </w:rPr>
        <w:t xml:space="preserve">significantly </w:t>
      </w:r>
      <w:r w:rsidR="001737B0" w:rsidRPr="005968CD">
        <w:rPr>
          <w:szCs w:val="22"/>
        </w:rPr>
        <w:t xml:space="preserve">less need for </w:t>
      </w:r>
      <w:r w:rsidR="00E90960" w:rsidRPr="005968CD">
        <w:rPr>
          <w:szCs w:val="22"/>
        </w:rPr>
        <w:t xml:space="preserve">the NSI </w:t>
      </w:r>
      <w:r w:rsidR="00392EB8" w:rsidRPr="005968CD">
        <w:rPr>
          <w:szCs w:val="22"/>
        </w:rPr>
        <w:t>r</w:t>
      </w:r>
      <w:r w:rsidR="00463832" w:rsidRPr="005968CD">
        <w:rPr>
          <w:szCs w:val="22"/>
        </w:rPr>
        <w:t>ule</w:t>
      </w:r>
      <w:r w:rsidR="00392EB8" w:rsidRPr="005968CD">
        <w:rPr>
          <w:szCs w:val="22"/>
        </w:rPr>
        <w:t xml:space="preserve"> </w:t>
      </w:r>
      <w:r w:rsidR="00E90960" w:rsidRPr="005968CD">
        <w:rPr>
          <w:szCs w:val="22"/>
        </w:rPr>
        <w:t>then when it was adopted in 1996</w:t>
      </w:r>
      <w:r w:rsidR="00C2016B" w:rsidRPr="005968CD">
        <w:rPr>
          <w:szCs w:val="22"/>
        </w:rPr>
        <w:t xml:space="preserve">.  </w:t>
      </w:r>
      <w:r w:rsidR="00EE59A7" w:rsidRPr="005968CD">
        <w:rPr>
          <w:szCs w:val="22"/>
        </w:rPr>
        <w:t>Accordingly, i</w:t>
      </w:r>
      <w:r w:rsidR="00387842" w:rsidRPr="005968CD">
        <w:rPr>
          <w:szCs w:val="22"/>
        </w:rPr>
        <w:t>n this</w:t>
      </w:r>
      <w:r w:rsidR="00740473" w:rsidRPr="005968CD">
        <w:rPr>
          <w:szCs w:val="22"/>
        </w:rPr>
        <w:t xml:space="preserve"> </w:t>
      </w:r>
      <w:r w:rsidR="007B6DCA" w:rsidRPr="005968CD">
        <w:rPr>
          <w:szCs w:val="22"/>
        </w:rPr>
        <w:t>NPRM</w:t>
      </w:r>
      <w:r w:rsidR="00740473" w:rsidRPr="005968CD">
        <w:rPr>
          <w:szCs w:val="22"/>
        </w:rPr>
        <w:t xml:space="preserve"> we </w:t>
      </w:r>
      <w:r w:rsidR="00453D9F" w:rsidRPr="005968CD">
        <w:rPr>
          <w:szCs w:val="22"/>
        </w:rPr>
        <w:t>propose</w:t>
      </w:r>
      <w:r w:rsidR="00AA56D7" w:rsidRPr="005968CD">
        <w:rPr>
          <w:szCs w:val="22"/>
        </w:rPr>
        <w:t xml:space="preserve"> to </w:t>
      </w:r>
      <w:r w:rsidR="00463832" w:rsidRPr="005968CD">
        <w:rPr>
          <w:szCs w:val="22"/>
        </w:rPr>
        <w:t xml:space="preserve">sunset the NSI </w:t>
      </w:r>
      <w:r w:rsidR="00AA56D7" w:rsidRPr="005968CD">
        <w:rPr>
          <w:szCs w:val="22"/>
        </w:rPr>
        <w:t xml:space="preserve">rule </w:t>
      </w:r>
      <w:r w:rsidR="00463832" w:rsidRPr="005968CD">
        <w:rPr>
          <w:szCs w:val="22"/>
        </w:rPr>
        <w:t xml:space="preserve">after a </w:t>
      </w:r>
      <w:r w:rsidR="00A97658">
        <w:rPr>
          <w:szCs w:val="22"/>
        </w:rPr>
        <w:t>six-month</w:t>
      </w:r>
      <w:r w:rsidR="00463832" w:rsidRPr="005968CD">
        <w:rPr>
          <w:szCs w:val="22"/>
        </w:rPr>
        <w:t xml:space="preserve"> transition and outreach period.  During the transition period, we would partner with industry and public interest organizations to educate consumers about the </w:t>
      </w:r>
      <w:r w:rsidR="00AE7141" w:rsidRPr="005968CD">
        <w:rPr>
          <w:szCs w:val="22"/>
        </w:rPr>
        <w:t xml:space="preserve">transition and the availability of alternative means to </w:t>
      </w:r>
      <w:r w:rsidR="00463832" w:rsidRPr="005968CD">
        <w:rPr>
          <w:szCs w:val="22"/>
        </w:rPr>
        <w:t>call 911</w:t>
      </w:r>
      <w:r w:rsidR="00453D9F" w:rsidRPr="005968CD">
        <w:rPr>
          <w:szCs w:val="22"/>
        </w:rPr>
        <w:t xml:space="preserve">.  </w:t>
      </w:r>
      <w:r w:rsidR="00C33E9D" w:rsidRPr="005968CD">
        <w:rPr>
          <w:szCs w:val="22"/>
        </w:rPr>
        <w:t>We seek comment on this proposal i</w:t>
      </w:r>
      <w:r w:rsidR="00463832" w:rsidRPr="005968CD">
        <w:rPr>
          <w:szCs w:val="22"/>
        </w:rPr>
        <w:t>n the discussion below</w:t>
      </w:r>
      <w:r w:rsidR="00FD6261" w:rsidRPr="005968CD">
        <w:rPr>
          <w:szCs w:val="22"/>
        </w:rPr>
        <w:t>.  We also</w:t>
      </w:r>
      <w:r w:rsidR="00463832" w:rsidRPr="005968CD">
        <w:rPr>
          <w:szCs w:val="22"/>
        </w:rPr>
        <w:t xml:space="preserve"> </w:t>
      </w:r>
      <w:r w:rsidR="0004397E" w:rsidRPr="005968CD">
        <w:rPr>
          <w:szCs w:val="22"/>
        </w:rPr>
        <w:t xml:space="preserve">seek </w:t>
      </w:r>
      <w:r w:rsidR="00827CE8" w:rsidRPr="005968CD">
        <w:rPr>
          <w:szCs w:val="22"/>
        </w:rPr>
        <w:t xml:space="preserve">comment </w:t>
      </w:r>
      <w:r w:rsidR="001D2D97" w:rsidRPr="005968CD">
        <w:rPr>
          <w:szCs w:val="22"/>
        </w:rPr>
        <w:t xml:space="preserve">on </w:t>
      </w:r>
      <w:r w:rsidR="00E959BB" w:rsidRPr="005968CD">
        <w:rPr>
          <w:szCs w:val="22"/>
        </w:rPr>
        <w:t xml:space="preserve">the </w:t>
      </w:r>
      <w:r w:rsidR="006956E5" w:rsidRPr="005968CD">
        <w:rPr>
          <w:szCs w:val="22"/>
        </w:rPr>
        <w:t xml:space="preserve">relative </w:t>
      </w:r>
      <w:r w:rsidR="00E959BB" w:rsidRPr="005968CD">
        <w:rPr>
          <w:szCs w:val="22"/>
        </w:rPr>
        <w:t xml:space="preserve">costs and benefits of </w:t>
      </w:r>
      <w:r w:rsidR="00453D9F" w:rsidRPr="005968CD">
        <w:rPr>
          <w:szCs w:val="22"/>
        </w:rPr>
        <w:t>other</w:t>
      </w:r>
      <w:r w:rsidR="006956E5" w:rsidRPr="005968CD">
        <w:rPr>
          <w:szCs w:val="22"/>
        </w:rPr>
        <w:t xml:space="preserve"> </w:t>
      </w:r>
      <w:r w:rsidR="001D2D97" w:rsidRPr="005968CD">
        <w:rPr>
          <w:szCs w:val="22"/>
        </w:rPr>
        <w:t xml:space="preserve">potential </w:t>
      </w:r>
      <w:r w:rsidR="006956E5" w:rsidRPr="005968CD">
        <w:rPr>
          <w:szCs w:val="22"/>
        </w:rPr>
        <w:t xml:space="preserve">approaches and </w:t>
      </w:r>
      <w:r w:rsidR="001D2D97" w:rsidRPr="005968CD">
        <w:rPr>
          <w:szCs w:val="22"/>
        </w:rPr>
        <w:t>so</w:t>
      </w:r>
      <w:r w:rsidR="00852A1C" w:rsidRPr="005968CD">
        <w:rPr>
          <w:szCs w:val="22"/>
        </w:rPr>
        <w:t>lutions</w:t>
      </w:r>
      <w:r w:rsidR="00827CE8" w:rsidRPr="005968CD">
        <w:rPr>
          <w:szCs w:val="22"/>
        </w:rPr>
        <w:t xml:space="preserve"> to the problem</w:t>
      </w:r>
      <w:r w:rsidR="00365AC6" w:rsidRPr="005968CD">
        <w:rPr>
          <w:szCs w:val="22"/>
        </w:rPr>
        <w:t xml:space="preserve">, </w:t>
      </w:r>
      <w:r w:rsidR="00C2016B" w:rsidRPr="005968CD">
        <w:rPr>
          <w:szCs w:val="22"/>
        </w:rPr>
        <w:t>including</w:t>
      </w:r>
      <w:r w:rsidR="00365AC6" w:rsidRPr="005968CD">
        <w:rPr>
          <w:szCs w:val="22"/>
        </w:rPr>
        <w:t xml:space="preserve"> blocking calls from NSI devices</w:t>
      </w:r>
      <w:r w:rsidR="00407566" w:rsidRPr="005968CD">
        <w:rPr>
          <w:szCs w:val="22"/>
        </w:rPr>
        <w:t>.</w:t>
      </w:r>
      <w:r w:rsidR="00E03454" w:rsidRPr="005968CD">
        <w:rPr>
          <w:szCs w:val="22"/>
        </w:rPr>
        <w:t xml:space="preserve"> </w:t>
      </w:r>
    </w:p>
    <w:p w14:paraId="622F538D" w14:textId="77777777" w:rsidR="00593229" w:rsidRPr="005968CD" w:rsidRDefault="00B10E6B" w:rsidP="00593229">
      <w:pPr>
        <w:pStyle w:val="Heading2"/>
        <w:rPr>
          <w:szCs w:val="22"/>
        </w:rPr>
      </w:pPr>
      <w:bookmarkStart w:id="94" w:name="_Toc390332835"/>
      <w:bookmarkStart w:id="95" w:name="_Toc403549486"/>
      <w:bookmarkStart w:id="96" w:name="_Toc410743428"/>
      <w:bookmarkStart w:id="97" w:name="_Toc415573209"/>
      <w:r w:rsidRPr="005968CD">
        <w:rPr>
          <w:szCs w:val="22"/>
        </w:rPr>
        <w:t>Public Policy Analysis and Comparative Benefits</w:t>
      </w:r>
      <w:bookmarkEnd w:id="94"/>
      <w:bookmarkEnd w:id="95"/>
      <w:bookmarkEnd w:id="96"/>
      <w:bookmarkEnd w:id="97"/>
    </w:p>
    <w:p w14:paraId="4CA53BFD" w14:textId="77777777" w:rsidR="001C1E36" w:rsidRPr="005968CD" w:rsidRDefault="009212C1">
      <w:pPr>
        <w:pStyle w:val="Heading3"/>
        <w:rPr>
          <w:szCs w:val="22"/>
        </w:rPr>
      </w:pPr>
      <w:bookmarkStart w:id="98" w:name="_Toc390332836"/>
      <w:bookmarkStart w:id="99" w:name="_Toc403549487"/>
      <w:bookmarkStart w:id="100" w:name="_Toc410743429"/>
      <w:bookmarkStart w:id="101" w:name="_Toc415573210"/>
      <w:r w:rsidRPr="005968CD">
        <w:rPr>
          <w:szCs w:val="22"/>
        </w:rPr>
        <w:t xml:space="preserve">The Extent of Fraudulent 911 Calls from NSI </w:t>
      </w:r>
      <w:r w:rsidR="00B740EF" w:rsidRPr="005968CD">
        <w:rPr>
          <w:szCs w:val="22"/>
        </w:rPr>
        <w:t>Device</w:t>
      </w:r>
      <w:r w:rsidRPr="005968CD">
        <w:rPr>
          <w:szCs w:val="22"/>
        </w:rPr>
        <w:t xml:space="preserve">s and </w:t>
      </w:r>
      <w:r w:rsidR="00E82EEB" w:rsidRPr="005968CD">
        <w:rPr>
          <w:szCs w:val="22"/>
        </w:rPr>
        <w:t xml:space="preserve">Associated </w:t>
      </w:r>
      <w:r w:rsidRPr="005968CD">
        <w:rPr>
          <w:szCs w:val="22"/>
        </w:rPr>
        <w:t xml:space="preserve">Costs </w:t>
      </w:r>
      <w:r w:rsidR="00E82EEB" w:rsidRPr="005968CD">
        <w:rPr>
          <w:szCs w:val="22"/>
        </w:rPr>
        <w:t xml:space="preserve">to </w:t>
      </w:r>
      <w:r w:rsidRPr="005968CD">
        <w:rPr>
          <w:szCs w:val="22"/>
        </w:rPr>
        <w:t>Public Safety</w:t>
      </w:r>
      <w:bookmarkEnd w:id="98"/>
      <w:bookmarkEnd w:id="99"/>
      <w:bookmarkEnd w:id="100"/>
      <w:bookmarkEnd w:id="101"/>
    </w:p>
    <w:p w14:paraId="79FB24BC" w14:textId="77777777" w:rsidR="001C1E36" w:rsidRPr="005968CD" w:rsidRDefault="005E7E96" w:rsidP="00C46CCA">
      <w:pPr>
        <w:pStyle w:val="ParaNum"/>
        <w:widowControl/>
        <w:rPr>
          <w:szCs w:val="22"/>
        </w:rPr>
      </w:pPr>
      <w:r w:rsidRPr="005968CD">
        <w:rPr>
          <w:szCs w:val="22"/>
        </w:rPr>
        <w:t xml:space="preserve">The record to date shows that fraudulent 911 calls </w:t>
      </w:r>
      <w:r w:rsidR="00580D49" w:rsidRPr="005968CD">
        <w:rPr>
          <w:szCs w:val="22"/>
        </w:rPr>
        <w:t xml:space="preserve">from NSI devices </w:t>
      </w:r>
      <w:r w:rsidRPr="005968CD">
        <w:rPr>
          <w:szCs w:val="22"/>
        </w:rPr>
        <w:t>continue to pose a major problem for PSAPs</w:t>
      </w:r>
      <w:r w:rsidR="00580D49" w:rsidRPr="005968CD">
        <w:rPr>
          <w:szCs w:val="22"/>
        </w:rPr>
        <w:t xml:space="preserve">, imposing </w:t>
      </w:r>
      <w:r w:rsidR="00E82EEB" w:rsidRPr="005968CD">
        <w:rPr>
          <w:szCs w:val="22"/>
        </w:rPr>
        <w:t xml:space="preserve">substantial </w:t>
      </w:r>
      <w:r w:rsidR="00580D49" w:rsidRPr="005968CD">
        <w:rPr>
          <w:szCs w:val="22"/>
        </w:rPr>
        <w:t xml:space="preserve">costs </w:t>
      </w:r>
      <w:r w:rsidR="00E82EEB" w:rsidRPr="005968CD">
        <w:rPr>
          <w:szCs w:val="22"/>
        </w:rPr>
        <w:t xml:space="preserve">while </w:t>
      </w:r>
      <w:r w:rsidR="00580D49" w:rsidRPr="005968CD">
        <w:rPr>
          <w:szCs w:val="22"/>
        </w:rPr>
        <w:t>reducing their ability to respond to legitimate 911 calls</w:t>
      </w:r>
      <w:r w:rsidRPr="005968CD">
        <w:rPr>
          <w:szCs w:val="22"/>
        </w:rPr>
        <w:t>.</w:t>
      </w:r>
      <w:r w:rsidR="007D0EE3" w:rsidRPr="005968CD">
        <w:rPr>
          <w:szCs w:val="22"/>
        </w:rPr>
        <w:t xml:space="preserve">  In t</w:t>
      </w:r>
      <w:r w:rsidR="00E90960" w:rsidRPr="005968CD">
        <w:rPr>
          <w:szCs w:val="22"/>
        </w:rPr>
        <w:t>he</w:t>
      </w:r>
      <w:r w:rsidR="003A4182" w:rsidRPr="005968CD">
        <w:rPr>
          <w:szCs w:val="22"/>
        </w:rPr>
        <w:t xml:space="preserve"> </w:t>
      </w:r>
      <w:r w:rsidR="00D33671" w:rsidRPr="005968CD">
        <w:rPr>
          <w:i/>
          <w:szCs w:val="22"/>
        </w:rPr>
        <w:t>Notice of Inquiry</w:t>
      </w:r>
      <w:r w:rsidR="00580D49" w:rsidRPr="005968CD">
        <w:rPr>
          <w:szCs w:val="22"/>
        </w:rPr>
        <w:t xml:space="preserve"> in 2008</w:t>
      </w:r>
      <w:r w:rsidR="007D0EE3" w:rsidRPr="005968CD">
        <w:rPr>
          <w:szCs w:val="22"/>
        </w:rPr>
        <w:t>, the Commission</w:t>
      </w:r>
      <w:r w:rsidR="00FD6261" w:rsidRPr="005968CD">
        <w:rPr>
          <w:szCs w:val="22"/>
        </w:rPr>
        <w:t xml:space="preserve"> cited</w:t>
      </w:r>
      <w:r w:rsidR="007D0EE3" w:rsidRPr="005968CD">
        <w:rPr>
          <w:szCs w:val="22"/>
        </w:rPr>
        <w:t xml:space="preserve"> </w:t>
      </w:r>
      <w:r w:rsidR="00BA19E7" w:rsidRPr="005968CD">
        <w:rPr>
          <w:szCs w:val="22"/>
        </w:rPr>
        <w:t>data</w:t>
      </w:r>
      <w:r w:rsidR="00902DD3" w:rsidRPr="005968CD">
        <w:rPr>
          <w:szCs w:val="22"/>
        </w:rPr>
        <w:t xml:space="preserve"> </w:t>
      </w:r>
      <w:r w:rsidR="00FD6261" w:rsidRPr="005968CD">
        <w:rPr>
          <w:szCs w:val="22"/>
        </w:rPr>
        <w:t xml:space="preserve">from the Petitioners, </w:t>
      </w:r>
      <w:r w:rsidR="00BA19E7" w:rsidRPr="005968CD">
        <w:rPr>
          <w:szCs w:val="22"/>
        </w:rPr>
        <w:t xml:space="preserve">generated in late 2006 from </w:t>
      </w:r>
      <w:r w:rsidR="00996CEA" w:rsidRPr="005968CD">
        <w:rPr>
          <w:szCs w:val="22"/>
        </w:rPr>
        <w:t>jurisdictions in</w:t>
      </w:r>
      <w:r w:rsidR="00BA19E7" w:rsidRPr="005968CD">
        <w:rPr>
          <w:szCs w:val="22"/>
        </w:rPr>
        <w:t xml:space="preserve"> four states</w:t>
      </w:r>
      <w:r w:rsidR="00FD6261" w:rsidRPr="005968CD">
        <w:rPr>
          <w:szCs w:val="22"/>
        </w:rPr>
        <w:t>,</w:t>
      </w:r>
      <w:r w:rsidR="00407566" w:rsidRPr="005968CD">
        <w:rPr>
          <w:szCs w:val="22"/>
        </w:rPr>
        <w:t xml:space="preserve"> </w:t>
      </w:r>
      <w:r w:rsidR="00FD6261" w:rsidRPr="005968CD">
        <w:rPr>
          <w:szCs w:val="22"/>
        </w:rPr>
        <w:t>showing</w:t>
      </w:r>
      <w:r w:rsidR="00F3237F" w:rsidRPr="005968CD">
        <w:rPr>
          <w:szCs w:val="22"/>
        </w:rPr>
        <w:t xml:space="preserve"> that between 3.5% and less than 1% of</w:t>
      </w:r>
      <w:r w:rsidR="009D111E" w:rsidRPr="005968CD">
        <w:rPr>
          <w:szCs w:val="22"/>
        </w:rPr>
        <w:t xml:space="preserve"> 911 calls placed by NSI </w:t>
      </w:r>
      <w:r w:rsidR="00B740EF" w:rsidRPr="005968CD">
        <w:rPr>
          <w:szCs w:val="22"/>
        </w:rPr>
        <w:t>device</w:t>
      </w:r>
      <w:r w:rsidR="009D111E" w:rsidRPr="005968CD">
        <w:rPr>
          <w:szCs w:val="22"/>
        </w:rPr>
        <w:t xml:space="preserve">s </w:t>
      </w:r>
      <w:r w:rsidR="00F3237F" w:rsidRPr="005968CD">
        <w:rPr>
          <w:szCs w:val="22"/>
        </w:rPr>
        <w:t>were legitimate calls relating to actual emergencies.</w:t>
      </w:r>
      <w:r w:rsidR="00F3237F" w:rsidRPr="005968CD">
        <w:rPr>
          <w:rStyle w:val="FootnoteReference"/>
          <w:sz w:val="22"/>
          <w:szCs w:val="22"/>
        </w:rPr>
        <w:footnoteReference w:id="41"/>
      </w:r>
      <w:r w:rsidR="00F3237F" w:rsidRPr="005968CD">
        <w:rPr>
          <w:szCs w:val="22"/>
        </w:rPr>
        <w:t xml:space="preserve">  </w:t>
      </w:r>
      <w:r w:rsidR="00613590" w:rsidRPr="005968CD">
        <w:rPr>
          <w:szCs w:val="22"/>
        </w:rPr>
        <w:t xml:space="preserve">The </w:t>
      </w:r>
      <w:r w:rsidR="00D33671" w:rsidRPr="005968CD">
        <w:rPr>
          <w:i/>
          <w:szCs w:val="22"/>
        </w:rPr>
        <w:t>Notice of Inquiry</w:t>
      </w:r>
      <w:r w:rsidR="00613590" w:rsidRPr="005968CD">
        <w:rPr>
          <w:szCs w:val="22"/>
        </w:rPr>
        <w:t xml:space="preserve"> </w:t>
      </w:r>
      <w:r w:rsidR="004E2BFF" w:rsidRPr="005968CD">
        <w:rPr>
          <w:szCs w:val="22"/>
        </w:rPr>
        <w:t>asked</w:t>
      </w:r>
      <w:r w:rsidR="00407566" w:rsidRPr="005968CD">
        <w:rPr>
          <w:szCs w:val="22"/>
        </w:rPr>
        <w:t xml:space="preserve"> comment</w:t>
      </w:r>
      <w:r w:rsidR="006956E5" w:rsidRPr="005968CD">
        <w:rPr>
          <w:szCs w:val="22"/>
        </w:rPr>
        <w:t>ers</w:t>
      </w:r>
      <w:r w:rsidR="00407566" w:rsidRPr="005968CD">
        <w:rPr>
          <w:szCs w:val="22"/>
        </w:rPr>
        <w:t xml:space="preserve"> to provide more recent and expansive </w:t>
      </w:r>
      <w:r w:rsidR="00EA3340" w:rsidRPr="005968CD">
        <w:rPr>
          <w:szCs w:val="22"/>
        </w:rPr>
        <w:t xml:space="preserve">data </w:t>
      </w:r>
      <w:r w:rsidR="00407566" w:rsidRPr="005968CD">
        <w:rPr>
          <w:szCs w:val="22"/>
        </w:rPr>
        <w:t>f</w:t>
      </w:r>
      <w:r w:rsidR="00EA3340" w:rsidRPr="005968CD">
        <w:rPr>
          <w:szCs w:val="22"/>
        </w:rPr>
        <w:t xml:space="preserve">rom </w:t>
      </w:r>
      <w:r w:rsidR="00407566" w:rsidRPr="005968CD">
        <w:rPr>
          <w:szCs w:val="22"/>
        </w:rPr>
        <w:t>the same and other jurisdictions</w:t>
      </w:r>
      <w:r w:rsidR="00DC6B8C" w:rsidRPr="005968CD">
        <w:rPr>
          <w:szCs w:val="22"/>
        </w:rPr>
        <w:t>, and</w:t>
      </w:r>
      <w:r w:rsidR="00407566" w:rsidRPr="005968CD">
        <w:rPr>
          <w:szCs w:val="22"/>
        </w:rPr>
        <w:t xml:space="preserve"> also welcome</w:t>
      </w:r>
      <w:r w:rsidR="004E2BFF" w:rsidRPr="005968CD">
        <w:rPr>
          <w:szCs w:val="22"/>
        </w:rPr>
        <w:t>d</w:t>
      </w:r>
      <w:r w:rsidR="00407566" w:rsidRPr="005968CD">
        <w:rPr>
          <w:szCs w:val="22"/>
        </w:rPr>
        <w:t xml:space="preserve"> further evidence</w:t>
      </w:r>
      <w:r w:rsidR="003F4062" w:rsidRPr="005968CD">
        <w:rPr>
          <w:szCs w:val="22"/>
        </w:rPr>
        <w:t xml:space="preserve"> illustrating the extent of the problem</w:t>
      </w:r>
      <w:r w:rsidR="00407566" w:rsidRPr="005968CD">
        <w:rPr>
          <w:szCs w:val="22"/>
        </w:rPr>
        <w:t xml:space="preserve">, </w:t>
      </w:r>
      <w:r w:rsidR="00191707" w:rsidRPr="005968CD">
        <w:rPr>
          <w:szCs w:val="22"/>
        </w:rPr>
        <w:t xml:space="preserve">such as </w:t>
      </w:r>
      <w:r w:rsidR="00407566" w:rsidRPr="005968CD">
        <w:rPr>
          <w:szCs w:val="22"/>
        </w:rPr>
        <w:t>statements from knowledgeable parties</w:t>
      </w:r>
      <w:r w:rsidR="00191707" w:rsidRPr="005968CD">
        <w:rPr>
          <w:szCs w:val="22"/>
        </w:rPr>
        <w:t xml:space="preserve"> and</w:t>
      </w:r>
      <w:r w:rsidR="00407566" w:rsidRPr="005968CD">
        <w:rPr>
          <w:szCs w:val="22"/>
        </w:rPr>
        <w:t xml:space="preserve"> media reports.</w:t>
      </w:r>
      <w:r w:rsidR="004E2BFF" w:rsidRPr="005968CD">
        <w:rPr>
          <w:rStyle w:val="FootnoteReference"/>
          <w:sz w:val="22"/>
          <w:szCs w:val="22"/>
        </w:rPr>
        <w:footnoteReference w:id="42"/>
      </w:r>
      <w:r w:rsidR="007D0EE3" w:rsidRPr="005968CD">
        <w:rPr>
          <w:szCs w:val="22"/>
        </w:rPr>
        <w:t xml:space="preserve">  </w:t>
      </w:r>
      <w:r w:rsidR="00017748" w:rsidRPr="005968CD">
        <w:rPr>
          <w:szCs w:val="22"/>
        </w:rPr>
        <w:t xml:space="preserve">In response, </w:t>
      </w:r>
      <w:r w:rsidR="00EA3D69" w:rsidRPr="005968CD">
        <w:rPr>
          <w:rStyle w:val="ParaNumChar"/>
          <w:szCs w:val="22"/>
        </w:rPr>
        <w:t xml:space="preserve">public safety commenters </w:t>
      </w:r>
      <w:r w:rsidR="00DC6203" w:rsidRPr="005968CD">
        <w:rPr>
          <w:rStyle w:val="ParaNumChar"/>
          <w:szCs w:val="22"/>
        </w:rPr>
        <w:t xml:space="preserve">provided additional evidence </w:t>
      </w:r>
      <w:r w:rsidR="00EA3D69" w:rsidRPr="005968CD">
        <w:rPr>
          <w:rStyle w:val="ParaNumChar"/>
          <w:szCs w:val="22"/>
        </w:rPr>
        <w:t xml:space="preserve">that </w:t>
      </w:r>
      <w:r w:rsidR="004F33E9" w:rsidRPr="005968CD">
        <w:rPr>
          <w:rStyle w:val="ParaNumChar"/>
          <w:szCs w:val="22"/>
        </w:rPr>
        <w:t xml:space="preserve">the </w:t>
      </w:r>
      <w:r w:rsidR="009939FC" w:rsidRPr="005968CD">
        <w:rPr>
          <w:rStyle w:val="ParaNumChar"/>
          <w:szCs w:val="22"/>
        </w:rPr>
        <w:t xml:space="preserve">vast majority of </w:t>
      </w:r>
      <w:r w:rsidR="00EA3D69" w:rsidRPr="005968CD">
        <w:rPr>
          <w:rStyle w:val="ParaNumChar"/>
          <w:szCs w:val="22"/>
        </w:rPr>
        <w:t xml:space="preserve">911 calls from NSI devices were not actual calls for help, and that these calls </w:t>
      </w:r>
      <w:r w:rsidR="00E07C14" w:rsidRPr="005968CD">
        <w:rPr>
          <w:rStyle w:val="ParaNumChar"/>
          <w:szCs w:val="22"/>
        </w:rPr>
        <w:t xml:space="preserve">both </w:t>
      </w:r>
      <w:r w:rsidR="00EA3D69" w:rsidRPr="005968CD">
        <w:rPr>
          <w:rStyle w:val="ParaNumChar"/>
          <w:szCs w:val="22"/>
        </w:rPr>
        <w:t xml:space="preserve">wasted the limited resources of PSAPs and interfered with </w:t>
      </w:r>
      <w:r w:rsidR="00E07C14" w:rsidRPr="005968CD">
        <w:rPr>
          <w:rStyle w:val="ParaNumChar"/>
          <w:szCs w:val="22"/>
        </w:rPr>
        <w:t>their</w:t>
      </w:r>
      <w:r w:rsidR="00EA3D69" w:rsidRPr="005968CD">
        <w:rPr>
          <w:rStyle w:val="ParaNumChar"/>
          <w:szCs w:val="22"/>
        </w:rPr>
        <w:t xml:space="preserve"> ability to respond to legitimate emergency calls.</w:t>
      </w:r>
      <w:r w:rsidR="00EA3D69" w:rsidRPr="005968CD">
        <w:rPr>
          <w:rStyle w:val="FootnoteReference"/>
          <w:color w:val="000000"/>
          <w:sz w:val="22"/>
          <w:szCs w:val="22"/>
        </w:rPr>
        <w:t xml:space="preserve">  </w:t>
      </w:r>
      <w:r w:rsidR="00017748" w:rsidRPr="005968CD">
        <w:rPr>
          <w:color w:val="000000"/>
          <w:szCs w:val="22"/>
        </w:rPr>
        <w:t xml:space="preserve"> For example,</w:t>
      </w:r>
      <w:r w:rsidR="00017748" w:rsidRPr="005968CD">
        <w:rPr>
          <w:szCs w:val="22"/>
        </w:rPr>
        <w:t xml:space="preserve"> Indiana estimated that “over 90% of all NSI calls received”</w:t>
      </w:r>
      <w:r w:rsidR="00C33E9D" w:rsidRPr="005968CD">
        <w:rPr>
          <w:szCs w:val="22"/>
        </w:rPr>
        <w:t xml:space="preserve"> were not legitimate.</w:t>
      </w:r>
      <w:r w:rsidR="000D27A3" w:rsidRPr="005968CD">
        <w:rPr>
          <w:rStyle w:val="FootnoteReference"/>
          <w:sz w:val="22"/>
          <w:szCs w:val="22"/>
        </w:rPr>
        <w:footnoteReference w:id="43"/>
      </w:r>
      <w:r w:rsidR="00017748" w:rsidRPr="005968CD">
        <w:rPr>
          <w:szCs w:val="22"/>
        </w:rPr>
        <w:t xml:space="preserve">  </w:t>
      </w:r>
      <w:r w:rsidR="00EA3D69" w:rsidRPr="005968CD">
        <w:rPr>
          <w:rStyle w:val="ParaNumChar"/>
          <w:szCs w:val="22"/>
        </w:rPr>
        <w:t xml:space="preserve">North Carolina similarly reported that between May 15, 2008 and June 15, 2008, PSAPs across the state received 159,129 calls from NSI </w:t>
      </w:r>
      <w:r w:rsidR="00B740EF" w:rsidRPr="005968CD">
        <w:rPr>
          <w:rStyle w:val="ParaNumChar"/>
          <w:szCs w:val="22"/>
        </w:rPr>
        <w:t>device</w:t>
      </w:r>
      <w:r w:rsidR="00EA3D69" w:rsidRPr="005968CD">
        <w:rPr>
          <w:rStyle w:val="ParaNumChar"/>
          <w:szCs w:val="22"/>
        </w:rPr>
        <w:t xml:space="preserve">s, of which 132,885, or 83.51%, were non-emergency calls, and </w:t>
      </w:r>
      <w:r w:rsidR="00822593" w:rsidRPr="005968CD">
        <w:rPr>
          <w:rStyle w:val="ParaNumChar"/>
          <w:szCs w:val="22"/>
        </w:rPr>
        <w:t xml:space="preserve">an additional </w:t>
      </w:r>
      <w:r w:rsidR="00EA3D69" w:rsidRPr="005968CD">
        <w:rPr>
          <w:rStyle w:val="ParaNumChar"/>
          <w:szCs w:val="22"/>
        </w:rPr>
        <w:t xml:space="preserve">11,395, or 7.16%, were </w:t>
      </w:r>
      <w:r w:rsidR="00060A15" w:rsidRPr="005968CD">
        <w:rPr>
          <w:rStyle w:val="ParaNumChar"/>
          <w:szCs w:val="22"/>
        </w:rPr>
        <w:t>“</w:t>
      </w:r>
      <w:r w:rsidR="00EA3D69" w:rsidRPr="005968CD">
        <w:rPr>
          <w:rStyle w:val="ParaNumChar"/>
          <w:szCs w:val="22"/>
        </w:rPr>
        <w:t>malicious</w:t>
      </w:r>
      <w:r w:rsidR="00060A15" w:rsidRPr="005968CD">
        <w:rPr>
          <w:rStyle w:val="ParaNumChar"/>
          <w:szCs w:val="22"/>
        </w:rPr>
        <w:t>”</w:t>
      </w:r>
      <w:r w:rsidR="00EA3D69" w:rsidRPr="005968CD">
        <w:rPr>
          <w:rStyle w:val="ParaNumChar"/>
          <w:szCs w:val="22"/>
        </w:rPr>
        <w:t xml:space="preserve"> non-emergency calls.</w:t>
      </w:r>
      <w:r w:rsidR="000D27A3" w:rsidRPr="005968CD">
        <w:rPr>
          <w:rStyle w:val="FootnoteReference"/>
          <w:sz w:val="22"/>
          <w:szCs w:val="22"/>
        </w:rPr>
        <w:footnoteReference w:id="44"/>
      </w:r>
      <w:r w:rsidR="00A92DAD" w:rsidRPr="005968CD">
        <w:rPr>
          <w:rStyle w:val="ParaNumChar"/>
          <w:szCs w:val="22"/>
        </w:rPr>
        <w:t xml:space="preserve">  </w:t>
      </w:r>
      <w:r w:rsidR="00EA3D69" w:rsidRPr="005968CD">
        <w:rPr>
          <w:rStyle w:val="ParaNumChar"/>
          <w:szCs w:val="22"/>
        </w:rPr>
        <w:t>Amelia County</w:t>
      </w:r>
      <w:r w:rsidR="00E6242F" w:rsidRPr="005968CD">
        <w:rPr>
          <w:rStyle w:val="ParaNumChar"/>
          <w:szCs w:val="22"/>
        </w:rPr>
        <w:t>, Virginia</w:t>
      </w:r>
      <w:r w:rsidR="00EA3D69" w:rsidRPr="005968CD">
        <w:rPr>
          <w:rStyle w:val="ParaNumChar"/>
          <w:szCs w:val="22"/>
        </w:rPr>
        <w:t xml:space="preserve"> also stated that NSI </w:t>
      </w:r>
      <w:r w:rsidR="00B740EF" w:rsidRPr="005968CD">
        <w:rPr>
          <w:rStyle w:val="ParaNumChar"/>
          <w:szCs w:val="22"/>
        </w:rPr>
        <w:t>device</w:t>
      </w:r>
      <w:r w:rsidR="00EA3D69" w:rsidRPr="005968CD">
        <w:rPr>
          <w:rStyle w:val="ParaNumChar"/>
          <w:szCs w:val="22"/>
        </w:rPr>
        <w:t xml:space="preserve">s </w:t>
      </w:r>
      <w:r w:rsidR="007D0EE3" w:rsidRPr="005968CD">
        <w:rPr>
          <w:rStyle w:val="ParaNumChar"/>
          <w:szCs w:val="22"/>
        </w:rPr>
        <w:t>were “</w:t>
      </w:r>
      <w:r w:rsidR="00EA3D69" w:rsidRPr="005968CD">
        <w:rPr>
          <w:rStyle w:val="ParaNumChar"/>
          <w:szCs w:val="22"/>
        </w:rPr>
        <w:t>the biggest problem we have with the E911 system</w:t>
      </w:r>
      <w:r w:rsidR="007D0EE3" w:rsidRPr="005968CD">
        <w:rPr>
          <w:rStyle w:val="ParaNumChar"/>
          <w:szCs w:val="22"/>
        </w:rPr>
        <w:t>,” and that, at times, they had been “</w:t>
      </w:r>
      <w:r w:rsidR="00EA3D69" w:rsidRPr="005968CD">
        <w:rPr>
          <w:rStyle w:val="ParaNumChar"/>
          <w:szCs w:val="22"/>
        </w:rPr>
        <w:t>inundated with phone calls from these phones with the only purpose being to harass the call takers/dispatchers.”</w:t>
      </w:r>
      <w:r w:rsidR="00BD5068" w:rsidRPr="005968CD">
        <w:rPr>
          <w:rStyle w:val="FootnoteReference"/>
          <w:sz w:val="22"/>
          <w:szCs w:val="22"/>
        </w:rPr>
        <w:footnoteReference w:id="45"/>
      </w:r>
      <w:r w:rsidR="00EA3D69" w:rsidRPr="005968CD">
        <w:rPr>
          <w:rStyle w:val="ParaNumChar"/>
          <w:szCs w:val="22"/>
        </w:rPr>
        <w:t xml:space="preserve"> </w:t>
      </w:r>
      <w:r w:rsidR="007D0EE3" w:rsidRPr="005968CD">
        <w:rPr>
          <w:szCs w:val="22"/>
        </w:rPr>
        <w:t xml:space="preserve"> </w:t>
      </w:r>
      <w:r w:rsidR="00E07C14" w:rsidRPr="005968CD">
        <w:rPr>
          <w:szCs w:val="22"/>
        </w:rPr>
        <w:t>Washington State likewise indicated that “by far,” the “majority of calls to 911 from NSI sets” did not appear to be legitimate emergencies.</w:t>
      </w:r>
      <w:r w:rsidR="00E07C14" w:rsidRPr="005968CD">
        <w:rPr>
          <w:rStyle w:val="FootnoteReference"/>
          <w:sz w:val="22"/>
          <w:szCs w:val="22"/>
        </w:rPr>
        <w:footnoteReference w:id="46"/>
      </w:r>
      <w:r w:rsidR="00E07C14" w:rsidRPr="005968CD">
        <w:rPr>
          <w:szCs w:val="22"/>
        </w:rPr>
        <w:t xml:space="preserve">  </w:t>
      </w:r>
      <w:r w:rsidR="00E07C14" w:rsidRPr="005968CD">
        <w:rPr>
          <w:rStyle w:val="ParaNumChar"/>
          <w:szCs w:val="22"/>
        </w:rPr>
        <w:t xml:space="preserve">Moreover, Washington estimated that reported NSI problems were “very likely an understatement,” due to lack of time and resources of PSAPs to respond to the </w:t>
      </w:r>
      <w:r w:rsidR="00E07C14" w:rsidRPr="005968CD">
        <w:rPr>
          <w:rStyle w:val="ParaNumChar"/>
          <w:i/>
          <w:szCs w:val="22"/>
        </w:rPr>
        <w:t>Notice of Inquiry</w:t>
      </w:r>
      <w:r w:rsidR="00E07C14" w:rsidRPr="005968CD">
        <w:rPr>
          <w:rStyle w:val="ParaNumChar"/>
          <w:szCs w:val="22"/>
        </w:rPr>
        <w:t>.</w:t>
      </w:r>
      <w:r w:rsidR="00E07C14" w:rsidRPr="005968CD">
        <w:rPr>
          <w:rStyle w:val="FootnoteReference"/>
          <w:color w:val="000000"/>
          <w:sz w:val="22"/>
          <w:szCs w:val="22"/>
        </w:rPr>
        <w:footnoteReference w:id="47"/>
      </w:r>
      <w:r w:rsidR="00E07C14" w:rsidRPr="005968CD">
        <w:rPr>
          <w:rStyle w:val="ParaNumChar"/>
          <w:szCs w:val="22"/>
        </w:rPr>
        <w:t xml:space="preserve"> </w:t>
      </w:r>
      <w:r w:rsidR="00EA3D69" w:rsidRPr="005968CD">
        <w:rPr>
          <w:rStyle w:val="ParaNumChar"/>
          <w:szCs w:val="22"/>
        </w:rPr>
        <w:t xml:space="preserve">Other public safety commenters reported similar patterns of frequent and recurring non-emergency calls from NSI </w:t>
      </w:r>
      <w:r w:rsidR="00B740EF" w:rsidRPr="005968CD">
        <w:rPr>
          <w:rStyle w:val="ParaNumChar"/>
          <w:szCs w:val="22"/>
        </w:rPr>
        <w:t>device</w:t>
      </w:r>
      <w:r w:rsidR="00EA3D69" w:rsidRPr="005968CD">
        <w:rPr>
          <w:rStyle w:val="ParaNumChar"/>
          <w:szCs w:val="22"/>
        </w:rPr>
        <w:t>s.</w:t>
      </w:r>
      <w:r w:rsidR="00DC6B8C" w:rsidRPr="005968CD">
        <w:rPr>
          <w:rStyle w:val="FootnoteReference"/>
          <w:sz w:val="22"/>
          <w:szCs w:val="22"/>
        </w:rPr>
        <w:footnoteReference w:id="48"/>
      </w:r>
    </w:p>
    <w:p w14:paraId="32BD399B" w14:textId="77777777" w:rsidR="00EC779A" w:rsidRPr="005968CD" w:rsidRDefault="00495137" w:rsidP="00C46CCA">
      <w:pPr>
        <w:pStyle w:val="ParaNum"/>
        <w:widowControl/>
        <w:rPr>
          <w:szCs w:val="22"/>
        </w:rPr>
      </w:pPr>
      <w:r w:rsidRPr="005968CD">
        <w:rPr>
          <w:szCs w:val="22"/>
        </w:rPr>
        <w:t xml:space="preserve">Subsequent to the close of the </w:t>
      </w:r>
      <w:r w:rsidRPr="005968CD">
        <w:rPr>
          <w:i/>
          <w:szCs w:val="22"/>
        </w:rPr>
        <w:t xml:space="preserve">Notice of Inquiry </w:t>
      </w:r>
      <w:r w:rsidRPr="005968CD">
        <w:rPr>
          <w:szCs w:val="22"/>
        </w:rPr>
        <w:t xml:space="preserve">comment period, the Commission continued to receive evidence that fraudulent 911 calls from NSI </w:t>
      </w:r>
      <w:r w:rsidR="00B740EF" w:rsidRPr="005968CD">
        <w:rPr>
          <w:szCs w:val="22"/>
        </w:rPr>
        <w:t>device</w:t>
      </w:r>
      <w:r w:rsidRPr="005968CD">
        <w:rPr>
          <w:szCs w:val="22"/>
        </w:rPr>
        <w:t>s remain a large problem for PSAPs and other public safety entities.</w:t>
      </w:r>
      <w:r w:rsidRPr="005968CD">
        <w:rPr>
          <w:rStyle w:val="FootnoteReference"/>
          <w:sz w:val="22"/>
          <w:szCs w:val="22"/>
        </w:rPr>
        <w:footnoteReference w:id="49"/>
      </w:r>
      <w:r w:rsidRPr="005968CD">
        <w:rPr>
          <w:szCs w:val="22"/>
        </w:rPr>
        <w:t xml:space="preserve">  Comments received in response to the </w:t>
      </w:r>
      <w:r w:rsidRPr="005968CD">
        <w:rPr>
          <w:i/>
          <w:szCs w:val="22"/>
        </w:rPr>
        <w:t xml:space="preserve">2013 PN </w:t>
      </w:r>
      <w:r w:rsidRPr="005968CD">
        <w:rPr>
          <w:szCs w:val="22"/>
        </w:rPr>
        <w:t>also indicate that the problem is continuing.  For example, Tennessee states that during a three-month period in 2008, of over 10,000 NSI calls only “188 were valid emergencies.”</w:t>
      </w:r>
      <w:r w:rsidRPr="005968CD">
        <w:rPr>
          <w:rStyle w:val="FootnoteReference"/>
          <w:sz w:val="22"/>
          <w:szCs w:val="22"/>
        </w:rPr>
        <w:footnoteReference w:id="50"/>
      </w:r>
      <w:r w:rsidRPr="005968CD">
        <w:rPr>
          <w:szCs w:val="22"/>
        </w:rPr>
        <w:t xml:space="preserve">  Sonoma</w:t>
      </w:r>
      <w:r w:rsidR="00E6242F" w:rsidRPr="005968CD">
        <w:rPr>
          <w:szCs w:val="22"/>
        </w:rPr>
        <w:t xml:space="preserve"> County, California</w:t>
      </w:r>
      <w:r w:rsidRPr="005968CD">
        <w:rPr>
          <w:szCs w:val="22"/>
        </w:rPr>
        <w:t xml:space="preserve"> indicates that between April 2011 and April 2013 only approximately 8% of calls from NSI devices were to report an emergency or crime.</w:t>
      </w:r>
      <w:r w:rsidRPr="005968CD">
        <w:rPr>
          <w:rStyle w:val="FootnoteReference"/>
          <w:sz w:val="22"/>
          <w:szCs w:val="22"/>
        </w:rPr>
        <w:footnoteReference w:id="51"/>
      </w:r>
      <w:r w:rsidRPr="005968CD">
        <w:rPr>
          <w:color w:val="000000"/>
          <w:szCs w:val="22"/>
        </w:rPr>
        <w:t xml:space="preserve">  Peoria, Illinois</w:t>
      </w:r>
      <w:r w:rsidR="00E07C14" w:rsidRPr="005968CD">
        <w:rPr>
          <w:color w:val="000000"/>
          <w:szCs w:val="22"/>
        </w:rPr>
        <w:t xml:space="preserve"> similarly</w:t>
      </w:r>
      <w:r w:rsidRPr="005968CD">
        <w:rPr>
          <w:color w:val="000000"/>
          <w:szCs w:val="22"/>
        </w:rPr>
        <w:t xml:space="preserve"> </w:t>
      </w:r>
      <w:r w:rsidR="00845B00" w:rsidRPr="005968CD">
        <w:rPr>
          <w:color w:val="000000"/>
          <w:szCs w:val="22"/>
        </w:rPr>
        <w:t>asserts that</w:t>
      </w:r>
      <w:r w:rsidRPr="005968CD">
        <w:rPr>
          <w:color w:val="000000"/>
          <w:szCs w:val="22"/>
        </w:rPr>
        <w:t xml:space="preserve"> </w:t>
      </w:r>
      <w:r w:rsidRPr="005968CD">
        <w:rPr>
          <w:szCs w:val="22"/>
        </w:rPr>
        <w:t xml:space="preserve">“[w]e get a lot of calls from these types of phones that are used to harass the 9-1-1 telecommunicators and pump as many as 25 calls per day into our system” </w:t>
      </w:r>
      <w:r w:rsidR="00E07C14" w:rsidRPr="005968CD">
        <w:rPr>
          <w:color w:val="000000"/>
          <w:szCs w:val="22"/>
        </w:rPr>
        <w:t>while</w:t>
      </w:r>
      <w:r w:rsidRPr="005968CD">
        <w:rPr>
          <w:color w:val="000000"/>
          <w:szCs w:val="22"/>
        </w:rPr>
        <w:t xml:space="preserve"> “few if any actual 9-1-1 calls [come] from these types of phones.”</w:t>
      </w:r>
      <w:r w:rsidRPr="005968CD">
        <w:rPr>
          <w:rStyle w:val="FootnoteReference"/>
          <w:sz w:val="22"/>
          <w:szCs w:val="22"/>
        </w:rPr>
        <w:footnoteReference w:id="52"/>
      </w:r>
      <w:r w:rsidRPr="005968CD">
        <w:rPr>
          <w:szCs w:val="22"/>
        </w:rPr>
        <w:t xml:space="preserve"> </w:t>
      </w:r>
      <w:r w:rsidRPr="005968CD">
        <w:rPr>
          <w:snapToGrid/>
          <w:szCs w:val="22"/>
        </w:rPr>
        <w:t xml:space="preserve"> </w:t>
      </w:r>
      <w:r w:rsidRPr="005968CD">
        <w:rPr>
          <w:szCs w:val="22"/>
        </w:rPr>
        <w:t>Media reports also indicate that this is a serious and continuing problem.</w:t>
      </w:r>
      <w:r w:rsidRPr="005968CD">
        <w:rPr>
          <w:rStyle w:val="FootnoteReference"/>
          <w:sz w:val="22"/>
          <w:szCs w:val="22"/>
        </w:rPr>
        <w:footnoteReference w:id="53"/>
      </w:r>
      <w:r w:rsidRPr="005968CD">
        <w:rPr>
          <w:szCs w:val="22"/>
        </w:rPr>
        <w:t xml:space="preserve"> </w:t>
      </w:r>
    </w:p>
    <w:p w14:paraId="2057CC26" w14:textId="77777777" w:rsidR="001C1E36" w:rsidRPr="005968CD" w:rsidRDefault="00495137" w:rsidP="00C46CCA">
      <w:pPr>
        <w:pStyle w:val="ParaNum"/>
        <w:widowControl/>
        <w:rPr>
          <w:szCs w:val="22"/>
        </w:rPr>
      </w:pPr>
      <w:r w:rsidRPr="005968CD">
        <w:rPr>
          <w:szCs w:val="22"/>
        </w:rPr>
        <w:t xml:space="preserve">We seek comment and updated data </w:t>
      </w:r>
      <w:r w:rsidR="00532EC6" w:rsidRPr="005968CD">
        <w:rPr>
          <w:szCs w:val="22"/>
        </w:rPr>
        <w:t>regarding</w:t>
      </w:r>
      <w:r w:rsidRPr="005968CD">
        <w:rPr>
          <w:szCs w:val="22"/>
        </w:rPr>
        <w:t xml:space="preserve"> the degree to which</w:t>
      </w:r>
      <w:r w:rsidR="00046459" w:rsidRPr="005968CD">
        <w:rPr>
          <w:szCs w:val="22"/>
        </w:rPr>
        <w:t xml:space="preserve"> the issue of</w:t>
      </w:r>
      <w:r w:rsidRPr="005968CD">
        <w:rPr>
          <w:szCs w:val="22"/>
        </w:rPr>
        <w:t xml:space="preserve"> </w:t>
      </w:r>
      <w:r w:rsidR="00046459" w:rsidRPr="005968CD">
        <w:rPr>
          <w:szCs w:val="22"/>
        </w:rPr>
        <w:t xml:space="preserve">fraudulent calls from NSI </w:t>
      </w:r>
      <w:r w:rsidR="00B740EF" w:rsidRPr="005968CD">
        <w:rPr>
          <w:szCs w:val="22"/>
        </w:rPr>
        <w:t>device</w:t>
      </w:r>
      <w:r w:rsidR="00046459" w:rsidRPr="005968CD">
        <w:rPr>
          <w:szCs w:val="22"/>
        </w:rPr>
        <w:t xml:space="preserve">s </w:t>
      </w:r>
      <w:r w:rsidRPr="005968CD">
        <w:rPr>
          <w:szCs w:val="22"/>
        </w:rPr>
        <w:t xml:space="preserve">has continued since the </w:t>
      </w:r>
      <w:r w:rsidRPr="005968CD">
        <w:rPr>
          <w:i/>
          <w:szCs w:val="22"/>
        </w:rPr>
        <w:t xml:space="preserve">2013 PN </w:t>
      </w:r>
      <w:r w:rsidRPr="005968CD">
        <w:rPr>
          <w:szCs w:val="22"/>
        </w:rPr>
        <w:t>comments were filed, as well as any other data that will help clarify the extent of the problem.</w:t>
      </w:r>
      <w:r w:rsidR="00046459" w:rsidRPr="005968CD">
        <w:rPr>
          <w:szCs w:val="22"/>
        </w:rPr>
        <w:t xml:space="preserve"> </w:t>
      </w:r>
      <w:r w:rsidR="00EC779A" w:rsidRPr="005968CD">
        <w:rPr>
          <w:szCs w:val="22"/>
        </w:rPr>
        <w:t xml:space="preserve"> Have changes in mobile </w:t>
      </w:r>
      <w:r w:rsidR="00B740EF" w:rsidRPr="005968CD">
        <w:rPr>
          <w:szCs w:val="22"/>
        </w:rPr>
        <w:t>device</w:t>
      </w:r>
      <w:r w:rsidR="00EC779A" w:rsidRPr="005968CD">
        <w:rPr>
          <w:szCs w:val="22"/>
        </w:rPr>
        <w:t xml:space="preserve"> technology or design had any impact on the overall numbers of fraudulent NSI 911 calls?  Has the increased proliferation and use of smartphones added to or reduced the problem, and if so, how?  What technological advancements, if any, might increase the ability to trace back individual NSI callers and thereby deter fraudulent calls?</w:t>
      </w:r>
    </w:p>
    <w:p w14:paraId="633F834D" w14:textId="77777777" w:rsidR="001C1E36" w:rsidRPr="00042E25" w:rsidRDefault="00495137" w:rsidP="00042E25">
      <w:pPr>
        <w:pStyle w:val="ParaNum"/>
        <w:rPr>
          <w:snapToGrid/>
          <w:szCs w:val="22"/>
        </w:rPr>
      </w:pPr>
      <w:r w:rsidRPr="005968CD">
        <w:rPr>
          <w:szCs w:val="22"/>
        </w:rPr>
        <w:t xml:space="preserve">We also seek comment on the percentage of </w:t>
      </w:r>
      <w:r w:rsidR="00171B7B" w:rsidRPr="005968CD">
        <w:rPr>
          <w:szCs w:val="22"/>
        </w:rPr>
        <w:t xml:space="preserve">fraudulent 911 </w:t>
      </w:r>
      <w:r w:rsidRPr="005968CD">
        <w:rPr>
          <w:szCs w:val="22"/>
        </w:rPr>
        <w:t xml:space="preserve">calls coming from particular types of NSI </w:t>
      </w:r>
      <w:r w:rsidR="00B740EF" w:rsidRPr="005968CD">
        <w:rPr>
          <w:szCs w:val="22"/>
        </w:rPr>
        <w:t>device</w:t>
      </w:r>
      <w:r w:rsidRPr="005968CD">
        <w:rPr>
          <w:szCs w:val="22"/>
        </w:rPr>
        <w:t xml:space="preserve">s or subsets of NSI </w:t>
      </w:r>
      <w:r w:rsidR="00B740EF" w:rsidRPr="005968CD">
        <w:rPr>
          <w:szCs w:val="22"/>
        </w:rPr>
        <w:t>device</w:t>
      </w:r>
      <w:r w:rsidRPr="005968CD">
        <w:rPr>
          <w:szCs w:val="22"/>
        </w:rPr>
        <w:t xml:space="preserve"> users.  Several commenters suggested that a disproportionate number of fraudulent 911 calls come from a relatively small subset of NSI </w:t>
      </w:r>
      <w:r w:rsidR="00B740EF" w:rsidRPr="005968CD">
        <w:rPr>
          <w:szCs w:val="22"/>
        </w:rPr>
        <w:t>device</w:t>
      </w:r>
      <w:r w:rsidRPr="005968CD">
        <w:rPr>
          <w:szCs w:val="22"/>
        </w:rPr>
        <w:t xml:space="preserve">s.  </w:t>
      </w:r>
      <w:r w:rsidRPr="005968CD">
        <w:rPr>
          <w:rStyle w:val="ParaNumChar"/>
          <w:szCs w:val="22"/>
        </w:rPr>
        <w:t xml:space="preserve">California, for example, stated that between October 1, 2007 and May 15, 2008, PSAPs across the state reported 266 active repetitive callers who placed over 77,000 calls to 911, mainly using NSI </w:t>
      </w:r>
      <w:r w:rsidR="00B740EF" w:rsidRPr="005968CD">
        <w:rPr>
          <w:rStyle w:val="ParaNumChar"/>
          <w:szCs w:val="22"/>
        </w:rPr>
        <w:t>device</w:t>
      </w:r>
      <w:r w:rsidRPr="005968CD">
        <w:rPr>
          <w:rStyle w:val="ParaNumChar"/>
          <w:szCs w:val="22"/>
        </w:rPr>
        <w:t>s.  Of the 266 callers identified, 85 had placed 200 or more calls, and eight callers had made more than 1,000 calls.</w:t>
      </w:r>
      <w:r w:rsidRPr="005968CD">
        <w:rPr>
          <w:rStyle w:val="FootnoteReference"/>
          <w:sz w:val="22"/>
          <w:szCs w:val="22"/>
        </w:rPr>
        <w:footnoteReference w:id="54"/>
      </w:r>
      <w:r w:rsidRPr="005968CD">
        <w:rPr>
          <w:rStyle w:val="ParaNumChar"/>
          <w:szCs w:val="22"/>
        </w:rPr>
        <w:t xml:space="preserve">  Other commenters noted that such calling patterns were often related </w:t>
      </w:r>
      <w:r w:rsidRPr="005968CD">
        <w:rPr>
          <w:szCs w:val="22"/>
        </w:rPr>
        <w:t xml:space="preserve">to the accessibility of NSI </w:t>
      </w:r>
      <w:r w:rsidR="00B740EF" w:rsidRPr="005968CD">
        <w:rPr>
          <w:szCs w:val="22"/>
        </w:rPr>
        <w:t>device</w:t>
      </w:r>
      <w:r w:rsidRPr="005968CD">
        <w:rPr>
          <w:szCs w:val="22"/>
        </w:rPr>
        <w:t>s to minors.  For example, Petitioners stated that “donated phones appear to be only a small portion of the problem, with the bulk of troublesome devices being old equipment no longer in use, often given to children to play with.”</w:t>
      </w:r>
      <w:r w:rsidRPr="005968CD">
        <w:rPr>
          <w:rStyle w:val="FootnoteReference"/>
          <w:sz w:val="22"/>
          <w:szCs w:val="22"/>
        </w:rPr>
        <w:footnoteReference w:id="55"/>
      </w:r>
      <w:r w:rsidR="00171B7B" w:rsidRPr="005968CD">
        <w:rPr>
          <w:szCs w:val="22"/>
        </w:rPr>
        <w:t xml:space="preserve">  Is data available regarding the percentage of fraudulent NSI calls that come from minors?  Are there other categories of NSI devices that are disproportionately associated with fraudulent calls?  For example, </w:t>
      </w:r>
      <w:r w:rsidR="003E368C" w:rsidRPr="005968CD">
        <w:rPr>
          <w:szCs w:val="22"/>
        </w:rPr>
        <w:t xml:space="preserve">how frequently do fraudulent calls originate </w:t>
      </w:r>
      <w:r w:rsidR="00171B7B" w:rsidRPr="005968CD">
        <w:rPr>
          <w:szCs w:val="22"/>
        </w:rPr>
        <w:t xml:space="preserve">from NSI devices that appear to have been purchased by individuals specifically for the purpose of placing </w:t>
      </w:r>
      <w:r w:rsidR="003E368C" w:rsidRPr="005968CD">
        <w:rPr>
          <w:szCs w:val="22"/>
        </w:rPr>
        <w:t xml:space="preserve">such </w:t>
      </w:r>
      <w:r w:rsidR="00171B7B" w:rsidRPr="005968CD">
        <w:rPr>
          <w:szCs w:val="22"/>
        </w:rPr>
        <w:t>fraudulent calls (</w:t>
      </w:r>
      <w:r w:rsidR="00171B7B" w:rsidRPr="005968CD">
        <w:rPr>
          <w:i/>
          <w:szCs w:val="22"/>
        </w:rPr>
        <w:t>e.g</w:t>
      </w:r>
      <w:r w:rsidR="00171B7B" w:rsidRPr="005968CD">
        <w:rPr>
          <w:szCs w:val="22"/>
        </w:rPr>
        <w:t xml:space="preserve">., devices purchased on auction sites or at pawn shops)?  </w:t>
      </w:r>
    </w:p>
    <w:p w14:paraId="169D1557" w14:textId="77777777" w:rsidR="009136E9" w:rsidRPr="005968CD" w:rsidRDefault="00C238B9" w:rsidP="005968CD">
      <w:pPr>
        <w:pStyle w:val="ParaNum"/>
        <w:widowControl/>
        <w:tabs>
          <w:tab w:val="left" w:pos="900"/>
        </w:tabs>
        <w:snapToGrid w:val="0"/>
        <w:rPr>
          <w:szCs w:val="22"/>
        </w:rPr>
      </w:pPr>
      <w:r w:rsidRPr="005968CD">
        <w:rPr>
          <w:szCs w:val="22"/>
        </w:rPr>
        <w:t xml:space="preserve">Some public safety commenters have </w:t>
      </w:r>
      <w:r w:rsidR="009136E9" w:rsidRPr="005968CD">
        <w:rPr>
          <w:szCs w:val="22"/>
        </w:rPr>
        <w:t xml:space="preserve">also </w:t>
      </w:r>
      <w:r w:rsidRPr="005968CD">
        <w:rPr>
          <w:szCs w:val="22"/>
        </w:rPr>
        <w:t>argued that the NSI rule exposes PSAPs to the risk of coordinated efforts to overload or impair their operations.  Clinton County</w:t>
      </w:r>
      <w:r w:rsidR="009136E9" w:rsidRPr="005968CD">
        <w:rPr>
          <w:szCs w:val="22"/>
        </w:rPr>
        <w:t xml:space="preserve">, </w:t>
      </w:r>
      <w:r w:rsidR="00E82BEC" w:rsidRPr="005968CD">
        <w:rPr>
          <w:szCs w:val="22"/>
        </w:rPr>
        <w:t xml:space="preserve">Illinois, </w:t>
      </w:r>
      <w:r w:rsidR="009136E9" w:rsidRPr="005968CD">
        <w:rPr>
          <w:szCs w:val="22"/>
        </w:rPr>
        <w:t>for example,</w:t>
      </w:r>
      <w:r w:rsidRPr="005968CD">
        <w:rPr>
          <w:szCs w:val="22"/>
        </w:rPr>
        <w:t xml:space="preserve"> cited the possibility of “a group of individuals perpetrating a wireless denial-of-service by placing large amounts of calls to 9-1-1 from NSI phones, with the potential of jamming or at the very least severely impairing the operations of the 9-1-1 system.”</w:t>
      </w:r>
      <w:r w:rsidRPr="005968CD">
        <w:rPr>
          <w:rStyle w:val="FootnoteReference"/>
          <w:sz w:val="22"/>
          <w:szCs w:val="22"/>
        </w:rPr>
        <w:footnoteReference w:id="56"/>
      </w:r>
      <w:r w:rsidRPr="005968CD">
        <w:rPr>
          <w:szCs w:val="22"/>
        </w:rPr>
        <w:t xml:space="preserve">  </w:t>
      </w:r>
      <w:r w:rsidR="009136E9" w:rsidRPr="005968CD">
        <w:rPr>
          <w:szCs w:val="22"/>
        </w:rPr>
        <w:t>Accordingly, w</w:t>
      </w:r>
      <w:r w:rsidR="00017748" w:rsidRPr="005968CD">
        <w:rPr>
          <w:szCs w:val="22"/>
        </w:rPr>
        <w:t xml:space="preserve">e seek comment on the extent to which NSI </w:t>
      </w:r>
      <w:r w:rsidR="00B740EF" w:rsidRPr="005968CD">
        <w:rPr>
          <w:szCs w:val="22"/>
        </w:rPr>
        <w:t>device</w:t>
      </w:r>
      <w:r w:rsidR="00017748" w:rsidRPr="005968CD">
        <w:rPr>
          <w:szCs w:val="22"/>
        </w:rPr>
        <w:t>s could be used in a coordinated manner to deny 911 servi</w:t>
      </w:r>
      <w:r w:rsidRPr="005968CD">
        <w:rPr>
          <w:szCs w:val="22"/>
        </w:rPr>
        <w:t xml:space="preserve">ce. </w:t>
      </w:r>
      <w:r w:rsidR="00017748" w:rsidRPr="005968CD">
        <w:rPr>
          <w:szCs w:val="22"/>
        </w:rPr>
        <w:t xml:space="preserve">   </w:t>
      </w:r>
    </w:p>
    <w:p w14:paraId="23486174" w14:textId="77777777" w:rsidR="001C1E36" w:rsidRPr="005968CD" w:rsidRDefault="00017748" w:rsidP="00C46CCA">
      <w:pPr>
        <w:pStyle w:val="ParaNum"/>
        <w:widowControl/>
        <w:tabs>
          <w:tab w:val="left" w:pos="900"/>
        </w:tabs>
        <w:snapToGrid w:val="0"/>
        <w:rPr>
          <w:szCs w:val="22"/>
        </w:rPr>
      </w:pPr>
      <w:r w:rsidRPr="005968CD">
        <w:rPr>
          <w:szCs w:val="22"/>
        </w:rPr>
        <w:t xml:space="preserve">Finally, we seek </w:t>
      </w:r>
      <w:r w:rsidR="00176680" w:rsidRPr="005968CD">
        <w:rPr>
          <w:szCs w:val="22"/>
        </w:rPr>
        <w:t xml:space="preserve">further </w:t>
      </w:r>
      <w:r w:rsidRPr="005968CD">
        <w:rPr>
          <w:szCs w:val="22"/>
        </w:rPr>
        <w:t xml:space="preserve">comment regarding the costs that fraudulent NSI calls to 911 </w:t>
      </w:r>
      <w:r w:rsidR="00C37FCF" w:rsidRPr="005968CD">
        <w:rPr>
          <w:szCs w:val="22"/>
        </w:rPr>
        <w:t xml:space="preserve">continue to </w:t>
      </w:r>
      <w:r w:rsidRPr="005968CD">
        <w:rPr>
          <w:szCs w:val="22"/>
        </w:rPr>
        <w:t xml:space="preserve">impose on public safety and on consumers.  For example, </w:t>
      </w:r>
      <w:r w:rsidR="00FC40B6" w:rsidRPr="005968CD">
        <w:rPr>
          <w:szCs w:val="22"/>
        </w:rPr>
        <w:t xml:space="preserve">in response to the </w:t>
      </w:r>
      <w:r w:rsidR="00FC40B6" w:rsidRPr="005968CD">
        <w:rPr>
          <w:i/>
          <w:szCs w:val="22"/>
        </w:rPr>
        <w:t>Notice of Inquiry</w:t>
      </w:r>
      <w:r w:rsidR="00FC40B6" w:rsidRPr="005968CD">
        <w:rPr>
          <w:szCs w:val="22"/>
        </w:rPr>
        <w:t>, Kentucky indicated that “the time taken away from real emergency calls disposing of these [911 calls from NSI devices] seriously threatens the safety of any citizen in true need of service.”</w:t>
      </w:r>
      <w:r w:rsidR="00FC40B6" w:rsidRPr="005968CD">
        <w:rPr>
          <w:rStyle w:val="FootnoteReference"/>
          <w:sz w:val="22"/>
          <w:szCs w:val="22"/>
        </w:rPr>
        <w:footnoteReference w:id="57"/>
      </w:r>
      <w:r w:rsidR="00FC40B6" w:rsidRPr="005968CD">
        <w:rPr>
          <w:szCs w:val="22"/>
        </w:rPr>
        <w:t xml:space="preserve">  </w:t>
      </w:r>
      <w:r w:rsidR="009C4A8C" w:rsidRPr="005968CD">
        <w:rPr>
          <w:szCs w:val="22"/>
        </w:rPr>
        <w:t xml:space="preserve">Amelia County, Virginia similarly stated that “there have been times when we are totally inundated with </w:t>
      </w:r>
      <w:r w:rsidR="001B3645" w:rsidRPr="005968CD">
        <w:rPr>
          <w:szCs w:val="22"/>
        </w:rPr>
        <w:t>…</w:t>
      </w:r>
      <w:r w:rsidR="009C4A8C" w:rsidRPr="005968CD">
        <w:rPr>
          <w:szCs w:val="22"/>
        </w:rPr>
        <w:t xml:space="preserve"> calls from these phones.”</w:t>
      </w:r>
      <w:r w:rsidR="009C4A8C" w:rsidRPr="005968CD">
        <w:rPr>
          <w:rStyle w:val="FootnoteReference"/>
          <w:sz w:val="22"/>
          <w:szCs w:val="22"/>
        </w:rPr>
        <w:footnoteReference w:id="58"/>
      </w:r>
      <w:r w:rsidR="009C4A8C" w:rsidRPr="005968CD">
        <w:rPr>
          <w:szCs w:val="22"/>
        </w:rPr>
        <w:t xml:space="preserve">  Tennessee notes how calls from a single child in one night “nearly immobilized the call center’s ability to receive actual emergency calls.”</w:t>
      </w:r>
      <w:r w:rsidR="009C4A8C" w:rsidRPr="005968CD">
        <w:rPr>
          <w:rStyle w:val="FootnoteReference"/>
          <w:sz w:val="22"/>
          <w:szCs w:val="22"/>
        </w:rPr>
        <w:footnoteReference w:id="59"/>
      </w:r>
      <w:r w:rsidR="009C4A8C" w:rsidRPr="005968CD">
        <w:rPr>
          <w:szCs w:val="22"/>
        </w:rPr>
        <w:t xml:space="preserve">  </w:t>
      </w:r>
      <w:r w:rsidR="0086290A" w:rsidRPr="005968CD">
        <w:rPr>
          <w:szCs w:val="22"/>
        </w:rPr>
        <w:t>Spokane County, Washington noted receiving “911 calls from a non-initialized cellular phone that was an open line and therefore tied up one of our 911 trunks and made it unavailable for emergency calls.”</w:t>
      </w:r>
      <w:r w:rsidR="0086290A" w:rsidRPr="005968CD">
        <w:rPr>
          <w:rStyle w:val="FootnoteReference"/>
          <w:sz w:val="22"/>
          <w:szCs w:val="22"/>
        </w:rPr>
        <w:footnoteReference w:id="60"/>
      </w:r>
      <w:r w:rsidR="0086290A" w:rsidRPr="005968CD">
        <w:rPr>
          <w:szCs w:val="22"/>
        </w:rPr>
        <w:t xml:space="preserve">  </w:t>
      </w:r>
      <w:r w:rsidR="005C256F" w:rsidRPr="005968CD">
        <w:rPr>
          <w:szCs w:val="22"/>
        </w:rPr>
        <w:t>Laredo</w:t>
      </w:r>
      <w:r w:rsidR="0086290A" w:rsidRPr="005968CD">
        <w:rPr>
          <w:szCs w:val="22"/>
        </w:rPr>
        <w:t>,</w:t>
      </w:r>
      <w:r w:rsidR="005C256F" w:rsidRPr="005968CD">
        <w:rPr>
          <w:szCs w:val="22"/>
        </w:rPr>
        <w:t xml:space="preserve"> Texas </w:t>
      </w:r>
      <w:r w:rsidR="0038757C" w:rsidRPr="005968CD">
        <w:rPr>
          <w:szCs w:val="22"/>
        </w:rPr>
        <w:t>cited</w:t>
      </w:r>
      <w:r w:rsidR="005C256F" w:rsidRPr="005968CD">
        <w:rPr>
          <w:szCs w:val="22"/>
        </w:rPr>
        <w:t xml:space="preserve"> to bomb threats made from NSI phones which, when they “cannot be identified with absolute certainty as a hoax</w:t>
      </w:r>
      <w:r w:rsidR="0038757C" w:rsidRPr="005968CD">
        <w:rPr>
          <w:szCs w:val="22"/>
        </w:rPr>
        <w:t>,</w:t>
      </w:r>
      <w:r w:rsidR="008F791A" w:rsidRPr="005968CD">
        <w:rPr>
          <w:szCs w:val="22"/>
        </w:rPr>
        <w:t>” require deployment of response agencies to the alleged target.</w:t>
      </w:r>
      <w:r w:rsidR="008F791A" w:rsidRPr="005968CD">
        <w:rPr>
          <w:rStyle w:val="FootnoteReference"/>
          <w:sz w:val="22"/>
          <w:szCs w:val="22"/>
        </w:rPr>
        <w:footnoteReference w:id="61"/>
      </w:r>
      <w:r w:rsidR="00996259" w:rsidRPr="005968CD">
        <w:rPr>
          <w:szCs w:val="22"/>
        </w:rPr>
        <w:t xml:space="preserve">  </w:t>
      </w:r>
      <w:r w:rsidR="00FC40B6" w:rsidRPr="005968CD">
        <w:rPr>
          <w:szCs w:val="22"/>
        </w:rPr>
        <w:t>W</w:t>
      </w:r>
      <w:r w:rsidRPr="005968CD">
        <w:rPr>
          <w:szCs w:val="22"/>
        </w:rPr>
        <w:t xml:space="preserve">e </w:t>
      </w:r>
      <w:r w:rsidR="00A94386" w:rsidRPr="005968CD">
        <w:rPr>
          <w:szCs w:val="22"/>
        </w:rPr>
        <w:t>ask commenters to provide</w:t>
      </w:r>
      <w:r w:rsidRPr="005968CD">
        <w:rPr>
          <w:szCs w:val="22"/>
        </w:rPr>
        <w:t xml:space="preserve"> </w:t>
      </w:r>
      <w:r w:rsidR="009136E9" w:rsidRPr="005968CD">
        <w:rPr>
          <w:szCs w:val="22"/>
        </w:rPr>
        <w:t xml:space="preserve">for the record </w:t>
      </w:r>
      <w:r w:rsidR="009C4A8C" w:rsidRPr="005968CD">
        <w:rPr>
          <w:szCs w:val="22"/>
        </w:rPr>
        <w:t xml:space="preserve">further </w:t>
      </w:r>
      <w:r w:rsidRPr="005968CD">
        <w:rPr>
          <w:szCs w:val="22"/>
        </w:rPr>
        <w:t xml:space="preserve">instances </w:t>
      </w:r>
      <w:r w:rsidR="009136E9" w:rsidRPr="005968CD">
        <w:rPr>
          <w:szCs w:val="22"/>
        </w:rPr>
        <w:t>of</w:t>
      </w:r>
      <w:r w:rsidRPr="005968CD">
        <w:rPr>
          <w:szCs w:val="22"/>
        </w:rPr>
        <w:t xml:space="preserve"> fraudulent NSI calls </w:t>
      </w:r>
      <w:r w:rsidR="009136E9" w:rsidRPr="005968CD">
        <w:rPr>
          <w:szCs w:val="22"/>
        </w:rPr>
        <w:t>delaying</w:t>
      </w:r>
      <w:r w:rsidRPr="005968CD">
        <w:rPr>
          <w:szCs w:val="22"/>
        </w:rPr>
        <w:t xml:space="preserve"> the ability of public safety dispatchers to send help to callers in distress</w:t>
      </w:r>
      <w:r w:rsidR="009C4A8C" w:rsidRPr="005968CD">
        <w:rPr>
          <w:szCs w:val="22"/>
        </w:rPr>
        <w:t xml:space="preserve"> </w:t>
      </w:r>
      <w:r w:rsidR="009136E9" w:rsidRPr="005968CD">
        <w:rPr>
          <w:szCs w:val="22"/>
        </w:rPr>
        <w:t>or otherwise negatively impacting</w:t>
      </w:r>
      <w:r w:rsidR="009C4A8C" w:rsidRPr="005968CD">
        <w:rPr>
          <w:szCs w:val="22"/>
        </w:rPr>
        <w:t xml:space="preserve"> the ability of first responders to respond to actual emergencies</w:t>
      </w:r>
      <w:r w:rsidR="00FC40B6" w:rsidRPr="005968CD">
        <w:rPr>
          <w:szCs w:val="22"/>
        </w:rPr>
        <w:t>.</w:t>
      </w:r>
      <w:r w:rsidR="000A2739" w:rsidRPr="005968CD">
        <w:rPr>
          <w:szCs w:val="22"/>
        </w:rPr>
        <w:t xml:space="preserve">  </w:t>
      </w:r>
      <w:r w:rsidR="00272A68" w:rsidRPr="005968CD">
        <w:rPr>
          <w:szCs w:val="22"/>
        </w:rPr>
        <w:t xml:space="preserve">We also seek other examples of fraudulent NSI calls impeding public safety, such </w:t>
      </w:r>
      <w:r w:rsidR="00D04405" w:rsidRPr="005968CD">
        <w:rPr>
          <w:szCs w:val="22"/>
        </w:rPr>
        <w:t xml:space="preserve">as whether prison inmates have used the 911-calling capability of </w:t>
      </w:r>
      <w:r w:rsidR="00272A68" w:rsidRPr="005968CD">
        <w:rPr>
          <w:szCs w:val="22"/>
        </w:rPr>
        <w:t xml:space="preserve">NSI </w:t>
      </w:r>
      <w:r w:rsidR="006D1314" w:rsidRPr="005968CD">
        <w:rPr>
          <w:szCs w:val="22"/>
        </w:rPr>
        <w:t>devices</w:t>
      </w:r>
      <w:r w:rsidR="00272A68" w:rsidRPr="005968CD">
        <w:rPr>
          <w:szCs w:val="22"/>
        </w:rPr>
        <w:t xml:space="preserve"> to </w:t>
      </w:r>
      <w:r w:rsidR="00C46CCA" w:rsidRPr="005968CD">
        <w:rPr>
          <w:szCs w:val="22"/>
        </w:rPr>
        <w:t xml:space="preserve">harass PSAPs or to </w:t>
      </w:r>
      <w:r w:rsidR="00D04405" w:rsidRPr="005968CD">
        <w:rPr>
          <w:szCs w:val="22"/>
        </w:rPr>
        <w:t xml:space="preserve">circumvent </w:t>
      </w:r>
      <w:r w:rsidR="00272A68" w:rsidRPr="005968CD">
        <w:rPr>
          <w:szCs w:val="22"/>
        </w:rPr>
        <w:t xml:space="preserve">call blocking or managed access </w:t>
      </w:r>
      <w:r w:rsidR="00D04405" w:rsidRPr="005968CD">
        <w:rPr>
          <w:szCs w:val="22"/>
        </w:rPr>
        <w:t>technologies designed to deter contraband cellphone use</w:t>
      </w:r>
      <w:r w:rsidR="00945019" w:rsidRPr="005968CD">
        <w:rPr>
          <w:szCs w:val="22"/>
        </w:rPr>
        <w:t xml:space="preserve"> from inside prison facilities</w:t>
      </w:r>
      <w:r w:rsidR="00D04405" w:rsidRPr="005968CD">
        <w:rPr>
          <w:szCs w:val="22"/>
        </w:rPr>
        <w:t>.</w:t>
      </w:r>
      <w:r w:rsidR="00945019" w:rsidRPr="005968CD">
        <w:rPr>
          <w:rStyle w:val="FootnoteReference"/>
          <w:sz w:val="22"/>
          <w:szCs w:val="22"/>
        </w:rPr>
        <w:footnoteReference w:id="62"/>
      </w:r>
      <w:r w:rsidR="00272A68" w:rsidRPr="005968CD">
        <w:rPr>
          <w:szCs w:val="22"/>
        </w:rPr>
        <w:t xml:space="preserve">  </w:t>
      </w:r>
      <w:r w:rsidR="000A2739" w:rsidRPr="005968CD">
        <w:rPr>
          <w:szCs w:val="22"/>
        </w:rPr>
        <w:t xml:space="preserve">In </w:t>
      </w:r>
      <w:r w:rsidR="00945019" w:rsidRPr="005968CD">
        <w:rPr>
          <w:szCs w:val="22"/>
        </w:rPr>
        <w:t>all of the above examples</w:t>
      </w:r>
      <w:r w:rsidR="000A2739" w:rsidRPr="005968CD">
        <w:rPr>
          <w:szCs w:val="22"/>
        </w:rPr>
        <w:t>, we seek cost estimates of the losses – including financial or human capital resources – that PSAPs have incurred due to fraudulent calls</w:t>
      </w:r>
      <w:r w:rsidR="001865A4" w:rsidRPr="005968CD">
        <w:rPr>
          <w:szCs w:val="22"/>
        </w:rPr>
        <w:t>.</w:t>
      </w:r>
      <w:r w:rsidR="000A2739" w:rsidRPr="005968CD">
        <w:rPr>
          <w:szCs w:val="22"/>
        </w:rPr>
        <w:t xml:space="preserve"> </w:t>
      </w:r>
      <w:r w:rsidRPr="005968CD">
        <w:rPr>
          <w:szCs w:val="22"/>
        </w:rPr>
        <w:t xml:space="preserve"> </w:t>
      </w:r>
    </w:p>
    <w:p w14:paraId="2ACF777C" w14:textId="77777777" w:rsidR="001C1E36" w:rsidRPr="005968CD" w:rsidRDefault="00FC40B6">
      <w:pPr>
        <w:pStyle w:val="Heading3"/>
        <w:rPr>
          <w:szCs w:val="22"/>
        </w:rPr>
      </w:pPr>
      <w:bookmarkStart w:id="102" w:name="_Toc390332837"/>
      <w:bookmarkStart w:id="103" w:name="_Toc403549488"/>
      <w:bookmarkStart w:id="104" w:name="_Toc410743430"/>
      <w:bookmarkStart w:id="105" w:name="_Toc415573211"/>
      <w:r w:rsidRPr="005968CD">
        <w:rPr>
          <w:szCs w:val="22"/>
        </w:rPr>
        <w:t xml:space="preserve">Decreasing </w:t>
      </w:r>
      <w:r w:rsidR="00030C34" w:rsidRPr="005968CD">
        <w:rPr>
          <w:szCs w:val="22"/>
        </w:rPr>
        <w:t>Benefits of the NSI Rule</w:t>
      </w:r>
      <w:bookmarkEnd w:id="102"/>
      <w:bookmarkEnd w:id="103"/>
      <w:bookmarkEnd w:id="104"/>
      <w:bookmarkEnd w:id="105"/>
      <w:r w:rsidR="00030C34" w:rsidRPr="005968CD">
        <w:rPr>
          <w:szCs w:val="22"/>
        </w:rPr>
        <w:t xml:space="preserve"> </w:t>
      </w:r>
    </w:p>
    <w:p w14:paraId="74278970" w14:textId="77777777" w:rsidR="001C1E36" w:rsidRPr="005968CD" w:rsidRDefault="0020270A" w:rsidP="00412CDD">
      <w:pPr>
        <w:pStyle w:val="ParaNum"/>
        <w:widowControl/>
        <w:rPr>
          <w:szCs w:val="22"/>
        </w:rPr>
      </w:pPr>
      <w:r w:rsidRPr="005968CD">
        <w:rPr>
          <w:szCs w:val="22"/>
        </w:rPr>
        <w:t>At the same time that the NSI requirement imposes costs on public safety resources – by diverting much-needed resources from legitimate emergencies – the record suggests that the benefits of the NSI rule are diminishing</w:t>
      </w:r>
      <w:r w:rsidR="00030C34" w:rsidRPr="005968CD">
        <w:rPr>
          <w:szCs w:val="22"/>
        </w:rPr>
        <w:t xml:space="preserve"> and the need for the rule is decreasing</w:t>
      </w:r>
      <w:r w:rsidRPr="005968CD">
        <w:rPr>
          <w:szCs w:val="22"/>
        </w:rPr>
        <w:t xml:space="preserve">.  We seek comment on whether this is the case. </w:t>
      </w:r>
      <w:r w:rsidR="00030C34" w:rsidRPr="005968CD">
        <w:rPr>
          <w:szCs w:val="22"/>
        </w:rPr>
        <w:t xml:space="preserve"> </w:t>
      </w:r>
      <w:r w:rsidR="00EC00A8" w:rsidRPr="005968CD">
        <w:rPr>
          <w:szCs w:val="22"/>
        </w:rPr>
        <w:t>For example, s</w:t>
      </w:r>
      <w:r w:rsidR="00017748" w:rsidRPr="005968CD">
        <w:rPr>
          <w:szCs w:val="22"/>
        </w:rPr>
        <w:t xml:space="preserve">everal commenters pointed out that service-initialized </w:t>
      </w:r>
      <w:r w:rsidR="00B740EF" w:rsidRPr="005968CD">
        <w:rPr>
          <w:szCs w:val="22"/>
        </w:rPr>
        <w:t>device</w:t>
      </w:r>
      <w:r w:rsidR="00017748" w:rsidRPr="005968CD">
        <w:rPr>
          <w:szCs w:val="22"/>
        </w:rPr>
        <w:t>s have become far more ubiquitous and inexpensive</w:t>
      </w:r>
      <w:r w:rsidR="00A92DAD" w:rsidRPr="005968CD">
        <w:rPr>
          <w:szCs w:val="22"/>
        </w:rPr>
        <w:t>,</w:t>
      </w:r>
      <w:r w:rsidR="00017748" w:rsidRPr="005968CD">
        <w:rPr>
          <w:szCs w:val="22"/>
        </w:rPr>
        <w:t xml:space="preserve"> as compared to when the Commission originally implemented the NSI rule</w:t>
      </w:r>
      <w:r w:rsidR="00A92DAD" w:rsidRPr="005968CD">
        <w:rPr>
          <w:szCs w:val="22"/>
        </w:rPr>
        <w:t xml:space="preserve">, thereby decreasing public reliance on the ability of NSI </w:t>
      </w:r>
      <w:r w:rsidR="00B740EF" w:rsidRPr="005968CD">
        <w:rPr>
          <w:szCs w:val="22"/>
        </w:rPr>
        <w:t>device</w:t>
      </w:r>
      <w:r w:rsidR="00A92DAD" w:rsidRPr="005968CD">
        <w:rPr>
          <w:szCs w:val="22"/>
        </w:rPr>
        <w:t>s to call 911</w:t>
      </w:r>
      <w:r w:rsidR="00FC40B6" w:rsidRPr="005968CD">
        <w:rPr>
          <w:szCs w:val="22"/>
        </w:rPr>
        <w:t>.</w:t>
      </w:r>
      <w:r w:rsidR="00FC40B6" w:rsidRPr="005968CD">
        <w:rPr>
          <w:rStyle w:val="FootnoteReference"/>
          <w:sz w:val="22"/>
          <w:szCs w:val="22"/>
        </w:rPr>
        <w:footnoteReference w:id="63"/>
      </w:r>
      <w:r w:rsidR="00017748" w:rsidRPr="005968CD">
        <w:rPr>
          <w:szCs w:val="22"/>
        </w:rPr>
        <w:t xml:space="preserve">  Washington State</w:t>
      </w:r>
      <w:r w:rsidR="00EC00A8" w:rsidRPr="005968CD">
        <w:rPr>
          <w:szCs w:val="22"/>
        </w:rPr>
        <w:t>, for instance,</w:t>
      </w:r>
      <w:r w:rsidR="00017748" w:rsidRPr="005968CD">
        <w:rPr>
          <w:szCs w:val="22"/>
        </w:rPr>
        <w:t xml:space="preserve"> noted that when the</w:t>
      </w:r>
      <w:r w:rsidR="00EC00A8" w:rsidRPr="005968CD">
        <w:rPr>
          <w:szCs w:val="22"/>
        </w:rPr>
        <w:t xml:space="preserve"> NSI</w:t>
      </w:r>
      <w:r w:rsidR="00017748" w:rsidRPr="005968CD">
        <w:rPr>
          <w:szCs w:val="22"/>
        </w:rPr>
        <w:t xml:space="preserve"> rule was adopted, there were few opportunities for a customer to acquire a wireless </w:t>
      </w:r>
      <w:r w:rsidR="00B740EF" w:rsidRPr="005968CD">
        <w:rPr>
          <w:szCs w:val="22"/>
        </w:rPr>
        <w:t>device</w:t>
      </w:r>
      <w:r w:rsidR="00017748" w:rsidRPr="005968CD">
        <w:rPr>
          <w:szCs w:val="22"/>
        </w:rPr>
        <w:t xml:space="preserve"> other than </w:t>
      </w:r>
      <w:r w:rsidR="001865A4" w:rsidRPr="005968CD">
        <w:rPr>
          <w:szCs w:val="22"/>
        </w:rPr>
        <w:t xml:space="preserve">by </w:t>
      </w:r>
      <w:r w:rsidR="00017748" w:rsidRPr="005968CD">
        <w:rPr>
          <w:szCs w:val="22"/>
        </w:rPr>
        <w:t>signing a relatively expensive long-term contract.</w:t>
      </w:r>
      <w:r w:rsidR="00593229" w:rsidRPr="005968CD">
        <w:rPr>
          <w:rStyle w:val="FootnoteReference"/>
          <w:sz w:val="22"/>
          <w:szCs w:val="22"/>
        </w:rPr>
        <w:footnoteReference w:id="64"/>
      </w:r>
      <w:r w:rsidR="00017748" w:rsidRPr="005968CD">
        <w:rPr>
          <w:szCs w:val="22"/>
        </w:rPr>
        <w:t xml:space="preserve">  Thus, while the rule o</w:t>
      </w:r>
      <w:r w:rsidR="0038757C" w:rsidRPr="005968CD">
        <w:rPr>
          <w:szCs w:val="22"/>
        </w:rPr>
        <w:t>riginally ensured access to 911-</w:t>
      </w:r>
      <w:r w:rsidR="00017748" w:rsidRPr="005968CD">
        <w:rPr>
          <w:szCs w:val="22"/>
        </w:rPr>
        <w:t xml:space="preserve">service for segments of the population that could not afford a long-term wireless subscription, Washington contended that service-initialized </w:t>
      </w:r>
      <w:r w:rsidR="00B740EF" w:rsidRPr="005968CD">
        <w:rPr>
          <w:szCs w:val="22"/>
        </w:rPr>
        <w:t>device</w:t>
      </w:r>
      <w:r w:rsidR="00017748" w:rsidRPr="005968CD">
        <w:rPr>
          <w:szCs w:val="22"/>
        </w:rPr>
        <w:t>s are now sufficiently ubiquitous and affordable to render the rule unnecessary.</w:t>
      </w:r>
      <w:r w:rsidR="00593229" w:rsidRPr="005968CD">
        <w:rPr>
          <w:rStyle w:val="FootnoteReference"/>
          <w:sz w:val="22"/>
          <w:szCs w:val="22"/>
        </w:rPr>
        <w:footnoteReference w:id="65"/>
      </w:r>
      <w:r w:rsidR="00017748" w:rsidRPr="005968CD">
        <w:rPr>
          <w:szCs w:val="22"/>
        </w:rPr>
        <w:t xml:space="preserve"> </w:t>
      </w:r>
      <w:r w:rsidR="00A92DAD" w:rsidRPr="005968CD">
        <w:rPr>
          <w:szCs w:val="22"/>
        </w:rPr>
        <w:t xml:space="preserve"> </w:t>
      </w:r>
      <w:r w:rsidR="00E02EBE" w:rsidRPr="005968CD">
        <w:rPr>
          <w:szCs w:val="22"/>
        </w:rPr>
        <w:t>CTIA likewise indicated that wireless device</w:t>
      </w:r>
      <w:r w:rsidR="000A0C76" w:rsidRPr="005968CD">
        <w:rPr>
          <w:szCs w:val="22"/>
        </w:rPr>
        <w:t xml:space="preserve"> “[p]rices in the U.S. keep dropping.  … Since 2006, wireless CPI has fallen 8.0%, even as the CPI for all items has increased 16.7%.”</w:t>
      </w:r>
      <w:r w:rsidR="000A0C76" w:rsidRPr="005968CD">
        <w:rPr>
          <w:rStyle w:val="FootnoteReference"/>
          <w:sz w:val="22"/>
          <w:szCs w:val="22"/>
        </w:rPr>
        <w:footnoteReference w:id="66"/>
      </w:r>
      <w:r w:rsidR="000A0C76" w:rsidRPr="005968CD">
        <w:rPr>
          <w:szCs w:val="22"/>
        </w:rPr>
        <w:t xml:space="preserve">  In this regard, we note that the</w:t>
      </w:r>
      <w:r w:rsidR="00A92DAD" w:rsidRPr="005968CD">
        <w:rPr>
          <w:szCs w:val="22"/>
        </w:rPr>
        <w:t xml:space="preserve"> Bureau of Labor Statistics’ Wireless Price Index show</w:t>
      </w:r>
      <w:r w:rsidR="00E02EBE" w:rsidRPr="005968CD">
        <w:rPr>
          <w:szCs w:val="22"/>
        </w:rPr>
        <w:t>s</w:t>
      </w:r>
      <w:r w:rsidR="00A92DAD" w:rsidRPr="005968CD">
        <w:rPr>
          <w:szCs w:val="22"/>
        </w:rPr>
        <w:t xml:space="preserve"> that the effective monthly cost of wireless service to consumers has fallen by more than 40% since December 1997.</w:t>
      </w:r>
      <w:r w:rsidR="00A92DAD" w:rsidRPr="005968CD">
        <w:rPr>
          <w:rStyle w:val="FootnoteReference"/>
          <w:sz w:val="22"/>
          <w:szCs w:val="22"/>
        </w:rPr>
        <w:footnoteReference w:id="67"/>
      </w:r>
      <w:r w:rsidR="000A0C76" w:rsidRPr="005968CD">
        <w:rPr>
          <w:szCs w:val="22"/>
        </w:rPr>
        <w:t xml:space="preserve">  </w:t>
      </w:r>
      <w:r w:rsidR="00A92DAD" w:rsidRPr="005968CD">
        <w:rPr>
          <w:szCs w:val="22"/>
        </w:rPr>
        <w:t xml:space="preserve">There has also been a proliferation of pre-paid </w:t>
      </w:r>
      <w:r w:rsidR="00B740EF" w:rsidRPr="005968CD">
        <w:rPr>
          <w:szCs w:val="22"/>
        </w:rPr>
        <w:t>device</w:t>
      </w:r>
      <w:r w:rsidR="00A92DAD" w:rsidRPr="005968CD">
        <w:rPr>
          <w:szCs w:val="22"/>
        </w:rPr>
        <w:t>s since the Commission promulgated the NSI rule.  For example, CTIA reported that “76.4 million consumers had prepaid plans in 2012,</w:t>
      </w:r>
      <w:r w:rsidR="00E02EBE" w:rsidRPr="005968CD">
        <w:rPr>
          <w:szCs w:val="22"/>
        </w:rPr>
        <w:t xml:space="preserve"> up from 71.7 million in 2011.”</w:t>
      </w:r>
      <w:r w:rsidR="00A92DAD" w:rsidRPr="005968CD">
        <w:rPr>
          <w:rStyle w:val="FootnoteReference"/>
          <w:sz w:val="22"/>
          <w:szCs w:val="22"/>
        </w:rPr>
        <w:footnoteReference w:id="68"/>
      </w:r>
    </w:p>
    <w:p w14:paraId="2BD09323" w14:textId="185EA90B" w:rsidR="001C1E36" w:rsidRPr="005968CD" w:rsidRDefault="000A0C76" w:rsidP="00412CDD">
      <w:pPr>
        <w:pStyle w:val="ParaNum"/>
        <w:widowControl/>
        <w:rPr>
          <w:szCs w:val="22"/>
        </w:rPr>
      </w:pPr>
      <w:r w:rsidRPr="005968CD">
        <w:rPr>
          <w:szCs w:val="22"/>
        </w:rPr>
        <w:t>Several commenters have</w:t>
      </w:r>
      <w:r w:rsidR="00017748" w:rsidRPr="005968CD">
        <w:rPr>
          <w:szCs w:val="22"/>
        </w:rPr>
        <w:t xml:space="preserve"> </w:t>
      </w:r>
      <w:r w:rsidR="00951A58" w:rsidRPr="005968CD">
        <w:rPr>
          <w:szCs w:val="22"/>
        </w:rPr>
        <w:t xml:space="preserve">also </w:t>
      </w:r>
      <w:r w:rsidR="00737E3D" w:rsidRPr="005968CD">
        <w:rPr>
          <w:szCs w:val="22"/>
        </w:rPr>
        <w:t>note</w:t>
      </w:r>
      <w:r w:rsidRPr="005968CD">
        <w:rPr>
          <w:szCs w:val="22"/>
        </w:rPr>
        <w:t>d</w:t>
      </w:r>
      <w:r w:rsidR="00017748" w:rsidRPr="005968CD">
        <w:rPr>
          <w:szCs w:val="22"/>
        </w:rPr>
        <w:t xml:space="preserve"> the </w:t>
      </w:r>
      <w:r w:rsidR="005253BB">
        <w:rPr>
          <w:szCs w:val="22"/>
        </w:rPr>
        <w:t xml:space="preserve">potential of </w:t>
      </w:r>
      <w:r w:rsidR="00017748" w:rsidRPr="005968CD">
        <w:rPr>
          <w:szCs w:val="22"/>
        </w:rPr>
        <w:t>Lifeline</w:t>
      </w:r>
      <w:r w:rsidR="005253BB">
        <w:rPr>
          <w:szCs w:val="22"/>
        </w:rPr>
        <w:t xml:space="preserve">-supported </w:t>
      </w:r>
      <w:r w:rsidR="00017748" w:rsidRPr="005968CD">
        <w:rPr>
          <w:szCs w:val="22"/>
        </w:rPr>
        <w:t>wireless services</w:t>
      </w:r>
      <w:r w:rsidR="00E02EBE" w:rsidRPr="005968CD">
        <w:rPr>
          <w:szCs w:val="22"/>
        </w:rPr>
        <w:t xml:space="preserve"> </w:t>
      </w:r>
      <w:r w:rsidR="005253BB">
        <w:rPr>
          <w:szCs w:val="22"/>
        </w:rPr>
        <w:t>to provide a sufficient alternative to NSI phones.</w:t>
      </w:r>
      <w:r w:rsidRPr="005968CD">
        <w:rPr>
          <w:rStyle w:val="FootnoteReference"/>
          <w:sz w:val="22"/>
          <w:szCs w:val="22"/>
        </w:rPr>
        <w:footnoteReference w:id="69"/>
      </w:r>
      <w:r w:rsidR="00017748" w:rsidRPr="005968CD">
        <w:rPr>
          <w:szCs w:val="22"/>
        </w:rPr>
        <w:t xml:space="preserve">    Accordingly, we seek comment on whether the increasing ubiquity and decreasing cost of service</w:t>
      </w:r>
      <w:r w:rsidR="001865A4" w:rsidRPr="005968CD">
        <w:rPr>
          <w:szCs w:val="22"/>
        </w:rPr>
        <w:t>-</w:t>
      </w:r>
      <w:r w:rsidR="00017748" w:rsidRPr="005968CD">
        <w:rPr>
          <w:szCs w:val="22"/>
        </w:rPr>
        <w:t xml:space="preserve">initialized </w:t>
      </w:r>
      <w:r w:rsidR="00B740EF" w:rsidRPr="005968CD">
        <w:rPr>
          <w:szCs w:val="22"/>
        </w:rPr>
        <w:t>device</w:t>
      </w:r>
      <w:r w:rsidR="00017748" w:rsidRPr="005968CD">
        <w:rPr>
          <w:szCs w:val="22"/>
        </w:rPr>
        <w:t xml:space="preserve">s </w:t>
      </w:r>
      <w:r w:rsidR="005253BB">
        <w:rPr>
          <w:szCs w:val="22"/>
        </w:rPr>
        <w:t>obviates</w:t>
      </w:r>
      <w:r w:rsidR="00017748" w:rsidRPr="005968CD">
        <w:rPr>
          <w:szCs w:val="22"/>
        </w:rPr>
        <w:t xml:space="preserve"> the need for the NSI rule.  </w:t>
      </w:r>
      <w:r w:rsidR="001865A4" w:rsidRPr="005968CD">
        <w:rPr>
          <w:szCs w:val="22"/>
        </w:rPr>
        <w:t>Does the increased availability and use of pre-paid services prov</w:t>
      </w:r>
      <w:r w:rsidR="00951A58" w:rsidRPr="005968CD">
        <w:rPr>
          <w:szCs w:val="22"/>
        </w:rPr>
        <w:t xml:space="preserve">ide a sufficient alternative?  </w:t>
      </w:r>
    </w:p>
    <w:p w14:paraId="7BA96C85" w14:textId="77777777" w:rsidR="000A0C76" w:rsidRPr="005968CD" w:rsidRDefault="000A0C76" w:rsidP="00412CDD">
      <w:pPr>
        <w:pStyle w:val="ParaNum"/>
        <w:widowControl/>
        <w:rPr>
          <w:szCs w:val="22"/>
        </w:rPr>
      </w:pPr>
      <w:r w:rsidRPr="005968CD">
        <w:rPr>
          <w:szCs w:val="22"/>
        </w:rPr>
        <w:t>Many commenters also referenced a decrease i</w:t>
      </w:r>
      <w:r w:rsidR="00D505AD" w:rsidRPr="005968CD">
        <w:rPr>
          <w:szCs w:val="22"/>
        </w:rPr>
        <w:t>n NSI handset donation programs</w:t>
      </w:r>
      <w:r w:rsidRPr="005968CD">
        <w:rPr>
          <w:szCs w:val="22"/>
        </w:rPr>
        <w:t>.</w:t>
      </w:r>
      <w:r w:rsidRPr="005968CD">
        <w:rPr>
          <w:rStyle w:val="FootnoteReference"/>
          <w:sz w:val="22"/>
          <w:szCs w:val="22"/>
        </w:rPr>
        <w:footnoteReference w:id="70"/>
      </w:r>
      <w:r w:rsidRPr="005968CD">
        <w:rPr>
          <w:szCs w:val="22"/>
        </w:rPr>
        <w:t xml:space="preserve">  For example, NENA stated that “most charities and domestic violence advocates [have] abandoned the practice of distributing NSI devices.”</w:t>
      </w:r>
      <w:r w:rsidRPr="005968CD">
        <w:rPr>
          <w:rStyle w:val="FootnoteReference"/>
          <w:sz w:val="22"/>
          <w:szCs w:val="22"/>
        </w:rPr>
        <w:footnoteReference w:id="71"/>
      </w:r>
      <w:r w:rsidRPr="005968CD">
        <w:rPr>
          <w:szCs w:val="22"/>
        </w:rPr>
        <w:t xml:space="preserve">  </w:t>
      </w:r>
      <w:r w:rsidRPr="005968CD">
        <w:rPr>
          <w:color w:val="000000"/>
          <w:szCs w:val="22"/>
        </w:rPr>
        <w:t>APCO similarly indicated that “our understanding is that current programs [for at-risk individuals] only distribute handsets that have at least limited carrier- subscription status and are ‘service initialized.’”</w:t>
      </w:r>
      <w:r w:rsidRPr="005968CD">
        <w:rPr>
          <w:rStyle w:val="FootnoteReference"/>
          <w:sz w:val="22"/>
          <w:szCs w:val="22"/>
        </w:rPr>
        <w:footnoteReference w:id="72"/>
      </w:r>
      <w:r w:rsidR="00060A15" w:rsidRPr="005968CD">
        <w:rPr>
          <w:color w:val="000000"/>
          <w:szCs w:val="22"/>
        </w:rPr>
        <w:t xml:space="preserve">  This also seems to indicate a decreasing need for the NSI rule due to fewer NSI devices in circulation.</w:t>
      </w:r>
    </w:p>
    <w:p w14:paraId="2DB51D1C" w14:textId="77777777" w:rsidR="001C1E36" w:rsidRPr="005968CD" w:rsidRDefault="00345564" w:rsidP="00412CDD">
      <w:pPr>
        <w:pStyle w:val="ParaNum"/>
        <w:widowControl/>
        <w:rPr>
          <w:szCs w:val="22"/>
        </w:rPr>
      </w:pPr>
      <w:r w:rsidRPr="005968CD">
        <w:rPr>
          <w:szCs w:val="22"/>
        </w:rPr>
        <w:t xml:space="preserve">Two </w:t>
      </w:r>
      <w:r w:rsidR="00017748" w:rsidRPr="005968CD">
        <w:rPr>
          <w:szCs w:val="22"/>
        </w:rPr>
        <w:t xml:space="preserve">public safety commenters also argued that eliminating the NSI </w:t>
      </w:r>
      <w:r w:rsidR="000A2739" w:rsidRPr="005968CD">
        <w:rPr>
          <w:szCs w:val="22"/>
        </w:rPr>
        <w:t>requirement</w:t>
      </w:r>
      <w:r w:rsidR="00017748" w:rsidRPr="005968CD">
        <w:rPr>
          <w:szCs w:val="22"/>
        </w:rPr>
        <w:t xml:space="preserve"> would</w:t>
      </w:r>
      <w:r w:rsidR="007E336C" w:rsidRPr="005968CD">
        <w:rPr>
          <w:szCs w:val="22"/>
        </w:rPr>
        <w:t xml:space="preserve"> </w:t>
      </w:r>
      <w:r w:rsidR="00017748" w:rsidRPr="005968CD">
        <w:rPr>
          <w:szCs w:val="22"/>
        </w:rPr>
        <w:t xml:space="preserve">eliminate false expectations among NSI </w:t>
      </w:r>
      <w:r w:rsidR="00B740EF" w:rsidRPr="005968CD">
        <w:rPr>
          <w:szCs w:val="22"/>
        </w:rPr>
        <w:t>device</w:t>
      </w:r>
      <w:r w:rsidR="00017748" w:rsidRPr="005968CD">
        <w:rPr>
          <w:szCs w:val="22"/>
        </w:rPr>
        <w:t xml:space="preserve"> users who are unaware that NSI </w:t>
      </w:r>
      <w:r w:rsidR="00B740EF" w:rsidRPr="005968CD">
        <w:rPr>
          <w:szCs w:val="22"/>
        </w:rPr>
        <w:t>device</w:t>
      </w:r>
      <w:r w:rsidR="00017748" w:rsidRPr="005968CD">
        <w:rPr>
          <w:szCs w:val="22"/>
        </w:rPr>
        <w:t>s do not provide 911 call-back capability or Phase II location information.</w:t>
      </w:r>
      <w:r w:rsidR="00593229" w:rsidRPr="005968CD">
        <w:rPr>
          <w:rStyle w:val="FootnoteReference"/>
          <w:sz w:val="22"/>
          <w:szCs w:val="22"/>
        </w:rPr>
        <w:footnoteReference w:id="73"/>
      </w:r>
      <w:r w:rsidR="00017748" w:rsidRPr="005968CD">
        <w:rPr>
          <w:szCs w:val="22"/>
        </w:rPr>
        <w:t xml:space="preserve">  According to King County, “[s]ome of our most vulnerable populations, such as the elderly, are depending on NSI phones as their contact with emergency services, yet they are the least capable of overcoming the lack of E911 features, such as no call-back number or location.  If their 911 call gets disconnected, as is frequent with wireless service, they may not understand that the PSAP cannot call them back or respond unless they initiate another call to 911.”</w:t>
      </w:r>
      <w:r w:rsidR="00593229" w:rsidRPr="005968CD">
        <w:rPr>
          <w:rStyle w:val="FootnoteReference"/>
          <w:sz w:val="22"/>
          <w:szCs w:val="22"/>
        </w:rPr>
        <w:footnoteReference w:id="74"/>
      </w:r>
    </w:p>
    <w:p w14:paraId="182A7924" w14:textId="37D666AC" w:rsidR="00484C45" w:rsidRPr="005968CD" w:rsidRDefault="00F542E9" w:rsidP="00412CDD">
      <w:pPr>
        <w:pStyle w:val="ParaNum"/>
        <w:widowControl/>
        <w:tabs>
          <w:tab w:val="left" w:pos="900"/>
        </w:tabs>
        <w:snapToGrid w:val="0"/>
        <w:rPr>
          <w:szCs w:val="22"/>
        </w:rPr>
      </w:pPr>
      <w:r w:rsidRPr="005968CD">
        <w:rPr>
          <w:szCs w:val="22"/>
        </w:rPr>
        <w:t>Other</w:t>
      </w:r>
      <w:r w:rsidR="00593229" w:rsidRPr="005968CD">
        <w:rPr>
          <w:szCs w:val="22"/>
        </w:rPr>
        <w:t xml:space="preserve"> commenters</w:t>
      </w:r>
      <w:r w:rsidRPr="005968CD">
        <w:rPr>
          <w:szCs w:val="22"/>
        </w:rPr>
        <w:t>, however,</w:t>
      </w:r>
      <w:r w:rsidR="00593229" w:rsidRPr="005968CD">
        <w:rPr>
          <w:szCs w:val="22"/>
        </w:rPr>
        <w:t xml:space="preserve"> argued that the public has come to rely on the fact that NSI </w:t>
      </w:r>
      <w:r w:rsidR="00B740EF" w:rsidRPr="005968CD">
        <w:rPr>
          <w:szCs w:val="22"/>
        </w:rPr>
        <w:t>device</w:t>
      </w:r>
      <w:r w:rsidR="00593229" w:rsidRPr="005968CD">
        <w:rPr>
          <w:szCs w:val="22"/>
        </w:rPr>
        <w:t>s are 911-capable, and that eliminating the call-forwarding requirement could lead to tragic results given this public reliance.</w:t>
      </w:r>
      <w:r w:rsidR="00593229" w:rsidRPr="005968CD">
        <w:rPr>
          <w:rStyle w:val="FootnoteReference"/>
          <w:sz w:val="22"/>
          <w:szCs w:val="22"/>
        </w:rPr>
        <w:footnoteReference w:id="75"/>
      </w:r>
      <w:r w:rsidR="00593229" w:rsidRPr="005968CD">
        <w:rPr>
          <w:szCs w:val="22"/>
        </w:rPr>
        <w:t xml:space="preserve">  CTIA, for example, stated that the public now has a “reasonable expectation that all wireless 911 calls will terminate at a PSAP.”</w:t>
      </w:r>
      <w:r w:rsidR="00593229" w:rsidRPr="005968CD">
        <w:rPr>
          <w:rStyle w:val="FootnoteReference"/>
          <w:sz w:val="22"/>
          <w:szCs w:val="22"/>
        </w:rPr>
        <w:footnoteReference w:id="76"/>
      </w:r>
      <w:r w:rsidR="00593229" w:rsidRPr="005968CD">
        <w:rPr>
          <w:szCs w:val="22"/>
        </w:rPr>
        <w:t xml:space="preserve">  Likewise, the Petitioners noted that they “while [they] are sympathetic to those comments that call for an outright FCC reversal of the ‘forward all’ calls rule, [they] cannot support such a request at this time because there remain a significant number of legitimate 9-1-1 calls from NSI devices (even if they represent a low percentage of all NSI calls).”</w:t>
      </w:r>
      <w:r w:rsidR="00593229" w:rsidRPr="005968CD">
        <w:rPr>
          <w:rStyle w:val="FootnoteReference"/>
          <w:sz w:val="22"/>
          <w:szCs w:val="22"/>
        </w:rPr>
        <w:footnoteReference w:id="77"/>
      </w:r>
      <w:r w:rsidR="00277374" w:rsidRPr="005968CD">
        <w:rPr>
          <w:szCs w:val="22"/>
        </w:rPr>
        <w:t xml:space="preserve">  </w:t>
      </w:r>
      <w:r w:rsidR="00593229" w:rsidRPr="005968CD">
        <w:rPr>
          <w:szCs w:val="22"/>
        </w:rPr>
        <w:t>California highlighted that “[c]alls from non-initializ</w:t>
      </w:r>
      <w:r w:rsidR="00D505AD" w:rsidRPr="005968CD">
        <w:rPr>
          <w:szCs w:val="22"/>
        </w:rPr>
        <w:t>ed phones have saved many lives</w:t>
      </w:r>
      <w:r w:rsidR="00593229" w:rsidRPr="005968CD">
        <w:rPr>
          <w:szCs w:val="22"/>
        </w:rPr>
        <w:t xml:space="preserve">” </w:t>
      </w:r>
      <w:r w:rsidR="00D505AD" w:rsidRPr="005968CD">
        <w:rPr>
          <w:szCs w:val="22"/>
        </w:rPr>
        <w:t xml:space="preserve">while </w:t>
      </w:r>
      <w:r w:rsidR="00593229" w:rsidRPr="005968CD">
        <w:rPr>
          <w:szCs w:val="22"/>
        </w:rPr>
        <w:t>Maryland indicated that 30% of calls to 911 from NSI handsets were legitimate in Montgomery County during the one</w:t>
      </w:r>
      <w:r w:rsidR="00A92DAD" w:rsidRPr="005968CD">
        <w:rPr>
          <w:szCs w:val="22"/>
        </w:rPr>
        <w:t>-</w:t>
      </w:r>
      <w:r w:rsidR="00593229" w:rsidRPr="005968CD">
        <w:rPr>
          <w:szCs w:val="22"/>
        </w:rPr>
        <w:t>month period studied in 2008.</w:t>
      </w:r>
      <w:r w:rsidR="00593229" w:rsidRPr="005968CD">
        <w:rPr>
          <w:rStyle w:val="FootnoteReference"/>
          <w:sz w:val="22"/>
          <w:szCs w:val="22"/>
        </w:rPr>
        <w:footnoteReference w:id="78"/>
      </w:r>
      <w:r w:rsidR="00593229" w:rsidRPr="005968CD">
        <w:rPr>
          <w:szCs w:val="22"/>
        </w:rPr>
        <w:t xml:space="preserve"> </w:t>
      </w:r>
      <w:r w:rsidR="005476EB" w:rsidRPr="005968CD">
        <w:rPr>
          <w:szCs w:val="22"/>
        </w:rPr>
        <w:t xml:space="preserve"> </w:t>
      </w:r>
      <w:r w:rsidR="00B5094D" w:rsidRPr="005968CD">
        <w:rPr>
          <w:szCs w:val="22"/>
        </w:rPr>
        <w:t>Vermont</w:t>
      </w:r>
      <w:r w:rsidR="007535DB" w:rsidRPr="005968CD">
        <w:rPr>
          <w:szCs w:val="22"/>
        </w:rPr>
        <w:t xml:space="preserve"> </w:t>
      </w:r>
      <w:r w:rsidR="00D505AD" w:rsidRPr="005968CD">
        <w:rPr>
          <w:szCs w:val="22"/>
        </w:rPr>
        <w:t xml:space="preserve">also </w:t>
      </w:r>
      <w:r w:rsidR="007535DB" w:rsidRPr="005968CD">
        <w:rPr>
          <w:szCs w:val="22"/>
        </w:rPr>
        <w:t>qu</w:t>
      </w:r>
      <w:r w:rsidRPr="005968CD">
        <w:rPr>
          <w:szCs w:val="22"/>
        </w:rPr>
        <w:t>estions the availability of low-</w:t>
      </w:r>
      <w:r w:rsidR="007535DB" w:rsidRPr="005968CD">
        <w:rPr>
          <w:szCs w:val="22"/>
        </w:rPr>
        <w:t>cost service-initialized devices</w:t>
      </w:r>
      <w:r w:rsidR="00D505AD" w:rsidRPr="005968CD">
        <w:rPr>
          <w:rStyle w:val="FootnoteReference"/>
          <w:sz w:val="22"/>
          <w:szCs w:val="22"/>
        </w:rPr>
        <w:footnoteReference w:id="79"/>
      </w:r>
      <w:r w:rsidR="00B5094D" w:rsidRPr="005968CD">
        <w:rPr>
          <w:szCs w:val="22"/>
        </w:rPr>
        <w:t xml:space="preserve">  Vermont further states that it is “puzzled by the comment that calls on these devices do not include location information, [our review] clearly identified a high percentage of calls from NSI devices that arrive with Phase II location information.”</w:t>
      </w:r>
      <w:r w:rsidR="00B5094D" w:rsidRPr="005968CD">
        <w:rPr>
          <w:rStyle w:val="FootnoteReference"/>
          <w:sz w:val="22"/>
          <w:szCs w:val="22"/>
        </w:rPr>
        <w:footnoteReference w:id="80"/>
      </w:r>
      <w:r w:rsidR="00B5094D" w:rsidRPr="005968CD">
        <w:rPr>
          <w:szCs w:val="22"/>
        </w:rPr>
        <w:t xml:space="preserve">  </w:t>
      </w:r>
    </w:p>
    <w:p w14:paraId="307615DF" w14:textId="52E84D24" w:rsidR="001C1E36" w:rsidRPr="00C7010D" w:rsidRDefault="00260585" w:rsidP="00C7010D">
      <w:pPr>
        <w:pStyle w:val="ParaNum"/>
        <w:widowControl/>
        <w:tabs>
          <w:tab w:val="left" w:pos="900"/>
        </w:tabs>
        <w:snapToGrid w:val="0"/>
        <w:rPr>
          <w:szCs w:val="22"/>
        </w:rPr>
      </w:pPr>
      <w:r w:rsidRPr="005968CD">
        <w:rPr>
          <w:szCs w:val="22"/>
        </w:rPr>
        <w:t>Accordingly, w</w:t>
      </w:r>
      <w:r w:rsidR="00875034" w:rsidRPr="005968CD">
        <w:rPr>
          <w:szCs w:val="22"/>
        </w:rPr>
        <w:t xml:space="preserve">e seek comment on </w:t>
      </w:r>
      <w:r w:rsidR="00A9095B">
        <w:rPr>
          <w:szCs w:val="22"/>
        </w:rPr>
        <w:t xml:space="preserve">the extent to which </w:t>
      </w:r>
      <w:r w:rsidR="004C57B8">
        <w:rPr>
          <w:szCs w:val="22"/>
        </w:rPr>
        <w:t xml:space="preserve">the public, especially </w:t>
      </w:r>
      <w:r w:rsidR="004C57B8" w:rsidRPr="005968CD">
        <w:rPr>
          <w:szCs w:val="22"/>
        </w:rPr>
        <w:t>lower-income populations, the elderly, and other vulnerable segments of society</w:t>
      </w:r>
      <w:r w:rsidR="004C57B8">
        <w:rPr>
          <w:szCs w:val="22"/>
        </w:rPr>
        <w:t xml:space="preserve">, </w:t>
      </w:r>
      <w:r w:rsidR="00A9095B">
        <w:rPr>
          <w:szCs w:val="22"/>
        </w:rPr>
        <w:t>still rely on the</w:t>
      </w:r>
      <w:r w:rsidR="00A9095B" w:rsidRPr="005968CD">
        <w:rPr>
          <w:szCs w:val="22"/>
        </w:rPr>
        <w:t xml:space="preserve"> use of NSI devices to seek emergency assistance</w:t>
      </w:r>
      <w:r w:rsidR="004C57B8">
        <w:rPr>
          <w:szCs w:val="22"/>
        </w:rPr>
        <w:t>.</w:t>
      </w:r>
      <w:r w:rsidR="00A9095B" w:rsidRPr="005968CD">
        <w:rPr>
          <w:szCs w:val="22"/>
        </w:rPr>
        <w:t xml:space="preserve"> </w:t>
      </w:r>
      <w:r w:rsidR="00BD43FD">
        <w:rPr>
          <w:szCs w:val="22"/>
        </w:rPr>
        <w:t xml:space="preserve"> Has such reliance decreased, increased, or remained the same?</w:t>
      </w:r>
      <w:r w:rsidR="00A9095B" w:rsidRPr="005968CD">
        <w:rPr>
          <w:szCs w:val="22"/>
        </w:rPr>
        <w:t xml:space="preserve"> </w:t>
      </w:r>
      <w:r w:rsidR="00A9095B">
        <w:rPr>
          <w:szCs w:val="22"/>
        </w:rPr>
        <w:t xml:space="preserve">Would </w:t>
      </w:r>
      <w:r w:rsidR="00B228C7" w:rsidRPr="005968CD">
        <w:rPr>
          <w:szCs w:val="22"/>
        </w:rPr>
        <w:t xml:space="preserve">consumers who presently </w:t>
      </w:r>
      <w:r w:rsidRPr="005968CD">
        <w:rPr>
          <w:szCs w:val="22"/>
        </w:rPr>
        <w:t>use NSI devices to call 911</w:t>
      </w:r>
      <w:r w:rsidR="00875034" w:rsidRPr="005968CD">
        <w:rPr>
          <w:szCs w:val="22"/>
        </w:rPr>
        <w:t xml:space="preserve"> </w:t>
      </w:r>
      <w:r w:rsidR="00030B08" w:rsidRPr="005968CD">
        <w:rPr>
          <w:szCs w:val="22"/>
        </w:rPr>
        <w:t>be able</w:t>
      </w:r>
      <w:r w:rsidR="00B228C7" w:rsidRPr="005968CD">
        <w:rPr>
          <w:szCs w:val="22"/>
        </w:rPr>
        <w:t xml:space="preserve"> to effectively utilize</w:t>
      </w:r>
      <w:r w:rsidR="00875034" w:rsidRPr="005968CD">
        <w:rPr>
          <w:szCs w:val="22"/>
        </w:rPr>
        <w:t xml:space="preserve"> </w:t>
      </w:r>
      <w:r w:rsidR="00875034" w:rsidRPr="004C57B8">
        <w:rPr>
          <w:szCs w:val="22"/>
        </w:rPr>
        <w:t>other means of accessing 911</w:t>
      </w:r>
      <w:r w:rsidR="00A9095B">
        <w:rPr>
          <w:szCs w:val="22"/>
        </w:rPr>
        <w:t xml:space="preserve">?  To what </w:t>
      </w:r>
      <w:r w:rsidR="00042E25" w:rsidRPr="005968CD">
        <w:rPr>
          <w:szCs w:val="22"/>
        </w:rPr>
        <w:t xml:space="preserve">extent </w:t>
      </w:r>
      <w:r w:rsidR="004C57B8">
        <w:rPr>
          <w:szCs w:val="22"/>
        </w:rPr>
        <w:t xml:space="preserve">are “911-only” wireless </w:t>
      </w:r>
      <w:r w:rsidR="008D3508">
        <w:rPr>
          <w:szCs w:val="22"/>
        </w:rPr>
        <w:t xml:space="preserve">handsets </w:t>
      </w:r>
      <w:r w:rsidR="00042E25" w:rsidRPr="005968CD">
        <w:rPr>
          <w:szCs w:val="22"/>
        </w:rPr>
        <w:t xml:space="preserve">that rely on the NSI rule to </w:t>
      </w:r>
      <w:r w:rsidR="004C57B8">
        <w:rPr>
          <w:szCs w:val="22"/>
        </w:rPr>
        <w:t xml:space="preserve">enable </w:t>
      </w:r>
      <w:r w:rsidR="00042E25" w:rsidRPr="005968CD">
        <w:rPr>
          <w:szCs w:val="22"/>
        </w:rPr>
        <w:t>a caller to reach a PSAP in use today</w:t>
      </w:r>
      <w:r w:rsidR="004C57B8">
        <w:rPr>
          <w:szCs w:val="22"/>
        </w:rPr>
        <w:t>?</w:t>
      </w:r>
      <w:r w:rsidR="00042E25" w:rsidRPr="005968CD">
        <w:rPr>
          <w:rStyle w:val="FootnoteReference"/>
          <w:sz w:val="22"/>
          <w:szCs w:val="22"/>
        </w:rPr>
        <w:footnoteReference w:id="81"/>
      </w:r>
      <w:r w:rsidR="00042E25" w:rsidRPr="005968CD">
        <w:rPr>
          <w:szCs w:val="22"/>
        </w:rPr>
        <w:t xml:space="preserve">  </w:t>
      </w:r>
      <w:r w:rsidR="004C57B8">
        <w:rPr>
          <w:szCs w:val="22"/>
        </w:rPr>
        <w:t xml:space="preserve">Are </w:t>
      </w:r>
      <w:r w:rsidR="00C7010D" w:rsidRPr="005968CD">
        <w:rPr>
          <w:szCs w:val="22"/>
        </w:rPr>
        <w:t>CMRS provider</w:t>
      </w:r>
      <w:r w:rsidR="004C57B8">
        <w:rPr>
          <w:szCs w:val="22"/>
        </w:rPr>
        <w:t>s</w:t>
      </w:r>
      <w:r w:rsidR="00C7010D" w:rsidRPr="005968CD">
        <w:rPr>
          <w:szCs w:val="22"/>
        </w:rPr>
        <w:t xml:space="preserve"> </w:t>
      </w:r>
      <w:r w:rsidR="00BD43FD">
        <w:rPr>
          <w:szCs w:val="22"/>
        </w:rPr>
        <w:t xml:space="preserve">or third parties </w:t>
      </w:r>
      <w:r w:rsidR="004C57B8">
        <w:rPr>
          <w:szCs w:val="22"/>
        </w:rPr>
        <w:t xml:space="preserve">continuing to support </w:t>
      </w:r>
      <w:r w:rsidR="00C7010D">
        <w:rPr>
          <w:szCs w:val="22"/>
        </w:rPr>
        <w:t xml:space="preserve">NSI </w:t>
      </w:r>
      <w:r w:rsidR="00C7010D" w:rsidRPr="005968CD">
        <w:rPr>
          <w:szCs w:val="22"/>
        </w:rPr>
        <w:t>phone donation programs</w:t>
      </w:r>
      <w:r w:rsidR="004C57B8">
        <w:rPr>
          <w:szCs w:val="22"/>
        </w:rPr>
        <w:t xml:space="preserve">, </w:t>
      </w:r>
      <w:r w:rsidR="00C7010D">
        <w:rPr>
          <w:szCs w:val="22"/>
        </w:rPr>
        <w:t>and if so</w:t>
      </w:r>
      <w:r w:rsidR="004C57B8">
        <w:rPr>
          <w:szCs w:val="22"/>
        </w:rPr>
        <w:t xml:space="preserve">, are figures available for </w:t>
      </w:r>
      <w:r w:rsidR="00C7010D">
        <w:rPr>
          <w:szCs w:val="22"/>
        </w:rPr>
        <w:t xml:space="preserve">the </w:t>
      </w:r>
      <w:r w:rsidR="004C57B8">
        <w:rPr>
          <w:szCs w:val="22"/>
        </w:rPr>
        <w:t xml:space="preserve">number of phone donations within </w:t>
      </w:r>
      <w:r w:rsidR="00C7010D">
        <w:rPr>
          <w:szCs w:val="22"/>
        </w:rPr>
        <w:t xml:space="preserve">the </w:t>
      </w:r>
      <w:r w:rsidR="004C57B8">
        <w:rPr>
          <w:szCs w:val="22"/>
        </w:rPr>
        <w:t xml:space="preserve">last </w:t>
      </w:r>
      <w:r w:rsidR="00C7010D">
        <w:rPr>
          <w:szCs w:val="22"/>
        </w:rPr>
        <w:t>five years</w:t>
      </w:r>
      <w:r w:rsidR="004C57B8">
        <w:rPr>
          <w:szCs w:val="22"/>
        </w:rPr>
        <w:t>?</w:t>
      </w:r>
      <w:r w:rsidR="00C7010D" w:rsidRPr="005968CD">
        <w:rPr>
          <w:szCs w:val="22"/>
        </w:rPr>
        <w:t xml:space="preserve">  </w:t>
      </w:r>
      <w:r w:rsidR="00484C45" w:rsidRPr="005968CD">
        <w:rPr>
          <w:szCs w:val="22"/>
        </w:rPr>
        <w:t xml:space="preserve">  </w:t>
      </w:r>
    </w:p>
    <w:p w14:paraId="3D31E3E7" w14:textId="77777777" w:rsidR="00CF4FBE" w:rsidRPr="005968CD" w:rsidRDefault="00C207A2" w:rsidP="00CF4FBE">
      <w:pPr>
        <w:pStyle w:val="Heading2"/>
        <w:rPr>
          <w:szCs w:val="22"/>
        </w:rPr>
      </w:pPr>
      <w:bookmarkStart w:id="106" w:name="_Toc385317618"/>
      <w:bookmarkStart w:id="107" w:name="_Toc385317674"/>
      <w:bookmarkStart w:id="108" w:name="_Toc385317695"/>
      <w:bookmarkStart w:id="109" w:name="_Toc386185619"/>
      <w:bookmarkStart w:id="110" w:name="_Toc386193574"/>
      <w:bookmarkStart w:id="111" w:name="_Toc386449410"/>
      <w:bookmarkStart w:id="112" w:name="_Toc390332838"/>
      <w:bookmarkStart w:id="113" w:name="_Toc403549489"/>
      <w:bookmarkStart w:id="114" w:name="_Toc410743431"/>
      <w:bookmarkStart w:id="115" w:name="_Toc415573212"/>
      <w:bookmarkStart w:id="116" w:name="_Toc225137852"/>
      <w:bookmarkStart w:id="117" w:name="_Toc225138554"/>
      <w:bookmarkStart w:id="118" w:name="_Toc225139738"/>
      <w:bookmarkStart w:id="119" w:name="_Toc225139986"/>
      <w:bookmarkStart w:id="120" w:name="_Toc225140082"/>
      <w:bookmarkStart w:id="121" w:name="_Toc225140826"/>
      <w:bookmarkStart w:id="122" w:name="_Toc225141017"/>
      <w:bookmarkStart w:id="123" w:name="_Toc225141178"/>
      <w:bookmarkStart w:id="124" w:name="_Toc225141454"/>
      <w:bookmarkStart w:id="125" w:name="_Toc311539000"/>
      <w:bookmarkStart w:id="126" w:name="_Toc315776369"/>
      <w:r w:rsidRPr="005968CD">
        <w:rPr>
          <w:szCs w:val="22"/>
        </w:rPr>
        <w:t>Sunset</w:t>
      </w:r>
      <w:r w:rsidR="00B13797" w:rsidRPr="005968CD">
        <w:rPr>
          <w:szCs w:val="22"/>
        </w:rPr>
        <w:t xml:space="preserve"> of</w:t>
      </w:r>
      <w:r w:rsidRPr="005968CD">
        <w:rPr>
          <w:szCs w:val="22"/>
        </w:rPr>
        <w:t xml:space="preserve"> the</w:t>
      </w:r>
      <w:r w:rsidR="007773A9" w:rsidRPr="005968CD">
        <w:rPr>
          <w:szCs w:val="22"/>
        </w:rPr>
        <w:t xml:space="preserve"> NSI </w:t>
      </w:r>
      <w:bookmarkEnd w:id="106"/>
      <w:bookmarkEnd w:id="107"/>
      <w:bookmarkEnd w:id="108"/>
      <w:bookmarkEnd w:id="109"/>
      <w:bookmarkEnd w:id="110"/>
      <w:bookmarkEnd w:id="111"/>
      <w:r w:rsidR="004B0344" w:rsidRPr="005968CD">
        <w:rPr>
          <w:szCs w:val="22"/>
        </w:rPr>
        <w:t xml:space="preserve">Requirement </w:t>
      </w:r>
      <w:r w:rsidR="005E13AD" w:rsidRPr="005968CD">
        <w:rPr>
          <w:szCs w:val="22"/>
        </w:rPr>
        <w:t>after</w:t>
      </w:r>
      <w:r w:rsidR="00B13797" w:rsidRPr="005968CD">
        <w:rPr>
          <w:szCs w:val="22"/>
        </w:rPr>
        <w:t xml:space="preserve"> a Reasonable Transition Period</w:t>
      </w:r>
      <w:bookmarkEnd w:id="112"/>
      <w:bookmarkEnd w:id="113"/>
      <w:bookmarkEnd w:id="114"/>
      <w:bookmarkEnd w:id="115"/>
    </w:p>
    <w:p w14:paraId="3E00F13B" w14:textId="77777777" w:rsidR="00907DE2" w:rsidRPr="005968CD" w:rsidRDefault="00875034" w:rsidP="00C46CCA">
      <w:pPr>
        <w:pStyle w:val="ParaNum"/>
        <w:widowControl/>
        <w:tabs>
          <w:tab w:val="left" w:pos="900"/>
        </w:tabs>
        <w:snapToGrid w:val="0"/>
        <w:rPr>
          <w:szCs w:val="22"/>
        </w:rPr>
      </w:pPr>
      <w:r w:rsidRPr="005968CD">
        <w:rPr>
          <w:i/>
          <w:szCs w:val="22"/>
        </w:rPr>
        <w:t xml:space="preserve">Background.  </w:t>
      </w:r>
      <w:r w:rsidR="009212C1" w:rsidRPr="005968CD">
        <w:rPr>
          <w:szCs w:val="22"/>
        </w:rPr>
        <w:t>In the</w:t>
      </w:r>
      <w:r w:rsidR="009212C1" w:rsidRPr="005968CD">
        <w:rPr>
          <w:i/>
          <w:szCs w:val="22"/>
        </w:rPr>
        <w:t xml:space="preserve"> E911 Second Report and Order</w:t>
      </w:r>
      <w:r w:rsidR="009212C1" w:rsidRPr="005968CD">
        <w:rPr>
          <w:szCs w:val="22"/>
        </w:rPr>
        <w:t xml:space="preserve">, the Commission declined to eliminate the 911 call-forwarding requirement for NSI </w:t>
      </w:r>
      <w:r w:rsidR="00B740EF" w:rsidRPr="005968CD">
        <w:rPr>
          <w:szCs w:val="22"/>
        </w:rPr>
        <w:t>device</w:t>
      </w:r>
      <w:r w:rsidR="009212C1" w:rsidRPr="005968CD">
        <w:rPr>
          <w:szCs w:val="22"/>
        </w:rPr>
        <w:t>s because “[a]bolishing the requirement at this stage would restrict basic 911 service and result in the inability of many non-initialized wireless phone users to reach help in the event of an emergency.”</w:t>
      </w:r>
      <w:r w:rsidR="009212C1" w:rsidRPr="005968CD">
        <w:rPr>
          <w:rStyle w:val="FootnoteReference"/>
          <w:sz w:val="22"/>
          <w:szCs w:val="22"/>
        </w:rPr>
        <w:footnoteReference w:id="82"/>
      </w:r>
      <w:r w:rsidR="009212C1" w:rsidRPr="005968CD">
        <w:rPr>
          <w:szCs w:val="22"/>
        </w:rPr>
        <w:t xml:space="preserve">  </w:t>
      </w:r>
      <w:r w:rsidR="007535DB" w:rsidRPr="005968CD">
        <w:rPr>
          <w:szCs w:val="22"/>
        </w:rPr>
        <w:t>However, i</w:t>
      </w:r>
      <w:r w:rsidR="00017748" w:rsidRPr="005968CD">
        <w:rPr>
          <w:szCs w:val="22"/>
        </w:rPr>
        <w:t xml:space="preserve">n the </w:t>
      </w:r>
      <w:r w:rsidR="006D4CD0" w:rsidRPr="005968CD">
        <w:rPr>
          <w:szCs w:val="22"/>
        </w:rPr>
        <w:t xml:space="preserve">subsequent </w:t>
      </w:r>
      <w:r w:rsidR="00017748" w:rsidRPr="005968CD">
        <w:rPr>
          <w:i/>
          <w:szCs w:val="22"/>
        </w:rPr>
        <w:t>Notice of Inquiry</w:t>
      </w:r>
      <w:r w:rsidR="00017748" w:rsidRPr="005968CD">
        <w:rPr>
          <w:szCs w:val="22"/>
        </w:rPr>
        <w:t xml:space="preserve">, the Commission </w:t>
      </w:r>
      <w:r w:rsidR="006D4CD0" w:rsidRPr="005968CD">
        <w:rPr>
          <w:szCs w:val="22"/>
        </w:rPr>
        <w:t xml:space="preserve">noted that the evidence suggested that NSI devices were the source of an “overwhelming number” of fraudulent 911 calls and </w:t>
      </w:r>
      <w:r w:rsidR="00017748" w:rsidRPr="005968CD">
        <w:rPr>
          <w:szCs w:val="22"/>
        </w:rPr>
        <w:t xml:space="preserve">sought comment regarding whether it should eliminate the NSI </w:t>
      </w:r>
      <w:r w:rsidR="006D4CD0" w:rsidRPr="005968CD">
        <w:rPr>
          <w:szCs w:val="22"/>
        </w:rPr>
        <w:t>requirement</w:t>
      </w:r>
      <w:r w:rsidR="00017748" w:rsidRPr="005968CD">
        <w:rPr>
          <w:szCs w:val="22"/>
        </w:rPr>
        <w:t>.</w:t>
      </w:r>
      <w:r w:rsidR="00A92DAD" w:rsidRPr="005968CD">
        <w:rPr>
          <w:szCs w:val="22"/>
          <w:vertAlign w:val="superscript"/>
        </w:rPr>
        <w:footnoteReference w:id="83"/>
      </w:r>
      <w:r w:rsidR="00017748" w:rsidRPr="005968CD">
        <w:rPr>
          <w:szCs w:val="22"/>
        </w:rPr>
        <w:t xml:space="preserve">  In response to the </w:t>
      </w:r>
      <w:r w:rsidR="00017748" w:rsidRPr="005968CD">
        <w:rPr>
          <w:i/>
          <w:szCs w:val="22"/>
        </w:rPr>
        <w:t>Notice of Inquiry</w:t>
      </w:r>
      <w:r w:rsidR="00017748" w:rsidRPr="005968CD">
        <w:rPr>
          <w:szCs w:val="22"/>
        </w:rPr>
        <w:t xml:space="preserve">, a significant number of public safety commenters advocated </w:t>
      </w:r>
      <w:r w:rsidR="00A05CE1" w:rsidRPr="005968CD">
        <w:rPr>
          <w:szCs w:val="22"/>
        </w:rPr>
        <w:t xml:space="preserve">for </w:t>
      </w:r>
      <w:r w:rsidR="00017748" w:rsidRPr="005968CD">
        <w:rPr>
          <w:szCs w:val="22"/>
        </w:rPr>
        <w:t xml:space="preserve">elimination of the rule.  </w:t>
      </w:r>
      <w:r w:rsidR="00A94386" w:rsidRPr="005968CD">
        <w:rPr>
          <w:szCs w:val="22"/>
        </w:rPr>
        <w:t>Washington, for example, asserted that there is “no justification in retaining the rules permitting calls to 911 [from] non-initialized handsets.”</w:t>
      </w:r>
      <w:r w:rsidR="00A94386" w:rsidRPr="005968CD">
        <w:rPr>
          <w:rStyle w:val="FootnoteReference"/>
          <w:sz w:val="22"/>
          <w:szCs w:val="22"/>
        </w:rPr>
        <w:footnoteReference w:id="84"/>
      </w:r>
      <w:r w:rsidR="00A94386" w:rsidRPr="005968CD">
        <w:rPr>
          <w:szCs w:val="22"/>
        </w:rPr>
        <w:t xml:space="preserve">  </w:t>
      </w:r>
      <w:r w:rsidR="00017748" w:rsidRPr="005968CD">
        <w:rPr>
          <w:szCs w:val="22"/>
        </w:rPr>
        <w:t>More recently, NENA stated that there is now a “consensus view that the promotion of NSI devices does more harm than good.”</w:t>
      </w:r>
      <w:r w:rsidR="00A92DAD" w:rsidRPr="005968CD">
        <w:rPr>
          <w:szCs w:val="22"/>
          <w:vertAlign w:val="superscript"/>
        </w:rPr>
        <w:footnoteReference w:id="85"/>
      </w:r>
      <w:r w:rsidR="00017748" w:rsidRPr="005968CD">
        <w:rPr>
          <w:szCs w:val="22"/>
        </w:rPr>
        <w:t xml:space="preserve">  </w:t>
      </w:r>
    </w:p>
    <w:p w14:paraId="453335E1" w14:textId="77777777" w:rsidR="00A92DAD" w:rsidRPr="005968CD" w:rsidRDefault="00017748" w:rsidP="00C46CCA">
      <w:pPr>
        <w:pStyle w:val="ParaNum"/>
        <w:widowControl/>
        <w:tabs>
          <w:tab w:val="left" w:pos="900"/>
        </w:tabs>
        <w:snapToGrid w:val="0"/>
        <w:rPr>
          <w:szCs w:val="22"/>
        </w:rPr>
      </w:pPr>
      <w:r w:rsidRPr="005968CD">
        <w:rPr>
          <w:szCs w:val="22"/>
        </w:rPr>
        <w:t xml:space="preserve">Accordingly, the </w:t>
      </w:r>
      <w:r w:rsidRPr="005968CD">
        <w:rPr>
          <w:i/>
          <w:szCs w:val="22"/>
        </w:rPr>
        <w:t>2013 PN</w:t>
      </w:r>
      <w:r w:rsidRPr="005968CD">
        <w:rPr>
          <w:szCs w:val="22"/>
        </w:rPr>
        <w:t xml:space="preserve"> sought comment, in particular, “on whether other interested parties agree or disagree with NENA’s view that the Commission should consider phasing out the call-forwarding requirement as it applies to NSI devices.”</w:t>
      </w:r>
      <w:r w:rsidR="00A92DAD" w:rsidRPr="005968CD">
        <w:rPr>
          <w:szCs w:val="22"/>
          <w:vertAlign w:val="superscript"/>
        </w:rPr>
        <w:footnoteReference w:id="86"/>
      </w:r>
      <w:r w:rsidRPr="005968CD">
        <w:rPr>
          <w:szCs w:val="22"/>
        </w:rPr>
        <w:t xml:space="preserve">  The subsequent record indicates that APCO</w:t>
      </w:r>
      <w:r w:rsidRPr="005968CD">
        <w:rPr>
          <w:i/>
          <w:szCs w:val="22"/>
        </w:rPr>
        <w:t xml:space="preserve"> </w:t>
      </w:r>
      <w:r w:rsidRPr="005968CD">
        <w:rPr>
          <w:szCs w:val="22"/>
        </w:rPr>
        <w:t>now also agrees “</w:t>
      </w:r>
      <w:r w:rsidRPr="005968CD">
        <w:rPr>
          <w:color w:val="000000"/>
          <w:szCs w:val="22"/>
        </w:rPr>
        <w:t>that the FCC should eliminate the requirement that wireless carriers forward to PSAP</w:t>
      </w:r>
      <w:r w:rsidR="00260585" w:rsidRPr="005968CD">
        <w:rPr>
          <w:color w:val="000000"/>
          <w:szCs w:val="22"/>
        </w:rPr>
        <w:t>s 9-1-1 calls from NSI handsets,</w:t>
      </w:r>
      <w:r w:rsidRPr="005968CD">
        <w:rPr>
          <w:color w:val="000000"/>
          <w:szCs w:val="22"/>
        </w:rPr>
        <w:t>”</w:t>
      </w:r>
      <w:r w:rsidR="00260585" w:rsidRPr="005968CD">
        <w:rPr>
          <w:color w:val="000000"/>
          <w:szCs w:val="22"/>
        </w:rPr>
        <w:t xml:space="preserve"> as do two </w:t>
      </w:r>
      <w:r w:rsidRPr="005968CD">
        <w:rPr>
          <w:color w:val="000000"/>
          <w:szCs w:val="22"/>
        </w:rPr>
        <w:t>other public safety commenters.</w:t>
      </w:r>
      <w:r w:rsidR="00A92DAD" w:rsidRPr="005968CD">
        <w:rPr>
          <w:szCs w:val="22"/>
          <w:vertAlign w:val="superscript"/>
        </w:rPr>
        <w:footnoteReference w:id="87"/>
      </w:r>
      <w:r w:rsidR="00907DE2" w:rsidRPr="005968CD">
        <w:rPr>
          <w:szCs w:val="22"/>
        </w:rPr>
        <w:t xml:space="preserve">  </w:t>
      </w:r>
      <w:r w:rsidR="00A97658">
        <w:rPr>
          <w:szCs w:val="22"/>
        </w:rPr>
        <w:t>O</w:t>
      </w:r>
      <w:r w:rsidRPr="005968CD">
        <w:rPr>
          <w:szCs w:val="22"/>
        </w:rPr>
        <w:t xml:space="preserve">ther commenters in the record disagree and </w:t>
      </w:r>
      <w:r w:rsidR="00907DE2" w:rsidRPr="005968CD">
        <w:rPr>
          <w:szCs w:val="22"/>
        </w:rPr>
        <w:t xml:space="preserve">continue to </w:t>
      </w:r>
      <w:r w:rsidRPr="005968CD">
        <w:rPr>
          <w:szCs w:val="22"/>
        </w:rPr>
        <w:t>advocate retention of the NSI requirement.</w:t>
      </w:r>
      <w:r w:rsidR="00884308" w:rsidRPr="005968CD">
        <w:rPr>
          <w:rStyle w:val="FootnoteReference"/>
          <w:sz w:val="22"/>
          <w:szCs w:val="22"/>
        </w:rPr>
        <w:footnoteReference w:id="88"/>
      </w:r>
      <w:r w:rsidRPr="005968CD">
        <w:rPr>
          <w:szCs w:val="22"/>
        </w:rPr>
        <w:t xml:space="preserve">  These commenters argue that the public has come to rely on the fact that NSI </w:t>
      </w:r>
      <w:r w:rsidR="00B740EF" w:rsidRPr="005968CD">
        <w:rPr>
          <w:szCs w:val="22"/>
        </w:rPr>
        <w:t>device</w:t>
      </w:r>
      <w:r w:rsidRPr="005968CD">
        <w:rPr>
          <w:szCs w:val="22"/>
        </w:rPr>
        <w:t xml:space="preserve">s are 911-capable, and that </w:t>
      </w:r>
      <w:r w:rsidR="006D4CD0" w:rsidRPr="005968CD">
        <w:rPr>
          <w:szCs w:val="22"/>
        </w:rPr>
        <w:t xml:space="preserve">given this public reliance, </w:t>
      </w:r>
      <w:r w:rsidRPr="005968CD">
        <w:rPr>
          <w:szCs w:val="22"/>
        </w:rPr>
        <w:t>eliminating the call-forwarding requirement could lead to tragic results.</w:t>
      </w:r>
      <w:r w:rsidR="00A92DAD" w:rsidRPr="005968CD">
        <w:rPr>
          <w:szCs w:val="22"/>
          <w:vertAlign w:val="superscript"/>
        </w:rPr>
        <w:footnoteReference w:id="89"/>
      </w:r>
    </w:p>
    <w:p w14:paraId="58A6E396" w14:textId="77777777" w:rsidR="00945019" w:rsidRPr="005968CD" w:rsidRDefault="00ED27A9" w:rsidP="00C46CCA">
      <w:pPr>
        <w:pStyle w:val="ParaNum"/>
        <w:widowControl/>
        <w:tabs>
          <w:tab w:val="left" w:pos="900"/>
        </w:tabs>
        <w:snapToGrid w:val="0"/>
        <w:rPr>
          <w:szCs w:val="22"/>
        </w:rPr>
      </w:pPr>
      <w:r w:rsidRPr="005968CD">
        <w:rPr>
          <w:i/>
          <w:szCs w:val="22"/>
        </w:rPr>
        <w:t>Discussion.</w:t>
      </w:r>
      <w:r w:rsidRPr="005968CD">
        <w:rPr>
          <w:szCs w:val="22"/>
        </w:rPr>
        <w:t xml:space="preserve">  We believe that, based on the record to date, the concerns that led the Commission</w:t>
      </w:r>
      <w:r w:rsidR="00D06E47" w:rsidRPr="005968CD">
        <w:rPr>
          <w:szCs w:val="22"/>
        </w:rPr>
        <w:t xml:space="preserve"> to</w:t>
      </w:r>
      <w:r w:rsidRPr="005968CD">
        <w:rPr>
          <w:szCs w:val="22"/>
        </w:rPr>
        <w:t xml:space="preserve"> </w:t>
      </w:r>
      <w:r w:rsidR="00907DE2" w:rsidRPr="005968CD">
        <w:rPr>
          <w:szCs w:val="22"/>
        </w:rPr>
        <w:t xml:space="preserve">adopt </w:t>
      </w:r>
      <w:r w:rsidRPr="005968CD">
        <w:rPr>
          <w:szCs w:val="22"/>
        </w:rPr>
        <w:t xml:space="preserve">the NSI rule </w:t>
      </w:r>
      <w:r w:rsidR="00907DE2" w:rsidRPr="005968CD">
        <w:rPr>
          <w:szCs w:val="22"/>
        </w:rPr>
        <w:t>in 1996</w:t>
      </w:r>
      <w:r w:rsidR="00DC0167" w:rsidRPr="005968CD">
        <w:rPr>
          <w:szCs w:val="22"/>
        </w:rPr>
        <w:t>,</w:t>
      </w:r>
      <w:r w:rsidR="00907DE2" w:rsidRPr="005968CD">
        <w:rPr>
          <w:szCs w:val="22"/>
        </w:rPr>
        <w:t xml:space="preserve"> and to re</w:t>
      </w:r>
      <w:r w:rsidR="00DC0167" w:rsidRPr="005968CD">
        <w:rPr>
          <w:szCs w:val="22"/>
        </w:rPr>
        <w:t>t</w:t>
      </w:r>
      <w:r w:rsidR="00907DE2" w:rsidRPr="005968CD">
        <w:rPr>
          <w:szCs w:val="22"/>
        </w:rPr>
        <w:t xml:space="preserve">ain it </w:t>
      </w:r>
      <w:r w:rsidRPr="005968CD">
        <w:rPr>
          <w:szCs w:val="22"/>
        </w:rPr>
        <w:t>twelve years ago</w:t>
      </w:r>
      <w:r w:rsidR="00DC0167" w:rsidRPr="005968CD">
        <w:rPr>
          <w:szCs w:val="22"/>
        </w:rPr>
        <w:t>,</w:t>
      </w:r>
      <w:r w:rsidR="00DC0167" w:rsidRPr="005968CD">
        <w:rPr>
          <w:rStyle w:val="FootnoteReference"/>
          <w:sz w:val="22"/>
          <w:szCs w:val="22"/>
        </w:rPr>
        <w:footnoteReference w:id="90"/>
      </w:r>
      <w:r w:rsidRPr="005968CD">
        <w:rPr>
          <w:szCs w:val="22"/>
        </w:rPr>
        <w:t xml:space="preserve"> are less </w:t>
      </w:r>
      <w:r w:rsidR="006D4CD0" w:rsidRPr="005968CD">
        <w:rPr>
          <w:szCs w:val="22"/>
        </w:rPr>
        <w:t>relevant</w:t>
      </w:r>
      <w:r w:rsidRPr="005968CD">
        <w:rPr>
          <w:szCs w:val="22"/>
        </w:rPr>
        <w:t xml:space="preserve"> today, and that it is now in the public interest to sunset the r</w:t>
      </w:r>
      <w:r w:rsidR="006D4CD0" w:rsidRPr="005968CD">
        <w:rPr>
          <w:szCs w:val="22"/>
        </w:rPr>
        <w:t>equirement</w:t>
      </w:r>
      <w:r w:rsidRPr="005968CD">
        <w:rPr>
          <w:szCs w:val="22"/>
        </w:rPr>
        <w:t>.  As discussed</w:t>
      </w:r>
      <w:r w:rsidR="006D4CD0" w:rsidRPr="005968CD">
        <w:rPr>
          <w:szCs w:val="22"/>
        </w:rPr>
        <w:t xml:space="preserve"> above</w:t>
      </w:r>
      <w:r w:rsidRPr="005968CD">
        <w:rPr>
          <w:szCs w:val="22"/>
        </w:rPr>
        <w:t xml:space="preserve">, the record suggests that fraudulent calls to 911 from NSI </w:t>
      </w:r>
      <w:r w:rsidR="00B740EF" w:rsidRPr="005968CD">
        <w:rPr>
          <w:szCs w:val="22"/>
        </w:rPr>
        <w:t>device</w:t>
      </w:r>
      <w:r w:rsidRPr="005968CD">
        <w:rPr>
          <w:szCs w:val="22"/>
        </w:rPr>
        <w:t xml:space="preserve">s constitute a large and continuing drain on public safety resources and that the problem is not abating.  </w:t>
      </w:r>
      <w:r w:rsidR="00A05CE1" w:rsidRPr="005968CD">
        <w:rPr>
          <w:szCs w:val="22"/>
        </w:rPr>
        <w:t>Moreover, it appears there is now less public need for the NSI rule th</w:t>
      </w:r>
      <w:r w:rsidR="00907DE2" w:rsidRPr="005968CD">
        <w:rPr>
          <w:szCs w:val="22"/>
        </w:rPr>
        <w:t>a</w:t>
      </w:r>
      <w:r w:rsidR="00A05CE1" w:rsidRPr="005968CD">
        <w:rPr>
          <w:szCs w:val="22"/>
        </w:rPr>
        <w:t xml:space="preserve">n at the time the Commission implemented it.  </w:t>
      </w:r>
      <w:r w:rsidRPr="005968CD">
        <w:rPr>
          <w:szCs w:val="22"/>
        </w:rPr>
        <w:t xml:space="preserve">Indeed, while the Commission implemented the NSI rule in large part at the urging of public safety entities, including NENA and </w:t>
      </w:r>
      <w:r w:rsidR="000B4533" w:rsidRPr="005968CD">
        <w:rPr>
          <w:szCs w:val="22"/>
        </w:rPr>
        <w:t>APCO</w:t>
      </w:r>
      <w:r w:rsidRPr="005968CD">
        <w:rPr>
          <w:szCs w:val="22"/>
        </w:rPr>
        <w:t>, both of these entities now favor elimination of the rule.</w:t>
      </w:r>
      <w:r w:rsidRPr="005968CD">
        <w:rPr>
          <w:szCs w:val="22"/>
          <w:vertAlign w:val="superscript"/>
        </w:rPr>
        <w:footnoteReference w:id="91"/>
      </w:r>
      <w:r w:rsidRPr="005968CD">
        <w:rPr>
          <w:szCs w:val="22"/>
        </w:rPr>
        <w:t xml:space="preserve">  </w:t>
      </w:r>
    </w:p>
    <w:p w14:paraId="1575CC15" w14:textId="77777777" w:rsidR="00F251CF" w:rsidRPr="005968CD" w:rsidRDefault="008C6FC1" w:rsidP="00C46CCA">
      <w:pPr>
        <w:pStyle w:val="ParaNum"/>
        <w:widowControl/>
        <w:tabs>
          <w:tab w:val="left" w:pos="900"/>
        </w:tabs>
        <w:snapToGrid w:val="0"/>
        <w:rPr>
          <w:szCs w:val="22"/>
        </w:rPr>
      </w:pPr>
      <w:r w:rsidRPr="005968CD">
        <w:rPr>
          <w:szCs w:val="22"/>
        </w:rPr>
        <w:t xml:space="preserve">Additionally, </w:t>
      </w:r>
      <w:r w:rsidR="00D06E47" w:rsidRPr="005968CD">
        <w:rPr>
          <w:szCs w:val="22"/>
        </w:rPr>
        <w:t xml:space="preserve">impending technological changes in carrier networks are likely to make the NSI call-forwarding rule less effective in protecting consumers while increasing the cost of implementation.  As </w:t>
      </w:r>
      <w:r w:rsidR="00A5731B" w:rsidRPr="005968CD">
        <w:rPr>
          <w:szCs w:val="22"/>
        </w:rPr>
        <w:t>carrier</w:t>
      </w:r>
      <w:r w:rsidR="00D06E47" w:rsidRPr="005968CD">
        <w:rPr>
          <w:szCs w:val="22"/>
        </w:rPr>
        <w:t xml:space="preserve">s migrate their </w:t>
      </w:r>
      <w:r w:rsidR="00A5731B" w:rsidRPr="005968CD">
        <w:rPr>
          <w:szCs w:val="22"/>
        </w:rPr>
        <w:t xml:space="preserve">networks away from legacy 2G </w:t>
      </w:r>
      <w:r w:rsidR="00D06E47" w:rsidRPr="005968CD">
        <w:rPr>
          <w:szCs w:val="22"/>
        </w:rPr>
        <w:t>technology,</w:t>
      </w:r>
      <w:r w:rsidR="00B91CE6" w:rsidRPr="005968CD">
        <w:rPr>
          <w:rStyle w:val="FootnoteReference"/>
          <w:sz w:val="22"/>
          <w:szCs w:val="22"/>
        </w:rPr>
        <w:footnoteReference w:id="92"/>
      </w:r>
      <w:r w:rsidR="00D06E47" w:rsidRPr="005968CD">
        <w:rPr>
          <w:szCs w:val="22"/>
        </w:rPr>
        <w:t xml:space="preserve"> 2G-only </w:t>
      </w:r>
      <w:r w:rsidR="00B91CE6" w:rsidRPr="005968CD">
        <w:rPr>
          <w:szCs w:val="22"/>
        </w:rPr>
        <w:t xml:space="preserve">NSI </w:t>
      </w:r>
      <w:r w:rsidR="00D06E47" w:rsidRPr="005968CD">
        <w:rPr>
          <w:szCs w:val="22"/>
        </w:rPr>
        <w:t>handsets will no longe</w:t>
      </w:r>
      <w:r w:rsidR="00B91CE6" w:rsidRPr="005968CD">
        <w:rPr>
          <w:szCs w:val="22"/>
        </w:rPr>
        <w:t xml:space="preserve">r be technically capable of supporting 911 call-forwarding.  </w:t>
      </w:r>
      <w:r w:rsidR="00721C79" w:rsidRPr="005968CD">
        <w:rPr>
          <w:szCs w:val="22"/>
        </w:rPr>
        <w:t xml:space="preserve">If we retain the NSI rule, this technological shift is </w:t>
      </w:r>
      <w:r w:rsidR="00B91CE6" w:rsidRPr="005968CD">
        <w:rPr>
          <w:szCs w:val="22"/>
        </w:rPr>
        <w:t xml:space="preserve">likely to create confusion among </w:t>
      </w:r>
      <w:r w:rsidR="00721C79" w:rsidRPr="005968CD">
        <w:rPr>
          <w:szCs w:val="22"/>
        </w:rPr>
        <w:t xml:space="preserve">the very </w:t>
      </w:r>
      <w:r w:rsidR="00B91CE6" w:rsidRPr="005968CD">
        <w:rPr>
          <w:szCs w:val="22"/>
        </w:rPr>
        <w:t xml:space="preserve">consumers that </w:t>
      </w:r>
      <w:r w:rsidR="00721C79" w:rsidRPr="005968CD">
        <w:rPr>
          <w:szCs w:val="22"/>
        </w:rPr>
        <w:t xml:space="preserve">have retained </w:t>
      </w:r>
      <w:r w:rsidR="00B91CE6" w:rsidRPr="005968CD">
        <w:rPr>
          <w:szCs w:val="22"/>
        </w:rPr>
        <w:t xml:space="preserve">older-generation NSI handsets </w:t>
      </w:r>
      <w:r w:rsidR="006A6F4C" w:rsidRPr="005968CD">
        <w:rPr>
          <w:szCs w:val="22"/>
        </w:rPr>
        <w:t xml:space="preserve">for their </w:t>
      </w:r>
      <w:r w:rsidR="00B91CE6" w:rsidRPr="005968CD">
        <w:rPr>
          <w:szCs w:val="22"/>
        </w:rPr>
        <w:t>911</w:t>
      </w:r>
      <w:r w:rsidR="006A6F4C" w:rsidRPr="005968CD">
        <w:rPr>
          <w:szCs w:val="22"/>
        </w:rPr>
        <w:t xml:space="preserve"> capability</w:t>
      </w:r>
      <w:r w:rsidR="00721C79" w:rsidRPr="005968CD">
        <w:rPr>
          <w:szCs w:val="22"/>
        </w:rPr>
        <w:t>.  Moreover, retaining the rule will impose added costs on carriers to implement NSI call-forwarding capability in 3G and 4G networks.  W</w:t>
      </w:r>
      <w:r w:rsidR="007827C1" w:rsidRPr="005968CD">
        <w:rPr>
          <w:szCs w:val="22"/>
        </w:rPr>
        <w:t xml:space="preserve">hile we recognize that public safety interests are driven by </w:t>
      </w:r>
      <w:r w:rsidR="00907DE2" w:rsidRPr="005968CD">
        <w:rPr>
          <w:szCs w:val="22"/>
        </w:rPr>
        <w:t xml:space="preserve">more than </w:t>
      </w:r>
      <w:r w:rsidR="007827C1" w:rsidRPr="005968CD">
        <w:rPr>
          <w:szCs w:val="22"/>
        </w:rPr>
        <w:t xml:space="preserve">economic considerations, we believe </w:t>
      </w:r>
      <w:r w:rsidR="00721C79" w:rsidRPr="005968CD">
        <w:rPr>
          <w:szCs w:val="22"/>
        </w:rPr>
        <w:t xml:space="preserve">that </w:t>
      </w:r>
      <w:r w:rsidR="007F3287" w:rsidRPr="005968CD">
        <w:rPr>
          <w:szCs w:val="22"/>
        </w:rPr>
        <w:t xml:space="preserve">avoiding these added costs by </w:t>
      </w:r>
      <w:r w:rsidR="00E61F8C" w:rsidRPr="005968CD">
        <w:rPr>
          <w:szCs w:val="22"/>
        </w:rPr>
        <w:t xml:space="preserve">sunsetting the rule </w:t>
      </w:r>
      <w:r w:rsidR="007827C1" w:rsidRPr="005968CD">
        <w:rPr>
          <w:szCs w:val="22"/>
        </w:rPr>
        <w:t xml:space="preserve">will </w:t>
      </w:r>
      <w:r w:rsidR="00E61F8C" w:rsidRPr="005968CD">
        <w:rPr>
          <w:szCs w:val="22"/>
        </w:rPr>
        <w:t xml:space="preserve">have </w:t>
      </w:r>
      <w:r w:rsidR="007827C1" w:rsidRPr="005968CD">
        <w:rPr>
          <w:szCs w:val="22"/>
        </w:rPr>
        <w:t xml:space="preserve">significant </w:t>
      </w:r>
      <w:r w:rsidR="009B58EC" w:rsidRPr="005968CD">
        <w:rPr>
          <w:szCs w:val="22"/>
        </w:rPr>
        <w:t>net</w:t>
      </w:r>
      <w:r w:rsidR="007827C1" w:rsidRPr="005968CD">
        <w:rPr>
          <w:szCs w:val="22"/>
        </w:rPr>
        <w:t xml:space="preserve"> cost benefits </w:t>
      </w:r>
      <w:r w:rsidR="00E61F8C" w:rsidRPr="005968CD">
        <w:rPr>
          <w:szCs w:val="22"/>
        </w:rPr>
        <w:t xml:space="preserve">for carriers, in addition to eliminating the burden of fraudulent 911 calls </w:t>
      </w:r>
      <w:r w:rsidR="007F3287" w:rsidRPr="005968CD">
        <w:rPr>
          <w:szCs w:val="22"/>
        </w:rPr>
        <w:t xml:space="preserve">on </w:t>
      </w:r>
      <w:r w:rsidR="007827C1" w:rsidRPr="005968CD">
        <w:rPr>
          <w:szCs w:val="22"/>
        </w:rPr>
        <w:t xml:space="preserve">first responders </w:t>
      </w:r>
      <w:r w:rsidR="00E61F8C" w:rsidRPr="005968CD">
        <w:rPr>
          <w:szCs w:val="22"/>
        </w:rPr>
        <w:t xml:space="preserve">as </w:t>
      </w:r>
      <w:r w:rsidR="007827C1" w:rsidRPr="005968CD">
        <w:rPr>
          <w:szCs w:val="22"/>
        </w:rPr>
        <w:t xml:space="preserve">discussed above.  </w:t>
      </w:r>
      <w:r w:rsidR="007F3287" w:rsidRPr="005968CD">
        <w:rPr>
          <w:szCs w:val="22"/>
        </w:rPr>
        <w:t xml:space="preserve">Conversely, </w:t>
      </w:r>
      <w:r w:rsidR="00E61F8C" w:rsidRPr="005968CD">
        <w:rPr>
          <w:szCs w:val="22"/>
        </w:rPr>
        <w:t>we</w:t>
      </w:r>
      <w:r w:rsidR="004918B4" w:rsidRPr="005968CD">
        <w:rPr>
          <w:szCs w:val="22"/>
        </w:rPr>
        <w:t xml:space="preserve"> </w:t>
      </w:r>
      <w:r w:rsidR="0012648C" w:rsidRPr="005968CD">
        <w:rPr>
          <w:szCs w:val="22"/>
        </w:rPr>
        <w:t xml:space="preserve">believe that </w:t>
      </w:r>
      <w:r w:rsidR="00E61F8C" w:rsidRPr="005968CD">
        <w:rPr>
          <w:szCs w:val="22"/>
        </w:rPr>
        <w:t xml:space="preserve">any cost to carriers associated with </w:t>
      </w:r>
      <w:r w:rsidR="007F3287" w:rsidRPr="005968CD">
        <w:rPr>
          <w:szCs w:val="22"/>
        </w:rPr>
        <w:t xml:space="preserve">removing NSI call-forwarding capability from their networks </w:t>
      </w:r>
      <w:r w:rsidR="00E61F8C" w:rsidRPr="005968CD">
        <w:rPr>
          <w:szCs w:val="22"/>
        </w:rPr>
        <w:t>w</w:t>
      </w:r>
      <w:r w:rsidR="0012648C" w:rsidRPr="005968CD">
        <w:rPr>
          <w:szCs w:val="22"/>
        </w:rPr>
        <w:t>ill be relatively minor.</w:t>
      </w:r>
      <w:r w:rsidR="0012648C" w:rsidRPr="005968CD">
        <w:rPr>
          <w:rStyle w:val="FootnoteReference"/>
          <w:sz w:val="22"/>
          <w:szCs w:val="22"/>
        </w:rPr>
        <w:footnoteReference w:id="93"/>
      </w:r>
      <w:r w:rsidR="0012648C" w:rsidRPr="005968CD">
        <w:rPr>
          <w:szCs w:val="22"/>
        </w:rPr>
        <w:t xml:space="preserve">  </w:t>
      </w:r>
      <w:r w:rsidR="00ED27A9" w:rsidRPr="005968CD">
        <w:rPr>
          <w:szCs w:val="22"/>
        </w:rPr>
        <w:t xml:space="preserve">For all of these reasons, we believe that the costs of </w:t>
      </w:r>
      <w:r w:rsidR="007827C1" w:rsidRPr="005968CD">
        <w:rPr>
          <w:szCs w:val="22"/>
        </w:rPr>
        <w:t>retaining the NSI r</w:t>
      </w:r>
      <w:r w:rsidR="00ED27A9" w:rsidRPr="005968CD">
        <w:rPr>
          <w:szCs w:val="22"/>
        </w:rPr>
        <w:t xml:space="preserve">ule appear to outweigh the benefits.  </w:t>
      </w:r>
      <w:r w:rsidR="00F820FC" w:rsidRPr="005968CD">
        <w:rPr>
          <w:szCs w:val="22"/>
        </w:rPr>
        <w:t xml:space="preserve">We therefore propose to </w:t>
      </w:r>
      <w:r w:rsidR="007827C1" w:rsidRPr="005968CD">
        <w:rPr>
          <w:szCs w:val="22"/>
        </w:rPr>
        <w:t xml:space="preserve">sunset the NSI rule </w:t>
      </w:r>
      <w:r w:rsidR="00F7572D" w:rsidRPr="005968CD">
        <w:rPr>
          <w:szCs w:val="22"/>
        </w:rPr>
        <w:t xml:space="preserve">after a </w:t>
      </w:r>
      <w:r w:rsidR="00A97658">
        <w:rPr>
          <w:szCs w:val="22"/>
        </w:rPr>
        <w:t>six-month</w:t>
      </w:r>
      <w:r w:rsidR="00F7572D" w:rsidRPr="005968CD">
        <w:rPr>
          <w:szCs w:val="22"/>
        </w:rPr>
        <w:t xml:space="preserve"> transition period</w:t>
      </w:r>
      <w:r w:rsidR="00F820FC" w:rsidRPr="005968CD">
        <w:rPr>
          <w:szCs w:val="22"/>
        </w:rPr>
        <w:t>.</w:t>
      </w:r>
    </w:p>
    <w:p w14:paraId="63230C41" w14:textId="77777777" w:rsidR="00ED27A9" w:rsidRPr="005968CD" w:rsidRDefault="006D4CD0" w:rsidP="00C46CCA">
      <w:pPr>
        <w:pStyle w:val="ParaNum"/>
        <w:widowControl/>
        <w:tabs>
          <w:tab w:val="left" w:pos="900"/>
        </w:tabs>
        <w:snapToGrid w:val="0"/>
        <w:rPr>
          <w:szCs w:val="22"/>
        </w:rPr>
      </w:pPr>
      <w:r w:rsidRPr="005968CD">
        <w:rPr>
          <w:szCs w:val="22"/>
        </w:rPr>
        <w:t>Based on the comments advocating for elimination of the rule,</w:t>
      </w:r>
      <w:r w:rsidRPr="005968CD">
        <w:rPr>
          <w:rStyle w:val="FootnoteReference"/>
          <w:sz w:val="22"/>
          <w:szCs w:val="22"/>
        </w:rPr>
        <w:footnoteReference w:id="94"/>
      </w:r>
      <w:r w:rsidRPr="005968CD">
        <w:rPr>
          <w:szCs w:val="22"/>
        </w:rPr>
        <w:t xml:space="preserve"> we believe that</w:t>
      </w:r>
      <w:r w:rsidRPr="005968CD">
        <w:rPr>
          <w:color w:val="000000"/>
          <w:szCs w:val="22"/>
        </w:rPr>
        <w:t xml:space="preserve"> a uniform, nationwide deadline to sunset the NSI requirement would best address the concerns that have been raised in the record regarding the prevalence of fraudulent calls from NSI devices.  </w:t>
      </w:r>
      <w:r w:rsidR="00A30A09" w:rsidRPr="005968CD">
        <w:rPr>
          <w:szCs w:val="22"/>
        </w:rPr>
        <w:t>Livingston County</w:t>
      </w:r>
      <w:r w:rsidR="00A05CE1" w:rsidRPr="005968CD">
        <w:rPr>
          <w:szCs w:val="22"/>
        </w:rPr>
        <w:t xml:space="preserve"> expressly indicated </w:t>
      </w:r>
      <w:r w:rsidR="00A05CE1" w:rsidRPr="005968CD">
        <w:rPr>
          <w:color w:val="000000"/>
          <w:szCs w:val="22"/>
        </w:rPr>
        <w:t xml:space="preserve">support for a single cut-off date for elimination of the </w:t>
      </w:r>
      <w:r w:rsidR="00B228C7" w:rsidRPr="005968CD">
        <w:rPr>
          <w:color w:val="000000"/>
          <w:szCs w:val="22"/>
        </w:rPr>
        <w:t>NSI requirement</w:t>
      </w:r>
      <w:r w:rsidR="00A05CE1" w:rsidRPr="005968CD">
        <w:rPr>
          <w:color w:val="000000"/>
          <w:szCs w:val="22"/>
        </w:rPr>
        <w:t>.</w:t>
      </w:r>
      <w:r w:rsidR="00A05CE1" w:rsidRPr="005968CD">
        <w:rPr>
          <w:rStyle w:val="FootnoteReference"/>
          <w:sz w:val="22"/>
          <w:szCs w:val="22"/>
        </w:rPr>
        <w:footnoteReference w:id="95"/>
      </w:r>
      <w:r w:rsidR="00A05CE1" w:rsidRPr="005968CD">
        <w:rPr>
          <w:color w:val="000000"/>
          <w:szCs w:val="22"/>
        </w:rPr>
        <w:t xml:space="preserve">  </w:t>
      </w:r>
      <w:r w:rsidR="00A30A09" w:rsidRPr="005968CD">
        <w:rPr>
          <w:color w:val="000000"/>
          <w:szCs w:val="22"/>
        </w:rPr>
        <w:t xml:space="preserve">Further, a uniform sunset date would </w:t>
      </w:r>
      <w:r w:rsidR="00A05CE1" w:rsidRPr="005968CD">
        <w:rPr>
          <w:color w:val="000000"/>
          <w:szCs w:val="22"/>
        </w:rPr>
        <w:t>pr</w:t>
      </w:r>
      <w:r w:rsidR="00ED27A9" w:rsidRPr="005968CD">
        <w:rPr>
          <w:szCs w:val="22"/>
        </w:rPr>
        <w:t xml:space="preserve">ovide the greatest certainty to the public, as well as to PSAPs and CMRS providers, and </w:t>
      </w:r>
      <w:r w:rsidR="00A30A09" w:rsidRPr="005968CD">
        <w:rPr>
          <w:szCs w:val="22"/>
        </w:rPr>
        <w:t xml:space="preserve">would </w:t>
      </w:r>
      <w:r w:rsidR="00ED27A9" w:rsidRPr="005968CD">
        <w:rPr>
          <w:szCs w:val="22"/>
        </w:rPr>
        <w:t xml:space="preserve">be easiest for all parties to administer.  </w:t>
      </w:r>
      <w:r w:rsidR="00A30A09" w:rsidRPr="005968CD">
        <w:rPr>
          <w:szCs w:val="22"/>
        </w:rPr>
        <w:t xml:space="preserve">We also </w:t>
      </w:r>
      <w:r w:rsidR="00ED27A9" w:rsidRPr="005968CD">
        <w:rPr>
          <w:szCs w:val="22"/>
        </w:rPr>
        <w:t xml:space="preserve">believe that any necessary </w:t>
      </w:r>
      <w:r w:rsidRPr="005968CD">
        <w:rPr>
          <w:szCs w:val="22"/>
        </w:rPr>
        <w:t xml:space="preserve">consumer </w:t>
      </w:r>
      <w:r w:rsidR="00ED27A9" w:rsidRPr="005968CD">
        <w:rPr>
          <w:szCs w:val="22"/>
        </w:rPr>
        <w:t xml:space="preserve">education and outreach </w:t>
      </w:r>
      <w:r w:rsidRPr="005968CD">
        <w:rPr>
          <w:szCs w:val="22"/>
        </w:rPr>
        <w:t>regarding a uniform deadline</w:t>
      </w:r>
      <w:r w:rsidR="00ED27A9" w:rsidRPr="005968CD">
        <w:rPr>
          <w:szCs w:val="22"/>
        </w:rPr>
        <w:t xml:space="preserve"> would be less burdensome than for an alternative “phase-out” approach, as it would avoid public confusion with respect to timing and with regard to which NSI devices could and could not call 911.  We therefore believe that this method of eliminating the </w:t>
      </w:r>
      <w:r w:rsidR="00B228C7" w:rsidRPr="005968CD">
        <w:rPr>
          <w:szCs w:val="22"/>
        </w:rPr>
        <w:t>NSI requirement</w:t>
      </w:r>
      <w:r w:rsidR="00ED27A9" w:rsidRPr="005968CD">
        <w:rPr>
          <w:szCs w:val="22"/>
        </w:rPr>
        <w:t xml:space="preserve"> best balances the needs of the public, public safety, and CMRS providers.  We seek comment on this </w:t>
      </w:r>
      <w:r w:rsidR="009A2486" w:rsidRPr="005968CD">
        <w:rPr>
          <w:szCs w:val="22"/>
        </w:rPr>
        <w:t xml:space="preserve">proposed </w:t>
      </w:r>
      <w:r w:rsidR="00ED27A9" w:rsidRPr="005968CD">
        <w:rPr>
          <w:szCs w:val="22"/>
        </w:rPr>
        <w:t>approach</w:t>
      </w:r>
      <w:r w:rsidR="00A30A09" w:rsidRPr="005968CD">
        <w:rPr>
          <w:szCs w:val="22"/>
        </w:rPr>
        <w:t xml:space="preserve"> and on our analysis</w:t>
      </w:r>
      <w:r w:rsidR="00ED27A9" w:rsidRPr="005968CD">
        <w:rPr>
          <w:szCs w:val="22"/>
        </w:rPr>
        <w:t>.</w:t>
      </w:r>
    </w:p>
    <w:p w14:paraId="529A1685" w14:textId="77777777" w:rsidR="00ED27A9" w:rsidRPr="004B74A1" w:rsidRDefault="004B74A1" w:rsidP="004B74A1">
      <w:pPr>
        <w:pStyle w:val="ParaNum"/>
        <w:widowControl/>
        <w:tabs>
          <w:tab w:val="left" w:pos="900"/>
        </w:tabs>
        <w:snapToGrid w:val="0"/>
        <w:rPr>
          <w:szCs w:val="22"/>
        </w:rPr>
      </w:pPr>
      <w:r>
        <w:rPr>
          <w:szCs w:val="22"/>
        </w:rPr>
        <w:t>We also</w:t>
      </w:r>
      <w:r w:rsidR="00ED27A9" w:rsidRPr="005968CD">
        <w:rPr>
          <w:szCs w:val="22"/>
        </w:rPr>
        <w:t xml:space="preserve"> seek comment on </w:t>
      </w:r>
      <w:r w:rsidR="00B66CA3">
        <w:rPr>
          <w:szCs w:val="22"/>
        </w:rPr>
        <w:t xml:space="preserve">other </w:t>
      </w:r>
      <w:r>
        <w:rPr>
          <w:szCs w:val="22"/>
        </w:rPr>
        <w:t xml:space="preserve">possible </w:t>
      </w:r>
      <w:r w:rsidR="00B66CA3">
        <w:rPr>
          <w:szCs w:val="22"/>
        </w:rPr>
        <w:t xml:space="preserve">transition </w:t>
      </w:r>
      <w:r>
        <w:rPr>
          <w:szCs w:val="22"/>
        </w:rPr>
        <w:t xml:space="preserve">approaches.  </w:t>
      </w:r>
      <w:r w:rsidR="00ED27A9" w:rsidRPr="005968CD">
        <w:rPr>
          <w:szCs w:val="22"/>
        </w:rPr>
        <w:t>For example,</w:t>
      </w:r>
      <w:r w:rsidR="00ED27A9" w:rsidRPr="005968CD">
        <w:rPr>
          <w:color w:val="000000"/>
          <w:szCs w:val="22"/>
        </w:rPr>
        <w:t xml:space="preserve"> NENA </w:t>
      </w:r>
      <w:r w:rsidR="00B66CA3">
        <w:rPr>
          <w:color w:val="000000"/>
          <w:szCs w:val="22"/>
        </w:rPr>
        <w:t xml:space="preserve">has </w:t>
      </w:r>
      <w:r w:rsidR="00ED27A9" w:rsidRPr="005968CD">
        <w:rPr>
          <w:color w:val="000000"/>
          <w:szCs w:val="22"/>
        </w:rPr>
        <w:t>suggested that t</w:t>
      </w:r>
      <w:r w:rsidR="00ED27A9" w:rsidRPr="005968CD">
        <w:rPr>
          <w:snapToGrid/>
          <w:kern w:val="0"/>
          <w:szCs w:val="22"/>
        </w:rPr>
        <w:t>he Commission phase out the</w:t>
      </w:r>
      <w:r w:rsidR="00AA0651">
        <w:rPr>
          <w:snapToGrid/>
          <w:kern w:val="0"/>
          <w:szCs w:val="22"/>
        </w:rPr>
        <w:t xml:space="preserve"> NSI </w:t>
      </w:r>
      <w:r w:rsidR="00ED27A9" w:rsidRPr="005968CD">
        <w:rPr>
          <w:snapToGrid/>
          <w:kern w:val="0"/>
          <w:szCs w:val="22"/>
        </w:rPr>
        <w:t xml:space="preserve">rule </w:t>
      </w:r>
      <w:r w:rsidR="00AA0651">
        <w:rPr>
          <w:snapToGrid/>
          <w:kern w:val="0"/>
          <w:szCs w:val="22"/>
        </w:rPr>
        <w:t>“</w:t>
      </w:r>
      <w:r w:rsidR="00ED27A9" w:rsidRPr="005968CD">
        <w:rPr>
          <w:snapToGrid/>
          <w:kern w:val="0"/>
          <w:szCs w:val="22"/>
        </w:rPr>
        <w:t>for devices and networks that no longer support legacy circuit-switched voice calling.</w:t>
      </w:r>
      <w:r>
        <w:rPr>
          <w:rStyle w:val="FootnoteReference"/>
          <w:snapToGrid/>
          <w:kern w:val="0"/>
          <w:szCs w:val="22"/>
        </w:rPr>
        <w:footnoteReference w:id="96"/>
      </w:r>
      <w:r w:rsidR="00ED27A9" w:rsidRPr="005968CD">
        <w:rPr>
          <w:snapToGrid/>
          <w:kern w:val="0"/>
          <w:szCs w:val="22"/>
        </w:rPr>
        <w:t xml:space="preserve">  NENA reasoned that this “will minimize stranded investments by carriers and consumers as carriers transition to fully IP-based architectures such as LTE and as consumers transition to IP-only devices that no longer support circuit-switched voice services</w:t>
      </w:r>
      <w:r w:rsidR="00001B5E" w:rsidRPr="005968CD">
        <w:rPr>
          <w:snapToGrid/>
          <w:kern w:val="0"/>
          <w:szCs w:val="22"/>
        </w:rPr>
        <w:t>.”</w:t>
      </w:r>
      <w:r>
        <w:rPr>
          <w:rStyle w:val="FootnoteReference"/>
          <w:snapToGrid/>
          <w:kern w:val="0"/>
          <w:szCs w:val="22"/>
        </w:rPr>
        <w:footnoteReference w:id="97"/>
      </w:r>
      <w:r w:rsidR="00ED27A9" w:rsidRPr="005968CD">
        <w:rPr>
          <w:snapToGrid/>
          <w:kern w:val="0"/>
          <w:szCs w:val="22"/>
        </w:rPr>
        <w:t xml:space="preserve"> </w:t>
      </w:r>
      <w:r w:rsidR="00001B5E" w:rsidRPr="005968CD">
        <w:rPr>
          <w:snapToGrid/>
          <w:kern w:val="0"/>
          <w:szCs w:val="22"/>
        </w:rPr>
        <w:t xml:space="preserve"> </w:t>
      </w:r>
      <w:r w:rsidR="00ED27A9" w:rsidRPr="004B74A1">
        <w:rPr>
          <w:szCs w:val="22"/>
        </w:rPr>
        <w:t xml:space="preserve">Alternatively, </w:t>
      </w:r>
      <w:r w:rsidR="00AA0651">
        <w:rPr>
          <w:szCs w:val="22"/>
        </w:rPr>
        <w:t xml:space="preserve">we seek comment on whether to </w:t>
      </w:r>
      <w:r w:rsidR="00077DDD" w:rsidRPr="004B74A1">
        <w:rPr>
          <w:szCs w:val="22"/>
        </w:rPr>
        <w:t>eliminate</w:t>
      </w:r>
      <w:r w:rsidR="00ED27A9" w:rsidRPr="004B74A1">
        <w:rPr>
          <w:szCs w:val="22"/>
        </w:rPr>
        <w:t xml:space="preserve"> the NSI </w:t>
      </w:r>
      <w:r w:rsidR="00BA61C4" w:rsidRPr="004B74A1">
        <w:rPr>
          <w:szCs w:val="22"/>
        </w:rPr>
        <w:t>requirement</w:t>
      </w:r>
      <w:r w:rsidR="00ED27A9" w:rsidRPr="004B74A1">
        <w:rPr>
          <w:szCs w:val="22"/>
        </w:rPr>
        <w:t xml:space="preserve"> for new </w:t>
      </w:r>
      <w:r w:rsidR="00F451AF" w:rsidRPr="004B74A1">
        <w:rPr>
          <w:szCs w:val="22"/>
        </w:rPr>
        <w:t>wireless</w:t>
      </w:r>
      <w:r w:rsidR="00ED27A9" w:rsidRPr="004B74A1">
        <w:rPr>
          <w:szCs w:val="22"/>
        </w:rPr>
        <w:t xml:space="preserve"> devices sold after a particular date, thus grandfathering </w:t>
      </w:r>
      <w:r w:rsidR="00D35540" w:rsidRPr="004B74A1">
        <w:rPr>
          <w:szCs w:val="22"/>
        </w:rPr>
        <w:t>the 911 call-</w:t>
      </w:r>
      <w:r w:rsidR="00ED27A9" w:rsidRPr="004B74A1">
        <w:rPr>
          <w:szCs w:val="22"/>
        </w:rPr>
        <w:t xml:space="preserve">forwarding capability for existing NSI devices.  </w:t>
      </w:r>
    </w:p>
    <w:p w14:paraId="7C5EBE49" w14:textId="77777777" w:rsidR="00895C03" w:rsidRPr="005968CD" w:rsidRDefault="00ED27A9" w:rsidP="00C46CCA">
      <w:pPr>
        <w:pStyle w:val="ParaNum"/>
        <w:widowControl/>
        <w:snapToGrid w:val="0"/>
        <w:rPr>
          <w:szCs w:val="22"/>
        </w:rPr>
      </w:pPr>
      <w:r w:rsidRPr="005968CD">
        <w:rPr>
          <w:szCs w:val="22"/>
        </w:rPr>
        <w:t xml:space="preserve">In the event that we </w:t>
      </w:r>
      <w:r w:rsidR="00BA61C4" w:rsidRPr="005968CD">
        <w:rPr>
          <w:szCs w:val="22"/>
        </w:rPr>
        <w:t xml:space="preserve">do </w:t>
      </w:r>
      <w:r w:rsidRPr="005968CD">
        <w:rPr>
          <w:szCs w:val="22"/>
        </w:rPr>
        <w:t xml:space="preserve">sunset the NSI rule, we </w:t>
      </w:r>
      <w:r w:rsidR="008F2507" w:rsidRPr="005968CD">
        <w:rPr>
          <w:szCs w:val="22"/>
        </w:rPr>
        <w:t>would seek to</w:t>
      </w:r>
      <w:r w:rsidR="00BA61C4" w:rsidRPr="005968CD">
        <w:rPr>
          <w:szCs w:val="22"/>
        </w:rPr>
        <w:t xml:space="preserve"> </w:t>
      </w:r>
      <w:r w:rsidR="007129B9" w:rsidRPr="005968CD">
        <w:rPr>
          <w:szCs w:val="22"/>
        </w:rPr>
        <w:t xml:space="preserve">educate </w:t>
      </w:r>
      <w:r w:rsidRPr="005968CD">
        <w:rPr>
          <w:szCs w:val="22"/>
        </w:rPr>
        <w:t>consumer</w:t>
      </w:r>
      <w:r w:rsidR="007129B9" w:rsidRPr="005968CD">
        <w:rPr>
          <w:szCs w:val="22"/>
        </w:rPr>
        <w:t>s</w:t>
      </w:r>
      <w:r w:rsidRPr="005968CD">
        <w:rPr>
          <w:szCs w:val="22"/>
        </w:rPr>
        <w:t xml:space="preserve"> </w:t>
      </w:r>
      <w:r w:rsidR="00C94BD0" w:rsidRPr="005968CD">
        <w:rPr>
          <w:szCs w:val="22"/>
        </w:rPr>
        <w:t>during</w:t>
      </w:r>
      <w:r w:rsidRPr="005968CD">
        <w:rPr>
          <w:szCs w:val="22"/>
        </w:rPr>
        <w:t xml:space="preserve"> </w:t>
      </w:r>
      <w:r w:rsidR="00C94BD0" w:rsidRPr="005968CD">
        <w:rPr>
          <w:szCs w:val="22"/>
        </w:rPr>
        <w:t>the transition on</w:t>
      </w:r>
      <w:r w:rsidR="007129B9" w:rsidRPr="005968CD">
        <w:rPr>
          <w:szCs w:val="22"/>
        </w:rPr>
        <w:t xml:space="preserve"> whether </w:t>
      </w:r>
      <w:r w:rsidRPr="005968CD">
        <w:rPr>
          <w:szCs w:val="22"/>
        </w:rPr>
        <w:t>their particular NSI device will allow them to reach 911</w:t>
      </w:r>
      <w:r w:rsidR="00BA61C4" w:rsidRPr="005968CD">
        <w:rPr>
          <w:szCs w:val="22"/>
        </w:rPr>
        <w:t xml:space="preserve">, </w:t>
      </w:r>
      <w:r w:rsidR="007129B9" w:rsidRPr="005968CD">
        <w:rPr>
          <w:szCs w:val="22"/>
        </w:rPr>
        <w:t xml:space="preserve">and </w:t>
      </w:r>
      <w:r w:rsidR="00C94BD0" w:rsidRPr="005968CD">
        <w:rPr>
          <w:szCs w:val="22"/>
        </w:rPr>
        <w:t xml:space="preserve">on </w:t>
      </w:r>
      <w:r w:rsidR="007129B9" w:rsidRPr="005968CD">
        <w:rPr>
          <w:szCs w:val="22"/>
        </w:rPr>
        <w:t xml:space="preserve">how to </w:t>
      </w:r>
      <w:r w:rsidRPr="005968CD">
        <w:rPr>
          <w:szCs w:val="22"/>
        </w:rPr>
        <w:t xml:space="preserve">ensure continued, uninterrupted access to 911.  We </w:t>
      </w:r>
      <w:r w:rsidR="00E66BDD" w:rsidRPr="005968CD">
        <w:rPr>
          <w:szCs w:val="22"/>
        </w:rPr>
        <w:t>recognize that the</w:t>
      </w:r>
      <w:r w:rsidRPr="005968CD">
        <w:rPr>
          <w:szCs w:val="22"/>
        </w:rPr>
        <w:t xml:space="preserve"> public is increasingly reliant on wireless technology for th</w:t>
      </w:r>
      <w:r w:rsidR="00560FEC" w:rsidRPr="005968CD">
        <w:rPr>
          <w:szCs w:val="22"/>
        </w:rPr>
        <w:t xml:space="preserve">eir basic communications needs </w:t>
      </w:r>
      <w:r w:rsidRPr="005968CD">
        <w:rPr>
          <w:szCs w:val="22"/>
        </w:rPr>
        <w:t xml:space="preserve">and </w:t>
      </w:r>
      <w:r w:rsidR="00560FEC" w:rsidRPr="005968CD">
        <w:rPr>
          <w:szCs w:val="22"/>
        </w:rPr>
        <w:t xml:space="preserve">that </w:t>
      </w:r>
      <w:r w:rsidRPr="005968CD">
        <w:rPr>
          <w:szCs w:val="22"/>
        </w:rPr>
        <w:t>many persons have elected to do without landline telephone service.</w:t>
      </w:r>
      <w:r w:rsidRPr="005968CD">
        <w:rPr>
          <w:rStyle w:val="FootnoteReference"/>
          <w:sz w:val="22"/>
          <w:szCs w:val="22"/>
        </w:rPr>
        <w:footnoteReference w:id="98"/>
      </w:r>
      <w:r w:rsidRPr="005968CD">
        <w:rPr>
          <w:szCs w:val="22"/>
        </w:rPr>
        <w:t xml:space="preserve">  With this in mind, we believe that elimination of the </w:t>
      </w:r>
      <w:r w:rsidR="00560FEC" w:rsidRPr="005968CD">
        <w:rPr>
          <w:szCs w:val="22"/>
        </w:rPr>
        <w:t xml:space="preserve">NSI </w:t>
      </w:r>
      <w:r w:rsidRPr="005968CD">
        <w:rPr>
          <w:szCs w:val="22"/>
        </w:rPr>
        <w:t xml:space="preserve">rule </w:t>
      </w:r>
      <w:r w:rsidR="006D38CD" w:rsidRPr="005968CD">
        <w:rPr>
          <w:szCs w:val="22"/>
        </w:rPr>
        <w:t>must</w:t>
      </w:r>
      <w:r w:rsidRPr="005968CD">
        <w:rPr>
          <w:szCs w:val="22"/>
        </w:rPr>
        <w:t xml:space="preserve"> be accompanied by sufficient public education and outreach to ensure that the public is aware that they can no longer call 911 from NSI devices prior to loss of that capability</w:t>
      </w:r>
      <w:r w:rsidR="008F2507" w:rsidRPr="005968CD">
        <w:rPr>
          <w:szCs w:val="22"/>
        </w:rPr>
        <w:t>,</w:t>
      </w:r>
      <w:r w:rsidR="00BA61C4" w:rsidRPr="005968CD">
        <w:rPr>
          <w:szCs w:val="22"/>
        </w:rPr>
        <w:t xml:space="preserve"> but that there are low</w:t>
      </w:r>
      <w:r w:rsidR="00E66BDD" w:rsidRPr="005968CD">
        <w:rPr>
          <w:szCs w:val="22"/>
        </w:rPr>
        <w:t>-</w:t>
      </w:r>
      <w:r w:rsidR="00BA61C4" w:rsidRPr="005968CD">
        <w:rPr>
          <w:szCs w:val="22"/>
        </w:rPr>
        <w:t>cost options for replacing such devices</w:t>
      </w:r>
      <w:r w:rsidRPr="005968CD">
        <w:rPr>
          <w:szCs w:val="22"/>
        </w:rPr>
        <w:t xml:space="preserve">.  </w:t>
      </w:r>
    </w:p>
    <w:p w14:paraId="59B6EBC8" w14:textId="77777777" w:rsidR="00ED27A9" w:rsidRPr="005968CD" w:rsidRDefault="00BA61C4" w:rsidP="00AB2C68">
      <w:pPr>
        <w:pStyle w:val="ParaNum"/>
        <w:widowControl/>
        <w:snapToGrid w:val="0"/>
        <w:rPr>
          <w:szCs w:val="22"/>
        </w:rPr>
      </w:pPr>
      <w:r w:rsidRPr="005968CD">
        <w:rPr>
          <w:szCs w:val="22"/>
        </w:rPr>
        <w:t>Accordingly, w</w:t>
      </w:r>
      <w:r w:rsidR="00ED27A9" w:rsidRPr="005968CD">
        <w:rPr>
          <w:szCs w:val="22"/>
        </w:rPr>
        <w:t xml:space="preserve">e propose to allow a </w:t>
      </w:r>
      <w:r w:rsidR="00A97658">
        <w:rPr>
          <w:szCs w:val="22"/>
        </w:rPr>
        <w:t>six-month</w:t>
      </w:r>
      <w:r w:rsidR="00ED27A9" w:rsidRPr="005968CD">
        <w:rPr>
          <w:szCs w:val="22"/>
        </w:rPr>
        <w:t xml:space="preserve"> transition period for service providers, public interest organizations, and other interested parties to engage in this educational outreach process, and seek comment on </w:t>
      </w:r>
      <w:r w:rsidR="00ED27A9" w:rsidRPr="00CA7A1D">
        <w:rPr>
          <w:szCs w:val="22"/>
        </w:rPr>
        <w:t xml:space="preserve">this </w:t>
      </w:r>
      <w:r w:rsidR="00C16653">
        <w:rPr>
          <w:szCs w:val="22"/>
        </w:rPr>
        <w:t>proposal</w:t>
      </w:r>
      <w:r w:rsidR="00ED27A9" w:rsidRPr="005968CD">
        <w:rPr>
          <w:szCs w:val="22"/>
        </w:rPr>
        <w:t xml:space="preserve">.  We </w:t>
      </w:r>
      <w:r w:rsidRPr="005968CD">
        <w:rPr>
          <w:szCs w:val="22"/>
        </w:rPr>
        <w:t xml:space="preserve">also </w:t>
      </w:r>
      <w:r w:rsidR="00ED27A9" w:rsidRPr="005968CD">
        <w:rPr>
          <w:szCs w:val="22"/>
        </w:rPr>
        <w:t>seek comment on the necessary components of such an education and outreach effort</w:t>
      </w:r>
      <w:r w:rsidRPr="005968CD">
        <w:rPr>
          <w:szCs w:val="22"/>
        </w:rPr>
        <w:t>, and on implementation of these components</w:t>
      </w:r>
      <w:r w:rsidR="00ED27A9" w:rsidRPr="005968CD">
        <w:rPr>
          <w:szCs w:val="22"/>
        </w:rPr>
        <w:t xml:space="preserve">.  </w:t>
      </w:r>
    </w:p>
    <w:p w14:paraId="59803BD6" w14:textId="77777777" w:rsidR="00F7572D" w:rsidRPr="005968CD" w:rsidRDefault="00F7572D" w:rsidP="00C46CCA">
      <w:pPr>
        <w:pStyle w:val="ParaNum"/>
        <w:widowControl/>
        <w:snapToGrid w:val="0"/>
        <w:rPr>
          <w:szCs w:val="22"/>
        </w:rPr>
      </w:pPr>
      <w:r w:rsidRPr="005968CD">
        <w:rPr>
          <w:szCs w:val="22"/>
        </w:rPr>
        <w:t>Finally</w:t>
      </w:r>
      <w:r w:rsidR="00560FEC" w:rsidRPr="005968CD">
        <w:rPr>
          <w:szCs w:val="22"/>
        </w:rPr>
        <w:t xml:space="preserve">, </w:t>
      </w:r>
      <w:r w:rsidR="003A7DC1" w:rsidRPr="005968CD">
        <w:rPr>
          <w:szCs w:val="22"/>
        </w:rPr>
        <w:t xml:space="preserve">assuming that the NSI call-forwarding rule is eliminated after a transition period, should </w:t>
      </w:r>
      <w:r w:rsidRPr="005968CD">
        <w:rPr>
          <w:szCs w:val="22"/>
        </w:rPr>
        <w:t xml:space="preserve">CMRS providers </w:t>
      </w:r>
      <w:r w:rsidR="003A7DC1" w:rsidRPr="005968CD">
        <w:rPr>
          <w:szCs w:val="22"/>
        </w:rPr>
        <w:t>be allowed to f</w:t>
      </w:r>
      <w:r w:rsidRPr="005968CD">
        <w:rPr>
          <w:szCs w:val="22"/>
        </w:rPr>
        <w:t xml:space="preserve">orward </w:t>
      </w:r>
      <w:r w:rsidR="003A7DC1" w:rsidRPr="005968CD">
        <w:rPr>
          <w:szCs w:val="22"/>
        </w:rPr>
        <w:t xml:space="preserve">911 </w:t>
      </w:r>
      <w:r w:rsidRPr="005968CD">
        <w:rPr>
          <w:szCs w:val="22"/>
        </w:rPr>
        <w:t>calls from NSI devices at their discretion</w:t>
      </w:r>
      <w:r w:rsidR="003A7DC1" w:rsidRPr="005968CD">
        <w:rPr>
          <w:szCs w:val="22"/>
        </w:rPr>
        <w:t xml:space="preserve"> on a voluntary basis, or should we prohibit NSI call forwarding?  </w:t>
      </w:r>
      <w:r w:rsidR="00C26513" w:rsidRPr="005968CD">
        <w:rPr>
          <w:szCs w:val="22"/>
        </w:rPr>
        <w:t xml:space="preserve">What is the likelihood that CMRS providers would voluntarily continue to forward 911 calls from NSI devices?  Would </w:t>
      </w:r>
      <w:r w:rsidR="00A43C44" w:rsidRPr="005968CD">
        <w:rPr>
          <w:szCs w:val="22"/>
        </w:rPr>
        <w:t xml:space="preserve">allowing </w:t>
      </w:r>
      <w:r w:rsidR="00C26513" w:rsidRPr="005968CD">
        <w:rPr>
          <w:szCs w:val="22"/>
        </w:rPr>
        <w:t xml:space="preserve">them to do so </w:t>
      </w:r>
      <w:r w:rsidR="00A43C44" w:rsidRPr="005968CD">
        <w:rPr>
          <w:szCs w:val="22"/>
        </w:rPr>
        <w:t>reduce the benefits of eliminating the NSI requirement</w:t>
      </w:r>
      <w:r w:rsidR="00C26513" w:rsidRPr="005968CD">
        <w:rPr>
          <w:szCs w:val="22"/>
        </w:rPr>
        <w:t>?</w:t>
      </w:r>
      <w:r w:rsidR="00A43C44" w:rsidRPr="005968CD">
        <w:rPr>
          <w:szCs w:val="22"/>
        </w:rPr>
        <w:t xml:space="preserve">  </w:t>
      </w:r>
    </w:p>
    <w:p w14:paraId="278454F7" w14:textId="77777777" w:rsidR="00ED27A9" w:rsidRPr="005968CD" w:rsidRDefault="00ED27A9" w:rsidP="00ED27A9">
      <w:pPr>
        <w:pStyle w:val="Heading2"/>
        <w:rPr>
          <w:szCs w:val="22"/>
        </w:rPr>
      </w:pPr>
      <w:bookmarkStart w:id="127" w:name="_Toc389548081"/>
      <w:bookmarkStart w:id="128" w:name="_Toc390332839"/>
      <w:bookmarkStart w:id="129" w:name="_Toc403549490"/>
      <w:bookmarkStart w:id="130" w:name="_Toc410743432"/>
      <w:bookmarkStart w:id="131" w:name="_Toc415573213"/>
      <w:r w:rsidRPr="005968CD">
        <w:rPr>
          <w:szCs w:val="22"/>
        </w:rPr>
        <w:t>Prote</w:t>
      </w:r>
      <w:r w:rsidR="002647D3" w:rsidRPr="005968CD">
        <w:rPr>
          <w:szCs w:val="22"/>
        </w:rPr>
        <w:t>cting Calls to 911 from Service-</w:t>
      </w:r>
      <w:r w:rsidRPr="005968CD">
        <w:rPr>
          <w:szCs w:val="22"/>
        </w:rPr>
        <w:t>Initialized Devices that May Appear to be NSI Devices</w:t>
      </w:r>
      <w:bookmarkEnd w:id="127"/>
      <w:bookmarkEnd w:id="128"/>
      <w:bookmarkEnd w:id="129"/>
      <w:bookmarkEnd w:id="130"/>
      <w:bookmarkEnd w:id="131"/>
    </w:p>
    <w:p w14:paraId="1ABC4181" w14:textId="77777777" w:rsidR="00926097" w:rsidRPr="005968CD" w:rsidRDefault="00ED27A9" w:rsidP="00C46CCA">
      <w:pPr>
        <w:pStyle w:val="ParaNum"/>
        <w:widowControl/>
        <w:snapToGrid w:val="0"/>
        <w:rPr>
          <w:szCs w:val="22"/>
        </w:rPr>
      </w:pPr>
      <w:r w:rsidRPr="005968CD">
        <w:rPr>
          <w:i/>
          <w:szCs w:val="22"/>
        </w:rPr>
        <w:t xml:space="preserve">Background.  </w:t>
      </w:r>
      <w:r w:rsidR="00533546" w:rsidRPr="005968CD">
        <w:rPr>
          <w:szCs w:val="22"/>
        </w:rPr>
        <w:t xml:space="preserve">The obligation of CMRS providers to transmit 911 calls without regard to their call validation process ensures that wireless customers </w:t>
      </w:r>
      <w:r w:rsidR="001973E9" w:rsidRPr="005968CD">
        <w:rPr>
          <w:szCs w:val="22"/>
        </w:rPr>
        <w:t xml:space="preserve">are able to access life-saving emergency services without delay.  </w:t>
      </w:r>
      <w:r w:rsidR="006F7193" w:rsidRPr="005968CD">
        <w:rPr>
          <w:szCs w:val="22"/>
        </w:rPr>
        <w:t xml:space="preserve">This obligation to connect 911 calls from service-initialized devices ensures, for example, that customers have access to 911 when traveling in areas where service may be provided by another provider which does not have a roaming agreement with the customer’s provider or when a wireless customer’s provider is experiencing a network outage. </w:t>
      </w:r>
      <w:r w:rsidR="001973E9" w:rsidRPr="005968CD">
        <w:rPr>
          <w:szCs w:val="22"/>
        </w:rPr>
        <w:t xml:space="preserve"> </w:t>
      </w:r>
      <w:r w:rsidR="00926097" w:rsidRPr="005968CD">
        <w:rPr>
          <w:szCs w:val="22"/>
        </w:rPr>
        <w:t>We do not propose to alter the</w:t>
      </w:r>
      <w:r w:rsidR="00533546" w:rsidRPr="005968CD">
        <w:rPr>
          <w:szCs w:val="22"/>
        </w:rPr>
        <w:t xml:space="preserve"> obli</w:t>
      </w:r>
      <w:r w:rsidR="00926097" w:rsidRPr="005968CD">
        <w:rPr>
          <w:szCs w:val="22"/>
        </w:rPr>
        <w:t>gation of C</w:t>
      </w:r>
      <w:r w:rsidR="00533546" w:rsidRPr="005968CD">
        <w:rPr>
          <w:szCs w:val="22"/>
        </w:rPr>
        <w:t>M</w:t>
      </w:r>
      <w:r w:rsidR="00926097" w:rsidRPr="005968CD">
        <w:rPr>
          <w:szCs w:val="22"/>
        </w:rPr>
        <w:t>R</w:t>
      </w:r>
      <w:r w:rsidR="00533546" w:rsidRPr="005968CD">
        <w:rPr>
          <w:szCs w:val="22"/>
        </w:rPr>
        <w:t>S providers to connect calls from devices that have a</w:t>
      </w:r>
      <w:r w:rsidR="00926097" w:rsidRPr="005968CD">
        <w:rPr>
          <w:szCs w:val="22"/>
        </w:rPr>
        <w:t xml:space="preserve"> valid agreement with any CMRS provider at the time of the 911 call.       </w:t>
      </w:r>
    </w:p>
    <w:p w14:paraId="4329A710" w14:textId="77777777" w:rsidR="00ED27A9" w:rsidRPr="005968CD" w:rsidRDefault="00ED27A9" w:rsidP="00C46CCA">
      <w:pPr>
        <w:pStyle w:val="ParaNum"/>
        <w:widowControl/>
        <w:snapToGrid w:val="0"/>
        <w:rPr>
          <w:szCs w:val="22"/>
        </w:rPr>
      </w:pPr>
      <w:r w:rsidRPr="005968CD">
        <w:rPr>
          <w:szCs w:val="22"/>
        </w:rPr>
        <w:t>The record indicates</w:t>
      </w:r>
      <w:r w:rsidR="00926097" w:rsidRPr="005968CD">
        <w:rPr>
          <w:szCs w:val="22"/>
        </w:rPr>
        <w:t>, however,</w:t>
      </w:r>
      <w:r w:rsidRPr="005968CD">
        <w:rPr>
          <w:szCs w:val="22"/>
        </w:rPr>
        <w:t xml:space="preserve"> that in c</w:t>
      </w:r>
      <w:r w:rsidR="002647D3" w:rsidRPr="005968CD">
        <w:rPr>
          <w:szCs w:val="22"/>
        </w:rPr>
        <w:t>ertain circumstances a service-</w:t>
      </w:r>
      <w:r w:rsidRPr="005968CD">
        <w:rPr>
          <w:szCs w:val="22"/>
        </w:rPr>
        <w:t>initialized device may appear to be an NSI device to a CMRS provider’s network.  For example,</w:t>
      </w:r>
      <w:r w:rsidR="00031BA0" w:rsidRPr="005968CD">
        <w:rPr>
          <w:szCs w:val="22"/>
        </w:rPr>
        <w:t xml:space="preserve"> according to the Petitioners,</w:t>
      </w:r>
      <w:r w:rsidRPr="005968CD">
        <w:rPr>
          <w:szCs w:val="22"/>
        </w:rPr>
        <w:t xml:space="preserve"> </w:t>
      </w:r>
      <w:r w:rsidR="00031BA0" w:rsidRPr="005968CD">
        <w:rPr>
          <w:szCs w:val="22"/>
        </w:rPr>
        <w:t>“</w:t>
      </w:r>
      <w:r w:rsidR="00031BA0" w:rsidRPr="005968CD">
        <w:rPr>
          <w:snapToGrid/>
          <w:szCs w:val="22"/>
        </w:rPr>
        <w:t xml:space="preserve">devices can also become NSI in the following situations: (1) when a phone has not completed registration at the time a 9-1-1 call is placed; (2) when calls are placed from areas of weak or no signal for one carrier that receive a signal from another carrier; (3) when calls are made from a handset that selects the strongest signal, which may not be the subscriber’s carrier; (4) for calls placed by consumers roaming in areas with </w:t>
      </w:r>
      <w:r w:rsidR="00031BA0" w:rsidRPr="005968CD">
        <w:rPr>
          <w:snapToGrid/>
          <w:kern w:val="0"/>
          <w:szCs w:val="22"/>
        </w:rPr>
        <w:t>or without automatic roaming agreements; (5) for calls placed on foreign phones; or (6) because of normal network events, system reboots, and other circumstances that can occur during mobile switching center (</w:t>
      </w:r>
      <w:r w:rsidR="002647D3" w:rsidRPr="005968CD">
        <w:rPr>
          <w:snapToGrid/>
          <w:kern w:val="0"/>
          <w:szCs w:val="22"/>
        </w:rPr>
        <w:t>‘</w:t>
      </w:r>
      <w:r w:rsidR="00031BA0" w:rsidRPr="005968CD">
        <w:rPr>
          <w:snapToGrid/>
          <w:kern w:val="0"/>
          <w:szCs w:val="22"/>
        </w:rPr>
        <w:t>MSC</w:t>
      </w:r>
      <w:r w:rsidR="002647D3" w:rsidRPr="005968CD">
        <w:rPr>
          <w:snapToGrid/>
          <w:kern w:val="0"/>
          <w:szCs w:val="22"/>
        </w:rPr>
        <w:t>’</w:t>
      </w:r>
      <w:r w:rsidR="00031BA0" w:rsidRPr="005968CD">
        <w:rPr>
          <w:snapToGrid/>
          <w:kern w:val="0"/>
          <w:szCs w:val="22"/>
        </w:rPr>
        <w:t>) to MSC handoffs, for several seconds after the phone is powered on, and as the phone recovers from loss of service in a tunnel.</w:t>
      </w:r>
      <w:r w:rsidR="00441014" w:rsidRPr="005968CD">
        <w:rPr>
          <w:snapToGrid/>
          <w:kern w:val="0"/>
          <w:szCs w:val="22"/>
        </w:rPr>
        <w:t>”</w:t>
      </w:r>
      <w:r w:rsidR="00031BA0" w:rsidRPr="005968CD">
        <w:rPr>
          <w:rStyle w:val="FootnoteReference"/>
          <w:snapToGrid/>
          <w:kern w:val="0"/>
          <w:sz w:val="22"/>
          <w:szCs w:val="22"/>
        </w:rPr>
        <w:footnoteReference w:id="99"/>
      </w:r>
      <w:r w:rsidRPr="005968CD">
        <w:rPr>
          <w:szCs w:val="22"/>
        </w:rPr>
        <w:t xml:space="preserve">  </w:t>
      </w:r>
      <w:r w:rsidR="008E2491" w:rsidRPr="005968CD">
        <w:rPr>
          <w:szCs w:val="22"/>
        </w:rPr>
        <w:t xml:space="preserve">We also observe that, when pre-paid phones have run out of minutes, they become </w:t>
      </w:r>
      <w:r w:rsidR="008E2491" w:rsidRPr="005968CD">
        <w:rPr>
          <w:i/>
          <w:szCs w:val="22"/>
        </w:rPr>
        <w:t xml:space="preserve">de facto </w:t>
      </w:r>
      <w:r w:rsidR="008E2491" w:rsidRPr="005968CD">
        <w:rPr>
          <w:szCs w:val="22"/>
        </w:rPr>
        <w:t xml:space="preserve">NSI devices until the user pays for more pre-paid minutes.   </w:t>
      </w:r>
      <w:r w:rsidRPr="005968CD">
        <w:rPr>
          <w:szCs w:val="22"/>
        </w:rPr>
        <w:t xml:space="preserve"> </w:t>
      </w:r>
    </w:p>
    <w:p w14:paraId="2FFAE94E" w14:textId="77777777" w:rsidR="00ED27A9" w:rsidRPr="006A611C" w:rsidRDefault="00ED27A9" w:rsidP="006A611C">
      <w:pPr>
        <w:pStyle w:val="ParaNum"/>
        <w:widowControl/>
        <w:snapToGrid w:val="0"/>
        <w:rPr>
          <w:szCs w:val="22"/>
        </w:rPr>
      </w:pPr>
      <w:r w:rsidRPr="005968CD">
        <w:rPr>
          <w:i/>
          <w:szCs w:val="22"/>
        </w:rPr>
        <w:t xml:space="preserve">Discussion. </w:t>
      </w:r>
      <w:r w:rsidRPr="005968CD">
        <w:rPr>
          <w:szCs w:val="22"/>
        </w:rPr>
        <w:t xml:space="preserve">  We seek comment on </w:t>
      </w:r>
      <w:r w:rsidR="00251DF4" w:rsidRPr="005968CD">
        <w:rPr>
          <w:szCs w:val="22"/>
        </w:rPr>
        <w:t xml:space="preserve">how calls to 911 from </w:t>
      </w:r>
      <w:r w:rsidR="002647D3" w:rsidRPr="005968CD">
        <w:rPr>
          <w:szCs w:val="22"/>
        </w:rPr>
        <w:t xml:space="preserve">service-initialized </w:t>
      </w:r>
      <w:r w:rsidR="00251DF4" w:rsidRPr="005968CD">
        <w:rPr>
          <w:szCs w:val="22"/>
        </w:rPr>
        <w:t xml:space="preserve">devices that </w:t>
      </w:r>
      <w:r w:rsidR="002647D3" w:rsidRPr="005968CD">
        <w:rPr>
          <w:szCs w:val="22"/>
        </w:rPr>
        <w:t>may appear to be</w:t>
      </w:r>
      <w:r w:rsidR="00251DF4" w:rsidRPr="005968CD">
        <w:rPr>
          <w:szCs w:val="22"/>
        </w:rPr>
        <w:t xml:space="preserve"> NSI </w:t>
      </w:r>
      <w:r w:rsidR="002647D3" w:rsidRPr="005968CD">
        <w:rPr>
          <w:szCs w:val="22"/>
        </w:rPr>
        <w:t>might be affected, in the event</w:t>
      </w:r>
      <w:r w:rsidR="00251DF4" w:rsidRPr="005968CD">
        <w:rPr>
          <w:szCs w:val="22"/>
        </w:rPr>
        <w:t xml:space="preserve"> we sunset the requirement</w:t>
      </w:r>
      <w:r w:rsidR="00926097" w:rsidRPr="005968CD">
        <w:rPr>
          <w:szCs w:val="22"/>
        </w:rPr>
        <w:t xml:space="preserve"> to transmit calls from NSI</w:t>
      </w:r>
      <w:r w:rsidR="006F7193" w:rsidRPr="005968CD">
        <w:rPr>
          <w:szCs w:val="22"/>
        </w:rPr>
        <w:t xml:space="preserve"> device</w:t>
      </w:r>
      <w:r w:rsidR="00926097" w:rsidRPr="005968CD">
        <w:rPr>
          <w:szCs w:val="22"/>
        </w:rPr>
        <w:t>s</w:t>
      </w:r>
      <w:r w:rsidR="00251DF4" w:rsidRPr="005968CD">
        <w:rPr>
          <w:szCs w:val="22"/>
        </w:rPr>
        <w:t xml:space="preserve">. </w:t>
      </w:r>
      <w:r w:rsidR="002647D3" w:rsidRPr="005968CD">
        <w:rPr>
          <w:szCs w:val="22"/>
        </w:rPr>
        <w:t xml:space="preserve"> Is this an extensive issue of concern? </w:t>
      </w:r>
      <w:r w:rsidR="00251DF4" w:rsidRPr="005968CD">
        <w:rPr>
          <w:szCs w:val="22"/>
        </w:rPr>
        <w:t xml:space="preserve"> </w:t>
      </w:r>
      <w:r w:rsidR="00A867CE">
        <w:rPr>
          <w:szCs w:val="22"/>
        </w:rPr>
        <w:t>For example, in</w:t>
      </w:r>
      <w:r w:rsidR="002647D3" w:rsidRPr="005968CD">
        <w:rPr>
          <w:szCs w:val="22"/>
        </w:rPr>
        <w:t xml:space="preserve"> what specific circumstances would a </w:t>
      </w:r>
      <w:r w:rsidR="00B66CA3">
        <w:rPr>
          <w:szCs w:val="22"/>
        </w:rPr>
        <w:t xml:space="preserve">service-initialized </w:t>
      </w:r>
      <w:r w:rsidR="002647D3" w:rsidRPr="005968CD">
        <w:rPr>
          <w:szCs w:val="22"/>
        </w:rPr>
        <w:t>device</w:t>
      </w:r>
      <w:r w:rsidR="00251DF4" w:rsidRPr="005968CD">
        <w:rPr>
          <w:szCs w:val="22"/>
        </w:rPr>
        <w:t xml:space="preserve"> </w:t>
      </w:r>
      <w:r w:rsidR="00854CC5">
        <w:rPr>
          <w:szCs w:val="22"/>
        </w:rPr>
        <w:t>nevertheless</w:t>
      </w:r>
      <w:r w:rsidR="00251DF4" w:rsidRPr="005968CD">
        <w:rPr>
          <w:szCs w:val="22"/>
        </w:rPr>
        <w:t xml:space="preserve"> appear to a CMRS network as an NSI device</w:t>
      </w:r>
      <w:r w:rsidR="00BA3E8D" w:rsidRPr="005968CD">
        <w:rPr>
          <w:szCs w:val="22"/>
        </w:rPr>
        <w:t>?</w:t>
      </w:r>
      <w:r w:rsidR="00251DF4" w:rsidRPr="005968CD">
        <w:rPr>
          <w:szCs w:val="22"/>
        </w:rPr>
        <w:t xml:space="preserve">  If we </w:t>
      </w:r>
      <w:r w:rsidR="00B66CA3">
        <w:rPr>
          <w:szCs w:val="22"/>
        </w:rPr>
        <w:t xml:space="preserve">were </w:t>
      </w:r>
      <w:r w:rsidR="0028050F" w:rsidRPr="005968CD">
        <w:rPr>
          <w:szCs w:val="22"/>
        </w:rPr>
        <w:t xml:space="preserve">to </w:t>
      </w:r>
      <w:r w:rsidR="00D32FAA" w:rsidRPr="005968CD">
        <w:rPr>
          <w:szCs w:val="22"/>
        </w:rPr>
        <w:t>sunset the NSI requirement</w:t>
      </w:r>
      <w:r w:rsidR="002647D3" w:rsidRPr="005968CD">
        <w:rPr>
          <w:szCs w:val="22"/>
        </w:rPr>
        <w:t>,</w:t>
      </w:r>
      <w:r w:rsidR="00441014" w:rsidRPr="005968CD">
        <w:rPr>
          <w:szCs w:val="22"/>
        </w:rPr>
        <w:t xml:space="preserve"> is there a way </w:t>
      </w:r>
      <w:r w:rsidR="00B66CA3">
        <w:rPr>
          <w:szCs w:val="22"/>
        </w:rPr>
        <w:t xml:space="preserve">to ensure that such </w:t>
      </w:r>
      <w:r w:rsidR="00441014" w:rsidRPr="005968CD">
        <w:rPr>
          <w:szCs w:val="22"/>
        </w:rPr>
        <w:t xml:space="preserve">service-initialized devices could still </w:t>
      </w:r>
      <w:r w:rsidR="00D32FAA" w:rsidRPr="005968CD">
        <w:rPr>
          <w:szCs w:val="22"/>
        </w:rPr>
        <w:t>call</w:t>
      </w:r>
      <w:r w:rsidR="00441014" w:rsidRPr="005968CD">
        <w:rPr>
          <w:szCs w:val="22"/>
        </w:rPr>
        <w:t xml:space="preserve"> 911</w:t>
      </w:r>
      <w:r w:rsidR="00B66CA3">
        <w:rPr>
          <w:szCs w:val="22"/>
        </w:rPr>
        <w:t>?  W</w:t>
      </w:r>
      <w:r w:rsidR="006A611C">
        <w:rPr>
          <w:szCs w:val="22"/>
        </w:rPr>
        <w:t xml:space="preserve">hat </w:t>
      </w:r>
      <w:r w:rsidR="00B66CA3">
        <w:rPr>
          <w:szCs w:val="22"/>
        </w:rPr>
        <w:t xml:space="preserve">would be the </w:t>
      </w:r>
      <w:r w:rsidR="006A611C">
        <w:rPr>
          <w:szCs w:val="22"/>
        </w:rPr>
        <w:t>cost</w:t>
      </w:r>
      <w:r w:rsidR="00B66CA3">
        <w:rPr>
          <w:szCs w:val="22"/>
        </w:rPr>
        <w:t xml:space="preserve"> of </w:t>
      </w:r>
      <w:r w:rsidR="00013AB2">
        <w:rPr>
          <w:szCs w:val="22"/>
        </w:rPr>
        <w:t>implementing such a solution</w:t>
      </w:r>
      <w:r w:rsidR="00441014" w:rsidRPr="005968CD">
        <w:rPr>
          <w:szCs w:val="22"/>
        </w:rPr>
        <w:t xml:space="preserve">?  </w:t>
      </w:r>
      <w:r w:rsidRPr="005968CD">
        <w:rPr>
          <w:szCs w:val="22"/>
        </w:rPr>
        <w:t xml:space="preserve"> </w:t>
      </w:r>
      <w:r w:rsidR="00272A68" w:rsidRPr="006A611C">
        <w:rPr>
          <w:szCs w:val="22"/>
        </w:rPr>
        <w:t xml:space="preserve">We are also concerned </w:t>
      </w:r>
      <w:r w:rsidR="008F476E" w:rsidRPr="006A611C">
        <w:rPr>
          <w:szCs w:val="22"/>
        </w:rPr>
        <w:t xml:space="preserve">that consumers </w:t>
      </w:r>
      <w:r w:rsidR="006A6F4C" w:rsidRPr="006A611C">
        <w:rPr>
          <w:szCs w:val="22"/>
        </w:rPr>
        <w:t xml:space="preserve">with service-initialized phones </w:t>
      </w:r>
      <w:r w:rsidR="008F476E" w:rsidRPr="006A611C">
        <w:rPr>
          <w:szCs w:val="22"/>
        </w:rPr>
        <w:t xml:space="preserve">could be at risk </w:t>
      </w:r>
      <w:r w:rsidR="006A6F4C" w:rsidRPr="006A611C">
        <w:rPr>
          <w:szCs w:val="22"/>
        </w:rPr>
        <w:t xml:space="preserve">if they </w:t>
      </w:r>
      <w:r w:rsidR="0094109E" w:rsidRPr="006A611C">
        <w:rPr>
          <w:szCs w:val="22"/>
        </w:rPr>
        <w:t xml:space="preserve">were to </w:t>
      </w:r>
      <w:r w:rsidR="006A6F4C" w:rsidRPr="006A611C">
        <w:rPr>
          <w:szCs w:val="22"/>
        </w:rPr>
        <w:t>lo</w:t>
      </w:r>
      <w:r w:rsidR="006A611C">
        <w:rPr>
          <w:szCs w:val="22"/>
        </w:rPr>
        <w:t>se 911-</w:t>
      </w:r>
      <w:r w:rsidR="006A6F4C" w:rsidRPr="006A611C">
        <w:rPr>
          <w:szCs w:val="22"/>
        </w:rPr>
        <w:t xml:space="preserve">capability immediately </w:t>
      </w:r>
      <w:r w:rsidR="00FE2DC7" w:rsidRPr="006A611C">
        <w:rPr>
          <w:szCs w:val="22"/>
        </w:rPr>
        <w:t>following a CMRS provider’s stopp</w:t>
      </w:r>
      <w:r w:rsidR="0094109E" w:rsidRPr="006A611C">
        <w:rPr>
          <w:szCs w:val="22"/>
        </w:rPr>
        <w:t>age</w:t>
      </w:r>
      <w:r w:rsidR="00FE2DC7" w:rsidRPr="006A611C">
        <w:rPr>
          <w:szCs w:val="22"/>
        </w:rPr>
        <w:t xml:space="preserve"> of service for non-payment</w:t>
      </w:r>
      <w:r w:rsidR="006A6F4C" w:rsidRPr="006A611C">
        <w:rPr>
          <w:szCs w:val="22"/>
        </w:rPr>
        <w:t xml:space="preserve">.  </w:t>
      </w:r>
      <w:r w:rsidR="006A611C">
        <w:rPr>
          <w:szCs w:val="22"/>
        </w:rPr>
        <w:t>W</w:t>
      </w:r>
      <w:r w:rsidR="00FE2DC7" w:rsidRPr="006A611C">
        <w:rPr>
          <w:szCs w:val="22"/>
        </w:rPr>
        <w:t>ould</w:t>
      </w:r>
      <w:r w:rsidR="008F476E" w:rsidRPr="006A611C">
        <w:rPr>
          <w:szCs w:val="22"/>
        </w:rPr>
        <w:t xml:space="preserve"> be</w:t>
      </w:r>
      <w:r w:rsidR="00FE2DC7" w:rsidRPr="006A611C">
        <w:rPr>
          <w:szCs w:val="22"/>
        </w:rPr>
        <w:t xml:space="preserve"> in the public interest to require </w:t>
      </w:r>
      <w:r w:rsidR="00926097" w:rsidRPr="006A611C">
        <w:rPr>
          <w:szCs w:val="22"/>
        </w:rPr>
        <w:t xml:space="preserve">all </w:t>
      </w:r>
      <w:r w:rsidR="00FE2DC7" w:rsidRPr="006A611C">
        <w:rPr>
          <w:szCs w:val="22"/>
        </w:rPr>
        <w:t xml:space="preserve">CMRS providers to continue to forward calls to 911 from such devices for </w:t>
      </w:r>
      <w:r w:rsidR="000276CF" w:rsidRPr="006A611C">
        <w:rPr>
          <w:szCs w:val="22"/>
        </w:rPr>
        <w:t xml:space="preserve">a </w:t>
      </w:r>
      <w:r w:rsidR="006A611C">
        <w:rPr>
          <w:szCs w:val="22"/>
        </w:rPr>
        <w:t>certain</w:t>
      </w:r>
      <w:r w:rsidR="000276CF" w:rsidRPr="006A611C">
        <w:rPr>
          <w:szCs w:val="22"/>
        </w:rPr>
        <w:t xml:space="preserve"> “grace period” </w:t>
      </w:r>
      <w:r w:rsidR="00FE2DC7" w:rsidRPr="006A611C">
        <w:rPr>
          <w:szCs w:val="22"/>
        </w:rPr>
        <w:t>following stoppage of service</w:t>
      </w:r>
      <w:r w:rsidR="006A611C">
        <w:rPr>
          <w:szCs w:val="22"/>
        </w:rPr>
        <w:t>?</w:t>
      </w:r>
      <w:r w:rsidR="00F16952" w:rsidRPr="006A611C">
        <w:rPr>
          <w:szCs w:val="22"/>
        </w:rPr>
        <w:t xml:space="preserve">  </w:t>
      </w:r>
      <w:r w:rsidR="006A611C">
        <w:rPr>
          <w:szCs w:val="22"/>
        </w:rPr>
        <w:t xml:space="preserve">If so, what </w:t>
      </w:r>
      <w:r w:rsidR="00854CC5">
        <w:rPr>
          <w:szCs w:val="22"/>
        </w:rPr>
        <w:t>would be</w:t>
      </w:r>
      <w:r w:rsidR="006A611C">
        <w:rPr>
          <w:szCs w:val="22"/>
        </w:rPr>
        <w:t xml:space="preserve"> the proper length of such a grace period?  Should it differ based on </w:t>
      </w:r>
      <w:r w:rsidR="004C3CD6" w:rsidRPr="006A611C">
        <w:rPr>
          <w:szCs w:val="22"/>
        </w:rPr>
        <w:t xml:space="preserve">whether </w:t>
      </w:r>
      <w:r w:rsidR="006A611C">
        <w:rPr>
          <w:szCs w:val="22"/>
        </w:rPr>
        <w:t>the device is</w:t>
      </w:r>
      <w:r w:rsidR="004C3CD6" w:rsidRPr="006A611C">
        <w:rPr>
          <w:szCs w:val="22"/>
        </w:rPr>
        <w:t xml:space="preserve"> pre-paid </w:t>
      </w:r>
      <w:r w:rsidR="006A611C">
        <w:rPr>
          <w:szCs w:val="22"/>
        </w:rPr>
        <w:t>or</w:t>
      </w:r>
      <w:r w:rsidR="004C3CD6" w:rsidRPr="006A611C">
        <w:rPr>
          <w:szCs w:val="22"/>
        </w:rPr>
        <w:t xml:space="preserve"> post-paid</w:t>
      </w:r>
      <w:r w:rsidR="006A611C">
        <w:rPr>
          <w:szCs w:val="22"/>
        </w:rPr>
        <w:t>?</w:t>
      </w:r>
      <w:r w:rsidRPr="006A611C">
        <w:rPr>
          <w:szCs w:val="22"/>
        </w:rPr>
        <w:t xml:space="preserve">  </w:t>
      </w:r>
      <w:r w:rsidR="00E003B2" w:rsidRPr="006A611C">
        <w:rPr>
          <w:szCs w:val="22"/>
        </w:rPr>
        <w:t xml:space="preserve">Alternatively, rather than establishing a grace period, would it be sufficient for </w:t>
      </w:r>
      <w:r w:rsidR="004C3CD6" w:rsidRPr="006A611C">
        <w:rPr>
          <w:szCs w:val="22"/>
        </w:rPr>
        <w:t xml:space="preserve">CMRS providers to send automated messages to </w:t>
      </w:r>
      <w:r w:rsidR="00463460" w:rsidRPr="006A611C">
        <w:rPr>
          <w:szCs w:val="22"/>
        </w:rPr>
        <w:t xml:space="preserve">pre-paid </w:t>
      </w:r>
      <w:r w:rsidR="006A611C">
        <w:rPr>
          <w:szCs w:val="22"/>
        </w:rPr>
        <w:t>c</w:t>
      </w:r>
      <w:r w:rsidR="00502D3E" w:rsidRPr="006A611C">
        <w:rPr>
          <w:szCs w:val="22"/>
        </w:rPr>
        <w:t xml:space="preserve">ustomers when their </w:t>
      </w:r>
      <w:r w:rsidR="004C3CD6" w:rsidRPr="006A611C">
        <w:rPr>
          <w:szCs w:val="22"/>
        </w:rPr>
        <w:t>minutes are about to expire</w:t>
      </w:r>
      <w:r w:rsidR="00502D3E" w:rsidRPr="006A611C">
        <w:rPr>
          <w:szCs w:val="22"/>
        </w:rPr>
        <w:t>,</w:t>
      </w:r>
      <w:r w:rsidR="004C3CD6" w:rsidRPr="006A611C">
        <w:rPr>
          <w:szCs w:val="22"/>
        </w:rPr>
        <w:t xml:space="preserve"> </w:t>
      </w:r>
      <w:r w:rsidR="00502D3E" w:rsidRPr="006A611C">
        <w:rPr>
          <w:szCs w:val="22"/>
        </w:rPr>
        <w:t>warning them that if they</w:t>
      </w:r>
      <w:r w:rsidR="004C3CD6" w:rsidRPr="006A611C">
        <w:rPr>
          <w:szCs w:val="22"/>
        </w:rPr>
        <w:t xml:space="preserve"> do not </w:t>
      </w:r>
      <w:r w:rsidR="00E003B2" w:rsidRPr="006A611C">
        <w:rPr>
          <w:szCs w:val="22"/>
        </w:rPr>
        <w:t xml:space="preserve">extend their pre-paid service </w:t>
      </w:r>
      <w:r w:rsidR="004C3CD6" w:rsidRPr="006A611C">
        <w:rPr>
          <w:szCs w:val="22"/>
        </w:rPr>
        <w:t xml:space="preserve">their </w:t>
      </w:r>
      <w:r w:rsidR="00502D3E" w:rsidRPr="006A611C">
        <w:rPr>
          <w:szCs w:val="22"/>
        </w:rPr>
        <w:t>device</w:t>
      </w:r>
      <w:r w:rsidR="00E003B2" w:rsidRPr="006A611C">
        <w:rPr>
          <w:szCs w:val="22"/>
        </w:rPr>
        <w:t>s</w:t>
      </w:r>
      <w:r w:rsidR="004C3CD6" w:rsidRPr="006A611C">
        <w:rPr>
          <w:szCs w:val="22"/>
        </w:rPr>
        <w:t xml:space="preserve"> will not support 911 calling</w:t>
      </w:r>
      <w:r w:rsidR="00E003B2" w:rsidRPr="006A611C">
        <w:rPr>
          <w:szCs w:val="22"/>
        </w:rPr>
        <w:t xml:space="preserve">?  </w:t>
      </w:r>
      <w:r w:rsidR="006A611C">
        <w:rPr>
          <w:szCs w:val="22"/>
        </w:rPr>
        <w:t>We seek comment on these and any other related issues.</w:t>
      </w:r>
    </w:p>
    <w:p w14:paraId="47D51CAB" w14:textId="77777777" w:rsidR="00ED27A9" w:rsidRPr="005968CD" w:rsidRDefault="00ED27A9" w:rsidP="00ED27A9">
      <w:pPr>
        <w:pStyle w:val="Heading2"/>
        <w:rPr>
          <w:szCs w:val="22"/>
        </w:rPr>
      </w:pPr>
      <w:bookmarkStart w:id="132" w:name="_Toc389548082"/>
      <w:bookmarkStart w:id="133" w:name="_Toc390332840"/>
      <w:bookmarkStart w:id="134" w:name="_Toc403549491"/>
      <w:bookmarkStart w:id="135" w:name="_Toc410743433"/>
      <w:bookmarkStart w:id="136" w:name="_Toc415573214"/>
      <w:r w:rsidRPr="005968CD">
        <w:rPr>
          <w:szCs w:val="22"/>
        </w:rPr>
        <w:t xml:space="preserve">Technical and Operational Considerations Relating to </w:t>
      </w:r>
      <w:r w:rsidR="0095351C" w:rsidRPr="005968CD">
        <w:rPr>
          <w:szCs w:val="22"/>
        </w:rPr>
        <w:t>Sunset</w:t>
      </w:r>
      <w:r w:rsidRPr="005968CD">
        <w:rPr>
          <w:szCs w:val="22"/>
        </w:rPr>
        <w:t xml:space="preserve"> of the NSI Rule</w:t>
      </w:r>
      <w:bookmarkEnd w:id="132"/>
      <w:bookmarkEnd w:id="133"/>
      <w:bookmarkEnd w:id="134"/>
      <w:bookmarkEnd w:id="135"/>
      <w:bookmarkEnd w:id="136"/>
    </w:p>
    <w:p w14:paraId="55B9A2F6" w14:textId="77777777" w:rsidR="001320B9" w:rsidRPr="005968CD" w:rsidRDefault="001320B9" w:rsidP="00C46CCA">
      <w:pPr>
        <w:pStyle w:val="ParaNum"/>
        <w:widowControl/>
        <w:snapToGrid w:val="0"/>
        <w:rPr>
          <w:szCs w:val="22"/>
        </w:rPr>
      </w:pPr>
      <w:r w:rsidRPr="005968CD">
        <w:rPr>
          <w:szCs w:val="22"/>
        </w:rPr>
        <w:t>In this section</w:t>
      </w:r>
      <w:r w:rsidR="00DE6D33" w:rsidRPr="005968CD">
        <w:rPr>
          <w:szCs w:val="22"/>
        </w:rPr>
        <w:t>,</w:t>
      </w:r>
      <w:r w:rsidRPr="005968CD">
        <w:rPr>
          <w:szCs w:val="22"/>
        </w:rPr>
        <w:t xml:space="preserve"> we seek to determine what technical and operational changes, if any, CMRS providers and/or PSAPs would need to implement in conjunction with the </w:t>
      </w:r>
      <w:r w:rsidR="0095351C" w:rsidRPr="005968CD">
        <w:rPr>
          <w:szCs w:val="22"/>
        </w:rPr>
        <w:t>sunset</w:t>
      </w:r>
      <w:r w:rsidR="00B228C7" w:rsidRPr="005968CD">
        <w:rPr>
          <w:szCs w:val="22"/>
        </w:rPr>
        <w:t xml:space="preserve"> </w:t>
      </w:r>
      <w:r w:rsidRPr="005968CD">
        <w:rPr>
          <w:szCs w:val="22"/>
        </w:rPr>
        <w:t xml:space="preserve">of the NSI rule, </w:t>
      </w:r>
      <w:r w:rsidR="00F85790" w:rsidRPr="005968CD">
        <w:rPr>
          <w:szCs w:val="22"/>
        </w:rPr>
        <w:t xml:space="preserve">including </w:t>
      </w:r>
      <w:r w:rsidRPr="005968CD">
        <w:rPr>
          <w:szCs w:val="22"/>
        </w:rPr>
        <w:t xml:space="preserve">the timeframe needed to implement </w:t>
      </w:r>
      <w:r w:rsidR="00F85790" w:rsidRPr="005968CD">
        <w:rPr>
          <w:szCs w:val="22"/>
        </w:rPr>
        <w:t xml:space="preserve">any </w:t>
      </w:r>
      <w:r w:rsidRPr="005968CD">
        <w:rPr>
          <w:szCs w:val="22"/>
        </w:rPr>
        <w:t>such changes, a</w:t>
      </w:r>
      <w:r w:rsidR="00F85790" w:rsidRPr="005968CD">
        <w:rPr>
          <w:szCs w:val="22"/>
        </w:rPr>
        <w:t>s well as</w:t>
      </w:r>
      <w:r w:rsidRPr="005968CD">
        <w:rPr>
          <w:szCs w:val="22"/>
        </w:rPr>
        <w:t xml:space="preserve"> the costs involved.  We also seek to determine how these answers </w:t>
      </w:r>
      <w:r w:rsidR="00F85790" w:rsidRPr="005968CD">
        <w:rPr>
          <w:szCs w:val="22"/>
        </w:rPr>
        <w:t>might</w:t>
      </w:r>
      <w:r w:rsidRPr="005968CD">
        <w:rPr>
          <w:szCs w:val="22"/>
        </w:rPr>
        <w:t xml:space="preserve"> vary depending on whether we sunset th</w:t>
      </w:r>
      <w:r w:rsidR="00D32FAA" w:rsidRPr="005968CD">
        <w:rPr>
          <w:szCs w:val="22"/>
        </w:rPr>
        <w:t xml:space="preserve">e rule on a date certain </w:t>
      </w:r>
      <w:r w:rsidRPr="005968CD">
        <w:rPr>
          <w:szCs w:val="22"/>
        </w:rPr>
        <w:t xml:space="preserve">or </w:t>
      </w:r>
      <w:r w:rsidR="00F85790" w:rsidRPr="005968CD">
        <w:rPr>
          <w:szCs w:val="22"/>
        </w:rPr>
        <w:t xml:space="preserve">whether we </w:t>
      </w:r>
      <w:r w:rsidR="00D32FAA" w:rsidRPr="005968CD">
        <w:rPr>
          <w:szCs w:val="22"/>
        </w:rPr>
        <w:t>phase</w:t>
      </w:r>
      <w:r w:rsidRPr="005968CD">
        <w:rPr>
          <w:szCs w:val="22"/>
        </w:rPr>
        <w:t xml:space="preserve"> out the rule</w:t>
      </w:r>
      <w:r w:rsidR="00F85790" w:rsidRPr="005968CD">
        <w:rPr>
          <w:szCs w:val="22"/>
        </w:rPr>
        <w:t>.</w:t>
      </w:r>
      <w:r w:rsidRPr="005968CD">
        <w:rPr>
          <w:szCs w:val="22"/>
        </w:rPr>
        <w:t xml:space="preserve"> </w:t>
      </w:r>
      <w:r w:rsidR="00F85790" w:rsidRPr="005968CD">
        <w:rPr>
          <w:szCs w:val="22"/>
        </w:rPr>
        <w:t xml:space="preserve"> </w:t>
      </w:r>
    </w:p>
    <w:p w14:paraId="4DADA536" w14:textId="77777777" w:rsidR="00ED27A9" w:rsidRPr="00965360" w:rsidRDefault="00D32FAA" w:rsidP="00965360">
      <w:pPr>
        <w:pStyle w:val="ParaNum"/>
        <w:widowControl/>
        <w:snapToGrid w:val="0"/>
        <w:rPr>
          <w:szCs w:val="22"/>
        </w:rPr>
      </w:pPr>
      <w:r w:rsidRPr="005968CD">
        <w:rPr>
          <w:szCs w:val="22"/>
        </w:rPr>
        <w:t>What</w:t>
      </w:r>
      <w:r w:rsidR="00ED27A9" w:rsidRPr="005968CD">
        <w:rPr>
          <w:szCs w:val="22"/>
        </w:rPr>
        <w:t xml:space="preserve"> </w:t>
      </w:r>
      <w:r w:rsidR="00DC3847" w:rsidRPr="005968CD">
        <w:rPr>
          <w:szCs w:val="22"/>
        </w:rPr>
        <w:t xml:space="preserve">network modifications </w:t>
      </w:r>
      <w:r w:rsidR="0094109E" w:rsidRPr="005968CD">
        <w:rPr>
          <w:szCs w:val="22"/>
        </w:rPr>
        <w:t xml:space="preserve">or other technical and operational changes </w:t>
      </w:r>
      <w:r w:rsidR="00DC3847" w:rsidRPr="005968CD">
        <w:rPr>
          <w:szCs w:val="22"/>
        </w:rPr>
        <w:t xml:space="preserve">would </w:t>
      </w:r>
      <w:r w:rsidR="00ED27A9" w:rsidRPr="005968CD">
        <w:rPr>
          <w:szCs w:val="22"/>
        </w:rPr>
        <w:t xml:space="preserve">CMRS providers need to </w:t>
      </w:r>
      <w:r w:rsidR="00DC3847" w:rsidRPr="005968CD">
        <w:rPr>
          <w:szCs w:val="22"/>
        </w:rPr>
        <w:t>undertake</w:t>
      </w:r>
      <w:r w:rsidR="00C94BD0" w:rsidRPr="005968CD">
        <w:rPr>
          <w:szCs w:val="22"/>
        </w:rPr>
        <w:t>, if any</w:t>
      </w:r>
      <w:r w:rsidR="00ED27A9" w:rsidRPr="005968CD">
        <w:rPr>
          <w:szCs w:val="22"/>
        </w:rPr>
        <w:t xml:space="preserve">, if we were to </w:t>
      </w:r>
      <w:r w:rsidR="007E336C" w:rsidRPr="005968CD">
        <w:rPr>
          <w:szCs w:val="22"/>
        </w:rPr>
        <w:t>sunset</w:t>
      </w:r>
      <w:r w:rsidR="00ED27A9" w:rsidRPr="005968CD">
        <w:rPr>
          <w:szCs w:val="22"/>
        </w:rPr>
        <w:t xml:space="preserve"> the </w:t>
      </w:r>
      <w:r w:rsidR="00B228C7" w:rsidRPr="005968CD">
        <w:rPr>
          <w:szCs w:val="22"/>
        </w:rPr>
        <w:t>NSI requirement</w:t>
      </w:r>
      <w:r w:rsidR="00ED27A9" w:rsidRPr="005968CD">
        <w:rPr>
          <w:szCs w:val="22"/>
        </w:rPr>
        <w:t xml:space="preserve"> </w:t>
      </w:r>
      <w:r w:rsidR="00DC3847" w:rsidRPr="005968CD">
        <w:rPr>
          <w:szCs w:val="22"/>
        </w:rPr>
        <w:t xml:space="preserve">as of a date certain?  </w:t>
      </w:r>
      <w:r w:rsidR="00ED27A9" w:rsidRPr="005968CD">
        <w:rPr>
          <w:szCs w:val="22"/>
        </w:rPr>
        <w:t xml:space="preserve">How long would it take to implement these changes?  At what cost?  </w:t>
      </w:r>
      <w:r w:rsidR="0094109E" w:rsidRPr="005968CD">
        <w:rPr>
          <w:szCs w:val="22"/>
        </w:rPr>
        <w:t xml:space="preserve">We anticipate that any costs associated with discontinuing call-forwarding of 911 calls from NSI devices as of the </w:t>
      </w:r>
      <w:r w:rsidR="00A97658">
        <w:rPr>
          <w:szCs w:val="22"/>
        </w:rPr>
        <w:t>six-month</w:t>
      </w:r>
      <w:r w:rsidR="0094109E" w:rsidRPr="005968CD">
        <w:rPr>
          <w:szCs w:val="22"/>
        </w:rPr>
        <w:t xml:space="preserve"> sunset date proposed above would be relatively minor.  Is this assumption correct?  We also seek comment on w</w:t>
      </w:r>
      <w:r w:rsidR="00ED27A9" w:rsidRPr="005968CD">
        <w:rPr>
          <w:szCs w:val="22"/>
        </w:rPr>
        <w:t>hat</w:t>
      </w:r>
      <w:r w:rsidR="00DC3847" w:rsidRPr="005968CD">
        <w:rPr>
          <w:szCs w:val="22"/>
        </w:rPr>
        <w:t>,</w:t>
      </w:r>
      <w:r w:rsidR="00ED27A9" w:rsidRPr="005968CD">
        <w:rPr>
          <w:szCs w:val="22"/>
        </w:rPr>
        <w:t xml:space="preserve"> if anything</w:t>
      </w:r>
      <w:r w:rsidR="00DC3847" w:rsidRPr="005968CD">
        <w:rPr>
          <w:szCs w:val="22"/>
        </w:rPr>
        <w:t>,</w:t>
      </w:r>
      <w:r w:rsidR="00ED27A9" w:rsidRPr="005968CD">
        <w:rPr>
          <w:szCs w:val="22"/>
        </w:rPr>
        <w:t xml:space="preserve"> PSAPs </w:t>
      </w:r>
      <w:r w:rsidR="0094109E" w:rsidRPr="005968CD">
        <w:rPr>
          <w:szCs w:val="22"/>
        </w:rPr>
        <w:t xml:space="preserve">would </w:t>
      </w:r>
      <w:r w:rsidR="00ED27A9" w:rsidRPr="005968CD">
        <w:rPr>
          <w:szCs w:val="22"/>
        </w:rPr>
        <w:t xml:space="preserve">need to do to accommodate </w:t>
      </w:r>
      <w:r w:rsidR="00781833" w:rsidRPr="005968CD">
        <w:rPr>
          <w:szCs w:val="22"/>
        </w:rPr>
        <w:t xml:space="preserve">the </w:t>
      </w:r>
      <w:r w:rsidR="0094109E" w:rsidRPr="005968CD">
        <w:rPr>
          <w:szCs w:val="22"/>
        </w:rPr>
        <w:t xml:space="preserve">sunset </w:t>
      </w:r>
      <w:r w:rsidR="00ED27A9" w:rsidRPr="005968CD">
        <w:rPr>
          <w:szCs w:val="22"/>
        </w:rPr>
        <w:t xml:space="preserve">of the </w:t>
      </w:r>
      <w:r w:rsidR="00B228C7" w:rsidRPr="005968CD">
        <w:rPr>
          <w:szCs w:val="22"/>
        </w:rPr>
        <w:t>NSI requirement</w:t>
      </w:r>
      <w:r w:rsidR="00ED27A9" w:rsidRPr="005968CD">
        <w:rPr>
          <w:szCs w:val="22"/>
        </w:rPr>
        <w:t xml:space="preserve"> </w:t>
      </w:r>
      <w:r w:rsidR="0094109E" w:rsidRPr="005968CD">
        <w:rPr>
          <w:szCs w:val="22"/>
        </w:rPr>
        <w:t xml:space="preserve">after </w:t>
      </w:r>
      <w:r w:rsidR="00A97658">
        <w:rPr>
          <w:szCs w:val="22"/>
        </w:rPr>
        <w:t>six months</w:t>
      </w:r>
      <w:r w:rsidR="0094109E" w:rsidRPr="005968CD">
        <w:rPr>
          <w:szCs w:val="22"/>
        </w:rPr>
        <w:t>.  Would PSAPs incur any costs or are there timing considerations that we should take into account</w:t>
      </w:r>
      <w:r w:rsidR="00ED27A9" w:rsidRPr="005968CD">
        <w:rPr>
          <w:szCs w:val="22"/>
        </w:rPr>
        <w:t>?</w:t>
      </w:r>
      <w:r w:rsidR="00965360">
        <w:rPr>
          <w:szCs w:val="22"/>
        </w:rPr>
        <w:t xml:space="preserve">  </w:t>
      </w:r>
      <w:r w:rsidR="00DC3847" w:rsidRPr="00965360">
        <w:rPr>
          <w:szCs w:val="22"/>
        </w:rPr>
        <w:t>Alternatively, w</w:t>
      </w:r>
      <w:r w:rsidR="00ED27A9" w:rsidRPr="00965360">
        <w:rPr>
          <w:szCs w:val="22"/>
        </w:rPr>
        <w:t xml:space="preserve">hat technical and operational changes would CMRS providers and PSAPs need to implement </w:t>
      </w:r>
      <w:r w:rsidR="00A7064C" w:rsidRPr="00965360">
        <w:rPr>
          <w:szCs w:val="22"/>
        </w:rPr>
        <w:t xml:space="preserve">if </w:t>
      </w:r>
      <w:r w:rsidR="00ED27A9" w:rsidRPr="00965360">
        <w:rPr>
          <w:szCs w:val="22"/>
        </w:rPr>
        <w:t>were we to phase</w:t>
      </w:r>
      <w:r w:rsidR="006D38CD" w:rsidRPr="00965360">
        <w:rPr>
          <w:szCs w:val="22"/>
        </w:rPr>
        <w:t xml:space="preserve"> </w:t>
      </w:r>
      <w:r w:rsidR="00ED27A9" w:rsidRPr="00965360">
        <w:rPr>
          <w:szCs w:val="22"/>
        </w:rPr>
        <w:t>out</w:t>
      </w:r>
      <w:r w:rsidR="00DC3847" w:rsidRPr="00965360">
        <w:rPr>
          <w:szCs w:val="22"/>
        </w:rPr>
        <w:t xml:space="preserve"> the</w:t>
      </w:r>
      <w:r w:rsidR="00A7064C" w:rsidRPr="00965360">
        <w:rPr>
          <w:szCs w:val="22"/>
        </w:rPr>
        <w:t xml:space="preserve"> NSI</w:t>
      </w:r>
      <w:r w:rsidR="00DC3847" w:rsidRPr="00965360">
        <w:rPr>
          <w:szCs w:val="22"/>
        </w:rPr>
        <w:t xml:space="preserve"> requirement</w:t>
      </w:r>
      <w:r w:rsidR="00ED27A9" w:rsidRPr="00965360">
        <w:rPr>
          <w:szCs w:val="22"/>
        </w:rPr>
        <w:t xml:space="preserve"> rather than </w:t>
      </w:r>
      <w:r w:rsidR="007E336C" w:rsidRPr="00965360">
        <w:rPr>
          <w:szCs w:val="22"/>
        </w:rPr>
        <w:t xml:space="preserve">sunset the rule </w:t>
      </w:r>
      <w:r w:rsidR="00126A91" w:rsidRPr="00965360">
        <w:rPr>
          <w:szCs w:val="22"/>
        </w:rPr>
        <w:t>on a uniform date</w:t>
      </w:r>
      <w:r w:rsidR="00ED27A9" w:rsidRPr="00965360">
        <w:rPr>
          <w:szCs w:val="22"/>
        </w:rPr>
        <w:t xml:space="preserve">?    </w:t>
      </w:r>
    </w:p>
    <w:p w14:paraId="19A7ED66" w14:textId="77777777" w:rsidR="00ED27A9" w:rsidRPr="005968CD" w:rsidRDefault="00ED27A9" w:rsidP="00ED27A9">
      <w:pPr>
        <w:pStyle w:val="Heading2"/>
        <w:tabs>
          <w:tab w:val="clear" w:pos="1440"/>
        </w:tabs>
        <w:ind w:left="0" w:firstLine="720"/>
        <w:rPr>
          <w:szCs w:val="22"/>
        </w:rPr>
      </w:pPr>
      <w:bookmarkStart w:id="137" w:name="_Toc390332841"/>
      <w:bookmarkStart w:id="138" w:name="_Toc410743434"/>
      <w:bookmarkStart w:id="139" w:name="_Toc415573215"/>
      <w:r w:rsidRPr="005968CD">
        <w:rPr>
          <w:szCs w:val="22"/>
        </w:rPr>
        <w:t>Alternative Approaches to the Problem of Fraudulent NSI 911 Calls</w:t>
      </w:r>
      <w:bookmarkEnd w:id="137"/>
      <w:bookmarkEnd w:id="138"/>
      <w:bookmarkEnd w:id="139"/>
    </w:p>
    <w:p w14:paraId="5A4B214B" w14:textId="77777777" w:rsidR="00956DE9" w:rsidRDefault="00627281" w:rsidP="00C46CCA">
      <w:pPr>
        <w:pStyle w:val="ParaNum"/>
        <w:widowControl/>
        <w:snapToGrid w:val="0"/>
        <w:rPr>
          <w:szCs w:val="22"/>
        </w:rPr>
      </w:pPr>
      <w:r w:rsidRPr="005968CD">
        <w:rPr>
          <w:szCs w:val="22"/>
        </w:rPr>
        <w:t xml:space="preserve">We recognize that </w:t>
      </w:r>
      <w:r w:rsidR="0095351C" w:rsidRPr="005968CD">
        <w:rPr>
          <w:szCs w:val="22"/>
        </w:rPr>
        <w:t>sunse</w:t>
      </w:r>
      <w:r w:rsidR="00C2285C">
        <w:rPr>
          <w:szCs w:val="22"/>
        </w:rPr>
        <w:t>t</w:t>
      </w:r>
      <w:r w:rsidR="0095351C" w:rsidRPr="005968CD">
        <w:rPr>
          <w:szCs w:val="22"/>
        </w:rPr>
        <w:t>t</w:t>
      </w:r>
      <w:r w:rsidR="00956DE9">
        <w:rPr>
          <w:szCs w:val="22"/>
        </w:rPr>
        <w:t>ing</w:t>
      </w:r>
      <w:r w:rsidRPr="005968CD">
        <w:rPr>
          <w:szCs w:val="22"/>
        </w:rPr>
        <w:t xml:space="preserve"> the NSI </w:t>
      </w:r>
      <w:r w:rsidR="00BC7A83" w:rsidRPr="005968CD">
        <w:rPr>
          <w:szCs w:val="22"/>
        </w:rPr>
        <w:t>rule</w:t>
      </w:r>
      <w:r w:rsidRPr="005968CD">
        <w:rPr>
          <w:szCs w:val="22"/>
        </w:rPr>
        <w:t xml:space="preserve"> is not the only means of reducing the incidence of fraudulent ca</w:t>
      </w:r>
      <w:r w:rsidR="00BC7A83" w:rsidRPr="005968CD">
        <w:rPr>
          <w:szCs w:val="22"/>
        </w:rPr>
        <w:t xml:space="preserve">lls to 911 from such devices.  </w:t>
      </w:r>
      <w:r w:rsidR="00D572D7" w:rsidRPr="005968CD">
        <w:rPr>
          <w:szCs w:val="22"/>
        </w:rPr>
        <w:t>In</w:t>
      </w:r>
      <w:r w:rsidR="00F52C0A" w:rsidRPr="005968CD">
        <w:rPr>
          <w:szCs w:val="22"/>
        </w:rPr>
        <w:t xml:space="preserve"> the</w:t>
      </w:r>
      <w:r w:rsidRPr="005968CD">
        <w:rPr>
          <w:szCs w:val="22"/>
        </w:rPr>
        <w:t xml:space="preserve"> </w:t>
      </w:r>
      <w:r w:rsidRPr="005968CD">
        <w:rPr>
          <w:i/>
          <w:szCs w:val="22"/>
        </w:rPr>
        <w:t>Notice of Inquiry</w:t>
      </w:r>
      <w:r w:rsidR="00D572D7" w:rsidRPr="005968CD">
        <w:rPr>
          <w:szCs w:val="22"/>
        </w:rPr>
        <w:t>, the Commission examined</w:t>
      </w:r>
      <w:r w:rsidRPr="005968CD">
        <w:rPr>
          <w:i/>
          <w:szCs w:val="22"/>
        </w:rPr>
        <w:t xml:space="preserve"> </w:t>
      </w:r>
      <w:r w:rsidR="00F52C0A" w:rsidRPr="005968CD">
        <w:rPr>
          <w:szCs w:val="22"/>
        </w:rPr>
        <w:t xml:space="preserve">the </w:t>
      </w:r>
      <w:r w:rsidR="00956DE9">
        <w:rPr>
          <w:szCs w:val="22"/>
        </w:rPr>
        <w:t xml:space="preserve">possibility </w:t>
      </w:r>
      <w:r w:rsidR="00F52C0A" w:rsidRPr="005968CD">
        <w:rPr>
          <w:szCs w:val="22"/>
        </w:rPr>
        <w:t>of</w:t>
      </w:r>
      <w:r w:rsidRPr="005968CD">
        <w:rPr>
          <w:szCs w:val="22"/>
        </w:rPr>
        <w:t xml:space="preserve"> blocking NSI devices used to make fraudulent 911 calls</w:t>
      </w:r>
      <w:r w:rsidR="00BC7A83" w:rsidRPr="005968CD">
        <w:rPr>
          <w:szCs w:val="22"/>
        </w:rPr>
        <w:t xml:space="preserve"> while retaining the NSI rule itself</w:t>
      </w:r>
      <w:r w:rsidRPr="005968CD">
        <w:rPr>
          <w:szCs w:val="22"/>
        </w:rPr>
        <w:t>, and</w:t>
      </w:r>
      <w:r w:rsidR="00D572D7" w:rsidRPr="005968CD">
        <w:rPr>
          <w:szCs w:val="22"/>
        </w:rPr>
        <w:t xml:space="preserve"> sought comment on</w:t>
      </w:r>
      <w:r w:rsidRPr="005968CD">
        <w:rPr>
          <w:szCs w:val="22"/>
        </w:rPr>
        <w:t xml:space="preserve"> suggestions for making </w:t>
      </w:r>
      <w:r w:rsidR="00D572D7" w:rsidRPr="005968CD">
        <w:rPr>
          <w:szCs w:val="22"/>
        </w:rPr>
        <w:t xml:space="preserve">blocking </w:t>
      </w:r>
      <w:r w:rsidRPr="005968CD">
        <w:rPr>
          <w:szCs w:val="22"/>
        </w:rPr>
        <w:t xml:space="preserve">a </w:t>
      </w:r>
      <w:r w:rsidR="00C95473" w:rsidRPr="005968CD">
        <w:rPr>
          <w:szCs w:val="22"/>
        </w:rPr>
        <w:t xml:space="preserve">more viable option for </w:t>
      </w:r>
      <w:r w:rsidR="00246E6B" w:rsidRPr="005968CD">
        <w:rPr>
          <w:szCs w:val="22"/>
        </w:rPr>
        <w:t>CMRS providers</w:t>
      </w:r>
      <w:r w:rsidR="00C95473" w:rsidRPr="005968CD">
        <w:rPr>
          <w:szCs w:val="22"/>
        </w:rPr>
        <w:t>,</w:t>
      </w:r>
      <w:r w:rsidRPr="005968CD">
        <w:rPr>
          <w:szCs w:val="22"/>
        </w:rPr>
        <w:t xml:space="preserve"> </w:t>
      </w:r>
      <w:r w:rsidR="00F52C0A" w:rsidRPr="005968CD">
        <w:rPr>
          <w:szCs w:val="22"/>
        </w:rPr>
        <w:t>as well as</w:t>
      </w:r>
      <w:r w:rsidRPr="005968CD">
        <w:rPr>
          <w:szCs w:val="22"/>
        </w:rPr>
        <w:t xml:space="preserve"> </w:t>
      </w:r>
      <w:r w:rsidR="00D572D7" w:rsidRPr="005968CD">
        <w:rPr>
          <w:szCs w:val="22"/>
        </w:rPr>
        <w:t xml:space="preserve">on </w:t>
      </w:r>
      <w:r w:rsidRPr="005968CD">
        <w:rPr>
          <w:szCs w:val="22"/>
        </w:rPr>
        <w:t>other possible so</w:t>
      </w:r>
      <w:r w:rsidR="00C95473" w:rsidRPr="005968CD">
        <w:rPr>
          <w:szCs w:val="22"/>
        </w:rPr>
        <w:t>lutions</w:t>
      </w:r>
      <w:r w:rsidRPr="005968CD">
        <w:rPr>
          <w:szCs w:val="22"/>
        </w:rPr>
        <w:t>.</w:t>
      </w:r>
      <w:r w:rsidRPr="005968CD">
        <w:rPr>
          <w:rStyle w:val="FootnoteReference"/>
          <w:sz w:val="22"/>
          <w:szCs w:val="22"/>
        </w:rPr>
        <w:footnoteReference w:id="100"/>
      </w:r>
      <w:r w:rsidRPr="005968CD">
        <w:rPr>
          <w:szCs w:val="22"/>
        </w:rPr>
        <w:t xml:space="preserve"> </w:t>
      </w:r>
      <w:r w:rsidR="00F52C0A" w:rsidRPr="005968CD">
        <w:rPr>
          <w:szCs w:val="22"/>
        </w:rPr>
        <w:t xml:space="preserve"> </w:t>
      </w:r>
    </w:p>
    <w:p w14:paraId="0F491FC7" w14:textId="77777777" w:rsidR="00ED27A9" w:rsidRPr="0076761F" w:rsidRDefault="00956DE9" w:rsidP="0076761F">
      <w:pPr>
        <w:pStyle w:val="ParaNum"/>
        <w:widowControl/>
        <w:snapToGrid w:val="0"/>
        <w:rPr>
          <w:szCs w:val="22"/>
        </w:rPr>
      </w:pPr>
      <w:r w:rsidRPr="006E39C7">
        <w:rPr>
          <w:szCs w:val="22"/>
        </w:rPr>
        <w:t xml:space="preserve">We seek comment on whether call-blocking is a viable alternative to sunsetting the NSI </w:t>
      </w:r>
      <w:r w:rsidR="00013AB2">
        <w:rPr>
          <w:szCs w:val="22"/>
        </w:rPr>
        <w:t xml:space="preserve">rule. </w:t>
      </w:r>
      <w:r w:rsidRPr="006E39C7">
        <w:rPr>
          <w:szCs w:val="22"/>
        </w:rPr>
        <w:t xml:space="preserve"> </w:t>
      </w:r>
      <w:r w:rsidRPr="005968CD">
        <w:rPr>
          <w:szCs w:val="22"/>
        </w:rPr>
        <w:t>While Commission rules generally require CMRS providers to forward all 911 calls to PSAPs, including calls from NSI devices, they do not prohibit CMRS providers from blocking fraudulent 911 calls “pursuant to applicable state and local law enforcement procedures.”</w:t>
      </w:r>
      <w:r w:rsidRPr="005968CD">
        <w:rPr>
          <w:rStyle w:val="FootnoteReference"/>
          <w:sz w:val="22"/>
          <w:szCs w:val="22"/>
        </w:rPr>
        <w:footnoteReference w:id="101"/>
      </w:r>
      <w:r w:rsidRPr="005968CD">
        <w:rPr>
          <w:szCs w:val="22"/>
        </w:rPr>
        <w:t xml:space="preserve">  Nevertheless, the Petition asserted that CMRS providers refuse to honor PSAP blocking requests due to “technical and legal concerns.”</w:t>
      </w:r>
      <w:r w:rsidRPr="005968CD">
        <w:rPr>
          <w:rStyle w:val="FootnoteReference"/>
          <w:sz w:val="22"/>
          <w:szCs w:val="22"/>
        </w:rPr>
        <w:footnoteReference w:id="102"/>
      </w:r>
      <w:r w:rsidRPr="005968CD">
        <w:rPr>
          <w:szCs w:val="22"/>
        </w:rPr>
        <w:t xml:space="preserve">  In </w:t>
      </w:r>
      <w:r>
        <w:rPr>
          <w:szCs w:val="22"/>
        </w:rPr>
        <w:t xml:space="preserve">response to </w:t>
      </w:r>
      <w:r w:rsidRPr="005968CD">
        <w:rPr>
          <w:szCs w:val="22"/>
        </w:rPr>
        <w:t xml:space="preserve">the </w:t>
      </w:r>
      <w:r w:rsidRPr="005968CD">
        <w:rPr>
          <w:i/>
          <w:szCs w:val="22"/>
        </w:rPr>
        <w:t>Notice of Inquiry</w:t>
      </w:r>
      <w:r w:rsidRPr="005968CD">
        <w:rPr>
          <w:szCs w:val="22"/>
        </w:rPr>
        <w:t>,</w:t>
      </w:r>
      <w:r>
        <w:rPr>
          <w:szCs w:val="22"/>
        </w:rPr>
        <w:t xml:space="preserve"> many commenters </w:t>
      </w:r>
      <w:r w:rsidRPr="005968CD">
        <w:rPr>
          <w:szCs w:val="22"/>
        </w:rPr>
        <w:t>– both CMRS provider and public safety – cited technical and legal problems that continue to make blocking calls difficult.</w:t>
      </w:r>
      <w:r w:rsidRPr="005968CD">
        <w:rPr>
          <w:rStyle w:val="FootnoteReference"/>
          <w:sz w:val="22"/>
          <w:szCs w:val="22"/>
        </w:rPr>
        <w:footnoteReference w:id="103"/>
      </w:r>
      <w:r>
        <w:rPr>
          <w:szCs w:val="22"/>
        </w:rPr>
        <w:t xml:space="preserve">  We seek comment on these views.   </w:t>
      </w:r>
    </w:p>
    <w:p w14:paraId="0354CD7E" w14:textId="77777777" w:rsidR="00347D18" w:rsidRPr="00750B9A" w:rsidRDefault="00ED27A9" w:rsidP="00750B9A">
      <w:pPr>
        <w:pStyle w:val="ParaNum"/>
        <w:widowControl/>
        <w:rPr>
          <w:szCs w:val="22"/>
        </w:rPr>
      </w:pPr>
      <w:bookmarkStart w:id="140" w:name="SR;879"/>
      <w:bookmarkEnd w:id="140"/>
      <w:r w:rsidRPr="005968CD">
        <w:rPr>
          <w:szCs w:val="22"/>
        </w:rPr>
        <w:t xml:space="preserve">In the </w:t>
      </w:r>
      <w:r w:rsidRPr="005968CD">
        <w:rPr>
          <w:i/>
          <w:szCs w:val="22"/>
        </w:rPr>
        <w:t>Notice of Inquiry</w:t>
      </w:r>
      <w:r w:rsidRPr="005968CD">
        <w:rPr>
          <w:szCs w:val="22"/>
        </w:rPr>
        <w:t xml:space="preserve">, the Commission requested comment on two other alternative approaches to address the problem of fraudulent 911 calls from NSI </w:t>
      </w:r>
      <w:r w:rsidR="00B740EF" w:rsidRPr="005968CD">
        <w:rPr>
          <w:szCs w:val="22"/>
        </w:rPr>
        <w:t>device</w:t>
      </w:r>
      <w:r w:rsidRPr="005968CD">
        <w:rPr>
          <w:szCs w:val="22"/>
        </w:rPr>
        <w:t xml:space="preserve">s: (1) implementing call-back capabilities for NSI </w:t>
      </w:r>
      <w:r w:rsidR="00B740EF" w:rsidRPr="005968CD">
        <w:rPr>
          <w:szCs w:val="22"/>
        </w:rPr>
        <w:t>device</w:t>
      </w:r>
      <w:r w:rsidRPr="005968CD">
        <w:rPr>
          <w:szCs w:val="22"/>
        </w:rPr>
        <w:t>s</w:t>
      </w:r>
      <w:r w:rsidR="00013AB2">
        <w:rPr>
          <w:szCs w:val="22"/>
        </w:rPr>
        <w:t>,</w:t>
      </w:r>
      <w:r w:rsidRPr="005968CD">
        <w:rPr>
          <w:szCs w:val="22"/>
        </w:rPr>
        <w:t xml:space="preserve"> and (2) requiring </w:t>
      </w:r>
      <w:r w:rsidR="00230F0D" w:rsidRPr="005968CD">
        <w:rPr>
          <w:szCs w:val="22"/>
        </w:rPr>
        <w:t>CMRS provider</w:t>
      </w:r>
      <w:r w:rsidRPr="005968CD">
        <w:rPr>
          <w:szCs w:val="22"/>
        </w:rPr>
        <w:t xml:space="preserve">-sponsored </w:t>
      </w:r>
      <w:r w:rsidR="00B740EF" w:rsidRPr="005968CD">
        <w:rPr>
          <w:szCs w:val="22"/>
        </w:rPr>
        <w:t>device</w:t>
      </w:r>
      <w:r w:rsidRPr="005968CD">
        <w:rPr>
          <w:szCs w:val="22"/>
        </w:rPr>
        <w:t xml:space="preserve"> donation programs to provide service-initialized </w:t>
      </w:r>
      <w:r w:rsidR="00B740EF" w:rsidRPr="005968CD">
        <w:rPr>
          <w:szCs w:val="22"/>
        </w:rPr>
        <w:t>device</w:t>
      </w:r>
      <w:r w:rsidRPr="005968CD">
        <w:rPr>
          <w:szCs w:val="22"/>
        </w:rPr>
        <w:t>s.</w:t>
      </w:r>
      <w:r w:rsidRPr="005968CD">
        <w:rPr>
          <w:rStyle w:val="FootnoteReference"/>
          <w:sz w:val="22"/>
          <w:szCs w:val="22"/>
        </w:rPr>
        <w:footnoteReference w:id="104"/>
      </w:r>
      <w:r w:rsidRPr="005968CD">
        <w:rPr>
          <w:szCs w:val="22"/>
        </w:rPr>
        <w:t xml:space="preserve">  </w:t>
      </w:r>
      <w:r w:rsidR="00F611C9">
        <w:rPr>
          <w:szCs w:val="22"/>
        </w:rPr>
        <w:t>We</w:t>
      </w:r>
      <w:r w:rsidRPr="005968CD">
        <w:rPr>
          <w:szCs w:val="22"/>
        </w:rPr>
        <w:t xml:space="preserve"> seek further comment on the relative costs and benefits of these proposals</w:t>
      </w:r>
      <w:r w:rsidR="00013AB2">
        <w:rPr>
          <w:szCs w:val="22"/>
        </w:rPr>
        <w:t xml:space="preserve"> as alternatives to </w:t>
      </w:r>
      <w:r w:rsidR="007E336C" w:rsidRPr="005968CD">
        <w:rPr>
          <w:szCs w:val="22"/>
        </w:rPr>
        <w:t>sunset</w:t>
      </w:r>
      <w:r w:rsidR="00013AB2">
        <w:rPr>
          <w:szCs w:val="22"/>
        </w:rPr>
        <w:t>ting</w:t>
      </w:r>
      <w:r w:rsidRPr="005968CD">
        <w:rPr>
          <w:szCs w:val="22"/>
        </w:rPr>
        <w:t xml:space="preserve"> the </w:t>
      </w:r>
      <w:r w:rsidR="00B228C7" w:rsidRPr="005968CD">
        <w:rPr>
          <w:szCs w:val="22"/>
        </w:rPr>
        <w:t>NSI r</w:t>
      </w:r>
      <w:r w:rsidR="00013AB2">
        <w:rPr>
          <w:szCs w:val="22"/>
        </w:rPr>
        <w:t xml:space="preserve">ule.   </w:t>
      </w:r>
      <w:bookmarkStart w:id="141" w:name="SR;231"/>
      <w:bookmarkEnd w:id="116"/>
      <w:bookmarkEnd w:id="117"/>
      <w:bookmarkEnd w:id="118"/>
      <w:bookmarkEnd w:id="119"/>
      <w:bookmarkEnd w:id="120"/>
      <w:bookmarkEnd w:id="121"/>
      <w:bookmarkEnd w:id="122"/>
      <w:bookmarkEnd w:id="123"/>
      <w:bookmarkEnd w:id="124"/>
      <w:bookmarkEnd w:id="125"/>
      <w:bookmarkEnd w:id="126"/>
      <w:bookmarkEnd w:id="141"/>
    </w:p>
    <w:p w14:paraId="675C1717" w14:textId="77777777" w:rsidR="0039126E" w:rsidRPr="005968CD" w:rsidRDefault="00155705" w:rsidP="00875034">
      <w:pPr>
        <w:pStyle w:val="Heading1"/>
        <w:widowControl/>
        <w:ind w:left="0" w:firstLine="720"/>
        <w:rPr>
          <w:rFonts w:ascii="Times New Roman" w:hAnsi="Times New Roman"/>
          <w:szCs w:val="22"/>
        </w:rPr>
      </w:pPr>
      <w:bookmarkStart w:id="142" w:name="_Toc225137859"/>
      <w:bookmarkStart w:id="143" w:name="_Toc225138561"/>
      <w:bookmarkStart w:id="144" w:name="_Toc225139751"/>
      <w:bookmarkStart w:id="145" w:name="_Toc225139999"/>
      <w:bookmarkStart w:id="146" w:name="_Toc225140095"/>
      <w:bookmarkStart w:id="147" w:name="_Toc225140839"/>
      <w:bookmarkStart w:id="148" w:name="_Toc225141030"/>
      <w:bookmarkStart w:id="149" w:name="_Toc225141191"/>
      <w:bookmarkStart w:id="150" w:name="_Toc225141467"/>
      <w:bookmarkStart w:id="151" w:name="_Toc311539017"/>
      <w:bookmarkStart w:id="152" w:name="_Toc315776387"/>
      <w:bookmarkStart w:id="153" w:name="_Toc384818464"/>
      <w:bookmarkStart w:id="154" w:name="_Toc385317623"/>
      <w:bookmarkStart w:id="155" w:name="_Toc385317679"/>
      <w:bookmarkStart w:id="156" w:name="_Toc385317700"/>
      <w:bookmarkStart w:id="157" w:name="_Toc386185628"/>
      <w:bookmarkStart w:id="158" w:name="_Toc386193583"/>
      <w:bookmarkStart w:id="159" w:name="_Toc386449419"/>
      <w:bookmarkStart w:id="160" w:name="_Toc390332845"/>
      <w:bookmarkStart w:id="161" w:name="_Toc403549496"/>
      <w:bookmarkStart w:id="162" w:name="_Toc410743435"/>
      <w:bookmarkStart w:id="163" w:name="_Toc415573216"/>
      <w:r w:rsidRPr="005968CD">
        <w:rPr>
          <w:rFonts w:ascii="Times New Roman" w:hAnsi="Times New Roman"/>
          <w:szCs w:val="22"/>
        </w:rPr>
        <w:t>PROCEDURAL MATTERS</w:t>
      </w:r>
      <w:bookmarkStart w:id="164" w:name="_Toc101319358"/>
      <w:bookmarkStart w:id="165" w:name="_Toc101319515"/>
      <w:bookmarkStart w:id="166" w:name="_Toc101340264"/>
      <w:bookmarkStart w:id="167" w:name="_Toc101340328"/>
      <w:bookmarkStart w:id="168" w:name="_Toc102356243"/>
      <w:bookmarkStart w:id="169" w:name="_Toc112655034"/>
      <w:bookmarkStart w:id="170" w:name="_Toc112655068"/>
      <w:bookmarkStart w:id="171" w:name="_Toc112655092"/>
      <w:bookmarkStart w:id="172" w:name="_Toc112745693"/>
      <w:bookmarkStart w:id="173" w:name="_Toc118778214"/>
      <w:bookmarkStart w:id="174" w:name="_Toc120093148"/>
      <w:bookmarkStart w:id="175" w:name="_Toc121720021"/>
      <w:bookmarkStart w:id="176" w:name="_Toc225137860"/>
      <w:bookmarkStart w:id="177" w:name="_Toc22513856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52EEAFAA" w14:textId="77777777" w:rsidR="00155705" w:rsidRPr="005968CD" w:rsidRDefault="00155705" w:rsidP="00875034">
      <w:pPr>
        <w:pStyle w:val="Heading2"/>
        <w:tabs>
          <w:tab w:val="clear" w:pos="1440"/>
        </w:tabs>
        <w:ind w:left="0" w:firstLine="720"/>
        <w:rPr>
          <w:szCs w:val="22"/>
        </w:rPr>
      </w:pPr>
      <w:bookmarkStart w:id="178" w:name="_Toc225139752"/>
      <w:bookmarkStart w:id="179" w:name="_Toc225140000"/>
      <w:bookmarkStart w:id="180" w:name="_Toc225140096"/>
      <w:bookmarkStart w:id="181" w:name="_Toc225140840"/>
      <w:bookmarkStart w:id="182" w:name="_Toc225141031"/>
      <w:bookmarkStart w:id="183" w:name="_Toc225141192"/>
      <w:bookmarkStart w:id="184" w:name="_Toc225141468"/>
      <w:bookmarkStart w:id="185" w:name="_Toc311539018"/>
      <w:bookmarkStart w:id="186" w:name="_Toc315776388"/>
      <w:bookmarkStart w:id="187" w:name="_Toc384818465"/>
      <w:bookmarkStart w:id="188" w:name="_Toc385317624"/>
      <w:bookmarkStart w:id="189" w:name="_Toc385317680"/>
      <w:bookmarkStart w:id="190" w:name="_Toc385317701"/>
      <w:bookmarkStart w:id="191" w:name="_Toc386185629"/>
      <w:bookmarkStart w:id="192" w:name="_Toc386193584"/>
      <w:bookmarkStart w:id="193" w:name="_Toc386449420"/>
      <w:bookmarkStart w:id="194" w:name="_Toc390332846"/>
      <w:bookmarkStart w:id="195" w:name="_Toc403549497"/>
      <w:bookmarkStart w:id="196" w:name="_Toc410743436"/>
      <w:bookmarkStart w:id="197" w:name="_Toc415573217"/>
      <w:r w:rsidRPr="005968CD">
        <w:rPr>
          <w:szCs w:val="22"/>
        </w:rPr>
        <w:t>Ex Parte Presentations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29D5E33A" w14:textId="77777777" w:rsidR="006D6B42" w:rsidRPr="005968CD" w:rsidRDefault="00B94F60" w:rsidP="00C46CCA">
      <w:pPr>
        <w:pStyle w:val="ParaNum"/>
        <w:widowControl/>
        <w:snapToGrid w:val="0"/>
        <w:rPr>
          <w:szCs w:val="22"/>
        </w:rPr>
      </w:pPr>
      <w:bookmarkStart w:id="198" w:name="_Toc101319359"/>
      <w:bookmarkStart w:id="199" w:name="_Toc101319516"/>
      <w:bookmarkStart w:id="200" w:name="_Toc101340265"/>
      <w:bookmarkStart w:id="201" w:name="_Toc101340329"/>
      <w:bookmarkStart w:id="202" w:name="_Toc102356244"/>
      <w:bookmarkStart w:id="203" w:name="_Toc112655035"/>
      <w:bookmarkStart w:id="204" w:name="_Toc112655069"/>
      <w:bookmarkStart w:id="205" w:name="_Toc112655093"/>
      <w:bookmarkStart w:id="206" w:name="_Toc112745694"/>
      <w:bookmarkStart w:id="207" w:name="_Toc118778215"/>
      <w:bookmarkStart w:id="208" w:name="_Toc120093149"/>
      <w:bookmarkStart w:id="209" w:name="_Toc121720022"/>
      <w:r w:rsidRPr="005968CD">
        <w:rPr>
          <w:szCs w:val="22"/>
        </w:rPr>
        <w:t xml:space="preserve">The proceedings initiated by this </w:t>
      </w:r>
      <w:r w:rsidR="0036130F" w:rsidRPr="005968CD">
        <w:rPr>
          <w:szCs w:val="22"/>
        </w:rPr>
        <w:t>NPRM</w:t>
      </w:r>
      <w:r w:rsidRPr="005968CD">
        <w:rPr>
          <w:i/>
          <w:szCs w:val="22"/>
        </w:rPr>
        <w:t xml:space="preserve"> </w:t>
      </w:r>
      <w:r w:rsidRPr="005968CD">
        <w:rPr>
          <w:szCs w:val="22"/>
        </w:rPr>
        <w:t xml:space="preserve">shall be treated as “permit-but-disclose” proceedings in accordance with the Commission’s </w:t>
      </w:r>
      <w:r w:rsidRPr="005968CD">
        <w:rPr>
          <w:i/>
          <w:iCs/>
          <w:szCs w:val="22"/>
        </w:rPr>
        <w:t xml:space="preserve">ex parte </w:t>
      </w:r>
      <w:r w:rsidRPr="005968CD">
        <w:rPr>
          <w:szCs w:val="22"/>
        </w:rPr>
        <w:t>rules.</w:t>
      </w:r>
      <w:r w:rsidRPr="005968CD">
        <w:rPr>
          <w:rStyle w:val="FootnoteReference"/>
          <w:sz w:val="22"/>
          <w:szCs w:val="22"/>
        </w:rPr>
        <w:footnoteReference w:id="105"/>
      </w:r>
      <w:r w:rsidRPr="005968CD">
        <w:rPr>
          <w:szCs w:val="22"/>
        </w:rPr>
        <w:t xml:space="preserve">  Persons making </w:t>
      </w:r>
      <w:r w:rsidRPr="005968CD">
        <w:rPr>
          <w:i/>
          <w:szCs w:val="22"/>
        </w:rPr>
        <w:t xml:space="preserve">ex parte </w:t>
      </w:r>
      <w:r w:rsidRPr="005968C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968CD">
        <w:rPr>
          <w:i/>
          <w:iCs/>
          <w:szCs w:val="22"/>
        </w:rPr>
        <w:t xml:space="preserve">ex parte </w:t>
      </w:r>
      <w:r w:rsidRPr="005968CD">
        <w:rPr>
          <w:szCs w:val="22"/>
        </w:rPr>
        <w:t xml:space="preserve">presentations are reminded that memoranda summarizing the presentation must: (1) list all persons attending or otherwise participating in the meeting at which the </w:t>
      </w:r>
      <w:r w:rsidRPr="005968CD">
        <w:rPr>
          <w:i/>
          <w:iCs/>
          <w:szCs w:val="22"/>
        </w:rPr>
        <w:t xml:space="preserve">ex parte </w:t>
      </w:r>
      <w:r w:rsidRPr="005968C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968CD">
        <w:rPr>
          <w:i/>
          <w:iCs/>
          <w:szCs w:val="22"/>
        </w:rPr>
        <w:t xml:space="preserve">ex parte </w:t>
      </w:r>
      <w:r w:rsidRPr="005968CD">
        <w:rPr>
          <w:szCs w:val="22"/>
        </w:rPr>
        <w:t xml:space="preserve">meetings are deemed to be written </w:t>
      </w:r>
      <w:r w:rsidRPr="005968CD">
        <w:rPr>
          <w:i/>
          <w:iCs/>
          <w:szCs w:val="22"/>
        </w:rPr>
        <w:t>ex parte</w:t>
      </w:r>
      <w:r w:rsidRPr="005968CD">
        <w:rPr>
          <w:szCs w:val="22"/>
        </w:rPr>
        <w:t xml:space="preserve"> presentations and must be filed consistent with rule 1.1206(b).  In proceedings governed by rule 1.49(f) or for which the Commission has made available a method of electronic filing, written </w:t>
      </w:r>
      <w:r w:rsidRPr="005968CD">
        <w:rPr>
          <w:i/>
          <w:iCs/>
          <w:szCs w:val="22"/>
        </w:rPr>
        <w:t xml:space="preserve">ex parte </w:t>
      </w:r>
      <w:r w:rsidRPr="005968CD">
        <w:rPr>
          <w:szCs w:val="22"/>
        </w:rPr>
        <w:t xml:space="preserve">presentations and memoranda summarizing oral </w:t>
      </w:r>
      <w:r w:rsidRPr="005968CD">
        <w:rPr>
          <w:i/>
          <w:iCs/>
          <w:szCs w:val="22"/>
        </w:rPr>
        <w:t xml:space="preserve">ex parte </w:t>
      </w:r>
      <w:r w:rsidRPr="005968CD">
        <w:rPr>
          <w:szCs w:val="22"/>
        </w:rPr>
        <w:t>presentations, and all attachments thereto, must be filed through the electronic comment filing system available for that proceeding, and must be filed in their native format (</w:t>
      </w:r>
      <w:r w:rsidRPr="005968CD">
        <w:rPr>
          <w:i/>
          <w:iCs/>
          <w:szCs w:val="22"/>
        </w:rPr>
        <w:t>e.g.</w:t>
      </w:r>
      <w:r w:rsidRPr="005968CD">
        <w:rPr>
          <w:szCs w:val="22"/>
        </w:rPr>
        <w:t xml:space="preserve">, .doc, .xml, .ppt, searchable .pdf).  Participants in this proceeding should familiarize themselves with the Commission’s </w:t>
      </w:r>
      <w:r w:rsidRPr="005968CD">
        <w:rPr>
          <w:i/>
          <w:iCs/>
          <w:szCs w:val="22"/>
        </w:rPr>
        <w:t xml:space="preserve">ex parte </w:t>
      </w:r>
      <w:r w:rsidRPr="005968CD">
        <w:rPr>
          <w:szCs w:val="22"/>
        </w:rPr>
        <w:t>rules.</w:t>
      </w:r>
    </w:p>
    <w:p w14:paraId="0D7AF314" w14:textId="77777777" w:rsidR="00155705" w:rsidRPr="005968CD" w:rsidRDefault="00155705" w:rsidP="00875034">
      <w:pPr>
        <w:pStyle w:val="Heading2"/>
        <w:tabs>
          <w:tab w:val="clear" w:pos="1440"/>
        </w:tabs>
        <w:ind w:left="0" w:firstLine="720"/>
        <w:rPr>
          <w:szCs w:val="22"/>
        </w:rPr>
      </w:pPr>
      <w:bookmarkStart w:id="210" w:name="_Toc225137861"/>
      <w:bookmarkStart w:id="211" w:name="_Toc225138563"/>
      <w:bookmarkStart w:id="212" w:name="_Toc225139753"/>
      <w:bookmarkStart w:id="213" w:name="_Toc225140001"/>
      <w:bookmarkStart w:id="214" w:name="_Toc225140097"/>
      <w:bookmarkStart w:id="215" w:name="_Toc225140841"/>
      <w:bookmarkStart w:id="216" w:name="_Toc225141032"/>
      <w:bookmarkStart w:id="217" w:name="_Toc225141193"/>
      <w:bookmarkStart w:id="218" w:name="_Toc225141469"/>
      <w:bookmarkStart w:id="219" w:name="_Toc311539019"/>
      <w:bookmarkStart w:id="220" w:name="_Toc315776389"/>
      <w:bookmarkStart w:id="221" w:name="_Toc384818466"/>
      <w:bookmarkStart w:id="222" w:name="_Toc385317625"/>
      <w:bookmarkStart w:id="223" w:name="_Toc385317681"/>
      <w:bookmarkStart w:id="224" w:name="_Toc385317702"/>
      <w:bookmarkStart w:id="225" w:name="_Toc386185630"/>
      <w:bookmarkStart w:id="226" w:name="_Toc386193585"/>
      <w:bookmarkStart w:id="227" w:name="_Toc386449421"/>
      <w:bookmarkStart w:id="228" w:name="_Toc390332847"/>
      <w:bookmarkStart w:id="229" w:name="_Toc403549498"/>
      <w:bookmarkStart w:id="230" w:name="_Toc410743437"/>
      <w:bookmarkStart w:id="231" w:name="_Toc415573218"/>
      <w:r w:rsidRPr="005968CD">
        <w:rPr>
          <w:szCs w:val="22"/>
        </w:rPr>
        <w:t>Comment Filing Procedures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198"/>
    <w:bookmarkEnd w:id="199"/>
    <w:bookmarkEnd w:id="200"/>
    <w:bookmarkEnd w:id="201"/>
    <w:bookmarkEnd w:id="202"/>
    <w:bookmarkEnd w:id="203"/>
    <w:bookmarkEnd w:id="204"/>
    <w:bookmarkEnd w:id="205"/>
    <w:bookmarkEnd w:id="206"/>
    <w:bookmarkEnd w:id="207"/>
    <w:bookmarkEnd w:id="208"/>
    <w:bookmarkEnd w:id="209"/>
    <w:p w14:paraId="40CBF2EC" w14:textId="77777777" w:rsidR="00B94F60" w:rsidRPr="005968CD" w:rsidRDefault="00B94F60" w:rsidP="00C46CCA">
      <w:pPr>
        <w:pStyle w:val="ParaNum"/>
        <w:widowControl/>
        <w:snapToGrid w:val="0"/>
        <w:rPr>
          <w:szCs w:val="22"/>
        </w:rPr>
      </w:pPr>
      <w:r w:rsidRPr="005968CD">
        <w:rPr>
          <w:szCs w:val="22"/>
        </w:rPr>
        <w:t xml:space="preserve">Pursuant to sections 1.415 and 1.419 of the Commission’s rules, 47 CFR §§ 1.415, 1.419, interested parties may file comments and reply comments in response to this </w:t>
      </w:r>
      <w:r w:rsidR="0036130F" w:rsidRPr="005968CD">
        <w:rPr>
          <w:szCs w:val="22"/>
        </w:rPr>
        <w:t xml:space="preserve">NPRM </w:t>
      </w:r>
      <w:r w:rsidRPr="005968CD">
        <w:rPr>
          <w:szCs w:val="22"/>
        </w:rPr>
        <w:t xml:space="preserve">on or before the dates indicated on the first page of this document.  Comments may be filed using the Commission’s Electronic Comment Filing System (ECFS).  </w:t>
      </w:r>
      <w:r w:rsidRPr="005968CD">
        <w:rPr>
          <w:i/>
          <w:szCs w:val="22"/>
        </w:rPr>
        <w:t>See Electronic Filing of Documents in Rulemaking Proceedings</w:t>
      </w:r>
      <w:r w:rsidRPr="005968CD">
        <w:rPr>
          <w:szCs w:val="22"/>
        </w:rPr>
        <w:t>, 63 FR 24121 (1998).</w:t>
      </w:r>
    </w:p>
    <w:p w14:paraId="6B332B76" w14:textId="204B96E2" w:rsidR="00B94F60" w:rsidRPr="005968CD" w:rsidRDefault="00B94F60" w:rsidP="005968CD">
      <w:pPr>
        <w:widowControl/>
        <w:numPr>
          <w:ilvl w:val="0"/>
          <w:numId w:val="7"/>
        </w:numPr>
        <w:tabs>
          <w:tab w:val="clear" w:pos="720"/>
          <w:tab w:val="num" w:pos="270"/>
        </w:tabs>
        <w:ind w:left="0" w:firstLine="720"/>
        <w:rPr>
          <w:szCs w:val="22"/>
        </w:rPr>
      </w:pPr>
      <w:r w:rsidRPr="005968CD">
        <w:rPr>
          <w:szCs w:val="22"/>
        </w:rPr>
        <w:t xml:space="preserve">Electronic Filers:  Comments may be filed electronically using the Internet by accessing the ECFS:  </w:t>
      </w:r>
      <w:hyperlink r:id="rId8" w:history="1">
        <w:r w:rsidRPr="005968CD">
          <w:rPr>
            <w:rStyle w:val="Hyperlink"/>
            <w:rFonts w:eastAsia="MS Gothic"/>
            <w:szCs w:val="22"/>
          </w:rPr>
          <w:t>http://fjallfoss.fcc.gov/ecfs2/</w:t>
        </w:r>
      </w:hyperlink>
      <w:r w:rsidRPr="005968CD">
        <w:rPr>
          <w:szCs w:val="22"/>
        </w:rPr>
        <w:t>.</w:t>
      </w:r>
    </w:p>
    <w:p w14:paraId="25174501" w14:textId="77777777" w:rsidR="00B94F60" w:rsidRPr="005968CD" w:rsidRDefault="00B94F60" w:rsidP="00875034">
      <w:pPr>
        <w:ind w:firstLine="720"/>
        <w:rPr>
          <w:szCs w:val="22"/>
        </w:rPr>
      </w:pPr>
    </w:p>
    <w:p w14:paraId="08BF0A03" w14:textId="77777777" w:rsidR="00B94F60" w:rsidRPr="005968CD" w:rsidRDefault="00B94F60" w:rsidP="005968CD">
      <w:pPr>
        <w:widowControl/>
        <w:numPr>
          <w:ilvl w:val="0"/>
          <w:numId w:val="5"/>
        </w:numPr>
        <w:tabs>
          <w:tab w:val="clear" w:pos="720"/>
          <w:tab w:val="num" w:pos="270"/>
        </w:tabs>
        <w:ind w:left="0" w:firstLine="720"/>
        <w:rPr>
          <w:szCs w:val="22"/>
        </w:rPr>
      </w:pPr>
      <w:r w:rsidRPr="005968CD">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14:paraId="23EFD5FB" w14:textId="77777777" w:rsidR="00B94F60" w:rsidRPr="005968CD" w:rsidRDefault="00B94F60" w:rsidP="00875034">
      <w:pPr>
        <w:ind w:firstLine="720"/>
        <w:rPr>
          <w:szCs w:val="22"/>
        </w:rPr>
      </w:pPr>
    </w:p>
    <w:p w14:paraId="42F0BD33" w14:textId="77777777" w:rsidR="00B94F60" w:rsidRPr="005968CD" w:rsidRDefault="00B94F60" w:rsidP="00875034">
      <w:pPr>
        <w:ind w:firstLine="720"/>
        <w:rPr>
          <w:szCs w:val="22"/>
        </w:rPr>
      </w:pPr>
      <w:r w:rsidRPr="005968C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8971E27" w14:textId="77777777" w:rsidR="00B94F60" w:rsidRPr="005968CD" w:rsidRDefault="00B94F60" w:rsidP="00875034">
      <w:pPr>
        <w:ind w:firstLine="720"/>
        <w:rPr>
          <w:szCs w:val="22"/>
        </w:rPr>
      </w:pPr>
    </w:p>
    <w:p w14:paraId="486C82BA" w14:textId="77777777" w:rsidR="00B94F60" w:rsidRPr="005968CD" w:rsidRDefault="00B94F60" w:rsidP="005968CD">
      <w:pPr>
        <w:widowControl/>
        <w:numPr>
          <w:ilvl w:val="0"/>
          <w:numId w:val="6"/>
        </w:numPr>
        <w:tabs>
          <w:tab w:val="clear" w:pos="1440"/>
          <w:tab w:val="num" w:pos="990"/>
        </w:tabs>
        <w:ind w:left="0" w:firstLine="720"/>
        <w:rPr>
          <w:szCs w:val="22"/>
        </w:rPr>
      </w:pPr>
      <w:r w:rsidRPr="005968CD">
        <w:rPr>
          <w:szCs w:val="22"/>
        </w:rPr>
        <w:t>All hand-delivered or messenger-delivered paper filings for the Commission’s Secretary must be delivered to FCC Headquarters at 445 12</w:t>
      </w:r>
      <w:r w:rsidRPr="005968CD">
        <w:rPr>
          <w:szCs w:val="22"/>
          <w:vertAlign w:val="superscript"/>
        </w:rPr>
        <w:t>th</w:t>
      </w:r>
      <w:r w:rsidRPr="005968CD">
        <w:rPr>
          <w:szCs w:val="22"/>
        </w:rPr>
        <w:t xml:space="preserve"> St., SW, Room TW-A325, Washington, DC 20554.  The filing hours are 8:00 a.m. to 7:00 p.m.   All hand deliveries must be held together with rubber bands or fasteners.  Any envelopes and boxes must be disposed of </w:t>
      </w:r>
      <w:r w:rsidRPr="005968CD">
        <w:rPr>
          <w:szCs w:val="22"/>
          <w:u w:val="single"/>
        </w:rPr>
        <w:t>before</w:t>
      </w:r>
      <w:r w:rsidRPr="005968CD">
        <w:rPr>
          <w:szCs w:val="22"/>
        </w:rPr>
        <w:t xml:space="preserve"> entering the building.</w:t>
      </w:r>
    </w:p>
    <w:p w14:paraId="05DFFB21" w14:textId="77777777" w:rsidR="00B94F60" w:rsidRPr="005968CD" w:rsidRDefault="00B94F60" w:rsidP="00875034">
      <w:pPr>
        <w:ind w:firstLine="720"/>
        <w:rPr>
          <w:szCs w:val="22"/>
        </w:rPr>
      </w:pPr>
    </w:p>
    <w:p w14:paraId="7CB1E77E" w14:textId="77777777" w:rsidR="00B94F60" w:rsidRPr="005968CD" w:rsidRDefault="00B94F60" w:rsidP="005968CD">
      <w:pPr>
        <w:widowControl/>
        <w:numPr>
          <w:ilvl w:val="0"/>
          <w:numId w:val="6"/>
        </w:numPr>
        <w:tabs>
          <w:tab w:val="clear" w:pos="1440"/>
          <w:tab w:val="num" w:pos="990"/>
        </w:tabs>
        <w:ind w:left="0" w:firstLine="720"/>
        <w:rPr>
          <w:szCs w:val="22"/>
        </w:rPr>
      </w:pPr>
      <w:r w:rsidRPr="005968CD">
        <w:rPr>
          <w:szCs w:val="22"/>
        </w:rPr>
        <w:t>Commercial overnight mail (other than U.S. Postal Service Express Mail and Priority Mail) must be sent to 9300 East Hampton Drive, Capitol Heights, MD  20743.</w:t>
      </w:r>
      <w:r w:rsidRPr="005968CD">
        <w:rPr>
          <w:szCs w:val="22"/>
        </w:rPr>
        <w:br/>
      </w:r>
    </w:p>
    <w:p w14:paraId="500ACA0E" w14:textId="77777777" w:rsidR="006D6B42" w:rsidRPr="005968CD" w:rsidRDefault="00B94F60" w:rsidP="005968CD">
      <w:pPr>
        <w:widowControl/>
        <w:numPr>
          <w:ilvl w:val="0"/>
          <w:numId w:val="6"/>
        </w:numPr>
        <w:tabs>
          <w:tab w:val="clear" w:pos="1440"/>
        </w:tabs>
        <w:ind w:left="0" w:firstLine="720"/>
        <w:rPr>
          <w:szCs w:val="22"/>
        </w:rPr>
      </w:pPr>
      <w:r w:rsidRPr="005968CD">
        <w:rPr>
          <w:szCs w:val="22"/>
        </w:rPr>
        <w:t>U.S. Postal Service first-class, Express, and Priority mail must be addressed to 445 12</w:t>
      </w:r>
      <w:r w:rsidRPr="005968CD">
        <w:rPr>
          <w:szCs w:val="22"/>
          <w:vertAlign w:val="superscript"/>
        </w:rPr>
        <w:t>th</w:t>
      </w:r>
      <w:r w:rsidRPr="005968CD">
        <w:rPr>
          <w:szCs w:val="22"/>
        </w:rPr>
        <w:t xml:space="preserve"> Street, SW, Washington DC  20554.</w:t>
      </w:r>
    </w:p>
    <w:p w14:paraId="48F64989" w14:textId="77777777" w:rsidR="006D6B42" w:rsidRPr="005968CD" w:rsidRDefault="006D6B42" w:rsidP="00875034">
      <w:pPr>
        <w:widowControl/>
        <w:ind w:firstLine="720"/>
        <w:rPr>
          <w:szCs w:val="22"/>
        </w:rPr>
      </w:pPr>
    </w:p>
    <w:p w14:paraId="2B6FED6E" w14:textId="77777777" w:rsidR="00B42A81" w:rsidRPr="005968CD" w:rsidRDefault="006D6B42" w:rsidP="00875034">
      <w:pPr>
        <w:pStyle w:val="Heading2"/>
        <w:tabs>
          <w:tab w:val="clear" w:pos="1440"/>
        </w:tabs>
        <w:ind w:left="0" w:firstLine="720"/>
        <w:rPr>
          <w:szCs w:val="22"/>
        </w:rPr>
      </w:pPr>
      <w:bookmarkStart w:id="232" w:name="_Toc297278835"/>
      <w:bookmarkStart w:id="233" w:name="_Toc297280012"/>
      <w:bookmarkStart w:id="234" w:name="_Toc298166567"/>
      <w:bookmarkStart w:id="235" w:name="_Toc301277401"/>
      <w:bookmarkStart w:id="236" w:name="_Toc302044909"/>
      <w:bookmarkStart w:id="237" w:name="_Toc302127702"/>
      <w:bookmarkStart w:id="238" w:name="_Toc302135216"/>
      <w:bookmarkStart w:id="239" w:name="_Toc302394425"/>
      <w:bookmarkStart w:id="240" w:name="_Toc302400123"/>
      <w:bookmarkStart w:id="241" w:name="_Toc302568236"/>
      <w:bookmarkStart w:id="242" w:name="_Toc303329811"/>
      <w:bookmarkStart w:id="243" w:name="_Toc304189802"/>
      <w:bookmarkStart w:id="244" w:name="_Toc304277750"/>
      <w:bookmarkStart w:id="245" w:name="_Toc311539020"/>
      <w:bookmarkStart w:id="246" w:name="_Toc315776390"/>
      <w:bookmarkStart w:id="247" w:name="_Toc384818467"/>
      <w:bookmarkStart w:id="248" w:name="_Toc385317626"/>
      <w:bookmarkStart w:id="249" w:name="_Toc385317682"/>
      <w:bookmarkStart w:id="250" w:name="_Toc385317703"/>
      <w:bookmarkStart w:id="251" w:name="_Toc386185631"/>
      <w:bookmarkStart w:id="252" w:name="_Toc386193586"/>
      <w:bookmarkStart w:id="253" w:name="_Toc386449422"/>
      <w:bookmarkStart w:id="254" w:name="_Toc390332848"/>
      <w:bookmarkStart w:id="255" w:name="_Toc403549499"/>
      <w:bookmarkStart w:id="256" w:name="_Toc410743438"/>
      <w:bookmarkStart w:id="257" w:name="_Toc415573219"/>
      <w:r w:rsidRPr="005968CD">
        <w:rPr>
          <w:szCs w:val="22"/>
        </w:rPr>
        <w:t>Accessible Formats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FF45492" w14:textId="321BAEB7" w:rsidR="00B94F60" w:rsidRPr="005968CD" w:rsidRDefault="00B94F60" w:rsidP="00C46CCA">
      <w:pPr>
        <w:pStyle w:val="ParaNum"/>
        <w:widowControl/>
        <w:snapToGrid w:val="0"/>
        <w:rPr>
          <w:szCs w:val="22"/>
        </w:rPr>
      </w:pPr>
      <w:bookmarkStart w:id="258" w:name="_Toc297278836"/>
      <w:bookmarkStart w:id="259" w:name="_Toc297280013"/>
      <w:bookmarkStart w:id="260" w:name="_Toc298166568"/>
      <w:bookmarkStart w:id="261" w:name="_Toc301277402"/>
      <w:bookmarkStart w:id="262" w:name="_Toc302044910"/>
      <w:bookmarkStart w:id="263" w:name="_Toc302127703"/>
      <w:bookmarkStart w:id="264" w:name="_Toc302135217"/>
      <w:bookmarkStart w:id="265" w:name="_Toc302394426"/>
      <w:bookmarkStart w:id="266" w:name="_Toc302400124"/>
      <w:bookmarkStart w:id="267" w:name="_Toc302568237"/>
      <w:bookmarkStart w:id="268" w:name="_Toc303329812"/>
      <w:bookmarkStart w:id="269" w:name="_Toc304189803"/>
      <w:bookmarkStart w:id="270" w:name="_Toc304277751"/>
      <w:bookmarkStart w:id="271" w:name="_Toc311539021"/>
      <w:bookmarkStart w:id="272" w:name="_Toc315776391"/>
      <w:bookmarkStart w:id="273" w:name="_Toc384818468"/>
      <w:bookmarkStart w:id="274" w:name="_Toc385317627"/>
      <w:bookmarkStart w:id="275" w:name="_Toc385317683"/>
      <w:bookmarkStart w:id="276" w:name="_Toc385317704"/>
      <w:r w:rsidRPr="005968CD">
        <w:rPr>
          <w:szCs w:val="22"/>
        </w:rPr>
        <w:t xml:space="preserve">To request materials in accessible formats for people with disabilities (braille, large print, electronic files, audio format), send an e-mail to </w:t>
      </w:r>
      <w:hyperlink r:id="rId9" w:history="1">
        <w:r w:rsidRPr="005968CD">
          <w:rPr>
            <w:rStyle w:val="Hyperlink"/>
            <w:rFonts w:eastAsia="MS Gothic"/>
            <w:szCs w:val="22"/>
          </w:rPr>
          <w:t>fcc504@fcc.gov</w:t>
        </w:r>
      </w:hyperlink>
      <w:r w:rsidRPr="005968CD">
        <w:rPr>
          <w:szCs w:val="22"/>
        </w:rPr>
        <w:t xml:space="preserve"> or call the Consumer &amp; Governmental Affairs Bureau at 202-418-0530 (voice), 202-418-0432 (TTY).</w:t>
      </w:r>
    </w:p>
    <w:p w14:paraId="5B5D6D68" w14:textId="77777777" w:rsidR="00B42A81" w:rsidRPr="005968CD" w:rsidRDefault="00B42A81" w:rsidP="00875034">
      <w:pPr>
        <w:pStyle w:val="Heading2"/>
        <w:tabs>
          <w:tab w:val="clear" w:pos="1440"/>
        </w:tabs>
        <w:ind w:left="0" w:firstLine="720"/>
        <w:rPr>
          <w:szCs w:val="22"/>
        </w:rPr>
      </w:pPr>
      <w:bookmarkStart w:id="277" w:name="_Toc386185632"/>
      <w:bookmarkStart w:id="278" w:name="_Toc386193587"/>
      <w:bookmarkStart w:id="279" w:name="_Toc386449423"/>
      <w:bookmarkStart w:id="280" w:name="_Toc390332849"/>
      <w:bookmarkStart w:id="281" w:name="_Toc403549500"/>
      <w:bookmarkStart w:id="282" w:name="_Toc410743439"/>
      <w:bookmarkStart w:id="283" w:name="_Toc415573220"/>
      <w:r w:rsidRPr="005968CD">
        <w:rPr>
          <w:szCs w:val="22"/>
        </w:rPr>
        <w:t>Regulatory Flexibility Analysis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A3B1F1A" w14:textId="77777777" w:rsidR="00B94F60" w:rsidRPr="005968CD" w:rsidRDefault="00B94F60" w:rsidP="00C46CCA">
      <w:pPr>
        <w:pStyle w:val="ParaNum"/>
        <w:widowControl/>
        <w:snapToGrid w:val="0"/>
        <w:rPr>
          <w:szCs w:val="22"/>
        </w:rPr>
      </w:pPr>
      <w:bookmarkStart w:id="284" w:name="_Toc297278837"/>
      <w:bookmarkStart w:id="285" w:name="_Toc297280014"/>
      <w:bookmarkStart w:id="286" w:name="_Toc298166569"/>
      <w:bookmarkStart w:id="287" w:name="_Toc301277403"/>
      <w:bookmarkStart w:id="288" w:name="_Toc302044911"/>
      <w:bookmarkStart w:id="289" w:name="_Toc302127704"/>
      <w:bookmarkStart w:id="290" w:name="_Toc302135218"/>
      <w:bookmarkStart w:id="291" w:name="_Toc302394427"/>
      <w:bookmarkStart w:id="292" w:name="_Toc302400125"/>
      <w:bookmarkStart w:id="293" w:name="_Toc302568238"/>
      <w:bookmarkStart w:id="294" w:name="_Toc303329813"/>
      <w:bookmarkStart w:id="295" w:name="_Toc304189804"/>
      <w:bookmarkStart w:id="296" w:name="_Toc304277752"/>
      <w:bookmarkStart w:id="297" w:name="_Toc311539022"/>
      <w:bookmarkStart w:id="298" w:name="_Toc315776392"/>
      <w:bookmarkStart w:id="299" w:name="_Toc384818469"/>
      <w:bookmarkStart w:id="300" w:name="_Toc385317628"/>
      <w:bookmarkStart w:id="301" w:name="_Toc385317684"/>
      <w:bookmarkStart w:id="302" w:name="_Toc385317705"/>
      <w:r w:rsidRPr="005968CD">
        <w:rPr>
          <w:szCs w:val="22"/>
        </w:rPr>
        <w:t xml:space="preserve">As required by the Regulatory Flexibility Act of 1980, </w:t>
      </w:r>
      <w:r w:rsidRPr="005968CD">
        <w:rPr>
          <w:i/>
          <w:iCs/>
          <w:szCs w:val="22"/>
        </w:rPr>
        <w:t>see</w:t>
      </w:r>
      <w:r w:rsidRPr="005968CD">
        <w:rPr>
          <w:szCs w:val="22"/>
        </w:rPr>
        <w:t xml:space="preserve"> 5 U.S.C. § 604, the Commission has prepared an Initial Regulatory Flexibility Analysis (IRFA) of the possible significant economic impact on small entities of the policies and rules addressed in this document.  The IRFA is set forth in Appendix B.  Written public comments are requested in the IRFA.  These comments must be filed in accordance with the same filing deadlines as comments filed in response to this </w:t>
      </w:r>
      <w:r w:rsidR="002C7FB3" w:rsidRPr="005968CD">
        <w:rPr>
          <w:szCs w:val="22"/>
        </w:rPr>
        <w:t>NPRM</w:t>
      </w:r>
      <w:r w:rsidRPr="005968CD">
        <w:rPr>
          <w:szCs w:val="22"/>
        </w:rPr>
        <w:t xml:space="preserve"> as set forth on the first page of this document, and have a separate and distinct heading designating them as responses to the IRFA.</w:t>
      </w:r>
    </w:p>
    <w:p w14:paraId="3924E6A3" w14:textId="77777777" w:rsidR="00B42A81" w:rsidRPr="005968CD" w:rsidRDefault="00B42A81" w:rsidP="00875034">
      <w:pPr>
        <w:pStyle w:val="Heading2"/>
        <w:tabs>
          <w:tab w:val="clear" w:pos="1440"/>
        </w:tabs>
        <w:ind w:left="0" w:firstLine="720"/>
        <w:rPr>
          <w:szCs w:val="22"/>
        </w:rPr>
      </w:pPr>
      <w:bookmarkStart w:id="303" w:name="_Toc386185633"/>
      <w:bookmarkStart w:id="304" w:name="_Toc386193588"/>
      <w:bookmarkStart w:id="305" w:name="_Toc386449424"/>
      <w:bookmarkStart w:id="306" w:name="_Toc390332850"/>
      <w:bookmarkStart w:id="307" w:name="_Toc403549501"/>
      <w:bookmarkStart w:id="308" w:name="_Toc410743440"/>
      <w:bookmarkStart w:id="309" w:name="_Toc415573221"/>
      <w:r w:rsidRPr="005968CD">
        <w:rPr>
          <w:szCs w:val="22"/>
        </w:rPr>
        <w:t>Paperwork Reduction Act Analysis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57B0CBE9" w14:textId="77777777" w:rsidR="00B42A81" w:rsidRPr="005968CD" w:rsidRDefault="00A50007" w:rsidP="00C46CCA">
      <w:pPr>
        <w:pStyle w:val="ParaNum"/>
        <w:widowControl/>
        <w:rPr>
          <w:szCs w:val="22"/>
        </w:rPr>
      </w:pPr>
      <w:r w:rsidRPr="005968CD">
        <w:rPr>
          <w:szCs w:val="22"/>
        </w:rPr>
        <w:t xml:space="preserve">This document contains proposed new information collection requirements.  The Commission, as part of its continuing effort to reduce paperwork burdens, invites the general public and </w:t>
      </w:r>
      <w:r w:rsidR="005968CD">
        <w:rPr>
          <w:szCs w:val="22"/>
        </w:rPr>
        <w:t>the Office of Management and Budget (</w:t>
      </w:r>
      <w:r w:rsidRPr="005968CD">
        <w:rPr>
          <w:szCs w:val="22"/>
        </w:rPr>
        <w:t>OMB</w:t>
      </w:r>
      <w:r w:rsidR="005968CD">
        <w:rPr>
          <w:szCs w:val="22"/>
        </w:rPr>
        <w:t>)</w:t>
      </w:r>
      <w:r w:rsidRPr="005968CD">
        <w:rPr>
          <w:szCs w:val="22"/>
        </w:rPr>
        <w:t xml:space="preserve"> to comment on the information collection requirements contained in this document, as required by </w:t>
      </w:r>
      <w:r w:rsidR="00992FBD" w:rsidRPr="005968CD">
        <w:rPr>
          <w:szCs w:val="22"/>
        </w:rPr>
        <w:t>Paperwork Reduction Act of 1995 (PRA), Public Law No. 104-13</w:t>
      </w:r>
      <w:r w:rsidRPr="005968CD">
        <w:rPr>
          <w:szCs w:val="22"/>
        </w:rPr>
        <w:t>.  In addition, pursuant to the Small Business Paperwork Relief Act of 2002,</w:t>
      </w:r>
      <w:r w:rsidRPr="005968CD">
        <w:rPr>
          <w:rStyle w:val="FootnoteReference"/>
          <w:sz w:val="22"/>
          <w:szCs w:val="22"/>
        </w:rPr>
        <w:footnoteReference w:id="106"/>
      </w:r>
      <w:r w:rsidRPr="005968CD">
        <w:rPr>
          <w:szCs w:val="22"/>
        </w:rPr>
        <w:t xml:space="preserve"> we seek specific comment on how we might “further reduce the information collection burden for small business concerns with fewer than 25 employees.”</w:t>
      </w:r>
      <w:r w:rsidR="00992FBD" w:rsidRPr="005968CD">
        <w:rPr>
          <w:rStyle w:val="FootnoteReference"/>
          <w:sz w:val="22"/>
          <w:szCs w:val="22"/>
        </w:rPr>
        <w:footnoteReference w:id="107"/>
      </w:r>
    </w:p>
    <w:p w14:paraId="348B9B89" w14:textId="77777777" w:rsidR="00810DCD" w:rsidRPr="005968CD" w:rsidRDefault="00810DCD" w:rsidP="00875034">
      <w:pPr>
        <w:pStyle w:val="Heading1"/>
        <w:widowControl/>
        <w:ind w:left="0" w:firstLine="720"/>
        <w:rPr>
          <w:rFonts w:ascii="Times New Roman" w:hAnsi="Times New Roman"/>
          <w:szCs w:val="22"/>
        </w:rPr>
      </w:pPr>
      <w:bookmarkStart w:id="310" w:name="_Toc225137864"/>
      <w:bookmarkStart w:id="311" w:name="_Toc225138566"/>
      <w:bookmarkStart w:id="312" w:name="_Toc225139756"/>
      <w:bookmarkStart w:id="313" w:name="_Toc225140004"/>
      <w:bookmarkStart w:id="314" w:name="_Toc225140100"/>
      <w:bookmarkStart w:id="315" w:name="_Toc225140844"/>
      <w:bookmarkStart w:id="316" w:name="_Toc225141035"/>
      <w:bookmarkStart w:id="317" w:name="_Toc225141196"/>
      <w:bookmarkStart w:id="318" w:name="_Toc225141472"/>
      <w:bookmarkStart w:id="319" w:name="_Toc311539023"/>
      <w:bookmarkStart w:id="320" w:name="_Toc315776393"/>
      <w:bookmarkStart w:id="321" w:name="_Toc384818470"/>
      <w:bookmarkStart w:id="322" w:name="_Toc385317629"/>
      <w:bookmarkStart w:id="323" w:name="_Toc385317685"/>
      <w:bookmarkStart w:id="324" w:name="_Toc385317706"/>
      <w:bookmarkStart w:id="325" w:name="_Toc386185634"/>
      <w:bookmarkStart w:id="326" w:name="_Toc386193589"/>
      <w:bookmarkStart w:id="327" w:name="_Toc386449425"/>
      <w:bookmarkStart w:id="328" w:name="_Toc390332851"/>
      <w:bookmarkStart w:id="329" w:name="_Toc403549502"/>
      <w:bookmarkStart w:id="330" w:name="_Toc410743441"/>
      <w:bookmarkStart w:id="331" w:name="_Toc415573222"/>
      <w:r w:rsidRPr="005968CD">
        <w:rPr>
          <w:rFonts w:ascii="Times New Roman" w:hAnsi="Times New Roman"/>
          <w:szCs w:val="22"/>
        </w:rPr>
        <w:t>ORDERING CLAUSES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6ADAB434" w14:textId="77777777" w:rsidR="001D20E3" w:rsidRPr="005968CD" w:rsidRDefault="00407566" w:rsidP="00C46CCA">
      <w:pPr>
        <w:pStyle w:val="ParaNum"/>
        <w:widowControl/>
        <w:rPr>
          <w:szCs w:val="22"/>
        </w:rPr>
      </w:pPr>
      <w:r w:rsidRPr="005968CD">
        <w:rPr>
          <w:szCs w:val="22"/>
        </w:rPr>
        <w:t xml:space="preserve">Accordingly, </w:t>
      </w:r>
      <w:r w:rsidR="000D7322" w:rsidRPr="005968CD">
        <w:rPr>
          <w:szCs w:val="22"/>
        </w:rPr>
        <w:t xml:space="preserve">we ADOPT, </w:t>
      </w:r>
      <w:r w:rsidRPr="005968CD">
        <w:rPr>
          <w:szCs w:val="22"/>
        </w:rPr>
        <w:t xml:space="preserve">pursuant to Sections 1, 4(i), 4(j), 303(r) and 332 of the Communications Act of 1934, 47 U.S.C. §§ 151, 154(i), 154(j), 303(r), 332, </w:t>
      </w:r>
      <w:r w:rsidR="005E1AF5" w:rsidRPr="005968CD">
        <w:rPr>
          <w:szCs w:val="22"/>
        </w:rPr>
        <w:t>th</w:t>
      </w:r>
      <w:r w:rsidR="004F6D4C" w:rsidRPr="005968CD">
        <w:rPr>
          <w:szCs w:val="22"/>
        </w:rPr>
        <w:t>is</w:t>
      </w:r>
      <w:r w:rsidR="005E1AF5" w:rsidRPr="005968CD">
        <w:rPr>
          <w:szCs w:val="22"/>
        </w:rPr>
        <w:t xml:space="preserve"> Notice of Proposed Rulemaking.</w:t>
      </w:r>
    </w:p>
    <w:p w14:paraId="63401C22" w14:textId="77777777" w:rsidR="001D20E3" w:rsidRPr="005968CD" w:rsidRDefault="004F6D4C" w:rsidP="00C46CCA">
      <w:pPr>
        <w:pStyle w:val="ParaNum"/>
        <w:widowControl/>
        <w:rPr>
          <w:szCs w:val="22"/>
        </w:rPr>
      </w:pPr>
      <w:r w:rsidRPr="005968CD">
        <w:rPr>
          <w:szCs w:val="22"/>
        </w:rPr>
        <w:t>We further</w:t>
      </w:r>
      <w:r w:rsidR="005E1AF5" w:rsidRPr="005968CD">
        <w:rPr>
          <w:szCs w:val="22"/>
        </w:rPr>
        <w:t xml:space="preserve"> ORDER that the Commission’s Consumer and Governmental Affairs Bureau, Reference Information Center, SHALL SEND a copy of this Notice of Proposed Rulemaking, including the Initial Regulatory Flexibility Analysis, to the Chief Counsel for Advocacy of the Small Business </w:t>
      </w:r>
      <w:r w:rsidR="00C336BC" w:rsidRPr="005968CD">
        <w:rPr>
          <w:szCs w:val="22"/>
        </w:rPr>
        <w:t>Administration</w:t>
      </w:r>
      <w:r w:rsidR="005E1AF5" w:rsidRPr="005968CD">
        <w:rPr>
          <w:szCs w:val="22"/>
        </w:rPr>
        <w:t>.</w:t>
      </w:r>
    </w:p>
    <w:p w14:paraId="2D843E43" w14:textId="77777777" w:rsidR="00407566" w:rsidRPr="005968CD" w:rsidRDefault="00407566" w:rsidP="00875034">
      <w:pPr>
        <w:ind w:firstLine="720"/>
        <w:rPr>
          <w:szCs w:val="22"/>
        </w:rPr>
      </w:pPr>
      <w:r w:rsidRPr="005968CD">
        <w:rPr>
          <w:szCs w:val="22"/>
        </w:rPr>
        <w:tab/>
      </w:r>
      <w:r w:rsidRPr="005968CD">
        <w:rPr>
          <w:szCs w:val="22"/>
        </w:rPr>
        <w:tab/>
      </w:r>
      <w:r w:rsidRPr="005968CD">
        <w:rPr>
          <w:szCs w:val="22"/>
        </w:rPr>
        <w:tab/>
      </w:r>
      <w:r w:rsidRPr="005968CD">
        <w:rPr>
          <w:szCs w:val="22"/>
        </w:rPr>
        <w:tab/>
      </w:r>
      <w:r w:rsidRPr="005968CD">
        <w:rPr>
          <w:szCs w:val="22"/>
        </w:rPr>
        <w:tab/>
        <w:t>FEDERAL COMMUNICATIONS COMMISSION</w:t>
      </w:r>
    </w:p>
    <w:p w14:paraId="4555581F" w14:textId="77777777" w:rsidR="00407566" w:rsidRPr="005968CD" w:rsidRDefault="00407566" w:rsidP="00875034">
      <w:pPr>
        <w:ind w:firstLine="720"/>
        <w:rPr>
          <w:szCs w:val="22"/>
        </w:rPr>
      </w:pPr>
    </w:p>
    <w:p w14:paraId="7622778C" w14:textId="77777777" w:rsidR="00407566" w:rsidRPr="005968CD" w:rsidRDefault="00407566" w:rsidP="00875034">
      <w:pPr>
        <w:ind w:firstLine="720"/>
        <w:rPr>
          <w:szCs w:val="22"/>
        </w:rPr>
      </w:pPr>
    </w:p>
    <w:p w14:paraId="23513158" w14:textId="77777777" w:rsidR="00407566" w:rsidRDefault="00407566" w:rsidP="00875034">
      <w:pPr>
        <w:ind w:firstLine="720"/>
        <w:rPr>
          <w:szCs w:val="22"/>
        </w:rPr>
      </w:pPr>
    </w:p>
    <w:p w14:paraId="71E23024" w14:textId="77777777" w:rsidR="00FB4F8D" w:rsidRPr="005968CD" w:rsidRDefault="00FB4F8D" w:rsidP="00875034">
      <w:pPr>
        <w:ind w:firstLine="720"/>
        <w:rPr>
          <w:szCs w:val="22"/>
        </w:rPr>
      </w:pPr>
    </w:p>
    <w:p w14:paraId="7CDEBDA1" w14:textId="77777777" w:rsidR="00407566" w:rsidRPr="005968CD" w:rsidRDefault="00407566" w:rsidP="00875034">
      <w:pPr>
        <w:ind w:firstLine="720"/>
        <w:rPr>
          <w:szCs w:val="22"/>
        </w:rPr>
      </w:pPr>
      <w:r w:rsidRPr="005968CD">
        <w:rPr>
          <w:szCs w:val="22"/>
        </w:rPr>
        <w:tab/>
      </w:r>
      <w:r w:rsidRPr="005968CD">
        <w:rPr>
          <w:szCs w:val="22"/>
        </w:rPr>
        <w:tab/>
      </w:r>
      <w:r w:rsidRPr="005968CD">
        <w:rPr>
          <w:szCs w:val="22"/>
        </w:rPr>
        <w:tab/>
      </w:r>
      <w:r w:rsidRPr="005968CD">
        <w:rPr>
          <w:szCs w:val="22"/>
        </w:rPr>
        <w:tab/>
      </w:r>
      <w:r w:rsidRPr="005968CD">
        <w:rPr>
          <w:szCs w:val="22"/>
        </w:rPr>
        <w:tab/>
        <w:t>Marlene H. Dortch</w:t>
      </w:r>
    </w:p>
    <w:p w14:paraId="3D47D877" w14:textId="14E8CAF5" w:rsidR="00DC30A3" w:rsidRPr="00DC30A3" w:rsidRDefault="00407566" w:rsidP="00DC30A3">
      <w:pPr>
        <w:ind w:left="3600" w:firstLine="720"/>
        <w:rPr>
          <w:szCs w:val="22"/>
        </w:rPr>
        <w:sectPr w:rsidR="00DC30A3" w:rsidRPr="00DC30A3" w:rsidSect="00AA5AE2">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rsidRPr="005968CD">
        <w:rPr>
          <w:szCs w:val="22"/>
        </w:rPr>
        <w:t xml:space="preserve">Secretary </w:t>
      </w:r>
    </w:p>
    <w:p w14:paraId="5855C50B" w14:textId="77777777" w:rsidR="00DC30A3" w:rsidRPr="005968CD" w:rsidRDefault="00DC30A3" w:rsidP="00DC30A3">
      <w:pPr>
        <w:widowControl/>
        <w:jc w:val="center"/>
        <w:rPr>
          <w:szCs w:val="22"/>
        </w:rPr>
      </w:pPr>
      <w:r w:rsidRPr="005968CD">
        <w:rPr>
          <w:b/>
          <w:szCs w:val="22"/>
        </w:rPr>
        <w:t>APPENDIX A</w:t>
      </w:r>
    </w:p>
    <w:p w14:paraId="6D7517E0" w14:textId="77777777" w:rsidR="00DC30A3" w:rsidRPr="005968CD" w:rsidRDefault="00DC30A3" w:rsidP="00DC30A3">
      <w:pPr>
        <w:jc w:val="center"/>
        <w:rPr>
          <w:szCs w:val="22"/>
        </w:rPr>
      </w:pPr>
    </w:p>
    <w:p w14:paraId="4021E742" w14:textId="77777777" w:rsidR="00DC30A3" w:rsidRPr="005968CD" w:rsidRDefault="00DC30A3" w:rsidP="00DC30A3">
      <w:pPr>
        <w:jc w:val="center"/>
        <w:rPr>
          <w:b/>
          <w:szCs w:val="22"/>
        </w:rPr>
      </w:pPr>
      <w:r w:rsidRPr="005968CD">
        <w:rPr>
          <w:b/>
          <w:szCs w:val="22"/>
        </w:rPr>
        <w:t>List of Comments and Reply Comments</w:t>
      </w:r>
    </w:p>
    <w:p w14:paraId="6FB1A49E" w14:textId="77777777" w:rsidR="00DC30A3" w:rsidRPr="005968CD" w:rsidRDefault="00DC30A3" w:rsidP="00DC30A3">
      <w:pPr>
        <w:rPr>
          <w:szCs w:val="22"/>
        </w:rPr>
      </w:pPr>
    </w:p>
    <w:p w14:paraId="0D0532D8" w14:textId="77777777" w:rsidR="00DC30A3" w:rsidRPr="005968CD" w:rsidRDefault="00DC30A3" w:rsidP="00DC30A3">
      <w:pPr>
        <w:rPr>
          <w:szCs w:val="22"/>
        </w:rPr>
      </w:pPr>
      <w:r w:rsidRPr="005968CD">
        <w:rPr>
          <w:szCs w:val="22"/>
          <w:u w:val="single"/>
        </w:rPr>
        <w:t>Commenter</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u w:val="single"/>
        </w:rPr>
        <w:t>Abbreviation</w:t>
      </w:r>
    </w:p>
    <w:p w14:paraId="1B7C3C3F" w14:textId="77777777" w:rsidR="00DC30A3" w:rsidRPr="005968CD" w:rsidRDefault="00DC30A3" w:rsidP="00DC30A3">
      <w:pPr>
        <w:jc w:val="center"/>
        <w:rPr>
          <w:b/>
          <w:szCs w:val="22"/>
        </w:rPr>
      </w:pPr>
      <w:r w:rsidRPr="005968CD">
        <w:rPr>
          <w:b/>
          <w:szCs w:val="22"/>
        </w:rPr>
        <w:t>Notice of Inquiry</w:t>
      </w:r>
      <w:r>
        <w:rPr>
          <w:b/>
          <w:szCs w:val="22"/>
        </w:rPr>
        <w:t xml:space="preserve"> – </w:t>
      </w:r>
      <w:r w:rsidRPr="005968CD">
        <w:rPr>
          <w:b/>
          <w:szCs w:val="22"/>
        </w:rPr>
        <w:t>Comments</w:t>
      </w:r>
      <w:r>
        <w:rPr>
          <w:b/>
          <w:szCs w:val="22"/>
        </w:rPr>
        <w:t xml:space="preserve"> </w:t>
      </w:r>
    </w:p>
    <w:p w14:paraId="08200413" w14:textId="77777777" w:rsidR="00DC30A3" w:rsidRPr="005968CD" w:rsidRDefault="00DC30A3" w:rsidP="00DC30A3">
      <w:pPr>
        <w:rPr>
          <w:szCs w:val="22"/>
        </w:rPr>
      </w:pPr>
    </w:p>
    <w:p w14:paraId="4F48EF72" w14:textId="77777777" w:rsidR="00DC30A3" w:rsidRPr="005968CD" w:rsidRDefault="00DC30A3" w:rsidP="00DC30A3">
      <w:pPr>
        <w:rPr>
          <w:szCs w:val="22"/>
        </w:rPr>
      </w:pPr>
      <w:r w:rsidRPr="005968CD">
        <w:rPr>
          <w:szCs w:val="22"/>
        </w:rPr>
        <w:t>Amelia County, Virginia, Sheriff</w:t>
      </w:r>
      <w:r w:rsidRPr="005968CD">
        <w:rPr>
          <w:szCs w:val="22"/>
        </w:rPr>
        <w:tab/>
      </w:r>
      <w:r w:rsidRPr="005968CD">
        <w:rPr>
          <w:szCs w:val="22"/>
        </w:rPr>
        <w:tab/>
      </w:r>
      <w:r w:rsidRPr="005968CD">
        <w:rPr>
          <w:szCs w:val="22"/>
        </w:rPr>
        <w:tab/>
      </w:r>
      <w:r w:rsidRPr="005968CD">
        <w:rPr>
          <w:szCs w:val="22"/>
        </w:rPr>
        <w:tab/>
      </w:r>
      <w:r w:rsidRPr="005968CD">
        <w:rPr>
          <w:szCs w:val="22"/>
        </w:rPr>
        <w:tab/>
        <w:t>Amelia County</w:t>
      </w:r>
    </w:p>
    <w:p w14:paraId="3C16B823" w14:textId="77777777" w:rsidR="00DC30A3" w:rsidRPr="005968CD" w:rsidRDefault="00DC30A3" w:rsidP="00DC30A3">
      <w:pPr>
        <w:rPr>
          <w:szCs w:val="22"/>
        </w:rPr>
      </w:pPr>
      <w:r w:rsidRPr="005968CD">
        <w:rPr>
          <w:szCs w:val="22"/>
        </w:rPr>
        <w:t>American Roaming Network</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ARN</w:t>
      </w:r>
    </w:p>
    <w:p w14:paraId="4EA2FABE" w14:textId="77777777" w:rsidR="00DC30A3" w:rsidRPr="005968CD" w:rsidRDefault="00DC30A3" w:rsidP="00DC30A3">
      <w:pPr>
        <w:rPr>
          <w:szCs w:val="22"/>
        </w:rPr>
      </w:pPr>
      <w:r w:rsidRPr="005968CD">
        <w:rPr>
          <w:szCs w:val="22"/>
        </w:rPr>
        <w:t>AT&amp;T, Inc.</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AT&amp;T</w:t>
      </w:r>
    </w:p>
    <w:p w14:paraId="5D7A37AB" w14:textId="77777777" w:rsidR="00DC30A3" w:rsidRPr="005968CD" w:rsidRDefault="00DC30A3" w:rsidP="00DC30A3">
      <w:pPr>
        <w:rPr>
          <w:szCs w:val="22"/>
        </w:rPr>
      </w:pPr>
      <w:r w:rsidRPr="005968CD">
        <w:rPr>
          <w:szCs w:val="22"/>
        </w:rPr>
        <w:t>California Department of General Services</w:t>
      </w:r>
      <w:r w:rsidRPr="005968CD">
        <w:rPr>
          <w:szCs w:val="22"/>
        </w:rPr>
        <w:tab/>
      </w:r>
      <w:r w:rsidRPr="005968CD">
        <w:rPr>
          <w:szCs w:val="22"/>
        </w:rPr>
        <w:tab/>
      </w:r>
      <w:r w:rsidRPr="005968CD">
        <w:rPr>
          <w:szCs w:val="22"/>
        </w:rPr>
        <w:tab/>
      </w:r>
      <w:r w:rsidRPr="005968CD">
        <w:rPr>
          <w:szCs w:val="22"/>
        </w:rPr>
        <w:tab/>
        <w:t>California</w:t>
      </w:r>
    </w:p>
    <w:p w14:paraId="34B6837F" w14:textId="77777777" w:rsidR="00DC30A3" w:rsidRPr="005968CD" w:rsidRDefault="00DC30A3" w:rsidP="00DC30A3">
      <w:pPr>
        <w:rPr>
          <w:szCs w:val="22"/>
        </w:rPr>
      </w:pPr>
      <w:r w:rsidRPr="005968CD">
        <w:rPr>
          <w:szCs w:val="22"/>
        </w:rPr>
        <w:t>Clinton County, Illinois ETSB (Skain)</w:t>
      </w:r>
      <w:r w:rsidRPr="005968CD">
        <w:rPr>
          <w:szCs w:val="22"/>
        </w:rPr>
        <w:tab/>
      </w:r>
      <w:r w:rsidRPr="005968CD">
        <w:rPr>
          <w:szCs w:val="22"/>
        </w:rPr>
        <w:tab/>
      </w:r>
      <w:r w:rsidRPr="005968CD">
        <w:rPr>
          <w:szCs w:val="22"/>
        </w:rPr>
        <w:tab/>
      </w:r>
      <w:r w:rsidRPr="005968CD">
        <w:rPr>
          <w:szCs w:val="22"/>
        </w:rPr>
        <w:tab/>
      </w:r>
      <w:r w:rsidRPr="005968CD">
        <w:rPr>
          <w:szCs w:val="22"/>
        </w:rPr>
        <w:tab/>
        <w:t>Clinton County</w:t>
      </w:r>
    </w:p>
    <w:p w14:paraId="58DF79F3" w14:textId="77777777" w:rsidR="00DC30A3" w:rsidRPr="005968CD" w:rsidRDefault="00DC30A3" w:rsidP="00DC30A3">
      <w:pPr>
        <w:rPr>
          <w:szCs w:val="22"/>
        </w:rPr>
      </w:pPr>
      <w:r w:rsidRPr="005968CD">
        <w:rPr>
          <w:szCs w:val="22"/>
        </w:rPr>
        <w:t>Connecticut Enhanced 9-1-1 Commission</w:t>
      </w:r>
      <w:r w:rsidRPr="005968CD">
        <w:rPr>
          <w:szCs w:val="22"/>
        </w:rPr>
        <w:tab/>
      </w:r>
      <w:r w:rsidRPr="005968CD">
        <w:rPr>
          <w:szCs w:val="22"/>
        </w:rPr>
        <w:tab/>
      </w:r>
      <w:r w:rsidRPr="005968CD">
        <w:rPr>
          <w:szCs w:val="22"/>
        </w:rPr>
        <w:tab/>
      </w:r>
      <w:r w:rsidRPr="005968CD">
        <w:rPr>
          <w:szCs w:val="22"/>
        </w:rPr>
        <w:tab/>
        <w:t>Connecticut</w:t>
      </w:r>
    </w:p>
    <w:p w14:paraId="10563ED0" w14:textId="77777777" w:rsidR="00DC30A3" w:rsidRPr="005968CD" w:rsidRDefault="00DC30A3" w:rsidP="00DC30A3">
      <w:pPr>
        <w:rPr>
          <w:szCs w:val="22"/>
        </w:rPr>
      </w:pPr>
      <w:r w:rsidRPr="005968CD">
        <w:rPr>
          <w:szCs w:val="22"/>
        </w:rPr>
        <w:t>CTIA – The Wireless Association</w:t>
      </w:r>
      <w:r w:rsidRPr="005968CD">
        <w:rPr>
          <w:szCs w:val="22"/>
        </w:rPr>
        <w:tab/>
      </w:r>
      <w:r w:rsidRPr="005968CD">
        <w:rPr>
          <w:szCs w:val="22"/>
        </w:rPr>
        <w:tab/>
      </w:r>
      <w:r w:rsidRPr="005968CD">
        <w:rPr>
          <w:szCs w:val="22"/>
        </w:rPr>
        <w:tab/>
      </w:r>
      <w:r w:rsidRPr="005968CD">
        <w:rPr>
          <w:szCs w:val="22"/>
        </w:rPr>
        <w:tab/>
      </w:r>
      <w:r w:rsidRPr="005968CD">
        <w:rPr>
          <w:szCs w:val="22"/>
        </w:rPr>
        <w:tab/>
        <w:t>CTIA</w:t>
      </w:r>
    </w:p>
    <w:p w14:paraId="57B47BBE" w14:textId="77777777" w:rsidR="00DC30A3" w:rsidRPr="005968CD" w:rsidRDefault="00DC30A3" w:rsidP="00DC30A3">
      <w:pPr>
        <w:rPr>
          <w:szCs w:val="22"/>
        </w:rPr>
      </w:pPr>
      <w:r w:rsidRPr="005968CD">
        <w:rPr>
          <w:szCs w:val="22"/>
        </w:rPr>
        <w:t>Adams County E911 (Fode)</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Adams County</w:t>
      </w:r>
    </w:p>
    <w:p w14:paraId="41FBFB1E" w14:textId="77777777" w:rsidR="00DC30A3" w:rsidRPr="005968CD" w:rsidRDefault="00DC30A3" w:rsidP="00DC30A3">
      <w:pPr>
        <w:rPr>
          <w:szCs w:val="22"/>
        </w:rPr>
      </w:pPr>
      <w:r w:rsidRPr="005968CD">
        <w:rPr>
          <w:szCs w:val="22"/>
        </w:rPr>
        <w:t>Hamilton County, Ohio</w:t>
      </w:r>
      <w:r w:rsidRPr="005968CD">
        <w:rPr>
          <w:szCs w:val="22"/>
        </w:rPr>
        <w:tab/>
        <w:t>(Wenz)</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Hamilton County</w:t>
      </w:r>
    </w:p>
    <w:p w14:paraId="7ADD9898" w14:textId="77777777" w:rsidR="00DC30A3" w:rsidRPr="005968CD" w:rsidRDefault="00DC30A3" w:rsidP="00DC30A3">
      <w:pPr>
        <w:rPr>
          <w:szCs w:val="22"/>
        </w:rPr>
      </w:pPr>
      <w:r w:rsidRPr="005968CD">
        <w:rPr>
          <w:szCs w:val="22"/>
        </w:rPr>
        <w:t>Indiana Wireless 911 Advisory Board</w:t>
      </w:r>
      <w:r w:rsidRPr="005968CD">
        <w:rPr>
          <w:szCs w:val="22"/>
        </w:rPr>
        <w:tab/>
      </w:r>
      <w:r w:rsidRPr="005968CD">
        <w:rPr>
          <w:szCs w:val="22"/>
        </w:rPr>
        <w:tab/>
      </w:r>
      <w:r w:rsidRPr="005968CD">
        <w:rPr>
          <w:szCs w:val="22"/>
        </w:rPr>
        <w:tab/>
      </w:r>
      <w:r w:rsidRPr="005968CD">
        <w:rPr>
          <w:szCs w:val="22"/>
        </w:rPr>
        <w:tab/>
      </w:r>
      <w:r w:rsidRPr="005968CD">
        <w:rPr>
          <w:szCs w:val="22"/>
        </w:rPr>
        <w:tab/>
        <w:t>Indiana</w:t>
      </w:r>
    </w:p>
    <w:p w14:paraId="2233F23C" w14:textId="77777777" w:rsidR="00DC30A3" w:rsidRPr="005968CD" w:rsidRDefault="00DC30A3" w:rsidP="00DC30A3">
      <w:pPr>
        <w:rPr>
          <w:szCs w:val="22"/>
        </w:rPr>
      </w:pPr>
      <w:r w:rsidRPr="005968CD">
        <w:rPr>
          <w:szCs w:val="22"/>
        </w:rPr>
        <w:t>Indigital Telecom</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Indigital</w:t>
      </w:r>
    </w:p>
    <w:p w14:paraId="3DE0BABE" w14:textId="77777777" w:rsidR="00DC30A3" w:rsidRPr="005968CD" w:rsidRDefault="00DC30A3" w:rsidP="00DC30A3">
      <w:pPr>
        <w:rPr>
          <w:szCs w:val="22"/>
        </w:rPr>
      </w:pPr>
      <w:r w:rsidRPr="005968CD">
        <w:rPr>
          <w:szCs w:val="22"/>
        </w:rPr>
        <w:t>Intrado, Inc.</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Intrado</w:t>
      </w:r>
    </w:p>
    <w:p w14:paraId="7168E7C8" w14:textId="77777777" w:rsidR="00DC30A3" w:rsidRPr="005968CD" w:rsidRDefault="00DC30A3" w:rsidP="00DC30A3">
      <w:pPr>
        <w:rPr>
          <w:szCs w:val="22"/>
        </w:rPr>
      </w:pPr>
      <w:r w:rsidRPr="005968CD">
        <w:rPr>
          <w:szCs w:val="22"/>
        </w:rPr>
        <w:t>Kentucky Office of the 911 Coordinator</w:t>
      </w:r>
      <w:r w:rsidRPr="005968CD">
        <w:rPr>
          <w:szCs w:val="22"/>
        </w:rPr>
        <w:tab/>
      </w:r>
      <w:r w:rsidRPr="005968CD">
        <w:rPr>
          <w:szCs w:val="22"/>
        </w:rPr>
        <w:tab/>
      </w:r>
      <w:r w:rsidRPr="005968CD">
        <w:rPr>
          <w:szCs w:val="22"/>
        </w:rPr>
        <w:tab/>
      </w:r>
      <w:r w:rsidRPr="005968CD">
        <w:rPr>
          <w:szCs w:val="22"/>
        </w:rPr>
        <w:tab/>
      </w:r>
      <w:r w:rsidRPr="005968CD">
        <w:rPr>
          <w:szCs w:val="22"/>
        </w:rPr>
        <w:tab/>
        <w:t>Kentucky</w:t>
      </w:r>
    </w:p>
    <w:p w14:paraId="6090DEE9" w14:textId="77777777" w:rsidR="00DC30A3" w:rsidRPr="005968CD" w:rsidRDefault="00DC30A3" w:rsidP="00DC30A3">
      <w:pPr>
        <w:rPr>
          <w:szCs w:val="22"/>
        </w:rPr>
      </w:pPr>
      <w:r w:rsidRPr="005968CD">
        <w:rPr>
          <w:szCs w:val="22"/>
        </w:rPr>
        <w:t>King County, Washington, E911 Program (Davis)</w:t>
      </w:r>
      <w:r w:rsidRPr="005968CD">
        <w:rPr>
          <w:szCs w:val="22"/>
        </w:rPr>
        <w:tab/>
      </w:r>
      <w:r w:rsidRPr="005968CD">
        <w:rPr>
          <w:szCs w:val="22"/>
        </w:rPr>
        <w:tab/>
      </w:r>
      <w:r w:rsidRPr="005968CD">
        <w:rPr>
          <w:szCs w:val="22"/>
        </w:rPr>
        <w:tab/>
        <w:t>King County</w:t>
      </w:r>
    </w:p>
    <w:p w14:paraId="30C48935" w14:textId="77777777" w:rsidR="00DC30A3" w:rsidRPr="005968CD" w:rsidRDefault="00DC30A3" w:rsidP="00DC30A3">
      <w:pPr>
        <w:rPr>
          <w:szCs w:val="22"/>
        </w:rPr>
      </w:pPr>
      <w:r w:rsidRPr="005968CD">
        <w:rPr>
          <w:szCs w:val="22"/>
        </w:rPr>
        <w:t>Laredo, Texas, City of</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Laredo</w:t>
      </w:r>
    </w:p>
    <w:p w14:paraId="7ED073B1" w14:textId="77777777" w:rsidR="00DC30A3" w:rsidRPr="005968CD" w:rsidRDefault="00DC30A3" w:rsidP="00DC30A3">
      <w:pPr>
        <w:rPr>
          <w:szCs w:val="22"/>
        </w:rPr>
      </w:pPr>
      <w:r w:rsidRPr="005968CD">
        <w:rPr>
          <w:szCs w:val="22"/>
        </w:rPr>
        <w:t>Livingston County, New York, Sheriff</w:t>
      </w:r>
      <w:r w:rsidRPr="005968CD">
        <w:rPr>
          <w:szCs w:val="22"/>
        </w:rPr>
        <w:tab/>
      </w:r>
      <w:r w:rsidRPr="005968CD">
        <w:rPr>
          <w:szCs w:val="22"/>
        </w:rPr>
        <w:tab/>
      </w:r>
      <w:r w:rsidRPr="005968CD">
        <w:rPr>
          <w:szCs w:val="22"/>
        </w:rPr>
        <w:tab/>
      </w:r>
      <w:r w:rsidRPr="005968CD">
        <w:rPr>
          <w:szCs w:val="22"/>
        </w:rPr>
        <w:tab/>
      </w:r>
      <w:r w:rsidRPr="005968CD">
        <w:rPr>
          <w:szCs w:val="22"/>
        </w:rPr>
        <w:tab/>
        <w:t>Livingston County</w:t>
      </w:r>
    </w:p>
    <w:p w14:paraId="1DF34B68" w14:textId="77777777" w:rsidR="00DC30A3" w:rsidRPr="005968CD" w:rsidRDefault="00DC30A3" w:rsidP="00DC30A3">
      <w:pPr>
        <w:rPr>
          <w:szCs w:val="22"/>
        </w:rPr>
      </w:pPr>
      <w:r w:rsidRPr="005968CD">
        <w:rPr>
          <w:szCs w:val="22"/>
        </w:rPr>
        <w:t>Mahn, Michael, Esq.</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Mahn</w:t>
      </w:r>
    </w:p>
    <w:p w14:paraId="19A0A33C" w14:textId="77777777" w:rsidR="00DC30A3" w:rsidRPr="005968CD" w:rsidRDefault="00DC30A3" w:rsidP="00DC30A3">
      <w:pPr>
        <w:rPr>
          <w:szCs w:val="22"/>
        </w:rPr>
      </w:pPr>
      <w:r w:rsidRPr="005968CD">
        <w:rPr>
          <w:szCs w:val="22"/>
        </w:rPr>
        <w:t>Maine Dept. of Public Safety</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Maine</w:t>
      </w:r>
    </w:p>
    <w:p w14:paraId="42A2EF17" w14:textId="77777777" w:rsidR="00DC30A3" w:rsidRPr="005968CD" w:rsidRDefault="00DC30A3" w:rsidP="00DC30A3">
      <w:pPr>
        <w:rPr>
          <w:szCs w:val="22"/>
        </w:rPr>
      </w:pPr>
      <w:r w:rsidRPr="005968CD">
        <w:rPr>
          <w:szCs w:val="22"/>
        </w:rPr>
        <w:t>Maryland Emergency Number Systems Board</w:t>
      </w:r>
      <w:r w:rsidRPr="005968CD">
        <w:rPr>
          <w:szCs w:val="22"/>
        </w:rPr>
        <w:tab/>
      </w:r>
      <w:r w:rsidRPr="005968CD">
        <w:rPr>
          <w:szCs w:val="22"/>
        </w:rPr>
        <w:tab/>
      </w:r>
      <w:r w:rsidRPr="005968CD">
        <w:rPr>
          <w:szCs w:val="22"/>
        </w:rPr>
        <w:tab/>
      </w:r>
      <w:r w:rsidRPr="005968CD">
        <w:rPr>
          <w:szCs w:val="22"/>
        </w:rPr>
        <w:tab/>
        <w:t>Maryland</w:t>
      </w:r>
    </w:p>
    <w:p w14:paraId="7FBB2B54" w14:textId="77777777" w:rsidR="00DC30A3" w:rsidRPr="005968CD" w:rsidRDefault="00DC30A3" w:rsidP="00DC30A3">
      <w:pPr>
        <w:rPr>
          <w:szCs w:val="22"/>
        </w:rPr>
      </w:pPr>
      <w:r w:rsidRPr="005968CD">
        <w:rPr>
          <w:szCs w:val="22"/>
        </w:rPr>
        <w:t>National Association of Telecommunications Officers and Advisors</w:t>
      </w:r>
      <w:r w:rsidRPr="005968CD">
        <w:rPr>
          <w:szCs w:val="22"/>
        </w:rPr>
        <w:tab/>
        <w:t>NATOA</w:t>
      </w:r>
    </w:p>
    <w:p w14:paraId="4A7A3DE3" w14:textId="77777777" w:rsidR="00DC30A3" w:rsidRPr="005968CD" w:rsidRDefault="00DC30A3" w:rsidP="00DC30A3">
      <w:pPr>
        <w:rPr>
          <w:szCs w:val="22"/>
        </w:rPr>
      </w:pPr>
      <w:r w:rsidRPr="005968CD">
        <w:rPr>
          <w:szCs w:val="22"/>
        </w:rPr>
        <w:t xml:space="preserve">North Carolina 911 Board </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North Carolina</w:t>
      </w:r>
    </w:p>
    <w:p w14:paraId="4EA4F76B" w14:textId="77777777" w:rsidR="00DC30A3" w:rsidRPr="005968CD" w:rsidRDefault="00DC30A3" w:rsidP="00DC30A3">
      <w:pPr>
        <w:rPr>
          <w:szCs w:val="22"/>
        </w:rPr>
      </w:pPr>
      <w:r w:rsidRPr="005968CD">
        <w:rPr>
          <w:szCs w:val="22"/>
        </w:rPr>
        <w:t>Putnam County, Tennessee, 9-1-1 Center</w:t>
      </w:r>
      <w:r w:rsidRPr="005968CD">
        <w:rPr>
          <w:szCs w:val="22"/>
        </w:rPr>
        <w:tab/>
      </w:r>
      <w:r w:rsidRPr="005968CD">
        <w:rPr>
          <w:szCs w:val="22"/>
        </w:rPr>
        <w:tab/>
      </w:r>
      <w:r w:rsidRPr="005968CD">
        <w:rPr>
          <w:szCs w:val="22"/>
        </w:rPr>
        <w:tab/>
      </w:r>
      <w:r w:rsidRPr="005968CD">
        <w:rPr>
          <w:szCs w:val="22"/>
        </w:rPr>
        <w:tab/>
        <w:t>Putnam County</w:t>
      </w:r>
      <w:r w:rsidRPr="005968CD">
        <w:rPr>
          <w:szCs w:val="22"/>
        </w:rPr>
        <w:tab/>
      </w:r>
    </w:p>
    <w:p w14:paraId="29B4A86D" w14:textId="77777777" w:rsidR="00DC30A3" w:rsidRPr="005968CD" w:rsidRDefault="00DC30A3" w:rsidP="00DC30A3">
      <w:pPr>
        <w:rPr>
          <w:szCs w:val="22"/>
        </w:rPr>
      </w:pPr>
      <w:r w:rsidRPr="005968CD">
        <w:rPr>
          <w:szCs w:val="22"/>
        </w:rPr>
        <w:t>Shelby County, Tennessee, 9-1-1 District (Chiozza)</w:t>
      </w:r>
      <w:r w:rsidRPr="005968CD">
        <w:rPr>
          <w:szCs w:val="22"/>
        </w:rPr>
        <w:tab/>
      </w:r>
      <w:r w:rsidRPr="005968CD">
        <w:rPr>
          <w:szCs w:val="22"/>
        </w:rPr>
        <w:tab/>
      </w:r>
      <w:r w:rsidRPr="005968CD">
        <w:rPr>
          <w:szCs w:val="22"/>
        </w:rPr>
        <w:tab/>
        <w:t>Shelby County</w:t>
      </w:r>
    </w:p>
    <w:p w14:paraId="12AE2E4C" w14:textId="77777777" w:rsidR="00DC30A3" w:rsidRPr="005968CD" w:rsidRDefault="00DC30A3" w:rsidP="00DC30A3">
      <w:pPr>
        <w:rPr>
          <w:szCs w:val="22"/>
        </w:rPr>
      </w:pPr>
      <w:r w:rsidRPr="005968CD">
        <w:rPr>
          <w:szCs w:val="22"/>
        </w:rPr>
        <w:t>Spokane County, Washington, 911 (McCormick)</w:t>
      </w:r>
      <w:r w:rsidRPr="005968CD">
        <w:rPr>
          <w:szCs w:val="22"/>
        </w:rPr>
        <w:tab/>
      </w:r>
      <w:r w:rsidRPr="005968CD">
        <w:rPr>
          <w:szCs w:val="22"/>
        </w:rPr>
        <w:tab/>
      </w:r>
      <w:r w:rsidRPr="005968CD">
        <w:rPr>
          <w:szCs w:val="22"/>
        </w:rPr>
        <w:tab/>
        <w:t>Spokane County</w:t>
      </w:r>
    </w:p>
    <w:p w14:paraId="3F32E523" w14:textId="77777777" w:rsidR="00DC30A3" w:rsidRPr="005968CD" w:rsidRDefault="00DC30A3" w:rsidP="00DC30A3">
      <w:pPr>
        <w:rPr>
          <w:szCs w:val="22"/>
        </w:rPr>
      </w:pPr>
      <w:r w:rsidRPr="005968CD">
        <w:rPr>
          <w:szCs w:val="22"/>
        </w:rPr>
        <w:t xml:space="preserve">Stop Accidental Cell Calls </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SACC</w:t>
      </w:r>
    </w:p>
    <w:p w14:paraId="1E8D4D27" w14:textId="77777777" w:rsidR="00DC30A3" w:rsidRPr="005968CD" w:rsidRDefault="00DC30A3" w:rsidP="00DC30A3">
      <w:pPr>
        <w:rPr>
          <w:szCs w:val="22"/>
        </w:rPr>
      </w:pPr>
      <w:r w:rsidRPr="005968CD">
        <w:rPr>
          <w:szCs w:val="22"/>
        </w:rPr>
        <w:t>TeleCommunication Systems, Inc.</w:t>
      </w:r>
      <w:r w:rsidRPr="005968CD">
        <w:rPr>
          <w:szCs w:val="22"/>
        </w:rPr>
        <w:tab/>
      </w:r>
      <w:r w:rsidRPr="005968CD">
        <w:rPr>
          <w:szCs w:val="22"/>
        </w:rPr>
        <w:tab/>
      </w:r>
      <w:r w:rsidRPr="005968CD">
        <w:rPr>
          <w:szCs w:val="22"/>
        </w:rPr>
        <w:tab/>
      </w:r>
      <w:r w:rsidRPr="005968CD">
        <w:rPr>
          <w:szCs w:val="22"/>
        </w:rPr>
        <w:tab/>
      </w:r>
      <w:r w:rsidRPr="005968CD">
        <w:rPr>
          <w:szCs w:val="22"/>
        </w:rPr>
        <w:tab/>
        <w:t>TCS</w:t>
      </w:r>
    </w:p>
    <w:p w14:paraId="2DD5980D" w14:textId="77777777" w:rsidR="00DC30A3" w:rsidRPr="005968CD" w:rsidRDefault="00DC30A3" w:rsidP="00DC30A3">
      <w:pPr>
        <w:rPr>
          <w:szCs w:val="22"/>
        </w:rPr>
      </w:pPr>
      <w:r w:rsidRPr="005968CD">
        <w:rPr>
          <w:szCs w:val="22"/>
        </w:rPr>
        <w:t>Texas 9-1-1 Alliance</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Texas Alliance</w:t>
      </w:r>
    </w:p>
    <w:p w14:paraId="7636FE1D" w14:textId="77777777" w:rsidR="00DC30A3" w:rsidRPr="005968CD" w:rsidRDefault="00DC30A3" w:rsidP="00DC30A3">
      <w:pPr>
        <w:rPr>
          <w:szCs w:val="22"/>
          <w:lang w:val="sv-SE"/>
        </w:rPr>
      </w:pPr>
      <w:r w:rsidRPr="005968CD">
        <w:rPr>
          <w:szCs w:val="22"/>
          <w:lang w:val="sv-SE"/>
        </w:rPr>
        <w:t>Tillman, Michael</w:t>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t>Tillman</w:t>
      </w:r>
    </w:p>
    <w:p w14:paraId="36BFA51B" w14:textId="77777777" w:rsidR="00DC30A3" w:rsidRPr="005968CD" w:rsidRDefault="00DC30A3" w:rsidP="00DC30A3">
      <w:pPr>
        <w:rPr>
          <w:szCs w:val="22"/>
        </w:rPr>
      </w:pPr>
      <w:r w:rsidRPr="005968CD">
        <w:rPr>
          <w:szCs w:val="22"/>
          <w:lang w:val="sv-SE"/>
        </w:rPr>
        <w:t>T-Mobile USA, Inc.</w:t>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lang w:val="sv-SE"/>
        </w:rPr>
        <w:tab/>
      </w:r>
      <w:r w:rsidRPr="005968CD">
        <w:rPr>
          <w:szCs w:val="22"/>
        </w:rPr>
        <w:t>T-Mobile</w:t>
      </w:r>
    </w:p>
    <w:p w14:paraId="712DDF56" w14:textId="77777777" w:rsidR="00DC30A3" w:rsidRPr="005968CD" w:rsidRDefault="00DC30A3" w:rsidP="00DC30A3">
      <w:pPr>
        <w:rPr>
          <w:szCs w:val="22"/>
        </w:rPr>
      </w:pPr>
      <w:r w:rsidRPr="005968CD">
        <w:rPr>
          <w:szCs w:val="22"/>
        </w:rPr>
        <w:t>Washington State E911 Administrator</w:t>
      </w:r>
      <w:r w:rsidRPr="005968CD">
        <w:rPr>
          <w:szCs w:val="22"/>
        </w:rPr>
        <w:tab/>
      </w:r>
      <w:r w:rsidRPr="005968CD">
        <w:rPr>
          <w:szCs w:val="22"/>
        </w:rPr>
        <w:tab/>
      </w:r>
      <w:r w:rsidRPr="005968CD">
        <w:rPr>
          <w:szCs w:val="22"/>
        </w:rPr>
        <w:tab/>
      </w:r>
      <w:r w:rsidRPr="005968CD">
        <w:rPr>
          <w:szCs w:val="22"/>
        </w:rPr>
        <w:tab/>
      </w:r>
      <w:r w:rsidRPr="005968CD">
        <w:rPr>
          <w:szCs w:val="22"/>
        </w:rPr>
        <w:tab/>
        <w:t>Washington</w:t>
      </w:r>
    </w:p>
    <w:p w14:paraId="07DDE0FA" w14:textId="77777777" w:rsidR="00DC30A3" w:rsidRPr="005968CD" w:rsidRDefault="00DC30A3" w:rsidP="00DC30A3">
      <w:pPr>
        <w:rPr>
          <w:szCs w:val="22"/>
        </w:rPr>
      </w:pPr>
      <w:r w:rsidRPr="005968CD">
        <w:rPr>
          <w:szCs w:val="22"/>
        </w:rPr>
        <w:t>Waukesha County, Wisconsin, Communications Center</w:t>
      </w:r>
      <w:r w:rsidRPr="005968CD">
        <w:rPr>
          <w:szCs w:val="22"/>
        </w:rPr>
        <w:tab/>
      </w:r>
      <w:r w:rsidRPr="005968CD">
        <w:rPr>
          <w:szCs w:val="22"/>
        </w:rPr>
        <w:tab/>
      </w:r>
      <w:r w:rsidRPr="005968CD">
        <w:rPr>
          <w:szCs w:val="22"/>
        </w:rPr>
        <w:tab/>
        <w:t>Waukesha County</w:t>
      </w:r>
    </w:p>
    <w:p w14:paraId="660C9EAD" w14:textId="77777777" w:rsidR="00DC30A3" w:rsidRPr="005968CD" w:rsidRDefault="00DC30A3" w:rsidP="00DC30A3">
      <w:pPr>
        <w:rPr>
          <w:szCs w:val="22"/>
        </w:rPr>
      </w:pPr>
      <w:r w:rsidRPr="005968CD">
        <w:rPr>
          <w:szCs w:val="22"/>
        </w:rPr>
        <w:t>Weinstein, Stephen</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Weinstein</w:t>
      </w:r>
    </w:p>
    <w:p w14:paraId="0D30341C" w14:textId="77777777" w:rsidR="00DC30A3" w:rsidRPr="005968CD" w:rsidRDefault="00DC30A3" w:rsidP="00DC30A3">
      <w:pPr>
        <w:rPr>
          <w:szCs w:val="22"/>
        </w:rPr>
      </w:pPr>
      <w:r w:rsidRPr="005968CD">
        <w:rPr>
          <w:szCs w:val="22"/>
          <w:lang w:val="de-DE"/>
        </w:rPr>
        <w:t>Pennsylvania Bureau of 9-1-1 Programs (Wentzel)</w:t>
      </w:r>
      <w:r w:rsidRPr="005968CD">
        <w:rPr>
          <w:szCs w:val="22"/>
          <w:lang w:val="de-DE"/>
        </w:rPr>
        <w:tab/>
      </w:r>
      <w:r w:rsidRPr="005968CD">
        <w:rPr>
          <w:szCs w:val="22"/>
          <w:lang w:val="de-DE"/>
        </w:rPr>
        <w:tab/>
      </w:r>
      <w:r w:rsidRPr="005968CD">
        <w:rPr>
          <w:szCs w:val="22"/>
          <w:lang w:val="de-DE"/>
        </w:rPr>
        <w:tab/>
        <w:t>Wentzel</w:t>
      </w:r>
    </w:p>
    <w:p w14:paraId="0D4BC0CF" w14:textId="77777777" w:rsidR="00DC30A3" w:rsidRPr="005968CD" w:rsidRDefault="00DC30A3" w:rsidP="00DC30A3">
      <w:pPr>
        <w:rPr>
          <w:szCs w:val="22"/>
          <w:lang w:val="de-DE"/>
        </w:rPr>
      </w:pPr>
      <w:r w:rsidRPr="005968CD">
        <w:rPr>
          <w:szCs w:val="22"/>
          <w:lang w:val="de-DE"/>
        </w:rPr>
        <w:t>YMax Corp.</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YMax</w:t>
      </w:r>
    </w:p>
    <w:p w14:paraId="2E30863D" w14:textId="77777777" w:rsidR="00DC30A3" w:rsidRPr="005968CD" w:rsidRDefault="00DC30A3" w:rsidP="00DC30A3">
      <w:pPr>
        <w:rPr>
          <w:szCs w:val="22"/>
          <w:lang w:val="de-DE"/>
        </w:rPr>
      </w:pPr>
    </w:p>
    <w:p w14:paraId="169A9F1D" w14:textId="77777777" w:rsidR="00DC30A3" w:rsidRPr="005968CD" w:rsidRDefault="00DC30A3" w:rsidP="00DC30A3">
      <w:pPr>
        <w:jc w:val="center"/>
        <w:rPr>
          <w:szCs w:val="22"/>
          <w:lang w:val="de-DE"/>
        </w:rPr>
      </w:pPr>
      <w:r w:rsidRPr="005968CD">
        <w:rPr>
          <w:b/>
          <w:szCs w:val="22"/>
          <w:lang w:val="de-DE"/>
        </w:rPr>
        <w:t>Reply Comments</w:t>
      </w:r>
    </w:p>
    <w:p w14:paraId="44D6E3EA" w14:textId="77777777" w:rsidR="00DC30A3" w:rsidRPr="005968CD" w:rsidRDefault="00DC30A3" w:rsidP="00DC30A3">
      <w:pPr>
        <w:rPr>
          <w:szCs w:val="22"/>
          <w:lang w:val="de-DE"/>
        </w:rPr>
      </w:pPr>
    </w:p>
    <w:p w14:paraId="02F273AF" w14:textId="77777777" w:rsidR="00DC30A3" w:rsidRPr="005968CD" w:rsidRDefault="00DC30A3" w:rsidP="00DC30A3">
      <w:pPr>
        <w:rPr>
          <w:szCs w:val="22"/>
        </w:rPr>
      </w:pPr>
      <w:r w:rsidRPr="005968CD">
        <w:rPr>
          <w:szCs w:val="22"/>
        </w:rPr>
        <w:t>American Roaming Network</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ARN</w:t>
      </w:r>
    </w:p>
    <w:p w14:paraId="2A4CB4BA" w14:textId="77777777" w:rsidR="00DC30A3" w:rsidRPr="005968CD" w:rsidRDefault="00DC30A3" w:rsidP="00DC30A3">
      <w:pPr>
        <w:rPr>
          <w:szCs w:val="22"/>
        </w:rPr>
      </w:pPr>
      <w:r w:rsidRPr="005968CD">
        <w:rPr>
          <w:szCs w:val="22"/>
        </w:rPr>
        <w:t>CTIA – The Wireless Association</w:t>
      </w:r>
      <w:r w:rsidRPr="005968CD">
        <w:rPr>
          <w:szCs w:val="22"/>
        </w:rPr>
        <w:tab/>
      </w:r>
      <w:r w:rsidRPr="005968CD">
        <w:rPr>
          <w:szCs w:val="22"/>
        </w:rPr>
        <w:tab/>
      </w:r>
      <w:r w:rsidRPr="005968CD">
        <w:rPr>
          <w:szCs w:val="22"/>
        </w:rPr>
        <w:tab/>
      </w:r>
      <w:r w:rsidRPr="005968CD">
        <w:rPr>
          <w:szCs w:val="22"/>
        </w:rPr>
        <w:tab/>
      </w:r>
      <w:r w:rsidRPr="005968CD">
        <w:rPr>
          <w:szCs w:val="22"/>
        </w:rPr>
        <w:tab/>
        <w:t>CTIA</w:t>
      </w:r>
    </w:p>
    <w:p w14:paraId="5BBE073B" w14:textId="77777777" w:rsidR="00DC30A3" w:rsidRPr="005968CD" w:rsidRDefault="00DC30A3" w:rsidP="00DC30A3">
      <w:pPr>
        <w:tabs>
          <w:tab w:val="left" w:pos="6480"/>
        </w:tabs>
        <w:rPr>
          <w:szCs w:val="22"/>
        </w:rPr>
      </w:pPr>
      <w:r w:rsidRPr="005968CD">
        <w:rPr>
          <w:szCs w:val="22"/>
        </w:rPr>
        <w:t>Tennessee Emergency Communications Board, the National Association</w:t>
      </w:r>
    </w:p>
    <w:p w14:paraId="2428541A" w14:textId="77777777" w:rsidR="00DC30A3" w:rsidRPr="005968CD" w:rsidRDefault="00DC30A3" w:rsidP="00DC30A3">
      <w:pPr>
        <w:tabs>
          <w:tab w:val="left" w:pos="6480"/>
        </w:tabs>
        <w:rPr>
          <w:szCs w:val="22"/>
        </w:rPr>
      </w:pPr>
      <w:r w:rsidRPr="005968CD">
        <w:rPr>
          <w:szCs w:val="22"/>
        </w:rPr>
        <w:t xml:space="preserve">of State 9-1-1 Administrators the Michigan State 9-1-1  Office, </w:t>
      </w:r>
    </w:p>
    <w:p w14:paraId="3A2F31FA" w14:textId="77777777" w:rsidR="00DC30A3" w:rsidRPr="005968CD" w:rsidRDefault="00DC30A3" w:rsidP="00DC30A3">
      <w:pPr>
        <w:tabs>
          <w:tab w:val="left" w:pos="6480"/>
        </w:tabs>
        <w:rPr>
          <w:szCs w:val="22"/>
        </w:rPr>
      </w:pPr>
      <w:r w:rsidRPr="005968CD">
        <w:rPr>
          <w:szCs w:val="22"/>
        </w:rPr>
        <w:t>the New Jersey State 9-1-1 Commission, the Snohomish County</w:t>
      </w:r>
    </w:p>
    <w:p w14:paraId="3F9D1711" w14:textId="77777777" w:rsidR="00DC30A3" w:rsidRPr="005968CD" w:rsidRDefault="00DC30A3" w:rsidP="00DC30A3">
      <w:pPr>
        <w:tabs>
          <w:tab w:val="left" w:pos="6480"/>
        </w:tabs>
        <w:rPr>
          <w:szCs w:val="22"/>
        </w:rPr>
      </w:pPr>
      <w:r w:rsidRPr="005968CD">
        <w:rPr>
          <w:szCs w:val="22"/>
        </w:rPr>
        <w:t xml:space="preserve">Enhanced 9-1-1 Office, the National Emergency Number Association, </w:t>
      </w:r>
    </w:p>
    <w:p w14:paraId="088AB973" w14:textId="77777777" w:rsidR="00DC30A3" w:rsidRPr="005968CD" w:rsidRDefault="00DC30A3" w:rsidP="00DC30A3">
      <w:pPr>
        <w:tabs>
          <w:tab w:val="left" w:pos="6480"/>
        </w:tabs>
        <w:rPr>
          <w:szCs w:val="22"/>
        </w:rPr>
      </w:pPr>
      <w:r w:rsidRPr="005968CD">
        <w:rPr>
          <w:szCs w:val="22"/>
        </w:rPr>
        <w:t xml:space="preserve">the Association of Public-Safety Communications Officials </w:t>
      </w:r>
    </w:p>
    <w:p w14:paraId="4CF93530" w14:textId="77777777" w:rsidR="00DC30A3" w:rsidRPr="005968CD" w:rsidRDefault="00DC30A3" w:rsidP="00DC30A3">
      <w:pPr>
        <w:tabs>
          <w:tab w:val="left" w:pos="6480"/>
        </w:tabs>
        <w:rPr>
          <w:szCs w:val="22"/>
        </w:rPr>
      </w:pPr>
      <w:r w:rsidRPr="005968CD">
        <w:rPr>
          <w:szCs w:val="22"/>
        </w:rPr>
        <w:t xml:space="preserve">International, the State of Montana 911 Program, and the </w:t>
      </w:r>
    </w:p>
    <w:p w14:paraId="0F7A4610" w14:textId="77777777" w:rsidR="00DC30A3" w:rsidRPr="005968CD" w:rsidRDefault="00DC30A3" w:rsidP="00DC30A3">
      <w:pPr>
        <w:tabs>
          <w:tab w:val="left" w:pos="6480"/>
        </w:tabs>
        <w:rPr>
          <w:b/>
          <w:szCs w:val="22"/>
        </w:rPr>
      </w:pPr>
      <w:r w:rsidRPr="005968CD">
        <w:rPr>
          <w:szCs w:val="22"/>
        </w:rPr>
        <w:t xml:space="preserve">Washington State E911 Program </w:t>
      </w:r>
      <w:r w:rsidRPr="005968CD">
        <w:rPr>
          <w:szCs w:val="22"/>
        </w:rPr>
        <w:tab/>
        <w:t>Petitioners</w:t>
      </w:r>
    </w:p>
    <w:p w14:paraId="60DE7C32" w14:textId="77777777" w:rsidR="00DC30A3" w:rsidRPr="005968CD" w:rsidRDefault="00DC30A3" w:rsidP="00DC30A3">
      <w:pPr>
        <w:rPr>
          <w:szCs w:val="22"/>
        </w:rPr>
      </w:pPr>
      <w:r w:rsidRPr="005968CD">
        <w:rPr>
          <w:szCs w:val="22"/>
        </w:rPr>
        <w:t>Rural Cellular Association</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RCA</w:t>
      </w:r>
    </w:p>
    <w:p w14:paraId="524F86B2" w14:textId="77777777" w:rsidR="00DC30A3" w:rsidRPr="005968CD" w:rsidRDefault="00DC30A3" w:rsidP="00DC30A3">
      <w:pPr>
        <w:rPr>
          <w:szCs w:val="22"/>
        </w:rPr>
      </w:pPr>
      <w:r w:rsidRPr="005968CD">
        <w:rPr>
          <w:szCs w:val="22"/>
        </w:rPr>
        <w:t xml:space="preserve">Stop Accidental Cell Calls </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SACC</w:t>
      </w:r>
    </w:p>
    <w:p w14:paraId="4FEF3028" w14:textId="77777777" w:rsidR="00DC30A3" w:rsidRPr="005968CD" w:rsidRDefault="00DC30A3" w:rsidP="00DC30A3">
      <w:pPr>
        <w:rPr>
          <w:szCs w:val="22"/>
        </w:rPr>
      </w:pPr>
      <w:r w:rsidRPr="005968CD">
        <w:rPr>
          <w:szCs w:val="22"/>
        </w:rPr>
        <w:t>Verizon Wireless</w:t>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r>
      <w:r w:rsidRPr="005968CD">
        <w:rPr>
          <w:szCs w:val="22"/>
        </w:rPr>
        <w:tab/>
        <w:t>Verizon</w:t>
      </w:r>
    </w:p>
    <w:p w14:paraId="2617520A" w14:textId="77777777" w:rsidR="00DC30A3" w:rsidRPr="005968CD" w:rsidRDefault="00DC30A3" w:rsidP="00DC30A3">
      <w:pPr>
        <w:rPr>
          <w:szCs w:val="22"/>
        </w:rPr>
      </w:pPr>
      <w:r w:rsidRPr="005968CD">
        <w:rPr>
          <w:szCs w:val="22"/>
        </w:rPr>
        <w:t>Washington State E911 Administrator</w:t>
      </w:r>
      <w:r w:rsidRPr="005968CD">
        <w:rPr>
          <w:szCs w:val="22"/>
        </w:rPr>
        <w:tab/>
      </w:r>
      <w:r w:rsidRPr="005968CD">
        <w:rPr>
          <w:szCs w:val="22"/>
        </w:rPr>
        <w:tab/>
      </w:r>
      <w:r w:rsidRPr="005968CD">
        <w:rPr>
          <w:szCs w:val="22"/>
        </w:rPr>
        <w:tab/>
      </w:r>
      <w:r w:rsidRPr="005968CD">
        <w:rPr>
          <w:szCs w:val="22"/>
        </w:rPr>
        <w:tab/>
      </w:r>
      <w:r w:rsidRPr="005968CD">
        <w:rPr>
          <w:szCs w:val="22"/>
        </w:rPr>
        <w:tab/>
        <w:t>Washington</w:t>
      </w:r>
    </w:p>
    <w:p w14:paraId="67B30580" w14:textId="77777777" w:rsidR="00DC30A3" w:rsidRPr="005968CD" w:rsidRDefault="00DC30A3" w:rsidP="00DC30A3">
      <w:pPr>
        <w:rPr>
          <w:szCs w:val="22"/>
          <w:lang w:val="de-DE"/>
        </w:rPr>
      </w:pPr>
      <w:r w:rsidRPr="005968CD">
        <w:rPr>
          <w:szCs w:val="22"/>
          <w:lang w:val="de-DE"/>
        </w:rPr>
        <w:t>YMax Corp.</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Ymax</w:t>
      </w:r>
    </w:p>
    <w:p w14:paraId="59E6DE5C" w14:textId="77777777" w:rsidR="00DC30A3" w:rsidRPr="005968CD" w:rsidRDefault="00DC30A3" w:rsidP="00DC30A3">
      <w:pPr>
        <w:rPr>
          <w:szCs w:val="22"/>
          <w:lang w:val="de-DE"/>
        </w:rPr>
      </w:pPr>
    </w:p>
    <w:p w14:paraId="08ED479E" w14:textId="77777777" w:rsidR="00DC30A3" w:rsidRPr="005968CD" w:rsidRDefault="00DC30A3" w:rsidP="00DC30A3">
      <w:pPr>
        <w:jc w:val="center"/>
        <w:rPr>
          <w:b/>
          <w:szCs w:val="22"/>
        </w:rPr>
      </w:pPr>
    </w:p>
    <w:p w14:paraId="11E123DC" w14:textId="77777777" w:rsidR="00DC30A3" w:rsidRPr="000C0DD9" w:rsidRDefault="00DC30A3" w:rsidP="00DC30A3">
      <w:pPr>
        <w:jc w:val="center"/>
        <w:rPr>
          <w:b/>
        </w:rPr>
      </w:pPr>
      <w:r w:rsidRPr="005968CD">
        <w:rPr>
          <w:b/>
          <w:szCs w:val="22"/>
        </w:rPr>
        <w:t>2013 Public Notice</w:t>
      </w:r>
      <w:r>
        <w:rPr>
          <w:b/>
          <w:szCs w:val="22"/>
        </w:rPr>
        <w:t xml:space="preserve"> – </w:t>
      </w:r>
      <w:r w:rsidRPr="005968CD">
        <w:rPr>
          <w:b/>
          <w:szCs w:val="22"/>
        </w:rPr>
        <w:t>Comments</w:t>
      </w:r>
      <w:r>
        <w:rPr>
          <w:b/>
          <w:szCs w:val="22"/>
        </w:rPr>
        <w:t xml:space="preserve"> </w:t>
      </w:r>
    </w:p>
    <w:p w14:paraId="05296FE3" w14:textId="77777777" w:rsidR="00DC30A3" w:rsidRPr="005968CD" w:rsidRDefault="00DC30A3" w:rsidP="00DC30A3">
      <w:pPr>
        <w:rPr>
          <w:szCs w:val="22"/>
          <w:lang w:val="de-DE"/>
        </w:rPr>
      </w:pPr>
    </w:p>
    <w:p w14:paraId="21B61D73" w14:textId="77777777" w:rsidR="00DC30A3" w:rsidRPr="005968CD" w:rsidRDefault="00DC30A3" w:rsidP="00DC30A3">
      <w:pPr>
        <w:rPr>
          <w:szCs w:val="22"/>
          <w:lang w:val="de-DE"/>
        </w:rPr>
      </w:pPr>
      <w:r w:rsidRPr="005968CD">
        <w:rPr>
          <w:szCs w:val="22"/>
          <w:lang w:val="de-DE"/>
        </w:rPr>
        <w:t>Association of Public-Safety Comminications Officials</w:t>
      </w:r>
      <w:r w:rsidRPr="005968CD">
        <w:rPr>
          <w:szCs w:val="22"/>
          <w:lang w:val="de-DE"/>
        </w:rPr>
        <w:tab/>
      </w:r>
      <w:r w:rsidRPr="005968CD">
        <w:rPr>
          <w:szCs w:val="22"/>
          <w:lang w:val="de-DE"/>
        </w:rPr>
        <w:tab/>
      </w:r>
      <w:r w:rsidRPr="005968CD">
        <w:rPr>
          <w:szCs w:val="22"/>
          <w:lang w:val="de-DE"/>
        </w:rPr>
        <w:tab/>
        <w:t>APCO</w:t>
      </w:r>
    </w:p>
    <w:p w14:paraId="62949147" w14:textId="77777777" w:rsidR="00DC30A3" w:rsidRPr="005968CD" w:rsidRDefault="00DC30A3" w:rsidP="00DC30A3">
      <w:pPr>
        <w:rPr>
          <w:szCs w:val="22"/>
          <w:lang w:val="de-DE"/>
        </w:rPr>
      </w:pPr>
      <w:r w:rsidRPr="005968CD">
        <w:rPr>
          <w:szCs w:val="22"/>
          <w:lang w:val="de-DE"/>
        </w:rPr>
        <w:t>AT&amp;T Inc.</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AT&amp;T</w:t>
      </w:r>
    </w:p>
    <w:p w14:paraId="78963C16" w14:textId="77777777" w:rsidR="00DC30A3" w:rsidRPr="005968CD" w:rsidRDefault="00DC30A3" w:rsidP="00DC30A3">
      <w:pPr>
        <w:rPr>
          <w:szCs w:val="22"/>
          <w:lang w:val="de-DE"/>
        </w:rPr>
      </w:pPr>
      <w:r w:rsidRPr="005968CD">
        <w:rPr>
          <w:szCs w:val="22"/>
          <w:lang w:val="de-DE"/>
        </w:rPr>
        <w:t>Sonoma County, California, Sheriff</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Sonoma County</w:t>
      </w:r>
    </w:p>
    <w:p w14:paraId="368C1C64" w14:textId="77777777" w:rsidR="00DC30A3" w:rsidRPr="005968CD" w:rsidRDefault="00DC30A3" w:rsidP="00DC30A3">
      <w:pPr>
        <w:rPr>
          <w:szCs w:val="22"/>
          <w:lang w:val="de-DE"/>
        </w:rPr>
      </w:pPr>
      <w:r w:rsidRPr="005968CD">
        <w:rPr>
          <w:szCs w:val="22"/>
          <w:lang w:val="de-DE"/>
        </w:rPr>
        <w:t>Texas 911 Entities</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Texas Entities</w:t>
      </w:r>
    </w:p>
    <w:p w14:paraId="382A00AB" w14:textId="77777777" w:rsidR="00DC30A3" w:rsidRPr="005968CD" w:rsidRDefault="00DC30A3" w:rsidP="00DC30A3">
      <w:pPr>
        <w:rPr>
          <w:szCs w:val="22"/>
          <w:lang w:val="de-DE"/>
        </w:rPr>
      </w:pPr>
      <w:r w:rsidRPr="005968CD">
        <w:rPr>
          <w:szCs w:val="22"/>
          <w:lang w:val="de-DE"/>
        </w:rPr>
        <w:t>Peoria, Illinois Emergency Communications Center  (Tuttle)</w:t>
      </w:r>
      <w:r w:rsidRPr="005968CD">
        <w:rPr>
          <w:szCs w:val="22"/>
          <w:lang w:val="de-DE"/>
        </w:rPr>
        <w:tab/>
      </w:r>
      <w:r w:rsidRPr="005968CD">
        <w:rPr>
          <w:szCs w:val="22"/>
          <w:lang w:val="de-DE"/>
        </w:rPr>
        <w:tab/>
        <w:t>Peoria</w:t>
      </w:r>
    </w:p>
    <w:p w14:paraId="3E687FE1" w14:textId="77777777" w:rsidR="00DC30A3" w:rsidRPr="005968CD" w:rsidRDefault="00DC30A3" w:rsidP="00DC30A3">
      <w:pPr>
        <w:rPr>
          <w:szCs w:val="22"/>
          <w:lang w:val="de-DE"/>
        </w:rPr>
      </w:pPr>
      <w:r w:rsidRPr="005968CD">
        <w:rPr>
          <w:szCs w:val="22"/>
          <w:lang w:val="de-DE"/>
        </w:rPr>
        <w:t>Vermont Enhanced 9-1-1 Board</w:t>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r>
      <w:r w:rsidRPr="005968CD">
        <w:rPr>
          <w:szCs w:val="22"/>
          <w:lang w:val="de-DE"/>
        </w:rPr>
        <w:tab/>
        <w:t>Vermont</w:t>
      </w:r>
    </w:p>
    <w:p w14:paraId="49FEB9D2" w14:textId="77777777" w:rsidR="00DC30A3" w:rsidRPr="005968CD" w:rsidRDefault="00DC30A3" w:rsidP="00DC30A3">
      <w:pPr>
        <w:jc w:val="center"/>
        <w:rPr>
          <w:szCs w:val="22"/>
          <w:lang w:val="de-DE"/>
        </w:rPr>
      </w:pPr>
    </w:p>
    <w:p w14:paraId="4C2B9A62" w14:textId="77777777" w:rsidR="00DC30A3" w:rsidRPr="005968CD" w:rsidRDefault="00DC30A3" w:rsidP="00DC30A3">
      <w:pPr>
        <w:jc w:val="center"/>
        <w:rPr>
          <w:b/>
          <w:szCs w:val="22"/>
          <w:lang w:val="de-DE"/>
        </w:rPr>
      </w:pPr>
      <w:r w:rsidRPr="005968CD">
        <w:rPr>
          <w:b/>
          <w:szCs w:val="22"/>
        </w:rPr>
        <w:t>2013 Public Notice</w:t>
      </w:r>
      <w:r>
        <w:rPr>
          <w:b/>
          <w:szCs w:val="22"/>
        </w:rPr>
        <w:t xml:space="preserve"> – </w:t>
      </w:r>
      <w:r w:rsidRPr="005968CD">
        <w:rPr>
          <w:b/>
          <w:szCs w:val="22"/>
          <w:lang w:val="de-DE"/>
        </w:rPr>
        <w:t>Reply Comments</w:t>
      </w:r>
    </w:p>
    <w:p w14:paraId="3FCE8D6C" w14:textId="77777777" w:rsidR="00DC30A3" w:rsidRPr="005968CD" w:rsidRDefault="00DC30A3" w:rsidP="00DC30A3">
      <w:pPr>
        <w:rPr>
          <w:b/>
          <w:szCs w:val="22"/>
          <w:lang w:val="de-DE"/>
        </w:rPr>
      </w:pPr>
    </w:p>
    <w:p w14:paraId="721450AF" w14:textId="77777777" w:rsidR="00DC30A3" w:rsidRPr="005968CD" w:rsidRDefault="00DC30A3" w:rsidP="00DC30A3">
      <w:pPr>
        <w:rPr>
          <w:szCs w:val="22"/>
          <w:lang w:val="de-DE"/>
        </w:rPr>
      </w:pPr>
      <w:r w:rsidRPr="005968CD">
        <w:rPr>
          <w:szCs w:val="22"/>
          <w:lang w:val="de-DE"/>
        </w:rPr>
        <w:t>Tennessee Emergency Communications Board</w:t>
      </w:r>
      <w:r w:rsidRPr="005968CD">
        <w:rPr>
          <w:szCs w:val="22"/>
          <w:lang w:val="de-DE"/>
        </w:rPr>
        <w:tab/>
      </w:r>
      <w:r w:rsidRPr="005968CD">
        <w:rPr>
          <w:szCs w:val="22"/>
          <w:lang w:val="de-DE"/>
        </w:rPr>
        <w:tab/>
      </w:r>
      <w:r w:rsidRPr="005968CD">
        <w:rPr>
          <w:szCs w:val="22"/>
          <w:lang w:val="de-DE"/>
        </w:rPr>
        <w:tab/>
      </w:r>
      <w:r w:rsidRPr="005968CD">
        <w:rPr>
          <w:szCs w:val="22"/>
          <w:lang w:val="de-DE"/>
        </w:rPr>
        <w:tab/>
        <w:t>Tennessee</w:t>
      </w:r>
    </w:p>
    <w:p w14:paraId="10682B5C" w14:textId="77777777" w:rsidR="00DC30A3" w:rsidRPr="005968CD" w:rsidRDefault="00DC30A3" w:rsidP="00DC30A3">
      <w:pPr>
        <w:widowControl/>
        <w:rPr>
          <w:szCs w:val="22"/>
          <w:lang w:val="de-DE"/>
        </w:rPr>
      </w:pPr>
      <w:r w:rsidRPr="005968CD">
        <w:rPr>
          <w:szCs w:val="22"/>
          <w:lang w:val="de-DE"/>
        </w:rPr>
        <w:br w:type="page"/>
      </w:r>
    </w:p>
    <w:p w14:paraId="07541D8D" w14:textId="77777777" w:rsidR="00DC30A3" w:rsidRPr="005968CD" w:rsidRDefault="00DC30A3" w:rsidP="00DC30A3">
      <w:pPr>
        <w:jc w:val="center"/>
        <w:rPr>
          <w:b/>
          <w:szCs w:val="22"/>
          <w:lang w:val="de-DE"/>
        </w:rPr>
      </w:pPr>
      <w:r w:rsidRPr="005968CD">
        <w:rPr>
          <w:b/>
          <w:szCs w:val="22"/>
          <w:lang w:val="de-DE"/>
        </w:rPr>
        <w:t>APPENDIX B</w:t>
      </w:r>
    </w:p>
    <w:p w14:paraId="40FE5562" w14:textId="77777777" w:rsidR="00DC30A3" w:rsidRPr="005968CD" w:rsidRDefault="00DC30A3" w:rsidP="00DC30A3">
      <w:pPr>
        <w:jc w:val="center"/>
        <w:rPr>
          <w:b/>
          <w:szCs w:val="22"/>
          <w:lang w:val="de-DE"/>
        </w:rPr>
      </w:pPr>
    </w:p>
    <w:p w14:paraId="781E5C0D" w14:textId="77777777" w:rsidR="00DC30A3" w:rsidRPr="005968CD" w:rsidRDefault="00DC30A3" w:rsidP="00DC30A3">
      <w:pPr>
        <w:jc w:val="center"/>
        <w:rPr>
          <w:b/>
          <w:szCs w:val="22"/>
          <w:lang w:val="de-DE"/>
        </w:rPr>
      </w:pPr>
      <w:r w:rsidRPr="005968CD">
        <w:rPr>
          <w:b/>
          <w:szCs w:val="22"/>
          <w:lang w:val="de-DE"/>
        </w:rPr>
        <w:t>Proposed Rules</w:t>
      </w:r>
    </w:p>
    <w:p w14:paraId="3FBE5B8E" w14:textId="77777777" w:rsidR="00DC30A3" w:rsidRPr="005968CD" w:rsidRDefault="00DC30A3" w:rsidP="00DC30A3">
      <w:pPr>
        <w:widowControl/>
        <w:rPr>
          <w:szCs w:val="22"/>
          <w:lang w:val="de-DE"/>
        </w:rPr>
      </w:pPr>
    </w:p>
    <w:p w14:paraId="04CB21BE" w14:textId="77777777" w:rsidR="00DC30A3" w:rsidRPr="005968CD" w:rsidRDefault="00DC30A3" w:rsidP="00DC30A3">
      <w:pPr>
        <w:rPr>
          <w:color w:val="000000"/>
          <w:szCs w:val="22"/>
        </w:rPr>
      </w:pPr>
      <w:r w:rsidRPr="005968CD">
        <w:rPr>
          <w:color w:val="000000"/>
          <w:szCs w:val="22"/>
        </w:rPr>
        <w:t>Part 20 of the Code of Federal Regulations is amended as follows:</w:t>
      </w:r>
    </w:p>
    <w:p w14:paraId="7FDA309D" w14:textId="77777777" w:rsidR="00DC30A3" w:rsidRPr="005968CD" w:rsidRDefault="00DC30A3" w:rsidP="00DC30A3">
      <w:pPr>
        <w:rPr>
          <w:color w:val="000000"/>
          <w:szCs w:val="22"/>
        </w:rPr>
      </w:pPr>
    </w:p>
    <w:p w14:paraId="7087F8E2" w14:textId="77777777" w:rsidR="00DC30A3" w:rsidRPr="005968CD" w:rsidRDefault="00DC30A3" w:rsidP="00DC30A3">
      <w:pPr>
        <w:rPr>
          <w:color w:val="000000"/>
          <w:szCs w:val="22"/>
        </w:rPr>
      </w:pPr>
      <w:r w:rsidRPr="005968CD">
        <w:rPr>
          <w:b/>
          <w:color w:val="000000"/>
          <w:szCs w:val="22"/>
        </w:rPr>
        <w:t>PART 20 – COMMERCIAL MOBILE RADIO SERVICES</w:t>
      </w:r>
    </w:p>
    <w:p w14:paraId="2B63EE10" w14:textId="77777777" w:rsidR="00DC30A3" w:rsidRPr="005968CD" w:rsidRDefault="00DC30A3" w:rsidP="00DC30A3">
      <w:pPr>
        <w:rPr>
          <w:color w:val="000000"/>
          <w:szCs w:val="22"/>
        </w:rPr>
      </w:pPr>
    </w:p>
    <w:p w14:paraId="33B0AE4F" w14:textId="77777777" w:rsidR="00DC30A3" w:rsidRPr="005968CD" w:rsidRDefault="00DC30A3" w:rsidP="00DC30A3">
      <w:pPr>
        <w:rPr>
          <w:szCs w:val="22"/>
          <w:lang w:val="de-DE"/>
        </w:rPr>
      </w:pPr>
      <w:r w:rsidRPr="005968CD">
        <w:rPr>
          <w:szCs w:val="22"/>
        </w:rPr>
        <w:t>1.</w:t>
      </w:r>
      <w:r w:rsidRPr="005968CD">
        <w:rPr>
          <w:szCs w:val="22"/>
        </w:rPr>
        <w:tab/>
      </w:r>
      <w:r w:rsidRPr="005968CD">
        <w:rPr>
          <w:szCs w:val="22"/>
          <w:lang w:val="de-DE"/>
        </w:rPr>
        <w:t>Section 20.18 is amended by revising paragraph (b) and adding paragraph (l)(4), to read as follows:</w:t>
      </w:r>
    </w:p>
    <w:p w14:paraId="1C1BE604" w14:textId="77777777" w:rsidR="00DC30A3" w:rsidRPr="005968CD" w:rsidRDefault="00DC30A3" w:rsidP="00DC30A3">
      <w:pPr>
        <w:rPr>
          <w:szCs w:val="22"/>
          <w:lang w:val="de-DE"/>
        </w:rPr>
      </w:pPr>
    </w:p>
    <w:p w14:paraId="7553EEB5" w14:textId="77777777" w:rsidR="00DC30A3" w:rsidRPr="005968CD" w:rsidRDefault="00DC30A3" w:rsidP="00DC30A3">
      <w:pPr>
        <w:widowControl/>
        <w:rPr>
          <w:szCs w:val="22"/>
          <w:lang w:val="de-DE"/>
        </w:rPr>
      </w:pPr>
      <w:r w:rsidRPr="005968CD">
        <w:rPr>
          <w:szCs w:val="22"/>
          <w:lang w:val="de-DE"/>
        </w:rPr>
        <w:t>***</w:t>
      </w:r>
    </w:p>
    <w:p w14:paraId="2FF98BFE" w14:textId="77777777" w:rsidR="00DC30A3" w:rsidRPr="005968CD" w:rsidRDefault="00DC30A3" w:rsidP="00DC30A3">
      <w:pPr>
        <w:widowControl/>
        <w:rPr>
          <w:szCs w:val="22"/>
          <w:lang w:val="de-DE"/>
        </w:rPr>
      </w:pPr>
    </w:p>
    <w:p w14:paraId="137C5B07" w14:textId="77777777" w:rsidR="00DC30A3" w:rsidRPr="000C0DD9" w:rsidRDefault="00DC30A3" w:rsidP="00DC30A3">
      <w:pPr>
        <w:widowControl/>
        <w:rPr>
          <w:rStyle w:val="ptext-1"/>
        </w:rPr>
      </w:pPr>
      <w:r w:rsidRPr="005968CD">
        <w:rPr>
          <w:szCs w:val="22"/>
          <w:lang w:val="de-DE"/>
        </w:rPr>
        <w:t xml:space="preserve">(b) </w:t>
      </w:r>
      <w:r w:rsidRPr="005968CD">
        <w:rPr>
          <w:i/>
          <w:szCs w:val="22"/>
          <w:lang w:val="de-DE"/>
        </w:rPr>
        <w:t>Basic 911 Service</w:t>
      </w:r>
      <w:r w:rsidRPr="005968CD">
        <w:rPr>
          <w:szCs w:val="22"/>
          <w:lang w:val="de-DE"/>
        </w:rPr>
        <w:t xml:space="preserve">.  </w:t>
      </w:r>
      <w:r w:rsidRPr="005968CD">
        <w:rPr>
          <w:rStyle w:val="ptext-1"/>
          <w:szCs w:val="22"/>
        </w:rPr>
        <w:t xml:space="preserve">CMRS providers subject to this section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 64.3001 of this chapter, provided that “all wireless 911 calls” is defined as “any call initiated by a wireless user dialing 911 on a phone using a compliant radio frequency protocol of the serving </w:t>
      </w:r>
      <w:r w:rsidRPr="00876C97">
        <w:rPr>
          <w:rStyle w:val="ptext-1"/>
          <w:szCs w:val="22"/>
        </w:rPr>
        <w:t xml:space="preserve">carrier.”  </w:t>
      </w:r>
      <w:r w:rsidRPr="000C0DD9">
        <w:rPr>
          <w:lang w:val="de-DE"/>
        </w:rPr>
        <w:t>After [insert date six months from the effective date of the Order], the requirements of this section will no longer apply to calls from non-service-initialized handsets as defined in</w:t>
      </w:r>
      <w:r w:rsidRPr="000C0DD9" w:rsidDel="000F1016">
        <w:rPr>
          <w:rStyle w:val="ptext-1"/>
        </w:rPr>
        <w:t xml:space="preserve"> </w:t>
      </w:r>
      <w:r w:rsidRPr="000C0DD9">
        <w:rPr>
          <w:rStyle w:val="ptext-1"/>
        </w:rPr>
        <w:t xml:space="preserve"> paragraph (l)(3)(i) of this section</w:t>
      </w:r>
      <w:r w:rsidRPr="000C0DD9">
        <w:rPr>
          <w:lang w:val="de-DE"/>
        </w:rPr>
        <w:t>.</w:t>
      </w:r>
    </w:p>
    <w:p w14:paraId="24BCE786" w14:textId="77777777" w:rsidR="00DC30A3" w:rsidRPr="00876C97" w:rsidRDefault="00DC30A3" w:rsidP="00DC30A3">
      <w:pPr>
        <w:widowControl/>
        <w:rPr>
          <w:rStyle w:val="ptext-1"/>
          <w:szCs w:val="22"/>
        </w:rPr>
      </w:pPr>
    </w:p>
    <w:p w14:paraId="7E0ABA32" w14:textId="77777777" w:rsidR="00DC30A3" w:rsidRPr="00876C97" w:rsidRDefault="00DC30A3" w:rsidP="00DC30A3">
      <w:pPr>
        <w:widowControl/>
        <w:rPr>
          <w:rStyle w:val="ptext-1"/>
          <w:szCs w:val="22"/>
        </w:rPr>
      </w:pPr>
      <w:r w:rsidRPr="00876C97">
        <w:rPr>
          <w:rStyle w:val="ptext-1"/>
          <w:szCs w:val="22"/>
        </w:rPr>
        <w:t>***</w:t>
      </w:r>
    </w:p>
    <w:p w14:paraId="7C960B0B" w14:textId="77777777" w:rsidR="00DC30A3" w:rsidRPr="00876C97" w:rsidRDefault="00DC30A3" w:rsidP="00DC30A3">
      <w:pPr>
        <w:widowControl/>
        <w:rPr>
          <w:rStyle w:val="ptext-1"/>
          <w:szCs w:val="22"/>
        </w:rPr>
      </w:pPr>
    </w:p>
    <w:p w14:paraId="2332A101" w14:textId="77777777" w:rsidR="00DC30A3" w:rsidRPr="00876C97" w:rsidRDefault="00DC30A3" w:rsidP="00DC30A3">
      <w:pPr>
        <w:rPr>
          <w:rStyle w:val="labelleader"/>
          <w:szCs w:val="22"/>
        </w:rPr>
      </w:pPr>
      <w:r w:rsidRPr="00876C97">
        <w:rPr>
          <w:rStyle w:val="Emphasis"/>
          <w:i w:val="0"/>
          <w:szCs w:val="22"/>
        </w:rPr>
        <w:t xml:space="preserve">(l) </w:t>
      </w:r>
      <w:r w:rsidRPr="00876C97">
        <w:rPr>
          <w:rStyle w:val="Emphasis"/>
          <w:szCs w:val="22"/>
        </w:rPr>
        <w:t>Non-service-initialized handsets.</w:t>
      </w:r>
      <w:r w:rsidRPr="00876C97">
        <w:rPr>
          <w:rStyle w:val="labelleader"/>
          <w:szCs w:val="22"/>
        </w:rPr>
        <w:t xml:space="preserve">  </w:t>
      </w:r>
    </w:p>
    <w:p w14:paraId="68576E84" w14:textId="77777777" w:rsidR="00DC30A3" w:rsidRPr="00876C97" w:rsidRDefault="00DC30A3" w:rsidP="00DC30A3">
      <w:pPr>
        <w:rPr>
          <w:rStyle w:val="labelleader"/>
          <w:szCs w:val="22"/>
        </w:rPr>
      </w:pPr>
    </w:p>
    <w:p w14:paraId="7D379EE8" w14:textId="77777777" w:rsidR="00DC30A3" w:rsidRPr="00876C97" w:rsidRDefault="00DC30A3" w:rsidP="00DC30A3">
      <w:pPr>
        <w:rPr>
          <w:rStyle w:val="labelleader"/>
          <w:szCs w:val="22"/>
        </w:rPr>
      </w:pPr>
      <w:r w:rsidRPr="00876C97">
        <w:rPr>
          <w:rStyle w:val="labelleader"/>
          <w:szCs w:val="22"/>
        </w:rPr>
        <w:t>***</w:t>
      </w:r>
    </w:p>
    <w:p w14:paraId="59D82C21" w14:textId="77777777" w:rsidR="00DC30A3" w:rsidRPr="00876C97" w:rsidRDefault="00DC30A3" w:rsidP="00DC30A3">
      <w:pPr>
        <w:rPr>
          <w:szCs w:val="22"/>
        </w:rPr>
      </w:pPr>
    </w:p>
    <w:p w14:paraId="268C3DB6" w14:textId="77777777" w:rsidR="003C0902" w:rsidRDefault="00DC30A3" w:rsidP="00ED0288">
      <w:pPr>
        <w:widowControl/>
        <w:rPr>
          <w:lang w:val="de-DE"/>
        </w:rPr>
        <w:sectPr w:rsidR="003C0902" w:rsidSect="00DC30A3">
          <w:footerReference w:type="first" r:id="rId16"/>
          <w:footnotePr>
            <w:numRestart w:val="eachSect"/>
          </w:footnotePr>
          <w:endnotePr>
            <w:numFmt w:val="decimal"/>
          </w:endnotePr>
          <w:pgSz w:w="12240" w:h="15840"/>
          <w:pgMar w:top="1440" w:right="1440" w:bottom="720" w:left="1440" w:header="720" w:footer="720" w:gutter="0"/>
          <w:pgNumType w:start="19"/>
          <w:cols w:space="720"/>
          <w:noEndnote/>
          <w:titlePg/>
          <w:docGrid w:linePitch="299"/>
        </w:sectPr>
      </w:pPr>
      <w:bookmarkStart w:id="332" w:name="l_1"/>
      <w:bookmarkStart w:id="333" w:name="m"/>
      <w:bookmarkEnd w:id="332"/>
      <w:bookmarkEnd w:id="333"/>
      <w:r w:rsidRPr="000C0DD9">
        <w:rPr>
          <w:rStyle w:val="enumxml"/>
        </w:rPr>
        <w:t xml:space="preserve">(4) </w:t>
      </w:r>
      <w:r w:rsidRPr="000C0DD9">
        <w:rPr>
          <w:rStyle w:val="enumxml"/>
          <w:i/>
        </w:rPr>
        <w:t>Sunset</w:t>
      </w:r>
      <w:r w:rsidRPr="000C0DD9">
        <w:rPr>
          <w:rStyle w:val="enumxml"/>
        </w:rPr>
        <w:t xml:space="preserve">.  </w:t>
      </w:r>
      <w:r w:rsidRPr="000C0DD9">
        <w:rPr>
          <w:lang w:val="de-DE"/>
        </w:rPr>
        <w:t>The requirements of this paragraph shall cease to be effective [insert date six months from the effective date of the Order</w:t>
      </w:r>
      <w:r w:rsidR="00ED0288">
        <w:rPr>
          <w:lang w:val="de-DE"/>
        </w:rPr>
        <w:t>].</w:t>
      </w:r>
    </w:p>
    <w:p w14:paraId="75DF71EC" w14:textId="77777777" w:rsidR="00ED0288" w:rsidRPr="005968CD" w:rsidRDefault="00ED0288" w:rsidP="00ED0288">
      <w:pPr>
        <w:widowControl/>
        <w:jc w:val="center"/>
        <w:rPr>
          <w:b/>
          <w:szCs w:val="22"/>
        </w:rPr>
      </w:pPr>
      <w:r w:rsidRPr="005968CD">
        <w:rPr>
          <w:b/>
          <w:szCs w:val="22"/>
        </w:rPr>
        <w:t>APPENDIX C</w:t>
      </w:r>
    </w:p>
    <w:p w14:paraId="18225BCE" w14:textId="77777777" w:rsidR="00ED0288" w:rsidRPr="005968CD" w:rsidRDefault="00ED0288" w:rsidP="00ED0288">
      <w:pPr>
        <w:widowControl/>
        <w:jc w:val="center"/>
        <w:rPr>
          <w:b/>
          <w:szCs w:val="22"/>
        </w:rPr>
      </w:pPr>
    </w:p>
    <w:p w14:paraId="7928A50E" w14:textId="77777777" w:rsidR="00ED0288" w:rsidRPr="005968CD" w:rsidRDefault="00ED0288" w:rsidP="00ED0288">
      <w:pPr>
        <w:widowControl/>
        <w:jc w:val="center"/>
        <w:rPr>
          <w:b/>
          <w:szCs w:val="22"/>
        </w:rPr>
      </w:pPr>
      <w:r w:rsidRPr="005968CD">
        <w:rPr>
          <w:b/>
          <w:szCs w:val="22"/>
        </w:rPr>
        <w:t>Initial Regulatory Flexibility Analysis</w:t>
      </w:r>
    </w:p>
    <w:p w14:paraId="27510545" w14:textId="77777777" w:rsidR="00ED0288" w:rsidRPr="005968CD" w:rsidRDefault="00ED0288" w:rsidP="00ED0288">
      <w:pPr>
        <w:widowControl/>
        <w:rPr>
          <w:szCs w:val="22"/>
        </w:rPr>
      </w:pPr>
    </w:p>
    <w:p w14:paraId="7E0EA7C7" w14:textId="77777777" w:rsidR="003C0902" w:rsidRDefault="003C0902" w:rsidP="003C0902">
      <w:pPr>
        <w:pStyle w:val="ParaNum"/>
        <w:numPr>
          <w:ilvl w:val="0"/>
          <w:numId w:val="27"/>
        </w:numPr>
        <w:tabs>
          <w:tab w:val="clear" w:pos="1080"/>
        </w:tabs>
      </w:pPr>
      <w:r w:rsidRPr="005968CD">
        <w:t>As required by the Regulatory Flexibility Act of 1980, as amended (RFA),</w:t>
      </w:r>
      <w:r w:rsidRPr="005968CD">
        <w:rPr>
          <w:rStyle w:val="FootnoteReference"/>
          <w:sz w:val="22"/>
          <w:szCs w:val="22"/>
        </w:rPr>
        <w:footnoteReference w:id="108"/>
      </w:r>
      <w:r w:rsidRPr="005968CD">
        <w:t xml:space="preserve"> the Commission has prepared this present Initial Regulatory Flexibility Analysis (IRFA) of the possible significant economic impact of the proposal described in the attached Notice of Proposed Rulemaking on small entities.  Written public comments are requested on this IRFA.  Comments must be identified as responses to the IRFA and must be filed by the deadlines for comments in the Notice of Proposed Rulemaking.  The Commission will send a copy of the Notice of Proposed Rulemaking, including this IRFA, to the Chief Counsel for Advocacy of the Small Business Administration (SBA).</w:t>
      </w:r>
      <w:r w:rsidRPr="005968CD">
        <w:rPr>
          <w:rStyle w:val="FootnoteReference"/>
          <w:sz w:val="22"/>
          <w:szCs w:val="22"/>
        </w:rPr>
        <w:footnoteReference w:id="109"/>
      </w:r>
      <w:r w:rsidRPr="005968CD">
        <w:t xml:space="preserve">  In addition, the Notice of Proposed Rulemaking and IRFA (or summaries thereof) will be published in the Federal Register.</w:t>
      </w:r>
      <w:r w:rsidRPr="005968CD">
        <w:rPr>
          <w:rStyle w:val="FootnoteReference"/>
          <w:sz w:val="22"/>
          <w:szCs w:val="22"/>
        </w:rPr>
        <w:footnoteReference w:id="110"/>
      </w:r>
    </w:p>
    <w:p w14:paraId="5230C03D" w14:textId="7C978643" w:rsidR="003C0902" w:rsidRPr="005968CD" w:rsidRDefault="003C0902" w:rsidP="003C0902">
      <w:pPr>
        <w:pStyle w:val="Heading2"/>
      </w:pPr>
      <w:r w:rsidRPr="005968CD">
        <w:t>Need for, and Objectives of, the Proposed Rules</w:t>
      </w:r>
    </w:p>
    <w:p w14:paraId="1BE8BE96" w14:textId="77777777" w:rsidR="003C0902" w:rsidRDefault="003C0902" w:rsidP="003C0902">
      <w:pPr>
        <w:pStyle w:val="ParaNum"/>
      </w:pPr>
      <w:r w:rsidRPr="003C0902">
        <w:rPr>
          <w:szCs w:val="22"/>
        </w:rPr>
        <w:t>In this NPRM, we address regulatory concerns raised by non-service initialized (NSI) devices.  The Commission’s rules require commercial mobile radio service (CMRS) providers subject to the 911 rules to transmit all wireless 911 calls, including those originated from “non-service-initialized” (NSI) devices, to Public Safety Answering Points (PSAPs).</w:t>
      </w:r>
      <w:r w:rsidRPr="005968CD">
        <w:rPr>
          <w:rStyle w:val="FootnoteReference"/>
          <w:sz w:val="22"/>
          <w:szCs w:val="22"/>
        </w:rPr>
        <w:footnoteReference w:id="111"/>
      </w:r>
      <w:r w:rsidRPr="003C0902">
        <w:rPr>
          <w:szCs w:val="22"/>
        </w:rPr>
        <w:t xml:space="preserve">  A NSI device is a mobile device for which there is no valid service contract with a CMRS provider.</w:t>
      </w:r>
      <w:r w:rsidRPr="005968CD">
        <w:rPr>
          <w:rStyle w:val="FootnoteReference"/>
          <w:sz w:val="22"/>
          <w:szCs w:val="22"/>
        </w:rPr>
        <w:footnoteReference w:id="112"/>
      </w:r>
      <w:r w:rsidRPr="003C0902">
        <w:rPr>
          <w:szCs w:val="22"/>
        </w:rPr>
        <w:t xml:space="preserve">  Examples of NSI devices include prepaid cell phones with expired minutes, devices under an expired contract, donated cell phones, and “911-only” devices that are configured solely to make emergency calls.</w:t>
      </w:r>
      <w:r w:rsidRPr="005968CD">
        <w:rPr>
          <w:rStyle w:val="FootnoteReference"/>
          <w:sz w:val="22"/>
          <w:szCs w:val="22"/>
        </w:rPr>
        <w:footnoteReference w:id="113"/>
      </w:r>
      <w:r w:rsidRPr="003C0902">
        <w:rPr>
          <w:szCs w:val="22"/>
        </w:rPr>
        <w:t xml:space="preserve">  NSI devices by their nature have no associated subscriber name and address, and do not provide Automatic Number Identification (ANI)</w:t>
      </w:r>
      <w:r w:rsidRPr="005968CD">
        <w:rPr>
          <w:rStyle w:val="FootnoteReference"/>
          <w:sz w:val="22"/>
          <w:szCs w:val="22"/>
        </w:rPr>
        <w:footnoteReference w:id="114"/>
      </w:r>
      <w:r w:rsidRPr="003C0902">
        <w:rPr>
          <w:szCs w:val="22"/>
        </w:rPr>
        <w:t xml:space="preserve"> or call-back features.  As a result, when a caller uses a NSI device to call 911, the PSAP typically cannot identify the caller.  </w:t>
      </w:r>
    </w:p>
    <w:p w14:paraId="0E5C6B45" w14:textId="77777777" w:rsidR="003C0902" w:rsidRDefault="003C0902" w:rsidP="003C0902">
      <w:pPr>
        <w:pStyle w:val="ParaNum"/>
      </w:pPr>
      <w:r w:rsidRPr="003C0902">
        <w:rPr>
          <w:szCs w:val="22"/>
        </w:rPr>
        <w:t>While the 911 calling capability of NSI devices initially provided significant public safety benefits by increasing the public’s access to 911, those benefits have greatly decreased due to changed call validation methods and the increase in low-cost options for wireless services.  Moreover, the inability of PSAPs to identify the caller on an NSI device creates significant difficulty for them when a caller uses a NSI device to place fraudulent</w:t>
      </w:r>
      <w:r w:rsidRPr="005968CD">
        <w:rPr>
          <w:rStyle w:val="FootnoteReference"/>
          <w:sz w:val="22"/>
          <w:szCs w:val="22"/>
        </w:rPr>
        <w:footnoteReference w:id="115"/>
      </w:r>
      <w:r w:rsidRPr="003C0902">
        <w:rPr>
          <w:szCs w:val="22"/>
        </w:rPr>
        <w:t xml:space="preserve"> non-emergency calls to the PSAP.  Numerous PSAPs around the nation have reported that fraudulent and harassing calls from NSI devices are a persistent and significant problem that requires action.  In February 2008, a group of public safety entities filed a petition requesting that the Commission examine the issue.  In response to the petition, the Commission adopted a </w:t>
      </w:r>
      <w:r w:rsidRPr="003C0902">
        <w:rPr>
          <w:i/>
          <w:szCs w:val="22"/>
        </w:rPr>
        <w:t>Notice of Inquiry</w:t>
      </w:r>
      <w:r w:rsidRPr="003C0902">
        <w:rPr>
          <w:szCs w:val="22"/>
        </w:rPr>
        <w:t xml:space="preserve"> in April 2008 to enhance our understanding of fraudulent and harassing 911 calls made from NSI devices and to explore potential solutions.</w:t>
      </w:r>
      <w:r w:rsidRPr="005968CD">
        <w:rPr>
          <w:rStyle w:val="FootnoteReference"/>
          <w:sz w:val="22"/>
          <w:szCs w:val="22"/>
        </w:rPr>
        <w:footnoteReference w:id="116"/>
      </w:r>
      <w:r w:rsidRPr="003C0902">
        <w:rPr>
          <w:szCs w:val="22"/>
        </w:rPr>
        <w:t xml:space="preserve">  </w:t>
      </w:r>
    </w:p>
    <w:p w14:paraId="00DA9C57" w14:textId="0A8BEA5F" w:rsidR="003C0902" w:rsidRPr="003C0902" w:rsidRDefault="003C0902" w:rsidP="003C0902">
      <w:pPr>
        <w:pStyle w:val="ParaNum"/>
      </w:pPr>
      <w:r w:rsidRPr="003C0902">
        <w:rPr>
          <w:szCs w:val="22"/>
        </w:rPr>
        <w:t xml:space="preserve">In this NPRM, the Commission proposes to sunset the NSI rule after a six month transition period that will allow for public outreach and education.  It also seeks comment on alternative approaches to addressing the issue of fraudulent calls from NSI devices. </w:t>
      </w:r>
    </w:p>
    <w:p w14:paraId="26A8A8F7" w14:textId="77777777" w:rsidR="003C0902" w:rsidRDefault="003C0902" w:rsidP="003C0902">
      <w:pPr>
        <w:pStyle w:val="Heading2"/>
      </w:pPr>
      <w:r w:rsidRPr="005968CD">
        <w:t>Legal Basis</w:t>
      </w:r>
    </w:p>
    <w:p w14:paraId="3898EFB4" w14:textId="2F66CC9F" w:rsidR="003C0902" w:rsidRPr="003C0902" w:rsidRDefault="003C0902" w:rsidP="003C0902">
      <w:pPr>
        <w:pStyle w:val="ParaNum"/>
      </w:pPr>
      <w:r w:rsidRPr="003C0902">
        <w:t>The legal basis for any action that may be taken pursuant to this Notice of Proposed Rulemaking</w:t>
      </w:r>
      <w:r w:rsidRPr="003C0902">
        <w:rPr>
          <w:i/>
        </w:rPr>
        <w:t xml:space="preserve"> </w:t>
      </w:r>
      <w:r w:rsidRPr="003C0902">
        <w:t xml:space="preserve">is contained in Sections 1, 4(i), 4(j), 303(r) and 332 of the Communications Act of 1934, 47 U.S.C. §§ 151, 154(i), 154(j), 303(r), 332. </w:t>
      </w:r>
    </w:p>
    <w:p w14:paraId="5E308F3A" w14:textId="1D21F7A0" w:rsidR="003C0902" w:rsidRPr="005968CD" w:rsidRDefault="003C0902" w:rsidP="003C0902">
      <w:pPr>
        <w:pStyle w:val="Heading2"/>
      </w:pPr>
      <w:r w:rsidRPr="005968CD">
        <w:t>Description and Estimate of the Number of Small Entities to Which the Proposed Rules Would Apply</w:t>
      </w:r>
    </w:p>
    <w:p w14:paraId="13DC1586" w14:textId="77777777" w:rsidR="003C0902" w:rsidRPr="003C0902" w:rsidRDefault="003C0902" w:rsidP="003C0902">
      <w:pPr>
        <w:pStyle w:val="ParaNum"/>
        <w:rPr>
          <w:i/>
        </w:rPr>
      </w:pPr>
      <w:r w:rsidRPr="005968CD">
        <w:t>The RFA directs agencies to provide a description of and, where feasible, an estimate of the number of small entities that may be affected by the proposed rules.</w:t>
      </w:r>
      <w:r w:rsidRPr="005968CD">
        <w:rPr>
          <w:rStyle w:val="FootnoteReference"/>
          <w:sz w:val="22"/>
          <w:szCs w:val="22"/>
        </w:rPr>
        <w:footnoteReference w:id="117"/>
      </w:r>
      <w:r w:rsidRPr="005968CD">
        <w:t xml:space="preserve">  The RFA generally defines the term “small entity” as having the same </w:t>
      </w:r>
      <w:r w:rsidRPr="005968CD">
        <w:rPr>
          <w:iCs/>
        </w:rPr>
        <w:t>meaning</w:t>
      </w:r>
      <w:r w:rsidRPr="005968CD">
        <w:t xml:space="preserve"> as the terms “small business,” “small organization,” and “small governmental jurisdiction.”</w:t>
      </w:r>
      <w:r w:rsidRPr="005968CD">
        <w:rPr>
          <w:rStyle w:val="FootnoteReference"/>
          <w:sz w:val="22"/>
          <w:szCs w:val="22"/>
        </w:rPr>
        <w:footnoteReference w:id="118"/>
      </w:r>
      <w:r w:rsidRPr="005968CD">
        <w:t xml:space="preserve">  In addition, the term “small business” has the same meaning as the term “small business concern” under the Small Business Act.</w:t>
      </w:r>
      <w:r w:rsidRPr="005968CD">
        <w:rPr>
          <w:rStyle w:val="FootnoteReference"/>
          <w:sz w:val="22"/>
          <w:szCs w:val="22"/>
        </w:rPr>
        <w:footnoteReference w:id="119"/>
      </w:r>
      <w:r w:rsidRPr="005968CD">
        <w:t xml:space="preserve">  A small business concern is one which: (1) is independently owned and operated; (2) is not dominant in its field of operation; and (3) satisfies any additional criteria established by the Small Business Administration (SBA).</w:t>
      </w:r>
      <w:r w:rsidRPr="005968CD">
        <w:rPr>
          <w:rStyle w:val="FootnoteReference"/>
          <w:sz w:val="22"/>
          <w:szCs w:val="22"/>
        </w:rPr>
        <w:footnoteReference w:id="120"/>
      </w:r>
      <w:r>
        <w:t xml:space="preserve"> </w:t>
      </w:r>
    </w:p>
    <w:p w14:paraId="2354A3C4" w14:textId="7D32628F" w:rsidR="003C0902" w:rsidRPr="003C0902" w:rsidRDefault="003C0902" w:rsidP="003C0902">
      <w:pPr>
        <w:pStyle w:val="ParaNum"/>
        <w:rPr>
          <w:i/>
        </w:rPr>
      </w:pPr>
      <w:r w:rsidRPr="003C0902">
        <w:rPr>
          <w:i/>
          <w:szCs w:val="22"/>
        </w:rPr>
        <w:t>Small Businesses, Small Organizations, and Small Governmental Jurisdictions</w:t>
      </w:r>
      <w:r w:rsidRPr="003C0902">
        <w:rPr>
          <w:szCs w:val="22"/>
        </w:rPr>
        <w:t>.  Our action may, over time, affect small entities that are not easily categorized at present.  We therefore describe here, at the outset, three comprehensive, statutory small entity size standards.</w:t>
      </w:r>
      <w:r w:rsidRPr="005968CD">
        <w:rPr>
          <w:rStyle w:val="FootnoteReference"/>
          <w:sz w:val="22"/>
          <w:szCs w:val="22"/>
        </w:rPr>
        <w:footnoteReference w:id="121"/>
      </w:r>
      <w:r w:rsidRPr="003C0902">
        <w:rPr>
          <w:szCs w:val="22"/>
        </w:rPr>
        <w:t xml:space="preserve">  First, nationwide, there are a total of approximately 27.5 million small businesses, according to the SBA.</w:t>
      </w:r>
      <w:r w:rsidRPr="005968CD">
        <w:rPr>
          <w:rStyle w:val="FootnoteReference"/>
          <w:sz w:val="22"/>
          <w:szCs w:val="22"/>
        </w:rPr>
        <w:footnoteReference w:id="122"/>
      </w:r>
      <w:r w:rsidRPr="003C0902">
        <w:rPr>
          <w:szCs w:val="22"/>
        </w:rPr>
        <w:t xml:space="preserve">  In addition, a “small organization” is generally “any not-for-profit enterprise which is independently owned and operated and is not dominant in its field.”</w:t>
      </w:r>
      <w:r w:rsidRPr="005968CD">
        <w:rPr>
          <w:rStyle w:val="FootnoteReference"/>
          <w:iCs/>
          <w:sz w:val="22"/>
          <w:szCs w:val="22"/>
        </w:rPr>
        <w:footnoteReference w:id="123"/>
      </w:r>
      <w:r w:rsidRPr="003C0902">
        <w:rPr>
          <w:szCs w:val="22"/>
        </w:rPr>
        <w:t xml:space="preserve">  Nationwide, as of </w:t>
      </w:r>
      <w:r w:rsidRPr="003C0902">
        <w:rPr>
          <w:iCs/>
          <w:szCs w:val="22"/>
        </w:rPr>
        <w:t>2007</w:t>
      </w:r>
      <w:r w:rsidRPr="003C0902">
        <w:rPr>
          <w:szCs w:val="22"/>
        </w:rPr>
        <w:t>, there were approximately 1</w:t>
      </w:r>
      <w:r w:rsidRPr="003C0902">
        <w:rPr>
          <w:iCs/>
          <w:szCs w:val="22"/>
        </w:rPr>
        <w:t>,621,315</w:t>
      </w:r>
      <w:r w:rsidRPr="003C0902">
        <w:rPr>
          <w:szCs w:val="22"/>
        </w:rPr>
        <w:t xml:space="preserve"> small organizations.</w:t>
      </w:r>
      <w:r w:rsidRPr="005968CD">
        <w:rPr>
          <w:rStyle w:val="FootnoteReference"/>
          <w:iCs/>
          <w:sz w:val="22"/>
          <w:szCs w:val="22"/>
        </w:rPr>
        <w:footnoteReference w:id="124"/>
      </w:r>
      <w:r w:rsidRPr="003C0902">
        <w:rPr>
          <w:szCs w:val="22"/>
        </w:rPr>
        <w:t xml:space="preserve">  </w:t>
      </w:r>
      <w:r w:rsidRPr="003C0902">
        <w:rPr>
          <w:iCs/>
          <w:szCs w:val="22"/>
        </w:rPr>
        <w:t>Finally, the</w:t>
      </w:r>
      <w:r w:rsidRPr="003C0902">
        <w:rPr>
          <w:szCs w:val="22"/>
        </w:rPr>
        <w:t xml:space="preserve"> term “small governmental jurisdiction” is defined generally as “governments of cities, towns, townships, villages, school districts, or special districts, with a population of less than fifty thousand.”</w:t>
      </w:r>
      <w:r w:rsidRPr="005968CD">
        <w:rPr>
          <w:rStyle w:val="FootnoteReference"/>
          <w:iCs/>
          <w:sz w:val="22"/>
          <w:szCs w:val="22"/>
        </w:rPr>
        <w:footnoteReference w:id="125"/>
      </w:r>
      <w:r w:rsidRPr="003C0902">
        <w:rPr>
          <w:szCs w:val="22"/>
        </w:rPr>
        <w:t xml:space="preserve">  Census Bureau data for </w:t>
      </w:r>
      <w:r w:rsidRPr="003C0902">
        <w:rPr>
          <w:iCs/>
          <w:szCs w:val="22"/>
        </w:rPr>
        <w:t>2011</w:t>
      </w:r>
      <w:r w:rsidRPr="003C0902">
        <w:rPr>
          <w:szCs w:val="22"/>
        </w:rPr>
        <w:t xml:space="preserve"> indicate that there were 89,476 local governmental jurisdictions in the United States.</w:t>
      </w:r>
      <w:r w:rsidRPr="005968CD">
        <w:rPr>
          <w:rStyle w:val="FootnoteReference"/>
          <w:sz w:val="22"/>
          <w:szCs w:val="22"/>
        </w:rPr>
        <w:footnoteReference w:id="126"/>
      </w:r>
      <w:r w:rsidRPr="003C0902">
        <w:rPr>
          <w:szCs w:val="22"/>
        </w:rPr>
        <w:t xml:space="preserve">  We estimate that, of this total, as many as 88, 506 entities may qualify as “small governmental jurisdictions.”</w:t>
      </w:r>
      <w:r w:rsidRPr="005968CD">
        <w:rPr>
          <w:rStyle w:val="FootnoteReference"/>
          <w:sz w:val="22"/>
          <w:szCs w:val="22"/>
        </w:rPr>
        <w:footnoteReference w:id="127"/>
      </w:r>
      <w:r w:rsidRPr="003C0902">
        <w:rPr>
          <w:szCs w:val="22"/>
        </w:rPr>
        <w:t xml:space="preserve">  Thus, we estimate that most governmental jurisdictions are small.</w:t>
      </w:r>
    </w:p>
    <w:p w14:paraId="011B6482" w14:textId="77777777" w:rsidR="003C0902" w:rsidRPr="005968CD" w:rsidRDefault="003C0902" w:rsidP="003C0902">
      <w:pPr>
        <w:pStyle w:val="Heading3"/>
        <w:widowControl/>
        <w:numPr>
          <w:ilvl w:val="2"/>
          <w:numId w:val="0"/>
        </w:numPr>
        <w:tabs>
          <w:tab w:val="num" w:pos="2160"/>
        </w:tabs>
        <w:ind w:left="2160" w:hanging="720"/>
        <w:rPr>
          <w:szCs w:val="22"/>
        </w:rPr>
      </w:pPr>
      <w:bookmarkStart w:id="334" w:name="_Toc297278845"/>
      <w:bookmarkStart w:id="335" w:name="_Toc297280022"/>
      <w:bookmarkStart w:id="336" w:name="_Toc311539024"/>
      <w:bookmarkStart w:id="337" w:name="_Toc315776394"/>
      <w:bookmarkStart w:id="338" w:name="_Toc384818471"/>
      <w:bookmarkStart w:id="339" w:name="_Toc385317630"/>
      <w:bookmarkStart w:id="340" w:name="_Toc385317686"/>
      <w:bookmarkStart w:id="341" w:name="_Toc385317707"/>
      <w:bookmarkStart w:id="342" w:name="_Toc386185635"/>
      <w:bookmarkStart w:id="343" w:name="_Toc386193590"/>
      <w:bookmarkStart w:id="344" w:name="_Toc386449426"/>
      <w:bookmarkStart w:id="345" w:name="_Toc387243820"/>
      <w:bookmarkStart w:id="346" w:name="_Toc390332852"/>
      <w:bookmarkStart w:id="347" w:name="_Toc394066624"/>
      <w:bookmarkStart w:id="348" w:name="_Toc396288376"/>
      <w:bookmarkStart w:id="349" w:name="_Toc409000735"/>
      <w:bookmarkStart w:id="350" w:name="_Toc403549503"/>
      <w:bookmarkStart w:id="351" w:name="_Toc410743442"/>
      <w:bookmarkStart w:id="352" w:name="_Toc415573223"/>
      <w:r w:rsidRPr="005968CD">
        <w:rPr>
          <w:szCs w:val="22"/>
        </w:rPr>
        <w:t>1.</w:t>
      </w:r>
      <w:r w:rsidRPr="005968CD">
        <w:rPr>
          <w:szCs w:val="22"/>
        </w:rPr>
        <w:tab/>
        <w:t>Telecommunications Service Entities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2EB7B96" w14:textId="77777777" w:rsidR="003C0902" w:rsidRPr="005968CD" w:rsidRDefault="003C0902" w:rsidP="003C0902">
      <w:pPr>
        <w:pStyle w:val="Heading4"/>
        <w:tabs>
          <w:tab w:val="clear" w:pos="2880"/>
          <w:tab w:val="num" w:pos="2520"/>
        </w:tabs>
        <w:ind w:left="2520" w:hanging="360"/>
        <w:rPr>
          <w:szCs w:val="22"/>
        </w:rPr>
      </w:pPr>
      <w:bookmarkStart w:id="353" w:name="_Toc297278846"/>
      <w:bookmarkStart w:id="354" w:name="_Toc297280023"/>
      <w:bookmarkStart w:id="355" w:name="_Toc311539025"/>
      <w:bookmarkStart w:id="356" w:name="_Toc315776395"/>
      <w:bookmarkStart w:id="357" w:name="_Toc415573224"/>
      <w:r w:rsidRPr="005968CD">
        <w:rPr>
          <w:szCs w:val="22"/>
        </w:rPr>
        <w:t>Wireless Telecommunications Service Providers</w:t>
      </w:r>
      <w:bookmarkEnd w:id="353"/>
      <w:bookmarkEnd w:id="354"/>
      <w:bookmarkEnd w:id="355"/>
      <w:bookmarkEnd w:id="356"/>
      <w:bookmarkEnd w:id="357"/>
    </w:p>
    <w:p w14:paraId="6EF0F159" w14:textId="77777777" w:rsidR="003C0902" w:rsidRPr="005968CD" w:rsidRDefault="003C0902" w:rsidP="003C0902">
      <w:pPr>
        <w:pStyle w:val="ParaNum"/>
      </w:pPr>
      <w:r w:rsidRPr="005968CD">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14:paraId="2C67D018" w14:textId="77777777" w:rsidR="003C0902" w:rsidRPr="005968CD" w:rsidRDefault="003C0902" w:rsidP="003C0902">
      <w:pPr>
        <w:pStyle w:val="ParaNum"/>
      </w:pPr>
      <w:r w:rsidRPr="005968CD">
        <w:t xml:space="preserve">Below, for those services subject to auctions, we note that, as a general matter, the number of winning bidders that qualify as small </w:t>
      </w:r>
      <w:r w:rsidRPr="005968CD">
        <w:rPr>
          <w:iCs/>
        </w:rPr>
        <w:t>businesses</w:t>
      </w:r>
      <w:r w:rsidRPr="005968CD">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14:paraId="25A6E20A" w14:textId="77777777" w:rsidR="003C0902" w:rsidRPr="005968CD" w:rsidRDefault="003C0902" w:rsidP="00BC5C98">
      <w:pPr>
        <w:pStyle w:val="ParaNum"/>
        <w:widowControl/>
      </w:pPr>
      <w:r w:rsidRPr="005968CD">
        <w:rPr>
          <w:i/>
        </w:rPr>
        <w:t>Wireless Telecommunications Carriers (except Satellite)</w:t>
      </w:r>
      <w:r w:rsidRPr="005968CD">
        <w:t>.  Since 2007, the Census Bureau has placed wireless firms within this new, broad, economic census category.</w:t>
      </w:r>
      <w:r w:rsidRPr="005968CD">
        <w:rPr>
          <w:rStyle w:val="StyleFootnoteReferenceStyle13Style12NECGFootnoteReferenc"/>
          <w:sz w:val="22"/>
          <w:szCs w:val="22"/>
        </w:rPr>
        <w:footnoteReference w:id="128"/>
      </w:r>
      <w:r w:rsidRPr="005968CD">
        <w:t xml:space="preserve">  Prior to that time, such firms were within the now-superseded categories of “Paging” and “Cellular and Other Wireless Telecommunications.”</w:t>
      </w:r>
      <w:r w:rsidRPr="005968CD">
        <w:rPr>
          <w:rStyle w:val="StyleFootnoteReferenceStyle13Style12NECGFootnoteReferenc"/>
          <w:sz w:val="22"/>
          <w:szCs w:val="22"/>
        </w:rPr>
        <w:footnoteReference w:id="129"/>
      </w:r>
      <w:r w:rsidRPr="005968CD">
        <w:t xml:space="preserve">  Under the present and prior categories, the SBA has deemed a wireless business to be small if it has 1,500 or fewer employees.</w:t>
      </w:r>
      <w:r w:rsidRPr="005968CD">
        <w:rPr>
          <w:rStyle w:val="StyleFootnoteReferenceStyle13Style12NECGFootnoteReferenc"/>
          <w:sz w:val="22"/>
          <w:szCs w:val="22"/>
        </w:rPr>
        <w:footnoteReference w:id="130"/>
      </w:r>
      <w:r w:rsidRPr="005968CD">
        <w:t xml:space="preserve">  For the category of Wireless Telecommunications Carriers (except Satellite), Census data for 2007, which supersede data contained in the 2002 Census, show that there were 1,383 firms that operated that year.</w:t>
      </w:r>
      <w:r w:rsidRPr="005968CD">
        <w:rPr>
          <w:rStyle w:val="FootnoteReference"/>
          <w:sz w:val="22"/>
          <w:szCs w:val="22"/>
        </w:rPr>
        <w:footnoteReference w:id="131"/>
      </w:r>
      <w:r w:rsidRPr="005968CD">
        <w:t xml:space="preserve">  Of those 1,383, 1,368 had fewer than 100 employees, and 15 firms had more than 100 employees.  Thus under this category and the associated small business size standard, the majority of firms can be considered small.</w:t>
      </w:r>
    </w:p>
    <w:p w14:paraId="0E3A71C0" w14:textId="77777777" w:rsidR="003C0902" w:rsidRPr="005968CD" w:rsidRDefault="003C0902" w:rsidP="003C0902">
      <w:pPr>
        <w:pStyle w:val="ParaNum"/>
      </w:pPr>
      <w:r w:rsidRPr="005968CD">
        <w:rPr>
          <w:i/>
        </w:rPr>
        <w:t>Wireless Service Providers</w:t>
      </w:r>
      <w:r w:rsidRPr="005968CD">
        <w:t>.  The SBA has developed a small business size standard for wireless firms within the two broad economic census categories of “Paging” and “Cellular and Other Wireless Telecommunications.”  Under both categories, the SBA deems a wireless business to be small if it has 1,500 or fewer employees.  For the census category of Paging, Census Bureau data for 2002 show that there were 807 firms in this category that operated for the entire year.  Of this total, 804 firms had employment of 999 or fewer employees, and three firms had employment of 1,000 employees or more.   Thus, under this category and associated small business size standard, the majority of firms can be considered small.  For the census category of Cellular and Other Wireless Telecommunications, Census Bureau data for 2002 show that there were 1,397 firms in this category that operated for the entire year.   Of this total, 1,378 firms had employment of 999 or fewer employees, and 19 firms had employment of 1,000 employees or more.  Thus, under this second category and size standard, the majority of firms can, again, be considered small.</w:t>
      </w:r>
    </w:p>
    <w:p w14:paraId="732A9D9A" w14:textId="77777777" w:rsidR="003C0902" w:rsidRPr="005968CD" w:rsidRDefault="003C0902" w:rsidP="003C0902">
      <w:pPr>
        <w:pStyle w:val="ParaNum"/>
      </w:pPr>
      <w:r w:rsidRPr="005968CD">
        <w:rPr>
          <w:i/>
        </w:rPr>
        <w:t xml:space="preserve">Incumbent Local Exchange Carriers </w:t>
      </w:r>
      <w:r w:rsidRPr="005968CD">
        <w:t>(</w:t>
      </w:r>
      <w:r w:rsidRPr="005968CD">
        <w:rPr>
          <w:i/>
        </w:rPr>
        <w:t>Incumbent LECs</w:t>
      </w:r>
      <w:r w:rsidRPr="005968CD">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5968CD">
        <w:rPr>
          <w:rStyle w:val="FootnoteReference"/>
          <w:sz w:val="22"/>
          <w:szCs w:val="22"/>
        </w:rPr>
        <w:footnoteReference w:id="132"/>
      </w:r>
      <w:r w:rsidRPr="005968CD">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sidRPr="005968CD">
        <w:rPr>
          <w:rStyle w:val="FootnoteReference"/>
          <w:sz w:val="22"/>
          <w:szCs w:val="22"/>
        </w:rPr>
        <w:footnoteReference w:id="133"/>
      </w:r>
      <w:r w:rsidRPr="005968CD">
        <w:t xml:space="preserve">  Of these 1,307 carriers, an estimated 1,006 have 1,500 or fewer employees and 301 have more than 1,500 employees.</w:t>
      </w:r>
      <w:r w:rsidRPr="005968CD">
        <w:rPr>
          <w:rStyle w:val="FootnoteReference"/>
          <w:sz w:val="22"/>
          <w:szCs w:val="22"/>
        </w:rPr>
        <w:footnoteReference w:id="134"/>
      </w:r>
      <w:r w:rsidRPr="005968CD">
        <w:t xml:space="preserve">  Consequently, the Commission estimates that most providers of local exchange service are small entities that may be affected by the rules and policies proposed in the Notice.  Thus under this category and the associated small business size standard, the majority of these incumbent local exchange service providers can be considered small.</w:t>
      </w:r>
      <w:r w:rsidRPr="005968CD">
        <w:rPr>
          <w:rStyle w:val="FootnoteReference"/>
          <w:sz w:val="22"/>
          <w:szCs w:val="22"/>
        </w:rPr>
        <w:footnoteReference w:id="135"/>
      </w:r>
    </w:p>
    <w:p w14:paraId="44ED0864" w14:textId="77777777" w:rsidR="003C0902" w:rsidRPr="005968CD" w:rsidRDefault="003C0902" w:rsidP="003C0902">
      <w:pPr>
        <w:pStyle w:val="ParaNum"/>
      </w:pPr>
      <w:r w:rsidRPr="005968CD">
        <w:t>A 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5968CD">
        <w:rPr>
          <w:rStyle w:val="FootnoteReference"/>
          <w:sz w:val="22"/>
          <w:szCs w:val="22"/>
        </w:rPr>
        <w:footnoteReference w:id="136"/>
      </w:r>
      <w:r w:rsidRPr="005968CD">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sidRPr="005968CD">
        <w:rPr>
          <w:rStyle w:val="FootnoteReference"/>
          <w:sz w:val="22"/>
          <w:szCs w:val="22"/>
        </w:rPr>
        <w:footnoteReference w:id="137"/>
      </w:r>
      <w:r w:rsidRPr="005968CD">
        <w:t xml:space="preserve">  According to Commission data, 1,442 carriers reported that they were engaged in the provision of either competitive local exchange services or competitive access provider services.</w:t>
      </w:r>
      <w:r w:rsidRPr="005968CD">
        <w:rPr>
          <w:vertAlign w:val="superscript"/>
        </w:rPr>
        <w:footnoteReference w:id="138"/>
      </w:r>
      <w:r w:rsidRPr="005968CD">
        <w:t xml:space="preserve">  Of these 1,442 carriers, an estimated 1,256 have 1,500 or fewer employees and 186 have more than 1,500 employees.</w:t>
      </w:r>
      <w:r w:rsidRPr="005968CD">
        <w:rPr>
          <w:vertAlign w:val="superscript"/>
        </w:rPr>
        <w:footnoteReference w:id="139"/>
      </w:r>
      <w:r w:rsidRPr="005968CD">
        <w:t xml:space="preserve">  In addition, 17 carriers have reported that they are Shared-Tenant Service Providers, and all 17 are estimated to have 1,500 or fewer employees.</w:t>
      </w:r>
      <w:r w:rsidRPr="005968CD">
        <w:rPr>
          <w:rStyle w:val="FootnoteReference"/>
          <w:sz w:val="22"/>
          <w:szCs w:val="22"/>
        </w:rPr>
        <w:footnoteReference w:id="140"/>
      </w:r>
      <w:r w:rsidRPr="005968CD">
        <w:t xml:space="preserve">  In addition, 72 carriers have reported that they are Other Local Service Providers.</w:t>
      </w:r>
      <w:r w:rsidRPr="005968CD">
        <w:rPr>
          <w:rStyle w:val="FootnoteReference"/>
          <w:sz w:val="22"/>
          <w:szCs w:val="22"/>
        </w:rPr>
        <w:footnoteReference w:id="141"/>
      </w:r>
      <w:r w:rsidRPr="005968CD">
        <w:t xml:space="preserve">  Of the 72, seventy have 1,500 or fewer employees and two have more than 1,500 employees.</w:t>
      </w:r>
      <w:r w:rsidRPr="005968CD">
        <w:rPr>
          <w:rStyle w:val="FootnoteReference"/>
          <w:sz w:val="22"/>
          <w:szCs w:val="22"/>
        </w:rPr>
        <w:footnoteReference w:id="142"/>
      </w:r>
      <w:r w:rsidRPr="005968CD">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w:t>
      </w:r>
    </w:p>
    <w:p w14:paraId="5467D04D" w14:textId="77777777" w:rsidR="003C0902" w:rsidRPr="005968CD" w:rsidRDefault="003C0902" w:rsidP="003C0902">
      <w:pPr>
        <w:pStyle w:val="ParaNum"/>
      </w:pPr>
      <w:r w:rsidRPr="005968CD">
        <w:rPr>
          <w:i/>
        </w:rPr>
        <w:t>Broadband  Personal Communications Service</w:t>
      </w:r>
      <w:r w:rsidRPr="005968CD">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5968CD">
        <w:rPr>
          <w:rStyle w:val="StyleFootnoteReferenceStyle13Style12NECGFootnoteReferenc"/>
          <w:sz w:val="22"/>
          <w:szCs w:val="22"/>
        </w:rPr>
        <w:footnoteReference w:id="143"/>
      </w:r>
      <w:r w:rsidRPr="005968CD">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5968CD">
        <w:rPr>
          <w:rStyle w:val="StyleFootnoteReferenceStyle13Style12NECGFootnoteReferenc"/>
          <w:sz w:val="22"/>
          <w:szCs w:val="22"/>
        </w:rPr>
        <w:footnoteReference w:id="144"/>
      </w:r>
      <w:r w:rsidRPr="005968CD">
        <w:t xml:space="preserve">  These small business size standards, in the context of broadband PCS auctions, have been approved by the SBA.</w:t>
      </w:r>
      <w:r w:rsidRPr="005968CD">
        <w:rPr>
          <w:rStyle w:val="StyleFootnoteReferenceStyle13Style12NECGFootnoteReferenc"/>
          <w:sz w:val="22"/>
          <w:szCs w:val="22"/>
        </w:rPr>
        <w:footnoteReference w:id="145"/>
      </w:r>
      <w:r w:rsidRPr="005968CD">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5968CD">
        <w:rPr>
          <w:rStyle w:val="StyleFootnoteReferenceStyle13Style12NECGFootnoteReferenc"/>
          <w:sz w:val="22"/>
          <w:szCs w:val="22"/>
        </w:rPr>
        <w:footnoteReference w:id="146"/>
      </w:r>
      <w:r w:rsidRPr="005968CD">
        <w:t xml:space="preserve">  On April 15, 1999, the Commission completed the reauction of 347 C-, D-, E-, and F-Block licenses in Auction No. 22.</w:t>
      </w:r>
      <w:r w:rsidRPr="005968CD">
        <w:rPr>
          <w:rStyle w:val="StyleFootnoteReferenceStyle13Style12NECGFootnoteReferenc"/>
          <w:sz w:val="22"/>
          <w:szCs w:val="22"/>
        </w:rPr>
        <w:footnoteReference w:id="147"/>
      </w:r>
      <w:r w:rsidRPr="005968CD">
        <w:t xml:space="preserve">  Of the 57 winning bidders in that auction, 48 claimed small business status and won 277 licenses.   </w:t>
      </w:r>
    </w:p>
    <w:p w14:paraId="2DAEE9FF" w14:textId="77777777" w:rsidR="003C0902" w:rsidRPr="005968CD" w:rsidRDefault="003C0902" w:rsidP="003C0902">
      <w:pPr>
        <w:pStyle w:val="ParaNum"/>
      </w:pPr>
      <w:r w:rsidRPr="005968CD">
        <w:t>On January 26, 2001, the Commission completed the auction of 422 C and F Block Broadband PCS licenses in Auction No. 35.  Of the 35 winning bidders in that auction, 29 claimed small business status.</w:t>
      </w:r>
      <w:r w:rsidRPr="005968CD">
        <w:rPr>
          <w:rStyle w:val="StyleFootnoteReferenceStyle13Style12NECGFootnoteReferenc"/>
          <w:sz w:val="22"/>
          <w:szCs w:val="22"/>
        </w:rPr>
        <w:footnoteReference w:id="148"/>
      </w:r>
      <w:r w:rsidRPr="005968CD">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5968CD">
        <w:rPr>
          <w:rStyle w:val="StyleFootnoteReferenceStyle13Style12NECGFootnoteReferenc"/>
          <w:sz w:val="22"/>
          <w:szCs w:val="22"/>
        </w:rPr>
        <w:footnoteReference w:id="149"/>
      </w:r>
      <w:r w:rsidRPr="005968CD">
        <w:t xml:space="preserve">  On May 21, 2007, the Commission completed an auction of 33 licenses in the A, C, and F Blocks in Auction No. 71.</w:t>
      </w:r>
      <w:r w:rsidRPr="005968CD">
        <w:footnoteReference w:id="150"/>
      </w:r>
      <w:r w:rsidRPr="005968CD">
        <w:t xml:space="preserve">  Of the 12 winning bidders in that auction, five claimed small business status and won 18 licenses.</w:t>
      </w:r>
      <w:r w:rsidRPr="005968CD">
        <w:footnoteReference w:id="151"/>
      </w:r>
      <w:r w:rsidRPr="005968CD">
        <w:t xml:space="preserve">  On August 20, 2008, the Commission completed the auction of 20 C-, D-, E-, and F-Block Broadband PCS licenses in Auction No. 78.</w:t>
      </w:r>
      <w:r w:rsidRPr="005968CD">
        <w:rPr>
          <w:rStyle w:val="StyleFootnoteReferenceStyle13Style12NECGFootnoteReferenc"/>
          <w:sz w:val="22"/>
          <w:szCs w:val="22"/>
        </w:rPr>
        <w:footnoteReference w:id="152"/>
      </w:r>
      <w:r w:rsidRPr="005968CD">
        <w:t xml:space="preserve">  Of the eight winning bidders for Broadband PCS licenses in that auction, six claimed small business status and won 14 licenses.</w:t>
      </w:r>
      <w:r w:rsidRPr="005968CD">
        <w:rPr>
          <w:rStyle w:val="StyleFootnoteReferenceStyle13Style12NECGFootnoteReferenc"/>
          <w:sz w:val="22"/>
          <w:szCs w:val="22"/>
        </w:rPr>
        <w:footnoteReference w:id="153"/>
      </w:r>
      <w:r w:rsidRPr="005968CD">
        <w:t xml:space="preserve"> </w:t>
      </w:r>
    </w:p>
    <w:p w14:paraId="2A53B52D" w14:textId="77777777" w:rsidR="003C0902" w:rsidRPr="005968CD" w:rsidRDefault="003C0902" w:rsidP="003C0902">
      <w:pPr>
        <w:pStyle w:val="ParaNum"/>
      </w:pPr>
      <w:r w:rsidRPr="005968CD">
        <w:rPr>
          <w:i/>
        </w:rPr>
        <w:t>Narrowband Personal Communications Services</w:t>
      </w:r>
      <w:r w:rsidRPr="005968CD">
        <w:t>.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sidRPr="005968CD">
        <w:rPr>
          <w:rStyle w:val="StyleFootnoteReferenceStyle13Style12NECGFootnoteReferenc"/>
          <w:sz w:val="22"/>
          <w:szCs w:val="22"/>
        </w:rPr>
        <w:footnoteReference w:id="154"/>
      </w:r>
      <w:r w:rsidRPr="005968CD">
        <w:rPr>
          <w:rStyle w:val="StyleFootnoteReferenceStyle13Style12NECGFootnoteReferenc"/>
          <w:sz w:val="22"/>
          <w:szCs w:val="22"/>
        </w:rPr>
        <w:t xml:space="preserve"> </w:t>
      </w:r>
      <w:r w:rsidRPr="005968CD">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5968CD">
        <w:rPr>
          <w:rStyle w:val="StyleFootnoteReferenceStyle13Style12NECGFootnoteReferenc"/>
          <w:sz w:val="22"/>
          <w:szCs w:val="22"/>
        </w:rPr>
        <w:footnoteReference w:id="155"/>
      </w:r>
    </w:p>
    <w:p w14:paraId="685A5B82" w14:textId="77777777" w:rsidR="003C0902" w:rsidRPr="005968CD" w:rsidRDefault="003C0902" w:rsidP="003C0902">
      <w:pPr>
        <w:pStyle w:val="ParaNum"/>
      </w:pPr>
      <w:r w:rsidRPr="005968CD">
        <w:rPr>
          <w:rStyle w:val="StyleParaNumCharCharBold1Char"/>
          <w:b w:val="0"/>
          <w:i/>
          <w:szCs w:val="22"/>
        </w:rPr>
        <w:t>Specialized Mobile Radio.</w:t>
      </w:r>
      <w:r w:rsidRPr="005968CD">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sidRPr="005968CD">
        <w:rPr>
          <w:rStyle w:val="FootnoteReference"/>
          <w:sz w:val="22"/>
          <w:szCs w:val="22"/>
        </w:rPr>
        <w:footnoteReference w:id="156"/>
      </w:r>
      <w:r w:rsidRPr="005968CD">
        <w:t xml:space="preserve">  The Commission awards “very small entity” bidding credits to firms that had revenues of no more than $3 million in each of the three previous calendar years.</w:t>
      </w:r>
      <w:r w:rsidRPr="005968CD">
        <w:rPr>
          <w:rStyle w:val="FootnoteReference"/>
          <w:sz w:val="22"/>
          <w:szCs w:val="22"/>
        </w:rPr>
        <w:footnoteReference w:id="157"/>
      </w:r>
      <w:r w:rsidRPr="005968CD">
        <w:t xml:space="preserve">  The SBA has approved these small business size standards for the 900 MHz Service.</w:t>
      </w:r>
      <w:r w:rsidRPr="005968CD">
        <w:rPr>
          <w:rStyle w:val="FootnoteReference"/>
          <w:sz w:val="22"/>
          <w:szCs w:val="22"/>
        </w:rPr>
        <w:footnoteReference w:id="158"/>
      </w:r>
      <w:r w:rsidRPr="005968CD">
        <w:t xml:space="preserve">  The Commission has held auctions for geographic area licenses in the 800 MHz and 900 MHz bands.  The 900 MHz SMR was completed in 1996.  Sixty bidders claiming that they qualified as small businesses under the $15 million size standard won 263 geographic area licenses in the 900 MHz SMR band.  The 800 MHz SMR auction for the upper 200 channels was conducted in 1997.  Ten bidders claiming that they qualified as small businesses under the $15 million size standard won 38 geographic area licenses for the upper 200 channels in the 800 MHz SMR band.</w:t>
      </w:r>
      <w:r w:rsidRPr="005968CD">
        <w:rPr>
          <w:rStyle w:val="FootnoteReference"/>
          <w:sz w:val="22"/>
          <w:szCs w:val="22"/>
        </w:rPr>
        <w:footnoteReference w:id="159"/>
      </w:r>
      <w:r w:rsidRPr="005968CD">
        <w:t xml:space="preserve">  A second auction for the 800 MHz band was conducted in 2002 and included 23 BEA licenses.  One bidder claiming small business status won five licenses.</w:t>
      </w:r>
      <w:r w:rsidRPr="005968CD">
        <w:rPr>
          <w:rStyle w:val="FootnoteReference"/>
          <w:sz w:val="22"/>
          <w:szCs w:val="22"/>
        </w:rPr>
        <w:footnoteReference w:id="160"/>
      </w:r>
      <w:r w:rsidRPr="005968CD">
        <w:t xml:space="preserve"> </w:t>
      </w:r>
    </w:p>
    <w:p w14:paraId="6D757419" w14:textId="77777777" w:rsidR="003C0902" w:rsidRPr="005968CD" w:rsidRDefault="003C0902" w:rsidP="003C0902">
      <w:pPr>
        <w:pStyle w:val="ParaNum"/>
      </w:pPr>
      <w:r w:rsidRPr="005968CD">
        <w:t>The auction of the 1,050 800 MHz SMR geographic area licenses for the General Category channels was conducted in 2000.  Eleven bidders won 108 geographic area licenses for the General Category channels in the 800 MHz SMR band qualified as small businesses under the $15 million size standard.</w:t>
      </w:r>
      <w:r w:rsidRPr="005968CD">
        <w:rPr>
          <w:rStyle w:val="FootnoteReference"/>
          <w:sz w:val="22"/>
          <w:szCs w:val="22"/>
        </w:rPr>
        <w:footnoteReference w:id="161"/>
      </w:r>
      <w:r w:rsidRPr="005968CD">
        <w:t xml:space="preserve">  In an auction completed in 2000, a total of 2,800 Economic Area licenses in the lower 80 channels of the 800 MHz SMR service were awarded</w:t>
      </w:r>
      <w:r w:rsidRPr="005968CD">
        <w:rPr>
          <w:rStyle w:val="FootnoteReference"/>
          <w:sz w:val="22"/>
          <w:szCs w:val="22"/>
        </w:rPr>
        <w:footnoteReference w:id="162"/>
      </w:r>
      <w:r w:rsidRPr="005968CD">
        <w:t>.  Of the 22 winning bidders, 19 claimed “small business” status and won 129 licenses.  Thus, combining all three auctions, 40 winning bidders for geographic licenses in the 800 MHz SMR band claimed status as small business.</w:t>
      </w:r>
    </w:p>
    <w:p w14:paraId="4DF3D62C" w14:textId="77777777" w:rsidR="003C0902" w:rsidRPr="005968CD" w:rsidRDefault="003C0902" w:rsidP="003C0902">
      <w:pPr>
        <w:pStyle w:val="ParaNum"/>
      </w:pPr>
      <w:r w:rsidRPr="005968CD">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sidRPr="005968CD">
        <w:rPr>
          <w:rStyle w:val="FootnoteReference"/>
          <w:sz w:val="22"/>
          <w:szCs w:val="22"/>
        </w:rPr>
        <w:footnoteReference w:id="163"/>
      </w:r>
      <w:r w:rsidRPr="005968CD">
        <w:t xml:space="preserve">  We assume, for purposes of this analysis, that all of the remaining existing extended implementation authorizations are held by small entities, as that small business size standard is approved by the SBA.</w:t>
      </w:r>
    </w:p>
    <w:p w14:paraId="1E6C2FD3" w14:textId="77777777" w:rsidR="003C0902" w:rsidRPr="005968CD" w:rsidRDefault="003C0902" w:rsidP="003C0902">
      <w:pPr>
        <w:pStyle w:val="ParaNum"/>
      </w:pPr>
      <w:r w:rsidRPr="003C0902">
        <w:rPr>
          <w:i/>
        </w:rPr>
        <w:t>AWS Services (1710–1755 MHz  and 2110–2155 MHz bands (AWS-1); 1915–1920 MHz, 1995–2000 MHz, 2020–2025 MHz and 2175–2180 MHz bands (AWS-2); 2155–2175 MHz band (AWS-3)).</w:t>
      </w:r>
      <w:r w:rsidRPr="005968CD">
        <w:t xml:space="preserve">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5968CD">
        <w:rPr>
          <w:rStyle w:val="FootnoteReference"/>
          <w:sz w:val="22"/>
          <w:szCs w:val="22"/>
        </w:rPr>
        <w:footnoteReference w:id="164"/>
      </w:r>
      <w:r w:rsidRPr="005968CD">
        <w:t xml:space="preserve">  In 2006, the Commission conducted its first auction of AWS-1 licenses.</w:t>
      </w:r>
      <w:r w:rsidRPr="005968CD">
        <w:rPr>
          <w:rStyle w:val="FootnoteReference"/>
          <w:sz w:val="22"/>
          <w:szCs w:val="22"/>
        </w:rPr>
        <w:footnoteReference w:id="165"/>
      </w:r>
      <w:r w:rsidRPr="005968CD">
        <w:t xml:space="preserve">  In that initial AWS-1 auction, 31</w:t>
      </w:r>
      <w:r w:rsidRPr="005968CD">
        <w:rPr>
          <w:color w:val="000000"/>
        </w:rPr>
        <w:t xml:space="preserve"> winning bidders identified themselves as very small businesses.</w:t>
      </w:r>
      <w:r w:rsidRPr="005968CD">
        <w:rPr>
          <w:rStyle w:val="FootnoteReference"/>
          <w:sz w:val="22"/>
          <w:szCs w:val="22"/>
        </w:rPr>
        <w:footnoteReference w:id="166"/>
      </w:r>
      <w:r w:rsidRPr="005968CD">
        <w:rPr>
          <w:color w:val="000000"/>
        </w:rPr>
        <w:t xml:space="preserve">  Twenty-six of the winning bidders identified themselves as small businesses.</w:t>
      </w:r>
      <w:r w:rsidRPr="005968CD">
        <w:rPr>
          <w:rStyle w:val="FootnoteReference"/>
          <w:sz w:val="22"/>
          <w:szCs w:val="22"/>
        </w:rPr>
        <w:footnoteReference w:id="167"/>
      </w:r>
      <w:r w:rsidRPr="005968CD">
        <w:rPr>
          <w:color w:val="000000"/>
        </w:rPr>
        <w:t xml:space="preserve">  </w:t>
      </w:r>
      <w:r w:rsidRPr="005968CD">
        <w:t>In a subsequent 2008 auction, the Commission offered 35 AWS-1 licenses.</w:t>
      </w:r>
      <w:r w:rsidRPr="005968CD">
        <w:rPr>
          <w:rStyle w:val="FootnoteReference"/>
          <w:sz w:val="22"/>
          <w:szCs w:val="22"/>
        </w:rPr>
        <w:footnoteReference w:id="168"/>
      </w:r>
      <w:r w:rsidRPr="005968CD">
        <w:t xml:space="preserve">  Four winning bidders identified themselves as very small businesses, and three of the winning bidders identified themselves as a small business.</w:t>
      </w:r>
      <w:r w:rsidRPr="005968CD">
        <w:rPr>
          <w:rStyle w:val="FootnoteReference"/>
          <w:sz w:val="22"/>
          <w:szCs w:val="22"/>
        </w:rPr>
        <w:footnoteReference w:id="169"/>
      </w:r>
      <w:r w:rsidRPr="005968CD">
        <w:t>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sidRPr="005968CD">
        <w:rPr>
          <w:rStyle w:val="FootnoteReference"/>
          <w:sz w:val="22"/>
          <w:szCs w:val="22"/>
        </w:rPr>
        <w:footnoteReference w:id="170"/>
      </w:r>
      <w:r w:rsidRPr="005968CD">
        <w:t xml:space="preserve"> </w:t>
      </w:r>
    </w:p>
    <w:p w14:paraId="37738353" w14:textId="77777777" w:rsidR="003C0902" w:rsidRPr="005968CD" w:rsidRDefault="003C0902" w:rsidP="003C0902">
      <w:pPr>
        <w:pStyle w:val="ParaNum"/>
      </w:pPr>
      <w:r w:rsidRPr="005968CD">
        <w:rPr>
          <w:i/>
        </w:rPr>
        <w:t>Rural Radiotelephone Service</w:t>
      </w:r>
      <w:r w:rsidRPr="005968CD">
        <w:t>.  The Commission has not adopted a size standard for small businesses specific to the Rural Radiotelephone Service.  A significant subset of the Rural Radiotelephone Service is the Basic Exchange Telephone Radio System (“BETRS”).  In the present context, we will use the SBA’s small business size standard applicable to Wireless Telecommunications Carriers (except Satellite), i.e., an entity employing no more than 1,500 persons.</w:t>
      </w:r>
      <w:r w:rsidRPr="005968CD">
        <w:rPr>
          <w:rStyle w:val="FootnoteReference"/>
          <w:sz w:val="22"/>
          <w:szCs w:val="22"/>
        </w:rPr>
        <w:footnoteReference w:id="171"/>
      </w:r>
      <w:r w:rsidRPr="005968CD">
        <w:t xml:space="preserve">  There are approximately 1,000 licensees in the Rural Radiotelephone Service, and the Commission estimates that there are 1,000 or fewer small entity licensees in the Rural Radiotelephone Service that may be affected by the rules and policies adopted herein.</w:t>
      </w:r>
    </w:p>
    <w:p w14:paraId="6581E08A" w14:textId="77777777" w:rsidR="003C0902" w:rsidRPr="005968CD" w:rsidRDefault="003C0902" w:rsidP="003C0902">
      <w:pPr>
        <w:pStyle w:val="ParaNum"/>
      </w:pPr>
      <w:r w:rsidRPr="005968CD">
        <w:rPr>
          <w:i/>
        </w:rPr>
        <w:t>Wireless Communications Services.</w:t>
      </w:r>
      <w:r w:rsidRPr="005968CD">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5968CD">
        <w:rPr>
          <w:rStyle w:val="FootnoteReference"/>
          <w:sz w:val="22"/>
          <w:szCs w:val="22"/>
        </w:rPr>
        <w:footnoteReference w:id="172"/>
      </w:r>
      <w:r w:rsidRPr="005968CD">
        <w:t xml:space="preserve">  The SBA has approved these definitions.</w:t>
      </w:r>
      <w:r w:rsidRPr="005968CD">
        <w:rPr>
          <w:rStyle w:val="FootnoteReference"/>
          <w:sz w:val="22"/>
          <w:szCs w:val="22"/>
        </w:rPr>
        <w:footnoteReference w:id="173"/>
      </w:r>
      <w:r w:rsidRPr="005968CD">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p>
    <w:p w14:paraId="429002B9" w14:textId="77777777" w:rsidR="003C0902" w:rsidRPr="005968CD" w:rsidRDefault="003C0902" w:rsidP="003C0902">
      <w:pPr>
        <w:pStyle w:val="ParaNum"/>
      </w:pPr>
      <w:r w:rsidRPr="005968CD">
        <w:rPr>
          <w:i/>
        </w:rPr>
        <w:t>220 MHz Radio Service – Phase I Licensees</w:t>
      </w:r>
      <w:r w:rsidRPr="005968CD">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5968CD">
        <w:rPr>
          <w:rStyle w:val="StyleFootnoteReferenceStyle13Style12NECGFootnoteReferenc"/>
          <w:sz w:val="22"/>
          <w:szCs w:val="22"/>
        </w:rPr>
        <w:footnoteReference w:id="174"/>
      </w:r>
      <w:r w:rsidRPr="005968CD">
        <w:t xml:space="preserve">  For this service, the SBA uses the category of Wireless Telecommunications Carriers (except Satellite). Census data for 2007, which supersede data contained in the 2002 Census, show that there were 1,383 firms that operated that year.</w:t>
      </w:r>
      <w:r w:rsidRPr="005968CD">
        <w:rPr>
          <w:rStyle w:val="FootnoteReference"/>
          <w:sz w:val="22"/>
          <w:szCs w:val="22"/>
        </w:rPr>
        <w:footnoteReference w:id="175"/>
      </w:r>
      <w:r w:rsidRPr="005968CD">
        <w:t xml:space="preserve">  Of those 1,383, 1,368 had fewer than 100 employees, and 15 firms had more than 100 employees.  Thus under this category and the associated small business size standard, the majority of firms can be considered small.</w:t>
      </w:r>
    </w:p>
    <w:p w14:paraId="29C53EF6" w14:textId="77777777" w:rsidR="003C0902" w:rsidRPr="005968CD" w:rsidRDefault="003C0902" w:rsidP="003C0902">
      <w:pPr>
        <w:pStyle w:val="ParaNum"/>
      </w:pPr>
      <w:r w:rsidRPr="005968CD">
        <w:rPr>
          <w:rStyle w:val="StyleParaNumCharCharBold1Char"/>
          <w:b w:val="0"/>
          <w:i/>
          <w:szCs w:val="22"/>
        </w:rPr>
        <w:t xml:space="preserve">220 MHz Radio Service – Phase II </w:t>
      </w:r>
      <w:r w:rsidRPr="005968CD">
        <w:rPr>
          <w:i/>
        </w:rPr>
        <w:t>Licensees</w:t>
      </w:r>
      <w:r w:rsidRPr="005968CD">
        <w:rPr>
          <w:rStyle w:val="StyleParaNumCharCharBold1Char"/>
          <w:b w:val="0"/>
          <w:i/>
          <w:szCs w:val="22"/>
        </w:rPr>
        <w:t>.</w:t>
      </w:r>
      <w:r w:rsidRPr="005968CD">
        <w:t xml:space="preserve">  The 220 MHz service has both Phase I and Phase II licenses.  The Phase II 220 MHz service is a new service, and is subject to spectrum auctions.  In the </w:t>
      </w:r>
      <w:r w:rsidRPr="005968CD">
        <w:rPr>
          <w:i/>
        </w:rPr>
        <w:t>220 MHz Third Report and Order</w:t>
      </w:r>
      <w:r w:rsidRPr="005968CD">
        <w:t>, the Commission adopted a small business size standard for defining “small” and “very small” businesses for purposes of determining their eligibility for special provisions such as bidding credits and installment payments.</w:t>
      </w:r>
      <w:r w:rsidRPr="005968CD">
        <w:rPr>
          <w:rStyle w:val="FootnoteReference"/>
          <w:sz w:val="22"/>
          <w:szCs w:val="22"/>
        </w:rPr>
        <w:footnoteReference w:id="176"/>
      </w:r>
      <w:r w:rsidRPr="005968CD">
        <w:t xml:space="preserve">  This small business standard indicates that a “small business” is an entity that, together with its affiliates and controlling principals, has average gross revenues not exceeding $15 million for the preceding three years.</w:t>
      </w:r>
      <w:r w:rsidRPr="005968CD">
        <w:rPr>
          <w:rStyle w:val="FootnoteReference"/>
          <w:sz w:val="22"/>
          <w:szCs w:val="22"/>
        </w:rPr>
        <w:footnoteReference w:id="177"/>
      </w:r>
      <w:r w:rsidRPr="005968CD">
        <w:t xml:space="preserve">  A “very small business” is defined as an entity that, together with its affiliates and controlling principals, has average gross revenues that do not exceed $3 million for the preceding three years.</w:t>
      </w:r>
      <w:r w:rsidRPr="005968CD">
        <w:rPr>
          <w:rStyle w:val="FootnoteReference"/>
          <w:sz w:val="22"/>
          <w:szCs w:val="22"/>
        </w:rPr>
        <w:footnoteReference w:id="178"/>
      </w:r>
      <w:r w:rsidRPr="005968CD">
        <w:t xml:space="preserve">  The SBA has approved these small size standards.</w:t>
      </w:r>
      <w:r w:rsidRPr="005968CD">
        <w:rPr>
          <w:rStyle w:val="FootnoteReference"/>
          <w:sz w:val="22"/>
          <w:szCs w:val="22"/>
        </w:rPr>
        <w:footnoteReference w:id="179"/>
      </w:r>
      <w:r w:rsidRPr="005968CD">
        <w:t xml:space="preserve">  Auctions of Phase II licenses commenced on and closed in 1998.</w:t>
      </w:r>
      <w:r w:rsidRPr="005968CD">
        <w:rPr>
          <w:rStyle w:val="FootnoteReference"/>
          <w:sz w:val="22"/>
          <w:szCs w:val="22"/>
        </w:rPr>
        <w:footnoteReference w:id="180"/>
      </w:r>
      <w:r w:rsidRPr="005968CD">
        <w:t xml:space="preserve">  In the first auction, 908 licenses were auctioned in three different</w:t>
      </w:r>
      <w:r w:rsidRPr="005968CD">
        <w:noBreakHyphen/>
        <w:t>sized geographic areas:  three nationwide licenses, 30 Regional Economic Area Group (EAG) Licenses, and 875 Economic Area (EA) Licenses.  Of the 908 licenses auctioned, 693 were sold.</w:t>
      </w:r>
      <w:r w:rsidRPr="005968CD">
        <w:rPr>
          <w:rStyle w:val="FootnoteReference"/>
          <w:sz w:val="22"/>
          <w:szCs w:val="22"/>
        </w:rPr>
        <w:footnoteReference w:id="181"/>
      </w:r>
      <w:r w:rsidRPr="005968CD">
        <w:t xml:space="preserve">  Thirty-nine small businesses won 373 licenses in the first 220 MHz auction.  A second auction included 225 licenses: 216 EA licenses and 9 EAG licenses.  Fourteen companies claiming small business status won 158 licenses.</w:t>
      </w:r>
      <w:r w:rsidRPr="005968CD">
        <w:rPr>
          <w:rStyle w:val="FootnoteReference"/>
          <w:sz w:val="22"/>
          <w:szCs w:val="22"/>
        </w:rPr>
        <w:footnoteReference w:id="182"/>
      </w:r>
      <w:r w:rsidRPr="005968CD">
        <w:t xml:space="preserve">  A third auction included four licenses: 2 BEA licenses and 2 EAG licenses in the 220 MHz Service.  No small or very small business won any of these licenses.</w:t>
      </w:r>
      <w:r w:rsidRPr="005968CD">
        <w:rPr>
          <w:rStyle w:val="FootnoteReference"/>
          <w:sz w:val="22"/>
          <w:szCs w:val="22"/>
        </w:rPr>
        <w:footnoteReference w:id="183"/>
      </w:r>
      <w:r w:rsidRPr="005968CD">
        <w:t xml:space="preserve">  In 2007, the Commission conducted a fourth auction of the 220 MHz licenses.</w:t>
      </w:r>
      <w:r w:rsidRPr="005968CD">
        <w:rPr>
          <w:rStyle w:val="FootnoteReference"/>
          <w:sz w:val="22"/>
          <w:szCs w:val="22"/>
        </w:rPr>
        <w:footnoteReference w:id="184"/>
      </w:r>
      <w:r w:rsidRPr="005968CD">
        <w:t xml:space="preserve">  Bidding credits were offered to small businesses.  A bidder with attributed average annual gross revenues that exceeded $3 million and did not exceed $15 million for the preceding three years (“small business”) received a 25 percent discount on its winning bid.  A bidder with attributed average annual gross revenues that did not exceed $3 million for the preceding three years received a 35 percent discount on its winning bid (“very small business”).  Auction 72, which offered 94 Phase II 220 MHz Service licenses, concluded in 2007.</w:t>
      </w:r>
      <w:r w:rsidRPr="005968CD">
        <w:rPr>
          <w:rStyle w:val="FootnoteReference"/>
          <w:sz w:val="22"/>
          <w:szCs w:val="22"/>
        </w:rPr>
        <w:footnoteReference w:id="185"/>
      </w:r>
      <w:r w:rsidRPr="005968CD">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14:paraId="0F0D2F59" w14:textId="77777777" w:rsidR="003C0902" w:rsidRPr="005968CD" w:rsidRDefault="003C0902" w:rsidP="003C0902">
      <w:pPr>
        <w:pStyle w:val="ParaNum"/>
      </w:pPr>
      <w:r w:rsidRPr="005968CD">
        <w:rPr>
          <w:i/>
        </w:rPr>
        <w:t>700 MHz Guard Band Licenses.</w:t>
      </w:r>
      <w:r w:rsidRPr="005968CD">
        <w:t xml:space="preserve">  In the </w:t>
      </w:r>
      <w:r w:rsidRPr="005968CD">
        <w:rPr>
          <w:i/>
        </w:rPr>
        <w:t>700 MHz Guard Band Order</w:t>
      </w:r>
      <w:r w:rsidRPr="005968CD">
        <w:t>, the Commission adopted size standards for “small businesses” and “very small businesses” for purposes of determining their eligibility for special provisions such as bidding credits and installment payments.</w:t>
      </w:r>
      <w:r w:rsidRPr="005968CD">
        <w:rPr>
          <w:rStyle w:val="FootnoteReference"/>
          <w:sz w:val="22"/>
          <w:szCs w:val="22"/>
        </w:rPr>
        <w:footnoteReference w:id="186"/>
      </w:r>
      <w:r w:rsidRPr="005968CD">
        <w:t xml:space="preserve">  A small business in this service is an entity that, together with its affiliates and controlling principals, has average gross revenues not exceeding $40 million for the preceding three years.</w:t>
      </w:r>
      <w:r w:rsidRPr="005968CD">
        <w:rPr>
          <w:rStyle w:val="FootnoteReference"/>
          <w:sz w:val="22"/>
          <w:szCs w:val="22"/>
        </w:rPr>
        <w:footnoteReference w:id="187"/>
      </w:r>
      <w:r w:rsidRPr="005968CD">
        <w:t xml:space="preserve">  Additionally, a “very small business” is an entity that, together with its affiliates and controlling principals, has average gross revenues that are not more than $15 million for the preceding three years.</w:t>
      </w:r>
      <w:r w:rsidRPr="005968CD">
        <w:rPr>
          <w:rStyle w:val="FootnoteReference"/>
          <w:sz w:val="22"/>
          <w:szCs w:val="22"/>
        </w:rPr>
        <w:footnoteReference w:id="188"/>
      </w:r>
      <w:r w:rsidRPr="005968CD">
        <w:t xml:space="preserve">  SBA approval of these definitions is not required.</w:t>
      </w:r>
      <w:r w:rsidRPr="005968CD">
        <w:rPr>
          <w:rStyle w:val="FootnoteReference"/>
          <w:sz w:val="22"/>
          <w:szCs w:val="22"/>
        </w:rPr>
        <w:footnoteReference w:id="189"/>
      </w:r>
      <w:r w:rsidRPr="005968CD">
        <w:t xml:space="preserve">  In 2000, the Commission conducted an auction of 52 Major Economic Area (“MEA”) licenses.</w:t>
      </w:r>
      <w:r w:rsidRPr="005968CD">
        <w:rPr>
          <w:rStyle w:val="FootnoteReference"/>
          <w:sz w:val="22"/>
          <w:szCs w:val="22"/>
        </w:rPr>
        <w:footnoteReference w:id="190"/>
      </w:r>
      <w:r w:rsidRPr="005968CD">
        <w:t xml:space="preserve">  Of the 104 licenses auctioned, 96 licenses were sold to nine bidders.  Five of these bidders were small businesses that won a total of 26 licenses.  A second auction of 700 MHz Guard Band licenses commenced and closed in 2001.  All eight of the licenses auctioned were sold to three bidders.  One of these bidders was a small business that won a total of two licenses.</w:t>
      </w:r>
      <w:r w:rsidRPr="005968CD">
        <w:rPr>
          <w:rStyle w:val="FootnoteReference"/>
          <w:sz w:val="22"/>
          <w:szCs w:val="22"/>
        </w:rPr>
        <w:footnoteReference w:id="191"/>
      </w:r>
      <w:r w:rsidRPr="005968CD">
        <w:t xml:space="preserve"> </w:t>
      </w:r>
    </w:p>
    <w:p w14:paraId="07DE23DB" w14:textId="77777777" w:rsidR="003C0902" w:rsidRPr="005968CD" w:rsidRDefault="003C0902" w:rsidP="003C0902">
      <w:pPr>
        <w:pStyle w:val="ParaNum"/>
      </w:pPr>
      <w:r w:rsidRPr="005968CD">
        <w:rPr>
          <w:i/>
        </w:rPr>
        <w:t>Upper 700 MHz Band Licenses</w:t>
      </w:r>
      <w:r w:rsidRPr="005968CD">
        <w:t xml:space="preserve">.  In the </w:t>
      </w:r>
      <w:r w:rsidRPr="005968CD">
        <w:rPr>
          <w:i/>
        </w:rPr>
        <w:t>700 MHz Second Report and Order</w:t>
      </w:r>
      <w:r w:rsidRPr="005968CD">
        <w:t>, the Commission revised its rules regarding Upper 700 MHz licenses.</w:t>
      </w:r>
      <w:r w:rsidRPr="005968CD">
        <w:rPr>
          <w:rStyle w:val="FootnoteReference"/>
          <w:sz w:val="22"/>
          <w:szCs w:val="22"/>
        </w:rPr>
        <w:footnoteReference w:id="192"/>
      </w:r>
      <w:r w:rsidRPr="005968CD">
        <w:t xml:space="preserve">  On January 24, 2008, the Commission commenced Auction 73 in which several licenses in the Upper 700 MHz band were available for licensing:  12 Regional Economic Area Grouping licenses in the C Block, and one nationwide license in the D Block.</w:t>
      </w:r>
      <w:r w:rsidRPr="005968CD">
        <w:rPr>
          <w:rStyle w:val="FootnoteReference"/>
          <w:sz w:val="22"/>
          <w:szCs w:val="22"/>
        </w:rPr>
        <w:footnoteReference w:id="193"/>
      </w:r>
      <w:r w:rsidRPr="005968CD">
        <w:t xml:space="preserve">  The auction concluded on March 18, 2008, with 3 winning bidders claiming very small business status (those with attributable average annual gross revenues that do not exceed $15 million for the preceding three years) and winning five licenses.</w:t>
      </w:r>
    </w:p>
    <w:p w14:paraId="701236B6" w14:textId="77777777" w:rsidR="003C0902" w:rsidRPr="005968CD" w:rsidRDefault="003C0902" w:rsidP="003C0902">
      <w:pPr>
        <w:pStyle w:val="ParaNum"/>
      </w:pPr>
      <w:r w:rsidRPr="005968CD">
        <w:rPr>
          <w:i/>
        </w:rPr>
        <w:t>Lower 700 MHz Band Licenses</w:t>
      </w:r>
      <w:r w:rsidRPr="005968CD">
        <w:t>.  The Commission previously adopted criteria for defining three groups of small businesses for purposes of determining their eligibility for special provisions such as bidding credits.</w:t>
      </w:r>
      <w:r w:rsidRPr="005968CD">
        <w:rPr>
          <w:vertAlign w:val="superscript"/>
        </w:rPr>
        <w:footnoteReference w:id="194"/>
      </w:r>
      <w:r w:rsidRPr="005968CD">
        <w:t xml:space="preserve">  The Commission defined a “small business” as an entity that, together with its affiliates and controlling principals, has average gross revenues not exceeding $40 million for the preceding three years.</w:t>
      </w:r>
      <w:r w:rsidRPr="005968CD">
        <w:rPr>
          <w:vertAlign w:val="superscript"/>
        </w:rPr>
        <w:footnoteReference w:id="195"/>
      </w:r>
      <w:r w:rsidRPr="005968CD">
        <w:t xml:space="preserve">  A “very small business” is defined as an entity that, together with its affiliates and controlling principals, has average gross revenues that are not more than $15 million for the preceding three years.</w:t>
      </w:r>
      <w:r w:rsidRPr="005968CD">
        <w:rPr>
          <w:vertAlign w:val="superscript"/>
        </w:rPr>
        <w:footnoteReference w:id="196"/>
      </w:r>
      <w:r w:rsidRPr="005968CD">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5968CD">
        <w:rPr>
          <w:vertAlign w:val="superscript"/>
        </w:rPr>
        <w:footnoteReference w:id="197"/>
      </w:r>
      <w:r w:rsidRPr="005968CD">
        <w:t xml:space="preserve">  The SBA approved these small size standards.</w:t>
      </w:r>
      <w:r w:rsidRPr="005968CD">
        <w:rPr>
          <w:vertAlign w:val="superscript"/>
        </w:rPr>
        <w:footnoteReference w:id="198"/>
      </w:r>
      <w:r w:rsidRPr="005968CD">
        <w:t xml:space="preserve">  An auction of 740 licenses (one license in each of the 734 MSAs/RSAs and one license in each of the six Economic Area Groupings (EAGs)) was conducted in 2002.  Of the 740 licenses available for auction, 484 licenses were won by 102 winning bidders.  Seventy-two of the winning bidders claimed small business, very small business or entrepreneur status and won licenses.</w:t>
      </w:r>
      <w:r w:rsidRPr="005968CD">
        <w:rPr>
          <w:vertAlign w:val="superscript"/>
        </w:rPr>
        <w:footnoteReference w:id="199"/>
      </w:r>
      <w:r w:rsidRPr="005968CD">
        <w:t xml:space="preserve">  A second auction commenced on May 28, 2003, closed on June 13, 2003, and included 256 licenses.</w:t>
      </w:r>
      <w:r w:rsidRPr="005968CD">
        <w:rPr>
          <w:vertAlign w:val="superscript"/>
        </w:rPr>
        <w:footnoteReference w:id="200"/>
      </w:r>
      <w:r w:rsidRPr="005968CD">
        <w:t xml:space="preserve">  Seventeen winning bidders claimed small or very small business status, and nine winning bidders claimed entrepreneur status.</w:t>
      </w:r>
      <w:r w:rsidRPr="005968CD">
        <w:rPr>
          <w:vertAlign w:val="superscript"/>
        </w:rPr>
        <w:footnoteReference w:id="201"/>
      </w:r>
      <w:r w:rsidRPr="005968CD">
        <w:t xml:space="preserve">  In 2005, the Commission completed an auction of 5 licenses in the Lower 700 MHz band.  All three winning bidders claimed small business status.</w:t>
      </w:r>
    </w:p>
    <w:p w14:paraId="05C9E021" w14:textId="77777777" w:rsidR="003C0902" w:rsidRPr="005968CD" w:rsidRDefault="003C0902" w:rsidP="003C0902">
      <w:pPr>
        <w:pStyle w:val="ParaNum"/>
      </w:pPr>
      <w:r w:rsidRPr="005968CD">
        <w:t xml:space="preserve">In 2007, the Commission reexamined its rules governing the 700 MHz band in the </w:t>
      </w:r>
      <w:r w:rsidRPr="005968CD">
        <w:rPr>
          <w:i/>
        </w:rPr>
        <w:t>700 MHz Second Report and Order</w:t>
      </w:r>
      <w:r w:rsidRPr="005968CD">
        <w:t>.</w:t>
      </w:r>
      <w:r w:rsidRPr="005968CD">
        <w:rPr>
          <w:rStyle w:val="FootnoteReference"/>
          <w:sz w:val="22"/>
          <w:szCs w:val="22"/>
        </w:rPr>
        <w:footnoteReference w:id="202"/>
      </w:r>
      <w:r w:rsidRPr="005968CD">
        <w:t xml:space="preserve">  An auction of A, B and E block 700 MHz licenses was held in 2008.</w:t>
      </w:r>
      <w:r w:rsidRPr="005968CD">
        <w:rPr>
          <w:rStyle w:val="FootnoteReference"/>
          <w:sz w:val="22"/>
          <w:szCs w:val="22"/>
        </w:rPr>
        <w:footnoteReference w:id="203"/>
      </w:r>
      <w:r w:rsidRPr="005968CD">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w:t>
      </w:r>
    </w:p>
    <w:p w14:paraId="2CA7F6C8" w14:textId="77777777" w:rsidR="003C0902" w:rsidRPr="005968CD" w:rsidRDefault="003C0902" w:rsidP="003C0902">
      <w:pPr>
        <w:pStyle w:val="ParaNum"/>
      </w:pPr>
      <w:r w:rsidRPr="005968CD">
        <w:rPr>
          <w:i/>
        </w:rPr>
        <w:t>Offshore Radiotelephone Service.</w:t>
      </w:r>
      <w:r w:rsidRPr="005968CD">
        <w:t xml:space="preserve">  This service operates on several UHF television broadcast channels that are not used for television broadcasting in the coastal areas of states bordering the Gulf of Mexico.</w:t>
      </w:r>
      <w:r w:rsidRPr="005968CD">
        <w:rPr>
          <w:rStyle w:val="StyleFootnoteReferenceStyle13Style12NECGFootnoteReferenc"/>
          <w:sz w:val="22"/>
          <w:szCs w:val="22"/>
        </w:rPr>
        <w:footnoteReference w:id="204"/>
      </w:r>
      <w:r w:rsidRPr="005968CD">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sidRPr="005968CD">
        <w:rPr>
          <w:rStyle w:val="StyleFootnoteReferenceStyle13Style12NECGFootnoteReferenc"/>
          <w:sz w:val="22"/>
          <w:szCs w:val="22"/>
        </w:rPr>
        <w:footnoteReference w:id="205"/>
      </w:r>
      <w:r w:rsidRPr="005968CD">
        <w:t xml:space="preserve">  Under that SBA small business size standard, a business is small if it has 1,500 or fewer employees.</w:t>
      </w:r>
      <w:r w:rsidRPr="005968CD">
        <w:rPr>
          <w:rStyle w:val="StyleFootnoteReferenceStyle13Style12NECGFootnoteReferenc"/>
          <w:sz w:val="22"/>
          <w:szCs w:val="22"/>
        </w:rPr>
        <w:footnoteReference w:id="206"/>
      </w:r>
      <w:r w:rsidRPr="005968CD">
        <w:t xml:space="preserve">   Census data for 2007, which supersede data contained in the 2002 Census, show that there were 1,383 firms that operated that year.</w:t>
      </w:r>
      <w:r w:rsidRPr="005968CD">
        <w:rPr>
          <w:rStyle w:val="FootnoteReference"/>
          <w:sz w:val="22"/>
          <w:szCs w:val="22"/>
        </w:rPr>
        <w:footnoteReference w:id="207"/>
      </w:r>
      <w:r w:rsidRPr="005968CD">
        <w:t xml:space="preserve">  Of those 1,383, 1,368 had fewer than 100 employees, and 15 firms had more than 100 employees.  Thus under this category and the associated small business size standard, the majority of firms can be considered small.</w:t>
      </w:r>
    </w:p>
    <w:p w14:paraId="42B31140" w14:textId="77777777" w:rsidR="003C0902" w:rsidRPr="005968CD" w:rsidRDefault="003C0902" w:rsidP="003C0902">
      <w:pPr>
        <w:pStyle w:val="ParaNum"/>
      </w:pPr>
      <w:r w:rsidRPr="005968CD">
        <w:rPr>
          <w:i/>
        </w:rPr>
        <w:t>Wireless Telephony</w:t>
      </w:r>
      <w:r w:rsidRPr="005968CD">
        <w:t>.  Wireless telephony includes cellular, personal communications services, and specialized mobile radio telephony carriers.  As noted, the SBA has developed a small business size standard for Wireless Telecommunications Carriers (except Satellite).</w:t>
      </w:r>
      <w:r w:rsidRPr="005968CD">
        <w:rPr>
          <w:rStyle w:val="FootnoteReference"/>
          <w:sz w:val="22"/>
          <w:szCs w:val="22"/>
        </w:rPr>
        <w:footnoteReference w:id="208"/>
      </w:r>
      <w:r w:rsidRPr="005968CD">
        <w:t xml:space="preserve">  Under the SBA small business size standard, a business is small if it has 1,500 or fewer employees.</w:t>
      </w:r>
      <w:r w:rsidRPr="005968CD">
        <w:rPr>
          <w:rStyle w:val="FootnoteReference"/>
          <w:sz w:val="22"/>
          <w:szCs w:val="22"/>
        </w:rPr>
        <w:footnoteReference w:id="209"/>
      </w:r>
      <w:r w:rsidRPr="005968CD">
        <w:t xml:space="preserve">  According to </w:t>
      </w:r>
      <w:r w:rsidRPr="005968CD">
        <w:rPr>
          <w:i/>
        </w:rPr>
        <w:t>Trends in Telephone Service</w:t>
      </w:r>
      <w:r w:rsidRPr="005968CD">
        <w:t xml:space="preserve"> data, 413 carriers reported that they were engaged in wireless telephony.</w:t>
      </w:r>
      <w:r w:rsidRPr="005968CD">
        <w:rPr>
          <w:rStyle w:val="FootnoteReference"/>
          <w:sz w:val="22"/>
          <w:szCs w:val="22"/>
        </w:rPr>
        <w:footnoteReference w:id="210"/>
      </w:r>
      <w:r w:rsidRPr="005968CD">
        <w:t xml:space="preserve">  Of these, an estimated 261 have 1,500 or fewer employees and 152 have more than 1,500 employees.</w:t>
      </w:r>
      <w:r w:rsidRPr="005968CD">
        <w:rPr>
          <w:rStyle w:val="FootnoteReference"/>
          <w:sz w:val="22"/>
          <w:szCs w:val="22"/>
        </w:rPr>
        <w:footnoteReference w:id="211"/>
      </w:r>
      <w:r w:rsidRPr="005968CD">
        <w:t xml:space="preserve">  Therefore, more than half of these entities can be considered small.</w:t>
      </w:r>
    </w:p>
    <w:p w14:paraId="6AA99FBC" w14:textId="77777777" w:rsidR="003C0902" w:rsidRPr="005968CD" w:rsidRDefault="003C0902" w:rsidP="003C0902">
      <w:pPr>
        <w:pStyle w:val="ParaNum"/>
      </w:pPr>
      <w:r w:rsidRPr="005968CD">
        <w:rPr>
          <w:i/>
        </w:rPr>
        <w:t xml:space="preserve">Satellite Telecommunications Providers.  </w:t>
      </w:r>
      <w:r w:rsidRPr="005968CD">
        <w:t>Two economic census categories address the satellite industry.  The first category has a small business size standard of $15 million or less in average annual receipts, under SBA rules.</w:t>
      </w:r>
      <w:r w:rsidRPr="005968CD">
        <w:rPr>
          <w:rStyle w:val="StyleFootnoteReferenceStyle13Style12NECGFootnoteReferenc"/>
          <w:sz w:val="22"/>
          <w:szCs w:val="22"/>
        </w:rPr>
        <w:footnoteReference w:id="212"/>
      </w:r>
      <w:r w:rsidRPr="005968CD">
        <w:t xml:space="preserve">  The second has a size standard of $25 million or less in annual receipts.</w:t>
      </w:r>
      <w:r w:rsidRPr="005968CD">
        <w:rPr>
          <w:rStyle w:val="StyleFootnoteReferenceStyle13Style12NECGFootnoteReferenc"/>
          <w:sz w:val="22"/>
          <w:szCs w:val="22"/>
        </w:rPr>
        <w:footnoteReference w:id="213"/>
      </w:r>
      <w:r w:rsidRPr="005968CD">
        <w:t xml:space="preserve"> </w:t>
      </w:r>
    </w:p>
    <w:p w14:paraId="0861E730" w14:textId="77777777" w:rsidR="003C0902" w:rsidRPr="005968CD" w:rsidRDefault="003C0902" w:rsidP="003C0902">
      <w:pPr>
        <w:pStyle w:val="ParaNum"/>
      </w:pPr>
      <w:r w:rsidRPr="005968CD">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5968CD">
        <w:rPr>
          <w:rStyle w:val="StyleFootnoteReferenceStyle13Style12NECGFootnoteReferenc"/>
          <w:sz w:val="22"/>
          <w:szCs w:val="22"/>
        </w:rPr>
        <w:footnoteReference w:id="214"/>
      </w:r>
      <w:r w:rsidRPr="005968CD">
        <w:t xml:space="preserve">  Census Bureau data for 2007 show that 512 Satellite Telecommunications firms that operated for that entire year.</w:t>
      </w:r>
      <w:r w:rsidRPr="005968CD">
        <w:rPr>
          <w:rStyle w:val="StyleFootnoteReferenceStyle13Style12NECGFootnoteReferenc"/>
          <w:sz w:val="22"/>
          <w:szCs w:val="22"/>
        </w:rPr>
        <w:footnoteReference w:id="215"/>
      </w:r>
      <w:r w:rsidRPr="005968CD">
        <w:t xml:space="preserve">  Of this total, 464 firms had annual receipts of under $10 million, and 18 firms had receipts of $10 million to $24,999,999.</w:t>
      </w:r>
      <w:r w:rsidRPr="005968CD">
        <w:rPr>
          <w:rStyle w:val="StyleFootnoteReferenceStyle13Style12NECGFootnoteReferenc"/>
          <w:sz w:val="22"/>
          <w:szCs w:val="22"/>
        </w:rPr>
        <w:footnoteReference w:id="216"/>
      </w:r>
      <w:r w:rsidRPr="005968CD">
        <w:t xml:space="preserve">  Consequently, the Commission estimates that the majority of Satellite Telecommunications firms are small entities that might be affected by our action.</w:t>
      </w:r>
    </w:p>
    <w:p w14:paraId="2EEEC187" w14:textId="77777777" w:rsidR="003C0902" w:rsidRPr="005968CD" w:rsidRDefault="003C0902" w:rsidP="003C0902">
      <w:pPr>
        <w:pStyle w:val="ParaNum"/>
      </w:pPr>
      <w:r w:rsidRPr="005968CD">
        <w:t xml:space="preserve">The second category, </w:t>
      </w:r>
      <w:r w:rsidRPr="000C0DD9">
        <w:rPr>
          <w:i/>
        </w:rPr>
        <w:t>i.e</w:t>
      </w:r>
      <w:r w:rsidRPr="005968CD">
        <w:t>. “All Other Telecommunications</w:t>
      </w:r>
      <w:r>
        <w:t>,</w:t>
      </w:r>
      <w:r w:rsidRPr="005968CD">
        <w:t xml:space="preserve">”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5968CD">
        <w:rPr>
          <w:color w:val="000000"/>
        </w:rPr>
        <w:t>Establishments providing Internet services or Voice over Internet Protocol (VoIP) services via client-supplied telecommunications connections are also included in this industry.</w:t>
      </w:r>
      <w:r w:rsidRPr="005968CD">
        <w:t>”</w:t>
      </w:r>
      <w:r w:rsidRPr="005968CD">
        <w:rPr>
          <w:rStyle w:val="StyleFootnoteReferenceStyle13Style12NECGFootnoteReferenc"/>
          <w:sz w:val="22"/>
          <w:szCs w:val="22"/>
        </w:rPr>
        <w:footnoteReference w:id="217"/>
      </w:r>
      <w:r w:rsidRPr="005968CD">
        <w:t xml:space="preserve">  For this category, Census Bureau data for 2007 show that there were a total of 2,383 firms that operated for the entire year.</w:t>
      </w:r>
      <w:r w:rsidRPr="005968CD">
        <w:rPr>
          <w:rStyle w:val="StyleFootnoteReferenceStyle13Style12NECGFootnoteReferenc"/>
          <w:sz w:val="22"/>
          <w:szCs w:val="22"/>
        </w:rPr>
        <w:footnoteReference w:id="218"/>
      </w:r>
      <w:r w:rsidRPr="005968CD">
        <w:t xml:space="preserve">  Of this total, 2,346 firms had annual receipts of under $25 million and 37 firms had annual receipts of $25 million to $49, 999,999.</w:t>
      </w:r>
      <w:r w:rsidRPr="005968CD">
        <w:rPr>
          <w:rStyle w:val="StyleFootnoteReferenceStyle13Style12NECGFootnoteReferenc"/>
          <w:sz w:val="22"/>
          <w:szCs w:val="22"/>
        </w:rPr>
        <w:footnoteReference w:id="219"/>
      </w:r>
      <w:r w:rsidRPr="005968CD">
        <w:t xml:space="preserve">  Consequently, the Commission estimates that the majority of All Other Telecommunications firms are small entities that might be affected by our action.  </w:t>
      </w:r>
    </w:p>
    <w:p w14:paraId="18832E83" w14:textId="77777777" w:rsidR="003C0902" w:rsidRPr="005968CD" w:rsidRDefault="003C0902" w:rsidP="003C0902">
      <w:pPr>
        <w:pStyle w:val="Heading4"/>
        <w:widowControl/>
        <w:numPr>
          <w:ilvl w:val="1"/>
          <w:numId w:val="9"/>
        </w:numPr>
        <w:spacing w:after="220"/>
        <w:rPr>
          <w:szCs w:val="22"/>
        </w:rPr>
      </w:pPr>
      <w:bookmarkStart w:id="358" w:name="_Toc297278848"/>
      <w:bookmarkStart w:id="359" w:name="_Toc297280025"/>
      <w:bookmarkStart w:id="360" w:name="_Toc311539026"/>
      <w:bookmarkStart w:id="361" w:name="_Toc315776396"/>
      <w:bookmarkStart w:id="362" w:name="_Toc415573225"/>
      <w:bookmarkStart w:id="363" w:name="start_from_here"/>
      <w:r w:rsidRPr="005968CD">
        <w:rPr>
          <w:szCs w:val="22"/>
        </w:rPr>
        <w:t>Equipment Manufacturers</w:t>
      </w:r>
      <w:bookmarkEnd w:id="358"/>
      <w:bookmarkEnd w:id="359"/>
      <w:bookmarkEnd w:id="360"/>
      <w:bookmarkEnd w:id="361"/>
      <w:bookmarkEnd w:id="362"/>
      <w:bookmarkEnd w:id="363"/>
    </w:p>
    <w:p w14:paraId="7B9C2297" w14:textId="77777777" w:rsidR="003C0902" w:rsidRPr="005968CD" w:rsidRDefault="003C0902" w:rsidP="003C0902">
      <w:pPr>
        <w:pStyle w:val="ParaNum"/>
      </w:pPr>
      <w:bookmarkStart w:id="364" w:name="SearchTerm"/>
      <w:bookmarkStart w:id="365" w:name="OLE_LINK9"/>
      <w:bookmarkStart w:id="366" w:name="OLE_LINK10"/>
      <w:r w:rsidRPr="005968CD">
        <w:rPr>
          <w:bCs/>
          <w:i/>
          <w:iCs/>
        </w:rPr>
        <w:t xml:space="preserve">Radio and </w:t>
      </w:r>
      <w:bookmarkStart w:id="367" w:name="SR;7284"/>
      <w:bookmarkStart w:id="368" w:name="SR;7285"/>
      <w:bookmarkEnd w:id="367"/>
      <w:bookmarkEnd w:id="368"/>
      <w:r w:rsidRPr="005968CD">
        <w:rPr>
          <w:bCs/>
          <w:i/>
          <w:iCs/>
        </w:rPr>
        <w:t xml:space="preserve">Television Broadcasting and </w:t>
      </w:r>
      <w:r w:rsidRPr="005968CD">
        <w:rPr>
          <w:i/>
        </w:rPr>
        <w:t>Wireless Communications Equipment Manufacturing.</w:t>
      </w:r>
      <w:r w:rsidRPr="005968CD">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369" w:name="FN[FN8]"/>
      <w:bookmarkEnd w:id="369"/>
      <w:r w:rsidRPr="005968CD">
        <w:t xml:space="preserve"> The SBA has developed a small business size standard for</w:t>
      </w:r>
      <w:bookmarkStart w:id="370" w:name="SR;7360"/>
      <w:bookmarkEnd w:id="370"/>
      <w:r w:rsidRPr="005968CD">
        <w:t xml:space="preserve"> Radio and Television Broadcasting and</w:t>
      </w:r>
      <w:bookmarkStart w:id="371" w:name="SR;7365"/>
      <w:bookmarkEnd w:id="364"/>
      <w:bookmarkEnd w:id="371"/>
      <w:r w:rsidRPr="005968CD">
        <w:t xml:space="preserve"> Wireless Communications Equipment Manufacturing which is: all such firms having 750 or fewer employees</w:t>
      </w:r>
      <w:bookmarkStart w:id="372" w:name="FN[FN9]"/>
      <w:bookmarkEnd w:id="372"/>
      <w:r w:rsidRPr="005968CD">
        <w:t>. According to Census Bureau data for 2007, there were a total of 939 establishments in this category that operated for part or all of the entire year.</w:t>
      </w:r>
      <w:bookmarkStart w:id="373" w:name="FN[FN10]"/>
      <w:bookmarkEnd w:id="373"/>
      <w:r w:rsidRPr="005968CD">
        <w:t xml:space="preserve"> Of this total, 784 had less than 500 employees and 155 had more than 100 employees.</w:t>
      </w:r>
      <w:r w:rsidRPr="005968CD">
        <w:rPr>
          <w:rStyle w:val="FootnoteReference"/>
          <w:color w:val="000000"/>
          <w:sz w:val="22"/>
          <w:szCs w:val="22"/>
        </w:rPr>
        <w:footnoteReference w:id="220"/>
      </w:r>
      <w:bookmarkStart w:id="374" w:name="FN[FN11]"/>
      <w:bookmarkEnd w:id="374"/>
      <w:r w:rsidRPr="005968CD">
        <w:t xml:space="preserve"> Thus, under this size standard, the majority of firms can be considered small.</w:t>
      </w:r>
      <w:bookmarkEnd w:id="365"/>
      <w:bookmarkEnd w:id="366"/>
    </w:p>
    <w:p w14:paraId="2FE7F43E" w14:textId="77777777" w:rsidR="003C0902" w:rsidRPr="005968CD" w:rsidRDefault="003C0902" w:rsidP="003C0902">
      <w:pPr>
        <w:pStyle w:val="ParaNum"/>
      </w:pPr>
      <w:r w:rsidRPr="005968CD">
        <w:rPr>
          <w:i/>
        </w:rPr>
        <w:t xml:space="preserve">Semiconductor and Related Device Manufacturing. </w:t>
      </w:r>
      <w:r w:rsidRPr="005968CD">
        <w:t>These establishments manufacture “computer storage devices that allow the storage and retrieval of data from a phase change, magnetic, optical, or magnetic/optical media</w:t>
      </w:r>
      <w:r w:rsidRPr="005968CD">
        <w:rPr>
          <w:i/>
        </w:rPr>
        <w:t xml:space="preserve">. The </w:t>
      </w:r>
      <w:r w:rsidRPr="005968CD">
        <w:t>SBA has developed a small business size standard for this category of manufacturing; that size standard is 500 or fewer employees</w:t>
      </w:r>
      <w:r w:rsidRPr="005968CD">
        <w:rPr>
          <w:i/>
        </w:rPr>
        <w:t xml:space="preserve"> </w:t>
      </w:r>
      <w:r w:rsidRPr="005968CD">
        <w:t>storage and retrieval of data from a phase change, magnetic, optical, or magnetic/optical media.”</w:t>
      </w:r>
      <w:r w:rsidRPr="005968CD">
        <w:rPr>
          <w:rStyle w:val="FootnoteReference"/>
          <w:sz w:val="22"/>
          <w:szCs w:val="22"/>
        </w:rPr>
        <w:footnoteReference w:id="221"/>
      </w:r>
      <w:r w:rsidRPr="005968CD">
        <w:t xml:space="preserve">  According to data from the 2007 U.S. Census, in 2007, there were 954 establishments engaged in this business.  Of these, 545 had from 1 to 19 employees; 219 had from 20 to 99 employees; and 190 had 100 or more employees.</w:t>
      </w:r>
      <w:r w:rsidRPr="005968CD">
        <w:rPr>
          <w:rStyle w:val="FootnoteReference"/>
          <w:sz w:val="22"/>
          <w:szCs w:val="22"/>
        </w:rPr>
        <w:footnoteReference w:id="222"/>
      </w:r>
      <w:r w:rsidRPr="005968CD">
        <w:t xml:space="preserve"> Based on this data, the Commission concludes that the majority of the businesses engaged in this industry are small.</w:t>
      </w:r>
    </w:p>
    <w:p w14:paraId="7091ABE3" w14:textId="47CEA337" w:rsidR="003C0902" w:rsidRPr="005968CD" w:rsidRDefault="003C0902" w:rsidP="003C0902">
      <w:pPr>
        <w:pStyle w:val="Heading2"/>
        <w:rPr>
          <w:spacing w:val="-2"/>
        </w:rPr>
      </w:pPr>
      <w:r w:rsidRPr="005968CD">
        <w:t xml:space="preserve">Description of Projected Reporting, Recordkeeping, and Other Compliance Requirements for Small Entities </w:t>
      </w:r>
    </w:p>
    <w:p w14:paraId="1F7C1A9A" w14:textId="77777777" w:rsidR="003C0902" w:rsidRPr="005968CD" w:rsidRDefault="003C0902" w:rsidP="003C0902">
      <w:pPr>
        <w:pStyle w:val="ParaNum"/>
      </w:pPr>
      <w:r w:rsidRPr="005968CD">
        <w:t>The Notice of Proposed Rulemaking does not propose any recordkeeping or reporting requirements.</w:t>
      </w:r>
    </w:p>
    <w:p w14:paraId="77155870" w14:textId="7482B1D5" w:rsidR="003C0902" w:rsidRPr="005968CD" w:rsidRDefault="003C0902" w:rsidP="003C0902">
      <w:pPr>
        <w:pStyle w:val="Heading2"/>
        <w:rPr>
          <w:spacing w:val="-2"/>
        </w:rPr>
      </w:pPr>
      <w:r w:rsidRPr="005968CD">
        <w:t xml:space="preserve">Steps Taken to Minimize Significant Economic Impact on Small Entities, and Significant Alternatives Considered </w:t>
      </w:r>
    </w:p>
    <w:p w14:paraId="08EEC05E" w14:textId="77777777" w:rsidR="003C0902" w:rsidRPr="005968CD" w:rsidRDefault="003C0902" w:rsidP="003C0902">
      <w:pPr>
        <w:pStyle w:val="ParaNum"/>
      </w:pPr>
      <w:r w:rsidRPr="005968CD">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5968CD">
        <w:rPr>
          <w:rStyle w:val="FootnoteReference"/>
          <w:sz w:val="22"/>
          <w:szCs w:val="22"/>
        </w:rPr>
        <w:footnoteReference w:id="223"/>
      </w:r>
    </w:p>
    <w:p w14:paraId="4A569D68" w14:textId="77777777" w:rsidR="003C0902" w:rsidRPr="005968CD" w:rsidRDefault="003C0902" w:rsidP="003C0902">
      <w:pPr>
        <w:pStyle w:val="ParaNum"/>
      </w:pPr>
      <w:r w:rsidRPr="005968CD">
        <w:t xml:space="preserve">The NPRM proposes sunsetting the NSI rule after a </w:t>
      </w:r>
      <w:r>
        <w:t>six-month</w:t>
      </w:r>
      <w:r w:rsidRPr="005968CD">
        <w:t xml:space="preserve"> transition period, as well as seeking comment on a variety of possible alternatives to addressing the issue of fraudulent calls from NSI handsets.  Because sunsetting the NSI rule will remove certain call-forwarding obligations on small entities, it is likely the method that would impose the least costs on these small entities.  </w:t>
      </w:r>
    </w:p>
    <w:p w14:paraId="77E16EA7" w14:textId="77777777" w:rsidR="003C0902" w:rsidRPr="005968CD" w:rsidRDefault="003C0902" w:rsidP="003C0902">
      <w:pPr>
        <w:pStyle w:val="Heading2"/>
        <w:rPr>
          <w:spacing w:val="-2"/>
        </w:rPr>
      </w:pPr>
      <w:r w:rsidRPr="005968CD">
        <w:t>Federal Rules that May Duplicate, Overlap, or Conflict with the Proposed Rules</w:t>
      </w:r>
    </w:p>
    <w:p w14:paraId="5AFEAC6A" w14:textId="1E5EEEA3" w:rsidR="003C0902" w:rsidRPr="003C0902" w:rsidRDefault="003C0902" w:rsidP="003C0902">
      <w:pPr>
        <w:pStyle w:val="ParaNum"/>
      </w:pPr>
      <w:r w:rsidRPr="005968CD">
        <w:rPr>
          <w:szCs w:val="22"/>
        </w:rPr>
        <w:t>&lt;None.&gt;</w:t>
      </w:r>
    </w:p>
    <w:p w14:paraId="1B245F05" w14:textId="77777777" w:rsidR="00ED0288" w:rsidRPr="005968CD" w:rsidRDefault="00ED0288" w:rsidP="00ED0288">
      <w:pPr>
        <w:rPr>
          <w:szCs w:val="22"/>
          <w:lang w:val="de-DE"/>
        </w:rPr>
      </w:pPr>
    </w:p>
    <w:p w14:paraId="5D5E0534" w14:textId="77777777" w:rsidR="00ED0288" w:rsidRPr="005968CD" w:rsidRDefault="00ED0288" w:rsidP="00ED0288">
      <w:pPr>
        <w:widowControl/>
        <w:rPr>
          <w:szCs w:val="22"/>
          <w:lang w:val="de-DE"/>
        </w:rPr>
      </w:pPr>
    </w:p>
    <w:p w14:paraId="1F94F890" w14:textId="14594670" w:rsidR="00426565" w:rsidRPr="005968CD" w:rsidRDefault="00426565" w:rsidP="00ED0288">
      <w:pPr>
        <w:widowControl/>
        <w:rPr>
          <w:szCs w:val="22"/>
          <w:lang w:val="de-DE"/>
        </w:rPr>
      </w:pPr>
    </w:p>
    <w:sectPr w:rsidR="00426565" w:rsidRPr="005968CD" w:rsidSect="00DC30A3">
      <w:footnotePr>
        <w:numRestart w:val="eachSect"/>
      </w:footnotePr>
      <w:endnotePr>
        <w:numFmt w:val="decimal"/>
      </w:endnotePr>
      <w:pgSz w:w="12240" w:h="15840"/>
      <w:pgMar w:top="1440" w:right="1440" w:bottom="720" w:left="1440"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4D91B" w14:textId="77777777" w:rsidR="00DA1E4B" w:rsidRDefault="00DA1E4B">
      <w:pPr>
        <w:spacing w:line="20" w:lineRule="exact"/>
      </w:pPr>
    </w:p>
    <w:p w14:paraId="7EB9BE04" w14:textId="77777777" w:rsidR="00DA1E4B" w:rsidRDefault="00DA1E4B"/>
  </w:endnote>
  <w:endnote w:type="continuationSeparator" w:id="0">
    <w:p w14:paraId="56AF445D" w14:textId="77777777" w:rsidR="00DA1E4B" w:rsidRDefault="00DA1E4B">
      <w:r>
        <w:t xml:space="preserve"> </w:t>
      </w:r>
    </w:p>
    <w:p w14:paraId="1CDE89D7" w14:textId="77777777" w:rsidR="00DA1E4B" w:rsidRDefault="00DA1E4B"/>
  </w:endnote>
  <w:endnote w:type="continuationNotice" w:id="1">
    <w:p w14:paraId="5479BBAD" w14:textId="77777777" w:rsidR="00DA1E4B" w:rsidRDefault="00DA1E4B">
      <w:r>
        <w:t xml:space="preserve"> </w:t>
      </w:r>
    </w:p>
    <w:p w14:paraId="5D21C0C6" w14:textId="77777777" w:rsidR="00DA1E4B" w:rsidRDefault="00DA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8CB8" w14:textId="77777777" w:rsidR="00FB4F8D" w:rsidRDefault="00FB4F8D">
    <w:pPr>
      <w:pStyle w:val="Foote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E405293" w14:textId="77777777" w:rsidR="00FB4F8D" w:rsidRDefault="00FB4F8D">
    <w:pPr>
      <w:pStyle w:val="Footer"/>
    </w:pPr>
  </w:p>
  <w:p w14:paraId="74ACA22C" w14:textId="77777777" w:rsidR="00FB4F8D" w:rsidRDefault="00FB4F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B9DC" w14:textId="77777777" w:rsidR="00FB4F8D" w:rsidRDefault="00FB4F8D">
    <w:pPr>
      <w:pStyle w:val="Footer"/>
      <w:framePr w:wrap="around" w:vAnchor="text" w:hAnchor="margin" w:xAlign="center" w:y="1"/>
    </w:pPr>
    <w:r>
      <w:fldChar w:fldCharType="begin"/>
    </w:r>
    <w:r>
      <w:instrText xml:space="preserve">PAGE  </w:instrText>
    </w:r>
    <w:r>
      <w:fldChar w:fldCharType="separate"/>
    </w:r>
    <w:r w:rsidR="00077A87">
      <w:rPr>
        <w:noProof/>
      </w:rPr>
      <w:t>2</w:t>
    </w:r>
    <w:r>
      <w:rPr>
        <w:noProof/>
      </w:rPr>
      <w:fldChar w:fldCharType="end"/>
    </w:r>
  </w:p>
  <w:p w14:paraId="7D32AC8E" w14:textId="07E1AD89" w:rsidR="00FB4F8D" w:rsidRDefault="00FB4F8D" w:rsidP="00AA5AE2">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F048" w14:textId="2AFE2D20" w:rsidR="00FB4F8D" w:rsidRPr="003A1602" w:rsidRDefault="00FB4F8D" w:rsidP="000C0DD9">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B1CC" w14:textId="4971FC5A" w:rsidR="00DC30A3" w:rsidRPr="003A1602" w:rsidRDefault="00DC30A3" w:rsidP="000C0DD9">
    <w:pPr>
      <w:pStyle w:val="Footer"/>
      <w:jc w:val="center"/>
      <w:rPr>
        <w:sz w:val="20"/>
      </w:rPr>
    </w:pPr>
    <w:r w:rsidRPr="00DC30A3">
      <w:rPr>
        <w:sz w:val="20"/>
      </w:rPr>
      <w:fldChar w:fldCharType="begin"/>
    </w:r>
    <w:r w:rsidRPr="00DC30A3">
      <w:rPr>
        <w:sz w:val="20"/>
      </w:rPr>
      <w:instrText xml:space="preserve"> PAGE   \* MERGEFORMAT </w:instrText>
    </w:r>
    <w:r w:rsidRPr="00DC30A3">
      <w:rPr>
        <w:sz w:val="20"/>
      </w:rPr>
      <w:fldChar w:fldCharType="separate"/>
    </w:r>
    <w:r w:rsidR="00B67856">
      <w:rPr>
        <w:noProof/>
        <w:sz w:val="20"/>
      </w:rPr>
      <w:t>19</w:t>
    </w:r>
    <w:r w:rsidRPr="00DC30A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337C" w14:textId="77777777" w:rsidR="00DA1E4B" w:rsidRDefault="00DA1E4B">
      <w:r>
        <w:separator/>
      </w:r>
    </w:p>
  </w:footnote>
  <w:footnote w:type="continuationSeparator" w:id="0">
    <w:p w14:paraId="5B966632" w14:textId="77777777" w:rsidR="00DA1E4B" w:rsidRDefault="00DA1E4B">
      <w:r>
        <w:rPr>
          <w:sz w:val="20"/>
        </w:rPr>
        <w:t xml:space="preserve">(Continued from previous page)  </w:t>
      </w:r>
      <w:r>
        <w:rPr>
          <w:sz w:val="20"/>
        </w:rPr>
        <w:separator/>
      </w:r>
    </w:p>
  </w:footnote>
  <w:footnote w:type="continuationNotice" w:id="1">
    <w:p w14:paraId="026C4B79" w14:textId="77777777" w:rsidR="00DA1E4B" w:rsidRDefault="00DA1E4B" w:rsidP="00957106">
      <w:r>
        <w:rPr>
          <w:sz w:val="20"/>
        </w:rPr>
        <w:t>(continued….)</w:t>
      </w:r>
    </w:p>
  </w:footnote>
  <w:footnote w:id="2">
    <w:p w14:paraId="31106D47" w14:textId="7404A7D9" w:rsidR="00FB4F8D" w:rsidRPr="005968CD" w:rsidRDefault="00FB4F8D" w:rsidP="00285F6E">
      <w:pPr>
        <w:pStyle w:val="FootnoteText"/>
        <w:rPr>
          <w:i/>
        </w:rPr>
      </w:pPr>
      <w:r w:rsidRPr="005968CD">
        <w:rPr>
          <w:rStyle w:val="FootnoteReference"/>
        </w:rPr>
        <w:footnoteRef/>
      </w:r>
      <w:r w:rsidRPr="005968CD">
        <w:t xml:space="preserve"> 47 C.F.R. § 20.18(b).</w:t>
      </w:r>
    </w:p>
  </w:footnote>
  <w:footnote w:id="3">
    <w:p w14:paraId="5E3D02C6" w14:textId="5D5B8E99" w:rsidR="00FB4F8D" w:rsidRPr="005968CD" w:rsidRDefault="00FB4F8D" w:rsidP="00285F6E">
      <w:pPr>
        <w:pStyle w:val="FootnoteText"/>
      </w:pPr>
      <w:r w:rsidRPr="005968CD">
        <w:rPr>
          <w:rStyle w:val="FootnoteReference"/>
        </w:rPr>
        <w:footnoteRef/>
      </w:r>
      <w:r w:rsidRPr="000C0DD9">
        <w:t xml:space="preserve"> </w:t>
      </w:r>
      <w:r w:rsidRPr="005968CD">
        <w:t>47 C.F.R. § 20.18(l)(3)(i).  For purposes of the rule, we interpret “valid service contract” to mean any contractual relationship under which service is provided, including the purchase of prepaid service</w:t>
      </w:r>
      <w:r w:rsidRPr="005968CD">
        <w:rPr>
          <w:color w:val="1F497D"/>
        </w:rPr>
        <w:t xml:space="preserve">.  </w:t>
      </w:r>
      <w:r w:rsidRPr="005968CD">
        <w:t xml:space="preserve">Examples of NSI devices include prepaid cell phones with expired minutes, phones under an expired contract, donated cell phones, and certain “911-only” phones that are configured solely to make emergency calls.  </w:t>
      </w:r>
      <w:r w:rsidRPr="005968CD">
        <w:rPr>
          <w:i/>
        </w:rPr>
        <w:t>See</w:t>
      </w:r>
      <w:r w:rsidRPr="005968CD">
        <w:t xml:space="preserve"> Revision of the Commission’s Rules to Ensure Compatibility with Enhanced 911 Emergency Calling Systems, CC Docket No. 94-102, </w:t>
      </w:r>
      <w:r w:rsidRPr="005968CD">
        <w:rPr>
          <w:i/>
        </w:rPr>
        <w:t>Memorandum Opinion and Order</w:t>
      </w:r>
      <w:r w:rsidRPr="005968CD">
        <w:t>, 18 FCC Rcd 23383, 23384 ¶ 3 (2003) (</w:t>
      </w:r>
      <w:r w:rsidRPr="005968CD">
        <w:rPr>
          <w:i/>
        </w:rPr>
        <w:t>E911 Second Memorandum Opinion and Order</w:t>
      </w:r>
      <w:r w:rsidRPr="005968CD">
        <w:t>).</w:t>
      </w:r>
    </w:p>
  </w:footnote>
  <w:footnote w:id="4">
    <w:p w14:paraId="65A058CB" w14:textId="77777777" w:rsidR="00FB4F8D" w:rsidRPr="005968CD" w:rsidRDefault="00FB4F8D" w:rsidP="00285F6E">
      <w:pPr>
        <w:pStyle w:val="FootnoteText"/>
      </w:pPr>
      <w:r w:rsidRPr="005968CD">
        <w:rPr>
          <w:rStyle w:val="FootnoteReference"/>
        </w:rPr>
        <w:footnoteRef/>
      </w:r>
      <w:r w:rsidRPr="005968CD">
        <w:t xml:space="preserve"> “ANI” is defined at 47 C.F.R. § 20.3 as a “system that identifies the billing account for a call.  For 911 systems, the ANI identifies the calling party and may be used as a call back number.”</w:t>
      </w:r>
    </w:p>
  </w:footnote>
  <w:footnote w:id="5">
    <w:p w14:paraId="537B4F0B" w14:textId="77777777" w:rsidR="00FB4F8D" w:rsidRPr="005968CD" w:rsidRDefault="00FB4F8D" w:rsidP="00285F6E">
      <w:pPr>
        <w:pStyle w:val="FootnoteText"/>
      </w:pPr>
      <w:r w:rsidRPr="005968CD">
        <w:rPr>
          <w:rStyle w:val="FootnoteReference"/>
        </w:rPr>
        <w:footnoteRef/>
      </w:r>
      <w:r w:rsidRPr="005968CD">
        <w:t xml:space="preserve"> We neither seek comment upon nor do we propose to alter the obligation of providers to transmit 911 calls from customers using service-initialized devices.  </w:t>
      </w:r>
    </w:p>
  </w:footnote>
  <w:footnote w:id="6">
    <w:p w14:paraId="3C943708" w14:textId="77777777" w:rsidR="00FB4F8D" w:rsidRPr="005968CD" w:rsidRDefault="00FB4F8D" w:rsidP="00285F6E">
      <w:pPr>
        <w:pStyle w:val="FootnoteText"/>
      </w:pPr>
      <w:r w:rsidRPr="005968CD">
        <w:rPr>
          <w:rStyle w:val="FootnoteReference"/>
        </w:rPr>
        <w:footnoteRef/>
      </w:r>
      <w:r w:rsidRPr="005968CD">
        <w:t xml:space="preserve"> For purposes of this proceeding, we use the term “fraudulent” to denote intentional calls made to 911 where no actual emergency exists.  We use this term to encompass calls that are not appropriate calls to 911 and therefore detract from the PSAP’s mission.  A fraudulent call in this context does not necessarily denote that the caller intends to commit fraud.  Fraudulent calls include hang ups, false reports of emergencies, harassing calls, and other intentional non-emergency calls.  </w:t>
      </w:r>
    </w:p>
  </w:footnote>
  <w:footnote w:id="7">
    <w:p w14:paraId="1D10062D" w14:textId="224F9101" w:rsidR="00FB4F8D" w:rsidRPr="005968CD" w:rsidRDefault="00FB4F8D" w:rsidP="00285F6E">
      <w:pPr>
        <w:pStyle w:val="FootnoteText"/>
      </w:pPr>
      <w:r w:rsidRPr="005968CD">
        <w:rPr>
          <w:rStyle w:val="FootnoteReference"/>
        </w:rPr>
        <w:footnoteRef/>
      </w:r>
      <w:r w:rsidRPr="000C0DD9">
        <w:t xml:space="preserve"> </w:t>
      </w:r>
      <w:r w:rsidRPr="005968CD">
        <w:t>47 C.F.R. § 20.18(a).</w:t>
      </w:r>
    </w:p>
  </w:footnote>
  <w:footnote w:id="8">
    <w:p w14:paraId="0AC99EC7" w14:textId="77777777" w:rsidR="00FB4F8D" w:rsidRPr="005968CD" w:rsidRDefault="00FB4F8D" w:rsidP="00285F6E">
      <w:pPr>
        <w:pStyle w:val="FootnoteText"/>
      </w:pPr>
      <w:r w:rsidRPr="005968CD">
        <w:rPr>
          <w:rStyle w:val="FootnoteReference"/>
        </w:rPr>
        <w:footnoteRef/>
      </w:r>
      <w:r w:rsidRPr="005968CD">
        <w:t xml:space="preserve"> “Code identification” may consist of the handset’s Mobile Identification Number (MIN) or its functional equivalent.  Revision of the Commission’s Rules to Ensure Compatibility with Enhanced 911 Emergency Calling Systems, CC Docket No. 94-102, </w:t>
      </w:r>
      <w:r w:rsidRPr="005968CD">
        <w:rPr>
          <w:i/>
        </w:rPr>
        <w:t>Report and Order and Further Notice of Proposed Rulemaking</w:t>
      </w:r>
      <w:r w:rsidRPr="005968CD">
        <w:t>, 11 FCC Rcd 18676, 18683 ¶ 10 n. 12 (1996) (</w:t>
      </w:r>
      <w:r w:rsidRPr="005968CD">
        <w:rPr>
          <w:i/>
        </w:rPr>
        <w:t>E911 First Report and Order</w:t>
      </w:r>
      <w:r w:rsidRPr="005968CD">
        <w:t xml:space="preserve">).  </w:t>
      </w:r>
    </w:p>
  </w:footnote>
  <w:footnote w:id="9">
    <w:p w14:paraId="73DCF522" w14:textId="77777777" w:rsidR="00FB4F8D" w:rsidRPr="005968CD" w:rsidRDefault="00FB4F8D" w:rsidP="00285F6E">
      <w:pPr>
        <w:pStyle w:val="FootnoteText"/>
        <w:rPr>
          <w:b/>
        </w:rPr>
      </w:pPr>
      <w:r w:rsidRPr="005968CD">
        <w:rPr>
          <w:rStyle w:val="FootnoteReference"/>
        </w:rPr>
        <w:footnoteRef/>
      </w:r>
      <w:r w:rsidRPr="005968CD">
        <w:t xml:space="preserve"> </w:t>
      </w:r>
      <w:r w:rsidRPr="005968CD">
        <w:rPr>
          <w:i/>
        </w:rPr>
        <w:t xml:space="preserve">Id. </w:t>
      </w:r>
      <w:r w:rsidRPr="005968CD">
        <w:t xml:space="preserve">at 18692 ¶ 29.  </w:t>
      </w:r>
    </w:p>
  </w:footnote>
  <w:footnote w:id="10">
    <w:p w14:paraId="7EB50612"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See</w:t>
      </w:r>
      <w:r w:rsidRPr="005968CD">
        <w:t xml:space="preserve">, </w:t>
      </w:r>
      <w:r w:rsidRPr="005968CD">
        <w:rPr>
          <w:i/>
        </w:rPr>
        <w:t>e.g</w:t>
      </w:r>
      <w:r w:rsidRPr="005968CD">
        <w:t xml:space="preserve">., </w:t>
      </w:r>
      <w:r w:rsidRPr="005968CD">
        <w:rPr>
          <w:i/>
        </w:rPr>
        <w:t>id</w:t>
      </w:r>
      <w:r w:rsidRPr="005968CD">
        <w:t xml:space="preserve">. at 18693, ¶ 32.  </w:t>
      </w:r>
      <w:r w:rsidRPr="005968CD">
        <w:rPr>
          <w:i/>
        </w:rPr>
        <w:t>See also</w:t>
      </w:r>
      <w:r w:rsidRPr="005968CD">
        <w:t xml:space="preserve"> Revision of the Commission’s Rules to Ensure Compatibility with Enhanced 911 Emergency Calling Systems, CC Docket No. 94-102, </w:t>
      </w:r>
      <w:r w:rsidRPr="005968CD">
        <w:rPr>
          <w:i/>
        </w:rPr>
        <w:t>Memorandum Opinion and Order</w:t>
      </w:r>
      <w:r w:rsidRPr="005968CD">
        <w:t>, 12 FCC Rcd 22665, 22679 ¶ 25 (1997) (</w:t>
      </w:r>
      <w:r w:rsidRPr="005968CD">
        <w:rPr>
          <w:i/>
        </w:rPr>
        <w:t>E911 First Memorandum Opinion and Order</w:t>
      </w:r>
      <w:r w:rsidRPr="005968CD">
        <w:t>).</w:t>
      </w:r>
    </w:p>
  </w:footnote>
  <w:footnote w:id="11">
    <w:p w14:paraId="01B6CFF6"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18696 ¶ 39.</w:t>
      </w:r>
    </w:p>
  </w:footnote>
  <w:footnote w:id="12">
    <w:p w14:paraId="5D54C7BD"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18696 ¶ 38 (emphasis in original).</w:t>
      </w:r>
    </w:p>
  </w:footnote>
  <w:footnote w:id="13">
    <w:p w14:paraId="187F806C"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p>
  </w:footnote>
  <w:footnote w:id="14">
    <w:p w14:paraId="6E6E62C8"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p>
  </w:footnote>
  <w:footnote w:id="15">
    <w:p w14:paraId="1BD091AA"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 xml:space="preserve">See </w:t>
      </w:r>
      <w:r w:rsidRPr="005968CD">
        <w:t xml:space="preserve">Revision of the Commission’s Rules to Ensure Compatibility with Enhanced 911 Emergency Calling Systems, CC Docket No. 94-102, </w:t>
      </w:r>
      <w:r w:rsidRPr="005968CD">
        <w:rPr>
          <w:i/>
        </w:rPr>
        <w:t>Order</w:t>
      </w:r>
      <w:r w:rsidRPr="005968CD">
        <w:t xml:space="preserve">, 12 FCC Rcd 15313 (1997); Additional Comment Sought in Wireless Enhanced 911 Reconsideration Proceeding Regarding Rules and Schedules, CC Docket No. 94-102, </w:t>
      </w:r>
      <w:r w:rsidRPr="005968CD">
        <w:rPr>
          <w:i/>
        </w:rPr>
        <w:t>Public Notice</w:t>
      </w:r>
      <w:r w:rsidRPr="005968CD">
        <w:t>, 12 FCC Rcd 15331 (1997).</w:t>
      </w:r>
    </w:p>
  </w:footnote>
  <w:footnote w:id="16">
    <w:p w14:paraId="2B70D5BD"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E911 First Memorandum Opinion and Order</w:t>
      </w:r>
      <w:r w:rsidRPr="005968CD">
        <w:t xml:space="preserve">, 12 FCC Rcd at 22665 (amending Section 20.18(b) to require licensees to “transmit all wireless 911 calls without respect to their call validation process to a Public Safety Answering Point ….”).  </w:t>
      </w:r>
      <w:r w:rsidRPr="005968CD">
        <w:rPr>
          <w:i/>
        </w:rPr>
        <w:t>See</w:t>
      </w:r>
      <w:r w:rsidRPr="005968CD">
        <w:t xml:space="preserve"> 47 C.F.R. § 20.18(b) (requiring “CMRS providers, subject to this section” to meet that obligation).</w:t>
      </w:r>
    </w:p>
  </w:footnote>
  <w:footnote w:id="17">
    <w:p w14:paraId="22C4893B"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at 22680 ¶ 28.</w:t>
      </w:r>
    </w:p>
  </w:footnote>
  <w:footnote w:id="18">
    <w:p w14:paraId="68D1608B"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at 22682 ¶ 33.</w:t>
      </w:r>
    </w:p>
  </w:footnote>
  <w:footnote w:id="19">
    <w:p w14:paraId="4371929B"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 xml:space="preserve">Id. </w:t>
      </w:r>
      <w:r w:rsidRPr="005968CD">
        <w:t xml:space="preserve">at 22684 ¶ 37.  The call-back technology cited was “Follow-Me-Roaming.”  </w:t>
      </w:r>
      <w:r w:rsidRPr="005968CD">
        <w:rPr>
          <w:i/>
        </w:rPr>
        <w:t>Id.</w:t>
      </w:r>
    </w:p>
  </w:footnote>
  <w:footnote w:id="20">
    <w:p w14:paraId="7712238A" w14:textId="77777777" w:rsidR="00FB4F8D" w:rsidRPr="005968CD" w:rsidRDefault="00FB4F8D" w:rsidP="00285F6E">
      <w:pPr>
        <w:pStyle w:val="FootnoteText"/>
      </w:pPr>
      <w:r w:rsidRPr="005968CD">
        <w:rPr>
          <w:rStyle w:val="FootnoteReference"/>
        </w:rPr>
        <w:footnoteRef/>
      </w:r>
      <w:r w:rsidRPr="005968CD">
        <w:t xml:space="preserve"> Revision of the Commission’s Rules to Ensure Compatibility with Enhanced 911 Emergency Calling Systems, CC Docket No. 94-102, </w:t>
      </w:r>
      <w:r w:rsidRPr="005968CD">
        <w:rPr>
          <w:i/>
        </w:rPr>
        <w:t>Order</w:t>
      </w:r>
      <w:r w:rsidRPr="005968CD">
        <w:t>, 17 FCC Rcd 8481, 8489-90 ¶ 26 (2002) (</w:t>
      </w:r>
      <w:r w:rsidRPr="005968CD">
        <w:rPr>
          <w:i/>
        </w:rPr>
        <w:t>E911 Second Report and Order</w:t>
      </w:r>
      <w:r w:rsidRPr="005968CD">
        <w:t>).</w:t>
      </w:r>
    </w:p>
  </w:footnote>
  <w:footnote w:id="21">
    <w:p w14:paraId="0DEA602B"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w:t>
      </w:r>
    </w:p>
  </w:footnote>
  <w:footnote w:id="22">
    <w:p w14:paraId="73780EFC" w14:textId="77777777" w:rsidR="00FB4F8D" w:rsidRPr="005968CD" w:rsidRDefault="00FB4F8D" w:rsidP="00285F6E">
      <w:pPr>
        <w:pStyle w:val="FootnoteText"/>
      </w:pPr>
      <w:r w:rsidRPr="005968CD">
        <w:rPr>
          <w:rStyle w:val="FootnoteReference"/>
        </w:rPr>
        <w:footnoteRef/>
      </w:r>
      <w:r w:rsidRPr="005968CD">
        <w:t xml:space="preserve"> FCC Clarifies that 911 Call-Forwarding Rule does not Preclude Wireless Carriers from Blocking Fraudulent 911 Calls from Non-Service Initialized Phones Pursuant to State and Local Law, CC Docket No. 94-102, </w:t>
      </w:r>
      <w:r w:rsidRPr="005968CD">
        <w:rPr>
          <w:i/>
        </w:rPr>
        <w:t>Public Notice</w:t>
      </w:r>
      <w:r w:rsidRPr="005968CD">
        <w:t>, 17 FCC Rcd 21877 (2002) (</w:t>
      </w:r>
      <w:r w:rsidRPr="005968CD">
        <w:rPr>
          <w:i/>
        </w:rPr>
        <w:t>E911 Fraudulent Call-Blocking Public Notice</w:t>
      </w:r>
      <w:r w:rsidRPr="005968CD">
        <w:t>).</w:t>
      </w:r>
    </w:p>
  </w:footnote>
  <w:footnote w:id="23">
    <w:p w14:paraId="5FE3D0AE"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21878.</w:t>
      </w:r>
    </w:p>
  </w:footnote>
  <w:footnote w:id="24">
    <w:p w14:paraId="41C99C38"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See</w:t>
      </w:r>
      <w:r w:rsidRPr="005968CD">
        <w:t xml:space="preserve"> </w:t>
      </w:r>
      <w:r w:rsidRPr="005968CD">
        <w:rPr>
          <w:snapToGrid w:val="0"/>
        </w:rPr>
        <w:t xml:space="preserve">Revision of the Commission’s Rules to Ensure Compatibility with Enhanced 911 Emergency Calling Systems, CC Docket No. 94-102, </w:t>
      </w:r>
      <w:r w:rsidRPr="005968CD">
        <w:rPr>
          <w:i/>
          <w:iCs/>
          <w:snapToGrid w:val="0"/>
        </w:rPr>
        <w:t>Second</w:t>
      </w:r>
      <w:r w:rsidRPr="005968CD">
        <w:rPr>
          <w:snapToGrid w:val="0"/>
        </w:rPr>
        <w:t xml:space="preserve"> </w:t>
      </w:r>
      <w:r w:rsidRPr="005968CD">
        <w:rPr>
          <w:i/>
          <w:iCs/>
          <w:snapToGrid w:val="0"/>
        </w:rPr>
        <w:t>Memorandum Opinion and Order</w:t>
      </w:r>
      <w:r w:rsidRPr="005968CD">
        <w:rPr>
          <w:snapToGrid w:val="0"/>
        </w:rPr>
        <w:t>, 18 FCC Rcd 23383</w:t>
      </w:r>
      <w:r w:rsidRPr="005968CD">
        <w:t xml:space="preserve">, 23391 ¶ 19 </w:t>
      </w:r>
      <w:r w:rsidRPr="005968CD">
        <w:rPr>
          <w:snapToGrid w:val="0"/>
        </w:rPr>
        <w:t>(2003)</w:t>
      </w:r>
      <w:r w:rsidRPr="005968CD">
        <w:t xml:space="preserve"> (</w:t>
      </w:r>
      <w:r w:rsidRPr="005968CD">
        <w:rPr>
          <w:i/>
        </w:rPr>
        <w:t>E911</w:t>
      </w:r>
      <w:r w:rsidRPr="005968CD">
        <w:t xml:space="preserve"> </w:t>
      </w:r>
      <w:r w:rsidRPr="005968CD">
        <w:rPr>
          <w:i/>
        </w:rPr>
        <w:t>Second</w:t>
      </w:r>
      <w:r w:rsidRPr="005968CD">
        <w:t xml:space="preserve"> </w:t>
      </w:r>
      <w:r w:rsidRPr="005968CD">
        <w:rPr>
          <w:i/>
        </w:rPr>
        <w:t>Memorandum Opinion and Order</w:t>
      </w:r>
      <w:r w:rsidRPr="005968CD">
        <w:t xml:space="preserve">).  An ESN is a unique identification that is embedded or inscribed on a microchip in a wireless phone.  In the United States, ESNs are primarily used in CDMA, TDMA, and AMPS phones.  An IMEI is a unique identification that is embedded or inscribed on a microchip in all GSM, WCDMA, and iDEN phones, as well as some satellite phones, and is usually found printed inside of the battery compartment of the phone. </w:t>
      </w:r>
    </w:p>
  </w:footnote>
  <w:footnote w:id="25">
    <w:p w14:paraId="6E7AF798"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at 23386, 23388 ¶ 13.</w:t>
      </w:r>
    </w:p>
  </w:footnote>
  <w:footnote w:id="26">
    <w:p w14:paraId="7E796798"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at 23392 ¶ 24.</w:t>
      </w:r>
    </w:p>
  </w:footnote>
  <w:footnote w:id="27">
    <w:p w14:paraId="12882948"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See</w:t>
      </w:r>
      <w:r w:rsidRPr="005968CD">
        <w:t xml:space="preserve"> Petition for Notice of Inquiry Regarding 911 Call-Forwarding Requirements and Carriers’ Blocking Options for Non-Initialized Phones, CC Docket No. 94-102 (filed Feb. 14, 2008) (Petition).  The Petitioners are the Tennessee Emergency Communications Board, the National Association of State 9-1-1 Administrators (NASNA), the Michigan State 9-1-1 Office, the New Jersey State 9-1-1 Commission, the Snohomish County Enhanced 9-1-1 Office, NENA, APCO, the State of Montana 911 Program, the Washington State E911 Program, and Openwave Systems, Inc. (collectively, Petitioners).</w:t>
      </w:r>
    </w:p>
  </w:footnote>
  <w:footnote w:id="28">
    <w:p w14:paraId="0CA47AC3" w14:textId="38BB47ED" w:rsidR="00FB4F8D" w:rsidRPr="005968CD" w:rsidRDefault="00FB4F8D" w:rsidP="00285F6E">
      <w:pPr>
        <w:pStyle w:val="FootnoteText"/>
      </w:pPr>
      <w:r w:rsidRPr="005968CD">
        <w:rPr>
          <w:rStyle w:val="FootnoteReference"/>
        </w:rPr>
        <w:footnoteRef/>
      </w:r>
      <w:r w:rsidRPr="000C0DD9">
        <w:t xml:space="preserve"> </w:t>
      </w:r>
      <w:r w:rsidRPr="005968CD">
        <w:t>Petition at 8.</w:t>
      </w:r>
    </w:p>
  </w:footnote>
  <w:footnote w:id="29">
    <w:p w14:paraId="1D0648E2"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 xml:space="preserve">Id. </w:t>
      </w:r>
      <w:r w:rsidRPr="005968CD">
        <w:t>at 10, 12.</w:t>
      </w:r>
    </w:p>
  </w:footnote>
  <w:footnote w:id="30">
    <w:p w14:paraId="1526C8DE"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12-13; s</w:t>
      </w:r>
      <w:r w:rsidRPr="005968CD">
        <w:rPr>
          <w:i/>
        </w:rPr>
        <w:t>ee also</w:t>
      </w:r>
      <w:r w:rsidRPr="005968CD">
        <w:t xml:space="preserve"> </w:t>
      </w:r>
      <w:r w:rsidRPr="005968CD">
        <w:rPr>
          <w:i/>
        </w:rPr>
        <w:t>id.</w:t>
      </w:r>
      <w:r w:rsidRPr="005968CD">
        <w:t>,</w:t>
      </w:r>
      <w:r w:rsidRPr="005968CD">
        <w:rPr>
          <w:i/>
        </w:rPr>
        <w:t xml:space="preserve"> </w:t>
      </w:r>
      <w:r w:rsidRPr="005968CD">
        <w:t>Attachment B (providing statements regarding call blocking requests).</w:t>
      </w:r>
    </w:p>
  </w:footnote>
  <w:footnote w:id="31">
    <w:p w14:paraId="0BF49A0F"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13.</w:t>
      </w:r>
    </w:p>
  </w:footnote>
  <w:footnote w:id="32">
    <w:p w14:paraId="41C6E7C6"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13-14.</w:t>
      </w:r>
    </w:p>
  </w:footnote>
  <w:footnote w:id="33">
    <w:p w14:paraId="06B664DC"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Id.</w:t>
      </w:r>
      <w:r w:rsidRPr="005968CD">
        <w:t xml:space="preserve"> at 14.</w:t>
      </w:r>
    </w:p>
  </w:footnote>
  <w:footnote w:id="34">
    <w:p w14:paraId="1E47FBCE" w14:textId="726AC0D2" w:rsidR="00FB4F8D" w:rsidRPr="005968CD" w:rsidRDefault="00FB4F8D" w:rsidP="00285F6E">
      <w:pPr>
        <w:pStyle w:val="FootnoteText"/>
      </w:pPr>
      <w:r w:rsidRPr="005968CD">
        <w:rPr>
          <w:rStyle w:val="FootnoteReference"/>
        </w:rPr>
        <w:footnoteRef/>
      </w:r>
      <w:r w:rsidRPr="000C0DD9">
        <w:t xml:space="preserve"> </w:t>
      </w:r>
      <w:r w:rsidRPr="005968CD">
        <w:t xml:space="preserve">Petition for Notice of Inquiry Regarding 911 Call-Forwarding Requirements and Carriers’ Blocking Options for Non-Initialized Phones, PS Docket No.08-51, </w:t>
      </w:r>
      <w:r w:rsidRPr="005968CD">
        <w:rPr>
          <w:i/>
        </w:rPr>
        <w:t>Notice of Inquiry</w:t>
      </w:r>
      <w:r w:rsidRPr="005968CD">
        <w:t xml:space="preserve">, </w:t>
      </w:r>
      <w:r w:rsidRPr="005968CD">
        <w:rPr>
          <w:iCs/>
        </w:rPr>
        <w:t xml:space="preserve">23 FCC Rcd 6097 </w:t>
      </w:r>
      <w:r w:rsidRPr="005968CD">
        <w:rPr>
          <w:rStyle w:val="documentbody1"/>
          <w:rFonts w:ascii="Times New Roman" w:hAnsi="Times New Roman"/>
          <w:sz w:val="20"/>
          <w:szCs w:val="20"/>
        </w:rPr>
        <w:t>(2008) (</w:t>
      </w:r>
      <w:r w:rsidRPr="005968CD">
        <w:rPr>
          <w:rStyle w:val="documentbody1"/>
          <w:rFonts w:ascii="Times New Roman" w:hAnsi="Times New Roman"/>
          <w:i/>
          <w:sz w:val="20"/>
          <w:szCs w:val="20"/>
        </w:rPr>
        <w:t>Notice of Inquiry</w:t>
      </w:r>
      <w:r w:rsidRPr="005968CD">
        <w:rPr>
          <w:rStyle w:val="documentbody1"/>
          <w:rFonts w:ascii="Times New Roman" w:hAnsi="Times New Roman"/>
          <w:sz w:val="20"/>
          <w:szCs w:val="20"/>
        </w:rPr>
        <w:t>)</w:t>
      </w:r>
      <w:r w:rsidRPr="005968CD">
        <w:rPr>
          <w:iCs/>
        </w:rPr>
        <w:t>.</w:t>
      </w:r>
      <w:r w:rsidRPr="005968CD">
        <w:t xml:space="preserve">  </w:t>
      </w:r>
    </w:p>
  </w:footnote>
  <w:footnote w:id="35">
    <w:p w14:paraId="4A93C3EF" w14:textId="77BF6181" w:rsidR="00FB4F8D" w:rsidRPr="005968CD" w:rsidRDefault="00FB4F8D" w:rsidP="00285F6E">
      <w:pPr>
        <w:pStyle w:val="FootnoteText"/>
      </w:pPr>
      <w:r w:rsidRPr="005968CD">
        <w:rPr>
          <w:rStyle w:val="FootnoteReference"/>
        </w:rPr>
        <w:footnoteRef/>
      </w:r>
      <w:r w:rsidRPr="000C0DD9">
        <w:t xml:space="preserve"> </w:t>
      </w:r>
      <w:r w:rsidRPr="005968CD">
        <w:rPr>
          <w:i/>
        </w:rPr>
        <w:t>Notice of Inquiry</w:t>
      </w:r>
      <w:r w:rsidRPr="005968CD">
        <w:t xml:space="preserve">, </w:t>
      </w:r>
      <w:r w:rsidRPr="005968CD">
        <w:rPr>
          <w:iCs/>
        </w:rPr>
        <w:t>23 FCC Rcd at 6101 ¶ 10.</w:t>
      </w:r>
    </w:p>
  </w:footnote>
  <w:footnote w:id="36">
    <w:p w14:paraId="21D08736" w14:textId="77777777" w:rsidR="00FB4F8D" w:rsidRPr="005968CD" w:rsidRDefault="00FB4F8D" w:rsidP="00285F6E">
      <w:pPr>
        <w:pStyle w:val="FootnoteText"/>
      </w:pPr>
      <w:r w:rsidRPr="005968CD">
        <w:rPr>
          <w:rStyle w:val="FootnoteReference"/>
        </w:rPr>
        <w:footnoteRef/>
      </w:r>
      <w:r w:rsidRPr="005968CD">
        <w:t xml:space="preserve"> </w:t>
      </w:r>
      <w:r w:rsidRPr="000C0DD9">
        <w:t>See</w:t>
      </w:r>
      <w:r w:rsidRPr="005968CD">
        <w:rPr>
          <w:i/>
        </w:rPr>
        <w:t xml:space="preserve"> </w:t>
      </w:r>
      <w:r w:rsidRPr="005968CD">
        <w:t>Appendix A for a list of commenters.  The Commission also received 28 brief comments of no more than a few sentences in support of the Petition.</w:t>
      </w:r>
    </w:p>
  </w:footnote>
  <w:footnote w:id="37">
    <w:p w14:paraId="57DFDEDC" w14:textId="6E07ED7B" w:rsidR="00FB4F8D" w:rsidRPr="00957106" w:rsidRDefault="00FB4F8D" w:rsidP="00957106">
      <w:pPr>
        <w:pStyle w:val="FootnoteText"/>
        <w:rPr>
          <w:rStyle w:val="Footnote"/>
        </w:rPr>
      </w:pPr>
      <w:r w:rsidRPr="00957106">
        <w:rPr>
          <w:rStyle w:val="Footnote"/>
          <w:vertAlign w:val="superscript"/>
        </w:rPr>
        <w:footnoteRef/>
      </w:r>
      <w:r w:rsidRPr="00957106">
        <w:rPr>
          <w:rStyle w:val="Footnote"/>
          <w:vertAlign w:val="superscript"/>
        </w:rPr>
        <w:t xml:space="preserve"> </w:t>
      </w:r>
      <w:r w:rsidRPr="00957106">
        <w:rPr>
          <w:rStyle w:val="Footnote"/>
        </w:rPr>
        <w:t>Petitioners Reply Comments, PS Docket No. 08-51 (filed July 29, 2008), at 3 (“While we are sympathetic to those comments that call for an outright FCC reversal of the ‘forward all calls’ rule, we cannot support such a request at this time because there remain a significant number of legitimate 9-1-1 calls from NSI devices (even if they represent a low percentage of all NSI 9-1-1 calls) and because handsets can be rendered NSI by more than mere lapses in subscription.”).</w:t>
      </w:r>
    </w:p>
  </w:footnote>
  <w:footnote w:id="38">
    <w:p w14:paraId="42757942" w14:textId="412E6B0A" w:rsidR="00FB4F8D" w:rsidRPr="005968CD" w:rsidRDefault="00FB4F8D" w:rsidP="00285F6E">
      <w:pPr>
        <w:pStyle w:val="FootnoteText"/>
        <w:rPr>
          <w:i/>
        </w:rPr>
      </w:pPr>
      <w:r w:rsidRPr="005968CD">
        <w:rPr>
          <w:rStyle w:val="FootnoteReference"/>
        </w:rPr>
        <w:footnoteRef/>
      </w:r>
      <w:r w:rsidRPr="005968CD">
        <w:t xml:space="preserve"> </w:t>
      </w:r>
      <w:r w:rsidRPr="005968CD">
        <w:rPr>
          <w:i/>
        </w:rPr>
        <w:t xml:space="preserve">See </w:t>
      </w:r>
      <w:r w:rsidRPr="005968CD">
        <w:t>Letter, Telford Forgety, NENA Director of Governmental Affairs &amp; Regulatory Counsel, to Marlene Dortch, Secretary, Federal Communications Commission, PS Docket No. 08-51 (Feb. 11, 2013), at 1 (</w:t>
      </w:r>
      <w:r w:rsidRPr="005968CD">
        <w:rPr>
          <w:i/>
        </w:rPr>
        <w:t>NENA Ex Parte</w:t>
      </w:r>
      <w:r w:rsidRPr="005968CD">
        <w:t>).</w:t>
      </w:r>
    </w:p>
  </w:footnote>
  <w:footnote w:id="39">
    <w:p w14:paraId="2FB9C2ED"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 xml:space="preserve">See </w:t>
      </w:r>
      <w:r w:rsidRPr="005968CD">
        <w:t xml:space="preserve">Public Safety and Homeland Security Bureau Seeks to Refresh the Record Regarding Options for Addressing Non-Emergency Calls to 911 from Non-Service Initialized Handsets, PS Docket No. 08-51, </w:t>
      </w:r>
      <w:r w:rsidRPr="005968CD">
        <w:rPr>
          <w:i/>
        </w:rPr>
        <w:t>Public Notice</w:t>
      </w:r>
      <w:r w:rsidRPr="005968CD">
        <w:t xml:space="preserve">, </w:t>
      </w:r>
      <w:r w:rsidRPr="005968CD">
        <w:rPr>
          <w:rStyle w:val="documentbody"/>
        </w:rPr>
        <w:t>28 FCC Rcd 2513</w:t>
      </w:r>
      <w:r w:rsidRPr="005968CD">
        <w:t xml:space="preserve"> (PSHSB 2013) (</w:t>
      </w:r>
      <w:r w:rsidRPr="005968CD">
        <w:rPr>
          <w:i/>
        </w:rPr>
        <w:t>2013 PN</w:t>
      </w:r>
      <w:r w:rsidRPr="005968CD">
        <w:t>).</w:t>
      </w:r>
    </w:p>
  </w:footnote>
  <w:footnote w:id="40">
    <w:p w14:paraId="0477D1CC" w14:textId="77777777" w:rsidR="00FB4F8D" w:rsidRPr="005968CD" w:rsidRDefault="00FB4F8D" w:rsidP="00285F6E">
      <w:pPr>
        <w:pStyle w:val="FootnoteText"/>
      </w:pPr>
      <w:r w:rsidRPr="005968CD">
        <w:rPr>
          <w:rStyle w:val="FootnoteReference"/>
        </w:rPr>
        <w:footnoteRef/>
      </w:r>
      <w:r w:rsidRPr="005968CD">
        <w:t xml:space="preserve"> </w:t>
      </w:r>
      <w:r w:rsidRPr="005968CD">
        <w:rPr>
          <w:i/>
        </w:rPr>
        <w:t xml:space="preserve">See </w:t>
      </w:r>
      <w:r w:rsidRPr="005968CD">
        <w:t>Appendix A.</w:t>
      </w:r>
    </w:p>
  </w:footnote>
  <w:footnote w:id="41">
    <w:p w14:paraId="03B82E78" w14:textId="572D54F0" w:rsidR="00FB4F8D" w:rsidRPr="005968CD" w:rsidRDefault="00FB4F8D" w:rsidP="00285F6E">
      <w:pPr>
        <w:pStyle w:val="FootnoteText"/>
      </w:pPr>
      <w:r w:rsidRPr="005968CD">
        <w:rPr>
          <w:rStyle w:val="FootnoteReference"/>
        </w:rPr>
        <w:footnoteRef/>
      </w:r>
      <w:r w:rsidRPr="000C0DD9">
        <w:t xml:space="preserve"> </w:t>
      </w:r>
      <w:r w:rsidRPr="005968CD">
        <w:rPr>
          <w:i/>
        </w:rPr>
        <w:t>Notice of Inquiry</w:t>
      </w:r>
      <w:r w:rsidRPr="005968CD">
        <w:t xml:space="preserve">, </w:t>
      </w:r>
      <w:r w:rsidRPr="005968CD">
        <w:rPr>
          <w:iCs/>
        </w:rPr>
        <w:t>23 FCC Rcd at 6102 ¶ 12; Petition at 10.</w:t>
      </w:r>
      <w:r w:rsidRPr="005968CD">
        <w:t xml:space="preserve">  The four states were Tennessee, Florida, Michigan, and Washington.</w:t>
      </w:r>
    </w:p>
  </w:footnote>
  <w:footnote w:id="42">
    <w:p w14:paraId="4BDB5D47" w14:textId="0BFB85EC" w:rsidR="00FB4F8D" w:rsidRPr="005968CD" w:rsidRDefault="00FB4F8D" w:rsidP="005E7A76">
      <w:pPr>
        <w:pStyle w:val="FootnoteText"/>
      </w:pPr>
      <w:r w:rsidRPr="005968CD">
        <w:rPr>
          <w:rStyle w:val="FootnoteReference"/>
        </w:rPr>
        <w:footnoteRef/>
      </w:r>
      <w:r w:rsidRPr="005968CD">
        <w:t xml:space="preserve"> </w:t>
      </w:r>
      <w:r w:rsidRPr="005968CD">
        <w:rPr>
          <w:i/>
        </w:rPr>
        <w:t>Notice of Inquiry</w:t>
      </w:r>
      <w:r w:rsidRPr="005968CD">
        <w:t xml:space="preserve">, </w:t>
      </w:r>
      <w:r w:rsidRPr="005968CD">
        <w:rPr>
          <w:iCs/>
        </w:rPr>
        <w:t>23 FCC Rcd at 6102 ¶ 12.</w:t>
      </w:r>
    </w:p>
  </w:footnote>
  <w:footnote w:id="43">
    <w:p w14:paraId="399642A9" w14:textId="707E9D27" w:rsidR="00FB4F8D" w:rsidRPr="005968CD" w:rsidRDefault="00FB4F8D" w:rsidP="00582780">
      <w:pPr>
        <w:pStyle w:val="FootnoteText"/>
      </w:pPr>
      <w:r w:rsidRPr="005968CD">
        <w:rPr>
          <w:rStyle w:val="FootnoteReference"/>
        </w:rPr>
        <w:footnoteRef/>
      </w:r>
      <w:r w:rsidRPr="000C0DD9">
        <w:t xml:space="preserve"> </w:t>
      </w:r>
      <w:r w:rsidRPr="005968CD">
        <w:t>Indiana Wireless 911 Advisory Board Comments, PS Docket 08-51 (filed June 1, 2008), at 3 (Indiana Comments).</w:t>
      </w:r>
    </w:p>
  </w:footnote>
  <w:footnote w:id="44">
    <w:p w14:paraId="54882D60" w14:textId="2A4DAE2E" w:rsidR="00FB4F8D" w:rsidRPr="005968CD" w:rsidRDefault="00FB4F8D">
      <w:pPr>
        <w:pStyle w:val="FootnoteText"/>
      </w:pPr>
      <w:r w:rsidRPr="005968CD">
        <w:rPr>
          <w:rStyle w:val="FootnoteReference"/>
        </w:rPr>
        <w:footnoteRef/>
      </w:r>
      <w:r w:rsidRPr="005968CD">
        <w:t xml:space="preserve"> North Carolina 911 Board Comments, PS Docket 08-51 (filed June 27, 2008), at 3 (North Carolina Comments).</w:t>
      </w:r>
    </w:p>
  </w:footnote>
  <w:footnote w:id="45">
    <w:p w14:paraId="0741AFDE" w14:textId="3D35AD9A" w:rsidR="00FB4F8D" w:rsidRPr="005968CD" w:rsidRDefault="00FB4F8D">
      <w:pPr>
        <w:pStyle w:val="FootnoteText"/>
      </w:pPr>
      <w:r w:rsidRPr="005968CD">
        <w:rPr>
          <w:rStyle w:val="FootnoteReference"/>
        </w:rPr>
        <w:footnoteRef/>
      </w:r>
      <w:r w:rsidRPr="000C0DD9">
        <w:t xml:space="preserve"> </w:t>
      </w:r>
      <w:r w:rsidRPr="005968CD">
        <w:t>Amelia County Comments, Virginia, Sheriff Comments, PS Docket 08-51 (filed June 26, 2008), at 4 (Amelia County Comments).</w:t>
      </w:r>
    </w:p>
  </w:footnote>
  <w:footnote w:id="46">
    <w:p w14:paraId="7E049204" w14:textId="0BF9B00D" w:rsidR="00FB4F8D" w:rsidRPr="005968CD" w:rsidRDefault="00FB4F8D">
      <w:pPr>
        <w:pStyle w:val="FootnoteText"/>
      </w:pPr>
      <w:r w:rsidRPr="005968CD">
        <w:rPr>
          <w:rStyle w:val="FootnoteReference"/>
        </w:rPr>
        <w:footnoteRef/>
      </w:r>
      <w:r w:rsidRPr="000C0DD9">
        <w:t xml:space="preserve"> </w:t>
      </w:r>
      <w:r w:rsidRPr="005968CD">
        <w:t>Washington State E911 Administrator Reply Comments, PS Docket 08-51 (filed July 29, 2008), at 3 (Washington Reply Comments).</w:t>
      </w:r>
    </w:p>
  </w:footnote>
  <w:footnote w:id="47">
    <w:p w14:paraId="10629067" w14:textId="7D6FA612" w:rsidR="00FB4F8D" w:rsidRPr="005968CD" w:rsidRDefault="00FB4F8D">
      <w:pPr>
        <w:pStyle w:val="FootnoteText"/>
      </w:pPr>
      <w:r w:rsidRPr="005968CD">
        <w:rPr>
          <w:rStyle w:val="FootnoteReference"/>
        </w:rPr>
        <w:footnoteRef/>
      </w:r>
      <w:r w:rsidRPr="000C0DD9">
        <w:t xml:space="preserve"> </w:t>
      </w:r>
      <w:r w:rsidRPr="005968CD">
        <w:t>Washington Reply Comments at 2.</w:t>
      </w:r>
    </w:p>
  </w:footnote>
  <w:footnote w:id="48">
    <w:p w14:paraId="304A7717"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e.g., </w:t>
      </w:r>
      <w:r w:rsidRPr="005968CD">
        <w:t>Waukesha County, Wisconsin, Communications Center Comments, PS Docket 08-51 (filed May 7, 2008), at 2 (Waukesha County Comments) (received 399 911 calls from NSI devices in January 2008, of which 3.5% were for actual incidents, 5.8% were “open line” calls where no contact was made with the caller, and 66.4% were hang-up or abandoned calls.  Moreover, 55% of the NSI calls came from phones that had made multiple 911 calls that month);  Maine Dept. of Public Safety Comments, PS Docket 08-51 (filed June 27, 2008), at 1 (Maine Comments) (received over 24,000 calls from NSI devices between January 1, 2007 and March 31, 2008, and noting that operators rarely remembered such callers “actually needing assistance.”); City of Laredo, Texas Comments, PS Docket 08-51 (filed June 30, 2008), at 2-3 (Laredo Comments) (between February and April 2008, 32.51% of wireless calls were from NSI devices.  Less than 0.5% of these calls warranted dispatch.).</w:t>
      </w:r>
    </w:p>
  </w:footnote>
  <w:footnote w:id="49">
    <w:p w14:paraId="33C7859F"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e.g., </w:t>
      </w:r>
      <w:r w:rsidRPr="005968CD">
        <w:t xml:space="preserve">Letter, Gregg, P. Skall, American Roaming Network, to Marlene Dortch, Secretary, Federal Communications Commission, PS Docket 08-51 (filed May 13, 2010), at 1 (ARN </w:t>
      </w:r>
      <w:r w:rsidRPr="005968CD">
        <w:rPr>
          <w:i/>
        </w:rPr>
        <w:t>Ex Parte</w:t>
      </w:r>
      <w:r w:rsidRPr="005968CD">
        <w:t xml:space="preserve">) (“90% of E911 calls from NSI handsets are not legitimate E911 calls”);  Letter, Paul Nave, 911 Director, Daviess County, Kentucky, Sheriff’s Office to Julius Genachowski, Chairman, Federal Communications Commission, PS Docket 08-51 (filed Aug. 8, 2009), at 1 (Daviess County </w:t>
      </w:r>
      <w:r w:rsidRPr="005968CD">
        <w:rPr>
          <w:i/>
        </w:rPr>
        <w:t>Ex Parte</w:t>
      </w:r>
      <w:r w:rsidRPr="005968CD">
        <w:t xml:space="preserve">) (“[M]any [calls from NSI handsets] were made by pranksters for reasons other than an emergency nature.”); Letter, George L. Fosque, 911 and Communications Direction, Cambridge, Massachusetts, Emergency Communications Department, to Marlene Dortch, Secretary, Federal Communications Commission, PS Docket 08-51 (filed June 11, 2013), Attachment at 1 (Cambridge </w:t>
      </w:r>
      <w:r w:rsidRPr="005968CD">
        <w:rPr>
          <w:i/>
        </w:rPr>
        <w:t>Ex Parte</w:t>
      </w:r>
      <w:r w:rsidRPr="005968CD">
        <w:t xml:space="preserve">) (stating that 14% of wireless calls made to 911 [in a 19 month period] are NSI calls, but almost all were not emergencies).  </w:t>
      </w:r>
      <w:r w:rsidRPr="005968CD">
        <w:rPr>
          <w:i/>
        </w:rPr>
        <w:t>See also</w:t>
      </w:r>
      <w:r w:rsidRPr="005968CD">
        <w:t xml:space="preserve"> Comments of the National Emergency Number Association in, PS Docket Nos. 10-255, 11-153, 12-333 (filed Dec. 13, 2012), at 21 (“Today, PSAPs face an ever-growing onslaught of non-emergency calls to 9-1-1 from NSI devices.”). </w:t>
      </w:r>
    </w:p>
  </w:footnote>
  <w:footnote w:id="50">
    <w:p w14:paraId="085DFD8E" w14:textId="4137E7B4" w:rsidR="00FB4F8D" w:rsidRPr="005968CD" w:rsidRDefault="00FB4F8D">
      <w:pPr>
        <w:pStyle w:val="FootnoteText"/>
      </w:pPr>
      <w:r w:rsidRPr="005968CD">
        <w:rPr>
          <w:rStyle w:val="FootnoteReference"/>
        </w:rPr>
        <w:footnoteRef/>
      </w:r>
      <w:r w:rsidRPr="005968CD">
        <w:t xml:space="preserve"> Tennessee Emergency Communications Board Reply Comments, PS Docket 08-51 (filed May 22, 2013), at 1 (Tennessee </w:t>
      </w:r>
      <w:r w:rsidRPr="000C0DD9">
        <w:t>PN</w:t>
      </w:r>
      <w:r w:rsidRPr="005968CD">
        <w:rPr>
          <w:i/>
        </w:rPr>
        <w:t xml:space="preserve"> </w:t>
      </w:r>
      <w:r w:rsidRPr="005968CD">
        <w:t>Reply Comments).</w:t>
      </w:r>
    </w:p>
  </w:footnote>
  <w:footnote w:id="51">
    <w:p w14:paraId="18D4ED6E" w14:textId="18C0BCF5" w:rsidR="00FB4F8D" w:rsidRPr="005968CD" w:rsidRDefault="00FB4F8D">
      <w:pPr>
        <w:pStyle w:val="FootnoteText"/>
      </w:pPr>
      <w:r w:rsidRPr="005968CD">
        <w:rPr>
          <w:rStyle w:val="FootnoteReference"/>
        </w:rPr>
        <w:footnoteRef/>
      </w:r>
      <w:r w:rsidRPr="005968CD">
        <w:t xml:space="preserve"> Sonoma County, California, Sheriff Comments, PS Docket 08-51 (filed May 14, 2013), at 1 (Sonoma County </w:t>
      </w:r>
      <w:r w:rsidRPr="000C0DD9">
        <w:t>PN</w:t>
      </w:r>
      <w:r w:rsidRPr="005968CD">
        <w:rPr>
          <w:i/>
        </w:rPr>
        <w:t xml:space="preserve"> </w:t>
      </w:r>
      <w:r w:rsidRPr="005968CD">
        <w:t>Comments).</w:t>
      </w:r>
    </w:p>
  </w:footnote>
  <w:footnote w:id="52">
    <w:p w14:paraId="3BA55B52" w14:textId="5D7BC961" w:rsidR="00FB4F8D" w:rsidRPr="005968CD" w:rsidRDefault="00FB4F8D">
      <w:pPr>
        <w:pStyle w:val="FootnoteText"/>
      </w:pPr>
      <w:r w:rsidRPr="005968CD">
        <w:rPr>
          <w:rStyle w:val="FootnoteReference"/>
        </w:rPr>
        <w:footnoteRef/>
      </w:r>
      <w:r w:rsidRPr="005968CD">
        <w:t xml:space="preserve"> Peoria, Illinois Emergency Communications Center Comments, PS Docket 08-51 (filed May 6, 2013), at 1 (Peoria </w:t>
      </w:r>
      <w:r w:rsidRPr="000C0DD9">
        <w:t>PN</w:t>
      </w:r>
      <w:r w:rsidRPr="005968CD">
        <w:rPr>
          <w:i/>
        </w:rPr>
        <w:t xml:space="preserve"> </w:t>
      </w:r>
      <w:r w:rsidRPr="005968CD">
        <w:t xml:space="preserve">Comments).  </w:t>
      </w:r>
      <w:r w:rsidRPr="005968CD">
        <w:rPr>
          <w:i/>
        </w:rPr>
        <w:t xml:space="preserve">See also </w:t>
      </w:r>
      <w:r w:rsidRPr="005968CD">
        <w:t xml:space="preserve">APCO Comments, PS Docket 08-51 (filed May 16, 2013) at 2 (“The information already in the record of this proceeding demonstrates the serious problems posed by such calls, which will only get worse with widespread deployment of wireless IP telephony devices.”) (APCO </w:t>
      </w:r>
      <w:r w:rsidRPr="000C0DD9">
        <w:t>PN</w:t>
      </w:r>
      <w:r w:rsidRPr="005968CD">
        <w:rPr>
          <w:i/>
        </w:rPr>
        <w:t xml:space="preserve"> </w:t>
      </w:r>
      <w:r w:rsidRPr="005968CD">
        <w:t>Comments); Tennessee</w:t>
      </w:r>
      <w:r w:rsidRPr="000C0DD9">
        <w:t xml:space="preserve"> PN</w:t>
      </w:r>
      <w:r w:rsidRPr="005968CD">
        <w:rPr>
          <w:i/>
        </w:rPr>
        <w:t xml:space="preserve"> </w:t>
      </w:r>
      <w:r w:rsidRPr="005968CD">
        <w:t xml:space="preserve">Reply Comments at 1 (“In Shelby County, Tennessee one 911 call center reported receiv[ing] over 1100 calls from one NSI phone in a 16 day period.  This is not an isolated incident.”).  </w:t>
      </w:r>
      <w:r w:rsidRPr="005968CD">
        <w:rPr>
          <w:i/>
        </w:rPr>
        <w:t xml:space="preserve">See also </w:t>
      </w:r>
      <w:r w:rsidRPr="005968CD">
        <w:t>Cambridge Ex Parte, Attachment</w:t>
      </w:r>
      <w:r w:rsidRPr="005968CD" w:rsidDel="007C5947">
        <w:t xml:space="preserve"> </w:t>
      </w:r>
      <w:r w:rsidRPr="005968CD">
        <w:t>at 1.</w:t>
      </w:r>
      <w:r w:rsidRPr="005968CD">
        <w:rPr>
          <w:shd w:val="clear" w:color="auto" w:fill="FFFF00"/>
        </w:rPr>
        <w:t xml:space="preserve">  </w:t>
      </w:r>
    </w:p>
  </w:footnote>
  <w:footnote w:id="53">
    <w:p w14:paraId="51AD21C5" w14:textId="514CFE34" w:rsidR="00FB4F8D" w:rsidRPr="005968CD" w:rsidRDefault="00FB4F8D">
      <w:pPr>
        <w:pStyle w:val="FootnoteText"/>
      </w:pPr>
      <w:r w:rsidRPr="005968CD">
        <w:rPr>
          <w:rStyle w:val="FootnoteReference"/>
        </w:rPr>
        <w:footnoteRef/>
      </w:r>
      <w:r w:rsidRPr="005968CD">
        <w:t xml:space="preserve"> </w:t>
      </w:r>
      <w:r w:rsidRPr="005968CD">
        <w:rPr>
          <w:i/>
        </w:rPr>
        <w:t>See, e.g.,</w:t>
      </w:r>
      <w:r w:rsidRPr="005968CD">
        <w:t xml:space="preserve"> </w:t>
      </w:r>
      <w:r>
        <w:t xml:space="preserve">Carlton, Jim, </w:t>
      </w:r>
      <w:r w:rsidRPr="005968CD">
        <w:t>“Phony Calls Plague 911 Centers</w:t>
      </w:r>
      <w:r>
        <w:t>,</w:t>
      </w:r>
      <w:r w:rsidRPr="005968CD">
        <w:t xml:space="preserve">” </w:t>
      </w:r>
      <w:r w:rsidRPr="00BF1D50">
        <w:rPr>
          <w:smallCaps/>
        </w:rPr>
        <w:t>Wall Street Journal</w:t>
      </w:r>
      <w:r w:rsidRPr="005968CD">
        <w:rPr>
          <w:i/>
        </w:rPr>
        <w:t>,</w:t>
      </w:r>
      <w:r w:rsidRPr="005968CD">
        <w:t xml:space="preserve"> (Apr</w:t>
      </w:r>
      <w:r>
        <w:t>.</w:t>
      </w:r>
      <w:r w:rsidRPr="005968CD">
        <w:t xml:space="preserve"> 6, 2014),</w:t>
      </w:r>
      <w:r w:rsidRPr="000C0DD9">
        <w:t xml:space="preserve"> </w:t>
      </w:r>
      <w:hyperlink r:id="rId1" w:history="1">
        <w:r w:rsidRPr="000C0DD9">
          <w:rPr>
            <w:rStyle w:val="Hyperlink"/>
            <w:color w:val="auto"/>
            <w:u w:val="none"/>
          </w:rPr>
          <w:t>http://online.wsj.com/news/articles/SB10001424052702303847804579477411606975716</w:t>
        </w:r>
      </w:hyperlink>
      <w:r w:rsidRPr="005968CD">
        <w:rPr>
          <w:i/>
        </w:rPr>
        <w:t xml:space="preserve"> </w:t>
      </w:r>
      <w:r w:rsidRPr="005968CD">
        <w:t xml:space="preserve">(“Pranksters use emergency-dial feature of disabled cellphones to avoid detection.”) ; </w:t>
      </w:r>
      <w:r>
        <w:t>Gonzalez, Tony,</w:t>
      </w:r>
      <w:r w:rsidRPr="000C0DD9">
        <w:t xml:space="preserve"> </w:t>
      </w:r>
      <w:r w:rsidRPr="005968CD">
        <w:t xml:space="preserve">“Nashville Child Ties Up Dispatchers with 162-Plus 911 Calls” (Mar. 6, 2014), </w:t>
      </w:r>
      <w:r w:rsidRPr="00BF1D50">
        <w:rPr>
          <w:smallCaps/>
        </w:rPr>
        <w:t>The Tennessean</w:t>
      </w:r>
      <w:r w:rsidRPr="005968CD">
        <w:rPr>
          <w:i/>
        </w:rPr>
        <w:t xml:space="preserve">, </w:t>
      </w:r>
      <w:hyperlink r:id="rId2" w:history="1">
        <w:r w:rsidRPr="000C0DD9">
          <w:rPr>
            <w:rStyle w:val="Hyperlink"/>
            <w:color w:val="auto"/>
            <w:u w:val="none"/>
          </w:rPr>
          <w:t>http://www.tennessean.com/story/news/local/2014/03/05/child-ties-up-dispatchers-with-162-plus-911-calls-on-tuesday-and-wednesday/6103557/</w:t>
        </w:r>
      </w:hyperlink>
      <w:r w:rsidRPr="00AC673F">
        <w:t xml:space="preserve"> </w:t>
      </w:r>
      <w:r w:rsidRPr="005968CD">
        <w:t xml:space="preserve">; </w:t>
      </w:r>
      <w:r w:rsidRPr="005968CD">
        <w:rPr>
          <w:i/>
        </w:rPr>
        <w:t>The Daily</w:t>
      </w:r>
      <w:r w:rsidRPr="005968CD">
        <w:t xml:space="preserve">, “Fanny 911” (Oct. 8, 2012), </w:t>
      </w:r>
      <w:r w:rsidRPr="005968CD">
        <w:rPr>
          <w:i/>
        </w:rPr>
        <w:t xml:space="preserve">available at </w:t>
      </w:r>
      <w:hyperlink r:id="rId3" w:history="1">
        <w:r w:rsidRPr="000C0DD9">
          <w:rPr>
            <w:rStyle w:val="Hyperlink"/>
            <w:color w:val="auto"/>
            <w:u w:val="none"/>
          </w:rPr>
          <w:t>http://www.dalecurtiscommunications.com/pdfs/DCC-FANNY-911.pdf</w:t>
        </w:r>
      </w:hyperlink>
      <w:r w:rsidRPr="000C0DD9">
        <w:t xml:space="preserve"> </w:t>
      </w:r>
      <w:r>
        <w:t xml:space="preserve"> </w:t>
      </w:r>
      <w:r w:rsidRPr="005968CD">
        <w:t xml:space="preserve">(“Complicating matters is the FCC’s requirement that even non-initialized cellphones — ones that no longer subscribe to any plan — must be able to dial 911. </w:t>
      </w:r>
      <w:r>
        <w:t xml:space="preserve"> </w:t>
      </w:r>
      <w:r w:rsidRPr="005968CD">
        <w:t xml:space="preserve">In many jurisdictions, this … policy has resulted in call centers being inundated with prank calls that are extremely difficult to trace.”) ; </w:t>
      </w:r>
      <w:r>
        <w:t>Roderick, Kevin</w:t>
      </w:r>
      <w:r w:rsidRPr="005968CD">
        <w:t>, “</w:t>
      </w:r>
      <w:r w:rsidRPr="005968CD">
        <w:rPr>
          <w:kern w:val="36"/>
        </w:rPr>
        <w:t>CHP busts man for making 18,000 prank calls to 9-1-1” (Feb. 25, 2011),</w:t>
      </w:r>
      <w:r>
        <w:rPr>
          <w:kern w:val="36"/>
        </w:rPr>
        <w:t xml:space="preserve"> </w:t>
      </w:r>
      <w:r w:rsidRPr="00BF1D50">
        <w:rPr>
          <w:smallCaps/>
          <w:kern w:val="36"/>
        </w:rPr>
        <w:t>L.A. Observed</w:t>
      </w:r>
      <w:r>
        <w:rPr>
          <w:kern w:val="36"/>
        </w:rPr>
        <w:t>,</w:t>
      </w:r>
      <w:r w:rsidRPr="000C0DD9">
        <w:rPr>
          <w:kern w:val="36"/>
        </w:rPr>
        <w:t xml:space="preserve"> </w:t>
      </w:r>
      <w:hyperlink r:id="rId4" w:history="1">
        <w:r w:rsidRPr="000C0DD9">
          <w:rPr>
            <w:rStyle w:val="Hyperlink"/>
            <w:color w:val="auto"/>
            <w:kern w:val="36"/>
            <w:u w:val="none"/>
          </w:rPr>
          <w:t>http://www.laobserved.com/archive/2011/02/chp_busts_man_for_making.php</w:t>
        </w:r>
      </w:hyperlink>
      <w:r w:rsidRPr="005968CD">
        <w:rPr>
          <w:i/>
          <w:kern w:val="36"/>
        </w:rPr>
        <w:t xml:space="preserve"> </w:t>
      </w:r>
      <w:r w:rsidRPr="005968CD">
        <w:rPr>
          <w:kern w:val="36"/>
        </w:rPr>
        <w:t>;</w:t>
      </w:r>
      <w:r w:rsidRPr="005968CD">
        <w:t xml:space="preserve"> “Local 9-1-1 Officials Concerned About Non-Initialized Cell Calls” (May 5, 2010)</w:t>
      </w:r>
      <w:r>
        <w:t xml:space="preserve">, </w:t>
      </w:r>
      <w:r w:rsidRPr="00BF1D50">
        <w:rPr>
          <w:smallCaps/>
        </w:rPr>
        <w:t>The Dillon Herald</w:t>
      </w:r>
      <w:r>
        <w:t>,</w:t>
      </w:r>
      <w:r w:rsidRPr="000C0DD9">
        <w:t xml:space="preserve"> </w:t>
      </w:r>
      <w:hyperlink r:id="rId5" w:history="1">
        <w:r w:rsidRPr="000C0DD9">
          <w:rPr>
            <w:rStyle w:val="Hyperlink"/>
            <w:color w:val="auto"/>
            <w:u w:val="none"/>
          </w:rPr>
          <w:t>http://www.dillonheraldonline.com/2010/05/05/local-9-1-1-officials-concerned-about-non-initialized-cell-calls/</w:t>
        </w:r>
      </w:hyperlink>
      <w:r w:rsidRPr="005968CD">
        <w:t xml:space="preserve">.   </w:t>
      </w:r>
    </w:p>
  </w:footnote>
  <w:footnote w:id="54">
    <w:p w14:paraId="79F55941" w14:textId="29E36D09"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 xml:space="preserve">California Department of General Services Comments, PS Docket 08-51 (filed June 27, 2008), at 2 (California Comments).  </w:t>
      </w:r>
      <w:r w:rsidRPr="005968CD">
        <w:rPr>
          <w:i/>
        </w:rPr>
        <w:t xml:space="preserve">See also </w:t>
      </w:r>
      <w:r w:rsidRPr="005968CD">
        <w:t>Laredo Comments at 3 (“during the review period, more than 100 NSI devices made monthly repeat calls to 9-1-1.”); Tennessee</w:t>
      </w:r>
      <w:r w:rsidRPr="000C0DD9">
        <w:t xml:space="preserve"> PN</w:t>
      </w:r>
      <w:r w:rsidRPr="005968CD">
        <w:rPr>
          <w:i/>
        </w:rPr>
        <w:t xml:space="preserve"> </w:t>
      </w:r>
      <w:r w:rsidRPr="005968CD">
        <w:t>Reply Comments at 1 (“During our survey, over 4,000 or 40% of the 10,000 calls were from repeat callers. 62 made 10 or more calls during the survey period.”).</w:t>
      </w:r>
    </w:p>
  </w:footnote>
  <w:footnote w:id="55">
    <w:p w14:paraId="546E18E2" w14:textId="26FAD52F" w:rsidR="00FB4F8D" w:rsidRPr="005968CD" w:rsidRDefault="00FB4F8D">
      <w:pPr>
        <w:pStyle w:val="FootnoteText"/>
        <w:rPr>
          <w:i/>
        </w:rPr>
      </w:pPr>
      <w:r w:rsidRPr="005968CD">
        <w:rPr>
          <w:rStyle w:val="FootnoteReference"/>
        </w:rPr>
        <w:footnoteRef/>
      </w:r>
      <w:r w:rsidRPr="005968CD">
        <w:t xml:space="preserve"> </w:t>
      </w:r>
      <w:r w:rsidRPr="005968CD">
        <w:rPr>
          <w:i/>
        </w:rPr>
        <w:t xml:space="preserve">See </w:t>
      </w:r>
      <w:r w:rsidRPr="005968CD">
        <w:t>Petitioner</w:t>
      </w:r>
      <w:r>
        <w:t>’</w:t>
      </w:r>
      <w:r w:rsidRPr="005968CD">
        <w:t xml:space="preserve">s Reply Comments at 2.  </w:t>
      </w:r>
      <w:r w:rsidRPr="005968CD">
        <w:rPr>
          <w:i/>
        </w:rPr>
        <w:t xml:space="preserve">See also </w:t>
      </w:r>
      <w:r w:rsidRPr="005968CD">
        <w:t>National Association of Telecommunications Officers and Advisors Comments, PS Docket 08-51 (filed June 2, 2008), at 3 (NATOA Comments) (“many of the complaints of fraudulent 911 calls made from NSI devices are initiated by children.  It appears these calls are made on discarded phones given to them by their parents, oftentimes to be used as toys.  It is very probable that adult consumers are unaware of the fact that such phones are still capable of making 911 calls.”); Indiana Comments at 2 (</w:t>
      </w:r>
      <w:r>
        <w:t>stating that i</w:t>
      </w:r>
      <w:r w:rsidRPr="005968CD">
        <w:t xml:space="preserve">n January and February of 2008, 60.73% of calls from NSI devices in the State of Indiana were from children).  Moreover, according to Indiana, only 2.1% of all NSI calls were legitimate in that period.  </w:t>
      </w:r>
      <w:r w:rsidRPr="005968CD">
        <w:rPr>
          <w:i/>
        </w:rPr>
        <w:t>Id.</w:t>
      </w:r>
    </w:p>
  </w:footnote>
  <w:footnote w:id="56">
    <w:p w14:paraId="1EBD8320" w14:textId="77777777" w:rsidR="00FB4F8D" w:rsidRPr="005968CD" w:rsidRDefault="00FB4F8D">
      <w:pPr>
        <w:pStyle w:val="FootnoteText"/>
        <w:rPr>
          <w:i/>
        </w:rPr>
      </w:pPr>
      <w:r w:rsidRPr="005968CD">
        <w:rPr>
          <w:rStyle w:val="FootnoteReference"/>
        </w:rPr>
        <w:footnoteRef/>
      </w:r>
      <w:r w:rsidRPr="005968CD">
        <w:t xml:space="preserve"> </w:t>
      </w:r>
      <w:r w:rsidRPr="005968CD">
        <w:rPr>
          <w:i/>
        </w:rPr>
        <w:t xml:space="preserve">See </w:t>
      </w:r>
      <w:r w:rsidRPr="005968CD">
        <w:t xml:space="preserve">Clinton County, Illinois ETSB Comments, PS Docket 08-51 (filed June 30, 2008), at 2 (Clinton County Comments).  </w:t>
      </w:r>
      <w:r w:rsidRPr="005968CD">
        <w:rPr>
          <w:i/>
        </w:rPr>
        <w:t xml:space="preserve">See also </w:t>
      </w:r>
      <w:r w:rsidRPr="005968CD">
        <w:t>Washington Comments at 2-4 (Washington Comments) (raising the possibility that terrorists could use NSI devices to overload a PSAP during an emergency).</w:t>
      </w:r>
    </w:p>
  </w:footnote>
  <w:footnote w:id="57">
    <w:p w14:paraId="675C211D" w14:textId="18CD66B1" w:rsidR="00FB4F8D" w:rsidRPr="005968CD" w:rsidRDefault="00FB4F8D">
      <w:pPr>
        <w:pStyle w:val="FootnoteText"/>
      </w:pPr>
      <w:r w:rsidRPr="005968CD">
        <w:rPr>
          <w:rStyle w:val="FootnoteReference"/>
        </w:rPr>
        <w:footnoteRef/>
      </w:r>
      <w:r w:rsidRPr="000C0DD9">
        <w:t xml:space="preserve"> </w:t>
      </w:r>
      <w:r w:rsidRPr="005968CD">
        <w:t>Kentucky Office of the 911 Coordinator Comments, PS Docket 08-51 (filed June 30, 2008), at 1 (Kentucky Comments).</w:t>
      </w:r>
    </w:p>
  </w:footnote>
  <w:footnote w:id="58">
    <w:p w14:paraId="546F421B" w14:textId="06F13B3D" w:rsidR="00FB4F8D" w:rsidRPr="005968CD" w:rsidRDefault="00FB4F8D">
      <w:pPr>
        <w:pStyle w:val="FootnoteText"/>
      </w:pPr>
      <w:r w:rsidRPr="005968CD">
        <w:rPr>
          <w:rStyle w:val="FootnoteReference"/>
        </w:rPr>
        <w:footnoteRef/>
      </w:r>
      <w:r w:rsidRPr="000C0DD9">
        <w:t xml:space="preserve"> </w:t>
      </w:r>
      <w:r w:rsidRPr="005968CD">
        <w:t xml:space="preserve">Amelia County Comments at 4.  </w:t>
      </w:r>
    </w:p>
  </w:footnote>
  <w:footnote w:id="59">
    <w:p w14:paraId="4B47E737" w14:textId="54597CC3" w:rsidR="00FB4F8D" w:rsidRPr="005968CD" w:rsidRDefault="00FB4F8D">
      <w:pPr>
        <w:pStyle w:val="FootnoteText"/>
      </w:pPr>
      <w:r w:rsidRPr="005968CD">
        <w:rPr>
          <w:rStyle w:val="FootnoteReference"/>
        </w:rPr>
        <w:footnoteRef/>
      </w:r>
      <w:r w:rsidRPr="000C0DD9">
        <w:t xml:space="preserve"> </w:t>
      </w:r>
      <w:r w:rsidRPr="005968CD">
        <w:t xml:space="preserve">Tennessee </w:t>
      </w:r>
      <w:r w:rsidRPr="000C0DD9">
        <w:t>PN</w:t>
      </w:r>
      <w:r w:rsidRPr="005968CD">
        <w:rPr>
          <w:i/>
        </w:rPr>
        <w:t xml:space="preserve"> </w:t>
      </w:r>
      <w:r w:rsidRPr="005968CD">
        <w:t>Reply Comments at 1.</w:t>
      </w:r>
    </w:p>
  </w:footnote>
  <w:footnote w:id="60">
    <w:p w14:paraId="207E07EB" w14:textId="77777777" w:rsidR="00FB4F8D" w:rsidRPr="005968CD" w:rsidRDefault="00FB4F8D">
      <w:pPr>
        <w:pStyle w:val="FootnoteText"/>
      </w:pPr>
      <w:r w:rsidRPr="005968CD">
        <w:rPr>
          <w:rStyle w:val="FootnoteReference"/>
        </w:rPr>
        <w:footnoteRef/>
      </w:r>
      <w:r w:rsidRPr="005968CD">
        <w:t xml:space="preserve"> Spokane County, Washington, 911 Comments, PS Docket 08-51 (filed June 9, 2008), at 1(Spokane County Comments).</w:t>
      </w:r>
    </w:p>
  </w:footnote>
  <w:footnote w:id="61">
    <w:p w14:paraId="1E027B2B" w14:textId="05BBF877" w:rsidR="00FB4F8D" w:rsidRPr="005968CD" w:rsidRDefault="00FB4F8D">
      <w:pPr>
        <w:pStyle w:val="FootnoteText"/>
      </w:pPr>
      <w:r w:rsidRPr="005968CD">
        <w:rPr>
          <w:rStyle w:val="FootnoteReference"/>
        </w:rPr>
        <w:footnoteRef/>
      </w:r>
      <w:r w:rsidRPr="000C0DD9">
        <w:t xml:space="preserve"> </w:t>
      </w:r>
      <w:r w:rsidRPr="005968CD">
        <w:t>Laredo Comments at 3.</w:t>
      </w:r>
    </w:p>
  </w:footnote>
  <w:footnote w:id="62">
    <w:p w14:paraId="603BEE52"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generally </w:t>
      </w:r>
      <w:r w:rsidRPr="005968CD">
        <w:t xml:space="preserve">Promoting Technological Solutions to Combat Contraband Wireless Device Use in Correctional Facilities, GN Docket No. 13-111, </w:t>
      </w:r>
      <w:r w:rsidRPr="005968CD">
        <w:rPr>
          <w:i/>
        </w:rPr>
        <w:t>Notice of Proposed Rulemaking</w:t>
      </w:r>
      <w:r w:rsidRPr="005968CD">
        <w:t>, 28 FCC Rcd 6603 (2013).</w:t>
      </w:r>
    </w:p>
  </w:footnote>
  <w:footnote w:id="63">
    <w:p w14:paraId="7632A77D"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e.g., </w:t>
      </w:r>
      <w:r w:rsidRPr="005968CD">
        <w:t>Clinton County Comments at 2; Connecticut Enhanced 9-1-1 Commission Comments, PS Docket 08-51 (filed June 27, 2008), at 2 (Connecticut Comments); King County, Washington, E911 Administrator Comments, PS Docket 08-51 (filed June 30, 2008), at 7-8 (King County Comments); Michael J. Mahn, Esq. Comments,  PS Docket 08-51 (filed May 16, 2008), at 1 (Mahn Comments); Washington Comments at 2-4; Waukesha County Comments at 2.</w:t>
      </w:r>
    </w:p>
  </w:footnote>
  <w:footnote w:id="64">
    <w:p w14:paraId="10504F3D" w14:textId="4DA6DFB5" w:rsidR="00FB4F8D" w:rsidRPr="005968CD" w:rsidRDefault="00FB4F8D">
      <w:pPr>
        <w:pStyle w:val="FootnoteText"/>
      </w:pPr>
      <w:r w:rsidRPr="005968CD">
        <w:rPr>
          <w:rStyle w:val="FootnoteReference"/>
        </w:rPr>
        <w:footnoteRef/>
      </w:r>
      <w:r w:rsidRPr="000C0DD9">
        <w:t xml:space="preserve"> </w:t>
      </w:r>
      <w:r w:rsidRPr="005968CD">
        <w:t>Washington Comments at 2.</w:t>
      </w:r>
    </w:p>
  </w:footnote>
  <w:footnote w:id="65">
    <w:p w14:paraId="73FC8F21" w14:textId="77777777" w:rsidR="00FB4F8D" w:rsidRPr="005968CD" w:rsidRDefault="00FB4F8D">
      <w:pPr>
        <w:pStyle w:val="FootnoteText"/>
      </w:pPr>
      <w:r w:rsidRPr="005968CD">
        <w:rPr>
          <w:rStyle w:val="FootnoteReference"/>
        </w:rPr>
        <w:footnoteRef/>
      </w:r>
      <w:r w:rsidRPr="005968CD">
        <w:t xml:space="preserve"> </w:t>
      </w:r>
      <w:r w:rsidRPr="005968CD">
        <w:rPr>
          <w:i/>
        </w:rPr>
        <w:t>Id</w:t>
      </w:r>
      <w:r w:rsidRPr="005968CD">
        <w:t>.</w:t>
      </w:r>
      <w:r w:rsidRPr="005968CD">
        <w:rPr>
          <w:i/>
        </w:rPr>
        <w:t xml:space="preserve">  </w:t>
      </w:r>
    </w:p>
  </w:footnote>
  <w:footnote w:id="66">
    <w:p w14:paraId="3B0BD921" w14:textId="77777777" w:rsidR="00FB4F8D" w:rsidRPr="005968CD" w:rsidRDefault="00FB4F8D">
      <w:pPr>
        <w:pStyle w:val="Default"/>
        <w:spacing w:after="120"/>
        <w:rPr>
          <w:iCs/>
          <w:color w:val="auto"/>
          <w:sz w:val="20"/>
          <w:szCs w:val="20"/>
        </w:rPr>
      </w:pPr>
      <w:r w:rsidRPr="005968CD">
        <w:rPr>
          <w:rStyle w:val="FootnoteReference"/>
          <w:szCs w:val="20"/>
        </w:rPr>
        <w:footnoteRef/>
      </w:r>
      <w:r w:rsidRPr="005968CD">
        <w:rPr>
          <w:color w:val="auto"/>
          <w:sz w:val="20"/>
          <w:szCs w:val="20"/>
        </w:rPr>
        <w:t xml:space="preserve"> </w:t>
      </w:r>
      <w:r w:rsidRPr="005968CD">
        <w:rPr>
          <w:i/>
          <w:color w:val="auto"/>
          <w:sz w:val="20"/>
          <w:szCs w:val="20"/>
        </w:rPr>
        <w:t xml:space="preserve">See </w:t>
      </w:r>
      <w:r w:rsidRPr="005968CD">
        <w:rPr>
          <w:color w:val="auto"/>
          <w:sz w:val="20"/>
          <w:szCs w:val="20"/>
        </w:rPr>
        <w:t xml:space="preserve">Letter, Scott K. Bergmann , Vice President, Regulatory Affairs, CTIA – The Wireless Association, to FCC Chairman and Commissioners, </w:t>
      </w:r>
      <w:r w:rsidRPr="005968CD">
        <w:rPr>
          <w:iCs/>
          <w:color w:val="auto"/>
          <w:sz w:val="20"/>
          <w:szCs w:val="20"/>
        </w:rPr>
        <w:t>GN Docket No. 09-51, WT Docket No. 13-135 (filed Nov. 13, 2013) at 2</w:t>
      </w:r>
      <w:r w:rsidRPr="005968CD">
        <w:rPr>
          <w:i/>
          <w:iCs/>
          <w:color w:val="auto"/>
          <w:sz w:val="20"/>
          <w:szCs w:val="20"/>
        </w:rPr>
        <w:t>.</w:t>
      </w:r>
    </w:p>
  </w:footnote>
  <w:footnote w:id="67">
    <w:p w14:paraId="50958F71" w14:textId="47F386AB" w:rsidR="00FB4F8D" w:rsidRPr="00957106" w:rsidRDefault="00FB4F8D" w:rsidP="00957106">
      <w:pPr>
        <w:pStyle w:val="FootnoteText"/>
        <w:rPr>
          <w:rStyle w:val="Footnote"/>
        </w:rPr>
      </w:pPr>
      <w:r w:rsidRPr="00957106">
        <w:rPr>
          <w:rStyle w:val="Footnote"/>
          <w:vertAlign w:val="superscript"/>
        </w:rPr>
        <w:footnoteRef/>
      </w:r>
      <w:r w:rsidRPr="00957106">
        <w:rPr>
          <w:rStyle w:val="Footnote"/>
        </w:rPr>
        <w:t xml:space="preserve"> </w:t>
      </w:r>
      <w:r w:rsidRPr="00957106">
        <w:rPr>
          <w:rStyle w:val="Footnote"/>
          <w:i/>
        </w:rPr>
        <w:t>See</w:t>
      </w:r>
      <w:r w:rsidRPr="00957106">
        <w:rPr>
          <w:rStyle w:val="Footnote"/>
        </w:rPr>
        <w:t xml:space="preserve"> Quandl, Inc., “BLS Consumer Price Index Database (not seasonally adjusted), Series Id CUUR0000SEED03, Wireless Telephone Services,” </w:t>
      </w:r>
      <w:hyperlink r:id="rId6" w:history="1">
        <w:r w:rsidRPr="00957106">
          <w:rPr>
            <w:rStyle w:val="Footnote"/>
          </w:rPr>
          <w:t>http://www.quandl.com/BLS/CUUR0000SEED03-Consumer-Price-Index-CPI-All-Urban-Consumers-Wireless-telephone-services-4-T-326-U-S-city-average</w:t>
        </w:r>
      </w:hyperlink>
      <w:r w:rsidRPr="00957106">
        <w:rPr>
          <w:rStyle w:val="Footnote"/>
        </w:rPr>
        <w:t>.</w:t>
      </w:r>
    </w:p>
  </w:footnote>
  <w:footnote w:id="68">
    <w:p w14:paraId="14ACD4B2" w14:textId="77777777" w:rsidR="00FB4F8D" w:rsidRPr="00957106" w:rsidRDefault="00FB4F8D">
      <w:pPr>
        <w:pStyle w:val="FootnoteText"/>
        <w:rPr>
          <w:rStyle w:val="Footnote"/>
        </w:rPr>
      </w:pPr>
      <w:r w:rsidRPr="00957106">
        <w:rPr>
          <w:rStyle w:val="Footnote"/>
          <w:vertAlign w:val="superscript"/>
        </w:rPr>
        <w:footnoteRef/>
      </w:r>
      <w:r w:rsidRPr="00957106">
        <w:rPr>
          <w:rStyle w:val="Footnote"/>
        </w:rPr>
        <w:t xml:space="preserve"> See CTIA Comments, PS Docket 08-51 (filed June 30, 2008), at 9 (CTIA Comments).  </w:t>
      </w:r>
    </w:p>
  </w:footnote>
  <w:footnote w:id="69">
    <w:p w14:paraId="456860B1" w14:textId="3D13E7D2"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 xml:space="preserve">APCO </w:t>
      </w:r>
      <w:r w:rsidRPr="00BF1D50">
        <w:t>PN</w:t>
      </w:r>
      <w:r w:rsidRPr="005968CD">
        <w:rPr>
          <w:i/>
        </w:rPr>
        <w:t xml:space="preserve"> </w:t>
      </w:r>
      <w:r w:rsidRPr="005968CD">
        <w:t>Comments at 2-3</w:t>
      </w:r>
      <w:r>
        <w:t xml:space="preserve">; </w:t>
      </w:r>
      <w:r w:rsidRPr="005968CD">
        <w:t>NENA</w:t>
      </w:r>
      <w:r w:rsidRPr="005968CD">
        <w:rPr>
          <w:i/>
        </w:rPr>
        <w:t xml:space="preserve"> Ex Parte </w:t>
      </w:r>
      <w:r w:rsidRPr="005968CD">
        <w:t>at 2.</w:t>
      </w:r>
      <w:r>
        <w:t xml:space="preserve">  </w:t>
      </w:r>
      <w:r w:rsidRPr="005968CD">
        <w:rPr>
          <w:shd w:val="clear" w:color="auto" w:fill="FFFFFF"/>
        </w:rPr>
        <w:t xml:space="preserve">The Lifeline program, part of the Universal Service Fund, provides a discount on phone service for qualifying low-income consumers.  The program was implemented in 1985 to ensure local phone service for low-income households </w:t>
      </w:r>
      <w:r w:rsidRPr="005968CD">
        <w:t xml:space="preserve"> </w:t>
      </w:r>
      <w:r w:rsidRPr="005968CD">
        <w:rPr>
          <w:i/>
        </w:rPr>
        <w:t xml:space="preserve">See </w:t>
      </w:r>
      <w:r w:rsidRPr="005968CD">
        <w:t xml:space="preserve">Lifeline and Link Up Reform and Modernization, Lifeline and Link Up, Federal-State Joint Board on Universal Service, Advancing Broadband Availability Through Digital Literacy Training, WC Docket No. 11-42, WC Docket No. 03-109, CC Docket No. 96-45, WC Docket No. 12-23, </w:t>
      </w:r>
      <w:r w:rsidRPr="005968CD">
        <w:rPr>
          <w:i/>
        </w:rPr>
        <w:t>Report and Order and Further Notice of Proposed Rulemaking</w:t>
      </w:r>
      <w:r w:rsidRPr="005968CD">
        <w:t>, 27 FCC Rcd 6656, 6661, 6668 ¶¶ 12, 21 (2012) (</w:t>
      </w:r>
      <w:r w:rsidRPr="005968CD">
        <w:rPr>
          <w:i/>
        </w:rPr>
        <w:t>Lifeline Reform Order</w:t>
      </w:r>
      <w:r w:rsidRPr="005968CD">
        <w:t>).</w:t>
      </w:r>
    </w:p>
  </w:footnote>
  <w:footnote w:id="70">
    <w:p w14:paraId="1071D91E" w14:textId="77777777" w:rsidR="00FB4F8D" w:rsidRPr="005968CD" w:rsidRDefault="00FB4F8D">
      <w:pPr>
        <w:pStyle w:val="FootnoteText"/>
      </w:pPr>
      <w:r w:rsidRPr="005968CD">
        <w:rPr>
          <w:rStyle w:val="FootnoteReference"/>
        </w:rPr>
        <w:footnoteRef/>
      </w:r>
      <w:r w:rsidRPr="005968CD">
        <w:t xml:space="preserve"> </w:t>
      </w:r>
      <w:r w:rsidRPr="005968CD">
        <w:rPr>
          <w:i/>
        </w:rPr>
        <w:t>See</w:t>
      </w:r>
      <w:r w:rsidRPr="005968CD">
        <w:t xml:space="preserve"> American Roaming Network Comments, PS Docket 08-51 (filed June 30, 2008), at 6-7 (ARN Comments); AT&amp;T Comments, PS Docket 08-51 (filed June 30, 2008), at 4 (AT&amp;T Comments); CTIA Comments at 1, 3, 4, 7; CTIA Reply Comments, PS Docket 08-51 (filed July 29, 2008), at 1; Hamilton County, Ohio Comments, PS Docket 08-51 (filed June 27, 2008), at 2 (Hamilton County Comments); NATOA Comments at 2; T-Mobile Comments, PS Docket 08-51 (filed June 30, 2008), at 6-7; Stephen Weinstein Comments, PS Docket 08-51 (filed April 14, 2008), at 1 (Weinstein Comments); ARN Reply Comments, PS Docket 08-51 (filed July 29, 2008), at 2 (ARN Reply Comments); Petitioners Reply Comments at 3; Verizon Reply Comments, PS Docket 08-51 (filed July 29, 2008), at 2.</w:t>
      </w:r>
    </w:p>
  </w:footnote>
  <w:footnote w:id="71">
    <w:p w14:paraId="7AA32019" w14:textId="24A076C1" w:rsidR="00FB4F8D" w:rsidRPr="005968CD" w:rsidRDefault="00FB4F8D">
      <w:pPr>
        <w:pStyle w:val="FootnoteText"/>
      </w:pPr>
      <w:r w:rsidRPr="005968CD">
        <w:rPr>
          <w:rStyle w:val="FootnoteReference"/>
        </w:rPr>
        <w:footnoteRef/>
      </w:r>
      <w:r w:rsidRPr="000C0DD9">
        <w:t xml:space="preserve"> </w:t>
      </w:r>
      <w:r w:rsidRPr="005968CD">
        <w:t>NENA Comments, PS Docket Nos. 10-255, 11-153, 12-333 (filed Dec. 13, 2012), at 21 (2012 NENA Comments).</w:t>
      </w:r>
    </w:p>
  </w:footnote>
  <w:footnote w:id="72">
    <w:p w14:paraId="5F1354DE" w14:textId="3989F273" w:rsidR="00FB4F8D" w:rsidRPr="005968CD" w:rsidRDefault="00FB4F8D">
      <w:pPr>
        <w:pStyle w:val="FootnoteText"/>
      </w:pPr>
      <w:r w:rsidRPr="005968CD">
        <w:rPr>
          <w:rStyle w:val="FootnoteReference"/>
        </w:rPr>
        <w:footnoteRef/>
      </w:r>
      <w:r w:rsidRPr="000C0DD9">
        <w:t xml:space="preserve"> </w:t>
      </w:r>
      <w:r w:rsidRPr="005968CD">
        <w:t xml:space="preserve">APCO </w:t>
      </w:r>
      <w:r w:rsidRPr="000C0DD9">
        <w:t>PN</w:t>
      </w:r>
      <w:r w:rsidRPr="005968CD">
        <w:rPr>
          <w:i/>
        </w:rPr>
        <w:t xml:space="preserve"> </w:t>
      </w:r>
      <w:r w:rsidRPr="005968CD">
        <w:t xml:space="preserve">Comments at 2-3. </w:t>
      </w:r>
    </w:p>
  </w:footnote>
  <w:footnote w:id="73">
    <w:p w14:paraId="03ABB72C" w14:textId="7F965D27" w:rsidR="00FB4F8D" w:rsidRPr="005968CD" w:rsidRDefault="00FB4F8D">
      <w:pPr>
        <w:pStyle w:val="FootnoteText"/>
      </w:pPr>
      <w:r w:rsidRPr="005968CD">
        <w:rPr>
          <w:rStyle w:val="FootnoteReference"/>
        </w:rPr>
        <w:footnoteRef/>
      </w:r>
      <w:r w:rsidRPr="005968CD">
        <w:t xml:space="preserve"> </w:t>
      </w:r>
      <w:r w:rsidRPr="005968CD">
        <w:rPr>
          <w:i/>
        </w:rPr>
        <w:t>See</w:t>
      </w:r>
      <w:r w:rsidRPr="005968CD">
        <w:t xml:space="preserve"> King County Comments at 8; Livingston County, New York, Sheriff Comments, PS Docket 08-51 (filed April 29, 2008), at 3 (Livingston County Comments) (“callers [using NSI phones] at the time of an emergency scream help into a phone that cannot be tracked using Phase II (latitude and longitude) technology.”).  We note, however, that it appears that at least some NSI devices do, in fact,</w:t>
      </w:r>
      <w:r w:rsidRPr="005968CD">
        <w:rPr>
          <w:i/>
        </w:rPr>
        <w:t xml:space="preserve"> </w:t>
      </w:r>
      <w:r w:rsidRPr="005968CD">
        <w:t xml:space="preserve">provide Phase II location information.  </w:t>
      </w:r>
      <w:r w:rsidRPr="005968CD">
        <w:rPr>
          <w:i/>
        </w:rPr>
        <w:t>See, e.g.</w:t>
      </w:r>
      <w:r w:rsidRPr="005968CD">
        <w:t>,</w:t>
      </w:r>
      <w:r w:rsidRPr="005968CD">
        <w:rPr>
          <w:i/>
        </w:rPr>
        <w:t xml:space="preserve"> </w:t>
      </w:r>
      <w:r w:rsidRPr="005968CD">
        <w:t xml:space="preserve">Vermont Enhanced 9-1-1 Board Comments, PS Docket 08-51 (filed April 4, 2013), at 1-2 (Vermont </w:t>
      </w:r>
      <w:r w:rsidRPr="000C0DD9">
        <w:t>PN</w:t>
      </w:r>
      <w:r w:rsidRPr="005968CD">
        <w:rPr>
          <w:i/>
        </w:rPr>
        <w:t xml:space="preserve"> </w:t>
      </w:r>
      <w:r w:rsidRPr="005968CD">
        <w:t xml:space="preserve">Comments); Sonoma County </w:t>
      </w:r>
      <w:r w:rsidRPr="000C0DD9">
        <w:t>PN</w:t>
      </w:r>
      <w:r w:rsidRPr="005968CD">
        <w:rPr>
          <w:i/>
        </w:rPr>
        <w:t xml:space="preserve"> </w:t>
      </w:r>
      <w:r w:rsidRPr="005968CD">
        <w:t>Comments at 3.</w:t>
      </w:r>
    </w:p>
  </w:footnote>
  <w:footnote w:id="74">
    <w:p w14:paraId="6D9EC363" w14:textId="4F319177" w:rsidR="00FB4F8D" w:rsidRPr="005968CD" w:rsidRDefault="00FB4F8D">
      <w:pPr>
        <w:pStyle w:val="FootnoteText"/>
        <w:rPr>
          <w:i/>
        </w:rPr>
      </w:pPr>
      <w:r w:rsidRPr="005968CD">
        <w:rPr>
          <w:rStyle w:val="FootnoteReference"/>
        </w:rPr>
        <w:footnoteRef/>
      </w:r>
      <w:r w:rsidRPr="000C0DD9">
        <w:t xml:space="preserve"> </w:t>
      </w:r>
      <w:r w:rsidRPr="005968CD">
        <w:t xml:space="preserve">King County Comments at 8.  King County also maintained that because 911 callers using NSI devices do not pay for service, they should not expect to have access to 911 services for free.  </w:t>
      </w:r>
      <w:r w:rsidRPr="005968CD">
        <w:rPr>
          <w:i/>
        </w:rPr>
        <w:t xml:space="preserve">Id. </w:t>
      </w:r>
      <w:r w:rsidRPr="005968CD">
        <w:t xml:space="preserve">at 7.  </w:t>
      </w:r>
      <w:r w:rsidRPr="005968CD">
        <w:rPr>
          <w:i/>
        </w:rPr>
        <w:t xml:space="preserve">See also </w:t>
      </w:r>
      <w:r w:rsidRPr="005968CD">
        <w:t xml:space="preserve">Clinton County Comments at 2 (“[i]n Illinois, the 9-1-1 systems are funded through surcharges on both wireline and initialized wireless phones.  The NSI phones pay no surcharge and are in essence freeloading.”).  </w:t>
      </w:r>
    </w:p>
  </w:footnote>
  <w:footnote w:id="75">
    <w:p w14:paraId="7EBA93D7" w14:textId="7A06FA9C"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 xml:space="preserve">ARN Comments at 6-7; AT&amp;T Comments at 4; CTIA Comments at 1, 4, 7; CTIA Reply Comments at 1; Hamilton County Comments at 2; NATOA Comments at 2; T-Mobile Comments at 6-7; Weinstein Comments at 1; ARN Reply Comments at 2; Petitioners Reply Comments at 3; Verizon Reply Comments at 2; Vermont </w:t>
      </w:r>
      <w:r w:rsidRPr="000C0DD9">
        <w:t>PN</w:t>
      </w:r>
      <w:r w:rsidRPr="005968CD">
        <w:rPr>
          <w:i/>
        </w:rPr>
        <w:t xml:space="preserve"> </w:t>
      </w:r>
      <w:r w:rsidRPr="005968CD">
        <w:t xml:space="preserve">Comments at 1; Sonoma County </w:t>
      </w:r>
      <w:r w:rsidRPr="000C0DD9">
        <w:t>PN</w:t>
      </w:r>
      <w:r w:rsidRPr="005968CD">
        <w:rPr>
          <w:i/>
        </w:rPr>
        <w:t xml:space="preserve"> </w:t>
      </w:r>
      <w:r w:rsidRPr="005968CD">
        <w:t>Comments at 3.</w:t>
      </w:r>
    </w:p>
  </w:footnote>
  <w:footnote w:id="76">
    <w:p w14:paraId="56C68814" w14:textId="59F969D0" w:rsidR="00FB4F8D" w:rsidRPr="005968CD" w:rsidRDefault="00FB4F8D">
      <w:pPr>
        <w:pStyle w:val="FootnoteText"/>
      </w:pPr>
      <w:r w:rsidRPr="005968CD">
        <w:rPr>
          <w:rStyle w:val="FootnoteReference"/>
        </w:rPr>
        <w:footnoteRef/>
      </w:r>
      <w:r w:rsidRPr="000C0DD9">
        <w:t xml:space="preserve"> </w:t>
      </w:r>
      <w:r w:rsidRPr="005968CD">
        <w:t>CTIA Comments at 3.</w:t>
      </w:r>
    </w:p>
  </w:footnote>
  <w:footnote w:id="77">
    <w:p w14:paraId="195F538A" w14:textId="22F0EEEB" w:rsidR="00FB4F8D" w:rsidRPr="005968CD" w:rsidRDefault="00FB4F8D">
      <w:pPr>
        <w:pStyle w:val="FootnoteText"/>
      </w:pPr>
      <w:r w:rsidRPr="005968CD">
        <w:rPr>
          <w:rStyle w:val="FootnoteReference"/>
        </w:rPr>
        <w:footnoteRef/>
      </w:r>
      <w:r w:rsidRPr="000C0DD9">
        <w:t xml:space="preserve"> </w:t>
      </w:r>
      <w:r w:rsidRPr="005968CD">
        <w:t>Petitioners Reply Comments at 3.</w:t>
      </w:r>
    </w:p>
  </w:footnote>
  <w:footnote w:id="78">
    <w:p w14:paraId="79149AAA" w14:textId="7A85673D" w:rsidR="00FB4F8D" w:rsidRPr="005968CD" w:rsidRDefault="00FB4F8D">
      <w:pPr>
        <w:pStyle w:val="FootnoteText"/>
        <w:tabs>
          <w:tab w:val="left" w:pos="3870"/>
        </w:tabs>
      </w:pPr>
      <w:r w:rsidRPr="005968CD">
        <w:rPr>
          <w:rStyle w:val="FootnoteReference"/>
        </w:rPr>
        <w:footnoteRef/>
      </w:r>
      <w:r w:rsidRPr="000C0DD9">
        <w:t xml:space="preserve"> </w:t>
      </w:r>
      <w:r w:rsidRPr="005968CD">
        <w:t>California Comments at 2; Maryland Emergency Number Systems Board Comments, PS Docket 08-51 (filed June 30, 2008), at 3 (Maryland Comments).</w:t>
      </w:r>
    </w:p>
  </w:footnote>
  <w:footnote w:id="79">
    <w:p w14:paraId="267E5B2E" w14:textId="538AD458" w:rsidR="00FB4F8D" w:rsidRPr="005968CD" w:rsidRDefault="00FB4F8D">
      <w:pPr>
        <w:pStyle w:val="FootnoteText"/>
      </w:pPr>
      <w:r w:rsidRPr="005968CD">
        <w:rPr>
          <w:rStyle w:val="FootnoteReference"/>
        </w:rPr>
        <w:footnoteRef/>
      </w:r>
      <w:r w:rsidRPr="000C0DD9">
        <w:t xml:space="preserve"> </w:t>
      </w:r>
      <w:r w:rsidRPr="005968CD">
        <w:t xml:space="preserve">Vermont </w:t>
      </w:r>
      <w:r w:rsidRPr="000C0DD9">
        <w:t>PN</w:t>
      </w:r>
      <w:r w:rsidRPr="005968CD">
        <w:rPr>
          <w:i/>
        </w:rPr>
        <w:t xml:space="preserve"> </w:t>
      </w:r>
      <w:r w:rsidRPr="005968CD">
        <w:t xml:space="preserve">Comments at 1-2.  </w:t>
      </w:r>
    </w:p>
  </w:footnote>
  <w:footnote w:id="80">
    <w:p w14:paraId="587CAB15" w14:textId="77777777" w:rsidR="00FB4F8D" w:rsidRPr="005968CD" w:rsidRDefault="00FB4F8D">
      <w:pPr>
        <w:pStyle w:val="FootnoteText"/>
      </w:pPr>
      <w:r w:rsidRPr="005968CD">
        <w:rPr>
          <w:rStyle w:val="FootnoteReference"/>
        </w:rPr>
        <w:footnoteRef/>
      </w:r>
      <w:r w:rsidRPr="005968CD">
        <w:t xml:space="preserve"> </w:t>
      </w:r>
      <w:r w:rsidRPr="005968CD">
        <w:rPr>
          <w:i/>
        </w:rPr>
        <w:t>See id</w:t>
      </w:r>
      <w:r w:rsidRPr="005968CD">
        <w:t>.  Sonoma County and Spokane County likewise indicate that calls from NSI devices often come with Phase II location information.</w:t>
      </w:r>
      <w:r w:rsidRPr="005968CD">
        <w:rPr>
          <w:i/>
        </w:rPr>
        <w:t xml:space="preserve">  See </w:t>
      </w:r>
      <w:r w:rsidRPr="005968CD">
        <w:t xml:space="preserve">Sonoma County </w:t>
      </w:r>
      <w:r w:rsidRPr="005968CD">
        <w:rPr>
          <w:i/>
        </w:rPr>
        <w:t xml:space="preserve">2013 PN </w:t>
      </w:r>
      <w:r w:rsidRPr="005968CD">
        <w:t>Comments at 3; Spokane County Comments at 1.</w:t>
      </w:r>
    </w:p>
  </w:footnote>
  <w:footnote w:id="81">
    <w:p w14:paraId="41BC2762" w14:textId="77777777" w:rsidR="00FB4F8D" w:rsidRPr="005968CD" w:rsidRDefault="00FB4F8D">
      <w:pPr>
        <w:pStyle w:val="FootnoteText"/>
      </w:pPr>
      <w:r w:rsidRPr="005968CD">
        <w:rPr>
          <w:rStyle w:val="FootnoteReference"/>
        </w:rPr>
        <w:footnoteRef/>
      </w:r>
      <w:r w:rsidRPr="005968CD">
        <w:t xml:space="preserve"> We note that some “911 only” phones </w:t>
      </w:r>
      <w:r>
        <w:t xml:space="preserve">use </w:t>
      </w:r>
      <w:r w:rsidRPr="005968CD">
        <w:t>landline or VoIP service</w:t>
      </w:r>
      <w:r>
        <w:t>, and therefore are outside the scope of the NSI rule</w:t>
      </w:r>
      <w:r w:rsidRPr="005968CD">
        <w:t>.</w:t>
      </w:r>
    </w:p>
  </w:footnote>
  <w:footnote w:id="82">
    <w:p w14:paraId="6A3FC3E0" w14:textId="2B1202F5" w:rsidR="00FB4F8D" w:rsidRPr="005968CD" w:rsidRDefault="00FB4F8D">
      <w:pPr>
        <w:pStyle w:val="FootnoteText"/>
      </w:pPr>
      <w:r w:rsidRPr="005968CD">
        <w:rPr>
          <w:rStyle w:val="FootnoteReference"/>
        </w:rPr>
        <w:footnoteRef/>
      </w:r>
      <w:r w:rsidRPr="005968CD">
        <w:t xml:space="preserve"> </w:t>
      </w:r>
      <w:r w:rsidRPr="000C0DD9">
        <w:t xml:space="preserve"> </w:t>
      </w:r>
      <w:r w:rsidRPr="005968CD">
        <w:rPr>
          <w:i/>
        </w:rPr>
        <w:t xml:space="preserve">E911 </w:t>
      </w:r>
      <w:hyperlink r:id="rId7" w:tgtFrame="_top" w:history="1">
        <w:r w:rsidRPr="005968CD">
          <w:rPr>
            <w:rStyle w:val="Hyperlink"/>
            <w:i/>
            <w:iCs/>
            <w:color w:val="auto"/>
            <w:u w:val="none"/>
          </w:rPr>
          <w:t>Second Report and Order</w:t>
        </w:r>
        <w:r w:rsidRPr="005968CD">
          <w:rPr>
            <w:rStyle w:val="Hyperlink"/>
            <w:color w:val="auto"/>
            <w:u w:val="none"/>
          </w:rPr>
          <w:t>, 17 FCC Rcd at 8489 ¶ 24</w:t>
        </w:r>
      </w:hyperlink>
      <w:r w:rsidRPr="005968CD">
        <w:t>.</w:t>
      </w:r>
    </w:p>
  </w:footnote>
  <w:footnote w:id="83">
    <w:p w14:paraId="2B4A4A15" w14:textId="4292CB51" w:rsidR="00FB4F8D" w:rsidRPr="005968CD" w:rsidRDefault="00FB4F8D">
      <w:pPr>
        <w:pStyle w:val="FootnoteText"/>
      </w:pPr>
      <w:r w:rsidRPr="005968CD">
        <w:rPr>
          <w:rStyle w:val="FootnoteReference"/>
        </w:rPr>
        <w:footnoteRef/>
      </w:r>
      <w:r w:rsidRPr="000C0DD9">
        <w:t xml:space="preserve"> </w:t>
      </w:r>
      <w:r w:rsidRPr="005968CD">
        <w:rPr>
          <w:i/>
        </w:rPr>
        <w:t xml:space="preserve">Notice of Inquiry </w:t>
      </w:r>
      <w:r w:rsidRPr="005968CD">
        <w:t>at ¶¶ 19-20.</w:t>
      </w:r>
    </w:p>
  </w:footnote>
  <w:footnote w:id="84">
    <w:p w14:paraId="5C08DC12" w14:textId="427A72A5" w:rsidR="00FB4F8D" w:rsidRPr="005968CD" w:rsidRDefault="00FB4F8D">
      <w:pPr>
        <w:pStyle w:val="FootnoteText"/>
      </w:pPr>
      <w:r w:rsidRPr="005968CD">
        <w:rPr>
          <w:rStyle w:val="FootnoteReference"/>
        </w:rPr>
        <w:footnoteRef/>
      </w:r>
      <w:r w:rsidRPr="000C0DD9">
        <w:t xml:space="preserve"> </w:t>
      </w:r>
      <w:r w:rsidRPr="005968CD">
        <w:t xml:space="preserve">Washington Comments at 1. </w:t>
      </w:r>
      <w:r w:rsidRPr="005968CD">
        <w:rPr>
          <w:i/>
        </w:rPr>
        <w:t xml:space="preserve"> See also </w:t>
      </w:r>
      <w:r w:rsidRPr="005968CD">
        <w:t xml:space="preserve">Clinton County Comments at 3 (“Rescind the requirement for carriers to provide 9-1-1 service to NSI phones.”); Connecticut Comments at 2 (stating that the Commission should “turn those [NSI] phones OFF”)(emphasis in original); King County Comments at 1 (“consider … denying access to the wireless networks from NSI phones”); Livingston County Comments at 3 (Livingston County Comments) (“Livingston County … would request the FCC evaluate and strongly support elimination of call-forwarding requirements for NSI devices.”); Mahn Comments at 1 (“[T]he general welfare, safety, and security of the community [should] be given precedence over the random and individual benefit that may accrue to the user of a NIP, which incidental benefit should not be given equal weight when balanced against the overriding issues of public safety.”).  </w:t>
      </w:r>
      <w:r w:rsidRPr="005968CD">
        <w:rPr>
          <w:i/>
        </w:rPr>
        <w:t>See also</w:t>
      </w:r>
      <w:r w:rsidRPr="005968CD">
        <w:t xml:space="preserve"> 2012 NENA Comments at 20 (“The Commission should eliminate the rules requiring Non-Service Initialized phones to be capable of completing a call to 9-1-1.”)</w:t>
      </w:r>
    </w:p>
  </w:footnote>
  <w:footnote w:id="85">
    <w:p w14:paraId="5AEF9393"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2012 NENA Comments at 21.</w:t>
      </w:r>
    </w:p>
  </w:footnote>
  <w:footnote w:id="86">
    <w:p w14:paraId="33FD63F7"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2013 PN </w:t>
      </w:r>
      <w:r w:rsidRPr="005968CD">
        <w:t>at 3.</w:t>
      </w:r>
    </w:p>
  </w:footnote>
  <w:footnote w:id="87">
    <w:p w14:paraId="1AF0D459" w14:textId="1CCE6FEB"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 xml:space="preserve">APCO </w:t>
      </w:r>
      <w:r w:rsidRPr="000C0DD9">
        <w:t>PN</w:t>
      </w:r>
      <w:r w:rsidRPr="005968CD">
        <w:rPr>
          <w:i/>
        </w:rPr>
        <w:t xml:space="preserve"> </w:t>
      </w:r>
      <w:r w:rsidRPr="005968CD">
        <w:t>Comments at 2; Peoria</w:t>
      </w:r>
      <w:r w:rsidRPr="000C0DD9">
        <w:t xml:space="preserve"> PN</w:t>
      </w:r>
      <w:r w:rsidRPr="005968CD">
        <w:rPr>
          <w:i/>
        </w:rPr>
        <w:t xml:space="preserve"> </w:t>
      </w:r>
      <w:r w:rsidRPr="005968CD">
        <w:t xml:space="preserve">Comments at 1; Texas 911 Entities Comments, PS Docket 08-51 (filed May 16, 2013), at 3 (Texas Entities </w:t>
      </w:r>
      <w:r w:rsidRPr="000C0DD9">
        <w:t>PN</w:t>
      </w:r>
      <w:r w:rsidRPr="005968CD">
        <w:rPr>
          <w:i/>
        </w:rPr>
        <w:t xml:space="preserve"> </w:t>
      </w:r>
      <w:r w:rsidRPr="005968CD">
        <w:t>Comments).</w:t>
      </w:r>
    </w:p>
  </w:footnote>
  <w:footnote w:id="88">
    <w:p w14:paraId="240F171A"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 xml:space="preserve">¶ 23, </w:t>
      </w:r>
      <w:r w:rsidRPr="005968CD">
        <w:rPr>
          <w:i/>
        </w:rPr>
        <w:t>supra</w:t>
      </w:r>
      <w:r w:rsidRPr="005968CD">
        <w:t>.</w:t>
      </w:r>
    </w:p>
  </w:footnote>
  <w:footnote w:id="89">
    <w:p w14:paraId="71F5FFD5" w14:textId="36A84FAE" w:rsidR="00FB4F8D" w:rsidRPr="005968CD" w:rsidRDefault="00FB4F8D">
      <w:pPr>
        <w:pStyle w:val="FootnoteText"/>
        <w:tabs>
          <w:tab w:val="left" w:pos="3960"/>
          <w:tab w:val="left" w:pos="7110"/>
        </w:tabs>
      </w:pPr>
      <w:r w:rsidRPr="005968CD">
        <w:rPr>
          <w:rStyle w:val="FootnoteReference"/>
        </w:rPr>
        <w:footnoteRef/>
      </w:r>
      <w:r w:rsidRPr="005968CD">
        <w:t xml:space="preserve"> </w:t>
      </w:r>
      <w:r w:rsidRPr="005968CD">
        <w:rPr>
          <w:i/>
        </w:rPr>
        <w:t xml:space="preserve">See </w:t>
      </w:r>
      <w:r>
        <w:rPr>
          <w:i/>
        </w:rPr>
        <w:t>i</w:t>
      </w:r>
      <w:r w:rsidRPr="005968CD">
        <w:rPr>
          <w:i/>
        </w:rPr>
        <w:t>d.</w:t>
      </w:r>
    </w:p>
  </w:footnote>
  <w:footnote w:id="90">
    <w:p w14:paraId="056481D9" w14:textId="77777777" w:rsidR="00FB4F8D" w:rsidRPr="005968CD" w:rsidRDefault="00FB4F8D">
      <w:pPr>
        <w:pStyle w:val="FootnoteText"/>
        <w:rPr>
          <w:i/>
        </w:rPr>
      </w:pPr>
      <w:r w:rsidRPr="005968CD">
        <w:rPr>
          <w:rStyle w:val="FootnoteReference"/>
        </w:rPr>
        <w:footnoteRef/>
      </w:r>
      <w:r w:rsidRPr="005968CD">
        <w:t xml:space="preserve"> </w:t>
      </w:r>
      <w:r w:rsidRPr="005968CD">
        <w:rPr>
          <w:i/>
        </w:rPr>
        <w:t>See E911 First Report and Order</w:t>
      </w:r>
      <w:r w:rsidRPr="005968CD">
        <w:t xml:space="preserve"> (1996); </w:t>
      </w:r>
      <w:r w:rsidRPr="005968CD">
        <w:rPr>
          <w:i/>
        </w:rPr>
        <w:t xml:space="preserve">E911 Second Report and Order </w:t>
      </w:r>
      <w:r w:rsidRPr="005968CD">
        <w:t>(2002)</w:t>
      </w:r>
      <w:r w:rsidRPr="005968CD">
        <w:rPr>
          <w:i/>
        </w:rPr>
        <w:t>.</w:t>
      </w:r>
    </w:p>
  </w:footnote>
  <w:footnote w:id="91">
    <w:p w14:paraId="7BD611DC" w14:textId="7205A0B9" w:rsidR="00FB4F8D" w:rsidRPr="005968CD" w:rsidRDefault="00FB4F8D">
      <w:pPr>
        <w:pStyle w:val="FootnoteText"/>
      </w:pPr>
      <w:r w:rsidRPr="005968CD">
        <w:rPr>
          <w:rStyle w:val="FootnoteReference"/>
        </w:rPr>
        <w:footnoteRef/>
      </w:r>
      <w:r w:rsidRPr="005968CD">
        <w:t xml:space="preserve"> </w:t>
      </w:r>
      <w:r w:rsidRPr="005968CD">
        <w:rPr>
          <w:i/>
        </w:rPr>
        <w:t>See NENA Ex Parte</w:t>
      </w:r>
      <w:r w:rsidRPr="005968CD">
        <w:t xml:space="preserve"> at 1; APCO </w:t>
      </w:r>
      <w:r w:rsidRPr="000C0DD9">
        <w:t>PN</w:t>
      </w:r>
      <w:r w:rsidRPr="005968CD">
        <w:rPr>
          <w:i/>
        </w:rPr>
        <w:t xml:space="preserve"> </w:t>
      </w:r>
      <w:r w:rsidRPr="005968CD">
        <w:t>Comments at 2.</w:t>
      </w:r>
    </w:p>
  </w:footnote>
  <w:footnote w:id="92">
    <w:p w14:paraId="5E780F52" w14:textId="307118EC" w:rsidR="00FB4F8D" w:rsidRPr="005968CD" w:rsidRDefault="00FB4F8D">
      <w:pPr>
        <w:pStyle w:val="FootnoteText"/>
      </w:pPr>
      <w:r w:rsidRPr="005968CD">
        <w:rPr>
          <w:rStyle w:val="FootnoteReference"/>
        </w:rPr>
        <w:footnoteRef/>
      </w:r>
      <w:r w:rsidRPr="005968CD">
        <w:t xml:space="preserve"> For example,</w:t>
      </w:r>
      <w:r w:rsidRPr="005968CD">
        <w:rPr>
          <w:i/>
        </w:rPr>
        <w:t xml:space="preserve"> </w:t>
      </w:r>
      <w:r w:rsidRPr="005968CD">
        <w:t xml:space="preserve">AT&amp;T has announced plans “to sunset its 2G network by approximately January 1, 2017.”  </w:t>
      </w:r>
      <w:r w:rsidRPr="005968CD">
        <w:rPr>
          <w:i/>
        </w:rPr>
        <w:t xml:space="preserve">See </w:t>
      </w:r>
      <w:hyperlink r:id="rId8" w:history="1">
        <w:r w:rsidRPr="000C0DD9">
          <w:rPr>
            <w:rStyle w:val="Hyperlink"/>
          </w:rPr>
          <w:t>http://cd2migration.att.com/</w:t>
        </w:r>
      </w:hyperlink>
      <w:r w:rsidRPr="005968CD">
        <w:t>.</w:t>
      </w:r>
    </w:p>
  </w:footnote>
  <w:footnote w:id="93">
    <w:p w14:paraId="3EF093EE" w14:textId="77777777" w:rsidR="00FB4F8D" w:rsidRPr="005968CD" w:rsidRDefault="00FB4F8D">
      <w:pPr>
        <w:pStyle w:val="FootnoteText"/>
      </w:pPr>
      <w:r w:rsidRPr="005968CD">
        <w:rPr>
          <w:rStyle w:val="FootnoteReference"/>
        </w:rPr>
        <w:footnoteRef/>
      </w:r>
      <w:r w:rsidRPr="005968CD">
        <w:t xml:space="preserve"> We seek comment on this issue in Section III.D., </w:t>
      </w:r>
      <w:r w:rsidRPr="005968CD">
        <w:rPr>
          <w:i/>
        </w:rPr>
        <w:t>infra</w:t>
      </w:r>
      <w:r w:rsidRPr="005968CD">
        <w:t>.</w:t>
      </w:r>
    </w:p>
  </w:footnote>
  <w:footnote w:id="94">
    <w:p w14:paraId="2E67F4D1" w14:textId="77777777" w:rsidR="00FB4F8D" w:rsidRPr="005968CD" w:rsidRDefault="00FB4F8D">
      <w:pPr>
        <w:pStyle w:val="FootnoteText"/>
        <w:rPr>
          <w:i/>
        </w:rPr>
      </w:pPr>
      <w:r w:rsidRPr="005968CD">
        <w:rPr>
          <w:rStyle w:val="FootnoteReference"/>
        </w:rPr>
        <w:footnoteRef/>
      </w:r>
      <w:r w:rsidRPr="005968CD">
        <w:t xml:space="preserve"> </w:t>
      </w:r>
      <w:r w:rsidRPr="005968CD">
        <w:rPr>
          <w:i/>
        </w:rPr>
        <w:t xml:space="preserve">See </w:t>
      </w:r>
      <w:r w:rsidRPr="005968CD">
        <w:t xml:space="preserve">footnote 86, </w:t>
      </w:r>
      <w:r w:rsidRPr="005968CD">
        <w:rPr>
          <w:i/>
        </w:rPr>
        <w:t>supra.</w:t>
      </w:r>
    </w:p>
  </w:footnote>
  <w:footnote w:id="95">
    <w:p w14:paraId="6527CA38" w14:textId="32D55767" w:rsidR="00FB4F8D" w:rsidRPr="005968CD" w:rsidRDefault="00FB4F8D">
      <w:pPr>
        <w:pStyle w:val="FootnoteText"/>
      </w:pPr>
      <w:r w:rsidRPr="005968CD">
        <w:rPr>
          <w:rStyle w:val="FootnoteReference"/>
        </w:rPr>
        <w:footnoteRef/>
      </w:r>
      <w:r w:rsidRPr="000C0DD9">
        <w:t xml:space="preserve"> </w:t>
      </w:r>
      <w:r w:rsidRPr="005968CD">
        <w:t xml:space="preserve">Livingston County Comments at 3-4 (“Set a date no more [than] three (3) months in advance advising Non-Initialized Phones, including 911 service, will no longer work.”). </w:t>
      </w:r>
    </w:p>
  </w:footnote>
  <w:footnote w:id="96">
    <w:p w14:paraId="4285AD72" w14:textId="77777777" w:rsidR="00FB4F8D" w:rsidRPr="00CA7A1D" w:rsidRDefault="00FB4F8D">
      <w:pPr>
        <w:pStyle w:val="FootnoteText"/>
        <w:rPr>
          <w:lang w:val="es-ES"/>
        </w:rPr>
      </w:pPr>
      <w:r>
        <w:rPr>
          <w:rStyle w:val="FootnoteReference"/>
        </w:rPr>
        <w:footnoteRef/>
      </w:r>
      <w:r w:rsidRPr="00CA7A1D">
        <w:rPr>
          <w:lang w:val="es-ES"/>
        </w:rPr>
        <w:t xml:space="preserve"> </w:t>
      </w:r>
      <w:r w:rsidRPr="00CA7A1D">
        <w:rPr>
          <w:i/>
          <w:lang w:val="es-ES"/>
        </w:rPr>
        <w:t xml:space="preserve">See NENA Ex Parte </w:t>
      </w:r>
      <w:r w:rsidRPr="00CA7A1D">
        <w:rPr>
          <w:lang w:val="es-ES"/>
        </w:rPr>
        <w:t xml:space="preserve">at 2.  </w:t>
      </w:r>
    </w:p>
  </w:footnote>
  <w:footnote w:id="97">
    <w:p w14:paraId="1D5BC5DC" w14:textId="77777777" w:rsidR="00FB4F8D" w:rsidRPr="004B74A1" w:rsidRDefault="00FB4F8D">
      <w:pPr>
        <w:pStyle w:val="FootnoteText"/>
        <w:rPr>
          <w:i/>
        </w:rPr>
      </w:pPr>
      <w:r>
        <w:rPr>
          <w:rStyle w:val="FootnoteReference"/>
        </w:rPr>
        <w:footnoteRef/>
      </w:r>
      <w:r>
        <w:t xml:space="preserve"> </w:t>
      </w:r>
      <w:r>
        <w:rPr>
          <w:i/>
        </w:rPr>
        <w:t>See id.</w:t>
      </w:r>
    </w:p>
  </w:footnote>
  <w:footnote w:id="98">
    <w:p w14:paraId="64C23B6C"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e.g., </w:t>
      </w:r>
      <w:r w:rsidRPr="005968CD">
        <w:rPr>
          <w:spacing w:val="-2"/>
        </w:rPr>
        <w:t>Wireless E911 Location Accuracy Requirements</w:t>
      </w:r>
      <w:r w:rsidRPr="005968CD">
        <w:t xml:space="preserve">, </w:t>
      </w:r>
      <w:r w:rsidRPr="005968CD">
        <w:rPr>
          <w:spacing w:val="-2"/>
        </w:rPr>
        <w:t xml:space="preserve">PS Docket No. 07-114, </w:t>
      </w:r>
      <w:r w:rsidRPr="005968CD">
        <w:rPr>
          <w:i/>
          <w:spacing w:val="-2"/>
        </w:rPr>
        <w:t>Third Further Notice of Proposed Rulemaking</w:t>
      </w:r>
      <w:r w:rsidRPr="005968CD">
        <w:rPr>
          <w:spacing w:val="-2"/>
        </w:rPr>
        <w:t xml:space="preserve">, </w:t>
      </w:r>
      <w:r w:rsidRPr="005968CD">
        <w:rPr>
          <w:shd w:val="clear" w:color="auto" w:fill="FFFFFF"/>
        </w:rPr>
        <w:t xml:space="preserve">29 FCC Rcd 2374, 2386 </w:t>
      </w:r>
      <w:r w:rsidRPr="005968CD">
        <w:t>¶ 28 (2014).</w:t>
      </w:r>
    </w:p>
  </w:footnote>
  <w:footnote w:id="99">
    <w:p w14:paraId="0A6E8869" w14:textId="77777777" w:rsidR="00FB4F8D" w:rsidRPr="005968CD" w:rsidRDefault="00FB4F8D">
      <w:pPr>
        <w:pStyle w:val="FootnoteText"/>
        <w:rPr>
          <w:i/>
        </w:rPr>
      </w:pPr>
      <w:r w:rsidRPr="005968CD">
        <w:rPr>
          <w:rStyle w:val="FootnoteReference"/>
        </w:rPr>
        <w:footnoteRef/>
      </w:r>
      <w:r w:rsidRPr="005968CD">
        <w:t xml:space="preserve"> </w:t>
      </w:r>
      <w:r w:rsidRPr="005968CD">
        <w:rPr>
          <w:i/>
        </w:rPr>
        <w:t xml:space="preserve">See </w:t>
      </w:r>
      <w:r w:rsidRPr="005968CD">
        <w:t>Petitioners Reply Comments at 3-4.</w:t>
      </w:r>
      <w:r w:rsidRPr="005968CD">
        <w:rPr>
          <w:i/>
        </w:rPr>
        <w:t xml:space="preserve">  See also </w:t>
      </w:r>
      <w:r w:rsidRPr="005968CD">
        <w:t>Texas Entities</w:t>
      </w:r>
      <w:r w:rsidRPr="005968CD">
        <w:rPr>
          <w:i/>
        </w:rPr>
        <w:t xml:space="preserve"> 2013 PN </w:t>
      </w:r>
      <w:r w:rsidRPr="005968CD">
        <w:t xml:space="preserve">Comments at 3 n 8 (“[N]ormal network timeouts or service loss . . ., until the network recovers, will make a validly subscribe phone appear to the network to be an NSI phone.”); Sonoma County </w:t>
      </w:r>
      <w:r w:rsidRPr="005968CD">
        <w:rPr>
          <w:i/>
        </w:rPr>
        <w:t xml:space="preserve">2013 PN </w:t>
      </w:r>
      <w:r w:rsidRPr="005968CD">
        <w:t xml:space="preserve">Comments at 3 (even service-initialized devices may appear to be NSI calls “when out of reach of their provider’s network.”); AT&amp;T </w:t>
      </w:r>
      <w:r w:rsidRPr="005968CD">
        <w:rPr>
          <w:i/>
        </w:rPr>
        <w:t xml:space="preserve">2013 PN </w:t>
      </w:r>
      <w:r w:rsidRPr="005968CD">
        <w:t>Comments at 3 (stating that “handsets of non-valid roaming providers—would not have to be processed”).</w:t>
      </w:r>
    </w:p>
  </w:footnote>
  <w:footnote w:id="100">
    <w:p w14:paraId="4D73E661" w14:textId="783DA8AF" w:rsidR="00FB4F8D" w:rsidRPr="005968CD" w:rsidRDefault="00FB4F8D">
      <w:pPr>
        <w:pStyle w:val="FootnoteText"/>
      </w:pPr>
      <w:r w:rsidRPr="005968CD">
        <w:rPr>
          <w:rStyle w:val="FootnoteReference"/>
        </w:rPr>
        <w:footnoteRef/>
      </w:r>
      <w:r w:rsidRPr="000C0DD9">
        <w:t xml:space="preserve"> </w:t>
      </w:r>
      <w:r w:rsidRPr="005968CD">
        <w:rPr>
          <w:i/>
        </w:rPr>
        <w:t>Notice of Inquiry</w:t>
      </w:r>
      <w:r w:rsidRPr="005968CD">
        <w:t xml:space="preserve">, </w:t>
      </w:r>
      <w:r w:rsidRPr="005968CD">
        <w:rPr>
          <w:iCs/>
        </w:rPr>
        <w:t>23 FCC Rcd at 6101 ¶ 10.</w:t>
      </w:r>
    </w:p>
  </w:footnote>
  <w:footnote w:id="101">
    <w:p w14:paraId="725A06F4" w14:textId="77777777" w:rsidR="00FB4F8D" w:rsidRPr="005968CD" w:rsidRDefault="00FB4F8D">
      <w:pPr>
        <w:pStyle w:val="FootnoteText"/>
      </w:pPr>
      <w:r w:rsidRPr="005968CD">
        <w:rPr>
          <w:rStyle w:val="FootnoteReference"/>
        </w:rPr>
        <w:footnoteRef/>
      </w:r>
      <w:r w:rsidRPr="005968CD">
        <w:rPr>
          <w:i/>
        </w:rPr>
        <w:t xml:space="preserve"> See E911 Fraudulent Call-Blocking Public Notice</w:t>
      </w:r>
      <w:r w:rsidRPr="005968CD">
        <w:t xml:space="preserve">, 17 FCC Rcd at 21877 (explaining that 47 C.F.R. § 20.18(b) does not preclude blocking in such instances).  </w:t>
      </w:r>
    </w:p>
  </w:footnote>
  <w:footnote w:id="102">
    <w:p w14:paraId="02C9B82E" w14:textId="0EFE104E" w:rsidR="00FB4F8D" w:rsidRPr="005968CD" w:rsidRDefault="00FB4F8D">
      <w:pPr>
        <w:pStyle w:val="FootnoteText"/>
      </w:pPr>
      <w:r w:rsidRPr="005968CD">
        <w:rPr>
          <w:rStyle w:val="FootnoteReference"/>
        </w:rPr>
        <w:footnoteRef/>
      </w:r>
      <w:r w:rsidRPr="000C0DD9">
        <w:t xml:space="preserve"> </w:t>
      </w:r>
      <w:r w:rsidRPr="005968CD">
        <w:t>Petition at 12.</w:t>
      </w:r>
    </w:p>
  </w:footnote>
  <w:footnote w:id="103">
    <w:p w14:paraId="0FAB61CE" w14:textId="77777777" w:rsidR="00FB4F8D" w:rsidRPr="005968CD" w:rsidRDefault="00FB4F8D">
      <w:pPr>
        <w:pStyle w:val="FootnoteText"/>
      </w:pPr>
      <w:r w:rsidRPr="005968CD">
        <w:rPr>
          <w:rStyle w:val="FootnoteReference"/>
        </w:rPr>
        <w:footnoteRef/>
      </w:r>
      <w:r w:rsidRPr="005968CD">
        <w:t xml:space="preserve"> </w:t>
      </w:r>
      <w:r w:rsidRPr="005968CD">
        <w:rPr>
          <w:i/>
        </w:rPr>
        <w:t xml:space="preserve">See </w:t>
      </w:r>
      <w:r w:rsidRPr="005968CD">
        <w:t>AT&amp;T Comments at 6-7; CTIA Comments at 7-9; Indiana Comments at 3; TeleCommunications Systems, Inc. Comments, PS Docket No. 08-51 (filed June 30, 2008), at 7-8 (TCS Comments); King County Comments at 4-5; T-Mobile Comments at 7; Rural Cellular Association Reply Comments, PS Docket No. 08-51 (filed July 29, 2008), at 3 (RCA Reply Comments); Verizon Reply Comments at 4, 8.</w:t>
      </w:r>
    </w:p>
  </w:footnote>
  <w:footnote w:id="104">
    <w:p w14:paraId="3CD3CBF1" w14:textId="58244E52" w:rsidR="00FB4F8D" w:rsidRPr="005968CD" w:rsidRDefault="00FB4F8D">
      <w:pPr>
        <w:pStyle w:val="FootnoteText"/>
      </w:pPr>
      <w:r w:rsidRPr="005968CD">
        <w:rPr>
          <w:rStyle w:val="FootnoteReference"/>
        </w:rPr>
        <w:footnoteRef/>
      </w:r>
      <w:r w:rsidRPr="000C0DD9">
        <w:t xml:space="preserve"> </w:t>
      </w:r>
      <w:r w:rsidRPr="005968CD">
        <w:rPr>
          <w:i/>
        </w:rPr>
        <w:t>Notice of Inquiry</w:t>
      </w:r>
      <w:r w:rsidRPr="005968CD">
        <w:t xml:space="preserve">, </w:t>
      </w:r>
      <w:r w:rsidRPr="005968CD">
        <w:rPr>
          <w:iCs/>
        </w:rPr>
        <w:t>23 FCC Rcd at 6104-05 ¶¶ 18-23.</w:t>
      </w:r>
    </w:p>
  </w:footnote>
  <w:footnote w:id="105">
    <w:p w14:paraId="2443BE8F" w14:textId="77777777" w:rsidR="00FB4F8D" w:rsidRPr="005968CD" w:rsidRDefault="00FB4F8D">
      <w:pPr>
        <w:pStyle w:val="FootnoteText"/>
        <w:rPr>
          <w:i/>
          <w:iCs/>
        </w:rPr>
      </w:pPr>
      <w:r w:rsidRPr="005968CD">
        <w:rPr>
          <w:rStyle w:val="FootnoteReference"/>
        </w:rPr>
        <w:footnoteRef/>
      </w:r>
      <w:r w:rsidRPr="005968CD">
        <w:t xml:space="preserve"> 47 C.F.R. §§ 1.1200 </w:t>
      </w:r>
      <w:r w:rsidRPr="005968CD">
        <w:rPr>
          <w:i/>
          <w:iCs/>
        </w:rPr>
        <w:t>et seq.</w:t>
      </w:r>
    </w:p>
  </w:footnote>
  <w:footnote w:id="106">
    <w:p w14:paraId="55F23DE7" w14:textId="77777777" w:rsidR="00FB4F8D" w:rsidRPr="005968CD" w:rsidRDefault="00FB4F8D">
      <w:pPr>
        <w:pStyle w:val="FootnoteText"/>
      </w:pPr>
      <w:r w:rsidRPr="005968CD">
        <w:rPr>
          <w:rStyle w:val="FootnoteReference"/>
        </w:rPr>
        <w:footnoteRef/>
      </w:r>
      <w:r w:rsidRPr="005968CD">
        <w:t xml:space="preserve"> Pub. L. No. 107-198.</w:t>
      </w:r>
    </w:p>
  </w:footnote>
  <w:footnote w:id="107">
    <w:p w14:paraId="493DAB79" w14:textId="77777777" w:rsidR="00FB4F8D" w:rsidRPr="005968CD" w:rsidRDefault="00FB4F8D">
      <w:pPr>
        <w:pStyle w:val="FootnoteText"/>
      </w:pPr>
      <w:r w:rsidRPr="005968CD">
        <w:rPr>
          <w:rStyle w:val="FootnoteReference"/>
        </w:rPr>
        <w:footnoteRef/>
      </w:r>
      <w:r w:rsidRPr="005968CD">
        <w:t xml:space="preserve"> 44 U.S.C. § 3506(c)(4).</w:t>
      </w:r>
    </w:p>
  </w:footnote>
  <w:footnote w:id="108">
    <w:p w14:paraId="13477CE6" w14:textId="77777777" w:rsidR="003C0902" w:rsidRPr="005968CD" w:rsidRDefault="003C0902" w:rsidP="003C0902">
      <w:pPr>
        <w:pStyle w:val="FootnoteText"/>
      </w:pPr>
      <w:r w:rsidRPr="005968CD">
        <w:rPr>
          <w:rStyle w:val="FootnoteReference"/>
        </w:rPr>
        <w:footnoteRef/>
      </w:r>
      <w:r w:rsidRPr="005968CD">
        <w:t xml:space="preserve"> 5 U.S.C. § 603.  The RFA, </w:t>
      </w:r>
      <w:r w:rsidRPr="005968CD">
        <w:rPr>
          <w:i/>
        </w:rPr>
        <w:t>see</w:t>
      </w:r>
      <w:r w:rsidRPr="005968CD">
        <w:t xml:space="preserve"> 5 U.S.C. § 601 – 612, has been amended by the Small Business Regulatory Enforcement Fairness Act of 1996 (SBREFA), Pub. L. No. 104-121, Title II, 110 Stat. 857 (1996).</w:t>
      </w:r>
    </w:p>
  </w:footnote>
  <w:footnote w:id="109">
    <w:p w14:paraId="388F43EB" w14:textId="77777777" w:rsidR="003C0902" w:rsidRPr="005968CD" w:rsidRDefault="003C0902" w:rsidP="003C0902">
      <w:pPr>
        <w:pStyle w:val="FootnoteText"/>
      </w:pPr>
      <w:r w:rsidRPr="005968CD">
        <w:rPr>
          <w:rStyle w:val="FootnoteReference"/>
        </w:rPr>
        <w:footnoteRef/>
      </w:r>
      <w:r w:rsidRPr="005968CD">
        <w:t xml:space="preserve"> 5 U.S.C. § 603(a).</w:t>
      </w:r>
    </w:p>
  </w:footnote>
  <w:footnote w:id="110">
    <w:p w14:paraId="6B2D6955" w14:textId="77777777" w:rsidR="003C0902" w:rsidRPr="005968CD" w:rsidRDefault="003C0902" w:rsidP="003C0902">
      <w:pPr>
        <w:pStyle w:val="FootnoteText"/>
      </w:pPr>
      <w:r w:rsidRPr="005968CD">
        <w:rPr>
          <w:rStyle w:val="FootnoteReference"/>
        </w:rPr>
        <w:footnoteRef/>
      </w:r>
      <w:r w:rsidRPr="005968CD">
        <w:t xml:space="preserve"> 5 U.S.C. § 603(a).</w:t>
      </w:r>
    </w:p>
  </w:footnote>
  <w:footnote w:id="111">
    <w:p w14:paraId="3AF5A155" w14:textId="77777777" w:rsidR="003C0902" w:rsidRPr="005968CD" w:rsidRDefault="003C0902" w:rsidP="003C0902">
      <w:pPr>
        <w:pStyle w:val="FootnoteText"/>
        <w:rPr>
          <w:i/>
        </w:rPr>
      </w:pPr>
      <w:r w:rsidRPr="005968CD">
        <w:rPr>
          <w:rStyle w:val="FootnoteReference"/>
        </w:rPr>
        <w:footnoteRef/>
      </w:r>
      <w:r w:rsidRPr="005968CD">
        <w:t xml:space="preserve"> 47 C.F.R. § 20.18(b).</w:t>
      </w:r>
    </w:p>
  </w:footnote>
  <w:footnote w:id="112">
    <w:p w14:paraId="7C3B039B" w14:textId="77777777" w:rsidR="003C0902" w:rsidRPr="005968CD" w:rsidRDefault="003C0902" w:rsidP="003C0902">
      <w:pPr>
        <w:pStyle w:val="FootnoteText"/>
      </w:pPr>
      <w:r w:rsidRPr="005968CD">
        <w:rPr>
          <w:rStyle w:val="FootnoteReference"/>
        </w:rPr>
        <w:footnoteRef/>
      </w:r>
      <w:r w:rsidRPr="000C0DD9">
        <w:t xml:space="preserve"> </w:t>
      </w:r>
      <w:r w:rsidRPr="005968CD">
        <w:t>47 C.F.R. § 20.18(l)(3)(i).</w:t>
      </w:r>
    </w:p>
  </w:footnote>
  <w:footnote w:id="113">
    <w:p w14:paraId="7F064751"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Revision of the Commission’s Rules to Ensure Compatibility with Enhanced 911 Emergency Calling Systems, CC Docket No. 94-102, </w:t>
      </w:r>
      <w:r w:rsidRPr="005968CD">
        <w:rPr>
          <w:i/>
        </w:rPr>
        <w:t>Memorandum Opinion and Order</w:t>
      </w:r>
      <w:r w:rsidRPr="005968CD">
        <w:t>, 18 FCC Rcd 23383, 23384 ¶ 3 (2003) (</w:t>
      </w:r>
      <w:r w:rsidRPr="005968CD">
        <w:rPr>
          <w:i/>
        </w:rPr>
        <w:t>E911 Second Memorandum Opinion and Order</w:t>
      </w:r>
      <w:r w:rsidRPr="005968CD">
        <w:t xml:space="preserve">).  According to the Petitioners, “donated phones appear to be only a small portion of the problem, with the bulk of troublesome devices being old equipment no longer in use, often given to children to play with.”  </w:t>
      </w:r>
      <w:r w:rsidRPr="005968CD">
        <w:rPr>
          <w:i/>
        </w:rPr>
        <w:t xml:space="preserve">See </w:t>
      </w:r>
      <w:r w:rsidRPr="005968CD">
        <w:t xml:space="preserve">Petitioners Reply Comments at 2.    </w:t>
      </w:r>
    </w:p>
  </w:footnote>
  <w:footnote w:id="114">
    <w:p w14:paraId="2EEAF1ED" w14:textId="77777777" w:rsidR="003C0902" w:rsidRPr="005968CD" w:rsidRDefault="003C0902" w:rsidP="003C0902">
      <w:pPr>
        <w:pStyle w:val="FootnoteText"/>
      </w:pPr>
      <w:r w:rsidRPr="005968CD">
        <w:rPr>
          <w:rStyle w:val="FootnoteReference"/>
        </w:rPr>
        <w:footnoteRef/>
      </w:r>
      <w:r w:rsidRPr="005968CD">
        <w:t xml:space="preserve"> “ANI” is defined at 47 C.F.R. § 20.3 as a “system that identifies the billing account for a call.  For 911 systems, the ANI identifies the calling party and may be used as a call back number.”</w:t>
      </w:r>
    </w:p>
  </w:footnote>
  <w:footnote w:id="115">
    <w:p w14:paraId="064FE28C" w14:textId="77777777" w:rsidR="003C0902" w:rsidRPr="005968CD" w:rsidRDefault="003C0902" w:rsidP="003C0902">
      <w:pPr>
        <w:pStyle w:val="FootnoteText"/>
      </w:pPr>
      <w:r w:rsidRPr="005968CD">
        <w:rPr>
          <w:rStyle w:val="FootnoteReference"/>
        </w:rPr>
        <w:footnoteRef/>
      </w:r>
      <w:r w:rsidRPr="005968CD">
        <w:t xml:space="preserve"> For purposes of this proceeding, we use the term “fraudulent” to denote intentional calls made to 911where no emergency exists, which may include hang-ups, false reports of emergencies, and harassing or prank calls to 911 operators. </w:t>
      </w:r>
    </w:p>
  </w:footnote>
  <w:footnote w:id="116">
    <w:p w14:paraId="41B2D958"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Petition for a Notice of Inquiry Regarding 911 Call-Forwarding Requirements and Carriers’ Blocking Options for Non-Initialized Phones, PS Docket 08-51, </w:t>
      </w:r>
      <w:r w:rsidRPr="005968CD">
        <w:rPr>
          <w:i/>
        </w:rPr>
        <w:t>Notice of Inquiry</w:t>
      </w:r>
      <w:r w:rsidRPr="005968CD">
        <w:t xml:space="preserve">, </w:t>
      </w:r>
      <w:r w:rsidRPr="005968CD">
        <w:rPr>
          <w:iCs/>
        </w:rPr>
        <w:t>23 FCC Rcd 6097 (2008) (Notice of Inquiry).</w:t>
      </w:r>
    </w:p>
  </w:footnote>
  <w:footnote w:id="117">
    <w:p w14:paraId="0548DF90" w14:textId="77777777" w:rsidR="003C0902" w:rsidRPr="005968CD" w:rsidRDefault="003C0902" w:rsidP="003C0902">
      <w:pPr>
        <w:pStyle w:val="FootnoteText"/>
      </w:pPr>
      <w:r w:rsidRPr="005968CD">
        <w:rPr>
          <w:rStyle w:val="FootnoteReference"/>
        </w:rPr>
        <w:footnoteRef/>
      </w:r>
      <w:r w:rsidRPr="005968CD">
        <w:t xml:space="preserve"> 5 U.S.C. §§ 603(b)(3), 604(a)(3).</w:t>
      </w:r>
    </w:p>
  </w:footnote>
  <w:footnote w:id="118">
    <w:p w14:paraId="57B53B94" w14:textId="77777777" w:rsidR="003C0902" w:rsidRPr="005968CD" w:rsidRDefault="003C0902" w:rsidP="003C0902">
      <w:pPr>
        <w:pStyle w:val="FootnoteText"/>
      </w:pPr>
      <w:r w:rsidRPr="005968CD">
        <w:rPr>
          <w:rStyle w:val="FootnoteReference"/>
        </w:rPr>
        <w:footnoteRef/>
      </w:r>
      <w:r w:rsidRPr="005968CD">
        <w:t xml:space="preserve"> 5 U.S.C. § 601(6).</w:t>
      </w:r>
    </w:p>
  </w:footnote>
  <w:footnote w:id="119">
    <w:p w14:paraId="5EBB734E" w14:textId="77777777" w:rsidR="003C0902" w:rsidRPr="005968CD" w:rsidRDefault="003C0902" w:rsidP="003C0902">
      <w:pPr>
        <w:pStyle w:val="FootnoteText"/>
      </w:pPr>
      <w:r w:rsidRPr="005968CD">
        <w:rPr>
          <w:rStyle w:val="FootnoteReference"/>
        </w:rPr>
        <w:footnoteRef/>
      </w:r>
      <w:r w:rsidRPr="005968CD">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120">
    <w:p w14:paraId="58436FAB" w14:textId="77777777" w:rsidR="003C0902" w:rsidRPr="005968CD" w:rsidRDefault="003C0902" w:rsidP="003C0902">
      <w:pPr>
        <w:pStyle w:val="FootnoteText"/>
      </w:pPr>
      <w:r w:rsidRPr="005968CD">
        <w:rPr>
          <w:rStyle w:val="FootnoteReference"/>
        </w:rPr>
        <w:footnoteRef/>
      </w:r>
      <w:r w:rsidRPr="005968CD">
        <w:t xml:space="preserve"> 15 U.S.C. § 632.</w:t>
      </w:r>
    </w:p>
  </w:footnote>
  <w:footnote w:id="121">
    <w:p w14:paraId="2E1FE863"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5 U.S.C. §§ 601(3)–(6).</w:t>
      </w:r>
    </w:p>
  </w:footnote>
  <w:footnote w:id="122">
    <w:p w14:paraId="1922DBB5"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SBA, Office of Advocacy, “Frequently Asked Questions,” web.sba.gov/faqs  (figures are from 2009).</w:t>
      </w:r>
    </w:p>
  </w:footnote>
  <w:footnote w:id="123">
    <w:p w14:paraId="69537C01" w14:textId="77777777" w:rsidR="003C0902" w:rsidRPr="005968CD" w:rsidRDefault="003C0902" w:rsidP="003C0902">
      <w:pPr>
        <w:pStyle w:val="FootnoteText"/>
      </w:pPr>
      <w:r w:rsidRPr="005968CD">
        <w:rPr>
          <w:rStyle w:val="FootnoteReference"/>
        </w:rPr>
        <w:footnoteRef/>
      </w:r>
      <w:r w:rsidRPr="005968CD">
        <w:t xml:space="preserve"> </w:t>
      </w:r>
      <w:r w:rsidRPr="005968CD">
        <w:rPr>
          <w:spacing w:val="-2"/>
        </w:rPr>
        <w:t>5 U.S.C.</w:t>
      </w:r>
      <w:r w:rsidRPr="005968CD">
        <w:t xml:space="preserve"> § 601(4).</w:t>
      </w:r>
    </w:p>
  </w:footnote>
  <w:footnote w:id="124">
    <w:p w14:paraId="42C9169E" w14:textId="77777777" w:rsidR="003C0902" w:rsidRPr="005968CD" w:rsidRDefault="003C0902" w:rsidP="003C0902">
      <w:pPr>
        <w:pStyle w:val="FootnoteText"/>
      </w:pPr>
      <w:r w:rsidRPr="005968CD">
        <w:rPr>
          <w:rStyle w:val="FootnoteReference"/>
        </w:rPr>
        <w:footnoteRef/>
      </w:r>
      <w:r w:rsidRPr="005968CD">
        <w:t xml:space="preserve"> </w:t>
      </w:r>
      <w:r w:rsidRPr="005968CD">
        <w:rPr>
          <w:smallCaps/>
        </w:rPr>
        <w:t>Independent Sector</w:t>
      </w:r>
      <w:r w:rsidRPr="005968CD">
        <w:t xml:space="preserve">, </w:t>
      </w:r>
      <w:r w:rsidRPr="005968CD">
        <w:rPr>
          <w:smallCaps/>
        </w:rPr>
        <w:t>The New Nonprofit Almanac &amp; Desk Reference</w:t>
      </w:r>
      <w:r w:rsidRPr="005968CD">
        <w:t xml:space="preserve"> (2010).</w:t>
      </w:r>
    </w:p>
  </w:footnote>
  <w:footnote w:id="125">
    <w:p w14:paraId="37758696" w14:textId="77777777" w:rsidR="003C0902" w:rsidRPr="005968CD" w:rsidRDefault="003C0902" w:rsidP="003C0902">
      <w:pPr>
        <w:pStyle w:val="FootnoteText"/>
      </w:pPr>
      <w:r w:rsidRPr="005968CD">
        <w:rPr>
          <w:rStyle w:val="FootnoteReference"/>
          <w:spacing w:val="-2"/>
        </w:rPr>
        <w:footnoteRef/>
      </w:r>
      <w:r w:rsidRPr="005968CD">
        <w:t xml:space="preserve"> 5 U.S.C. § 601(5).</w:t>
      </w:r>
    </w:p>
  </w:footnote>
  <w:footnote w:id="126">
    <w:p w14:paraId="32B90481" w14:textId="77777777" w:rsidR="003C0902" w:rsidRPr="005968CD" w:rsidRDefault="003C0902" w:rsidP="003C0902">
      <w:pPr>
        <w:pStyle w:val="FootnoteText"/>
      </w:pPr>
      <w:r w:rsidRPr="005968CD">
        <w:rPr>
          <w:rStyle w:val="FootnoteReference"/>
          <w:spacing w:val="-2"/>
        </w:rPr>
        <w:footnoteRef/>
      </w:r>
      <w:r w:rsidRPr="005968CD">
        <w:t xml:space="preserve"> </w:t>
      </w:r>
      <w:r w:rsidRPr="005968CD">
        <w:rPr>
          <w:smallCaps/>
        </w:rPr>
        <w:t>U.S. Census Bureau, Statistical Abstract of the United States: 2011</w:t>
      </w:r>
      <w:r w:rsidRPr="005968CD">
        <w:t xml:space="preserve">, Table 427 (2007). </w:t>
      </w:r>
    </w:p>
  </w:footnote>
  <w:footnote w:id="127">
    <w:p w14:paraId="7EEEA4CC" w14:textId="77777777" w:rsidR="003C0902" w:rsidRPr="005968CD" w:rsidRDefault="003C0902" w:rsidP="003C0902">
      <w:pPr>
        <w:pStyle w:val="FootnoteText"/>
      </w:pPr>
      <w:r w:rsidRPr="005968CD">
        <w:rPr>
          <w:rStyle w:val="FootnoteReference"/>
        </w:rPr>
        <w:footnoteRef/>
      </w:r>
      <w:r w:rsidRPr="005968CD">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sidRPr="005968CD">
        <w:rPr>
          <w:i/>
        </w:rPr>
        <w:t>.</w:t>
      </w:r>
    </w:p>
  </w:footnote>
  <w:footnote w:id="128">
    <w:p w14:paraId="24352172" w14:textId="1F1EE3E5" w:rsidR="003C0902" w:rsidRPr="005968CD" w:rsidRDefault="003C0902" w:rsidP="003C0902">
      <w:pPr>
        <w:pStyle w:val="FootnoteText"/>
      </w:pPr>
      <w:r w:rsidRPr="005968CD">
        <w:rPr>
          <w:rStyle w:val="FootnoteReference"/>
        </w:rPr>
        <w:footnoteRef/>
      </w:r>
      <w:r w:rsidRPr="005968CD">
        <w:t xml:space="preserve"> U.S. Census Bureau, 2007 NAICS Definitions, “</w:t>
      </w:r>
      <w:r w:rsidRPr="005968CD">
        <w:rPr>
          <w:bCs/>
        </w:rPr>
        <w:t>517210 Wireless Telecommunications Categories (Except Satellite)”;</w:t>
      </w:r>
      <w:r w:rsidRPr="005968CD">
        <w:t xml:space="preserve"> </w:t>
      </w:r>
      <w:hyperlink r:id="rId9" w:anchor="N517210" w:history="1">
        <w:r w:rsidRPr="005968CD">
          <w:rPr>
            <w:rStyle w:val="Hyperlink"/>
            <w:color w:val="auto"/>
            <w:u w:val="none"/>
          </w:rPr>
          <w:t>http://www.census.gov/naics/2007/def/ND517210.HTM#N517210</w:t>
        </w:r>
      </w:hyperlink>
      <w:r w:rsidRPr="005968CD">
        <w:t>.</w:t>
      </w:r>
    </w:p>
  </w:footnote>
  <w:footnote w:id="129">
    <w:p w14:paraId="2550C524" w14:textId="6D259BDD" w:rsidR="003C0902" w:rsidRPr="005968CD" w:rsidRDefault="003C0902" w:rsidP="003C0902">
      <w:pPr>
        <w:pStyle w:val="FootnoteText"/>
      </w:pPr>
      <w:r w:rsidRPr="005968CD">
        <w:rPr>
          <w:rStyle w:val="FootnoteReference"/>
        </w:rPr>
        <w:footnoteRef/>
      </w:r>
      <w:r w:rsidRPr="005968CD">
        <w:t xml:space="preserve"> U.S. Census Bureau, 2002 NAICS Definitions, “</w:t>
      </w:r>
      <w:r w:rsidRPr="005968CD">
        <w:rPr>
          <w:bCs/>
        </w:rPr>
        <w:t xml:space="preserve">517211 Paging”; </w:t>
      </w:r>
      <w:hyperlink r:id="rId10" w:history="1">
        <w:r w:rsidRPr="005968CD">
          <w:rPr>
            <w:rStyle w:val="Hyperlink"/>
            <w:color w:val="auto"/>
            <w:u w:val="none"/>
          </w:rPr>
          <w:t>http://www.census.gov/epcd/naics02/def/NDEF517.HTM</w:t>
        </w:r>
      </w:hyperlink>
      <w:r w:rsidRPr="005968CD">
        <w:t xml:space="preserve">.; U.S. Census Bureau, 2002 NAICS Definitions, “517212 Cellular and Other Wireless Telecommunications”; </w:t>
      </w:r>
      <w:hyperlink r:id="rId11" w:history="1">
        <w:r w:rsidRPr="005968CD">
          <w:rPr>
            <w:rStyle w:val="Hyperlink"/>
            <w:color w:val="auto"/>
            <w:u w:val="none"/>
          </w:rPr>
          <w:t>http://www.census.gov/epcd/naics02/def/NDEF517.HTM</w:t>
        </w:r>
      </w:hyperlink>
      <w:r w:rsidRPr="005968CD">
        <w:t>.</w:t>
      </w:r>
    </w:p>
  </w:footnote>
  <w:footnote w:id="130">
    <w:p w14:paraId="26A7CECC" w14:textId="77777777" w:rsidR="003C0902" w:rsidRPr="005968CD" w:rsidRDefault="003C0902" w:rsidP="003C0902">
      <w:pPr>
        <w:pStyle w:val="FootnoteText"/>
      </w:pPr>
      <w:r w:rsidRPr="005968CD">
        <w:rPr>
          <w:rStyle w:val="FootnoteReference"/>
        </w:rPr>
        <w:footnoteRef/>
      </w:r>
      <w:r w:rsidRPr="005968CD">
        <w:rPr>
          <w:lang w:val="fr-FR"/>
        </w:rPr>
        <w:t xml:space="preserve"> 13 C.F.R. § 121.201, NAICS code 517210 (2007 NAICS).  </w:t>
      </w:r>
      <w:r w:rsidRPr="005968CD">
        <w:t>The now-superseded, pre-2007 C.F.R. citations were 13 C.F.R. § 121.201, NAICS codes 517211 and 517212 (referring to the 2002 NAICS).</w:t>
      </w:r>
    </w:p>
  </w:footnote>
  <w:footnote w:id="131">
    <w:p w14:paraId="0EB51DFC" w14:textId="77777777" w:rsidR="003C0902" w:rsidRPr="005968CD" w:rsidRDefault="003C0902" w:rsidP="003C0902">
      <w:pPr>
        <w:spacing w:after="120"/>
        <w:rPr>
          <w:sz w:val="20"/>
        </w:rPr>
      </w:pPr>
      <w:r w:rsidRPr="005968CD">
        <w:rPr>
          <w:rStyle w:val="FootnoteReference"/>
        </w:rPr>
        <w:footnoteRef/>
      </w:r>
      <w:r w:rsidRPr="005968CD">
        <w:rPr>
          <w:sz w:val="20"/>
        </w:rPr>
        <w:t xml:space="preserve"> U.S. Census Bureau, 2007 Economic Census, Sector 51, 2007 NAICS code 517210 (rel. Oct. 20, 2009), http://factfinder.census.gov/servlet/IBQTable?_bm=y&amp;-geo_id=&amp;-fds_name=EC0700A1&amp;-_skip=700&amp;-ds_name=EC0751SSSZ5&amp;-_lang=en.</w:t>
      </w:r>
    </w:p>
  </w:footnote>
  <w:footnote w:id="132">
    <w:p w14:paraId="554C1706" w14:textId="77777777" w:rsidR="003C0902" w:rsidRPr="005968CD" w:rsidRDefault="003C0902" w:rsidP="003C0902">
      <w:pPr>
        <w:spacing w:after="120"/>
        <w:rPr>
          <w:rStyle w:val="Heading2CharChar2"/>
          <w:sz w:val="20"/>
        </w:rPr>
      </w:pPr>
      <w:r w:rsidRPr="005968CD">
        <w:rPr>
          <w:rStyle w:val="Footnote"/>
          <w:sz w:val="20"/>
          <w:vertAlign w:val="superscript"/>
        </w:rPr>
        <w:footnoteRef/>
      </w:r>
      <w:r w:rsidRPr="005968CD">
        <w:rPr>
          <w:rStyle w:val="Footnote"/>
          <w:sz w:val="20"/>
          <w:lang w:val="fr-FR"/>
        </w:rPr>
        <w:t xml:space="preserve"> 13 C.F.R. § 121.201, NAICS code 517110.</w:t>
      </w:r>
    </w:p>
  </w:footnote>
  <w:footnote w:id="133">
    <w:p w14:paraId="631C3026"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Trends in Telephone Service</w:t>
      </w:r>
      <w:r w:rsidRPr="005968CD">
        <w:t>, Federal Communications Commission, Wireline Competition Bureau, Industry Analysis and Technology Division at Table 5.3 (Sept. 2010) (</w:t>
      </w:r>
      <w:r w:rsidRPr="005968CD">
        <w:rPr>
          <w:i/>
        </w:rPr>
        <w:t>Trends in Telephone Service</w:t>
      </w:r>
      <w:r w:rsidRPr="005968CD">
        <w:t>).</w:t>
      </w:r>
    </w:p>
  </w:footnote>
  <w:footnote w:id="134">
    <w:p w14:paraId="4B6FFC05" w14:textId="77777777" w:rsidR="003C0902" w:rsidRPr="00957106" w:rsidRDefault="003C0902" w:rsidP="003C0902">
      <w:pPr>
        <w:pStyle w:val="FootnoteText"/>
        <w:rPr>
          <w:rStyle w:val="Footnote"/>
        </w:rPr>
      </w:pPr>
      <w:r w:rsidRPr="00957106">
        <w:rPr>
          <w:rStyle w:val="Footnote"/>
          <w:vertAlign w:val="superscript"/>
        </w:rPr>
        <w:footnoteRef/>
      </w:r>
      <w:r w:rsidRPr="00957106">
        <w:rPr>
          <w:rStyle w:val="Footnote"/>
          <w:vertAlign w:val="superscript"/>
        </w:rPr>
        <w:t xml:space="preserve"> </w:t>
      </w:r>
      <w:r w:rsidRPr="00957106">
        <w:rPr>
          <w:rStyle w:val="Footnote"/>
          <w:i/>
        </w:rPr>
        <w:t>See id</w:t>
      </w:r>
      <w:r w:rsidRPr="00957106">
        <w:rPr>
          <w:rStyle w:val="Footnote"/>
        </w:rPr>
        <w:t>.</w:t>
      </w:r>
    </w:p>
  </w:footnote>
  <w:footnote w:id="135">
    <w:p w14:paraId="222419F8" w14:textId="22DC76BB" w:rsidR="003C0902" w:rsidRPr="00957106" w:rsidRDefault="003C0902" w:rsidP="003C0902">
      <w:pPr>
        <w:pStyle w:val="FootnoteText"/>
        <w:rPr>
          <w:rStyle w:val="Footnote"/>
        </w:rPr>
      </w:pPr>
      <w:r w:rsidRPr="00957106">
        <w:rPr>
          <w:rStyle w:val="Footnote"/>
          <w:vertAlign w:val="superscript"/>
        </w:rPr>
        <w:footnoteRef/>
      </w:r>
      <w:r w:rsidRPr="00957106">
        <w:rPr>
          <w:rStyle w:val="Footnote"/>
        </w:rPr>
        <w:t xml:space="preserve"> </w:t>
      </w:r>
      <w:r w:rsidRPr="00957106">
        <w:rPr>
          <w:rStyle w:val="Footnote"/>
          <w:i/>
        </w:rPr>
        <w:t>See</w:t>
      </w:r>
      <w:r w:rsidRPr="00957106">
        <w:rPr>
          <w:rStyle w:val="Footnote"/>
        </w:rPr>
        <w:t xml:space="preserve"> </w:t>
      </w:r>
      <w:hyperlink r:id="rId12" w:history="1">
        <w:r w:rsidRPr="00957106">
          <w:rPr>
            <w:rStyle w:val="Footnote"/>
          </w:rPr>
          <w:t>http://factfinder.census.gov/servlet/IBQTable?_bm=y&amp;-fds_name=EC0700A1&amp;-geo_id=&amp;-_skip=600&amp;-ds_name=EC0751SSSZ5&amp;-_lang=en</w:t>
        </w:r>
      </w:hyperlink>
      <w:r w:rsidRPr="00957106">
        <w:rPr>
          <w:rStyle w:val="Footnote"/>
        </w:rPr>
        <w:t>.</w:t>
      </w:r>
    </w:p>
  </w:footnote>
  <w:footnote w:id="136">
    <w:p w14:paraId="5E0503E0" w14:textId="77777777" w:rsidR="003C0902" w:rsidRPr="005968CD" w:rsidRDefault="003C0902" w:rsidP="003C0902">
      <w:pPr>
        <w:spacing w:after="120"/>
        <w:rPr>
          <w:rStyle w:val="Heading2CharChar2"/>
          <w:sz w:val="20"/>
        </w:rPr>
      </w:pPr>
      <w:r w:rsidRPr="005968CD">
        <w:rPr>
          <w:rStyle w:val="Footnote"/>
          <w:sz w:val="20"/>
          <w:vertAlign w:val="superscript"/>
        </w:rPr>
        <w:footnoteRef/>
      </w:r>
      <w:r w:rsidRPr="005968CD">
        <w:rPr>
          <w:rStyle w:val="Heading2CharChar2"/>
          <w:b w:val="0"/>
          <w:sz w:val="20"/>
          <w:lang w:val="fr-FR"/>
        </w:rPr>
        <w:t xml:space="preserve"> </w:t>
      </w:r>
      <w:r w:rsidRPr="005968CD">
        <w:rPr>
          <w:rStyle w:val="FootnoteTextChar4"/>
          <w:sz w:val="20"/>
          <w:lang w:val="fr-FR"/>
        </w:rPr>
        <w:t>13 C.F.R. § 121.201, NAICS code 517110.</w:t>
      </w:r>
    </w:p>
  </w:footnote>
  <w:footnote w:id="137">
    <w:p w14:paraId="01729ED7" w14:textId="5B45B356"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hyperlink r:id="rId13" w:history="1">
        <w:r w:rsidRPr="005968CD">
          <w:t>http://factfinder.census.gov/servlet/IBQTable?_bm=y&amp;-fds_name=EC0700A1&amp;-geo_id=&amp;-_skip=600&amp;-ds_name=EC0751SSSZ5&amp;-_lang=en</w:t>
        </w:r>
      </w:hyperlink>
      <w:r w:rsidRPr="005968CD">
        <w:t>.</w:t>
      </w:r>
    </w:p>
  </w:footnote>
  <w:footnote w:id="138">
    <w:p w14:paraId="25445840"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Trends in Telephone Service</w:t>
      </w:r>
      <w:r w:rsidRPr="005968CD">
        <w:t xml:space="preserve"> at Table 5.3.</w:t>
      </w:r>
    </w:p>
  </w:footnote>
  <w:footnote w:id="139">
    <w:p w14:paraId="49FA674B" w14:textId="77777777" w:rsidR="003C0902" w:rsidRPr="00957106" w:rsidRDefault="003C0902" w:rsidP="003C0902">
      <w:pPr>
        <w:pStyle w:val="FootnoteText"/>
        <w:rPr>
          <w:rStyle w:val="Footnote"/>
        </w:rPr>
      </w:pPr>
      <w:r w:rsidRPr="00957106">
        <w:rPr>
          <w:rStyle w:val="Footnote"/>
          <w:vertAlign w:val="superscript"/>
        </w:rPr>
        <w:footnoteRef/>
      </w:r>
      <w:r w:rsidRPr="00957106">
        <w:rPr>
          <w:rStyle w:val="Footnote"/>
        </w:rPr>
        <w:t xml:space="preserve"> </w:t>
      </w:r>
      <w:r w:rsidRPr="00957106">
        <w:rPr>
          <w:rStyle w:val="Footnote"/>
          <w:i/>
        </w:rPr>
        <w:t>See id</w:t>
      </w:r>
      <w:r w:rsidRPr="00957106">
        <w:rPr>
          <w:rStyle w:val="Footnote"/>
        </w:rPr>
        <w:t>.</w:t>
      </w:r>
    </w:p>
  </w:footnote>
  <w:footnote w:id="140">
    <w:p w14:paraId="265977A2"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id</w:t>
      </w:r>
      <w:r w:rsidRPr="005968CD">
        <w:t>.</w:t>
      </w:r>
    </w:p>
  </w:footnote>
  <w:footnote w:id="141">
    <w:p w14:paraId="514F59BE"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id</w:t>
      </w:r>
      <w:r w:rsidRPr="005968CD">
        <w:t>.</w:t>
      </w:r>
    </w:p>
  </w:footnote>
  <w:footnote w:id="142">
    <w:p w14:paraId="6C32AA55"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id</w:t>
      </w:r>
      <w:r w:rsidRPr="005968CD">
        <w:t>.</w:t>
      </w:r>
    </w:p>
  </w:footnote>
  <w:footnote w:id="143">
    <w:p w14:paraId="6EBD76B0"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Amendment of Parts 20 and 24 of the Commission’s Rules – Broadband PCS Competitive Bidding and the Commercial Mobile Radio Service Spectrum Cap; Amendment of the Commission’s Cellular/PCS Cross-Ownership Rule; WT Docket No. 96-59, GN Docket No. 90-314, </w:t>
      </w:r>
      <w:r w:rsidRPr="005968CD">
        <w:rPr>
          <w:rStyle w:val="Footnote"/>
          <w:i/>
        </w:rPr>
        <w:t>Report and Order</w:t>
      </w:r>
      <w:r w:rsidRPr="005968CD">
        <w:rPr>
          <w:rStyle w:val="Footnote"/>
        </w:rPr>
        <w:t xml:space="preserve">, 11 FCC Rcd 7824, 7850–52 </w:t>
      </w:r>
      <w:r w:rsidRPr="005968CD">
        <w:rPr>
          <w:iCs/>
        </w:rPr>
        <w:t>¶¶</w:t>
      </w:r>
      <w:r w:rsidRPr="005968CD">
        <w:rPr>
          <w:rStyle w:val="Footnote"/>
        </w:rPr>
        <w:t xml:space="preserve"> 57–60 (1996) (</w:t>
      </w:r>
      <w:r w:rsidRPr="005968CD">
        <w:rPr>
          <w:rStyle w:val="Footnote"/>
          <w:i/>
        </w:rPr>
        <w:t>PCS Report and Order</w:t>
      </w:r>
      <w:r w:rsidRPr="005968CD">
        <w:rPr>
          <w:rStyle w:val="Footnote"/>
        </w:rPr>
        <w:t xml:space="preserve">); </w:t>
      </w:r>
      <w:r w:rsidRPr="005968CD">
        <w:rPr>
          <w:rStyle w:val="Footnote"/>
          <w:i/>
        </w:rPr>
        <w:t>see also</w:t>
      </w:r>
      <w:r w:rsidRPr="005968CD">
        <w:rPr>
          <w:rStyle w:val="Footnote"/>
        </w:rPr>
        <w:t xml:space="preserve"> 47 C.F.R. § 24.720(b).</w:t>
      </w:r>
    </w:p>
  </w:footnote>
  <w:footnote w:id="144">
    <w:p w14:paraId="757F28DB"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w:t>
      </w:r>
      <w:r w:rsidRPr="005968CD">
        <w:rPr>
          <w:rStyle w:val="Footnote"/>
          <w:i/>
        </w:rPr>
        <w:t>PCS Report and Order</w:t>
      </w:r>
      <w:r w:rsidRPr="005968CD">
        <w:rPr>
          <w:rStyle w:val="Footnote"/>
        </w:rPr>
        <w:t xml:space="preserve">, 11 FCC Rcd at 7852 </w:t>
      </w:r>
      <w:r w:rsidRPr="005968CD">
        <w:rPr>
          <w:iCs/>
        </w:rPr>
        <w:t xml:space="preserve">¶ </w:t>
      </w:r>
      <w:r w:rsidRPr="005968CD">
        <w:rPr>
          <w:rStyle w:val="Footnote"/>
        </w:rPr>
        <w:t>60.</w:t>
      </w:r>
    </w:p>
  </w:footnote>
  <w:footnote w:id="145">
    <w:p w14:paraId="2A4F618E"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w:t>
      </w:r>
      <w:r w:rsidRPr="005968CD">
        <w:rPr>
          <w:rStyle w:val="Footnote"/>
          <w:i/>
        </w:rPr>
        <w:t>Alvarez Letter 1998</w:t>
      </w:r>
      <w:r w:rsidRPr="005968CD">
        <w:rPr>
          <w:rStyle w:val="Footnote"/>
        </w:rPr>
        <w:t>.</w:t>
      </w:r>
    </w:p>
  </w:footnote>
  <w:footnote w:id="146">
    <w:p w14:paraId="425E5223" w14:textId="77777777" w:rsidR="003C0902" w:rsidRPr="005968CD" w:rsidRDefault="003C0902" w:rsidP="003C0902">
      <w:pPr>
        <w:pStyle w:val="FootnoteText"/>
      </w:pPr>
      <w:r w:rsidRPr="005968CD">
        <w:rPr>
          <w:rStyle w:val="Footnote"/>
          <w:vertAlign w:val="superscript"/>
        </w:rPr>
        <w:footnoteRef/>
      </w:r>
      <w:r w:rsidRPr="005968CD">
        <w:t xml:space="preserve"> </w:t>
      </w:r>
      <w:r w:rsidRPr="005968CD">
        <w:rPr>
          <w:rStyle w:val="footnote0"/>
          <w:i/>
          <w:iCs/>
        </w:rPr>
        <w:t>See</w:t>
      </w:r>
      <w:r w:rsidRPr="005968CD">
        <w:rPr>
          <w:rStyle w:val="footnote0"/>
        </w:rPr>
        <w:t xml:space="preserve"> </w:t>
      </w:r>
      <w:r w:rsidRPr="005968CD">
        <w:rPr>
          <w:rStyle w:val="footnote0"/>
          <w:iCs/>
        </w:rPr>
        <w:t>Broadband PCS, D, E and F Block Auction Closes</w:t>
      </w:r>
      <w:r w:rsidRPr="005968CD">
        <w:rPr>
          <w:rStyle w:val="footnote0"/>
        </w:rPr>
        <w:t xml:space="preserve">, </w:t>
      </w:r>
      <w:r w:rsidRPr="005968CD">
        <w:rPr>
          <w:rStyle w:val="footnote0"/>
          <w:i/>
        </w:rPr>
        <w:t>Public Notice</w:t>
      </w:r>
      <w:r w:rsidRPr="005968CD">
        <w:rPr>
          <w:rStyle w:val="footnote0"/>
        </w:rPr>
        <w:t>, Doc. No. 89838 (rel. Jan. 14, 1997).</w:t>
      </w:r>
    </w:p>
  </w:footnote>
  <w:footnote w:id="147">
    <w:p w14:paraId="3781E27B"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C, D, E, and F Block Broadband PCS Auction Closes, </w:t>
      </w:r>
      <w:r w:rsidRPr="005968CD">
        <w:rPr>
          <w:rStyle w:val="Footnote"/>
          <w:i/>
        </w:rPr>
        <w:t>Public Notice</w:t>
      </w:r>
      <w:r w:rsidRPr="005968CD">
        <w:rPr>
          <w:rStyle w:val="Footnote"/>
        </w:rPr>
        <w:t xml:space="preserve">, 14 FCC Rcd 6688 (WTB 1999).  </w:t>
      </w:r>
      <w:r w:rsidRPr="005968CD">
        <w:t xml:space="preserve">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5968CD">
        <w:rPr>
          <w:i/>
        </w:rPr>
        <w:t>Fourth Report and Order</w:t>
      </w:r>
      <w:r w:rsidRPr="005968CD">
        <w:t xml:space="preserve">, 13 FCC Rcd 15743, 15768 </w:t>
      </w:r>
      <w:r w:rsidRPr="005968CD">
        <w:rPr>
          <w:iCs/>
        </w:rPr>
        <w:t>¶</w:t>
      </w:r>
      <w:r w:rsidRPr="005968CD">
        <w:t xml:space="preserve"> 46 (1998).</w:t>
      </w:r>
    </w:p>
  </w:footnote>
  <w:footnote w:id="148">
    <w:p w14:paraId="0CDA5364"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C and F Block Broadband PCS Auction Closes; Winning Bidders Announced, </w:t>
      </w:r>
      <w:r w:rsidRPr="005968CD">
        <w:rPr>
          <w:rStyle w:val="Footnote"/>
          <w:i/>
        </w:rPr>
        <w:t>Public Notice</w:t>
      </w:r>
      <w:r w:rsidRPr="005968CD">
        <w:rPr>
          <w:rStyle w:val="Footnote"/>
        </w:rPr>
        <w:t>, 16 FCC Rcd 2339 (2001).</w:t>
      </w:r>
    </w:p>
  </w:footnote>
  <w:footnote w:id="149">
    <w:p w14:paraId="2EBDDA7A"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Broadband PCS Spectrum Auction Closes; Winning Bidders Announced for Auction No. 58, </w:t>
      </w:r>
      <w:r w:rsidRPr="005968CD">
        <w:rPr>
          <w:i/>
        </w:rPr>
        <w:t>Public Notice</w:t>
      </w:r>
      <w:r w:rsidRPr="005968CD">
        <w:t>, 20 FCC Rcd 3703 (2005).</w:t>
      </w:r>
    </w:p>
  </w:footnote>
  <w:footnote w:id="150">
    <w:p w14:paraId="4473482C"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Auction of Broadband PCS Spectrum Licenses Closes; Winning Bidders Announced for Auction No. 71, </w:t>
      </w:r>
      <w:r w:rsidRPr="005968CD">
        <w:rPr>
          <w:i/>
        </w:rPr>
        <w:t>Public Notice</w:t>
      </w:r>
      <w:r w:rsidRPr="005968CD">
        <w:t>, 22 FCC Rcd 9247 (2007).</w:t>
      </w:r>
    </w:p>
  </w:footnote>
  <w:footnote w:id="151">
    <w:p w14:paraId="15A48F43"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w:t>
      </w:r>
    </w:p>
  </w:footnote>
  <w:footnote w:id="152">
    <w:p w14:paraId="6518B78F"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w:t>
      </w:r>
      <w:r w:rsidRPr="005968CD">
        <w:rPr>
          <w:bCs/>
        </w:rPr>
        <w:t>Auction</w:t>
      </w:r>
      <w:r w:rsidRPr="005968CD">
        <w:rPr>
          <w:b/>
          <w:bCs/>
        </w:rPr>
        <w:t xml:space="preserve"> </w:t>
      </w:r>
      <w:r w:rsidRPr="005968CD">
        <w:rPr>
          <w:bCs/>
        </w:rPr>
        <w:t xml:space="preserve">of AWS-1 and Broadband PCS Licenses Closes; Winning Bidders Announced for Auction 78, </w:t>
      </w:r>
      <w:r w:rsidRPr="005968CD">
        <w:rPr>
          <w:i/>
        </w:rPr>
        <w:t>Public Notice</w:t>
      </w:r>
      <w:r w:rsidRPr="005968CD">
        <w:t>, 23 FCC Rcd 12749 (WTB 2008).</w:t>
      </w:r>
    </w:p>
  </w:footnote>
  <w:footnote w:id="153">
    <w:p w14:paraId="0046C7F6"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p>
  </w:footnote>
  <w:footnote w:id="154">
    <w:p w14:paraId="3671E822" w14:textId="77777777" w:rsidR="003C0902" w:rsidRPr="005968CD" w:rsidRDefault="003C0902" w:rsidP="003C0902">
      <w:pPr>
        <w:pStyle w:val="FootnoteText"/>
      </w:pPr>
      <w:r w:rsidRPr="005968CD">
        <w:rPr>
          <w:rStyle w:val="FootnoteReference"/>
        </w:rPr>
        <w:footnoteRef/>
      </w:r>
      <w:r w:rsidRPr="005968CD">
        <w:t xml:space="preserve"> Amendment of the Commission’s Rules to Establish New Personal Communications Services, Narrowband PCS, GEN Docket No. 90-314, ET Docket No. 92-100, PP Docket No. 93-253, </w:t>
      </w:r>
      <w:r w:rsidRPr="005968CD">
        <w:rPr>
          <w:i/>
        </w:rPr>
        <w:t>Second Report and Order and Second Further Notice of Proposed Rulemaking</w:t>
      </w:r>
      <w:r w:rsidRPr="005968CD">
        <w:t>, 15 FCC Rcd 10456 (2000).</w:t>
      </w:r>
    </w:p>
  </w:footnote>
  <w:footnote w:id="155">
    <w:p w14:paraId="4AE329EF"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Letter to Amy Zoslov, Chief, Auctions and Industry Analysis Division, Wireless Telecommunications Bureau, FCC, from Aida Alvarez, Administrator, SBA (Dec. 2, 1998).</w:t>
      </w:r>
    </w:p>
  </w:footnote>
  <w:footnote w:id="156">
    <w:p w14:paraId="07CC85ED" w14:textId="77777777" w:rsidR="003C0902" w:rsidRPr="005968CD" w:rsidRDefault="003C0902" w:rsidP="003C0902">
      <w:pPr>
        <w:pStyle w:val="FootnoteText"/>
      </w:pPr>
      <w:r w:rsidRPr="005968CD">
        <w:rPr>
          <w:rStyle w:val="FootnoteReference"/>
        </w:rPr>
        <w:footnoteRef/>
      </w:r>
      <w:r w:rsidRPr="005968CD">
        <w:t xml:space="preserve"> 47 C.F.R. § 90.814(b)(1).</w:t>
      </w:r>
    </w:p>
  </w:footnote>
  <w:footnote w:id="157">
    <w:p w14:paraId="4C3A8F3E"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w:t>
      </w:r>
    </w:p>
  </w:footnote>
  <w:footnote w:id="158">
    <w:p w14:paraId="7D961590"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Letter to Thomas Sugrue, Chief, Wireless Telecommunications Bureau, Federal Communications Commission, from Aida Alvarez, Administrator, Small Business Administration, dated Aug</w:t>
      </w:r>
      <w:r>
        <w:t>.</w:t>
      </w:r>
      <w:r w:rsidRPr="005968CD">
        <w:t xml:space="preserve"> 10, 1999.  </w:t>
      </w:r>
    </w:p>
  </w:footnote>
  <w:footnote w:id="159">
    <w:p w14:paraId="01C61F91"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“Correction to Public Notice DA 96-586 ‘FCC Announces Winning Bidders in the Auction of 1020 Licenses to Provide 900 MHz SMR in Major Trading Areas,’” </w:t>
      </w:r>
      <w:r w:rsidRPr="005968CD">
        <w:rPr>
          <w:i/>
        </w:rPr>
        <w:t>Public Notice</w:t>
      </w:r>
      <w:r w:rsidRPr="005968CD">
        <w:t>, 18 FCC Rcd 18367 (WTB 1996).</w:t>
      </w:r>
    </w:p>
  </w:footnote>
  <w:footnote w:id="160">
    <w:p w14:paraId="28B5A085"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“Multi-Radio Service Auction Closes,” </w:t>
      </w:r>
      <w:r w:rsidRPr="005968CD">
        <w:rPr>
          <w:i/>
        </w:rPr>
        <w:t>Public Notice</w:t>
      </w:r>
      <w:r w:rsidRPr="005968CD">
        <w:t>, 17 FCC Rcd 1446 (WTB 2002).</w:t>
      </w:r>
    </w:p>
  </w:footnote>
  <w:footnote w:id="161">
    <w:p w14:paraId="5ADBD38D" w14:textId="77777777" w:rsidR="003C0902" w:rsidRPr="005968CD" w:rsidRDefault="003C0902" w:rsidP="003C0902">
      <w:pPr>
        <w:pStyle w:val="FootnoteText"/>
      </w:pPr>
      <w:r w:rsidRPr="005968CD">
        <w:rPr>
          <w:rStyle w:val="FootnoteReference"/>
        </w:rPr>
        <w:footnoteRef/>
      </w:r>
      <w:r w:rsidRPr="005968CD">
        <w:t xml:space="preserve"> </w:t>
      </w:r>
      <w:r w:rsidRPr="005968CD">
        <w:rPr>
          <w:rStyle w:val="Footnote"/>
          <w:i/>
        </w:rPr>
        <w:t>See</w:t>
      </w:r>
      <w:r w:rsidRPr="005968CD">
        <w:rPr>
          <w:rStyle w:val="Footnote"/>
        </w:rPr>
        <w:t xml:space="preserve"> “800 MHz Specialized Mobile Radio (SMR) Service General Category (851-854 MHz) and Upper Band (861-865 MHz) Auction Closes; Winning Bidders Announced,” </w:t>
      </w:r>
      <w:r w:rsidRPr="005968CD">
        <w:rPr>
          <w:rStyle w:val="Footnote"/>
          <w:i/>
        </w:rPr>
        <w:t>Public Notice</w:t>
      </w:r>
      <w:r w:rsidRPr="005968CD">
        <w:rPr>
          <w:rStyle w:val="Footnote"/>
        </w:rPr>
        <w:t>, 15 FCC Rcd 17162 (2000).</w:t>
      </w:r>
    </w:p>
  </w:footnote>
  <w:footnote w:id="162">
    <w:p w14:paraId="3E4FB2C5" w14:textId="77777777" w:rsidR="003C0902" w:rsidRPr="005968CD" w:rsidRDefault="003C0902" w:rsidP="003C0902">
      <w:pPr>
        <w:pStyle w:val="FootnoteText"/>
      </w:pPr>
      <w:r w:rsidRPr="005968CD">
        <w:rPr>
          <w:rStyle w:val="FootnoteReference"/>
        </w:rPr>
        <w:footnoteRef/>
      </w:r>
      <w:r w:rsidRPr="005968CD">
        <w:t xml:space="preserve"> </w:t>
      </w:r>
      <w:r w:rsidRPr="005968CD">
        <w:rPr>
          <w:rStyle w:val="Footnote"/>
          <w:i/>
        </w:rPr>
        <w:t>See</w:t>
      </w:r>
      <w:r w:rsidRPr="005968CD">
        <w:rPr>
          <w:rStyle w:val="Footnote"/>
        </w:rPr>
        <w:t xml:space="preserve">, “800 MHz SMR Service Lower 80 Channels Auction Closes; Winning Bidders Announced,” </w:t>
      </w:r>
      <w:r w:rsidRPr="005968CD">
        <w:rPr>
          <w:rStyle w:val="Footnote"/>
          <w:i/>
        </w:rPr>
        <w:t>Public Notice</w:t>
      </w:r>
      <w:r w:rsidRPr="005968CD">
        <w:rPr>
          <w:rStyle w:val="Footnote"/>
        </w:rPr>
        <w:t>, 16 FCC Rcd 1736 (2000).</w:t>
      </w:r>
    </w:p>
  </w:footnote>
  <w:footnote w:id="163">
    <w:p w14:paraId="128A14A6"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generally </w:t>
      </w:r>
      <w:r w:rsidRPr="005968CD">
        <w:rPr>
          <w:rStyle w:val="Footnote"/>
        </w:rPr>
        <w:t>13 C.F.R. § 121.201, NAICS code 517210.</w:t>
      </w:r>
    </w:p>
  </w:footnote>
  <w:footnote w:id="164">
    <w:p w14:paraId="5646D90E"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Service Rules for Advanced Wireless Services in the 1.7 GHz and 2.1 GHz Bands, </w:t>
      </w:r>
      <w:r w:rsidRPr="005968CD">
        <w:rPr>
          <w:i/>
        </w:rPr>
        <w:t>Report and Order</w:t>
      </w:r>
      <w:r w:rsidRPr="005968CD">
        <w:t xml:space="preserve">, 18 FCC Rcd 25,162, App. B (2003), </w:t>
      </w:r>
      <w:r w:rsidRPr="005968CD">
        <w:rPr>
          <w:i/>
        </w:rPr>
        <w:t xml:space="preserve">modified by </w:t>
      </w:r>
      <w:r w:rsidRPr="005968CD">
        <w:t xml:space="preserve">Service Rules for Advanced Wireless Services In the 1.7 GHz and 2.1 GHz Bands, </w:t>
      </w:r>
      <w:r w:rsidRPr="005968CD">
        <w:rPr>
          <w:i/>
        </w:rPr>
        <w:t>Order on Reconsideration</w:t>
      </w:r>
      <w:r w:rsidRPr="005968CD">
        <w:t>, 20 FCC Rcd 14,058, App. C (2005).</w:t>
      </w:r>
    </w:p>
  </w:footnote>
  <w:footnote w:id="165">
    <w:p w14:paraId="7701C320"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“Auction of Advanced Wireless Services Licenses Scheduled for June 29, 2006; Notice and Filing Requirements, Minimum Opening Bids, Upfront Payments and Other Procedures for Auction No. 66,” AU Docket No. 06-30, </w:t>
      </w:r>
      <w:r w:rsidRPr="005968CD">
        <w:rPr>
          <w:i/>
        </w:rPr>
        <w:t>Public Notice</w:t>
      </w:r>
      <w:r w:rsidRPr="005968CD">
        <w:t>, 21 FCC Rcd 4562 (2006) (“</w:t>
      </w:r>
      <w:r w:rsidRPr="005968CD">
        <w:rPr>
          <w:i/>
        </w:rPr>
        <w:t>Auction 66 Procedures Public Notice</w:t>
      </w:r>
      <w:r w:rsidRPr="005968CD">
        <w:t>”).</w:t>
      </w:r>
    </w:p>
  </w:footnote>
  <w:footnote w:id="166">
    <w:p w14:paraId="19A7A90D"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“Auction of Advanced Wireless Services Licenses Closes; Winning Bidders Announced for Auction No. 66,” </w:t>
      </w:r>
      <w:r w:rsidRPr="005968CD">
        <w:rPr>
          <w:i/>
        </w:rPr>
        <w:t>Public Notice</w:t>
      </w:r>
      <w:r w:rsidRPr="005968CD">
        <w:t>, 21 FCC Rcd 10,521 (2006) (“</w:t>
      </w:r>
      <w:r w:rsidRPr="005968CD">
        <w:rPr>
          <w:i/>
        </w:rPr>
        <w:t>Auction 66 Closing Public Notice</w:t>
      </w:r>
      <w:r w:rsidRPr="005968CD">
        <w:t>”).</w:t>
      </w:r>
    </w:p>
  </w:footnote>
  <w:footnote w:id="167">
    <w:p w14:paraId="500D05F4"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 id.</w:t>
      </w:r>
    </w:p>
  </w:footnote>
  <w:footnote w:id="168">
    <w:p w14:paraId="1EAA3E41"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w:t>
      </w:r>
      <w:r w:rsidRPr="005968CD">
        <w:rPr>
          <w:i/>
        </w:rPr>
        <w:t>AWS-1 and Broadband PCS Procedures Public Notice</w:t>
      </w:r>
      <w:r w:rsidRPr="005968CD">
        <w:t>, 23 FCC Rcd at 7499.  Auction 78 also included an auction of broadband PCS licenses.</w:t>
      </w:r>
    </w:p>
  </w:footnote>
  <w:footnote w:id="169">
    <w:p w14:paraId="04230A93"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“Auction of AWS-1 and Broadband PCS Licenses Closes, Winning Bidders Announced for Auction 78, Down Payments Due September 9, 2008, FCC Forms 601 and 602 Due September 9, 2008, Final Payments Due September 23, 2008, Ten-Day Petition to Deny Period,” </w:t>
      </w:r>
      <w:r w:rsidRPr="005968CD">
        <w:rPr>
          <w:i/>
        </w:rPr>
        <w:t>Public Notice</w:t>
      </w:r>
      <w:r w:rsidRPr="005968CD">
        <w:t>, 23 FCC Rcd 12,749 (2008).</w:t>
      </w:r>
    </w:p>
  </w:footnote>
  <w:footnote w:id="170">
    <w:p w14:paraId="4F595D67" w14:textId="77777777" w:rsidR="003C0902" w:rsidRPr="005968CD" w:rsidRDefault="003C0902" w:rsidP="003C0902">
      <w:pPr>
        <w:pStyle w:val="FootnoteText"/>
      </w:pPr>
      <w:r w:rsidRPr="005968CD">
        <w:rPr>
          <w:rStyle w:val="FootnoteReference"/>
        </w:rPr>
        <w:footnoteRef/>
      </w:r>
      <w:r w:rsidRPr="005968CD">
        <w:t xml:space="preserve"> Service Rules for Advanced Wireless Services in the 1915–1920 MHz, 1995–2000 MHz, 2020–2025 MHz and 2175–2180 MHz Bands et al</w:t>
      </w:r>
      <w:r w:rsidRPr="005968CD">
        <w:rPr>
          <w:i/>
        </w:rPr>
        <w:t>.</w:t>
      </w:r>
      <w:r w:rsidRPr="005968CD">
        <w:t xml:space="preserve">, </w:t>
      </w:r>
      <w:r w:rsidRPr="005968CD">
        <w:rPr>
          <w:i/>
        </w:rPr>
        <w:t>Notice of Proposed Rulemaking</w:t>
      </w:r>
      <w:r w:rsidRPr="005968CD">
        <w:t xml:space="preserve">, 19 FCC Rcd 19,263, App. B (2005); Service Rules for Advanced Wireless Services in the 2155–2175 MHz Band, </w:t>
      </w:r>
      <w:r w:rsidRPr="005968CD">
        <w:rPr>
          <w:i/>
        </w:rPr>
        <w:t>Notice of Proposed Rulemaking</w:t>
      </w:r>
      <w:r w:rsidRPr="005968CD">
        <w:t xml:space="preserve">, 22 FCC Rcd 17,035, App. (2007); Service Rules for Advanced Wireless Services in the 2155-2175 MHz Band, </w:t>
      </w:r>
      <w:r w:rsidRPr="005968CD">
        <w:rPr>
          <w:i/>
        </w:rPr>
        <w:t>Further Notice of Proposed Rulemaking</w:t>
      </w:r>
      <w:r w:rsidRPr="005968CD">
        <w:t>, 23 FCC Rcd 9859, App. B (2008).</w:t>
      </w:r>
    </w:p>
  </w:footnote>
  <w:footnote w:id="171">
    <w:p w14:paraId="32611482" w14:textId="77777777" w:rsidR="003C0902" w:rsidRPr="005968CD" w:rsidRDefault="003C0902" w:rsidP="003C0902">
      <w:pPr>
        <w:pStyle w:val="FootnoteText"/>
      </w:pPr>
      <w:r w:rsidRPr="005968CD">
        <w:rPr>
          <w:rStyle w:val="FootnoteReference"/>
        </w:rPr>
        <w:footnoteRef/>
      </w:r>
      <w:r w:rsidRPr="005968CD">
        <w:t xml:space="preserve"> NAICS Code 51210.</w:t>
      </w:r>
    </w:p>
  </w:footnote>
  <w:footnote w:id="172">
    <w:p w14:paraId="515C7BC5" w14:textId="77777777" w:rsidR="003C0902" w:rsidRPr="005968CD" w:rsidRDefault="003C0902" w:rsidP="003C0902">
      <w:pPr>
        <w:pStyle w:val="FootnoteText"/>
      </w:pPr>
      <w:r w:rsidRPr="005968CD">
        <w:rPr>
          <w:rStyle w:val="FootnoteReference"/>
        </w:rPr>
        <w:footnoteRef/>
      </w:r>
      <w:r w:rsidRPr="005968CD">
        <w:t xml:space="preserve"> Amendment of the Commission’s Rules to Establish Part 27, the Wireless Communications Service (WCS), </w:t>
      </w:r>
      <w:r w:rsidRPr="005968CD">
        <w:rPr>
          <w:i/>
        </w:rPr>
        <w:t>Report and Order</w:t>
      </w:r>
      <w:r w:rsidRPr="005968CD">
        <w:t>, 12 FCC Rcd 10785, 10879 ¶ 194 (1997).</w:t>
      </w:r>
    </w:p>
  </w:footnote>
  <w:footnote w:id="173">
    <w:p w14:paraId="6405056A"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Letter to Amy Zoslov, Chief, Auctions and Industry Analysis Division, Wireless Telecommunications Bureau, Federal Communications Commission, from Aida Alvarez, Administrator, Small Business Administration, dated December 2, 1998.</w:t>
      </w:r>
    </w:p>
  </w:footnote>
  <w:footnote w:id="174">
    <w:p w14:paraId="2FAD8CF9" w14:textId="77777777" w:rsidR="003C0902" w:rsidRPr="005968CD" w:rsidRDefault="003C0902" w:rsidP="003C0902">
      <w:pPr>
        <w:pStyle w:val="FootnoteText"/>
      </w:pPr>
      <w:r w:rsidRPr="005968CD">
        <w:rPr>
          <w:rStyle w:val="FootnoteReference"/>
        </w:rPr>
        <w:footnoteRef/>
      </w:r>
      <w:r w:rsidRPr="005968CD">
        <w:rPr>
          <w:lang w:val="fr-FR"/>
        </w:rPr>
        <w:t xml:space="preserve"> 13 C.F.R. § 121.201, NAICS code 517210 (2007 NAICS).  </w:t>
      </w:r>
      <w:r w:rsidRPr="005968CD">
        <w:t>The now-superseded, pre-2007 C.F.R. citations were 13 C.F.R. § 121.201, NAICS codes 517211 and 517212 (referring to the 2002 NAICS).</w:t>
      </w:r>
    </w:p>
  </w:footnote>
  <w:footnote w:id="175">
    <w:p w14:paraId="300601A7" w14:textId="77777777" w:rsidR="003C0902" w:rsidRPr="005968CD" w:rsidRDefault="003C0902" w:rsidP="003C0902">
      <w:pPr>
        <w:spacing w:after="120"/>
        <w:rPr>
          <w:sz w:val="20"/>
        </w:rPr>
      </w:pPr>
      <w:r w:rsidRPr="005968CD">
        <w:rPr>
          <w:rStyle w:val="FootnoteReference"/>
        </w:rPr>
        <w:footnoteRef/>
      </w:r>
      <w:r w:rsidRPr="005968CD">
        <w:rPr>
          <w:sz w:val="20"/>
        </w:rPr>
        <w:t xml:space="preserve"> U.S. Census Bureau, 2007 Economic Census, Sector 51, 2007 NAICS code 517210 (rel. Oct. 20, 2009), http://factfinder.census.gov/servlet/IBQTable?_bm=y&amp;-geo_id=&amp;-fds_name=EC0700A1&amp;-_skip=700&amp;-ds_name=EC0751SSSZ5&amp;-_lang=en.</w:t>
      </w:r>
    </w:p>
  </w:footnote>
  <w:footnote w:id="176">
    <w:p w14:paraId="717A2B4C" w14:textId="77777777" w:rsidR="003C0902" w:rsidRPr="005968CD" w:rsidRDefault="003C0902" w:rsidP="003C0902">
      <w:pPr>
        <w:pStyle w:val="FootnoteText"/>
      </w:pPr>
      <w:r w:rsidRPr="005968CD">
        <w:rPr>
          <w:rStyle w:val="FootnoteReference"/>
          <w:spacing w:val="-2"/>
        </w:rPr>
        <w:footnoteRef/>
      </w:r>
      <w:r w:rsidRPr="005968CD">
        <w:t xml:space="preserve"> Amendment of Part 90 of the Commission’s Rules to Provide For the Use of the 220-222 MHz Band by the Private Land Mobile Radio Service,</w:t>
      </w:r>
      <w:r w:rsidRPr="005968CD">
        <w:rPr>
          <w:i/>
        </w:rPr>
        <w:t xml:space="preserve"> Third Report and Order</w:t>
      </w:r>
      <w:r w:rsidRPr="005968CD">
        <w:t>, 12 FCC Rcd 10943, 11068</w:t>
      </w:r>
      <w:r w:rsidRPr="005968CD">
        <w:noBreakHyphen/>
        <w:t>70 ¶¶ 291</w:t>
      </w:r>
      <w:r w:rsidRPr="005968CD">
        <w:noBreakHyphen/>
        <w:t>295 (1997).</w:t>
      </w:r>
    </w:p>
  </w:footnote>
  <w:footnote w:id="177">
    <w:p w14:paraId="76DBF552"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 xml:space="preserve"> at 11068 ¶ 291.</w:t>
      </w:r>
    </w:p>
  </w:footnote>
  <w:footnote w:id="178">
    <w:p w14:paraId="6F5F4E96" w14:textId="77777777" w:rsidR="003C0902" w:rsidRPr="00957106" w:rsidRDefault="003C0902" w:rsidP="003C0902">
      <w:pPr>
        <w:pStyle w:val="FootnoteText"/>
        <w:rPr>
          <w:rStyle w:val="Footnote"/>
        </w:rPr>
      </w:pPr>
      <w:r w:rsidRPr="00957106">
        <w:rPr>
          <w:rStyle w:val="Footnote"/>
          <w:vertAlign w:val="superscript"/>
        </w:rPr>
        <w:footnoteRef/>
      </w:r>
      <w:r w:rsidRPr="00957106">
        <w:rPr>
          <w:rStyle w:val="Footnote"/>
        </w:rPr>
        <w:t xml:space="preserve"> </w:t>
      </w:r>
      <w:r w:rsidRPr="00957106">
        <w:rPr>
          <w:rStyle w:val="Footnote"/>
          <w:i/>
        </w:rPr>
        <w:t>Id</w:t>
      </w:r>
      <w:r w:rsidRPr="00957106">
        <w:rPr>
          <w:rStyle w:val="Footnote"/>
        </w:rPr>
        <w:t>.</w:t>
      </w:r>
    </w:p>
  </w:footnote>
  <w:footnote w:id="179">
    <w:p w14:paraId="3656BDD0" w14:textId="77777777" w:rsidR="003C0902" w:rsidRPr="005968CD" w:rsidRDefault="003C0902" w:rsidP="003C0902">
      <w:pPr>
        <w:pStyle w:val="FootnoteText"/>
      </w:pPr>
      <w:r w:rsidRPr="005968CD">
        <w:rPr>
          <w:rStyle w:val="FootnoteReference"/>
          <w:spacing w:val="-2"/>
        </w:rPr>
        <w:footnoteRef/>
      </w:r>
      <w:r w:rsidRPr="005968CD">
        <w:t xml:space="preserve"> </w:t>
      </w:r>
      <w:r w:rsidRPr="005968CD">
        <w:rPr>
          <w:i/>
        </w:rPr>
        <w:t>See</w:t>
      </w:r>
      <w:r w:rsidRPr="005968CD">
        <w:t xml:space="preserve"> Letter to Daniel Phythyon, Chief, Wireless Telecommunications Bureau, Federal Communications Commission, from Aida Alvarez, Administrator, Small Business Administration, dated January 6, 1998</w:t>
      </w:r>
      <w:r w:rsidRPr="005968CD">
        <w:rPr>
          <w:rStyle w:val="Footnote"/>
          <w:i/>
        </w:rPr>
        <w:t xml:space="preserve"> </w:t>
      </w:r>
      <w:r w:rsidRPr="005968CD">
        <w:rPr>
          <w:rStyle w:val="Footnote"/>
        </w:rPr>
        <w:t>(</w:t>
      </w:r>
      <w:r w:rsidRPr="005968CD">
        <w:rPr>
          <w:rStyle w:val="Footnote"/>
          <w:i/>
        </w:rPr>
        <w:t>Alvarez to Phythyon Letter 1998</w:t>
      </w:r>
      <w:r w:rsidRPr="005968CD">
        <w:rPr>
          <w:rStyle w:val="Footnote"/>
        </w:rPr>
        <w:t>)</w:t>
      </w:r>
      <w:r w:rsidRPr="005968CD">
        <w:t>.</w:t>
      </w:r>
    </w:p>
  </w:footnote>
  <w:footnote w:id="180">
    <w:p w14:paraId="38BCAF00" w14:textId="77777777" w:rsidR="003C0902" w:rsidRPr="005968CD" w:rsidRDefault="003C0902" w:rsidP="003C0902">
      <w:pPr>
        <w:pStyle w:val="FootnoteText"/>
      </w:pPr>
      <w:r w:rsidRPr="005968CD">
        <w:rPr>
          <w:rStyle w:val="FootnoteReference"/>
          <w:spacing w:val="-2"/>
        </w:rPr>
        <w:footnoteRef/>
      </w:r>
      <w:r w:rsidRPr="005968CD">
        <w:t xml:space="preserve"> </w:t>
      </w:r>
      <w:r w:rsidRPr="005968CD">
        <w:rPr>
          <w:i/>
        </w:rPr>
        <w:t>See generally</w:t>
      </w:r>
      <w:r w:rsidRPr="005968CD">
        <w:t xml:space="preserve"> “220 MHz Service Auction Closes,” </w:t>
      </w:r>
      <w:r w:rsidRPr="005968CD">
        <w:rPr>
          <w:i/>
        </w:rPr>
        <w:t>Public Notice</w:t>
      </w:r>
      <w:r w:rsidRPr="005968CD">
        <w:t>, 14 FCC Rcd 605 (WTB 1998).</w:t>
      </w:r>
    </w:p>
  </w:footnote>
  <w:footnote w:id="181">
    <w:p w14:paraId="3992760E"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“FCC Announces It is Prepared to Grant 654 Phase II 220 MHz Licenses After Final Payment is Made,” </w:t>
      </w:r>
      <w:r w:rsidRPr="005968CD">
        <w:rPr>
          <w:i/>
        </w:rPr>
        <w:t>Public Notice</w:t>
      </w:r>
      <w:r w:rsidRPr="005968CD">
        <w:t xml:space="preserve">, 14 FCC Rcd 1085 (WTB 1999). </w:t>
      </w:r>
    </w:p>
  </w:footnote>
  <w:footnote w:id="182">
    <w:p w14:paraId="42C7D5DF"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“Phase II 220 MHz Service Spectrum Auction Closes,” </w:t>
      </w:r>
      <w:r w:rsidRPr="005968CD">
        <w:rPr>
          <w:i/>
        </w:rPr>
        <w:t>Public Notice</w:t>
      </w:r>
      <w:r w:rsidRPr="005968CD">
        <w:t xml:space="preserve">, 14 FCC Rcd 11218 (WTB 1999). </w:t>
      </w:r>
    </w:p>
  </w:footnote>
  <w:footnote w:id="183">
    <w:p w14:paraId="07649D3D"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 xml:space="preserve">See </w:t>
      </w:r>
      <w:r w:rsidRPr="005968CD">
        <w:t xml:space="preserve">“Multi-Radio Service Auction Closes,” </w:t>
      </w:r>
      <w:r w:rsidRPr="005968CD">
        <w:rPr>
          <w:i/>
        </w:rPr>
        <w:t>Public Notice</w:t>
      </w:r>
      <w:r w:rsidRPr="005968CD">
        <w:t>, 17 FCC Rcd 1446 (WTB 2002).</w:t>
      </w:r>
    </w:p>
  </w:footnote>
  <w:footnote w:id="184">
    <w:p w14:paraId="39F0DCBE"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“Auction of Phase II 220 MHz Service Spectrum Scheduled for June 20, 2007, Notice and Filing Requirements, Minimum Opening Bids, Upfront Payments and Other Procedures for Auction 72, </w:t>
      </w:r>
      <w:r w:rsidRPr="005968CD">
        <w:rPr>
          <w:i/>
        </w:rPr>
        <w:t xml:space="preserve">Public Notice, </w:t>
      </w:r>
      <w:r w:rsidRPr="005968CD">
        <w:t>22 FCC Rcd 3404 (2007).</w:t>
      </w:r>
    </w:p>
  </w:footnote>
  <w:footnote w:id="185">
    <w:p w14:paraId="6851259C"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“Auction of Phase II 220 MHz Service Spectrum Licenses Closes, Winning Bidders Announced for Auction 72, Down Payments due July 18, 2007, FCC Forms 601 and 602 due July 18, 2007, Final Payments due August 1, 2007, Ten-Day Petition to Deny Period, </w:t>
      </w:r>
      <w:r w:rsidRPr="005968CD">
        <w:rPr>
          <w:i/>
        </w:rPr>
        <w:t>Public Notice,</w:t>
      </w:r>
      <w:r w:rsidRPr="005968CD">
        <w:t xml:space="preserve"> 22 FCC Rcd 11573 (2007).</w:t>
      </w:r>
    </w:p>
  </w:footnote>
  <w:footnote w:id="186">
    <w:p w14:paraId="0C1CC18B" w14:textId="77777777" w:rsidR="003C0902" w:rsidRPr="005968CD" w:rsidRDefault="003C0902" w:rsidP="003C0902">
      <w:pPr>
        <w:pStyle w:val="FootnoteText"/>
      </w:pPr>
      <w:r w:rsidRPr="005968CD">
        <w:rPr>
          <w:rStyle w:val="FootnoteReference"/>
        </w:rPr>
        <w:footnoteRef/>
      </w:r>
      <w:r w:rsidRPr="005968CD">
        <w:t xml:space="preserve"> Service Rules for the 746-764 MHz Bands, and Revisions to Part 27 of the Commission’s Rules, </w:t>
      </w:r>
      <w:r w:rsidRPr="005968CD">
        <w:rPr>
          <w:i/>
        </w:rPr>
        <w:t>Second Report and Order</w:t>
      </w:r>
      <w:r w:rsidRPr="005968CD">
        <w:t xml:space="preserve">, 15 FCC Rcd 5299 (2000).  Service rules were amended in 2007, but no changes were made to small business size categories.  </w:t>
      </w:r>
      <w:r w:rsidRPr="005968CD">
        <w:rPr>
          <w:i/>
        </w:rPr>
        <w:t xml:space="preserve">See </w:t>
      </w:r>
      <w:r w:rsidRPr="005968CD">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5968CD">
        <w:rPr>
          <w:i/>
          <w:snapToGrid w:val="0"/>
        </w:rPr>
        <w:t>Report and Order and Further Notice of Proposed Rulemaking</w:t>
      </w:r>
      <w:r w:rsidRPr="005968CD">
        <w:rPr>
          <w:snapToGrid w:val="0"/>
        </w:rPr>
        <w:t>, 22 FCC Rcd 8064 (2007).</w:t>
      </w:r>
    </w:p>
  </w:footnote>
  <w:footnote w:id="187">
    <w:p w14:paraId="4639AC3D"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 at 5343 ¶ 108.</w:t>
      </w:r>
    </w:p>
  </w:footnote>
  <w:footnote w:id="188">
    <w:p w14:paraId="2D918996"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 xml:space="preserve">. </w:t>
      </w:r>
    </w:p>
  </w:footnote>
  <w:footnote w:id="189">
    <w:p w14:paraId="435808C6"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Id</w:t>
      </w:r>
      <w:r w:rsidRPr="005968CD">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190">
    <w:p w14:paraId="23556022" w14:textId="77777777" w:rsidR="003C0902" w:rsidRPr="000C0DD9" w:rsidRDefault="003C0902" w:rsidP="003C0902">
      <w:pPr>
        <w:pStyle w:val="FootnoteText"/>
        <w:rPr>
          <w:rStyle w:val="Footnote"/>
          <w:kern w:val="28"/>
          <w:sz w:val="22"/>
        </w:rPr>
      </w:pPr>
      <w:r w:rsidRPr="005968CD">
        <w:rPr>
          <w:rStyle w:val="Footnote"/>
          <w:vertAlign w:val="superscript"/>
        </w:rPr>
        <w:footnoteRef/>
      </w:r>
      <w:r w:rsidRPr="005968CD">
        <w:rPr>
          <w:rStyle w:val="Footnote"/>
          <w:i/>
        </w:rPr>
        <w:t xml:space="preserve"> See</w:t>
      </w:r>
      <w:r w:rsidRPr="005968CD">
        <w:rPr>
          <w:rStyle w:val="Footnote"/>
        </w:rPr>
        <w:t xml:space="preserve"> “700 MHz Guard Bands Auction Closes:  Winning Bidders Announced,” </w:t>
      </w:r>
      <w:r w:rsidRPr="005968CD">
        <w:rPr>
          <w:rStyle w:val="Footnote"/>
          <w:i/>
        </w:rPr>
        <w:t>Public Notice</w:t>
      </w:r>
      <w:r w:rsidRPr="005968CD">
        <w:rPr>
          <w:rStyle w:val="Footnote"/>
        </w:rPr>
        <w:t>, 15 FCC Rcd 18026 (2000).</w:t>
      </w:r>
    </w:p>
  </w:footnote>
  <w:footnote w:id="191">
    <w:p w14:paraId="1D55C7C7" w14:textId="77777777" w:rsidR="003C0902" w:rsidRPr="000C0DD9" w:rsidRDefault="003C0902" w:rsidP="003C0902">
      <w:pPr>
        <w:pStyle w:val="FootnoteText"/>
        <w:tabs>
          <w:tab w:val="left" w:pos="1080"/>
        </w:tabs>
        <w:rPr>
          <w:rStyle w:val="Footnote"/>
          <w:kern w:val="28"/>
          <w:sz w:val="22"/>
        </w:rPr>
      </w:pPr>
      <w:r w:rsidRPr="005968CD">
        <w:rPr>
          <w:rStyle w:val="Footnote"/>
          <w:vertAlign w:val="superscript"/>
        </w:rPr>
        <w:footnoteRef/>
      </w:r>
      <w:r w:rsidRPr="005968CD">
        <w:rPr>
          <w:rStyle w:val="Footnote"/>
        </w:rPr>
        <w:t xml:space="preserve"> </w:t>
      </w:r>
      <w:r w:rsidRPr="005968CD">
        <w:rPr>
          <w:rStyle w:val="Footnote"/>
          <w:i/>
        </w:rPr>
        <w:t>See</w:t>
      </w:r>
      <w:r w:rsidRPr="005968CD">
        <w:rPr>
          <w:rStyle w:val="Footnote"/>
        </w:rPr>
        <w:t xml:space="preserve"> “700 MHz Guard Bands Auction Closes: Winning Bidders Announced,” </w:t>
      </w:r>
      <w:r w:rsidRPr="005968CD">
        <w:rPr>
          <w:rStyle w:val="Footnote"/>
          <w:i/>
        </w:rPr>
        <w:t>Public Notice</w:t>
      </w:r>
      <w:r w:rsidRPr="005968CD">
        <w:rPr>
          <w:rStyle w:val="Footnote"/>
        </w:rPr>
        <w:t>, 16 FCC Rcd 4590 (WTB 2001).</w:t>
      </w:r>
    </w:p>
  </w:footnote>
  <w:footnote w:id="192">
    <w:p w14:paraId="7EDDE572"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700 MHz Second Report and Order</w:t>
      </w:r>
      <w:r w:rsidRPr="005968CD">
        <w:t>, 22 FCC Rcd 15289.</w:t>
      </w:r>
    </w:p>
  </w:footnote>
  <w:footnote w:id="193">
    <w:p w14:paraId="21B8438C"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Auction of 700 MHz Band Licenses Closes</w:t>
      </w:r>
      <w:r w:rsidRPr="005968CD">
        <w:rPr>
          <w:rStyle w:val="FootnoteTextCharCharCharChar3CharCharChar1"/>
        </w:rPr>
        <w:t xml:space="preserve">, </w:t>
      </w:r>
      <w:r w:rsidRPr="005968CD">
        <w:rPr>
          <w:rStyle w:val="FootnoteTextCharCharCharChar3CharCharChar1"/>
          <w:i/>
        </w:rPr>
        <w:t>Public Notice</w:t>
      </w:r>
      <w:r w:rsidRPr="005968CD">
        <w:rPr>
          <w:rStyle w:val="FootnoteTextCharCharCharChar3CharCharChar1"/>
        </w:rPr>
        <w:t>, 23 FCC Rcd 4572 (WTB 2008).</w:t>
      </w:r>
    </w:p>
  </w:footnote>
  <w:footnote w:id="194">
    <w:p w14:paraId="35041260"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w:t>
      </w:r>
      <w:r w:rsidRPr="005968CD">
        <w:t xml:space="preserve"> Reallocation and Service Rules for the 698</w:t>
      </w:r>
      <w:r w:rsidRPr="005968CD">
        <w:rPr>
          <w:rStyle w:val="Footnote"/>
        </w:rPr>
        <w:t>–</w:t>
      </w:r>
      <w:r w:rsidRPr="005968CD">
        <w:t>746 MHz Spectrum Band (Television Channels 52</w:t>
      </w:r>
      <w:r w:rsidRPr="005968CD">
        <w:rPr>
          <w:rStyle w:val="Footnote"/>
        </w:rPr>
        <w:t>–</w:t>
      </w:r>
      <w:r w:rsidRPr="005968CD">
        <w:t xml:space="preserve">59), </w:t>
      </w:r>
      <w:r w:rsidRPr="005968CD">
        <w:rPr>
          <w:i/>
        </w:rPr>
        <w:t>Report and Order</w:t>
      </w:r>
      <w:r w:rsidRPr="005968CD">
        <w:t>, 17 FCC Rcd 1022 (2002) (</w:t>
      </w:r>
      <w:r w:rsidRPr="005968CD">
        <w:rPr>
          <w:i/>
        </w:rPr>
        <w:t>Channels 52</w:t>
      </w:r>
      <w:r w:rsidRPr="005968CD">
        <w:rPr>
          <w:rStyle w:val="Footnote"/>
        </w:rPr>
        <w:t>–</w:t>
      </w:r>
      <w:r w:rsidRPr="005968CD">
        <w:rPr>
          <w:i/>
        </w:rPr>
        <w:t>59 Report and Order</w:t>
      </w:r>
      <w:r w:rsidRPr="005968CD">
        <w:t>).</w:t>
      </w:r>
    </w:p>
  </w:footnote>
  <w:footnote w:id="195">
    <w:p w14:paraId="7841AF69"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w:t>
      </w:r>
      <w:r w:rsidRPr="005968CD">
        <w:t xml:space="preserve"> </w:t>
      </w:r>
      <w:r w:rsidRPr="005968CD">
        <w:rPr>
          <w:i/>
        </w:rPr>
        <w:t>id.</w:t>
      </w:r>
      <w:r w:rsidRPr="005968CD">
        <w:t>, 17 FCC Rcd at 1087</w:t>
      </w:r>
      <w:r w:rsidRPr="005968CD">
        <w:rPr>
          <w:rStyle w:val="Footnote"/>
        </w:rPr>
        <w:t>–</w:t>
      </w:r>
      <w:r w:rsidRPr="005968CD">
        <w:t>88 ¶ 172.</w:t>
      </w:r>
    </w:p>
  </w:footnote>
  <w:footnote w:id="196">
    <w:p w14:paraId="0AF33460"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w:t>
      </w:r>
      <w:r w:rsidRPr="005968CD">
        <w:t xml:space="preserve"> </w:t>
      </w:r>
      <w:r w:rsidRPr="005968CD">
        <w:rPr>
          <w:i/>
        </w:rPr>
        <w:t>id</w:t>
      </w:r>
      <w:r w:rsidRPr="005968CD">
        <w:t>.</w:t>
      </w:r>
    </w:p>
  </w:footnote>
  <w:footnote w:id="197">
    <w:p w14:paraId="2F2D09A3"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w:t>
      </w:r>
      <w:r w:rsidRPr="005968CD">
        <w:t xml:space="preserve"> </w:t>
      </w:r>
      <w:r w:rsidRPr="005968CD">
        <w:rPr>
          <w:i/>
        </w:rPr>
        <w:t>id.</w:t>
      </w:r>
      <w:r w:rsidRPr="005968CD">
        <w:t>, 17 FCC Rcd at 1088 ¶ 173.</w:t>
      </w:r>
    </w:p>
  </w:footnote>
  <w:footnote w:id="198">
    <w:p w14:paraId="6DD785FB"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w:t>
      </w:r>
      <w:r w:rsidRPr="005968CD">
        <w:t xml:space="preserve"> </w:t>
      </w:r>
      <w:r w:rsidRPr="005968CD">
        <w:rPr>
          <w:rStyle w:val="Footnote"/>
          <w:i/>
        </w:rPr>
        <w:t>Alvarez Letter 1998</w:t>
      </w:r>
      <w:r w:rsidRPr="005968CD">
        <w:rPr>
          <w:rStyle w:val="Footnote"/>
        </w:rPr>
        <w:t>.</w:t>
      </w:r>
    </w:p>
  </w:footnote>
  <w:footnote w:id="199">
    <w:p w14:paraId="003BF13D" w14:textId="77777777" w:rsidR="003C0902" w:rsidRPr="005968CD" w:rsidRDefault="003C0902" w:rsidP="003C0902">
      <w:pPr>
        <w:pStyle w:val="FootnoteText"/>
      </w:pPr>
      <w:r w:rsidRPr="005968CD">
        <w:rPr>
          <w:vertAlign w:val="superscript"/>
        </w:rPr>
        <w:footnoteRef/>
      </w:r>
      <w:r w:rsidRPr="005968CD">
        <w:t xml:space="preserve"> Lower 700 MHz Band Auction Closes, </w:t>
      </w:r>
      <w:r w:rsidRPr="005968CD">
        <w:rPr>
          <w:i/>
        </w:rPr>
        <w:t>Public Notice</w:t>
      </w:r>
      <w:r w:rsidRPr="005968CD">
        <w:t>, 17 FCC Rcd 17272 (2002).</w:t>
      </w:r>
    </w:p>
  </w:footnote>
  <w:footnote w:id="200">
    <w:p w14:paraId="16A258CD" w14:textId="77777777" w:rsidR="003C0902" w:rsidRPr="005968CD" w:rsidRDefault="003C0902" w:rsidP="003C0902">
      <w:pPr>
        <w:pStyle w:val="FootnoteText"/>
      </w:pPr>
      <w:r w:rsidRPr="005968CD">
        <w:rPr>
          <w:vertAlign w:val="superscript"/>
        </w:rPr>
        <w:footnoteRef/>
      </w:r>
      <w:r w:rsidRPr="005968CD">
        <w:t xml:space="preserve"> Lower 700 MHz Band Auction Closes, </w:t>
      </w:r>
      <w:r w:rsidRPr="005968CD">
        <w:rPr>
          <w:i/>
        </w:rPr>
        <w:t>Public Notice</w:t>
      </w:r>
      <w:r w:rsidRPr="005968CD">
        <w:t>, 18 FCC Rcd 11873 (2003).</w:t>
      </w:r>
    </w:p>
  </w:footnote>
  <w:footnote w:id="201">
    <w:p w14:paraId="6D356752" w14:textId="77777777" w:rsidR="003C0902" w:rsidRPr="005968CD" w:rsidRDefault="003C0902" w:rsidP="003C0902">
      <w:pPr>
        <w:pStyle w:val="FootnoteText"/>
      </w:pPr>
      <w:r w:rsidRPr="005968CD">
        <w:rPr>
          <w:vertAlign w:val="superscript"/>
        </w:rPr>
        <w:footnoteRef/>
      </w:r>
      <w:r w:rsidRPr="005968CD">
        <w:t xml:space="preserve"> </w:t>
      </w:r>
      <w:r w:rsidRPr="005968CD">
        <w:rPr>
          <w:i/>
        </w:rPr>
        <w:t>See id.</w:t>
      </w:r>
    </w:p>
  </w:footnote>
  <w:footnote w:id="202">
    <w:p w14:paraId="34C99B7F" w14:textId="77777777" w:rsidR="003C0902" w:rsidRPr="005968CD" w:rsidRDefault="003C0902" w:rsidP="003C0902">
      <w:pPr>
        <w:pStyle w:val="FootnoteText"/>
      </w:pPr>
      <w:r w:rsidRPr="005968CD">
        <w:rPr>
          <w:rStyle w:val="FootnoteReference"/>
        </w:rPr>
        <w:footnoteRef/>
      </w:r>
      <w:r w:rsidRPr="005968CD">
        <w:t xml:space="preserve"> </w:t>
      </w:r>
      <w:r w:rsidRPr="005968CD">
        <w:rPr>
          <w:iCs/>
        </w:rPr>
        <w:t>700 MHz Second Report and Order</w:t>
      </w:r>
      <w:r w:rsidRPr="005968CD">
        <w:t xml:space="preserve">, </w:t>
      </w:r>
      <w:r w:rsidRPr="005968CD">
        <w:rPr>
          <w:i/>
        </w:rPr>
        <w:t>Second Report and Order</w:t>
      </w:r>
      <w:r w:rsidRPr="005968CD">
        <w:t>, 22 FCC Rcd 15289, 15359 n.434 (2007).</w:t>
      </w:r>
    </w:p>
  </w:footnote>
  <w:footnote w:id="203">
    <w:p w14:paraId="355F39F8" w14:textId="77777777" w:rsidR="003C0902" w:rsidRPr="005968CD" w:rsidRDefault="003C0902" w:rsidP="003C0902">
      <w:pPr>
        <w:pStyle w:val="FootnoteText"/>
      </w:pPr>
      <w:r w:rsidRPr="005968CD">
        <w:rPr>
          <w:rStyle w:val="FootnoteReference"/>
        </w:rPr>
        <w:footnoteRef/>
      </w:r>
      <w:r w:rsidRPr="005968CD">
        <w:t xml:space="preserve"> Auction of 700 MHz Band Licenses Closes</w:t>
      </w:r>
      <w:r w:rsidRPr="005968CD">
        <w:rPr>
          <w:rStyle w:val="FootnoteTextCharCharCharChar3CharCharChar1"/>
        </w:rPr>
        <w:t xml:space="preserve">, </w:t>
      </w:r>
      <w:r w:rsidRPr="005968CD">
        <w:rPr>
          <w:rStyle w:val="FootnoteTextCharCharCharChar3CharCharChar1"/>
          <w:i/>
        </w:rPr>
        <w:t>Public Notice</w:t>
      </w:r>
      <w:r w:rsidRPr="005968CD">
        <w:rPr>
          <w:rStyle w:val="FootnoteTextCharCharCharChar3CharCharChar1"/>
        </w:rPr>
        <w:t>, 23 FCC Rcd 4572 (2008).</w:t>
      </w:r>
    </w:p>
  </w:footnote>
  <w:footnote w:id="204">
    <w:p w14:paraId="213FA8FA" w14:textId="77777777" w:rsidR="003C0902" w:rsidRPr="005968CD" w:rsidRDefault="003C0902" w:rsidP="003C0902">
      <w:pPr>
        <w:pStyle w:val="FootnoteText"/>
      </w:pPr>
      <w:r w:rsidRPr="005968CD">
        <w:rPr>
          <w:rStyle w:val="FootnoteReference"/>
        </w:rPr>
        <w:footnoteRef/>
      </w:r>
      <w:r w:rsidRPr="005968CD">
        <w:t xml:space="preserve"> This service is governed by Subpart I of Part 22 of the Commission’s Rules.  </w:t>
      </w:r>
      <w:r w:rsidRPr="005968CD">
        <w:rPr>
          <w:i/>
        </w:rPr>
        <w:t>See</w:t>
      </w:r>
      <w:r w:rsidRPr="005968CD">
        <w:t xml:space="preserve"> 47 C.F.R. §§ 22.1001-22.1037.</w:t>
      </w:r>
    </w:p>
  </w:footnote>
  <w:footnote w:id="205">
    <w:p w14:paraId="2242360B" w14:textId="77777777" w:rsidR="003C0902" w:rsidRPr="005968CD" w:rsidRDefault="003C0902" w:rsidP="003C0902">
      <w:pPr>
        <w:pStyle w:val="FootnoteText"/>
        <w:rPr>
          <w:lang w:val="fr-FR"/>
        </w:rPr>
      </w:pPr>
      <w:r w:rsidRPr="005968CD">
        <w:rPr>
          <w:rStyle w:val="FootnoteReference"/>
        </w:rPr>
        <w:footnoteRef/>
      </w:r>
      <w:r w:rsidRPr="005968CD">
        <w:rPr>
          <w:lang w:val="fr-FR"/>
        </w:rPr>
        <w:t xml:space="preserve"> 13 C.F.R. § 121.201, NAICS code 517210.</w:t>
      </w:r>
    </w:p>
  </w:footnote>
  <w:footnote w:id="206">
    <w:p w14:paraId="612018D0" w14:textId="77777777" w:rsidR="003C0902" w:rsidRPr="005968CD" w:rsidRDefault="003C0902" w:rsidP="003C0902">
      <w:pPr>
        <w:pStyle w:val="FootnoteText"/>
        <w:rPr>
          <w:lang w:val="fr-FR"/>
        </w:rPr>
      </w:pPr>
      <w:r w:rsidRPr="005968CD">
        <w:rPr>
          <w:rStyle w:val="FootnoteReference"/>
        </w:rPr>
        <w:footnoteRef/>
      </w:r>
      <w:r w:rsidRPr="005968CD">
        <w:rPr>
          <w:lang w:val="fr-FR"/>
        </w:rPr>
        <w:t xml:space="preserve"> </w:t>
      </w:r>
      <w:r w:rsidRPr="005968CD">
        <w:rPr>
          <w:i/>
          <w:lang w:val="fr-FR"/>
        </w:rPr>
        <w:t>Id</w:t>
      </w:r>
      <w:r w:rsidRPr="005968CD">
        <w:rPr>
          <w:lang w:val="fr-FR"/>
        </w:rPr>
        <w:t xml:space="preserve">. </w:t>
      </w:r>
    </w:p>
  </w:footnote>
  <w:footnote w:id="207">
    <w:p w14:paraId="2764D515" w14:textId="77777777" w:rsidR="003C0902" w:rsidRPr="005968CD" w:rsidRDefault="003C0902" w:rsidP="003C0902">
      <w:pPr>
        <w:spacing w:after="120"/>
        <w:rPr>
          <w:sz w:val="20"/>
          <w:lang w:val="fr-FR"/>
        </w:rPr>
      </w:pPr>
      <w:r w:rsidRPr="005968CD">
        <w:rPr>
          <w:rStyle w:val="FootnoteReference"/>
        </w:rPr>
        <w:footnoteRef/>
      </w:r>
      <w:r w:rsidRPr="005968CD">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208">
    <w:p w14:paraId="624F4139" w14:textId="77777777" w:rsidR="003C0902" w:rsidRPr="005968CD" w:rsidRDefault="003C0902" w:rsidP="003C0902">
      <w:pPr>
        <w:pStyle w:val="FootnoteText"/>
        <w:rPr>
          <w:lang w:val="fr-FR"/>
        </w:rPr>
      </w:pPr>
      <w:r w:rsidRPr="005968CD">
        <w:rPr>
          <w:rStyle w:val="Footnote"/>
          <w:vertAlign w:val="superscript"/>
        </w:rPr>
        <w:footnoteRef/>
      </w:r>
      <w:r w:rsidRPr="005968CD">
        <w:rPr>
          <w:rStyle w:val="Footnote"/>
          <w:lang w:val="fr-FR"/>
        </w:rPr>
        <w:t xml:space="preserve"> 13 C.F.R. § 121.201, NAICS code 517210.</w:t>
      </w:r>
    </w:p>
  </w:footnote>
  <w:footnote w:id="209">
    <w:p w14:paraId="15860333"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Id</w:t>
      </w:r>
      <w:r w:rsidRPr="005968CD">
        <w:rPr>
          <w:rStyle w:val="Footnote"/>
        </w:rPr>
        <w:t>.</w:t>
      </w:r>
    </w:p>
  </w:footnote>
  <w:footnote w:id="210">
    <w:p w14:paraId="513566AF"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smallCaps/>
        </w:rPr>
        <w:t>Trends in Telephone Service</w:t>
      </w:r>
      <w:r w:rsidRPr="005968CD">
        <w:rPr>
          <w:rStyle w:val="Footnote"/>
        </w:rPr>
        <w:t>, tbl. 5.3.</w:t>
      </w:r>
    </w:p>
  </w:footnote>
  <w:footnote w:id="211">
    <w:p w14:paraId="08B13965" w14:textId="77777777" w:rsidR="003C0902" w:rsidRPr="005968CD" w:rsidRDefault="003C0902" w:rsidP="003C0902">
      <w:pPr>
        <w:pStyle w:val="FootnoteText"/>
      </w:pPr>
      <w:r w:rsidRPr="005968CD">
        <w:rPr>
          <w:rStyle w:val="Footnote"/>
          <w:vertAlign w:val="superscript"/>
        </w:rPr>
        <w:footnoteRef/>
      </w:r>
      <w:r w:rsidRPr="005968CD">
        <w:rPr>
          <w:rStyle w:val="Footnote"/>
        </w:rPr>
        <w:t xml:space="preserve"> </w:t>
      </w:r>
      <w:r w:rsidRPr="005968CD">
        <w:rPr>
          <w:rStyle w:val="Footnote"/>
          <w:i/>
        </w:rPr>
        <w:t>Id.</w:t>
      </w:r>
    </w:p>
  </w:footnote>
  <w:footnote w:id="212">
    <w:p w14:paraId="11F387CC" w14:textId="77777777" w:rsidR="003C0902" w:rsidRPr="005968CD" w:rsidRDefault="003C0902" w:rsidP="003C0902">
      <w:pPr>
        <w:pStyle w:val="FootnoteText"/>
        <w:rPr>
          <w:lang w:val="fr-FR"/>
        </w:rPr>
      </w:pPr>
      <w:r w:rsidRPr="005968CD">
        <w:rPr>
          <w:rStyle w:val="FootnoteReference"/>
        </w:rPr>
        <w:footnoteRef/>
      </w:r>
      <w:r w:rsidRPr="005968CD">
        <w:rPr>
          <w:lang w:val="fr-FR"/>
        </w:rPr>
        <w:t xml:space="preserve"> 13 C.F.R. § 121.201, NAICS code 517410.</w:t>
      </w:r>
    </w:p>
  </w:footnote>
  <w:footnote w:id="213">
    <w:p w14:paraId="46AD681D" w14:textId="77777777" w:rsidR="003C0902" w:rsidRPr="005968CD" w:rsidRDefault="003C0902" w:rsidP="003C0902">
      <w:pPr>
        <w:pStyle w:val="FootnoteText"/>
        <w:rPr>
          <w:lang w:val="fr-FR"/>
        </w:rPr>
      </w:pPr>
      <w:r w:rsidRPr="005968CD">
        <w:rPr>
          <w:rStyle w:val="FootnoteReference"/>
        </w:rPr>
        <w:footnoteRef/>
      </w:r>
      <w:r w:rsidRPr="005968CD">
        <w:rPr>
          <w:lang w:val="fr-FR"/>
        </w:rPr>
        <w:t xml:space="preserve"> 13 C.F.R. § 121.201, NAICS code 517919.</w:t>
      </w:r>
    </w:p>
  </w:footnote>
  <w:footnote w:id="214">
    <w:p w14:paraId="057FF38F" w14:textId="77777777" w:rsidR="003C0902" w:rsidRPr="005968CD" w:rsidRDefault="003C0902" w:rsidP="003C0902">
      <w:pPr>
        <w:pStyle w:val="FootnoteText"/>
        <w:rPr>
          <w:lang w:val="fr-FR"/>
        </w:rPr>
      </w:pPr>
      <w:r w:rsidRPr="005968CD">
        <w:rPr>
          <w:rStyle w:val="FootnoteReference"/>
        </w:rPr>
        <w:footnoteRef/>
      </w:r>
      <w:r w:rsidRPr="005968CD">
        <w:rPr>
          <w:lang w:val="fr-FR"/>
        </w:rPr>
        <w:t xml:space="preserve"> U.S. Census Bureau, 2007 NAICS Definitions, “517410 Satellite Telecommunications.”</w:t>
      </w:r>
    </w:p>
  </w:footnote>
  <w:footnote w:id="215">
    <w:p w14:paraId="18AF7251" w14:textId="77777777" w:rsidR="003C0902" w:rsidRPr="005968CD" w:rsidRDefault="003C0902" w:rsidP="003C0902">
      <w:pPr>
        <w:pStyle w:val="FootnoteText"/>
      </w:pPr>
      <w:r w:rsidRPr="005968CD">
        <w:rPr>
          <w:rStyle w:val="FootnoteReference"/>
        </w:rPr>
        <w:footnoteRef/>
      </w:r>
      <w:r w:rsidRPr="005968CD">
        <w:t xml:space="preserve"> </w:t>
      </w:r>
      <w:r w:rsidRPr="005968CD">
        <w:rPr>
          <w:i/>
        </w:rPr>
        <w:t>See</w:t>
      </w:r>
      <w:r w:rsidRPr="005968CD">
        <w:t xml:space="preserve"> http://factfinder.census.gov/servlet/IBQTable?_bm=y&amp;-geo_id=&amp;-_skip=900&amp;-ds_name=EC0751SSSZ4&amp;-_lang=en. </w:t>
      </w:r>
    </w:p>
  </w:footnote>
  <w:footnote w:id="216">
    <w:p w14:paraId="1DC15E33" w14:textId="77777777" w:rsidR="003C0902" w:rsidRPr="005968CD" w:rsidRDefault="003C0902" w:rsidP="003C0902">
      <w:pPr>
        <w:pStyle w:val="FootnoteText"/>
      </w:pPr>
      <w:r w:rsidRPr="005968CD">
        <w:rPr>
          <w:rStyle w:val="FootnoteReference"/>
        </w:rPr>
        <w:footnoteRef/>
      </w:r>
      <w:r w:rsidRPr="005968CD">
        <w:t xml:space="preserve"> http://factfinder.census.gov/servlet/IBQTable?_bm=y&amp;-geo_id=&amp;-_skip=900&amp;-ds_name=EC0751SSSZ4&amp;-_lang=en.</w:t>
      </w:r>
    </w:p>
  </w:footnote>
  <w:footnote w:id="217">
    <w:p w14:paraId="1E479D07" w14:textId="77777777" w:rsidR="003C0902" w:rsidRPr="00FC46EA" w:rsidRDefault="003C0902" w:rsidP="003C0902">
      <w:pPr>
        <w:pStyle w:val="FootnoteText"/>
      </w:pPr>
      <w:r w:rsidRPr="00FC46EA">
        <w:rPr>
          <w:rStyle w:val="FootnoteReference"/>
        </w:rPr>
        <w:footnoteRef/>
      </w:r>
      <w:r w:rsidRPr="00FC46EA">
        <w:t xml:space="preserve"> </w:t>
      </w:r>
      <w:r w:rsidRPr="000C0DD9">
        <w:t>http://www.census.gov/cgi-bin/sssd/naics/naicsrch?code=517919&amp;search=2007%20NAICS%20Search</w:t>
      </w:r>
      <w:r w:rsidRPr="00FC46EA">
        <w:t>.</w:t>
      </w:r>
    </w:p>
  </w:footnote>
  <w:footnote w:id="218">
    <w:p w14:paraId="3C5FC87F" w14:textId="77777777" w:rsidR="003C0902" w:rsidRPr="005968CD" w:rsidRDefault="003C0902" w:rsidP="003C0902">
      <w:pPr>
        <w:pStyle w:val="FootnoteText"/>
      </w:pPr>
      <w:r w:rsidRPr="005968CD">
        <w:rPr>
          <w:rStyle w:val="FootnoteReference"/>
        </w:rPr>
        <w:footnoteRef/>
      </w:r>
      <w:r w:rsidRPr="005968CD">
        <w:t xml:space="preserve"> U.S. Census, http://factfinder.census.gov/servlet/IBQTable?_bm=y&amp;-geo_id=&amp;-_skip=900&amp;-ds_name=EC0751SSSZ4&amp;-_lang=en.</w:t>
      </w:r>
    </w:p>
  </w:footnote>
  <w:footnote w:id="219">
    <w:p w14:paraId="419B7765" w14:textId="77777777" w:rsidR="003C0902" w:rsidRPr="005968CD" w:rsidRDefault="003C0902" w:rsidP="003C0902">
      <w:pPr>
        <w:pStyle w:val="FootnoteText"/>
      </w:pPr>
      <w:r w:rsidRPr="005968CD">
        <w:rPr>
          <w:rStyle w:val="FootnoteReference"/>
        </w:rPr>
        <w:footnoteRef/>
      </w:r>
      <w:r w:rsidRPr="005968CD">
        <w:t xml:space="preserve">  http://factfinder.census.gov/servlet/IBQTable?_bm=y&amp;-geo_id=&amp;-_skip=900&amp;-ds_name=EC0751SSSZ4&amp;-_lang=en.</w:t>
      </w:r>
    </w:p>
  </w:footnote>
  <w:footnote w:id="220">
    <w:p w14:paraId="04402D92" w14:textId="77777777" w:rsidR="003C0902" w:rsidRPr="005968CD" w:rsidRDefault="003C0902" w:rsidP="003C0902">
      <w:pPr>
        <w:pStyle w:val="FootnoteText"/>
      </w:pPr>
      <w:r w:rsidRPr="005968CD">
        <w:rPr>
          <w:rStyle w:val="FootnoteReference"/>
        </w:rPr>
        <w:footnoteRef/>
      </w:r>
      <w:r w:rsidRPr="005968CD">
        <w:t xml:space="preserve"> The NAICS Code for this service 334220. See 13 C.F.R 121/201. See also http://factfinder.census.gov/servlet/IBQTable?_bm=y&amp;-fds_name=EC0700A1&amp;-geo_id=&amp;-_skip=300&amp;-ds_name=EC0731SG2&amp;-_lang=en.</w:t>
      </w:r>
    </w:p>
  </w:footnote>
  <w:footnote w:id="221">
    <w:p w14:paraId="2D20DF48" w14:textId="77777777" w:rsidR="003C0902" w:rsidRPr="005968CD" w:rsidRDefault="003C0902" w:rsidP="003C0902">
      <w:pPr>
        <w:pStyle w:val="FootnoteText"/>
      </w:pPr>
      <w:r w:rsidRPr="005968CD">
        <w:rPr>
          <w:rStyle w:val="FootnoteReference"/>
        </w:rPr>
        <w:footnoteRef/>
      </w:r>
      <w:r w:rsidRPr="005968CD">
        <w:t xml:space="preserve"> U.S. Census Bureau, 2007 Economic Census, Industry Series:  Manufacturing, “Semiconductor and Related Device Manufacturing ,” NAICS code 334413.</w:t>
      </w:r>
    </w:p>
  </w:footnote>
  <w:footnote w:id="222">
    <w:p w14:paraId="61228B32" w14:textId="77777777" w:rsidR="003C0902" w:rsidRPr="005968CD" w:rsidRDefault="003C0902" w:rsidP="003C0902">
      <w:pPr>
        <w:pStyle w:val="FootnoteText"/>
      </w:pPr>
      <w:r w:rsidRPr="005968CD">
        <w:rPr>
          <w:rStyle w:val="FootnoteReference"/>
        </w:rPr>
        <w:footnoteRef/>
      </w:r>
      <w:r w:rsidRPr="005968CD">
        <w:t xml:space="preserve"> http://factfinder.census.gov/servlet/IBQTable?_bm=y&amp;-geo_id=&amp;-_skip=300&amp;-ds_name=EC0731I1&amp;-_lang=en.</w:t>
      </w:r>
    </w:p>
  </w:footnote>
  <w:footnote w:id="223">
    <w:p w14:paraId="0542E64B" w14:textId="77777777" w:rsidR="003C0902" w:rsidRPr="005968CD" w:rsidRDefault="003C0902" w:rsidP="003C0902">
      <w:pPr>
        <w:pStyle w:val="FootnoteText"/>
      </w:pPr>
      <w:r w:rsidRPr="005968CD">
        <w:rPr>
          <w:rStyle w:val="FootnoteReference"/>
        </w:rPr>
        <w:footnoteRef/>
      </w:r>
      <w:r w:rsidRPr="005968CD">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598C" w14:textId="77777777" w:rsidR="0080216E" w:rsidRDefault="00802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DB43" w14:textId="77777777" w:rsidR="00FB4F8D" w:rsidRDefault="00FB4F8D" w:rsidP="00860AD8">
    <w:pPr>
      <w:pStyle w:val="Header"/>
    </w:pPr>
  </w:p>
  <w:p w14:paraId="4D378011" w14:textId="2E081A32" w:rsidR="00FB4F8D" w:rsidRDefault="00FB4F8D" w:rsidP="00860AD8">
    <w:pPr>
      <w:pStyle w:val="Header"/>
    </w:pPr>
    <w:r>
      <w:tab/>
      <w:t>Federal Communications Commission</w:t>
    </w:r>
    <w:r>
      <w:tab/>
      <w:t>FCC 15-43</w:t>
    </w:r>
  </w:p>
  <w:p w14:paraId="6538E723" w14:textId="77777777" w:rsidR="00FB4F8D" w:rsidRDefault="00FB4F8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6DB5C28A" wp14:editId="70F52CD4">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31AF02D2" w14:textId="77777777" w:rsidR="00FB4F8D" w:rsidRDefault="00FB4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14:paraId="31AF02D2" w14:textId="77777777" w:rsidR="00FB4F8D" w:rsidRDefault="00FB4F8D"/>
                </w:txbxContent>
              </v:textbox>
              <w10:wrap anchorx="margin"/>
            </v:rect>
          </w:pict>
        </mc:Fallback>
      </mc:AlternateContent>
    </w:r>
  </w:p>
  <w:p w14:paraId="5308172F" w14:textId="77777777" w:rsidR="00FB4F8D" w:rsidRDefault="00FB4F8D" w:rsidP="00860AD8">
    <w:pPr>
      <w:spacing w:after="389" w:line="1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345E" w14:textId="08F2E8A6" w:rsidR="00AC673F" w:rsidRDefault="00AC673F" w:rsidP="00955412">
    <w:pPr>
      <w:pStyle w:val="Header"/>
      <w:pBdr>
        <w:bottom w:val="single" w:sz="12" w:space="1" w:color="auto"/>
      </w:pBdr>
      <w:rPr>
        <w:b w:val="0"/>
      </w:rPr>
    </w:pPr>
    <w:r>
      <w:tab/>
      <w:t>Federal Communications Commission</w:t>
    </w:r>
    <w:r>
      <w:tab/>
    </w:r>
    <w:r>
      <w:rPr>
        <w:spacing w:val="-2"/>
      </w:rPr>
      <w:t>FCC 15-</w:t>
    </w:r>
    <w:r w:rsidR="00876C97">
      <w:rPr>
        <w:spacing w:val="-2"/>
      </w:rPr>
      <w:t>43</w:t>
    </w:r>
  </w:p>
  <w:p w14:paraId="1217C9E0" w14:textId="77777777" w:rsidR="00AC673F" w:rsidRPr="006F09BC" w:rsidRDefault="00AC673F" w:rsidP="00860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A23FE"/>
    <w:lvl w:ilvl="0">
      <w:start w:val="1"/>
      <w:numFmt w:val="decimal"/>
      <w:lvlText w:val="%1."/>
      <w:lvlJc w:val="left"/>
      <w:pPr>
        <w:tabs>
          <w:tab w:val="num" w:pos="1800"/>
        </w:tabs>
        <w:ind w:left="1800" w:hanging="360"/>
      </w:pPr>
    </w:lvl>
  </w:abstractNum>
  <w:abstractNum w:abstractNumId="1">
    <w:nsid w:val="FFFFFF7D"/>
    <w:multiLevelType w:val="singleLevel"/>
    <w:tmpl w:val="9A703022"/>
    <w:lvl w:ilvl="0">
      <w:start w:val="1"/>
      <w:numFmt w:val="decimal"/>
      <w:lvlText w:val="%1."/>
      <w:lvlJc w:val="left"/>
      <w:pPr>
        <w:tabs>
          <w:tab w:val="num" w:pos="1440"/>
        </w:tabs>
        <w:ind w:left="1440" w:hanging="360"/>
      </w:pPr>
    </w:lvl>
  </w:abstractNum>
  <w:abstractNum w:abstractNumId="2">
    <w:nsid w:val="FFFFFF7E"/>
    <w:multiLevelType w:val="singleLevel"/>
    <w:tmpl w:val="163A097E"/>
    <w:lvl w:ilvl="0">
      <w:start w:val="1"/>
      <w:numFmt w:val="decimal"/>
      <w:lvlText w:val="%1."/>
      <w:lvlJc w:val="left"/>
      <w:pPr>
        <w:tabs>
          <w:tab w:val="num" w:pos="1080"/>
        </w:tabs>
        <w:ind w:left="1080" w:hanging="360"/>
      </w:pPr>
    </w:lvl>
  </w:abstractNum>
  <w:abstractNum w:abstractNumId="3">
    <w:nsid w:val="FFFFFF7F"/>
    <w:multiLevelType w:val="singleLevel"/>
    <w:tmpl w:val="3C26DBE8"/>
    <w:lvl w:ilvl="0">
      <w:start w:val="1"/>
      <w:numFmt w:val="decimal"/>
      <w:lvlText w:val="%1."/>
      <w:lvlJc w:val="left"/>
      <w:pPr>
        <w:tabs>
          <w:tab w:val="num" w:pos="720"/>
        </w:tabs>
        <w:ind w:left="720" w:hanging="360"/>
      </w:pPr>
    </w:lvl>
  </w:abstractNum>
  <w:abstractNum w:abstractNumId="4">
    <w:nsid w:val="FFFFFF80"/>
    <w:multiLevelType w:val="singleLevel"/>
    <w:tmpl w:val="85FCB0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A499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085F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9896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6270D6"/>
    <w:lvl w:ilvl="0">
      <w:start w:val="1"/>
      <w:numFmt w:val="decimal"/>
      <w:lvlText w:val="%1."/>
      <w:lvlJc w:val="left"/>
      <w:pPr>
        <w:tabs>
          <w:tab w:val="num" w:pos="360"/>
        </w:tabs>
        <w:ind w:left="360" w:hanging="360"/>
      </w:pPr>
    </w:lvl>
  </w:abstractNum>
  <w:abstractNum w:abstractNumId="9">
    <w:nsid w:val="FFFFFF89"/>
    <w:multiLevelType w:val="singleLevel"/>
    <w:tmpl w:val="DF08E962"/>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09764278"/>
    <w:lvl w:ilvl="0">
      <w:start w:val="1"/>
      <w:numFmt w:val="decimal"/>
      <w:pStyle w:val="BodyText"/>
      <w:lvlText w:val="%1."/>
      <w:lvlJc w:val="left"/>
      <w:pPr>
        <w:tabs>
          <w:tab w:val="num" w:pos="1080"/>
        </w:tabs>
        <w:ind w:left="0" w:firstLine="720"/>
      </w:pPr>
      <w:rPr>
        <w:b w:val="0"/>
        <w:i w:val="0"/>
      </w:rPr>
    </w:lvl>
  </w:abstractNum>
  <w:abstractNum w:abstractNumId="1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62D254D"/>
    <w:multiLevelType w:val="hybridMultilevel"/>
    <w:tmpl w:val="98569DF0"/>
    <w:lvl w:ilvl="0" w:tplc="D51AF31A">
      <w:start w:val="4"/>
      <w:numFmt w:val="upperLetter"/>
      <w:lvlText w:val="%1."/>
      <w:lvlJc w:val="left"/>
      <w:pPr>
        <w:tabs>
          <w:tab w:val="num" w:pos="1440"/>
        </w:tabs>
        <w:ind w:left="1440" w:hanging="360"/>
      </w:pPr>
      <w:rPr>
        <w:rFonts w:cs="Times New Roman" w:hint="default"/>
        <w:b/>
      </w:rPr>
    </w:lvl>
    <w:lvl w:ilvl="1" w:tplc="FFFFFFFF">
      <w:start w:val="1"/>
      <w:numFmt w:val="lowerLetter"/>
      <w:lvlText w:val="%2."/>
      <w:lvlJc w:val="left"/>
      <w:pPr>
        <w:tabs>
          <w:tab w:val="num" w:pos="1440"/>
        </w:tabs>
        <w:ind w:left="1440" w:hanging="360"/>
      </w:pPr>
      <w:rPr>
        <w:rFonts w:cs="Times New Roman"/>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1F27764"/>
    <w:multiLevelType w:val="hybridMultilevel"/>
    <w:tmpl w:val="D4147DC4"/>
    <w:lvl w:ilvl="0" w:tplc="51B297CA">
      <w:start w:val="1"/>
      <w:numFmt w:val="decimal"/>
      <w:lvlText w:val="%1."/>
      <w:lvlJc w:val="left"/>
      <w:pPr>
        <w:tabs>
          <w:tab w:val="num" w:pos="720"/>
        </w:tabs>
        <w:ind w:left="720" w:hanging="360"/>
      </w:pPr>
      <w:rPr>
        <w:rFonts w:cs="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41241F"/>
    <w:multiLevelType w:val="singleLevel"/>
    <w:tmpl w:val="C50E2944"/>
    <w:lvl w:ilvl="0">
      <w:start w:val="3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7F0406EE"/>
    <w:multiLevelType w:val="hybridMultilevel"/>
    <w:tmpl w:val="749E4CE6"/>
    <w:lvl w:ilvl="0" w:tplc="04090001">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16"/>
  </w:num>
  <w:num w:numId="2">
    <w:abstractNumId w:val="10"/>
  </w:num>
  <w:num w:numId="3">
    <w:abstractNumId w:val="20"/>
  </w:num>
  <w:num w:numId="4">
    <w:abstractNumId w:val="21"/>
  </w:num>
  <w:num w:numId="5">
    <w:abstractNumId w:val="11"/>
  </w:num>
  <w:num w:numId="6">
    <w:abstractNumId w:val="22"/>
  </w:num>
  <w:num w:numId="7">
    <w:abstractNumId w:val="17"/>
  </w:num>
  <w:num w:numId="8">
    <w:abstractNumId w:val="12"/>
  </w:num>
  <w:num w:numId="9">
    <w:abstractNumId w:val="19"/>
  </w:num>
  <w:num w:numId="10">
    <w:abstractNumId w:val="21"/>
  </w:num>
  <w:num w:numId="11">
    <w:abstractNumId w:val="14"/>
  </w:num>
  <w:num w:numId="12">
    <w:abstractNumId w:val="18"/>
  </w:num>
  <w:num w:numId="13">
    <w:abstractNumId w:val="15"/>
  </w:num>
  <w:num w:numId="14">
    <w:abstractNumId w:val="13"/>
  </w:num>
  <w:num w:numId="15">
    <w:abstractNumId w:val="16"/>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66"/>
    <w:rsid w:val="000013E8"/>
    <w:rsid w:val="00001B5E"/>
    <w:rsid w:val="00002C0E"/>
    <w:rsid w:val="00003568"/>
    <w:rsid w:val="00003D05"/>
    <w:rsid w:val="00003D27"/>
    <w:rsid w:val="00005CDC"/>
    <w:rsid w:val="00005FB9"/>
    <w:rsid w:val="00006FB0"/>
    <w:rsid w:val="000076B3"/>
    <w:rsid w:val="000079F5"/>
    <w:rsid w:val="00010683"/>
    <w:rsid w:val="00011684"/>
    <w:rsid w:val="00011C6A"/>
    <w:rsid w:val="00013417"/>
    <w:rsid w:val="00013AB2"/>
    <w:rsid w:val="00013D42"/>
    <w:rsid w:val="00016118"/>
    <w:rsid w:val="00016530"/>
    <w:rsid w:val="000166A8"/>
    <w:rsid w:val="000172C7"/>
    <w:rsid w:val="00017748"/>
    <w:rsid w:val="00020C94"/>
    <w:rsid w:val="00020E57"/>
    <w:rsid w:val="00022EFD"/>
    <w:rsid w:val="0002336F"/>
    <w:rsid w:val="000237DA"/>
    <w:rsid w:val="00023C2F"/>
    <w:rsid w:val="00025B1A"/>
    <w:rsid w:val="0002696C"/>
    <w:rsid w:val="000276CF"/>
    <w:rsid w:val="00027B17"/>
    <w:rsid w:val="00027E9A"/>
    <w:rsid w:val="000306B6"/>
    <w:rsid w:val="00030B08"/>
    <w:rsid w:val="00030C34"/>
    <w:rsid w:val="000310D5"/>
    <w:rsid w:val="00031BA0"/>
    <w:rsid w:val="0003226F"/>
    <w:rsid w:val="0003244C"/>
    <w:rsid w:val="00033343"/>
    <w:rsid w:val="00033EA9"/>
    <w:rsid w:val="00034F02"/>
    <w:rsid w:val="00035722"/>
    <w:rsid w:val="00035F16"/>
    <w:rsid w:val="0003609D"/>
    <w:rsid w:val="00036695"/>
    <w:rsid w:val="00037A18"/>
    <w:rsid w:val="000402DE"/>
    <w:rsid w:val="00042E25"/>
    <w:rsid w:val="00043128"/>
    <w:rsid w:val="00043468"/>
    <w:rsid w:val="0004397E"/>
    <w:rsid w:val="00043F34"/>
    <w:rsid w:val="000444CD"/>
    <w:rsid w:val="0004522C"/>
    <w:rsid w:val="00045F32"/>
    <w:rsid w:val="00046149"/>
    <w:rsid w:val="00046459"/>
    <w:rsid w:val="000464B3"/>
    <w:rsid w:val="000476D6"/>
    <w:rsid w:val="00047A10"/>
    <w:rsid w:val="00050968"/>
    <w:rsid w:val="00051A61"/>
    <w:rsid w:val="00051AEC"/>
    <w:rsid w:val="00052DA5"/>
    <w:rsid w:val="00052F04"/>
    <w:rsid w:val="00053E16"/>
    <w:rsid w:val="00053F62"/>
    <w:rsid w:val="0005433B"/>
    <w:rsid w:val="000548C2"/>
    <w:rsid w:val="00054E6D"/>
    <w:rsid w:val="00054F4E"/>
    <w:rsid w:val="00055797"/>
    <w:rsid w:val="00055B3E"/>
    <w:rsid w:val="00055DA1"/>
    <w:rsid w:val="00056F48"/>
    <w:rsid w:val="0005710D"/>
    <w:rsid w:val="0005760C"/>
    <w:rsid w:val="00060A15"/>
    <w:rsid w:val="00060BA8"/>
    <w:rsid w:val="00061932"/>
    <w:rsid w:val="00061A78"/>
    <w:rsid w:val="00063A1F"/>
    <w:rsid w:val="000644CE"/>
    <w:rsid w:val="00065197"/>
    <w:rsid w:val="000665CF"/>
    <w:rsid w:val="00066667"/>
    <w:rsid w:val="000668BD"/>
    <w:rsid w:val="00066AD1"/>
    <w:rsid w:val="00066F96"/>
    <w:rsid w:val="00070523"/>
    <w:rsid w:val="00070550"/>
    <w:rsid w:val="00071A1C"/>
    <w:rsid w:val="00071EF0"/>
    <w:rsid w:val="00071F3B"/>
    <w:rsid w:val="00072384"/>
    <w:rsid w:val="000726DD"/>
    <w:rsid w:val="0007341B"/>
    <w:rsid w:val="000736CA"/>
    <w:rsid w:val="00073998"/>
    <w:rsid w:val="000761A8"/>
    <w:rsid w:val="000762E0"/>
    <w:rsid w:val="0007779F"/>
    <w:rsid w:val="00077A87"/>
    <w:rsid w:val="00077AAF"/>
    <w:rsid w:val="00077CD3"/>
    <w:rsid w:val="00077D1F"/>
    <w:rsid w:val="00077DDD"/>
    <w:rsid w:val="00077FEC"/>
    <w:rsid w:val="00080102"/>
    <w:rsid w:val="00080551"/>
    <w:rsid w:val="0008090A"/>
    <w:rsid w:val="0008129C"/>
    <w:rsid w:val="00081660"/>
    <w:rsid w:val="00081793"/>
    <w:rsid w:val="00081A8B"/>
    <w:rsid w:val="00081C38"/>
    <w:rsid w:val="000824CA"/>
    <w:rsid w:val="000824EE"/>
    <w:rsid w:val="000828E7"/>
    <w:rsid w:val="00082DA6"/>
    <w:rsid w:val="00083326"/>
    <w:rsid w:val="000846B3"/>
    <w:rsid w:val="00084779"/>
    <w:rsid w:val="00084F97"/>
    <w:rsid w:val="0008511F"/>
    <w:rsid w:val="00085423"/>
    <w:rsid w:val="00085777"/>
    <w:rsid w:val="000857DD"/>
    <w:rsid w:val="00086678"/>
    <w:rsid w:val="000870C6"/>
    <w:rsid w:val="000913F8"/>
    <w:rsid w:val="00094318"/>
    <w:rsid w:val="00094EC4"/>
    <w:rsid w:val="00095CAD"/>
    <w:rsid w:val="000960A1"/>
    <w:rsid w:val="000970A9"/>
    <w:rsid w:val="000A080E"/>
    <w:rsid w:val="000A08FF"/>
    <w:rsid w:val="000A0C76"/>
    <w:rsid w:val="000A0E8F"/>
    <w:rsid w:val="000A2739"/>
    <w:rsid w:val="000A3325"/>
    <w:rsid w:val="000A371D"/>
    <w:rsid w:val="000A3B1A"/>
    <w:rsid w:val="000A452C"/>
    <w:rsid w:val="000A5120"/>
    <w:rsid w:val="000A6080"/>
    <w:rsid w:val="000A6811"/>
    <w:rsid w:val="000A6A35"/>
    <w:rsid w:val="000A6D96"/>
    <w:rsid w:val="000B0274"/>
    <w:rsid w:val="000B05AF"/>
    <w:rsid w:val="000B3D85"/>
    <w:rsid w:val="000B4533"/>
    <w:rsid w:val="000B5CD1"/>
    <w:rsid w:val="000B5E44"/>
    <w:rsid w:val="000B714A"/>
    <w:rsid w:val="000B720D"/>
    <w:rsid w:val="000B7552"/>
    <w:rsid w:val="000C019E"/>
    <w:rsid w:val="000C03E8"/>
    <w:rsid w:val="000C0513"/>
    <w:rsid w:val="000C0662"/>
    <w:rsid w:val="000C0DD9"/>
    <w:rsid w:val="000C165F"/>
    <w:rsid w:val="000C2D4C"/>
    <w:rsid w:val="000C3F1A"/>
    <w:rsid w:val="000C3F2E"/>
    <w:rsid w:val="000C3FFE"/>
    <w:rsid w:val="000C484E"/>
    <w:rsid w:val="000C4964"/>
    <w:rsid w:val="000C500F"/>
    <w:rsid w:val="000C5EC1"/>
    <w:rsid w:val="000C69CC"/>
    <w:rsid w:val="000C6BFA"/>
    <w:rsid w:val="000C6EC5"/>
    <w:rsid w:val="000C7466"/>
    <w:rsid w:val="000C7DAB"/>
    <w:rsid w:val="000C7DF5"/>
    <w:rsid w:val="000C7EE0"/>
    <w:rsid w:val="000D00AF"/>
    <w:rsid w:val="000D106B"/>
    <w:rsid w:val="000D27A3"/>
    <w:rsid w:val="000D3688"/>
    <w:rsid w:val="000D3DBE"/>
    <w:rsid w:val="000D4211"/>
    <w:rsid w:val="000D46BC"/>
    <w:rsid w:val="000D5B98"/>
    <w:rsid w:val="000D622F"/>
    <w:rsid w:val="000D6482"/>
    <w:rsid w:val="000D6FD8"/>
    <w:rsid w:val="000D7322"/>
    <w:rsid w:val="000D7482"/>
    <w:rsid w:val="000E020E"/>
    <w:rsid w:val="000E0E36"/>
    <w:rsid w:val="000E10EA"/>
    <w:rsid w:val="000E1162"/>
    <w:rsid w:val="000E14E5"/>
    <w:rsid w:val="000E186B"/>
    <w:rsid w:val="000E1D17"/>
    <w:rsid w:val="000E2254"/>
    <w:rsid w:val="000E3231"/>
    <w:rsid w:val="000E3364"/>
    <w:rsid w:val="000E361B"/>
    <w:rsid w:val="000E3FFC"/>
    <w:rsid w:val="000E5BC1"/>
    <w:rsid w:val="000E66CB"/>
    <w:rsid w:val="000E6C52"/>
    <w:rsid w:val="000E74B7"/>
    <w:rsid w:val="000F029F"/>
    <w:rsid w:val="000F0603"/>
    <w:rsid w:val="000F0CC1"/>
    <w:rsid w:val="000F1016"/>
    <w:rsid w:val="000F1DC5"/>
    <w:rsid w:val="000F40A6"/>
    <w:rsid w:val="000F414F"/>
    <w:rsid w:val="000F423C"/>
    <w:rsid w:val="000F4248"/>
    <w:rsid w:val="000F46DF"/>
    <w:rsid w:val="000F5123"/>
    <w:rsid w:val="000F5AC3"/>
    <w:rsid w:val="000F61A4"/>
    <w:rsid w:val="000F676B"/>
    <w:rsid w:val="000F694D"/>
    <w:rsid w:val="000F6EDF"/>
    <w:rsid w:val="000F702F"/>
    <w:rsid w:val="000F7A8D"/>
    <w:rsid w:val="0010063E"/>
    <w:rsid w:val="001006C7"/>
    <w:rsid w:val="00100B56"/>
    <w:rsid w:val="00101502"/>
    <w:rsid w:val="00101636"/>
    <w:rsid w:val="001027AD"/>
    <w:rsid w:val="00102D7B"/>
    <w:rsid w:val="0010374E"/>
    <w:rsid w:val="00104158"/>
    <w:rsid w:val="00104894"/>
    <w:rsid w:val="00105D4A"/>
    <w:rsid w:val="00105E1F"/>
    <w:rsid w:val="001063AD"/>
    <w:rsid w:val="001063DA"/>
    <w:rsid w:val="00110006"/>
    <w:rsid w:val="0011061E"/>
    <w:rsid w:val="00110FD5"/>
    <w:rsid w:val="00112378"/>
    <w:rsid w:val="001124E5"/>
    <w:rsid w:val="00112DEE"/>
    <w:rsid w:val="00113A38"/>
    <w:rsid w:val="00114248"/>
    <w:rsid w:val="001146B9"/>
    <w:rsid w:val="00115ED4"/>
    <w:rsid w:val="001160D2"/>
    <w:rsid w:val="00116400"/>
    <w:rsid w:val="001174A5"/>
    <w:rsid w:val="00117AEB"/>
    <w:rsid w:val="00120A45"/>
    <w:rsid w:val="001210DF"/>
    <w:rsid w:val="00122326"/>
    <w:rsid w:val="00122B2A"/>
    <w:rsid w:val="00122BE6"/>
    <w:rsid w:val="0012361C"/>
    <w:rsid w:val="0012383D"/>
    <w:rsid w:val="00123DCD"/>
    <w:rsid w:val="00124301"/>
    <w:rsid w:val="00124CC6"/>
    <w:rsid w:val="00124F9E"/>
    <w:rsid w:val="0012648C"/>
    <w:rsid w:val="00126A91"/>
    <w:rsid w:val="00126C37"/>
    <w:rsid w:val="001274B8"/>
    <w:rsid w:val="00127656"/>
    <w:rsid w:val="00127692"/>
    <w:rsid w:val="001276C4"/>
    <w:rsid w:val="001301C2"/>
    <w:rsid w:val="00130B3F"/>
    <w:rsid w:val="001312CE"/>
    <w:rsid w:val="001320B9"/>
    <w:rsid w:val="001359CB"/>
    <w:rsid w:val="00135D19"/>
    <w:rsid w:val="00135D60"/>
    <w:rsid w:val="00135F29"/>
    <w:rsid w:val="001360E0"/>
    <w:rsid w:val="00136540"/>
    <w:rsid w:val="001368A2"/>
    <w:rsid w:val="00136FA3"/>
    <w:rsid w:val="001428D8"/>
    <w:rsid w:val="00142B32"/>
    <w:rsid w:val="00142BB6"/>
    <w:rsid w:val="00142EDA"/>
    <w:rsid w:val="00143303"/>
    <w:rsid w:val="00145B82"/>
    <w:rsid w:val="00146472"/>
    <w:rsid w:val="00147CAE"/>
    <w:rsid w:val="00147DDA"/>
    <w:rsid w:val="00147EEE"/>
    <w:rsid w:val="0015016A"/>
    <w:rsid w:val="00151F88"/>
    <w:rsid w:val="00152795"/>
    <w:rsid w:val="00154150"/>
    <w:rsid w:val="0015504E"/>
    <w:rsid w:val="00155279"/>
    <w:rsid w:val="00155705"/>
    <w:rsid w:val="00155A60"/>
    <w:rsid w:val="00156023"/>
    <w:rsid w:val="00156AB1"/>
    <w:rsid w:val="00156B4D"/>
    <w:rsid w:val="0016031A"/>
    <w:rsid w:val="00161376"/>
    <w:rsid w:val="00161A11"/>
    <w:rsid w:val="00161B76"/>
    <w:rsid w:val="001626F4"/>
    <w:rsid w:val="001639C9"/>
    <w:rsid w:val="001640AD"/>
    <w:rsid w:val="001647CA"/>
    <w:rsid w:val="001654F0"/>
    <w:rsid w:val="001661FA"/>
    <w:rsid w:val="00166480"/>
    <w:rsid w:val="0016687D"/>
    <w:rsid w:val="00167790"/>
    <w:rsid w:val="0017049C"/>
    <w:rsid w:val="00170737"/>
    <w:rsid w:val="001707D5"/>
    <w:rsid w:val="00170DA6"/>
    <w:rsid w:val="00171B7B"/>
    <w:rsid w:val="0017210A"/>
    <w:rsid w:val="00172502"/>
    <w:rsid w:val="00172A70"/>
    <w:rsid w:val="001737B0"/>
    <w:rsid w:val="00173D81"/>
    <w:rsid w:val="00174053"/>
    <w:rsid w:val="00174F06"/>
    <w:rsid w:val="00175230"/>
    <w:rsid w:val="00175403"/>
    <w:rsid w:val="001762EA"/>
    <w:rsid w:val="00176680"/>
    <w:rsid w:val="001813A9"/>
    <w:rsid w:val="00181979"/>
    <w:rsid w:val="00181A9D"/>
    <w:rsid w:val="00181D10"/>
    <w:rsid w:val="00182043"/>
    <w:rsid w:val="00182D9B"/>
    <w:rsid w:val="00183344"/>
    <w:rsid w:val="00183FC1"/>
    <w:rsid w:val="001841E8"/>
    <w:rsid w:val="00184FAB"/>
    <w:rsid w:val="00184FB1"/>
    <w:rsid w:val="00185460"/>
    <w:rsid w:val="001860EA"/>
    <w:rsid w:val="001861C6"/>
    <w:rsid w:val="001865A4"/>
    <w:rsid w:val="00186A5B"/>
    <w:rsid w:val="00186F7F"/>
    <w:rsid w:val="00190628"/>
    <w:rsid w:val="001906E9"/>
    <w:rsid w:val="0019133B"/>
    <w:rsid w:val="00191542"/>
    <w:rsid w:val="00191707"/>
    <w:rsid w:val="00192AC0"/>
    <w:rsid w:val="001933AC"/>
    <w:rsid w:val="00193E18"/>
    <w:rsid w:val="0019477E"/>
    <w:rsid w:val="00194AD3"/>
    <w:rsid w:val="001950CB"/>
    <w:rsid w:val="0019539F"/>
    <w:rsid w:val="001959D0"/>
    <w:rsid w:val="00196713"/>
    <w:rsid w:val="001970F3"/>
    <w:rsid w:val="001973E9"/>
    <w:rsid w:val="001A162E"/>
    <w:rsid w:val="001A25AE"/>
    <w:rsid w:val="001A3BAC"/>
    <w:rsid w:val="001A4273"/>
    <w:rsid w:val="001A491D"/>
    <w:rsid w:val="001A5AFF"/>
    <w:rsid w:val="001A5EAF"/>
    <w:rsid w:val="001A5FD7"/>
    <w:rsid w:val="001A6974"/>
    <w:rsid w:val="001A6B92"/>
    <w:rsid w:val="001A7F63"/>
    <w:rsid w:val="001B06B0"/>
    <w:rsid w:val="001B06F4"/>
    <w:rsid w:val="001B07C2"/>
    <w:rsid w:val="001B1126"/>
    <w:rsid w:val="001B12F1"/>
    <w:rsid w:val="001B1D21"/>
    <w:rsid w:val="001B25C8"/>
    <w:rsid w:val="001B27D1"/>
    <w:rsid w:val="001B2D08"/>
    <w:rsid w:val="001B2F37"/>
    <w:rsid w:val="001B311E"/>
    <w:rsid w:val="001B3645"/>
    <w:rsid w:val="001B505F"/>
    <w:rsid w:val="001B58DB"/>
    <w:rsid w:val="001B66C0"/>
    <w:rsid w:val="001B6EEF"/>
    <w:rsid w:val="001B7619"/>
    <w:rsid w:val="001B775B"/>
    <w:rsid w:val="001B7A7B"/>
    <w:rsid w:val="001C0019"/>
    <w:rsid w:val="001C1702"/>
    <w:rsid w:val="001C1AA8"/>
    <w:rsid w:val="001C1E36"/>
    <w:rsid w:val="001C21D8"/>
    <w:rsid w:val="001C3D43"/>
    <w:rsid w:val="001C540F"/>
    <w:rsid w:val="001C587D"/>
    <w:rsid w:val="001C5BF8"/>
    <w:rsid w:val="001C5C7C"/>
    <w:rsid w:val="001C6CC9"/>
    <w:rsid w:val="001C76A4"/>
    <w:rsid w:val="001D0BC3"/>
    <w:rsid w:val="001D1986"/>
    <w:rsid w:val="001D1F44"/>
    <w:rsid w:val="001D20E3"/>
    <w:rsid w:val="001D23E4"/>
    <w:rsid w:val="001D2CE9"/>
    <w:rsid w:val="001D2D97"/>
    <w:rsid w:val="001D376F"/>
    <w:rsid w:val="001D3CA2"/>
    <w:rsid w:val="001D3EE8"/>
    <w:rsid w:val="001D416C"/>
    <w:rsid w:val="001D4CE6"/>
    <w:rsid w:val="001D4EE7"/>
    <w:rsid w:val="001D5558"/>
    <w:rsid w:val="001D5771"/>
    <w:rsid w:val="001D5AF0"/>
    <w:rsid w:val="001D5BDF"/>
    <w:rsid w:val="001D6D44"/>
    <w:rsid w:val="001D6DA4"/>
    <w:rsid w:val="001D7151"/>
    <w:rsid w:val="001D722B"/>
    <w:rsid w:val="001D7387"/>
    <w:rsid w:val="001D7763"/>
    <w:rsid w:val="001E0824"/>
    <w:rsid w:val="001E0982"/>
    <w:rsid w:val="001E159A"/>
    <w:rsid w:val="001E16A5"/>
    <w:rsid w:val="001E1C86"/>
    <w:rsid w:val="001E2B24"/>
    <w:rsid w:val="001E3B7F"/>
    <w:rsid w:val="001E3BB5"/>
    <w:rsid w:val="001E55BB"/>
    <w:rsid w:val="001E5995"/>
    <w:rsid w:val="001E5E0E"/>
    <w:rsid w:val="001E6FB7"/>
    <w:rsid w:val="001E75C7"/>
    <w:rsid w:val="001F0CD6"/>
    <w:rsid w:val="001F1E0F"/>
    <w:rsid w:val="001F2A12"/>
    <w:rsid w:val="001F2AE4"/>
    <w:rsid w:val="001F2E5C"/>
    <w:rsid w:val="001F387D"/>
    <w:rsid w:val="001F38AB"/>
    <w:rsid w:val="001F3A10"/>
    <w:rsid w:val="001F3B5C"/>
    <w:rsid w:val="001F3F3A"/>
    <w:rsid w:val="001F4E45"/>
    <w:rsid w:val="001F5157"/>
    <w:rsid w:val="001F66C2"/>
    <w:rsid w:val="001F78FA"/>
    <w:rsid w:val="001F7B3F"/>
    <w:rsid w:val="00200091"/>
    <w:rsid w:val="002011AD"/>
    <w:rsid w:val="002014F7"/>
    <w:rsid w:val="0020175A"/>
    <w:rsid w:val="00201C26"/>
    <w:rsid w:val="00201C65"/>
    <w:rsid w:val="002020EC"/>
    <w:rsid w:val="0020270A"/>
    <w:rsid w:val="0020344E"/>
    <w:rsid w:val="00203487"/>
    <w:rsid w:val="00203FC7"/>
    <w:rsid w:val="00204C1E"/>
    <w:rsid w:val="00205680"/>
    <w:rsid w:val="002060CD"/>
    <w:rsid w:val="002066FD"/>
    <w:rsid w:val="002077FF"/>
    <w:rsid w:val="00207C2A"/>
    <w:rsid w:val="00210854"/>
    <w:rsid w:val="00211458"/>
    <w:rsid w:val="0021151B"/>
    <w:rsid w:val="002118F4"/>
    <w:rsid w:val="00213355"/>
    <w:rsid w:val="002139B5"/>
    <w:rsid w:val="0021426E"/>
    <w:rsid w:val="00214293"/>
    <w:rsid w:val="00214656"/>
    <w:rsid w:val="0021489E"/>
    <w:rsid w:val="0021578A"/>
    <w:rsid w:val="00215A38"/>
    <w:rsid w:val="00217DDA"/>
    <w:rsid w:val="0022009B"/>
    <w:rsid w:val="00220370"/>
    <w:rsid w:val="00221777"/>
    <w:rsid w:val="002217B9"/>
    <w:rsid w:val="002222F6"/>
    <w:rsid w:val="00222712"/>
    <w:rsid w:val="00222D8A"/>
    <w:rsid w:val="002239BC"/>
    <w:rsid w:val="002246AA"/>
    <w:rsid w:val="00224DF2"/>
    <w:rsid w:val="00225825"/>
    <w:rsid w:val="00225FF1"/>
    <w:rsid w:val="0022633A"/>
    <w:rsid w:val="00226726"/>
    <w:rsid w:val="00226922"/>
    <w:rsid w:val="00227BB4"/>
    <w:rsid w:val="00230831"/>
    <w:rsid w:val="00230F0D"/>
    <w:rsid w:val="00234233"/>
    <w:rsid w:val="0023429D"/>
    <w:rsid w:val="002348F2"/>
    <w:rsid w:val="00234A64"/>
    <w:rsid w:val="00236026"/>
    <w:rsid w:val="002368DB"/>
    <w:rsid w:val="002369D9"/>
    <w:rsid w:val="002370A8"/>
    <w:rsid w:val="0023742C"/>
    <w:rsid w:val="00240EE0"/>
    <w:rsid w:val="0024117A"/>
    <w:rsid w:val="00241729"/>
    <w:rsid w:val="00241D8A"/>
    <w:rsid w:val="00241EC8"/>
    <w:rsid w:val="002421F0"/>
    <w:rsid w:val="0024223E"/>
    <w:rsid w:val="0024265D"/>
    <w:rsid w:val="00242BCC"/>
    <w:rsid w:val="00243138"/>
    <w:rsid w:val="00243E17"/>
    <w:rsid w:val="002469B6"/>
    <w:rsid w:val="00246E6B"/>
    <w:rsid w:val="002505A1"/>
    <w:rsid w:val="002506B6"/>
    <w:rsid w:val="00251DF4"/>
    <w:rsid w:val="00252739"/>
    <w:rsid w:val="002527D4"/>
    <w:rsid w:val="002536AE"/>
    <w:rsid w:val="002537FF"/>
    <w:rsid w:val="00254ABC"/>
    <w:rsid w:val="00254C9D"/>
    <w:rsid w:val="002554E6"/>
    <w:rsid w:val="00255612"/>
    <w:rsid w:val="00256AE7"/>
    <w:rsid w:val="00260585"/>
    <w:rsid w:val="00260B51"/>
    <w:rsid w:val="00260DB9"/>
    <w:rsid w:val="00260FAF"/>
    <w:rsid w:val="0026101A"/>
    <w:rsid w:val="002610CB"/>
    <w:rsid w:val="002617ED"/>
    <w:rsid w:val="00261C8B"/>
    <w:rsid w:val="0026209A"/>
    <w:rsid w:val="0026230C"/>
    <w:rsid w:val="00262324"/>
    <w:rsid w:val="002625EF"/>
    <w:rsid w:val="002633CE"/>
    <w:rsid w:val="0026371B"/>
    <w:rsid w:val="00263C36"/>
    <w:rsid w:val="00263E6B"/>
    <w:rsid w:val="00264347"/>
    <w:rsid w:val="002647D3"/>
    <w:rsid w:val="00264CE4"/>
    <w:rsid w:val="00264E43"/>
    <w:rsid w:val="002650C5"/>
    <w:rsid w:val="00265A6B"/>
    <w:rsid w:val="002662FB"/>
    <w:rsid w:val="0026632E"/>
    <w:rsid w:val="002708D9"/>
    <w:rsid w:val="00270CB0"/>
    <w:rsid w:val="00270CBE"/>
    <w:rsid w:val="00272092"/>
    <w:rsid w:val="002720B9"/>
    <w:rsid w:val="00272A68"/>
    <w:rsid w:val="00272B8C"/>
    <w:rsid w:val="00272FA6"/>
    <w:rsid w:val="00274257"/>
    <w:rsid w:val="00274959"/>
    <w:rsid w:val="00274ABB"/>
    <w:rsid w:val="002753A7"/>
    <w:rsid w:val="00275635"/>
    <w:rsid w:val="00275A30"/>
    <w:rsid w:val="00275DC5"/>
    <w:rsid w:val="0027604A"/>
    <w:rsid w:val="002760CA"/>
    <w:rsid w:val="00277374"/>
    <w:rsid w:val="002775F2"/>
    <w:rsid w:val="002776F3"/>
    <w:rsid w:val="0028050F"/>
    <w:rsid w:val="0028067E"/>
    <w:rsid w:val="00281F39"/>
    <w:rsid w:val="0028243D"/>
    <w:rsid w:val="00282666"/>
    <w:rsid w:val="00283675"/>
    <w:rsid w:val="00283F91"/>
    <w:rsid w:val="00284A4D"/>
    <w:rsid w:val="00284CC0"/>
    <w:rsid w:val="0028509C"/>
    <w:rsid w:val="00285F6E"/>
    <w:rsid w:val="00286A8B"/>
    <w:rsid w:val="002873A2"/>
    <w:rsid w:val="00287E6F"/>
    <w:rsid w:val="002903A9"/>
    <w:rsid w:val="00291CD9"/>
    <w:rsid w:val="00292E5A"/>
    <w:rsid w:val="0029329F"/>
    <w:rsid w:val="00293A67"/>
    <w:rsid w:val="0029535B"/>
    <w:rsid w:val="002958CA"/>
    <w:rsid w:val="00295982"/>
    <w:rsid w:val="0029779C"/>
    <w:rsid w:val="002A003E"/>
    <w:rsid w:val="002A0D0E"/>
    <w:rsid w:val="002A1630"/>
    <w:rsid w:val="002A1B03"/>
    <w:rsid w:val="002A2044"/>
    <w:rsid w:val="002A26A6"/>
    <w:rsid w:val="002A46D2"/>
    <w:rsid w:val="002A55A3"/>
    <w:rsid w:val="002A6576"/>
    <w:rsid w:val="002A70F3"/>
    <w:rsid w:val="002A734A"/>
    <w:rsid w:val="002A7EB8"/>
    <w:rsid w:val="002B01EF"/>
    <w:rsid w:val="002B0432"/>
    <w:rsid w:val="002B1F08"/>
    <w:rsid w:val="002B2A58"/>
    <w:rsid w:val="002B2A82"/>
    <w:rsid w:val="002B380D"/>
    <w:rsid w:val="002B3859"/>
    <w:rsid w:val="002B4705"/>
    <w:rsid w:val="002B4774"/>
    <w:rsid w:val="002B5034"/>
    <w:rsid w:val="002B717F"/>
    <w:rsid w:val="002B7597"/>
    <w:rsid w:val="002B75B6"/>
    <w:rsid w:val="002B7D7D"/>
    <w:rsid w:val="002B7E4C"/>
    <w:rsid w:val="002C056E"/>
    <w:rsid w:val="002C1909"/>
    <w:rsid w:val="002C2E96"/>
    <w:rsid w:val="002C31B0"/>
    <w:rsid w:val="002C3590"/>
    <w:rsid w:val="002C5C92"/>
    <w:rsid w:val="002C6069"/>
    <w:rsid w:val="002C6696"/>
    <w:rsid w:val="002C679A"/>
    <w:rsid w:val="002C6CB6"/>
    <w:rsid w:val="002C7058"/>
    <w:rsid w:val="002C73A0"/>
    <w:rsid w:val="002C7BF2"/>
    <w:rsid w:val="002C7F68"/>
    <w:rsid w:val="002C7FB3"/>
    <w:rsid w:val="002D00EE"/>
    <w:rsid w:val="002D017B"/>
    <w:rsid w:val="002D0C5F"/>
    <w:rsid w:val="002D11A0"/>
    <w:rsid w:val="002D34F6"/>
    <w:rsid w:val="002D5E8E"/>
    <w:rsid w:val="002D665C"/>
    <w:rsid w:val="002D69F7"/>
    <w:rsid w:val="002D71CD"/>
    <w:rsid w:val="002D7414"/>
    <w:rsid w:val="002D76BA"/>
    <w:rsid w:val="002E025B"/>
    <w:rsid w:val="002E07BF"/>
    <w:rsid w:val="002E0AF1"/>
    <w:rsid w:val="002E0DB2"/>
    <w:rsid w:val="002E25D6"/>
    <w:rsid w:val="002E34F6"/>
    <w:rsid w:val="002E3C98"/>
    <w:rsid w:val="002E484B"/>
    <w:rsid w:val="002E641C"/>
    <w:rsid w:val="002E6FA9"/>
    <w:rsid w:val="002E77D8"/>
    <w:rsid w:val="002E7935"/>
    <w:rsid w:val="002F0517"/>
    <w:rsid w:val="002F05E9"/>
    <w:rsid w:val="002F0B88"/>
    <w:rsid w:val="002F1604"/>
    <w:rsid w:val="002F20EB"/>
    <w:rsid w:val="002F2646"/>
    <w:rsid w:val="002F2743"/>
    <w:rsid w:val="002F3B7B"/>
    <w:rsid w:val="002F4610"/>
    <w:rsid w:val="002F4AC4"/>
    <w:rsid w:val="002F5228"/>
    <w:rsid w:val="002F52D4"/>
    <w:rsid w:val="002F5585"/>
    <w:rsid w:val="002F6108"/>
    <w:rsid w:val="002F692D"/>
    <w:rsid w:val="002F7142"/>
    <w:rsid w:val="002F776C"/>
    <w:rsid w:val="00300146"/>
    <w:rsid w:val="0030047C"/>
    <w:rsid w:val="00300723"/>
    <w:rsid w:val="00301890"/>
    <w:rsid w:val="003019FE"/>
    <w:rsid w:val="00301EBD"/>
    <w:rsid w:val="003037AB"/>
    <w:rsid w:val="00303F97"/>
    <w:rsid w:val="003047B5"/>
    <w:rsid w:val="00304CDA"/>
    <w:rsid w:val="003057B2"/>
    <w:rsid w:val="00306A4C"/>
    <w:rsid w:val="00306CAC"/>
    <w:rsid w:val="00307C14"/>
    <w:rsid w:val="0031172C"/>
    <w:rsid w:val="00311A04"/>
    <w:rsid w:val="00312F9E"/>
    <w:rsid w:val="00313256"/>
    <w:rsid w:val="003139CC"/>
    <w:rsid w:val="00313B40"/>
    <w:rsid w:val="00313D6E"/>
    <w:rsid w:val="003143FB"/>
    <w:rsid w:val="003155D4"/>
    <w:rsid w:val="003155EC"/>
    <w:rsid w:val="00315F69"/>
    <w:rsid w:val="00315FDD"/>
    <w:rsid w:val="003162FE"/>
    <w:rsid w:val="003165B7"/>
    <w:rsid w:val="003166C0"/>
    <w:rsid w:val="00317D99"/>
    <w:rsid w:val="00320485"/>
    <w:rsid w:val="00320570"/>
    <w:rsid w:val="003208A6"/>
    <w:rsid w:val="00321006"/>
    <w:rsid w:val="00321116"/>
    <w:rsid w:val="003213AA"/>
    <w:rsid w:val="00322750"/>
    <w:rsid w:val="00323282"/>
    <w:rsid w:val="003236EB"/>
    <w:rsid w:val="00323AE0"/>
    <w:rsid w:val="00323B4E"/>
    <w:rsid w:val="00323EFD"/>
    <w:rsid w:val="00325230"/>
    <w:rsid w:val="003255E9"/>
    <w:rsid w:val="00326256"/>
    <w:rsid w:val="003263BF"/>
    <w:rsid w:val="00326647"/>
    <w:rsid w:val="00327159"/>
    <w:rsid w:val="00327A8B"/>
    <w:rsid w:val="0033105A"/>
    <w:rsid w:val="00331151"/>
    <w:rsid w:val="0033129D"/>
    <w:rsid w:val="0033402C"/>
    <w:rsid w:val="003340D5"/>
    <w:rsid w:val="003361EF"/>
    <w:rsid w:val="00336C98"/>
    <w:rsid w:val="00336EED"/>
    <w:rsid w:val="003378F0"/>
    <w:rsid w:val="00341045"/>
    <w:rsid w:val="003413F7"/>
    <w:rsid w:val="00341D49"/>
    <w:rsid w:val="00341E1C"/>
    <w:rsid w:val="00342E43"/>
    <w:rsid w:val="00343A22"/>
    <w:rsid w:val="003446D9"/>
    <w:rsid w:val="003449A5"/>
    <w:rsid w:val="00345564"/>
    <w:rsid w:val="00346879"/>
    <w:rsid w:val="0034763C"/>
    <w:rsid w:val="00347B6E"/>
    <w:rsid w:val="00347D18"/>
    <w:rsid w:val="0035030E"/>
    <w:rsid w:val="00350370"/>
    <w:rsid w:val="00350B33"/>
    <w:rsid w:val="00350FA9"/>
    <w:rsid w:val="00351FB0"/>
    <w:rsid w:val="00352195"/>
    <w:rsid w:val="003534F4"/>
    <w:rsid w:val="0035371F"/>
    <w:rsid w:val="00353ED0"/>
    <w:rsid w:val="0035412E"/>
    <w:rsid w:val="00354147"/>
    <w:rsid w:val="00355AA0"/>
    <w:rsid w:val="00355B3B"/>
    <w:rsid w:val="00355DDD"/>
    <w:rsid w:val="00355F85"/>
    <w:rsid w:val="0035624D"/>
    <w:rsid w:val="00356A8A"/>
    <w:rsid w:val="003606E8"/>
    <w:rsid w:val="00360DD1"/>
    <w:rsid w:val="0036130F"/>
    <w:rsid w:val="003623FF"/>
    <w:rsid w:val="00362961"/>
    <w:rsid w:val="00362BE5"/>
    <w:rsid w:val="0036309A"/>
    <w:rsid w:val="00363545"/>
    <w:rsid w:val="00364AAE"/>
    <w:rsid w:val="00365AC6"/>
    <w:rsid w:val="00366020"/>
    <w:rsid w:val="00366B89"/>
    <w:rsid w:val="0037015B"/>
    <w:rsid w:val="00370F4B"/>
    <w:rsid w:val="00373675"/>
    <w:rsid w:val="003737FE"/>
    <w:rsid w:val="00374C92"/>
    <w:rsid w:val="0037551E"/>
    <w:rsid w:val="00375894"/>
    <w:rsid w:val="00375899"/>
    <w:rsid w:val="003767D9"/>
    <w:rsid w:val="003769E7"/>
    <w:rsid w:val="00376C9C"/>
    <w:rsid w:val="0037757F"/>
    <w:rsid w:val="00377D1A"/>
    <w:rsid w:val="0038076F"/>
    <w:rsid w:val="003808E8"/>
    <w:rsid w:val="00380977"/>
    <w:rsid w:val="0038173D"/>
    <w:rsid w:val="00381F2A"/>
    <w:rsid w:val="00381FEA"/>
    <w:rsid w:val="00382189"/>
    <w:rsid w:val="00382B18"/>
    <w:rsid w:val="00383065"/>
    <w:rsid w:val="003846F2"/>
    <w:rsid w:val="00384AA6"/>
    <w:rsid w:val="00384D47"/>
    <w:rsid w:val="00384DF7"/>
    <w:rsid w:val="00385135"/>
    <w:rsid w:val="003861C5"/>
    <w:rsid w:val="003864E0"/>
    <w:rsid w:val="00386B37"/>
    <w:rsid w:val="00386C38"/>
    <w:rsid w:val="0038757C"/>
    <w:rsid w:val="00387842"/>
    <w:rsid w:val="00390079"/>
    <w:rsid w:val="0039118C"/>
    <w:rsid w:val="0039126E"/>
    <w:rsid w:val="003924A9"/>
    <w:rsid w:val="00392EB8"/>
    <w:rsid w:val="003935EA"/>
    <w:rsid w:val="003937F3"/>
    <w:rsid w:val="003943FA"/>
    <w:rsid w:val="00394DD7"/>
    <w:rsid w:val="003954DD"/>
    <w:rsid w:val="00395F01"/>
    <w:rsid w:val="0039682D"/>
    <w:rsid w:val="00397399"/>
    <w:rsid w:val="003A104E"/>
    <w:rsid w:val="003A11DE"/>
    <w:rsid w:val="003A1602"/>
    <w:rsid w:val="003A252F"/>
    <w:rsid w:val="003A3C9F"/>
    <w:rsid w:val="003A4182"/>
    <w:rsid w:val="003A44D0"/>
    <w:rsid w:val="003A592F"/>
    <w:rsid w:val="003A633A"/>
    <w:rsid w:val="003A644A"/>
    <w:rsid w:val="003A6454"/>
    <w:rsid w:val="003A75A7"/>
    <w:rsid w:val="003A7DC1"/>
    <w:rsid w:val="003B38A8"/>
    <w:rsid w:val="003B3D6F"/>
    <w:rsid w:val="003B4215"/>
    <w:rsid w:val="003B5893"/>
    <w:rsid w:val="003B5C16"/>
    <w:rsid w:val="003B607E"/>
    <w:rsid w:val="003B6660"/>
    <w:rsid w:val="003B6E1E"/>
    <w:rsid w:val="003B6E8E"/>
    <w:rsid w:val="003B75BE"/>
    <w:rsid w:val="003C0902"/>
    <w:rsid w:val="003C10F0"/>
    <w:rsid w:val="003C13D3"/>
    <w:rsid w:val="003C15B3"/>
    <w:rsid w:val="003C1DCE"/>
    <w:rsid w:val="003C1EC4"/>
    <w:rsid w:val="003C259E"/>
    <w:rsid w:val="003C2FF8"/>
    <w:rsid w:val="003C3181"/>
    <w:rsid w:val="003C36E2"/>
    <w:rsid w:val="003C385C"/>
    <w:rsid w:val="003C39EA"/>
    <w:rsid w:val="003C40F1"/>
    <w:rsid w:val="003C4785"/>
    <w:rsid w:val="003C5FF6"/>
    <w:rsid w:val="003C60AA"/>
    <w:rsid w:val="003C613B"/>
    <w:rsid w:val="003C63E6"/>
    <w:rsid w:val="003C66E5"/>
    <w:rsid w:val="003D0A22"/>
    <w:rsid w:val="003D0F31"/>
    <w:rsid w:val="003D120C"/>
    <w:rsid w:val="003D127B"/>
    <w:rsid w:val="003D1A40"/>
    <w:rsid w:val="003D1B75"/>
    <w:rsid w:val="003D2185"/>
    <w:rsid w:val="003D2AE2"/>
    <w:rsid w:val="003D2EF7"/>
    <w:rsid w:val="003D3BAC"/>
    <w:rsid w:val="003D3BBF"/>
    <w:rsid w:val="003D448A"/>
    <w:rsid w:val="003D5D5F"/>
    <w:rsid w:val="003D6F49"/>
    <w:rsid w:val="003D7173"/>
    <w:rsid w:val="003D71D7"/>
    <w:rsid w:val="003D765B"/>
    <w:rsid w:val="003E0572"/>
    <w:rsid w:val="003E0DB2"/>
    <w:rsid w:val="003E0FB7"/>
    <w:rsid w:val="003E1D9B"/>
    <w:rsid w:val="003E3054"/>
    <w:rsid w:val="003E368C"/>
    <w:rsid w:val="003E384A"/>
    <w:rsid w:val="003E4743"/>
    <w:rsid w:val="003E4A8E"/>
    <w:rsid w:val="003E4DA0"/>
    <w:rsid w:val="003E4F70"/>
    <w:rsid w:val="003E50F1"/>
    <w:rsid w:val="003E57E9"/>
    <w:rsid w:val="003E62FD"/>
    <w:rsid w:val="003E6A3B"/>
    <w:rsid w:val="003E6AD1"/>
    <w:rsid w:val="003F1161"/>
    <w:rsid w:val="003F1440"/>
    <w:rsid w:val="003F1586"/>
    <w:rsid w:val="003F1DBD"/>
    <w:rsid w:val="003F2786"/>
    <w:rsid w:val="003F29E0"/>
    <w:rsid w:val="003F29E3"/>
    <w:rsid w:val="003F3509"/>
    <w:rsid w:val="003F4062"/>
    <w:rsid w:val="003F447A"/>
    <w:rsid w:val="003F498A"/>
    <w:rsid w:val="003F4ACB"/>
    <w:rsid w:val="003F4C3B"/>
    <w:rsid w:val="003F51AF"/>
    <w:rsid w:val="003F55AA"/>
    <w:rsid w:val="003F5638"/>
    <w:rsid w:val="003F5A94"/>
    <w:rsid w:val="003F6D58"/>
    <w:rsid w:val="003F7117"/>
    <w:rsid w:val="0040035F"/>
    <w:rsid w:val="004007B8"/>
    <w:rsid w:val="00400CFC"/>
    <w:rsid w:val="0040100A"/>
    <w:rsid w:val="0040124F"/>
    <w:rsid w:val="00402016"/>
    <w:rsid w:val="0040447B"/>
    <w:rsid w:val="0040598D"/>
    <w:rsid w:val="004060E6"/>
    <w:rsid w:val="00406C97"/>
    <w:rsid w:val="00407566"/>
    <w:rsid w:val="00407E21"/>
    <w:rsid w:val="004119BA"/>
    <w:rsid w:val="00411C5D"/>
    <w:rsid w:val="00412CDD"/>
    <w:rsid w:val="004135AD"/>
    <w:rsid w:val="00414176"/>
    <w:rsid w:val="004147ED"/>
    <w:rsid w:val="00414CF7"/>
    <w:rsid w:val="00414E29"/>
    <w:rsid w:val="00416051"/>
    <w:rsid w:val="00417E0E"/>
    <w:rsid w:val="00420257"/>
    <w:rsid w:val="004203EA"/>
    <w:rsid w:val="004209F0"/>
    <w:rsid w:val="00421AE1"/>
    <w:rsid w:val="00421BA9"/>
    <w:rsid w:val="00421EE2"/>
    <w:rsid w:val="00422C48"/>
    <w:rsid w:val="004232B7"/>
    <w:rsid w:val="00423330"/>
    <w:rsid w:val="00423570"/>
    <w:rsid w:val="004242FC"/>
    <w:rsid w:val="00426267"/>
    <w:rsid w:val="00426565"/>
    <w:rsid w:val="0042672D"/>
    <w:rsid w:val="00426C88"/>
    <w:rsid w:val="00430C47"/>
    <w:rsid w:val="00430EB6"/>
    <w:rsid w:val="00431D07"/>
    <w:rsid w:val="0043233A"/>
    <w:rsid w:val="00432947"/>
    <w:rsid w:val="00432BAB"/>
    <w:rsid w:val="00433C23"/>
    <w:rsid w:val="0043461D"/>
    <w:rsid w:val="004347E7"/>
    <w:rsid w:val="0043520A"/>
    <w:rsid w:val="00437176"/>
    <w:rsid w:val="00437628"/>
    <w:rsid w:val="00440AD6"/>
    <w:rsid w:val="00440B6D"/>
    <w:rsid w:val="00440E01"/>
    <w:rsid w:val="00440FD0"/>
    <w:rsid w:val="00441014"/>
    <w:rsid w:val="00441F1A"/>
    <w:rsid w:val="00441F33"/>
    <w:rsid w:val="00442259"/>
    <w:rsid w:val="0044261A"/>
    <w:rsid w:val="004429B1"/>
    <w:rsid w:val="004445BA"/>
    <w:rsid w:val="004446F1"/>
    <w:rsid w:val="004449D7"/>
    <w:rsid w:val="00444BA1"/>
    <w:rsid w:val="00444EAD"/>
    <w:rsid w:val="0044501C"/>
    <w:rsid w:val="004450A2"/>
    <w:rsid w:val="00445158"/>
    <w:rsid w:val="0044558F"/>
    <w:rsid w:val="004455AF"/>
    <w:rsid w:val="0044708E"/>
    <w:rsid w:val="00447317"/>
    <w:rsid w:val="004478E5"/>
    <w:rsid w:val="004503B8"/>
    <w:rsid w:val="00450879"/>
    <w:rsid w:val="00450CF5"/>
    <w:rsid w:val="00451251"/>
    <w:rsid w:val="004516F8"/>
    <w:rsid w:val="004521E3"/>
    <w:rsid w:val="00452665"/>
    <w:rsid w:val="004527BA"/>
    <w:rsid w:val="00453058"/>
    <w:rsid w:val="0045382D"/>
    <w:rsid w:val="00453D9F"/>
    <w:rsid w:val="00454319"/>
    <w:rsid w:val="00454A0F"/>
    <w:rsid w:val="00455478"/>
    <w:rsid w:val="00455E3A"/>
    <w:rsid w:val="00456E4D"/>
    <w:rsid w:val="004572EA"/>
    <w:rsid w:val="00457336"/>
    <w:rsid w:val="0046028D"/>
    <w:rsid w:val="0046078E"/>
    <w:rsid w:val="00460A01"/>
    <w:rsid w:val="004623D3"/>
    <w:rsid w:val="00463460"/>
    <w:rsid w:val="00463832"/>
    <w:rsid w:val="00463B65"/>
    <w:rsid w:val="004644C0"/>
    <w:rsid w:val="0046468D"/>
    <w:rsid w:val="00464E2F"/>
    <w:rsid w:val="004655D9"/>
    <w:rsid w:val="00466B62"/>
    <w:rsid w:val="00466B91"/>
    <w:rsid w:val="004705FD"/>
    <w:rsid w:val="00472723"/>
    <w:rsid w:val="00473ED1"/>
    <w:rsid w:val="00474511"/>
    <w:rsid w:val="004746F4"/>
    <w:rsid w:val="00475779"/>
    <w:rsid w:val="00476633"/>
    <w:rsid w:val="00476880"/>
    <w:rsid w:val="00477107"/>
    <w:rsid w:val="0047760C"/>
    <w:rsid w:val="00477951"/>
    <w:rsid w:val="00477B06"/>
    <w:rsid w:val="0048011C"/>
    <w:rsid w:val="0048115A"/>
    <w:rsid w:val="004825CE"/>
    <w:rsid w:val="00482963"/>
    <w:rsid w:val="00482F75"/>
    <w:rsid w:val="00483664"/>
    <w:rsid w:val="00484C45"/>
    <w:rsid w:val="0048583C"/>
    <w:rsid w:val="00486261"/>
    <w:rsid w:val="00486B19"/>
    <w:rsid w:val="00486E51"/>
    <w:rsid w:val="00486F60"/>
    <w:rsid w:val="004871F0"/>
    <w:rsid w:val="0049070A"/>
    <w:rsid w:val="00490CB1"/>
    <w:rsid w:val="004911F0"/>
    <w:rsid w:val="004918B4"/>
    <w:rsid w:val="00491C54"/>
    <w:rsid w:val="0049268E"/>
    <w:rsid w:val="00492816"/>
    <w:rsid w:val="00492EB9"/>
    <w:rsid w:val="004930C9"/>
    <w:rsid w:val="00493462"/>
    <w:rsid w:val="00495137"/>
    <w:rsid w:val="00495655"/>
    <w:rsid w:val="0049646D"/>
    <w:rsid w:val="00496EF8"/>
    <w:rsid w:val="00497F32"/>
    <w:rsid w:val="004A0462"/>
    <w:rsid w:val="004A04FF"/>
    <w:rsid w:val="004A05EB"/>
    <w:rsid w:val="004A093A"/>
    <w:rsid w:val="004A155A"/>
    <w:rsid w:val="004A2CB3"/>
    <w:rsid w:val="004A3385"/>
    <w:rsid w:val="004A4C69"/>
    <w:rsid w:val="004A5918"/>
    <w:rsid w:val="004A666E"/>
    <w:rsid w:val="004A6C3B"/>
    <w:rsid w:val="004A794A"/>
    <w:rsid w:val="004A7ACD"/>
    <w:rsid w:val="004A7D17"/>
    <w:rsid w:val="004B0344"/>
    <w:rsid w:val="004B0BA8"/>
    <w:rsid w:val="004B0D34"/>
    <w:rsid w:val="004B1203"/>
    <w:rsid w:val="004B1E01"/>
    <w:rsid w:val="004B24B6"/>
    <w:rsid w:val="004B30C4"/>
    <w:rsid w:val="004B3FB3"/>
    <w:rsid w:val="004B5075"/>
    <w:rsid w:val="004B57DF"/>
    <w:rsid w:val="004B62E2"/>
    <w:rsid w:val="004B6643"/>
    <w:rsid w:val="004B6AB1"/>
    <w:rsid w:val="004B74A1"/>
    <w:rsid w:val="004B7F6C"/>
    <w:rsid w:val="004C04EC"/>
    <w:rsid w:val="004C2DBC"/>
    <w:rsid w:val="004C301D"/>
    <w:rsid w:val="004C3067"/>
    <w:rsid w:val="004C3B64"/>
    <w:rsid w:val="004C3B83"/>
    <w:rsid w:val="004C3CD6"/>
    <w:rsid w:val="004C4430"/>
    <w:rsid w:val="004C57B8"/>
    <w:rsid w:val="004C627C"/>
    <w:rsid w:val="004C7C7A"/>
    <w:rsid w:val="004C7CE7"/>
    <w:rsid w:val="004D12CE"/>
    <w:rsid w:val="004D1DFF"/>
    <w:rsid w:val="004D27E5"/>
    <w:rsid w:val="004D2863"/>
    <w:rsid w:val="004D2DDD"/>
    <w:rsid w:val="004D2F15"/>
    <w:rsid w:val="004D3281"/>
    <w:rsid w:val="004D4775"/>
    <w:rsid w:val="004D61B9"/>
    <w:rsid w:val="004D79DE"/>
    <w:rsid w:val="004E0161"/>
    <w:rsid w:val="004E0448"/>
    <w:rsid w:val="004E0A3E"/>
    <w:rsid w:val="004E108D"/>
    <w:rsid w:val="004E2081"/>
    <w:rsid w:val="004E2668"/>
    <w:rsid w:val="004E26A3"/>
    <w:rsid w:val="004E2ACB"/>
    <w:rsid w:val="004E2BFF"/>
    <w:rsid w:val="004E3352"/>
    <w:rsid w:val="004E34EA"/>
    <w:rsid w:val="004E3509"/>
    <w:rsid w:val="004E4856"/>
    <w:rsid w:val="004E604A"/>
    <w:rsid w:val="004E75A0"/>
    <w:rsid w:val="004E7D8D"/>
    <w:rsid w:val="004F0375"/>
    <w:rsid w:val="004F17B3"/>
    <w:rsid w:val="004F2801"/>
    <w:rsid w:val="004F296F"/>
    <w:rsid w:val="004F2DD1"/>
    <w:rsid w:val="004F33E9"/>
    <w:rsid w:val="004F3BE5"/>
    <w:rsid w:val="004F5CCA"/>
    <w:rsid w:val="004F5EBB"/>
    <w:rsid w:val="004F60F2"/>
    <w:rsid w:val="004F611F"/>
    <w:rsid w:val="004F6291"/>
    <w:rsid w:val="004F65AB"/>
    <w:rsid w:val="004F6D4C"/>
    <w:rsid w:val="004F7CE5"/>
    <w:rsid w:val="0050046D"/>
    <w:rsid w:val="0050063F"/>
    <w:rsid w:val="00500A37"/>
    <w:rsid w:val="00501EA8"/>
    <w:rsid w:val="00502682"/>
    <w:rsid w:val="00502D3E"/>
    <w:rsid w:val="00502FEA"/>
    <w:rsid w:val="00503C6C"/>
    <w:rsid w:val="00503CB8"/>
    <w:rsid w:val="00503EA8"/>
    <w:rsid w:val="005054ED"/>
    <w:rsid w:val="00506118"/>
    <w:rsid w:val="005064C8"/>
    <w:rsid w:val="00506861"/>
    <w:rsid w:val="005104C5"/>
    <w:rsid w:val="005115DD"/>
    <w:rsid w:val="00511932"/>
    <w:rsid w:val="00511E9E"/>
    <w:rsid w:val="00511ED2"/>
    <w:rsid w:val="005120DB"/>
    <w:rsid w:val="005121CD"/>
    <w:rsid w:val="0051220F"/>
    <w:rsid w:val="005125CA"/>
    <w:rsid w:val="00512CA1"/>
    <w:rsid w:val="00513349"/>
    <w:rsid w:val="0051338D"/>
    <w:rsid w:val="005133A8"/>
    <w:rsid w:val="0051357C"/>
    <w:rsid w:val="005141A6"/>
    <w:rsid w:val="005143F6"/>
    <w:rsid w:val="005144F5"/>
    <w:rsid w:val="00514DC0"/>
    <w:rsid w:val="00515BEC"/>
    <w:rsid w:val="00516399"/>
    <w:rsid w:val="00516E47"/>
    <w:rsid w:val="00520D71"/>
    <w:rsid w:val="00520F7D"/>
    <w:rsid w:val="0052132E"/>
    <w:rsid w:val="005224DB"/>
    <w:rsid w:val="0052315D"/>
    <w:rsid w:val="0052351B"/>
    <w:rsid w:val="005243D6"/>
    <w:rsid w:val="005245C8"/>
    <w:rsid w:val="00524B64"/>
    <w:rsid w:val="0052507D"/>
    <w:rsid w:val="005253BB"/>
    <w:rsid w:val="005255BF"/>
    <w:rsid w:val="005255CF"/>
    <w:rsid w:val="005258C4"/>
    <w:rsid w:val="005258C7"/>
    <w:rsid w:val="00525D0D"/>
    <w:rsid w:val="00526A66"/>
    <w:rsid w:val="005276CE"/>
    <w:rsid w:val="0053033D"/>
    <w:rsid w:val="00531656"/>
    <w:rsid w:val="00532983"/>
    <w:rsid w:val="00532DE2"/>
    <w:rsid w:val="00532EC6"/>
    <w:rsid w:val="00532F67"/>
    <w:rsid w:val="00533546"/>
    <w:rsid w:val="005336EA"/>
    <w:rsid w:val="00533E30"/>
    <w:rsid w:val="0053495D"/>
    <w:rsid w:val="00535F37"/>
    <w:rsid w:val="00536A19"/>
    <w:rsid w:val="00540EAE"/>
    <w:rsid w:val="00541A92"/>
    <w:rsid w:val="005423CE"/>
    <w:rsid w:val="005430B1"/>
    <w:rsid w:val="00544675"/>
    <w:rsid w:val="005448E9"/>
    <w:rsid w:val="00545FF0"/>
    <w:rsid w:val="0054648C"/>
    <w:rsid w:val="0054731A"/>
    <w:rsid w:val="0054764A"/>
    <w:rsid w:val="005476EB"/>
    <w:rsid w:val="0055068D"/>
    <w:rsid w:val="005511C1"/>
    <w:rsid w:val="00552677"/>
    <w:rsid w:val="00552A15"/>
    <w:rsid w:val="00552D8C"/>
    <w:rsid w:val="00553FCC"/>
    <w:rsid w:val="00554ACB"/>
    <w:rsid w:val="005554BF"/>
    <w:rsid w:val="00555796"/>
    <w:rsid w:val="00556565"/>
    <w:rsid w:val="0055656F"/>
    <w:rsid w:val="00556DEB"/>
    <w:rsid w:val="0055764F"/>
    <w:rsid w:val="0055790E"/>
    <w:rsid w:val="00557E5E"/>
    <w:rsid w:val="00560075"/>
    <w:rsid w:val="0056010F"/>
    <w:rsid w:val="0056081D"/>
    <w:rsid w:val="00560FEC"/>
    <w:rsid w:val="00562CA5"/>
    <w:rsid w:val="005634F0"/>
    <w:rsid w:val="005655A7"/>
    <w:rsid w:val="0056589D"/>
    <w:rsid w:val="0056699F"/>
    <w:rsid w:val="0057183F"/>
    <w:rsid w:val="00573C0A"/>
    <w:rsid w:val="00573F44"/>
    <w:rsid w:val="00574273"/>
    <w:rsid w:val="0057469B"/>
    <w:rsid w:val="00574C58"/>
    <w:rsid w:val="00574C65"/>
    <w:rsid w:val="00574F54"/>
    <w:rsid w:val="00575C1D"/>
    <w:rsid w:val="00575E29"/>
    <w:rsid w:val="005774C4"/>
    <w:rsid w:val="00577DEA"/>
    <w:rsid w:val="00580663"/>
    <w:rsid w:val="00580A80"/>
    <w:rsid w:val="00580ADD"/>
    <w:rsid w:val="00580B7C"/>
    <w:rsid w:val="00580D49"/>
    <w:rsid w:val="00581496"/>
    <w:rsid w:val="005814A3"/>
    <w:rsid w:val="00581C0A"/>
    <w:rsid w:val="00581E83"/>
    <w:rsid w:val="005821FC"/>
    <w:rsid w:val="00582780"/>
    <w:rsid w:val="00582EF6"/>
    <w:rsid w:val="00582F57"/>
    <w:rsid w:val="00583D8E"/>
    <w:rsid w:val="00583EFF"/>
    <w:rsid w:val="0058423C"/>
    <w:rsid w:val="00585983"/>
    <w:rsid w:val="00585EDF"/>
    <w:rsid w:val="00586202"/>
    <w:rsid w:val="00587929"/>
    <w:rsid w:val="00587B08"/>
    <w:rsid w:val="00590961"/>
    <w:rsid w:val="00590F25"/>
    <w:rsid w:val="00591548"/>
    <w:rsid w:val="0059164B"/>
    <w:rsid w:val="00591ABE"/>
    <w:rsid w:val="00593229"/>
    <w:rsid w:val="00593F47"/>
    <w:rsid w:val="005949E5"/>
    <w:rsid w:val="00595061"/>
    <w:rsid w:val="00595081"/>
    <w:rsid w:val="00595F6F"/>
    <w:rsid w:val="005962EB"/>
    <w:rsid w:val="005965FE"/>
    <w:rsid w:val="00596817"/>
    <w:rsid w:val="005968CD"/>
    <w:rsid w:val="005969D0"/>
    <w:rsid w:val="005974C3"/>
    <w:rsid w:val="005A024C"/>
    <w:rsid w:val="005A084E"/>
    <w:rsid w:val="005A1A3C"/>
    <w:rsid w:val="005A1C9D"/>
    <w:rsid w:val="005A1F4F"/>
    <w:rsid w:val="005A2125"/>
    <w:rsid w:val="005A3C8F"/>
    <w:rsid w:val="005A3ED9"/>
    <w:rsid w:val="005A43A6"/>
    <w:rsid w:val="005A4E1B"/>
    <w:rsid w:val="005A52EA"/>
    <w:rsid w:val="005A65CB"/>
    <w:rsid w:val="005A72A0"/>
    <w:rsid w:val="005A7A15"/>
    <w:rsid w:val="005A7DDA"/>
    <w:rsid w:val="005B0460"/>
    <w:rsid w:val="005B1410"/>
    <w:rsid w:val="005B1C4A"/>
    <w:rsid w:val="005B2426"/>
    <w:rsid w:val="005B2535"/>
    <w:rsid w:val="005B2852"/>
    <w:rsid w:val="005B3261"/>
    <w:rsid w:val="005B335E"/>
    <w:rsid w:val="005B49CE"/>
    <w:rsid w:val="005B4AC6"/>
    <w:rsid w:val="005B5DF4"/>
    <w:rsid w:val="005B5F55"/>
    <w:rsid w:val="005B62E4"/>
    <w:rsid w:val="005B63B0"/>
    <w:rsid w:val="005B640A"/>
    <w:rsid w:val="005B6588"/>
    <w:rsid w:val="005B6BC9"/>
    <w:rsid w:val="005B6C7E"/>
    <w:rsid w:val="005B7859"/>
    <w:rsid w:val="005B7CA1"/>
    <w:rsid w:val="005B7D18"/>
    <w:rsid w:val="005C12C2"/>
    <w:rsid w:val="005C1587"/>
    <w:rsid w:val="005C2096"/>
    <w:rsid w:val="005C2412"/>
    <w:rsid w:val="005C256F"/>
    <w:rsid w:val="005C3634"/>
    <w:rsid w:val="005C39E7"/>
    <w:rsid w:val="005C4869"/>
    <w:rsid w:val="005C4F47"/>
    <w:rsid w:val="005C4FAE"/>
    <w:rsid w:val="005C526D"/>
    <w:rsid w:val="005C5CCC"/>
    <w:rsid w:val="005D0237"/>
    <w:rsid w:val="005D03F7"/>
    <w:rsid w:val="005D075F"/>
    <w:rsid w:val="005D0DA4"/>
    <w:rsid w:val="005D1109"/>
    <w:rsid w:val="005D2205"/>
    <w:rsid w:val="005D30E8"/>
    <w:rsid w:val="005D49C5"/>
    <w:rsid w:val="005D5297"/>
    <w:rsid w:val="005D5A3F"/>
    <w:rsid w:val="005D6907"/>
    <w:rsid w:val="005D6B31"/>
    <w:rsid w:val="005D7CB2"/>
    <w:rsid w:val="005D7EDD"/>
    <w:rsid w:val="005E0D77"/>
    <w:rsid w:val="005E10E2"/>
    <w:rsid w:val="005E1133"/>
    <w:rsid w:val="005E13AD"/>
    <w:rsid w:val="005E15FE"/>
    <w:rsid w:val="005E1AF5"/>
    <w:rsid w:val="005E2622"/>
    <w:rsid w:val="005E5116"/>
    <w:rsid w:val="005E63D4"/>
    <w:rsid w:val="005E67FC"/>
    <w:rsid w:val="005E6800"/>
    <w:rsid w:val="005E7A38"/>
    <w:rsid w:val="005E7A76"/>
    <w:rsid w:val="005E7E96"/>
    <w:rsid w:val="005F0FCF"/>
    <w:rsid w:val="005F11E7"/>
    <w:rsid w:val="005F1685"/>
    <w:rsid w:val="005F1875"/>
    <w:rsid w:val="005F19A7"/>
    <w:rsid w:val="005F2838"/>
    <w:rsid w:val="005F3739"/>
    <w:rsid w:val="005F3E55"/>
    <w:rsid w:val="005F41A1"/>
    <w:rsid w:val="005F4552"/>
    <w:rsid w:val="005F57C0"/>
    <w:rsid w:val="005F66B7"/>
    <w:rsid w:val="005F75DF"/>
    <w:rsid w:val="00600181"/>
    <w:rsid w:val="0060192C"/>
    <w:rsid w:val="00601AE5"/>
    <w:rsid w:val="00601B4F"/>
    <w:rsid w:val="006031B9"/>
    <w:rsid w:val="006048C7"/>
    <w:rsid w:val="006048E7"/>
    <w:rsid w:val="0060540F"/>
    <w:rsid w:val="006054D1"/>
    <w:rsid w:val="0060667D"/>
    <w:rsid w:val="00606752"/>
    <w:rsid w:val="006074D7"/>
    <w:rsid w:val="00607881"/>
    <w:rsid w:val="006078A7"/>
    <w:rsid w:val="006078EC"/>
    <w:rsid w:val="00607CA9"/>
    <w:rsid w:val="00607D13"/>
    <w:rsid w:val="006106F9"/>
    <w:rsid w:val="00611206"/>
    <w:rsid w:val="00612C2F"/>
    <w:rsid w:val="00613508"/>
    <w:rsid w:val="0061351A"/>
    <w:rsid w:val="00613590"/>
    <w:rsid w:val="006136F6"/>
    <w:rsid w:val="0061453A"/>
    <w:rsid w:val="006153BC"/>
    <w:rsid w:val="00615AA9"/>
    <w:rsid w:val="00615DF0"/>
    <w:rsid w:val="006163D6"/>
    <w:rsid w:val="0061662E"/>
    <w:rsid w:val="00616E82"/>
    <w:rsid w:val="006174F0"/>
    <w:rsid w:val="0061779F"/>
    <w:rsid w:val="006177D6"/>
    <w:rsid w:val="006202B3"/>
    <w:rsid w:val="00621B95"/>
    <w:rsid w:val="00621CB2"/>
    <w:rsid w:val="006222E3"/>
    <w:rsid w:val="00622CC1"/>
    <w:rsid w:val="00623534"/>
    <w:rsid w:val="00623E69"/>
    <w:rsid w:val="00624060"/>
    <w:rsid w:val="00624079"/>
    <w:rsid w:val="00625C6D"/>
    <w:rsid w:val="00626F19"/>
    <w:rsid w:val="006271F6"/>
    <w:rsid w:val="00627281"/>
    <w:rsid w:val="00627EF0"/>
    <w:rsid w:val="00632248"/>
    <w:rsid w:val="0063385C"/>
    <w:rsid w:val="00633CBC"/>
    <w:rsid w:val="00634247"/>
    <w:rsid w:val="00634394"/>
    <w:rsid w:val="006343D9"/>
    <w:rsid w:val="00634488"/>
    <w:rsid w:val="00634770"/>
    <w:rsid w:val="00635B59"/>
    <w:rsid w:val="00635ED5"/>
    <w:rsid w:val="00636875"/>
    <w:rsid w:val="006374F8"/>
    <w:rsid w:val="0064003C"/>
    <w:rsid w:val="00640492"/>
    <w:rsid w:val="006412E4"/>
    <w:rsid w:val="00641A5F"/>
    <w:rsid w:val="00642F23"/>
    <w:rsid w:val="006431D4"/>
    <w:rsid w:val="00643543"/>
    <w:rsid w:val="00643868"/>
    <w:rsid w:val="006444BA"/>
    <w:rsid w:val="006445DE"/>
    <w:rsid w:val="00644FA5"/>
    <w:rsid w:val="00645769"/>
    <w:rsid w:val="00646574"/>
    <w:rsid w:val="006476A0"/>
    <w:rsid w:val="00647744"/>
    <w:rsid w:val="00651D75"/>
    <w:rsid w:val="006523DE"/>
    <w:rsid w:val="006523E9"/>
    <w:rsid w:val="0065274B"/>
    <w:rsid w:val="006531AC"/>
    <w:rsid w:val="006556E2"/>
    <w:rsid w:val="00655824"/>
    <w:rsid w:val="00655E6F"/>
    <w:rsid w:val="00656FFE"/>
    <w:rsid w:val="00660EEA"/>
    <w:rsid w:val="006624CC"/>
    <w:rsid w:val="00662B02"/>
    <w:rsid w:val="00662EDD"/>
    <w:rsid w:val="0066488A"/>
    <w:rsid w:val="00666AD1"/>
    <w:rsid w:val="00667051"/>
    <w:rsid w:val="00671127"/>
    <w:rsid w:val="00671A45"/>
    <w:rsid w:val="00671B34"/>
    <w:rsid w:val="00673DE6"/>
    <w:rsid w:val="00674178"/>
    <w:rsid w:val="0067434E"/>
    <w:rsid w:val="0067502A"/>
    <w:rsid w:val="0067517C"/>
    <w:rsid w:val="0067605A"/>
    <w:rsid w:val="00677920"/>
    <w:rsid w:val="00677EE6"/>
    <w:rsid w:val="006802B9"/>
    <w:rsid w:val="00680CEF"/>
    <w:rsid w:val="00680F17"/>
    <w:rsid w:val="00682557"/>
    <w:rsid w:val="00682677"/>
    <w:rsid w:val="00682AB4"/>
    <w:rsid w:val="00682B19"/>
    <w:rsid w:val="00682FE6"/>
    <w:rsid w:val="00683212"/>
    <w:rsid w:val="00683E85"/>
    <w:rsid w:val="006842D9"/>
    <w:rsid w:val="00684374"/>
    <w:rsid w:val="0068551C"/>
    <w:rsid w:val="006870E0"/>
    <w:rsid w:val="006879B2"/>
    <w:rsid w:val="00687BEA"/>
    <w:rsid w:val="00690843"/>
    <w:rsid w:val="00690BC6"/>
    <w:rsid w:val="00690EC5"/>
    <w:rsid w:val="006913DE"/>
    <w:rsid w:val="00691952"/>
    <w:rsid w:val="006919E8"/>
    <w:rsid w:val="00692356"/>
    <w:rsid w:val="00692E3E"/>
    <w:rsid w:val="006931EB"/>
    <w:rsid w:val="00693D7E"/>
    <w:rsid w:val="00694111"/>
    <w:rsid w:val="00694835"/>
    <w:rsid w:val="00694AB3"/>
    <w:rsid w:val="00694AB8"/>
    <w:rsid w:val="006955A1"/>
    <w:rsid w:val="006956E5"/>
    <w:rsid w:val="0069596F"/>
    <w:rsid w:val="00696073"/>
    <w:rsid w:val="006A006B"/>
    <w:rsid w:val="006A126A"/>
    <w:rsid w:val="006A14CE"/>
    <w:rsid w:val="006A17AF"/>
    <w:rsid w:val="006A1A98"/>
    <w:rsid w:val="006A28FF"/>
    <w:rsid w:val="006A3313"/>
    <w:rsid w:val="006A4083"/>
    <w:rsid w:val="006A46A8"/>
    <w:rsid w:val="006A47F9"/>
    <w:rsid w:val="006A52E8"/>
    <w:rsid w:val="006A54DA"/>
    <w:rsid w:val="006A5E21"/>
    <w:rsid w:val="006A5F72"/>
    <w:rsid w:val="006A611C"/>
    <w:rsid w:val="006A6172"/>
    <w:rsid w:val="006A61A5"/>
    <w:rsid w:val="006A6474"/>
    <w:rsid w:val="006A6F4C"/>
    <w:rsid w:val="006A7308"/>
    <w:rsid w:val="006B04E0"/>
    <w:rsid w:val="006B122D"/>
    <w:rsid w:val="006B2679"/>
    <w:rsid w:val="006B2CD7"/>
    <w:rsid w:val="006B3208"/>
    <w:rsid w:val="006B48CB"/>
    <w:rsid w:val="006B4CED"/>
    <w:rsid w:val="006B6EBC"/>
    <w:rsid w:val="006B70CB"/>
    <w:rsid w:val="006B7983"/>
    <w:rsid w:val="006B7BC6"/>
    <w:rsid w:val="006C0633"/>
    <w:rsid w:val="006C07FE"/>
    <w:rsid w:val="006C0CEA"/>
    <w:rsid w:val="006C102E"/>
    <w:rsid w:val="006C1BEA"/>
    <w:rsid w:val="006C1C2A"/>
    <w:rsid w:val="006C2091"/>
    <w:rsid w:val="006C2283"/>
    <w:rsid w:val="006C2ABF"/>
    <w:rsid w:val="006C2AC7"/>
    <w:rsid w:val="006C2B85"/>
    <w:rsid w:val="006C305C"/>
    <w:rsid w:val="006C41E9"/>
    <w:rsid w:val="006C4B79"/>
    <w:rsid w:val="006C4BEA"/>
    <w:rsid w:val="006C5A35"/>
    <w:rsid w:val="006C5BBC"/>
    <w:rsid w:val="006C5BFB"/>
    <w:rsid w:val="006C5D9E"/>
    <w:rsid w:val="006C6D1B"/>
    <w:rsid w:val="006C6E70"/>
    <w:rsid w:val="006D0A92"/>
    <w:rsid w:val="006D110C"/>
    <w:rsid w:val="006D1310"/>
    <w:rsid w:val="006D1314"/>
    <w:rsid w:val="006D2673"/>
    <w:rsid w:val="006D2853"/>
    <w:rsid w:val="006D38CD"/>
    <w:rsid w:val="006D42A1"/>
    <w:rsid w:val="006D4C28"/>
    <w:rsid w:val="006D4CD0"/>
    <w:rsid w:val="006D617E"/>
    <w:rsid w:val="006D61E8"/>
    <w:rsid w:val="006D64A3"/>
    <w:rsid w:val="006D6A55"/>
    <w:rsid w:val="006D6B42"/>
    <w:rsid w:val="006D6E0D"/>
    <w:rsid w:val="006D742E"/>
    <w:rsid w:val="006D7B92"/>
    <w:rsid w:val="006D7EFE"/>
    <w:rsid w:val="006E05D7"/>
    <w:rsid w:val="006E0969"/>
    <w:rsid w:val="006E0C99"/>
    <w:rsid w:val="006E279C"/>
    <w:rsid w:val="006E3A21"/>
    <w:rsid w:val="006E5021"/>
    <w:rsid w:val="006E5A85"/>
    <w:rsid w:val="006E60A9"/>
    <w:rsid w:val="006E6B7E"/>
    <w:rsid w:val="006F014E"/>
    <w:rsid w:val="006F09BC"/>
    <w:rsid w:val="006F0CEB"/>
    <w:rsid w:val="006F0EFC"/>
    <w:rsid w:val="006F3073"/>
    <w:rsid w:val="006F3B64"/>
    <w:rsid w:val="006F4B10"/>
    <w:rsid w:val="006F4BE4"/>
    <w:rsid w:val="006F4F0F"/>
    <w:rsid w:val="006F5642"/>
    <w:rsid w:val="006F5A3F"/>
    <w:rsid w:val="006F5A9C"/>
    <w:rsid w:val="006F66F4"/>
    <w:rsid w:val="006F7193"/>
    <w:rsid w:val="006F7403"/>
    <w:rsid w:val="006F7567"/>
    <w:rsid w:val="006F782F"/>
    <w:rsid w:val="006F7895"/>
    <w:rsid w:val="00700256"/>
    <w:rsid w:val="007008D3"/>
    <w:rsid w:val="00700A5D"/>
    <w:rsid w:val="00700B1D"/>
    <w:rsid w:val="00700E8A"/>
    <w:rsid w:val="00701E09"/>
    <w:rsid w:val="00702687"/>
    <w:rsid w:val="00702A5A"/>
    <w:rsid w:val="00703AA0"/>
    <w:rsid w:val="00703FA7"/>
    <w:rsid w:val="00704D9D"/>
    <w:rsid w:val="007051D2"/>
    <w:rsid w:val="0070575C"/>
    <w:rsid w:val="007058A9"/>
    <w:rsid w:val="007061A7"/>
    <w:rsid w:val="007068E4"/>
    <w:rsid w:val="007073A2"/>
    <w:rsid w:val="00711B93"/>
    <w:rsid w:val="007129B9"/>
    <w:rsid w:val="00712C75"/>
    <w:rsid w:val="007133DC"/>
    <w:rsid w:val="007138A4"/>
    <w:rsid w:val="00713DD9"/>
    <w:rsid w:val="0071416B"/>
    <w:rsid w:val="00715733"/>
    <w:rsid w:val="0071603F"/>
    <w:rsid w:val="007176A7"/>
    <w:rsid w:val="00717AFD"/>
    <w:rsid w:val="00720354"/>
    <w:rsid w:val="00721521"/>
    <w:rsid w:val="007215F9"/>
    <w:rsid w:val="00721C79"/>
    <w:rsid w:val="00723100"/>
    <w:rsid w:val="007235A2"/>
    <w:rsid w:val="007238A7"/>
    <w:rsid w:val="00723D69"/>
    <w:rsid w:val="007248EB"/>
    <w:rsid w:val="00725291"/>
    <w:rsid w:val="00726331"/>
    <w:rsid w:val="007268CE"/>
    <w:rsid w:val="00727292"/>
    <w:rsid w:val="00727376"/>
    <w:rsid w:val="007313DE"/>
    <w:rsid w:val="00731590"/>
    <w:rsid w:val="007320B2"/>
    <w:rsid w:val="00732650"/>
    <w:rsid w:val="00733298"/>
    <w:rsid w:val="00734653"/>
    <w:rsid w:val="00734ACC"/>
    <w:rsid w:val="0073663C"/>
    <w:rsid w:val="00736B14"/>
    <w:rsid w:val="00736B7C"/>
    <w:rsid w:val="00736CAA"/>
    <w:rsid w:val="00737E3D"/>
    <w:rsid w:val="00740473"/>
    <w:rsid w:val="00740A6F"/>
    <w:rsid w:val="00740AF2"/>
    <w:rsid w:val="007431D7"/>
    <w:rsid w:val="007435A3"/>
    <w:rsid w:val="0074363B"/>
    <w:rsid w:val="0074407B"/>
    <w:rsid w:val="00744700"/>
    <w:rsid w:val="00744BD4"/>
    <w:rsid w:val="00745513"/>
    <w:rsid w:val="00746023"/>
    <w:rsid w:val="007465D2"/>
    <w:rsid w:val="00746AE3"/>
    <w:rsid w:val="007479B8"/>
    <w:rsid w:val="00747A3C"/>
    <w:rsid w:val="007501A0"/>
    <w:rsid w:val="00750B9A"/>
    <w:rsid w:val="00750D64"/>
    <w:rsid w:val="007518F2"/>
    <w:rsid w:val="00752472"/>
    <w:rsid w:val="00752EE9"/>
    <w:rsid w:val="00753133"/>
    <w:rsid w:val="0075313A"/>
    <w:rsid w:val="0075320E"/>
    <w:rsid w:val="007535DB"/>
    <w:rsid w:val="00754C9E"/>
    <w:rsid w:val="00754F7B"/>
    <w:rsid w:val="00755749"/>
    <w:rsid w:val="007562BB"/>
    <w:rsid w:val="00756400"/>
    <w:rsid w:val="007566C1"/>
    <w:rsid w:val="00756DB8"/>
    <w:rsid w:val="00757069"/>
    <w:rsid w:val="0076067E"/>
    <w:rsid w:val="007610B4"/>
    <w:rsid w:val="00761F2B"/>
    <w:rsid w:val="00762B03"/>
    <w:rsid w:val="00762EE0"/>
    <w:rsid w:val="007632DB"/>
    <w:rsid w:val="00763577"/>
    <w:rsid w:val="007637CD"/>
    <w:rsid w:val="007637DF"/>
    <w:rsid w:val="00763B5D"/>
    <w:rsid w:val="007641E5"/>
    <w:rsid w:val="0076455E"/>
    <w:rsid w:val="00764813"/>
    <w:rsid w:val="00764BC6"/>
    <w:rsid w:val="00765E52"/>
    <w:rsid w:val="00765F09"/>
    <w:rsid w:val="00765FF2"/>
    <w:rsid w:val="0076646F"/>
    <w:rsid w:val="00766A59"/>
    <w:rsid w:val="00766CAA"/>
    <w:rsid w:val="00767124"/>
    <w:rsid w:val="0076761F"/>
    <w:rsid w:val="0076779B"/>
    <w:rsid w:val="00767D7E"/>
    <w:rsid w:val="00767DA2"/>
    <w:rsid w:val="00767E42"/>
    <w:rsid w:val="00770FC5"/>
    <w:rsid w:val="007723D1"/>
    <w:rsid w:val="00772B30"/>
    <w:rsid w:val="00772C5B"/>
    <w:rsid w:val="007730A5"/>
    <w:rsid w:val="0077381D"/>
    <w:rsid w:val="007738C7"/>
    <w:rsid w:val="00773C67"/>
    <w:rsid w:val="00774842"/>
    <w:rsid w:val="0077653D"/>
    <w:rsid w:val="007771A9"/>
    <w:rsid w:val="007773A9"/>
    <w:rsid w:val="007801E9"/>
    <w:rsid w:val="00780D9D"/>
    <w:rsid w:val="00781046"/>
    <w:rsid w:val="00781833"/>
    <w:rsid w:val="0078206B"/>
    <w:rsid w:val="007821E6"/>
    <w:rsid w:val="007827C1"/>
    <w:rsid w:val="0078296D"/>
    <w:rsid w:val="00782DB7"/>
    <w:rsid w:val="007839F2"/>
    <w:rsid w:val="00783EDF"/>
    <w:rsid w:val="0078437B"/>
    <w:rsid w:val="0078454D"/>
    <w:rsid w:val="00784A63"/>
    <w:rsid w:val="007851CF"/>
    <w:rsid w:val="00785A19"/>
    <w:rsid w:val="00785D22"/>
    <w:rsid w:val="00786C0C"/>
    <w:rsid w:val="00786CDB"/>
    <w:rsid w:val="00787069"/>
    <w:rsid w:val="0078736A"/>
    <w:rsid w:val="00790199"/>
    <w:rsid w:val="00790F25"/>
    <w:rsid w:val="0079157C"/>
    <w:rsid w:val="0079186D"/>
    <w:rsid w:val="007921D5"/>
    <w:rsid w:val="00792DC7"/>
    <w:rsid w:val="00792E70"/>
    <w:rsid w:val="00793085"/>
    <w:rsid w:val="00793A75"/>
    <w:rsid w:val="00793CAC"/>
    <w:rsid w:val="00793FE3"/>
    <w:rsid w:val="007941D2"/>
    <w:rsid w:val="0079488E"/>
    <w:rsid w:val="00795195"/>
    <w:rsid w:val="00796230"/>
    <w:rsid w:val="007975A3"/>
    <w:rsid w:val="007A05B0"/>
    <w:rsid w:val="007A0AD7"/>
    <w:rsid w:val="007A0E34"/>
    <w:rsid w:val="007A1865"/>
    <w:rsid w:val="007A2042"/>
    <w:rsid w:val="007A3FC6"/>
    <w:rsid w:val="007A4086"/>
    <w:rsid w:val="007A4530"/>
    <w:rsid w:val="007A4557"/>
    <w:rsid w:val="007A5556"/>
    <w:rsid w:val="007A5CF4"/>
    <w:rsid w:val="007A6709"/>
    <w:rsid w:val="007B0CFD"/>
    <w:rsid w:val="007B0E11"/>
    <w:rsid w:val="007B13EE"/>
    <w:rsid w:val="007B17D3"/>
    <w:rsid w:val="007B1AED"/>
    <w:rsid w:val="007B2327"/>
    <w:rsid w:val="007B371A"/>
    <w:rsid w:val="007B3781"/>
    <w:rsid w:val="007B42F8"/>
    <w:rsid w:val="007B50C9"/>
    <w:rsid w:val="007B6D6B"/>
    <w:rsid w:val="007B6DA0"/>
    <w:rsid w:val="007B6DCA"/>
    <w:rsid w:val="007B7F8F"/>
    <w:rsid w:val="007C00FE"/>
    <w:rsid w:val="007C06C9"/>
    <w:rsid w:val="007C13B6"/>
    <w:rsid w:val="007C1C51"/>
    <w:rsid w:val="007C1CA9"/>
    <w:rsid w:val="007C1D9E"/>
    <w:rsid w:val="007C2DD6"/>
    <w:rsid w:val="007C3798"/>
    <w:rsid w:val="007C37F0"/>
    <w:rsid w:val="007C55FF"/>
    <w:rsid w:val="007C5947"/>
    <w:rsid w:val="007C6886"/>
    <w:rsid w:val="007C6B14"/>
    <w:rsid w:val="007C6C75"/>
    <w:rsid w:val="007C71D4"/>
    <w:rsid w:val="007C7BC1"/>
    <w:rsid w:val="007D0EE3"/>
    <w:rsid w:val="007D0FD3"/>
    <w:rsid w:val="007D1A7C"/>
    <w:rsid w:val="007D21D1"/>
    <w:rsid w:val="007D24BB"/>
    <w:rsid w:val="007D26FB"/>
    <w:rsid w:val="007D276A"/>
    <w:rsid w:val="007D2D25"/>
    <w:rsid w:val="007D333A"/>
    <w:rsid w:val="007D53E4"/>
    <w:rsid w:val="007D5662"/>
    <w:rsid w:val="007D635F"/>
    <w:rsid w:val="007E0780"/>
    <w:rsid w:val="007E0CAB"/>
    <w:rsid w:val="007E1D84"/>
    <w:rsid w:val="007E28CF"/>
    <w:rsid w:val="007E336C"/>
    <w:rsid w:val="007E3899"/>
    <w:rsid w:val="007E39EE"/>
    <w:rsid w:val="007E4A0C"/>
    <w:rsid w:val="007E5212"/>
    <w:rsid w:val="007E55D1"/>
    <w:rsid w:val="007E576E"/>
    <w:rsid w:val="007E5998"/>
    <w:rsid w:val="007E5F5D"/>
    <w:rsid w:val="007E6221"/>
    <w:rsid w:val="007E63F5"/>
    <w:rsid w:val="007E65A0"/>
    <w:rsid w:val="007E6A18"/>
    <w:rsid w:val="007E782F"/>
    <w:rsid w:val="007E7D7A"/>
    <w:rsid w:val="007E7F9D"/>
    <w:rsid w:val="007F062D"/>
    <w:rsid w:val="007F0EC0"/>
    <w:rsid w:val="007F0EED"/>
    <w:rsid w:val="007F139E"/>
    <w:rsid w:val="007F151A"/>
    <w:rsid w:val="007F28D2"/>
    <w:rsid w:val="007F3118"/>
    <w:rsid w:val="007F3287"/>
    <w:rsid w:val="007F354D"/>
    <w:rsid w:val="007F3BAB"/>
    <w:rsid w:val="007F3EA5"/>
    <w:rsid w:val="007F4351"/>
    <w:rsid w:val="007F4425"/>
    <w:rsid w:val="007F444F"/>
    <w:rsid w:val="007F51E8"/>
    <w:rsid w:val="007F5356"/>
    <w:rsid w:val="007F5B39"/>
    <w:rsid w:val="007F63E4"/>
    <w:rsid w:val="007F6890"/>
    <w:rsid w:val="007F7E19"/>
    <w:rsid w:val="00800F13"/>
    <w:rsid w:val="00801055"/>
    <w:rsid w:val="0080118E"/>
    <w:rsid w:val="00801476"/>
    <w:rsid w:val="00801A00"/>
    <w:rsid w:val="00801F0B"/>
    <w:rsid w:val="0080216E"/>
    <w:rsid w:val="00802DC8"/>
    <w:rsid w:val="008031C1"/>
    <w:rsid w:val="008031CA"/>
    <w:rsid w:val="00804BD2"/>
    <w:rsid w:val="00805179"/>
    <w:rsid w:val="0080517F"/>
    <w:rsid w:val="008063EF"/>
    <w:rsid w:val="00806B65"/>
    <w:rsid w:val="0080700D"/>
    <w:rsid w:val="0081002B"/>
    <w:rsid w:val="0081017B"/>
    <w:rsid w:val="008103AC"/>
    <w:rsid w:val="00810DCD"/>
    <w:rsid w:val="00810E08"/>
    <w:rsid w:val="0081223E"/>
    <w:rsid w:val="008126C8"/>
    <w:rsid w:val="008133DC"/>
    <w:rsid w:val="00813C26"/>
    <w:rsid w:val="00814099"/>
    <w:rsid w:val="0081441F"/>
    <w:rsid w:val="00814721"/>
    <w:rsid w:val="008148EB"/>
    <w:rsid w:val="00814E0E"/>
    <w:rsid w:val="00814E50"/>
    <w:rsid w:val="00815685"/>
    <w:rsid w:val="00816A32"/>
    <w:rsid w:val="00816BDB"/>
    <w:rsid w:val="008178E9"/>
    <w:rsid w:val="0082069C"/>
    <w:rsid w:val="00821A7A"/>
    <w:rsid w:val="00821DFE"/>
    <w:rsid w:val="008221FC"/>
    <w:rsid w:val="00822593"/>
    <w:rsid w:val="00823D96"/>
    <w:rsid w:val="0082465E"/>
    <w:rsid w:val="00824C54"/>
    <w:rsid w:val="00824F15"/>
    <w:rsid w:val="00825106"/>
    <w:rsid w:val="0082581F"/>
    <w:rsid w:val="00825892"/>
    <w:rsid w:val="008258D0"/>
    <w:rsid w:val="008258FF"/>
    <w:rsid w:val="00826A64"/>
    <w:rsid w:val="00826C52"/>
    <w:rsid w:val="00826F63"/>
    <w:rsid w:val="00827848"/>
    <w:rsid w:val="00827CE8"/>
    <w:rsid w:val="00830FAD"/>
    <w:rsid w:val="00831011"/>
    <w:rsid w:val="00831548"/>
    <w:rsid w:val="008319F0"/>
    <w:rsid w:val="00831B34"/>
    <w:rsid w:val="00831B75"/>
    <w:rsid w:val="008323C8"/>
    <w:rsid w:val="00832FC0"/>
    <w:rsid w:val="00833066"/>
    <w:rsid w:val="00833DE5"/>
    <w:rsid w:val="00833FE7"/>
    <w:rsid w:val="008346A2"/>
    <w:rsid w:val="00834C68"/>
    <w:rsid w:val="00835863"/>
    <w:rsid w:val="0083666C"/>
    <w:rsid w:val="00836E25"/>
    <w:rsid w:val="00837EA9"/>
    <w:rsid w:val="00842C26"/>
    <w:rsid w:val="00843963"/>
    <w:rsid w:val="00843F7C"/>
    <w:rsid w:val="0084515F"/>
    <w:rsid w:val="00845350"/>
    <w:rsid w:val="008453B4"/>
    <w:rsid w:val="008457F5"/>
    <w:rsid w:val="00845B00"/>
    <w:rsid w:val="00845CB7"/>
    <w:rsid w:val="00845DB8"/>
    <w:rsid w:val="00846932"/>
    <w:rsid w:val="00846B39"/>
    <w:rsid w:val="00846D90"/>
    <w:rsid w:val="008473B0"/>
    <w:rsid w:val="0084750A"/>
    <w:rsid w:val="008475BA"/>
    <w:rsid w:val="00847848"/>
    <w:rsid w:val="00847C07"/>
    <w:rsid w:val="00850762"/>
    <w:rsid w:val="00852640"/>
    <w:rsid w:val="00852A1C"/>
    <w:rsid w:val="008535BD"/>
    <w:rsid w:val="0085361B"/>
    <w:rsid w:val="008548F4"/>
    <w:rsid w:val="00854CC5"/>
    <w:rsid w:val="00855246"/>
    <w:rsid w:val="00855F70"/>
    <w:rsid w:val="008575B2"/>
    <w:rsid w:val="00860AD8"/>
    <w:rsid w:val="00860BEC"/>
    <w:rsid w:val="008619AF"/>
    <w:rsid w:val="00861A00"/>
    <w:rsid w:val="00862780"/>
    <w:rsid w:val="0086290A"/>
    <w:rsid w:val="008633FA"/>
    <w:rsid w:val="008648D5"/>
    <w:rsid w:val="00864CA9"/>
    <w:rsid w:val="00864FBD"/>
    <w:rsid w:val="008650EC"/>
    <w:rsid w:val="00865311"/>
    <w:rsid w:val="0086555B"/>
    <w:rsid w:val="008657C6"/>
    <w:rsid w:val="0086594E"/>
    <w:rsid w:val="00866013"/>
    <w:rsid w:val="00867C1D"/>
    <w:rsid w:val="00870115"/>
    <w:rsid w:val="00870881"/>
    <w:rsid w:val="00870F7D"/>
    <w:rsid w:val="00871BB3"/>
    <w:rsid w:val="00871BEF"/>
    <w:rsid w:val="00871C3D"/>
    <w:rsid w:val="008723B7"/>
    <w:rsid w:val="0087241A"/>
    <w:rsid w:val="00872963"/>
    <w:rsid w:val="00873A4F"/>
    <w:rsid w:val="008741B2"/>
    <w:rsid w:val="008744C5"/>
    <w:rsid w:val="00874960"/>
    <w:rsid w:val="00874AF2"/>
    <w:rsid w:val="00875034"/>
    <w:rsid w:val="0087508D"/>
    <w:rsid w:val="008759C3"/>
    <w:rsid w:val="00875E50"/>
    <w:rsid w:val="00876C97"/>
    <w:rsid w:val="00876E80"/>
    <w:rsid w:val="00877023"/>
    <w:rsid w:val="0087714E"/>
    <w:rsid w:val="00877B7F"/>
    <w:rsid w:val="008804E5"/>
    <w:rsid w:val="00881632"/>
    <w:rsid w:val="00881F75"/>
    <w:rsid w:val="00882899"/>
    <w:rsid w:val="00882E64"/>
    <w:rsid w:val="00883505"/>
    <w:rsid w:val="00883F3E"/>
    <w:rsid w:val="00884308"/>
    <w:rsid w:val="008868F4"/>
    <w:rsid w:val="008869A6"/>
    <w:rsid w:val="008872D0"/>
    <w:rsid w:val="008877F5"/>
    <w:rsid w:val="00887E5D"/>
    <w:rsid w:val="00887F2C"/>
    <w:rsid w:val="00890387"/>
    <w:rsid w:val="00890E32"/>
    <w:rsid w:val="008911FD"/>
    <w:rsid w:val="008915D3"/>
    <w:rsid w:val="00891699"/>
    <w:rsid w:val="00892358"/>
    <w:rsid w:val="0089276E"/>
    <w:rsid w:val="008937D8"/>
    <w:rsid w:val="00893CD6"/>
    <w:rsid w:val="00894204"/>
    <w:rsid w:val="008944CD"/>
    <w:rsid w:val="00894EBE"/>
    <w:rsid w:val="00895469"/>
    <w:rsid w:val="0089589C"/>
    <w:rsid w:val="00895C03"/>
    <w:rsid w:val="00896121"/>
    <w:rsid w:val="00896193"/>
    <w:rsid w:val="0089696A"/>
    <w:rsid w:val="008972E1"/>
    <w:rsid w:val="008A04DD"/>
    <w:rsid w:val="008A08BD"/>
    <w:rsid w:val="008A0D92"/>
    <w:rsid w:val="008A0EBE"/>
    <w:rsid w:val="008A1250"/>
    <w:rsid w:val="008A1942"/>
    <w:rsid w:val="008A2DB1"/>
    <w:rsid w:val="008A2F2E"/>
    <w:rsid w:val="008A33E7"/>
    <w:rsid w:val="008A33F5"/>
    <w:rsid w:val="008A43EF"/>
    <w:rsid w:val="008A4ABD"/>
    <w:rsid w:val="008A5246"/>
    <w:rsid w:val="008A65FE"/>
    <w:rsid w:val="008A7E01"/>
    <w:rsid w:val="008A7E4E"/>
    <w:rsid w:val="008B00B0"/>
    <w:rsid w:val="008B07A5"/>
    <w:rsid w:val="008B0EBC"/>
    <w:rsid w:val="008B1248"/>
    <w:rsid w:val="008B166D"/>
    <w:rsid w:val="008B568D"/>
    <w:rsid w:val="008B64F2"/>
    <w:rsid w:val="008B678A"/>
    <w:rsid w:val="008B6D74"/>
    <w:rsid w:val="008B706A"/>
    <w:rsid w:val="008B7676"/>
    <w:rsid w:val="008B7EC6"/>
    <w:rsid w:val="008C1338"/>
    <w:rsid w:val="008C16AB"/>
    <w:rsid w:val="008C1FE9"/>
    <w:rsid w:val="008C2155"/>
    <w:rsid w:val="008C28CB"/>
    <w:rsid w:val="008C3A96"/>
    <w:rsid w:val="008C4C2E"/>
    <w:rsid w:val="008C53DB"/>
    <w:rsid w:val="008C5920"/>
    <w:rsid w:val="008C5AAE"/>
    <w:rsid w:val="008C60E0"/>
    <w:rsid w:val="008C6FC1"/>
    <w:rsid w:val="008D070A"/>
    <w:rsid w:val="008D20BC"/>
    <w:rsid w:val="008D2D22"/>
    <w:rsid w:val="008D30E4"/>
    <w:rsid w:val="008D3508"/>
    <w:rsid w:val="008D3531"/>
    <w:rsid w:val="008D3BFE"/>
    <w:rsid w:val="008D4941"/>
    <w:rsid w:val="008D5710"/>
    <w:rsid w:val="008D59A1"/>
    <w:rsid w:val="008D6474"/>
    <w:rsid w:val="008D6C5C"/>
    <w:rsid w:val="008D7BDC"/>
    <w:rsid w:val="008D7F80"/>
    <w:rsid w:val="008E0158"/>
    <w:rsid w:val="008E1DA7"/>
    <w:rsid w:val="008E2491"/>
    <w:rsid w:val="008E278B"/>
    <w:rsid w:val="008E2C92"/>
    <w:rsid w:val="008E30F0"/>
    <w:rsid w:val="008E3CF8"/>
    <w:rsid w:val="008E4A38"/>
    <w:rsid w:val="008E517B"/>
    <w:rsid w:val="008E55C3"/>
    <w:rsid w:val="008E5790"/>
    <w:rsid w:val="008E6DEE"/>
    <w:rsid w:val="008F0397"/>
    <w:rsid w:val="008F22AE"/>
    <w:rsid w:val="008F23CD"/>
    <w:rsid w:val="008F2507"/>
    <w:rsid w:val="008F27B8"/>
    <w:rsid w:val="008F2D14"/>
    <w:rsid w:val="008F2FA0"/>
    <w:rsid w:val="008F3642"/>
    <w:rsid w:val="008F38B9"/>
    <w:rsid w:val="008F404F"/>
    <w:rsid w:val="008F476E"/>
    <w:rsid w:val="008F4969"/>
    <w:rsid w:val="008F4E23"/>
    <w:rsid w:val="008F5AFB"/>
    <w:rsid w:val="008F5BF1"/>
    <w:rsid w:val="008F5DA0"/>
    <w:rsid w:val="008F7141"/>
    <w:rsid w:val="008F791A"/>
    <w:rsid w:val="0090000B"/>
    <w:rsid w:val="00900B68"/>
    <w:rsid w:val="00901B9D"/>
    <w:rsid w:val="00901E00"/>
    <w:rsid w:val="0090204E"/>
    <w:rsid w:val="00902C16"/>
    <w:rsid w:val="00902DD3"/>
    <w:rsid w:val="009033A1"/>
    <w:rsid w:val="0090469C"/>
    <w:rsid w:val="00905903"/>
    <w:rsid w:val="0090647A"/>
    <w:rsid w:val="009066C2"/>
    <w:rsid w:val="009071F3"/>
    <w:rsid w:val="0090722F"/>
    <w:rsid w:val="009075BE"/>
    <w:rsid w:val="00907A56"/>
    <w:rsid w:val="00907DE2"/>
    <w:rsid w:val="00907FB9"/>
    <w:rsid w:val="00910206"/>
    <w:rsid w:val="00912777"/>
    <w:rsid w:val="00912D1F"/>
    <w:rsid w:val="00912D28"/>
    <w:rsid w:val="00913242"/>
    <w:rsid w:val="00913399"/>
    <w:rsid w:val="009136E9"/>
    <w:rsid w:val="00914430"/>
    <w:rsid w:val="0091487D"/>
    <w:rsid w:val="0091498B"/>
    <w:rsid w:val="0091544A"/>
    <w:rsid w:val="009156A6"/>
    <w:rsid w:val="00920DAE"/>
    <w:rsid w:val="009212C1"/>
    <w:rsid w:val="009231C3"/>
    <w:rsid w:val="009233BA"/>
    <w:rsid w:val="0092346A"/>
    <w:rsid w:val="00923A71"/>
    <w:rsid w:val="00923AD5"/>
    <w:rsid w:val="00923B8F"/>
    <w:rsid w:val="00923CD7"/>
    <w:rsid w:val="00923D5C"/>
    <w:rsid w:val="00923EF6"/>
    <w:rsid w:val="00924CF8"/>
    <w:rsid w:val="00925D6C"/>
    <w:rsid w:val="00926097"/>
    <w:rsid w:val="0092742A"/>
    <w:rsid w:val="009276C5"/>
    <w:rsid w:val="00927DE6"/>
    <w:rsid w:val="0093058D"/>
    <w:rsid w:val="0093083F"/>
    <w:rsid w:val="00930DFE"/>
    <w:rsid w:val="00931157"/>
    <w:rsid w:val="009323BB"/>
    <w:rsid w:val="009324FC"/>
    <w:rsid w:val="00933C29"/>
    <w:rsid w:val="00934A41"/>
    <w:rsid w:val="00934AEA"/>
    <w:rsid w:val="00934E9E"/>
    <w:rsid w:val="00934FE5"/>
    <w:rsid w:val="00935035"/>
    <w:rsid w:val="00936B7E"/>
    <w:rsid w:val="00936E90"/>
    <w:rsid w:val="00937C66"/>
    <w:rsid w:val="00940505"/>
    <w:rsid w:val="009406A4"/>
    <w:rsid w:val="0094109E"/>
    <w:rsid w:val="009419D5"/>
    <w:rsid w:val="009423C9"/>
    <w:rsid w:val="0094346A"/>
    <w:rsid w:val="00945019"/>
    <w:rsid w:val="0094502B"/>
    <w:rsid w:val="009465C9"/>
    <w:rsid w:val="0094781F"/>
    <w:rsid w:val="00947D88"/>
    <w:rsid w:val="00947DDB"/>
    <w:rsid w:val="00947DFE"/>
    <w:rsid w:val="009504C6"/>
    <w:rsid w:val="00950803"/>
    <w:rsid w:val="009509AF"/>
    <w:rsid w:val="00951582"/>
    <w:rsid w:val="00951997"/>
    <w:rsid w:val="00951A58"/>
    <w:rsid w:val="00951B6F"/>
    <w:rsid w:val="00951B8B"/>
    <w:rsid w:val="00951EC1"/>
    <w:rsid w:val="009524BF"/>
    <w:rsid w:val="00952D52"/>
    <w:rsid w:val="0095351C"/>
    <w:rsid w:val="0095368E"/>
    <w:rsid w:val="009546BF"/>
    <w:rsid w:val="00954868"/>
    <w:rsid w:val="00954BF2"/>
    <w:rsid w:val="00955258"/>
    <w:rsid w:val="00955412"/>
    <w:rsid w:val="0095558A"/>
    <w:rsid w:val="009563EC"/>
    <w:rsid w:val="00956DE9"/>
    <w:rsid w:val="00957106"/>
    <w:rsid w:val="0095749D"/>
    <w:rsid w:val="009576D6"/>
    <w:rsid w:val="00957CAD"/>
    <w:rsid w:val="00957D5F"/>
    <w:rsid w:val="00960780"/>
    <w:rsid w:val="0096091D"/>
    <w:rsid w:val="00960A2D"/>
    <w:rsid w:val="00962745"/>
    <w:rsid w:val="009629D2"/>
    <w:rsid w:val="00962D06"/>
    <w:rsid w:val="00962F23"/>
    <w:rsid w:val="00962F64"/>
    <w:rsid w:val="009633C5"/>
    <w:rsid w:val="009638C0"/>
    <w:rsid w:val="00964E70"/>
    <w:rsid w:val="00965360"/>
    <w:rsid w:val="009662CF"/>
    <w:rsid w:val="0096654C"/>
    <w:rsid w:val="0096655A"/>
    <w:rsid w:val="00967444"/>
    <w:rsid w:val="00967B4F"/>
    <w:rsid w:val="00967DAE"/>
    <w:rsid w:val="0097021F"/>
    <w:rsid w:val="00971040"/>
    <w:rsid w:val="0097294E"/>
    <w:rsid w:val="00973014"/>
    <w:rsid w:val="00973828"/>
    <w:rsid w:val="00974476"/>
    <w:rsid w:val="009748A5"/>
    <w:rsid w:val="00974C3A"/>
    <w:rsid w:val="00975023"/>
    <w:rsid w:val="00975934"/>
    <w:rsid w:val="00975DEE"/>
    <w:rsid w:val="00976602"/>
    <w:rsid w:val="009773B8"/>
    <w:rsid w:val="00977B0D"/>
    <w:rsid w:val="00977B8B"/>
    <w:rsid w:val="00980D87"/>
    <w:rsid w:val="00981013"/>
    <w:rsid w:val="00981C18"/>
    <w:rsid w:val="00981E1D"/>
    <w:rsid w:val="00983AC4"/>
    <w:rsid w:val="00984203"/>
    <w:rsid w:val="00984683"/>
    <w:rsid w:val="00985525"/>
    <w:rsid w:val="00986607"/>
    <w:rsid w:val="0098675E"/>
    <w:rsid w:val="00986A45"/>
    <w:rsid w:val="00986A64"/>
    <w:rsid w:val="00986E0E"/>
    <w:rsid w:val="00986E51"/>
    <w:rsid w:val="009870C3"/>
    <w:rsid w:val="0098772A"/>
    <w:rsid w:val="00987915"/>
    <w:rsid w:val="009902FD"/>
    <w:rsid w:val="009903AF"/>
    <w:rsid w:val="009905B6"/>
    <w:rsid w:val="00990746"/>
    <w:rsid w:val="009912A1"/>
    <w:rsid w:val="0099133E"/>
    <w:rsid w:val="00991A7A"/>
    <w:rsid w:val="00991E7A"/>
    <w:rsid w:val="00992275"/>
    <w:rsid w:val="0099241F"/>
    <w:rsid w:val="00992FBD"/>
    <w:rsid w:val="009939FC"/>
    <w:rsid w:val="00993F19"/>
    <w:rsid w:val="00994160"/>
    <w:rsid w:val="009941E9"/>
    <w:rsid w:val="009956A0"/>
    <w:rsid w:val="00995D3B"/>
    <w:rsid w:val="00996259"/>
    <w:rsid w:val="00996421"/>
    <w:rsid w:val="00996CEA"/>
    <w:rsid w:val="00996FD5"/>
    <w:rsid w:val="009A12EB"/>
    <w:rsid w:val="009A140D"/>
    <w:rsid w:val="009A1BC0"/>
    <w:rsid w:val="009A1CBA"/>
    <w:rsid w:val="009A229E"/>
    <w:rsid w:val="009A2334"/>
    <w:rsid w:val="009A2486"/>
    <w:rsid w:val="009A43FE"/>
    <w:rsid w:val="009A4692"/>
    <w:rsid w:val="009A4A38"/>
    <w:rsid w:val="009A4F1A"/>
    <w:rsid w:val="009A51A3"/>
    <w:rsid w:val="009A5969"/>
    <w:rsid w:val="009A60EF"/>
    <w:rsid w:val="009A6663"/>
    <w:rsid w:val="009A67A8"/>
    <w:rsid w:val="009A69C9"/>
    <w:rsid w:val="009A6EC8"/>
    <w:rsid w:val="009A7609"/>
    <w:rsid w:val="009B000B"/>
    <w:rsid w:val="009B0523"/>
    <w:rsid w:val="009B0B01"/>
    <w:rsid w:val="009B10CB"/>
    <w:rsid w:val="009B13C3"/>
    <w:rsid w:val="009B30C0"/>
    <w:rsid w:val="009B3660"/>
    <w:rsid w:val="009B4103"/>
    <w:rsid w:val="009B4C9A"/>
    <w:rsid w:val="009B5223"/>
    <w:rsid w:val="009B54FE"/>
    <w:rsid w:val="009B5772"/>
    <w:rsid w:val="009B58EC"/>
    <w:rsid w:val="009B5A35"/>
    <w:rsid w:val="009B6662"/>
    <w:rsid w:val="009B66B7"/>
    <w:rsid w:val="009B6E6F"/>
    <w:rsid w:val="009C117E"/>
    <w:rsid w:val="009C1DC0"/>
    <w:rsid w:val="009C4A8C"/>
    <w:rsid w:val="009C4AC6"/>
    <w:rsid w:val="009C5BA7"/>
    <w:rsid w:val="009C6B6C"/>
    <w:rsid w:val="009C6D56"/>
    <w:rsid w:val="009C6E90"/>
    <w:rsid w:val="009C763A"/>
    <w:rsid w:val="009D10A6"/>
    <w:rsid w:val="009D111E"/>
    <w:rsid w:val="009D1C32"/>
    <w:rsid w:val="009D1C8C"/>
    <w:rsid w:val="009D22FD"/>
    <w:rsid w:val="009D2B20"/>
    <w:rsid w:val="009D2F0F"/>
    <w:rsid w:val="009D2FF3"/>
    <w:rsid w:val="009D3052"/>
    <w:rsid w:val="009D4CC0"/>
    <w:rsid w:val="009D5354"/>
    <w:rsid w:val="009D6339"/>
    <w:rsid w:val="009D696E"/>
    <w:rsid w:val="009D7374"/>
    <w:rsid w:val="009D7B14"/>
    <w:rsid w:val="009D7DA4"/>
    <w:rsid w:val="009E08CA"/>
    <w:rsid w:val="009E1DDD"/>
    <w:rsid w:val="009E228C"/>
    <w:rsid w:val="009E3263"/>
    <w:rsid w:val="009E46F2"/>
    <w:rsid w:val="009E54EF"/>
    <w:rsid w:val="009E6290"/>
    <w:rsid w:val="009E75ED"/>
    <w:rsid w:val="009F1598"/>
    <w:rsid w:val="009F17E8"/>
    <w:rsid w:val="009F1A94"/>
    <w:rsid w:val="009F1ACD"/>
    <w:rsid w:val="009F2002"/>
    <w:rsid w:val="009F2395"/>
    <w:rsid w:val="009F2892"/>
    <w:rsid w:val="009F2AF8"/>
    <w:rsid w:val="009F2D65"/>
    <w:rsid w:val="009F5165"/>
    <w:rsid w:val="009F52EF"/>
    <w:rsid w:val="009F5BC0"/>
    <w:rsid w:val="009F5CC2"/>
    <w:rsid w:val="009F6548"/>
    <w:rsid w:val="009F68E7"/>
    <w:rsid w:val="009F6CEF"/>
    <w:rsid w:val="009F6D31"/>
    <w:rsid w:val="009F70D1"/>
    <w:rsid w:val="009F7697"/>
    <w:rsid w:val="009F7830"/>
    <w:rsid w:val="00A01FFF"/>
    <w:rsid w:val="00A0222F"/>
    <w:rsid w:val="00A02828"/>
    <w:rsid w:val="00A02856"/>
    <w:rsid w:val="00A029A2"/>
    <w:rsid w:val="00A02B62"/>
    <w:rsid w:val="00A02F93"/>
    <w:rsid w:val="00A04975"/>
    <w:rsid w:val="00A04ADC"/>
    <w:rsid w:val="00A04ECA"/>
    <w:rsid w:val="00A051C6"/>
    <w:rsid w:val="00A05CE1"/>
    <w:rsid w:val="00A05CE2"/>
    <w:rsid w:val="00A06AF9"/>
    <w:rsid w:val="00A07678"/>
    <w:rsid w:val="00A10360"/>
    <w:rsid w:val="00A10527"/>
    <w:rsid w:val="00A1160F"/>
    <w:rsid w:val="00A12017"/>
    <w:rsid w:val="00A12F51"/>
    <w:rsid w:val="00A1462D"/>
    <w:rsid w:val="00A1520C"/>
    <w:rsid w:val="00A15A96"/>
    <w:rsid w:val="00A16AE6"/>
    <w:rsid w:val="00A16BFE"/>
    <w:rsid w:val="00A16D58"/>
    <w:rsid w:val="00A16D5B"/>
    <w:rsid w:val="00A17718"/>
    <w:rsid w:val="00A217BA"/>
    <w:rsid w:val="00A221E1"/>
    <w:rsid w:val="00A23208"/>
    <w:rsid w:val="00A244A3"/>
    <w:rsid w:val="00A24583"/>
    <w:rsid w:val="00A24811"/>
    <w:rsid w:val="00A24CCC"/>
    <w:rsid w:val="00A25915"/>
    <w:rsid w:val="00A25C6C"/>
    <w:rsid w:val="00A26474"/>
    <w:rsid w:val="00A268CD"/>
    <w:rsid w:val="00A27023"/>
    <w:rsid w:val="00A2767E"/>
    <w:rsid w:val="00A279B5"/>
    <w:rsid w:val="00A27C7E"/>
    <w:rsid w:val="00A27D5B"/>
    <w:rsid w:val="00A30A09"/>
    <w:rsid w:val="00A325F8"/>
    <w:rsid w:val="00A32B06"/>
    <w:rsid w:val="00A33361"/>
    <w:rsid w:val="00A33661"/>
    <w:rsid w:val="00A33C50"/>
    <w:rsid w:val="00A356B3"/>
    <w:rsid w:val="00A366C8"/>
    <w:rsid w:val="00A367D7"/>
    <w:rsid w:val="00A36A5A"/>
    <w:rsid w:val="00A36CBD"/>
    <w:rsid w:val="00A36CFB"/>
    <w:rsid w:val="00A371FB"/>
    <w:rsid w:val="00A400A9"/>
    <w:rsid w:val="00A405A5"/>
    <w:rsid w:val="00A410E5"/>
    <w:rsid w:val="00A417B6"/>
    <w:rsid w:val="00A438D4"/>
    <w:rsid w:val="00A43C44"/>
    <w:rsid w:val="00A43E30"/>
    <w:rsid w:val="00A4422E"/>
    <w:rsid w:val="00A50007"/>
    <w:rsid w:val="00A51371"/>
    <w:rsid w:val="00A51536"/>
    <w:rsid w:val="00A52C6A"/>
    <w:rsid w:val="00A5409A"/>
    <w:rsid w:val="00A556C6"/>
    <w:rsid w:val="00A5598E"/>
    <w:rsid w:val="00A55F16"/>
    <w:rsid w:val="00A56375"/>
    <w:rsid w:val="00A565A3"/>
    <w:rsid w:val="00A567CB"/>
    <w:rsid w:val="00A56D6B"/>
    <w:rsid w:val="00A572D4"/>
    <w:rsid w:val="00A5731B"/>
    <w:rsid w:val="00A60BA2"/>
    <w:rsid w:val="00A60F89"/>
    <w:rsid w:val="00A6194D"/>
    <w:rsid w:val="00A61D73"/>
    <w:rsid w:val="00A61DB8"/>
    <w:rsid w:val="00A61DE2"/>
    <w:rsid w:val="00A62CF5"/>
    <w:rsid w:val="00A63435"/>
    <w:rsid w:val="00A64B2F"/>
    <w:rsid w:val="00A64B64"/>
    <w:rsid w:val="00A64E5B"/>
    <w:rsid w:val="00A65397"/>
    <w:rsid w:val="00A654D7"/>
    <w:rsid w:val="00A65AB6"/>
    <w:rsid w:val="00A66498"/>
    <w:rsid w:val="00A66A61"/>
    <w:rsid w:val="00A66C9E"/>
    <w:rsid w:val="00A66D42"/>
    <w:rsid w:val="00A67210"/>
    <w:rsid w:val="00A67CB2"/>
    <w:rsid w:val="00A7064C"/>
    <w:rsid w:val="00A71233"/>
    <w:rsid w:val="00A712D0"/>
    <w:rsid w:val="00A713D1"/>
    <w:rsid w:val="00A715D5"/>
    <w:rsid w:val="00A71E79"/>
    <w:rsid w:val="00A71FE3"/>
    <w:rsid w:val="00A733E2"/>
    <w:rsid w:val="00A741B6"/>
    <w:rsid w:val="00A74EB8"/>
    <w:rsid w:val="00A754FD"/>
    <w:rsid w:val="00A7612B"/>
    <w:rsid w:val="00A761DC"/>
    <w:rsid w:val="00A76252"/>
    <w:rsid w:val="00A765A6"/>
    <w:rsid w:val="00A76A53"/>
    <w:rsid w:val="00A7709B"/>
    <w:rsid w:val="00A77C65"/>
    <w:rsid w:val="00A77D91"/>
    <w:rsid w:val="00A809AE"/>
    <w:rsid w:val="00A80C57"/>
    <w:rsid w:val="00A81E00"/>
    <w:rsid w:val="00A827F0"/>
    <w:rsid w:val="00A83BC5"/>
    <w:rsid w:val="00A843E1"/>
    <w:rsid w:val="00A84AF2"/>
    <w:rsid w:val="00A84BD4"/>
    <w:rsid w:val="00A855FF"/>
    <w:rsid w:val="00A85A65"/>
    <w:rsid w:val="00A85BC8"/>
    <w:rsid w:val="00A862BE"/>
    <w:rsid w:val="00A86436"/>
    <w:rsid w:val="00A867CE"/>
    <w:rsid w:val="00A870B0"/>
    <w:rsid w:val="00A9095B"/>
    <w:rsid w:val="00A90BD6"/>
    <w:rsid w:val="00A90D2A"/>
    <w:rsid w:val="00A9155B"/>
    <w:rsid w:val="00A926E9"/>
    <w:rsid w:val="00A92A60"/>
    <w:rsid w:val="00A92DAD"/>
    <w:rsid w:val="00A92FAA"/>
    <w:rsid w:val="00A9326A"/>
    <w:rsid w:val="00A94386"/>
    <w:rsid w:val="00A94CA8"/>
    <w:rsid w:val="00A95218"/>
    <w:rsid w:val="00A95FC7"/>
    <w:rsid w:val="00A96E24"/>
    <w:rsid w:val="00A971A7"/>
    <w:rsid w:val="00A9725F"/>
    <w:rsid w:val="00A97658"/>
    <w:rsid w:val="00A97A92"/>
    <w:rsid w:val="00AA0258"/>
    <w:rsid w:val="00AA0651"/>
    <w:rsid w:val="00AA13F0"/>
    <w:rsid w:val="00AA16DE"/>
    <w:rsid w:val="00AA21D1"/>
    <w:rsid w:val="00AA2F8A"/>
    <w:rsid w:val="00AA314C"/>
    <w:rsid w:val="00AA430F"/>
    <w:rsid w:val="00AA49EA"/>
    <w:rsid w:val="00AA4F5D"/>
    <w:rsid w:val="00AA5219"/>
    <w:rsid w:val="00AA56D7"/>
    <w:rsid w:val="00AA5AE2"/>
    <w:rsid w:val="00AA5D09"/>
    <w:rsid w:val="00AA6520"/>
    <w:rsid w:val="00AA6743"/>
    <w:rsid w:val="00AA6C88"/>
    <w:rsid w:val="00AB04DA"/>
    <w:rsid w:val="00AB12EA"/>
    <w:rsid w:val="00AB1F71"/>
    <w:rsid w:val="00AB2372"/>
    <w:rsid w:val="00AB2983"/>
    <w:rsid w:val="00AB2C68"/>
    <w:rsid w:val="00AB3075"/>
    <w:rsid w:val="00AB386C"/>
    <w:rsid w:val="00AB38A1"/>
    <w:rsid w:val="00AB3FE1"/>
    <w:rsid w:val="00AB404D"/>
    <w:rsid w:val="00AB583B"/>
    <w:rsid w:val="00AB5C67"/>
    <w:rsid w:val="00AB6657"/>
    <w:rsid w:val="00AB7151"/>
    <w:rsid w:val="00AB7A0F"/>
    <w:rsid w:val="00AB7A3A"/>
    <w:rsid w:val="00AC1448"/>
    <w:rsid w:val="00AC1679"/>
    <w:rsid w:val="00AC1D44"/>
    <w:rsid w:val="00AC3096"/>
    <w:rsid w:val="00AC452F"/>
    <w:rsid w:val="00AC4BF8"/>
    <w:rsid w:val="00AC4C55"/>
    <w:rsid w:val="00AC6606"/>
    <w:rsid w:val="00AC673F"/>
    <w:rsid w:val="00AD0909"/>
    <w:rsid w:val="00AD0C34"/>
    <w:rsid w:val="00AD1696"/>
    <w:rsid w:val="00AD16DF"/>
    <w:rsid w:val="00AD1B23"/>
    <w:rsid w:val="00AD1CAB"/>
    <w:rsid w:val="00AD1EAE"/>
    <w:rsid w:val="00AD230F"/>
    <w:rsid w:val="00AD274B"/>
    <w:rsid w:val="00AD4D59"/>
    <w:rsid w:val="00AD5240"/>
    <w:rsid w:val="00AD67B5"/>
    <w:rsid w:val="00AD6C65"/>
    <w:rsid w:val="00AE0AA7"/>
    <w:rsid w:val="00AE0E45"/>
    <w:rsid w:val="00AE3209"/>
    <w:rsid w:val="00AE59B8"/>
    <w:rsid w:val="00AE5D71"/>
    <w:rsid w:val="00AE6032"/>
    <w:rsid w:val="00AE6EBE"/>
    <w:rsid w:val="00AE7141"/>
    <w:rsid w:val="00AE7715"/>
    <w:rsid w:val="00AE7E14"/>
    <w:rsid w:val="00AF022F"/>
    <w:rsid w:val="00AF031C"/>
    <w:rsid w:val="00AF050D"/>
    <w:rsid w:val="00AF2049"/>
    <w:rsid w:val="00AF31AC"/>
    <w:rsid w:val="00AF3B2C"/>
    <w:rsid w:val="00AF4149"/>
    <w:rsid w:val="00AF586E"/>
    <w:rsid w:val="00AF5ACC"/>
    <w:rsid w:val="00AF5C3C"/>
    <w:rsid w:val="00AF5FDC"/>
    <w:rsid w:val="00AF6075"/>
    <w:rsid w:val="00AF62F3"/>
    <w:rsid w:val="00AF705E"/>
    <w:rsid w:val="00AF7D2D"/>
    <w:rsid w:val="00B00C21"/>
    <w:rsid w:val="00B01717"/>
    <w:rsid w:val="00B02425"/>
    <w:rsid w:val="00B02DB4"/>
    <w:rsid w:val="00B02E2E"/>
    <w:rsid w:val="00B03535"/>
    <w:rsid w:val="00B03929"/>
    <w:rsid w:val="00B040CA"/>
    <w:rsid w:val="00B065B0"/>
    <w:rsid w:val="00B0784B"/>
    <w:rsid w:val="00B10E6B"/>
    <w:rsid w:val="00B1121B"/>
    <w:rsid w:val="00B1170A"/>
    <w:rsid w:val="00B11B8E"/>
    <w:rsid w:val="00B11BA3"/>
    <w:rsid w:val="00B11EC4"/>
    <w:rsid w:val="00B12E24"/>
    <w:rsid w:val="00B12E53"/>
    <w:rsid w:val="00B13004"/>
    <w:rsid w:val="00B130E3"/>
    <w:rsid w:val="00B13797"/>
    <w:rsid w:val="00B1387C"/>
    <w:rsid w:val="00B13B5C"/>
    <w:rsid w:val="00B157CE"/>
    <w:rsid w:val="00B1655B"/>
    <w:rsid w:val="00B17A87"/>
    <w:rsid w:val="00B17CE1"/>
    <w:rsid w:val="00B20786"/>
    <w:rsid w:val="00B216FE"/>
    <w:rsid w:val="00B2198E"/>
    <w:rsid w:val="00B21ADE"/>
    <w:rsid w:val="00B21DE1"/>
    <w:rsid w:val="00B21E8B"/>
    <w:rsid w:val="00B228C7"/>
    <w:rsid w:val="00B24B8C"/>
    <w:rsid w:val="00B24EE1"/>
    <w:rsid w:val="00B250B0"/>
    <w:rsid w:val="00B257B8"/>
    <w:rsid w:val="00B263A7"/>
    <w:rsid w:val="00B26680"/>
    <w:rsid w:val="00B26E24"/>
    <w:rsid w:val="00B26FD0"/>
    <w:rsid w:val="00B279E8"/>
    <w:rsid w:val="00B27D32"/>
    <w:rsid w:val="00B31A0D"/>
    <w:rsid w:val="00B31CE5"/>
    <w:rsid w:val="00B31D15"/>
    <w:rsid w:val="00B34B39"/>
    <w:rsid w:val="00B365A8"/>
    <w:rsid w:val="00B373B7"/>
    <w:rsid w:val="00B37ADF"/>
    <w:rsid w:val="00B37CE7"/>
    <w:rsid w:val="00B4004B"/>
    <w:rsid w:val="00B40755"/>
    <w:rsid w:val="00B4164D"/>
    <w:rsid w:val="00B41940"/>
    <w:rsid w:val="00B42115"/>
    <w:rsid w:val="00B42A81"/>
    <w:rsid w:val="00B42C98"/>
    <w:rsid w:val="00B42E11"/>
    <w:rsid w:val="00B42F67"/>
    <w:rsid w:val="00B43733"/>
    <w:rsid w:val="00B4428A"/>
    <w:rsid w:val="00B4463A"/>
    <w:rsid w:val="00B45532"/>
    <w:rsid w:val="00B45EF3"/>
    <w:rsid w:val="00B45F0D"/>
    <w:rsid w:val="00B46DC0"/>
    <w:rsid w:val="00B46E5D"/>
    <w:rsid w:val="00B46F27"/>
    <w:rsid w:val="00B47C6F"/>
    <w:rsid w:val="00B5028B"/>
    <w:rsid w:val="00B5094D"/>
    <w:rsid w:val="00B510DB"/>
    <w:rsid w:val="00B51D87"/>
    <w:rsid w:val="00B52120"/>
    <w:rsid w:val="00B52B6A"/>
    <w:rsid w:val="00B52FB8"/>
    <w:rsid w:val="00B54301"/>
    <w:rsid w:val="00B559F5"/>
    <w:rsid w:val="00B56222"/>
    <w:rsid w:val="00B56879"/>
    <w:rsid w:val="00B56D9A"/>
    <w:rsid w:val="00B5749B"/>
    <w:rsid w:val="00B603D3"/>
    <w:rsid w:val="00B60BFC"/>
    <w:rsid w:val="00B613C4"/>
    <w:rsid w:val="00B62512"/>
    <w:rsid w:val="00B6262D"/>
    <w:rsid w:val="00B62CFB"/>
    <w:rsid w:val="00B62DF8"/>
    <w:rsid w:val="00B63728"/>
    <w:rsid w:val="00B6381E"/>
    <w:rsid w:val="00B64177"/>
    <w:rsid w:val="00B64D30"/>
    <w:rsid w:val="00B6537A"/>
    <w:rsid w:val="00B65844"/>
    <w:rsid w:val="00B661D4"/>
    <w:rsid w:val="00B662E1"/>
    <w:rsid w:val="00B66CA3"/>
    <w:rsid w:val="00B66E44"/>
    <w:rsid w:val="00B673B1"/>
    <w:rsid w:val="00B67856"/>
    <w:rsid w:val="00B704A5"/>
    <w:rsid w:val="00B70859"/>
    <w:rsid w:val="00B708C2"/>
    <w:rsid w:val="00B71591"/>
    <w:rsid w:val="00B716AC"/>
    <w:rsid w:val="00B7176F"/>
    <w:rsid w:val="00B740EF"/>
    <w:rsid w:val="00B743FF"/>
    <w:rsid w:val="00B745C9"/>
    <w:rsid w:val="00B75737"/>
    <w:rsid w:val="00B77059"/>
    <w:rsid w:val="00B77340"/>
    <w:rsid w:val="00B775B0"/>
    <w:rsid w:val="00B778B0"/>
    <w:rsid w:val="00B77DC7"/>
    <w:rsid w:val="00B805BC"/>
    <w:rsid w:val="00B80C0E"/>
    <w:rsid w:val="00B80E67"/>
    <w:rsid w:val="00B812B0"/>
    <w:rsid w:val="00B817CB"/>
    <w:rsid w:val="00B82392"/>
    <w:rsid w:val="00B82926"/>
    <w:rsid w:val="00B837B6"/>
    <w:rsid w:val="00B8382D"/>
    <w:rsid w:val="00B83F7D"/>
    <w:rsid w:val="00B8408E"/>
    <w:rsid w:val="00B846E1"/>
    <w:rsid w:val="00B8495B"/>
    <w:rsid w:val="00B8529E"/>
    <w:rsid w:val="00B85404"/>
    <w:rsid w:val="00B8550D"/>
    <w:rsid w:val="00B861A2"/>
    <w:rsid w:val="00B86206"/>
    <w:rsid w:val="00B86771"/>
    <w:rsid w:val="00B8690A"/>
    <w:rsid w:val="00B8738E"/>
    <w:rsid w:val="00B91277"/>
    <w:rsid w:val="00B91CE6"/>
    <w:rsid w:val="00B928DD"/>
    <w:rsid w:val="00B92C4F"/>
    <w:rsid w:val="00B92E6A"/>
    <w:rsid w:val="00B92F61"/>
    <w:rsid w:val="00B93353"/>
    <w:rsid w:val="00B9409E"/>
    <w:rsid w:val="00B94E6B"/>
    <w:rsid w:val="00B94F60"/>
    <w:rsid w:val="00B95133"/>
    <w:rsid w:val="00B9513E"/>
    <w:rsid w:val="00B959FF"/>
    <w:rsid w:val="00B9653C"/>
    <w:rsid w:val="00B965B3"/>
    <w:rsid w:val="00B97014"/>
    <w:rsid w:val="00BA01EB"/>
    <w:rsid w:val="00BA0444"/>
    <w:rsid w:val="00BA0535"/>
    <w:rsid w:val="00BA1989"/>
    <w:rsid w:val="00BA19E7"/>
    <w:rsid w:val="00BA2123"/>
    <w:rsid w:val="00BA23B3"/>
    <w:rsid w:val="00BA2443"/>
    <w:rsid w:val="00BA303F"/>
    <w:rsid w:val="00BA395F"/>
    <w:rsid w:val="00BA3E8D"/>
    <w:rsid w:val="00BA4673"/>
    <w:rsid w:val="00BA5196"/>
    <w:rsid w:val="00BA61C4"/>
    <w:rsid w:val="00BA6FA1"/>
    <w:rsid w:val="00BA75AC"/>
    <w:rsid w:val="00BA77D9"/>
    <w:rsid w:val="00BA7A9E"/>
    <w:rsid w:val="00BA7CF6"/>
    <w:rsid w:val="00BB11C0"/>
    <w:rsid w:val="00BB1C8E"/>
    <w:rsid w:val="00BB236A"/>
    <w:rsid w:val="00BB24D4"/>
    <w:rsid w:val="00BB3FDB"/>
    <w:rsid w:val="00BB40B6"/>
    <w:rsid w:val="00BB4A8E"/>
    <w:rsid w:val="00BB7AC7"/>
    <w:rsid w:val="00BB7E94"/>
    <w:rsid w:val="00BC0309"/>
    <w:rsid w:val="00BC1121"/>
    <w:rsid w:val="00BC3C4A"/>
    <w:rsid w:val="00BC55DF"/>
    <w:rsid w:val="00BC57E1"/>
    <w:rsid w:val="00BC5C98"/>
    <w:rsid w:val="00BC7A83"/>
    <w:rsid w:val="00BD01A3"/>
    <w:rsid w:val="00BD1862"/>
    <w:rsid w:val="00BD2692"/>
    <w:rsid w:val="00BD28AF"/>
    <w:rsid w:val="00BD42A7"/>
    <w:rsid w:val="00BD43FD"/>
    <w:rsid w:val="00BD4916"/>
    <w:rsid w:val="00BD5068"/>
    <w:rsid w:val="00BD5C41"/>
    <w:rsid w:val="00BD5EA2"/>
    <w:rsid w:val="00BD6A30"/>
    <w:rsid w:val="00BD7902"/>
    <w:rsid w:val="00BE04F6"/>
    <w:rsid w:val="00BE07BD"/>
    <w:rsid w:val="00BE0FEC"/>
    <w:rsid w:val="00BE127F"/>
    <w:rsid w:val="00BE19B5"/>
    <w:rsid w:val="00BE3C14"/>
    <w:rsid w:val="00BE548A"/>
    <w:rsid w:val="00BE5C52"/>
    <w:rsid w:val="00BE7028"/>
    <w:rsid w:val="00BF1445"/>
    <w:rsid w:val="00BF1D42"/>
    <w:rsid w:val="00BF1D50"/>
    <w:rsid w:val="00BF2DB1"/>
    <w:rsid w:val="00BF34FC"/>
    <w:rsid w:val="00BF42E4"/>
    <w:rsid w:val="00BF661E"/>
    <w:rsid w:val="00C0163A"/>
    <w:rsid w:val="00C01799"/>
    <w:rsid w:val="00C01D1B"/>
    <w:rsid w:val="00C02B35"/>
    <w:rsid w:val="00C033F6"/>
    <w:rsid w:val="00C035B3"/>
    <w:rsid w:val="00C041DE"/>
    <w:rsid w:val="00C0454A"/>
    <w:rsid w:val="00C04971"/>
    <w:rsid w:val="00C04BD9"/>
    <w:rsid w:val="00C053D2"/>
    <w:rsid w:val="00C0569D"/>
    <w:rsid w:val="00C062A9"/>
    <w:rsid w:val="00C06852"/>
    <w:rsid w:val="00C06C15"/>
    <w:rsid w:val="00C071CD"/>
    <w:rsid w:val="00C072D2"/>
    <w:rsid w:val="00C078B8"/>
    <w:rsid w:val="00C10B5A"/>
    <w:rsid w:val="00C10CDE"/>
    <w:rsid w:val="00C1245E"/>
    <w:rsid w:val="00C12677"/>
    <w:rsid w:val="00C13BE7"/>
    <w:rsid w:val="00C145F6"/>
    <w:rsid w:val="00C1468D"/>
    <w:rsid w:val="00C14FED"/>
    <w:rsid w:val="00C1502F"/>
    <w:rsid w:val="00C16381"/>
    <w:rsid w:val="00C16653"/>
    <w:rsid w:val="00C1705D"/>
    <w:rsid w:val="00C17D17"/>
    <w:rsid w:val="00C17F97"/>
    <w:rsid w:val="00C200DC"/>
    <w:rsid w:val="00C2016B"/>
    <w:rsid w:val="00C2079F"/>
    <w:rsid w:val="00C207A2"/>
    <w:rsid w:val="00C20C51"/>
    <w:rsid w:val="00C21A31"/>
    <w:rsid w:val="00C2285C"/>
    <w:rsid w:val="00C238B9"/>
    <w:rsid w:val="00C250C7"/>
    <w:rsid w:val="00C261F2"/>
    <w:rsid w:val="00C26513"/>
    <w:rsid w:val="00C26E4D"/>
    <w:rsid w:val="00C27092"/>
    <w:rsid w:val="00C272AE"/>
    <w:rsid w:val="00C27468"/>
    <w:rsid w:val="00C30023"/>
    <w:rsid w:val="00C3005E"/>
    <w:rsid w:val="00C301BB"/>
    <w:rsid w:val="00C30A6C"/>
    <w:rsid w:val="00C319B1"/>
    <w:rsid w:val="00C31B74"/>
    <w:rsid w:val="00C32C77"/>
    <w:rsid w:val="00C336BC"/>
    <w:rsid w:val="00C3380F"/>
    <w:rsid w:val="00C33E9D"/>
    <w:rsid w:val="00C34153"/>
    <w:rsid w:val="00C3450D"/>
    <w:rsid w:val="00C346D0"/>
    <w:rsid w:val="00C34A66"/>
    <w:rsid w:val="00C34D54"/>
    <w:rsid w:val="00C352F1"/>
    <w:rsid w:val="00C363A7"/>
    <w:rsid w:val="00C366B6"/>
    <w:rsid w:val="00C36BF6"/>
    <w:rsid w:val="00C3758B"/>
    <w:rsid w:val="00C378ED"/>
    <w:rsid w:val="00C37EF0"/>
    <w:rsid w:val="00C37FCF"/>
    <w:rsid w:val="00C4080D"/>
    <w:rsid w:val="00C41444"/>
    <w:rsid w:val="00C4312F"/>
    <w:rsid w:val="00C431FE"/>
    <w:rsid w:val="00C434FC"/>
    <w:rsid w:val="00C44322"/>
    <w:rsid w:val="00C44F10"/>
    <w:rsid w:val="00C45592"/>
    <w:rsid w:val="00C4574A"/>
    <w:rsid w:val="00C4620F"/>
    <w:rsid w:val="00C463E8"/>
    <w:rsid w:val="00C46CCA"/>
    <w:rsid w:val="00C4738F"/>
    <w:rsid w:val="00C47568"/>
    <w:rsid w:val="00C47A3F"/>
    <w:rsid w:val="00C50001"/>
    <w:rsid w:val="00C5018D"/>
    <w:rsid w:val="00C5330A"/>
    <w:rsid w:val="00C53781"/>
    <w:rsid w:val="00C53D00"/>
    <w:rsid w:val="00C541EE"/>
    <w:rsid w:val="00C547A2"/>
    <w:rsid w:val="00C560C4"/>
    <w:rsid w:val="00C563D4"/>
    <w:rsid w:val="00C56942"/>
    <w:rsid w:val="00C57C79"/>
    <w:rsid w:val="00C60F56"/>
    <w:rsid w:val="00C61EA2"/>
    <w:rsid w:val="00C62890"/>
    <w:rsid w:val="00C63E21"/>
    <w:rsid w:val="00C64B16"/>
    <w:rsid w:val="00C64F08"/>
    <w:rsid w:val="00C64F65"/>
    <w:rsid w:val="00C65680"/>
    <w:rsid w:val="00C66C01"/>
    <w:rsid w:val="00C7010D"/>
    <w:rsid w:val="00C70FA7"/>
    <w:rsid w:val="00C72BD0"/>
    <w:rsid w:val="00C72D1B"/>
    <w:rsid w:val="00C73220"/>
    <w:rsid w:val="00C74CFC"/>
    <w:rsid w:val="00C74F32"/>
    <w:rsid w:val="00C750DC"/>
    <w:rsid w:val="00C761ED"/>
    <w:rsid w:val="00C76412"/>
    <w:rsid w:val="00C77197"/>
    <w:rsid w:val="00C80BD1"/>
    <w:rsid w:val="00C80D1B"/>
    <w:rsid w:val="00C80FCC"/>
    <w:rsid w:val="00C81055"/>
    <w:rsid w:val="00C81308"/>
    <w:rsid w:val="00C822DD"/>
    <w:rsid w:val="00C83189"/>
    <w:rsid w:val="00C8349A"/>
    <w:rsid w:val="00C84D10"/>
    <w:rsid w:val="00C84E7F"/>
    <w:rsid w:val="00C85753"/>
    <w:rsid w:val="00C859D5"/>
    <w:rsid w:val="00C8699E"/>
    <w:rsid w:val="00C87512"/>
    <w:rsid w:val="00C87863"/>
    <w:rsid w:val="00C9001A"/>
    <w:rsid w:val="00C90790"/>
    <w:rsid w:val="00C90ED3"/>
    <w:rsid w:val="00C9174E"/>
    <w:rsid w:val="00C927A8"/>
    <w:rsid w:val="00C928F0"/>
    <w:rsid w:val="00C93451"/>
    <w:rsid w:val="00C93984"/>
    <w:rsid w:val="00C94652"/>
    <w:rsid w:val="00C94BD0"/>
    <w:rsid w:val="00C95473"/>
    <w:rsid w:val="00C96174"/>
    <w:rsid w:val="00C9727D"/>
    <w:rsid w:val="00C9762A"/>
    <w:rsid w:val="00C97C87"/>
    <w:rsid w:val="00C97C9D"/>
    <w:rsid w:val="00CA00FB"/>
    <w:rsid w:val="00CA30C1"/>
    <w:rsid w:val="00CA30D6"/>
    <w:rsid w:val="00CA3269"/>
    <w:rsid w:val="00CA33E0"/>
    <w:rsid w:val="00CA3DC3"/>
    <w:rsid w:val="00CA40FC"/>
    <w:rsid w:val="00CA50BC"/>
    <w:rsid w:val="00CA516E"/>
    <w:rsid w:val="00CA52A7"/>
    <w:rsid w:val="00CA63A1"/>
    <w:rsid w:val="00CA63BB"/>
    <w:rsid w:val="00CA7106"/>
    <w:rsid w:val="00CA7A1D"/>
    <w:rsid w:val="00CA7DDD"/>
    <w:rsid w:val="00CB1237"/>
    <w:rsid w:val="00CB125E"/>
    <w:rsid w:val="00CB15A1"/>
    <w:rsid w:val="00CB1B02"/>
    <w:rsid w:val="00CB1F42"/>
    <w:rsid w:val="00CB2F2A"/>
    <w:rsid w:val="00CB3549"/>
    <w:rsid w:val="00CB4496"/>
    <w:rsid w:val="00CB47AF"/>
    <w:rsid w:val="00CB53AC"/>
    <w:rsid w:val="00CB64F6"/>
    <w:rsid w:val="00CB6EED"/>
    <w:rsid w:val="00CB7817"/>
    <w:rsid w:val="00CB7885"/>
    <w:rsid w:val="00CB7A5E"/>
    <w:rsid w:val="00CC19AF"/>
    <w:rsid w:val="00CC2374"/>
    <w:rsid w:val="00CC3AAF"/>
    <w:rsid w:val="00CC5BC6"/>
    <w:rsid w:val="00CC5E86"/>
    <w:rsid w:val="00CC7CB9"/>
    <w:rsid w:val="00CC7E84"/>
    <w:rsid w:val="00CD10B8"/>
    <w:rsid w:val="00CD2869"/>
    <w:rsid w:val="00CD39F6"/>
    <w:rsid w:val="00CD3A9D"/>
    <w:rsid w:val="00CD4C26"/>
    <w:rsid w:val="00CD51A1"/>
    <w:rsid w:val="00CD5468"/>
    <w:rsid w:val="00CD5D1A"/>
    <w:rsid w:val="00CD5D3C"/>
    <w:rsid w:val="00CD6F43"/>
    <w:rsid w:val="00CD75C8"/>
    <w:rsid w:val="00CD7640"/>
    <w:rsid w:val="00CE12A7"/>
    <w:rsid w:val="00CE165F"/>
    <w:rsid w:val="00CE2014"/>
    <w:rsid w:val="00CE2BCD"/>
    <w:rsid w:val="00CE2CCD"/>
    <w:rsid w:val="00CE36C9"/>
    <w:rsid w:val="00CE48A6"/>
    <w:rsid w:val="00CE564B"/>
    <w:rsid w:val="00CE5A41"/>
    <w:rsid w:val="00CE5D08"/>
    <w:rsid w:val="00CE62F7"/>
    <w:rsid w:val="00CE659A"/>
    <w:rsid w:val="00CE7D92"/>
    <w:rsid w:val="00CF092D"/>
    <w:rsid w:val="00CF096B"/>
    <w:rsid w:val="00CF09D2"/>
    <w:rsid w:val="00CF15DF"/>
    <w:rsid w:val="00CF1F2C"/>
    <w:rsid w:val="00CF2EEC"/>
    <w:rsid w:val="00CF2FDD"/>
    <w:rsid w:val="00CF37FA"/>
    <w:rsid w:val="00CF44A4"/>
    <w:rsid w:val="00CF4A25"/>
    <w:rsid w:val="00CF4C11"/>
    <w:rsid w:val="00CF4C43"/>
    <w:rsid w:val="00CF4FBE"/>
    <w:rsid w:val="00CF6290"/>
    <w:rsid w:val="00CF6A10"/>
    <w:rsid w:val="00CF7CE4"/>
    <w:rsid w:val="00D006BD"/>
    <w:rsid w:val="00D01F54"/>
    <w:rsid w:val="00D0251F"/>
    <w:rsid w:val="00D02A88"/>
    <w:rsid w:val="00D03125"/>
    <w:rsid w:val="00D03353"/>
    <w:rsid w:val="00D04405"/>
    <w:rsid w:val="00D04F49"/>
    <w:rsid w:val="00D05870"/>
    <w:rsid w:val="00D05DEA"/>
    <w:rsid w:val="00D0600F"/>
    <w:rsid w:val="00D06476"/>
    <w:rsid w:val="00D068F1"/>
    <w:rsid w:val="00D06A89"/>
    <w:rsid w:val="00D06E47"/>
    <w:rsid w:val="00D072C6"/>
    <w:rsid w:val="00D07C9B"/>
    <w:rsid w:val="00D1042A"/>
    <w:rsid w:val="00D106C2"/>
    <w:rsid w:val="00D10B0E"/>
    <w:rsid w:val="00D113C5"/>
    <w:rsid w:val="00D11EB9"/>
    <w:rsid w:val="00D12D10"/>
    <w:rsid w:val="00D1375A"/>
    <w:rsid w:val="00D14141"/>
    <w:rsid w:val="00D1616F"/>
    <w:rsid w:val="00D16626"/>
    <w:rsid w:val="00D2011D"/>
    <w:rsid w:val="00D207B6"/>
    <w:rsid w:val="00D20E21"/>
    <w:rsid w:val="00D21648"/>
    <w:rsid w:val="00D21E6B"/>
    <w:rsid w:val="00D23089"/>
    <w:rsid w:val="00D23AAB"/>
    <w:rsid w:val="00D25519"/>
    <w:rsid w:val="00D25BF9"/>
    <w:rsid w:val="00D26881"/>
    <w:rsid w:val="00D26902"/>
    <w:rsid w:val="00D27899"/>
    <w:rsid w:val="00D27A26"/>
    <w:rsid w:val="00D27FA2"/>
    <w:rsid w:val="00D30D61"/>
    <w:rsid w:val="00D30F7B"/>
    <w:rsid w:val="00D3246C"/>
    <w:rsid w:val="00D32FAA"/>
    <w:rsid w:val="00D330F1"/>
    <w:rsid w:val="00D334AF"/>
    <w:rsid w:val="00D33671"/>
    <w:rsid w:val="00D33C7A"/>
    <w:rsid w:val="00D3489B"/>
    <w:rsid w:val="00D34D4E"/>
    <w:rsid w:val="00D3521C"/>
    <w:rsid w:val="00D35540"/>
    <w:rsid w:val="00D356AF"/>
    <w:rsid w:val="00D37255"/>
    <w:rsid w:val="00D403E2"/>
    <w:rsid w:val="00D40CB8"/>
    <w:rsid w:val="00D411D8"/>
    <w:rsid w:val="00D44406"/>
    <w:rsid w:val="00D445E8"/>
    <w:rsid w:val="00D450C7"/>
    <w:rsid w:val="00D45453"/>
    <w:rsid w:val="00D459ED"/>
    <w:rsid w:val="00D47182"/>
    <w:rsid w:val="00D4783B"/>
    <w:rsid w:val="00D501CD"/>
    <w:rsid w:val="00D505AD"/>
    <w:rsid w:val="00D50A96"/>
    <w:rsid w:val="00D51515"/>
    <w:rsid w:val="00D51C10"/>
    <w:rsid w:val="00D52197"/>
    <w:rsid w:val="00D52532"/>
    <w:rsid w:val="00D525D0"/>
    <w:rsid w:val="00D5348F"/>
    <w:rsid w:val="00D54A83"/>
    <w:rsid w:val="00D55C30"/>
    <w:rsid w:val="00D56B76"/>
    <w:rsid w:val="00D56CE5"/>
    <w:rsid w:val="00D572D7"/>
    <w:rsid w:val="00D57FE5"/>
    <w:rsid w:val="00D60840"/>
    <w:rsid w:val="00D60A34"/>
    <w:rsid w:val="00D6170C"/>
    <w:rsid w:val="00D624BF"/>
    <w:rsid w:val="00D628CC"/>
    <w:rsid w:val="00D6305E"/>
    <w:rsid w:val="00D6336E"/>
    <w:rsid w:val="00D63FEA"/>
    <w:rsid w:val="00D648BE"/>
    <w:rsid w:val="00D64F5F"/>
    <w:rsid w:val="00D66A0F"/>
    <w:rsid w:val="00D6705E"/>
    <w:rsid w:val="00D6782F"/>
    <w:rsid w:val="00D7141C"/>
    <w:rsid w:val="00D716B3"/>
    <w:rsid w:val="00D724BC"/>
    <w:rsid w:val="00D75200"/>
    <w:rsid w:val="00D75569"/>
    <w:rsid w:val="00D75705"/>
    <w:rsid w:val="00D760D0"/>
    <w:rsid w:val="00D76893"/>
    <w:rsid w:val="00D769EC"/>
    <w:rsid w:val="00D76A40"/>
    <w:rsid w:val="00D76E61"/>
    <w:rsid w:val="00D77B55"/>
    <w:rsid w:val="00D80026"/>
    <w:rsid w:val="00D802F0"/>
    <w:rsid w:val="00D80F8F"/>
    <w:rsid w:val="00D82982"/>
    <w:rsid w:val="00D82A9D"/>
    <w:rsid w:val="00D83197"/>
    <w:rsid w:val="00D83C99"/>
    <w:rsid w:val="00D84EFA"/>
    <w:rsid w:val="00D85A75"/>
    <w:rsid w:val="00D85D2E"/>
    <w:rsid w:val="00D869EE"/>
    <w:rsid w:val="00D86B86"/>
    <w:rsid w:val="00D87460"/>
    <w:rsid w:val="00D90A42"/>
    <w:rsid w:val="00D90AB1"/>
    <w:rsid w:val="00D90D62"/>
    <w:rsid w:val="00D92B75"/>
    <w:rsid w:val="00D92E0C"/>
    <w:rsid w:val="00D937D1"/>
    <w:rsid w:val="00D942C7"/>
    <w:rsid w:val="00D96766"/>
    <w:rsid w:val="00D97242"/>
    <w:rsid w:val="00D976C5"/>
    <w:rsid w:val="00DA0474"/>
    <w:rsid w:val="00DA135D"/>
    <w:rsid w:val="00DA1E4B"/>
    <w:rsid w:val="00DA2020"/>
    <w:rsid w:val="00DA2280"/>
    <w:rsid w:val="00DA234E"/>
    <w:rsid w:val="00DA24CF"/>
    <w:rsid w:val="00DA2AC2"/>
    <w:rsid w:val="00DA32DA"/>
    <w:rsid w:val="00DA41A3"/>
    <w:rsid w:val="00DA480A"/>
    <w:rsid w:val="00DA4BFD"/>
    <w:rsid w:val="00DA62A4"/>
    <w:rsid w:val="00DA6365"/>
    <w:rsid w:val="00DA7047"/>
    <w:rsid w:val="00DA74A4"/>
    <w:rsid w:val="00DA7EAE"/>
    <w:rsid w:val="00DB01C5"/>
    <w:rsid w:val="00DB1ABE"/>
    <w:rsid w:val="00DB2547"/>
    <w:rsid w:val="00DB256F"/>
    <w:rsid w:val="00DB2F34"/>
    <w:rsid w:val="00DB2F54"/>
    <w:rsid w:val="00DB328E"/>
    <w:rsid w:val="00DB369E"/>
    <w:rsid w:val="00DB3FAC"/>
    <w:rsid w:val="00DB429C"/>
    <w:rsid w:val="00DB4CB9"/>
    <w:rsid w:val="00DB591A"/>
    <w:rsid w:val="00DB626A"/>
    <w:rsid w:val="00DB6BE8"/>
    <w:rsid w:val="00DB6CA3"/>
    <w:rsid w:val="00DB6D15"/>
    <w:rsid w:val="00DC0167"/>
    <w:rsid w:val="00DC09EC"/>
    <w:rsid w:val="00DC0C78"/>
    <w:rsid w:val="00DC1304"/>
    <w:rsid w:val="00DC30A3"/>
    <w:rsid w:val="00DC3141"/>
    <w:rsid w:val="00DC3163"/>
    <w:rsid w:val="00DC3837"/>
    <w:rsid w:val="00DC3847"/>
    <w:rsid w:val="00DC4AD1"/>
    <w:rsid w:val="00DC4CF6"/>
    <w:rsid w:val="00DC4F4F"/>
    <w:rsid w:val="00DC530F"/>
    <w:rsid w:val="00DC6203"/>
    <w:rsid w:val="00DC6B8C"/>
    <w:rsid w:val="00DC718F"/>
    <w:rsid w:val="00DD1126"/>
    <w:rsid w:val="00DD4A0B"/>
    <w:rsid w:val="00DD4E9A"/>
    <w:rsid w:val="00DD4F50"/>
    <w:rsid w:val="00DD5A0A"/>
    <w:rsid w:val="00DD5A4C"/>
    <w:rsid w:val="00DD5C22"/>
    <w:rsid w:val="00DD6245"/>
    <w:rsid w:val="00DD63CA"/>
    <w:rsid w:val="00DD64FD"/>
    <w:rsid w:val="00DD677B"/>
    <w:rsid w:val="00DD7626"/>
    <w:rsid w:val="00DE01FB"/>
    <w:rsid w:val="00DE210D"/>
    <w:rsid w:val="00DE2486"/>
    <w:rsid w:val="00DE25CE"/>
    <w:rsid w:val="00DE3EB1"/>
    <w:rsid w:val="00DE4561"/>
    <w:rsid w:val="00DE4C7F"/>
    <w:rsid w:val="00DE4C94"/>
    <w:rsid w:val="00DE6163"/>
    <w:rsid w:val="00DE6173"/>
    <w:rsid w:val="00DE6621"/>
    <w:rsid w:val="00DE6D33"/>
    <w:rsid w:val="00DE708F"/>
    <w:rsid w:val="00DE783C"/>
    <w:rsid w:val="00DE791B"/>
    <w:rsid w:val="00DF007D"/>
    <w:rsid w:val="00DF05BE"/>
    <w:rsid w:val="00DF096A"/>
    <w:rsid w:val="00DF09DC"/>
    <w:rsid w:val="00DF184D"/>
    <w:rsid w:val="00DF1C90"/>
    <w:rsid w:val="00DF1D91"/>
    <w:rsid w:val="00DF247F"/>
    <w:rsid w:val="00DF32D3"/>
    <w:rsid w:val="00DF3A99"/>
    <w:rsid w:val="00DF478C"/>
    <w:rsid w:val="00DF5AAD"/>
    <w:rsid w:val="00DF6573"/>
    <w:rsid w:val="00DF7360"/>
    <w:rsid w:val="00DF7E21"/>
    <w:rsid w:val="00E001F9"/>
    <w:rsid w:val="00E003B2"/>
    <w:rsid w:val="00E00727"/>
    <w:rsid w:val="00E007AB"/>
    <w:rsid w:val="00E009C2"/>
    <w:rsid w:val="00E01EB0"/>
    <w:rsid w:val="00E02BB2"/>
    <w:rsid w:val="00E02EBE"/>
    <w:rsid w:val="00E02F84"/>
    <w:rsid w:val="00E03209"/>
    <w:rsid w:val="00E03258"/>
    <w:rsid w:val="00E03454"/>
    <w:rsid w:val="00E03EA0"/>
    <w:rsid w:val="00E03F77"/>
    <w:rsid w:val="00E0462C"/>
    <w:rsid w:val="00E0556A"/>
    <w:rsid w:val="00E05A6E"/>
    <w:rsid w:val="00E05C52"/>
    <w:rsid w:val="00E062BD"/>
    <w:rsid w:val="00E067C6"/>
    <w:rsid w:val="00E06822"/>
    <w:rsid w:val="00E06C0F"/>
    <w:rsid w:val="00E073E0"/>
    <w:rsid w:val="00E07C14"/>
    <w:rsid w:val="00E101FD"/>
    <w:rsid w:val="00E10485"/>
    <w:rsid w:val="00E1111A"/>
    <w:rsid w:val="00E11A28"/>
    <w:rsid w:val="00E12353"/>
    <w:rsid w:val="00E12364"/>
    <w:rsid w:val="00E139D4"/>
    <w:rsid w:val="00E13F58"/>
    <w:rsid w:val="00E14BE5"/>
    <w:rsid w:val="00E15653"/>
    <w:rsid w:val="00E16380"/>
    <w:rsid w:val="00E16DCE"/>
    <w:rsid w:val="00E179C8"/>
    <w:rsid w:val="00E216CA"/>
    <w:rsid w:val="00E23989"/>
    <w:rsid w:val="00E24E10"/>
    <w:rsid w:val="00E2645E"/>
    <w:rsid w:val="00E2714F"/>
    <w:rsid w:val="00E27B29"/>
    <w:rsid w:val="00E30007"/>
    <w:rsid w:val="00E30314"/>
    <w:rsid w:val="00E30A3A"/>
    <w:rsid w:val="00E31D5E"/>
    <w:rsid w:val="00E32350"/>
    <w:rsid w:val="00E325D3"/>
    <w:rsid w:val="00E3312B"/>
    <w:rsid w:val="00E358CC"/>
    <w:rsid w:val="00E36327"/>
    <w:rsid w:val="00E3643A"/>
    <w:rsid w:val="00E3647E"/>
    <w:rsid w:val="00E364D9"/>
    <w:rsid w:val="00E36C31"/>
    <w:rsid w:val="00E36C32"/>
    <w:rsid w:val="00E37758"/>
    <w:rsid w:val="00E40A87"/>
    <w:rsid w:val="00E41295"/>
    <w:rsid w:val="00E4359D"/>
    <w:rsid w:val="00E44056"/>
    <w:rsid w:val="00E44228"/>
    <w:rsid w:val="00E45617"/>
    <w:rsid w:val="00E45835"/>
    <w:rsid w:val="00E465C4"/>
    <w:rsid w:val="00E46BFE"/>
    <w:rsid w:val="00E51002"/>
    <w:rsid w:val="00E528B7"/>
    <w:rsid w:val="00E52B1D"/>
    <w:rsid w:val="00E52DA4"/>
    <w:rsid w:val="00E534BC"/>
    <w:rsid w:val="00E535F4"/>
    <w:rsid w:val="00E5369E"/>
    <w:rsid w:val="00E5388E"/>
    <w:rsid w:val="00E53928"/>
    <w:rsid w:val="00E55238"/>
    <w:rsid w:val="00E55DA3"/>
    <w:rsid w:val="00E55F49"/>
    <w:rsid w:val="00E56133"/>
    <w:rsid w:val="00E56142"/>
    <w:rsid w:val="00E56B84"/>
    <w:rsid w:val="00E5786A"/>
    <w:rsid w:val="00E60F23"/>
    <w:rsid w:val="00E61F8C"/>
    <w:rsid w:val="00E6242F"/>
    <w:rsid w:val="00E649CF"/>
    <w:rsid w:val="00E651A0"/>
    <w:rsid w:val="00E668ED"/>
    <w:rsid w:val="00E66BDD"/>
    <w:rsid w:val="00E671C5"/>
    <w:rsid w:val="00E7144D"/>
    <w:rsid w:val="00E71C35"/>
    <w:rsid w:val="00E72507"/>
    <w:rsid w:val="00E72D19"/>
    <w:rsid w:val="00E7389A"/>
    <w:rsid w:val="00E73E6D"/>
    <w:rsid w:val="00E742D7"/>
    <w:rsid w:val="00E74E52"/>
    <w:rsid w:val="00E74EFD"/>
    <w:rsid w:val="00E75524"/>
    <w:rsid w:val="00E761FE"/>
    <w:rsid w:val="00E76303"/>
    <w:rsid w:val="00E7699D"/>
    <w:rsid w:val="00E76F2B"/>
    <w:rsid w:val="00E7783A"/>
    <w:rsid w:val="00E77DF6"/>
    <w:rsid w:val="00E805ED"/>
    <w:rsid w:val="00E80EBD"/>
    <w:rsid w:val="00E82BEC"/>
    <w:rsid w:val="00E82EEB"/>
    <w:rsid w:val="00E8441E"/>
    <w:rsid w:val="00E84747"/>
    <w:rsid w:val="00E84A10"/>
    <w:rsid w:val="00E84B47"/>
    <w:rsid w:val="00E85E07"/>
    <w:rsid w:val="00E85FFB"/>
    <w:rsid w:val="00E86A24"/>
    <w:rsid w:val="00E87082"/>
    <w:rsid w:val="00E87162"/>
    <w:rsid w:val="00E8722D"/>
    <w:rsid w:val="00E8742F"/>
    <w:rsid w:val="00E876D5"/>
    <w:rsid w:val="00E9035E"/>
    <w:rsid w:val="00E90524"/>
    <w:rsid w:val="00E906C1"/>
    <w:rsid w:val="00E90960"/>
    <w:rsid w:val="00E90966"/>
    <w:rsid w:val="00E913B9"/>
    <w:rsid w:val="00E9186D"/>
    <w:rsid w:val="00E92329"/>
    <w:rsid w:val="00E925C1"/>
    <w:rsid w:val="00E92D89"/>
    <w:rsid w:val="00E92F89"/>
    <w:rsid w:val="00E931DC"/>
    <w:rsid w:val="00E934A6"/>
    <w:rsid w:val="00E945D0"/>
    <w:rsid w:val="00E948B5"/>
    <w:rsid w:val="00E95085"/>
    <w:rsid w:val="00E959BB"/>
    <w:rsid w:val="00E95DD0"/>
    <w:rsid w:val="00E95DFD"/>
    <w:rsid w:val="00E971F5"/>
    <w:rsid w:val="00E974C1"/>
    <w:rsid w:val="00E97D96"/>
    <w:rsid w:val="00EA05A8"/>
    <w:rsid w:val="00EA19B5"/>
    <w:rsid w:val="00EA1FCC"/>
    <w:rsid w:val="00EA20BB"/>
    <w:rsid w:val="00EA216A"/>
    <w:rsid w:val="00EA2C89"/>
    <w:rsid w:val="00EA3340"/>
    <w:rsid w:val="00EA3AC4"/>
    <w:rsid w:val="00EA3D69"/>
    <w:rsid w:val="00EA3F8E"/>
    <w:rsid w:val="00EA41F8"/>
    <w:rsid w:val="00EA438F"/>
    <w:rsid w:val="00EA4CAC"/>
    <w:rsid w:val="00EA51E5"/>
    <w:rsid w:val="00EA546E"/>
    <w:rsid w:val="00EA5508"/>
    <w:rsid w:val="00EA5CC8"/>
    <w:rsid w:val="00EA5E01"/>
    <w:rsid w:val="00EA681A"/>
    <w:rsid w:val="00EA764B"/>
    <w:rsid w:val="00EB0654"/>
    <w:rsid w:val="00EB0C17"/>
    <w:rsid w:val="00EB0FCF"/>
    <w:rsid w:val="00EB126E"/>
    <w:rsid w:val="00EB1757"/>
    <w:rsid w:val="00EB1F5F"/>
    <w:rsid w:val="00EB28A6"/>
    <w:rsid w:val="00EB362E"/>
    <w:rsid w:val="00EB380B"/>
    <w:rsid w:val="00EB3AA3"/>
    <w:rsid w:val="00EB4402"/>
    <w:rsid w:val="00EB49BB"/>
    <w:rsid w:val="00EB529D"/>
    <w:rsid w:val="00EB584C"/>
    <w:rsid w:val="00EB5DBF"/>
    <w:rsid w:val="00EB5F15"/>
    <w:rsid w:val="00EB7DA4"/>
    <w:rsid w:val="00EC00A8"/>
    <w:rsid w:val="00EC0580"/>
    <w:rsid w:val="00EC096D"/>
    <w:rsid w:val="00EC1257"/>
    <w:rsid w:val="00EC1435"/>
    <w:rsid w:val="00EC15BE"/>
    <w:rsid w:val="00EC2338"/>
    <w:rsid w:val="00EC2BC4"/>
    <w:rsid w:val="00EC3054"/>
    <w:rsid w:val="00EC3BCB"/>
    <w:rsid w:val="00EC4012"/>
    <w:rsid w:val="00EC40CC"/>
    <w:rsid w:val="00EC4861"/>
    <w:rsid w:val="00EC4B7E"/>
    <w:rsid w:val="00EC5A15"/>
    <w:rsid w:val="00EC5F1C"/>
    <w:rsid w:val="00EC6212"/>
    <w:rsid w:val="00EC672C"/>
    <w:rsid w:val="00EC6E04"/>
    <w:rsid w:val="00EC779A"/>
    <w:rsid w:val="00ED0288"/>
    <w:rsid w:val="00ED08DD"/>
    <w:rsid w:val="00ED0EA5"/>
    <w:rsid w:val="00ED0F6C"/>
    <w:rsid w:val="00ED27A9"/>
    <w:rsid w:val="00ED3C46"/>
    <w:rsid w:val="00ED4657"/>
    <w:rsid w:val="00ED4CAD"/>
    <w:rsid w:val="00ED5DDF"/>
    <w:rsid w:val="00ED7108"/>
    <w:rsid w:val="00EE0159"/>
    <w:rsid w:val="00EE0ACA"/>
    <w:rsid w:val="00EE0EB8"/>
    <w:rsid w:val="00EE1366"/>
    <w:rsid w:val="00EE2141"/>
    <w:rsid w:val="00EE25C8"/>
    <w:rsid w:val="00EE2B82"/>
    <w:rsid w:val="00EE2C1C"/>
    <w:rsid w:val="00EE4255"/>
    <w:rsid w:val="00EE42F7"/>
    <w:rsid w:val="00EE4313"/>
    <w:rsid w:val="00EE43E1"/>
    <w:rsid w:val="00EE4BB3"/>
    <w:rsid w:val="00EE5094"/>
    <w:rsid w:val="00EE547A"/>
    <w:rsid w:val="00EE59A7"/>
    <w:rsid w:val="00EE625B"/>
    <w:rsid w:val="00EE6744"/>
    <w:rsid w:val="00EE6C47"/>
    <w:rsid w:val="00EE7DBB"/>
    <w:rsid w:val="00EE7E41"/>
    <w:rsid w:val="00EE7EF9"/>
    <w:rsid w:val="00EF0127"/>
    <w:rsid w:val="00EF04E6"/>
    <w:rsid w:val="00EF0AB2"/>
    <w:rsid w:val="00EF0F21"/>
    <w:rsid w:val="00EF232A"/>
    <w:rsid w:val="00EF24D1"/>
    <w:rsid w:val="00EF2A28"/>
    <w:rsid w:val="00EF2FA7"/>
    <w:rsid w:val="00EF31E0"/>
    <w:rsid w:val="00EF3CD7"/>
    <w:rsid w:val="00EF413C"/>
    <w:rsid w:val="00EF4BF3"/>
    <w:rsid w:val="00EF54F2"/>
    <w:rsid w:val="00EF5D1A"/>
    <w:rsid w:val="00EF68A7"/>
    <w:rsid w:val="00EF71A6"/>
    <w:rsid w:val="00F003D6"/>
    <w:rsid w:val="00F00496"/>
    <w:rsid w:val="00F00707"/>
    <w:rsid w:val="00F00D54"/>
    <w:rsid w:val="00F00E91"/>
    <w:rsid w:val="00F01BC8"/>
    <w:rsid w:val="00F01FFF"/>
    <w:rsid w:val="00F040DD"/>
    <w:rsid w:val="00F042CC"/>
    <w:rsid w:val="00F04682"/>
    <w:rsid w:val="00F05472"/>
    <w:rsid w:val="00F070D7"/>
    <w:rsid w:val="00F0737B"/>
    <w:rsid w:val="00F073D6"/>
    <w:rsid w:val="00F075F6"/>
    <w:rsid w:val="00F10100"/>
    <w:rsid w:val="00F106EA"/>
    <w:rsid w:val="00F10AA5"/>
    <w:rsid w:val="00F11121"/>
    <w:rsid w:val="00F1186A"/>
    <w:rsid w:val="00F1210C"/>
    <w:rsid w:val="00F13F41"/>
    <w:rsid w:val="00F1561A"/>
    <w:rsid w:val="00F16835"/>
    <w:rsid w:val="00F16952"/>
    <w:rsid w:val="00F1705C"/>
    <w:rsid w:val="00F178AB"/>
    <w:rsid w:val="00F17ECB"/>
    <w:rsid w:val="00F2024F"/>
    <w:rsid w:val="00F22089"/>
    <w:rsid w:val="00F22514"/>
    <w:rsid w:val="00F22C1B"/>
    <w:rsid w:val="00F2402D"/>
    <w:rsid w:val="00F2407E"/>
    <w:rsid w:val="00F24AFC"/>
    <w:rsid w:val="00F251CF"/>
    <w:rsid w:val="00F267A7"/>
    <w:rsid w:val="00F30A6C"/>
    <w:rsid w:val="00F31920"/>
    <w:rsid w:val="00F32262"/>
    <w:rsid w:val="00F3237F"/>
    <w:rsid w:val="00F33967"/>
    <w:rsid w:val="00F33B62"/>
    <w:rsid w:val="00F342E5"/>
    <w:rsid w:val="00F34BC6"/>
    <w:rsid w:val="00F35497"/>
    <w:rsid w:val="00F3627F"/>
    <w:rsid w:val="00F37070"/>
    <w:rsid w:val="00F37234"/>
    <w:rsid w:val="00F376CB"/>
    <w:rsid w:val="00F40C78"/>
    <w:rsid w:val="00F40F51"/>
    <w:rsid w:val="00F414B3"/>
    <w:rsid w:val="00F41D8A"/>
    <w:rsid w:val="00F42F56"/>
    <w:rsid w:val="00F4342B"/>
    <w:rsid w:val="00F4412F"/>
    <w:rsid w:val="00F44369"/>
    <w:rsid w:val="00F44615"/>
    <w:rsid w:val="00F44D29"/>
    <w:rsid w:val="00F451AF"/>
    <w:rsid w:val="00F45EC1"/>
    <w:rsid w:val="00F476C6"/>
    <w:rsid w:val="00F50C51"/>
    <w:rsid w:val="00F5145D"/>
    <w:rsid w:val="00F518EA"/>
    <w:rsid w:val="00F51E96"/>
    <w:rsid w:val="00F52602"/>
    <w:rsid w:val="00F52C0A"/>
    <w:rsid w:val="00F52ECA"/>
    <w:rsid w:val="00F53893"/>
    <w:rsid w:val="00F53E40"/>
    <w:rsid w:val="00F542E9"/>
    <w:rsid w:val="00F54356"/>
    <w:rsid w:val="00F54A82"/>
    <w:rsid w:val="00F552B0"/>
    <w:rsid w:val="00F55C6E"/>
    <w:rsid w:val="00F5692C"/>
    <w:rsid w:val="00F56D33"/>
    <w:rsid w:val="00F56F45"/>
    <w:rsid w:val="00F572F3"/>
    <w:rsid w:val="00F57DBA"/>
    <w:rsid w:val="00F60394"/>
    <w:rsid w:val="00F611C9"/>
    <w:rsid w:val="00F61DAB"/>
    <w:rsid w:val="00F624D9"/>
    <w:rsid w:val="00F62737"/>
    <w:rsid w:val="00F62AE5"/>
    <w:rsid w:val="00F62B1E"/>
    <w:rsid w:val="00F62D49"/>
    <w:rsid w:val="00F6384C"/>
    <w:rsid w:val="00F641D8"/>
    <w:rsid w:val="00F65077"/>
    <w:rsid w:val="00F6583C"/>
    <w:rsid w:val="00F65CDC"/>
    <w:rsid w:val="00F65FD2"/>
    <w:rsid w:val="00F66754"/>
    <w:rsid w:val="00F66A3A"/>
    <w:rsid w:val="00F66EEB"/>
    <w:rsid w:val="00F66FED"/>
    <w:rsid w:val="00F673A7"/>
    <w:rsid w:val="00F700CF"/>
    <w:rsid w:val="00F70C1C"/>
    <w:rsid w:val="00F70E89"/>
    <w:rsid w:val="00F71573"/>
    <w:rsid w:val="00F722D4"/>
    <w:rsid w:val="00F724CB"/>
    <w:rsid w:val="00F72958"/>
    <w:rsid w:val="00F72AB1"/>
    <w:rsid w:val="00F72EB4"/>
    <w:rsid w:val="00F738DF"/>
    <w:rsid w:val="00F73B2B"/>
    <w:rsid w:val="00F73F2C"/>
    <w:rsid w:val="00F75219"/>
    <w:rsid w:val="00F7534B"/>
    <w:rsid w:val="00F7572D"/>
    <w:rsid w:val="00F7657B"/>
    <w:rsid w:val="00F76C82"/>
    <w:rsid w:val="00F76D51"/>
    <w:rsid w:val="00F77AE0"/>
    <w:rsid w:val="00F77FE9"/>
    <w:rsid w:val="00F805EC"/>
    <w:rsid w:val="00F8104A"/>
    <w:rsid w:val="00F8110F"/>
    <w:rsid w:val="00F81274"/>
    <w:rsid w:val="00F81DA7"/>
    <w:rsid w:val="00F820FC"/>
    <w:rsid w:val="00F832FC"/>
    <w:rsid w:val="00F83349"/>
    <w:rsid w:val="00F838AC"/>
    <w:rsid w:val="00F842F3"/>
    <w:rsid w:val="00F853D2"/>
    <w:rsid w:val="00F856B1"/>
    <w:rsid w:val="00F85790"/>
    <w:rsid w:val="00F8599B"/>
    <w:rsid w:val="00F870A4"/>
    <w:rsid w:val="00F876B4"/>
    <w:rsid w:val="00F878AE"/>
    <w:rsid w:val="00F90251"/>
    <w:rsid w:val="00F90A05"/>
    <w:rsid w:val="00F92CD1"/>
    <w:rsid w:val="00F9326F"/>
    <w:rsid w:val="00F938EA"/>
    <w:rsid w:val="00F93BB6"/>
    <w:rsid w:val="00F94949"/>
    <w:rsid w:val="00F94AC8"/>
    <w:rsid w:val="00F94E0A"/>
    <w:rsid w:val="00F9537D"/>
    <w:rsid w:val="00F95B19"/>
    <w:rsid w:val="00F95C7E"/>
    <w:rsid w:val="00F961F0"/>
    <w:rsid w:val="00F96E44"/>
    <w:rsid w:val="00F97AF2"/>
    <w:rsid w:val="00F97FEA"/>
    <w:rsid w:val="00FA0062"/>
    <w:rsid w:val="00FA0DB5"/>
    <w:rsid w:val="00FA10ED"/>
    <w:rsid w:val="00FA1542"/>
    <w:rsid w:val="00FA1643"/>
    <w:rsid w:val="00FA1AA5"/>
    <w:rsid w:val="00FA2BAB"/>
    <w:rsid w:val="00FA2CBB"/>
    <w:rsid w:val="00FA2EDD"/>
    <w:rsid w:val="00FA46AD"/>
    <w:rsid w:val="00FA4C81"/>
    <w:rsid w:val="00FA4EB9"/>
    <w:rsid w:val="00FA538C"/>
    <w:rsid w:val="00FA599D"/>
    <w:rsid w:val="00FA6A3C"/>
    <w:rsid w:val="00FA7352"/>
    <w:rsid w:val="00FA7ED1"/>
    <w:rsid w:val="00FA7F22"/>
    <w:rsid w:val="00FB2769"/>
    <w:rsid w:val="00FB2DD7"/>
    <w:rsid w:val="00FB305D"/>
    <w:rsid w:val="00FB3230"/>
    <w:rsid w:val="00FB4066"/>
    <w:rsid w:val="00FB4426"/>
    <w:rsid w:val="00FB4F8D"/>
    <w:rsid w:val="00FB57F4"/>
    <w:rsid w:val="00FB58E5"/>
    <w:rsid w:val="00FB58F3"/>
    <w:rsid w:val="00FB6408"/>
    <w:rsid w:val="00FB6A2E"/>
    <w:rsid w:val="00FB7211"/>
    <w:rsid w:val="00FB7469"/>
    <w:rsid w:val="00FC11A8"/>
    <w:rsid w:val="00FC212C"/>
    <w:rsid w:val="00FC249A"/>
    <w:rsid w:val="00FC2DC1"/>
    <w:rsid w:val="00FC40B6"/>
    <w:rsid w:val="00FC4548"/>
    <w:rsid w:val="00FC46EA"/>
    <w:rsid w:val="00FC49B3"/>
    <w:rsid w:val="00FC4D34"/>
    <w:rsid w:val="00FC4E23"/>
    <w:rsid w:val="00FC5EDF"/>
    <w:rsid w:val="00FC7267"/>
    <w:rsid w:val="00FD0050"/>
    <w:rsid w:val="00FD078F"/>
    <w:rsid w:val="00FD0C45"/>
    <w:rsid w:val="00FD1D2A"/>
    <w:rsid w:val="00FD38CF"/>
    <w:rsid w:val="00FD444E"/>
    <w:rsid w:val="00FD5DB0"/>
    <w:rsid w:val="00FD6005"/>
    <w:rsid w:val="00FD6261"/>
    <w:rsid w:val="00FD69BC"/>
    <w:rsid w:val="00FD6A81"/>
    <w:rsid w:val="00FD711F"/>
    <w:rsid w:val="00FE00B7"/>
    <w:rsid w:val="00FE1D75"/>
    <w:rsid w:val="00FE295C"/>
    <w:rsid w:val="00FE2DC7"/>
    <w:rsid w:val="00FE2FFD"/>
    <w:rsid w:val="00FE33C9"/>
    <w:rsid w:val="00FE3809"/>
    <w:rsid w:val="00FE3997"/>
    <w:rsid w:val="00FE412F"/>
    <w:rsid w:val="00FE5FC8"/>
    <w:rsid w:val="00FF0565"/>
    <w:rsid w:val="00FF0A88"/>
    <w:rsid w:val="00FF0BCA"/>
    <w:rsid w:val="00FF1CF2"/>
    <w:rsid w:val="00FF2F63"/>
    <w:rsid w:val="00FF3431"/>
    <w:rsid w:val="00FF39E8"/>
    <w:rsid w:val="00FF3D9E"/>
    <w:rsid w:val="00FF4DF2"/>
    <w:rsid w:val="00FF683B"/>
    <w:rsid w:val="00FF6F48"/>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Default Paragraph Font" w:uiPriority="1"/>
    <w:lsdException w:name="Subtitle" w:qFormat="1"/>
    <w:lsdException w:name="Emphasis" w:uiPriority="20" w:qFormat="1"/>
    <w:lsdException w:name="Normal (Web)" w:uiPriority="99"/>
    <w:lsdException w:name="No List" w:uiPriority="99"/>
    <w:lsdException w:name="Revision" w:uiPriority="99"/>
    <w:lsdException w:name="List Paragraph" w:uiPriority="99" w:qFormat="1"/>
    <w:lsdException w:name="TOC Heading" w:uiPriority="39" w:qFormat="1"/>
  </w:latentStyles>
  <w:style w:type="paragraph" w:default="1" w:styleId="Normal">
    <w:name w:val="Normal"/>
    <w:qFormat/>
    <w:rsid w:val="00077A87"/>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077A8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077A87"/>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077A87"/>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077A87"/>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077A87"/>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77A87"/>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077A87"/>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077A87"/>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077A8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7A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A87"/>
  </w:style>
  <w:style w:type="paragraph" w:styleId="BalloonText">
    <w:name w:val="Balloon Text"/>
    <w:basedOn w:val="Normal"/>
    <w:link w:val="BalloonTextChar1"/>
    <w:semiHidden/>
    <w:rsid w:val="0098772A"/>
    <w:rPr>
      <w:rFonts w:ascii="Tahoma" w:hAnsi="Tahoma" w:cs="Wingdings"/>
      <w:sz w:val="16"/>
      <w:szCs w:val="16"/>
    </w:rPr>
  </w:style>
  <w:style w:type="character" w:customStyle="1" w:styleId="BalloonTextChar">
    <w:name w:val="Balloon Text Char"/>
    <w:basedOn w:val="DefaultParagraphFont"/>
    <w:uiPriority w:val="99"/>
    <w:semiHidden/>
    <w:rsid w:val="004833CF"/>
    <w:rPr>
      <w:rFonts w:ascii="Lucida Grande" w:hAnsi="Lucida Grande"/>
      <w:sz w:val="18"/>
      <w:szCs w:val="18"/>
    </w:rPr>
  </w:style>
  <w:style w:type="paragraph" w:customStyle="1" w:styleId="ParaNum">
    <w:name w:val="ParaNum"/>
    <w:basedOn w:val="Normal"/>
    <w:link w:val="ParaNumChar"/>
    <w:rsid w:val="00077A87"/>
    <w:pPr>
      <w:numPr>
        <w:numId w:val="4"/>
      </w:numPr>
      <w:tabs>
        <w:tab w:val="clear" w:pos="1080"/>
        <w:tab w:val="num" w:pos="1440"/>
      </w:tabs>
      <w:spacing w:after="120"/>
    </w:pPr>
  </w:style>
  <w:style w:type="paragraph" w:styleId="EndnoteText">
    <w:name w:val="endnote text"/>
    <w:basedOn w:val="Normal"/>
    <w:link w:val="EndnoteTextChar"/>
    <w:semiHidden/>
    <w:rsid w:val="00077A87"/>
    <w:rPr>
      <w:sz w:val="20"/>
    </w:rPr>
  </w:style>
  <w:style w:type="character" w:styleId="EndnoteReference">
    <w:name w:val="endnote reference"/>
    <w:semiHidden/>
    <w:rsid w:val="00077A87"/>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ALTS FOOTNOTE,fn,Footnote Text Char1 Char Cha"/>
    <w:link w:val="FootnoteTextChar"/>
    <w:rsid w:val="00077A87"/>
    <w:pPr>
      <w:spacing w:after="120"/>
    </w:pPr>
    <w:rPr>
      <w:sz w:val="20"/>
      <w:szCs w:val="20"/>
    </w:rPr>
  </w:style>
  <w:style w:type="character" w:styleId="FootnoteReference">
    <w:name w:val="footnote reference"/>
    <w:aliases w:val="Appel note de bas de p,Style 12,(NECG) Footnote Reference,Style 124,o,fr,Style 3,Style 13,FR,Style 17,Footnote Reference/,Style 6,Style 7"/>
    <w:rsid w:val="00077A87"/>
    <w:rPr>
      <w:rFonts w:ascii="Times New Roman" w:hAnsi="Times New Roman"/>
      <w:dstrike w:val="0"/>
      <w:color w:val="auto"/>
      <w:sz w:val="20"/>
      <w:vertAlign w:val="superscript"/>
    </w:rPr>
  </w:style>
  <w:style w:type="paragraph" w:styleId="TOC1">
    <w:name w:val="toc 1"/>
    <w:basedOn w:val="Normal"/>
    <w:next w:val="Normal"/>
    <w:rsid w:val="00077A87"/>
    <w:pPr>
      <w:tabs>
        <w:tab w:val="left" w:pos="360"/>
        <w:tab w:val="right" w:leader="dot" w:pos="9360"/>
      </w:tabs>
      <w:suppressAutoHyphens/>
      <w:ind w:left="360" w:right="720" w:hanging="360"/>
    </w:pPr>
    <w:rPr>
      <w:caps/>
      <w:noProof/>
    </w:rPr>
  </w:style>
  <w:style w:type="paragraph" w:styleId="TOC2">
    <w:name w:val="toc 2"/>
    <w:basedOn w:val="Normal"/>
    <w:next w:val="Normal"/>
    <w:rsid w:val="00077A87"/>
    <w:pPr>
      <w:tabs>
        <w:tab w:val="left" w:pos="720"/>
        <w:tab w:val="right" w:leader="dot" w:pos="9360"/>
      </w:tabs>
      <w:suppressAutoHyphens/>
      <w:ind w:left="720" w:right="720" w:hanging="360"/>
    </w:pPr>
    <w:rPr>
      <w:noProof/>
    </w:rPr>
  </w:style>
  <w:style w:type="paragraph" w:styleId="TOC3">
    <w:name w:val="toc 3"/>
    <w:basedOn w:val="Normal"/>
    <w:next w:val="Normal"/>
    <w:rsid w:val="00077A8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77A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7A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7A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7A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7A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7A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7A87"/>
    <w:pPr>
      <w:tabs>
        <w:tab w:val="right" w:pos="9360"/>
      </w:tabs>
      <w:suppressAutoHyphens/>
    </w:pPr>
  </w:style>
  <w:style w:type="character" w:customStyle="1" w:styleId="EquationCaption">
    <w:name w:val="_Equation Caption"/>
    <w:rsid w:val="00077A87"/>
  </w:style>
  <w:style w:type="paragraph" w:styleId="Header">
    <w:name w:val="header"/>
    <w:basedOn w:val="Normal"/>
    <w:link w:val="HeaderChar"/>
    <w:autoRedefine/>
    <w:rsid w:val="00077A87"/>
    <w:pPr>
      <w:tabs>
        <w:tab w:val="center" w:pos="4680"/>
        <w:tab w:val="right" w:pos="9360"/>
      </w:tabs>
    </w:pPr>
    <w:rPr>
      <w:b/>
    </w:rPr>
  </w:style>
  <w:style w:type="paragraph" w:styleId="Footer">
    <w:name w:val="footer"/>
    <w:basedOn w:val="Normal"/>
    <w:link w:val="FooterChar"/>
    <w:rsid w:val="00077A87"/>
    <w:pPr>
      <w:tabs>
        <w:tab w:val="center" w:pos="4320"/>
        <w:tab w:val="right" w:pos="8640"/>
      </w:tabs>
    </w:pPr>
  </w:style>
  <w:style w:type="character" w:styleId="PageNumber">
    <w:name w:val="page number"/>
    <w:basedOn w:val="DefaultParagraphFont"/>
    <w:rsid w:val="00077A87"/>
  </w:style>
  <w:style w:type="paragraph" w:styleId="BlockText">
    <w:name w:val="Block Text"/>
    <w:basedOn w:val="Normal"/>
    <w:rsid w:val="00077A87"/>
    <w:pPr>
      <w:spacing w:after="240"/>
      <w:ind w:left="1440" w:right="1440"/>
    </w:pPr>
  </w:style>
  <w:style w:type="paragraph" w:customStyle="1" w:styleId="Bullet">
    <w:name w:val="Bullet"/>
    <w:basedOn w:val="Normal"/>
    <w:rsid w:val="00077A87"/>
    <w:pPr>
      <w:tabs>
        <w:tab w:val="left" w:pos="2160"/>
      </w:tabs>
      <w:spacing w:after="220"/>
      <w:ind w:left="2160" w:hanging="720"/>
    </w:pPr>
  </w:style>
  <w:style w:type="paragraph" w:customStyle="1" w:styleId="TableFormat">
    <w:name w:val="TableFormat"/>
    <w:basedOn w:val="Bullet"/>
    <w:rsid w:val="00077A87"/>
    <w:pPr>
      <w:tabs>
        <w:tab w:val="clear" w:pos="2160"/>
        <w:tab w:val="left" w:pos="5040"/>
      </w:tabs>
      <w:ind w:left="5040" w:hanging="3600"/>
    </w:pPr>
  </w:style>
  <w:style w:type="paragraph" w:customStyle="1" w:styleId="Byline">
    <w:name w:val="Byline"/>
    <w:basedOn w:val="BodyText"/>
    <w:rsid w:val="0098772A"/>
  </w:style>
  <w:style w:type="paragraph" w:styleId="BodyText">
    <w:name w:val="Body Text"/>
    <w:basedOn w:val="Normal"/>
    <w:link w:val="BodyTextChar"/>
    <w:rsid w:val="0098772A"/>
    <w:pPr>
      <w:widowControl/>
      <w:numPr>
        <w:numId w:val="2"/>
      </w:numPr>
      <w:spacing w:after="120"/>
    </w:pPr>
    <w:rPr>
      <w:snapToGrid/>
      <w:kern w:val="0"/>
    </w:rPr>
  </w:style>
  <w:style w:type="paragraph" w:styleId="List">
    <w:name w:val="List"/>
    <w:basedOn w:val="Normal"/>
    <w:rsid w:val="0098772A"/>
    <w:pPr>
      <w:widowControl/>
      <w:ind w:left="360" w:hanging="360"/>
    </w:pPr>
    <w:rPr>
      <w:snapToGrid/>
      <w:kern w:val="0"/>
    </w:rPr>
  </w:style>
  <w:style w:type="paragraph" w:styleId="List3">
    <w:name w:val="List 3"/>
    <w:basedOn w:val="Normal"/>
    <w:rsid w:val="0098772A"/>
    <w:pPr>
      <w:widowControl/>
      <w:ind w:left="1080" w:hanging="360"/>
    </w:pPr>
    <w:rPr>
      <w:snapToGrid/>
      <w:kern w:val="0"/>
    </w:rPr>
  </w:style>
  <w:style w:type="paragraph" w:styleId="List2">
    <w:name w:val="List 2"/>
    <w:basedOn w:val="Normal"/>
    <w:rsid w:val="0098772A"/>
    <w:pPr>
      <w:widowControl/>
      <w:ind w:left="720" w:hanging="360"/>
    </w:pPr>
    <w:rPr>
      <w:snapToGrid/>
      <w:kern w:val="0"/>
    </w:rPr>
  </w:style>
  <w:style w:type="paragraph" w:styleId="ListContinue">
    <w:name w:val="List Continue"/>
    <w:basedOn w:val="Normal"/>
    <w:rsid w:val="0098772A"/>
    <w:pPr>
      <w:widowControl/>
      <w:spacing w:after="120"/>
      <w:ind w:left="360"/>
    </w:pPr>
    <w:rPr>
      <w:snapToGrid/>
      <w:kern w:val="0"/>
    </w:rPr>
  </w:style>
  <w:style w:type="paragraph" w:styleId="DocumentMap">
    <w:name w:val="Document Map"/>
    <w:basedOn w:val="Normal"/>
    <w:link w:val="DocumentMapChar"/>
    <w:semiHidden/>
    <w:rsid w:val="0098772A"/>
    <w:pPr>
      <w:shd w:val="clear" w:color="auto" w:fill="000080"/>
    </w:pPr>
    <w:rPr>
      <w:rFonts w:ascii="Tahoma" w:hAnsi="Tahoma"/>
    </w:rPr>
  </w:style>
  <w:style w:type="paragraph" w:styleId="ListContinue2">
    <w:name w:val="List Continue 2"/>
    <w:basedOn w:val="Normal"/>
    <w:rsid w:val="0098772A"/>
    <w:pPr>
      <w:spacing w:after="120"/>
      <w:ind w:left="720"/>
    </w:pPr>
  </w:style>
  <w:style w:type="paragraph" w:styleId="Title">
    <w:name w:val="Title"/>
    <w:basedOn w:val="Normal"/>
    <w:link w:val="TitleChar"/>
    <w:qFormat/>
    <w:rsid w:val="0098772A"/>
    <w:pPr>
      <w:spacing w:before="240" w:after="60"/>
      <w:jc w:val="center"/>
      <w:outlineLvl w:val="0"/>
    </w:pPr>
    <w:rPr>
      <w:rFonts w:ascii="Arial" w:hAnsi="Arial"/>
      <w:b/>
      <w:sz w:val="32"/>
    </w:rPr>
  </w:style>
  <w:style w:type="paragraph" w:styleId="BodyTextIndent">
    <w:name w:val="Body Text Indent"/>
    <w:basedOn w:val="Normal"/>
    <w:link w:val="BodyTextIndentChar"/>
    <w:rsid w:val="0098772A"/>
    <w:pPr>
      <w:spacing w:after="120"/>
      <w:ind w:left="360"/>
    </w:pPr>
  </w:style>
  <w:style w:type="paragraph" w:styleId="Subtitle">
    <w:name w:val="Subtitle"/>
    <w:basedOn w:val="Normal"/>
    <w:link w:val="SubtitleChar"/>
    <w:qFormat/>
    <w:rsid w:val="0098772A"/>
    <w:pPr>
      <w:spacing w:after="60"/>
      <w:jc w:val="center"/>
      <w:outlineLvl w:val="1"/>
    </w:pPr>
    <w:rPr>
      <w:rFonts w:ascii="Arial" w:hAnsi="Arial"/>
      <w:sz w:val="24"/>
    </w:rPr>
  </w:style>
  <w:style w:type="character" w:styleId="Hyperlink">
    <w:name w:val="Hyperlink"/>
    <w:rsid w:val="00077A87"/>
    <w:rPr>
      <w:color w:val="0000FF"/>
      <w:u w:val="single"/>
    </w:rPr>
  </w:style>
  <w:style w:type="paragraph" w:customStyle="1" w:styleId="TableText">
    <w:name w:val="Table Text"/>
    <w:basedOn w:val="Normal"/>
    <w:rsid w:val="0098772A"/>
    <w:pPr>
      <w:widowControl/>
      <w:spacing w:before="60" w:after="60"/>
    </w:pPr>
    <w:rPr>
      <w:rFonts w:ascii="Arial" w:hAnsi="Arial"/>
      <w:snapToGrid/>
      <w:kern w:val="0"/>
      <w:sz w:val="20"/>
    </w:rPr>
  </w:style>
  <w:style w:type="paragraph" w:customStyle="1" w:styleId="Document1">
    <w:name w:val="Document 1"/>
    <w:rsid w:val="0098772A"/>
    <w:pPr>
      <w:keepNext/>
      <w:keepLines/>
      <w:widowControl w:val="0"/>
      <w:tabs>
        <w:tab w:val="left" w:pos="-720"/>
      </w:tabs>
      <w:suppressAutoHyphens/>
    </w:pPr>
    <w:rPr>
      <w:rFonts w:ascii="Times Roman" w:hAnsi="Times Roman"/>
      <w:snapToGrid w:val="0"/>
    </w:rPr>
  </w:style>
  <w:style w:type="paragraph" w:customStyle="1" w:styleId="header2">
    <w:name w:val="header2"/>
    <w:rsid w:val="0098772A"/>
    <w:pPr>
      <w:widowControl w:val="0"/>
      <w:tabs>
        <w:tab w:val="left" w:pos="1440"/>
        <w:tab w:val="center" w:pos="4320"/>
        <w:tab w:val="right" w:pos="8640"/>
      </w:tabs>
      <w:suppressAutoHyphens/>
      <w:jc w:val="center"/>
    </w:pPr>
    <w:rPr>
      <w:b/>
      <w:snapToGrid w:val="0"/>
    </w:rPr>
  </w:style>
  <w:style w:type="paragraph" w:styleId="CommentText">
    <w:name w:val="annotation text"/>
    <w:basedOn w:val="Normal"/>
    <w:link w:val="CommentTextChar"/>
    <w:rsid w:val="0098772A"/>
    <w:pPr>
      <w:widowControl/>
    </w:pPr>
    <w:rPr>
      <w:snapToGrid/>
      <w:kern w:val="0"/>
      <w:sz w:val="20"/>
    </w:rPr>
  </w:style>
  <w:style w:type="character" w:customStyle="1" w:styleId="documentbody1">
    <w:name w:val="documentbody1"/>
    <w:uiPriority w:val="99"/>
    <w:rsid w:val="0098772A"/>
    <w:rPr>
      <w:rFonts w:ascii="Verdana" w:hAnsi="Verdana" w:hint="default"/>
      <w:sz w:val="19"/>
      <w:szCs w:val="19"/>
    </w:rPr>
  </w:style>
  <w:style w:type="character" w:customStyle="1" w:styleId="ptext-2">
    <w:name w:val="ptext-2"/>
    <w:rsid w:val="0098772A"/>
    <w:rPr>
      <w:b w:val="0"/>
      <w:bCs w:val="0"/>
      <w:sz w:val="20"/>
      <w:szCs w:val="20"/>
    </w:rPr>
  </w:style>
  <w:style w:type="character" w:customStyle="1" w:styleId="ptext-3">
    <w:name w:val="ptext-3"/>
    <w:rsid w:val="0098772A"/>
    <w:rPr>
      <w:b w:val="0"/>
      <w:bCs w:val="0"/>
      <w:sz w:val="20"/>
      <w:szCs w:val="20"/>
    </w:rPr>
  </w:style>
  <w:style w:type="character" w:customStyle="1" w:styleId="enumbell">
    <w:name w:val="enumbell"/>
    <w:rsid w:val="0098772A"/>
    <w:rPr>
      <w:b/>
      <w:bCs/>
      <w:sz w:val="20"/>
      <w:szCs w:val="20"/>
    </w:rPr>
  </w:style>
  <w:style w:type="character" w:customStyle="1" w:styleId="FootnoteTextChar1Char1">
    <w:name w:val="Footnote Text Char1 Char1"/>
    <w:aliases w:val="Footnote Text Char Char Char1,Footnote Text Char1 Char Char Char,Footnote Text Char Char Char Char Char,Footnote Text Char1 Char Char Char1 Char Char,Footnote Text Char Char Char Char Char1 Char Char,ALTS FOOTNOTE Char,fn Char1"/>
    <w:rsid w:val="0098772A"/>
    <w:rPr>
      <w:noProof w:val="0"/>
      <w:lang w:val="en-US" w:eastAsia="en-US" w:bidi="ar-SA"/>
    </w:rPr>
  </w:style>
  <w:style w:type="character" w:customStyle="1" w:styleId="starpage1">
    <w:name w:val="starpage1"/>
    <w:rsid w:val="0098772A"/>
    <w:rPr>
      <w:b/>
      <w:bCs/>
      <w:i/>
      <w:iCs/>
      <w:color w:val="800080"/>
    </w:rPr>
  </w:style>
  <w:style w:type="paragraph" w:customStyle="1" w:styleId="NumberedList">
    <w:name w:val="Numbered List"/>
    <w:basedOn w:val="Normal"/>
    <w:rsid w:val="0098772A"/>
    <w:pPr>
      <w:widowControl/>
      <w:numPr>
        <w:numId w:val="3"/>
      </w:numPr>
      <w:spacing w:after="220"/>
    </w:pPr>
    <w:rPr>
      <w:snapToGrid/>
      <w:kern w:val="0"/>
    </w:rPr>
  </w:style>
  <w:style w:type="character" w:customStyle="1" w:styleId="StyleNumberedparagraphs11ptChar">
    <w:name w:val="Style Numbered paragraphs + 11 pt Char"/>
    <w:rsid w:val="0098772A"/>
    <w:rPr>
      <w:noProof w:val="0"/>
      <w:sz w:val="22"/>
      <w:lang w:val="en-US" w:eastAsia="en-US" w:bidi="ar-SA"/>
    </w:rPr>
  </w:style>
  <w:style w:type="paragraph" w:styleId="Revision">
    <w:name w:val="Revision"/>
    <w:hidden/>
    <w:uiPriority w:val="99"/>
    <w:semiHidden/>
    <w:rsid w:val="00EC4861"/>
    <w:rPr>
      <w:snapToGrid w:val="0"/>
      <w:kern w:val="28"/>
      <w:sz w:val="22"/>
    </w:rPr>
  </w:style>
  <w:style w:type="character" w:customStyle="1" w:styleId="FootnoteTextChar">
    <w:name w:val="Footnote Text Char"/>
    <w:aliases w:val="Footnote Text Char1 Char2,Footnote Text Char Char Char,Footnote Text Char1 Char Char Char1,Footnote Text Char Char Char Char Char1,Footnote Text Char1 Char Char Char1 Char Char1,Footnote Text Char Char Char Char Char1 Char Char1"/>
    <w:link w:val="FootnoteText"/>
    <w:rsid w:val="006D6B42"/>
    <w:rPr>
      <w:sz w:val="20"/>
      <w:szCs w:val="20"/>
    </w:rPr>
  </w:style>
  <w:style w:type="character" w:customStyle="1" w:styleId="ParaNumChar">
    <w:name w:val="ParaNum Char"/>
    <w:link w:val="ParaNum"/>
    <w:rsid w:val="00AA5219"/>
    <w:rPr>
      <w:snapToGrid w:val="0"/>
      <w:kern w:val="28"/>
      <w:sz w:val="22"/>
      <w:szCs w:val="20"/>
    </w:rPr>
  </w:style>
  <w:style w:type="character" w:styleId="CommentReference">
    <w:name w:val="annotation reference"/>
    <w:rsid w:val="00643868"/>
    <w:rPr>
      <w:sz w:val="16"/>
      <w:szCs w:val="16"/>
    </w:rPr>
  </w:style>
  <w:style w:type="paragraph" w:styleId="CommentSubject">
    <w:name w:val="annotation subject"/>
    <w:basedOn w:val="CommentText"/>
    <w:next w:val="CommentText"/>
    <w:link w:val="CommentSubjectChar"/>
    <w:semiHidden/>
    <w:rsid w:val="00643868"/>
    <w:pPr>
      <w:widowControl w:val="0"/>
      <w:jc w:val="both"/>
    </w:pPr>
    <w:rPr>
      <w:b/>
      <w:bCs/>
      <w:snapToGrid w:val="0"/>
      <w:kern w:val="28"/>
    </w:rPr>
  </w:style>
  <w:style w:type="paragraph" w:styleId="HTMLPreformatted">
    <w:name w:val="HTML Preformatted"/>
    <w:basedOn w:val="Normal"/>
    <w:link w:val="HTMLPreformattedChar"/>
    <w:rsid w:val="00700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styleId="FollowedHyperlink">
    <w:name w:val="FollowedHyperlink"/>
    <w:rsid w:val="00283675"/>
    <w:rPr>
      <w:color w:val="800080"/>
      <w:u w:val="single"/>
    </w:rPr>
  </w:style>
  <w:style w:type="paragraph" w:customStyle="1" w:styleId="Paratitle">
    <w:name w:val="Para title"/>
    <w:basedOn w:val="Normal"/>
    <w:rsid w:val="00077A87"/>
    <w:pPr>
      <w:tabs>
        <w:tab w:val="center" w:pos="9270"/>
      </w:tabs>
      <w:spacing w:after="240"/>
    </w:pPr>
    <w:rPr>
      <w:spacing w:val="-2"/>
    </w:rPr>
  </w:style>
  <w:style w:type="paragraph" w:customStyle="1" w:styleId="TOCTitle">
    <w:name w:val="TOC Title"/>
    <w:basedOn w:val="Normal"/>
    <w:rsid w:val="00077A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7A87"/>
    <w:pPr>
      <w:jc w:val="center"/>
    </w:pPr>
    <w:rPr>
      <w:rFonts w:ascii="Times New Roman Bold" w:hAnsi="Times New Roman Bold"/>
      <w:b/>
      <w:bCs/>
      <w:caps/>
      <w:szCs w:val="22"/>
    </w:rPr>
  </w:style>
  <w:style w:type="character" w:customStyle="1" w:styleId="FootnoteTextChar2Char">
    <w:name w:val="Footnote Text Char2 Char"/>
    <w:aliases w:val="Footnote Text Char1 Char1 Char,Footnote Text Char1 Char Char Char Char,Footnote Text Char2 Char Char Char Char Char,Footnote Text Char Char Char Char Char Char Char,Footnote Text Char1 Char"/>
    <w:semiHidden/>
    <w:rsid w:val="00426565"/>
    <w:rPr>
      <w:lang w:val="en-US" w:eastAsia="en-US" w:bidi="ar-SA"/>
    </w:rPr>
  </w:style>
  <w:style w:type="character" w:customStyle="1" w:styleId="Footnote">
    <w:name w:val="Footnote"/>
    <w:rsid w:val="00426565"/>
    <w:rPr>
      <w:rFonts w:cs="Times New Roman"/>
    </w:rPr>
  </w:style>
  <w:style w:type="character" w:customStyle="1" w:styleId="Heading2CharChar2">
    <w:name w:val="Heading 2 Char Char2"/>
    <w:rsid w:val="00426565"/>
    <w:rPr>
      <w:rFonts w:cs="Times New Roman"/>
      <w:b/>
      <w:snapToGrid w:val="0"/>
      <w:kern w:val="28"/>
      <w:sz w:val="24"/>
      <w:lang w:val="en-US" w:eastAsia="en-US" w:bidi="ar-SA"/>
    </w:rPr>
  </w:style>
  <w:style w:type="character" w:customStyle="1" w:styleId="StyleParaNumCharCharBold1Char">
    <w:name w:val="Style ParaNum Char Char + Bold1 Char"/>
    <w:rsid w:val="00426565"/>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rsid w:val="00426565"/>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426565"/>
    <w:rPr>
      <w:lang w:val="en-US" w:eastAsia="en-US" w:bidi="ar-SA"/>
    </w:rPr>
  </w:style>
  <w:style w:type="character" w:customStyle="1" w:styleId="footnote0">
    <w:name w:val="footnote"/>
    <w:rsid w:val="00426565"/>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426565"/>
    <w:rPr>
      <w:rFonts w:ascii="Times New Roman" w:hAnsi="Times New Roman" w:cs="Times New Roman" w:hint="default"/>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7051D2"/>
    <w:rPr>
      <w:lang w:val="en-US" w:eastAsia="en-US" w:bidi="ar-SA"/>
    </w:rPr>
  </w:style>
  <w:style w:type="paragraph" w:styleId="NormalWeb">
    <w:name w:val="Normal (Web)"/>
    <w:basedOn w:val="Normal"/>
    <w:uiPriority w:val="99"/>
    <w:unhideWhenUsed/>
    <w:rsid w:val="00607881"/>
    <w:pPr>
      <w:widowControl/>
      <w:spacing w:before="100" w:beforeAutospacing="1" w:after="100" w:afterAutospacing="1"/>
    </w:pPr>
    <w:rPr>
      <w:snapToGrid/>
      <w:kern w:val="0"/>
      <w:sz w:val="24"/>
    </w:rPr>
  </w:style>
  <w:style w:type="paragraph" w:styleId="TOCHeading">
    <w:name w:val="TOC Heading"/>
    <w:basedOn w:val="Heading1"/>
    <w:next w:val="Normal"/>
    <w:uiPriority w:val="39"/>
    <w:semiHidden/>
    <w:unhideWhenUsed/>
    <w:qFormat/>
    <w:rsid w:val="00B52120"/>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customStyle="1" w:styleId="Default">
    <w:name w:val="Default"/>
    <w:rsid w:val="00D02A88"/>
    <w:pPr>
      <w:autoSpaceDE w:val="0"/>
      <w:autoSpaceDN w:val="0"/>
      <w:adjustRightInd w:val="0"/>
    </w:pPr>
    <w:rPr>
      <w:color w:val="000000"/>
    </w:rPr>
  </w:style>
  <w:style w:type="paragraph" w:styleId="ListParagraph">
    <w:name w:val="List Paragraph"/>
    <w:basedOn w:val="Normal"/>
    <w:uiPriority w:val="99"/>
    <w:qFormat/>
    <w:rsid w:val="00C10B5A"/>
    <w:pPr>
      <w:widowControl/>
      <w:ind w:left="720"/>
      <w:contextualSpacing/>
    </w:pPr>
    <w:rPr>
      <w:snapToGrid/>
      <w:kern w:val="0"/>
      <w:sz w:val="24"/>
    </w:rPr>
  </w:style>
  <w:style w:type="character" w:customStyle="1" w:styleId="documentbody">
    <w:name w:val="documentbody"/>
    <w:basedOn w:val="DefaultParagraphFont"/>
    <w:rsid w:val="004007B8"/>
  </w:style>
  <w:style w:type="character" w:customStyle="1" w:styleId="searchterm">
    <w:name w:val="searchterm"/>
    <w:basedOn w:val="DefaultParagraphFont"/>
    <w:rsid w:val="004007B8"/>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593229"/>
    <w:rPr>
      <w:rFonts w:ascii="Times New Roman Bold" w:hAnsi="Times New Roman Bold"/>
      <w:b/>
      <w:caps/>
      <w:snapToGrid w:val="0"/>
      <w:kern w:val="28"/>
      <w:sz w:val="22"/>
      <w:szCs w:val="20"/>
    </w:rPr>
  </w:style>
  <w:style w:type="character" w:customStyle="1" w:styleId="BodyTextChar">
    <w:name w:val="Body Text Char"/>
    <w:basedOn w:val="DefaultParagraphFont"/>
    <w:link w:val="BodyText"/>
    <w:rsid w:val="00593229"/>
    <w:rPr>
      <w:sz w:val="22"/>
      <w:szCs w:val="20"/>
    </w:rPr>
  </w:style>
  <w:style w:type="character" w:customStyle="1" w:styleId="BodyTextIndentChar">
    <w:name w:val="Body Text Indent Char"/>
    <w:basedOn w:val="DefaultParagraphFont"/>
    <w:link w:val="BodyTextIndent"/>
    <w:rsid w:val="00593229"/>
    <w:rPr>
      <w:snapToGrid w:val="0"/>
      <w:kern w:val="28"/>
      <w:sz w:val="22"/>
    </w:rPr>
  </w:style>
  <w:style w:type="character" w:customStyle="1" w:styleId="Heading6Char">
    <w:name w:val="Heading 6 Char"/>
    <w:aliases w:val="h6 Char"/>
    <w:basedOn w:val="DefaultParagraphFont"/>
    <w:link w:val="Heading6"/>
    <w:rsid w:val="00593229"/>
    <w:rPr>
      <w:b/>
      <w:snapToGrid w:val="0"/>
      <w:kern w:val="28"/>
      <w:sz w:val="22"/>
      <w:szCs w:val="20"/>
    </w:rPr>
  </w:style>
  <w:style w:type="character" w:customStyle="1" w:styleId="Heading8Char">
    <w:name w:val="Heading 8 Char"/>
    <w:basedOn w:val="DefaultParagraphFont"/>
    <w:link w:val="Heading8"/>
    <w:rsid w:val="00593229"/>
    <w:rPr>
      <w:b/>
      <w:snapToGrid w:val="0"/>
      <w:kern w:val="28"/>
      <w:sz w:val="22"/>
      <w:szCs w:val="20"/>
    </w:rPr>
  </w:style>
  <w:style w:type="character" w:customStyle="1" w:styleId="EndnoteTextChar">
    <w:name w:val="Endnote Text Char"/>
    <w:basedOn w:val="DefaultParagraphFont"/>
    <w:link w:val="EndnoteText"/>
    <w:semiHidden/>
    <w:rsid w:val="00593229"/>
    <w:rPr>
      <w:snapToGrid w:val="0"/>
      <w:kern w:val="28"/>
      <w:sz w:val="20"/>
      <w:szCs w:val="20"/>
    </w:rPr>
  </w:style>
  <w:style w:type="character" w:customStyle="1" w:styleId="HeaderChar">
    <w:name w:val="Header Char"/>
    <w:basedOn w:val="DefaultParagraphFont"/>
    <w:link w:val="Header"/>
    <w:rsid w:val="00593229"/>
    <w:rPr>
      <w:b/>
      <w:snapToGrid w:val="0"/>
      <w:kern w:val="28"/>
      <w:sz w:val="22"/>
      <w:szCs w:val="20"/>
    </w:rPr>
  </w:style>
  <w:style w:type="character" w:customStyle="1" w:styleId="FooterChar">
    <w:name w:val="Footer Char"/>
    <w:basedOn w:val="DefaultParagraphFont"/>
    <w:link w:val="Footer"/>
    <w:rsid w:val="00593229"/>
    <w:rPr>
      <w:snapToGrid w:val="0"/>
      <w:kern w:val="28"/>
      <w:sz w:val="22"/>
      <w:szCs w:val="20"/>
    </w:rPr>
  </w:style>
  <w:style w:type="character" w:customStyle="1" w:styleId="DocumentMapChar">
    <w:name w:val="Document Map Char"/>
    <w:basedOn w:val="DefaultParagraphFont"/>
    <w:link w:val="DocumentMap"/>
    <w:semiHidden/>
    <w:rsid w:val="00593229"/>
    <w:rPr>
      <w:rFonts w:ascii="Tahoma" w:hAnsi="Tahoma"/>
      <w:snapToGrid w:val="0"/>
      <w:kern w:val="28"/>
      <w:sz w:val="22"/>
      <w:shd w:val="clear" w:color="auto" w:fill="000080"/>
    </w:rPr>
  </w:style>
  <w:style w:type="character" w:customStyle="1" w:styleId="TitleChar">
    <w:name w:val="Title Char"/>
    <w:basedOn w:val="DefaultParagraphFont"/>
    <w:link w:val="Title"/>
    <w:rsid w:val="00593229"/>
    <w:rPr>
      <w:rFonts w:ascii="Arial" w:hAnsi="Arial"/>
      <w:b/>
      <w:snapToGrid w:val="0"/>
      <w:kern w:val="28"/>
      <w:sz w:val="32"/>
    </w:rPr>
  </w:style>
  <w:style w:type="character" w:customStyle="1" w:styleId="SubtitleChar">
    <w:name w:val="Subtitle Char"/>
    <w:basedOn w:val="DefaultParagraphFont"/>
    <w:link w:val="Subtitle"/>
    <w:rsid w:val="00593229"/>
    <w:rPr>
      <w:rFonts w:ascii="Arial" w:hAnsi="Arial"/>
      <w:snapToGrid w:val="0"/>
      <w:kern w:val="28"/>
    </w:rPr>
  </w:style>
  <w:style w:type="character" w:customStyle="1" w:styleId="CommentTextChar">
    <w:name w:val="Comment Text Char"/>
    <w:basedOn w:val="DefaultParagraphFont"/>
    <w:link w:val="CommentText"/>
    <w:rsid w:val="00593229"/>
    <w:rPr>
      <w:sz w:val="20"/>
    </w:rPr>
  </w:style>
  <w:style w:type="character" w:customStyle="1" w:styleId="BalloonTextChar1">
    <w:name w:val="Balloon Text Char1"/>
    <w:basedOn w:val="DefaultParagraphFont"/>
    <w:link w:val="BalloonText"/>
    <w:semiHidden/>
    <w:rsid w:val="00593229"/>
    <w:rPr>
      <w:rFonts w:ascii="Tahoma" w:hAnsi="Tahoma" w:cs="Wingdings"/>
      <w:snapToGrid w:val="0"/>
      <w:kern w:val="28"/>
      <w:sz w:val="16"/>
      <w:szCs w:val="16"/>
    </w:rPr>
  </w:style>
  <w:style w:type="character" w:customStyle="1" w:styleId="CommentSubjectChar">
    <w:name w:val="Comment Subject Char"/>
    <w:basedOn w:val="CommentTextChar"/>
    <w:link w:val="CommentSubject"/>
    <w:semiHidden/>
    <w:rsid w:val="00593229"/>
    <w:rPr>
      <w:b/>
      <w:bCs/>
      <w:snapToGrid w:val="0"/>
      <w:kern w:val="28"/>
      <w:sz w:val="20"/>
    </w:rPr>
  </w:style>
  <w:style w:type="character" w:customStyle="1" w:styleId="HTMLPreformattedChar">
    <w:name w:val="HTML Preformatted Char"/>
    <w:basedOn w:val="DefaultParagraphFont"/>
    <w:link w:val="HTMLPreformatted"/>
    <w:rsid w:val="00593229"/>
    <w:rPr>
      <w:rFonts w:ascii="Courier New" w:hAnsi="Courier New" w:cs="Courier New"/>
      <w:sz w:val="20"/>
    </w:rPr>
  </w:style>
  <w:style w:type="numbering" w:styleId="111111">
    <w:name w:val="Outline List 2"/>
    <w:basedOn w:val="NoList"/>
    <w:rsid w:val="00593229"/>
  </w:style>
  <w:style w:type="character" w:customStyle="1" w:styleId="ptext-1">
    <w:name w:val="ptext-1"/>
    <w:basedOn w:val="DefaultParagraphFont"/>
    <w:rsid w:val="00346879"/>
  </w:style>
  <w:style w:type="character" w:customStyle="1" w:styleId="enumxml">
    <w:name w:val="enumxml"/>
    <w:basedOn w:val="DefaultParagraphFont"/>
    <w:rsid w:val="001428D8"/>
  </w:style>
  <w:style w:type="character" w:customStyle="1" w:styleId="labelleader">
    <w:name w:val="labelleader"/>
    <w:basedOn w:val="DefaultParagraphFont"/>
    <w:rsid w:val="001428D8"/>
  </w:style>
  <w:style w:type="character" w:styleId="Emphasis">
    <w:name w:val="Emphasis"/>
    <w:basedOn w:val="DefaultParagraphFont"/>
    <w:uiPriority w:val="20"/>
    <w:qFormat/>
    <w:rsid w:val="001428D8"/>
    <w:rPr>
      <w:i/>
      <w:iCs/>
    </w:rPr>
  </w:style>
  <w:style w:type="character" w:customStyle="1" w:styleId="citation">
    <w:name w:val="citation"/>
    <w:basedOn w:val="DefaultParagraphFont"/>
    <w:rsid w:val="007058A9"/>
  </w:style>
  <w:style w:type="character" w:customStyle="1" w:styleId="reference-accessdate">
    <w:name w:val="reference-accessdate"/>
    <w:basedOn w:val="DefaultParagraphFont"/>
    <w:rsid w:val="007058A9"/>
  </w:style>
  <w:style w:type="character" w:customStyle="1" w:styleId="apple-converted-space">
    <w:name w:val="apple-converted-space"/>
    <w:basedOn w:val="DefaultParagraphFont"/>
    <w:rsid w:val="0052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Default Paragraph Font" w:uiPriority="1"/>
    <w:lsdException w:name="Subtitle" w:qFormat="1"/>
    <w:lsdException w:name="Emphasis" w:uiPriority="20" w:qFormat="1"/>
    <w:lsdException w:name="Normal (Web)" w:uiPriority="99"/>
    <w:lsdException w:name="No List" w:uiPriority="99"/>
    <w:lsdException w:name="Revision" w:uiPriority="99"/>
    <w:lsdException w:name="List Paragraph" w:uiPriority="99" w:qFormat="1"/>
    <w:lsdException w:name="TOC Heading" w:uiPriority="39" w:qFormat="1"/>
  </w:latentStyles>
  <w:style w:type="paragraph" w:default="1" w:styleId="Normal">
    <w:name w:val="Normal"/>
    <w:qFormat/>
    <w:rsid w:val="00077A87"/>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077A8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077A87"/>
    <w:pPr>
      <w:keepNext/>
      <w:numPr>
        <w:ilvl w:val="1"/>
        <w:numId w:val="1"/>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077A87"/>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077A87"/>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077A87"/>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77A87"/>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077A87"/>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077A87"/>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077A8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7A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A87"/>
  </w:style>
  <w:style w:type="paragraph" w:styleId="BalloonText">
    <w:name w:val="Balloon Text"/>
    <w:basedOn w:val="Normal"/>
    <w:link w:val="BalloonTextChar1"/>
    <w:semiHidden/>
    <w:rsid w:val="0098772A"/>
    <w:rPr>
      <w:rFonts w:ascii="Tahoma" w:hAnsi="Tahoma" w:cs="Wingdings"/>
      <w:sz w:val="16"/>
      <w:szCs w:val="16"/>
    </w:rPr>
  </w:style>
  <w:style w:type="character" w:customStyle="1" w:styleId="BalloonTextChar">
    <w:name w:val="Balloon Text Char"/>
    <w:basedOn w:val="DefaultParagraphFont"/>
    <w:uiPriority w:val="99"/>
    <w:semiHidden/>
    <w:rsid w:val="004833CF"/>
    <w:rPr>
      <w:rFonts w:ascii="Lucida Grande" w:hAnsi="Lucida Grande"/>
      <w:sz w:val="18"/>
      <w:szCs w:val="18"/>
    </w:rPr>
  </w:style>
  <w:style w:type="paragraph" w:customStyle="1" w:styleId="ParaNum">
    <w:name w:val="ParaNum"/>
    <w:basedOn w:val="Normal"/>
    <w:link w:val="ParaNumChar"/>
    <w:rsid w:val="00077A87"/>
    <w:pPr>
      <w:numPr>
        <w:numId w:val="4"/>
      </w:numPr>
      <w:tabs>
        <w:tab w:val="clear" w:pos="1080"/>
        <w:tab w:val="num" w:pos="1440"/>
      </w:tabs>
      <w:spacing w:after="120"/>
    </w:pPr>
  </w:style>
  <w:style w:type="paragraph" w:styleId="EndnoteText">
    <w:name w:val="endnote text"/>
    <w:basedOn w:val="Normal"/>
    <w:link w:val="EndnoteTextChar"/>
    <w:semiHidden/>
    <w:rsid w:val="00077A87"/>
    <w:rPr>
      <w:sz w:val="20"/>
    </w:rPr>
  </w:style>
  <w:style w:type="character" w:styleId="EndnoteReference">
    <w:name w:val="endnote reference"/>
    <w:semiHidden/>
    <w:rsid w:val="00077A87"/>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ALTS FOOTNOTE,fn,Footnote Text Char1 Char Cha"/>
    <w:link w:val="FootnoteTextChar"/>
    <w:rsid w:val="00077A87"/>
    <w:pPr>
      <w:spacing w:after="120"/>
    </w:pPr>
    <w:rPr>
      <w:sz w:val="20"/>
      <w:szCs w:val="20"/>
    </w:rPr>
  </w:style>
  <w:style w:type="character" w:styleId="FootnoteReference">
    <w:name w:val="footnote reference"/>
    <w:aliases w:val="Appel note de bas de p,Style 12,(NECG) Footnote Reference,Style 124,o,fr,Style 3,Style 13,FR,Style 17,Footnote Reference/,Style 6,Style 7"/>
    <w:rsid w:val="00077A87"/>
    <w:rPr>
      <w:rFonts w:ascii="Times New Roman" w:hAnsi="Times New Roman"/>
      <w:dstrike w:val="0"/>
      <w:color w:val="auto"/>
      <w:sz w:val="20"/>
      <w:vertAlign w:val="superscript"/>
    </w:rPr>
  </w:style>
  <w:style w:type="paragraph" w:styleId="TOC1">
    <w:name w:val="toc 1"/>
    <w:basedOn w:val="Normal"/>
    <w:next w:val="Normal"/>
    <w:rsid w:val="00077A87"/>
    <w:pPr>
      <w:tabs>
        <w:tab w:val="left" w:pos="360"/>
        <w:tab w:val="right" w:leader="dot" w:pos="9360"/>
      </w:tabs>
      <w:suppressAutoHyphens/>
      <w:ind w:left="360" w:right="720" w:hanging="360"/>
    </w:pPr>
    <w:rPr>
      <w:caps/>
      <w:noProof/>
    </w:rPr>
  </w:style>
  <w:style w:type="paragraph" w:styleId="TOC2">
    <w:name w:val="toc 2"/>
    <w:basedOn w:val="Normal"/>
    <w:next w:val="Normal"/>
    <w:rsid w:val="00077A87"/>
    <w:pPr>
      <w:tabs>
        <w:tab w:val="left" w:pos="720"/>
        <w:tab w:val="right" w:leader="dot" w:pos="9360"/>
      </w:tabs>
      <w:suppressAutoHyphens/>
      <w:ind w:left="720" w:right="720" w:hanging="360"/>
    </w:pPr>
    <w:rPr>
      <w:noProof/>
    </w:rPr>
  </w:style>
  <w:style w:type="paragraph" w:styleId="TOC3">
    <w:name w:val="toc 3"/>
    <w:basedOn w:val="Normal"/>
    <w:next w:val="Normal"/>
    <w:rsid w:val="00077A8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77A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7A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7A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7A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7A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7A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7A87"/>
    <w:pPr>
      <w:tabs>
        <w:tab w:val="right" w:pos="9360"/>
      </w:tabs>
      <w:suppressAutoHyphens/>
    </w:pPr>
  </w:style>
  <w:style w:type="character" w:customStyle="1" w:styleId="EquationCaption">
    <w:name w:val="_Equation Caption"/>
    <w:rsid w:val="00077A87"/>
  </w:style>
  <w:style w:type="paragraph" w:styleId="Header">
    <w:name w:val="header"/>
    <w:basedOn w:val="Normal"/>
    <w:link w:val="HeaderChar"/>
    <w:autoRedefine/>
    <w:rsid w:val="00077A87"/>
    <w:pPr>
      <w:tabs>
        <w:tab w:val="center" w:pos="4680"/>
        <w:tab w:val="right" w:pos="9360"/>
      </w:tabs>
    </w:pPr>
    <w:rPr>
      <w:b/>
    </w:rPr>
  </w:style>
  <w:style w:type="paragraph" w:styleId="Footer">
    <w:name w:val="footer"/>
    <w:basedOn w:val="Normal"/>
    <w:link w:val="FooterChar"/>
    <w:rsid w:val="00077A87"/>
    <w:pPr>
      <w:tabs>
        <w:tab w:val="center" w:pos="4320"/>
        <w:tab w:val="right" w:pos="8640"/>
      </w:tabs>
    </w:pPr>
  </w:style>
  <w:style w:type="character" w:styleId="PageNumber">
    <w:name w:val="page number"/>
    <w:basedOn w:val="DefaultParagraphFont"/>
    <w:rsid w:val="00077A87"/>
  </w:style>
  <w:style w:type="paragraph" w:styleId="BlockText">
    <w:name w:val="Block Text"/>
    <w:basedOn w:val="Normal"/>
    <w:rsid w:val="00077A87"/>
    <w:pPr>
      <w:spacing w:after="240"/>
      <w:ind w:left="1440" w:right="1440"/>
    </w:pPr>
  </w:style>
  <w:style w:type="paragraph" w:customStyle="1" w:styleId="Bullet">
    <w:name w:val="Bullet"/>
    <w:basedOn w:val="Normal"/>
    <w:rsid w:val="00077A87"/>
    <w:pPr>
      <w:tabs>
        <w:tab w:val="left" w:pos="2160"/>
      </w:tabs>
      <w:spacing w:after="220"/>
      <w:ind w:left="2160" w:hanging="720"/>
    </w:pPr>
  </w:style>
  <w:style w:type="paragraph" w:customStyle="1" w:styleId="TableFormat">
    <w:name w:val="TableFormat"/>
    <w:basedOn w:val="Bullet"/>
    <w:rsid w:val="00077A87"/>
    <w:pPr>
      <w:tabs>
        <w:tab w:val="clear" w:pos="2160"/>
        <w:tab w:val="left" w:pos="5040"/>
      </w:tabs>
      <w:ind w:left="5040" w:hanging="3600"/>
    </w:pPr>
  </w:style>
  <w:style w:type="paragraph" w:customStyle="1" w:styleId="Byline">
    <w:name w:val="Byline"/>
    <w:basedOn w:val="BodyText"/>
    <w:rsid w:val="0098772A"/>
  </w:style>
  <w:style w:type="paragraph" w:styleId="BodyText">
    <w:name w:val="Body Text"/>
    <w:basedOn w:val="Normal"/>
    <w:link w:val="BodyTextChar"/>
    <w:rsid w:val="0098772A"/>
    <w:pPr>
      <w:widowControl/>
      <w:numPr>
        <w:numId w:val="2"/>
      </w:numPr>
      <w:spacing w:after="120"/>
    </w:pPr>
    <w:rPr>
      <w:snapToGrid/>
      <w:kern w:val="0"/>
    </w:rPr>
  </w:style>
  <w:style w:type="paragraph" w:styleId="List">
    <w:name w:val="List"/>
    <w:basedOn w:val="Normal"/>
    <w:rsid w:val="0098772A"/>
    <w:pPr>
      <w:widowControl/>
      <w:ind w:left="360" w:hanging="360"/>
    </w:pPr>
    <w:rPr>
      <w:snapToGrid/>
      <w:kern w:val="0"/>
    </w:rPr>
  </w:style>
  <w:style w:type="paragraph" w:styleId="List3">
    <w:name w:val="List 3"/>
    <w:basedOn w:val="Normal"/>
    <w:rsid w:val="0098772A"/>
    <w:pPr>
      <w:widowControl/>
      <w:ind w:left="1080" w:hanging="360"/>
    </w:pPr>
    <w:rPr>
      <w:snapToGrid/>
      <w:kern w:val="0"/>
    </w:rPr>
  </w:style>
  <w:style w:type="paragraph" w:styleId="List2">
    <w:name w:val="List 2"/>
    <w:basedOn w:val="Normal"/>
    <w:rsid w:val="0098772A"/>
    <w:pPr>
      <w:widowControl/>
      <w:ind w:left="720" w:hanging="360"/>
    </w:pPr>
    <w:rPr>
      <w:snapToGrid/>
      <w:kern w:val="0"/>
    </w:rPr>
  </w:style>
  <w:style w:type="paragraph" w:styleId="ListContinue">
    <w:name w:val="List Continue"/>
    <w:basedOn w:val="Normal"/>
    <w:rsid w:val="0098772A"/>
    <w:pPr>
      <w:widowControl/>
      <w:spacing w:after="120"/>
      <w:ind w:left="360"/>
    </w:pPr>
    <w:rPr>
      <w:snapToGrid/>
      <w:kern w:val="0"/>
    </w:rPr>
  </w:style>
  <w:style w:type="paragraph" w:styleId="DocumentMap">
    <w:name w:val="Document Map"/>
    <w:basedOn w:val="Normal"/>
    <w:link w:val="DocumentMapChar"/>
    <w:semiHidden/>
    <w:rsid w:val="0098772A"/>
    <w:pPr>
      <w:shd w:val="clear" w:color="auto" w:fill="000080"/>
    </w:pPr>
    <w:rPr>
      <w:rFonts w:ascii="Tahoma" w:hAnsi="Tahoma"/>
    </w:rPr>
  </w:style>
  <w:style w:type="paragraph" w:styleId="ListContinue2">
    <w:name w:val="List Continue 2"/>
    <w:basedOn w:val="Normal"/>
    <w:rsid w:val="0098772A"/>
    <w:pPr>
      <w:spacing w:after="120"/>
      <w:ind w:left="720"/>
    </w:pPr>
  </w:style>
  <w:style w:type="paragraph" w:styleId="Title">
    <w:name w:val="Title"/>
    <w:basedOn w:val="Normal"/>
    <w:link w:val="TitleChar"/>
    <w:qFormat/>
    <w:rsid w:val="0098772A"/>
    <w:pPr>
      <w:spacing w:before="240" w:after="60"/>
      <w:jc w:val="center"/>
      <w:outlineLvl w:val="0"/>
    </w:pPr>
    <w:rPr>
      <w:rFonts w:ascii="Arial" w:hAnsi="Arial"/>
      <w:b/>
      <w:sz w:val="32"/>
    </w:rPr>
  </w:style>
  <w:style w:type="paragraph" w:styleId="BodyTextIndent">
    <w:name w:val="Body Text Indent"/>
    <w:basedOn w:val="Normal"/>
    <w:link w:val="BodyTextIndentChar"/>
    <w:rsid w:val="0098772A"/>
    <w:pPr>
      <w:spacing w:after="120"/>
      <w:ind w:left="360"/>
    </w:pPr>
  </w:style>
  <w:style w:type="paragraph" w:styleId="Subtitle">
    <w:name w:val="Subtitle"/>
    <w:basedOn w:val="Normal"/>
    <w:link w:val="SubtitleChar"/>
    <w:qFormat/>
    <w:rsid w:val="0098772A"/>
    <w:pPr>
      <w:spacing w:after="60"/>
      <w:jc w:val="center"/>
      <w:outlineLvl w:val="1"/>
    </w:pPr>
    <w:rPr>
      <w:rFonts w:ascii="Arial" w:hAnsi="Arial"/>
      <w:sz w:val="24"/>
    </w:rPr>
  </w:style>
  <w:style w:type="character" w:styleId="Hyperlink">
    <w:name w:val="Hyperlink"/>
    <w:rsid w:val="00077A87"/>
    <w:rPr>
      <w:color w:val="0000FF"/>
      <w:u w:val="single"/>
    </w:rPr>
  </w:style>
  <w:style w:type="paragraph" w:customStyle="1" w:styleId="TableText">
    <w:name w:val="Table Text"/>
    <w:basedOn w:val="Normal"/>
    <w:rsid w:val="0098772A"/>
    <w:pPr>
      <w:widowControl/>
      <w:spacing w:before="60" w:after="60"/>
    </w:pPr>
    <w:rPr>
      <w:rFonts w:ascii="Arial" w:hAnsi="Arial"/>
      <w:snapToGrid/>
      <w:kern w:val="0"/>
      <w:sz w:val="20"/>
    </w:rPr>
  </w:style>
  <w:style w:type="paragraph" w:customStyle="1" w:styleId="Document1">
    <w:name w:val="Document 1"/>
    <w:rsid w:val="0098772A"/>
    <w:pPr>
      <w:keepNext/>
      <w:keepLines/>
      <w:widowControl w:val="0"/>
      <w:tabs>
        <w:tab w:val="left" w:pos="-720"/>
      </w:tabs>
      <w:suppressAutoHyphens/>
    </w:pPr>
    <w:rPr>
      <w:rFonts w:ascii="Times Roman" w:hAnsi="Times Roman"/>
      <w:snapToGrid w:val="0"/>
    </w:rPr>
  </w:style>
  <w:style w:type="paragraph" w:customStyle="1" w:styleId="header2">
    <w:name w:val="header2"/>
    <w:rsid w:val="0098772A"/>
    <w:pPr>
      <w:widowControl w:val="0"/>
      <w:tabs>
        <w:tab w:val="left" w:pos="1440"/>
        <w:tab w:val="center" w:pos="4320"/>
        <w:tab w:val="right" w:pos="8640"/>
      </w:tabs>
      <w:suppressAutoHyphens/>
      <w:jc w:val="center"/>
    </w:pPr>
    <w:rPr>
      <w:b/>
      <w:snapToGrid w:val="0"/>
    </w:rPr>
  </w:style>
  <w:style w:type="paragraph" w:styleId="CommentText">
    <w:name w:val="annotation text"/>
    <w:basedOn w:val="Normal"/>
    <w:link w:val="CommentTextChar"/>
    <w:rsid w:val="0098772A"/>
    <w:pPr>
      <w:widowControl/>
    </w:pPr>
    <w:rPr>
      <w:snapToGrid/>
      <w:kern w:val="0"/>
      <w:sz w:val="20"/>
    </w:rPr>
  </w:style>
  <w:style w:type="character" w:customStyle="1" w:styleId="documentbody1">
    <w:name w:val="documentbody1"/>
    <w:uiPriority w:val="99"/>
    <w:rsid w:val="0098772A"/>
    <w:rPr>
      <w:rFonts w:ascii="Verdana" w:hAnsi="Verdana" w:hint="default"/>
      <w:sz w:val="19"/>
      <w:szCs w:val="19"/>
    </w:rPr>
  </w:style>
  <w:style w:type="character" w:customStyle="1" w:styleId="ptext-2">
    <w:name w:val="ptext-2"/>
    <w:rsid w:val="0098772A"/>
    <w:rPr>
      <w:b w:val="0"/>
      <w:bCs w:val="0"/>
      <w:sz w:val="20"/>
      <w:szCs w:val="20"/>
    </w:rPr>
  </w:style>
  <w:style w:type="character" w:customStyle="1" w:styleId="ptext-3">
    <w:name w:val="ptext-3"/>
    <w:rsid w:val="0098772A"/>
    <w:rPr>
      <w:b w:val="0"/>
      <w:bCs w:val="0"/>
      <w:sz w:val="20"/>
      <w:szCs w:val="20"/>
    </w:rPr>
  </w:style>
  <w:style w:type="character" w:customStyle="1" w:styleId="enumbell">
    <w:name w:val="enumbell"/>
    <w:rsid w:val="0098772A"/>
    <w:rPr>
      <w:b/>
      <w:bCs/>
      <w:sz w:val="20"/>
      <w:szCs w:val="20"/>
    </w:rPr>
  </w:style>
  <w:style w:type="character" w:customStyle="1" w:styleId="FootnoteTextChar1Char1">
    <w:name w:val="Footnote Text Char1 Char1"/>
    <w:aliases w:val="Footnote Text Char Char Char1,Footnote Text Char1 Char Char Char,Footnote Text Char Char Char Char Char,Footnote Text Char1 Char Char Char1 Char Char,Footnote Text Char Char Char Char Char1 Char Char,ALTS FOOTNOTE Char,fn Char1"/>
    <w:rsid w:val="0098772A"/>
    <w:rPr>
      <w:noProof w:val="0"/>
      <w:lang w:val="en-US" w:eastAsia="en-US" w:bidi="ar-SA"/>
    </w:rPr>
  </w:style>
  <w:style w:type="character" w:customStyle="1" w:styleId="starpage1">
    <w:name w:val="starpage1"/>
    <w:rsid w:val="0098772A"/>
    <w:rPr>
      <w:b/>
      <w:bCs/>
      <w:i/>
      <w:iCs/>
      <w:color w:val="800080"/>
    </w:rPr>
  </w:style>
  <w:style w:type="paragraph" w:customStyle="1" w:styleId="NumberedList">
    <w:name w:val="Numbered List"/>
    <w:basedOn w:val="Normal"/>
    <w:rsid w:val="0098772A"/>
    <w:pPr>
      <w:widowControl/>
      <w:numPr>
        <w:numId w:val="3"/>
      </w:numPr>
      <w:spacing w:after="220"/>
    </w:pPr>
    <w:rPr>
      <w:snapToGrid/>
      <w:kern w:val="0"/>
    </w:rPr>
  </w:style>
  <w:style w:type="character" w:customStyle="1" w:styleId="StyleNumberedparagraphs11ptChar">
    <w:name w:val="Style Numbered paragraphs + 11 pt Char"/>
    <w:rsid w:val="0098772A"/>
    <w:rPr>
      <w:noProof w:val="0"/>
      <w:sz w:val="22"/>
      <w:lang w:val="en-US" w:eastAsia="en-US" w:bidi="ar-SA"/>
    </w:rPr>
  </w:style>
  <w:style w:type="paragraph" w:styleId="Revision">
    <w:name w:val="Revision"/>
    <w:hidden/>
    <w:uiPriority w:val="99"/>
    <w:semiHidden/>
    <w:rsid w:val="00EC4861"/>
    <w:rPr>
      <w:snapToGrid w:val="0"/>
      <w:kern w:val="28"/>
      <w:sz w:val="22"/>
    </w:rPr>
  </w:style>
  <w:style w:type="character" w:customStyle="1" w:styleId="FootnoteTextChar">
    <w:name w:val="Footnote Text Char"/>
    <w:aliases w:val="Footnote Text Char1 Char2,Footnote Text Char Char Char,Footnote Text Char1 Char Char Char1,Footnote Text Char Char Char Char Char1,Footnote Text Char1 Char Char Char1 Char Char1,Footnote Text Char Char Char Char Char1 Char Char1"/>
    <w:link w:val="FootnoteText"/>
    <w:rsid w:val="006D6B42"/>
    <w:rPr>
      <w:sz w:val="20"/>
      <w:szCs w:val="20"/>
    </w:rPr>
  </w:style>
  <w:style w:type="character" w:customStyle="1" w:styleId="ParaNumChar">
    <w:name w:val="ParaNum Char"/>
    <w:link w:val="ParaNum"/>
    <w:rsid w:val="00AA5219"/>
    <w:rPr>
      <w:snapToGrid w:val="0"/>
      <w:kern w:val="28"/>
      <w:sz w:val="22"/>
      <w:szCs w:val="20"/>
    </w:rPr>
  </w:style>
  <w:style w:type="character" w:styleId="CommentReference">
    <w:name w:val="annotation reference"/>
    <w:rsid w:val="00643868"/>
    <w:rPr>
      <w:sz w:val="16"/>
      <w:szCs w:val="16"/>
    </w:rPr>
  </w:style>
  <w:style w:type="paragraph" w:styleId="CommentSubject">
    <w:name w:val="annotation subject"/>
    <w:basedOn w:val="CommentText"/>
    <w:next w:val="CommentText"/>
    <w:link w:val="CommentSubjectChar"/>
    <w:semiHidden/>
    <w:rsid w:val="00643868"/>
    <w:pPr>
      <w:widowControl w:val="0"/>
      <w:jc w:val="both"/>
    </w:pPr>
    <w:rPr>
      <w:b/>
      <w:bCs/>
      <w:snapToGrid w:val="0"/>
      <w:kern w:val="28"/>
    </w:rPr>
  </w:style>
  <w:style w:type="paragraph" w:styleId="HTMLPreformatted">
    <w:name w:val="HTML Preformatted"/>
    <w:basedOn w:val="Normal"/>
    <w:link w:val="HTMLPreformattedChar"/>
    <w:rsid w:val="00700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styleId="FollowedHyperlink">
    <w:name w:val="FollowedHyperlink"/>
    <w:rsid w:val="00283675"/>
    <w:rPr>
      <w:color w:val="800080"/>
      <w:u w:val="single"/>
    </w:rPr>
  </w:style>
  <w:style w:type="paragraph" w:customStyle="1" w:styleId="Paratitle">
    <w:name w:val="Para title"/>
    <w:basedOn w:val="Normal"/>
    <w:rsid w:val="00077A87"/>
    <w:pPr>
      <w:tabs>
        <w:tab w:val="center" w:pos="9270"/>
      </w:tabs>
      <w:spacing w:after="240"/>
    </w:pPr>
    <w:rPr>
      <w:spacing w:val="-2"/>
    </w:rPr>
  </w:style>
  <w:style w:type="paragraph" w:customStyle="1" w:styleId="TOCTitle">
    <w:name w:val="TOC Title"/>
    <w:basedOn w:val="Normal"/>
    <w:rsid w:val="00077A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7A87"/>
    <w:pPr>
      <w:jc w:val="center"/>
    </w:pPr>
    <w:rPr>
      <w:rFonts w:ascii="Times New Roman Bold" w:hAnsi="Times New Roman Bold"/>
      <w:b/>
      <w:bCs/>
      <w:caps/>
      <w:szCs w:val="22"/>
    </w:rPr>
  </w:style>
  <w:style w:type="character" w:customStyle="1" w:styleId="FootnoteTextChar2Char">
    <w:name w:val="Footnote Text Char2 Char"/>
    <w:aliases w:val="Footnote Text Char1 Char1 Char,Footnote Text Char1 Char Char Char Char,Footnote Text Char2 Char Char Char Char Char,Footnote Text Char Char Char Char Char Char Char,Footnote Text Char1 Char"/>
    <w:semiHidden/>
    <w:rsid w:val="00426565"/>
    <w:rPr>
      <w:lang w:val="en-US" w:eastAsia="en-US" w:bidi="ar-SA"/>
    </w:rPr>
  </w:style>
  <w:style w:type="character" w:customStyle="1" w:styleId="Footnote">
    <w:name w:val="Footnote"/>
    <w:rsid w:val="00426565"/>
    <w:rPr>
      <w:rFonts w:cs="Times New Roman"/>
    </w:rPr>
  </w:style>
  <w:style w:type="character" w:customStyle="1" w:styleId="Heading2CharChar2">
    <w:name w:val="Heading 2 Char Char2"/>
    <w:rsid w:val="00426565"/>
    <w:rPr>
      <w:rFonts w:cs="Times New Roman"/>
      <w:b/>
      <w:snapToGrid w:val="0"/>
      <w:kern w:val="28"/>
      <w:sz w:val="24"/>
      <w:lang w:val="en-US" w:eastAsia="en-US" w:bidi="ar-SA"/>
    </w:rPr>
  </w:style>
  <w:style w:type="character" w:customStyle="1" w:styleId="StyleParaNumCharCharBold1Char">
    <w:name w:val="Style ParaNum Char Char + Bold1 Char"/>
    <w:rsid w:val="00426565"/>
    <w:rPr>
      <w:b/>
      <w:bCs/>
      <w:noProof w:val="0"/>
      <w:snapToGrid w:val="0"/>
      <w:kern w:val="28"/>
      <w:sz w:val="22"/>
      <w:lang w:val="en-US" w:eastAsia="en-US" w:bidi="ar-SA"/>
    </w:rPr>
  </w:style>
  <w:style w:type="character" w:customStyle="1" w:styleId="StyleFootnoteReferenceStyle13Style12NECGFootnoteReferenc">
    <w:name w:val="Style Footnote ReferenceStyle 13Style 12(NECG) Footnote Referenc..."/>
    <w:rsid w:val="00426565"/>
    <w:rPr>
      <w:rFonts w:ascii="Times New Roman" w:hAnsi="Times New Roman"/>
      <w:dstrike w:val="0"/>
      <w:color w:val="auto"/>
      <w:sz w:val="20"/>
      <w:vertAlign w:val="superscript"/>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426565"/>
    <w:rPr>
      <w:lang w:val="en-US" w:eastAsia="en-US" w:bidi="ar-SA"/>
    </w:rPr>
  </w:style>
  <w:style w:type="character" w:customStyle="1" w:styleId="footnote0">
    <w:name w:val="footnote"/>
    <w:rsid w:val="00426565"/>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426565"/>
    <w:rPr>
      <w:rFonts w:ascii="Times New Roman" w:hAnsi="Times New Roman" w:cs="Times New Roman" w:hint="default"/>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7051D2"/>
    <w:rPr>
      <w:lang w:val="en-US" w:eastAsia="en-US" w:bidi="ar-SA"/>
    </w:rPr>
  </w:style>
  <w:style w:type="paragraph" w:styleId="NormalWeb">
    <w:name w:val="Normal (Web)"/>
    <w:basedOn w:val="Normal"/>
    <w:uiPriority w:val="99"/>
    <w:unhideWhenUsed/>
    <w:rsid w:val="00607881"/>
    <w:pPr>
      <w:widowControl/>
      <w:spacing w:before="100" w:beforeAutospacing="1" w:after="100" w:afterAutospacing="1"/>
    </w:pPr>
    <w:rPr>
      <w:snapToGrid/>
      <w:kern w:val="0"/>
      <w:sz w:val="24"/>
    </w:rPr>
  </w:style>
  <w:style w:type="paragraph" w:styleId="TOCHeading">
    <w:name w:val="TOC Heading"/>
    <w:basedOn w:val="Heading1"/>
    <w:next w:val="Normal"/>
    <w:uiPriority w:val="39"/>
    <w:semiHidden/>
    <w:unhideWhenUsed/>
    <w:qFormat/>
    <w:rsid w:val="00B52120"/>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customStyle="1" w:styleId="Default">
    <w:name w:val="Default"/>
    <w:rsid w:val="00D02A88"/>
    <w:pPr>
      <w:autoSpaceDE w:val="0"/>
      <w:autoSpaceDN w:val="0"/>
      <w:adjustRightInd w:val="0"/>
    </w:pPr>
    <w:rPr>
      <w:color w:val="000000"/>
    </w:rPr>
  </w:style>
  <w:style w:type="paragraph" w:styleId="ListParagraph">
    <w:name w:val="List Paragraph"/>
    <w:basedOn w:val="Normal"/>
    <w:uiPriority w:val="99"/>
    <w:qFormat/>
    <w:rsid w:val="00C10B5A"/>
    <w:pPr>
      <w:widowControl/>
      <w:ind w:left="720"/>
      <w:contextualSpacing/>
    </w:pPr>
    <w:rPr>
      <w:snapToGrid/>
      <w:kern w:val="0"/>
      <w:sz w:val="24"/>
    </w:rPr>
  </w:style>
  <w:style w:type="character" w:customStyle="1" w:styleId="documentbody">
    <w:name w:val="documentbody"/>
    <w:basedOn w:val="DefaultParagraphFont"/>
    <w:rsid w:val="004007B8"/>
  </w:style>
  <w:style w:type="character" w:customStyle="1" w:styleId="searchterm">
    <w:name w:val="searchterm"/>
    <w:basedOn w:val="DefaultParagraphFont"/>
    <w:rsid w:val="004007B8"/>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593229"/>
    <w:rPr>
      <w:rFonts w:ascii="Times New Roman Bold" w:hAnsi="Times New Roman Bold"/>
      <w:b/>
      <w:caps/>
      <w:snapToGrid w:val="0"/>
      <w:kern w:val="28"/>
      <w:sz w:val="22"/>
      <w:szCs w:val="20"/>
    </w:rPr>
  </w:style>
  <w:style w:type="character" w:customStyle="1" w:styleId="BodyTextChar">
    <w:name w:val="Body Text Char"/>
    <w:basedOn w:val="DefaultParagraphFont"/>
    <w:link w:val="BodyText"/>
    <w:rsid w:val="00593229"/>
    <w:rPr>
      <w:sz w:val="22"/>
      <w:szCs w:val="20"/>
    </w:rPr>
  </w:style>
  <w:style w:type="character" w:customStyle="1" w:styleId="BodyTextIndentChar">
    <w:name w:val="Body Text Indent Char"/>
    <w:basedOn w:val="DefaultParagraphFont"/>
    <w:link w:val="BodyTextIndent"/>
    <w:rsid w:val="00593229"/>
    <w:rPr>
      <w:snapToGrid w:val="0"/>
      <w:kern w:val="28"/>
      <w:sz w:val="22"/>
    </w:rPr>
  </w:style>
  <w:style w:type="character" w:customStyle="1" w:styleId="Heading6Char">
    <w:name w:val="Heading 6 Char"/>
    <w:aliases w:val="h6 Char"/>
    <w:basedOn w:val="DefaultParagraphFont"/>
    <w:link w:val="Heading6"/>
    <w:rsid w:val="00593229"/>
    <w:rPr>
      <w:b/>
      <w:snapToGrid w:val="0"/>
      <w:kern w:val="28"/>
      <w:sz w:val="22"/>
      <w:szCs w:val="20"/>
    </w:rPr>
  </w:style>
  <w:style w:type="character" w:customStyle="1" w:styleId="Heading8Char">
    <w:name w:val="Heading 8 Char"/>
    <w:basedOn w:val="DefaultParagraphFont"/>
    <w:link w:val="Heading8"/>
    <w:rsid w:val="00593229"/>
    <w:rPr>
      <w:b/>
      <w:snapToGrid w:val="0"/>
      <w:kern w:val="28"/>
      <w:sz w:val="22"/>
      <w:szCs w:val="20"/>
    </w:rPr>
  </w:style>
  <w:style w:type="character" w:customStyle="1" w:styleId="EndnoteTextChar">
    <w:name w:val="Endnote Text Char"/>
    <w:basedOn w:val="DefaultParagraphFont"/>
    <w:link w:val="EndnoteText"/>
    <w:semiHidden/>
    <w:rsid w:val="00593229"/>
    <w:rPr>
      <w:snapToGrid w:val="0"/>
      <w:kern w:val="28"/>
      <w:sz w:val="20"/>
      <w:szCs w:val="20"/>
    </w:rPr>
  </w:style>
  <w:style w:type="character" w:customStyle="1" w:styleId="HeaderChar">
    <w:name w:val="Header Char"/>
    <w:basedOn w:val="DefaultParagraphFont"/>
    <w:link w:val="Header"/>
    <w:rsid w:val="00593229"/>
    <w:rPr>
      <w:b/>
      <w:snapToGrid w:val="0"/>
      <w:kern w:val="28"/>
      <w:sz w:val="22"/>
      <w:szCs w:val="20"/>
    </w:rPr>
  </w:style>
  <w:style w:type="character" w:customStyle="1" w:styleId="FooterChar">
    <w:name w:val="Footer Char"/>
    <w:basedOn w:val="DefaultParagraphFont"/>
    <w:link w:val="Footer"/>
    <w:rsid w:val="00593229"/>
    <w:rPr>
      <w:snapToGrid w:val="0"/>
      <w:kern w:val="28"/>
      <w:sz w:val="22"/>
      <w:szCs w:val="20"/>
    </w:rPr>
  </w:style>
  <w:style w:type="character" w:customStyle="1" w:styleId="DocumentMapChar">
    <w:name w:val="Document Map Char"/>
    <w:basedOn w:val="DefaultParagraphFont"/>
    <w:link w:val="DocumentMap"/>
    <w:semiHidden/>
    <w:rsid w:val="00593229"/>
    <w:rPr>
      <w:rFonts w:ascii="Tahoma" w:hAnsi="Tahoma"/>
      <w:snapToGrid w:val="0"/>
      <w:kern w:val="28"/>
      <w:sz w:val="22"/>
      <w:shd w:val="clear" w:color="auto" w:fill="000080"/>
    </w:rPr>
  </w:style>
  <w:style w:type="character" w:customStyle="1" w:styleId="TitleChar">
    <w:name w:val="Title Char"/>
    <w:basedOn w:val="DefaultParagraphFont"/>
    <w:link w:val="Title"/>
    <w:rsid w:val="00593229"/>
    <w:rPr>
      <w:rFonts w:ascii="Arial" w:hAnsi="Arial"/>
      <w:b/>
      <w:snapToGrid w:val="0"/>
      <w:kern w:val="28"/>
      <w:sz w:val="32"/>
    </w:rPr>
  </w:style>
  <w:style w:type="character" w:customStyle="1" w:styleId="SubtitleChar">
    <w:name w:val="Subtitle Char"/>
    <w:basedOn w:val="DefaultParagraphFont"/>
    <w:link w:val="Subtitle"/>
    <w:rsid w:val="00593229"/>
    <w:rPr>
      <w:rFonts w:ascii="Arial" w:hAnsi="Arial"/>
      <w:snapToGrid w:val="0"/>
      <w:kern w:val="28"/>
    </w:rPr>
  </w:style>
  <w:style w:type="character" w:customStyle="1" w:styleId="CommentTextChar">
    <w:name w:val="Comment Text Char"/>
    <w:basedOn w:val="DefaultParagraphFont"/>
    <w:link w:val="CommentText"/>
    <w:rsid w:val="00593229"/>
    <w:rPr>
      <w:sz w:val="20"/>
    </w:rPr>
  </w:style>
  <w:style w:type="character" w:customStyle="1" w:styleId="BalloonTextChar1">
    <w:name w:val="Balloon Text Char1"/>
    <w:basedOn w:val="DefaultParagraphFont"/>
    <w:link w:val="BalloonText"/>
    <w:semiHidden/>
    <w:rsid w:val="00593229"/>
    <w:rPr>
      <w:rFonts w:ascii="Tahoma" w:hAnsi="Tahoma" w:cs="Wingdings"/>
      <w:snapToGrid w:val="0"/>
      <w:kern w:val="28"/>
      <w:sz w:val="16"/>
      <w:szCs w:val="16"/>
    </w:rPr>
  </w:style>
  <w:style w:type="character" w:customStyle="1" w:styleId="CommentSubjectChar">
    <w:name w:val="Comment Subject Char"/>
    <w:basedOn w:val="CommentTextChar"/>
    <w:link w:val="CommentSubject"/>
    <w:semiHidden/>
    <w:rsid w:val="00593229"/>
    <w:rPr>
      <w:b/>
      <w:bCs/>
      <w:snapToGrid w:val="0"/>
      <w:kern w:val="28"/>
      <w:sz w:val="20"/>
    </w:rPr>
  </w:style>
  <w:style w:type="character" w:customStyle="1" w:styleId="HTMLPreformattedChar">
    <w:name w:val="HTML Preformatted Char"/>
    <w:basedOn w:val="DefaultParagraphFont"/>
    <w:link w:val="HTMLPreformatted"/>
    <w:rsid w:val="00593229"/>
    <w:rPr>
      <w:rFonts w:ascii="Courier New" w:hAnsi="Courier New" w:cs="Courier New"/>
      <w:sz w:val="20"/>
    </w:rPr>
  </w:style>
  <w:style w:type="numbering" w:styleId="111111">
    <w:name w:val="Outline List 2"/>
    <w:basedOn w:val="NoList"/>
    <w:rsid w:val="00593229"/>
  </w:style>
  <w:style w:type="character" w:customStyle="1" w:styleId="ptext-1">
    <w:name w:val="ptext-1"/>
    <w:basedOn w:val="DefaultParagraphFont"/>
    <w:rsid w:val="00346879"/>
  </w:style>
  <w:style w:type="character" w:customStyle="1" w:styleId="enumxml">
    <w:name w:val="enumxml"/>
    <w:basedOn w:val="DefaultParagraphFont"/>
    <w:rsid w:val="001428D8"/>
  </w:style>
  <w:style w:type="character" w:customStyle="1" w:styleId="labelleader">
    <w:name w:val="labelleader"/>
    <w:basedOn w:val="DefaultParagraphFont"/>
    <w:rsid w:val="001428D8"/>
  </w:style>
  <w:style w:type="character" w:styleId="Emphasis">
    <w:name w:val="Emphasis"/>
    <w:basedOn w:val="DefaultParagraphFont"/>
    <w:uiPriority w:val="20"/>
    <w:qFormat/>
    <w:rsid w:val="001428D8"/>
    <w:rPr>
      <w:i/>
      <w:iCs/>
    </w:rPr>
  </w:style>
  <w:style w:type="character" w:customStyle="1" w:styleId="citation">
    <w:name w:val="citation"/>
    <w:basedOn w:val="DefaultParagraphFont"/>
    <w:rsid w:val="007058A9"/>
  </w:style>
  <w:style w:type="character" w:customStyle="1" w:styleId="reference-accessdate">
    <w:name w:val="reference-accessdate"/>
    <w:basedOn w:val="DefaultParagraphFont"/>
    <w:rsid w:val="007058A9"/>
  </w:style>
  <w:style w:type="character" w:customStyle="1" w:styleId="apple-converted-space">
    <w:name w:val="apple-converted-space"/>
    <w:basedOn w:val="DefaultParagraphFont"/>
    <w:rsid w:val="0052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2518">
      <w:bodyDiv w:val="1"/>
      <w:marLeft w:val="0"/>
      <w:marRight w:val="0"/>
      <w:marTop w:val="0"/>
      <w:marBottom w:val="0"/>
      <w:divBdr>
        <w:top w:val="none" w:sz="0" w:space="0" w:color="auto"/>
        <w:left w:val="none" w:sz="0" w:space="0" w:color="auto"/>
        <w:bottom w:val="none" w:sz="0" w:space="0" w:color="auto"/>
        <w:right w:val="none" w:sz="0" w:space="0" w:color="auto"/>
      </w:divBdr>
      <w:divsChild>
        <w:div w:id="137959493">
          <w:marLeft w:val="0"/>
          <w:marRight w:val="0"/>
          <w:marTop w:val="0"/>
          <w:marBottom w:val="0"/>
          <w:divBdr>
            <w:top w:val="none" w:sz="0" w:space="0" w:color="auto"/>
            <w:left w:val="none" w:sz="0" w:space="0" w:color="auto"/>
            <w:bottom w:val="none" w:sz="0" w:space="0" w:color="auto"/>
            <w:right w:val="none" w:sz="0" w:space="0" w:color="auto"/>
          </w:divBdr>
        </w:div>
        <w:div w:id="350185569">
          <w:marLeft w:val="0"/>
          <w:marRight w:val="0"/>
          <w:marTop w:val="0"/>
          <w:marBottom w:val="0"/>
          <w:divBdr>
            <w:top w:val="none" w:sz="0" w:space="0" w:color="auto"/>
            <w:left w:val="none" w:sz="0" w:space="0" w:color="auto"/>
            <w:bottom w:val="none" w:sz="0" w:space="0" w:color="auto"/>
            <w:right w:val="none" w:sz="0" w:space="0" w:color="auto"/>
          </w:divBdr>
        </w:div>
        <w:div w:id="591353262">
          <w:marLeft w:val="0"/>
          <w:marRight w:val="0"/>
          <w:marTop w:val="0"/>
          <w:marBottom w:val="0"/>
          <w:divBdr>
            <w:top w:val="none" w:sz="0" w:space="0" w:color="auto"/>
            <w:left w:val="none" w:sz="0" w:space="0" w:color="auto"/>
            <w:bottom w:val="none" w:sz="0" w:space="0" w:color="auto"/>
            <w:right w:val="none" w:sz="0" w:space="0" w:color="auto"/>
          </w:divBdr>
        </w:div>
        <w:div w:id="1776510693">
          <w:marLeft w:val="0"/>
          <w:marRight w:val="0"/>
          <w:marTop w:val="0"/>
          <w:marBottom w:val="0"/>
          <w:divBdr>
            <w:top w:val="none" w:sz="0" w:space="0" w:color="auto"/>
            <w:left w:val="none" w:sz="0" w:space="0" w:color="auto"/>
            <w:bottom w:val="none" w:sz="0" w:space="0" w:color="auto"/>
            <w:right w:val="none" w:sz="0" w:space="0" w:color="auto"/>
          </w:divBdr>
        </w:div>
        <w:div w:id="2142765474">
          <w:marLeft w:val="0"/>
          <w:marRight w:val="0"/>
          <w:marTop w:val="0"/>
          <w:marBottom w:val="0"/>
          <w:divBdr>
            <w:top w:val="none" w:sz="0" w:space="0" w:color="auto"/>
            <w:left w:val="none" w:sz="0" w:space="0" w:color="auto"/>
            <w:bottom w:val="none" w:sz="0" w:space="0" w:color="auto"/>
            <w:right w:val="none" w:sz="0" w:space="0" w:color="auto"/>
          </w:divBdr>
        </w:div>
      </w:divsChild>
    </w:div>
    <w:div w:id="114762567">
      <w:bodyDiv w:val="1"/>
      <w:marLeft w:val="0"/>
      <w:marRight w:val="0"/>
      <w:marTop w:val="0"/>
      <w:marBottom w:val="0"/>
      <w:divBdr>
        <w:top w:val="none" w:sz="0" w:space="0" w:color="auto"/>
        <w:left w:val="none" w:sz="0" w:space="0" w:color="auto"/>
        <w:bottom w:val="none" w:sz="0" w:space="0" w:color="auto"/>
        <w:right w:val="none" w:sz="0" w:space="0" w:color="auto"/>
      </w:divBdr>
      <w:divsChild>
        <w:div w:id="18118858">
          <w:marLeft w:val="0"/>
          <w:marRight w:val="0"/>
          <w:marTop w:val="0"/>
          <w:marBottom w:val="0"/>
          <w:divBdr>
            <w:top w:val="none" w:sz="0" w:space="0" w:color="auto"/>
            <w:left w:val="none" w:sz="0" w:space="0" w:color="auto"/>
            <w:bottom w:val="none" w:sz="0" w:space="0" w:color="auto"/>
            <w:right w:val="none" w:sz="0" w:space="0" w:color="auto"/>
          </w:divBdr>
        </w:div>
      </w:divsChild>
    </w:div>
    <w:div w:id="173108775">
      <w:bodyDiv w:val="1"/>
      <w:marLeft w:val="0"/>
      <w:marRight w:val="0"/>
      <w:marTop w:val="0"/>
      <w:marBottom w:val="0"/>
      <w:divBdr>
        <w:top w:val="none" w:sz="0" w:space="0" w:color="auto"/>
        <w:left w:val="none" w:sz="0" w:space="0" w:color="auto"/>
        <w:bottom w:val="none" w:sz="0" w:space="0" w:color="auto"/>
        <w:right w:val="none" w:sz="0" w:space="0" w:color="auto"/>
      </w:divBdr>
      <w:divsChild>
        <w:div w:id="2072921877">
          <w:marLeft w:val="0"/>
          <w:marRight w:val="0"/>
          <w:marTop w:val="0"/>
          <w:marBottom w:val="0"/>
          <w:divBdr>
            <w:top w:val="none" w:sz="0" w:space="0" w:color="auto"/>
            <w:left w:val="none" w:sz="0" w:space="0" w:color="auto"/>
            <w:bottom w:val="none" w:sz="0" w:space="0" w:color="auto"/>
            <w:right w:val="none" w:sz="0" w:space="0" w:color="auto"/>
          </w:divBdr>
          <w:divsChild>
            <w:div w:id="604966853">
              <w:marLeft w:val="0"/>
              <w:marRight w:val="0"/>
              <w:marTop w:val="0"/>
              <w:marBottom w:val="0"/>
              <w:divBdr>
                <w:top w:val="none" w:sz="0" w:space="0" w:color="auto"/>
                <w:left w:val="none" w:sz="0" w:space="0" w:color="auto"/>
                <w:bottom w:val="none" w:sz="0" w:space="0" w:color="auto"/>
                <w:right w:val="none" w:sz="0" w:space="0" w:color="auto"/>
              </w:divBdr>
              <w:divsChild>
                <w:div w:id="1650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9251">
      <w:bodyDiv w:val="1"/>
      <w:marLeft w:val="0"/>
      <w:marRight w:val="0"/>
      <w:marTop w:val="0"/>
      <w:marBottom w:val="0"/>
      <w:divBdr>
        <w:top w:val="none" w:sz="0" w:space="0" w:color="auto"/>
        <w:left w:val="none" w:sz="0" w:space="0" w:color="auto"/>
        <w:bottom w:val="none" w:sz="0" w:space="0" w:color="auto"/>
        <w:right w:val="none" w:sz="0" w:space="0" w:color="auto"/>
      </w:divBdr>
    </w:div>
    <w:div w:id="284778748">
      <w:bodyDiv w:val="1"/>
      <w:marLeft w:val="0"/>
      <w:marRight w:val="0"/>
      <w:marTop w:val="0"/>
      <w:marBottom w:val="0"/>
      <w:divBdr>
        <w:top w:val="none" w:sz="0" w:space="0" w:color="auto"/>
        <w:left w:val="none" w:sz="0" w:space="0" w:color="auto"/>
        <w:bottom w:val="none" w:sz="0" w:space="0" w:color="auto"/>
        <w:right w:val="none" w:sz="0" w:space="0" w:color="auto"/>
      </w:divBdr>
    </w:div>
    <w:div w:id="723910834">
      <w:bodyDiv w:val="1"/>
      <w:marLeft w:val="0"/>
      <w:marRight w:val="0"/>
      <w:marTop w:val="0"/>
      <w:marBottom w:val="0"/>
      <w:divBdr>
        <w:top w:val="none" w:sz="0" w:space="0" w:color="auto"/>
        <w:left w:val="none" w:sz="0" w:space="0" w:color="auto"/>
        <w:bottom w:val="none" w:sz="0" w:space="0" w:color="auto"/>
        <w:right w:val="none" w:sz="0" w:space="0" w:color="auto"/>
      </w:divBdr>
      <w:divsChild>
        <w:div w:id="56511284">
          <w:marLeft w:val="0"/>
          <w:marRight w:val="0"/>
          <w:marTop w:val="0"/>
          <w:marBottom w:val="0"/>
          <w:divBdr>
            <w:top w:val="none" w:sz="0" w:space="0" w:color="auto"/>
            <w:left w:val="none" w:sz="0" w:space="0" w:color="auto"/>
            <w:bottom w:val="none" w:sz="0" w:space="0" w:color="auto"/>
            <w:right w:val="none" w:sz="0" w:space="0" w:color="auto"/>
          </w:divBdr>
        </w:div>
        <w:div w:id="217254361">
          <w:marLeft w:val="0"/>
          <w:marRight w:val="0"/>
          <w:marTop w:val="0"/>
          <w:marBottom w:val="0"/>
          <w:divBdr>
            <w:top w:val="none" w:sz="0" w:space="0" w:color="auto"/>
            <w:left w:val="none" w:sz="0" w:space="0" w:color="auto"/>
            <w:bottom w:val="none" w:sz="0" w:space="0" w:color="auto"/>
            <w:right w:val="none" w:sz="0" w:space="0" w:color="auto"/>
          </w:divBdr>
        </w:div>
        <w:div w:id="709302227">
          <w:marLeft w:val="0"/>
          <w:marRight w:val="0"/>
          <w:marTop w:val="0"/>
          <w:marBottom w:val="0"/>
          <w:divBdr>
            <w:top w:val="none" w:sz="0" w:space="0" w:color="auto"/>
            <w:left w:val="none" w:sz="0" w:space="0" w:color="auto"/>
            <w:bottom w:val="none" w:sz="0" w:space="0" w:color="auto"/>
            <w:right w:val="none" w:sz="0" w:space="0" w:color="auto"/>
          </w:divBdr>
        </w:div>
        <w:div w:id="1109617707">
          <w:marLeft w:val="0"/>
          <w:marRight w:val="0"/>
          <w:marTop w:val="0"/>
          <w:marBottom w:val="0"/>
          <w:divBdr>
            <w:top w:val="none" w:sz="0" w:space="0" w:color="auto"/>
            <w:left w:val="none" w:sz="0" w:space="0" w:color="auto"/>
            <w:bottom w:val="none" w:sz="0" w:space="0" w:color="auto"/>
            <w:right w:val="none" w:sz="0" w:space="0" w:color="auto"/>
          </w:divBdr>
        </w:div>
        <w:div w:id="1139421676">
          <w:marLeft w:val="0"/>
          <w:marRight w:val="0"/>
          <w:marTop w:val="0"/>
          <w:marBottom w:val="0"/>
          <w:divBdr>
            <w:top w:val="none" w:sz="0" w:space="0" w:color="auto"/>
            <w:left w:val="none" w:sz="0" w:space="0" w:color="auto"/>
            <w:bottom w:val="none" w:sz="0" w:space="0" w:color="auto"/>
            <w:right w:val="none" w:sz="0" w:space="0" w:color="auto"/>
          </w:divBdr>
        </w:div>
        <w:div w:id="1440950971">
          <w:marLeft w:val="0"/>
          <w:marRight w:val="0"/>
          <w:marTop w:val="0"/>
          <w:marBottom w:val="0"/>
          <w:divBdr>
            <w:top w:val="none" w:sz="0" w:space="0" w:color="auto"/>
            <w:left w:val="none" w:sz="0" w:space="0" w:color="auto"/>
            <w:bottom w:val="none" w:sz="0" w:space="0" w:color="auto"/>
            <w:right w:val="none" w:sz="0" w:space="0" w:color="auto"/>
          </w:divBdr>
        </w:div>
        <w:div w:id="1771123635">
          <w:marLeft w:val="0"/>
          <w:marRight w:val="0"/>
          <w:marTop w:val="0"/>
          <w:marBottom w:val="0"/>
          <w:divBdr>
            <w:top w:val="none" w:sz="0" w:space="0" w:color="auto"/>
            <w:left w:val="none" w:sz="0" w:space="0" w:color="auto"/>
            <w:bottom w:val="none" w:sz="0" w:space="0" w:color="auto"/>
            <w:right w:val="none" w:sz="0" w:space="0" w:color="auto"/>
          </w:divBdr>
        </w:div>
      </w:divsChild>
    </w:div>
    <w:div w:id="761948447">
      <w:bodyDiv w:val="1"/>
      <w:marLeft w:val="0"/>
      <w:marRight w:val="0"/>
      <w:marTop w:val="0"/>
      <w:marBottom w:val="0"/>
      <w:divBdr>
        <w:top w:val="none" w:sz="0" w:space="0" w:color="auto"/>
        <w:left w:val="none" w:sz="0" w:space="0" w:color="auto"/>
        <w:bottom w:val="none" w:sz="0" w:space="0" w:color="auto"/>
        <w:right w:val="none" w:sz="0" w:space="0" w:color="auto"/>
      </w:divBdr>
      <w:divsChild>
        <w:div w:id="2042199810">
          <w:marLeft w:val="0"/>
          <w:marRight w:val="0"/>
          <w:marTop w:val="0"/>
          <w:marBottom w:val="0"/>
          <w:divBdr>
            <w:top w:val="none" w:sz="0" w:space="0" w:color="auto"/>
            <w:left w:val="none" w:sz="0" w:space="0" w:color="auto"/>
            <w:bottom w:val="none" w:sz="0" w:space="0" w:color="auto"/>
            <w:right w:val="none" w:sz="0" w:space="0" w:color="auto"/>
          </w:divBdr>
          <w:divsChild>
            <w:div w:id="1875850941">
              <w:marLeft w:val="0"/>
              <w:marRight w:val="0"/>
              <w:marTop w:val="0"/>
              <w:marBottom w:val="0"/>
              <w:divBdr>
                <w:top w:val="none" w:sz="0" w:space="0" w:color="auto"/>
                <w:left w:val="none" w:sz="0" w:space="0" w:color="auto"/>
                <w:bottom w:val="none" w:sz="0" w:space="0" w:color="auto"/>
                <w:right w:val="none" w:sz="0" w:space="0" w:color="auto"/>
              </w:divBdr>
              <w:divsChild>
                <w:div w:id="1443721844">
                  <w:marLeft w:val="0"/>
                  <w:marRight w:val="0"/>
                  <w:marTop w:val="0"/>
                  <w:marBottom w:val="0"/>
                  <w:divBdr>
                    <w:top w:val="none" w:sz="0" w:space="0" w:color="auto"/>
                    <w:left w:val="none" w:sz="0" w:space="0" w:color="auto"/>
                    <w:bottom w:val="none" w:sz="0" w:space="0" w:color="auto"/>
                    <w:right w:val="none" w:sz="0" w:space="0" w:color="auto"/>
                  </w:divBdr>
                  <w:divsChild>
                    <w:div w:id="1262420737">
                      <w:marLeft w:val="0"/>
                      <w:marRight w:val="0"/>
                      <w:marTop w:val="0"/>
                      <w:marBottom w:val="0"/>
                      <w:divBdr>
                        <w:top w:val="none" w:sz="0" w:space="0" w:color="auto"/>
                        <w:left w:val="none" w:sz="0" w:space="0" w:color="auto"/>
                        <w:bottom w:val="none" w:sz="0" w:space="0" w:color="auto"/>
                        <w:right w:val="none" w:sz="0" w:space="0" w:color="auto"/>
                      </w:divBdr>
                      <w:divsChild>
                        <w:div w:id="1813020172">
                          <w:marLeft w:val="0"/>
                          <w:marRight w:val="0"/>
                          <w:marTop w:val="0"/>
                          <w:marBottom w:val="0"/>
                          <w:divBdr>
                            <w:top w:val="none" w:sz="0" w:space="0" w:color="auto"/>
                            <w:left w:val="none" w:sz="0" w:space="0" w:color="auto"/>
                            <w:bottom w:val="none" w:sz="0" w:space="0" w:color="auto"/>
                            <w:right w:val="none" w:sz="0" w:space="0" w:color="auto"/>
                          </w:divBdr>
                          <w:divsChild>
                            <w:div w:id="942685391">
                              <w:marLeft w:val="0"/>
                              <w:marRight w:val="0"/>
                              <w:marTop w:val="0"/>
                              <w:marBottom w:val="0"/>
                              <w:divBdr>
                                <w:top w:val="none" w:sz="0" w:space="0" w:color="auto"/>
                                <w:left w:val="none" w:sz="0" w:space="0" w:color="auto"/>
                                <w:bottom w:val="none" w:sz="0" w:space="0" w:color="auto"/>
                                <w:right w:val="none" w:sz="0" w:space="0" w:color="auto"/>
                              </w:divBdr>
                              <w:divsChild>
                                <w:div w:id="1855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767303">
      <w:bodyDiv w:val="1"/>
      <w:marLeft w:val="0"/>
      <w:marRight w:val="0"/>
      <w:marTop w:val="0"/>
      <w:marBottom w:val="0"/>
      <w:divBdr>
        <w:top w:val="none" w:sz="0" w:space="0" w:color="auto"/>
        <w:left w:val="none" w:sz="0" w:space="0" w:color="auto"/>
        <w:bottom w:val="none" w:sz="0" w:space="0" w:color="auto"/>
        <w:right w:val="none" w:sz="0" w:space="0" w:color="auto"/>
      </w:divBdr>
    </w:div>
    <w:div w:id="817111468">
      <w:bodyDiv w:val="1"/>
      <w:marLeft w:val="0"/>
      <w:marRight w:val="0"/>
      <w:marTop w:val="0"/>
      <w:marBottom w:val="0"/>
      <w:divBdr>
        <w:top w:val="none" w:sz="0" w:space="0" w:color="auto"/>
        <w:left w:val="none" w:sz="0" w:space="0" w:color="auto"/>
        <w:bottom w:val="none" w:sz="0" w:space="0" w:color="auto"/>
        <w:right w:val="none" w:sz="0" w:space="0" w:color="auto"/>
      </w:divBdr>
      <w:divsChild>
        <w:div w:id="712660956">
          <w:marLeft w:val="0"/>
          <w:marRight w:val="0"/>
          <w:marTop w:val="0"/>
          <w:marBottom w:val="0"/>
          <w:divBdr>
            <w:top w:val="none" w:sz="0" w:space="0" w:color="auto"/>
            <w:left w:val="none" w:sz="0" w:space="0" w:color="auto"/>
            <w:bottom w:val="none" w:sz="0" w:space="0" w:color="auto"/>
            <w:right w:val="none" w:sz="0" w:space="0" w:color="auto"/>
          </w:divBdr>
        </w:div>
        <w:div w:id="1005522873">
          <w:marLeft w:val="0"/>
          <w:marRight w:val="0"/>
          <w:marTop w:val="0"/>
          <w:marBottom w:val="0"/>
          <w:divBdr>
            <w:top w:val="none" w:sz="0" w:space="0" w:color="auto"/>
            <w:left w:val="none" w:sz="0" w:space="0" w:color="auto"/>
            <w:bottom w:val="none" w:sz="0" w:space="0" w:color="auto"/>
            <w:right w:val="none" w:sz="0" w:space="0" w:color="auto"/>
          </w:divBdr>
        </w:div>
        <w:div w:id="1180848535">
          <w:marLeft w:val="0"/>
          <w:marRight w:val="0"/>
          <w:marTop w:val="0"/>
          <w:marBottom w:val="0"/>
          <w:divBdr>
            <w:top w:val="none" w:sz="0" w:space="0" w:color="auto"/>
            <w:left w:val="none" w:sz="0" w:space="0" w:color="auto"/>
            <w:bottom w:val="none" w:sz="0" w:space="0" w:color="auto"/>
            <w:right w:val="none" w:sz="0" w:space="0" w:color="auto"/>
          </w:divBdr>
        </w:div>
        <w:div w:id="1662387084">
          <w:marLeft w:val="0"/>
          <w:marRight w:val="0"/>
          <w:marTop w:val="0"/>
          <w:marBottom w:val="0"/>
          <w:divBdr>
            <w:top w:val="none" w:sz="0" w:space="0" w:color="auto"/>
            <w:left w:val="none" w:sz="0" w:space="0" w:color="auto"/>
            <w:bottom w:val="none" w:sz="0" w:space="0" w:color="auto"/>
            <w:right w:val="none" w:sz="0" w:space="0" w:color="auto"/>
          </w:divBdr>
        </w:div>
      </w:divsChild>
    </w:div>
    <w:div w:id="841503450">
      <w:bodyDiv w:val="1"/>
      <w:marLeft w:val="0"/>
      <w:marRight w:val="0"/>
      <w:marTop w:val="0"/>
      <w:marBottom w:val="0"/>
      <w:divBdr>
        <w:top w:val="none" w:sz="0" w:space="0" w:color="auto"/>
        <w:left w:val="none" w:sz="0" w:space="0" w:color="auto"/>
        <w:bottom w:val="none" w:sz="0" w:space="0" w:color="auto"/>
        <w:right w:val="none" w:sz="0" w:space="0" w:color="auto"/>
      </w:divBdr>
      <w:divsChild>
        <w:div w:id="108014102">
          <w:marLeft w:val="0"/>
          <w:marRight w:val="0"/>
          <w:marTop w:val="0"/>
          <w:marBottom w:val="0"/>
          <w:divBdr>
            <w:top w:val="none" w:sz="0" w:space="0" w:color="auto"/>
            <w:left w:val="none" w:sz="0" w:space="0" w:color="auto"/>
            <w:bottom w:val="none" w:sz="0" w:space="0" w:color="auto"/>
            <w:right w:val="none" w:sz="0" w:space="0" w:color="auto"/>
          </w:divBdr>
        </w:div>
        <w:div w:id="262222702">
          <w:marLeft w:val="0"/>
          <w:marRight w:val="0"/>
          <w:marTop w:val="0"/>
          <w:marBottom w:val="0"/>
          <w:divBdr>
            <w:top w:val="none" w:sz="0" w:space="0" w:color="auto"/>
            <w:left w:val="none" w:sz="0" w:space="0" w:color="auto"/>
            <w:bottom w:val="none" w:sz="0" w:space="0" w:color="auto"/>
            <w:right w:val="none" w:sz="0" w:space="0" w:color="auto"/>
          </w:divBdr>
        </w:div>
        <w:div w:id="402653335">
          <w:marLeft w:val="0"/>
          <w:marRight w:val="0"/>
          <w:marTop w:val="0"/>
          <w:marBottom w:val="0"/>
          <w:divBdr>
            <w:top w:val="none" w:sz="0" w:space="0" w:color="auto"/>
            <w:left w:val="none" w:sz="0" w:space="0" w:color="auto"/>
            <w:bottom w:val="none" w:sz="0" w:space="0" w:color="auto"/>
            <w:right w:val="none" w:sz="0" w:space="0" w:color="auto"/>
          </w:divBdr>
        </w:div>
        <w:div w:id="480343832">
          <w:marLeft w:val="0"/>
          <w:marRight w:val="0"/>
          <w:marTop w:val="0"/>
          <w:marBottom w:val="0"/>
          <w:divBdr>
            <w:top w:val="none" w:sz="0" w:space="0" w:color="auto"/>
            <w:left w:val="none" w:sz="0" w:space="0" w:color="auto"/>
            <w:bottom w:val="none" w:sz="0" w:space="0" w:color="auto"/>
            <w:right w:val="none" w:sz="0" w:space="0" w:color="auto"/>
          </w:divBdr>
        </w:div>
        <w:div w:id="622922673">
          <w:marLeft w:val="0"/>
          <w:marRight w:val="0"/>
          <w:marTop w:val="0"/>
          <w:marBottom w:val="0"/>
          <w:divBdr>
            <w:top w:val="none" w:sz="0" w:space="0" w:color="auto"/>
            <w:left w:val="none" w:sz="0" w:space="0" w:color="auto"/>
            <w:bottom w:val="none" w:sz="0" w:space="0" w:color="auto"/>
            <w:right w:val="none" w:sz="0" w:space="0" w:color="auto"/>
          </w:divBdr>
        </w:div>
        <w:div w:id="757096439">
          <w:marLeft w:val="0"/>
          <w:marRight w:val="0"/>
          <w:marTop w:val="0"/>
          <w:marBottom w:val="0"/>
          <w:divBdr>
            <w:top w:val="none" w:sz="0" w:space="0" w:color="auto"/>
            <w:left w:val="none" w:sz="0" w:space="0" w:color="auto"/>
            <w:bottom w:val="none" w:sz="0" w:space="0" w:color="auto"/>
            <w:right w:val="none" w:sz="0" w:space="0" w:color="auto"/>
          </w:divBdr>
        </w:div>
        <w:div w:id="963850512">
          <w:marLeft w:val="0"/>
          <w:marRight w:val="0"/>
          <w:marTop w:val="0"/>
          <w:marBottom w:val="0"/>
          <w:divBdr>
            <w:top w:val="none" w:sz="0" w:space="0" w:color="auto"/>
            <w:left w:val="none" w:sz="0" w:space="0" w:color="auto"/>
            <w:bottom w:val="none" w:sz="0" w:space="0" w:color="auto"/>
            <w:right w:val="none" w:sz="0" w:space="0" w:color="auto"/>
          </w:divBdr>
        </w:div>
        <w:div w:id="1009599714">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471707175">
          <w:marLeft w:val="0"/>
          <w:marRight w:val="0"/>
          <w:marTop w:val="0"/>
          <w:marBottom w:val="0"/>
          <w:divBdr>
            <w:top w:val="none" w:sz="0" w:space="0" w:color="auto"/>
            <w:left w:val="none" w:sz="0" w:space="0" w:color="auto"/>
            <w:bottom w:val="none" w:sz="0" w:space="0" w:color="auto"/>
            <w:right w:val="none" w:sz="0" w:space="0" w:color="auto"/>
          </w:divBdr>
        </w:div>
        <w:div w:id="1989045211">
          <w:marLeft w:val="0"/>
          <w:marRight w:val="0"/>
          <w:marTop w:val="0"/>
          <w:marBottom w:val="0"/>
          <w:divBdr>
            <w:top w:val="none" w:sz="0" w:space="0" w:color="auto"/>
            <w:left w:val="none" w:sz="0" w:space="0" w:color="auto"/>
            <w:bottom w:val="none" w:sz="0" w:space="0" w:color="auto"/>
            <w:right w:val="none" w:sz="0" w:space="0" w:color="auto"/>
          </w:divBdr>
        </w:div>
        <w:div w:id="2109304776">
          <w:marLeft w:val="0"/>
          <w:marRight w:val="0"/>
          <w:marTop w:val="0"/>
          <w:marBottom w:val="0"/>
          <w:divBdr>
            <w:top w:val="none" w:sz="0" w:space="0" w:color="auto"/>
            <w:left w:val="none" w:sz="0" w:space="0" w:color="auto"/>
            <w:bottom w:val="none" w:sz="0" w:space="0" w:color="auto"/>
            <w:right w:val="none" w:sz="0" w:space="0" w:color="auto"/>
          </w:divBdr>
        </w:div>
      </w:divsChild>
    </w:div>
    <w:div w:id="960300683">
      <w:bodyDiv w:val="1"/>
      <w:marLeft w:val="0"/>
      <w:marRight w:val="0"/>
      <w:marTop w:val="0"/>
      <w:marBottom w:val="0"/>
      <w:divBdr>
        <w:top w:val="none" w:sz="0" w:space="0" w:color="auto"/>
        <w:left w:val="none" w:sz="0" w:space="0" w:color="auto"/>
        <w:bottom w:val="none" w:sz="0" w:space="0" w:color="auto"/>
        <w:right w:val="none" w:sz="0" w:space="0" w:color="auto"/>
      </w:divBdr>
    </w:div>
    <w:div w:id="1030029758">
      <w:bodyDiv w:val="1"/>
      <w:marLeft w:val="0"/>
      <w:marRight w:val="0"/>
      <w:marTop w:val="0"/>
      <w:marBottom w:val="0"/>
      <w:divBdr>
        <w:top w:val="none" w:sz="0" w:space="0" w:color="auto"/>
        <w:left w:val="none" w:sz="0" w:space="0" w:color="auto"/>
        <w:bottom w:val="none" w:sz="0" w:space="0" w:color="auto"/>
        <w:right w:val="none" w:sz="0" w:space="0" w:color="auto"/>
      </w:divBdr>
      <w:divsChild>
        <w:div w:id="161163521">
          <w:marLeft w:val="0"/>
          <w:marRight w:val="0"/>
          <w:marTop w:val="0"/>
          <w:marBottom w:val="0"/>
          <w:divBdr>
            <w:top w:val="none" w:sz="0" w:space="0" w:color="auto"/>
            <w:left w:val="none" w:sz="0" w:space="0" w:color="auto"/>
            <w:bottom w:val="none" w:sz="0" w:space="0" w:color="auto"/>
            <w:right w:val="none" w:sz="0" w:space="0" w:color="auto"/>
          </w:divBdr>
        </w:div>
        <w:div w:id="291374747">
          <w:marLeft w:val="0"/>
          <w:marRight w:val="0"/>
          <w:marTop w:val="0"/>
          <w:marBottom w:val="0"/>
          <w:divBdr>
            <w:top w:val="none" w:sz="0" w:space="0" w:color="auto"/>
            <w:left w:val="none" w:sz="0" w:space="0" w:color="auto"/>
            <w:bottom w:val="none" w:sz="0" w:space="0" w:color="auto"/>
            <w:right w:val="none" w:sz="0" w:space="0" w:color="auto"/>
          </w:divBdr>
        </w:div>
        <w:div w:id="396705656">
          <w:marLeft w:val="0"/>
          <w:marRight w:val="0"/>
          <w:marTop w:val="0"/>
          <w:marBottom w:val="0"/>
          <w:divBdr>
            <w:top w:val="none" w:sz="0" w:space="0" w:color="auto"/>
            <w:left w:val="none" w:sz="0" w:space="0" w:color="auto"/>
            <w:bottom w:val="none" w:sz="0" w:space="0" w:color="auto"/>
            <w:right w:val="none" w:sz="0" w:space="0" w:color="auto"/>
          </w:divBdr>
        </w:div>
        <w:div w:id="446437903">
          <w:marLeft w:val="0"/>
          <w:marRight w:val="0"/>
          <w:marTop w:val="0"/>
          <w:marBottom w:val="0"/>
          <w:divBdr>
            <w:top w:val="none" w:sz="0" w:space="0" w:color="auto"/>
            <w:left w:val="none" w:sz="0" w:space="0" w:color="auto"/>
            <w:bottom w:val="none" w:sz="0" w:space="0" w:color="auto"/>
            <w:right w:val="none" w:sz="0" w:space="0" w:color="auto"/>
          </w:divBdr>
        </w:div>
        <w:div w:id="949581600">
          <w:marLeft w:val="0"/>
          <w:marRight w:val="0"/>
          <w:marTop w:val="0"/>
          <w:marBottom w:val="0"/>
          <w:divBdr>
            <w:top w:val="none" w:sz="0" w:space="0" w:color="auto"/>
            <w:left w:val="none" w:sz="0" w:space="0" w:color="auto"/>
            <w:bottom w:val="none" w:sz="0" w:space="0" w:color="auto"/>
            <w:right w:val="none" w:sz="0" w:space="0" w:color="auto"/>
          </w:divBdr>
        </w:div>
        <w:div w:id="995761222">
          <w:marLeft w:val="0"/>
          <w:marRight w:val="0"/>
          <w:marTop w:val="0"/>
          <w:marBottom w:val="0"/>
          <w:divBdr>
            <w:top w:val="none" w:sz="0" w:space="0" w:color="auto"/>
            <w:left w:val="none" w:sz="0" w:space="0" w:color="auto"/>
            <w:bottom w:val="none" w:sz="0" w:space="0" w:color="auto"/>
            <w:right w:val="none" w:sz="0" w:space="0" w:color="auto"/>
          </w:divBdr>
        </w:div>
        <w:div w:id="999118979">
          <w:marLeft w:val="0"/>
          <w:marRight w:val="0"/>
          <w:marTop w:val="0"/>
          <w:marBottom w:val="0"/>
          <w:divBdr>
            <w:top w:val="none" w:sz="0" w:space="0" w:color="auto"/>
            <w:left w:val="none" w:sz="0" w:space="0" w:color="auto"/>
            <w:bottom w:val="none" w:sz="0" w:space="0" w:color="auto"/>
            <w:right w:val="none" w:sz="0" w:space="0" w:color="auto"/>
          </w:divBdr>
        </w:div>
        <w:div w:id="1077898196">
          <w:marLeft w:val="0"/>
          <w:marRight w:val="0"/>
          <w:marTop w:val="0"/>
          <w:marBottom w:val="0"/>
          <w:divBdr>
            <w:top w:val="none" w:sz="0" w:space="0" w:color="auto"/>
            <w:left w:val="none" w:sz="0" w:space="0" w:color="auto"/>
            <w:bottom w:val="none" w:sz="0" w:space="0" w:color="auto"/>
            <w:right w:val="none" w:sz="0" w:space="0" w:color="auto"/>
          </w:divBdr>
        </w:div>
        <w:div w:id="1174567526">
          <w:marLeft w:val="0"/>
          <w:marRight w:val="0"/>
          <w:marTop w:val="0"/>
          <w:marBottom w:val="0"/>
          <w:divBdr>
            <w:top w:val="none" w:sz="0" w:space="0" w:color="auto"/>
            <w:left w:val="none" w:sz="0" w:space="0" w:color="auto"/>
            <w:bottom w:val="none" w:sz="0" w:space="0" w:color="auto"/>
            <w:right w:val="none" w:sz="0" w:space="0" w:color="auto"/>
          </w:divBdr>
        </w:div>
        <w:div w:id="1185023497">
          <w:marLeft w:val="0"/>
          <w:marRight w:val="0"/>
          <w:marTop w:val="0"/>
          <w:marBottom w:val="0"/>
          <w:divBdr>
            <w:top w:val="none" w:sz="0" w:space="0" w:color="auto"/>
            <w:left w:val="none" w:sz="0" w:space="0" w:color="auto"/>
            <w:bottom w:val="none" w:sz="0" w:space="0" w:color="auto"/>
            <w:right w:val="none" w:sz="0" w:space="0" w:color="auto"/>
          </w:divBdr>
        </w:div>
        <w:div w:id="1209879369">
          <w:marLeft w:val="0"/>
          <w:marRight w:val="0"/>
          <w:marTop w:val="0"/>
          <w:marBottom w:val="0"/>
          <w:divBdr>
            <w:top w:val="none" w:sz="0" w:space="0" w:color="auto"/>
            <w:left w:val="none" w:sz="0" w:space="0" w:color="auto"/>
            <w:bottom w:val="none" w:sz="0" w:space="0" w:color="auto"/>
            <w:right w:val="none" w:sz="0" w:space="0" w:color="auto"/>
          </w:divBdr>
        </w:div>
        <w:div w:id="1404911896">
          <w:marLeft w:val="0"/>
          <w:marRight w:val="0"/>
          <w:marTop w:val="0"/>
          <w:marBottom w:val="0"/>
          <w:divBdr>
            <w:top w:val="none" w:sz="0" w:space="0" w:color="auto"/>
            <w:left w:val="none" w:sz="0" w:space="0" w:color="auto"/>
            <w:bottom w:val="none" w:sz="0" w:space="0" w:color="auto"/>
            <w:right w:val="none" w:sz="0" w:space="0" w:color="auto"/>
          </w:divBdr>
        </w:div>
        <w:div w:id="1662923303">
          <w:marLeft w:val="0"/>
          <w:marRight w:val="0"/>
          <w:marTop w:val="0"/>
          <w:marBottom w:val="0"/>
          <w:divBdr>
            <w:top w:val="none" w:sz="0" w:space="0" w:color="auto"/>
            <w:left w:val="none" w:sz="0" w:space="0" w:color="auto"/>
            <w:bottom w:val="none" w:sz="0" w:space="0" w:color="auto"/>
            <w:right w:val="none" w:sz="0" w:space="0" w:color="auto"/>
          </w:divBdr>
        </w:div>
        <w:div w:id="1774395877">
          <w:marLeft w:val="0"/>
          <w:marRight w:val="0"/>
          <w:marTop w:val="0"/>
          <w:marBottom w:val="0"/>
          <w:divBdr>
            <w:top w:val="none" w:sz="0" w:space="0" w:color="auto"/>
            <w:left w:val="none" w:sz="0" w:space="0" w:color="auto"/>
            <w:bottom w:val="none" w:sz="0" w:space="0" w:color="auto"/>
            <w:right w:val="none" w:sz="0" w:space="0" w:color="auto"/>
          </w:divBdr>
        </w:div>
        <w:div w:id="2064521489">
          <w:marLeft w:val="0"/>
          <w:marRight w:val="0"/>
          <w:marTop w:val="0"/>
          <w:marBottom w:val="0"/>
          <w:divBdr>
            <w:top w:val="none" w:sz="0" w:space="0" w:color="auto"/>
            <w:left w:val="none" w:sz="0" w:space="0" w:color="auto"/>
            <w:bottom w:val="none" w:sz="0" w:space="0" w:color="auto"/>
            <w:right w:val="none" w:sz="0" w:space="0" w:color="auto"/>
          </w:divBdr>
        </w:div>
      </w:divsChild>
    </w:div>
    <w:div w:id="1150823526">
      <w:bodyDiv w:val="1"/>
      <w:marLeft w:val="0"/>
      <w:marRight w:val="0"/>
      <w:marTop w:val="0"/>
      <w:marBottom w:val="0"/>
      <w:divBdr>
        <w:top w:val="none" w:sz="0" w:space="0" w:color="auto"/>
        <w:left w:val="none" w:sz="0" w:space="0" w:color="auto"/>
        <w:bottom w:val="none" w:sz="0" w:space="0" w:color="auto"/>
        <w:right w:val="none" w:sz="0" w:space="0" w:color="auto"/>
      </w:divBdr>
      <w:divsChild>
        <w:div w:id="855075619">
          <w:marLeft w:val="0"/>
          <w:marRight w:val="0"/>
          <w:marTop w:val="0"/>
          <w:marBottom w:val="0"/>
          <w:divBdr>
            <w:top w:val="none" w:sz="0" w:space="0" w:color="auto"/>
            <w:left w:val="none" w:sz="0" w:space="0" w:color="auto"/>
            <w:bottom w:val="none" w:sz="0" w:space="0" w:color="auto"/>
            <w:right w:val="none" w:sz="0" w:space="0" w:color="auto"/>
          </w:divBdr>
        </w:div>
      </w:divsChild>
    </w:div>
    <w:div w:id="1166673748">
      <w:bodyDiv w:val="1"/>
      <w:marLeft w:val="0"/>
      <w:marRight w:val="0"/>
      <w:marTop w:val="0"/>
      <w:marBottom w:val="0"/>
      <w:divBdr>
        <w:top w:val="none" w:sz="0" w:space="0" w:color="auto"/>
        <w:left w:val="none" w:sz="0" w:space="0" w:color="auto"/>
        <w:bottom w:val="none" w:sz="0" w:space="0" w:color="auto"/>
        <w:right w:val="none" w:sz="0" w:space="0" w:color="auto"/>
      </w:divBdr>
      <w:divsChild>
        <w:div w:id="392238373">
          <w:marLeft w:val="0"/>
          <w:marRight w:val="0"/>
          <w:marTop w:val="0"/>
          <w:marBottom w:val="0"/>
          <w:divBdr>
            <w:top w:val="none" w:sz="0" w:space="0" w:color="auto"/>
            <w:left w:val="none" w:sz="0" w:space="0" w:color="auto"/>
            <w:bottom w:val="none" w:sz="0" w:space="0" w:color="auto"/>
            <w:right w:val="none" w:sz="0" w:space="0" w:color="auto"/>
          </w:divBdr>
        </w:div>
        <w:div w:id="606043244">
          <w:marLeft w:val="0"/>
          <w:marRight w:val="0"/>
          <w:marTop w:val="0"/>
          <w:marBottom w:val="0"/>
          <w:divBdr>
            <w:top w:val="none" w:sz="0" w:space="0" w:color="auto"/>
            <w:left w:val="none" w:sz="0" w:space="0" w:color="auto"/>
            <w:bottom w:val="none" w:sz="0" w:space="0" w:color="auto"/>
            <w:right w:val="none" w:sz="0" w:space="0" w:color="auto"/>
          </w:divBdr>
        </w:div>
        <w:div w:id="685252635">
          <w:marLeft w:val="0"/>
          <w:marRight w:val="0"/>
          <w:marTop w:val="0"/>
          <w:marBottom w:val="0"/>
          <w:divBdr>
            <w:top w:val="none" w:sz="0" w:space="0" w:color="auto"/>
            <w:left w:val="none" w:sz="0" w:space="0" w:color="auto"/>
            <w:bottom w:val="none" w:sz="0" w:space="0" w:color="auto"/>
            <w:right w:val="none" w:sz="0" w:space="0" w:color="auto"/>
          </w:divBdr>
        </w:div>
        <w:div w:id="871763875">
          <w:marLeft w:val="0"/>
          <w:marRight w:val="0"/>
          <w:marTop w:val="0"/>
          <w:marBottom w:val="0"/>
          <w:divBdr>
            <w:top w:val="none" w:sz="0" w:space="0" w:color="auto"/>
            <w:left w:val="none" w:sz="0" w:space="0" w:color="auto"/>
            <w:bottom w:val="none" w:sz="0" w:space="0" w:color="auto"/>
            <w:right w:val="none" w:sz="0" w:space="0" w:color="auto"/>
          </w:divBdr>
        </w:div>
        <w:div w:id="1197814081">
          <w:marLeft w:val="0"/>
          <w:marRight w:val="0"/>
          <w:marTop w:val="0"/>
          <w:marBottom w:val="0"/>
          <w:divBdr>
            <w:top w:val="none" w:sz="0" w:space="0" w:color="auto"/>
            <w:left w:val="none" w:sz="0" w:space="0" w:color="auto"/>
            <w:bottom w:val="none" w:sz="0" w:space="0" w:color="auto"/>
            <w:right w:val="none" w:sz="0" w:space="0" w:color="auto"/>
          </w:divBdr>
        </w:div>
        <w:div w:id="1205873941">
          <w:marLeft w:val="0"/>
          <w:marRight w:val="0"/>
          <w:marTop w:val="0"/>
          <w:marBottom w:val="0"/>
          <w:divBdr>
            <w:top w:val="none" w:sz="0" w:space="0" w:color="auto"/>
            <w:left w:val="none" w:sz="0" w:space="0" w:color="auto"/>
            <w:bottom w:val="none" w:sz="0" w:space="0" w:color="auto"/>
            <w:right w:val="none" w:sz="0" w:space="0" w:color="auto"/>
          </w:divBdr>
        </w:div>
        <w:div w:id="1395154862">
          <w:marLeft w:val="0"/>
          <w:marRight w:val="0"/>
          <w:marTop w:val="0"/>
          <w:marBottom w:val="0"/>
          <w:divBdr>
            <w:top w:val="none" w:sz="0" w:space="0" w:color="auto"/>
            <w:left w:val="none" w:sz="0" w:space="0" w:color="auto"/>
            <w:bottom w:val="none" w:sz="0" w:space="0" w:color="auto"/>
            <w:right w:val="none" w:sz="0" w:space="0" w:color="auto"/>
          </w:divBdr>
        </w:div>
        <w:div w:id="1647082092">
          <w:marLeft w:val="0"/>
          <w:marRight w:val="0"/>
          <w:marTop w:val="0"/>
          <w:marBottom w:val="0"/>
          <w:divBdr>
            <w:top w:val="none" w:sz="0" w:space="0" w:color="auto"/>
            <w:left w:val="none" w:sz="0" w:space="0" w:color="auto"/>
            <w:bottom w:val="none" w:sz="0" w:space="0" w:color="auto"/>
            <w:right w:val="none" w:sz="0" w:space="0" w:color="auto"/>
          </w:divBdr>
        </w:div>
        <w:div w:id="1905723094">
          <w:marLeft w:val="0"/>
          <w:marRight w:val="0"/>
          <w:marTop w:val="0"/>
          <w:marBottom w:val="0"/>
          <w:divBdr>
            <w:top w:val="none" w:sz="0" w:space="0" w:color="auto"/>
            <w:left w:val="none" w:sz="0" w:space="0" w:color="auto"/>
            <w:bottom w:val="none" w:sz="0" w:space="0" w:color="auto"/>
            <w:right w:val="none" w:sz="0" w:space="0" w:color="auto"/>
          </w:divBdr>
        </w:div>
        <w:div w:id="1977755179">
          <w:marLeft w:val="0"/>
          <w:marRight w:val="0"/>
          <w:marTop w:val="0"/>
          <w:marBottom w:val="0"/>
          <w:divBdr>
            <w:top w:val="none" w:sz="0" w:space="0" w:color="auto"/>
            <w:left w:val="none" w:sz="0" w:space="0" w:color="auto"/>
            <w:bottom w:val="none" w:sz="0" w:space="0" w:color="auto"/>
            <w:right w:val="none" w:sz="0" w:space="0" w:color="auto"/>
          </w:divBdr>
        </w:div>
      </w:divsChild>
    </w:div>
    <w:div w:id="1257592218">
      <w:bodyDiv w:val="1"/>
      <w:marLeft w:val="0"/>
      <w:marRight w:val="0"/>
      <w:marTop w:val="0"/>
      <w:marBottom w:val="0"/>
      <w:divBdr>
        <w:top w:val="none" w:sz="0" w:space="0" w:color="auto"/>
        <w:left w:val="none" w:sz="0" w:space="0" w:color="auto"/>
        <w:bottom w:val="none" w:sz="0" w:space="0" w:color="auto"/>
        <w:right w:val="none" w:sz="0" w:space="0" w:color="auto"/>
      </w:divBdr>
      <w:divsChild>
        <w:div w:id="66846923">
          <w:marLeft w:val="0"/>
          <w:marRight w:val="0"/>
          <w:marTop w:val="0"/>
          <w:marBottom w:val="0"/>
          <w:divBdr>
            <w:top w:val="none" w:sz="0" w:space="0" w:color="auto"/>
            <w:left w:val="none" w:sz="0" w:space="0" w:color="auto"/>
            <w:bottom w:val="none" w:sz="0" w:space="0" w:color="auto"/>
            <w:right w:val="none" w:sz="0" w:space="0" w:color="auto"/>
          </w:divBdr>
        </w:div>
        <w:div w:id="98380027">
          <w:marLeft w:val="0"/>
          <w:marRight w:val="0"/>
          <w:marTop w:val="0"/>
          <w:marBottom w:val="0"/>
          <w:divBdr>
            <w:top w:val="none" w:sz="0" w:space="0" w:color="auto"/>
            <w:left w:val="none" w:sz="0" w:space="0" w:color="auto"/>
            <w:bottom w:val="none" w:sz="0" w:space="0" w:color="auto"/>
            <w:right w:val="none" w:sz="0" w:space="0" w:color="auto"/>
          </w:divBdr>
        </w:div>
        <w:div w:id="653028484">
          <w:marLeft w:val="0"/>
          <w:marRight w:val="0"/>
          <w:marTop w:val="0"/>
          <w:marBottom w:val="0"/>
          <w:divBdr>
            <w:top w:val="none" w:sz="0" w:space="0" w:color="auto"/>
            <w:left w:val="none" w:sz="0" w:space="0" w:color="auto"/>
            <w:bottom w:val="none" w:sz="0" w:space="0" w:color="auto"/>
            <w:right w:val="none" w:sz="0" w:space="0" w:color="auto"/>
          </w:divBdr>
        </w:div>
        <w:div w:id="831221072">
          <w:marLeft w:val="0"/>
          <w:marRight w:val="0"/>
          <w:marTop w:val="0"/>
          <w:marBottom w:val="0"/>
          <w:divBdr>
            <w:top w:val="none" w:sz="0" w:space="0" w:color="auto"/>
            <w:left w:val="none" w:sz="0" w:space="0" w:color="auto"/>
            <w:bottom w:val="none" w:sz="0" w:space="0" w:color="auto"/>
            <w:right w:val="none" w:sz="0" w:space="0" w:color="auto"/>
          </w:divBdr>
        </w:div>
        <w:div w:id="854608817">
          <w:marLeft w:val="0"/>
          <w:marRight w:val="0"/>
          <w:marTop w:val="0"/>
          <w:marBottom w:val="0"/>
          <w:divBdr>
            <w:top w:val="none" w:sz="0" w:space="0" w:color="auto"/>
            <w:left w:val="none" w:sz="0" w:space="0" w:color="auto"/>
            <w:bottom w:val="none" w:sz="0" w:space="0" w:color="auto"/>
            <w:right w:val="none" w:sz="0" w:space="0" w:color="auto"/>
          </w:divBdr>
        </w:div>
        <w:div w:id="878013551">
          <w:marLeft w:val="0"/>
          <w:marRight w:val="0"/>
          <w:marTop w:val="0"/>
          <w:marBottom w:val="0"/>
          <w:divBdr>
            <w:top w:val="none" w:sz="0" w:space="0" w:color="auto"/>
            <w:left w:val="none" w:sz="0" w:space="0" w:color="auto"/>
            <w:bottom w:val="none" w:sz="0" w:space="0" w:color="auto"/>
            <w:right w:val="none" w:sz="0" w:space="0" w:color="auto"/>
          </w:divBdr>
        </w:div>
        <w:div w:id="911426499">
          <w:marLeft w:val="0"/>
          <w:marRight w:val="0"/>
          <w:marTop w:val="0"/>
          <w:marBottom w:val="0"/>
          <w:divBdr>
            <w:top w:val="none" w:sz="0" w:space="0" w:color="auto"/>
            <w:left w:val="none" w:sz="0" w:space="0" w:color="auto"/>
            <w:bottom w:val="none" w:sz="0" w:space="0" w:color="auto"/>
            <w:right w:val="none" w:sz="0" w:space="0" w:color="auto"/>
          </w:divBdr>
        </w:div>
        <w:div w:id="1033194270">
          <w:marLeft w:val="0"/>
          <w:marRight w:val="0"/>
          <w:marTop w:val="0"/>
          <w:marBottom w:val="0"/>
          <w:divBdr>
            <w:top w:val="none" w:sz="0" w:space="0" w:color="auto"/>
            <w:left w:val="none" w:sz="0" w:space="0" w:color="auto"/>
            <w:bottom w:val="none" w:sz="0" w:space="0" w:color="auto"/>
            <w:right w:val="none" w:sz="0" w:space="0" w:color="auto"/>
          </w:divBdr>
        </w:div>
        <w:div w:id="1417897321">
          <w:marLeft w:val="0"/>
          <w:marRight w:val="0"/>
          <w:marTop w:val="0"/>
          <w:marBottom w:val="0"/>
          <w:divBdr>
            <w:top w:val="none" w:sz="0" w:space="0" w:color="auto"/>
            <w:left w:val="none" w:sz="0" w:space="0" w:color="auto"/>
            <w:bottom w:val="none" w:sz="0" w:space="0" w:color="auto"/>
            <w:right w:val="none" w:sz="0" w:space="0" w:color="auto"/>
          </w:divBdr>
        </w:div>
        <w:div w:id="1587955904">
          <w:marLeft w:val="0"/>
          <w:marRight w:val="0"/>
          <w:marTop w:val="0"/>
          <w:marBottom w:val="0"/>
          <w:divBdr>
            <w:top w:val="none" w:sz="0" w:space="0" w:color="auto"/>
            <w:left w:val="none" w:sz="0" w:space="0" w:color="auto"/>
            <w:bottom w:val="none" w:sz="0" w:space="0" w:color="auto"/>
            <w:right w:val="none" w:sz="0" w:space="0" w:color="auto"/>
          </w:divBdr>
        </w:div>
        <w:div w:id="1947037758">
          <w:marLeft w:val="0"/>
          <w:marRight w:val="0"/>
          <w:marTop w:val="0"/>
          <w:marBottom w:val="0"/>
          <w:divBdr>
            <w:top w:val="none" w:sz="0" w:space="0" w:color="auto"/>
            <w:left w:val="none" w:sz="0" w:space="0" w:color="auto"/>
            <w:bottom w:val="none" w:sz="0" w:space="0" w:color="auto"/>
            <w:right w:val="none" w:sz="0" w:space="0" w:color="auto"/>
          </w:divBdr>
        </w:div>
        <w:div w:id="2114663886">
          <w:marLeft w:val="0"/>
          <w:marRight w:val="0"/>
          <w:marTop w:val="0"/>
          <w:marBottom w:val="0"/>
          <w:divBdr>
            <w:top w:val="none" w:sz="0" w:space="0" w:color="auto"/>
            <w:left w:val="none" w:sz="0" w:space="0" w:color="auto"/>
            <w:bottom w:val="none" w:sz="0" w:space="0" w:color="auto"/>
            <w:right w:val="none" w:sz="0" w:space="0" w:color="auto"/>
          </w:divBdr>
        </w:div>
      </w:divsChild>
    </w:div>
    <w:div w:id="1274291166">
      <w:bodyDiv w:val="1"/>
      <w:marLeft w:val="0"/>
      <w:marRight w:val="0"/>
      <w:marTop w:val="0"/>
      <w:marBottom w:val="0"/>
      <w:divBdr>
        <w:top w:val="none" w:sz="0" w:space="0" w:color="auto"/>
        <w:left w:val="none" w:sz="0" w:space="0" w:color="auto"/>
        <w:bottom w:val="none" w:sz="0" w:space="0" w:color="auto"/>
        <w:right w:val="none" w:sz="0" w:space="0" w:color="auto"/>
      </w:divBdr>
    </w:div>
    <w:div w:id="1334457724">
      <w:bodyDiv w:val="1"/>
      <w:marLeft w:val="0"/>
      <w:marRight w:val="0"/>
      <w:marTop w:val="0"/>
      <w:marBottom w:val="0"/>
      <w:divBdr>
        <w:top w:val="none" w:sz="0" w:space="0" w:color="auto"/>
        <w:left w:val="none" w:sz="0" w:space="0" w:color="auto"/>
        <w:bottom w:val="none" w:sz="0" w:space="0" w:color="auto"/>
        <w:right w:val="none" w:sz="0" w:space="0" w:color="auto"/>
      </w:divBdr>
      <w:divsChild>
        <w:div w:id="1216969967">
          <w:marLeft w:val="0"/>
          <w:marRight w:val="0"/>
          <w:marTop w:val="0"/>
          <w:marBottom w:val="0"/>
          <w:divBdr>
            <w:top w:val="none" w:sz="0" w:space="0" w:color="auto"/>
            <w:left w:val="none" w:sz="0" w:space="0" w:color="auto"/>
            <w:bottom w:val="none" w:sz="0" w:space="0" w:color="auto"/>
            <w:right w:val="none" w:sz="0" w:space="0" w:color="auto"/>
          </w:divBdr>
        </w:div>
        <w:div w:id="1250850476">
          <w:marLeft w:val="0"/>
          <w:marRight w:val="0"/>
          <w:marTop w:val="0"/>
          <w:marBottom w:val="0"/>
          <w:divBdr>
            <w:top w:val="none" w:sz="0" w:space="0" w:color="auto"/>
            <w:left w:val="none" w:sz="0" w:space="0" w:color="auto"/>
            <w:bottom w:val="none" w:sz="0" w:space="0" w:color="auto"/>
            <w:right w:val="none" w:sz="0" w:space="0" w:color="auto"/>
          </w:divBdr>
        </w:div>
        <w:div w:id="1532373887">
          <w:marLeft w:val="0"/>
          <w:marRight w:val="0"/>
          <w:marTop w:val="0"/>
          <w:marBottom w:val="0"/>
          <w:divBdr>
            <w:top w:val="none" w:sz="0" w:space="0" w:color="auto"/>
            <w:left w:val="none" w:sz="0" w:space="0" w:color="auto"/>
            <w:bottom w:val="none" w:sz="0" w:space="0" w:color="auto"/>
            <w:right w:val="none" w:sz="0" w:space="0" w:color="auto"/>
          </w:divBdr>
        </w:div>
        <w:div w:id="1728913429">
          <w:marLeft w:val="0"/>
          <w:marRight w:val="0"/>
          <w:marTop w:val="0"/>
          <w:marBottom w:val="0"/>
          <w:divBdr>
            <w:top w:val="none" w:sz="0" w:space="0" w:color="auto"/>
            <w:left w:val="none" w:sz="0" w:space="0" w:color="auto"/>
            <w:bottom w:val="none" w:sz="0" w:space="0" w:color="auto"/>
            <w:right w:val="none" w:sz="0" w:space="0" w:color="auto"/>
          </w:divBdr>
        </w:div>
        <w:div w:id="2030910230">
          <w:marLeft w:val="0"/>
          <w:marRight w:val="0"/>
          <w:marTop w:val="0"/>
          <w:marBottom w:val="0"/>
          <w:divBdr>
            <w:top w:val="none" w:sz="0" w:space="0" w:color="auto"/>
            <w:left w:val="none" w:sz="0" w:space="0" w:color="auto"/>
            <w:bottom w:val="none" w:sz="0" w:space="0" w:color="auto"/>
            <w:right w:val="none" w:sz="0" w:space="0" w:color="auto"/>
          </w:divBdr>
        </w:div>
        <w:div w:id="2085644037">
          <w:marLeft w:val="0"/>
          <w:marRight w:val="0"/>
          <w:marTop w:val="0"/>
          <w:marBottom w:val="0"/>
          <w:divBdr>
            <w:top w:val="none" w:sz="0" w:space="0" w:color="auto"/>
            <w:left w:val="none" w:sz="0" w:space="0" w:color="auto"/>
            <w:bottom w:val="none" w:sz="0" w:space="0" w:color="auto"/>
            <w:right w:val="none" w:sz="0" w:space="0" w:color="auto"/>
          </w:divBdr>
        </w:div>
      </w:divsChild>
    </w:div>
    <w:div w:id="1427964823">
      <w:bodyDiv w:val="1"/>
      <w:marLeft w:val="0"/>
      <w:marRight w:val="0"/>
      <w:marTop w:val="0"/>
      <w:marBottom w:val="0"/>
      <w:divBdr>
        <w:top w:val="none" w:sz="0" w:space="0" w:color="auto"/>
        <w:left w:val="none" w:sz="0" w:space="0" w:color="auto"/>
        <w:bottom w:val="none" w:sz="0" w:space="0" w:color="auto"/>
        <w:right w:val="none" w:sz="0" w:space="0" w:color="auto"/>
      </w:divBdr>
    </w:div>
    <w:div w:id="1656714486">
      <w:bodyDiv w:val="1"/>
      <w:marLeft w:val="0"/>
      <w:marRight w:val="0"/>
      <w:marTop w:val="0"/>
      <w:marBottom w:val="0"/>
      <w:divBdr>
        <w:top w:val="none" w:sz="0" w:space="0" w:color="auto"/>
        <w:left w:val="none" w:sz="0" w:space="0" w:color="auto"/>
        <w:bottom w:val="none" w:sz="0" w:space="0" w:color="auto"/>
        <w:right w:val="none" w:sz="0" w:space="0" w:color="auto"/>
      </w:divBdr>
      <w:divsChild>
        <w:div w:id="941886204">
          <w:marLeft w:val="0"/>
          <w:marRight w:val="0"/>
          <w:marTop w:val="0"/>
          <w:marBottom w:val="0"/>
          <w:divBdr>
            <w:top w:val="none" w:sz="0" w:space="0" w:color="auto"/>
            <w:left w:val="none" w:sz="0" w:space="0" w:color="auto"/>
            <w:bottom w:val="none" w:sz="0" w:space="0" w:color="auto"/>
            <w:right w:val="none" w:sz="0" w:space="0" w:color="auto"/>
          </w:divBdr>
          <w:divsChild>
            <w:div w:id="1429619221">
              <w:marLeft w:val="0"/>
              <w:marRight w:val="0"/>
              <w:marTop w:val="0"/>
              <w:marBottom w:val="0"/>
              <w:divBdr>
                <w:top w:val="none" w:sz="0" w:space="0" w:color="auto"/>
                <w:left w:val="none" w:sz="0" w:space="0" w:color="auto"/>
                <w:bottom w:val="none" w:sz="0" w:space="0" w:color="auto"/>
                <w:right w:val="none" w:sz="0" w:space="0" w:color="auto"/>
              </w:divBdr>
              <w:divsChild>
                <w:div w:id="654070398">
                  <w:marLeft w:val="0"/>
                  <w:marRight w:val="0"/>
                  <w:marTop w:val="0"/>
                  <w:marBottom w:val="0"/>
                  <w:divBdr>
                    <w:top w:val="none" w:sz="0" w:space="0" w:color="auto"/>
                    <w:left w:val="none" w:sz="0" w:space="0" w:color="auto"/>
                    <w:bottom w:val="none" w:sz="0" w:space="0" w:color="auto"/>
                    <w:right w:val="none" w:sz="0" w:space="0" w:color="auto"/>
                  </w:divBdr>
                  <w:divsChild>
                    <w:div w:id="1820464137">
                      <w:marLeft w:val="0"/>
                      <w:marRight w:val="0"/>
                      <w:marTop w:val="0"/>
                      <w:marBottom w:val="0"/>
                      <w:divBdr>
                        <w:top w:val="none" w:sz="0" w:space="0" w:color="auto"/>
                        <w:left w:val="none" w:sz="0" w:space="0" w:color="auto"/>
                        <w:bottom w:val="none" w:sz="0" w:space="0" w:color="auto"/>
                        <w:right w:val="none" w:sz="0" w:space="0" w:color="auto"/>
                      </w:divBdr>
                      <w:divsChild>
                        <w:div w:id="975180784">
                          <w:marLeft w:val="0"/>
                          <w:marRight w:val="0"/>
                          <w:marTop w:val="0"/>
                          <w:marBottom w:val="0"/>
                          <w:divBdr>
                            <w:top w:val="none" w:sz="0" w:space="0" w:color="auto"/>
                            <w:left w:val="none" w:sz="0" w:space="0" w:color="auto"/>
                            <w:bottom w:val="none" w:sz="0" w:space="0" w:color="auto"/>
                            <w:right w:val="none" w:sz="0" w:space="0" w:color="auto"/>
                          </w:divBdr>
                          <w:divsChild>
                            <w:div w:id="11885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92815">
      <w:bodyDiv w:val="1"/>
      <w:marLeft w:val="0"/>
      <w:marRight w:val="0"/>
      <w:marTop w:val="0"/>
      <w:marBottom w:val="0"/>
      <w:divBdr>
        <w:top w:val="none" w:sz="0" w:space="0" w:color="auto"/>
        <w:left w:val="none" w:sz="0" w:space="0" w:color="auto"/>
        <w:bottom w:val="none" w:sz="0" w:space="0" w:color="auto"/>
        <w:right w:val="none" w:sz="0" w:space="0" w:color="auto"/>
      </w:divBdr>
      <w:divsChild>
        <w:div w:id="62603007">
          <w:marLeft w:val="0"/>
          <w:marRight w:val="0"/>
          <w:marTop w:val="0"/>
          <w:marBottom w:val="0"/>
          <w:divBdr>
            <w:top w:val="none" w:sz="0" w:space="0" w:color="auto"/>
            <w:left w:val="none" w:sz="0" w:space="0" w:color="auto"/>
            <w:bottom w:val="none" w:sz="0" w:space="0" w:color="auto"/>
            <w:right w:val="none" w:sz="0" w:space="0" w:color="auto"/>
          </w:divBdr>
        </w:div>
        <w:div w:id="267854173">
          <w:marLeft w:val="0"/>
          <w:marRight w:val="0"/>
          <w:marTop w:val="0"/>
          <w:marBottom w:val="0"/>
          <w:divBdr>
            <w:top w:val="none" w:sz="0" w:space="0" w:color="auto"/>
            <w:left w:val="none" w:sz="0" w:space="0" w:color="auto"/>
            <w:bottom w:val="none" w:sz="0" w:space="0" w:color="auto"/>
            <w:right w:val="none" w:sz="0" w:space="0" w:color="auto"/>
          </w:divBdr>
        </w:div>
        <w:div w:id="633870239">
          <w:marLeft w:val="0"/>
          <w:marRight w:val="0"/>
          <w:marTop w:val="0"/>
          <w:marBottom w:val="0"/>
          <w:divBdr>
            <w:top w:val="none" w:sz="0" w:space="0" w:color="auto"/>
            <w:left w:val="none" w:sz="0" w:space="0" w:color="auto"/>
            <w:bottom w:val="none" w:sz="0" w:space="0" w:color="auto"/>
            <w:right w:val="none" w:sz="0" w:space="0" w:color="auto"/>
          </w:divBdr>
        </w:div>
        <w:div w:id="749236325">
          <w:marLeft w:val="0"/>
          <w:marRight w:val="0"/>
          <w:marTop w:val="0"/>
          <w:marBottom w:val="0"/>
          <w:divBdr>
            <w:top w:val="none" w:sz="0" w:space="0" w:color="auto"/>
            <w:left w:val="none" w:sz="0" w:space="0" w:color="auto"/>
            <w:bottom w:val="none" w:sz="0" w:space="0" w:color="auto"/>
            <w:right w:val="none" w:sz="0" w:space="0" w:color="auto"/>
          </w:divBdr>
        </w:div>
        <w:div w:id="818153641">
          <w:marLeft w:val="0"/>
          <w:marRight w:val="0"/>
          <w:marTop w:val="0"/>
          <w:marBottom w:val="0"/>
          <w:divBdr>
            <w:top w:val="none" w:sz="0" w:space="0" w:color="auto"/>
            <w:left w:val="none" w:sz="0" w:space="0" w:color="auto"/>
            <w:bottom w:val="none" w:sz="0" w:space="0" w:color="auto"/>
            <w:right w:val="none" w:sz="0" w:space="0" w:color="auto"/>
          </w:divBdr>
        </w:div>
        <w:div w:id="1178157877">
          <w:marLeft w:val="0"/>
          <w:marRight w:val="0"/>
          <w:marTop w:val="0"/>
          <w:marBottom w:val="0"/>
          <w:divBdr>
            <w:top w:val="none" w:sz="0" w:space="0" w:color="auto"/>
            <w:left w:val="none" w:sz="0" w:space="0" w:color="auto"/>
            <w:bottom w:val="none" w:sz="0" w:space="0" w:color="auto"/>
            <w:right w:val="none" w:sz="0" w:space="0" w:color="auto"/>
          </w:divBdr>
        </w:div>
        <w:div w:id="1179083036">
          <w:marLeft w:val="0"/>
          <w:marRight w:val="0"/>
          <w:marTop w:val="0"/>
          <w:marBottom w:val="0"/>
          <w:divBdr>
            <w:top w:val="none" w:sz="0" w:space="0" w:color="auto"/>
            <w:left w:val="none" w:sz="0" w:space="0" w:color="auto"/>
            <w:bottom w:val="none" w:sz="0" w:space="0" w:color="auto"/>
            <w:right w:val="none" w:sz="0" w:space="0" w:color="auto"/>
          </w:divBdr>
        </w:div>
        <w:div w:id="1970471133">
          <w:marLeft w:val="0"/>
          <w:marRight w:val="0"/>
          <w:marTop w:val="0"/>
          <w:marBottom w:val="0"/>
          <w:divBdr>
            <w:top w:val="none" w:sz="0" w:space="0" w:color="auto"/>
            <w:left w:val="none" w:sz="0" w:space="0" w:color="auto"/>
            <w:bottom w:val="none" w:sz="0" w:space="0" w:color="auto"/>
            <w:right w:val="none" w:sz="0" w:space="0" w:color="auto"/>
          </w:divBdr>
        </w:div>
      </w:divsChild>
    </w:div>
    <w:div w:id="1824203117">
      <w:bodyDiv w:val="1"/>
      <w:marLeft w:val="0"/>
      <w:marRight w:val="0"/>
      <w:marTop w:val="0"/>
      <w:marBottom w:val="0"/>
      <w:divBdr>
        <w:top w:val="none" w:sz="0" w:space="0" w:color="auto"/>
        <w:left w:val="none" w:sz="0" w:space="0" w:color="auto"/>
        <w:bottom w:val="none" w:sz="0" w:space="0" w:color="auto"/>
        <w:right w:val="none" w:sz="0" w:space="0" w:color="auto"/>
      </w:divBdr>
      <w:divsChild>
        <w:div w:id="713434214">
          <w:marLeft w:val="0"/>
          <w:marRight w:val="0"/>
          <w:marTop w:val="0"/>
          <w:marBottom w:val="0"/>
          <w:divBdr>
            <w:top w:val="none" w:sz="0" w:space="0" w:color="auto"/>
            <w:left w:val="none" w:sz="0" w:space="0" w:color="auto"/>
            <w:bottom w:val="none" w:sz="0" w:space="0" w:color="auto"/>
            <w:right w:val="none" w:sz="0" w:space="0" w:color="auto"/>
          </w:divBdr>
          <w:divsChild>
            <w:div w:id="921305212">
              <w:marLeft w:val="0"/>
              <w:marRight w:val="0"/>
              <w:marTop w:val="0"/>
              <w:marBottom w:val="0"/>
              <w:divBdr>
                <w:top w:val="none" w:sz="0" w:space="0" w:color="auto"/>
                <w:left w:val="none" w:sz="0" w:space="0" w:color="auto"/>
                <w:bottom w:val="none" w:sz="0" w:space="0" w:color="auto"/>
                <w:right w:val="none" w:sz="0" w:space="0" w:color="auto"/>
              </w:divBdr>
              <w:divsChild>
                <w:div w:id="12189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50793">
      <w:bodyDiv w:val="1"/>
      <w:marLeft w:val="0"/>
      <w:marRight w:val="0"/>
      <w:marTop w:val="0"/>
      <w:marBottom w:val="0"/>
      <w:divBdr>
        <w:top w:val="none" w:sz="0" w:space="0" w:color="auto"/>
        <w:left w:val="none" w:sz="0" w:space="0" w:color="auto"/>
        <w:bottom w:val="none" w:sz="0" w:space="0" w:color="auto"/>
        <w:right w:val="none" w:sz="0" w:space="0" w:color="auto"/>
      </w:divBdr>
    </w:div>
    <w:div w:id="2054422533">
      <w:bodyDiv w:val="1"/>
      <w:marLeft w:val="0"/>
      <w:marRight w:val="0"/>
      <w:marTop w:val="0"/>
      <w:marBottom w:val="0"/>
      <w:divBdr>
        <w:top w:val="none" w:sz="0" w:space="0" w:color="auto"/>
        <w:left w:val="none" w:sz="0" w:space="0" w:color="auto"/>
        <w:bottom w:val="none" w:sz="0" w:space="0" w:color="auto"/>
        <w:right w:val="none" w:sz="0" w:space="0" w:color="auto"/>
      </w:divBdr>
      <w:divsChild>
        <w:div w:id="638921087">
          <w:marLeft w:val="0"/>
          <w:marRight w:val="0"/>
          <w:marTop w:val="0"/>
          <w:marBottom w:val="0"/>
          <w:divBdr>
            <w:top w:val="none" w:sz="0" w:space="0" w:color="auto"/>
            <w:left w:val="none" w:sz="0" w:space="0" w:color="auto"/>
            <w:bottom w:val="none" w:sz="0" w:space="0" w:color="auto"/>
            <w:right w:val="none" w:sz="0" w:space="0" w:color="auto"/>
          </w:divBdr>
          <w:divsChild>
            <w:div w:id="308752819">
              <w:marLeft w:val="0"/>
              <w:marRight w:val="0"/>
              <w:marTop w:val="0"/>
              <w:marBottom w:val="0"/>
              <w:divBdr>
                <w:top w:val="none" w:sz="0" w:space="0" w:color="auto"/>
                <w:left w:val="none" w:sz="0" w:space="0" w:color="auto"/>
                <w:bottom w:val="none" w:sz="0" w:space="0" w:color="auto"/>
                <w:right w:val="none" w:sz="0" w:space="0" w:color="auto"/>
              </w:divBdr>
            </w:div>
            <w:div w:id="6449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7736">
      <w:bodyDiv w:val="1"/>
      <w:marLeft w:val="0"/>
      <w:marRight w:val="0"/>
      <w:marTop w:val="0"/>
      <w:marBottom w:val="0"/>
      <w:divBdr>
        <w:top w:val="single" w:sz="48" w:space="0" w:color="F3F3F3"/>
        <w:left w:val="none" w:sz="0" w:space="0" w:color="auto"/>
        <w:bottom w:val="none" w:sz="0" w:space="0" w:color="auto"/>
        <w:right w:val="none" w:sz="0" w:space="0" w:color="auto"/>
      </w:divBdr>
      <w:divsChild>
        <w:div w:id="516120339">
          <w:marLeft w:val="0"/>
          <w:marRight w:val="0"/>
          <w:marTop w:val="0"/>
          <w:marBottom w:val="0"/>
          <w:divBdr>
            <w:top w:val="none" w:sz="0" w:space="0" w:color="auto"/>
            <w:left w:val="none" w:sz="0" w:space="0" w:color="auto"/>
            <w:bottom w:val="none" w:sz="0" w:space="0" w:color="auto"/>
            <w:right w:val="none" w:sz="0" w:space="0" w:color="auto"/>
          </w:divBdr>
          <w:divsChild>
            <w:div w:id="654070020">
              <w:marLeft w:val="0"/>
              <w:marRight w:val="0"/>
              <w:marTop w:val="0"/>
              <w:marBottom w:val="0"/>
              <w:divBdr>
                <w:top w:val="single" w:sz="2" w:space="0" w:color="19334D"/>
                <w:left w:val="single" w:sz="6" w:space="0" w:color="EEEEEE"/>
                <w:bottom w:val="single" w:sz="6" w:space="0" w:color="EEEEEE"/>
                <w:right w:val="single" w:sz="6" w:space="0" w:color="EEEEEE"/>
              </w:divBdr>
              <w:divsChild>
                <w:div w:id="24451391">
                  <w:marLeft w:val="0"/>
                  <w:marRight w:val="0"/>
                  <w:marTop w:val="150"/>
                  <w:marBottom w:val="450"/>
                  <w:divBdr>
                    <w:top w:val="none" w:sz="0" w:space="0" w:color="auto"/>
                    <w:left w:val="none" w:sz="0" w:space="0" w:color="auto"/>
                    <w:bottom w:val="none" w:sz="0" w:space="0" w:color="auto"/>
                    <w:right w:val="none" w:sz="0" w:space="0" w:color="auto"/>
                  </w:divBdr>
                  <w:divsChild>
                    <w:div w:id="815993944">
                      <w:marLeft w:val="0"/>
                      <w:marRight w:val="0"/>
                      <w:marTop w:val="0"/>
                      <w:marBottom w:val="0"/>
                      <w:divBdr>
                        <w:top w:val="none" w:sz="0" w:space="0" w:color="auto"/>
                        <w:left w:val="none" w:sz="0" w:space="0" w:color="auto"/>
                        <w:bottom w:val="none" w:sz="0" w:space="0" w:color="auto"/>
                        <w:right w:val="none" w:sz="0" w:space="0" w:color="auto"/>
                      </w:divBdr>
                      <w:divsChild>
                        <w:div w:id="1201014002">
                          <w:marLeft w:val="0"/>
                          <w:marRight w:val="0"/>
                          <w:marTop w:val="0"/>
                          <w:marBottom w:val="0"/>
                          <w:divBdr>
                            <w:top w:val="none" w:sz="0" w:space="0" w:color="auto"/>
                            <w:left w:val="none" w:sz="0" w:space="0" w:color="auto"/>
                            <w:bottom w:val="none" w:sz="0" w:space="0" w:color="auto"/>
                            <w:right w:val="none" w:sz="0" w:space="0" w:color="auto"/>
                          </w:divBdr>
                          <w:divsChild>
                            <w:div w:id="91240934">
                              <w:marLeft w:val="0"/>
                              <w:marRight w:val="0"/>
                              <w:marTop w:val="0"/>
                              <w:marBottom w:val="0"/>
                              <w:divBdr>
                                <w:top w:val="single" w:sz="48" w:space="9" w:color="19334D"/>
                                <w:left w:val="none" w:sz="0" w:space="0" w:color="auto"/>
                                <w:bottom w:val="none" w:sz="0" w:space="0" w:color="auto"/>
                                <w:right w:val="none" w:sz="0" w:space="0" w:color="auto"/>
                              </w:divBdr>
                              <w:divsChild>
                                <w:div w:id="483399525">
                                  <w:marLeft w:val="0"/>
                                  <w:marRight w:val="0"/>
                                  <w:marTop w:val="0"/>
                                  <w:marBottom w:val="0"/>
                                  <w:divBdr>
                                    <w:top w:val="none" w:sz="0" w:space="0" w:color="auto"/>
                                    <w:left w:val="none" w:sz="0" w:space="0" w:color="auto"/>
                                    <w:bottom w:val="none" w:sz="0" w:space="0" w:color="auto"/>
                                    <w:right w:val="none" w:sz="0" w:space="0" w:color="auto"/>
                                  </w:divBdr>
                                  <w:divsChild>
                                    <w:div w:id="15433204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1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cd2migration.att.com/" TargetMode="External"/><Relationship Id="rId13" Type="http://schemas.openxmlformats.org/officeDocument/2006/relationships/hyperlink" Target="http://factfinder.census.gov/servlet/IBQTable?_bm=y&amp;-fds_name=EC0700A1&amp;-geo_id=&amp;-_skip=600&amp;-ds_name=EC0751SSSZ5&amp;-_lang=en" TargetMode="External"/><Relationship Id="rId3" Type="http://schemas.openxmlformats.org/officeDocument/2006/relationships/hyperlink" Target="http://www.dalecurtiscommunications.com/pdfs/DCC-FANNY-911.pdf" TargetMode="External"/><Relationship Id="rId7" Type="http://schemas.openxmlformats.org/officeDocument/2006/relationships/hyperlink" Target="http://web2.westlaw.com/find/default.wl?mt=Communications&amp;db=4493&amp;rs=WLW14.04&amp;tc=-1&amp;rp=%2ffind%2fdefault.wl&amp;findtype=Y&amp;ordoc=2015795695&amp;serialnum=2002266451&amp;vr=2.0&amp;fn=_top&amp;sv=Split&amp;tf=-1&amp;referencepositiontype=S&amp;pbc=E577D822&amp;referenceposition=8489&amp;utid=1" TargetMode="External"/><Relationship Id="rId12" Type="http://schemas.openxmlformats.org/officeDocument/2006/relationships/hyperlink" Target="http://factfinder.census.gov/servlet/IBQTable?_bm=y&amp;-fds_name=EC0700A1&amp;-geo_id=&amp;-_skip=600&amp;-ds_name=EC0751SSSZ5&amp;-_lang=en" TargetMode="External"/><Relationship Id="rId2" Type="http://schemas.openxmlformats.org/officeDocument/2006/relationships/hyperlink" Target="http://www.tennessean.com/story/news/local/2014/03/05/child-ties-up-dispatchers-with-162-plus-911-calls-on-tuesday-and-wednesday/6103557/" TargetMode="External"/><Relationship Id="rId1" Type="http://schemas.openxmlformats.org/officeDocument/2006/relationships/hyperlink" Target="http://online.wsj.com/news/articles/SB10001424052702303847804579477411606975716" TargetMode="External"/><Relationship Id="rId6" Type="http://schemas.openxmlformats.org/officeDocument/2006/relationships/hyperlink" Target="http://www.quandl.com/BLS/CUUR0000SEED03-Consumer-Price-Index-CPI-All-Urban-Consumers-Wireless-telephone-services-4-T-326-U-S-city-average" TargetMode="External"/><Relationship Id="rId11" Type="http://schemas.openxmlformats.org/officeDocument/2006/relationships/hyperlink" Target="http://www.census.gov/epcd/naics02/def/NDEF517.HTM" TargetMode="External"/><Relationship Id="rId5" Type="http://schemas.openxmlformats.org/officeDocument/2006/relationships/hyperlink" Target="http://www.dillonheraldonline.com/2010/05/05/local-9-1-1-officials-concerned-about-non-initialized-cell-calls/" TargetMode="External"/><Relationship Id="rId10" Type="http://schemas.openxmlformats.org/officeDocument/2006/relationships/hyperlink" Target="http://www.census.gov/epcd/naics02/def/NDEF517.HTM" TargetMode="External"/><Relationship Id="rId4" Type="http://schemas.openxmlformats.org/officeDocument/2006/relationships/hyperlink" Target="http://www.laobserved.com/archive/2011/02/chp_busts_man_for_making.php" TargetMode="External"/><Relationship Id="rId9" Type="http://schemas.openxmlformats.org/officeDocument/2006/relationships/hyperlink" Target="http://www.census.gov/naics/2007/def/ND5172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13173</Words>
  <Characters>71618</Characters>
  <Application>Microsoft Office Word</Application>
  <DocSecurity>0</DocSecurity>
  <Lines>1034</Lines>
  <Paragraphs>237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85309</CharactersWithSpaces>
  <SharedDoc>false</SharedDoc>
  <HyperlinkBase> </HyperlinkBase>
  <HLinks>
    <vt:vector size="246" baseType="variant">
      <vt:variant>
        <vt:i4>3473482</vt:i4>
      </vt:variant>
      <vt:variant>
        <vt:i4>162</vt:i4>
      </vt:variant>
      <vt:variant>
        <vt:i4>0</vt:i4>
      </vt:variant>
      <vt:variant>
        <vt:i4>5</vt:i4>
      </vt:variant>
      <vt:variant>
        <vt:lpwstr>mailto:fcc504@fcc.gov</vt:lpwstr>
      </vt:variant>
      <vt:variant>
        <vt:lpwstr/>
      </vt:variant>
      <vt:variant>
        <vt:i4>7929897</vt:i4>
      </vt:variant>
      <vt:variant>
        <vt:i4>159</vt:i4>
      </vt:variant>
      <vt:variant>
        <vt:i4>0</vt:i4>
      </vt:variant>
      <vt:variant>
        <vt:i4>5</vt:i4>
      </vt:variant>
      <vt:variant>
        <vt:lpwstr>http://fjallfoss.fcc.gov/ecfs2/</vt:lpwstr>
      </vt:variant>
      <vt:variant>
        <vt:lpwstr/>
      </vt:variant>
      <vt:variant>
        <vt:i4>1769534</vt:i4>
      </vt:variant>
      <vt:variant>
        <vt:i4>152</vt:i4>
      </vt:variant>
      <vt:variant>
        <vt:i4>0</vt:i4>
      </vt:variant>
      <vt:variant>
        <vt:i4>5</vt:i4>
      </vt:variant>
      <vt:variant>
        <vt:lpwstr/>
      </vt:variant>
      <vt:variant>
        <vt:lpwstr>_Toc389548095</vt:lpwstr>
      </vt:variant>
      <vt:variant>
        <vt:i4>1769534</vt:i4>
      </vt:variant>
      <vt:variant>
        <vt:i4>146</vt:i4>
      </vt:variant>
      <vt:variant>
        <vt:i4>0</vt:i4>
      </vt:variant>
      <vt:variant>
        <vt:i4>5</vt:i4>
      </vt:variant>
      <vt:variant>
        <vt:lpwstr/>
      </vt:variant>
      <vt:variant>
        <vt:lpwstr>_Toc389548094</vt:lpwstr>
      </vt:variant>
      <vt:variant>
        <vt:i4>1769534</vt:i4>
      </vt:variant>
      <vt:variant>
        <vt:i4>140</vt:i4>
      </vt:variant>
      <vt:variant>
        <vt:i4>0</vt:i4>
      </vt:variant>
      <vt:variant>
        <vt:i4>5</vt:i4>
      </vt:variant>
      <vt:variant>
        <vt:lpwstr/>
      </vt:variant>
      <vt:variant>
        <vt:lpwstr>_Toc389548093</vt:lpwstr>
      </vt:variant>
      <vt:variant>
        <vt:i4>1769534</vt:i4>
      </vt:variant>
      <vt:variant>
        <vt:i4>134</vt:i4>
      </vt:variant>
      <vt:variant>
        <vt:i4>0</vt:i4>
      </vt:variant>
      <vt:variant>
        <vt:i4>5</vt:i4>
      </vt:variant>
      <vt:variant>
        <vt:lpwstr/>
      </vt:variant>
      <vt:variant>
        <vt:lpwstr>_Toc389548092</vt:lpwstr>
      </vt:variant>
      <vt:variant>
        <vt:i4>1769534</vt:i4>
      </vt:variant>
      <vt:variant>
        <vt:i4>128</vt:i4>
      </vt:variant>
      <vt:variant>
        <vt:i4>0</vt:i4>
      </vt:variant>
      <vt:variant>
        <vt:i4>5</vt:i4>
      </vt:variant>
      <vt:variant>
        <vt:lpwstr/>
      </vt:variant>
      <vt:variant>
        <vt:lpwstr>_Toc389548091</vt:lpwstr>
      </vt:variant>
      <vt:variant>
        <vt:i4>1769534</vt:i4>
      </vt:variant>
      <vt:variant>
        <vt:i4>122</vt:i4>
      </vt:variant>
      <vt:variant>
        <vt:i4>0</vt:i4>
      </vt:variant>
      <vt:variant>
        <vt:i4>5</vt:i4>
      </vt:variant>
      <vt:variant>
        <vt:lpwstr/>
      </vt:variant>
      <vt:variant>
        <vt:lpwstr>_Toc389548090</vt:lpwstr>
      </vt:variant>
      <vt:variant>
        <vt:i4>1703998</vt:i4>
      </vt:variant>
      <vt:variant>
        <vt:i4>116</vt:i4>
      </vt:variant>
      <vt:variant>
        <vt:i4>0</vt:i4>
      </vt:variant>
      <vt:variant>
        <vt:i4>5</vt:i4>
      </vt:variant>
      <vt:variant>
        <vt:lpwstr/>
      </vt:variant>
      <vt:variant>
        <vt:lpwstr>_Toc389548089</vt:lpwstr>
      </vt:variant>
      <vt:variant>
        <vt:i4>1703998</vt:i4>
      </vt:variant>
      <vt:variant>
        <vt:i4>110</vt:i4>
      </vt:variant>
      <vt:variant>
        <vt:i4>0</vt:i4>
      </vt:variant>
      <vt:variant>
        <vt:i4>5</vt:i4>
      </vt:variant>
      <vt:variant>
        <vt:lpwstr/>
      </vt:variant>
      <vt:variant>
        <vt:lpwstr>_Toc389548088</vt:lpwstr>
      </vt:variant>
      <vt:variant>
        <vt:i4>1703998</vt:i4>
      </vt:variant>
      <vt:variant>
        <vt:i4>104</vt:i4>
      </vt:variant>
      <vt:variant>
        <vt:i4>0</vt:i4>
      </vt:variant>
      <vt:variant>
        <vt:i4>5</vt:i4>
      </vt:variant>
      <vt:variant>
        <vt:lpwstr/>
      </vt:variant>
      <vt:variant>
        <vt:lpwstr>_Toc389548087</vt:lpwstr>
      </vt:variant>
      <vt:variant>
        <vt:i4>1703998</vt:i4>
      </vt:variant>
      <vt:variant>
        <vt:i4>98</vt:i4>
      </vt:variant>
      <vt:variant>
        <vt:i4>0</vt:i4>
      </vt:variant>
      <vt:variant>
        <vt:i4>5</vt:i4>
      </vt:variant>
      <vt:variant>
        <vt:lpwstr/>
      </vt:variant>
      <vt:variant>
        <vt:lpwstr>_Toc389548086</vt:lpwstr>
      </vt:variant>
      <vt:variant>
        <vt:i4>1703998</vt:i4>
      </vt:variant>
      <vt:variant>
        <vt:i4>92</vt:i4>
      </vt:variant>
      <vt:variant>
        <vt:i4>0</vt:i4>
      </vt:variant>
      <vt:variant>
        <vt:i4>5</vt:i4>
      </vt:variant>
      <vt:variant>
        <vt:lpwstr/>
      </vt:variant>
      <vt:variant>
        <vt:lpwstr>_Toc389548085</vt:lpwstr>
      </vt:variant>
      <vt:variant>
        <vt:i4>1703998</vt:i4>
      </vt:variant>
      <vt:variant>
        <vt:i4>86</vt:i4>
      </vt:variant>
      <vt:variant>
        <vt:i4>0</vt:i4>
      </vt:variant>
      <vt:variant>
        <vt:i4>5</vt:i4>
      </vt:variant>
      <vt:variant>
        <vt:lpwstr/>
      </vt:variant>
      <vt:variant>
        <vt:lpwstr>_Toc389548084</vt:lpwstr>
      </vt:variant>
      <vt:variant>
        <vt:i4>1703998</vt:i4>
      </vt:variant>
      <vt:variant>
        <vt:i4>80</vt:i4>
      </vt:variant>
      <vt:variant>
        <vt:i4>0</vt:i4>
      </vt:variant>
      <vt:variant>
        <vt:i4>5</vt:i4>
      </vt:variant>
      <vt:variant>
        <vt:lpwstr/>
      </vt:variant>
      <vt:variant>
        <vt:lpwstr>_Toc389548083</vt:lpwstr>
      </vt:variant>
      <vt:variant>
        <vt:i4>1703998</vt:i4>
      </vt:variant>
      <vt:variant>
        <vt:i4>74</vt:i4>
      </vt:variant>
      <vt:variant>
        <vt:i4>0</vt:i4>
      </vt:variant>
      <vt:variant>
        <vt:i4>5</vt:i4>
      </vt:variant>
      <vt:variant>
        <vt:lpwstr/>
      </vt:variant>
      <vt:variant>
        <vt:lpwstr>_Toc389548082</vt:lpwstr>
      </vt:variant>
      <vt:variant>
        <vt:i4>1703998</vt:i4>
      </vt:variant>
      <vt:variant>
        <vt:i4>68</vt:i4>
      </vt:variant>
      <vt:variant>
        <vt:i4>0</vt:i4>
      </vt:variant>
      <vt:variant>
        <vt:i4>5</vt:i4>
      </vt:variant>
      <vt:variant>
        <vt:lpwstr/>
      </vt:variant>
      <vt:variant>
        <vt:lpwstr>_Toc389548081</vt:lpwstr>
      </vt:variant>
      <vt:variant>
        <vt:i4>1703998</vt:i4>
      </vt:variant>
      <vt:variant>
        <vt:i4>62</vt:i4>
      </vt:variant>
      <vt:variant>
        <vt:i4>0</vt:i4>
      </vt:variant>
      <vt:variant>
        <vt:i4>5</vt:i4>
      </vt:variant>
      <vt:variant>
        <vt:lpwstr/>
      </vt:variant>
      <vt:variant>
        <vt:lpwstr>_Toc389548080</vt:lpwstr>
      </vt:variant>
      <vt:variant>
        <vt:i4>1376318</vt:i4>
      </vt:variant>
      <vt:variant>
        <vt:i4>56</vt:i4>
      </vt:variant>
      <vt:variant>
        <vt:i4>0</vt:i4>
      </vt:variant>
      <vt:variant>
        <vt:i4>5</vt:i4>
      </vt:variant>
      <vt:variant>
        <vt:lpwstr/>
      </vt:variant>
      <vt:variant>
        <vt:lpwstr>_Toc389548079</vt:lpwstr>
      </vt:variant>
      <vt:variant>
        <vt:i4>1376318</vt:i4>
      </vt:variant>
      <vt:variant>
        <vt:i4>50</vt:i4>
      </vt:variant>
      <vt:variant>
        <vt:i4>0</vt:i4>
      </vt:variant>
      <vt:variant>
        <vt:i4>5</vt:i4>
      </vt:variant>
      <vt:variant>
        <vt:lpwstr/>
      </vt:variant>
      <vt:variant>
        <vt:lpwstr>_Toc389548078</vt:lpwstr>
      </vt:variant>
      <vt:variant>
        <vt:i4>1376318</vt:i4>
      </vt:variant>
      <vt:variant>
        <vt:i4>44</vt:i4>
      </vt:variant>
      <vt:variant>
        <vt:i4>0</vt:i4>
      </vt:variant>
      <vt:variant>
        <vt:i4>5</vt:i4>
      </vt:variant>
      <vt:variant>
        <vt:lpwstr/>
      </vt:variant>
      <vt:variant>
        <vt:lpwstr>_Toc389548077</vt:lpwstr>
      </vt:variant>
      <vt:variant>
        <vt:i4>1376318</vt:i4>
      </vt:variant>
      <vt:variant>
        <vt:i4>38</vt:i4>
      </vt:variant>
      <vt:variant>
        <vt:i4>0</vt:i4>
      </vt:variant>
      <vt:variant>
        <vt:i4>5</vt:i4>
      </vt:variant>
      <vt:variant>
        <vt:lpwstr/>
      </vt:variant>
      <vt:variant>
        <vt:lpwstr>_Toc389548076</vt:lpwstr>
      </vt:variant>
      <vt:variant>
        <vt:i4>1376318</vt:i4>
      </vt:variant>
      <vt:variant>
        <vt:i4>32</vt:i4>
      </vt:variant>
      <vt:variant>
        <vt:i4>0</vt:i4>
      </vt:variant>
      <vt:variant>
        <vt:i4>5</vt:i4>
      </vt:variant>
      <vt:variant>
        <vt:lpwstr/>
      </vt:variant>
      <vt:variant>
        <vt:lpwstr>_Toc389548075</vt:lpwstr>
      </vt:variant>
      <vt:variant>
        <vt:i4>1376318</vt:i4>
      </vt:variant>
      <vt:variant>
        <vt:i4>26</vt:i4>
      </vt:variant>
      <vt:variant>
        <vt:i4>0</vt:i4>
      </vt:variant>
      <vt:variant>
        <vt:i4>5</vt:i4>
      </vt:variant>
      <vt:variant>
        <vt:lpwstr/>
      </vt:variant>
      <vt:variant>
        <vt:lpwstr>_Toc389548074</vt:lpwstr>
      </vt:variant>
      <vt:variant>
        <vt:i4>1376318</vt:i4>
      </vt:variant>
      <vt:variant>
        <vt:i4>20</vt:i4>
      </vt:variant>
      <vt:variant>
        <vt:i4>0</vt:i4>
      </vt:variant>
      <vt:variant>
        <vt:i4>5</vt:i4>
      </vt:variant>
      <vt:variant>
        <vt:lpwstr/>
      </vt:variant>
      <vt:variant>
        <vt:lpwstr>_Toc389548073</vt:lpwstr>
      </vt:variant>
      <vt:variant>
        <vt:i4>1376318</vt:i4>
      </vt:variant>
      <vt:variant>
        <vt:i4>14</vt:i4>
      </vt:variant>
      <vt:variant>
        <vt:i4>0</vt:i4>
      </vt:variant>
      <vt:variant>
        <vt:i4>5</vt:i4>
      </vt:variant>
      <vt:variant>
        <vt:lpwstr/>
      </vt:variant>
      <vt:variant>
        <vt:lpwstr>_Toc389548072</vt:lpwstr>
      </vt:variant>
      <vt:variant>
        <vt:i4>1376318</vt:i4>
      </vt:variant>
      <vt:variant>
        <vt:i4>8</vt:i4>
      </vt:variant>
      <vt:variant>
        <vt:i4>0</vt:i4>
      </vt:variant>
      <vt:variant>
        <vt:i4>5</vt:i4>
      </vt:variant>
      <vt:variant>
        <vt:lpwstr/>
      </vt:variant>
      <vt:variant>
        <vt:lpwstr>_Toc389548071</vt:lpwstr>
      </vt:variant>
      <vt:variant>
        <vt:i4>1376318</vt:i4>
      </vt:variant>
      <vt:variant>
        <vt:i4>2</vt:i4>
      </vt:variant>
      <vt:variant>
        <vt:i4>0</vt:i4>
      </vt:variant>
      <vt:variant>
        <vt:i4>5</vt:i4>
      </vt:variant>
      <vt:variant>
        <vt:lpwstr/>
      </vt:variant>
      <vt:variant>
        <vt:lpwstr>_Toc389548070</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2883710</vt:i4>
      </vt:variant>
      <vt:variant>
        <vt:i4>33</vt:i4>
      </vt:variant>
      <vt:variant>
        <vt:i4>0</vt:i4>
      </vt:variant>
      <vt:variant>
        <vt:i4>5</vt:i4>
      </vt:variant>
      <vt:variant>
        <vt:lpwstr>http://factfinder.census.gov/servlet/IBQTable?_bm=y&amp;-fds_name=EC0700A1&amp;-geo_id=&amp;-_skip=600&amp;-ds_name=EC0751SSSZ5&amp;-_lang=en</vt:lpwstr>
      </vt:variant>
      <vt:variant>
        <vt:lpwstr/>
      </vt:variant>
      <vt:variant>
        <vt:i4>6357043</vt:i4>
      </vt:variant>
      <vt:variant>
        <vt:i4>30</vt:i4>
      </vt:variant>
      <vt:variant>
        <vt:i4>0</vt:i4>
      </vt:variant>
      <vt:variant>
        <vt:i4>5</vt:i4>
      </vt:variant>
      <vt:variant>
        <vt:lpwstr>http://www.census.gov/epcd/naics02/def/NDEF517.HTM</vt:lpwstr>
      </vt:variant>
      <vt:variant>
        <vt:lpwstr/>
      </vt:variant>
      <vt:variant>
        <vt:i4>6357043</vt:i4>
      </vt:variant>
      <vt:variant>
        <vt:i4>27</vt:i4>
      </vt:variant>
      <vt:variant>
        <vt:i4>0</vt:i4>
      </vt:variant>
      <vt:variant>
        <vt:i4>5</vt:i4>
      </vt:variant>
      <vt:variant>
        <vt:lpwstr>http://www.census.gov/epcd/naics02/def/NDEF517.HTM</vt:lpwstr>
      </vt:variant>
      <vt:variant>
        <vt:lpwstr/>
      </vt:variant>
      <vt:variant>
        <vt:i4>2162789</vt:i4>
      </vt:variant>
      <vt:variant>
        <vt:i4>24</vt:i4>
      </vt:variant>
      <vt:variant>
        <vt:i4>0</vt:i4>
      </vt:variant>
      <vt:variant>
        <vt:i4>5</vt:i4>
      </vt:variant>
      <vt:variant>
        <vt:lpwstr>http://www.census.gov/naics/2007/def/ND517210.HTM</vt:lpwstr>
      </vt:variant>
      <vt:variant>
        <vt:lpwstr>N517210</vt:lpwstr>
      </vt:variant>
      <vt:variant>
        <vt:i4>6684757</vt:i4>
      </vt:variant>
      <vt:variant>
        <vt:i4>21</vt:i4>
      </vt:variant>
      <vt:variant>
        <vt:i4>0</vt:i4>
      </vt:variant>
      <vt:variant>
        <vt:i4>5</vt:i4>
      </vt:variant>
      <vt:variant>
        <vt:lpwstr>http://www.nena.org/sites/default/files/03-504_20051020.pdf</vt:lpwstr>
      </vt:variant>
      <vt:variant>
        <vt:lpwstr/>
      </vt:variant>
      <vt:variant>
        <vt:i4>6684757</vt:i4>
      </vt:variant>
      <vt:variant>
        <vt:i4>18</vt:i4>
      </vt:variant>
      <vt:variant>
        <vt:i4>0</vt:i4>
      </vt:variant>
      <vt:variant>
        <vt:i4>5</vt:i4>
      </vt:variant>
      <vt:variant>
        <vt:lpwstr>http://www.nena.org/sites/default/files/03-504_20051020.pdf</vt:lpwstr>
      </vt:variant>
      <vt:variant>
        <vt:lpwstr/>
      </vt:variant>
      <vt:variant>
        <vt:i4>2359302</vt:i4>
      </vt:variant>
      <vt:variant>
        <vt:i4>15</vt:i4>
      </vt:variant>
      <vt:variant>
        <vt:i4>0</vt:i4>
      </vt:variant>
      <vt:variant>
        <vt:i4>5</vt:i4>
      </vt:variant>
      <vt:variant>
        <vt:lpwstr>http://web2.westlaw.com/find/default.wl?mt=Communications&amp;db=4493&amp;rs=WLW14.04&amp;tc=-1&amp;rp=%2ffind%2fdefault.wl&amp;findtype=Y&amp;ordoc=2015795695&amp;serialnum=2002266451&amp;vr=2.0&amp;fn=_top&amp;sv=Split&amp;tf=-1&amp;referencepositiontype=S&amp;pbc=E577D822&amp;referenceposition=8489&amp;utid=1</vt:lpwstr>
      </vt:variant>
      <vt:variant>
        <vt:lpwstr/>
      </vt:variant>
      <vt:variant>
        <vt:i4>3276921</vt:i4>
      </vt:variant>
      <vt:variant>
        <vt:i4>12</vt:i4>
      </vt:variant>
      <vt:variant>
        <vt:i4>0</vt:i4>
      </vt:variant>
      <vt:variant>
        <vt:i4>5</vt:i4>
      </vt:variant>
      <vt:variant>
        <vt:lpwstr>http://www.dillonheraldonline.com/2010/05/05/local-9-1-1-officials-concerned-about-non-initialized-cell-calls/</vt:lpwstr>
      </vt:variant>
      <vt:variant>
        <vt:lpwstr/>
      </vt:variant>
      <vt:variant>
        <vt:i4>7798898</vt:i4>
      </vt:variant>
      <vt:variant>
        <vt:i4>9</vt:i4>
      </vt:variant>
      <vt:variant>
        <vt:i4>0</vt:i4>
      </vt:variant>
      <vt:variant>
        <vt:i4>5</vt:i4>
      </vt:variant>
      <vt:variant>
        <vt:lpwstr>http://www.laobserved.com/archive/2011/02/chp_busts_man_for_making.php</vt:lpwstr>
      </vt:variant>
      <vt:variant>
        <vt:lpwstr/>
      </vt:variant>
      <vt:variant>
        <vt:i4>4063329</vt:i4>
      </vt:variant>
      <vt:variant>
        <vt:i4>6</vt:i4>
      </vt:variant>
      <vt:variant>
        <vt:i4>0</vt:i4>
      </vt:variant>
      <vt:variant>
        <vt:i4>5</vt:i4>
      </vt:variant>
      <vt:variant>
        <vt:lpwstr>http://www.dalecurtiscommunications.com/pdfs/DCC-FANNY-911.pdf</vt:lpwstr>
      </vt:variant>
      <vt:variant>
        <vt:lpwstr/>
      </vt:variant>
      <vt:variant>
        <vt:i4>5963844</vt:i4>
      </vt:variant>
      <vt:variant>
        <vt:i4>3</vt:i4>
      </vt:variant>
      <vt:variant>
        <vt:i4>0</vt:i4>
      </vt:variant>
      <vt:variant>
        <vt:i4>5</vt:i4>
      </vt:variant>
      <vt:variant>
        <vt:lpwstr>http://www.tennessean.com/story/news/local/2014/03/05/child-ties-up-dispatchers-with-162-plus-911-calls-on-tuesday-and-wednesday/6103557/</vt:lpwstr>
      </vt:variant>
      <vt:variant>
        <vt:lpwstr/>
      </vt:variant>
      <vt:variant>
        <vt:i4>3211316</vt:i4>
      </vt:variant>
      <vt:variant>
        <vt:i4>0</vt:i4>
      </vt:variant>
      <vt:variant>
        <vt:i4>0</vt:i4>
      </vt:variant>
      <vt:variant>
        <vt:i4>5</vt:i4>
      </vt:variant>
      <vt:variant>
        <vt:lpwstr>http://online.wsj.com/news/articles/SB10001424052702303847804579477411606975716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2012-01-31T18:52:00Z</cp:lastPrinted>
  <dcterms:created xsi:type="dcterms:W3CDTF">2015-04-01T21:11:00Z</dcterms:created>
  <dcterms:modified xsi:type="dcterms:W3CDTF">2015-04-01T21:11:00Z</dcterms:modified>
  <cp:category> </cp:category>
  <cp:contentStatus> </cp:contentStatus>
</cp:coreProperties>
</file>