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F626E" w:rsidRDefault="00921803" w:rsidP="002F626E">
      <w:pPr>
        <w:pStyle w:val="StyleBoldCentered"/>
      </w:pPr>
      <w:r>
        <w:t>F</w:t>
      </w:r>
      <w:r>
        <w:rPr>
          <w:caps w:val="0"/>
        </w:rPr>
        <w:t>ederal Communications Commission</w:t>
      </w:r>
    </w:p>
    <w:p w:rsidR="004C2EE3" w:rsidRDefault="002F626E" w:rsidP="002F626E">
      <w:pPr>
        <w:pStyle w:val="StyleBoldCentered"/>
      </w:pPr>
      <w:r>
        <w:rPr>
          <w:caps w:val="0"/>
        </w:rPr>
        <w:t>Washington</w:t>
      </w:r>
      <w:r w:rsidR="004C2EE3">
        <w:t>,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97C23" w:rsidRDefault="00D97C23" w:rsidP="00D97C23">
            <w:pPr>
              <w:rPr>
                <w:szCs w:val="22"/>
              </w:rPr>
            </w:pPr>
            <w:r>
              <w:rPr>
                <w:szCs w:val="22"/>
              </w:rPr>
              <w:t>Ted W. Austin, Jr.</w:t>
            </w:r>
          </w:p>
          <w:p w:rsidR="00D97C23" w:rsidRDefault="00D97C23" w:rsidP="00D97C23">
            <w:pPr>
              <w:rPr>
                <w:szCs w:val="22"/>
              </w:rPr>
            </w:pPr>
          </w:p>
          <w:p w:rsidR="00D97C23" w:rsidRDefault="00622F97" w:rsidP="00D97C23">
            <w:pPr>
              <w:rPr>
                <w:szCs w:val="22"/>
              </w:rPr>
            </w:pPr>
            <w:r>
              <w:rPr>
                <w:szCs w:val="22"/>
              </w:rPr>
              <w:t>Application</w:t>
            </w:r>
            <w:r w:rsidR="00D97C23">
              <w:rPr>
                <w:szCs w:val="22"/>
              </w:rPr>
              <w:t xml:space="preserve"> for Review of Order </w:t>
            </w:r>
          </w:p>
          <w:p w:rsidR="00D97C23" w:rsidRDefault="00D97C23" w:rsidP="00D97C23">
            <w:pPr>
              <w:rPr>
                <w:szCs w:val="22"/>
              </w:rPr>
            </w:pPr>
            <w:r>
              <w:rPr>
                <w:szCs w:val="22"/>
              </w:rPr>
              <w:t>Denying Request for Waiver of</w:t>
            </w:r>
          </w:p>
          <w:p w:rsidR="004C2EE3" w:rsidRPr="007115F7" w:rsidRDefault="00D97C23" w:rsidP="00D97C23">
            <w:pPr>
              <w:tabs>
                <w:tab w:val="center" w:pos="4680"/>
              </w:tabs>
              <w:suppressAutoHyphens/>
              <w:rPr>
                <w:spacing w:val="-2"/>
              </w:rPr>
            </w:pPr>
            <w:r>
              <w:rPr>
                <w:szCs w:val="22"/>
              </w:rPr>
              <w:t>Down Payment Deadline for Auction 62</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F626E"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97C23">
            <w:pPr>
              <w:tabs>
                <w:tab w:val="center" w:pos="4680"/>
              </w:tabs>
              <w:suppressAutoHyphens/>
              <w:rPr>
                <w:spacing w:val="-2"/>
              </w:rPr>
            </w:pPr>
            <w:r>
              <w:rPr>
                <w:spacing w:val="-2"/>
                <w:szCs w:val="22"/>
              </w:rPr>
              <w:t>File No. BNPH-20060224ACG</w:t>
            </w:r>
          </w:p>
        </w:tc>
      </w:tr>
    </w:tbl>
    <w:p w:rsidR="004C2EE3" w:rsidRDefault="004C2EE3" w:rsidP="0070224F"/>
    <w:p w:rsidR="002F626E" w:rsidRDefault="002F626E" w:rsidP="0070224F"/>
    <w:p w:rsidR="00841AB1" w:rsidRDefault="00D97C23" w:rsidP="00F021FA">
      <w:pPr>
        <w:pStyle w:val="StyleBoldCentered"/>
      </w:pPr>
      <w:r>
        <w:rPr>
          <w:b w:val="0"/>
          <w:kern w:val="0"/>
        </w:rPr>
        <w:t>MEMORANDUM OPINION AND ORDER</w:t>
      </w:r>
    </w:p>
    <w:p w:rsidR="005A5568" w:rsidRDefault="005A5568" w:rsidP="005A5568">
      <w:pPr>
        <w:tabs>
          <w:tab w:val="left" w:pos="720"/>
          <w:tab w:val="left" w:pos="5760"/>
        </w:tabs>
        <w:suppressAutoHyphens/>
        <w:rPr>
          <w:b/>
          <w:spacing w:val="-2"/>
          <w:szCs w:val="22"/>
        </w:rPr>
      </w:pPr>
    </w:p>
    <w:p w:rsidR="005A5568" w:rsidRPr="005968CD" w:rsidRDefault="005A5568" w:rsidP="00044FD4">
      <w:pPr>
        <w:tabs>
          <w:tab w:val="left" w:pos="720"/>
          <w:tab w:val="right" w:pos="9360"/>
        </w:tabs>
        <w:suppressAutoHyphens/>
        <w:rPr>
          <w:b/>
          <w:spacing w:val="-2"/>
          <w:szCs w:val="22"/>
        </w:rPr>
      </w:pPr>
      <w:r w:rsidRPr="005968CD">
        <w:rPr>
          <w:b/>
          <w:spacing w:val="-2"/>
          <w:szCs w:val="22"/>
        </w:rPr>
        <w:t xml:space="preserve">Adopted:  </w:t>
      </w:r>
      <w:r>
        <w:rPr>
          <w:b/>
          <w:spacing w:val="-2"/>
          <w:szCs w:val="22"/>
        </w:rPr>
        <w:t>April 9, 2015</w:t>
      </w:r>
      <w:r w:rsidRPr="005968CD">
        <w:rPr>
          <w:b/>
          <w:spacing w:val="-2"/>
          <w:szCs w:val="22"/>
        </w:rPr>
        <w:tab/>
        <w:t xml:space="preserve">Released:  </w:t>
      </w:r>
      <w:r w:rsidR="00BD1D27">
        <w:rPr>
          <w:b/>
          <w:spacing w:val="-2"/>
          <w:szCs w:val="22"/>
        </w:rPr>
        <w:t>April 10</w:t>
      </w:r>
      <w:r>
        <w:rPr>
          <w:b/>
          <w:spacing w:val="-2"/>
          <w:szCs w:val="22"/>
        </w:rPr>
        <w:t>, 2015</w:t>
      </w:r>
    </w:p>
    <w:p w:rsidR="00822CE0" w:rsidRDefault="00822CE0"/>
    <w:p w:rsidR="004C2EE3" w:rsidRDefault="004C2EE3">
      <w:pPr>
        <w:rPr>
          <w:spacing w:val="-2"/>
        </w:rPr>
      </w:pPr>
      <w:r>
        <w:t xml:space="preserve">By </w:t>
      </w:r>
      <w:r w:rsidR="004E4A22">
        <w:t>the</w:t>
      </w:r>
      <w:r w:rsidR="002A2D2E">
        <w:t xml:space="preserve"> </w:t>
      </w:r>
      <w:r w:rsidR="00D97C23">
        <w:rPr>
          <w:spacing w:val="-2"/>
        </w:rPr>
        <w:t>Commission</w:t>
      </w:r>
      <w:r>
        <w:rPr>
          <w:spacing w:val="-2"/>
        </w:rPr>
        <w:t>:</w:t>
      </w:r>
    </w:p>
    <w:p w:rsidR="00D97C23" w:rsidRDefault="00D97C23" w:rsidP="00412FC5"/>
    <w:p w:rsidR="00412FC5" w:rsidRDefault="00D97C23" w:rsidP="00412FC5">
      <w:pPr>
        <w:pStyle w:val="Heading1"/>
      </w:pPr>
      <w:r>
        <w:t>INTRODUCTION</w:t>
      </w:r>
    </w:p>
    <w:p w:rsidR="00C23766" w:rsidRPr="004074A2" w:rsidRDefault="00C23766" w:rsidP="00C23766">
      <w:pPr>
        <w:pStyle w:val="ParaNum"/>
      </w:pPr>
      <w:r>
        <w:t>In this decision, we affirm an Order by the Auctions and Spectrum Access Division of the Wireless Telecommunications Bureau and the Audio Division of the Media Bureau that denied Ted W. Austin, Jr.</w:t>
      </w:r>
      <w:r w:rsidR="002F626E">
        <w:t xml:space="preserve">’s </w:t>
      </w:r>
      <w:r w:rsidR="00E125EA">
        <w:t xml:space="preserve">(“Austin’s”) </w:t>
      </w:r>
      <w:r w:rsidR="002F626E">
        <w:t>request for</w:t>
      </w:r>
      <w:r>
        <w:t xml:space="preserve"> waiver of the deadline to make a down payment for the FM station construction permit he won in Auction 62.</w:t>
      </w:r>
      <w:r>
        <w:rPr>
          <w:vertAlign w:val="superscript"/>
        </w:rPr>
        <w:footnoteReference w:id="2"/>
      </w:r>
      <w:r>
        <w:t xml:space="preserve">  Austin filed an Application for Review challenging the </w:t>
      </w:r>
      <w:r w:rsidRPr="002E3F46">
        <w:rPr>
          <w:i/>
        </w:rPr>
        <w:t>Staff Decision</w:t>
      </w:r>
      <w:r>
        <w:t>.</w:t>
      </w:r>
      <w:r>
        <w:rPr>
          <w:rStyle w:val="FootnoteReference"/>
        </w:rPr>
        <w:footnoteReference w:id="3"/>
      </w:r>
      <w:r>
        <w:t xml:space="preserve">  For the reasons stated below, we conclude that </w:t>
      </w:r>
      <w:r w:rsidR="009A10F2">
        <w:t>A</w:t>
      </w:r>
      <w:r w:rsidR="00E125EA">
        <w:t>ustin</w:t>
      </w:r>
      <w:r w:rsidR="009A10F2">
        <w:t xml:space="preserve"> </w:t>
      </w:r>
      <w:r>
        <w:t xml:space="preserve">fails to meet the Commission’s standard for granting an </w:t>
      </w:r>
      <w:r w:rsidR="00786262">
        <w:t>a</w:t>
      </w:r>
      <w:r>
        <w:t xml:space="preserve">pplication for </w:t>
      </w:r>
      <w:r w:rsidR="00786262">
        <w:t>r</w:t>
      </w:r>
      <w:r>
        <w:t>eview.</w:t>
      </w:r>
    </w:p>
    <w:p w:rsidR="004074A2" w:rsidRDefault="004074A2" w:rsidP="004074A2">
      <w:pPr>
        <w:pStyle w:val="Heading1"/>
      </w:pPr>
      <w:r>
        <w:t>BACKGROUND</w:t>
      </w:r>
    </w:p>
    <w:p w:rsidR="0097442C" w:rsidRDefault="00C23766" w:rsidP="00C23766">
      <w:pPr>
        <w:pStyle w:val="ParaNum"/>
      </w:pPr>
      <w:r>
        <w:t>On January 31, 2006, the Wireless Telecommunications Bureau and the Media Bureau (collectively, the “Bureaus”) concluded an auction of 171 FM broadcast construction permits for stations throughout the United States and the U.S. Virgin Islands (Auction 62).</w:t>
      </w:r>
      <w:r>
        <w:rPr>
          <w:rStyle w:val="FootnoteReference"/>
        </w:rPr>
        <w:footnoteReference w:id="4"/>
      </w:r>
      <w:r>
        <w:t xml:space="preserve">  </w:t>
      </w:r>
      <w:r w:rsidR="00917F6D">
        <w:t>A</w:t>
      </w:r>
      <w:r w:rsidR="00510B00">
        <w:t>ustin</w:t>
      </w:r>
      <w:r>
        <w:t xml:space="preserve"> was a winning bidder </w:t>
      </w:r>
      <w:r>
        <w:rPr>
          <w:kern w:val="0"/>
        </w:rPr>
        <w:t xml:space="preserve">for </w:t>
      </w:r>
      <w:r w:rsidR="00786262">
        <w:rPr>
          <w:kern w:val="0"/>
        </w:rPr>
        <w:t xml:space="preserve">an </w:t>
      </w:r>
      <w:r>
        <w:rPr>
          <w:kern w:val="0"/>
        </w:rPr>
        <w:t>FM station construction permit in Baggs, Wyoming (MM-FM477-A)</w:t>
      </w:r>
      <w:r w:rsidR="00786262">
        <w:rPr>
          <w:kern w:val="0"/>
        </w:rPr>
        <w:t>,</w:t>
      </w:r>
      <w:r>
        <w:rPr>
          <w:kern w:val="0"/>
        </w:rPr>
        <w:t xml:space="preserve"> with a net winning bid of $21,000.</w:t>
      </w:r>
      <w:r>
        <w:rPr>
          <w:rStyle w:val="FootnoteReference"/>
          <w:kern w:val="0"/>
        </w:rPr>
        <w:footnoteReference w:id="5"/>
      </w:r>
      <w:r>
        <w:rPr>
          <w:kern w:val="0"/>
        </w:rPr>
        <w:t xml:space="preserve">  In keeping with the Commission’s rules, t</w:t>
      </w:r>
      <w:r>
        <w:t xml:space="preserve">he </w:t>
      </w:r>
      <w:r>
        <w:rPr>
          <w:rFonts w:ascii="Times New Roman Italic" w:hAnsi="Times New Roman Italic"/>
        </w:rPr>
        <w:t>Auction 62</w:t>
      </w:r>
      <w:r>
        <w:t xml:space="preserve"> </w:t>
      </w:r>
      <w:r>
        <w:rPr>
          <w:rFonts w:ascii="Times New Roman Italic" w:hAnsi="Times New Roman Italic"/>
        </w:rPr>
        <w:t>Closing Public Notice</w:t>
      </w:r>
      <w:r>
        <w:t xml:space="preserve"> </w:t>
      </w:r>
      <w:r w:rsidR="000808A8">
        <w:t xml:space="preserve">explained </w:t>
      </w:r>
      <w:r>
        <w:t xml:space="preserve">that each winning bidder was required to </w:t>
      </w:r>
      <w:r w:rsidR="00786262">
        <w:t xml:space="preserve">place </w:t>
      </w:r>
      <w:r w:rsidR="003341E0">
        <w:t xml:space="preserve">on deposit </w:t>
      </w:r>
      <w:r>
        <w:t xml:space="preserve">funds </w:t>
      </w:r>
      <w:r w:rsidR="002A2B7E">
        <w:t xml:space="preserve">sufficient </w:t>
      </w:r>
      <w:r>
        <w:t xml:space="preserve">to cover its down payment </w:t>
      </w:r>
      <w:r w:rsidR="002A2B7E">
        <w:t xml:space="preserve">obligation </w:t>
      </w:r>
      <w:r w:rsidR="002F626E">
        <w:t xml:space="preserve">(20% of its net winning bid(s)) </w:t>
      </w:r>
      <w:r w:rsidR="002A2B7E">
        <w:t xml:space="preserve">into </w:t>
      </w:r>
      <w:r>
        <w:t xml:space="preserve">the Commission’s lockbox bank by </w:t>
      </w:r>
      <w:r w:rsidRPr="002E3F46">
        <w:t xml:space="preserve">6:00 p.m. (ET) </w:t>
      </w:r>
      <w:r>
        <w:t>on February 23, 2006.</w:t>
      </w:r>
      <w:r>
        <w:rPr>
          <w:rStyle w:val="FootnoteReference"/>
        </w:rPr>
        <w:footnoteReference w:id="6"/>
      </w:r>
      <w:r>
        <w:rPr>
          <w:kern w:val="0"/>
        </w:rPr>
        <w:t xml:space="preserve">  </w:t>
      </w:r>
      <w:r>
        <w:t xml:space="preserve">The </w:t>
      </w:r>
      <w:r>
        <w:rPr>
          <w:i/>
        </w:rPr>
        <w:t>Auction 62</w:t>
      </w:r>
      <w:r>
        <w:t xml:space="preserve"> </w:t>
      </w:r>
      <w:r>
        <w:rPr>
          <w:i/>
        </w:rPr>
        <w:t xml:space="preserve">Closing Public Notice </w:t>
      </w:r>
      <w:r>
        <w:t>also advised winning bidders that they “should coordinate with their bankers ahead of time regarding their wire transfers, and allow sufficient time for the wire transfer to be</w:t>
      </w:r>
      <w:r w:rsidRPr="006F5003">
        <w:t xml:space="preserve"> </w:t>
      </w:r>
      <w:r w:rsidRPr="005434D2">
        <w:rPr>
          <w:b/>
        </w:rPr>
        <w:t>initiated and completed prior to the deadline</w:t>
      </w:r>
      <w:r w:rsidR="00E11A7D">
        <w:t>,</w:t>
      </w:r>
      <w:r>
        <w:t>”</w:t>
      </w:r>
      <w:r w:rsidR="00E11A7D">
        <w:t xml:space="preserve"> and expressly warned </w:t>
      </w:r>
      <w:r w:rsidR="00E11A7D">
        <w:lastRenderedPageBreak/>
        <w:t>that “</w:t>
      </w:r>
      <w:r w:rsidR="00E11A7D">
        <w:rPr>
          <w:b/>
        </w:rPr>
        <w:t>failure to complete the down payment on or before February 23, 2006, will result in default</w:t>
      </w:r>
      <w:r w:rsidR="00E11A7D">
        <w:t>.”</w:t>
      </w:r>
      <w:r>
        <w:rPr>
          <w:rStyle w:val="FootnoteReference"/>
        </w:rPr>
        <w:footnoteReference w:id="7"/>
      </w:r>
      <w:r>
        <w:t xml:space="preserve">  </w:t>
      </w:r>
      <w:r w:rsidR="00917F6D">
        <w:rPr>
          <w:kern w:val="0"/>
        </w:rPr>
        <w:t>A</w:t>
      </w:r>
      <w:r w:rsidR="00E125EA">
        <w:rPr>
          <w:kern w:val="0"/>
        </w:rPr>
        <w:t>ustin</w:t>
      </w:r>
      <w:r>
        <w:rPr>
          <w:kern w:val="0"/>
        </w:rPr>
        <w:t xml:space="preserve"> failed to make </w:t>
      </w:r>
      <w:r w:rsidR="00126A75">
        <w:rPr>
          <w:kern w:val="0"/>
        </w:rPr>
        <w:t xml:space="preserve">the </w:t>
      </w:r>
      <w:r>
        <w:rPr>
          <w:kern w:val="0"/>
        </w:rPr>
        <w:t xml:space="preserve">required down payment by the </w:t>
      </w:r>
      <w:r>
        <w:t>February 23, 2006</w:t>
      </w:r>
      <w:r w:rsidR="00B45143">
        <w:t>,</w:t>
      </w:r>
      <w:r>
        <w:t xml:space="preserve"> </w:t>
      </w:r>
      <w:r>
        <w:rPr>
          <w:kern w:val="0"/>
        </w:rPr>
        <w:t xml:space="preserve">deadline </w:t>
      </w:r>
      <w:r>
        <w:t xml:space="preserve">and did not complete </w:t>
      </w:r>
      <w:r w:rsidR="00126A75">
        <w:t xml:space="preserve">the </w:t>
      </w:r>
      <w:r>
        <w:t>wire transfer payment until the following day.</w:t>
      </w:r>
      <w:r w:rsidR="00E54928">
        <w:t xml:space="preserve"> </w:t>
      </w:r>
      <w:r w:rsidR="004115CA">
        <w:t xml:space="preserve"> On September 28, 2007, eighteen months after the </w:t>
      </w:r>
      <w:r w:rsidR="00747524">
        <w:t xml:space="preserve">down payment </w:t>
      </w:r>
      <w:r w:rsidR="004115CA">
        <w:t xml:space="preserve">deadline, </w:t>
      </w:r>
      <w:r w:rsidR="00E125EA">
        <w:t>he</w:t>
      </w:r>
      <w:r w:rsidR="004115CA">
        <w:t xml:space="preserve"> filed a request for waiver of </w:t>
      </w:r>
      <w:r w:rsidR="00136413">
        <w:t>the deadline</w:t>
      </w:r>
      <w:r w:rsidR="004115CA">
        <w:t>.</w:t>
      </w:r>
      <w:r w:rsidR="004115CA">
        <w:rPr>
          <w:rStyle w:val="FootnoteReference"/>
        </w:rPr>
        <w:footnoteReference w:id="8"/>
      </w:r>
      <w:r w:rsidR="004115CA">
        <w:t xml:space="preserve">  </w:t>
      </w:r>
    </w:p>
    <w:p w:rsidR="00C23766" w:rsidRDefault="00B24787" w:rsidP="00491E44">
      <w:pPr>
        <w:pStyle w:val="ParaNum"/>
      </w:pPr>
      <w:r>
        <w:t xml:space="preserve">In denying </w:t>
      </w:r>
      <w:r w:rsidR="00D4101F">
        <w:t xml:space="preserve">the </w:t>
      </w:r>
      <w:r w:rsidR="00126A75">
        <w:t>R</w:t>
      </w:r>
      <w:r>
        <w:t xml:space="preserve">equest for </w:t>
      </w:r>
      <w:r w:rsidR="00126A75">
        <w:t>W</w:t>
      </w:r>
      <w:r>
        <w:t xml:space="preserve">aiver, the </w:t>
      </w:r>
      <w:r w:rsidRPr="000C5CA7">
        <w:rPr>
          <w:rFonts w:ascii="Times New Roman Italic" w:hAnsi="Times New Roman Italic"/>
        </w:rPr>
        <w:t>Staff Decision</w:t>
      </w:r>
      <w:r>
        <w:t xml:space="preserve"> </w:t>
      </w:r>
      <w:r w:rsidR="00B45143">
        <w:t xml:space="preserve">concluded </w:t>
      </w:r>
      <w:r w:rsidR="000140A9">
        <w:t xml:space="preserve">that </w:t>
      </w:r>
      <w:r w:rsidR="009214CB">
        <w:t xml:space="preserve">the Request for Waiver did not meet the standards set forth in </w:t>
      </w:r>
      <w:r w:rsidR="001A4FA9">
        <w:t>the Commission’s Rules</w:t>
      </w:r>
      <w:r w:rsidR="0055471A">
        <w:t xml:space="preserve"> and that </w:t>
      </w:r>
      <w:r w:rsidR="000140A9">
        <w:t xml:space="preserve">departure from </w:t>
      </w:r>
      <w:r>
        <w:t xml:space="preserve">the Commission’s </w:t>
      </w:r>
      <w:r w:rsidR="00B45143">
        <w:t xml:space="preserve">longstanding and </w:t>
      </w:r>
      <w:r w:rsidR="000140A9">
        <w:t>consistent</w:t>
      </w:r>
      <w:r w:rsidR="00B45143">
        <w:t>ly applied</w:t>
      </w:r>
      <w:r w:rsidR="000140A9">
        <w:t xml:space="preserve"> </w:t>
      </w:r>
      <w:r>
        <w:t xml:space="preserve">policy of strict enforcement of the deadline for the first payment due following an </w:t>
      </w:r>
      <w:r w:rsidR="006D177C">
        <w:t>auction</w:t>
      </w:r>
      <w:r>
        <w:t xml:space="preserve"> would undermine the Commission’s ability to meet its policy objectives in future auctions.</w:t>
      </w:r>
      <w:r>
        <w:rPr>
          <w:rStyle w:val="FootnoteReference"/>
        </w:rPr>
        <w:footnoteReference w:id="9"/>
      </w:r>
      <w:r>
        <w:t xml:space="preserve">  </w:t>
      </w:r>
      <w:r w:rsidR="006257BE">
        <w:t>It noted that these policy objectives include not only ensuring the financial capability of winning bidders but also safeguarding the integrity of the auction by avoiding opportunities to “game” the auction process by assessing whether or not to go forward, or to “shop” a winning bid.</w:t>
      </w:r>
      <w:r w:rsidR="006257BE">
        <w:rPr>
          <w:rStyle w:val="FootnoteReference"/>
        </w:rPr>
        <w:footnoteReference w:id="10"/>
      </w:r>
      <w:r w:rsidR="006257BE">
        <w:t xml:space="preserve">  </w:t>
      </w:r>
      <w:r w:rsidR="00AF1353">
        <w:t>T</w:t>
      </w:r>
      <w:r w:rsidR="00C23766">
        <w:t xml:space="preserve">he </w:t>
      </w:r>
      <w:r w:rsidR="00C23766" w:rsidRPr="000C5CA7">
        <w:rPr>
          <w:rFonts w:ascii="Times New Roman Italic" w:hAnsi="Times New Roman Italic"/>
        </w:rPr>
        <w:t>Staff Decision</w:t>
      </w:r>
      <w:r w:rsidR="00C23766">
        <w:t xml:space="preserve"> </w:t>
      </w:r>
      <w:r w:rsidR="0055471A">
        <w:t>found</w:t>
      </w:r>
      <w:r w:rsidR="00B45143">
        <w:t xml:space="preserve"> </w:t>
      </w:r>
      <w:r w:rsidR="00C23766">
        <w:t xml:space="preserve">that </w:t>
      </w:r>
      <w:r w:rsidR="004D0D13">
        <w:t xml:space="preserve">the Request for Waiver </w:t>
      </w:r>
      <w:r w:rsidR="009214CB">
        <w:t xml:space="preserve">had </w:t>
      </w:r>
      <w:r w:rsidR="00C23766">
        <w:t>failed to address how the underlying purposes of sectio</w:t>
      </w:r>
      <w:r w:rsidR="008A176A">
        <w:t>n</w:t>
      </w:r>
      <w:r w:rsidR="00C23766">
        <w:t xml:space="preserve"> 1.2107(b) would be served by waiving the down payment deadline in his asserted circumstances</w:t>
      </w:r>
      <w:r w:rsidR="009214CB">
        <w:t>,</w:t>
      </w:r>
      <w:r w:rsidR="00C23766">
        <w:rPr>
          <w:rStyle w:val="FootnoteReference"/>
        </w:rPr>
        <w:footnoteReference w:id="11"/>
      </w:r>
      <w:r w:rsidR="009214CB">
        <w:t xml:space="preserve"> and had not </w:t>
      </w:r>
      <w:r w:rsidR="00C23766">
        <w:t>present</w:t>
      </w:r>
      <w:r w:rsidR="009214CB">
        <w:t>ed</w:t>
      </w:r>
      <w:r w:rsidR="00C23766">
        <w:t xml:space="preserve"> any unique facts or circumstances that merited waiv</w:t>
      </w:r>
      <w:r w:rsidR="009214CB">
        <w:t>er of</w:t>
      </w:r>
      <w:r w:rsidR="00C23766">
        <w:t xml:space="preserve"> </w:t>
      </w:r>
      <w:r w:rsidR="00426148">
        <w:t xml:space="preserve">Austin’s </w:t>
      </w:r>
      <w:r w:rsidR="00C23766">
        <w:t>obligation to submit his down payment for the winning bid within ten business</w:t>
      </w:r>
      <w:r w:rsidR="00A164AF">
        <w:t xml:space="preserve"> </w:t>
      </w:r>
      <w:r w:rsidR="00C23766">
        <w:t>day</w:t>
      </w:r>
      <w:r w:rsidR="00A164AF">
        <w:t>s</w:t>
      </w:r>
      <w:r w:rsidR="00C23766">
        <w:t xml:space="preserve"> </w:t>
      </w:r>
      <w:r w:rsidR="00A164AF">
        <w:t xml:space="preserve">as </w:t>
      </w:r>
      <w:r w:rsidR="00C23766">
        <w:t>required by section 1.2107(b).</w:t>
      </w:r>
      <w:r w:rsidR="00C23766">
        <w:rPr>
          <w:rStyle w:val="FootnoteReference"/>
        </w:rPr>
        <w:footnoteReference w:id="12"/>
      </w:r>
      <w:r w:rsidR="00C23766">
        <w:t xml:space="preserve">  Based on these findings, the </w:t>
      </w:r>
      <w:r w:rsidR="00C23766" w:rsidRPr="00491E44">
        <w:rPr>
          <w:rFonts w:ascii="Times New Roman Italic" w:hAnsi="Times New Roman Italic"/>
        </w:rPr>
        <w:t>Staff Decision</w:t>
      </w:r>
      <w:r w:rsidR="000D3564">
        <w:rPr>
          <w:rFonts w:ascii="Times New Roman Italic" w:hAnsi="Times New Roman Italic"/>
        </w:rPr>
        <w:t xml:space="preserve"> </w:t>
      </w:r>
      <w:r w:rsidR="00C23766">
        <w:t xml:space="preserve">denied </w:t>
      </w:r>
      <w:r w:rsidR="00426148">
        <w:t xml:space="preserve">the </w:t>
      </w:r>
      <w:r w:rsidR="00C23766">
        <w:t>request to waive the down payment deadline associated with Auction 62</w:t>
      </w:r>
      <w:r w:rsidR="00A164AF">
        <w:t>,</w:t>
      </w:r>
      <w:r w:rsidR="00C23766">
        <w:t xml:space="preserve"> assessed an interim default payment</w:t>
      </w:r>
      <w:r w:rsidR="00A164AF">
        <w:t>,</w:t>
      </w:r>
      <w:r w:rsidR="00C23766">
        <w:t xml:space="preserve"> and dismissed </w:t>
      </w:r>
      <w:r w:rsidR="004D0D13">
        <w:t>his</w:t>
      </w:r>
      <w:r w:rsidR="00C23766">
        <w:t xml:space="preserve"> long-form application.</w:t>
      </w:r>
      <w:r w:rsidR="00C23766">
        <w:rPr>
          <w:rStyle w:val="FootnoteReference"/>
        </w:rPr>
        <w:footnoteReference w:id="13"/>
      </w:r>
    </w:p>
    <w:p w:rsidR="00136413" w:rsidRDefault="00354A22" w:rsidP="0074072B">
      <w:pPr>
        <w:pStyle w:val="ParaNum"/>
        <w:widowControl/>
      </w:pPr>
      <w:r>
        <w:t xml:space="preserve">On March 22, 2010, </w:t>
      </w:r>
      <w:r w:rsidR="00917F6D">
        <w:t>A</w:t>
      </w:r>
      <w:r w:rsidR="004D0D13">
        <w:t xml:space="preserve">ustin </w:t>
      </w:r>
      <w:r>
        <w:t xml:space="preserve">timely filed </w:t>
      </w:r>
      <w:r w:rsidR="003F21DF">
        <w:t>the</w:t>
      </w:r>
      <w:r>
        <w:t xml:space="preserve"> </w:t>
      </w:r>
      <w:r w:rsidR="00366234">
        <w:t>A</w:t>
      </w:r>
      <w:r>
        <w:t xml:space="preserve">pplication for </w:t>
      </w:r>
      <w:r w:rsidR="00366234">
        <w:t>R</w:t>
      </w:r>
      <w:r>
        <w:t xml:space="preserve">eview requesting </w:t>
      </w:r>
      <w:r w:rsidR="00366234">
        <w:t xml:space="preserve">that </w:t>
      </w:r>
      <w:r w:rsidR="00D4101F">
        <w:t xml:space="preserve">the Commission </w:t>
      </w:r>
      <w:r>
        <w:t>revers</w:t>
      </w:r>
      <w:r w:rsidR="00366234">
        <w:t>e</w:t>
      </w:r>
      <w:r>
        <w:t xml:space="preserve"> </w:t>
      </w:r>
      <w:r w:rsidR="00366234">
        <w:t xml:space="preserve">the </w:t>
      </w:r>
      <w:r w:rsidR="00366234" w:rsidRPr="000A38D1">
        <w:rPr>
          <w:i/>
        </w:rPr>
        <w:t>Staff Decision’s</w:t>
      </w:r>
      <w:r w:rsidR="00366234">
        <w:t xml:space="preserve"> </w:t>
      </w:r>
      <w:r>
        <w:t>denial of his Request for Waiver.</w:t>
      </w:r>
      <w:r>
        <w:rPr>
          <w:rStyle w:val="FootnoteReference"/>
        </w:rPr>
        <w:footnoteReference w:id="14"/>
      </w:r>
      <w:r>
        <w:t xml:space="preserve">  </w:t>
      </w:r>
      <w:r w:rsidR="00D4101F">
        <w:t xml:space="preserve">The Application for Review </w:t>
      </w:r>
      <w:r w:rsidR="00136413">
        <w:t xml:space="preserve">asserts that the Commission </w:t>
      </w:r>
      <w:r w:rsidR="003F21DF">
        <w:t xml:space="preserve">had </w:t>
      </w:r>
      <w:r w:rsidR="00136413">
        <w:t xml:space="preserve">accepted his </w:t>
      </w:r>
      <w:r w:rsidR="00F96478">
        <w:t xml:space="preserve">down </w:t>
      </w:r>
      <w:r w:rsidR="00136413">
        <w:t xml:space="preserve">payment and </w:t>
      </w:r>
      <w:r w:rsidR="003F21DF">
        <w:t xml:space="preserve">began processing his </w:t>
      </w:r>
      <w:r w:rsidR="00136413">
        <w:t xml:space="preserve">long-form application </w:t>
      </w:r>
      <w:r w:rsidR="003F21DF">
        <w:t xml:space="preserve">without giving him any “hint that there was any problem relating to the timing </w:t>
      </w:r>
      <w:r w:rsidR="000D3564">
        <w:t xml:space="preserve">of his </w:t>
      </w:r>
      <w:r w:rsidR="00F96478">
        <w:t>down payment</w:t>
      </w:r>
      <w:r w:rsidR="00301C39">
        <w:t>,”</w:t>
      </w:r>
      <w:r w:rsidR="00426148">
        <w:t xml:space="preserve"> </w:t>
      </w:r>
      <w:r w:rsidR="00301C39">
        <w:t xml:space="preserve">and asserts that </w:t>
      </w:r>
      <w:r w:rsidR="00F7393A">
        <w:t xml:space="preserve">inaction by </w:t>
      </w:r>
      <w:r w:rsidR="00301C39">
        <w:t>Commission staff is responsible for delaying the provision of new FM service to the Baggs area</w:t>
      </w:r>
      <w:r w:rsidR="00136413">
        <w:t>.</w:t>
      </w:r>
      <w:r w:rsidR="007920E4">
        <w:rPr>
          <w:rStyle w:val="FootnoteReference"/>
        </w:rPr>
        <w:footnoteReference w:id="15"/>
      </w:r>
      <w:r w:rsidR="00136413" w:rsidRPr="00354A22">
        <w:rPr>
          <w:kern w:val="0"/>
        </w:rPr>
        <w:t xml:space="preserve">  </w:t>
      </w:r>
      <w:r w:rsidR="00301C39">
        <w:rPr>
          <w:kern w:val="0"/>
        </w:rPr>
        <w:t>He reiterates his assertion</w:t>
      </w:r>
      <w:r w:rsidR="00136413">
        <w:t xml:space="preserve"> that because his late down payment resulted from </w:t>
      </w:r>
      <w:r w:rsidR="00F96478">
        <w:t xml:space="preserve">his </w:t>
      </w:r>
      <w:r w:rsidR="00136413">
        <w:t xml:space="preserve">bank’s failure to </w:t>
      </w:r>
      <w:r w:rsidR="007920E4">
        <w:t>initiate</w:t>
      </w:r>
      <w:r w:rsidR="00136413">
        <w:t xml:space="preserve"> a wire transfer</w:t>
      </w:r>
      <w:r w:rsidR="007920E4">
        <w:t xml:space="preserve"> upon his verbal command without his physical presence at the bank</w:t>
      </w:r>
      <w:r w:rsidR="00136413">
        <w:t>, which he claims he could not do because of a family emergency, he should have been granted a waiver of the deadline.</w:t>
      </w:r>
      <w:r w:rsidR="007920E4">
        <w:rPr>
          <w:rStyle w:val="FootnoteReference"/>
        </w:rPr>
        <w:footnoteReference w:id="16"/>
      </w:r>
      <w:r w:rsidR="00136413">
        <w:t xml:space="preserve">  </w:t>
      </w:r>
    </w:p>
    <w:p w:rsidR="00C23766" w:rsidRDefault="00BE638D" w:rsidP="00C23766">
      <w:pPr>
        <w:pStyle w:val="Heading1"/>
      </w:pPr>
      <w:r>
        <w:lastRenderedPageBreak/>
        <w:t>DISCUSSION</w:t>
      </w:r>
      <w:r w:rsidR="00A71205">
        <w:t xml:space="preserve"> </w:t>
      </w:r>
    </w:p>
    <w:p w:rsidR="00BE638D" w:rsidRPr="00C23766" w:rsidRDefault="00C23766" w:rsidP="00A71205">
      <w:pPr>
        <w:pStyle w:val="ParaNum"/>
        <w:rPr>
          <w:szCs w:val="22"/>
        </w:rPr>
      </w:pPr>
      <w:r w:rsidRPr="00C23766">
        <w:rPr>
          <w:rStyle w:val="documentbody1"/>
          <w:rFonts w:ascii="Times New Roman" w:hAnsi="Times New Roman"/>
          <w:sz w:val="22"/>
          <w:szCs w:val="22"/>
        </w:rPr>
        <w:t>The Commission will grant an</w:t>
      </w:r>
      <w:bookmarkStart w:id="1" w:name="SR;763"/>
      <w:bookmarkEnd w:id="1"/>
      <w:r w:rsidRPr="00C23766">
        <w:rPr>
          <w:rStyle w:val="documentbody1"/>
          <w:rFonts w:ascii="Times New Roman" w:hAnsi="Times New Roman"/>
          <w:sz w:val="22"/>
          <w:szCs w:val="22"/>
        </w:rPr>
        <w:t xml:space="preserve"> application for review of a final action taken on delegated authority when such action, </w:t>
      </w:r>
      <w:r w:rsidRPr="00C23766">
        <w:rPr>
          <w:rStyle w:val="documentbody1"/>
          <w:rFonts w:ascii="Times New Roman" w:hAnsi="Times New Roman"/>
          <w:i/>
          <w:iCs/>
          <w:sz w:val="22"/>
          <w:szCs w:val="22"/>
        </w:rPr>
        <w:t>inter alia</w:t>
      </w:r>
      <w:r w:rsidRPr="00C23766">
        <w:rPr>
          <w:rStyle w:val="documentbody1"/>
          <w:rFonts w:ascii="Times New Roman" w:hAnsi="Times New Roman"/>
          <w:sz w:val="22"/>
          <w:szCs w:val="22"/>
        </w:rPr>
        <w:t>, conflicts with statute, regulation, precedent or established Commission policy; involves application of a precedent or policy that should be overturned</w:t>
      </w:r>
      <w:r w:rsidR="006257BE">
        <w:rPr>
          <w:rStyle w:val="documentbody1"/>
          <w:rFonts w:ascii="Times New Roman" w:hAnsi="Times New Roman"/>
          <w:sz w:val="22"/>
          <w:szCs w:val="22"/>
        </w:rPr>
        <w:t xml:space="preserve"> or revised</w:t>
      </w:r>
      <w:r w:rsidRPr="00C23766">
        <w:rPr>
          <w:rStyle w:val="documentbody1"/>
          <w:rFonts w:ascii="Times New Roman" w:hAnsi="Times New Roman"/>
          <w:sz w:val="22"/>
          <w:szCs w:val="22"/>
        </w:rPr>
        <w:t>; or makes an erroneous finding as to an important or material factual question.</w:t>
      </w:r>
      <w:r w:rsidRPr="00C23766">
        <w:rPr>
          <w:rStyle w:val="FootnoteReference"/>
          <w:szCs w:val="22"/>
        </w:rPr>
        <w:footnoteReference w:id="17"/>
      </w:r>
      <w:r w:rsidRPr="00C23766">
        <w:rPr>
          <w:szCs w:val="22"/>
        </w:rPr>
        <w:t xml:space="preserve">   For the reasons set forth below, we conclude that </w:t>
      </w:r>
      <w:r w:rsidR="00C66773">
        <w:rPr>
          <w:szCs w:val="22"/>
        </w:rPr>
        <w:t xml:space="preserve">the </w:t>
      </w:r>
      <w:r w:rsidRPr="00C23766">
        <w:rPr>
          <w:szCs w:val="22"/>
        </w:rPr>
        <w:t>Application for Review fails to meet any of</w:t>
      </w:r>
      <w:r w:rsidR="00AF2DD4">
        <w:rPr>
          <w:szCs w:val="22"/>
        </w:rPr>
        <w:t xml:space="preserve"> </w:t>
      </w:r>
      <w:r w:rsidR="00B239EE">
        <w:rPr>
          <w:szCs w:val="22"/>
        </w:rPr>
        <w:t>these criteria</w:t>
      </w:r>
      <w:r w:rsidR="00AF2DD4">
        <w:rPr>
          <w:szCs w:val="22"/>
        </w:rPr>
        <w:t xml:space="preserve">.  </w:t>
      </w:r>
    </w:p>
    <w:p w:rsidR="004F7ADA" w:rsidRDefault="00C66773" w:rsidP="004F7ADA">
      <w:pPr>
        <w:pStyle w:val="ParaNum"/>
      </w:pPr>
      <w:r>
        <w:t xml:space="preserve">The </w:t>
      </w:r>
      <w:r w:rsidR="00917F6D">
        <w:t>Applicat</w:t>
      </w:r>
      <w:r>
        <w:t>ion for Review</w:t>
      </w:r>
      <w:r w:rsidR="008715CC">
        <w:t xml:space="preserve"> </w:t>
      </w:r>
      <w:r w:rsidR="00B91CDF">
        <w:t>argues</w:t>
      </w:r>
      <w:r w:rsidR="004F7ADA">
        <w:t xml:space="preserve"> that the </w:t>
      </w:r>
      <w:r w:rsidR="004F7ADA" w:rsidRPr="00916C76">
        <w:rPr>
          <w:i/>
        </w:rPr>
        <w:t>Staff</w:t>
      </w:r>
      <w:r w:rsidR="004F7ADA">
        <w:t xml:space="preserve"> </w:t>
      </w:r>
      <w:r w:rsidR="004F7ADA" w:rsidRPr="00916C76">
        <w:rPr>
          <w:i/>
        </w:rPr>
        <w:t>Decision</w:t>
      </w:r>
      <w:r w:rsidR="004F7ADA">
        <w:t xml:space="preserve"> misapprehends the Commission’s rules and </w:t>
      </w:r>
      <w:r w:rsidR="00752FF0">
        <w:t>policies</w:t>
      </w:r>
      <w:r w:rsidR="004F7ADA">
        <w:t xml:space="preserve"> governing waivers </w:t>
      </w:r>
      <w:r w:rsidR="00932C04">
        <w:t>of</w:t>
      </w:r>
      <w:r w:rsidR="004F7ADA">
        <w:t xml:space="preserve"> payment deadlines.</w:t>
      </w:r>
      <w:r w:rsidR="004F7ADA">
        <w:rPr>
          <w:rStyle w:val="FootnoteReference"/>
        </w:rPr>
        <w:footnoteReference w:id="18"/>
      </w:r>
      <w:r w:rsidR="004F7ADA">
        <w:t xml:space="preserve">  We disagree</w:t>
      </w:r>
      <w:r w:rsidR="00491E44">
        <w:t>,</w:t>
      </w:r>
      <w:r w:rsidR="004F7ADA">
        <w:t xml:space="preserve"> and find that the </w:t>
      </w:r>
      <w:r w:rsidR="004F7ADA" w:rsidRPr="00916C76">
        <w:rPr>
          <w:i/>
        </w:rPr>
        <w:t>Staff</w:t>
      </w:r>
      <w:r w:rsidR="004F7ADA">
        <w:t xml:space="preserve"> </w:t>
      </w:r>
      <w:r w:rsidR="004F7ADA" w:rsidRPr="00916C76">
        <w:rPr>
          <w:i/>
        </w:rPr>
        <w:t>Decision</w:t>
      </w:r>
      <w:r w:rsidR="004F7ADA">
        <w:t xml:space="preserve"> correctly applied the Commission’s </w:t>
      </w:r>
      <w:r w:rsidR="00376F77">
        <w:t xml:space="preserve">competitive bidding </w:t>
      </w:r>
      <w:r w:rsidR="004F7ADA">
        <w:t xml:space="preserve">rules and waiver policy.  </w:t>
      </w:r>
      <w:r w:rsidR="001F2A5F">
        <w:t>As a threshold matter</w:t>
      </w:r>
      <w:r w:rsidR="00B96B91">
        <w:t xml:space="preserve">, </w:t>
      </w:r>
      <w:r w:rsidR="001F2A5F">
        <w:t xml:space="preserve">we find that </w:t>
      </w:r>
      <w:r w:rsidR="00B96B91">
        <w:t>t</w:t>
      </w:r>
      <w:r w:rsidR="004F7ADA">
        <w:t xml:space="preserve">he </w:t>
      </w:r>
      <w:r w:rsidR="004F7ADA" w:rsidRPr="00B24787">
        <w:rPr>
          <w:rFonts w:ascii="Times New Roman Italic" w:hAnsi="Times New Roman Italic"/>
        </w:rPr>
        <w:t>Staff Decision</w:t>
      </w:r>
      <w:r w:rsidR="004F7ADA">
        <w:t xml:space="preserve"> </w:t>
      </w:r>
      <w:r w:rsidR="001F2A5F">
        <w:t xml:space="preserve">correctly </w:t>
      </w:r>
      <w:r w:rsidR="004F7ADA">
        <w:t xml:space="preserve">explained that the Commission </w:t>
      </w:r>
      <w:r w:rsidR="004F7ADA" w:rsidRPr="000B58EA">
        <w:t>may waive rule provisions “for good cause shown” by the petitioner</w:t>
      </w:r>
      <w:r w:rsidR="008848C9">
        <w:t>.</w:t>
      </w:r>
      <w:r w:rsidR="004F7ADA" w:rsidRPr="005429E4">
        <w:rPr>
          <w:rStyle w:val="FootnoteReference"/>
        </w:rPr>
        <w:footnoteReference w:id="19"/>
      </w:r>
      <w:r w:rsidR="004F7ADA" w:rsidRPr="000B58EA">
        <w:t xml:space="preserve">  </w:t>
      </w:r>
      <w:r w:rsidR="008848C9">
        <w:t>C</w:t>
      </w:r>
      <w:r w:rsidR="004F7ADA" w:rsidRPr="000B58EA">
        <w:t>ourts</w:t>
      </w:r>
      <w:r w:rsidR="004F7ADA">
        <w:t xml:space="preserve"> have interpreted this </w:t>
      </w:r>
      <w:r w:rsidR="008848C9">
        <w:t xml:space="preserve">standard </w:t>
      </w:r>
      <w:r w:rsidR="004F7ADA">
        <w:t>to require a</w:t>
      </w:r>
      <w:r w:rsidR="004F7ADA" w:rsidRPr="000B58EA">
        <w:t xml:space="preserve"> party </w:t>
      </w:r>
      <w:r w:rsidR="004F7ADA">
        <w:t>seeking waiver of a rule’s requirements to</w:t>
      </w:r>
      <w:r w:rsidR="004F7ADA" w:rsidRPr="000B58EA">
        <w:t xml:space="preserve"> demonstrate that “special circumstances warrant a deviation from the general rule and such deviation will serve the public interest.”</w:t>
      </w:r>
      <w:r w:rsidR="004F7ADA" w:rsidRPr="005429E4">
        <w:rPr>
          <w:rStyle w:val="FootnoteReference"/>
        </w:rPr>
        <w:footnoteReference w:id="20"/>
      </w:r>
      <w:r w:rsidR="004F7ADA" w:rsidRPr="005429E4">
        <w:rPr>
          <w:rStyle w:val="FootnoteReference"/>
        </w:rPr>
        <w:t xml:space="preserve"> </w:t>
      </w:r>
      <w:r w:rsidR="004F7ADA" w:rsidRPr="000B58EA">
        <w:t xml:space="preserve"> </w:t>
      </w:r>
      <w:r w:rsidR="004F7ADA">
        <w:t xml:space="preserve">The </w:t>
      </w:r>
      <w:r w:rsidR="004F7ADA" w:rsidRPr="00B24787">
        <w:rPr>
          <w:rFonts w:ascii="Times New Roman Italic" w:hAnsi="Times New Roman Italic"/>
        </w:rPr>
        <w:t>Staff Decision</w:t>
      </w:r>
      <w:r w:rsidR="000C5CA7">
        <w:t xml:space="preserve"> also</w:t>
      </w:r>
      <w:r w:rsidR="004F7ADA">
        <w:t xml:space="preserve"> </w:t>
      </w:r>
      <w:r w:rsidR="001F2A5F">
        <w:t xml:space="preserve">correctly </w:t>
      </w:r>
      <w:r w:rsidR="005C531A">
        <w:t xml:space="preserve">found </w:t>
      </w:r>
      <w:r w:rsidR="004F7ADA">
        <w:t xml:space="preserve">that </w:t>
      </w:r>
      <w:r w:rsidR="004F7ADA" w:rsidRPr="000B58EA">
        <w:t xml:space="preserve">to demonstrate </w:t>
      </w:r>
      <w:r w:rsidR="00B25949">
        <w:t>the required</w:t>
      </w:r>
      <w:r w:rsidR="004F7ADA" w:rsidRPr="000B58EA">
        <w:t xml:space="preserve"> special circumstances, </w:t>
      </w:r>
      <w:r w:rsidR="004D0D13">
        <w:t>Austin</w:t>
      </w:r>
      <w:r w:rsidR="004D0D13" w:rsidRPr="000B58EA">
        <w:t xml:space="preserve"> </w:t>
      </w:r>
      <w:r w:rsidR="004F7ADA">
        <w:t>needed to</w:t>
      </w:r>
      <w:r w:rsidR="004F7ADA" w:rsidRPr="000B58EA">
        <w:t xml:space="preserve"> show </w:t>
      </w:r>
      <w:r w:rsidR="004F7ADA">
        <w:t>that the application of the rule would be inequitable, unduly burdensome</w:t>
      </w:r>
      <w:r w:rsidR="005C531A">
        <w:t>,</w:t>
      </w:r>
      <w:r w:rsidR="004F7ADA">
        <w:t xml:space="preserve"> or contrary to the public interest or </w:t>
      </w:r>
      <w:r w:rsidR="004F7ADA" w:rsidRPr="000B58EA">
        <w:t xml:space="preserve">that no reasonable alternative existed which would have allowed </w:t>
      </w:r>
      <w:r w:rsidR="00B25949">
        <w:t>him</w:t>
      </w:r>
      <w:r w:rsidR="004F7ADA" w:rsidRPr="000B58EA">
        <w:t xml:space="preserve"> to comply with this rule.</w:t>
      </w:r>
      <w:r w:rsidR="004F7ADA">
        <w:rPr>
          <w:rStyle w:val="FootnoteReference"/>
        </w:rPr>
        <w:footnoteReference w:id="21"/>
      </w:r>
      <w:r w:rsidR="004F7ADA" w:rsidRPr="000B58EA">
        <w:t xml:space="preserve">  </w:t>
      </w:r>
      <w:r w:rsidR="004F7ADA">
        <w:t>Alternatively</w:t>
      </w:r>
      <w:r w:rsidR="004F7ADA" w:rsidRPr="000B58EA">
        <w:t xml:space="preserve">, </w:t>
      </w:r>
      <w:r w:rsidR="004D0D13">
        <w:t>he</w:t>
      </w:r>
      <w:r w:rsidR="004F7ADA" w:rsidRPr="000B58EA">
        <w:t xml:space="preserve"> </w:t>
      </w:r>
      <w:r w:rsidR="004F7ADA">
        <w:t xml:space="preserve">needed to </w:t>
      </w:r>
      <w:r w:rsidR="001F2A5F">
        <w:t xml:space="preserve">demonstrate </w:t>
      </w:r>
      <w:r w:rsidR="004F7ADA" w:rsidRPr="000B58EA">
        <w:t xml:space="preserve">that a waiver would not conflict with the policy underlying </w:t>
      </w:r>
      <w:r w:rsidR="004F7ADA">
        <w:t>s</w:t>
      </w:r>
      <w:r w:rsidR="004F7ADA" w:rsidRPr="000B58EA">
        <w:t>ection 1.2107(b)</w:t>
      </w:r>
      <w:r w:rsidR="004F7ADA">
        <w:t xml:space="preserve"> of the rules</w:t>
      </w:r>
      <w:r w:rsidR="004F7ADA" w:rsidRPr="000B58EA">
        <w:t>.</w:t>
      </w:r>
      <w:r w:rsidR="004F7ADA" w:rsidRPr="005429E4">
        <w:rPr>
          <w:rStyle w:val="FootnoteReference"/>
        </w:rPr>
        <w:footnoteReference w:id="22"/>
      </w:r>
      <w:r w:rsidR="000A4EC7">
        <w:t xml:space="preserve"> </w:t>
      </w:r>
      <w:r w:rsidR="008848C9">
        <w:t xml:space="preserve"> </w:t>
      </w:r>
      <w:r w:rsidR="000A4EC7">
        <w:t xml:space="preserve">We agree with the </w:t>
      </w:r>
      <w:r w:rsidR="00B96B91">
        <w:t xml:space="preserve">conclusion of the </w:t>
      </w:r>
      <w:r w:rsidR="000A4EC7" w:rsidRPr="00916C76">
        <w:rPr>
          <w:i/>
        </w:rPr>
        <w:t>Staff</w:t>
      </w:r>
      <w:r w:rsidR="000A4EC7">
        <w:t xml:space="preserve"> </w:t>
      </w:r>
      <w:r w:rsidR="000A4EC7" w:rsidRPr="00916C76">
        <w:rPr>
          <w:i/>
        </w:rPr>
        <w:t>Decision</w:t>
      </w:r>
      <w:r w:rsidR="000A4EC7">
        <w:rPr>
          <w:i/>
        </w:rPr>
        <w:t xml:space="preserve"> </w:t>
      </w:r>
      <w:r w:rsidR="000A4EC7">
        <w:t xml:space="preserve">that </w:t>
      </w:r>
      <w:r w:rsidR="005C531A">
        <w:t xml:space="preserve">the Request for Waiver </w:t>
      </w:r>
      <w:r w:rsidR="000A4EC7">
        <w:t xml:space="preserve">failed to meet any of these </w:t>
      </w:r>
      <w:r w:rsidR="00300612">
        <w:t xml:space="preserve">articulations of the </w:t>
      </w:r>
      <w:r w:rsidR="000A4EC7">
        <w:t>standard.</w:t>
      </w:r>
    </w:p>
    <w:p w:rsidR="009C4D93" w:rsidRPr="009C4D93" w:rsidRDefault="005C531A" w:rsidP="00725130">
      <w:pPr>
        <w:pStyle w:val="ParaNum"/>
      </w:pPr>
      <w:r>
        <w:t xml:space="preserve">Contrary to </w:t>
      </w:r>
      <w:r w:rsidR="004D0D13">
        <w:t>the</w:t>
      </w:r>
      <w:r>
        <w:t xml:space="preserve"> assertion that the </w:t>
      </w:r>
      <w:r w:rsidRPr="008E7E83">
        <w:rPr>
          <w:i/>
        </w:rPr>
        <w:t>Staff Decision</w:t>
      </w:r>
      <w:r>
        <w:t xml:space="preserve"> </w:t>
      </w:r>
      <w:r w:rsidR="00AE42A1">
        <w:t>conflicts with</w:t>
      </w:r>
      <w:r>
        <w:t xml:space="preserve"> </w:t>
      </w:r>
      <w:r w:rsidR="004924C2">
        <w:t xml:space="preserve">Commission </w:t>
      </w:r>
      <w:r w:rsidR="00752FF0" w:rsidRPr="00C23766">
        <w:rPr>
          <w:rStyle w:val="documentbody1"/>
          <w:rFonts w:ascii="Times New Roman" w:hAnsi="Times New Roman"/>
          <w:sz w:val="22"/>
          <w:szCs w:val="22"/>
        </w:rPr>
        <w:t xml:space="preserve">precedent </w:t>
      </w:r>
      <w:r>
        <w:rPr>
          <w:rStyle w:val="documentbody1"/>
          <w:rFonts w:ascii="Times New Roman" w:hAnsi="Times New Roman"/>
          <w:sz w:val="22"/>
          <w:szCs w:val="22"/>
        </w:rPr>
        <w:t xml:space="preserve">and </w:t>
      </w:r>
      <w:r w:rsidR="00752FF0" w:rsidRPr="00C23766">
        <w:rPr>
          <w:rStyle w:val="documentbody1"/>
          <w:rFonts w:ascii="Times New Roman" w:hAnsi="Times New Roman"/>
          <w:sz w:val="22"/>
          <w:szCs w:val="22"/>
        </w:rPr>
        <w:t>established polic</w:t>
      </w:r>
      <w:r w:rsidR="00D940A3">
        <w:rPr>
          <w:rStyle w:val="documentbody1"/>
          <w:rFonts w:ascii="Times New Roman" w:hAnsi="Times New Roman"/>
          <w:sz w:val="22"/>
          <w:szCs w:val="22"/>
        </w:rPr>
        <w:t xml:space="preserve">y, </w:t>
      </w:r>
      <w:r>
        <w:rPr>
          <w:rStyle w:val="documentbody1"/>
          <w:rFonts w:ascii="Times New Roman" w:hAnsi="Times New Roman"/>
          <w:sz w:val="22"/>
          <w:szCs w:val="22"/>
        </w:rPr>
        <w:t xml:space="preserve">we find that </w:t>
      </w:r>
      <w:r w:rsidR="000E1355">
        <w:t xml:space="preserve">the </w:t>
      </w:r>
      <w:r w:rsidR="000E1355">
        <w:rPr>
          <w:i/>
        </w:rPr>
        <w:t xml:space="preserve">Staff Decision </w:t>
      </w:r>
      <w:r w:rsidR="000E1355">
        <w:t>fully accords with Commission rules and policy governing payment waivers</w:t>
      </w:r>
      <w:r w:rsidR="000E1355">
        <w:rPr>
          <w:szCs w:val="22"/>
        </w:rPr>
        <w:t xml:space="preserve">. </w:t>
      </w:r>
      <w:r w:rsidR="00515C8E">
        <w:rPr>
          <w:szCs w:val="22"/>
        </w:rPr>
        <w:t xml:space="preserve"> </w:t>
      </w:r>
      <w:r w:rsidR="006E2FEF">
        <w:rPr>
          <w:szCs w:val="22"/>
        </w:rPr>
        <w:t>T</w:t>
      </w:r>
      <w:r w:rsidR="00D940A3">
        <w:rPr>
          <w:szCs w:val="22"/>
        </w:rPr>
        <w:t xml:space="preserve">he Commission has consistently determined that </w:t>
      </w:r>
      <w:r w:rsidR="004F7ADA">
        <w:rPr>
          <w:szCs w:val="22"/>
        </w:rPr>
        <w:t>timely payment</w:t>
      </w:r>
      <w:r w:rsidR="00566220" w:rsidRPr="006763E1">
        <w:rPr>
          <w:szCs w:val="22"/>
        </w:rPr>
        <w:t xml:space="preserve"> </w:t>
      </w:r>
      <w:r w:rsidR="00F045B0">
        <w:rPr>
          <w:szCs w:val="22"/>
        </w:rPr>
        <w:t xml:space="preserve">of the initial down payment </w:t>
      </w:r>
      <w:r w:rsidR="00566220" w:rsidRPr="006763E1">
        <w:rPr>
          <w:szCs w:val="22"/>
        </w:rPr>
        <w:t xml:space="preserve">is </w:t>
      </w:r>
      <w:r w:rsidR="008839FB">
        <w:rPr>
          <w:szCs w:val="22"/>
        </w:rPr>
        <w:t xml:space="preserve">not only </w:t>
      </w:r>
      <w:r w:rsidR="00566220" w:rsidRPr="006763E1">
        <w:rPr>
          <w:szCs w:val="22"/>
        </w:rPr>
        <w:t>a valuable indicator of an applicant</w:t>
      </w:r>
      <w:r w:rsidR="00331EC0">
        <w:rPr>
          <w:szCs w:val="22"/>
        </w:rPr>
        <w:t>’</w:t>
      </w:r>
      <w:r w:rsidR="00566220" w:rsidRPr="006763E1">
        <w:rPr>
          <w:szCs w:val="22"/>
        </w:rPr>
        <w:t>s financial viability</w:t>
      </w:r>
      <w:r w:rsidR="00566220">
        <w:rPr>
          <w:szCs w:val="22"/>
        </w:rPr>
        <w:t xml:space="preserve"> </w:t>
      </w:r>
      <w:r w:rsidR="008839FB">
        <w:rPr>
          <w:szCs w:val="22"/>
        </w:rPr>
        <w:t>but also</w:t>
      </w:r>
      <w:r w:rsidR="00566220" w:rsidRPr="006763E1">
        <w:rPr>
          <w:szCs w:val="22"/>
        </w:rPr>
        <w:t xml:space="preserve"> essential to a fair and efficient auction process</w:t>
      </w:r>
      <w:r w:rsidR="00566220">
        <w:rPr>
          <w:szCs w:val="22"/>
        </w:rPr>
        <w:t>.</w:t>
      </w:r>
      <w:r w:rsidR="00566220">
        <w:rPr>
          <w:rStyle w:val="FootnoteReference"/>
          <w:szCs w:val="22"/>
        </w:rPr>
        <w:footnoteReference w:id="23"/>
      </w:r>
      <w:r w:rsidR="00566220">
        <w:rPr>
          <w:szCs w:val="22"/>
        </w:rPr>
        <w:t xml:space="preserve"> </w:t>
      </w:r>
      <w:r w:rsidR="000B6ADA">
        <w:rPr>
          <w:szCs w:val="22"/>
        </w:rPr>
        <w:t xml:space="preserve"> </w:t>
      </w:r>
      <w:r w:rsidR="00F045B0">
        <w:rPr>
          <w:szCs w:val="22"/>
        </w:rPr>
        <w:t xml:space="preserve">Indeed, as noted in the </w:t>
      </w:r>
      <w:r w:rsidR="00F045B0">
        <w:rPr>
          <w:i/>
          <w:szCs w:val="22"/>
        </w:rPr>
        <w:t xml:space="preserve">Staff Decision, </w:t>
      </w:r>
      <w:r w:rsidR="00F045B0">
        <w:rPr>
          <w:szCs w:val="22"/>
        </w:rPr>
        <w:t>the Commission has always drawn a sharp distinction in this regard between the initial down payment and subsequent or final payments, in light of their different functions and underlying purposes.</w:t>
      </w:r>
      <w:r w:rsidR="007B6486">
        <w:rPr>
          <w:rStyle w:val="FootnoteReference"/>
          <w:szCs w:val="22"/>
        </w:rPr>
        <w:footnoteReference w:id="24"/>
      </w:r>
      <w:r w:rsidR="00F045B0">
        <w:rPr>
          <w:szCs w:val="22"/>
        </w:rPr>
        <w:t xml:space="preserve">  </w:t>
      </w:r>
      <w:r w:rsidR="008839FB">
        <w:rPr>
          <w:szCs w:val="22"/>
        </w:rPr>
        <w:t xml:space="preserve">Thus, </w:t>
      </w:r>
      <w:r w:rsidR="00D42709">
        <w:rPr>
          <w:szCs w:val="22"/>
        </w:rPr>
        <w:t xml:space="preserve">when </w:t>
      </w:r>
      <w:r w:rsidR="008839FB">
        <w:rPr>
          <w:szCs w:val="22"/>
        </w:rPr>
        <w:t xml:space="preserve">codifying a ten-day grace period for </w:t>
      </w:r>
      <w:r w:rsidR="008839FB">
        <w:rPr>
          <w:i/>
          <w:szCs w:val="22"/>
        </w:rPr>
        <w:t xml:space="preserve">subsequent </w:t>
      </w:r>
      <w:r w:rsidR="008839FB">
        <w:rPr>
          <w:szCs w:val="22"/>
        </w:rPr>
        <w:t>payments, the Commission continued to insist on “strict enforcement” of the deadline for initial down payment.</w:t>
      </w:r>
      <w:r w:rsidR="008839FB">
        <w:rPr>
          <w:rStyle w:val="FootnoteReference"/>
          <w:szCs w:val="22"/>
        </w:rPr>
        <w:footnoteReference w:id="25"/>
      </w:r>
      <w:r w:rsidR="008839FB">
        <w:rPr>
          <w:szCs w:val="22"/>
        </w:rPr>
        <w:t xml:space="preserve">  </w:t>
      </w:r>
      <w:r w:rsidR="00D461E2">
        <w:t xml:space="preserve">Furthermore, </w:t>
      </w:r>
      <w:r w:rsidR="006E2FEF">
        <w:t xml:space="preserve">prior </w:t>
      </w:r>
      <w:r w:rsidR="00576B3C">
        <w:t xml:space="preserve">decisions upholding our policy of strictly enforcing this deadline have </w:t>
      </w:r>
      <w:r w:rsidR="006E2FEF">
        <w:t xml:space="preserve">provided </w:t>
      </w:r>
      <w:r w:rsidR="008839FB">
        <w:t xml:space="preserve">clear </w:t>
      </w:r>
      <w:r w:rsidR="00576B3C">
        <w:t xml:space="preserve">notice to auction winners that </w:t>
      </w:r>
      <w:r w:rsidR="00D461E2">
        <w:t>t</w:t>
      </w:r>
      <w:r w:rsidR="00566220">
        <w:t>he Commission “does not waive the first down payment deadline because its strict enforcement is essential to protect the integrity of the auctions process by preventing insincere bidding and to determine the financial qualifications of a new licensee to provide communication services</w:t>
      </w:r>
      <w:r w:rsidR="00C47197">
        <w:t>,</w:t>
      </w:r>
      <w:r w:rsidR="00566220">
        <w:t>”</w:t>
      </w:r>
      <w:r w:rsidR="00566220">
        <w:rPr>
          <w:rStyle w:val="FootnoteReference"/>
        </w:rPr>
        <w:footnoteReference w:id="26"/>
      </w:r>
      <w:r w:rsidR="00566220">
        <w:t xml:space="preserve"> </w:t>
      </w:r>
      <w:r w:rsidR="00C47197">
        <w:t>and,</w:t>
      </w:r>
      <w:r w:rsidR="00C47197">
        <w:rPr>
          <w:szCs w:val="22"/>
        </w:rPr>
        <w:t xml:space="preserve"> </w:t>
      </w:r>
      <w:r w:rsidR="006E2FEF">
        <w:rPr>
          <w:szCs w:val="22"/>
        </w:rPr>
        <w:t xml:space="preserve">as noted above, the </w:t>
      </w:r>
      <w:r w:rsidR="00C47197">
        <w:rPr>
          <w:i/>
        </w:rPr>
        <w:t>Auction 62</w:t>
      </w:r>
      <w:r w:rsidR="00C47197">
        <w:t xml:space="preserve"> </w:t>
      </w:r>
      <w:r w:rsidR="00C47197">
        <w:rPr>
          <w:i/>
        </w:rPr>
        <w:t xml:space="preserve">Closing Public Notice </w:t>
      </w:r>
      <w:r w:rsidR="00C47197">
        <w:t xml:space="preserve">specifically emphasized to bidders the importance of </w:t>
      </w:r>
      <w:r w:rsidR="008839FB">
        <w:t xml:space="preserve">taking appropriate steps – including “coordinat[ing] with their bankers ahead of time regarding their wire transfers” – to assure </w:t>
      </w:r>
      <w:r w:rsidR="00C47197">
        <w:t>that they would be in compliance with this obligation.</w:t>
      </w:r>
      <w:r w:rsidR="00C47197">
        <w:rPr>
          <w:rStyle w:val="FootnoteReference"/>
        </w:rPr>
        <w:footnoteReference w:id="27"/>
      </w:r>
      <w:r w:rsidR="00C47197">
        <w:t xml:space="preserve">  </w:t>
      </w:r>
    </w:p>
    <w:p w:rsidR="00725130" w:rsidRDefault="00302C59" w:rsidP="00725130">
      <w:pPr>
        <w:pStyle w:val="ParaNum"/>
      </w:pPr>
      <w:r>
        <w:rPr>
          <w:szCs w:val="22"/>
        </w:rPr>
        <w:t>T</w:t>
      </w:r>
      <w:r w:rsidR="00F31C46">
        <w:rPr>
          <w:szCs w:val="22"/>
        </w:rPr>
        <w:t xml:space="preserve">o date, </w:t>
      </w:r>
      <w:r w:rsidR="008D08D7">
        <w:t xml:space="preserve">every request by </w:t>
      </w:r>
      <w:r w:rsidR="007D031B">
        <w:t xml:space="preserve">an auction winner </w:t>
      </w:r>
      <w:r w:rsidR="008D08D7">
        <w:t xml:space="preserve">to waive any aspect of </w:t>
      </w:r>
      <w:r w:rsidR="006E2FEF">
        <w:t xml:space="preserve">its </w:t>
      </w:r>
      <w:r w:rsidR="008D08D7">
        <w:t xml:space="preserve">first </w:t>
      </w:r>
      <w:r w:rsidR="007D031B">
        <w:t xml:space="preserve">post-auction </w:t>
      </w:r>
      <w:r w:rsidR="008D08D7">
        <w:t>payment obligation</w:t>
      </w:r>
      <w:r w:rsidR="007D031B">
        <w:t xml:space="preserve"> has been denied</w:t>
      </w:r>
      <w:r w:rsidR="009C4D93">
        <w:t>,</w:t>
      </w:r>
      <w:r w:rsidR="008D08D7">
        <w:rPr>
          <w:rStyle w:val="FootnoteReference"/>
        </w:rPr>
        <w:footnoteReference w:id="28"/>
      </w:r>
      <w:r w:rsidR="00D461E2">
        <w:t xml:space="preserve"> </w:t>
      </w:r>
      <w:r w:rsidR="009C4D93">
        <w:t>and</w:t>
      </w:r>
      <w:r w:rsidR="007D031B">
        <w:t xml:space="preserve"> </w:t>
      </w:r>
      <w:r w:rsidR="00952314">
        <w:t>the Court of Appeals for the District of Columbia Circuit</w:t>
      </w:r>
      <w:r w:rsidR="00E92BDA">
        <w:t xml:space="preserve"> upheld </w:t>
      </w:r>
      <w:r w:rsidR="000F33B1">
        <w:t xml:space="preserve">our policy of </w:t>
      </w:r>
      <w:r w:rsidR="00E92BDA">
        <w:t xml:space="preserve">strict enforcement of </w:t>
      </w:r>
      <w:r w:rsidR="00D940A3">
        <w:t xml:space="preserve">an auction </w:t>
      </w:r>
      <w:r w:rsidR="00E92BDA">
        <w:t>payment deadline based on</w:t>
      </w:r>
      <w:r w:rsidR="00952314">
        <w:t xml:space="preserve"> </w:t>
      </w:r>
      <w:r w:rsidR="003D15C8">
        <w:t xml:space="preserve">the Commission’s </w:t>
      </w:r>
      <w:r w:rsidR="0094492F">
        <w:t xml:space="preserve">reasoning </w:t>
      </w:r>
      <w:r w:rsidR="00952314">
        <w:t>that</w:t>
      </w:r>
      <w:r w:rsidR="0094492F">
        <w:t xml:space="preserve"> </w:t>
      </w:r>
      <w:r w:rsidR="008A176A">
        <w:t>“the integrity and functioning of the auction process is dependent on having payment obligations on winning bids promptly met.”</w:t>
      </w:r>
      <w:r w:rsidR="008A176A">
        <w:rPr>
          <w:rStyle w:val="FootnoteReference"/>
        </w:rPr>
        <w:footnoteReference w:id="29"/>
      </w:r>
      <w:r w:rsidR="00BC552D">
        <w:t xml:space="preserve">  </w:t>
      </w:r>
      <w:r w:rsidR="009C4D93">
        <w:t>T</w:t>
      </w:r>
      <w:r w:rsidR="00361381">
        <w:t xml:space="preserve">he </w:t>
      </w:r>
      <w:r w:rsidR="00361381" w:rsidRPr="00361381">
        <w:rPr>
          <w:i/>
        </w:rPr>
        <w:t xml:space="preserve">Staff Decision </w:t>
      </w:r>
      <w:r w:rsidR="00177C8A">
        <w:t>is fully</w:t>
      </w:r>
      <w:r w:rsidR="00361381">
        <w:t xml:space="preserve"> consistent with </w:t>
      </w:r>
      <w:r w:rsidR="009C4D93">
        <w:t xml:space="preserve">this </w:t>
      </w:r>
      <w:r w:rsidR="00361381">
        <w:t>precedent, including cases involving similar factual situations where</w:t>
      </w:r>
      <w:r w:rsidR="009C4D93">
        <w:t>, for example,</w:t>
      </w:r>
      <w:r w:rsidR="00361381">
        <w:t xml:space="preserve"> unsuccessful waiver applicants blame</w:t>
      </w:r>
      <w:r w:rsidR="00184FA8">
        <w:t>d</w:t>
      </w:r>
      <w:r w:rsidR="00361381">
        <w:t xml:space="preserve"> a late down payment, in whole or in part, on a medical </w:t>
      </w:r>
      <w:r w:rsidR="00331EC0">
        <w:t>exigency</w:t>
      </w:r>
      <w:r w:rsidR="00361381">
        <w:t xml:space="preserve"> or bank error.</w:t>
      </w:r>
      <w:r w:rsidR="00361381">
        <w:rPr>
          <w:rStyle w:val="FootnoteReference"/>
        </w:rPr>
        <w:footnoteReference w:id="30"/>
      </w:r>
      <w:r w:rsidR="00361381">
        <w:t xml:space="preserve"> </w:t>
      </w:r>
    </w:p>
    <w:p w:rsidR="00725130" w:rsidRDefault="009C4D93" w:rsidP="00725130">
      <w:pPr>
        <w:pStyle w:val="ParaNum"/>
      </w:pPr>
      <w:r>
        <w:t>T</w:t>
      </w:r>
      <w:r w:rsidR="00B943C5">
        <w:t>he</w:t>
      </w:r>
      <w:r w:rsidR="00323205">
        <w:t xml:space="preserve"> </w:t>
      </w:r>
      <w:r w:rsidR="00323205" w:rsidRPr="00323205">
        <w:rPr>
          <w:i/>
        </w:rPr>
        <w:t>Staff Decision</w:t>
      </w:r>
      <w:r w:rsidR="00323205">
        <w:t xml:space="preserve"> </w:t>
      </w:r>
      <w:r w:rsidR="004924C2">
        <w:t xml:space="preserve">is </w:t>
      </w:r>
      <w:r>
        <w:t xml:space="preserve">also </w:t>
      </w:r>
      <w:r w:rsidR="004924C2">
        <w:t>consistent</w:t>
      </w:r>
      <w:r w:rsidR="007C237D">
        <w:t xml:space="preserve"> </w:t>
      </w:r>
      <w:r w:rsidR="00323205">
        <w:t xml:space="preserve">with </w:t>
      </w:r>
      <w:r w:rsidR="007C237D">
        <w:t>precedent</w:t>
      </w:r>
      <w:r w:rsidR="00323205">
        <w:t xml:space="preserve"> </w:t>
      </w:r>
      <w:r w:rsidR="007C237D">
        <w:t xml:space="preserve">regarding </w:t>
      </w:r>
      <w:r w:rsidR="00323205">
        <w:t xml:space="preserve">the very same </w:t>
      </w:r>
      <w:r w:rsidR="007C237D">
        <w:t xml:space="preserve">down payment deadline in the same </w:t>
      </w:r>
      <w:r w:rsidR="00323205">
        <w:t>auction.</w:t>
      </w:r>
      <w:r w:rsidR="00323205">
        <w:rPr>
          <w:rStyle w:val="FootnoteReference"/>
        </w:rPr>
        <w:footnoteReference w:id="31"/>
      </w:r>
      <w:r w:rsidR="00323205">
        <w:t xml:space="preserve">  </w:t>
      </w:r>
      <w:r w:rsidR="00633AD6">
        <w:t xml:space="preserve">In that matter, </w:t>
      </w:r>
      <w:r w:rsidR="00351353">
        <w:t>Kankakee Valley Broadcasting Co., Inc.</w:t>
      </w:r>
      <w:r w:rsidR="00633AD6">
        <w:t xml:space="preserve"> </w:t>
      </w:r>
      <w:r w:rsidR="00593601">
        <w:t xml:space="preserve">(Kankakee Valley) </w:t>
      </w:r>
      <w:r w:rsidR="00351353">
        <w:t>failed to meet its down payment</w:t>
      </w:r>
      <w:r w:rsidR="00633AD6">
        <w:t xml:space="preserve"> deadline </w:t>
      </w:r>
      <w:r w:rsidR="004924C2">
        <w:t>because</w:t>
      </w:r>
      <w:r w:rsidR="002D4FD4">
        <w:t xml:space="preserve"> </w:t>
      </w:r>
      <w:r w:rsidR="00351353">
        <w:t xml:space="preserve">its representative </w:t>
      </w:r>
      <w:r w:rsidR="004924C2">
        <w:t>was</w:t>
      </w:r>
      <w:r w:rsidR="00351353">
        <w:t xml:space="preserve"> out of town </w:t>
      </w:r>
      <w:r w:rsidR="00E94160">
        <w:t>due to</w:t>
      </w:r>
      <w:r w:rsidR="00351353">
        <w:t xml:space="preserve"> a medical condition</w:t>
      </w:r>
      <w:r w:rsidR="0067117E">
        <w:t>.</w:t>
      </w:r>
      <w:r w:rsidRPr="009C4D93">
        <w:t xml:space="preserve"> </w:t>
      </w:r>
      <w:r w:rsidR="004D0D13">
        <w:t xml:space="preserve"> </w:t>
      </w:r>
      <w:r w:rsidR="0067117E">
        <w:t xml:space="preserve">Kankakee Valley’s </w:t>
      </w:r>
      <w:r>
        <w:t xml:space="preserve">request for waiver </w:t>
      </w:r>
      <w:r w:rsidR="0067117E">
        <w:t>was denied</w:t>
      </w:r>
      <w:r w:rsidR="00351353">
        <w:t>.</w:t>
      </w:r>
      <w:r w:rsidR="00351353">
        <w:rPr>
          <w:rStyle w:val="FootnoteReference"/>
        </w:rPr>
        <w:footnoteReference w:id="32"/>
      </w:r>
      <w:r w:rsidR="007C237D">
        <w:t xml:space="preserve">  </w:t>
      </w:r>
      <w:r w:rsidR="00917F6D">
        <w:t>A</w:t>
      </w:r>
      <w:r w:rsidR="004D0D13">
        <w:t>ustin</w:t>
      </w:r>
      <w:r w:rsidR="00725130">
        <w:t xml:space="preserve"> asserts</w:t>
      </w:r>
      <w:r w:rsidR="00633AD6">
        <w:t>, however,</w:t>
      </w:r>
      <w:r w:rsidR="00725130">
        <w:t xml:space="preserve"> that his situation is distinguishable from </w:t>
      </w:r>
      <w:r w:rsidR="00725130" w:rsidRPr="00725130">
        <w:rPr>
          <w:rFonts w:ascii="Times New Roman Italic" w:hAnsi="Times New Roman Italic"/>
        </w:rPr>
        <w:t xml:space="preserve">Kankakee </w:t>
      </w:r>
      <w:r w:rsidR="00725130">
        <w:t>because his payment was one day late</w:t>
      </w:r>
      <w:r w:rsidR="0067117E">
        <w:t>,</w:t>
      </w:r>
      <w:r w:rsidR="00725130">
        <w:t xml:space="preserve"> whereas </w:t>
      </w:r>
      <w:r w:rsidR="0067117E">
        <w:t xml:space="preserve">Kankakee Valley’s </w:t>
      </w:r>
      <w:r w:rsidR="00725130">
        <w:t>payment was four months late.</w:t>
      </w:r>
      <w:r w:rsidR="0094492F">
        <w:rPr>
          <w:rStyle w:val="FootnoteReference"/>
        </w:rPr>
        <w:footnoteReference w:id="33"/>
      </w:r>
      <w:r w:rsidR="00725130">
        <w:t xml:space="preserve">  </w:t>
      </w:r>
      <w:r w:rsidR="00B33B06">
        <w:t xml:space="preserve">We conclude that this </w:t>
      </w:r>
      <w:r w:rsidR="00B33B06" w:rsidRPr="00BD52B8">
        <w:t xml:space="preserve">distinction is not </w:t>
      </w:r>
      <w:r w:rsidR="004924C2">
        <w:t xml:space="preserve">relevant where the </w:t>
      </w:r>
      <w:r w:rsidR="0067117E">
        <w:t xml:space="preserve">rules impose a firm deadline that is applicable to all applicants.  </w:t>
      </w:r>
      <w:r w:rsidR="00917F6D">
        <w:t>A</w:t>
      </w:r>
      <w:r w:rsidR="004D0D13">
        <w:t>ustin</w:t>
      </w:r>
      <w:r w:rsidR="00725130" w:rsidRPr="00BD52B8">
        <w:t xml:space="preserve"> and </w:t>
      </w:r>
      <w:r w:rsidR="00D4101F">
        <w:t xml:space="preserve">Kankakee Valley </w:t>
      </w:r>
      <w:r w:rsidR="00725130" w:rsidRPr="00BD52B8">
        <w:t xml:space="preserve">were both successful bidders in Auction 62, both had advance warning of the </w:t>
      </w:r>
      <w:r w:rsidR="001D7DF9">
        <w:t xml:space="preserve">down </w:t>
      </w:r>
      <w:r w:rsidR="00725130" w:rsidRPr="00BD52B8">
        <w:t>payment deadline, and both blamed their respective failures, in part, on medical situations</w:t>
      </w:r>
      <w:r w:rsidR="007F3297">
        <w:t xml:space="preserve">.  We agree with the </w:t>
      </w:r>
      <w:r w:rsidR="007F3297" w:rsidRPr="00F10E31">
        <w:rPr>
          <w:i/>
        </w:rPr>
        <w:t>Staff Decision</w:t>
      </w:r>
      <w:r w:rsidR="007F3297">
        <w:t xml:space="preserve"> that </w:t>
      </w:r>
      <w:r w:rsidR="002D611A">
        <w:t>A</w:t>
      </w:r>
      <w:r w:rsidR="004D0D13">
        <w:t>ustin</w:t>
      </w:r>
      <w:r w:rsidR="002D611A">
        <w:t xml:space="preserve">’s substantive </w:t>
      </w:r>
      <w:r w:rsidR="007F3297">
        <w:t xml:space="preserve">justification </w:t>
      </w:r>
      <w:r w:rsidR="002D611A">
        <w:t xml:space="preserve">did not </w:t>
      </w:r>
      <w:r w:rsidR="007F3297">
        <w:t>warrant a waiver of our down payment rule</w:t>
      </w:r>
      <w:r w:rsidR="008839FB">
        <w:t>.  A</w:t>
      </w:r>
      <w:r w:rsidR="00AE42A1">
        <w:t xml:space="preserve">bsent compelling factual circumstances not presented here, </w:t>
      </w:r>
      <w:r w:rsidR="007F3297">
        <w:t>we</w:t>
      </w:r>
      <w:r w:rsidR="007E455D">
        <w:t xml:space="preserve"> decline to adopt a</w:t>
      </w:r>
      <w:r w:rsidR="00AE42A1">
        <w:t xml:space="preserve">n arbitrary </w:t>
      </w:r>
      <w:r w:rsidR="007E455D">
        <w:t xml:space="preserve">distinction between </w:t>
      </w:r>
      <w:r w:rsidR="002D611A">
        <w:t>the W</w:t>
      </w:r>
      <w:r w:rsidR="007F3297">
        <w:t xml:space="preserve">aiver </w:t>
      </w:r>
      <w:r w:rsidR="002D611A">
        <w:t>R</w:t>
      </w:r>
      <w:r w:rsidR="007F3297">
        <w:t>equest</w:t>
      </w:r>
      <w:r w:rsidR="002D611A">
        <w:t xml:space="preserve"> and the Kankakee Valley request </w:t>
      </w:r>
      <w:r w:rsidR="007E455D">
        <w:t xml:space="preserve">based </w:t>
      </w:r>
      <w:r w:rsidR="00AE42A1">
        <w:t xml:space="preserve">solely on the issue of </w:t>
      </w:r>
      <w:r w:rsidR="007E455D">
        <w:t>how long is too long for a missed deadline</w:t>
      </w:r>
      <w:r w:rsidR="00725130" w:rsidRPr="00BD52B8">
        <w:t>.</w:t>
      </w:r>
      <w:r w:rsidR="0094492F" w:rsidRPr="00BD52B8">
        <w:rPr>
          <w:rStyle w:val="FootnoteReference"/>
        </w:rPr>
        <w:footnoteReference w:id="34"/>
      </w:r>
      <w:r w:rsidR="00725130" w:rsidRPr="00BD52B8">
        <w:t xml:space="preserve">  </w:t>
      </w:r>
      <w:r w:rsidR="008839FB">
        <w:t>We are reluctant to forego “the gain in certainty and administrative ease” notwithstanding “some hardship in individual cases,”</w:t>
      </w:r>
      <w:r w:rsidR="008839FB">
        <w:rPr>
          <w:rStyle w:val="FootnoteReference"/>
        </w:rPr>
        <w:footnoteReference w:id="35"/>
      </w:r>
      <w:r w:rsidR="008839FB">
        <w:t xml:space="preserve"> in the absence of any objective standards for or showing of unique circumstances warranting a waiver.  </w:t>
      </w:r>
      <w:r w:rsidR="00EC0F48">
        <w:t>We also emphasize</w:t>
      </w:r>
      <w:r w:rsidR="0073226E">
        <w:t xml:space="preserve"> that </w:t>
      </w:r>
      <w:r w:rsidR="00917F6D">
        <w:t>A</w:t>
      </w:r>
      <w:r w:rsidR="00F47848">
        <w:t>ustin</w:t>
      </w:r>
      <w:r w:rsidR="00CB1B2A">
        <w:t xml:space="preserve">’s </w:t>
      </w:r>
      <w:r w:rsidR="001D7DF9">
        <w:t xml:space="preserve">considerable </w:t>
      </w:r>
      <w:r w:rsidR="00CB1B2A">
        <w:t>delay in request</w:t>
      </w:r>
      <w:r w:rsidR="004228BC">
        <w:t>ing a</w:t>
      </w:r>
      <w:r w:rsidR="00CB1B2A">
        <w:t xml:space="preserve"> waiver of the Commission’s payment rule, despite knowing that </w:t>
      </w:r>
      <w:r w:rsidR="001F2A5F">
        <w:t xml:space="preserve">he </w:t>
      </w:r>
      <w:r w:rsidR="00CB1B2A">
        <w:t>missed the deadline</w:t>
      </w:r>
      <w:r w:rsidR="0073226E">
        <w:t>,</w:t>
      </w:r>
      <w:r w:rsidR="00CB1B2A">
        <w:t xml:space="preserve"> </w:t>
      </w:r>
      <w:r w:rsidR="00B943C5">
        <w:t>was no less significant than</w:t>
      </w:r>
      <w:r w:rsidR="00CB1B2A">
        <w:t xml:space="preserve"> Kankakee</w:t>
      </w:r>
      <w:r w:rsidR="00F47848">
        <w:t xml:space="preserve"> Valley</w:t>
      </w:r>
      <w:r w:rsidR="00CB1B2A">
        <w:t>’s failu</w:t>
      </w:r>
      <w:r w:rsidR="0073226E">
        <w:t xml:space="preserve">re to take timely action and, contrary to </w:t>
      </w:r>
      <w:r w:rsidR="00917F6D">
        <w:t>A</w:t>
      </w:r>
      <w:r w:rsidR="004D0D13">
        <w:t>ustin</w:t>
      </w:r>
      <w:r w:rsidR="0073226E">
        <w:t xml:space="preserve">’s claims, </w:t>
      </w:r>
      <w:r w:rsidR="001E6BBE">
        <w:t xml:space="preserve">also </w:t>
      </w:r>
      <w:r w:rsidR="00CB1B2A">
        <w:t>create</w:t>
      </w:r>
      <w:r w:rsidR="0073226E">
        <w:t>d</w:t>
      </w:r>
      <w:r w:rsidR="00CB1B2A">
        <w:t xml:space="preserve"> substantial licensing delays.</w:t>
      </w:r>
      <w:r w:rsidR="0073226E">
        <w:rPr>
          <w:rStyle w:val="FootnoteReference"/>
        </w:rPr>
        <w:footnoteReference w:id="36"/>
      </w:r>
      <w:r w:rsidR="00CB1B2A">
        <w:t xml:space="preserve"> </w:t>
      </w:r>
      <w:r w:rsidR="004D0D13">
        <w:t xml:space="preserve"> </w:t>
      </w:r>
      <w:r w:rsidR="00917F6D">
        <w:t>A</w:t>
      </w:r>
      <w:r w:rsidR="004D0D13">
        <w:t>ustin</w:t>
      </w:r>
      <w:r w:rsidR="007C237D">
        <w:t xml:space="preserve">’s </w:t>
      </w:r>
      <w:r w:rsidR="00EE5C40">
        <w:t>attempt</w:t>
      </w:r>
      <w:r w:rsidR="007C237D">
        <w:t xml:space="preserve"> to argue that his delay in making his down payment was </w:t>
      </w:r>
      <w:r w:rsidR="00AF6A76">
        <w:t xml:space="preserve">somehow </w:t>
      </w:r>
      <w:r w:rsidR="007C237D">
        <w:t xml:space="preserve">less </w:t>
      </w:r>
      <w:r w:rsidR="001D7DF9">
        <w:t>consequential</w:t>
      </w:r>
      <w:r w:rsidR="007C237D" w:rsidRPr="007C237D">
        <w:rPr>
          <w:i/>
        </w:rPr>
        <w:t xml:space="preserve"> </w:t>
      </w:r>
      <w:r w:rsidR="007C237D">
        <w:t xml:space="preserve">does not persuade us that the </w:t>
      </w:r>
      <w:r w:rsidR="007C237D" w:rsidRPr="000773BC">
        <w:rPr>
          <w:i/>
        </w:rPr>
        <w:t>Staff Decision</w:t>
      </w:r>
      <w:r w:rsidR="007C237D">
        <w:t xml:space="preserve"> was erroneous in any factual or material respect.</w:t>
      </w:r>
      <w:r w:rsidR="007C237D">
        <w:rPr>
          <w:rStyle w:val="FootnoteReference"/>
        </w:rPr>
        <w:footnoteReference w:id="37"/>
      </w:r>
      <w:r w:rsidR="007C237D">
        <w:t xml:space="preserve">  </w:t>
      </w:r>
    </w:p>
    <w:p w:rsidR="00F9268A" w:rsidRPr="00725130" w:rsidRDefault="001F2A5F" w:rsidP="00F9268A">
      <w:pPr>
        <w:pStyle w:val="ParaNum"/>
      </w:pPr>
      <w:r>
        <w:t>W</w:t>
      </w:r>
      <w:r w:rsidR="00F9268A">
        <w:t xml:space="preserve">e also </w:t>
      </w:r>
      <w:r w:rsidR="00CF1327">
        <w:t xml:space="preserve">disagree with </w:t>
      </w:r>
      <w:r w:rsidR="004D0D13">
        <w:t>the</w:t>
      </w:r>
      <w:r w:rsidR="00F9268A">
        <w:t xml:space="preserve"> argument that cases relied on by the </w:t>
      </w:r>
      <w:r w:rsidR="00F9268A" w:rsidRPr="00BE0373">
        <w:rPr>
          <w:i/>
        </w:rPr>
        <w:t>Staff</w:t>
      </w:r>
      <w:r w:rsidR="00F9268A">
        <w:t xml:space="preserve"> </w:t>
      </w:r>
      <w:r w:rsidR="00F9268A" w:rsidRPr="00BE0373">
        <w:rPr>
          <w:i/>
        </w:rPr>
        <w:t>Decision</w:t>
      </w:r>
      <w:r w:rsidR="00486FEF" w:rsidRPr="00486FEF">
        <w:t>, namely</w:t>
      </w:r>
      <w:r w:rsidR="00486FEF">
        <w:rPr>
          <w:i/>
        </w:rPr>
        <w:t xml:space="preserve"> Mountain Solutions </w:t>
      </w:r>
      <w:r w:rsidR="00486FEF" w:rsidRPr="00357153">
        <w:t>and</w:t>
      </w:r>
      <w:r w:rsidR="00486FEF">
        <w:rPr>
          <w:i/>
        </w:rPr>
        <w:t xml:space="preserve"> MFRI,</w:t>
      </w:r>
      <w:r w:rsidR="00F9268A">
        <w:t xml:space="preserve"> demonstrate that a waiver is warranted in his circumstances.</w:t>
      </w:r>
      <w:r w:rsidR="00F9268A">
        <w:rPr>
          <w:rStyle w:val="FootnoteReference"/>
        </w:rPr>
        <w:footnoteReference w:id="38"/>
      </w:r>
      <w:r w:rsidR="00F9268A">
        <w:t xml:space="preserve">  </w:t>
      </w:r>
      <w:r w:rsidR="00917F6D">
        <w:t>A</w:t>
      </w:r>
      <w:r w:rsidR="004D0D13">
        <w:t>ustin</w:t>
      </w:r>
      <w:r w:rsidR="00F9268A">
        <w:t xml:space="preserve"> maintains that the </w:t>
      </w:r>
      <w:r w:rsidR="00B261D9">
        <w:t>c</w:t>
      </w:r>
      <w:r w:rsidR="00F9268A">
        <w:t xml:space="preserve">ourt in </w:t>
      </w:r>
      <w:r w:rsidR="00F9268A" w:rsidRPr="00BE0373">
        <w:rPr>
          <w:i/>
        </w:rPr>
        <w:t>Mountain Solutions</w:t>
      </w:r>
      <w:r w:rsidR="00486FEF">
        <w:rPr>
          <w:i/>
        </w:rPr>
        <w:t xml:space="preserve"> </w:t>
      </w:r>
      <w:r w:rsidR="00F9268A">
        <w:t>noted with “apparent approval” cases where the Commission had granted waivers to applicants whose payment was one day late due to inadvertent error.</w:t>
      </w:r>
      <w:r w:rsidR="00F9268A">
        <w:rPr>
          <w:rStyle w:val="FootnoteReference"/>
        </w:rPr>
        <w:footnoteReference w:id="39"/>
      </w:r>
      <w:r w:rsidR="00F9268A">
        <w:t xml:space="preserve">  </w:t>
      </w:r>
      <w:r w:rsidR="004D0D13">
        <w:t>He</w:t>
      </w:r>
      <w:r w:rsidR="00F9268A">
        <w:t xml:space="preserve"> likens his situation to those matters</w:t>
      </w:r>
      <w:r w:rsidR="00F9268A" w:rsidRPr="00C34C9F">
        <w:t xml:space="preserve"> </w:t>
      </w:r>
      <w:r w:rsidR="00F9268A">
        <w:t>by characterizing himself as “the inadvertent victim of unfortunate circumstances on the due date.”</w:t>
      </w:r>
      <w:r w:rsidR="00F9268A">
        <w:rPr>
          <w:rStyle w:val="FootnoteReference"/>
        </w:rPr>
        <w:footnoteReference w:id="40"/>
      </w:r>
      <w:r w:rsidR="00F9268A">
        <w:t xml:space="preserve">  </w:t>
      </w:r>
      <w:r w:rsidR="004D0D13">
        <w:t xml:space="preserve">His </w:t>
      </w:r>
      <w:r w:rsidR="00F9268A">
        <w:t xml:space="preserve">circumstances, however, are distinguishable from the cases cited in </w:t>
      </w:r>
      <w:r w:rsidR="00F9268A" w:rsidRPr="00BE0373">
        <w:rPr>
          <w:i/>
        </w:rPr>
        <w:t xml:space="preserve">Mountain Solutions, </w:t>
      </w:r>
      <w:r w:rsidR="00F9268A">
        <w:t xml:space="preserve">because in all of those matters the bidders </w:t>
      </w:r>
      <w:r w:rsidR="00B261D9">
        <w:t xml:space="preserve">had already </w:t>
      </w:r>
      <w:r w:rsidR="00F9268A">
        <w:t>timely made their first post-auction down payments and only sought and received a waiver of the deadline for their second down payment.</w:t>
      </w:r>
      <w:r w:rsidR="00F9268A">
        <w:rPr>
          <w:rStyle w:val="FootnoteReference"/>
        </w:rPr>
        <w:footnoteReference w:id="41"/>
      </w:r>
      <w:r w:rsidR="00F9268A">
        <w:t xml:space="preserve">  </w:t>
      </w:r>
      <w:r w:rsidR="00B261D9">
        <w:t>As noted above</w:t>
      </w:r>
      <w:r w:rsidR="00F9268A">
        <w:t xml:space="preserve">, the Commission has consistently distinguished between defaults on the initial down payment, due days after the auction’s close, and defaults later in the </w:t>
      </w:r>
      <w:r w:rsidR="00FD32FD">
        <w:t>post-</w:t>
      </w:r>
      <w:r w:rsidR="00F9268A">
        <w:t>auction process.</w:t>
      </w:r>
      <w:r w:rsidR="00F9268A">
        <w:rPr>
          <w:rStyle w:val="FootnoteReference"/>
        </w:rPr>
        <w:footnoteReference w:id="42"/>
      </w:r>
      <w:r w:rsidR="00F9268A">
        <w:t xml:space="preserve"> </w:t>
      </w:r>
      <w:r w:rsidR="00BF5F35">
        <w:t xml:space="preserve"> </w:t>
      </w:r>
      <w:r w:rsidR="004D0D13">
        <w:t xml:space="preserve">The </w:t>
      </w:r>
      <w:r w:rsidR="00917F6D">
        <w:t>Applicat</w:t>
      </w:r>
      <w:r w:rsidR="004D0D13">
        <w:t>ion</w:t>
      </w:r>
      <w:r w:rsidR="00BF5F35">
        <w:t xml:space="preserve"> </w:t>
      </w:r>
      <w:r w:rsidR="004D0D13">
        <w:t xml:space="preserve">for Review </w:t>
      </w:r>
      <w:r w:rsidR="000F33B1">
        <w:t>therefore fails</w:t>
      </w:r>
      <w:r w:rsidR="00BF5F35">
        <w:t xml:space="preserve"> to demonstrate that </w:t>
      </w:r>
      <w:r w:rsidR="00113B6B">
        <w:t xml:space="preserve">the </w:t>
      </w:r>
      <w:r w:rsidR="00113B6B" w:rsidRPr="00113B6B">
        <w:rPr>
          <w:i/>
        </w:rPr>
        <w:t>Staff Decision</w:t>
      </w:r>
      <w:r w:rsidR="00113B6B">
        <w:t xml:space="preserve"> </w:t>
      </w:r>
      <w:r w:rsidR="00113B6B" w:rsidRPr="00C23766">
        <w:rPr>
          <w:rStyle w:val="documentbody1"/>
          <w:rFonts w:ascii="Times New Roman" w:hAnsi="Times New Roman"/>
          <w:sz w:val="22"/>
          <w:szCs w:val="22"/>
        </w:rPr>
        <w:t>conflicts with precedent or established Commission policy</w:t>
      </w:r>
      <w:r w:rsidR="00113B6B">
        <w:t xml:space="preserve"> or that </w:t>
      </w:r>
      <w:r w:rsidR="00BF5F35">
        <w:t xml:space="preserve">his circumstances </w:t>
      </w:r>
      <w:r w:rsidR="00BF5F35">
        <w:rPr>
          <w:rStyle w:val="documentbody1"/>
          <w:rFonts w:ascii="Times New Roman" w:hAnsi="Times New Roman"/>
          <w:sz w:val="22"/>
          <w:szCs w:val="22"/>
        </w:rPr>
        <w:t>involve an</w:t>
      </w:r>
      <w:r w:rsidR="00BF5F35" w:rsidRPr="00C23766">
        <w:rPr>
          <w:rStyle w:val="documentbody1"/>
          <w:rFonts w:ascii="Times New Roman" w:hAnsi="Times New Roman"/>
          <w:sz w:val="22"/>
          <w:szCs w:val="22"/>
        </w:rPr>
        <w:t xml:space="preserve"> application of a </w:t>
      </w:r>
      <w:r w:rsidR="00BF5F35">
        <w:rPr>
          <w:rStyle w:val="documentbody1"/>
          <w:rFonts w:ascii="Times New Roman" w:hAnsi="Times New Roman"/>
          <w:sz w:val="22"/>
          <w:szCs w:val="22"/>
        </w:rPr>
        <w:t xml:space="preserve">Commission </w:t>
      </w:r>
      <w:r w:rsidR="00BF5F35" w:rsidRPr="00C23766">
        <w:rPr>
          <w:rStyle w:val="documentbody1"/>
          <w:rFonts w:ascii="Times New Roman" w:hAnsi="Times New Roman"/>
          <w:sz w:val="22"/>
          <w:szCs w:val="22"/>
        </w:rPr>
        <w:t>precedent or policy that should be overturned</w:t>
      </w:r>
      <w:r w:rsidR="00BF5F35">
        <w:rPr>
          <w:rStyle w:val="documentbody1"/>
          <w:rFonts w:ascii="Times New Roman" w:hAnsi="Times New Roman"/>
          <w:sz w:val="22"/>
          <w:szCs w:val="22"/>
        </w:rPr>
        <w:t>.</w:t>
      </w:r>
      <w:r w:rsidR="00BF5F35">
        <w:rPr>
          <w:rStyle w:val="FootnoteReference"/>
          <w:szCs w:val="22"/>
        </w:rPr>
        <w:footnoteReference w:id="43"/>
      </w:r>
    </w:p>
    <w:p w:rsidR="00CC3BE5" w:rsidRDefault="009173B6" w:rsidP="00AA3B1C">
      <w:pPr>
        <w:pStyle w:val="ParaNum"/>
      </w:pPr>
      <w:r>
        <w:t xml:space="preserve">We </w:t>
      </w:r>
      <w:r w:rsidR="000E2CD0">
        <w:t xml:space="preserve">also </w:t>
      </w:r>
      <w:r w:rsidR="001F2A5F">
        <w:t xml:space="preserve">disagree with </w:t>
      </w:r>
      <w:r w:rsidR="00917F6D">
        <w:t>A</w:t>
      </w:r>
      <w:r w:rsidR="004D0D13">
        <w:t>ustin</w:t>
      </w:r>
      <w:r>
        <w:t>’s contention</w:t>
      </w:r>
      <w:r w:rsidR="006F3672">
        <w:t xml:space="preserve"> that</w:t>
      </w:r>
      <w:r w:rsidR="000E2CD0">
        <w:t>, because he had sufficient funds in his bank account on the payment deadline,</w:t>
      </w:r>
      <w:r w:rsidR="006F3672">
        <w:t xml:space="preserve"> </w:t>
      </w:r>
      <w:r w:rsidR="00177C8A" w:rsidRPr="00862197">
        <w:t xml:space="preserve">strict enforcement </w:t>
      </w:r>
      <w:r w:rsidR="00177C8A">
        <w:t>of the payment deadline does</w:t>
      </w:r>
      <w:r w:rsidR="00177C8A" w:rsidRPr="00862197">
        <w:t xml:space="preserve"> not serve the underlying purpose</w:t>
      </w:r>
      <w:r w:rsidR="00B261D9">
        <w:t>s</w:t>
      </w:r>
      <w:r w:rsidR="00177C8A" w:rsidRPr="00862197">
        <w:t xml:space="preserve"> </w:t>
      </w:r>
      <w:r w:rsidR="00177C8A">
        <w:t>of s</w:t>
      </w:r>
      <w:r w:rsidR="00177C8A" w:rsidRPr="000B58EA">
        <w:t>ection 1.2107(b)</w:t>
      </w:r>
      <w:r w:rsidR="00177C8A">
        <w:t xml:space="preserve"> of the rules</w:t>
      </w:r>
      <w:r w:rsidR="00177C8A" w:rsidRPr="000B58EA">
        <w:t>.</w:t>
      </w:r>
      <w:r w:rsidR="00917E22">
        <w:rPr>
          <w:rStyle w:val="FootnoteReference"/>
        </w:rPr>
        <w:footnoteReference w:id="44"/>
      </w:r>
      <w:r w:rsidR="00177C8A" w:rsidRPr="00862197">
        <w:t> </w:t>
      </w:r>
      <w:r w:rsidR="00177C8A">
        <w:t xml:space="preserve"> </w:t>
      </w:r>
      <w:r w:rsidR="00B261D9">
        <w:t xml:space="preserve">As noted above, those purposes include not only assurance of ability to pay but also </w:t>
      </w:r>
      <w:r w:rsidR="008268B0">
        <w:t>safeguarding the integrity of the auction process by avoiding opportunities to game the auction process</w:t>
      </w:r>
      <w:r w:rsidR="00A0444D">
        <w:t>.</w:t>
      </w:r>
      <w:r w:rsidR="008268B0">
        <w:rPr>
          <w:rStyle w:val="FootnoteReference"/>
        </w:rPr>
        <w:footnoteReference w:id="45"/>
      </w:r>
      <w:r w:rsidR="00A0444D">
        <w:t xml:space="preserve">  Moreover</w:t>
      </w:r>
      <w:r w:rsidR="000E2CD0">
        <w:t xml:space="preserve">, </w:t>
      </w:r>
      <w:r w:rsidR="0054242D">
        <w:t>the rule</w:t>
      </w:r>
      <w:r w:rsidR="00B163E1">
        <w:t xml:space="preserve"> </w:t>
      </w:r>
      <w:r w:rsidR="00B85441">
        <w:t xml:space="preserve">also </w:t>
      </w:r>
      <w:r w:rsidR="00B163E1">
        <w:t>serves a broader purpose</w:t>
      </w:r>
      <w:r w:rsidR="00B163E1" w:rsidDel="00B163E1">
        <w:t xml:space="preserve"> </w:t>
      </w:r>
      <w:r w:rsidR="00B163E1">
        <w:t>because it eliminates the need for</w:t>
      </w:r>
      <w:r w:rsidR="00F237BA">
        <w:t xml:space="preserve"> </w:t>
      </w:r>
      <w:r w:rsidR="000F33B1">
        <w:t xml:space="preserve">the Commission </w:t>
      </w:r>
      <w:r w:rsidR="00F237BA">
        <w:t xml:space="preserve">to </w:t>
      </w:r>
      <w:r w:rsidR="000F33B1">
        <w:t>undertake an</w:t>
      </w:r>
      <w:r w:rsidR="00F237BA">
        <w:t xml:space="preserve"> individualized analysis</w:t>
      </w:r>
      <w:r w:rsidR="00CE75B5">
        <w:t xml:space="preserve"> of </w:t>
      </w:r>
      <w:r w:rsidR="00AF6A76">
        <w:t xml:space="preserve">the financial circumstances of </w:t>
      </w:r>
      <w:r w:rsidR="0054242D">
        <w:t xml:space="preserve">each </w:t>
      </w:r>
      <w:r w:rsidR="00CE75B5">
        <w:t>auction applicant</w:t>
      </w:r>
      <w:r w:rsidR="00B163E1">
        <w:t>.</w:t>
      </w:r>
      <w:r w:rsidR="006F3672" w:rsidRPr="00862197">
        <w:t xml:space="preserve">  If </w:t>
      </w:r>
      <w:r w:rsidR="004D0D13">
        <w:t>this</w:t>
      </w:r>
      <w:r w:rsidR="008E36E2">
        <w:t xml:space="preserve"> argument </w:t>
      </w:r>
      <w:r w:rsidR="000E2CD0">
        <w:t xml:space="preserve">were </w:t>
      </w:r>
      <w:r w:rsidR="008E36E2">
        <w:t>correct</w:t>
      </w:r>
      <w:r w:rsidR="006F3672" w:rsidRPr="00862197">
        <w:t xml:space="preserve">, any winning bidder </w:t>
      </w:r>
      <w:r w:rsidR="000E2CD0">
        <w:t xml:space="preserve">that </w:t>
      </w:r>
      <w:r w:rsidR="006F3672" w:rsidRPr="00862197">
        <w:t xml:space="preserve">could show it had </w:t>
      </w:r>
      <w:r w:rsidR="00AF6A76">
        <w:t xml:space="preserve">had </w:t>
      </w:r>
      <w:r w:rsidR="006F3672" w:rsidRPr="00862197">
        <w:t xml:space="preserve">the required amount of funds in its bank account </w:t>
      </w:r>
      <w:r w:rsidR="00AF6A76">
        <w:t xml:space="preserve">at the time the initial down payment was due </w:t>
      </w:r>
      <w:r w:rsidR="006F3672" w:rsidRPr="00862197">
        <w:t xml:space="preserve">could justify a </w:t>
      </w:r>
      <w:r w:rsidR="00917E22">
        <w:t xml:space="preserve">request for </w:t>
      </w:r>
      <w:r w:rsidR="006F3672" w:rsidRPr="00862197">
        <w:t xml:space="preserve">waiver </w:t>
      </w:r>
      <w:r w:rsidR="00F462B6">
        <w:t xml:space="preserve">of the deadline seeking </w:t>
      </w:r>
      <w:r w:rsidR="00E7139E">
        <w:t>an</w:t>
      </w:r>
      <w:r w:rsidR="00917E22">
        <w:t xml:space="preserve"> extension </w:t>
      </w:r>
      <w:r w:rsidR="00F462B6">
        <w:t>for</w:t>
      </w:r>
      <w:r w:rsidR="00917E22">
        <w:t xml:space="preserve"> </w:t>
      </w:r>
      <w:r w:rsidR="00E7139E">
        <w:t xml:space="preserve">any length of </w:t>
      </w:r>
      <w:r w:rsidR="00917E22">
        <w:t xml:space="preserve">time. </w:t>
      </w:r>
      <w:r w:rsidR="004650E2">
        <w:t xml:space="preserve"> </w:t>
      </w:r>
      <w:r>
        <w:t>I</w:t>
      </w:r>
      <w:r w:rsidR="00126954">
        <w:t xml:space="preserve">n adopting the down payment rule, the Commission </w:t>
      </w:r>
      <w:r w:rsidR="008E36E2">
        <w:t xml:space="preserve">explained </w:t>
      </w:r>
      <w:r w:rsidR="00126954">
        <w:t>that the requirement for timely</w:t>
      </w:r>
      <w:r w:rsidR="006F3672" w:rsidRPr="00862197">
        <w:t xml:space="preserve"> </w:t>
      </w:r>
      <w:r w:rsidR="00126954">
        <w:t>payment</w:t>
      </w:r>
      <w:r w:rsidR="006F3672" w:rsidRPr="00862197">
        <w:t xml:space="preserve"> uphold</w:t>
      </w:r>
      <w:r w:rsidR="00A847A9">
        <w:t xml:space="preserve">s the integrity of </w:t>
      </w:r>
      <w:r w:rsidR="003833F7">
        <w:t>the</w:t>
      </w:r>
      <w:r w:rsidR="00A847A9">
        <w:t xml:space="preserve"> competitive </w:t>
      </w:r>
      <w:r w:rsidR="006F3672" w:rsidRPr="00862197">
        <w:t xml:space="preserve">bidding </w:t>
      </w:r>
      <w:r w:rsidR="008402B2">
        <w:t xml:space="preserve">and licensing </w:t>
      </w:r>
      <w:r w:rsidR="006F3672" w:rsidRPr="00862197">
        <w:t>process</w:t>
      </w:r>
      <w:r w:rsidR="008402B2">
        <w:t>es</w:t>
      </w:r>
      <w:r w:rsidR="00F462B6">
        <w:t>.</w:t>
      </w:r>
      <w:r w:rsidR="00F462B6">
        <w:rPr>
          <w:rStyle w:val="FootnoteReference"/>
        </w:rPr>
        <w:footnoteReference w:id="46"/>
      </w:r>
      <w:r w:rsidR="00F462B6">
        <w:t xml:space="preserve">  To this end,</w:t>
      </w:r>
      <w:r w:rsidR="00A847A9">
        <w:t xml:space="preserve"> a</w:t>
      </w:r>
      <w:r w:rsidR="00126954">
        <w:t xml:space="preserve"> uniform</w:t>
      </w:r>
      <w:r w:rsidR="00F237BA">
        <w:t xml:space="preserve"> and </w:t>
      </w:r>
      <w:r w:rsidR="003833F7">
        <w:t xml:space="preserve">predictable </w:t>
      </w:r>
      <w:r w:rsidR="006F3672" w:rsidRPr="00862197">
        <w:t>application of the rule serve</w:t>
      </w:r>
      <w:r w:rsidR="00A847A9">
        <w:t>s</w:t>
      </w:r>
      <w:r w:rsidR="006F3672" w:rsidRPr="00862197">
        <w:t xml:space="preserve"> its underlying purpose</w:t>
      </w:r>
      <w:r w:rsidR="00790905">
        <w:t xml:space="preserve"> </w:t>
      </w:r>
      <w:r w:rsidR="00300612">
        <w:t xml:space="preserve">and, accordingly, </w:t>
      </w:r>
      <w:r w:rsidR="00790905">
        <w:t>the public interest</w:t>
      </w:r>
      <w:r w:rsidR="006F3672" w:rsidRPr="00862197">
        <w:t xml:space="preserve">. </w:t>
      </w:r>
      <w:r w:rsidR="00CA7DA6">
        <w:t xml:space="preserve"> </w:t>
      </w:r>
      <w:r w:rsidR="00CB3CE0">
        <w:rPr>
          <w:szCs w:val="22"/>
        </w:rPr>
        <w:t xml:space="preserve">This does not mean, as </w:t>
      </w:r>
      <w:r w:rsidR="00917F6D">
        <w:rPr>
          <w:szCs w:val="22"/>
        </w:rPr>
        <w:t>A</w:t>
      </w:r>
      <w:r w:rsidR="004650E2">
        <w:rPr>
          <w:szCs w:val="22"/>
        </w:rPr>
        <w:t>ustin</w:t>
      </w:r>
      <w:r w:rsidR="00CB3CE0">
        <w:rPr>
          <w:szCs w:val="22"/>
        </w:rPr>
        <w:t xml:space="preserve"> contends</w:t>
      </w:r>
      <w:r w:rsidR="00730B96">
        <w:rPr>
          <w:szCs w:val="22"/>
        </w:rPr>
        <w:t>,</w:t>
      </w:r>
      <w:r w:rsidR="00CB3CE0">
        <w:rPr>
          <w:szCs w:val="22"/>
        </w:rPr>
        <w:t xml:space="preserve"> that </w:t>
      </w:r>
      <w:r w:rsidR="00730B96" w:rsidRPr="00CA7DA6">
        <w:rPr>
          <w:color w:val="000000"/>
          <w:szCs w:val="22"/>
        </w:rPr>
        <w:t xml:space="preserve">the Commission has foreclosed the possibility that some combination of circumstances might warrant a waiver of </w:t>
      </w:r>
      <w:r w:rsidR="00113B6B">
        <w:rPr>
          <w:color w:val="000000"/>
          <w:szCs w:val="22"/>
        </w:rPr>
        <w:t>the</w:t>
      </w:r>
      <w:r w:rsidR="00730B96" w:rsidRPr="00CA7DA6">
        <w:rPr>
          <w:color w:val="000000"/>
          <w:szCs w:val="22"/>
        </w:rPr>
        <w:t xml:space="preserve"> down payment</w:t>
      </w:r>
      <w:r w:rsidR="00730B96">
        <w:rPr>
          <w:color w:val="000000"/>
          <w:szCs w:val="22"/>
        </w:rPr>
        <w:t xml:space="preserve"> deadline</w:t>
      </w:r>
      <w:r w:rsidR="002923C5">
        <w:rPr>
          <w:color w:val="000000"/>
          <w:szCs w:val="22"/>
        </w:rPr>
        <w:t xml:space="preserve"> in the future,</w:t>
      </w:r>
      <w:r w:rsidR="008E36E2">
        <w:rPr>
          <w:rStyle w:val="FootnoteReference"/>
          <w:szCs w:val="22"/>
        </w:rPr>
        <w:footnoteReference w:id="47"/>
      </w:r>
      <w:r w:rsidR="00730B96">
        <w:rPr>
          <w:color w:val="000000"/>
          <w:szCs w:val="22"/>
        </w:rPr>
        <w:t xml:space="preserve"> </w:t>
      </w:r>
      <w:r w:rsidR="002923C5">
        <w:rPr>
          <w:color w:val="000000"/>
          <w:szCs w:val="22"/>
        </w:rPr>
        <w:t xml:space="preserve">but </w:t>
      </w:r>
      <w:r w:rsidR="004650E2">
        <w:rPr>
          <w:color w:val="000000"/>
          <w:szCs w:val="22"/>
        </w:rPr>
        <w:t>he</w:t>
      </w:r>
      <w:r w:rsidR="003833F7">
        <w:rPr>
          <w:color w:val="000000"/>
          <w:szCs w:val="22"/>
        </w:rPr>
        <w:t xml:space="preserve"> </w:t>
      </w:r>
      <w:r w:rsidR="00970F57">
        <w:rPr>
          <w:color w:val="000000"/>
          <w:szCs w:val="22"/>
        </w:rPr>
        <w:t xml:space="preserve">has </w:t>
      </w:r>
      <w:r w:rsidR="003833F7">
        <w:rPr>
          <w:color w:val="000000"/>
          <w:szCs w:val="22"/>
        </w:rPr>
        <w:t>fail</w:t>
      </w:r>
      <w:r w:rsidR="00AB2A4F">
        <w:rPr>
          <w:color w:val="000000"/>
          <w:szCs w:val="22"/>
        </w:rPr>
        <w:t xml:space="preserve">ed to present </w:t>
      </w:r>
      <w:r w:rsidR="0073226E">
        <w:rPr>
          <w:color w:val="000000"/>
          <w:szCs w:val="22"/>
        </w:rPr>
        <w:t xml:space="preserve">any </w:t>
      </w:r>
      <w:r w:rsidR="00AB2A4F">
        <w:rPr>
          <w:color w:val="000000"/>
          <w:szCs w:val="22"/>
        </w:rPr>
        <w:t xml:space="preserve">such </w:t>
      </w:r>
      <w:r w:rsidR="008E753D">
        <w:rPr>
          <w:color w:val="000000"/>
          <w:szCs w:val="22"/>
        </w:rPr>
        <w:t>circumstances</w:t>
      </w:r>
      <w:r w:rsidR="002923C5">
        <w:rPr>
          <w:color w:val="000000"/>
          <w:szCs w:val="22"/>
        </w:rPr>
        <w:t xml:space="preserve"> here</w:t>
      </w:r>
      <w:r w:rsidR="00F462B6">
        <w:rPr>
          <w:color w:val="000000"/>
          <w:szCs w:val="22"/>
        </w:rPr>
        <w:t>.</w:t>
      </w:r>
      <w:r w:rsidR="00DA78CF">
        <w:rPr>
          <w:color w:val="000000"/>
          <w:szCs w:val="22"/>
        </w:rPr>
        <w:t xml:space="preserve">  </w:t>
      </w:r>
      <w:r>
        <w:t>As the court in</w:t>
      </w:r>
      <w:r w:rsidRPr="00CB3CE0">
        <w:rPr>
          <w:szCs w:val="22"/>
        </w:rPr>
        <w:t xml:space="preserve"> </w:t>
      </w:r>
      <w:r w:rsidRPr="00CB3CE0">
        <w:rPr>
          <w:i/>
          <w:iCs/>
          <w:szCs w:val="22"/>
        </w:rPr>
        <w:t>BellSouth</w:t>
      </w:r>
      <w:r w:rsidRPr="00CB3CE0">
        <w:rPr>
          <w:szCs w:val="22"/>
        </w:rPr>
        <w:t xml:space="preserve"> explained, “</w:t>
      </w:r>
      <w:r w:rsidR="00251573">
        <w:rPr>
          <w:szCs w:val="22"/>
        </w:rPr>
        <w:t>[r]</w:t>
      </w:r>
      <w:r w:rsidRPr="00CB3CE0">
        <w:rPr>
          <w:szCs w:val="22"/>
        </w:rPr>
        <w:t>igid and consistent adherence to a policy will be upheld if it is valid.”</w:t>
      </w:r>
      <w:r w:rsidRPr="00742C66">
        <w:rPr>
          <w:rStyle w:val="FootnoteReference"/>
          <w:szCs w:val="22"/>
        </w:rPr>
        <w:footnoteReference w:id="48"/>
      </w:r>
      <w:r>
        <w:rPr>
          <w:szCs w:val="22"/>
        </w:rPr>
        <w:t xml:space="preserve"> </w:t>
      </w:r>
      <w:r w:rsidR="00304F24">
        <w:rPr>
          <w:szCs w:val="22"/>
        </w:rPr>
        <w:t xml:space="preserve"> </w:t>
      </w:r>
      <w:r w:rsidR="00113B6B">
        <w:rPr>
          <w:szCs w:val="22"/>
        </w:rPr>
        <w:t xml:space="preserve">Here too, </w:t>
      </w:r>
      <w:r w:rsidR="004650E2">
        <w:rPr>
          <w:szCs w:val="22"/>
        </w:rPr>
        <w:t xml:space="preserve">the </w:t>
      </w:r>
      <w:r w:rsidR="00917F6D">
        <w:rPr>
          <w:szCs w:val="22"/>
        </w:rPr>
        <w:t>Applicat</w:t>
      </w:r>
      <w:r w:rsidR="004650E2">
        <w:rPr>
          <w:szCs w:val="22"/>
        </w:rPr>
        <w:t>ion for Review</w:t>
      </w:r>
      <w:r w:rsidR="000F33B1">
        <w:rPr>
          <w:szCs w:val="22"/>
        </w:rPr>
        <w:t xml:space="preserve"> does not demonstrate </w:t>
      </w:r>
      <w:r w:rsidR="00113B6B">
        <w:t xml:space="preserve">that the </w:t>
      </w:r>
      <w:r w:rsidR="00113B6B" w:rsidRPr="000F5206">
        <w:rPr>
          <w:i/>
        </w:rPr>
        <w:t>Staff Decision</w:t>
      </w:r>
      <w:r w:rsidR="00113B6B">
        <w:t xml:space="preserve"> </w:t>
      </w:r>
      <w:r w:rsidR="00113B6B" w:rsidRPr="00C23766">
        <w:rPr>
          <w:rStyle w:val="documentbody1"/>
          <w:rFonts w:ascii="Times New Roman" w:hAnsi="Times New Roman"/>
          <w:sz w:val="22"/>
          <w:szCs w:val="22"/>
        </w:rPr>
        <w:t>conflicts with precedent or established Commission policy</w:t>
      </w:r>
      <w:r w:rsidR="00113B6B">
        <w:rPr>
          <w:rStyle w:val="documentbody1"/>
          <w:rFonts w:ascii="Times New Roman" w:hAnsi="Times New Roman"/>
          <w:sz w:val="22"/>
          <w:szCs w:val="22"/>
        </w:rPr>
        <w:t>, that</w:t>
      </w:r>
      <w:r w:rsidR="00113B6B">
        <w:t xml:space="preserve"> </w:t>
      </w:r>
      <w:r w:rsidR="000F33B1">
        <w:rPr>
          <w:szCs w:val="22"/>
        </w:rPr>
        <w:t>his circumstances</w:t>
      </w:r>
      <w:r>
        <w:rPr>
          <w:szCs w:val="22"/>
        </w:rPr>
        <w:t xml:space="preserve"> </w:t>
      </w:r>
      <w:r w:rsidR="000F33B1">
        <w:rPr>
          <w:rStyle w:val="documentbody1"/>
          <w:rFonts w:ascii="Times New Roman" w:hAnsi="Times New Roman"/>
          <w:sz w:val="22"/>
          <w:szCs w:val="22"/>
        </w:rPr>
        <w:t>involve an</w:t>
      </w:r>
      <w:r w:rsidR="000F33B1" w:rsidRPr="00C23766">
        <w:rPr>
          <w:rStyle w:val="documentbody1"/>
          <w:rFonts w:ascii="Times New Roman" w:hAnsi="Times New Roman"/>
          <w:sz w:val="22"/>
          <w:szCs w:val="22"/>
        </w:rPr>
        <w:t xml:space="preserve"> application of a precedent or policy that should be overturned; or </w:t>
      </w:r>
      <w:r w:rsidR="000F33B1">
        <w:rPr>
          <w:rStyle w:val="documentbody1"/>
          <w:rFonts w:ascii="Times New Roman" w:hAnsi="Times New Roman"/>
          <w:sz w:val="22"/>
          <w:szCs w:val="22"/>
        </w:rPr>
        <w:t xml:space="preserve">that the </w:t>
      </w:r>
      <w:r w:rsidR="000F33B1" w:rsidRPr="000F33B1">
        <w:rPr>
          <w:rStyle w:val="documentbody1"/>
          <w:rFonts w:ascii="Times New Roman" w:hAnsi="Times New Roman"/>
          <w:i/>
          <w:sz w:val="22"/>
          <w:szCs w:val="22"/>
        </w:rPr>
        <w:t>Staff Decision</w:t>
      </w:r>
      <w:r w:rsidR="000F33B1">
        <w:rPr>
          <w:rStyle w:val="documentbody1"/>
          <w:rFonts w:ascii="Times New Roman" w:hAnsi="Times New Roman"/>
          <w:sz w:val="22"/>
          <w:szCs w:val="22"/>
        </w:rPr>
        <w:t xml:space="preserve"> included an</w:t>
      </w:r>
      <w:r w:rsidR="000F33B1" w:rsidRPr="00C23766">
        <w:rPr>
          <w:rStyle w:val="documentbody1"/>
          <w:rFonts w:ascii="Times New Roman" w:hAnsi="Times New Roman"/>
          <w:sz w:val="22"/>
          <w:szCs w:val="22"/>
        </w:rPr>
        <w:t xml:space="preserve"> erroneous finding as to an important or material factual question.</w:t>
      </w:r>
      <w:r w:rsidR="000F33B1" w:rsidRPr="00C23766">
        <w:rPr>
          <w:rStyle w:val="FootnoteReference"/>
          <w:szCs w:val="22"/>
        </w:rPr>
        <w:footnoteReference w:id="49"/>
      </w:r>
      <w:r w:rsidR="000F33B1" w:rsidRPr="00C23766">
        <w:rPr>
          <w:szCs w:val="22"/>
        </w:rPr>
        <w:t xml:space="preserve">    </w:t>
      </w:r>
      <w:r w:rsidR="00CC3BE5">
        <w:t xml:space="preserve"> </w:t>
      </w:r>
    </w:p>
    <w:p w:rsidR="00763A92" w:rsidRDefault="00FD36E0" w:rsidP="00566220">
      <w:pPr>
        <w:pStyle w:val="ParaNum"/>
      </w:pPr>
      <w:r>
        <w:t xml:space="preserve">Strict enforcement of the downpayment deadline for auction winners is a </w:t>
      </w:r>
      <w:r w:rsidRPr="00DC1A4B">
        <w:t xml:space="preserve">programmatic approach that </w:t>
      </w:r>
      <w:r>
        <w:t xml:space="preserve">promotes </w:t>
      </w:r>
      <w:r w:rsidRPr="00DC1A4B">
        <w:t xml:space="preserve">the expeditious </w:t>
      </w:r>
      <w:r>
        <w:t xml:space="preserve">deployment of services by minimizing opportunities for </w:t>
      </w:r>
      <w:r w:rsidRPr="00DC1A4B">
        <w:t>defaulters to contest the consequences of their default</w:t>
      </w:r>
      <w:r>
        <w:t xml:space="preserve"> and thereby delay the award of licenses.  Following this approach, we</w:t>
      </w:r>
      <w:r w:rsidR="00E16B09">
        <w:t xml:space="preserve"> </w:t>
      </w:r>
      <w:r>
        <w:t xml:space="preserve">find no basis for overturning the </w:t>
      </w:r>
      <w:r w:rsidRPr="002758C4">
        <w:rPr>
          <w:i/>
        </w:rPr>
        <w:t>Staff Decision</w:t>
      </w:r>
      <w:r>
        <w:t xml:space="preserve"> based on Austin’s claims </w:t>
      </w:r>
      <w:r w:rsidRPr="003F09E6">
        <w:t>that</w:t>
      </w:r>
      <w:r>
        <w:t xml:space="preserve"> would have Commission staff engage in the kind of individualized analysis of circumstances that our bright-line approach is designed to avoid.  Thus, we find no merit in Austin’s arguments that his failure to meet the downpayment deadline was less significant than that of the defaulting bidder in </w:t>
      </w:r>
      <w:r>
        <w:rPr>
          <w:i/>
        </w:rPr>
        <w:t>Kankakee</w:t>
      </w:r>
      <w:r>
        <w:rPr>
          <w:rStyle w:val="FootnoteReference"/>
        </w:rPr>
        <w:footnoteReference w:id="50"/>
      </w:r>
      <w:r w:rsidRPr="002758C4">
        <w:t xml:space="preserve"> </w:t>
      </w:r>
      <w:r>
        <w:t>or  that Commission staff is somehow at fault on account of the passage of time in addressing his request for waiver.</w:t>
      </w:r>
      <w:r>
        <w:rPr>
          <w:rStyle w:val="FootnoteReference"/>
        </w:rPr>
        <w:footnoteReference w:id="51"/>
      </w:r>
      <w:r w:rsidRPr="003F09E6">
        <w:t xml:space="preserve"> </w:t>
      </w:r>
      <w:r>
        <w:t xml:space="preserve"> </w:t>
      </w:r>
      <w:r w:rsidR="008F5746">
        <w:t xml:space="preserve">Similarly, we reject </w:t>
      </w:r>
      <w:r w:rsidR="004650E2">
        <w:t>his</w:t>
      </w:r>
      <w:r w:rsidR="008913BD">
        <w:t xml:space="preserve"> contention that</w:t>
      </w:r>
      <w:r w:rsidR="008F5746">
        <w:t xml:space="preserve"> he was </w:t>
      </w:r>
      <w:r w:rsidR="002731FE">
        <w:t xml:space="preserve">somehow </w:t>
      </w:r>
      <w:r w:rsidR="008F5746">
        <w:t>already a Commission licensee</w:t>
      </w:r>
      <w:r w:rsidR="002731FE">
        <w:t xml:space="preserve"> </w:t>
      </w:r>
      <w:r w:rsidR="00432C02">
        <w:t xml:space="preserve">or had rights in the Baggs FM permit </w:t>
      </w:r>
      <w:r w:rsidR="002731FE">
        <w:t>such</w:t>
      </w:r>
      <w:r w:rsidR="00432C02">
        <w:t xml:space="preserve"> </w:t>
      </w:r>
      <w:r w:rsidR="003A1FB3">
        <w:t>that his</w:t>
      </w:r>
      <w:r w:rsidR="000316E0">
        <w:t xml:space="preserve"> failure to meet the payment deadline did not affect the </w:t>
      </w:r>
      <w:r w:rsidR="001D4697">
        <w:t>timing</w:t>
      </w:r>
      <w:r w:rsidR="002731FE">
        <w:t xml:space="preserve"> of</w:t>
      </w:r>
      <w:r w:rsidR="001D4697">
        <w:t xml:space="preserve"> </w:t>
      </w:r>
      <w:r w:rsidR="002731FE">
        <w:t>the Bureau’s substantive determination of whether he was qualified to hold the permit</w:t>
      </w:r>
      <w:r w:rsidR="000316E0">
        <w:t>.</w:t>
      </w:r>
      <w:r w:rsidR="000316E0">
        <w:rPr>
          <w:rStyle w:val="FootnoteReference"/>
        </w:rPr>
        <w:footnoteReference w:id="52"/>
      </w:r>
      <w:r w:rsidR="000316E0">
        <w:t xml:space="preserve">  Along with all other participants in the auction, </w:t>
      </w:r>
      <w:r w:rsidR="00917F6D">
        <w:t>A</w:t>
      </w:r>
      <w:r w:rsidR="004650E2">
        <w:t>ustin</w:t>
      </w:r>
      <w:r w:rsidR="000316E0">
        <w:t xml:space="preserve"> was informed of the requirement to make a timely down payment at the close of the auction, and the consequence of </w:t>
      </w:r>
      <w:r w:rsidR="008F5746">
        <w:t xml:space="preserve">failing to </w:t>
      </w:r>
      <w:r w:rsidR="000316E0">
        <w:t>do so.</w:t>
      </w:r>
      <w:r w:rsidR="00261037">
        <w:rPr>
          <w:rStyle w:val="FootnoteReference"/>
        </w:rPr>
        <w:footnoteReference w:id="53"/>
      </w:r>
      <w:r w:rsidR="000316E0">
        <w:t xml:space="preserve">  </w:t>
      </w:r>
      <w:r w:rsidR="004650E2">
        <w:t>He</w:t>
      </w:r>
      <w:r w:rsidR="0021319C">
        <w:t xml:space="preserve"> knowingly </w:t>
      </w:r>
      <w:r w:rsidR="00096D88">
        <w:t>missed the payment deadline</w:t>
      </w:r>
      <w:r w:rsidR="006D177C">
        <w:t>,</w:t>
      </w:r>
      <w:r w:rsidR="00096D88">
        <w:t xml:space="preserve"> and then </w:t>
      </w:r>
      <w:r w:rsidR="0021319C">
        <w:t xml:space="preserve">waited </w:t>
      </w:r>
      <w:r w:rsidR="00923BB7">
        <w:t>more than</w:t>
      </w:r>
      <w:r w:rsidR="0021319C">
        <w:t xml:space="preserve"> 18 months to file his request for waiver of the </w:t>
      </w:r>
      <w:r w:rsidR="00096D88">
        <w:t xml:space="preserve">rule.  </w:t>
      </w:r>
      <w:r w:rsidR="003F30F3">
        <w:t>Further,</w:t>
      </w:r>
      <w:r w:rsidR="00096D88">
        <w:t xml:space="preserve"> he </w:t>
      </w:r>
      <w:r w:rsidR="00FD32FD">
        <w:t xml:space="preserve">acknowledges </w:t>
      </w:r>
      <w:r w:rsidR="00096D88">
        <w:t>he only sought a waiver</w:t>
      </w:r>
      <w:r w:rsidR="0021319C">
        <w:t xml:space="preserve"> when it became clear that staff would not process his application .</w:t>
      </w:r>
      <w:r w:rsidR="0021319C">
        <w:rPr>
          <w:rStyle w:val="FootnoteReference"/>
        </w:rPr>
        <w:footnoteReference w:id="54"/>
      </w:r>
      <w:r w:rsidR="0021319C">
        <w:t xml:space="preserve">  </w:t>
      </w:r>
      <w:r w:rsidR="00AC7B9C">
        <w:t xml:space="preserve">The promptness of the Commission’s actions, therefore, is not an issue in this proceeding and has no bearing on </w:t>
      </w:r>
      <w:r w:rsidR="00917F6D">
        <w:t>A</w:t>
      </w:r>
      <w:r w:rsidR="004650E2">
        <w:t>ustin</w:t>
      </w:r>
      <w:r w:rsidR="00AC7B9C">
        <w:t xml:space="preserve">’s obligation to pay his </w:t>
      </w:r>
      <w:r w:rsidR="000F01B5">
        <w:t xml:space="preserve">initial </w:t>
      </w:r>
      <w:r w:rsidR="00AC7B9C">
        <w:t>down paym</w:t>
      </w:r>
      <w:r w:rsidR="00096D88">
        <w:t>ent within the ten</w:t>
      </w:r>
      <w:r w:rsidR="00923BB7">
        <w:t xml:space="preserve"> business</w:t>
      </w:r>
      <w:r w:rsidR="008F5746">
        <w:t xml:space="preserve"> </w:t>
      </w:r>
      <w:r w:rsidR="00923BB7">
        <w:t xml:space="preserve">days </w:t>
      </w:r>
      <w:r w:rsidR="00AC7B9C">
        <w:t>required by section 1.2107(b)</w:t>
      </w:r>
      <w:r w:rsidR="003D3D20">
        <w:t>.</w:t>
      </w:r>
      <w:r w:rsidR="0021319C">
        <w:t xml:space="preserve"> </w:t>
      </w:r>
      <w:r w:rsidR="003D3D20">
        <w:t xml:space="preserve"> N</w:t>
      </w:r>
      <w:r w:rsidR="0021319C">
        <w:t xml:space="preserve">or </w:t>
      </w:r>
      <w:r w:rsidR="00923BB7">
        <w:t xml:space="preserve">is </w:t>
      </w:r>
      <w:r w:rsidR="003D3D20">
        <w:t xml:space="preserve">the timing of the </w:t>
      </w:r>
      <w:r w:rsidR="003D3D20">
        <w:rPr>
          <w:i/>
        </w:rPr>
        <w:t>Staff Decision</w:t>
      </w:r>
      <w:r w:rsidR="00432C02">
        <w:rPr>
          <w:i/>
        </w:rPr>
        <w:t xml:space="preserve"> </w:t>
      </w:r>
      <w:r w:rsidR="003D3D20">
        <w:t xml:space="preserve">relevant </w:t>
      </w:r>
      <w:r w:rsidR="0021319C">
        <w:t xml:space="preserve">to </w:t>
      </w:r>
      <w:r w:rsidR="004650E2">
        <w:t xml:space="preserve">his </w:t>
      </w:r>
      <w:r w:rsidR="003D3D20">
        <w:t xml:space="preserve">failure to promptly </w:t>
      </w:r>
      <w:r w:rsidR="0021319C">
        <w:t xml:space="preserve">seek a waiver </w:t>
      </w:r>
      <w:r w:rsidR="003D3D20">
        <w:t xml:space="preserve">upon </w:t>
      </w:r>
      <w:r w:rsidR="002731FE">
        <w:t>missing the payment</w:t>
      </w:r>
      <w:r w:rsidR="003D3D20">
        <w:t xml:space="preserve"> deadline</w:t>
      </w:r>
      <w:r w:rsidR="00AC7B9C">
        <w:t>.</w:t>
      </w:r>
      <w:r w:rsidR="006F20C3">
        <w:t xml:space="preserve">  </w:t>
      </w:r>
      <w:r w:rsidR="00917F6D">
        <w:t>A</w:t>
      </w:r>
      <w:r w:rsidR="004650E2">
        <w:t>ustin</w:t>
      </w:r>
      <w:r w:rsidR="003A1FB3">
        <w:t xml:space="preserve"> alone </w:t>
      </w:r>
      <w:r w:rsidR="00A0444D">
        <w:t>is responsible for</w:t>
      </w:r>
      <w:r w:rsidR="003A1FB3">
        <w:t xml:space="preserve"> his lack of diligence</w:t>
      </w:r>
      <w:r w:rsidR="007049B3">
        <w:t>,</w:t>
      </w:r>
      <w:r w:rsidR="003A1FB3">
        <w:t xml:space="preserve"> and its corresponding consequences.  </w:t>
      </w:r>
      <w:r w:rsidR="003D3D20">
        <w:t>W</w:t>
      </w:r>
      <w:r w:rsidR="006F20C3">
        <w:t xml:space="preserve">e agree with the </w:t>
      </w:r>
      <w:r w:rsidR="00907E2C" w:rsidRPr="00907E2C">
        <w:rPr>
          <w:i/>
        </w:rPr>
        <w:t>Staff Decision</w:t>
      </w:r>
      <w:r w:rsidR="006F20C3">
        <w:t xml:space="preserve"> that </w:t>
      </w:r>
      <w:r w:rsidR="00917F6D">
        <w:t>A</w:t>
      </w:r>
      <w:r w:rsidR="004650E2">
        <w:t>ustin</w:t>
      </w:r>
      <w:r w:rsidR="006F20C3">
        <w:t xml:space="preserve"> </w:t>
      </w:r>
      <w:r w:rsidR="00907E2C">
        <w:t>ha</w:t>
      </w:r>
      <w:r w:rsidR="00432C02">
        <w:t>d</w:t>
      </w:r>
      <w:r w:rsidR="00907E2C">
        <w:t xml:space="preserve"> no rights in the Baggs, Wyoming construction permit </w:t>
      </w:r>
      <w:r w:rsidR="006F20C3">
        <w:t xml:space="preserve">because the Bureaus </w:t>
      </w:r>
      <w:r w:rsidR="00557C11">
        <w:t>did not take</w:t>
      </w:r>
      <w:r w:rsidR="006F20C3">
        <w:t xml:space="preserve"> any final action on his long-form application</w:t>
      </w:r>
      <w:r w:rsidR="00432C02">
        <w:t xml:space="preserve"> prior to dismissing it in the </w:t>
      </w:r>
      <w:r w:rsidR="00432C02">
        <w:rPr>
          <w:i/>
        </w:rPr>
        <w:t>Staff Decision</w:t>
      </w:r>
      <w:r w:rsidR="006F20C3">
        <w:t xml:space="preserve">, </w:t>
      </w:r>
      <w:r w:rsidR="00557C11">
        <w:t>and did not make</w:t>
      </w:r>
      <w:r w:rsidR="006F20C3">
        <w:t xml:space="preserve"> any determination about his qualifications to hold </w:t>
      </w:r>
      <w:r w:rsidR="003D3D20">
        <w:t>this permit</w:t>
      </w:r>
      <w:r w:rsidR="006F20C3">
        <w:t>.</w:t>
      </w:r>
      <w:r w:rsidR="00BD2C16">
        <w:rPr>
          <w:rStyle w:val="FootnoteReference"/>
        </w:rPr>
        <w:footnoteReference w:id="55"/>
      </w:r>
      <w:r w:rsidR="00F77C57">
        <w:t xml:space="preserve">  </w:t>
      </w:r>
    </w:p>
    <w:p w:rsidR="00FA411F" w:rsidRDefault="00163457" w:rsidP="00763A92">
      <w:pPr>
        <w:pStyle w:val="ParaNum"/>
      </w:pPr>
      <w:r>
        <w:t>In sum</w:t>
      </w:r>
      <w:r w:rsidR="00907E2C">
        <w:t>, n</w:t>
      </w:r>
      <w:r w:rsidR="00907E2C" w:rsidRPr="000B58EA">
        <w:t xml:space="preserve">one of the arguments presented </w:t>
      </w:r>
      <w:r>
        <w:t>by</w:t>
      </w:r>
      <w:r w:rsidR="00907E2C">
        <w:t xml:space="preserve"> </w:t>
      </w:r>
      <w:r w:rsidR="00917F6D">
        <w:t>A</w:t>
      </w:r>
      <w:r w:rsidR="004650E2">
        <w:t>ustin</w:t>
      </w:r>
      <w:r w:rsidR="00907E2C">
        <w:t xml:space="preserve"> </w:t>
      </w:r>
      <w:r>
        <w:t xml:space="preserve">merit the relief he </w:t>
      </w:r>
      <w:r w:rsidR="00907E2C">
        <w:t>seeks in his Application for Review</w:t>
      </w:r>
      <w:r w:rsidR="00907E2C" w:rsidRPr="000B58EA">
        <w:t xml:space="preserve">. </w:t>
      </w:r>
      <w:r w:rsidR="005E78EB">
        <w:t xml:space="preserve"> Accordingly, w</w:t>
      </w:r>
      <w:r w:rsidR="00763A92">
        <w:t xml:space="preserve">e conclude that </w:t>
      </w:r>
      <w:r w:rsidR="004650E2">
        <w:t xml:space="preserve">the </w:t>
      </w:r>
      <w:r w:rsidR="00917F6D">
        <w:t>Applicat</w:t>
      </w:r>
      <w:r w:rsidR="004650E2">
        <w:t>ion for Review</w:t>
      </w:r>
      <w:r w:rsidR="00763A92">
        <w:t xml:space="preserve"> did not </w:t>
      </w:r>
      <w:r w:rsidR="00763A92" w:rsidRPr="000B58EA">
        <w:t xml:space="preserve">demonstrate </w:t>
      </w:r>
      <w:r w:rsidR="009C58F8">
        <w:t>that</w:t>
      </w:r>
      <w:r w:rsidR="005E78EB">
        <w:t xml:space="preserve"> the </w:t>
      </w:r>
      <w:r w:rsidR="005E78EB" w:rsidRPr="006D177C">
        <w:rPr>
          <w:i/>
        </w:rPr>
        <w:t>Staff Decision</w:t>
      </w:r>
      <w:r w:rsidR="005E78EB">
        <w:t xml:space="preserve"> </w:t>
      </w:r>
      <w:r w:rsidR="009C58F8" w:rsidRPr="00C23766">
        <w:rPr>
          <w:rStyle w:val="documentbody1"/>
          <w:rFonts w:ascii="Times New Roman" w:hAnsi="Times New Roman"/>
          <w:sz w:val="22"/>
          <w:szCs w:val="22"/>
        </w:rPr>
        <w:t>conflicts with statute, regulation, precedent</w:t>
      </w:r>
      <w:r w:rsidR="00A00847">
        <w:rPr>
          <w:rStyle w:val="documentbody1"/>
          <w:rFonts w:ascii="Times New Roman" w:hAnsi="Times New Roman"/>
          <w:sz w:val="22"/>
          <w:szCs w:val="22"/>
        </w:rPr>
        <w:t>,</w:t>
      </w:r>
      <w:r w:rsidR="009C58F8" w:rsidRPr="00C23766">
        <w:rPr>
          <w:rStyle w:val="documentbody1"/>
          <w:rFonts w:ascii="Times New Roman" w:hAnsi="Times New Roman"/>
          <w:sz w:val="22"/>
          <w:szCs w:val="22"/>
        </w:rPr>
        <w:t xml:space="preserve"> or established Commission policy; involves application of a precedent or policy that should be overturned; or makes an erroneous finding as to an important or material factual question.</w:t>
      </w:r>
      <w:r w:rsidR="009C58F8" w:rsidRPr="00C23766">
        <w:rPr>
          <w:rStyle w:val="FootnoteReference"/>
          <w:szCs w:val="22"/>
        </w:rPr>
        <w:footnoteReference w:id="56"/>
      </w:r>
      <w:r w:rsidR="009C58F8" w:rsidRPr="00C23766">
        <w:rPr>
          <w:szCs w:val="22"/>
        </w:rPr>
        <w:t xml:space="preserve"> </w:t>
      </w:r>
      <w:r w:rsidR="00763A92">
        <w:t xml:space="preserve">  Although </w:t>
      </w:r>
      <w:r w:rsidR="00917F6D">
        <w:t>A</w:t>
      </w:r>
      <w:r w:rsidR="004650E2">
        <w:t>ustin</w:t>
      </w:r>
      <w:r w:rsidR="00763A92">
        <w:t xml:space="preserve"> did present evidence that the bank played a role in his failure to meet the payment deadline, he offers no explanation as to why he failed to heed the Commission’s warnings </w:t>
      </w:r>
      <w:r w:rsidR="003C634E">
        <w:t xml:space="preserve">to coordinate with his bank ahead of time </w:t>
      </w:r>
      <w:r w:rsidR="00763A92">
        <w:t xml:space="preserve">and waited until the </w:t>
      </w:r>
      <w:r w:rsidR="00BD2C16">
        <w:t xml:space="preserve">day of the </w:t>
      </w:r>
      <w:r w:rsidR="00763A92">
        <w:t xml:space="preserve">deadline to </w:t>
      </w:r>
      <w:r w:rsidR="00363F54">
        <w:t xml:space="preserve">initiate a request to </w:t>
      </w:r>
      <w:r w:rsidR="00763A92">
        <w:t xml:space="preserve">wire the money to the Commission. </w:t>
      </w:r>
      <w:r w:rsidR="001A3294">
        <w:t xml:space="preserve"> </w:t>
      </w:r>
      <w:r w:rsidR="005E78EB">
        <w:t>W</w:t>
      </w:r>
      <w:r w:rsidR="00F77C57">
        <w:t xml:space="preserve">e </w:t>
      </w:r>
      <w:r w:rsidR="005E78EB">
        <w:t xml:space="preserve">therefore </w:t>
      </w:r>
      <w:r w:rsidR="00F77C57">
        <w:t xml:space="preserve">deny </w:t>
      </w:r>
      <w:r w:rsidR="004650E2">
        <w:t>his</w:t>
      </w:r>
      <w:r w:rsidR="00F77C57">
        <w:t xml:space="preserve"> request that we reverse the </w:t>
      </w:r>
      <w:r w:rsidR="00763A92" w:rsidRPr="008751E2">
        <w:rPr>
          <w:i/>
        </w:rPr>
        <w:t>Staff</w:t>
      </w:r>
      <w:r w:rsidR="00763A92">
        <w:t xml:space="preserve"> </w:t>
      </w:r>
      <w:r w:rsidR="00763A92" w:rsidRPr="008751E2">
        <w:rPr>
          <w:i/>
        </w:rPr>
        <w:t>Decision</w:t>
      </w:r>
      <w:r w:rsidR="00763A92">
        <w:t xml:space="preserve"> denying </w:t>
      </w:r>
      <w:r w:rsidR="00566220">
        <w:t>his Request for Waiver.</w:t>
      </w:r>
    </w:p>
    <w:p w:rsidR="00A677F1" w:rsidRDefault="00A677F1" w:rsidP="00A677F1">
      <w:pPr>
        <w:pStyle w:val="Heading1"/>
      </w:pPr>
      <w:r>
        <w:t>Ordering Clauses</w:t>
      </w:r>
    </w:p>
    <w:p w:rsidR="004C59B9" w:rsidRDefault="00A677F1" w:rsidP="00044FD4">
      <w:pPr>
        <w:pStyle w:val="ParaNum"/>
        <w:widowControl/>
      </w:pPr>
      <w:r>
        <w:t xml:space="preserve">For the reasons discussed above, we hereby deny </w:t>
      </w:r>
      <w:r w:rsidR="004650E2">
        <w:t>the</w:t>
      </w:r>
      <w:r w:rsidR="00B97EEF">
        <w:t xml:space="preserve"> </w:t>
      </w:r>
      <w:r w:rsidR="004650E2">
        <w:t>A</w:t>
      </w:r>
      <w:r>
        <w:t xml:space="preserve">pplication for </w:t>
      </w:r>
      <w:r w:rsidR="004650E2">
        <w:t>R</w:t>
      </w:r>
      <w:r>
        <w:t xml:space="preserve">eview of </w:t>
      </w:r>
      <w:r w:rsidR="00763A92">
        <w:t xml:space="preserve">the </w:t>
      </w:r>
      <w:r w:rsidR="00763A92" w:rsidRPr="007A5476">
        <w:rPr>
          <w:i/>
        </w:rPr>
        <w:t>Staff</w:t>
      </w:r>
      <w:r w:rsidR="00763A92">
        <w:t xml:space="preserve"> </w:t>
      </w:r>
      <w:r w:rsidR="00763A92" w:rsidRPr="007A5476">
        <w:rPr>
          <w:i/>
        </w:rPr>
        <w:t>Decision</w:t>
      </w:r>
      <w:r w:rsidR="00763A92">
        <w:t xml:space="preserve"> denying </w:t>
      </w:r>
      <w:r w:rsidR="004650E2">
        <w:t>Austin’</w:t>
      </w:r>
      <w:r w:rsidR="00763A92">
        <w:t xml:space="preserve">s Request for Waiver </w:t>
      </w:r>
      <w:r>
        <w:t xml:space="preserve">in connection with </w:t>
      </w:r>
      <w:r w:rsidR="00763A92">
        <w:t>his</w:t>
      </w:r>
      <w:r>
        <w:t xml:space="preserve"> failure to submit the required down payment for the</w:t>
      </w:r>
      <w:r w:rsidR="00741A11">
        <w:t xml:space="preserve"> </w:t>
      </w:r>
      <w:r w:rsidR="00741A11" w:rsidRPr="007A5476">
        <w:rPr>
          <w:color w:val="000000"/>
          <w:kern w:val="0"/>
          <w:szCs w:val="22"/>
        </w:rPr>
        <w:t>FM station construction permit in Baggs, Wyoming (MM-FM477-A)</w:t>
      </w:r>
      <w:r>
        <w:t xml:space="preserve">.  </w:t>
      </w:r>
    </w:p>
    <w:p w:rsidR="00A677F1" w:rsidRPr="004C59B9" w:rsidRDefault="00A677F1" w:rsidP="004C59B9">
      <w:pPr>
        <w:pStyle w:val="ParaNum"/>
      </w:pPr>
      <w:r>
        <w:t>Accordingly, it is ORDERED</w:t>
      </w:r>
      <w:r w:rsidR="00E829C5">
        <w:t>, pursuant to sections 4(i) and 5(c)(4) of the Communications Act of 1934, as amended, 47 U.S.C. §§ 154(i), 155(c)(4), and section 1.115 of the Commission’s rules, 47 C.F.R. § 1.115,</w:t>
      </w:r>
      <w:r>
        <w:t xml:space="preserve"> that the Application for Review filed on </w:t>
      </w:r>
      <w:r w:rsidR="00E363B4">
        <w:t>March 22,</w:t>
      </w:r>
      <w:r>
        <w:t xml:space="preserve"> 2010</w:t>
      </w:r>
      <w:r w:rsidR="00E829C5">
        <w:t>,</w:t>
      </w:r>
      <w:r>
        <w:t xml:space="preserve"> is DENIED.</w:t>
      </w:r>
    </w:p>
    <w:p w:rsidR="007A5476" w:rsidRDefault="007A5476" w:rsidP="0017296B">
      <w:r>
        <w:tab/>
      </w:r>
      <w:r>
        <w:tab/>
      </w:r>
      <w:r>
        <w:tab/>
      </w:r>
      <w:r>
        <w:tab/>
      </w:r>
      <w:r>
        <w:tab/>
      </w:r>
      <w:r>
        <w:tab/>
        <w:t>FEDERAL COMMUNICATIONS COMMISSION</w:t>
      </w:r>
    </w:p>
    <w:p w:rsidR="007A5476" w:rsidRDefault="007A5476" w:rsidP="0017296B"/>
    <w:p w:rsidR="007A5476" w:rsidRDefault="007A5476" w:rsidP="0017296B"/>
    <w:p w:rsidR="007A5476" w:rsidRDefault="007A5476" w:rsidP="0017296B"/>
    <w:p w:rsidR="007A5476" w:rsidRDefault="007A5476" w:rsidP="0017296B"/>
    <w:p w:rsidR="007A5476" w:rsidRDefault="007A5476" w:rsidP="0017296B">
      <w:r>
        <w:tab/>
      </w:r>
      <w:r>
        <w:tab/>
      </w:r>
      <w:r>
        <w:tab/>
      </w:r>
      <w:r>
        <w:tab/>
      </w:r>
      <w:r>
        <w:tab/>
      </w:r>
      <w:r>
        <w:tab/>
        <w:t>Marlene H. Dortch</w:t>
      </w:r>
    </w:p>
    <w:p w:rsidR="007A5476" w:rsidRDefault="007A5476" w:rsidP="0017296B">
      <w:r>
        <w:tab/>
      </w:r>
      <w:r>
        <w:tab/>
      </w:r>
      <w:r>
        <w:tab/>
      </w:r>
      <w:r>
        <w:tab/>
      </w:r>
      <w:r>
        <w:tab/>
      </w:r>
      <w:r>
        <w:tab/>
        <w:t>Secretary</w:t>
      </w:r>
    </w:p>
    <w:p w:rsidR="00BE638D" w:rsidRPr="00741A11" w:rsidRDefault="00BE638D" w:rsidP="00BE638D">
      <w:pPr>
        <w:rPr>
          <w:szCs w:val="22"/>
        </w:rPr>
      </w:pPr>
    </w:p>
    <w:sectPr w:rsidR="00BE638D" w:rsidRPr="00741A11" w:rsidSect="007407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46" w:rsidRDefault="003D3946">
      <w:pPr>
        <w:spacing w:line="20" w:lineRule="exact"/>
      </w:pPr>
    </w:p>
  </w:endnote>
  <w:endnote w:type="continuationSeparator" w:id="0">
    <w:p w:rsidR="003D3946" w:rsidRDefault="003D3946">
      <w:r>
        <w:t xml:space="preserve"> </w:t>
      </w:r>
    </w:p>
  </w:endnote>
  <w:endnote w:type="continuationNotice" w:id="1">
    <w:p w:rsidR="003D3946" w:rsidRDefault="003D39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roman"/>
    <w:pitch w:val="default"/>
  </w:font>
  <w:font w:name="CenturySchool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E6" w:rsidRDefault="004929E6" w:rsidP="0055614C">
    <w:pPr>
      <w:pStyle w:val="Footer"/>
      <w:framePr w:wrap="around" w:vAnchor="text" w:hAnchor="margin" w:xAlign="center" w:y="1"/>
    </w:pPr>
    <w:r>
      <w:fldChar w:fldCharType="begin"/>
    </w:r>
    <w:r>
      <w:instrText xml:space="preserve">PAGE  </w:instrText>
    </w:r>
    <w:r>
      <w:fldChar w:fldCharType="end"/>
    </w:r>
  </w:p>
  <w:p w:rsidR="004929E6" w:rsidRDefault="00492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E6" w:rsidRDefault="004929E6" w:rsidP="0055614C">
    <w:pPr>
      <w:pStyle w:val="Footer"/>
      <w:framePr w:wrap="around" w:vAnchor="text" w:hAnchor="margin" w:xAlign="center" w:y="1"/>
    </w:pPr>
    <w:r>
      <w:fldChar w:fldCharType="begin"/>
    </w:r>
    <w:r>
      <w:instrText xml:space="preserve">PAGE  </w:instrText>
    </w:r>
    <w:r>
      <w:fldChar w:fldCharType="separate"/>
    </w:r>
    <w:r w:rsidR="00182A56">
      <w:rPr>
        <w:noProof/>
      </w:rPr>
      <w:t>2</w:t>
    </w:r>
    <w:r>
      <w:fldChar w:fldCharType="end"/>
    </w:r>
  </w:p>
  <w:p w:rsidR="004929E6" w:rsidRDefault="004929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E6" w:rsidRDefault="004929E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46" w:rsidRDefault="003D3946">
      <w:r>
        <w:separator/>
      </w:r>
    </w:p>
  </w:footnote>
  <w:footnote w:type="continuationSeparator" w:id="0">
    <w:p w:rsidR="003D3946" w:rsidRDefault="003D3946">
      <w:pPr>
        <w:rPr>
          <w:sz w:val="20"/>
        </w:rPr>
      </w:pPr>
      <w:r>
        <w:rPr>
          <w:sz w:val="20"/>
        </w:rPr>
        <w:t xml:space="preserve">(Continued from previous page)  </w:t>
      </w:r>
      <w:r>
        <w:rPr>
          <w:sz w:val="20"/>
        </w:rPr>
        <w:separator/>
      </w:r>
    </w:p>
  </w:footnote>
  <w:footnote w:type="continuationNotice" w:id="1">
    <w:p w:rsidR="003D3946" w:rsidRDefault="003D3946" w:rsidP="00044FD4">
      <w:pPr>
        <w:jc w:val="right"/>
        <w:rPr>
          <w:sz w:val="20"/>
        </w:rPr>
      </w:pPr>
      <w:r>
        <w:rPr>
          <w:sz w:val="20"/>
        </w:rPr>
        <w:t>(continued….)</w:t>
      </w:r>
    </w:p>
  </w:footnote>
  <w:footnote w:id="2">
    <w:p w:rsidR="00C23766" w:rsidRPr="00A4775E" w:rsidRDefault="00C23766" w:rsidP="00357153">
      <w:pPr>
        <w:pStyle w:val="FootnoteText"/>
      </w:pPr>
      <w:r w:rsidRPr="00A4775E">
        <w:rPr>
          <w:vertAlign w:val="superscript"/>
        </w:rPr>
        <w:footnoteRef/>
      </w:r>
      <w:r w:rsidRPr="00A4775E">
        <w:t xml:space="preserve"> Ted W. Austin, Jr.</w:t>
      </w:r>
      <w:r w:rsidR="00B239EE" w:rsidRPr="00A4775E">
        <w:t>,</w:t>
      </w:r>
      <w:r w:rsidR="002F14DA" w:rsidRPr="00A4775E">
        <w:t xml:space="preserve"> </w:t>
      </w:r>
      <w:r w:rsidR="00B239EE" w:rsidRPr="00A4775E">
        <w:t>Request for Waiver of Down Payment Deadline for Auction 62,</w:t>
      </w:r>
      <w:r w:rsidRPr="00A4775E">
        <w:t xml:space="preserve"> </w:t>
      </w:r>
      <w:r w:rsidR="00A4775E" w:rsidRPr="00A4775E">
        <w:rPr>
          <w:i/>
        </w:rPr>
        <w:t>Memorandum Opinion and Order</w:t>
      </w:r>
      <w:r w:rsidR="00A4775E" w:rsidRPr="00A4775E">
        <w:t xml:space="preserve">, </w:t>
      </w:r>
      <w:r w:rsidRPr="00A4775E">
        <w:t>25 FCC Rcd 1439 (2010) (“</w:t>
      </w:r>
      <w:r w:rsidRPr="00A4775E">
        <w:rPr>
          <w:i/>
        </w:rPr>
        <w:t>Staff Decision</w:t>
      </w:r>
      <w:r w:rsidRPr="00A4775E">
        <w:t>”).</w:t>
      </w:r>
    </w:p>
  </w:footnote>
  <w:footnote w:id="3">
    <w:p w:rsidR="00C23766" w:rsidRPr="00A4775E" w:rsidRDefault="00C23766" w:rsidP="00C23766">
      <w:pPr>
        <w:pStyle w:val="FootnoteText"/>
        <w:rPr>
          <w:lang w:bidi="x-none"/>
        </w:rPr>
      </w:pPr>
      <w:r w:rsidRPr="00A4775E">
        <w:rPr>
          <w:rStyle w:val="FootnoteReference"/>
        </w:rPr>
        <w:footnoteRef/>
      </w:r>
      <w:r w:rsidRPr="00A4775E">
        <w:t xml:space="preserve"> Ted Austin, Jr.</w:t>
      </w:r>
      <w:r w:rsidR="00A4775E">
        <w:t xml:space="preserve"> </w:t>
      </w:r>
      <w:r w:rsidRPr="00A4775E">
        <w:t xml:space="preserve">Application for Review (dated </w:t>
      </w:r>
      <w:r w:rsidR="001A142E" w:rsidRPr="00A4775E">
        <w:t>March</w:t>
      </w:r>
      <w:r w:rsidRPr="00A4775E">
        <w:t xml:space="preserve"> 22, 2010) (“Application for Review”).</w:t>
      </w:r>
    </w:p>
  </w:footnote>
  <w:footnote w:id="4">
    <w:p w:rsidR="00C23766" w:rsidRPr="00A4775E" w:rsidRDefault="00C23766" w:rsidP="00C23766">
      <w:pPr>
        <w:pStyle w:val="FootnoteText"/>
        <w:rPr>
          <w:lang w:bidi="x-none"/>
        </w:rPr>
      </w:pPr>
      <w:r w:rsidRPr="00A4775E">
        <w:rPr>
          <w:rStyle w:val="FootnoteReference"/>
        </w:rPr>
        <w:footnoteRef/>
      </w:r>
      <w:r w:rsidRPr="00A4775E">
        <w:t xml:space="preserve"> </w:t>
      </w:r>
      <w:r w:rsidRPr="009515C4">
        <w:rPr>
          <w:i/>
        </w:rPr>
        <w:t xml:space="preserve">See </w:t>
      </w:r>
      <w:r w:rsidRPr="00A4775E">
        <w:t>Auction of FM Broadcast Construction Permit Closes, Winning Bidders Announced for Auction No. 62, Public Notice, 21 FCC Rcd 1071 (MB/WTB 2006) (“</w:t>
      </w:r>
      <w:r w:rsidRPr="00A4775E">
        <w:rPr>
          <w:i/>
        </w:rPr>
        <w:t>Auction 62 Closing Public Notice</w:t>
      </w:r>
      <w:r w:rsidRPr="00A4775E">
        <w:t>”).</w:t>
      </w:r>
    </w:p>
  </w:footnote>
  <w:footnote w:id="5">
    <w:p w:rsidR="00C23766" w:rsidRPr="00A4775E" w:rsidRDefault="00C23766" w:rsidP="00C23766">
      <w:pPr>
        <w:pStyle w:val="FootnoteText"/>
        <w:rPr>
          <w:lang w:bidi="x-none"/>
        </w:rPr>
      </w:pPr>
      <w:r w:rsidRPr="00A4775E">
        <w:rPr>
          <w:rStyle w:val="FootnoteReference"/>
        </w:rPr>
        <w:footnoteRef/>
      </w:r>
      <w:r w:rsidRPr="00A4775E">
        <w:t xml:space="preserve"> </w:t>
      </w:r>
      <w:r w:rsidR="009515C4" w:rsidRPr="009515C4">
        <w:rPr>
          <w:i/>
        </w:rPr>
        <w:t>I</w:t>
      </w:r>
      <w:r w:rsidRPr="009515C4">
        <w:rPr>
          <w:i/>
        </w:rPr>
        <w:t>d</w:t>
      </w:r>
      <w:r w:rsidRPr="00D757CA">
        <w:t>.</w:t>
      </w:r>
      <w:r w:rsidRPr="00A4775E">
        <w:t xml:space="preserve"> at 1090.</w:t>
      </w:r>
    </w:p>
  </w:footnote>
  <w:footnote w:id="6">
    <w:p w:rsidR="00C23766" w:rsidRPr="00A4775E" w:rsidRDefault="00C23766" w:rsidP="00C23766">
      <w:pPr>
        <w:pStyle w:val="FootnoteText"/>
        <w:rPr>
          <w:lang w:bidi="x-none"/>
        </w:rPr>
      </w:pPr>
      <w:r w:rsidRPr="00A4775E">
        <w:rPr>
          <w:rStyle w:val="FootnoteReference"/>
        </w:rPr>
        <w:footnoteRef/>
      </w:r>
      <w:r w:rsidRPr="00A4775E">
        <w:t xml:space="preserve"> </w:t>
      </w:r>
      <w:r w:rsidR="00D757CA" w:rsidRPr="00D757CA">
        <w:rPr>
          <w:i/>
        </w:rPr>
        <w:t>See</w:t>
      </w:r>
      <w:r w:rsidR="00D757CA">
        <w:t xml:space="preserve"> </w:t>
      </w:r>
      <w:r w:rsidR="00D757CA" w:rsidRPr="005635B3">
        <w:rPr>
          <w:i/>
        </w:rPr>
        <w:t>i</w:t>
      </w:r>
      <w:r w:rsidRPr="005635B3">
        <w:rPr>
          <w:i/>
        </w:rPr>
        <w:t>d</w:t>
      </w:r>
      <w:r w:rsidRPr="00A4775E">
        <w:t xml:space="preserve">. at 1071-72; </w:t>
      </w:r>
      <w:r w:rsidRPr="00D757CA">
        <w:rPr>
          <w:i/>
        </w:rPr>
        <w:t>see also</w:t>
      </w:r>
      <w:r w:rsidRPr="00A4775E">
        <w:t xml:space="preserve"> Auction of FM Broadcast Construction Permits Scheduled for November 1, 2005, Notice and Filing Requirements, Minimum Opening Bids, Upfront Payments and Other Procedures for Auction No. 62, </w:t>
      </w:r>
      <w:r w:rsidRPr="00D757CA">
        <w:rPr>
          <w:i/>
        </w:rPr>
        <w:t>Public Notice</w:t>
      </w:r>
      <w:r w:rsidRPr="00A4775E">
        <w:t>, 20 FCC Rcd 10492, 10535 (MB/WTB 2005) (“</w:t>
      </w:r>
      <w:r w:rsidRPr="00A4775E">
        <w:rPr>
          <w:i/>
        </w:rPr>
        <w:t>Auction 62 Procedures Public Notice</w:t>
      </w:r>
      <w:r w:rsidRPr="00A4775E">
        <w:t>”).</w:t>
      </w:r>
    </w:p>
  </w:footnote>
  <w:footnote w:id="7">
    <w:p w:rsidR="00C23766" w:rsidRDefault="00C23766" w:rsidP="00C23766">
      <w:pPr>
        <w:pStyle w:val="FootnoteText"/>
      </w:pPr>
      <w:r>
        <w:rPr>
          <w:rStyle w:val="FootnoteReference"/>
        </w:rPr>
        <w:footnoteRef/>
      </w:r>
      <w:r>
        <w:rPr>
          <w:i/>
        </w:rPr>
        <w:t xml:space="preserve"> Auction 62</w:t>
      </w:r>
      <w:r>
        <w:t xml:space="preserve"> </w:t>
      </w:r>
      <w:r>
        <w:rPr>
          <w:i/>
        </w:rPr>
        <w:t>Closing Public Notice,</w:t>
      </w:r>
      <w:r>
        <w:t xml:space="preserve"> 21 FCC Rcd at 1073 (emphasis in original).</w:t>
      </w:r>
    </w:p>
  </w:footnote>
  <w:footnote w:id="8">
    <w:p w:rsidR="004115CA" w:rsidRDefault="004115CA">
      <w:pPr>
        <w:pStyle w:val="FootnoteText"/>
      </w:pPr>
      <w:r>
        <w:rPr>
          <w:rStyle w:val="FootnoteReference"/>
        </w:rPr>
        <w:footnoteRef/>
      </w:r>
      <w:r>
        <w:t xml:space="preserve"> </w:t>
      </w:r>
      <w:r w:rsidR="00062D97">
        <w:t>Ted Austin, Jr. Request for Waiver (dated Sept</w:t>
      </w:r>
      <w:r w:rsidR="000140A9">
        <w:t>.</w:t>
      </w:r>
      <w:r w:rsidR="00062D97">
        <w:t xml:space="preserve"> 28, 2007) (“Request for Waiver”).</w:t>
      </w:r>
    </w:p>
  </w:footnote>
  <w:footnote w:id="9">
    <w:p w:rsidR="00B24787" w:rsidRPr="008A176A" w:rsidRDefault="00B24787" w:rsidP="00B24787">
      <w:pPr>
        <w:pStyle w:val="FootnoteText"/>
        <w:rPr>
          <w:lang w:bidi="x-none"/>
        </w:rPr>
      </w:pPr>
      <w:r>
        <w:rPr>
          <w:rStyle w:val="FootnoteReference"/>
        </w:rPr>
        <w:footnoteRef/>
      </w:r>
      <w:r>
        <w:t xml:space="preserve"> </w:t>
      </w:r>
      <w:r w:rsidRPr="008A176A">
        <w:rPr>
          <w:i/>
        </w:rPr>
        <w:t>See</w:t>
      </w:r>
      <w:r w:rsidRPr="008A176A">
        <w:t xml:space="preserve"> </w:t>
      </w:r>
      <w:r w:rsidRPr="008A176A">
        <w:rPr>
          <w:i/>
        </w:rPr>
        <w:t>Staff Decisio</w:t>
      </w:r>
      <w:r w:rsidR="00177AF0">
        <w:rPr>
          <w:i/>
        </w:rPr>
        <w:t>n</w:t>
      </w:r>
      <w:r w:rsidR="00177AF0" w:rsidRPr="00177AF0">
        <w:t>,</w:t>
      </w:r>
      <w:r w:rsidRPr="008A176A">
        <w:t xml:space="preserve"> 25 FCC Rcd at 1442-43 ¶ 8</w:t>
      </w:r>
      <w:r w:rsidR="000808A8">
        <w:t xml:space="preserve">(explaining </w:t>
      </w:r>
      <w:r w:rsidRPr="008A176A">
        <w:t xml:space="preserve">that full and timely down payment is </w:t>
      </w:r>
      <w:r w:rsidR="000808A8">
        <w:t xml:space="preserve">critical </w:t>
      </w:r>
      <w:r w:rsidRPr="008A176A">
        <w:t>to the integrity of the auction and not</w:t>
      </w:r>
      <w:r w:rsidR="000808A8">
        <w:t>ing</w:t>
      </w:r>
      <w:r w:rsidRPr="008A176A">
        <w:t xml:space="preserve"> that “the Commission has consistently denied every request for waiver of the down payment deadline”</w:t>
      </w:r>
      <w:r w:rsidR="000808A8">
        <w:t>).</w:t>
      </w:r>
      <w:r w:rsidRPr="008A176A">
        <w:t xml:space="preserve">  </w:t>
      </w:r>
      <w:r w:rsidRPr="008A0D3D">
        <w:rPr>
          <w:i/>
        </w:rPr>
        <w:t>Id</w:t>
      </w:r>
      <w:r w:rsidRPr="008A176A">
        <w:t>. at 1442 ¶ 8.</w:t>
      </w:r>
    </w:p>
  </w:footnote>
  <w:footnote w:id="10">
    <w:p w:rsidR="006257BE" w:rsidRPr="00F045B0" w:rsidRDefault="006257BE">
      <w:pPr>
        <w:pStyle w:val="FootnoteText"/>
      </w:pPr>
      <w:r>
        <w:rPr>
          <w:rStyle w:val="FootnoteReference"/>
        </w:rPr>
        <w:footnoteRef/>
      </w:r>
      <w:r>
        <w:t xml:space="preserve"> </w:t>
      </w:r>
      <w:r>
        <w:rPr>
          <w:i/>
        </w:rPr>
        <w:t xml:space="preserve">Staff Decision, </w:t>
      </w:r>
      <w:r>
        <w:t>25 FCC Rcd at 1442 ¶ 8.</w:t>
      </w:r>
      <w:r w:rsidR="00F045B0">
        <w:t xml:space="preserve">  </w:t>
      </w:r>
      <w:r w:rsidR="00B71E0F" w:rsidRPr="00B71E0F">
        <w:t xml:space="preserve">The Commission established a fixed down payment deadline to occur within days of the close of each auction to forestall speculative bidding that might occur if financially unqualified bidders are provided an opportunity to “shop” a winning bid in an effort to obtain financing for a down payment and thereby undermine the integrity of the auction process.  </w:t>
      </w:r>
      <w:r w:rsidR="00F045B0">
        <w:rPr>
          <w:i/>
        </w:rPr>
        <w:t xml:space="preserve">See </w:t>
      </w:r>
      <w:r w:rsidR="00F045B0">
        <w:t xml:space="preserve">Implementation of Section 309(j) of the Communications Act – Competitive Bidding, </w:t>
      </w:r>
      <w:r w:rsidR="00F045B0">
        <w:rPr>
          <w:i/>
        </w:rPr>
        <w:t xml:space="preserve">Second Report and Order, </w:t>
      </w:r>
      <w:r w:rsidR="00F045B0">
        <w:t>9 FCC Rcd 2348, 2381-82 ¶ 192 (1994) (</w:t>
      </w:r>
      <w:r w:rsidR="00F045B0">
        <w:rPr>
          <w:i/>
        </w:rPr>
        <w:t>Second Report and Order</w:t>
      </w:r>
      <w:r w:rsidR="00F045B0">
        <w:t>).</w:t>
      </w:r>
    </w:p>
  </w:footnote>
  <w:footnote w:id="11">
    <w:p w:rsidR="00C23766" w:rsidRDefault="00C23766" w:rsidP="00C23766">
      <w:pPr>
        <w:pStyle w:val="FootnoteText"/>
        <w:rPr>
          <w:lang w:bidi="x-none"/>
        </w:rPr>
      </w:pPr>
      <w:r>
        <w:rPr>
          <w:rStyle w:val="FootnoteReference"/>
        </w:rPr>
        <w:footnoteRef/>
      </w:r>
      <w:r>
        <w:t xml:space="preserve"> </w:t>
      </w:r>
      <w:r>
        <w:rPr>
          <w:rFonts w:ascii="Times New Roman Italic" w:hAnsi="Times New Roman Italic"/>
        </w:rPr>
        <w:t xml:space="preserve">Staff Decision, </w:t>
      </w:r>
      <w:r>
        <w:t>25 FCC Rcd at 1442 ¶ 8.</w:t>
      </w:r>
    </w:p>
  </w:footnote>
  <w:footnote w:id="12">
    <w:p w:rsidR="00C23766" w:rsidRDefault="00C23766" w:rsidP="00C23766">
      <w:pPr>
        <w:pStyle w:val="FootnoteText"/>
        <w:rPr>
          <w:lang w:bidi="x-none"/>
        </w:rPr>
      </w:pPr>
      <w:r>
        <w:rPr>
          <w:rStyle w:val="FootnoteReference"/>
        </w:rPr>
        <w:footnoteRef/>
      </w:r>
      <w:r>
        <w:t xml:space="preserve"> </w:t>
      </w:r>
      <w:r w:rsidRPr="00A725AB">
        <w:rPr>
          <w:i/>
        </w:rPr>
        <w:t>Id</w:t>
      </w:r>
      <w:r w:rsidRPr="00A725AB">
        <w:t>. at 1444 ¶ 12</w:t>
      </w:r>
      <w:r>
        <w:t xml:space="preserve">.  Specifically, </w:t>
      </w:r>
      <w:r w:rsidR="00136413">
        <w:t xml:space="preserve">the </w:t>
      </w:r>
      <w:r w:rsidR="00136413" w:rsidRPr="008A176A">
        <w:rPr>
          <w:i/>
        </w:rPr>
        <w:t>Staff Decision</w:t>
      </w:r>
      <w:r w:rsidR="00136413" w:rsidRPr="008A176A">
        <w:t xml:space="preserve"> </w:t>
      </w:r>
      <w:r>
        <w:t xml:space="preserve">stated, “we cannot find that Mr. Austin’s inattention to post-auction obligations constitutes a special circumstance that warrants a deviation from the general rule.”  </w:t>
      </w:r>
      <w:r>
        <w:rPr>
          <w:rFonts w:ascii="Times New Roman Italic" w:hAnsi="Times New Roman Italic"/>
        </w:rPr>
        <w:t>Id.</w:t>
      </w:r>
    </w:p>
  </w:footnote>
  <w:footnote w:id="13">
    <w:p w:rsidR="00C23766" w:rsidRDefault="00C23766" w:rsidP="00C23766">
      <w:pPr>
        <w:pStyle w:val="FootnoteText"/>
        <w:rPr>
          <w:lang w:bidi="x-none"/>
        </w:rPr>
      </w:pPr>
      <w:r>
        <w:rPr>
          <w:rStyle w:val="FootnoteReference"/>
        </w:rPr>
        <w:footnoteRef/>
      </w:r>
      <w:r>
        <w:t xml:space="preserve"> </w:t>
      </w:r>
      <w:r>
        <w:rPr>
          <w:rFonts w:ascii="Times New Roman Italic" w:hAnsi="Times New Roman Italic"/>
        </w:rPr>
        <w:t>Id.</w:t>
      </w:r>
      <w:r>
        <w:t xml:space="preserve"> at 1446-47 ¶¶ 17-21.</w:t>
      </w:r>
    </w:p>
  </w:footnote>
  <w:footnote w:id="14">
    <w:p w:rsidR="00354A22" w:rsidRDefault="00354A22" w:rsidP="00354A22">
      <w:pPr>
        <w:pStyle w:val="FootnoteText"/>
        <w:rPr>
          <w:lang w:bidi="x-none"/>
        </w:rPr>
      </w:pPr>
      <w:r>
        <w:rPr>
          <w:rStyle w:val="FootnoteReference"/>
        </w:rPr>
        <w:footnoteRef/>
      </w:r>
      <w:r>
        <w:t xml:space="preserve"> Application for Review at 1.</w:t>
      </w:r>
    </w:p>
  </w:footnote>
  <w:footnote w:id="15">
    <w:p w:rsidR="007920E4" w:rsidRDefault="007920E4">
      <w:pPr>
        <w:pStyle w:val="FootnoteText"/>
      </w:pPr>
      <w:r>
        <w:rPr>
          <w:rStyle w:val="FootnoteReference"/>
        </w:rPr>
        <w:footnoteRef/>
      </w:r>
      <w:r>
        <w:t xml:space="preserve"> </w:t>
      </w:r>
      <w:r>
        <w:rPr>
          <w:rFonts w:ascii="Times New Roman Italic" w:hAnsi="Times New Roman Italic"/>
        </w:rPr>
        <w:t>Id.</w:t>
      </w:r>
      <w:r>
        <w:t xml:space="preserve"> at 1-2, </w:t>
      </w:r>
      <w:r w:rsidR="00786E68">
        <w:t xml:space="preserve">6, </w:t>
      </w:r>
      <w:r>
        <w:t xml:space="preserve">8. </w:t>
      </w:r>
    </w:p>
  </w:footnote>
  <w:footnote w:id="16">
    <w:p w:rsidR="007920E4" w:rsidRDefault="007920E4">
      <w:pPr>
        <w:pStyle w:val="FootnoteText"/>
      </w:pPr>
      <w:r>
        <w:rPr>
          <w:rStyle w:val="FootnoteReference"/>
        </w:rPr>
        <w:footnoteRef/>
      </w:r>
      <w:r>
        <w:t xml:space="preserve"> </w:t>
      </w:r>
      <w:r>
        <w:rPr>
          <w:rFonts w:ascii="Times New Roman Italic" w:hAnsi="Times New Roman Italic"/>
        </w:rPr>
        <w:t>Id.</w:t>
      </w:r>
      <w:r>
        <w:t xml:space="preserve"> at 8-9.  </w:t>
      </w:r>
    </w:p>
  </w:footnote>
  <w:footnote w:id="17">
    <w:p w:rsidR="00B239EE" w:rsidRPr="00B239EE" w:rsidRDefault="00C23766" w:rsidP="00F96478">
      <w:pPr>
        <w:pStyle w:val="FootnoteText"/>
      </w:pPr>
      <w:r>
        <w:rPr>
          <w:rStyle w:val="FootnoteReference"/>
        </w:rPr>
        <w:footnoteRef/>
      </w:r>
      <w:r>
        <w:t xml:space="preserve"> </w:t>
      </w:r>
      <w:r w:rsidRPr="00B239EE">
        <w:t>47 C.F.R. § 1.115</w:t>
      </w:r>
      <w:r w:rsidR="00E666E6">
        <w:t>(b)(2)</w:t>
      </w:r>
      <w:r w:rsidRPr="00B239EE">
        <w:t>.</w:t>
      </w:r>
      <w:r>
        <w:t xml:space="preserve"> </w:t>
      </w:r>
      <w:r w:rsidR="00E666E6">
        <w:t xml:space="preserve"> </w:t>
      </w:r>
    </w:p>
  </w:footnote>
  <w:footnote w:id="18">
    <w:p w:rsidR="004F7ADA" w:rsidRPr="00525F62" w:rsidRDefault="004F7ADA" w:rsidP="004F7ADA">
      <w:pPr>
        <w:pStyle w:val="FootnoteText"/>
      </w:pPr>
      <w:r w:rsidRPr="00525F62">
        <w:rPr>
          <w:rStyle w:val="FootnoteReference"/>
        </w:rPr>
        <w:footnoteRef/>
      </w:r>
      <w:r w:rsidRPr="00525F62">
        <w:t xml:space="preserve"> Application for Review at 2-4.</w:t>
      </w:r>
    </w:p>
  </w:footnote>
  <w:footnote w:id="19">
    <w:p w:rsidR="004F7ADA" w:rsidRDefault="004F7ADA" w:rsidP="004F7ADA">
      <w:pPr>
        <w:pStyle w:val="FootnoteText"/>
      </w:pPr>
      <w:r>
        <w:rPr>
          <w:rStyle w:val="FootnoteReference"/>
        </w:rPr>
        <w:footnoteRef/>
      </w:r>
      <w:r>
        <w:t xml:space="preserve"> 47 C.F.R. § 1.3.  This waiver standard, and the waiver standard applied in the context of wireless radio services licenses, 47 C.F.R. § 1.925, have been found to be substantially the same.  </w:t>
      </w:r>
      <w:r w:rsidRPr="00E56A4C">
        <w:rPr>
          <w:i/>
        </w:rPr>
        <w:t>See</w:t>
      </w:r>
      <w:r>
        <w:t xml:space="preserve"> Delta Radio, Inc., </w:t>
      </w:r>
      <w:r w:rsidRPr="00E56A4C">
        <w:rPr>
          <w:i/>
        </w:rPr>
        <w:t>Memorandum Opinion and Order,</w:t>
      </w:r>
      <w:r>
        <w:t xml:space="preserve"> 18 FCC Rcd 16889, 16891 ¶ 7 &amp; n.19 (2003) (citing </w:t>
      </w:r>
      <w:r w:rsidRPr="00E56A4C">
        <w:rPr>
          <w:i/>
        </w:rPr>
        <w:t>Bellsouth Corporation v. FCC,</w:t>
      </w:r>
      <w:r>
        <w:t xml:space="preserve"> 162 F.3d 1215, 1225 n.10 (D.C. Cir. 1999)).  </w:t>
      </w:r>
    </w:p>
  </w:footnote>
  <w:footnote w:id="20">
    <w:p w:rsidR="004F7ADA" w:rsidRDefault="004F7ADA" w:rsidP="004F7ADA">
      <w:pPr>
        <w:pStyle w:val="FootnoteText"/>
      </w:pPr>
      <w:r>
        <w:rPr>
          <w:rStyle w:val="FootnoteReference"/>
        </w:rPr>
        <w:footnoteRef/>
      </w:r>
      <w:r w:rsidR="00FC2034">
        <w:rPr>
          <w:i/>
        </w:rPr>
        <w:t xml:space="preserve"> </w:t>
      </w:r>
      <w:r w:rsidR="00FC2034" w:rsidRPr="008A176A">
        <w:rPr>
          <w:i/>
        </w:rPr>
        <w:t>See</w:t>
      </w:r>
      <w:r w:rsidR="008848C9">
        <w:rPr>
          <w:i/>
        </w:rPr>
        <w:t>, e.g.,</w:t>
      </w:r>
      <w:r w:rsidR="00FC2034" w:rsidRPr="0085042A">
        <w:t xml:space="preserve"> </w:t>
      </w:r>
      <w:r w:rsidRPr="009970B9">
        <w:rPr>
          <w:i/>
        </w:rPr>
        <w:t>Northeast Cellular Tel. Co. v. FCC</w:t>
      </w:r>
      <w:r>
        <w:t>, 897 F.2d 1164, 1166 (D.C. Cir. 1990) (</w:t>
      </w:r>
      <w:r w:rsidRPr="005356CF">
        <w:rPr>
          <w:i/>
        </w:rPr>
        <w:t>“Northeast Cellular”</w:t>
      </w:r>
      <w:r>
        <w:t>)</w:t>
      </w:r>
      <w:r w:rsidR="008848C9">
        <w:t xml:space="preserve">, </w:t>
      </w:r>
      <w:r w:rsidR="008848C9">
        <w:rPr>
          <w:i/>
        </w:rPr>
        <w:t xml:space="preserve">cited at </w:t>
      </w:r>
      <w:r w:rsidR="008848C9" w:rsidRPr="008A176A">
        <w:rPr>
          <w:i/>
        </w:rPr>
        <w:t>Staff Decision</w:t>
      </w:r>
      <w:r w:rsidR="008848C9" w:rsidRPr="00177AF0">
        <w:t xml:space="preserve">, </w:t>
      </w:r>
      <w:r w:rsidR="008848C9" w:rsidRPr="008A176A">
        <w:t>25 FCC Rcd at 1442</w:t>
      </w:r>
      <w:r w:rsidR="008848C9">
        <w:t xml:space="preserve"> </w:t>
      </w:r>
      <w:r w:rsidR="008848C9" w:rsidRPr="008A176A">
        <w:t xml:space="preserve">¶ </w:t>
      </w:r>
      <w:r w:rsidR="008848C9">
        <w:t>7 n. 26</w:t>
      </w:r>
      <w:r>
        <w:t xml:space="preserve">.  </w:t>
      </w:r>
      <w:r w:rsidR="006257BE">
        <w:rPr>
          <w:i/>
        </w:rPr>
        <w:t xml:space="preserve">Accord, NetworkIP, LLC v. FCC, </w:t>
      </w:r>
      <w:r w:rsidR="006257BE">
        <w:t xml:space="preserve">548 F.3d 116, 127 (D.C. Cir. 2008).  </w:t>
      </w:r>
      <w:r w:rsidRPr="00DC018F">
        <w:rPr>
          <w:i/>
        </w:rPr>
        <w:t>See also</w:t>
      </w:r>
      <w:r>
        <w:t xml:space="preserve"> 47 C.F.R. § 1.925(a)(3)(i). </w:t>
      </w:r>
    </w:p>
  </w:footnote>
  <w:footnote w:id="21">
    <w:p w:rsidR="004F7ADA" w:rsidRDefault="004F7ADA" w:rsidP="004F7ADA">
      <w:pPr>
        <w:pStyle w:val="FootnoteText"/>
      </w:pPr>
      <w:r>
        <w:rPr>
          <w:rStyle w:val="FootnoteReference"/>
        </w:rPr>
        <w:footnoteRef/>
      </w:r>
      <w:r>
        <w:t xml:space="preserve"> </w:t>
      </w:r>
      <w:r w:rsidR="000B6ADA">
        <w:rPr>
          <w:i/>
        </w:rPr>
        <w:t xml:space="preserve">See </w:t>
      </w:r>
      <w:r w:rsidR="00FC2034" w:rsidRPr="008A176A">
        <w:rPr>
          <w:i/>
        </w:rPr>
        <w:t>Staff Decision</w:t>
      </w:r>
      <w:r w:rsidR="00177AF0">
        <w:rPr>
          <w:i/>
        </w:rPr>
        <w:t>,</w:t>
      </w:r>
      <w:r w:rsidR="00FC2034" w:rsidRPr="008A176A">
        <w:t xml:space="preserve"> 25 FCC Rcd at 1442 ¶ </w:t>
      </w:r>
      <w:r w:rsidR="00FC2034">
        <w:t>7</w:t>
      </w:r>
      <w:r w:rsidR="00FC2034" w:rsidRPr="008A176A">
        <w:t xml:space="preserve">.  </w:t>
      </w:r>
      <w:r w:rsidRPr="00925027">
        <w:rPr>
          <w:i/>
        </w:rPr>
        <w:t>See</w:t>
      </w:r>
      <w:r>
        <w:t xml:space="preserve"> </w:t>
      </w:r>
      <w:r w:rsidR="00FC2034" w:rsidRPr="00FC2034">
        <w:rPr>
          <w:i/>
        </w:rPr>
        <w:t>also</w:t>
      </w:r>
      <w:r w:rsidR="00FC2034">
        <w:t xml:space="preserve"> 47 C.F.R. § 1.925(a)(3)(ii); </w:t>
      </w:r>
      <w:r w:rsidRPr="009970B9">
        <w:rPr>
          <w:i/>
        </w:rPr>
        <w:t>Northeast Cellular</w:t>
      </w:r>
      <w:r w:rsidRPr="00925027">
        <w:t>,</w:t>
      </w:r>
      <w:r>
        <w:rPr>
          <w:i/>
        </w:rPr>
        <w:t xml:space="preserve"> </w:t>
      </w:r>
      <w:r>
        <w:t>897 F.2d at 1166.</w:t>
      </w:r>
    </w:p>
  </w:footnote>
  <w:footnote w:id="22">
    <w:p w:rsidR="004F7ADA" w:rsidRDefault="004F7ADA" w:rsidP="004F7ADA">
      <w:pPr>
        <w:pStyle w:val="FootnoteText"/>
      </w:pPr>
      <w:r>
        <w:rPr>
          <w:rStyle w:val="FootnoteReference"/>
        </w:rPr>
        <w:footnoteRef/>
      </w:r>
      <w:r>
        <w:t xml:space="preserve"> </w:t>
      </w:r>
      <w:r w:rsidRPr="0076033F">
        <w:rPr>
          <w:i/>
        </w:rPr>
        <w:t>See WAIT Radio v. FCC</w:t>
      </w:r>
      <w:r>
        <w:t xml:space="preserve">, 418 F.2d 1153, 1155, 1157 (D.C. Cir. 1969), </w:t>
      </w:r>
      <w:r w:rsidRPr="0076033F">
        <w:rPr>
          <w:i/>
        </w:rPr>
        <w:t>aff’d</w:t>
      </w:r>
      <w:r>
        <w:t xml:space="preserve">, 459 F.2d 1203 (1972), </w:t>
      </w:r>
      <w:r w:rsidRPr="0076033F">
        <w:rPr>
          <w:i/>
        </w:rPr>
        <w:t>cert. denied</w:t>
      </w:r>
      <w:r>
        <w:t>, 93 S.Ct. 461 (1972) (</w:t>
      </w:r>
      <w:r w:rsidRPr="00B317B5">
        <w:rPr>
          <w:i/>
        </w:rPr>
        <w:t>“W</w:t>
      </w:r>
      <w:r>
        <w:rPr>
          <w:i/>
        </w:rPr>
        <w:t>AIT</w:t>
      </w:r>
      <w:r w:rsidRPr="00B317B5">
        <w:rPr>
          <w:i/>
        </w:rPr>
        <w:t xml:space="preserve"> Radio”</w:t>
      </w:r>
      <w:r>
        <w:t xml:space="preserve">) (finding that the Commission may decide in some instances that rule waiver serves the public interest if an applicant’s proposal will not undermine the policy served by the rule).  </w:t>
      </w:r>
      <w:r w:rsidRPr="0076033F">
        <w:rPr>
          <w:i/>
        </w:rPr>
        <w:t>See also Thomas Radio v. FCC</w:t>
      </w:r>
      <w:r>
        <w:t xml:space="preserve">, 716 F.2d 921, 924 (D.C. Cir. 1983). </w:t>
      </w:r>
    </w:p>
  </w:footnote>
  <w:footnote w:id="23">
    <w:p w:rsidR="00566220" w:rsidRPr="00525F62" w:rsidRDefault="00566220" w:rsidP="00566220">
      <w:pPr>
        <w:pStyle w:val="FootnoteText"/>
      </w:pPr>
      <w:r w:rsidRPr="00525F62">
        <w:rPr>
          <w:rStyle w:val="FootnoteReference"/>
        </w:rPr>
        <w:footnoteRef/>
      </w:r>
      <w:r w:rsidRPr="00525F62">
        <w:t xml:space="preserve"> </w:t>
      </w:r>
      <w:r w:rsidRPr="00525F62">
        <w:rPr>
          <w:i/>
        </w:rPr>
        <w:t>See</w:t>
      </w:r>
      <w:r w:rsidRPr="00525F62">
        <w:t xml:space="preserve"> </w:t>
      </w:r>
      <w:r w:rsidR="00D940A3" w:rsidRPr="000D3564">
        <w:rPr>
          <w:i/>
        </w:rPr>
        <w:t>e.g.,</w:t>
      </w:r>
      <w:r w:rsidR="00D940A3">
        <w:t xml:space="preserve"> </w:t>
      </w:r>
      <w:r w:rsidRPr="00525F62">
        <w:t>Mountain SMR Group, L</w:t>
      </w:r>
      <w:r>
        <w:t>.</w:t>
      </w:r>
      <w:r w:rsidRPr="00525F62">
        <w:t>L</w:t>
      </w:r>
      <w:r>
        <w:t>.</w:t>
      </w:r>
      <w:r w:rsidRPr="00525F62">
        <w:t>C</w:t>
      </w:r>
      <w:r>
        <w:t>.</w:t>
      </w:r>
      <w:r w:rsidRPr="00525F62">
        <w:t xml:space="preserve">, </w:t>
      </w:r>
      <w:r w:rsidRPr="00525F62">
        <w:rPr>
          <w:i/>
        </w:rPr>
        <w:t>Letter Order</w:t>
      </w:r>
      <w:r w:rsidRPr="00525F62">
        <w:t>, 13 FCC Rcd 16344 (</w:t>
      </w:r>
      <w:r>
        <w:t xml:space="preserve">WTB </w:t>
      </w:r>
      <w:r w:rsidRPr="00525F62">
        <w:t>1998)</w:t>
      </w:r>
      <w:r w:rsidR="004C1B4E">
        <w:t xml:space="preserve"> (citing </w:t>
      </w:r>
      <w:r w:rsidR="004C1B4E">
        <w:rPr>
          <w:color w:val="000000"/>
        </w:rPr>
        <w:t xml:space="preserve">Amendment of Part 1 of the Commission's Rules – Competitive Bidding Procedures, </w:t>
      </w:r>
      <w:r w:rsidR="004C1B4E">
        <w:rPr>
          <w:i/>
          <w:color w:val="000000"/>
        </w:rPr>
        <w:t xml:space="preserve">Third Report and Order and Second Further Notice of Proposed Rulemaking, </w:t>
      </w:r>
      <w:r w:rsidR="004C1B4E">
        <w:rPr>
          <w:color w:val="000000"/>
        </w:rPr>
        <w:t xml:space="preserve">13 FCC Rcd 374, </w:t>
      </w:r>
      <w:r w:rsidR="004C1B4E">
        <w:t>430 ¶ 96</w:t>
      </w:r>
      <w:r w:rsidR="004C1B4E">
        <w:rPr>
          <w:color w:val="000000"/>
        </w:rPr>
        <w:t xml:space="preserve"> (1998)</w:t>
      </w:r>
      <w:r w:rsidR="008839FB">
        <w:rPr>
          <w:color w:val="000000"/>
        </w:rPr>
        <w:t>(</w:t>
      </w:r>
      <w:r w:rsidR="008839FB">
        <w:rPr>
          <w:i/>
          <w:color w:val="000000"/>
        </w:rPr>
        <w:t>Third Report and Order</w:t>
      </w:r>
      <w:r w:rsidR="008839FB">
        <w:rPr>
          <w:color w:val="000000"/>
        </w:rPr>
        <w:t>)</w:t>
      </w:r>
      <w:r w:rsidR="004C1B4E">
        <w:rPr>
          <w:color w:val="000000"/>
        </w:rPr>
        <w:t>)</w:t>
      </w:r>
      <w:r>
        <w:t xml:space="preserve">, </w:t>
      </w:r>
      <w:r w:rsidRPr="00BF5A6F">
        <w:rPr>
          <w:i/>
        </w:rPr>
        <w:t>recon. denied</w:t>
      </w:r>
      <w:r>
        <w:rPr>
          <w:i/>
        </w:rPr>
        <w:t xml:space="preserve">, </w:t>
      </w:r>
      <w:r>
        <w:t xml:space="preserve">Mountain SMR Group, L.L.C., </w:t>
      </w:r>
      <w:r>
        <w:rPr>
          <w:i/>
        </w:rPr>
        <w:t>Order on Reconsideration</w:t>
      </w:r>
      <w:r>
        <w:t>, 14 FCC Rcd 3823 (WTB 1999)</w:t>
      </w:r>
      <w:r w:rsidRPr="00525F62">
        <w:rPr>
          <w:color w:val="252525"/>
        </w:rPr>
        <w:t>.</w:t>
      </w:r>
      <w:r w:rsidR="000B6ADA">
        <w:rPr>
          <w:color w:val="252525"/>
        </w:rPr>
        <w:t xml:space="preserve">  </w:t>
      </w:r>
    </w:p>
  </w:footnote>
  <w:footnote w:id="24">
    <w:p w:rsidR="007B6486" w:rsidRDefault="007B6486">
      <w:pPr>
        <w:pStyle w:val="FootnoteText"/>
      </w:pPr>
      <w:r>
        <w:rPr>
          <w:rStyle w:val="FootnoteReference"/>
        </w:rPr>
        <w:footnoteRef/>
      </w:r>
      <w:r>
        <w:t xml:space="preserve"> </w:t>
      </w:r>
      <w:r>
        <w:rPr>
          <w:i/>
        </w:rPr>
        <w:t xml:space="preserve">See </w:t>
      </w:r>
      <w:r w:rsidRPr="008A176A">
        <w:rPr>
          <w:i/>
        </w:rPr>
        <w:t>Staff Decision</w:t>
      </w:r>
      <w:r>
        <w:rPr>
          <w:i/>
        </w:rPr>
        <w:t>,</w:t>
      </w:r>
      <w:r>
        <w:t xml:space="preserve"> 25 FCC Rcd at 1443</w:t>
      </w:r>
      <w:r w:rsidRPr="008A176A">
        <w:t xml:space="preserve"> ¶ </w:t>
      </w:r>
      <w:r>
        <w:t xml:space="preserve">10. </w:t>
      </w:r>
    </w:p>
  </w:footnote>
  <w:footnote w:id="25">
    <w:p w:rsidR="008839FB" w:rsidRPr="008839FB" w:rsidRDefault="008839FB">
      <w:pPr>
        <w:pStyle w:val="FootnoteText"/>
      </w:pPr>
      <w:r w:rsidRPr="00326CAA">
        <w:rPr>
          <w:rStyle w:val="FootnoteReference"/>
        </w:rPr>
        <w:footnoteRef/>
      </w:r>
      <w:r>
        <w:t xml:space="preserve"> </w:t>
      </w:r>
      <w:r>
        <w:rPr>
          <w:i/>
        </w:rPr>
        <w:t xml:space="preserve">Third Report and Order, </w:t>
      </w:r>
      <w:r>
        <w:t>13 FCC Rcd at 430 ¶ 96.</w:t>
      </w:r>
    </w:p>
  </w:footnote>
  <w:footnote w:id="26">
    <w:p w:rsidR="00566220" w:rsidRPr="00525F62" w:rsidRDefault="00566220" w:rsidP="00566220">
      <w:pPr>
        <w:pStyle w:val="FootnoteText"/>
      </w:pPr>
      <w:r w:rsidRPr="00525F62">
        <w:rPr>
          <w:rStyle w:val="FootnoteReference"/>
        </w:rPr>
        <w:footnoteRef/>
      </w:r>
      <w:r w:rsidRPr="00525F62">
        <w:t xml:space="preserve"> </w:t>
      </w:r>
      <w:r w:rsidRPr="00525F62">
        <w:rPr>
          <w:i/>
        </w:rPr>
        <w:t xml:space="preserve">See </w:t>
      </w:r>
      <w:r w:rsidRPr="00525F62">
        <w:t xml:space="preserve">TPS Utilicom, Inc., </w:t>
      </w:r>
      <w:r w:rsidRPr="00525F62">
        <w:rPr>
          <w:i/>
        </w:rPr>
        <w:t>Memorandum Order and Opinion,</w:t>
      </w:r>
      <w:r w:rsidRPr="00525F62">
        <w:t xml:space="preserve"> 16 FCC Rcd 14835, 14838 ¶ 8 (</w:t>
      </w:r>
      <w:r>
        <w:t xml:space="preserve">WTB </w:t>
      </w:r>
      <w:r w:rsidRPr="00525F62">
        <w:t>2001)</w:t>
      </w:r>
      <w:r>
        <w:t xml:space="preserve"> (citing </w:t>
      </w:r>
      <w:r w:rsidRPr="00525F62">
        <w:t>BDPCS, Inc.</w:t>
      </w:r>
      <w:r w:rsidRPr="00525F62">
        <w:rPr>
          <w:i/>
        </w:rPr>
        <w:t>, Memorandum Opinion and Order</w:t>
      </w:r>
      <w:r>
        <w:rPr>
          <w:i/>
        </w:rPr>
        <w:t xml:space="preserve">, </w:t>
      </w:r>
      <w:r>
        <w:t xml:space="preserve">12 FCC Rcd 15341, 15343 ¶ 4 (1997); </w:t>
      </w:r>
      <w:r w:rsidRPr="00ED71A7">
        <w:t xml:space="preserve">Requests for Waivers in the First Auction of 594 Interactive Video and Data Service Licenses, </w:t>
      </w:r>
      <w:r w:rsidRPr="00ED71A7">
        <w:rPr>
          <w:i/>
        </w:rPr>
        <w:t>Order</w:t>
      </w:r>
      <w:r w:rsidRPr="00ED71A7">
        <w:t>, 9 FCC Rcd 6384, 6384 ¶ 5 (CCB 1994)</w:t>
      </w:r>
      <w:r w:rsidRPr="009A5FD5">
        <w:t xml:space="preserve">; Phoenix Data Communications, Inc., </w:t>
      </w:r>
      <w:r w:rsidRPr="009A5FD5">
        <w:rPr>
          <w:i/>
        </w:rPr>
        <w:t>Order on Reconsideration</w:t>
      </w:r>
      <w:r w:rsidRPr="009A5FD5">
        <w:t>, 14 FCC Rcd 21122, 21124 ¶ 5 (</w:t>
      </w:r>
      <w:r>
        <w:t>WTB</w:t>
      </w:r>
      <w:r w:rsidRPr="009A5FD5">
        <w:t xml:space="preserve"> 1999); National Telecom PCS, </w:t>
      </w:r>
      <w:r w:rsidR="006D177C" w:rsidRPr="009A5FD5">
        <w:t>Inc.</w:t>
      </w:r>
      <w:r w:rsidRPr="009A5FD5">
        <w:t xml:space="preserve">, </w:t>
      </w:r>
      <w:r w:rsidRPr="009A5FD5">
        <w:rPr>
          <w:i/>
        </w:rPr>
        <w:t>Order on Reconsideration</w:t>
      </w:r>
      <w:r w:rsidRPr="009A5FD5">
        <w:t xml:space="preserve">, </w:t>
      </w:r>
      <w:r w:rsidRPr="00ED71A7">
        <w:t>14 FCC Rcd 18822, 18826 ¶ 9 (1999)</w:t>
      </w:r>
      <w:r w:rsidRPr="009A5FD5">
        <w:t xml:space="preserve">; </w:t>
      </w:r>
      <w:r w:rsidRPr="002A09D9">
        <w:rPr>
          <w:i/>
        </w:rPr>
        <w:t>aff'd</w:t>
      </w:r>
      <w:r w:rsidRPr="009A5FD5">
        <w:t xml:space="preserve">, </w:t>
      </w:r>
      <w:r w:rsidRPr="00ED71A7">
        <w:rPr>
          <w:i/>
        </w:rPr>
        <w:t>National Telecom Inc. v. FCC</w:t>
      </w:r>
      <w:r w:rsidRPr="00ED71A7">
        <w:t>, 254 F.3d 316 (D.C. Cir. 2000)</w:t>
      </w:r>
      <w:r>
        <w:t>;</w:t>
      </w:r>
      <w:r w:rsidRPr="00BD35DA">
        <w:rPr>
          <w:i/>
        </w:rPr>
        <w:t xml:space="preserve"> </w:t>
      </w:r>
      <w:r>
        <w:rPr>
          <w:i/>
        </w:rPr>
        <w:t>Mountain Solutions, Ltd., Inc. v. FCC</w:t>
      </w:r>
      <w:r>
        <w:t>, 197 F.3d 512 (D.C. Cir., 1999))</w:t>
      </w:r>
      <w:r w:rsidRPr="00525F62">
        <w:t>.</w:t>
      </w:r>
    </w:p>
  </w:footnote>
  <w:footnote w:id="27">
    <w:p w:rsidR="00C47197" w:rsidRPr="00C47197" w:rsidRDefault="00C47197">
      <w:pPr>
        <w:pStyle w:val="FootnoteText"/>
      </w:pPr>
      <w:r>
        <w:rPr>
          <w:rStyle w:val="FootnoteReference"/>
        </w:rPr>
        <w:footnoteRef/>
      </w:r>
      <w:r>
        <w:t xml:space="preserve"> </w:t>
      </w:r>
      <w:r>
        <w:rPr>
          <w:i/>
        </w:rPr>
        <w:t>See</w:t>
      </w:r>
      <w:r>
        <w:t xml:space="preserve"> </w:t>
      </w:r>
      <w:r w:rsidR="00302C59">
        <w:t>para. 2</w:t>
      </w:r>
      <w:r>
        <w:t xml:space="preserve">, </w:t>
      </w:r>
      <w:r w:rsidRPr="000A38D1">
        <w:rPr>
          <w:i/>
        </w:rPr>
        <w:t>supra</w:t>
      </w:r>
      <w:r>
        <w:t>.</w:t>
      </w:r>
    </w:p>
  </w:footnote>
  <w:footnote w:id="28">
    <w:p w:rsidR="008D08D7" w:rsidRDefault="008D08D7" w:rsidP="008D08D7">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TPS Utilicom, Inc., </w:t>
      </w:r>
      <w:r>
        <w:rPr>
          <w:rFonts w:ascii="Times New Roman Italic" w:hAnsi="Times New Roman Italic"/>
        </w:rPr>
        <w:t>Order on Reconsideration,</w:t>
      </w:r>
      <w:r>
        <w:t xml:space="preserve"> 18 FCC Rcd 2516, 2520 ¶ 9 (WTB 2003) (</w:t>
      </w:r>
      <w:r>
        <w:rPr>
          <w:rFonts w:ascii="Times New Roman Italic" w:hAnsi="Times New Roman Italic"/>
        </w:rPr>
        <w:t>“TPS Order”)</w:t>
      </w:r>
      <w:r>
        <w:t xml:space="preserve">.  </w:t>
      </w:r>
      <w:r>
        <w:rPr>
          <w:rFonts w:ascii="Times New Roman Italic" w:hAnsi="Times New Roman Italic"/>
        </w:rPr>
        <w:t>See also</w:t>
      </w:r>
      <w:r>
        <w:t xml:space="preserve"> Kankakee Valley Broadcasting Co., Inc.</w:t>
      </w:r>
      <w:r>
        <w:rPr>
          <w:rFonts w:ascii="Times New Roman Italic" w:hAnsi="Times New Roman Italic"/>
        </w:rPr>
        <w:t xml:space="preserve">, Memorandum Opinion and Order, </w:t>
      </w:r>
      <w:r>
        <w:t>22 FCC Rcd 8591 (WTB 2007) (</w:t>
      </w:r>
      <w:r>
        <w:rPr>
          <w:rFonts w:ascii="Times New Roman Italic" w:hAnsi="Times New Roman Italic"/>
        </w:rPr>
        <w:t>“Kankakee”</w:t>
      </w:r>
      <w:r>
        <w:t xml:space="preserve">) (denying request for waiver of section 1.2107(b) and dismissing long-form application for FM construction permit where winning bidder claimed to be “unaware” of deadlines because of </w:t>
      </w:r>
      <w:r w:rsidR="005A3E87">
        <w:t xml:space="preserve">its </w:t>
      </w:r>
      <w:r>
        <w:t>principal’s distracti</w:t>
      </w:r>
      <w:r w:rsidR="0094492F">
        <w:t>on due to medical treatments)</w:t>
      </w:r>
      <w:r>
        <w:t>.</w:t>
      </w:r>
    </w:p>
  </w:footnote>
  <w:footnote w:id="29">
    <w:p w:rsidR="008A176A" w:rsidRDefault="008A176A">
      <w:pPr>
        <w:pStyle w:val="FootnoteText"/>
      </w:pPr>
      <w:r>
        <w:rPr>
          <w:rStyle w:val="FootnoteReference"/>
        </w:rPr>
        <w:footnoteRef/>
      </w:r>
      <w:r>
        <w:t xml:space="preserve"> </w:t>
      </w:r>
      <w:r w:rsidR="00BD38C1" w:rsidRPr="00E01DC6">
        <w:rPr>
          <w:i/>
        </w:rPr>
        <w:t>Mountain Solutions Ltd., Inc. v. FCC</w:t>
      </w:r>
      <w:r w:rsidR="00BD38C1">
        <w:t>, 197 F.3d 512, 518 (D.C. Cir. 1999)(</w:t>
      </w:r>
      <w:r w:rsidR="00BD38C1" w:rsidRPr="0038541D">
        <w:rPr>
          <w:i/>
        </w:rPr>
        <w:t>“Mountain Solutions”</w:t>
      </w:r>
      <w:r w:rsidR="00BD38C1">
        <w:t xml:space="preserve">) (upholding Commission policy of strict enforcement of down payment deadlines).  </w:t>
      </w:r>
    </w:p>
  </w:footnote>
  <w:footnote w:id="30">
    <w:p w:rsidR="00361381" w:rsidRPr="00525F62" w:rsidRDefault="00361381" w:rsidP="00361381">
      <w:pPr>
        <w:pStyle w:val="FootnoteText"/>
      </w:pPr>
      <w:r w:rsidRPr="00525F62">
        <w:rPr>
          <w:rStyle w:val="FootnoteReference"/>
        </w:rPr>
        <w:footnoteRef/>
      </w:r>
      <w:r w:rsidRPr="00525F62">
        <w:t xml:space="preserve"> </w:t>
      </w:r>
      <w:r w:rsidRPr="00525F62">
        <w:rPr>
          <w:i/>
        </w:rPr>
        <w:t>Kankakee</w:t>
      </w:r>
      <w:r w:rsidRPr="00525F62">
        <w:t>, 22 FCC Rcd 8591 (denying a waiver request where the applicant asserted that it failed to meet the initial payment deadline because the employee responsible for making the payment was “distracted” by his acceptance into a medical treatment training program</w:t>
      </w:r>
      <w:r w:rsidR="00A04EF1">
        <w:t xml:space="preserve"> and had left town to participate in the program while the auction remained in progress</w:t>
      </w:r>
      <w:r w:rsidRPr="00525F62">
        <w:t xml:space="preserve">).  </w:t>
      </w:r>
      <w:r w:rsidRPr="00525F62">
        <w:rPr>
          <w:i/>
        </w:rPr>
        <w:t>See also</w:t>
      </w:r>
      <w:r w:rsidRPr="00525F62">
        <w:t xml:space="preserve"> Aircom Consultants, Inc., </w:t>
      </w:r>
      <w:r w:rsidRPr="00525F62">
        <w:rPr>
          <w:i/>
        </w:rPr>
        <w:t xml:space="preserve">Order on Reconsideration, </w:t>
      </w:r>
      <w:r>
        <w:t>18 FCC Rcd 1806</w:t>
      </w:r>
      <w:r w:rsidRPr="00525F62">
        <w:t xml:space="preserve"> (</w:t>
      </w:r>
      <w:r>
        <w:t xml:space="preserve">WTB </w:t>
      </w:r>
      <w:r w:rsidRPr="00525F62">
        <w:t>2003) (denying request for waiver where winning bidder’s bank submitted letter claiming it was not possible to send the down payment to the Commission “becau</w:t>
      </w:r>
      <w:r w:rsidR="00177AF0">
        <w:t>se of technical difficulties.”)</w:t>
      </w:r>
      <w:r w:rsidR="00177AF0" w:rsidRPr="00577112">
        <w:t>;</w:t>
      </w:r>
      <w:r w:rsidRPr="00525F62">
        <w:t xml:space="preserve"> Four Corners Broadcasting, LLC, </w:t>
      </w:r>
      <w:r w:rsidRPr="00525F62">
        <w:rPr>
          <w:i/>
        </w:rPr>
        <w:t>Letter Order</w:t>
      </w:r>
      <w:r w:rsidRPr="00525F62">
        <w:t>, 25 FCC Rcd 9046 (</w:t>
      </w:r>
      <w:r>
        <w:t xml:space="preserve">WTB </w:t>
      </w:r>
      <w:r w:rsidRPr="00525F62">
        <w:t>2010) (denying waiver request where applicant seeking to participate in broadcast auction claimed its late upfront payment was due to a “bank error completely out of the [applicant’s] control.”).</w:t>
      </w:r>
    </w:p>
  </w:footnote>
  <w:footnote w:id="31">
    <w:p w:rsidR="00323205" w:rsidRDefault="00323205" w:rsidP="00323205">
      <w:pPr>
        <w:pStyle w:val="FootnoteText"/>
      </w:pPr>
      <w:r>
        <w:rPr>
          <w:rStyle w:val="FootnoteReference"/>
        </w:rPr>
        <w:footnoteRef/>
      </w:r>
      <w:r>
        <w:t xml:space="preserve"> </w:t>
      </w:r>
      <w:r w:rsidRPr="00525F62">
        <w:rPr>
          <w:i/>
        </w:rPr>
        <w:t>Kankakee</w:t>
      </w:r>
      <w:r w:rsidRPr="00525F62">
        <w:t>, 22 FCC Rcd 8591</w:t>
      </w:r>
      <w:r>
        <w:t>.</w:t>
      </w:r>
    </w:p>
  </w:footnote>
  <w:footnote w:id="32">
    <w:p w:rsidR="00351353" w:rsidRDefault="00351353">
      <w:pPr>
        <w:pStyle w:val="FootnoteText"/>
      </w:pPr>
      <w:r>
        <w:rPr>
          <w:rStyle w:val="FootnoteReference"/>
        </w:rPr>
        <w:footnoteRef/>
      </w:r>
      <w:r>
        <w:t xml:space="preserve"> </w:t>
      </w:r>
      <w:r w:rsidRPr="00351353">
        <w:rPr>
          <w:i/>
        </w:rPr>
        <w:t>Id</w:t>
      </w:r>
      <w:r>
        <w:t>.</w:t>
      </w:r>
      <w:r w:rsidR="00905A7B">
        <w:t xml:space="preserve">  </w:t>
      </w:r>
    </w:p>
  </w:footnote>
  <w:footnote w:id="33">
    <w:p w:rsidR="0094492F" w:rsidRDefault="0094492F">
      <w:pPr>
        <w:pStyle w:val="FootnoteText"/>
      </w:pPr>
      <w:r>
        <w:rPr>
          <w:rStyle w:val="FootnoteReference"/>
        </w:rPr>
        <w:footnoteRef/>
      </w:r>
      <w:r>
        <w:t xml:space="preserve"> Application for Review at 5-6.</w:t>
      </w:r>
    </w:p>
  </w:footnote>
  <w:footnote w:id="34">
    <w:p w:rsidR="0094492F" w:rsidRDefault="0094492F">
      <w:pPr>
        <w:pStyle w:val="FootnoteText"/>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Kankakee</w:t>
      </w:r>
      <w:r>
        <w:t>, 22 FCC Rcd at 8591-92.</w:t>
      </w:r>
    </w:p>
  </w:footnote>
  <w:footnote w:id="35">
    <w:p w:rsidR="008839FB" w:rsidRPr="00F75215" w:rsidRDefault="008839FB">
      <w:pPr>
        <w:pStyle w:val="FootnoteText"/>
      </w:pPr>
      <w:r>
        <w:rPr>
          <w:rStyle w:val="FootnoteReference"/>
        </w:rPr>
        <w:footnoteRef/>
      </w:r>
      <w:r>
        <w:t xml:space="preserve"> </w:t>
      </w:r>
      <w:r>
        <w:rPr>
          <w:i/>
        </w:rPr>
        <w:t xml:space="preserve">Delta Radio, Inc. v. FCC, </w:t>
      </w:r>
      <w:r>
        <w:t xml:space="preserve">387 F.3d 897, 901 (D.C. Cir. 2004) (upholding denial of waiver of ten-day grace period for </w:t>
      </w:r>
      <w:r w:rsidR="00B261D9">
        <w:t>final payment).</w:t>
      </w:r>
      <w:r w:rsidR="00F75215">
        <w:t xml:space="preserve">  </w:t>
      </w:r>
      <w:r w:rsidR="00F75215">
        <w:rPr>
          <w:i/>
        </w:rPr>
        <w:t xml:space="preserve">See also Mary V. Harris Foundation v. FCC, </w:t>
      </w:r>
      <w:r w:rsidR="00F75215">
        <w:t xml:space="preserve">No. 13-1304 (D.C. Cir. Jan. 20, 2015), slip op. at 14-15 (upholding </w:t>
      </w:r>
      <w:r w:rsidR="00130F65">
        <w:t xml:space="preserve">Commission decision regarding award of a noncommercial educational (“NCE”) FM construction permit </w:t>
      </w:r>
      <w:r w:rsidR="000F57F1">
        <w:t>in case in which</w:t>
      </w:r>
      <w:r w:rsidR="00130F65">
        <w:t xml:space="preserve"> Media Bureau had </w:t>
      </w:r>
      <w:r w:rsidR="00F75215">
        <w:t>deni</w:t>
      </w:r>
      <w:r w:rsidR="00130F65">
        <w:t>ed</w:t>
      </w:r>
      <w:r w:rsidR="00F75215">
        <w:t xml:space="preserve"> waiver of rule requiring showing of </w:t>
      </w:r>
      <w:r w:rsidR="000F57F1">
        <w:t xml:space="preserve">NCE service to </w:t>
      </w:r>
      <w:r w:rsidR="00F75215">
        <w:t>10% underserved area, to applicant proposing a 9.46% underserved area</w:t>
      </w:r>
      <w:r w:rsidR="000F57F1">
        <w:t xml:space="preserve"> where the bright-line threshold had been adopted to provide easy administration of NCE selection preferences</w:t>
      </w:r>
      <w:r w:rsidR="00F75215">
        <w:t xml:space="preserve">).  </w:t>
      </w:r>
    </w:p>
  </w:footnote>
  <w:footnote w:id="36">
    <w:p w:rsidR="0073226E" w:rsidRDefault="0073226E">
      <w:pPr>
        <w:pStyle w:val="FootnoteText"/>
      </w:pPr>
      <w:r>
        <w:rPr>
          <w:rStyle w:val="FootnoteReference"/>
        </w:rPr>
        <w:footnoteRef/>
      </w:r>
      <w:r>
        <w:t xml:space="preserve"> </w:t>
      </w:r>
      <w:r w:rsidRPr="00525F62">
        <w:t>Application for Review</w:t>
      </w:r>
      <w:r>
        <w:t xml:space="preserve"> at 6.</w:t>
      </w:r>
      <w:r w:rsidR="00304F24">
        <w:t xml:space="preserve">  </w:t>
      </w:r>
      <w:r w:rsidR="00BA71F5">
        <w:t>We note that the Bureau’s action to enforce the Commission’s rule in this case</w:t>
      </w:r>
      <w:r w:rsidR="00462D96">
        <w:t>, while serving the goals of the rule,</w:t>
      </w:r>
      <w:r w:rsidR="00BA71F5">
        <w:t xml:space="preserve"> did not </w:t>
      </w:r>
      <w:r w:rsidR="00462D96">
        <w:t xml:space="preserve">impose penalties </w:t>
      </w:r>
      <w:r w:rsidR="00D42709">
        <w:t xml:space="preserve">or additional requirements </w:t>
      </w:r>
      <w:r w:rsidR="0043415C">
        <w:t>(</w:t>
      </w:r>
      <w:r w:rsidR="00462D96">
        <w:t>other than the default payment</w:t>
      </w:r>
      <w:r w:rsidR="0043415C">
        <w:t>)</w:t>
      </w:r>
      <w:r w:rsidR="00462D96">
        <w:t xml:space="preserve">, or </w:t>
      </w:r>
      <w:r w:rsidR="00BA71F5">
        <w:t xml:space="preserve">bar Austin from seeking to acquire this (or any other) license in a future auction, provided he complies with the eligibility and all of the other requirements set forth in our competitive bidding rules.  </w:t>
      </w:r>
      <w:r w:rsidR="00BA71F5">
        <w:rPr>
          <w:i/>
        </w:rPr>
        <w:t xml:space="preserve">See </w:t>
      </w:r>
      <w:r w:rsidR="00BA71F5">
        <w:t xml:space="preserve">47 C.F.R. §§ </w:t>
      </w:r>
      <w:r w:rsidR="00BA71F5">
        <w:rPr>
          <w:szCs w:val="22"/>
        </w:rPr>
        <w:t>1.2101 – 1.2112</w:t>
      </w:r>
      <w:r w:rsidR="00BA71F5">
        <w:t xml:space="preserve">, </w:t>
      </w:r>
      <w:r w:rsidR="00BA71F5">
        <w:rPr>
          <w:szCs w:val="22"/>
        </w:rPr>
        <w:t>73.5000 – 73.5009</w:t>
      </w:r>
      <w:r w:rsidR="00BA71F5">
        <w:t xml:space="preserve">.  </w:t>
      </w:r>
      <w:r w:rsidR="00F47848">
        <w:t>Kankakee Valley</w:t>
      </w:r>
      <w:r w:rsidR="00BA71F5">
        <w:t>, for example,</w:t>
      </w:r>
      <w:r w:rsidR="00F47848">
        <w:t xml:space="preserve"> </w:t>
      </w:r>
      <w:r w:rsidR="008E753D">
        <w:t xml:space="preserve">subsequently acquired the permit upon which it defaulted through the auction process.  </w:t>
      </w:r>
      <w:r w:rsidR="008E753D">
        <w:rPr>
          <w:i/>
        </w:rPr>
        <w:t xml:space="preserve">See </w:t>
      </w:r>
      <w:r w:rsidR="008E753D">
        <w:t xml:space="preserve">Auction of FM Broadcast Construction Permits Closes; Winning Bidders Announced for Auction 93, </w:t>
      </w:r>
      <w:r w:rsidR="008E753D">
        <w:rPr>
          <w:i/>
        </w:rPr>
        <w:t>Public Notice</w:t>
      </w:r>
      <w:r w:rsidR="008E753D">
        <w:t xml:space="preserve">, 27 FCC Rcd 4056 (MB/WTB 2012) (announcing Auction 93 results); Letter to Sidney Marks, Kankakee Valley Broadcasting Company, Inc., 27 FCC Rcd 7035 (WTB 2012) (notice and demand of final default payment for Culver, IN permit); and Broadcast Actions, </w:t>
      </w:r>
      <w:r w:rsidR="008E753D">
        <w:rPr>
          <w:i/>
        </w:rPr>
        <w:t xml:space="preserve">Public </w:t>
      </w:r>
      <w:r w:rsidR="008E753D" w:rsidRPr="00B82663">
        <w:rPr>
          <w:i/>
        </w:rPr>
        <w:t>Notice</w:t>
      </w:r>
      <w:r w:rsidR="008E753D">
        <w:t xml:space="preserve">, Report No. 47777 (rel. July 11, 2012) (announcing grant of new FM permit, </w:t>
      </w:r>
      <w:r w:rsidR="008E753D" w:rsidRPr="00B82663">
        <w:t>FCC</w:t>
      </w:r>
      <w:r w:rsidR="008E753D">
        <w:t xml:space="preserve"> File No. BNPH-20120514AAI).</w:t>
      </w:r>
      <w:r w:rsidR="007B63F2">
        <w:t xml:space="preserve">    </w:t>
      </w:r>
      <w:r w:rsidR="008E753D">
        <w:t xml:space="preserve">   </w:t>
      </w:r>
    </w:p>
  </w:footnote>
  <w:footnote w:id="37">
    <w:p w:rsidR="007C237D" w:rsidRPr="000F5206" w:rsidRDefault="007C237D" w:rsidP="007C237D">
      <w:pPr>
        <w:pStyle w:val="FootnoteText"/>
        <w:rPr>
          <w:i/>
        </w:rPr>
      </w:pPr>
      <w:r>
        <w:rPr>
          <w:rStyle w:val="FootnoteReference"/>
        </w:rPr>
        <w:footnoteRef/>
      </w:r>
      <w:r>
        <w:t xml:space="preserve"> </w:t>
      </w:r>
      <w:r>
        <w:rPr>
          <w:i/>
        </w:rPr>
        <w:t xml:space="preserve">See </w:t>
      </w:r>
      <w:r w:rsidRPr="00B239EE">
        <w:t>47 C.F.R. § 1.115</w:t>
      </w:r>
      <w:r>
        <w:t>(b)(2)</w:t>
      </w:r>
      <w:r w:rsidRPr="00B239EE">
        <w:t>.</w:t>
      </w:r>
      <w:r>
        <w:t xml:space="preserve">  </w:t>
      </w:r>
    </w:p>
  </w:footnote>
  <w:footnote w:id="38">
    <w:p w:rsidR="00F9268A" w:rsidRPr="00525F62" w:rsidRDefault="00F9268A" w:rsidP="00F9268A">
      <w:pPr>
        <w:pStyle w:val="FootnoteText"/>
      </w:pPr>
      <w:r w:rsidRPr="00525F62">
        <w:rPr>
          <w:rStyle w:val="FootnoteReference"/>
        </w:rPr>
        <w:footnoteRef/>
      </w:r>
      <w:r w:rsidRPr="00525F62">
        <w:t xml:space="preserve"> Application for Review at 4</w:t>
      </w:r>
      <w:r w:rsidR="00357153">
        <w:t>-5</w:t>
      </w:r>
      <w:r w:rsidR="002B7EB0">
        <w:t>,</w:t>
      </w:r>
      <w:r w:rsidR="001F2A5F">
        <w:t xml:space="preserve"> citing </w:t>
      </w:r>
      <w:r w:rsidR="002B7EB0" w:rsidRPr="00E01DC6">
        <w:rPr>
          <w:i/>
        </w:rPr>
        <w:t>Mountain Solutions Ltd., Inc. v. FCC</w:t>
      </w:r>
      <w:r w:rsidR="002B7EB0">
        <w:t>, 197 F.3d 512, 518 (D.C. Cir. 1999)</w:t>
      </w:r>
      <w:r w:rsidR="00357153">
        <w:t>,</w:t>
      </w:r>
      <w:r w:rsidR="002B7EB0">
        <w:t xml:space="preserve"> </w:t>
      </w:r>
      <w:r w:rsidR="002B7EB0" w:rsidRPr="00525F62">
        <w:t xml:space="preserve">MFRI, Inc., </w:t>
      </w:r>
      <w:r w:rsidR="002B7EB0" w:rsidRPr="00525F62">
        <w:rPr>
          <w:i/>
        </w:rPr>
        <w:t xml:space="preserve">Memorandum Opinion and Order, </w:t>
      </w:r>
      <w:r w:rsidR="002B7EB0" w:rsidRPr="00525F62">
        <w:t>12 FCC Rcd 1540 (</w:t>
      </w:r>
      <w:r w:rsidR="002B7EB0">
        <w:t xml:space="preserve">WTB </w:t>
      </w:r>
      <w:r w:rsidR="002B7EB0" w:rsidRPr="00525F62">
        <w:t>1997)</w:t>
      </w:r>
      <w:r w:rsidR="00094C52" w:rsidRPr="00094C52">
        <w:t xml:space="preserve"> </w:t>
      </w:r>
      <w:r w:rsidR="00094C52" w:rsidRPr="00525F62">
        <w:t>(“</w:t>
      </w:r>
      <w:r w:rsidR="00094C52" w:rsidRPr="00525F62">
        <w:rPr>
          <w:i/>
        </w:rPr>
        <w:t>MFRI</w:t>
      </w:r>
      <w:r w:rsidR="00094C52">
        <w:t>”)</w:t>
      </w:r>
      <w:r w:rsidR="00357153">
        <w:t xml:space="preserve"> and Paradise Cable</w:t>
      </w:r>
      <w:r w:rsidR="00B261D9">
        <w:t xml:space="preserve">, Inc., </w:t>
      </w:r>
      <w:r w:rsidR="00B261D9">
        <w:rPr>
          <w:i/>
        </w:rPr>
        <w:t xml:space="preserve">Order, </w:t>
      </w:r>
      <w:r w:rsidR="00357153">
        <w:t>12 FCC Rcd 9760 (</w:t>
      </w:r>
      <w:r w:rsidR="00B261D9">
        <w:t xml:space="preserve">VSD </w:t>
      </w:r>
      <w:r w:rsidR="00357153">
        <w:t>1997)</w:t>
      </w:r>
      <w:r w:rsidRPr="00525F62">
        <w:t>.</w:t>
      </w:r>
    </w:p>
  </w:footnote>
  <w:footnote w:id="39">
    <w:p w:rsidR="00F9268A" w:rsidRPr="00525F62" w:rsidRDefault="00F9268A" w:rsidP="00F9268A">
      <w:pPr>
        <w:pStyle w:val="FootnoteText"/>
      </w:pPr>
      <w:r w:rsidRPr="00525F62">
        <w:rPr>
          <w:rStyle w:val="FootnoteReference"/>
        </w:rPr>
        <w:footnoteRef/>
      </w:r>
      <w:r w:rsidRPr="00525F62">
        <w:t xml:space="preserve"> </w:t>
      </w:r>
      <w:r w:rsidRPr="00525F62">
        <w:rPr>
          <w:i/>
        </w:rPr>
        <w:t>Id.</w:t>
      </w:r>
      <w:r w:rsidRPr="00525F62">
        <w:t xml:space="preserve"> at 4-5.</w:t>
      </w:r>
    </w:p>
  </w:footnote>
  <w:footnote w:id="40">
    <w:p w:rsidR="00F9268A" w:rsidRPr="00525F62" w:rsidRDefault="00F9268A" w:rsidP="00F9268A">
      <w:pPr>
        <w:pStyle w:val="FootnoteText"/>
      </w:pPr>
      <w:r w:rsidRPr="00525F62">
        <w:rPr>
          <w:rStyle w:val="FootnoteReference"/>
        </w:rPr>
        <w:footnoteRef/>
      </w:r>
      <w:r w:rsidRPr="00525F62">
        <w:t xml:space="preserve"> </w:t>
      </w:r>
      <w:r w:rsidRPr="00525F62">
        <w:rPr>
          <w:i/>
        </w:rPr>
        <w:t>Id.</w:t>
      </w:r>
      <w:r w:rsidRPr="00525F62">
        <w:t xml:space="preserve"> at 5.  </w:t>
      </w:r>
      <w:r w:rsidR="00F363FC">
        <w:t>We disagree with</w:t>
      </w:r>
      <w:r w:rsidRPr="00525F62">
        <w:t xml:space="preserve"> </w:t>
      </w:r>
      <w:r w:rsidR="00B53EE5">
        <w:t>A</w:t>
      </w:r>
      <w:r w:rsidR="004D0D13">
        <w:t>ustin</w:t>
      </w:r>
      <w:r w:rsidR="00B53EE5">
        <w:t xml:space="preserve">’s </w:t>
      </w:r>
      <w:r w:rsidRPr="00525F62">
        <w:t>characteriz</w:t>
      </w:r>
      <w:r w:rsidR="00F363FC">
        <w:t>ation of</w:t>
      </w:r>
      <w:r w:rsidRPr="00525F62">
        <w:t xml:space="preserve"> himself as an “inadvertent victim” since</w:t>
      </w:r>
      <w:r w:rsidR="00E11A7D">
        <w:t xml:space="preserve">, as noted above, </w:t>
      </w:r>
      <w:r w:rsidRPr="00525F62">
        <w:t xml:space="preserve">the </w:t>
      </w:r>
      <w:r w:rsidRPr="00525F62">
        <w:rPr>
          <w:i/>
        </w:rPr>
        <w:t>Auction 62 Closing Public Notice</w:t>
      </w:r>
      <w:r w:rsidRPr="00525F62">
        <w:t xml:space="preserve"> </w:t>
      </w:r>
      <w:r w:rsidR="00E11A7D">
        <w:t xml:space="preserve">expressly </w:t>
      </w:r>
      <w:r w:rsidRPr="00525F62">
        <w:t xml:space="preserve">warned him about the </w:t>
      </w:r>
      <w:r w:rsidR="00B53EE5">
        <w:t xml:space="preserve">very </w:t>
      </w:r>
      <w:r w:rsidRPr="00525F62">
        <w:t xml:space="preserve">“circumstances” that he claims to have suffered.  </w:t>
      </w:r>
      <w:r w:rsidRPr="00525F62">
        <w:rPr>
          <w:i/>
        </w:rPr>
        <w:t xml:space="preserve">See </w:t>
      </w:r>
      <w:r w:rsidR="00E11A7D" w:rsidRPr="000A38D1">
        <w:t>para.</w:t>
      </w:r>
      <w:r w:rsidR="00E11A7D">
        <w:rPr>
          <w:i/>
        </w:rPr>
        <w:t xml:space="preserve"> </w:t>
      </w:r>
      <w:r w:rsidR="00E11A7D" w:rsidRPr="0085042A">
        <w:t>2</w:t>
      </w:r>
      <w:r w:rsidR="00E11A7D">
        <w:rPr>
          <w:i/>
        </w:rPr>
        <w:t xml:space="preserve"> supra, citing </w:t>
      </w:r>
      <w:r w:rsidRPr="00525F62">
        <w:rPr>
          <w:i/>
        </w:rPr>
        <w:t xml:space="preserve">Auction 62 Closing Public Notice, </w:t>
      </w:r>
      <w:r w:rsidRPr="00525F62">
        <w:t>21 FCC Rcd at 1073</w:t>
      </w:r>
      <w:r w:rsidRPr="00525F62">
        <w:rPr>
          <w:i/>
        </w:rPr>
        <w:t xml:space="preserve"> </w:t>
      </w:r>
      <w:r w:rsidRPr="00525F62">
        <w:t>(advising</w:t>
      </w:r>
      <w:r w:rsidRPr="00525F62">
        <w:rPr>
          <w:i/>
        </w:rPr>
        <w:t xml:space="preserve"> </w:t>
      </w:r>
      <w:r w:rsidRPr="00525F62">
        <w:t>that “[w]inning bidders should coordinate with their bankers ahead of time regarding their wire transfers and allow sufficient time</w:t>
      </w:r>
      <w:r w:rsidRPr="00525F62">
        <w:rPr>
          <w:b/>
          <w:i/>
        </w:rPr>
        <w:t xml:space="preserve"> </w:t>
      </w:r>
      <w:r w:rsidRPr="00525F62">
        <w:t xml:space="preserve">for the wire transfer to be </w:t>
      </w:r>
      <w:r w:rsidRPr="00525F62">
        <w:rPr>
          <w:b/>
        </w:rPr>
        <w:t>initiated and completed prior to the deadline</w:t>
      </w:r>
      <w:r w:rsidR="00E11A7D">
        <w:t>,</w:t>
      </w:r>
      <w:r w:rsidRPr="00525F62">
        <w:t xml:space="preserve">” </w:t>
      </w:r>
      <w:r w:rsidR="00E11A7D">
        <w:t xml:space="preserve">and </w:t>
      </w:r>
      <w:r w:rsidR="008B466D">
        <w:t xml:space="preserve">warning </w:t>
      </w:r>
      <w:r w:rsidR="00E11A7D">
        <w:t>that “</w:t>
      </w:r>
      <w:r w:rsidR="00E11A7D" w:rsidRPr="000A38D1">
        <w:rPr>
          <w:b/>
        </w:rPr>
        <w:t>failure to complete the down payment on or before February 23, 2006, will result in default</w:t>
      </w:r>
      <w:r w:rsidR="00E11A7D">
        <w:t xml:space="preserve">.” </w:t>
      </w:r>
      <w:r w:rsidRPr="00525F62">
        <w:t>(emphasis in original)</w:t>
      </w:r>
      <w:r w:rsidR="008B466D">
        <w:t>)</w:t>
      </w:r>
      <w:r w:rsidRPr="00525F62">
        <w:t>.</w:t>
      </w:r>
    </w:p>
  </w:footnote>
  <w:footnote w:id="41">
    <w:p w:rsidR="00F9268A" w:rsidRPr="00525F62" w:rsidRDefault="00F9268A" w:rsidP="00F9268A">
      <w:pPr>
        <w:pStyle w:val="FootnoteText"/>
      </w:pPr>
      <w:r w:rsidRPr="00525F62">
        <w:rPr>
          <w:rStyle w:val="FootnoteReference"/>
        </w:rPr>
        <w:footnoteRef/>
      </w:r>
      <w:r w:rsidRPr="00525F62">
        <w:t xml:space="preserve"> </w:t>
      </w:r>
      <w:r w:rsidRPr="00525F62">
        <w:rPr>
          <w:i/>
        </w:rPr>
        <w:t>See</w:t>
      </w:r>
      <w:r w:rsidRPr="00525F62">
        <w:t xml:space="preserve"> </w:t>
      </w:r>
      <w:r w:rsidRPr="00525F62">
        <w:rPr>
          <w:i/>
        </w:rPr>
        <w:t>Mountain Solutions</w:t>
      </w:r>
      <w:r w:rsidRPr="00525F62">
        <w:t xml:space="preserve">, 197 F.3d at 515.  </w:t>
      </w:r>
      <w:r w:rsidRPr="00FC0615">
        <w:rPr>
          <w:i/>
        </w:rPr>
        <w:t>See also</w:t>
      </w:r>
      <w:r w:rsidR="00094C52">
        <w:rPr>
          <w:i/>
        </w:rPr>
        <w:t xml:space="preserve"> </w:t>
      </w:r>
      <w:r w:rsidR="00094C52" w:rsidRPr="00525F62">
        <w:rPr>
          <w:i/>
        </w:rPr>
        <w:t>MFRI</w:t>
      </w:r>
      <w:r>
        <w:t xml:space="preserve">, </w:t>
      </w:r>
      <w:r w:rsidRPr="00525F62">
        <w:t xml:space="preserve">12 FCC Rcd 1540.  As with the successful waiver applicants in </w:t>
      </w:r>
      <w:r w:rsidRPr="00525F62">
        <w:rPr>
          <w:i/>
        </w:rPr>
        <w:t>Mountain Solutions,</w:t>
      </w:r>
      <w:r w:rsidRPr="00525F62">
        <w:t xml:space="preserve"> the applicant in MFRI defaulted on its second down payment, not its first down payment.  </w:t>
      </w:r>
      <w:r w:rsidRPr="00525F62">
        <w:rPr>
          <w:i/>
        </w:rPr>
        <w:t xml:space="preserve">Id. </w:t>
      </w:r>
      <w:r w:rsidRPr="00525F62">
        <w:t xml:space="preserve">at 1542 ¶ 7(finding that “[t]he record indicates that prior to the second down payment, MFRI made all previously required auction </w:t>
      </w:r>
      <w:r>
        <w:t>payments on time and in full.”)</w:t>
      </w:r>
      <w:r w:rsidRPr="00525F62">
        <w:rPr>
          <w:i/>
        </w:rPr>
        <w:t>.</w:t>
      </w:r>
      <w:r w:rsidRPr="00525F62">
        <w:t xml:space="preserve">  </w:t>
      </w:r>
      <w:r w:rsidR="00B261D9">
        <w:rPr>
          <w:i/>
        </w:rPr>
        <w:t xml:space="preserve">See also Paradise Cable, Inc., </w:t>
      </w:r>
      <w:r w:rsidR="00B261D9">
        <w:t xml:space="preserve">12 FCC Rcd at 9763 ¶ 7 (same).  </w:t>
      </w:r>
      <w:r w:rsidR="00CF1327">
        <w:t xml:space="preserve">Second down payments were required only of winning bidders participating in the Commission’s installment payment program.  Upon payment within ten days after the conditional grant of the license application, the second down payment commenced the licensee’s installment payment plan.  </w:t>
      </w:r>
      <w:r w:rsidR="00CF1327" w:rsidRPr="0065487B">
        <w:rPr>
          <w:i/>
        </w:rPr>
        <w:t>See</w:t>
      </w:r>
      <w:r w:rsidR="00CF1327">
        <w:t xml:space="preserve"> 47 C.F.R. § 1.2110(g)(2)</w:t>
      </w:r>
      <w:r w:rsidR="00AA3B1C">
        <w:t xml:space="preserve">.  </w:t>
      </w:r>
      <w:r w:rsidR="002731FE">
        <w:t xml:space="preserve">The </w:t>
      </w:r>
      <w:r w:rsidR="003333AD">
        <w:t xml:space="preserve">use of installment payments, which have never been employed for broadcast auctions, was suspended by the </w:t>
      </w:r>
      <w:r w:rsidR="002731FE">
        <w:t xml:space="preserve">Commission </w:t>
      </w:r>
      <w:r w:rsidR="003333AD">
        <w:t xml:space="preserve">for future </w:t>
      </w:r>
      <w:r w:rsidR="002731FE">
        <w:t>auction</w:t>
      </w:r>
      <w:r w:rsidR="003333AD">
        <w:t>s</w:t>
      </w:r>
      <w:r w:rsidR="002731FE">
        <w:t xml:space="preserve"> </w:t>
      </w:r>
      <w:r w:rsidR="003333AD">
        <w:t xml:space="preserve">in 1997.  </w:t>
      </w:r>
      <w:r w:rsidR="003333AD">
        <w:rPr>
          <w:i/>
        </w:rPr>
        <w:t xml:space="preserve">See </w:t>
      </w:r>
      <w:r w:rsidR="003333AD">
        <w:t xml:space="preserve">Amendment of Part 1 of the Commission’s Rules - Competitive Bidding Proceeding, WT Docket No. 97-82, </w:t>
      </w:r>
      <w:r w:rsidR="003333AD">
        <w:rPr>
          <w:i/>
        </w:rPr>
        <w:t>Third Report and Order and Second Further Notice of Proposed Rule Making</w:t>
      </w:r>
      <w:r w:rsidR="003333AD">
        <w:t>, 13 FCC Rcd 374, 398-400 ¶ 40 (1997)</w:t>
      </w:r>
      <w:r w:rsidR="008913BD">
        <w:t xml:space="preserve">. </w:t>
      </w:r>
    </w:p>
  </w:footnote>
  <w:footnote w:id="42">
    <w:p w:rsidR="00F9268A" w:rsidRPr="00525F62" w:rsidRDefault="00F9268A" w:rsidP="00F9268A">
      <w:pPr>
        <w:pStyle w:val="FootnoteText"/>
      </w:pPr>
      <w:r w:rsidRPr="00525F62">
        <w:rPr>
          <w:rStyle w:val="FootnoteReference"/>
        </w:rPr>
        <w:footnoteRef/>
      </w:r>
      <w:r w:rsidRPr="00525F62">
        <w:t xml:space="preserve"> </w:t>
      </w:r>
      <w:r w:rsidRPr="00525F62">
        <w:rPr>
          <w:i/>
        </w:rPr>
        <w:t>See</w:t>
      </w:r>
      <w:r w:rsidRPr="00525F62">
        <w:t xml:space="preserve"> </w:t>
      </w:r>
      <w:r w:rsidRPr="00525F62">
        <w:rPr>
          <w:i/>
        </w:rPr>
        <w:t>TPS Order</w:t>
      </w:r>
      <w:r w:rsidRPr="00525F62">
        <w:t>, 18 FCC Rcd at 2521¶ 11 (“[T]he Commission always has held that a bidder’s inability or refusal to make the first post-auction down payment poses a more significant threat to the integrity of [the] auction process than a later default.”).</w:t>
      </w:r>
    </w:p>
  </w:footnote>
  <w:footnote w:id="43">
    <w:p w:rsidR="00BF5F35" w:rsidRDefault="00BF5F35">
      <w:pPr>
        <w:pStyle w:val="FootnoteText"/>
      </w:pPr>
      <w:r>
        <w:rPr>
          <w:rStyle w:val="FootnoteReference"/>
        </w:rPr>
        <w:footnoteRef/>
      </w:r>
      <w:r>
        <w:t xml:space="preserve"> </w:t>
      </w:r>
      <w:r w:rsidR="00DA78CF">
        <w:rPr>
          <w:i/>
        </w:rPr>
        <w:t xml:space="preserve">See </w:t>
      </w:r>
      <w:r w:rsidR="00DA78CF" w:rsidRPr="00B239EE">
        <w:t>47 C.F.R. § 1.115</w:t>
      </w:r>
      <w:r w:rsidR="00DA78CF">
        <w:t>(b)(2)</w:t>
      </w:r>
      <w:r w:rsidR="00DA78CF" w:rsidRPr="00B239EE">
        <w:t>.</w:t>
      </w:r>
      <w:r w:rsidR="00DA78CF">
        <w:t xml:space="preserve">  </w:t>
      </w:r>
    </w:p>
  </w:footnote>
  <w:footnote w:id="44">
    <w:p w:rsidR="00917E22" w:rsidRDefault="00917E22">
      <w:pPr>
        <w:pStyle w:val="FootnoteText"/>
      </w:pPr>
      <w:r>
        <w:rPr>
          <w:rStyle w:val="FootnoteReference"/>
        </w:rPr>
        <w:footnoteRef/>
      </w:r>
      <w:r>
        <w:t xml:space="preserve"> </w:t>
      </w:r>
      <w:r w:rsidRPr="00525F62">
        <w:t>Application for Review</w:t>
      </w:r>
      <w:r>
        <w:t xml:space="preserve"> at 3. </w:t>
      </w:r>
    </w:p>
  </w:footnote>
  <w:footnote w:id="45">
    <w:p w:rsidR="008268B0" w:rsidRDefault="008268B0">
      <w:pPr>
        <w:pStyle w:val="FootnoteText"/>
      </w:pPr>
      <w:r>
        <w:rPr>
          <w:rStyle w:val="FootnoteReference"/>
        </w:rPr>
        <w:footnoteRef/>
      </w:r>
      <w:r>
        <w:t xml:space="preserve"> </w:t>
      </w:r>
      <w:r>
        <w:rPr>
          <w:i/>
        </w:rPr>
        <w:t>See</w:t>
      </w:r>
      <w:r>
        <w:t xml:space="preserve"> para. 3, </w:t>
      </w:r>
      <w:r w:rsidRPr="000A38D1">
        <w:rPr>
          <w:i/>
        </w:rPr>
        <w:t>supra</w:t>
      </w:r>
      <w:r>
        <w:t>.</w:t>
      </w:r>
    </w:p>
  </w:footnote>
  <w:footnote w:id="46">
    <w:p w:rsidR="00F462B6" w:rsidRDefault="00F462B6">
      <w:pPr>
        <w:pStyle w:val="FootnoteText"/>
      </w:pPr>
      <w:r>
        <w:rPr>
          <w:rStyle w:val="FootnoteReference"/>
        </w:rPr>
        <w:footnoteRef/>
      </w:r>
      <w:r>
        <w:t xml:space="preserve"> </w:t>
      </w:r>
      <w:r w:rsidR="005E78EB">
        <w:t xml:space="preserve">Implementation of Section 309(j) of the Communications Act – Competitive Bidding, </w:t>
      </w:r>
      <w:r w:rsidR="005E78EB" w:rsidRPr="00E509D9">
        <w:rPr>
          <w:i/>
        </w:rPr>
        <w:t>Second Report and Order</w:t>
      </w:r>
      <w:r w:rsidR="005E78EB">
        <w:t xml:space="preserve">, 9 FCC Rcd 2348, 2381-82 ¶ 192 (1994).   </w:t>
      </w:r>
    </w:p>
  </w:footnote>
  <w:footnote w:id="47">
    <w:p w:rsidR="008E36E2" w:rsidRDefault="008E36E2">
      <w:pPr>
        <w:pStyle w:val="FootnoteText"/>
      </w:pPr>
      <w:r>
        <w:rPr>
          <w:rStyle w:val="FootnoteReference"/>
        </w:rPr>
        <w:footnoteRef/>
      </w:r>
      <w:r>
        <w:t xml:space="preserve"> The Commission’s rules do not require it to make any affirmative findings concerning a winning bidder’s financial qualifications prior to denying an applicant’s waiver request.  </w:t>
      </w:r>
      <w:r w:rsidRPr="00525F62">
        <w:rPr>
          <w:i/>
        </w:rPr>
        <w:t>See</w:t>
      </w:r>
      <w:r w:rsidRPr="00525F62">
        <w:t xml:space="preserve"> 47 C.F.R. § 1.925(a)(3)(ii).  </w:t>
      </w:r>
      <w:r>
        <w:t>It is the applicant’s burden to prove that “special circumstances warrant a deviation from the general rule and such deviation will serve the public interest.”</w:t>
      </w:r>
      <w:r w:rsidRPr="008E36E2">
        <w:rPr>
          <w:i/>
        </w:rPr>
        <w:t xml:space="preserve"> </w:t>
      </w:r>
      <w:r w:rsidRPr="00525F62">
        <w:rPr>
          <w:i/>
        </w:rPr>
        <w:t>Northeast Cellular Tel. Co.</w:t>
      </w:r>
      <w:r w:rsidRPr="00525F62">
        <w:t>, 897 F.2d at 1166.</w:t>
      </w:r>
      <w:r w:rsidR="00AA3B1C">
        <w:t xml:space="preserve">  </w:t>
      </w:r>
      <w:r w:rsidR="00C93A84">
        <w:t>A</w:t>
      </w:r>
      <w:r w:rsidR="00510B00">
        <w:t>ustin</w:t>
      </w:r>
      <w:r w:rsidR="00C93A84">
        <w:t xml:space="preserve"> has not made such a showing here.  </w:t>
      </w:r>
      <w:r w:rsidR="00510B00">
        <w:t xml:space="preserve">His </w:t>
      </w:r>
      <w:r w:rsidR="00AA3B1C">
        <w:t xml:space="preserve">assertion that “the Commission has never addressed whether circumstances that may be insufficient to warrant a waiver when considered alone might, in combination prove sufficiently ‘unique and compelling’ to justify the requested relief” </w:t>
      </w:r>
      <w:r w:rsidR="00C93A84">
        <w:t xml:space="preserve">therefore </w:t>
      </w:r>
      <w:r w:rsidR="00AA3B1C">
        <w:t xml:space="preserve">has no relevance to this matter.  </w:t>
      </w:r>
      <w:r w:rsidR="00AA3B1C" w:rsidRPr="00525F62">
        <w:t>Application for Review at 2</w:t>
      </w:r>
      <w:r w:rsidR="00AA3B1C">
        <w:t xml:space="preserve">.  </w:t>
      </w:r>
      <w:r w:rsidR="00510B00">
        <w:t>The</w:t>
      </w:r>
      <w:r w:rsidR="00AA3B1C">
        <w:t xml:space="preserve"> Application for Review fails to identify any facts, details, or circumstances that were not adequately considered, either singly or in combination, in the </w:t>
      </w:r>
      <w:r w:rsidR="00AA3B1C" w:rsidRPr="008B1BF7">
        <w:rPr>
          <w:i/>
        </w:rPr>
        <w:t>Staff</w:t>
      </w:r>
      <w:r w:rsidR="00AA3B1C">
        <w:t xml:space="preserve"> </w:t>
      </w:r>
      <w:r w:rsidR="00AA3B1C" w:rsidRPr="008B1BF7">
        <w:rPr>
          <w:i/>
        </w:rPr>
        <w:t>Decision</w:t>
      </w:r>
      <w:r w:rsidR="00AA3B1C">
        <w:t xml:space="preserve">. </w:t>
      </w:r>
      <w:r w:rsidR="00062453">
        <w:t xml:space="preserve"> </w:t>
      </w:r>
      <w:r w:rsidR="00C93A84">
        <w:t xml:space="preserve">We note that </w:t>
      </w:r>
      <w:r w:rsidR="002731FE">
        <w:t>c</w:t>
      </w:r>
      <w:r w:rsidR="00AA3B1C">
        <w:t xml:space="preserve">ontrary to </w:t>
      </w:r>
      <w:r w:rsidR="00510B00">
        <w:t xml:space="preserve">his </w:t>
      </w:r>
      <w:r w:rsidR="00AA3B1C">
        <w:t xml:space="preserve">assertion, the Commission has addressed whether the uniqueness of multiple factors, when considered in combination, support a waiver of a payment deadline even if the individual factors do not.  </w:t>
      </w:r>
      <w:r w:rsidR="00AA3B1C" w:rsidRPr="00525F62">
        <w:rPr>
          <w:i/>
        </w:rPr>
        <w:t xml:space="preserve">See </w:t>
      </w:r>
      <w:r w:rsidR="00AA3B1C">
        <w:rPr>
          <w:i/>
        </w:rPr>
        <w:t xml:space="preserve">e.g., </w:t>
      </w:r>
      <w:r w:rsidR="00AA3B1C" w:rsidRPr="00525F62">
        <w:t xml:space="preserve">Delta Radio, Inc., </w:t>
      </w:r>
      <w:r w:rsidR="00AA3B1C" w:rsidRPr="00525F62">
        <w:rPr>
          <w:i/>
        </w:rPr>
        <w:t>Memorandum Opinion and Order</w:t>
      </w:r>
      <w:r w:rsidR="00AA3B1C" w:rsidRPr="00525F62">
        <w:t>, 18 FCC Rcd 1688</w:t>
      </w:r>
      <w:r w:rsidR="00AA3B1C">
        <w:t>9</w:t>
      </w:r>
      <w:r w:rsidR="00AA3B1C" w:rsidRPr="00525F62">
        <w:t>, 16892 ¶ 9 (2003) (finding that “none of the five factors listed by [the winning bidder] is sufficiently compelling, either singly or in combination, to justify the requested final payment waiver.</w:t>
      </w:r>
      <w:r w:rsidR="00AA3B1C" w:rsidRPr="00525F62">
        <w:rPr>
          <w:i/>
        </w:rPr>
        <w:t>”</w:t>
      </w:r>
      <w:r w:rsidR="00AA3B1C" w:rsidRPr="00525F62">
        <w:t xml:space="preserve">), </w:t>
      </w:r>
      <w:r w:rsidR="00AA3B1C" w:rsidRPr="00525F62">
        <w:rPr>
          <w:i/>
        </w:rPr>
        <w:t>aff’d, Delta Radio, Inc. v. FCC</w:t>
      </w:r>
      <w:r w:rsidR="00AA3B1C" w:rsidRPr="00525F62">
        <w:t>, 387 F.3d 897</w:t>
      </w:r>
      <w:r w:rsidR="00AA3B1C">
        <w:t>, 902</w:t>
      </w:r>
      <w:r w:rsidR="00AA3B1C" w:rsidRPr="00525F62">
        <w:t xml:space="preserve"> (D.C. Cir. 2004) </w:t>
      </w:r>
      <w:r w:rsidR="00AA3B1C">
        <w:t xml:space="preserve">(finding that the Commission’s </w:t>
      </w:r>
      <w:r w:rsidR="00A0444D">
        <w:t>o</w:t>
      </w:r>
      <w:r w:rsidR="00AA3B1C" w:rsidRPr="00525F62">
        <w:t>rder showed why the Commission did not find each factor “persuasive singly or in combination to create an ex</w:t>
      </w:r>
      <w:r w:rsidR="00AA3B1C">
        <w:t>c</w:t>
      </w:r>
      <w:r w:rsidR="00AA3B1C" w:rsidRPr="00525F62">
        <w:t>eption to the normal payment rules.”).</w:t>
      </w:r>
      <w:r w:rsidR="00AA3B1C">
        <w:t xml:space="preserve">  </w:t>
      </w:r>
    </w:p>
  </w:footnote>
  <w:footnote w:id="48">
    <w:p w:rsidR="009173B6" w:rsidRDefault="009173B6" w:rsidP="009173B6">
      <w:pPr>
        <w:pStyle w:val="FootnoteText"/>
      </w:pPr>
      <w:r>
        <w:rPr>
          <w:rStyle w:val="FootnoteReference"/>
        </w:rPr>
        <w:footnoteRef/>
      </w:r>
      <w:r>
        <w:rPr>
          <w:rFonts w:ascii="CenturySchoolbook" w:hAnsi="CenturySchoolbook"/>
        </w:rPr>
        <w:t xml:space="preserve"> </w:t>
      </w:r>
      <w:r w:rsidRPr="003F30F3">
        <w:rPr>
          <w:rFonts w:ascii="CenturySchoolbook" w:hAnsi="CenturySchoolbook"/>
          <w:i/>
        </w:rPr>
        <w:t>BellSouth Corp. v. F.C.C.</w:t>
      </w:r>
      <w:r>
        <w:rPr>
          <w:rFonts w:ascii="CenturySchoolbook" w:hAnsi="CenturySchoolbook"/>
        </w:rPr>
        <w:t xml:space="preserve">, </w:t>
      </w:r>
      <w:r w:rsidRPr="0060290B">
        <w:rPr>
          <w:rFonts w:ascii="CenturySchoolbook" w:hAnsi="CenturySchoolbook"/>
        </w:rPr>
        <w:t>162 F.3d 1215</w:t>
      </w:r>
      <w:r w:rsidR="00F9268A">
        <w:rPr>
          <w:rFonts w:ascii="CenturySchoolbook" w:hAnsi="CenturySchoolbook"/>
        </w:rPr>
        <w:t>, 1225</w:t>
      </w:r>
      <w:r>
        <w:rPr>
          <w:rFonts w:ascii="CenturySchoolbook" w:hAnsi="CenturySchoolbook"/>
        </w:rPr>
        <w:t xml:space="preserve"> (DC Cir. 1999). </w:t>
      </w:r>
      <w:r>
        <w:rPr>
          <w:rFonts w:ascii="CenturySchoolbook" w:hAnsi="CenturySchoolbook"/>
          <w:sz w:val="26"/>
          <w:szCs w:val="26"/>
        </w:rPr>
        <w:t xml:space="preserve">  </w:t>
      </w:r>
    </w:p>
  </w:footnote>
  <w:footnote w:id="49">
    <w:p w:rsidR="000F33B1" w:rsidRPr="00B239EE" w:rsidRDefault="000F33B1" w:rsidP="000F33B1">
      <w:pPr>
        <w:pStyle w:val="FootnoteText"/>
      </w:pPr>
      <w:r>
        <w:rPr>
          <w:rStyle w:val="FootnoteReference"/>
        </w:rPr>
        <w:footnoteRef/>
      </w:r>
      <w:r>
        <w:t xml:space="preserve"> </w:t>
      </w:r>
      <w:r w:rsidRPr="00B239EE">
        <w:t>47 C.F.R. § 1.115</w:t>
      </w:r>
      <w:r>
        <w:t>(b)(2)</w:t>
      </w:r>
      <w:r w:rsidRPr="00B239EE">
        <w:t>.</w:t>
      </w:r>
      <w:r>
        <w:t xml:space="preserve">  </w:t>
      </w:r>
    </w:p>
  </w:footnote>
  <w:footnote w:id="50">
    <w:p w:rsidR="00FD36E0" w:rsidRDefault="00FD36E0" w:rsidP="00FD36E0">
      <w:pPr>
        <w:pStyle w:val="FootnoteText"/>
      </w:pPr>
      <w:r>
        <w:rPr>
          <w:rStyle w:val="FootnoteReference"/>
        </w:rPr>
        <w:footnoteRef/>
      </w:r>
      <w:r>
        <w:t xml:space="preserve"> </w:t>
      </w:r>
      <w:r w:rsidRPr="00525F62">
        <w:t>Application for Review</w:t>
      </w:r>
      <w:r>
        <w:t xml:space="preserve"> at 6.  We note that the Bureau’s action to enforce the Commission’s rule in this case, while serving the goals of the rule, did not impose penalties or additional requirements [other than the default payment], or bar Austin from seeking to acquire this (or any other) license in a future auction, provided he complies with the eligibility and all of the other requirements set forth in our competitive bidding rules.  </w:t>
      </w:r>
      <w:r>
        <w:rPr>
          <w:i/>
        </w:rPr>
        <w:t xml:space="preserve">See </w:t>
      </w:r>
      <w:r>
        <w:t xml:space="preserve">47 C.F.R. §§ </w:t>
      </w:r>
      <w:r>
        <w:rPr>
          <w:szCs w:val="22"/>
        </w:rPr>
        <w:t>1.2101 – 1.2112</w:t>
      </w:r>
      <w:r>
        <w:t xml:space="preserve">, </w:t>
      </w:r>
      <w:r>
        <w:rPr>
          <w:szCs w:val="22"/>
        </w:rPr>
        <w:t>73.5000 – 73.5009</w:t>
      </w:r>
      <w:r>
        <w:t xml:space="preserve">.  Kankakee Valley, for example, subsequently acquired the permit upon which it defaulted through the auction process.  </w:t>
      </w:r>
      <w:r>
        <w:rPr>
          <w:i/>
        </w:rPr>
        <w:t xml:space="preserve">See </w:t>
      </w:r>
      <w:r>
        <w:t xml:space="preserve">Auction of FM Broadcast Construction Permits Closes; Winning Bidders Announced for Auction 93, </w:t>
      </w:r>
      <w:r>
        <w:rPr>
          <w:i/>
        </w:rPr>
        <w:t>Public Notice</w:t>
      </w:r>
      <w:r>
        <w:t xml:space="preserve">, 27 FCC Rcd 4056 (MB/WTB 2012) (announcing Auction 93 results); Letter to Sidney Marks, Kankakee Valley Broadcasting Company, Inc., 27 FCC Rcd 7035 (WTB 2012) (notice and demand of final default payment for Culver, IN permit); and Broadcast Actions, </w:t>
      </w:r>
      <w:r>
        <w:rPr>
          <w:i/>
        </w:rPr>
        <w:t xml:space="preserve">Public </w:t>
      </w:r>
      <w:r w:rsidRPr="00B82663">
        <w:rPr>
          <w:i/>
        </w:rPr>
        <w:t>Notice</w:t>
      </w:r>
      <w:r>
        <w:t xml:space="preserve">, Report No. 47777 (rel. July 11, 2012) (announcing grant of new FM permit, </w:t>
      </w:r>
      <w:r w:rsidRPr="00B82663">
        <w:t>FCC</w:t>
      </w:r>
      <w:r>
        <w:t xml:space="preserve"> File No. BNPH-20120514AAI).       </w:t>
      </w:r>
    </w:p>
  </w:footnote>
  <w:footnote w:id="51">
    <w:p w:rsidR="00FD36E0" w:rsidRPr="00525F62" w:rsidRDefault="00FD36E0" w:rsidP="00FD36E0">
      <w:pPr>
        <w:pStyle w:val="FootnoteText"/>
      </w:pPr>
      <w:r w:rsidRPr="00525F62">
        <w:rPr>
          <w:rStyle w:val="FootnoteReference"/>
        </w:rPr>
        <w:footnoteRef/>
      </w:r>
      <w:r w:rsidRPr="00525F62">
        <w:t xml:space="preserve"> Application for Review at </w:t>
      </w:r>
      <w:r>
        <w:t xml:space="preserve">2, </w:t>
      </w:r>
      <w:r w:rsidRPr="00525F62">
        <w:t>6.</w:t>
      </w:r>
    </w:p>
  </w:footnote>
  <w:footnote w:id="52">
    <w:p w:rsidR="000316E0" w:rsidRPr="00525F62" w:rsidRDefault="000316E0" w:rsidP="000316E0">
      <w:pPr>
        <w:pStyle w:val="FootnoteText"/>
      </w:pPr>
      <w:r w:rsidRPr="00525F62">
        <w:rPr>
          <w:rStyle w:val="FootnoteReference"/>
        </w:rPr>
        <w:footnoteRef/>
      </w:r>
      <w:r w:rsidRPr="00525F62">
        <w:t xml:space="preserve"> </w:t>
      </w:r>
      <w:r w:rsidR="00432C02">
        <w:rPr>
          <w:i/>
        </w:rPr>
        <w:t>See i</w:t>
      </w:r>
      <w:r w:rsidRPr="00525F62">
        <w:rPr>
          <w:i/>
        </w:rPr>
        <w:t>d.</w:t>
      </w:r>
      <w:r w:rsidRPr="00525F62">
        <w:t xml:space="preserve"> at 8.</w:t>
      </w:r>
    </w:p>
  </w:footnote>
  <w:footnote w:id="53">
    <w:p w:rsidR="00261037" w:rsidRDefault="00261037">
      <w:pPr>
        <w:pStyle w:val="FootnoteText"/>
      </w:pPr>
      <w:r>
        <w:rPr>
          <w:rStyle w:val="FootnoteReference"/>
        </w:rPr>
        <w:footnoteRef/>
      </w:r>
      <w:r>
        <w:t xml:space="preserve"> </w:t>
      </w:r>
      <w:r w:rsidR="00486FEF" w:rsidRPr="00A4775E">
        <w:rPr>
          <w:i/>
        </w:rPr>
        <w:t>Auction 62 Procedures Public Notice</w:t>
      </w:r>
      <w:r w:rsidR="00486FEF">
        <w:rPr>
          <w:i/>
        </w:rPr>
        <w:t xml:space="preserve">, </w:t>
      </w:r>
      <w:r w:rsidR="00304F24">
        <w:t>20 FCC Rcd 10492, 10534</w:t>
      </w:r>
      <w:r w:rsidR="00304F24" w:rsidRPr="00A4775E">
        <w:t xml:space="preserve"> </w:t>
      </w:r>
      <w:r w:rsidR="00304F24">
        <w:t>(default and disqualification of winning bidders).</w:t>
      </w:r>
      <w:r w:rsidRPr="00525F62">
        <w:rPr>
          <w:i/>
        </w:rPr>
        <w:t>See BDPCS Order,</w:t>
      </w:r>
      <w:r w:rsidRPr="00525F62" w:rsidDel="00865F3C">
        <w:t xml:space="preserve"> </w:t>
      </w:r>
      <w:r w:rsidRPr="00525F62">
        <w:t>15 FCC Rcd at 17600 ¶</w:t>
      </w:r>
      <w:r>
        <w:t xml:space="preserve"> </w:t>
      </w:r>
      <w:r w:rsidRPr="00525F62">
        <w:t xml:space="preserve">16 FN 66 (2000) (“[T]he obligation to pay the winning bid is imposed at the close of the auction, and neither the pendency of the license application, nor the filing of any petition to deny or objection, relieves the winning bidder of that obligation.”).  </w:t>
      </w:r>
    </w:p>
  </w:footnote>
  <w:footnote w:id="54">
    <w:p w:rsidR="0021319C" w:rsidRDefault="0021319C">
      <w:pPr>
        <w:pStyle w:val="FootnoteText"/>
      </w:pPr>
      <w:r>
        <w:rPr>
          <w:rStyle w:val="FootnoteReference"/>
        </w:rPr>
        <w:footnoteRef/>
      </w:r>
      <w:r>
        <w:t xml:space="preserve"> </w:t>
      </w:r>
      <w:r w:rsidR="00177AF0">
        <w:t>Application for Review at</w:t>
      </w:r>
      <w:r w:rsidR="00923BB7">
        <w:t xml:space="preserve"> 2 (Mr. Austin concedes that he filed a waiver of his late payment only after staff informed him that his long form could not be proce</w:t>
      </w:r>
      <w:r w:rsidR="00907E2C">
        <w:t xml:space="preserve">ssed absent such a request.); </w:t>
      </w:r>
      <w:r w:rsidR="00907E2C" w:rsidRPr="00907E2C">
        <w:rPr>
          <w:i/>
        </w:rPr>
        <w:t>see also</w:t>
      </w:r>
      <w:r w:rsidR="00907E2C">
        <w:t xml:space="preserve"> Ted Austin, Jr. Request for Waiver at 3-4 (dated September 28, 2007) (Mr. Austin states that he learned that his long-form application “was in danger of dismissal” during a courtesy call from Commission staff received approximately two weeks prior to the filing of the Request for Waiver.).</w:t>
      </w:r>
    </w:p>
  </w:footnote>
  <w:footnote w:id="55">
    <w:p w:rsidR="00BD2C16" w:rsidRDefault="00BD2C16">
      <w:pPr>
        <w:pStyle w:val="FootnoteText"/>
      </w:pPr>
      <w:r>
        <w:rPr>
          <w:rStyle w:val="FootnoteReference"/>
        </w:rPr>
        <w:footnoteRef/>
      </w:r>
      <w:r>
        <w:t xml:space="preserve"> </w:t>
      </w:r>
      <w:r w:rsidR="00923BB7" w:rsidRPr="008A176A">
        <w:rPr>
          <w:i/>
        </w:rPr>
        <w:t>Staff Decision</w:t>
      </w:r>
      <w:r w:rsidR="00923BB7">
        <w:rPr>
          <w:i/>
        </w:rPr>
        <w:t>,</w:t>
      </w:r>
      <w:r w:rsidR="00923BB7" w:rsidRPr="008A176A">
        <w:t xml:space="preserve"> 25 FCC Rcd at</w:t>
      </w:r>
      <w:r w:rsidR="00907E2C">
        <w:t xml:space="preserve"> 1443 ¶ 11</w:t>
      </w:r>
      <w:r w:rsidR="00C14FE9">
        <w:t xml:space="preserve">, </w:t>
      </w:r>
      <w:r w:rsidR="00C14FE9">
        <w:rPr>
          <w:i/>
        </w:rPr>
        <w:t xml:space="preserve">citing </w:t>
      </w:r>
      <w:r w:rsidR="00C14FE9">
        <w:t xml:space="preserve">47 U.S.C. §§ 308(a)-(b) (provisions of </w:t>
      </w:r>
      <w:r w:rsidR="00C14FE9" w:rsidRPr="00C14FE9">
        <w:t xml:space="preserve">Communications Act of 1934, as amended, </w:t>
      </w:r>
      <w:r w:rsidR="00C14FE9">
        <w:t xml:space="preserve">requiring that </w:t>
      </w:r>
      <w:r w:rsidR="00C14FE9" w:rsidRPr="00C14FE9">
        <w:t>before awarding a license the Commission must review an applicant’s application to determine whether the applicant possesses the requisite legal, financial and technical qualifications to hold a Commission license</w:t>
      </w:r>
      <w:r w:rsidR="00C14FE9">
        <w:t>)</w:t>
      </w:r>
      <w:r w:rsidR="00907E2C">
        <w:t>.</w:t>
      </w:r>
      <w:r w:rsidR="00C14FE9">
        <w:t xml:space="preserve"> </w:t>
      </w:r>
      <w:r w:rsidR="00E829C5">
        <w:t xml:space="preserve">  </w:t>
      </w:r>
      <w:r w:rsidR="00E829C5">
        <w:rPr>
          <w:i/>
        </w:rPr>
        <w:t xml:space="preserve">See also id. </w:t>
      </w:r>
      <w:r w:rsidR="00E829C5">
        <w:t>§§ 309(j)(5), 309(j)(6)(B), 309(j)(6)(D) (confirming that such requirements extend to auction applicants).</w:t>
      </w:r>
      <w:r w:rsidR="00A0444D">
        <w:t xml:space="preserve">  </w:t>
      </w:r>
    </w:p>
  </w:footnote>
  <w:footnote w:id="56">
    <w:p w:rsidR="009C58F8" w:rsidRPr="00B239EE" w:rsidRDefault="009C58F8" w:rsidP="009C58F8">
      <w:pPr>
        <w:pStyle w:val="FootnoteText"/>
      </w:pPr>
      <w:r>
        <w:rPr>
          <w:rStyle w:val="FootnoteReference"/>
        </w:rPr>
        <w:footnoteRef/>
      </w:r>
      <w:r>
        <w:t xml:space="preserve"> </w:t>
      </w:r>
      <w:r w:rsidRPr="00B239EE">
        <w:t>47 C.F.R. § 1.115</w:t>
      </w:r>
      <w:r>
        <w:t>(b)(2)</w:t>
      </w:r>
      <w:r w:rsidRPr="00B239EE">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FF" w:rsidRDefault="00EC6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DA" w:rsidRDefault="00F07EDA" w:rsidP="00F07EDA">
    <w:pPr>
      <w:pStyle w:val="Header"/>
      <w:rPr>
        <w:b w:val="0"/>
      </w:rPr>
    </w:pPr>
    <w:r>
      <w:rPr>
        <w:noProof/>
        <w:snapToGrid/>
      </w:rPr>
      <mc:AlternateContent>
        <mc:Choice Requires="wps">
          <w:drawing>
            <wp:anchor distT="0" distB="0" distL="114300" distR="114300" simplePos="0" relativeHeight="251661824" behindDoc="1" locked="0" layoutInCell="0" allowOverlap="1" wp14:anchorId="4FA17859" wp14:editId="637BDF6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15-45</w:t>
    </w:r>
  </w:p>
  <w:p w:rsidR="004929E6" w:rsidRDefault="004929E6" w:rsidP="00F07EDA">
    <w:pPr>
      <w:tabs>
        <w:tab w:val="left" w:pos="-720"/>
      </w:tabs>
      <w:suppressAutoHyphens/>
      <w:spacing w:line="19"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DA" w:rsidRDefault="00F07EDA" w:rsidP="00F07EDA">
    <w:pPr>
      <w:pStyle w:val="Header"/>
      <w:rPr>
        <w:b w:val="0"/>
      </w:rPr>
    </w:pPr>
    <w:r>
      <w:rPr>
        <w:noProof/>
        <w:snapToGrid/>
      </w:rPr>
      <mc:AlternateContent>
        <mc:Choice Requires="wps">
          <w:drawing>
            <wp:anchor distT="0" distB="0" distL="114300" distR="114300" simplePos="0" relativeHeight="251659776" behindDoc="1" locked="0" layoutInCell="0" allowOverlap="1" wp14:anchorId="7E90D9A7" wp14:editId="1D52954B">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15-45</w:t>
    </w:r>
  </w:p>
  <w:p w:rsidR="004929E6" w:rsidRPr="00F07EDA" w:rsidRDefault="004929E6" w:rsidP="00F07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12EAA3C"/>
    <w:lvl w:ilvl="0">
      <w:start w:val="1"/>
      <w:numFmt w:val="decimal"/>
      <w:isLgl/>
      <w:lvlText w:val="%1."/>
      <w:lvlJc w:val="left"/>
      <w:pPr>
        <w:tabs>
          <w:tab w:val="num" w:pos="720"/>
        </w:tabs>
        <w:ind w:left="720" w:firstLine="0"/>
      </w:pPr>
      <w:rPr>
        <w:rFonts w:hint="default"/>
        <w:color w:val="000000"/>
        <w:position w:val="0"/>
        <w:sz w:val="22"/>
        <w:vertAlign w:val="baseline"/>
      </w:rPr>
    </w:lvl>
    <w:lvl w:ilvl="1">
      <w:start w:val="1"/>
      <w:numFmt w:val="decimal"/>
      <w:isLgl/>
      <w:suff w:val="nothing"/>
      <w:lvlText w:val="%1."/>
      <w:lvlJc w:val="left"/>
      <w:pPr>
        <w:ind w:left="0" w:firstLine="720"/>
      </w:pPr>
      <w:rPr>
        <w:rFonts w:hint="default"/>
        <w:color w:val="000000"/>
        <w:position w:val="0"/>
        <w:sz w:val="22"/>
      </w:rPr>
    </w:lvl>
    <w:lvl w:ilvl="2">
      <w:start w:val="1"/>
      <w:numFmt w:val="bullet"/>
      <w:suff w:val="nothing"/>
      <w:lvlText w:val=""/>
      <w:lvlJc w:val="left"/>
      <w:pPr>
        <w:ind w:left="0" w:firstLine="720"/>
      </w:pPr>
      <w:rPr>
        <w:rFonts w:hint="default"/>
        <w:color w:val="000000"/>
        <w:position w:val="0"/>
        <w:sz w:val="22"/>
      </w:rPr>
    </w:lvl>
    <w:lvl w:ilvl="3">
      <w:start w:val="1"/>
      <w:numFmt w:val="bullet"/>
      <w:suff w:val="nothing"/>
      <w:lvlText w:val=""/>
      <w:lvlJc w:val="left"/>
      <w:pPr>
        <w:ind w:left="0" w:firstLine="720"/>
      </w:pPr>
      <w:rPr>
        <w:rFonts w:hint="default"/>
        <w:color w:val="000000"/>
        <w:position w:val="0"/>
        <w:sz w:val="22"/>
      </w:rPr>
    </w:lvl>
    <w:lvl w:ilvl="4">
      <w:start w:val="1"/>
      <w:numFmt w:val="bullet"/>
      <w:suff w:val="nothing"/>
      <w:lvlText w:val=""/>
      <w:lvlJc w:val="left"/>
      <w:pPr>
        <w:ind w:left="0" w:firstLine="720"/>
      </w:pPr>
      <w:rPr>
        <w:rFonts w:hint="default"/>
        <w:color w:val="000000"/>
        <w:position w:val="0"/>
        <w:sz w:val="22"/>
      </w:rPr>
    </w:lvl>
    <w:lvl w:ilvl="5">
      <w:start w:val="1"/>
      <w:numFmt w:val="bullet"/>
      <w:suff w:val="nothing"/>
      <w:lvlText w:val=""/>
      <w:lvlJc w:val="left"/>
      <w:pPr>
        <w:ind w:left="0" w:firstLine="720"/>
      </w:pPr>
      <w:rPr>
        <w:rFonts w:hint="default"/>
        <w:color w:val="000000"/>
        <w:position w:val="0"/>
        <w:sz w:val="22"/>
      </w:rPr>
    </w:lvl>
    <w:lvl w:ilvl="6">
      <w:start w:val="1"/>
      <w:numFmt w:val="bullet"/>
      <w:suff w:val="nothing"/>
      <w:lvlText w:val=""/>
      <w:lvlJc w:val="left"/>
      <w:pPr>
        <w:ind w:left="0" w:firstLine="720"/>
      </w:pPr>
      <w:rPr>
        <w:rFonts w:hint="default"/>
        <w:color w:val="000000"/>
        <w:position w:val="0"/>
        <w:sz w:val="22"/>
      </w:rPr>
    </w:lvl>
    <w:lvl w:ilvl="7">
      <w:start w:val="1"/>
      <w:numFmt w:val="bullet"/>
      <w:suff w:val="nothing"/>
      <w:lvlText w:val=""/>
      <w:lvlJc w:val="left"/>
      <w:pPr>
        <w:ind w:left="0" w:firstLine="720"/>
      </w:pPr>
      <w:rPr>
        <w:rFonts w:hint="default"/>
        <w:color w:val="000000"/>
        <w:position w:val="0"/>
        <w:sz w:val="22"/>
      </w:rPr>
    </w:lvl>
    <w:lvl w:ilvl="8">
      <w:start w:val="1"/>
      <w:numFmt w:val="bullet"/>
      <w:suff w:val="nothing"/>
      <w:lvlText w:val=""/>
      <w:lvlJc w:val="left"/>
      <w:pPr>
        <w:ind w:left="0" w:firstLine="720"/>
      </w:pPr>
      <w:rPr>
        <w:rFonts w:hint="default"/>
        <w:color w:val="000000"/>
        <w:position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D3542C"/>
    <w:multiLevelType w:val="hybridMultilevel"/>
    <w:tmpl w:val="7FFA0ADE"/>
    <w:lvl w:ilvl="0" w:tplc="0F52394C">
      <w:start w:val="1"/>
      <w:numFmt w:val="decimal"/>
      <w:lvlText w:val="%1."/>
      <w:lvlJc w:val="left"/>
      <w:pPr>
        <w:tabs>
          <w:tab w:val="num" w:pos="1152"/>
        </w:tabs>
        <w:ind w:left="0" w:firstLine="576"/>
      </w:pPr>
      <w:rPr>
        <w:rFonts w:hint="default"/>
        <w:b w:val="0"/>
        <w:i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23"/>
    <w:rsid w:val="00000C38"/>
    <w:rsid w:val="000027FE"/>
    <w:rsid w:val="00006BD5"/>
    <w:rsid w:val="0001056C"/>
    <w:rsid w:val="000105CF"/>
    <w:rsid w:val="000140A9"/>
    <w:rsid w:val="00014B91"/>
    <w:rsid w:val="00023073"/>
    <w:rsid w:val="00023F8C"/>
    <w:rsid w:val="000258AA"/>
    <w:rsid w:val="00025E9B"/>
    <w:rsid w:val="00027B70"/>
    <w:rsid w:val="000316E0"/>
    <w:rsid w:val="000318E1"/>
    <w:rsid w:val="00036039"/>
    <w:rsid w:val="000360AC"/>
    <w:rsid w:val="00037F90"/>
    <w:rsid w:val="0004062C"/>
    <w:rsid w:val="000409B1"/>
    <w:rsid w:val="000422EF"/>
    <w:rsid w:val="00043902"/>
    <w:rsid w:val="00043BFF"/>
    <w:rsid w:val="00044FD4"/>
    <w:rsid w:val="00047CCF"/>
    <w:rsid w:val="000506B6"/>
    <w:rsid w:val="000515E1"/>
    <w:rsid w:val="00062453"/>
    <w:rsid w:val="00062D97"/>
    <w:rsid w:val="00070777"/>
    <w:rsid w:val="00071C7A"/>
    <w:rsid w:val="00074DEB"/>
    <w:rsid w:val="000773BC"/>
    <w:rsid w:val="00077953"/>
    <w:rsid w:val="000808A8"/>
    <w:rsid w:val="00082CAA"/>
    <w:rsid w:val="000858F5"/>
    <w:rsid w:val="000875BF"/>
    <w:rsid w:val="00091A41"/>
    <w:rsid w:val="00094C52"/>
    <w:rsid w:val="00096B5B"/>
    <w:rsid w:val="00096D88"/>
    <w:rsid w:val="00096D8C"/>
    <w:rsid w:val="00096F9D"/>
    <w:rsid w:val="00097838"/>
    <w:rsid w:val="000A38D1"/>
    <w:rsid w:val="000A4EC7"/>
    <w:rsid w:val="000B08D1"/>
    <w:rsid w:val="000B08F2"/>
    <w:rsid w:val="000B6ADA"/>
    <w:rsid w:val="000C0B65"/>
    <w:rsid w:val="000C1683"/>
    <w:rsid w:val="000C2072"/>
    <w:rsid w:val="000C2078"/>
    <w:rsid w:val="000C223F"/>
    <w:rsid w:val="000C4768"/>
    <w:rsid w:val="000C5CA7"/>
    <w:rsid w:val="000C6CF1"/>
    <w:rsid w:val="000C701C"/>
    <w:rsid w:val="000D1971"/>
    <w:rsid w:val="000D3564"/>
    <w:rsid w:val="000D7529"/>
    <w:rsid w:val="000E1355"/>
    <w:rsid w:val="000E2CB0"/>
    <w:rsid w:val="000E2CD0"/>
    <w:rsid w:val="000E3D42"/>
    <w:rsid w:val="000F01B5"/>
    <w:rsid w:val="000F08EC"/>
    <w:rsid w:val="000F3196"/>
    <w:rsid w:val="000F33B1"/>
    <w:rsid w:val="000F560D"/>
    <w:rsid w:val="000F57F1"/>
    <w:rsid w:val="001015EA"/>
    <w:rsid w:val="00102351"/>
    <w:rsid w:val="00102D99"/>
    <w:rsid w:val="0010430E"/>
    <w:rsid w:val="0010585A"/>
    <w:rsid w:val="00113B6B"/>
    <w:rsid w:val="00122BD5"/>
    <w:rsid w:val="00126954"/>
    <w:rsid w:val="00126A75"/>
    <w:rsid w:val="00130F65"/>
    <w:rsid w:val="001312A2"/>
    <w:rsid w:val="00136413"/>
    <w:rsid w:val="001402BF"/>
    <w:rsid w:val="00140730"/>
    <w:rsid w:val="001410BA"/>
    <w:rsid w:val="00143B7C"/>
    <w:rsid w:val="00144EE4"/>
    <w:rsid w:val="00145634"/>
    <w:rsid w:val="00146870"/>
    <w:rsid w:val="00152E15"/>
    <w:rsid w:val="00153578"/>
    <w:rsid w:val="001565A6"/>
    <w:rsid w:val="00157A0A"/>
    <w:rsid w:val="00157B9D"/>
    <w:rsid w:val="00163457"/>
    <w:rsid w:val="0016742F"/>
    <w:rsid w:val="00175486"/>
    <w:rsid w:val="00176B83"/>
    <w:rsid w:val="00177344"/>
    <w:rsid w:val="00177AF0"/>
    <w:rsid w:val="00177C8A"/>
    <w:rsid w:val="001820E9"/>
    <w:rsid w:val="00182A56"/>
    <w:rsid w:val="00184FA8"/>
    <w:rsid w:val="001925F3"/>
    <w:rsid w:val="001937AD"/>
    <w:rsid w:val="001A142E"/>
    <w:rsid w:val="001A3294"/>
    <w:rsid w:val="001A373F"/>
    <w:rsid w:val="001A4FA9"/>
    <w:rsid w:val="001A69D8"/>
    <w:rsid w:val="001B14B2"/>
    <w:rsid w:val="001B47FC"/>
    <w:rsid w:val="001D4697"/>
    <w:rsid w:val="001D6BCF"/>
    <w:rsid w:val="001D7DF9"/>
    <w:rsid w:val="001E01CA"/>
    <w:rsid w:val="001E07E5"/>
    <w:rsid w:val="001E50A3"/>
    <w:rsid w:val="001E604F"/>
    <w:rsid w:val="001E6BBE"/>
    <w:rsid w:val="001E7408"/>
    <w:rsid w:val="001F2A5F"/>
    <w:rsid w:val="001F625C"/>
    <w:rsid w:val="00211847"/>
    <w:rsid w:val="00213116"/>
    <w:rsid w:val="0021319C"/>
    <w:rsid w:val="002139CF"/>
    <w:rsid w:val="002148C0"/>
    <w:rsid w:val="002164C0"/>
    <w:rsid w:val="002169EC"/>
    <w:rsid w:val="00217877"/>
    <w:rsid w:val="00232FB3"/>
    <w:rsid w:val="00234CD1"/>
    <w:rsid w:val="00240303"/>
    <w:rsid w:val="00241D7F"/>
    <w:rsid w:val="002433FB"/>
    <w:rsid w:val="00251573"/>
    <w:rsid w:val="002534FB"/>
    <w:rsid w:val="00254386"/>
    <w:rsid w:val="00255D08"/>
    <w:rsid w:val="00261037"/>
    <w:rsid w:val="00265511"/>
    <w:rsid w:val="00265D6A"/>
    <w:rsid w:val="002731FE"/>
    <w:rsid w:val="00275F6B"/>
    <w:rsid w:val="00285017"/>
    <w:rsid w:val="00285D56"/>
    <w:rsid w:val="0028758E"/>
    <w:rsid w:val="002923C5"/>
    <w:rsid w:val="00293FD8"/>
    <w:rsid w:val="00294CD4"/>
    <w:rsid w:val="002961CB"/>
    <w:rsid w:val="00297CA1"/>
    <w:rsid w:val="002A0712"/>
    <w:rsid w:val="002A09D9"/>
    <w:rsid w:val="002A2B7E"/>
    <w:rsid w:val="002A2D2E"/>
    <w:rsid w:val="002A2E5B"/>
    <w:rsid w:val="002A4CB1"/>
    <w:rsid w:val="002B039D"/>
    <w:rsid w:val="002B0D89"/>
    <w:rsid w:val="002B4009"/>
    <w:rsid w:val="002B45FC"/>
    <w:rsid w:val="002B7EB0"/>
    <w:rsid w:val="002C1877"/>
    <w:rsid w:val="002C2B80"/>
    <w:rsid w:val="002C725F"/>
    <w:rsid w:val="002C7A00"/>
    <w:rsid w:val="002D4FD4"/>
    <w:rsid w:val="002D5520"/>
    <w:rsid w:val="002D611A"/>
    <w:rsid w:val="002E145A"/>
    <w:rsid w:val="002E43C5"/>
    <w:rsid w:val="002E5FDF"/>
    <w:rsid w:val="002F00B6"/>
    <w:rsid w:val="002F14DA"/>
    <w:rsid w:val="002F36FA"/>
    <w:rsid w:val="002F4274"/>
    <w:rsid w:val="002F5389"/>
    <w:rsid w:val="002F626E"/>
    <w:rsid w:val="00300612"/>
    <w:rsid w:val="00300A75"/>
    <w:rsid w:val="00301C39"/>
    <w:rsid w:val="00302C59"/>
    <w:rsid w:val="003034CD"/>
    <w:rsid w:val="00304E32"/>
    <w:rsid w:val="00304F24"/>
    <w:rsid w:val="00305018"/>
    <w:rsid w:val="003128FB"/>
    <w:rsid w:val="00313CC3"/>
    <w:rsid w:val="00316784"/>
    <w:rsid w:val="003178F9"/>
    <w:rsid w:val="00320D64"/>
    <w:rsid w:val="00321328"/>
    <w:rsid w:val="00323205"/>
    <w:rsid w:val="0032512B"/>
    <w:rsid w:val="00326CAA"/>
    <w:rsid w:val="003275D3"/>
    <w:rsid w:val="00331EC0"/>
    <w:rsid w:val="003333AD"/>
    <w:rsid w:val="003341E0"/>
    <w:rsid w:val="00334EB3"/>
    <w:rsid w:val="00343749"/>
    <w:rsid w:val="00351353"/>
    <w:rsid w:val="00354A22"/>
    <w:rsid w:val="00357153"/>
    <w:rsid w:val="00361381"/>
    <w:rsid w:val="00361BEC"/>
    <w:rsid w:val="00363F54"/>
    <w:rsid w:val="00366234"/>
    <w:rsid w:val="003735D7"/>
    <w:rsid w:val="00376F77"/>
    <w:rsid w:val="00380B14"/>
    <w:rsid w:val="003833F7"/>
    <w:rsid w:val="00383BE8"/>
    <w:rsid w:val="003A0DCA"/>
    <w:rsid w:val="003A1FB3"/>
    <w:rsid w:val="003B0467"/>
    <w:rsid w:val="003B0550"/>
    <w:rsid w:val="003B249A"/>
    <w:rsid w:val="003B40D4"/>
    <w:rsid w:val="003B5351"/>
    <w:rsid w:val="003B694F"/>
    <w:rsid w:val="003C4F5C"/>
    <w:rsid w:val="003C5F56"/>
    <w:rsid w:val="003C634E"/>
    <w:rsid w:val="003C7EAC"/>
    <w:rsid w:val="003D15C8"/>
    <w:rsid w:val="003D19D7"/>
    <w:rsid w:val="003D2A9F"/>
    <w:rsid w:val="003D3946"/>
    <w:rsid w:val="003D3C63"/>
    <w:rsid w:val="003D3D20"/>
    <w:rsid w:val="003D568E"/>
    <w:rsid w:val="003D637B"/>
    <w:rsid w:val="003E3241"/>
    <w:rsid w:val="003E5A74"/>
    <w:rsid w:val="003E5E26"/>
    <w:rsid w:val="003E64BD"/>
    <w:rsid w:val="003F09E6"/>
    <w:rsid w:val="003F171C"/>
    <w:rsid w:val="003F21DF"/>
    <w:rsid w:val="003F30F3"/>
    <w:rsid w:val="003F75D3"/>
    <w:rsid w:val="004007CE"/>
    <w:rsid w:val="004074A2"/>
    <w:rsid w:val="004115CA"/>
    <w:rsid w:val="00412FC1"/>
    <w:rsid w:val="00412FC5"/>
    <w:rsid w:val="004147E6"/>
    <w:rsid w:val="00422276"/>
    <w:rsid w:val="004228BC"/>
    <w:rsid w:val="004242F1"/>
    <w:rsid w:val="00426148"/>
    <w:rsid w:val="00426FA2"/>
    <w:rsid w:val="00432C02"/>
    <w:rsid w:val="00432FE7"/>
    <w:rsid w:val="0043415C"/>
    <w:rsid w:val="00437721"/>
    <w:rsid w:val="00442613"/>
    <w:rsid w:val="00442A45"/>
    <w:rsid w:val="0044328F"/>
    <w:rsid w:val="00445A00"/>
    <w:rsid w:val="00450EBD"/>
    <w:rsid w:val="0045132D"/>
    <w:rsid w:val="00451B0F"/>
    <w:rsid w:val="00455D27"/>
    <w:rsid w:val="00457FC2"/>
    <w:rsid w:val="00457FE3"/>
    <w:rsid w:val="00461E62"/>
    <w:rsid w:val="00462BD5"/>
    <w:rsid w:val="00462D96"/>
    <w:rsid w:val="00464BE8"/>
    <w:rsid w:val="004650E2"/>
    <w:rsid w:val="00471852"/>
    <w:rsid w:val="00477A27"/>
    <w:rsid w:val="00483B86"/>
    <w:rsid w:val="00484440"/>
    <w:rsid w:val="004853A4"/>
    <w:rsid w:val="00486FEF"/>
    <w:rsid w:val="00491E44"/>
    <w:rsid w:val="004924C2"/>
    <w:rsid w:val="004929E6"/>
    <w:rsid w:val="004A3022"/>
    <w:rsid w:val="004B1AC5"/>
    <w:rsid w:val="004C0ECA"/>
    <w:rsid w:val="004C1B4E"/>
    <w:rsid w:val="004C2EE3"/>
    <w:rsid w:val="004C59B9"/>
    <w:rsid w:val="004C7D21"/>
    <w:rsid w:val="004D0014"/>
    <w:rsid w:val="004D0D13"/>
    <w:rsid w:val="004D1BC1"/>
    <w:rsid w:val="004D4824"/>
    <w:rsid w:val="004E1850"/>
    <w:rsid w:val="004E4702"/>
    <w:rsid w:val="004E4A22"/>
    <w:rsid w:val="004E6270"/>
    <w:rsid w:val="004F7ADA"/>
    <w:rsid w:val="004F7FB1"/>
    <w:rsid w:val="00501D88"/>
    <w:rsid w:val="005031A2"/>
    <w:rsid w:val="00503324"/>
    <w:rsid w:val="005037F9"/>
    <w:rsid w:val="005100BB"/>
    <w:rsid w:val="00510B00"/>
    <w:rsid w:val="00510B6C"/>
    <w:rsid w:val="00511968"/>
    <w:rsid w:val="00512EB7"/>
    <w:rsid w:val="00515B61"/>
    <w:rsid w:val="00515C8E"/>
    <w:rsid w:val="00522AAF"/>
    <w:rsid w:val="00523313"/>
    <w:rsid w:val="00524538"/>
    <w:rsid w:val="00525F62"/>
    <w:rsid w:val="00526297"/>
    <w:rsid w:val="00527E3A"/>
    <w:rsid w:val="005320AE"/>
    <w:rsid w:val="00533DA9"/>
    <w:rsid w:val="00535D51"/>
    <w:rsid w:val="00536050"/>
    <w:rsid w:val="0054242D"/>
    <w:rsid w:val="005434D2"/>
    <w:rsid w:val="0055471A"/>
    <w:rsid w:val="0055614C"/>
    <w:rsid w:val="00557C11"/>
    <w:rsid w:val="005635B3"/>
    <w:rsid w:val="00563DFA"/>
    <w:rsid w:val="00564AC1"/>
    <w:rsid w:val="00565933"/>
    <w:rsid w:val="00566220"/>
    <w:rsid w:val="00567963"/>
    <w:rsid w:val="0057551A"/>
    <w:rsid w:val="00575802"/>
    <w:rsid w:val="00576B3C"/>
    <w:rsid w:val="00577112"/>
    <w:rsid w:val="00581980"/>
    <w:rsid w:val="00583D78"/>
    <w:rsid w:val="00584906"/>
    <w:rsid w:val="00587B76"/>
    <w:rsid w:val="00593601"/>
    <w:rsid w:val="005A1AFD"/>
    <w:rsid w:val="005A3E87"/>
    <w:rsid w:val="005A4C57"/>
    <w:rsid w:val="005A5568"/>
    <w:rsid w:val="005A77AF"/>
    <w:rsid w:val="005B454B"/>
    <w:rsid w:val="005B5526"/>
    <w:rsid w:val="005C531A"/>
    <w:rsid w:val="005D1A34"/>
    <w:rsid w:val="005D750C"/>
    <w:rsid w:val="005E77B2"/>
    <w:rsid w:val="005E78EB"/>
    <w:rsid w:val="005F1131"/>
    <w:rsid w:val="005F3428"/>
    <w:rsid w:val="005F3EFF"/>
    <w:rsid w:val="005F7EDF"/>
    <w:rsid w:val="0060290B"/>
    <w:rsid w:val="00607034"/>
    <w:rsid w:val="00607BA5"/>
    <w:rsid w:val="00622F97"/>
    <w:rsid w:val="00623008"/>
    <w:rsid w:val="00623911"/>
    <w:rsid w:val="006257BE"/>
    <w:rsid w:val="00626EB6"/>
    <w:rsid w:val="00627A8F"/>
    <w:rsid w:val="006303DC"/>
    <w:rsid w:val="00630748"/>
    <w:rsid w:val="00630B6A"/>
    <w:rsid w:val="00633AD6"/>
    <w:rsid w:val="00651771"/>
    <w:rsid w:val="0065588B"/>
    <w:rsid w:val="00655BB2"/>
    <w:rsid w:val="00655D03"/>
    <w:rsid w:val="00662B7E"/>
    <w:rsid w:val="00663972"/>
    <w:rsid w:val="00670A8F"/>
    <w:rsid w:val="0067117E"/>
    <w:rsid w:val="006749C9"/>
    <w:rsid w:val="006763E1"/>
    <w:rsid w:val="0068236A"/>
    <w:rsid w:val="00683F84"/>
    <w:rsid w:val="00691872"/>
    <w:rsid w:val="0069192C"/>
    <w:rsid w:val="006925A2"/>
    <w:rsid w:val="00697E5B"/>
    <w:rsid w:val="006A249E"/>
    <w:rsid w:val="006A4203"/>
    <w:rsid w:val="006A6A81"/>
    <w:rsid w:val="006C0487"/>
    <w:rsid w:val="006C0A76"/>
    <w:rsid w:val="006C2652"/>
    <w:rsid w:val="006C45E9"/>
    <w:rsid w:val="006D177C"/>
    <w:rsid w:val="006D6396"/>
    <w:rsid w:val="006D777A"/>
    <w:rsid w:val="006D7AD9"/>
    <w:rsid w:val="006E26CD"/>
    <w:rsid w:val="006E2FEF"/>
    <w:rsid w:val="006E4DF4"/>
    <w:rsid w:val="006E648C"/>
    <w:rsid w:val="006F20C3"/>
    <w:rsid w:val="006F3672"/>
    <w:rsid w:val="006F37DA"/>
    <w:rsid w:val="006F4131"/>
    <w:rsid w:val="006F5003"/>
    <w:rsid w:val="006F5AA6"/>
    <w:rsid w:val="006F7393"/>
    <w:rsid w:val="00700947"/>
    <w:rsid w:val="00701EB3"/>
    <w:rsid w:val="0070224F"/>
    <w:rsid w:val="0070331A"/>
    <w:rsid w:val="007049B3"/>
    <w:rsid w:val="00705018"/>
    <w:rsid w:val="00705FD7"/>
    <w:rsid w:val="007115F7"/>
    <w:rsid w:val="00711C8A"/>
    <w:rsid w:val="0071404F"/>
    <w:rsid w:val="007205C5"/>
    <w:rsid w:val="00722052"/>
    <w:rsid w:val="00725130"/>
    <w:rsid w:val="0072685B"/>
    <w:rsid w:val="00730B96"/>
    <w:rsid w:val="00731B98"/>
    <w:rsid w:val="0073226E"/>
    <w:rsid w:val="00735B4D"/>
    <w:rsid w:val="0074072B"/>
    <w:rsid w:val="00741A11"/>
    <w:rsid w:val="00747524"/>
    <w:rsid w:val="00752996"/>
    <w:rsid w:val="00752FF0"/>
    <w:rsid w:val="007536D0"/>
    <w:rsid w:val="007574BA"/>
    <w:rsid w:val="00763A92"/>
    <w:rsid w:val="00763BDF"/>
    <w:rsid w:val="00764CD2"/>
    <w:rsid w:val="007710AE"/>
    <w:rsid w:val="0077649A"/>
    <w:rsid w:val="00785689"/>
    <w:rsid w:val="00786262"/>
    <w:rsid w:val="00786E68"/>
    <w:rsid w:val="00790905"/>
    <w:rsid w:val="007920E4"/>
    <w:rsid w:val="007973DA"/>
    <w:rsid w:val="0079754B"/>
    <w:rsid w:val="007A1E6D"/>
    <w:rsid w:val="007A3B51"/>
    <w:rsid w:val="007A3EC1"/>
    <w:rsid w:val="007A5476"/>
    <w:rsid w:val="007A76CE"/>
    <w:rsid w:val="007B2BFC"/>
    <w:rsid w:val="007B63F2"/>
    <w:rsid w:val="007B6486"/>
    <w:rsid w:val="007B64D7"/>
    <w:rsid w:val="007C237D"/>
    <w:rsid w:val="007C26A2"/>
    <w:rsid w:val="007D031B"/>
    <w:rsid w:val="007D0BC5"/>
    <w:rsid w:val="007D100F"/>
    <w:rsid w:val="007D2B97"/>
    <w:rsid w:val="007D5D22"/>
    <w:rsid w:val="007E4048"/>
    <w:rsid w:val="007E455D"/>
    <w:rsid w:val="007E6A93"/>
    <w:rsid w:val="007F3297"/>
    <w:rsid w:val="007F6594"/>
    <w:rsid w:val="00803688"/>
    <w:rsid w:val="00806BE8"/>
    <w:rsid w:val="0082044A"/>
    <w:rsid w:val="00822CE0"/>
    <w:rsid w:val="008235B5"/>
    <w:rsid w:val="008268B0"/>
    <w:rsid w:val="00827317"/>
    <w:rsid w:val="0083278C"/>
    <w:rsid w:val="00833DBE"/>
    <w:rsid w:val="008402B2"/>
    <w:rsid w:val="00840377"/>
    <w:rsid w:val="00841AB1"/>
    <w:rsid w:val="008433E2"/>
    <w:rsid w:val="008448BF"/>
    <w:rsid w:val="00845E18"/>
    <w:rsid w:val="0085042A"/>
    <w:rsid w:val="008507F3"/>
    <w:rsid w:val="0085082B"/>
    <w:rsid w:val="008513D1"/>
    <w:rsid w:val="0086250E"/>
    <w:rsid w:val="00863AB5"/>
    <w:rsid w:val="00865F3C"/>
    <w:rsid w:val="00865FD9"/>
    <w:rsid w:val="00870920"/>
    <w:rsid w:val="008715CC"/>
    <w:rsid w:val="00873134"/>
    <w:rsid w:val="008751E2"/>
    <w:rsid w:val="0088385F"/>
    <w:rsid w:val="008839FB"/>
    <w:rsid w:val="008841B3"/>
    <w:rsid w:val="008841FD"/>
    <w:rsid w:val="008848C9"/>
    <w:rsid w:val="00884B67"/>
    <w:rsid w:val="008913BD"/>
    <w:rsid w:val="00891A79"/>
    <w:rsid w:val="0089506E"/>
    <w:rsid w:val="008A0D3D"/>
    <w:rsid w:val="008A176A"/>
    <w:rsid w:val="008A37F0"/>
    <w:rsid w:val="008B07EE"/>
    <w:rsid w:val="008B1BF7"/>
    <w:rsid w:val="008B3E02"/>
    <w:rsid w:val="008B466D"/>
    <w:rsid w:val="008B60CE"/>
    <w:rsid w:val="008C1F58"/>
    <w:rsid w:val="008C44B9"/>
    <w:rsid w:val="008C668C"/>
    <w:rsid w:val="008D08D7"/>
    <w:rsid w:val="008D22B0"/>
    <w:rsid w:val="008D5C93"/>
    <w:rsid w:val="008E2638"/>
    <w:rsid w:val="008E2A87"/>
    <w:rsid w:val="008E2F50"/>
    <w:rsid w:val="008E36E2"/>
    <w:rsid w:val="008E753D"/>
    <w:rsid w:val="008E7E83"/>
    <w:rsid w:val="008F2053"/>
    <w:rsid w:val="008F3D4B"/>
    <w:rsid w:val="008F514F"/>
    <w:rsid w:val="008F5746"/>
    <w:rsid w:val="008F64AC"/>
    <w:rsid w:val="008F6CDC"/>
    <w:rsid w:val="00901BB5"/>
    <w:rsid w:val="00902DE3"/>
    <w:rsid w:val="00905861"/>
    <w:rsid w:val="00905A7B"/>
    <w:rsid w:val="00905CDD"/>
    <w:rsid w:val="00907E2C"/>
    <w:rsid w:val="00916C76"/>
    <w:rsid w:val="009173B6"/>
    <w:rsid w:val="00917E22"/>
    <w:rsid w:val="00917F6D"/>
    <w:rsid w:val="009214CB"/>
    <w:rsid w:val="00921803"/>
    <w:rsid w:val="009224C8"/>
    <w:rsid w:val="00923BB7"/>
    <w:rsid w:val="00923CCE"/>
    <w:rsid w:val="00924D8E"/>
    <w:rsid w:val="00926503"/>
    <w:rsid w:val="00932C04"/>
    <w:rsid w:val="00933984"/>
    <w:rsid w:val="0093433B"/>
    <w:rsid w:val="00936D7A"/>
    <w:rsid w:val="0094492F"/>
    <w:rsid w:val="00944BAD"/>
    <w:rsid w:val="009475CE"/>
    <w:rsid w:val="009515C4"/>
    <w:rsid w:val="00952314"/>
    <w:rsid w:val="00965970"/>
    <w:rsid w:val="00965D28"/>
    <w:rsid w:val="009672F2"/>
    <w:rsid w:val="00970F57"/>
    <w:rsid w:val="00971DF7"/>
    <w:rsid w:val="0097442C"/>
    <w:rsid w:val="009777F1"/>
    <w:rsid w:val="00985E85"/>
    <w:rsid w:val="009A0998"/>
    <w:rsid w:val="009A10F2"/>
    <w:rsid w:val="009A1E52"/>
    <w:rsid w:val="009B08E1"/>
    <w:rsid w:val="009B3A3E"/>
    <w:rsid w:val="009C2987"/>
    <w:rsid w:val="009C4D93"/>
    <w:rsid w:val="009C58F8"/>
    <w:rsid w:val="009D0868"/>
    <w:rsid w:val="009D1DEA"/>
    <w:rsid w:val="009D2FFE"/>
    <w:rsid w:val="009D4843"/>
    <w:rsid w:val="009D62DE"/>
    <w:rsid w:val="009E496F"/>
    <w:rsid w:val="009F013A"/>
    <w:rsid w:val="009F759F"/>
    <w:rsid w:val="00A00847"/>
    <w:rsid w:val="00A0444D"/>
    <w:rsid w:val="00A04EF1"/>
    <w:rsid w:val="00A111B3"/>
    <w:rsid w:val="00A1425E"/>
    <w:rsid w:val="00A164AF"/>
    <w:rsid w:val="00A16D20"/>
    <w:rsid w:val="00A26671"/>
    <w:rsid w:val="00A30661"/>
    <w:rsid w:val="00A308C1"/>
    <w:rsid w:val="00A321D0"/>
    <w:rsid w:val="00A426BE"/>
    <w:rsid w:val="00A45ABE"/>
    <w:rsid w:val="00A45F4F"/>
    <w:rsid w:val="00A4775E"/>
    <w:rsid w:val="00A5380D"/>
    <w:rsid w:val="00A53BDE"/>
    <w:rsid w:val="00A5490B"/>
    <w:rsid w:val="00A600A9"/>
    <w:rsid w:val="00A61AC1"/>
    <w:rsid w:val="00A6376B"/>
    <w:rsid w:val="00A6480A"/>
    <w:rsid w:val="00A65B84"/>
    <w:rsid w:val="00A66A47"/>
    <w:rsid w:val="00A677F1"/>
    <w:rsid w:val="00A71205"/>
    <w:rsid w:val="00A725AB"/>
    <w:rsid w:val="00A75CE0"/>
    <w:rsid w:val="00A847A9"/>
    <w:rsid w:val="00A8513E"/>
    <w:rsid w:val="00A86289"/>
    <w:rsid w:val="00A86732"/>
    <w:rsid w:val="00A93D3A"/>
    <w:rsid w:val="00A976A6"/>
    <w:rsid w:val="00AA3B1C"/>
    <w:rsid w:val="00AA4AC8"/>
    <w:rsid w:val="00AA4E43"/>
    <w:rsid w:val="00AA55B7"/>
    <w:rsid w:val="00AA5B9E"/>
    <w:rsid w:val="00AA68D1"/>
    <w:rsid w:val="00AB2407"/>
    <w:rsid w:val="00AB2A4F"/>
    <w:rsid w:val="00AB4393"/>
    <w:rsid w:val="00AB53DF"/>
    <w:rsid w:val="00AC14CF"/>
    <w:rsid w:val="00AC3975"/>
    <w:rsid w:val="00AC4044"/>
    <w:rsid w:val="00AC7ACC"/>
    <w:rsid w:val="00AC7B9C"/>
    <w:rsid w:val="00AD3275"/>
    <w:rsid w:val="00AE0C50"/>
    <w:rsid w:val="00AE326A"/>
    <w:rsid w:val="00AE42A1"/>
    <w:rsid w:val="00AF1353"/>
    <w:rsid w:val="00AF21B4"/>
    <w:rsid w:val="00AF2DD4"/>
    <w:rsid w:val="00AF46C8"/>
    <w:rsid w:val="00AF5AE9"/>
    <w:rsid w:val="00AF5FE9"/>
    <w:rsid w:val="00AF6A76"/>
    <w:rsid w:val="00AF6EA5"/>
    <w:rsid w:val="00B02545"/>
    <w:rsid w:val="00B03DAA"/>
    <w:rsid w:val="00B04E01"/>
    <w:rsid w:val="00B07E5C"/>
    <w:rsid w:val="00B104CE"/>
    <w:rsid w:val="00B163E1"/>
    <w:rsid w:val="00B2123B"/>
    <w:rsid w:val="00B239EE"/>
    <w:rsid w:val="00B24787"/>
    <w:rsid w:val="00B247B9"/>
    <w:rsid w:val="00B258DD"/>
    <w:rsid w:val="00B25949"/>
    <w:rsid w:val="00B261D9"/>
    <w:rsid w:val="00B263E0"/>
    <w:rsid w:val="00B3176A"/>
    <w:rsid w:val="00B33B06"/>
    <w:rsid w:val="00B40175"/>
    <w:rsid w:val="00B40893"/>
    <w:rsid w:val="00B41364"/>
    <w:rsid w:val="00B45143"/>
    <w:rsid w:val="00B477FA"/>
    <w:rsid w:val="00B53AB0"/>
    <w:rsid w:val="00B53EE5"/>
    <w:rsid w:val="00B663F2"/>
    <w:rsid w:val="00B71E0F"/>
    <w:rsid w:val="00B7371C"/>
    <w:rsid w:val="00B76583"/>
    <w:rsid w:val="00B76D00"/>
    <w:rsid w:val="00B811F7"/>
    <w:rsid w:val="00B81EB3"/>
    <w:rsid w:val="00B82400"/>
    <w:rsid w:val="00B83617"/>
    <w:rsid w:val="00B85441"/>
    <w:rsid w:val="00B8641A"/>
    <w:rsid w:val="00B91CDF"/>
    <w:rsid w:val="00B93F55"/>
    <w:rsid w:val="00B943C5"/>
    <w:rsid w:val="00B96B91"/>
    <w:rsid w:val="00B97EEF"/>
    <w:rsid w:val="00B97FB8"/>
    <w:rsid w:val="00BA5DC6"/>
    <w:rsid w:val="00BA6196"/>
    <w:rsid w:val="00BA71F5"/>
    <w:rsid w:val="00BC552D"/>
    <w:rsid w:val="00BC6D8C"/>
    <w:rsid w:val="00BC7D43"/>
    <w:rsid w:val="00BD19CB"/>
    <w:rsid w:val="00BD1D27"/>
    <w:rsid w:val="00BD2C16"/>
    <w:rsid w:val="00BD35DA"/>
    <w:rsid w:val="00BD38C1"/>
    <w:rsid w:val="00BD52B8"/>
    <w:rsid w:val="00BE0373"/>
    <w:rsid w:val="00BE638D"/>
    <w:rsid w:val="00BE79BB"/>
    <w:rsid w:val="00BF073D"/>
    <w:rsid w:val="00BF0B65"/>
    <w:rsid w:val="00BF0FE9"/>
    <w:rsid w:val="00BF5A6F"/>
    <w:rsid w:val="00BF5F35"/>
    <w:rsid w:val="00BF6C50"/>
    <w:rsid w:val="00C039E5"/>
    <w:rsid w:val="00C05D03"/>
    <w:rsid w:val="00C11A70"/>
    <w:rsid w:val="00C12D7F"/>
    <w:rsid w:val="00C133EF"/>
    <w:rsid w:val="00C14FE9"/>
    <w:rsid w:val="00C20447"/>
    <w:rsid w:val="00C217B3"/>
    <w:rsid w:val="00C23766"/>
    <w:rsid w:val="00C319F1"/>
    <w:rsid w:val="00C330DE"/>
    <w:rsid w:val="00C33358"/>
    <w:rsid w:val="00C33923"/>
    <w:rsid w:val="00C34006"/>
    <w:rsid w:val="00C34C9F"/>
    <w:rsid w:val="00C40881"/>
    <w:rsid w:val="00C426B1"/>
    <w:rsid w:val="00C44981"/>
    <w:rsid w:val="00C47197"/>
    <w:rsid w:val="00C5000D"/>
    <w:rsid w:val="00C510C3"/>
    <w:rsid w:val="00C54CA8"/>
    <w:rsid w:val="00C55D26"/>
    <w:rsid w:val="00C601E4"/>
    <w:rsid w:val="00C66773"/>
    <w:rsid w:val="00C70DB9"/>
    <w:rsid w:val="00C7293C"/>
    <w:rsid w:val="00C72ACA"/>
    <w:rsid w:val="00C72BD6"/>
    <w:rsid w:val="00C8081C"/>
    <w:rsid w:val="00C837A5"/>
    <w:rsid w:val="00C86055"/>
    <w:rsid w:val="00C90D6A"/>
    <w:rsid w:val="00C93A84"/>
    <w:rsid w:val="00C9567F"/>
    <w:rsid w:val="00C96F12"/>
    <w:rsid w:val="00CA1703"/>
    <w:rsid w:val="00CA247E"/>
    <w:rsid w:val="00CA72B6"/>
    <w:rsid w:val="00CA7DA6"/>
    <w:rsid w:val="00CB1B2A"/>
    <w:rsid w:val="00CB3CE0"/>
    <w:rsid w:val="00CB4DA9"/>
    <w:rsid w:val="00CB5C33"/>
    <w:rsid w:val="00CB6AAB"/>
    <w:rsid w:val="00CC1B6E"/>
    <w:rsid w:val="00CC23CD"/>
    <w:rsid w:val="00CC3BE5"/>
    <w:rsid w:val="00CC5C5B"/>
    <w:rsid w:val="00CC6716"/>
    <w:rsid w:val="00CC72B6"/>
    <w:rsid w:val="00CD1ADC"/>
    <w:rsid w:val="00CE3B2B"/>
    <w:rsid w:val="00CE75B5"/>
    <w:rsid w:val="00CF0D96"/>
    <w:rsid w:val="00CF1327"/>
    <w:rsid w:val="00CF3238"/>
    <w:rsid w:val="00CF48E0"/>
    <w:rsid w:val="00D00864"/>
    <w:rsid w:val="00D01BEF"/>
    <w:rsid w:val="00D0218D"/>
    <w:rsid w:val="00D110FA"/>
    <w:rsid w:val="00D1303E"/>
    <w:rsid w:val="00D15EE5"/>
    <w:rsid w:val="00D1783E"/>
    <w:rsid w:val="00D17E22"/>
    <w:rsid w:val="00D21BEE"/>
    <w:rsid w:val="00D24005"/>
    <w:rsid w:val="00D267D3"/>
    <w:rsid w:val="00D35F9D"/>
    <w:rsid w:val="00D4101F"/>
    <w:rsid w:val="00D42709"/>
    <w:rsid w:val="00D461E2"/>
    <w:rsid w:val="00D47D21"/>
    <w:rsid w:val="00D52794"/>
    <w:rsid w:val="00D56495"/>
    <w:rsid w:val="00D62963"/>
    <w:rsid w:val="00D62DD4"/>
    <w:rsid w:val="00D70DD3"/>
    <w:rsid w:val="00D72AE7"/>
    <w:rsid w:val="00D757CA"/>
    <w:rsid w:val="00D857E2"/>
    <w:rsid w:val="00D940A3"/>
    <w:rsid w:val="00D94988"/>
    <w:rsid w:val="00D97C23"/>
    <w:rsid w:val="00DA1387"/>
    <w:rsid w:val="00DA2529"/>
    <w:rsid w:val="00DA36F3"/>
    <w:rsid w:val="00DA5D06"/>
    <w:rsid w:val="00DA78CF"/>
    <w:rsid w:val="00DB130A"/>
    <w:rsid w:val="00DB2848"/>
    <w:rsid w:val="00DB3C06"/>
    <w:rsid w:val="00DB5B91"/>
    <w:rsid w:val="00DC10A1"/>
    <w:rsid w:val="00DC1A4B"/>
    <w:rsid w:val="00DC5BA4"/>
    <w:rsid w:val="00DC655F"/>
    <w:rsid w:val="00DD0B59"/>
    <w:rsid w:val="00DD1C36"/>
    <w:rsid w:val="00DD7EBD"/>
    <w:rsid w:val="00DE7D47"/>
    <w:rsid w:val="00DF573E"/>
    <w:rsid w:val="00DF62B6"/>
    <w:rsid w:val="00DF6FB6"/>
    <w:rsid w:val="00E05C35"/>
    <w:rsid w:val="00E07225"/>
    <w:rsid w:val="00E11A7D"/>
    <w:rsid w:val="00E125EA"/>
    <w:rsid w:val="00E1284F"/>
    <w:rsid w:val="00E139B8"/>
    <w:rsid w:val="00E16B09"/>
    <w:rsid w:val="00E17D9C"/>
    <w:rsid w:val="00E21691"/>
    <w:rsid w:val="00E23AB3"/>
    <w:rsid w:val="00E24F64"/>
    <w:rsid w:val="00E355A0"/>
    <w:rsid w:val="00E363B4"/>
    <w:rsid w:val="00E44C98"/>
    <w:rsid w:val="00E4549B"/>
    <w:rsid w:val="00E507D5"/>
    <w:rsid w:val="00E51E63"/>
    <w:rsid w:val="00E5409F"/>
    <w:rsid w:val="00E54928"/>
    <w:rsid w:val="00E5758A"/>
    <w:rsid w:val="00E601D8"/>
    <w:rsid w:val="00E63DBC"/>
    <w:rsid w:val="00E6555C"/>
    <w:rsid w:val="00E666E6"/>
    <w:rsid w:val="00E7139E"/>
    <w:rsid w:val="00E736E4"/>
    <w:rsid w:val="00E74478"/>
    <w:rsid w:val="00E801C2"/>
    <w:rsid w:val="00E81FCF"/>
    <w:rsid w:val="00E829C5"/>
    <w:rsid w:val="00E91A0E"/>
    <w:rsid w:val="00E92BDA"/>
    <w:rsid w:val="00E94160"/>
    <w:rsid w:val="00E97422"/>
    <w:rsid w:val="00E977EF"/>
    <w:rsid w:val="00EA0024"/>
    <w:rsid w:val="00EA0E38"/>
    <w:rsid w:val="00EA358C"/>
    <w:rsid w:val="00EA3CC2"/>
    <w:rsid w:val="00EA7CF7"/>
    <w:rsid w:val="00EB238A"/>
    <w:rsid w:val="00EB7585"/>
    <w:rsid w:val="00EC0F48"/>
    <w:rsid w:val="00EC1D04"/>
    <w:rsid w:val="00EC69FF"/>
    <w:rsid w:val="00EC7354"/>
    <w:rsid w:val="00EC7952"/>
    <w:rsid w:val="00ED067E"/>
    <w:rsid w:val="00ED1089"/>
    <w:rsid w:val="00ED149E"/>
    <w:rsid w:val="00ED1A97"/>
    <w:rsid w:val="00ED69A1"/>
    <w:rsid w:val="00ED71A7"/>
    <w:rsid w:val="00EE1953"/>
    <w:rsid w:val="00EE1D09"/>
    <w:rsid w:val="00EE5C40"/>
    <w:rsid w:val="00EE5E72"/>
    <w:rsid w:val="00EE6488"/>
    <w:rsid w:val="00EE70C2"/>
    <w:rsid w:val="00EF220E"/>
    <w:rsid w:val="00EF5979"/>
    <w:rsid w:val="00EF678B"/>
    <w:rsid w:val="00EF69B2"/>
    <w:rsid w:val="00F021FA"/>
    <w:rsid w:val="00F045B0"/>
    <w:rsid w:val="00F06D62"/>
    <w:rsid w:val="00F07EDA"/>
    <w:rsid w:val="00F237BA"/>
    <w:rsid w:val="00F31C46"/>
    <w:rsid w:val="00F33AE6"/>
    <w:rsid w:val="00F363FC"/>
    <w:rsid w:val="00F44EA5"/>
    <w:rsid w:val="00F462B6"/>
    <w:rsid w:val="00F47848"/>
    <w:rsid w:val="00F55978"/>
    <w:rsid w:val="00F55987"/>
    <w:rsid w:val="00F6041E"/>
    <w:rsid w:val="00F62CD8"/>
    <w:rsid w:val="00F62E97"/>
    <w:rsid w:val="00F64209"/>
    <w:rsid w:val="00F6451C"/>
    <w:rsid w:val="00F6585B"/>
    <w:rsid w:val="00F65CF7"/>
    <w:rsid w:val="00F6622F"/>
    <w:rsid w:val="00F66C53"/>
    <w:rsid w:val="00F67A93"/>
    <w:rsid w:val="00F73080"/>
    <w:rsid w:val="00F7393A"/>
    <w:rsid w:val="00F75215"/>
    <w:rsid w:val="00F77C57"/>
    <w:rsid w:val="00F82EF9"/>
    <w:rsid w:val="00F841B6"/>
    <w:rsid w:val="00F9268A"/>
    <w:rsid w:val="00F93BF5"/>
    <w:rsid w:val="00F96478"/>
    <w:rsid w:val="00F979DD"/>
    <w:rsid w:val="00FA2CE7"/>
    <w:rsid w:val="00FA411F"/>
    <w:rsid w:val="00FB085A"/>
    <w:rsid w:val="00FC0615"/>
    <w:rsid w:val="00FC2034"/>
    <w:rsid w:val="00FC31C7"/>
    <w:rsid w:val="00FC7863"/>
    <w:rsid w:val="00FC7D9F"/>
    <w:rsid w:val="00FD02DF"/>
    <w:rsid w:val="00FD32FD"/>
    <w:rsid w:val="00FD36E0"/>
    <w:rsid w:val="00FF3AAC"/>
    <w:rsid w:val="00FF3F97"/>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A56"/>
    <w:pPr>
      <w:widowControl w:val="0"/>
    </w:pPr>
    <w:rPr>
      <w:snapToGrid w:val="0"/>
      <w:kern w:val="28"/>
      <w:sz w:val="22"/>
    </w:rPr>
  </w:style>
  <w:style w:type="paragraph" w:styleId="Heading1">
    <w:name w:val="heading 1"/>
    <w:basedOn w:val="Normal"/>
    <w:next w:val="ParaNum"/>
    <w:qFormat/>
    <w:rsid w:val="00182A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82A56"/>
    <w:pPr>
      <w:keepNext/>
      <w:numPr>
        <w:ilvl w:val="1"/>
        <w:numId w:val="3"/>
      </w:numPr>
      <w:spacing w:after="120"/>
      <w:outlineLvl w:val="1"/>
    </w:pPr>
    <w:rPr>
      <w:b/>
    </w:rPr>
  </w:style>
  <w:style w:type="paragraph" w:styleId="Heading3">
    <w:name w:val="heading 3"/>
    <w:basedOn w:val="Normal"/>
    <w:next w:val="ParaNum"/>
    <w:qFormat/>
    <w:rsid w:val="00182A56"/>
    <w:pPr>
      <w:keepNext/>
      <w:numPr>
        <w:ilvl w:val="2"/>
        <w:numId w:val="3"/>
      </w:numPr>
      <w:tabs>
        <w:tab w:val="left" w:pos="2160"/>
      </w:tabs>
      <w:spacing w:after="120"/>
      <w:outlineLvl w:val="2"/>
    </w:pPr>
    <w:rPr>
      <w:b/>
    </w:rPr>
  </w:style>
  <w:style w:type="paragraph" w:styleId="Heading4">
    <w:name w:val="heading 4"/>
    <w:basedOn w:val="Normal"/>
    <w:next w:val="ParaNum"/>
    <w:qFormat/>
    <w:rsid w:val="00182A56"/>
    <w:pPr>
      <w:keepNext/>
      <w:numPr>
        <w:ilvl w:val="3"/>
        <w:numId w:val="3"/>
      </w:numPr>
      <w:tabs>
        <w:tab w:val="left" w:pos="2880"/>
      </w:tabs>
      <w:spacing w:after="120"/>
      <w:outlineLvl w:val="3"/>
    </w:pPr>
    <w:rPr>
      <w:b/>
    </w:rPr>
  </w:style>
  <w:style w:type="paragraph" w:styleId="Heading5">
    <w:name w:val="heading 5"/>
    <w:basedOn w:val="Normal"/>
    <w:next w:val="ParaNum"/>
    <w:qFormat/>
    <w:rsid w:val="00182A5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82A56"/>
    <w:pPr>
      <w:numPr>
        <w:ilvl w:val="5"/>
        <w:numId w:val="3"/>
      </w:numPr>
      <w:tabs>
        <w:tab w:val="left" w:pos="4320"/>
      </w:tabs>
      <w:spacing w:after="120"/>
      <w:outlineLvl w:val="5"/>
    </w:pPr>
    <w:rPr>
      <w:b/>
    </w:rPr>
  </w:style>
  <w:style w:type="paragraph" w:styleId="Heading7">
    <w:name w:val="heading 7"/>
    <w:basedOn w:val="Normal"/>
    <w:next w:val="ParaNum"/>
    <w:qFormat/>
    <w:rsid w:val="00182A5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2A5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82A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2A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A56"/>
  </w:style>
  <w:style w:type="paragraph" w:customStyle="1" w:styleId="ParaNum">
    <w:name w:val="ParaNum"/>
    <w:basedOn w:val="Normal"/>
    <w:link w:val="ParaNumChar"/>
    <w:rsid w:val="00182A56"/>
    <w:pPr>
      <w:numPr>
        <w:numId w:val="2"/>
      </w:numPr>
      <w:tabs>
        <w:tab w:val="clear" w:pos="1080"/>
        <w:tab w:val="num" w:pos="1440"/>
      </w:tabs>
      <w:spacing w:after="120"/>
    </w:pPr>
  </w:style>
  <w:style w:type="paragraph" w:styleId="EndnoteText">
    <w:name w:val="endnote text"/>
    <w:basedOn w:val="Normal"/>
    <w:semiHidden/>
    <w:rsid w:val="00182A56"/>
    <w:rPr>
      <w:sz w:val="20"/>
    </w:rPr>
  </w:style>
  <w:style w:type="character" w:styleId="EndnoteReference">
    <w:name w:val="endnote reference"/>
    <w:semiHidden/>
    <w:rsid w:val="00182A56"/>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182A56"/>
    <w:pPr>
      <w:spacing w:after="120"/>
    </w:pPr>
  </w:style>
  <w:style w:type="character" w:styleId="FootnoteReference">
    <w:name w:val="footnote reference"/>
    <w:aliases w:val="Appel note de bas de p"/>
    <w:rsid w:val="00182A56"/>
    <w:rPr>
      <w:rFonts w:ascii="Times New Roman" w:hAnsi="Times New Roman"/>
      <w:dstrike w:val="0"/>
      <w:color w:val="auto"/>
      <w:sz w:val="20"/>
      <w:vertAlign w:val="superscript"/>
    </w:rPr>
  </w:style>
  <w:style w:type="paragraph" w:styleId="TOC1">
    <w:name w:val="toc 1"/>
    <w:basedOn w:val="Normal"/>
    <w:next w:val="Normal"/>
    <w:semiHidden/>
    <w:rsid w:val="00182A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2A56"/>
    <w:pPr>
      <w:tabs>
        <w:tab w:val="left" w:pos="720"/>
        <w:tab w:val="right" w:leader="dot" w:pos="9360"/>
      </w:tabs>
      <w:suppressAutoHyphens/>
      <w:ind w:left="720" w:right="720" w:hanging="360"/>
    </w:pPr>
    <w:rPr>
      <w:noProof/>
    </w:rPr>
  </w:style>
  <w:style w:type="paragraph" w:styleId="TOC3">
    <w:name w:val="toc 3"/>
    <w:basedOn w:val="Normal"/>
    <w:next w:val="Normal"/>
    <w:semiHidden/>
    <w:rsid w:val="00182A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2A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2A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2A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2A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2A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2A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2A56"/>
    <w:pPr>
      <w:tabs>
        <w:tab w:val="right" w:pos="9360"/>
      </w:tabs>
      <w:suppressAutoHyphens/>
    </w:pPr>
  </w:style>
  <w:style w:type="character" w:customStyle="1" w:styleId="EquationCaption">
    <w:name w:val="_Equation Caption"/>
    <w:rsid w:val="00182A56"/>
  </w:style>
  <w:style w:type="paragraph" w:styleId="Header">
    <w:name w:val="header"/>
    <w:basedOn w:val="Normal"/>
    <w:autoRedefine/>
    <w:rsid w:val="00182A56"/>
    <w:pPr>
      <w:tabs>
        <w:tab w:val="center" w:pos="4680"/>
        <w:tab w:val="right" w:pos="9360"/>
      </w:tabs>
    </w:pPr>
    <w:rPr>
      <w:b/>
    </w:rPr>
  </w:style>
  <w:style w:type="paragraph" w:styleId="Footer">
    <w:name w:val="footer"/>
    <w:basedOn w:val="Normal"/>
    <w:rsid w:val="00182A56"/>
    <w:pPr>
      <w:tabs>
        <w:tab w:val="center" w:pos="4320"/>
        <w:tab w:val="right" w:pos="8640"/>
      </w:tabs>
    </w:pPr>
  </w:style>
  <w:style w:type="character" w:styleId="PageNumber">
    <w:name w:val="page number"/>
    <w:basedOn w:val="DefaultParagraphFont"/>
    <w:rsid w:val="00182A56"/>
  </w:style>
  <w:style w:type="paragraph" w:styleId="BlockText">
    <w:name w:val="Block Text"/>
    <w:basedOn w:val="Normal"/>
    <w:rsid w:val="00182A56"/>
    <w:pPr>
      <w:spacing w:after="240"/>
      <w:ind w:left="1440" w:right="1440"/>
    </w:pPr>
  </w:style>
  <w:style w:type="paragraph" w:customStyle="1" w:styleId="Paratitle">
    <w:name w:val="Para title"/>
    <w:basedOn w:val="Normal"/>
    <w:rsid w:val="00182A56"/>
    <w:pPr>
      <w:tabs>
        <w:tab w:val="center" w:pos="9270"/>
      </w:tabs>
      <w:spacing w:after="240"/>
    </w:pPr>
    <w:rPr>
      <w:spacing w:val="-2"/>
    </w:rPr>
  </w:style>
  <w:style w:type="paragraph" w:customStyle="1" w:styleId="Bullet">
    <w:name w:val="Bullet"/>
    <w:basedOn w:val="Normal"/>
    <w:rsid w:val="00182A56"/>
    <w:pPr>
      <w:tabs>
        <w:tab w:val="left" w:pos="2160"/>
      </w:tabs>
      <w:spacing w:after="220"/>
      <w:ind w:left="2160" w:hanging="720"/>
    </w:pPr>
  </w:style>
  <w:style w:type="paragraph" w:customStyle="1" w:styleId="TableFormat">
    <w:name w:val="TableFormat"/>
    <w:basedOn w:val="Bullet"/>
    <w:rsid w:val="00182A56"/>
    <w:pPr>
      <w:tabs>
        <w:tab w:val="clear" w:pos="2160"/>
        <w:tab w:val="left" w:pos="5040"/>
      </w:tabs>
      <w:ind w:left="5040" w:hanging="3600"/>
    </w:pPr>
  </w:style>
  <w:style w:type="paragraph" w:customStyle="1" w:styleId="TOCTitle">
    <w:name w:val="TOC Title"/>
    <w:basedOn w:val="Normal"/>
    <w:rsid w:val="00182A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2A56"/>
    <w:pPr>
      <w:jc w:val="center"/>
    </w:pPr>
    <w:rPr>
      <w:rFonts w:ascii="Times New Roman Bold" w:hAnsi="Times New Roman Bold"/>
      <w:b/>
      <w:bCs/>
      <w:caps/>
      <w:szCs w:val="22"/>
    </w:rPr>
  </w:style>
  <w:style w:type="character" w:styleId="Hyperlink">
    <w:name w:val="Hyperlink"/>
    <w:rsid w:val="00182A56"/>
    <w:rPr>
      <w:color w:val="0000FF"/>
      <w:u w:val="singl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D97C23"/>
  </w:style>
  <w:style w:type="paragraph" w:styleId="Caption">
    <w:name w:val="caption"/>
    <w:basedOn w:val="Normal"/>
    <w:next w:val="Normal"/>
    <w:qFormat/>
    <w:rsid w:val="00477A27"/>
    <w:pPr>
      <w:spacing w:before="120" w:after="120"/>
    </w:pPr>
    <w:rPr>
      <w:b/>
    </w:rPr>
  </w:style>
  <w:style w:type="paragraph" w:customStyle="1" w:styleId="NumberedList">
    <w:name w:val="Numbered List"/>
    <w:basedOn w:val="Normal"/>
    <w:rsid w:val="00477A27"/>
    <w:pPr>
      <w:numPr>
        <w:numId w:val="8"/>
      </w:numPr>
      <w:tabs>
        <w:tab w:val="clear" w:pos="1080"/>
      </w:tabs>
      <w:spacing w:after="220"/>
      <w:ind w:firstLine="0"/>
    </w:pPr>
  </w:style>
  <w:style w:type="character" w:customStyle="1" w:styleId="ParaNumChar">
    <w:name w:val="ParaNum Char"/>
    <w:link w:val="ParaNum"/>
    <w:rsid w:val="00477A27"/>
    <w:rPr>
      <w:snapToGrid w:val="0"/>
      <w:kern w:val="28"/>
      <w:sz w:val="22"/>
    </w:rPr>
  </w:style>
  <w:style w:type="character" w:customStyle="1" w:styleId="pmterms21">
    <w:name w:val="pmterms21"/>
    <w:rsid w:val="003E5A74"/>
    <w:rPr>
      <w:b/>
      <w:bCs/>
      <w:i w:val="0"/>
      <w:iCs w:val="0"/>
      <w:color w:val="000000"/>
    </w:rPr>
  </w:style>
  <w:style w:type="paragraph" w:styleId="BalloonText">
    <w:name w:val="Balloon Text"/>
    <w:basedOn w:val="Normal"/>
    <w:semiHidden/>
    <w:rsid w:val="00870920"/>
    <w:rPr>
      <w:rFonts w:ascii="Tahoma" w:hAnsi="Tahoma" w:cs="Tahoma"/>
      <w:sz w:val="16"/>
      <w:szCs w:val="16"/>
    </w:rPr>
  </w:style>
  <w:style w:type="character" w:customStyle="1" w:styleId="coselection0active">
    <w:name w:val="co_selection_0 active"/>
    <w:basedOn w:val="DefaultParagraphFont"/>
    <w:rsid w:val="00EB7585"/>
  </w:style>
  <w:style w:type="paragraph" w:customStyle="1" w:styleId="FootnoteText1">
    <w:name w:val="Footnote Text1"/>
    <w:rsid w:val="00C23766"/>
    <w:rPr>
      <w:rFonts w:ascii="Helvetica" w:eastAsia="ヒラギノ角ゴ Pro W3" w:hAnsi="Helvetica"/>
      <w:color w:val="000000"/>
    </w:rPr>
  </w:style>
  <w:style w:type="character" w:customStyle="1" w:styleId="documentbody1">
    <w:name w:val="documentbody1"/>
    <w:rsid w:val="00C23766"/>
    <w:rPr>
      <w:rFonts w:ascii="Verdana" w:hAnsi="Verdana" w:hint="default"/>
      <w:sz w:val="19"/>
      <w:szCs w:val="19"/>
    </w:rPr>
  </w:style>
  <w:style w:type="paragraph" w:styleId="ListParagraph">
    <w:name w:val="List Paragraph"/>
    <w:basedOn w:val="Normal"/>
    <w:uiPriority w:val="34"/>
    <w:qFormat/>
    <w:rsid w:val="001410BA"/>
    <w:pPr>
      <w:ind w:left="720"/>
    </w:pPr>
  </w:style>
  <w:style w:type="character" w:styleId="CommentReference">
    <w:name w:val="annotation reference"/>
    <w:rsid w:val="00725130"/>
    <w:rPr>
      <w:sz w:val="16"/>
      <w:szCs w:val="16"/>
    </w:rPr>
  </w:style>
  <w:style w:type="paragraph" w:styleId="CommentText">
    <w:name w:val="annotation text"/>
    <w:basedOn w:val="Normal"/>
    <w:link w:val="CommentTextChar"/>
    <w:rsid w:val="00725130"/>
    <w:rPr>
      <w:sz w:val="20"/>
    </w:rPr>
  </w:style>
  <w:style w:type="character" w:customStyle="1" w:styleId="CommentTextChar">
    <w:name w:val="Comment Text Char"/>
    <w:link w:val="CommentText"/>
    <w:rsid w:val="00725130"/>
    <w:rPr>
      <w:snapToGrid w:val="0"/>
      <w:kern w:val="28"/>
    </w:rPr>
  </w:style>
  <w:style w:type="paragraph" w:styleId="CommentSubject">
    <w:name w:val="annotation subject"/>
    <w:basedOn w:val="CommentText"/>
    <w:next w:val="CommentText"/>
    <w:link w:val="CommentSubjectChar"/>
    <w:rsid w:val="00725130"/>
    <w:rPr>
      <w:b/>
      <w:bCs/>
    </w:rPr>
  </w:style>
  <w:style w:type="character" w:customStyle="1" w:styleId="CommentSubjectChar">
    <w:name w:val="Comment Subject Char"/>
    <w:link w:val="CommentSubject"/>
    <w:rsid w:val="0072513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A56"/>
    <w:pPr>
      <w:widowControl w:val="0"/>
    </w:pPr>
    <w:rPr>
      <w:snapToGrid w:val="0"/>
      <w:kern w:val="28"/>
      <w:sz w:val="22"/>
    </w:rPr>
  </w:style>
  <w:style w:type="paragraph" w:styleId="Heading1">
    <w:name w:val="heading 1"/>
    <w:basedOn w:val="Normal"/>
    <w:next w:val="ParaNum"/>
    <w:qFormat/>
    <w:rsid w:val="00182A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82A56"/>
    <w:pPr>
      <w:keepNext/>
      <w:numPr>
        <w:ilvl w:val="1"/>
        <w:numId w:val="3"/>
      </w:numPr>
      <w:spacing w:after="120"/>
      <w:outlineLvl w:val="1"/>
    </w:pPr>
    <w:rPr>
      <w:b/>
    </w:rPr>
  </w:style>
  <w:style w:type="paragraph" w:styleId="Heading3">
    <w:name w:val="heading 3"/>
    <w:basedOn w:val="Normal"/>
    <w:next w:val="ParaNum"/>
    <w:qFormat/>
    <w:rsid w:val="00182A56"/>
    <w:pPr>
      <w:keepNext/>
      <w:numPr>
        <w:ilvl w:val="2"/>
        <w:numId w:val="3"/>
      </w:numPr>
      <w:tabs>
        <w:tab w:val="left" w:pos="2160"/>
      </w:tabs>
      <w:spacing w:after="120"/>
      <w:outlineLvl w:val="2"/>
    </w:pPr>
    <w:rPr>
      <w:b/>
    </w:rPr>
  </w:style>
  <w:style w:type="paragraph" w:styleId="Heading4">
    <w:name w:val="heading 4"/>
    <w:basedOn w:val="Normal"/>
    <w:next w:val="ParaNum"/>
    <w:qFormat/>
    <w:rsid w:val="00182A56"/>
    <w:pPr>
      <w:keepNext/>
      <w:numPr>
        <w:ilvl w:val="3"/>
        <w:numId w:val="3"/>
      </w:numPr>
      <w:tabs>
        <w:tab w:val="left" w:pos="2880"/>
      </w:tabs>
      <w:spacing w:after="120"/>
      <w:outlineLvl w:val="3"/>
    </w:pPr>
    <w:rPr>
      <w:b/>
    </w:rPr>
  </w:style>
  <w:style w:type="paragraph" w:styleId="Heading5">
    <w:name w:val="heading 5"/>
    <w:basedOn w:val="Normal"/>
    <w:next w:val="ParaNum"/>
    <w:qFormat/>
    <w:rsid w:val="00182A5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82A56"/>
    <w:pPr>
      <w:numPr>
        <w:ilvl w:val="5"/>
        <w:numId w:val="3"/>
      </w:numPr>
      <w:tabs>
        <w:tab w:val="left" w:pos="4320"/>
      </w:tabs>
      <w:spacing w:after="120"/>
      <w:outlineLvl w:val="5"/>
    </w:pPr>
    <w:rPr>
      <w:b/>
    </w:rPr>
  </w:style>
  <w:style w:type="paragraph" w:styleId="Heading7">
    <w:name w:val="heading 7"/>
    <w:basedOn w:val="Normal"/>
    <w:next w:val="ParaNum"/>
    <w:qFormat/>
    <w:rsid w:val="00182A5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2A5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82A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2A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A56"/>
  </w:style>
  <w:style w:type="paragraph" w:customStyle="1" w:styleId="ParaNum">
    <w:name w:val="ParaNum"/>
    <w:basedOn w:val="Normal"/>
    <w:link w:val="ParaNumChar"/>
    <w:rsid w:val="00182A56"/>
    <w:pPr>
      <w:numPr>
        <w:numId w:val="2"/>
      </w:numPr>
      <w:tabs>
        <w:tab w:val="clear" w:pos="1080"/>
        <w:tab w:val="num" w:pos="1440"/>
      </w:tabs>
      <w:spacing w:after="120"/>
    </w:pPr>
  </w:style>
  <w:style w:type="paragraph" w:styleId="EndnoteText">
    <w:name w:val="endnote text"/>
    <w:basedOn w:val="Normal"/>
    <w:semiHidden/>
    <w:rsid w:val="00182A56"/>
    <w:rPr>
      <w:sz w:val="20"/>
    </w:rPr>
  </w:style>
  <w:style w:type="character" w:styleId="EndnoteReference">
    <w:name w:val="endnote reference"/>
    <w:semiHidden/>
    <w:rsid w:val="00182A56"/>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182A56"/>
    <w:pPr>
      <w:spacing w:after="120"/>
    </w:pPr>
  </w:style>
  <w:style w:type="character" w:styleId="FootnoteReference">
    <w:name w:val="footnote reference"/>
    <w:aliases w:val="Appel note de bas de p"/>
    <w:rsid w:val="00182A56"/>
    <w:rPr>
      <w:rFonts w:ascii="Times New Roman" w:hAnsi="Times New Roman"/>
      <w:dstrike w:val="0"/>
      <w:color w:val="auto"/>
      <w:sz w:val="20"/>
      <w:vertAlign w:val="superscript"/>
    </w:rPr>
  </w:style>
  <w:style w:type="paragraph" w:styleId="TOC1">
    <w:name w:val="toc 1"/>
    <w:basedOn w:val="Normal"/>
    <w:next w:val="Normal"/>
    <w:semiHidden/>
    <w:rsid w:val="00182A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2A56"/>
    <w:pPr>
      <w:tabs>
        <w:tab w:val="left" w:pos="720"/>
        <w:tab w:val="right" w:leader="dot" w:pos="9360"/>
      </w:tabs>
      <w:suppressAutoHyphens/>
      <w:ind w:left="720" w:right="720" w:hanging="360"/>
    </w:pPr>
    <w:rPr>
      <w:noProof/>
    </w:rPr>
  </w:style>
  <w:style w:type="paragraph" w:styleId="TOC3">
    <w:name w:val="toc 3"/>
    <w:basedOn w:val="Normal"/>
    <w:next w:val="Normal"/>
    <w:semiHidden/>
    <w:rsid w:val="00182A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2A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2A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2A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2A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2A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2A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2A56"/>
    <w:pPr>
      <w:tabs>
        <w:tab w:val="right" w:pos="9360"/>
      </w:tabs>
      <w:suppressAutoHyphens/>
    </w:pPr>
  </w:style>
  <w:style w:type="character" w:customStyle="1" w:styleId="EquationCaption">
    <w:name w:val="_Equation Caption"/>
    <w:rsid w:val="00182A56"/>
  </w:style>
  <w:style w:type="paragraph" w:styleId="Header">
    <w:name w:val="header"/>
    <w:basedOn w:val="Normal"/>
    <w:autoRedefine/>
    <w:rsid w:val="00182A56"/>
    <w:pPr>
      <w:tabs>
        <w:tab w:val="center" w:pos="4680"/>
        <w:tab w:val="right" w:pos="9360"/>
      </w:tabs>
    </w:pPr>
    <w:rPr>
      <w:b/>
    </w:rPr>
  </w:style>
  <w:style w:type="paragraph" w:styleId="Footer">
    <w:name w:val="footer"/>
    <w:basedOn w:val="Normal"/>
    <w:rsid w:val="00182A56"/>
    <w:pPr>
      <w:tabs>
        <w:tab w:val="center" w:pos="4320"/>
        <w:tab w:val="right" w:pos="8640"/>
      </w:tabs>
    </w:pPr>
  </w:style>
  <w:style w:type="character" w:styleId="PageNumber">
    <w:name w:val="page number"/>
    <w:basedOn w:val="DefaultParagraphFont"/>
    <w:rsid w:val="00182A56"/>
  </w:style>
  <w:style w:type="paragraph" w:styleId="BlockText">
    <w:name w:val="Block Text"/>
    <w:basedOn w:val="Normal"/>
    <w:rsid w:val="00182A56"/>
    <w:pPr>
      <w:spacing w:after="240"/>
      <w:ind w:left="1440" w:right="1440"/>
    </w:pPr>
  </w:style>
  <w:style w:type="paragraph" w:customStyle="1" w:styleId="Paratitle">
    <w:name w:val="Para title"/>
    <w:basedOn w:val="Normal"/>
    <w:rsid w:val="00182A56"/>
    <w:pPr>
      <w:tabs>
        <w:tab w:val="center" w:pos="9270"/>
      </w:tabs>
      <w:spacing w:after="240"/>
    </w:pPr>
    <w:rPr>
      <w:spacing w:val="-2"/>
    </w:rPr>
  </w:style>
  <w:style w:type="paragraph" w:customStyle="1" w:styleId="Bullet">
    <w:name w:val="Bullet"/>
    <w:basedOn w:val="Normal"/>
    <w:rsid w:val="00182A56"/>
    <w:pPr>
      <w:tabs>
        <w:tab w:val="left" w:pos="2160"/>
      </w:tabs>
      <w:spacing w:after="220"/>
      <w:ind w:left="2160" w:hanging="720"/>
    </w:pPr>
  </w:style>
  <w:style w:type="paragraph" w:customStyle="1" w:styleId="TableFormat">
    <w:name w:val="TableFormat"/>
    <w:basedOn w:val="Bullet"/>
    <w:rsid w:val="00182A56"/>
    <w:pPr>
      <w:tabs>
        <w:tab w:val="clear" w:pos="2160"/>
        <w:tab w:val="left" w:pos="5040"/>
      </w:tabs>
      <w:ind w:left="5040" w:hanging="3600"/>
    </w:pPr>
  </w:style>
  <w:style w:type="paragraph" w:customStyle="1" w:styleId="TOCTitle">
    <w:name w:val="TOC Title"/>
    <w:basedOn w:val="Normal"/>
    <w:rsid w:val="00182A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2A56"/>
    <w:pPr>
      <w:jc w:val="center"/>
    </w:pPr>
    <w:rPr>
      <w:rFonts w:ascii="Times New Roman Bold" w:hAnsi="Times New Roman Bold"/>
      <w:b/>
      <w:bCs/>
      <w:caps/>
      <w:szCs w:val="22"/>
    </w:rPr>
  </w:style>
  <w:style w:type="character" w:styleId="Hyperlink">
    <w:name w:val="Hyperlink"/>
    <w:rsid w:val="00182A56"/>
    <w:rPr>
      <w:color w:val="0000FF"/>
      <w:u w:val="singl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D97C23"/>
  </w:style>
  <w:style w:type="paragraph" w:styleId="Caption">
    <w:name w:val="caption"/>
    <w:basedOn w:val="Normal"/>
    <w:next w:val="Normal"/>
    <w:qFormat/>
    <w:rsid w:val="00477A27"/>
    <w:pPr>
      <w:spacing w:before="120" w:after="120"/>
    </w:pPr>
    <w:rPr>
      <w:b/>
    </w:rPr>
  </w:style>
  <w:style w:type="paragraph" w:customStyle="1" w:styleId="NumberedList">
    <w:name w:val="Numbered List"/>
    <w:basedOn w:val="Normal"/>
    <w:rsid w:val="00477A27"/>
    <w:pPr>
      <w:numPr>
        <w:numId w:val="8"/>
      </w:numPr>
      <w:tabs>
        <w:tab w:val="clear" w:pos="1080"/>
      </w:tabs>
      <w:spacing w:after="220"/>
      <w:ind w:firstLine="0"/>
    </w:pPr>
  </w:style>
  <w:style w:type="character" w:customStyle="1" w:styleId="ParaNumChar">
    <w:name w:val="ParaNum Char"/>
    <w:link w:val="ParaNum"/>
    <w:rsid w:val="00477A27"/>
    <w:rPr>
      <w:snapToGrid w:val="0"/>
      <w:kern w:val="28"/>
      <w:sz w:val="22"/>
    </w:rPr>
  </w:style>
  <w:style w:type="character" w:customStyle="1" w:styleId="pmterms21">
    <w:name w:val="pmterms21"/>
    <w:rsid w:val="003E5A74"/>
    <w:rPr>
      <w:b/>
      <w:bCs/>
      <w:i w:val="0"/>
      <w:iCs w:val="0"/>
      <w:color w:val="000000"/>
    </w:rPr>
  </w:style>
  <w:style w:type="paragraph" w:styleId="BalloonText">
    <w:name w:val="Balloon Text"/>
    <w:basedOn w:val="Normal"/>
    <w:semiHidden/>
    <w:rsid w:val="00870920"/>
    <w:rPr>
      <w:rFonts w:ascii="Tahoma" w:hAnsi="Tahoma" w:cs="Tahoma"/>
      <w:sz w:val="16"/>
      <w:szCs w:val="16"/>
    </w:rPr>
  </w:style>
  <w:style w:type="character" w:customStyle="1" w:styleId="coselection0active">
    <w:name w:val="co_selection_0 active"/>
    <w:basedOn w:val="DefaultParagraphFont"/>
    <w:rsid w:val="00EB7585"/>
  </w:style>
  <w:style w:type="paragraph" w:customStyle="1" w:styleId="FootnoteText1">
    <w:name w:val="Footnote Text1"/>
    <w:rsid w:val="00C23766"/>
    <w:rPr>
      <w:rFonts w:ascii="Helvetica" w:eastAsia="ヒラギノ角ゴ Pro W3" w:hAnsi="Helvetica"/>
      <w:color w:val="000000"/>
    </w:rPr>
  </w:style>
  <w:style w:type="character" w:customStyle="1" w:styleId="documentbody1">
    <w:name w:val="documentbody1"/>
    <w:rsid w:val="00C23766"/>
    <w:rPr>
      <w:rFonts w:ascii="Verdana" w:hAnsi="Verdana" w:hint="default"/>
      <w:sz w:val="19"/>
      <w:szCs w:val="19"/>
    </w:rPr>
  </w:style>
  <w:style w:type="paragraph" w:styleId="ListParagraph">
    <w:name w:val="List Paragraph"/>
    <w:basedOn w:val="Normal"/>
    <w:uiPriority w:val="34"/>
    <w:qFormat/>
    <w:rsid w:val="001410BA"/>
    <w:pPr>
      <w:ind w:left="720"/>
    </w:pPr>
  </w:style>
  <w:style w:type="character" w:styleId="CommentReference">
    <w:name w:val="annotation reference"/>
    <w:rsid w:val="00725130"/>
    <w:rPr>
      <w:sz w:val="16"/>
      <w:szCs w:val="16"/>
    </w:rPr>
  </w:style>
  <w:style w:type="paragraph" w:styleId="CommentText">
    <w:name w:val="annotation text"/>
    <w:basedOn w:val="Normal"/>
    <w:link w:val="CommentTextChar"/>
    <w:rsid w:val="00725130"/>
    <w:rPr>
      <w:sz w:val="20"/>
    </w:rPr>
  </w:style>
  <w:style w:type="character" w:customStyle="1" w:styleId="CommentTextChar">
    <w:name w:val="Comment Text Char"/>
    <w:link w:val="CommentText"/>
    <w:rsid w:val="00725130"/>
    <w:rPr>
      <w:snapToGrid w:val="0"/>
      <w:kern w:val="28"/>
    </w:rPr>
  </w:style>
  <w:style w:type="paragraph" w:styleId="CommentSubject">
    <w:name w:val="annotation subject"/>
    <w:basedOn w:val="CommentText"/>
    <w:next w:val="CommentText"/>
    <w:link w:val="CommentSubjectChar"/>
    <w:rsid w:val="00725130"/>
    <w:rPr>
      <w:b/>
      <w:bCs/>
    </w:rPr>
  </w:style>
  <w:style w:type="character" w:customStyle="1" w:styleId="CommentSubjectChar">
    <w:name w:val="Comment Subject Char"/>
    <w:link w:val="CommentSubject"/>
    <w:rsid w:val="0072513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1704">
      <w:bodyDiv w:val="1"/>
      <w:marLeft w:val="0"/>
      <w:marRight w:val="0"/>
      <w:marTop w:val="0"/>
      <w:marBottom w:val="0"/>
      <w:divBdr>
        <w:top w:val="none" w:sz="0" w:space="0" w:color="auto"/>
        <w:left w:val="none" w:sz="0" w:space="0" w:color="auto"/>
        <w:bottom w:val="none" w:sz="0" w:space="0" w:color="auto"/>
        <w:right w:val="none" w:sz="0" w:space="0" w:color="auto"/>
      </w:divBdr>
      <w:divsChild>
        <w:div w:id="474682443">
          <w:marLeft w:val="0"/>
          <w:marRight w:val="0"/>
          <w:marTop w:val="0"/>
          <w:marBottom w:val="0"/>
          <w:divBdr>
            <w:top w:val="none" w:sz="0" w:space="0" w:color="auto"/>
            <w:left w:val="none" w:sz="0" w:space="0" w:color="auto"/>
            <w:bottom w:val="none" w:sz="0" w:space="0" w:color="auto"/>
            <w:right w:val="none" w:sz="0" w:space="0" w:color="auto"/>
          </w:divBdr>
          <w:divsChild>
            <w:div w:id="14199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2735</Words>
  <Characters>14667</Characters>
  <Application>Microsoft Office Word</Application>
  <DocSecurity>0</DocSecurity>
  <Lines>216</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2015-03-18T16:30:00Z</cp:lastPrinted>
  <dcterms:created xsi:type="dcterms:W3CDTF">2015-04-09T20:40:00Z</dcterms:created>
  <dcterms:modified xsi:type="dcterms:W3CDTF">2015-04-09T20:40:00Z</dcterms:modified>
  <cp:category> </cp:category>
  <cp:contentStatus> </cp:contentStatus>
</cp:coreProperties>
</file>