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7E" w:rsidRPr="00AD358F" w:rsidRDefault="003F547E" w:rsidP="003F547E">
      <w:pPr>
        <w:jc w:val="center"/>
        <w:rPr>
          <w:b/>
          <w:caps/>
        </w:rPr>
      </w:pPr>
      <w:bookmarkStart w:id="0" w:name="_GoBack"/>
      <w:bookmarkEnd w:id="0"/>
      <w:r w:rsidRPr="00AD358F">
        <w:rPr>
          <w:b/>
          <w:caps/>
        </w:rPr>
        <w:t xml:space="preserve">Statement of </w:t>
      </w:r>
    </w:p>
    <w:p w:rsidR="003F547E" w:rsidRPr="00AD358F" w:rsidRDefault="003F547E" w:rsidP="003F547E">
      <w:pPr>
        <w:jc w:val="center"/>
        <w:rPr>
          <w:b/>
          <w:caps/>
        </w:rPr>
      </w:pPr>
      <w:r w:rsidRPr="00AD358F">
        <w:rPr>
          <w:b/>
          <w:caps/>
        </w:rPr>
        <w:t>Commissioner Michael O’Rielly</w:t>
      </w:r>
    </w:p>
    <w:p w:rsidR="003F547E" w:rsidRDefault="003F547E" w:rsidP="003F547E">
      <w:pPr>
        <w:ind w:left="720" w:hanging="720"/>
        <w:rPr>
          <w:i/>
          <w:szCs w:val="22"/>
        </w:rPr>
      </w:pPr>
    </w:p>
    <w:p w:rsidR="003F547E" w:rsidRPr="0037503B" w:rsidRDefault="003F547E" w:rsidP="003F547E">
      <w:pPr>
        <w:ind w:left="720" w:hanging="720"/>
        <w:rPr>
          <w:szCs w:val="22"/>
        </w:rPr>
      </w:pPr>
      <w:r w:rsidRPr="00F01821">
        <w:rPr>
          <w:szCs w:val="22"/>
        </w:rPr>
        <w:t>Re:</w:t>
      </w:r>
      <w:r w:rsidRPr="0037503B">
        <w:rPr>
          <w:i/>
          <w:szCs w:val="22"/>
        </w:rPr>
        <w:t xml:space="preserve"> </w:t>
      </w:r>
      <w:r w:rsidRPr="0037503B">
        <w:rPr>
          <w:i/>
          <w:szCs w:val="22"/>
        </w:rPr>
        <w:tab/>
        <w:t>Request for Further Comment on Issues Related to</w:t>
      </w:r>
      <w:r>
        <w:rPr>
          <w:i/>
          <w:szCs w:val="22"/>
        </w:rPr>
        <w:t xml:space="preserve"> Competitive Bidding Proceeding</w:t>
      </w:r>
      <w:r w:rsidRPr="00F01821">
        <w:rPr>
          <w:szCs w:val="22"/>
        </w:rPr>
        <w:t>;</w:t>
      </w:r>
      <w:r w:rsidRPr="0037503B">
        <w:rPr>
          <w:i/>
          <w:szCs w:val="22"/>
        </w:rPr>
        <w:t xml:space="preserve"> Updating Part 1 Competitive Bidding Rules</w:t>
      </w:r>
      <w:r w:rsidRPr="00F01821">
        <w:rPr>
          <w:szCs w:val="22"/>
        </w:rPr>
        <w:t>, WT Docket No. 14-170, GN Docket No. 12-268, RM-11395, WT Docket No. 05-211</w:t>
      </w:r>
      <w:r>
        <w:rPr>
          <w:szCs w:val="22"/>
        </w:rPr>
        <w:t>.</w:t>
      </w:r>
    </w:p>
    <w:p w:rsidR="003F547E" w:rsidRPr="0037503B" w:rsidRDefault="003F547E" w:rsidP="003F547E">
      <w:pPr>
        <w:rPr>
          <w:szCs w:val="22"/>
        </w:rPr>
      </w:pPr>
    </w:p>
    <w:p w:rsidR="003F547E" w:rsidRPr="0037503B" w:rsidRDefault="003F547E" w:rsidP="003F547E">
      <w:pPr>
        <w:pStyle w:val="Body"/>
        <w:widowControl w:val="0"/>
        <w:spacing w:after="120"/>
        <w:ind w:firstLine="720"/>
        <w:rPr>
          <w:rFonts w:ascii="Times New Roman" w:hAnsi="Times New Roman" w:cs="Times New Roman"/>
        </w:rPr>
      </w:pPr>
      <w:r>
        <w:rPr>
          <w:rFonts w:ascii="Times New Roman" w:hAnsi="Times New Roman" w:cs="Times New Roman"/>
        </w:rPr>
        <w:t>Today’</w:t>
      </w:r>
      <w:r w:rsidRPr="0037503B">
        <w:rPr>
          <w:rFonts w:ascii="Times New Roman" w:hAnsi="Times New Roman" w:cs="Times New Roman"/>
        </w:rPr>
        <w:t>s public notice seeks further comment on issues raised in response to the October NPRM proposing certain changes to our designated entity (DE) and competitive bidding rules.  In reality, the Commission is seeking additional information because of the outrage that occurred after the announcement of the AWS-3 results.  This auction put a spotlight on the questionable uses of</w:t>
      </w:r>
      <w:r>
        <w:rPr>
          <w:rFonts w:ascii="Times New Roman" w:hAnsi="Times New Roman" w:cs="Times New Roman"/>
        </w:rPr>
        <w:t xml:space="preserve"> the FCC’</w:t>
      </w:r>
      <w:r w:rsidRPr="0037503B">
        <w:rPr>
          <w:rFonts w:ascii="Times New Roman" w:hAnsi="Times New Roman" w:cs="Times New Roman"/>
        </w:rPr>
        <w:t>s designated entity program.  And, although the Commission is taking the first steps to consider rule deficiencies, this does not substitute for the distinct and tho</w:t>
      </w:r>
      <w:r>
        <w:rPr>
          <w:rFonts w:ascii="Times New Roman" w:hAnsi="Times New Roman" w:cs="Times New Roman"/>
        </w:rPr>
        <w:t>ro</w:t>
      </w:r>
      <w:r w:rsidRPr="0037503B">
        <w:rPr>
          <w:rFonts w:ascii="Times New Roman" w:hAnsi="Times New Roman" w:cs="Times New Roman"/>
        </w:rPr>
        <w:t xml:space="preserve">ugh review of the AWS-3 designated entity applications, which must occur to ensure that </w:t>
      </w:r>
      <w:r>
        <w:rPr>
          <w:rFonts w:ascii="Times New Roman" w:hAnsi="Times New Roman" w:cs="Times New Roman"/>
        </w:rPr>
        <w:t xml:space="preserve">the </w:t>
      </w:r>
      <w:r w:rsidRPr="0037503B">
        <w:rPr>
          <w:rFonts w:ascii="Times New Roman" w:hAnsi="Times New Roman" w:cs="Times New Roman"/>
        </w:rPr>
        <w:t xml:space="preserve">entities receiving government subsidies are in compliance with our rules. </w:t>
      </w:r>
    </w:p>
    <w:p w:rsidR="003F547E" w:rsidRPr="0037503B" w:rsidRDefault="003F547E" w:rsidP="003F547E">
      <w:pPr>
        <w:pStyle w:val="Body"/>
        <w:widowControl w:val="0"/>
        <w:spacing w:after="120"/>
        <w:ind w:firstLine="720"/>
        <w:rPr>
          <w:rFonts w:ascii="Times New Roman" w:hAnsi="Times New Roman" w:cs="Times New Roman"/>
        </w:rPr>
      </w:pPr>
      <w:r w:rsidRPr="0037503B">
        <w:rPr>
          <w:rFonts w:ascii="Times New Roman" w:hAnsi="Times New Roman" w:cs="Times New Roman"/>
        </w:rPr>
        <w:t xml:space="preserve">By way of background, I dissented to the vast majority of the NPRM because the proposals to eliminate </w:t>
      </w:r>
      <w:r>
        <w:rPr>
          <w:rFonts w:ascii="Times New Roman" w:hAnsi="Times New Roman" w:cs="Times New Roman"/>
        </w:rPr>
        <w:t xml:space="preserve">both the </w:t>
      </w:r>
      <w:r w:rsidRPr="0037503B">
        <w:rPr>
          <w:rFonts w:ascii="Times New Roman" w:hAnsi="Times New Roman" w:cs="Times New Roman"/>
        </w:rPr>
        <w:t xml:space="preserve">DE leasing restrictions contained in the Attributable Material Relationship (AMR) rule and the facilities-based requirement are contrary to Congressional intent as expressed in the law.  Additionally, </w:t>
      </w:r>
      <w:r>
        <w:rPr>
          <w:rFonts w:ascii="Times New Roman" w:hAnsi="Times New Roman" w:cs="Times New Roman"/>
        </w:rPr>
        <w:t xml:space="preserve">I have warned that </w:t>
      </w:r>
      <w:r w:rsidRPr="0037503B">
        <w:rPr>
          <w:rFonts w:ascii="Times New Roman" w:hAnsi="Times New Roman" w:cs="Times New Roman"/>
        </w:rPr>
        <w:t xml:space="preserve">weakening the designated entity rules is likely to increase the abuses that have plagued this program in the past, such as </w:t>
      </w:r>
      <w:r>
        <w:rPr>
          <w:rFonts w:ascii="Times New Roman" w:hAnsi="Times New Roman" w:cs="Times New Roman"/>
        </w:rPr>
        <w:t>allowing “small businesses”</w:t>
      </w:r>
      <w:r w:rsidRPr="0037503B">
        <w:rPr>
          <w:rFonts w:ascii="Times New Roman" w:hAnsi="Times New Roman" w:cs="Times New Roman"/>
        </w:rPr>
        <w:t xml:space="preserve"> to acquire spectrum at a discount that is subsequently </w:t>
      </w:r>
      <w:r>
        <w:rPr>
          <w:rFonts w:ascii="Times New Roman" w:hAnsi="Times New Roman" w:cs="Times New Roman"/>
        </w:rPr>
        <w:t>“</w:t>
      </w:r>
      <w:r w:rsidRPr="0037503B">
        <w:rPr>
          <w:rFonts w:ascii="Times New Roman" w:hAnsi="Times New Roman" w:cs="Times New Roman"/>
        </w:rPr>
        <w:t>flip</w:t>
      </w:r>
      <w:r>
        <w:rPr>
          <w:rFonts w:ascii="Times New Roman" w:hAnsi="Times New Roman" w:cs="Times New Roman"/>
        </w:rPr>
        <w:t>ped”</w:t>
      </w:r>
      <w:r w:rsidRPr="0037503B">
        <w:rPr>
          <w:rFonts w:ascii="Times New Roman" w:hAnsi="Times New Roman" w:cs="Times New Roman"/>
        </w:rPr>
        <w:t xml:space="preserve"> to larger providers, including to the</w:t>
      </w:r>
      <w:r>
        <w:rPr>
          <w:rFonts w:ascii="Times New Roman" w:hAnsi="Times New Roman" w:cs="Times New Roman"/>
        </w:rPr>
        <w:t xml:space="preserve"> DE’s own</w:t>
      </w:r>
      <w:r w:rsidRPr="0037503B">
        <w:rPr>
          <w:rFonts w:ascii="Times New Roman" w:hAnsi="Times New Roman" w:cs="Times New Roman"/>
        </w:rPr>
        <w:t xml:space="preserve"> passive investors, for substantial profit.  </w:t>
      </w:r>
      <w:r>
        <w:rPr>
          <w:rFonts w:ascii="Times New Roman" w:hAnsi="Times New Roman" w:cs="Times New Roman"/>
        </w:rPr>
        <w:t>I also cautioned that</w:t>
      </w:r>
      <w:r w:rsidRPr="0037503B">
        <w:rPr>
          <w:rFonts w:ascii="Times New Roman" w:hAnsi="Times New Roman" w:cs="Times New Roman"/>
        </w:rPr>
        <w:t xml:space="preserve"> these proposals </w:t>
      </w:r>
      <w:r>
        <w:rPr>
          <w:rFonts w:ascii="Times New Roman" w:hAnsi="Times New Roman" w:cs="Times New Roman"/>
        </w:rPr>
        <w:t>would allow</w:t>
      </w:r>
      <w:r w:rsidRPr="0037503B">
        <w:rPr>
          <w:rFonts w:ascii="Times New Roman" w:hAnsi="Times New Roman" w:cs="Times New Roman"/>
        </w:rPr>
        <w:t xml:space="preserve"> a DE to lease </w:t>
      </w:r>
      <w:r>
        <w:rPr>
          <w:rFonts w:ascii="Times New Roman" w:hAnsi="Times New Roman" w:cs="Times New Roman"/>
        </w:rPr>
        <w:t>all</w:t>
      </w:r>
      <w:r w:rsidRPr="0037503B">
        <w:rPr>
          <w:rFonts w:ascii="Times New Roman" w:hAnsi="Times New Roman" w:cs="Times New Roman"/>
        </w:rPr>
        <w:t xml:space="preserve"> of its spectrum holdings and pocket the money without ever </w:t>
      </w:r>
      <w:r>
        <w:rPr>
          <w:rFonts w:ascii="Times New Roman" w:hAnsi="Times New Roman" w:cs="Times New Roman"/>
        </w:rPr>
        <w:t>offer</w:t>
      </w:r>
      <w:r w:rsidRPr="0037503B">
        <w:rPr>
          <w:rFonts w:ascii="Times New Roman" w:hAnsi="Times New Roman" w:cs="Times New Roman"/>
        </w:rPr>
        <w:t xml:space="preserve">ing service to the public.  I raised similar concerns in my dissent to a July waiver of these rules adopted prior to the recent AWS-3 auction.  </w:t>
      </w:r>
    </w:p>
    <w:p w:rsidR="003F547E" w:rsidRPr="0037503B" w:rsidRDefault="003F547E" w:rsidP="003F547E">
      <w:pPr>
        <w:pStyle w:val="Body"/>
        <w:widowControl w:val="0"/>
        <w:spacing w:after="120"/>
        <w:ind w:firstLine="720"/>
        <w:rPr>
          <w:rFonts w:ascii="Times New Roman" w:hAnsi="Times New Roman" w:cs="Times New Roman"/>
        </w:rPr>
      </w:pPr>
      <w:r w:rsidRPr="0037503B">
        <w:rPr>
          <w:rFonts w:ascii="Times New Roman" w:hAnsi="Times New Roman" w:cs="Times New Roman"/>
        </w:rPr>
        <w:t xml:space="preserve">Although I remain vehemently opposed to the proposals in the underlying NPRM, I support this public notice because it approaches the issue in a more holistic and well-rounded way in order to review the entirety of the designated entity program.  All sides of the debate are presented and </w:t>
      </w:r>
      <w:r>
        <w:rPr>
          <w:rFonts w:ascii="Times New Roman" w:hAnsi="Times New Roman" w:cs="Times New Roman"/>
        </w:rPr>
        <w:t xml:space="preserve">additional </w:t>
      </w:r>
      <w:r w:rsidRPr="0037503B">
        <w:rPr>
          <w:rFonts w:ascii="Times New Roman" w:hAnsi="Times New Roman" w:cs="Times New Roman"/>
        </w:rPr>
        <w:t xml:space="preserve">questions asked so that we can get a fulsome record upon which to base future decisions.  But, my overall view will not alter; I will not support any changes that could increase the likelihood that ineligible entities get spectrum discounts or </w:t>
      </w:r>
      <w:r>
        <w:rPr>
          <w:rFonts w:ascii="Times New Roman" w:hAnsi="Times New Roman" w:cs="Times New Roman"/>
        </w:rPr>
        <w:t xml:space="preserve">that the program is </w:t>
      </w:r>
      <w:r w:rsidRPr="0037503B">
        <w:rPr>
          <w:rFonts w:ascii="Times New Roman" w:hAnsi="Times New Roman" w:cs="Times New Roman"/>
        </w:rPr>
        <w:t>used in an inappropriate way.</w:t>
      </w:r>
    </w:p>
    <w:p w:rsidR="003F547E" w:rsidRPr="0037503B" w:rsidRDefault="003F547E" w:rsidP="003F547E">
      <w:pPr>
        <w:pStyle w:val="Body"/>
        <w:widowControl w:val="0"/>
        <w:spacing w:after="120"/>
        <w:ind w:firstLine="720"/>
        <w:rPr>
          <w:rFonts w:ascii="Times New Roman" w:hAnsi="Times New Roman" w:cs="Times New Roman"/>
        </w:rPr>
      </w:pPr>
      <w:r w:rsidRPr="0037503B">
        <w:rPr>
          <w:rFonts w:ascii="Times New Roman" w:hAnsi="Times New Roman" w:cs="Times New Roman"/>
        </w:rPr>
        <w:t xml:space="preserve">Specifically, I am relatively pleased that not only does the PN seek comment about maintaining the facilities-based requirement for DEs and retaining restrictions on leasing, but it also expands the inquiry to ask important questions about the controlling interest and unjust enrichment rules.  I asked for such a review in October, so this is a welcome line of inquiry.  These current regulations date back to the Clinton administration and, although they were modified in 2006 in an attempt to deter program abuse, many of the rules, except for the AMR rule, were overturned on procedural grounds.  After this court decision, the Commission did not take any action to reinstate these preventative measures.  We will never know whether those </w:t>
      </w:r>
      <w:r>
        <w:rPr>
          <w:rFonts w:ascii="Times New Roman" w:hAnsi="Times New Roman" w:cs="Times New Roman"/>
        </w:rPr>
        <w:t xml:space="preserve">common sense </w:t>
      </w:r>
      <w:r w:rsidRPr="0037503B">
        <w:rPr>
          <w:rFonts w:ascii="Times New Roman" w:hAnsi="Times New Roman" w:cs="Times New Roman"/>
        </w:rPr>
        <w:t xml:space="preserve">policies, such as the stricter unjust enrichment rules, would have prevented future DE controversies. </w:t>
      </w:r>
    </w:p>
    <w:p w:rsidR="003F547E" w:rsidRPr="0037503B" w:rsidRDefault="003F547E" w:rsidP="003F547E">
      <w:pPr>
        <w:pStyle w:val="Body"/>
        <w:widowControl w:val="0"/>
        <w:spacing w:after="120"/>
        <w:ind w:firstLine="720"/>
        <w:rPr>
          <w:rFonts w:ascii="Times New Roman" w:hAnsi="Times New Roman" w:cs="Times New Roman"/>
        </w:rPr>
      </w:pPr>
      <w:r w:rsidRPr="0037503B">
        <w:rPr>
          <w:rFonts w:ascii="Times New Roman" w:hAnsi="Times New Roman" w:cs="Times New Roman"/>
        </w:rPr>
        <w:t xml:space="preserve">Overall, I see value in the Commission taking this opportunity to evaluate the success or failure of the DE program since 2000.  The Commission would be wise to study the results auction by auction, </w:t>
      </w:r>
      <w:r>
        <w:rPr>
          <w:rFonts w:ascii="Times New Roman" w:hAnsi="Times New Roman" w:cs="Times New Roman"/>
        </w:rPr>
        <w:t>identify</w:t>
      </w:r>
      <w:r w:rsidRPr="0037503B">
        <w:rPr>
          <w:rFonts w:ascii="Times New Roman" w:hAnsi="Times New Roman" w:cs="Times New Roman"/>
        </w:rPr>
        <w:t xml:space="preserve"> which entities won licenses with small business benefits, determine the current holder of these licenses, establish whether </w:t>
      </w:r>
      <w:r>
        <w:rPr>
          <w:rFonts w:ascii="Times New Roman" w:hAnsi="Times New Roman" w:cs="Times New Roman"/>
        </w:rPr>
        <w:t xml:space="preserve">or not </w:t>
      </w:r>
      <w:r w:rsidRPr="0037503B">
        <w:rPr>
          <w:rFonts w:ascii="Times New Roman" w:hAnsi="Times New Roman" w:cs="Times New Roman"/>
        </w:rPr>
        <w:t>these licenses remain</w:t>
      </w:r>
      <w:r>
        <w:rPr>
          <w:rFonts w:ascii="Times New Roman" w:hAnsi="Times New Roman" w:cs="Times New Roman"/>
        </w:rPr>
        <w:t xml:space="preserve"> in </w:t>
      </w:r>
      <w:r w:rsidRPr="0037503B">
        <w:rPr>
          <w:rFonts w:ascii="Times New Roman" w:hAnsi="Times New Roman" w:cs="Times New Roman"/>
        </w:rPr>
        <w:t>the hands of small businesses, investigate whether licenses were transferred to passive investors or other large companies, and the amount of unjust enrichment paid</w:t>
      </w:r>
      <w:r>
        <w:rPr>
          <w:rFonts w:ascii="Times New Roman" w:hAnsi="Times New Roman" w:cs="Times New Roman"/>
        </w:rPr>
        <w:t>, if any,</w:t>
      </w:r>
      <w:r w:rsidRPr="0037503B">
        <w:rPr>
          <w:rFonts w:ascii="Times New Roman" w:hAnsi="Times New Roman" w:cs="Times New Roman"/>
        </w:rPr>
        <w:t xml:space="preserve"> and revenues lost to the American taxpayer.  In sum, a designated entity audit</w:t>
      </w:r>
      <w:r>
        <w:rPr>
          <w:rFonts w:ascii="Times New Roman" w:hAnsi="Times New Roman" w:cs="Times New Roman"/>
        </w:rPr>
        <w:t>, which is allowed for under our rules but to my knowledge has never been done,</w:t>
      </w:r>
      <w:r w:rsidRPr="0037503B">
        <w:rPr>
          <w:rFonts w:ascii="Times New Roman" w:hAnsi="Times New Roman" w:cs="Times New Roman"/>
        </w:rPr>
        <w:t xml:space="preserve"> </w:t>
      </w:r>
      <w:r>
        <w:rPr>
          <w:rFonts w:ascii="Times New Roman" w:hAnsi="Times New Roman" w:cs="Times New Roman"/>
        </w:rPr>
        <w:t>may be appropriate</w:t>
      </w:r>
      <w:r w:rsidRPr="0037503B">
        <w:rPr>
          <w:rFonts w:ascii="Times New Roman" w:hAnsi="Times New Roman" w:cs="Times New Roman"/>
        </w:rPr>
        <w:t xml:space="preserve">.  </w:t>
      </w:r>
    </w:p>
    <w:p w:rsidR="003F547E" w:rsidRPr="0037503B" w:rsidRDefault="003F547E" w:rsidP="003F547E">
      <w:pPr>
        <w:pStyle w:val="Body"/>
        <w:widowControl w:val="0"/>
        <w:spacing w:after="120"/>
        <w:ind w:firstLine="720"/>
        <w:rPr>
          <w:rFonts w:ascii="Times New Roman" w:hAnsi="Times New Roman" w:cs="Times New Roman"/>
        </w:rPr>
      </w:pPr>
      <w:r w:rsidRPr="0037503B">
        <w:rPr>
          <w:rFonts w:ascii="Times New Roman" w:hAnsi="Times New Roman" w:cs="Times New Roman"/>
        </w:rPr>
        <w:t xml:space="preserve">In the meantime, I </w:t>
      </w:r>
      <w:r>
        <w:rPr>
          <w:rFonts w:ascii="Times New Roman" w:hAnsi="Times New Roman" w:cs="Times New Roman"/>
        </w:rPr>
        <w:t>would be hesitant</w:t>
      </w:r>
      <w:r w:rsidRPr="0037503B">
        <w:rPr>
          <w:rFonts w:ascii="Times New Roman" w:hAnsi="Times New Roman" w:cs="Times New Roman"/>
        </w:rPr>
        <w:t xml:space="preserve"> to support an</w:t>
      </w:r>
      <w:r>
        <w:rPr>
          <w:rFonts w:ascii="Times New Roman" w:hAnsi="Times New Roman" w:cs="Times New Roman"/>
        </w:rPr>
        <w:t xml:space="preserve"> </w:t>
      </w:r>
      <w:r w:rsidRPr="0037503B">
        <w:rPr>
          <w:rFonts w:ascii="Times New Roman" w:hAnsi="Times New Roman" w:cs="Times New Roman"/>
        </w:rPr>
        <w:t>increase in revenue thresholds</w:t>
      </w:r>
      <w:r>
        <w:rPr>
          <w:rFonts w:ascii="Times New Roman" w:hAnsi="Times New Roman" w:cs="Times New Roman"/>
        </w:rPr>
        <w:t xml:space="preserve"> and</w:t>
      </w:r>
      <w:r w:rsidRPr="0037503B">
        <w:rPr>
          <w:rFonts w:ascii="Times New Roman" w:hAnsi="Times New Roman" w:cs="Times New Roman"/>
        </w:rPr>
        <w:t xml:space="preserve"> bidding credit percentages, or </w:t>
      </w:r>
      <w:r>
        <w:rPr>
          <w:rFonts w:ascii="Times New Roman" w:hAnsi="Times New Roman" w:cs="Times New Roman"/>
        </w:rPr>
        <w:t xml:space="preserve">to </w:t>
      </w:r>
      <w:r w:rsidRPr="0037503B">
        <w:rPr>
          <w:rFonts w:ascii="Times New Roman" w:hAnsi="Times New Roman" w:cs="Times New Roman"/>
        </w:rPr>
        <w:t>consider adopting new categories of designated entities</w:t>
      </w:r>
      <w:r>
        <w:rPr>
          <w:rFonts w:ascii="Times New Roman" w:hAnsi="Times New Roman" w:cs="Times New Roman"/>
        </w:rPr>
        <w:t xml:space="preserve"> given the recent controversies</w:t>
      </w:r>
      <w:r w:rsidRPr="0037503B">
        <w:rPr>
          <w:rFonts w:ascii="Times New Roman" w:hAnsi="Times New Roman" w:cs="Times New Roman"/>
        </w:rPr>
        <w:t>.</w:t>
      </w:r>
      <w:r>
        <w:rPr>
          <w:rFonts w:ascii="Times New Roman" w:hAnsi="Times New Roman" w:cs="Times New Roman"/>
        </w:rPr>
        <w:t xml:space="preserve"> </w:t>
      </w:r>
      <w:r w:rsidRPr="0037503B">
        <w:rPr>
          <w:rFonts w:ascii="Times New Roman" w:hAnsi="Times New Roman" w:cs="Times New Roman"/>
        </w:rPr>
        <w:t xml:space="preserve"> The Commission certainly should not </w:t>
      </w:r>
      <w:r>
        <w:rPr>
          <w:rFonts w:ascii="Times New Roman" w:hAnsi="Times New Roman" w:cs="Times New Roman"/>
        </w:rPr>
        <w:t>create</w:t>
      </w:r>
      <w:r w:rsidRPr="0037503B">
        <w:rPr>
          <w:rFonts w:ascii="Times New Roman" w:hAnsi="Times New Roman" w:cs="Times New Roman"/>
        </w:rPr>
        <w:t xml:space="preserve"> circumstances that would allow </w:t>
      </w:r>
      <w:r>
        <w:rPr>
          <w:rFonts w:ascii="Times New Roman" w:hAnsi="Times New Roman" w:cs="Times New Roman"/>
        </w:rPr>
        <w:t>for cumulative</w:t>
      </w:r>
      <w:r w:rsidRPr="0037503B">
        <w:rPr>
          <w:rFonts w:ascii="Times New Roman" w:hAnsi="Times New Roman" w:cs="Times New Roman"/>
        </w:rPr>
        <w:t xml:space="preserve"> bidding credits, especially exceeding an unfathomable</w:t>
      </w:r>
      <w:r>
        <w:rPr>
          <w:rFonts w:ascii="Times New Roman" w:hAnsi="Times New Roman" w:cs="Times New Roman"/>
        </w:rPr>
        <w:t xml:space="preserve"> </w:t>
      </w:r>
      <w:r w:rsidRPr="0037503B">
        <w:rPr>
          <w:rFonts w:ascii="Times New Roman" w:hAnsi="Times New Roman" w:cs="Times New Roman"/>
        </w:rPr>
        <w:t>50 percent of the gross bid.</w:t>
      </w:r>
    </w:p>
    <w:p w:rsidR="003F547E" w:rsidRDefault="003F547E" w:rsidP="003F547E">
      <w:pPr>
        <w:pStyle w:val="Body"/>
        <w:widowControl w:val="0"/>
        <w:spacing w:after="120"/>
        <w:ind w:firstLine="720"/>
        <w:rPr>
          <w:rFonts w:ascii="Times New Roman" w:hAnsi="Times New Roman" w:cs="Times New Roman"/>
        </w:rPr>
      </w:pPr>
      <w:r w:rsidRPr="0037503B">
        <w:rPr>
          <w:rFonts w:ascii="Times New Roman" w:hAnsi="Times New Roman" w:cs="Times New Roman"/>
        </w:rPr>
        <w:lastRenderedPageBreak/>
        <w:t xml:space="preserve">Further, I support </w:t>
      </w:r>
      <w:r>
        <w:rPr>
          <w:rFonts w:ascii="Times New Roman" w:hAnsi="Times New Roman" w:cs="Times New Roman"/>
        </w:rPr>
        <w:t>expanding our inquiry into whether we should codify Commission precedent prohibiting commonly controlled entities from participating in the same auction to also include those entities with</w:t>
      </w:r>
      <w:r w:rsidRPr="0037503B">
        <w:rPr>
          <w:rFonts w:ascii="Times New Roman" w:hAnsi="Times New Roman" w:cs="Times New Roman"/>
        </w:rPr>
        <w:t xml:space="preserve"> common ownership</w:t>
      </w:r>
      <w:r>
        <w:rPr>
          <w:rFonts w:ascii="Times New Roman" w:hAnsi="Times New Roman" w:cs="Times New Roman"/>
        </w:rPr>
        <w:t>.</w:t>
      </w:r>
      <w:r w:rsidRPr="0037503B">
        <w:rPr>
          <w:rFonts w:ascii="Times New Roman" w:hAnsi="Times New Roman" w:cs="Times New Roman"/>
        </w:rPr>
        <w:t xml:space="preserve"> </w:t>
      </w:r>
      <w:r>
        <w:rPr>
          <w:rFonts w:ascii="Times New Roman" w:hAnsi="Times New Roman" w:cs="Times New Roman"/>
        </w:rPr>
        <w:t xml:space="preserve"> We also need to seriously consider</w:t>
      </w:r>
      <w:r w:rsidRPr="0037503B">
        <w:rPr>
          <w:rFonts w:ascii="Times New Roman" w:hAnsi="Times New Roman" w:cs="Times New Roman"/>
        </w:rPr>
        <w:t xml:space="preserve"> whether the joint bidding rules are in need of significant changes.</w:t>
      </w:r>
      <w:r>
        <w:rPr>
          <w:rFonts w:ascii="Times New Roman" w:hAnsi="Times New Roman" w:cs="Times New Roman"/>
        </w:rPr>
        <w:t xml:space="preserve"> </w:t>
      </w:r>
      <w:r w:rsidRPr="0037503B">
        <w:rPr>
          <w:rFonts w:ascii="Times New Roman" w:hAnsi="Times New Roman" w:cs="Times New Roman"/>
        </w:rPr>
        <w:t xml:space="preserve"> It is common sense to ask the overarching question of whether there are other ways to facilitate small business participation besides auction bidding credits, such as through secondary market</w:t>
      </w:r>
      <w:r>
        <w:rPr>
          <w:rFonts w:ascii="Times New Roman" w:hAnsi="Times New Roman" w:cs="Times New Roman"/>
        </w:rPr>
        <w:t xml:space="preserve"> incentive</w:t>
      </w:r>
      <w:r w:rsidRPr="0037503B">
        <w:rPr>
          <w:rFonts w:ascii="Times New Roman" w:hAnsi="Times New Roman" w:cs="Times New Roman"/>
        </w:rPr>
        <w:t>s and the partitioning of licenses.  These are all important questions that need to be answered.</w:t>
      </w:r>
    </w:p>
    <w:p w:rsidR="003F547E" w:rsidRDefault="003F547E" w:rsidP="003F547E">
      <w:pPr>
        <w:pStyle w:val="Body"/>
        <w:widowControl w:val="0"/>
        <w:spacing w:after="120"/>
        <w:ind w:firstLine="720"/>
        <w:rPr>
          <w:sz w:val="24"/>
        </w:rPr>
      </w:pPr>
      <w:r>
        <w:rPr>
          <w:rFonts w:ascii="Times New Roman" w:hAnsi="Times New Roman" w:cs="Times New Roman"/>
        </w:rPr>
        <w:t>Finally, t</w:t>
      </w:r>
      <w:r w:rsidRPr="0037503B">
        <w:rPr>
          <w:rFonts w:ascii="Times New Roman" w:hAnsi="Times New Roman" w:cs="Times New Roman"/>
        </w:rPr>
        <w:t>here is one final avenue of inquiry that that the Commission must pursue.</w:t>
      </w:r>
      <w:r>
        <w:rPr>
          <w:rFonts w:ascii="Times New Roman" w:hAnsi="Times New Roman" w:cs="Times New Roman"/>
        </w:rPr>
        <w:t xml:space="preserve"> </w:t>
      </w:r>
      <w:r w:rsidRPr="0037503B">
        <w:rPr>
          <w:rFonts w:ascii="Times New Roman" w:hAnsi="Times New Roman" w:cs="Times New Roman"/>
        </w:rPr>
        <w:t xml:space="preserve"> The Commission must impose and strictly enforce its buildout rules.</w:t>
      </w:r>
      <w:r>
        <w:rPr>
          <w:rFonts w:ascii="Times New Roman" w:hAnsi="Times New Roman" w:cs="Times New Roman"/>
        </w:rPr>
        <w:t xml:space="preserve"> </w:t>
      </w:r>
      <w:r w:rsidRPr="0037503B">
        <w:rPr>
          <w:rFonts w:ascii="Times New Roman" w:hAnsi="Times New Roman" w:cs="Times New Roman"/>
        </w:rPr>
        <w:t xml:space="preserve"> We should inquire whether our current performance requirements are sufficient.</w:t>
      </w:r>
      <w:r>
        <w:rPr>
          <w:rFonts w:ascii="Times New Roman" w:hAnsi="Times New Roman" w:cs="Times New Roman"/>
        </w:rPr>
        <w:t xml:space="preserve"> </w:t>
      </w:r>
      <w:r w:rsidRPr="0037503B">
        <w:rPr>
          <w:rFonts w:ascii="Times New Roman" w:hAnsi="Times New Roman" w:cs="Times New Roman"/>
        </w:rPr>
        <w:t xml:space="preserve"> Spectrum should not be allowed to lie fallow and, if licensees are not providing service to benefit Americans, the spectrum should be reclaimed so that another entity can put it to use.  This is more likely to provide opportunities for small businesses and increase diversity of ownership than the flawed provision of subsidies that has historicall</w:t>
      </w:r>
      <w:r>
        <w:rPr>
          <w:rFonts w:ascii="Times New Roman" w:hAnsi="Times New Roman" w:cs="Times New Roman"/>
        </w:rPr>
        <w:t>y benefited some of this nation’</w:t>
      </w:r>
      <w:r w:rsidRPr="0037503B">
        <w:rPr>
          <w:rFonts w:ascii="Times New Roman" w:hAnsi="Times New Roman" w:cs="Times New Roman"/>
        </w:rPr>
        <w:t xml:space="preserve">s largest communications companies. </w:t>
      </w:r>
      <w:r>
        <w:rPr>
          <w:rFonts w:ascii="Times New Roman" w:hAnsi="Times New Roman" w:cs="Times New Roman"/>
        </w:rPr>
        <w:t xml:space="preserve"> </w:t>
      </w:r>
      <w:r w:rsidRPr="0037503B">
        <w:rPr>
          <w:rFonts w:ascii="Times New Roman" w:hAnsi="Times New Roman" w:cs="Times New Roman"/>
        </w:rPr>
        <w:t xml:space="preserve">While there is some language in the item, at my request, pertaining to this, I plan to </w:t>
      </w:r>
      <w:r>
        <w:rPr>
          <w:rFonts w:ascii="Times New Roman" w:hAnsi="Times New Roman" w:cs="Times New Roman"/>
        </w:rPr>
        <w:t>give</w:t>
      </w:r>
      <w:r w:rsidRPr="0037503B">
        <w:rPr>
          <w:rFonts w:ascii="Times New Roman" w:hAnsi="Times New Roman" w:cs="Times New Roman"/>
        </w:rPr>
        <w:t xml:space="preserve"> some attention to reviewing this aspect of spectrum policy on a more macro level to ensure that our buildout requirements are as clear and enforceable as necessary.</w:t>
      </w:r>
    </w:p>
    <w:p w:rsidR="006D2472" w:rsidRDefault="006D2472"/>
    <w:sectPr w:rsidR="006D2472" w:rsidSect="00023D6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4A" w:rsidRDefault="000D0A4A" w:rsidP="000D0A4A">
      <w:r>
        <w:separator/>
      </w:r>
    </w:p>
  </w:endnote>
  <w:endnote w:type="continuationSeparator" w:id="0">
    <w:p w:rsidR="000D0A4A" w:rsidRDefault="000D0A4A" w:rsidP="000D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4A" w:rsidRDefault="000D0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4A" w:rsidRDefault="000D0A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4A" w:rsidRDefault="000D0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4A" w:rsidRDefault="000D0A4A" w:rsidP="000D0A4A">
      <w:r>
        <w:separator/>
      </w:r>
    </w:p>
  </w:footnote>
  <w:footnote w:type="continuationSeparator" w:id="0">
    <w:p w:rsidR="000D0A4A" w:rsidRDefault="000D0A4A" w:rsidP="000D0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4A" w:rsidRDefault="000D0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4A" w:rsidRDefault="000D0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4A" w:rsidRDefault="000D0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7E"/>
    <w:rsid w:val="000D0A4A"/>
    <w:rsid w:val="003F547E"/>
    <w:rsid w:val="0069114B"/>
    <w:rsid w:val="006D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7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F547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0D0A4A"/>
    <w:pPr>
      <w:tabs>
        <w:tab w:val="center" w:pos="4680"/>
        <w:tab w:val="right" w:pos="9360"/>
      </w:tabs>
    </w:pPr>
  </w:style>
  <w:style w:type="character" w:customStyle="1" w:styleId="HeaderChar">
    <w:name w:val="Header Char"/>
    <w:basedOn w:val="DefaultParagraphFont"/>
    <w:link w:val="Header"/>
    <w:uiPriority w:val="99"/>
    <w:rsid w:val="000D0A4A"/>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D0A4A"/>
    <w:pPr>
      <w:tabs>
        <w:tab w:val="center" w:pos="4680"/>
        <w:tab w:val="right" w:pos="9360"/>
      </w:tabs>
    </w:pPr>
  </w:style>
  <w:style w:type="character" w:customStyle="1" w:styleId="FooterChar">
    <w:name w:val="Footer Char"/>
    <w:basedOn w:val="DefaultParagraphFont"/>
    <w:link w:val="Footer"/>
    <w:uiPriority w:val="99"/>
    <w:rsid w:val="000D0A4A"/>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7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F547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0D0A4A"/>
    <w:pPr>
      <w:tabs>
        <w:tab w:val="center" w:pos="4680"/>
        <w:tab w:val="right" w:pos="9360"/>
      </w:tabs>
    </w:pPr>
  </w:style>
  <w:style w:type="character" w:customStyle="1" w:styleId="HeaderChar">
    <w:name w:val="Header Char"/>
    <w:basedOn w:val="DefaultParagraphFont"/>
    <w:link w:val="Header"/>
    <w:uiPriority w:val="99"/>
    <w:rsid w:val="000D0A4A"/>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D0A4A"/>
    <w:pPr>
      <w:tabs>
        <w:tab w:val="center" w:pos="4680"/>
        <w:tab w:val="right" w:pos="9360"/>
      </w:tabs>
    </w:pPr>
  </w:style>
  <w:style w:type="character" w:customStyle="1" w:styleId="FooterChar">
    <w:name w:val="Footer Char"/>
    <w:basedOn w:val="DefaultParagraphFont"/>
    <w:link w:val="Footer"/>
    <w:uiPriority w:val="99"/>
    <w:rsid w:val="000D0A4A"/>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5015</Characters>
  <Application>Microsoft Office Word</Application>
  <DocSecurity>0</DocSecurity>
  <Lines>66</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2015-04-17T20:05:00Z</dcterms:created>
  <dcterms:modified xsi:type="dcterms:W3CDTF">2015-04-17T20:05:00Z</dcterms:modified>
  <cp:category> </cp:category>
  <cp:contentStatus> </cp:contentStatus>
</cp:coreProperties>
</file>