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E3" w:rsidRPr="00A81C34" w:rsidRDefault="004C2EE3">
      <w:pPr>
        <w:jc w:val="center"/>
        <w:rPr>
          <w:b/>
        </w:rPr>
      </w:pPr>
      <w:bookmarkStart w:id="0" w:name="_GoBack"/>
      <w:bookmarkEnd w:id="0"/>
      <w:r w:rsidRPr="00A81C34">
        <w:rPr>
          <w:b/>
        </w:rPr>
        <w:t>Before the</w:t>
      </w:r>
    </w:p>
    <w:p w:rsidR="00921803" w:rsidRPr="00A81C34" w:rsidRDefault="00921803" w:rsidP="00921803">
      <w:pPr>
        <w:pStyle w:val="StyleBoldCentered"/>
        <w:rPr>
          <w:rFonts w:ascii="Times New Roman" w:hAnsi="Times New Roman"/>
        </w:rPr>
      </w:pPr>
      <w:r w:rsidRPr="00A81C34">
        <w:rPr>
          <w:rFonts w:ascii="Times New Roman" w:hAnsi="Times New Roman"/>
        </w:rPr>
        <w:t>F</w:t>
      </w:r>
      <w:r w:rsidRPr="00A81C34">
        <w:rPr>
          <w:rFonts w:ascii="Times New Roman" w:hAnsi="Times New Roman"/>
          <w:caps w:val="0"/>
        </w:rPr>
        <w:t>ederal Communications Commission</w:t>
      </w:r>
    </w:p>
    <w:p w:rsidR="004C2EE3" w:rsidRPr="00A81C34" w:rsidRDefault="00810B6F" w:rsidP="00096D8C">
      <w:pPr>
        <w:pStyle w:val="StyleBoldCentered"/>
        <w:rPr>
          <w:rFonts w:ascii="Times New Roman" w:hAnsi="Times New Roman"/>
        </w:rPr>
      </w:pPr>
      <w:r w:rsidRPr="00A81C34">
        <w:rPr>
          <w:rFonts w:ascii="Times New Roman" w:hAnsi="Times New Roman"/>
          <w:caps w:val="0"/>
        </w:rPr>
        <w:t>Washington, D.C. 20554</w:t>
      </w:r>
    </w:p>
    <w:p w:rsidR="004C2EE3" w:rsidRPr="00A81C34" w:rsidRDefault="004C2EE3" w:rsidP="0070224F"/>
    <w:tbl>
      <w:tblPr>
        <w:tblW w:w="0" w:type="auto"/>
        <w:tblLayout w:type="fixed"/>
        <w:tblLook w:val="0000" w:firstRow="0" w:lastRow="0" w:firstColumn="0" w:lastColumn="0" w:noHBand="0" w:noVBand="0"/>
      </w:tblPr>
      <w:tblGrid>
        <w:gridCol w:w="4698"/>
        <w:gridCol w:w="630"/>
        <w:gridCol w:w="4248"/>
      </w:tblGrid>
      <w:tr w:rsidR="004C2EE3" w:rsidRPr="00A81C34">
        <w:tc>
          <w:tcPr>
            <w:tcW w:w="4698" w:type="dxa"/>
          </w:tcPr>
          <w:p w:rsidR="004C2EE3" w:rsidRPr="00A81C34" w:rsidRDefault="004C2EE3">
            <w:pPr>
              <w:tabs>
                <w:tab w:val="center" w:pos="4680"/>
              </w:tabs>
              <w:suppressAutoHyphens/>
              <w:rPr>
                <w:spacing w:val="-2"/>
              </w:rPr>
            </w:pPr>
            <w:r w:rsidRPr="00A81C34">
              <w:rPr>
                <w:spacing w:val="-2"/>
              </w:rPr>
              <w:t>In the Matter of</w:t>
            </w:r>
          </w:p>
          <w:p w:rsidR="009D0075" w:rsidRDefault="009D0075" w:rsidP="009D0075">
            <w:pPr>
              <w:tabs>
                <w:tab w:val="center" w:pos="4680"/>
              </w:tabs>
              <w:suppressAutoHyphens/>
              <w:rPr>
                <w:spacing w:val="-2"/>
              </w:rPr>
            </w:pPr>
          </w:p>
          <w:p w:rsidR="00B81E9A" w:rsidRPr="00A81C34" w:rsidRDefault="00843462" w:rsidP="009D0075">
            <w:pPr>
              <w:tabs>
                <w:tab w:val="center" w:pos="4680"/>
              </w:tabs>
              <w:suppressAutoHyphens/>
              <w:rPr>
                <w:spacing w:val="-2"/>
              </w:rPr>
            </w:pPr>
            <w:r>
              <w:rPr>
                <w:spacing w:val="-2"/>
              </w:rPr>
              <w:t>Christopher Falletti</w:t>
            </w:r>
          </w:p>
          <w:p w:rsidR="009D0075" w:rsidRPr="00A81C34" w:rsidRDefault="009D0075" w:rsidP="009D0075">
            <w:pPr>
              <w:tabs>
                <w:tab w:val="center" w:pos="4680"/>
              </w:tabs>
              <w:suppressAutoHyphens/>
              <w:rPr>
                <w:spacing w:val="-2"/>
              </w:rPr>
            </w:pPr>
          </w:p>
          <w:p w:rsidR="009D0075" w:rsidRPr="00A81C34" w:rsidRDefault="009D0075" w:rsidP="009D0075">
            <w:pPr>
              <w:tabs>
                <w:tab w:val="center" w:pos="4680"/>
              </w:tabs>
              <w:suppressAutoHyphens/>
              <w:rPr>
                <w:spacing w:val="-2"/>
              </w:rPr>
            </w:pPr>
            <w:r w:rsidRPr="00A81C34">
              <w:rPr>
                <w:spacing w:val="-2"/>
              </w:rPr>
              <w:t>Application for Construction Permit for</w:t>
            </w:r>
          </w:p>
          <w:p w:rsidR="009D0075" w:rsidRPr="00A81C34" w:rsidRDefault="00B81E9A" w:rsidP="009D0075">
            <w:pPr>
              <w:tabs>
                <w:tab w:val="center" w:pos="4680"/>
              </w:tabs>
              <w:suppressAutoHyphens/>
              <w:rPr>
                <w:spacing w:val="-2"/>
              </w:rPr>
            </w:pPr>
            <w:r>
              <w:rPr>
                <w:spacing w:val="-2"/>
              </w:rPr>
              <w:t xml:space="preserve">New </w:t>
            </w:r>
            <w:r w:rsidR="009D0075" w:rsidRPr="00A81C34">
              <w:rPr>
                <w:spacing w:val="-2"/>
              </w:rPr>
              <w:t>FM Station</w:t>
            </w:r>
            <w:r w:rsidR="00843462">
              <w:rPr>
                <w:spacing w:val="-2"/>
              </w:rPr>
              <w:t xml:space="preserve"> </w:t>
            </w:r>
          </w:p>
          <w:p w:rsidR="004C2EE3" w:rsidRPr="00A81C34" w:rsidRDefault="00D177E5" w:rsidP="009D0075">
            <w:pPr>
              <w:tabs>
                <w:tab w:val="center" w:pos="4680"/>
              </w:tabs>
              <w:suppressAutoHyphens/>
              <w:rPr>
                <w:spacing w:val="-2"/>
              </w:rPr>
            </w:pPr>
            <w:r>
              <w:rPr>
                <w:spacing w:val="-2"/>
              </w:rPr>
              <w:t>Medina, N</w:t>
            </w:r>
            <w:r w:rsidR="00730FC9">
              <w:rPr>
                <w:spacing w:val="-2"/>
              </w:rPr>
              <w:t xml:space="preserve">orth </w:t>
            </w:r>
            <w:r>
              <w:rPr>
                <w:spacing w:val="-2"/>
              </w:rPr>
              <w:t>D</w:t>
            </w:r>
            <w:r w:rsidR="00730FC9">
              <w:rPr>
                <w:spacing w:val="-2"/>
              </w:rPr>
              <w:t>akota</w:t>
            </w:r>
          </w:p>
        </w:tc>
        <w:tc>
          <w:tcPr>
            <w:tcW w:w="630" w:type="dxa"/>
          </w:tcPr>
          <w:p w:rsidR="004C2EE3" w:rsidRPr="00A81C34" w:rsidRDefault="004C2EE3">
            <w:pPr>
              <w:tabs>
                <w:tab w:val="center" w:pos="4680"/>
              </w:tabs>
              <w:suppressAutoHyphens/>
              <w:rPr>
                <w:b/>
                <w:spacing w:val="-2"/>
              </w:rPr>
            </w:pPr>
            <w:r w:rsidRPr="00A81C34">
              <w:rPr>
                <w:b/>
                <w:spacing w:val="-2"/>
              </w:rPr>
              <w:t>)</w:t>
            </w:r>
          </w:p>
          <w:p w:rsidR="004C2EE3" w:rsidRPr="00A81C34" w:rsidRDefault="004C2EE3">
            <w:pPr>
              <w:tabs>
                <w:tab w:val="center" w:pos="4680"/>
              </w:tabs>
              <w:suppressAutoHyphens/>
              <w:rPr>
                <w:b/>
                <w:spacing w:val="-2"/>
              </w:rPr>
            </w:pPr>
            <w:r w:rsidRPr="00A81C34">
              <w:rPr>
                <w:b/>
                <w:spacing w:val="-2"/>
              </w:rPr>
              <w:t>)</w:t>
            </w:r>
          </w:p>
          <w:p w:rsidR="004C2EE3" w:rsidRPr="00A81C34" w:rsidRDefault="004C2EE3">
            <w:pPr>
              <w:tabs>
                <w:tab w:val="center" w:pos="4680"/>
              </w:tabs>
              <w:suppressAutoHyphens/>
              <w:rPr>
                <w:b/>
                <w:spacing w:val="-2"/>
              </w:rPr>
            </w:pPr>
            <w:r w:rsidRPr="00A81C34">
              <w:rPr>
                <w:b/>
                <w:spacing w:val="-2"/>
              </w:rPr>
              <w:t>)</w:t>
            </w:r>
          </w:p>
          <w:p w:rsidR="004C2EE3" w:rsidRPr="00A81C34" w:rsidRDefault="004C2EE3">
            <w:pPr>
              <w:tabs>
                <w:tab w:val="center" w:pos="4680"/>
              </w:tabs>
              <w:suppressAutoHyphens/>
              <w:rPr>
                <w:b/>
                <w:spacing w:val="-2"/>
              </w:rPr>
            </w:pPr>
            <w:r w:rsidRPr="00A81C34">
              <w:rPr>
                <w:b/>
                <w:spacing w:val="-2"/>
              </w:rPr>
              <w:t>)</w:t>
            </w:r>
          </w:p>
          <w:p w:rsidR="004C2EE3" w:rsidRPr="00A81C34" w:rsidRDefault="004C2EE3">
            <w:pPr>
              <w:tabs>
                <w:tab w:val="center" w:pos="4680"/>
              </w:tabs>
              <w:suppressAutoHyphens/>
              <w:rPr>
                <w:b/>
                <w:spacing w:val="-2"/>
              </w:rPr>
            </w:pPr>
            <w:r w:rsidRPr="00A81C34">
              <w:rPr>
                <w:b/>
                <w:spacing w:val="-2"/>
              </w:rPr>
              <w:t>)</w:t>
            </w:r>
          </w:p>
          <w:p w:rsidR="004C2EE3" w:rsidRPr="00A81C34" w:rsidRDefault="004C2EE3">
            <w:pPr>
              <w:tabs>
                <w:tab w:val="center" w:pos="4680"/>
              </w:tabs>
              <w:suppressAutoHyphens/>
              <w:rPr>
                <w:b/>
                <w:spacing w:val="-2"/>
              </w:rPr>
            </w:pPr>
            <w:r w:rsidRPr="00A81C34">
              <w:rPr>
                <w:b/>
                <w:spacing w:val="-2"/>
              </w:rPr>
              <w:t>)</w:t>
            </w:r>
          </w:p>
          <w:p w:rsidR="004C2EE3" w:rsidRPr="00A81C34" w:rsidRDefault="004C2EE3">
            <w:pPr>
              <w:tabs>
                <w:tab w:val="center" w:pos="4680"/>
              </w:tabs>
              <w:suppressAutoHyphens/>
              <w:rPr>
                <w:b/>
                <w:spacing w:val="-2"/>
              </w:rPr>
            </w:pPr>
            <w:r w:rsidRPr="00A81C34">
              <w:rPr>
                <w:b/>
                <w:spacing w:val="-2"/>
              </w:rPr>
              <w:t>)</w:t>
            </w:r>
          </w:p>
          <w:p w:rsidR="004C2EE3" w:rsidRPr="00420C49" w:rsidRDefault="004C2EE3">
            <w:pPr>
              <w:tabs>
                <w:tab w:val="center" w:pos="4680"/>
              </w:tabs>
              <w:suppressAutoHyphens/>
              <w:rPr>
                <w:b/>
                <w:spacing w:val="-2"/>
              </w:rPr>
            </w:pPr>
            <w:r w:rsidRPr="00A81C34">
              <w:rPr>
                <w:b/>
                <w:spacing w:val="-2"/>
              </w:rPr>
              <w:t>)</w:t>
            </w:r>
          </w:p>
        </w:tc>
        <w:tc>
          <w:tcPr>
            <w:tcW w:w="4248" w:type="dxa"/>
          </w:tcPr>
          <w:p w:rsidR="004C2EE3" w:rsidRPr="00A81C34" w:rsidRDefault="004C2EE3">
            <w:pPr>
              <w:tabs>
                <w:tab w:val="center" w:pos="4680"/>
              </w:tabs>
              <w:suppressAutoHyphens/>
              <w:rPr>
                <w:spacing w:val="-2"/>
              </w:rPr>
            </w:pPr>
          </w:p>
          <w:p w:rsidR="004C2EE3" w:rsidRPr="00A81C34" w:rsidRDefault="004C2EE3">
            <w:pPr>
              <w:pStyle w:val="TOAHeading"/>
              <w:tabs>
                <w:tab w:val="clear" w:pos="9360"/>
                <w:tab w:val="center" w:pos="4680"/>
              </w:tabs>
              <w:rPr>
                <w:spacing w:val="-2"/>
              </w:rPr>
            </w:pPr>
          </w:p>
          <w:p w:rsidR="00420C49" w:rsidRDefault="00420C49" w:rsidP="009D0075">
            <w:pPr>
              <w:pStyle w:val="TOAHeading"/>
              <w:tabs>
                <w:tab w:val="center" w:pos="4680"/>
              </w:tabs>
              <w:rPr>
                <w:spacing w:val="-2"/>
              </w:rPr>
            </w:pPr>
          </w:p>
          <w:p w:rsidR="00420C49" w:rsidRDefault="00420C49" w:rsidP="009D0075">
            <w:pPr>
              <w:pStyle w:val="TOAHeading"/>
              <w:tabs>
                <w:tab w:val="center" w:pos="4680"/>
              </w:tabs>
              <w:rPr>
                <w:spacing w:val="-2"/>
              </w:rPr>
            </w:pPr>
          </w:p>
          <w:p w:rsidR="009D0075" w:rsidRPr="00A81C34" w:rsidRDefault="009D0075" w:rsidP="009D0075">
            <w:pPr>
              <w:pStyle w:val="TOAHeading"/>
              <w:tabs>
                <w:tab w:val="center" w:pos="4680"/>
              </w:tabs>
              <w:rPr>
                <w:spacing w:val="-2"/>
              </w:rPr>
            </w:pPr>
            <w:r w:rsidRPr="00A81C34">
              <w:rPr>
                <w:spacing w:val="-2"/>
              </w:rPr>
              <w:t xml:space="preserve">File No. </w:t>
            </w:r>
            <w:r w:rsidR="00843462">
              <w:rPr>
                <w:spacing w:val="-2"/>
              </w:rPr>
              <w:t>BNPH-20120518AAE</w:t>
            </w:r>
          </w:p>
          <w:p w:rsidR="004C2EE3" w:rsidRPr="00A81C34" w:rsidRDefault="009D0075" w:rsidP="009D0075">
            <w:pPr>
              <w:tabs>
                <w:tab w:val="center" w:pos="4680"/>
              </w:tabs>
              <w:suppressAutoHyphens/>
              <w:rPr>
                <w:spacing w:val="-2"/>
              </w:rPr>
            </w:pPr>
            <w:r w:rsidRPr="00A81C34">
              <w:rPr>
                <w:spacing w:val="-2"/>
              </w:rPr>
              <w:t xml:space="preserve">Facility ID No. </w:t>
            </w:r>
            <w:r w:rsidR="00843462">
              <w:rPr>
                <w:spacing w:val="-2"/>
              </w:rPr>
              <w:t>190421</w:t>
            </w:r>
          </w:p>
        </w:tc>
      </w:tr>
    </w:tbl>
    <w:p w:rsidR="004C2EE3" w:rsidRPr="00A81C34" w:rsidRDefault="004C2EE3" w:rsidP="0070224F"/>
    <w:p w:rsidR="00841AB1" w:rsidRPr="00A81C34" w:rsidRDefault="009D0075" w:rsidP="00F021FA">
      <w:pPr>
        <w:pStyle w:val="StyleBoldCentered"/>
        <w:rPr>
          <w:rFonts w:ascii="Times New Roman" w:hAnsi="Times New Roman"/>
        </w:rPr>
      </w:pPr>
      <w:r w:rsidRPr="00A81C34">
        <w:rPr>
          <w:rFonts w:ascii="Times New Roman" w:hAnsi="Times New Roman"/>
        </w:rPr>
        <w:t>Memorandum Opinion and order</w:t>
      </w:r>
    </w:p>
    <w:p w:rsidR="004C2EE3" w:rsidRPr="00A81C34" w:rsidRDefault="004C2EE3">
      <w:pPr>
        <w:tabs>
          <w:tab w:val="left" w:pos="-720"/>
        </w:tabs>
        <w:suppressAutoHyphens/>
        <w:spacing w:line="227" w:lineRule="auto"/>
        <w:rPr>
          <w:spacing w:val="-2"/>
        </w:rPr>
      </w:pPr>
    </w:p>
    <w:p w:rsidR="004C2EE3" w:rsidRPr="00A81C34" w:rsidRDefault="004C2EE3" w:rsidP="00133F79">
      <w:pPr>
        <w:tabs>
          <w:tab w:val="left" w:pos="720"/>
          <w:tab w:val="right" w:pos="9360"/>
        </w:tabs>
        <w:suppressAutoHyphens/>
        <w:spacing w:line="227" w:lineRule="auto"/>
        <w:rPr>
          <w:spacing w:val="-2"/>
        </w:rPr>
      </w:pPr>
      <w:r w:rsidRPr="00A81C34">
        <w:rPr>
          <w:b/>
          <w:spacing w:val="-2"/>
        </w:rPr>
        <w:t xml:space="preserve">Adopted:  </w:t>
      </w:r>
      <w:r w:rsidR="003C4DB0">
        <w:rPr>
          <w:b/>
          <w:spacing w:val="-2"/>
        </w:rPr>
        <w:t>January 20, 2015</w:t>
      </w:r>
      <w:r w:rsidRPr="00A81C34">
        <w:rPr>
          <w:b/>
          <w:spacing w:val="-2"/>
        </w:rPr>
        <w:tab/>
      </w:r>
      <w:r w:rsidR="00822CE0" w:rsidRPr="00A81C34">
        <w:rPr>
          <w:b/>
          <w:spacing w:val="-2"/>
        </w:rPr>
        <w:t>Released</w:t>
      </w:r>
      <w:r w:rsidRPr="00A81C34">
        <w:rPr>
          <w:b/>
          <w:spacing w:val="-2"/>
        </w:rPr>
        <w:t>:</w:t>
      </w:r>
      <w:r w:rsidR="00822CE0" w:rsidRPr="00A81C34">
        <w:rPr>
          <w:b/>
          <w:spacing w:val="-2"/>
        </w:rPr>
        <w:t xml:space="preserve"> </w:t>
      </w:r>
      <w:r w:rsidRPr="00A81C34">
        <w:rPr>
          <w:b/>
          <w:spacing w:val="-2"/>
        </w:rPr>
        <w:t xml:space="preserve"> </w:t>
      </w:r>
      <w:r w:rsidR="003C4DB0">
        <w:rPr>
          <w:b/>
          <w:spacing w:val="-2"/>
        </w:rPr>
        <w:t>January 2</w:t>
      </w:r>
      <w:r w:rsidR="007B7D5D">
        <w:rPr>
          <w:b/>
          <w:spacing w:val="-2"/>
        </w:rPr>
        <w:t>2</w:t>
      </w:r>
      <w:r w:rsidR="003C4DB0">
        <w:rPr>
          <w:b/>
          <w:spacing w:val="-2"/>
        </w:rPr>
        <w:t>, 2015</w:t>
      </w:r>
    </w:p>
    <w:p w:rsidR="00822CE0" w:rsidRPr="00A81C34" w:rsidRDefault="00822CE0"/>
    <w:p w:rsidR="009D0075" w:rsidRPr="00A81C34" w:rsidRDefault="009D0075" w:rsidP="009D0075">
      <w:r w:rsidRPr="00A81C34">
        <w:t>By the Commission:</w:t>
      </w:r>
      <w:r w:rsidR="000638B4">
        <w:t xml:space="preserve">  Commissioner Pai issuing a statement.</w:t>
      </w:r>
    </w:p>
    <w:p w:rsidR="009D0075" w:rsidRPr="00A81C34" w:rsidRDefault="009D0075" w:rsidP="009D0075"/>
    <w:p w:rsidR="009D0075" w:rsidRDefault="009D0075" w:rsidP="00D266AB">
      <w:pPr>
        <w:pStyle w:val="ParaNum"/>
      </w:pPr>
      <w:r w:rsidRPr="00A81C34">
        <w:t>In this Memor</w:t>
      </w:r>
      <w:r w:rsidR="00B81E9A">
        <w:t>a</w:t>
      </w:r>
      <w:r w:rsidR="00843462">
        <w:t>ndum Opinion and Order, we deny</w:t>
      </w:r>
      <w:r w:rsidRPr="00A81C34">
        <w:t xml:space="preserve"> the Application for Review filed by </w:t>
      </w:r>
      <w:r w:rsidR="00843462">
        <w:t>Two Rivers Broadcasting, Inc. (“Two Rivers”)</w:t>
      </w:r>
      <w:r w:rsidRPr="00A81C34">
        <w:t xml:space="preserve"> on </w:t>
      </w:r>
      <w:r w:rsidR="00843462">
        <w:t>August 3, 2012</w:t>
      </w:r>
      <w:r w:rsidR="00E9783E">
        <w:t xml:space="preserve"> (“Application for Review”)</w:t>
      </w:r>
      <w:r w:rsidRPr="00A81C34">
        <w:t>.</w:t>
      </w:r>
      <w:r w:rsidR="00A05233">
        <w:rPr>
          <w:rStyle w:val="FootnoteReference"/>
        </w:rPr>
        <w:footnoteReference w:id="2"/>
      </w:r>
      <w:r w:rsidRPr="00A81C34">
        <w:t xml:space="preserve">  </w:t>
      </w:r>
      <w:r w:rsidR="00843462">
        <w:t>Two Rivers seeks review of a July 6, 2012</w:t>
      </w:r>
      <w:r w:rsidR="007E5E11">
        <w:t>,</w:t>
      </w:r>
      <w:r w:rsidRPr="00A81C34">
        <w:t xml:space="preserve"> action</w:t>
      </w:r>
      <w:r w:rsidR="00E9783E">
        <w:t xml:space="preserve"> by the Media Bureau (“Bureau”)</w:t>
      </w:r>
      <w:r w:rsidRPr="00A81C34">
        <w:t xml:space="preserve"> </w:t>
      </w:r>
      <w:r w:rsidR="00E9783E">
        <w:t xml:space="preserve">granting </w:t>
      </w:r>
      <w:r w:rsidR="00D177E5">
        <w:t>the above-caption</w:t>
      </w:r>
      <w:r w:rsidR="009459D7">
        <w:t>ed</w:t>
      </w:r>
      <w:r w:rsidR="00D177E5">
        <w:t xml:space="preserve"> application </w:t>
      </w:r>
      <w:r w:rsidR="00F96326">
        <w:t xml:space="preserve">(“Application”) </w:t>
      </w:r>
      <w:r w:rsidR="00D177E5">
        <w:t xml:space="preserve">of Christopher Falletti (“Falletti”) for a new FM station at Medina, North Dakota (“Station”) and </w:t>
      </w:r>
      <w:r w:rsidR="00E9783E">
        <w:t>dismissing</w:t>
      </w:r>
      <w:r w:rsidR="00D177E5">
        <w:t xml:space="preserve"> a Petition to Deny filed by Two Rivers</w:t>
      </w:r>
      <w:r w:rsidR="00E9783E">
        <w:t xml:space="preserve"> on June 21, 2012</w:t>
      </w:r>
      <w:r w:rsidR="00711F2C">
        <w:t>,</w:t>
      </w:r>
      <w:r w:rsidR="00D177E5">
        <w:t xml:space="preserve"> as moot.</w:t>
      </w:r>
      <w:r w:rsidR="00E9783E" w:rsidRPr="00E9783E">
        <w:rPr>
          <w:vertAlign w:val="superscript"/>
        </w:rPr>
        <w:t xml:space="preserve"> </w:t>
      </w:r>
      <w:r w:rsidR="00E9783E" w:rsidRPr="00A81C34">
        <w:rPr>
          <w:vertAlign w:val="superscript"/>
        </w:rPr>
        <w:footnoteReference w:id="3"/>
      </w:r>
      <w:r w:rsidR="00D177E5">
        <w:t xml:space="preserve"> </w:t>
      </w:r>
      <w:r w:rsidR="007E5E11">
        <w:t xml:space="preserve"> </w:t>
      </w:r>
    </w:p>
    <w:p w:rsidR="00E9562B" w:rsidRPr="00A81C34" w:rsidRDefault="00E9562B" w:rsidP="00E9562B">
      <w:pPr>
        <w:pStyle w:val="Heading1"/>
      </w:pPr>
      <w:r>
        <w:t>Background</w:t>
      </w:r>
    </w:p>
    <w:p w:rsidR="009D0075" w:rsidRPr="00A81C34" w:rsidRDefault="00D177E5" w:rsidP="00D266AB">
      <w:pPr>
        <w:pStyle w:val="ParaNum"/>
      </w:pPr>
      <w:r>
        <w:t xml:space="preserve">Two Rivers and Falletti </w:t>
      </w:r>
      <w:r w:rsidR="00F96326">
        <w:t xml:space="preserve">each </w:t>
      </w:r>
      <w:r w:rsidR="0010720D">
        <w:t>submitted</w:t>
      </w:r>
      <w:r w:rsidR="00F96326">
        <w:t xml:space="preserve"> bids</w:t>
      </w:r>
      <w:r>
        <w:t xml:space="preserve"> for the Medina</w:t>
      </w:r>
      <w:r w:rsidR="001D6FEC">
        <w:t>, North Dakota</w:t>
      </w:r>
      <w:r w:rsidR="00992D91">
        <w:t>,</w:t>
      </w:r>
      <w:r>
        <w:t xml:space="preserve"> </w:t>
      </w:r>
      <w:r w:rsidR="00E9562B">
        <w:t xml:space="preserve">permit </w:t>
      </w:r>
      <w:r w:rsidR="0010720D">
        <w:t>in FM Broadcast Auction 93</w:t>
      </w:r>
      <w:r w:rsidR="00E9562B" w:rsidRPr="00E9562B">
        <w:t xml:space="preserve"> </w:t>
      </w:r>
      <w:r w:rsidR="00E9562B">
        <w:t>(MM-FM810-C)</w:t>
      </w:r>
      <w:r w:rsidR="0010720D">
        <w:t xml:space="preserve">.  </w:t>
      </w:r>
      <w:r w:rsidR="00914CAB">
        <w:t>Falletti was the winning bidder</w:t>
      </w:r>
      <w:r w:rsidR="00E9562B">
        <w:t>,</w:t>
      </w:r>
      <w:r w:rsidR="0010720D">
        <w:t xml:space="preserve"> with a </w:t>
      </w:r>
      <w:r w:rsidR="00E9562B">
        <w:t xml:space="preserve">final </w:t>
      </w:r>
      <w:r w:rsidR="002F0A21">
        <w:t xml:space="preserve">net </w:t>
      </w:r>
      <w:r w:rsidR="0010720D">
        <w:t>bid of $21,000.</w:t>
      </w:r>
      <w:r w:rsidR="00992D91">
        <w:rPr>
          <w:rStyle w:val="FootnoteReference"/>
        </w:rPr>
        <w:footnoteReference w:id="4"/>
      </w:r>
      <w:r w:rsidR="0010720D">
        <w:t xml:space="preserve">  Falletti</w:t>
      </w:r>
      <w:r w:rsidR="009E3D02">
        <w:t xml:space="preserve"> filed his long-form application on May 18, 2012</w:t>
      </w:r>
      <w:r w:rsidR="00E9562B">
        <w:t xml:space="preserve">, and made </w:t>
      </w:r>
      <w:r w:rsidR="002F0A21">
        <w:t>all</w:t>
      </w:r>
      <w:r w:rsidR="00E9562B">
        <w:t xml:space="preserve"> final payment</w:t>
      </w:r>
      <w:r w:rsidR="002F0A21">
        <w:t>s</w:t>
      </w:r>
      <w:r w:rsidR="00992D91">
        <w:t>.</w:t>
      </w:r>
      <w:r w:rsidR="00914CAB">
        <w:t xml:space="preserve">  </w:t>
      </w:r>
      <w:r w:rsidR="00A647DF">
        <w:t xml:space="preserve">On June 21, 2012, Two Rivers filed its Petition to Deny, claiming that Falletti lacked reasonable assurance of site availability for </w:t>
      </w:r>
      <w:r w:rsidR="00992D91">
        <w:t>the</w:t>
      </w:r>
      <w:r w:rsidR="009E3D02">
        <w:t xml:space="preserve"> </w:t>
      </w:r>
      <w:r w:rsidR="00E90F63">
        <w:t xml:space="preserve">transmitter </w:t>
      </w:r>
      <w:r w:rsidR="009E3D02">
        <w:t>site</w:t>
      </w:r>
      <w:r w:rsidR="00992D91">
        <w:t xml:space="preserve"> specified in the Application, </w:t>
      </w:r>
      <w:r w:rsidR="00A647DF">
        <w:t>a tower owned by Two R</w:t>
      </w:r>
      <w:r w:rsidR="00FF0379">
        <w:t>ivers’ principal</w:t>
      </w:r>
      <w:r w:rsidR="002F0A21">
        <w:t>, Janice M. Ingstad</w:t>
      </w:r>
      <w:r w:rsidR="00A05233">
        <w:t xml:space="preserve"> (“KXGT Tower”)</w:t>
      </w:r>
      <w:r w:rsidR="00A647DF">
        <w:t>.</w:t>
      </w:r>
      <w:r w:rsidR="00E90F63">
        <w:rPr>
          <w:rStyle w:val="FootnoteReference"/>
        </w:rPr>
        <w:footnoteReference w:id="5"/>
      </w:r>
      <w:r w:rsidR="00A647DF">
        <w:t xml:space="preserve">  On June 29, 2012, Falletti </w:t>
      </w:r>
      <w:r w:rsidR="0031075C">
        <w:t xml:space="preserve">filed a minor </w:t>
      </w:r>
      <w:r w:rsidR="00A647DF">
        <w:t>amend</w:t>
      </w:r>
      <w:r w:rsidR="0031075C">
        <w:t>ment</w:t>
      </w:r>
      <w:r w:rsidR="00A647DF">
        <w:t xml:space="preserve"> to specify a new </w:t>
      </w:r>
      <w:r w:rsidR="00E90F63">
        <w:t xml:space="preserve">transmitter </w:t>
      </w:r>
      <w:r w:rsidR="00A647DF">
        <w:t xml:space="preserve">site.  On July 6, 2012, </w:t>
      </w:r>
      <w:r w:rsidR="00536B6E">
        <w:t xml:space="preserve">in the </w:t>
      </w:r>
      <w:r w:rsidR="00536B6E">
        <w:rPr>
          <w:i/>
        </w:rPr>
        <w:t>Letter Decision</w:t>
      </w:r>
      <w:r w:rsidR="00536B6E">
        <w:t>,</w:t>
      </w:r>
      <w:r w:rsidR="00536B6E">
        <w:rPr>
          <w:i/>
        </w:rPr>
        <w:t xml:space="preserve"> </w:t>
      </w:r>
      <w:r w:rsidR="00A647DF">
        <w:t xml:space="preserve">the Bureau granted the Application, stating that </w:t>
      </w:r>
      <w:r w:rsidR="00536B6E">
        <w:t>Two Rivers’ Petition to Deny was moot because Falletti had</w:t>
      </w:r>
      <w:r w:rsidR="001A4B71">
        <w:t xml:space="preserve"> “addressed this concern [</w:t>
      </w:r>
      <w:r w:rsidR="00536B6E">
        <w:t>site availability] by amending its application to specify a tower site at another location.”</w:t>
      </w:r>
      <w:r w:rsidR="00536B6E">
        <w:rPr>
          <w:rStyle w:val="FootnoteReference"/>
        </w:rPr>
        <w:footnoteReference w:id="6"/>
      </w:r>
    </w:p>
    <w:p w:rsidR="00E9562B" w:rsidRDefault="00536B6E" w:rsidP="00D266AB">
      <w:pPr>
        <w:pStyle w:val="ParaNum"/>
      </w:pPr>
      <w:r>
        <w:t xml:space="preserve">On review, Two Rivers </w:t>
      </w:r>
      <w:r w:rsidR="00E9783E">
        <w:t>reiterates its argument that Falletti never had reasonable a</w:t>
      </w:r>
      <w:r w:rsidR="00FF0379">
        <w:t xml:space="preserve">ssurance of site availability for </w:t>
      </w:r>
      <w:r w:rsidR="00E9783E">
        <w:t xml:space="preserve">the KXGT Tower.  </w:t>
      </w:r>
      <w:r w:rsidR="00717D64">
        <w:t>A</w:t>
      </w:r>
      <w:r w:rsidR="00374F47">
        <w:t xml:space="preserve">ccording to Two Rivers, </w:t>
      </w:r>
      <w:r w:rsidR="00717D64">
        <w:t>the Application thus suffered from</w:t>
      </w:r>
      <w:r w:rsidR="00374F47">
        <w:t xml:space="preserve"> a “fatal defect” that cannot be cured by amendment.</w:t>
      </w:r>
      <w:r w:rsidR="00717D64">
        <w:rPr>
          <w:rStyle w:val="FootnoteReference"/>
        </w:rPr>
        <w:footnoteReference w:id="7"/>
      </w:r>
      <w:r w:rsidR="00374F47">
        <w:t xml:space="preserve">  I</w:t>
      </w:r>
      <w:r w:rsidR="004F1376">
        <w:t xml:space="preserve">n support of this argument, Two </w:t>
      </w:r>
      <w:r w:rsidR="004F1376">
        <w:lastRenderedPageBreak/>
        <w:t xml:space="preserve">Rivers cites the Commission’s 2008 </w:t>
      </w:r>
      <w:r w:rsidR="004F1376" w:rsidRPr="00374F47">
        <w:rPr>
          <w:i/>
        </w:rPr>
        <w:t xml:space="preserve">Schober </w:t>
      </w:r>
      <w:r w:rsidR="00E9783E">
        <w:t>decision</w:t>
      </w:r>
      <w:r w:rsidR="004F1376">
        <w:t xml:space="preserve">, in which the Commission rescinded the grant of an FM translator construction permit application </w:t>
      </w:r>
      <w:r w:rsidR="006C6DB6">
        <w:t xml:space="preserve">due to lack of </w:t>
      </w:r>
      <w:r w:rsidR="00E2773E">
        <w:t>initial</w:t>
      </w:r>
      <w:r w:rsidR="006C6DB6">
        <w:t xml:space="preserve"> </w:t>
      </w:r>
      <w:r w:rsidR="00374F47">
        <w:t>site availability</w:t>
      </w:r>
      <w:r w:rsidR="00D7687E">
        <w:t>,</w:t>
      </w:r>
      <w:r w:rsidR="00374F47">
        <w:t xml:space="preserve"> without permitting a curative amendment</w:t>
      </w:r>
      <w:r w:rsidR="004F1376">
        <w:t>.</w:t>
      </w:r>
      <w:r w:rsidR="004F1376">
        <w:rPr>
          <w:rStyle w:val="FootnoteReference"/>
        </w:rPr>
        <w:footnoteReference w:id="8"/>
      </w:r>
      <w:r w:rsidR="004F1376">
        <w:t xml:space="preserve">  </w:t>
      </w:r>
      <w:r w:rsidR="00374F47">
        <w:t xml:space="preserve">Finally, </w:t>
      </w:r>
      <w:r w:rsidR="00A05233" w:rsidRPr="008416F2">
        <w:t>Two</w:t>
      </w:r>
      <w:r w:rsidR="00A05233">
        <w:t xml:space="preserve"> Rivers claims that Falletti</w:t>
      </w:r>
      <w:r w:rsidR="00E9783E">
        <w:t xml:space="preserve"> </w:t>
      </w:r>
      <w:r w:rsidR="00A510E4">
        <w:t>misrepresented</w:t>
      </w:r>
      <w:r w:rsidR="00A05233">
        <w:t xml:space="preserve"> </w:t>
      </w:r>
      <w:r w:rsidR="00A510E4">
        <w:t xml:space="preserve">that he </w:t>
      </w:r>
      <w:r w:rsidR="00374F47">
        <w:t xml:space="preserve">had reasonable assurance of site </w:t>
      </w:r>
      <w:r w:rsidR="00A510E4">
        <w:t xml:space="preserve">availability </w:t>
      </w:r>
      <w:r w:rsidR="0028692A">
        <w:t>while lacking a</w:t>
      </w:r>
      <w:r w:rsidR="008416F2">
        <w:t xml:space="preserve"> </w:t>
      </w:r>
      <w:r w:rsidR="00374F47">
        <w:t>“good faith, factual basis” for such belief</w:t>
      </w:r>
      <w:r w:rsidR="008416F2">
        <w:t>.</w:t>
      </w:r>
      <w:r w:rsidR="008416F2">
        <w:rPr>
          <w:rStyle w:val="FootnoteReference"/>
        </w:rPr>
        <w:footnoteReference w:id="9"/>
      </w:r>
      <w:r w:rsidR="00A05233">
        <w:t xml:space="preserve">  </w:t>
      </w:r>
    </w:p>
    <w:p w:rsidR="009D0075" w:rsidRPr="00E9562B" w:rsidRDefault="00E9783E" w:rsidP="00D266AB">
      <w:pPr>
        <w:pStyle w:val="ParaNum"/>
      </w:pPr>
      <w:r>
        <w:t xml:space="preserve">Falletti did not </w:t>
      </w:r>
      <w:r w:rsidR="0028692A">
        <w:t>respond</w:t>
      </w:r>
      <w:r>
        <w:t xml:space="preserve"> to the Application for Review. </w:t>
      </w:r>
      <w:r w:rsidR="004D1BD1">
        <w:t xml:space="preserve"> However, in</w:t>
      </w:r>
      <w:r w:rsidR="00E9562B">
        <w:t xml:space="preserve"> his </w:t>
      </w:r>
      <w:r w:rsidR="0028692A">
        <w:t xml:space="preserve">earlier </w:t>
      </w:r>
      <w:r w:rsidR="00E9562B">
        <w:t>Opposition</w:t>
      </w:r>
      <w:r w:rsidR="00374F47">
        <w:t xml:space="preserve"> to </w:t>
      </w:r>
      <w:r w:rsidR="0028692A">
        <w:t>the</w:t>
      </w:r>
      <w:r w:rsidR="00374F47">
        <w:t xml:space="preserve"> Petition to Deny</w:t>
      </w:r>
      <w:r w:rsidR="00E9562B">
        <w:t>, Falletti argued</w:t>
      </w:r>
      <w:r w:rsidR="004D1BD1">
        <w:t xml:space="preserve"> that the amendment should be permitted under the Commission’s liberal amendment policy for auction winners, which established “a more lenient approach toward the processing of defective broadcast applications for new facilities . . . permitting multiple corrective amendments, if necessary</w:t>
      </w:r>
      <w:r w:rsidR="004D1BD1">
        <w:rPr>
          <w:szCs w:val="22"/>
        </w:rPr>
        <w:t>.”</w:t>
      </w:r>
      <w:r w:rsidR="004D1BD1">
        <w:rPr>
          <w:rStyle w:val="FootnoteReference"/>
          <w:szCs w:val="22"/>
        </w:rPr>
        <w:footnoteReference w:id="10"/>
      </w:r>
      <w:r w:rsidR="004D1BD1">
        <w:rPr>
          <w:szCs w:val="22"/>
        </w:rPr>
        <w:t xml:space="preserve">  </w:t>
      </w:r>
    </w:p>
    <w:p w:rsidR="00E9562B" w:rsidRPr="00A81C34" w:rsidRDefault="00E9562B" w:rsidP="00E9562B">
      <w:pPr>
        <w:pStyle w:val="Heading1"/>
      </w:pPr>
      <w:r>
        <w:t>Discussion</w:t>
      </w:r>
    </w:p>
    <w:p w:rsidR="0032611B" w:rsidRDefault="00932D40" w:rsidP="00D266AB">
      <w:pPr>
        <w:pStyle w:val="ParaNum"/>
        <w:widowControl/>
      </w:pPr>
      <w:r>
        <w:t>The</w:t>
      </w:r>
      <w:r w:rsidR="0001294A">
        <w:t xml:space="preserve"> Application for Review</w:t>
      </w:r>
      <w:r w:rsidR="00191F7A">
        <w:t xml:space="preserve"> </w:t>
      </w:r>
      <w:r w:rsidR="00760179">
        <w:t xml:space="preserve">highlights </w:t>
      </w:r>
      <w:r w:rsidR="00730754">
        <w:t xml:space="preserve">the tension between </w:t>
      </w:r>
      <w:r w:rsidR="00DD5F32">
        <w:t>our historical “fatal defect” approach to reasonable assuran</w:t>
      </w:r>
      <w:r w:rsidR="000C2AD6">
        <w:t>ce of site availability</w:t>
      </w:r>
      <w:r w:rsidR="0001294A">
        <w:t xml:space="preserve"> and our</w:t>
      </w:r>
      <w:r w:rsidR="007B7C7E">
        <w:t xml:space="preserve"> </w:t>
      </w:r>
      <w:r w:rsidR="00DD5F32">
        <w:t>liberal amendment p</w:t>
      </w:r>
      <w:r w:rsidR="007B7C7E">
        <w:t xml:space="preserve">olicy </w:t>
      </w:r>
      <w:r w:rsidR="00E2773E">
        <w:t>for the</w:t>
      </w:r>
      <w:r w:rsidR="00730754">
        <w:t xml:space="preserve"> auctioned </w:t>
      </w:r>
      <w:r w:rsidR="006C6DB6">
        <w:t xml:space="preserve">broadcast </w:t>
      </w:r>
      <w:r w:rsidR="00730754">
        <w:t>services</w:t>
      </w:r>
      <w:r w:rsidR="007B7C7E">
        <w:t xml:space="preserve">. </w:t>
      </w:r>
      <w:r w:rsidR="0001294A">
        <w:t xml:space="preserve"> </w:t>
      </w:r>
      <w:r w:rsidR="00406F56">
        <w:t xml:space="preserve">The specific </w:t>
      </w:r>
      <w:r w:rsidR="005C47A3">
        <w:t>question</w:t>
      </w:r>
      <w:r w:rsidR="00191F7A">
        <w:t xml:space="preserve"> </w:t>
      </w:r>
      <w:r w:rsidR="00406F56">
        <w:t xml:space="preserve">presented here </w:t>
      </w:r>
      <w:r w:rsidR="00191F7A">
        <w:t xml:space="preserve">is whether an </w:t>
      </w:r>
      <w:r w:rsidR="005653E6">
        <w:t xml:space="preserve">auction </w:t>
      </w:r>
      <w:r w:rsidR="00191F7A">
        <w:t xml:space="preserve">applicant can </w:t>
      </w:r>
      <w:r w:rsidR="00191F7A" w:rsidRPr="00AC51D2">
        <w:rPr>
          <w:i/>
        </w:rPr>
        <w:t>amend</w:t>
      </w:r>
      <w:r w:rsidR="00191F7A" w:rsidRPr="00707486">
        <w:t xml:space="preserve"> </w:t>
      </w:r>
      <w:r w:rsidR="00191F7A">
        <w:t>to cu</w:t>
      </w:r>
      <w:r w:rsidR="00055AC7">
        <w:t xml:space="preserve">re a site availability defect—in </w:t>
      </w:r>
      <w:r w:rsidR="00191F7A">
        <w:t xml:space="preserve">other words, </w:t>
      </w:r>
      <w:r w:rsidR="00055AC7">
        <w:t xml:space="preserve">whether </w:t>
      </w:r>
      <w:r w:rsidR="00AC5CEE">
        <w:t>the liber</w:t>
      </w:r>
      <w:r w:rsidR="00B52CA1">
        <w:t>al amendment policy for auctioned services</w:t>
      </w:r>
      <w:r w:rsidR="00220EAD">
        <w:t xml:space="preserve"> </w:t>
      </w:r>
      <w:r w:rsidR="006B30EF">
        <w:t>applies</w:t>
      </w:r>
      <w:r w:rsidR="005653E6">
        <w:t xml:space="preserve"> to</w:t>
      </w:r>
      <w:r w:rsidR="0028692A">
        <w:t xml:space="preserve"> site availability </w:t>
      </w:r>
      <w:r w:rsidR="005C47A3">
        <w:t>defects in the same way that</w:t>
      </w:r>
      <w:r w:rsidR="00191F7A">
        <w:t xml:space="preserve"> it does to other application defects</w:t>
      </w:r>
      <w:r w:rsidR="00236407">
        <w:t>.</w:t>
      </w:r>
      <w:r w:rsidR="00AC5CEE">
        <w:t xml:space="preserve"> </w:t>
      </w:r>
      <w:r w:rsidR="00236407">
        <w:t xml:space="preserve"> </w:t>
      </w:r>
      <w:r w:rsidR="00AC5CEE">
        <w:t>Fo</w:t>
      </w:r>
      <w:r w:rsidR="00CC30E5">
        <w:t>r the reasons stated below, we hold</w:t>
      </w:r>
      <w:r w:rsidR="00AC5CEE">
        <w:t xml:space="preserve"> that </w:t>
      </w:r>
      <w:r w:rsidR="00FC0C21">
        <w:t>it does.</w:t>
      </w:r>
    </w:p>
    <w:p w:rsidR="00070E66" w:rsidRPr="00070E66" w:rsidRDefault="00FC0C21" w:rsidP="00B52CA1">
      <w:pPr>
        <w:pStyle w:val="ParaNum"/>
        <w:widowControl/>
      </w:pPr>
      <w:r>
        <w:rPr>
          <w:i/>
        </w:rPr>
        <w:t>Historical p</w:t>
      </w:r>
      <w:r w:rsidR="00471D51">
        <w:rPr>
          <w:i/>
        </w:rPr>
        <w:t xml:space="preserve">rohibition on </w:t>
      </w:r>
      <w:r w:rsidR="00AD39FE">
        <w:rPr>
          <w:i/>
        </w:rPr>
        <w:t>curative site amendment</w:t>
      </w:r>
      <w:r w:rsidR="00471D51">
        <w:rPr>
          <w:i/>
        </w:rPr>
        <w:t>s</w:t>
      </w:r>
      <w:r w:rsidR="004A6984">
        <w:rPr>
          <w:i/>
        </w:rPr>
        <w:t xml:space="preserve">.  </w:t>
      </w:r>
      <w:r w:rsidR="0028692A">
        <w:t xml:space="preserve">Our case law </w:t>
      </w:r>
      <w:r w:rsidR="00AD39FE">
        <w:t>disallowing curative site amendments</w:t>
      </w:r>
      <w:r w:rsidR="0028692A">
        <w:t xml:space="preserve"> stems back to</w:t>
      </w:r>
      <w:r w:rsidR="004B526E">
        <w:t xml:space="preserve"> the days of comparative hearings</w:t>
      </w:r>
      <w:r w:rsidR="008D2166">
        <w:t xml:space="preserve"> for </w:t>
      </w:r>
      <w:r w:rsidR="00AD39FE">
        <w:t xml:space="preserve">the </w:t>
      </w:r>
      <w:r w:rsidR="008D2166">
        <w:t>commercial broadcast services</w:t>
      </w:r>
      <w:r w:rsidR="004B526E">
        <w:t>.</w:t>
      </w:r>
      <w:r w:rsidR="004B526E" w:rsidRPr="007C0CAD">
        <w:rPr>
          <w:szCs w:val="22"/>
        </w:rPr>
        <w:t xml:space="preserve">  </w:t>
      </w:r>
      <w:r w:rsidR="00B52CA1">
        <w:rPr>
          <w:szCs w:val="22"/>
        </w:rPr>
        <w:t>At</w:t>
      </w:r>
      <w:r w:rsidR="00236407">
        <w:rPr>
          <w:szCs w:val="22"/>
        </w:rPr>
        <w:t xml:space="preserve"> that time, </w:t>
      </w:r>
      <w:r w:rsidR="005653E6">
        <w:rPr>
          <w:szCs w:val="22"/>
        </w:rPr>
        <w:t>any applicant seeking to amend after designation for hearing had to show “</w:t>
      </w:r>
      <w:r w:rsidR="00236407">
        <w:rPr>
          <w:szCs w:val="22"/>
        </w:rPr>
        <w:t>good cause</w:t>
      </w:r>
      <w:r w:rsidR="005653E6">
        <w:rPr>
          <w:szCs w:val="22"/>
        </w:rPr>
        <w:t>.</w:t>
      </w:r>
      <w:r w:rsidR="00236407">
        <w:rPr>
          <w:szCs w:val="22"/>
        </w:rPr>
        <w:t>”</w:t>
      </w:r>
      <w:r w:rsidR="005653E6">
        <w:rPr>
          <w:rStyle w:val="FootnoteReference"/>
          <w:szCs w:val="22"/>
        </w:rPr>
        <w:footnoteReference w:id="11"/>
      </w:r>
      <w:r w:rsidR="00236407">
        <w:rPr>
          <w:szCs w:val="22"/>
        </w:rPr>
        <w:t xml:space="preserve"> </w:t>
      </w:r>
      <w:r w:rsidR="005653E6">
        <w:rPr>
          <w:szCs w:val="22"/>
        </w:rPr>
        <w:t xml:space="preserve"> </w:t>
      </w:r>
      <w:r w:rsidR="006C6DB6">
        <w:rPr>
          <w:szCs w:val="22"/>
        </w:rPr>
        <w:t xml:space="preserve">Specifically, </w:t>
      </w:r>
      <w:r w:rsidR="00B52CA1">
        <w:t xml:space="preserve">the applicant had to demonstrate that it had </w:t>
      </w:r>
      <w:r w:rsidR="00B52CA1" w:rsidRPr="008D2166">
        <w:t>acted with due diligence, that the amendment was not required by its voluntary act, that no additional issues or parties would be required, t</w:t>
      </w:r>
      <w:r w:rsidR="00B52CA1">
        <w:t>hat the hearing process would</w:t>
      </w:r>
      <w:r w:rsidR="00B52CA1" w:rsidRPr="008D2166">
        <w:t xml:space="preserve"> not be disrupted, that there </w:t>
      </w:r>
      <w:r w:rsidR="00B52CA1">
        <w:t>would</w:t>
      </w:r>
      <w:r w:rsidR="00B52CA1" w:rsidRPr="008D2166">
        <w:t xml:space="preserve"> be no prejudice to competing applicants, and that the applicant w</w:t>
      </w:r>
      <w:r w:rsidR="00B52CA1">
        <w:t>ould</w:t>
      </w:r>
      <w:r w:rsidR="005653E6">
        <w:t xml:space="preserve"> not gain a competitive</w:t>
      </w:r>
      <w:r w:rsidR="00B52CA1" w:rsidRPr="008D2166">
        <w:t xml:space="preserve"> advantage.</w:t>
      </w:r>
      <w:r w:rsidR="00B52CA1">
        <w:rPr>
          <w:rStyle w:val="FootnoteReference"/>
        </w:rPr>
        <w:footnoteReference w:id="12"/>
      </w:r>
      <w:r w:rsidR="00B52CA1">
        <w:t xml:space="preserve"> </w:t>
      </w:r>
      <w:r w:rsidR="00B52CA1" w:rsidRPr="008D2166">
        <w:t xml:space="preserve"> </w:t>
      </w:r>
      <w:r w:rsidR="00B52CA1">
        <w:t>In addit</w:t>
      </w:r>
      <w:r w:rsidR="00711F2C">
        <w:t>ion, for engineering amendments</w:t>
      </w:r>
      <w:r w:rsidR="00B52CA1">
        <w:t xml:space="preserve">, </w:t>
      </w:r>
      <w:r w:rsidR="00B52CA1" w:rsidRPr="008D2166">
        <w:t>Section 73.</w:t>
      </w:r>
      <w:r w:rsidR="00B52CA1">
        <w:t>3522(b)(1) of the Rules provided</w:t>
      </w:r>
      <w:r w:rsidR="00B52CA1" w:rsidRPr="008D2166">
        <w:t xml:space="preserve"> that</w:t>
      </w:r>
      <w:r w:rsidR="00B52CA1">
        <w:t xml:space="preserve"> </w:t>
      </w:r>
      <w:r w:rsidR="00226E6E">
        <w:t xml:space="preserve">the applicant must </w:t>
      </w:r>
      <w:r w:rsidR="00B52CA1" w:rsidRPr="008D2166">
        <w:t xml:space="preserve">show that </w:t>
      </w:r>
      <w:r w:rsidR="00B52CA1">
        <w:t>the amendment was</w:t>
      </w:r>
      <w:r w:rsidR="00B52CA1" w:rsidRPr="008D2166">
        <w:t xml:space="preserve"> </w:t>
      </w:r>
      <w:r w:rsidR="005653E6">
        <w:t>necessitated</w:t>
      </w:r>
      <w:r w:rsidR="00B52CA1" w:rsidRPr="008D2166">
        <w:t xml:space="preserve"> by events that the applicant could not have </w:t>
      </w:r>
      <w:r w:rsidR="00B52CA1">
        <w:rPr>
          <w:noProof/>
          <w:snapToGrid/>
          <w:color w:val="0000FF"/>
        </w:rPr>
        <w:drawing>
          <wp:inline distT="0" distB="0" distL="0" distR="0" wp14:anchorId="74FD83BF" wp14:editId="3CB41B64">
            <wp:extent cx="9525" cy="9525"/>
            <wp:effectExtent l="0" t="0" r="0" b="0"/>
            <wp:docPr id="8" name="Picture 8" descr="previous hit">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revious hit">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B52CA1" w:rsidRPr="008D2166">
        <w:t>reasonably foreseen</w:t>
      </w:r>
      <w:r w:rsidR="00B52CA1">
        <w:rPr>
          <w:szCs w:val="22"/>
        </w:rPr>
        <w:t>.</w:t>
      </w:r>
      <w:r w:rsidR="00B52CA1">
        <w:rPr>
          <w:rStyle w:val="FootnoteReference"/>
          <w:szCs w:val="22"/>
        </w:rPr>
        <w:footnoteReference w:id="13"/>
      </w:r>
      <w:r w:rsidR="00226E6E">
        <w:rPr>
          <w:szCs w:val="22"/>
        </w:rPr>
        <w:t xml:space="preserve">  The purpose of this</w:t>
      </w:r>
      <w:r w:rsidR="00B52CA1">
        <w:rPr>
          <w:szCs w:val="22"/>
        </w:rPr>
        <w:t xml:space="preserve"> good cause showing was to</w:t>
      </w:r>
      <w:r w:rsidR="00236407" w:rsidRPr="00B52CA1">
        <w:rPr>
          <w:szCs w:val="22"/>
        </w:rPr>
        <w:t xml:space="preserve"> “</w:t>
      </w:r>
      <w:r w:rsidR="00236407">
        <w:t>secure the most expeditious disposition of hearing cases by freezing proposals of the applicants, thereby clearly delineating the issues and the scope of hearing and permitting adequate preparation and presentation by all the parties.”</w:t>
      </w:r>
      <w:r w:rsidR="00236407">
        <w:rPr>
          <w:rStyle w:val="FootnoteReference"/>
        </w:rPr>
        <w:footnoteReference w:id="14"/>
      </w:r>
      <w:r w:rsidR="00236407">
        <w:t xml:space="preserve">  </w:t>
      </w:r>
    </w:p>
    <w:p w:rsidR="000042FE" w:rsidRDefault="00635215" w:rsidP="001D3966">
      <w:pPr>
        <w:pStyle w:val="ParaNum"/>
        <w:widowControl/>
      </w:pPr>
      <w:r>
        <w:lastRenderedPageBreak/>
        <w:t xml:space="preserve">Like </w:t>
      </w:r>
      <w:r w:rsidR="00E2773E">
        <w:t xml:space="preserve">other post-designation </w:t>
      </w:r>
      <w:r w:rsidR="00711F2C">
        <w:t xml:space="preserve">engineering </w:t>
      </w:r>
      <w:r w:rsidR="00E2773E">
        <w:t>amendment</w:t>
      </w:r>
      <w:r w:rsidR="008D3035">
        <w:t>s</w:t>
      </w:r>
      <w:r w:rsidR="00E2773E">
        <w:t>, amendment</w:t>
      </w:r>
      <w:r w:rsidR="008D3035">
        <w:t>s</w:t>
      </w:r>
      <w:r w:rsidR="00E2773E">
        <w:t xml:space="preserve"> to specify new transmitter site</w:t>
      </w:r>
      <w:r w:rsidR="008D3035">
        <w:t>s</w:t>
      </w:r>
      <w:r w:rsidR="00E2773E">
        <w:t xml:space="preserve"> w</w:t>
      </w:r>
      <w:r w:rsidR="008D3035">
        <w:t>ere</w:t>
      </w:r>
      <w:r w:rsidR="00E2773E">
        <w:t xml:space="preserve"> subject to the Section 73.3522</w:t>
      </w:r>
      <w:r w:rsidR="00423FB7">
        <w:t>(b)(1)</w:t>
      </w:r>
      <w:r w:rsidR="00E2773E">
        <w:t xml:space="preserve"> good cause test.</w:t>
      </w:r>
      <w:r w:rsidR="00F21687">
        <w:rPr>
          <w:rStyle w:val="FootnoteReference"/>
        </w:rPr>
        <w:footnoteReference w:id="15"/>
      </w:r>
      <w:r w:rsidR="001D4CDF">
        <w:t xml:space="preserve">  </w:t>
      </w:r>
      <w:r>
        <w:t>Typically</w:t>
      </w:r>
      <w:r w:rsidR="00E2773E">
        <w:t>, i</w:t>
      </w:r>
      <w:r w:rsidR="00627683">
        <w:t>f the applicant had reasonable assura</w:t>
      </w:r>
      <w:r w:rsidR="00D0663A">
        <w:t xml:space="preserve">nce of the </w:t>
      </w:r>
      <w:r w:rsidR="00E2773E">
        <w:t>availabili</w:t>
      </w:r>
      <w:r>
        <w:t xml:space="preserve">ty </w:t>
      </w:r>
      <w:r w:rsidR="00D0663A">
        <w:t>of</w:t>
      </w:r>
      <w:r>
        <w:t xml:space="preserve"> its</w:t>
      </w:r>
      <w:r w:rsidR="00627683">
        <w:t xml:space="preserve"> original site, the </w:t>
      </w:r>
      <w:r w:rsidR="00E2773E">
        <w:t xml:space="preserve">good cause </w:t>
      </w:r>
      <w:r w:rsidR="00627683">
        <w:t>analysis</w:t>
      </w:r>
      <w:r w:rsidR="002F0A21">
        <w:t xml:space="preserve"> regarding an amendment</w:t>
      </w:r>
      <w:r w:rsidR="00627683">
        <w:t xml:space="preserve"> turned o</w:t>
      </w:r>
      <w:r w:rsidR="00E2773E">
        <w:t xml:space="preserve">n the </w:t>
      </w:r>
      <w:r>
        <w:t>due diligence factor</w:t>
      </w:r>
      <w:r w:rsidR="00E2773E">
        <w:t>—i.e., whether the applicant</w:t>
      </w:r>
      <w:r w:rsidR="00627683">
        <w:t xml:space="preserve"> had </w:t>
      </w:r>
      <w:r w:rsidR="00E2773E">
        <w:t>amended within a reasonable amount of time</w:t>
      </w:r>
      <w:r w:rsidR="00627683">
        <w:t xml:space="preserve"> after losing the </w:t>
      </w:r>
      <w:r w:rsidR="00E2773E">
        <w:t xml:space="preserve">original </w:t>
      </w:r>
      <w:r w:rsidR="00627683">
        <w:t>site.</w:t>
      </w:r>
      <w:r w:rsidR="00627683">
        <w:rPr>
          <w:rStyle w:val="FootnoteReference"/>
        </w:rPr>
        <w:footnoteReference w:id="16"/>
      </w:r>
      <w:r w:rsidR="00136577">
        <w:t xml:space="preserve">  </w:t>
      </w:r>
      <w:r w:rsidR="00BF6958">
        <w:t>However, in cases where</w:t>
      </w:r>
      <w:r w:rsidR="00627683">
        <w:t xml:space="preserve"> the applicant did not have reasonable assurance of </w:t>
      </w:r>
      <w:r w:rsidR="00D0663A">
        <w:t>th</w:t>
      </w:r>
      <w:r w:rsidR="00627683">
        <w:t xml:space="preserve">e availability </w:t>
      </w:r>
      <w:r w:rsidR="00D0663A">
        <w:t>of</w:t>
      </w:r>
      <w:r w:rsidR="00627683">
        <w:t xml:space="preserve"> the original site</w:t>
      </w:r>
      <w:r w:rsidR="009049E8">
        <w:t>, the Section 73.3522</w:t>
      </w:r>
      <w:r w:rsidR="002F0A21">
        <w:t>(b)(1)</w:t>
      </w:r>
      <w:r w:rsidR="008D3035">
        <w:t xml:space="preserve"> good cause test</w:t>
      </w:r>
      <w:r w:rsidR="009049E8">
        <w:t xml:space="preserve"> was</w:t>
      </w:r>
      <w:r w:rsidR="00627683">
        <w:t xml:space="preserve"> rarely</w:t>
      </w:r>
      <w:r w:rsidR="009049E8">
        <w:t>, if ever,</w:t>
      </w:r>
      <w:r w:rsidR="00627683">
        <w:t xml:space="preserve"> satisfied:  </w:t>
      </w:r>
      <w:r w:rsidR="0044308F">
        <w:t>“</w:t>
      </w:r>
      <w:r w:rsidR="00BF12D2">
        <w:t>W</w:t>
      </w:r>
      <w:r w:rsidR="0044308F">
        <w:t xml:space="preserve">here it appears that an applicant did not have “reasonable assurance” of a site to begin with, it is not permitted to amend late in the process because it cannot meet the vigorous “good cause” test specified in </w:t>
      </w:r>
      <w:r w:rsidR="0044308F" w:rsidRPr="000143FC">
        <w:t>47 CFR Sec. 73.3522</w:t>
      </w:r>
      <w:r w:rsidR="0044308F">
        <w:t>.”</w:t>
      </w:r>
      <w:r w:rsidR="0044308F">
        <w:rPr>
          <w:rStyle w:val="FootnoteReference"/>
        </w:rPr>
        <w:footnoteReference w:id="17"/>
      </w:r>
      <w:r w:rsidR="00CB5C32">
        <w:t xml:space="preserve">  </w:t>
      </w:r>
      <w:r w:rsidR="00BF12D2">
        <w:t>Specifically</w:t>
      </w:r>
      <w:r w:rsidR="0044308F">
        <w:t xml:space="preserve">, </w:t>
      </w:r>
      <w:r w:rsidR="00BF12D2">
        <w:t xml:space="preserve">such an applicant </w:t>
      </w:r>
      <w:r w:rsidR="002C3D79">
        <w:t xml:space="preserve">would </w:t>
      </w:r>
      <w:r w:rsidR="00B9370E">
        <w:t>likely</w:t>
      </w:r>
      <w:r w:rsidR="00730754">
        <w:t xml:space="preserve"> fail the foreseeability and voluntariness prongs of th</w:t>
      </w:r>
      <w:r w:rsidR="004D1CD5">
        <w:t>e</w:t>
      </w:r>
      <w:r w:rsidR="00730754">
        <w:t xml:space="preserve"> test.</w:t>
      </w:r>
      <w:r w:rsidR="004D1CD5">
        <w:rPr>
          <w:rStyle w:val="FootnoteReference"/>
        </w:rPr>
        <w:footnoteReference w:id="18"/>
      </w:r>
      <w:r w:rsidR="00730754">
        <w:t xml:space="preserve">  </w:t>
      </w:r>
      <w:r w:rsidR="00307DA6">
        <w:t>It is in this context that</w:t>
      </w:r>
      <w:r w:rsidR="00385E07">
        <w:t xml:space="preserve">, in the frequently cited </w:t>
      </w:r>
      <w:r w:rsidR="00385E07">
        <w:rPr>
          <w:i/>
        </w:rPr>
        <w:t>South Florida</w:t>
      </w:r>
      <w:r w:rsidR="009049E8">
        <w:rPr>
          <w:i/>
        </w:rPr>
        <w:t xml:space="preserve"> </w:t>
      </w:r>
      <w:r w:rsidR="009049E8">
        <w:t>case</w:t>
      </w:r>
      <w:r w:rsidR="00385E07">
        <w:t xml:space="preserve">, the </w:t>
      </w:r>
      <w:r w:rsidR="004D1CD5">
        <w:t xml:space="preserve">Commission </w:t>
      </w:r>
      <w:r w:rsidR="00730754">
        <w:t>concluded</w:t>
      </w:r>
      <w:r w:rsidR="00385E07">
        <w:t xml:space="preserve"> that</w:t>
      </w:r>
      <w:r w:rsidR="00385E07">
        <w:rPr>
          <w:i/>
        </w:rPr>
        <w:t xml:space="preserve"> </w:t>
      </w:r>
      <w:r w:rsidR="003C71D7">
        <w:t>“an applicant will not be permitted to amend where it does not have the requisite ‘reas</w:t>
      </w:r>
      <w:r w:rsidR="0084783B">
        <w:t>onable assurance’ to begin with.</w:t>
      </w:r>
      <w:r w:rsidR="003C71D7">
        <w:t>”</w:t>
      </w:r>
      <w:r w:rsidR="003C71D7">
        <w:rPr>
          <w:rStyle w:val="FootnoteReference"/>
        </w:rPr>
        <w:footnoteReference w:id="19"/>
      </w:r>
      <w:r w:rsidR="003C71D7">
        <w:t xml:space="preserve"> </w:t>
      </w:r>
      <w:r w:rsidR="00385E07">
        <w:t xml:space="preserve"> </w:t>
      </w:r>
      <w:r w:rsidR="00730754">
        <w:t xml:space="preserve">Although </w:t>
      </w:r>
      <w:r w:rsidR="00D441C4">
        <w:t xml:space="preserve">this statement </w:t>
      </w:r>
      <w:r w:rsidR="00706282">
        <w:t>has been</w:t>
      </w:r>
      <w:r w:rsidR="00D441C4">
        <w:t xml:space="preserve"> </w:t>
      </w:r>
      <w:r w:rsidR="00D662EF">
        <w:t>quoted</w:t>
      </w:r>
      <w:r w:rsidR="00640E67">
        <w:t xml:space="preserve"> </w:t>
      </w:r>
      <w:r w:rsidR="00B9370E">
        <w:t>as a standalone proposition</w:t>
      </w:r>
      <w:r w:rsidR="00042EB8">
        <w:t>,</w:t>
      </w:r>
      <w:r w:rsidR="0078651C">
        <w:rPr>
          <w:rStyle w:val="FootnoteReference"/>
        </w:rPr>
        <w:footnoteReference w:id="20"/>
      </w:r>
      <w:r w:rsidR="004D1CD5">
        <w:t xml:space="preserve"> </w:t>
      </w:r>
      <w:r w:rsidR="00B55F15">
        <w:t xml:space="preserve">in </w:t>
      </w:r>
      <w:r w:rsidR="00B55F15">
        <w:rPr>
          <w:i/>
        </w:rPr>
        <w:t xml:space="preserve">South Florida </w:t>
      </w:r>
      <w:r w:rsidR="00F3102F">
        <w:t xml:space="preserve">itself </w:t>
      </w:r>
      <w:r w:rsidR="0039176A">
        <w:t>the</w:t>
      </w:r>
      <w:r w:rsidR="004349F2">
        <w:t xml:space="preserve"> Review Board </w:t>
      </w:r>
      <w:r w:rsidR="00042EB8">
        <w:t>clearly articulated th</w:t>
      </w:r>
      <w:r w:rsidR="00423FB7">
        <w:t>at</w:t>
      </w:r>
      <w:r w:rsidR="004562FF">
        <w:t xml:space="preserve">, </w:t>
      </w:r>
      <w:r w:rsidR="00147C22">
        <w:t>in remanding for</w:t>
      </w:r>
      <w:r w:rsidR="004562FF">
        <w:t xml:space="preserve"> </w:t>
      </w:r>
      <w:r w:rsidR="00E12080">
        <w:t>an evidentiary hearing,</w:t>
      </w:r>
      <w:r w:rsidR="00C13AE2">
        <w:t xml:space="preserve"> it was </w:t>
      </w:r>
      <w:r w:rsidR="00147C22">
        <w:t xml:space="preserve">in fact </w:t>
      </w:r>
      <w:r w:rsidR="004349F2">
        <w:t xml:space="preserve">applying </w:t>
      </w:r>
      <w:r w:rsidR="00E12080">
        <w:t xml:space="preserve">the </w:t>
      </w:r>
      <w:r w:rsidR="004349F2">
        <w:t>Section 73.3522(b)(1)</w:t>
      </w:r>
      <w:r w:rsidR="00E12080">
        <w:t xml:space="preserve"> good cause test: “Only after these issues [initial site availability] </w:t>
      </w:r>
      <w:r w:rsidR="004562FF">
        <w:t xml:space="preserve">are tried </w:t>
      </w:r>
      <w:r w:rsidR="00E12080">
        <w:t>can we determine if ‘ . . . the amendment is necessitated by events which the applicant could not reasonably have foreseen. . . .’ 47 CFR Sec. 73.3522(b)(1)(i).”</w:t>
      </w:r>
      <w:r w:rsidR="001C30BA">
        <w:rPr>
          <w:rStyle w:val="FootnoteReference"/>
        </w:rPr>
        <w:footnoteReference w:id="21"/>
      </w:r>
      <w:r w:rsidR="004449DD">
        <w:t xml:space="preserve">  </w:t>
      </w:r>
      <w:r w:rsidR="00147C22">
        <w:t>Th</w:t>
      </w:r>
      <w:r w:rsidR="00060A22">
        <w:t>us, the case law</w:t>
      </w:r>
      <w:r w:rsidR="00C13AE2">
        <w:t xml:space="preserve"> </w:t>
      </w:r>
      <w:r w:rsidR="006F13FC">
        <w:t>show</w:t>
      </w:r>
      <w:r w:rsidR="00060A22">
        <w:t>s</w:t>
      </w:r>
      <w:r w:rsidR="00423FB7">
        <w:t xml:space="preserve"> that the prohibition on </w:t>
      </w:r>
      <w:r w:rsidR="00AD39FE">
        <w:t>curative site amendment</w:t>
      </w:r>
      <w:r w:rsidR="00423FB7">
        <w:t>s</w:t>
      </w:r>
      <w:r w:rsidR="00F03276">
        <w:t xml:space="preserve"> </w:t>
      </w:r>
      <w:r w:rsidR="00042EB8">
        <w:t xml:space="preserve">was </w:t>
      </w:r>
      <w:r w:rsidR="00711F2C">
        <w:t>a result of the application</w:t>
      </w:r>
      <w:r w:rsidR="00060A22">
        <w:t xml:space="preserve"> of</w:t>
      </w:r>
      <w:r w:rsidR="00423FB7">
        <w:t xml:space="preserve"> the </w:t>
      </w:r>
      <w:r w:rsidR="00640E67">
        <w:t>Section 73.3522(b)(1) good cause test</w:t>
      </w:r>
      <w:r w:rsidR="00423FB7">
        <w:t>.</w:t>
      </w:r>
      <w:r w:rsidR="00640E67">
        <w:t xml:space="preserve"> </w:t>
      </w:r>
    </w:p>
    <w:p w:rsidR="003E1BBB" w:rsidRDefault="00640E67" w:rsidP="000042FE">
      <w:pPr>
        <w:pStyle w:val="ParaNum"/>
        <w:widowControl/>
      </w:pPr>
      <w:r>
        <w:rPr>
          <w:i/>
        </w:rPr>
        <w:t xml:space="preserve">Liberal amendment policy.  </w:t>
      </w:r>
      <w:r w:rsidR="0091381B">
        <w:t xml:space="preserve">In 1998, </w:t>
      </w:r>
      <w:r w:rsidR="00EA5290">
        <w:t xml:space="preserve">the Commission revised </w:t>
      </w:r>
      <w:r>
        <w:t xml:space="preserve">Section 73.3522.  </w:t>
      </w:r>
      <w:r w:rsidR="00471D51">
        <w:t>With</w:t>
      </w:r>
      <w:r>
        <w:t xml:space="preserve"> </w:t>
      </w:r>
      <w:r w:rsidR="00CB5C32">
        <w:t xml:space="preserve">the advent of competitive bidding, </w:t>
      </w:r>
      <w:r w:rsidR="00C47BEA">
        <w:t>two</w:t>
      </w:r>
      <w:r w:rsidR="0091381B">
        <w:t xml:space="preserve"> </w:t>
      </w:r>
      <w:r w:rsidR="00CB5C32">
        <w:t>separat</w:t>
      </w:r>
      <w:r w:rsidR="001A7F6A">
        <w:t xml:space="preserve">e </w:t>
      </w:r>
      <w:r w:rsidR="00F8153A">
        <w:t xml:space="preserve">amendment </w:t>
      </w:r>
      <w:r w:rsidR="001A7F6A">
        <w:t>procedures</w:t>
      </w:r>
      <w:r w:rsidR="00471D51">
        <w:t xml:space="preserve"> </w:t>
      </w:r>
      <w:r w:rsidR="00B9370E">
        <w:t>were created</w:t>
      </w:r>
      <w:r w:rsidR="00CB5C32">
        <w:t>.</w:t>
      </w:r>
      <w:r w:rsidR="009C785F">
        <w:rPr>
          <w:rStyle w:val="FootnoteReference"/>
        </w:rPr>
        <w:footnoteReference w:id="22"/>
      </w:r>
      <w:r w:rsidR="00CB5C32">
        <w:t xml:space="preserve">  </w:t>
      </w:r>
      <w:r w:rsidR="00AD39FE">
        <w:t>New</w:t>
      </w:r>
      <w:r w:rsidR="00C13AE2">
        <w:t xml:space="preserve"> </w:t>
      </w:r>
      <w:r w:rsidR="00D67A83">
        <w:t>Section 73.3522(a)</w:t>
      </w:r>
      <w:r w:rsidR="00471D51">
        <w:t xml:space="preserve"> </w:t>
      </w:r>
      <w:r w:rsidR="00C13AE2">
        <w:t xml:space="preserve">established an </w:t>
      </w:r>
      <w:r w:rsidR="0003017B">
        <w:t xml:space="preserve">application </w:t>
      </w:r>
      <w:r w:rsidR="00C13AE2">
        <w:t>amendment procedure applicable</w:t>
      </w:r>
      <w:r w:rsidR="006F13FC">
        <w:t xml:space="preserve"> only</w:t>
      </w:r>
      <w:r w:rsidR="00C13AE2">
        <w:t xml:space="preserve"> to </w:t>
      </w:r>
      <w:r w:rsidR="009C785F">
        <w:t xml:space="preserve">broadcast </w:t>
      </w:r>
      <w:r w:rsidR="00D67A83">
        <w:t>services subject to competitive b</w:t>
      </w:r>
      <w:r w:rsidR="002D0FF4">
        <w:t>idding—i.e.,</w:t>
      </w:r>
      <w:r w:rsidR="00242848">
        <w:t xml:space="preserve"> auctioned services</w:t>
      </w:r>
      <w:r w:rsidR="00D67A83">
        <w:t>.</w:t>
      </w:r>
      <w:r w:rsidR="00C13AE2">
        <w:rPr>
          <w:rStyle w:val="FootnoteReference"/>
        </w:rPr>
        <w:footnoteReference w:id="23"/>
      </w:r>
      <w:r w:rsidR="00D67A83">
        <w:t xml:space="preserve">  Section 73.3522(b)</w:t>
      </w:r>
      <w:r w:rsidR="00C13AE2">
        <w:t xml:space="preserve"> was modified and reduced in scope</w:t>
      </w:r>
      <w:r w:rsidR="00F03276">
        <w:t xml:space="preserve">, </w:t>
      </w:r>
      <w:r w:rsidR="00C13AE2">
        <w:t>apply</w:t>
      </w:r>
      <w:r w:rsidR="00F03276">
        <w:t>ing</w:t>
      </w:r>
      <w:r w:rsidR="00C13AE2">
        <w:t xml:space="preserve"> only</w:t>
      </w:r>
      <w:r w:rsidR="00D67A83">
        <w:t xml:space="preserve"> to reserved channel FM </w:t>
      </w:r>
      <w:r w:rsidR="009C785F">
        <w:t>and r</w:t>
      </w:r>
      <w:r w:rsidR="00136210">
        <w:t>eserved noncommercial educational (“NCE”)</w:t>
      </w:r>
      <w:r w:rsidR="00F8153A">
        <w:t xml:space="preserve"> services</w:t>
      </w:r>
      <w:r w:rsidR="009C785F">
        <w:t>.</w:t>
      </w:r>
      <w:r w:rsidR="00D00FF5">
        <w:rPr>
          <w:rStyle w:val="FootnoteReference"/>
        </w:rPr>
        <w:footnoteReference w:id="24"/>
      </w:r>
      <w:r w:rsidR="00136210">
        <w:t xml:space="preserve"> </w:t>
      </w:r>
      <w:r w:rsidR="00F8153A">
        <w:t xml:space="preserve"> </w:t>
      </w:r>
      <w:r w:rsidR="00242848">
        <w:t xml:space="preserve">Although </w:t>
      </w:r>
      <w:r w:rsidR="00C13AE2">
        <w:t>Section 73.3522(b) retained the “good cause</w:t>
      </w:r>
      <w:r w:rsidR="00AD39FE">
        <w:t>” requirement</w:t>
      </w:r>
      <w:r w:rsidR="00C13AE2">
        <w:t xml:space="preserve">, </w:t>
      </w:r>
      <w:r w:rsidR="00D00FF5">
        <w:t xml:space="preserve">new </w:t>
      </w:r>
      <w:r w:rsidR="0076299B">
        <w:t xml:space="preserve">Section 73.3522(a) </w:t>
      </w:r>
      <w:r w:rsidR="009C785F">
        <w:t xml:space="preserve">eliminated </w:t>
      </w:r>
      <w:r w:rsidR="0076299B">
        <w:t xml:space="preserve">this test </w:t>
      </w:r>
      <w:r w:rsidR="00D93127">
        <w:t>for “winning bidders or non-mutually exclusive applicants for a new station or a major change in an existing station</w:t>
      </w:r>
      <w:r w:rsidR="0076299B">
        <w:t>.</w:t>
      </w:r>
      <w:r w:rsidR="00D93127">
        <w:t>”</w:t>
      </w:r>
      <w:r w:rsidR="009C785F">
        <w:t xml:space="preserve"> </w:t>
      </w:r>
      <w:r w:rsidR="00D93127" w:rsidRPr="00D93127">
        <w:t xml:space="preserve"> </w:t>
      </w:r>
      <w:r w:rsidR="0076299B">
        <w:t>In its place</w:t>
      </w:r>
      <w:r w:rsidR="00242848">
        <w:t>, the Commission establi</w:t>
      </w:r>
      <w:r w:rsidR="00032CC6">
        <w:t>shed a</w:t>
      </w:r>
      <w:r w:rsidR="00D93127">
        <w:t xml:space="preserve"> </w:t>
      </w:r>
      <w:r w:rsidR="00032CC6">
        <w:t>liberal amendment policy</w:t>
      </w:r>
      <w:r w:rsidR="00D93127">
        <w:t>,</w:t>
      </w:r>
      <w:r w:rsidR="00C22806">
        <w:t xml:space="preserve"> permitting </w:t>
      </w:r>
      <w:r w:rsidR="00D93127">
        <w:t>auction</w:t>
      </w:r>
      <w:r w:rsidR="00C22806">
        <w:t xml:space="preserve"> applicants to</w:t>
      </w:r>
      <w:r w:rsidR="002D0FF4">
        <w:t xml:space="preserve"> file amendments to cure</w:t>
      </w:r>
      <w:r w:rsidR="00032CC6">
        <w:t xml:space="preserve"> “any defect, omission or inconsistency identified by the Commission, or to make minor modifications to the application . . .</w:t>
      </w:r>
      <w:r w:rsidR="00E66991">
        <w:t xml:space="preserve"> </w:t>
      </w:r>
      <w:r w:rsidR="0091381B">
        <w:t>.</w:t>
      </w:r>
      <w:r w:rsidR="00032CC6">
        <w:t>”</w:t>
      </w:r>
      <w:r w:rsidR="0091381B">
        <w:rPr>
          <w:rStyle w:val="FootnoteReference"/>
        </w:rPr>
        <w:footnoteReference w:id="25"/>
      </w:r>
      <w:r w:rsidR="0091381B">
        <w:t xml:space="preserve">  In the </w:t>
      </w:r>
      <w:r w:rsidR="0091381B">
        <w:rPr>
          <w:i/>
        </w:rPr>
        <w:t>Auction Order</w:t>
      </w:r>
      <w:r w:rsidR="00032CC6">
        <w:t>,</w:t>
      </w:r>
      <w:r w:rsidR="00F03276">
        <w:t xml:space="preserve"> the Commission explained</w:t>
      </w:r>
      <w:r w:rsidR="00D00FF5">
        <w:t xml:space="preserve"> the reason for</w:t>
      </w:r>
      <w:r w:rsidR="00F03276">
        <w:t xml:space="preserve"> the</w:t>
      </w:r>
      <w:r w:rsidR="00032CC6">
        <w:t xml:space="preserve"> new procedure:</w:t>
      </w:r>
      <w:r w:rsidR="0091381B">
        <w:t xml:space="preserve"> </w:t>
      </w:r>
    </w:p>
    <w:p w:rsidR="00032CC6" w:rsidRDefault="003E1BBB" w:rsidP="003E1BBB">
      <w:pPr>
        <w:pStyle w:val="ParaNum"/>
        <w:widowControl/>
        <w:numPr>
          <w:ilvl w:val="0"/>
          <w:numId w:val="0"/>
        </w:numPr>
        <w:ind w:left="720"/>
      </w:pPr>
      <w:r>
        <w:t>We believe t</w:t>
      </w:r>
      <w:r w:rsidR="00D00A78" w:rsidRPr="00D00A78">
        <w:t xml:space="preserve">he relatively smaller volume of long-forms requiring processing permits us to accomplish our operational goals in a less restrictive manner and warrants liberalization of the procedures now applied to defective broadcast and secondary broadcast service applications. </w:t>
      </w:r>
      <w:r w:rsidR="00D00A78">
        <w:t xml:space="preserve"> </w:t>
      </w:r>
      <w:r w:rsidR="00D00A78" w:rsidRPr="00D00A78">
        <w:t>Accordingly, we shall adopt a more lenient approach toward the processing of defective broadcast applications for new facilities and major changes, employing staff deficiency letters, and permitting multiple corrective amendments, if necessary.</w:t>
      </w:r>
      <w:r w:rsidR="00D00A78">
        <w:rPr>
          <w:rStyle w:val="FootnoteReference"/>
        </w:rPr>
        <w:footnoteReference w:id="26"/>
      </w:r>
      <w:r w:rsidR="000042FE" w:rsidRPr="000042FE">
        <w:t xml:space="preserve"> </w:t>
      </w:r>
      <w:r w:rsidR="000042FE">
        <w:t xml:space="preserve"> </w:t>
      </w:r>
    </w:p>
    <w:p w:rsidR="00AD39FE" w:rsidRDefault="00AD39FE" w:rsidP="00AD39FE">
      <w:pPr>
        <w:pStyle w:val="ParaNum"/>
        <w:widowControl/>
        <w:numPr>
          <w:ilvl w:val="0"/>
          <w:numId w:val="0"/>
        </w:numPr>
      </w:pPr>
      <w:r>
        <w:t xml:space="preserve">The Commission </w:t>
      </w:r>
      <w:r w:rsidR="009246B3">
        <w:t xml:space="preserve">went on to </w:t>
      </w:r>
      <w:r w:rsidR="00D531BC">
        <w:t>specifically</w:t>
      </w:r>
      <w:r w:rsidR="00801BA6">
        <w:t xml:space="preserve"> </w:t>
      </w:r>
      <w:r>
        <w:t>discuss</w:t>
      </w:r>
      <w:r w:rsidR="00F03276">
        <w:t xml:space="preserve"> the treatment of</w:t>
      </w:r>
      <w:r>
        <w:t xml:space="preserve"> previously “fatal” defects</w:t>
      </w:r>
      <w:r w:rsidR="00F03276">
        <w:t xml:space="preserve"> under the new regime</w:t>
      </w:r>
      <w:r>
        <w:t>:  “</w:t>
      </w:r>
      <w:r w:rsidR="00D531BC">
        <w:t>Long-form applications for new facilities and for major changes in existing facilities in all broadcast services will no longer be immediately returned for defects pertaining to completeness or technical or legal acceptance criteria, without ample opportunity to correct the deficiency . . . t</w:t>
      </w:r>
      <w:r>
        <w:t>he new processing standards for broadcast long-form applications will enable applicants for new facilities and for major changes to avoid dismissal and to liberally correct heretofore fatal defects in application information.”</w:t>
      </w:r>
      <w:r>
        <w:rPr>
          <w:rStyle w:val="FootnoteReference"/>
        </w:rPr>
        <w:footnoteReference w:id="27"/>
      </w:r>
      <w:r>
        <w:t xml:space="preserve"> </w:t>
      </w:r>
    </w:p>
    <w:p w:rsidR="00A05227" w:rsidRDefault="009246B3" w:rsidP="000042FE">
      <w:pPr>
        <w:pStyle w:val="ParaNum"/>
        <w:widowControl/>
      </w:pPr>
      <w:r>
        <w:rPr>
          <w:i/>
        </w:rPr>
        <w:t>P</w:t>
      </w:r>
      <w:r w:rsidR="0076299B">
        <w:rPr>
          <w:i/>
        </w:rPr>
        <w:t>ost-1998</w:t>
      </w:r>
      <w:r>
        <w:rPr>
          <w:i/>
        </w:rPr>
        <w:t xml:space="preserve"> case law</w:t>
      </w:r>
      <w:r w:rsidR="0076299B">
        <w:rPr>
          <w:i/>
        </w:rPr>
        <w:t xml:space="preserve">.  </w:t>
      </w:r>
      <w:r w:rsidR="006F13FC">
        <w:t xml:space="preserve">Commission </w:t>
      </w:r>
      <w:r w:rsidR="00060A22">
        <w:t>case law</w:t>
      </w:r>
      <w:r w:rsidR="006F13FC">
        <w:t xml:space="preserve"> since 1998 </w:t>
      </w:r>
      <w:r w:rsidR="00060A22">
        <w:t>is</w:t>
      </w:r>
      <w:r w:rsidR="006F13FC">
        <w:t xml:space="preserve"> divided on </w:t>
      </w:r>
      <w:r w:rsidR="00060A22">
        <w:t>which of these two policies properly controls auction-related site amendments</w:t>
      </w:r>
      <w:r w:rsidR="006F13FC">
        <w:t xml:space="preserve">.  </w:t>
      </w:r>
      <w:r w:rsidR="0076299B">
        <w:t xml:space="preserve">In </w:t>
      </w:r>
      <w:r>
        <w:t xml:space="preserve">the 2001 </w:t>
      </w:r>
      <w:r>
        <w:rPr>
          <w:i/>
        </w:rPr>
        <w:t xml:space="preserve">Liberty </w:t>
      </w:r>
      <w:r>
        <w:t>decision</w:t>
      </w:r>
      <w:r w:rsidR="00471D51">
        <w:t xml:space="preserve">, the Commission accepted a </w:t>
      </w:r>
      <w:r w:rsidR="006F13FC">
        <w:t xml:space="preserve">curative </w:t>
      </w:r>
      <w:r w:rsidR="00AD39FE">
        <w:t xml:space="preserve">site </w:t>
      </w:r>
      <w:r w:rsidR="00471D51">
        <w:t xml:space="preserve">amendment under the </w:t>
      </w:r>
      <w:r w:rsidR="0076299B">
        <w:t>liberal amendment policy</w:t>
      </w:r>
      <w:r w:rsidR="00471D51">
        <w:t xml:space="preserve">, observing that “Sections </w:t>
      </w:r>
      <w:r w:rsidR="00471D51">
        <w:rPr>
          <w:noProof/>
          <w:snapToGrid/>
          <w:color w:val="0000FF"/>
        </w:rPr>
        <w:drawing>
          <wp:inline distT="0" distB="0" distL="0" distR="0" wp14:anchorId="78A8021E" wp14:editId="60662791">
            <wp:extent cx="9525" cy="9525"/>
            <wp:effectExtent l="0" t="0" r="0" b="0"/>
            <wp:docPr id="14" name="Picture 14" descr="previous hi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evious hit">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471D51">
        <w:rPr>
          <w:rStyle w:val="displayhltext"/>
        </w:rPr>
        <w:t>73.3522(a</w:t>
      </w:r>
      <w:r w:rsidR="00471D51">
        <w:rPr>
          <w:noProof/>
          <w:snapToGrid/>
          <w:color w:val="0000FF"/>
        </w:rPr>
        <w:drawing>
          <wp:inline distT="0" distB="0" distL="0" distR="0" wp14:anchorId="4A08CA74" wp14:editId="4E4BA9BE">
            <wp:extent cx="9525" cy="9525"/>
            <wp:effectExtent l="0" t="0" r="0" b="0"/>
            <wp:docPr id="7" name="Picture 7" descr="next hit">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ext hit">
                      <a:hlinkClick r:id="rId12"/>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471D51">
        <w:t xml:space="preserve">) and 73.3573, governing post-auction amendments, do not require that an amendment be supported by good cause and the unavailability of the original site would not, in any event, be a basis to </w:t>
      </w:r>
      <w:r w:rsidR="0076299B">
        <w:t>reject a site amendment . . .</w:t>
      </w:r>
      <w:r w:rsidR="006D4026">
        <w:t xml:space="preserve"> </w:t>
      </w:r>
      <w:r>
        <w:t>.”</w:t>
      </w:r>
      <w:r w:rsidR="00471D51">
        <w:rPr>
          <w:rStyle w:val="FootnoteReference"/>
        </w:rPr>
        <w:footnoteReference w:id="28"/>
      </w:r>
      <w:r w:rsidR="00471D51">
        <w:t xml:space="preserve">  </w:t>
      </w:r>
      <w:r w:rsidR="00060A22">
        <w:t>Subsequently, however</w:t>
      </w:r>
      <w:r w:rsidR="008A61D0">
        <w:t>, i</w:t>
      </w:r>
      <w:r w:rsidR="00B044B2">
        <w:t xml:space="preserve">n </w:t>
      </w:r>
      <w:r>
        <w:t xml:space="preserve">the 2008 </w:t>
      </w:r>
      <w:r>
        <w:rPr>
          <w:i/>
        </w:rPr>
        <w:t xml:space="preserve">Schober </w:t>
      </w:r>
      <w:r>
        <w:t>decision</w:t>
      </w:r>
      <w:r w:rsidR="008A61D0">
        <w:t xml:space="preserve">, </w:t>
      </w:r>
      <w:r w:rsidR="00D441C4">
        <w:t xml:space="preserve">the Commission </w:t>
      </w:r>
      <w:r w:rsidR="002D0FF4">
        <w:t>disallowed</w:t>
      </w:r>
      <w:r w:rsidR="00D441C4">
        <w:t xml:space="preserve"> a</w:t>
      </w:r>
      <w:r w:rsidR="00C22806">
        <w:t>n</w:t>
      </w:r>
      <w:r w:rsidR="00B044B2">
        <w:t xml:space="preserve"> amendment</w:t>
      </w:r>
      <w:r w:rsidR="00D441C4">
        <w:t xml:space="preserve"> </w:t>
      </w:r>
      <w:r w:rsidR="00C22806">
        <w:t>filed by a</w:t>
      </w:r>
      <w:r w:rsidR="00060A22">
        <w:t xml:space="preserve"> </w:t>
      </w:r>
      <w:r w:rsidR="00C22806">
        <w:t xml:space="preserve">non-mutually exclusive applicant </w:t>
      </w:r>
      <w:r w:rsidR="00471D51">
        <w:t xml:space="preserve">(“singleton”) </w:t>
      </w:r>
      <w:r w:rsidR="00C22806">
        <w:t>for an FM translator station</w:t>
      </w:r>
      <w:r w:rsidR="00060A22">
        <w:t xml:space="preserve">, </w:t>
      </w:r>
      <w:r w:rsidR="00471D51">
        <w:t>citing</w:t>
      </w:r>
      <w:r w:rsidR="00D441C4">
        <w:t xml:space="preserve"> </w:t>
      </w:r>
      <w:r w:rsidR="00060A22">
        <w:t xml:space="preserve">to </w:t>
      </w:r>
      <w:r w:rsidR="00176B4F">
        <w:t xml:space="preserve">comparative hearing cases </w:t>
      </w:r>
      <w:r w:rsidR="00471D51">
        <w:t>but</w:t>
      </w:r>
      <w:r w:rsidR="008A61D0">
        <w:t xml:space="preserve"> </w:t>
      </w:r>
      <w:r w:rsidR="00471D51">
        <w:t>making</w:t>
      </w:r>
      <w:r w:rsidR="002D0FF4">
        <w:t xml:space="preserve"> no mention of </w:t>
      </w:r>
      <w:r w:rsidR="008A61D0">
        <w:t xml:space="preserve">the </w:t>
      </w:r>
      <w:r w:rsidR="002D0FF4">
        <w:t>Section 73.3522(a)</w:t>
      </w:r>
      <w:r w:rsidR="00911BE4">
        <w:t xml:space="preserve"> liberal amendment policy</w:t>
      </w:r>
      <w:r w:rsidR="00C22806">
        <w:t>.</w:t>
      </w:r>
      <w:r w:rsidR="00AB74BD">
        <w:rPr>
          <w:rStyle w:val="FootnoteReference"/>
        </w:rPr>
        <w:footnoteReference w:id="29"/>
      </w:r>
      <w:r w:rsidR="00C22806">
        <w:t xml:space="preserve">  </w:t>
      </w:r>
      <w:r w:rsidR="00D7687E">
        <w:t>More r</w:t>
      </w:r>
      <w:r w:rsidR="008A61D0">
        <w:t xml:space="preserve">ecently, </w:t>
      </w:r>
      <w:r w:rsidR="00D7687E">
        <w:t xml:space="preserve">in the 2014 </w:t>
      </w:r>
      <w:r w:rsidR="00D7687E">
        <w:rPr>
          <w:i/>
        </w:rPr>
        <w:t xml:space="preserve">Able </w:t>
      </w:r>
      <w:r w:rsidR="00D7687E">
        <w:t xml:space="preserve">decision, </w:t>
      </w:r>
      <w:r w:rsidR="008A61D0">
        <w:t>the Commission</w:t>
      </w:r>
      <w:r w:rsidR="00897CCE">
        <w:t xml:space="preserve"> held that an </w:t>
      </w:r>
      <w:r w:rsidR="008A61D0">
        <w:t xml:space="preserve">auction </w:t>
      </w:r>
      <w:r w:rsidR="00897CCE">
        <w:t>applicant could amend to cure a</w:t>
      </w:r>
      <w:r w:rsidR="00DD6CBD">
        <w:t xml:space="preserve"> site availability issue relating to a</w:t>
      </w:r>
      <w:r w:rsidR="00897CCE">
        <w:t xml:space="preserve"> </w:t>
      </w:r>
      <w:r w:rsidR="00911BE4" w:rsidRPr="00DD6CBD">
        <w:t>previous</w:t>
      </w:r>
      <w:r w:rsidR="00897CCE" w:rsidRPr="00DD6CBD">
        <w:t xml:space="preserve"> amendment</w:t>
      </w:r>
      <w:r w:rsidR="00DC7F2D">
        <w:t>, explaining</w:t>
      </w:r>
      <w:r w:rsidR="00471D51">
        <w:t xml:space="preserve"> that under the liberal amendment policy,</w:t>
      </w:r>
      <w:r w:rsidR="00897CCE">
        <w:t xml:space="preserve"> the Commission “expressly and deliberately” treats auction winners </w:t>
      </w:r>
      <w:r w:rsidR="00897CCE" w:rsidRPr="00E7792D">
        <w:rPr>
          <w:snapToGrid/>
        </w:rPr>
        <w:t>dissimilarly to other</w:t>
      </w:r>
      <w:r w:rsidR="00897CCE">
        <w:rPr>
          <w:snapToGrid/>
        </w:rPr>
        <w:t>,</w:t>
      </w:r>
      <w:r w:rsidR="00897CCE" w:rsidRPr="00E7792D">
        <w:rPr>
          <w:snapToGrid/>
        </w:rPr>
        <w:t xml:space="preserve"> non-auction, applicants </w:t>
      </w:r>
      <w:r w:rsidR="00911BE4">
        <w:rPr>
          <w:snapToGrid/>
        </w:rPr>
        <w:t>because</w:t>
      </w:r>
      <w:r w:rsidR="00897CCE" w:rsidRPr="00E7792D">
        <w:rPr>
          <w:snapToGrid/>
        </w:rPr>
        <w:t xml:space="preserve"> “the competitive bidding process itself [lessens] the incentive for insincere application filings.”</w:t>
      </w:r>
      <w:r w:rsidR="00897CCE" w:rsidRPr="00E7792D">
        <w:rPr>
          <w:rStyle w:val="FootnoteReference"/>
          <w:snapToGrid/>
        </w:rPr>
        <w:footnoteReference w:id="30"/>
      </w:r>
      <w:r w:rsidR="00897CCE" w:rsidRPr="00E7792D">
        <w:rPr>
          <w:snapToGrid/>
        </w:rPr>
        <w:t xml:space="preserve">  </w:t>
      </w:r>
    </w:p>
    <w:p w:rsidR="008A61D0" w:rsidRDefault="00D7687E" w:rsidP="000042FE">
      <w:pPr>
        <w:pStyle w:val="ParaNum"/>
        <w:widowControl/>
      </w:pPr>
      <w:r>
        <w:rPr>
          <w:i/>
        </w:rPr>
        <w:t xml:space="preserve">Conclusion.  </w:t>
      </w:r>
      <w:r w:rsidR="00014290">
        <w:t xml:space="preserve">As explained in </w:t>
      </w:r>
      <w:r w:rsidR="00183510">
        <w:t>the case history and policy goals</w:t>
      </w:r>
      <w:r w:rsidR="00707486">
        <w:t xml:space="preserve"> outlined above, the </w:t>
      </w:r>
      <w:r>
        <w:t xml:space="preserve">historical </w:t>
      </w:r>
      <w:r w:rsidR="00707486">
        <w:t xml:space="preserve">prohibition on </w:t>
      </w:r>
      <w:r w:rsidR="00AD39FE">
        <w:t xml:space="preserve">curative </w:t>
      </w:r>
      <w:r w:rsidR="00707486">
        <w:t xml:space="preserve">site amendments has little </w:t>
      </w:r>
      <w:r w:rsidR="008A61D0">
        <w:t xml:space="preserve">utility or </w:t>
      </w:r>
      <w:r w:rsidR="003E1BBB">
        <w:t xml:space="preserve">justification </w:t>
      </w:r>
      <w:r w:rsidR="00707486">
        <w:t>in the auction context</w:t>
      </w:r>
      <w:r w:rsidR="00A85119">
        <w:t xml:space="preserve"> and for this reason was</w:t>
      </w:r>
      <w:r w:rsidR="00AA5694">
        <w:t xml:space="preserve"> </w:t>
      </w:r>
      <w:r w:rsidR="002F0BA6">
        <w:t xml:space="preserve">eliminated for applications </w:t>
      </w:r>
      <w:r w:rsidR="00E7257F">
        <w:t>in the auctioned services</w:t>
      </w:r>
      <w:r w:rsidR="002F0BA6">
        <w:t xml:space="preserve"> when the Commission amended Section 73.3522 in 1998</w:t>
      </w:r>
      <w:r w:rsidR="00707486">
        <w:t>.</w:t>
      </w:r>
      <w:r w:rsidR="00AA5694">
        <w:rPr>
          <w:rStyle w:val="FootnoteReference"/>
        </w:rPr>
        <w:footnoteReference w:id="31"/>
      </w:r>
      <w:r w:rsidR="00707486">
        <w:t xml:space="preserve">  </w:t>
      </w:r>
      <w:r w:rsidR="00AD39FE">
        <w:t>The original rationale for</w:t>
      </w:r>
      <w:r w:rsidR="003F3449">
        <w:t xml:space="preserve"> the prohibition—the Section 73.3522(b) good cause test—does not a</w:t>
      </w:r>
      <w:r w:rsidR="00AD39FE">
        <w:t>pply to</w:t>
      </w:r>
      <w:r w:rsidR="00183510">
        <w:t xml:space="preserve"> </w:t>
      </w:r>
      <w:r w:rsidR="002F0A21">
        <w:t>applications for auctioned services</w:t>
      </w:r>
      <w:r w:rsidR="00183510">
        <w:t>.</w:t>
      </w:r>
      <w:r w:rsidR="00A2771E">
        <w:rPr>
          <w:rStyle w:val="FootnoteReference"/>
        </w:rPr>
        <w:footnoteReference w:id="32"/>
      </w:r>
      <w:r w:rsidR="00A2771E">
        <w:t xml:space="preserve">  </w:t>
      </w:r>
      <w:r w:rsidR="002F0A21">
        <w:t xml:space="preserve">Because we are statutorily prohibited from holding comparative hearings to resolve mutual exclusivities in these services, there </w:t>
      </w:r>
      <w:r w:rsidR="00A2771E">
        <w:t>i</w:t>
      </w:r>
      <w:r w:rsidR="00DD46EA">
        <w:t xml:space="preserve">s </w:t>
      </w:r>
      <w:r w:rsidR="002F0A21">
        <w:t>no</w:t>
      </w:r>
      <w:r w:rsidR="00EB725C">
        <w:t xml:space="preserve"> longer a</w:t>
      </w:r>
      <w:r w:rsidR="00A54D5A">
        <w:t xml:space="preserve"> </w:t>
      </w:r>
      <w:r w:rsidR="002F0A21">
        <w:t xml:space="preserve">need to </w:t>
      </w:r>
      <w:r w:rsidR="002F0A21" w:rsidRPr="00B52CA1">
        <w:rPr>
          <w:szCs w:val="22"/>
        </w:rPr>
        <w:t>“</w:t>
      </w:r>
      <w:r w:rsidR="002F0A21">
        <w:t>secure the most expeditious disposition of hearing cases by freezing proposals of the applicants</w:t>
      </w:r>
      <w:r w:rsidR="00A54D5A">
        <w:t>.</w:t>
      </w:r>
      <w:r w:rsidR="002F0A21">
        <w:t>”</w:t>
      </w:r>
      <w:r w:rsidR="002F0A21">
        <w:rPr>
          <w:rStyle w:val="FootnoteReference"/>
        </w:rPr>
        <w:footnoteReference w:id="33"/>
      </w:r>
      <w:r w:rsidR="00A54D5A">
        <w:t xml:space="preserve">  </w:t>
      </w:r>
      <w:r w:rsidR="00DC7F2D">
        <w:t>To the contrary</w:t>
      </w:r>
      <w:r w:rsidR="00966A79">
        <w:t>, the</w:t>
      </w:r>
      <w:r w:rsidR="00DD46EA">
        <w:t xml:space="preserve"> Commission </w:t>
      </w:r>
      <w:r w:rsidR="00A2771E">
        <w:t xml:space="preserve">has </w:t>
      </w:r>
      <w:r w:rsidR="00DD46EA">
        <w:t>found that the</w:t>
      </w:r>
      <w:r w:rsidR="00966A79">
        <w:t xml:space="preserve"> competitive bidding process</w:t>
      </w:r>
      <w:r w:rsidR="008A61D0">
        <w:t xml:space="preserve"> results in</w:t>
      </w:r>
      <w:r w:rsidR="00966A79">
        <w:t xml:space="preserve"> a relatively small number of applicants </w:t>
      </w:r>
      <w:r w:rsidR="002F0A21">
        <w:t xml:space="preserve">filing long-forms, </w:t>
      </w:r>
      <w:r w:rsidR="00966A79">
        <w:t>who are</w:t>
      </w:r>
      <w:r w:rsidR="00B035BF">
        <w:t xml:space="preserve"> </w:t>
      </w:r>
      <w:r w:rsidR="00B035BF" w:rsidRPr="00EB725C">
        <w:t xml:space="preserve">already </w:t>
      </w:r>
      <w:r w:rsidR="00966A79" w:rsidRPr="00EB725C">
        <w:t>financially invested</w:t>
      </w:r>
      <w:r w:rsidR="00966A79">
        <w:t xml:space="preserve"> in the successful licensing and construction of their </w:t>
      </w:r>
      <w:r w:rsidR="008A61D0">
        <w:t>newly-acquired</w:t>
      </w:r>
      <w:r w:rsidR="00966A79">
        <w:t xml:space="preserve"> stations</w:t>
      </w:r>
      <w:r w:rsidR="00370DB2">
        <w:t>.</w:t>
      </w:r>
      <w:r w:rsidR="00203A0B">
        <w:rPr>
          <w:rStyle w:val="FootnoteReference"/>
        </w:rPr>
        <w:footnoteReference w:id="34"/>
      </w:r>
      <w:r w:rsidR="00370DB2">
        <w:t xml:space="preserve">  </w:t>
      </w:r>
      <w:r w:rsidR="00A85119">
        <w:t xml:space="preserve">We affirm that the liberal amendment policy established in the </w:t>
      </w:r>
      <w:r w:rsidR="00A85119">
        <w:rPr>
          <w:i/>
        </w:rPr>
        <w:t xml:space="preserve">Auction Order </w:t>
      </w:r>
      <w:r w:rsidR="00A85119">
        <w:t>applies to</w:t>
      </w:r>
      <w:r w:rsidR="000170F2">
        <w:t xml:space="preserve"> </w:t>
      </w:r>
      <w:r w:rsidR="008B2459">
        <w:t>site availability defects</w:t>
      </w:r>
      <w:r w:rsidR="00A85119">
        <w:t xml:space="preserve"> in the same way that it does to all other application defects</w:t>
      </w:r>
      <w:r w:rsidR="000170F2">
        <w:t xml:space="preserve"> in the auctioned services</w:t>
      </w:r>
      <w:r w:rsidR="00A85119">
        <w:t xml:space="preserve">, for the reasons set out in the </w:t>
      </w:r>
      <w:r w:rsidR="00A85119">
        <w:rPr>
          <w:i/>
        </w:rPr>
        <w:t>Auction Order</w:t>
      </w:r>
      <w:r w:rsidR="00A85119">
        <w:t>.</w:t>
      </w:r>
      <w:r w:rsidR="00A85119">
        <w:rPr>
          <w:rStyle w:val="FootnoteReference"/>
        </w:rPr>
        <w:footnoteReference w:id="35"/>
      </w:r>
      <w:r w:rsidR="00A85119">
        <w:t xml:space="preserve">  </w:t>
      </w:r>
      <w:r w:rsidR="00AA5694">
        <w:t xml:space="preserve">To the extent that </w:t>
      </w:r>
      <w:r w:rsidR="00370DB2">
        <w:t xml:space="preserve">our decision in </w:t>
      </w:r>
      <w:r w:rsidR="00AA5694">
        <w:rPr>
          <w:i/>
        </w:rPr>
        <w:t xml:space="preserve">Schober </w:t>
      </w:r>
      <w:r w:rsidR="00BA0D02">
        <w:t>is inconsistent with this holding</w:t>
      </w:r>
      <w:r w:rsidR="00AA5694">
        <w:t xml:space="preserve">, it is overruled. </w:t>
      </w:r>
    </w:p>
    <w:p w:rsidR="00062F8C" w:rsidRPr="005E0FBC" w:rsidRDefault="005557A0" w:rsidP="005E0FBC">
      <w:pPr>
        <w:pStyle w:val="ParaNum"/>
        <w:rPr>
          <w:snapToGrid/>
        </w:rPr>
      </w:pPr>
      <w:r>
        <w:rPr>
          <w:rStyle w:val="displayhltextactive"/>
          <w:i/>
        </w:rPr>
        <w:t>Misrepresentation</w:t>
      </w:r>
      <w:r>
        <w:rPr>
          <w:rStyle w:val="displayhltextactive"/>
        </w:rPr>
        <w:t>.</w:t>
      </w:r>
      <w:r>
        <w:rPr>
          <w:rStyle w:val="displayhltextactive"/>
          <w:i/>
        </w:rPr>
        <w:t xml:space="preserve">  </w:t>
      </w:r>
      <w:r w:rsidR="00B3612E">
        <w:rPr>
          <w:rStyle w:val="displayhltextactive"/>
        </w:rPr>
        <w:t>Misrepresentation</w:t>
      </w:r>
      <w:r w:rsidR="00B3612E">
        <w:rPr>
          <w:noProof/>
          <w:snapToGrid/>
          <w:color w:val="0000FF"/>
        </w:rPr>
        <w:drawing>
          <wp:inline distT="0" distB="0" distL="0" distR="0" wp14:anchorId="08A38ED6" wp14:editId="05AB68B5">
            <wp:extent cx="9525" cy="9525"/>
            <wp:effectExtent l="0" t="0" r="0" b="0"/>
            <wp:docPr id="13" name="Picture 13" descr="next hit">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next hit">
                      <a:hlinkClick r:id="rId13"/>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B3612E">
        <w:t xml:space="preserve"> is a false </w:t>
      </w:r>
      <w:bookmarkStart w:id="3" w:name="ctx2"/>
      <w:bookmarkEnd w:id="3"/>
      <w:r w:rsidR="00B3612E">
        <w:rPr>
          <w:noProof/>
          <w:snapToGrid/>
          <w:color w:val="0000FF"/>
        </w:rPr>
        <w:drawing>
          <wp:inline distT="0" distB="0" distL="0" distR="0" wp14:anchorId="1BDCADBD" wp14:editId="7C01F829">
            <wp:extent cx="9525" cy="9525"/>
            <wp:effectExtent l="0" t="0" r="0" b="0"/>
            <wp:docPr id="12" name="Picture 12" descr="previous hit">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revious hit">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B3612E">
        <w:rPr>
          <w:rStyle w:val="displayhltext"/>
        </w:rPr>
        <w:t>statement</w:t>
      </w:r>
      <w:r w:rsidR="00B3612E">
        <w:rPr>
          <w:noProof/>
          <w:snapToGrid/>
          <w:color w:val="0000FF"/>
        </w:rPr>
        <w:drawing>
          <wp:inline distT="0" distB="0" distL="0" distR="0" wp14:anchorId="729A2830" wp14:editId="1F04BDD7">
            <wp:extent cx="9525" cy="9525"/>
            <wp:effectExtent l="0" t="0" r="0" b="0"/>
            <wp:docPr id="11" name="Picture 11" descr="next hit">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next hit">
                      <a:hlinkClick r:id="rId14"/>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B3612E">
        <w:t xml:space="preserve"> of </w:t>
      </w:r>
      <w:bookmarkStart w:id="4" w:name="ctx3"/>
      <w:bookmarkEnd w:id="4"/>
      <w:r w:rsidR="00B3612E">
        <w:rPr>
          <w:noProof/>
          <w:snapToGrid/>
          <w:color w:val="0000FF"/>
        </w:rPr>
        <w:drawing>
          <wp:inline distT="0" distB="0" distL="0" distR="0" wp14:anchorId="13F39316" wp14:editId="025E6C64">
            <wp:extent cx="9525" cy="9525"/>
            <wp:effectExtent l="0" t="0" r="0" b="0"/>
            <wp:docPr id="10" name="Picture 10" descr="previous hi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revious hit">
                      <a:hlinkClick r:id="rId10"/>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B3612E">
        <w:rPr>
          <w:rStyle w:val="displayhltext"/>
        </w:rPr>
        <w:t>fact</w:t>
      </w:r>
      <w:r w:rsidR="00B3612E">
        <w:rPr>
          <w:noProof/>
          <w:snapToGrid/>
          <w:color w:val="0000FF"/>
        </w:rPr>
        <w:drawing>
          <wp:inline distT="0" distB="0" distL="0" distR="0" wp14:anchorId="7B70F10C" wp14:editId="36DC4675">
            <wp:extent cx="9525" cy="9525"/>
            <wp:effectExtent l="0" t="0" r="0" b="0"/>
            <wp:docPr id="9" name="Picture 9" descr="next hit">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next hit">
                      <a:hlinkClick r:id="rId12"/>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B3612E">
        <w:t xml:space="preserve"> made with intent to deceive</w:t>
      </w:r>
      <w:r>
        <w:t xml:space="preserve"> the Commission</w:t>
      </w:r>
      <w:r w:rsidR="00B3612E">
        <w:t>.</w:t>
      </w:r>
      <w:r>
        <w:rPr>
          <w:rStyle w:val="FootnoteReference"/>
        </w:rPr>
        <w:footnoteReference w:id="36"/>
      </w:r>
      <w:r w:rsidR="00B3612E">
        <w:t xml:space="preserve"> </w:t>
      </w:r>
      <w:r>
        <w:t xml:space="preserve"> Errors submitted through carelessness, inadvertence, or even gross negligence, do not constitute misrepresentation.</w:t>
      </w:r>
      <w:r>
        <w:rPr>
          <w:rStyle w:val="FootnoteReference"/>
        </w:rPr>
        <w:footnoteReference w:id="37"/>
      </w:r>
      <w:r>
        <w:t xml:space="preserve">  </w:t>
      </w:r>
      <w:r w:rsidR="00DA503B">
        <w:rPr>
          <w:snapToGrid/>
        </w:rPr>
        <w:t>In this case,</w:t>
      </w:r>
      <w:r w:rsidR="0067379F">
        <w:rPr>
          <w:snapToGrid/>
        </w:rPr>
        <w:t xml:space="preserve"> </w:t>
      </w:r>
      <w:r>
        <w:rPr>
          <w:snapToGrid/>
        </w:rPr>
        <w:t xml:space="preserve">we find that </w:t>
      </w:r>
      <w:r w:rsidR="00AF7C87">
        <w:rPr>
          <w:snapToGrid/>
        </w:rPr>
        <w:t xml:space="preserve">Two Rivers’ claim that Falletti lacked reasonable assurance of site availability, </w:t>
      </w:r>
      <w:r w:rsidR="00183510">
        <w:rPr>
          <w:snapToGrid/>
        </w:rPr>
        <w:t>standing alone</w:t>
      </w:r>
      <w:r w:rsidR="00AF7C87">
        <w:rPr>
          <w:snapToGrid/>
        </w:rPr>
        <w:t xml:space="preserve">, </w:t>
      </w:r>
      <w:r w:rsidR="00657CF8">
        <w:rPr>
          <w:snapToGrid/>
        </w:rPr>
        <w:t>fails</w:t>
      </w:r>
      <w:r w:rsidR="004F1553">
        <w:rPr>
          <w:snapToGrid/>
        </w:rPr>
        <w:t xml:space="preserve"> to establish a prima facie case under Section 309(d)(1) that</w:t>
      </w:r>
      <w:r>
        <w:rPr>
          <w:snapToGrid/>
        </w:rPr>
        <w:t xml:space="preserve"> Falletti deliberately intended to mislead the Commission.</w:t>
      </w:r>
      <w:r w:rsidR="00AF7C87">
        <w:rPr>
          <w:rStyle w:val="FootnoteReference"/>
          <w:snapToGrid/>
        </w:rPr>
        <w:footnoteReference w:id="38"/>
      </w:r>
      <w:r>
        <w:rPr>
          <w:snapToGrid/>
        </w:rPr>
        <w:t xml:space="preserve">  </w:t>
      </w:r>
      <w:r w:rsidR="00183510">
        <w:rPr>
          <w:snapToGrid/>
        </w:rPr>
        <w:t>Without such evidence</w:t>
      </w:r>
      <w:r w:rsidR="00AF7C87">
        <w:rPr>
          <w:snapToGrid/>
        </w:rPr>
        <w:t xml:space="preserve">, there is </w:t>
      </w:r>
      <w:r w:rsidR="008060F4">
        <w:rPr>
          <w:snapToGrid/>
        </w:rPr>
        <w:t>an insufficient b</w:t>
      </w:r>
      <w:r w:rsidR="007B2F4F">
        <w:rPr>
          <w:snapToGrid/>
        </w:rPr>
        <w:t>asis to warrant further inquiry</w:t>
      </w:r>
      <w:r w:rsidR="00AF7C87">
        <w:rPr>
          <w:snapToGrid/>
        </w:rPr>
        <w:t>.</w:t>
      </w:r>
      <w:r w:rsidR="008060F4">
        <w:rPr>
          <w:rStyle w:val="FootnoteReference"/>
          <w:snapToGrid/>
        </w:rPr>
        <w:footnoteReference w:id="39"/>
      </w:r>
      <w:r w:rsidR="00AF7C87">
        <w:rPr>
          <w:snapToGrid/>
        </w:rPr>
        <w:t xml:space="preserve">  </w:t>
      </w:r>
    </w:p>
    <w:p w:rsidR="009D0075" w:rsidRDefault="009D0075" w:rsidP="002F6C43">
      <w:pPr>
        <w:pStyle w:val="ParaNum"/>
      </w:pPr>
      <w:r w:rsidRPr="00A81C34">
        <w:t>Accordingly, IT IS ORDERED that, pursuant to Section 5(c)(5) of the Communications Act of 1934, as amended,</w:t>
      </w:r>
      <w:r w:rsidRPr="00A81C34">
        <w:rPr>
          <w:vertAlign w:val="superscript"/>
        </w:rPr>
        <w:footnoteReference w:id="40"/>
      </w:r>
      <w:r w:rsidRPr="00A81C34">
        <w:t xml:space="preserve"> and Section 1.115(g) of the Commission’s rules,</w:t>
      </w:r>
      <w:r w:rsidRPr="00A81C34">
        <w:rPr>
          <w:vertAlign w:val="superscript"/>
        </w:rPr>
        <w:footnoteReference w:id="41"/>
      </w:r>
      <w:r w:rsidRPr="00A81C34">
        <w:t xml:space="preserve"> the Application for Review IS DENIED.</w:t>
      </w:r>
    </w:p>
    <w:p w:rsidR="005E0FBC" w:rsidRDefault="005E0FBC" w:rsidP="0017296B">
      <w:r>
        <w:tab/>
      </w:r>
      <w:r>
        <w:tab/>
      </w:r>
      <w:r>
        <w:tab/>
      </w:r>
      <w:r>
        <w:tab/>
      </w:r>
      <w:r>
        <w:tab/>
      </w:r>
      <w:r>
        <w:tab/>
        <w:t>FEDERAL COMMUNICATIONS COMMISSION</w:t>
      </w:r>
    </w:p>
    <w:p w:rsidR="005E0FBC" w:rsidRDefault="005E0FBC" w:rsidP="0017296B"/>
    <w:p w:rsidR="005E0FBC" w:rsidRDefault="005E0FBC" w:rsidP="0017296B"/>
    <w:p w:rsidR="005E0FBC" w:rsidRDefault="005E0FBC" w:rsidP="0017296B"/>
    <w:p w:rsidR="005E0FBC" w:rsidRDefault="005E0FBC" w:rsidP="0017296B"/>
    <w:p w:rsidR="005E0FBC" w:rsidRDefault="005E0FBC" w:rsidP="0017296B">
      <w:r>
        <w:tab/>
      </w:r>
      <w:r>
        <w:tab/>
      </w:r>
      <w:r>
        <w:tab/>
      </w:r>
      <w:r>
        <w:tab/>
      </w:r>
      <w:r>
        <w:tab/>
      </w:r>
      <w:r>
        <w:tab/>
        <w:t>Marlene H. Dortch</w:t>
      </w:r>
    </w:p>
    <w:p w:rsidR="006D4026" w:rsidRDefault="005E0FBC" w:rsidP="0088674C">
      <w:pPr>
        <w:sectPr w:rsidR="006D4026" w:rsidSect="0055614C">
          <w:headerReference w:type="even" r:id="rId15"/>
          <w:headerReference w:type="default" r:id="rId16"/>
          <w:footerReference w:type="even" r:id="rId17"/>
          <w:footerReference w:type="default" r:id="rId18"/>
          <w:headerReference w:type="first" r:id="rId19"/>
          <w:footerReference w:type="first" r:id="rId20"/>
          <w:endnotePr>
            <w:numFmt w:val="decimal"/>
          </w:endnotePr>
          <w:pgSz w:w="12240" w:h="15840"/>
          <w:pgMar w:top="1440" w:right="1440" w:bottom="720" w:left="1440" w:header="720" w:footer="720" w:gutter="0"/>
          <w:pgNumType w:start="1"/>
          <w:cols w:space="720"/>
          <w:noEndnote/>
          <w:titlePg/>
        </w:sectPr>
      </w:pPr>
      <w:r>
        <w:tab/>
      </w:r>
      <w:r>
        <w:tab/>
      </w:r>
      <w:r>
        <w:tab/>
      </w:r>
      <w:r>
        <w:tab/>
      </w:r>
      <w:r>
        <w:tab/>
      </w:r>
      <w:r>
        <w:tab/>
        <w:t>Secretary</w:t>
      </w:r>
    </w:p>
    <w:p w:rsidR="006D4026" w:rsidRPr="006D4026" w:rsidRDefault="006D4026" w:rsidP="006D4026">
      <w:pPr>
        <w:widowControl/>
        <w:spacing w:after="240"/>
        <w:jc w:val="center"/>
        <w:rPr>
          <w:rFonts w:eastAsiaTheme="minorHAnsi"/>
          <w:b/>
          <w:snapToGrid/>
          <w:kern w:val="0"/>
          <w:szCs w:val="22"/>
        </w:rPr>
      </w:pPr>
      <w:r w:rsidRPr="006D4026">
        <w:rPr>
          <w:rFonts w:eastAsiaTheme="minorHAnsi"/>
          <w:b/>
          <w:snapToGrid/>
          <w:kern w:val="0"/>
          <w:szCs w:val="22"/>
        </w:rPr>
        <w:t>STATEMENT OF</w:t>
      </w:r>
      <w:r w:rsidRPr="006D4026">
        <w:rPr>
          <w:rFonts w:eastAsiaTheme="minorHAnsi"/>
          <w:b/>
          <w:snapToGrid/>
          <w:kern w:val="0"/>
          <w:szCs w:val="22"/>
        </w:rPr>
        <w:br/>
        <w:t>COMMISSIONER AJIT PAI</w:t>
      </w:r>
    </w:p>
    <w:p w:rsidR="006D4026" w:rsidRPr="006D4026" w:rsidRDefault="006D4026" w:rsidP="006D4026">
      <w:pPr>
        <w:widowControl/>
        <w:spacing w:after="120"/>
        <w:ind w:left="720" w:hanging="720"/>
        <w:rPr>
          <w:rFonts w:eastAsiaTheme="minorHAnsi"/>
          <w:snapToGrid/>
          <w:kern w:val="0"/>
          <w:szCs w:val="22"/>
        </w:rPr>
      </w:pPr>
      <w:r w:rsidRPr="006D4026">
        <w:rPr>
          <w:rFonts w:eastAsiaTheme="minorHAnsi"/>
          <w:snapToGrid/>
          <w:kern w:val="0"/>
          <w:szCs w:val="22"/>
        </w:rPr>
        <w:t>Re:</w:t>
      </w:r>
      <w:r w:rsidRPr="006D4026">
        <w:rPr>
          <w:rFonts w:eastAsiaTheme="minorHAnsi"/>
          <w:snapToGrid/>
          <w:kern w:val="0"/>
          <w:szCs w:val="22"/>
        </w:rPr>
        <w:tab/>
      </w:r>
      <w:r w:rsidRPr="006D4026">
        <w:rPr>
          <w:rFonts w:eastAsiaTheme="minorHAnsi"/>
          <w:i/>
          <w:snapToGrid/>
          <w:kern w:val="0"/>
          <w:szCs w:val="22"/>
        </w:rPr>
        <w:t>Christopher Falletti Application for Construction Permit for New FM Station, Medina, North Dakota</w:t>
      </w:r>
      <w:r w:rsidRPr="006D4026">
        <w:rPr>
          <w:rFonts w:eastAsiaTheme="minorHAnsi"/>
          <w:snapToGrid/>
          <w:kern w:val="0"/>
          <w:szCs w:val="22"/>
        </w:rPr>
        <w:t>, File No. BNPH-20120518AAE, Facility ID No. 190421.</w:t>
      </w:r>
    </w:p>
    <w:p w:rsidR="006D4026" w:rsidRPr="006D4026" w:rsidRDefault="006D4026" w:rsidP="006D4026">
      <w:pPr>
        <w:widowControl/>
        <w:spacing w:after="120"/>
        <w:ind w:firstLine="720"/>
        <w:rPr>
          <w:rFonts w:eastAsiaTheme="minorHAnsi"/>
          <w:snapToGrid/>
          <w:kern w:val="0"/>
          <w:szCs w:val="22"/>
        </w:rPr>
      </w:pPr>
      <w:r w:rsidRPr="006D4026">
        <w:rPr>
          <w:rFonts w:eastAsiaTheme="minorHAnsi"/>
          <w:snapToGrid/>
          <w:kern w:val="0"/>
          <w:szCs w:val="22"/>
        </w:rPr>
        <w:t>Although today’s item reaches the correct result, the path to denying this Application for Review is far more complicated than it should have been.  In 1998, the Commission stated that it was “eliminat[ing] the reasonable assurance of site certification requirement for all broadcast and secondary broadcast new and major change applicants.”</w:t>
      </w:r>
      <w:r w:rsidRPr="006D4026">
        <w:rPr>
          <w:rFonts w:eastAsiaTheme="minorHAnsi"/>
          <w:snapToGrid/>
          <w:kern w:val="0"/>
          <w:szCs w:val="22"/>
          <w:vertAlign w:val="superscript"/>
        </w:rPr>
        <w:footnoteReference w:id="42"/>
      </w:r>
      <w:r w:rsidRPr="006D4026">
        <w:rPr>
          <w:rFonts w:eastAsiaTheme="minorHAnsi"/>
          <w:snapToGrid/>
          <w:kern w:val="0"/>
          <w:szCs w:val="22"/>
        </w:rPr>
        <w:t xml:space="preserve">  Instead, it indicated that it would “rely on the strict enforcement of our existing construction requirements to ensure that winning bidders in future broadcast auctions construct their facilities in a timely manner.”</w:t>
      </w:r>
      <w:r w:rsidRPr="006D4026">
        <w:rPr>
          <w:rFonts w:eastAsiaTheme="minorHAnsi"/>
          <w:snapToGrid/>
          <w:kern w:val="0"/>
          <w:szCs w:val="22"/>
          <w:vertAlign w:val="superscript"/>
        </w:rPr>
        <w:footnoteReference w:id="43"/>
      </w:r>
      <w:r w:rsidRPr="006D4026">
        <w:rPr>
          <w:rFonts w:eastAsiaTheme="minorHAnsi"/>
          <w:snapToGrid/>
          <w:kern w:val="0"/>
          <w:szCs w:val="22"/>
        </w:rPr>
        <w:t xml:space="preserve">  Currently, however, the instructions for the application for a construction permit to build a commercial broadcast station advise:  “All applicants for broadcast facilities must have a reasonable assurance that the specified site will be available </w:t>
      </w:r>
      <w:r w:rsidRPr="006D4026">
        <w:rPr>
          <w:rFonts w:eastAsiaTheme="minorHAnsi"/>
          <w:b/>
          <w:snapToGrid/>
          <w:kern w:val="0"/>
          <w:szCs w:val="22"/>
        </w:rPr>
        <w:t>at the time they file FCC Form 301</w:t>
      </w:r>
      <w:r w:rsidRPr="006D4026">
        <w:rPr>
          <w:rFonts w:eastAsiaTheme="minorHAnsi"/>
          <w:snapToGrid/>
          <w:kern w:val="0"/>
          <w:szCs w:val="22"/>
        </w:rPr>
        <w:t>.”</w:t>
      </w:r>
      <w:r w:rsidRPr="006D4026">
        <w:rPr>
          <w:rFonts w:eastAsiaTheme="minorHAnsi"/>
          <w:snapToGrid/>
          <w:kern w:val="0"/>
          <w:szCs w:val="22"/>
          <w:vertAlign w:val="superscript"/>
        </w:rPr>
        <w:footnoteReference w:id="44"/>
      </w:r>
    </w:p>
    <w:p w:rsidR="006D4026" w:rsidRPr="006D4026" w:rsidRDefault="006D4026" w:rsidP="006D4026">
      <w:pPr>
        <w:widowControl/>
        <w:spacing w:after="120"/>
        <w:ind w:firstLine="720"/>
        <w:rPr>
          <w:rFonts w:eastAsiaTheme="minorHAnsi"/>
          <w:snapToGrid/>
          <w:kern w:val="0"/>
          <w:szCs w:val="22"/>
        </w:rPr>
      </w:pPr>
      <w:r w:rsidRPr="006D4026">
        <w:rPr>
          <w:rFonts w:eastAsiaTheme="minorHAnsi"/>
          <w:snapToGrid/>
          <w:kern w:val="0"/>
          <w:szCs w:val="22"/>
        </w:rPr>
        <w:t>In my view, it is the tension between the Commission’s 1998 order and the instructions for filling out FCC Form 301 that is primarily responsible for the conflicting Commission precedents discussed in this item</w:t>
      </w:r>
      <w:r w:rsidRPr="006D4026">
        <w:rPr>
          <w:rFonts w:eastAsiaTheme="minorHAnsi"/>
          <w:snapToGrid/>
          <w:kern w:val="0"/>
          <w:szCs w:val="22"/>
          <w:vertAlign w:val="superscript"/>
        </w:rPr>
        <w:footnoteReference w:id="45"/>
      </w:r>
      <w:r w:rsidRPr="006D4026">
        <w:rPr>
          <w:rFonts w:eastAsiaTheme="minorHAnsi"/>
          <w:snapToGrid/>
          <w:kern w:val="0"/>
          <w:szCs w:val="22"/>
        </w:rPr>
        <w:t xml:space="preserve"> and the number of ongoing disputes regarding this issue.  As a result, I hope that we will take steps forthwith to amend the instructions for FCC Form 301 to bring them in line with the policy set forth in today’s item.</w:t>
      </w:r>
    </w:p>
    <w:sectPr w:rsidR="006D4026" w:rsidRPr="006D4026" w:rsidSect="00C75C20">
      <w:footerReference w:type="first" r:id="rId21"/>
      <w:footnotePr>
        <w:numRestart w:val="eachSect"/>
      </w:footnotePr>
      <w:endnotePr>
        <w:numFmt w:val="decimal"/>
      </w:endnotePr>
      <w:pgSz w:w="12240" w:h="15840"/>
      <w:pgMar w:top="1440" w:right="1440" w:bottom="720" w:left="144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2B11" w:rsidRDefault="00F22B11">
      <w:pPr>
        <w:spacing w:line="20" w:lineRule="exact"/>
      </w:pPr>
    </w:p>
  </w:endnote>
  <w:endnote w:type="continuationSeparator" w:id="0">
    <w:p w:rsidR="00F22B11" w:rsidRDefault="00F22B11">
      <w:r>
        <w:t xml:space="preserve"> </w:t>
      </w:r>
    </w:p>
  </w:endnote>
  <w:endnote w:type="continuationNotice" w:id="1">
    <w:p w:rsidR="00F22B11" w:rsidRDefault="00F22B11">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696" w:rsidRDefault="00655696" w:rsidP="0055614C">
    <w:pPr>
      <w:pStyle w:val="Footer"/>
      <w:framePr w:wrap="around" w:vAnchor="text" w:hAnchor="margin" w:xAlign="center" w:y="1"/>
    </w:pPr>
    <w:r>
      <w:fldChar w:fldCharType="begin"/>
    </w:r>
    <w:r>
      <w:instrText xml:space="preserve">PAGE  </w:instrText>
    </w:r>
    <w:r>
      <w:fldChar w:fldCharType="end"/>
    </w:r>
  </w:p>
  <w:p w:rsidR="00655696" w:rsidRDefault="006556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696" w:rsidRDefault="00655696" w:rsidP="0055614C">
    <w:pPr>
      <w:pStyle w:val="Footer"/>
      <w:framePr w:wrap="around" w:vAnchor="text" w:hAnchor="margin" w:xAlign="center" w:y="1"/>
    </w:pPr>
    <w:r>
      <w:fldChar w:fldCharType="begin"/>
    </w:r>
    <w:r>
      <w:instrText xml:space="preserve">PAGE  </w:instrText>
    </w:r>
    <w:r>
      <w:fldChar w:fldCharType="separate"/>
    </w:r>
    <w:r w:rsidR="00B00A49">
      <w:rPr>
        <w:noProof/>
      </w:rPr>
      <w:t>2</w:t>
    </w:r>
    <w:r>
      <w:fldChar w:fldCharType="end"/>
    </w:r>
  </w:p>
  <w:p w:rsidR="00655696" w:rsidRDefault="00655696">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31C" w:rsidRDefault="00CC231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2877378"/>
      <w:docPartObj>
        <w:docPartGallery w:val="Page Numbers (Bottom of Page)"/>
        <w:docPartUnique/>
      </w:docPartObj>
    </w:sdtPr>
    <w:sdtEndPr>
      <w:rPr>
        <w:noProof/>
      </w:rPr>
    </w:sdtEndPr>
    <w:sdtContent>
      <w:p w:rsidR="00C75C20" w:rsidRDefault="00C75C20">
        <w:pPr>
          <w:pStyle w:val="Footer"/>
          <w:jc w:val="center"/>
        </w:pPr>
        <w:r>
          <w:fldChar w:fldCharType="begin"/>
        </w:r>
        <w:r>
          <w:instrText xml:space="preserve"> PAGE   \* MERGEFORMAT </w:instrText>
        </w:r>
        <w:r>
          <w:fldChar w:fldCharType="separate"/>
        </w:r>
        <w:r w:rsidR="00D61EB4">
          <w:rPr>
            <w:noProof/>
          </w:rPr>
          <w:t>6</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2B11" w:rsidRDefault="00F22B11">
      <w:r>
        <w:separator/>
      </w:r>
    </w:p>
  </w:footnote>
  <w:footnote w:type="continuationSeparator" w:id="0">
    <w:p w:rsidR="00F22B11" w:rsidRDefault="00F22B11" w:rsidP="00C721AC">
      <w:pPr>
        <w:spacing w:before="120"/>
        <w:rPr>
          <w:sz w:val="20"/>
        </w:rPr>
      </w:pPr>
      <w:r>
        <w:rPr>
          <w:sz w:val="20"/>
        </w:rPr>
        <w:t xml:space="preserve">(Continued from previous page)  </w:t>
      </w:r>
      <w:r>
        <w:rPr>
          <w:sz w:val="20"/>
        </w:rPr>
        <w:separator/>
      </w:r>
    </w:p>
  </w:footnote>
  <w:footnote w:type="continuationNotice" w:id="1">
    <w:p w:rsidR="00F22B11" w:rsidRDefault="00F22B11" w:rsidP="00C721AC">
      <w:pPr>
        <w:jc w:val="right"/>
        <w:rPr>
          <w:sz w:val="20"/>
        </w:rPr>
      </w:pPr>
      <w:r>
        <w:rPr>
          <w:sz w:val="20"/>
        </w:rPr>
        <w:t>(continued….)</w:t>
      </w:r>
    </w:p>
  </w:footnote>
  <w:footnote w:id="2">
    <w:p w:rsidR="00655696" w:rsidRPr="00706282" w:rsidRDefault="00655696" w:rsidP="00706282">
      <w:pPr>
        <w:pStyle w:val="FootnoteText"/>
      </w:pPr>
      <w:r w:rsidRPr="00706282">
        <w:rPr>
          <w:rStyle w:val="FootnoteReference"/>
        </w:rPr>
        <w:footnoteRef/>
      </w:r>
      <w:r w:rsidRPr="00706282">
        <w:t xml:space="preserve"> Two Rivers is the licensee of Station KXGT(FM), Carrington, North Dakota.</w:t>
      </w:r>
    </w:p>
  </w:footnote>
  <w:footnote w:id="3">
    <w:p w:rsidR="00655696" w:rsidRPr="00706282" w:rsidRDefault="00655696" w:rsidP="00706282">
      <w:pPr>
        <w:pStyle w:val="FootnoteText"/>
      </w:pPr>
      <w:r w:rsidRPr="00706282">
        <w:rPr>
          <w:rStyle w:val="FootnoteReference"/>
        </w:rPr>
        <w:footnoteRef/>
      </w:r>
      <w:r w:rsidRPr="00706282">
        <w:t xml:space="preserve"> </w:t>
      </w:r>
      <w:r w:rsidRPr="00706282">
        <w:rPr>
          <w:i/>
        </w:rPr>
        <w:t>Christopher Falletti</w:t>
      </w:r>
      <w:r w:rsidRPr="00706282">
        <w:t>, Letter, Ref. No. 1800B3-HC (rel. July 6, 2012) (“</w:t>
      </w:r>
      <w:r w:rsidRPr="00706282">
        <w:rPr>
          <w:i/>
        </w:rPr>
        <w:t>Letter Decision</w:t>
      </w:r>
      <w:r w:rsidRPr="00706282">
        <w:t xml:space="preserve">”).  On July 2, 2012, Falletti filed an Opposition to the Petition to Deny.  On July 13, 2012, Two Rivers filed a Reply to the Opposition. </w:t>
      </w:r>
    </w:p>
  </w:footnote>
  <w:footnote w:id="4">
    <w:p w:rsidR="00655696" w:rsidRPr="00706282" w:rsidRDefault="00655696" w:rsidP="00706282">
      <w:pPr>
        <w:pStyle w:val="FootnoteText"/>
      </w:pPr>
      <w:r w:rsidRPr="00706282">
        <w:rPr>
          <w:rStyle w:val="FootnoteReference"/>
        </w:rPr>
        <w:footnoteRef/>
      </w:r>
      <w:r w:rsidRPr="00706282">
        <w:t xml:space="preserve"> </w:t>
      </w:r>
      <w:r w:rsidRPr="00706282">
        <w:rPr>
          <w:i/>
        </w:rPr>
        <w:t>See Auction of FM Broadcast Construction Permits Closes; Winning Bidders Announced for Auction 93</w:t>
      </w:r>
      <w:r w:rsidRPr="00706282">
        <w:t xml:space="preserve">, Public Notice, </w:t>
      </w:r>
      <w:r w:rsidRPr="00706282">
        <w:rPr>
          <w:iCs/>
        </w:rPr>
        <w:t>27 FCC Rcd 4056, 4065, Attachment A (MB 2012);</w:t>
      </w:r>
      <w:r w:rsidRPr="00706282">
        <w:rPr>
          <w:i/>
        </w:rPr>
        <w:t xml:space="preserve"> see also </w:t>
      </w:r>
      <w:r w:rsidRPr="00706282">
        <w:t xml:space="preserve">“Auction Results,” </w:t>
      </w:r>
      <w:r w:rsidRPr="00706282">
        <w:rPr>
          <w:i/>
        </w:rPr>
        <w:t>available at</w:t>
      </w:r>
      <w:r w:rsidRPr="00706282">
        <w:t xml:space="preserve"> </w:t>
      </w:r>
      <w:hyperlink r:id="rId1" w:history="1">
        <w:r w:rsidRPr="00706282">
          <w:rPr>
            <w:rStyle w:val="Hyperlink"/>
          </w:rPr>
          <w:t>http://wireless.fcc.gov/auctions/default.htm?job=auction_summary&amp;id=93</w:t>
        </w:r>
      </w:hyperlink>
      <w:r w:rsidRPr="00706282">
        <w:t xml:space="preserve"> (last accessed </w:t>
      </w:r>
      <w:r w:rsidR="002F0A21">
        <w:t>Oct. 17</w:t>
      </w:r>
      <w:r w:rsidRPr="00706282">
        <w:t>, 2014).</w:t>
      </w:r>
    </w:p>
  </w:footnote>
  <w:footnote w:id="5">
    <w:p w:rsidR="00655696" w:rsidRPr="00706282" w:rsidRDefault="00655696" w:rsidP="00706282">
      <w:pPr>
        <w:pStyle w:val="FootnoteText"/>
      </w:pPr>
      <w:r w:rsidRPr="00706282">
        <w:rPr>
          <w:rStyle w:val="FootnoteReference"/>
        </w:rPr>
        <w:footnoteRef/>
      </w:r>
      <w:r w:rsidRPr="00706282">
        <w:t xml:space="preserve"> For convenience, “reasonable assurance of site availability” may be abbreviat</w:t>
      </w:r>
      <w:r>
        <w:t>ed herein to “site availability</w:t>
      </w:r>
      <w:r w:rsidRPr="00706282">
        <w:t>”</w:t>
      </w:r>
      <w:r>
        <w:t xml:space="preserve"> and</w:t>
      </w:r>
      <w:r w:rsidRPr="00706282">
        <w:t xml:space="preserve"> an amendment to cure an original site availability defect may be referred to as a “curative site amendment.”</w:t>
      </w:r>
    </w:p>
  </w:footnote>
  <w:footnote w:id="6">
    <w:p w:rsidR="00655696" w:rsidRPr="00706282" w:rsidRDefault="00655696" w:rsidP="00706282">
      <w:pPr>
        <w:pStyle w:val="FootnoteText"/>
      </w:pPr>
      <w:r w:rsidRPr="00706282">
        <w:rPr>
          <w:rStyle w:val="FootnoteReference"/>
        </w:rPr>
        <w:footnoteRef/>
      </w:r>
      <w:r w:rsidRPr="00706282">
        <w:t xml:space="preserve"> </w:t>
      </w:r>
      <w:r w:rsidRPr="00706282">
        <w:rPr>
          <w:i/>
        </w:rPr>
        <w:t xml:space="preserve">Letter Decision </w:t>
      </w:r>
      <w:r w:rsidRPr="00706282">
        <w:t xml:space="preserve">at 1.  </w:t>
      </w:r>
    </w:p>
  </w:footnote>
  <w:footnote w:id="7">
    <w:p w:rsidR="00655696" w:rsidRPr="00706282" w:rsidRDefault="00655696" w:rsidP="00706282">
      <w:pPr>
        <w:pStyle w:val="FootnoteText"/>
      </w:pPr>
      <w:r w:rsidRPr="00706282">
        <w:rPr>
          <w:rStyle w:val="FootnoteReference"/>
        </w:rPr>
        <w:footnoteRef/>
      </w:r>
      <w:r w:rsidRPr="00706282">
        <w:t xml:space="preserve"> Application for Review at 7.</w:t>
      </w:r>
    </w:p>
  </w:footnote>
  <w:footnote w:id="8">
    <w:p w:rsidR="00655696" w:rsidRPr="00706282" w:rsidRDefault="00655696" w:rsidP="00706282">
      <w:pPr>
        <w:pStyle w:val="FootnoteText"/>
      </w:pPr>
      <w:r w:rsidRPr="00706282">
        <w:rPr>
          <w:rStyle w:val="FootnoteReference"/>
        </w:rPr>
        <w:footnoteRef/>
      </w:r>
      <w:r>
        <w:t xml:space="preserve"> Application for Review at 5-7 (citing</w:t>
      </w:r>
      <w:r w:rsidRPr="00706282">
        <w:rPr>
          <w:i/>
        </w:rPr>
        <w:t xml:space="preserve"> Edward A. Schober</w:t>
      </w:r>
      <w:r w:rsidRPr="00706282">
        <w:t>, Memorandum Opinion and Order, 23 FCC Rcd 14263 (2008)</w:t>
      </w:r>
      <w:r w:rsidR="009C5023">
        <w:t>)</w:t>
      </w:r>
      <w:r w:rsidRPr="00706282">
        <w:t xml:space="preserve"> (“</w:t>
      </w:r>
      <w:r w:rsidRPr="00706282">
        <w:rPr>
          <w:i/>
        </w:rPr>
        <w:t>Schober</w:t>
      </w:r>
      <w:r w:rsidRPr="00706282">
        <w:t xml:space="preserve">”). </w:t>
      </w:r>
    </w:p>
  </w:footnote>
  <w:footnote w:id="9">
    <w:p w:rsidR="00655696" w:rsidRPr="00706282" w:rsidRDefault="00655696" w:rsidP="00706282">
      <w:pPr>
        <w:pStyle w:val="FootnoteText"/>
      </w:pPr>
      <w:r w:rsidRPr="00706282">
        <w:rPr>
          <w:rStyle w:val="FootnoteReference"/>
        </w:rPr>
        <w:footnoteRef/>
      </w:r>
      <w:r>
        <w:t xml:space="preserve"> Application for Review at 8 (citing </w:t>
      </w:r>
      <w:r w:rsidRPr="00706282">
        <w:rPr>
          <w:i/>
        </w:rPr>
        <w:t>Mark Van Bergh, Esq.</w:t>
      </w:r>
      <w:r w:rsidRPr="00706282">
        <w:t>, Letter, 26 FCC Rcd 15135 (MB 2011)</w:t>
      </w:r>
      <w:r w:rsidR="002F0A21">
        <w:t>)</w:t>
      </w:r>
      <w:r w:rsidRPr="00706282">
        <w:t>.</w:t>
      </w:r>
    </w:p>
  </w:footnote>
  <w:footnote w:id="10">
    <w:p w:rsidR="00655696" w:rsidRPr="00706282" w:rsidRDefault="00655696" w:rsidP="00706282">
      <w:pPr>
        <w:pStyle w:val="FootnoteText"/>
        <w:rPr>
          <w:b/>
        </w:rPr>
      </w:pPr>
      <w:r w:rsidRPr="00706282">
        <w:rPr>
          <w:rStyle w:val="FootnoteReference"/>
        </w:rPr>
        <w:footnoteRef/>
      </w:r>
      <w:r w:rsidRPr="00706282">
        <w:t xml:space="preserve"> Opposition at 2 (quoting </w:t>
      </w:r>
      <w:r w:rsidRPr="00706282">
        <w:rPr>
          <w:rStyle w:val="emphi"/>
          <w:i/>
        </w:rPr>
        <w:t>Implementation of Section 309(j) of the Communications Act—Competitive Bidding for Commercial Broadcast and Instructional Television Fixed Services Licenses</w:t>
      </w:r>
      <w:r w:rsidRPr="00706282">
        <w:rPr>
          <w:rStyle w:val="emphi"/>
        </w:rPr>
        <w:t>,</w:t>
      </w:r>
      <w:r w:rsidRPr="00706282">
        <w:t xml:space="preserve"> First Report an</w:t>
      </w:r>
      <w:r w:rsidR="00A2771E">
        <w:t>d Order, 13 FCC Rcd 15920, 15986</w:t>
      </w:r>
      <w:r w:rsidRPr="00706282">
        <w:t xml:space="preserve"> (1998), </w:t>
      </w:r>
      <w:r w:rsidRPr="00706282">
        <w:rPr>
          <w:rStyle w:val="emphi"/>
          <w:i/>
        </w:rPr>
        <w:t>recon. denied</w:t>
      </w:r>
      <w:r w:rsidRPr="00706282">
        <w:rPr>
          <w:rStyle w:val="emphi"/>
        </w:rPr>
        <w:t>,</w:t>
      </w:r>
      <w:r w:rsidRPr="00706282">
        <w:t xml:space="preserve"> 14 FCC Rcd 8724 (1999), </w:t>
      </w:r>
      <w:r w:rsidRPr="00706282">
        <w:rPr>
          <w:rStyle w:val="emphi"/>
          <w:i/>
        </w:rPr>
        <w:t>aff'd sub nom. Orion Communications, Ltd. v. FCC</w:t>
      </w:r>
      <w:r w:rsidRPr="00706282">
        <w:rPr>
          <w:rStyle w:val="emphi"/>
        </w:rPr>
        <w:t>,</w:t>
      </w:r>
      <w:r w:rsidRPr="00706282">
        <w:t xml:space="preserve"> 213 F.3d 761 (D.C. Cir. 2000)) (“</w:t>
      </w:r>
      <w:r w:rsidRPr="00706282">
        <w:rPr>
          <w:noProof/>
          <w:color w:val="0000FF"/>
        </w:rPr>
        <w:drawing>
          <wp:inline distT="0" distB="0" distL="0" distR="0" wp14:anchorId="57294760" wp14:editId="65A40EC1">
            <wp:extent cx="9525" cy="9525"/>
            <wp:effectExtent l="0" t="0" r="0" b="0"/>
            <wp:docPr id="16" name="Picture 16" descr="previous hit">
              <a:hlinkClick xmlns:a="http://schemas.openxmlformats.org/drawingml/2006/main" r:id="rId2" tgtFrame="&quot;_t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revious hit">
                      <a:hlinkClick r:id="rId2" tgtFrame="&quot;_top&quot;"/>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bookmarkStart w:id="1" w:name="a0d8k0m0h9"/>
      <w:r w:rsidRPr="00D00FF5">
        <w:rPr>
          <w:rStyle w:val="displayhltext"/>
          <w:i/>
        </w:rPr>
        <w:t>Auction Order</w:t>
      </w:r>
      <w:r w:rsidRPr="00706282">
        <w:rPr>
          <w:noProof/>
          <w:color w:val="0000FF"/>
        </w:rPr>
        <w:drawing>
          <wp:inline distT="0" distB="0" distL="0" distR="0" wp14:anchorId="61D6FCFE" wp14:editId="0FB49848">
            <wp:extent cx="9525" cy="9525"/>
            <wp:effectExtent l="0" t="0" r="0" b="0"/>
            <wp:docPr id="15" name="Picture 15" descr="next hit">
              <a:hlinkClick xmlns:a="http://schemas.openxmlformats.org/drawingml/2006/main" r:id="rId4" tgtFrame="&quot;_t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ext hit">
                      <a:hlinkClick r:id="rId4" tgtFrame="&quot;_top&quot;"/>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bookmarkEnd w:id="1"/>
      <w:r w:rsidRPr="00706282">
        <w:t>”).</w:t>
      </w:r>
    </w:p>
  </w:footnote>
  <w:footnote w:id="11">
    <w:p w:rsidR="00655696" w:rsidRPr="00706282" w:rsidRDefault="00655696" w:rsidP="00706282">
      <w:pPr>
        <w:pStyle w:val="FootnoteText"/>
      </w:pPr>
      <w:r w:rsidRPr="00706282">
        <w:rPr>
          <w:rStyle w:val="FootnoteReference"/>
        </w:rPr>
        <w:footnoteRef/>
      </w:r>
      <w:r w:rsidRPr="00706282">
        <w:t xml:space="preserve"> </w:t>
      </w:r>
      <w:r w:rsidRPr="00706282">
        <w:rPr>
          <w:i/>
        </w:rPr>
        <w:t>See Erwin O’Conner Broadcasting Co.</w:t>
      </w:r>
      <w:r w:rsidRPr="00706282">
        <w:t>, Memorandum Opinion and Order, 22 FCC 2d 140, 143 (Rev. Bd. 1970).</w:t>
      </w:r>
    </w:p>
  </w:footnote>
  <w:footnote w:id="12">
    <w:p w:rsidR="00655696" w:rsidRPr="00706282" w:rsidRDefault="00655696" w:rsidP="00706282">
      <w:pPr>
        <w:pStyle w:val="FootnoteText"/>
      </w:pPr>
      <w:r w:rsidRPr="00706282">
        <w:rPr>
          <w:rStyle w:val="FootnoteReference"/>
        </w:rPr>
        <w:footnoteRef/>
      </w:r>
      <w:r w:rsidRPr="00706282">
        <w:t xml:space="preserve"> </w:t>
      </w:r>
      <w:r w:rsidRPr="00706282">
        <w:rPr>
          <w:i/>
        </w:rPr>
        <w:t>Id</w:t>
      </w:r>
      <w:r w:rsidRPr="00706282">
        <w:t>.</w:t>
      </w:r>
    </w:p>
  </w:footnote>
  <w:footnote w:id="13">
    <w:p w:rsidR="00655696" w:rsidRPr="00706282" w:rsidRDefault="00655696" w:rsidP="00706282">
      <w:pPr>
        <w:pStyle w:val="FootnoteText"/>
      </w:pPr>
      <w:r w:rsidRPr="00706282">
        <w:rPr>
          <w:rStyle w:val="FootnoteReference"/>
        </w:rPr>
        <w:footnoteRef/>
      </w:r>
      <w:r w:rsidRPr="00706282">
        <w:t xml:space="preserve"> 47 C.F.R. § 73.3522(b)(1) (1984).  Hereinafter we refer to the combined </w:t>
      </w:r>
      <w:r w:rsidRPr="00706282">
        <w:rPr>
          <w:i/>
        </w:rPr>
        <w:t>Erwin O’Conner</w:t>
      </w:r>
      <w:r w:rsidRPr="00706282">
        <w:t>/Section 73.3522(b)(1) test as the “Section 73.3522(b)(1) good cause test.”</w:t>
      </w:r>
    </w:p>
  </w:footnote>
  <w:footnote w:id="14">
    <w:p w:rsidR="00655696" w:rsidRPr="00706282" w:rsidRDefault="00655696" w:rsidP="00706282">
      <w:pPr>
        <w:pStyle w:val="FootnoteText"/>
        <w:rPr>
          <w:i/>
        </w:rPr>
      </w:pPr>
      <w:r w:rsidRPr="00706282">
        <w:rPr>
          <w:rStyle w:val="FootnoteReference"/>
        </w:rPr>
        <w:footnoteRef/>
      </w:r>
      <w:r w:rsidRPr="00706282">
        <w:t xml:space="preserve"> </w:t>
      </w:r>
      <w:r w:rsidRPr="00706282">
        <w:rPr>
          <w:i/>
        </w:rPr>
        <w:t>South Florida Broadcasting Co., Inc.</w:t>
      </w:r>
      <w:r w:rsidRPr="00706282">
        <w:t xml:space="preserve">, Memorandum Opinion and Order, 99 FCC 2d 840, 845 n.12 (1984) (citing </w:t>
      </w:r>
      <w:r w:rsidRPr="00706282">
        <w:rPr>
          <w:i/>
        </w:rPr>
        <w:t>Belo Broadcasting Corp</w:t>
      </w:r>
      <w:r w:rsidRPr="00706282">
        <w:t xml:space="preserve">., 68 FCC 2d 1313, 1320 (1978), </w:t>
      </w:r>
      <w:r w:rsidRPr="00706282">
        <w:rPr>
          <w:i/>
        </w:rPr>
        <w:t>recon. granted in part</w:t>
      </w:r>
      <w:r w:rsidRPr="00706282">
        <w:t>, 88 FCC 2d 922 (1981)) (“</w:t>
      </w:r>
      <w:r w:rsidRPr="00706282">
        <w:rPr>
          <w:i/>
        </w:rPr>
        <w:t>South Florida</w:t>
      </w:r>
      <w:r w:rsidRPr="00706282">
        <w:t xml:space="preserve">”); </w:t>
      </w:r>
      <w:r w:rsidRPr="00706282">
        <w:rPr>
          <w:i/>
        </w:rPr>
        <w:t xml:space="preserve">see also </w:t>
      </w:r>
      <w:r w:rsidRPr="00706282">
        <w:rPr>
          <w:i/>
          <w:iCs/>
        </w:rPr>
        <w:t>WCAX Broadcasting Corp.</w:t>
      </w:r>
      <w:r w:rsidRPr="00706282">
        <w:rPr>
          <w:i/>
        </w:rPr>
        <w:t>,</w:t>
      </w:r>
      <w:r w:rsidRPr="00706282">
        <w:t xml:space="preserve"> Decision, 18 FCC 520, 525 (1954) (“For the purposes of orderly administration, it is necessary to put a limitation upon the freedom of amendment by applicants when a matter has been designated for hearing. Were a contrary rule to apply, the Commission's procedures would degenerate to a point where in hotly contested cases, all parties would wait until the last minute to file amendments, thus revealing for the first time important details of th</w:t>
      </w:r>
      <w:r>
        <w:t>eir applications . . .”) (quoting</w:t>
      </w:r>
      <w:r w:rsidRPr="00706282">
        <w:t xml:space="preserve"> </w:t>
      </w:r>
      <w:r w:rsidRPr="00706282">
        <w:rPr>
          <w:i/>
        </w:rPr>
        <w:t>Hamtramck Radio Corporation</w:t>
      </w:r>
      <w:r w:rsidRPr="00706282">
        <w:t xml:space="preserve">, </w:t>
      </w:r>
      <w:bookmarkStart w:id="2" w:name="ctx1"/>
      <w:bookmarkEnd w:id="2"/>
      <w:r w:rsidRPr="00706282">
        <w:rPr>
          <w:noProof/>
          <w:color w:val="0000FF"/>
        </w:rPr>
        <w:drawing>
          <wp:inline distT="0" distB="0" distL="0" distR="0" wp14:anchorId="1E42CD3D" wp14:editId="03C850CA">
            <wp:extent cx="9525" cy="9525"/>
            <wp:effectExtent l="0" t="0" r="0" b="0"/>
            <wp:docPr id="4" name="Picture 4" descr="previous hit">
              <a:hlinkClick xmlns:a="http://schemas.openxmlformats.org/drawingml/2006/main" r:id="rId5" tgtFrame="&quot;_t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vious hit">
                      <a:hlinkClick r:id="rId5" tgtFrame="&quot;_top&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706282">
        <w:rPr>
          <w:rStyle w:val="displayhltextactive"/>
        </w:rPr>
        <w:t>6 RR 43</w:t>
      </w:r>
      <w:r w:rsidRPr="00706282">
        <w:rPr>
          <w:noProof/>
          <w:color w:val="0000FF"/>
        </w:rPr>
        <w:drawing>
          <wp:inline distT="0" distB="0" distL="0" distR="0" wp14:anchorId="36D00EA1" wp14:editId="66CE07A2">
            <wp:extent cx="9525" cy="9525"/>
            <wp:effectExtent l="0" t="0" r="0" b="0"/>
            <wp:docPr id="3" name="Picture 3" descr="next hit">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xt hit">
                      <a:hlinkClick r:id="rId7"/>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706282">
        <w:t>, 46 (1950)).</w:t>
      </w:r>
    </w:p>
  </w:footnote>
  <w:footnote w:id="15">
    <w:p w:rsidR="00655696" w:rsidRPr="00706282" w:rsidRDefault="00655696" w:rsidP="00706282">
      <w:pPr>
        <w:pStyle w:val="FootnoteText"/>
      </w:pPr>
      <w:r w:rsidRPr="00706282">
        <w:rPr>
          <w:rStyle w:val="FootnoteReference"/>
        </w:rPr>
        <w:footnoteRef/>
      </w:r>
      <w:r w:rsidRPr="00706282">
        <w:t xml:space="preserve"> </w:t>
      </w:r>
      <w:r w:rsidRPr="00706282">
        <w:rPr>
          <w:i/>
        </w:rPr>
        <w:t xml:space="preserve">See infra </w:t>
      </w:r>
      <w:r w:rsidR="007B2F4F">
        <w:t>notes 17-19</w:t>
      </w:r>
      <w:r w:rsidRPr="00706282">
        <w:t xml:space="preserve">. </w:t>
      </w:r>
    </w:p>
  </w:footnote>
  <w:footnote w:id="16">
    <w:p w:rsidR="00655696" w:rsidRPr="00706282" w:rsidRDefault="00655696" w:rsidP="00706282">
      <w:pPr>
        <w:pStyle w:val="FootnoteText"/>
      </w:pPr>
      <w:r w:rsidRPr="00706282">
        <w:rPr>
          <w:rStyle w:val="FootnoteReference"/>
        </w:rPr>
        <w:footnoteRef/>
      </w:r>
      <w:r w:rsidRPr="00706282">
        <w:t xml:space="preserve"> </w:t>
      </w:r>
      <w:r w:rsidRPr="00706282">
        <w:rPr>
          <w:i/>
        </w:rPr>
        <w:t>See, e.g.</w:t>
      </w:r>
      <w:r w:rsidRPr="00706282">
        <w:t xml:space="preserve">, </w:t>
      </w:r>
      <w:r w:rsidRPr="00706282">
        <w:rPr>
          <w:i/>
        </w:rPr>
        <w:t>Mableton Broadcasting Co., Inc.</w:t>
      </w:r>
      <w:r w:rsidRPr="00706282">
        <w:t xml:space="preserve">, Memorandum Opinion and Order, 5 FCC Rcd 6314, 6320 (Rev. Bd. 1990) (“The sole remaining question—usually critical and so considered by the ALJ here—is whether [the Applicant] exercised “due diligence” in amending to its new site.”); </w:t>
      </w:r>
      <w:r w:rsidRPr="00706282">
        <w:rPr>
          <w:i/>
        </w:rPr>
        <w:t>Progressive Communications. Inc.</w:t>
      </w:r>
      <w:r w:rsidRPr="00706282">
        <w:t>, Decision, 3 FCC Rcd 5758, 5760 (Rev. Bd. 1988) (“[Applicant’s] more-than-one-year delay</w:t>
      </w:r>
      <w:r>
        <w:t xml:space="preserve"> . . . </w:t>
      </w:r>
      <w:r w:rsidRPr="00706282">
        <w:t>has not been shown to have been accompanied by even a modicum of due diligence, was dilatory, prejudicial and ‘foreseeable,’ and thus was properly denied by the ALJ for lack of ‘good cause.’”)</w:t>
      </w:r>
    </w:p>
  </w:footnote>
  <w:footnote w:id="17">
    <w:p w:rsidR="00655696" w:rsidRPr="00706282" w:rsidRDefault="00655696" w:rsidP="00706282">
      <w:pPr>
        <w:pStyle w:val="FootnoteText"/>
      </w:pPr>
      <w:r w:rsidRPr="00706282">
        <w:rPr>
          <w:rStyle w:val="FootnoteReference"/>
        </w:rPr>
        <w:footnoteRef/>
      </w:r>
      <w:r w:rsidRPr="00706282">
        <w:t xml:space="preserve"> </w:t>
      </w:r>
      <w:r w:rsidRPr="00706282">
        <w:rPr>
          <w:i/>
        </w:rPr>
        <w:t>Adlai E. Stevenson IV</w:t>
      </w:r>
      <w:r w:rsidRPr="00706282">
        <w:t xml:space="preserve">, Decision, 5 FCC Rcd 1588, 1589 (Rev. Bd. 1990); </w:t>
      </w:r>
      <w:r w:rsidRPr="00706282">
        <w:rPr>
          <w:i/>
        </w:rPr>
        <w:t>see also Magdalene Gunden Partnership</w:t>
      </w:r>
      <w:r w:rsidRPr="00706282">
        <w:t>, Decision, 2 FCC Rcd 5513, 5513-14 (Rev. Bd. 1987) (“</w:t>
      </w:r>
      <w:r w:rsidRPr="00706282">
        <w:rPr>
          <w:i/>
        </w:rPr>
        <w:t>Magdalene Gunden</w:t>
      </w:r>
      <w:r w:rsidRPr="00706282">
        <w:t>”).</w:t>
      </w:r>
    </w:p>
  </w:footnote>
  <w:footnote w:id="18">
    <w:p w:rsidR="00655696" w:rsidRPr="00706282" w:rsidRDefault="00655696" w:rsidP="00706282">
      <w:pPr>
        <w:pStyle w:val="FootnoteText"/>
      </w:pPr>
      <w:r w:rsidRPr="00706282">
        <w:rPr>
          <w:rStyle w:val="FootnoteReference"/>
        </w:rPr>
        <w:footnoteRef/>
      </w:r>
      <w:r w:rsidRPr="00706282">
        <w:t xml:space="preserve"> </w:t>
      </w:r>
      <w:r w:rsidRPr="00706282">
        <w:rPr>
          <w:i/>
        </w:rPr>
        <w:t>Magdalene Gunden</w:t>
      </w:r>
      <w:r w:rsidRPr="00706282">
        <w:t xml:space="preserve">, 2 FCC Rcd at 5513-14 (“[The applicant] did not demonstrate good cause to support its petition for leave to amend. That is, [the applicant’s] need to amend was both </w:t>
      </w:r>
      <w:r w:rsidRPr="00706282">
        <w:rPr>
          <w:noProof/>
          <w:color w:val="0000FF"/>
        </w:rPr>
        <w:drawing>
          <wp:inline distT="0" distB="0" distL="0" distR="0" wp14:anchorId="0907C731" wp14:editId="0A716783">
            <wp:extent cx="9525" cy="9525"/>
            <wp:effectExtent l="0" t="0" r="0" b="0"/>
            <wp:docPr id="5" name="Picture 5" descr="previous hit">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vious hit">
                      <a:hlinkClick r:id="rId8"/>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706282">
        <w:rPr>
          <w:rStyle w:val="displayhltext"/>
        </w:rPr>
        <w:t>foreseeable</w:t>
      </w:r>
      <w:r w:rsidRPr="00706282">
        <w:rPr>
          <w:noProof/>
          <w:color w:val="0000FF"/>
        </w:rPr>
        <w:drawing>
          <wp:inline distT="0" distB="0" distL="0" distR="0" wp14:anchorId="3B9CD5B8" wp14:editId="0ABFD87A">
            <wp:extent cx="9525" cy="9525"/>
            <wp:effectExtent l="0" t="0" r="0" b="0"/>
            <wp:docPr id="6" name="Picture 6" descr="next hit">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xt hit">
                      <a:hlinkClick r:id="rId9"/>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706282">
        <w:t xml:space="preserve"> and voluntary, because it never had any contact or negotiations with the site owner concerning the availability of its original site and consequently no reasonable basis to believe that it could rely on that site.”) (internal citation omitted); </w:t>
      </w:r>
      <w:r>
        <w:rPr>
          <w:i/>
        </w:rPr>
        <w:t xml:space="preserve">see also </w:t>
      </w:r>
      <w:r w:rsidRPr="00706282">
        <w:rPr>
          <w:i/>
        </w:rPr>
        <w:t>Shoblom Broadcasting, Inc.</w:t>
      </w:r>
      <w:r w:rsidRPr="00706282">
        <w:t xml:space="preserve">, Decision, 93 FCC 2d 1027, 1031-32 (Rev. Bd. 1983) (“An applicant's lack of due care in choosing a transmitter site cannot be equated with either unforeseeability or involuntariness when the need to resolve </w:t>
      </w:r>
      <w:r w:rsidRPr="00706282">
        <w:rPr>
          <w:rStyle w:val="Emphasis"/>
        </w:rPr>
        <w:t>pre-existing</w:t>
      </w:r>
      <w:r w:rsidRPr="00706282">
        <w:t xml:space="preserve"> site problems finally becomes apparent.”).</w:t>
      </w:r>
    </w:p>
  </w:footnote>
  <w:footnote w:id="19">
    <w:p w:rsidR="00655696" w:rsidRPr="00706282" w:rsidRDefault="00655696" w:rsidP="00706282">
      <w:pPr>
        <w:pStyle w:val="FootnoteText"/>
        <w:rPr>
          <w:i/>
        </w:rPr>
      </w:pPr>
      <w:r w:rsidRPr="00706282">
        <w:rPr>
          <w:rStyle w:val="FootnoteReference"/>
        </w:rPr>
        <w:footnoteRef/>
      </w:r>
      <w:r w:rsidRPr="00706282">
        <w:t xml:space="preserve"> </w:t>
      </w:r>
      <w:r w:rsidRPr="00706282">
        <w:rPr>
          <w:i/>
        </w:rPr>
        <w:t xml:space="preserve">South Florida, </w:t>
      </w:r>
      <w:r w:rsidRPr="00706282">
        <w:t>99 FCC 2d at 845, n.12.</w:t>
      </w:r>
    </w:p>
  </w:footnote>
  <w:footnote w:id="20">
    <w:p w:rsidR="00655696" w:rsidRPr="00042EB8" w:rsidRDefault="00655696" w:rsidP="00706282">
      <w:pPr>
        <w:spacing w:after="120"/>
        <w:rPr>
          <w:sz w:val="20"/>
        </w:rPr>
      </w:pPr>
      <w:r w:rsidRPr="00706282">
        <w:rPr>
          <w:rStyle w:val="FootnoteReference"/>
        </w:rPr>
        <w:footnoteRef/>
      </w:r>
      <w:r w:rsidRPr="00706282">
        <w:rPr>
          <w:sz w:val="20"/>
        </w:rPr>
        <w:t xml:space="preserve"> </w:t>
      </w:r>
      <w:r w:rsidRPr="00706282">
        <w:rPr>
          <w:i/>
          <w:sz w:val="20"/>
        </w:rPr>
        <w:t>See, e.g.</w:t>
      </w:r>
      <w:r w:rsidRPr="00706282">
        <w:rPr>
          <w:sz w:val="20"/>
        </w:rPr>
        <w:t xml:space="preserve">, </w:t>
      </w:r>
      <w:r w:rsidRPr="00706282">
        <w:rPr>
          <w:i/>
          <w:sz w:val="20"/>
        </w:rPr>
        <w:t>Schober</w:t>
      </w:r>
      <w:r w:rsidRPr="00706282">
        <w:rPr>
          <w:sz w:val="20"/>
        </w:rPr>
        <w:t xml:space="preserve">, 23 FCC Rcd at 14265 (citing </w:t>
      </w:r>
      <w:r w:rsidRPr="00042EB8">
        <w:rPr>
          <w:i/>
          <w:iCs/>
          <w:sz w:val="20"/>
        </w:rPr>
        <w:t>Classic Vision, Inc.,</w:t>
      </w:r>
      <w:r w:rsidRPr="00042EB8">
        <w:rPr>
          <w:sz w:val="20"/>
        </w:rPr>
        <w:t xml:space="preserve"> Memorandum Opinion and Order, 104 F</w:t>
      </w:r>
      <w:r>
        <w:rPr>
          <w:sz w:val="20"/>
        </w:rPr>
        <w:t>CC 2d 1271</w:t>
      </w:r>
      <w:r w:rsidRPr="00042EB8">
        <w:rPr>
          <w:sz w:val="20"/>
        </w:rPr>
        <w:t xml:space="preserve"> (1986), </w:t>
      </w:r>
      <w:r w:rsidRPr="00042EB8">
        <w:rPr>
          <w:i/>
          <w:iCs/>
          <w:sz w:val="20"/>
        </w:rPr>
        <w:t>review denied</w:t>
      </w:r>
      <w:r w:rsidRPr="00042EB8">
        <w:rPr>
          <w:sz w:val="20"/>
        </w:rPr>
        <w:t>, 2 FCC Rcd 2376 (1987)</w:t>
      </w:r>
      <w:r>
        <w:rPr>
          <w:sz w:val="20"/>
        </w:rPr>
        <w:t xml:space="preserve"> (citing </w:t>
      </w:r>
      <w:r w:rsidRPr="00042EB8">
        <w:rPr>
          <w:i/>
          <w:iCs/>
          <w:sz w:val="20"/>
        </w:rPr>
        <w:t>South Florida</w:t>
      </w:r>
      <w:r>
        <w:rPr>
          <w:sz w:val="20"/>
        </w:rPr>
        <w:t>, 99 FCC 2d at</w:t>
      </w:r>
      <w:r w:rsidRPr="00042EB8">
        <w:rPr>
          <w:sz w:val="20"/>
        </w:rPr>
        <w:t xml:space="preserve"> 845 n.12</w:t>
      </w:r>
      <w:r>
        <w:rPr>
          <w:sz w:val="20"/>
        </w:rPr>
        <w:t xml:space="preserve"> (</w:t>
      </w:r>
      <w:r w:rsidRPr="00042EB8">
        <w:rPr>
          <w:sz w:val="20"/>
        </w:rPr>
        <w:t>1984)</w:t>
      </w:r>
      <w:r>
        <w:rPr>
          <w:sz w:val="20"/>
        </w:rPr>
        <w:t>)).</w:t>
      </w:r>
    </w:p>
  </w:footnote>
  <w:footnote w:id="21">
    <w:p w:rsidR="00655696" w:rsidRPr="00706282" w:rsidRDefault="00655696" w:rsidP="00706282">
      <w:pPr>
        <w:pStyle w:val="FootnoteText"/>
      </w:pPr>
      <w:r w:rsidRPr="00706282">
        <w:rPr>
          <w:rStyle w:val="FootnoteReference"/>
        </w:rPr>
        <w:footnoteRef/>
      </w:r>
      <w:r w:rsidRPr="00706282">
        <w:t xml:space="preserve"> </w:t>
      </w:r>
      <w:r w:rsidRPr="00706282">
        <w:rPr>
          <w:i/>
        </w:rPr>
        <w:t>South Florida</w:t>
      </w:r>
      <w:r w:rsidRPr="00706282">
        <w:t>, 99 FCC 2d at</w:t>
      </w:r>
      <w:r>
        <w:t xml:space="preserve"> 845,</w:t>
      </w:r>
      <w:r w:rsidRPr="00706282">
        <w:t xml:space="preserve"> n.12.</w:t>
      </w:r>
    </w:p>
  </w:footnote>
  <w:footnote w:id="22">
    <w:p w:rsidR="00655696" w:rsidRPr="00706282" w:rsidRDefault="00655696" w:rsidP="00706282">
      <w:pPr>
        <w:pStyle w:val="FootnoteText"/>
      </w:pPr>
      <w:r w:rsidRPr="00706282">
        <w:rPr>
          <w:rStyle w:val="FootnoteReference"/>
        </w:rPr>
        <w:footnoteRef/>
      </w:r>
      <w:r w:rsidRPr="00706282">
        <w:t xml:space="preserve"> 47 C.F.R. § 73.3522 (1998); </w:t>
      </w:r>
      <w:r w:rsidRPr="00706282">
        <w:rPr>
          <w:i/>
        </w:rPr>
        <w:t>Auction Order</w:t>
      </w:r>
      <w:r>
        <w:t>, 13 FCC Rcd</w:t>
      </w:r>
      <w:r w:rsidR="00A2771E">
        <w:t xml:space="preserve"> at 16028</w:t>
      </w:r>
      <w:r w:rsidRPr="00706282">
        <w:t xml:space="preserve"> (Appendix C).</w:t>
      </w:r>
    </w:p>
  </w:footnote>
  <w:footnote w:id="23">
    <w:p w:rsidR="00655696" w:rsidRPr="00706282" w:rsidRDefault="00655696" w:rsidP="00706282">
      <w:pPr>
        <w:pStyle w:val="FootnoteText"/>
      </w:pPr>
      <w:r w:rsidRPr="00706282">
        <w:rPr>
          <w:rStyle w:val="FootnoteReference"/>
        </w:rPr>
        <w:footnoteRef/>
      </w:r>
      <w:r w:rsidRPr="00706282">
        <w:t xml:space="preserve"> </w:t>
      </w:r>
      <w:r>
        <w:t xml:space="preserve">47 C.F.R. § 73.3522(a).  </w:t>
      </w:r>
      <w:r w:rsidRPr="00706282">
        <w:t>Previous</w:t>
      </w:r>
      <w:r>
        <w:t>ly,</w:t>
      </w:r>
      <w:r w:rsidRPr="00706282">
        <w:t xml:space="preserve"> Section 73.3522(a) governed pre-designation amendments. </w:t>
      </w:r>
    </w:p>
  </w:footnote>
  <w:footnote w:id="24">
    <w:p w:rsidR="00655696" w:rsidRDefault="00655696">
      <w:pPr>
        <w:pStyle w:val="FootnoteText"/>
      </w:pPr>
      <w:r>
        <w:rPr>
          <w:rStyle w:val="FootnoteReference"/>
        </w:rPr>
        <w:footnoteRef/>
      </w:r>
      <w:r>
        <w:t xml:space="preserve"> 47 C.F.R. § 73.3522(b).</w:t>
      </w:r>
    </w:p>
  </w:footnote>
  <w:footnote w:id="25">
    <w:p w:rsidR="00655696" w:rsidRPr="00706282" w:rsidRDefault="00655696" w:rsidP="00706282">
      <w:pPr>
        <w:pStyle w:val="FootnoteText"/>
      </w:pPr>
      <w:r w:rsidRPr="00706282">
        <w:rPr>
          <w:rStyle w:val="FootnoteReference"/>
        </w:rPr>
        <w:footnoteRef/>
      </w:r>
      <w:r w:rsidRPr="00706282">
        <w:t xml:space="preserve"> 47 C.F.R. § 73.3522(a)(2).  </w:t>
      </w:r>
    </w:p>
  </w:footnote>
  <w:footnote w:id="26">
    <w:p w:rsidR="00655696" w:rsidRPr="00706282" w:rsidRDefault="00655696" w:rsidP="00706282">
      <w:pPr>
        <w:pStyle w:val="FootnoteText"/>
      </w:pPr>
      <w:r w:rsidRPr="00706282">
        <w:rPr>
          <w:rStyle w:val="FootnoteReference"/>
        </w:rPr>
        <w:footnoteRef/>
      </w:r>
      <w:r w:rsidRPr="00706282">
        <w:t xml:space="preserve"> </w:t>
      </w:r>
      <w:r w:rsidRPr="00706282">
        <w:rPr>
          <w:i/>
        </w:rPr>
        <w:t>Auction Order</w:t>
      </w:r>
      <w:r w:rsidRPr="00706282">
        <w:t>, 13 FCC Rc</w:t>
      </w:r>
      <w:r w:rsidR="00C24D51">
        <w:t>d at 15986</w:t>
      </w:r>
      <w:r w:rsidRPr="00706282">
        <w:t>.</w:t>
      </w:r>
    </w:p>
  </w:footnote>
  <w:footnote w:id="27">
    <w:p w:rsidR="00655696" w:rsidRPr="00706282" w:rsidRDefault="00655696" w:rsidP="00706282">
      <w:pPr>
        <w:pStyle w:val="FootnoteText"/>
      </w:pPr>
      <w:r w:rsidRPr="00706282">
        <w:rPr>
          <w:rStyle w:val="FootnoteReference"/>
        </w:rPr>
        <w:footnoteRef/>
      </w:r>
      <w:r w:rsidRPr="00706282">
        <w:t xml:space="preserve"> </w:t>
      </w:r>
      <w:r>
        <w:rPr>
          <w:i/>
        </w:rPr>
        <w:t>Id</w:t>
      </w:r>
      <w:r>
        <w:t>.</w:t>
      </w:r>
      <w:r w:rsidR="00C24D51">
        <w:t xml:space="preserve"> at 15986-87</w:t>
      </w:r>
      <w:r w:rsidRPr="00706282">
        <w:t>.</w:t>
      </w:r>
    </w:p>
  </w:footnote>
  <w:footnote w:id="28">
    <w:p w:rsidR="00655696" w:rsidRPr="00706282" w:rsidRDefault="00655696" w:rsidP="00706282">
      <w:pPr>
        <w:pStyle w:val="FootnoteText"/>
      </w:pPr>
      <w:r w:rsidRPr="00706282">
        <w:rPr>
          <w:rStyle w:val="FootnoteReference"/>
        </w:rPr>
        <w:footnoteRef/>
      </w:r>
      <w:r w:rsidRPr="00706282">
        <w:t xml:space="preserve"> </w:t>
      </w:r>
      <w:r w:rsidRPr="00706282">
        <w:rPr>
          <w:rStyle w:val="emphi"/>
          <w:i/>
        </w:rPr>
        <w:t>Liberty Productions, A Limited Partnership</w:t>
      </w:r>
      <w:r w:rsidRPr="00706282">
        <w:t>, Memorandum Opinion and Order, 16 FCC Rcd 12061, 12071-72 (2001)</w:t>
      </w:r>
      <w:r>
        <w:t xml:space="preserve"> (accepting a site amendment </w:t>
      </w:r>
      <w:r w:rsidR="001C541E">
        <w:t>by winning bidder</w:t>
      </w:r>
      <w:r>
        <w:t>).</w:t>
      </w:r>
    </w:p>
  </w:footnote>
  <w:footnote w:id="29">
    <w:p w:rsidR="00655696" w:rsidRPr="00706282" w:rsidRDefault="00655696" w:rsidP="00706282">
      <w:pPr>
        <w:pStyle w:val="FootnoteText"/>
      </w:pPr>
      <w:r w:rsidRPr="00706282">
        <w:rPr>
          <w:rStyle w:val="FootnoteReference"/>
        </w:rPr>
        <w:footnoteRef/>
      </w:r>
      <w:r w:rsidRPr="00706282">
        <w:t xml:space="preserve"> </w:t>
      </w:r>
      <w:r w:rsidRPr="00706282">
        <w:rPr>
          <w:i/>
        </w:rPr>
        <w:t>Schober</w:t>
      </w:r>
      <w:r w:rsidRPr="00706282">
        <w:t xml:space="preserve">, 23 FCC Rcd </w:t>
      </w:r>
      <w:r>
        <w:t>at 14265</w:t>
      </w:r>
      <w:r w:rsidRPr="00706282">
        <w:t>.</w:t>
      </w:r>
    </w:p>
  </w:footnote>
  <w:footnote w:id="30">
    <w:p w:rsidR="00655696" w:rsidRPr="00706282" w:rsidRDefault="00655696" w:rsidP="00706282">
      <w:pPr>
        <w:pStyle w:val="FootnoteText"/>
      </w:pPr>
      <w:r w:rsidRPr="00706282">
        <w:rPr>
          <w:rStyle w:val="FootnoteReference"/>
        </w:rPr>
        <w:footnoteRef/>
      </w:r>
      <w:r w:rsidRPr="00706282">
        <w:t xml:space="preserve"> </w:t>
      </w:r>
      <w:r w:rsidRPr="00706282">
        <w:rPr>
          <w:i/>
        </w:rPr>
        <w:t>Able Radio Corporation</w:t>
      </w:r>
      <w:r w:rsidRPr="00706282">
        <w:t xml:space="preserve">, Memorandum Opinion and Order, </w:t>
      </w:r>
      <w:r>
        <w:rPr>
          <w:iCs/>
        </w:rPr>
        <w:t xml:space="preserve">29 FCC Rcd 4363, 4364 (2014); </w:t>
      </w:r>
      <w:r>
        <w:rPr>
          <w:i/>
          <w:iCs/>
        </w:rPr>
        <w:t>contra</w:t>
      </w:r>
      <w:r>
        <w:rPr>
          <w:iCs/>
        </w:rPr>
        <w:t xml:space="preserve"> </w:t>
      </w:r>
      <w:r w:rsidRPr="00CB43FC">
        <w:rPr>
          <w:i/>
          <w:iCs/>
        </w:rPr>
        <w:t>Colorado Television, Inc</w:t>
      </w:r>
      <w:r>
        <w:rPr>
          <w:iCs/>
        </w:rPr>
        <w:t>., 98 FCC 2d 513, 518 n.</w:t>
      </w:r>
      <w:r w:rsidRPr="00CB43FC">
        <w:rPr>
          <w:iCs/>
        </w:rPr>
        <w:t>6 (Rev. Bd. 1984) (</w:t>
      </w:r>
      <w:r>
        <w:rPr>
          <w:iCs/>
        </w:rPr>
        <w:t xml:space="preserve">holding that </w:t>
      </w:r>
      <w:r w:rsidRPr="00CB43FC">
        <w:rPr>
          <w:iCs/>
        </w:rPr>
        <w:t xml:space="preserve">denial of first site amendment requires rejection of a second site amendment because “the </w:t>
      </w:r>
      <w:r w:rsidRPr="00CB43FC">
        <w:rPr>
          <w:iCs/>
          <w:noProof/>
        </w:rPr>
        <w:drawing>
          <wp:inline distT="0" distB="0" distL="0" distR="0" wp14:anchorId="71D1352C" wp14:editId="01F1CBC7">
            <wp:extent cx="9525" cy="9525"/>
            <wp:effectExtent l="0" t="0" r="0" b="0"/>
            <wp:docPr id="20" name="Picture 20" descr="previous hit">
              <a:hlinkClick xmlns:a="http://schemas.openxmlformats.org/drawingml/2006/main" r:id="rId10" tgtFrame="&quot;_t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previous hit">
                      <a:hlinkClick r:id="rId10" tgtFrame="&quot;_top&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CB43FC">
        <w:rPr>
          <w:iCs/>
        </w:rPr>
        <w:t>chain of good cause</w:t>
      </w:r>
      <w:r w:rsidRPr="00CB43FC">
        <w:rPr>
          <w:iCs/>
          <w:noProof/>
        </w:rPr>
        <w:drawing>
          <wp:inline distT="0" distB="0" distL="0" distR="0" wp14:anchorId="34234F42" wp14:editId="49A47922">
            <wp:extent cx="9525" cy="9525"/>
            <wp:effectExtent l="0" t="0" r="0" b="0"/>
            <wp:docPr id="19" name="Picture 19" descr="next hit">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next hit">
                      <a:hlinkClick r:id="rId7"/>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CB43FC">
        <w:rPr>
          <w:iCs/>
        </w:rPr>
        <w:t xml:space="preserve"> had long been broken”).</w:t>
      </w:r>
    </w:p>
  </w:footnote>
  <w:footnote w:id="31">
    <w:p w:rsidR="00AA5694" w:rsidRPr="00AA5694" w:rsidRDefault="00AA5694">
      <w:pPr>
        <w:pStyle w:val="FootnoteText"/>
      </w:pPr>
      <w:r>
        <w:rPr>
          <w:rStyle w:val="FootnoteReference"/>
        </w:rPr>
        <w:footnoteRef/>
      </w:r>
      <w:r>
        <w:t xml:space="preserve"> </w:t>
      </w:r>
      <w:r>
        <w:rPr>
          <w:i/>
        </w:rPr>
        <w:t>Auction Order</w:t>
      </w:r>
      <w:r>
        <w:t>, 13 FCC Rcd at 15986-87.</w:t>
      </w:r>
    </w:p>
  </w:footnote>
  <w:footnote w:id="32">
    <w:p w:rsidR="00A2771E" w:rsidRPr="00A2771E" w:rsidRDefault="00A2771E">
      <w:pPr>
        <w:pStyle w:val="FootnoteText"/>
      </w:pPr>
      <w:r>
        <w:rPr>
          <w:rStyle w:val="FootnoteReference"/>
        </w:rPr>
        <w:footnoteRef/>
      </w:r>
      <w:r>
        <w:t xml:space="preserve"> </w:t>
      </w:r>
      <w:r>
        <w:rPr>
          <w:i/>
        </w:rPr>
        <w:t>Id</w:t>
      </w:r>
      <w:r>
        <w:t>.</w:t>
      </w:r>
    </w:p>
  </w:footnote>
  <w:footnote w:id="33">
    <w:p w:rsidR="002F0A21" w:rsidRPr="002F0A21" w:rsidRDefault="002F0A21">
      <w:pPr>
        <w:pStyle w:val="FootnoteText"/>
      </w:pPr>
      <w:r>
        <w:rPr>
          <w:rStyle w:val="FootnoteReference"/>
        </w:rPr>
        <w:footnoteRef/>
      </w:r>
      <w:r>
        <w:t xml:space="preserve"> </w:t>
      </w:r>
      <w:r>
        <w:rPr>
          <w:i/>
        </w:rPr>
        <w:t xml:space="preserve">See </w:t>
      </w:r>
      <w:r w:rsidR="00370DB2">
        <w:rPr>
          <w:i/>
        </w:rPr>
        <w:t>supra</w:t>
      </w:r>
      <w:r w:rsidR="00370DB2">
        <w:t>, ¶ 6;</w:t>
      </w:r>
      <w:r w:rsidR="00370DB2">
        <w:rPr>
          <w:i/>
        </w:rPr>
        <w:t xml:space="preserve"> </w:t>
      </w:r>
      <w:r>
        <w:t xml:space="preserve">47 U.S.C. § 309(j); </w:t>
      </w:r>
      <w:r>
        <w:rPr>
          <w:i/>
        </w:rPr>
        <w:t>Auction Order</w:t>
      </w:r>
      <w:r>
        <w:t xml:space="preserve">, 13 FCC Rcd at 15924 (“We find that, except for certain pending applications that are subject to </w:t>
      </w:r>
      <w:r w:rsidRPr="002F0A21">
        <w:t>Section 309(l)</w:t>
      </w:r>
      <w:r>
        <w:t>, our auction authority is mandatory, rather than permissive, for all full power commercial radio and analog television stations.”)</w:t>
      </w:r>
    </w:p>
  </w:footnote>
  <w:footnote w:id="34">
    <w:p w:rsidR="00203A0B" w:rsidRDefault="00203A0B">
      <w:pPr>
        <w:pStyle w:val="FootnoteText"/>
      </w:pPr>
      <w:r>
        <w:rPr>
          <w:rStyle w:val="FootnoteReference"/>
        </w:rPr>
        <w:footnoteRef/>
      </w:r>
      <w:r>
        <w:t xml:space="preserve"> </w:t>
      </w:r>
      <w:r w:rsidRPr="00706282">
        <w:rPr>
          <w:i/>
        </w:rPr>
        <w:t>Auction Order</w:t>
      </w:r>
      <w:r w:rsidRPr="00706282">
        <w:t>, 13 FCC Rc</w:t>
      </w:r>
      <w:r>
        <w:t>d at 15986</w:t>
      </w:r>
      <w:r w:rsidRPr="00706282">
        <w:t>.</w:t>
      </w:r>
    </w:p>
  </w:footnote>
  <w:footnote w:id="35">
    <w:p w:rsidR="00A85119" w:rsidRPr="00183510" w:rsidRDefault="00A85119" w:rsidP="00A85119">
      <w:pPr>
        <w:pStyle w:val="FootnoteText"/>
      </w:pPr>
      <w:r>
        <w:rPr>
          <w:rStyle w:val="FootnoteReference"/>
        </w:rPr>
        <w:footnoteRef/>
      </w:r>
      <w:r>
        <w:t xml:space="preserve"> </w:t>
      </w:r>
      <w:r w:rsidRPr="00183510">
        <w:rPr>
          <w:i/>
        </w:rPr>
        <w:t>S</w:t>
      </w:r>
      <w:r>
        <w:rPr>
          <w:i/>
        </w:rPr>
        <w:t>ee s</w:t>
      </w:r>
      <w:r w:rsidRPr="00183510">
        <w:rPr>
          <w:i/>
        </w:rPr>
        <w:t>upra</w:t>
      </w:r>
      <w:r>
        <w:t xml:space="preserve">, ¶ 8. </w:t>
      </w:r>
    </w:p>
  </w:footnote>
  <w:footnote w:id="36">
    <w:p w:rsidR="00655696" w:rsidRPr="00706282" w:rsidRDefault="00655696" w:rsidP="00706282">
      <w:pPr>
        <w:pStyle w:val="FootnoteText"/>
      </w:pPr>
      <w:r w:rsidRPr="00706282">
        <w:rPr>
          <w:rStyle w:val="FootnoteReference"/>
        </w:rPr>
        <w:footnoteRef/>
      </w:r>
      <w:r w:rsidRPr="00706282">
        <w:t xml:space="preserve"> </w:t>
      </w:r>
      <w:r w:rsidRPr="003D02EA">
        <w:rPr>
          <w:rStyle w:val="emphi"/>
          <w:i/>
        </w:rPr>
        <w:t>See, e.g.</w:t>
      </w:r>
      <w:r w:rsidRPr="003D02EA">
        <w:rPr>
          <w:i/>
        </w:rPr>
        <w:t xml:space="preserve">, </w:t>
      </w:r>
      <w:r w:rsidRPr="003D02EA">
        <w:rPr>
          <w:rStyle w:val="emphi"/>
          <w:i/>
        </w:rPr>
        <w:t>Swan Creek Communications v. FCC</w:t>
      </w:r>
      <w:r w:rsidRPr="00706282">
        <w:t xml:space="preserve">, </w:t>
      </w:r>
      <w:r w:rsidRPr="003D02EA">
        <w:t>39 F3d 1217</w:t>
      </w:r>
      <w:r w:rsidRPr="00706282">
        <w:t>, 1222 (D</w:t>
      </w:r>
      <w:r>
        <w:t>.</w:t>
      </w:r>
      <w:r w:rsidRPr="00706282">
        <w:t>C</w:t>
      </w:r>
      <w:r>
        <w:t>.</w:t>
      </w:r>
      <w:r w:rsidRPr="00706282">
        <w:t xml:space="preserve"> Cir</w:t>
      </w:r>
      <w:r>
        <w:t>.</w:t>
      </w:r>
      <w:r w:rsidRPr="00706282">
        <w:t xml:space="preserve"> 1994);</w:t>
      </w:r>
      <w:r>
        <w:t xml:space="preserve"> </w:t>
      </w:r>
      <w:r w:rsidRPr="003D02EA">
        <w:rPr>
          <w:rStyle w:val="emphi"/>
          <w:i/>
        </w:rPr>
        <w:t>Fox River Broadcasting, Inc</w:t>
      </w:r>
      <w:r w:rsidRPr="00706282">
        <w:rPr>
          <w:rStyle w:val="emphi"/>
        </w:rPr>
        <w:t>.,</w:t>
      </w:r>
      <w:r w:rsidRPr="00706282">
        <w:t xml:space="preserve"> Order, </w:t>
      </w:r>
      <w:r w:rsidRPr="003D02EA">
        <w:t>93 FCC 2d 127</w:t>
      </w:r>
      <w:r w:rsidRPr="00706282">
        <w:t>, 129 (1983).</w:t>
      </w:r>
    </w:p>
  </w:footnote>
  <w:footnote w:id="37">
    <w:p w:rsidR="00655696" w:rsidRPr="00706282" w:rsidRDefault="00655696" w:rsidP="00706282">
      <w:pPr>
        <w:pStyle w:val="FootnoteText"/>
      </w:pPr>
      <w:r w:rsidRPr="00706282">
        <w:rPr>
          <w:rStyle w:val="FootnoteReference"/>
        </w:rPr>
        <w:footnoteRef/>
      </w:r>
      <w:r w:rsidRPr="00706282">
        <w:t xml:space="preserve"> </w:t>
      </w:r>
      <w:r w:rsidRPr="00176B4F">
        <w:rPr>
          <w:rStyle w:val="emphi"/>
          <w:i/>
        </w:rPr>
        <w:t>See, e.g.</w:t>
      </w:r>
      <w:r w:rsidRPr="00176B4F">
        <w:rPr>
          <w:i/>
        </w:rPr>
        <w:t xml:space="preserve">, </w:t>
      </w:r>
      <w:r w:rsidRPr="00176B4F">
        <w:rPr>
          <w:rStyle w:val="emphi"/>
          <w:i/>
        </w:rPr>
        <w:t>High Country Communications</w:t>
      </w:r>
      <w:r w:rsidRPr="00706282">
        <w:t xml:space="preserve">, Memorandum Opinion and Order, </w:t>
      </w:r>
      <w:r w:rsidRPr="00176B4F">
        <w:t>4 FCC Rcd 6237</w:t>
      </w:r>
      <w:r w:rsidRPr="00706282">
        <w:t xml:space="preserve"> (1989)</w:t>
      </w:r>
      <w:r>
        <w:t>.</w:t>
      </w:r>
      <w:r w:rsidR="007B2F4F">
        <w:t xml:space="preserve"> </w:t>
      </w:r>
      <w:r w:rsidR="007B2F4F" w:rsidRPr="007B2F4F">
        <w:t xml:space="preserve"> </w:t>
      </w:r>
      <w:r w:rsidR="007B2F4F">
        <w:t xml:space="preserve">.  </w:t>
      </w:r>
    </w:p>
  </w:footnote>
  <w:footnote w:id="38">
    <w:p w:rsidR="00655696" w:rsidRDefault="00655696">
      <w:pPr>
        <w:pStyle w:val="FootnoteText"/>
      </w:pPr>
      <w:r>
        <w:rPr>
          <w:rStyle w:val="FootnoteReference"/>
        </w:rPr>
        <w:footnoteRef/>
      </w:r>
      <w:r>
        <w:t xml:space="preserve"> </w:t>
      </w:r>
      <w:r w:rsidR="004F1553">
        <w:rPr>
          <w:i/>
        </w:rPr>
        <w:t xml:space="preserve">See </w:t>
      </w:r>
      <w:r w:rsidR="00C24D51">
        <w:t>47 U.S.C. § 309(d)(1); s</w:t>
      </w:r>
      <w:r>
        <w:rPr>
          <w:i/>
        </w:rPr>
        <w:t>ee</w:t>
      </w:r>
      <w:r w:rsidR="004F1553">
        <w:rPr>
          <w:i/>
        </w:rPr>
        <w:t xml:space="preserve"> also</w:t>
      </w:r>
      <w:r>
        <w:rPr>
          <w:i/>
        </w:rPr>
        <w:t xml:space="preserve"> </w:t>
      </w:r>
      <w:r w:rsidRPr="003D02EA">
        <w:rPr>
          <w:rStyle w:val="emphi"/>
          <w:i/>
        </w:rPr>
        <w:t>LUJ, Inc</w:t>
      </w:r>
      <w:r w:rsidRPr="00706282">
        <w:t xml:space="preserve">., Memorandum Opinion and Order, </w:t>
      </w:r>
      <w:r w:rsidRPr="003D02EA">
        <w:t>17 FCC Rcd 16980</w:t>
      </w:r>
      <w:r w:rsidRPr="00706282">
        <w:t>, 16982 (2002)</w:t>
      </w:r>
      <w:r>
        <w:t xml:space="preserve"> (finding that although the subject certifications were in fact false, there was nothing on the record as a whole sufficient to raise a substantial and material question of fact whether the applicant intended to deceive the Commission).</w:t>
      </w:r>
    </w:p>
  </w:footnote>
  <w:footnote w:id="39">
    <w:p w:rsidR="008060F4" w:rsidRPr="008060F4" w:rsidRDefault="008060F4" w:rsidP="003210BF">
      <w:pPr>
        <w:pStyle w:val="FootnoteText"/>
      </w:pPr>
      <w:r>
        <w:rPr>
          <w:rStyle w:val="FootnoteReference"/>
        </w:rPr>
        <w:footnoteRef/>
      </w:r>
      <w:r>
        <w:t xml:space="preserve"> </w:t>
      </w:r>
      <w:r>
        <w:rPr>
          <w:i/>
        </w:rPr>
        <w:t xml:space="preserve">See, e.g., Schober, </w:t>
      </w:r>
      <w:r>
        <w:t>23 FCC Rcd at 14266 n. 28 (“The burden is on the petitioner to demonstrate motive to deceive or conceal.  The Commission will not infer improper motive from application errors, inconsistencies or omissions accompanied by speculation that lacks factual support”).</w:t>
      </w:r>
      <w:r w:rsidR="003210BF">
        <w:t xml:space="preserve">  </w:t>
      </w:r>
    </w:p>
  </w:footnote>
  <w:footnote w:id="40">
    <w:p w:rsidR="00655696" w:rsidRPr="00706282" w:rsidRDefault="00655696" w:rsidP="00706282">
      <w:pPr>
        <w:pStyle w:val="FootnoteText"/>
      </w:pPr>
      <w:r w:rsidRPr="00706282">
        <w:rPr>
          <w:rStyle w:val="FootnoteReference"/>
        </w:rPr>
        <w:footnoteRef/>
      </w:r>
      <w:r w:rsidRPr="00706282">
        <w:t xml:space="preserve"> 47 U.S.C. § 155(c)(5).</w:t>
      </w:r>
    </w:p>
  </w:footnote>
  <w:footnote w:id="41">
    <w:p w:rsidR="00655696" w:rsidRPr="00706282" w:rsidRDefault="00655696" w:rsidP="00706282">
      <w:pPr>
        <w:pStyle w:val="FootnoteText"/>
      </w:pPr>
      <w:r w:rsidRPr="00706282">
        <w:rPr>
          <w:rStyle w:val="FootnoteReference"/>
        </w:rPr>
        <w:footnoteRef/>
      </w:r>
      <w:r w:rsidRPr="00706282">
        <w:t xml:space="preserve"> 47 C.F.R. § 1.115(g).</w:t>
      </w:r>
    </w:p>
  </w:footnote>
  <w:footnote w:id="42">
    <w:p w:rsidR="006D4026" w:rsidRPr="006F2E6B" w:rsidRDefault="006D4026" w:rsidP="006D4026">
      <w:pPr>
        <w:pStyle w:val="FootnoteText"/>
      </w:pPr>
      <w:r>
        <w:rPr>
          <w:rStyle w:val="FootnoteReference"/>
        </w:rPr>
        <w:footnoteRef/>
      </w:r>
      <w:r w:rsidRPr="006F2E6B">
        <w:t xml:space="preserve"> </w:t>
      </w:r>
      <w:r w:rsidRPr="006F2E6B">
        <w:rPr>
          <w:i/>
        </w:rPr>
        <w:t>Implementation of Section 309(j) of the Communications Act—Competitive Bidding for Commercial Broadcast and Instructional Televised Fixed Services Licenses</w:t>
      </w:r>
      <w:r>
        <w:rPr>
          <w:i/>
        </w:rPr>
        <w:t xml:space="preserve"> et al.</w:t>
      </w:r>
      <w:r>
        <w:t>, MM Docket No. 97-234 et al.</w:t>
      </w:r>
      <w:r w:rsidRPr="006F2E6B">
        <w:t xml:space="preserve">, First Report and Order, 13 FCC Rcd 15920, </w:t>
      </w:r>
      <w:r>
        <w:t xml:space="preserve">15982, </w:t>
      </w:r>
      <w:r w:rsidRPr="006F2E6B">
        <w:t>para. 174 (1998).</w:t>
      </w:r>
    </w:p>
  </w:footnote>
  <w:footnote w:id="43">
    <w:p w:rsidR="006D4026" w:rsidRPr="006F2E6B" w:rsidRDefault="006D4026" w:rsidP="006D4026">
      <w:pPr>
        <w:pStyle w:val="FootnoteText"/>
      </w:pPr>
      <w:r w:rsidRPr="006F2E6B">
        <w:rPr>
          <w:rStyle w:val="FootnoteReference"/>
        </w:rPr>
        <w:footnoteRef/>
      </w:r>
      <w:r w:rsidRPr="006F2E6B">
        <w:t xml:space="preserve"> </w:t>
      </w:r>
      <w:r w:rsidRPr="006F2E6B">
        <w:rPr>
          <w:i/>
        </w:rPr>
        <w:t>Id</w:t>
      </w:r>
      <w:r>
        <w:t>. at 15981, para. 172.</w:t>
      </w:r>
    </w:p>
  </w:footnote>
  <w:footnote w:id="44">
    <w:p w:rsidR="006D4026" w:rsidRPr="006F2E6B" w:rsidRDefault="006D4026" w:rsidP="006D4026">
      <w:pPr>
        <w:pStyle w:val="FootnoteText"/>
      </w:pPr>
      <w:r w:rsidRPr="006F2E6B">
        <w:rPr>
          <w:rStyle w:val="FootnoteReference"/>
        </w:rPr>
        <w:footnoteRef/>
      </w:r>
      <w:r w:rsidRPr="006F2E6B">
        <w:t xml:space="preserve"> Instructions for FCC Form 301, Section 1.L, </w:t>
      </w:r>
      <w:hyperlink r:id="rId11" w:history="1">
        <w:r w:rsidRPr="006F2E6B">
          <w:rPr>
            <w:rStyle w:val="Hyperlink"/>
          </w:rPr>
          <w:t>http://transition.fcc.gov/Forms/Form301/301.pdf</w:t>
        </w:r>
      </w:hyperlink>
      <w:r w:rsidRPr="006F2E6B">
        <w:t xml:space="preserve"> (v</w:t>
      </w:r>
      <w:r>
        <w:t>isited Jan. 20, 2014)</w:t>
      </w:r>
      <w:r w:rsidRPr="006F2E6B">
        <w:t>.</w:t>
      </w:r>
    </w:p>
  </w:footnote>
  <w:footnote w:id="45">
    <w:p w:rsidR="006D4026" w:rsidRPr="006F2E6B" w:rsidRDefault="006D4026" w:rsidP="006D4026">
      <w:pPr>
        <w:pStyle w:val="FootnoteText"/>
      </w:pPr>
      <w:r w:rsidRPr="006F2E6B">
        <w:rPr>
          <w:rStyle w:val="FootnoteReference"/>
        </w:rPr>
        <w:footnoteRef/>
      </w:r>
      <w:r w:rsidRPr="006F2E6B">
        <w:t xml:space="preserve"> </w:t>
      </w:r>
      <w:r w:rsidRPr="006F2E6B">
        <w:rPr>
          <w:i/>
        </w:rPr>
        <w:t xml:space="preserve">See </w:t>
      </w:r>
      <w:r>
        <w:rPr>
          <w:i/>
        </w:rPr>
        <w:t>Order</w:t>
      </w:r>
      <w:r w:rsidRPr="006F2E6B">
        <w:t xml:space="preserve"> at para. 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31C" w:rsidRDefault="00CC23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4F9" w:rsidRDefault="009064F9" w:rsidP="009064F9">
    <w:pPr>
      <w:pStyle w:val="Header"/>
      <w:rPr>
        <w:b w:val="0"/>
      </w:rPr>
    </w:pPr>
    <w:r>
      <w:tab/>
      <w:t>Federal Communications Commission</w:t>
    </w:r>
    <w:r>
      <w:tab/>
      <w:t>FCC 15-</w:t>
    </w:r>
    <w:r w:rsidR="007B7D5D">
      <w:t>4</w:t>
    </w:r>
    <w:r>
      <w:t xml:space="preserve"> </w:t>
    </w:r>
  </w:p>
  <w:p w:rsidR="009064F9" w:rsidRPr="009064F9" w:rsidRDefault="009064F9" w:rsidP="009064F9">
    <w:pPr>
      <w:pStyle w:val="Header"/>
    </w:pPr>
    <w:r>
      <w:rPr>
        <w:noProof/>
      </w:rPr>
      <mc:AlternateContent>
        <mc:Choice Requires="wps">
          <w:drawing>
            <wp:anchor distT="0" distB="0" distL="114300" distR="114300" simplePos="0" relativeHeight="251660288" behindDoc="0" locked="0" layoutInCell="0" allowOverlap="1" wp14:anchorId="1AE475DE" wp14:editId="498A7DB2">
              <wp:simplePos x="0" y="0"/>
              <wp:positionH relativeFrom="column">
                <wp:posOffset>0</wp:posOffset>
              </wp:positionH>
              <wp:positionV relativeFrom="paragraph">
                <wp:posOffset>22225</wp:posOffset>
              </wp:positionV>
              <wp:extent cx="5943600" cy="0"/>
              <wp:effectExtent l="0" t="0" r="0" b="0"/>
              <wp:wrapNone/>
              <wp:docPr id="1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sCEw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" o:allowincell="f" strokeweight="1.5p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696" w:rsidRDefault="00655696" w:rsidP="00810B6F">
    <w:pPr>
      <w:pStyle w:val="Header"/>
      <w:rPr>
        <w:b w:val="0"/>
      </w:rPr>
    </w:pPr>
    <w:r>
      <w:rPr>
        <w:noProof/>
      </w:rPr>
      <mc:AlternateContent>
        <mc:Choice Requires="wps">
          <w:drawing>
            <wp:anchor distT="0" distB="0" distL="114300" distR="114300" simplePos="0" relativeHeight="251658240" behindDoc="1" locked="0" layoutInCell="0" allowOverlap="1" wp14:anchorId="662781AC" wp14:editId="14A69754">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tab/>
      <w:t>Federal Communications Commission</w:t>
    </w:r>
    <w:r>
      <w:tab/>
    </w:r>
    <w:r w:rsidR="0084772B">
      <w:rPr>
        <w:spacing w:val="-2"/>
      </w:rPr>
      <w:t>FCC 1</w:t>
    </w:r>
    <w:r w:rsidR="009064F9">
      <w:rPr>
        <w:spacing w:val="-2"/>
      </w:rPr>
      <w:t>5-</w:t>
    </w:r>
    <w:r w:rsidR="007B7D5D">
      <w:rPr>
        <w:spacing w:val="-2"/>
      </w:rPr>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5"/>
  </w:num>
  <w:num w:numId="8">
    <w:abstractNumId w:val="5"/>
  </w:num>
  <w:num w:numId="9">
    <w:abstractNumId w:val="5"/>
  </w:num>
  <w:num w:numId="10">
    <w:abstractNumId w:val="5"/>
  </w:num>
  <w:num w:numId="11">
    <w:abstractNumId w:val="5"/>
  </w:num>
  <w:num w:numId="12">
    <w:abstractNumId w:val="5"/>
  </w:num>
  <w:num w:numId="13">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481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075"/>
    <w:rsid w:val="000042FE"/>
    <w:rsid w:val="0001294A"/>
    <w:rsid w:val="00014290"/>
    <w:rsid w:val="000143FC"/>
    <w:rsid w:val="000170F2"/>
    <w:rsid w:val="0003017B"/>
    <w:rsid w:val="00030193"/>
    <w:rsid w:val="00032CC6"/>
    <w:rsid w:val="00035F6B"/>
    <w:rsid w:val="00036039"/>
    <w:rsid w:val="00037F90"/>
    <w:rsid w:val="00042EB8"/>
    <w:rsid w:val="00052FF2"/>
    <w:rsid w:val="00055AC7"/>
    <w:rsid w:val="000571EB"/>
    <w:rsid w:val="00060A22"/>
    <w:rsid w:val="00062F8C"/>
    <w:rsid w:val="000638B4"/>
    <w:rsid w:val="00070E66"/>
    <w:rsid w:val="000712A4"/>
    <w:rsid w:val="00074B35"/>
    <w:rsid w:val="000810C9"/>
    <w:rsid w:val="00085282"/>
    <w:rsid w:val="000875BF"/>
    <w:rsid w:val="00096D8C"/>
    <w:rsid w:val="000A7289"/>
    <w:rsid w:val="000B61AA"/>
    <w:rsid w:val="000C0B65"/>
    <w:rsid w:val="000C0EFB"/>
    <w:rsid w:val="000C2AD6"/>
    <w:rsid w:val="000C5A80"/>
    <w:rsid w:val="000C6822"/>
    <w:rsid w:val="000E004F"/>
    <w:rsid w:val="000E05FE"/>
    <w:rsid w:val="000E0E26"/>
    <w:rsid w:val="000E3D42"/>
    <w:rsid w:val="000E7786"/>
    <w:rsid w:val="000F59B8"/>
    <w:rsid w:val="0010720D"/>
    <w:rsid w:val="00113B3B"/>
    <w:rsid w:val="00113FEF"/>
    <w:rsid w:val="001141FA"/>
    <w:rsid w:val="00122BD5"/>
    <w:rsid w:val="00133F79"/>
    <w:rsid w:val="00136210"/>
    <w:rsid w:val="00136577"/>
    <w:rsid w:val="00145186"/>
    <w:rsid w:val="00147C22"/>
    <w:rsid w:val="00173A26"/>
    <w:rsid w:val="00176B4F"/>
    <w:rsid w:val="00183510"/>
    <w:rsid w:val="00191F7A"/>
    <w:rsid w:val="00194A66"/>
    <w:rsid w:val="00195B31"/>
    <w:rsid w:val="001969B4"/>
    <w:rsid w:val="001A4B71"/>
    <w:rsid w:val="001A7F6A"/>
    <w:rsid w:val="001B1F54"/>
    <w:rsid w:val="001C30BA"/>
    <w:rsid w:val="001C3931"/>
    <w:rsid w:val="001C541E"/>
    <w:rsid w:val="001D3966"/>
    <w:rsid w:val="001D4CDF"/>
    <w:rsid w:val="001D6BCF"/>
    <w:rsid w:val="001D6FEC"/>
    <w:rsid w:val="001E01CA"/>
    <w:rsid w:val="001E2512"/>
    <w:rsid w:val="001E2D53"/>
    <w:rsid w:val="00202793"/>
    <w:rsid w:val="00203A0B"/>
    <w:rsid w:val="00220EAD"/>
    <w:rsid w:val="00221CA2"/>
    <w:rsid w:val="00223A87"/>
    <w:rsid w:val="00226E6E"/>
    <w:rsid w:val="00236407"/>
    <w:rsid w:val="00242848"/>
    <w:rsid w:val="00244333"/>
    <w:rsid w:val="002526F9"/>
    <w:rsid w:val="00261274"/>
    <w:rsid w:val="00275CF5"/>
    <w:rsid w:val="0028301F"/>
    <w:rsid w:val="00285017"/>
    <w:rsid w:val="0028692A"/>
    <w:rsid w:val="00287C0A"/>
    <w:rsid w:val="0029171B"/>
    <w:rsid w:val="0029540C"/>
    <w:rsid w:val="002A2D2E"/>
    <w:rsid w:val="002B2011"/>
    <w:rsid w:val="002C00E8"/>
    <w:rsid w:val="002C1F70"/>
    <w:rsid w:val="002C3D79"/>
    <w:rsid w:val="002D0FF4"/>
    <w:rsid w:val="002E6305"/>
    <w:rsid w:val="002F0A21"/>
    <w:rsid w:val="002F0BA6"/>
    <w:rsid w:val="002F6C43"/>
    <w:rsid w:val="00301228"/>
    <w:rsid w:val="00307DA6"/>
    <w:rsid w:val="0031021B"/>
    <w:rsid w:val="0031075C"/>
    <w:rsid w:val="003118C4"/>
    <w:rsid w:val="0031682F"/>
    <w:rsid w:val="003210BF"/>
    <w:rsid w:val="003232D5"/>
    <w:rsid w:val="0032611B"/>
    <w:rsid w:val="00343749"/>
    <w:rsid w:val="0034390F"/>
    <w:rsid w:val="003540D2"/>
    <w:rsid w:val="00364DDB"/>
    <w:rsid w:val="003660ED"/>
    <w:rsid w:val="00366372"/>
    <w:rsid w:val="00370DB2"/>
    <w:rsid w:val="00374F47"/>
    <w:rsid w:val="0037798C"/>
    <w:rsid w:val="003833D4"/>
    <w:rsid w:val="0038591D"/>
    <w:rsid w:val="00385E07"/>
    <w:rsid w:val="0039176A"/>
    <w:rsid w:val="00397390"/>
    <w:rsid w:val="003A3CD4"/>
    <w:rsid w:val="003B0550"/>
    <w:rsid w:val="003B155F"/>
    <w:rsid w:val="003B694F"/>
    <w:rsid w:val="003C09D4"/>
    <w:rsid w:val="003C4DB0"/>
    <w:rsid w:val="003C71D7"/>
    <w:rsid w:val="003D02EA"/>
    <w:rsid w:val="003E1BBB"/>
    <w:rsid w:val="003E3330"/>
    <w:rsid w:val="003F171C"/>
    <w:rsid w:val="003F3449"/>
    <w:rsid w:val="003F3735"/>
    <w:rsid w:val="00406F56"/>
    <w:rsid w:val="00412FC5"/>
    <w:rsid w:val="00420C49"/>
    <w:rsid w:val="00422276"/>
    <w:rsid w:val="0042264A"/>
    <w:rsid w:val="00423FB7"/>
    <w:rsid w:val="004242F1"/>
    <w:rsid w:val="004349F2"/>
    <w:rsid w:val="0044308F"/>
    <w:rsid w:val="004449DD"/>
    <w:rsid w:val="00445A00"/>
    <w:rsid w:val="00451B0F"/>
    <w:rsid w:val="004562FF"/>
    <w:rsid w:val="00471D51"/>
    <w:rsid w:val="00484EB1"/>
    <w:rsid w:val="004A6984"/>
    <w:rsid w:val="004A6EE9"/>
    <w:rsid w:val="004B3BA8"/>
    <w:rsid w:val="004B43EC"/>
    <w:rsid w:val="004B526E"/>
    <w:rsid w:val="004C2EE3"/>
    <w:rsid w:val="004C7950"/>
    <w:rsid w:val="004D1BD1"/>
    <w:rsid w:val="004D1CD5"/>
    <w:rsid w:val="004D5469"/>
    <w:rsid w:val="004D6F25"/>
    <w:rsid w:val="004E4A22"/>
    <w:rsid w:val="004F1376"/>
    <w:rsid w:val="004F1553"/>
    <w:rsid w:val="004F44D5"/>
    <w:rsid w:val="005034AB"/>
    <w:rsid w:val="00505EE8"/>
    <w:rsid w:val="00511968"/>
    <w:rsid w:val="00512A20"/>
    <w:rsid w:val="00515644"/>
    <w:rsid w:val="0051705E"/>
    <w:rsid w:val="005203CB"/>
    <w:rsid w:val="00522014"/>
    <w:rsid w:val="00525210"/>
    <w:rsid w:val="00536B6E"/>
    <w:rsid w:val="00543068"/>
    <w:rsid w:val="00543ED2"/>
    <w:rsid w:val="005557A0"/>
    <w:rsid w:val="0055614C"/>
    <w:rsid w:val="00560B56"/>
    <w:rsid w:val="00562E14"/>
    <w:rsid w:val="005643EF"/>
    <w:rsid w:val="005653E6"/>
    <w:rsid w:val="0058538F"/>
    <w:rsid w:val="005B39A9"/>
    <w:rsid w:val="005C0A5D"/>
    <w:rsid w:val="005C47A3"/>
    <w:rsid w:val="005C5B07"/>
    <w:rsid w:val="005C73DE"/>
    <w:rsid w:val="005D704B"/>
    <w:rsid w:val="005E0FBC"/>
    <w:rsid w:val="005E14C2"/>
    <w:rsid w:val="005F1117"/>
    <w:rsid w:val="005F4A9A"/>
    <w:rsid w:val="006013C0"/>
    <w:rsid w:val="006013EB"/>
    <w:rsid w:val="00604035"/>
    <w:rsid w:val="0060549F"/>
    <w:rsid w:val="00607BA5"/>
    <w:rsid w:val="0061180A"/>
    <w:rsid w:val="00613257"/>
    <w:rsid w:val="0061520D"/>
    <w:rsid w:val="00620329"/>
    <w:rsid w:val="006236E5"/>
    <w:rsid w:val="006263BA"/>
    <w:rsid w:val="00626EB6"/>
    <w:rsid w:val="00627683"/>
    <w:rsid w:val="00635215"/>
    <w:rsid w:val="00640E67"/>
    <w:rsid w:val="0064627C"/>
    <w:rsid w:val="006501AB"/>
    <w:rsid w:val="00655696"/>
    <w:rsid w:val="00655D03"/>
    <w:rsid w:val="00657CF8"/>
    <w:rsid w:val="0066266C"/>
    <w:rsid w:val="006640F1"/>
    <w:rsid w:val="006709FF"/>
    <w:rsid w:val="00670D67"/>
    <w:rsid w:val="0067379F"/>
    <w:rsid w:val="0068089F"/>
    <w:rsid w:val="00683388"/>
    <w:rsid w:val="00683F84"/>
    <w:rsid w:val="006A28A8"/>
    <w:rsid w:val="006A5924"/>
    <w:rsid w:val="006A6A81"/>
    <w:rsid w:val="006B30EF"/>
    <w:rsid w:val="006C256C"/>
    <w:rsid w:val="006C6DB6"/>
    <w:rsid w:val="006C78ED"/>
    <w:rsid w:val="006D00A0"/>
    <w:rsid w:val="006D4026"/>
    <w:rsid w:val="006F13FC"/>
    <w:rsid w:val="006F7393"/>
    <w:rsid w:val="0070224F"/>
    <w:rsid w:val="0070579E"/>
    <w:rsid w:val="00706282"/>
    <w:rsid w:val="00707440"/>
    <w:rsid w:val="00707486"/>
    <w:rsid w:val="007115F7"/>
    <w:rsid w:val="00711F2C"/>
    <w:rsid w:val="0071311A"/>
    <w:rsid w:val="00714601"/>
    <w:rsid w:val="00715414"/>
    <w:rsid w:val="00717D64"/>
    <w:rsid w:val="007229D8"/>
    <w:rsid w:val="00730130"/>
    <w:rsid w:val="00730754"/>
    <w:rsid w:val="00730FC9"/>
    <w:rsid w:val="007333DA"/>
    <w:rsid w:val="007562A8"/>
    <w:rsid w:val="00760179"/>
    <w:rsid w:val="0076299B"/>
    <w:rsid w:val="0076488F"/>
    <w:rsid w:val="00765095"/>
    <w:rsid w:val="00765C13"/>
    <w:rsid w:val="0077324C"/>
    <w:rsid w:val="00775A7C"/>
    <w:rsid w:val="00784C3F"/>
    <w:rsid w:val="00785689"/>
    <w:rsid w:val="0078651C"/>
    <w:rsid w:val="0079754B"/>
    <w:rsid w:val="007A1E6D"/>
    <w:rsid w:val="007A5307"/>
    <w:rsid w:val="007A5FF4"/>
    <w:rsid w:val="007B0EB2"/>
    <w:rsid w:val="007B2F4F"/>
    <w:rsid w:val="007B7C7E"/>
    <w:rsid w:val="007B7D5D"/>
    <w:rsid w:val="007C17C5"/>
    <w:rsid w:val="007D192C"/>
    <w:rsid w:val="007E5E11"/>
    <w:rsid w:val="007F1E3F"/>
    <w:rsid w:val="00801BA6"/>
    <w:rsid w:val="008060F4"/>
    <w:rsid w:val="00810B6F"/>
    <w:rsid w:val="008131BE"/>
    <w:rsid w:val="00822CE0"/>
    <w:rsid w:val="00840A35"/>
    <w:rsid w:val="008416F2"/>
    <w:rsid w:val="00841AB1"/>
    <w:rsid w:val="00843462"/>
    <w:rsid w:val="0084772B"/>
    <w:rsid w:val="0084783B"/>
    <w:rsid w:val="00853968"/>
    <w:rsid w:val="00864A00"/>
    <w:rsid w:val="0087715D"/>
    <w:rsid w:val="0088674C"/>
    <w:rsid w:val="008909FC"/>
    <w:rsid w:val="00897CCE"/>
    <w:rsid w:val="008A0E24"/>
    <w:rsid w:val="008A61D0"/>
    <w:rsid w:val="008B2459"/>
    <w:rsid w:val="008B3EF8"/>
    <w:rsid w:val="008C2419"/>
    <w:rsid w:val="008C4D15"/>
    <w:rsid w:val="008C68F1"/>
    <w:rsid w:val="008D2166"/>
    <w:rsid w:val="008D3035"/>
    <w:rsid w:val="008D57C1"/>
    <w:rsid w:val="008D7763"/>
    <w:rsid w:val="008D77F4"/>
    <w:rsid w:val="008E0BE4"/>
    <w:rsid w:val="008E1739"/>
    <w:rsid w:val="008F54CB"/>
    <w:rsid w:val="008F626D"/>
    <w:rsid w:val="00901008"/>
    <w:rsid w:val="009049E8"/>
    <w:rsid w:val="009064F9"/>
    <w:rsid w:val="00907011"/>
    <w:rsid w:val="00911BE4"/>
    <w:rsid w:val="0091381B"/>
    <w:rsid w:val="00914CAB"/>
    <w:rsid w:val="00921803"/>
    <w:rsid w:val="00922071"/>
    <w:rsid w:val="009246B3"/>
    <w:rsid w:val="0092507A"/>
    <w:rsid w:val="0092558F"/>
    <w:rsid w:val="00925EC2"/>
    <w:rsid w:val="00926503"/>
    <w:rsid w:val="00932D40"/>
    <w:rsid w:val="00937B2B"/>
    <w:rsid w:val="00944B1A"/>
    <w:rsid w:val="009459D7"/>
    <w:rsid w:val="009479D1"/>
    <w:rsid w:val="00953357"/>
    <w:rsid w:val="009537AA"/>
    <w:rsid w:val="00966A79"/>
    <w:rsid w:val="0097066D"/>
    <w:rsid w:val="009726D8"/>
    <w:rsid w:val="00983288"/>
    <w:rsid w:val="00992D91"/>
    <w:rsid w:val="009B2999"/>
    <w:rsid w:val="009C0D51"/>
    <w:rsid w:val="009C5023"/>
    <w:rsid w:val="009C785F"/>
    <w:rsid w:val="009D0075"/>
    <w:rsid w:val="009D4EDB"/>
    <w:rsid w:val="009E302B"/>
    <w:rsid w:val="009E3D02"/>
    <w:rsid w:val="009F76DB"/>
    <w:rsid w:val="009F7E45"/>
    <w:rsid w:val="00A05227"/>
    <w:rsid w:val="00A05233"/>
    <w:rsid w:val="00A14015"/>
    <w:rsid w:val="00A1585C"/>
    <w:rsid w:val="00A15912"/>
    <w:rsid w:val="00A21486"/>
    <w:rsid w:val="00A23E5B"/>
    <w:rsid w:val="00A23FED"/>
    <w:rsid w:val="00A2771E"/>
    <w:rsid w:val="00A32C3B"/>
    <w:rsid w:val="00A33375"/>
    <w:rsid w:val="00A33519"/>
    <w:rsid w:val="00A414E2"/>
    <w:rsid w:val="00A433CF"/>
    <w:rsid w:val="00A45F4F"/>
    <w:rsid w:val="00A467E7"/>
    <w:rsid w:val="00A510E4"/>
    <w:rsid w:val="00A54D5A"/>
    <w:rsid w:val="00A600A9"/>
    <w:rsid w:val="00A60115"/>
    <w:rsid w:val="00A647DF"/>
    <w:rsid w:val="00A7126F"/>
    <w:rsid w:val="00A721FE"/>
    <w:rsid w:val="00A73B2A"/>
    <w:rsid w:val="00A757A5"/>
    <w:rsid w:val="00A81C34"/>
    <w:rsid w:val="00A82B10"/>
    <w:rsid w:val="00A85119"/>
    <w:rsid w:val="00AA0445"/>
    <w:rsid w:val="00AA1A7F"/>
    <w:rsid w:val="00AA26B8"/>
    <w:rsid w:val="00AA491F"/>
    <w:rsid w:val="00AA55B7"/>
    <w:rsid w:val="00AA5694"/>
    <w:rsid w:val="00AA5B9E"/>
    <w:rsid w:val="00AA5E70"/>
    <w:rsid w:val="00AB0606"/>
    <w:rsid w:val="00AB2407"/>
    <w:rsid w:val="00AB53DF"/>
    <w:rsid w:val="00AB727B"/>
    <w:rsid w:val="00AB74BD"/>
    <w:rsid w:val="00AC51D2"/>
    <w:rsid w:val="00AC5CEE"/>
    <w:rsid w:val="00AD39FE"/>
    <w:rsid w:val="00AE2643"/>
    <w:rsid w:val="00AE416C"/>
    <w:rsid w:val="00AF01B3"/>
    <w:rsid w:val="00AF3824"/>
    <w:rsid w:val="00AF4B69"/>
    <w:rsid w:val="00AF7C87"/>
    <w:rsid w:val="00B00A49"/>
    <w:rsid w:val="00B035BF"/>
    <w:rsid w:val="00B044B2"/>
    <w:rsid w:val="00B0612D"/>
    <w:rsid w:val="00B07E5C"/>
    <w:rsid w:val="00B12E51"/>
    <w:rsid w:val="00B22916"/>
    <w:rsid w:val="00B27B62"/>
    <w:rsid w:val="00B32E08"/>
    <w:rsid w:val="00B3612E"/>
    <w:rsid w:val="00B52CA1"/>
    <w:rsid w:val="00B52E1D"/>
    <w:rsid w:val="00B54D57"/>
    <w:rsid w:val="00B55F15"/>
    <w:rsid w:val="00B56E3F"/>
    <w:rsid w:val="00B624C9"/>
    <w:rsid w:val="00B811F7"/>
    <w:rsid w:val="00B81E9A"/>
    <w:rsid w:val="00B85258"/>
    <w:rsid w:val="00B85826"/>
    <w:rsid w:val="00B85EE3"/>
    <w:rsid w:val="00B9370E"/>
    <w:rsid w:val="00BA0D02"/>
    <w:rsid w:val="00BA15BD"/>
    <w:rsid w:val="00BA502A"/>
    <w:rsid w:val="00BA5DC6"/>
    <w:rsid w:val="00BA6196"/>
    <w:rsid w:val="00BC6D8C"/>
    <w:rsid w:val="00BC7186"/>
    <w:rsid w:val="00BD3523"/>
    <w:rsid w:val="00BD7213"/>
    <w:rsid w:val="00BE0019"/>
    <w:rsid w:val="00BF12D2"/>
    <w:rsid w:val="00BF6958"/>
    <w:rsid w:val="00C063FE"/>
    <w:rsid w:val="00C13AE2"/>
    <w:rsid w:val="00C22806"/>
    <w:rsid w:val="00C22E7B"/>
    <w:rsid w:val="00C24D51"/>
    <w:rsid w:val="00C34006"/>
    <w:rsid w:val="00C35E39"/>
    <w:rsid w:val="00C426B1"/>
    <w:rsid w:val="00C43FC1"/>
    <w:rsid w:val="00C47BEA"/>
    <w:rsid w:val="00C66160"/>
    <w:rsid w:val="00C6666A"/>
    <w:rsid w:val="00C721AC"/>
    <w:rsid w:val="00C75C20"/>
    <w:rsid w:val="00C80586"/>
    <w:rsid w:val="00C8309B"/>
    <w:rsid w:val="00C83A2C"/>
    <w:rsid w:val="00C83BCC"/>
    <w:rsid w:val="00C90D6A"/>
    <w:rsid w:val="00CA015A"/>
    <w:rsid w:val="00CA247E"/>
    <w:rsid w:val="00CA36F1"/>
    <w:rsid w:val="00CB43FC"/>
    <w:rsid w:val="00CB5C32"/>
    <w:rsid w:val="00CC231C"/>
    <w:rsid w:val="00CC30E5"/>
    <w:rsid w:val="00CC4184"/>
    <w:rsid w:val="00CC72B6"/>
    <w:rsid w:val="00CE0740"/>
    <w:rsid w:val="00CE2839"/>
    <w:rsid w:val="00CE4A11"/>
    <w:rsid w:val="00D00A78"/>
    <w:rsid w:val="00D00FF5"/>
    <w:rsid w:val="00D0218D"/>
    <w:rsid w:val="00D0663A"/>
    <w:rsid w:val="00D177E5"/>
    <w:rsid w:val="00D202A8"/>
    <w:rsid w:val="00D25FB5"/>
    <w:rsid w:val="00D266AB"/>
    <w:rsid w:val="00D371B9"/>
    <w:rsid w:val="00D441C4"/>
    <w:rsid w:val="00D441D3"/>
    <w:rsid w:val="00D44223"/>
    <w:rsid w:val="00D531BC"/>
    <w:rsid w:val="00D5369D"/>
    <w:rsid w:val="00D61EB4"/>
    <w:rsid w:val="00D662EF"/>
    <w:rsid w:val="00D67A83"/>
    <w:rsid w:val="00D7074C"/>
    <w:rsid w:val="00D75872"/>
    <w:rsid w:val="00D7687E"/>
    <w:rsid w:val="00D824B8"/>
    <w:rsid w:val="00D826E2"/>
    <w:rsid w:val="00D93127"/>
    <w:rsid w:val="00DA2529"/>
    <w:rsid w:val="00DA503B"/>
    <w:rsid w:val="00DA64D4"/>
    <w:rsid w:val="00DB130A"/>
    <w:rsid w:val="00DB2EBB"/>
    <w:rsid w:val="00DB7C02"/>
    <w:rsid w:val="00DC10A1"/>
    <w:rsid w:val="00DC45E5"/>
    <w:rsid w:val="00DC655F"/>
    <w:rsid w:val="00DC7F2D"/>
    <w:rsid w:val="00DD0B59"/>
    <w:rsid w:val="00DD31F2"/>
    <w:rsid w:val="00DD46EA"/>
    <w:rsid w:val="00DD5F32"/>
    <w:rsid w:val="00DD6156"/>
    <w:rsid w:val="00DD6CBD"/>
    <w:rsid w:val="00DD7EBD"/>
    <w:rsid w:val="00DE1200"/>
    <w:rsid w:val="00DF6186"/>
    <w:rsid w:val="00DF62B6"/>
    <w:rsid w:val="00E07225"/>
    <w:rsid w:val="00E12080"/>
    <w:rsid w:val="00E17DA4"/>
    <w:rsid w:val="00E2773E"/>
    <w:rsid w:val="00E36556"/>
    <w:rsid w:val="00E5409F"/>
    <w:rsid w:val="00E63026"/>
    <w:rsid w:val="00E66991"/>
    <w:rsid w:val="00E7257F"/>
    <w:rsid w:val="00E87F69"/>
    <w:rsid w:val="00E90F63"/>
    <w:rsid w:val="00E91607"/>
    <w:rsid w:val="00E9562B"/>
    <w:rsid w:val="00E9783E"/>
    <w:rsid w:val="00EA5290"/>
    <w:rsid w:val="00EA77CE"/>
    <w:rsid w:val="00EB725C"/>
    <w:rsid w:val="00EC0844"/>
    <w:rsid w:val="00EC2BEF"/>
    <w:rsid w:val="00ED3094"/>
    <w:rsid w:val="00EE6488"/>
    <w:rsid w:val="00F00878"/>
    <w:rsid w:val="00F021FA"/>
    <w:rsid w:val="00F03276"/>
    <w:rsid w:val="00F0593E"/>
    <w:rsid w:val="00F06352"/>
    <w:rsid w:val="00F11CAF"/>
    <w:rsid w:val="00F13C54"/>
    <w:rsid w:val="00F159A9"/>
    <w:rsid w:val="00F16F6B"/>
    <w:rsid w:val="00F21687"/>
    <w:rsid w:val="00F21C69"/>
    <w:rsid w:val="00F22B11"/>
    <w:rsid w:val="00F3102F"/>
    <w:rsid w:val="00F33AF9"/>
    <w:rsid w:val="00F35DC1"/>
    <w:rsid w:val="00F37959"/>
    <w:rsid w:val="00F47281"/>
    <w:rsid w:val="00F6196F"/>
    <w:rsid w:val="00F62E97"/>
    <w:rsid w:val="00F64209"/>
    <w:rsid w:val="00F66700"/>
    <w:rsid w:val="00F67073"/>
    <w:rsid w:val="00F73194"/>
    <w:rsid w:val="00F80A1F"/>
    <w:rsid w:val="00F8153A"/>
    <w:rsid w:val="00F83780"/>
    <w:rsid w:val="00F90DB0"/>
    <w:rsid w:val="00F93BF5"/>
    <w:rsid w:val="00F96326"/>
    <w:rsid w:val="00FA64D6"/>
    <w:rsid w:val="00FB4CD0"/>
    <w:rsid w:val="00FC0C21"/>
    <w:rsid w:val="00FE571C"/>
    <w:rsid w:val="00FF0379"/>
    <w:rsid w:val="00FF6B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0A49"/>
    <w:pPr>
      <w:widowControl w:val="0"/>
    </w:pPr>
    <w:rPr>
      <w:snapToGrid w:val="0"/>
      <w:kern w:val="28"/>
      <w:sz w:val="22"/>
    </w:rPr>
  </w:style>
  <w:style w:type="paragraph" w:styleId="Heading1">
    <w:name w:val="heading 1"/>
    <w:basedOn w:val="Normal"/>
    <w:next w:val="ParaNum"/>
    <w:qFormat/>
    <w:rsid w:val="00B00A49"/>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B00A49"/>
    <w:pPr>
      <w:keepNext/>
      <w:numPr>
        <w:ilvl w:val="1"/>
        <w:numId w:val="3"/>
      </w:numPr>
      <w:spacing w:after="120"/>
      <w:outlineLvl w:val="1"/>
    </w:pPr>
    <w:rPr>
      <w:b/>
    </w:rPr>
  </w:style>
  <w:style w:type="paragraph" w:styleId="Heading3">
    <w:name w:val="heading 3"/>
    <w:basedOn w:val="Normal"/>
    <w:next w:val="ParaNum"/>
    <w:qFormat/>
    <w:rsid w:val="00B00A49"/>
    <w:pPr>
      <w:keepNext/>
      <w:numPr>
        <w:ilvl w:val="2"/>
        <w:numId w:val="3"/>
      </w:numPr>
      <w:tabs>
        <w:tab w:val="left" w:pos="2160"/>
      </w:tabs>
      <w:spacing w:after="120"/>
      <w:outlineLvl w:val="2"/>
    </w:pPr>
    <w:rPr>
      <w:b/>
    </w:rPr>
  </w:style>
  <w:style w:type="paragraph" w:styleId="Heading4">
    <w:name w:val="heading 4"/>
    <w:basedOn w:val="Normal"/>
    <w:next w:val="ParaNum"/>
    <w:qFormat/>
    <w:rsid w:val="00B00A49"/>
    <w:pPr>
      <w:keepNext/>
      <w:numPr>
        <w:ilvl w:val="3"/>
        <w:numId w:val="3"/>
      </w:numPr>
      <w:tabs>
        <w:tab w:val="left" w:pos="2880"/>
      </w:tabs>
      <w:spacing w:after="120"/>
      <w:outlineLvl w:val="3"/>
    </w:pPr>
    <w:rPr>
      <w:b/>
    </w:rPr>
  </w:style>
  <w:style w:type="paragraph" w:styleId="Heading5">
    <w:name w:val="heading 5"/>
    <w:basedOn w:val="Normal"/>
    <w:next w:val="ParaNum"/>
    <w:qFormat/>
    <w:rsid w:val="00B00A49"/>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B00A49"/>
    <w:pPr>
      <w:numPr>
        <w:ilvl w:val="5"/>
        <w:numId w:val="3"/>
      </w:numPr>
      <w:tabs>
        <w:tab w:val="left" w:pos="4320"/>
      </w:tabs>
      <w:spacing w:after="120"/>
      <w:outlineLvl w:val="5"/>
    </w:pPr>
    <w:rPr>
      <w:b/>
    </w:rPr>
  </w:style>
  <w:style w:type="paragraph" w:styleId="Heading7">
    <w:name w:val="heading 7"/>
    <w:basedOn w:val="Normal"/>
    <w:next w:val="ParaNum"/>
    <w:qFormat/>
    <w:rsid w:val="00B00A4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B00A49"/>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B00A49"/>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B00A4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00A49"/>
  </w:style>
  <w:style w:type="paragraph" w:customStyle="1" w:styleId="ParaNum">
    <w:name w:val="ParaNum"/>
    <w:basedOn w:val="Normal"/>
    <w:rsid w:val="00B00A49"/>
    <w:pPr>
      <w:numPr>
        <w:numId w:val="2"/>
      </w:numPr>
      <w:tabs>
        <w:tab w:val="clear" w:pos="1080"/>
        <w:tab w:val="num" w:pos="1440"/>
      </w:tabs>
      <w:spacing w:after="120"/>
    </w:pPr>
  </w:style>
  <w:style w:type="paragraph" w:styleId="EndnoteText">
    <w:name w:val="endnote text"/>
    <w:basedOn w:val="Normal"/>
    <w:semiHidden/>
    <w:rsid w:val="00B00A49"/>
    <w:rPr>
      <w:sz w:val="20"/>
    </w:rPr>
  </w:style>
  <w:style w:type="character" w:styleId="EndnoteReference">
    <w:name w:val="endnote reference"/>
    <w:semiHidden/>
    <w:rsid w:val="00B00A49"/>
    <w:rPr>
      <w:vertAlign w:val="superscript"/>
    </w:rPr>
  </w:style>
  <w:style w:type="paragraph" w:styleId="FootnoteText">
    <w:name w:val="footnote text"/>
    <w:aliases w:val="Footnote Text Char1,Footnote Text Char7 Char,Footnote Text Char4 Char1 Char,Footnote Text Char Char Char4 Char,Footnote Text Char7 Char Char Char Char,Footnote Text Char4 Char1 Char Char Char Char,Footnote Text Char,rrfootnote,fn,fn Char,f"/>
    <w:link w:val="FootnoteTextChar2"/>
    <w:rsid w:val="00B00A49"/>
    <w:pPr>
      <w:spacing w:after="120"/>
    </w:pPr>
  </w:style>
  <w:style w:type="character" w:styleId="FootnoteReference">
    <w:name w:val="footnote reference"/>
    <w:aliases w:val="Style 12,(NECG) Footnote Reference,o,fr,Style 3,Appel note de bas de p,Style 124"/>
    <w:rsid w:val="00B00A49"/>
    <w:rPr>
      <w:rFonts w:ascii="Times New Roman" w:hAnsi="Times New Roman"/>
      <w:dstrike w:val="0"/>
      <w:color w:val="auto"/>
      <w:sz w:val="20"/>
      <w:vertAlign w:val="superscript"/>
    </w:rPr>
  </w:style>
  <w:style w:type="paragraph" w:styleId="TOC1">
    <w:name w:val="toc 1"/>
    <w:basedOn w:val="Normal"/>
    <w:next w:val="Normal"/>
    <w:semiHidden/>
    <w:rsid w:val="00B00A49"/>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B00A49"/>
    <w:pPr>
      <w:tabs>
        <w:tab w:val="left" w:pos="720"/>
        <w:tab w:val="right" w:leader="dot" w:pos="9360"/>
      </w:tabs>
      <w:suppressAutoHyphens/>
      <w:ind w:left="720" w:right="720" w:hanging="360"/>
    </w:pPr>
    <w:rPr>
      <w:noProof/>
    </w:rPr>
  </w:style>
  <w:style w:type="paragraph" w:styleId="TOC3">
    <w:name w:val="toc 3"/>
    <w:basedOn w:val="Normal"/>
    <w:next w:val="Normal"/>
    <w:semiHidden/>
    <w:rsid w:val="00B00A49"/>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B00A49"/>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B00A49"/>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B00A49"/>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B00A49"/>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B00A49"/>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B00A49"/>
    <w:pPr>
      <w:tabs>
        <w:tab w:val="left" w:pos="3240"/>
        <w:tab w:val="right" w:leader="dot" w:pos="9360"/>
      </w:tabs>
      <w:suppressAutoHyphens/>
      <w:ind w:left="3240" w:hanging="360"/>
    </w:pPr>
    <w:rPr>
      <w:noProof/>
    </w:rPr>
  </w:style>
  <w:style w:type="paragraph" w:styleId="TOAHeading">
    <w:name w:val="toa heading"/>
    <w:basedOn w:val="Normal"/>
    <w:next w:val="Normal"/>
    <w:semiHidden/>
    <w:rsid w:val="00B00A49"/>
    <w:pPr>
      <w:tabs>
        <w:tab w:val="right" w:pos="9360"/>
      </w:tabs>
      <w:suppressAutoHyphens/>
    </w:pPr>
  </w:style>
  <w:style w:type="character" w:customStyle="1" w:styleId="EquationCaption">
    <w:name w:val="_Equation Caption"/>
    <w:rsid w:val="00B00A49"/>
  </w:style>
  <w:style w:type="paragraph" w:styleId="Header">
    <w:name w:val="header"/>
    <w:basedOn w:val="Normal"/>
    <w:autoRedefine/>
    <w:rsid w:val="00B00A49"/>
    <w:pPr>
      <w:tabs>
        <w:tab w:val="center" w:pos="4680"/>
        <w:tab w:val="right" w:pos="9360"/>
      </w:tabs>
    </w:pPr>
    <w:rPr>
      <w:b/>
    </w:rPr>
  </w:style>
  <w:style w:type="paragraph" w:styleId="Footer">
    <w:name w:val="footer"/>
    <w:basedOn w:val="Normal"/>
    <w:link w:val="FooterChar"/>
    <w:rsid w:val="00B00A49"/>
    <w:pPr>
      <w:tabs>
        <w:tab w:val="center" w:pos="4320"/>
        <w:tab w:val="right" w:pos="8640"/>
      </w:tabs>
    </w:pPr>
  </w:style>
  <w:style w:type="character" w:styleId="PageNumber">
    <w:name w:val="page number"/>
    <w:basedOn w:val="DefaultParagraphFont"/>
    <w:rsid w:val="00B00A49"/>
  </w:style>
  <w:style w:type="paragraph" w:styleId="BlockText">
    <w:name w:val="Block Text"/>
    <w:basedOn w:val="Normal"/>
    <w:rsid w:val="00B00A49"/>
    <w:pPr>
      <w:spacing w:after="240"/>
      <w:ind w:left="1440" w:right="1440"/>
    </w:pPr>
  </w:style>
  <w:style w:type="paragraph" w:customStyle="1" w:styleId="Paratitle">
    <w:name w:val="Para title"/>
    <w:basedOn w:val="Normal"/>
    <w:rsid w:val="00B00A49"/>
    <w:pPr>
      <w:tabs>
        <w:tab w:val="center" w:pos="9270"/>
      </w:tabs>
      <w:spacing w:after="240"/>
    </w:pPr>
    <w:rPr>
      <w:spacing w:val="-2"/>
    </w:rPr>
  </w:style>
  <w:style w:type="paragraph" w:customStyle="1" w:styleId="Bullet">
    <w:name w:val="Bullet"/>
    <w:basedOn w:val="Normal"/>
    <w:rsid w:val="00B00A49"/>
    <w:pPr>
      <w:tabs>
        <w:tab w:val="left" w:pos="2160"/>
      </w:tabs>
      <w:spacing w:after="220"/>
      <w:ind w:left="2160" w:hanging="720"/>
    </w:pPr>
  </w:style>
  <w:style w:type="paragraph" w:customStyle="1" w:styleId="TableFormat">
    <w:name w:val="TableFormat"/>
    <w:basedOn w:val="Bullet"/>
    <w:rsid w:val="00B00A49"/>
    <w:pPr>
      <w:tabs>
        <w:tab w:val="clear" w:pos="2160"/>
        <w:tab w:val="left" w:pos="5040"/>
      </w:tabs>
      <w:ind w:left="5040" w:hanging="3600"/>
    </w:pPr>
  </w:style>
  <w:style w:type="paragraph" w:customStyle="1" w:styleId="TOCTitle">
    <w:name w:val="TOC Title"/>
    <w:basedOn w:val="Normal"/>
    <w:rsid w:val="00B00A49"/>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B00A49"/>
    <w:pPr>
      <w:jc w:val="center"/>
    </w:pPr>
    <w:rPr>
      <w:rFonts w:ascii="Times New Roman Bold" w:hAnsi="Times New Roman Bold"/>
      <w:b/>
      <w:bCs/>
      <w:caps/>
      <w:szCs w:val="22"/>
    </w:rPr>
  </w:style>
  <w:style w:type="character" w:styleId="Hyperlink">
    <w:name w:val="Hyperlink"/>
    <w:rsid w:val="00B00A49"/>
    <w:rPr>
      <w:color w:val="0000FF"/>
      <w:u w:val="single"/>
    </w:rPr>
  </w:style>
  <w:style w:type="paragraph" w:styleId="BalloonText">
    <w:name w:val="Balloon Text"/>
    <w:basedOn w:val="Normal"/>
    <w:link w:val="BalloonTextChar"/>
    <w:rsid w:val="000C6822"/>
    <w:rPr>
      <w:rFonts w:ascii="Tahoma" w:hAnsi="Tahoma" w:cs="Tahoma"/>
      <w:sz w:val="16"/>
      <w:szCs w:val="16"/>
    </w:rPr>
  </w:style>
  <w:style w:type="character" w:customStyle="1" w:styleId="BalloonTextChar">
    <w:name w:val="Balloon Text Char"/>
    <w:basedOn w:val="DefaultParagraphFont"/>
    <w:link w:val="BalloonText"/>
    <w:rsid w:val="000C6822"/>
    <w:rPr>
      <w:rFonts w:ascii="Tahoma" w:hAnsi="Tahoma" w:cs="Tahoma"/>
      <w:snapToGrid w:val="0"/>
      <w:kern w:val="28"/>
      <w:sz w:val="16"/>
      <w:szCs w:val="16"/>
    </w:rPr>
  </w:style>
  <w:style w:type="character" w:styleId="CommentReference">
    <w:name w:val="annotation reference"/>
    <w:basedOn w:val="DefaultParagraphFont"/>
    <w:rsid w:val="007333DA"/>
    <w:rPr>
      <w:sz w:val="16"/>
      <w:szCs w:val="16"/>
    </w:rPr>
  </w:style>
  <w:style w:type="paragraph" w:styleId="CommentText">
    <w:name w:val="annotation text"/>
    <w:basedOn w:val="Normal"/>
    <w:link w:val="CommentTextChar"/>
    <w:rsid w:val="007333DA"/>
    <w:rPr>
      <w:sz w:val="20"/>
    </w:rPr>
  </w:style>
  <w:style w:type="character" w:customStyle="1" w:styleId="CommentTextChar">
    <w:name w:val="Comment Text Char"/>
    <w:basedOn w:val="DefaultParagraphFont"/>
    <w:link w:val="CommentText"/>
    <w:rsid w:val="007333DA"/>
    <w:rPr>
      <w:snapToGrid w:val="0"/>
      <w:kern w:val="28"/>
    </w:rPr>
  </w:style>
  <w:style w:type="paragraph" w:styleId="CommentSubject">
    <w:name w:val="annotation subject"/>
    <w:basedOn w:val="CommentText"/>
    <w:next w:val="CommentText"/>
    <w:link w:val="CommentSubjectChar"/>
    <w:rsid w:val="007333DA"/>
    <w:rPr>
      <w:b/>
      <w:bCs/>
    </w:rPr>
  </w:style>
  <w:style w:type="character" w:customStyle="1" w:styleId="CommentSubjectChar">
    <w:name w:val="Comment Subject Char"/>
    <w:basedOn w:val="CommentTextChar"/>
    <w:link w:val="CommentSubject"/>
    <w:rsid w:val="007333DA"/>
    <w:rPr>
      <w:b/>
      <w:bCs/>
      <w:snapToGrid w:val="0"/>
      <w:kern w:val="28"/>
    </w:rPr>
  </w:style>
  <w:style w:type="character" w:customStyle="1" w:styleId="FootnoteTextChar2">
    <w:name w:val="Footnote Text Char2"/>
    <w:aliases w:val="Footnote Text Char1 Char,Footnote Text Char7 Char Char,Footnote Text Char4 Char1 Char Char,Footnote Text Char Char Char4 Char Char,Footnote Text Char7 Char Char Char Char Char,Footnote Text Char4 Char1 Char Char Char Char Char,f Char"/>
    <w:link w:val="FootnoteText"/>
    <w:locked/>
    <w:rsid w:val="004D1BD1"/>
  </w:style>
  <w:style w:type="character" w:styleId="Emphasis">
    <w:name w:val="Emphasis"/>
    <w:basedOn w:val="DefaultParagraphFont"/>
    <w:uiPriority w:val="20"/>
    <w:qFormat/>
    <w:rsid w:val="00062F8C"/>
    <w:rPr>
      <w:i/>
      <w:iCs/>
    </w:rPr>
  </w:style>
  <w:style w:type="character" w:customStyle="1" w:styleId="displayhltext">
    <w:name w:val="display_hl_text"/>
    <w:basedOn w:val="DefaultParagraphFont"/>
    <w:rsid w:val="00D441D3"/>
  </w:style>
  <w:style w:type="character" w:customStyle="1" w:styleId="emphi">
    <w:name w:val="emphi"/>
    <w:basedOn w:val="DefaultParagraphFont"/>
    <w:rsid w:val="0092507A"/>
  </w:style>
  <w:style w:type="character" w:customStyle="1" w:styleId="displayhltextactive">
    <w:name w:val="display_hl_text_active"/>
    <w:basedOn w:val="DefaultParagraphFont"/>
    <w:rsid w:val="00B3612E"/>
  </w:style>
  <w:style w:type="character" w:customStyle="1" w:styleId="costarpage">
    <w:name w:val="co_starpage"/>
    <w:basedOn w:val="DefaultParagraphFont"/>
    <w:rsid w:val="00AF01B3"/>
  </w:style>
  <w:style w:type="character" w:styleId="FollowedHyperlink">
    <w:name w:val="FollowedHyperlink"/>
    <w:basedOn w:val="DefaultParagraphFont"/>
    <w:rsid w:val="003D02EA"/>
    <w:rPr>
      <w:color w:val="800080" w:themeColor="followedHyperlink"/>
      <w:u w:val="single"/>
    </w:rPr>
  </w:style>
  <w:style w:type="character" w:customStyle="1" w:styleId="FooterChar">
    <w:name w:val="Footer Char"/>
    <w:basedOn w:val="DefaultParagraphFont"/>
    <w:link w:val="Footer"/>
    <w:rsid w:val="00C75C20"/>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0A49"/>
    <w:pPr>
      <w:widowControl w:val="0"/>
    </w:pPr>
    <w:rPr>
      <w:snapToGrid w:val="0"/>
      <w:kern w:val="28"/>
      <w:sz w:val="22"/>
    </w:rPr>
  </w:style>
  <w:style w:type="paragraph" w:styleId="Heading1">
    <w:name w:val="heading 1"/>
    <w:basedOn w:val="Normal"/>
    <w:next w:val="ParaNum"/>
    <w:qFormat/>
    <w:rsid w:val="00B00A49"/>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B00A49"/>
    <w:pPr>
      <w:keepNext/>
      <w:numPr>
        <w:ilvl w:val="1"/>
        <w:numId w:val="3"/>
      </w:numPr>
      <w:spacing w:after="120"/>
      <w:outlineLvl w:val="1"/>
    </w:pPr>
    <w:rPr>
      <w:b/>
    </w:rPr>
  </w:style>
  <w:style w:type="paragraph" w:styleId="Heading3">
    <w:name w:val="heading 3"/>
    <w:basedOn w:val="Normal"/>
    <w:next w:val="ParaNum"/>
    <w:qFormat/>
    <w:rsid w:val="00B00A49"/>
    <w:pPr>
      <w:keepNext/>
      <w:numPr>
        <w:ilvl w:val="2"/>
        <w:numId w:val="3"/>
      </w:numPr>
      <w:tabs>
        <w:tab w:val="left" w:pos="2160"/>
      </w:tabs>
      <w:spacing w:after="120"/>
      <w:outlineLvl w:val="2"/>
    </w:pPr>
    <w:rPr>
      <w:b/>
    </w:rPr>
  </w:style>
  <w:style w:type="paragraph" w:styleId="Heading4">
    <w:name w:val="heading 4"/>
    <w:basedOn w:val="Normal"/>
    <w:next w:val="ParaNum"/>
    <w:qFormat/>
    <w:rsid w:val="00B00A49"/>
    <w:pPr>
      <w:keepNext/>
      <w:numPr>
        <w:ilvl w:val="3"/>
        <w:numId w:val="3"/>
      </w:numPr>
      <w:tabs>
        <w:tab w:val="left" w:pos="2880"/>
      </w:tabs>
      <w:spacing w:after="120"/>
      <w:outlineLvl w:val="3"/>
    </w:pPr>
    <w:rPr>
      <w:b/>
    </w:rPr>
  </w:style>
  <w:style w:type="paragraph" w:styleId="Heading5">
    <w:name w:val="heading 5"/>
    <w:basedOn w:val="Normal"/>
    <w:next w:val="ParaNum"/>
    <w:qFormat/>
    <w:rsid w:val="00B00A49"/>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B00A49"/>
    <w:pPr>
      <w:numPr>
        <w:ilvl w:val="5"/>
        <w:numId w:val="3"/>
      </w:numPr>
      <w:tabs>
        <w:tab w:val="left" w:pos="4320"/>
      </w:tabs>
      <w:spacing w:after="120"/>
      <w:outlineLvl w:val="5"/>
    </w:pPr>
    <w:rPr>
      <w:b/>
    </w:rPr>
  </w:style>
  <w:style w:type="paragraph" w:styleId="Heading7">
    <w:name w:val="heading 7"/>
    <w:basedOn w:val="Normal"/>
    <w:next w:val="ParaNum"/>
    <w:qFormat/>
    <w:rsid w:val="00B00A4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B00A49"/>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B00A49"/>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B00A4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00A49"/>
  </w:style>
  <w:style w:type="paragraph" w:customStyle="1" w:styleId="ParaNum">
    <w:name w:val="ParaNum"/>
    <w:basedOn w:val="Normal"/>
    <w:rsid w:val="00B00A49"/>
    <w:pPr>
      <w:numPr>
        <w:numId w:val="2"/>
      </w:numPr>
      <w:tabs>
        <w:tab w:val="clear" w:pos="1080"/>
        <w:tab w:val="num" w:pos="1440"/>
      </w:tabs>
      <w:spacing w:after="120"/>
    </w:pPr>
  </w:style>
  <w:style w:type="paragraph" w:styleId="EndnoteText">
    <w:name w:val="endnote text"/>
    <w:basedOn w:val="Normal"/>
    <w:semiHidden/>
    <w:rsid w:val="00B00A49"/>
    <w:rPr>
      <w:sz w:val="20"/>
    </w:rPr>
  </w:style>
  <w:style w:type="character" w:styleId="EndnoteReference">
    <w:name w:val="endnote reference"/>
    <w:semiHidden/>
    <w:rsid w:val="00B00A49"/>
    <w:rPr>
      <w:vertAlign w:val="superscript"/>
    </w:rPr>
  </w:style>
  <w:style w:type="paragraph" w:styleId="FootnoteText">
    <w:name w:val="footnote text"/>
    <w:aliases w:val="Footnote Text Char1,Footnote Text Char7 Char,Footnote Text Char4 Char1 Char,Footnote Text Char Char Char4 Char,Footnote Text Char7 Char Char Char Char,Footnote Text Char4 Char1 Char Char Char Char,Footnote Text Char,rrfootnote,fn,fn Char,f"/>
    <w:link w:val="FootnoteTextChar2"/>
    <w:rsid w:val="00B00A49"/>
    <w:pPr>
      <w:spacing w:after="120"/>
    </w:pPr>
  </w:style>
  <w:style w:type="character" w:styleId="FootnoteReference">
    <w:name w:val="footnote reference"/>
    <w:aliases w:val="Style 12,(NECG) Footnote Reference,o,fr,Style 3,Appel note de bas de p,Style 124"/>
    <w:rsid w:val="00B00A49"/>
    <w:rPr>
      <w:rFonts w:ascii="Times New Roman" w:hAnsi="Times New Roman"/>
      <w:dstrike w:val="0"/>
      <w:color w:val="auto"/>
      <w:sz w:val="20"/>
      <w:vertAlign w:val="superscript"/>
    </w:rPr>
  </w:style>
  <w:style w:type="paragraph" w:styleId="TOC1">
    <w:name w:val="toc 1"/>
    <w:basedOn w:val="Normal"/>
    <w:next w:val="Normal"/>
    <w:semiHidden/>
    <w:rsid w:val="00B00A49"/>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B00A49"/>
    <w:pPr>
      <w:tabs>
        <w:tab w:val="left" w:pos="720"/>
        <w:tab w:val="right" w:leader="dot" w:pos="9360"/>
      </w:tabs>
      <w:suppressAutoHyphens/>
      <w:ind w:left="720" w:right="720" w:hanging="360"/>
    </w:pPr>
    <w:rPr>
      <w:noProof/>
    </w:rPr>
  </w:style>
  <w:style w:type="paragraph" w:styleId="TOC3">
    <w:name w:val="toc 3"/>
    <w:basedOn w:val="Normal"/>
    <w:next w:val="Normal"/>
    <w:semiHidden/>
    <w:rsid w:val="00B00A49"/>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B00A49"/>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B00A49"/>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B00A49"/>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B00A49"/>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B00A49"/>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B00A49"/>
    <w:pPr>
      <w:tabs>
        <w:tab w:val="left" w:pos="3240"/>
        <w:tab w:val="right" w:leader="dot" w:pos="9360"/>
      </w:tabs>
      <w:suppressAutoHyphens/>
      <w:ind w:left="3240" w:hanging="360"/>
    </w:pPr>
    <w:rPr>
      <w:noProof/>
    </w:rPr>
  </w:style>
  <w:style w:type="paragraph" w:styleId="TOAHeading">
    <w:name w:val="toa heading"/>
    <w:basedOn w:val="Normal"/>
    <w:next w:val="Normal"/>
    <w:semiHidden/>
    <w:rsid w:val="00B00A49"/>
    <w:pPr>
      <w:tabs>
        <w:tab w:val="right" w:pos="9360"/>
      </w:tabs>
      <w:suppressAutoHyphens/>
    </w:pPr>
  </w:style>
  <w:style w:type="character" w:customStyle="1" w:styleId="EquationCaption">
    <w:name w:val="_Equation Caption"/>
    <w:rsid w:val="00B00A49"/>
  </w:style>
  <w:style w:type="paragraph" w:styleId="Header">
    <w:name w:val="header"/>
    <w:basedOn w:val="Normal"/>
    <w:autoRedefine/>
    <w:rsid w:val="00B00A49"/>
    <w:pPr>
      <w:tabs>
        <w:tab w:val="center" w:pos="4680"/>
        <w:tab w:val="right" w:pos="9360"/>
      </w:tabs>
    </w:pPr>
    <w:rPr>
      <w:b/>
    </w:rPr>
  </w:style>
  <w:style w:type="paragraph" w:styleId="Footer">
    <w:name w:val="footer"/>
    <w:basedOn w:val="Normal"/>
    <w:link w:val="FooterChar"/>
    <w:rsid w:val="00B00A49"/>
    <w:pPr>
      <w:tabs>
        <w:tab w:val="center" w:pos="4320"/>
        <w:tab w:val="right" w:pos="8640"/>
      </w:tabs>
    </w:pPr>
  </w:style>
  <w:style w:type="character" w:styleId="PageNumber">
    <w:name w:val="page number"/>
    <w:basedOn w:val="DefaultParagraphFont"/>
    <w:rsid w:val="00B00A49"/>
  </w:style>
  <w:style w:type="paragraph" w:styleId="BlockText">
    <w:name w:val="Block Text"/>
    <w:basedOn w:val="Normal"/>
    <w:rsid w:val="00B00A49"/>
    <w:pPr>
      <w:spacing w:after="240"/>
      <w:ind w:left="1440" w:right="1440"/>
    </w:pPr>
  </w:style>
  <w:style w:type="paragraph" w:customStyle="1" w:styleId="Paratitle">
    <w:name w:val="Para title"/>
    <w:basedOn w:val="Normal"/>
    <w:rsid w:val="00B00A49"/>
    <w:pPr>
      <w:tabs>
        <w:tab w:val="center" w:pos="9270"/>
      </w:tabs>
      <w:spacing w:after="240"/>
    </w:pPr>
    <w:rPr>
      <w:spacing w:val="-2"/>
    </w:rPr>
  </w:style>
  <w:style w:type="paragraph" w:customStyle="1" w:styleId="Bullet">
    <w:name w:val="Bullet"/>
    <w:basedOn w:val="Normal"/>
    <w:rsid w:val="00B00A49"/>
    <w:pPr>
      <w:tabs>
        <w:tab w:val="left" w:pos="2160"/>
      </w:tabs>
      <w:spacing w:after="220"/>
      <w:ind w:left="2160" w:hanging="720"/>
    </w:pPr>
  </w:style>
  <w:style w:type="paragraph" w:customStyle="1" w:styleId="TableFormat">
    <w:name w:val="TableFormat"/>
    <w:basedOn w:val="Bullet"/>
    <w:rsid w:val="00B00A49"/>
    <w:pPr>
      <w:tabs>
        <w:tab w:val="clear" w:pos="2160"/>
        <w:tab w:val="left" w:pos="5040"/>
      </w:tabs>
      <w:ind w:left="5040" w:hanging="3600"/>
    </w:pPr>
  </w:style>
  <w:style w:type="paragraph" w:customStyle="1" w:styleId="TOCTitle">
    <w:name w:val="TOC Title"/>
    <w:basedOn w:val="Normal"/>
    <w:rsid w:val="00B00A49"/>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B00A49"/>
    <w:pPr>
      <w:jc w:val="center"/>
    </w:pPr>
    <w:rPr>
      <w:rFonts w:ascii="Times New Roman Bold" w:hAnsi="Times New Roman Bold"/>
      <w:b/>
      <w:bCs/>
      <w:caps/>
      <w:szCs w:val="22"/>
    </w:rPr>
  </w:style>
  <w:style w:type="character" w:styleId="Hyperlink">
    <w:name w:val="Hyperlink"/>
    <w:rsid w:val="00B00A49"/>
    <w:rPr>
      <w:color w:val="0000FF"/>
      <w:u w:val="single"/>
    </w:rPr>
  </w:style>
  <w:style w:type="paragraph" w:styleId="BalloonText">
    <w:name w:val="Balloon Text"/>
    <w:basedOn w:val="Normal"/>
    <w:link w:val="BalloonTextChar"/>
    <w:rsid w:val="000C6822"/>
    <w:rPr>
      <w:rFonts w:ascii="Tahoma" w:hAnsi="Tahoma" w:cs="Tahoma"/>
      <w:sz w:val="16"/>
      <w:szCs w:val="16"/>
    </w:rPr>
  </w:style>
  <w:style w:type="character" w:customStyle="1" w:styleId="BalloonTextChar">
    <w:name w:val="Balloon Text Char"/>
    <w:basedOn w:val="DefaultParagraphFont"/>
    <w:link w:val="BalloonText"/>
    <w:rsid w:val="000C6822"/>
    <w:rPr>
      <w:rFonts w:ascii="Tahoma" w:hAnsi="Tahoma" w:cs="Tahoma"/>
      <w:snapToGrid w:val="0"/>
      <w:kern w:val="28"/>
      <w:sz w:val="16"/>
      <w:szCs w:val="16"/>
    </w:rPr>
  </w:style>
  <w:style w:type="character" w:styleId="CommentReference">
    <w:name w:val="annotation reference"/>
    <w:basedOn w:val="DefaultParagraphFont"/>
    <w:rsid w:val="007333DA"/>
    <w:rPr>
      <w:sz w:val="16"/>
      <w:szCs w:val="16"/>
    </w:rPr>
  </w:style>
  <w:style w:type="paragraph" w:styleId="CommentText">
    <w:name w:val="annotation text"/>
    <w:basedOn w:val="Normal"/>
    <w:link w:val="CommentTextChar"/>
    <w:rsid w:val="007333DA"/>
    <w:rPr>
      <w:sz w:val="20"/>
    </w:rPr>
  </w:style>
  <w:style w:type="character" w:customStyle="1" w:styleId="CommentTextChar">
    <w:name w:val="Comment Text Char"/>
    <w:basedOn w:val="DefaultParagraphFont"/>
    <w:link w:val="CommentText"/>
    <w:rsid w:val="007333DA"/>
    <w:rPr>
      <w:snapToGrid w:val="0"/>
      <w:kern w:val="28"/>
    </w:rPr>
  </w:style>
  <w:style w:type="paragraph" w:styleId="CommentSubject">
    <w:name w:val="annotation subject"/>
    <w:basedOn w:val="CommentText"/>
    <w:next w:val="CommentText"/>
    <w:link w:val="CommentSubjectChar"/>
    <w:rsid w:val="007333DA"/>
    <w:rPr>
      <w:b/>
      <w:bCs/>
    </w:rPr>
  </w:style>
  <w:style w:type="character" w:customStyle="1" w:styleId="CommentSubjectChar">
    <w:name w:val="Comment Subject Char"/>
    <w:basedOn w:val="CommentTextChar"/>
    <w:link w:val="CommentSubject"/>
    <w:rsid w:val="007333DA"/>
    <w:rPr>
      <w:b/>
      <w:bCs/>
      <w:snapToGrid w:val="0"/>
      <w:kern w:val="28"/>
    </w:rPr>
  </w:style>
  <w:style w:type="character" w:customStyle="1" w:styleId="FootnoteTextChar2">
    <w:name w:val="Footnote Text Char2"/>
    <w:aliases w:val="Footnote Text Char1 Char,Footnote Text Char7 Char Char,Footnote Text Char4 Char1 Char Char,Footnote Text Char Char Char4 Char Char,Footnote Text Char7 Char Char Char Char Char,Footnote Text Char4 Char1 Char Char Char Char Char,f Char"/>
    <w:link w:val="FootnoteText"/>
    <w:locked/>
    <w:rsid w:val="004D1BD1"/>
  </w:style>
  <w:style w:type="character" w:styleId="Emphasis">
    <w:name w:val="Emphasis"/>
    <w:basedOn w:val="DefaultParagraphFont"/>
    <w:uiPriority w:val="20"/>
    <w:qFormat/>
    <w:rsid w:val="00062F8C"/>
    <w:rPr>
      <w:i/>
      <w:iCs/>
    </w:rPr>
  </w:style>
  <w:style w:type="character" w:customStyle="1" w:styleId="displayhltext">
    <w:name w:val="display_hl_text"/>
    <w:basedOn w:val="DefaultParagraphFont"/>
    <w:rsid w:val="00D441D3"/>
  </w:style>
  <w:style w:type="character" w:customStyle="1" w:styleId="emphi">
    <w:name w:val="emphi"/>
    <w:basedOn w:val="DefaultParagraphFont"/>
    <w:rsid w:val="0092507A"/>
  </w:style>
  <w:style w:type="character" w:customStyle="1" w:styleId="displayhltextactive">
    <w:name w:val="display_hl_text_active"/>
    <w:basedOn w:val="DefaultParagraphFont"/>
    <w:rsid w:val="00B3612E"/>
  </w:style>
  <w:style w:type="character" w:customStyle="1" w:styleId="costarpage">
    <w:name w:val="co_starpage"/>
    <w:basedOn w:val="DefaultParagraphFont"/>
    <w:rsid w:val="00AF01B3"/>
  </w:style>
  <w:style w:type="character" w:styleId="FollowedHyperlink">
    <w:name w:val="FollowedHyperlink"/>
    <w:basedOn w:val="DefaultParagraphFont"/>
    <w:rsid w:val="003D02EA"/>
    <w:rPr>
      <w:color w:val="800080" w:themeColor="followedHyperlink"/>
      <w:u w:val="single"/>
    </w:rPr>
  </w:style>
  <w:style w:type="character" w:customStyle="1" w:styleId="FooterChar">
    <w:name w:val="Footer Char"/>
    <w:basedOn w:val="DefaultParagraphFont"/>
    <w:link w:val="Footer"/>
    <w:rsid w:val="00C75C20"/>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038978">
      <w:bodyDiv w:val="1"/>
      <w:marLeft w:val="0"/>
      <w:marRight w:val="0"/>
      <w:marTop w:val="0"/>
      <w:marBottom w:val="0"/>
      <w:divBdr>
        <w:top w:val="none" w:sz="0" w:space="0" w:color="auto"/>
        <w:left w:val="none" w:sz="0" w:space="0" w:color="auto"/>
        <w:bottom w:val="none" w:sz="0" w:space="0" w:color="auto"/>
        <w:right w:val="none" w:sz="0" w:space="0" w:color="auto"/>
      </w:divBdr>
      <w:divsChild>
        <w:div w:id="56368269">
          <w:marLeft w:val="0"/>
          <w:marRight w:val="0"/>
          <w:marTop w:val="0"/>
          <w:marBottom w:val="0"/>
          <w:divBdr>
            <w:top w:val="none" w:sz="0" w:space="0" w:color="auto"/>
            <w:left w:val="none" w:sz="0" w:space="0" w:color="auto"/>
            <w:bottom w:val="none" w:sz="0" w:space="0" w:color="auto"/>
            <w:right w:val="none" w:sz="0" w:space="0" w:color="auto"/>
          </w:divBdr>
        </w:div>
        <w:div w:id="1667973231">
          <w:marLeft w:val="0"/>
          <w:marRight w:val="0"/>
          <w:marTop w:val="0"/>
          <w:marBottom w:val="0"/>
          <w:divBdr>
            <w:top w:val="none" w:sz="0" w:space="0" w:color="auto"/>
            <w:left w:val="none" w:sz="0" w:space="0" w:color="auto"/>
            <w:bottom w:val="none" w:sz="0" w:space="0" w:color="auto"/>
            <w:right w:val="none" w:sz="0" w:space="0" w:color="auto"/>
          </w:divBdr>
        </w:div>
      </w:divsChild>
    </w:div>
    <w:div w:id="749040292">
      <w:bodyDiv w:val="1"/>
      <w:marLeft w:val="0"/>
      <w:marRight w:val="0"/>
      <w:marTop w:val="0"/>
      <w:marBottom w:val="0"/>
      <w:divBdr>
        <w:top w:val="none" w:sz="0" w:space="0" w:color="auto"/>
        <w:left w:val="none" w:sz="0" w:space="0" w:color="auto"/>
        <w:bottom w:val="none" w:sz="0" w:space="0" w:color="auto"/>
        <w:right w:val="none" w:sz="0" w:space="0" w:color="auto"/>
      </w:divBdr>
    </w:div>
    <w:div w:id="898857276">
      <w:bodyDiv w:val="1"/>
      <w:marLeft w:val="0"/>
      <w:marRight w:val="0"/>
      <w:marTop w:val="0"/>
      <w:marBottom w:val="0"/>
      <w:divBdr>
        <w:top w:val="none" w:sz="0" w:space="0" w:color="auto"/>
        <w:left w:val="none" w:sz="0" w:space="0" w:color="auto"/>
        <w:bottom w:val="none" w:sz="0" w:space="0" w:color="auto"/>
        <w:right w:val="none" w:sz="0" w:space="0" w:color="auto"/>
      </w:divBdr>
      <w:divsChild>
        <w:div w:id="2086803820">
          <w:marLeft w:val="0"/>
          <w:marRight w:val="0"/>
          <w:marTop w:val="0"/>
          <w:marBottom w:val="0"/>
          <w:divBdr>
            <w:top w:val="none" w:sz="0" w:space="0" w:color="auto"/>
            <w:left w:val="none" w:sz="0" w:space="0" w:color="auto"/>
            <w:bottom w:val="none" w:sz="0" w:space="0" w:color="auto"/>
            <w:right w:val="none" w:sz="0" w:space="0" w:color="auto"/>
          </w:divBdr>
        </w:div>
        <w:div w:id="1562015113">
          <w:marLeft w:val="0"/>
          <w:marRight w:val="0"/>
          <w:marTop w:val="0"/>
          <w:marBottom w:val="0"/>
          <w:divBdr>
            <w:top w:val="none" w:sz="0" w:space="0" w:color="auto"/>
            <w:left w:val="none" w:sz="0" w:space="0" w:color="auto"/>
            <w:bottom w:val="none" w:sz="0" w:space="0" w:color="auto"/>
            <w:right w:val="none" w:sz="0" w:space="0" w:color="auto"/>
          </w:divBdr>
        </w:div>
      </w:divsChild>
    </w:div>
    <w:div w:id="1097170341">
      <w:bodyDiv w:val="1"/>
      <w:marLeft w:val="0"/>
      <w:marRight w:val="0"/>
      <w:marTop w:val="0"/>
      <w:marBottom w:val="0"/>
      <w:divBdr>
        <w:top w:val="none" w:sz="0" w:space="0" w:color="auto"/>
        <w:left w:val="none" w:sz="0" w:space="0" w:color="auto"/>
        <w:bottom w:val="none" w:sz="0" w:space="0" w:color="auto"/>
        <w:right w:val="none" w:sz="0" w:space="0" w:color="auto"/>
      </w:divBdr>
      <w:divsChild>
        <w:div w:id="239366307">
          <w:marLeft w:val="0"/>
          <w:marRight w:val="0"/>
          <w:marTop w:val="0"/>
          <w:marBottom w:val="0"/>
          <w:divBdr>
            <w:top w:val="none" w:sz="0" w:space="0" w:color="auto"/>
            <w:left w:val="none" w:sz="0" w:space="0" w:color="auto"/>
            <w:bottom w:val="none" w:sz="0" w:space="0" w:color="auto"/>
            <w:right w:val="none" w:sz="0" w:space="0" w:color="auto"/>
          </w:divBdr>
          <w:divsChild>
            <w:div w:id="31059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138009">
      <w:bodyDiv w:val="1"/>
      <w:marLeft w:val="0"/>
      <w:marRight w:val="0"/>
      <w:marTop w:val="0"/>
      <w:marBottom w:val="0"/>
      <w:divBdr>
        <w:top w:val="none" w:sz="0" w:space="0" w:color="auto"/>
        <w:left w:val="none" w:sz="0" w:space="0" w:color="auto"/>
        <w:bottom w:val="none" w:sz="0" w:space="0" w:color="auto"/>
        <w:right w:val="none" w:sz="0" w:space="0" w:color="auto"/>
      </w:divBdr>
      <w:divsChild>
        <w:div w:id="1491675964">
          <w:marLeft w:val="0"/>
          <w:marRight w:val="0"/>
          <w:marTop w:val="0"/>
          <w:marBottom w:val="0"/>
          <w:divBdr>
            <w:top w:val="none" w:sz="0" w:space="0" w:color="auto"/>
            <w:left w:val="none" w:sz="0" w:space="0" w:color="auto"/>
            <w:bottom w:val="none" w:sz="0" w:space="0" w:color="auto"/>
            <w:right w:val="none" w:sz="0" w:space="0" w:color="auto"/>
          </w:divBdr>
          <w:divsChild>
            <w:div w:id="121099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533759">
      <w:bodyDiv w:val="1"/>
      <w:marLeft w:val="0"/>
      <w:marRight w:val="0"/>
      <w:marTop w:val="0"/>
      <w:marBottom w:val="0"/>
      <w:divBdr>
        <w:top w:val="none" w:sz="0" w:space="0" w:color="auto"/>
        <w:left w:val="none" w:sz="0" w:space="0" w:color="auto"/>
        <w:bottom w:val="none" w:sz="0" w:space="0" w:color="auto"/>
        <w:right w:val="none" w:sz="0" w:space="0" w:color="auto"/>
      </w:divBdr>
      <w:divsChild>
        <w:div w:id="198204998">
          <w:marLeft w:val="0"/>
          <w:marRight w:val="0"/>
          <w:marTop w:val="0"/>
          <w:marBottom w:val="0"/>
          <w:divBdr>
            <w:top w:val="none" w:sz="0" w:space="0" w:color="auto"/>
            <w:left w:val="none" w:sz="0" w:space="0" w:color="auto"/>
            <w:bottom w:val="none" w:sz="0" w:space="0" w:color="auto"/>
            <w:right w:val="none" w:sz="0" w:space="0" w:color="auto"/>
          </w:divBdr>
          <w:divsChild>
            <w:div w:id="194819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118525">
      <w:bodyDiv w:val="1"/>
      <w:marLeft w:val="0"/>
      <w:marRight w:val="0"/>
      <w:marTop w:val="0"/>
      <w:marBottom w:val="0"/>
      <w:divBdr>
        <w:top w:val="none" w:sz="0" w:space="0" w:color="auto"/>
        <w:left w:val="none" w:sz="0" w:space="0" w:color="auto"/>
        <w:bottom w:val="none" w:sz="0" w:space="0" w:color="auto"/>
        <w:right w:val="none" w:sz="0" w:space="0" w:color="auto"/>
      </w:divBdr>
      <w:divsChild>
        <w:div w:id="1210340878">
          <w:marLeft w:val="0"/>
          <w:marRight w:val="0"/>
          <w:marTop w:val="0"/>
          <w:marBottom w:val="0"/>
          <w:divBdr>
            <w:top w:val="none" w:sz="0" w:space="0" w:color="auto"/>
            <w:left w:val="none" w:sz="0" w:space="0" w:color="auto"/>
            <w:bottom w:val="none" w:sz="0" w:space="0" w:color="auto"/>
            <w:right w:val="none" w:sz="0" w:space="0" w:color="auto"/>
          </w:divBdr>
          <w:divsChild>
            <w:div w:id="175184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top.docjs.prev_hit(2)" TargetMode="External"/><Relationship Id="rId13" Type="http://schemas.openxmlformats.org/officeDocument/2006/relationships/hyperlink" Target="javascript:top.docjs.next_hit(1)"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javascript:top.docjs.next_hit(3)"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gif"/><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javascript:top.docjs.prev_hit(3)"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javascript:top.docjs.next_hit(2)"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javascript:top.docjs.prev_hit(17)" TargetMode="External"/><Relationship Id="rId3" Type="http://schemas.openxmlformats.org/officeDocument/2006/relationships/image" Target="media/image1.gif"/><Relationship Id="rId7" Type="http://schemas.openxmlformats.org/officeDocument/2006/relationships/hyperlink" Target="javascript:top.docjs.next_hit(1)" TargetMode="External"/><Relationship Id="rId2" Type="http://schemas.openxmlformats.org/officeDocument/2006/relationships/hyperlink" Target="javascript:top.docjs.prev_hit(3)" TargetMode="External"/><Relationship Id="rId1" Type="http://schemas.openxmlformats.org/officeDocument/2006/relationships/hyperlink" Target="http://wireless.fcc.gov/auctions/default.htm?job=auction_summary&amp;id=93" TargetMode="External"/><Relationship Id="rId6" Type="http://schemas.openxmlformats.org/officeDocument/2006/relationships/image" Target="media/image2.png"/><Relationship Id="rId11" Type="http://schemas.openxmlformats.org/officeDocument/2006/relationships/hyperlink" Target="http://transition.fcc.gov/Forms/Form301/301.pdf" TargetMode="External"/><Relationship Id="rId5" Type="http://schemas.openxmlformats.org/officeDocument/2006/relationships/hyperlink" Target="http://telecomlaw.bna.com/terc/display/split_display.adp?fedfid=18620789&amp;wsn=788194000&amp;vname=comrgdec&amp;searchid=23271233&amp;doctypeid=1&amp;type=court&amp;scm=1502&amp;pg=0" TargetMode="External"/><Relationship Id="rId10" Type="http://schemas.openxmlformats.org/officeDocument/2006/relationships/hyperlink" Target="javascript:top.docjs.no_prev_doc_in_search_results()" TargetMode="External"/><Relationship Id="rId4" Type="http://schemas.openxmlformats.org/officeDocument/2006/relationships/hyperlink" Target="javascript:top.docjs.next_hit(3)" TargetMode="External"/><Relationship Id="rId9" Type="http://schemas.openxmlformats.org/officeDocument/2006/relationships/hyperlink" Target="javascript:top.docjs.next_hit(1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2036</Words>
  <Characters>11511</Characters>
  <Application>Microsoft Office Word</Application>
  <DocSecurity>0</DocSecurity>
  <Lines>182</Lines>
  <Paragraphs>44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13590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2015-01-22T14:51:00Z</dcterms:created>
  <dcterms:modified xsi:type="dcterms:W3CDTF">2015-01-22T14:51:00Z</dcterms:modified>
  <cp:category> </cp:category>
  <cp:contentStatus> </cp:contentStatus>
</cp:coreProperties>
</file>