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0F251F" w:rsidP="007115F7">
            <w:pPr>
              <w:tabs>
                <w:tab w:val="center" w:pos="4680"/>
              </w:tabs>
              <w:suppressAutoHyphens/>
              <w:rPr>
                <w:spacing w:val="-2"/>
              </w:rPr>
            </w:pPr>
            <w:r>
              <w:rPr>
                <w:spacing w:val="-2"/>
              </w:rPr>
              <w:t>Applications of AT&amp;T Inc., E.N.M.R. Telephone</w:t>
            </w:r>
          </w:p>
          <w:p w:rsidR="000F251F" w:rsidRDefault="000F251F" w:rsidP="007115F7">
            <w:pPr>
              <w:tabs>
                <w:tab w:val="center" w:pos="4680"/>
              </w:tabs>
              <w:suppressAutoHyphens/>
              <w:rPr>
                <w:spacing w:val="-2"/>
              </w:rPr>
            </w:pPr>
            <w:r>
              <w:rPr>
                <w:spacing w:val="-2"/>
              </w:rPr>
              <w:t>Cooperative, Plateau Telecommunications, Inc.,</w:t>
            </w:r>
          </w:p>
          <w:p w:rsidR="000F251F" w:rsidRDefault="000F251F" w:rsidP="007115F7">
            <w:pPr>
              <w:tabs>
                <w:tab w:val="center" w:pos="4680"/>
              </w:tabs>
              <w:suppressAutoHyphens/>
              <w:rPr>
                <w:spacing w:val="-2"/>
              </w:rPr>
            </w:pPr>
            <w:r>
              <w:rPr>
                <w:spacing w:val="-2"/>
              </w:rPr>
              <w:t>New Mexico RSA 4 East Limited Partnership, and</w:t>
            </w:r>
          </w:p>
          <w:p w:rsidR="00E33193" w:rsidRDefault="000F251F" w:rsidP="007115F7">
            <w:pPr>
              <w:tabs>
                <w:tab w:val="center" w:pos="4680"/>
              </w:tabs>
              <w:suppressAutoHyphens/>
              <w:rPr>
                <w:spacing w:val="-2"/>
              </w:rPr>
            </w:pPr>
            <w:r>
              <w:rPr>
                <w:spacing w:val="-2"/>
              </w:rPr>
              <w:t xml:space="preserve">Texas RSA 3 Limited Partnership </w:t>
            </w:r>
          </w:p>
          <w:p w:rsidR="00E33193" w:rsidRDefault="00E33193" w:rsidP="007115F7">
            <w:pPr>
              <w:tabs>
                <w:tab w:val="center" w:pos="4680"/>
              </w:tabs>
              <w:suppressAutoHyphens/>
              <w:rPr>
                <w:spacing w:val="-2"/>
              </w:rPr>
            </w:pPr>
          </w:p>
          <w:p w:rsidR="000F251F" w:rsidRDefault="00E33193" w:rsidP="007115F7">
            <w:pPr>
              <w:tabs>
                <w:tab w:val="center" w:pos="4680"/>
              </w:tabs>
              <w:suppressAutoHyphens/>
              <w:rPr>
                <w:spacing w:val="-2"/>
              </w:rPr>
            </w:pPr>
            <w:r>
              <w:rPr>
                <w:spacing w:val="-2"/>
              </w:rPr>
              <w:t>F</w:t>
            </w:r>
            <w:r w:rsidR="00D51A01">
              <w:rPr>
                <w:spacing w:val="-2"/>
              </w:rPr>
              <w:t>or Consent T</w:t>
            </w:r>
            <w:r w:rsidR="000F251F">
              <w:rPr>
                <w:spacing w:val="-2"/>
              </w:rPr>
              <w:t>o</w:t>
            </w:r>
            <w:r>
              <w:rPr>
                <w:spacing w:val="-2"/>
              </w:rPr>
              <w:t xml:space="preserve"> Assign Licenses</w:t>
            </w:r>
          </w:p>
          <w:p w:rsidR="000F251F" w:rsidRPr="007115F7" w:rsidRDefault="000F251F" w:rsidP="007115F7">
            <w:pPr>
              <w:tabs>
                <w:tab w:val="center" w:pos="4680"/>
              </w:tabs>
              <w:suppressAutoHyphens/>
              <w:rPr>
                <w:spacing w:val="-2"/>
              </w:rPr>
            </w:pPr>
            <w:r>
              <w:rPr>
                <w:spacing w:val="-2"/>
              </w:rPr>
              <w:t>and Authorizations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E33193" w:rsidRDefault="00E33193" w:rsidP="00E33193">
            <w:pPr>
              <w:tabs>
                <w:tab w:val="center" w:pos="4680"/>
              </w:tabs>
              <w:suppressAutoHyphens/>
              <w:rPr>
                <w:b/>
                <w:spacing w:val="-2"/>
              </w:rPr>
            </w:pPr>
            <w:r>
              <w:rPr>
                <w:b/>
                <w:spacing w:val="-2"/>
              </w:rPr>
              <w:t>)</w:t>
            </w:r>
          </w:p>
          <w:p w:rsidR="004C2EE3" w:rsidRDefault="00E33193" w:rsidP="00E33193">
            <w:pPr>
              <w:tabs>
                <w:tab w:val="center" w:pos="4680"/>
              </w:tabs>
              <w:suppressAutoHyphens/>
              <w:rPr>
                <w:b/>
                <w:spacing w:val="-2"/>
              </w:rPr>
            </w:pPr>
            <w:r>
              <w:rPr>
                <w:b/>
                <w:spacing w:val="-2"/>
              </w:rPr>
              <w:t>)</w:t>
            </w:r>
          </w:p>
          <w:p w:rsidR="00CC5EB6" w:rsidRPr="00066321" w:rsidRDefault="00CC5EB6" w:rsidP="00E33193">
            <w:pPr>
              <w:tabs>
                <w:tab w:val="center" w:pos="4680"/>
              </w:tabs>
              <w:suppressAutoHyphens/>
              <w:rPr>
                <w:b/>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0F251F">
            <w:pPr>
              <w:tabs>
                <w:tab w:val="center" w:pos="4680"/>
              </w:tabs>
              <w:suppressAutoHyphens/>
              <w:rPr>
                <w:spacing w:val="-2"/>
              </w:rPr>
            </w:pPr>
            <w:r>
              <w:rPr>
                <w:spacing w:val="-2"/>
              </w:rPr>
              <w:t>WT Docket No. 14-144</w:t>
            </w:r>
          </w:p>
        </w:tc>
      </w:tr>
    </w:tbl>
    <w:p w:rsidR="004C2EE3" w:rsidRDefault="004C2EE3" w:rsidP="0070224F"/>
    <w:p w:rsidR="00841AB1" w:rsidRDefault="00DC12FC"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A82C9D">
        <w:rPr>
          <w:b/>
          <w:spacing w:val="-2"/>
        </w:rPr>
        <w:t>May 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706EB">
        <w:rPr>
          <w:b/>
          <w:spacing w:val="-2"/>
        </w:rPr>
        <w:t>May 8</w:t>
      </w:r>
      <w:r w:rsidR="00A82C9D" w:rsidRPr="00F706EB">
        <w:rPr>
          <w:b/>
          <w:spacing w:val="-2"/>
        </w:rPr>
        <w:t>, 2015</w:t>
      </w:r>
    </w:p>
    <w:p w:rsidR="00822CE0" w:rsidRDefault="00822CE0"/>
    <w:p w:rsidR="00EC2969" w:rsidRDefault="004C2EE3" w:rsidP="00EC2969">
      <w:pPr>
        <w:rPr>
          <w:spacing w:val="-2"/>
        </w:rPr>
      </w:pPr>
      <w:r>
        <w:t xml:space="preserve">By </w:t>
      </w:r>
      <w:r w:rsidR="004E4A22">
        <w:t>the</w:t>
      </w:r>
      <w:r w:rsidR="002A2D2E">
        <w:t xml:space="preserve"> </w:t>
      </w:r>
      <w:r w:rsidR="0043716A">
        <w:rPr>
          <w:spacing w:val="-2"/>
        </w:rPr>
        <w:t>Commission</w:t>
      </w:r>
      <w:r>
        <w:rPr>
          <w:spacing w:val="-2"/>
        </w:rPr>
        <w:t>:</w:t>
      </w:r>
      <w:r w:rsidR="00C94F4E">
        <w:rPr>
          <w:spacing w:val="-2"/>
        </w:rPr>
        <w:t xml:space="preserve">  Commissioner</w:t>
      </w:r>
      <w:r w:rsidR="00DD66D7">
        <w:rPr>
          <w:spacing w:val="-2"/>
        </w:rPr>
        <w:t>s Pai and</w:t>
      </w:r>
      <w:r w:rsidR="00C94F4E">
        <w:rPr>
          <w:spacing w:val="-2"/>
        </w:rPr>
        <w:t xml:space="preserve"> O’Rielly</w:t>
      </w:r>
      <w:r w:rsidR="000A4834">
        <w:rPr>
          <w:spacing w:val="-2"/>
        </w:rPr>
        <w:t xml:space="preserve"> issuing </w:t>
      </w:r>
      <w:r w:rsidR="00DD66D7">
        <w:rPr>
          <w:spacing w:val="-2"/>
        </w:rPr>
        <w:t xml:space="preserve">separate </w:t>
      </w:r>
      <w:r w:rsidR="000A4834">
        <w:rPr>
          <w:spacing w:val="-2"/>
        </w:rPr>
        <w:t>statements.</w:t>
      </w:r>
    </w:p>
    <w:p w:rsidR="000A4834" w:rsidRDefault="000A4834" w:rsidP="000A4834">
      <w:pPr>
        <w:pStyle w:val="TOCTitle"/>
      </w:pPr>
      <w:bookmarkStart w:id="1" w:name="TOChere"/>
      <w:r>
        <w:t>Table of Contents</w:t>
      </w:r>
    </w:p>
    <w:p w:rsidR="000A4834" w:rsidRDefault="000A4834" w:rsidP="000A4834">
      <w:pPr>
        <w:pStyle w:val="Paratitle"/>
      </w:pPr>
      <w:r>
        <w:t>Heading</w:t>
      </w:r>
      <w:r>
        <w:tab/>
        <w:t>Paragraph #</w:t>
      </w:r>
      <w:bookmarkStart w:id="2" w:name="start_here"/>
      <w:bookmarkEnd w:id="2"/>
    </w:p>
    <w:p w:rsidR="000A4834" w:rsidRDefault="000A4834" w:rsidP="000A4834">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0A4834" w:rsidRDefault="000A4834" w:rsidP="000A4834">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0A4834" w:rsidRDefault="000A4834" w:rsidP="000A483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Description of the Applicants</w:t>
      </w:r>
      <w:r>
        <w:tab/>
        <w:t>3</w:t>
      </w:r>
    </w:p>
    <w:p w:rsidR="000A4834" w:rsidRDefault="000A4834" w:rsidP="000A483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Description of the Transaction</w:t>
      </w:r>
      <w:r>
        <w:tab/>
        <w:t>4</w:t>
      </w:r>
    </w:p>
    <w:p w:rsidR="000A4834" w:rsidRDefault="000A4834" w:rsidP="000A483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Transaction Review Process</w:t>
      </w:r>
      <w:r>
        <w:tab/>
        <w:t>6</w:t>
      </w:r>
    </w:p>
    <w:p w:rsidR="000A4834" w:rsidRDefault="000A4834" w:rsidP="000A4834">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standard of review</w:t>
      </w:r>
      <w:r>
        <w:tab/>
        <w:t>8</w:t>
      </w:r>
    </w:p>
    <w:p w:rsidR="000A4834" w:rsidRDefault="000A4834" w:rsidP="000A4834">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qualifications of applicants</w:t>
      </w:r>
      <w:r>
        <w:tab/>
        <w:t>10</w:t>
      </w:r>
    </w:p>
    <w:p w:rsidR="000A4834" w:rsidRDefault="000A4834" w:rsidP="000A4834">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potential public interest harms</w:t>
      </w:r>
      <w:r>
        <w:tab/>
        <w:t>12</w:t>
      </w:r>
    </w:p>
    <w:p w:rsidR="000A4834" w:rsidRDefault="000A4834" w:rsidP="000A483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Competitive Overview and Market Definitions</w:t>
      </w:r>
      <w:r>
        <w:tab/>
        <w:t>16</w:t>
      </w:r>
    </w:p>
    <w:p w:rsidR="000A4834" w:rsidRDefault="000A4834" w:rsidP="000A483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Competitive Overview</w:t>
      </w:r>
      <w:r>
        <w:tab/>
        <w:t>16</w:t>
      </w:r>
    </w:p>
    <w:p w:rsidR="000A4834" w:rsidRDefault="000A4834" w:rsidP="000A483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Market Definitions</w:t>
      </w:r>
      <w:r>
        <w:tab/>
        <w:t>17</w:t>
      </w:r>
    </w:p>
    <w:p w:rsidR="000A4834" w:rsidRDefault="000A4834" w:rsidP="000A483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Competitive Effects of the Proposed Transaction</w:t>
      </w:r>
      <w:r>
        <w:tab/>
        <w:t>24</w:t>
      </w:r>
    </w:p>
    <w:p w:rsidR="000A4834" w:rsidRDefault="000A4834" w:rsidP="000A483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Initial Review</w:t>
      </w:r>
      <w:r>
        <w:tab/>
        <w:t>24</w:t>
      </w:r>
    </w:p>
    <w:p w:rsidR="000A4834" w:rsidRDefault="000A4834" w:rsidP="000A483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Competitive Analysis</w:t>
      </w:r>
      <w:r>
        <w:tab/>
        <w:t>26</w:t>
      </w:r>
    </w:p>
    <w:p w:rsidR="000A4834" w:rsidRDefault="000A4834" w:rsidP="000A483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Roaming</w:t>
      </w:r>
      <w:r>
        <w:tab/>
        <w:t>37</w:t>
      </w:r>
    </w:p>
    <w:p w:rsidR="000A4834" w:rsidRDefault="000A4834" w:rsidP="000A4834">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potential public interest benefits</w:t>
      </w:r>
      <w:r>
        <w:tab/>
        <w:t>43</w:t>
      </w:r>
    </w:p>
    <w:p w:rsidR="000A4834" w:rsidRDefault="000A4834" w:rsidP="000A4834">
      <w:pPr>
        <w:pStyle w:val="TOC2"/>
        <w:tabs>
          <w:tab w:val="left" w:pos="360"/>
        </w:tabs>
        <w:rPr>
          <w:rFonts w:asciiTheme="minorHAnsi" w:eastAsiaTheme="minorEastAsia" w:hAnsiTheme="minorHAnsi" w:cstheme="minorBidi"/>
          <w:snapToGrid/>
          <w:kern w:val="0"/>
          <w:szCs w:val="22"/>
        </w:rPr>
      </w:pPr>
      <w:r w:rsidRPr="0026067E">
        <w:rPr>
          <w:snapToGrid/>
        </w:rPr>
        <w:t>A.</w:t>
      </w:r>
      <w:r>
        <w:rPr>
          <w:rFonts w:asciiTheme="minorHAnsi" w:eastAsiaTheme="minorEastAsia" w:hAnsiTheme="minorHAnsi" w:cstheme="minorBidi"/>
          <w:snapToGrid/>
          <w:kern w:val="0"/>
          <w:szCs w:val="22"/>
        </w:rPr>
        <w:tab/>
      </w:r>
      <w:r w:rsidRPr="0026067E">
        <w:rPr>
          <w:snapToGrid/>
        </w:rPr>
        <w:t>Analytical Framework</w:t>
      </w:r>
      <w:r>
        <w:tab/>
        <w:t>44</w:t>
      </w:r>
    </w:p>
    <w:p w:rsidR="000A4834" w:rsidRDefault="000A4834" w:rsidP="000A4834">
      <w:pPr>
        <w:pStyle w:val="TOC2"/>
        <w:tabs>
          <w:tab w:val="left" w:pos="360"/>
        </w:tabs>
        <w:rPr>
          <w:rFonts w:asciiTheme="minorHAnsi" w:eastAsiaTheme="minorEastAsia" w:hAnsiTheme="minorHAnsi" w:cstheme="minorBidi"/>
          <w:snapToGrid/>
          <w:kern w:val="0"/>
          <w:szCs w:val="22"/>
        </w:rPr>
      </w:pPr>
      <w:r w:rsidRPr="0026067E">
        <w:rPr>
          <w:snapToGrid/>
        </w:rPr>
        <w:t>B.</w:t>
      </w:r>
      <w:r>
        <w:rPr>
          <w:rFonts w:asciiTheme="minorHAnsi" w:eastAsiaTheme="minorEastAsia" w:hAnsiTheme="minorHAnsi" w:cstheme="minorBidi"/>
          <w:snapToGrid/>
          <w:kern w:val="0"/>
          <w:szCs w:val="22"/>
        </w:rPr>
        <w:tab/>
      </w:r>
      <w:r w:rsidRPr="0026067E">
        <w:rPr>
          <w:snapToGrid/>
        </w:rPr>
        <w:t>Potential Benefits</w:t>
      </w:r>
      <w:r>
        <w:tab/>
        <w:t>45</w:t>
      </w:r>
    </w:p>
    <w:p w:rsidR="000A4834" w:rsidRDefault="000A4834" w:rsidP="000A483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Discussion</w:t>
      </w:r>
      <w:r>
        <w:tab/>
        <w:t>51</w:t>
      </w:r>
    </w:p>
    <w:p w:rsidR="000A4834" w:rsidRDefault="000A4834" w:rsidP="000A4834">
      <w:pPr>
        <w:pStyle w:val="TOC1"/>
        <w:rPr>
          <w:rFonts w:asciiTheme="minorHAnsi" w:eastAsiaTheme="minorEastAsia" w:hAnsiTheme="minorHAnsi" w:cstheme="minorBidi"/>
          <w:caps w:val="0"/>
          <w:snapToGrid/>
          <w:kern w:val="0"/>
          <w:szCs w:val="22"/>
        </w:rPr>
      </w:pPr>
      <w:r>
        <w:t>VII.</w:t>
      </w:r>
      <w:r>
        <w:rPr>
          <w:rFonts w:asciiTheme="minorHAnsi" w:eastAsiaTheme="minorEastAsia" w:hAnsiTheme="minorHAnsi" w:cstheme="minorBidi"/>
          <w:caps w:val="0"/>
          <w:snapToGrid/>
          <w:kern w:val="0"/>
          <w:szCs w:val="22"/>
        </w:rPr>
        <w:t xml:space="preserve"> </w:t>
      </w:r>
      <w:r>
        <w:t>Balancing The potential BeNEFITS and the potential HArms</w:t>
      </w:r>
      <w:r>
        <w:tab/>
        <w:t>56</w:t>
      </w:r>
    </w:p>
    <w:p w:rsidR="000A4834" w:rsidRDefault="000A4834" w:rsidP="000A4834">
      <w:pPr>
        <w:pStyle w:val="TOC1"/>
        <w:tabs>
          <w:tab w:val="left" w:pos="720"/>
        </w:tabs>
        <w:rPr>
          <w:rFonts w:asciiTheme="minorHAnsi" w:eastAsiaTheme="minorEastAsia" w:hAnsiTheme="minorHAnsi" w:cstheme="minorBidi"/>
          <w:caps w:val="0"/>
          <w:snapToGrid/>
          <w:kern w:val="0"/>
          <w:szCs w:val="22"/>
        </w:rPr>
      </w:pPr>
      <w:r>
        <w:t>VIII.ordering clauses</w:t>
      </w:r>
      <w:r>
        <w:tab/>
        <w:t>58</w:t>
      </w:r>
    </w:p>
    <w:bookmarkEnd w:id="1"/>
    <w:p w:rsidR="00B90391" w:rsidRDefault="006A3CB1" w:rsidP="00B90391">
      <w:r>
        <w:t>APPENDIX</w:t>
      </w:r>
      <w:r w:rsidR="00715456">
        <w:t xml:space="preserve"> – List of Applications</w:t>
      </w:r>
    </w:p>
    <w:p w:rsidR="00C5295B" w:rsidRDefault="00C5295B" w:rsidP="00B90391"/>
    <w:p w:rsidR="002C00E8" w:rsidRDefault="002475A2" w:rsidP="00C5295B">
      <w:pPr>
        <w:pStyle w:val="Heading1"/>
        <w:keepNext w:val="0"/>
        <w:keepLines/>
        <w:widowControl/>
      </w:pPr>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06666068"/>
      <w:bookmarkStart w:id="14" w:name="_Toc406684856"/>
      <w:bookmarkStart w:id="15" w:name="_Toc408223989"/>
      <w:bookmarkStart w:id="16" w:name="_Toc408580987"/>
      <w:bookmarkStart w:id="17" w:name="_Toc410028410"/>
      <w:bookmarkStart w:id="18" w:name="_Toc410116634"/>
      <w:bookmarkStart w:id="19" w:name="_Toc410119616"/>
      <w:bookmarkStart w:id="20" w:name="_Toc410121757"/>
      <w:bookmarkStart w:id="21" w:name="_Toc410339616"/>
      <w:bookmarkStart w:id="22" w:name="_Toc411607345"/>
      <w:bookmarkStart w:id="23" w:name="_Toc412112235"/>
      <w:bookmarkStart w:id="24" w:name="_Toc412557578"/>
      <w:bookmarkStart w:id="25" w:name="_Toc412795153"/>
      <w:bookmarkStart w:id="26" w:name="_Toc412804063"/>
      <w:bookmarkStart w:id="27" w:name="_Toc413055723"/>
      <w:bookmarkStart w:id="28" w:name="_Toc413162322"/>
      <w:bookmarkStart w:id="29" w:name="_Toc413246194"/>
      <w:bookmarkStart w:id="30" w:name="_Toc413392955"/>
      <w:bookmarkStart w:id="31" w:name="_Toc413687478"/>
      <w:bookmarkStart w:id="32" w:name="_Toc414366742"/>
      <w:bookmarkStart w:id="33" w:name="_Toc414537571"/>
      <w:bookmarkStart w:id="34" w:name="_Toc415215757"/>
      <w:bookmarkStart w:id="35" w:name="_Toc415573182"/>
      <w:bookmarkStart w:id="36" w:name="_Toc418681986"/>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831D7" w:rsidRPr="00D87DF9" w:rsidRDefault="00727839" w:rsidP="00C5295B">
      <w:pPr>
        <w:pStyle w:val="ParaNum"/>
        <w:widowControl/>
      </w:pPr>
      <w:r w:rsidRPr="00894362">
        <w:rPr>
          <w:kern w:val="0"/>
          <w:szCs w:val="22"/>
        </w:rPr>
        <w:t xml:space="preserve">In this </w:t>
      </w:r>
      <w:r w:rsidR="008149AF">
        <w:rPr>
          <w:kern w:val="0"/>
          <w:szCs w:val="22"/>
        </w:rPr>
        <w:t xml:space="preserve">Memorandum Opinion and </w:t>
      </w:r>
      <w:r w:rsidRPr="00894362">
        <w:rPr>
          <w:kern w:val="0"/>
          <w:szCs w:val="22"/>
        </w:rPr>
        <w:t xml:space="preserve">Order, we </w:t>
      </w:r>
      <w:r w:rsidR="00020633">
        <w:rPr>
          <w:kern w:val="0"/>
          <w:szCs w:val="22"/>
        </w:rPr>
        <w:t xml:space="preserve">consider </w:t>
      </w:r>
      <w:r w:rsidRPr="00894362">
        <w:rPr>
          <w:kern w:val="0"/>
          <w:szCs w:val="22"/>
        </w:rPr>
        <w:t xml:space="preserve">the applications of AT&amp;T and </w:t>
      </w:r>
      <w:r w:rsidRPr="00894362">
        <w:rPr>
          <w:szCs w:val="22"/>
        </w:rPr>
        <w:t xml:space="preserve">Plateau Wireless for Commission consent to the assignment to AT&amp;T of </w:t>
      </w:r>
      <w:r w:rsidR="00020633" w:rsidRPr="00030F87">
        <w:t xml:space="preserve">three </w:t>
      </w:r>
      <w:r w:rsidR="00BF0710">
        <w:t>AWS-1</w:t>
      </w:r>
      <w:r w:rsidR="00020633" w:rsidRPr="00030F87">
        <w:t xml:space="preserve"> licenses, three cellular licenses, two </w:t>
      </w:r>
      <w:r w:rsidR="00020633">
        <w:t xml:space="preserve">Lower 700 </w:t>
      </w:r>
      <w:r w:rsidR="00020633" w:rsidRPr="00030F87">
        <w:t xml:space="preserve">MHz </w:t>
      </w:r>
      <w:r w:rsidR="00020633">
        <w:t xml:space="preserve">C Block </w:t>
      </w:r>
      <w:r w:rsidR="00020633" w:rsidRPr="00030F87">
        <w:t xml:space="preserve">licenses, and 23 common carrier fixed point-to-point </w:t>
      </w:r>
      <w:r w:rsidR="00020633">
        <w:lastRenderedPageBreak/>
        <w:t xml:space="preserve">microwave </w:t>
      </w:r>
      <w:r w:rsidR="00020633" w:rsidRPr="00030F87">
        <w:t>licenses</w:t>
      </w:r>
      <w:r w:rsidR="00020633">
        <w:t>.</w:t>
      </w:r>
      <w:r w:rsidR="00020633" w:rsidRPr="00030F87">
        <w:t xml:space="preserve">  </w:t>
      </w:r>
      <w:r w:rsidR="00020633">
        <w:t xml:space="preserve">The subject licenses encompass largely rural parts of New Mexico and Texas.  </w:t>
      </w:r>
      <w:r w:rsidR="008A5780">
        <w:t>T</w:t>
      </w:r>
      <w:r w:rsidR="00020633">
        <w:t xml:space="preserve">he Applicants also seek to assign three international section 214 authorizations to AT&amp;T.  </w:t>
      </w:r>
      <w:r w:rsidR="008A5780">
        <w:t>In addition</w:t>
      </w:r>
      <w:r w:rsidR="00020633">
        <w:t>, Plateau Wireless’s approximately 40,000 subscribers, along with network equipment and other assets, would be transferred to AT&amp;T as part of the proposed t</w:t>
      </w:r>
      <w:r w:rsidR="00D87DF9">
        <w:t>ransaction.</w:t>
      </w:r>
    </w:p>
    <w:p w:rsidR="00F166D0" w:rsidRPr="006831D7" w:rsidRDefault="00447919" w:rsidP="00D81688">
      <w:pPr>
        <w:pStyle w:val="ParaNum"/>
        <w:widowControl/>
      </w:pPr>
      <w:r w:rsidRPr="00D81688">
        <w:rPr>
          <w:kern w:val="0"/>
        </w:rPr>
        <w:t>The Com</w:t>
      </w:r>
      <w:r>
        <w:rPr>
          <w:kern w:val="0"/>
          <w:szCs w:val="22"/>
        </w:rPr>
        <w:t xml:space="preserve">mission recently </w:t>
      </w:r>
      <w:r w:rsidR="00604EA5">
        <w:rPr>
          <w:kern w:val="0"/>
          <w:szCs w:val="22"/>
        </w:rPr>
        <w:t>determined</w:t>
      </w:r>
      <w:r w:rsidR="00091CC5">
        <w:rPr>
          <w:kern w:val="0"/>
          <w:szCs w:val="22"/>
        </w:rPr>
        <w:t xml:space="preserve"> </w:t>
      </w:r>
      <w:r w:rsidR="00091CC5" w:rsidRPr="004A0496">
        <w:rPr>
          <w:bCs/>
        </w:rPr>
        <w:t>i</w:t>
      </w:r>
      <w:r w:rsidR="00091CC5" w:rsidRPr="004A0496">
        <w:rPr>
          <w:szCs w:val="22"/>
        </w:rPr>
        <w:t xml:space="preserve">n </w:t>
      </w:r>
      <w:r w:rsidR="00091CC5" w:rsidRPr="006A5E52">
        <w:t xml:space="preserve">the </w:t>
      </w:r>
      <w:r w:rsidR="00091CC5" w:rsidRPr="004A0496">
        <w:rPr>
          <w:rStyle w:val="StyleParaNumTimesNewRoman11ptChar"/>
          <w:i/>
          <w:szCs w:val="22"/>
          <w:lang w:eastAsia="x-none"/>
        </w:rPr>
        <w:t>Mobile Spectrum Holdings Report and Order</w:t>
      </w:r>
      <w:r w:rsidR="00091CC5">
        <w:rPr>
          <w:rStyle w:val="StyleParaNumTimesNewRoman11ptChar"/>
          <w:i/>
          <w:szCs w:val="22"/>
          <w:lang w:eastAsia="x-none"/>
        </w:rPr>
        <w:t xml:space="preserve"> </w:t>
      </w:r>
      <w:r w:rsidR="00091CC5" w:rsidRPr="004A0496">
        <w:rPr>
          <w:rStyle w:val="StyleParaNumTimesNewRoman11ptChar"/>
          <w:szCs w:val="22"/>
          <w:lang w:eastAsia="x-none"/>
        </w:rPr>
        <w:t xml:space="preserve">that increased aggregation of </w:t>
      </w:r>
      <w:r w:rsidR="00091CC5">
        <w:t>below-1-GHz</w:t>
      </w:r>
      <w:r w:rsidR="00091CC5" w:rsidRPr="004A0496">
        <w:rPr>
          <w:rStyle w:val="StyleParaNumTimesNewRoman11ptChar"/>
          <w:szCs w:val="22"/>
          <w:lang w:eastAsia="x-none"/>
        </w:rPr>
        <w:t xml:space="preserve"> spectrum would be treated as an “enhanced factor” under its case-by-case review</w:t>
      </w:r>
      <w:r w:rsidR="00091CC5">
        <w:rPr>
          <w:rStyle w:val="StyleParaNumTimesNewRoman11ptChar"/>
          <w:szCs w:val="22"/>
          <w:lang w:eastAsia="x-none"/>
        </w:rPr>
        <w:t xml:space="preserve"> </w:t>
      </w:r>
      <w:r w:rsidR="0015153F">
        <w:rPr>
          <w:rStyle w:val="StyleParaNumTimesNewRoman11ptChar"/>
          <w:szCs w:val="22"/>
          <w:lang w:eastAsia="x-none"/>
        </w:rPr>
        <w:t xml:space="preserve">of license transfers </w:t>
      </w:r>
      <w:r w:rsidR="00091CC5" w:rsidRPr="007C28FE">
        <w:t>if post-transaction the acquiring entity would hold approximately one-third or more of the suitable and available spectrum below 1 GHz</w:t>
      </w:r>
      <w:r w:rsidR="00091CC5">
        <w:t>.</w:t>
      </w:r>
      <w:r w:rsidR="00091CC5" w:rsidRPr="007C28FE">
        <w:t xml:space="preserve"> </w:t>
      </w:r>
      <w:r w:rsidR="00091CC5">
        <w:t xml:space="preserve"> </w:t>
      </w:r>
      <w:r w:rsidR="00715456">
        <w:rPr>
          <w:kern w:val="0"/>
          <w:szCs w:val="22"/>
        </w:rPr>
        <w:t xml:space="preserve">In the proposed transaction, in addition to acquiring Plateau Wireless’s customers, </w:t>
      </w:r>
      <w:r w:rsidR="006A3CB1">
        <w:rPr>
          <w:kern w:val="0"/>
          <w:szCs w:val="22"/>
        </w:rPr>
        <w:t xml:space="preserve">network equipment and other assets, </w:t>
      </w:r>
      <w:r w:rsidR="00366F3E">
        <w:rPr>
          <w:kern w:val="0"/>
          <w:szCs w:val="22"/>
        </w:rPr>
        <w:t xml:space="preserve">AT&amp;T </w:t>
      </w:r>
      <w:r w:rsidR="00715456">
        <w:rPr>
          <w:kern w:val="0"/>
          <w:szCs w:val="22"/>
        </w:rPr>
        <w:t>would also increase its spectrum holdings</w:t>
      </w:r>
      <w:r w:rsidR="005A5A88">
        <w:rPr>
          <w:kern w:val="0"/>
          <w:szCs w:val="22"/>
        </w:rPr>
        <w:t>.  I</w:t>
      </w:r>
      <w:r w:rsidR="006A3CB1">
        <w:rPr>
          <w:kern w:val="0"/>
          <w:szCs w:val="22"/>
        </w:rPr>
        <w:t xml:space="preserve">n particular, </w:t>
      </w:r>
      <w:r w:rsidR="005A5A88">
        <w:rPr>
          <w:kern w:val="0"/>
          <w:szCs w:val="22"/>
        </w:rPr>
        <w:t>AT&amp;T would hold post-transaction more than one-third of the currently suitable and available below-1-GHz spectrum.</w:t>
      </w:r>
      <w:r w:rsidR="00715456">
        <w:rPr>
          <w:kern w:val="0"/>
          <w:szCs w:val="22"/>
        </w:rPr>
        <w:t xml:space="preserve">  </w:t>
      </w:r>
      <w:r w:rsidR="00196DBF">
        <w:rPr>
          <w:kern w:val="0"/>
          <w:szCs w:val="22"/>
        </w:rPr>
        <w:t>T</w:t>
      </w:r>
      <w:r w:rsidR="00196DBF" w:rsidRPr="00826ABF">
        <w:rPr>
          <w:color w:val="000000"/>
          <w:szCs w:val="22"/>
        </w:rPr>
        <w:t xml:space="preserve">he Applicants have </w:t>
      </w:r>
      <w:r w:rsidR="00196DBF" w:rsidRPr="006A7868">
        <w:t>facilitate</w:t>
      </w:r>
      <w:r w:rsidR="00196DBF">
        <w:t>d</w:t>
      </w:r>
      <w:r w:rsidR="00196DBF" w:rsidRPr="006A7868">
        <w:t xml:space="preserve"> our case-by-case review with a detailed demonstration regarding why </w:t>
      </w:r>
      <w:r w:rsidR="00E24847">
        <w:t xml:space="preserve">the </w:t>
      </w:r>
      <w:r w:rsidR="00196DBF" w:rsidRPr="006A7868">
        <w:t xml:space="preserve">public interest benefits outweigh </w:t>
      </w:r>
      <w:r w:rsidR="00E24847">
        <w:t xml:space="preserve">the </w:t>
      </w:r>
      <w:r w:rsidR="00196DBF" w:rsidRPr="006A7868">
        <w:t>harms</w:t>
      </w:r>
      <w:r w:rsidR="00196DBF" w:rsidRPr="00826ABF">
        <w:rPr>
          <w:color w:val="000000"/>
          <w:szCs w:val="22"/>
        </w:rPr>
        <w:t xml:space="preserve">.  </w:t>
      </w:r>
      <w:r w:rsidR="00F166D0">
        <w:t>After carefully evaluating</w:t>
      </w:r>
      <w:r w:rsidR="00F166D0" w:rsidRPr="006A5E52">
        <w:t xml:space="preserve"> the likely competitive effects of the proposed transaction, </w:t>
      </w:r>
      <w:r w:rsidR="00604EA5">
        <w:t xml:space="preserve">including the effects of increased market concentration and specifically </w:t>
      </w:r>
      <w:r w:rsidR="00F166D0">
        <w:t xml:space="preserve">the </w:t>
      </w:r>
      <w:r w:rsidR="00604EA5">
        <w:t xml:space="preserve">likely </w:t>
      </w:r>
      <w:r w:rsidR="00F166D0">
        <w:t xml:space="preserve">competitive </w:t>
      </w:r>
      <w:r w:rsidR="002F4F12">
        <w:t>effects</w:t>
      </w:r>
      <w:r w:rsidR="00F166D0">
        <w:t xml:space="preserve"> of AT&amp;T’s </w:t>
      </w:r>
      <w:r w:rsidR="00604EA5">
        <w:t xml:space="preserve">increased aggregation of </w:t>
      </w:r>
      <w:r w:rsidR="00F166D0">
        <w:t>below-1-GHz spectrum</w:t>
      </w:r>
      <w:r w:rsidR="008F07AF">
        <w:t xml:space="preserve"> in these markets</w:t>
      </w:r>
      <w:r w:rsidR="00604EA5">
        <w:t xml:space="preserve">, </w:t>
      </w:r>
      <w:r w:rsidR="00F166D0">
        <w:rPr>
          <w:kern w:val="0"/>
          <w:szCs w:val="22"/>
        </w:rPr>
        <w:t>we</w:t>
      </w:r>
      <w:r w:rsidR="00F166D0" w:rsidRPr="00756BF4">
        <w:rPr>
          <w:kern w:val="0"/>
          <w:szCs w:val="22"/>
        </w:rPr>
        <w:t xml:space="preserve"> </w:t>
      </w:r>
      <w:r w:rsidR="00D87DF9" w:rsidRPr="00756BF4">
        <w:rPr>
          <w:kern w:val="0"/>
          <w:szCs w:val="22"/>
        </w:rPr>
        <w:t xml:space="preserve">find that </w:t>
      </w:r>
      <w:r w:rsidR="00601EAA">
        <w:rPr>
          <w:kern w:val="0"/>
          <w:szCs w:val="22"/>
        </w:rPr>
        <w:t>the likelihood of competitive harm is low</w:t>
      </w:r>
      <w:r w:rsidR="00020633" w:rsidRPr="000502BD">
        <w:rPr>
          <w:kern w:val="0"/>
          <w:szCs w:val="22"/>
        </w:rPr>
        <w:t xml:space="preserve">.  </w:t>
      </w:r>
      <w:r w:rsidR="00BF0710">
        <w:rPr>
          <w:kern w:val="0"/>
          <w:szCs w:val="22"/>
        </w:rPr>
        <w:t xml:space="preserve">Further, </w:t>
      </w:r>
      <w:r w:rsidR="00601EAA">
        <w:rPr>
          <w:kern w:val="0"/>
          <w:szCs w:val="22"/>
        </w:rPr>
        <w:t>we find some public interest benefits are likely, such as increased network quality</w:t>
      </w:r>
      <w:r w:rsidR="00BF0710">
        <w:rPr>
          <w:kern w:val="0"/>
          <w:szCs w:val="22"/>
        </w:rPr>
        <w:t xml:space="preserve"> and roaming cost savings.  </w:t>
      </w:r>
      <w:r w:rsidR="00196DBF">
        <w:rPr>
          <w:color w:val="000000"/>
          <w:szCs w:val="22"/>
        </w:rPr>
        <w:t xml:space="preserve">Thus, </w:t>
      </w:r>
      <w:r w:rsidR="00196DBF">
        <w:rPr>
          <w:kern w:val="0"/>
          <w:szCs w:val="22"/>
        </w:rPr>
        <w:t xml:space="preserve">based on the record before us and our competitive review, we </w:t>
      </w:r>
      <w:r w:rsidR="00196DBF" w:rsidRPr="00A14E3A">
        <w:rPr>
          <w:kern w:val="0"/>
        </w:rPr>
        <w:t xml:space="preserve">find that </w:t>
      </w:r>
      <w:r w:rsidR="00196DBF" w:rsidRPr="00316A29">
        <w:t xml:space="preserve">the Applicants have demonstrated that the proposed </w:t>
      </w:r>
      <w:r w:rsidR="001A5DC2">
        <w:t xml:space="preserve">assignment </w:t>
      </w:r>
      <w:r w:rsidR="00196DBF">
        <w:t xml:space="preserve">of licenses and </w:t>
      </w:r>
      <w:r w:rsidR="00196DBF" w:rsidRPr="00316A29">
        <w:t>authorizations</w:t>
      </w:r>
      <w:r w:rsidR="00196DBF">
        <w:t xml:space="preserve"> </w:t>
      </w:r>
      <w:r w:rsidR="00196DBF" w:rsidRPr="00316A29">
        <w:t>w</w:t>
      </w:r>
      <w:r w:rsidR="00196DBF">
        <w:t>ould</w:t>
      </w:r>
      <w:r w:rsidR="00196DBF" w:rsidRPr="00316A29">
        <w:t xml:space="preserve"> serve the public interest, convenience, and necessity</w:t>
      </w:r>
      <w:r w:rsidR="00196DBF">
        <w:t>.</w:t>
      </w:r>
      <w:r w:rsidR="00E51D46">
        <w:t xml:space="preserve">  We therefore approve the proposed transaction for the reasons discussed below.</w:t>
      </w:r>
    </w:p>
    <w:p w:rsidR="002475A2" w:rsidRDefault="006831D7" w:rsidP="006831D7">
      <w:pPr>
        <w:pStyle w:val="Heading1"/>
      </w:pPr>
      <w:bookmarkStart w:id="37" w:name="_Toc403981888"/>
      <w:bookmarkStart w:id="38" w:name="_Toc403998340"/>
      <w:bookmarkStart w:id="39" w:name="_Toc403998427"/>
      <w:bookmarkStart w:id="40" w:name="_Toc404003253"/>
      <w:bookmarkStart w:id="41" w:name="_Toc404003531"/>
      <w:bookmarkStart w:id="42" w:name="_Toc404152152"/>
      <w:bookmarkStart w:id="43" w:name="_Toc405185082"/>
      <w:bookmarkStart w:id="44" w:name="_Toc405799101"/>
      <w:bookmarkStart w:id="45" w:name="_Toc405799328"/>
      <w:bookmarkStart w:id="46" w:name="_Toc405801043"/>
      <w:bookmarkStart w:id="47" w:name="_Toc406666069"/>
      <w:bookmarkStart w:id="48" w:name="_Toc406684857"/>
      <w:bookmarkStart w:id="49" w:name="_Toc408223990"/>
      <w:bookmarkStart w:id="50" w:name="_Toc408580988"/>
      <w:bookmarkStart w:id="51" w:name="_Toc410028411"/>
      <w:bookmarkStart w:id="52" w:name="_Toc410116635"/>
      <w:bookmarkStart w:id="53" w:name="_Toc410119617"/>
      <w:bookmarkStart w:id="54" w:name="_Toc410121758"/>
      <w:bookmarkStart w:id="55" w:name="_Toc410339617"/>
      <w:bookmarkStart w:id="56" w:name="_Toc411607346"/>
      <w:bookmarkStart w:id="57" w:name="_Toc412112236"/>
      <w:bookmarkStart w:id="58" w:name="_Toc412557579"/>
      <w:bookmarkStart w:id="59" w:name="_Toc412795154"/>
      <w:bookmarkStart w:id="60" w:name="_Toc412804064"/>
      <w:bookmarkStart w:id="61" w:name="_Toc413055724"/>
      <w:bookmarkStart w:id="62" w:name="_Toc413162323"/>
      <w:bookmarkStart w:id="63" w:name="_Toc413246195"/>
      <w:bookmarkStart w:id="64" w:name="_Toc413392956"/>
      <w:bookmarkStart w:id="65" w:name="_Toc413687479"/>
      <w:bookmarkStart w:id="66" w:name="_Toc414366743"/>
      <w:bookmarkStart w:id="67" w:name="_Toc414537572"/>
      <w:bookmarkStart w:id="68" w:name="_Toc415215758"/>
      <w:bookmarkStart w:id="69" w:name="_Toc415573183"/>
      <w:bookmarkStart w:id="70" w:name="_Toc418681987"/>
      <w:r>
        <w:t>background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6831D7" w:rsidRDefault="006831D7" w:rsidP="00991CE3">
      <w:pPr>
        <w:pStyle w:val="Heading2"/>
      </w:pPr>
      <w:bookmarkStart w:id="71" w:name="_Toc403981889"/>
      <w:bookmarkStart w:id="72" w:name="_Toc403998341"/>
      <w:bookmarkStart w:id="73" w:name="_Toc403998428"/>
      <w:bookmarkStart w:id="74" w:name="_Toc404003254"/>
      <w:bookmarkStart w:id="75" w:name="_Toc404003532"/>
      <w:bookmarkStart w:id="76" w:name="_Toc404152153"/>
      <w:bookmarkStart w:id="77" w:name="_Toc405185083"/>
      <w:bookmarkStart w:id="78" w:name="_Toc405799102"/>
      <w:bookmarkStart w:id="79" w:name="_Toc405799329"/>
      <w:bookmarkStart w:id="80" w:name="_Toc405801044"/>
      <w:bookmarkStart w:id="81" w:name="_Toc406666070"/>
      <w:bookmarkStart w:id="82" w:name="_Toc406684858"/>
      <w:bookmarkStart w:id="83" w:name="_Toc408223991"/>
      <w:bookmarkStart w:id="84" w:name="_Toc408580989"/>
      <w:bookmarkStart w:id="85" w:name="_Toc410028412"/>
      <w:bookmarkStart w:id="86" w:name="_Toc410116636"/>
      <w:bookmarkStart w:id="87" w:name="_Toc410119618"/>
      <w:bookmarkStart w:id="88" w:name="_Toc410121759"/>
      <w:bookmarkStart w:id="89" w:name="_Toc410339618"/>
      <w:bookmarkStart w:id="90" w:name="_Toc411607347"/>
      <w:bookmarkStart w:id="91" w:name="_Toc412112237"/>
      <w:bookmarkStart w:id="92" w:name="_Toc412557580"/>
      <w:bookmarkStart w:id="93" w:name="_Toc412795155"/>
      <w:bookmarkStart w:id="94" w:name="_Toc412804065"/>
      <w:bookmarkStart w:id="95" w:name="_Toc413055725"/>
      <w:bookmarkStart w:id="96" w:name="_Toc413162324"/>
      <w:bookmarkStart w:id="97" w:name="_Toc413246196"/>
      <w:bookmarkStart w:id="98" w:name="_Toc413392957"/>
      <w:bookmarkStart w:id="99" w:name="_Toc413687480"/>
      <w:bookmarkStart w:id="100" w:name="_Toc414366744"/>
      <w:bookmarkStart w:id="101" w:name="_Toc414537573"/>
      <w:bookmarkStart w:id="102" w:name="_Toc415215759"/>
      <w:bookmarkStart w:id="103" w:name="_Toc415573184"/>
      <w:bookmarkStart w:id="104" w:name="_Toc418681988"/>
      <w:r>
        <w:t>Description of the Applicants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790233" w:rsidRPr="006479F7" w:rsidRDefault="000F2440" w:rsidP="008F141C">
      <w:pPr>
        <w:pStyle w:val="ParaNum"/>
      </w:pPr>
      <w:r w:rsidRPr="005211DB">
        <w:t>AT&amp;T</w:t>
      </w:r>
      <w:r>
        <w:t xml:space="preserve"> Inc. (t</w:t>
      </w:r>
      <w:r w:rsidR="00BA495B">
        <w:t xml:space="preserve">ogether with its subsidiaries, </w:t>
      </w:r>
      <w:r>
        <w:t>“AT&amp;T”)</w:t>
      </w:r>
      <w:r w:rsidRPr="005211DB">
        <w:t>, headquartered in Dallas, Texas, is a communications holding company that ranks among the leading providers of telecommunications services in the United States.</w:t>
      </w:r>
      <w:r w:rsidRPr="005211DB">
        <w:rPr>
          <w:rStyle w:val="FootnoteReference"/>
        </w:rPr>
        <w:footnoteReference w:id="2"/>
      </w:r>
      <w:r>
        <w:t xml:space="preserve">  </w:t>
      </w:r>
      <w:r w:rsidRPr="005211DB">
        <w:t xml:space="preserve">As of </w:t>
      </w:r>
      <w:r>
        <w:t>December 31, 2014</w:t>
      </w:r>
      <w:r w:rsidRPr="005211DB">
        <w:t xml:space="preserve">, AT&amp;T reported </w:t>
      </w:r>
      <w:r>
        <w:t>more than 120 million wireless subscribers and approximately $74</w:t>
      </w:r>
      <w:r w:rsidRPr="005211DB">
        <w:t xml:space="preserve"> billion in</w:t>
      </w:r>
      <w:r>
        <w:t xml:space="preserve"> wireless service</w:t>
      </w:r>
      <w:r w:rsidRPr="005211DB">
        <w:t xml:space="preserve"> </w:t>
      </w:r>
      <w:r w:rsidR="007D7DD1">
        <w:t xml:space="preserve">and equipment </w:t>
      </w:r>
      <w:r w:rsidRPr="005211DB">
        <w:t>revenues</w:t>
      </w:r>
      <w:r>
        <w:t>, which</w:t>
      </w:r>
      <w:r w:rsidRPr="005211DB">
        <w:t xml:space="preserve"> accounted for approximately 5</w:t>
      </w:r>
      <w:r>
        <w:t>6</w:t>
      </w:r>
      <w:r w:rsidRPr="005211DB">
        <w:t xml:space="preserve"> percent</w:t>
      </w:r>
      <w:r>
        <w:t xml:space="preserve"> of AT&amp;T’s total revenues</w:t>
      </w:r>
      <w:r w:rsidRPr="005211DB">
        <w:t>.</w:t>
      </w:r>
      <w:r w:rsidRPr="005211DB">
        <w:rPr>
          <w:rStyle w:val="FootnoteReference"/>
        </w:rPr>
        <w:footnoteReference w:id="3"/>
      </w:r>
      <w:r>
        <w:t xml:space="preserve">  </w:t>
      </w:r>
      <w:r w:rsidR="00756BF4" w:rsidRPr="005211DB">
        <w:t xml:space="preserve">AT&amp;T’s nationwide </w:t>
      </w:r>
      <w:r w:rsidR="00756BF4">
        <w:t xml:space="preserve">wireless </w:t>
      </w:r>
      <w:r w:rsidR="00756BF4" w:rsidRPr="005211DB">
        <w:t>network currently covers approxima</w:t>
      </w:r>
      <w:r w:rsidR="00756BF4">
        <w:t xml:space="preserve">tely </w:t>
      </w:r>
      <w:r w:rsidR="000802DB">
        <w:t xml:space="preserve">306 </w:t>
      </w:r>
      <w:r w:rsidR="00756BF4">
        <w:t>million people, or 99.</w:t>
      </w:r>
      <w:r w:rsidR="000802DB">
        <w:t>2</w:t>
      </w:r>
      <w:r w:rsidR="000802DB" w:rsidRPr="005211DB">
        <w:t xml:space="preserve"> </w:t>
      </w:r>
      <w:r w:rsidR="00756BF4" w:rsidRPr="005211DB">
        <w:t>percent of the population of the United States</w:t>
      </w:r>
      <w:r w:rsidR="00756BF4" w:rsidRPr="00057086">
        <w:t>.</w:t>
      </w:r>
      <w:r w:rsidR="00756BF4" w:rsidRPr="00057086">
        <w:rPr>
          <w:rStyle w:val="FootnoteReference"/>
        </w:rPr>
        <w:footnoteReference w:id="4"/>
      </w:r>
      <w:r w:rsidR="003F1C73">
        <w:t xml:space="preserve">  </w:t>
      </w:r>
      <w:r w:rsidR="00903109" w:rsidRPr="008F141C">
        <w:rPr>
          <w:kern w:val="0"/>
          <w:szCs w:val="22"/>
        </w:rPr>
        <w:t>E.N.M.R. Telephone Cooperative (“E.N.M.R.”), Plateau Telecommunications, Inc. (“Plateau Telecommunications”), New Mexico RSA 4 East Limited Partnership, and Texas RSA 3 Limited Partnership (together with E.N.M.R., Plateau Telecommunications, and New Mexico RSA 4 East Limited Partnership, “Plateau Wireless,” and together with AT&amp;T, the “Applicants”)</w:t>
      </w:r>
      <w:r w:rsidR="008A5780" w:rsidRPr="008F141C">
        <w:rPr>
          <w:szCs w:val="22"/>
        </w:rPr>
        <w:t xml:space="preserve"> </w:t>
      </w:r>
      <w:r w:rsidR="00790233" w:rsidRPr="008F141C">
        <w:rPr>
          <w:szCs w:val="22"/>
        </w:rPr>
        <w:t>offer</w:t>
      </w:r>
      <w:r w:rsidR="008A5780" w:rsidRPr="008F141C">
        <w:rPr>
          <w:szCs w:val="22"/>
        </w:rPr>
        <w:t>s</w:t>
      </w:r>
      <w:r w:rsidR="00790233" w:rsidRPr="008F141C">
        <w:rPr>
          <w:szCs w:val="22"/>
        </w:rPr>
        <w:t xml:space="preserve"> wireline and wireless phone, cable television, and high-speed Internet services to </w:t>
      </w:r>
      <w:r w:rsidR="00964ABE" w:rsidRPr="008F141C">
        <w:rPr>
          <w:szCs w:val="22"/>
        </w:rPr>
        <w:t xml:space="preserve">its </w:t>
      </w:r>
      <w:r w:rsidR="00790233" w:rsidRPr="008F141C">
        <w:rPr>
          <w:szCs w:val="22"/>
        </w:rPr>
        <w:t>customers in parts of eastern New Mexico and western Texas.</w:t>
      </w:r>
      <w:r w:rsidR="00790233" w:rsidRPr="00894362">
        <w:rPr>
          <w:rStyle w:val="FootnoteReference"/>
          <w:szCs w:val="22"/>
        </w:rPr>
        <w:footnoteReference w:id="5"/>
      </w:r>
    </w:p>
    <w:p w:rsidR="006831D7" w:rsidRDefault="006831D7" w:rsidP="007A5852">
      <w:pPr>
        <w:pStyle w:val="Heading2"/>
        <w:widowControl/>
      </w:pPr>
      <w:bookmarkStart w:id="105" w:name="_Toc403981892"/>
      <w:bookmarkStart w:id="106" w:name="_Toc403998344"/>
      <w:bookmarkStart w:id="107" w:name="_Toc403998431"/>
      <w:bookmarkStart w:id="108" w:name="_Toc404003255"/>
      <w:bookmarkStart w:id="109" w:name="_Toc404003535"/>
      <w:bookmarkStart w:id="110" w:name="_Toc404152156"/>
      <w:bookmarkStart w:id="111" w:name="_Toc405185084"/>
      <w:bookmarkStart w:id="112" w:name="_Toc405799103"/>
      <w:bookmarkStart w:id="113" w:name="_Toc405799330"/>
      <w:bookmarkStart w:id="114" w:name="_Toc405801045"/>
      <w:bookmarkStart w:id="115" w:name="_Toc406666071"/>
      <w:bookmarkStart w:id="116" w:name="_Toc406684859"/>
      <w:bookmarkStart w:id="117" w:name="_Toc408223992"/>
      <w:bookmarkStart w:id="118" w:name="_Toc408580990"/>
      <w:bookmarkStart w:id="119" w:name="_Toc410028413"/>
      <w:bookmarkStart w:id="120" w:name="_Toc410116637"/>
      <w:bookmarkStart w:id="121" w:name="_Toc410119619"/>
      <w:bookmarkStart w:id="122" w:name="_Toc410121760"/>
      <w:bookmarkStart w:id="123" w:name="_Toc410339619"/>
      <w:bookmarkStart w:id="124" w:name="_Toc411607348"/>
      <w:bookmarkStart w:id="125" w:name="_Toc412112238"/>
      <w:bookmarkStart w:id="126" w:name="_Toc412557581"/>
      <w:bookmarkStart w:id="127" w:name="_Toc412795156"/>
      <w:bookmarkStart w:id="128" w:name="_Toc412804066"/>
      <w:bookmarkStart w:id="129" w:name="_Toc413055726"/>
      <w:bookmarkStart w:id="130" w:name="_Toc413162325"/>
      <w:bookmarkStart w:id="131" w:name="_Toc413246197"/>
      <w:bookmarkStart w:id="132" w:name="_Toc413392958"/>
      <w:bookmarkStart w:id="133" w:name="_Toc413687481"/>
      <w:bookmarkStart w:id="134" w:name="_Toc414366745"/>
      <w:bookmarkStart w:id="135" w:name="_Toc414537574"/>
      <w:bookmarkStart w:id="136" w:name="_Toc415215760"/>
      <w:bookmarkStart w:id="137" w:name="_Toc415573185"/>
      <w:bookmarkStart w:id="138" w:name="_Toc418681989"/>
      <w:r>
        <w:t>Description of the Transaction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6831D7" w:rsidRDefault="00A419F6" w:rsidP="00A177C9">
      <w:pPr>
        <w:pStyle w:val="ParaNum"/>
        <w:widowControl/>
      </w:pPr>
      <w:r>
        <w:t xml:space="preserve">On July 15, 2014, </w:t>
      </w:r>
      <w:r w:rsidR="00964ABE">
        <w:t xml:space="preserve">AT&amp;T </w:t>
      </w:r>
      <w:r w:rsidR="00903109">
        <w:t xml:space="preserve">and Plateau Wireless </w:t>
      </w:r>
      <w:r w:rsidR="00FE235E">
        <w:t>filed the Applications pursuant to section</w:t>
      </w:r>
      <w:r w:rsidR="00C93DA1">
        <w:t>s 214 and</w:t>
      </w:r>
      <w:r w:rsidR="00FE235E">
        <w:t xml:space="preserve"> 310(d) of the Communications Act of 1934, as amended (the “Act”),</w:t>
      </w:r>
      <w:r w:rsidR="00E00A2E">
        <w:rPr>
          <w:rStyle w:val="FootnoteReference"/>
        </w:rPr>
        <w:footnoteReference w:id="6"/>
      </w:r>
      <w:r w:rsidR="00FE235E">
        <w:t xml:space="preserve"> seeking Commission </w:t>
      </w:r>
      <w:r w:rsidR="00FE235E">
        <w:lastRenderedPageBreak/>
        <w:t>consent to assign three A</w:t>
      </w:r>
      <w:r w:rsidR="00BF0710">
        <w:t>dvanced Wireless Services (“A</w:t>
      </w:r>
      <w:r w:rsidR="00FE235E">
        <w:t>WS-1</w:t>
      </w:r>
      <w:r w:rsidR="00BF0710">
        <w:t>”)</w:t>
      </w:r>
      <w:r w:rsidR="00FE235E">
        <w:t xml:space="preserve"> licenses, three cellular licenses, two Lowe</w:t>
      </w:r>
      <w:r w:rsidR="00386CED">
        <w:t xml:space="preserve">r 700 MHz C Block licenses, </w:t>
      </w:r>
      <w:r w:rsidR="00FE235E">
        <w:t>23 common carrier fixed point-to-point microwave licenses</w:t>
      </w:r>
      <w:r w:rsidR="00386CED">
        <w:t xml:space="preserve">, </w:t>
      </w:r>
      <w:r w:rsidR="00594671">
        <w:t>and</w:t>
      </w:r>
      <w:r w:rsidR="00F87D14">
        <w:t xml:space="preserve"> </w:t>
      </w:r>
      <w:r w:rsidR="00386CED">
        <w:t>three international 214 authorizations</w:t>
      </w:r>
      <w:r w:rsidR="00FE235E">
        <w:t xml:space="preserve"> to an indirect, wholly-owned subsidiary of AT&amp;T.</w:t>
      </w:r>
      <w:r w:rsidR="00386CED">
        <w:rPr>
          <w:rStyle w:val="FootnoteReference"/>
        </w:rPr>
        <w:footnoteReference w:id="7"/>
      </w:r>
      <w:r w:rsidR="00EC185F">
        <w:t xml:space="preserve">  </w:t>
      </w:r>
      <w:r w:rsidR="003F1C73">
        <w:t>In the instant transaction, AT&amp;T proposes to acquire 32</w:t>
      </w:r>
      <w:r w:rsidR="007E1D27">
        <w:t xml:space="preserve"> to </w:t>
      </w:r>
      <w:r w:rsidR="003F1C73">
        <w:t xml:space="preserve">57 megahertz of spectrum in </w:t>
      </w:r>
      <w:r w:rsidR="00D371A4">
        <w:t xml:space="preserve">24 counties covering </w:t>
      </w:r>
      <w:r w:rsidR="003F1C73">
        <w:t xml:space="preserve">three </w:t>
      </w:r>
      <w:r w:rsidR="0015153F">
        <w:t xml:space="preserve">rural </w:t>
      </w:r>
      <w:r w:rsidR="00D371A4">
        <w:t>Cellular Market Areas (“</w:t>
      </w:r>
      <w:r w:rsidR="003F1C73">
        <w:t>CMAs</w:t>
      </w:r>
      <w:r w:rsidR="00D371A4">
        <w:t>”)</w:t>
      </w:r>
      <w:r w:rsidR="00BC5E55">
        <w:t xml:space="preserve"> </w:t>
      </w:r>
      <w:r w:rsidR="0015153F">
        <w:t>in parts of New Mexico and Texas</w:t>
      </w:r>
      <w:r w:rsidR="003F1C73">
        <w:t>.</w:t>
      </w:r>
      <w:r w:rsidR="003F1C73">
        <w:rPr>
          <w:rStyle w:val="FootnoteReference"/>
        </w:rPr>
        <w:footnoteReference w:id="8"/>
      </w:r>
      <w:r w:rsidR="003F1C73">
        <w:t xml:space="preserve">  </w:t>
      </w:r>
      <w:r w:rsidR="003F1C73" w:rsidRPr="00A177C9">
        <w:rPr>
          <w:szCs w:val="22"/>
        </w:rPr>
        <w:t xml:space="preserve">Post-transaction, AT&amp;T would hold </w:t>
      </w:r>
      <w:r w:rsidR="00144593">
        <w:rPr>
          <w:szCs w:val="22"/>
        </w:rPr>
        <w:t xml:space="preserve">from </w:t>
      </w:r>
      <w:r w:rsidR="003F1C73" w:rsidRPr="00A177C9">
        <w:rPr>
          <w:szCs w:val="22"/>
        </w:rPr>
        <w:t xml:space="preserve">135 to 173 megahertz of spectrum in total, and </w:t>
      </w:r>
      <w:r w:rsidR="00144593">
        <w:rPr>
          <w:szCs w:val="22"/>
        </w:rPr>
        <w:t xml:space="preserve">from </w:t>
      </w:r>
      <w:r w:rsidR="003F1C73" w:rsidRPr="00A177C9">
        <w:rPr>
          <w:szCs w:val="22"/>
        </w:rPr>
        <w:t xml:space="preserve">18 to 55 megahertz of </w:t>
      </w:r>
      <w:r w:rsidR="0032649E">
        <w:t>below-1-GHz</w:t>
      </w:r>
      <w:r w:rsidR="003F1C73" w:rsidRPr="00A177C9">
        <w:rPr>
          <w:szCs w:val="22"/>
        </w:rPr>
        <w:t xml:space="preserve"> spectrum</w:t>
      </w:r>
      <w:r w:rsidR="00144593">
        <w:rPr>
          <w:szCs w:val="22"/>
        </w:rPr>
        <w:t xml:space="preserve"> (varying by county)</w:t>
      </w:r>
      <w:r w:rsidR="003F1C73">
        <w:t>.</w:t>
      </w:r>
      <w:r w:rsidR="003F1C73">
        <w:rPr>
          <w:rStyle w:val="FootnoteReference"/>
        </w:rPr>
        <w:footnoteReference w:id="9"/>
      </w:r>
      <w:r w:rsidR="00132ABD">
        <w:t xml:space="preserve"> </w:t>
      </w:r>
      <w:r w:rsidR="00245983">
        <w:t xml:space="preserve"> </w:t>
      </w:r>
      <w:r w:rsidR="00EC185F">
        <w:t xml:space="preserve">In addition, Plateau </w:t>
      </w:r>
      <w:r w:rsidR="00386CED">
        <w:t>Wireless’s approximately 40,000 subscribers, along with network equipment and other assets, would be transferred to AT&amp;T.</w:t>
      </w:r>
      <w:r w:rsidR="00765A2E">
        <w:rPr>
          <w:rStyle w:val="FootnoteReference"/>
        </w:rPr>
        <w:footnoteReference w:id="10"/>
      </w:r>
    </w:p>
    <w:p w:rsidR="00765A2E" w:rsidRPr="006831D7" w:rsidRDefault="00456500" w:rsidP="00A419F6">
      <w:pPr>
        <w:pStyle w:val="ParaNum"/>
      </w:pPr>
      <w:r>
        <w:t>AT&amp;T asserts that, as a result of the proposed transaction, it w</w:t>
      </w:r>
      <w:r w:rsidR="00194C51">
        <w:t>ould</w:t>
      </w:r>
      <w:r>
        <w:t xml:space="preserve"> complete Plateau Wireless’s HSPA+ deployment and overlay LTE technology at a “much faster pace than Plateau Wireless would be able to achieve</w:t>
      </w:r>
      <w:r w:rsidR="006851AA">
        <w:t>.</w:t>
      </w:r>
      <w:r>
        <w:t>”</w:t>
      </w:r>
      <w:r w:rsidR="00B1080B">
        <w:rPr>
          <w:rStyle w:val="FootnoteReference"/>
        </w:rPr>
        <w:footnoteReference w:id="11"/>
      </w:r>
      <w:r w:rsidR="004D1D45">
        <w:t xml:space="preserve">  I</w:t>
      </w:r>
      <w:r>
        <w:t xml:space="preserve">n the </w:t>
      </w:r>
      <w:r w:rsidR="008B425A">
        <w:t>areas where AT&amp;T</w:t>
      </w:r>
      <w:r w:rsidR="00E00A2E">
        <w:t>’s</w:t>
      </w:r>
      <w:r w:rsidR="008B425A">
        <w:t xml:space="preserve"> and Plateau Wireless’</w:t>
      </w:r>
      <w:r w:rsidR="00B1080B">
        <w:t xml:space="preserve">s networks overlap, AT&amp;T </w:t>
      </w:r>
      <w:r w:rsidR="008B425A">
        <w:t>claims that it “will integrate complementary cell sites and select other equipment, resulting in a denser network with improved coverage and capacity.”</w:t>
      </w:r>
      <w:r w:rsidR="00B1080B">
        <w:rPr>
          <w:rStyle w:val="FootnoteReference"/>
        </w:rPr>
        <w:footnoteReference w:id="12"/>
      </w:r>
      <w:r>
        <w:t xml:space="preserve"> </w:t>
      </w:r>
      <w:r w:rsidR="00B1080B">
        <w:t xml:space="preserve"> </w:t>
      </w:r>
      <w:r w:rsidR="00132ABD">
        <w:t xml:space="preserve">AT&amp;T further asserts that greater cell site density </w:t>
      </w:r>
      <w:r w:rsidR="00964ABE">
        <w:t>w</w:t>
      </w:r>
      <w:r w:rsidR="00194C51">
        <w:t>ould</w:t>
      </w:r>
      <w:r w:rsidR="00964ABE">
        <w:t xml:space="preserve"> </w:t>
      </w:r>
      <w:r w:rsidR="00132ABD">
        <w:t>enable faster data speeds and permit better signal penetration of homes and other buildings.</w:t>
      </w:r>
      <w:r w:rsidR="00132ABD">
        <w:rPr>
          <w:rStyle w:val="FootnoteReference"/>
        </w:rPr>
        <w:footnoteReference w:id="13"/>
      </w:r>
      <w:r w:rsidR="00132ABD">
        <w:t xml:space="preserve">  </w:t>
      </w:r>
      <w:r w:rsidR="00B1080B">
        <w:t>According to AT&amp;T, customers of both companies w</w:t>
      </w:r>
      <w:r w:rsidR="00194C51">
        <w:t>ould</w:t>
      </w:r>
      <w:r w:rsidR="00B1080B">
        <w:t xml:space="preserve"> enjoy a better experience, particularly in areas where they may be experiencing dropped calls, dead spots, and coverage gaps.</w:t>
      </w:r>
      <w:r w:rsidR="00B1080B">
        <w:rPr>
          <w:rStyle w:val="FootnoteReference"/>
        </w:rPr>
        <w:footnoteReference w:id="14"/>
      </w:r>
      <w:r w:rsidR="00B1080B">
        <w:t xml:space="preserve">  </w:t>
      </w:r>
    </w:p>
    <w:p w:rsidR="006831D7" w:rsidRDefault="006831D7" w:rsidP="006831D7">
      <w:pPr>
        <w:pStyle w:val="Heading2"/>
      </w:pPr>
      <w:bookmarkStart w:id="139" w:name="_Toc403981893"/>
      <w:bookmarkStart w:id="140" w:name="_Toc403998345"/>
      <w:bookmarkStart w:id="141" w:name="_Toc403998432"/>
      <w:bookmarkStart w:id="142" w:name="_Toc404003256"/>
      <w:bookmarkStart w:id="143" w:name="_Toc404003536"/>
      <w:bookmarkStart w:id="144" w:name="_Toc404152157"/>
      <w:bookmarkStart w:id="145" w:name="_Toc405185085"/>
      <w:bookmarkStart w:id="146" w:name="_Toc405799104"/>
      <w:bookmarkStart w:id="147" w:name="_Toc405799331"/>
      <w:bookmarkStart w:id="148" w:name="_Toc405801046"/>
      <w:bookmarkStart w:id="149" w:name="_Toc406666072"/>
      <w:bookmarkStart w:id="150" w:name="_Toc406684860"/>
      <w:bookmarkStart w:id="151" w:name="_Toc408223993"/>
      <w:bookmarkStart w:id="152" w:name="_Toc408580991"/>
      <w:bookmarkStart w:id="153" w:name="_Toc410028414"/>
      <w:bookmarkStart w:id="154" w:name="_Toc410116638"/>
      <w:bookmarkStart w:id="155" w:name="_Toc410119620"/>
      <w:bookmarkStart w:id="156" w:name="_Toc410121761"/>
      <w:bookmarkStart w:id="157" w:name="_Toc410339620"/>
      <w:bookmarkStart w:id="158" w:name="_Toc411607349"/>
      <w:bookmarkStart w:id="159" w:name="_Toc412112239"/>
      <w:bookmarkStart w:id="160" w:name="_Toc412557582"/>
      <w:bookmarkStart w:id="161" w:name="_Toc412795157"/>
      <w:bookmarkStart w:id="162" w:name="_Toc412804067"/>
      <w:bookmarkStart w:id="163" w:name="_Toc413055727"/>
      <w:bookmarkStart w:id="164" w:name="_Toc413162326"/>
      <w:bookmarkStart w:id="165" w:name="_Toc413246198"/>
      <w:bookmarkStart w:id="166" w:name="_Toc413392959"/>
      <w:bookmarkStart w:id="167" w:name="_Toc413687482"/>
      <w:bookmarkStart w:id="168" w:name="_Toc414366746"/>
      <w:bookmarkStart w:id="169" w:name="_Toc414537575"/>
      <w:bookmarkStart w:id="170" w:name="_Toc415215761"/>
      <w:bookmarkStart w:id="171" w:name="_Toc415573186"/>
      <w:bookmarkStart w:id="172" w:name="_Toc418681990"/>
      <w:r>
        <w:t>Transaction Review Process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6831D7" w:rsidRDefault="006566F5" w:rsidP="006566F5">
      <w:pPr>
        <w:pStyle w:val="ParaNum"/>
      </w:pPr>
      <w:r>
        <w:t xml:space="preserve">On July 15, 2014, the Applicants </w:t>
      </w:r>
      <w:r w:rsidR="00F35C54">
        <w:t>filed the Applications.  On September 8</w:t>
      </w:r>
      <w:r>
        <w:t>,</w:t>
      </w:r>
      <w:r w:rsidR="00F35C54">
        <w:t xml:space="preserve"> 2014,</w:t>
      </w:r>
      <w:r>
        <w:t xml:space="preserve"> the Commission released a public notice</w:t>
      </w:r>
      <w:r w:rsidR="001E2824">
        <w:t>, which announced</w:t>
      </w:r>
      <w:r>
        <w:t xml:space="preserve"> the acceptance</w:t>
      </w:r>
      <w:r w:rsidR="00682A17">
        <w:t xml:space="preserve"> of the Applications for filing and establi</w:t>
      </w:r>
      <w:r w:rsidR="001E2824">
        <w:t>shed</w:t>
      </w:r>
      <w:r w:rsidR="00F35C54">
        <w:t xml:space="preserve"> a pleading cycle.</w:t>
      </w:r>
      <w:r w:rsidR="00A44141">
        <w:rPr>
          <w:rStyle w:val="FootnoteReference"/>
        </w:rPr>
        <w:footnoteReference w:id="15"/>
      </w:r>
      <w:r w:rsidR="00F35C54">
        <w:t xml:space="preserve">  </w:t>
      </w:r>
      <w:r w:rsidR="003C62A9">
        <w:t xml:space="preserve">The </w:t>
      </w:r>
      <w:r w:rsidR="001E2824" w:rsidRPr="001E2824">
        <w:rPr>
          <w:i/>
        </w:rPr>
        <w:t>Accepted for Filing</w:t>
      </w:r>
      <w:r w:rsidR="001E2824">
        <w:t xml:space="preserve"> </w:t>
      </w:r>
      <w:r w:rsidR="003C62A9" w:rsidRPr="003C62A9">
        <w:rPr>
          <w:i/>
        </w:rPr>
        <w:t>Public Notice</w:t>
      </w:r>
      <w:r w:rsidR="003C62A9">
        <w:t xml:space="preserve"> explained that the Wireless Telecommunications Bureau (“WTB” or “the Bureau”) would treat </w:t>
      </w:r>
      <w:r w:rsidR="001F23C8">
        <w:t>the</w:t>
      </w:r>
      <w:r w:rsidR="003C62A9">
        <w:t xml:space="preserve"> proposed increase in </w:t>
      </w:r>
      <w:r w:rsidR="0032649E">
        <w:t>below-1-GHz</w:t>
      </w:r>
      <w:r w:rsidR="003C62A9">
        <w:t xml:space="preserve"> spectrum holdings as an “enhanced factor” </w:t>
      </w:r>
      <w:r w:rsidR="001F23C8">
        <w:t xml:space="preserve">in its review </w:t>
      </w:r>
      <w:r w:rsidR="003C62A9">
        <w:t xml:space="preserve">pursuant to the </w:t>
      </w:r>
      <w:r w:rsidR="003C62A9" w:rsidRPr="003C62A9">
        <w:rPr>
          <w:i/>
        </w:rPr>
        <w:t>Mobile Spectrum Holdings Report and Order</w:t>
      </w:r>
      <w:r w:rsidR="003C62A9">
        <w:t>.</w:t>
      </w:r>
      <w:r w:rsidR="00D97728">
        <w:rPr>
          <w:rStyle w:val="FootnoteReference"/>
        </w:rPr>
        <w:footnoteReference w:id="16"/>
      </w:r>
      <w:r w:rsidR="003C62A9">
        <w:t xml:space="preserve">  </w:t>
      </w:r>
      <w:r w:rsidR="00F35C54">
        <w:t>On October 2, 2014</w:t>
      </w:r>
      <w:r w:rsidR="007F4235">
        <w:t>, the Bureau</w:t>
      </w:r>
      <w:r w:rsidR="00682A17">
        <w:t xml:space="preserve"> extended th</w:t>
      </w:r>
      <w:r w:rsidR="004D1D45">
        <w:t>e</w:t>
      </w:r>
      <w:r w:rsidR="00682A17">
        <w:t xml:space="preserve"> pleadin</w:t>
      </w:r>
      <w:r w:rsidR="00F35C54">
        <w:t>g cycle, with petitions due October 17, 2014, o</w:t>
      </w:r>
      <w:r w:rsidR="00682A17">
        <w:t>pposition</w:t>
      </w:r>
      <w:r w:rsidR="00F35C54">
        <w:t>s due October 27, 2014, and replies due November 3, 2014</w:t>
      </w:r>
      <w:r w:rsidR="00682A17">
        <w:t>.</w:t>
      </w:r>
      <w:r w:rsidR="00A44141">
        <w:rPr>
          <w:rStyle w:val="FootnoteReference"/>
        </w:rPr>
        <w:footnoteReference w:id="17"/>
      </w:r>
      <w:r w:rsidR="00682A17">
        <w:t xml:space="preserve">  In response to the </w:t>
      </w:r>
      <w:r w:rsidR="001E2824" w:rsidRPr="001E2824">
        <w:rPr>
          <w:i/>
        </w:rPr>
        <w:t>Accepted for Filing</w:t>
      </w:r>
      <w:r w:rsidR="001E2824">
        <w:t xml:space="preserve"> </w:t>
      </w:r>
      <w:r w:rsidR="00682A17" w:rsidRPr="001B5DF3">
        <w:rPr>
          <w:i/>
        </w:rPr>
        <w:t>Public Notice</w:t>
      </w:r>
      <w:r w:rsidR="00682A17">
        <w:t>, the Commission rec</w:t>
      </w:r>
      <w:r w:rsidR="00D0394E">
        <w:t xml:space="preserve">eived </w:t>
      </w:r>
      <w:r w:rsidR="0032574B">
        <w:t>a</w:t>
      </w:r>
      <w:r w:rsidR="00D0394E">
        <w:t xml:space="preserve"> Peti</w:t>
      </w:r>
      <w:r w:rsidR="00733172">
        <w:t>tion for</w:t>
      </w:r>
      <w:r w:rsidR="00682A17">
        <w:t xml:space="preserve"> Condit</w:t>
      </w:r>
      <w:r w:rsidR="00D0394E">
        <w:t>ion</w:t>
      </w:r>
      <w:r w:rsidR="00733172">
        <w:t>s</w:t>
      </w:r>
      <w:r w:rsidR="0032574B">
        <w:t xml:space="preserve"> filed</w:t>
      </w:r>
      <w:r w:rsidR="00351AF4">
        <w:t xml:space="preserve"> by T-Mobile</w:t>
      </w:r>
      <w:r w:rsidR="0032574B">
        <w:t xml:space="preserve"> USA, Inc. (“T-Mobile”)</w:t>
      </w:r>
      <w:r w:rsidR="00351AF4">
        <w:t>,</w:t>
      </w:r>
      <w:r w:rsidR="0032574B">
        <w:rPr>
          <w:rStyle w:val="FootnoteReference"/>
        </w:rPr>
        <w:footnoteReference w:id="18"/>
      </w:r>
      <w:r w:rsidR="00351AF4">
        <w:t xml:space="preserve"> an AT&amp;T </w:t>
      </w:r>
      <w:r w:rsidR="00D0394E">
        <w:t>Opposi</w:t>
      </w:r>
      <w:r w:rsidR="00733172">
        <w:t xml:space="preserve">tion to the </w:t>
      </w:r>
      <w:r w:rsidR="00351AF4">
        <w:t xml:space="preserve">T-Mobile </w:t>
      </w:r>
      <w:r w:rsidR="00733172">
        <w:t>Petition for</w:t>
      </w:r>
      <w:r w:rsidR="00682A17">
        <w:t xml:space="preserve"> Condition</w:t>
      </w:r>
      <w:r w:rsidR="00733172">
        <w:t>s</w:t>
      </w:r>
      <w:r w:rsidR="00682A17">
        <w:t>,</w:t>
      </w:r>
      <w:r w:rsidR="0032574B">
        <w:rPr>
          <w:rStyle w:val="FootnoteReference"/>
        </w:rPr>
        <w:footnoteReference w:id="19"/>
      </w:r>
      <w:r w:rsidR="00682A17">
        <w:t xml:space="preserve"> and </w:t>
      </w:r>
      <w:r w:rsidR="0032574B">
        <w:t>a</w:t>
      </w:r>
      <w:r w:rsidR="00682A17">
        <w:t xml:space="preserve"> reply </w:t>
      </w:r>
      <w:r w:rsidR="0032574B">
        <w:t>from</w:t>
      </w:r>
      <w:r w:rsidR="00682A17">
        <w:t xml:space="preserve"> T-Mobile.</w:t>
      </w:r>
      <w:r w:rsidR="00A44141">
        <w:rPr>
          <w:rStyle w:val="FootnoteReference"/>
        </w:rPr>
        <w:footnoteReference w:id="20"/>
      </w:r>
      <w:r w:rsidR="00F35C54">
        <w:t xml:space="preserve">  </w:t>
      </w:r>
      <w:r w:rsidR="00E2089E">
        <w:t>The petition urged the Commission</w:t>
      </w:r>
      <w:r w:rsidR="0084595F">
        <w:t xml:space="preserve"> to condition any grant of the A</w:t>
      </w:r>
      <w:r w:rsidR="00E2089E">
        <w:t>pplications on AT&amp;T’s adherence to Plateau’s current roaming agreement with T-Mobile, for a period of five years.</w:t>
      </w:r>
      <w:r w:rsidR="00E2089E">
        <w:rPr>
          <w:rStyle w:val="FootnoteReference"/>
        </w:rPr>
        <w:footnoteReference w:id="21"/>
      </w:r>
      <w:r w:rsidR="00E2089E">
        <w:t xml:space="preserve">  </w:t>
      </w:r>
      <w:r w:rsidR="00F17D07">
        <w:t xml:space="preserve">In addition, on October 9, 2014, </w:t>
      </w:r>
      <w:r w:rsidR="00C454F7">
        <w:t xml:space="preserve">as described in more detail below, </w:t>
      </w:r>
      <w:r w:rsidR="00F17D07">
        <w:t xml:space="preserve">a number of parties filed a letter </w:t>
      </w:r>
      <w:r w:rsidR="002B30CD">
        <w:t xml:space="preserve">in the </w:t>
      </w:r>
      <w:r w:rsidR="002B30CD" w:rsidRPr="00EC6E86">
        <w:t>Mobile Spectrum Holdings docket</w:t>
      </w:r>
      <w:r w:rsidR="00C454F7">
        <w:t xml:space="preserve"> </w:t>
      </w:r>
      <w:r w:rsidR="00F17D07">
        <w:t xml:space="preserve">regarding several pending transactions proposed by AT&amp;T, including the instant transaction, that implicate the Commission’s enhanced factor review for </w:t>
      </w:r>
      <w:r w:rsidR="00D96D03">
        <w:t xml:space="preserve">certain </w:t>
      </w:r>
      <w:r w:rsidR="00F17D07">
        <w:t xml:space="preserve">proposed </w:t>
      </w:r>
      <w:r w:rsidR="0032649E">
        <w:t>below-1-GHz</w:t>
      </w:r>
      <w:r w:rsidR="00F17D07">
        <w:t xml:space="preserve"> transactions.</w:t>
      </w:r>
      <w:r w:rsidR="003C6E20">
        <w:rPr>
          <w:rStyle w:val="FootnoteReference"/>
        </w:rPr>
        <w:footnoteReference w:id="22"/>
      </w:r>
      <w:r w:rsidR="00F17D07">
        <w:t xml:space="preserve">  </w:t>
      </w:r>
      <w:r w:rsidR="00F35C54">
        <w:t>We address the issues raised in these filings below.</w:t>
      </w:r>
    </w:p>
    <w:p w:rsidR="00F35C54" w:rsidRPr="006831D7" w:rsidRDefault="00004BAA" w:rsidP="007A5852">
      <w:pPr>
        <w:pStyle w:val="ParaNum"/>
        <w:widowControl/>
      </w:pPr>
      <w:r>
        <w:t>On September 22, 2014, the Bureau released a public notice</w:t>
      </w:r>
      <w:r w:rsidR="00CC38B2">
        <w:t xml:space="preserve"> that</w:t>
      </w:r>
      <w:r w:rsidR="001E2824">
        <w:t xml:space="preserve"> announced</w:t>
      </w:r>
      <w:r>
        <w:t xml:space="preserve"> that </w:t>
      </w:r>
      <w:r w:rsidR="001A57DA">
        <w:t xml:space="preserve">Numbering Resource Utilization </w:t>
      </w:r>
      <w:r>
        <w:t xml:space="preserve">and </w:t>
      </w:r>
      <w:r w:rsidR="00964684">
        <w:t xml:space="preserve">Forecast </w:t>
      </w:r>
      <w:r>
        <w:t xml:space="preserve">(“NRUF”) reports and local number portability (“LNP”) data would be placed into the record and adopted a protective order pursuant to which the Applicants and third parties would be allowed to review the specific NRUF reports </w:t>
      </w:r>
      <w:r w:rsidR="009F12BA">
        <w:t xml:space="preserve">and </w:t>
      </w:r>
      <w:r>
        <w:t>LNP data.</w:t>
      </w:r>
      <w:r w:rsidR="001A57DA">
        <w:rPr>
          <w:rStyle w:val="FootnoteReference"/>
        </w:rPr>
        <w:footnoteReference w:id="23"/>
      </w:r>
      <w:r>
        <w:t xml:space="preserve">  </w:t>
      </w:r>
      <w:r w:rsidR="00CC38B2">
        <w:t>Also, o</w:t>
      </w:r>
      <w:r w:rsidR="00D65D58">
        <w:t>n September 22, 2014</w:t>
      </w:r>
      <w:r w:rsidR="001B5DF3">
        <w:t>,</w:t>
      </w:r>
      <w:r w:rsidR="006A2591">
        <w:t xml:space="preserve"> pursuant to section 308(b) of the Act</w:t>
      </w:r>
      <w:r w:rsidR="0096052D">
        <w:t>,</w:t>
      </w:r>
      <w:r w:rsidR="000B509B">
        <w:rPr>
          <w:rStyle w:val="FootnoteReference"/>
        </w:rPr>
        <w:footnoteReference w:id="24"/>
      </w:r>
      <w:r w:rsidR="001B5DF3">
        <w:t xml:space="preserve"> </w:t>
      </w:r>
      <w:r w:rsidR="00F35C54">
        <w:t>the Bureau</w:t>
      </w:r>
      <w:r w:rsidR="00D65D58">
        <w:t xml:space="preserve"> sent letters to AT&amp;T and Plateau Wireless requesting the submission of written responses and supporting documentation by October 6, 2014, to specific inquiries related to the proposed transaction.</w:t>
      </w:r>
      <w:r w:rsidR="00AA7682">
        <w:rPr>
          <w:rStyle w:val="FootnoteReference"/>
        </w:rPr>
        <w:footnoteReference w:id="25"/>
      </w:r>
      <w:r w:rsidR="00B819D1">
        <w:t xml:space="preserve">  The Bureau also released a </w:t>
      </w:r>
      <w:r w:rsidR="00B819D1" w:rsidRPr="001E2824">
        <w:rPr>
          <w:i/>
        </w:rPr>
        <w:t>Joint Protective Order</w:t>
      </w:r>
      <w:r w:rsidR="00B819D1">
        <w:t xml:space="preserve"> to ensure that any confidential or proprietary documents submitted to the Commission would be adequately protected from public disclosure, and to announce the process by which interested parties could gain access to confidential information filed in the record.</w:t>
      </w:r>
      <w:r w:rsidR="002E1CDE">
        <w:rPr>
          <w:rStyle w:val="FootnoteReference"/>
        </w:rPr>
        <w:footnoteReference w:id="26"/>
      </w:r>
    </w:p>
    <w:p w:rsidR="006831D7" w:rsidRDefault="006831D7" w:rsidP="006831D7">
      <w:pPr>
        <w:pStyle w:val="Heading1"/>
      </w:pPr>
      <w:bookmarkStart w:id="173" w:name="_Toc403981894"/>
      <w:bookmarkStart w:id="174" w:name="_Toc403998346"/>
      <w:bookmarkStart w:id="175" w:name="_Toc403998433"/>
      <w:bookmarkStart w:id="176" w:name="_Toc404003257"/>
      <w:bookmarkStart w:id="177" w:name="_Toc404003537"/>
      <w:bookmarkStart w:id="178" w:name="_Toc404152158"/>
      <w:bookmarkStart w:id="179" w:name="_Toc405185086"/>
      <w:bookmarkStart w:id="180" w:name="_Toc405799105"/>
      <w:bookmarkStart w:id="181" w:name="_Toc405799332"/>
      <w:bookmarkStart w:id="182" w:name="_Toc405801047"/>
      <w:bookmarkStart w:id="183" w:name="_Toc406666073"/>
      <w:bookmarkStart w:id="184" w:name="_Toc406684861"/>
      <w:bookmarkStart w:id="185" w:name="_Toc408223994"/>
      <w:bookmarkStart w:id="186" w:name="_Toc408580992"/>
      <w:bookmarkStart w:id="187" w:name="_Toc410028415"/>
      <w:bookmarkStart w:id="188" w:name="_Toc410116639"/>
      <w:bookmarkStart w:id="189" w:name="_Toc410119621"/>
      <w:bookmarkStart w:id="190" w:name="_Toc410121762"/>
      <w:bookmarkStart w:id="191" w:name="_Toc410339621"/>
      <w:bookmarkStart w:id="192" w:name="_Toc411607350"/>
      <w:bookmarkStart w:id="193" w:name="_Toc412112240"/>
      <w:bookmarkStart w:id="194" w:name="_Toc412557583"/>
      <w:bookmarkStart w:id="195" w:name="_Toc412795158"/>
      <w:bookmarkStart w:id="196" w:name="_Toc412804068"/>
      <w:bookmarkStart w:id="197" w:name="_Toc413055728"/>
      <w:bookmarkStart w:id="198" w:name="_Toc413162327"/>
      <w:bookmarkStart w:id="199" w:name="_Toc413246199"/>
      <w:bookmarkStart w:id="200" w:name="_Toc413392960"/>
      <w:bookmarkStart w:id="201" w:name="_Toc413687483"/>
      <w:bookmarkStart w:id="202" w:name="_Toc414366747"/>
      <w:bookmarkStart w:id="203" w:name="_Toc414537576"/>
      <w:bookmarkStart w:id="204" w:name="_Toc415215762"/>
      <w:bookmarkStart w:id="205" w:name="_Toc415573187"/>
      <w:bookmarkStart w:id="206" w:name="_Toc418681991"/>
      <w:r>
        <w:t>standard of review</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A45B3E" w:rsidRPr="00316A29" w:rsidRDefault="00FA6F04" w:rsidP="0070044D">
      <w:pPr>
        <w:pStyle w:val="ParaNum"/>
        <w:widowControl/>
      </w:pPr>
      <w:r w:rsidRPr="00316A29">
        <w:t>Pursuant to sections 214(a) and 310(d) of the Act,</w:t>
      </w:r>
      <w:r w:rsidRPr="006A5E52">
        <w:rPr>
          <w:rFonts w:eastAsia="MS Mincho"/>
          <w:sz w:val="20"/>
          <w:vertAlign w:val="superscript"/>
        </w:rPr>
        <w:footnoteReference w:id="27"/>
      </w:r>
      <w:r w:rsidRPr="0070044D">
        <w:rPr>
          <w:b/>
        </w:rPr>
        <w:t xml:space="preserve"> </w:t>
      </w:r>
      <w:r w:rsidRPr="00316A29">
        <w:t xml:space="preserve">we must determine whether the Applicants have </w:t>
      </w:r>
      <w:r w:rsidR="0084595F">
        <w:t>demonstrated that the proposed assignment</w:t>
      </w:r>
      <w:r>
        <w:t xml:space="preserve"> of licenses and </w:t>
      </w:r>
      <w:r w:rsidRPr="00316A29">
        <w:t>authorizations</w:t>
      </w:r>
      <w:r>
        <w:t xml:space="preserve"> </w:t>
      </w:r>
      <w:r w:rsidRPr="00316A29">
        <w:t>w</w:t>
      </w:r>
      <w:r w:rsidR="00D96D03">
        <w:t>ould</w:t>
      </w:r>
      <w:r w:rsidRPr="00316A29">
        <w:t xml:space="preserve"> serve the public interest, convenience, and necessity.  In making this determination, we first assess whether the proposed transaction complies with the specific provisions of the Act,</w:t>
      </w:r>
      <w:r w:rsidRPr="006A5E52">
        <w:rPr>
          <w:rFonts w:eastAsia="MS Mincho"/>
          <w:sz w:val="20"/>
          <w:vertAlign w:val="superscript"/>
        </w:rPr>
        <w:footnoteReference w:id="28"/>
      </w:r>
      <w:r w:rsidRPr="006A5E52">
        <w:rPr>
          <w:sz w:val="20"/>
        </w:rPr>
        <w:t xml:space="preserve"> </w:t>
      </w:r>
      <w:r w:rsidRPr="00316A29">
        <w:t>other applicable statutes, and the Commission’s rules</w:t>
      </w:r>
      <w:r>
        <w:t>, including whether the applicants are qualified to hold licenses</w:t>
      </w:r>
      <w:r w:rsidR="001F23C8">
        <w:t>.</w:t>
      </w:r>
      <w:r w:rsidRPr="006A5E52">
        <w:rPr>
          <w:rFonts w:eastAsia="MS Mincho"/>
          <w:sz w:val="20"/>
          <w:vertAlign w:val="superscript"/>
        </w:rPr>
        <w:footnoteReference w:id="29"/>
      </w:r>
      <w:r w:rsidRPr="00316A29">
        <w:t xml:space="preserve">  If the </w:t>
      </w:r>
      <w:r w:rsidR="00F271C6">
        <w:t xml:space="preserve">proposed </w:t>
      </w:r>
      <w:r w:rsidRPr="00316A29">
        <w:t xml:space="preserve">transaction does not violate a statute or rule, we next consider whether the </w:t>
      </w:r>
      <w:r w:rsidR="00F271C6">
        <w:t xml:space="preserve">proposed </w:t>
      </w:r>
      <w:r w:rsidRPr="00316A29">
        <w:t>transaction could result in public interest harms by substantially frustrating or impairing the objectives or implementation of the Act or related statutes.</w:t>
      </w:r>
      <w:r w:rsidRPr="006A5E52">
        <w:rPr>
          <w:rFonts w:eastAsia="MS Mincho"/>
          <w:sz w:val="20"/>
          <w:vertAlign w:val="superscript"/>
        </w:rPr>
        <w:footnoteReference w:id="30"/>
      </w:r>
      <w:r w:rsidRPr="00316A29">
        <w:t xml:space="preserve"> </w:t>
      </w:r>
      <w:r w:rsidR="003F1C73">
        <w:t xml:space="preserve"> </w:t>
      </w:r>
      <w:r w:rsidRPr="00316A29">
        <w:t xml:space="preserve">We then employ a balancing test weighing any </w:t>
      </w:r>
      <w:r w:rsidRPr="0070044D">
        <w:rPr>
          <w:snapToGrid/>
        </w:rPr>
        <w:t>potential</w:t>
      </w:r>
      <w:r w:rsidRPr="00316A29">
        <w:t xml:space="preserve"> public interest harms of the proposed transaction against any potential public interest benefits.</w:t>
      </w:r>
      <w:r w:rsidRPr="006A5E52">
        <w:rPr>
          <w:rFonts w:eastAsia="MS Mincho"/>
          <w:sz w:val="20"/>
          <w:vertAlign w:val="superscript"/>
        </w:rPr>
        <w:footnoteReference w:id="31"/>
      </w:r>
      <w:r w:rsidRPr="0070044D">
        <w:rPr>
          <w:rFonts w:eastAsia="MS Mincho"/>
          <w:lang w:eastAsia="ja-JP"/>
        </w:rPr>
        <w:t xml:space="preserve">  </w:t>
      </w:r>
      <w:r w:rsidRPr="00316A29">
        <w:t>The Applicants bear the burden of proving, by a preponderance of the evidence, that the proposed transaction, on balance, w</w:t>
      </w:r>
      <w:r w:rsidR="00D96D03">
        <w:t>ould</w:t>
      </w:r>
      <w:r w:rsidRPr="00316A29">
        <w:t xml:space="preserve"> serve the public interest.</w:t>
      </w:r>
      <w:r w:rsidRPr="006A5E52">
        <w:rPr>
          <w:rFonts w:eastAsia="MS Mincho"/>
          <w:sz w:val="20"/>
          <w:vertAlign w:val="superscript"/>
        </w:rPr>
        <w:footnoteReference w:id="32"/>
      </w:r>
      <w:r>
        <w:t xml:space="preserve">  </w:t>
      </w:r>
    </w:p>
    <w:p w:rsidR="006831D7" w:rsidRPr="00FA6F04" w:rsidRDefault="00FA6F04" w:rsidP="00D371A4">
      <w:pPr>
        <w:pStyle w:val="ParaNum"/>
        <w:widowControl/>
        <w:rPr>
          <w:szCs w:val="22"/>
        </w:rPr>
      </w:pPr>
      <w:r w:rsidRPr="00316A29">
        <w:t xml:space="preserve">Our </w:t>
      </w:r>
      <w:r w:rsidRPr="00F515DC">
        <w:t>competitive</w:t>
      </w:r>
      <w:r w:rsidRPr="00316A29">
        <w:rPr>
          <w:szCs w:val="22"/>
        </w:rPr>
        <w:t xml:space="preserve"> analysis, which forms an important part of the public interest evaluation, is informed by, but not limited to, traditional antitrust principles.</w:t>
      </w:r>
      <w:r w:rsidRPr="006A5E52">
        <w:rPr>
          <w:sz w:val="20"/>
          <w:vertAlign w:val="superscript"/>
        </w:rPr>
        <w:footnoteReference w:id="33"/>
      </w:r>
      <w:r w:rsidRPr="00316A29">
        <w:rPr>
          <w:szCs w:val="22"/>
        </w:rPr>
        <w:t xml:space="preserve">  The Commission and the Department of Justice (“DOJ”) each have independent authority to examine the competitive impacts of proposed mergers and transactions involving transfers of Commission licenses, but the Commission’s competitive analysis under the public interest standard is somewhat broader</w:t>
      </w:r>
      <w:r w:rsidR="0070044D">
        <w:rPr>
          <w:szCs w:val="22"/>
        </w:rPr>
        <w:t>.</w:t>
      </w:r>
      <w:r w:rsidR="0070044D" w:rsidRPr="006A5E52">
        <w:rPr>
          <w:sz w:val="20"/>
          <w:vertAlign w:val="superscript"/>
        </w:rPr>
        <w:footnoteReference w:id="34"/>
      </w:r>
      <w:r w:rsidR="0070044D" w:rsidRPr="00316A29">
        <w:rPr>
          <w:szCs w:val="22"/>
        </w:rPr>
        <w:t xml:space="preserve"> </w:t>
      </w:r>
      <w:r w:rsidRPr="00316A29">
        <w:rPr>
          <w:szCs w:val="22"/>
        </w:rPr>
        <w:t xml:space="preserve"> </w:t>
      </w:r>
      <w:r w:rsidR="0070044D">
        <w:rPr>
          <w:szCs w:val="22"/>
        </w:rPr>
        <w:t>F</w:t>
      </w:r>
      <w:r w:rsidRPr="00316A29">
        <w:rPr>
          <w:szCs w:val="22"/>
        </w:rPr>
        <w:t xml:space="preserve">or example, </w:t>
      </w:r>
      <w:r w:rsidR="0070044D">
        <w:rPr>
          <w:szCs w:val="22"/>
        </w:rPr>
        <w:t xml:space="preserve">the Commission </w:t>
      </w:r>
      <w:r w:rsidRPr="00316A29">
        <w:rPr>
          <w:szCs w:val="22"/>
        </w:rPr>
        <w:t>consider</w:t>
      </w:r>
      <w:r w:rsidR="00B34F65">
        <w:rPr>
          <w:szCs w:val="22"/>
        </w:rPr>
        <w:t>s</w:t>
      </w:r>
      <w:r w:rsidRPr="00316A29">
        <w:rPr>
          <w:szCs w:val="22"/>
        </w:rPr>
        <w:t xml:space="preserve"> whether a </w:t>
      </w:r>
      <w:r w:rsidR="00865FE8">
        <w:rPr>
          <w:szCs w:val="22"/>
        </w:rPr>
        <w:t xml:space="preserve">proposed </w:t>
      </w:r>
      <w:r w:rsidRPr="00316A29">
        <w:rPr>
          <w:szCs w:val="22"/>
        </w:rPr>
        <w:t>transaction w</w:t>
      </w:r>
      <w:r w:rsidR="00D96D03">
        <w:rPr>
          <w:szCs w:val="22"/>
        </w:rPr>
        <w:t>ould</w:t>
      </w:r>
      <w:r w:rsidRPr="00316A29">
        <w:rPr>
          <w:szCs w:val="22"/>
        </w:rPr>
        <w:t xml:space="preserve"> enhance, rather than merely preserve, existing competition, and takes a more extensive view of potential and future competition and its impact on the relevant market</w:t>
      </w:r>
      <w:r>
        <w:rPr>
          <w:szCs w:val="22"/>
        </w:rPr>
        <w:t>s</w:t>
      </w:r>
      <w:r w:rsidRPr="00316A29">
        <w:rPr>
          <w:szCs w:val="22"/>
        </w:rPr>
        <w:t>.</w:t>
      </w:r>
      <w:r w:rsidRPr="006A5E52">
        <w:rPr>
          <w:sz w:val="20"/>
          <w:vertAlign w:val="superscript"/>
        </w:rPr>
        <w:footnoteReference w:id="35"/>
      </w:r>
      <w:r w:rsidRPr="00316A29">
        <w:rPr>
          <w:szCs w:val="22"/>
        </w:rPr>
        <w:t xml:space="preserve">  If </w:t>
      </w:r>
      <w:r>
        <w:rPr>
          <w:szCs w:val="22"/>
        </w:rPr>
        <w:t xml:space="preserve">we are </w:t>
      </w:r>
      <w:r w:rsidRPr="00316A29">
        <w:rPr>
          <w:szCs w:val="22"/>
        </w:rPr>
        <w:t>unable to find that the proposed transaction serves the public interest for any reason or if the record presents a substantial and material question of fact, we must designate the application(s) for hearing.</w:t>
      </w:r>
      <w:r w:rsidRPr="006A5E52">
        <w:rPr>
          <w:sz w:val="20"/>
          <w:vertAlign w:val="superscript"/>
        </w:rPr>
        <w:footnoteReference w:id="36"/>
      </w:r>
      <w:r>
        <w:rPr>
          <w:szCs w:val="22"/>
        </w:rPr>
        <w:t xml:space="preserve">  </w:t>
      </w:r>
      <w:r w:rsidR="00A834E9">
        <w:rPr>
          <w:szCs w:val="22"/>
        </w:rPr>
        <w:t>Finally, the Commission’s public interest authority enables us, where appropriate, to impose and enforce narrowly tailored, transaction-specific conditions that ensure that the public interest is served by the transaction.</w:t>
      </w:r>
      <w:r w:rsidR="00A834E9">
        <w:rPr>
          <w:rStyle w:val="FootnoteReference"/>
          <w:szCs w:val="22"/>
        </w:rPr>
        <w:footnoteReference w:id="37"/>
      </w:r>
    </w:p>
    <w:p w:rsidR="006831D7" w:rsidRDefault="006831D7" w:rsidP="006831D7">
      <w:pPr>
        <w:pStyle w:val="Heading1"/>
      </w:pPr>
      <w:bookmarkStart w:id="207" w:name="_Toc403981895"/>
      <w:bookmarkStart w:id="208" w:name="_Toc403998347"/>
      <w:bookmarkStart w:id="209" w:name="_Toc403998434"/>
      <w:bookmarkStart w:id="210" w:name="_Toc404003258"/>
      <w:bookmarkStart w:id="211" w:name="_Toc404003538"/>
      <w:bookmarkStart w:id="212" w:name="_Toc404152159"/>
      <w:bookmarkStart w:id="213" w:name="_Toc405185087"/>
      <w:bookmarkStart w:id="214" w:name="_Toc405799106"/>
      <w:bookmarkStart w:id="215" w:name="_Toc405799333"/>
      <w:bookmarkStart w:id="216" w:name="_Toc405801048"/>
      <w:bookmarkStart w:id="217" w:name="_Toc406666074"/>
      <w:bookmarkStart w:id="218" w:name="_Toc406684862"/>
      <w:bookmarkStart w:id="219" w:name="_Toc408223995"/>
      <w:bookmarkStart w:id="220" w:name="_Toc408580993"/>
      <w:bookmarkStart w:id="221" w:name="_Toc410028416"/>
      <w:bookmarkStart w:id="222" w:name="_Toc410116640"/>
      <w:bookmarkStart w:id="223" w:name="_Toc410119622"/>
      <w:bookmarkStart w:id="224" w:name="_Toc410121763"/>
      <w:bookmarkStart w:id="225" w:name="_Toc410339622"/>
      <w:bookmarkStart w:id="226" w:name="_Toc411607351"/>
      <w:bookmarkStart w:id="227" w:name="_Toc412112241"/>
      <w:bookmarkStart w:id="228" w:name="_Toc412557584"/>
      <w:bookmarkStart w:id="229" w:name="_Toc412795159"/>
      <w:bookmarkStart w:id="230" w:name="_Toc412804069"/>
      <w:bookmarkStart w:id="231" w:name="_Toc413055729"/>
      <w:bookmarkStart w:id="232" w:name="_Toc413162328"/>
      <w:bookmarkStart w:id="233" w:name="_Toc413246200"/>
      <w:bookmarkStart w:id="234" w:name="_Toc413392961"/>
      <w:bookmarkStart w:id="235" w:name="_Toc413687484"/>
      <w:bookmarkStart w:id="236" w:name="_Toc414366748"/>
      <w:bookmarkStart w:id="237" w:name="_Toc414537577"/>
      <w:bookmarkStart w:id="238" w:name="_Toc415215763"/>
      <w:bookmarkStart w:id="239" w:name="_Toc415573188"/>
      <w:bookmarkStart w:id="240" w:name="_Toc418681992"/>
      <w:r>
        <w:t>qualifications of applicants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555C0B" w:rsidRDefault="00555C0B" w:rsidP="00555C0B">
      <w:pPr>
        <w:pStyle w:val="ParaNum"/>
        <w:widowControl/>
      </w:pPr>
      <w:r w:rsidRPr="005211DB">
        <w:t>Among the factors the Commission considers in its public interest review is whether the applicant for a license has the requisite “citizenship, character, financial, technical, and other qualifications.”</w:t>
      </w:r>
      <w:r w:rsidRPr="006A5E52">
        <w:rPr>
          <w:rStyle w:val="StyleFootnoteReferenceofrAppelnotedebasdepStyle12NECG"/>
          <w:sz w:val="20"/>
        </w:rPr>
        <w:footnoteReference w:id="38"/>
      </w:r>
      <w:r w:rsidRPr="005211DB">
        <w:t xml:space="preserve">  Therefore, as a threshold matter, the Commission must determine whether the applicants to the proposed transaction </w:t>
      </w:r>
      <w:r>
        <w:t xml:space="preserve">– both the assignee and the assignor – meet </w:t>
      </w:r>
      <w:r w:rsidRPr="005211DB">
        <w:t>the requisite qualifications requirements to hold and transfer licenses under section 310(d) and the Commission’s rules.</w:t>
      </w:r>
      <w:r w:rsidRPr="006A5E52">
        <w:rPr>
          <w:rStyle w:val="StyleFootnoteReferenceofrAppelnotedebasdepStyle12NECG"/>
          <w:sz w:val="20"/>
        </w:rPr>
        <w:footnoteReference w:id="39"/>
      </w:r>
    </w:p>
    <w:p w:rsidR="006831D7" w:rsidRPr="006831D7" w:rsidRDefault="00555C0B" w:rsidP="00555C0B">
      <w:pPr>
        <w:pStyle w:val="ParaNum"/>
        <w:widowControl/>
      </w:pPr>
      <w:r w:rsidRPr="00A227FE">
        <w:rPr>
          <w:i/>
        </w:rPr>
        <w:t>Discussion</w:t>
      </w:r>
      <w:r w:rsidRPr="005211DB">
        <w:t xml:space="preserve">.  As an initial matter, we note that </w:t>
      </w:r>
      <w:r w:rsidRPr="000E02BC">
        <w:t>no</w:t>
      </w:r>
      <w:r w:rsidRPr="00C85ACD">
        <w:t xml:space="preserve"> </w:t>
      </w:r>
      <w:r w:rsidRPr="000E02BC">
        <w:t>parties</w:t>
      </w:r>
      <w:r w:rsidRPr="005211DB">
        <w:t xml:space="preserve"> have raised issues with respect to the basic qualifications of </w:t>
      </w:r>
      <w:r>
        <w:t>Plateau Wireless</w:t>
      </w:r>
      <w:r w:rsidRPr="005211DB">
        <w:t>.  The Commission generally does not reevaluate the qualifications of assignors unless issues related to basic qualifications have been sufficiently raised in petitions to warrant designation for hearing.</w:t>
      </w:r>
      <w:r w:rsidRPr="005211DB">
        <w:rPr>
          <w:rStyle w:val="FootnoteReference"/>
        </w:rPr>
        <w:footnoteReference w:id="40"/>
      </w:r>
      <w:r w:rsidRPr="005211DB">
        <w:t xml:space="preserve">  We find that there is no reason to reevaluate the requisite citizenship, character, financial, technical, or other basic qualifications under the Act and our rules, regulations, and policies, of </w:t>
      </w:r>
      <w:r>
        <w:t>Plateau Wireless</w:t>
      </w:r>
      <w:r w:rsidRPr="005211DB">
        <w:t>.  In addition, no issues have been raised with respect to the basic qualifications of AT&amp;T.  AT&amp;T previously and repeatedly has been found qualified to hold Commission licenses.</w:t>
      </w:r>
      <w:r w:rsidRPr="005211DB">
        <w:rPr>
          <w:rStyle w:val="FootnoteReference"/>
        </w:rPr>
        <w:footnoteReference w:id="41"/>
      </w:r>
      <w:r w:rsidRPr="005211DB">
        <w:t xml:space="preserve">  We find that there is no reason to reevaluate the requisite citizenship, character, financial, technical, or other basic qualifications under the Act and our rules, regulations, and policies, of AT&amp;T.</w:t>
      </w:r>
    </w:p>
    <w:p w:rsidR="006831D7" w:rsidRDefault="006831D7" w:rsidP="007A5852">
      <w:pPr>
        <w:pStyle w:val="Heading1"/>
        <w:widowControl/>
      </w:pPr>
      <w:bookmarkStart w:id="241" w:name="_Toc403981896"/>
      <w:bookmarkStart w:id="242" w:name="_Toc403998348"/>
      <w:bookmarkStart w:id="243" w:name="_Toc403998435"/>
      <w:bookmarkStart w:id="244" w:name="_Toc404003259"/>
      <w:bookmarkStart w:id="245" w:name="_Toc404003539"/>
      <w:bookmarkStart w:id="246" w:name="_Toc404152160"/>
      <w:bookmarkStart w:id="247" w:name="_Toc405185088"/>
      <w:bookmarkStart w:id="248" w:name="_Toc405799107"/>
      <w:bookmarkStart w:id="249" w:name="_Toc405799334"/>
      <w:bookmarkStart w:id="250" w:name="_Toc405801049"/>
      <w:bookmarkStart w:id="251" w:name="_Toc406666075"/>
      <w:bookmarkStart w:id="252" w:name="_Toc406684863"/>
      <w:bookmarkStart w:id="253" w:name="_Toc408223996"/>
      <w:bookmarkStart w:id="254" w:name="_Toc408580994"/>
      <w:bookmarkStart w:id="255" w:name="_Toc410028417"/>
      <w:bookmarkStart w:id="256" w:name="_Toc410116641"/>
      <w:bookmarkStart w:id="257" w:name="_Toc410119623"/>
      <w:bookmarkStart w:id="258" w:name="_Toc410121764"/>
      <w:bookmarkStart w:id="259" w:name="_Toc410339623"/>
      <w:bookmarkStart w:id="260" w:name="_Toc411607352"/>
      <w:bookmarkStart w:id="261" w:name="_Toc412112242"/>
      <w:bookmarkStart w:id="262" w:name="_Toc412557585"/>
      <w:bookmarkStart w:id="263" w:name="_Toc412795160"/>
      <w:bookmarkStart w:id="264" w:name="_Toc412804070"/>
      <w:bookmarkStart w:id="265" w:name="_Toc413055730"/>
      <w:bookmarkStart w:id="266" w:name="_Toc413162329"/>
      <w:bookmarkStart w:id="267" w:name="_Toc413246201"/>
      <w:bookmarkStart w:id="268" w:name="_Toc413392962"/>
      <w:bookmarkStart w:id="269" w:name="_Toc413687485"/>
      <w:bookmarkStart w:id="270" w:name="_Toc414366749"/>
      <w:bookmarkStart w:id="271" w:name="_Toc414537578"/>
      <w:bookmarkStart w:id="272" w:name="_Toc415215764"/>
      <w:bookmarkStart w:id="273" w:name="_Toc415573189"/>
      <w:bookmarkStart w:id="274" w:name="_Toc418681993"/>
      <w:r>
        <w:t>potential public interest harms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8B50AE" w:rsidRDefault="008B50AE" w:rsidP="007A5852">
      <w:pPr>
        <w:pStyle w:val="ParaNum"/>
        <w:widowControl/>
      </w:pPr>
      <w:r w:rsidRPr="005211DB">
        <w:t>In reviewing applications involving a proposed transaction, the Commission evaluates the potential public interest harms, including potential competitive harms that may result from the transaction.</w:t>
      </w:r>
      <w:r w:rsidRPr="005211DB">
        <w:rPr>
          <w:rStyle w:val="FootnoteReference"/>
        </w:rPr>
        <w:footnoteReference w:id="42"/>
      </w:r>
      <w:r w:rsidRPr="005211DB">
        <w:t xml:space="preserve">  The Commission undertakes a case-by-case review of the competitive effects of any increase in market concentration or in spectrum holdings in the relevant markets.</w:t>
      </w:r>
      <w:r w:rsidRPr="005211DB">
        <w:rPr>
          <w:rStyle w:val="FootnoteReference"/>
        </w:rPr>
        <w:footnoteReference w:id="43"/>
      </w:r>
      <w:r w:rsidRPr="005211DB">
        <w:t xml:space="preserve">  The Commission’s competitive analysis of wireless transactions focuses initially on markets where the acquisition of customers and/or spectrum would result in significant concentration of either or both, and thereby could lead to competitive harm.</w:t>
      </w:r>
      <w:r w:rsidRPr="005211DB">
        <w:rPr>
          <w:rStyle w:val="FootnoteReference"/>
        </w:rPr>
        <w:footnoteReference w:id="44"/>
      </w:r>
      <w:r w:rsidRPr="005211DB">
        <w:t xml:space="preserve">  In its analysis, the Commission </w:t>
      </w:r>
      <w:r w:rsidR="007A5852">
        <w:t>uses</w:t>
      </w:r>
      <w:r w:rsidRPr="005211DB">
        <w:t xml:space="preserve"> an initial </w:t>
      </w:r>
      <w:r w:rsidR="00865FE8">
        <w:t xml:space="preserve">two-part </w:t>
      </w:r>
      <w:r w:rsidRPr="005211DB">
        <w:t>screen to help identify those markets that provide particular reason for further competitive analysis.  As set out in various transactions orders, however, the Commission has not limited its consideration of potential competitive harms solely to markets identified by its initial screen, if it encounters other factors that may bear on the public interest inquiry.</w:t>
      </w:r>
      <w:r w:rsidRPr="005211DB">
        <w:rPr>
          <w:rStyle w:val="FootnoteReference"/>
        </w:rPr>
        <w:footnoteReference w:id="45"/>
      </w:r>
      <w:r>
        <w:t xml:space="preserve"> </w:t>
      </w:r>
    </w:p>
    <w:p w:rsidR="00AA5BF4" w:rsidRDefault="00F96FDA" w:rsidP="00AA5BF4">
      <w:pPr>
        <w:pStyle w:val="ParaNum"/>
      </w:pPr>
      <w:r>
        <w:t xml:space="preserve">In the </w:t>
      </w:r>
      <w:r w:rsidRPr="00885364">
        <w:rPr>
          <w:i/>
        </w:rPr>
        <w:t>Mobile Spectrum Holdings Report and Order</w:t>
      </w:r>
      <w:r>
        <w:t xml:space="preserve">, the Commission found that it is in the public interest to continue to use </w:t>
      </w:r>
      <w:r w:rsidR="003D4B96">
        <w:t>its</w:t>
      </w:r>
      <w:r>
        <w:t xml:space="preserve"> initial spectrum screen and case-by-case </w:t>
      </w:r>
      <w:r w:rsidR="0004756D">
        <w:t>review</w:t>
      </w:r>
      <w:r>
        <w:t xml:space="preserve"> to evaluate the likely competitive effects of increased spectrum aggregation through secondary market transactions.</w:t>
      </w:r>
      <w:r>
        <w:rPr>
          <w:rStyle w:val="FootnoteReference"/>
        </w:rPr>
        <w:footnoteReference w:id="46"/>
      </w:r>
      <w:r>
        <w:t xml:space="preserve">  </w:t>
      </w:r>
      <w:r w:rsidR="003E2018">
        <w:t xml:space="preserve">In addition to modifying the spectrum screen as explained below, the </w:t>
      </w:r>
      <w:r w:rsidR="003E2018" w:rsidRPr="00885364">
        <w:rPr>
          <w:i/>
        </w:rPr>
        <w:t>Mobile Spectrum Holdings Report and Order</w:t>
      </w:r>
      <w:r w:rsidR="003E2018" w:rsidRPr="00607167">
        <w:t xml:space="preserve"> </w:t>
      </w:r>
      <w:r w:rsidR="003E2018" w:rsidRPr="007C28FE">
        <w:t>requires that any increase in spectrum holdings of below 1 GHz be treated as an “enhanced factor” for case-by-case review if post-transaction the acquiring entity would hold approximately one-third or more of the suitable and available spectrum below 1 GHz</w:t>
      </w:r>
      <w:r w:rsidR="003E2018" w:rsidRPr="00607167">
        <w:t>.</w:t>
      </w:r>
      <w:r w:rsidR="003E2018">
        <w:rPr>
          <w:rStyle w:val="FootnoteReference"/>
        </w:rPr>
        <w:footnoteReference w:id="47"/>
      </w:r>
    </w:p>
    <w:p w:rsidR="006E6DEB" w:rsidRPr="001800E5" w:rsidRDefault="008A1130" w:rsidP="007A5852">
      <w:pPr>
        <w:pStyle w:val="ParaNum"/>
        <w:widowControl/>
      </w:pPr>
      <w:r>
        <w:t>The Commission reached this conclusion</w:t>
      </w:r>
      <w:r w:rsidR="00350C24">
        <w:t xml:space="preserve"> primarily because l</w:t>
      </w:r>
      <w:r w:rsidR="0010018E">
        <w:t xml:space="preserve">ow-band spectrum is </w:t>
      </w:r>
      <w:r w:rsidR="0010018E" w:rsidRPr="00885364">
        <w:rPr>
          <w:snapToGrid/>
        </w:rPr>
        <w:t>less costly to deploy and provides higher quality coverage</w:t>
      </w:r>
      <w:r w:rsidR="007A5852">
        <w:rPr>
          <w:snapToGrid/>
        </w:rPr>
        <w:t xml:space="preserve"> than higher-band spectrum</w:t>
      </w:r>
      <w:r w:rsidR="0010018E">
        <w:rPr>
          <w:snapToGrid/>
        </w:rPr>
        <w:t>,</w:t>
      </w:r>
      <w:r w:rsidR="0010018E" w:rsidRPr="001800E5">
        <w:rPr>
          <w:rStyle w:val="FootnoteReference"/>
        </w:rPr>
        <w:footnoteReference w:id="48"/>
      </w:r>
      <w:r w:rsidR="0010018E" w:rsidRPr="00885364">
        <w:rPr>
          <w:snapToGrid/>
        </w:rPr>
        <w:t xml:space="preserve"> </w:t>
      </w:r>
      <w:r w:rsidR="0010018E">
        <w:rPr>
          <w:snapToGrid/>
        </w:rPr>
        <w:t>and t</w:t>
      </w:r>
      <w:r w:rsidR="00885364" w:rsidRPr="00885364">
        <w:rPr>
          <w:snapToGrid/>
        </w:rPr>
        <w:t xml:space="preserve">he leading </w:t>
      </w:r>
      <w:r w:rsidR="00BF0710">
        <w:rPr>
          <w:snapToGrid/>
        </w:rPr>
        <w:t xml:space="preserve">nationwide </w:t>
      </w:r>
      <w:r w:rsidR="00885364" w:rsidRPr="00885364">
        <w:rPr>
          <w:snapToGrid/>
        </w:rPr>
        <w:t>providers h</w:t>
      </w:r>
      <w:r w:rsidR="00AA5BF4">
        <w:rPr>
          <w:snapToGrid/>
        </w:rPr>
        <w:t>old</w:t>
      </w:r>
      <w:r w:rsidR="00885364" w:rsidRPr="00885364">
        <w:rPr>
          <w:snapToGrid/>
        </w:rPr>
        <w:t xml:space="preserve"> most of the low-band spectrum available today.</w:t>
      </w:r>
      <w:r w:rsidR="00885364" w:rsidRPr="001800E5">
        <w:rPr>
          <w:rStyle w:val="FootnoteReference"/>
        </w:rPr>
        <w:footnoteReference w:id="49"/>
      </w:r>
      <w:r w:rsidR="00885364" w:rsidRPr="00885364">
        <w:rPr>
          <w:snapToGrid/>
        </w:rPr>
        <w:t xml:space="preserve">  </w:t>
      </w:r>
      <w:r w:rsidR="00D01BCA">
        <w:rPr>
          <w:snapToGrid/>
        </w:rPr>
        <w:t>The Commission found that i</w:t>
      </w:r>
      <w:r w:rsidR="00885364" w:rsidRPr="00885364">
        <w:rPr>
          <w:snapToGrid/>
        </w:rPr>
        <w:t>f they were to acquire all</w:t>
      </w:r>
      <w:r w:rsidR="00865FE8">
        <w:rPr>
          <w:snapToGrid/>
        </w:rPr>
        <w:t>,</w:t>
      </w:r>
      <w:r w:rsidR="00885364" w:rsidRPr="00885364">
        <w:rPr>
          <w:snapToGrid/>
        </w:rPr>
        <w:t xml:space="preserve"> or substantially all</w:t>
      </w:r>
      <w:r w:rsidR="00865FE8">
        <w:rPr>
          <w:snapToGrid/>
        </w:rPr>
        <w:t>,</w:t>
      </w:r>
      <w:r w:rsidR="00885364" w:rsidRPr="00885364">
        <w:rPr>
          <w:snapToGrid/>
        </w:rPr>
        <w:t xml:space="preserve"> of the remaining low-band spectrum, </w:t>
      </w:r>
      <w:r w:rsidR="00885364" w:rsidRPr="001800E5">
        <w:t>they would benefit</w:t>
      </w:r>
      <w:r w:rsidR="007A5852">
        <w:t>,</w:t>
      </w:r>
      <w:r w:rsidR="00885364" w:rsidRPr="001800E5">
        <w:t xml:space="preserve"> independently of any deployment</w:t>
      </w:r>
      <w:r w:rsidR="007A5852">
        <w:t>,</w:t>
      </w:r>
      <w:r w:rsidR="00885364" w:rsidRPr="001800E5">
        <w:t xml:space="preserve"> to the extent that </w:t>
      </w:r>
      <w:r w:rsidR="00AA5BF4">
        <w:t>rival service providers</w:t>
      </w:r>
      <w:r w:rsidR="00885364" w:rsidRPr="001800E5">
        <w:t xml:space="preserve"> are denied its use</w:t>
      </w:r>
      <w:r w:rsidR="0010018E">
        <w:t>.</w:t>
      </w:r>
      <w:r w:rsidR="0010018E" w:rsidRPr="001800E5">
        <w:rPr>
          <w:rStyle w:val="FootnoteReference"/>
        </w:rPr>
        <w:footnoteReference w:id="50"/>
      </w:r>
      <w:r w:rsidR="0010018E">
        <w:t xml:space="preserve">  </w:t>
      </w:r>
      <w:r w:rsidR="007A5852" w:rsidRPr="00963A08">
        <w:t>As the Commission found</w:t>
      </w:r>
      <w:r w:rsidR="007A5852">
        <w:t xml:space="preserve">, without access </w:t>
      </w:r>
      <w:r w:rsidR="007A5852" w:rsidRPr="001800E5">
        <w:t>to this low-band spectrum</w:t>
      </w:r>
      <w:r w:rsidR="00885364" w:rsidRPr="001800E5">
        <w:t xml:space="preserve">, </w:t>
      </w:r>
      <w:r w:rsidR="00AA5BF4">
        <w:t>rival service providers</w:t>
      </w:r>
      <w:r w:rsidR="00885364" w:rsidRPr="001800E5">
        <w:t xml:space="preserve"> </w:t>
      </w:r>
      <w:r>
        <w:t xml:space="preserve">that </w:t>
      </w:r>
      <w:r w:rsidR="00D64B4F">
        <w:t xml:space="preserve">may </w:t>
      </w:r>
      <w:r w:rsidR="00AA5BF4">
        <w:t>lack a mix of low-band and high</w:t>
      </w:r>
      <w:r w:rsidR="007A5852">
        <w:t>er</w:t>
      </w:r>
      <w:r w:rsidR="00AA5BF4">
        <w:t xml:space="preserve">-band spectrum </w:t>
      </w:r>
      <w:r w:rsidR="00885364" w:rsidRPr="001800E5">
        <w:t xml:space="preserve">would be less able to provide a </w:t>
      </w:r>
      <w:r w:rsidR="00AA5BF4">
        <w:t xml:space="preserve">robust </w:t>
      </w:r>
      <w:r w:rsidR="00885364" w:rsidRPr="001800E5">
        <w:t>competitive alternative</w:t>
      </w:r>
      <w:r w:rsidR="0010018E">
        <w:t>,</w:t>
      </w:r>
      <w:r w:rsidR="00885364" w:rsidRPr="001800E5">
        <w:t xml:space="preserve"> </w:t>
      </w:r>
      <w:r w:rsidR="0010018E">
        <w:t xml:space="preserve">and </w:t>
      </w:r>
      <w:r w:rsidR="003B589D" w:rsidRPr="00885364">
        <w:rPr>
          <w:snapToGrid/>
        </w:rPr>
        <w:t xml:space="preserve">may </w:t>
      </w:r>
      <w:r w:rsidR="00AA5BF4">
        <w:rPr>
          <w:snapToGrid/>
        </w:rPr>
        <w:t xml:space="preserve">not be able to quickly </w:t>
      </w:r>
      <w:r w:rsidR="003B589D" w:rsidRPr="00885364">
        <w:rPr>
          <w:snapToGrid/>
        </w:rPr>
        <w:t>expand coverage or provide new or innovativ</w:t>
      </w:r>
      <w:r w:rsidR="00AA5BF4">
        <w:rPr>
          <w:snapToGrid/>
        </w:rPr>
        <w:t>e services</w:t>
      </w:r>
      <w:r w:rsidR="0010018E">
        <w:rPr>
          <w:snapToGrid/>
        </w:rPr>
        <w:t>.</w:t>
      </w:r>
      <w:r w:rsidR="0010018E" w:rsidRPr="001800E5">
        <w:rPr>
          <w:rStyle w:val="FootnoteReference"/>
        </w:rPr>
        <w:footnoteReference w:id="51"/>
      </w:r>
      <w:r w:rsidR="0010018E" w:rsidRPr="001800E5">
        <w:t xml:space="preserve"> </w:t>
      </w:r>
      <w:r w:rsidR="003B589D" w:rsidRPr="00885364">
        <w:rPr>
          <w:snapToGrid/>
        </w:rPr>
        <w:t xml:space="preserve"> </w:t>
      </w:r>
    </w:p>
    <w:p w:rsidR="00D64B4F" w:rsidRDefault="006E6DEB" w:rsidP="00C13869">
      <w:pPr>
        <w:pStyle w:val="ParaNum"/>
        <w:widowControl/>
      </w:pPr>
      <w:r>
        <w:t>T</w:t>
      </w:r>
      <w:r w:rsidR="00994C1B">
        <w:t xml:space="preserve">he Commission </w:t>
      </w:r>
      <w:r w:rsidR="00BF0710">
        <w:t xml:space="preserve">stated </w:t>
      </w:r>
      <w:r w:rsidR="00774DC8">
        <w:t xml:space="preserve">in the </w:t>
      </w:r>
      <w:r w:rsidR="00774DC8" w:rsidRPr="00774DC8">
        <w:rPr>
          <w:i/>
        </w:rPr>
        <w:t>Mobile Spectrum Holdings Report and Order</w:t>
      </w:r>
      <w:r w:rsidR="00774DC8">
        <w:t xml:space="preserve"> </w:t>
      </w:r>
      <w:r w:rsidR="00BF0710">
        <w:t xml:space="preserve">that it </w:t>
      </w:r>
      <w:r w:rsidR="0083053B">
        <w:t>anticipated</w:t>
      </w:r>
      <w:r w:rsidR="00F7281C">
        <w:t xml:space="preserve"> </w:t>
      </w:r>
      <w:r w:rsidR="00664312">
        <w:t>“</w:t>
      </w:r>
      <w:r w:rsidR="00994C1B">
        <w:t>that</w:t>
      </w:r>
      <w:r w:rsidR="00542230" w:rsidRPr="001800E5">
        <w:t xml:space="preserve"> </w:t>
      </w:r>
      <w:r w:rsidR="00664312" w:rsidRPr="006A7868">
        <w:t>any entity that would end up with more than one third of below</w:t>
      </w:r>
      <w:r w:rsidR="00664312">
        <w:t>-</w:t>
      </w:r>
      <w:r w:rsidR="00664312" w:rsidRPr="006A7868">
        <w:t>1</w:t>
      </w:r>
      <w:r w:rsidR="00664312">
        <w:t>-</w:t>
      </w:r>
      <w:r w:rsidR="00664312" w:rsidRPr="006A7868">
        <w:t>GHz spectrum as a result of a proposed transaction would facilitate our case-by-case review with a detailed demonstration regarding why the public interest benefits outweigh harms</w:t>
      </w:r>
      <w:r w:rsidR="00664312">
        <w:t>.”</w:t>
      </w:r>
      <w:r w:rsidR="00994C1B" w:rsidRPr="00894362">
        <w:rPr>
          <w:rStyle w:val="FootnoteReference"/>
          <w:szCs w:val="22"/>
        </w:rPr>
        <w:footnoteReference w:id="52"/>
      </w:r>
      <w:r w:rsidR="00994C1B" w:rsidRPr="00C13869">
        <w:rPr>
          <w:rStyle w:val="StyleParaNumTimesNewRoman11ptChar"/>
          <w:szCs w:val="22"/>
          <w:lang w:eastAsia="x-none"/>
        </w:rPr>
        <w:t xml:space="preserve">  </w:t>
      </w:r>
      <w:r w:rsidR="007A5852" w:rsidRPr="00C13869">
        <w:rPr>
          <w:rStyle w:val="StyleParaNumTimesNewRoman11ptChar"/>
          <w:szCs w:val="22"/>
          <w:lang w:eastAsia="x-none"/>
        </w:rPr>
        <w:t>The Commission stated, however, that whe</w:t>
      </w:r>
      <w:r w:rsidR="007A5852" w:rsidRPr="001800E5">
        <w:t xml:space="preserve">n </w:t>
      </w:r>
      <w:r w:rsidR="00542230" w:rsidRPr="001800E5">
        <w:t>the other factors ordinarily consider</w:t>
      </w:r>
      <w:r w:rsidR="00994C1B">
        <w:t>ed</w:t>
      </w:r>
      <w:r w:rsidR="00542230" w:rsidRPr="001800E5">
        <w:t xml:space="preserve"> indicate a low potential for competitive or other public interest harm, the acquisition of </w:t>
      </w:r>
      <w:r w:rsidR="0032649E">
        <w:t>below-1-GHz</w:t>
      </w:r>
      <w:r w:rsidR="00542230" w:rsidRPr="001800E5">
        <w:t xml:space="preserve"> spectrum resulting in holdings of approximately one-third or more </w:t>
      </w:r>
      <w:r w:rsidR="00331249">
        <w:t xml:space="preserve">would </w:t>
      </w:r>
      <w:r w:rsidR="00542230" w:rsidRPr="001800E5">
        <w:t>not preclude a conclusion that a proposed transaction, on balance, furthers the public interest.</w:t>
      </w:r>
      <w:r w:rsidR="00994C1B" w:rsidRPr="00894362">
        <w:rPr>
          <w:rStyle w:val="FootnoteReference"/>
          <w:szCs w:val="22"/>
        </w:rPr>
        <w:footnoteReference w:id="53"/>
      </w:r>
      <w:r w:rsidR="00EB7D7A">
        <w:t xml:space="preserve">  </w:t>
      </w:r>
      <w:r w:rsidR="007A5852">
        <w:t xml:space="preserve">The Commission concluded that careful </w:t>
      </w:r>
      <w:r w:rsidR="00C1483E">
        <w:t>consideration of t</w:t>
      </w:r>
      <w:r w:rsidR="00366F3E">
        <w:t xml:space="preserve">he </w:t>
      </w:r>
      <w:r w:rsidR="007F376A">
        <w:t>likely effects</w:t>
      </w:r>
      <w:r w:rsidR="00366F3E">
        <w:t xml:space="preserve"> of increased aggregation of low-band spectrum</w:t>
      </w:r>
      <w:r w:rsidR="00C1483E">
        <w:t xml:space="preserve"> </w:t>
      </w:r>
      <w:r w:rsidR="008F07AF">
        <w:t xml:space="preserve">under this standard </w:t>
      </w:r>
      <w:r w:rsidR="00EB7D7A" w:rsidRPr="001800E5">
        <w:t xml:space="preserve">will help ensure that further concentration of such spectrum will not </w:t>
      </w:r>
      <w:r w:rsidR="007F376A">
        <w:t>adversely affect competition</w:t>
      </w:r>
      <w:r w:rsidR="00EB7D7A" w:rsidRPr="001800E5">
        <w:t xml:space="preserve"> either in particular local markets or on a broader regional or national level.</w:t>
      </w:r>
      <w:r w:rsidR="00EB7D7A">
        <w:rPr>
          <w:rStyle w:val="FootnoteReference"/>
        </w:rPr>
        <w:footnoteReference w:id="54"/>
      </w:r>
    </w:p>
    <w:p w:rsidR="006831D7" w:rsidRDefault="00220725">
      <w:pPr>
        <w:pStyle w:val="Heading2"/>
      </w:pPr>
      <w:bookmarkStart w:id="275" w:name="_Toc403981897"/>
      <w:bookmarkStart w:id="276" w:name="_Toc403998349"/>
      <w:bookmarkStart w:id="277" w:name="_Toc403998436"/>
      <w:bookmarkStart w:id="278" w:name="_Toc404003260"/>
      <w:bookmarkStart w:id="279" w:name="_Toc404003540"/>
      <w:bookmarkStart w:id="280" w:name="_Toc404152161"/>
      <w:bookmarkStart w:id="281" w:name="_Toc405185089"/>
      <w:bookmarkStart w:id="282" w:name="_Toc405799108"/>
      <w:bookmarkStart w:id="283" w:name="_Toc405799335"/>
      <w:bookmarkStart w:id="284" w:name="_Toc405801050"/>
      <w:bookmarkStart w:id="285" w:name="_Toc406666076"/>
      <w:bookmarkStart w:id="286" w:name="_Toc406684864"/>
      <w:bookmarkStart w:id="287" w:name="_Toc408223997"/>
      <w:bookmarkStart w:id="288" w:name="_Toc408580995"/>
      <w:bookmarkStart w:id="289" w:name="_Toc410028418"/>
      <w:bookmarkStart w:id="290" w:name="_Toc410116642"/>
      <w:bookmarkStart w:id="291" w:name="_Toc410119624"/>
      <w:bookmarkStart w:id="292" w:name="_Toc410121765"/>
      <w:bookmarkStart w:id="293" w:name="_Toc410339624"/>
      <w:bookmarkStart w:id="294" w:name="_Toc411607353"/>
      <w:bookmarkStart w:id="295" w:name="_Toc412112243"/>
      <w:bookmarkStart w:id="296" w:name="_Toc412557586"/>
      <w:bookmarkStart w:id="297" w:name="_Toc412795161"/>
      <w:bookmarkStart w:id="298" w:name="_Toc412804071"/>
      <w:bookmarkStart w:id="299" w:name="_Toc413055731"/>
      <w:bookmarkStart w:id="300" w:name="_Toc413162330"/>
      <w:bookmarkStart w:id="301" w:name="_Toc413246202"/>
      <w:bookmarkStart w:id="302" w:name="_Toc413392963"/>
      <w:bookmarkStart w:id="303" w:name="_Toc413687486"/>
      <w:bookmarkStart w:id="304" w:name="_Toc414366750"/>
      <w:bookmarkStart w:id="305" w:name="_Toc414537579"/>
      <w:bookmarkStart w:id="306" w:name="_Toc415215765"/>
      <w:bookmarkStart w:id="307" w:name="_Toc415573190"/>
      <w:bookmarkStart w:id="308" w:name="_Toc418681994"/>
      <w:r>
        <w:t>Competitive Overview and Market Definitions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220725" w:rsidRDefault="00220725" w:rsidP="008361D9">
      <w:pPr>
        <w:pStyle w:val="Heading3"/>
        <w:tabs>
          <w:tab w:val="num" w:pos="1440"/>
        </w:tabs>
      </w:pPr>
      <w:bookmarkStart w:id="309" w:name="_Toc403981898"/>
      <w:bookmarkStart w:id="310" w:name="_Toc403998350"/>
      <w:bookmarkStart w:id="311" w:name="_Toc403998437"/>
      <w:bookmarkStart w:id="312" w:name="_Toc404003261"/>
      <w:bookmarkStart w:id="313" w:name="_Toc404003541"/>
      <w:bookmarkStart w:id="314" w:name="_Toc404152162"/>
      <w:bookmarkStart w:id="315" w:name="_Toc405185090"/>
      <w:bookmarkStart w:id="316" w:name="_Toc405799109"/>
      <w:bookmarkStart w:id="317" w:name="_Toc405799336"/>
      <w:bookmarkStart w:id="318" w:name="_Toc405801051"/>
      <w:bookmarkStart w:id="319" w:name="_Toc406666077"/>
      <w:bookmarkStart w:id="320" w:name="_Toc406684865"/>
      <w:bookmarkStart w:id="321" w:name="_Toc408223998"/>
      <w:bookmarkStart w:id="322" w:name="_Toc408580996"/>
      <w:bookmarkStart w:id="323" w:name="_Toc410028419"/>
      <w:bookmarkStart w:id="324" w:name="_Toc410116643"/>
      <w:bookmarkStart w:id="325" w:name="_Toc410119625"/>
      <w:bookmarkStart w:id="326" w:name="_Toc410121766"/>
      <w:bookmarkStart w:id="327" w:name="_Toc410339625"/>
      <w:bookmarkStart w:id="328" w:name="_Toc411607354"/>
      <w:bookmarkStart w:id="329" w:name="_Toc412112244"/>
      <w:bookmarkStart w:id="330" w:name="_Toc412557587"/>
      <w:bookmarkStart w:id="331" w:name="_Toc412795162"/>
      <w:bookmarkStart w:id="332" w:name="_Toc412804072"/>
      <w:bookmarkStart w:id="333" w:name="_Toc413055732"/>
      <w:bookmarkStart w:id="334" w:name="_Toc413162331"/>
      <w:bookmarkStart w:id="335" w:name="_Toc413246203"/>
      <w:bookmarkStart w:id="336" w:name="_Toc413392964"/>
      <w:bookmarkStart w:id="337" w:name="_Toc413687487"/>
      <w:bookmarkStart w:id="338" w:name="_Toc414366751"/>
      <w:bookmarkStart w:id="339" w:name="_Toc414537580"/>
      <w:bookmarkStart w:id="340" w:name="_Toc415215766"/>
      <w:bookmarkStart w:id="341" w:name="_Toc415573191"/>
      <w:bookmarkStart w:id="342" w:name="_Toc418681995"/>
      <w:r>
        <w:t>Competitive Overview</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776FA2" w:rsidRPr="008361D9" w:rsidRDefault="0004756D" w:rsidP="005647FE">
      <w:pPr>
        <w:pStyle w:val="ParaNum"/>
        <w:widowControl/>
      </w:pPr>
      <w:r w:rsidRPr="008D6624">
        <w:rPr>
          <w:color w:val="010101"/>
          <w:kern w:val="0"/>
          <w:szCs w:val="22"/>
        </w:rPr>
        <w:t>Horizontal transactions such as the proposed transaction</w:t>
      </w:r>
      <w:r w:rsidR="00E85A50" w:rsidRPr="008D6624">
        <w:rPr>
          <w:color w:val="010101"/>
          <w:kern w:val="0"/>
          <w:szCs w:val="22"/>
        </w:rPr>
        <w:t>,</w:t>
      </w:r>
      <w:r w:rsidRPr="008D6624">
        <w:rPr>
          <w:color w:val="010101"/>
          <w:kern w:val="0"/>
          <w:szCs w:val="22"/>
        </w:rPr>
        <w:t xml:space="preserve"> </w:t>
      </w:r>
      <w:r w:rsidR="00E85A50" w:rsidRPr="008D6624">
        <w:rPr>
          <w:color w:val="010101"/>
        </w:rPr>
        <w:t xml:space="preserve">in which </w:t>
      </w:r>
      <w:r w:rsidR="00E85A50" w:rsidRPr="00247C39">
        <w:rPr>
          <w:color w:val="010101"/>
        </w:rPr>
        <w:t xml:space="preserve">rival firms in the same market </w:t>
      </w:r>
      <w:r w:rsidR="00E85A50" w:rsidRPr="008F3FD8">
        <w:rPr>
          <w:color w:val="010101"/>
        </w:rPr>
        <w:t xml:space="preserve">are combining, </w:t>
      </w:r>
      <w:r w:rsidRPr="008F3FD8">
        <w:rPr>
          <w:color w:val="010101"/>
          <w:kern w:val="0"/>
          <w:szCs w:val="22"/>
        </w:rPr>
        <w:t xml:space="preserve">raise potential competitive concerns when the merged entity has the incentive and the ability, either by itself or in </w:t>
      </w:r>
      <w:r w:rsidRPr="008D6624">
        <w:rPr>
          <w:color w:val="010101"/>
          <w:kern w:val="0"/>
          <w:szCs w:val="22"/>
        </w:rPr>
        <w:t>coordination with other service providers, to raise prices, lower quality, or otherwise harm competition in a relevant market.</w:t>
      </w:r>
      <w:r w:rsidR="00E85A50" w:rsidRPr="005211DB">
        <w:rPr>
          <w:rStyle w:val="FootnoteReference"/>
        </w:rPr>
        <w:footnoteReference w:id="55"/>
      </w:r>
      <w:r w:rsidRPr="008D6624">
        <w:rPr>
          <w:color w:val="010101"/>
          <w:kern w:val="0"/>
          <w:szCs w:val="22"/>
        </w:rPr>
        <w:t xml:space="preserve">  </w:t>
      </w:r>
      <w:r w:rsidR="00E85A50" w:rsidRPr="008D6624">
        <w:rPr>
          <w:color w:val="010101"/>
        </w:rPr>
        <w:t>We examine the likelihood of competitive harm by first estimating the extent to which market concentration, as measured by the Herfindahl-Hirschman Index (“HHI”), would increase as a result of the proposed transaction.</w:t>
      </w:r>
      <w:r w:rsidR="00E85A50" w:rsidRPr="005211DB">
        <w:rPr>
          <w:rStyle w:val="FootnoteReference"/>
        </w:rPr>
        <w:footnoteReference w:id="56"/>
      </w:r>
      <w:r w:rsidR="00E85A50" w:rsidRPr="008D6624">
        <w:rPr>
          <w:color w:val="010101"/>
        </w:rPr>
        <w:t xml:space="preserve">  </w:t>
      </w:r>
      <w:r w:rsidRPr="008D6624">
        <w:rPr>
          <w:color w:val="010101"/>
          <w:kern w:val="0"/>
          <w:szCs w:val="22"/>
        </w:rPr>
        <w:t xml:space="preserve">Second, we assess </w:t>
      </w:r>
      <w:r w:rsidRPr="00247C39">
        <w:rPr>
          <w:color w:val="010101"/>
          <w:kern w:val="0"/>
          <w:szCs w:val="22"/>
        </w:rPr>
        <w:t>whether any substantial incre</w:t>
      </w:r>
      <w:r w:rsidRPr="008F3FD8">
        <w:rPr>
          <w:color w:val="010101"/>
          <w:kern w:val="0"/>
          <w:szCs w:val="22"/>
        </w:rPr>
        <w:t>ases in horizontal market concentration would provide the combined entity with the ability to act anticompetitively</w:t>
      </w:r>
      <w:r w:rsidR="0062794D">
        <w:rPr>
          <w:color w:val="010101"/>
          <w:kern w:val="0"/>
          <w:szCs w:val="22"/>
        </w:rPr>
        <w:t>.</w:t>
      </w:r>
      <w:r w:rsidR="00E85A50">
        <w:rPr>
          <w:rStyle w:val="FootnoteReference"/>
          <w:kern w:val="0"/>
          <w:szCs w:val="22"/>
        </w:rPr>
        <w:footnoteReference w:id="57"/>
      </w:r>
      <w:r w:rsidR="008D6624" w:rsidRPr="008D6624">
        <w:rPr>
          <w:color w:val="010101"/>
          <w:kern w:val="0"/>
          <w:szCs w:val="22"/>
        </w:rPr>
        <w:t xml:space="preserve">  </w:t>
      </w:r>
      <w:r w:rsidRPr="008D6624">
        <w:rPr>
          <w:color w:val="010101"/>
          <w:kern w:val="0"/>
          <w:szCs w:val="22"/>
        </w:rPr>
        <w:t xml:space="preserve">In addition, </w:t>
      </w:r>
      <w:r w:rsidR="00247C39">
        <w:t>we</w:t>
      </w:r>
      <w:r>
        <w:t xml:space="preserve"> </w:t>
      </w:r>
      <w:r w:rsidR="00247C39">
        <w:t xml:space="preserve">evaluate </w:t>
      </w:r>
      <w:r>
        <w:t>the competitive effects of an increase in spectrum holdings on the marketplace</w:t>
      </w:r>
      <w:r w:rsidR="0031107B">
        <w:t>,</w:t>
      </w:r>
      <w:r>
        <w:rPr>
          <w:rStyle w:val="FootnoteReference"/>
        </w:rPr>
        <w:footnoteReference w:id="58"/>
      </w:r>
      <w:r w:rsidR="0031107B">
        <w:t xml:space="preserve"> i</w:t>
      </w:r>
      <w:r w:rsidR="0031107B" w:rsidRPr="00CE44D7">
        <w:rPr>
          <w:color w:val="010101"/>
          <w:kern w:val="0"/>
          <w:szCs w:val="22"/>
        </w:rPr>
        <w:t>ncludin</w:t>
      </w:r>
      <w:r w:rsidR="0031107B">
        <w:rPr>
          <w:color w:val="010101"/>
          <w:kern w:val="0"/>
          <w:szCs w:val="22"/>
        </w:rPr>
        <w:t>g</w:t>
      </w:r>
      <w:r w:rsidR="00C1663C">
        <w:rPr>
          <w:color w:val="010101"/>
          <w:kern w:val="0"/>
          <w:szCs w:val="22"/>
        </w:rPr>
        <w:t>, in particular,</w:t>
      </w:r>
      <w:r w:rsidR="0031107B">
        <w:rPr>
          <w:color w:val="010101"/>
          <w:kern w:val="0"/>
          <w:szCs w:val="22"/>
        </w:rPr>
        <w:t xml:space="preserve"> </w:t>
      </w:r>
      <w:r w:rsidR="00C1663C">
        <w:rPr>
          <w:color w:val="010101"/>
          <w:kern w:val="0"/>
          <w:szCs w:val="22"/>
        </w:rPr>
        <w:t xml:space="preserve">the </w:t>
      </w:r>
      <w:r w:rsidR="0031107B">
        <w:rPr>
          <w:color w:val="010101"/>
          <w:kern w:val="0"/>
          <w:szCs w:val="22"/>
        </w:rPr>
        <w:t xml:space="preserve">increased aggregation of </w:t>
      </w:r>
      <w:r w:rsidR="0032649E">
        <w:t>below-1-GHz</w:t>
      </w:r>
      <w:r w:rsidR="0031107B">
        <w:rPr>
          <w:color w:val="010101"/>
          <w:kern w:val="0"/>
          <w:szCs w:val="22"/>
        </w:rPr>
        <w:t xml:space="preserve"> spectrum</w:t>
      </w:r>
      <w:r w:rsidR="00C1663C">
        <w:rPr>
          <w:color w:val="010101"/>
          <w:kern w:val="0"/>
          <w:szCs w:val="22"/>
        </w:rPr>
        <w:t xml:space="preserve"> as a result of the proposed transaction</w:t>
      </w:r>
      <w:r w:rsidR="0031107B">
        <w:rPr>
          <w:color w:val="010101"/>
          <w:kern w:val="0"/>
          <w:szCs w:val="22"/>
        </w:rPr>
        <w:t>.</w:t>
      </w:r>
      <w:r w:rsidR="0031107B">
        <w:rPr>
          <w:rStyle w:val="FootnoteReference"/>
          <w:kern w:val="0"/>
          <w:szCs w:val="22"/>
        </w:rPr>
        <w:footnoteReference w:id="59"/>
      </w:r>
      <w:r w:rsidR="0031107B">
        <w:rPr>
          <w:color w:val="010101"/>
          <w:kern w:val="0"/>
          <w:szCs w:val="22"/>
        </w:rPr>
        <w:t xml:space="preserve">  </w:t>
      </w:r>
      <w:r w:rsidRPr="008D6624">
        <w:rPr>
          <w:color w:val="010101"/>
          <w:kern w:val="0"/>
          <w:szCs w:val="22"/>
        </w:rPr>
        <w:t>Spectrum is an essential input in the provision of mobile wireless services, and ensuring that sufficient spectrum</w:t>
      </w:r>
      <w:r w:rsidR="00246834">
        <w:rPr>
          <w:color w:val="010101"/>
          <w:kern w:val="0"/>
          <w:szCs w:val="22"/>
        </w:rPr>
        <w:t xml:space="preserve"> </w:t>
      </w:r>
      <w:r w:rsidRPr="00247C39">
        <w:rPr>
          <w:color w:val="010101"/>
          <w:kern w:val="0"/>
          <w:szCs w:val="22"/>
        </w:rPr>
        <w:t xml:space="preserve">is available for incumbent licensees as well as potential new entrants is </w:t>
      </w:r>
      <w:r w:rsidR="00A85D08">
        <w:rPr>
          <w:color w:val="010101"/>
          <w:kern w:val="0"/>
          <w:szCs w:val="22"/>
        </w:rPr>
        <w:t xml:space="preserve">therefore </w:t>
      </w:r>
      <w:r w:rsidRPr="00247C39">
        <w:rPr>
          <w:color w:val="010101"/>
          <w:kern w:val="0"/>
          <w:szCs w:val="22"/>
        </w:rPr>
        <w:t>critical to promoting effective competition and innovation in the marketplac</w:t>
      </w:r>
      <w:r w:rsidRPr="00D811C2">
        <w:rPr>
          <w:color w:val="010101"/>
          <w:kern w:val="0"/>
          <w:szCs w:val="22"/>
        </w:rPr>
        <w:t>e.</w:t>
      </w:r>
      <w:r>
        <w:rPr>
          <w:color w:val="010101"/>
          <w:kern w:val="0"/>
          <w:szCs w:val="22"/>
          <w:vertAlign w:val="superscript"/>
        </w:rPr>
        <w:footnoteReference w:id="60"/>
      </w:r>
    </w:p>
    <w:p w:rsidR="00220725" w:rsidRDefault="00220725" w:rsidP="008361D9">
      <w:pPr>
        <w:pStyle w:val="Heading3"/>
      </w:pPr>
      <w:bookmarkStart w:id="343" w:name="_Toc403981899"/>
      <w:bookmarkStart w:id="344" w:name="_Toc403998351"/>
      <w:bookmarkStart w:id="345" w:name="_Toc403998438"/>
      <w:bookmarkStart w:id="346" w:name="_Toc404003262"/>
      <w:bookmarkStart w:id="347" w:name="_Toc404003542"/>
      <w:bookmarkStart w:id="348" w:name="_Toc404152163"/>
      <w:bookmarkStart w:id="349" w:name="_Toc405185091"/>
      <w:bookmarkStart w:id="350" w:name="_Toc405799110"/>
      <w:bookmarkStart w:id="351" w:name="_Toc405799337"/>
      <w:bookmarkStart w:id="352" w:name="_Toc405801052"/>
      <w:bookmarkStart w:id="353" w:name="_Toc406666078"/>
      <w:bookmarkStart w:id="354" w:name="_Toc406684866"/>
      <w:bookmarkStart w:id="355" w:name="_Toc408223999"/>
      <w:bookmarkStart w:id="356" w:name="_Toc408580997"/>
      <w:bookmarkStart w:id="357" w:name="_Toc410028420"/>
      <w:bookmarkStart w:id="358" w:name="_Toc410116644"/>
      <w:bookmarkStart w:id="359" w:name="_Toc410119626"/>
      <w:bookmarkStart w:id="360" w:name="_Toc410121767"/>
      <w:bookmarkStart w:id="361" w:name="_Toc410339626"/>
      <w:bookmarkStart w:id="362" w:name="_Toc411607355"/>
      <w:bookmarkStart w:id="363" w:name="_Toc412112245"/>
      <w:bookmarkStart w:id="364" w:name="_Toc412557588"/>
      <w:bookmarkStart w:id="365" w:name="_Toc412795163"/>
      <w:bookmarkStart w:id="366" w:name="_Toc412804073"/>
      <w:bookmarkStart w:id="367" w:name="_Toc413055733"/>
      <w:bookmarkStart w:id="368" w:name="_Toc413162332"/>
      <w:bookmarkStart w:id="369" w:name="_Toc413246204"/>
      <w:bookmarkStart w:id="370" w:name="_Toc413392965"/>
      <w:bookmarkStart w:id="371" w:name="_Toc413687488"/>
      <w:bookmarkStart w:id="372" w:name="_Toc414366752"/>
      <w:bookmarkStart w:id="373" w:name="_Toc414537581"/>
      <w:bookmarkStart w:id="374" w:name="_Toc415215767"/>
      <w:bookmarkStart w:id="375" w:name="_Toc415573192"/>
      <w:bookmarkStart w:id="376" w:name="_Toc418681996"/>
      <w:r>
        <w:t>Market Definitions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126D57" w:rsidRPr="005211DB" w:rsidRDefault="00126D57" w:rsidP="008361D9">
      <w:pPr>
        <w:pStyle w:val="ParaNum"/>
        <w:widowControl/>
        <w:rPr>
          <w:color w:val="010101"/>
        </w:rPr>
      </w:pPr>
      <w:r w:rsidRPr="005211DB">
        <w:rPr>
          <w:color w:val="010101"/>
        </w:rPr>
        <w:t>We begin our competitive analysis by determining the appropriate market definitions for the proposed transaction,</w:t>
      </w:r>
      <w:r w:rsidRPr="005211DB">
        <w:rPr>
          <w:rStyle w:val="FootnoteReference"/>
        </w:rPr>
        <w:footnoteReference w:id="61"/>
      </w:r>
      <w:r w:rsidRPr="005211DB">
        <w:rPr>
          <w:color w:val="010101"/>
        </w:rPr>
        <w:t xml:space="preserve"> including a determination of the product market, </w:t>
      </w:r>
      <w:r>
        <w:rPr>
          <w:color w:val="010101"/>
        </w:rPr>
        <w:t xml:space="preserve">the </w:t>
      </w:r>
      <w:r w:rsidRPr="005211DB">
        <w:rPr>
          <w:color w:val="010101"/>
        </w:rPr>
        <w:t xml:space="preserve">geographic market, the input market for spectrum suitable and available for the provision of mobile wireless services, and the market participants.  </w:t>
      </w:r>
      <w:r w:rsidR="00917D52">
        <w:t xml:space="preserve">We note that no party in the proceeding has challenged the Commission’s current market definitions for </w:t>
      </w:r>
      <w:r w:rsidR="001A143E">
        <w:t xml:space="preserve">the </w:t>
      </w:r>
      <w:r w:rsidR="00917D52">
        <w:t>proposed transaction.</w:t>
      </w:r>
    </w:p>
    <w:p w:rsidR="00B16756" w:rsidRPr="00B16756" w:rsidRDefault="00440069" w:rsidP="00A21CE6">
      <w:pPr>
        <w:pStyle w:val="ParaNum"/>
      </w:pPr>
      <w:r>
        <w:rPr>
          <w:i/>
        </w:rPr>
        <w:t>Product Market</w:t>
      </w:r>
      <w:r w:rsidR="00342984">
        <w:t>.</w:t>
      </w:r>
      <w:r>
        <w:rPr>
          <w:i/>
        </w:rPr>
        <w:t xml:space="preserve">  </w:t>
      </w:r>
      <w:r w:rsidR="005C2F5D">
        <w:t>In recent transaction orders,</w:t>
      </w:r>
      <w:r w:rsidR="0087102F">
        <w:rPr>
          <w:rStyle w:val="FootnoteReference"/>
        </w:rPr>
        <w:footnoteReference w:id="62"/>
      </w:r>
      <w:r w:rsidR="005C2F5D">
        <w:t xml:space="preserve"> the Commission has determined that the relevant product market is a combined “mobile telephony/broadband services” product market that comprises mobile voice and data services, including mobile voice and data services provided over advanced broadband wireless net</w:t>
      </w:r>
      <w:r w:rsidR="004F4D40">
        <w:t>work</w:t>
      </w:r>
      <w:r w:rsidR="008C0D39">
        <w:t>s</w:t>
      </w:r>
      <w:r w:rsidR="004F4D40">
        <w:t xml:space="preserve"> (mobile broadband services</w:t>
      </w:r>
      <w:r w:rsidR="005C2F5D">
        <w:t>)</w:t>
      </w:r>
      <w:r w:rsidR="004F4D40">
        <w:t>.</w:t>
      </w:r>
      <w:r w:rsidR="004F4D40">
        <w:rPr>
          <w:rStyle w:val="FootnoteReference"/>
        </w:rPr>
        <w:footnoteReference w:id="63"/>
      </w:r>
      <w:r w:rsidR="005C2F5D">
        <w:t xml:space="preserve">  </w:t>
      </w:r>
      <w:r w:rsidR="00C61C85">
        <w:t>Consistent with past Commission de</w:t>
      </w:r>
      <w:r w:rsidR="00E04069">
        <w:t>terminations</w:t>
      </w:r>
      <w:r w:rsidR="00C61C85">
        <w:t>, w</w:t>
      </w:r>
      <w:r w:rsidR="005C2F5D">
        <w:t>e find that th</w:t>
      </w:r>
      <w:r w:rsidR="00342984">
        <w:t>is</w:t>
      </w:r>
      <w:r w:rsidR="005C2F5D">
        <w:t xml:space="preserve"> product market definition</w:t>
      </w:r>
      <w:r w:rsidR="00A21CE6">
        <w:t xml:space="preserve"> continues to encompass the mobile voice and data services</w:t>
      </w:r>
      <w:r w:rsidR="00851947">
        <w:t xml:space="preserve"> that are provided today, and i</w:t>
      </w:r>
      <w:r w:rsidR="00A21CE6">
        <w:t>s sufficiently flexible to reflect emerging, next-generation wireless services.</w:t>
      </w:r>
      <w:r w:rsidR="00851947">
        <w:rPr>
          <w:rStyle w:val="FootnoteReference"/>
        </w:rPr>
        <w:footnoteReference w:id="64"/>
      </w:r>
      <w:r w:rsidR="00A21CE6">
        <w:t xml:space="preserve">  </w:t>
      </w:r>
      <w:r w:rsidR="008F3FD8">
        <w:rPr>
          <w:color w:val="010101"/>
          <w:kern w:val="0"/>
          <w:szCs w:val="22"/>
        </w:rPr>
        <w:t xml:space="preserve">As set out in prior transaction proceedings, </w:t>
      </w:r>
      <w:r w:rsidR="008F3FD8" w:rsidRPr="007E54A0">
        <w:rPr>
          <w:color w:val="010101"/>
          <w:szCs w:val="22"/>
        </w:rPr>
        <w:t>the product market we define encompasses differentiated services (</w:t>
      </w:r>
      <w:r w:rsidR="008F3FD8" w:rsidRPr="007E54A0">
        <w:rPr>
          <w:i/>
          <w:color w:val="010101"/>
          <w:szCs w:val="22"/>
        </w:rPr>
        <w:t>e.g.</w:t>
      </w:r>
      <w:r w:rsidR="008F3FD8" w:rsidRPr="007E54A0">
        <w:rPr>
          <w:color w:val="010101"/>
          <w:szCs w:val="22"/>
        </w:rPr>
        <w:t>, voice-centric or data-centric), devices (</w:t>
      </w:r>
      <w:r w:rsidR="008F3FD8" w:rsidRPr="007E54A0">
        <w:rPr>
          <w:i/>
          <w:color w:val="010101"/>
          <w:szCs w:val="22"/>
        </w:rPr>
        <w:t>e.g.</w:t>
      </w:r>
      <w:r w:rsidR="008F3FD8" w:rsidRPr="007E54A0">
        <w:rPr>
          <w:color w:val="010101"/>
          <w:szCs w:val="22"/>
        </w:rPr>
        <w:t>, feature phone, smartphone, tablet, etc.), and contract features (</w:t>
      </w:r>
      <w:r w:rsidR="008F3FD8" w:rsidRPr="007E54A0">
        <w:rPr>
          <w:i/>
          <w:color w:val="010101"/>
          <w:szCs w:val="22"/>
        </w:rPr>
        <w:t>e.g.</w:t>
      </w:r>
      <w:r w:rsidR="008F3FD8">
        <w:rPr>
          <w:i/>
          <w:color w:val="010101"/>
          <w:szCs w:val="22"/>
        </w:rPr>
        <w:t>,</w:t>
      </w:r>
      <w:r w:rsidR="008F3FD8" w:rsidRPr="007E54A0">
        <w:rPr>
          <w:i/>
          <w:color w:val="010101"/>
          <w:szCs w:val="22"/>
        </w:rPr>
        <w:t xml:space="preserve"> </w:t>
      </w:r>
      <w:r w:rsidR="008F3FD8" w:rsidRPr="007E54A0">
        <w:rPr>
          <w:color w:val="010101"/>
          <w:szCs w:val="22"/>
        </w:rPr>
        <w:t>prepaid vs. postpaid)</w:t>
      </w:r>
      <w:r w:rsidR="007E1D27">
        <w:rPr>
          <w:color w:val="010101"/>
          <w:szCs w:val="22"/>
        </w:rPr>
        <w:t>.</w:t>
      </w:r>
      <w:r w:rsidR="008F3FD8">
        <w:rPr>
          <w:rStyle w:val="FootnoteReference"/>
          <w:szCs w:val="22"/>
        </w:rPr>
        <w:footnoteReference w:id="65"/>
      </w:r>
      <w:r w:rsidR="00AA789A">
        <w:rPr>
          <w:color w:val="010101"/>
          <w:szCs w:val="22"/>
        </w:rPr>
        <w:t xml:space="preserve">  </w:t>
      </w:r>
      <w:r w:rsidR="008F3FD8" w:rsidRPr="007E54A0">
        <w:rPr>
          <w:color w:val="010101"/>
          <w:szCs w:val="22"/>
        </w:rPr>
        <w:t>While such distinctions may suggest the possibility of smaller markets nested within th</w:t>
      </w:r>
      <w:r w:rsidR="008F3FD8">
        <w:rPr>
          <w:color w:val="010101"/>
          <w:szCs w:val="22"/>
        </w:rPr>
        <w:t>at</w:t>
      </w:r>
      <w:r w:rsidR="008F3FD8" w:rsidRPr="007E54A0">
        <w:rPr>
          <w:color w:val="010101"/>
          <w:szCs w:val="22"/>
        </w:rPr>
        <w:t xml:space="preserve"> product market,</w:t>
      </w:r>
      <w:r w:rsidR="00822C93">
        <w:rPr>
          <w:rStyle w:val="FootnoteReference"/>
          <w:szCs w:val="22"/>
        </w:rPr>
        <w:footnoteReference w:id="66"/>
      </w:r>
      <w:r w:rsidR="008F3FD8" w:rsidRPr="007E54A0">
        <w:rPr>
          <w:color w:val="010101"/>
          <w:szCs w:val="22"/>
        </w:rPr>
        <w:t xml:space="preserve"> we find it unnecessary to examine that possibility in order to analyze the potential competitive effects of th</w:t>
      </w:r>
      <w:r w:rsidR="008F3FD8">
        <w:rPr>
          <w:color w:val="010101"/>
          <w:szCs w:val="22"/>
        </w:rPr>
        <w:t>e proposed</w:t>
      </w:r>
      <w:r w:rsidR="008F3FD8" w:rsidRPr="007E54A0">
        <w:rPr>
          <w:color w:val="010101"/>
          <w:szCs w:val="22"/>
        </w:rPr>
        <w:t xml:space="preserve"> transaction.  We consider these aspects of product differentiation, as appropriate, when we analyze the competitive effects of the </w:t>
      </w:r>
      <w:r w:rsidR="00822C93">
        <w:rPr>
          <w:color w:val="010101"/>
          <w:szCs w:val="22"/>
        </w:rPr>
        <w:t xml:space="preserve">proposed </w:t>
      </w:r>
      <w:r w:rsidR="008F3FD8" w:rsidRPr="007E54A0">
        <w:rPr>
          <w:color w:val="010101"/>
          <w:szCs w:val="22"/>
        </w:rPr>
        <w:t>transaction within the markets we define.</w:t>
      </w:r>
      <w:r w:rsidR="00822C93">
        <w:rPr>
          <w:color w:val="010101"/>
          <w:szCs w:val="22"/>
        </w:rPr>
        <w:t xml:space="preserve">  </w:t>
      </w:r>
      <w:r w:rsidR="00822C93">
        <w:t xml:space="preserve">We therefore find that it is in the public interest to retain the current product market definition.  </w:t>
      </w:r>
    </w:p>
    <w:p w:rsidR="00B16756" w:rsidRDefault="00440069" w:rsidP="008E7C4B">
      <w:pPr>
        <w:pStyle w:val="ParaNum"/>
      </w:pPr>
      <w:r>
        <w:rPr>
          <w:i/>
        </w:rPr>
        <w:t>Geographic Markets</w:t>
      </w:r>
      <w:r w:rsidR="000E58A2">
        <w:rPr>
          <w:i/>
        </w:rPr>
        <w:t>.</w:t>
      </w:r>
      <w:r>
        <w:rPr>
          <w:i/>
        </w:rPr>
        <w:t xml:space="preserve">  </w:t>
      </w:r>
      <w:r w:rsidR="001A5DC2">
        <w:t xml:space="preserve">The Commission has found in recent transaction orders that the relevant geographic markets for certain wireless transactions generally are local, but has held that a transaction’s competitive effects should also be evaluated </w:t>
      </w:r>
      <w:r w:rsidR="00E43C60">
        <w:t>at the national level where a transaction exhibits certain national characteristics that provide cause for concern.</w:t>
      </w:r>
      <w:r w:rsidR="004F192D">
        <w:rPr>
          <w:rStyle w:val="FootnoteReference"/>
        </w:rPr>
        <w:footnoteReference w:id="67"/>
      </w:r>
      <w:r w:rsidR="00375BF9">
        <w:t xml:space="preserve">  Because most consumers use their mobile telephony/broadband services</w:t>
      </w:r>
      <w:r w:rsidR="00917D52">
        <w:t xml:space="preserve"> at or close to where they live</w:t>
      </w:r>
      <w:r w:rsidR="00375BF9">
        <w:t xml:space="preserve">, work, and shop, they purchase mobile telephony/broadband services from service providers that offer and market </w:t>
      </w:r>
      <w:r w:rsidR="00D811C2">
        <w:t xml:space="preserve">such </w:t>
      </w:r>
      <w:r w:rsidR="00375BF9">
        <w:t>services locally.</w:t>
      </w:r>
      <w:r w:rsidR="001018F4">
        <w:rPr>
          <w:rStyle w:val="FootnoteReference"/>
        </w:rPr>
        <w:footnoteReference w:id="68"/>
      </w:r>
      <w:r w:rsidR="0056302B">
        <w:t xml:space="preserve">  Service sold in distant locations is generally not a good substitute for service near a consumer’s home or work.</w:t>
      </w:r>
      <w:r w:rsidR="00A14361">
        <w:rPr>
          <w:rStyle w:val="FootnoteReference"/>
        </w:rPr>
        <w:footnoteReference w:id="69"/>
      </w:r>
      <w:r w:rsidR="00A14361">
        <w:t xml:space="preserve">  </w:t>
      </w:r>
      <w:r w:rsidR="00430D70">
        <w:t xml:space="preserve">In addition, service providers compete at the local level </w:t>
      </w:r>
      <w:r w:rsidR="0057433F">
        <w:t>on factors such as</w:t>
      </w:r>
      <w:r w:rsidR="00430D70">
        <w:t xml:space="preserve"> coverage and service quality.</w:t>
      </w:r>
      <w:r w:rsidR="00430D70">
        <w:rPr>
          <w:rStyle w:val="FootnoteReference"/>
        </w:rPr>
        <w:footnoteReference w:id="70"/>
      </w:r>
      <w:r w:rsidR="004B3F8B">
        <w:t xml:space="preserve">  As the Commission has recognized</w:t>
      </w:r>
      <w:r w:rsidR="007B3078">
        <w:t xml:space="preserve"> previously</w:t>
      </w:r>
      <w:r w:rsidR="004B3F8B">
        <w:t>, however, two key competitive variables – monthly prices and service plan offerings – do not vary for most providers across most geographic markets.</w:t>
      </w:r>
      <w:r w:rsidR="00592B69">
        <w:rPr>
          <w:rStyle w:val="FootnoteReference"/>
        </w:rPr>
        <w:footnoteReference w:id="71"/>
      </w:r>
      <w:r w:rsidR="00EF2300">
        <w:t xml:space="preserve">  In addition, </w:t>
      </w:r>
      <w:r w:rsidR="001D0B9E">
        <w:t>certain key elements in the provision of mobile wireless services, such as the development of mobile broadband equipment and devices, are done largely on a national level.</w:t>
      </w:r>
      <w:r w:rsidR="00EC65B5">
        <w:rPr>
          <w:rStyle w:val="FootnoteReference"/>
        </w:rPr>
        <w:footnoteReference w:id="72"/>
      </w:r>
    </w:p>
    <w:p w:rsidR="00D03005" w:rsidRDefault="004734F9" w:rsidP="00F70B27">
      <w:pPr>
        <w:pStyle w:val="ParaNum"/>
        <w:widowControl/>
        <w:tabs>
          <w:tab w:val="num" w:pos="0"/>
        </w:tabs>
      </w:pPr>
      <w:r>
        <w:t xml:space="preserve">While the Commission has in the past, where appropriate, analyzed a </w:t>
      </w:r>
      <w:r w:rsidR="0088118E">
        <w:t xml:space="preserve">proposed </w:t>
      </w:r>
      <w:r>
        <w:t>transaction’s competitive effects at the national level, we see no reason to do so for th</w:t>
      </w:r>
      <w:r w:rsidR="007C1C91">
        <w:t>e</w:t>
      </w:r>
      <w:r>
        <w:t xml:space="preserve"> </w:t>
      </w:r>
      <w:r w:rsidR="007C1C91">
        <w:t>instant</w:t>
      </w:r>
      <w:r>
        <w:t xml:space="preserve"> transaction.</w:t>
      </w:r>
      <w:r w:rsidR="00B118D3">
        <w:t xml:space="preserve">  The Applicants are seeking Commission approval to the </w:t>
      </w:r>
      <w:r w:rsidR="002F4F12">
        <w:t>transfer of approximately 40,000 subscribers, along with network equipment</w:t>
      </w:r>
      <w:r w:rsidR="006C29BB">
        <w:t xml:space="preserve"> and other assets</w:t>
      </w:r>
      <w:r w:rsidR="002F4F12">
        <w:t xml:space="preserve">, as well as the </w:t>
      </w:r>
      <w:r w:rsidR="00B118D3">
        <w:t>proposed assignment of 32</w:t>
      </w:r>
      <w:r w:rsidR="00246834">
        <w:t xml:space="preserve"> to </w:t>
      </w:r>
      <w:r w:rsidR="00B118D3">
        <w:t>57 megahertz of spectrum</w:t>
      </w:r>
      <w:r w:rsidR="007B3078">
        <w:t xml:space="preserve"> </w:t>
      </w:r>
      <w:r w:rsidR="00D811C2">
        <w:t>cover</w:t>
      </w:r>
      <w:r w:rsidR="007B3078">
        <w:t>ing</w:t>
      </w:r>
      <w:r w:rsidR="00D811C2">
        <w:t xml:space="preserve"> 24 counties</w:t>
      </w:r>
      <w:r w:rsidR="00C2001F">
        <w:t xml:space="preserve"> </w:t>
      </w:r>
      <w:r w:rsidR="00123E79">
        <w:t xml:space="preserve">in three </w:t>
      </w:r>
      <w:r w:rsidR="00C2001F">
        <w:t>CMAs</w:t>
      </w:r>
      <w:r w:rsidR="007B3078">
        <w:t>,</w:t>
      </w:r>
      <w:r w:rsidR="00C2001F">
        <w:t xml:space="preserve"> </w:t>
      </w:r>
      <w:r w:rsidR="00D811C2">
        <w:t>account</w:t>
      </w:r>
      <w:r w:rsidR="007B3078">
        <w:t>ing</w:t>
      </w:r>
      <w:r w:rsidR="00D811C2">
        <w:t xml:space="preserve"> for well under one percent of the population of the United States</w:t>
      </w:r>
      <w:r w:rsidR="00C2001F">
        <w:t xml:space="preserve">.  </w:t>
      </w:r>
      <w:r w:rsidR="00C3274F">
        <w:t xml:space="preserve">We </w:t>
      </w:r>
      <w:r w:rsidR="007F0558">
        <w:t>f</w:t>
      </w:r>
      <w:r w:rsidR="00C3274F">
        <w:t>ind that any potential competitive harms arising from the proposed transaction would be limited to local markets.</w:t>
      </w:r>
      <w:r w:rsidR="00B118D3">
        <w:t xml:space="preserve"> </w:t>
      </w:r>
    </w:p>
    <w:p w:rsidR="0017666D" w:rsidRDefault="00440069" w:rsidP="00F70B27">
      <w:pPr>
        <w:pStyle w:val="ParaNum"/>
        <w:widowControl/>
        <w:tabs>
          <w:tab w:val="num" w:pos="0"/>
        </w:tabs>
      </w:pPr>
      <w:r>
        <w:rPr>
          <w:i/>
        </w:rPr>
        <w:t>Input Market for Spectrum</w:t>
      </w:r>
      <w:r w:rsidR="000E58A2">
        <w:rPr>
          <w:i/>
        </w:rPr>
        <w:t>.</w:t>
      </w:r>
      <w:r>
        <w:rPr>
          <w:i/>
        </w:rPr>
        <w:t xml:space="preserve">  </w:t>
      </w:r>
      <w:r w:rsidR="00AA4FD4" w:rsidRPr="004B093E">
        <w:t>When a proposed transaction would increase the concentration of spectrum holdings in any local market, the Commission evaluates the acquiring firm’s post-transaction holdings of spectrum that is “suitable” and “available” in the near term for the provision of mobile telephony/broadband services.</w:t>
      </w:r>
      <w:r w:rsidR="0017666D">
        <w:rPr>
          <w:rStyle w:val="FootnoteReference"/>
        </w:rPr>
        <w:footnoteReference w:id="73"/>
      </w:r>
      <w:r w:rsidR="00AA4FD4">
        <w:t xml:space="preserve">  </w:t>
      </w:r>
      <w:r w:rsidR="0017666D" w:rsidRPr="001800E5">
        <w:t>Suitability is determined by whether the spectrum is capable of supporting mobile service given its physical properties and the state of equipment technology, whether the spectrum is licensed with a mobile allocation and corresponding service rules, and whether the spectrum is committed to another use that effectively precludes its use for mobile services.</w:t>
      </w:r>
      <w:r w:rsidR="0017666D" w:rsidRPr="001800E5">
        <w:rPr>
          <w:rStyle w:val="FootnoteReference"/>
        </w:rPr>
        <w:footnoteReference w:id="74"/>
      </w:r>
      <w:r w:rsidR="0017666D" w:rsidRPr="001800E5">
        <w:t xml:space="preserve">  Spectrum is considered available if it is “fairly certain that it will meet the criteria for suitable spectrum in the near term.”</w:t>
      </w:r>
      <w:r w:rsidR="0017666D" w:rsidRPr="001800E5">
        <w:rPr>
          <w:rStyle w:val="FootnoteReference"/>
        </w:rPr>
        <w:footnoteReference w:id="75"/>
      </w:r>
    </w:p>
    <w:p w:rsidR="005261CA" w:rsidRDefault="00AC29C9" w:rsidP="006A5E52">
      <w:pPr>
        <w:pStyle w:val="ParaNum"/>
        <w:widowControl/>
        <w:tabs>
          <w:tab w:val="num" w:pos="0"/>
        </w:tabs>
      </w:pPr>
      <w:r>
        <w:t>T</w:t>
      </w:r>
      <w:r w:rsidR="00ED6167">
        <w:t xml:space="preserve">he Commission has </w:t>
      </w:r>
      <w:r w:rsidR="00AA4FD4" w:rsidRPr="001800E5">
        <w:t xml:space="preserve">determined </w:t>
      </w:r>
      <w:r>
        <w:t xml:space="preserve">in prior transaction orders </w:t>
      </w:r>
      <w:r w:rsidR="00AA4FD4" w:rsidRPr="001800E5">
        <w:t>that the following bands, or portions thereof, meet this definition of suitable and available</w:t>
      </w:r>
      <w:r w:rsidR="00A85D08">
        <w:t xml:space="preserve"> spectrum</w:t>
      </w:r>
      <w:r w:rsidR="00CB3BBB">
        <w:t>,</w:t>
      </w:r>
      <w:r w:rsidR="00AA4FD4" w:rsidRPr="001800E5">
        <w:t xml:space="preserve"> and should be included in the </w:t>
      </w:r>
      <w:r w:rsidR="008F3FD8">
        <w:t>input market</w:t>
      </w:r>
      <w:r w:rsidR="00AA4FD4" w:rsidRPr="001800E5">
        <w:t xml:space="preserve">:  cellular, broadband PCS, SMR, 700 MHz band spectrum, Advanced Wireless Services in the 1710-1755 and 2110-2155 MHz band (“AWS-1,” on a market-by-market basis), Broadband Radio Service spectrum (“BRS,” on a market-by-market basis), and </w:t>
      </w:r>
      <w:r w:rsidR="0094174D">
        <w:t>Wireless Communications Service (“</w:t>
      </w:r>
      <w:r w:rsidR="00AA4FD4" w:rsidRPr="001800E5">
        <w:t>WCS</w:t>
      </w:r>
      <w:r w:rsidR="0094174D">
        <w:t>”)</w:t>
      </w:r>
      <w:r w:rsidR="00AA4FD4" w:rsidRPr="001800E5">
        <w:t xml:space="preserve"> spectrum.</w:t>
      </w:r>
      <w:r w:rsidR="00086E18">
        <w:rPr>
          <w:rStyle w:val="FootnoteReference"/>
        </w:rPr>
        <w:footnoteReference w:id="76"/>
      </w:r>
      <w:r w:rsidR="00ED6167">
        <w:t xml:space="preserve">  </w:t>
      </w:r>
      <w:r w:rsidR="00AA789A">
        <w:t>Further</w:t>
      </w:r>
      <w:r w:rsidR="00ED6167">
        <w:t xml:space="preserve">, in the </w:t>
      </w:r>
      <w:r w:rsidR="00ED6167" w:rsidRPr="00242B3B">
        <w:rPr>
          <w:i/>
        </w:rPr>
        <w:t xml:space="preserve">Mobile Spectrum Holdings </w:t>
      </w:r>
      <w:r w:rsidR="00556F9D">
        <w:rPr>
          <w:i/>
        </w:rPr>
        <w:t>Report and</w:t>
      </w:r>
      <w:r w:rsidR="00556F9D" w:rsidRPr="00BF23C2">
        <w:rPr>
          <w:i/>
        </w:rPr>
        <w:t xml:space="preserve"> </w:t>
      </w:r>
      <w:r w:rsidR="00ED6167" w:rsidRPr="00242B3B">
        <w:rPr>
          <w:i/>
        </w:rPr>
        <w:t>Order</w:t>
      </w:r>
      <w:r w:rsidR="00ED6167">
        <w:t xml:space="preserve">, the Commission </w:t>
      </w:r>
      <w:r w:rsidR="004A0C17">
        <w:t xml:space="preserve">determined that </w:t>
      </w:r>
      <w:r w:rsidR="004A0C17" w:rsidRPr="001800E5">
        <w:t xml:space="preserve">the following spectrum </w:t>
      </w:r>
      <w:r w:rsidR="00AA789A">
        <w:t>bands are suitable and available</w:t>
      </w:r>
      <w:r w:rsidR="00440069">
        <w:t xml:space="preserve"> and also should be included</w:t>
      </w:r>
      <w:r w:rsidR="004A0C17" w:rsidRPr="001800E5">
        <w:t>:  the 600 MHz band (at the conclusion of the Incentive Auction), Advanced Wireless Services in the 2000-2020 MHz and 2180-2200 MHz spectrum bands (</w:t>
      </w:r>
      <w:r w:rsidR="006D5590">
        <w:t>“</w:t>
      </w:r>
      <w:r w:rsidR="004A0C17" w:rsidRPr="001800E5">
        <w:t>AWS-4</w:t>
      </w:r>
      <w:r w:rsidR="006D5590">
        <w:t>”</w:t>
      </w:r>
      <w:r w:rsidR="004A0C17" w:rsidRPr="001800E5">
        <w:t>), H Block, additional BRS spectrum, the majority of the EBS spectrum, and the</w:t>
      </w:r>
      <w:r w:rsidR="00294149">
        <w:t xml:space="preserve"> Advanced Wireless Services-3 (“</w:t>
      </w:r>
      <w:r w:rsidR="004A0C17" w:rsidRPr="001800E5">
        <w:t>AWS-3</w:t>
      </w:r>
      <w:r w:rsidR="00294149">
        <w:t>”)</w:t>
      </w:r>
      <w:r w:rsidR="004A0C17" w:rsidRPr="001800E5">
        <w:t xml:space="preserve"> band (on a market-by-market basis as it becomes “available”).</w:t>
      </w:r>
      <w:r w:rsidR="00086E18">
        <w:rPr>
          <w:rStyle w:val="FootnoteReference"/>
        </w:rPr>
        <w:footnoteReference w:id="77"/>
      </w:r>
      <w:r w:rsidR="004A0C17" w:rsidRPr="001800E5">
        <w:t xml:space="preserve">  </w:t>
      </w:r>
      <w:r w:rsidR="004A0C17">
        <w:t>The Commission also</w:t>
      </w:r>
      <w:r w:rsidR="004A0C17" w:rsidRPr="001800E5">
        <w:t xml:space="preserve"> determine</w:t>
      </w:r>
      <w:r w:rsidR="004A0C17">
        <w:t>d</w:t>
      </w:r>
      <w:r w:rsidR="00DD5D87">
        <w:t xml:space="preserve"> in that </w:t>
      </w:r>
      <w:r w:rsidR="00400EA7">
        <w:t xml:space="preserve">Report and </w:t>
      </w:r>
      <w:r w:rsidR="00DD5D87">
        <w:t>Order</w:t>
      </w:r>
      <w:r w:rsidR="004A0C17" w:rsidRPr="001800E5">
        <w:t xml:space="preserve"> that the Upper 700 MHz D Block and a certain amount of the SMR spectrum</w:t>
      </w:r>
      <w:r w:rsidR="004A0C17">
        <w:t xml:space="preserve"> should </w:t>
      </w:r>
      <w:r w:rsidR="002958B6">
        <w:t xml:space="preserve">not </w:t>
      </w:r>
      <w:r w:rsidR="004A0C17">
        <w:t>be included.</w:t>
      </w:r>
      <w:r w:rsidR="00086E18">
        <w:rPr>
          <w:rStyle w:val="FootnoteReference"/>
        </w:rPr>
        <w:footnoteReference w:id="78"/>
      </w:r>
      <w:r w:rsidR="00AA4FD4">
        <w:t xml:space="preserve"> </w:t>
      </w:r>
    </w:p>
    <w:p w:rsidR="00B16756" w:rsidRPr="00B16756" w:rsidRDefault="00440069" w:rsidP="002B59CB">
      <w:pPr>
        <w:pStyle w:val="ParaNum"/>
      </w:pPr>
      <w:r w:rsidRPr="003419E0">
        <w:rPr>
          <w:i/>
          <w:szCs w:val="22"/>
        </w:rPr>
        <w:t>Market Participants</w:t>
      </w:r>
      <w:r w:rsidR="000E58A2">
        <w:rPr>
          <w:i/>
          <w:szCs w:val="22"/>
        </w:rPr>
        <w:t>.</w:t>
      </w:r>
      <w:r w:rsidRPr="003419E0">
        <w:rPr>
          <w:i/>
          <w:szCs w:val="22"/>
        </w:rPr>
        <w:t xml:space="preserve">  </w:t>
      </w:r>
      <w:r w:rsidR="00957DD9" w:rsidRPr="003419E0">
        <w:rPr>
          <w:szCs w:val="22"/>
        </w:rPr>
        <w:t xml:space="preserve">In previous transactions, the Commission </w:t>
      </w:r>
      <w:r w:rsidR="00957DD9">
        <w:t xml:space="preserve">has considered </w:t>
      </w:r>
      <w:r w:rsidR="00957DD9" w:rsidRPr="005211DB">
        <w:t>only facilities-based entities providing mobile telephony/broadband services using cellular, PCS, SMR, 700 MHz, AWS-1, BRS, and WCS spectrum to be market participants</w:t>
      </w:r>
      <w:r w:rsidR="001807D6">
        <w:t>.</w:t>
      </w:r>
      <w:r w:rsidR="00957DD9" w:rsidRPr="005211DB">
        <w:rPr>
          <w:rStyle w:val="FootnoteReference"/>
        </w:rPr>
        <w:footnoteReference w:id="79"/>
      </w:r>
      <w:r w:rsidR="007C1FD2">
        <w:t xml:space="preserve">  </w:t>
      </w:r>
      <w:r w:rsidR="001807D6">
        <w:t xml:space="preserve">Consistent with the </w:t>
      </w:r>
      <w:r w:rsidR="001807D6" w:rsidRPr="003419E0">
        <w:rPr>
          <w:i/>
        </w:rPr>
        <w:t>Mobile Spectrum Holdings Report and Order</w:t>
      </w:r>
      <w:r w:rsidR="001807D6">
        <w:t>, we</w:t>
      </w:r>
      <w:r w:rsidR="001807D6" w:rsidRPr="008E47FC">
        <w:t xml:space="preserve"> will </w:t>
      </w:r>
      <w:r w:rsidR="00AA5759">
        <w:t xml:space="preserve">also </w:t>
      </w:r>
      <w:r w:rsidR="001807D6">
        <w:t xml:space="preserve">consider </w:t>
      </w:r>
      <w:r w:rsidR="001807D6" w:rsidRPr="008E47FC">
        <w:t xml:space="preserve">facilities-based entities providing mobile telephony/broadband services using </w:t>
      </w:r>
      <w:r w:rsidR="001807D6">
        <w:t xml:space="preserve">AWS-4, H Block, EBS, and AWS-3 and 600 MHz spectrum (as </w:t>
      </w:r>
      <w:r w:rsidR="0062794D">
        <w:t>both the latter</w:t>
      </w:r>
      <w:r w:rsidR="001807D6">
        <w:t xml:space="preserve"> becom</w:t>
      </w:r>
      <w:r w:rsidR="0062794D">
        <w:t>e</w:t>
      </w:r>
      <w:r w:rsidR="001807D6">
        <w:t xml:space="preserve"> available) to be market participants.</w:t>
      </w:r>
      <w:r w:rsidR="001807D6">
        <w:rPr>
          <w:rStyle w:val="FootnoteReference"/>
        </w:rPr>
        <w:footnoteReference w:id="80"/>
      </w:r>
      <w:r w:rsidR="001807D6">
        <w:t xml:space="preserve">  </w:t>
      </w:r>
    </w:p>
    <w:p w:rsidR="005261CA" w:rsidRDefault="0004492D" w:rsidP="0004492D">
      <w:pPr>
        <w:pStyle w:val="Heading2"/>
      </w:pPr>
      <w:bookmarkStart w:id="377" w:name="_Toc403981900"/>
      <w:bookmarkStart w:id="378" w:name="_Toc403998356"/>
      <w:bookmarkStart w:id="379" w:name="_Toc403998443"/>
      <w:bookmarkStart w:id="380" w:name="_Toc404003267"/>
      <w:bookmarkStart w:id="381" w:name="_Toc404003547"/>
      <w:bookmarkStart w:id="382" w:name="_Toc404152168"/>
      <w:bookmarkStart w:id="383" w:name="_Toc405185096"/>
      <w:bookmarkStart w:id="384" w:name="_Toc405799111"/>
      <w:bookmarkStart w:id="385" w:name="_Toc405799338"/>
      <w:bookmarkStart w:id="386" w:name="_Toc405801053"/>
      <w:bookmarkStart w:id="387" w:name="_Toc406666079"/>
      <w:bookmarkStart w:id="388" w:name="_Toc406684867"/>
      <w:bookmarkStart w:id="389" w:name="_Toc408224000"/>
      <w:bookmarkStart w:id="390" w:name="_Toc408580998"/>
      <w:bookmarkStart w:id="391" w:name="_Toc410028421"/>
      <w:bookmarkStart w:id="392" w:name="_Toc410116645"/>
      <w:bookmarkStart w:id="393" w:name="_Toc410119627"/>
      <w:bookmarkStart w:id="394" w:name="_Toc410121768"/>
      <w:bookmarkStart w:id="395" w:name="_Toc410339627"/>
      <w:bookmarkStart w:id="396" w:name="_Toc411607356"/>
      <w:bookmarkStart w:id="397" w:name="_Toc412112246"/>
      <w:bookmarkStart w:id="398" w:name="_Toc412557589"/>
      <w:bookmarkStart w:id="399" w:name="_Toc412795164"/>
      <w:bookmarkStart w:id="400" w:name="_Toc412804074"/>
      <w:bookmarkStart w:id="401" w:name="_Toc413055734"/>
      <w:bookmarkStart w:id="402" w:name="_Toc413162333"/>
      <w:bookmarkStart w:id="403" w:name="_Toc413246205"/>
      <w:bookmarkStart w:id="404" w:name="_Toc413392966"/>
      <w:bookmarkStart w:id="405" w:name="_Toc413687489"/>
      <w:bookmarkStart w:id="406" w:name="_Toc414366753"/>
      <w:bookmarkStart w:id="407" w:name="_Toc414537582"/>
      <w:bookmarkStart w:id="408" w:name="_Toc415215768"/>
      <w:bookmarkStart w:id="409" w:name="_Toc415573193"/>
      <w:bookmarkStart w:id="410" w:name="_Toc418681997"/>
      <w:r>
        <w:t>Competitive Effects of the Proposed Transaction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440069" w:rsidRDefault="00440069" w:rsidP="00440069">
      <w:pPr>
        <w:pStyle w:val="Heading3"/>
        <w:tabs>
          <w:tab w:val="num" w:pos="1440"/>
        </w:tabs>
      </w:pPr>
      <w:bookmarkStart w:id="411" w:name="_Toc405799112"/>
      <w:bookmarkStart w:id="412" w:name="_Toc405799339"/>
      <w:bookmarkStart w:id="413" w:name="_Toc405801054"/>
      <w:bookmarkStart w:id="414" w:name="_Toc406666080"/>
      <w:bookmarkStart w:id="415" w:name="_Toc406684868"/>
      <w:bookmarkStart w:id="416" w:name="_Toc408224001"/>
      <w:bookmarkStart w:id="417" w:name="_Toc408580999"/>
      <w:bookmarkStart w:id="418" w:name="_Toc410028422"/>
      <w:bookmarkStart w:id="419" w:name="_Toc410116646"/>
      <w:bookmarkStart w:id="420" w:name="_Toc410119628"/>
      <w:bookmarkStart w:id="421" w:name="_Toc410121769"/>
      <w:bookmarkStart w:id="422" w:name="_Toc410339628"/>
      <w:bookmarkStart w:id="423" w:name="_Toc411607357"/>
      <w:bookmarkStart w:id="424" w:name="_Toc412112247"/>
      <w:bookmarkStart w:id="425" w:name="_Toc412557590"/>
      <w:bookmarkStart w:id="426" w:name="_Toc412795165"/>
      <w:bookmarkStart w:id="427" w:name="_Toc412804075"/>
      <w:bookmarkStart w:id="428" w:name="_Toc413055735"/>
      <w:bookmarkStart w:id="429" w:name="_Toc413162334"/>
      <w:bookmarkStart w:id="430" w:name="_Toc413246206"/>
      <w:bookmarkStart w:id="431" w:name="_Toc413392967"/>
      <w:bookmarkStart w:id="432" w:name="_Toc413687490"/>
      <w:bookmarkStart w:id="433" w:name="_Toc414366754"/>
      <w:bookmarkStart w:id="434" w:name="_Toc414537583"/>
      <w:bookmarkStart w:id="435" w:name="_Toc415215769"/>
      <w:bookmarkStart w:id="436" w:name="_Toc415573194"/>
      <w:bookmarkStart w:id="437" w:name="_Toc418681998"/>
      <w:r>
        <w:t>Initial Review</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AF650C" w:rsidRPr="004A0496" w:rsidRDefault="00A712F4" w:rsidP="00AF650C">
      <w:pPr>
        <w:pStyle w:val="ParaNum"/>
        <w:rPr>
          <w:szCs w:val="22"/>
        </w:rPr>
      </w:pPr>
      <w:r w:rsidRPr="005211DB">
        <w:t xml:space="preserve">As discussed above, </w:t>
      </w:r>
      <w:r w:rsidR="00295D62" w:rsidRPr="005211DB">
        <w:t xml:space="preserve">to help identify </w:t>
      </w:r>
      <w:r w:rsidR="00295D62">
        <w:t xml:space="preserve">those </w:t>
      </w:r>
      <w:r w:rsidR="00295D62" w:rsidRPr="005211DB">
        <w:t xml:space="preserve">local markets </w:t>
      </w:r>
      <w:r w:rsidR="00295D62">
        <w:t xml:space="preserve">in which </w:t>
      </w:r>
      <w:r w:rsidR="00295D62" w:rsidRPr="005211DB">
        <w:t>competitive concerns are more likely</w:t>
      </w:r>
      <w:r w:rsidR="00295D62">
        <w:t xml:space="preserve">, </w:t>
      </w:r>
      <w:r w:rsidRPr="005211DB">
        <w:t>we apply a</w:t>
      </w:r>
      <w:r w:rsidR="00373E11">
        <w:t>n initial</w:t>
      </w:r>
      <w:r w:rsidRPr="005211DB">
        <w:t xml:space="preserve"> two-part screen</w:t>
      </w:r>
      <w:r w:rsidR="00F55602">
        <w:t>,</w:t>
      </w:r>
      <w:r w:rsidR="00F55602" w:rsidRPr="005211DB">
        <w:rPr>
          <w:rStyle w:val="FootnoteReference"/>
        </w:rPr>
        <w:footnoteReference w:id="81"/>
      </w:r>
      <w:r w:rsidR="00F55602">
        <w:t xml:space="preserve"> as well as consider</w:t>
      </w:r>
      <w:r w:rsidR="007F376A">
        <w:t xml:space="preserve"> the markets </w:t>
      </w:r>
      <w:r w:rsidR="00F55602">
        <w:t>where</w:t>
      </w:r>
      <w:r w:rsidR="007F376A">
        <w:t xml:space="preserve"> the acquiring entity would increase its below-1-GHz spectrum </w:t>
      </w:r>
      <w:r w:rsidR="002A23C7">
        <w:t xml:space="preserve">holdings </w:t>
      </w:r>
      <w:r w:rsidR="00295D62">
        <w:t>to hold</w:t>
      </w:r>
      <w:r w:rsidR="00F735AB">
        <w:t xml:space="preserve"> approximately one-third or more of </w:t>
      </w:r>
      <w:r w:rsidR="00295D62">
        <w:t xml:space="preserve">such </w:t>
      </w:r>
      <w:r w:rsidR="006340E0">
        <w:t>spectrum</w:t>
      </w:r>
      <w:r w:rsidR="00295D62">
        <w:t xml:space="preserve"> post-transaction.</w:t>
      </w:r>
      <w:r w:rsidR="00F55602" w:rsidRPr="005211DB">
        <w:rPr>
          <w:rStyle w:val="FootnoteReference"/>
        </w:rPr>
        <w:footnoteReference w:id="82"/>
      </w:r>
      <w:r w:rsidRPr="005211DB">
        <w:t xml:space="preserve">  The first part of the screen is based on the size of the post-transaction HHI and the change in the HHI</w:t>
      </w:r>
      <w:r>
        <w:t>,</w:t>
      </w:r>
      <w:r w:rsidR="00AB2A9B" w:rsidRPr="004B093E">
        <w:rPr>
          <w:rStyle w:val="FootnoteReference"/>
        </w:rPr>
        <w:footnoteReference w:id="83"/>
      </w:r>
      <w:r>
        <w:t xml:space="preserve"> and f</w:t>
      </w:r>
      <w:r w:rsidRPr="005211DB">
        <w:t>or purposes of determining HHIs in th</w:t>
      </w:r>
      <w:r w:rsidR="001A4FDC">
        <w:t>e</w:t>
      </w:r>
      <w:r w:rsidRPr="005211DB">
        <w:t xml:space="preserve"> </w:t>
      </w:r>
      <w:r w:rsidR="001A4FDC">
        <w:t xml:space="preserve">proposed </w:t>
      </w:r>
      <w:r w:rsidRPr="005211DB">
        <w:t xml:space="preserve">transaction, we use our </w:t>
      </w:r>
      <w:r w:rsidR="000802DB">
        <w:t>June</w:t>
      </w:r>
      <w:r w:rsidR="000802DB" w:rsidRPr="005211DB">
        <w:t xml:space="preserve"> 201</w:t>
      </w:r>
      <w:r w:rsidR="000802DB">
        <w:t>4</w:t>
      </w:r>
      <w:r w:rsidR="000802DB" w:rsidRPr="005211DB">
        <w:t xml:space="preserve"> </w:t>
      </w:r>
      <w:r w:rsidRPr="005211DB">
        <w:t>NRUF database, which tracks phone number usage by all service providers.</w:t>
      </w:r>
      <w:r w:rsidRPr="005211DB">
        <w:rPr>
          <w:rStyle w:val="FootnoteReference"/>
        </w:rPr>
        <w:footnoteReference w:id="84"/>
      </w:r>
      <w:r w:rsidRPr="005211DB">
        <w:t xml:space="preserve">  Consistent with our local geographic market definition, in calculating HHIs and the change in the HHI</w:t>
      </w:r>
      <w:r w:rsidR="00CB3BBB">
        <w:t>s</w:t>
      </w:r>
      <w:r w:rsidRPr="005211DB">
        <w:t xml:space="preserve">, we analyze service provider data by CMA.  The second part of the </w:t>
      </w:r>
      <w:r>
        <w:t>screen, which is applied on a county-by-county basis,</w:t>
      </w:r>
      <w:r w:rsidRPr="005211DB">
        <w:t xml:space="preserve"> identifies local markets where an entity would </w:t>
      </w:r>
      <w:r>
        <w:t>hold</w:t>
      </w:r>
      <w:r w:rsidRPr="005211DB">
        <w:t xml:space="preserve"> approximately one-third </w:t>
      </w:r>
      <w:r>
        <w:t xml:space="preserve">or more </w:t>
      </w:r>
      <w:r w:rsidRPr="005211DB">
        <w:t>of the total spectrum suitable and available for the provision of mobile telephony/broadband services</w:t>
      </w:r>
      <w:r>
        <w:t>, post-transaction</w:t>
      </w:r>
      <w:r w:rsidRPr="005211DB">
        <w:t>.</w:t>
      </w:r>
      <w:r w:rsidRPr="006A5E52">
        <w:rPr>
          <w:sz w:val="20"/>
          <w:vertAlign w:val="superscript"/>
        </w:rPr>
        <w:footnoteReference w:id="85"/>
      </w:r>
      <w:r w:rsidRPr="006A5E52">
        <w:rPr>
          <w:sz w:val="20"/>
        </w:rPr>
        <w:t xml:space="preserve"> </w:t>
      </w:r>
      <w:r w:rsidRPr="005211DB">
        <w:t xml:space="preserve"> </w:t>
      </w:r>
      <w:r w:rsidR="00AF650C">
        <w:t>Further, because</w:t>
      </w:r>
      <w:r w:rsidR="00AF650C" w:rsidRPr="005211DB">
        <w:t xml:space="preserve"> AT&amp;T is acquiring spectrum below 1 GHz in </w:t>
      </w:r>
      <w:r w:rsidR="00AF650C">
        <w:t>all three</w:t>
      </w:r>
      <w:r w:rsidR="00AF650C" w:rsidRPr="005211DB">
        <w:t xml:space="preserve"> CMAs, </w:t>
      </w:r>
      <w:r w:rsidR="00AF650C" w:rsidRPr="004A0496">
        <w:rPr>
          <w:bCs/>
        </w:rPr>
        <w:t xml:space="preserve">we also carefully examine the possible competitive effects resulting from an increase in </w:t>
      </w:r>
      <w:r w:rsidR="00295D62">
        <w:rPr>
          <w:bCs/>
        </w:rPr>
        <w:t xml:space="preserve">below-1-GHz </w:t>
      </w:r>
      <w:r w:rsidR="00AF650C" w:rsidRPr="004A0496">
        <w:rPr>
          <w:bCs/>
        </w:rPr>
        <w:t xml:space="preserve">spectrum holdings </w:t>
      </w:r>
      <w:r w:rsidR="002A23C7">
        <w:rPr>
          <w:bCs/>
        </w:rPr>
        <w:t>that</w:t>
      </w:r>
      <w:r w:rsidR="00C73253">
        <w:rPr>
          <w:bCs/>
        </w:rPr>
        <w:t xml:space="preserve"> would be </w:t>
      </w:r>
      <w:r w:rsidR="00F735AB">
        <w:t xml:space="preserve">above the threshold identified in the </w:t>
      </w:r>
      <w:r w:rsidR="00F735AB" w:rsidRPr="005859B4">
        <w:rPr>
          <w:i/>
        </w:rPr>
        <w:t>Mobile Spectrum Holdings Report and Order</w:t>
      </w:r>
      <w:r w:rsidR="00F735AB">
        <w:t>, as discussed herein</w:t>
      </w:r>
      <w:r w:rsidR="00AF650C" w:rsidRPr="004A0496">
        <w:rPr>
          <w:bCs/>
        </w:rPr>
        <w:t>.</w:t>
      </w:r>
      <w:r w:rsidR="00AF650C" w:rsidRPr="006A5E52">
        <w:rPr>
          <w:sz w:val="20"/>
          <w:vertAlign w:val="superscript"/>
        </w:rPr>
        <w:footnoteReference w:id="86"/>
      </w:r>
      <w:r w:rsidR="00AF650C" w:rsidRPr="004A0496">
        <w:rPr>
          <w:bCs/>
        </w:rPr>
        <w:t xml:space="preserve">  </w:t>
      </w:r>
    </w:p>
    <w:p w:rsidR="000B730D" w:rsidRDefault="00FA76A0" w:rsidP="00A74EAD">
      <w:pPr>
        <w:pStyle w:val="ParaNum"/>
        <w:widowControl/>
        <w:rPr>
          <w:szCs w:val="22"/>
        </w:rPr>
      </w:pPr>
      <w:r>
        <w:rPr>
          <w:szCs w:val="22"/>
        </w:rPr>
        <w:t>The a</w:t>
      </w:r>
      <w:r w:rsidR="000B730D" w:rsidRPr="00894362">
        <w:rPr>
          <w:szCs w:val="22"/>
        </w:rPr>
        <w:t xml:space="preserve">pplication of the initial </w:t>
      </w:r>
      <w:r w:rsidR="000B730D">
        <w:rPr>
          <w:szCs w:val="22"/>
        </w:rPr>
        <w:t xml:space="preserve">two-part </w:t>
      </w:r>
      <w:r w:rsidR="000B730D" w:rsidRPr="00894362">
        <w:rPr>
          <w:szCs w:val="22"/>
        </w:rPr>
        <w:t xml:space="preserve">screen to the proposed transaction results in the HHI screen being triggered in </w:t>
      </w:r>
      <w:r w:rsidR="00CD49DA">
        <w:rPr>
          <w:szCs w:val="22"/>
        </w:rPr>
        <w:t>two of the three CMAs (</w:t>
      </w:r>
      <w:r w:rsidR="000B730D" w:rsidRPr="00894362">
        <w:rPr>
          <w:szCs w:val="22"/>
        </w:rPr>
        <w:t>CMA 556 (New Mexico 4 – Santa Fe) and CMA 654 (Texas 3 – Parmer)</w:t>
      </w:r>
      <w:r w:rsidR="00CD49DA">
        <w:rPr>
          <w:szCs w:val="22"/>
        </w:rPr>
        <w:t>),</w:t>
      </w:r>
      <w:r w:rsidR="00B70787">
        <w:rPr>
          <w:szCs w:val="22"/>
        </w:rPr>
        <w:t xml:space="preserve"> while the </w:t>
      </w:r>
      <w:r w:rsidR="00356951">
        <w:rPr>
          <w:szCs w:val="22"/>
        </w:rPr>
        <w:t>total</w:t>
      </w:r>
      <w:r w:rsidR="00356951" w:rsidRPr="00894362">
        <w:rPr>
          <w:szCs w:val="22"/>
        </w:rPr>
        <w:t xml:space="preserve"> spectrum screen </w:t>
      </w:r>
      <w:r w:rsidR="00B70787">
        <w:rPr>
          <w:szCs w:val="22"/>
        </w:rPr>
        <w:t xml:space="preserve">is not triggered in any of the </w:t>
      </w:r>
      <w:r w:rsidR="002A4647">
        <w:rPr>
          <w:szCs w:val="22"/>
        </w:rPr>
        <w:t>three markets</w:t>
      </w:r>
      <w:r w:rsidR="00356951" w:rsidRPr="00894362">
        <w:rPr>
          <w:szCs w:val="22"/>
        </w:rPr>
        <w:t>.</w:t>
      </w:r>
      <w:r w:rsidR="00356951">
        <w:rPr>
          <w:szCs w:val="22"/>
        </w:rPr>
        <w:t xml:space="preserve">  </w:t>
      </w:r>
      <w:r w:rsidR="005B33E3">
        <w:rPr>
          <w:szCs w:val="22"/>
        </w:rPr>
        <w:t>In e</w:t>
      </w:r>
      <w:r w:rsidR="00404F31">
        <w:rPr>
          <w:szCs w:val="22"/>
        </w:rPr>
        <w:t xml:space="preserve">xamining the holdings of below-1-GHz spectrum, </w:t>
      </w:r>
      <w:r w:rsidR="00D63F55">
        <w:rPr>
          <w:szCs w:val="22"/>
        </w:rPr>
        <w:t>we</w:t>
      </w:r>
      <w:r w:rsidR="003A16BF">
        <w:rPr>
          <w:szCs w:val="22"/>
        </w:rPr>
        <w:t xml:space="preserve"> find that there is</w:t>
      </w:r>
      <w:r w:rsidR="00F55602">
        <w:rPr>
          <w:szCs w:val="22"/>
        </w:rPr>
        <w:t xml:space="preserve"> </w:t>
      </w:r>
      <w:r w:rsidR="003D3258">
        <w:rPr>
          <w:szCs w:val="22"/>
        </w:rPr>
        <w:t>one</w:t>
      </w:r>
      <w:r w:rsidR="00AA5759">
        <w:rPr>
          <w:szCs w:val="22"/>
        </w:rPr>
        <w:t xml:space="preserve"> of these </w:t>
      </w:r>
      <w:r w:rsidR="002A4647">
        <w:rPr>
          <w:szCs w:val="22"/>
        </w:rPr>
        <w:t xml:space="preserve">three </w:t>
      </w:r>
      <w:r w:rsidR="003D3258">
        <w:rPr>
          <w:szCs w:val="22"/>
        </w:rPr>
        <w:t>local market</w:t>
      </w:r>
      <w:r w:rsidR="00AA5759">
        <w:rPr>
          <w:szCs w:val="22"/>
        </w:rPr>
        <w:t>s</w:t>
      </w:r>
      <w:r w:rsidR="003D3258">
        <w:rPr>
          <w:szCs w:val="22"/>
        </w:rPr>
        <w:t>, Texas 3 – Parmer</w:t>
      </w:r>
      <w:r w:rsidR="002E35FF">
        <w:rPr>
          <w:szCs w:val="22"/>
        </w:rPr>
        <w:t>,</w:t>
      </w:r>
      <w:r w:rsidR="003D3258">
        <w:rPr>
          <w:szCs w:val="22"/>
        </w:rPr>
        <w:t xml:space="preserve"> in which AT&amp;T would hold more than one-third of the suitable and available </w:t>
      </w:r>
      <w:r w:rsidR="0032649E">
        <w:t>below-1-GHz</w:t>
      </w:r>
      <w:r w:rsidR="003D3258">
        <w:rPr>
          <w:szCs w:val="22"/>
        </w:rPr>
        <w:t xml:space="preserve"> spectrum post-transaction.  </w:t>
      </w:r>
      <w:r w:rsidR="00356951">
        <w:rPr>
          <w:szCs w:val="22"/>
        </w:rPr>
        <w:t>W</w:t>
      </w:r>
      <w:r w:rsidR="000B730D" w:rsidRPr="00894362">
        <w:rPr>
          <w:szCs w:val="22"/>
        </w:rPr>
        <w:t xml:space="preserve">e </w:t>
      </w:r>
      <w:r w:rsidR="000B730D">
        <w:rPr>
          <w:szCs w:val="22"/>
        </w:rPr>
        <w:t xml:space="preserve">analyze </w:t>
      </w:r>
      <w:r w:rsidR="000B730D" w:rsidRPr="00894362">
        <w:rPr>
          <w:szCs w:val="22"/>
        </w:rPr>
        <w:t xml:space="preserve">the </w:t>
      </w:r>
      <w:r w:rsidR="000B730D">
        <w:rPr>
          <w:szCs w:val="22"/>
        </w:rPr>
        <w:t xml:space="preserve">likely </w:t>
      </w:r>
      <w:r w:rsidR="000B730D" w:rsidRPr="00894362">
        <w:rPr>
          <w:szCs w:val="22"/>
        </w:rPr>
        <w:t xml:space="preserve">competitive effects that may result from a reduction in the number of facilities-based service providers </w:t>
      </w:r>
      <w:r w:rsidR="000B730D">
        <w:rPr>
          <w:szCs w:val="22"/>
        </w:rPr>
        <w:t>i</w:t>
      </w:r>
      <w:r w:rsidR="000B730D" w:rsidRPr="00894362">
        <w:rPr>
          <w:szCs w:val="22"/>
        </w:rPr>
        <w:t xml:space="preserve">n </w:t>
      </w:r>
      <w:r w:rsidR="003D3258">
        <w:rPr>
          <w:szCs w:val="22"/>
        </w:rPr>
        <w:t xml:space="preserve">New Mexico 4 – Santa Fe and Texas 3 – Parmer, and consider the extent to which </w:t>
      </w:r>
      <w:r w:rsidR="00404F31">
        <w:rPr>
          <w:szCs w:val="22"/>
        </w:rPr>
        <w:t xml:space="preserve">the </w:t>
      </w:r>
      <w:r w:rsidR="003D3258">
        <w:rPr>
          <w:szCs w:val="22"/>
        </w:rPr>
        <w:t xml:space="preserve">increased </w:t>
      </w:r>
      <w:r w:rsidR="0032649E">
        <w:t>below-1-GHz</w:t>
      </w:r>
      <w:r w:rsidR="003D3258">
        <w:rPr>
          <w:szCs w:val="22"/>
        </w:rPr>
        <w:t xml:space="preserve"> spectrum concentration </w:t>
      </w:r>
      <w:r w:rsidR="009623B0">
        <w:rPr>
          <w:szCs w:val="22"/>
        </w:rPr>
        <w:t xml:space="preserve">by AT&amp;T </w:t>
      </w:r>
      <w:r w:rsidR="003D3258">
        <w:rPr>
          <w:szCs w:val="22"/>
        </w:rPr>
        <w:t>could affect the ability of rival service providers to provide robust competition in Texas 3 – Parmer</w:t>
      </w:r>
      <w:r w:rsidR="00404F31">
        <w:rPr>
          <w:szCs w:val="22"/>
        </w:rPr>
        <w:t>.</w:t>
      </w:r>
    </w:p>
    <w:p w:rsidR="0004492D" w:rsidRDefault="0004492D" w:rsidP="00B83EDA">
      <w:pPr>
        <w:pStyle w:val="Heading3"/>
        <w:tabs>
          <w:tab w:val="num" w:pos="1440"/>
        </w:tabs>
      </w:pPr>
      <w:bookmarkStart w:id="438" w:name="_Toc403981903"/>
      <w:bookmarkStart w:id="439" w:name="_Toc403998359"/>
      <w:bookmarkStart w:id="440" w:name="_Toc403998446"/>
      <w:bookmarkStart w:id="441" w:name="_Toc404003270"/>
      <w:bookmarkStart w:id="442" w:name="_Toc404003550"/>
      <w:bookmarkStart w:id="443" w:name="_Toc404152171"/>
      <w:bookmarkStart w:id="444" w:name="_Toc405185099"/>
      <w:bookmarkStart w:id="445" w:name="_Toc405799113"/>
      <w:bookmarkStart w:id="446" w:name="_Toc405799340"/>
      <w:bookmarkStart w:id="447" w:name="_Toc405801055"/>
      <w:bookmarkStart w:id="448" w:name="_Toc406666081"/>
      <w:bookmarkStart w:id="449" w:name="_Toc406684869"/>
      <w:bookmarkStart w:id="450" w:name="_Toc408224002"/>
      <w:bookmarkStart w:id="451" w:name="_Toc408581000"/>
      <w:bookmarkStart w:id="452" w:name="_Toc410028423"/>
      <w:bookmarkStart w:id="453" w:name="_Toc410116647"/>
      <w:bookmarkStart w:id="454" w:name="_Toc410119629"/>
      <w:bookmarkStart w:id="455" w:name="_Toc410121770"/>
      <w:bookmarkStart w:id="456" w:name="_Toc410339629"/>
      <w:bookmarkStart w:id="457" w:name="_Toc411607358"/>
      <w:bookmarkStart w:id="458" w:name="_Toc412112248"/>
      <w:bookmarkStart w:id="459" w:name="_Toc412557591"/>
      <w:bookmarkStart w:id="460" w:name="_Toc412795166"/>
      <w:bookmarkStart w:id="461" w:name="_Toc412804076"/>
      <w:bookmarkStart w:id="462" w:name="_Toc413055736"/>
      <w:bookmarkStart w:id="463" w:name="_Toc413162335"/>
      <w:bookmarkStart w:id="464" w:name="_Toc413246207"/>
      <w:bookmarkStart w:id="465" w:name="_Toc413392968"/>
      <w:bookmarkStart w:id="466" w:name="_Toc413687491"/>
      <w:bookmarkStart w:id="467" w:name="_Toc414366755"/>
      <w:bookmarkStart w:id="468" w:name="_Toc414537584"/>
      <w:bookmarkStart w:id="469" w:name="_Toc415215770"/>
      <w:bookmarkStart w:id="470" w:name="_Toc415573195"/>
      <w:bookmarkStart w:id="471" w:name="_Toc418681999"/>
      <w:r>
        <w:t>Competitive Analysis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CA618A" w:rsidRPr="001676C3" w:rsidRDefault="00CA618A" w:rsidP="001676C3">
      <w:pPr>
        <w:pStyle w:val="ParaNum"/>
        <w:widowControl/>
        <w:rPr>
          <w:rStyle w:val="StyleParaNumTimesNewRoman11ptChar"/>
          <w:szCs w:val="22"/>
          <w:lang w:eastAsia="x-none"/>
        </w:rPr>
      </w:pPr>
      <w:r w:rsidRPr="00C1483E">
        <w:rPr>
          <w:rStyle w:val="StyleParaNumTimesNewRoman11ptChar"/>
          <w:szCs w:val="22"/>
          <w:lang w:eastAsia="x-none"/>
        </w:rPr>
        <w:t>The market for mobile telephony/broadband services in the United States is differentiated.  Service providers compete not only on the basis of price but als</w:t>
      </w:r>
      <w:r w:rsidRPr="00A07D0A">
        <w:rPr>
          <w:rStyle w:val="StyleParaNumTimesNewRoman11ptChar"/>
          <w:szCs w:val="22"/>
          <w:lang w:eastAsia="x-none"/>
        </w:rPr>
        <w:t>o on other variables such as plan features, call quality, geographic coverage, and customer service.</w:t>
      </w:r>
      <w:r w:rsidRPr="006A5E52">
        <w:rPr>
          <w:rStyle w:val="StyleParaNumTimesNewRoman11ptChar"/>
          <w:sz w:val="20"/>
          <w:vertAlign w:val="superscript"/>
        </w:rPr>
        <w:footnoteReference w:id="87"/>
      </w:r>
      <w:r w:rsidRPr="00C1483E">
        <w:rPr>
          <w:rStyle w:val="StyleParaNumTimesNewRoman11ptChar"/>
          <w:szCs w:val="22"/>
          <w:lang w:eastAsia="x-none"/>
        </w:rPr>
        <w:t xml:space="preserve">  Competition may be harmed either through unilateral actions by the combined entity, or through coordinated interaction among service providers competing </w:t>
      </w:r>
      <w:r w:rsidRPr="00A07D0A">
        <w:rPr>
          <w:rStyle w:val="StyleParaNumTimesNewRoman11ptChar"/>
          <w:szCs w:val="22"/>
          <w:lang w:eastAsia="x-none"/>
        </w:rPr>
        <w:t>in the relevant market.</w:t>
      </w:r>
      <w:r w:rsidR="00C1483E" w:rsidRPr="00361749">
        <w:rPr>
          <w:rStyle w:val="StyleParaNumTimesNewRoman11ptChar"/>
          <w:szCs w:val="22"/>
          <w:lang w:eastAsia="x-none"/>
        </w:rPr>
        <w:t xml:space="preserve">  </w:t>
      </w:r>
      <w:r w:rsidRPr="00C1483E">
        <w:rPr>
          <w:rStyle w:val="StyleParaNumTimesNewRoman11ptChar"/>
          <w:szCs w:val="22"/>
          <w:lang w:eastAsia="x-none"/>
        </w:rPr>
        <w:t>Unilateral effects arise when the merged firm finds it profitable to alter its behavior following the merger by increasing its price or otherwise harming competition.</w:t>
      </w:r>
      <w:r w:rsidRPr="006A5E52">
        <w:rPr>
          <w:rStyle w:val="StyleParaNumTimesNewRoman11ptChar"/>
          <w:sz w:val="20"/>
          <w:vertAlign w:val="superscript"/>
        </w:rPr>
        <w:footnoteReference w:id="88"/>
      </w:r>
      <w:r w:rsidRPr="00C1483E">
        <w:rPr>
          <w:rStyle w:val="StyleParaNumTimesNewRoman11ptChar"/>
          <w:szCs w:val="22"/>
          <w:lang w:eastAsia="x-none"/>
        </w:rPr>
        <w:t xml:space="preserve">  In the case of the provision of mobile telephony/broadband services, in addition to increasing prices, this might take the form of delaying improvements in service quality, adversely adjusting the features of a service offering without changing the price of the plan, or reducing the rate of new product development or </w:t>
      </w:r>
      <w:r w:rsidRPr="00A07D0A">
        <w:rPr>
          <w:rStyle w:val="StyleParaNumTimesNewRoman11ptChar"/>
          <w:szCs w:val="22"/>
          <w:lang w:eastAsia="x-none"/>
        </w:rPr>
        <w:t>other innovation in a relevant market.</w:t>
      </w:r>
      <w:r w:rsidR="00990EF1">
        <w:rPr>
          <w:rStyle w:val="FootnoteReference"/>
          <w:szCs w:val="22"/>
          <w:lang w:eastAsia="x-none"/>
        </w:rPr>
        <w:footnoteReference w:id="89"/>
      </w:r>
      <w:r w:rsidRPr="00A07D0A">
        <w:rPr>
          <w:rStyle w:val="StyleParaNumTimesNewRoman11ptChar"/>
          <w:szCs w:val="22"/>
          <w:lang w:eastAsia="x-none"/>
        </w:rPr>
        <w:t xml:space="preserve">  Coordinated effects arise when firms take actions that are profitable for each of them only as a result of the accommodating reactions of others.</w:t>
      </w:r>
      <w:r w:rsidRPr="006A5E52">
        <w:rPr>
          <w:rStyle w:val="StyleParaNumTimesNewRoman11ptChar"/>
          <w:sz w:val="20"/>
          <w:vertAlign w:val="superscript"/>
        </w:rPr>
        <w:footnoteReference w:id="90"/>
      </w:r>
      <w:r w:rsidRPr="006A5E52">
        <w:rPr>
          <w:rStyle w:val="StyleParaNumTimesNewRoman11ptChar"/>
          <w:sz w:val="20"/>
        </w:rPr>
        <w:t xml:space="preserve"> </w:t>
      </w:r>
      <w:r w:rsidRPr="00C1483E">
        <w:rPr>
          <w:rStyle w:val="StyleParaNumTimesNewRoman11ptChar"/>
          <w:szCs w:val="22"/>
          <w:lang w:eastAsia="x-none"/>
        </w:rPr>
        <w:t xml:space="preserve"> Either or both unilateral and coordinated effects may arise from a p</w:t>
      </w:r>
      <w:r w:rsidRPr="00A07D0A">
        <w:rPr>
          <w:rStyle w:val="StyleParaNumTimesNewRoman11ptChar"/>
          <w:szCs w:val="22"/>
          <w:lang w:eastAsia="x-none"/>
        </w:rPr>
        <w:t>roposed transaction, and the distinction between them is not always clear cut.</w:t>
      </w:r>
      <w:r w:rsidRPr="006A5E52">
        <w:rPr>
          <w:rStyle w:val="StyleParaNumTimesNewRoman11ptChar"/>
          <w:sz w:val="20"/>
          <w:vertAlign w:val="superscript"/>
        </w:rPr>
        <w:footnoteReference w:id="91"/>
      </w:r>
      <w:r w:rsidRPr="006A5E52">
        <w:rPr>
          <w:rStyle w:val="StyleParaNumTimesNewRoman11ptChar"/>
          <w:sz w:val="20"/>
          <w:vertAlign w:val="superscript"/>
        </w:rPr>
        <w:t xml:space="preserve"> </w:t>
      </w:r>
      <w:r w:rsidRPr="00C1483E">
        <w:rPr>
          <w:rStyle w:val="StyleParaNumTimesNewRoman11ptChar"/>
          <w:szCs w:val="22"/>
          <w:lang w:eastAsia="x-none"/>
        </w:rPr>
        <w:t xml:space="preserve"> </w:t>
      </w:r>
    </w:p>
    <w:p w:rsidR="00AF7BBC" w:rsidRDefault="00AF0D82" w:rsidP="00AF7BBC">
      <w:pPr>
        <w:pStyle w:val="ParaNum"/>
        <w:rPr>
          <w:szCs w:val="22"/>
        </w:rPr>
      </w:pPr>
      <w:r>
        <w:rPr>
          <w:i/>
          <w:szCs w:val="22"/>
        </w:rPr>
        <w:t>Record</w:t>
      </w:r>
      <w:r w:rsidR="00CC0FD0">
        <w:rPr>
          <w:szCs w:val="22"/>
        </w:rPr>
        <w:t>.</w:t>
      </w:r>
      <w:r w:rsidR="00AF7BBC">
        <w:rPr>
          <w:szCs w:val="22"/>
        </w:rPr>
        <w:t xml:space="preserve">  The Applicants assert that the proposed transaction would </w:t>
      </w:r>
      <w:r w:rsidR="006449DC">
        <w:rPr>
          <w:szCs w:val="22"/>
        </w:rPr>
        <w:t xml:space="preserve">not </w:t>
      </w:r>
      <w:r w:rsidR="00AF7BBC">
        <w:rPr>
          <w:szCs w:val="22"/>
        </w:rPr>
        <w:t xml:space="preserve">cause an overall aggregation of spectrum that would </w:t>
      </w:r>
      <w:r w:rsidR="006449DC">
        <w:rPr>
          <w:szCs w:val="22"/>
        </w:rPr>
        <w:t>result in any competitive harm</w:t>
      </w:r>
      <w:r w:rsidR="008406A4">
        <w:rPr>
          <w:szCs w:val="22"/>
        </w:rPr>
        <w:t xml:space="preserve"> nation</w:t>
      </w:r>
      <w:r w:rsidR="008649FB">
        <w:rPr>
          <w:szCs w:val="22"/>
        </w:rPr>
        <w:t>wide</w:t>
      </w:r>
      <w:r w:rsidR="006449DC">
        <w:rPr>
          <w:szCs w:val="22"/>
        </w:rPr>
        <w:t xml:space="preserve"> or in the </w:t>
      </w:r>
      <w:r w:rsidR="007E5928">
        <w:rPr>
          <w:szCs w:val="22"/>
        </w:rPr>
        <w:t xml:space="preserve">three </w:t>
      </w:r>
      <w:r w:rsidR="006449DC">
        <w:rPr>
          <w:szCs w:val="22"/>
        </w:rPr>
        <w:t>markets involved in the proposed transaction.</w:t>
      </w:r>
      <w:r w:rsidR="00AF7BBC">
        <w:rPr>
          <w:rStyle w:val="FootnoteReference"/>
          <w:szCs w:val="22"/>
        </w:rPr>
        <w:footnoteReference w:id="92"/>
      </w:r>
      <w:r w:rsidR="00AF7BBC">
        <w:rPr>
          <w:szCs w:val="22"/>
        </w:rPr>
        <w:t xml:space="preserve">  In particular, the Applicants contend that AT&amp;T would not meet or exceed the revised spectrum screen as discussed in the </w:t>
      </w:r>
      <w:r w:rsidR="00AF7BBC" w:rsidRPr="00AB20BC">
        <w:rPr>
          <w:i/>
          <w:szCs w:val="22"/>
        </w:rPr>
        <w:t>Mobile Spectrum Holdings Report and Order</w:t>
      </w:r>
      <w:r w:rsidR="00AF7BBC">
        <w:rPr>
          <w:szCs w:val="22"/>
        </w:rPr>
        <w:t>.</w:t>
      </w:r>
      <w:r w:rsidR="00AF7BBC">
        <w:rPr>
          <w:rStyle w:val="FootnoteReference"/>
          <w:szCs w:val="22"/>
        </w:rPr>
        <w:footnoteReference w:id="93"/>
      </w:r>
      <w:r w:rsidR="00AF7BBC">
        <w:rPr>
          <w:szCs w:val="22"/>
        </w:rPr>
        <w:t xml:space="preserve">  </w:t>
      </w:r>
      <w:r w:rsidR="00B54C8B">
        <w:rPr>
          <w:szCs w:val="22"/>
        </w:rPr>
        <w:t xml:space="preserve">Further, the Applicants maintain that </w:t>
      </w:r>
      <w:r w:rsidR="00AF7BBC">
        <w:rPr>
          <w:szCs w:val="22"/>
        </w:rPr>
        <w:t xml:space="preserve">there would </w:t>
      </w:r>
      <w:r w:rsidR="00E73C87">
        <w:rPr>
          <w:szCs w:val="22"/>
        </w:rPr>
        <w:t xml:space="preserve">not be competitive harm because </w:t>
      </w:r>
      <w:r w:rsidR="00471C42">
        <w:rPr>
          <w:szCs w:val="22"/>
        </w:rPr>
        <w:t>of the spectrum holdings</w:t>
      </w:r>
      <w:r w:rsidR="00AF7BBC">
        <w:rPr>
          <w:szCs w:val="22"/>
        </w:rPr>
        <w:t xml:space="preserve"> </w:t>
      </w:r>
      <w:r w:rsidR="00E73C87">
        <w:rPr>
          <w:szCs w:val="22"/>
        </w:rPr>
        <w:t xml:space="preserve">of </w:t>
      </w:r>
      <w:r w:rsidR="00471C42">
        <w:rPr>
          <w:szCs w:val="22"/>
        </w:rPr>
        <w:t xml:space="preserve">the other three </w:t>
      </w:r>
      <w:r w:rsidR="006449DC">
        <w:rPr>
          <w:szCs w:val="22"/>
        </w:rPr>
        <w:t>nation</w:t>
      </w:r>
      <w:r w:rsidR="008649FB">
        <w:rPr>
          <w:szCs w:val="22"/>
        </w:rPr>
        <w:t>wide</w:t>
      </w:r>
      <w:r w:rsidR="00AF7BBC">
        <w:rPr>
          <w:szCs w:val="22"/>
        </w:rPr>
        <w:t xml:space="preserve"> providers in the affected counties</w:t>
      </w:r>
      <w:r w:rsidR="00AF2F5F">
        <w:rPr>
          <w:szCs w:val="22"/>
        </w:rPr>
        <w:t>.</w:t>
      </w:r>
      <w:r w:rsidR="00AF2F5F">
        <w:rPr>
          <w:rStyle w:val="FootnoteReference"/>
          <w:szCs w:val="22"/>
        </w:rPr>
        <w:footnoteReference w:id="94"/>
      </w:r>
      <w:r w:rsidR="00AF7BBC">
        <w:rPr>
          <w:szCs w:val="22"/>
        </w:rPr>
        <w:t xml:space="preserve"> </w:t>
      </w:r>
    </w:p>
    <w:p w:rsidR="00373E11" w:rsidRPr="00796534" w:rsidRDefault="00307FDE" w:rsidP="00A74EAD">
      <w:pPr>
        <w:pStyle w:val="ParaNum"/>
        <w:widowControl/>
        <w:rPr>
          <w:szCs w:val="22"/>
        </w:rPr>
      </w:pPr>
      <w:r w:rsidRPr="00796534">
        <w:rPr>
          <w:szCs w:val="22"/>
        </w:rPr>
        <w:t xml:space="preserve">As </w:t>
      </w:r>
      <w:r w:rsidR="00373E11" w:rsidRPr="00C46E07">
        <w:rPr>
          <w:szCs w:val="22"/>
        </w:rPr>
        <w:t xml:space="preserve">noted </w:t>
      </w:r>
      <w:r w:rsidRPr="00C46E07">
        <w:rPr>
          <w:szCs w:val="22"/>
        </w:rPr>
        <w:t>above</w:t>
      </w:r>
      <w:r w:rsidR="00AF7BBC" w:rsidRPr="00C46E07">
        <w:rPr>
          <w:szCs w:val="22"/>
        </w:rPr>
        <w:t xml:space="preserve">, </w:t>
      </w:r>
      <w:r w:rsidR="00AF7BBC">
        <w:t xml:space="preserve">a number of parties filed a letter </w:t>
      </w:r>
      <w:r w:rsidR="004321F1">
        <w:t xml:space="preserve">in the </w:t>
      </w:r>
      <w:r w:rsidR="00210705">
        <w:t xml:space="preserve">Mobile Spectrum Holdings </w:t>
      </w:r>
      <w:r w:rsidR="004321F1">
        <w:t xml:space="preserve">rulemaking proceeding </w:t>
      </w:r>
      <w:r w:rsidR="00796534">
        <w:t xml:space="preserve">regarding the Commission’s </w:t>
      </w:r>
      <w:r w:rsidR="00190D89">
        <w:t xml:space="preserve">below-1-GHz spectrum </w:t>
      </w:r>
      <w:r w:rsidR="00796534">
        <w:t>review,</w:t>
      </w:r>
      <w:r w:rsidR="00796534">
        <w:rPr>
          <w:rStyle w:val="FootnoteReference"/>
        </w:rPr>
        <w:footnoteReference w:id="95"/>
      </w:r>
      <w:r w:rsidR="00796534">
        <w:t xml:space="preserve"> assert</w:t>
      </w:r>
      <w:r w:rsidR="00190D89">
        <w:t>ing</w:t>
      </w:r>
      <w:r w:rsidR="00796534">
        <w:t xml:space="preserve"> </w:t>
      </w:r>
      <w:r w:rsidR="00AF7BBC">
        <w:t xml:space="preserve">that access to </w:t>
      </w:r>
      <w:r w:rsidR="00190D89">
        <w:t xml:space="preserve">such </w:t>
      </w:r>
      <w:r w:rsidR="00AF7BBC">
        <w:t xml:space="preserve">spectrum by </w:t>
      </w:r>
      <w:r w:rsidR="00B54C8B">
        <w:t xml:space="preserve">providers </w:t>
      </w:r>
      <w:r w:rsidR="00AF7BBC">
        <w:t>is essential to fueling robust competition, promoting consumer choice, and encouraging investment and innovation.</w:t>
      </w:r>
      <w:r w:rsidR="00AF7BBC">
        <w:rPr>
          <w:rStyle w:val="FootnoteReference"/>
        </w:rPr>
        <w:footnoteReference w:id="96"/>
      </w:r>
      <w:r w:rsidR="00AF7BBC">
        <w:t xml:space="preserve">  Specifically, these parties contend that </w:t>
      </w:r>
      <w:r w:rsidR="00190D89">
        <w:t xml:space="preserve">AT&amp;T’s acquisition of </w:t>
      </w:r>
      <w:r w:rsidR="0032649E">
        <w:t>below-1-GHz</w:t>
      </w:r>
      <w:r w:rsidR="00AF7BBC">
        <w:t xml:space="preserve"> spectrum</w:t>
      </w:r>
      <w:r w:rsidR="004321F1">
        <w:t>, including the licenses</w:t>
      </w:r>
      <w:r w:rsidR="00AF7BBC">
        <w:t xml:space="preserve"> at issue </w:t>
      </w:r>
      <w:r w:rsidR="004321F1">
        <w:t xml:space="preserve">here, </w:t>
      </w:r>
      <w:r w:rsidR="00AF7BBC">
        <w:t xml:space="preserve">would deny competitors the opportunity to enter or expand services and result in further </w:t>
      </w:r>
      <w:r w:rsidR="008659AA">
        <w:t xml:space="preserve">market share </w:t>
      </w:r>
      <w:r w:rsidR="00AF7BBC">
        <w:t>concentration</w:t>
      </w:r>
      <w:r w:rsidR="00190D89">
        <w:rPr>
          <w:szCs w:val="22"/>
        </w:rPr>
        <w:t>.</w:t>
      </w:r>
      <w:r w:rsidR="00AF7BBC" w:rsidRPr="004D5916">
        <w:rPr>
          <w:rStyle w:val="FootnoteReference"/>
        </w:rPr>
        <w:footnoteReference w:id="97"/>
      </w:r>
      <w:r w:rsidR="00AF7BBC" w:rsidRPr="00796534">
        <w:rPr>
          <w:szCs w:val="22"/>
        </w:rPr>
        <w:t xml:space="preserve">  These parties </w:t>
      </w:r>
      <w:r w:rsidR="00796534" w:rsidRPr="00C46E07">
        <w:rPr>
          <w:szCs w:val="22"/>
        </w:rPr>
        <w:t>assert</w:t>
      </w:r>
      <w:r w:rsidR="00AF7BBC" w:rsidRPr="00C46E07">
        <w:rPr>
          <w:szCs w:val="22"/>
        </w:rPr>
        <w:t xml:space="preserve"> that the Commission should give meaning to the </w:t>
      </w:r>
      <w:r w:rsidR="00C72FFF" w:rsidRPr="00C46E07">
        <w:rPr>
          <w:szCs w:val="22"/>
        </w:rPr>
        <w:t>high hurdle “</w:t>
      </w:r>
      <w:r w:rsidR="00AF7BBC" w:rsidRPr="00C46E07">
        <w:rPr>
          <w:szCs w:val="22"/>
        </w:rPr>
        <w:t>enhanced factor</w:t>
      </w:r>
      <w:r w:rsidR="00C72FFF" w:rsidRPr="00C46E07">
        <w:rPr>
          <w:szCs w:val="22"/>
        </w:rPr>
        <w:t>”</w:t>
      </w:r>
      <w:r w:rsidR="00AF7BBC" w:rsidRPr="00C46E07">
        <w:rPr>
          <w:szCs w:val="22"/>
        </w:rPr>
        <w:t xml:space="preserve"> review </w:t>
      </w:r>
      <w:r w:rsidR="00C72FFF" w:rsidRPr="00C46E07">
        <w:rPr>
          <w:szCs w:val="22"/>
        </w:rPr>
        <w:t>creates</w:t>
      </w:r>
      <w:r w:rsidR="00E04355" w:rsidRPr="00C46E07">
        <w:rPr>
          <w:szCs w:val="22"/>
        </w:rPr>
        <w:t>,</w:t>
      </w:r>
      <w:r w:rsidR="00C72FFF" w:rsidRPr="00796534">
        <w:rPr>
          <w:szCs w:val="22"/>
        </w:rPr>
        <w:t xml:space="preserve"> and </w:t>
      </w:r>
      <w:r w:rsidR="00C72FFF" w:rsidRPr="00C46E07">
        <w:rPr>
          <w:szCs w:val="22"/>
        </w:rPr>
        <w:t xml:space="preserve">should rigorously apply </w:t>
      </w:r>
      <w:r w:rsidR="00326297">
        <w:rPr>
          <w:szCs w:val="22"/>
        </w:rPr>
        <w:t>it</w:t>
      </w:r>
      <w:r w:rsidR="00C72FFF" w:rsidRPr="00C46E07">
        <w:rPr>
          <w:szCs w:val="22"/>
        </w:rPr>
        <w:t>.</w:t>
      </w:r>
      <w:r w:rsidR="00C72FFF" w:rsidRPr="00904F16">
        <w:rPr>
          <w:rStyle w:val="FootnoteReference"/>
        </w:rPr>
        <w:footnoteReference w:id="98"/>
      </w:r>
      <w:r w:rsidR="00C47923" w:rsidRPr="00C47923">
        <w:rPr>
          <w:szCs w:val="22"/>
        </w:rPr>
        <w:t xml:space="preserve"> </w:t>
      </w:r>
    </w:p>
    <w:p w:rsidR="002023EB" w:rsidRDefault="00B263BE" w:rsidP="002023EB">
      <w:pPr>
        <w:pStyle w:val="ParaNum"/>
        <w:widowControl/>
        <w:rPr>
          <w:szCs w:val="22"/>
        </w:rPr>
      </w:pPr>
      <w:r>
        <w:rPr>
          <w:i/>
          <w:szCs w:val="22"/>
        </w:rPr>
        <w:t>Market-by-Market</w:t>
      </w:r>
      <w:r w:rsidR="00B575C0">
        <w:rPr>
          <w:i/>
          <w:szCs w:val="22"/>
        </w:rPr>
        <w:t xml:space="preserve"> Review</w:t>
      </w:r>
      <w:r w:rsidR="002023EB">
        <w:rPr>
          <w:i/>
          <w:szCs w:val="22"/>
        </w:rPr>
        <w:t xml:space="preserve">.  </w:t>
      </w:r>
      <w:r w:rsidR="002023EB" w:rsidRPr="00334FB1">
        <w:rPr>
          <w:rStyle w:val="StyleParaNumTimesNewRoman11ptChar"/>
          <w:szCs w:val="22"/>
          <w:lang w:eastAsia="x-none"/>
        </w:rPr>
        <w:t>In our market</w:t>
      </w:r>
      <w:r w:rsidR="002023EB">
        <w:rPr>
          <w:rStyle w:val="StyleParaNumTimesNewRoman11ptChar"/>
          <w:szCs w:val="22"/>
          <w:lang w:eastAsia="x-none"/>
        </w:rPr>
        <w:t>-</w:t>
      </w:r>
      <w:r w:rsidR="002023EB" w:rsidRPr="00334FB1">
        <w:rPr>
          <w:rStyle w:val="StyleParaNumTimesNewRoman11ptChar"/>
          <w:szCs w:val="22"/>
          <w:lang w:eastAsia="x-none"/>
        </w:rPr>
        <w:t>by</w:t>
      </w:r>
      <w:r w:rsidR="002023EB">
        <w:rPr>
          <w:rStyle w:val="StyleParaNumTimesNewRoman11ptChar"/>
          <w:szCs w:val="22"/>
          <w:lang w:eastAsia="x-none"/>
        </w:rPr>
        <w:t>-</w:t>
      </w:r>
      <w:r w:rsidR="002023EB" w:rsidRPr="00334FB1">
        <w:rPr>
          <w:rStyle w:val="StyleParaNumTimesNewRoman11ptChar"/>
          <w:szCs w:val="22"/>
          <w:lang w:eastAsia="x-none"/>
        </w:rPr>
        <w:t xml:space="preserve">market analysis, we evaluate the likely competitive effect of increased market and spectrum concentration, </w:t>
      </w:r>
      <w:r w:rsidR="002023EB">
        <w:rPr>
          <w:rStyle w:val="StyleParaNumTimesNewRoman11ptChar"/>
          <w:szCs w:val="22"/>
          <w:lang w:eastAsia="x-none"/>
        </w:rPr>
        <w:t xml:space="preserve">including increased </w:t>
      </w:r>
      <w:r w:rsidR="0032649E">
        <w:t>below-1-GHz</w:t>
      </w:r>
      <w:r w:rsidR="002023EB">
        <w:rPr>
          <w:rStyle w:val="StyleParaNumTimesNewRoman11ptChar"/>
          <w:szCs w:val="22"/>
          <w:lang w:eastAsia="x-none"/>
        </w:rPr>
        <w:t xml:space="preserve"> spectrum concentration</w:t>
      </w:r>
      <w:r w:rsidR="00FD0F80">
        <w:rPr>
          <w:rStyle w:val="StyleParaNumTimesNewRoman11ptChar"/>
          <w:szCs w:val="22"/>
          <w:lang w:eastAsia="x-none"/>
        </w:rPr>
        <w:t>,</w:t>
      </w:r>
      <w:r w:rsidR="009B4ED6">
        <w:rPr>
          <w:rStyle w:val="StyleParaNumTimesNewRoman11ptChar"/>
          <w:szCs w:val="22"/>
          <w:lang w:eastAsia="x-none"/>
        </w:rPr>
        <w:t xml:space="preserve"> </w:t>
      </w:r>
      <w:r w:rsidR="002023EB">
        <w:rPr>
          <w:rStyle w:val="StyleParaNumTimesNewRoman11ptChar"/>
          <w:szCs w:val="22"/>
          <w:lang w:eastAsia="x-none"/>
        </w:rPr>
        <w:t>a</w:t>
      </w:r>
      <w:r w:rsidR="002023EB" w:rsidRPr="00334FB1">
        <w:rPr>
          <w:rStyle w:val="StyleParaNumTimesNewRoman11ptChar"/>
          <w:szCs w:val="22"/>
          <w:lang w:eastAsia="x-none"/>
        </w:rPr>
        <w:t xml:space="preserve">nd assess whether, post-transaction, the combined entity would have the incentive and ability to harm competition in any local market.  </w:t>
      </w:r>
      <w:r w:rsidR="002023EB" w:rsidRPr="00334FB1">
        <w:rPr>
          <w:szCs w:val="22"/>
        </w:rPr>
        <w:t>In undertaking our analysis,</w:t>
      </w:r>
      <w:r w:rsidR="002023EB" w:rsidRPr="00894362">
        <w:rPr>
          <w:rStyle w:val="FootnoteReference"/>
          <w:szCs w:val="22"/>
        </w:rPr>
        <w:footnoteReference w:id="99"/>
      </w:r>
      <w:r w:rsidR="002023EB" w:rsidRPr="00334FB1">
        <w:rPr>
          <w:szCs w:val="22"/>
        </w:rPr>
        <w:t xml:space="preserve"> we consider various competitive variables that help to predict the likelihood of competitive harm post-transaction.  </w:t>
      </w:r>
      <w:r w:rsidR="009A0867" w:rsidRPr="00334FB1">
        <w:rPr>
          <w:szCs w:val="22"/>
        </w:rPr>
        <w:t xml:space="preserve">These competitive variables include, but are not limited to: </w:t>
      </w:r>
      <w:r w:rsidR="009A0867">
        <w:rPr>
          <w:szCs w:val="22"/>
        </w:rPr>
        <w:t xml:space="preserve"> </w:t>
      </w:r>
      <w:r w:rsidR="009A0867" w:rsidRPr="00334FB1">
        <w:rPr>
          <w:szCs w:val="22"/>
        </w:rPr>
        <w:t>the total number of rival service provide</w:t>
      </w:r>
      <w:r w:rsidR="009A0867" w:rsidRPr="00681943">
        <w:rPr>
          <w:szCs w:val="22"/>
        </w:rPr>
        <w:t xml:space="preserve">rs; </w:t>
      </w:r>
      <w:r w:rsidR="009A0867" w:rsidRPr="001800E5">
        <w:t>the number of rival firms that can offer competitive service plans</w:t>
      </w:r>
      <w:r w:rsidR="009A0867">
        <w:rPr>
          <w:szCs w:val="22"/>
        </w:rPr>
        <w:t xml:space="preserve">; </w:t>
      </w:r>
      <w:r w:rsidR="009A0867" w:rsidRPr="00681943">
        <w:rPr>
          <w:szCs w:val="22"/>
        </w:rPr>
        <w:t>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w:t>
      </w:r>
      <w:r w:rsidR="009A0867" w:rsidRPr="00334FB1">
        <w:rPr>
          <w:szCs w:val="22"/>
        </w:rPr>
        <w:t>; and the spectrum holdings of each of the rival service providers.</w:t>
      </w:r>
      <w:r w:rsidR="00445BB7">
        <w:rPr>
          <w:rStyle w:val="FootnoteReference"/>
          <w:szCs w:val="22"/>
        </w:rPr>
        <w:footnoteReference w:id="100"/>
      </w:r>
      <w:r w:rsidR="009A0867">
        <w:rPr>
          <w:szCs w:val="22"/>
        </w:rPr>
        <w:t xml:space="preserve">  </w:t>
      </w:r>
      <w:r w:rsidR="009B4ED6">
        <w:t xml:space="preserve">As discussed, there are two local markets that we have identified for our </w:t>
      </w:r>
      <w:r w:rsidR="0062247B">
        <w:t>market-by-market</w:t>
      </w:r>
      <w:r w:rsidR="009B4ED6">
        <w:t xml:space="preserve"> review: </w:t>
      </w:r>
      <w:r w:rsidR="00304AA7">
        <w:t xml:space="preserve"> </w:t>
      </w:r>
      <w:r w:rsidR="009B4ED6">
        <w:t xml:space="preserve">CMA 556 (New Mexico 4 – Santa Fe) and CMA 654 (Texas 3 – Parmer).  </w:t>
      </w:r>
    </w:p>
    <w:p w:rsidR="001E3AB8" w:rsidRPr="001E3AB8" w:rsidRDefault="00C72FFF" w:rsidP="008F7E96">
      <w:pPr>
        <w:pStyle w:val="ParaNum"/>
        <w:widowControl/>
        <w:rPr>
          <w:szCs w:val="22"/>
        </w:rPr>
      </w:pPr>
      <w:r w:rsidRPr="002023EB">
        <w:rPr>
          <w:szCs w:val="22"/>
        </w:rPr>
        <w:t>New Mexico 4 – Santa Fe is a rural market</w:t>
      </w:r>
      <w:r w:rsidR="004D3C3C" w:rsidRPr="005211DB">
        <w:rPr>
          <w:rStyle w:val="FootnoteReference"/>
        </w:rPr>
        <w:footnoteReference w:id="101"/>
      </w:r>
      <w:r w:rsidR="004D3C3C" w:rsidRPr="002023EB">
        <w:rPr>
          <w:szCs w:val="22"/>
        </w:rPr>
        <w:t xml:space="preserve"> </w:t>
      </w:r>
      <w:r w:rsidRPr="002023EB">
        <w:rPr>
          <w:szCs w:val="22"/>
        </w:rPr>
        <w:t xml:space="preserve">of approximately </w:t>
      </w:r>
      <w:r w:rsidR="004D3C3C">
        <w:rPr>
          <w:szCs w:val="22"/>
        </w:rPr>
        <w:t xml:space="preserve">292,000 people </w:t>
      </w:r>
      <w:r w:rsidRPr="002023EB">
        <w:rPr>
          <w:szCs w:val="22"/>
        </w:rPr>
        <w:t>that triggers the HHI screen</w:t>
      </w:r>
      <w:r w:rsidR="00F43CE4">
        <w:rPr>
          <w:szCs w:val="22"/>
        </w:rPr>
        <w:t xml:space="preserve"> but does not raise below-1-GHz spectrum concentration issues</w:t>
      </w:r>
      <w:r w:rsidR="009B4ED6">
        <w:rPr>
          <w:szCs w:val="22"/>
        </w:rPr>
        <w:t>.</w:t>
      </w:r>
      <w:r w:rsidRPr="002023EB">
        <w:rPr>
          <w:szCs w:val="22"/>
        </w:rPr>
        <w:t xml:space="preserve">  </w:t>
      </w:r>
      <w:r w:rsidR="00F93E09">
        <w:rPr>
          <w:kern w:val="0"/>
          <w:szCs w:val="22"/>
        </w:rPr>
        <w:t xml:space="preserve">In this market, </w:t>
      </w:r>
      <w:r w:rsidR="00E242A1">
        <w:rPr>
          <w:kern w:val="0"/>
          <w:szCs w:val="22"/>
        </w:rPr>
        <w:t>the</w:t>
      </w:r>
      <w:r w:rsidR="00F93E09" w:rsidRPr="001D1BBF">
        <w:rPr>
          <w:bCs/>
          <w:szCs w:val="22"/>
        </w:rPr>
        <w:t xml:space="preserve"> post-transaction HHI would be </w:t>
      </w:r>
      <w:r w:rsidR="00F93E09" w:rsidRPr="001D1BBF">
        <w:rPr>
          <w:b/>
          <w:bCs/>
          <w:szCs w:val="22"/>
        </w:rPr>
        <w:t>[BEGIN HIGHLY CONFIDENTIAL INFORMATION]</w:t>
      </w:r>
      <w:r w:rsidR="00932064">
        <w:rPr>
          <w:bCs/>
          <w:szCs w:val="22"/>
        </w:rPr>
        <w:t xml:space="preserve"> </w:t>
      </w:r>
      <w:r w:rsidR="00932064">
        <w:rPr>
          <w:bCs/>
          <w:szCs w:val="22"/>
        </w:rPr>
        <w:br/>
      </w:r>
      <w:r w:rsidR="00932064" w:rsidRPr="002525B8">
        <w:rPr>
          <w:rFonts w:hint="eastAsia"/>
          <w:bCs/>
          <w:color w:val="FFFFFF"/>
          <w:spacing w:val="926"/>
          <w:kern w:val="0"/>
          <w:szCs w:val="22"/>
          <w:fitText w:val="2250" w:id="892573440"/>
        </w:rPr>
        <w:t xml:space="preserve">　</w:t>
      </w:r>
      <w:r w:rsidR="00932064" w:rsidRPr="002525B8">
        <w:rPr>
          <w:bCs/>
          <w:color w:val="FFFFFF"/>
          <w:spacing w:val="926"/>
          <w:kern w:val="0"/>
          <w:szCs w:val="22"/>
          <w:fitText w:val="2250" w:id="892573440"/>
        </w:rPr>
        <w:t>.</w:t>
      </w:r>
      <w:r w:rsidR="00932064" w:rsidRPr="002525B8">
        <w:rPr>
          <w:rFonts w:hint="eastAsia"/>
          <w:bCs/>
          <w:color w:val="FFFFFF"/>
          <w:spacing w:val="1"/>
          <w:kern w:val="0"/>
          <w:szCs w:val="22"/>
          <w:fitText w:val="2250" w:id="892573440"/>
        </w:rPr>
        <w:t xml:space="preserve">　</w:t>
      </w:r>
      <w:r w:rsidR="00F93E09" w:rsidRPr="001D1BBF">
        <w:rPr>
          <w:b/>
          <w:bCs/>
          <w:szCs w:val="22"/>
        </w:rPr>
        <w:t>[END HIGHLY CONFIDENTIAL INFORMATION]</w:t>
      </w:r>
      <w:r w:rsidR="007B2130">
        <w:rPr>
          <w:bCs/>
          <w:szCs w:val="22"/>
        </w:rPr>
        <w:t>,</w:t>
      </w:r>
      <w:r w:rsidR="00F93E09" w:rsidRPr="00B83EDA">
        <w:rPr>
          <w:bCs/>
          <w:szCs w:val="22"/>
        </w:rPr>
        <w:t xml:space="preserve"> and the change in the HHI would</w:t>
      </w:r>
      <w:r w:rsidR="00F93E09" w:rsidRPr="001D1BBF">
        <w:rPr>
          <w:bCs/>
          <w:szCs w:val="22"/>
        </w:rPr>
        <w:t xml:space="preserve"> be </w:t>
      </w:r>
      <w:r w:rsidR="00F93E09" w:rsidRPr="001D1BBF">
        <w:rPr>
          <w:b/>
          <w:bCs/>
          <w:szCs w:val="22"/>
        </w:rPr>
        <w:t>[BEGIN HIGHLY CONFIDENTIAL INFORMATION]</w:t>
      </w:r>
      <w:r w:rsidR="00932064">
        <w:rPr>
          <w:bCs/>
          <w:szCs w:val="22"/>
        </w:rPr>
        <w:t xml:space="preserve"> </w:t>
      </w:r>
      <w:r w:rsidR="00932064" w:rsidRPr="002525B8">
        <w:rPr>
          <w:rFonts w:hint="eastAsia"/>
          <w:bCs/>
          <w:spacing w:val="9"/>
          <w:w w:val="67"/>
          <w:kern w:val="0"/>
          <w:szCs w:val="22"/>
          <w:fitText w:val="285" w:id="892573441"/>
        </w:rPr>
        <w:t xml:space="preserve">　</w:t>
      </w:r>
      <w:r w:rsidR="00932064" w:rsidRPr="002525B8">
        <w:rPr>
          <w:bCs/>
          <w:color w:val="FFFFFF"/>
          <w:spacing w:val="9"/>
          <w:w w:val="67"/>
          <w:kern w:val="0"/>
          <w:szCs w:val="22"/>
          <w:fitText w:val="285" w:id="892573441"/>
        </w:rPr>
        <w:t>.</w:t>
      </w:r>
      <w:r w:rsidR="00932064" w:rsidRPr="002525B8">
        <w:rPr>
          <w:rFonts w:hint="eastAsia"/>
          <w:bCs/>
          <w:color w:val="FFFFFF"/>
          <w:spacing w:val="1"/>
          <w:w w:val="67"/>
          <w:kern w:val="0"/>
          <w:szCs w:val="22"/>
          <w:fitText w:val="285" w:id="892573441"/>
        </w:rPr>
        <w:t xml:space="preserve">　</w:t>
      </w:r>
      <w:r w:rsidR="00F93E09" w:rsidRPr="001D1BBF">
        <w:rPr>
          <w:b/>
          <w:bCs/>
          <w:szCs w:val="22"/>
        </w:rPr>
        <w:t>[END HIGHLY CONFIDENTIAL INFORMATION]</w:t>
      </w:r>
      <w:r w:rsidR="00782ABB" w:rsidRPr="00B809B3">
        <w:rPr>
          <w:bCs/>
          <w:szCs w:val="22"/>
        </w:rPr>
        <w:t>.</w:t>
      </w:r>
      <w:r w:rsidR="0002570D">
        <w:rPr>
          <w:kern w:val="0"/>
          <w:szCs w:val="22"/>
        </w:rPr>
        <w:t xml:space="preserve">  </w:t>
      </w:r>
      <w:r w:rsidR="00E242A1">
        <w:rPr>
          <w:kern w:val="0"/>
          <w:szCs w:val="22"/>
        </w:rPr>
        <w:t xml:space="preserve">The number of service providers with a significant market share would be reduced from five to four:  </w:t>
      </w:r>
      <w:r w:rsidR="008D1927" w:rsidRPr="004D3C3C">
        <w:rPr>
          <w:kern w:val="0"/>
          <w:szCs w:val="22"/>
        </w:rPr>
        <w:t xml:space="preserve">AT&amp;T currently holds approximately </w:t>
      </w:r>
      <w:r w:rsidR="008D1927" w:rsidRPr="004D3C3C">
        <w:rPr>
          <w:b/>
          <w:bCs/>
          <w:szCs w:val="22"/>
        </w:rPr>
        <w:t>[BEGIN HIGHLY CONFIDENTIAL INFORMATION]</w:t>
      </w:r>
      <w:r w:rsidR="00932064">
        <w:rPr>
          <w:bCs/>
          <w:szCs w:val="22"/>
        </w:rPr>
        <w:t xml:space="preserve"> </w:t>
      </w:r>
      <w:r w:rsidR="00932064" w:rsidRPr="002525B8">
        <w:rPr>
          <w:rFonts w:hint="eastAsia"/>
          <w:bCs/>
          <w:w w:val="45"/>
          <w:kern w:val="0"/>
          <w:szCs w:val="22"/>
          <w:fitText w:val="180" w:id="892573442"/>
        </w:rPr>
        <w:t xml:space="preserve">　</w:t>
      </w:r>
      <w:r w:rsidR="00932064" w:rsidRPr="002525B8">
        <w:rPr>
          <w:bCs/>
          <w:color w:val="FFFFFF"/>
          <w:w w:val="45"/>
          <w:kern w:val="0"/>
          <w:szCs w:val="22"/>
          <w:fitText w:val="180" w:id="892573442"/>
        </w:rPr>
        <w:t>.</w:t>
      </w:r>
      <w:r w:rsidR="00932064" w:rsidRPr="002525B8">
        <w:rPr>
          <w:rFonts w:hint="eastAsia"/>
          <w:bCs/>
          <w:color w:val="FFFFFF"/>
          <w:spacing w:val="1"/>
          <w:w w:val="45"/>
          <w:kern w:val="0"/>
          <w:szCs w:val="22"/>
          <w:fitText w:val="180" w:id="892573442"/>
        </w:rPr>
        <w:t xml:space="preserve">　</w:t>
      </w:r>
      <w:r w:rsidR="008D1927" w:rsidRPr="00F93E09">
        <w:rPr>
          <w:b/>
          <w:bCs/>
          <w:szCs w:val="22"/>
        </w:rPr>
        <w:t xml:space="preserve">[END HIGHLY CONFIDENTIAL INFORMATION] </w:t>
      </w:r>
      <w:r w:rsidR="00E04355" w:rsidRPr="00E04355">
        <w:rPr>
          <w:bCs/>
          <w:szCs w:val="22"/>
        </w:rPr>
        <w:t xml:space="preserve">percent </w:t>
      </w:r>
      <w:r w:rsidR="008D1927" w:rsidRPr="00F93E09">
        <w:rPr>
          <w:bCs/>
          <w:szCs w:val="22"/>
        </w:rPr>
        <w:t xml:space="preserve">of the market and Plateau Wireless holds approximately </w:t>
      </w:r>
      <w:r w:rsidR="008D1927" w:rsidRPr="00F93E09">
        <w:rPr>
          <w:b/>
          <w:bCs/>
          <w:szCs w:val="22"/>
        </w:rPr>
        <w:t>[BEGIN HIGHLY CONFIDENTIAL INFORMATION]</w:t>
      </w:r>
      <w:r w:rsidR="00932064">
        <w:rPr>
          <w:bCs/>
          <w:szCs w:val="22"/>
        </w:rPr>
        <w:t xml:space="preserve"> </w:t>
      </w:r>
      <w:r w:rsidR="00932064" w:rsidRPr="002525B8">
        <w:rPr>
          <w:rFonts w:hint="eastAsia"/>
          <w:bCs/>
          <w:w w:val="15"/>
          <w:kern w:val="0"/>
          <w:szCs w:val="22"/>
          <w:fitText w:val="60" w:id="892573443"/>
        </w:rPr>
        <w:t xml:space="preserve">　</w:t>
      </w:r>
      <w:r w:rsidR="00932064" w:rsidRPr="002525B8">
        <w:rPr>
          <w:bCs/>
          <w:color w:val="FFFFFF"/>
          <w:w w:val="15"/>
          <w:kern w:val="0"/>
          <w:szCs w:val="22"/>
          <w:fitText w:val="60" w:id="892573443"/>
        </w:rPr>
        <w:t>.</w:t>
      </w:r>
      <w:r w:rsidR="00932064" w:rsidRPr="002525B8">
        <w:rPr>
          <w:rFonts w:hint="eastAsia"/>
          <w:bCs/>
          <w:color w:val="FFFFFF"/>
          <w:w w:val="15"/>
          <w:kern w:val="0"/>
          <w:szCs w:val="22"/>
          <w:fitText w:val="60" w:id="892573443"/>
        </w:rPr>
        <w:t xml:space="preserve">　</w:t>
      </w:r>
      <w:r w:rsidR="008D1927" w:rsidRPr="00F93E09">
        <w:rPr>
          <w:b/>
          <w:bCs/>
          <w:szCs w:val="22"/>
        </w:rPr>
        <w:t>[END HIGHLY CONFIDENTIAL INFORMATION]</w:t>
      </w:r>
      <w:r w:rsidR="00E04355">
        <w:rPr>
          <w:bCs/>
          <w:szCs w:val="22"/>
        </w:rPr>
        <w:t xml:space="preserve"> percent</w:t>
      </w:r>
      <w:r w:rsidR="002A4647">
        <w:rPr>
          <w:bCs/>
          <w:szCs w:val="22"/>
        </w:rPr>
        <w:t>; t</w:t>
      </w:r>
      <w:r w:rsidR="00B70787">
        <w:rPr>
          <w:bCs/>
          <w:szCs w:val="22"/>
        </w:rPr>
        <w:t xml:space="preserve">he </w:t>
      </w:r>
      <w:r w:rsidR="008659AA">
        <w:rPr>
          <w:bCs/>
          <w:szCs w:val="22"/>
        </w:rPr>
        <w:t xml:space="preserve">three other nationwide service providers, </w:t>
      </w:r>
      <w:r w:rsidR="00482100">
        <w:rPr>
          <w:bCs/>
          <w:szCs w:val="22"/>
        </w:rPr>
        <w:t>Verizon Wireless, Sprint, and T-Mobile</w:t>
      </w:r>
      <w:r w:rsidR="008659AA">
        <w:rPr>
          <w:bCs/>
          <w:szCs w:val="22"/>
        </w:rPr>
        <w:t>,</w:t>
      </w:r>
      <w:r w:rsidR="00482100">
        <w:rPr>
          <w:bCs/>
          <w:szCs w:val="22"/>
        </w:rPr>
        <w:t xml:space="preserve"> </w:t>
      </w:r>
      <w:r w:rsidR="008D1927" w:rsidRPr="00E242A1">
        <w:rPr>
          <w:bCs/>
          <w:szCs w:val="22"/>
        </w:rPr>
        <w:t xml:space="preserve">have market shares of </w:t>
      </w:r>
      <w:r w:rsidR="00133F8F" w:rsidRPr="00E242A1">
        <w:rPr>
          <w:bCs/>
          <w:szCs w:val="22"/>
        </w:rPr>
        <w:t xml:space="preserve">approximately </w:t>
      </w:r>
      <w:r w:rsidR="008D1927" w:rsidRPr="00E242A1">
        <w:rPr>
          <w:b/>
          <w:bCs/>
          <w:szCs w:val="22"/>
        </w:rPr>
        <w:t>[BEGIN HIGHLY CONFIDENTIAL INFORMATION]</w:t>
      </w:r>
      <w:r w:rsidR="00932064">
        <w:rPr>
          <w:bCs/>
          <w:szCs w:val="22"/>
        </w:rPr>
        <w:t xml:space="preserve"> </w:t>
      </w:r>
      <w:r w:rsidR="00932064" w:rsidRPr="002525B8">
        <w:rPr>
          <w:rFonts w:hint="eastAsia"/>
          <w:bCs/>
          <w:spacing w:val="348"/>
          <w:kern w:val="0"/>
          <w:szCs w:val="22"/>
          <w:fitText w:val="1095" w:id="892573444"/>
        </w:rPr>
        <w:t xml:space="preserve">　</w:t>
      </w:r>
      <w:r w:rsidR="00932064" w:rsidRPr="002525B8">
        <w:rPr>
          <w:bCs/>
          <w:color w:val="FFFFFF"/>
          <w:spacing w:val="348"/>
          <w:kern w:val="0"/>
          <w:szCs w:val="22"/>
          <w:fitText w:val="1095" w:id="892573444"/>
        </w:rPr>
        <w:t>.</w:t>
      </w:r>
      <w:r w:rsidR="00932064" w:rsidRPr="002525B8">
        <w:rPr>
          <w:rFonts w:hint="eastAsia"/>
          <w:bCs/>
          <w:color w:val="FFFFFF"/>
          <w:spacing w:val="2"/>
          <w:kern w:val="0"/>
          <w:szCs w:val="22"/>
          <w:fitText w:val="1095" w:id="892573444"/>
        </w:rPr>
        <w:t xml:space="preserve">　</w:t>
      </w:r>
      <w:r w:rsidR="008D1927" w:rsidRPr="00E242A1">
        <w:rPr>
          <w:b/>
          <w:bCs/>
          <w:szCs w:val="22"/>
        </w:rPr>
        <w:t>[END HIGHLY CONFIDENTIAL INFORMATION]</w:t>
      </w:r>
      <w:r w:rsidR="0063484C" w:rsidRPr="00E242A1">
        <w:rPr>
          <w:b/>
          <w:bCs/>
          <w:szCs w:val="22"/>
        </w:rPr>
        <w:t xml:space="preserve"> </w:t>
      </w:r>
      <w:r w:rsidR="00E04355">
        <w:rPr>
          <w:bCs/>
          <w:szCs w:val="22"/>
        </w:rPr>
        <w:t>percent</w:t>
      </w:r>
      <w:r w:rsidR="00C47923">
        <w:rPr>
          <w:bCs/>
          <w:szCs w:val="22"/>
        </w:rPr>
        <w:t xml:space="preserve">, respectively, </w:t>
      </w:r>
      <w:r w:rsidR="009B4ED6">
        <w:rPr>
          <w:bCs/>
          <w:szCs w:val="22"/>
        </w:rPr>
        <w:t>in this market</w:t>
      </w:r>
      <w:r w:rsidR="008D1927" w:rsidRPr="00E242A1">
        <w:rPr>
          <w:bCs/>
          <w:szCs w:val="22"/>
        </w:rPr>
        <w:t>.</w:t>
      </w:r>
      <w:r w:rsidR="00D15A88" w:rsidRPr="00894362">
        <w:rPr>
          <w:rStyle w:val="FootnoteReference"/>
          <w:bCs/>
          <w:szCs w:val="22"/>
        </w:rPr>
        <w:footnoteReference w:id="102"/>
      </w:r>
    </w:p>
    <w:p w:rsidR="00502386" w:rsidRDefault="008D1927" w:rsidP="00AC5819">
      <w:pPr>
        <w:pStyle w:val="ParaNum"/>
        <w:rPr>
          <w:szCs w:val="22"/>
        </w:rPr>
      </w:pPr>
      <w:r w:rsidRPr="002023EB">
        <w:rPr>
          <w:bCs/>
          <w:szCs w:val="22"/>
        </w:rPr>
        <w:t>Post-transaction, AT&amp;T would hold 138</w:t>
      </w:r>
      <w:r w:rsidR="00393916" w:rsidRPr="002023EB">
        <w:rPr>
          <w:bCs/>
          <w:szCs w:val="22"/>
        </w:rPr>
        <w:t xml:space="preserve"> to </w:t>
      </w:r>
      <w:r w:rsidRPr="002023EB">
        <w:rPr>
          <w:bCs/>
          <w:szCs w:val="22"/>
        </w:rPr>
        <w:t xml:space="preserve">163 megahertz of spectrum </w:t>
      </w:r>
      <w:r w:rsidRPr="004D3C3C">
        <w:rPr>
          <w:szCs w:val="22"/>
        </w:rPr>
        <w:t>on a county-by-county basis</w:t>
      </w:r>
      <w:r w:rsidR="00393916" w:rsidRPr="004D3C3C">
        <w:rPr>
          <w:szCs w:val="22"/>
        </w:rPr>
        <w:t>, including 18 to 43 megahertz of spectrum below 1 GHz</w:t>
      </w:r>
      <w:r w:rsidR="00B263BE">
        <w:rPr>
          <w:szCs w:val="22"/>
        </w:rPr>
        <w:t xml:space="preserve">, which is less than one-third of the </w:t>
      </w:r>
      <w:r w:rsidR="002A4647">
        <w:rPr>
          <w:szCs w:val="22"/>
        </w:rPr>
        <w:t xml:space="preserve">currently </w:t>
      </w:r>
      <w:r w:rsidR="00B263BE">
        <w:rPr>
          <w:szCs w:val="22"/>
        </w:rPr>
        <w:t>suitable and available spectrum below 1 GHz</w:t>
      </w:r>
      <w:r w:rsidRPr="00F93E09">
        <w:rPr>
          <w:szCs w:val="22"/>
        </w:rPr>
        <w:t xml:space="preserve">.  The other nationwide </w:t>
      </w:r>
      <w:r w:rsidR="00393916" w:rsidRPr="00F93E09">
        <w:rPr>
          <w:szCs w:val="22"/>
        </w:rPr>
        <w:t xml:space="preserve">service </w:t>
      </w:r>
      <w:r w:rsidRPr="00F93E09">
        <w:rPr>
          <w:szCs w:val="22"/>
        </w:rPr>
        <w:t>providers</w:t>
      </w:r>
      <w:r w:rsidR="00393916" w:rsidRPr="00F93E09">
        <w:rPr>
          <w:szCs w:val="22"/>
        </w:rPr>
        <w:t xml:space="preserve">’ spectrum holdings range from </w:t>
      </w:r>
      <w:r w:rsidRPr="00F93E09">
        <w:rPr>
          <w:szCs w:val="22"/>
        </w:rPr>
        <w:t>35</w:t>
      </w:r>
      <w:r w:rsidR="00393916" w:rsidRPr="00F93E09">
        <w:rPr>
          <w:szCs w:val="22"/>
        </w:rPr>
        <w:t xml:space="preserve"> to</w:t>
      </w:r>
      <w:r w:rsidR="00601EAA">
        <w:rPr>
          <w:szCs w:val="22"/>
        </w:rPr>
        <w:t xml:space="preserve"> </w:t>
      </w:r>
      <w:r w:rsidRPr="00F93E09">
        <w:rPr>
          <w:szCs w:val="22"/>
        </w:rPr>
        <w:t>159 megahertz</w:t>
      </w:r>
      <w:r w:rsidR="00D15A88" w:rsidRPr="00F93E09">
        <w:rPr>
          <w:szCs w:val="22"/>
        </w:rPr>
        <w:t xml:space="preserve">.  In terms of </w:t>
      </w:r>
      <w:r w:rsidR="009B4ED6">
        <w:rPr>
          <w:szCs w:val="22"/>
        </w:rPr>
        <w:t xml:space="preserve">population and land area coverage, the </w:t>
      </w:r>
      <w:r w:rsidR="003867A4">
        <w:rPr>
          <w:szCs w:val="22"/>
        </w:rPr>
        <w:t xml:space="preserve">proposed </w:t>
      </w:r>
      <w:r w:rsidR="009B4ED6">
        <w:rPr>
          <w:szCs w:val="22"/>
        </w:rPr>
        <w:t xml:space="preserve">transaction would not </w:t>
      </w:r>
      <w:r w:rsidR="00E250D9">
        <w:rPr>
          <w:szCs w:val="22"/>
        </w:rPr>
        <w:t>decrease</w:t>
      </w:r>
      <w:r w:rsidR="009B4ED6">
        <w:rPr>
          <w:szCs w:val="22"/>
        </w:rPr>
        <w:t xml:space="preserve"> the number of </w:t>
      </w:r>
      <w:r w:rsidR="00862D63">
        <w:rPr>
          <w:szCs w:val="22"/>
        </w:rPr>
        <w:t xml:space="preserve">service </w:t>
      </w:r>
      <w:r w:rsidR="009B4ED6">
        <w:rPr>
          <w:szCs w:val="22"/>
        </w:rPr>
        <w:t xml:space="preserve">providers with significant </w:t>
      </w:r>
      <w:r w:rsidR="00F47495">
        <w:rPr>
          <w:szCs w:val="22"/>
        </w:rPr>
        <w:t>3G or 4G</w:t>
      </w:r>
      <w:r w:rsidR="00B70787">
        <w:rPr>
          <w:szCs w:val="22"/>
        </w:rPr>
        <w:t xml:space="preserve"> </w:t>
      </w:r>
      <w:r w:rsidR="009B4ED6">
        <w:rPr>
          <w:szCs w:val="22"/>
        </w:rPr>
        <w:t>c</w:t>
      </w:r>
      <w:r w:rsidR="00D15A88" w:rsidRPr="00F93E09">
        <w:rPr>
          <w:szCs w:val="22"/>
        </w:rPr>
        <w:t>overage,</w:t>
      </w:r>
      <w:r w:rsidR="001E18BB">
        <w:rPr>
          <w:rStyle w:val="FootnoteReference"/>
          <w:szCs w:val="22"/>
        </w:rPr>
        <w:footnoteReference w:id="103"/>
      </w:r>
      <w:r w:rsidR="009B4ED6" w:rsidRPr="002023EB">
        <w:rPr>
          <w:rFonts w:eastAsia="SimSun"/>
          <w:lang w:eastAsia="zh-CN"/>
        </w:rPr>
        <w:t xml:space="preserve"> </w:t>
      </w:r>
      <w:r w:rsidR="009B4ED6">
        <w:rPr>
          <w:szCs w:val="22"/>
        </w:rPr>
        <w:t xml:space="preserve">as Plateau Wireless does not currently provide significant </w:t>
      </w:r>
      <w:r w:rsidR="008945E9">
        <w:rPr>
          <w:szCs w:val="22"/>
        </w:rPr>
        <w:t>3G or 4G</w:t>
      </w:r>
      <w:r w:rsidR="00B70787">
        <w:rPr>
          <w:szCs w:val="22"/>
        </w:rPr>
        <w:t xml:space="preserve"> </w:t>
      </w:r>
      <w:r w:rsidR="00567A16">
        <w:rPr>
          <w:szCs w:val="22"/>
        </w:rPr>
        <w:t xml:space="preserve">population or land area </w:t>
      </w:r>
      <w:r w:rsidR="009B4ED6">
        <w:rPr>
          <w:szCs w:val="22"/>
        </w:rPr>
        <w:t>coverage.</w:t>
      </w:r>
      <w:r w:rsidR="009B4ED6">
        <w:rPr>
          <w:rStyle w:val="FootnoteReference"/>
          <w:szCs w:val="22"/>
        </w:rPr>
        <w:footnoteReference w:id="104"/>
      </w:r>
      <w:r w:rsidR="00245626">
        <w:rPr>
          <w:szCs w:val="22"/>
        </w:rPr>
        <w:t xml:space="preserve">  </w:t>
      </w:r>
      <w:r w:rsidR="002A4647">
        <w:rPr>
          <w:szCs w:val="22"/>
        </w:rPr>
        <w:t xml:space="preserve">In addition, </w:t>
      </w:r>
      <w:r w:rsidR="001E3AB8">
        <w:rPr>
          <w:szCs w:val="22"/>
        </w:rPr>
        <w:t xml:space="preserve">AT&amp;T </w:t>
      </w:r>
      <w:r w:rsidR="00862D63">
        <w:rPr>
          <w:szCs w:val="22"/>
        </w:rPr>
        <w:t xml:space="preserve">currently </w:t>
      </w:r>
      <w:r w:rsidR="002A4647">
        <w:rPr>
          <w:szCs w:val="22"/>
        </w:rPr>
        <w:t xml:space="preserve">does not have significant 3G coverage, as it </w:t>
      </w:r>
      <w:r w:rsidR="001E3AB8">
        <w:rPr>
          <w:szCs w:val="22"/>
        </w:rPr>
        <w:t xml:space="preserve">covers approximately 67 percent of the population and 38 percent of the land area with </w:t>
      </w:r>
      <w:r w:rsidR="001E18BB">
        <w:rPr>
          <w:szCs w:val="22"/>
        </w:rPr>
        <w:t xml:space="preserve">its </w:t>
      </w:r>
      <w:r w:rsidR="001E3AB8">
        <w:rPr>
          <w:szCs w:val="22"/>
        </w:rPr>
        <w:t>3G</w:t>
      </w:r>
      <w:r w:rsidR="001E18BB">
        <w:rPr>
          <w:szCs w:val="22"/>
        </w:rPr>
        <w:t xml:space="preserve"> network</w:t>
      </w:r>
      <w:r w:rsidR="00473FF8">
        <w:rPr>
          <w:szCs w:val="22"/>
        </w:rPr>
        <w:t xml:space="preserve">.  </w:t>
      </w:r>
      <w:r w:rsidR="002A4647">
        <w:rPr>
          <w:szCs w:val="22"/>
        </w:rPr>
        <w:t>Verizon Wireless</w:t>
      </w:r>
      <w:r w:rsidR="001A5DC2">
        <w:rPr>
          <w:szCs w:val="22"/>
        </w:rPr>
        <w:t>, however,</w:t>
      </w:r>
      <w:r w:rsidR="002A4647">
        <w:rPr>
          <w:szCs w:val="22"/>
        </w:rPr>
        <w:t xml:space="preserve"> has significant </w:t>
      </w:r>
      <w:r w:rsidR="00735EEA">
        <w:rPr>
          <w:szCs w:val="22"/>
        </w:rPr>
        <w:t xml:space="preserve">population and land area </w:t>
      </w:r>
      <w:r w:rsidR="002A4647">
        <w:rPr>
          <w:szCs w:val="22"/>
        </w:rPr>
        <w:t xml:space="preserve">coverage, covering </w:t>
      </w:r>
      <w:r w:rsidR="005F04D0">
        <w:rPr>
          <w:szCs w:val="22"/>
        </w:rPr>
        <w:t xml:space="preserve">approximately </w:t>
      </w:r>
      <w:r w:rsidR="002A4647">
        <w:rPr>
          <w:szCs w:val="22"/>
        </w:rPr>
        <w:t>98 percent of the population and 71 percent of the land area with its 3G network, while Sprint has significant 3G population coverage, and T-Mobile has significant 3G land area coverage.</w:t>
      </w:r>
      <w:r w:rsidR="002A4647">
        <w:rPr>
          <w:rStyle w:val="FootnoteReference"/>
          <w:szCs w:val="22"/>
        </w:rPr>
        <w:footnoteReference w:id="105"/>
      </w:r>
      <w:r w:rsidR="002A4647">
        <w:rPr>
          <w:szCs w:val="22"/>
        </w:rPr>
        <w:t xml:space="preserve">  </w:t>
      </w:r>
      <w:r w:rsidR="001A5DC2">
        <w:rPr>
          <w:szCs w:val="22"/>
        </w:rPr>
        <w:t>Finally</w:t>
      </w:r>
      <w:r w:rsidR="00380541" w:rsidRPr="004D3C3C">
        <w:rPr>
          <w:szCs w:val="22"/>
        </w:rPr>
        <w:t xml:space="preserve">, </w:t>
      </w:r>
      <w:r w:rsidR="00D15A88" w:rsidRPr="004D3C3C">
        <w:rPr>
          <w:szCs w:val="22"/>
        </w:rPr>
        <w:t xml:space="preserve">AT&amp;T covers </w:t>
      </w:r>
      <w:r w:rsidR="000239C7" w:rsidRPr="004D3C3C">
        <w:rPr>
          <w:szCs w:val="22"/>
        </w:rPr>
        <w:t xml:space="preserve">approximately </w:t>
      </w:r>
      <w:r w:rsidR="00D15A88" w:rsidRPr="004D3C3C">
        <w:rPr>
          <w:szCs w:val="22"/>
        </w:rPr>
        <w:t>65 percent of the population with HSPA+,</w:t>
      </w:r>
      <w:r w:rsidR="00BB3E74">
        <w:rPr>
          <w:rStyle w:val="FootnoteReference"/>
          <w:szCs w:val="22"/>
        </w:rPr>
        <w:footnoteReference w:id="106"/>
      </w:r>
      <w:r w:rsidR="00D15A88" w:rsidRPr="004D3C3C">
        <w:rPr>
          <w:szCs w:val="22"/>
        </w:rPr>
        <w:t xml:space="preserve"> </w:t>
      </w:r>
      <w:r w:rsidR="00BB3E74">
        <w:rPr>
          <w:szCs w:val="22"/>
        </w:rPr>
        <w:t xml:space="preserve">while </w:t>
      </w:r>
      <w:r w:rsidR="001E3AB8" w:rsidRPr="00F93E09">
        <w:rPr>
          <w:szCs w:val="22"/>
        </w:rPr>
        <w:t xml:space="preserve">Verizon Wireless </w:t>
      </w:r>
      <w:r w:rsidR="00BB3E74">
        <w:rPr>
          <w:szCs w:val="22"/>
        </w:rPr>
        <w:t xml:space="preserve">has significant LTE coverage, covering </w:t>
      </w:r>
      <w:r w:rsidR="001E3AB8" w:rsidRPr="00F93E09">
        <w:rPr>
          <w:szCs w:val="22"/>
        </w:rPr>
        <w:t xml:space="preserve">approximately 95 percent of the population </w:t>
      </w:r>
      <w:r w:rsidR="00862D63">
        <w:rPr>
          <w:szCs w:val="22"/>
        </w:rPr>
        <w:t>and 50 percent of the land area</w:t>
      </w:r>
      <w:r w:rsidR="00BB3E74">
        <w:rPr>
          <w:szCs w:val="22"/>
        </w:rPr>
        <w:t>.</w:t>
      </w:r>
      <w:r w:rsidR="00BB3E74">
        <w:rPr>
          <w:rStyle w:val="FootnoteReference"/>
          <w:szCs w:val="22"/>
        </w:rPr>
        <w:footnoteReference w:id="107"/>
      </w:r>
    </w:p>
    <w:p w:rsidR="008D1927" w:rsidRDefault="006812E6" w:rsidP="00502386">
      <w:pPr>
        <w:pStyle w:val="ParaNum"/>
        <w:widowControl/>
        <w:rPr>
          <w:szCs w:val="22"/>
        </w:rPr>
      </w:pPr>
      <w:r w:rsidRPr="002023EB">
        <w:rPr>
          <w:szCs w:val="22"/>
        </w:rPr>
        <w:t xml:space="preserve">We find that </w:t>
      </w:r>
      <w:r w:rsidR="00601EAA">
        <w:rPr>
          <w:szCs w:val="22"/>
        </w:rPr>
        <w:t xml:space="preserve">the likelihood of competitive harm is low in New Mexico 4 – Santa Fe, given </w:t>
      </w:r>
      <w:r w:rsidRPr="002023EB">
        <w:rPr>
          <w:szCs w:val="22"/>
        </w:rPr>
        <w:t>the</w:t>
      </w:r>
      <w:r w:rsidR="00A31293">
        <w:rPr>
          <w:szCs w:val="22"/>
        </w:rPr>
        <w:t>se</w:t>
      </w:r>
      <w:r w:rsidRPr="002023EB">
        <w:rPr>
          <w:szCs w:val="22"/>
        </w:rPr>
        <w:t xml:space="preserve"> particular facts</w:t>
      </w:r>
      <w:r w:rsidR="004170F3">
        <w:rPr>
          <w:szCs w:val="22"/>
        </w:rPr>
        <w:t xml:space="preserve"> as noted above</w:t>
      </w:r>
      <w:r w:rsidRPr="002023EB">
        <w:rPr>
          <w:szCs w:val="22"/>
        </w:rPr>
        <w:t xml:space="preserve">, including but not limited to </w:t>
      </w:r>
      <w:r w:rsidR="001E18BB">
        <w:rPr>
          <w:szCs w:val="22"/>
        </w:rPr>
        <w:t xml:space="preserve">the </w:t>
      </w:r>
      <w:r w:rsidR="00F135D6">
        <w:rPr>
          <w:szCs w:val="22"/>
        </w:rPr>
        <w:t xml:space="preserve">rural nature of the market, the </w:t>
      </w:r>
      <w:r w:rsidR="001E18BB">
        <w:rPr>
          <w:szCs w:val="22"/>
        </w:rPr>
        <w:t xml:space="preserve">number of service providers with a significant </w:t>
      </w:r>
      <w:r w:rsidR="005A493E">
        <w:rPr>
          <w:szCs w:val="22"/>
        </w:rPr>
        <w:t>market share</w:t>
      </w:r>
      <w:r w:rsidR="00F135D6">
        <w:rPr>
          <w:szCs w:val="22"/>
        </w:rPr>
        <w:t xml:space="preserve"> post-transaction</w:t>
      </w:r>
      <w:r w:rsidR="001E18BB">
        <w:rPr>
          <w:szCs w:val="22"/>
        </w:rPr>
        <w:t xml:space="preserve">, </w:t>
      </w:r>
      <w:r w:rsidR="0043694D">
        <w:rPr>
          <w:szCs w:val="22"/>
        </w:rPr>
        <w:t xml:space="preserve">the number of </w:t>
      </w:r>
      <w:r w:rsidR="00652850">
        <w:rPr>
          <w:szCs w:val="22"/>
        </w:rPr>
        <w:t xml:space="preserve">service </w:t>
      </w:r>
      <w:r w:rsidR="0043694D">
        <w:rPr>
          <w:szCs w:val="22"/>
        </w:rPr>
        <w:t xml:space="preserve">providers with </w:t>
      </w:r>
      <w:r w:rsidR="00502386">
        <w:rPr>
          <w:szCs w:val="22"/>
        </w:rPr>
        <w:t>substantial</w:t>
      </w:r>
      <w:r w:rsidR="0043694D">
        <w:rPr>
          <w:szCs w:val="22"/>
        </w:rPr>
        <w:t xml:space="preserve"> </w:t>
      </w:r>
      <w:r w:rsidR="008945E9">
        <w:rPr>
          <w:szCs w:val="22"/>
        </w:rPr>
        <w:t xml:space="preserve">mobile </w:t>
      </w:r>
      <w:r w:rsidR="00652850">
        <w:rPr>
          <w:szCs w:val="22"/>
        </w:rPr>
        <w:t xml:space="preserve">broadband </w:t>
      </w:r>
      <w:r w:rsidR="0043694D">
        <w:rPr>
          <w:szCs w:val="22"/>
        </w:rPr>
        <w:t>coverage</w:t>
      </w:r>
      <w:r w:rsidR="005273C7">
        <w:rPr>
          <w:szCs w:val="22"/>
        </w:rPr>
        <w:t xml:space="preserve"> and</w:t>
      </w:r>
      <w:r w:rsidR="0043694D">
        <w:rPr>
          <w:szCs w:val="22"/>
        </w:rPr>
        <w:t xml:space="preserve"> </w:t>
      </w:r>
      <w:r w:rsidRPr="002023EB">
        <w:rPr>
          <w:szCs w:val="22"/>
        </w:rPr>
        <w:t>capacity</w:t>
      </w:r>
      <w:r w:rsidR="005273C7">
        <w:rPr>
          <w:szCs w:val="22"/>
        </w:rPr>
        <w:t xml:space="preserve">, and the ability of other rival service providers to offer competitive services.  We find that </w:t>
      </w:r>
      <w:r w:rsidR="00A31293">
        <w:rPr>
          <w:szCs w:val="22"/>
        </w:rPr>
        <w:t xml:space="preserve">the proposed transaction is unlikely to lessen </w:t>
      </w:r>
      <w:r w:rsidR="005273C7">
        <w:rPr>
          <w:szCs w:val="22"/>
        </w:rPr>
        <w:t xml:space="preserve">the ability of rival service providers to respond to any anticompetitive behavior on the part of the combined entity </w:t>
      </w:r>
      <w:r w:rsidR="006C29BB">
        <w:rPr>
          <w:szCs w:val="22"/>
        </w:rPr>
        <w:t>in this local market.</w:t>
      </w:r>
      <w:r w:rsidR="00F135D6" w:rsidRPr="00F135D6">
        <w:t xml:space="preserve"> </w:t>
      </w:r>
    </w:p>
    <w:p w:rsidR="006E099D" w:rsidRPr="004A0496" w:rsidRDefault="0099340B" w:rsidP="00A74EAD">
      <w:pPr>
        <w:pStyle w:val="ParaNum"/>
        <w:widowControl/>
        <w:rPr>
          <w:szCs w:val="22"/>
        </w:rPr>
      </w:pPr>
      <w:r w:rsidRPr="004A0496">
        <w:rPr>
          <w:kern w:val="0"/>
          <w:szCs w:val="22"/>
        </w:rPr>
        <w:t>Texas 3 – Parmer</w:t>
      </w:r>
      <w:r w:rsidR="0002570D" w:rsidRPr="004A0496">
        <w:rPr>
          <w:kern w:val="0"/>
          <w:szCs w:val="22"/>
        </w:rPr>
        <w:t xml:space="preserve"> is </w:t>
      </w:r>
      <w:r w:rsidRPr="004A0496">
        <w:rPr>
          <w:kern w:val="0"/>
          <w:szCs w:val="22"/>
        </w:rPr>
        <w:t>a rural market</w:t>
      </w:r>
      <w:r w:rsidR="0002570D">
        <w:rPr>
          <w:rStyle w:val="FootnoteReference"/>
          <w:kern w:val="0"/>
          <w:szCs w:val="22"/>
        </w:rPr>
        <w:footnoteReference w:id="108"/>
      </w:r>
      <w:r w:rsidRPr="004A0496">
        <w:rPr>
          <w:kern w:val="0"/>
          <w:szCs w:val="22"/>
        </w:rPr>
        <w:t xml:space="preserve"> of approximately 136,000 </w:t>
      </w:r>
      <w:r w:rsidR="0002570D" w:rsidRPr="004A0496">
        <w:rPr>
          <w:kern w:val="0"/>
          <w:szCs w:val="22"/>
        </w:rPr>
        <w:t>people that triggers</w:t>
      </w:r>
      <w:r w:rsidR="00DA4F3D">
        <w:rPr>
          <w:kern w:val="0"/>
          <w:szCs w:val="22"/>
        </w:rPr>
        <w:t xml:space="preserve"> both</w:t>
      </w:r>
      <w:r w:rsidR="0002570D" w:rsidRPr="004A0496">
        <w:rPr>
          <w:kern w:val="0"/>
          <w:szCs w:val="22"/>
        </w:rPr>
        <w:t xml:space="preserve"> the HHI screen and </w:t>
      </w:r>
      <w:r w:rsidR="00DD1814">
        <w:rPr>
          <w:kern w:val="0"/>
          <w:szCs w:val="22"/>
        </w:rPr>
        <w:t>our review of increased below-1-GHz spectrum concentration</w:t>
      </w:r>
      <w:r w:rsidR="004321F1">
        <w:rPr>
          <w:kern w:val="0"/>
          <w:szCs w:val="22"/>
        </w:rPr>
        <w:t>,</w:t>
      </w:r>
      <w:r w:rsidR="00F970AB">
        <w:rPr>
          <w:kern w:val="0"/>
          <w:szCs w:val="22"/>
        </w:rPr>
        <w:t xml:space="preserve"> </w:t>
      </w:r>
      <w:r w:rsidR="00A31293">
        <w:rPr>
          <w:kern w:val="0"/>
          <w:szCs w:val="22"/>
        </w:rPr>
        <w:t xml:space="preserve">because </w:t>
      </w:r>
      <w:r w:rsidR="0002570D" w:rsidRPr="004A0496">
        <w:rPr>
          <w:kern w:val="0"/>
          <w:szCs w:val="22"/>
        </w:rPr>
        <w:t xml:space="preserve">AT&amp;T would hold 55 megahertz of </w:t>
      </w:r>
      <w:r w:rsidR="00C47923">
        <w:t>low-band</w:t>
      </w:r>
      <w:r w:rsidR="0002570D" w:rsidRPr="004A0496">
        <w:rPr>
          <w:kern w:val="0"/>
          <w:szCs w:val="22"/>
        </w:rPr>
        <w:t xml:space="preserve"> spectrum post-transaction</w:t>
      </w:r>
      <w:r w:rsidR="0052691B">
        <w:rPr>
          <w:kern w:val="0"/>
          <w:szCs w:val="22"/>
        </w:rPr>
        <w:t xml:space="preserve">, which is more than one-third of the </w:t>
      </w:r>
      <w:r w:rsidR="00862D63">
        <w:rPr>
          <w:kern w:val="0"/>
          <w:szCs w:val="22"/>
        </w:rPr>
        <w:t xml:space="preserve">currently </w:t>
      </w:r>
      <w:r w:rsidR="0052691B">
        <w:rPr>
          <w:kern w:val="0"/>
          <w:szCs w:val="22"/>
        </w:rPr>
        <w:t>suitable and available spectrum below 1 GHz</w:t>
      </w:r>
      <w:r w:rsidR="0002570D" w:rsidRPr="004A0496">
        <w:rPr>
          <w:kern w:val="0"/>
          <w:szCs w:val="22"/>
        </w:rPr>
        <w:t>.  In this market, the</w:t>
      </w:r>
      <w:r w:rsidR="0002570D" w:rsidRPr="004A0496">
        <w:rPr>
          <w:bCs/>
          <w:szCs w:val="22"/>
        </w:rPr>
        <w:t xml:space="preserve"> post-transaction HHI would be </w:t>
      </w:r>
      <w:r w:rsidR="0002570D" w:rsidRPr="004A0496">
        <w:rPr>
          <w:b/>
          <w:bCs/>
          <w:szCs w:val="22"/>
        </w:rPr>
        <w:t>[BEGIN HIGHLY CONFIDENTIAL INFORMATION]</w:t>
      </w:r>
      <w:r w:rsidR="00932064">
        <w:rPr>
          <w:bCs/>
          <w:szCs w:val="22"/>
        </w:rPr>
        <w:t xml:space="preserve"> </w:t>
      </w:r>
      <w:r w:rsidR="00932064" w:rsidRPr="002525B8">
        <w:rPr>
          <w:rFonts w:hint="eastAsia"/>
          <w:bCs/>
          <w:spacing w:val="26"/>
          <w:kern w:val="0"/>
          <w:szCs w:val="22"/>
          <w:fitText w:val="450" w:id="892573445"/>
        </w:rPr>
        <w:t xml:space="preserve">　</w:t>
      </w:r>
      <w:r w:rsidR="00932064" w:rsidRPr="002525B8">
        <w:rPr>
          <w:bCs/>
          <w:color w:val="FFFFFF"/>
          <w:spacing w:val="26"/>
          <w:kern w:val="0"/>
          <w:szCs w:val="22"/>
          <w:fitText w:val="450" w:id="892573445"/>
        </w:rPr>
        <w:t>.</w:t>
      </w:r>
      <w:r w:rsidR="00932064" w:rsidRPr="002525B8">
        <w:rPr>
          <w:rFonts w:hint="eastAsia"/>
          <w:bCs/>
          <w:color w:val="FFFFFF"/>
          <w:spacing w:val="1"/>
          <w:kern w:val="0"/>
          <w:szCs w:val="22"/>
          <w:fitText w:val="450" w:id="892573445"/>
        </w:rPr>
        <w:t xml:space="preserve">　</w:t>
      </w:r>
      <w:r w:rsidR="0002570D" w:rsidRPr="004A0496">
        <w:rPr>
          <w:b/>
          <w:bCs/>
          <w:szCs w:val="22"/>
        </w:rPr>
        <w:t>[END HIGHLY CONFIDENTIAL INFORMATION]</w:t>
      </w:r>
      <w:r w:rsidR="0002570D" w:rsidRPr="004A0496">
        <w:rPr>
          <w:bCs/>
          <w:szCs w:val="22"/>
        </w:rPr>
        <w:t xml:space="preserve">, and the change in the HHI would be </w:t>
      </w:r>
      <w:r w:rsidR="0002570D" w:rsidRPr="004A0496">
        <w:rPr>
          <w:b/>
          <w:bCs/>
          <w:szCs w:val="22"/>
        </w:rPr>
        <w:t>[BEGIN HIGHLY CONFIDENTIAL INFORMATION]</w:t>
      </w:r>
      <w:r w:rsidR="00932064">
        <w:rPr>
          <w:bCs/>
          <w:szCs w:val="22"/>
        </w:rPr>
        <w:t xml:space="preserve"> </w:t>
      </w:r>
      <w:r w:rsidR="00932064" w:rsidRPr="002525B8">
        <w:rPr>
          <w:rFonts w:hint="eastAsia"/>
          <w:bCs/>
          <w:spacing w:val="9"/>
          <w:w w:val="67"/>
          <w:kern w:val="0"/>
          <w:szCs w:val="22"/>
          <w:fitText w:val="285" w:id="892573446"/>
        </w:rPr>
        <w:t xml:space="preserve">　</w:t>
      </w:r>
      <w:r w:rsidR="00932064" w:rsidRPr="002525B8">
        <w:rPr>
          <w:bCs/>
          <w:color w:val="FFFFFF"/>
          <w:spacing w:val="9"/>
          <w:w w:val="67"/>
          <w:kern w:val="0"/>
          <w:szCs w:val="22"/>
          <w:fitText w:val="285" w:id="892573446"/>
        </w:rPr>
        <w:t>.</w:t>
      </w:r>
      <w:r w:rsidR="00932064" w:rsidRPr="002525B8">
        <w:rPr>
          <w:rFonts w:hint="eastAsia"/>
          <w:bCs/>
          <w:color w:val="FFFFFF"/>
          <w:spacing w:val="1"/>
          <w:w w:val="67"/>
          <w:kern w:val="0"/>
          <w:szCs w:val="22"/>
          <w:fitText w:val="285" w:id="892573446"/>
        </w:rPr>
        <w:t xml:space="preserve">　</w:t>
      </w:r>
      <w:r w:rsidR="0002570D" w:rsidRPr="004A0496">
        <w:rPr>
          <w:b/>
          <w:bCs/>
          <w:szCs w:val="22"/>
        </w:rPr>
        <w:t>[END HIGHLY CONFIDENTIAL INFORMATION]</w:t>
      </w:r>
      <w:r w:rsidR="00782ABB" w:rsidRPr="00B809B3">
        <w:rPr>
          <w:bCs/>
          <w:szCs w:val="22"/>
        </w:rPr>
        <w:t>.</w:t>
      </w:r>
      <w:r w:rsidR="00652850">
        <w:rPr>
          <w:rStyle w:val="FootnoteReference"/>
          <w:bCs/>
          <w:szCs w:val="22"/>
        </w:rPr>
        <w:footnoteReference w:id="109"/>
      </w:r>
      <w:r w:rsidR="0002570D" w:rsidRPr="004A0496">
        <w:rPr>
          <w:bCs/>
          <w:szCs w:val="22"/>
        </w:rPr>
        <w:t xml:space="preserve">  </w:t>
      </w:r>
      <w:r w:rsidR="0002570D" w:rsidRPr="004A0496">
        <w:rPr>
          <w:kern w:val="0"/>
          <w:szCs w:val="22"/>
        </w:rPr>
        <w:t xml:space="preserve">The number of service providers with a significant market share would be reduced from four to three:  AT&amp;T currently holds approximately </w:t>
      </w:r>
      <w:r w:rsidR="0002570D" w:rsidRPr="004A0496">
        <w:rPr>
          <w:b/>
          <w:bCs/>
          <w:szCs w:val="22"/>
        </w:rPr>
        <w:t>[BEGIN HIGHLY CONFIDENTIAL INFORMATION]</w:t>
      </w:r>
      <w:r w:rsidR="00932064">
        <w:rPr>
          <w:bCs/>
          <w:szCs w:val="22"/>
        </w:rPr>
        <w:t xml:space="preserve"> </w:t>
      </w:r>
      <w:r w:rsidR="00932064" w:rsidRPr="002525B8">
        <w:rPr>
          <w:rFonts w:hint="eastAsia"/>
          <w:bCs/>
          <w:w w:val="15"/>
          <w:kern w:val="0"/>
          <w:szCs w:val="22"/>
          <w:fitText w:val="60" w:id="892573447"/>
        </w:rPr>
        <w:t xml:space="preserve">　</w:t>
      </w:r>
      <w:r w:rsidR="00932064" w:rsidRPr="002525B8">
        <w:rPr>
          <w:bCs/>
          <w:color w:val="FFFFFF"/>
          <w:w w:val="15"/>
          <w:kern w:val="0"/>
          <w:szCs w:val="22"/>
          <w:fitText w:val="60" w:id="892573447"/>
        </w:rPr>
        <w:t>.</w:t>
      </w:r>
      <w:r w:rsidR="00932064" w:rsidRPr="002525B8">
        <w:rPr>
          <w:rFonts w:hint="eastAsia"/>
          <w:bCs/>
          <w:color w:val="FFFFFF"/>
          <w:w w:val="15"/>
          <w:kern w:val="0"/>
          <w:szCs w:val="22"/>
          <w:fitText w:val="60" w:id="892573447"/>
        </w:rPr>
        <w:t xml:space="preserve">　</w:t>
      </w:r>
      <w:r w:rsidR="0002570D" w:rsidRPr="004A0496">
        <w:rPr>
          <w:b/>
          <w:bCs/>
          <w:szCs w:val="22"/>
        </w:rPr>
        <w:t xml:space="preserve">[END HIGHLY CONFIDENTIAL INFORMATION] </w:t>
      </w:r>
      <w:r w:rsidR="00502386" w:rsidRPr="00502386">
        <w:rPr>
          <w:bCs/>
          <w:szCs w:val="22"/>
        </w:rPr>
        <w:t xml:space="preserve">percent </w:t>
      </w:r>
      <w:r w:rsidR="0002570D" w:rsidRPr="004A0496">
        <w:rPr>
          <w:bCs/>
          <w:szCs w:val="22"/>
        </w:rPr>
        <w:t xml:space="preserve">of the market and Plateau Wireless holds approximately </w:t>
      </w:r>
      <w:r w:rsidR="0002570D" w:rsidRPr="004A0496">
        <w:rPr>
          <w:b/>
          <w:bCs/>
          <w:szCs w:val="22"/>
        </w:rPr>
        <w:t>[BEGIN HIGHLY CONFIDENTIAL INFORMATION]</w:t>
      </w:r>
      <w:r w:rsidR="00932064">
        <w:rPr>
          <w:bCs/>
          <w:szCs w:val="22"/>
        </w:rPr>
        <w:t xml:space="preserve"> </w:t>
      </w:r>
      <w:r w:rsidR="00932064" w:rsidRPr="002525B8">
        <w:rPr>
          <w:rFonts w:hint="eastAsia"/>
          <w:bCs/>
          <w:w w:val="15"/>
          <w:kern w:val="0"/>
          <w:szCs w:val="22"/>
          <w:fitText w:val="60" w:id="892573448"/>
        </w:rPr>
        <w:t xml:space="preserve">　</w:t>
      </w:r>
      <w:r w:rsidR="00932064" w:rsidRPr="002525B8">
        <w:rPr>
          <w:bCs/>
          <w:color w:val="FFFFFF"/>
          <w:w w:val="15"/>
          <w:kern w:val="0"/>
          <w:szCs w:val="22"/>
          <w:fitText w:val="60" w:id="892573448"/>
        </w:rPr>
        <w:t>.</w:t>
      </w:r>
      <w:r w:rsidR="00932064" w:rsidRPr="002525B8">
        <w:rPr>
          <w:rFonts w:hint="eastAsia"/>
          <w:bCs/>
          <w:color w:val="FFFFFF"/>
          <w:w w:val="15"/>
          <w:kern w:val="0"/>
          <w:szCs w:val="22"/>
          <w:fitText w:val="60" w:id="892573448"/>
        </w:rPr>
        <w:t xml:space="preserve">　</w:t>
      </w:r>
      <w:r w:rsidR="0002570D" w:rsidRPr="004A0496">
        <w:rPr>
          <w:b/>
          <w:bCs/>
          <w:szCs w:val="22"/>
        </w:rPr>
        <w:t>[END HIGHLY CONFIDENTIAL INFORMATION]</w:t>
      </w:r>
      <w:r w:rsidR="00502386">
        <w:rPr>
          <w:bCs/>
          <w:szCs w:val="22"/>
        </w:rPr>
        <w:t xml:space="preserve"> percent</w:t>
      </w:r>
      <w:r w:rsidR="00B70787">
        <w:rPr>
          <w:bCs/>
          <w:szCs w:val="22"/>
        </w:rPr>
        <w:t xml:space="preserve">; two </w:t>
      </w:r>
      <w:r w:rsidR="00C47923">
        <w:rPr>
          <w:bCs/>
          <w:szCs w:val="22"/>
        </w:rPr>
        <w:t xml:space="preserve">of the other three nationwide service providers, </w:t>
      </w:r>
      <w:r w:rsidR="00E66560" w:rsidRPr="004A0496">
        <w:rPr>
          <w:bCs/>
          <w:szCs w:val="22"/>
        </w:rPr>
        <w:t>Verizon Wireless and Sprint</w:t>
      </w:r>
      <w:r w:rsidR="00C47923">
        <w:rPr>
          <w:bCs/>
          <w:szCs w:val="22"/>
        </w:rPr>
        <w:t>,</w:t>
      </w:r>
      <w:r w:rsidR="00E66560" w:rsidRPr="004A0496">
        <w:rPr>
          <w:bCs/>
          <w:szCs w:val="22"/>
        </w:rPr>
        <w:t xml:space="preserve"> have market shares of approximately </w:t>
      </w:r>
      <w:r w:rsidR="00E66560" w:rsidRPr="004A0496">
        <w:rPr>
          <w:b/>
          <w:bCs/>
          <w:szCs w:val="22"/>
        </w:rPr>
        <w:t>[BEGIN HIGHLY CONFIDENTIAL INFORMATION]</w:t>
      </w:r>
      <w:r w:rsidR="00932064">
        <w:rPr>
          <w:bCs/>
          <w:szCs w:val="22"/>
        </w:rPr>
        <w:t xml:space="preserve"> </w:t>
      </w:r>
      <w:r w:rsidR="00932064">
        <w:rPr>
          <w:bCs/>
          <w:szCs w:val="22"/>
        </w:rPr>
        <w:br/>
      </w:r>
      <w:r w:rsidR="00932064" w:rsidRPr="002525B8">
        <w:rPr>
          <w:rFonts w:hint="eastAsia"/>
          <w:bCs/>
          <w:color w:val="FFFFFF"/>
          <w:spacing w:val="1113"/>
          <w:kern w:val="0"/>
          <w:szCs w:val="22"/>
          <w:fitText w:val="2625" w:id="892573449"/>
        </w:rPr>
        <w:t xml:space="preserve">　</w:t>
      </w:r>
      <w:r w:rsidR="00932064" w:rsidRPr="002525B8">
        <w:rPr>
          <w:bCs/>
          <w:color w:val="FFFFFF"/>
          <w:spacing w:val="1113"/>
          <w:kern w:val="0"/>
          <w:szCs w:val="22"/>
          <w:fitText w:val="2625" w:id="892573449"/>
        </w:rPr>
        <w:t>.</w:t>
      </w:r>
      <w:r w:rsidR="00932064" w:rsidRPr="002525B8">
        <w:rPr>
          <w:rFonts w:hint="eastAsia"/>
          <w:bCs/>
          <w:color w:val="FFFFFF"/>
          <w:spacing w:val="2"/>
          <w:kern w:val="0"/>
          <w:szCs w:val="22"/>
          <w:fitText w:val="2625" w:id="892573449"/>
        </w:rPr>
        <w:t xml:space="preserve">　</w:t>
      </w:r>
      <w:r w:rsidR="00E66560" w:rsidRPr="004A0496">
        <w:rPr>
          <w:b/>
          <w:bCs/>
          <w:szCs w:val="22"/>
        </w:rPr>
        <w:t>[END HIGHLY CONFIDENTIAL INFORMATION]</w:t>
      </w:r>
      <w:r w:rsidR="00E66560" w:rsidRPr="004A0496">
        <w:rPr>
          <w:bCs/>
          <w:szCs w:val="22"/>
        </w:rPr>
        <w:t xml:space="preserve"> </w:t>
      </w:r>
      <w:r w:rsidR="00502386">
        <w:rPr>
          <w:bCs/>
          <w:szCs w:val="22"/>
        </w:rPr>
        <w:t>percent</w:t>
      </w:r>
      <w:r w:rsidR="008A17D0">
        <w:rPr>
          <w:bCs/>
          <w:szCs w:val="22"/>
        </w:rPr>
        <w:t>,</w:t>
      </w:r>
      <w:r w:rsidR="00502386">
        <w:rPr>
          <w:bCs/>
          <w:szCs w:val="22"/>
        </w:rPr>
        <w:t xml:space="preserve"> </w:t>
      </w:r>
      <w:r w:rsidR="00E66560" w:rsidRPr="004A0496">
        <w:rPr>
          <w:bCs/>
          <w:szCs w:val="22"/>
        </w:rPr>
        <w:t>respectively</w:t>
      </w:r>
      <w:r w:rsidR="008A17D0">
        <w:rPr>
          <w:bCs/>
          <w:szCs w:val="22"/>
        </w:rPr>
        <w:t>,</w:t>
      </w:r>
      <w:r w:rsidR="006E099D" w:rsidRPr="004A0496">
        <w:rPr>
          <w:bCs/>
          <w:szCs w:val="22"/>
        </w:rPr>
        <w:t xml:space="preserve"> in this market</w:t>
      </w:r>
      <w:r w:rsidR="00E66560" w:rsidRPr="004A0496">
        <w:rPr>
          <w:bCs/>
          <w:szCs w:val="22"/>
        </w:rPr>
        <w:t>.</w:t>
      </w:r>
      <w:r w:rsidR="00E66560" w:rsidRPr="00894362">
        <w:rPr>
          <w:rStyle w:val="FootnoteReference"/>
          <w:bCs/>
          <w:szCs w:val="22"/>
        </w:rPr>
        <w:footnoteReference w:id="110"/>
      </w:r>
      <w:r w:rsidR="00E66560" w:rsidRPr="004A0496">
        <w:rPr>
          <w:bCs/>
          <w:szCs w:val="22"/>
        </w:rPr>
        <w:t xml:space="preserve">  </w:t>
      </w:r>
    </w:p>
    <w:p w:rsidR="00E66560" w:rsidRDefault="00E66560" w:rsidP="00B809B3">
      <w:pPr>
        <w:pStyle w:val="ParaNum"/>
        <w:widowControl/>
      </w:pPr>
      <w:r>
        <w:t xml:space="preserve">In terms of </w:t>
      </w:r>
      <w:r w:rsidR="006E099D">
        <w:t xml:space="preserve">population and land area </w:t>
      </w:r>
      <w:r>
        <w:t xml:space="preserve">coverage, all four nationwide service providers </w:t>
      </w:r>
      <w:r w:rsidR="00310B62">
        <w:t xml:space="preserve">have significant 3G coverage, </w:t>
      </w:r>
      <w:r>
        <w:t>cover</w:t>
      </w:r>
      <w:r w:rsidR="00435A1C">
        <w:t>ing</w:t>
      </w:r>
      <w:r>
        <w:t xml:space="preserve"> at least </w:t>
      </w:r>
      <w:r w:rsidR="00C565D1">
        <w:t xml:space="preserve">approximately </w:t>
      </w:r>
      <w:r w:rsidR="000239C7">
        <w:t>74</w:t>
      </w:r>
      <w:r>
        <w:t xml:space="preserve"> percent of the population </w:t>
      </w:r>
      <w:r w:rsidR="00824562">
        <w:t xml:space="preserve">and at least </w:t>
      </w:r>
      <w:r w:rsidR="00C565D1">
        <w:t xml:space="preserve">approximately </w:t>
      </w:r>
      <w:r w:rsidR="00824562">
        <w:t xml:space="preserve">67 percent of the land area </w:t>
      </w:r>
      <w:r>
        <w:t xml:space="preserve">with </w:t>
      </w:r>
      <w:r w:rsidR="006E099D">
        <w:t xml:space="preserve">their respective </w:t>
      </w:r>
      <w:r>
        <w:t>3G</w:t>
      </w:r>
      <w:r w:rsidR="006E099D">
        <w:t xml:space="preserve"> networks</w:t>
      </w:r>
      <w:r w:rsidR="00824562">
        <w:t>.</w:t>
      </w:r>
      <w:r w:rsidR="00862D63">
        <w:rPr>
          <w:rStyle w:val="FootnoteReference"/>
        </w:rPr>
        <w:footnoteReference w:id="111"/>
      </w:r>
      <w:r w:rsidR="00824562">
        <w:t xml:space="preserve">  I</w:t>
      </w:r>
      <w:r>
        <w:t xml:space="preserve">n addition, AT&amp;T covers </w:t>
      </w:r>
      <w:r w:rsidR="00787E62">
        <w:t xml:space="preserve">approximately </w:t>
      </w:r>
      <w:r w:rsidR="000239C7">
        <w:t>7</w:t>
      </w:r>
      <w:r>
        <w:t xml:space="preserve">6 percent of the population </w:t>
      </w:r>
      <w:r w:rsidR="006E099D">
        <w:t xml:space="preserve">and </w:t>
      </w:r>
      <w:r w:rsidR="00787E62">
        <w:t xml:space="preserve">approximately </w:t>
      </w:r>
      <w:r w:rsidR="006E099D">
        <w:t xml:space="preserve">78 percent of the land area </w:t>
      </w:r>
      <w:r>
        <w:t xml:space="preserve">with HSPA+, </w:t>
      </w:r>
      <w:r w:rsidR="000239C7">
        <w:t xml:space="preserve">and </w:t>
      </w:r>
      <w:r w:rsidR="00824562">
        <w:t xml:space="preserve">approximately 45 </w:t>
      </w:r>
      <w:r w:rsidR="000239C7">
        <w:t xml:space="preserve">percent of </w:t>
      </w:r>
      <w:r w:rsidR="00310B62">
        <w:t xml:space="preserve">both </w:t>
      </w:r>
      <w:r w:rsidR="000239C7">
        <w:t xml:space="preserve">the population </w:t>
      </w:r>
      <w:r w:rsidR="00824562">
        <w:t xml:space="preserve">and land area </w:t>
      </w:r>
      <w:r w:rsidR="000239C7">
        <w:t xml:space="preserve">with LTE, </w:t>
      </w:r>
      <w:r>
        <w:t xml:space="preserve">while </w:t>
      </w:r>
      <w:r w:rsidR="00824562">
        <w:t>Sprint covers approximately 70 percent of the population and</w:t>
      </w:r>
      <w:r w:rsidR="00787E62">
        <w:t xml:space="preserve"> approximately</w:t>
      </w:r>
      <w:r w:rsidR="00824562">
        <w:t xml:space="preserve"> 54 percent of the land area with LTE, and </w:t>
      </w:r>
      <w:r>
        <w:t xml:space="preserve">Verizon Wireless covers approximately </w:t>
      </w:r>
      <w:r w:rsidR="00824562">
        <w:t>100</w:t>
      </w:r>
      <w:r>
        <w:t xml:space="preserve"> percent of the population </w:t>
      </w:r>
      <w:r w:rsidR="00824562">
        <w:t xml:space="preserve">and </w:t>
      </w:r>
      <w:r w:rsidR="00787E62">
        <w:t xml:space="preserve">approximately </w:t>
      </w:r>
      <w:r w:rsidR="00824562">
        <w:t xml:space="preserve">98 percent of the land area </w:t>
      </w:r>
      <w:r>
        <w:t>with LTE.</w:t>
      </w:r>
      <w:r w:rsidR="00727654">
        <w:t xml:space="preserve">  </w:t>
      </w:r>
      <w:r w:rsidR="00310B62">
        <w:t>In</w:t>
      </w:r>
      <w:r w:rsidR="00727654">
        <w:t xml:space="preserve"> analyzing the data submitted by Plateau Wireless, the proposed transaction would </w:t>
      </w:r>
      <w:r w:rsidR="00727654" w:rsidRPr="009F5576">
        <w:rPr>
          <w:b/>
          <w:bCs/>
        </w:rPr>
        <w:t>[BEGIN HIGHLY CONFIDENTIAL INFORMATION]</w:t>
      </w:r>
      <w:r w:rsidR="00932064">
        <w:t xml:space="preserve"> </w:t>
      </w:r>
      <w:r w:rsidR="00932064">
        <w:br/>
      </w:r>
      <w:r w:rsidR="00932064" w:rsidRPr="002525B8">
        <w:rPr>
          <w:rFonts w:hint="eastAsia"/>
          <w:color w:val="FFFFFF"/>
          <w:spacing w:val="2628"/>
          <w:kern w:val="0"/>
          <w:fitText w:val="5655" w:id="892573450"/>
        </w:rPr>
        <w:t xml:space="preserve">　</w:t>
      </w:r>
      <w:r w:rsidR="00932064" w:rsidRPr="002525B8">
        <w:rPr>
          <w:color w:val="FFFFFF"/>
          <w:spacing w:val="2628"/>
          <w:kern w:val="0"/>
          <w:fitText w:val="5655" w:id="892573450"/>
        </w:rPr>
        <w:t>.</w:t>
      </w:r>
      <w:r w:rsidR="00932064" w:rsidRPr="002525B8">
        <w:rPr>
          <w:rFonts w:hint="eastAsia"/>
          <w:color w:val="FFFFFF"/>
          <w:spacing w:val="2"/>
          <w:kern w:val="0"/>
          <w:fitText w:val="5655" w:id="892573450"/>
        </w:rPr>
        <w:t xml:space="preserve">　</w:t>
      </w:r>
      <w:r w:rsidR="00727654" w:rsidRPr="00027E86">
        <w:rPr>
          <w:b/>
          <w:bCs/>
        </w:rPr>
        <w:t>[END HIGHLY CONFIDENTIAL INFORMATION]</w:t>
      </w:r>
      <w:r w:rsidR="00727654">
        <w:rPr>
          <w:bCs/>
        </w:rPr>
        <w:t>,</w:t>
      </w:r>
      <w:r w:rsidR="00727654" w:rsidRPr="00BF26FD">
        <w:rPr>
          <w:bCs/>
        </w:rPr>
        <w:t xml:space="preserve"> </w:t>
      </w:r>
      <w:r w:rsidR="00727654" w:rsidRPr="00BF26FD">
        <w:rPr>
          <w:bCs/>
          <w:szCs w:val="22"/>
        </w:rPr>
        <w:t xml:space="preserve">post-transaction, result in four </w:t>
      </w:r>
      <w:r w:rsidR="00E80D72">
        <w:rPr>
          <w:bCs/>
          <w:szCs w:val="22"/>
        </w:rPr>
        <w:t xml:space="preserve">service </w:t>
      </w:r>
      <w:r w:rsidR="00727654" w:rsidRPr="00BF26FD">
        <w:rPr>
          <w:bCs/>
          <w:szCs w:val="22"/>
        </w:rPr>
        <w:t>providers with significant 3G or 4G coverage</w:t>
      </w:r>
      <w:r w:rsidR="00727654">
        <w:rPr>
          <w:bCs/>
        </w:rPr>
        <w:t>.</w:t>
      </w:r>
      <w:r w:rsidR="00727654">
        <w:rPr>
          <w:rStyle w:val="FootnoteReference"/>
          <w:szCs w:val="22"/>
        </w:rPr>
        <w:footnoteReference w:id="112"/>
      </w:r>
      <w:r w:rsidR="00727654">
        <w:t xml:space="preserve">  </w:t>
      </w:r>
    </w:p>
    <w:p w:rsidR="00652850" w:rsidRDefault="000239C7" w:rsidP="00A74EAD">
      <w:pPr>
        <w:pStyle w:val="ParaNum"/>
        <w:widowControl/>
      </w:pPr>
      <w:r w:rsidRPr="00894362">
        <w:rPr>
          <w:bCs/>
          <w:szCs w:val="22"/>
        </w:rPr>
        <w:t>AT&amp;T would hold 135</w:t>
      </w:r>
      <w:r>
        <w:rPr>
          <w:bCs/>
          <w:szCs w:val="22"/>
        </w:rPr>
        <w:t xml:space="preserve"> to </w:t>
      </w:r>
      <w:r w:rsidRPr="00894362">
        <w:rPr>
          <w:bCs/>
          <w:szCs w:val="22"/>
        </w:rPr>
        <w:t xml:space="preserve">165 megahertz of spectrum </w:t>
      </w:r>
      <w:r w:rsidRPr="00894362">
        <w:rPr>
          <w:szCs w:val="22"/>
        </w:rPr>
        <w:t>on a county-by-county basis</w:t>
      </w:r>
      <w:r>
        <w:rPr>
          <w:szCs w:val="22"/>
        </w:rPr>
        <w:t xml:space="preserve">, </w:t>
      </w:r>
      <w:r w:rsidR="0027122E">
        <w:rPr>
          <w:szCs w:val="22"/>
        </w:rPr>
        <w:t xml:space="preserve">post-transaction, </w:t>
      </w:r>
      <w:r>
        <w:rPr>
          <w:szCs w:val="22"/>
        </w:rPr>
        <w:t xml:space="preserve">including 55 megahertz of spectrum below 1 GHz, while the other </w:t>
      </w:r>
      <w:r w:rsidRPr="00894362">
        <w:rPr>
          <w:szCs w:val="22"/>
        </w:rPr>
        <w:t xml:space="preserve">nationwide </w:t>
      </w:r>
      <w:r>
        <w:rPr>
          <w:szCs w:val="22"/>
        </w:rPr>
        <w:t xml:space="preserve">service </w:t>
      </w:r>
      <w:r w:rsidRPr="00894362">
        <w:rPr>
          <w:szCs w:val="22"/>
        </w:rPr>
        <w:t>providers</w:t>
      </w:r>
      <w:r>
        <w:rPr>
          <w:szCs w:val="22"/>
        </w:rPr>
        <w:t xml:space="preserve">’ spectrum holdings range from </w:t>
      </w:r>
      <w:r w:rsidRPr="00894362">
        <w:rPr>
          <w:szCs w:val="22"/>
        </w:rPr>
        <w:t>25</w:t>
      </w:r>
      <w:r>
        <w:rPr>
          <w:szCs w:val="22"/>
        </w:rPr>
        <w:t xml:space="preserve"> to</w:t>
      </w:r>
      <w:r w:rsidR="00770D61">
        <w:rPr>
          <w:szCs w:val="22"/>
        </w:rPr>
        <w:t xml:space="preserve"> </w:t>
      </w:r>
      <w:r w:rsidR="003A2598">
        <w:rPr>
          <w:szCs w:val="22"/>
        </w:rPr>
        <w:t xml:space="preserve">193 </w:t>
      </w:r>
      <w:r w:rsidRPr="00894362">
        <w:rPr>
          <w:szCs w:val="22"/>
        </w:rPr>
        <w:t>megahertz</w:t>
      </w:r>
      <w:r w:rsidR="00C565D1">
        <w:rPr>
          <w:szCs w:val="22"/>
        </w:rPr>
        <w:t xml:space="preserve"> of spectrum</w:t>
      </w:r>
      <w:r w:rsidR="00770D61">
        <w:rPr>
          <w:szCs w:val="22"/>
        </w:rPr>
        <w:t xml:space="preserve">.  </w:t>
      </w:r>
      <w:r w:rsidR="00F66030">
        <w:t xml:space="preserve">In Texas 3 – </w:t>
      </w:r>
      <w:r w:rsidR="00652850">
        <w:t>Parmer</w:t>
      </w:r>
      <w:r w:rsidR="00F66030">
        <w:t>, t</w:t>
      </w:r>
      <w:r w:rsidR="00133F8F" w:rsidRPr="00681943">
        <w:t xml:space="preserve">he other holders of </w:t>
      </w:r>
      <w:r w:rsidR="0032649E">
        <w:t>below-1-GHz</w:t>
      </w:r>
      <w:r w:rsidR="00133F8F" w:rsidRPr="00681943">
        <w:t xml:space="preserve"> spectrum include </w:t>
      </w:r>
      <w:r w:rsidR="008D1927" w:rsidRPr="00133F8F">
        <w:t xml:space="preserve">Verizon Wireless </w:t>
      </w:r>
      <w:r w:rsidR="00133F8F" w:rsidRPr="00133F8F">
        <w:t>with</w:t>
      </w:r>
      <w:r w:rsidR="008D1927" w:rsidRPr="00133F8F">
        <w:t xml:space="preserve"> 47 megahertz</w:t>
      </w:r>
      <w:r w:rsidR="00532127">
        <w:t xml:space="preserve"> of cellular and </w:t>
      </w:r>
      <w:r w:rsidR="00AB2F9D">
        <w:t>Upper</w:t>
      </w:r>
      <w:r w:rsidR="00532127">
        <w:t xml:space="preserve"> 700 MHz </w:t>
      </w:r>
      <w:r w:rsidR="00924D50">
        <w:t xml:space="preserve">C Block </w:t>
      </w:r>
      <w:r w:rsidR="00532127">
        <w:t>spectrum</w:t>
      </w:r>
      <w:r w:rsidR="008D1927" w:rsidRPr="00133F8F">
        <w:t xml:space="preserve">, Sprint </w:t>
      </w:r>
      <w:r w:rsidR="00133F8F" w:rsidRPr="00133F8F">
        <w:t>with</w:t>
      </w:r>
      <w:r w:rsidR="008D1927" w:rsidRPr="00133F8F">
        <w:t xml:space="preserve"> 14 megahertz</w:t>
      </w:r>
      <w:r w:rsidR="00532127">
        <w:t xml:space="preserve"> of SMR spectrum</w:t>
      </w:r>
      <w:r w:rsidR="008D1927" w:rsidRPr="00133F8F">
        <w:t xml:space="preserve">, </w:t>
      </w:r>
      <w:r w:rsidR="00AB2F9D">
        <w:t xml:space="preserve">and </w:t>
      </w:r>
      <w:r w:rsidR="008D1927" w:rsidRPr="00133F8F">
        <w:t>D</w:t>
      </w:r>
      <w:r w:rsidR="00924D50">
        <w:t>ISH</w:t>
      </w:r>
      <w:r w:rsidR="008D1927" w:rsidRPr="00133F8F">
        <w:t xml:space="preserve"> </w:t>
      </w:r>
      <w:r w:rsidR="00133F8F" w:rsidRPr="00133F8F">
        <w:t>with</w:t>
      </w:r>
      <w:r w:rsidR="008D1927" w:rsidRPr="00133F8F">
        <w:t xml:space="preserve"> 6 megahertz</w:t>
      </w:r>
      <w:r w:rsidR="00133F8F" w:rsidRPr="00133F8F">
        <w:t xml:space="preserve"> </w:t>
      </w:r>
      <w:r w:rsidR="00AB2F9D">
        <w:t xml:space="preserve">of Lower 700 MHz spectrum.  </w:t>
      </w:r>
      <w:r w:rsidR="00A94971">
        <w:t>At the time of filing, t</w:t>
      </w:r>
      <w:r w:rsidR="008D1927" w:rsidRPr="00133F8F">
        <w:t>hree other licensees</w:t>
      </w:r>
      <w:r w:rsidR="00D2036B">
        <w:t>, Big Wave Ventures, Infrastructure Networks, and PVT Wireless,</w:t>
      </w:r>
      <w:r w:rsidR="008D1927" w:rsidRPr="00133F8F">
        <w:t xml:space="preserve"> </w:t>
      </w:r>
      <w:r w:rsidR="00A94971" w:rsidRPr="00133F8F">
        <w:t>h</w:t>
      </w:r>
      <w:r w:rsidR="00A94971">
        <w:t>e</w:t>
      </w:r>
      <w:r w:rsidR="00A94971" w:rsidRPr="00133F8F">
        <w:t xml:space="preserve">ld </w:t>
      </w:r>
      <w:r w:rsidR="008D1927" w:rsidRPr="00133F8F">
        <w:t>the remaining 12 megahertz of Lower 700 MHz A</w:t>
      </w:r>
      <w:r w:rsidR="00AB2F9D">
        <w:t xml:space="preserve"> </w:t>
      </w:r>
      <w:r w:rsidR="008D1927" w:rsidRPr="00133F8F">
        <w:t>Block spectrum</w:t>
      </w:r>
      <w:r w:rsidR="00133F8F" w:rsidRPr="00133F8F">
        <w:t xml:space="preserve"> between them</w:t>
      </w:r>
      <w:r w:rsidR="00AB2F9D">
        <w:t xml:space="preserve">, which could either be deployed by them or </w:t>
      </w:r>
      <w:r w:rsidR="00E105AA">
        <w:t xml:space="preserve">be </w:t>
      </w:r>
      <w:r w:rsidR="00AB2F9D">
        <w:t>acquired on the secondary market to be deployed by another service provider</w:t>
      </w:r>
      <w:r w:rsidR="008D1927" w:rsidRPr="00133F8F">
        <w:t>.</w:t>
      </w:r>
      <w:r w:rsidR="00986BE3">
        <w:rPr>
          <w:rStyle w:val="FootnoteReference"/>
        </w:rPr>
        <w:footnoteReference w:id="113"/>
      </w:r>
      <w:r w:rsidR="008D1927" w:rsidRPr="00133F8F">
        <w:t xml:space="preserve">  </w:t>
      </w:r>
      <w:r w:rsidR="000B6ACD">
        <w:t>We further note that other</w:t>
      </w:r>
      <w:r w:rsidR="000B6ACD" w:rsidRPr="00070E3C">
        <w:t xml:space="preserve"> </w:t>
      </w:r>
      <w:r w:rsidR="005273C7">
        <w:t xml:space="preserve">rival </w:t>
      </w:r>
      <w:r w:rsidR="000B6ACD" w:rsidRPr="00070E3C">
        <w:t xml:space="preserve">service providers </w:t>
      </w:r>
      <w:r w:rsidR="004321F1">
        <w:t>had the opportunity to</w:t>
      </w:r>
      <w:r w:rsidR="000B6ACD" w:rsidRPr="00070E3C">
        <w:t xml:space="preserve"> acquire Plateau Wireless’s </w:t>
      </w:r>
      <w:r w:rsidR="00445BB7">
        <w:t xml:space="preserve">below-1-GHz </w:t>
      </w:r>
      <w:r w:rsidR="000B6ACD" w:rsidRPr="00070E3C">
        <w:t>spectrum on the secondary market if they had chosen to do so.</w:t>
      </w:r>
      <w:r w:rsidR="000B6ACD" w:rsidRPr="00894362">
        <w:rPr>
          <w:rStyle w:val="FootnoteReference"/>
          <w:bCs/>
          <w:szCs w:val="22"/>
        </w:rPr>
        <w:footnoteReference w:id="114"/>
      </w:r>
    </w:p>
    <w:p w:rsidR="008D1927" w:rsidRPr="00367216" w:rsidRDefault="00601EAA" w:rsidP="00F66030">
      <w:pPr>
        <w:pStyle w:val="ParaNum"/>
      </w:pPr>
      <w:r>
        <w:t>We find that the likelihood of competitive harm is low i</w:t>
      </w:r>
      <w:r w:rsidR="00AB2F9D">
        <w:t xml:space="preserve">n Texas 3 – Parmer, </w:t>
      </w:r>
      <w:r w:rsidR="005273C7">
        <w:rPr>
          <w:szCs w:val="22"/>
        </w:rPr>
        <w:t>when evaluating t</w:t>
      </w:r>
      <w:r>
        <w:rPr>
          <w:szCs w:val="22"/>
        </w:rPr>
        <w:t xml:space="preserve">he </w:t>
      </w:r>
      <w:r w:rsidR="00532127">
        <w:rPr>
          <w:szCs w:val="22"/>
        </w:rPr>
        <w:t xml:space="preserve">particular facts </w:t>
      </w:r>
      <w:r w:rsidR="00AB2F9D">
        <w:rPr>
          <w:szCs w:val="22"/>
        </w:rPr>
        <w:t>ordinarily considered</w:t>
      </w:r>
      <w:r w:rsidR="00532127">
        <w:rPr>
          <w:szCs w:val="22"/>
        </w:rPr>
        <w:t>, including but not limited to</w:t>
      </w:r>
      <w:r w:rsidR="001F518B">
        <w:rPr>
          <w:szCs w:val="22"/>
        </w:rPr>
        <w:t xml:space="preserve"> the rural nature of the market,</w:t>
      </w:r>
      <w:r w:rsidR="00532127">
        <w:rPr>
          <w:szCs w:val="22"/>
        </w:rPr>
        <w:t xml:space="preserve"> </w:t>
      </w:r>
      <w:r w:rsidR="00652850">
        <w:rPr>
          <w:szCs w:val="22"/>
        </w:rPr>
        <w:t xml:space="preserve">the number of service providers with a significant market </w:t>
      </w:r>
      <w:r w:rsidR="005A493E">
        <w:rPr>
          <w:szCs w:val="22"/>
        </w:rPr>
        <w:t>share</w:t>
      </w:r>
      <w:r w:rsidR="00652850">
        <w:rPr>
          <w:szCs w:val="22"/>
        </w:rPr>
        <w:t xml:space="preserve">, </w:t>
      </w:r>
      <w:r w:rsidR="000A3251">
        <w:rPr>
          <w:szCs w:val="22"/>
        </w:rPr>
        <w:t xml:space="preserve">the number of service providers with </w:t>
      </w:r>
      <w:r w:rsidR="000C034A">
        <w:rPr>
          <w:szCs w:val="22"/>
        </w:rPr>
        <w:t xml:space="preserve">substantial </w:t>
      </w:r>
      <w:r w:rsidR="008945E9">
        <w:rPr>
          <w:szCs w:val="22"/>
        </w:rPr>
        <w:t>mobile broadband</w:t>
      </w:r>
      <w:r w:rsidR="000A3251">
        <w:rPr>
          <w:szCs w:val="22"/>
        </w:rPr>
        <w:t xml:space="preserve"> coverage </w:t>
      </w:r>
      <w:r w:rsidR="00204DD0">
        <w:rPr>
          <w:szCs w:val="22"/>
        </w:rPr>
        <w:t xml:space="preserve">and </w:t>
      </w:r>
      <w:r w:rsidR="00532127">
        <w:rPr>
          <w:szCs w:val="22"/>
        </w:rPr>
        <w:t>capacity</w:t>
      </w:r>
      <w:r w:rsidR="00204DD0">
        <w:rPr>
          <w:szCs w:val="22"/>
        </w:rPr>
        <w:t>,</w:t>
      </w:r>
      <w:r w:rsidR="00532127">
        <w:rPr>
          <w:szCs w:val="22"/>
        </w:rPr>
        <w:t xml:space="preserve"> and the ability of other rival service providers to offer competitive services</w:t>
      </w:r>
      <w:r w:rsidR="005A493E">
        <w:rPr>
          <w:szCs w:val="22"/>
        </w:rPr>
        <w:t>,</w:t>
      </w:r>
      <w:r w:rsidR="00AF63AF">
        <w:rPr>
          <w:szCs w:val="22"/>
        </w:rPr>
        <w:t xml:space="preserve"> </w:t>
      </w:r>
      <w:r w:rsidR="005273C7">
        <w:rPr>
          <w:szCs w:val="22"/>
        </w:rPr>
        <w:t xml:space="preserve">notwithstanding the fact that AT&amp;T would hold 55 megahertz of </w:t>
      </w:r>
      <w:r w:rsidR="005273C7">
        <w:t>below-1-GHz</w:t>
      </w:r>
      <w:r w:rsidR="005273C7">
        <w:rPr>
          <w:szCs w:val="22"/>
        </w:rPr>
        <w:t xml:space="preserve"> spectrum post-transaction.</w:t>
      </w:r>
      <w:r w:rsidR="004170F3">
        <w:rPr>
          <w:rStyle w:val="FootnoteReference"/>
          <w:szCs w:val="22"/>
        </w:rPr>
        <w:footnoteReference w:id="115"/>
      </w:r>
      <w:r w:rsidR="005273C7">
        <w:rPr>
          <w:szCs w:val="22"/>
        </w:rPr>
        <w:t xml:space="preserve">  </w:t>
      </w:r>
      <w:r w:rsidR="00AF63AF">
        <w:rPr>
          <w:szCs w:val="22"/>
        </w:rPr>
        <w:t xml:space="preserve">We note that Verizon Wireless has a significant market </w:t>
      </w:r>
      <w:r w:rsidR="005109DD">
        <w:rPr>
          <w:szCs w:val="22"/>
        </w:rPr>
        <w:t xml:space="preserve">share </w:t>
      </w:r>
      <w:r w:rsidR="00AF63AF">
        <w:rPr>
          <w:szCs w:val="22"/>
        </w:rPr>
        <w:t>and substantial LTE population and land area coverage.  Further, Sprint has a significant market share and substantial LTE population and land area coverage.  While T-Mobile does not have a significant market share, it does have substantial 3G population and land area coverage</w:t>
      </w:r>
      <w:r w:rsidR="0092703C">
        <w:rPr>
          <w:szCs w:val="22"/>
        </w:rPr>
        <w:t xml:space="preserve">, and </w:t>
      </w:r>
      <w:r w:rsidR="00E24847">
        <w:rPr>
          <w:szCs w:val="22"/>
        </w:rPr>
        <w:t xml:space="preserve">also </w:t>
      </w:r>
      <w:r w:rsidR="0092703C">
        <w:rPr>
          <w:szCs w:val="22"/>
        </w:rPr>
        <w:t xml:space="preserve">is likely to be able to </w:t>
      </w:r>
      <w:r w:rsidR="00984BC7">
        <w:rPr>
          <w:szCs w:val="22"/>
        </w:rPr>
        <w:t>timely</w:t>
      </w:r>
      <w:r w:rsidR="0092703C">
        <w:rPr>
          <w:szCs w:val="22"/>
        </w:rPr>
        <w:t xml:space="preserve"> respond to any anticompetitive behavior</w:t>
      </w:r>
      <w:r w:rsidR="001F518B">
        <w:rPr>
          <w:szCs w:val="22"/>
        </w:rPr>
        <w:t>.</w:t>
      </w:r>
      <w:r w:rsidR="00AF63AF">
        <w:rPr>
          <w:szCs w:val="22"/>
        </w:rPr>
        <w:t xml:space="preserve"> </w:t>
      </w:r>
      <w:r w:rsidR="001F518B">
        <w:rPr>
          <w:szCs w:val="22"/>
        </w:rPr>
        <w:t xml:space="preserve"> M</w:t>
      </w:r>
      <w:r w:rsidR="00AF63AF">
        <w:rPr>
          <w:szCs w:val="22"/>
        </w:rPr>
        <w:t xml:space="preserve">oreover, </w:t>
      </w:r>
      <w:r w:rsidR="001F518B">
        <w:rPr>
          <w:szCs w:val="22"/>
        </w:rPr>
        <w:t xml:space="preserve">we note </w:t>
      </w:r>
      <w:r w:rsidR="00AF63AF">
        <w:rPr>
          <w:szCs w:val="22"/>
        </w:rPr>
        <w:t>th</w:t>
      </w:r>
      <w:r w:rsidR="00044154">
        <w:rPr>
          <w:szCs w:val="22"/>
        </w:rPr>
        <w:t xml:space="preserve">at currently there is </w:t>
      </w:r>
      <w:r w:rsidR="00493DDF">
        <w:rPr>
          <w:szCs w:val="22"/>
        </w:rPr>
        <w:t xml:space="preserve">some remaining </w:t>
      </w:r>
      <w:r w:rsidR="00044154">
        <w:rPr>
          <w:szCs w:val="22"/>
        </w:rPr>
        <w:t xml:space="preserve">undeployed low-band spectrum in the </w:t>
      </w:r>
      <w:r w:rsidR="00AF63AF">
        <w:rPr>
          <w:szCs w:val="22"/>
        </w:rPr>
        <w:t xml:space="preserve">Lower 700 MHz A </w:t>
      </w:r>
      <w:r w:rsidR="00044154">
        <w:rPr>
          <w:szCs w:val="22"/>
        </w:rPr>
        <w:t>Block, which if deployed, would act a</w:t>
      </w:r>
      <w:r w:rsidR="00493DDF">
        <w:rPr>
          <w:szCs w:val="22"/>
        </w:rPr>
        <w:t>s</w:t>
      </w:r>
      <w:r w:rsidR="00044154">
        <w:rPr>
          <w:szCs w:val="22"/>
        </w:rPr>
        <w:t xml:space="preserve"> an additional competitive constraint in this rural market</w:t>
      </w:r>
      <w:r w:rsidR="00493DDF">
        <w:rPr>
          <w:szCs w:val="22"/>
        </w:rPr>
        <w:t xml:space="preserve">.  </w:t>
      </w:r>
      <w:r w:rsidR="00044154">
        <w:rPr>
          <w:szCs w:val="22"/>
        </w:rPr>
        <w:t>And thus, for these reasons, we</w:t>
      </w:r>
      <w:r w:rsidR="0027122E">
        <w:rPr>
          <w:szCs w:val="22"/>
        </w:rPr>
        <w:t xml:space="preserve"> find that the proposed transaction is unlikely to materially lessen the ability of rival service providers to respond to any anticompetitive behavior on the part of the combined entity in this local market.</w:t>
      </w:r>
    </w:p>
    <w:p w:rsidR="008D1927" w:rsidRPr="00894362" w:rsidRDefault="008D1927" w:rsidP="008D1927">
      <w:pPr>
        <w:pStyle w:val="Heading2"/>
        <w:rPr>
          <w:szCs w:val="22"/>
        </w:rPr>
      </w:pPr>
      <w:bookmarkStart w:id="472" w:name="_Toc406666082"/>
      <w:bookmarkStart w:id="473" w:name="_Toc406684870"/>
      <w:bookmarkStart w:id="474" w:name="_Toc408224003"/>
      <w:bookmarkStart w:id="475" w:name="_Toc408581001"/>
      <w:bookmarkStart w:id="476" w:name="_Toc410028424"/>
      <w:bookmarkStart w:id="477" w:name="_Toc410116648"/>
      <w:bookmarkStart w:id="478" w:name="_Toc410119630"/>
      <w:bookmarkStart w:id="479" w:name="_Toc410121771"/>
      <w:bookmarkStart w:id="480" w:name="_Toc410339630"/>
      <w:bookmarkStart w:id="481" w:name="_Toc411607359"/>
      <w:bookmarkStart w:id="482" w:name="_Toc412112249"/>
      <w:bookmarkStart w:id="483" w:name="_Toc412557592"/>
      <w:bookmarkStart w:id="484" w:name="_Toc412795167"/>
      <w:bookmarkStart w:id="485" w:name="_Toc412804077"/>
      <w:bookmarkStart w:id="486" w:name="_Toc413055737"/>
      <w:bookmarkStart w:id="487" w:name="_Toc413162336"/>
      <w:bookmarkStart w:id="488" w:name="_Toc413246208"/>
      <w:bookmarkStart w:id="489" w:name="_Toc413392969"/>
      <w:bookmarkStart w:id="490" w:name="_Toc413687492"/>
      <w:bookmarkStart w:id="491" w:name="_Toc414366756"/>
      <w:bookmarkStart w:id="492" w:name="_Toc414537585"/>
      <w:bookmarkStart w:id="493" w:name="_Toc415215771"/>
      <w:bookmarkStart w:id="494" w:name="_Toc415573196"/>
      <w:bookmarkStart w:id="495" w:name="_Toc418682000"/>
      <w:r w:rsidRPr="00894362">
        <w:rPr>
          <w:szCs w:val="22"/>
        </w:rPr>
        <w:t>Roaming</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681943" w:rsidRPr="00503BA3" w:rsidRDefault="00D373C1" w:rsidP="00503BA3">
      <w:pPr>
        <w:pStyle w:val="ParaNum"/>
        <w:widowControl/>
        <w:rPr>
          <w:szCs w:val="22"/>
        </w:rPr>
      </w:pPr>
      <w:r w:rsidRPr="00576E1F">
        <w:rPr>
          <w:szCs w:val="22"/>
        </w:rPr>
        <w:t>Roaming occurs when a subscriber of one mobile wireless provider travels beyond the service area of that provider and uses the facilities of another mobile wireless provider to place and receive calls, continue in-progress calls, and transmit and receive data.</w:t>
      </w:r>
      <w:r w:rsidRPr="00D81688">
        <w:rPr>
          <w:sz w:val="20"/>
          <w:vertAlign w:val="superscript"/>
        </w:rPr>
        <w:footnoteReference w:id="116"/>
      </w:r>
      <w:r w:rsidRPr="00576E1F">
        <w:rPr>
          <w:szCs w:val="22"/>
        </w:rPr>
        <w:t xml:space="preserve"> </w:t>
      </w:r>
      <w:r w:rsidR="00503BA3">
        <w:rPr>
          <w:szCs w:val="22"/>
        </w:rPr>
        <w:t xml:space="preserve"> </w:t>
      </w:r>
      <w:r w:rsidR="00C073A7" w:rsidRPr="00503BA3">
        <w:rPr>
          <w:szCs w:val="22"/>
        </w:rPr>
        <w:t xml:space="preserve">T-Mobile </w:t>
      </w:r>
      <w:r w:rsidR="00A61C80" w:rsidRPr="00503BA3">
        <w:rPr>
          <w:szCs w:val="22"/>
        </w:rPr>
        <w:t>requests</w:t>
      </w:r>
      <w:r w:rsidR="00C073A7" w:rsidRPr="00503BA3">
        <w:rPr>
          <w:szCs w:val="22"/>
        </w:rPr>
        <w:t xml:space="preserve"> that approval of the </w:t>
      </w:r>
      <w:r w:rsidR="003E3B18" w:rsidRPr="00503BA3">
        <w:rPr>
          <w:szCs w:val="22"/>
        </w:rPr>
        <w:t xml:space="preserve">proposed </w:t>
      </w:r>
      <w:r w:rsidR="00C073A7" w:rsidRPr="00503BA3">
        <w:rPr>
          <w:szCs w:val="22"/>
        </w:rPr>
        <w:t xml:space="preserve">transaction be conditioned on AT&amp;T’s adherence </w:t>
      </w:r>
      <w:r w:rsidR="00D86196" w:rsidRPr="00503BA3">
        <w:rPr>
          <w:szCs w:val="22"/>
        </w:rPr>
        <w:t xml:space="preserve">for a period of five years </w:t>
      </w:r>
      <w:r w:rsidR="00C073A7" w:rsidRPr="00503BA3">
        <w:rPr>
          <w:szCs w:val="22"/>
        </w:rPr>
        <w:t>to Plateau</w:t>
      </w:r>
      <w:r w:rsidR="00924D50" w:rsidRPr="00503BA3">
        <w:rPr>
          <w:szCs w:val="22"/>
        </w:rPr>
        <w:t xml:space="preserve"> Wireless</w:t>
      </w:r>
      <w:r w:rsidR="00C073A7" w:rsidRPr="00503BA3">
        <w:rPr>
          <w:szCs w:val="22"/>
        </w:rPr>
        <w:t>’s current roaming agreement</w:t>
      </w:r>
      <w:r w:rsidR="00D86196">
        <w:rPr>
          <w:szCs w:val="22"/>
        </w:rPr>
        <w:t>, which includes</w:t>
      </w:r>
      <w:r w:rsidR="00534F11">
        <w:rPr>
          <w:szCs w:val="22"/>
        </w:rPr>
        <w:t xml:space="preserve"> voice and data,</w:t>
      </w:r>
      <w:r w:rsidR="00C073A7" w:rsidRPr="00503BA3">
        <w:rPr>
          <w:szCs w:val="22"/>
        </w:rPr>
        <w:t xml:space="preserve"> with T-Mobile, </w:t>
      </w:r>
      <w:r w:rsidR="00D86196">
        <w:rPr>
          <w:szCs w:val="22"/>
        </w:rPr>
        <w:t xml:space="preserve">and </w:t>
      </w:r>
      <w:r w:rsidR="00534F11">
        <w:rPr>
          <w:szCs w:val="22"/>
        </w:rPr>
        <w:t>permits</w:t>
      </w:r>
      <w:r w:rsidR="00C073A7" w:rsidRPr="00503BA3">
        <w:rPr>
          <w:szCs w:val="22"/>
        </w:rPr>
        <w:t xml:space="preserve"> T-Mobile to roam in areas comprised of one or a few cell sites.</w:t>
      </w:r>
      <w:r w:rsidR="00C073A7" w:rsidRPr="00894362">
        <w:rPr>
          <w:rStyle w:val="FootnoteReference"/>
          <w:szCs w:val="22"/>
        </w:rPr>
        <w:footnoteReference w:id="117"/>
      </w:r>
      <w:r w:rsidR="00C073A7" w:rsidRPr="00503BA3">
        <w:rPr>
          <w:szCs w:val="22"/>
        </w:rPr>
        <w:t xml:space="preserve">  </w:t>
      </w:r>
      <w:r w:rsidR="00681943" w:rsidRPr="00503BA3">
        <w:rPr>
          <w:szCs w:val="22"/>
        </w:rPr>
        <w:t>T-Mobile note</w:t>
      </w:r>
      <w:r w:rsidR="00A61C80" w:rsidRPr="00503BA3">
        <w:rPr>
          <w:szCs w:val="22"/>
        </w:rPr>
        <w:t>s</w:t>
      </w:r>
      <w:r w:rsidR="00681943" w:rsidRPr="00503BA3">
        <w:rPr>
          <w:szCs w:val="22"/>
        </w:rPr>
        <w:t xml:space="preserve"> that if </w:t>
      </w:r>
      <w:r w:rsidR="00A61C80" w:rsidRPr="00503BA3">
        <w:rPr>
          <w:szCs w:val="22"/>
        </w:rPr>
        <w:t xml:space="preserve">the </w:t>
      </w:r>
      <w:r w:rsidR="00E14B68" w:rsidRPr="00503BA3">
        <w:rPr>
          <w:szCs w:val="22"/>
        </w:rPr>
        <w:t xml:space="preserve">proposed </w:t>
      </w:r>
      <w:r w:rsidR="00A61C80" w:rsidRPr="00503BA3">
        <w:rPr>
          <w:szCs w:val="22"/>
        </w:rPr>
        <w:t>transaction were approved</w:t>
      </w:r>
      <w:r w:rsidR="00681943" w:rsidRPr="00503BA3">
        <w:rPr>
          <w:szCs w:val="22"/>
        </w:rPr>
        <w:t xml:space="preserve">, </w:t>
      </w:r>
      <w:r w:rsidR="00A61C80" w:rsidRPr="00503BA3">
        <w:rPr>
          <w:szCs w:val="22"/>
        </w:rPr>
        <w:t>AT&amp;T</w:t>
      </w:r>
      <w:r w:rsidR="00681943" w:rsidRPr="00503BA3">
        <w:rPr>
          <w:szCs w:val="22"/>
        </w:rPr>
        <w:t xml:space="preserve"> would be the only GSM roaming option in areas where T-Mobile currently roams on </w:t>
      </w:r>
      <w:r w:rsidR="00924D50" w:rsidRPr="00503BA3">
        <w:rPr>
          <w:szCs w:val="22"/>
        </w:rPr>
        <w:t>Plateau Wireless</w:t>
      </w:r>
      <w:r w:rsidR="00681943" w:rsidRPr="00503BA3">
        <w:rPr>
          <w:szCs w:val="22"/>
        </w:rPr>
        <w:t>’s network</w:t>
      </w:r>
      <w:r w:rsidR="006C1D46" w:rsidRPr="00503BA3">
        <w:rPr>
          <w:szCs w:val="22"/>
        </w:rPr>
        <w:t>.</w:t>
      </w:r>
      <w:r w:rsidR="00681943" w:rsidRPr="00894362">
        <w:rPr>
          <w:rStyle w:val="FootnoteReference"/>
          <w:szCs w:val="22"/>
        </w:rPr>
        <w:footnoteReference w:id="118"/>
      </w:r>
      <w:r w:rsidR="00681943" w:rsidRPr="00503BA3">
        <w:rPr>
          <w:szCs w:val="22"/>
        </w:rPr>
        <w:t xml:space="preserve"> </w:t>
      </w:r>
      <w:r w:rsidR="006C1D46" w:rsidRPr="00503BA3">
        <w:rPr>
          <w:szCs w:val="22"/>
        </w:rPr>
        <w:t xml:space="preserve"> </w:t>
      </w:r>
      <w:r w:rsidR="00681943" w:rsidRPr="00503BA3">
        <w:rPr>
          <w:szCs w:val="22"/>
        </w:rPr>
        <w:t xml:space="preserve">T-Mobile </w:t>
      </w:r>
      <w:r w:rsidR="00A61C80" w:rsidRPr="00503BA3">
        <w:rPr>
          <w:szCs w:val="22"/>
        </w:rPr>
        <w:t>asserts</w:t>
      </w:r>
      <w:r w:rsidR="00681943" w:rsidRPr="00503BA3">
        <w:rPr>
          <w:szCs w:val="22"/>
        </w:rPr>
        <w:t xml:space="preserve"> that its requested condition would allow it additional time to address </w:t>
      </w:r>
      <w:r w:rsidR="00A61C80" w:rsidRPr="00503BA3">
        <w:rPr>
          <w:szCs w:val="22"/>
        </w:rPr>
        <w:t>roaming</w:t>
      </w:r>
      <w:r w:rsidR="00204DD0" w:rsidRPr="00503BA3">
        <w:rPr>
          <w:szCs w:val="22"/>
        </w:rPr>
        <w:t>-</w:t>
      </w:r>
      <w:r w:rsidR="00681943" w:rsidRPr="00503BA3">
        <w:rPr>
          <w:szCs w:val="22"/>
        </w:rPr>
        <w:t xml:space="preserve">related issues </w:t>
      </w:r>
      <w:r w:rsidR="00A61C80" w:rsidRPr="00503BA3">
        <w:rPr>
          <w:szCs w:val="22"/>
        </w:rPr>
        <w:t>with AT&amp;T</w:t>
      </w:r>
      <w:r w:rsidR="00681943" w:rsidRPr="00503BA3">
        <w:rPr>
          <w:szCs w:val="22"/>
        </w:rPr>
        <w:t xml:space="preserve">, shield </w:t>
      </w:r>
      <w:r w:rsidR="00A61C80" w:rsidRPr="00503BA3">
        <w:rPr>
          <w:szCs w:val="22"/>
        </w:rPr>
        <w:t>its</w:t>
      </w:r>
      <w:r w:rsidR="00681943" w:rsidRPr="00503BA3">
        <w:rPr>
          <w:szCs w:val="22"/>
        </w:rPr>
        <w:t xml:space="preserve"> customers from immediate harms associated with AT&amp;T’s implementation of its standard roaming practices, and provide T-Mobile with a timeframe in which to explore site and construction solutions to mitigate the impact of Plateau Wireless’s exit from the market</w:t>
      </w:r>
      <w:r w:rsidR="00A61C80" w:rsidRPr="00503BA3">
        <w:rPr>
          <w:szCs w:val="22"/>
        </w:rPr>
        <w:t>place</w:t>
      </w:r>
      <w:r w:rsidR="00681943" w:rsidRPr="00503BA3">
        <w:rPr>
          <w:szCs w:val="22"/>
        </w:rPr>
        <w:t>.</w:t>
      </w:r>
      <w:r w:rsidR="00681943" w:rsidRPr="00894362">
        <w:rPr>
          <w:rStyle w:val="FootnoteReference"/>
          <w:szCs w:val="22"/>
        </w:rPr>
        <w:footnoteReference w:id="119"/>
      </w:r>
    </w:p>
    <w:p w:rsidR="008D1927" w:rsidRPr="00681943" w:rsidRDefault="006916DC" w:rsidP="00970DEA">
      <w:pPr>
        <w:pStyle w:val="ParaNum"/>
        <w:widowControl/>
        <w:rPr>
          <w:szCs w:val="22"/>
        </w:rPr>
      </w:pPr>
      <w:r>
        <w:rPr>
          <w:szCs w:val="22"/>
        </w:rPr>
        <w:t xml:space="preserve">According to </w:t>
      </w:r>
      <w:r w:rsidR="00827C06">
        <w:rPr>
          <w:szCs w:val="22"/>
        </w:rPr>
        <w:t>AT&amp;T</w:t>
      </w:r>
      <w:r>
        <w:rPr>
          <w:szCs w:val="22"/>
        </w:rPr>
        <w:t>,</w:t>
      </w:r>
      <w:r w:rsidR="00827C06">
        <w:rPr>
          <w:szCs w:val="22"/>
        </w:rPr>
        <w:t xml:space="preserve"> </w:t>
      </w:r>
      <w:r w:rsidR="008D1927" w:rsidRPr="00681943">
        <w:rPr>
          <w:szCs w:val="22"/>
        </w:rPr>
        <w:t>it w</w:t>
      </w:r>
      <w:r w:rsidR="00B478B6">
        <w:rPr>
          <w:szCs w:val="22"/>
        </w:rPr>
        <w:t>ould</w:t>
      </w:r>
      <w:r w:rsidR="008D1927" w:rsidRPr="00681943">
        <w:rPr>
          <w:szCs w:val="22"/>
        </w:rPr>
        <w:t xml:space="preserve"> make roaming available in accordance with the </w:t>
      </w:r>
      <w:r w:rsidR="00827C06">
        <w:rPr>
          <w:szCs w:val="22"/>
        </w:rPr>
        <w:t>Commission’</w:t>
      </w:r>
      <w:r w:rsidR="008D1927" w:rsidRPr="00681943">
        <w:rPr>
          <w:szCs w:val="22"/>
        </w:rPr>
        <w:t>s roaming rules</w:t>
      </w:r>
      <w:r w:rsidR="003E7503">
        <w:rPr>
          <w:szCs w:val="22"/>
        </w:rPr>
        <w:t>,</w:t>
      </w:r>
      <w:r w:rsidR="008D1927" w:rsidRPr="00681943">
        <w:rPr>
          <w:szCs w:val="22"/>
        </w:rPr>
        <w:t xml:space="preserve"> and</w:t>
      </w:r>
      <w:r w:rsidR="0041698A">
        <w:rPr>
          <w:szCs w:val="22"/>
        </w:rPr>
        <w:t xml:space="preserve"> </w:t>
      </w:r>
      <w:r w:rsidR="008D1927" w:rsidRPr="00681943">
        <w:rPr>
          <w:szCs w:val="22"/>
        </w:rPr>
        <w:t>a license transfer proceeding should not be used to ask the Commission to consider hypothetical violations of its roaming rules and policies.</w:t>
      </w:r>
      <w:r w:rsidR="008D1927" w:rsidRPr="00894362">
        <w:rPr>
          <w:rStyle w:val="FootnoteReference"/>
          <w:szCs w:val="22"/>
        </w:rPr>
        <w:footnoteReference w:id="120"/>
      </w:r>
      <w:r w:rsidR="008D1927" w:rsidRPr="00681943">
        <w:rPr>
          <w:szCs w:val="22"/>
        </w:rPr>
        <w:t xml:space="preserve">  </w:t>
      </w:r>
      <w:r w:rsidR="00527635" w:rsidRPr="00527635">
        <w:rPr>
          <w:szCs w:val="22"/>
        </w:rPr>
        <w:t xml:space="preserve">AT&amp;T contends that </w:t>
      </w:r>
      <w:r w:rsidR="00527635" w:rsidRPr="00C27BB7">
        <w:rPr>
          <w:szCs w:val="22"/>
        </w:rPr>
        <w:t>T-Mobile can</w:t>
      </w:r>
      <w:r w:rsidR="006650D9">
        <w:rPr>
          <w:szCs w:val="22"/>
        </w:rPr>
        <w:t>not</w:t>
      </w:r>
      <w:r w:rsidR="00527635" w:rsidRPr="00C27BB7">
        <w:rPr>
          <w:szCs w:val="22"/>
        </w:rPr>
        <w:t xml:space="preserve"> point to </w:t>
      </w:r>
      <w:r w:rsidR="006650D9">
        <w:rPr>
          <w:szCs w:val="22"/>
        </w:rPr>
        <w:t>any</w:t>
      </w:r>
      <w:r w:rsidR="00527635" w:rsidRPr="00C27BB7">
        <w:rPr>
          <w:szCs w:val="22"/>
        </w:rPr>
        <w:t xml:space="preserve"> transaction-specific harm that its proposed condition would</w:t>
      </w:r>
      <w:r w:rsidR="00527635" w:rsidRPr="00527635">
        <w:rPr>
          <w:szCs w:val="22"/>
        </w:rPr>
        <w:t xml:space="preserve"> remedy, and further asserts that</w:t>
      </w:r>
      <w:r w:rsidR="00527635" w:rsidRPr="00C27BB7">
        <w:rPr>
          <w:szCs w:val="22"/>
        </w:rPr>
        <w:t xml:space="preserve"> there will </w:t>
      </w:r>
      <w:r w:rsidR="006650D9">
        <w:rPr>
          <w:szCs w:val="22"/>
        </w:rPr>
        <w:t xml:space="preserve">not </w:t>
      </w:r>
      <w:r w:rsidR="00527635" w:rsidRPr="00C27BB7">
        <w:rPr>
          <w:szCs w:val="22"/>
        </w:rPr>
        <w:t xml:space="preserve">be </w:t>
      </w:r>
      <w:r w:rsidR="006650D9">
        <w:rPr>
          <w:szCs w:val="22"/>
        </w:rPr>
        <w:t>an</w:t>
      </w:r>
      <w:r w:rsidR="00527635" w:rsidRPr="00C27BB7">
        <w:rPr>
          <w:szCs w:val="22"/>
        </w:rPr>
        <w:t xml:space="preserve"> appreciable</w:t>
      </w:r>
      <w:r w:rsidR="00527635" w:rsidRPr="00527635">
        <w:rPr>
          <w:szCs w:val="22"/>
        </w:rPr>
        <w:t xml:space="preserve"> </w:t>
      </w:r>
      <w:r w:rsidR="00527635" w:rsidRPr="00C27BB7">
        <w:rPr>
          <w:szCs w:val="22"/>
        </w:rPr>
        <w:t>reduction in competition to provide roaming services because AT&amp;T</w:t>
      </w:r>
      <w:r w:rsidR="006650D9">
        <w:rPr>
          <w:szCs w:val="22"/>
        </w:rPr>
        <w:t>’s network</w:t>
      </w:r>
      <w:r w:rsidR="00527635" w:rsidRPr="00C27BB7">
        <w:rPr>
          <w:szCs w:val="22"/>
        </w:rPr>
        <w:t xml:space="preserve"> and Plateau Wireless</w:t>
      </w:r>
      <w:r w:rsidR="006650D9">
        <w:rPr>
          <w:szCs w:val="22"/>
        </w:rPr>
        <w:t>’s</w:t>
      </w:r>
      <w:r w:rsidR="00527635">
        <w:rPr>
          <w:szCs w:val="22"/>
        </w:rPr>
        <w:t xml:space="preserve"> </w:t>
      </w:r>
      <w:r w:rsidR="00527635" w:rsidRPr="00C27BB7">
        <w:rPr>
          <w:szCs w:val="22"/>
        </w:rPr>
        <w:t>network have limited overlap.</w:t>
      </w:r>
      <w:r w:rsidR="00527635">
        <w:rPr>
          <w:rStyle w:val="FootnoteReference"/>
          <w:szCs w:val="22"/>
        </w:rPr>
        <w:footnoteReference w:id="121"/>
      </w:r>
      <w:r w:rsidR="00DE2765">
        <w:rPr>
          <w:szCs w:val="22"/>
        </w:rPr>
        <w:t xml:space="preserve">  </w:t>
      </w:r>
      <w:r w:rsidR="00827C06">
        <w:rPr>
          <w:szCs w:val="22"/>
        </w:rPr>
        <w:t xml:space="preserve">In </w:t>
      </w:r>
      <w:r w:rsidR="00B478B6">
        <w:rPr>
          <w:szCs w:val="22"/>
        </w:rPr>
        <w:t xml:space="preserve">T-Mobile’s </w:t>
      </w:r>
      <w:r w:rsidR="00827C06">
        <w:rPr>
          <w:szCs w:val="22"/>
        </w:rPr>
        <w:t xml:space="preserve">reply, </w:t>
      </w:r>
      <w:r w:rsidR="00B478B6">
        <w:rPr>
          <w:szCs w:val="22"/>
        </w:rPr>
        <w:t>it</w:t>
      </w:r>
      <w:r w:rsidR="008D1927" w:rsidRPr="00681943">
        <w:rPr>
          <w:szCs w:val="22"/>
        </w:rPr>
        <w:t xml:space="preserve"> notes that its proposed condition is narrowly tailored to address only the specific public interest harms that would directly result from th</w:t>
      </w:r>
      <w:r w:rsidR="00974664">
        <w:rPr>
          <w:szCs w:val="22"/>
        </w:rPr>
        <w:t xml:space="preserve">e proposed </w:t>
      </w:r>
      <w:r w:rsidR="008D1927" w:rsidRPr="00681943">
        <w:rPr>
          <w:szCs w:val="22"/>
        </w:rPr>
        <w:t>transaction and is consistent with the Commission’s prior practice.</w:t>
      </w:r>
      <w:r w:rsidR="008D1927" w:rsidRPr="00894362">
        <w:rPr>
          <w:rStyle w:val="FootnoteReference"/>
          <w:szCs w:val="22"/>
        </w:rPr>
        <w:footnoteReference w:id="122"/>
      </w:r>
    </w:p>
    <w:p w:rsidR="00824BE7" w:rsidRPr="00685EA5" w:rsidRDefault="008D1927" w:rsidP="00685EA5">
      <w:pPr>
        <w:pStyle w:val="ParaNum"/>
        <w:widowControl/>
        <w:rPr>
          <w:szCs w:val="22"/>
        </w:rPr>
      </w:pPr>
      <w:r w:rsidRPr="00894362">
        <w:rPr>
          <w:i/>
          <w:szCs w:val="22"/>
        </w:rPr>
        <w:t>Discussion</w:t>
      </w:r>
      <w:r w:rsidRPr="00894362">
        <w:rPr>
          <w:szCs w:val="22"/>
        </w:rPr>
        <w:t xml:space="preserve">: </w:t>
      </w:r>
      <w:r w:rsidR="00AC5819">
        <w:rPr>
          <w:szCs w:val="22"/>
        </w:rPr>
        <w:t xml:space="preserve"> </w:t>
      </w:r>
      <w:r w:rsidR="00824BE7">
        <w:rPr>
          <w:szCs w:val="22"/>
        </w:rPr>
        <w:t xml:space="preserve">Based on the record </w:t>
      </w:r>
      <w:r w:rsidR="001543E6">
        <w:rPr>
          <w:szCs w:val="22"/>
        </w:rPr>
        <w:t>before us</w:t>
      </w:r>
      <w:r w:rsidR="00824BE7">
        <w:rPr>
          <w:szCs w:val="22"/>
        </w:rPr>
        <w:t xml:space="preserve">, we decline to impose the condition requested by T-Mobile </w:t>
      </w:r>
      <w:r w:rsidR="006D4B9B">
        <w:rPr>
          <w:szCs w:val="22"/>
        </w:rPr>
        <w:t>that would require</w:t>
      </w:r>
      <w:r w:rsidR="00824BE7">
        <w:rPr>
          <w:szCs w:val="22"/>
        </w:rPr>
        <w:t xml:space="preserve"> AT&amp;T to provide T-Mobile </w:t>
      </w:r>
      <w:r w:rsidR="006D4B9B">
        <w:rPr>
          <w:szCs w:val="22"/>
        </w:rPr>
        <w:t xml:space="preserve">with </w:t>
      </w:r>
      <w:r w:rsidR="00824BE7">
        <w:rPr>
          <w:szCs w:val="22"/>
        </w:rPr>
        <w:t xml:space="preserve">roaming pursuant to the terms of the T-Mobile/Plateau </w:t>
      </w:r>
      <w:r w:rsidR="005032EB">
        <w:rPr>
          <w:szCs w:val="22"/>
        </w:rPr>
        <w:t xml:space="preserve">Wireless </w:t>
      </w:r>
      <w:r w:rsidR="006D4B9B">
        <w:rPr>
          <w:szCs w:val="22"/>
        </w:rPr>
        <w:t xml:space="preserve">agreement </w:t>
      </w:r>
      <w:r w:rsidR="00824BE7">
        <w:rPr>
          <w:szCs w:val="22"/>
        </w:rPr>
        <w:t>for five years.  W</w:t>
      </w:r>
      <w:r w:rsidR="00AC620E" w:rsidRPr="006133A7">
        <w:rPr>
          <w:szCs w:val="22"/>
        </w:rPr>
        <w:t xml:space="preserve">e note that the Commission’s general roaming policies and rules are intended to enable entities to obtain roaming agreements on reasonable terms and conditions.  </w:t>
      </w:r>
      <w:r w:rsidR="0086552C">
        <w:rPr>
          <w:szCs w:val="22"/>
        </w:rPr>
        <w:t>If</w:t>
      </w:r>
      <w:r w:rsidR="00841FB8">
        <w:rPr>
          <w:szCs w:val="22"/>
        </w:rPr>
        <w:t xml:space="preserve"> an entity faces </w:t>
      </w:r>
      <w:r w:rsidR="0086552C">
        <w:rPr>
          <w:szCs w:val="22"/>
        </w:rPr>
        <w:t xml:space="preserve">certain </w:t>
      </w:r>
      <w:r w:rsidR="00841FB8">
        <w:rPr>
          <w:szCs w:val="22"/>
        </w:rPr>
        <w:t>difficulties</w:t>
      </w:r>
      <w:r w:rsidR="0086552C">
        <w:rPr>
          <w:szCs w:val="22"/>
        </w:rPr>
        <w:t xml:space="preserve"> in negotiating roaming agreements</w:t>
      </w:r>
      <w:r w:rsidR="00841FB8">
        <w:rPr>
          <w:szCs w:val="22"/>
        </w:rPr>
        <w:t xml:space="preserve">, </w:t>
      </w:r>
      <w:r w:rsidR="0086552C">
        <w:rPr>
          <w:szCs w:val="22"/>
        </w:rPr>
        <w:t xml:space="preserve">we </w:t>
      </w:r>
      <w:r w:rsidR="009861DF">
        <w:rPr>
          <w:szCs w:val="22"/>
        </w:rPr>
        <w:t>reiterate</w:t>
      </w:r>
      <w:r w:rsidR="0086552C">
        <w:rPr>
          <w:szCs w:val="22"/>
        </w:rPr>
        <w:t xml:space="preserve"> that such entity may rely </w:t>
      </w:r>
      <w:r w:rsidR="00DE2765">
        <w:rPr>
          <w:szCs w:val="22"/>
        </w:rPr>
        <w:t>on</w:t>
      </w:r>
      <w:r w:rsidR="00AC620E" w:rsidRPr="006133A7">
        <w:rPr>
          <w:szCs w:val="22"/>
        </w:rPr>
        <w:t xml:space="preserve"> the protections afforded by </w:t>
      </w:r>
      <w:r w:rsidR="0086552C">
        <w:rPr>
          <w:szCs w:val="22"/>
        </w:rPr>
        <w:t>the Commission’s</w:t>
      </w:r>
      <w:r w:rsidR="00AC620E" w:rsidRPr="006133A7">
        <w:rPr>
          <w:szCs w:val="22"/>
        </w:rPr>
        <w:t xml:space="preserve"> general roaming policies and rules </w:t>
      </w:r>
      <w:r w:rsidR="0086552C">
        <w:rPr>
          <w:szCs w:val="22"/>
        </w:rPr>
        <w:t>as</w:t>
      </w:r>
      <w:r w:rsidR="00AC620E" w:rsidRPr="006133A7">
        <w:rPr>
          <w:szCs w:val="22"/>
        </w:rPr>
        <w:t xml:space="preserve"> well as the availability of relief under the Commission’s complaint procedures.</w:t>
      </w:r>
    </w:p>
    <w:p w:rsidR="009C7E9E" w:rsidRDefault="009C7E9E" w:rsidP="009C7E9E">
      <w:pPr>
        <w:pStyle w:val="ParaNum"/>
      </w:pPr>
      <w:r>
        <w:t xml:space="preserve">We find that our decision here is consistent with prior Commission decisions in transaction orders relating to roaming conditions.  For instance, the Commission </w:t>
      </w:r>
      <w:r w:rsidRPr="00384602">
        <w:t>ha</w:t>
      </w:r>
      <w:r w:rsidRPr="00A55AB2">
        <w:t>s</w:t>
      </w:r>
      <w:r w:rsidRPr="00384602">
        <w:t xml:space="preserve"> previously conditioned consent </w:t>
      </w:r>
      <w:r>
        <w:t>in certain cases o</w:t>
      </w:r>
      <w:r w:rsidRPr="00384602">
        <w:t xml:space="preserve">n the ability of service providers to have access, on behalf of their customers, to roaming services in the areas affected by the transaction </w:t>
      </w:r>
      <w:r>
        <w:t xml:space="preserve">in order to assure </w:t>
      </w:r>
      <w:r w:rsidRPr="00384602">
        <w:t>an orderly transition</w:t>
      </w:r>
      <w:r>
        <w:t xml:space="preserve"> where </w:t>
      </w:r>
      <w:r w:rsidRPr="00D81688">
        <w:t xml:space="preserve">service providers intend to </w:t>
      </w:r>
      <w:r>
        <w:t xml:space="preserve">change </w:t>
      </w:r>
      <w:r w:rsidRPr="00D81688">
        <w:t xml:space="preserve">network </w:t>
      </w:r>
      <w:r>
        <w:t>technology</w:t>
      </w:r>
      <w:r w:rsidRPr="00085496">
        <w:t xml:space="preserve"> </w:t>
      </w:r>
      <w:r>
        <w:t>(</w:t>
      </w:r>
      <w:r w:rsidRPr="00085496">
        <w:rPr>
          <w:i/>
        </w:rPr>
        <w:t>e.g</w:t>
      </w:r>
      <w:r>
        <w:t xml:space="preserve">., a change from CDMA to GSM technology), because the assignee might not sufficiently preserve or maintain the assignor’s original network </w:t>
      </w:r>
      <w:r w:rsidRPr="00085496">
        <w:t>technology</w:t>
      </w:r>
      <w:r>
        <w:t>.</w:t>
      </w:r>
      <w:r>
        <w:rPr>
          <w:rStyle w:val="FootnoteReference"/>
        </w:rPr>
        <w:footnoteReference w:id="123"/>
      </w:r>
      <w:r>
        <w:t xml:space="preserve">  For the instant transaction, by contrast, the record indicates that the assignee would continue to maintain the assignor’s present network technology, and there is no evidence in the record suggesting that the Commission’s underlying concern regarding customers’ general ability to access roaming services in the affected markets would arise post-transaction.</w:t>
      </w:r>
    </w:p>
    <w:p w:rsidR="009C7E9E" w:rsidRDefault="009C7E9E" w:rsidP="009C7E9E">
      <w:pPr>
        <w:pStyle w:val="ParaNum"/>
      </w:pPr>
      <w:r>
        <w:t xml:space="preserve">Further, we find that </w:t>
      </w:r>
      <w:r w:rsidRPr="000067D0">
        <w:t xml:space="preserve">the </w:t>
      </w:r>
      <w:r w:rsidRPr="00D81688">
        <w:rPr>
          <w:i/>
        </w:rPr>
        <w:t>AT&amp;T-Centennial Order</w:t>
      </w:r>
      <w:r w:rsidRPr="000067D0">
        <w:t>,</w:t>
      </w:r>
      <w:r w:rsidRPr="007566CE">
        <w:rPr>
          <w:rStyle w:val="FootnoteReference"/>
        </w:rPr>
        <w:footnoteReference w:id="124"/>
      </w:r>
      <w:r w:rsidRPr="000067D0">
        <w:t xml:space="preserve"> cited by T-Mobile in support of its </w:t>
      </w:r>
      <w:r>
        <w:t>request</w:t>
      </w:r>
      <w:r w:rsidRPr="000067D0">
        <w:t>, does not warrant grant of the roaming conditions sought by T-Mobile.</w:t>
      </w:r>
      <w:r>
        <w:rPr>
          <w:rStyle w:val="FootnoteReference"/>
        </w:rPr>
        <w:footnoteReference w:id="125"/>
      </w:r>
      <w:r w:rsidRPr="000067D0">
        <w:t xml:space="preserve">  In that proceeding, the Commission found that</w:t>
      </w:r>
      <w:r>
        <w:t>,</w:t>
      </w:r>
      <w:r w:rsidRPr="000067D0">
        <w:t xml:space="preserve"> </w:t>
      </w:r>
      <w:r>
        <w:t xml:space="preserve">absent a remedy, the transaction was likely to cause competitive harm in certain markets, but found that with the imposition as conditions of certain </w:t>
      </w:r>
      <w:r w:rsidRPr="000067D0">
        <w:t>roaming-related commitments</w:t>
      </w:r>
      <w:r>
        <w:t xml:space="preserve"> made by AT&amp;T</w:t>
      </w:r>
      <w:r w:rsidRPr="000067D0">
        <w:t xml:space="preserve">, along with </w:t>
      </w:r>
      <w:r>
        <w:t xml:space="preserve">certain geographical market </w:t>
      </w:r>
      <w:r w:rsidRPr="000067D0">
        <w:t>divestitures</w:t>
      </w:r>
      <w:r>
        <w:t>, the harms would be sufficiently mitigated</w:t>
      </w:r>
      <w:r w:rsidRPr="000067D0">
        <w:t>.</w:t>
      </w:r>
      <w:r>
        <w:rPr>
          <w:rStyle w:val="FootnoteReference"/>
        </w:rPr>
        <w:footnoteReference w:id="126"/>
      </w:r>
      <w:r w:rsidRPr="000067D0">
        <w:t xml:space="preserve">  </w:t>
      </w:r>
      <w:r w:rsidRPr="00685EA5">
        <w:t xml:space="preserve">By contrast, for the reasons discussed above, we </w:t>
      </w:r>
      <w:r>
        <w:t xml:space="preserve">here </w:t>
      </w:r>
      <w:r w:rsidRPr="00685EA5">
        <w:t>find that the likelihood of competitive harm is low for the proposed transaction.  In addition</w:t>
      </w:r>
      <w:r w:rsidRPr="00D02E15">
        <w:t>,</w:t>
      </w:r>
      <w:r>
        <w:t xml:space="preserve"> as the degree of</w:t>
      </w:r>
      <w:r w:rsidR="00071C9E">
        <w:t xml:space="preserve"> geographic overlap between </w:t>
      </w:r>
      <w:r>
        <w:t>the AT&amp;T</w:t>
      </w:r>
      <w:r w:rsidR="00071C9E">
        <w:t xml:space="preserve"> network and </w:t>
      </w:r>
      <w:r>
        <w:t>the Plateau</w:t>
      </w:r>
      <w:r w:rsidR="00071C9E">
        <w:t xml:space="preserve"> Wireless</w:t>
      </w:r>
      <w:r>
        <w:t xml:space="preserve"> network is limited, there would appear to be only a limited reduction in the number of potential roaming partners as a result of the proposed transaction, again in contrast to the situation in </w:t>
      </w:r>
      <w:r w:rsidR="00071C9E">
        <w:t xml:space="preserve">the </w:t>
      </w:r>
      <w:r w:rsidR="00473457" w:rsidRPr="001F48BA">
        <w:t>AT&amp;T</w:t>
      </w:r>
      <w:r w:rsidR="00473457" w:rsidRPr="00473457">
        <w:t>/</w:t>
      </w:r>
      <w:r w:rsidRPr="001F48BA">
        <w:t>Centennial</w:t>
      </w:r>
      <w:r w:rsidR="00071C9E" w:rsidRPr="00473457">
        <w:t xml:space="preserve"> </w:t>
      </w:r>
      <w:r w:rsidR="00071C9E">
        <w:t>transaction</w:t>
      </w:r>
      <w:r>
        <w:t>.  We also observe that our action is consistent with past precedent, as the Commission has declined to impose requested roaming conditions in a number of transactions based on the facts and circumstances of those specific transactions.</w:t>
      </w:r>
      <w:r>
        <w:rPr>
          <w:rStyle w:val="FootnoteReference"/>
        </w:rPr>
        <w:footnoteReference w:id="127"/>
      </w:r>
    </w:p>
    <w:p w:rsidR="00F14E2D" w:rsidRPr="00F14E2D" w:rsidRDefault="007E69C5" w:rsidP="00F14E2D">
      <w:pPr>
        <w:pStyle w:val="ParaNum"/>
        <w:widowControl/>
        <w:rPr>
          <w:szCs w:val="22"/>
        </w:rPr>
      </w:pPr>
      <w:r>
        <w:t>In</w:t>
      </w:r>
      <w:r w:rsidR="00E865DB">
        <w:t xml:space="preserve"> regard to </w:t>
      </w:r>
      <w:r w:rsidR="00534F11">
        <w:t xml:space="preserve">T-Mobile’s concerns </w:t>
      </w:r>
      <w:r w:rsidR="00E865DB">
        <w:t xml:space="preserve">that </w:t>
      </w:r>
      <w:r w:rsidR="00534F11">
        <w:t>relate to AT&amp;T’s alleged practice, subsequent to some previous transactions, of essentially requiring roaming over larger areas, including places where it may be unnecessary</w:t>
      </w:r>
      <w:r w:rsidR="004A1560">
        <w:t>,</w:t>
      </w:r>
      <w:r w:rsidR="00534F11">
        <w:rPr>
          <w:rStyle w:val="FootnoteReference"/>
        </w:rPr>
        <w:footnoteReference w:id="128"/>
      </w:r>
      <w:r w:rsidR="004A1560">
        <w:t xml:space="preserve"> we </w:t>
      </w:r>
      <w:r w:rsidR="006F53FB">
        <w:t xml:space="preserve">remind </w:t>
      </w:r>
      <w:r w:rsidR="005032EB">
        <w:t xml:space="preserve">service </w:t>
      </w:r>
      <w:r w:rsidR="006F53FB">
        <w:t xml:space="preserve">providers that in </w:t>
      </w:r>
      <w:r w:rsidR="008D1927" w:rsidRPr="00F14E2D">
        <w:rPr>
          <w:szCs w:val="22"/>
        </w:rPr>
        <w:t xml:space="preserve">the event that a service provider, including T-Mobile, encounters difficulties </w:t>
      </w:r>
      <w:r w:rsidR="000D0724" w:rsidRPr="00F14E2D">
        <w:rPr>
          <w:szCs w:val="22"/>
        </w:rPr>
        <w:t xml:space="preserve">in the affected markets </w:t>
      </w:r>
      <w:r w:rsidR="008D1927" w:rsidRPr="00F14E2D">
        <w:rPr>
          <w:szCs w:val="22"/>
        </w:rPr>
        <w:t>in obtaining desired roaming services under our rules and policies, it can file complaints with the Commission pursuant to our established roaming rules.</w:t>
      </w:r>
      <w:r w:rsidR="00534F11" w:rsidRPr="006133A7">
        <w:rPr>
          <w:rStyle w:val="FootnoteReference"/>
          <w:sz w:val="22"/>
          <w:szCs w:val="22"/>
        </w:rPr>
        <w:footnoteReference w:id="129"/>
      </w:r>
      <w:r w:rsidR="003E7503" w:rsidRPr="00F14E2D">
        <w:rPr>
          <w:szCs w:val="22"/>
        </w:rPr>
        <w:t xml:space="preserve">  </w:t>
      </w:r>
      <w:r w:rsidR="00017274" w:rsidRPr="00F14E2D">
        <w:rPr>
          <w:szCs w:val="22"/>
        </w:rPr>
        <w:t>Further</w:t>
      </w:r>
      <w:r w:rsidR="008F0050" w:rsidRPr="00F14E2D">
        <w:rPr>
          <w:szCs w:val="22"/>
        </w:rPr>
        <w:t xml:space="preserve">, the Bureau recently </w:t>
      </w:r>
      <w:r w:rsidR="007D4C22" w:rsidRPr="00F14E2D">
        <w:rPr>
          <w:szCs w:val="22"/>
        </w:rPr>
        <w:t xml:space="preserve">released a </w:t>
      </w:r>
      <w:r w:rsidR="00944A27" w:rsidRPr="00F14E2D">
        <w:rPr>
          <w:szCs w:val="22"/>
        </w:rPr>
        <w:t>d</w:t>
      </w:r>
      <w:r w:rsidR="007D4C22" w:rsidRPr="00F14E2D">
        <w:rPr>
          <w:szCs w:val="22"/>
        </w:rPr>
        <w:t xml:space="preserve">eclaratory </w:t>
      </w:r>
      <w:r w:rsidR="00944A27" w:rsidRPr="00F14E2D">
        <w:rPr>
          <w:szCs w:val="22"/>
        </w:rPr>
        <w:t>r</w:t>
      </w:r>
      <w:r w:rsidR="007D4C22" w:rsidRPr="00F14E2D">
        <w:rPr>
          <w:szCs w:val="22"/>
        </w:rPr>
        <w:t xml:space="preserve">uling in which it provided </w:t>
      </w:r>
      <w:r w:rsidR="00017274" w:rsidRPr="00F14E2D">
        <w:rPr>
          <w:szCs w:val="22"/>
        </w:rPr>
        <w:t xml:space="preserve">additional </w:t>
      </w:r>
      <w:r w:rsidR="007D4C22" w:rsidRPr="00F14E2D">
        <w:rPr>
          <w:szCs w:val="22"/>
        </w:rPr>
        <w:t xml:space="preserve">guidance on the </w:t>
      </w:r>
      <w:r w:rsidR="007D4C22" w:rsidRPr="00F14E2D">
        <w:rPr>
          <w:i/>
          <w:szCs w:val="22"/>
        </w:rPr>
        <w:t>Data Roaming Order’s</w:t>
      </w:r>
      <w:r w:rsidR="007D4C22" w:rsidRPr="00F14E2D">
        <w:rPr>
          <w:szCs w:val="22"/>
        </w:rPr>
        <w:t xml:space="preserve"> standard for evaluating the commercial reasonableness of proffered data roaming terms and conditions.</w:t>
      </w:r>
      <w:r w:rsidR="00A1062B">
        <w:rPr>
          <w:rStyle w:val="FootnoteReference"/>
          <w:szCs w:val="22"/>
        </w:rPr>
        <w:footnoteReference w:id="130"/>
      </w:r>
      <w:r w:rsidR="007D4C22" w:rsidRPr="00F14E2D">
        <w:rPr>
          <w:szCs w:val="22"/>
        </w:rPr>
        <w:t xml:space="preserve">  </w:t>
      </w:r>
      <w:r w:rsidR="00F14E2D" w:rsidRPr="00F14E2D">
        <w:rPr>
          <w:szCs w:val="22"/>
        </w:rPr>
        <w:t xml:space="preserve">The </w:t>
      </w:r>
      <w:r w:rsidR="00F14E2D" w:rsidRPr="00F14E2D">
        <w:rPr>
          <w:i/>
          <w:szCs w:val="22"/>
        </w:rPr>
        <w:t>Data Roaming Declaratory Ruling</w:t>
      </w:r>
      <w:r w:rsidR="00F14E2D" w:rsidRPr="00F14E2D">
        <w:rPr>
          <w:szCs w:val="22"/>
        </w:rPr>
        <w:t xml:space="preserve"> recognizes </w:t>
      </w:r>
      <w:r w:rsidR="007D4C22" w:rsidRPr="00F14E2D">
        <w:rPr>
          <w:szCs w:val="22"/>
        </w:rPr>
        <w:t xml:space="preserve">that this additional guidance </w:t>
      </w:r>
      <w:r w:rsidR="00F14E2D" w:rsidRPr="00F14E2D">
        <w:rPr>
          <w:szCs w:val="22"/>
        </w:rPr>
        <w:t xml:space="preserve">should </w:t>
      </w:r>
      <w:r w:rsidR="007D4C22" w:rsidRPr="00F14E2D">
        <w:rPr>
          <w:szCs w:val="22"/>
        </w:rPr>
        <w:t xml:space="preserve">facilitate T-Mobile’s efforts to address </w:t>
      </w:r>
      <w:r w:rsidR="00017274" w:rsidRPr="00F14E2D">
        <w:rPr>
          <w:szCs w:val="22"/>
        </w:rPr>
        <w:t xml:space="preserve">any </w:t>
      </w:r>
      <w:r w:rsidR="00E77AF8" w:rsidRPr="00F14E2D">
        <w:rPr>
          <w:szCs w:val="22"/>
        </w:rPr>
        <w:t>roaming-</w:t>
      </w:r>
      <w:r w:rsidR="007D4C22" w:rsidRPr="00F14E2D">
        <w:rPr>
          <w:szCs w:val="22"/>
        </w:rPr>
        <w:t xml:space="preserve">related issues that </w:t>
      </w:r>
      <w:r w:rsidR="00BA4FDD" w:rsidRPr="00F14E2D">
        <w:rPr>
          <w:szCs w:val="22"/>
        </w:rPr>
        <w:t xml:space="preserve">it </w:t>
      </w:r>
      <w:r w:rsidR="007D4C22" w:rsidRPr="00F14E2D">
        <w:rPr>
          <w:szCs w:val="22"/>
        </w:rPr>
        <w:t xml:space="preserve">anticipates might </w:t>
      </w:r>
      <w:r w:rsidR="006C1D46" w:rsidRPr="00F14E2D">
        <w:rPr>
          <w:szCs w:val="22"/>
        </w:rPr>
        <w:t>arise</w:t>
      </w:r>
      <w:r w:rsidR="007D4C22" w:rsidRPr="00F14E2D">
        <w:rPr>
          <w:szCs w:val="22"/>
        </w:rPr>
        <w:t xml:space="preserve">.  </w:t>
      </w:r>
      <w:r w:rsidR="004A1560" w:rsidRPr="00F14E2D">
        <w:rPr>
          <w:szCs w:val="22"/>
        </w:rPr>
        <w:t>For all these reasons, we deny T-Mobile’s request for conditions.</w:t>
      </w:r>
    </w:p>
    <w:p w:rsidR="0004492D" w:rsidRDefault="00AD74AF" w:rsidP="00AD74AF">
      <w:pPr>
        <w:pStyle w:val="Heading1"/>
      </w:pPr>
      <w:bookmarkStart w:id="496" w:name="_Toc403981904"/>
      <w:bookmarkStart w:id="497" w:name="_Toc403998360"/>
      <w:bookmarkStart w:id="498" w:name="_Toc403998447"/>
      <w:bookmarkStart w:id="499" w:name="_Toc404003271"/>
      <w:bookmarkStart w:id="500" w:name="_Toc404003551"/>
      <w:bookmarkStart w:id="501" w:name="_Toc404152172"/>
      <w:bookmarkStart w:id="502" w:name="_Toc405185100"/>
      <w:bookmarkStart w:id="503" w:name="_Toc405799114"/>
      <w:bookmarkStart w:id="504" w:name="_Toc405799341"/>
      <w:bookmarkStart w:id="505" w:name="_Toc405801056"/>
      <w:bookmarkStart w:id="506" w:name="_Toc406666083"/>
      <w:bookmarkStart w:id="507" w:name="_Toc406684871"/>
      <w:bookmarkStart w:id="508" w:name="_Toc408224004"/>
      <w:bookmarkStart w:id="509" w:name="_Toc408581002"/>
      <w:bookmarkStart w:id="510" w:name="_Toc410028425"/>
      <w:bookmarkStart w:id="511" w:name="_Toc410116649"/>
      <w:bookmarkStart w:id="512" w:name="_Toc410119631"/>
      <w:bookmarkStart w:id="513" w:name="_Toc410121772"/>
      <w:bookmarkStart w:id="514" w:name="_Toc410339631"/>
      <w:bookmarkStart w:id="515" w:name="_Toc411607360"/>
      <w:bookmarkStart w:id="516" w:name="_Toc412112250"/>
      <w:bookmarkStart w:id="517" w:name="_Toc412557593"/>
      <w:bookmarkStart w:id="518" w:name="_Toc412795168"/>
      <w:bookmarkStart w:id="519" w:name="_Toc412804078"/>
      <w:bookmarkStart w:id="520" w:name="_Toc413055738"/>
      <w:bookmarkStart w:id="521" w:name="_Toc413162337"/>
      <w:bookmarkStart w:id="522" w:name="_Toc413246209"/>
      <w:bookmarkStart w:id="523" w:name="_Toc413392970"/>
      <w:bookmarkStart w:id="524" w:name="_Toc413687493"/>
      <w:bookmarkStart w:id="525" w:name="_Toc414366757"/>
      <w:bookmarkStart w:id="526" w:name="_Toc414537586"/>
      <w:bookmarkStart w:id="527" w:name="_Toc415215772"/>
      <w:bookmarkStart w:id="528" w:name="_Toc415573197"/>
      <w:bookmarkStart w:id="529" w:name="_Toc418682001"/>
      <w:r>
        <w:t>potential public interest benefits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D37BD6" w:rsidRPr="00894362" w:rsidRDefault="00D37BD6" w:rsidP="003C78AB">
      <w:pPr>
        <w:pStyle w:val="ParaNum"/>
        <w:rPr>
          <w:snapToGrid/>
          <w:kern w:val="0"/>
          <w:szCs w:val="22"/>
        </w:rPr>
      </w:pPr>
      <w:r w:rsidRPr="00894362">
        <w:rPr>
          <w:snapToGrid/>
          <w:szCs w:val="22"/>
        </w:rPr>
        <w:t xml:space="preserve">After assessing the potential public interest harms, we also consider whether the proposed </w:t>
      </w:r>
      <w:r>
        <w:rPr>
          <w:snapToGrid/>
          <w:szCs w:val="22"/>
        </w:rPr>
        <w:t>transaction</w:t>
      </w:r>
      <w:r w:rsidRPr="00894362">
        <w:rPr>
          <w:snapToGrid/>
          <w:szCs w:val="22"/>
        </w:rPr>
        <w:t xml:space="preserve"> </w:t>
      </w:r>
      <w:r w:rsidRPr="00894362">
        <w:rPr>
          <w:snapToGrid/>
          <w:kern w:val="0"/>
          <w:szCs w:val="22"/>
        </w:rPr>
        <w:t>is likely to generate verifiable, transaction-specific public interest benefits</w:t>
      </w:r>
      <w:r w:rsidRPr="00894362">
        <w:rPr>
          <w:snapToGrid/>
          <w:szCs w:val="22"/>
        </w:rPr>
        <w:t>.</w:t>
      </w:r>
      <w:r w:rsidRPr="00894362">
        <w:rPr>
          <w:rStyle w:val="FootnoteReference"/>
          <w:snapToGrid/>
          <w:szCs w:val="22"/>
        </w:rPr>
        <w:footnoteReference w:id="131"/>
      </w:r>
      <w:r w:rsidRPr="00894362">
        <w:rPr>
          <w:snapToGrid/>
          <w:szCs w:val="22"/>
        </w:rPr>
        <w:t xml:space="preserve">  </w:t>
      </w:r>
      <w:r w:rsidR="007E00C3" w:rsidRPr="007E00C3">
        <w:rPr>
          <w:szCs w:val="22"/>
        </w:rPr>
        <w:t>The Commission has recognized that “[e]fficiencies</w:t>
      </w:r>
      <w:r w:rsidR="007E00C3" w:rsidRPr="00DB69D7">
        <w:rPr>
          <w:szCs w:val="22"/>
        </w:rPr>
        <w:t xml:space="preserve"> generated through a merger can mitigate competitive harms if such efficiencies enhance the merged firm’s ability and incentive to compete and therefore result in lower prices, improved quality of service, enhanced service or new products.”</w:t>
      </w:r>
      <w:r w:rsidR="007E00C3" w:rsidRPr="006A5E52">
        <w:rPr>
          <w:sz w:val="20"/>
          <w:vertAlign w:val="superscript"/>
        </w:rPr>
        <w:footnoteReference w:id="132"/>
      </w:r>
      <w:r w:rsidR="007E00C3" w:rsidRPr="007E00C3">
        <w:rPr>
          <w:szCs w:val="22"/>
        </w:rPr>
        <w:t xml:space="preserve"> </w:t>
      </w:r>
      <w:r w:rsidR="007E00C3">
        <w:rPr>
          <w:szCs w:val="22"/>
        </w:rPr>
        <w:t xml:space="preserve"> </w:t>
      </w:r>
      <w:r w:rsidRPr="00894362">
        <w:rPr>
          <w:snapToGrid/>
          <w:kern w:val="0"/>
          <w:szCs w:val="22"/>
        </w:rPr>
        <w:t xml:space="preserve">As discussed below, we anticipate that the proposed transaction likely would </w:t>
      </w:r>
      <w:r>
        <w:rPr>
          <w:snapToGrid/>
          <w:kern w:val="0"/>
          <w:szCs w:val="22"/>
        </w:rPr>
        <w:t>facilitate</w:t>
      </w:r>
      <w:r w:rsidRPr="00894362">
        <w:rPr>
          <w:snapToGrid/>
          <w:kern w:val="0"/>
          <w:szCs w:val="22"/>
        </w:rPr>
        <w:t xml:space="preserve"> certain transaction-specific public interest benefits</w:t>
      </w:r>
      <w:r w:rsidR="008D1927">
        <w:rPr>
          <w:snapToGrid/>
          <w:kern w:val="0"/>
          <w:szCs w:val="22"/>
        </w:rPr>
        <w:t xml:space="preserve">, such as </w:t>
      </w:r>
      <w:r w:rsidR="00E351E9">
        <w:rPr>
          <w:snapToGrid/>
          <w:kern w:val="0"/>
          <w:szCs w:val="22"/>
        </w:rPr>
        <w:t>the deployment of advanced broadband technologies, and reduced roaming costs</w:t>
      </w:r>
      <w:r w:rsidRPr="00894362">
        <w:rPr>
          <w:snapToGrid/>
          <w:kern w:val="0"/>
          <w:szCs w:val="22"/>
        </w:rPr>
        <w:t>.</w:t>
      </w:r>
    </w:p>
    <w:p w:rsidR="00D37BD6" w:rsidRPr="00894362" w:rsidRDefault="00D37BD6" w:rsidP="00D37BD6">
      <w:pPr>
        <w:pStyle w:val="Heading2"/>
        <w:rPr>
          <w:snapToGrid/>
          <w:szCs w:val="22"/>
        </w:rPr>
      </w:pPr>
      <w:bookmarkStart w:id="530" w:name="_Toc406666084"/>
      <w:bookmarkStart w:id="531" w:name="_Toc406684872"/>
      <w:bookmarkStart w:id="532" w:name="_Toc408224005"/>
      <w:bookmarkStart w:id="533" w:name="_Toc408581003"/>
      <w:bookmarkStart w:id="534" w:name="_Toc410028426"/>
      <w:bookmarkStart w:id="535" w:name="_Toc410116650"/>
      <w:bookmarkStart w:id="536" w:name="_Toc410119632"/>
      <w:bookmarkStart w:id="537" w:name="_Toc410121773"/>
      <w:bookmarkStart w:id="538" w:name="_Toc410339632"/>
      <w:bookmarkStart w:id="539" w:name="_Toc411607361"/>
      <w:bookmarkStart w:id="540" w:name="_Toc412112251"/>
      <w:bookmarkStart w:id="541" w:name="_Toc412557594"/>
      <w:bookmarkStart w:id="542" w:name="_Toc412795169"/>
      <w:bookmarkStart w:id="543" w:name="_Toc412804079"/>
      <w:bookmarkStart w:id="544" w:name="_Toc413055739"/>
      <w:bookmarkStart w:id="545" w:name="_Toc413162338"/>
      <w:bookmarkStart w:id="546" w:name="_Toc413246210"/>
      <w:bookmarkStart w:id="547" w:name="_Toc413392971"/>
      <w:bookmarkStart w:id="548" w:name="_Toc413687494"/>
      <w:bookmarkStart w:id="549" w:name="_Toc414366758"/>
      <w:bookmarkStart w:id="550" w:name="_Toc414537587"/>
      <w:bookmarkStart w:id="551" w:name="_Toc415215773"/>
      <w:bookmarkStart w:id="552" w:name="_Toc415573198"/>
      <w:bookmarkStart w:id="553" w:name="_Toc418682002"/>
      <w:r w:rsidRPr="00894362">
        <w:rPr>
          <w:snapToGrid/>
          <w:szCs w:val="22"/>
        </w:rPr>
        <w:t>Analytical Framework</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D37BD6" w:rsidRPr="007E00C3" w:rsidRDefault="00D37BD6" w:rsidP="009022FD">
      <w:pPr>
        <w:pStyle w:val="ParaNum"/>
        <w:widowControl/>
        <w:tabs>
          <w:tab w:val="num" w:pos="1620"/>
        </w:tabs>
        <w:rPr>
          <w:snapToGrid/>
          <w:szCs w:val="22"/>
        </w:rPr>
      </w:pPr>
      <w:r w:rsidRPr="007E00C3">
        <w:rPr>
          <w:szCs w:val="22"/>
        </w:rPr>
        <w:t>The Commission applies several criteria in deciding whether a claimed benefit should be considered and weighed against potential harms.</w:t>
      </w:r>
      <w:r w:rsidRPr="00894362">
        <w:rPr>
          <w:rStyle w:val="FootnoteReference"/>
          <w:szCs w:val="22"/>
        </w:rPr>
        <w:footnoteReference w:id="133"/>
      </w:r>
      <w:r w:rsidRPr="007E00C3">
        <w:rPr>
          <w:szCs w:val="22"/>
        </w:rPr>
        <w:t xml:space="preserve">  First, the claimed benefit must be transaction-specific.</w:t>
      </w:r>
      <w:r w:rsidRPr="00894362">
        <w:rPr>
          <w:rStyle w:val="FootnoteReference"/>
          <w:szCs w:val="22"/>
        </w:rPr>
        <w:footnoteReference w:id="134"/>
      </w:r>
      <w:r w:rsidRPr="007E00C3">
        <w:rPr>
          <w:szCs w:val="22"/>
        </w:rPr>
        <w:t xml:space="preserve">  Second, the claimed benefit must be verifiable.</w:t>
      </w:r>
      <w:r w:rsidRPr="006A5E52">
        <w:rPr>
          <w:sz w:val="20"/>
          <w:vertAlign w:val="superscript"/>
        </w:rPr>
        <w:footnoteReference w:id="135"/>
      </w:r>
      <w:r w:rsidRPr="007E00C3">
        <w:rPr>
          <w:szCs w:val="22"/>
        </w:rPr>
        <w:t xml:space="preserve">  Third, the Commission has stated that it “will more likely find marginal cost reductions to be cognizable than reductions in fixed cost</w:t>
      </w:r>
      <w:r w:rsidR="007E00C3" w:rsidRPr="005F072E">
        <w:rPr>
          <w:szCs w:val="22"/>
        </w:rPr>
        <w:t>,</w:t>
      </w:r>
      <w:r w:rsidRPr="005F072E">
        <w:rPr>
          <w:szCs w:val="22"/>
        </w:rPr>
        <w:t xml:space="preserve">” </w:t>
      </w:r>
      <w:r w:rsidR="007E00C3" w:rsidRPr="00B42F16">
        <w:rPr>
          <w:szCs w:val="22"/>
        </w:rPr>
        <w:t>as</w:t>
      </w:r>
      <w:r w:rsidRPr="006D5590">
        <w:rPr>
          <w:szCs w:val="22"/>
        </w:rPr>
        <w:t>, in general, reductions in marginal cost are more likely to result in lower prices for consumers.</w:t>
      </w:r>
      <w:r w:rsidRPr="00894362">
        <w:rPr>
          <w:rStyle w:val="FootnoteReference"/>
          <w:szCs w:val="22"/>
        </w:rPr>
        <w:footnoteReference w:id="136"/>
      </w:r>
      <w:r w:rsidRPr="007E00C3">
        <w:rPr>
          <w:szCs w:val="22"/>
        </w:rPr>
        <w:t xml:space="preserve">  In addition, “the magnitude of benefits must be calculated net of the cost of achieving them.”</w:t>
      </w:r>
      <w:r w:rsidRPr="006A5E52">
        <w:rPr>
          <w:sz w:val="20"/>
          <w:vertAlign w:val="superscript"/>
        </w:rPr>
        <w:footnoteReference w:id="137"/>
      </w:r>
      <w:r w:rsidRPr="007E00C3">
        <w:rPr>
          <w:szCs w:val="22"/>
        </w:rPr>
        <w:t xml:space="preserve">  Further, benefits expected to occur only in the distant future may be discounted or dismissed because, among other things, predictions about the distant future are inherently more speculative than predictions that are expected to occur closer to the present.</w:t>
      </w:r>
      <w:r w:rsidRPr="006A5E52">
        <w:rPr>
          <w:sz w:val="20"/>
          <w:vertAlign w:val="superscript"/>
        </w:rPr>
        <w:footnoteReference w:id="138"/>
      </w:r>
      <w:r w:rsidRPr="007E00C3">
        <w:rPr>
          <w:szCs w:val="22"/>
        </w:rPr>
        <w:t xml:space="preserve">  Finally, the Commission applies a “sliding scale approach” to evaluating benefit claims.</w:t>
      </w:r>
      <w:r w:rsidRPr="006A5E52">
        <w:rPr>
          <w:sz w:val="20"/>
          <w:vertAlign w:val="superscript"/>
        </w:rPr>
        <w:footnoteReference w:id="139"/>
      </w:r>
      <w:r w:rsidRPr="007E00C3">
        <w:rPr>
          <w:szCs w:val="22"/>
        </w:rPr>
        <w:t xml:space="preserve">  Under this sliding scale approach, where potential harms appear “both substantial and likely, a demonstration of claimed benefits also must reveal a higher degree of magnitude and likelihood than we would otherwise demand.”</w:t>
      </w:r>
      <w:r w:rsidRPr="006A5E52">
        <w:rPr>
          <w:sz w:val="20"/>
          <w:vertAlign w:val="superscript"/>
        </w:rPr>
        <w:footnoteReference w:id="140"/>
      </w:r>
      <w:r w:rsidRPr="006A5E52">
        <w:rPr>
          <w:sz w:val="20"/>
        </w:rPr>
        <w:t xml:space="preserve"> </w:t>
      </w:r>
    </w:p>
    <w:p w:rsidR="00D37BD6" w:rsidRPr="00894362" w:rsidRDefault="00D37BD6" w:rsidP="00D37BD6">
      <w:pPr>
        <w:pStyle w:val="Heading2"/>
        <w:rPr>
          <w:snapToGrid/>
          <w:szCs w:val="22"/>
        </w:rPr>
      </w:pPr>
      <w:bookmarkStart w:id="554" w:name="_Toc406666085"/>
      <w:bookmarkStart w:id="555" w:name="_Toc406684873"/>
      <w:bookmarkStart w:id="556" w:name="_Toc408224006"/>
      <w:bookmarkStart w:id="557" w:name="_Toc408581004"/>
      <w:bookmarkStart w:id="558" w:name="_Toc410028427"/>
      <w:bookmarkStart w:id="559" w:name="_Toc410116651"/>
      <w:bookmarkStart w:id="560" w:name="_Toc410119633"/>
      <w:bookmarkStart w:id="561" w:name="_Toc410121774"/>
      <w:bookmarkStart w:id="562" w:name="_Toc410339633"/>
      <w:bookmarkStart w:id="563" w:name="_Toc411607362"/>
      <w:bookmarkStart w:id="564" w:name="_Toc412112252"/>
      <w:bookmarkStart w:id="565" w:name="_Toc412557595"/>
      <w:bookmarkStart w:id="566" w:name="_Toc412795170"/>
      <w:bookmarkStart w:id="567" w:name="_Toc412804080"/>
      <w:bookmarkStart w:id="568" w:name="_Toc413055740"/>
      <w:bookmarkStart w:id="569" w:name="_Toc413162339"/>
      <w:bookmarkStart w:id="570" w:name="_Toc413246211"/>
      <w:bookmarkStart w:id="571" w:name="_Toc413392972"/>
      <w:bookmarkStart w:id="572" w:name="_Toc413687495"/>
      <w:bookmarkStart w:id="573" w:name="_Toc414366759"/>
      <w:bookmarkStart w:id="574" w:name="_Toc414537588"/>
      <w:bookmarkStart w:id="575" w:name="_Toc415215774"/>
      <w:bookmarkStart w:id="576" w:name="_Toc415573199"/>
      <w:bookmarkStart w:id="577" w:name="_Toc418682003"/>
      <w:r w:rsidRPr="00894362">
        <w:rPr>
          <w:snapToGrid/>
          <w:szCs w:val="22"/>
        </w:rPr>
        <w:t>Potential Benefits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D37BD6" w:rsidRPr="00894362" w:rsidRDefault="00AC2BCB" w:rsidP="00EB22F1">
      <w:pPr>
        <w:pStyle w:val="ParaNum"/>
        <w:widowControl/>
        <w:rPr>
          <w:szCs w:val="22"/>
        </w:rPr>
      </w:pPr>
      <w:r>
        <w:rPr>
          <w:szCs w:val="22"/>
        </w:rPr>
        <w:t>According to t</w:t>
      </w:r>
      <w:r w:rsidR="00D37BD6" w:rsidRPr="00894362">
        <w:rPr>
          <w:szCs w:val="22"/>
        </w:rPr>
        <w:t>he Applicants</w:t>
      </w:r>
      <w:r>
        <w:rPr>
          <w:szCs w:val="22"/>
        </w:rPr>
        <w:t>,</w:t>
      </w:r>
      <w:r w:rsidR="00D37BD6" w:rsidRPr="00894362">
        <w:rPr>
          <w:szCs w:val="22"/>
        </w:rPr>
        <w:t xml:space="preserve"> the proposed transaction would benefit the customers of both companies by giving them access to a broader, denser, more advanced network while Plateau Wireless customers also would gain access to AT&amp;T’s array of services.</w:t>
      </w:r>
      <w:r w:rsidR="00D37BD6" w:rsidRPr="00894362">
        <w:rPr>
          <w:rStyle w:val="FootnoteReference"/>
          <w:szCs w:val="22"/>
        </w:rPr>
        <w:footnoteReference w:id="141"/>
      </w:r>
      <w:r w:rsidR="00D37BD6" w:rsidRPr="00894362">
        <w:rPr>
          <w:szCs w:val="22"/>
        </w:rPr>
        <w:t xml:space="preserve">  Additionally, the Applicants </w:t>
      </w:r>
      <w:r w:rsidR="007E00C3">
        <w:rPr>
          <w:szCs w:val="22"/>
        </w:rPr>
        <w:t xml:space="preserve">assert </w:t>
      </w:r>
      <w:r w:rsidR="00D37BD6" w:rsidRPr="00894362">
        <w:rPr>
          <w:szCs w:val="22"/>
        </w:rPr>
        <w:t xml:space="preserve">that the </w:t>
      </w:r>
      <w:r w:rsidR="00A80291">
        <w:rPr>
          <w:szCs w:val="22"/>
        </w:rPr>
        <w:t xml:space="preserve">proposed </w:t>
      </w:r>
      <w:r w:rsidR="00D37BD6" w:rsidRPr="00894362">
        <w:rPr>
          <w:szCs w:val="22"/>
        </w:rPr>
        <w:t>transaction w</w:t>
      </w:r>
      <w:r w:rsidR="00A80291">
        <w:rPr>
          <w:szCs w:val="22"/>
        </w:rPr>
        <w:t>ould</w:t>
      </w:r>
      <w:r w:rsidR="00D37BD6" w:rsidRPr="00894362">
        <w:rPr>
          <w:szCs w:val="22"/>
        </w:rPr>
        <w:t xml:space="preserve"> result in cost savings</w:t>
      </w:r>
      <w:r w:rsidR="00D37BD6">
        <w:rPr>
          <w:szCs w:val="22"/>
        </w:rPr>
        <w:t xml:space="preserve"> from reduced roaming</w:t>
      </w:r>
      <w:r w:rsidR="00D373C1">
        <w:rPr>
          <w:szCs w:val="22"/>
        </w:rPr>
        <w:t xml:space="preserve"> costs</w:t>
      </w:r>
      <w:r w:rsidR="00D37BD6" w:rsidRPr="00894362">
        <w:rPr>
          <w:szCs w:val="22"/>
        </w:rPr>
        <w:t>.</w:t>
      </w:r>
      <w:r w:rsidR="007E00C3" w:rsidRPr="00894362">
        <w:rPr>
          <w:rStyle w:val="FootnoteReference"/>
          <w:szCs w:val="22"/>
        </w:rPr>
        <w:footnoteReference w:id="142"/>
      </w:r>
    </w:p>
    <w:p w:rsidR="00D37BD6" w:rsidRPr="00894362" w:rsidRDefault="00D37BD6" w:rsidP="00AC5819">
      <w:pPr>
        <w:pStyle w:val="ParaNum"/>
        <w:rPr>
          <w:szCs w:val="22"/>
        </w:rPr>
      </w:pPr>
      <w:r w:rsidRPr="00894362">
        <w:rPr>
          <w:i/>
          <w:szCs w:val="22"/>
        </w:rPr>
        <w:t>I</w:t>
      </w:r>
      <w:r>
        <w:rPr>
          <w:i/>
          <w:szCs w:val="22"/>
        </w:rPr>
        <w:t>ncreased</w:t>
      </w:r>
      <w:r w:rsidRPr="00894362">
        <w:rPr>
          <w:i/>
          <w:szCs w:val="22"/>
        </w:rPr>
        <w:t xml:space="preserve"> Network</w:t>
      </w:r>
      <w:r>
        <w:rPr>
          <w:i/>
          <w:szCs w:val="22"/>
        </w:rPr>
        <w:t xml:space="preserve"> Quality</w:t>
      </w:r>
      <w:r w:rsidR="00E351E9">
        <w:rPr>
          <w:i/>
          <w:szCs w:val="22"/>
        </w:rPr>
        <w:t>.</w:t>
      </w:r>
      <w:r w:rsidRPr="00894362">
        <w:rPr>
          <w:szCs w:val="22"/>
        </w:rPr>
        <w:t xml:space="preserve">  As a result of the </w:t>
      </w:r>
      <w:r w:rsidR="007B013D">
        <w:rPr>
          <w:szCs w:val="22"/>
        </w:rPr>
        <w:t xml:space="preserve">proposed </w:t>
      </w:r>
      <w:r w:rsidRPr="00894362">
        <w:rPr>
          <w:szCs w:val="22"/>
        </w:rPr>
        <w:t xml:space="preserve">transaction, the Applicants claim that AT&amp;T plans to complete Plateau Wireless’s 4G HSPA+ deployment and overlay LTE technology at a much faster pace than Plateau Wireless </w:t>
      </w:r>
      <w:r>
        <w:rPr>
          <w:szCs w:val="22"/>
        </w:rPr>
        <w:t>c</w:t>
      </w:r>
      <w:r w:rsidRPr="00894362">
        <w:rPr>
          <w:szCs w:val="22"/>
        </w:rPr>
        <w:t>ould achieve.</w:t>
      </w:r>
      <w:r w:rsidRPr="00894362">
        <w:rPr>
          <w:rStyle w:val="FootnoteReference"/>
          <w:szCs w:val="22"/>
        </w:rPr>
        <w:footnoteReference w:id="143"/>
      </w:r>
      <w:r w:rsidRPr="00894362">
        <w:rPr>
          <w:szCs w:val="22"/>
        </w:rPr>
        <w:t xml:space="preserve">  The Applicants also contend that</w:t>
      </w:r>
      <w:r>
        <w:rPr>
          <w:szCs w:val="22"/>
        </w:rPr>
        <w:t>,</w:t>
      </w:r>
      <w:r w:rsidRPr="00894362">
        <w:rPr>
          <w:szCs w:val="22"/>
        </w:rPr>
        <w:t xml:space="preserve"> because AT&amp;T has no </w:t>
      </w:r>
      <w:r>
        <w:rPr>
          <w:szCs w:val="22"/>
        </w:rPr>
        <w:t>coverage</w:t>
      </w:r>
      <w:r w:rsidRPr="00894362">
        <w:rPr>
          <w:szCs w:val="22"/>
        </w:rPr>
        <w:t xml:space="preserve"> in a large part of Plateau Wireless’s service territor</w:t>
      </w:r>
      <w:r w:rsidR="00D373C1">
        <w:rPr>
          <w:szCs w:val="22"/>
        </w:rPr>
        <w:t>ies</w:t>
      </w:r>
      <w:r w:rsidRPr="00894362">
        <w:rPr>
          <w:szCs w:val="22"/>
        </w:rPr>
        <w:t xml:space="preserve">, once the </w:t>
      </w:r>
      <w:r>
        <w:rPr>
          <w:szCs w:val="22"/>
        </w:rPr>
        <w:t>Applicants’</w:t>
      </w:r>
      <w:r w:rsidRPr="00894362">
        <w:rPr>
          <w:szCs w:val="22"/>
        </w:rPr>
        <w:t xml:space="preserve"> networks are integrated, </w:t>
      </w:r>
      <w:r>
        <w:rPr>
          <w:szCs w:val="22"/>
        </w:rPr>
        <w:t>AT&amp;T</w:t>
      </w:r>
      <w:r w:rsidRPr="00894362">
        <w:rPr>
          <w:szCs w:val="22"/>
        </w:rPr>
        <w:t xml:space="preserve"> customers </w:t>
      </w:r>
      <w:r>
        <w:rPr>
          <w:szCs w:val="22"/>
        </w:rPr>
        <w:t>would gain</w:t>
      </w:r>
      <w:r w:rsidRPr="00894362">
        <w:rPr>
          <w:szCs w:val="22"/>
        </w:rPr>
        <w:t xml:space="preserve"> on-net service in </w:t>
      </w:r>
      <w:r>
        <w:rPr>
          <w:szCs w:val="22"/>
        </w:rPr>
        <w:t xml:space="preserve">a </w:t>
      </w:r>
      <w:r w:rsidRPr="00894362">
        <w:rPr>
          <w:szCs w:val="22"/>
        </w:rPr>
        <w:t xml:space="preserve">much </w:t>
      </w:r>
      <w:r>
        <w:rPr>
          <w:szCs w:val="22"/>
        </w:rPr>
        <w:t>greater portion</w:t>
      </w:r>
      <w:r w:rsidRPr="00894362">
        <w:rPr>
          <w:szCs w:val="22"/>
        </w:rPr>
        <w:t xml:space="preserve"> of the three CMAs </w:t>
      </w:r>
      <w:r>
        <w:rPr>
          <w:szCs w:val="22"/>
        </w:rPr>
        <w:t>that are implicated by</w:t>
      </w:r>
      <w:r w:rsidRPr="00894362">
        <w:rPr>
          <w:szCs w:val="22"/>
        </w:rPr>
        <w:t xml:space="preserve"> this transaction.</w:t>
      </w:r>
      <w:r w:rsidRPr="00894362">
        <w:rPr>
          <w:rStyle w:val="FootnoteReference"/>
          <w:szCs w:val="22"/>
        </w:rPr>
        <w:footnoteReference w:id="144"/>
      </w:r>
      <w:r w:rsidRPr="00894362">
        <w:rPr>
          <w:szCs w:val="22"/>
        </w:rPr>
        <w:t xml:space="preserve">  Moreover, </w:t>
      </w:r>
      <w:r w:rsidR="007B013D">
        <w:rPr>
          <w:szCs w:val="22"/>
        </w:rPr>
        <w:t xml:space="preserve">according to the </w:t>
      </w:r>
      <w:r w:rsidRPr="00894362">
        <w:rPr>
          <w:szCs w:val="22"/>
        </w:rPr>
        <w:t>Applicants</w:t>
      </w:r>
      <w:r w:rsidR="007B013D">
        <w:rPr>
          <w:szCs w:val="22"/>
        </w:rPr>
        <w:t>,</w:t>
      </w:r>
      <w:r w:rsidRPr="00894362">
        <w:rPr>
          <w:szCs w:val="22"/>
        </w:rPr>
        <w:t xml:space="preserve"> in the areas where AT&amp;T and Plateau Wireless’s networks </w:t>
      </w:r>
      <w:r>
        <w:rPr>
          <w:szCs w:val="22"/>
        </w:rPr>
        <w:t>already</w:t>
      </w:r>
      <w:r w:rsidRPr="00894362">
        <w:rPr>
          <w:szCs w:val="22"/>
        </w:rPr>
        <w:t xml:space="preserve"> overlap, AT&amp;T </w:t>
      </w:r>
      <w:r>
        <w:rPr>
          <w:szCs w:val="22"/>
        </w:rPr>
        <w:t>would</w:t>
      </w:r>
      <w:r w:rsidRPr="00894362">
        <w:rPr>
          <w:szCs w:val="22"/>
        </w:rPr>
        <w:t xml:space="preserve"> integrate complementary cell sites and </w:t>
      </w:r>
      <w:r>
        <w:rPr>
          <w:szCs w:val="22"/>
        </w:rPr>
        <w:t>certain</w:t>
      </w:r>
      <w:r w:rsidRPr="00894362">
        <w:rPr>
          <w:szCs w:val="22"/>
        </w:rPr>
        <w:t xml:space="preserve"> other equipment, resulting in a denser network with improved coverage and capacity.</w:t>
      </w:r>
      <w:r w:rsidR="00581DF3">
        <w:rPr>
          <w:rStyle w:val="FootnoteReference"/>
          <w:szCs w:val="22"/>
        </w:rPr>
        <w:footnoteReference w:id="145"/>
      </w:r>
    </w:p>
    <w:p w:rsidR="00D37BD6" w:rsidRPr="007A5852" w:rsidRDefault="00D37BD6" w:rsidP="006A5E52">
      <w:pPr>
        <w:pStyle w:val="ParaNum"/>
        <w:widowControl/>
        <w:rPr>
          <w:szCs w:val="22"/>
        </w:rPr>
      </w:pPr>
      <w:r w:rsidRPr="007A5852">
        <w:rPr>
          <w:bCs/>
          <w:szCs w:val="22"/>
        </w:rPr>
        <w:t xml:space="preserve">AT&amp;T asserts that </w:t>
      </w:r>
      <w:r w:rsidR="007C1CB9" w:rsidRPr="007A5852">
        <w:rPr>
          <w:bCs/>
          <w:szCs w:val="22"/>
        </w:rPr>
        <w:t xml:space="preserve">regarding </w:t>
      </w:r>
      <w:r w:rsidR="00EB3A57" w:rsidRPr="007A5852">
        <w:rPr>
          <w:bCs/>
          <w:szCs w:val="22"/>
        </w:rPr>
        <w:t>the cellular spectrum from Plateau Wireless</w:t>
      </w:r>
      <w:r w:rsidR="007C1CB9" w:rsidRPr="007A5852">
        <w:rPr>
          <w:bCs/>
          <w:szCs w:val="22"/>
        </w:rPr>
        <w:t>,</w:t>
      </w:r>
      <w:r w:rsidR="00EB3A57" w:rsidRPr="007A5852">
        <w:rPr>
          <w:bCs/>
          <w:szCs w:val="22"/>
        </w:rPr>
        <w:t xml:space="preserve"> </w:t>
      </w:r>
      <w:r w:rsidRPr="007A5852">
        <w:rPr>
          <w:b/>
          <w:bCs/>
          <w:szCs w:val="22"/>
        </w:rPr>
        <w:t>[BEGIN HIGHLY CONFIDENTIAL INFORMATION]</w:t>
      </w:r>
      <w:r w:rsidR="00932064">
        <w:rPr>
          <w:bCs/>
          <w:szCs w:val="22"/>
        </w:rPr>
        <w:t xml:space="preserve"> </w:t>
      </w:r>
      <w:r w:rsidR="00932064">
        <w:rPr>
          <w:bCs/>
          <w:szCs w:val="22"/>
        </w:rPr>
        <w:br/>
      </w:r>
      <w:r w:rsidR="00932064" w:rsidRPr="002525B8">
        <w:rPr>
          <w:rFonts w:hint="eastAsia"/>
          <w:bCs/>
          <w:color w:val="FFFFFF"/>
          <w:spacing w:val="1481"/>
          <w:kern w:val="0"/>
          <w:szCs w:val="22"/>
          <w:fitText w:val="3360" w:id="892573451"/>
        </w:rPr>
        <w:t xml:space="preserve">　</w:t>
      </w:r>
      <w:r w:rsidR="00932064" w:rsidRPr="002525B8">
        <w:rPr>
          <w:bCs/>
          <w:color w:val="FFFFFF"/>
          <w:spacing w:val="1481"/>
          <w:kern w:val="0"/>
          <w:szCs w:val="22"/>
          <w:fitText w:val="3360" w:id="892573451"/>
        </w:rPr>
        <w:t>.</w:t>
      </w:r>
      <w:r w:rsidR="00932064" w:rsidRPr="002525B8">
        <w:rPr>
          <w:rFonts w:hint="eastAsia"/>
          <w:bCs/>
          <w:color w:val="FFFFFF"/>
          <w:spacing w:val="1"/>
          <w:kern w:val="0"/>
          <w:szCs w:val="22"/>
          <w:fitText w:val="3360" w:id="892573451"/>
        </w:rPr>
        <w:t xml:space="preserve">　</w:t>
      </w:r>
      <w:r w:rsidR="00386CE4" w:rsidRPr="007A5852">
        <w:rPr>
          <w:b/>
          <w:bCs/>
          <w:szCs w:val="22"/>
        </w:rPr>
        <w:t>[END HIGHLY CONFIDENTIAL INFORMATION]</w:t>
      </w:r>
      <w:r w:rsidRPr="007A5852">
        <w:rPr>
          <w:bCs/>
          <w:szCs w:val="22"/>
        </w:rPr>
        <w:t xml:space="preserve"> and that it </w:t>
      </w:r>
      <w:r w:rsidR="00C651A4" w:rsidRPr="007A5852">
        <w:rPr>
          <w:bCs/>
          <w:szCs w:val="22"/>
        </w:rPr>
        <w:t>intends to</w:t>
      </w:r>
      <w:r w:rsidRPr="007A5852">
        <w:rPr>
          <w:bCs/>
          <w:szCs w:val="22"/>
        </w:rPr>
        <w:t xml:space="preserve"> use the Lower 700 MHz C </w:t>
      </w:r>
      <w:r w:rsidR="00FC3412" w:rsidRPr="007A5852">
        <w:rPr>
          <w:bCs/>
          <w:szCs w:val="22"/>
        </w:rPr>
        <w:t>B</w:t>
      </w:r>
      <w:r w:rsidRPr="007A5852">
        <w:rPr>
          <w:bCs/>
          <w:szCs w:val="22"/>
        </w:rPr>
        <w:t xml:space="preserve">lock spectrum that is currently unused by Plateau Wireless </w:t>
      </w:r>
      <w:r w:rsidRPr="007A5852">
        <w:rPr>
          <w:b/>
          <w:bCs/>
          <w:szCs w:val="22"/>
        </w:rPr>
        <w:t>[BEGIN HIGHLY CONFIDENTIAL INFORMATION]</w:t>
      </w:r>
      <w:r w:rsidR="00932064">
        <w:rPr>
          <w:bCs/>
          <w:szCs w:val="22"/>
        </w:rPr>
        <w:t xml:space="preserve"> </w:t>
      </w:r>
      <w:r w:rsidR="00932064">
        <w:rPr>
          <w:bCs/>
          <w:szCs w:val="22"/>
        </w:rPr>
        <w:br/>
      </w:r>
      <w:r w:rsidR="00932064" w:rsidRPr="002525B8">
        <w:rPr>
          <w:rFonts w:hint="eastAsia"/>
          <w:bCs/>
          <w:color w:val="FFFFFF"/>
          <w:spacing w:val="2793"/>
          <w:kern w:val="0"/>
          <w:szCs w:val="22"/>
          <w:fitText w:val="5985" w:id="892573452"/>
        </w:rPr>
        <w:t xml:space="preserve">　</w:t>
      </w:r>
      <w:r w:rsidR="00932064" w:rsidRPr="002525B8">
        <w:rPr>
          <w:bCs/>
          <w:color w:val="FFFFFF"/>
          <w:spacing w:val="2793"/>
          <w:kern w:val="0"/>
          <w:szCs w:val="22"/>
          <w:fitText w:val="5985" w:id="892573452"/>
        </w:rPr>
        <w:t>.</w:t>
      </w:r>
      <w:r w:rsidR="00932064" w:rsidRPr="002525B8">
        <w:rPr>
          <w:rFonts w:hint="eastAsia"/>
          <w:bCs/>
          <w:color w:val="FFFFFF"/>
          <w:spacing w:val="2"/>
          <w:kern w:val="0"/>
          <w:szCs w:val="22"/>
          <w:fitText w:val="5985" w:id="892573452"/>
        </w:rPr>
        <w:t xml:space="preserve">　</w:t>
      </w:r>
      <w:r w:rsidRPr="007A5852">
        <w:rPr>
          <w:b/>
          <w:bCs/>
          <w:szCs w:val="22"/>
        </w:rPr>
        <w:t>[END HIGHLY CONFIDENTIAL INFORMATION]</w:t>
      </w:r>
      <w:r w:rsidR="00782ABB">
        <w:rPr>
          <w:bCs/>
          <w:szCs w:val="22"/>
        </w:rPr>
        <w:t>.</w:t>
      </w:r>
      <w:r w:rsidRPr="00894362">
        <w:rPr>
          <w:rStyle w:val="FootnoteReference"/>
          <w:bCs/>
          <w:szCs w:val="22"/>
        </w:rPr>
        <w:footnoteReference w:id="146"/>
      </w:r>
      <w:r w:rsidRPr="007A5852">
        <w:rPr>
          <w:bCs/>
          <w:szCs w:val="22"/>
        </w:rPr>
        <w:t xml:space="preserve">  </w:t>
      </w:r>
      <w:r w:rsidR="006C1D46" w:rsidRPr="007A5852">
        <w:rPr>
          <w:bCs/>
          <w:szCs w:val="22"/>
        </w:rPr>
        <w:t>AT&amp;T maintains</w:t>
      </w:r>
      <w:r w:rsidR="006C1D46" w:rsidRPr="007A5852">
        <w:rPr>
          <w:b/>
          <w:bCs/>
          <w:szCs w:val="22"/>
        </w:rPr>
        <w:t xml:space="preserve"> </w:t>
      </w:r>
      <w:r w:rsidRPr="007A5852">
        <w:rPr>
          <w:b/>
          <w:bCs/>
          <w:szCs w:val="22"/>
        </w:rPr>
        <w:t>[BEGIN HIGHLY CONFIDENTIAL INFORMATION]</w:t>
      </w:r>
      <w:r w:rsidR="00932064">
        <w:rPr>
          <w:szCs w:val="22"/>
        </w:rPr>
        <w:t xml:space="preserve"> </w:t>
      </w:r>
      <w:r w:rsidR="00932064">
        <w:rPr>
          <w:szCs w:val="22"/>
        </w:rPr>
        <w:br/>
      </w:r>
      <w:r w:rsidR="00932064">
        <w:rPr>
          <w:szCs w:val="22"/>
        </w:rPr>
        <w:br/>
      </w:r>
      <w:r w:rsidR="00932064" w:rsidRPr="002525B8">
        <w:rPr>
          <w:rFonts w:hint="eastAsia"/>
          <w:color w:val="FFFFFF"/>
          <w:spacing w:val="3146"/>
          <w:kern w:val="0"/>
          <w:szCs w:val="22"/>
          <w:fitText w:val="6690" w:id="892573453"/>
        </w:rPr>
        <w:t xml:space="preserve">　</w:t>
      </w:r>
      <w:r w:rsidR="00932064" w:rsidRPr="002525B8">
        <w:rPr>
          <w:color w:val="FFFFFF"/>
          <w:spacing w:val="3146"/>
          <w:kern w:val="0"/>
          <w:szCs w:val="22"/>
          <w:fitText w:val="6690" w:id="892573453"/>
        </w:rPr>
        <w:t>.</w:t>
      </w:r>
      <w:r w:rsidR="00932064" w:rsidRPr="002525B8">
        <w:rPr>
          <w:rFonts w:hint="eastAsia"/>
          <w:color w:val="FFFFFF"/>
          <w:spacing w:val="1"/>
          <w:kern w:val="0"/>
          <w:szCs w:val="22"/>
          <w:fitText w:val="6690" w:id="892573453"/>
        </w:rPr>
        <w:t xml:space="preserve">　</w:t>
      </w:r>
      <w:r w:rsidR="00F36E71" w:rsidRPr="007A5852">
        <w:rPr>
          <w:b/>
          <w:bCs/>
          <w:szCs w:val="22"/>
        </w:rPr>
        <w:t>[END HIGHLY CONFIDENTIAL INFORMATION]</w:t>
      </w:r>
      <w:r w:rsidRPr="007A5852">
        <w:rPr>
          <w:szCs w:val="22"/>
        </w:rPr>
        <w:t>.</w:t>
      </w:r>
      <w:r w:rsidRPr="00894362">
        <w:rPr>
          <w:rStyle w:val="FootnoteReference"/>
          <w:bCs/>
          <w:szCs w:val="22"/>
        </w:rPr>
        <w:footnoteReference w:id="147"/>
      </w:r>
      <w:r w:rsidRPr="007A5852">
        <w:rPr>
          <w:szCs w:val="22"/>
        </w:rPr>
        <w:t xml:space="preserve">  In particular, AT&amp;T </w:t>
      </w:r>
      <w:r w:rsidR="00B64EA1" w:rsidRPr="007A5852">
        <w:rPr>
          <w:szCs w:val="22"/>
        </w:rPr>
        <w:t>contends</w:t>
      </w:r>
      <w:r w:rsidRPr="007A5852">
        <w:rPr>
          <w:szCs w:val="22"/>
        </w:rPr>
        <w:t xml:space="preserve"> </w:t>
      </w:r>
      <w:r w:rsidR="00F36E71" w:rsidRPr="007A5852">
        <w:rPr>
          <w:b/>
          <w:bCs/>
          <w:szCs w:val="22"/>
        </w:rPr>
        <w:t>[BEGIN HIGHLY CONFIDENTIAL INFORMATION]</w:t>
      </w:r>
      <w:r w:rsidR="00932064">
        <w:rPr>
          <w:szCs w:val="22"/>
        </w:rPr>
        <w:t xml:space="preserve"> </w:t>
      </w:r>
      <w:r w:rsidR="00932064">
        <w:rPr>
          <w:szCs w:val="22"/>
        </w:rPr>
        <w:br/>
      </w:r>
      <w:r w:rsidR="00932064">
        <w:rPr>
          <w:szCs w:val="22"/>
        </w:rPr>
        <w:br/>
      </w:r>
      <w:r w:rsidR="00932064" w:rsidRPr="002525B8">
        <w:rPr>
          <w:rFonts w:hint="eastAsia"/>
          <w:color w:val="FFFFFF"/>
          <w:spacing w:val="2396"/>
          <w:kern w:val="0"/>
          <w:szCs w:val="22"/>
          <w:fitText w:val="5190" w:id="892573454"/>
        </w:rPr>
        <w:t xml:space="preserve">　</w:t>
      </w:r>
      <w:r w:rsidR="00932064" w:rsidRPr="002525B8">
        <w:rPr>
          <w:color w:val="FFFFFF"/>
          <w:spacing w:val="2396"/>
          <w:kern w:val="0"/>
          <w:szCs w:val="22"/>
          <w:fitText w:val="5190" w:id="892573454"/>
        </w:rPr>
        <w:t>.</w:t>
      </w:r>
      <w:r w:rsidR="00932064" w:rsidRPr="002525B8">
        <w:rPr>
          <w:rFonts w:hint="eastAsia"/>
          <w:color w:val="FFFFFF"/>
          <w:spacing w:val="1"/>
          <w:kern w:val="0"/>
          <w:szCs w:val="22"/>
          <w:fitText w:val="5190" w:id="892573454"/>
        </w:rPr>
        <w:t xml:space="preserve">　</w:t>
      </w:r>
      <w:r w:rsidRPr="007A5852">
        <w:rPr>
          <w:b/>
          <w:bCs/>
          <w:szCs w:val="22"/>
        </w:rPr>
        <w:t>[END HIGHLY CONFIDENTIAL INFORMATION]</w:t>
      </w:r>
      <w:r w:rsidR="00782ABB">
        <w:rPr>
          <w:bCs/>
          <w:szCs w:val="22"/>
        </w:rPr>
        <w:t>.</w:t>
      </w:r>
      <w:r w:rsidRPr="00894362">
        <w:rPr>
          <w:rStyle w:val="FootnoteReference"/>
          <w:bCs/>
          <w:szCs w:val="22"/>
        </w:rPr>
        <w:footnoteReference w:id="148"/>
      </w:r>
      <w:r w:rsidRPr="007A5852">
        <w:rPr>
          <w:b/>
          <w:bCs/>
          <w:szCs w:val="22"/>
        </w:rPr>
        <w:t xml:space="preserve">  </w:t>
      </w:r>
      <w:r w:rsidRPr="007A5852">
        <w:rPr>
          <w:bCs/>
          <w:szCs w:val="22"/>
        </w:rPr>
        <w:t xml:space="preserve">In </w:t>
      </w:r>
      <w:r w:rsidR="00D373C1" w:rsidRPr="007A5852">
        <w:rPr>
          <w:bCs/>
          <w:szCs w:val="22"/>
        </w:rPr>
        <w:t>Texas 3 – Parmer</w:t>
      </w:r>
      <w:r w:rsidRPr="007A5852">
        <w:rPr>
          <w:bCs/>
          <w:szCs w:val="22"/>
        </w:rPr>
        <w:t xml:space="preserve">, </w:t>
      </w:r>
      <w:r w:rsidRPr="007A5852">
        <w:rPr>
          <w:b/>
          <w:bCs/>
          <w:szCs w:val="22"/>
        </w:rPr>
        <w:t>[BEGIN HIGHLY CONFIDENTIAL INFORMATION]</w:t>
      </w:r>
      <w:r w:rsidR="00932064">
        <w:rPr>
          <w:bCs/>
          <w:szCs w:val="22"/>
        </w:rPr>
        <w:t xml:space="preserve"> </w:t>
      </w:r>
      <w:r w:rsidR="00932064">
        <w:rPr>
          <w:bCs/>
          <w:szCs w:val="22"/>
        </w:rPr>
        <w:br/>
      </w:r>
      <w:r w:rsidR="00932064">
        <w:rPr>
          <w:bCs/>
          <w:szCs w:val="22"/>
        </w:rPr>
        <w:br/>
      </w:r>
      <w:r w:rsidR="00932064">
        <w:rPr>
          <w:bCs/>
          <w:szCs w:val="22"/>
        </w:rPr>
        <w:br/>
      </w:r>
      <w:r w:rsidR="00932064" w:rsidRPr="002525B8">
        <w:rPr>
          <w:rFonts w:hint="eastAsia"/>
          <w:bCs/>
          <w:color w:val="FFFFFF"/>
          <w:spacing w:val="903"/>
          <w:kern w:val="0"/>
          <w:szCs w:val="22"/>
          <w:fitText w:val="2205" w:id="892573455"/>
        </w:rPr>
        <w:t xml:space="preserve">　</w:t>
      </w:r>
      <w:r w:rsidR="00932064" w:rsidRPr="002525B8">
        <w:rPr>
          <w:bCs/>
          <w:color w:val="FFFFFF"/>
          <w:spacing w:val="903"/>
          <w:kern w:val="0"/>
          <w:szCs w:val="22"/>
          <w:fitText w:val="2205" w:id="892573455"/>
        </w:rPr>
        <w:t>.</w:t>
      </w:r>
      <w:r w:rsidR="00932064" w:rsidRPr="002525B8">
        <w:rPr>
          <w:rFonts w:hint="eastAsia"/>
          <w:bCs/>
          <w:color w:val="FFFFFF"/>
          <w:spacing w:val="2"/>
          <w:kern w:val="0"/>
          <w:szCs w:val="22"/>
          <w:fitText w:val="2205" w:id="892573455"/>
        </w:rPr>
        <w:t xml:space="preserve">　</w:t>
      </w:r>
      <w:r w:rsidRPr="007A5852">
        <w:rPr>
          <w:b/>
          <w:bCs/>
          <w:szCs w:val="22"/>
        </w:rPr>
        <w:t>[END HIGHLY CONFIDENTIAL INFORMATION]</w:t>
      </w:r>
      <w:r w:rsidR="00782ABB">
        <w:rPr>
          <w:bCs/>
          <w:szCs w:val="22"/>
        </w:rPr>
        <w:t>.</w:t>
      </w:r>
      <w:r w:rsidRPr="00894362">
        <w:rPr>
          <w:rStyle w:val="FootnoteReference"/>
          <w:bCs/>
          <w:szCs w:val="22"/>
        </w:rPr>
        <w:footnoteReference w:id="149"/>
      </w:r>
    </w:p>
    <w:p w:rsidR="00D37BD6" w:rsidRPr="004A0496" w:rsidRDefault="00B64EA1" w:rsidP="006A5E52">
      <w:pPr>
        <w:pStyle w:val="ParaNum"/>
        <w:widowControl/>
        <w:rPr>
          <w:szCs w:val="22"/>
        </w:rPr>
      </w:pPr>
      <w:r w:rsidRPr="004A0496">
        <w:rPr>
          <w:bCs/>
          <w:szCs w:val="22"/>
        </w:rPr>
        <w:t xml:space="preserve">According to </w:t>
      </w:r>
      <w:r w:rsidR="00D37BD6" w:rsidRPr="004A0496">
        <w:rPr>
          <w:bCs/>
          <w:szCs w:val="22"/>
        </w:rPr>
        <w:t>AT&amp;T</w:t>
      </w:r>
      <w:r w:rsidRPr="004A0496">
        <w:rPr>
          <w:bCs/>
          <w:szCs w:val="22"/>
        </w:rPr>
        <w:t xml:space="preserve">, </w:t>
      </w:r>
      <w:r w:rsidR="00D37BD6" w:rsidRPr="004A0496">
        <w:rPr>
          <w:bCs/>
          <w:szCs w:val="22"/>
        </w:rPr>
        <w:t xml:space="preserve">a </w:t>
      </w:r>
      <w:r w:rsidR="00D37BD6" w:rsidRPr="004A0496">
        <w:rPr>
          <w:snapToGrid/>
          <w:szCs w:val="22"/>
        </w:rPr>
        <w:t xml:space="preserve">10×10 </w:t>
      </w:r>
      <w:r w:rsidR="006C1D46" w:rsidRPr="004A0496">
        <w:rPr>
          <w:snapToGrid/>
          <w:szCs w:val="22"/>
        </w:rPr>
        <w:t xml:space="preserve">megahertz </w:t>
      </w:r>
      <w:r w:rsidR="00D37BD6" w:rsidRPr="004A0496">
        <w:rPr>
          <w:snapToGrid/>
          <w:szCs w:val="22"/>
        </w:rPr>
        <w:t>deployment of contiguous Lower 700 MHz B</w:t>
      </w:r>
      <w:r w:rsidR="008E1E13">
        <w:rPr>
          <w:snapToGrid/>
          <w:szCs w:val="22"/>
        </w:rPr>
        <w:t xml:space="preserve"> Block</w:t>
      </w:r>
      <w:r w:rsidR="00D37BD6" w:rsidRPr="004A0496">
        <w:rPr>
          <w:snapToGrid/>
          <w:szCs w:val="22"/>
        </w:rPr>
        <w:t xml:space="preserve"> and C Block spectrum would be more spectrally efficient than a deployment of two non-contiguous 5×5 </w:t>
      </w:r>
      <w:r w:rsidR="007C7356">
        <w:rPr>
          <w:snapToGrid/>
          <w:szCs w:val="22"/>
        </w:rPr>
        <w:t>megahertz</w:t>
      </w:r>
      <w:r w:rsidR="00D37BD6" w:rsidRPr="004A0496">
        <w:rPr>
          <w:snapToGrid/>
          <w:szCs w:val="22"/>
        </w:rPr>
        <w:t xml:space="preserve"> blocks.</w:t>
      </w:r>
      <w:r w:rsidR="00D37BD6" w:rsidRPr="00894362">
        <w:rPr>
          <w:rStyle w:val="FootnoteReference"/>
          <w:snapToGrid/>
          <w:kern w:val="0"/>
          <w:szCs w:val="22"/>
        </w:rPr>
        <w:footnoteReference w:id="150"/>
      </w:r>
      <w:r w:rsidR="00D37BD6" w:rsidRPr="004A0496">
        <w:rPr>
          <w:snapToGrid/>
          <w:szCs w:val="22"/>
        </w:rPr>
        <w:t xml:space="preserve">  </w:t>
      </w:r>
      <w:r w:rsidR="00440A84" w:rsidRPr="004A0496">
        <w:rPr>
          <w:snapToGrid/>
          <w:szCs w:val="22"/>
        </w:rPr>
        <w:t xml:space="preserve">Indeed, AT&amp;T </w:t>
      </w:r>
      <w:r w:rsidR="00E744C9">
        <w:rPr>
          <w:snapToGrid/>
          <w:szCs w:val="22"/>
        </w:rPr>
        <w:t>maintains</w:t>
      </w:r>
      <w:r w:rsidR="00440A84" w:rsidRPr="004A0496">
        <w:rPr>
          <w:snapToGrid/>
          <w:szCs w:val="22"/>
        </w:rPr>
        <w:t xml:space="preserve"> that </w:t>
      </w:r>
      <w:r w:rsidR="00440A84" w:rsidRPr="004A0496">
        <w:rPr>
          <w:bCs/>
          <w:szCs w:val="22"/>
        </w:rPr>
        <w:t>[</w:t>
      </w:r>
      <w:r w:rsidR="00440A84" w:rsidRPr="004A0496">
        <w:rPr>
          <w:b/>
          <w:bCs/>
          <w:snapToGrid/>
          <w:kern w:val="0"/>
          <w:szCs w:val="22"/>
        </w:rPr>
        <w:t>BEGIN HIGHLY CONFIDENTIAL INFORMATION</w:t>
      </w:r>
      <w:r w:rsidR="00440A84" w:rsidRPr="004A0496">
        <w:rPr>
          <w:bCs/>
          <w:snapToGrid/>
          <w:kern w:val="0"/>
          <w:szCs w:val="22"/>
        </w:rPr>
        <w:t>]</w:t>
      </w:r>
      <w:r w:rsidR="00932064">
        <w:rPr>
          <w:snapToGrid/>
          <w:kern w:val="0"/>
          <w:szCs w:val="22"/>
        </w:rPr>
        <w:t xml:space="preserve"> </w:t>
      </w:r>
      <w:r w:rsidR="00932064">
        <w:rPr>
          <w:snapToGrid/>
          <w:kern w:val="0"/>
          <w:szCs w:val="22"/>
        </w:rPr>
        <w:br/>
      </w:r>
      <w:r w:rsidR="00932064">
        <w:rPr>
          <w:snapToGrid/>
          <w:kern w:val="0"/>
          <w:szCs w:val="22"/>
        </w:rPr>
        <w:br/>
      </w:r>
      <w:r w:rsidR="00932064" w:rsidRPr="002525B8">
        <w:rPr>
          <w:rFonts w:hint="eastAsia"/>
          <w:snapToGrid/>
          <w:color w:val="FFFFFF"/>
          <w:spacing w:val="4076"/>
          <w:kern w:val="0"/>
          <w:szCs w:val="22"/>
          <w:fitText w:val="8550" w:id="892573456"/>
        </w:rPr>
        <w:t xml:space="preserve">　</w:t>
      </w:r>
      <w:r w:rsidR="00932064" w:rsidRPr="002525B8">
        <w:rPr>
          <w:snapToGrid/>
          <w:color w:val="FFFFFF"/>
          <w:spacing w:val="4076"/>
          <w:kern w:val="0"/>
          <w:szCs w:val="22"/>
          <w:fitText w:val="8550" w:id="892573456"/>
        </w:rPr>
        <w:t>.</w:t>
      </w:r>
      <w:r w:rsidR="00932064" w:rsidRPr="002525B8">
        <w:rPr>
          <w:rFonts w:hint="eastAsia"/>
          <w:snapToGrid/>
          <w:color w:val="FFFFFF"/>
          <w:spacing w:val="1"/>
          <w:kern w:val="0"/>
          <w:szCs w:val="22"/>
          <w:fitText w:val="8550" w:id="892573456"/>
        </w:rPr>
        <w:t xml:space="preserve">　</w:t>
      </w:r>
      <w:r w:rsidR="00440A84" w:rsidRPr="004A0496">
        <w:rPr>
          <w:b/>
          <w:bCs/>
          <w:snapToGrid/>
          <w:kern w:val="0"/>
          <w:szCs w:val="22"/>
        </w:rPr>
        <w:t>[END HIGHLY CONFIDENTIAL INFORMATION</w:t>
      </w:r>
      <w:r w:rsidR="000B2B8F" w:rsidRPr="004A0496">
        <w:rPr>
          <w:b/>
          <w:bCs/>
          <w:snapToGrid/>
          <w:kern w:val="0"/>
          <w:szCs w:val="22"/>
        </w:rPr>
        <w:t>]</w:t>
      </w:r>
      <w:r w:rsidR="00782ABB">
        <w:rPr>
          <w:bCs/>
          <w:snapToGrid/>
          <w:kern w:val="0"/>
          <w:szCs w:val="22"/>
        </w:rPr>
        <w:t>.</w:t>
      </w:r>
      <w:r w:rsidR="00440A84" w:rsidRPr="006A5E52">
        <w:rPr>
          <w:rStyle w:val="FootnoteReference"/>
          <w:kern w:val="0"/>
        </w:rPr>
        <w:footnoteReference w:id="151"/>
      </w:r>
      <w:r w:rsidR="004A0496" w:rsidRPr="004A0496">
        <w:rPr>
          <w:b/>
          <w:bCs/>
          <w:snapToGrid/>
          <w:kern w:val="0"/>
          <w:szCs w:val="22"/>
        </w:rPr>
        <w:t xml:space="preserve">  </w:t>
      </w:r>
      <w:r w:rsidR="00D37BD6" w:rsidRPr="004A0496">
        <w:rPr>
          <w:snapToGrid/>
          <w:szCs w:val="22"/>
        </w:rPr>
        <w:t xml:space="preserve">AT&amp;T cites, among other </w:t>
      </w:r>
      <w:r w:rsidR="00B7556C">
        <w:rPr>
          <w:snapToGrid/>
          <w:szCs w:val="22"/>
        </w:rPr>
        <w:t xml:space="preserve">claimed </w:t>
      </w:r>
      <w:r w:rsidR="00D37BD6" w:rsidRPr="004A0496">
        <w:rPr>
          <w:snapToGrid/>
          <w:szCs w:val="22"/>
        </w:rPr>
        <w:t xml:space="preserve">benefits, the 10×10 </w:t>
      </w:r>
      <w:r w:rsidR="006C1D46" w:rsidRPr="004A0496">
        <w:rPr>
          <w:snapToGrid/>
          <w:szCs w:val="22"/>
        </w:rPr>
        <w:t xml:space="preserve">megahertz </w:t>
      </w:r>
      <w:r w:rsidR="00AB0010">
        <w:rPr>
          <w:snapToGrid/>
          <w:szCs w:val="22"/>
        </w:rPr>
        <w:t xml:space="preserve">LTE </w:t>
      </w:r>
      <w:r w:rsidR="00D37BD6" w:rsidRPr="004A0496">
        <w:rPr>
          <w:snapToGrid/>
          <w:szCs w:val="22"/>
        </w:rPr>
        <w:t xml:space="preserve">deployment’s greater trunking and signaling efficiencies, </w:t>
      </w:r>
      <w:r w:rsidR="00CB620D" w:rsidRPr="004A0496">
        <w:rPr>
          <w:snapToGrid/>
          <w:szCs w:val="22"/>
        </w:rPr>
        <w:t xml:space="preserve">asserting </w:t>
      </w:r>
      <w:r w:rsidR="00D37BD6" w:rsidRPr="004A0496">
        <w:rPr>
          <w:snapToGrid/>
          <w:szCs w:val="22"/>
        </w:rPr>
        <w:t xml:space="preserve">that these </w:t>
      </w:r>
      <w:r w:rsidR="00D37BD6" w:rsidRPr="004A0496">
        <w:rPr>
          <w:snapToGrid/>
          <w:kern w:val="0"/>
          <w:szCs w:val="22"/>
        </w:rPr>
        <w:t xml:space="preserve">improvements result in higher system capacity, greater spectral efficiency, and better user throughput than </w:t>
      </w:r>
      <w:r w:rsidR="00AB0010">
        <w:rPr>
          <w:snapToGrid/>
          <w:kern w:val="0"/>
          <w:szCs w:val="22"/>
        </w:rPr>
        <w:t xml:space="preserve">is </w:t>
      </w:r>
      <w:r w:rsidR="00D37BD6" w:rsidRPr="004A0496">
        <w:rPr>
          <w:snapToGrid/>
          <w:kern w:val="0"/>
          <w:szCs w:val="22"/>
        </w:rPr>
        <w:t>possible over two separate 5</w:t>
      </w:r>
      <w:r w:rsidR="00D37BD6" w:rsidRPr="004A0496">
        <w:rPr>
          <w:snapToGrid/>
          <w:szCs w:val="22"/>
        </w:rPr>
        <w:t>×</w:t>
      </w:r>
      <w:r w:rsidR="00D37BD6" w:rsidRPr="004A0496">
        <w:rPr>
          <w:snapToGrid/>
          <w:kern w:val="0"/>
          <w:szCs w:val="22"/>
        </w:rPr>
        <w:t xml:space="preserve">5 </w:t>
      </w:r>
      <w:r w:rsidR="006C1D46" w:rsidRPr="004A0496">
        <w:rPr>
          <w:snapToGrid/>
          <w:kern w:val="0"/>
          <w:szCs w:val="22"/>
        </w:rPr>
        <w:t xml:space="preserve">megahertz </w:t>
      </w:r>
      <w:r w:rsidR="00D37BD6" w:rsidRPr="004A0496">
        <w:rPr>
          <w:snapToGrid/>
          <w:kern w:val="0"/>
          <w:szCs w:val="22"/>
        </w:rPr>
        <w:t>blocks.</w:t>
      </w:r>
      <w:r w:rsidR="00D37BD6" w:rsidRPr="00894362">
        <w:rPr>
          <w:rStyle w:val="FootnoteReference"/>
          <w:snapToGrid/>
          <w:kern w:val="0"/>
          <w:szCs w:val="22"/>
        </w:rPr>
        <w:footnoteReference w:id="152"/>
      </w:r>
      <w:r w:rsidR="00D37BD6" w:rsidRPr="004A0496">
        <w:rPr>
          <w:snapToGrid/>
          <w:szCs w:val="22"/>
        </w:rPr>
        <w:t xml:space="preserve">  </w:t>
      </w:r>
    </w:p>
    <w:p w:rsidR="00493DDF" w:rsidRPr="00894362" w:rsidRDefault="0081473C" w:rsidP="00AC5819">
      <w:pPr>
        <w:pStyle w:val="ParaNum"/>
        <w:rPr>
          <w:szCs w:val="22"/>
        </w:rPr>
      </w:pPr>
      <w:r>
        <w:rPr>
          <w:i/>
          <w:szCs w:val="22"/>
        </w:rPr>
        <w:t xml:space="preserve">Potential </w:t>
      </w:r>
      <w:r w:rsidR="00D37BD6" w:rsidRPr="00894362">
        <w:rPr>
          <w:i/>
          <w:szCs w:val="22"/>
        </w:rPr>
        <w:t>Benefits to Plateau Wireless Customers</w:t>
      </w:r>
      <w:r w:rsidR="00E351E9">
        <w:rPr>
          <w:szCs w:val="22"/>
        </w:rPr>
        <w:t>.</w:t>
      </w:r>
      <w:r w:rsidR="00E351E9" w:rsidRPr="00894362">
        <w:rPr>
          <w:szCs w:val="22"/>
        </w:rPr>
        <w:t xml:space="preserve">  </w:t>
      </w:r>
      <w:r w:rsidR="00D37BD6" w:rsidRPr="00894362">
        <w:rPr>
          <w:szCs w:val="22"/>
        </w:rPr>
        <w:t xml:space="preserve">The Applicants </w:t>
      </w:r>
      <w:r w:rsidR="00D37BD6">
        <w:rPr>
          <w:szCs w:val="22"/>
        </w:rPr>
        <w:t>assert</w:t>
      </w:r>
      <w:r w:rsidR="00D37BD6" w:rsidRPr="00894362">
        <w:rPr>
          <w:szCs w:val="22"/>
        </w:rPr>
        <w:t xml:space="preserve"> that Plateau Wireless</w:t>
      </w:r>
      <w:r w:rsidR="00CB620D">
        <w:rPr>
          <w:szCs w:val="22"/>
        </w:rPr>
        <w:t>’</w:t>
      </w:r>
      <w:r w:rsidR="00272FF3">
        <w:rPr>
          <w:szCs w:val="22"/>
        </w:rPr>
        <w:t>s</w:t>
      </w:r>
      <w:r w:rsidR="00D37BD6" w:rsidRPr="00894362">
        <w:rPr>
          <w:szCs w:val="22"/>
        </w:rPr>
        <w:t xml:space="preserve"> customers </w:t>
      </w:r>
      <w:r w:rsidR="00D37BD6">
        <w:rPr>
          <w:szCs w:val="22"/>
        </w:rPr>
        <w:t>would</w:t>
      </w:r>
      <w:r w:rsidR="00D37BD6" w:rsidRPr="00894362">
        <w:rPr>
          <w:szCs w:val="22"/>
        </w:rPr>
        <w:t xml:space="preserve"> gain access to the range of services available on AT&amp;T’s nationwide 4G network, including international voice and data services in more than 210 countries; the use of nearly 402,000 Wi-Fi hotspots globally; expanded choice of handsets; wider variety of rate plans; more robust data services; free mobile-to mobile calling to an expanded customer base; and access to AT&amp;T’s nationwide footprint when traveling.</w:t>
      </w:r>
      <w:r w:rsidR="00D37BD6" w:rsidRPr="00894362">
        <w:rPr>
          <w:rStyle w:val="FootnoteReference"/>
          <w:szCs w:val="22"/>
        </w:rPr>
        <w:footnoteReference w:id="153"/>
      </w:r>
    </w:p>
    <w:p w:rsidR="00D37BD6" w:rsidRPr="00894362" w:rsidRDefault="00D37BD6" w:rsidP="00AB0010">
      <w:pPr>
        <w:pStyle w:val="ParaNum"/>
        <w:widowControl/>
        <w:rPr>
          <w:szCs w:val="22"/>
        </w:rPr>
      </w:pPr>
      <w:r w:rsidRPr="00894362">
        <w:rPr>
          <w:i/>
          <w:szCs w:val="22"/>
        </w:rPr>
        <w:t>Roaming Cost Savings</w:t>
      </w:r>
      <w:r w:rsidR="00B860ED">
        <w:rPr>
          <w:szCs w:val="22"/>
        </w:rPr>
        <w:t>.</w:t>
      </w:r>
      <w:r w:rsidR="00B860ED" w:rsidRPr="00894362">
        <w:rPr>
          <w:szCs w:val="22"/>
        </w:rPr>
        <w:t xml:space="preserve">  </w:t>
      </w:r>
      <w:r w:rsidRPr="00894362">
        <w:rPr>
          <w:szCs w:val="22"/>
        </w:rPr>
        <w:t>In addition to directly benefitting consumers, the Applicants</w:t>
      </w:r>
      <w:r w:rsidR="00242D1A">
        <w:rPr>
          <w:szCs w:val="22"/>
        </w:rPr>
        <w:t xml:space="preserve"> maintain that</w:t>
      </w:r>
      <w:r w:rsidRPr="00894362">
        <w:rPr>
          <w:szCs w:val="22"/>
        </w:rPr>
        <w:t xml:space="preserve"> the </w:t>
      </w:r>
      <w:r w:rsidR="00242D1A">
        <w:rPr>
          <w:szCs w:val="22"/>
        </w:rPr>
        <w:t xml:space="preserve">proposed </w:t>
      </w:r>
      <w:r w:rsidRPr="00894362">
        <w:rPr>
          <w:szCs w:val="22"/>
        </w:rPr>
        <w:t xml:space="preserve">transaction also </w:t>
      </w:r>
      <w:r>
        <w:rPr>
          <w:szCs w:val="22"/>
        </w:rPr>
        <w:t xml:space="preserve">would </w:t>
      </w:r>
      <w:r w:rsidRPr="00894362">
        <w:rPr>
          <w:szCs w:val="22"/>
        </w:rPr>
        <w:t>result in roaming cost savings.</w:t>
      </w:r>
      <w:r w:rsidR="007E00C3" w:rsidRPr="00894362">
        <w:rPr>
          <w:rStyle w:val="FootnoteReference"/>
          <w:bCs/>
          <w:szCs w:val="22"/>
        </w:rPr>
        <w:footnoteReference w:id="154"/>
      </w:r>
      <w:r w:rsidRPr="00894362">
        <w:rPr>
          <w:szCs w:val="22"/>
        </w:rPr>
        <w:t xml:space="preserve">  In particular, the Applicants claim that</w:t>
      </w:r>
      <w:r>
        <w:rPr>
          <w:szCs w:val="22"/>
        </w:rPr>
        <w:t>,</w:t>
      </w:r>
      <w:r w:rsidRPr="00894362">
        <w:rPr>
          <w:szCs w:val="22"/>
        </w:rPr>
        <w:t xml:space="preserve"> by expanding AT&amp;T’s coverage, the</w:t>
      </w:r>
      <w:r>
        <w:rPr>
          <w:szCs w:val="22"/>
        </w:rPr>
        <w:t xml:space="preserve"> proposed</w:t>
      </w:r>
      <w:r w:rsidRPr="00894362">
        <w:rPr>
          <w:szCs w:val="22"/>
        </w:rPr>
        <w:t xml:space="preserve"> transaction </w:t>
      </w:r>
      <w:r>
        <w:rPr>
          <w:szCs w:val="22"/>
        </w:rPr>
        <w:t>would</w:t>
      </w:r>
      <w:r w:rsidRPr="00894362">
        <w:rPr>
          <w:szCs w:val="22"/>
        </w:rPr>
        <w:t xml:space="preserve"> result in more on-net usage by both AT&amp;T’s current customers and the acquired Plateau Wireless customers, thereby reducing their reliance on roaming.</w:t>
      </w:r>
      <w:r w:rsidRPr="00894362">
        <w:rPr>
          <w:rStyle w:val="FootnoteReference"/>
          <w:szCs w:val="22"/>
        </w:rPr>
        <w:footnoteReference w:id="155"/>
      </w:r>
      <w:r w:rsidRPr="00894362">
        <w:rPr>
          <w:szCs w:val="22"/>
        </w:rPr>
        <w:t xml:space="preserve">  </w:t>
      </w:r>
      <w:r w:rsidR="003C69C1">
        <w:rPr>
          <w:szCs w:val="22"/>
        </w:rPr>
        <w:t>The Applicants contend that r</w:t>
      </w:r>
      <w:r w:rsidRPr="00894362">
        <w:rPr>
          <w:szCs w:val="22"/>
        </w:rPr>
        <w:t xml:space="preserve">oaming costs </w:t>
      </w:r>
      <w:r>
        <w:rPr>
          <w:szCs w:val="22"/>
        </w:rPr>
        <w:t>would</w:t>
      </w:r>
      <w:r w:rsidRPr="00894362">
        <w:rPr>
          <w:szCs w:val="22"/>
        </w:rPr>
        <w:t xml:space="preserve"> decline through the elimination of double marginalization.</w:t>
      </w:r>
      <w:r w:rsidR="0021162F">
        <w:rPr>
          <w:rStyle w:val="FootnoteReference"/>
          <w:szCs w:val="22"/>
        </w:rPr>
        <w:footnoteReference w:id="156"/>
      </w:r>
      <w:r w:rsidRPr="00894362">
        <w:rPr>
          <w:szCs w:val="22"/>
        </w:rPr>
        <w:t xml:space="preserve"> </w:t>
      </w:r>
    </w:p>
    <w:p w:rsidR="00D37BD6" w:rsidRPr="00894362" w:rsidRDefault="00D37BD6" w:rsidP="00D37BD6">
      <w:pPr>
        <w:pStyle w:val="Heading2"/>
        <w:rPr>
          <w:szCs w:val="22"/>
        </w:rPr>
      </w:pPr>
      <w:bookmarkStart w:id="578" w:name="_Toc406666086"/>
      <w:bookmarkStart w:id="579" w:name="_Toc406684874"/>
      <w:bookmarkStart w:id="580" w:name="_Toc408224007"/>
      <w:bookmarkStart w:id="581" w:name="_Toc408581005"/>
      <w:bookmarkStart w:id="582" w:name="_Toc410028428"/>
      <w:bookmarkStart w:id="583" w:name="_Toc410116652"/>
      <w:bookmarkStart w:id="584" w:name="_Toc410119634"/>
      <w:bookmarkStart w:id="585" w:name="_Toc410121775"/>
      <w:bookmarkStart w:id="586" w:name="_Toc410339634"/>
      <w:bookmarkStart w:id="587" w:name="_Toc411607363"/>
      <w:bookmarkStart w:id="588" w:name="_Toc412112253"/>
      <w:bookmarkStart w:id="589" w:name="_Toc412557596"/>
      <w:bookmarkStart w:id="590" w:name="_Toc412795171"/>
      <w:bookmarkStart w:id="591" w:name="_Toc412804081"/>
      <w:bookmarkStart w:id="592" w:name="_Toc413055741"/>
      <w:bookmarkStart w:id="593" w:name="_Toc413162340"/>
      <w:bookmarkStart w:id="594" w:name="_Toc413246212"/>
      <w:bookmarkStart w:id="595" w:name="_Toc413392973"/>
      <w:bookmarkStart w:id="596" w:name="_Toc413687496"/>
      <w:bookmarkStart w:id="597" w:name="_Toc414366760"/>
      <w:bookmarkStart w:id="598" w:name="_Toc414537589"/>
      <w:bookmarkStart w:id="599" w:name="_Toc415215775"/>
      <w:bookmarkStart w:id="600" w:name="_Toc415573200"/>
      <w:bookmarkStart w:id="601" w:name="_Toc418682004"/>
      <w:r w:rsidRPr="00894362">
        <w:rPr>
          <w:szCs w:val="22"/>
        </w:rPr>
        <w:t>Discussion</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B03CF4" w:rsidRPr="00E54CED" w:rsidRDefault="00B03CF4" w:rsidP="006A5E52">
      <w:pPr>
        <w:pStyle w:val="ParaNum"/>
        <w:widowControl/>
      </w:pPr>
      <w:r w:rsidRPr="00E54CED">
        <w:t xml:space="preserve">We have reviewed the </w:t>
      </w:r>
      <w:r w:rsidR="004A7139">
        <w:t>assertions</w:t>
      </w:r>
      <w:r w:rsidRPr="00E54CED">
        <w:t xml:space="preserve"> of the Applicants regarding the</w:t>
      </w:r>
      <w:r w:rsidR="004A7139">
        <w:t xml:space="preserve"> </w:t>
      </w:r>
      <w:r w:rsidRPr="00E54CED">
        <w:t>benefits they allege</w:t>
      </w:r>
      <w:r>
        <w:t xml:space="preserve"> </w:t>
      </w:r>
      <w:r w:rsidRPr="00E54CED">
        <w:t>would result from the proposed transaction, as well as their responses to our requests for additional</w:t>
      </w:r>
      <w:r>
        <w:t xml:space="preserve"> </w:t>
      </w:r>
      <w:r w:rsidRPr="00E54CED">
        <w:t>information and documents</w:t>
      </w:r>
      <w:r w:rsidR="0032379D">
        <w:t>,</w:t>
      </w:r>
      <w:r w:rsidR="00CE662D">
        <w:t xml:space="preserve"> if AT&amp;T were permitted to acquire, in particular, th</w:t>
      </w:r>
      <w:r w:rsidR="004A7139">
        <w:t>e</w:t>
      </w:r>
      <w:r w:rsidR="00CE662D">
        <w:t xml:space="preserve"> </w:t>
      </w:r>
      <w:r w:rsidR="0032649E">
        <w:t>below-1-GHz</w:t>
      </w:r>
      <w:r w:rsidR="00CE662D">
        <w:t xml:space="preserve"> spectrum</w:t>
      </w:r>
      <w:r w:rsidR="004A7139">
        <w:t xml:space="preserve"> at issue</w:t>
      </w:r>
      <w:r w:rsidRPr="00E54CED">
        <w:t>.</w:t>
      </w:r>
      <w:r>
        <w:t xml:space="preserve">  </w:t>
      </w:r>
      <w:r w:rsidRPr="00E54CED">
        <w:t>The record provides general support for the Applicants’ contentions that the</w:t>
      </w:r>
      <w:r>
        <w:t xml:space="preserve"> </w:t>
      </w:r>
      <w:r w:rsidRPr="006343FB">
        <w:t xml:space="preserve">proposed transaction would result in some public interest benefits, </w:t>
      </w:r>
      <w:r w:rsidR="00493DDF">
        <w:t>as described below</w:t>
      </w:r>
      <w:r>
        <w:t>.</w:t>
      </w:r>
    </w:p>
    <w:p w:rsidR="007F60E9" w:rsidRPr="007F60E9" w:rsidRDefault="00B03CF4" w:rsidP="007A5852">
      <w:pPr>
        <w:pStyle w:val="ParaNum"/>
        <w:widowControl/>
      </w:pPr>
      <w:r w:rsidRPr="007A5852">
        <w:rPr>
          <w:i/>
          <w:szCs w:val="22"/>
        </w:rPr>
        <w:t>Increased Network Quality</w:t>
      </w:r>
      <w:r w:rsidR="00AB0010" w:rsidRPr="007A5852">
        <w:rPr>
          <w:szCs w:val="22"/>
        </w:rPr>
        <w:t>.</w:t>
      </w:r>
      <w:r w:rsidRPr="007A5852">
        <w:rPr>
          <w:szCs w:val="22"/>
        </w:rPr>
        <w:t xml:space="preserve">  </w:t>
      </w:r>
      <w:r w:rsidR="009B3F06" w:rsidRPr="007A5852">
        <w:rPr>
          <w:snapToGrid/>
          <w:szCs w:val="22"/>
        </w:rPr>
        <w:t xml:space="preserve">We </w:t>
      </w:r>
      <w:r w:rsidR="00D37BD6" w:rsidRPr="007A5852">
        <w:rPr>
          <w:snapToGrid/>
          <w:szCs w:val="22"/>
        </w:rPr>
        <w:t xml:space="preserve">anticipate that by combining </w:t>
      </w:r>
      <w:r w:rsidR="008D2551" w:rsidRPr="007A5852">
        <w:rPr>
          <w:snapToGrid/>
          <w:szCs w:val="22"/>
        </w:rPr>
        <w:t xml:space="preserve">the AT&amp;T and Plateau </w:t>
      </w:r>
      <w:r w:rsidR="008F7C51" w:rsidRPr="007A5852">
        <w:rPr>
          <w:snapToGrid/>
          <w:szCs w:val="22"/>
        </w:rPr>
        <w:t xml:space="preserve">Wireless </w:t>
      </w:r>
      <w:r w:rsidR="00D37BD6" w:rsidRPr="007A5852">
        <w:rPr>
          <w:snapToGrid/>
          <w:szCs w:val="22"/>
        </w:rPr>
        <w:t>networks</w:t>
      </w:r>
      <w:r w:rsidR="00DA1A53" w:rsidRPr="007A5852">
        <w:rPr>
          <w:snapToGrid/>
          <w:szCs w:val="22"/>
        </w:rPr>
        <w:t xml:space="preserve"> and other assets</w:t>
      </w:r>
      <w:r w:rsidR="00D37BD6" w:rsidRPr="007A5852">
        <w:rPr>
          <w:snapToGrid/>
          <w:szCs w:val="22"/>
        </w:rPr>
        <w:t xml:space="preserve">, AT&amp;T could deploy </w:t>
      </w:r>
      <w:r w:rsidR="00D37BD6" w:rsidRPr="007A5852">
        <w:rPr>
          <w:szCs w:val="22"/>
        </w:rPr>
        <w:t xml:space="preserve">HSPA+ and LTE significantly faster than </w:t>
      </w:r>
      <w:r w:rsidR="008D2551" w:rsidRPr="007A5852">
        <w:rPr>
          <w:szCs w:val="22"/>
        </w:rPr>
        <w:t>either</w:t>
      </w:r>
      <w:r w:rsidR="00D37BD6" w:rsidRPr="007A5852">
        <w:rPr>
          <w:szCs w:val="22"/>
        </w:rPr>
        <w:t xml:space="preserve"> would </w:t>
      </w:r>
      <w:r w:rsidR="008D2551" w:rsidRPr="007A5852">
        <w:rPr>
          <w:szCs w:val="22"/>
        </w:rPr>
        <w:t xml:space="preserve">have done </w:t>
      </w:r>
      <w:r w:rsidR="00D37BD6" w:rsidRPr="007A5852">
        <w:rPr>
          <w:szCs w:val="22"/>
        </w:rPr>
        <w:t xml:space="preserve">otherwise over a substantial portion of the </w:t>
      </w:r>
      <w:r w:rsidR="00674F3E" w:rsidRPr="007A5852">
        <w:rPr>
          <w:szCs w:val="22"/>
        </w:rPr>
        <w:t xml:space="preserve">markets </w:t>
      </w:r>
      <w:r w:rsidR="00D37BD6" w:rsidRPr="007A5852">
        <w:rPr>
          <w:szCs w:val="22"/>
        </w:rPr>
        <w:t xml:space="preserve">subject to this </w:t>
      </w:r>
      <w:r w:rsidR="00674F3E" w:rsidRPr="007A5852">
        <w:rPr>
          <w:szCs w:val="22"/>
        </w:rPr>
        <w:t xml:space="preserve">proposed </w:t>
      </w:r>
      <w:r w:rsidR="00D37BD6" w:rsidRPr="007A5852">
        <w:rPr>
          <w:szCs w:val="22"/>
        </w:rPr>
        <w:t xml:space="preserve">transaction.  </w:t>
      </w:r>
      <w:r w:rsidR="00AC5331" w:rsidRPr="007A5852">
        <w:rPr>
          <w:bCs/>
          <w:szCs w:val="22"/>
        </w:rPr>
        <w:t xml:space="preserve">Further, our review indicates that of the </w:t>
      </w:r>
      <w:r w:rsidR="00AC5331" w:rsidRPr="007A5852">
        <w:rPr>
          <w:b/>
          <w:bCs/>
          <w:szCs w:val="22"/>
        </w:rPr>
        <w:t>[BEGIN HIGHLY CONFIDENTIAL INFORMATION]</w:t>
      </w:r>
      <w:r w:rsidR="00932064">
        <w:rPr>
          <w:bCs/>
          <w:szCs w:val="22"/>
        </w:rPr>
        <w:t xml:space="preserve"> </w:t>
      </w:r>
      <w:r w:rsidR="00932064">
        <w:rPr>
          <w:bCs/>
          <w:szCs w:val="22"/>
        </w:rPr>
        <w:br/>
      </w:r>
      <w:r w:rsidR="00932064">
        <w:rPr>
          <w:bCs/>
          <w:szCs w:val="22"/>
        </w:rPr>
        <w:br/>
      </w:r>
      <w:r w:rsidR="00932064" w:rsidRPr="002525B8">
        <w:rPr>
          <w:rFonts w:hint="eastAsia"/>
          <w:bCs/>
          <w:color w:val="FFFFFF"/>
          <w:spacing w:val="1293"/>
          <w:kern w:val="0"/>
          <w:szCs w:val="22"/>
          <w:fitText w:val="2985" w:id="892573440"/>
        </w:rPr>
        <w:t xml:space="preserve">　</w:t>
      </w:r>
      <w:r w:rsidR="00932064" w:rsidRPr="002525B8">
        <w:rPr>
          <w:bCs/>
          <w:color w:val="FFFFFF"/>
          <w:spacing w:val="1293"/>
          <w:kern w:val="0"/>
          <w:szCs w:val="22"/>
          <w:fitText w:val="2985" w:id="892573440"/>
        </w:rPr>
        <w:t>.</w:t>
      </w:r>
      <w:r w:rsidR="00932064" w:rsidRPr="002525B8">
        <w:rPr>
          <w:rFonts w:hint="eastAsia"/>
          <w:bCs/>
          <w:color w:val="FFFFFF"/>
          <w:spacing w:val="2"/>
          <w:kern w:val="0"/>
          <w:szCs w:val="22"/>
          <w:fitText w:val="2985" w:id="892573440"/>
        </w:rPr>
        <w:t xml:space="preserve">　</w:t>
      </w:r>
      <w:r w:rsidR="00AC5331" w:rsidRPr="007A5852">
        <w:rPr>
          <w:b/>
          <w:bCs/>
          <w:szCs w:val="22"/>
        </w:rPr>
        <w:t>[END HIGHLY CONFIDENTIAL INFORMATION]</w:t>
      </w:r>
      <w:r w:rsidR="00782ABB">
        <w:rPr>
          <w:bCs/>
          <w:szCs w:val="22"/>
        </w:rPr>
        <w:t>.</w:t>
      </w:r>
      <w:r w:rsidR="00AC5331" w:rsidRPr="001D1BBF">
        <w:rPr>
          <w:rStyle w:val="FootnoteReference"/>
          <w:bCs/>
          <w:szCs w:val="22"/>
        </w:rPr>
        <w:footnoteReference w:id="157"/>
      </w:r>
      <w:r w:rsidR="00AC5331" w:rsidRPr="007A5852">
        <w:rPr>
          <w:bCs/>
          <w:szCs w:val="22"/>
        </w:rPr>
        <w:t xml:space="preserve">  </w:t>
      </w:r>
      <w:r w:rsidR="00DA1A53" w:rsidRPr="007A5852">
        <w:rPr>
          <w:bCs/>
          <w:szCs w:val="22"/>
        </w:rPr>
        <w:t>In addition, by</w:t>
      </w:r>
      <w:r w:rsidR="009F5576" w:rsidRPr="007A5852">
        <w:rPr>
          <w:bCs/>
          <w:szCs w:val="22"/>
        </w:rPr>
        <w:t xml:space="preserve"> deploying HSPA+ on the </w:t>
      </w:r>
      <w:r w:rsidR="007F60E9" w:rsidRPr="007A5852">
        <w:rPr>
          <w:bCs/>
          <w:szCs w:val="22"/>
        </w:rPr>
        <w:t xml:space="preserve">cellular spectrum </w:t>
      </w:r>
      <w:r w:rsidR="009F5576" w:rsidRPr="007A5852">
        <w:rPr>
          <w:bCs/>
          <w:szCs w:val="22"/>
        </w:rPr>
        <w:t xml:space="preserve">that would be acquired </w:t>
      </w:r>
      <w:r w:rsidR="007F60E9" w:rsidRPr="007A5852">
        <w:rPr>
          <w:bCs/>
          <w:szCs w:val="22"/>
        </w:rPr>
        <w:t>from Plateau Wireless</w:t>
      </w:r>
      <w:r w:rsidR="009F5576" w:rsidRPr="007A5852">
        <w:rPr>
          <w:bCs/>
          <w:szCs w:val="22"/>
        </w:rPr>
        <w:t xml:space="preserve">, our analysis indicates </w:t>
      </w:r>
      <w:r w:rsidR="00C94822" w:rsidRPr="007A5852">
        <w:rPr>
          <w:bCs/>
          <w:szCs w:val="22"/>
        </w:rPr>
        <w:t xml:space="preserve">that </w:t>
      </w:r>
      <w:r w:rsidR="007F60E9" w:rsidRPr="007A5852">
        <w:rPr>
          <w:b/>
          <w:bCs/>
          <w:szCs w:val="22"/>
        </w:rPr>
        <w:t>[BEGIN HIGHLY CONFIDENTIAL INFORMATION]</w:t>
      </w:r>
      <w:r w:rsidR="00932064">
        <w:rPr>
          <w:bCs/>
          <w:szCs w:val="22"/>
        </w:rPr>
        <w:t xml:space="preserve"> </w:t>
      </w:r>
      <w:r w:rsidR="00932064">
        <w:rPr>
          <w:bCs/>
          <w:szCs w:val="22"/>
        </w:rPr>
        <w:br/>
      </w:r>
      <w:r w:rsidR="00932064">
        <w:rPr>
          <w:bCs/>
          <w:szCs w:val="22"/>
        </w:rPr>
        <w:br/>
      </w:r>
      <w:r w:rsidR="00932064" w:rsidRPr="002525B8">
        <w:rPr>
          <w:rFonts w:hint="eastAsia"/>
          <w:bCs/>
          <w:color w:val="FFFFFF"/>
          <w:spacing w:val="2688"/>
          <w:kern w:val="0"/>
          <w:szCs w:val="22"/>
          <w:fitText w:val="5775" w:id="892573696"/>
        </w:rPr>
        <w:t xml:space="preserve">　</w:t>
      </w:r>
      <w:r w:rsidR="00932064" w:rsidRPr="002525B8">
        <w:rPr>
          <w:bCs/>
          <w:color w:val="FFFFFF"/>
          <w:spacing w:val="2688"/>
          <w:kern w:val="0"/>
          <w:szCs w:val="22"/>
          <w:fitText w:val="5775" w:id="892573696"/>
        </w:rPr>
        <w:t>.</w:t>
      </w:r>
      <w:r w:rsidR="00932064" w:rsidRPr="002525B8">
        <w:rPr>
          <w:rFonts w:hint="eastAsia"/>
          <w:bCs/>
          <w:color w:val="FFFFFF"/>
          <w:spacing w:val="2"/>
          <w:kern w:val="0"/>
          <w:szCs w:val="22"/>
          <w:fitText w:val="5775" w:id="892573696"/>
        </w:rPr>
        <w:t xml:space="preserve">　</w:t>
      </w:r>
      <w:r w:rsidR="007F60E9" w:rsidRPr="007A5852">
        <w:rPr>
          <w:b/>
          <w:bCs/>
          <w:szCs w:val="22"/>
        </w:rPr>
        <w:t>[END HIGHLY CONFIDENTIAL INFORMATION]</w:t>
      </w:r>
      <w:r w:rsidR="00782ABB">
        <w:rPr>
          <w:bCs/>
          <w:szCs w:val="22"/>
        </w:rPr>
        <w:t>.</w:t>
      </w:r>
      <w:r w:rsidR="009F5576">
        <w:rPr>
          <w:rStyle w:val="FootnoteReference"/>
          <w:bCs/>
          <w:szCs w:val="22"/>
        </w:rPr>
        <w:footnoteReference w:id="158"/>
      </w:r>
      <w:r w:rsidR="00AB0010" w:rsidRPr="007A5852">
        <w:rPr>
          <w:bCs/>
          <w:szCs w:val="22"/>
        </w:rPr>
        <w:t xml:space="preserve">  Moreover, w</w:t>
      </w:r>
      <w:r w:rsidR="00AB0010" w:rsidRPr="007A5852">
        <w:rPr>
          <w:szCs w:val="22"/>
        </w:rPr>
        <w:t xml:space="preserve">e note that </w:t>
      </w:r>
      <w:r w:rsidR="00AB0010" w:rsidRPr="007A5852">
        <w:rPr>
          <w:b/>
          <w:bCs/>
          <w:szCs w:val="22"/>
        </w:rPr>
        <w:t>[BEGIN HIGHLY CONFIDENTIAL INFORMATION]</w:t>
      </w:r>
      <w:r w:rsidR="00932064">
        <w:rPr>
          <w:bCs/>
          <w:szCs w:val="22"/>
        </w:rPr>
        <w:t xml:space="preserve"> </w:t>
      </w:r>
      <w:r w:rsidR="00932064">
        <w:rPr>
          <w:bCs/>
          <w:szCs w:val="22"/>
        </w:rPr>
        <w:br/>
      </w:r>
      <w:r w:rsidR="00932064">
        <w:rPr>
          <w:bCs/>
          <w:szCs w:val="22"/>
        </w:rPr>
        <w:br/>
      </w:r>
      <w:r w:rsidR="00932064" w:rsidRPr="002525B8">
        <w:rPr>
          <w:rFonts w:hint="eastAsia"/>
          <w:bCs/>
          <w:color w:val="FFFFFF"/>
          <w:spacing w:val="1158"/>
          <w:kern w:val="0"/>
          <w:szCs w:val="22"/>
          <w:fitText w:val="2715" w:id="892573697"/>
        </w:rPr>
        <w:t xml:space="preserve">　</w:t>
      </w:r>
      <w:r w:rsidR="00932064" w:rsidRPr="002525B8">
        <w:rPr>
          <w:bCs/>
          <w:color w:val="FFFFFF"/>
          <w:spacing w:val="1158"/>
          <w:kern w:val="0"/>
          <w:szCs w:val="22"/>
          <w:fitText w:val="2715" w:id="892573697"/>
        </w:rPr>
        <w:t>.</w:t>
      </w:r>
      <w:r w:rsidR="00932064" w:rsidRPr="002525B8">
        <w:rPr>
          <w:rFonts w:hint="eastAsia"/>
          <w:bCs/>
          <w:color w:val="FFFFFF"/>
          <w:spacing w:val="2"/>
          <w:kern w:val="0"/>
          <w:szCs w:val="22"/>
          <w:fitText w:val="2715" w:id="892573697"/>
        </w:rPr>
        <w:t xml:space="preserve">　</w:t>
      </w:r>
      <w:r w:rsidR="00AB0010" w:rsidRPr="007A5852">
        <w:rPr>
          <w:b/>
          <w:bCs/>
          <w:szCs w:val="22"/>
        </w:rPr>
        <w:t>[END HIGHLY CONFIDENTIAL INFORMATION]</w:t>
      </w:r>
      <w:r w:rsidR="00782ABB">
        <w:rPr>
          <w:bCs/>
          <w:szCs w:val="22"/>
        </w:rPr>
        <w:t>.</w:t>
      </w:r>
      <w:r w:rsidR="00AB0010" w:rsidRPr="004A0496">
        <w:rPr>
          <w:rStyle w:val="FootnoteReference"/>
          <w:bCs/>
          <w:szCs w:val="22"/>
        </w:rPr>
        <w:footnoteReference w:id="159"/>
      </w:r>
    </w:p>
    <w:p w:rsidR="00AA4E49" w:rsidRPr="00A07D0A" w:rsidRDefault="00E608EA" w:rsidP="00CC0FD0">
      <w:pPr>
        <w:pStyle w:val="ParaNum"/>
      </w:pPr>
      <w:r w:rsidRPr="00D35946">
        <w:rPr>
          <w:szCs w:val="22"/>
        </w:rPr>
        <w:t xml:space="preserve">In particular, </w:t>
      </w:r>
      <w:r w:rsidR="00256B47" w:rsidRPr="00D35946">
        <w:rPr>
          <w:szCs w:val="22"/>
        </w:rPr>
        <w:t>given that P</w:t>
      </w:r>
      <w:r w:rsidR="00256B47" w:rsidRPr="00E9574D">
        <w:rPr>
          <w:szCs w:val="22"/>
        </w:rPr>
        <w:t xml:space="preserve">lateau Wireless’s </w:t>
      </w:r>
      <w:r w:rsidR="008660CB" w:rsidRPr="00E9574D">
        <w:rPr>
          <w:szCs w:val="22"/>
        </w:rPr>
        <w:t xml:space="preserve">Lower </w:t>
      </w:r>
      <w:r w:rsidR="00256B47" w:rsidRPr="00E9574D">
        <w:rPr>
          <w:szCs w:val="22"/>
        </w:rPr>
        <w:t>700 MHz C Block spectrum is currently lying fallow, we find that its acquisition by AT&amp;T would increase the potential for its more efficient use</w:t>
      </w:r>
      <w:r w:rsidRPr="00D35946">
        <w:rPr>
          <w:bCs/>
          <w:szCs w:val="22"/>
        </w:rPr>
        <w:t xml:space="preserve">.  </w:t>
      </w:r>
      <w:r>
        <w:t xml:space="preserve">Specifically, </w:t>
      </w:r>
      <w:r w:rsidR="003A5779">
        <w:t xml:space="preserve">in Texas 3 – Parmer, the market in which it would hold more than one-third of the currently suitable and available spectrum </w:t>
      </w:r>
      <w:r w:rsidR="00342984" w:rsidRPr="001800E5">
        <w:t>below</w:t>
      </w:r>
      <w:r w:rsidR="00342984">
        <w:t xml:space="preserve"> </w:t>
      </w:r>
      <w:r w:rsidR="00342984" w:rsidRPr="001800E5">
        <w:t>1</w:t>
      </w:r>
      <w:r w:rsidR="00342984">
        <w:t xml:space="preserve"> </w:t>
      </w:r>
      <w:r w:rsidR="00342984" w:rsidRPr="001800E5">
        <w:t>GHz</w:t>
      </w:r>
      <w:r w:rsidR="00AB0010">
        <w:t xml:space="preserve"> post-transaction</w:t>
      </w:r>
      <w:r w:rsidR="003A5779">
        <w:t xml:space="preserve">, </w:t>
      </w:r>
      <w:r>
        <w:t xml:space="preserve">AT&amp;T asserts that </w:t>
      </w:r>
      <w:r w:rsidR="003A5779">
        <w:t xml:space="preserve">it </w:t>
      </w:r>
      <w:r w:rsidRPr="00D35946">
        <w:rPr>
          <w:b/>
          <w:bCs/>
          <w:szCs w:val="22"/>
        </w:rPr>
        <w:t>[BEGIN HIGHLY CONFIDENTIAL INFORMATION</w:t>
      </w:r>
      <w:r w:rsidR="005A22AF" w:rsidRPr="00D35946">
        <w:rPr>
          <w:b/>
          <w:bCs/>
          <w:szCs w:val="22"/>
        </w:rPr>
        <w:t>]</w:t>
      </w:r>
      <w:r w:rsidR="00932064">
        <w:rPr>
          <w:bCs/>
          <w:szCs w:val="22"/>
        </w:rPr>
        <w:t xml:space="preserve"> </w:t>
      </w:r>
      <w:r w:rsidR="00932064">
        <w:rPr>
          <w:bCs/>
          <w:szCs w:val="22"/>
        </w:rPr>
        <w:br/>
      </w:r>
      <w:r w:rsidR="00932064">
        <w:rPr>
          <w:bCs/>
          <w:szCs w:val="22"/>
        </w:rPr>
        <w:br/>
      </w:r>
      <w:r w:rsidR="00932064">
        <w:rPr>
          <w:bCs/>
          <w:szCs w:val="22"/>
        </w:rPr>
        <w:br/>
      </w:r>
      <w:r w:rsidR="00932064" w:rsidRPr="002525B8">
        <w:rPr>
          <w:rFonts w:hint="eastAsia"/>
          <w:bCs/>
          <w:color w:val="FFFFFF"/>
          <w:spacing w:val="2366"/>
          <w:kern w:val="0"/>
          <w:szCs w:val="22"/>
          <w:fitText w:val="5130" w:id="892573698"/>
        </w:rPr>
        <w:t xml:space="preserve">　</w:t>
      </w:r>
      <w:r w:rsidR="00932064" w:rsidRPr="002525B8">
        <w:rPr>
          <w:bCs/>
          <w:color w:val="FFFFFF"/>
          <w:spacing w:val="2366"/>
          <w:kern w:val="0"/>
          <w:szCs w:val="22"/>
          <w:fitText w:val="5130" w:id="892573698"/>
        </w:rPr>
        <w:t>.</w:t>
      </w:r>
      <w:r w:rsidR="00932064" w:rsidRPr="002525B8">
        <w:rPr>
          <w:rFonts w:hint="eastAsia"/>
          <w:bCs/>
          <w:color w:val="FFFFFF"/>
          <w:spacing w:val="1"/>
          <w:kern w:val="0"/>
          <w:szCs w:val="22"/>
          <w:fitText w:val="5130" w:id="892573698"/>
        </w:rPr>
        <w:t xml:space="preserve">　</w:t>
      </w:r>
      <w:r w:rsidRPr="00D35946">
        <w:rPr>
          <w:b/>
          <w:bCs/>
          <w:szCs w:val="22"/>
        </w:rPr>
        <w:t>[END HIGHLY CONFIDENTIAL INFORMATION]</w:t>
      </w:r>
      <w:r w:rsidR="00782ABB" w:rsidRPr="00D35946">
        <w:rPr>
          <w:bCs/>
          <w:szCs w:val="22"/>
        </w:rPr>
        <w:t>.</w:t>
      </w:r>
      <w:r>
        <w:rPr>
          <w:rStyle w:val="FootnoteReference"/>
          <w:bCs/>
          <w:szCs w:val="22"/>
        </w:rPr>
        <w:footnoteReference w:id="160"/>
      </w:r>
      <w:r w:rsidRPr="00D35946">
        <w:rPr>
          <w:bCs/>
          <w:szCs w:val="22"/>
        </w:rPr>
        <w:t xml:space="preserve">  </w:t>
      </w:r>
      <w:r w:rsidR="00CE662D" w:rsidRPr="00D35946">
        <w:rPr>
          <w:bCs/>
          <w:szCs w:val="22"/>
        </w:rPr>
        <w:t xml:space="preserve">We find that </w:t>
      </w:r>
      <w:r w:rsidR="00D35946" w:rsidRPr="00E9574D">
        <w:rPr>
          <w:bCs/>
          <w:szCs w:val="22"/>
        </w:rPr>
        <w:t xml:space="preserve">acquiring </w:t>
      </w:r>
      <w:r w:rsidR="00361749" w:rsidRPr="00D35946">
        <w:rPr>
          <w:bCs/>
          <w:szCs w:val="22"/>
        </w:rPr>
        <w:t>the Lower 700 MHz C Block spectrum</w:t>
      </w:r>
      <w:r w:rsidR="00D35946" w:rsidRPr="00D35946">
        <w:rPr>
          <w:bCs/>
          <w:szCs w:val="22"/>
        </w:rPr>
        <w:t xml:space="preserve"> would enable </w:t>
      </w:r>
      <w:r w:rsidR="00361749" w:rsidRPr="00D35946">
        <w:rPr>
          <w:bCs/>
          <w:szCs w:val="22"/>
        </w:rPr>
        <w:t xml:space="preserve">AT&amp;T to expand its LTE service offerings on contiguous spectrum, which has the potential to </w:t>
      </w:r>
      <w:r w:rsidR="00A771D5">
        <w:rPr>
          <w:bCs/>
          <w:szCs w:val="22"/>
        </w:rPr>
        <w:t xml:space="preserve">allow </w:t>
      </w:r>
      <w:r w:rsidR="00361749" w:rsidRPr="00D35946">
        <w:rPr>
          <w:bCs/>
          <w:szCs w:val="22"/>
        </w:rPr>
        <w:t>AT&amp;T to achieve greater spectral efficiency and greater throughput</w:t>
      </w:r>
      <w:r w:rsidR="000575F8">
        <w:rPr>
          <w:bCs/>
          <w:szCs w:val="22"/>
        </w:rPr>
        <w:t xml:space="preserve"> and create some transaction-specific benefits</w:t>
      </w:r>
      <w:r w:rsidR="00CE662D">
        <w:t>.</w:t>
      </w:r>
      <w:r w:rsidR="00CE662D">
        <w:rPr>
          <w:rStyle w:val="FootnoteReference"/>
          <w:bCs/>
          <w:szCs w:val="22"/>
        </w:rPr>
        <w:footnoteReference w:id="161"/>
      </w:r>
      <w:r w:rsidR="00CE662D">
        <w:t xml:space="preserve">  </w:t>
      </w:r>
      <w:r w:rsidR="003A5779" w:rsidRPr="00D35946">
        <w:rPr>
          <w:bCs/>
          <w:szCs w:val="22"/>
        </w:rPr>
        <w:t>Consequently</w:t>
      </w:r>
      <w:r w:rsidR="00B834D4" w:rsidRPr="00D35946">
        <w:rPr>
          <w:bCs/>
          <w:szCs w:val="22"/>
        </w:rPr>
        <w:t xml:space="preserve">, customers are likely to benefit </w:t>
      </w:r>
      <w:r w:rsidR="005F0FD3" w:rsidRPr="00E9574D">
        <w:rPr>
          <w:bCs/>
          <w:szCs w:val="22"/>
        </w:rPr>
        <w:t xml:space="preserve">in the immediate future </w:t>
      </w:r>
      <w:r w:rsidR="00B834D4" w:rsidRPr="00E9574D">
        <w:rPr>
          <w:bCs/>
          <w:szCs w:val="22"/>
        </w:rPr>
        <w:t xml:space="preserve">from access to </w:t>
      </w:r>
      <w:r w:rsidR="00332D3B" w:rsidRPr="00E9574D">
        <w:rPr>
          <w:bCs/>
          <w:szCs w:val="22"/>
        </w:rPr>
        <w:t>improved</w:t>
      </w:r>
      <w:r w:rsidR="00C34AAE" w:rsidRPr="00D35946">
        <w:rPr>
          <w:bCs/>
          <w:szCs w:val="22"/>
        </w:rPr>
        <w:t xml:space="preserve"> LTE performance and a </w:t>
      </w:r>
      <w:r w:rsidR="00B834D4" w:rsidRPr="00D35946">
        <w:rPr>
          <w:bCs/>
          <w:szCs w:val="22"/>
        </w:rPr>
        <w:t>more robust network as a result of the instant transaction.</w:t>
      </w:r>
      <w:r w:rsidR="00AC5331" w:rsidRPr="00E9574D">
        <w:rPr>
          <w:bCs/>
          <w:szCs w:val="22"/>
        </w:rPr>
        <w:t xml:space="preserve">  </w:t>
      </w:r>
    </w:p>
    <w:p w:rsidR="00051DAA" w:rsidRPr="003C78AB" w:rsidRDefault="002130E9" w:rsidP="00CC0FD0">
      <w:pPr>
        <w:pStyle w:val="ParaNum"/>
      </w:pPr>
      <w:r>
        <w:rPr>
          <w:i/>
          <w:szCs w:val="22"/>
        </w:rPr>
        <w:t xml:space="preserve">Potential </w:t>
      </w:r>
      <w:r w:rsidR="00051DAA" w:rsidRPr="00894362">
        <w:rPr>
          <w:i/>
          <w:szCs w:val="22"/>
        </w:rPr>
        <w:t>Benefits to Plateau Wireless Customers</w:t>
      </w:r>
      <w:r w:rsidR="00E351E9">
        <w:rPr>
          <w:i/>
          <w:szCs w:val="22"/>
        </w:rPr>
        <w:t>.</w:t>
      </w:r>
      <w:r w:rsidR="00051DAA" w:rsidRPr="00894362">
        <w:rPr>
          <w:szCs w:val="22"/>
        </w:rPr>
        <w:t xml:space="preserve">  </w:t>
      </w:r>
      <w:r w:rsidR="00051DAA">
        <w:t xml:space="preserve">We place limited weight on the Applicants’ </w:t>
      </w:r>
      <w:r w:rsidR="00F27D86">
        <w:t>alleged</w:t>
      </w:r>
      <w:r w:rsidR="00051DAA">
        <w:t xml:space="preserve"> benefits to Plateau Wireless customers, including </w:t>
      </w:r>
      <w:r w:rsidR="00051DAA" w:rsidRPr="001D6140">
        <w:t>expanded choice of handsets; wider variety of rate plans; more robust data services; free mobile-to mobile calling to an expanded customer base; and access to AT&amp;T’s nationwide footprint when traveling</w:t>
      </w:r>
      <w:r w:rsidR="00051DAA">
        <w:t xml:space="preserve">, because these benefits are already available to Plateau Wireless customers in locations where AT&amp;T is </w:t>
      </w:r>
      <w:r w:rsidR="005F0FD3">
        <w:t xml:space="preserve">currently </w:t>
      </w:r>
      <w:r w:rsidR="00051DAA">
        <w:t xml:space="preserve">offering these services as a competitor to Plateau Wireless.  However, we do recognize that AT&amp;T has no facilities-based network at all in </w:t>
      </w:r>
      <w:r w:rsidR="008660CB">
        <w:t xml:space="preserve">significant </w:t>
      </w:r>
      <w:r w:rsidR="00051DAA">
        <w:t>parts of Plateau Wireless’s service territor</w:t>
      </w:r>
      <w:r w:rsidR="00AC5331">
        <w:t>ies</w:t>
      </w:r>
      <w:r w:rsidR="00051DAA">
        <w:t>,</w:t>
      </w:r>
      <w:r w:rsidR="00051DAA">
        <w:rPr>
          <w:rStyle w:val="FootnoteReference"/>
        </w:rPr>
        <w:footnoteReference w:id="162"/>
      </w:r>
      <w:r w:rsidR="00051DAA">
        <w:t xml:space="preserve"> and to the extent that th</w:t>
      </w:r>
      <w:r w:rsidR="003E3453">
        <w:t>e</w:t>
      </w:r>
      <w:r w:rsidR="00051DAA">
        <w:t xml:space="preserve"> </w:t>
      </w:r>
      <w:r w:rsidR="003E3453">
        <w:t xml:space="preserve">proposed </w:t>
      </w:r>
      <w:r w:rsidR="00051DAA">
        <w:t>transaction w</w:t>
      </w:r>
      <w:r w:rsidR="003E3453">
        <w:t>ould</w:t>
      </w:r>
      <w:r w:rsidR="00051DAA">
        <w:t xml:space="preserve"> facilitate more rapid </w:t>
      </w:r>
      <w:r w:rsidR="00E351E9">
        <w:t>advanced broadband</w:t>
      </w:r>
      <w:r w:rsidR="00051DAA">
        <w:t xml:space="preserve"> deployment </w:t>
      </w:r>
      <w:r w:rsidR="00E351E9">
        <w:t xml:space="preserve">by AT&amp;T </w:t>
      </w:r>
      <w:r w:rsidR="00051DAA">
        <w:t>in these</w:t>
      </w:r>
      <w:r w:rsidR="00051DAA">
        <w:rPr>
          <w:szCs w:val="22"/>
        </w:rPr>
        <w:t xml:space="preserve"> territories, it </w:t>
      </w:r>
      <w:r w:rsidR="00E351E9">
        <w:rPr>
          <w:szCs w:val="22"/>
        </w:rPr>
        <w:t xml:space="preserve">would </w:t>
      </w:r>
      <w:r w:rsidR="00051DAA">
        <w:rPr>
          <w:szCs w:val="22"/>
        </w:rPr>
        <w:t xml:space="preserve">likely lead to discernible benefits to those Plateau Wireless customers who transition to </w:t>
      </w:r>
      <w:r w:rsidR="00051DAA" w:rsidRPr="00894362">
        <w:rPr>
          <w:szCs w:val="22"/>
        </w:rPr>
        <w:t xml:space="preserve">AT&amp;T’s nationwide </w:t>
      </w:r>
      <w:r w:rsidR="00AB0010">
        <w:rPr>
          <w:szCs w:val="22"/>
        </w:rPr>
        <w:t xml:space="preserve">advanced broadband </w:t>
      </w:r>
      <w:r w:rsidR="00051DAA" w:rsidRPr="00894362">
        <w:rPr>
          <w:szCs w:val="22"/>
        </w:rPr>
        <w:t>network</w:t>
      </w:r>
      <w:r w:rsidR="00051DAA">
        <w:rPr>
          <w:szCs w:val="22"/>
        </w:rPr>
        <w:t>.</w:t>
      </w:r>
    </w:p>
    <w:p w:rsidR="00CF53E5" w:rsidRPr="00095EA1" w:rsidRDefault="00E351E9" w:rsidP="007D41E2">
      <w:pPr>
        <w:pStyle w:val="ParaNum"/>
        <w:widowControl/>
      </w:pPr>
      <w:r w:rsidRPr="007D41E2">
        <w:rPr>
          <w:i/>
          <w:szCs w:val="22"/>
        </w:rPr>
        <w:t>Roaming Cost Savings.</w:t>
      </w:r>
      <w:r w:rsidR="00B03CF4" w:rsidRPr="007D41E2">
        <w:rPr>
          <w:szCs w:val="22"/>
        </w:rPr>
        <w:t xml:space="preserve">  </w:t>
      </w:r>
      <w:r w:rsidR="00440A84" w:rsidRPr="007D41E2">
        <w:rPr>
          <w:bCs/>
          <w:szCs w:val="22"/>
        </w:rPr>
        <w:t>Finally, w</w:t>
      </w:r>
      <w:r w:rsidR="00272FF3" w:rsidRPr="007D41E2">
        <w:rPr>
          <w:bCs/>
          <w:szCs w:val="22"/>
        </w:rPr>
        <w:t>e find that the proposed transaction would lead to certain roaming cost savings.</w:t>
      </w:r>
      <w:r w:rsidR="003A2598" w:rsidRPr="007D41E2">
        <w:rPr>
          <w:bCs/>
          <w:szCs w:val="22"/>
        </w:rPr>
        <w:t xml:space="preserve"> </w:t>
      </w:r>
      <w:r w:rsidR="00272FF3" w:rsidRPr="007D41E2">
        <w:rPr>
          <w:bCs/>
          <w:szCs w:val="22"/>
        </w:rPr>
        <w:t xml:space="preserve"> </w:t>
      </w:r>
      <w:r w:rsidR="008D2551" w:rsidRPr="007D41E2">
        <w:rPr>
          <w:bCs/>
          <w:szCs w:val="22"/>
        </w:rPr>
        <w:t>As we noted above, in certain areas subject to th</w:t>
      </w:r>
      <w:r w:rsidR="00145088" w:rsidRPr="007D41E2">
        <w:rPr>
          <w:bCs/>
          <w:szCs w:val="22"/>
        </w:rPr>
        <w:t xml:space="preserve">e proposed </w:t>
      </w:r>
      <w:r w:rsidR="008D2551" w:rsidRPr="007D41E2">
        <w:rPr>
          <w:bCs/>
          <w:szCs w:val="22"/>
        </w:rPr>
        <w:t xml:space="preserve">transaction, the facilities-based networks of AT&amp;T and Plateau Wireless do not </w:t>
      </w:r>
      <w:r w:rsidRPr="007D41E2">
        <w:rPr>
          <w:bCs/>
          <w:szCs w:val="22"/>
        </w:rPr>
        <w:t xml:space="preserve">currently </w:t>
      </w:r>
      <w:r w:rsidR="008D2551" w:rsidRPr="007D41E2">
        <w:rPr>
          <w:bCs/>
          <w:szCs w:val="22"/>
        </w:rPr>
        <w:t xml:space="preserve">overlap.  In these territories, AT&amp;T and Plateau Wireless must rely on their roaming partners to provide service throughout the subject markets.  </w:t>
      </w:r>
      <w:r w:rsidR="00490178" w:rsidRPr="007D41E2">
        <w:rPr>
          <w:bCs/>
          <w:szCs w:val="22"/>
        </w:rPr>
        <w:t xml:space="preserve">For instance, certain </w:t>
      </w:r>
      <w:r w:rsidR="008312E7" w:rsidRPr="007D41E2">
        <w:rPr>
          <w:bCs/>
          <w:szCs w:val="22"/>
        </w:rPr>
        <w:t>AT&amp;T documents</w:t>
      </w:r>
      <w:r w:rsidR="00490178" w:rsidRPr="007D41E2">
        <w:rPr>
          <w:bCs/>
          <w:szCs w:val="22"/>
        </w:rPr>
        <w:t xml:space="preserve"> in response to our information request</w:t>
      </w:r>
      <w:r w:rsidR="008312E7" w:rsidRPr="007D41E2">
        <w:rPr>
          <w:bCs/>
          <w:szCs w:val="22"/>
        </w:rPr>
        <w:t xml:space="preserve"> note that </w:t>
      </w:r>
      <w:r w:rsidR="008D2551" w:rsidRPr="007D41E2">
        <w:rPr>
          <w:b/>
          <w:bCs/>
          <w:szCs w:val="22"/>
        </w:rPr>
        <w:t>[BEGIN HIGHLY CONFIDENTIAL INFORMATION]</w:t>
      </w:r>
      <w:r w:rsidR="00932064">
        <w:rPr>
          <w:bCs/>
          <w:szCs w:val="22"/>
        </w:rPr>
        <w:t xml:space="preserve"> </w:t>
      </w:r>
      <w:r w:rsidR="00932064">
        <w:rPr>
          <w:bCs/>
          <w:szCs w:val="22"/>
        </w:rPr>
        <w:br/>
      </w:r>
      <w:r w:rsidR="00932064">
        <w:rPr>
          <w:bCs/>
          <w:szCs w:val="22"/>
        </w:rPr>
        <w:br/>
      </w:r>
      <w:r w:rsidR="00932064" w:rsidRPr="002525B8">
        <w:rPr>
          <w:rFonts w:hint="eastAsia"/>
          <w:bCs/>
          <w:color w:val="FFFFFF"/>
          <w:spacing w:val="4083"/>
          <w:kern w:val="0"/>
          <w:szCs w:val="22"/>
          <w:fitText w:val="8565" w:id="892573699"/>
        </w:rPr>
        <w:t xml:space="preserve">　</w:t>
      </w:r>
      <w:r w:rsidR="00932064" w:rsidRPr="002525B8">
        <w:rPr>
          <w:bCs/>
          <w:color w:val="FFFFFF"/>
          <w:spacing w:val="4083"/>
          <w:kern w:val="0"/>
          <w:szCs w:val="22"/>
          <w:fitText w:val="8565" w:id="892573699"/>
        </w:rPr>
        <w:t>.</w:t>
      </w:r>
      <w:r w:rsidR="00932064" w:rsidRPr="002525B8">
        <w:rPr>
          <w:rFonts w:hint="eastAsia"/>
          <w:bCs/>
          <w:color w:val="FFFFFF"/>
          <w:spacing w:val="2"/>
          <w:kern w:val="0"/>
          <w:szCs w:val="22"/>
          <w:fitText w:val="8565" w:id="892573699"/>
        </w:rPr>
        <w:t xml:space="preserve">　</w:t>
      </w:r>
      <w:r w:rsidR="000735F5" w:rsidRPr="007D41E2">
        <w:rPr>
          <w:b/>
          <w:bCs/>
          <w:szCs w:val="22"/>
        </w:rPr>
        <w:t>[END HIGHLY CONFIDENTIAL INFORMATION]</w:t>
      </w:r>
      <w:r w:rsidR="00782ABB" w:rsidRPr="007D41E2">
        <w:rPr>
          <w:bCs/>
          <w:szCs w:val="22"/>
        </w:rPr>
        <w:t>.</w:t>
      </w:r>
      <w:r w:rsidR="000735F5">
        <w:rPr>
          <w:rStyle w:val="FootnoteReference"/>
          <w:bCs/>
          <w:szCs w:val="22"/>
        </w:rPr>
        <w:footnoteReference w:id="163"/>
      </w:r>
      <w:r w:rsidR="000735F5" w:rsidRPr="007D41E2">
        <w:rPr>
          <w:bCs/>
          <w:szCs w:val="22"/>
        </w:rPr>
        <w:t xml:space="preserve">  </w:t>
      </w:r>
      <w:r w:rsidR="008D2551" w:rsidRPr="007D41E2">
        <w:rPr>
          <w:bCs/>
          <w:szCs w:val="22"/>
        </w:rPr>
        <w:t>To the extent that the elimination of these costs is passed down to AT&amp;T’s customers, th</w:t>
      </w:r>
      <w:r w:rsidR="00C87329" w:rsidRPr="007D41E2">
        <w:rPr>
          <w:bCs/>
          <w:szCs w:val="22"/>
        </w:rPr>
        <w:t>e proposed</w:t>
      </w:r>
      <w:r w:rsidR="008D2551" w:rsidRPr="007D41E2">
        <w:rPr>
          <w:bCs/>
          <w:szCs w:val="22"/>
        </w:rPr>
        <w:t xml:space="preserve"> transaction will </w:t>
      </w:r>
      <w:r w:rsidR="00C87329" w:rsidRPr="007D41E2">
        <w:rPr>
          <w:bCs/>
          <w:szCs w:val="22"/>
        </w:rPr>
        <w:t xml:space="preserve">likely </w:t>
      </w:r>
      <w:r w:rsidR="008D2551" w:rsidRPr="007D41E2">
        <w:rPr>
          <w:bCs/>
          <w:szCs w:val="22"/>
        </w:rPr>
        <w:t xml:space="preserve">lead to immediate </w:t>
      </w:r>
      <w:r w:rsidR="00067106" w:rsidRPr="007D41E2">
        <w:rPr>
          <w:bCs/>
          <w:szCs w:val="22"/>
        </w:rPr>
        <w:t xml:space="preserve">public benefits from </w:t>
      </w:r>
      <w:r w:rsidR="008D2551" w:rsidRPr="007D41E2">
        <w:rPr>
          <w:bCs/>
          <w:szCs w:val="22"/>
        </w:rPr>
        <w:t>roaming cost savings.</w:t>
      </w:r>
    </w:p>
    <w:p w:rsidR="000E21B8" w:rsidRDefault="004170F3" w:rsidP="000E21B8">
      <w:pPr>
        <w:pStyle w:val="Heading1"/>
      </w:pPr>
      <w:bookmarkStart w:id="602" w:name="_Toc405799118"/>
      <w:bookmarkStart w:id="603" w:name="_Toc405799345"/>
      <w:bookmarkStart w:id="604" w:name="_Toc405801060"/>
      <w:bookmarkStart w:id="605" w:name="_Toc406666087"/>
      <w:bookmarkStart w:id="606" w:name="_Toc406684875"/>
      <w:bookmarkStart w:id="607" w:name="_Toc408224008"/>
      <w:bookmarkStart w:id="608" w:name="_Toc408581006"/>
      <w:bookmarkStart w:id="609" w:name="_Toc410028429"/>
      <w:bookmarkStart w:id="610" w:name="_Toc410116653"/>
      <w:bookmarkStart w:id="611" w:name="_Toc410119635"/>
      <w:bookmarkStart w:id="612" w:name="_Toc410121776"/>
      <w:bookmarkStart w:id="613" w:name="_Toc410339635"/>
      <w:bookmarkStart w:id="614" w:name="_Toc411607364"/>
      <w:bookmarkStart w:id="615" w:name="_Toc412112254"/>
      <w:bookmarkStart w:id="616" w:name="_Toc412557597"/>
      <w:bookmarkStart w:id="617" w:name="_Toc412795172"/>
      <w:bookmarkStart w:id="618" w:name="_Toc412804082"/>
      <w:bookmarkStart w:id="619" w:name="_Toc413055742"/>
      <w:bookmarkStart w:id="620" w:name="_Toc413162341"/>
      <w:bookmarkStart w:id="621" w:name="_Toc413246213"/>
      <w:bookmarkStart w:id="622" w:name="_Toc413392974"/>
      <w:bookmarkStart w:id="623" w:name="_Toc413687497"/>
      <w:bookmarkStart w:id="624" w:name="_Toc414366761"/>
      <w:bookmarkStart w:id="625" w:name="_Toc414537590"/>
      <w:bookmarkStart w:id="626" w:name="_Toc415215776"/>
      <w:bookmarkStart w:id="627" w:name="_Toc415573201"/>
      <w:bookmarkStart w:id="628" w:name="_Toc418682005"/>
      <w:bookmarkStart w:id="629" w:name="_Toc403981908"/>
      <w:bookmarkStart w:id="630" w:name="_Toc403998364"/>
      <w:bookmarkStart w:id="631" w:name="_Toc403998451"/>
      <w:bookmarkStart w:id="632" w:name="_Toc404003275"/>
      <w:bookmarkStart w:id="633" w:name="_Toc404003555"/>
      <w:bookmarkStart w:id="634" w:name="_Toc404152176"/>
      <w:r>
        <w:t>Balancing The potential BeNEFITS and the potential HArms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4170F3" w:rsidRPr="00095EA1" w:rsidRDefault="00CF53E5" w:rsidP="00221D91">
      <w:pPr>
        <w:pStyle w:val="ParaNum"/>
        <w:widowControl/>
      </w:pPr>
      <w:r w:rsidRPr="00F70B27">
        <w:rPr>
          <w:kern w:val="0"/>
          <w:szCs w:val="22"/>
        </w:rPr>
        <w:t>In the proposed transaction, in addition to acquiring Plateau Wireless’s customers, network equipment and other assets, AT&amp;T would also increase its spectrum holdings</w:t>
      </w:r>
      <w:r>
        <w:rPr>
          <w:kern w:val="0"/>
          <w:szCs w:val="22"/>
        </w:rPr>
        <w:t>, and in particular, its holdings</w:t>
      </w:r>
      <w:r w:rsidRPr="00F70B27">
        <w:rPr>
          <w:kern w:val="0"/>
          <w:szCs w:val="22"/>
        </w:rPr>
        <w:t xml:space="preserve"> of low-band spectrum.</w:t>
      </w:r>
      <w:r>
        <w:rPr>
          <w:kern w:val="0"/>
          <w:szCs w:val="22"/>
        </w:rPr>
        <w:t xml:space="preserve">  </w:t>
      </w:r>
      <w:r w:rsidR="003F1FFA">
        <w:t>As we discussed herein</w:t>
      </w:r>
      <w:r w:rsidR="003F1FFA" w:rsidRPr="00F70B27">
        <w:rPr>
          <w:szCs w:val="22"/>
        </w:rPr>
        <w:t>,</w:t>
      </w:r>
      <w:r w:rsidR="003F1FFA" w:rsidRPr="006A5E52">
        <w:t xml:space="preserve"> the </w:t>
      </w:r>
      <w:r w:rsidR="003F1FFA" w:rsidRPr="00F70B27">
        <w:rPr>
          <w:rStyle w:val="StyleParaNumTimesNewRoman11ptChar"/>
          <w:i/>
          <w:szCs w:val="22"/>
          <w:lang w:eastAsia="x-none"/>
        </w:rPr>
        <w:t>Mobile Spectrum Holdings Report and Order</w:t>
      </w:r>
      <w:r w:rsidR="003F1FFA" w:rsidRPr="00F70B27">
        <w:rPr>
          <w:rStyle w:val="StyleParaNumTimesNewRoman11ptChar"/>
          <w:szCs w:val="22"/>
          <w:lang w:eastAsia="x-none"/>
        </w:rPr>
        <w:t xml:space="preserve"> d</w:t>
      </w:r>
      <w:r w:rsidR="00C55C84">
        <w:rPr>
          <w:rStyle w:val="StyleParaNumTimesNewRoman11ptChar"/>
          <w:szCs w:val="22"/>
          <w:lang w:eastAsia="x-none"/>
        </w:rPr>
        <w:t>etermined</w:t>
      </w:r>
      <w:r w:rsidR="00C55C84" w:rsidRPr="004306B2">
        <w:rPr>
          <w:rStyle w:val="StyleParaNumTimesNewRoman11ptChar"/>
        </w:rPr>
        <w:t xml:space="preserve"> </w:t>
      </w:r>
      <w:r w:rsidR="003F1FFA" w:rsidRPr="00F70B27">
        <w:rPr>
          <w:rStyle w:val="StyleParaNumTimesNewRoman11ptChar"/>
          <w:szCs w:val="22"/>
          <w:lang w:eastAsia="x-none"/>
        </w:rPr>
        <w:t xml:space="preserve">that increased aggregation of </w:t>
      </w:r>
      <w:r w:rsidR="003F1FFA">
        <w:t>below-1-GHz</w:t>
      </w:r>
      <w:r w:rsidR="003F1FFA" w:rsidRPr="00F70B27">
        <w:rPr>
          <w:rStyle w:val="StyleParaNumTimesNewRoman11ptChar"/>
          <w:szCs w:val="22"/>
          <w:lang w:eastAsia="x-none"/>
        </w:rPr>
        <w:t xml:space="preserve"> spectrum would be treated as an “enhanced factor” under its case-by-case review</w:t>
      </w:r>
      <w:r w:rsidR="00DB56C6">
        <w:rPr>
          <w:rStyle w:val="StyleParaNumTimesNewRoman11ptChar"/>
          <w:szCs w:val="22"/>
          <w:lang w:eastAsia="x-none"/>
        </w:rPr>
        <w:t>.</w:t>
      </w:r>
      <w:r w:rsidR="003F1FFA" w:rsidRPr="007C28FE">
        <w:t xml:space="preserve"> </w:t>
      </w:r>
      <w:r w:rsidR="003F1FFA">
        <w:t xml:space="preserve"> </w:t>
      </w:r>
      <w:r w:rsidR="007D41E2">
        <w:t xml:space="preserve">The Commission stated in </w:t>
      </w:r>
      <w:r w:rsidR="007D41E2" w:rsidRPr="006A5E52">
        <w:t xml:space="preserve">the </w:t>
      </w:r>
      <w:r w:rsidR="007D41E2" w:rsidRPr="00F70B27">
        <w:rPr>
          <w:rStyle w:val="StyleParaNumTimesNewRoman11ptChar"/>
          <w:i/>
          <w:szCs w:val="22"/>
          <w:lang w:eastAsia="x-none"/>
        </w:rPr>
        <w:t>Mobile Spectrum Holdings Report and Order</w:t>
      </w:r>
      <w:r w:rsidR="007D41E2" w:rsidRPr="00F70B27">
        <w:rPr>
          <w:rStyle w:val="StyleParaNumTimesNewRoman11ptChar"/>
          <w:szCs w:val="22"/>
          <w:lang w:eastAsia="x-none"/>
        </w:rPr>
        <w:t xml:space="preserve"> </w:t>
      </w:r>
      <w:r w:rsidR="007D41E2">
        <w:t xml:space="preserve">that it </w:t>
      </w:r>
      <w:r w:rsidR="000A4E81">
        <w:t>“</w:t>
      </w:r>
      <w:r w:rsidR="000A4E81" w:rsidRPr="006A7868">
        <w:t>anticipate</w:t>
      </w:r>
      <w:r w:rsidR="000A4E81">
        <w:t>[d]</w:t>
      </w:r>
      <w:r w:rsidR="000A4E81" w:rsidRPr="006A7868">
        <w:t xml:space="preserve"> that any entity that would end up with more than one third of below</w:t>
      </w:r>
      <w:r w:rsidR="001E0187">
        <w:t>-</w:t>
      </w:r>
      <w:r w:rsidR="000A4E81" w:rsidRPr="006A7868">
        <w:t>1</w:t>
      </w:r>
      <w:r w:rsidR="001E0187">
        <w:t>-</w:t>
      </w:r>
      <w:r w:rsidR="000A4E81" w:rsidRPr="006A7868">
        <w:t>GHz spectrum as a result of a proposed transaction would facilitate our case-by-case review with a detailed demonstration regarding why the public interest benefits outweigh harms.</w:t>
      </w:r>
      <w:r w:rsidR="000A4E81">
        <w:t>”</w:t>
      </w:r>
      <w:r w:rsidR="000A4E81">
        <w:rPr>
          <w:rStyle w:val="FootnoteReference"/>
          <w:szCs w:val="22"/>
        </w:rPr>
        <w:footnoteReference w:id="164"/>
      </w:r>
    </w:p>
    <w:p w:rsidR="00674F82" w:rsidRPr="00A84CA4" w:rsidRDefault="007D41E2" w:rsidP="00221D91">
      <w:pPr>
        <w:pStyle w:val="ParaNum"/>
        <w:widowControl/>
      </w:pPr>
      <w:r>
        <w:rPr>
          <w:kern w:val="0"/>
          <w:szCs w:val="22"/>
        </w:rPr>
        <w:t>In sum, w</w:t>
      </w:r>
      <w:r>
        <w:t xml:space="preserve">e find that the likelihood of competitive harm is low in all three markets that are the subject of this instant transaction.  Specifically, in Texas 3 – Parmer, the market in which AT&amp;T would hold more than one-third of the suitable and available spectrum below 1 GHz </w:t>
      </w:r>
      <w:r w:rsidR="00B84AE2">
        <w:t>post-transaction</w:t>
      </w:r>
      <w:r>
        <w:t xml:space="preserve">, we find </w:t>
      </w:r>
      <w:r w:rsidRPr="00EF1507">
        <w:rPr>
          <w:szCs w:val="22"/>
        </w:rPr>
        <w:t xml:space="preserve">that the </w:t>
      </w:r>
      <w:r>
        <w:rPr>
          <w:szCs w:val="22"/>
        </w:rPr>
        <w:t xml:space="preserve">instant </w:t>
      </w:r>
      <w:r w:rsidRPr="00EF1507">
        <w:rPr>
          <w:szCs w:val="22"/>
        </w:rPr>
        <w:t>transaction is unlikely to materially lessen the ability of rival service providers to respond to any anticompetitive behavior on the part of the combined entity</w:t>
      </w:r>
      <w:r>
        <w:rPr>
          <w:szCs w:val="22"/>
        </w:rPr>
        <w:t>.</w:t>
      </w:r>
      <w:r w:rsidRPr="00EF1507">
        <w:rPr>
          <w:szCs w:val="22"/>
        </w:rPr>
        <w:t xml:space="preserve">  </w:t>
      </w:r>
      <w:r w:rsidRPr="00EF1507">
        <w:rPr>
          <w:snapToGrid/>
          <w:szCs w:val="22"/>
        </w:rPr>
        <w:t xml:space="preserve">Further, </w:t>
      </w:r>
      <w:r w:rsidRPr="00EF1507">
        <w:rPr>
          <w:snapToGrid/>
          <w:color w:val="000000" w:themeColor="text1"/>
          <w:szCs w:val="22"/>
        </w:rPr>
        <w:t xml:space="preserve">we have reviewed the Applicants’ </w:t>
      </w:r>
      <w:r w:rsidR="000A4E81">
        <w:rPr>
          <w:snapToGrid/>
          <w:color w:val="000000" w:themeColor="text1"/>
          <w:szCs w:val="22"/>
        </w:rPr>
        <w:t xml:space="preserve">initial </w:t>
      </w:r>
      <w:r w:rsidR="000A4E81" w:rsidRPr="00EF1507">
        <w:rPr>
          <w:snapToGrid/>
          <w:color w:val="000000" w:themeColor="text1"/>
          <w:szCs w:val="22"/>
        </w:rPr>
        <w:t xml:space="preserve">claims, as well as their responses to our requests for additional </w:t>
      </w:r>
      <w:r w:rsidR="000A4E81" w:rsidRPr="00EF1507">
        <w:rPr>
          <w:snapToGrid/>
          <w:color w:val="000000" w:themeColor="text1"/>
          <w:kern w:val="0"/>
          <w:szCs w:val="22"/>
        </w:rPr>
        <w:t>information and documents</w:t>
      </w:r>
      <w:r w:rsidR="000A4E81" w:rsidRPr="00EF1507">
        <w:rPr>
          <w:snapToGrid/>
          <w:color w:val="000000" w:themeColor="text1"/>
          <w:szCs w:val="22"/>
        </w:rPr>
        <w:t xml:space="preserve"> regarding the benefits they allege would result</w:t>
      </w:r>
      <w:r w:rsidR="000A4E81" w:rsidRPr="00EF1507">
        <w:rPr>
          <w:snapToGrid/>
          <w:color w:val="000000" w:themeColor="text1"/>
          <w:kern w:val="0"/>
          <w:szCs w:val="22"/>
        </w:rPr>
        <w:t xml:space="preserve"> </w:t>
      </w:r>
      <w:r w:rsidR="000A4E81">
        <w:t>if AT&amp;T were permitted to acquire, in particular, this below-1-GHz spectrum, as well as customers, network equipment and other assets</w:t>
      </w:r>
      <w:r w:rsidR="000A4E81" w:rsidRPr="00EF1507">
        <w:rPr>
          <w:snapToGrid/>
          <w:color w:val="000000" w:themeColor="text1"/>
          <w:kern w:val="0"/>
          <w:szCs w:val="22"/>
        </w:rPr>
        <w:t xml:space="preserve">.  </w:t>
      </w:r>
      <w:r w:rsidR="000A4E81" w:rsidRPr="00E54CED">
        <w:t xml:space="preserve">The record provides general support for the Applicants’ contentions </w:t>
      </w:r>
      <w:r w:rsidR="000A4E81" w:rsidRPr="00A14E3A">
        <w:rPr>
          <w:color w:val="000000"/>
        </w:rPr>
        <w:t xml:space="preserve">that the </w:t>
      </w:r>
      <w:r w:rsidR="000A4E81">
        <w:rPr>
          <w:color w:val="000000"/>
          <w:szCs w:val="22"/>
        </w:rPr>
        <w:t>potential</w:t>
      </w:r>
      <w:r w:rsidR="000A4E81" w:rsidRPr="00EF1507">
        <w:rPr>
          <w:color w:val="000000"/>
          <w:szCs w:val="22"/>
        </w:rPr>
        <w:t xml:space="preserve"> public interest benefits outweigh </w:t>
      </w:r>
      <w:r w:rsidR="00503819">
        <w:rPr>
          <w:color w:val="000000"/>
          <w:szCs w:val="22"/>
        </w:rPr>
        <w:t xml:space="preserve">the </w:t>
      </w:r>
      <w:r w:rsidR="000A4E81" w:rsidRPr="00EF1507">
        <w:rPr>
          <w:color w:val="000000"/>
          <w:szCs w:val="22"/>
        </w:rPr>
        <w:t>harms</w:t>
      </w:r>
      <w:r w:rsidR="000A4E81">
        <w:t xml:space="preserve">. </w:t>
      </w:r>
      <w:r w:rsidR="000A4E81" w:rsidRPr="006D2ED7">
        <w:rPr>
          <w:color w:val="000000"/>
          <w:szCs w:val="22"/>
        </w:rPr>
        <w:t xml:space="preserve"> </w:t>
      </w:r>
      <w:r w:rsidR="000A4E81">
        <w:rPr>
          <w:color w:val="000000"/>
          <w:szCs w:val="22"/>
        </w:rPr>
        <w:t xml:space="preserve">Thus, </w:t>
      </w:r>
      <w:r w:rsidR="000A4E81">
        <w:rPr>
          <w:kern w:val="0"/>
          <w:szCs w:val="22"/>
        </w:rPr>
        <w:t xml:space="preserve">based on the record before us and our competitive review, we </w:t>
      </w:r>
      <w:r w:rsidR="000A4E81" w:rsidRPr="003453E0">
        <w:rPr>
          <w:kern w:val="0"/>
        </w:rPr>
        <w:t xml:space="preserve">find that </w:t>
      </w:r>
      <w:r w:rsidR="000A4E81" w:rsidRPr="00316A29">
        <w:t>the Applicants have demonstrated that the proposed t</w:t>
      </w:r>
      <w:r w:rsidR="000A4E81">
        <w:t xml:space="preserve">ransfer of control of licenses and </w:t>
      </w:r>
      <w:r w:rsidR="000A4E81" w:rsidRPr="00316A29">
        <w:t>authorizations</w:t>
      </w:r>
      <w:r w:rsidR="000A4E81">
        <w:t xml:space="preserve"> </w:t>
      </w:r>
      <w:r w:rsidR="000A4E81" w:rsidRPr="00316A29">
        <w:t>w</w:t>
      </w:r>
      <w:r w:rsidR="000A4E81">
        <w:t>ould</w:t>
      </w:r>
      <w:r w:rsidR="000A4E81" w:rsidRPr="00316A29">
        <w:t xml:space="preserve"> serve the public interest, convenience, and necessity</w:t>
      </w:r>
      <w:r w:rsidR="000A4E81">
        <w:t>.</w:t>
      </w:r>
    </w:p>
    <w:p w:rsidR="006E3EA0" w:rsidRDefault="006E3EA0" w:rsidP="006E3EA0">
      <w:pPr>
        <w:pStyle w:val="Heading1"/>
      </w:pPr>
      <w:bookmarkStart w:id="635" w:name="_Toc405185105"/>
      <w:bookmarkStart w:id="636" w:name="_Toc403981911"/>
      <w:bookmarkStart w:id="637" w:name="_Toc403998367"/>
      <w:bookmarkStart w:id="638" w:name="_Toc403998454"/>
      <w:bookmarkStart w:id="639" w:name="_Toc404003278"/>
      <w:bookmarkStart w:id="640" w:name="_Toc404003558"/>
      <w:bookmarkStart w:id="641" w:name="_Toc404152179"/>
      <w:bookmarkStart w:id="642" w:name="_Toc405185106"/>
      <w:bookmarkStart w:id="643" w:name="_Toc405799119"/>
      <w:bookmarkStart w:id="644" w:name="_Toc405799346"/>
      <w:bookmarkStart w:id="645" w:name="_Toc405801061"/>
      <w:bookmarkStart w:id="646" w:name="_Toc406666088"/>
      <w:bookmarkStart w:id="647" w:name="_Toc406684876"/>
      <w:bookmarkStart w:id="648" w:name="_Toc408224009"/>
      <w:bookmarkStart w:id="649" w:name="_Toc408581007"/>
      <w:bookmarkStart w:id="650" w:name="_Toc410028430"/>
      <w:bookmarkStart w:id="651" w:name="_Toc410116654"/>
      <w:bookmarkStart w:id="652" w:name="_Toc410119636"/>
      <w:bookmarkStart w:id="653" w:name="_Toc410121777"/>
      <w:bookmarkStart w:id="654" w:name="_Toc410339636"/>
      <w:bookmarkStart w:id="655" w:name="_Toc411607365"/>
      <w:bookmarkStart w:id="656" w:name="_Toc412112255"/>
      <w:bookmarkStart w:id="657" w:name="_Toc412557598"/>
      <w:bookmarkStart w:id="658" w:name="_Toc412795173"/>
      <w:bookmarkStart w:id="659" w:name="_Toc412804083"/>
      <w:bookmarkStart w:id="660" w:name="_Toc413055743"/>
      <w:bookmarkStart w:id="661" w:name="_Toc413162342"/>
      <w:bookmarkStart w:id="662" w:name="_Toc413246214"/>
      <w:bookmarkStart w:id="663" w:name="_Toc413392975"/>
      <w:bookmarkStart w:id="664" w:name="_Toc413687498"/>
      <w:bookmarkStart w:id="665" w:name="_Toc414366762"/>
      <w:bookmarkStart w:id="666" w:name="_Toc414537591"/>
      <w:bookmarkStart w:id="667" w:name="_Toc415215777"/>
      <w:bookmarkStart w:id="668" w:name="_Toc415573202"/>
      <w:bookmarkStart w:id="669" w:name="_Toc418682006"/>
      <w:bookmarkEnd w:id="629"/>
      <w:bookmarkEnd w:id="630"/>
      <w:bookmarkEnd w:id="631"/>
      <w:bookmarkEnd w:id="632"/>
      <w:bookmarkEnd w:id="633"/>
      <w:bookmarkEnd w:id="634"/>
      <w:bookmarkEnd w:id="635"/>
      <w:r>
        <w:t>ordering clauses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0E3797" w:rsidRPr="006E0EE2" w:rsidRDefault="00070E3C" w:rsidP="000E3797">
      <w:pPr>
        <w:pStyle w:val="ParaNum"/>
        <w:widowControl/>
      </w:pPr>
      <w:r w:rsidRPr="00FB1540">
        <w:t>ACCORDINGLY, having reviewed the Appl</w:t>
      </w:r>
      <w:r>
        <w:t>ications and the record in this</w:t>
      </w:r>
      <w:r w:rsidRPr="00FB1540">
        <w:t xml:space="preserve"> </w:t>
      </w:r>
      <w:r>
        <w:t>proceeding</w:t>
      </w:r>
      <w:r w:rsidRPr="00FB1540">
        <w:t xml:space="preserve">, IT IS ORDERED that, pursuant to </w:t>
      </w:r>
      <w:r>
        <w:t>s</w:t>
      </w:r>
      <w:r w:rsidRPr="00FB1540">
        <w:t xml:space="preserve">ections 4(i) and (j), </w:t>
      </w:r>
      <w:r>
        <w:t xml:space="preserve">214, </w:t>
      </w:r>
      <w:r w:rsidRPr="00FB1540">
        <w:t xml:space="preserve">303(r), 309, and 310(d) of the Communications Act of 1934, as amended, 47 U.S.C. §§ 154(i), 154(j), </w:t>
      </w:r>
      <w:r>
        <w:t xml:space="preserve">214, </w:t>
      </w:r>
      <w:r w:rsidRPr="00FB1540">
        <w:t>303(r), 309, 310(d),</w:t>
      </w:r>
      <w:r w:rsidRPr="000E3797">
        <w:rPr>
          <w:b/>
        </w:rPr>
        <w:t xml:space="preserve"> </w:t>
      </w:r>
      <w:r w:rsidRPr="00FB1540">
        <w:t xml:space="preserve">the applications for </w:t>
      </w:r>
      <w:r>
        <w:t xml:space="preserve">assignment of licenses held by </w:t>
      </w:r>
      <w:r w:rsidRPr="000E3797">
        <w:rPr>
          <w:kern w:val="0"/>
          <w:szCs w:val="22"/>
        </w:rPr>
        <w:t>E.N.M.R. Telephone Cooperative, Plateau Telecommunications, Inc., New Mexico RSA 4 East Limited Partnership, and Texas RSA 3 Limited Partnership</w:t>
      </w:r>
      <w:r w:rsidRPr="000E3797">
        <w:rPr>
          <w:szCs w:val="22"/>
        </w:rPr>
        <w:t xml:space="preserve"> to</w:t>
      </w:r>
      <w:r w:rsidR="000E3797" w:rsidRPr="000E3797">
        <w:rPr>
          <w:szCs w:val="22"/>
        </w:rPr>
        <w:t xml:space="preserve"> </w:t>
      </w:r>
      <w:r w:rsidR="000E3797" w:rsidRPr="000E3797">
        <w:rPr>
          <w:color w:val="000000"/>
          <w:szCs w:val="22"/>
        </w:rPr>
        <w:t>Powell Acquisition Company LLC</w:t>
      </w:r>
      <w:r w:rsidR="000E3797" w:rsidRPr="000E3797">
        <w:rPr>
          <w:szCs w:val="22"/>
        </w:rPr>
        <w:t xml:space="preserve"> </w:t>
      </w:r>
      <w:r w:rsidRPr="000E3797">
        <w:rPr>
          <w:szCs w:val="22"/>
        </w:rPr>
        <w:t>are GRANTED.</w:t>
      </w:r>
    </w:p>
    <w:p w:rsidR="000E3797" w:rsidRPr="006E0EE2" w:rsidRDefault="00070E3C" w:rsidP="000E3797">
      <w:pPr>
        <w:pStyle w:val="ParaNum"/>
        <w:widowControl/>
      </w:pPr>
      <w:r w:rsidRPr="000E3797">
        <w:rPr>
          <w:szCs w:val="22"/>
        </w:rPr>
        <w:t xml:space="preserve">IT IS FURTHER ORDERED that the above grant shall include authority for the assignment of any applications regarding the </w:t>
      </w:r>
      <w:r w:rsidR="000E3797" w:rsidRPr="000E3797">
        <w:rPr>
          <w:szCs w:val="22"/>
        </w:rPr>
        <w:t>Plateau Wireless</w:t>
      </w:r>
      <w:r w:rsidRPr="000E3797">
        <w:rPr>
          <w:szCs w:val="22"/>
        </w:rPr>
        <w:t xml:space="preserve"> assets that are pending at the time of consummation as well as any licenses or authorizations that may have inadvertently been omitted from the application forms filed by the Applicants.</w:t>
      </w:r>
    </w:p>
    <w:p w:rsidR="000E3797" w:rsidRDefault="000E3797" w:rsidP="000E3797">
      <w:pPr>
        <w:pStyle w:val="ParaNum"/>
        <w:widowControl/>
      </w:pPr>
      <w:r w:rsidRPr="000E3797">
        <w:rPr>
          <w:snapToGrid/>
          <w:kern w:val="0"/>
          <w:szCs w:val="22"/>
        </w:rPr>
        <w:t xml:space="preserve">IT IS FURTHER ORDERED that, pursuant to sections 4(i) and (j), 303(r), 309, and 310(d) of the Communications Act of 1934, as amended, 47 U.S.C. §§ 154(i), (j), 303(r), 309, and 310(d), the request for conditions in the Petition filed by </w:t>
      </w:r>
      <w:r>
        <w:rPr>
          <w:snapToGrid/>
          <w:kern w:val="0"/>
          <w:szCs w:val="22"/>
        </w:rPr>
        <w:t>T-Mobile USA, Inc. is</w:t>
      </w:r>
      <w:r w:rsidRPr="000E3797">
        <w:rPr>
          <w:snapToGrid/>
          <w:kern w:val="0"/>
          <w:szCs w:val="22"/>
        </w:rPr>
        <w:t xml:space="preserve"> DENIED for the reasons stated herein.</w:t>
      </w:r>
      <w:r w:rsidRPr="000E3797">
        <w:t xml:space="preserve"> </w:t>
      </w:r>
    </w:p>
    <w:p w:rsidR="000E3797" w:rsidRPr="00003488" w:rsidRDefault="000E3797" w:rsidP="00685EA5">
      <w:pPr>
        <w:pStyle w:val="ParaNum"/>
        <w:keepNext/>
        <w:widowControl/>
      </w:pPr>
      <w:r w:rsidRPr="00A64D81">
        <w:rPr>
          <w:snapToGrid/>
          <w:kern w:val="0"/>
          <w:szCs w:val="22"/>
        </w:rPr>
        <w:t xml:space="preserve">IT IS FURTHER ORDERED that this Order SHALL BE EFFECTIVE upon release.  Petitions for reconsideration under section 1.106 of the Commission's rules, 47 C.F.R. § 1.106, may be filed within thirty days of the date of </w:t>
      </w:r>
      <w:r>
        <w:rPr>
          <w:snapToGrid/>
          <w:kern w:val="0"/>
          <w:szCs w:val="22"/>
        </w:rPr>
        <w:t>release</w:t>
      </w:r>
      <w:r w:rsidRPr="00A64D81">
        <w:rPr>
          <w:snapToGrid/>
          <w:kern w:val="0"/>
          <w:szCs w:val="22"/>
        </w:rPr>
        <w:t xml:space="preserve"> of this Memorandum Opinion and Order.</w:t>
      </w:r>
    </w:p>
    <w:p w:rsidR="007E6352" w:rsidRDefault="007E6352" w:rsidP="00685EA5">
      <w:pPr>
        <w:keepNext/>
        <w:widowControl/>
        <w:ind w:left="3600" w:firstLine="720"/>
      </w:pPr>
    </w:p>
    <w:p w:rsidR="0094350C" w:rsidRDefault="0094350C" w:rsidP="0017296B">
      <w:r>
        <w:tab/>
      </w:r>
      <w:r>
        <w:tab/>
      </w:r>
      <w:r>
        <w:tab/>
      </w:r>
      <w:r>
        <w:tab/>
      </w:r>
      <w:r>
        <w:tab/>
      </w:r>
      <w:r>
        <w:tab/>
        <w:t>FEDERAL COMMUNICATIONS COMMISSION</w:t>
      </w:r>
    </w:p>
    <w:p w:rsidR="0094350C" w:rsidRDefault="0094350C" w:rsidP="0017296B"/>
    <w:p w:rsidR="0094350C" w:rsidRDefault="0094350C" w:rsidP="0017296B"/>
    <w:p w:rsidR="0094350C" w:rsidRDefault="0094350C" w:rsidP="0017296B"/>
    <w:p w:rsidR="0094350C" w:rsidRDefault="0094350C" w:rsidP="0017296B"/>
    <w:p w:rsidR="0094350C" w:rsidRDefault="0094350C" w:rsidP="0017296B">
      <w:r>
        <w:tab/>
      </w:r>
      <w:r>
        <w:tab/>
      </w:r>
      <w:r>
        <w:tab/>
      </w:r>
      <w:r>
        <w:tab/>
      </w:r>
      <w:r>
        <w:tab/>
      </w:r>
      <w:r>
        <w:tab/>
        <w:t>Marlene H. Dortch</w:t>
      </w:r>
    </w:p>
    <w:p w:rsidR="0094350C" w:rsidRDefault="0094350C" w:rsidP="0017296B">
      <w:r>
        <w:tab/>
      </w:r>
      <w:r>
        <w:tab/>
      </w:r>
      <w:r>
        <w:tab/>
      </w:r>
      <w:r>
        <w:tab/>
      </w:r>
      <w:r>
        <w:tab/>
      </w:r>
      <w:r>
        <w:tab/>
        <w:t>Secretary</w:t>
      </w:r>
    </w:p>
    <w:p w:rsidR="008D5BAE" w:rsidRDefault="008D5BAE" w:rsidP="00211F27">
      <w:pPr>
        <w:widowControl/>
        <w:ind w:left="4320"/>
        <w:sectPr w:rsidR="008D5BAE" w:rsidSect="00384EB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rsidR="008D5BAE" w:rsidRDefault="008D5BAE" w:rsidP="008D5BAE">
      <w:pPr>
        <w:widowControl/>
        <w:jc w:val="center"/>
        <w:rPr>
          <w:b/>
          <w:szCs w:val="22"/>
        </w:rPr>
      </w:pPr>
      <w:r>
        <w:rPr>
          <w:b/>
          <w:szCs w:val="22"/>
        </w:rPr>
        <w:t>APPENDIX</w:t>
      </w:r>
    </w:p>
    <w:p w:rsidR="008D5BAE" w:rsidRDefault="008D5BAE" w:rsidP="008D5BAE">
      <w:pPr>
        <w:widowControl/>
        <w:jc w:val="center"/>
        <w:rPr>
          <w:b/>
          <w:szCs w:val="22"/>
        </w:rPr>
      </w:pPr>
    </w:p>
    <w:p w:rsidR="008D5BAE" w:rsidRPr="00F00342" w:rsidRDefault="008D5BAE" w:rsidP="008D5BAE">
      <w:pPr>
        <w:widowControl/>
        <w:jc w:val="center"/>
        <w:rPr>
          <w:b/>
          <w:szCs w:val="22"/>
        </w:rPr>
      </w:pPr>
      <w:r w:rsidRPr="00F00342">
        <w:rPr>
          <w:b/>
          <w:szCs w:val="22"/>
        </w:rPr>
        <w:t>List of Applications</w:t>
      </w:r>
    </w:p>
    <w:p w:rsidR="008D5BAE" w:rsidRPr="00F00342" w:rsidRDefault="008D5BAE" w:rsidP="008D5BAE">
      <w:pPr>
        <w:rPr>
          <w:szCs w:val="22"/>
        </w:rPr>
      </w:pPr>
    </w:p>
    <w:p w:rsidR="008D5BAE" w:rsidRPr="00F00342" w:rsidRDefault="008D5BAE" w:rsidP="008D5BAE">
      <w:pPr>
        <w:rPr>
          <w:szCs w:val="22"/>
        </w:rPr>
      </w:pPr>
      <w:r>
        <w:rPr>
          <w:szCs w:val="22"/>
        </w:rPr>
        <w:t>Applications for the assignment of licenses from Plateau Wireless to AT&amp;T:</w:t>
      </w:r>
    </w:p>
    <w:p w:rsidR="008D5BAE" w:rsidRPr="00F00342" w:rsidRDefault="008D5BAE" w:rsidP="008D5BAE">
      <w:pPr>
        <w:keepNext/>
        <w:ind w:firstLine="720"/>
        <w:rPr>
          <w:szCs w:val="22"/>
        </w:rPr>
      </w:pPr>
    </w:p>
    <w:tbl>
      <w:tblPr>
        <w:tblW w:w="481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61"/>
        <w:gridCol w:w="3150"/>
        <w:gridCol w:w="3238"/>
        <w:gridCol w:w="1442"/>
      </w:tblGrid>
      <w:tr w:rsidR="008D5BAE" w:rsidRPr="00F00342" w:rsidTr="00163FB9">
        <w:trPr>
          <w:cantSplit/>
          <w:trHeight w:val="341"/>
          <w:tblHeader/>
        </w:trPr>
        <w:tc>
          <w:tcPr>
            <w:tcW w:w="693" w:type="pct"/>
            <w:shd w:val="clear" w:color="C0C0C0" w:fill="auto"/>
          </w:tcPr>
          <w:p w:rsidR="008D5BAE" w:rsidRPr="00F00342" w:rsidRDefault="008D5BAE" w:rsidP="00163FB9">
            <w:pPr>
              <w:autoSpaceDE w:val="0"/>
              <w:autoSpaceDN w:val="0"/>
              <w:adjustRightInd w:val="0"/>
              <w:rPr>
                <w:b/>
                <w:color w:val="000000"/>
                <w:szCs w:val="22"/>
                <w:u w:val="single"/>
              </w:rPr>
            </w:pPr>
            <w:r w:rsidRPr="00F00342">
              <w:rPr>
                <w:szCs w:val="22"/>
              </w:rPr>
              <w:br w:type="page"/>
            </w:r>
            <w:r w:rsidRPr="00F00342">
              <w:rPr>
                <w:szCs w:val="22"/>
              </w:rPr>
              <w:br w:type="page"/>
            </w:r>
            <w:r w:rsidRPr="00F00342">
              <w:rPr>
                <w:szCs w:val="22"/>
                <w:u w:val="single"/>
              </w:rPr>
              <w:br w:type="page"/>
            </w:r>
            <w:r w:rsidRPr="00F00342">
              <w:rPr>
                <w:b/>
                <w:color w:val="000000"/>
                <w:szCs w:val="22"/>
                <w:u w:val="single"/>
              </w:rPr>
              <w:t>File No.</w:t>
            </w:r>
          </w:p>
          <w:p w:rsidR="008D5BAE" w:rsidRPr="00F00342" w:rsidRDefault="008D5BAE" w:rsidP="00163FB9">
            <w:pPr>
              <w:autoSpaceDE w:val="0"/>
              <w:autoSpaceDN w:val="0"/>
              <w:adjustRightInd w:val="0"/>
              <w:rPr>
                <w:b/>
                <w:color w:val="000000"/>
                <w:szCs w:val="22"/>
                <w:u w:val="single"/>
              </w:rPr>
            </w:pPr>
          </w:p>
        </w:tc>
        <w:tc>
          <w:tcPr>
            <w:tcW w:w="1732" w:type="pct"/>
            <w:shd w:val="clear" w:color="C0C0C0" w:fill="auto"/>
          </w:tcPr>
          <w:p w:rsidR="008D5BAE" w:rsidRPr="00F00342" w:rsidRDefault="008D5BAE" w:rsidP="00163FB9">
            <w:pPr>
              <w:autoSpaceDE w:val="0"/>
              <w:autoSpaceDN w:val="0"/>
              <w:adjustRightInd w:val="0"/>
              <w:ind w:left="-41"/>
              <w:rPr>
                <w:b/>
                <w:color w:val="000000"/>
                <w:szCs w:val="22"/>
                <w:u w:val="single"/>
              </w:rPr>
            </w:pPr>
            <w:r>
              <w:rPr>
                <w:b/>
                <w:color w:val="000000"/>
                <w:szCs w:val="22"/>
                <w:u w:val="single"/>
              </w:rPr>
              <w:t>Licensee/Assignor</w:t>
            </w:r>
          </w:p>
          <w:p w:rsidR="008D5BAE" w:rsidRPr="00F00342" w:rsidRDefault="008D5BAE" w:rsidP="00163FB9">
            <w:pPr>
              <w:autoSpaceDE w:val="0"/>
              <w:autoSpaceDN w:val="0"/>
              <w:adjustRightInd w:val="0"/>
              <w:ind w:left="-41"/>
              <w:rPr>
                <w:b/>
                <w:color w:val="000000"/>
                <w:szCs w:val="22"/>
                <w:u w:val="single"/>
              </w:rPr>
            </w:pPr>
          </w:p>
        </w:tc>
        <w:tc>
          <w:tcPr>
            <w:tcW w:w="1781" w:type="pct"/>
            <w:shd w:val="clear" w:color="C0C0C0" w:fill="auto"/>
          </w:tcPr>
          <w:p w:rsidR="008D5BAE" w:rsidRPr="00F00342" w:rsidRDefault="008D5BAE" w:rsidP="00163FB9">
            <w:pPr>
              <w:autoSpaceDE w:val="0"/>
              <w:autoSpaceDN w:val="0"/>
              <w:adjustRightInd w:val="0"/>
              <w:ind w:hanging="40"/>
              <w:rPr>
                <w:b/>
                <w:color w:val="000000"/>
                <w:szCs w:val="22"/>
                <w:u w:val="single"/>
              </w:rPr>
            </w:pPr>
            <w:r>
              <w:rPr>
                <w:b/>
                <w:color w:val="000000"/>
                <w:szCs w:val="22"/>
                <w:u w:val="single"/>
              </w:rPr>
              <w:t>Assignee</w:t>
            </w:r>
          </w:p>
        </w:tc>
        <w:tc>
          <w:tcPr>
            <w:tcW w:w="793" w:type="pct"/>
            <w:shd w:val="clear" w:color="C0C0C0" w:fill="auto"/>
          </w:tcPr>
          <w:p w:rsidR="008D5BAE" w:rsidRPr="00F00342" w:rsidRDefault="008D5BAE" w:rsidP="00163FB9">
            <w:pPr>
              <w:autoSpaceDE w:val="0"/>
              <w:autoSpaceDN w:val="0"/>
              <w:adjustRightInd w:val="0"/>
              <w:ind w:hanging="40"/>
              <w:rPr>
                <w:b/>
                <w:color w:val="000000"/>
                <w:szCs w:val="22"/>
                <w:u w:val="single"/>
              </w:rPr>
            </w:pPr>
            <w:r w:rsidRPr="00F00342">
              <w:rPr>
                <w:b/>
                <w:color w:val="000000"/>
                <w:szCs w:val="22"/>
                <w:u w:val="single"/>
              </w:rPr>
              <w:t>Lead Call Sign</w:t>
            </w:r>
          </w:p>
        </w:tc>
      </w:tr>
      <w:tr w:rsidR="008D5BAE" w:rsidRPr="00F00342" w:rsidTr="00163FB9">
        <w:trPr>
          <w:cantSplit/>
          <w:trHeight w:val="539"/>
          <w:tblHeader/>
        </w:trPr>
        <w:tc>
          <w:tcPr>
            <w:tcW w:w="693" w:type="pct"/>
            <w:shd w:val="clear" w:color="C0C0C0" w:fill="auto"/>
          </w:tcPr>
          <w:p w:rsidR="008D5BAE" w:rsidRPr="00F00342" w:rsidRDefault="008D5BAE" w:rsidP="00163FB9">
            <w:pPr>
              <w:autoSpaceDE w:val="0"/>
              <w:autoSpaceDN w:val="0"/>
              <w:adjustRightInd w:val="0"/>
              <w:rPr>
                <w:szCs w:val="22"/>
              </w:rPr>
            </w:pPr>
            <w:r>
              <w:rPr>
                <w:szCs w:val="22"/>
              </w:rPr>
              <w:t>0006366669</w:t>
            </w:r>
          </w:p>
        </w:tc>
        <w:tc>
          <w:tcPr>
            <w:tcW w:w="1732" w:type="pct"/>
            <w:shd w:val="clear" w:color="C0C0C0" w:fill="auto"/>
          </w:tcPr>
          <w:p w:rsidR="008D5BAE" w:rsidRPr="00306422" w:rsidRDefault="008D5BAE" w:rsidP="00163FB9">
            <w:pPr>
              <w:autoSpaceDE w:val="0"/>
              <w:autoSpaceDN w:val="0"/>
              <w:adjustRightInd w:val="0"/>
              <w:ind w:left="-41"/>
              <w:rPr>
                <w:color w:val="000000"/>
                <w:szCs w:val="22"/>
              </w:rPr>
            </w:pPr>
            <w:r>
              <w:rPr>
                <w:color w:val="000000"/>
                <w:szCs w:val="22"/>
              </w:rPr>
              <w:t>Plateau Telecommunications, Inc.</w:t>
            </w:r>
          </w:p>
        </w:tc>
        <w:tc>
          <w:tcPr>
            <w:tcW w:w="1781" w:type="pct"/>
            <w:shd w:val="clear" w:color="C0C0C0" w:fill="auto"/>
          </w:tcPr>
          <w:p w:rsidR="008D5BAE" w:rsidRPr="00306422" w:rsidRDefault="008D5BAE" w:rsidP="00163FB9">
            <w:pPr>
              <w:autoSpaceDE w:val="0"/>
              <w:autoSpaceDN w:val="0"/>
              <w:adjustRightInd w:val="0"/>
              <w:ind w:hanging="40"/>
              <w:rPr>
                <w:color w:val="000000"/>
                <w:szCs w:val="22"/>
              </w:rPr>
            </w:pPr>
            <w:r w:rsidRPr="00306422">
              <w:rPr>
                <w:color w:val="000000"/>
                <w:szCs w:val="22"/>
              </w:rPr>
              <w:t>Powell Acquisition Company LLC</w:t>
            </w:r>
          </w:p>
        </w:tc>
        <w:tc>
          <w:tcPr>
            <w:tcW w:w="793" w:type="pct"/>
            <w:shd w:val="clear" w:color="C0C0C0" w:fill="auto"/>
          </w:tcPr>
          <w:p w:rsidR="008D5BAE" w:rsidRPr="00306422" w:rsidRDefault="008D5BAE" w:rsidP="00163FB9">
            <w:pPr>
              <w:autoSpaceDE w:val="0"/>
              <w:autoSpaceDN w:val="0"/>
              <w:adjustRightInd w:val="0"/>
              <w:ind w:hanging="40"/>
              <w:rPr>
                <w:color w:val="000000"/>
                <w:szCs w:val="22"/>
              </w:rPr>
            </w:pPr>
            <w:r>
              <w:rPr>
                <w:color w:val="000000"/>
                <w:szCs w:val="22"/>
              </w:rPr>
              <w:t>WPWV424</w:t>
            </w:r>
          </w:p>
        </w:tc>
      </w:tr>
      <w:tr w:rsidR="008D5BAE" w:rsidRPr="00F00342" w:rsidTr="00163FB9">
        <w:trPr>
          <w:cantSplit/>
          <w:trHeight w:val="530"/>
          <w:tblHeader/>
        </w:trPr>
        <w:tc>
          <w:tcPr>
            <w:tcW w:w="693" w:type="pct"/>
            <w:shd w:val="clear" w:color="C0C0C0" w:fill="auto"/>
          </w:tcPr>
          <w:p w:rsidR="008D5BAE" w:rsidRPr="00F00342" w:rsidRDefault="008D5BAE" w:rsidP="00163FB9">
            <w:pPr>
              <w:autoSpaceDE w:val="0"/>
              <w:autoSpaceDN w:val="0"/>
              <w:adjustRightInd w:val="0"/>
              <w:rPr>
                <w:szCs w:val="22"/>
              </w:rPr>
            </w:pPr>
            <w:r>
              <w:rPr>
                <w:szCs w:val="22"/>
              </w:rPr>
              <w:t>0006366771</w:t>
            </w:r>
          </w:p>
        </w:tc>
        <w:tc>
          <w:tcPr>
            <w:tcW w:w="1732" w:type="pct"/>
            <w:shd w:val="clear" w:color="C0C0C0" w:fill="auto"/>
          </w:tcPr>
          <w:p w:rsidR="008D5BAE" w:rsidRPr="00306422" w:rsidRDefault="008D5BAE" w:rsidP="00163FB9">
            <w:pPr>
              <w:autoSpaceDE w:val="0"/>
              <w:autoSpaceDN w:val="0"/>
              <w:adjustRightInd w:val="0"/>
              <w:ind w:left="-41"/>
              <w:rPr>
                <w:color w:val="000000"/>
                <w:szCs w:val="22"/>
              </w:rPr>
            </w:pPr>
            <w:r w:rsidRPr="00306422">
              <w:rPr>
                <w:color w:val="000000"/>
                <w:szCs w:val="22"/>
              </w:rPr>
              <w:t>E.N.M.R Telephone Cooperative</w:t>
            </w:r>
          </w:p>
        </w:tc>
        <w:tc>
          <w:tcPr>
            <w:tcW w:w="1781" w:type="pct"/>
            <w:shd w:val="clear" w:color="C0C0C0" w:fill="auto"/>
          </w:tcPr>
          <w:p w:rsidR="008D5BAE" w:rsidRDefault="008D5BAE" w:rsidP="00163FB9">
            <w:pPr>
              <w:autoSpaceDE w:val="0"/>
              <w:autoSpaceDN w:val="0"/>
              <w:adjustRightInd w:val="0"/>
              <w:ind w:hanging="40"/>
              <w:rPr>
                <w:b/>
                <w:color w:val="000000"/>
                <w:szCs w:val="22"/>
                <w:u w:val="single"/>
              </w:rPr>
            </w:pPr>
            <w:r w:rsidRPr="00306422">
              <w:rPr>
                <w:color w:val="000000"/>
                <w:szCs w:val="22"/>
              </w:rPr>
              <w:t>Powell Acquisition Company LLC</w:t>
            </w:r>
          </w:p>
        </w:tc>
        <w:tc>
          <w:tcPr>
            <w:tcW w:w="793" w:type="pct"/>
            <w:shd w:val="clear" w:color="C0C0C0" w:fill="auto"/>
          </w:tcPr>
          <w:p w:rsidR="008D5BAE" w:rsidRPr="00306422" w:rsidRDefault="008D5BAE" w:rsidP="00163FB9">
            <w:pPr>
              <w:autoSpaceDE w:val="0"/>
              <w:autoSpaceDN w:val="0"/>
              <w:adjustRightInd w:val="0"/>
              <w:ind w:hanging="40"/>
              <w:rPr>
                <w:color w:val="000000"/>
                <w:szCs w:val="22"/>
              </w:rPr>
            </w:pPr>
            <w:r w:rsidRPr="00306422">
              <w:rPr>
                <w:color w:val="000000"/>
                <w:szCs w:val="22"/>
              </w:rPr>
              <w:t>KNKN320</w:t>
            </w:r>
          </w:p>
        </w:tc>
      </w:tr>
      <w:tr w:rsidR="008D5BAE" w:rsidRPr="00F00342" w:rsidTr="00163FB9">
        <w:trPr>
          <w:cantSplit/>
          <w:trHeight w:val="800"/>
          <w:tblHeader/>
        </w:trPr>
        <w:tc>
          <w:tcPr>
            <w:tcW w:w="693" w:type="pct"/>
            <w:shd w:val="clear" w:color="C0C0C0" w:fill="auto"/>
          </w:tcPr>
          <w:p w:rsidR="008D5BAE" w:rsidRPr="00F00342" w:rsidRDefault="008D5BAE" w:rsidP="00163FB9">
            <w:pPr>
              <w:autoSpaceDE w:val="0"/>
              <w:autoSpaceDN w:val="0"/>
              <w:adjustRightInd w:val="0"/>
              <w:rPr>
                <w:szCs w:val="22"/>
              </w:rPr>
            </w:pPr>
            <w:r>
              <w:rPr>
                <w:szCs w:val="22"/>
              </w:rPr>
              <w:t>0006366777</w:t>
            </w:r>
          </w:p>
        </w:tc>
        <w:tc>
          <w:tcPr>
            <w:tcW w:w="1732" w:type="pct"/>
            <w:shd w:val="clear" w:color="C0C0C0" w:fill="auto"/>
          </w:tcPr>
          <w:p w:rsidR="008D5BAE" w:rsidRPr="00306422" w:rsidRDefault="008D5BAE" w:rsidP="00163FB9">
            <w:pPr>
              <w:autoSpaceDE w:val="0"/>
              <w:autoSpaceDN w:val="0"/>
              <w:adjustRightInd w:val="0"/>
              <w:ind w:left="-41"/>
              <w:rPr>
                <w:color w:val="000000"/>
                <w:szCs w:val="22"/>
              </w:rPr>
            </w:pPr>
            <w:r w:rsidRPr="00306422">
              <w:rPr>
                <w:color w:val="000000"/>
                <w:szCs w:val="22"/>
              </w:rPr>
              <w:t>New Mexico RSA 4 East Limited Partnership</w:t>
            </w:r>
          </w:p>
        </w:tc>
        <w:tc>
          <w:tcPr>
            <w:tcW w:w="1781" w:type="pct"/>
            <w:shd w:val="clear" w:color="C0C0C0" w:fill="auto"/>
          </w:tcPr>
          <w:p w:rsidR="008D5BAE" w:rsidRDefault="008D5BAE" w:rsidP="00163FB9">
            <w:pPr>
              <w:autoSpaceDE w:val="0"/>
              <w:autoSpaceDN w:val="0"/>
              <w:adjustRightInd w:val="0"/>
              <w:ind w:hanging="40"/>
              <w:rPr>
                <w:b/>
                <w:color w:val="000000"/>
                <w:szCs w:val="22"/>
                <w:u w:val="single"/>
              </w:rPr>
            </w:pPr>
            <w:r w:rsidRPr="00306422">
              <w:rPr>
                <w:color w:val="000000"/>
                <w:szCs w:val="22"/>
              </w:rPr>
              <w:t>Powell Acquisition Company LLC</w:t>
            </w:r>
          </w:p>
        </w:tc>
        <w:tc>
          <w:tcPr>
            <w:tcW w:w="793" w:type="pct"/>
            <w:shd w:val="clear" w:color="C0C0C0" w:fill="auto"/>
          </w:tcPr>
          <w:p w:rsidR="008D5BAE" w:rsidRPr="00306422" w:rsidRDefault="008D5BAE" w:rsidP="00163FB9">
            <w:pPr>
              <w:autoSpaceDE w:val="0"/>
              <w:autoSpaceDN w:val="0"/>
              <w:adjustRightInd w:val="0"/>
              <w:ind w:hanging="40"/>
              <w:rPr>
                <w:color w:val="000000"/>
                <w:szCs w:val="22"/>
              </w:rPr>
            </w:pPr>
            <w:r w:rsidRPr="00306422">
              <w:rPr>
                <w:color w:val="000000"/>
                <w:szCs w:val="22"/>
              </w:rPr>
              <w:t>KNKN598</w:t>
            </w:r>
          </w:p>
        </w:tc>
      </w:tr>
      <w:tr w:rsidR="008D5BAE" w:rsidRPr="00F00342" w:rsidTr="00163FB9">
        <w:trPr>
          <w:cantSplit/>
          <w:trHeight w:val="530"/>
          <w:tblHeader/>
        </w:trPr>
        <w:tc>
          <w:tcPr>
            <w:tcW w:w="693" w:type="pct"/>
            <w:shd w:val="clear" w:color="C0C0C0" w:fill="auto"/>
          </w:tcPr>
          <w:p w:rsidR="008D5BAE" w:rsidRPr="00F00342" w:rsidRDefault="008D5BAE" w:rsidP="00163FB9">
            <w:pPr>
              <w:autoSpaceDE w:val="0"/>
              <w:autoSpaceDN w:val="0"/>
              <w:adjustRightInd w:val="0"/>
              <w:rPr>
                <w:szCs w:val="22"/>
              </w:rPr>
            </w:pPr>
            <w:r>
              <w:rPr>
                <w:szCs w:val="22"/>
              </w:rPr>
              <w:t>0006366780</w:t>
            </w:r>
          </w:p>
        </w:tc>
        <w:tc>
          <w:tcPr>
            <w:tcW w:w="1732" w:type="pct"/>
            <w:shd w:val="clear" w:color="C0C0C0" w:fill="auto"/>
          </w:tcPr>
          <w:p w:rsidR="008D5BAE" w:rsidRPr="00306422" w:rsidRDefault="008D5BAE" w:rsidP="00163FB9">
            <w:pPr>
              <w:autoSpaceDE w:val="0"/>
              <w:autoSpaceDN w:val="0"/>
              <w:adjustRightInd w:val="0"/>
              <w:ind w:left="-41"/>
              <w:rPr>
                <w:color w:val="000000"/>
                <w:szCs w:val="22"/>
              </w:rPr>
            </w:pPr>
            <w:r w:rsidRPr="00306422">
              <w:rPr>
                <w:color w:val="000000"/>
                <w:szCs w:val="22"/>
              </w:rPr>
              <w:t>Texas RSA 3 Limited Partnership</w:t>
            </w:r>
          </w:p>
        </w:tc>
        <w:tc>
          <w:tcPr>
            <w:tcW w:w="1781" w:type="pct"/>
            <w:shd w:val="clear" w:color="C0C0C0" w:fill="auto"/>
          </w:tcPr>
          <w:p w:rsidR="008D5BAE" w:rsidRDefault="008D5BAE" w:rsidP="00163FB9">
            <w:pPr>
              <w:autoSpaceDE w:val="0"/>
              <w:autoSpaceDN w:val="0"/>
              <w:adjustRightInd w:val="0"/>
              <w:ind w:hanging="40"/>
              <w:rPr>
                <w:b/>
                <w:color w:val="000000"/>
                <w:szCs w:val="22"/>
                <w:u w:val="single"/>
              </w:rPr>
            </w:pPr>
            <w:r w:rsidRPr="00306422">
              <w:rPr>
                <w:color w:val="000000"/>
                <w:szCs w:val="22"/>
              </w:rPr>
              <w:t>Powell Acquisition Company LLC</w:t>
            </w:r>
          </w:p>
        </w:tc>
        <w:tc>
          <w:tcPr>
            <w:tcW w:w="793" w:type="pct"/>
            <w:shd w:val="clear" w:color="C0C0C0" w:fill="auto"/>
          </w:tcPr>
          <w:p w:rsidR="008D5BAE" w:rsidRPr="00306422" w:rsidRDefault="008D5BAE" w:rsidP="00163FB9">
            <w:pPr>
              <w:autoSpaceDE w:val="0"/>
              <w:autoSpaceDN w:val="0"/>
              <w:adjustRightInd w:val="0"/>
              <w:ind w:hanging="40"/>
              <w:rPr>
                <w:color w:val="000000"/>
                <w:szCs w:val="22"/>
              </w:rPr>
            </w:pPr>
            <w:r w:rsidRPr="00306422">
              <w:rPr>
                <w:color w:val="000000"/>
                <w:szCs w:val="22"/>
              </w:rPr>
              <w:t>KNKN598</w:t>
            </w:r>
          </w:p>
        </w:tc>
      </w:tr>
    </w:tbl>
    <w:p w:rsidR="008D5BAE" w:rsidRDefault="008D5BAE" w:rsidP="008D5BAE">
      <w:pPr>
        <w:rPr>
          <w:rStyle w:val="Normal1"/>
          <w:szCs w:val="22"/>
        </w:rPr>
      </w:pPr>
    </w:p>
    <w:p w:rsidR="008D5BAE" w:rsidRDefault="008D5BAE" w:rsidP="008D5BAE">
      <w:pPr>
        <w:rPr>
          <w:rStyle w:val="Normal1"/>
          <w:sz w:val="22"/>
          <w:szCs w:val="22"/>
        </w:rPr>
      </w:pPr>
      <w:r>
        <w:rPr>
          <w:rStyle w:val="Normal1"/>
          <w:sz w:val="22"/>
          <w:szCs w:val="22"/>
        </w:rPr>
        <w:t>File No. 0006366669 has been designated the lead wireless application.</w:t>
      </w:r>
    </w:p>
    <w:p w:rsidR="008D5BAE" w:rsidRDefault="008D5BAE" w:rsidP="008D5BAE">
      <w:pPr>
        <w:rPr>
          <w:rStyle w:val="Normal1"/>
          <w:sz w:val="22"/>
          <w:szCs w:val="22"/>
        </w:rPr>
      </w:pPr>
    </w:p>
    <w:p w:rsidR="008D5BAE" w:rsidRPr="00BE0591" w:rsidRDefault="008D5BAE" w:rsidP="008D5BAE">
      <w:pPr>
        <w:rPr>
          <w:rStyle w:val="Normal1"/>
          <w:sz w:val="22"/>
          <w:szCs w:val="22"/>
        </w:rPr>
      </w:pPr>
      <w:r>
        <w:rPr>
          <w:rStyle w:val="Normal1"/>
          <w:sz w:val="22"/>
          <w:szCs w:val="22"/>
        </w:rPr>
        <w:t>A</w:t>
      </w:r>
      <w:r w:rsidRPr="00BE0591">
        <w:rPr>
          <w:rStyle w:val="Normal1"/>
          <w:sz w:val="22"/>
          <w:szCs w:val="22"/>
        </w:rPr>
        <w:t>pplications for consent to the assignment of international section 214 authorizations:</w:t>
      </w:r>
    </w:p>
    <w:p w:rsidR="008D5BAE" w:rsidRPr="00F00342" w:rsidRDefault="008D5BAE" w:rsidP="008D5BAE">
      <w:pPr>
        <w:rPr>
          <w:rStyle w:val="Normal1"/>
          <w:b/>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430"/>
        <w:gridCol w:w="2790"/>
        <w:gridCol w:w="1800"/>
      </w:tblGrid>
      <w:tr w:rsidR="008D5BAE" w:rsidRPr="00F00342" w:rsidTr="00163FB9">
        <w:tc>
          <w:tcPr>
            <w:tcW w:w="1800" w:type="dxa"/>
            <w:shd w:val="clear" w:color="auto" w:fill="auto"/>
          </w:tcPr>
          <w:p w:rsidR="008D5BAE" w:rsidRPr="00F00342" w:rsidRDefault="008D5BAE" w:rsidP="00163FB9">
            <w:pPr>
              <w:keepNext/>
              <w:outlineLvl w:val="0"/>
              <w:rPr>
                <w:b/>
                <w:szCs w:val="22"/>
                <w:u w:val="single"/>
              </w:rPr>
            </w:pPr>
            <w:r w:rsidRPr="00F00342">
              <w:rPr>
                <w:b/>
                <w:szCs w:val="22"/>
                <w:u w:val="single"/>
              </w:rPr>
              <w:t>File No.</w:t>
            </w:r>
          </w:p>
          <w:p w:rsidR="008D5BAE" w:rsidRPr="00F00342" w:rsidRDefault="008D5BAE" w:rsidP="00163FB9">
            <w:pPr>
              <w:keepNext/>
              <w:outlineLvl w:val="0"/>
              <w:rPr>
                <w:szCs w:val="22"/>
              </w:rPr>
            </w:pPr>
          </w:p>
        </w:tc>
        <w:tc>
          <w:tcPr>
            <w:tcW w:w="2430" w:type="dxa"/>
            <w:shd w:val="clear" w:color="auto" w:fill="auto"/>
          </w:tcPr>
          <w:p w:rsidR="008D5BAE" w:rsidRPr="00F00342" w:rsidRDefault="008D5BAE" w:rsidP="00163FB9">
            <w:pPr>
              <w:keepNext/>
              <w:outlineLvl w:val="0"/>
              <w:rPr>
                <w:b/>
                <w:szCs w:val="22"/>
                <w:u w:val="single"/>
              </w:rPr>
            </w:pPr>
            <w:r w:rsidRPr="00F00342">
              <w:rPr>
                <w:b/>
                <w:szCs w:val="22"/>
                <w:u w:val="single"/>
              </w:rPr>
              <w:t>Authorization Holder</w:t>
            </w:r>
          </w:p>
        </w:tc>
        <w:tc>
          <w:tcPr>
            <w:tcW w:w="2790" w:type="dxa"/>
            <w:shd w:val="clear" w:color="auto" w:fill="auto"/>
          </w:tcPr>
          <w:p w:rsidR="008D5BAE" w:rsidRPr="00F00342" w:rsidRDefault="008D5BAE" w:rsidP="00163FB9">
            <w:pPr>
              <w:keepNext/>
              <w:outlineLvl w:val="0"/>
              <w:rPr>
                <w:b/>
                <w:szCs w:val="22"/>
                <w:u w:val="single"/>
              </w:rPr>
            </w:pPr>
            <w:r>
              <w:rPr>
                <w:b/>
                <w:szCs w:val="22"/>
                <w:u w:val="single"/>
              </w:rPr>
              <w:t>Assignee</w:t>
            </w:r>
          </w:p>
        </w:tc>
        <w:tc>
          <w:tcPr>
            <w:tcW w:w="1800" w:type="dxa"/>
            <w:shd w:val="clear" w:color="auto" w:fill="auto"/>
          </w:tcPr>
          <w:p w:rsidR="008D5BAE" w:rsidRPr="00F00342" w:rsidRDefault="008D5BAE" w:rsidP="00163FB9">
            <w:pPr>
              <w:widowControl/>
              <w:rPr>
                <w:b/>
                <w:snapToGrid/>
                <w:szCs w:val="22"/>
                <w:u w:val="single"/>
              </w:rPr>
            </w:pPr>
            <w:r w:rsidRPr="00F00342">
              <w:rPr>
                <w:b/>
                <w:snapToGrid/>
                <w:szCs w:val="22"/>
                <w:u w:val="single"/>
              </w:rPr>
              <w:t>Authorization Number</w:t>
            </w:r>
          </w:p>
        </w:tc>
      </w:tr>
      <w:tr w:rsidR="008D5BAE" w:rsidRPr="00F00342" w:rsidTr="00163FB9">
        <w:tc>
          <w:tcPr>
            <w:tcW w:w="1800" w:type="dxa"/>
            <w:shd w:val="clear" w:color="auto" w:fill="auto"/>
          </w:tcPr>
          <w:p w:rsidR="008D5BAE" w:rsidRPr="00D65E4C" w:rsidRDefault="008D5BAE" w:rsidP="00163FB9">
            <w:pPr>
              <w:keepNext/>
              <w:outlineLvl w:val="0"/>
              <w:rPr>
                <w:szCs w:val="22"/>
              </w:rPr>
            </w:pPr>
            <w:r w:rsidRPr="00D65E4C">
              <w:rPr>
                <w:szCs w:val="22"/>
              </w:rPr>
              <w:t>ITC-ASG-20140714-00209</w:t>
            </w:r>
          </w:p>
        </w:tc>
        <w:tc>
          <w:tcPr>
            <w:tcW w:w="2430" w:type="dxa"/>
            <w:shd w:val="clear" w:color="auto" w:fill="auto"/>
          </w:tcPr>
          <w:p w:rsidR="008D5BAE" w:rsidRPr="00F00342" w:rsidRDefault="008D5BAE" w:rsidP="00163FB9">
            <w:pPr>
              <w:keepNext/>
              <w:outlineLvl w:val="0"/>
              <w:rPr>
                <w:b/>
                <w:szCs w:val="22"/>
                <w:u w:val="single"/>
              </w:rPr>
            </w:pPr>
            <w:r w:rsidRPr="00306422">
              <w:rPr>
                <w:color w:val="000000"/>
                <w:szCs w:val="22"/>
              </w:rPr>
              <w:t>E.N.M.R Telephone Cooperative</w:t>
            </w:r>
          </w:p>
        </w:tc>
        <w:tc>
          <w:tcPr>
            <w:tcW w:w="2790" w:type="dxa"/>
            <w:shd w:val="clear" w:color="auto" w:fill="auto"/>
          </w:tcPr>
          <w:p w:rsidR="008D5BAE" w:rsidRPr="00306422" w:rsidRDefault="008D5BAE" w:rsidP="00163FB9">
            <w:pPr>
              <w:autoSpaceDE w:val="0"/>
              <w:autoSpaceDN w:val="0"/>
              <w:adjustRightInd w:val="0"/>
              <w:ind w:hanging="40"/>
              <w:rPr>
                <w:color w:val="000000"/>
                <w:szCs w:val="22"/>
              </w:rPr>
            </w:pPr>
            <w:r w:rsidRPr="00306422">
              <w:rPr>
                <w:color w:val="000000"/>
                <w:szCs w:val="22"/>
              </w:rPr>
              <w:t>Powell Acquisition Company LLC</w:t>
            </w:r>
          </w:p>
        </w:tc>
        <w:tc>
          <w:tcPr>
            <w:tcW w:w="1800" w:type="dxa"/>
            <w:shd w:val="clear" w:color="auto" w:fill="auto"/>
          </w:tcPr>
          <w:p w:rsidR="008D5BAE" w:rsidRPr="00820018" w:rsidRDefault="008D5BAE" w:rsidP="00163FB9">
            <w:pPr>
              <w:widowControl/>
              <w:rPr>
                <w:snapToGrid/>
                <w:szCs w:val="22"/>
              </w:rPr>
            </w:pPr>
            <w:r w:rsidRPr="00820018">
              <w:rPr>
                <w:snapToGrid/>
                <w:szCs w:val="22"/>
              </w:rPr>
              <w:t>ITC-214-20030912-00436</w:t>
            </w:r>
            <w:r>
              <w:rPr>
                <w:rStyle w:val="FootnoteReference"/>
                <w:snapToGrid/>
                <w:szCs w:val="22"/>
              </w:rPr>
              <w:footnoteReference w:id="165"/>
            </w:r>
          </w:p>
        </w:tc>
      </w:tr>
      <w:tr w:rsidR="008D5BAE" w:rsidRPr="00F00342" w:rsidTr="00163FB9">
        <w:trPr>
          <w:trHeight w:val="701"/>
        </w:trPr>
        <w:tc>
          <w:tcPr>
            <w:tcW w:w="1800" w:type="dxa"/>
            <w:shd w:val="clear" w:color="auto" w:fill="auto"/>
          </w:tcPr>
          <w:p w:rsidR="008D5BAE" w:rsidRPr="00D65E4C" w:rsidRDefault="008D5BAE" w:rsidP="00163FB9">
            <w:pPr>
              <w:keepNext/>
              <w:outlineLvl w:val="0"/>
              <w:rPr>
                <w:szCs w:val="22"/>
              </w:rPr>
            </w:pPr>
            <w:r w:rsidRPr="00D65E4C">
              <w:rPr>
                <w:szCs w:val="22"/>
              </w:rPr>
              <w:t>ITC-ASG-20140714-00210</w:t>
            </w:r>
          </w:p>
        </w:tc>
        <w:tc>
          <w:tcPr>
            <w:tcW w:w="2430" w:type="dxa"/>
            <w:shd w:val="clear" w:color="auto" w:fill="auto"/>
          </w:tcPr>
          <w:p w:rsidR="008D5BAE" w:rsidRPr="00F00342" w:rsidRDefault="008D5BAE" w:rsidP="00163FB9">
            <w:pPr>
              <w:keepNext/>
              <w:outlineLvl w:val="0"/>
              <w:rPr>
                <w:b/>
                <w:szCs w:val="22"/>
                <w:u w:val="single"/>
              </w:rPr>
            </w:pPr>
            <w:r w:rsidRPr="00306422">
              <w:rPr>
                <w:color w:val="000000"/>
                <w:szCs w:val="22"/>
              </w:rPr>
              <w:t>Texas RSA 3 Limited Partnership</w:t>
            </w:r>
          </w:p>
        </w:tc>
        <w:tc>
          <w:tcPr>
            <w:tcW w:w="2790" w:type="dxa"/>
            <w:shd w:val="clear" w:color="auto" w:fill="auto"/>
          </w:tcPr>
          <w:p w:rsidR="008D5BAE" w:rsidRDefault="008D5BAE" w:rsidP="00163FB9">
            <w:pPr>
              <w:autoSpaceDE w:val="0"/>
              <w:autoSpaceDN w:val="0"/>
              <w:adjustRightInd w:val="0"/>
              <w:ind w:hanging="40"/>
              <w:rPr>
                <w:b/>
                <w:color w:val="000000"/>
                <w:szCs w:val="22"/>
                <w:u w:val="single"/>
              </w:rPr>
            </w:pPr>
            <w:r w:rsidRPr="00306422">
              <w:rPr>
                <w:color w:val="000000"/>
                <w:szCs w:val="22"/>
              </w:rPr>
              <w:t>Powell Acquisition Company LLC</w:t>
            </w:r>
          </w:p>
        </w:tc>
        <w:tc>
          <w:tcPr>
            <w:tcW w:w="1800" w:type="dxa"/>
            <w:shd w:val="clear" w:color="auto" w:fill="auto"/>
          </w:tcPr>
          <w:p w:rsidR="008D5BAE" w:rsidRPr="00820018" w:rsidRDefault="008D5BAE" w:rsidP="00163FB9">
            <w:pPr>
              <w:widowControl/>
              <w:rPr>
                <w:snapToGrid/>
                <w:szCs w:val="22"/>
              </w:rPr>
            </w:pPr>
            <w:r w:rsidRPr="00820018">
              <w:rPr>
                <w:snapToGrid/>
                <w:szCs w:val="22"/>
              </w:rPr>
              <w:t>ITC-214-20030912-00441</w:t>
            </w:r>
          </w:p>
        </w:tc>
      </w:tr>
      <w:tr w:rsidR="008D5BAE" w:rsidRPr="00F00342" w:rsidTr="00163FB9">
        <w:trPr>
          <w:trHeight w:val="800"/>
        </w:trPr>
        <w:tc>
          <w:tcPr>
            <w:tcW w:w="1800" w:type="dxa"/>
            <w:shd w:val="clear" w:color="auto" w:fill="auto"/>
          </w:tcPr>
          <w:p w:rsidR="008D5BAE" w:rsidRPr="00D65E4C" w:rsidRDefault="008D5BAE" w:rsidP="00163FB9">
            <w:pPr>
              <w:keepNext/>
              <w:outlineLvl w:val="0"/>
              <w:rPr>
                <w:szCs w:val="22"/>
              </w:rPr>
            </w:pPr>
            <w:r w:rsidRPr="00D65E4C">
              <w:rPr>
                <w:szCs w:val="22"/>
              </w:rPr>
              <w:t>ITC-ASG-20140714-00211</w:t>
            </w:r>
          </w:p>
        </w:tc>
        <w:tc>
          <w:tcPr>
            <w:tcW w:w="2430" w:type="dxa"/>
            <w:shd w:val="clear" w:color="auto" w:fill="auto"/>
          </w:tcPr>
          <w:p w:rsidR="008D5BAE" w:rsidRPr="00F00342" w:rsidRDefault="008D5BAE" w:rsidP="00163FB9">
            <w:pPr>
              <w:keepNext/>
              <w:outlineLvl w:val="0"/>
              <w:rPr>
                <w:b/>
                <w:szCs w:val="22"/>
                <w:u w:val="single"/>
              </w:rPr>
            </w:pPr>
            <w:r w:rsidRPr="00306422">
              <w:rPr>
                <w:color w:val="000000"/>
                <w:szCs w:val="22"/>
              </w:rPr>
              <w:t>New Mexico RSA 4 East Limited Partnership</w:t>
            </w:r>
          </w:p>
        </w:tc>
        <w:tc>
          <w:tcPr>
            <w:tcW w:w="2790" w:type="dxa"/>
            <w:shd w:val="clear" w:color="auto" w:fill="auto"/>
          </w:tcPr>
          <w:p w:rsidR="008D5BAE" w:rsidRDefault="008D5BAE" w:rsidP="00163FB9">
            <w:pPr>
              <w:autoSpaceDE w:val="0"/>
              <w:autoSpaceDN w:val="0"/>
              <w:adjustRightInd w:val="0"/>
              <w:ind w:hanging="40"/>
              <w:rPr>
                <w:b/>
                <w:color w:val="000000"/>
                <w:szCs w:val="22"/>
                <w:u w:val="single"/>
              </w:rPr>
            </w:pPr>
            <w:r w:rsidRPr="00306422">
              <w:rPr>
                <w:color w:val="000000"/>
                <w:szCs w:val="22"/>
              </w:rPr>
              <w:t>Powell Acquisition Company LLC</w:t>
            </w:r>
          </w:p>
        </w:tc>
        <w:tc>
          <w:tcPr>
            <w:tcW w:w="1800" w:type="dxa"/>
            <w:shd w:val="clear" w:color="auto" w:fill="auto"/>
          </w:tcPr>
          <w:p w:rsidR="008D5BAE" w:rsidRPr="00820018" w:rsidRDefault="008D5BAE" w:rsidP="00163FB9">
            <w:pPr>
              <w:widowControl/>
              <w:rPr>
                <w:snapToGrid/>
                <w:szCs w:val="22"/>
              </w:rPr>
            </w:pPr>
            <w:r w:rsidRPr="00820018">
              <w:rPr>
                <w:snapToGrid/>
                <w:szCs w:val="22"/>
              </w:rPr>
              <w:t>ITC-214-20030912-00435</w:t>
            </w:r>
          </w:p>
        </w:tc>
      </w:tr>
    </w:tbl>
    <w:p w:rsidR="008D5BAE" w:rsidRDefault="008D5BAE" w:rsidP="008D5BAE">
      <w:pPr>
        <w:pStyle w:val="ParaNum"/>
        <w:numPr>
          <w:ilvl w:val="0"/>
          <w:numId w:val="0"/>
        </w:numPr>
      </w:pPr>
    </w:p>
    <w:p w:rsidR="0069544C" w:rsidRDefault="0069544C" w:rsidP="00211F27">
      <w:pPr>
        <w:widowControl/>
        <w:ind w:left="4320"/>
      </w:pPr>
      <w:r>
        <w:br w:type="page"/>
      </w:r>
    </w:p>
    <w:p w:rsidR="004C1152" w:rsidRDefault="004C1152" w:rsidP="005606D5">
      <w:pPr>
        <w:pStyle w:val="ParaNum"/>
        <w:numPr>
          <w:ilvl w:val="0"/>
          <w:numId w:val="0"/>
        </w:numPr>
        <w:sectPr w:rsidR="004C1152" w:rsidSect="008D5BAE">
          <w:footerReference w:type="first" r:id="rId14"/>
          <w:footnotePr>
            <w:numRestart w:val="eachSect"/>
          </w:footnotePr>
          <w:endnotePr>
            <w:numFmt w:val="decimal"/>
          </w:endnotePr>
          <w:pgSz w:w="12240" w:h="15840"/>
          <w:pgMar w:top="1440" w:right="1440" w:bottom="720" w:left="1440" w:header="720" w:footer="720" w:gutter="0"/>
          <w:cols w:space="720"/>
          <w:noEndnote/>
          <w:titlePg/>
          <w:docGrid w:linePitch="299"/>
        </w:sectPr>
      </w:pPr>
    </w:p>
    <w:p w:rsidR="004C1152" w:rsidRPr="005577AD" w:rsidRDefault="004C1152" w:rsidP="004C1152">
      <w:pPr>
        <w:jc w:val="center"/>
        <w:rPr>
          <w:b/>
          <w:bCs/>
          <w:caps/>
          <w:szCs w:val="22"/>
        </w:rPr>
      </w:pPr>
      <w:r w:rsidRPr="005577AD">
        <w:rPr>
          <w:b/>
          <w:bCs/>
          <w:caps/>
          <w:szCs w:val="22"/>
        </w:rPr>
        <w:t>Statement of</w:t>
      </w:r>
    </w:p>
    <w:p w:rsidR="004C1152" w:rsidRPr="005577AD" w:rsidRDefault="004C1152" w:rsidP="004C1152">
      <w:pPr>
        <w:jc w:val="center"/>
        <w:rPr>
          <w:b/>
          <w:bCs/>
          <w:caps/>
          <w:szCs w:val="22"/>
        </w:rPr>
      </w:pPr>
      <w:r>
        <w:rPr>
          <w:b/>
          <w:bCs/>
          <w:caps/>
          <w:szCs w:val="22"/>
        </w:rPr>
        <w:t>COMMISSIONER</w:t>
      </w:r>
      <w:r w:rsidRPr="005577AD">
        <w:rPr>
          <w:b/>
          <w:bCs/>
          <w:caps/>
          <w:szCs w:val="22"/>
        </w:rPr>
        <w:t xml:space="preserve"> </w:t>
      </w:r>
      <w:r>
        <w:rPr>
          <w:b/>
          <w:bCs/>
          <w:caps/>
          <w:szCs w:val="22"/>
        </w:rPr>
        <w:t>AJIT PAI</w:t>
      </w:r>
    </w:p>
    <w:p w:rsidR="004C1152" w:rsidRPr="005577AD" w:rsidRDefault="004C1152" w:rsidP="004C1152">
      <w:pPr>
        <w:jc w:val="center"/>
        <w:rPr>
          <w:b/>
          <w:bCs/>
          <w:caps/>
          <w:szCs w:val="22"/>
        </w:rPr>
      </w:pPr>
    </w:p>
    <w:p w:rsidR="004C1152" w:rsidRPr="005577AD" w:rsidRDefault="004C1152" w:rsidP="004C1152">
      <w:pPr>
        <w:ind w:left="720" w:hanging="720"/>
        <w:rPr>
          <w:i/>
          <w:iCs/>
          <w:szCs w:val="22"/>
        </w:rPr>
      </w:pPr>
      <w:r w:rsidRPr="005577AD">
        <w:rPr>
          <w:iCs/>
          <w:szCs w:val="22"/>
        </w:rPr>
        <w:t>Re:</w:t>
      </w:r>
      <w:r w:rsidRPr="005577AD">
        <w:rPr>
          <w:szCs w:val="22"/>
        </w:rPr>
        <w:t xml:space="preserve">    </w:t>
      </w:r>
      <w:r w:rsidRPr="005577AD">
        <w:rPr>
          <w:szCs w:val="22"/>
        </w:rPr>
        <w:tab/>
      </w:r>
      <w:r w:rsidRPr="005622CA">
        <w:rPr>
          <w:i/>
        </w:rPr>
        <w:t>Applications of AT&amp;T Inc., E.N.M.R. Telephone Cooperative, Plateau Telecommunications, Inc., New Mexico RSA 4 East Limited Partnership, and Texas RSA 3 Limited Partnership</w:t>
      </w:r>
      <w:r>
        <w:rPr>
          <w:i/>
        </w:rPr>
        <w:t xml:space="preserve">, </w:t>
      </w:r>
      <w:r w:rsidRPr="005622CA">
        <w:rPr>
          <w:i/>
        </w:rPr>
        <w:t xml:space="preserve">For Consent </w:t>
      </w:r>
      <w:r>
        <w:rPr>
          <w:i/>
        </w:rPr>
        <w:t>t</w:t>
      </w:r>
      <w:r w:rsidRPr="005622CA">
        <w:rPr>
          <w:i/>
        </w:rPr>
        <w:t>o Assign Licenses</w:t>
      </w:r>
      <w:r>
        <w:rPr>
          <w:i/>
        </w:rPr>
        <w:t xml:space="preserve"> </w:t>
      </w:r>
      <w:r w:rsidRPr="005622CA">
        <w:rPr>
          <w:i/>
        </w:rPr>
        <w:t>and Authorizations</w:t>
      </w:r>
      <w:r>
        <w:t>,</w:t>
      </w:r>
      <w:r w:rsidRPr="005577AD">
        <w:rPr>
          <w:iCs/>
          <w:szCs w:val="22"/>
        </w:rPr>
        <w:t xml:space="preserve"> </w:t>
      </w:r>
      <w:r>
        <w:rPr>
          <w:iCs/>
          <w:szCs w:val="22"/>
        </w:rPr>
        <w:t>WT Docket No. 14</w:t>
      </w:r>
      <w:r w:rsidRPr="005577AD">
        <w:rPr>
          <w:iCs/>
          <w:szCs w:val="22"/>
        </w:rPr>
        <w:t>-</w:t>
      </w:r>
      <w:r>
        <w:rPr>
          <w:iCs/>
          <w:szCs w:val="22"/>
        </w:rPr>
        <w:t>144</w:t>
      </w:r>
      <w:r w:rsidRPr="005577AD">
        <w:rPr>
          <w:iCs/>
          <w:szCs w:val="22"/>
        </w:rPr>
        <w:t>.</w:t>
      </w:r>
    </w:p>
    <w:p w:rsidR="004C1152" w:rsidRPr="005577AD" w:rsidRDefault="004C1152" w:rsidP="004C1152">
      <w:pPr>
        <w:ind w:firstLine="720"/>
        <w:rPr>
          <w:szCs w:val="22"/>
        </w:rPr>
      </w:pPr>
    </w:p>
    <w:p w:rsidR="004C1152" w:rsidRDefault="004C1152" w:rsidP="004C1152">
      <w:pPr>
        <w:ind w:firstLine="720"/>
      </w:pPr>
      <w:r>
        <w:t>With today’s decision, we apply for the first time the “enhanced” review that the Commission adopted last year</w:t>
      </w:r>
      <w:r>
        <w:rPr>
          <w:i/>
        </w:rPr>
        <w:t xml:space="preserve"> </w:t>
      </w:r>
      <w:r>
        <w:t>for transactions involving certain amounts of below-1 GHz spectrum.</w:t>
      </w:r>
      <w:r>
        <w:rPr>
          <w:rStyle w:val="FootnoteReference"/>
        </w:rPr>
        <w:footnoteReference w:id="166"/>
      </w:r>
      <w:r>
        <w:t xml:space="preserve">  I dissented from that decision, explaining that the vague new standard would leave consumers worse off by injecting needless uncertainty into secondary market transactions and preventing spectrum from flowing to its highest valued use.</w:t>
      </w:r>
      <w:r>
        <w:rPr>
          <w:rStyle w:val="FootnoteReference"/>
        </w:rPr>
        <w:footnoteReference w:id="167"/>
      </w:r>
    </w:p>
    <w:p w:rsidR="004C1152" w:rsidRDefault="004C1152" w:rsidP="004C1152">
      <w:pPr>
        <w:ind w:firstLine="720"/>
      </w:pPr>
    </w:p>
    <w:p w:rsidR="00EA3181" w:rsidRDefault="004C1152" w:rsidP="00EA3181">
      <w:pPr>
        <w:ind w:firstLine="720"/>
        <w:sectPr w:rsidR="00EA3181" w:rsidSect="00BA7F9F">
          <w:footnotePr>
            <w:numRestart w:val="eachSect"/>
          </w:footnotePr>
          <w:endnotePr>
            <w:numFmt w:val="decimal"/>
          </w:endnotePr>
          <w:pgSz w:w="12240" w:h="15840"/>
          <w:pgMar w:top="1440" w:right="1440" w:bottom="720" w:left="1440" w:header="720" w:footer="720" w:gutter="0"/>
          <w:cols w:space="720"/>
          <w:noEndnote/>
          <w:titlePg/>
          <w:docGrid w:linePitch="299"/>
        </w:sectPr>
      </w:pPr>
      <w:r>
        <w:t>But there may be a silver lining after all.  The Commission’s enhanced review here considers the same factors, employs the same level of scrutiny, and achieves the same results as our traditional review.  I hope this isn’t a singularity but instead a sign of the Commission’s approach going forward.  American consumers ultimately benefit from a predictable and transparent approach to all secondary market transactions.</w:t>
      </w:r>
    </w:p>
    <w:p w:rsidR="00EA3181" w:rsidRPr="005577AD" w:rsidRDefault="00EA3181" w:rsidP="00EA3181">
      <w:pPr>
        <w:jc w:val="center"/>
        <w:rPr>
          <w:b/>
          <w:bCs/>
          <w:caps/>
          <w:szCs w:val="22"/>
        </w:rPr>
      </w:pPr>
      <w:r w:rsidRPr="005577AD">
        <w:rPr>
          <w:b/>
          <w:bCs/>
          <w:caps/>
          <w:szCs w:val="22"/>
        </w:rPr>
        <w:t>Statement of</w:t>
      </w:r>
    </w:p>
    <w:p w:rsidR="00EA3181" w:rsidRPr="005577AD" w:rsidRDefault="00EA3181" w:rsidP="00EA3181">
      <w:pPr>
        <w:jc w:val="center"/>
        <w:rPr>
          <w:b/>
          <w:bCs/>
          <w:caps/>
          <w:szCs w:val="22"/>
        </w:rPr>
      </w:pPr>
      <w:r>
        <w:rPr>
          <w:b/>
          <w:bCs/>
          <w:caps/>
          <w:szCs w:val="22"/>
        </w:rPr>
        <w:t xml:space="preserve">COMMISSIONER </w:t>
      </w:r>
      <w:r w:rsidR="00E82D72">
        <w:rPr>
          <w:b/>
          <w:bCs/>
          <w:caps/>
          <w:szCs w:val="22"/>
        </w:rPr>
        <w:t xml:space="preserve">Michael </w:t>
      </w:r>
      <w:r w:rsidRPr="00A36EC0">
        <w:rPr>
          <w:b/>
          <w:bCs/>
          <w:caps/>
          <w:szCs w:val="22"/>
        </w:rPr>
        <w:t>O'Rielly</w:t>
      </w:r>
    </w:p>
    <w:p w:rsidR="00EA3181" w:rsidRPr="005577AD" w:rsidRDefault="00EA3181" w:rsidP="00EA3181">
      <w:pPr>
        <w:jc w:val="center"/>
        <w:rPr>
          <w:b/>
          <w:bCs/>
          <w:caps/>
          <w:szCs w:val="22"/>
        </w:rPr>
      </w:pPr>
    </w:p>
    <w:p w:rsidR="00EA3181" w:rsidRPr="005577AD" w:rsidRDefault="00EA3181" w:rsidP="00EA3181">
      <w:pPr>
        <w:ind w:left="720" w:hanging="720"/>
        <w:rPr>
          <w:i/>
          <w:iCs/>
          <w:szCs w:val="22"/>
        </w:rPr>
      </w:pPr>
      <w:r w:rsidRPr="005577AD">
        <w:rPr>
          <w:iCs/>
          <w:szCs w:val="22"/>
        </w:rPr>
        <w:t>Re:</w:t>
      </w:r>
      <w:r w:rsidRPr="005577AD">
        <w:rPr>
          <w:szCs w:val="22"/>
        </w:rPr>
        <w:t xml:space="preserve">    </w:t>
      </w:r>
      <w:r w:rsidRPr="005577AD">
        <w:rPr>
          <w:szCs w:val="22"/>
        </w:rPr>
        <w:tab/>
      </w:r>
      <w:r w:rsidRPr="0008044E">
        <w:rPr>
          <w:rFonts w:eastAsia="Calibri"/>
          <w:i/>
        </w:rPr>
        <w:t>Applications of AT&amp;T Inc., E.N.M.R. Telephone Cooperative, Plateau Telecommunications, Inc., New Mexico RSA 4 East Limited Partnership, and T</w:t>
      </w:r>
      <w:r>
        <w:rPr>
          <w:rFonts w:eastAsia="Calibri"/>
          <w:i/>
        </w:rPr>
        <w:t xml:space="preserve">exas RSA 3 Limited Partnership, </w:t>
      </w:r>
      <w:r w:rsidRPr="0008044E">
        <w:rPr>
          <w:rFonts w:eastAsia="Calibri"/>
          <w:i/>
        </w:rPr>
        <w:t>For Consent to Assign Licenses and Authorizations</w:t>
      </w:r>
      <w:r w:rsidRPr="005577AD">
        <w:rPr>
          <w:iCs/>
          <w:szCs w:val="22"/>
        </w:rPr>
        <w:t xml:space="preserve">, </w:t>
      </w:r>
      <w:r>
        <w:rPr>
          <w:iCs/>
          <w:szCs w:val="22"/>
        </w:rPr>
        <w:t>WT Docket No. 14-144</w:t>
      </w:r>
      <w:r w:rsidRPr="005577AD">
        <w:rPr>
          <w:iCs/>
          <w:szCs w:val="22"/>
        </w:rPr>
        <w:t>.</w:t>
      </w:r>
    </w:p>
    <w:p w:rsidR="00EA3181" w:rsidRPr="005577AD" w:rsidRDefault="00EA3181" w:rsidP="00EA3181">
      <w:pPr>
        <w:ind w:firstLine="720"/>
        <w:rPr>
          <w:szCs w:val="22"/>
        </w:rPr>
      </w:pPr>
    </w:p>
    <w:p w:rsidR="00C10D68" w:rsidRPr="00F9455F" w:rsidRDefault="00C10D68" w:rsidP="00C10D68">
      <w:pPr>
        <w:pStyle w:val="Body"/>
        <w:ind w:firstLine="720"/>
        <w:rPr>
          <w:rFonts w:ascii="Times New Roman" w:hAnsi="Times New Roman" w:cs="Times New Roman"/>
        </w:rPr>
      </w:pPr>
      <w:r w:rsidRPr="00F9455F">
        <w:rPr>
          <w:rFonts w:ascii="Times New Roman" w:hAnsi="Times New Roman" w:cs="Times New Roman"/>
        </w:rPr>
        <w:t>We have before us the first application</w:t>
      </w:r>
      <w:r w:rsidRPr="00F9455F">
        <w:rPr>
          <w:rFonts w:ascii="Times New Roman" w:hAnsi="Times New Roman" w:cs="Times New Roman"/>
          <w:i/>
        </w:rPr>
        <w:t xml:space="preserve"> </w:t>
      </w:r>
      <w:r w:rsidRPr="00F9455F">
        <w:rPr>
          <w:rFonts w:ascii="Times New Roman" w:hAnsi="Times New Roman" w:cs="Times New Roman"/>
        </w:rPr>
        <w:t xml:space="preserve">where the post-transaction holdings of sub-1-GHz, or low-band, spectrum triggers the “enhanced review” adopted in the June 2014 </w:t>
      </w:r>
      <w:r w:rsidRPr="00F9455F">
        <w:rPr>
          <w:rFonts w:ascii="Times New Roman" w:hAnsi="Times New Roman" w:cs="Times New Roman"/>
          <w:i/>
        </w:rPr>
        <w:t>Mobile Spectrum Holdings Order</w:t>
      </w:r>
      <w:r w:rsidRPr="00F9455F">
        <w:rPr>
          <w:rFonts w:ascii="Times New Roman" w:hAnsi="Times New Roman" w:cs="Times New Roman"/>
        </w:rPr>
        <w:t>.</w:t>
      </w:r>
      <w:r w:rsidRPr="00F9455F">
        <w:rPr>
          <w:rStyle w:val="FootnoteReference"/>
          <w:rFonts w:cs="Times New Roman"/>
        </w:rPr>
        <w:footnoteReference w:id="168"/>
      </w:r>
      <w:r w:rsidRPr="00F9455F">
        <w:rPr>
          <w:rFonts w:ascii="Times New Roman" w:hAnsi="Times New Roman" w:cs="Times New Roman"/>
        </w:rPr>
        <w:t xml:space="preserve">  In that order, the Commission implemented a flawed policy to facilitate the acquisition of frequencies below 1 GHz by certain favored entities.  To promote this agenda, the Commission not only adopted a set aside, or reserve licenses, in the 600 MHz incentive auction, but also held that, if an applicant would hold more than one-third of the available low-band spectrum when a secondary market deal closes, this would be treated as an “enhanced factor” in the case-by-case analysis to determine whether a transaction cases competitive harm.</w:t>
      </w:r>
      <w:r w:rsidRPr="00F9455F">
        <w:rPr>
          <w:rStyle w:val="FootnoteReference"/>
          <w:rFonts w:cs="Times New Roman"/>
        </w:rPr>
        <w:footnoteReference w:id="169"/>
      </w:r>
      <w:r w:rsidRPr="00F9455F">
        <w:rPr>
          <w:rFonts w:ascii="Times New Roman" w:hAnsi="Times New Roman" w:cs="Times New Roman"/>
        </w:rPr>
        <w:t xml:space="preserve">  In total, it is incomprehensible to insert additional vagaries and uncertainty into our transaction review process that could allow for the picking and choosing of preferred winners and losers.  </w:t>
      </w:r>
    </w:p>
    <w:p w:rsidR="00C10D68" w:rsidRPr="00F9455F" w:rsidRDefault="00C10D68" w:rsidP="00C10D68">
      <w:pPr>
        <w:pStyle w:val="Body"/>
        <w:rPr>
          <w:rFonts w:ascii="Times New Roman" w:hAnsi="Times New Roman" w:cs="Times New Roman"/>
        </w:rPr>
      </w:pPr>
    </w:p>
    <w:p w:rsidR="00C10D68" w:rsidRPr="00F9455F" w:rsidRDefault="00C10D68" w:rsidP="00C10D68">
      <w:pPr>
        <w:pStyle w:val="Body"/>
        <w:ind w:firstLine="720"/>
        <w:rPr>
          <w:rFonts w:ascii="Times New Roman" w:hAnsi="Times New Roman" w:cs="Times New Roman"/>
        </w:rPr>
      </w:pPr>
      <w:r w:rsidRPr="00F9455F">
        <w:rPr>
          <w:rFonts w:ascii="Times New Roman" w:hAnsi="Times New Roman" w:cs="Times New Roman"/>
        </w:rPr>
        <w:t xml:space="preserve">The </w:t>
      </w:r>
      <w:r w:rsidRPr="00F9455F">
        <w:rPr>
          <w:rFonts w:ascii="Times New Roman" w:hAnsi="Times New Roman" w:cs="Times New Roman"/>
          <w:i/>
        </w:rPr>
        <w:t>Mobile Spectrum Holdings Order</w:t>
      </w:r>
      <w:r w:rsidRPr="00F9455F">
        <w:rPr>
          <w:rFonts w:ascii="Times New Roman" w:hAnsi="Times New Roman" w:cs="Times New Roman"/>
        </w:rPr>
        <w:t xml:space="preserve"> does not provide concrete information on how this “enhanced factor” would be applied going forward.</w:t>
      </w:r>
      <w:r w:rsidRPr="00F9455F">
        <w:rPr>
          <w:rStyle w:val="FootnoteReference"/>
          <w:rFonts w:cs="Times New Roman"/>
        </w:rPr>
        <w:footnoteReference w:id="170"/>
      </w:r>
      <w:r w:rsidRPr="00F9455F">
        <w:rPr>
          <w:rFonts w:ascii="Times New Roman" w:hAnsi="Times New Roman" w:cs="Times New Roman"/>
        </w:rPr>
        <w:t xml:space="preserve">  Instead, the specifics as to how these transactions will be evaluated would have to be gleaned from future orders responding to specific transfer applications.  But today’s order also provides little guidance as to how this “enhanced factor” is weighed in the Commission’s larger competitive review, and it does not provide any certainty to prospective applicants as to whether a transaction is likely to be approved or not.  Nonetheless, I guess I should be pleased that the vague language in the </w:t>
      </w:r>
      <w:r w:rsidRPr="00F9455F">
        <w:rPr>
          <w:rFonts w:ascii="Times New Roman" w:hAnsi="Times New Roman" w:cs="Times New Roman"/>
          <w:i/>
        </w:rPr>
        <w:t>Mobile Spectrum Holdings Order</w:t>
      </w:r>
      <w:r w:rsidRPr="00F9455F">
        <w:rPr>
          <w:rFonts w:ascii="Times New Roman" w:hAnsi="Times New Roman" w:cs="Times New Roman"/>
        </w:rPr>
        <w:t xml:space="preserve"> is not being interpreted as a flat-out ban on any acquisition that triggers an “enhanced review.”  And, because it does not affect the outcome of this particular transaction, I am able to approve today’s order despite this needless process and mockery of sound spectrum policy.</w:t>
      </w:r>
    </w:p>
    <w:p w:rsidR="00C10D68" w:rsidRPr="00F9455F" w:rsidRDefault="00C10D68" w:rsidP="00C10D68">
      <w:pPr>
        <w:pStyle w:val="Body"/>
        <w:rPr>
          <w:rFonts w:ascii="Times New Roman" w:hAnsi="Times New Roman" w:cs="Times New Roman"/>
        </w:rPr>
      </w:pPr>
    </w:p>
    <w:p w:rsidR="00C10D68" w:rsidRPr="0008044E" w:rsidRDefault="00C10D68" w:rsidP="00C10D68">
      <w:pPr>
        <w:pStyle w:val="Body"/>
        <w:ind w:firstLine="720"/>
        <w:rPr>
          <w:rFonts w:ascii="Calibri" w:hAnsi="Calibri" w:cs="Calibri"/>
        </w:rPr>
      </w:pPr>
      <w:r w:rsidRPr="00F9455F">
        <w:rPr>
          <w:rFonts w:ascii="Times New Roman" w:hAnsi="Times New Roman" w:cs="Times New Roman"/>
        </w:rPr>
        <w:t>I am well aware, however,  that this will not be the last word on the issue, and we will likely find out more about this “enhanced review” when the Commission seeks to inanely block a transaction or orders divestitures based on an artificial supremacy of sub-1-GHz holdings.  When this occurs, it is unlikely that I will be able to support such a decision.  I simply do not agree that preferential treatment should be provided to certain entities at the expense of their competitors, especially when any perceived spectrum deficiencies are the result of their own doing.</w:t>
      </w:r>
      <w:r w:rsidRPr="00F9455F">
        <w:rPr>
          <w:rStyle w:val="FootnoteReference"/>
          <w:rFonts w:cs="Times New Roman"/>
        </w:rPr>
        <w:footnoteReference w:id="171"/>
      </w:r>
      <w:r w:rsidRPr="00F9455F">
        <w:rPr>
          <w:rFonts w:ascii="Times New Roman" w:hAnsi="Times New Roman" w:cs="Times New Roman"/>
        </w:rPr>
        <w:t xml:space="preserve">  Further, the FCC should not be influencing the free market or prices by hindering the transferability of spectrum to the Nation’s most popular wireless providers.  Placing any restriction on who can acquire low-band spectrum in the secondary market devalues this resource and allows entities to acquire it at sub-market rates.  In sum, spectrum should go to its highest value use.</w:t>
      </w:r>
    </w:p>
    <w:p w:rsidR="00EA3181" w:rsidRPr="005577AD" w:rsidRDefault="00EA3181" w:rsidP="00EA3181">
      <w:pPr>
        <w:widowControl/>
        <w:rPr>
          <w:szCs w:val="22"/>
        </w:rPr>
      </w:pPr>
    </w:p>
    <w:p w:rsidR="00EA3181" w:rsidRPr="00FD1D15" w:rsidRDefault="00EA3181" w:rsidP="00EA3181"/>
    <w:p w:rsidR="00EA3181" w:rsidRPr="006E3EA0" w:rsidRDefault="00EA3181" w:rsidP="005606D5">
      <w:pPr>
        <w:pStyle w:val="ParaNum"/>
        <w:numPr>
          <w:ilvl w:val="0"/>
          <w:numId w:val="0"/>
        </w:numPr>
      </w:pPr>
    </w:p>
    <w:sectPr w:rsidR="00EA3181" w:rsidRPr="006E3EA0" w:rsidSect="00BA7F9F">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3D" w:rsidRDefault="0041323D">
      <w:pPr>
        <w:spacing w:line="20" w:lineRule="exact"/>
      </w:pPr>
    </w:p>
  </w:endnote>
  <w:endnote w:type="continuationSeparator" w:id="0">
    <w:p w:rsidR="0041323D" w:rsidRDefault="0041323D">
      <w:r>
        <w:t xml:space="preserve"> </w:t>
      </w:r>
    </w:p>
  </w:endnote>
  <w:endnote w:type="continuationNotice" w:id="1">
    <w:p w:rsidR="0041323D" w:rsidRDefault="004132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C0" w:rsidRDefault="00E257C0" w:rsidP="0055614C">
    <w:pPr>
      <w:pStyle w:val="Footer"/>
      <w:framePr w:wrap="around" w:vAnchor="text" w:hAnchor="margin" w:xAlign="center" w:y="1"/>
    </w:pPr>
    <w:r>
      <w:fldChar w:fldCharType="begin"/>
    </w:r>
    <w:r>
      <w:instrText xml:space="preserve">PAGE  </w:instrText>
    </w:r>
    <w:r>
      <w:fldChar w:fldCharType="end"/>
    </w:r>
  </w:p>
  <w:p w:rsidR="00E257C0" w:rsidRDefault="00E25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C0" w:rsidRDefault="00E257C0" w:rsidP="00BA7F9F">
    <w:pPr>
      <w:pStyle w:val="Footer"/>
      <w:framePr w:w="361" w:h="346" w:hRule="exact" w:wrap="around" w:vAnchor="text" w:hAnchor="margin" w:xAlign="center" w:y="1"/>
    </w:pPr>
    <w:r>
      <w:fldChar w:fldCharType="begin"/>
    </w:r>
    <w:r>
      <w:instrText xml:space="preserve">PAGE  </w:instrText>
    </w:r>
    <w:r>
      <w:fldChar w:fldCharType="separate"/>
    </w:r>
    <w:r w:rsidR="002525B8">
      <w:rPr>
        <w:noProof/>
      </w:rPr>
      <w:t>2</w:t>
    </w:r>
    <w:r>
      <w:fldChar w:fldCharType="end"/>
    </w:r>
  </w:p>
  <w:p w:rsidR="00E257C0" w:rsidRDefault="00E257C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9F" w:rsidRDefault="00BA7F9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479518"/>
      <w:docPartObj>
        <w:docPartGallery w:val="Page Numbers (Bottom of Page)"/>
        <w:docPartUnique/>
      </w:docPartObj>
    </w:sdtPr>
    <w:sdtEndPr>
      <w:rPr>
        <w:noProof/>
      </w:rPr>
    </w:sdtEndPr>
    <w:sdtContent>
      <w:p w:rsidR="008D5BAE" w:rsidRDefault="008D5BAE">
        <w:pPr>
          <w:pStyle w:val="Footer"/>
          <w:jc w:val="center"/>
        </w:pPr>
        <w:r>
          <w:fldChar w:fldCharType="begin"/>
        </w:r>
        <w:r>
          <w:instrText xml:space="preserve"> PAGE   \* MERGEFORMAT </w:instrText>
        </w:r>
        <w:r>
          <w:fldChar w:fldCharType="separate"/>
        </w:r>
        <w:r w:rsidR="001E3DB0">
          <w:rPr>
            <w:noProof/>
          </w:rPr>
          <w:t>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3D" w:rsidRDefault="0041323D">
      <w:r>
        <w:separator/>
      </w:r>
    </w:p>
  </w:footnote>
  <w:footnote w:type="continuationSeparator" w:id="0">
    <w:p w:rsidR="0041323D" w:rsidRDefault="0041323D" w:rsidP="00C721AC">
      <w:pPr>
        <w:spacing w:before="120"/>
        <w:rPr>
          <w:sz w:val="20"/>
        </w:rPr>
      </w:pPr>
      <w:r>
        <w:rPr>
          <w:sz w:val="20"/>
        </w:rPr>
        <w:t xml:space="preserve">(Continued from previous page)  </w:t>
      </w:r>
      <w:r>
        <w:rPr>
          <w:sz w:val="20"/>
        </w:rPr>
        <w:separator/>
      </w:r>
    </w:p>
  </w:footnote>
  <w:footnote w:type="continuationNotice" w:id="1">
    <w:p w:rsidR="0041323D" w:rsidRDefault="0041323D" w:rsidP="00C721AC">
      <w:pPr>
        <w:jc w:val="right"/>
        <w:rPr>
          <w:sz w:val="20"/>
        </w:rPr>
      </w:pPr>
      <w:r>
        <w:rPr>
          <w:sz w:val="20"/>
        </w:rPr>
        <w:t>(continued….)</w:t>
      </w:r>
    </w:p>
  </w:footnote>
  <w:footnote w:id="2">
    <w:p w:rsidR="00E257C0" w:rsidRPr="00A5312F" w:rsidRDefault="00E257C0" w:rsidP="000F2440">
      <w:pPr>
        <w:pStyle w:val="FootnoteText"/>
      </w:pPr>
      <w:r w:rsidRPr="00A5312F">
        <w:rPr>
          <w:rStyle w:val="FootnoteReference"/>
        </w:rPr>
        <w:footnoteRef/>
      </w:r>
      <w:r w:rsidRPr="00A5312F">
        <w:t xml:space="preserve"> </w:t>
      </w:r>
      <w:r w:rsidRPr="00A5312F">
        <w:rPr>
          <w:i/>
        </w:rPr>
        <w:t xml:space="preserve">See </w:t>
      </w:r>
      <w:r w:rsidRPr="00A5312F">
        <w:t xml:space="preserve">AT&amp;T Inc., SEC Form 10-K, at 1 (filed Feb. </w:t>
      </w:r>
      <w:r>
        <w:t>20</w:t>
      </w:r>
      <w:r w:rsidRPr="00A5312F">
        <w:t>, 201</w:t>
      </w:r>
      <w:r>
        <w:t>5)</w:t>
      </w:r>
      <w:r w:rsidRPr="00BC1559">
        <w:t>, available</w:t>
      </w:r>
      <w:r w:rsidRPr="00A5312F">
        <w:rPr>
          <w:i/>
        </w:rPr>
        <w:t xml:space="preserve"> </w:t>
      </w:r>
      <w:r w:rsidRPr="00C46E07">
        <w:t>at</w:t>
      </w:r>
      <w:r>
        <w:rPr>
          <w:i/>
        </w:rPr>
        <w:t xml:space="preserve"> </w:t>
      </w:r>
      <w:r w:rsidRPr="00A17082">
        <w:t>http://www.sec.gov/Archives/edgar/data/732717/000073271715000016/ye14_10k.htm</w:t>
      </w:r>
      <w:r>
        <w:t>.</w:t>
      </w:r>
    </w:p>
  </w:footnote>
  <w:footnote w:id="3">
    <w:p w:rsidR="00E257C0" w:rsidRPr="00A5312F" w:rsidRDefault="00E257C0" w:rsidP="000F2440">
      <w:pPr>
        <w:pStyle w:val="FootnoteText"/>
      </w:pPr>
      <w:r w:rsidRPr="00A5312F">
        <w:rPr>
          <w:rStyle w:val="FootnoteReference"/>
        </w:rPr>
        <w:footnoteRef/>
      </w:r>
      <w:r w:rsidRPr="00A5312F">
        <w:t xml:space="preserve"> </w:t>
      </w:r>
      <w:r>
        <w:rPr>
          <w:i/>
          <w:snapToGrid w:val="0"/>
        </w:rPr>
        <w:t xml:space="preserve">See </w:t>
      </w:r>
      <w:r>
        <w:rPr>
          <w:snapToGrid w:val="0"/>
        </w:rPr>
        <w:t>AT&amp;T Inc., SEC Form 10-K, Exhibit 12, at 4, 5 (filed Feb. 20, 2015), available at http://www.sec.gov/Archives/edgar/data/732717/000073271715000016/ye14_10k.</w:t>
      </w:r>
    </w:p>
  </w:footnote>
  <w:footnote w:id="4">
    <w:p w:rsidR="00E257C0" w:rsidRPr="00A5312F" w:rsidRDefault="00E257C0" w:rsidP="00756BF4">
      <w:pPr>
        <w:pStyle w:val="FootnoteText"/>
      </w:pPr>
      <w:r w:rsidRPr="00A5312F">
        <w:rPr>
          <w:rStyle w:val="FootnoteReference"/>
        </w:rPr>
        <w:footnoteRef/>
      </w:r>
      <w:r w:rsidRPr="00A5312F">
        <w:t xml:space="preserve"> Mosaik</w:t>
      </w:r>
      <w:r>
        <w:t xml:space="preserve"> Solutions Data (“Mosaik”), July 2014</w:t>
      </w:r>
      <w:r w:rsidRPr="00A5312F">
        <w:t>.</w:t>
      </w:r>
    </w:p>
  </w:footnote>
  <w:footnote w:id="5">
    <w:p w:rsidR="00E257C0" w:rsidRPr="00D22B64" w:rsidRDefault="00E257C0" w:rsidP="00790233">
      <w:pPr>
        <w:pStyle w:val="FootnoteText"/>
      </w:pPr>
      <w:r w:rsidRPr="00D22B64">
        <w:rPr>
          <w:rStyle w:val="FootnoteReference"/>
        </w:rPr>
        <w:footnoteRef/>
      </w:r>
      <w:r w:rsidRPr="00D22B64">
        <w:t xml:space="preserve"> </w:t>
      </w:r>
      <w:r w:rsidRPr="00D22B64">
        <w:rPr>
          <w:i/>
        </w:rPr>
        <w:t>See</w:t>
      </w:r>
      <w:r w:rsidRPr="00D22B64">
        <w:t xml:space="preserve"> </w:t>
      </w:r>
      <w:r>
        <w:t xml:space="preserve">Application for Assignment of Licenses from Plateau Telecommunications, Inc. to Powell Acquisition Company LLC, ULS File No. 0006366669 (filed July 14, 2014) (“Lead </w:t>
      </w:r>
      <w:r w:rsidRPr="009B1BD4">
        <w:t>Application</w:t>
      </w:r>
      <w:r>
        <w:t>”)</w:t>
      </w:r>
      <w:r w:rsidRPr="00D22B64">
        <w:t xml:space="preserve">, Exhibit 1 – Description of </w:t>
      </w:r>
      <w:r>
        <w:t xml:space="preserve">the </w:t>
      </w:r>
      <w:r w:rsidRPr="00D22B64">
        <w:t>Transaction and Public Interest Statement</w:t>
      </w:r>
      <w:r>
        <w:t xml:space="preserve"> at 2</w:t>
      </w:r>
      <w:r w:rsidRPr="00D22B64">
        <w:t xml:space="preserve"> </w:t>
      </w:r>
      <w:r>
        <w:t>(“Public Interest Statement”)</w:t>
      </w:r>
      <w:r w:rsidRPr="00D22B64">
        <w:t>.</w:t>
      </w:r>
      <w:r>
        <w:t xml:space="preserve">  </w:t>
      </w:r>
      <w:r w:rsidRPr="00B83EDA">
        <w:rPr>
          <w:i/>
        </w:rPr>
        <w:t xml:space="preserve">See </w:t>
      </w:r>
      <w:r>
        <w:t>Appendix for a list of the applications.</w:t>
      </w:r>
    </w:p>
  </w:footnote>
  <w:footnote w:id="6">
    <w:p w:rsidR="00E257C0" w:rsidRDefault="00E257C0">
      <w:pPr>
        <w:pStyle w:val="FootnoteText"/>
      </w:pPr>
      <w:r>
        <w:rPr>
          <w:rStyle w:val="FootnoteReference"/>
        </w:rPr>
        <w:footnoteRef/>
      </w:r>
      <w:r>
        <w:t xml:space="preserve"> 47 U.S.C. §§ 214, 310(d).</w:t>
      </w:r>
    </w:p>
  </w:footnote>
  <w:footnote w:id="7">
    <w:p w:rsidR="00E257C0" w:rsidRDefault="00E257C0">
      <w:pPr>
        <w:pStyle w:val="FootnoteText"/>
      </w:pPr>
      <w:r>
        <w:rPr>
          <w:rStyle w:val="FootnoteReference"/>
        </w:rPr>
        <w:footnoteRef/>
      </w:r>
      <w:r>
        <w:t xml:space="preserve"> </w:t>
      </w:r>
      <w:r w:rsidRPr="00556CE3">
        <w:rPr>
          <w:i/>
        </w:rPr>
        <w:t>See</w:t>
      </w:r>
      <w:r>
        <w:t xml:space="preserve"> Public Interest Statement at 1-2.</w:t>
      </w:r>
    </w:p>
  </w:footnote>
  <w:footnote w:id="8">
    <w:p w:rsidR="00E257C0" w:rsidRPr="00245983" w:rsidRDefault="00E257C0" w:rsidP="003F1C73">
      <w:pPr>
        <w:pStyle w:val="FootnoteText"/>
      </w:pPr>
      <w:r>
        <w:rPr>
          <w:rStyle w:val="FootnoteReference"/>
        </w:rPr>
        <w:footnoteRef/>
      </w:r>
      <w:r>
        <w:t xml:space="preserve"> </w:t>
      </w:r>
      <w:r w:rsidRPr="003C78AB">
        <w:rPr>
          <w:i/>
        </w:rPr>
        <w:t xml:space="preserve">See </w:t>
      </w:r>
      <w:r>
        <w:t xml:space="preserve">AT&amp;T Inc. and Plateau Wireless Seek FCC Consent to the Assignment of Advanced Wireless Services, Cellular, Lower 700 MHz, and Microwave Licenses, and International Section 214 Authorizations, WT Docket No. 14-144, </w:t>
      </w:r>
      <w:r w:rsidRPr="00B53E50">
        <w:rPr>
          <w:i/>
        </w:rPr>
        <w:t>Public Notice</w:t>
      </w:r>
      <w:r>
        <w:t>, DA 14-1287, at 2 (WTB rel. Sept. 8, 2014) (“</w:t>
      </w:r>
      <w:r w:rsidRPr="005D610A">
        <w:rPr>
          <w:i/>
        </w:rPr>
        <w:t xml:space="preserve">Accepted for Filing </w:t>
      </w:r>
      <w:r w:rsidRPr="003C62A9">
        <w:rPr>
          <w:i/>
        </w:rPr>
        <w:t>Public Notice</w:t>
      </w:r>
      <w:r>
        <w:t xml:space="preserve">”).  This includes </w:t>
      </w:r>
      <w:r>
        <w:rPr>
          <w:szCs w:val="22"/>
        </w:rPr>
        <w:t xml:space="preserve">12 megahertz of 700 MHz B Block spectrum in 20 counties covering two CMAs, 25 megahertz of cellular spectrum covering 21 counties in all or parts of the three CMAs, and 20 megahertz of AWS-1 spectrum covering all 24 counties.  </w:t>
      </w:r>
      <w:r w:rsidRPr="003C78AB">
        <w:rPr>
          <w:i/>
          <w:szCs w:val="22"/>
        </w:rPr>
        <w:t xml:space="preserve">See </w:t>
      </w:r>
      <w:r w:rsidRPr="00F1424E">
        <w:rPr>
          <w:i/>
          <w:szCs w:val="22"/>
        </w:rPr>
        <w:t>generally</w:t>
      </w:r>
      <w:r>
        <w:rPr>
          <w:szCs w:val="22"/>
        </w:rPr>
        <w:t xml:space="preserve"> Lead </w:t>
      </w:r>
      <w:r>
        <w:t xml:space="preserve">Application, Appendix A – Spectrum Aggregation.  </w:t>
      </w:r>
    </w:p>
  </w:footnote>
  <w:footnote w:id="9">
    <w:p w:rsidR="00E257C0" w:rsidRPr="004A4D09" w:rsidRDefault="00E257C0" w:rsidP="003F1C73">
      <w:pPr>
        <w:pStyle w:val="FootnoteText"/>
      </w:pPr>
      <w:r>
        <w:rPr>
          <w:rStyle w:val="FootnoteReference"/>
        </w:rPr>
        <w:footnoteRef/>
      </w:r>
      <w:r>
        <w:t xml:space="preserve"> </w:t>
      </w:r>
      <w:r w:rsidRPr="005D610A">
        <w:rPr>
          <w:i/>
        </w:rPr>
        <w:t>See</w:t>
      </w:r>
      <w:r>
        <w:t xml:space="preserve"> </w:t>
      </w:r>
      <w:r w:rsidRPr="005D610A">
        <w:rPr>
          <w:i/>
        </w:rPr>
        <w:t>Accepted for Filing Public Notice</w:t>
      </w:r>
      <w:r>
        <w:t xml:space="preserve"> at 1-2.  </w:t>
      </w:r>
      <w:r w:rsidRPr="003C78AB">
        <w:rPr>
          <w:i/>
        </w:rPr>
        <w:t>See also</w:t>
      </w:r>
      <w:r>
        <w:t xml:space="preserve"> Public Interest Statement at 1, 8.</w:t>
      </w:r>
    </w:p>
  </w:footnote>
  <w:footnote w:id="10">
    <w:p w:rsidR="00E257C0" w:rsidRDefault="00E257C0">
      <w:pPr>
        <w:pStyle w:val="FootnoteText"/>
      </w:pPr>
      <w:r>
        <w:rPr>
          <w:rStyle w:val="FootnoteReference"/>
        </w:rPr>
        <w:footnoteRef/>
      </w:r>
      <w:r>
        <w:t xml:space="preserve"> </w:t>
      </w:r>
      <w:r w:rsidRPr="005D610A">
        <w:rPr>
          <w:i/>
        </w:rPr>
        <w:t>See</w:t>
      </w:r>
      <w:r>
        <w:t xml:space="preserve"> </w:t>
      </w:r>
      <w:r w:rsidRPr="005D610A">
        <w:rPr>
          <w:i/>
        </w:rPr>
        <w:t>Accepted for Filing Public Notice</w:t>
      </w:r>
      <w:r w:rsidDel="00245983">
        <w:t xml:space="preserve"> </w:t>
      </w:r>
      <w:r>
        <w:t xml:space="preserve">at 1.  </w:t>
      </w:r>
      <w:r w:rsidRPr="003C78AB">
        <w:rPr>
          <w:i/>
        </w:rPr>
        <w:t>See also</w:t>
      </w:r>
      <w:r>
        <w:t xml:space="preserve"> Public Interest Statement at 2.</w:t>
      </w:r>
    </w:p>
  </w:footnote>
  <w:footnote w:id="11">
    <w:p w:rsidR="00E257C0" w:rsidRDefault="00E257C0">
      <w:pPr>
        <w:pStyle w:val="FootnoteText"/>
      </w:pPr>
      <w:r>
        <w:rPr>
          <w:rStyle w:val="FootnoteReference"/>
        </w:rPr>
        <w:footnoteRef/>
      </w:r>
      <w:r>
        <w:t xml:space="preserve"> </w:t>
      </w:r>
      <w:r w:rsidRPr="00556CE3">
        <w:rPr>
          <w:i/>
        </w:rPr>
        <w:t>See</w:t>
      </w:r>
      <w:r>
        <w:t xml:space="preserve"> Public Interest Statement at 5.  </w:t>
      </w:r>
    </w:p>
  </w:footnote>
  <w:footnote w:id="12">
    <w:p w:rsidR="00E257C0" w:rsidRDefault="00E257C0">
      <w:pPr>
        <w:pStyle w:val="FootnoteText"/>
      </w:pPr>
      <w:r>
        <w:rPr>
          <w:rStyle w:val="FootnoteReference"/>
        </w:rPr>
        <w:footnoteRef/>
      </w:r>
      <w:r>
        <w:t xml:space="preserve"> </w:t>
      </w:r>
      <w:r w:rsidRPr="00556CE3">
        <w:rPr>
          <w:i/>
        </w:rPr>
        <w:t>See</w:t>
      </w:r>
      <w:r>
        <w:t xml:space="preserve"> Public Interest Statement at 5.</w:t>
      </w:r>
    </w:p>
  </w:footnote>
  <w:footnote w:id="13">
    <w:p w:rsidR="00E257C0" w:rsidRDefault="00E257C0" w:rsidP="00132ABD">
      <w:pPr>
        <w:pStyle w:val="FootnoteText"/>
      </w:pPr>
      <w:r>
        <w:rPr>
          <w:rStyle w:val="FootnoteReference"/>
        </w:rPr>
        <w:footnoteRef/>
      </w:r>
      <w:r>
        <w:t xml:space="preserve"> </w:t>
      </w:r>
      <w:r w:rsidRPr="00556CE3">
        <w:rPr>
          <w:i/>
        </w:rPr>
        <w:t>See</w:t>
      </w:r>
      <w:r>
        <w:t xml:space="preserve"> Public Interest Statement at 5-6.</w:t>
      </w:r>
    </w:p>
  </w:footnote>
  <w:footnote w:id="14">
    <w:p w:rsidR="00E257C0" w:rsidRDefault="00E257C0">
      <w:pPr>
        <w:pStyle w:val="FootnoteText"/>
      </w:pPr>
      <w:r>
        <w:rPr>
          <w:rStyle w:val="FootnoteReference"/>
        </w:rPr>
        <w:footnoteRef/>
      </w:r>
      <w:r>
        <w:t xml:space="preserve"> </w:t>
      </w:r>
      <w:r w:rsidRPr="00556CE3">
        <w:rPr>
          <w:i/>
        </w:rPr>
        <w:t>See</w:t>
      </w:r>
      <w:r>
        <w:t xml:space="preserve"> Public Interest Statement at 5.  </w:t>
      </w:r>
      <w:r w:rsidRPr="005F4D86">
        <w:rPr>
          <w:i/>
        </w:rPr>
        <w:t>See also</w:t>
      </w:r>
      <w:r>
        <w:t xml:space="preserve"> Response of AT&amp;T Inc. to the General Information Request Dated September 22, 2014, WT Docket No. 14-144, at 14-15 (Oct. 6, 2014) (“</w:t>
      </w:r>
      <w:r w:rsidRPr="00F1424E">
        <w:t>AT&amp;T Information Request Response</w:t>
      </w:r>
      <w:r>
        <w:t>”).</w:t>
      </w:r>
    </w:p>
  </w:footnote>
  <w:footnote w:id="15">
    <w:p w:rsidR="00E257C0" w:rsidRDefault="00E257C0">
      <w:pPr>
        <w:pStyle w:val="FootnoteText"/>
      </w:pPr>
      <w:r>
        <w:rPr>
          <w:rStyle w:val="FootnoteReference"/>
        </w:rPr>
        <w:footnoteRef/>
      </w:r>
      <w:r>
        <w:t xml:space="preserve"> </w:t>
      </w:r>
      <w:r w:rsidRPr="00C03AD1">
        <w:rPr>
          <w:i/>
        </w:rPr>
        <w:t>See generally</w:t>
      </w:r>
      <w:r>
        <w:t xml:space="preserve"> </w:t>
      </w:r>
      <w:r>
        <w:rPr>
          <w:i/>
        </w:rPr>
        <w:t xml:space="preserve">Accepted for Filing </w:t>
      </w:r>
      <w:r w:rsidRPr="003C62A9">
        <w:rPr>
          <w:i/>
        </w:rPr>
        <w:t>Public Notice</w:t>
      </w:r>
      <w:r>
        <w:t>.</w:t>
      </w:r>
    </w:p>
  </w:footnote>
  <w:footnote w:id="16">
    <w:p w:rsidR="00E257C0" w:rsidRPr="00A74EAD" w:rsidRDefault="00E257C0" w:rsidP="00A74EAD">
      <w:pPr>
        <w:pStyle w:val="FootnoteText"/>
        <w:rPr>
          <w:color w:val="010101"/>
        </w:rPr>
      </w:pPr>
      <w:r>
        <w:rPr>
          <w:rStyle w:val="FootnoteReference"/>
        </w:rPr>
        <w:footnoteRef/>
      </w:r>
      <w:r>
        <w:t xml:space="preserve"> </w:t>
      </w:r>
      <w:r w:rsidRPr="00487E9C">
        <w:rPr>
          <w:i/>
        </w:rPr>
        <w:t xml:space="preserve">See </w:t>
      </w:r>
      <w:r w:rsidRPr="00A34435">
        <w:rPr>
          <w:i/>
        </w:rPr>
        <w:t>Accepted for Filing Public Notice</w:t>
      </w:r>
      <w:r w:rsidRPr="00AA7C55">
        <w:t xml:space="preserve"> at</w:t>
      </w:r>
      <w:r>
        <w:t xml:space="preserve"> </w:t>
      </w:r>
      <w:r w:rsidRPr="00487E9C">
        <w:t>2,</w:t>
      </w:r>
      <w:r>
        <w:t xml:space="preserve"> </w:t>
      </w:r>
      <w:r w:rsidRPr="00487E9C">
        <w:t xml:space="preserve">citing </w:t>
      </w:r>
      <w:r w:rsidRPr="00A34435">
        <w:rPr>
          <w:color w:val="010101"/>
        </w:rPr>
        <w:t>Policies Regarding Mobile Spectrum Holdings Expanding the Economic and Innovation</w:t>
      </w:r>
      <w:r w:rsidRPr="00AA7C55">
        <w:rPr>
          <w:color w:val="010101"/>
        </w:rPr>
        <w:t xml:space="preserve"> Opportunities of Spectrum </w:t>
      </w:r>
      <w:r w:rsidRPr="00A74EAD">
        <w:t>Through</w:t>
      </w:r>
      <w:r w:rsidRPr="00487E9C">
        <w:rPr>
          <w:color w:val="010101"/>
        </w:rPr>
        <w:t xml:space="preserve"> Incentive Auctions, WT </w:t>
      </w:r>
      <w:r w:rsidRPr="00A34435">
        <w:rPr>
          <w:color w:val="010101"/>
        </w:rPr>
        <w:t xml:space="preserve">Docket No. 12-269, GN Docket No. 12-268, </w:t>
      </w:r>
      <w:r w:rsidRPr="00AA7C55">
        <w:rPr>
          <w:i/>
          <w:color w:val="010101"/>
        </w:rPr>
        <w:t>Report and Order</w:t>
      </w:r>
      <w:r w:rsidRPr="00FA7FF8">
        <w:rPr>
          <w:color w:val="010101"/>
        </w:rPr>
        <w:t>, 29 FCC Rcd 6133, 6240 ¶¶ 286-88 (2014) (“</w:t>
      </w:r>
      <w:r w:rsidRPr="00A74EAD">
        <w:rPr>
          <w:i/>
          <w:color w:val="010101"/>
        </w:rPr>
        <w:t>Mobile Spectrum Holdings Report and Order</w:t>
      </w:r>
      <w:r w:rsidRPr="00A74EAD">
        <w:rPr>
          <w:color w:val="010101"/>
        </w:rPr>
        <w:t>”).</w:t>
      </w:r>
    </w:p>
  </w:footnote>
  <w:footnote w:id="17">
    <w:p w:rsidR="00E257C0" w:rsidRDefault="00E257C0" w:rsidP="00AA7682">
      <w:pPr>
        <w:pStyle w:val="FootnoteText"/>
      </w:pPr>
      <w:r>
        <w:rPr>
          <w:rStyle w:val="FootnoteReference"/>
        </w:rPr>
        <w:footnoteRef/>
      </w:r>
      <w:r>
        <w:t xml:space="preserve"> </w:t>
      </w:r>
      <w:r w:rsidRPr="00C03AD1">
        <w:rPr>
          <w:i/>
        </w:rPr>
        <w:t>See generally</w:t>
      </w:r>
      <w:r>
        <w:t xml:space="preserve"> Pleading Cycle Extended for Proposed Assignment to AT&amp;T from Plateau Wireless of Advanced Wireless Services, Cellular, Lower 700 MHz, and Microwave Licenses, and International Section 214 Authorizations, WT Docket No. 14-144, </w:t>
      </w:r>
      <w:r w:rsidRPr="00B53E50">
        <w:rPr>
          <w:i/>
        </w:rPr>
        <w:t>Public Notice</w:t>
      </w:r>
      <w:r>
        <w:t>, DA 14-1441 (WTB rel. Oct. 2, 2014) (“</w:t>
      </w:r>
      <w:r w:rsidRPr="00A10BF6">
        <w:rPr>
          <w:i/>
        </w:rPr>
        <w:t>Extension Public Notice</w:t>
      </w:r>
      <w:r>
        <w:t xml:space="preserve">”).  On September 29, 2014, the Competitive Carriers Association (CCA) requested a seven business-day extension of the pleading deadlines.  </w:t>
      </w:r>
      <w:r w:rsidRPr="00FC6A53">
        <w:rPr>
          <w:i/>
        </w:rPr>
        <w:t>See generally</w:t>
      </w:r>
      <w:r>
        <w:t xml:space="preserve"> Motion by Competitive Carriers Association for Extension of Pleading Cycle, WT Docket No. 14-144 (filed Sept. 29, 2014).</w:t>
      </w:r>
    </w:p>
  </w:footnote>
  <w:footnote w:id="18">
    <w:p w:rsidR="00E257C0" w:rsidRDefault="00E257C0">
      <w:pPr>
        <w:pStyle w:val="FootnoteText"/>
      </w:pPr>
      <w:r>
        <w:rPr>
          <w:rStyle w:val="FootnoteReference"/>
        </w:rPr>
        <w:footnoteRef/>
      </w:r>
      <w:r>
        <w:t xml:space="preserve"> </w:t>
      </w:r>
      <w:r w:rsidRPr="00B83EDA">
        <w:rPr>
          <w:i/>
        </w:rPr>
        <w:t>See generally</w:t>
      </w:r>
      <w:r>
        <w:t xml:space="preserve"> T-Mobile USA, Inc. Petition for Conditions, WT Docket No. 14-144 (filed Oct. 17, 2014) (“T-Mobile Petition for Conditions”).</w:t>
      </w:r>
    </w:p>
  </w:footnote>
  <w:footnote w:id="19">
    <w:p w:rsidR="00E257C0" w:rsidRDefault="00E257C0">
      <w:pPr>
        <w:pStyle w:val="FootnoteText"/>
      </w:pPr>
      <w:r>
        <w:rPr>
          <w:rStyle w:val="FootnoteReference"/>
        </w:rPr>
        <w:footnoteRef/>
      </w:r>
      <w:r>
        <w:t xml:space="preserve"> </w:t>
      </w:r>
      <w:r w:rsidRPr="00B83EDA">
        <w:rPr>
          <w:i/>
        </w:rPr>
        <w:t>See generally</w:t>
      </w:r>
      <w:r>
        <w:t xml:space="preserve"> AT&amp;T Inc. Opposition to Petition for Conditions, WT Docket No. 14-144 (filed Oct. 27, 2014) (“AT&amp;T Opposition”).</w:t>
      </w:r>
    </w:p>
  </w:footnote>
  <w:footnote w:id="20">
    <w:p w:rsidR="00E257C0" w:rsidRDefault="00E257C0">
      <w:pPr>
        <w:pStyle w:val="FootnoteText"/>
      </w:pPr>
      <w:r>
        <w:rPr>
          <w:rStyle w:val="FootnoteReference"/>
        </w:rPr>
        <w:footnoteRef/>
      </w:r>
      <w:r>
        <w:t xml:space="preserve"> </w:t>
      </w:r>
      <w:r w:rsidRPr="00351AF4">
        <w:rPr>
          <w:i/>
        </w:rPr>
        <w:t>See generally</w:t>
      </w:r>
      <w:r>
        <w:t xml:space="preserve"> T-Mobile USA, Inc. Reply to Opposition, WT Docket No. 14-144 (filed Nov. 3, 2014) (“T-Mobile Reply”).</w:t>
      </w:r>
    </w:p>
  </w:footnote>
  <w:footnote w:id="21">
    <w:p w:rsidR="00E257C0" w:rsidRDefault="00E257C0">
      <w:pPr>
        <w:pStyle w:val="FootnoteText"/>
      </w:pPr>
      <w:r>
        <w:rPr>
          <w:rStyle w:val="FootnoteReference"/>
        </w:rPr>
        <w:footnoteRef/>
      </w:r>
      <w:r>
        <w:t xml:space="preserve"> </w:t>
      </w:r>
      <w:r w:rsidRPr="00E2089E">
        <w:rPr>
          <w:i/>
        </w:rPr>
        <w:t>See</w:t>
      </w:r>
      <w:r>
        <w:t xml:space="preserve"> T-Mobile Petition for Conditions at 1.</w:t>
      </w:r>
    </w:p>
  </w:footnote>
  <w:footnote w:id="22">
    <w:p w:rsidR="00E257C0" w:rsidRDefault="00E257C0">
      <w:pPr>
        <w:pStyle w:val="FootnoteText"/>
      </w:pPr>
      <w:r>
        <w:rPr>
          <w:rStyle w:val="FootnoteReference"/>
        </w:rPr>
        <w:footnoteRef/>
      </w:r>
      <w:r>
        <w:t xml:space="preserve"> </w:t>
      </w:r>
      <w:r w:rsidRPr="00CE44D7">
        <w:rPr>
          <w:i/>
        </w:rPr>
        <w:t>See generally</w:t>
      </w:r>
      <w:r>
        <w:t xml:space="preserve"> Letter from T-Mobile USA, Inc., Sprint Corporation, Writers Guild of America, West, Open Technology Institute, New America Foundation, Public Knowledge, Computer &amp; Communications Industry Association, Free Press, and COMPTEL to Chairman Thomas Wheeler, WT </w:t>
      </w:r>
      <w:r w:rsidR="005E4085">
        <w:t>Docket No. 12-269, filed Oct.</w:t>
      </w:r>
      <w:r>
        <w:t xml:space="preserve"> 9, 2014 (“Increased Below-1-GHz Spectrum Aggregation </w:t>
      </w:r>
      <w:r w:rsidRPr="00003488">
        <w:t>Letter</w:t>
      </w:r>
      <w:r>
        <w:t xml:space="preserve">”).  </w:t>
      </w:r>
      <w:r w:rsidRPr="00C46E07">
        <w:rPr>
          <w:i/>
        </w:rPr>
        <w:t>See</w:t>
      </w:r>
      <w:r>
        <w:t xml:space="preserve"> </w:t>
      </w:r>
      <w:r w:rsidRPr="00D97728">
        <w:rPr>
          <w:color w:val="010101"/>
        </w:rPr>
        <w:t>¶</w:t>
      </w:r>
      <w:r>
        <w:rPr>
          <w:color w:val="010101"/>
        </w:rPr>
        <w:t xml:space="preserve"> </w:t>
      </w:r>
      <w:r>
        <w:t xml:space="preserve">28 </w:t>
      </w:r>
      <w:r w:rsidRPr="00C46E07">
        <w:rPr>
          <w:i/>
        </w:rPr>
        <w:t>infra</w:t>
      </w:r>
      <w:r>
        <w:t xml:space="preserve">. </w:t>
      </w:r>
    </w:p>
  </w:footnote>
  <w:footnote w:id="23">
    <w:p w:rsidR="00E257C0" w:rsidRDefault="00E257C0">
      <w:pPr>
        <w:pStyle w:val="FootnoteText"/>
      </w:pPr>
      <w:r>
        <w:rPr>
          <w:rStyle w:val="FootnoteReference"/>
        </w:rPr>
        <w:footnoteRef/>
      </w:r>
      <w:r>
        <w:t xml:space="preserve"> </w:t>
      </w:r>
      <w:r w:rsidRPr="00E0103F">
        <w:rPr>
          <w:i/>
        </w:rPr>
        <w:t>See generally</w:t>
      </w:r>
      <w:r>
        <w:t xml:space="preserve"> Applications of AT&amp;T Inc., Plateau Telecommunications, Inc., E.N.M.R. Telephone Cooperative, New Mexico RSA 4 East Limited Partnership, and Texas RSA 3 Limited Partnership for Consent To Assign Licenses and Authorizations; Numbering Resource Utilization and Forecast Reports and Local Number Portability Reports To Be Placed into the Record, Subject to Protective Order, WT Docket No. 14-144, CC Docket No. 99-200, </w:t>
      </w:r>
      <w:r w:rsidRPr="000E4E4E">
        <w:rPr>
          <w:i/>
        </w:rPr>
        <w:t>Public Notice</w:t>
      </w:r>
      <w:r>
        <w:t>, DA 14-1374 (WTB rel. Sept. 22, 2014); Applications of AT&amp;T Inc., Plateau Telecommunications, Inc., E.N.M.R. Telephone Cooperative, New Mexico RSA 4 East Limited Partnership, and Texas RSA 3 Limited Partnership for Consent To Assign Licenses and Authorizations,</w:t>
      </w:r>
      <w:r w:rsidRPr="009409FD">
        <w:t xml:space="preserve"> </w:t>
      </w:r>
      <w:r>
        <w:t xml:space="preserve">WT Docket No. 14-144, </w:t>
      </w:r>
      <w:r>
        <w:rPr>
          <w:i/>
        </w:rPr>
        <w:t>NRUF/LNP Protective Order</w:t>
      </w:r>
      <w:r>
        <w:t>, DA 14-1373 (WTB rel. Sept. 22, 2014).</w:t>
      </w:r>
    </w:p>
  </w:footnote>
  <w:footnote w:id="24">
    <w:p w:rsidR="00E257C0" w:rsidRDefault="00E257C0">
      <w:pPr>
        <w:pStyle w:val="FootnoteText"/>
      </w:pPr>
      <w:r>
        <w:rPr>
          <w:rStyle w:val="FootnoteReference"/>
        </w:rPr>
        <w:footnoteRef/>
      </w:r>
      <w:r>
        <w:t xml:space="preserve"> 47 U.S.C. § 308(b).</w:t>
      </w:r>
    </w:p>
  </w:footnote>
  <w:footnote w:id="25">
    <w:p w:rsidR="00E257C0" w:rsidRDefault="00E257C0">
      <w:pPr>
        <w:pStyle w:val="FootnoteText"/>
      </w:pPr>
      <w:r>
        <w:rPr>
          <w:rStyle w:val="FootnoteReference"/>
        </w:rPr>
        <w:footnoteRef/>
      </w:r>
      <w:r>
        <w:t xml:space="preserve"> </w:t>
      </w:r>
      <w:r w:rsidRPr="00AA7682">
        <w:rPr>
          <w:i/>
          <w:iCs/>
          <w:color w:val="010101"/>
        </w:rPr>
        <w:t xml:space="preserve">See generally </w:t>
      </w:r>
      <w:r w:rsidRPr="00AA7682">
        <w:rPr>
          <w:color w:val="010101"/>
        </w:rPr>
        <w:t>Letter from Roger C. Sherman, Chief, WTB, to Michael P. Goggin, AT&amp;T, WT Docket No. 14-144 (</w:t>
      </w:r>
      <w:r>
        <w:rPr>
          <w:color w:val="010101"/>
        </w:rPr>
        <w:t xml:space="preserve">WTB rel. </w:t>
      </w:r>
      <w:r w:rsidRPr="00AA7682">
        <w:rPr>
          <w:color w:val="010101"/>
        </w:rPr>
        <w:t>Sept. 22,</w:t>
      </w:r>
      <w:r>
        <w:rPr>
          <w:color w:val="010101"/>
        </w:rPr>
        <w:t xml:space="preserve"> </w:t>
      </w:r>
      <w:r w:rsidRPr="00AA7682">
        <w:rPr>
          <w:color w:val="010101"/>
        </w:rPr>
        <w:t>2014)</w:t>
      </w:r>
      <w:r>
        <w:rPr>
          <w:color w:val="010101"/>
        </w:rPr>
        <w:t xml:space="preserve"> (“</w:t>
      </w:r>
      <w:r w:rsidRPr="007A54DA">
        <w:rPr>
          <w:i/>
          <w:color w:val="010101"/>
        </w:rPr>
        <w:t>AT&amp;T Information Request</w:t>
      </w:r>
      <w:r>
        <w:rPr>
          <w:color w:val="010101"/>
        </w:rPr>
        <w:t>”)</w:t>
      </w:r>
      <w:r w:rsidRPr="00AA7682">
        <w:rPr>
          <w:color w:val="010101"/>
        </w:rPr>
        <w:t>; Letter from Roger C. Sherman, Chief, WTB, to Launa Waller, Plateau Telecommunications, Inc., WT</w:t>
      </w:r>
      <w:r>
        <w:rPr>
          <w:color w:val="010101"/>
        </w:rPr>
        <w:t xml:space="preserve"> </w:t>
      </w:r>
      <w:r w:rsidRPr="00AA7682">
        <w:rPr>
          <w:color w:val="010101"/>
        </w:rPr>
        <w:t>Docket No. 14-144 (</w:t>
      </w:r>
      <w:r>
        <w:rPr>
          <w:color w:val="010101"/>
        </w:rPr>
        <w:t xml:space="preserve">WTB rel. </w:t>
      </w:r>
      <w:r w:rsidRPr="00AA7682">
        <w:rPr>
          <w:color w:val="010101"/>
        </w:rPr>
        <w:t>Sept. 22, 2014) (“</w:t>
      </w:r>
      <w:r w:rsidRPr="007A54DA">
        <w:rPr>
          <w:i/>
          <w:color w:val="010101"/>
        </w:rPr>
        <w:t>Plateau Wireless</w:t>
      </w:r>
      <w:r>
        <w:rPr>
          <w:color w:val="010101"/>
        </w:rPr>
        <w:t xml:space="preserve"> </w:t>
      </w:r>
      <w:r w:rsidRPr="00AA7682">
        <w:rPr>
          <w:i/>
          <w:iCs/>
          <w:color w:val="010101"/>
        </w:rPr>
        <w:t>Information Request</w:t>
      </w:r>
      <w:r w:rsidRPr="00AA7682">
        <w:rPr>
          <w:color w:val="010101"/>
        </w:rPr>
        <w:t>”).</w:t>
      </w:r>
    </w:p>
  </w:footnote>
  <w:footnote w:id="26">
    <w:p w:rsidR="00E257C0" w:rsidRDefault="00E257C0">
      <w:pPr>
        <w:pStyle w:val="FootnoteText"/>
      </w:pPr>
      <w:r>
        <w:rPr>
          <w:rStyle w:val="FootnoteReference"/>
        </w:rPr>
        <w:footnoteRef/>
      </w:r>
      <w:r>
        <w:t xml:space="preserve"> </w:t>
      </w:r>
      <w:r w:rsidRPr="002E1CDE">
        <w:rPr>
          <w:i/>
        </w:rPr>
        <w:t>See generally</w:t>
      </w:r>
      <w:r>
        <w:t xml:space="preserve"> Applications of AT&amp;T Inc., Plateau Telecommunications, Inc., E.N.M.R. Telephone Cooperative, New Mexico RSA 4 East Limited Partnership, and Texas RSA3 Limited Partnership for Consent To Assign Licenses and Authorizations, WT Docket No. 14-144, </w:t>
      </w:r>
      <w:r w:rsidRPr="002E1CDE">
        <w:rPr>
          <w:i/>
        </w:rPr>
        <w:t>Joint Protective Order</w:t>
      </w:r>
      <w:r>
        <w:t>, DA 14-1371 (WTB rel. Sept. 22, 2014).</w:t>
      </w:r>
    </w:p>
  </w:footnote>
  <w:footnote w:id="27">
    <w:p w:rsidR="00E257C0" w:rsidRPr="00316A29" w:rsidRDefault="00E257C0" w:rsidP="00FA6F04">
      <w:pPr>
        <w:pStyle w:val="FootnoteText"/>
      </w:pPr>
      <w:r w:rsidRPr="00316A29">
        <w:rPr>
          <w:rStyle w:val="FootnoteReference"/>
        </w:rPr>
        <w:footnoteRef/>
      </w:r>
      <w:r w:rsidRPr="00316A29">
        <w:t xml:space="preserve"> 47 U.S.C. §§ 214(a), 310(d). </w:t>
      </w:r>
    </w:p>
  </w:footnote>
  <w:footnote w:id="28">
    <w:p w:rsidR="00E257C0" w:rsidRPr="00316A29" w:rsidRDefault="00E257C0" w:rsidP="00FA6F04">
      <w:pPr>
        <w:pStyle w:val="FootnoteText"/>
      </w:pPr>
      <w:r w:rsidRPr="00316A29">
        <w:rPr>
          <w:rStyle w:val="FootnoteReference"/>
        </w:rPr>
        <w:footnoteRef/>
      </w:r>
      <w:r w:rsidRPr="00316A29">
        <w:t xml:space="preserve"> Section 310(d) requires that we consider the application as if the proposed assignee were applying for the licenses direct</w:t>
      </w:r>
      <w:r>
        <w:t>ly under section 308 of the Act.</w:t>
      </w:r>
      <w:r w:rsidRPr="00316A29">
        <w:t xml:space="preserve"> </w:t>
      </w:r>
      <w:r>
        <w:t xml:space="preserve"> </w:t>
      </w:r>
      <w:r w:rsidRPr="00316A29">
        <w:t>47 U.S.C. §§ 308</w:t>
      </w:r>
      <w:r>
        <w:t>, 310(d)</w:t>
      </w:r>
      <w:r w:rsidRPr="00316A29">
        <w:t xml:space="preserve">.  </w:t>
      </w:r>
      <w:r w:rsidRPr="00316A29">
        <w:rPr>
          <w:i/>
        </w:rPr>
        <w:t>See, e.g.</w:t>
      </w:r>
      <w:r w:rsidRPr="00316A29">
        <w:t xml:space="preserve">, </w:t>
      </w:r>
      <w:r w:rsidRPr="001800E5">
        <w:t xml:space="preserve">Applications of AT&amp;T Inc., Leap Wireless International, Inc., Cricket License Co., LLC and Leap LicenseCo, Inc. </w:t>
      </w:r>
      <w:r>
        <w:t>f</w:t>
      </w:r>
      <w:r w:rsidRPr="001800E5">
        <w:t xml:space="preserve">or Consent To </w:t>
      </w:r>
      <w:r>
        <w:t>T</w:t>
      </w:r>
      <w:r w:rsidRPr="001800E5">
        <w:t xml:space="preserve">ransfer Control and Assign Licenses and Authorizations, WT </w:t>
      </w:r>
      <w:r>
        <w:t xml:space="preserve">Docket No. </w:t>
      </w:r>
      <w:r w:rsidRPr="001800E5">
        <w:t xml:space="preserve">13-193, </w:t>
      </w:r>
      <w:r>
        <w:rPr>
          <w:i/>
          <w:iCs/>
        </w:rPr>
        <w:t>Memorandum Opinion</w:t>
      </w:r>
      <w:r w:rsidRPr="001800E5">
        <w:rPr>
          <w:i/>
          <w:iCs/>
        </w:rPr>
        <w:t xml:space="preserve"> and Order</w:t>
      </w:r>
      <w:r w:rsidRPr="001800E5">
        <w:t>,</w:t>
      </w:r>
      <w:r w:rsidRPr="001800E5">
        <w:rPr>
          <w:i/>
          <w:iCs/>
        </w:rPr>
        <w:t xml:space="preserve"> </w:t>
      </w:r>
      <w:r>
        <w:t>29 FCC Rcd 2735, 2741</w:t>
      </w:r>
      <w:r w:rsidRPr="001800E5">
        <w:t xml:space="preserve"> ¶</w:t>
      </w:r>
      <w:r>
        <w:t xml:space="preserve"> 13</w:t>
      </w:r>
      <w:r w:rsidRPr="001800E5">
        <w:t xml:space="preserve"> (WTB</w:t>
      </w:r>
      <w:r>
        <w:t>, IB</w:t>
      </w:r>
      <w:r w:rsidRPr="001800E5">
        <w:t xml:space="preserve"> 2014) (“</w:t>
      </w:r>
      <w:r w:rsidRPr="001800E5">
        <w:rPr>
          <w:i/>
        </w:rPr>
        <w:t>AT&amp;T-Leap Order</w:t>
      </w:r>
      <w:r w:rsidRPr="001800E5">
        <w:t>”)</w:t>
      </w:r>
      <w:r>
        <w:t xml:space="preserve">; </w:t>
      </w:r>
      <w:r w:rsidRPr="00A33D10">
        <w:t>Applications of Sprint Nextel Corp. and SoftBank Corp. and Starburst II, Inc. for Consent to Transfer Control of Licenses and Authorizations,</w:t>
      </w:r>
      <w:r>
        <w:rPr>
          <w:i/>
        </w:rPr>
        <w:t xml:space="preserve"> </w:t>
      </w:r>
      <w:r>
        <w:t xml:space="preserve">IB Docket No. 12-343, </w:t>
      </w:r>
      <w:r w:rsidRPr="00D81688">
        <w:rPr>
          <w:i/>
        </w:rPr>
        <w:t>Memorandum Opinion and Order</w:t>
      </w:r>
      <w:r>
        <w:t xml:space="preserve">, </w:t>
      </w:r>
      <w:r w:rsidRPr="00A33D10">
        <w:rPr>
          <w:i/>
        </w:rPr>
        <w:t>Declaratory Ruling, and Order on Reconsideration</w:t>
      </w:r>
      <w:r w:rsidR="00A35F7F">
        <w:t xml:space="preserve">, 28 FCC Rcd 9642, 9650 ¶ </w:t>
      </w:r>
      <w:r>
        <w:t>23 (2013) (“</w:t>
      </w:r>
      <w:r>
        <w:rPr>
          <w:i/>
        </w:rPr>
        <w:t>SoftBank-Sprint Order</w:t>
      </w:r>
      <w:r w:rsidRPr="00183ED0">
        <w:t>”</w:t>
      </w:r>
      <w:r>
        <w:t xml:space="preserve">); </w:t>
      </w:r>
      <w:r w:rsidRPr="00A5312F">
        <w:rPr>
          <w:rFonts w:eastAsiaTheme="minorHAnsi"/>
        </w:rPr>
        <w:t>Applications of Deutsche Telekom AG, T-Mobile USA, Inc., and MetroPCS Communications, Inc.</w:t>
      </w:r>
      <w:r>
        <w:rPr>
          <w:rFonts w:eastAsiaTheme="minorHAnsi"/>
        </w:rPr>
        <w:t xml:space="preserve"> for Consent To Transfer of Control of Licenses and Authorizations</w:t>
      </w:r>
      <w:r w:rsidRPr="00A5312F">
        <w:rPr>
          <w:rFonts w:eastAsiaTheme="minorHAnsi"/>
        </w:rPr>
        <w:t xml:space="preserve">, WT Docket No. 12-301, </w:t>
      </w:r>
      <w:r w:rsidRPr="00A5312F">
        <w:rPr>
          <w:rFonts w:eastAsiaTheme="minorHAnsi"/>
          <w:i/>
        </w:rPr>
        <w:t>Memorandum Opinion and Order and Declaratory Ruling</w:t>
      </w:r>
      <w:r w:rsidRPr="00A5312F">
        <w:rPr>
          <w:rFonts w:eastAsiaTheme="minorHAnsi"/>
        </w:rPr>
        <w:t xml:space="preserve">, </w:t>
      </w:r>
      <w:r>
        <w:t xml:space="preserve">28 FCC Rcd 2322, 2327 </w:t>
      </w:r>
      <w:r w:rsidRPr="00CD23F8">
        <w:t xml:space="preserve">¶ </w:t>
      </w:r>
      <w:r>
        <w:t>14</w:t>
      </w:r>
      <w:r w:rsidRPr="00A5312F">
        <w:rPr>
          <w:rFonts w:eastAsiaTheme="minorHAnsi"/>
        </w:rPr>
        <w:t xml:space="preserve"> (WTB, IB </w:t>
      </w:r>
      <w:r w:rsidRPr="00943F32">
        <w:rPr>
          <w:rFonts w:eastAsiaTheme="minorHAnsi"/>
        </w:rPr>
        <w:t>2013) (“</w:t>
      </w:r>
      <w:r w:rsidRPr="00943F32">
        <w:rPr>
          <w:rFonts w:eastAsiaTheme="minorHAnsi"/>
          <w:i/>
          <w:iCs/>
        </w:rPr>
        <w:t>T-Mobile-MetroPCS Order</w:t>
      </w:r>
      <w:r w:rsidRPr="00943F32">
        <w:rPr>
          <w:rFonts w:eastAsiaTheme="minorHAnsi"/>
        </w:rPr>
        <w:t>”).</w:t>
      </w:r>
      <w:r w:rsidRPr="008E382A">
        <w:t xml:space="preserve"> </w:t>
      </w:r>
      <w:r>
        <w:t xml:space="preserve"> </w:t>
      </w:r>
    </w:p>
  </w:footnote>
  <w:footnote w:id="29">
    <w:p w:rsidR="00E257C0" w:rsidRPr="00316A29" w:rsidRDefault="00E257C0" w:rsidP="00FA6F04">
      <w:pPr>
        <w:pStyle w:val="FootnoteText"/>
      </w:pPr>
      <w:r w:rsidRPr="00316A29">
        <w:rPr>
          <w:rStyle w:val="FootnoteReference"/>
        </w:rPr>
        <w:footnoteRef/>
      </w:r>
      <w:r w:rsidRPr="00316A29">
        <w:rPr>
          <w:i/>
        </w:rPr>
        <w:t xml:space="preserve"> See, e.g</w:t>
      </w:r>
      <w:r w:rsidRPr="00316A29">
        <w:t>.,</w:t>
      </w:r>
      <w:r w:rsidRPr="00316A29">
        <w:rPr>
          <w:i/>
        </w:rPr>
        <w:t xml:space="preserve"> </w:t>
      </w:r>
      <w:r>
        <w:rPr>
          <w:i/>
        </w:rPr>
        <w:t xml:space="preserve">AT&amp;T-Leap Order, </w:t>
      </w:r>
      <w:r w:rsidRPr="00CF4C4A">
        <w:t>29 FCC Rcd at 2741-42</w:t>
      </w:r>
      <w:r>
        <w:rPr>
          <w:i/>
        </w:rPr>
        <w:t xml:space="preserve"> </w:t>
      </w:r>
      <w:r>
        <w:t xml:space="preserve">¶ 13; </w:t>
      </w:r>
      <w:r>
        <w:rPr>
          <w:i/>
        </w:rPr>
        <w:t>SoftBank-Sprint Order</w:t>
      </w:r>
      <w:r w:rsidRPr="00183ED0">
        <w:t>,</w:t>
      </w:r>
      <w:r>
        <w:t xml:space="preserve"> 28 FCC Rcd at 9650 ¶ 23; </w:t>
      </w:r>
      <w:r w:rsidRPr="00CE44D7">
        <w:rPr>
          <w:i/>
        </w:rPr>
        <w:t>T-Mobile-MetroPCS Order</w:t>
      </w:r>
      <w:r>
        <w:t xml:space="preserve">, 28 FCC Rcd at 2327 </w:t>
      </w:r>
      <w:r w:rsidRPr="00CD23F8">
        <w:t xml:space="preserve">¶ </w:t>
      </w:r>
      <w:r>
        <w:t>14.</w:t>
      </w:r>
      <w:r w:rsidRPr="00A5312F">
        <w:rPr>
          <w:rFonts w:eastAsiaTheme="minorHAnsi"/>
        </w:rPr>
        <w:t xml:space="preserve"> </w:t>
      </w:r>
    </w:p>
  </w:footnote>
  <w:footnote w:id="30">
    <w:p w:rsidR="00E257C0" w:rsidRPr="00316A29" w:rsidRDefault="00E257C0" w:rsidP="00D81688">
      <w:pPr>
        <w:pStyle w:val="FootnoteText"/>
        <w:tabs>
          <w:tab w:val="left" w:pos="2175"/>
        </w:tabs>
      </w:pPr>
      <w:r w:rsidRPr="00316A29">
        <w:rPr>
          <w:rStyle w:val="FootnoteReference"/>
        </w:rPr>
        <w:footnoteRef/>
      </w:r>
      <w:r w:rsidRPr="00316A29">
        <w:rPr>
          <w:i/>
        </w:rPr>
        <w:t xml:space="preserve"> </w:t>
      </w:r>
      <w:r>
        <w:rPr>
          <w:i/>
        </w:rPr>
        <w:t xml:space="preserve">See </w:t>
      </w:r>
      <w:r w:rsidRPr="00995703">
        <w:rPr>
          <w:i/>
        </w:rPr>
        <w:t>id.</w:t>
      </w:r>
    </w:p>
  </w:footnote>
  <w:footnote w:id="31">
    <w:p w:rsidR="00E257C0" w:rsidRPr="007C34DA" w:rsidRDefault="00E257C0" w:rsidP="00FA6F04">
      <w:pPr>
        <w:pStyle w:val="FootnoteText"/>
        <w:rPr>
          <w:i/>
        </w:rPr>
      </w:pPr>
      <w:r w:rsidRPr="00316A29">
        <w:rPr>
          <w:rStyle w:val="FootnoteReference"/>
        </w:rPr>
        <w:footnoteRef/>
      </w:r>
      <w:r>
        <w:rPr>
          <w:i/>
        </w:rPr>
        <w:t xml:space="preserve"> See id.</w:t>
      </w:r>
    </w:p>
  </w:footnote>
  <w:footnote w:id="32">
    <w:p w:rsidR="00E257C0" w:rsidRPr="00D81688" w:rsidRDefault="00E257C0" w:rsidP="00A74EAD">
      <w:pPr>
        <w:pStyle w:val="FootnoteText"/>
      </w:pPr>
      <w:r w:rsidRPr="00A83015">
        <w:rPr>
          <w:rStyle w:val="FootnoteReference"/>
        </w:rPr>
        <w:footnoteRef/>
      </w:r>
      <w:r w:rsidRPr="00487E9C">
        <w:rPr>
          <w:i/>
        </w:rPr>
        <w:t xml:space="preserve"> See id.  </w:t>
      </w:r>
      <w:r w:rsidRPr="00A34435">
        <w:t xml:space="preserve">For example, the Commission set out in the </w:t>
      </w:r>
      <w:r w:rsidRPr="00A34435">
        <w:rPr>
          <w:i/>
        </w:rPr>
        <w:t>Mobile Spectrum Holdings Report and Order</w:t>
      </w:r>
      <w:r w:rsidRPr="00AA7C55">
        <w:t xml:space="preserve"> its anticipation “that any entity that wo</w:t>
      </w:r>
      <w:r w:rsidRPr="00FA7FF8">
        <w:t>uld end up with more than one third of below-1</w:t>
      </w:r>
      <w:r w:rsidRPr="00A74EAD">
        <w:t xml:space="preserve">-GHz spectrum as a result of a proposed transaction would facilitate our case-by-case review with a detailed demonstration regarding why the public interest benefits outweigh harms.”  </w:t>
      </w:r>
      <w:r w:rsidRPr="00A83015">
        <w:rPr>
          <w:rStyle w:val="StyleParaNumTimesNewRoman11ptChar"/>
          <w:sz w:val="20"/>
          <w:lang w:eastAsia="x-none"/>
        </w:rPr>
        <w:t>The</w:t>
      </w:r>
      <w:r>
        <w:rPr>
          <w:rStyle w:val="StyleParaNumTimesNewRoman11ptChar"/>
          <w:sz w:val="20"/>
          <w:lang w:eastAsia="x-none"/>
        </w:rPr>
        <w:t xml:space="preserve"> Commission also stated that “</w:t>
      </w:r>
      <w:r w:rsidRPr="00487E9C">
        <w:t>we anticipate that we likely would have even greater concerns where the</w:t>
      </w:r>
      <w:r w:rsidRPr="00D81688">
        <w:t xml:space="preserve"> proposed transaction would result in an </w:t>
      </w:r>
      <w:r w:rsidRPr="00487E9C">
        <w:t>assignee or transferee</w:t>
      </w:r>
      <w:r w:rsidRPr="00A34435">
        <w:t xml:space="preserve"> that already holds approximately one-third or more of below-1-GHz spectr</w:t>
      </w:r>
      <w:r w:rsidRPr="00AA7C55">
        <w:t>um in a market acquiring additional below-1-GHz spectrum in that market, especially with regard to paired low-band spectrum</w:t>
      </w:r>
      <w:r w:rsidRPr="00FA7FF8">
        <w:t>.  In these cases</w:t>
      </w:r>
      <w:r w:rsidRPr="00A74EAD">
        <w:t xml:space="preserve">, the demonstration of the public interest benefits of the proposed transaction would need to clearly outweigh the potential public interest harms associated with such additional concentration of below-1-GHz spectrum, irrespective of other factors.”  </w:t>
      </w:r>
      <w:r w:rsidRPr="00A74EAD">
        <w:rPr>
          <w:i/>
        </w:rPr>
        <w:t>Mobile Spectrum Holdings Report and Order</w:t>
      </w:r>
      <w:r w:rsidRPr="00A74EAD">
        <w:t xml:space="preserve">, </w:t>
      </w:r>
      <w:r w:rsidRPr="00A74EAD">
        <w:rPr>
          <w:color w:val="010101"/>
        </w:rPr>
        <w:t>29 FCC Rcd at 6240 ¶¶ 286-87.</w:t>
      </w:r>
    </w:p>
  </w:footnote>
  <w:footnote w:id="33">
    <w:p w:rsidR="00E257C0" w:rsidRPr="00316A29" w:rsidRDefault="00E257C0" w:rsidP="00610C29">
      <w:pPr>
        <w:pStyle w:val="FootnoteText"/>
      </w:pPr>
      <w:r w:rsidRPr="00316A29">
        <w:rPr>
          <w:rStyle w:val="FootnoteReference"/>
        </w:rPr>
        <w:footnoteRef/>
      </w:r>
      <w:r w:rsidRPr="00316A29">
        <w:rPr>
          <w:i/>
        </w:rPr>
        <w:t xml:space="preserve"> See, e.g.</w:t>
      </w:r>
      <w:r w:rsidRPr="00316A29">
        <w:t xml:space="preserve">, </w:t>
      </w:r>
      <w:r>
        <w:rPr>
          <w:i/>
        </w:rPr>
        <w:t xml:space="preserve">AT&amp;T-Leap Order, </w:t>
      </w:r>
      <w:r w:rsidRPr="00CF4C4A">
        <w:t xml:space="preserve">29 FCC Rcd at </w:t>
      </w:r>
      <w:r>
        <w:t xml:space="preserve">2742 ¶ 15; </w:t>
      </w:r>
      <w:r>
        <w:rPr>
          <w:i/>
        </w:rPr>
        <w:t>SoftBank-Sprint Order</w:t>
      </w:r>
      <w:r w:rsidRPr="00183ED0">
        <w:t>,</w:t>
      </w:r>
      <w:r>
        <w:t xml:space="preserve"> 28 FCC Rcd at 9651 ¶ 25; </w:t>
      </w:r>
      <w:r w:rsidRPr="004B1CBF">
        <w:rPr>
          <w:i/>
        </w:rPr>
        <w:t>T-Mobile-MetroPCS Order</w:t>
      </w:r>
      <w:r>
        <w:t xml:space="preserve">, 28 FCC Rcd at 2328-29 </w:t>
      </w:r>
      <w:r w:rsidRPr="00CD23F8">
        <w:t xml:space="preserve">¶ </w:t>
      </w:r>
      <w:r>
        <w:t>16.</w:t>
      </w:r>
    </w:p>
  </w:footnote>
  <w:footnote w:id="34">
    <w:p w:rsidR="00E257C0" w:rsidRPr="00316A29" w:rsidRDefault="00E257C0" w:rsidP="0070044D">
      <w:pPr>
        <w:pStyle w:val="FootnoteText"/>
      </w:pPr>
      <w:r w:rsidRPr="00316A29">
        <w:rPr>
          <w:vertAlign w:val="superscript"/>
        </w:rPr>
        <w:footnoteRef/>
      </w:r>
      <w:r w:rsidRPr="00316A29">
        <w:t xml:space="preserve"> </w:t>
      </w:r>
      <w:r w:rsidRPr="009557B9">
        <w:rPr>
          <w:i/>
        </w:rPr>
        <w:t>See, e.g.</w:t>
      </w:r>
      <w:r w:rsidRPr="00D7294A">
        <w:t xml:space="preserve">, </w:t>
      </w:r>
      <w:r w:rsidRPr="00D7294A">
        <w:rPr>
          <w:i/>
        </w:rPr>
        <w:t>SoftBank-Sprint Order</w:t>
      </w:r>
      <w:r w:rsidRPr="00D7294A">
        <w:t>, 28 FCC Rcd at 9651 ¶ 25.</w:t>
      </w:r>
      <w:r>
        <w:t xml:space="preserve">  </w:t>
      </w:r>
      <w:r w:rsidRPr="00D7294A">
        <w:rPr>
          <w:i/>
        </w:rPr>
        <w:t xml:space="preserve">See also </w:t>
      </w:r>
      <w:r w:rsidRPr="009557B9">
        <w:rPr>
          <w:i/>
        </w:rPr>
        <w:t xml:space="preserve">AT&amp;T-Leap Order, </w:t>
      </w:r>
      <w:r w:rsidRPr="00D7294A">
        <w:t>29 FCC Rcd at 2742 ¶</w:t>
      </w:r>
      <w:r w:rsidR="00A35F7F">
        <w:t xml:space="preserve"> </w:t>
      </w:r>
      <w:r w:rsidRPr="00D7294A">
        <w:t xml:space="preserve">15; </w:t>
      </w:r>
      <w:r w:rsidRPr="00D7294A">
        <w:rPr>
          <w:i/>
        </w:rPr>
        <w:t>T-Mobile-MetroPCS Order</w:t>
      </w:r>
      <w:r w:rsidRPr="00D7294A">
        <w:t>, 28 FCC Rcd 2328-29 ¶ 16.</w:t>
      </w:r>
    </w:p>
  </w:footnote>
  <w:footnote w:id="35">
    <w:p w:rsidR="00E257C0" w:rsidRPr="00316A29" w:rsidRDefault="00E257C0" w:rsidP="00FA6F04">
      <w:pPr>
        <w:pStyle w:val="FootnoteText"/>
        <w:rPr>
          <w:iCs/>
        </w:rPr>
      </w:pPr>
      <w:r w:rsidRPr="00316A29">
        <w:rPr>
          <w:vertAlign w:val="superscript"/>
        </w:rPr>
        <w:footnoteRef/>
      </w:r>
      <w:r w:rsidRPr="00316A29">
        <w:t xml:space="preserve"> </w:t>
      </w:r>
      <w:r w:rsidRPr="00CE44D7">
        <w:rPr>
          <w:i/>
        </w:rPr>
        <w:t>See id.</w:t>
      </w:r>
      <w:r>
        <w:t xml:space="preserve"> </w:t>
      </w:r>
    </w:p>
  </w:footnote>
  <w:footnote w:id="36">
    <w:p w:rsidR="00E257C0" w:rsidRPr="00316A29" w:rsidRDefault="00E257C0" w:rsidP="00FA6F04">
      <w:pPr>
        <w:pStyle w:val="FootnoteText"/>
      </w:pPr>
      <w:r w:rsidRPr="00316A29">
        <w:rPr>
          <w:rStyle w:val="FootnoteReference"/>
        </w:rPr>
        <w:footnoteRef/>
      </w:r>
      <w:r w:rsidRPr="00316A29">
        <w:t xml:space="preserve"> 47 U.S.C. § 309(e); </w:t>
      </w:r>
      <w:r w:rsidRPr="00316A29">
        <w:rPr>
          <w:i/>
        </w:rPr>
        <w:t xml:space="preserve">see also </w:t>
      </w:r>
      <w:r>
        <w:rPr>
          <w:i/>
        </w:rPr>
        <w:t xml:space="preserve">AT&amp;T-Leap Order, </w:t>
      </w:r>
      <w:r w:rsidRPr="00CF4C4A">
        <w:t xml:space="preserve">29 FCC Rcd at </w:t>
      </w:r>
      <w:r>
        <w:t xml:space="preserve">2743 ¶ 15; </w:t>
      </w:r>
      <w:r>
        <w:rPr>
          <w:i/>
        </w:rPr>
        <w:t>SoftBank-Sprint Order</w:t>
      </w:r>
      <w:r w:rsidRPr="00183ED0">
        <w:t>,</w:t>
      </w:r>
      <w:r>
        <w:t xml:space="preserve"> 28 FCC Rcd at 9652 ¶ 25; </w:t>
      </w:r>
      <w:r w:rsidRPr="00796BEF">
        <w:t>Applications of EchoStar Communications Corp., General Motors Corp. and Hughes Electronics Corp., and EchoStar Communications Corp.,</w:t>
      </w:r>
      <w:r w:rsidRPr="00316A29">
        <w:t xml:space="preserve"> </w:t>
      </w:r>
      <w:r>
        <w:t xml:space="preserve">CS Docket No. 01-348, </w:t>
      </w:r>
      <w:r w:rsidRPr="00796BEF">
        <w:rPr>
          <w:i/>
        </w:rPr>
        <w:t>Hearing Designation Order</w:t>
      </w:r>
      <w:r w:rsidRPr="00316A29">
        <w:rPr>
          <w:i/>
        </w:rPr>
        <w:t>,</w:t>
      </w:r>
      <w:r>
        <w:t xml:space="preserve"> 17 FCC Rcd 20559, 20574</w:t>
      </w:r>
      <w:r w:rsidRPr="00316A29">
        <w:t xml:space="preserve"> ¶ 25 (2002).</w:t>
      </w:r>
    </w:p>
  </w:footnote>
  <w:footnote w:id="37">
    <w:p w:rsidR="00E257C0" w:rsidRDefault="00E257C0">
      <w:pPr>
        <w:pStyle w:val="FootnoteText"/>
      </w:pPr>
      <w:r>
        <w:rPr>
          <w:rStyle w:val="FootnoteReference"/>
        </w:rPr>
        <w:footnoteRef/>
      </w:r>
      <w:r>
        <w:t xml:space="preserve"> </w:t>
      </w:r>
      <w:r w:rsidRPr="00316A29">
        <w:rPr>
          <w:i/>
        </w:rPr>
        <w:t xml:space="preserve">See, e.g., </w:t>
      </w:r>
      <w:r>
        <w:rPr>
          <w:i/>
        </w:rPr>
        <w:t xml:space="preserve">AT&amp;T-Leap Order, </w:t>
      </w:r>
      <w:r w:rsidRPr="00CF4C4A">
        <w:t xml:space="preserve">29 FCC Rcd at </w:t>
      </w:r>
      <w:r>
        <w:t xml:space="preserve">2743 ¶ 16; </w:t>
      </w:r>
      <w:r>
        <w:rPr>
          <w:i/>
        </w:rPr>
        <w:t>SoftBank-Sprint Order</w:t>
      </w:r>
      <w:r w:rsidRPr="00183ED0">
        <w:t>,</w:t>
      </w:r>
      <w:r>
        <w:t xml:space="preserve"> 28 FCC Rcd at 9652 ¶ 25; </w:t>
      </w:r>
      <w:r w:rsidRPr="000E2A95">
        <w:t xml:space="preserve">Applications of Cellco Partnership d/b/a Verizon Wireless and SpectrumCo LLC and Cox TMI, LLC </w:t>
      </w:r>
      <w:r>
        <w:t>f</w:t>
      </w:r>
      <w:r w:rsidRPr="00995703">
        <w:t>or</w:t>
      </w:r>
      <w:r w:rsidRPr="000E2A95">
        <w:t xml:space="preserve"> Consent </w:t>
      </w:r>
      <w:r>
        <w:t>T</w:t>
      </w:r>
      <w:r w:rsidRPr="000E2A95">
        <w:t xml:space="preserve">o Assign AWS-1 Licenses, WT Docket No. 12-4, </w:t>
      </w:r>
      <w:r w:rsidRPr="000E2A95">
        <w:rPr>
          <w:i/>
        </w:rPr>
        <w:t>Memorandum Opinion and Order</w:t>
      </w:r>
      <w:r w:rsidRPr="00777EE0">
        <w:t>, 27 FCC Rcd 10698</w:t>
      </w:r>
      <w:r w:rsidRPr="000E2A95">
        <w:t>, 10711 ¶</w:t>
      </w:r>
      <w:r>
        <w:t xml:space="preserve"> </w:t>
      </w:r>
      <w:r w:rsidRPr="000E2A95">
        <w:t>30 (2012) (“</w:t>
      </w:r>
      <w:r w:rsidRPr="000E2A95">
        <w:rPr>
          <w:i/>
        </w:rPr>
        <w:t>Verizon Wireless-SpectrumCo Order</w:t>
      </w:r>
      <w:r w:rsidRPr="000E2A95">
        <w:t>”)</w:t>
      </w:r>
      <w:r>
        <w:t>.</w:t>
      </w:r>
    </w:p>
  </w:footnote>
  <w:footnote w:id="38">
    <w:p w:rsidR="00E257C0" w:rsidRPr="00A5312F" w:rsidRDefault="00E257C0" w:rsidP="00555C0B">
      <w:pPr>
        <w:pStyle w:val="FootnoteText"/>
      </w:pPr>
      <w:r w:rsidRPr="0075707B">
        <w:rPr>
          <w:rStyle w:val="FootnoteReference"/>
        </w:rPr>
        <w:footnoteRef/>
      </w:r>
      <w:r w:rsidRPr="0075707B">
        <w:t xml:space="preserve"> </w:t>
      </w:r>
      <w:r w:rsidRPr="009F0F3A">
        <w:rPr>
          <w:lang w:val="fr-FR"/>
        </w:rPr>
        <w:t>47 U.S.C.</w:t>
      </w:r>
      <w:r w:rsidRPr="00121630">
        <w:t xml:space="preserve"> §§ 308, 310(d); </w:t>
      </w:r>
      <w:r w:rsidRPr="00A5312F">
        <w:rPr>
          <w:i/>
        </w:rPr>
        <w:t>see also, e.g.</w:t>
      </w:r>
      <w:r w:rsidRPr="00A5312F">
        <w:t>,</w:t>
      </w:r>
      <w:r w:rsidRPr="00DD4D98">
        <w:t xml:space="preserve"> </w:t>
      </w:r>
      <w:r>
        <w:rPr>
          <w:i/>
        </w:rPr>
        <w:t xml:space="preserve">AT&amp;T-Leap Order, </w:t>
      </w:r>
      <w:r w:rsidRPr="00CF4C4A">
        <w:t xml:space="preserve">29 FCC Rcd at </w:t>
      </w:r>
      <w:r>
        <w:t>2744 ¶ 17; Applications of GCI</w:t>
      </w:r>
      <w:r w:rsidRPr="00700865">
        <w:t xml:space="preserve"> Communication Corp., A</w:t>
      </w:r>
      <w:r>
        <w:t>CS</w:t>
      </w:r>
      <w:r w:rsidRPr="00700865">
        <w:t xml:space="preserve"> Wireless License Sub, Inc., A</w:t>
      </w:r>
      <w:r>
        <w:t>CS</w:t>
      </w:r>
      <w:r w:rsidRPr="00700865">
        <w:t xml:space="preserve"> </w:t>
      </w:r>
      <w:r>
        <w:t>o</w:t>
      </w:r>
      <w:r w:rsidRPr="00700865">
        <w:t xml:space="preserve">f Anchorage License Sub, Inc., </w:t>
      </w:r>
      <w:r>
        <w:t>a</w:t>
      </w:r>
      <w:r w:rsidRPr="00700865">
        <w:t xml:space="preserve">nd Unicom, Inc. </w:t>
      </w:r>
      <w:r>
        <w:t>f</w:t>
      </w:r>
      <w:r w:rsidRPr="00700865">
        <w:t xml:space="preserve">or Consent To Assign Licenses </w:t>
      </w:r>
      <w:r>
        <w:t>t</w:t>
      </w:r>
      <w:r w:rsidRPr="00700865">
        <w:t xml:space="preserve">o </w:t>
      </w:r>
      <w:r>
        <w:t>t</w:t>
      </w:r>
      <w:r w:rsidRPr="00700865">
        <w:t>he Alaska Wireless Network, L</w:t>
      </w:r>
      <w:r>
        <w:t>LC</w:t>
      </w:r>
      <w:r w:rsidRPr="00700865">
        <w:t>,</w:t>
      </w:r>
      <w:r>
        <w:rPr>
          <w:i/>
        </w:rPr>
        <w:t xml:space="preserve"> </w:t>
      </w:r>
      <w:r>
        <w:t>WT Docket No. 12-187,</w:t>
      </w:r>
      <w:r w:rsidRPr="00A5312F" w:rsidDel="00700865">
        <w:rPr>
          <w:i/>
        </w:rPr>
        <w:t xml:space="preserve"> </w:t>
      </w:r>
      <w:r w:rsidRPr="00A5312F">
        <w:t xml:space="preserve">28 FCC Rcd </w:t>
      </w:r>
      <w:r>
        <w:t>10433,</w:t>
      </w:r>
      <w:r w:rsidRPr="00A5312F">
        <w:t xml:space="preserve"> 10444 ¶ 28</w:t>
      </w:r>
      <w:r>
        <w:t xml:space="preserve"> (2013) (“</w:t>
      </w:r>
      <w:r w:rsidRPr="00A5312F">
        <w:rPr>
          <w:i/>
        </w:rPr>
        <w:t>Alaska Wireless Order</w:t>
      </w:r>
      <w:r>
        <w:t>”)</w:t>
      </w:r>
      <w:r w:rsidRPr="00A5312F">
        <w:t xml:space="preserve">; </w:t>
      </w:r>
      <w:r w:rsidRPr="00A5312F">
        <w:rPr>
          <w:i/>
        </w:rPr>
        <w:t>SoftBank-Sprint Order</w:t>
      </w:r>
      <w:r w:rsidRPr="00A5312F">
        <w:t>, 28 FCC Rcd at 9652 ¶ 26.</w:t>
      </w:r>
    </w:p>
  </w:footnote>
  <w:footnote w:id="39">
    <w:p w:rsidR="00E257C0" w:rsidRPr="00A6369B" w:rsidRDefault="00E257C0" w:rsidP="00555C0B">
      <w:pPr>
        <w:pStyle w:val="FootnoteText"/>
      </w:pPr>
      <w:r w:rsidRPr="0075707B">
        <w:rPr>
          <w:rStyle w:val="FootnoteReference"/>
        </w:rPr>
        <w:footnoteRef/>
      </w:r>
      <w:r w:rsidRPr="0075707B">
        <w:t xml:space="preserve"> </w:t>
      </w:r>
      <w:r w:rsidRPr="009F0F3A">
        <w:rPr>
          <w:i/>
        </w:rPr>
        <w:t>See</w:t>
      </w:r>
      <w:r w:rsidRPr="00121630">
        <w:t xml:space="preserve"> 47 U.S.C. §</w:t>
      </w:r>
      <w:r w:rsidRPr="00A5312F">
        <w:t xml:space="preserve"> 310(d); 47 C.F.R. § 1.948; </w:t>
      </w:r>
      <w:r w:rsidRPr="00A5312F">
        <w:rPr>
          <w:i/>
        </w:rPr>
        <w:t>see also, e.g.</w:t>
      </w:r>
      <w:r w:rsidRPr="00A5312F">
        <w:t>,</w:t>
      </w:r>
      <w:r w:rsidRPr="00A5312F">
        <w:rPr>
          <w:i/>
        </w:rPr>
        <w:t xml:space="preserve"> </w:t>
      </w:r>
      <w:r>
        <w:rPr>
          <w:i/>
        </w:rPr>
        <w:t xml:space="preserve">AT&amp;T-Leap Order, </w:t>
      </w:r>
      <w:r w:rsidRPr="00CF4C4A">
        <w:t xml:space="preserve">29 FCC Rcd at </w:t>
      </w:r>
      <w:r>
        <w:t xml:space="preserve">2744 ¶ 17; </w:t>
      </w:r>
      <w:r w:rsidRPr="00A5312F">
        <w:rPr>
          <w:i/>
        </w:rPr>
        <w:t>Alaska Wireless Order</w:t>
      </w:r>
      <w:r w:rsidRPr="00A5312F">
        <w:t>,</w:t>
      </w:r>
      <w:r w:rsidRPr="00A5312F">
        <w:rPr>
          <w:i/>
        </w:rPr>
        <w:t xml:space="preserve"> </w:t>
      </w:r>
      <w:r>
        <w:t xml:space="preserve">28 FCC Rcd at 10444-45 ¶ </w:t>
      </w:r>
      <w:r w:rsidRPr="00A5312F">
        <w:t xml:space="preserve">28; </w:t>
      </w:r>
      <w:r w:rsidRPr="00A5312F">
        <w:rPr>
          <w:i/>
        </w:rPr>
        <w:t>SoftBank-Sprint Order</w:t>
      </w:r>
      <w:r w:rsidRPr="00A5312F">
        <w:t>, 28 FCC Rcd at 9652-53 ¶ 26</w:t>
      </w:r>
      <w:r w:rsidRPr="00A6369B">
        <w:rPr>
          <w:color w:val="000000"/>
        </w:rPr>
        <w:t>.</w:t>
      </w:r>
    </w:p>
  </w:footnote>
  <w:footnote w:id="40">
    <w:p w:rsidR="00E257C0" w:rsidRPr="00A6369B" w:rsidRDefault="00E257C0" w:rsidP="00A74EAD">
      <w:pPr>
        <w:pStyle w:val="FootnoteText"/>
      </w:pPr>
      <w:r w:rsidRPr="00A6369B">
        <w:rPr>
          <w:rStyle w:val="FootnoteReference"/>
        </w:rPr>
        <w:footnoteRef/>
      </w:r>
      <w:r w:rsidRPr="00487E9C">
        <w:t xml:space="preserve"> </w:t>
      </w:r>
      <w:r w:rsidRPr="00A34435">
        <w:rPr>
          <w:i/>
        </w:rPr>
        <w:t>See, e.g., Alaska</w:t>
      </w:r>
      <w:r w:rsidRPr="00AA7C55">
        <w:rPr>
          <w:i/>
        </w:rPr>
        <w:t xml:space="preserve"> Wireless Order</w:t>
      </w:r>
      <w:r w:rsidRPr="00AA7C55">
        <w:t xml:space="preserve">, 28 FCC Rcd at 10445 ¶ 29; </w:t>
      </w:r>
      <w:r w:rsidRPr="00AA7C55">
        <w:rPr>
          <w:i/>
        </w:rPr>
        <w:t>SoftBank-Sprint Order</w:t>
      </w:r>
      <w:r w:rsidRPr="00FA7FF8">
        <w:t xml:space="preserve">, 28 FCC Rcd at 9653 ¶ 27.  </w:t>
      </w:r>
      <w:r w:rsidRPr="00A74EAD">
        <w:rPr>
          <w:i/>
        </w:rPr>
        <w:t>See also</w:t>
      </w:r>
      <w:r w:rsidRPr="00A74EAD">
        <w:t xml:space="preserve"> </w:t>
      </w:r>
      <w:r w:rsidRPr="00A74EAD">
        <w:rPr>
          <w:i/>
        </w:rPr>
        <w:t xml:space="preserve">AT&amp;T-Leap Order, </w:t>
      </w:r>
      <w:r w:rsidRPr="00A74EAD">
        <w:t>29 FCC Rcd at 2744 ¶ 17.</w:t>
      </w:r>
    </w:p>
  </w:footnote>
  <w:footnote w:id="41">
    <w:p w:rsidR="00E257C0" w:rsidRPr="00A5312F" w:rsidRDefault="00E257C0" w:rsidP="00555C0B">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Pr>
          <w:i/>
        </w:rPr>
        <w:t xml:space="preserve">AT&amp;T-Leap Order, </w:t>
      </w:r>
      <w:r w:rsidRPr="00CF4C4A">
        <w:t xml:space="preserve">29 FCC Rcd at </w:t>
      </w:r>
      <w:r>
        <w:t xml:space="preserve">2745 ¶ 19; </w:t>
      </w:r>
      <w:r w:rsidRPr="00A6369B">
        <w:t xml:space="preserve">Applications of AT&amp;T Mobility Spectrum LLC, New Cingular Wireless PCS, LLC, Comcast Corporation, Horizon Wi-Com, LLC, NextWave Wireless, Inc., and San Diego Gas &amp; Electric Company </w:t>
      </w:r>
      <w:r>
        <w:t>f</w:t>
      </w:r>
      <w:r w:rsidRPr="00A6369B">
        <w:t xml:space="preserve">or Consent </w:t>
      </w:r>
      <w:r>
        <w:t>T</w:t>
      </w:r>
      <w:r w:rsidRPr="00A6369B">
        <w:t xml:space="preserve">o Assign and Transfer Licenses, WT Docket No. 12-240, </w:t>
      </w:r>
      <w:r w:rsidRPr="00A6369B">
        <w:rPr>
          <w:i/>
        </w:rPr>
        <w:t>Memorandum Opinion and Order</w:t>
      </w:r>
      <w:r w:rsidRPr="00A6369B">
        <w:t xml:space="preserve">, 27 FCC Rcd </w:t>
      </w:r>
      <w:r>
        <w:t>16459, 16466-67</w:t>
      </w:r>
      <w:r w:rsidRPr="00A6369B">
        <w:t xml:space="preserve"> ¶ </w:t>
      </w:r>
      <w:r w:rsidRPr="00A5312F">
        <w:t>19</w:t>
      </w:r>
      <w:r w:rsidRPr="00A6369B">
        <w:t xml:space="preserve"> (2012) (“</w:t>
      </w:r>
      <w:r w:rsidRPr="00A6369B">
        <w:rPr>
          <w:i/>
        </w:rPr>
        <w:t>AT&amp;T</w:t>
      </w:r>
      <w:r>
        <w:rPr>
          <w:i/>
        </w:rPr>
        <w:t xml:space="preserve"> </w:t>
      </w:r>
      <w:r w:rsidRPr="00A6369B">
        <w:rPr>
          <w:i/>
        </w:rPr>
        <w:t>WCS Order</w:t>
      </w:r>
      <w:r w:rsidRPr="00A6369B">
        <w:t>”)</w:t>
      </w:r>
      <w:r w:rsidRPr="00A5312F">
        <w:t>.</w:t>
      </w:r>
    </w:p>
  </w:footnote>
  <w:footnote w:id="42">
    <w:p w:rsidR="00E257C0" w:rsidRPr="00A5312F" w:rsidRDefault="00E257C0" w:rsidP="008B50AE">
      <w:pPr>
        <w:pStyle w:val="FootnoteText"/>
      </w:pPr>
      <w:r w:rsidRPr="0075707B">
        <w:rPr>
          <w:rStyle w:val="FootnoteReference"/>
        </w:rPr>
        <w:footnoteRef/>
      </w:r>
      <w:r w:rsidRPr="0075707B">
        <w:t xml:space="preserve"> </w:t>
      </w:r>
      <w:r w:rsidRPr="009F0F3A">
        <w:rPr>
          <w:i/>
        </w:rPr>
        <w:t>See, e.g</w:t>
      </w:r>
      <w:r w:rsidRPr="00121630">
        <w:rPr>
          <w:i/>
        </w:rPr>
        <w:t>.,</w:t>
      </w:r>
      <w:r w:rsidRPr="002D12E0">
        <w:rPr>
          <w:i/>
          <w:iCs/>
        </w:rPr>
        <w:t xml:space="preserve"> </w:t>
      </w:r>
      <w:r w:rsidRPr="00A5312F">
        <w:rPr>
          <w:i/>
        </w:rPr>
        <w:t>SoftBank-Sprint Order</w:t>
      </w:r>
      <w:r w:rsidRPr="00A5312F">
        <w:t xml:space="preserve">, 28 FCC Rcd at 9656 ¶ 34; </w:t>
      </w:r>
      <w:r w:rsidRPr="00A5312F">
        <w:rPr>
          <w:i/>
        </w:rPr>
        <w:t>Verizon Wireless-SpectrumCo Order,</w:t>
      </w:r>
      <w:r w:rsidRPr="00A5312F">
        <w:t xml:space="preserve"> 27 FCC Rcd at 10716 ¶¶ 47-48, 10734 ¶ 95.</w:t>
      </w:r>
      <w:r>
        <w:t xml:space="preserve">  </w:t>
      </w:r>
      <w:r w:rsidRPr="00B83EDA">
        <w:rPr>
          <w:i/>
        </w:rPr>
        <w:t>See also</w:t>
      </w:r>
      <w:r>
        <w:t xml:space="preserve"> </w:t>
      </w:r>
      <w:r>
        <w:rPr>
          <w:i/>
          <w:iCs/>
        </w:rPr>
        <w:t>AT&amp;T-Leap Order</w:t>
      </w:r>
      <w:r>
        <w:rPr>
          <w:iCs/>
        </w:rPr>
        <w:t xml:space="preserve">, </w:t>
      </w:r>
      <w:r>
        <w:t xml:space="preserve">29 FCC Rcd at 2745 </w:t>
      </w:r>
      <w:r w:rsidRPr="001800E5">
        <w:t>¶</w:t>
      </w:r>
      <w:r>
        <w:t xml:space="preserve"> 20.</w:t>
      </w:r>
    </w:p>
  </w:footnote>
  <w:footnote w:id="43">
    <w:p w:rsidR="00E257C0" w:rsidRPr="00A74EAD" w:rsidRDefault="00E257C0" w:rsidP="00A74EAD">
      <w:pPr>
        <w:pStyle w:val="FootnoteText"/>
      </w:pPr>
      <w:r w:rsidRPr="00A5312F">
        <w:rPr>
          <w:rStyle w:val="FootnoteReference"/>
        </w:rPr>
        <w:footnoteRef/>
      </w:r>
      <w:r w:rsidRPr="00487E9C">
        <w:t xml:space="preserve"> </w:t>
      </w:r>
      <w:r w:rsidRPr="00A34435">
        <w:rPr>
          <w:i/>
        </w:rPr>
        <w:t>See, e.g., Verizon Wireless-SpectrumCo Order</w:t>
      </w:r>
      <w:r w:rsidRPr="00A34435">
        <w:t xml:space="preserve">, 27 FCC Rcd at 10716 ¶ 48; </w:t>
      </w:r>
      <w:r w:rsidRPr="00AA7C55">
        <w:t xml:space="preserve">Application of AT&amp;T Inc. and </w:t>
      </w:r>
      <w:r w:rsidRPr="00FA7FF8">
        <w:t xml:space="preserve">Qualcomm Incorporated For Consent </w:t>
      </w:r>
      <w:r w:rsidRPr="00A74EAD">
        <w:t xml:space="preserve">To Assign Licenses and Authorizations, WT Docket No. 11-18, </w:t>
      </w:r>
      <w:r w:rsidRPr="00A74EAD">
        <w:rPr>
          <w:i/>
        </w:rPr>
        <w:t>Order</w:t>
      </w:r>
      <w:r w:rsidRPr="00A74EAD">
        <w:t>, 26 FCC Rcd 17589, 17602 ¶ 31 (2011) (“</w:t>
      </w:r>
      <w:r w:rsidRPr="00A74EAD">
        <w:rPr>
          <w:i/>
        </w:rPr>
        <w:t>AT&amp;T-Qualcomm Order</w:t>
      </w:r>
      <w:r w:rsidRPr="00A74EAD">
        <w:t xml:space="preserve">”).  </w:t>
      </w:r>
      <w:r w:rsidRPr="00A74EAD">
        <w:rPr>
          <w:i/>
        </w:rPr>
        <w:t>See also</w:t>
      </w:r>
      <w:r w:rsidRPr="00A74EAD">
        <w:t xml:space="preserve"> </w:t>
      </w:r>
      <w:r w:rsidRPr="00A74EAD">
        <w:rPr>
          <w:i/>
        </w:rPr>
        <w:t>AT&amp;T-Leap Order</w:t>
      </w:r>
      <w:r w:rsidRPr="00A74EAD">
        <w:t>, 29 FCC Rcd at 2745 ¶ 20.</w:t>
      </w:r>
    </w:p>
  </w:footnote>
  <w:footnote w:id="44">
    <w:p w:rsidR="00E257C0" w:rsidRPr="001F1BFD" w:rsidRDefault="00E257C0" w:rsidP="008B50AE">
      <w:pPr>
        <w:pStyle w:val="FootnoteText"/>
      </w:pPr>
      <w:r w:rsidRPr="00A5312F">
        <w:rPr>
          <w:rStyle w:val="FootnoteReference"/>
        </w:rPr>
        <w:footnoteRef/>
      </w:r>
      <w:r w:rsidRPr="001F1BFD">
        <w:t xml:space="preserve"> </w:t>
      </w:r>
      <w:r w:rsidRPr="001F1BFD">
        <w:rPr>
          <w:i/>
        </w:rPr>
        <w:t>See, e.g., SoftBank-Sprint Order</w:t>
      </w:r>
      <w:r w:rsidRPr="001F1BFD">
        <w:t>, 28 FCC Rcd at 9656 ¶ 34.</w:t>
      </w:r>
      <w:r>
        <w:t xml:space="preserve">  </w:t>
      </w:r>
      <w:r w:rsidRPr="00B83EDA">
        <w:rPr>
          <w:i/>
        </w:rPr>
        <w:t>See also</w:t>
      </w:r>
      <w:r>
        <w:t xml:space="preserve"> </w:t>
      </w:r>
      <w:r>
        <w:rPr>
          <w:i/>
        </w:rPr>
        <w:t xml:space="preserve">AT&amp;T-Leap Order, </w:t>
      </w:r>
      <w:r>
        <w:t xml:space="preserve">29 FCC Rcd at 2745 </w:t>
      </w:r>
      <w:r w:rsidRPr="001800E5">
        <w:t>¶</w:t>
      </w:r>
      <w:r w:rsidR="0082351E">
        <w:t xml:space="preserve"> </w:t>
      </w:r>
      <w:r>
        <w:t>20</w:t>
      </w:r>
      <w:r>
        <w:rPr>
          <w:i/>
        </w:rPr>
        <w:t>.</w:t>
      </w:r>
    </w:p>
  </w:footnote>
  <w:footnote w:id="45">
    <w:p w:rsidR="00E257C0" w:rsidRPr="00A5312F" w:rsidRDefault="00E257C0" w:rsidP="008B50AE">
      <w:pPr>
        <w:pStyle w:val="FootnoteText"/>
      </w:pPr>
      <w:r w:rsidRPr="002F1CEA">
        <w:rPr>
          <w:rStyle w:val="FootnoteReference"/>
        </w:rPr>
        <w:footnoteRef/>
      </w:r>
      <w:r w:rsidRPr="003A73EF">
        <w:t xml:space="preserve"> </w:t>
      </w:r>
      <w:r w:rsidRPr="00C9339C">
        <w:rPr>
          <w:i/>
          <w:iCs/>
        </w:rPr>
        <w:t xml:space="preserve">See, e.g., SoftBank-Sprint Order, </w:t>
      </w:r>
      <w:r w:rsidRPr="00C9339C">
        <w:rPr>
          <w:iCs/>
        </w:rPr>
        <w:t xml:space="preserve">28 FCC Rcd at 9656 ¶ 35; </w:t>
      </w:r>
      <w:r w:rsidRPr="00C9339C">
        <w:rPr>
          <w:i/>
        </w:rPr>
        <w:t>AT&amp;T</w:t>
      </w:r>
      <w:r>
        <w:rPr>
          <w:i/>
        </w:rPr>
        <w:t xml:space="preserve"> </w:t>
      </w:r>
      <w:r w:rsidRPr="00C9339C">
        <w:rPr>
          <w:i/>
        </w:rPr>
        <w:t>WCS Order</w:t>
      </w:r>
      <w:r w:rsidRPr="00C9339C">
        <w:t>, 27 FCC Rcd at 16467 ¶ 21</w:t>
      </w:r>
      <w:r w:rsidRPr="00773561">
        <w:t xml:space="preserve">; </w:t>
      </w:r>
      <w:r w:rsidRPr="00291216">
        <w:rPr>
          <w:i/>
        </w:rPr>
        <w:t>Verizon Wireless-SpectrumCo Order</w:t>
      </w:r>
      <w:r w:rsidRPr="0075707B">
        <w:t xml:space="preserve">, 27 FCC Rcd at 10716 ¶ 48; </w:t>
      </w:r>
      <w:r w:rsidRPr="009F0F3A">
        <w:rPr>
          <w:i/>
        </w:rPr>
        <w:t>AT&amp;T-Qualcomm Order</w:t>
      </w:r>
      <w:r w:rsidRPr="00121630">
        <w:t>, 26 FCC Rcd at 17609-10 ¶¶ 49-50</w:t>
      </w:r>
      <w:r>
        <w:rPr>
          <w:i/>
          <w:iCs/>
        </w:rPr>
        <w:t>.</w:t>
      </w:r>
    </w:p>
  </w:footnote>
  <w:footnote w:id="46">
    <w:p w:rsidR="00E257C0" w:rsidRDefault="00E257C0" w:rsidP="00F96FDA">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Report and</w:t>
      </w:r>
      <w:r w:rsidRPr="00BF23C2">
        <w:rPr>
          <w:i/>
        </w:rPr>
        <w:t xml:space="preserve"> Order</w:t>
      </w:r>
      <w:r>
        <w:t xml:space="preserve">, 29 FCC Rcd at 6223-24 </w:t>
      </w:r>
      <w:r w:rsidRPr="0051119E">
        <w:rPr>
          <w:bCs/>
        </w:rPr>
        <w:t>¶ 231</w:t>
      </w:r>
      <w:r>
        <w:rPr>
          <w:bCs/>
        </w:rPr>
        <w:t>.</w:t>
      </w:r>
    </w:p>
  </w:footnote>
  <w:footnote w:id="47">
    <w:p w:rsidR="00E257C0" w:rsidRPr="003D4B96" w:rsidRDefault="00E257C0" w:rsidP="003E2018">
      <w:pPr>
        <w:pStyle w:val="FootnoteText"/>
      </w:pPr>
      <w:r>
        <w:rPr>
          <w:rStyle w:val="FootnoteReference"/>
        </w:rPr>
        <w:footnoteRef/>
      </w:r>
      <w:r>
        <w:t xml:space="preserve"> </w:t>
      </w:r>
      <w:r w:rsidRPr="00CE44D7">
        <w:rPr>
          <w:i/>
        </w:rPr>
        <w:t>See</w:t>
      </w:r>
      <w:r>
        <w:t xml:space="preserve"> </w:t>
      </w:r>
      <w:r w:rsidRPr="00BF23C2">
        <w:rPr>
          <w:i/>
        </w:rPr>
        <w:t xml:space="preserve">Mobile Spectrum Holdings </w:t>
      </w:r>
      <w:r>
        <w:rPr>
          <w:i/>
        </w:rPr>
        <w:t>Report and</w:t>
      </w:r>
      <w:r w:rsidRPr="00BF23C2">
        <w:rPr>
          <w:i/>
        </w:rPr>
        <w:t xml:space="preserve"> Order</w:t>
      </w:r>
      <w:r>
        <w:t xml:space="preserve">, 29 FCC Rcd at 6233 </w:t>
      </w:r>
      <w:r w:rsidRPr="0051119E">
        <w:rPr>
          <w:bCs/>
        </w:rPr>
        <w:t>¶</w:t>
      </w:r>
      <w:r>
        <w:rPr>
          <w:bCs/>
        </w:rPr>
        <w:t xml:space="preserve"> 267, 6240 </w:t>
      </w:r>
      <w:r w:rsidRPr="0051119E">
        <w:rPr>
          <w:bCs/>
        </w:rPr>
        <w:t>¶¶</w:t>
      </w:r>
      <w:r>
        <w:rPr>
          <w:bCs/>
        </w:rPr>
        <w:t xml:space="preserve"> 286-88</w:t>
      </w:r>
      <w:r>
        <w:t>.</w:t>
      </w:r>
    </w:p>
  </w:footnote>
  <w:footnote w:id="48">
    <w:p w:rsidR="00E257C0" w:rsidRPr="001800E5" w:rsidRDefault="00E257C0" w:rsidP="0010018E">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 </w:t>
      </w:r>
      <w:r w:rsidRPr="0051119E">
        <w:rPr>
          <w:bCs/>
        </w:rPr>
        <w:t>¶</w:t>
      </w:r>
      <w:r>
        <w:rPr>
          <w:bCs/>
        </w:rPr>
        <w:t xml:space="preserve"> 60</w:t>
      </w:r>
      <w:r w:rsidRPr="001800E5">
        <w:t>.</w:t>
      </w:r>
    </w:p>
  </w:footnote>
  <w:footnote w:id="49">
    <w:p w:rsidR="00E257C0" w:rsidRPr="001800E5" w:rsidRDefault="00E257C0" w:rsidP="00885364">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6156-57 </w:t>
      </w:r>
      <w:r w:rsidRPr="0051119E">
        <w:rPr>
          <w:bCs/>
        </w:rPr>
        <w:t>¶</w:t>
      </w:r>
      <w:r>
        <w:rPr>
          <w:bCs/>
        </w:rPr>
        <w:t xml:space="preserve"> 46</w:t>
      </w:r>
      <w:r w:rsidRPr="001800E5">
        <w:t>.</w:t>
      </w:r>
      <w:r>
        <w:t xml:space="preserve">  </w:t>
      </w:r>
      <w:r w:rsidR="00B64CA1">
        <w:t>T</w:t>
      </w:r>
      <w:r w:rsidR="00696C24">
        <w:t xml:space="preserve">he </w:t>
      </w:r>
      <w:r w:rsidR="00696C24" w:rsidRPr="00696C24">
        <w:rPr>
          <w:i/>
        </w:rPr>
        <w:t>Mobile Spectrum Holdings Report and Order</w:t>
      </w:r>
      <w:r w:rsidR="00B64CA1">
        <w:rPr>
          <w:i/>
        </w:rPr>
        <w:t xml:space="preserve"> </w:t>
      </w:r>
      <w:r w:rsidR="00B64CA1">
        <w:t>state</w:t>
      </w:r>
      <w:r w:rsidR="00AA7C55">
        <w:t>s</w:t>
      </w:r>
      <w:r w:rsidR="00B64CA1">
        <w:t xml:space="preserve"> that “</w:t>
      </w:r>
      <w:r w:rsidR="00B64CA1" w:rsidRPr="001800E5">
        <w:t>in many service areas currently suitable and available below</w:t>
      </w:r>
      <w:r w:rsidR="00B64CA1">
        <w:t>-</w:t>
      </w:r>
      <w:r w:rsidR="00B64CA1" w:rsidRPr="001800E5">
        <w:t>1</w:t>
      </w:r>
      <w:r w:rsidR="00B64CA1">
        <w:t>-</w:t>
      </w:r>
      <w:r w:rsidR="00B64CA1" w:rsidRPr="001800E5">
        <w:t>GHz spectrum is disproportionately concentrated in the hands of larger nationwide service providers:</w:t>
      </w:r>
      <w:r w:rsidR="00B64CA1">
        <w:t xml:space="preserve"> </w:t>
      </w:r>
      <w:r w:rsidR="00B64CA1" w:rsidRPr="001800E5">
        <w:t xml:space="preserve"> the two largest providers hold 73 percent of the low-band spectrum</w:t>
      </w:r>
      <w:r w:rsidR="00696C24">
        <w:t xml:space="preserve">.”  </w:t>
      </w:r>
      <w:r w:rsidR="00FF5468">
        <w:rPr>
          <w:i/>
        </w:rPr>
        <w:t>I</w:t>
      </w:r>
      <w:r w:rsidRPr="00085CF7">
        <w:rPr>
          <w:i/>
        </w:rPr>
        <w:t>d.</w:t>
      </w:r>
      <w:r>
        <w:t xml:space="preserve">, 29 FCC Rcd at 6168 </w:t>
      </w:r>
      <w:r w:rsidRPr="0051119E">
        <w:rPr>
          <w:bCs/>
        </w:rPr>
        <w:t>¶</w:t>
      </w:r>
      <w:r>
        <w:rPr>
          <w:bCs/>
        </w:rPr>
        <w:t xml:space="preserve"> 68</w:t>
      </w:r>
      <w:r w:rsidRPr="001800E5">
        <w:t>.</w:t>
      </w:r>
    </w:p>
  </w:footnote>
  <w:footnote w:id="50">
    <w:p w:rsidR="00E257C0" w:rsidRPr="001800E5" w:rsidRDefault="00E257C0" w:rsidP="0010018E">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 </w:t>
      </w:r>
      <w:r w:rsidRPr="0051119E">
        <w:rPr>
          <w:bCs/>
        </w:rPr>
        <w:t>¶</w:t>
      </w:r>
      <w:r>
        <w:rPr>
          <w:bCs/>
        </w:rPr>
        <w:t xml:space="preserve"> 60</w:t>
      </w:r>
      <w:r w:rsidRPr="001800E5">
        <w:t>.</w:t>
      </w:r>
      <w:r w:rsidRPr="001800E5">
        <w:rPr>
          <w:rFonts w:ascii="Cambria" w:hAnsi="Cambria"/>
        </w:rPr>
        <w:t xml:space="preserve"> </w:t>
      </w:r>
    </w:p>
  </w:footnote>
  <w:footnote w:id="51">
    <w:p w:rsidR="00E257C0" w:rsidRPr="001800E5" w:rsidRDefault="00E257C0" w:rsidP="0010018E">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6164-65 </w:t>
      </w:r>
      <w:r w:rsidRPr="0051119E">
        <w:rPr>
          <w:bCs/>
        </w:rPr>
        <w:t>¶¶</w:t>
      </w:r>
      <w:r>
        <w:rPr>
          <w:bCs/>
        </w:rPr>
        <w:t xml:space="preserve"> 60-61; Applications of AT&amp;T Inc., Cellco Partnership d/b/a Verizon Wireless, Grain Spectrum, LLC, and Grain Spectrum II, LLC for Consent To Assign and Lease AWS-1 and Lower 700 MHz Licenses, WT Docket No. 13-56, </w:t>
      </w:r>
      <w:r w:rsidRPr="00B83EDA">
        <w:rPr>
          <w:bCs/>
          <w:i/>
        </w:rPr>
        <w:t>Memorandum Opinion and Order</w:t>
      </w:r>
      <w:r>
        <w:rPr>
          <w:bCs/>
        </w:rPr>
        <w:t xml:space="preserve">, 28 FCC Rcd 12878, 12893 </w:t>
      </w:r>
      <w:r>
        <w:t>¶</w:t>
      </w:r>
      <w:r w:rsidRPr="001800E5">
        <w:t xml:space="preserve">¶ </w:t>
      </w:r>
      <w:r>
        <w:t>40-41 (WTB 2013) (“</w:t>
      </w:r>
      <w:r w:rsidRPr="00B83EDA">
        <w:rPr>
          <w:i/>
        </w:rPr>
        <w:t>AT&amp;T-Verizon Wireless-Grain Order</w:t>
      </w:r>
      <w:r>
        <w:t xml:space="preserve">”); Applications of Cellco Partnership d/b/a Verizon Wireless and E.N.M.R. Telephone Cooperative and Its Wholly-Owned Subsidiary Plateau Telecommunications, Incorporated for Consent To Assign Licenses and Authority, ULS File Nos. 0005034870, 0005034877, and 0005063051, and File No. ITC-ASG-20120420-00105, </w:t>
      </w:r>
      <w:r w:rsidRPr="00C46E07">
        <w:rPr>
          <w:i/>
        </w:rPr>
        <w:t>Memorandum Opinion and Order</w:t>
      </w:r>
      <w:r>
        <w:t xml:space="preserve">, 27 FCC Rcd 12159, 12154 </w:t>
      </w:r>
      <w:r w:rsidRPr="001800E5">
        <w:t xml:space="preserve">¶ </w:t>
      </w:r>
      <w:r>
        <w:t>15 (WTB, IB 2012) (“</w:t>
      </w:r>
      <w:r w:rsidRPr="00C46E07">
        <w:rPr>
          <w:i/>
        </w:rPr>
        <w:t>Verizon Wireless-E.N.M.R. Order</w:t>
      </w:r>
      <w:r>
        <w:t xml:space="preserve">”); </w:t>
      </w:r>
      <w:r w:rsidRPr="001800E5">
        <w:rPr>
          <w:i/>
        </w:rPr>
        <w:t xml:space="preserve">AT&amp;T-Qualcomm Order, </w:t>
      </w:r>
      <w:r w:rsidRPr="001800E5">
        <w:t>26 FCC Rcd at 17602 ¶ 3</w:t>
      </w:r>
      <w:r>
        <w:t>1</w:t>
      </w:r>
      <w:r w:rsidRPr="001800E5">
        <w:t>.</w:t>
      </w:r>
    </w:p>
  </w:footnote>
  <w:footnote w:id="52">
    <w:p w:rsidR="00E257C0" w:rsidRPr="00986BE3" w:rsidRDefault="00E257C0" w:rsidP="00994C1B">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xml:space="preserve">, 29 FCC Rcd at 6240 ¶ 286.  </w:t>
      </w:r>
      <w:r>
        <w:rPr>
          <w:rStyle w:val="StyleParaNumTimesNewRoman11ptChar"/>
          <w:sz w:val="20"/>
          <w:lang w:eastAsia="x-none"/>
        </w:rPr>
        <w:t>T</w:t>
      </w:r>
      <w:r w:rsidRPr="00EF47B8">
        <w:rPr>
          <w:rStyle w:val="StyleParaNumTimesNewRoman11ptChar"/>
          <w:sz w:val="20"/>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sidRPr="00EF47B8">
        <w:rPr>
          <w:i/>
        </w:rPr>
        <w:t>See</w:t>
      </w:r>
      <w:r w:rsidRPr="00EF47B8">
        <w:t xml:space="preserve"> </w:t>
      </w:r>
      <w:r w:rsidRPr="00EF47B8">
        <w:rPr>
          <w:i/>
        </w:rPr>
        <w:t>id.</w:t>
      </w:r>
      <w:r w:rsidRPr="00EF47B8">
        <w:t xml:space="preserve">, 29 FCC Rcd at </w:t>
      </w:r>
      <w:r w:rsidRPr="00EF47B8">
        <w:rPr>
          <w:bCs/>
        </w:rPr>
        <w:t xml:space="preserve">6240 </w:t>
      </w:r>
      <w:r w:rsidRPr="00A94971">
        <w:rPr>
          <w:bCs/>
        </w:rPr>
        <w:t>¶ 287</w:t>
      </w:r>
      <w:r w:rsidRPr="00986BE3">
        <w:t>.</w:t>
      </w:r>
    </w:p>
  </w:footnote>
  <w:footnote w:id="53">
    <w:p w:rsidR="00E257C0" w:rsidRPr="00D22B64" w:rsidRDefault="00E257C0" w:rsidP="00994C1B">
      <w:pPr>
        <w:pStyle w:val="FootnoteText"/>
      </w:pPr>
      <w:r w:rsidRPr="000D2ADF">
        <w:rPr>
          <w:rStyle w:val="FootnoteReference"/>
        </w:rPr>
        <w:footnoteRef/>
      </w:r>
      <w:r w:rsidRPr="00EE32B0">
        <w:t xml:space="preserve"> </w:t>
      </w:r>
      <w:r w:rsidRPr="003C78AB">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54">
    <w:p w:rsidR="00E257C0" w:rsidRDefault="00E257C0" w:rsidP="00EB7D7A">
      <w:pPr>
        <w:pStyle w:val="FootnoteText"/>
      </w:pPr>
      <w:r>
        <w:rPr>
          <w:rStyle w:val="FootnoteReference"/>
        </w:rPr>
        <w:footnoteRef/>
      </w:r>
      <w:r>
        <w:t xml:space="preserve"> </w:t>
      </w:r>
      <w:r w:rsidRPr="00CE44D7">
        <w:rPr>
          <w:i/>
        </w:rPr>
        <w:t>See</w:t>
      </w:r>
      <w:r>
        <w:t xml:space="preserve"> </w:t>
      </w:r>
      <w:r w:rsidRPr="00BF23C2">
        <w:rPr>
          <w:i/>
        </w:rPr>
        <w:t xml:space="preserve">Mobile Spectrum Holdings </w:t>
      </w:r>
      <w:r>
        <w:rPr>
          <w:i/>
        </w:rPr>
        <w:t>Report and</w:t>
      </w:r>
      <w:r w:rsidRPr="00BF23C2">
        <w:rPr>
          <w:i/>
        </w:rPr>
        <w:t xml:space="preserve"> Order</w:t>
      </w:r>
      <w:r>
        <w:t>, 29 FCC Rcd at 6240</w:t>
      </w:r>
      <w:r>
        <w:rPr>
          <w:bCs/>
        </w:rPr>
        <w:t xml:space="preserve"> </w:t>
      </w:r>
      <w:r w:rsidRPr="0051119E">
        <w:rPr>
          <w:bCs/>
        </w:rPr>
        <w:t>¶</w:t>
      </w:r>
      <w:r>
        <w:rPr>
          <w:bCs/>
        </w:rPr>
        <w:t xml:space="preserve"> 288</w:t>
      </w:r>
      <w:r>
        <w:t xml:space="preserve">.  </w:t>
      </w:r>
    </w:p>
  </w:footnote>
  <w:footnote w:id="55">
    <w:p w:rsidR="00E257C0" w:rsidRPr="00A5312F" w:rsidRDefault="00E257C0" w:rsidP="00E85A50">
      <w:pPr>
        <w:pStyle w:val="FootnoteText"/>
      </w:pPr>
      <w:r w:rsidRPr="0075707B">
        <w:rPr>
          <w:rStyle w:val="FootnoteReference"/>
        </w:rPr>
        <w:footnoteRef/>
      </w:r>
      <w:r w:rsidRPr="0075707B">
        <w:t xml:space="preserve"> </w:t>
      </w:r>
      <w:r w:rsidRPr="009F0F3A">
        <w:rPr>
          <w:i/>
        </w:rPr>
        <w:t>See, e.g.,</w:t>
      </w:r>
      <w:r w:rsidRPr="00121630">
        <w:rPr>
          <w:iCs/>
        </w:rPr>
        <w:t xml:space="preserve"> </w:t>
      </w:r>
      <w:r w:rsidRPr="00CE44D7">
        <w:rPr>
          <w:i/>
          <w:iCs/>
        </w:rPr>
        <w:t>AT&amp;T-Leap Order</w:t>
      </w:r>
      <w:r>
        <w:rPr>
          <w:iCs/>
        </w:rPr>
        <w:t xml:space="preserve">, </w:t>
      </w:r>
      <w:r>
        <w:t xml:space="preserve">29 FCC Rcd at 2744-46 </w:t>
      </w:r>
      <w:r>
        <w:rPr>
          <w:bCs/>
        </w:rPr>
        <w:t xml:space="preserve">¶ 21; </w:t>
      </w:r>
      <w:r>
        <w:t xml:space="preserve">Applications of AT&amp;T Inc. and Atlantic Tele-Network, Inc. for Consent To Transfer Control of and Assign Licenses and Authorizations, WT Docket No. 13-54, </w:t>
      </w:r>
      <w:r w:rsidRPr="005B62F8">
        <w:rPr>
          <w:i/>
        </w:rPr>
        <w:t>Memorandum Opinion and Order</w:t>
      </w:r>
      <w:r>
        <w:t>, 28 FCC Rcd 13670, 13681 ¶ 19 (WTB, IB 2013) (“</w:t>
      </w:r>
      <w:r w:rsidRPr="005B62F8">
        <w:rPr>
          <w:i/>
        </w:rPr>
        <w:t>AT&amp;T-ATN Order</w:t>
      </w:r>
      <w:r>
        <w:t xml:space="preserve">”); </w:t>
      </w:r>
      <w:r w:rsidRPr="00A5312F">
        <w:rPr>
          <w:i/>
        </w:rPr>
        <w:t>SoftBank-Sprint Order</w:t>
      </w:r>
      <w:r w:rsidRPr="00A5312F">
        <w:t>, 28 FCC Rcd at 9656 ¶ 34.</w:t>
      </w:r>
    </w:p>
  </w:footnote>
  <w:footnote w:id="56">
    <w:p w:rsidR="00E257C0" w:rsidRPr="00A5312F" w:rsidRDefault="00E257C0" w:rsidP="00E85A50">
      <w:pPr>
        <w:pStyle w:val="FootnoteText"/>
      </w:pPr>
      <w:r w:rsidRPr="0075707B">
        <w:rPr>
          <w:rStyle w:val="FootnoteReference"/>
        </w:rPr>
        <w:footnoteRef/>
      </w:r>
      <w:r w:rsidRPr="0075707B">
        <w:t xml:space="preserve"> To assess whether the increase in horizontal market concentration is significant or not, we consider the absolute level of the post-transaction HHI, a widely utilized measure of market concentration, as well as the change in the HHI.  </w:t>
      </w:r>
      <w:r w:rsidRPr="009F0F3A">
        <w:rPr>
          <w:i/>
        </w:rPr>
        <w:t>See</w:t>
      </w:r>
      <w:r>
        <w:t xml:space="preserve"> section V.B.1.</w:t>
      </w:r>
      <w:r w:rsidRPr="00A5312F">
        <w:t xml:space="preserve"> </w:t>
      </w:r>
      <w:r w:rsidRPr="00A5312F">
        <w:rPr>
          <w:i/>
        </w:rPr>
        <w:t>infra</w:t>
      </w:r>
      <w:r w:rsidRPr="00A5312F">
        <w:t>.</w:t>
      </w:r>
    </w:p>
  </w:footnote>
  <w:footnote w:id="57">
    <w:p w:rsidR="00E257C0" w:rsidRDefault="00E257C0">
      <w:pPr>
        <w:pStyle w:val="FootnoteText"/>
      </w:pPr>
      <w:r>
        <w:rPr>
          <w:rStyle w:val="FootnoteReference"/>
        </w:rPr>
        <w:footnoteRef/>
      </w:r>
      <w:r>
        <w:t xml:space="preserve"> </w:t>
      </w:r>
      <w:r w:rsidRPr="009F0F3A">
        <w:rPr>
          <w:i/>
        </w:rPr>
        <w:t>See, e.g.,</w:t>
      </w:r>
      <w:r w:rsidRPr="00121630">
        <w:rPr>
          <w:iCs/>
        </w:rPr>
        <w:t xml:space="preserve"> </w:t>
      </w:r>
      <w:r w:rsidRPr="005B62F8">
        <w:rPr>
          <w:i/>
          <w:iCs/>
        </w:rPr>
        <w:t>AT&amp;T-Leap Order</w:t>
      </w:r>
      <w:r>
        <w:rPr>
          <w:iCs/>
        </w:rPr>
        <w:t xml:space="preserve">, </w:t>
      </w:r>
      <w:r>
        <w:t xml:space="preserve">29 FCC Rcd at 2744-46 </w:t>
      </w:r>
      <w:r>
        <w:rPr>
          <w:bCs/>
        </w:rPr>
        <w:t>¶ 21;</w:t>
      </w:r>
      <w:r w:rsidRPr="001D5E8E">
        <w:rPr>
          <w:i/>
        </w:rPr>
        <w:t xml:space="preserve"> </w:t>
      </w:r>
      <w:r w:rsidRPr="005B62F8">
        <w:rPr>
          <w:i/>
        </w:rPr>
        <w:t>AT&amp;T-ATN Order</w:t>
      </w:r>
      <w:r>
        <w:t xml:space="preserve">, 28 FCC Rcd at </w:t>
      </w:r>
      <w:r>
        <w:rPr>
          <w:bCs/>
        </w:rPr>
        <w:t xml:space="preserve">13681 </w:t>
      </w:r>
      <w:r>
        <w:t xml:space="preserve">¶ 19; </w:t>
      </w:r>
      <w:r w:rsidRPr="00A5312F">
        <w:rPr>
          <w:i/>
        </w:rPr>
        <w:t>SoftBank-Sprint Order</w:t>
      </w:r>
      <w:r w:rsidRPr="00A5312F">
        <w:t>, 28 FCC Rcd at 9656 ¶ 34</w:t>
      </w:r>
      <w:r>
        <w:t>.</w:t>
      </w:r>
    </w:p>
  </w:footnote>
  <w:footnote w:id="58">
    <w:p w:rsidR="00E257C0" w:rsidRDefault="00E257C0" w:rsidP="0004756D">
      <w:pPr>
        <w:pStyle w:val="FootnoteText"/>
      </w:pPr>
      <w:r>
        <w:rPr>
          <w:rStyle w:val="FootnoteReference"/>
        </w:rPr>
        <w:footnoteRef/>
      </w:r>
      <w:r>
        <w:t xml:space="preserve"> </w:t>
      </w:r>
      <w:r>
        <w:rPr>
          <w:i/>
          <w:iCs/>
        </w:rPr>
        <w:t xml:space="preserve">See, e.g., </w:t>
      </w:r>
      <w:r w:rsidRPr="005B62F8">
        <w:rPr>
          <w:i/>
          <w:iCs/>
        </w:rPr>
        <w:t>AT&amp;T-</w:t>
      </w:r>
      <w:r w:rsidRPr="001D5E8E">
        <w:rPr>
          <w:i/>
          <w:iCs/>
        </w:rPr>
        <w:t>L</w:t>
      </w:r>
      <w:r w:rsidRPr="00737C4A">
        <w:rPr>
          <w:i/>
          <w:iCs/>
        </w:rPr>
        <w:t>eap Order</w:t>
      </w:r>
      <w:r w:rsidRPr="00737C4A">
        <w:rPr>
          <w:iCs/>
        </w:rPr>
        <w:t xml:space="preserve">, </w:t>
      </w:r>
      <w:r w:rsidRPr="00737C4A">
        <w:t xml:space="preserve">29 FCC Rcd at 2744-46 </w:t>
      </w:r>
      <w:r w:rsidRPr="00737C4A">
        <w:rPr>
          <w:bCs/>
        </w:rPr>
        <w:t>¶ 21;</w:t>
      </w:r>
      <w:r w:rsidRPr="00737C4A">
        <w:rPr>
          <w:i/>
        </w:rPr>
        <w:t xml:space="preserve"> AT&amp;T-ATN Order</w:t>
      </w:r>
      <w:r w:rsidRPr="00737C4A">
        <w:t xml:space="preserve">, 28 FCC Rcd at </w:t>
      </w:r>
      <w:r>
        <w:rPr>
          <w:bCs/>
        </w:rPr>
        <w:t>13681</w:t>
      </w:r>
      <w:r w:rsidRPr="00737C4A">
        <w:rPr>
          <w:bCs/>
        </w:rPr>
        <w:t xml:space="preserve"> </w:t>
      </w:r>
      <w:r w:rsidRPr="00737C4A">
        <w:t xml:space="preserve">¶ 19; </w:t>
      </w:r>
      <w:r w:rsidRPr="00CE44D7">
        <w:rPr>
          <w:i/>
          <w:iCs/>
        </w:rPr>
        <w:t>Alaska Wireless Order</w:t>
      </w:r>
      <w:r w:rsidRPr="00CE44D7">
        <w:t>, 28 FCC Rcd at 10446 ¶ 33.</w:t>
      </w:r>
      <w:r>
        <w:t xml:space="preserve"> </w:t>
      </w:r>
    </w:p>
  </w:footnote>
  <w:footnote w:id="59">
    <w:p w:rsidR="00E257C0" w:rsidRDefault="00E257C0">
      <w:pPr>
        <w:pStyle w:val="FootnoteText"/>
      </w:pPr>
      <w:r>
        <w:rPr>
          <w:rStyle w:val="FootnoteReference"/>
        </w:rPr>
        <w:footnoteRef/>
      </w:r>
      <w:r>
        <w:t xml:space="preserve"> </w:t>
      </w:r>
      <w:r w:rsidRPr="00285A8D">
        <w:rPr>
          <w:i/>
        </w:rPr>
        <w:t>See</w:t>
      </w:r>
      <w:r>
        <w:t xml:space="preserve"> </w:t>
      </w:r>
      <w:r w:rsidRPr="00BF23C2">
        <w:rPr>
          <w:i/>
        </w:rPr>
        <w:t xml:space="preserve">Mobile Spectrum Holdings </w:t>
      </w:r>
      <w:r>
        <w:rPr>
          <w:i/>
        </w:rPr>
        <w:t>Report and</w:t>
      </w:r>
      <w:r w:rsidRPr="00BF23C2">
        <w:rPr>
          <w:i/>
        </w:rPr>
        <w:t xml:space="preserve"> Order</w:t>
      </w:r>
      <w:r>
        <w:t xml:space="preserve">, 29 FCC Rcd at 6233 </w:t>
      </w:r>
      <w:r w:rsidRPr="0051119E">
        <w:rPr>
          <w:bCs/>
        </w:rPr>
        <w:t>¶</w:t>
      </w:r>
      <w:r>
        <w:rPr>
          <w:bCs/>
        </w:rPr>
        <w:t xml:space="preserve"> 267, 6240 </w:t>
      </w:r>
      <w:r w:rsidRPr="0051119E">
        <w:rPr>
          <w:bCs/>
        </w:rPr>
        <w:t>¶</w:t>
      </w:r>
      <w:r>
        <w:rPr>
          <w:bCs/>
        </w:rPr>
        <w:t xml:space="preserve"> 286-88</w:t>
      </w:r>
      <w:r>
        <w:t>.</w:t>
      </w:r>
    </w:p>
  </w:footnote>
  <w:footnote w:id="60">
    <w:p w:rsidR="00E257C0" w:rsidRDefault="00E257C0" w:rsidP="0004756D">
      <w:pPr>
        <w:pStyle w:val="FootnoteText"/>
      </w:pPr>
      <w:r>
        <w:rPr>
          <w:rStyle w:val="FootnoteReference"/>
        </w:rPr>
        <w:footnoteRef/>
      </w:r>
      <w:r>
        <w:t xml:space="preserve"> </w:t>
      </w:r>
      <w:r>
        <w:rPr>
          <w:i/>
        </w:rPr>
        <w:t>See,</w:t>
      </w:r>
      <w:r>
        <w:t xml:space="preserve"> </w:t>
      </w:r>
      <w:r>
        <w:rPr>
          <w:i/>
        </w:rPr>
        <w:t>e.g.,</w:t>
      </w:r>
      <w:r>
        <w:t xml:space="preserve"> </w:t>
      </w:r>
      <w:r w:rsidRPr="005B62F8">
        <w:rPr>
          <w:i/>
          <w:iCs/>
        </w:rPr>
        <w:t>AT&amp;T-</w:t>
      </w:r>
      <w:r w:rsidRPr="001D5E8E">
        <w:rPr>
          <w:i/>
          <w:iCs/>
        </w:rPr>
        <w:t>L</w:t>
      </w:r>
      <w:r w:rsidRPr="00737C4A">
        <w:rPr>
          <w:i/>
          <w:iCs/>
        </w:rPr>
        <w:t>eap Order</w:t>
      </w:r>
      <w:r w:rsidRPr="00737C4A">
        <w:rPr>
          <w:iCs/>
        </w:rPr>
        <w:t xml:space="preserve">, </w:t>
      </w:r>
      <w:r w:rsidRPr="00737C4A">
        <w:t xml:space="preserve">29 FCC Rcd at 2744-46 </w:t>
      </w:r>
      <w:r w:rsidRPr="00737C4A">
        <w:rPr>
          <w:bCs/>
        </w:rPr>
        <w:t>¶ 21;</w:t>
      </w:r>
      <w:r>
        <w:rPr>
          <w:bCs/>
        </w:rPr>
        <w:t xml:space="preserve"> </w:t>
      </w:r>
      <w:r w:rsidRPr="00737C4A">
        <w:rPr>
          <w:i/>
        </w:rPr>
        <w:t>AT&amp;T-ATN Order</w:t>
      </w:r>
      <w:r w:rsidRPr="00737C4A">
        <w:t xml:space="preserve">, 28 FCC Rcd at </w:t>
      </w:r>
      <w:r>
        <w:rPr>
          <w:bCs/>
        </w:rPr>
        <w:t>13681</w:t>
      </w:r>
      <w:r w:rsidRPr="00737C4A">
        <w:rPr>
          <w:bCs/>
        </w:rPr>
        <w:t xml:space="preserve"> </w:t>
      </w:r>
      <w:r w:rsidRPr="00737C4A">
        <w:t xml:space="preserve">¶ 19; </w:t>
      </w:r>
      <w:r>
        <w:rPr>
          <w:i/>
        </w:rPr>
        <w:t>AT&amp;T WCS</w:t>
      </w:r>
      <w:r w:rsidRPr="003B7AB4">
        <w:rPr>
          <w:i/>
        </w:rPr>
        <w:t xml:space="preserve"> Order</w:t>
      </w:r>
      <w:r>
        <w:t xml:space="preserve">, 27 FCC Rcd at 16467 ¶ 20; </w:t>
      </w:r>
      <w:r w:rsidRPr="003C78AB">
        <w:rPr>
          <w:i/>
        </w:rPr>
        <w:t>Mobile Spectrum Holdings Report and Order</w:t>
      </w:r>
      <w:r w:rsidRPr="003C78AB">
        <w:t xml:space="preserve">, 29 FCC Rcd at 6167-68 </w:t>
      </w:r>
      <w:r w:rsidR="00A35F7F">
        <w:rPr>
          <w:bCs/>
        </w:rPr>
        <w:t xml:space="preserve">¶ </w:t>
      </w:r>
      <w:r w:rsidRPr="003C78AB">
        <w:rPr>
          <w:bCs/>
        </w:rPr>
        <w:t>67</w:t>
      </w:r>
      <w:r w:rsidRPr="003C78AB">
        <w:t>.</w:t>
      </w:r>
    </w:p>
  </w:footnote>
  <w:footnote w:id="61">
    <w:p w:rsidR="00E257C0" w:rsidRPr="00A5312F" w:rsidRDefault="00E257C0" w:rsidP="001E3E32">
      <w:pPr>
        <w:pStyle w:val="FootnoteText"/>
      </w:pPr>
      <w:r w:rsidRPr="0075707B">
        <w:rPr>
          <w:rStyle w:val="FootnoteReference"/>
        </w:rPr>
        <w:footnoteRef/>
      </w:r>
      <w:r w:rsidRPr="0075707B">
        <w:t xml:space="preserve"> </w:t>
      </w:r>
      <w:r w:rsidRPr="009F0F3A">
        <w:rPr>
          <w:i/>
          <w:iCs/>
        </w:rPr>
        <w:t>See, e.g.</w:t>
      </w:r>
      <w:r w:rsidRPr="00121630">
        <w:t xml:space="preserve">, </w:t>
      </w:r>
      <w:r w:rsidRPr="00E60969">
        <w:rPr>
          <w:i/>
        </w:rPr>
        <w:t>AT&amp;T-Leap Order</w:t>
      </w:r>
      <w:r>
        <w:t xml:space="preserve">, 29 FCC Rcd at 2746 </w:t>
      </w:r>
      <w:r w:rsidRPr="00A335A9">
        <w:rPr>
          <w:bCs/>
        </w:rPr>
        <w:t>¶ 22;</w:t>
      </w:r>
      <w:r>
        <w:t xml:space="preserve"> </w:t>
      </w:r>
      <w:r w:rsidRPr="00A5312F">
        <w:rPr>
          <w:i/>
        </w:rPr>
        <w:t>Alaska Wireless Order</w:t>
      </w:r>
      <w:r w:rsidRPr="00A5312F">
        <w:t>,</w:t>
      </w:r>
      <w:r w:rsidRPr="00A5312F">
        <w:rPr>
          <w:i/>
        </w:rPr>
        <w:t xml:space="preserve"> </w:t>
      </w:r>
      <w:r w:rsidRPr="00A5312F">
        <w:t xml:space="preserve">28 FCC Rcd at 10447 ¶ 34; </w:t>
      </w:r>
      <w:r w:rsidRPr="00A5312F">
        <w:rPr>
          <w:i/>
        </w:rPr>
        <w:t>SoftBank-Sprint Order</w:t>
      </w:r>
      <w:r w:rsidRPr="00A5312F">
        <w:t>, 28 FCC Rcd at 9657 ¶ 36.</w:t>
      </w:r>
    </w:p>
  </w:footnote>
  <w:footnote w:id="62">
    <w:p w:rsidR="00E257C0" w:rsidRPr="00A74EAD" w:rsidRDefault="00E257C0" w:rsidP="00A74EAD">
      <w:pPr>
        <w:pStyle w:val="FootnoteText"/>
      </w:pPr>
      <w:r w:rsidRPr="0087102F">
        <w:rPr>
          <w:rStyle w:val="FootnoteReference"/>
        </w:rPr>
        <w:footnoteRef/>
      </w:r>
      <w:r w:rsidRPr="00487E9C">
        <w:t xml:space="preserve"> </w:t>
      </w:r>
      <w:r w:rsidRPr="00A34435">
        <w:rPr>
          <w:i/>
        </w:rPr>
        <w:t>See, e.g., Alaska Wireless Order</w:t>
      </w:r>
      <w:r w:rsidRPr="00AA7C55">
        <w:t>,</w:t>
      </w:r>
      <w:r w:rsidRPr="00AA7C55">
        <w:rPr>
          <w:i/>
        </w:rPr>
        <w:t xml:space="preserve"> </w:t>
      </w:r>
      <w:r w:rsidRPr="00AA7C55">
        <w:t>28 FCC Rcd at 10447</w:t>
      </w:r>
      <w:r w:rsidRPr="00FA7FF8">
        <w:t xml:space="preserve"> ¶ 35; </w:t>
      </w:r>
      <w:r w:rsidRPr="00A74EAD">
        <w:rPr>
          <w:i/>
        </w:rPr>
        <w:t>SoftBank-Sprint Order</w:t>
      </w:r>
      <w:r w:rsidRPr="00A74EAD">
        <w:t xml:space="preserve">, 28 FCC Rcd at 9657 ¶ 37.  </w:t>
      </w:r>
      <w:r w:rsidRPr="00A74EAD">
        <w:rPr>
          <w:i/>
        </w:rPr>
        <w:t>See also</w:t>
      </w:r>
      <w:r w:rsidRPr="00A74EAD">
        <w:t xml:space="preserve"> </w:t>
      </w:r>
      <w:r w:rsidRPr="00A74EAD">
        <w:rPr>
          <w:i/>
        </w:rPr>
        <w:t xml:space="preserve">AT&amp;T-Leap Order </w:t>
      </w:r>
      <w:r w:rsidRPr="00A74EAD">
        <w:t>29, FCC Rcd at 2746 ¶ 23.</w:t>
      </w:r>
    </w:p>
  </w:footnote>
  <w:footnote w:id="63">
    <w:p w:rsidR="00E257C0" w:rsidRDefault="00E257C0" w:rsidP="00A74EAD">
      <w:pPr>
        <w:pStyle w:val="FootnoteText"/>
      </w:pPr>
      <w:r w:rsidRPr="004F4D40">
        <w:rPr>
          <w:rStyle w:val="FootnoteReference"/>
        </w:rPr>
        <w:footnoteRef/>
      </w:r>
      <w:r w:rsidRPr="004F4D40">
        <w:t xml:space="preserve"> </w:t>
      </w:r>
      <w:r w:rsidRPr="00487E9C">
        <w:rPr>
          <w:i/>
        </w:rPr>
        <w:t>See</w:t>
      </w:r>
      <w:r w:rsidRPr="00A34435">
        <w:rPr>
          <w:i/>
        </w:rPr>
        <w:t>, e.g.,</w:t>
      </w:r>
      <w:r w:rsidRPr="00A34435">
        <w:t xml:space="preserve"> </w:t>
      </w:r>
      <w:r w:rsidRPr="00A34435">
        <w:rPr>
          <w:i/>
        </w:rPr>
        <w:t>Alaska Wireless Order</w:t>
      </w:r>
      <w:r w:rsidRPr="00AA7C55">
        <w:t>,</w:t>
      </w:r>
      <w:r w:rsidRPr="00AA7C55">
        <w:rPr>
          <w:i/>
        </w:rPr>
        <w:t xml:space="preserve"> </w:t>
      </w:r>
      <w:r w:rsidRPr="00AA7C55">
        <w:t xml:space="preserve">28 FCC Rcd at </w:t>
      </w:r>
      <w:r w:rsidRPr="00FA7FF8">
        <w:t xml:space="preserve">10447 ¶ 35; </w:t>
      </w:r>
      <w:r w:rsidRPr="00FA7FF8">
        <w:rPr>
          <w:i/>
        </w:rPr>
        <w:t>SoftBank-Sprint Orde</w:t>
      </w:r>
      <w:r w:rsidRPr="00A74EAD">
        <w:rPr>
          <w:i/>
        </w:rPr>
        <w:t>r</w:t>
      </w:r>
      <w:r w:rsidRPr="00A74EAD">
        <w:t xml:space="preserve">, 28 FCC Rcd at 9657 ¶ 37.  </w:t>
      </w:r>
      <w:r w:rsidRPr="00A74EAD">
        <w:rPr>
          <w:i/>
        </w:rPr>
        <w:t>See also Mobile Spectrum Holdings Report and Order</w:t>
      </w:r>
      <w:r w:rsidRPr="00A74EAD">
        <w:t xml:space="preserve">, 29 FCC Rcd at 6224 ¶ 234 n.623; </w:t>
      </w:r>
      <w:r w:rsidRPr="00A74EAD">
        <w:rPr>
          <w:i/>
        </w:rPr>
        <w:t xml:space="preserve">AT&amp;T-Leap Order, </w:t>
      </w:r>
      <w:r w:rsidRPr="00A74EAD">
        <w:t>29 FCC Rcd at 2746 ¶ 23.</w:t>
      </w:r>
    </w:p>
  </w:footnote>
  <w:footnote w:id="64">
    <w:p w:rsidR="00E257C0" w:rsidRPr="00851947" w:rsidRDefault="00E257C0" w:rsidP="009F5104">
      <w:pPr>
        <w:pStyle w:val="FootnoteText"/>
      </w:pPr>
      <w:r w:rsidRPr="00851947">
        <w:rPr>
          <w:rStyle w:val="FootnoteReference"/>
        </w:rPr>
        <w:footnoteRef/>
      </w:r>
      <w:r w:rsidRPr="00851947">
        <w:t xml:space="preserve"> </w:t>
      </w:r>
      <w:r w:rsidRPr="0010421C">
        <w:rPr>
          <w:i/>
        </w:rPr>
        <w:t xml:space="preserve">See Mobile Spectrum Holdings </w:t>
      </w:r>
      <w:r>
        <w:rPr>
          <w:i/>
        </w:rPr>
        <w:t>Report and</w:t>
      </w:r>
      <w:r w:rsidRPr="00BF23C2">
        <w:rPr>
          <w:i/>
        </w:rPr>
        <w:t xml:space="preserve"> </w:t>
      </w:r>
      <w:r w:rsidRPr="0010421C">
        <w:rPr>
          <w:i/>
        </w:rPr>
        <w:t>Order</w:t>
      </w:r>
      <w:r w:rsidRPr="0010421C">
        <w:t>, 29 FCC Rcd at 6225 ¶ 237.</w:t>
      </w:r>
    </w:p>
  </w:footnote>
  <w:footnote w:id="65">
    <w:p w:rsidR="00E257C0" w:rsidRPr="00A74EAD" w:rsidRDefault="00E257C0" w:rsidP="00A74EAD">
      <w:pPr>
        <w:pStyle w:val="FootnoteText"/>
      </w:pPr>
      <w:r>
        <w:rPr>
          <w:rStyle w:val="FootnoteReference"/>
        </w:rPr>
        <w:footnoteRef/>
      </w:r>
      <w:r>
        <w:t xml:space="preserve"> </w:t>
      </w:r>
      <w:r w:rsidRPr="00487E9C">
        <w:rPr>
          <w:i/>
        </w:rPr>
        <w:t xml:space="preserve">See, e.g., </w:t>
      </w:r>
      <w:r w:rsidRPr="00A34435">
        <w:rPr>
          <w:i/>
        </w:rPr>
        <w:t xml:space="preserve">AT&amp;T-Leap Order, </w:t>
      </w:r>
      <w:r w:rsidRPr="00A34435">
        <w:t xml:space="preserve">29 FCC Rcd at 2747-48 ¶ 26.  </w:t>
      </w:r>
      <w:r w:rsidRPr="00AA7C55">
        <w:rPr>
          <w:i/>
        </w:rPr>
        <w:t>See also</w:t>
      </w:r>
      <w:r w:rsidRPr="00AA7C55">
        <w:t xml:space="preserve"> </w:t>
      </w:r>
      <w:r w:rsidRPr="00AA7C55">
        <w:rPr>
          <w:i/>
        </w:rPr>
        <w:t>AT</w:t>
      </w:r>
      <w:r w:rsidRPr="00FA7FF8">
        <w:rPr>
          <w:i/>
        </w:rPr>
        <w:t>&amp;T-Qualcomm Order</w:t>
      </w:r>
      <w:r w:rsidRPr="00FA7FF8">
        <w:t>, 26 FCC Rcd at 17603 ¶ 33</w:t>
      </w:r>
      <w:r w:rsidRPr="00A74EAD">
        <w:t>.  The</w:t>
      </w:r>
      <w:r w:rsidRPr="00A34435">
        <w:t xml:space="preserve"> </w:t>
      </w:r>
      <w:r w:rsidRPr="00487E9C">
        <w:t>Commission</w:t>
      </w:r>
      <w:r w:rsidRPr="00A34435">
        <w:t xml:space="preserve"> has previously determined that there are separate relevant product markets for interconnected mobile voice and data services, and also for residential and enterprise services, </w:t>
      </w:r>
      <w:r w:rsidRPr="00AA7C55">
        <w:t>but found it reasonable to analyze all of these services under a combined mobil</w:t>
      </w:r>
      <w:r w:rsidRPr="00FA7FF8">
        <w:t xml:space="preserve">e telephony/broadband services product market.  </w:t>
      </w:r>
      <w:r w:rsidRPr="00A74EAD">
        <w:rPr>
          <w:i/>
        </w:rPr>
        <w:t>See, e.g., Verizon Wireless-SpectrumCo Order</w:t>
      </w:r>
      <w:r w:rsidRPr="00A74EAD">
        <w:t xml:space="preserve">, 27 FCC Rcd at 10717 ¶ 53 n.119; </w:t>
      </w:r>
      <w:r w:rsidRPr="00A74EAD">
        <w:rPr>
          <w:i/>
        </w:rPr>
        <w:t>AT&amp;T-Qualcomm Order</w:t>
      </w:r>
      <w:r w:rsidRPr="00A74EAD">
        <w:t>, 26 FCC Rcd at 17603 ¶ 33.</w:t>
      </w:r>
    </w:p>
  </w:footnote>
  <w:footnote w:id="66">
    <w:p w:rsidR="00E257C0" w:rsidRDefault="00E257C0">
      <w:pPr>
        <w:pStyle w:val="FootnoteText"/>
      </w:pPr>
      <w:r>
        <w:rPr>
          <w:rStyle w:val="FootnoteReference"/>
        </w:rPr>
        <w:footnoteRef/>
      </w:r>
      <w:r>
        <w:t xml:space="preserve"> </w:t>
      </w:r>
      <w:r w:rsidRPr="00324B59">
        <w:rPr>
          <w:i/>
        </w:rPr>
        <w:t xml:space="preserve">See Mobile Spectrum Holdings </w:t>
      </w:r>
      <w:r>
        <w:rPr>
          <w:i/>
        </w:rPr>
        <w:t>Report and</w:t>
      </w:r>
      <w:r w:rsidRPr="00BF23C2">
        <w:rPr>
          <w:i/>
        </w:rPr>
        <w:t xml:space="preserve"> </w:t>
      </w:r>
      <w:r w:rsidRPr="00324B59">
        <w:rPr>
          <w:i/>
        </w:rPr>
        <w:t>Order</w:t>
      </w:r>
      <w:r>
        <w:t xml:space="preserve">, 29 FCC Rcd at 6225 </w:t>
      </w:r>
      <w:r w:rsidRPr="004F4D40">
        <w:t>¶</w:t>
      </w:r>
      <w:r>
        <w:t xml:space="preserve"> 237.</w:t>
      </w:r>
    </w:p>
  </w:footnote>
  <w:footnote w:id="67">
    <w:p w:rsidR="00E257C0" w:rsidRPr="00A74EAD" w:rsidRDefault="00E257C0" w:rsidP="00A74EAD">
      <w:pPr>
        <w:pStyle w:val="FootnoteText"/>
      </w:pPr>
      <w:r w:rsidRPr="004F192D">
        <w:rPr>
          <w:rStyle w:val="FootnoteReference"/>
        </w:rPr>
        <w:footnoteRef/>
      </w:r>
      <w:r w:rsidRPr="004F192D">
        <w:t xml:space="preserve"> </w:t>
      </w:r>
      <w:r w:rsidRPr="00487E9C">
        <w:rPr>
          <w:i/>
        </w:rPr>
        <w:t>See, e</w:t>
      </w:r>
      <w:r w:rsidRPr="00A34435">
        <w:rPr>
          <w:i/>
        </w:rPr>
        <w:t>.g., Alaska Wireless Order</w:t>
      </w:r>
      <w:r w:rsidRPr="00A34435">
        <w:t xml:space="preserve">, 28 FCC Rcd at 10447-48 ¶ 36; </w:t>
      </w:r>
      <w:r w:rsidRPr="00AA7C55">
        <w:rPr>
          <w:i/>
        </w:rPr>
        <w:t>SoftBank-Sprint Order</w:t>
      </w:r>
      <w:r w:rsidRPr="00AA7C55">
        <w:t>, 28 FCC Rcd at 9657</w:t>
      </w:r>
      <w:r w:rsidRPr="00FA7FF8">
        <w:t xml:space="preserve"> ¶</w:t>
      </w:r>
      <w:r w:rsidR="00CE6EF7" w:rsidRPr="00FA7FF8">
        <w:t> </w:t>
      </w:r>
      <w:r w:rsidRPr="00A74EAD">
        <w:t xml:space="preserve">38.  </w:t>
      </w:r>
      <w:r w:rsidRPr="00A74EAD">
        <w:rPr>
          <w:i/>
        </w:rPr>
        <w:t>See also</w:t>
      </w:r>
      <w:r w:rsidRPr="00A74EAD">
        <w:t xml:space="preserve"> </w:t>
      </w:r>
      <w:r w:rsidRPr="00A74EAD">
        <w:rPr>
          <w:i/>
        </w:rPr>
        <w:t xml:space="preserve">AT&amp;T-Leap Order, </w:t>
      </w:r>
      <w:r w:rsidRPr="00A74EAD">
        <w:t>29 FCC Rcd at 2748 ¶ 27;</w:t>
      </w:r>
      <w:r>
        <w:t xml:space="preserve"> </w:t>
      </w:r>
      <w:r w:rsidRPr="00487E9C">
        <w:rPr>
          <w:i/>
        </w:rPr>
        <w:t xml:space="preserve">Mobile Spectrum </w:t>
      </w:r>
      <w:r w:rsidRPr="00A34435">
        <w:rPr>
          <w:i/>
        </w:rPr>
        <w:t xml:space="preserve">Holdings Report and </w:t>
      </w:r>
      <w:r w:rsidRPr="00AA7C55">
        <w:rPr>
          <w:i/>
        </w:rPr>
        <w:t>Order</w:t>
      </w:r>
      <w:r w:rsidRPr="00AA7C55">
        <w:t>, 29</w:t>
      </w:r>
      <w:r w:rsidRPr="00FA7FF8">
        <w:t xml:space="preserve"> FCC Rcd at 6225-26 ¶ 238.</w:t>
      </w:r>
    </w:p>
  </w:footnote>
  <w:footnote w:id="68">
    <w:p w:rsidR="00E257C0" w:rsidRDefault="00E257C0" w:rsidP="00A74EAD">
      <w:pPr>
        <w:pStyle w:val="FootnoteText"/>
      </w:pPr>
      <w:r w:rsidRPr="001018F4">
        <w:rPr>
          <w:rStyle w:val="FootnoteReference"/>
        </w:rPr>
        <w:footnoteRef/>
      </w:r>
      <w:r w:rsidRPr="00487E9C">
        <w:t xml:space="preserve"> </w:t>
      </w:r>
      <w:r w:rsidR="001A5DC2" w:rsidRPr="00A34435">
        <w:rPr>
          <w:i/>
        </w:rPr>
        <w:t>See, e.g.</w:t>
      </w:r>
      <w:r w:rsidR="001A5DC2" w:rsidRPr="00A34435">
        <w:t xml:space="preserve">, </w:t>
      </w:r>
      <w:r w:rsidR="001A5DC2" w:rsidRPr="00AA7C55">
        <w:rPr>
          <w:i/>
        </w:rPr>
        <w:t>SoftBank-Sprint Order</w:t>
      </w:r>
      <w:r w:rsidR="001A5DC2" w:rsidRPr="00FA7FF8">
        <w:t xml:space="preserve">, 28 FCC Rcd at 9657 ¶ 38; </w:t>
      </w:r>
      <w:r w:rsidR="001A5DC2" w:rsidRPr="00FA7FF8">
        <w:rPr>
          <w:i/>
        </w:rPr>
        <w:t>AT&amp;T WCS Order</w:t>
      </w:r>
      <w:r w:rsidR="001A5DC2" w:rsidRPr="00FA7FF8">
        <w:t xml:space="preserve">, 27 FCC Rcd at 16469 ¶ 26; </w:t>
      </w:r>
      <w:r w:rsidR="001A5DC2" w:rsidRPr="00A74EAD">
        <w:rPr>
          <w:i/>
        </w:rPr>
        <w:t xml:space="preserve">AT&amp;T-Leap Order, </w:t>
      </w:r>
      <w:r w:rsidR="001A5DC2" w:rsidRPr="00A74EAD">
        <w:t>29 FCC Rcd at</w:t>
      </w:r>
      <w:r w:rsidR="001A5DC2" w:rsidRPr="00A74EAD">
        <w:rPr>
          <w:i/>
        </w:rPr>
        <w:t xml:space="preserve"> </w:t>
      </w:r>
      <w:r w:rsidR="001A5DC2" w:rsidRPr="00A74EAD">
        <w:t>2748-49 ¶ 29;</w:t>
      </w:r>
      <w:r w:rsidR="001A5DC2" w:rsidRPr="00CC6CF8">
        <w:t xml:space="preserve"> </w:t>
      </w:r>
      <w:r w:rsidR="001A5DC2" w:rsidRPr="00487E9C">
        <w:rPr>
          <w:i/>
        </w:rPr>
        <w:t xml:space="preserve">see also </w:t>
      </w:r>
      <w:r w:rsidR="001A5DC2" w:rsidRPr="00A34435">
        <w:rPr>
          <w:i/>
        </w:rPr>
        <w:t>Mobile Spectrum Holdings Report and Order</w:t>
      </w:r>
      <w:r w:rsidR="001A5DC2" w:rsidRPr="00A34435">
        <w:t>, 29 FCC Rcd at 6225-26 ¶ 238; Implementation of Section 6002(b) of the Omnibus</w:t>
      </w:r>
      <w:r w:rsidR="001A5DC2" w:rsidRPr="00AA7C55">
        <w:t xml:space="preserve"> Budget Reconciliation Act of 1993 Annual Report and Analysis of Competitive Market Conditions with Respect to Mobile Wireless, Including Commercial Mobile Services, WT Docket No. 11-186, </w:t>
      </w:r>
      <w:r w:rsidR="001A5DC2" w:rsidRPr="00FA7FF8">
        <w:rPr>
          <w:i/>
        </w:rPr>
        <w:t>Sixteenth Report</w:t>
      </w:r>
      <w:r w:rsidR="001A5DC2" w:rsidRPr="00FA7FF8">
        <w:t>, 28 FCC Rcd 3700, 3735 ¶¶ 22-23 (2013).</w:t>
      </w:r>
    </w:p>
  </w:footnote>
  <w:footnote w:id="69">
    <w:p w:rsidR="00E257C0" w:rsidRDefault="00E257C0" w:rsidP="00A74EAD">
      <w:pPr>
        <w:pStyle w:val="FootnoteText"/>
      </w:pPr>
      <w:r w:rsidRPr="00A14361">
        <w:rPr>
          <w:rStyle w:val="FootnoteReference"/>
        </w:rPr>
        <w:footnoteRef/>
      </w:r>
      <w:r w:rsidRPr="00A14361">
        <w:t xml:space="preserve"> </w:t>
      </w:r>
      <w:r w:rsidRPr="00487E9C">
        <w:rPr>
          <w:i/>
        </w:rPr>
        <w:t>See, e.g</w:t>
      </w:r>
      <w:r w:rsidRPr="00A34435">
        <w:rPr>
          <w:i/>
        </w:rPr>
        <w:t>.</w:t>
      </w:r>
      <w:r w:rsidRPr="00A34435">
        <w:t xml:space="preserve">, </w:t>
      </w:r>
      <w:r w:rsidRPr="00AA7C55">
        <w:rPr>
          <w:i/>
        </w:rPr>
        <w:t xml:space="preserve">AT&amp;T-Leap Order, </w:t>
      </w:r>
      <w:r w:rsidRPr="00AA7C55">
        <w:t>29 FCC Rcd at</w:t>
      </w:r>
      <w:r w:rsidRPr="00FA7FF8">
        <w:rPr>
          <w:i/>
        </w:rPr>
        <w:t xml:space="preserve"> </w:t>
      </w:r>
      <w:r w:rsidRPr="00FA7FF8">
        <w:t xml:space="preserve">2748-49 ¶ 29; </w:t>
      </w:r>
      <w:r w:rsidRPr="00FA7FF8">
        <w:rPr>
          <w:i/>
        </w:rPr>
        <w:t>Alaska Wireless Order</w:t>
      </w:r>
      <w:r w:rsidRPr="00A74EAD">
        <w:t xml:space="preserve">, 28 FCC Rcd at 10448 ¶ 37; </w:t>
      </w:r>
      <w:r w:rsidRPr="00A74EAD">
        <w:rPr>
          <w:i/>
        </w:rPr>
        <w:t>AT&amp;T WCS Order</w:t>
      </w:r>
      <w:r w:rsidRPr="00A74EAD">
        <w:t xml:space="preserve">, 27 FCC Rcd at 16469 ¶ 26.  </w:t>
      </w:r>
      <w:r w:rsidRPr="00A74EAD">
        <w:rPr>
          <w:i/>
        </w:rPr>
        <w:t>See also</w:t>
      </w:r>
      <w:r w:rsidRPr="00A74EAD">
        <w:t xml:space="preserve"> </w:t>
      </w:r>
      <w:r w:rsidRPr="00A74EAD">
        <w:rPr>
          <w:i/>
        </w:rPr>
        <w:t>Mobile Spectrum Holdings Report and Order</w:t>
      </w:r>
      <w:r w:rsidRPr="00A74EAD">
        <w:t>, 29 FCC Rcd at 6225-26 ¶ 238.</w:t>
      </w:r>
    </w:p>
  </w:footnote>
  <w:footnote w:id="70">
    <w:p w:rsidR="00E257C0" w:rsidRDefault="00E257C0" w:rsidP="00A74EAD">
      <w:pPr>
        <w:pStyle w:val="FootnoteText"/>
      </w:pPr>
      <w:r>
        <w:rPr>
          <w:rStyle w:val="FootnoteReference"/>
        </w:rPr>
        <w:footnoteRef/>
      </w:r>
      <w:r>
        <w:t xml:space="preserve"> </w:t>
      </w:r>
      <w:r w:rsidRPr="00487E9C">
        <w:rPr>
          <w:i/>
        </w:rPr>
        <w:t xml:space="preserve">See, e.g., </w:t>
      </w:r>
      <w:r w:rsidRPr="00A34435">
        <w:rPr>
          <w:i/>
        </w:rPr>
        <w:t xml:space="preserve">AT&amp;T-Leap Order, </w:t>
      </w:r>
      <w:r w:rsidRPr="00A34435">
        <w:t>29 FCC Rcd at</w:t>
      </w:r>
      <w:r w:rsidRPr="00AA7C55">
        <w:rPr>
          <w:i/>
        </w:rPr>
        <w:t xml:space="preserve"> </w:t>
      </w:r>
      <w:r w:rsidRPr="00AA7C55">
        <w:t>2748-49 ¶ 29</w:t>
      </w:r>
      <w:r w:rsidRPr="00FA7FF8">
        <w:t xml:space="preserve">; </w:t>
      </w:r>
      <w:r w:rsidRPr="00FA7FF8">
        <w:rPr>
          <w:i/>
        </w:rPr>
        <w:t>Alaska Wireless Order</w:t>
      </w:r>
      <w:r w:rsidRPr="00FA7FF8">
        <w:t xml:space="preserve">, 28 FCC Rcd at 10448 ¶ 37; </w:t>
      </w:r>
      <w:r w:rsidRPr="00A74EAD">
        <w:rPr>
          <w:i/>
        </w:rPr>
        <w:t>AT&amp;T WCS Order</w:t>
      </w:r>
      <w:r w:rsidRPr="00A74EAD">
        <w:t xml:space="preserve">, 27 FCC Rcd at 16469 ¶ 26.  </w:t>
      </w:r>
      <w:r w:rsidRPr="00A74EAD">
        <w:rPr>
          <w:i/>
        </w:rPr>
        <w:t>See also</w:t>
      </w:r>
      <w:r w:rsidRPr="00A74EAD">
        <w:t xml:space="preserve"> </w:t>
      </w:r>
      <w:r w:rsidRPr="00A74EAD">
        <w:rPr>
          <w:i/>
        </w:rPr>
        <w:t>Mobile Spectrum Holdings Report and Order</w:t>
      </w:r>
      <w:r w:rsidRPr="00A74EAD">
        <w:t>, 29 FCC Rcd at 6225-26 ¶ 238.</w:t>
      </w:r>
    </w:p>
  </w:footnote>
  <w:footnote w:id="71">
    <w:p w:rsidR="00E257C0" w:rsidRDefault="00E257C0" w:rsidP="00A74EAD">
      <w:pPr>
        <w:pStyle w:val="FootnoteText"/>
      </w:pPr>
      <w:r w:rsidRPr="00F913CB">
        <w:rPr>
          <w:rStyle w:val="FootnoteReference"/>
        </w:rPr>
        <w:footnoteRef/>
      </w:r>
      <w:r w:rsidRPr="00F913CB">
        <w:t xml:space="preserve"> </w:t>
      </w:r>
      <w:r w:rsidRPr="00487E9C">
        <w:rPr>
          <w:i/>
        </w:rPr>
        <w:t>See, e.g.</w:t>
      </w:r>
      <w:r w:rsidRPr="00A34435">
        <w:t xml:space="preserve">, </w:t>
      </w:r>
      <w:r w:rsidRPr="00A34435">
        <w:rPr>
          <w:i/>
        </w:rPr>
        <w:t>AT&amp;T WCS</w:t>
      </w:r>
      <w:r w:rsidRPr="00AA7C55">
        <w:rPr>
          <w:i/>
        </w:rPr>
        <w:t xml:space="preserve"> Order</w:t>
      </w:r>
      <w:r w:rsidRPr="00AA7C55">
        <w:t xml:space="preserve">, 27 FCC Rcd at 16469 ¶ 27; </w:t>
      </w:r>
      <w:r w:rsidRPr="00FA7FF8">
        <w:rPr>
          <w:i/>
        </w:rPr>
        <w:t>Verizon Wireless-SpectrumCo Order</w:t>
      </w:r>
      <w:r w:rsidRPr="00FA7FF8">
        <w:t xml:space="preserve">, 27 FCC Rcd at </w:t>
      </w:r>
      <w:r w:rsidRPr="00A74EAD">
        <w:t xml:space="preserve">10718 ¶ 57.  </w:t>
      </w:r>
      <w:r w:rsidRPr="00A74EAD">
        <w:rPr>
          <w:i/>
        </w:rPr>
        <w:t>See also</w:t>
      </w:r>
      <w:r w:rsidRPr="00A74EAD">
        <w:t xml:space="preserve"> </w:t>
      </w:r>
      <w:r w:rsidRPr="00A74EAD">
        <w:rPr>
          <w:i/>
        </w:rPr>
        <w:t xml:space="preserve">AT&amp;T-Leap Order, </w:t>
      </w:r>
      <w:r w:rsidRPr="00A74EAD">
        <w:t>29 FCC Rcd at</w:t>
      </w:r>
      <w:r w:rsidRPr="00A74EAD">
        <w:rPr>
          <w:i/>
        </w:rPr>
        <w:t xml:space="preserve"> </w:t>
      </w:r>
      <w:r w:rsidRPr="00A74EAD">
        <w:t xml:space="preserve">2749 ¶ 30; </w:t>
      </w:r>
      <w:r w:rsidRPr="00A74EAD">
        <w:rPr>
          <w:i/>
        </w:rPr>
        <w:t>Mobile Spectrum Holdings Report and Order</w:t>
      </w:r>
      <w:r w:rsidRPr="00A74EAD">
        <w:t xml:space="preserve">, 29 FCC Rcd at 6226 ¶ 239.  The four nationwide providers, AT&amp;T, Verizon Wireless, Sprint, and T-Mobile, as well as some other providers set the same rates for a given plan everywhere and advertise nationally.  </w:t>
      </w:r>
      <w:r w:rsidRPr="00A74EAD">
        <w:rPr>
          <w:i/>
        </w:rPr>
        <w:t>See, e.g., Mobile Spectrum Holdings Report and Order</w:t>
      </w:r>
      <w:r w:rsidRPr="00A74EAD">
        <w:t xml:space="preserve">, 29 FCC Rcd at 6226 ¶ 239; </w:t>
      </w:r>
      <w:r w:rsidRPr="00A74EAD">
        <w:rPr>
          <w:i/>
        </w:rPr>
        <w:t>AT&amp;T WCS Order</w:t>
      </w:r>
      <w:r w:rsidRPr="00A74EAD">
        <w:t xml:space="preserve">, 27 FCC Rcd at 16469 ¶ 27; </w:t>
      </w:r>
      <w:r w:rsidRPr="00A74EAD">
        <w:rPr>
          <w:i/>
        </w:rPr>
        <w:t>Verizon Wireless-SpectrumCo Order</w:t>
      </w:r>
      <w:r w:rsidRPr="00A74EAD">
        <w:t xml:space="preserve">, 27 FCC Rcd at 10718-19 ¶ 57; </w:t>
      </w:r>
      <w:r w:rsidRPr="00A74EAD">
        <w:rPr>
          <w:i/>
        </w:rPr>
        <w:t>AT&amp;T-Qualcomm Order</w:t>
      </w:r>
      <w:r w:rsidRPr="00A74EAD">
        <w:t>, 26 FCC Rcd at 17604-5 ¶ 35.</w:t>
      </w:r>
    </w:p>
  </w:footnote>
  <w:footnote w:id="72">
    <w:p w:rsidR="00E257C0" w:rsidRPr="00A74EAD" w:rsidRDefault="00E257C0" w:rsidP="00A74EAD">
      <w:pPr>
        <w:pStyle w:val="FootnoteText"/>
      </w:pPr>
      <w:r w:rsidRPr="00943F32">
        <w:rPr>
          <w:rStyle w:val="FootnoteReference"/>
        </w:rPr>
        <w:footnoteRef/>
      </w:r>
      <w:r w:rsidRPr="00487E9C">
        <w:t xml:space="preserve"> </w:t>
      </w:r>
      <w:r w:rsidRPr="00A34435">
        <w:rPr>
          <w:i/>
        </w:rPr>
        <w:t xml:space="preserve">See, e.g., AT&amp;T-Leap Order, </w:t>
      </w:r>
      <w:r w:rsidRPr="00A34435">
        <w:t>29 FCC Rcd at</w:t>
      </w:r>
      <w:r w:rsidRPr="00AA7C55">
        <w:rPr>
          <w:i/>
        </w:rPr>
        <w:t xml:space="preserve"> </w:t>
      </w:r>
      <w:r w:rsidRPr="00AA7C55">
        <w:t xml:space="preserve">2749 ¶ 30; </w:t>
      </w:r>
      <w:r w:rsidRPr="00FA7FF8">
        <w:rPr>
          <w:i/>
        </w:rPr>
        <w:t>AT&amp;T WCS Order</w:t>
      </w:r>
      <w:r w:rsidRPr="00FA7FF8">
        <w:t xml:space="preserve">, 27 FCC Rcd at 16469 ¶ 27; </w:t>
      </w:r>
      <w:r w:rsidRPr="00A74EAD">
        <w:rPr>
          <w:i/>
        </w:rPr>
        <w:t>Verizon Wireless-SpectrumCo Order</w:t>
      </w:r>
      <w:r w:rsidRPr="00A74EAD">
        <w:t xml:space="preserve">, 27 FCC Rcd at 10718 ¶ 57.  </w:t>
      </w:r>
      <w:r w:rsidRPr="00A74EAD">
        <w:rPr>
          <w:i/>
        </w:rPr>
        <w:t>See also</w:t>
      </w:r>
      <w:r w:rsidRPr="00A74EAD">
        <w:t xml:space="preserve"> </w:t>
      </w:r>
      <w:r w:rsidRPr="00A74EAD">
        <w:rPr>
          <w:i/>
        </w:rPr>
        <w:t>Mobile Spectrum Holdings Report and Order</w:t>
      </w:r>
      <w:r w:rsidRPr="00A74EAD">
        <w:t>, 29 FCC Rcd at 6226 ¶ 239.</w:t>
      </w:r>
    </w:p>
  </w:footnote>
  <w:footnote w:id="73">
    <w:p w:rsidR="00E257C0" w:rsidRDefault="00E257C0">
      <w:pPr>
        <w:pStyle w:val="FootnoteText"/>
      </w:pPr>
      <w:r>
        <w:rPr>
          <w:rStyle w:val="FootnoteReference"/>
        </w:rPr>
        <w:footnoteRef/>
      </w:r>
      <w:r>
        <w:t xml:space="preserve"> </w:t>
      </w:r>
      <w:r w:rsidRPr="00AF7816">
        <w:rPr>
          <w:i/>
        </w:rPr>
        <w:t>See</w:t>
      </w:r>
      <w:r w:rsidRPr="00AF7816">
        <w:t>,</w:t>
      </w:r>
      <w:r w:rsidRPr="00AF7816">
        <w:rPr>
          <w:i/>
        </w:rPr>
        <w:t xml:space="preserve"> e.g.</w:t>
      </w:r>
      <w:r w:rsidRPr="00AF7816">
        <w:t>,</w:t>
      </w:r>
      <w:r w:rsidRPr="00AF7816">
        <w:rPr>
          <w:i/>
        </w:rPr>
        <w:t xml:space="preserve"> Alaska Wireless Order</w:t>
      </w:r>
      <w:r w:rsidRPr="00AF7816">
        <w:t>, 28 FCC Rcd at 10448</w:t>
      </w:r>
      <w:r>
        <w:t>-49</w:t>
      </w:r>
      <w:r w:rsidRPr="00AF7816">
        <w:t xml:space="preserve"> ¶ 3</w:t>
      </w:r>
      <w:r>
        <w:t>8</w:t>
      </w:r>
      <w:r w:rsidRPr="00AF7816">
        <w:t>;</w:t>
      </w:r>
      <w:r w:rsidRPr="00AF7816">
        <w:rPr>
          <w:i/>
        </w:rPr>
        <w:t xml:space="preserve"> SoftBank-Sprint Order</w:t>
      </w:r>
      <w:r w:rsidRPr="00AF7816">
        <w:t>, 28 FCC Rcd at 9657-58 ¶</w:t>
      </w:r>
      <w:r w:rsidR="00A35F7F">
        <w:t xml:space="preserve"> </w:t>
      </w:r>
      <w:r w:rsidRPr="00AF7816">
        <w:t>39</w:t>
      </w:r>
      <w:r w:rsidRPr="00AF7816">
        <w:rPr>
          <w:iCs/>
        </w:rPr>
        <w:t>.</w:t>
      </w:r>
      <w:r>
        <w:t xml:space="preserve">  </w:t>
      </w:r>
      <w:r w:rsidRPr="00AE6A80">
        <w:rPr>
          <w:i/>
        </w:rPr>
        <w:t xml:space="preserve">See also </w:t>
      </w:r>
      <w:r w:rsidRPr="00943F32">
        <w:rPr>
          <w:i/>
          <w:iCs/>
        </w:rPr>
        <w:t xml:space="preserve">AT&amp;T-Leap Order, </w:t>
      </w:r>
      <w:r w:rsidRPr="00943F32">
        <w:rPr>
          <w:iCs/>
        </w:rPr>
        <w:t xml:space="preserve">29 FCC Rcd </w:t>
      </w:r>
      <w:r>
        <w:rPr>
          <w:iCs/>
        </w:rPr>
        <w:t xml:space="preserve">at 2749-50 </w:t>
      </w:r>
      <w:r w:rsidRPr="00943F32">
        <w:t>¶</w:t>
      </w:r>
      <w:r>
        <w:t xml:space="preserve"> 32; </w:t>
      </w:r>
      <w:r w:rsidRPr="00AE6A80">
        <w:rPr>
          <w:i/>
        </w:rPr>
        <w:t xml:space="preserve">Mobile Spectrum Holdings </w:t>
      </w:r>
      <w:r>
        <w:rPr>
          <w:i/>
        </w:rPr>
        <w:t>Report and</w:t>
      </w:r>
      <w:r w:rsidRPr="00BF23C2">
        <w:rPr>
          <w:i/>
        </w:rPr>
        <w:t xml:space="preserve"> </w:t>
      </w:r>
      <w:r w:rsidRPr="00AE6A80">
        <w:rPr>
          <w:i/>
        </w:rPr>
        <w:t>Order</w:t>
      </w:r>
      <w:r>
        <w:t xml:space="preserve">, 29 FCC Rcd at 6169 </w:t>
      </w:r>
      <w:r w:rsidRPr="00943F32">
        <w:t>¶</w:t>
      </w:r>
      <w:r>
        <w:t xml:space="preserve"> 70.</w:t>
      </w:r>
    </w:p>
  </w:footnote>
  <w:footnote w:id="74">
    <w:p w:rsidR="00E257C0" w:rsidRPr="001800E5" w:rsidRDefault="00E257C0" w:rsidP="0017666D">
      <w:pPr>
        <w:pStyle w:val="FootnoteText"/>
      </w:pPr>
      <w:r w:rsidRPr="001800E5">
        <w:rPr>
          <w:rStyle w:val="FootnoteReference"/>
        </w:rPr>
        <w:footnoteRef/>
      </w:r>
      <w:r w:rsidRPr="001800E5">
        <w:t xml:space="preserve"> </w:t>
      </w:r>
      <w:r w:rsidRPr="0069331F">
        <w:rPr>
          <w:i/>
        </w:rPr>
        <w:t>See</w:t>
      </w:r>
      <w:r>
        <w:rPr>
          <w:i/>
        </w:rPr>
        <w:t>, e.g.,</w:t>
      </w:r>
      <w:r>
        <w:t xml:space="preserve"> </w:t>
      </w:r>
      <w:r w:rsidRPr="00AE6A80">
        <w:rPr>
          <w:i/>
        </w:rPr>
        <w:t xml:space="preserve">Mobile Spectrum Holdings </w:t>
      </w:r>
      <w:r>
        <w:rPr>
          <w:i/>
        </w:rPr>
        <w:t>Report and</w:t>
      </w:r>
      <w:r w:rsidRPr="00BF23C2">
        <w:rPr>
          <w:i/>
        </w:rPr>
        <w:t xml:space="preserve"> </w:t>
      </w:r>
      <w:r w:rsidRPr="00AE6A80">
        <w:rPr>
          <w:i/>
        </w:rPr>
        <w:t>Order</w:t>
      </w:r>
      <w:r>
        <w:t xml:space="preserve">, 29 FCC Rcd at 6169 </w:t>
      </w:r>
      <w:r w:rsidRPr="00943F32">
        <w:t>¶</w:t>
      </w:r>
      <w:r>
        <w:t xml:space="preserve"> 71; </w:t>
      </w:r>
      <w:r w:rsidRPr="001800E5">
        <w:rPr>
          <w:i/>
        </w:rPr>
        <w:t>AT&amp;T-Qualcomm Order</w:t>
      </w:r>
      <w:r w:rsidRPr="001800E5">
        <w:t>, 26 FCC Rcd at 17605-6 ¶ 38.</w:t>
      </w:r>
    </w:p>
  </w:footnote>
  <w:footnote w:id="75">
    <w:p w:rsidR="00E257C0" w:rsidRPr="001800E5" w:rsidRDefault="00E257C0" w:rsidP="0017666D">
      <w:pPr>
        <w:pStyle w:val="FootnoteText"/>
      </w:pPr>
      <w:r w:rsidRPr="001800E5">
        <w:rPr>
          <w:rStyle w:val="FootnoteReference"/>
        </w:rPr>
        <w:footnoteRef/>
      </w:r>
      <w:r w:rsidRPr="001800E5">
        <w:t xml:space="preserve"> </w:t>
      </w:r>
      <w:r w:rsidRPr="00F34E84">
        <w:rPr>
          <w:i/>
        </w:rPr>
        <w:t>See, e.g.,</w:t>
      </w:r>
      <w:r>
        <w:t xml:space="preserve"> </w:t>
      </w:r>
      <w:r w:rsidRPr="00AE6A80">
        <w:rPr>
          <w:i/>
        </w:rPr>
        <w:t xml:space="preserve">Mobile Spectrum Holdings </w:t>
      </w:r>
      <w:r>
        <w:rPr>
          <w:i/>
        </w:rPr>
        <w:t>Report and</w:t>
      </w:r>
      <w:r w:rsidRPr="00BF23C2">
        <w:rPr>
          <w:i/>
        </w:rPr>
        <w:t xml:space="preserve"> </w:t>
      </w:r>
      <w:r w:rsidRPr="00AE6A80">
        <w:rPr>
          <w:i/>
        </w:rPr>
        <w:t>Order</w:t>
      </w:r>
      <w:r>
        <w:t xml:space="preserve">, 29 FCC Rcd at 6169 </w:t>
      </w:r>
      <w:r w:rsidRPr="00943F32">
        <w:t>¶</w:t>
      </w:r>
      <w:r>
        <w:t xml:space="preserve"> 71; </w:t>
      </w:r>
      <w:r w:rsidRPr="001800E5">
        <w:rPr>
          <w:i/>
        </w:rPr>
        <w:t>AT&amp;T-Qualcomm Order</w:t>
      </w:r>
      <w:r w:rsidRPr="001800E5">
        <w:t xml:space="preserve">, 26 FCC Rcd at 17605-6 ¶ 38.  </w:t>
      </w:r>
    </w:p>
  </w:footnote>
  <w:footnote w:id="76">
    <w:p w:rsidR="00E257C0" w:rsidRDefault="00E257C0">
      <w:pPr>
        <w:pStyle w:val="FootnoteText"/>
      </w:pPr>
      <w:r>
        <w:rPr>
          <w:rStyle w:val="FootnoteReference"/>
        </w:rPr>
        <w:footnoteRef/>
      </w:r>
      <w:r>
        <w:t xml:space="preserve"> </w:t>
      </w:r>
      <w:r w:rsidRPr="001800E5">
        <w:rPr>
          <w:i/>
          <w:iCs/>
        </w:rPr>
        <w:t>See</w:t>
      </w:r>
      <w:r w:rsidRPr="001800E5">
        <w:t xml:space="preserve"> </w:t>
      </w:r>
      <w:r>
        <w:rPr>
          <w:i/>
        </w:rPr>
        <w:t>e.g., AT&amp;T WCS</w:t>
      </w:r>
      <w:r w:rsidRPr="001800E5">
        <w:rPr>
          <w:i/>
        </w:rPr>
        <w:t xml:space="preserve"> Order</w:t>
      </w:r>
      <w:r w:rsidRPr="001800E5">
        <w:t xml:space="preserve">, 27 FCC Rcd at </w:t>
      </w:r>
      <w:r>
        <w:t xml:space="preserve">16469-70 </w:t>
      </w:r>
      <w:r w:rsidRPr="001800E5">
        <w:t xml:space="preserve">¶ </w:t>
      </w:r>
      <w:r>
        <w:t xml:space="preserve">29, </w:t>
      </w:r>
      <w:r w:rsidRPr="001800E5">
        <w:t>16470-71 ¶ 31</w:t>
      </w:r>
      <w:r>
        <w:t xml:space="preserve">; </w:t>
      </w:r>
      <w:r w:rsidRPr="00777EE0">
        <w:rPr>
          <w:i/>
        </w:rPr>
        <w:t>Verizon Wireless-SpectrumC</w:t>
      </w:r>
      <w:r w:rsidRPr="000E2A95">
        <w:rPr>
          <w:i/>
        </w:rPr>
        <w:t>o Order</w:t>
      </w:r>
      <w:r w:rsidRPr="00777EE0">
        <w:t xml:space="preserve">, 27 FCC Rcd at </w:t>
      </w:r>
      <w:r w:rsidRPr="000E2A95">
        <w:t xml:space="preserve">10719 ¶ 59; </w:t>
      </w:r>
      <w:r w:rsidRPr="000E2A95">
        <w:rPr>
          <w:i/>
        </w:rPr>
        <w:t>AT&amp;T-Qualcomm Order</w:t>
      </w:r>
      <w:r w:rsidRPr="00777EE0">
        <w:t xml:space="preserve">, </w:t>
      </w:r>
      <w:r w:rsidRPr="000E2A95">
        <w:t xml:space="preserve">26 FCC Rcd </w:t>
      </w:r>
      <w:r w:rsidRPr="00777EE0">
        <w:t xml:space="preserve">at </w:t>
      </w:r>
      <w:r w:rsidRPr="000E2A95">
        <w:t>17606 ¶ 39.</w:t>
      </w:r>
      <w:r>
        <w:t xml:space="preserve">  </w:t>
      </w:r>
      <w:r>
        <w:rPr>
          <w:i/>
        </w:rPr>
        <w:t xml:space="preserve">See also </w:t>
      </w:r>
      <w:r w:rsidRPr="000E2A95">
        <w:rPr>
          <w:i/>
          <w:iCs/>
        </w:rPr>
        <w:t xml:space="preserve">AT&amp;T-Leap Order, </w:t>
      </w:r>
      <w:r w:rsidRPr="000E2A95">
        <w:rPr>
          <w:iCs/>
        </w:rPr>
        <w:t xml:space="preserve">29 FCC Rcd at 2749-50 </w:t>
      </w:r>
      <w:r w:rsidRPr="000E2A95">
        <w:t xml:space="preserve">¶ 32; </w:t>
      </w:r>
      <w:r w:rsidRPr="00AE6A80">
        <w:rPr>
          <w:i/>
        </w:rPr>
        <w:t xml:space="preserve">Mobile Spectrum Holdings </w:t>
      </w:r>
      <w:r>
        <w:rPr>
          <w:i/>
        </w:rPr>
        <w:t>Report and</w:t>
      </w:r>
      <w:r w:rsidRPr="00BF23C2">
        <w:rPr>
          <w:i/>
        </w:rPr>
        <w:t xml:space="preserve"> </w:t>
      </w:r>
      <w:r w:rsidRPr="00AE6A80">
        <w:rPr>
          <w:i/>
        </w:rPr>
        <w:t>Order</w:t>
      </w:r>
      <w:r>
        <w:t xml:space="preserve">, 29 FCC Rcd at 6169-70 </w:t>
      </w:r>
      <w:r w:rsidRPr="00943F32">
        <w:t>¶</w:t>
      </w:r>
      <w:r>
        <w:t xml:space="preserve"> 72.</w:t>
      </w:r>
    </w:p>
  </w:footnote>
  <w:footnote w:id="77">
    <w:p w:rsidR="00E257C0" w:rsidRDefault="00E257C0">
      <w:pPr>
        <w:pStyle w:val="FootnoteText"/>
      </w:pPr>
      <w:r>
        <w:rPr>
          <w:rStyle w:val="FootnoteReference"/>
        </w:rPr>
        <w:footnoteRef/>
      </w:r>
      <w:r>
        <w:t xml:space="preserve"> </w:t>
      </w:r>
      <w:r w:rsidRPr="008B6B64">
        <w:rPr>
          <w:i/>
        </w:rPr>
        <w:t xml:space="preserve">See </w:t>
      </w:r>
      <w:r w:rsidRPr="00AE6A80">
        <w:rPr>
          <w:i/>
        </w:rPr>
        <w:t xml:space="preserve">Mobile Spectrum Holdings </w:t>
      </w:r>
      <w:r>
        <w:rPr>
          <w:i/>
        </w:rPr>
        <w:t>Report and</w:t>
      </w:r>
      <w:r w:rsidRPr="00BF23C2">
        <w:rPr>
          <w:i/>
        </w:rPr>
        <w:t xml:space="preserve"> </w:t>
      </w:r>
      <w:r w:rsidRPr="00AE6A80">
        <w:rPr>
          <w:i/>
        </w:rPr>
        <w:t>Order</w:t>
      </w:r>
      <w:r>
        <w:t xml:space="preserve">, 29 FCC Rcd at 6169 </w:t>
      </w:r>
      <w:r w:rsidRPr="00943F32">
        <w:t>¶</w:t>
      </w:r>
      <w:r>
        <w:t xml:space="preserve"> 70.</w:t>
      </w:r>
    </w:p>
  </w:footnote>
  <w:footnote w:id="78">
    <w:p w:rsidR="00E257C0" w:rsidRDefault="00E257C0">
      <w:pPr>
        <w:pStyle w:val="FootnoteText"/>
      </w:pPr>
      <w:r>
        <w:rPr>
          <w:rStyle w:val="FootnoteReference"/>
        </w:rPr>
        <w:footnoteRef/>
      </w:r>
      <w:r>
        <w:t xml:space="preserve"> </w:t>
      </w:r>
      <w:r w:rsidRPr="008B6B64">
        <w:rPr>
          <w:i/>
        </w:rPr>
        <w:t xml:space="preserve">See </w:t>
      </w:r>
      <w:r w:rsidRPr="00AE6A80">
        <w:rPr>
          <w:i/>
        </w:rPr>
        <w:t xml:space="preserve">Mobile Spectrum Holdings </w:t>
      </w:r>
      <w:r>
        <w:rPr>
          <w:i/>
        </w:rPr>
        <w:t>Report and</w:t>
      </w:r>
      <w:r w:rsidRPr="00BF23C2">
        <w:rPr>
          <w:i/>
        </w:rPr>
        <w:t xml:space="preserve"> </w:t>
      </w:r>
      <w:r w:rsidRPr="00AE6A80">
        <w:rPr>
          <w:i/>
        </w:rPr>
        <w:t>Order</w:t>
      </w:r>
      <w:r>
        <w:t xml:space="preserve">, 29 FCC Rcd at 6169 </w:t>
      </w:r>
      <w:r w:rsidRPr="00943F32">
        <w:t>¶</w:t>
      </w:r>
      <w:r>
        <w:t xml:space="preserve"> 70.</w:t>
      </w:r>
    </w:p>
  </w:footnote>
  <w:footnote w:id="79">
    <w:p w:rsidR="00E257C0" w:rsidRPr="00943F32" w:rsidRDefault="00E257C0" w:rsidP="00DC2D93">
      <w:pPr>
        <w:pStyle w:val="FootnoteText"/>
      </w:pPr>
      <w:r w:rsidRPr="0075707B">
        <w:rPr>
          <w:rStyle w:val="FootnoteReference"/>
        </w:rPr>
        <w:footnoteRef/>
      </w:r>
      <w:r w:rsidRPr="0075707B">
        <w:t xml:space="preserve"> </w:t>
      </w:r>
      <w:r w:rsidRPr="00943F32">
        <w:rPr>
          <w:i/>
        </w:rPr>
        <w:t>See, e.g., Alaska</w:t>
      </w:r>
      <w:r w:rsidRPr="009F0F3A">
        <w:rPr>
          <w:i/>
        </w:rPr>
        <w:t xml:space="preserve"> Wireless O</w:t>
      </w:r>
      <w:r w:rsidRPr="00121630">
        <w:rPr>
          <w:i/>
        </w:rPr>
        <w:t>rder</w:t>
      </w:r>
      <w:r w:rsidRPr="00A5312F">
        <w:t>, 28 FCC Rcd at 10449-50 ¶ 41;</w:t>
      </w:r>
      <w:r w:rsidRPr="00A5312F">
        <w:rPr>
          <w:i/>
        </w:rPr>
        <w:t xml:space="preserve"> SoftBank-Sprint Order</w:t>
      </w:r>
      <w:r w:rsidRPr="00A5312F">
        <w:t>, 28 FCC Rcd at 9660 ¶</w:t>
      </w:r>
      <w:r w:rsidR="00CE6EF7">
        <w:t> </w:t>
      </w:r>
      <w:r w:rsidRPr="00A5312F">
        <w:t>43</w:t>
      </w:r>
      <w:r w:rsidRPr="00943F32">
        <w:rPr>
          <w:rFonts w:eastAsiaTheme="minorHAnsi"/>
        </w:rPr>
        <w:t>.</w:t>
      </w:r>
      <w:r>
        <w:rPr>
          <w:rFonts w:eastAsiaTheme="minorHAnsi"/>
        </w:rPr>
        <w:t xml:space="preserve">  </w:t>
      </w:r>
      <w:r w:rsidRPr="00B83EDA">
        <w:rPr>
          <w:rFonts w:eastAsiaTheme="minorHAnsi"/>
          <w:i/>
        </w:rPr>
        <w:t>See also</w:t>
      </w:r>
      <w:r>
        <w:rPr>
          <w:rFonts w:eastAsiaTheme="minorHAnsi"/>
        </w:rPr>
        <w:t xml:space="preserve"> </w:t>
      </w:r>
      <w:r w:rsidRPr="00943F32">
        <w:rPr>
          <w:i/>
        </w:rPr>
        <w:t xml:space="preserve">AT&amp;T-Leap Order, </w:t>
      </w:r>
      <w:r w:rsidRPr="00943F32">
        <w:t>29 FCC Rcd at 2751 ¶ 35</w:t>
      </w:r>
      <w:r>
        <w:t xml:space="preserve">.  The Commission has assessed </w:t>
      </w:r>
      <w:r w:rsidRPr="005211DB">
        <w:t xml:space="preserve">the </w:t>
      </w:r>
      <w:r>
        <w:t xml:space="preserve">competitive </w:t>
      </w:r>
      <w:r w:rsidRPr="005211DB">
        <w:t xml:space="preserve">effect of </w:t>
      </w:r>
      <w:r>
        <w:t>MVNOs</w:t>
      </w:r>
      <w:r w:rsidRPr="005211DB">
        <w:t xml:space="preserve"> and resellers</w:t>
      </w:r>
      <w:r>
        <w:t xml:space="preserve"> in prior transactions but noted that it will exclude MVNOs and resellers from consideration when computing initial concentration measures.  </w:t>
      </w:r>
      <w:r w:rsidRPr="00943F32">
        <w:rPr>
          <w:i/>
        </w:rPr>
        <w:t>See</w:t>
      </w:r>
      <w:r>
        <w:rPr>
          <w:i/>
        </w:rPr>
        <w:t>, e.g.,</w:t>
      </w:r>
      <w:r w:rsidRPr="00671D04">
        <w:rPr>
          <w:i/>
        </w:rPr>
        <w:t xml:space="preserve"> Alaska Wireless Order</w:t>
      </w:r>
      <w:r w:rsidRPr="00671D04">
        <w:t xml:space="preserve">, 28 FCC Rcd at 10449-50 ¶ 41; </w:t>
      </w:r>
      <w:r w:rsidRPr="00671D04">
        <w:rPr>
          <w:i/>
        </w:rPr>
        <w:t>SoftBank-Sprint Order</w:t>
      </w:r>
      <w:r w:rsidRPr="00671D04">
        <w:t>, 28 FCC Rcd at 9660 ¶</w:t>
      </w:r>
      <w:r>
        <w:t xml:space="preserve"> </w:t>
      </w:r>
      <w:r w:rsidRPr="00671D04">
        <w:t>43.</w:t>
      </w:r>
      <w:r>
        <w:t xml:space="preserve">  </w:t>
      </w:r>
      <w:r w:rsidRPr="00C46E07">
        <w:rPr>
          <w:i/>
        </w:rPr>
        <w:t>See also</w:t>
      </w:r>
      <w:r>
        <w:t xml:space="preserve"> </w:t>
      </w:r>
      <w:r w:rsidRPr="00671D04">
        <w:rPr>
          <w:i/>
        </w:rPr>
        <w:t xml:space="preserve">AT&amp;T-Leap Order, </w:t>
      </w:r>
      <w:r w:rsidRPr="00671D04">
        <w:t>29 FCC Rcd at 2752 ¶</w:t>
      </w:r>
      <w:r>
        <w:t xml:space="preserve"> 37.</w:t>
      </w:r>
    </w:p>
  </w:footnote>
  <w:footnote w:id="80">
    <w:p w:rsidR="00E257C0" w:rsidRDefault="00E257C0" w:rsidP="001807D6">
      <w:pPr>
        <w:pStyle w:val="FootnoteText"/>
      </w:pPr>
      <w:r>
        <w:rPr>
          <w:rStyle w:val="FootnoteReference"/>
        </w:rPr>
        <w:footnoteRef/>
      </w:r>
      <w:r>
        <w:t xml:space="preserve"> </w:t>
      </w:r>
      <w:r w:rsidRPr="00085CF7">
        <w:rPr>
          <w:i/>
        </w:rPr>
        <w:t xml:space="preserve">See </w:t>
      </w:r>
      <w:r w:rsidRPr="00AE6A80">
        <w:rPr>
          <w:i/>
        </w:rPr>
        <w:t xml:space="preserve">Mobile Spectrum Holdings </w:t>
      </w:r>
      <w:r>
        <w:rPr>
          <w:i/>
        </w:rPr>
        <w:t>Report and</w:t>
      </w:r>
      <w:r w:rsidRPr="00BF23C2">
        <w:rPr>
          <w:i/>
        </w:rPr>
        <w:t xml:space="preserve"> </w:t>
      </w:r>
      <w:r w:rsidRPr="00AE6A80">
        <w:rPr>
          <w:i/>
        </w:rPr>
        <w:t>Order</w:t>
      </w:r>
      <w:r>
        <w:t>, 29 FCC Rcd at 6135</w:t>
      </w:r>
      <w:r w:rsidRPr="00943F32">
        <w:t xml:space="preserve"> ¶</w:t>
      </w:r>
      <w:r>
        <w:t xml:space="preserve"> 4. </w:t>
      </w:r>
      <w:r w:rsidRPr="00943F32">
        <w:t xml:space="preserve"> </w:t>
      </w:r>
      <w:r w:rsidRPr="00CC0FD0">
        <w:rPr>
          <w:i/>
        </w:rPr>
        <w:t>See</w:t>
      </w:r>
      <w:r>
        <w:rPr>
          <w:i/>
        </w:rPr>
        <w:t xml:space="preserve"> also,</w:t>
      </w:r>
      <w:r w:rsidRPr="00CC0FD0">
        <w:rPr>
          <w:i/>
        </w:rPr>
        <w:t xml:space="preserve"> e.g., AT&amp;T-Leap Order,</w:t>
      </w:r>
      <w:r w:rsidRPr="00943F32">
        <w:rPr>
          <w:i/>
        </w:rPr>
        <w:t xml:space="preserve"> </w:t>
      </w:r>
      <w:r w:rsidRPr="00943F32">
        <w:t>29 FCC Rcd at 2751 ¶ 35;</w:t>
      </w:r>
      <w:r w:rsidRPr="00943F32">
        <w:rPr>
          <w:i/>
        </w:rPr>
        <w:t xml:space="preserve"> Alaska</w:t>
      </w:r>
      <w:r w:rsidRPr="009F0F3A">
        <w:rPr>
          <w:i/>
        </w:rPr>
        <w:t xml:space="preserve"> Wireless O</w:t>
      </w:r>
      <w:r w:rsidRPr="00121630">
        <w:rPr>
          <w:i/>
        </w:rPr>
        <w:t>rder</w:t>
      </w:r>
      <w:r w:rsidRPr="00A5312F">
        <w:t>, 28 FCC Rcd at 10449-50 ¶ 41;</w:t>
      </w:r>
      <w:r w:rsidRPr="00A5312F">
        <w:rPr>
          <w:i/>
        </w:rPr>
        <w:t xml:space="preserve"> SoftBank-Sprint Order</w:t>
      </w:r>
      <w:r w:rsidRPr="00A5312F">
        <w:t>, 28 FCC Rcd at 9660 ¶</w:t>
      </w:r>
      <w:r>
        <w:t xml:space="preserve"> </w:t>
      </w:r>
      <w:r w:rsidRPr="00A5312F">
        <w:t>43</w:t>
      </w:r>
      <w:r w:rsidRPr="00943F32">
        <w:rPr>
          <w:rFonts w:eastAsiaTheme="minorHAnsi"/>
        </w:rPr>
        <w:t>.</w:t>
      </w:r>
    </w:p>
  </w:footnote>
  <w:footnote w:id="81">
    <w:p w:rsidR="00E257C0" w:rsidRPr="00A5312F" w:rsidRDefault="00E257C0" w:rsidP="00F55602">
      <w:pPr>
        <w:pStyle w:val="FootnoteText"/>
      </w:pPr>
      <w:r w:rsidRPr="0075707B">
        <w:rPr>
          <w:rStyle w:val="FootnoteReference"/>
        </w:rPr>
        <w:footnoteRef/>
      </w:r>
      <w:r w:rsidRPr="0075707B">
        <w:t xml:space="preserve"> </w:t>
      </w:r>
      <w:r w:rsidRPr="009F0F3A">
        <w:rPr>
          <w:i/>
        </w:rPr>
        <w:t>See, e.g.</w:t>
      </w:r>
      <w:r w:rsidRPr="00121630">
        <w:t>,</w:t>
      </w:r>
      <w:r w:rsidRPr="00A5312F">
        <w:rPr>
          <w:i/>
        </w:rPr>
        <w:t xml:space="preserve"> Alaska Wireless Order</w:t>
      </w:r>
      <w:r w:rsidRPr="00A5312F">
        <w:t>, 28 FCC Rcd at 10450 ¶ 42;</w:t>
      </w:r>
      <w:r w:rsidRPr="00A5312F">
        <w:rPr>
          <w:i/>
        </w:rPr>
        <w:t xml:space="preserve"> SoftBank-Sprint Order</w:t>
      </w:r>
      <w:r>
        <w:t>, 28 FCC Rcd at 9660 ¶ 44.</w:t>
      </w:r>
    </w:p>
  </w:footnote>
  <w:footnote w:id="82">
    <w:p w:rsidR="00E257C0" w:rsidRPr="00A5312F" w:rsidRDefault="00E257C0" w:rsidP="00F55602">
      <w:pPr>
        <w:pStyle w:val="FootnoteText"/>
      </w:pPr>
      <w:r w:rsidRPr="0075707B">
        <w:rPr>
          <w:rStyle w:val="FootnoteReference"/>
        </w:rPr>
        <w:footnoteRef/>
      </w:r>
      <w:r w:rsidRPr="0075707B">
        <w:t xml:space="preserve"> </w:t>
      </w:r>
      <w:r w:rsidRPr="009F0F3A">
        <w:rPr>
          <w:i/>
        </w:rPr>
        <w:t>See</w:t>
      </w:r>
      <w:r>
        <w:rPr>
          <w:i/>
        </w:rPr>
        <w:t xml:space="preserv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r w:rsidR="00295D62">
        <w:rPr>
          <w:rStyle w:val="StyleParaNumTimesNewRoman11ptChar"/>
          <w:sz w:val="20"/>
          <w:lang w:eastAsia="x-none"/>
        </w:rPr>
        <w:t xml:space="preserve">  </w:t>
      </w:r>
      <w:r w:rsidR="00295D62">
        <w:rPr>
          <w:iCs/>
        </w:rPr>
        <w:t xml:space="preserve">The current total amount of below-1-GHz spectrum that is suitable and available is 134 megahertz; approximately one-third of which is 45 megahertz.  </w:t>
      </w:r>
      <w:r w:rsidR="00295D62" w:rsidRPr="009F0F3A">
        <w:rPr>
          <w:i/>
        </w:rPr>
        <w:t>See</w:t>
      </w:r>
      <w:r w:rsidR="00295D62">
        <w:rPr>
          <w:i/>
        </w:rPr>
        <w:t xml:space="preserve"> </w:t>
      </w:r>
      <w:r w:rsidR="00295D62" w:rsidRPr="00D22B64">
        <w:rPr>
          <w:i/>
        </w:rPr>
        <w:t>M</w:t>
      </w:r>
      <w:r w:rsidR="00295D62" w:rsidRPr="00BE484A">
        <w:rPr>
          <w:i/>
        </w:rPr>
        <w:t>obile Spectrum Holdings Report and Order</w:t>
      </w:r>
      <w:r w:rsidR="00295D62">
        <w:rPr>
          <w:rStyle w:val="StyleParaNumTimesNewRoman11ptChar"/>
          <w:sz w:val="20"/>
          <w:lang w:eastAsia="x-none"/>
        </w:rPr>
        <w:t>, 29 FCC Rcd at 6156-57 ¶ 46, 6240 ¶¶ 286-88.</w:t>
      </w:r>
    </w:p>
  </w:footnote>
  <w:footnote w:id="83">
    <w:p w:rsidR="00E257C0" w:rsidRPr="00AF7816" w:rsidRDefault="00E257C0" w:rsidP="00AB2A9B">
      <w:pPr>
        <w:pStyle w:val="FootnoteText"/>
      </w:pPr>
      <w:r w:rsidRPr="00AF7816">
        <w:rPr>
          <w:rStyle w:val="FootnoteReference"/>
        </w:rPr>
        <w:footnoteRef/>
      </w:r>
      <w:r w:rsidRPr="00AF7816">
        <w:t xml:space="preserve"> Our initial HHI screen identifies, for further case-by-case market analysis, those markets in which, post-transaction:  (1) the HHI would be greater than 2800 and the change in HHI would be 100 or greater; or (2) the change in HHI would be 250 or greater, regardless of the level of the HHI.  </w:t>
      </w:r>
      <w:r w:rsidRPr="0032649B">
        <w:rPr>
          <w:i/>
        </w:rPr>
        <w:t xml:space="preserve">See, e.g., AT&amp;T-Leap Order, </w:t>
      </w:r>
      <w:r w:rsidRPr="0032649B">
        <w:t xml:space="preserve">29 FCC Rcd at 2753 ¶ 41 n.140; </w:t>
      </w:r>
      <w:r w:rsidRPr="00F56C51">
        <w:rPr>
          <w:i/>
        </w:rPr>
        <w:t>AT&amp;T-ATN Order</w:t>
      </w:r>
      <w:r>
        <w:t xml:space="preserve">, </w:t>
      </w:r>
      <w:r w:rsidRPr="003C78AB">
        <w:t>28 FCC Rcd at</w:t>
      </w:r>
      <w:r w:rsidRPr="00943661">
        <w:t xml:space="preserve"> </w:t>
      </w:r>
      <w:r>
        <w:t xml:space="preserve">13684-85 ¶ 30 n.77; </w:t>
      </w:r>
      <w:r w:rsidRPr="0032649B">
        <w:rPr>
          <w:i/>
        </w:rPr>
        <w:t>Alaska Wireless Order,</w:t>
      </w:r>
      <w:r>
        <w:t xml:space="preserve"> 28 FCC Rcd at 10450 </w:t>
      </w:r>
      <w:r w:rsidRPr="0032649B">
        <w:t>¶ 42 n.135</w:t>
      </w:r>
      <w:r>
        <w:t>.</w:t>
      </w:r>
    </w:p>
  </w:footnote>
  <w:footnote w:id="84">
    <w:p w:rsidR="00E257C0" w:rsidRPr="00A5312F" w:rsidRDefault="00E257C0" w:rsidP="00A712F4">
      <w:pPr>
        <w:pStyle w:val="FootnoteText"/>
      </w:pPr>
      <w:r w:rsidRPr="0075707B">
        <w:rPr>
          <w:rStyle w:val="FootnoteReference"/>
        </w:rPr>
        <w:footnoteRef/>
      </w:r>
      <w:r w:rsidRPr="0075707B">
        <w:t xml:space="preserve"> These data indicate the number of assigned phone numbers that a wireless service provider has in a particular wireline rate center.  Rate centers are geograph</w:t>
      </w:r>
      <w:r w:rsidRPr="009F0F3A">
        <w:t xml:space="preserve">ic areas used by local exchange carriers for a variety of reasons, including the determination of toll rates.  </w:t>
      </w:r>
      <w:r w:rsidRPr="00121630">
        <w:rPr>
          <w:i/>
          <w:iCs/>
        </w:rPr>
        <w:t>See</w:t>
      </w:r>
      <w:r w:rsidRPr="00A5312F">
        <w:t xml:space="preserve"> </w:t>
      </w:r>
      <w:r w:rsidRPr="00A5312F">
        <w:rPr>
          <w:smallCaps/>
        </w:rPr>
        <w:t>Harry Newton</w:t>
      </w:r>
      <w:r w:rsidRPr="00A5312F">
        <w:t xml:space="preserve">, </w:t>
      </w:r>
      <w:r w:rsidRPr="00A5312F">
        <w:rPr>
          <w:smallCaps/>
        </w:rPr>
        <w:t>Newton’s Telecom Dictionary: 19</w:t>
      </w:r>
      <w:r w:rsidRPr="00A5312F">
        <w:rPr>
          <w:smallCaps/>
          <w:vertAlign w:val="superscript"/>
        </w:rPr>
        <w:t>th</w:t>
      </w:r>
      <w:r w:rsidRPr="00A5312F">
        <w:rPr>
          <w:smallCaps/>
        </w:rPr>
        <w:t xml:space="preserve"> Expanded &amp; Updated Edition 660</w:t>
      </w:r>
      <w:r w:rsidRPr="00A5312F">
        <w:t xml:space="preserve"> (July 2003).  All mobile wireless providers must report to the FCC the quantity of their phone numbers that have been assigned to end users, thereby permitting the Commission to calculate the total number of mobile subscribers.  For purposes of geographical analysis, the rate center data can be associated with a geographic point, and all of those points that fall within a county boundary can be aggregated together and associated with much larger geographic areas based on counties.</w:t>
      </w:r>
    </w:p>
  </w:footnote>
  <w:footnote w:id="85">
    <w:p w:rsidR="00E257C0" w:rsidRPr="00A5312F" w:rsidRDefault="00E257C0" w:rsidP="00A712F4">
      <w:pPr>
        <w:pStyle w:val="FootnoteText"/>
      </w:pPr>
      <w:r w:rsidRPr="0075707B">
        <w:rPr>
          <w:rStyle w:val="FootnoteReference"/>
        </w:rPr>
        <w:footnoteRef/>
      </w:r>
      <w:r w:rsidRPr="0075707B">
        <w:t xml:space="preserve"> </w:t>
      </w:r>
      <w:r w:rsidRPr="009F0F3A">
        <w:rPr>
          <w:i/>
        </w:rPr>
        <w:t>See, e.g., Alaska Wireless Order</w:t>
      </w:r>
      <w:r w:rsidRPr="00121630">
        <w:t>, 28 FCC Rcd at 10450</w:t>
      </w:r>
      <w:r w:rsidR="00BB6870">
        <w:t>-51</w:t>
      </w:r>
      <w:r w:rsidRPr="00121630">
        <w:t xml:space="preserve"> ¶</w:t>
      </w:r>
      <w:r w:rsidR="00BB6870" w:rsidRPr="00121630">
        <w:t>¶</w:t>
      </w:r>
      <w:r w:rsidRPr="00121630">
        <w:t xml:space="preserve"> 42</w:t>
      </w:r>
      <w:r w:rsidR="00BB6870">
        <w:t xml:space="preserve">-43.  </w:t>
      </w:r>
      <w:r w:rsidR="00BB6870" w:rsidRPr="00BB6870">
        <w:rPr>
          <w:i/>
        </w:rPr>
        <w:t>See also, e.g.,</w:t>
      </w:r>
      <w:r w:rsidR="00BB6870">
        <w:t xml:space="preserve"> </w:t>
      </w:r>
      <w:r>
        <w:rPr>
          <w:i/>
          <w:iCs/>
        </w:rPr>
        <w:t>AT&amp;T WCS</w:t>
      </w:r>
      <w:r w:rsidRPr="00A5312F">
        <w:rPr>
          <w:i/>
          <w:iCs/>
        </w:rPr>
        <w:t xml:space="preserve"> Order</w:t>
      </w:r>
      <w:r w:rsidRPr="00A5312F">
        <w:rPr>
          <w:iCs/>
        </w:rPr>
        <w:t xml:space="preserve">, </w:t>
      </w:r>
      <w:r w:rsidRPr="00A5312F">
        <w:t>27 FCC Rcd at 16469-70</w:t>
      </w:r>
      <w:r w:rsidRPr="00A5312F">
        <w:rPr>
          <w:iCs/>
        </w:rPr>
        <w:t xml:space="preserve"> ¶ 29; </w:t>
      </w:r>
      <w:r w:rsidRPr="00A5312F">
        <w:rPr>
          <w:i/>
          <w:iCs/>
        </w:rPr>
        <w:t xml:space="preserve">Verizon Wireless-SpectrumCo Order, </w:t>
      </w:r>
      <w:r>
        <w:rPr>
          <w:iCs/>
        </w:rPr>
        <w:t xml:space="preserve">27 FCC Rcd at 10719 ¶ 59.  The current total amount of spectrum that is suitable and available is 580.5 megahertz, which yields a trigger of 194 megahertz, assuming that AWS-1 and BRS spectrum are everywhere available.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6229 </w:t>
      </w:r>
      <w:r w:rsidRPr="00121630">
        <w:t>¶</w:t>
      </w:r>
      <w:r>
        <w:t xml:space="preserve"> 251.</w:t>
      </w:r>
    </w:p>
  </w:footnote>
  <w:footnote w:id="86">
    <w:p w:rsidR="00E257C0" w:rsidRPr="00121630" w:rsidRDefault="00E257C0" w:rsidP="00AF650C">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 xml:space="preserve">6233 </w:t>
      </w:r>
      <w:r w:rsidRPr="0051119E">
        <w:rPr>
          <w:bCs/>
        </w:rPr>
        <w:t>¶</w:t>
      </w:r>
      <w:r>
        <w:rPr>
          <w:bCs/>
        </w:rPr>
        <w:t xml:space="preserve"> 267, 6240 </w:t>
      </w:r>
      <w:r w:rsidRPr="0051119E">
        <w:rPr>
          <w:bCs/>
        </w:rPr>
        <w:t>¶</w:t>
      </w:r>
      <w:r>
        <w:rPr>
          <w:bCs/>
        </w:rPr>
        <w:t xml:space="preserve"> 286-88</w:t>
      </w:r>
      <w:r w:rsidRPr="006A5E52">
        <w:t>.</w:t>
      </w:r>
      <w:r>
        <w:rPr>
          <w:rStyle w:val="StyleParaNumTimesNewRoman11ptChar"/>
          <w:sz w:val="20"/>
          <w:lang w:eastAsia="x-none"/>
        </w:rPr>
        <w:t xml:space="preserve">  </w:t>
      </w:r>
      <w:r w:rsidRPr="009B4C03">
        <w:rPr>
          <w:rStyle w:val="StyleParaNumTimesNewRoman11ptChar"/>
          <w:i/>
          <w:sz w:val="20"/>
          <w:lang w:eastAsia="x-none"/>
        </w:rPr>
        <w:t>See also, e.g.,</w:t>
      </w:r>
      <w:r>
        <w:rPr>
          <w:rStyle w:val="StyleParaNumTimesNewRoman11ptChar"/>
          <w:sz w:val="20"/>
          <w:lang w:eastAsia="x-none"/>
        </w:rPr>
        <w:t xml:space="preserve"> </w:t>
      </w:r>
      <w:r w:rsidRPr="00B83EDA">
        <w:rPr>
          <w:rStyle w:val="StyleParaNumTimesNewRoman11ptChar"/>
          <w:i/>
          <w:sz w:val="20"/>
          <w:lang w:eastAsia="x-none"/>
        </w:rPr>
        <w:t>AT&amp;T-Verizon Wireless-Grain Order,</w:t>
      </w:r>
      <w:r>
        <w:rPr>
          <w:rStyle w:val="StyleParaNumTimesNewRoman11ptChar"/>
          <w:sz w:val="20"/>
          <w:lang w:eastAsia="x-none"/>
        </w:rPr>
        <w:t xml:space="preserve"> 28 FCC at 12893-97 ¶¶ 39-45; </w:t>
      </w:r>
      <w:r w:rsidRPr="009F0F3A">
        <w:rPr>
          <w:i/>
        </w:rPr>
        <w:t xml:space="preserve">AT&amp;T-Qualcomm Order, </w:t>
      </w:r>
      <w:r w:rsidRPr="00121630">
        <w:t>26 FCC Rcd at 17601-2 ¶</w:t>
      </w:r>
      <w:r>
        <w:t xml:space="preserve"> </w:t>
      </w:r>
      <w:r w:rsidRPr="00121630">
        <w:t>3</w:t>
      </w:r>
      <w:r>
        <w:t>1</w:t>
      </w:r>
      <w:r w:rsidRPr="00121630">
        <w:t>.</w:t>
      </w:r>
      <w:r>
        <w:t xml:space="preserve">  </w:t>
      </w:r>
    </w:p>
  </w:footnote>
  <w:footnote w:id="87">
    <w:p w:rsidR="00E257C0" w:rsidRPr="00761C64" w:rsidRDefault="00E257C0" w:rsidP="00A74EAD">
      <w:pPr>
        <w:pStyle w:val="FootnoteText"/>
        <w:rPr>
          <w:i/>
        </w:rPr>
      </w:pPr>
      <w:r w:rsidRPr="00761C64">
        <w:rPr>
          <w:rStyle w:val="FootnoteReference"/>
        </w:rPr>
        <w:footnoteRef/>
      </w:r>
      <w:r w:rsidRPr="00487E9C">
        <w:t xml:space="preserve"> While service providers can change some of these conduct variables, for example, price and customer service, relatively </w:t>
      </w:r>
      <w:r w:rsidRPr="00AA7C55">
        <w:t>quickly,</w:t>
      </w:r>
      <w:r w:rsidRPr="00FA7FF8">
        <w:t xml:space="preserve"> other variables – particularly non-price variables such as quality and coverage – require investments in spectrum or infrastru</w:t>
      </w:r>
      <w:r w:rsidRPr="00A74EAD">
        <w:t xml:space="preserve">cture and are not easily modified.  </w:t>
      </w:r>
      <w:r w:rsidRPr="00A74EAD">
        <w:rPr>
          <w:i/>
        </w:rPr>
        <w:t>See, e.g.</w:t>
      </w:r>
      <w:r w:rsidRPr="00A74EAD">
        <w:t xml:space="preserve">, </w:t>
      </w:r>
      <w:r w:rsidRPr="00A74EAD">
        <w:rPr>
          <w:i/>
        </w:rPr>
        <w:t xml:space="preserve">AT&amp;T-Leap Order, </w:t>
      </w:r>
      <w:r w:rsidRPr="00A74EAD">
        <w:t xml:space="preserve">29 FCC Rcd at 2756 ¶ 49 n.173; </w:t>
      </w:r>
      <w:r w:rsidRPr="00A74EAD">
        <w:rPr>
          <w:i/>
        </w:rPr>
        <w:t>AT&amp;T-ATN Order</w:t>
      </w:r>
      <w:r w:rsidRPr="00A74EAD">
        <w:t>, 28 FCC Rcd at 13686-87 ¶ 34 n.90</w:t>
      </w:r>
      <w:r>
        <w:t>.</w:t>
      </w:r>
      <w:r w:rsidRPr="00A5312F">
        <w:t xml:space="preserve"> </w:t>
      </w:r>
      <w:r w:rsidRPr="00487E9C">
        <w:t xml:space="preserve"> </w:t>
      </w:r>
    </w:p>
  </w:footnote>
  <w:footnote w:id="88">
    <w:p w:rsidR="00E257C0" w:rsidRPr="00A5312F" w:rsidRDefault="00E257C0" w:rsidP="00CA618A">
      <w:pPr>
        <w:pStyle w:val="FootnoteText"/>
      </w:pPr>
      <w:r w:rsidRPr="0075707B">
        <w:rPr>
          <w:rStyle w:val="FootnoteReference"/>
        </w:rPr>
        <w:footnoteRef/>
      </w:r>
      <w:r w:rsidRPr="0075707B">
        <w:t xml:space="preserve"> </w:t>
      </w:r>
      <w:r w:rsidRPr="009F0F3A">
        <w:rPr>
          <w:i/>
        </w:rPr>
        <w:t>See, e.g.</w:t>
      </w:r>
      <w:r w:rsidRPr="00121630">
        <w:t xml:space="preserve">, Horizontal Merger Guidelines, U.S. Department of Justice and the </w:t>
      </w:r>
      <w:r w:rsidRPr="00A5312F">
        <w:t>Federal Trade Commission,</w:t>
      </w:r>
      <w:r w:rsidRPr="00A5312F">
        <w:rPr>
          <w:color w:val="000000"/>
        </w:rPr>
        <w:t xml:space="preserve"> </w:t>
      </w:r>
      <w:r w:rsidRPr="00A5312F">
        <w:t xml:space="preserve">August 19, 2010, </w:t>
      </w:r>
      <w:r w:rsidRPr="00A5312F">
        <w:rPr>
          <w:color w:val="000000"/>
        </w:rPr>
        <w:t>at § 6, p. 20</w:t>
      </w:r>
      <w:r w:rsidRPr="00A5312F">
        <w:t xml:space="preserve"> (“</w:t>
      </w:r>
      <w:r w:rsidRPr="00A5312F">
        <w:rPr>
          <w:i/>
        </w:rPr>
        <w:t>2010 DOJ/FTC</w:t>
      </w:r>
      <w:r w:rsidRPr="00A5312F">
        <w:t xml:space="preserve"> </w:t>
      </w:r>
      <w:r w:rsidRPr="00A5312F">
        <w:rPr>
          <w:i/>
        </w:rPr>
        <w:t>Horizontal Merger Guidelines</w:t>
      </w:r>
      <w:r w:rsidRPr="00A5312F">
        <w:t>”)</w:t>
      </w:r>
      <w:r>
        <w:t xml:space="preserve"> (</w:t>
      </w:r>
      <w:r w:rsidRPr="00A5312F">
        <w:t>“A merger between firms selling differentiated products may diminish competition by enabling the merged firm to profit by unilaterally raising the price of one or both products above the pre-merger level.”</w:t>
      </w:r>
      <w:r>
        <w:t>).</w:t>
      </w:r>
      <w:r w:rsidRPr="00A5312F">
        <w:t xml:space="preserve">  </w:t>
      </w:r>
      <w:r w:rsidRPr="00A5312F">
        <w:rPr>
          <w:i/>
        </w:rPr>
        <w:t>See</w:t>
      </w:r>
      <w:r>
        <w:rPr>
          <w:i/>
        </w:rPr>
        <w:t xml:space="preserve"> also</w:t>
      </w:r>
      <w:r w:rsidRPr="00A5312F">
        <w:t>,</w:t>
      </w:r>
      <w:r w:rsidRPr="00A5312F">
        <w:rPr>
          <w:i/>
        </w:rPr>
        <w:t xml:space="preserve"> e.g.</w:t>
      </w:r>
      <w:r w:rsidRPr="00A5312F">
        <w:t xml:space="preserve">, </w:t>
      </w:r>
      <w:r w:rsidRPr="00B83EDA">
        <w:rPr>
          <w:i/>
        </w:rPr>
        <w:t>A</w:t>
      </w:r>
      <w:r w:rsidRPr="0075224E">
        <w:rPr>
          <w:i/>
        </w:rPr>
        <w:t>T&amp;T-ATN Order</w:t>
      </w:r>
      <w:r w:rsidRPr="0075224E">
        <w:t xml:space="preserve">, 28 FCC Rcd at 13687 ¶ 35 n.91; </w:t>
      </w:r>
      <w:r w:rsidRPr="00A5312F">
        <w:rPr>
          <w:i/>
        </w:rPr>
        <w:t>Alaska Wireless Order</w:t>
      </w:r>
      <w:r w:rsidRPr="00A5312F">
        <w:t>, 28 FCC Rcd at 10451 ¶ 44</w:t>
      </w:r>
      <w:r>
        <w:t xml:space="preserve"> n.142</w:t>
      </w:r>
      <w:r w:rsidRPr="0050549D">
        <w:t>;</w:t>
      </w:r>
      <w:r w:rsidRPr="006A6D92">
        <w:t xml:space="preserve"> </w:t>
      </w:r>
      <w:r w:rsidRPr="00A5312F">
        <w:rPr>
          <w:i/>
        </w:rPr>
        <w:t>T-Mobile-MetroPCS Order</w:t>
      </w:r>
      <w:r w:rsidRPr="00A5312F">
        <w:t xml:space="preserve">, 28 FCC Rcd </w:t>
      </w:r>
      <w:r w:rsidRPr="00A5312F">
        <w:rPr>
          <w:iCs/>
        </w:rPr>
        <w:t xml:space="preserve">at 2336 </w:t>
      </w:r>
      <w:r w:rsidRPr="00A5312F">
        <w:t>¶</w:t>
      </w:r>
      <w:r>
        <w:t xml:space="preserve"> </w:t>
      </w:r>
      <w:r w:rsidRPr="00A5312F">
        <w:t>42</w:t>
      </w:r>
      <w:r>
        <w:t xml:space="preserve"> n.101</w:t>
      </w:r>
      <w:r w:rsidRPr="00A5312F">
        <w:t>.</w:t>
      </w:r>
    </w:p>
  </w:footnote>
  <w:footnote w:id="89">
    <w:p w:rsidR="00990EF1" w:rsidRDefault="00990EF1">
      <w:pPr>
        <w:pStyle w:val="FootnoteText"/>
      </w:pPr>
      <w:r>
        <w:rPr>
          <w:rStyle w:val="FootnoteReference"/>
        </w:rPr>
        <w:footnoteRef/>
      </w:r>
      <w:r>
        <w:t xml:space="preserve"> </w:t>
      </w:r>
      <w:r w:rsidRPr="00990EF1">
        <w:rPr>
          <w:i/>
        </w:rPr>
        <w:t>See, e.g.</w:t>
      </w:r>
      <w:r>
        <w:t xml:space="preserve">, </w:t>
      </w:r>
      <w:r w:rsidR="00C21B35" w:rsidRPr="00622740">
        <w:rPr>
          <w:i/>
          <w:iCs/>
        </w:rPr>
        <w:t xml:space="preserve">AT&amp;T-Leap Order, </w:t>
      </w:r>
      <w:r w:rsidR="00C21B35" w:rsidRPr="00622740">
        <w:rPr>
          <w:iCs/>
        </w:rPr>
        <w:t xml:space="preserve">29 FCC Rcd </w:t>
      </w:r>
      <w:r w:rsidR="00C21B35">
        <w:rPr>
          <w:iCs/>
        </w:rPr>
        <w:t xml:space="preserve">at </w:t>
      </w:r>
      <w:r w:rsidR="00C21B35">
        <w:t xml:space="preserve">2756-57 </w:t>
      </w:r>
      <w:r w:rsidR="00C21B35" w:rsidRPr="00A5312F">
        <w:t>¶</w:t>
      </w:r>
      <w:r w:rsidR="00C21B35">
        <w:t xml:space="preserve"> 49; </w:t>
      </w:r>
      <w:r w:rsidR="008E5199" w:rsidRPr="00B83EDA">
        <w:rPr>
          <w:i/>
        </w:rPr>
        <w:t>A</w:t>
      </w:r>
      <w:r w:rsidR="008E5199" w:rsidRPr="0075224E">
        <w:rPr>
          <w:i/>
        </w:rPr>
        <w:t>T&amp;T-ATN Order</w:t>
      </w:r>
      <w:r w:rsidR="008E5199" w:rsidRPr="0075224E">
        <w:t xml:space="preserve">, 28 FCC Rcd at </w:t>
      </w:r>
      <w:r w:rsidR="008E5199">
        <w:t xml:space="preserve">13687 </w:t>
      </w:r>
      <w:r w:rsidR="008E5199" w:rsidRPr="0075224E">
        <w:t>¶ 35</w:t>
      </w:r>
      <w:r w:rsidR="008E5199">
        <w:t xml:space="preserve">; </w:t>
      </w:r>
      <w:r w:rsidR="006F2AB5" w:rsidRPr="00A5312F">
        <w:rPr>
          <w:i/>
        </w:rPr>
        <w:t>T-Mobile-MetroPCS Order</w:t>
      </w:r>
      <w:r w:rsidR="006F2AB5" w:rsidRPr="00A5312F">
        <w:t xml:space="preserve">, 28 FCC Rcd </w:t>
      </w:r>
      <w:r w:rsidR="006F2AB5" w:rsidRPr="00A5312F">
        <w:rPr>
          <w:iCs/>
        </w:rPr>
        <w:t xml:space="preserve">at 2336 </w:t>
      </w:r>
      <w:r w:rsidR="006F2AB5" w:rsidRPr="00A5312F">
        <w:t>¶</w:t>
      </w:r>
      <w:r w:rsidR="006F2AB5">
        <w:t xml:space="preserve"> </w:t>
      </w:r>
      <w:r w:rsidR="006F2AB5" w:rsidRPr="00A5312F">
        <w:t>42</w:t>
      </w:r>
      <w:r w:rsidR="006F2AB5">
        <w:t>.</w:t>
      </w:r>
    </w:p>
  </w:footnote>
  <w:footnote w:id="90">
    <w:p w:rsidR="00E257C0" w:rsidRPr="00A5312F" w:rsidRDefault="00E257C0" w:rsidP="00CA618A">
      <w:pPr>
        <w:pStyle w:val="FootnoteText"/>
      </w:pPr>
      <w:r w:rsidRPr="0075707B">
        <w:rPr>
          <w:rStyle w:val="FootnoteReference"/>
        </w:rPr>
        <w:footnoteRef/>
      </w:r>
      <w:r w:rsidRPr="0075707B">
        <w:t xml:space="preserve"> A merger may diminish competition by enabling or encouraging post-merger coordinated interaction among firms in the relevant market that harms customers.  </w:t>
      </w:r>
      <w:r w:rsidRPr="009F0F3A">
        <w:rPr>
          <w:i/>
        </w:rPr>
        <w:t>2010 DOJ/FTC</w:t>
      </w:r>
      <w:r w:rsidRPr="00121630">
        <w:t xml:space="preserve"> </w:t>
      </w:r>
      <w:r w:rsidRPr="00A5312F">
        <w:rPr>
          <w:i/>
        </w:rPr>
        <w:t>Horizontal Merger Guidelines</w:t>
      </w:r>
      <w:r w:rsidRPr="008A32C2">
        <w:t xml:space="preserve"> at</w:t>
      </w:r>
      <w:r w:rsidRPr="00A5312F">
        <w:rPr>
          <w:i/>
        </w:rPr>
        <w:t xml:space="preserve"> </w:t>
      </w:r>
      <w:r w:rsidRPr="00A5312F">
        <w:rPr>
          <w:color w:val="000000"/>
        </w:rPr>
        <w:t xml:space="preserve">§ 7, p. 24. </w:t>
      </w:r>
      <w:r w:rsidRPr="00A5312F">
        <w:t xml:space="preserve"> </w:t>
      </w:r>
      <w:r w:rsidRPr="00A5312F">
        <w:rPr>
          <w:i/>
        </w:rPr>
        <w:t>See</w:t>
      </w:r>
      <w:r>
        <w:rPr>
          <w:i/>
        </w:rPr>
        <w:t xml:space="preserve"> also</w:t>
      </w:r>
      <w:r w:rsidRPr="00A5312F">
        <w:t xml:space="preserve">, </w:t>
      </w:r>
      <w:r w:rsidRPr="00A5312F">
        <w:rPr>
          <w:i/>
        </w:rPr>
        <w:t>e.g.,</w:t>
      </w:r>
      <w:r w:rsidRPr="00A5312F">
        <w:rPr>
          <w:i/>
          <w:color w:val="010101"/>
        </w:rPr>
        <w:t xml:space="preserve"> </w:t>
      </w:r>
      <w:r w:rsidRPr="00AF7885">
        <w:rPr>
          <w:i/>
        </w:rPr>
        <w:t xml:space="preserve">AT&amp;T-Leap Order, </w:t>
      </w:r>
      <w:r w:rsidRPr="00AF7885">
        <w:t xml:space="preserve">29 FCC Rcd at </w:t>
      </w:r>
      <w:r>
        <w:t xml:space="preserve">2757 </w:t>
      </w:r>
      <w:r w:rsidRPr="00A5312F">
        <w:t>¶</w:t>
      </w:r>
      <w:r>
        <w:t xml:space="preserve"> 49 n.175; </w:t>
      </w:r>
      <w:r w:rsidRPr="00B83EDA">
        <w:rPr>
          <w:i/>
        </w:rPr>
        <w:t>AT&amp;T-ATN Order</w:t>
      </w:r>
      <w:r w:rsidRPr="00B83EDA">
        <w:t xml:space="preserve">, 28 FCC Rcd at 13687 ¶ 35 n.92; </w:t>
      </w:r>
      <w:r w:rsidRPr="00A5312F">
        <w:rPr>
          <w:i/>
        </w:rPr>
        <w:t>Alaska Wireless Order</w:t>
      </w:r>
      <w:r w:rsidRPr="00A5312F">
        <w:t>, 28 FCC Rcd at 10460-61 ¶ 65.</w:t>
      </w:r>
    </w:p>
  </w:footnote>
  <w:footnote w:id="91">
    <w:p w:rsidR="00E257C0" w:rsidRPr="00A5312F" w:rsidRDefault="00E257C0" w:rsidP="00CA618A">
      <w:pPr>
        <w:pStyle w:val="FootnoteText"/>
      </w:pPr>
      <w:r w:rsidRPr="0075707B">
        <w:rPr>
          <w:rStyle w:val="FootnoteReference"/>
        </w:rPr>
        <w:footnoteRef/>
      </w:r>
      <w:r w:rsidRPr="0075707B">
        <w:t xml:space="preserve"> </w:t>
      </w:r>
      <w:r w:rsidRPr="009F0F3A">
        <w:rPr>
          <w:i/>
          <w:iCs/>
        </w:rPr>
        <w:t xml:space="preserve">See 2010 DOJ/FTC Horizontal Merger Guidelines </w:t>
      </w:r>
      <w:r w:rsidRPr="00121630">
        <w:t xml:space="preserve">at </w:t>
      </w:r>
      <w:r w:rsidRPr="00A5312F">
        <w:rPr>
          <w:color w:val="000000"/>
        </w:rPr>
        <w:t xml:space="preserve">§ </w:t>
      </w:r>
      <w:r w:rsidRPr="00A5312F">
        <w:t>2.</w:t>
      </w:r>
      <w:r w:rsidRPr="00A5312F">
        <w:rPr>
          <w:i/>
        </w:rPr>
        <w:t xml:space="preserve">  See</w:t>
      </w:r>
      <w:r>
        <w:rPr>
          <w:i/>
        </w:rPr>
        <w:t xml:space="preserve"> also</w:t>
      </w:r>
      <w:r w:rsidRPr="00A5312F">
        <w:t>,</w:t>
      </w:r>
      <w:r w:rsidRPr="00A5312F">
        <w:rPr>
          <w:i/>
        </w:rPr>
        <w:t xml:space="preserve"> e.g</w:t>
      </w:r>
      <w:r w:rsidRPr="00A5312F">
        <w:t>.</w:t>
      </w:r>
      <w:r w:rsidRPr="00A5312F">
        <w:rPr>
          <w:i/>
        </w:rPr>
        <w:t xml:space="preserve">, </w:t>
      </w:r>
      <w:r w:rsidRPr="00AF7885">
        <w:rPr>
          <w:i/>
        </w:rPr>
        <w:t xml:space="preserve">AT&amp;T-Leap Order, </w:t>
      </w:r>
      <w:r w:rsidRPr="00AF7885">
        <w:t xml:space="preserve">29 FCC Rcd at </w:t>
      </w:r>
      <w:r>
        <w:t xml:space="preserve">2757 </w:t>
      </w:r>
      <w:r w:rsidRPr="00A5312F">
        <w:t>¶</w:t>
      </w:r>
      <w:r>
        <w:t xml:space="preserve"> 49; </w:t>
      </w:r>
      <w:r w:rsidRPr="00B83EDA">
        <w:rPr>
          <w:i/>
        </w:rPr>
        <w:t>AT&amp;T-ATN Order</w:t>
      </w:r>
      <w:r w:rsidRPr="00B83EDA">
        <w:t>, 28 FCC Rcd at 13687 ¶ 35</w:t>
      </w:r>
      <w:r w:rsidRPr="0081144C">
        <w:t>;</w:t>
      </w:r>
      <w:r>
        <w:t xml:space="preserve"> </w:t>
      </w:r>
      <w:r w:rsidRPr="00A5312F">
        <w:rPr>
          <w:i/>
        </w:rPr>
        <w:t>Alaska Wireless Order</w:t>
      </w:r>
      <w:r w:rsidRPr="00A5312F">
        <w:t xml:space="preserve">, 28 FCC Rcd at 10446 ¶ 33 n.104. </w:t>
      </w:r>
      <w:r w:rsidRPr="00A5312F">
        <w:rPr>
          <w:i/>
        </w:rPr>
        <w:t xml:space="preserve"> </w:t>
      </w:r>
    </w:p>
  </w:footnote>
  <w:footnote w:id="92">
    <w:p w:rsidR="00E257C0" w:rsidRDefault="00E257C0" w:rsidP="00AF7BBC">
      <w:pPr>
        <w:pStyle w:val="FootnoteText"/>
      </w:pPr>
      <w:r>
        <w:rPr>
          <w:rStyle w:val="FootnoteReference"/>
        </w:rPr>
        <w:footnoteRef/>
      </w:r>
      <w:r>
        <w:t xml:space="preserve"> </w:t>
      </w:r>
      <w:r w:rsidRPr="003170C2">
        <w:rPr>
          <w:i/>
        </w:rPr>
        <w:t>See</w:t>
      </w:r>
      <w:r>
        <w:t xml:space="preserve"> Public Interest Statement at 8.  The Applicants note that AT&amp;T would hold more than 45 megahertz of below-1-GHz spectrum in Texas 3 – Parmer, but maintain that there is no competitive harm in this market, as the three other nationwide providers and Flat Wireless all offer plans with nationwide coverage.  </w:t>
      </w:r>
      <w:r w:rsidRPr="00085CF7">
        <w:rPr>
          <w:i/>
        </w:rPr>
        <w:t xml:space="preserve">See id. </w:t>
      </w:r>
      <w:r>
        <w:t>at 9, n.28.</w:t>
      </w:r>
    </w:p>
  </w:footnote>
  <w:footnote w:id="93">
    <w:p w:rsidR="00E257C0" w:rsidRDefault="00E257C0" w:rsidP="00AF7BBC">
      <w:pPr>
        <w:pStyle w:val="FootnoteText"/>
      </w:pPr>
      <w:r>
        <w:rPr>
          <w:rStyle w:val="FootnoteReference"/>
        </w:rPr>
        <w:footnoteRef/>
      </w:r>
      <w:r>
        <w:t xml:space="preserve"> </w:t>
      </w:r>
      <w:r w:rsidRPr="003170C2">
        <w:rPr>
          <w:i/>
        </w:rPr>
        <w:t>See</w:t>
      </w:r>
      <w:r>
        <w:t xml:space="preserve"> Public Interest Statement at 8.</w:t>
      </w:r>
    </w:p>
  </w:footnote>
  <w:footnote w:id="94">
    <w:p w:rsidR="00E257C0" w:rsidRDefault="00E257C0">
      <w:pPr>
        <w:pStyle w:val="FootnoteText"/>
      </w:pPr>
      <w:r>
        <w:rPr>
          <w:rStyle w:val="FootnoteReference"/>
        </w:rPr>
        <w:footnoteRef/>
      </w:r>
      <w:r>
        <w:t xml:space="preserve"> </w:t>
      </w:r>
      <w:r w:rsidRPr="00085CF7">
        <w:rPr>
          <w:i/>
        </w:rPr>
        <w:t>See</w:t>
      </w:r>
      <w:r w:rsidRPr="006A5E52">
        <w:rPr>
          <w:i/>
        </w:rPr>
        <w:t xml:space="preserve"> </w:t>
      </w:r>
      <w:r>
        <w:t xml:space="preserve">Public Interest Statement at 8, n.26.  The Applicants note that Flat Wireless also operates in two of the markets involved in the proposed transaction.  </w:t>
      </w:r>
      <w:r w:rsidRPr="00085CF7">
        <w:rPr>
          <w:i/>
        </w:rPr>
        <w:t xml:space="preserve">See </w:t>
      </w:r>
      <w:r>
        <w:rPr>
          <w:i/>
        </w:rPr>
        <w:t xml:space="preserve">id. </w:t>
      </w:r>
      <w:r w:rsidRPr="00085CF7">
        <w:t>at 8.</w:t>
      </w:r>
    </w:p>
  </w:footnote>
  <w:footnote w:id="95">
    <w:p w:rsidR="00E257C0" w:rsidRPr="00D66F0E" w:rsidRDefault="00E257C0" w:rsidP="00796534">
      <w:pPr>
        <w:pStyle w:val="FootnoteText"/>
      </w:pPr>
      <w:r>
        <w:rPr>
          <w:rStyle w:val="FootnoteReference"/>
        </w:rPr>
        <w:footnoteRef/>
      </w:r>
      <w:r>
        <w:t xml:space="preserve"> </w:t>
      </w:r>
      <w:r w:rsidRPr="00023E14">
        <w:rPr>
          <w:i/>
        </w:rPr>
        <w:t>See</w:t>
      </w:r>
      <w:r>
        <w:t xml:space="preserve"> </w:t>
      </w:r>
      <w:r w:rsidRPr="00023E14">
        <w:rPr>
          <w:i/>
        </w:rPr>
        <w:t xml:space="preserve">generally </w:t>
      </w:r>
      <w:r>
        <w:t>Increased Below-1-GHz Spectrum</w:t>
      </w:r>
      <w:r w:rsidRPr="00003488">
        <w:t xml:space="preserve"> </w:t>
      </w:r>
      <w:r>
        <w:t xml:space="preserve">Aggregation </w:t>
      </w:r>
      <w:r w:rsidRPr="00003488">
        <w:t>Letter</w:t>
      </w:r>
      <w:r>
        <w:t xml:space="preserve">.  The letter mentioned this </w:t>
      </w:r>
      <w:r w:rsidRPr="00EC6E86">
        <w:t>proposed</w:t>
      </w:r>
      <w:r>
        <w:t xml:space="preserve"> transaction and another AT&amp;T proposed transaction in particular, noting that the Bureau had requested additional information from AT&amp;T regarding its public interest showings.  </w:t>
      </w:r>
      <w:r w:rsidRPr="000F1C25">
        <w:rPr>
          <w:i/>
        </w:rPr>
        <w:t>See id</w:t>
      </w:r>
      <w:r>
        <w:rPr>
          <w:i/>
        </w:rPr>
        <w:t xml:space="preserve">. </w:t>
      </w:r>
      <w:r>
        <w:t>at 3 n.17.</w:t>
      </w:r>
    </w:p>
  </w:footnote>
  <w:footnote w:id="96">
    <w:p w:rsidR="00E257C0" w:rsidRDefault="00E257C0" w:rsidP="00AF7BBC">
      <w:pPr>
        <w:pStyle w:val="FootnoteText"/>
      </w:pPr>
      <w:r>
        <w:rPr>
          <w:rStyle w:val="FootnoteReference"/>
        </w:rPr>
        <w:footnoteRef/>
      </w:r>
      <w:r>
        <w:t xml:space="preserve"> </w:t>
      </w:r>
      <w:r w:rsidRPr="003170C2">
        <w:rPr>
          <w:i/>
        </w:rPr>
        <w:t>See</w:t>
      </w:r>
      <w:r>
        <w:t xml:space="preserve"> Increased Below-1-GHz Spectrum</w:t>
      </w:r>
      <w:r w:rsidRPr="00003488">
        <w:t xml:space="preserve"> </w:t>
      </w:r>
      <w:r>
        <w:t xml:space="preserve">Aggregation </w:t>
      </w:r>
      <w:r w:rsidRPr="00003488">
        <w:t>Letter</w:t>
      </w:r>
      <w:r w:rsidDel="00715456">
        <w:t xml:space="preserve"> </w:t>
      </w:r>
      <w:r>
        <w:t>at 4.</w:t>
      </w:r>
    </w:p>
  </w:footnote>
  <w:footnote w:id="97">
    <w:p w:rsidR="00E257C0" w:rsidRDefault="00E257C0" w:rsidP="00AF7BBC">
      <w:pPr>
        <w:pStyle w:val="FootnoteText"/>
      </w:pPr>
      <w:r>
        <w:rPr>
          <w:rStyle w:val="FootnoteReference"/>
        </w:rPr>
        <w:footnoteRef/>
      </w:r>
      <w:r>
        <w:t xml:space="preserve"> </w:t>
      </w:r>
      <w:r w:rsidRPr="003170C2">
        <w:rPr>
          <w:i/>
        </w:rPr>
        <w:t>See</w:t>
      </w:r>
      <w:r>
        <w:t xml:space="preserve"> Increased Below-1-GHz Spectrum</w:t>
      </w:r>
      <w:r w:rsidRPr="00003488">
        <w:t xml:space="preserve"> </w:t>
      </w:r>
      <w:r>
        <w:t xml:space="preserve">Aggregation </w:t>
      </w:r>
      <w:r w:rsidRPr="00003488">
        <w:t>Letter</w:t>
      </w:r>
      <w:r w:rsidDel="00715456">
        <w:t xml:space="preserve"> </w:t>
      </w:r>
      <w:r>
        <w:t>at 3.</w:t>
      </w:r>
    </w:p>
  </w:footnote>
  <w:footnote w:id="98">
    <w:p w:rsidR="00E257C0" w:rsidRDefault="00E257C0">
      <w:pPr>
        <w:pStyle w:val="FootnoteText"/>
      </w:pPr>
      <w:r>
        <w:rPr>
          <w:rStyle w:val="FootnoteReference"/>
        </w:rPr>
        <w:footnoteRef/>
      </w:r>
      <w:r>
        <w:t xml:space="preserve"> </w:t>
      </w:r>
      <w:r w:rsidRPr="003170C2">
        <w:rPr>
          <w:i/>
        </w:rPr>
        <w:t>See</w:t>
      </w:r>
      <w:r>
        <w:t xml:space="preserve"> Increased Below-1-GHz Spectrum</w:t>
      </w:r>
      <w:r w:rsidRPr="00003488">
        <w:t xml:space="preserve"> </w:t>
      </w:r>
      <w:r>
        <w:t xml:space="preserve">Aggregation </w:t>
      </w:r>
      <w:r w:rsidRPr="00003488">
        <w:t>Letter</w:t>
      </w:r>
      <w:r w:rsidDel="00715456">
        <w:t xml:space="preserve"> </w:t>
      </w:r>
      <w:r>
        <w:t>at 2, 4.</w:t>
      </w:r>
    </w:p>
  </w:footnote>
  <w:footnote w:id="99">
    <w:p w:rsidR="00E257C0" w:rsidRPr="00D22B64" w:rsidRDefault="00E257C0" w:rsidP="002023EB">
      <w:pPr>
        <w:pStyle w:val="FootnoteText"/>
      </w:pPr>
      <w:r w:rsidRPr="00D22B64">
        <w:rPr>
          <w:rStyle w:val="FootnoteReference"/>
        </w:rPr>
        <w:footnoteRef/>
      </w:r>
      <w:r w:rsidRPr="00D22B64">
        <w:t xml:space="preserve"> We derive market shares and HHIs from our analysis of data compiled in our </w:t>
      </w:r>
      <w:r w:rsidRPr="009A59E4">
        <w:t>2014</w:t>
      </w:r>
      <w:r w:rsidRPr="00D22B64">
        <w:t xml:space="preserve"> NRUF and LNP database as well as from data submitted </w:t>
      </w:r>
      <w:r>
        <w:t>by t</w:t>
      </w:r>
      <w:r w:rsidRPr="00D22B64">
        <w:t xml:space="preserve">he Applicants.  We derive network coverage from Mosaik </w:t>
      </w:r>
      <w:r>
        <w:t>July</w:t>
      </w:r>
      <w:r w:rsidRPr="00D22B64">
        <w:t xml:space="preserve"> 2014 data and 2010 U.S. Census data, </w:t>
      </w:r>
      <w:r>
        <w:t xml:space="preserve">as well as from data submitted by the Applicants, </w:t>
      </w:r>
      <w:r w:rsidRPr="00D22B64">
        <w:t xml:space="preserve">and we obtain spectrum holdings from our licensing databases and the Applications. </w:t>
      </w:r>
      <w:r>
        <w:t xml:space="preserve"> </w:t>
      </w:r>
      <w:r w:rsidRPr="00D22B64">
        <w:t xml:space="preserve">In addition, we examine porting data from our </w:t>
      </w:r>
      <w:r w:rsidRPr="009A59E4">
        <w:t>2014</w:t>
      </w:r>
      <w:r w:rsidRPr="00D22B64">
        <w:rPr>
          <w:b/>
        </w:rPr>
        <w:t xml:space="preserve"> </w:t>
      </w:r>
      <w:r w:rsidRPr="00D22B64">
        <w:t>LNP database, as well as from data submitted by the Applicants, which include each instance of a customer porting a phone number from one mobile provider to another, and indicate both the o</w:t>
      </w:r>
      <w:r>
        <w:t>rigin and destination provider.</w:t>
      </w:r>
    </w:p>
  </w:footnote>
  <w:footnote w:id="100">
    <w:p w:rsidR="00E257C0" w:rsidRDefault="00E257C0">
      <w:pPr>
        <w:pStyle w:val="FootnoteText"/>
      </w:pPr>
      <w:r>
        <w:rPr>
          <w:rStyle w:val="FootnoteReference"/>
        </w:rPr>
        <w:footnoteRef/>
      </w:r>
      <w:r>
        <w:t xml:space="preserve"> </w:t>
      </w:r>
      <w:r>
        <w:rPr>
          <w:i/>
        </w:rPr>
        <w:t xml:space="preserve">See, e.g., </w:t>
      </w:r>
      <w:r w:rsidRPr="00AF7885">
        <w:rPr>
          <w:i/>
        </w:rPr>
        <w:t xml:space="preserve">AT&amp;T-Leap Order, </w:t>
      </w:r>
      <w:r w:rsidRPr="00AF7885">
        <w:t>29 FCC Rc</w:t>
      </w:r>
      <w:r>
        <w:t xml:space="preserve">d at 2745-46 </w:t>
      </w:r>
      <w:r>
        <w:rPr>
          <w:iCs/>
        </w:rPr>
        <w:t>¶ 21</w:t>
      </w:r>
      <w:r>
        <w:t xml:space="preserve">; </w:t>
      </w:r>
      <w:r>
        <w:rPr>
          <w:i/>
        </w:rPr>
        <w:t>Alaska Wireless Order</w:t>
      </w:r>
      <w:r>
        <w:t>,</w:t>
      </w:r>
      <w:r>
        <w:rPr>
          <w:i/>
        </w:rPr>
        <w:t xml:space="preserve"> </w:t>
      </w:r>
      <w:r w:rsidR="00CE6EF7">
        <w:t>28 FCC Rcd at 10454-56 ¶¶ </w:t>
      </w:r>
      <w:r>
        <w:t>51-55;</w:t>
      </w:r>
      <w:r>
        <w:rPr>
          <w:i/>
        </w:rPr>
        <w:t xml:space="preserve"> A</w:t>
      </w:r>
      <w:r>
        <w:rPr>
          <w:i/>
          <w:iCs/>
        </w:rPr>
        <w:t>T&amp;T-WCS Order</w:t>
      </w:r>
      <w:r>
        <w:rPr>
          <w:iCs/>
        </w:rPr>
        <w:t xml:space="preserve">, </w:t>
      </w:r>
      <w:r>
        <w:t>27 FCC Rcd at 16472</w:t>
      </w:r>
      <w:r>
        <w:rPr>
          <w:iCs/>
        </w:rPr>
        <w:t xml:space="preserve"> ¶ 34.</w:t>
      </w:r>
    </w:p>
  </w:footnote>
  <w:footnote w:id="101">
    <w:p w:rsidR="00E257C0" w:rsidRPr="00BA4CF9" w:rsidRDefault="00E257C0" w:rsidP="004D3C3C">
      <w:pPr>
        <w:pStyle w:val="FootnoteText"/>
      </w:pPr>
      <w:r w:rsidRPr="00A5312F">
        <w:rPr>
          <w:rStyle w:val="FootnoteReference"/>
        </w:rPr>
        <w:footnoteRef/>
      </w:r>
      <w:r w:rsidRPr="00A5312F">
        <w:t xml:space="preserve"> The population density is measured by the number of people per square mile using Census 2010 data.  Rural markets are cha</w:t>
      </w:r>
      <w:r w:rsidRPr="002F1CEA">
        <w:t>racterized by fewer than 100 people per square mile.</w:t>
      </w:r>
      <w:r>
        <w:t xml:space="preserve">  </w:t>
      </w:r>
      <w:r>
        <w:rPr>
          <w:i/>
        </w:rPr>
        <w:t xml:space="preserve">See </w:t>
      </w:r>
      <w:r>
        <w:t xml:space="preserve">Facilitating the Provision of Spectrum-Based Services to Rural Areas and Promoting Opportunities for Rural Telephone Companies To Provide Spectrum Based Services, </w:t>
      </w:r>
      <w:r>
        <w:rPr>
          <w:i/>
        </w:rPr>
        <w:t>Report and Order</w:t>
      </w:r>
      <w:r>
        <w:t>, 19 FCC Rcd 19078, 19087-88 (2004).  The population density in New Mexico 4 – Santa Fe is 13.</w:t>
      </w:r>
    </w:p>
  </w:footnote>
  <w:footnote w:id="102">
    <w:p w:rsidR="00E257C0" w:rsidRPr="00D22B64" w:rsidRDefault="00E257C0" w:rsidP="00D15A88">
      <w:pPr>
        <w:pStyle w:val="FootnoteText"/>
      </w:pPr>
      <w:r w:rsidRPr="00D22B64">
        <w:rPr>
          <w:rStyle w:val="FootnoteReference"/>
        </w:rPr>
        <w:footnoteRef/>
      </w:r>
      <w:r w:rsidRPr="00D22B64">
        <w:t xml:space="preserve"> In addition </w:t>
      </w:r>
      <w:r>
        <w:t xml:space="preserve">to </w:t>
      </w:r>
      <w:r w:rsidRPr="00D22B64">
        <w:t xml:space="preserve">the nationwide providers, Flat Wireless has a market share of </w:t>
      </w:r>
      <w:r>
        <w:t xml:space="preserve">approximately </w:t>
      </w:r>
      <w:r w:rsidRPr="00D22B64">
        <w:rPr>
          <w:b/>
        </w:rPr>
        <w:t>[BEGIN HIGHLY CONFIDENTIAL INFORMATION]</w:t>
      </w:r>
      <w:r w:rsidR="00932064">
        <w:t xml:space="preserve"> </w:t>
      </w:r>
      <w:r w:rsidR="00932064" w:rsidRPr="002525B8">
        <w:rPr>
          <w:rFonts w:hint="eastAsia"/>
          <w:w w:val="15"/>
          <w:fitText w:val="-15" w:id="892573700"/>
        </w:rPr>
        <w:t xml:space="preserve">　</w:t>
      </w:r>
      <w:r w:rsidR="00932064" w:rsidRPr="002525B8">
        <w:rPr>
          <w:color w:val="FFFFFF"/>
          <w:w w:val="15"/>
          <w:fitText w:val="-15" w:id="892573700"/>
        </w:rPr>
        <w:t>.</w:t>
      </w:r>
      <w:r w:rsidR="00932064" w:rsidRPr="002525B8">
        <w:rPr>
          <w:rFonts w:hint="eastAsia"/>
          <w:color w:val="FFFFFF"/>
          <w:spacing w:val="-69"/>
          <w:w w:val="15"/>
          <w:fitText w:val="-15" w:id="892573700"/>
        </w:rPr>
        <w:t xml:space="preserve">　</w:t>
      </w:r>
      <w:r w:rsidRPr="00D22B64">
        <w:rPr>
          <w:b/>
        </w:rPr>
        <w:t>[END HIGHLY CONFIDENTIAL INFORMATION</w:t>
      </w:r>
      <w:r w:rsidRPr="00403257">
        <w:rPr>
          <w:b/>
        </w:rPr>
        <w:t>]</w:t>
      </w:r>
      <w:r w:rsidRPr="00241212">
        <w:t>%</w:t>
      </w:r>
      <w:r w:rsidRPr="00B83EDA">
        <w:t>, and holds</w:t>
      </w:r>
      <w:r>
        <w:rPr>
          <w:b/>
        </w:rPr>
        <w:t xml:space="preserve"> </w:t>
      </w:r>
      <w:r w:rsidRPr="00B83EDA">
        <w:t>0 to 30 megahertz of spectrum</w:t>
      </w:r>
      <w:r>
        <w:t xml:space="preserve"> on a county-by-county basis</w:t>
      </w:r>
      <w:r w:rsidRPr="00D22B64">
        <w:t>.</w:t>
      </w:r>
    </w:p>
  </w:footnote>
  <w:footnote w:id="103">
    <w:p w:rsidR="00E257C0" w:rsidRDefault="00E257C0">
      <w:pPr>
        <w:pStyle w:val="FootnoteText"/>
      </w:pPr>
      <w:r>
        <w:rPr>
          <w:rStyle w:val="FootnoteReference"/>
        </w:rPr>
        <w:footnoteRef/>
      </w:r>
      <w:r>
        <w:t xml:space="preserve"> It has previously been found that coverage of 70% or more of the population and </w:t>
      </w:r>
      <w:r w:rsidR="00203105">
        <w:t xml:space="preserve">50% or more of the land area is </w:t>
      </w:r>
      <w:r>
        <w:t xml:space="preserve">presumptively sufficient for a service provider to have a competitive presence in the market.  </w:t>
      </w:r>
      <w:r>
        <w:rPr>
          <w:i/>
        </w:rPr>
        <w:t>See, e.g., AT&amp;T-ATN Order</w:t>
      </w:r>
      <w:r>
        <w:t xml:space="preserve">, 28 FCC Rcd at 13704 ¶ 43 n.123; </w:t>
      </w:r>
      <w:r w:rsidRPr="00062295">
        <w:rPr>
          <w:i/>
        </w:rPr>
        <w:t>T-Mobile-MetroPCS Order</w:t>
      </w:r>
      <w:r>
        <w:t xml:space="preserve">, 28 FCC Rcd at 2339 ¶ 50 n.119; </w:t>
      </w:r>
      <w:r w:rsidRPr="00C44913">
        <w:rPr>
          <w:i/>
        </w:rPr>
        <w:t>see also</w:t>
      </w:r>
      <w:r>
        <w:t xml:space="preserve"> </w:t>
      </w:r>
      <w:r w:rsidRPr="00C44913">
        <w:rPr>
          <w:i/>
        </w:rPr>
        <w:t>AT&amp;T WCS Order</w:t>
      </w:r>
      <w:r>
        <w:t xml:space="preserve">, </w:t>
      </w:r>
      <w:r w:rsidRPr="00A6369B">
        <w:t>27 FCC Rcd</w:t>
      </w:r>
      <w:r>
        <w:t xml:space="preserve"> at 16472 ¶ 35 n.101, n.102.</w:t>
      </w:r>
    </w:p>
  </w:footnote>
  <w:footnote w:id="104">
    <w:p w:rsidR="00E257C0" w:rsidRDefault="00E257C0">
      <w:pPr>
        <w:pStyle w:val="FootnoteText"/>
      </w:pPr>
      <w:r>
        <w:rPr>
          <w:rStyle w:val="FootnoteReference"/>
        </w:rPr>
        <w:footnoteRef/>
      </w:r>
      <w:r>
        <w:t xml:space="preserve"> According to Plateau Wireless’s submitted data, Plateau Wireless covers approximately </w:t>
      </w:r>
      <w:r w:rsidRPr="00D22B64">
        <w:rPr>
          <w:b/>
        </w:rPr>
        <w:t>[BEGIN HIGHLY CONFIDENTIAL INFORMATION]</w:t>
      </w:r>
      <w:r w:rsidR="00932064">
        <w:t xml:space="preserve"> </w:t>
      </w:r>
      <w:r w:rsidR="00932064" w:rsidRPr="002525B8">
        <w:rPr>
          <w:rFonts w:hint="eastAsia"/>
          <w:spacing w:val="1739"/>
          <w:fitText w:val="3840" w:id="892573701"/>
        </w:rPr>
        <w:t xml:space="preserve">　</w:t>
      </w:r>
      <w:r w:rsidR="00932064" w:rsidRPr="002525B8">
        <w:rPr>
          <w:color w:val="FFFFFF"/>
          <w:spacing w:val="1739"/>
          <w:fitText w:val="3840" w:id="892573701"/>
        </w:rPr>
        <w:t>.</w:t>
      </w:r>
      <w:r w:rsidR="00932064" w:rsidRPr="002525B8">
        <w:rPr>
          <w:rFonts w:hint="eastAsia"/>
          <w:color w:val="FFFFFF"/>
          <w:spacing w:val="1"/>
          <w:fitText w:val="3840" w:id="892573701"/>
        </w:rPr>
        <w:t xml:space="preserve">　</w:t>
      </w:r>
      <w:r w:rsidRPr="00D22B64">
        <w:rPr>
          <w:b/>
        </w:rPr>
        <w:t>[END HIGHLY CONFIDENTIAL INFORMATION</w:t>
      </w:r>
      <w:r w:rsidRPr="00403257">
        <w:rPr>
          <w:b/>
        </w:rPr>
        <w:t>]</w:t>
      </w:r>
      <w:r>
        <w:rPr>
          <w:b/>
        </w:rPr>
        <w:t xml:space="preserve"> </w:t>
      </w:r>
      <w:r>
        <w:t>with HSPA+</w:t>
      </w:r>
      <w:r w:rsidRPr="00B809B3">
        <w:t>.</w:t>
      </w:r>
      <w:r>
        <w:t xml:space="preserve">  </w:t>
      </w:r>
      <w:r w:rsidRPr="00D22B64">
        <w:rPr>
          <w:i/>
        </w:rPr>
        <w:t xml:space="preserve">See </w:t>
      </w:r>
      <w:r w:rsidR="009C7E9E">
        <w:t>Response of Plateau Wireless to the General Information Request Dated September 22, 2014, WT Docket No. 14-144, Plateau Wireless Exhibit 3.1 (Oct. 6, 2014) (“</w:t>
      </w:r>
      <w:r w:rsidR="009C7E9E" w:rsidRPr="00070E3C">
        <w:rPr>
          <w:bCs/>
          <w:szCs w:val="22"/>
        </w:rPr>
        <w:t>Plateau Wireless Information Request Response</w:t>
      </w:r>
      <w:r w:rsidR="009C7E9E">
        <w:rPr>
          <w:bCs/>
          <w:szCs w:val="22"/>
        </w:rPr>
        <w:t>”).</w:t>
      </w:r>
      <w:r>
        <w:t xml:space="preserve">  We note that according to Mosaik, July 2014, Plateau Wireless has no</w:t>
      </w:r>
      <w:r w:rsidR="009C7E9E">
        <w:t>t deployed a 3G or 4G network.</w:t>
      </w:r>
    </w:p>
  </w:footnote>
  <w:footnote w:id="105">
    <w:p w:rsidR="00E257C0" w:rsidRDefault="00E257C0">
      <w:pPr>
        <w:pStyle w:val="FootnoteText"/>
      </w:pPr>
      <w:r>
        <w:rPr>
          <w:rStyle w:val="FootnoteReference"/>
        </w:rPr>
        <w:footnoteRef/>
      </w:r>
      <w:r>
        <w:t xml:space="preserve"> Sprint covers approximately 87% of the population and 23% of the land area with its 3G network, while the respective figures for T-Mobile are approximately </w:t>
      </w:r>
      <w:r w:rsidRPr="00CA6263">
        <w:t>66% and 73%.</w:t>
      </w:r>
    </w:p>
  </w:footnote>
  <w:footnote w:id="106">
    <w:p w:rsidR="00E257C0" w:rsidRDefault="00E257C0" w:rsidP="00BB3E74">
      <w:pPr>
        <w:pStyle w:val="FootnoteText"/>
      </w:pPr>
      <w:r>
        <w:rPr>
          <w:rStyle w:val="FootnoteReference"/>
        </w:rPr>
        <w:footnoteRef/>
      </w:r>
      <w:r>
        <w:t xml:space="preserve"> According to the Applicants’ data, post-transaction, the combined entity would cover approximately </w:t>
      </w:r>
      <w:r w:rsidRPr="00D22B64">
        <w:rPr>
          <w:b/>
        </w:rPr>
        <w:t>[BEGIN HIGHLY CONFIDENTIAL INFORMATION]</w:t>
      </w:r>
      <w:r w:rsidR="00932064">
        <w:t xml:space="preserve"> </w:t>
      </w:r>
      <w:r w:rsidR="00932064" w:rsidRPr="002525B8">
        <w:rPr>
          <w:rFonts w:hint="eastAsia"/>
          <w:spacing w:val="1724"/>
          <w:fitText w:val="3810" w:id="892573702"/>
        </w:rPr>
        <w:t xml:space="preserve">　</w:t>
      </w:r>
      <w:r w:rsidR="00932064" w:rsidRPr="002525B8">
        <w:rPr>
          <w:color w:val="FFFFFF"/>
          <w:spacing w:val="1724"/>
          <w:fitText w:val="3810" w:id="892573702"/>
        </w:rPr>
        <w:t>.</w:t>
      </w:r>
      <w:r w:rsidR="00932064" w:rsidRPr="002525B8">
        <w:rPr>
          <w:rFonts w:hint="eastAsia"/>
          <w:color w:val="FFFFFF"/>
          <w:spacing w:val="1"/>
          <w:fitText w:val="3810" w:id="892573702"/>
        </w:rPr>
        <w:t xml:space="preserve">　</w:t>
      </w:r>
      <w:r w:rsidRPr="00D22B64">
        <w:rPr>
          <w:b/>
        </w:rPr>
        <w:t>[END HIGHLY CONFIDENTIAL INFORMATION</w:t>
      </w:r>
      <w:r w:rsidRPr="00403257">
        <w:rPr>
          <w:b/>
        </w:rPr>
        <w:t>]</w:t>
      </w:r>
      <w:r>
        <w:rPr>
          <w:b/>
        </w:rPr>
        <w:t xml:space="preserve"> </w:t>
      </w:r>
      <w:r w:rsidRPr="00D81688">
        <w:t>with HSPA+</w:t>
      </w:r>
      <w:r w:rsidRPr="007566CE">
        <w:t>.</w:t>
      </w:r>
      <w:r>
        <w:t xml:space="preserve">  </w:t>
      </w:r>
      <w:r w:rsidRPr="00D22B64">
        <w:rPr>
          <w:i/>
        </w:rPr>
        <w:t>See</w:t>
      </w:r>
      <w:r w:rsidRPr="00BB3E74">
        <w:rPr>
          <w:i/>
        </w:rPr>
        <w:t xml:space="preserve"> </w:t>
      </w:r>
      <w:r>
        <w:t>AT&amp;T</w:t>
      </w:r>
      <w:r w:rsidRPr="00386CE4">
        <w:t xml:space="preserve"> Information Request Response</w:t>
      </w:r>
      <w:r>
        <w:t>, AT&amp;T Exhibit 3.1;</w:t>
      </w:r>
      <w:r w:rsidRPr="00D22B64">
        <w:rPr>
          <w:i/>
        </w:rPr>
        <w:t xml:space="preserve"> </w:t>
      </w:r>
      <w:r w:rsidRPr="00386CE4">
        <w:t>Plateau Wireless Information Request Response</w:t>
      </w:r>
      <w:r>
        <w:t>, Plateau Wireless Exhibit 3.1</w:t>
      </w:r>
      <w:r w:rsidRPr="00D22B64">
        <w:t>.</w:t>
      </w:r>
      <w:r>
        <w:t xml:space="preserve">  </w:t>
      </w:r>
    </w:p>
  </w:footnote>
  <w:footnote w:id="107">
    <w:p w:rsidR="00E257C0" w:rsidRDefault="00E257C0">
      <w:pPr>
        <w:pStyle w:val="FootnoteText"/>
      </w:pPr>
      <w:r>
        <w:rPr>
          <w:rStyle w:val="FootnoteReference"/>
        </w:rPr>
        <w:footnoteRef/>
      </w:r>
      <w:r>
        <w:t xml:space="preserve"> We note that </w:t>
      </w:r>
      <w:r w:rsidRPr="00F93E09">
        <w:rPr>
          <w:szCs w:val="22"/>
        </w:rPr>
        <w:t>Sprint</w:t>
      </w:r>
      <w:r w:rsidR="00433615">
        <w:rPr>
          <w:szCs w:val="22"/>
        </w:rPr>
        <w:t xml:space="preserve"> covers approximately 22%</w:t>
      </w:r>
      <w:r w:rsidRPr="00F93E09">
        <w:rPr>
          <w:szCs w:val="22"/>
        </w:rPr>
        <w:t xml:space="preserve"> of the population with LTE</w:t>
      </w:r>
      <w:r w:rsidR="004E1881">
        <w:rPr>
          <w:szCs w:val="22"/>
        </w:rPr>
        <w:t>, while T-Mobile has no HSPA+ or LTE coverage</w:t>
      </w:r>
      <w:r w:rsidRPr="00F93E09">
        <w:rPr>
          <w:szCs w:val="22"/>
        </w:rPr>
        <w:t>.</w:t>
      </w:r>
    </w:p>
  </w:footnote>
  <w:footnote w:id="108">
    <w:p w:rsidR="00E257C0" w:rsidRDefault="00E257C0">
      <w:pPr>
        <w:pStyle w:val="FootnoteText"/>
      </w:pPr>
      <w:r>
        <w:rPr>
          <w:rStyle w:val="FootnoteReference"/>
        </w:rPr>
        <w:footnoteRef/>
      </w:r>
      <w:r>
        <w:t xml:space="preserve"> The population density of this rural market is 14.</w:t>
      </w:r>
    </w:p>
  </w:footnote>
  <w:footnote w:id="109">
    <w:p w:rsidR="00E257C0" w:rsidRDefault="00E257C0">
      <w:pPr>
        <w:pStyle w:val="FootnoteText"/>
      </w:pPr>
      <w:r>
        <w:rPr>
          <w:rStyle w:val="FootnoteReference"/>
        </w:rPr>
        <w:footnoteRef/>
      </w:r>
      <w:r>
        <w:t xml:space="preserve"> </w:t>
      </w:r>
      <w:r w:rsidRPr="00241212">
        <w:t xml:space="preserve">As proxied by porting data, AT&amp;T and Plateau Wireless are not close substitutes in either </w:t>
      </w:r>
      <w:r>
        <w:t>New Mexico 4 – Santa Fe</w:t>
      </w:r>
      <w:r w:rsidRPr="00241212">
        <w:t xml:space="preserve"> or </w:t>
      </w:r>
      <w:r>
        <w:t>Texas 3 – Parmer</w:t>
      </w:r>
      <w:r w:rsidRPr="00241212">
        <w:t xml:space="preserve">.  </w:t>
      </w:r>
      <w:r>
        <w:t>A</w:t>
      </w:r>
      <w:r w:rsidRPr="00241212">
        <w:rPr>
          <w:lang w:eastAsia="zh-CN"/>
        </w:rPr>
        <w:t>pproximately</w:t>
      </w:r>
      <w:r w:rsidRPr="00241212">
        <w:t xml:space="preserve"> </w:t>
      </w:r>
      <w:r w:rsidRPr="00241212">
        <w:rPr>
          <w:b/>
          <w:bCs/>
        </w:rPr>
        <w:t>[BEGIN HIGHLY CONFIDENTIAL</w:t>
      </w:r>
      <w:r>
        <w:rPr>
          <w:b/>
          <w:bCs/>
        </w:rPr>
        <w:t xml:space="preserve"> INFORMATION</w:t>
      </w:r>
      <w:r w:rsidRPr="00241212">
        <w:rPr>
          <w:b/>
          <w:bCs/>
        </w:rPr>
        <w:t>]</w:t>
      </w:r>
      <w:r w:rsidR="00932064">
        <w:t xml:space="preserve"> </w:t>
      </w:r>
      <w:r w:rsidR="00932064" w:rsidRPr="002525B8">
        <w:rPr>
          <w:rFonts w:hint="eastAsia"/>
          <w:spacing w:val="21"/>
          <w:fitText w:val="405" w:id="892573703"/>
        </w:rPr>
        <w:t xml:space="preserve">　</w:t>
      </w:r>
      <w:r w:rsidR="00932064" w:rsidRPr="002525B8">
        <w:rPr>
          <w:color w:val="FFFFFF"/>
          <w:spacing w:val="21"/>
          <w:fitText w:val="405" w:id="892573703"/>
        </w:rPr>
        <w:t>.</w:t>
      </w:r>
      <w:r w:rsidR="00932064" w:rsidRPr="002525B8">
        <w:rPr>
          <w:rFonts w:hint="eastAsia"/>
          <w:color w:val="FFFFFF"/>
          <w:spacing w:val="2"/>
          <w:fitText w:val="405" w:id="892573703"/>
        </w:rPr>
        <w:t xml:space="preserve">　</w:t>
      </w:r>
      <w:r w:rsidRPr="00241212">
        <w:rPr>
          <w:b/>
          <w:bCs/>
        </w:rPr>
        <w:t>[END HIGHLY CONFIDENTIAL</w:t>
      </w:r>
      <w:r>
        <w:rPr>
          <w:b/>
          <w:bCs/>
        </w:rPr>
        <w:t xml:space="preserve"> INFORMATION</w:t>
      </w:r>
      <w:r w:rsidRPr="00241212">
        <w:rPr>
          <w:b/>
          <w:bCs/>
        </w:rPr>
        <w:t>]</w:t>
      </w:r>
      <w:r w:rsidRPr="00241212">
        <w:t>% of Plateau</w:t>
      </w:r>
      <w:r>
        <w:t xml:space="preserve"> Wireless</w:t>
      </w:r>
      <w:r w:rsidRPr="00241212">
        <w:t xml:space="preserve">’s subscribers ported to AT&amp;T and </w:t>
      </w:r>
      <w:r w:rsidRPr="00241212">
        <w:rPr>
          <w:b/>
          <w:bCs/>
        </w:rPr>
        <w:t>[BEGIN HIGHLY CONFIDENTIAL</w:t>
      </w:r>
      <w:r>
        <w:rPr>
          <w:b/>
          <w:bCs/>
        </w:rPr>
        <w:t xml:space="preserve"> INFORMATION</w:t>
      </w:r>
      <w:r w:rsidRPr="00241212">
        <w:rPr>
          <w:b/>
          <w:bCs/>
        </w:rPr>
        <w:t>]</w:t>
      </w:r>
      <w:r w:rsidR="00932064">
        <w:rPr>
          <w:bCs/>
        </w:rPr>
        <w:t xml:space="preserve"> </w:t>
      </w:r>
      <w:r w:rsidR="00932064" w:rsidRPr="002525B8">
        <w:rPr>
          <w:rFonts w:hint="eastAsia"/>
          <w:bCs/>
          <w:spacing w:val="306"/>
          <w:fitText w:val="975" w:id="892573704"/>
        </w:rPr>
        <w:t xml:space="preserve">　</w:t>
      </w:r>
      <w:r w:rsidR="00932064" w:rsidRPr="002525B8">
        <w:rPr>
          <w:bCs/>
          <w:color w:val="FFFFFF"/>
          <w:spacing w:val="306"/>
          <w:fitText w:val="975" w:id="892573704"/>
        </w:rPr>
        <w:t>.</w:t>
      </w:r>
      <w:r w:rsidR="00932064" w:rsidRPr="002525B8">
        <w:rPr>
          <w:rFonts w:hint="eastAsia"/>
          <w:bCs/>
          <w:color w:val="FFFFFF"/>
          <w:spacing w:val="2"/>
          <w:fitText w:val="975" w:id="892573704"/>
        </w:rPr>
        <w:t xml:space="preserve">　</w:t>
      </w:r>
      <w:r w:rsidRPr="00241212">
        <w:rPr>
          <w:b/>
          <w:bCs/>
        </w:rPr>
        <w:t>[END HIGHLY CONFIDENTIAL</w:t>
      </w:r>
      <w:r>
        <w:rPr>
          <w:b/>
          <w:bCs/>
        </w:rPr>
        <w:t xml:space="preserve"> INFORMATION</w:t>
      </w:r>
      <w:r w:rsidRPr="00241212">
        <w:rPr>
          <w:b/>
          <w:bCs/>
        </w:rPr>
        <w:t>]</w:t>
      </w:r>
      <w:r w:rsidRPr="00241212">
        <w:t xml:space="preserve">% of AT&amp;T’s subscribers ported to Plateau Wireless in 2014.  </w:t>
      </w:r>
      <w:r w:rsidRPr="00085CF7">
        <w:rPr>
          <w:i/>
        </w:rPr>
        <w:t>See</w:t>
      </w:r>
      <w:r>
        <w:t xml:space="preserve"> </w:t>
      </w:r>
      <w:r w:rsidRPr="00241212">
        <w:t>2014 LNP Data</w:t>
      </w:r>
      <w:r>
        <w:t>;</w:t>
      </w:r>
      <w:r w:rsidRPr="00241212">
        <w:t xml:space="preserve"> Plateau Wireless Information Request Response, </w:t>
      </w:r>
      <w:r w:rsidR="009C7E9E">
        <w:t xml:space="preserve">Plateau Wireless </w:t>
      </w:r>
      <w:r w:rsidRPr="00241212">
        <w:t xml:space="preserve">Exhibit 5.1; AT&amp;T Information Request Response, </w:t>
      </w:r>
      <w:r w:rsidR="009C7E9E">
        <w:t xml:space="preserve">AT&amp;T </w:t>
      </w:r>
      <w:r w:rsidRPr="00241212">
        <w:t>Exhibit 8.1.</w:t>
      </w:r>
    </w:p>
  </w:footnote>
  <w:footnote w:id="110">
    <w:p w:rsidR="00E257C0" w:rsidRPr="00D22B64" w:rsidRDefault="00E257C0" w:rsidP="00E66560">
      <w:pPr>
        <w:pStyle w:val="FootnoteText"/>
      </w:pPr>
      <w:r w:rsidRPr="00D22B64">
        <w:rPr>
          <w:rStyle w:val="FootnoteReference"/>
        </w:rPr>
        <w:footnoteRef/>
      </w:r>
      <w:r w:rsidRPr="00D22B64">
        <w:t xml:space="preserve"> </w:t>
      </w:r>
      <w:r>
        <w:t xml:space="preserve">We note that the NRUF data indicate that T-Mobile has </w:t>
      </w:r>
      <w:r w:rsidRPr="00D22B64">
        <w:rPr>
          <w:b/>
        </w:rPr>
        <w:t>[BEGIN HIGHLY CONFIDENTIAL INFORMATION]</w:t>
      </w:r>
      <w:r w:rsidR="00932064">
        <w:t xml:space="preserve"> </w:t>
      </w:r>
      <w:r w:rsidR="00932064" w:rsidRPr="002525B8">
        <w:rPr>
          <w:rFonts w:hint="eastAsia"/>
          <w:w w:val="24"/>
          <w:fitText w:val="90" w:id="892573705"/>
        </w:rPr>
        <w:t xml:space="preserve">　</w:t>
      </w:r>
      <w:r w:rsidR="00932064" w:rsidRPr="002525B8">
        <w:rPr>
          <w:color w:val="FFFFFF"/>
          <w:w w:val="24"/>
          <w:fitText w:val="90" w:id="892573705"/>
        </w:rPr>
        <w:t>.</w:t>
      </w:r>
      <w:r w:rsidR="00932064" w:rsidRPr="002525B8">
        <w:rPr>
          <w:rFonts w:hint="eastAsia"/>
          <w:color w:val="FFFFFF"/>
          <w:spacing w:val="3"/>
          <w:w w:val="24"/>
          <w:fitText w:val="90" w:id="892573705"/>
        </w:rPr>
        <w:t xml:space="preserve">　</w:t>
      </w:r>
      <w:r w:rsidRPr="00D22B64">
        <w:rPr>
          <w:b/>
        </w:rPr>
        <w:t>[END HIGHLY CONFIDENTIAL INFORMATION</w:t>
      </w:r>
      <w:r w:rsidRPr="00027E86">
        <w:rPr>
          <w:b/>
        </w:rPr>
        <w:t>]</w:t>
      </w:r>
      <w:r>
        <w:t xml:space="preserve"> market share.  </w:t>
      </w:r>
      <w:r w:rsidRPr="00D22B64">
        <w:t xml:space="preserve">In addition </w:t>
      </w:r>
      <w:r>
        <w:t xml:space="preserve">to </w:t>
      </w:r>
      <w:r w:rsidRPr="00D22B64">
        <w:t xml:space="preserve">the nationwide providers, Flat Wireless has a market share of </w:t>
      </w:r>
      <w:r>
        <w:t xml:space="preserve">approximately </w:t>
      </w:r>
      <w:r w:rsidRPr="00D22B64">
        <w:rPr>
          <w:b/>
        </w:rPr>
        <w:t>[BEGIN HIGHLY CONFIDENTIAL INFORMATION]</w:t>
      </w:r>
      <w:r w:rsidR="00932064">
        <w:t xml:space="preserve"> </w:t>
      </w:r>
      <w:r w:rsidR="00932064" w:rsidRPr="002525B8">
        <w:rPr>
          <w:rFonts w:hint="eastAsia"/>
          <w:w w:val="15"/>
          <w:fitText w:val="-15" w:id="892573706"/>
        </w:rPr>
        <w:t xml:space="preserve">　</w:t>
      </w:r>
      <w:r w:rsidR="00932064" w:rsidRPr="002525B8">
        <w:rPr>
          <w:color w:val="FFFFFF"/>
          <w:w w:val="15"/>
          <w:fitText w:val="-15" w:id="892573706"/>
        </w:rPr>
        <w:t>.</w:t>
      </w:r>
      <w:r w:rsidR="00932064" w:rsidRPr="002525B8">
        <w:rPr>
          <w:rFonts w:hint="eastAsia"/>
          <w:color w:val="FFFFFF"/>
          <w:spacing w:val="-69"/>
          <w:w w:val="15"/>
          <w:fitText w:val="-15" w:id="892573706"/>
        </w:rPr>
        <w:t xml:space="preserve">　</w:t>
      </w:r>
      <w:r w:rsidRPr="00D22B64">
        <w:rPr>
          <w:b/>
        </w:rPr>
        <w:t>[END HIGHLY CONFIDENTIAL INFORMATION</w:t>
      </w:r>
      <w:r w:rsidRPr="00027E86">
        <w:rPr>
          <w:b/>
        </w:rPr>
        <w:t>]</w:t>
      </w:r>
      <w:r w:rsidRPr="00241212">
        <w:t>%</w:t>
      </w:r>
      <w:r w:rsidRPr="00B83EDA">
        <w:t>, and holds 30 megahertz o</w:t>
      </w:r>
      <w:r>
        <w:t>f</w:t>
      </w:r>
      <w:r w:rsidRPr="00B83EDA">
        <w:t xml:space="preserve"> spectrum</w:t>
      </w:r>
      <w:r>
        <w:t xml:space="preserve"> in this market</w:t>
      </w:r>
      <w:r w:rsidRPr="00D22B64">
        <w:t>.</w:t>
      </w:r>
    </w:p>
  </w:footnote>
  <w:footnote w:id="111">
    <w:p w:rsidR="00E257C0" w:rsidRDefault="00E257C0">
      <w:pPr>
        <w:pStyle w:val="FootnoteText"/>
      </w:pPr>
      <w:r>
        <w:rPr>
          <w:rStyle w:val="FootnoteReference"/>
        </w:rPr>
        <w:footnoteRef/>
      </w:r>
      <w:r>
        <w:t xml:space="preserve"> AT&amp;T covers approximately 77% of the population and 80% of the land area, while the respective figures are 100% and 98% for Verizon Wireless, 84% and 71% for Sprint</w:t>
      </w:r>
      <w:r w:rsidR="00DA3409">
        <w:t>,</w:t>
      </w:r>
      <w:r>
        <w:t xml:space="preserve"> and 74% and 67% for T-Mobile.</w:t>
      </w:r>
    </w:p>
  </w:footnote>
  <w:footnote w:id="112">
    <w:p w:rsidR="00E257C0" w:rsidRDefault="00E257C0" w:rsidP="00727654">
      <w:pPr>
        <w:pStyle w:val="FootnoteText"/>
      </w:pPr>
      <w:r>
        <w:rPr>
          <w:rStyle w:val="FootnoteReference"/>
        </w:rPr>
        <w:footnoteRef/>
      </w:r>
      <w:r>
        <w:t xml:space="preserve"> According to Plateau Wireless’s submitted data, Plateau Wireless covers </w:t>
      </w:r>
      <w:r w:rsidRPr="00894362">
        <w:rPr>
          <w:b/>
          <w:bCs/>
          <w:szCs w:val="22"/>
        </w:rPr>
        <w:t>[BEGIN HIGHLY CONFIDENTIAL INFORMATION]</w:t>
      </w:r>
      <w:r w:rsidR="00932064">
        <w:t xml:space="preserve"> </w:t>
      </w:r>
      <w:r w:rsidR="00932064">
        <w:br/>
      </w:r>
      <w:r w:rsidR="00932064" w:rsidRPr="002525B8">
        <w:rPr>
          <w:rFonts w:hint="eastAsia"/>
          <w:color w:val="FFFFFF"/>
          <w:spacing w:val="149"/>
          <w:fitText w:val="660" w:id="892573707"/>
        </w:rPr>
        <w:t xml:space="preserve">　</w:t>
      </w:r>
      <w:r w:rsidR="00932064" w:rsidRPr="002525B8">
        <w:rPr>
          <w:color w:val="FFFFFF"/>
          <w:spacing w:val="149"/>
          <w:fitText w:val="660" w:id="892573707"/>
        </w:rPr>
        <w:t>.</w:t>
      </w:r>
      <w:r w:rsidR="00932064" w:rsidRPr="002525B8">
        <w:rPr>
          <w:rFonts w:hint="eastAsia"/>
          <w:color w:val="FFFFFF"/>
          <w:spacing w:val="1"/>
          <w:fitText w:val="660" w:id="892573707"/>
        </w:rPr>
        <w:t xml:space="preserve">　</w:t>
      </w:r>
      <w:r w:rsidRPr="00894362">
        <w:rPr>
          <w:b/>
          <w:bCs/>
          <w:szCs w:val="22"/>
        </w:rPr>
        <w:t>[END HIGHLY CONFIDENTIAL INFORMATION]</w:t>
      </w:r>
      <w:r>
        <w:rPr>
          <w:b/>
          <w:bCs/>
          <w:szCs w:val="22"/>
        </w:rPr>
        <w:t>.</w:t>
      </w:r>
      <w:r>
        <w:t xml:space="preserve">  </w:t>
      </w:r>
      <w:r w:rsidRPr="00D22B64">
        <w:rPr>
          <w:i/>
        </w:rPr>
        <w:t xml:space="preserve">See </w:t>
      </w:r>
      <w:r>
        <w:t>Plateau Wireless Information Request Response, Plateau Wireless Exhibit 3.1</w:t>
      </w:r>
      <w:r w:rsidRPr="00D22B64">
        <w:t>.</w:t>
      </w:r>
      <w:r>
        <w:t xml:space="preserve">  We note that according to Mosaik, July 2014, Plateau Wireless has not deployed </w:t>
      </w:r>
      <w:r w:rsidRPr="00782ABB">
        <w:t>a 3G or 4G network</w:t>
      </w:r>
      <w:r>
        <w:t>.  If we were to use the Mosaik data, there would be the same number of service providers who would have significant 3G or 4G coverage post-transaction as pre-transaction, which is four.</w:t>
      </w:r>
    </w:p>
  </w:footnote>
  <w:footnote w:id="113">
    <w:p w:rsidR="00E257C0" w:rsidRPr="00986BE3" w:rsidRDefault="00E257C0" w:rsidP="00A74EAD">
      <w:pPr>
        <w:pStyle w:val="FootnoteText"/>
      </w:pPr>
      <w:r>
        <w:rPr>
          <w:rStyle w:val="FootnoteReference"/>
        </w:rPr>
        <w:footnoteRef/>
      </w:r>
      <w:r>
        <w:t xml:space="preserve"> </w:t>
      </w:r>
      <w:r w:rsidRPr="00487E9C">
        <w:t>Subseq</w:t>
      </w:r>
      <w:r w:rsidRPr="00A34435">
        <w:t>uent to the filing of this application, the Bureau consented to a</w:t>
      </w:r>
      <w:r w:rsidRPr="00AA7C55">
        <w:t xml:space="preserve"> T-Mobile </w:t>
      </w:r>
      <w:r w:rsidRPr="00FA7FF8">
        <w:t>application to acquire Big Wave’s Lower 700 MHz A Block spectrum</w:t>
      </w:r>
      <w:r w:rsidRPr="00A74EAD">
        <w:t xml:space="preserve">, which covers seven of the 11 counties in this market, as well as in certain other markets.  </w:t>
      </w:r>
      <w:r w:rsidRPr="00A74EAD">
        <w:rPr>
          <w:i/>
        </w:rPr>
        <w:t>See</w:t>
      </w:r>
      <w:r w:rsidRPr="00A74EAD">
        <w:t xml:space="preserve"> FN0006543658.</w:t>
      </w:r>
    </w:p>
  </w:footnote>
  <w:footnote w:id="114">
    <w:p w:rsidR="00E257C0" w:rsidRPr="00242D1A" w:rsidRDefault="00E257C0" w:rsidP="000B6ACD">
      <w:pPr>
        <w:pStyle w:val="FootnoteText"/>
      </w:pPr>
      <w:r w:rsidRPr="00D22B64">
        <w:rPr>
          <w:rStyle w:val="FootnoteReference"/>
        </w:rPr>
        <w:footnoteRef/>
      </w:r>
      <w:r w:rsidRPr="00D22B64">
        <w:t xml:space="preserve"> </w:t>
      </w:r>
      <w:r w:rsidRPr="00070E3C">
        <w:rPr>
          <w:szCs w:val="22"/>
        </w:rPr>
        <w:t xml:space="preserve">Plateau Wireless </w:t>
      </w:r>
      <w:r>
        <w:rPr>
          <w:szCs w:val="22"/>
        </w:rPr>
        <w:t>states</w:t>
      </w:r>
      <w:r w:rsidRPr="00070E3C">
        <w:rPr>
          <w:szCs w:val="22"/>
        </w:rPr>
        <w:t xml:space="preserve"> th</w:t>
      </w:r>
      <w:r w:rsidRPr="000E3797">
        <w:rPr>
          <w:szCs w:val="22"/>
        </w:rPr>
        <w:t xml:space="preserve">at it </w:t>
      </w:r>
      <w:r w:rsidRPr="007E6352">
        <w:rPr>
          <w:b/>
          <w:bCs/>
          <w:szCs w:val="22"/>
        </w:rPr>
        <w:t>[BEGIN HIGHLY CONFIDENTIAL INFORMATION]</w:t>
      </w:r>
      <w:r w:rsidR="00932064">
        <w:rPr>
          <w:bCs/>
          <w:szCs w:val="22"/>
        </w:rPr>
        <w:t xml:space="preserve"> </w:t>
      </w:r>
      <w:r w:rsidR="00932064">
        <w:rPr>
          <w:bCs/>
          <w:szCs w:val="22"/>
        </w:rPr>
        <w:br/>
      </w:r>
      <w:r w:rsidR="00932064">
        <w:rPr>
          <w:bCs/>
          <w:szCs w:val="22"/>
        </w:rPr>
        <w:br/>
      </w:r>
      <w:r w:rsidR="00932064">
        <w:rPr>
          <w:bCs/>
          <w:szCs w:val="22"/>
        </w:rPr>
        <w:br/>
      </w:r>
      <w:r w:rsidR="00932064">
        <w:rPr>
          <w:bCs/>
          <w:szCs w:val="22"/>
        </w:rPr>
        <w:br/>
      </w:r>
      <w:r w:rsidR="00932064">
        <w:rPr>
          <w:bCs/>
          <w:szCs w:val="22"/>
        </w:rPr>
        <w:br/>
      </w:r>
      <w:r w:rsidR="00932064" w:rsidRPr="002525B8">
        <w:rPr>
          <w:rFonts w:hint="eastAsia"/>
          <w:bCs/>
          <w:color w:val="FFFFFF"/>
          <w:spacing w:val="516"/>
          <w:szCs w:val="22"/>
          <w:fitText w:val="1395" w:id="892573708"/>
        </w:rPr>
        <w:t xml:space="preserve">　</w:t>
      </w:r>
      <w:r w:rsidR="00932064" w:rsidRPr="002525B8">
        <w:rPr>
          <w:bCs/>
          <w:color w:val="FFFFFF"/>
          <w:spacing w:val="516"/>
          <w:szCs w:val="22"/>
          <w:fitText w:val="1395" w:id="892573708"/>
        </w:rPr>
        <w:t>.</w:t>
      </w:r>
      <w:r w:rsidR="00932064" w:rsidRPr="002525B8">
        <w:rPr>
          <w:rFonts w:hint="eastAsia"/>
          <w:bCs/>
          <w:color w:val="FFFFFF"/>
          <w:spacing w:val="2"/>
          <w:szCs w:val="22"/>
          <w:fitText w:val="1395" w:id="892573708"/>
        </w:rPr>
        <w:t xml:space="preserve">　</w:t>
      </w:r>
      <w:r w:rsidRPr="00070E3C">
        <w:rPr>
          <w:b/>
          <w:bCs/>
          <w:szCs w:val="22"/>
        </w:rPr>
        <w:t>[END HIGHLY CONFIDENTIAL INFORMAT</w:t>
      </w:r>
      <w:r w:rsidRPr="000E3797">
        <w:rPr>
          <w:b/>
          <w:bCs/>
          <w:szCs w:val="22"/>
        </w:rPr>
        <w:t>ION]</w:t>
      </w:r>
      <w:r>
        <w:rPr>
          <w:bCs/>
          <w:szCs w:val="22"/>
        </w:rPr>
        <w:t>.</w:t>
      </w:r>
      <w:r w:rsidRPr="00070E3C">
        <w:rPr>
          <w:bCs/>
          <w:szCs w:val="22"/>
        </w:rPr>
        <w:t xml:space="preserve">  </w:t>
      </w:r>
      <w:r w:rsidRPr="00070E3C">
        <w:rPr>
          <w:bCs/>
          <w:i/>
          <w:szCs w:val="22"/>
        </w:rPr>
        <w:t xml:space="preserve">See </w:t>
      </w:r>
      <w:r w:rsidR="009C7E9E" w:rsidRPr="00070E3C">
        <w:rPr>
          <w:bCs/>
          <w:szCs w:val="22"/>
        </w:rPr>
        <w:t>Plateau Wireless Information Request Response</w:t>
      </w:r>
      <w:r>
        <w:t xml:space="preserve"> at 2-3</w:t>
      </w:r>
      <w:r>
        <w:rPr>
          <w:bCs/>
          <w:szCs w:val="22"/>
        </w:rPr>
        <w:t>.</w:t>
      </w:r>
    </w:p>
  </w:footnote>
  <w:footnote w:id="115">
    <w:p w:rsidR="00E257C0" w:rsidRDefault="00E257C0">
      <w:pPr>
        <w:pStyle w:val="FootnoteText"/>
      </w:pPr>
      <w:r>
        <w:rPr>
          <w:rStyle w:val="FootnoteReference"/>
        </w:rPr>
        <w:footnoteRef/>
      </w:r>
      <w:r>
        <w:t xml:space="preserve"> The Commission stated in the </w:t>
      </w:r>
      <w:r w:rsidRPr="00367216">
        <w:rPr>
          <w:i/>
        </w:rPr>
        <w:t>Mobile Spectrum Holdings Report and Order</w:t>
      </w:r>
      <w:r>
        <w:t xml:space="preserve"> that, in these cases,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 regarding why the public interest benefits outweigh harms</w:t>
      </w:r>
      <w:r>
        <w:t xml:space="preserve">.” </w:t>
      </w:r>
      <w:r w:rsidRPr="00D81688">
        <w:t xml:space="preserve"> </w:t>
      </w:r>
      <w:r>
        <w:rPr>
          <w:i/>
        </w:rPr>
        <w:t>Mobile Spectr</w:t>
      </w:r>
      <w:r w:rsidRPr="00EE32B0">
        <w:rPr>
          <w:i/>
        </w:rPr>
        <w:t>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r>
        <w:rPr>
          <w:rStyle w:val="StyleParaNumTimesNewRoman11ptChar"/>
          <w:sz w:val="20"/>
          <w:lang w:eastAsia="x-none"/>
        </w:rPr>
        <w:t xml:space="preserve">.  </w:t>
      </w:r>
      <w:r w:rsidRPr="00754667">
        <w:rPr>
          <w:rStyle w:val="StyleParaNumTimesNewRoman11ptChar"/>
          <w:i/>
          <w:sz w:val="20"/>
          <w:lang w:eastAsia="x-none"/>
        </w:rPr>
        <w:t>See also</w:t>
      </w:r>
      <w:r>
        <w:rPr>
          <w:rStyle w:val="StyleParaNumTimesNewRoman11ptChar"/>
          <w:sz w:val="20"/>
          <w:lang w:eastAsia="x-none"/>
        </w:rPr>
        <w:t xml:space="preserve"> ¶ 15 </w:t>
      </w:r>
      <w:r w:rsidRPr="00754667">
        <w:rPr>
          <w:rStyle w:val="StyleParaNumTimesNewRoman11ptChar"/>
          <w:i/>
          <w:sz w:val="20"/>
          <w:lang w:eastAsia="x-none"/>
        </w:rPr>
        <w:t>supra</w:t>
      </w:r>
      <w:r>
        <w:rPr>
          <w:rStyle w:val="StyleParaNumTimesNewRoman11ptChar"/>
          <w:sz w:val="20"/>
          <w:lang w:eastAsia="x-none"/>
        </w:rPr>
        <w:t>.  T</w:t>
      </w:r>
      <w:r>
        <w:t>he potential public interest benefits associated with the acquisition of this low-band spectrum by AT&amp;T are evaluated in section VI. below.</w:t>
      </w:r>
    </w:p>
  </w:footnote>
  <w:footnote w:id="116">
    <w:p w:rsidR="00E257C0" w:rsidRPr="00A74EAD" w:rsidRDefault="00E257C0" w:rsidP="00A74EAD">
      <w:pPr>
        <w:pStyle w:val="FootnoteText"/>
      </w:pPr>
      <w:r w:rsidRPr="00BD087F">
        <w:rPr>
          <w:rStyle w:val="FootnoteReference"/>
        </w:rPr>
        <w:footnoteRef/>
      </w:r>
      <w:r w:rsidRPr="00487E9C">
        <w:t xml:space="preserve"> </w:t>
      </w:r>
      <w:r w:rsidRPr="00A34435">
        <w:rPr>
          <w:i/>
        </w:rPr>
        <w:t>See, e.g.,</w:t>
      </w:r>
      <w:r w:rsidRPr="00A34435">
        <w:t xml:space="preserve"> </w:t>
      </w:r>
      <w:r w:rsidRPr="00AA7C55">
        <w:rPr>
          <w:i/>
        </w:rPr>
        <w:t>Verizon Wireless-SpectrumCo O</w:t>
      </w:r>
      <w:r w:rsidRPr="00FA7FF8">
        <w:rPr>
          <w:i/>
        </w:rPr>
        <w:t>rder</w:t>
      </w:r>
      <w:r w:rsidRPr="00FA7FF8">
        <w:t xml:space="preserve">, 27 FCC Rcd at 10729 ¶ 81; </w:t>
      </w:r>
      <w:r w:rsidRPr="00FA7FF8">
        <w:rPr>
          <w:i/>
        </w:rPr>
        <w:t>AT&amp;T-Qualcomm Order</w:t>
      </w:r>
      <w:r w:rsidRPr="00A74EAD">
        <w:t>, 26 FCC Rcd at 17612 ¶ 52</w:t>
      </w:r>
      <w:r w:rsidRPr="00487E9C">
        <w:t>.</w:t>
      </w:r>
      <w:r w:rsidRPr="00A34435">
        <w:t xml:space="preserve">  </w:t>
      </w:r>
      <w:r w:rsidRPr="00AA7C55">
        <w:rPr>
          <w:i/>
        </w:rPr>
        <w:t>See also</w:t>
      </w:r>
      <w:r w:rsidRPr="00FA7FF8">
        <w:t xml:space="preserve"> Reexamination of Roaming Obligations of Commercial Mobile Radio Service Providers and Other Providers of Mobile Data Services, WT Docket No. 05-265,</w:t>
      </w:r>
      <w:r w:rsidRPr="00A74EAD">
        <w:rPr>
          <w:i/>
        </w:rPr>
        <w:t xml:space="preserve"> Second Report and Order, </w:t>
      </w:r>
      <w:r w:rsidRPr="00A74EAD">
        <w:t xml:space="preserve">26 FCC Rcd 5411 (2011), </w:t>
      </w:r>
      <w:r w:rsidRPr="00A74EAD">
        <w:rPr>
          <w:i/>
        </w:rPr>
        <w:t>aff’d sub nom</w:t>
      </w:r>
      <w:r w:rsidRPr="00A74EAD">
        <w:t xml:space="preserve">. </w:t>
      </w:r>
      <w:r w:rsidRPr="00A74EAD">
        <w:rPr>
          <w:i/>
        </w:rPr>
        <w:t>Cellco Partnership v. FCC</w:t>
      </w:r>
      <w:r w:rsidRPr="00A74EAD">
        <w:t>, 700 F.3d 534 (D.C. Cir. 2012) (“</w:t>
      </w:r>
      <w:r w:rsidRPr="00A74EAD">
        <w:rPr>
          <w:i/>
        </w:rPr>
        <w:t>Data Roaming Order</w:t>
      </w:r>
      <w:r w:rsidRPr="00A74EAD">
        <w:t>”).</w:t>
      </w:r>
    </w:p>
  </w:footnote>
  <w:footnote w:id="117">
    <w:p w:rsidR="00E257C0" w:rsidRPr="00D22B64" w:rsidRDefault="00E257C0" w:rsidP="00C073A7">
      <w:pPr>
        <w:pStyle w:val="FootnoteText"/>
      </w:pPr>
      <w:r w:rsidRPr="00D22B64">
        <w:rPr>
          <w:rStyle w:val="FootnoteReference"/>
        </w:rPr>
        <w:footnoteRef/>
      </w:r>
      <w:r w:rsidRPr="00D22B64">
        <w:t xml:space="preserve"> </w:t>
      </w:r>
      <w:r w:rsidRPr="00D22B64">
        <w:rPr>
          <w:i/>
        </w:rPr>
        <w:t>See</w:t>
      </w:r>
      <w:r w:rsidRPr="00D22B64">
        <w:t xml:space="preserve"> T-Mobile Petition for Conditions at 1</w:t>
      </w:r>
      <w:r>
        <w:t>.</w:t>
      </w:r>
      <w:r w:rsidR="00F64225">
        <w:t xml:space="preserve">  </w:t>
      </w:r>
      <w:r w:rsidR="00F64225" w:rsidRPr="00730062">
        <w:rPr>
          <w:i/>
        </w:rPr>
        <w:t>See also</w:t>
      </w:r>
      <w:r w:rsidR="00F64225">
        <w:t xml:space="preserve"> Letter from T-Mobile USA, Inc. to Marlene Dortch, FCC, WT Docket No. 14-144, filed Apr. 22, 2015, at 1 (“T-Mobile Apr. 22, 2015 </w:t>
      </w:r>
      <w:r w:rsidR="00F64225" w:rsidRPr="00730062">
        <w:rPr>
          <w:i/>
        </w:rPr>
        <w:t>Ex Parte</w:t>
      </w:r>
      <w:r w:rsidR="00F64225">
        <w:t xml:space="preserve">”).  </w:t>
      </w:r>
    </w:p>
  </w:footnote>
  <w:footnote w:id="118">
    <w:p w:rsidR="00E257C0" w:rsidRPr="00D22B64" w:rsidRDefault="00E257C0" w:rsidP="00681943">
      <w:pPr>
        <w:pStyle w:val="FootnoteText"/>
      </w:pPr>
      <w:r w:rsidRPr="00D22B64">
        <w:rPr>
          <w:rStyle w:val="FootnoteReference"/>
        </w:rPr>
        <w:footnoteRef/>
      </w:r>
      <w:r w:rsidRPr="00D22B64">
        <w:t xml:space="preserve"> </w:t>
      </w:r>
      <w:r w:rsidRPr="00D22B64">
        <w:rPr>
          <w:i/>
        </w:rPr>
        <w:t>See</w:t>
      </w:r>
      <w:r w:rsidRPr="00D22B64">
        <w:t xml:space="preserve"> T-Mobile Petition for Conditions at 4.</w:t>
      </w:r>
    </w:p>
  </w:footnote>
  <w:footnote w:id="119">
    <w:p w:rsidR="00E257C0" w:rsidRPr="00D22B64" w:rsidRDefault="00E257C0" w:rsidP="00681943">
      <w:pPr>
        <w:pStyle w:val="FootnoteText"/>
      </w:pPr>
      <w:r w:rsidRPr="00D22B64">
        <w:rPr>
          <w:rStyle w:val="FootnoteReference"/>
        </w:rPr>
        <w:footnoteRef/>
      </w:r>
      <w:r w:rsidRPr="00D22B64">
        <w:t xml:space="preserve"> </w:t>
      </w:r>
      <w:r w:rsidRPr="00D22B64">
        <w:rPr>
          <w:i/>
        </w:rPr>
        <w:t>See</w:t>
      </w:r>
      <w:r w:rsidRPr="00D22B64">
        <w:t xml:space="preserve"> T-Mobile Petition for Conditions at 6.</w:t>
      </w:r>
    </w:p>
  </w:footnote>
  <w:footnote w:id="120">
    <w:p w:rsidR="00E257C0" w:rsidRPr="00D22B64" w:rsidRDefault="00E257C0" w:rsidP="008D1927">
      <w:pPr>
        <w:pStyle w:val="FootnoteText"/>
      </w:pPr>
      <w:r w:rsidRPr="00D22B64">
        <w:rPr>
          <w:rStyle w:val="FootnoteReference"/>
        </w:rPr>
        <w:footnoteRef/>
      </w:r>
      <w:r w:rsidRPr="00D22B64">
        <w:t xml:space="preserve"> </w:t>
      </w:r>
      <w:r w:rsidRPr="00D22B64">
        <w:rPr>
          <w:i/>
        </w:rPr>
        <w:t>See</w:t>
      </w:r>
      <w:r w:rsidRPr="00D22B64">
        <w:t xml:space="preserve"> AT&amp;T Opposition at 2.</w:t>
      </w:r>
    </w:p>
  </w:footnote>
  <w:footnote w:id="121">
    <w:p w:rsidR="00E257C0" w:rsidRDefault="00E257C0" w:rsidP="00527635">
      <w:pPr>
        <w:pStyle w:val="FootnoteText"/>
      </w:pPr>
      <w:r>
        <w:rPr>
          <w:rStyle w:val="FootnoteReference"/>
        </w:rPr>
        <w:footnoteRef/>
      </w:r>
      <w:r>
        <w:t xml:space="preserve"> </w:t>
      </w:r>
      <w:r w:rsidRPr="00D22B64">
        <w:rPr>
          <w:i/>
        </w:rPr>
        <w:t>See</w:t>
      </w:r>
      <w:r>
        <w:t xml:space="preserve"> AT&amp;T Opposition at 4, n.6</w:t>
      </w:r>
      <w:r w:rsidRPr="00D22B64">
        <w:t>.</w:t>
      </w:r>
    </w:p>
  </w:footnote>
  <w:footnote w:id="122">
    <w:p w:rsidR="00E257C0" w:rsidRPr="00D81688" w:rsidRDefault="00E257C0" w:rsidP="008D1927">
      <w:pPr>
        <w:pStyle w:val="FootnoteText"/>
        <w:rPr>
          <w:b/>
        </w:rPr>
      </w:pPr>
      <w:r w:rsidRPr="00D22B64">
        <w:rPr>
          <w:rStyle w:val="FootnoteReference"/>
        </w:rPr>
        <w:footnoteRef/>
      </w:r>
      <w:r w:rsidRPr="00D22B64">
        <w:t xml:space="preserve"> </w:t>
      </w:r>
      <w:r w:rsidRPr="00D22B64">
        <w:rPr>
          <w:i/>
        </w:rPr>
        <w:t>See</w:t>
      </w:r>
      <w:r w:rsidRPr="00D22B64">
        <w:t xml:space="preserve"> T-Mobile Reply at 2.  </w:t>
      </w:r>
      <w:r w:rsidR="00F64225" w:rsidRPr="00F64225">
        <w:rPr>
          <w:i/>
        </w:rPr>
        <w:t>See also</w:t>
      </w:r>
      <w:r w:rsidR="00F64225">
        <w:t xml:space="preserve"> T-Mobile Apr. 22, 2015 </w:t>
      </w:r>
      <w:r w:rsidR="00F64225" w:rsidRPr="00730062">
        <w:rPr>
          <w:i/>
        </w:rPr>
        <w:t>Ex Parte</w:t>
      </w:r>
      <w:r w:rsidR="00F64225">
        <w:t xml:space="preserve"> at 2.  </w:t>
      </w:r>
      <w:r w:rsidRPr="00D22B64">
        <w:t xml:space="preserve">T-Mobile provides </w:t>
      </w:r>
      <w:r w:rsidRPr="00685EA5">
        <w:t xml:space="preserve">a number of examples where the Commission has conditioned a proposed transaction on the acquiring entity’s commitment to honor roaming agreements, including the </w:t>
      </w:r>
      <w:r w:rsidRPr="00685EA5">
        <w:rPr>
          <w:i/>
        </w:rPr>
        <w:t>AT&amp;T-Leap Order</w:t>
      </w:r>
      <w:r w:rsidRPr="00685EA5">
        <w:t xml:space="preserve"> and the </w:t>
      </w:r>
      <w:r w:rsidRPr="00685EA5">
        <w:rPr>
          <w:i/>
        </w:rPr>
        <w:t>AT&amp;T-Centennial Order</w:t>
      </w:r>
      <w:r w:rsidRPr="00685EA5">
        <w:t xml:space="preserve">.  </w:t>
      </w:r>
      <w:r w:rsidR="00730062" w:rsidRPr="00730062">
        <w:t>T-Mobile Reply</w:t>
      </w:r>
      <w:r w:rsidR="00730062">
        <w:rPr>
          <w:i/>
        </w:rPr>
        <w:t xml:space="preserve"> </w:t>
      </w:r>
      <w:r w:rsidRPr="00685EA5">
        <w:t>at 5-7.</w:t>
      </w:r>
    </w:p>
  </w:footnote>
  <w:footnote w:id="123">
    <w:p w:rsidR="009C7E9E" w:rsidRDefault="009C7E9E" w:rsidP="009C7E9E">
      <w:pPr>
        <w:pStyle w:val="FootnoteText"/>
      </w:pPr>
      <w:r>
        <w:rPr>
          <w:rStyle w:val="FootnoteReference"/>
        </w:rPr>
        <w:footnoteRef/>
      </w:r>
      <w:r>
        <w:t xml:space="preserve"> </w:t>
      </w:r>
      <w:r w:rsidRPr="004A3122">
        <w:rPr>
          <w:i/>
        </w:rPr>
        <w:t>See</w:t>
      </w:r>
      <w:r>
        <w:t xml:space="preserve">, </w:t>
      </w:r>
      <w:r w:rsidRPr="004A3122">
        <w:rPr>
          <w:i/>
        </w:rPr>
        <w:t>e.g</w:t>
      </w:r>
      <w:r>
        <w:t xml:space="preserve">., </w:t>
      </w:r>
      <w:r w:rsidRPr="00685EA5">
        <w:rPr>
          <w:spacing w:val="-2"/>
        </w:rPr>
        <w:t xml:space="preserve">Applications of AT&amp;T Inc. and Cellco Partnership </w:t>
      </w:r>
      <w:r w:rsidRPr="00685EA5">
        <w:rPr>
          <w:spacing w:val="-2"/>
          <w:kern w:val="28"/>
        </w:rPr>
        <w:t xml:space="preserve">d/b/a Verizon Wireless </w:t>
      </w:r>
      <w:r w:rsidRPr="00685EA5">
        <w:rPr>
          <w:spacing w:val="-2"/>
        </w:rPr>
        <w:t xml:space="preserve">for Consent To Assign or Transfer Control of Licenses and Authorizations and Modify a </w:t>
      </w:r>
      <w:r w:rsidRPr="00685EA5">
        <w:rPr>
          <w:spacing w:val="-2"/>
          <w:kern w:val="28"/>
        </w:rPr>
        <w:t xml:space="preserve">Spectrum Leasing Arrangement, WT Docket No. 09-104, </w:t>
      </w:r>
      <w:r w:rsidRPr="00685EA5">
        <w:rPr>
          <w:i/>
          <w:spacing w:val="-2"/>
          <w:kern w:val="28"/>
        </w:rPr>
        <w:t>Memorandum Opinion and Order</w:t>
      </w:r>
      <w:r w:rsidRPr="00685EA5">
        <w:rPr>
          <w:spacing w:val="-2"/>
          <w:kern w:val="28"/>
        </w:rPr>
        <w:t>, 25 FCC Rcd 8704</w:t>
      </w:r>
      <w:r>
        <w:rPr>
          <w:spacing w:val="-2"/>
          <w:kern w:val="28"/>
        </w:rPr>
        <w:t xml:space="preserve">, </w:t>
      </w:r>
      <w:r>
        <w:t>8742-43 ¶ 89, 8746 ¶ 97 (2010) (“</w:t>
      </w:r>
      <w:r>
        <w:rPr>
          <w:i/>
          <w:spacing w:val="-2"/>
          <w:kern w:val="28"/>
        </w:rPr>
        <w:t>AT&amp;T-Verizon Wireless Order</w:t>
      </w:r>
      <w:r>
        <w:rPr>
          <w:spacing w:val="-2"/>
          <w:kern w:val="28"/>
        </w:rPr>
        <w:t>”)</w:t>
      </w:r>
      <w:r>
        <w:t xml:space="preserve"> (AT&amp;T’s “plans to transition the divestiture network from CDMA to UMTS” and; support from Verizon Wireless for continued administration of CDMA roaming pursuant to the Transition Services Agreement); </w:t>
      </w:r>
      <w:r w:rsidRPr="00685EA5">
        <w:rPr>
          <w:spacing w:val="-2"/>
          <w:kern w:val="28"/>
        </w:rPr>
        <w:t xml:space="preserve">Applications of Cellco Partnership d/b/a Verizon Wireless and Atlantis Holdings LLC For Consent To Transfer Control of Licenses, Authorizations, and Spectrum Manager and </w:t>
      </w:r>
      <w:r w:rsidRPr="00685EA5">
        <w:rPr>
          <w:i/>
          <w:spacing w:val="-2"/>
          <w:kern w:val="28"/>
        </w:rPr>
        <w:t>De Facto</w:t>
      </w:r>
      <w:r w:rsidRPr="00685EA5">
        <w:rPr>
          <w:spacing w:val="-2"/>
          <w:kern w:val="28"/>
        </w:rPr>
        <w:t xml:space="preserve"> Transfer Leasing Arrangements, WT Docket No. 08-95, </w:t>
      </w:r>
      <w:r w:rsidRPr="00685EA5">
        <w:rPr>
          <w:i/>
          <w:spacing w:val="-2"/>
          <w:kern w:val="28"/>
        </w:rPr>
        <w:t>Memorandum Opinion and Order and Declaratory Ruling</w:t>
      </w:r>
      <w:r w:rsidRPr="00685EA5">
        <w:rPr>
          <w:spacing w:val="-2"/>
          <w:kern w:val="28"/>
        </w:rPr>
        <w:t xml:space="preserve">, 23 FCC Rcd 17444, </w:t>
      </w:r>
      <w:r>
        <w:t>17501 ¶¶ 126-27, 17254 ¶ 178 (2008) (“</w:t>
      </w:r>
      <w:r w:rsidRPr="00726766">
        <w:rPr>
          <w:i/>
        </w:rPr>
        <w:t>Verizon Wireless-ALLTEL Order</w:t>
      </w:r>
      <w:r>
        <w:t xml:space="preserve">”) (Verizon Wireless acquisition of control of licenses in ALLTEL’s GSM network).  </w:t>
      </w:r>
      <w:r w:rsidRPr="00D81688">
        <w:rPr>
          <w:i/>
        </w:rPr>
        <w:t>See also</w:t>
      </w:r>
      <w:r>
        <w:t xml:space="preserve"> </w:t>
      </w:r>
      <w:r w:rsidRPr="00D40E82">
        <w:rPr>
          <w:rStyle w:val="StyleParaNumTimesNewRoman11ptChar"/>
          <w:i/>
          <w:sz w:val="20"/>
        </w:rPr>
        <w:t>AT&amp;T-Leap Order,</w:t>
      </w:r>
      <w:r w:rsidRPr="00D40E82">
        <w:rPr>
          <w:rStyle w:val="StyleParaNumTimesNewRoman11ptChar"/>
          <w:sz w:val="20"/>
        </w:rPr>
        <w:t xml:space="preserve"> </w:t>
      </w:r>
      <w:r w:rsidRPr="00D22B64">
        <w:t xml:space="preserve">29 FCC Rcd </w:t>
      </w:r>
      <w:r>
        <w:t xml:space="preserve">at 2783-85 </w:t>
      </w:r>
      <w:r w:rsidRPr="00D22B64">
        <w:t>¶</w:t>
      </w:r>
      <w:r>
        <w:t>¶ 105, 108;</w:t>
      </w:r>
      <w:r w:rsidRPr="00D22B64">
        <w:t xml:space="preserve"> </w:t>
      </w:r>
      <w:r w:rsidRPr="005B62F8">
        <w:rPr>
          <w:i/>
        </w:rPr>
        <w:t>AT&amp;T-ATN Order</w:t>
      </w:r>
      <w:r>
        <w:t xml:space="preserve">, 28 FCC Rcd at 13703 </w:t>
      </w:r>
      <w:r w:rsidRPr="00D22B64">
        <w:t xml:space="preserve">¶ </w:t>
      </w:r>
      <w:r>
        <w:t>60 (AT&amp;T, a GSM provider, committed to offer CDMA roaming services over Allied’s 3G EV-DO network).</w:t>
      </w:r>
    </w:p>
  </w:footnote>
  <w:footnote w:id="124">
    <w:p w:rsidR="009C7E9E" w:rsidRPr="00A92BEB" w:rsidRDefault="009C7E9E" w:rsidP="009C7E9E">
      <w:pPr>
        <w:pStyle w:val="FootnoteText"/>
      </w:pPr>
      <w:r>
        <w:rPr>
          <w:rStyle w:val="FootnoteReference"/>
        </w:rPr>
        <w:footnoteRef/>
      </w:r>
      <w:r>
        <w:t xml:space="preserve"> </w:t>
      </w:r>
      <w:r>
        <w:rPr>
          <w:i/>
        </w:rPr>
        <w:t xml:space="preserve">See </w:t>
      </w:r>
      <w:r>
        <w:rPr>
          <w:spacing w:val="-2"/>
          <w:kern w:val="28"/>
        </w:rPr>
        <w:t xml:space="preserve">Applications of AT&amp;T Inc. and Centennial Communications Corp. for Consent To Transfer Control of Licenses, Authorizations, and Spectrum Leasing Arrangements, WT Docket No. 09-104, </w:t>
      </w:r>
      <w:r>
        <w:rPr>
          <w:i/>
          <w:spacing w:val="-2"/>
          <w:kern w:val="28"/>
        </w:rPr>
        <w:t>Memorandum Opinion and Order</w:t>
      </w:r>
      <w:r>
        <w:rPr>
          <w:spacing w:val="-2"/>
          <w:kern w:val="28"/>
        </w:rPr>
        <w:t>, 24 FCC Rcd 13915, 13966 ¶ 126, 13967-69 ¶¶ 129-33 (2009) (“</w:t>
      </w:r>
      <w:r>
        <w:rPr>
          <w:i/>
          <w:spacing w:val="-2"/>
          <w:kern w:val="28"/>
        </w:rPr>
        <w:t>AT&amp;T-Centennial Order”</w:t>
      </w:r>
      <w:r>
        <w:rPr>
          <w:spacing w:val="-2"/>
          <w:kern w:val="28"/>
        </w:rPr>
        <w:t>)</w:t>
      </w:r>
      <w:r>
        <w:t>.</w:t>
      </w:r>
    </w:p>
  </w:footnote>
  <w:footnote w:id="125">
    <w:p w:rsidR="009C7E9E" w:rsidRPr="00DE7CCC" w:rsidRDefault="009C7E9E" w:rsidP="009C7E9E">
      <w:pPr>
        <w:pStyle w:val="FootnoteText"/>
      </w:pPr>
      <w:r>
        <w:rPr>
          <w:rStyle w:val="FootnoteReference"/>
        </w:rPr>
        <w:footnoteRef/>
      </w:r>
      <w:r>
        <w:t xml:space="preserve"> </w:t>
      </w:r>
      <w:r>
        <w:rPr>
          <w:i/>
        </w:rPr>
        <w:t>See</w:t>
      </w:r>
      <w:r>
        <w:t xml:space="preserve"> T-Mobile Petition for Conditions at 7-8; T-Mobile Reply at 6.</w:t>
      </w:r>
    </w:p>
  </w:footnote>
  <w:footnote w:id="126">
    <w:p w:rsidR="009C7E9E" w:rsidRPr="00A74EAD" w:rsidRDefault="009C7E9E" w:rsidP="00A74EAD">
      <w:pPr>
        <w:pStyle w:val="FootnoteText"/>
      </w:pPr>
      <w:r w:rsidRPr="00F82363">
        <w:rPr>
          <w:rStyle w:val="FootnoteReference"/>
        </w:rPr>
        <w:footnoteRef/>
      </w:r>
      <w:r w:rsidRPr="00C34CC1">
        <w:t xml:space="preserve"> </w:t>
      </w:r>
      <w:r w:rsidRPr="00487E9C">
        <w:rPr>
          <w:i/>
        </w:rPr>
        <w:t xml:space="preserve">See </w:t>
      </w:r>
      <w:r w:rsidRPr="00A34435">
        <w:rPr>
          <w:i/>
          <w:spacing w:val="-2"/>
        </w:rPr>
        <w:t>AT&amp;T-Centennial Order</w:t>
      </w:r>
      <w:r w:rsidRPr="00AA7C55">
        <w:rPr>
          <w:spacing w:val="-2"/>
        </w:rPr>
        <w:t xml:space="preserve">, 24 FCC Rcd at 13968 ¶ 130.  </w:t>
      </w:r>
      <w:r w:rsidRPr="00FA7FF8">
        <w:rPr>
          <w:spacing w:val="-2"/>
        </w:rPr>
        <w:t xml:space="preserve">Specifically, after performing </w:t>
      </w:r>
      <w:r w:rsidRPr="00A74EAD">
        <w:rPr>
          <w:spacing w:val="-2"/>
        </w:rPr>
        <w:t xml:space="preserve">a market-by-market analysis, the Commission found that competitive harm was likely in seven markets, with the combined entity having the incentive and ability to raise price and restrict output.  In those markets, the Commission found generally that </w:t>
      </w:r>
      <w:r w:rsidRPr="00A74EAD">
        <w:t xml:space="preserve">the proposed transaction would result in a reduction in the number of competitors, the combined entity would hold a high market share, and there would be insufficient network coverage by other service providers to serve as a competitive constraint.  </w:t>
      </w:r>
      <w:r w:rsidR="007162D8" w:rsidRPr="00A74EAD">
        <w:rPr>
          <w:i/>
        </w:rPr>
        <w:t xml:space="preserve">See </w:t>
      </w:r>
      <w:r w:rsidR="007162D8" w:rsidRPr="00A74EAD">
        <w:rPr>
          <w:i/>
          <w:spacing w:val="-2"/>
        </w:rPr>
        <w:t>i</w:t>
      </w:r>
      <w:r w:rsidRPr="00A74EAD">
        <w:rPr>
          <w:i/>
          <w:spacing w:val="-2"/>
        </w:rPr>
        <w:t>d</w:t>
      </w:r>
      <w:r w:rsidRPr="00A74EAD">
        <w:rPr>
          <w:spacing w:val="-2"/>
        </w:rPr>
        <w:t>.</w:t>
      </w:r>
      <w:r w:rsidR="007162D8" w:rsidRPr="00A74EAD">
        <w:rPr>
          <w:spacing w:val="-2"/>
        </w:rPr>
        <w:t>, 24 FCC Rcd</w:t>
      </w:r>
      <w:r w:rsidRPr="00A74EAD">
        <w:rPr>
          <w:spacing w:val="-2"/>
        </w:rPr>
        <w:t xml:space="preserve"> at 13949-52 ¶¶ 77-86.  </w:t>
      </w:r>
      <w:r w:rsidRPr="00A74EAD">
        <w:t xml:space="preserve">The Commission also accepted a voluntary commitment by AT&amp;T to provide roaming services under certain conditions, but found no other roaming conditions were necessary, given the specific circumstances of the proposed transaction.  </w:t>
      </w:r>
      <w:r w:rsidR="007162D8" w:rsidRPr="00A74EAD">
        <w:rPr>
          <w:i/>
        </w:rPr>
        <w:t xml:space="preserve">See </w:t>
      </w:r>
      <w:r w:rsidR="007162D8" w:rsidRPr="00A74EAD">
        <w:rPr>
          <w:i/>
          <w:spacing w:val="-2"/>
        </w:rPr>
        <w:t>id</w:t>
      </w:r>
      <w:r w:rsidR="007162D8" w:rsidRPr="00A74EAD">
        <w:rPr>
          <w:spacing w:val="-2"/>
        </w:rPr>
        <w:t>., 24 FCC Rcd</w:t>
      </w:r>
      <w:r w:rsidRPr="00A74EAD">
        <w:t xml:space="preserve"> at 13968 ¶ 130.  The Commission found that AT&amp;T’s roaming commitments, in conjunction with a number of market divestitures, were sufficient to prevent the significant competitive harms that would otherwise be likely to occur in the seven markets with the loss of Centennial as a roaming partner.  </w:t>
      </w:r>
      <w:r w:rsidR="007162D8" w:rsidRPr="00A74EAD">
        <w:rPr>
          <w:i/>
        </w:rPr>
        <w:t xml:space="preserve">See </w:t>
      </w:r>
      <w:r w:rsidR="007162D8" w:rsidRPr="00A74EAD">
        <w:rPr>
          <w:i/>
          <w:spacing w:val="-2"/>
        </w:rPr>
        <w:t>id</w:t>
      </w:r>
      <w:r w:rsidR="007162D8" w:rsidRPr="00A74EAD">
        <w:rPr>
          <w:spacing w:val="-2"/>
        </w:rPr>
        <w:t xml:space="preserve">., 24 FCC Rcd </w:t>
      </w:r>
      <w:r w:rsidRPr="00A74EAD">
        <w:t>at 13968 ¶ 130</w:t>
      </w:r>
      <w:r w:rsidR="009F5D08" w:rsidRPr="00A74EAD">
        <w:t>.</w:t>
      </w:r>
    </w:p>
  </w:footnote>
  <w:footnote w:id="127">
    <w:p w:rsidR="009C7E9E" w:rsidRDefault="009C7E9E" w:rsidP="009C7E9E">
      <w:pPr>
        <w:pStyle w:val="FootnoteText"/>
      </w:pPr>
      <w:r>
        <w:rPr>
          <w:rStyle w:val="FootnoteReference"/>
        </w:rPr>
        <w:footnoteRef/>
      </w:r>
      <w:r>
        <w:t xml:space="preserve"> </w:t>
      </w:r>
      <w:r>
        <w:rPr>
          <w:i/>
        </w:rPr>
        <w:t xml:space="preserve">See </w:t>
      </w:r>
      <w:r w:rsidRPr="00300229">
        <w:t xml:space="preserve">Applications of AT&amp;T Inc. and Cellular South, Inc. </w:t>
      </w:r>
      <w:r>
        <w:t>f</w:t>
      </w:r>
      <w:r w:rsidRPr="00300229">
        <w:t xml:space="preserve">or Consent To Assign Licenses Covering Parts of Alabama, Georgia, and Tennessee, </w:t>
      </w:r>
      <w:r>
        <w:rPr>
          <w:i/>
          <w:iCs/>
          <w:spacing w:val="-2"/>
          <w:kern w:val="28"/>
        </w:rPr>
        <w:t xml:space="preserve">Memorandum Opinion and </w:t>
      </w:r>
      <w:r w:rsidRPr="00AD60C6">
        <w:rPr>
          <w:i/>
          <w:iCs/>
          <w:spacing w:val="-2"/>
          <w:kern w:val="28"/>
        </w:rPr>
        <w:t>Order</w:t>
      </w:r>
      <w:r>
        <w:rPr>
          <w:iCs/>
          <w:spacing w:val="-2"/>
          <w:kern w:val="28"/>
        </w:rPr>
        <w:t xml:space="preserve">, </w:t>
      </w:r>
      <w:r w:rsidRPr="00300229">
        <w:t xml:space="preserve">28 FCC Rcd 12328, 12334-35 ¶ 15 (WTB 2013); </w:t>
      </w:r>
      <w:r w:rsidRPr="00300229">
        <w:rPr>
          <w:spacing w:val="-2"/>
          <w:kern w:val="28"/>
        </w:rPr>
        <w:t xml:space="preserve">Applications of AT&amp;T Mobility Spectrum LLC, Triad 700, LLC, CenturyTel Broadband Wireless, LLC, </w:t>
      </w:r>
      <w:r w:rsidRPr="00300229">
        <w:rPr>
          <w:iCs/>
          <w:spacing w:val="-2"/>
          <w:kern w:val="28"/>
        </w:rPr>
        <w:t xml:space="preserve">700 MHz, LLC, Cavalier Wireless, LLC, Ponderosa Telephone Co., David L. Miller, ComSouth Tellular, Inc., Farmers Telephone Company, Inc., and McBride Spectrum Partners, LLC for Consent </w:t>
      </w:r>
      <w:r>
        <w:rPr>
          <w:iCs/>
          <w:spacing w:val="-2"/>
          <w:kern w:val="28"/>
        </w:rPr>
        <w:t>T</w:t>
      </w:r>
      <w:r w:rsidRPr="00300229">
        <w:rPr>
          <w:iCs/>
          <w:spacing w:val="-2"/>
          <w:kern w:val="28"/>
        </w:rPr>
        <w:t xml:space="preserve">o Assign Licenses, </w:t>
      </w:r>
      <w:r>
        <w:rPr>
          <w:i/>
          <w:iCs/>
          <w:spacing w:val="-2"/>
          <w:kern w:val="28"/>
        </w:rPr>
        <w:t xml:space="preserve">Memorandum Opinion and </w:t>
      </w:r>
      <w:r w:rsidRPr="00AD60C6">
        <w:rPr>
          <w:i/>
          <w:iCs/>
          <w:spacing w:val="-2"/>
          <w:kern w:val="28"/>
        </w:rPr>
        <w:t>Order</w:t>
      </w:r>
      <w:r>
        <w:rPr>
          <w:iCs/>
          <w:spacing w:val="-2"/>
          <w:kern w:val="28"/>
        </w:rPr>
        <w:t xml:space="preserve">, </w:t>
      </w:r>
      <w:r w:rsidRPr="00AD60C6">
        <w:rPr>
          <w:iCs/>
          <w:spacing w:val="-2"/>
          <w:kern w:val="28"/>
        </w:rPr>
        <w:t>27</w:t>
      </w:r>
      <w:r>
        <w:rPr>
          <w:iCs/>
          <w:spacing w:val="-2"/>
          <w:kern w:val="28"/>
        </w:rPr>
        <w:t xml:space="preserve"> FCC Rcd 15831, 15834 ¶ 9 (WTB 2012).</w:t>
      </w:r>
    </w:p>
  </w:footnote>
  <w:footnote w:id="128">
    <w:p w:rsidR="00E257C0" w:rsidRDefault="00E257C0" w:rsidP="00534F11">
      <w:pPr>
        <w:pStyle w:val="FootnoteText"/>
      </w:pPr>
      <w:r>
        <w:rPr>
          <w:rStyle w:val="FootnoteReference"/>
        </w:rPr>
        <w:footnoteRef/>
      </w:r>
      <w:r>
        <w:t xml:space="preserve"> </w:t>
      </w:r>
      <w:r>
        <w:rPr>
          <w:i/>
        </w:rPr>
        <w:t xml:space="preserve">See </w:t>
      </w:r>
      <w:r>
        <w:t>T-Mobile Petition for Conditions at 4-6; T-Mobile Reply at 3.</w:t>
      </w:r>
    </w:p>
  </w:footnote>
  <w:footnote w:id="129">
    <w:p w:rsidR="00E257C0" w:rsidRPr="00D22B64" w:rsidRDefault="00E257C0" w:rsidP="00534F11">
      <w:pPr>
        <w:pStyle w:val="FootnoteText"/>
      </w:pPr>
      <w:r w:rsidRPr="00D22B64">
        <w:rPr>
          <w:rStyle w:val="FootnoteReference"/>
        </w:rPr>
        <w:footnoteRef/>
      </w:r>
      <w:r w:rsidRPr="00D22B64">
        <w:t xml:space="preserve"> </w:t>
      </w:r>
      <w:r w:rsidRPr="00D22B64">
        <w:rPr>
          <w:i/>
          <w:iCs/>
        </w:rPr>
        <w:t>S</w:t>
      </w:r>
      <w:r>
        <w:rPr>
          <w:i/>
          <w:iCs/>
        </w:rPr>
        <w:t xml:space="preserve">ee </w:t>
      </w:r>
      <w:r w:rsidRPr="00D22B64">
        <w:t xml:space="preserve">Roaming Obligations of Commercial Mobile Radio Service Providers, WT Docket No. 05-265, </w:t>
      </w:r>
      <w:r w:rsidRPr="00D22B64">
        <w:rPr>
          <w:i/>
          <w:iCs/>
        </w:rPr>
        <w:t>Report and Order and Further Notice of Proposed Rulemaking</w:t>
      </w:r>
      <w:r w:rsidRPr="00D22B64">
        <w:t xml:space="preserve">, 22 FCC Rcd 15817, 15828 ¶ 27 (2007); Reexamination of Roaming Obligations of Commercial Mobile Radio Service Providers, WT Docket No. 05-265, </w:t>
      </w:r>
      <w:r w:rsidRPr="00D22B64">
        <w:rPr>
          <w:i/>
          <w:iCs/>
        </w:rPr>
        <w:t>Order on Reconsideration and Second Further Notice of Proposed Rulemaking</w:t>
      </w:r>
      <w:r w:rsidRPr="00D22B64">
        <w:t>, 25 FCC Rcd 4181, 4192 ¶ 2 (2010) (“</w:t>
      </w:r>
      <w:r w:rsidRPr="00D22B64">
        <w:rPr>
          <w:i/>
        </w:rPr>
        <w:t>Order on Reconsideration</w:t>
      </w:r>
      <w:r w:rsidRPr="00D22B64">
        <w:t>” and “</w:t>
      </w:r>
      <w:r w:rsidRPr="00D22B64">
        <w:rPr>
          <w:i/>
        </w:rPr>
        <w:t>Second Further Notice</w:t>
      </w:r>
      <w:r>
        <w:t xml:space="preserve">,” respectively); </w:t>
      </w:r>
      <w:r w:rsidRPr="00D22B64">
        <w:t xml:space="preserve">Reexamination of Roaming Obligations of Commercial Mobile Radio Service Providers and Other Providers of Mobile Data Services, WT Docket No. 05-265, </w:t>
      </w:r>
      <w:r w:rsidRPr="00D22B64">
        <w:rPr>
          <w:i/>
          <w:iCs/>
        </w:rPr>
        <w:t>Second Report and Order</w:t>
      </w:r>
      <w:r w:rsidRPr="00D22B64">
        <w:t>, 26 FCC Rcd 5411 (2011) (“</w:t>
      </w:r>
      <w:r w:rsidRPr="00D22B64">
        <w:rPr>
          <w:i/>
        </w:rPr>
        <w:t>Data Roaming Order”</w:t>
      </w:r>
      <w:r w:rsidRPr="00D22B64">
        <w:t xml:space="preserve">), aff’d sub nom. </w:t>
      </w:r>
      <w:r w:rsidRPr="00D22B64">
        <w:rPr>
          <w:i/>
          <w:iCs/>
        </w:rPr>
        <w:t>Cellco Partnership v. FCC</w:t>
      </w:r>
      <w:r w:rsidRPr="00D22B64">
        <w:t>, 700 F.3d 534 (D</w:t>
      </w:r>
      <w:r>
        <w:t>.</w:t>
      </w:r>
      <w:r w:rsidRPr="00D22B64">
        <w:t>C</w:t>
      </w:r>
      <w:r>
        <w:t>.</w:t>
      </w:r>
      <w:r w:rsidRPr="00D22B64">
        <w:t xml:space="preserve"> Cir. 2012).</w:t>
      </w:r>
    </w:p>
  </w:footnote>
  <w:footnote w:id="130">
    <w:p w:rsidR="00E257C0" w:rsidRDefault="00E257C0">
      <w:pPr>
        <w:pStyle w:val="FootnoteText"/>
      </w:pPr>
      <w:r>
        <w:rPr>
          <w:rStyle w:val="FootnoteReference"/>
        </w:rPr>
        <w:footnoteRef/>
      </w:r>
      <w:r>
        <w:t xml:space="preserve"> </w:t>
      </w:r>
      <w:r w:rsidRPr="00241608">
        <w:rPr>
          <w:i/>
        </w:rPr>
        <w:t>See</w:t>
      </w:r>
      <w:r>
        <w:t xml:space="preserve"> </w:t>
      </w:r>
      <w:r w:rsidRPr="00D22B64">
        <w:t xml:space="preserve">Reexamination of Roaming Obligations of Commercial Mobile Radio Service Providers and Other Providers of Mobile Data Services, WT Docket No. 05-265, </w:t>
      </w:r>
      <w:r>
        <w:rPr>
          <w:i/>
          <w:iCs/>
        </w:rPr>
        <w:t>Declaratory Ruling</w:t>
      </w:r>
      <w:r w:rsidRPr="00D22B64">
        <w:t xml:space="preserve">, </w:t>
      </w:r>
      <w:r w:rsidR="00F03153">
        <w:t xml:space="preserve">29 FCC Rcd 15483, </w:t>
      </w:r>
      <w:r w:rsidR="00F62C0E">
        <w:t xml:space="preserve">15486 </w:t>
      </w:r>
      <w:r>
        <w:t>¶ 8</w:t>
      </w:r>
      <w:r w:rsidRPr="00D22B64">
        <w:t xml:space="preserve"> (201</w:t>
      </w:r>
      <w:r>
        <w:t>4</w:t>
      </w:r>
      <w:r w:rsidRPr="00D22B64">
        <w:t>) (“</w:t>
      </w:r>
      <w:r w:rsidRPr="00D22B64">
        <w:rPr>
          <w:i/>
        </w:rPr>
        <w:t xml:space="preserve">Data Roaming </w:t>
      </w:r>
      <w:r>
        <w:rPr>
          <w:i/>
        </w:rPr>
        <w:t>Declaratory Ruling</w:t>
      </w:r>
      <w:r w:rsidRPr="00C46E07">
        <w:t>”</w:t>
      </w:r>
      <w:r w:rsidRPr="00D22B64">
        <w:t>)</w:t>
      </w:r>
      <w:r>
        <w:t>.</w:t>
      </w:r>
    </w:p>
  </w:footnote>
  <w:footnote w:id="131">
    <w:p w:rsidR="00E257C0" w:rsidRPr="00D22B64" w:rsidRDefault="00E257C0" w:rsidP="00D37BD6">
      <w:pPr>
        <w:pStyle w:val="FootnoteText"/>
      </w:pPr>
      <w:r w:rsidRPr="00D22B64">
        <w:rPr>
          <w:rStyle w:val="FootnoteReference"/>
        </w:rPr>
        <w:footnoteRef/>
      </w:r>
      <w:r w:rsidRPr="00D22B64">
        <w:t xml:space="preserve"> </w:t>
      </w:r>
      <w:r w:rsidRPr="003C78AB">
        <w:rPr>
          <w:i/>
        </w:rPr>
        <w:t>See</w:t>
      </w:r>
      <w:r w:rsidRPr="00D22B64">
        <w:t xml:space="preserve">, </w:t>
      </w:r>
      <w:r w:rsidRPr="003C78AB">
        <w:rPr>
          <w:i/>
        </w:rPr>
        <w:t>e.g.,</w:t>
      </w:r>
      <w:r w:rsidRPr="00D22B64">
        <w:t xml:space="preserve"> </w:t>
      </w:r>
      <w:r w:rsidRPr="00D22B64">
        <w:rPr>
          <w:rStyle w:val="StyleParaNumTimesNewRoman11ptChar"/>
          <w:i/>
          <w:sz w:val="20"/>
          <w:lang w:eastAsia="x-none"/>
        </w:rPr>
        <w:t>AT&amp;T-Leap Order</w:t>
      </w:r>
      <w:r>
        <w:rPr>
          <w:rStyle w:val="StyleParaNumTimesNewRoman11ptChar"/>
          <w:i/>
          <w:sz w:val="20"/>
          <w:lang w:eastAsia="x-none"/>
        </w:rPr>
        <w:t>,</w:t>
      </w:r>
      <w:r w:rsidRPr="00D22B64">
        <w:rPr>
          <w:rStyle w:val="StyleParaNumTimesNewRoman11ptChar"/>
          <w:sz w:val="20"/>
          <w:lang w:eastAsia="x-none"/>
        </w:rPr>
        <w:t xml:space="preserve"> </w:t>
      </w:r>
      <w:r w:rsidRPr="00D22B64">
        <w:t xml:space="preserve">29 FCC Rcd </w:t>
      </w:r>
      <w:r>
        <w:t xml:space="preserve">at </w:t>
      </w:r>
      <w:r w:rsidRPr="00D22B64">
        <w:t xml:space="preserve">2792 ¶ 130; </w:t>
      </w:r>
      <w:r w:rsidRPr="00D22B64">
        <w:rPr>
          <w:i/>
          <w:iCs/>
        </w:rPr>
        <w:t>Alaska Wireless Order</w:t>
      </w:r>
      <w:r w:rsidRPr="00D22B64">
        <w:t>, 28 FCC Rcd at 10467 ¶ 85;</w:t>
      </w:r>
      <w:r>
        <w:t xml:space="preserve"> </w:t>
      </w:r>
      <w:r w:rsidRPr="00D22B64">
        <w:rPr>
          <w:i/>
          <w:iCs/>
        </w:rPr>
        <w:t>SoftBank-Sprint Order</w:t>
      </w:r>
      <w:r w:rsidRPr="00D22B64">
        <w:t>, 28 FCC Rcd at 9677-78 ¶ 91.</w:t>
      </w:r>
    </w:p>
  </w:footnote>
  <w:footnote w:id="132">
    <w:p w:rsidR="00E257C0" w:rsidRPr="00D22B64" w:rsidRDefault="00E257C0" w:rsidP="007E00C3">
      <w:pPr>
        <w:pStyle w:val="FootnoteText"/>
      </w:pPr>
      <w:r w:rsidRPr="00D22B64">
        <w:rPr>
          <w:rStyle w:val="FootnoteReference"/>
        </w:rPr>
        <w:footnoteRef/>
      </w:r>
      <w:r w:rsidRPr="00D22B64">
        <w:t xml:space="preserve"> </w:t>
      </w:r>
      <w:r w:rsidRPr="00D22B64">
        <w:rPr>
          <w:i/>
        </w:rPr>
        <w:t>See, e.g</w:t>
      </w:r>
      <w:r w:rsidRPr="00D22B64">
        <w:t xml:space="preserve">., </w:t>
      </w:r>
      <w:r w:rsidRPr="00D22B64">
        <w:rPr>
          <w:i/>
        </w:rPr>
        <w:t>Alaska Wireless Order</w:t>
      </w:r>
      <w:r w:rsidRPr="00D22B64">
        <w:t xml:space="preserve">, 28 FCC Rcd at 10468 ¶ 86; </w:t>
      </w:r>
      <w:r w:rsidRPr="00D22B64">
        <w:rPr>
          <w:i/>
        </w:rPr>
        <w:t>SoftBank-Sprint Order</w:t>
      </w:r>
      <w:r w:rsidRPr="00D22B64">
        <w:t>, 28 FCC Rcd at 9678 ¶ 92</w:t>
      </w:r>
      <w:r>
        <w:t xml:space="preserve">.  </w:t>
      </w:r>
      <w:r w:rsidRPr="00B83EDA">
        <w:rPr>
          <w:i/>
        </w:rPr>
        <w:t>See also</w:t>
      </w:r>
      <w:r>
        <w:t xml:space="preserve"> </w:t>
      </w:r>
      <w:r w:rsidRPr="00D22B64">
        <w:rPr>
          <w:rStyle w:val="StyleParaNumTimesNewRoman11ptChar"/>
          <w:i/>
          <w:sz w:val="20"/>
          <w:lang w:eastAsia="x-none"/>
        </w:rPr>
        <w:t>AT&amp;T-Leap Order</w:t>
      </w:r>
      <w:r w:rsidRPr="00D22B64">
        <w:rPr>
          <w:rStyle w:val="StyleParaNumTimesNewRoman11ptChar"/>
          <w:sz w:val="20"/>
          <w:lang w:eastAsia="x-none"/>
        </w:rPr>
        <w:t xml:space="preserve"> </w:t>
      </w:r>
      <w:r w:rsidRPr="00D22B64">
        <w:t xml:space="preserve">29 FCC Rcd </w:t>
      </w:r>
      <w:r>
        <w:t xml:space="preserve">at </w:t>
      </w:r>
      <w:r w:rsidRPr="00D22B64">
        <w:t>279</w:t>
      </w:r>
      <w:r>
        <w:t>3</w:t>
      </w:r>
      <w:r w:rsidRPr="00D22B64">
        <w:t xml:space="preserve"> ¶ 13</w:t>
      </w:r>
      <w:r>
        <w:t>1.</w:t>
      </w:r>
    </w:p>
  </w:footnote>
  <w:footnote w:id="133">
    <w:p w:rsidR="00E257C0" w:rsidRPr="00D22B64" w:rsidRDefault="00E257C0" w:rsidP="00D37BD6">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 xml:space="preserve">, </w:t>
      </w:r>
      <w:r w:rsidRPr="00D22B64">
        <w:rPr>
          <w:i/>
        </w:rPr>
        <w:t>Alaska Wireless Order</w:t>
      </w:r>
      <w:r w:rsidRPr="00D22B64">
        <w:t xml:space="preserve">, 28 FCC Rcd at 10468 ¶ 87; </w:t>
      </w:r>
      <w:r w:rsidRPr="00D22B64">
        <w:rPr>
          <w:i/>
        </w:rPr>
        <w:t>SoftBank-Sprint Order</w:t>
      </w:r>
      <w:r w:rsidRPr="00D22B64">
        <w:t>, 28 FCC Rcd at 9678 ¶ 93.</w:t>
      </w:r>
      <w:r>
        <w:t xml:space="preserve">  </w:t>
      </w:r>
      <w:r w:rsidRPr="00B83EDA">
        <w:rPr>
          <w:i/>
        </w:rPr>
        <w:t>See also</w:t>
      </w:r>
      <w:r>
        <w:t xml:space="preserve"> </w:t>
      </w:r>
      <w:r w:rsidRPr="00D22B64">
        <w:rPr>
          <w:rStyle w:val="StyleParaNumTimesNewRoman11ptChar"/>
          <w:i/>
          <w:sz w:val="20"/>
          <w:lang w:eastAsia="x-none"/>
        </w:rPr>
        <w:t>AT&amp;T-Leap Order</w:t>
      </w:r>
      <w:r w:rsidRPr="00D22B64">
        <w:rPr>
          <w:rStyle w:val="StyleParaNumTimesNewRoman11ptChar"/>
          <w:sz w:val="20"/>
          <w:lang w:eastAsia="x-none"/>
        </w:rPr>
        <w:t xml:space="preserve"> </w:t>
      </w:r>
      <w:r w:rsidRPr="00D22B64">
        <w:t xml:space="preserve">29 FCC Rcd </w:t>
      </w:r>
      <w:r>
        <w:t xml:space="preserve">at </w:t>
      </w:r>
      <w:r w:rsidRPr="00D22B64">
        <w:t>279</w:t>
      </w:r>
      <w:r>
        <w:t>3</w:t>
      </w:r>
      <w:r w:rsidRPr="00D22B64">
        <w:t xml:space="preserve"> ¶ 13</w:t>
      </w:r>
      <w:r>
        <w:t>2.</w:t>
      </w:r>
    </w:p>
  </w:footnote>
  <w:footnote w:id="134">
    <w:p w:rsidR="00E257C0" w:rsidRPr="00D22B64" w:rsidRDefault="00E257C0" w:rsidP="00D37BD6">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 xml:space="preserve">, </w:t>
      </w:r>
      <w:r w:rsidRPr="00D22B64">
        <w:rPr>
          <w:rStyle w:val="StyleParaNumTimesNewRoman11ptChar"/>
          <w:i/>
          <w:sz w:val="20"/>
          <w:lang w:eastAsia="x-none"/>
        </w:rPr>
        <w:t>AT&amp;T-Leap Order</w:t>
      </w:r>
      <w:r w:rsidRPr="00D22B64">
        <w:rPr>
          <w:rStyle w:val="StyleParaNumTimesNewRoman11ptChar"/>
          <w:sz w:val="20"/>
          <w:lang w:eastAsia="x-none"/>
        </w:rPr>
        <w:t xml:space="preserve"> </w:t>
      </w:r>
      <w:r w:rsidRPr="00D22B64">
        <w:t xml:space="preserve">29 FCC Rcd </w:t>
      </w:r>
      <w:r>
        <w:t xml:space="preserve">at </w:t>
      </w:r>
      <w:r w:rsidRPr="00D22B64">
        <w:t>279</w:t>
      </w:r>
      <w:r>
        <w:t>3</w:t>
      </w:r>
      <w:r w:rsidRPr="00D22B64">
        <w:t xml:space="preserve"> ¶ 13</w:t>
      </w:r>
      <w:r>
        <w:t xml:space="preserve">1; </w:t>
      </w:r>
      <w:r w:rsidRPr="00D22B64">
        <w:rPr>
          <w:i/>
        </w:rPr>
        <w:t>Alaska Wireless Order</w:t>
      </w:r>
      <w:r w:rsidRPr="00D22B64">
        <w:t xml:space="preserve">, 28 FCC Rcd at 10468 ¶ 87; </w:t>
      </w:r>
      <w:r w:rsidRPr="00D22B64">
        <w:rPr>
          <w:i/>
        </w:rPr>
        <w:t>SoftBank-Sprint Order</w:t>
      </w:r>
      <w:r w:rsidRPr="00D22B64">
        <w:t>, 28 FCC Rcd at 9678 ¶ 93.</w:t>
      </w:r>
    </w:p>
  </w:footnote>
  <w:footnote w:id="135">
    <w:p w:rsidR="00E257C0" w:rsidRPr="00D22B64" w:rsidRDefault="00E257C0" w:rsidP="00D37BD6">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 xml:space="preserve">, </w:t>
      </w:r>
      <w:r w:rsidRPr="00D22B64">
        <w:rPr>
          <w:rStyle w:val="StyleParaNumTimesNewRoman11ptChar"/>
          <w:i/>
          <w:sz w:val="20"/>
          <w:lang w:eastAsia="x-none"/>
        </w:rPr>
        <w:t>AT&amp;T-Leap Order</w:t>
      </w:r>
      <w:r w:rsidRPr="00D22B64">
        <w:rPr>
          <w:rStyle w:val="StyleParaNumTimesNewRoman11ptChar"/>
          <w:sz w:val="20"/>
          <w:lang w:eastAsia="x-none"/>
        </w:rPr>
        <w:t xml:space="preserve"> </w:t>
      </w:r>
      <w:r w:rsidRPr="00D22B64">
        <w:t xml:space="preserve">29 FCC Rcd </w:t>
      </w:r>
      <w:r>
        <w:t xml:space="preserve">at </w:t>
      </w:r>
      <w:r w:rsidRPr="00D22B64">
        <w:t>279</w:t>
      </w:r>
      <w:r>
        <w:t>3</w:t>
      </w:r>
      <w:r w:rsidRPr="00D22B64">
        <w:t xml:space="preserve"> ¶ 13</w:t>
      </w:r>
      <w:r>
        <w:t xml:space="preserve">1; </w:t>
      </w:r>
      <w:r w:rsidRPr="00D22B64">
        <w:rPr>
          <w:i/>
        </w:rPr>
        <w:t>Alaska Wireless Order</w:t>
      </w:r>
      <w:r w:rsidRPr="00D22B64">
        <w:t xml:space="preserve">, 28 FCC Rcd at 10468 ¶ 87; </w:t>
      </w:r>
      <w:r w:rsidRPr="00D22B64">
        <w:rPr>
          <w:i/>
        </w:rPr>
        <w:t>SoftBank-Sprint Order</w:t>
      </w:r>
      <w:r w:rsidRPr="00D22B64">
        <w:t>, 28 FCC Rcd at 9678 ¶ 93.</w:t>
      </w:r>
    </w:p>
  </w:footnote>
  <w:footnote w:id="136">
    <w:p w:rsidR="00E257C0" w:rsidRPr="00D22B64" w:rsidRDefault="00E257C0" w:rsidP="00D37BD6">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 xml:space="preserve">, </w:t>
      </w:r>
      <w:r w:rsidRPr="00D22B64">
        <w:rPr>
          <w:i/>
        </w:rPr>
        <w:t>Alaska Wireless Order</w:t>
      </w:r>
      <w:r w:rsidRPr="00D22B64">
        <w:t xml:space="preserve">, 28 FCC Rcd at 10468 ¶ 87; </w:t>
      </w:r>
      <w:r w:rsidRPr="00D22B64">
        <w:rPr>
          <w:i/>
        </w:rPr>
        <w:t>Verizon Wireless-SpectrumCo Order</w:t>
      </w:r>
      <w:r w:rsidRPr="00D22B64">
        <w:t>, 27 FCC Rcd at 10735 ¶ 97.</w:t>
      </w:r>
      <w:r>
        <w:t xml:space="preserve">  </w:t>
      </w:r>
      <w:r w:rsidRPr="00B83EDA">
        <w:rPr>
          <w:i/>
        </w:rPr>
        <w:t>See also</w:t>
      </w:r>
      <w:r>
        <w:t xml:space="preserve"> </w:t>
      </w:r>
      <w:r w:rsidRPr="00D22B64">
        <w:rPr>
          <w:rStyle w:val="StyleParaNumTimesNewRoman11ptChar"/>
          <w:i/>
          <w:sz w:val="20"/>
          <w:lang w:eastAsia="x-none"/>
        </w:rPr>
        <w:t>AT&amp;T-Leap Order</w:t>
      </w:r>
      <w:r w:rsidRPr="00D22B64">
        <w:rPr>
          <w:rStyle w:val="StyleParaNumTimesNewRoman11ptChar"/>
          <w:sz w:val="20"/>
          <w:lang w:eastAsia="x-none"/>
        </w:rPr>
        <w:t xml:space="preserve"> </w:t>
      </w:r>
      <w:r w:rsidRPr="00D22B64">
        <w:t xml:space="preserve">29 FCC Rcd </w:t>
      </w:r>
      <w:r>
        <w:t xml:space="preserve">at </w:t>
      </w:r>
      <w:r w:rsidRPr="00D22B64">
        <w:t>279</w:t>
      </w:r>
      <w:r>
        <w:t>3</w:t>
      </w:r>
      <w:r w:rsidRPr="00D22B64">
        <w:t xml:space="preserve"> ¶ 13</w:t>
      </w:r>
      <w:r>
        <w:t>1.</w:t>
      </w:r>
    </w:p>
  </w:footnote>
  <w:footnote w:id="137">
    <w:p w:rsidR="00E257C0" w:rsidRPr="00D22B64" w:rsidRDefault="00E257C0" w:rsidP="00D37BD6">
      <w:pPr>
        <w:pStyle w:val="FootnoteText"/>
      </w:pPr>
      <w:r w:rsidRPr="00D22B64">
        <w:rPr>
          <w:rStyle w:val="FootnoteReference"/>
        </w:rPr>
        <w:footnoteRef/>
      </w:r>
      <w:r w:rsidRPr="00D22B64">
        <w:t xml:space="preserve"> </w:t>
      </w:r>
      <w:r w:rsidRPr="00D22B64">
        <w:rPr>
          <w:i/>
        </w:rPr>
        <w:t>See, e.g</w:t>
      </w:r>
      <w:r w:rsidRPr="00D22B64">
        <w:t xml:space="preserve">., </w:t>
      </w:r>
      <w:r w:rsidRPr="00D22B64">
        <w:rPr>
          <w:rStyle w:val="StyleParaNumTimesNewRoman11ptChar"/>
          <w:i/>
          <w:sz w:val="20"/>
          <w:lang w:eastAsia="x-none"/>
        </w:rPr>
        <w:t>AT&amp;T-Leap Order</w:t>
      </w:r>
      <w:r w:rsidRPr="00D22B64">
        <w:rPr>
          <w:rStyle w:val="StyleParaNumTimesNewRoman11ptChar"/>
          <w:sz w:val="20"/>
          <w:lang w:eastAsia="x-none"/>
        </w:rPr>
        <w:t xml:space="preserve"> </w:t>
      </w:r>
      <w:r w:rsidRPr="00D22B64">
        <w:t xml:space="preserve">29 FCC Rcd </w:t>
      </w:r>
      <w:r>
        <w:t xml:space="preserve">at </w:t>
      </w:r>
      <w:r w:rsidRPr="00D22B64">
        <w:t>279</w:t>
      </w:r>
      <w:r>
        <w:t>3</w:t>
      </w:r>
      <w:r w:rsidRPr="00D22B64">
        <w:t xml:space="preserve"> ¶ 13</w:t>
      </w:r>
      <w:r>
        <w:t xml:space="preserve">1; </w:t>
      </w:r>
      <w:r w:rsidRPr="00D22B64">
        <w:rPr>
          <w:i/>
        </w:rPr>
        <w:t>Alaska Wireless Order</w:t>
      </w:r>
      <w:r w:rsidRPr="00D22B64">
        <w:t xml:space="preserve">, 28 FCC Rcd at 10468 ¶ 87; </w:t>
      </w:r>
      <w:r w:rsidRPr="00D22B64">
        <w:rPr>
          <w:i/>
        </w:rPr>
        <w:t>SoftBank-Sprint Order</w:t>
      </w:r>
      <w:r>
        <w:t xml:space="preserve">, 28 FCC Rcd at </w:t>
      </w:r>
      <w:r w:rsidRPr="00D22B64">
        <w:t>9678 ¶ 93.</w:t>
      </w:r>
    </w:p>
  </w:footnote>
  <w:footnote w:id="138">
    <w:p w:rsidR="00E257C0" w:rsidRPr="00D22B64" w:rsidRDefault="00E257C0" w:rsidP="00D37BD6">
      <w:pPr>
        <w:pStyle w:val="FootnoteText"/>
      </w:pPr>
      <w:r w:rsidRPr="00D22B64">
        <w:rPr>
          <w:rStyle w:val="FootnoteReference"/>
        </w:rPr>
        <w:footnoteRef/>
      </w:r>
      <w:r w:rsidRPr="00D22B64">
        <w:t xml:space="preserve"> </w:t>
      </w:r>
      <w:r w:rsidRPr="00D22B64">
        <w:rPr>
          <w:i/>
        </w:rPr>
        <w:t xml:space="preserve">See, e.g., </w:t>
      </w:r>
      <w:r w:rsidRPr="00D22B64">
        <w:rPr>
          <w:rStyle w:val="StyleParaNumTimesNewRoman11ptChar"/>
          <w:i/>
          <w:sz w:val="20"/>
          <w:lang w:eastAsia="x-none"/>
        </w:rPr>
        <w:t>AT&amp;T-Leap Order</w:t>
      </w:r>
      <w:r w:rsidRPr="00D22B64">
        <w:rPr>
          <w:rStyle w:val="StyleParaNumTimesNewRoman11ptChar"/>
          <w:sz w:val="20"/>
          <w:lang w:eastAsia="x-none"/>
        </w:rPr>
        <w:t xml:space="preserve"> </w:t>
      </w:r>
      <w:r w:rsidRPr="00D22B64">
        <w:t xml:space="preserve">29 FCC Rcd </w:t>
      </w:r>
      <w:r>
        <w:t xml:space="preserve">at </w:t>
      </w:r>
      <w:r w:rsidRPr="00D22B64">
        <w:t>279</w:t>
      </w:r>
      <w:r>
        <w:t>3</w:t>
      </w:r>
      <w:r w:rsidRPr="00D22B64">
        <w:t xml:space="preserve"> ¶ 13</w:t>
      </w:r>
      <w:r>
        <w:t xml:space="preserve">1; </w:t>
      </w:r>
      <w:r w:rsidRPr="00D22B64">
        <w:rPr>
          <w:i/>
        </w:rPr>
        <w:t>Alaska Wireless Order</w:t>
      </w:r>
      <w:r w:rsidRPr="00D22B64">
        <w:t xml:space="preserve">, 28 FCC Rcd at 10468 ¶ 87; </w:t>
      </w:r>
      <w:r w:rsidRPr="00D22B64">
        <w:rPr>
          <w:i/>
        </w:rPr>
        <w:t>SoftBank-Sprint Order</w:t>
      </w:r>
      <w:r w:rsidRPr="00D22B64">
        <w:t>, 28 FCC Rcd at 9678 ¶ 93</w:t>
      </w:r>
      <w:r w:rsidRPr="00D22B64">
        <w:rPr>
          <w:snapToGrid w:val="0"/>
        </w:rPr>
        <w:t>.</w:t>
      </w:r>
    </w:p>
  </w:footnote>
  <w:footnote w:id="139">
    <w:p w:rsidR="00E257C0" w:rsidRPr="00D22B64" w:rsidRDefault="00E257C0" w:rsidP="00D37BD6">
      <w:pPr>
        <w:pStyle w:val="FootnoteText"/>
      </w:pPr>
      <w:r w:rsidRPr="00D22B64">
        <w:rPr>
          <w:rStyle w:val="FootnoteReference"/>
        </w:rPr>
        <w:footnoteRef/>
      </w:r>
      <w:r w:rsidRPr="00D22B64">
        <w:t xml:space="preserve"> </w:t>
      </w:r>
      <w:r w:rsidRPr="00D22B64">
        <w:rPr>
          <w:i/>
        </w:rPr>
        <w:t>See, e.g</w:t>
      </w:r>
      <w:r w:rsidRPr="00D22B64">
        <w:t xml:space="preserve">., </w:t>
      </w:r>
      <w:r w:rsidRPr="00D22B64">
        <w:rPr>
          <w:i/>
        </w:rPr>
        <w:t>Alaska Wireless Order</w:t>
      </w:r>
      <w:r w:rsidRPr="00D22B64">
        <w:t xml:space="preserve">, 28 FCC Rcd at 10468 ¶ 88; </w:t>
      </w:r>
      <w:r w:rsidRPr="00D22B64">
        <w:rPr>
          <w:i/>
        </w:rPr>
        <w:t>SoftBank-Sprint Order</w:t>
      </w:r>
      <w:r w:rsidRPr="00D22B64">
        <w:t>, 28 FCC Rcd at 9678 ¶ 93.</w:t>
      </w:r>
      <w:r>
        <w:t xml:space="preserve">  </w:t>
      </w:r>
      <w:r w:rsidRPr="00B83EDA">
        <w:rPr>
          <w:i/>
        </w:rPr>
        <w:t>See also</w:t>
      </w:r>
      <w:r>
        <w:t xml:space="preserve"> </w:t>
      </w:r>
      <w:r w:rsidRPr="00D22B64">
        <w:rPr>
          <w:rStyle w:val="StyleParaNumTimesNewRoman11ptChar"/>
          <w:i/>
          <w:sz w:val="20"/>
          <w:lang w:eastAsia="x-none"/>
        </w:rPr>
        <w:t>AT&amp;T-Leap Order</w:t>
      </w:r>
      <w:r w:rsidRPr="00D22B64">
        <w:rPr>
          <w:rStyle w:val="StyleParaNumTimesNewRoman11ptChar"/>
          <w:sz w:val="20"/>
          <w:lang w:eastAsia="x-none"/>
        </w:rPr>
        <w:t xml:space="preserve"> </w:t>
      </w:r>
      <w:r w:rsidRPr="00D22B64">
        <w:t xml:space="preserve">29 FCC Rcd </w:t>
      </w:r>
      <w:r>
        <w:t xml:space="preserve">at </w:t>
      </w:r>
      <w:r w:rsidRPr="00D22B64">
        <w:t>279</w:t>
      </w:r>
      <w:r>
        <w:t>3-4</w:t>
      </w:r>
      <w:r w:rsidRPr="00D22B64">
        <w:t xml:space="preserve"> ¶ 13</w:t>
      </w:r>
      <w:r>
        <w:t>1.</w:t>
      </w:r>
    </w:p>
  </w:footnote>
  <w:footnote w:id="140">
    <w:p w:rsidR="00E257C0" w:rsidRPr="00D22B64" w:rsidRDefault="00E257C0" w:rsidP="00D37BD6">
      <w:pPr>
        <w:pStyle w:val="FootnoteText"/>
      </w:pPr>
      <w:r w:rsidRPr="00D22B64">
        <w:rPr>
          <w:rStyle w:val="FootnoteReference"/>
        </w:rPr>
        <w:footnoteRef/>
      </w:r>
      <w:r w:rsidRPr="00D22B64">
        <w:t xml:space="preserve"> </w:t>
      </w:r>
      <w:r w:rsidRPr="00D22B64">
        <w:rPr>
          <w:i/>
        </w:rPr>
        <w:t>See, e.g.</w:t>
      </w:r>
      <w:r w:rsidRPr="00D22B64">
        <w:t>,</w:t>
      </w:r>
      <w:r w:rsidRPr="00D22B64">
        <w:rPr>
          <w:i/>
        </w:rPr>
        <w:t xml:space="preserve"> </w:t>
      </w:r>
      <w:r w:rsidRPr="00D22B64">
        <w:rPr>
          <w:rStyle w:val="StyleParaNumTimesNewRoman11ptChar"/>
          <w:i/>
          <w:sz w:val="20"/>
          <w:lang w:eastAsia="x-none"/>
        </w:rPr>
        <w:t>AT&amp;T-Leap Order</w:t>
      </w:r>
      <w:r w:rsidRPr="00D22B64">
        <w:rPr>
          <w:rStyle w:val="StyleParaNumTimesNewRoman11ptChar"/>
          <w:sz w:val="20"/>
          <w:lang w:eastAsia="x-none"/>
        </w:rPr>
        <w:t xml:space="preserve"> </w:t>
      </w:r>
      <w:r w:rsidRPr="00D22B64">
        <w:t xml:space="preserve">29 FCC Rcd </w:t>
      </w:r>
      <w:r>
        <w:t xml:space="preserve">at </w:t>
      </w:r>
      <w:r w:rsidRPr="00D22B64">
        <w:t>279</w:t>
      </w:r>
      <w:r>
        <w:t>4</w:t>
      </w:r>
      <w:r w:rsidRPr="00D22B64">
        <w:t xml:space="preserve"> ¶ 13</w:t>
      </w:r>
      <w:r>
        <w:t xml:space="preserve">1; </w:t>
      </w:r>
      <w:r w:rsidRPr="00D22B64">
        <w:rPr>
          <w:i/>
        </w:rPr>
        <w:t>Alaska Wireless Order</w:t>
      </w:r>
      <w:r w:rsidRPr="00D22B64">
        <w:t xml:space="preserve">, 28 FCC Rcd at 10468 ¶ 88; </w:t>
      </w:r>
      <w:r w:rsidRPr="00D22B64">
        <w:rPr>
          <w:i/>
        </w:rPr>
        <w:t>SoftBank-Sprint Order</w:t>
      </w:r>
      <w:r w:rsidRPr="00D22B64">
        <w:t xml:space="preserve">, 28 FCC Rcd at 9678 ¶ 93; </w:t>
      </w:r>
      <w:r w:rsidRPr="00D22B64">
        <w:rPr>
          <w:i/>
        </w:rPr>
        <w:t>cf.</w:t>
      </w:r>
      <w:r w:rsidRPr="00D22B64">
        <w:t xml:space="preserve"> </w:t>
      </w:r>
      <w:r w:rsidRPr="00D22B64">
        <w:rPr>
          <w:i/>
        </w:rPr>
        <w:t>2010 DOJ/FTC</w:t>
      </w:r>
      <w:r w:rsidRPr="00D22B64">
        <w:t xml:space="preserve"> </w:t>
      </w:r>
      <w:r w:rsidRPr="00D22B64">
        <w:rPr>
          <w:i/>
        </w:rPr>
        <w:t xml:space="preserve">Horizontal Merger Guidelines </w:t>
      </w:r>
      <w:r>
        <w:t>at § 10, p. 31.</w:t>
      </w:r>
    </w:p>
  </w:footnote>
  <w:footnote w:id="141">
    <w:p w:rsidR="00E257C0" w:rsidRDefault="00E257C0" w:rsidP="00D37BD6">
      <w:pPr>
        <w:pStyle w:val="FootnoteText"/>
      </w:pPr>
      <w:r>
        <w:rPr>
          <w:rStyle w:val="FootnoteReference"/>
        </w:rPr>
        <w:footnoteRef/>
      </w:r>
      <w:r>
        <w:t xml:space="preserve"> </w:t>
      </w:r>
      <w:r w:rsidRPr="00D22B64">
        <w:rPr>
          <w:i/>
        </w:rPr>
        <w:t>See</w:t>
      </w:r>
      <w:r w:rsidRPr="00D22B64">
        <w:t xml:space="preserve"> Public Interest Statement at </w:t>
      </w:r>
      <w:r>
        <w:t>4</w:t>
      </w:r>
      <w:r w:rsidRPr="00D22B64">
        <w:t>.</w:t>
      </w:r>
    </w:p>
  </w:footnote>
  <w:footnote w:id="142">
    <w:p w:rsidR="00E257C0" w:rsidRDefault="00E257C0" w:rsidP="007E00C3">
      <w:pPr>
        <w:pStyle w:val="FootnoteText"/>
      </w:pPr>
      <w:r>
        <w:rPr>
          <w:rStyle w:val="FootnoteReference"/>
        </w:rPr>
        <w:footnoteRef/>
      </w:r>
      <w:r>
        <w:t xml:space="preserve"> </w:t>
      </w:r>
      <w:r w:rsidRPr="00D22B64">
        <w:rPr>
          <w:i/>
        </w:rPr>
        <w:t>See</w:t>
      </w:r>
      <w:r w:rsidRPr="00D22B64">
        <w:t xml:space="preserve"> Public Interest Statement at </w:t>
      </w:r>
      <w:r>
        <w:t>7.</w:t>
      </w:r>
    </w:p>
  </w:footnote>
  <w:footnote w:id="143">
    <w:p w:rsidR="00E257C0" w:rsidRDefault="00E257C0" w:rsidP="00D37BD6">
      <w:pPr>
        <w:pStyle w:val="FootnoteText"/>
      </w:pPr>
      <w:r>
        <w:rPr>
          <w:rStyle w:val="FootnoteReference"/>
        </w:rPr>
        <w:footnoteRef/>
      </w:r>
      <w:r>
        <w:t xml:space="preserve"> </w:t>
      </w:r>
      <w:r w:rsidRPr="00D22B64">
        <w:rPr>
          <w:i/>
        </w:rPr>
        <w:t>See</w:t>
      </w:r>
      <w:r w:rsidRPr="00D22B64">
        <w:t xml:space="preserve"> Public Interest Statement at </w:t>
      </w:r>
      <w:r>
        <w:t>5.</w:t>
      </w:r>
    </w:p>
  </w:footnote>
  <w:footnote w:id="144">
    <w:p w:rsidR="00E257C0" w:rsidRDefault="00E257C0" w:rsidP="00D37BD6">
      <w:pPr>
        <w:pStyle w:val="FootnoteText"/>
      </w:pPr>
      <w:r>
        <w:rPr>
          <w:rStyle w:val="FootnoteReference"/>
        </w:rPr>
        <w:footnoteRef/>
      </w:r>
      <w:r>
        <w:t xml:space="preserve"> </w:t>
      </w:r>
      <w:r w:rsidRPr="00D22B64">
        <w:rPr>
          <w:i/>
        </w:rPr>
        <w:t>See</w:t>
      </w:r>
      <w:r w:rsidRPr="00D22B64">
        <w:t xml:space="preserve"> Public Interest Statement at </w:t>
      </w:r>
      <w:r>
        <w:t>5.</w:t>
      </w:r>
    </w:p>
  </w:footnote>
  <w:footnote w:id="145">
    <w:p w:rsidR="00E257C0" w:rsidRDefault="00E257C0">
      <w:pPr>
        <w:pStyle w:val="FootnoteText"/>
      </w:pPr>
      <w:r>
        <w:rPr>
          <w:rStyle w:val="FootnoteReference"/>
        </w:rPr>
        <w:footnoteRef/>
      </w:r>
      <w:r>
        <w:t xml:space="preserve"> </w:t>
      </w:r>
      <w:r w:rsidRPr="00D22B64">
        <w:rPr>
          <w:i/>
        </w:rPr>
        <w:t>See</w:t>
      </w:r>
      <w:r w:rsidRPr="00D22B64">
        <w:t xml:space="preserve"> Public Interest Statement at </w:t>
      </w:r>
      <w:r>
        <w:t>5.</w:t>
      </w:r>
    </w:p>
  </w:footnote>
  <w:footnote w:id="146">
    <w:p w:rsidR="00E257C0" w:rsidRDefault="00E257C0" w:rsidP="00D37BD6">
      <w:pPr>
        <w:pStyle w:val="FootnoteText"/>
      </w:pPr>
      <w:r>
        <w:rPr>
          <w:rStyle w:val="FootnoteReference"/>
        </w:rPr>
        <w:footnoteRef/>
      </w:r>
      <w:r>
        <w:t xml:space="preserve"> </w:t>
      </w:r>
      <w:r w:rsidRPr="00D22B64">
        <w:rPr>
          <w:i/>
        </w:rPr>
        <w:t xml:space="preserve">See </w:t>
      </w:r>
      <w:r w:rsidRPr="003C78AB">
        <w:t xml:space="preserve">AT&amp;T </w:t>
      </w:r>
      <w:r w:rsidRPr="00EE32B0">
        <w:t>Information Request Response</w:t>
      </w:r>
      <w:r>
        <w:t xml:space="preserve"> at 7</w:t>
      </w:r>
      <w:r w:rsidRPr="00D22B64">
        <w:t>.</w:t>
      </w:r>
    </w:p>
  </w:footnote>
  <w:footnote w:id="147">
    <w:p w:rsidR="00E257C0" w:rsidRDefault="00E257C0" w:rsidP="00D37BD6">
      <w:pPr>
        <w:pStyle w:val="FootnoteText"/>
      </w:pPr>
      <w:r>
        <w:rPr>
          <w:rStyle w:val="FootnoteReference"/>
        </w:rPr>
        <w:footnoteRef/>
      </w:r>
      <w:r>
        <w:t xml:space="preserve"> </w:t>
      </w:r>
      <w:r w:rsidRPr="00D22B64">
        <w:rPr>
          <w:i/>
        </w:rPr>
        <w:t xml:space="preserve">See </w:t>
      </w:r>
      <w:r>
        <w:t>AT&amp;T Information Request Response at 7</w:t>
      </w:r>
      <w:r w:rsidRPr="00D22B64">
        <w:t>.</w:t>
      </w:r>
    </w:p>
  </w:footnote>
  <w:footnote w:id="148">
    <w:p w:rsidR="00E257C0" w:rsidRDefault="00E257C0" w:rsidP="00D37BD6">
      <w:pPr>
        <w:pStyle w:val="FootnoteText"/>
      </w:pPr>
      <w:r>
        <w:rPr>
          <w:rStyle w:val="FootnoteReference"/>
        </w:rPr>
        <w:footnoteRef/>
      </w:r>
      <w:r>
        <w:t xml:space="preserve"> </w:t>
      </w:r>
      <w:r w:rsidRPr="00D22B64">
        <w:rPr>
          <w:i/>
        </w:rPr>
        <w:t xml:space="preserve">See </w:t>
      </w:r>
      <w:r>
        <w:t>AT&amp;T Information Request Response at 8</w:t>
      </w:r>
      <w:r w:rsidRPr="00D22B64">
        <w:t>.</w:t>
      </w:r>
    </w:p>
  </w:footnote>
  <w:footnote w:id="149">
    <w:p w:rsidR="00E257C0" w:rsidRDefault="00E257C0" w:rsidP="00D37BD6">
      <w:pPr>
        <w:pStyle w:val="FootnoteText"/>
      </w:pPr>
      <w:r>
        <w:rPr>
          <w:rStyle w:val="FootnoteReference"/>
        </w:rPr>
        <w:footnoteRef/>
      </w:r>
      <w:r>
        <w:t xml:space="preserve"> </w:t>
      </w:r>
      <w:r w:rsidRPr="00D22B64">
        <w:rPr>
          <w:i/>
        </w:rPr>
        <w:t xml:space="preserve">See </w:t>
      </w:r>
      <w:r>
        <w:t>AT&amp;T Information Request Response at 8</w:t>
      </w:r>
      <w:r w:rsidRPr="00D22B64">
        <w:t>.</w:t>
      </w:r>
    </w:p>
  </w:footnote>
  <w:footnote w:id="150">
    <w:p w:rsidR="00E257C0" w:rsidRDefault="00E257C0" w:rsidP="00D37BD6">
      <w:pPr>
        <w:pStyle w:val="FootnoteText"/>
      </w:pPr>
      <w:r>
        <w:rPr>
          <w:rStyle w:val="FootnoteReference"/>
        </w:rPr>
        <w:footnoteRef/>
      </w:r>
      <w:r>
        <w:t xml:space="preserve"> </w:t>
      </w:r>
      <w:r w:rsidRPr="00D22B64">
        <w:rPr>
          <w:i/>
        </w:rPr>
        <w:t xml:space="preserve">See </w:t>
      </w:r>
      <w:r>
        <w:t>AT&amp;T Information Request Response at 9</w:t>
      </w:r>
      <w:r w:rsidRPr="00D22B64">
        <w:t>.</w:t>
      </w:r>
    </w:p>
  </w:footnote>
  <w:footnote w:id="151">
    <w:p w:rsidR="00E257C0" w:rsidRDefault="00E257C0" w:rsidP="00440A84">
      <w:pPr>
        <w:pStyle w:val="FootnoteText"/>
      </w:pPr>
      <w:r>
        <w:rPr>
          <w:rStyle w:val="FootnoteReference"/>
        </w:rPr>
        <w:footnoteRef/>
      </w:r>
      <w:r>
        <w:t xml:space="preserve"> </w:t>
      </w:r>
      <w:r w:rsidRPr="00D22B64">
        <w:rPr>
          <w:i/>
        </w:rPr>
        <w:t xml:space="preserve">See </w:t>
      </w:r>
      <w:r>
        <w:t>AT&amp;T Information Request Response at 9</w:t>
      </w:r>
      <w:r w:rsidRPr="00D22B64">
        <w:t>.</w:t>
      </w:r>
    </w:p>
  </w:footnote>
  <w:footnote w:id="152">
    <w:p w:rsidR="00E257C0" w:rsidRDefault="00E257C0" w:rsidP="00D37BD6">
      <w:pPr>
        <w:pStyle w:val="FootnoteText"/>
      </w:pPr>
      <w:r>
        <w:rPr>
          <w:rStyle w:val="FootnoteReference"/>
        </w:rPr>
        <w:footnoteRef/>
      </w:r>
      <w:r>
        <w:t xml:space="preserve"> </w:t>
      </w:r>
      <w:r w:rsidRPr="00D22B64">
        <w:rPr>
          <w:i/>
        </w:rPr>
        <w:t xml:space="preserve">See </w:t>
      </w:r>
      <w:r>
        <w:t>AT&amp;T Information Request Response at 9; AT&amp;T Information Request Response, AT&amp;T Exhibits 1.1, 2.1-2.7.</w:t>
      </w:r>
    </w:p>
  </w:footnote>
  <w:footnote w:id="153">
    <w:p w:rsidR="00E257C0" w:rsidRDefault="00E257C0" w:rsidP="00D37BD6">
      <w:pPr>
        <w:pStyle w:val="FootnoteText"/>
      </w:pPr>
      <w:r>
        <w:rPr>
          <w:rStyle w:val="FootnoteReference"/>
        </w:rPr>
        <w:footnoteRef/>
      </w:r>
      <w:r>
        <w:t xml:space="preserve"> </w:t>
      </w:r>
      <w:r w:rsidRPr="00D22B64">
        <w:rPr>
          <w:i/>
        </w:rPr>
        <w:t>See</w:t>
      </w:r>
      <w:r w:rsidRPr="00D22B64">
        <w:t xml:space="preserve"> Public Interest Statement at </w:t>
      </w:r>
      <w:r>
        <w:t>6.</w:t>
      </w:r>
    </w:p>
  </w:footnote>
  <w:footnote w:id="154">
    <w:p w:rsidR="00E257C0" w:rsidRDefault="00E257C0" w:rsidP="007E00C3">
      <w:pPr>
        <w:pStyle w:val="FootnoteText"/>
      </w:pPr>
      <w:r>
        <w:rPr>
          <w:rStyle w:val="FootnoteReference"/>
        </w:rPr>
        <w:footnoteRef/>
      </w:r>
      <w:r>
        <w:t xml:space="preserve"> </w:t>
      </w:r>
      <w:r w:rsidRPr="003C78AB">
        <w:rPr>
          <w:i/>
        </w:rPr>
        <w:t xml:space="preserve">See </w:t>
      </w:r>
      <w:r>
        <w:t xml:space="preserve">AT&amp;T Information Request Response at </w:t>
      </w:r>
      <w:r w:rsidRPr="00D22B64">
        <w:t>5.</w:t>
      </w:r>
      <w:r>
        <w:t xml:space="preserve">  In particular, </w:t>
      </w:r>
      <w:r w:rsidRPr="00894362">
        <w:rPr>
          <w:szCs w:val="22"/>
        </w:rPr>
        <w:t>AT&amp;T estimate</w:t>
      </w:r>
      <w:r>
        <w:rPr>
          <w:szCs w:val="22"/>
        </w:rPr>
        <w:t>s</w:t>
      </w:r>
      <w:r w:rsidRPr="00894362">
        <w:rPr>
          <w:szCs w:val="22"/>
        </w:rPr>
        <w:t xml:space="preserve"> that this </w:t>
      </w:r>
      <w:r>
        <w:rPr>
          <w:szCs w:val="22"/>
        </w:rPr>
        <w:t xml:space="preserve">proposed </w:t>
      </w:r>
      <w:r w:rsidRPr="00894362">
        <w:rPr>
          <w:szCs w:val="22"/>
        </w:rPr>
        <w:t xml:space="preserve">transaction has an incremental net present value of </w:t>
      </w:r>
      <w:r w:rsidRPr="00894362">
        <w:rPr>
          <w:b/>
          <w:bCs/>
          <w:szCs w:val="22"/>
        </w:rPr>
        <w:t>[BEGIN HIGHLY CONFIDENTIAL INFORMATION]</w:t>
      </w:r>
      <w:r w:rsidR="00932064">
        <w:rPr>
          <w:bCs/>
          <w:szCs w:val="22"/>
        </w:rPr>
        <w:t xml:space="preserve"> </w:t>
      </w:r>
      <w:r w:rsidR="00932064" w:rsidRPr="002525B8">
        <w:rPr>
          <w:rFonts w:hint="eastAsia"/>
          <w:bCs/>
          <w:spacing w:val="314"/>
          <w:szCs w:val="22"/>
          <w:fitText w:val="990" w:id="892573709"/>
        </w:rPr>
        <w:t xml:space="preserve">　</w:t>
      </w:r>
      <w:r w:rsidR="00932064" w:rsidRPr="002525B8">
        <w:rPr>
          <w:bCs/>
          <w:color w:val="FFFFFF"/>
          <w:spacing w:val="314"/>
          <w:szCs w:val="22"/>
          <w:fitText w:val="990" w:id="892573709"/>
        </w:rPr>
        <w:t>.</w:t>
      </w:r>
      <w:r w:rsidR="00932064" w:rsidRPr="002525B8">
        <w:rPr>
          <w:rFonts w:hint="eastAsia"/>
          <w:bCs/>
          <w:color w:val="FFFFFF"/>
          <w:spacing w:val="1"/>
          <w:szCs w:val="22"/>
          <w:fitText w:val="990" w:id="892573709"/>
        </w:rPr>
        <w:t xml:space="preserve">　</w:t>
      </w:r>
      <w:r w:rsidRPr="00894362">
        <w:rPr>
          <w:b/>
          <w:bCs/>
          <w:szCs w:val="22"/>
        </w:rPr>
        <w:t>[END HIGHLY CONFIDENTIAL INFORMATION]</w:t>
      </w:r>
      <w:r w:rsidRPr="00894362">
        <w:rPr>
          <w:bCs/>
          <w:szCs w:val="22"/>
        </w:rPr>
        <w:t xml:space="preserve"> consisting mainly of reduced roaming expenses.</w:t>
      </w:r>
      <w:r>
        <w:rPr>
          <w:bCs/>
          <w:szCs w:val="22"/>
        </w:rPr>
        <w:t xml:space="preserve">  </w:t>
      </w:r>
      <w:r w:rsidRPr="003C78AB">
        <w:rPr>
          <w:bCs/>
          <w:i/>
          <w:szCs w:val="22"/>
        </w:rPr>
        <w:t>See id.</w:t>
      </w:r>
    </w:p>
  </w:footnote>
  <w:footnote w:id="155">
    <w:p w:rsidR="00E257C0" w:rsidRPr="00852614" w:rsidRDefault="00E257C0" w:rsidP="00D37BD6">
      <w:pPr>
        <w:pStyle w:val="FootnoteText"/>
      </w:pPr>
      <w:r>
        <w:rPr>
          <w:rStyle w:val="FootnoteReference"/>
        </w:rPr>
        <w:footnoteRef/>
      </w:r>
      <w:r>
        <w:t xml:space="preserve"> </w:t>
      </w:r>
      <w:r w:rsidRPr="00D22B64">
        <w:rPr>
          <w:i/>
        </w:rPr>
        <w:t>See</w:t>
      </w:r>
      <w:r w:rsidRPr="00D22B64">
        <w:t xml:space="preserve"> Public Interest Statement at </w:t>
      </w:r>
      <w:r>
        <w:t xml:space="preserve">7.  AT&amp;T estimates </w:t>
      </w:r>
      <w:r w:rsidRPr="00D22B64">
        <w:rPr>
          <w:b/>
        </w:rPr>
        <w:t>[BEGIN HIGHLY CONFIDENTIAL INFORMATION]</w:t>
      </w:r>
      <w:r w:rsidR="00932064">
        <w:t xml:space="preserve"> </w:t>
      </w:r>
      <w:r w:rsidR="00932064" w:rsidRPr="002525B8">
        <w:rPr>
          <w:rFonts w:hint="eastAsia"/>
          <w:spacing w:val="1964"/>
          <w:fitText w:val="4290" w:id="892573710"/>
        </w:rPr>
        <w:t xml:space="preserve">　</w:t>
      </w:r>
      <w:r w:rsidR="00932064" w:rsidRPr="002525B8">
        <w:rPr>
          <w:color w:val="FFFFFF"/>
          <w:spacing w:val="1964"/>
          <w:fitText w:val="4290" w:id="892573710"/>
        </w:rPr>
        <w:t>.</w:t>
      </w:r>
      <w:r w:rsidR="00932064" w:rsidRPr="002525B8">
        <w:rPr>
          <w:rFonts w:hint="eastAsia"/>
          <w:color w:val="FFFFFF"/>
          <w:spacing w:val="1"/>
          <w:fitText w:val="4290" w:id="892573710"/>
        </w:rPr>
        <w:t xml:space="preserve">　</w:t>
      </w:r>
      <w:r w:rsidRPr="00D22B64">
        <w:rPr>
          <w:b/>
        </w:rPr>
        <w:t>[END HIGHLY CONFIDENTIAL INFORMATION]</w:t>
      </w:r>
      <w:r>
        <w:t xml:space="preserve">.  </w:t>
      </w:r>
      <w:r w:rsidRPr="00D22B64">
        <w:rPr>
          <w:i/>
        </w:rPr>
        <w:t xml:space="preserve">See </w:t>
      </w:r>
      <w:r>
        <w:t>AT&amp;T Information Request Response at 5</w:t>
      </w:r>
      <w:r w:rsidRPr="00D22B64">
        <w:t>.</w:t>
      </w:r>
      <w:r>
        <w:t xml:space="preserve">  </w:t>
      </w:r>
      <w:r>
        <w:rPr>
          <w:i/>
        </w:rPr>
        <w:t xml:space="preserve">See also </w:t>
      </w:r>
      <w:r>
        <w:t>AT&amp;T Information Request Response, AT&amp;T Exhibit 1.1, at 1-2.</w:t>
      </w:r>
    </w:p>
  </w:footnote>
  <w:footnote w:id="156">
    <w:p w:rsidR="00E257C0" w:rsidRDefault="00E257C0">
      <w:pPr>
        <w:pStyle w:val="FootnoteText"/>
      </w:pPr>
      <w:r>
        <w:rPr>
          <w:rStyle w:val="FootnoteReference"/>
        </w:rPr>
        <w:footnoteRef/>
      </w:r>
      <w:r>
        <w:t xml:space="preserve"> </w:t>
      </w:r>
      <w:r w:rsidRPr="0021162F">
        <w:rPr>
          <w:i/>
        </w:rPr>
        <w:t>See</w:t>
      </w:r>
      <w:r>
        <w:t xml:space="preserve"> </w:t>
      </w:r>
      <w:r w:rsidRPr="00D22B64">
        <w:t xml:space="preserve">Public Interest Statement at </w:t>
      </w:r>
      <w:r>
        <w:t xml:space="preserve">7.  Double marginalization occurs when firms at different stages of a production chain have market power, and each prices above marginal cost.  When one firm raises prices, it reduces demand for the other’s product, and </w:t>
      </w:r>
      <w:r w:rsidRPr="00A40604">
        <w:rPr>
          <w:i/>
        </w:rPr>
        <w:t>vice versa</w:t>
      </w:r>
      <w:r>
        <w:t xml:space="preserve">.  After a merger, each firm takes the negative consequences to the other into account, and any double marginalization is eliminated.  If cost savings are passed on to consumers, then consumers would pay lower prices.  </w:t>
      </w:r>
      <w:r w:rsidRPr="00A40604">
        <w:rPr>
          <w:i/>
        </w:rPr>
        <w:t xml:space="preserve">See </w:t>
      </w:r>
      <w:r w:rsidRPr="00A40604">
        <w:t>Baker, A., Brennan, T., Erb, J., Nayeem, O., &amp; Yankelevich, A. (2014)</w:t>
      </w:r>
      <w:r>
        <w:t xml:space="preserve">, </w:t>
      </w:r>
      <w:r w:rsidRPr="00A40604">
        <w:t>Economics at the FCC, 2013</w:t>
      </w:r>
      <w:r>
        <w:t>-</w:t>
      </w:r>
      <w:r w:rsidRPr="00A40604">
        <w:t>2014</w:t>
      </w:r>
      <w:r>
        <w:t>,</w:t>
      </w:r>
      <w:r w:rsidRPr="00A40604">
        <w:t xml:space="preserve"> </w:t>
      </w:r>
      <w:r w:rsidRPr="00A40604">
        <w:rPr>
          <w:i/>
        </w:rPr>
        <w:t>Review of Industrial Organization</w:t>
      </w:r>
      <w:r w:rsidRPr="00A40604">
        <w:t>, 45(4), 345-378.</w:t>
      </w:r>
    </w:p>
  </w:footnote>
  <w:footnote w:id="157">
    <w:p w:rsidR="00E257C0" w:rsidRPr="00E82706" w:rsidRDefault="00E257C0" w:rsidP="00AC5331">
      <w:pPr>
        <w:pStyle w:val="FootnoteText"/>
      </w:pPr>
      <w:r>
        <w:rPr>
          <w:rStyle w:val="FootnoteReference"/>
        </w:rPr>
        <w:footnoteRef/>
      </w:r>
      <w:r>
        <w:t xml:space="preserve"> </w:t>
      </w:r>
      <w:r>
        <w:rPr>
          <w:i/>
        </w:rPr>
        <w:t>See</w:t>
      </w:r>
      <w:r>
        <w:t xml:space="preserve"> AT&amp;T Information Request Response, AT&amp;T Exhibit 1.1, at 2, 5.</w:t>
      </w:r>
    </w:p>
  </w:footnote>
  <w:footnote w:id="158">
    <w:p w:rsidR="00E257C0" w:rsidRDefault="00E257C0">
      <w:pPr>
        <w:pStyle w:val="FootnoteText"/>
      </w:pPr>
      <w:r>
        <w:rPr>
          <w:rStyle w:val="FootnoteReference"/>
        </w:rPr>
        <w:footnoteRef/>
      </w:r>
      <w:r>
        <w:t xml:space="preserve"> </w:t>
      </w:r>
      <w:r>
        <w:rPr>
          <w:i/>
        </w:rPr>
        <w:t>See</w:t>
      </w:r>
      <w:r>
        <w:t xml:space="preserve"> AT&amp;T Information Request Response, AT&amp;T Exhibit 3.1; Supplemental Response of AT&amp;T Inc. to the General Information Requested Dated September 22, 2014 (Nov. 19, 2014) (“AT&amp;T Information Request Supplemental Response”), AT&amp;T Supplemental Exhibit; Plateau Wireless Information Request Response, Plateau Wireless Exhibit 3.1</w:t>
      </w:r>
      <w:r w:rsidRPr="00D22B64">
        <w:t>.</w:t>
      </w:r>
    </w:p>
  </w:footnote>
  <w:footnote w:id="159">
    <w:p w:rsidR="00E257C0" w:rsidRDefault="00E257C0" w:rsidP="00AB0010">
      <w:pPr>
        <w:pStyle w:val="FootnoteText"/>
      </w:pPr>
      <w:r>
        <w:rPr>
          <w:rStyle w:val="FootnoteReference"/>
        </w:rPr>
        <w:footnoteRef/>
      </w:r>
      <w:r>
        <w:t xml:space="preserve"> </w:t>
      </w:r>
      <w:r w:rsidRPr="004A0496">
        <w:t>Plateau Wireless Information Request Response at 3-4.</w:t>
      </w:r>
    </w:p>
  </w:footnote>
  <w:footnote w:id="160">
    <w:p w:rsidR="00E257C0" w:rsidRDefault="00E257C0" w:rsidP="00E608EA">
      <w:pPr>
        <w:pStyle w:val="FootnoteText"/>
      </w:pPr>
      <w:r>
        <w:rPr>
          <w:rStyle w:val="FootnoteReference"/>
        </w:rPr>
        <w:footnoteRef/>
      </w:r>
      <w:r>
        <w:t xml:space="preserve"> </w:t>
      </w:r>
      <w:r w:rsidRPr="005F4D86">
        <w:rPr>
          <w:i/>
        </w:rPr>
        <w:t xml:space="preserve">See </w:t>
      </w:r>
      <w:r>
        <w:t xml:space="preserve">AT&amp;T </w:t>
      </w:r>
      <w:r w:rsidRPr="00B83EDA">
        <w:t>Information Request Supplemental Response</w:t>
      </w:r>
      <w:r>
        <w:t xml:space="preserve"> at 4.  </w:t>
      </w:r>
      <w:r>
        <w:rPr>
          <w:szCs w:val="22"/>
        </w:rPr>
        <w:t xml:space="preserve">  </w:t>
      </w:r>
    </w:p>
  </w:footnote>
  <w:footnote w:id="161">
    <w:p w:rsidR="00E257C0" w:rsidRDefault="00E257C0" w:rsidP="00CE662D">
      <w:pPr>
        <w:pStyle w:val="FootnoteText"/>
      </w:pPr>
      <w:r>
        <w:rPr>
          <w:rStyle w:val="FootnoteReference"/>
        </w:rPr>
        <w:footnoteRef/>
      </w:r>
      <w:r>
        <w:t xml:space="preserve"> </w:t>
      </w:r>
      <w:r>
        <w:rPr>
          <w:i/>
          <w:iCs/>
        </w:rPr>
        <w:t>See, e.g</w:t>
      </w:r>
      <w:r w:rsidRPr="00D81688">
        <w:t>.,</w:t>
      </w:r>
      <w:r>
        <w:t xml:space="preserve"> </w:t>
      </w:r>
      <w:r w:rsidRPr="00D81688">
        <w:rPr>
          <w:rStyle w:val="StyleParaNumTimesNewRoman11ptChar"/>
          <w:i/>
          <w:sz w:val="20"/>
        </w:rPr>
        <w:t>AT&amp;T-</w:t>
      </w:r>
      <w:r w:rsidRPr="00B47551">
        <w:rPr>
          <w:rStyle w:val="StyleParaNumTimesNewRoman11ptChar"/>
          <w:i/>
          <w:iCs/>
          <w:sz w:val="20"/>
          <w:lang w:eastAsia="x-none"/>
        </w:rPr>
        <w:t>Verizon Wireless-Grain Order</w:t>
      </w:r>
      <w:r w:rsidRPr="00D81688">
        <w:rPr>
          <w:rStyle w:val="StyleParaNumTimesNewRoman11ptChar"/>
          <w:sz w:val="20"/>
        </w:rPr>
        <w:t>,</w:t>
      </w:r>
      <w:r w:rsidRPr="00B47551">
        <w:rPr>
          <w:rStyle w:val="StyleParaNumTimesNewRoman11ptChar"/>
          <w:sz w:val="20"/>
          <w:lang w:eastAsia="x-none"/>
        </w:rPr>
        <w:t xml:space="preserve"> 28 FCC </w:t>
      </w:r>
      <w:r>
        <w:rPr>
          <w:snapToGrid w:val="0"/>
        </w:rPr>
        <w:t>Rcd at 12902-</w:t>
      </w:r>
      <w:r w:rsidRPr="00B47551">
        <w:rPr>
          <w:snapToGrid w:val="0"/>
        </w:rPr>
        <w:t>3 ¶¶ 59-</w:t>
      </w:r>
      <w:r w:rsidRPr="00B47551">
        <w:t>60</w:t>
      </w:r>
      <w:r w:rsidRPr="00B47551">
        <w:rPr>
          <w:snapToGrid w:val="0"/>
        </w:rPr>
        <w:t xml:space="preserve">; </w:t>
      </w:r>
      <w:r w:rsidRPr="00B47551">
        <w:rPr>
          <w:i/>
          <w:iCs/>
        </w:rPr>
        <w:t>AT</w:t>
      </w:r>
      <w:r>
        <w:rPr>
          <w:i/>
          <w:iCs/>
        </w:rPr>
        <w:t xml:space="preserve">&amp;T-Leap Order, </w:t>
      </w:r>
      <w:r>
        <w:t xml:space="preserve">29 FCC Rcd at 2799-2800 ¶¶ 149, 151.  The latter Order recognized the relative spectral inefficiency of a 5×5 megahertz configuration for LTE.  </w:t>
      </w:r>
      <w:r>
        <w:rPr>
          <w:i/>
          <w:iCs/>
        </w:rPr>
        <w:t>See</w:t>
      </w:r>
      <w:r w:rsidRPr="00D81688">
        <w:rPr>
          <w:i/>
        </w:rPr>
        <w:t xml:space="preserve"> </w:t>
      </w:r>
      <w:r>
        <w:rPr>
          <w:i/>
          <w:iCs/>
        </w:rPr>
        <w:t>AT&amp;T-Leap Order</w:t>
      </w:r>
      <w:r>
        <w:t>,</w:t>
      </w:r>
      <w:r w:rsidRPr="00D81688">
        <w:rPr>
          <w:i/>
        </w:rPr>
        <w:t xml:space="preserve"> </w:t>
      </w:r>
      <w:r>
        <w:t>29 FCC Rcd at 2800 ¶ 151. </w:t>
      </w:r>
    </w:p>
  </w:footnote>
  <w:footnote w:id="162">
    <w:p w:rsidR="00E257C0" w:rsidRPr="00332D3B" w:rsidRDefault="00E257C0" w:rsidP="00051DAA">
      <w:pPr>
        <w:pStyle w:val="FootnoteText"/>
      </w:pPr>
      <w:r>
        <w:rPr>
          <w:rStyle w:val="FootnoteReference"/>
        </w:rPr>
        <w:footnoteRef/>
      </w:r>
      <w:r>
        <w:t xml:space="preserve"> </w:t>
      </w:r>
      <w:r w:rsidRPr="00556CE3">
        <w:rPr>
          <w:i/>
        </w:rPr>
        <w:t>See</w:t>
      </w:r>
      <w:r>
        <w:t xml:space="preserve"> Public Interest Statement at 5; AT&amp;T Information Request Response, AT&amp;T Exhibit 3.1.  </w:t>
      </w:r>
      <w:r>
        <w:rPr>
          <w:bCs/>
          <w:szCs w:val="22"/>
        </w:rPr>
        <w:t xml:space="preserve">Our analysis of the Applicants’ submitted data indicates that the population coverage overlap across the two networks in the market areas subject to the proposed transaction is approximately </w:t>
      </w:r>
      <w:r w:rsidRPr="00894362">
        <w:rPr>
          <w:b/>
          <w:bCs/>
          <w:szCs w:val="22"/>
        </w:rPr>
        <w:t>[BEGIN HIGHLY CONFIDENTIAL INFORMATION]</w:t>
      </w:r>
      <w:r w:rsidR="00932064">
        <w:rPr>
          <w:bCs/>
          <w:szCs w:val="22"/>
        </w:rPr>
        <w:t xml:space="preserve"> </w:t>
      </w:r>
      <w:r w:rsidR="00932064" w:rsidRPr="00155502">
        <w:rPr>
          <w:rFonts w:hint="eastAsia"/>
          <w:bCs/>
          <w:w w:val="24"/>
          <w:szCs w:val="22"/>
          <w:fitText w:val="90" w:id="892573711"/>
        </w:rPr>
        <w:t xml:space="preserve">　</w:t>
      </w:r>
      <w:r w:rsidR="00932064" w:rsidRPr="00155502">
        <w:rPr>
          <w:bCs/>
          <w:color w:val="FFFFFF"/>
          <w:w w:val="24"/>
          <w:szCs w:val="22"/>
          <w:fitText w:val="90" w:id="892573711"/>
        </w:rPr>
        <w:t>.</w:t>
      </w:r>
      <w:r w:rsidR="00932064" w:rsidRPr="00155502">
        <w:rPr>
          <w:rFonts w:hint="eastAsia"/>
          <w:bCs/>
          <w:color w:val="FFFFFF"/>
          <w:w w:val="24"/>
          <w:szCs w:val="22"/>
          <w:fitText w:val="90" w:id="892573711"/>
        </w:rPr>
        <w:t xml:space="preserve">　</w:t>
      </w:r>
      <w:r w:rsidRPr="00894362">
        <w:rPr>
          <w:b/>
          <w:bCs/>
          <w:szCs w:val="22"/>
        </w:rPr>
        <w:t>[</w:t>
      </w:r>
      <w:r>
        <w:rPr>
          <w:b/>
          <w:bCs/>
          <w:szCs w:val="22"/>
        </w:rPr>
        <w:t>END</w:t>
      </w:r>
      <w:r w:rsidRPr="00894362">
        <w:rPr>
          <w:b/>
          <w:bCs/>
          <w:szCs w:val="22"/>
        </w:rPr>
        <w:t xml:space="preserve"> HIGHLY CONFIDENTIAL INFORMATION]</w:t>
      </w:r>
      <w:r>
        <w:rPr>
          <w:bCs/>
          <w:szCs w:val="22"/>
        </w:rPr>
        <w:t>%.</w:t>
      </w:r>
    </w:p>
  </w:footnote>
  <w:footnote w:id="163">
    <w:p w:rsidR="00E257C0" w:rsidRDefault="00E257C0">
      <w:pPr>
        <w:pStyle w:val="FootnoteText"/>
      </w:pPr>
      <w:r>
        <w:rPr>
          <w:rStyle w:val="FootnoteReference"/>
        </w:rPr>
        <w:footnoteRef/>
      </w:r>
      <w:r>
        <w:t xml:space="preserve"> </w:t>
      </w:r>
      <w:r w:rsidRPr="00085CF7">
        <w:rPr>
          <w:i/>
        </w:rPr>
        <w:t>See</w:t>
      </w:r>
      <w:r>
        <w:t xml:space="preserve"> AT&amp;T Information Request Response, AT&amp;T Exhibit 1.1.</w:t>
      </w:r>
    </w:p>
  </w:footnote>
  <w:footnote w:id="164">
    <w:p w:rsidR="00E257C0" w:rsidRDefault="00E257C0" w:rsidP="000A4E81">
      <w:pPr>
        <w:pStyle w:val="FootnoteText"/>
      </w:pPr>
      <w:r>
        <w:rPr>
          <w:rStyle w:val="FootnoteReference"/>
        </w:rPr>
        <w:footnoteRef/>
      </w:r>
      <w:r w:rsidRPr="00D41C57">
        <w:t xml:space="preserve"> </w:t>
      </w:r>
      <w:r w:rsidRPr="00EF47B8">
        <w:rPr>
          <w:i/>
        </w:rPr>
        <w:t>Mobile Spectrum Holdings Report and Order</w:t>
      </w:r>
      <w:r>
        <w:rPr>
          <w:rStyle w:val="StyleParaNumTimesNewRoman11ptChar"/>
          <w:sz w:val="20"/>
          <w:lang w:eastAsia="x-none"/>
        </w:rPr>
        <w:t>, 29 FCC Rcd at 6240 ¶ 286.</w:t>
      </w:r>
    </w:p>
  </w:footnote>
  <w:footnote w:id="165">
    <w:p w:rsidR="008D5BAE" w:rsidRDefault="008D5BAE" w:rsidP="008D5BAE">
      <w:pPr>
        <w:pStyle w:val="FootnoteText"/>
      </w:pPr>
      <w:r>
        <w:rPr>
          <w:rStyle w:val="FootnoteReference"/>
        </w:rPr>
        <w:footnoteRef/>
      </w:r>
      <w:r>
        <w:t xml:space="preserve"> This is a partial assignment of the international section 214 authorization.</w:t>
      </w:r>
    </w:p>
  </w:footnote>
  <w:footnote w:id="166">
    <w:p w:rsidR="004C1152" w:rsidRPr="00701AC8" w:rsidRDefault="004C1152" w:rsidP="004C1152">
      <w:pPr>
        <w:pStyle w:val="FootnoteText"/>
      </w:pPr>
      <w:r w:rsidRPr="00701AC8">
        <w:rPr>
          <w:rStyle w:val="FootnoteReference"/>
        </w:rPr>
        <w:footnoteRef/>
      </w:r>
      <w:r w:rsidRPr="00701AC8">
        <w:t xml:space="preserve"> </w:t>
      </w:r>
      <w:r w:rsidRPr="00701AC8">
        <w:rPr>
          <w:i/>
        </w:rPr>
        <w:t xml:space="preserve">See </w:t>
      </w:r>
      <w:r w:rsidRPr="00A8036D">
        <w:t>Policies Regarding Mobile Spectrum Holdings</w:t>
      </w:r>
      <w:r>
        <w:t xml:space="preserve"> </w:t>
      </w:r>
      <w:r w:rsidRPr="00A8036D">
        <w:t>Expanding the Economic and Innovation Opportunities of Spectrum Through Incentive Auctions, WT Docket No. 12-269,</w:t>
      </w:r>
      <w:r>
        <w:t xml:space="preserve"> GN </w:t>
      </w:r>
      <w:r w:rsidRPr="00A8036D">
        <w:t xml:space="preserve">Docket No. 12-268, </w:t>
      </w:r>
      <w:r w:rsidRPr="006D7AF8">
        <w:rPr>
          <w:i/>
        </w:rPr>
        <w:t>Report and Order</w:t>
      </w:r>
      <w:r w:rsidRPr="00A8036D">
        <w:t>, 29 FCC Rcd 6133 (2014).</w:t>
      </w:r>
    </w:p>
  </w:footnote>
  <w:footnote w:id="167">
    <w:p w:rsidR="004C1152" w:rsidRPr="00701AC8" w:rsidRDefault="004C1152" w:rsidP="004C1152">
      <w:pPr>
        <w:pStyle w:val="FootnoteText"/>
      </w:pPr>
      <w:r w:rsidRPr="00701AC8">
        <w:rPr>
          <w:rStyle w:val="FootnoteReference"/>
        </w:rPr>
        <w:footnoteRef/>
      </w:r>
      <w:r w:rsidRPr="00701AC8">
        <w:t xml:space="preserve"> </w:t>
      </w:r>
      <w:r w:rsidRPr="00701AC8">
        <w:rPr>
          <w:i/>
        </w:rPr>
        <w:t>Id.</w:t>
      </w:r>
      <w:r w:rsidRPr="00701AC8">
        <w:t xml:space="preserve"> at 6268</w:t>
      </w:r>
      <w:r>
        <w:t>–</w:t>
      </w:r>
      <w:r w:rsidRPr="00701AC8">
        <w:t>74 (Dissenting Statement of Commissioner Ajit Pai).</w:t>
      </w:r>
    </w:p>
  </w:footnote>
  <w:footnote w:id="168">
    <w:p w:rsidR="00C10D68" w:rsidRPr="00F9455F" w:rsidRDefault="00C10D68" w:rsidP="00C10D68">
      <w:pPr>
        <w:pStyle w:val="FootnoteText"/>
      </w:pPr>
      <w:r w:rsidRPr="00F9455F">
        <w:rPr>
          <w:rStyle w:val="FootnoteReference"/>
        </w:rPr>
        <w:footnoteRef/>
      </w:r>
      <w:r w:rsidRPr="00F9455F">
        <w:t xml:space="preserve"> </w:t>
      </w:r>
      <w:r w:rsidRPr="008F5168">
        <w:t>Policies Regarding Mobile Spectrum Holdings Expanding the Economic and Innovation Opportunities of Spectrum through Incentive Auctions</w:t>
      </w:r>
      <w:r w:rsidRPr="00F9455F">
        <w:t xml:space="preserve">, WT Docket No. 12-269, </w:t>
      </w:r>
      <w:r>
        <w:t xml:space="preserve">GN </w:t>
      </w:r>
      <w:r w:rsidRPr="00A8036D">
        <w:t>Docket No. 12-268</w:t>
      </w:r>
      <w:r>
        <w:t xml:space="preserve">, </w:t>
      </w:r>
      <w:r w:rsidRPr="008F5168">
        <w:rPr>
          <w:i/>
        </w:rPr>
        <w:t>Report and Order</w:t>
      </w:r>
      <w:r>
        <w:t xml:space="preserve">, 29 FCC Rcd 6133, 6231 ¶ </w:t>
      </w:r>
      <w:r w:rsidRPr="00F9455F">
        <w:t>256 (2014).</w:t>
      </w:r>
    </w:p>
  </w:footnote>
  <w:footnote w:id="169">
    <w:p w:rsidR="00C10D68" w:rsidRPr="00F9455F" w:rsidRDefault="00C10D68" w:rsidP="00C10D68">
      <w:pPr>
        <w:pStyle w:val="FootnoteText"/>
      </w:pPr>
      <w:r w:rsidRPr="00F9455F">
        <w:rPr>
          <w:rStyle w:val="FootnoteReference"/>
        </w:rPr>
        <w:footnoteRef/>
      </w:r>
      <w:r w:rsidRPr="00F9455F">
        <w:t xml:space="preserve"> </w:t>
      </w:r>
      <w:r>
        <w:rPr>
          <w:i/>
        </w:rPr>
        <w:t>I</w:t>
      </w:r>
      <w:r w:rsidRPr="00F9455F">
        <w:rPr>
          <w:i/>
        </w:rPr>
        <w:t>d</w:t>
      </w:r>
      <w:r>
        <w:rPr>
          <w:i/>
        </w:rPr>
        <w:t>.</w:t>
      </w:r>
      <w:r>
        <w:t xml:space="preserve"> </w:t>
      </w:r>
      <w:r w:rsidRPr="00F9455F">
        <w:t>at 6233, 6239 ¶¶ 267, 283.</w:t>
      </w:r>
    </w:p>
  </w:footnote>
  <w:footnote w:id="170">
    <w:p w:rsidR="00C10D68" w:rsidRPr="00F9455F" w:rsidRDefault="00C10D68" w:rsidP="00C10D68">
      <w:pPr>
        <w:pStyle w:val="FootnoteText"/>
      </w:pPr>
      <w:r w:rsidRPr="00F9455F">
        <w:rPr>
          <w:rStyle w:val="FootnoteReference"/>
        </w:rPr>
        <w:footnoteRef/>
      </w:r>
      <w:r w:rsidRPr="00F9455F">
        <w:t xml:space="preserve"> </w:t>
      </w:r>
      <w:r>
        <w:rPr>
          <w:i/>
        </w:rPr>
        <w:t>Id.</w:t>
      </w:r>
      <w:r>
        <w:t xml:space="preserve"> at 6240 ¶¶ </w:t>
      </w:r>
      <w:r w:rsidR="00ED5C6F">
        <w:t>286-</w:t>
      </w:r>
      <w:r w:rsidRPr="00F9455F">
        <w:t>87.</w:t>
      </w:r>
    </w:p>
  </w:footnote>
  <w:footnote w:id="171">
    <w:p w:rsidR="00C10D68" w:rsidRDefault="00C10D68" w:rsidP="00C10D68">
      <w:pPr>
        <w:pStyle w:val="FootnoteText"/>
      </w:pPr>
      <w:r w:rsidRPr="00F9455F">
        <w:rPr>
          <w:rStyle w:val="FootnoteReference"/>
        </w:rPr>
        <w:footnoteRef/>
      </w:r>
      <w:r w:rsidRPr="00F9455F">
        <w:t xml:space="preserve"> </w:t>
      </w:r>
      <w:r>
        <w:rPr>
          <w:i/>
        </w:rPr>
        <w:t>Id.</w:t>
      </w:r>
      <w:r>
        <w:t xml:space="preserve"> </w:t>
      </w:r>
      <w:r w:rsidRPr="00F9455F">
        <w:t>at 6275-76</w:t>
      </w:r>
      <w:r>
        <w:t xml:space="preserve"> </w:t>
      </w:r>
      <w:r w:rsidRPr="00701AC8">
        <w:t>(Dissenting St</w:t>
      </w:r>
      <w:r>
        <w:t>atement of Commissioner Michael O’Rielly)</w:t>
      </w:r>
      <w:r w:rsidRPr="00F9455F">
        <w:t>.</w:t>
      </w:r>
      <w:r w:rsidRPr="0008044E">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02" w:rsidRDefault="00155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C0" w:rsidRPr="006A5E52" w:rsidRDefault="00E257C0" w:rsidP="008A705B">
    <w:pPr>
      <w:pStyle w:val="Header"/>
    </w:pPr>
    <w:r>
      <w:tab/>
      <w:t>Federal Com</w:t>
    </w:r>
    <w:r w:rsidR="001B17D4">
      <w:t>munications Commission</w:t>
    </w:r>
    <w:r w:rsidR="001B17D4">
      <w:tab/>
      <w:t>FCC 15-53</w:t>
    </w:r>
  </w:p>
  <w:p w:rsidR="00E257C0" w:rsidRDefault="00E257C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D6BF70C" wp14:editId="51F1498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E257C0" w:rsidRDefault="00E257C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C0" w:rsidRDefault="00E257C0" w:rsidP="008A705B">
    <w:pPr>
      <w:pStyle w:val="Header"/>
    </w:pPr>
    <w:r>
      <w:tab/>
      <w:t>Federal Communications Commission</w:t>
    </w:r>
    <w:r>
      <w:tab/>
      <w:t xml:space="preserve">                        FCC </w:t>
    </w:r>
    <w:r w:rsidRPr="0046084C">
      <w:t>1</w:t>
    </w:r>
    <w:r>
      <w:t>5</w:t>
    </w:r>
    <w:r w:rsidRPr="0046084C">
      <w:t>-</w:t>
    </w:r>
    <w:r w:rsidR="001B17D4">
      <w:t>53</w:t>
    </w:r>
  </w:p>
  <w:p w:rsidR="00E257C0" w:rsidRPr="006A5E52" w:rsidRDefault="00E257C0" w:rsidP="008A705B">
    <w:pPr>
      <w:pStyle w:val="Header"/>
    </w:pPr>
    <w:r w:rsidRPr="006A5E52">
      <w:rPr>
        <w:noProof/>
        <w:snapToGrid/>
      </w:rPr>
      <mc:AlternateContent>
        <mc:Choice Requires="wps">
          <w:drawing>
            <wp:anchor distT="0" distB="0" distL="114300" distR="114300" simplePos="0" relativeHeight="251658240" behindDoc="1" locked="0" layoutInCell="0" allowOverlap="1" wp14:anchorId="3A1408C3" wp14:editId="2DA0F117">
              <wp:simplePos x="0" y="0"/>
              <wp:positionH relativeFrom="margin">
                <wp:posOffset>7620</wp:posOffset>
              </wp:positionH>
              <wp:positionV relativeFrom="paragraph">
                <wp:posOffset>21590</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7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BMWbbM2AAA&#10;AAUBAAAPAAAAZHJzL2Rvd25yZXYueG1sTI7BTsMwEETvSPyDtUhcEHXaAKEhToUQIDhS+IBNvE0C&#10;8Tqy3Tb8PcsJjk8zmnnVZnajOlCIg2cDy0UGirj1duDOwMf70+UtqJiQLY6eycA3RdjUpycVltYf&#10;+Y0O29QpGeFYooE+panUOrY9OYwLPxFLtvPBYRIMnbYBjzLuRr3KshvtcGB56HGih57ar+3eGdDr&#10;2BbPj58Xy+Sbl/a1CNjsCmPOz+b7O1CJ5vRXhl99UYdanBq/ZxvVKLySooH8CpSk67wQbgxc56Dr&#10;Sv+3r38AAAD//wMAUEsBAi0AFAAGAAgAAAAhALaDOJL+AAAA4QEAABMAAAAAAAAAAAAAAAAAAAAA&#10;AFtDb250ZW50X1R5cGVzXS54bWxQSwECLQAUAAYACAAAACEAOP0h/9YAAACUAQAACwAAAAAAAAAA&#10;AAAAAAAvAQAAX3JlbHMvLnJlbHNQSwECLQAUAAYACAAAACEAEFI4AekCAAAyBgAADgAAAAAAAAAA&#10;AAAAAAAuAgAAZHJzL2Uyb0RvYy54bWxQSwECLQAUAAYACAAAACEATFm2zNgAAAAFAQAADwAAAAAA&#10;AAAAAAAAAABDBQAAZHJzL2Rvd25yZXYueG1sUEsFBgAAAAAEAAQA8wAAAEgGA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FD38AD"/>
    <w:multiLevelType w:val="hybridMultilevel"/>
    <w:tmpl w:val="7DF80F78"/>
    <w:lvl w:ilvl="0" w:tplc="655AB8F4">
      <w:start w:val="285"/>
      <w:numFmt w:val="decimal"/>
      <w:lvlText w:val="%1."/>
      <w:lvlJc w:val="left"/>
      <w:pPr>
        <w:ind w:left="1020" w:hanging="3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574AE"/>
    <w:multiLevelType w:val="hybridMultilevel"/>
    <w:tmpl w:val="C9FA1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87A2ABA"/>
    <w:multiLevelType w:val="hybridMultilevel"/>
    <w:tmpl w:val="A71A408A"/>
    <w:lvl w:ilvl="0" w:tplc="0409000F">
      <w:start w:val="1"/>
      <w:numFmt w:val="decimal"/>
      <w:pStyle w:val="StyleParaNum"/>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8"/>
  </w:num>
  <w:num w:numId="8">
    <w:abstractNumId w:val="8"/>
    <w:lvlOverride w:ilvl="0">
      <w:startOverride w:val="1"/>
    </w:lvlOverride>
  </w:num>
  <w:num w:numId="9">
    <w:abstractNumId w:val="0"/>
  </w:num>
  <w:num w:numId="10">
    <w:abstractNumId w:val="8"/>
    <w:lvlOverride w:ilvl="0">
      <w:startOverride w:val="1"/>
    </w:lvlOverride>
  </w:num>
  <w:num w:numId="11">
    <w:abstractNumId w:val="8"/>
    <w:lvlOverride w:ilvl="0">
      <w:startOverride w:val="1"/>
    </w:lvlOverride>
  </w:num>
  <w:num w:numId="12">
    <w:abstractNumId w:val="9"/>
  </w:num>
  <w:num w:numId="13">
    <w:abstractNumId w:val="5"/>
  </w:num>
  <w:num w:numId="14">
    <w:abstractNumId w:val="8"/>
    <w:lvlOverride w:ilvl="0">
      <w:startOverride w:val="1"/>
    </w:lvlOverride>
  </w:num>
  <w:num w:numId="15">
    <w:abstractNumId w:val="8"/>
    <w:lvlOverride w:ilvl="0">
      <w:startOverride w:val="1"/>
    </w:lvlOverride>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3488"/>
    <w:rsid w:val="00004BAA"/>
    <w:rsid w:val="000067D0"/>
    <w:rsid w:val="000106E4"/>
    <w:rsid w:val="000113FB"/>
    <w:rsid w:val="00013A34"/>
    <w:rsid w:val="00014F1F"/>
    <w:rsid w:val="00015992"/>
    <w:rsid w:val="00017274"/>
    <w:rsid w:val="00020633"/>
    <w:rsid w:val="0002112F"/>
    <w:rsid w:val="000239C7"/>
    <w:rsid w:val="00024F6C"/>
    <w:rsid w:val="0002570D"/>
    <w:rsid w:val="00027E86"/>
    <w:rsid w:val="000322E6"/>
    <w:rsid w:val="0003338C"/>
    <w:rsid w:val="00033CE8"/>
    <w:rsid w:val="00036039"/>
    <w:rsid w:val="00037F90"/>
    <w:rsid w:val="0004071A"/>
    <w:rsid w:val="00044154"/>
    <w:rsid w:val="0004492D"/>
    <w:rsid w:val="000458B9"/>
    <w:rsid w:val="00045A84"/>
    <w:rsid w:val="00046358"/>
    <w:rsid w:val="000472C1"/>
    <w:rsid w:val="0004756D"/>
    <w:rsid w:val="000502BD"/>
    <w:rsid w:val="00051DAA"/>
    <w:rsid w:val="00052A2B"/>
    <w:rsid w:val="00054C88"/>
    <w:rsid w:val="000555AB"/>
    <w:rsid w:val="00055839"/>
    <w:rsid w:val="000575F8"/>
    <w:rsid w:val="00061EAE"/>
    <w:rsid w:val="0006242C"/>
    <w:rsid w:val="000633AC"/>
    <w:rsid w:val="00066321"/>
    <w:rsid w:val="00067106"/>
    <w:rsid w:val="00067E9E"/>
    <w:rsid w:val="00070A23"/>
    <w:rsid w:val="00070E3C"/>
    <w:rsid w:val="0007140F"/>
    <w:rsid w:val="00071C9E"/>
    <w:rsid w:val="000735F5"/>
    <w:rsid w:val="00075983"/>
    <w:rsid w:val="000802DB"/>
    <w:rsid w:val="00080D4E"/>
    <w:rsid w:val="000827C3"/>
    <w:rsid w:val="00083488"/>
    <w:rsid w:val="00085496"/>
    <w:rsid w:val="0008577F"/>
    <w:rsid w:val="000857AB"/>
    <w:rsid w:val="00085CF7"/>
    <w:rsid w:val="00085D64"/>
    <w:rsid w:val="00086E18"/>
    <w:rsid w:val="000875BF"/>
    <w:rsid w:val="00090925"/>
    <w:rsid w:val="00091CC5"/>
    <w:rsid w:val="000926D4"/>
    <w:rsid w:val="00092C53"/>
    <w:rsid w:val="0009424A"/>
    <w:rsid w:val="00095222"/>
    <w:rsid w:val="0009537F"/>
    <w:rsid w:val="00095EA1"/>
    <w:rsid w:val="00096D8C"/>
    <w:rsid w:val="000978B2"/>
    <w:rsid w:val="000A08FF"/>
    <w:rsid w:val="000A0E4E"/>
    <w:rsid w:val="000A1382"/>
    <w:rsid w:val="000A252E"/>
    <w:rsid w:val="000A3251"/>
    <w:rsid w:val="000A3ABF"/>
    <w:rsid w:val="000A4834"/>
    <w:rsid w:val="000A4E81"/>
    <w:rsid w:val="000A5612"/>
    <w:rsid w:val="000A5E73"/>
    <w:rsid w:val="000A665F"/>
    <w:rsid w:val="000A70E8"/>
    <w:rsid w:val="000A73C8"/>
    <w:rsid w:val="000B095A"/>
    <w:rsid w:val="000B1207"/>
    <w:rsid w:val="000B1B0B"/>
    <w:rsid w:val="000B2B8F"/>
    <w:rsid w:val="000B3DCA"/>
    <w:rsid w:val="000B509B"/>
    <w:rsid w:val="000B6ACD"/>
    <w:rsid w:val="000B730D"/>
    <w:rsid w:val="000C0042"/>
    <w:rsid w:val="000C034A"/>
    <w:rsid w:val="000C0AFD"/>
    <w:rsid w:val="000C0B65"/>
    <w:rsid w:val="000C0CB3"/>
    <w:rsid w:val="000C249D"/>
    <w:rsid w:val="000C319A"/>
    <w:rsid w:val="000C463F"/>
    <w:rsid w:val="000C4E47"/>
    <w:rsid w:val="000C6828"/>
    <w:rsid w:val="000C795A"/>
    <w:rsid w:val="000D0724"/>
    <w:rsid w:val="000D0823"/>
    <w:rsid w:val="000D0B39"/>
    <w:rsid w:val="000D1F73"/>
    <w:rsid w:val="000D2ADF"/>
    <w:rsid w:val="000D2B2C"/>
    <w:rsid w:val="000D43B0"/>
    <w:rsid w:val="000D46AD"/>
    <w:rsid w:val="000E05FE"/>
    <w:rsid w:val="000E0EF5"/>
    <w:rsid w:val="000E0FC6"/>
    <w:rsid w:val="000E1B4E"/>
    <w:rsid w:val="000E21B8"/>
    <w:rsid w:val="000E2788"/>
    <w:rsid w:val="000E3582"/>
    <w:rsid w:val="000E3797"/>
    <w:rsid w:val="000E3D42"/>
    <w:rsid w:val="000E4982"/>
    <w:rsid w:val="000E4CEF"/>
    <w:rsid w:val="000E4E4E"/>
    <w:rsid w:val="000E4E8A"/>
    <w:rsid w:val="000E505A"/>
    <w:rsid w:val="000E5148"/>
    <w:rsid w:val="000E58A2"/>
    <w:rsid w:val="000E5CE2"/>
    <w:rsid w:val="000E6EDB"/>
    <w:rsid w:val="000E70CC"/>
    <w:rsid w:val="000F1297"/>
    <w:rsid w:val="000F19C1"/>
    <w:rsid w:val="000F1C25"/>
    <w:rsid w:val="000F213E"/>
    <w:rsid w:val="000F2440"/>
    <w:rsid w:val="000F251F"/>
    <w:rsid w:val="000F3B49"/>
    <w:rsid w:val="000F5911"/>
    <w:rsid w:val="000F6FF2"/>
    <w:rsid w:val="000F71EA"/>
    <w:rsid w:val="0010018E"/>
    <w:rsid w:val="0010119E"/>
    <w:rsid w:val="001018F4"/>
    <w:rsid w:val="00101E5E"/>
    <w:rsid w:val="00102847"/>
    <w:rsid w:val="001040F7"/>
    <w:rsid w:val="0010421C"/>
    <w:rsid w:val="00104586"/>
    <w:rsid w:val="00106559"/>
    <w:rsid w:val="00113796"/>
    <w:rsid w:val="001137E3"/>
    <w:rsid w:val="00115278"/>
    <w:rsid w:val="00121895"/>
    <w:rsid w:val="00122BD5"/>
    <w:rsid w:val="001234B9"/>
    <w:rsid w:val="00123B9F"/>
    <w:rsid w:val="00123E79"/>
    <w:rsid w:val="00124D0D"/>
    <w:rsid w:val="0012559A"/>
    <w:rsid w:val="00126D57"/>
    <w:rsid w:val="001316F8"/>
    <w:rsid w:val="001329B8"/>
    <w:rsid w:val="00132ABD"/>
    <w:rsid w:val="00132ECB"/>
    <w:rsid w:val="001336DB"/>
    <w:rsid w:val="00133F79"/>
    <w:rsid w:val="00133F8F"/>
    <w:rsid w:val="0013479B"/>
    <w:rsid w:val="00134EB0"/>
    <w:rsid w:val="00136AA2"/>
    <w:rsid w:val="00136E3A"/>
    <w:rsid w:val="00140F2F"/>
    <w:rsid w:val="001412FE"/>
    <w:rsid w:val="00144593"/>
    <w:rsid w:val="00145088"/>
    <w:rsid w:val="001464F4"/>
    <w:rsid w:val="00147129"/>
    <w:rsid w:val="00147A02"/>
    <w:rsid w:val="00150B9A"/>
    <w:rsid w:val="00150BF0"/>
    <w:rsid w:val="0015153F"/>
    <w:rsid w:val="00152125"/>
    <w:rsid w:val="001543E6"/>
    <w:rsid w:val="00155502"/>
    <w:rsid w:val="0015657C"/>
    <w:rsid w:val="00156A85"/>
    <w:rsid w:val="00157F44"/>
    <w:rsid w:val="00162ADF"/>
    <w:rsid w:val="0016436B"/>
    <w:rsid w:val="001645D1"/>
    <w:rsid w:val="00165B23"/>
    <w:rsid w:val="001676B2"/>
    <w:rsid w:val="001676C3"/>
    <w:rsid w:val="00170203"/>
    <w:rsid w:val="00173541"/>
    <w:rsid w:val="001747CA"/>
    <w:rsid w:val="0017666D"/>
    <w:rsid w:val="001773D1"/>
    <w:rsid w:val="00180575"/>
    <w:rsid w:val="00180784"/>
    <w:rsid w:val="001807D6"/>
    <w:rsid w:val="00181051"/>
    <w:rsid w:val="00181193"/>
    <w:rsid w:val="00181398"/>
    <w:rsid w:val="0018256A"/>
    <w:rsid w:val="0018350B"/>
    <w:rsid w:val="00185945"/>
    <w:rsid w:val="00186691"/>
    <w:rsid w:val="00190D89"/>
    <w:rsid w:val="001932C4"/>
    <w:rsid w:val="00194A66"/>
    <w:rsid w:val="00194C51"/>
    <w:rsid w:val="00195B16"/>
    <w:rsid w:val="001969CC"/>
    <w:rsid w:val="00196A90"/>
    <w:rsid w:val="00196DBF"/>
    <w:rsid w:val="001A143E"/>
    <w:rsid w:val="001A18EA"/>
    <w:rsid w:val="001A19D5"/>
    <w:rsid w:val="001A4218"/>
    <w:rsid w:val="001A4C09"/>
    <w:rsid w:val="001A4FDC"/>
    <w:rsid w:val="001A57DA"/>
    <w:rsid w:val="001A5DC2"/>
    <w:rsid w:val="001A66E7"/>
    <w:rsid w:val="001B17D4"/>
    <w:rsid w:val="001B24F0"/>
    <w:rsid w:val="001B4956"/>
    <w:rsid w:val="001B571E"/>
    <w:rsid w:val="001B5DF3"/>
    <w:rsid w:val="001B6CAC"/>
    <w:rsid w:val="001B7123"/>
    <w:rsid w:val="001C14AF"/>
    <w:rsid w:val="001C328D"/>
    <w:rsid w:val="001C5877"/>
    <w:rsid w:val="001D0B9E"/>
    <w:rsid w:val="001D0FFA"/>
    <w:rsid w:val="001D1B27"/>
    <w:rsid w:val="001D1FE6"/>
    <w:rsid w:val="001D420E"/>
    <w:rsid w:val="001D4A7D"/>
    <w:rsid w:val="001D5B2C"/>
    <w:rsid w:val="001D5E8E"/>
    <w:rsid w:val="001D6BCF"/>
    <w:rsid w:val="001E0187"/>
    <w:rsid w:val="001E01CA"/>
    <w:rsid w:val="001E18BB"/>
    <w:rsid w:val="001E2824"/>
    <w:rsid w:val="001E3AB8"/>
    <w:rsid w:val="001E3DB0"/>
    <w:rsid w:val="001E3E32"/>
    <w:rsid w:val="001E5A46"/>
    <w:rsid w:val="001E640E"/>
    <w:rsid w:val="001F0339"/>
    <w:rsid w:val="001F1E75"/>
    <w:rsid w:val="001F23C8"/>
    <w:rsid w:val="001F48BA"/>
    <w:rsid w:val="001F510C"/>
    <w:rsid w:val="001F518B"/>
    <w:rsid w:val="001F6A0C"/>
    <w:rsid w:val="001F6D8A"/>
    <w:rsid w:val="001F6E1C"/>
    <w:rsid w:val="002023EB"/>
    <w:rsid w:val="00202AA6"/>
    <w:rsid w:val="00203105"/>
    <w:rsid w:val="0020379B"/>
    <w:rsid w:val="00204DD0"/>
    <w:rsid w:val="00210705"/>
    <w:rsid w:val="0021162F"/>
    <w:rsid w:val="00211F27"/>
    <w:rsid w:val="002124D0"/>
    <w:rsid w:val="0021267C"/>
    <w:rsid w:val="002130E9"/>
    <w:rsid w:val="0021569C"/>
    <w:rsid w:val="00215D9D"/>
    <w:rsid w:val="002177C3"/>
    <w:rsid w:val="00217ABD"/>
    <w:rsid w:val="00220725"/>
    <w:rsid w:val="002207F3"/>
    <w:rsid w:val="00221D91"/>
    <w:rsid w:val="00221EC5"/>
    <w:rsid w:val="002230C8"/>
    <w:rsid w:val="00224B6F"/>
    <w:rsid w:val="0022557C"/>
    <w:rsid w:val="00225D21"/>
    <w:rsid w:val="0023058C"/>
    <w:rsid w:val="00230958"/>
    <w:rsid w:val="002321B6"/>
    <w:rsid w:val="002323C0"/>
    <w:rsid w:val="0023332C"/>
    <w:rsid w:val="00234711"/>
    <w:rsid w:val="00235D9B"/>
    <w:rsid w:val="00235EDF"/>
    <w:rsid w:val="00237625"/>
    <w:rsid w:val="00240012"/>
    <w:rsid w:val="00241608"/>
    <w:rsid w:val="00241CB6"/>
    <w:rsid w:val="00242B3B"/>
    <w:rsid w:val="00242D1A"/>
    <w:rsid w:val="002438CA"/>
    <w:rsid w:val="00245626"/>
    <w:rsid w:val="00245983"/>
    <w:rsid w:val="00246834"/>
    <w:rsid w:val="00246DD8"/>
    <w:rsid w:val="002475A2"/>
    <w:rsid w:val="00247C39"/>
    <w:rsid w:val="002500F1"/>
    <w:rsid w:val="00251960"/>
    <w:rsid w:val="002525B8"/>
    <w:rsid w:val="002526A6"/>
    <w:rsid w:val="00252E89"/>
    <w:rsid w:val="00253806"/>
    <w:rsid w:val="00254348"/>
    <w:rsid w:val="00254B62"/>
    <w:rsid w:val="00254D78"/>
    <w:rsid w:val="0025597D"/>
    <w:rsid w:val="00256B47"/>
    <w:rsid w:val="00260671"/>
    <w:rsid w:val="00264061"/>
    <w:rsid w:val="00267775"/>
    <w:rsid w:val="0027122E"/>
    <w:rsid w:val="00272FF3"/>
    <w:rsid w:val="00275CF5"/>
    <w:rsid w:val="00276A55"/>
    <w:rsid w:val="0028301F"/>
    <w:rsid w:val="002833E8"/>
    <w:rsid w:val="00283B16"/>
    <w:rsid w:val="00285017"/>
    <w:rsid w:val="00294149"/>
    <w:rsid w:val="00295032"/>
    <w:rsid w:val="002958B6"/>
    <w:rsid w:val="00295D62"/>
    <w:rsid w:val="00296082"/>
    <w:rsid w:val="00297C9F"/>
    <w:rsid w:val="002A139A"/>
    <w:rsid w:val="002A1A9D"/>
    <w:rsid w:val="002A1C42"/>
    <w:rsid w:val="002A23C7"/>
    <w:rsid w:val="002A29A7"/>
    <w:rsid w:val="002A2D2E"/>
    <w:rsid w:val="002A45BE"/>
    <w:rsid w:val="002A4647"/>
    <w:rsid w:val="002A4AB1"/>
    <w:rsid w:val="002A4E34"/>
    <w:rsid w:val="002A7477"/>
    <w:rsid w:val="002A79A4"/>
    <w:rsid w:val="002B15F3"/>
    <w:rsid w:val="002B1E0C"/>
    <w:rsid w:val="002B2B58"/>
    <w:rsid w:val="002B30CD"/>
    <w:rsid w:val="002B59CB"/>
    <w:rsid w:val="002B6278"/>
    <w:rsid w:val="002C00E8"/>
    <w:rsid w:val="002C18C8"/>
    <w:rsid w:val="002C2303"/>
    <w:rsid w:val="002C24ED"/>
    <w:rsid w:val="002C3140"/>
    <w:rsid w:val="002C33E3"/>
    <w:rsid w:val="002C3A26"/>
    <w:rsid w:val="002C5E9D"/>
    <w:rsid w:val="002C7BA9"/>
    <w:rsid w:val="002D12E0"/>
    <w:rsid w:val="002D429D"/>
    <w:rsid w:val="002D70E2"/>
    <w:rsid w:val="002D734C"/>
    <w:rsid w:val="002E0CCC"/>
    <w:rsid w:val="002E12DC"/>
    <w:rsid w:val="002E1CDE"/>
    <w:rsid w:val="002E23C1"/>
    <w:rsid w:val="002E289F"/>
    <w:rsid w:val="002E35FF"/>
    <w:rsid w:val="002E38E5"/>
    <w:rsid w:val="002E5C0C"/>
    <w:rsid w:val="002F07CC"/>
    <w:rsid w:val="002F0DC2"/>
    <w:rsid w:val="002F133A"/>
    <w:rsid w:val="002F1D56"/>
    <w:rsid w:val="002F276D"/>
    <w:rsid w:val="002F4F12"/>
    <w:rsid w:val="002F5116"/>
    <w:rsid w:val="002F57E9"/>
    <w:rsid w:val="002F7DBB"/>
    <w:rsid w:val="00300AFD"/>
    <w:rsid w:val="00301906"/>
    <w:rsid w:val="00303910"/>
    <w:rsid w:val="00304618"/>
    <w:rsid w:val="00304AA7"/>
    <w:rsid w:val="00305A7F"/>
    <w:rsid w:val="00306422"/>
    <w:rsid w:val="003068D8"/>
    <w:rsid w:val="00306F2C"/>
    <w:rsid w:val="00307FDE"/>
    <w:rsid w:val="00310B62"/>
    <w:rsid w:val="0031107B"/>
    <w:rsid w:val="003139A5"/>
    <w:rsid w:val="00320CD4"/>
    <w:rsid w:val="00322F61"/>
    <w:rsid w:val="0032379D"/>
    <w:rsid w:val="00324B59"/>
    <w:rsid w:val="0032574B"/>
    <w:rsid w:val="00326297"/>
    <w:rsid w:val="0032649E"/>
    <w:rsid w:val="003269C7"/>
    <w:rsid w:val="00326B26"/>
    <w:rsid w:val="00330121"/>
    <w:rsid w:val="0033016D"/>
    <w:rsid w:val="00330CA5"/>
    <w:rsid w:val="00331249"/>
    <w:rsid w:val="00332D3B"/>
    <w:rsid w:val="00333562"/>
    <w:rsid w:val="00333B77"/>
    <w:rsid w:val="00334325"/>
    <w:rsid w:val="00334D5E"/>
    <w:rsid w:val="00334FB1"/>
    <w:rsid w:val="00335AFD"/>
    <w:rsid w:val="0034066A"/>
    <w:rsid w:val="003414C3"/>
    <w:rsid w:val="003419E0"/>
    <w:rsid w:val="00342896"/>
    <w:rsid w:val="00342984"/>
    <w:rsid w:val="00342A45"/>
    <w:rsid w:val="00343316"/>
    <w:rsid w:val="00343749"/>
    <w:rsid w:val="003506E0"/>
    <w:rsid w:val="00350C24"/>
    <w:rsid w:val="00351AF4"/>
    <w:rsid w:val="00351EED"/>
    <w:rsid w:val="00355008"/>
    <w:rsid w:val="0035554C"/>
    <w:rsid w:val="00355BD1"/>
    <w:rsid w:val="00356951"/>
    <w:rsid w:val="003602B6"/>
    <w:rsid w:val="00360E9C"/>
    <w:rsid w:val="00361749"/>
    <w:rsid w:val="00361ABF"/>
    <w:rsid w:val="00361E14"/>
    <w:rsid w:val="00364A1F"/>
    <w:rsid w:val="00365C49"/>
    <w:rsid w:val="00366093"/>
    <w:rsid w:val="003660ED"/>
    <w:rsid w:val="00366F3E"/>
    <w:rsid w:val="00367216"/>
    <w:rsid w:val="003714A0"/>
    <w:rsid w:val="00372C20"/>
    <w:rsid w:val="00373E11"/>
    <w:rsid w:val="00374DCD"/>
    <w:rsid w:val="00375A5A"/>
    <w:rsid w:val="00375BF9"/>
    <w:rsid w:val="00377C8C"/>
    <w:rsid w:val="00380541"/>
    <w:rsid w:val="0038409B"/>
    <w:rsid w:val="00384EB6"/>
    <w:rsid w:val="00386012"/>
    <w:rsid w:val="00386588"/>
    <w:rsid w:val="003867A4"/>
    <w:rsid w:val="00386CE4"/>
    <w:rsid w:val="00386CED"/>
    <w:rsid w:val="00387F0B"/>
    <w:rsid w:val="003906E6"/>
    <w:rsid w:val="00390922"/>
    <w:rsid w:val="00393916"/>
    <w:rsid w:val="00393F49"/>
    <w:rsid w:val="0039456A"/>
    <w:rsid w:val="0039460A"/>
    <w:rsid w:val="0039617A"/>
    <w:rsid w:val="00396B77"/>
    <w:rsid w:val="00396CDC"/>
    <w:rsid w:val="003A0A13"/>
    <w:rsid w:val="003A0A67"/>
    <w:rsid w:val="003A16BF"/>
    <w:rsid w:val="003A2598"/>
    <w:rsid w:val="003A53DF"/>
    <w:rsid w:val="003A5779"/>
    <w:rsid w:val="003A6AD8"/>
    <w:rsid w:val="003A7391"/>
    <w:rsid w:val="003B0550"/>
    <w:rsid w:val="003B1C70"/>
    <w:rsid w:val="003B1C7E"/>
    <w:rsid w:val="003B1F13"/>
    <w:rsid w:val="003B33EE"/>
    <w:rsid w:val="003B42F7"/>
    <w:rsid w:val="003B589D"/>
    <w:rsid w:val="003B694F"/>
    <w:rsid w:val="003B7297"/>
    <w:rsid w:val="003B7A01"/>
    <w:rsid w:val="003C0D02"/>
    <w:rsid w:val="003C126F"/>
    <w:rsid w:val="003C62A9"/>
    <w:rsid w:val="003C69C1"/>
    <w:rsid w:val="003C6AC6"/>
    <w:rsid w:val="003C6E20"/>
    <w:rsid w:val="003C78AB"/>
    <w:rsid w:val="003C7C3A"/>
    <w:rsid w:val="003D08E1"/>
    <w:rsid w:val="003D3258"/>
    <w:rsid w:val="003D4B96"/>
    <w:rsid w:val="003E0356"/>
    <w:rsid w:val="003E10F3"/>
    <w:rsid w:val="003E2018"/>
    <w:rsid w:val="003E213E"/>
    <w:rsid w:val="003E3342"/>
    <w:rsid w:val="003E3453"/>
    <w:rsid w:val="003E3B18"/>
    <w:rsid w:val="003E7503"/>
    <w:rsid w:val="003E7F43"/>
    <w:rsid w:val="003F171C"/>
    <w:rsid w:val="003F1C73"/>
    <w:rsid w:val="003F1FFA"/>
    <w:rsid w:val="003F35DB"/>
    <w:rsid w:val="003F3CBF"/>
    <w:rsid w:val="003F6BD7"/>
    <w:rsid w:val="004002F8"/>
    <w:rsid w:val="00400360"/>
    <w:rsid w:val="00400EA7"/>
    <w:rsid w:val="00401F8C"/>
    <w:rsid w:val="00403257"/>
    <w:rsid w:val="00404F31"/>
    <w:rsid w:val="00407D88"/>
    <w:rsid w:val="00411283"/>
    <w:rsid w:val="00411C20"/>
    <w:rsid w:val="004120A9"/>
    <w:rsid w:val="00412975"/>
    <w:rsid w:val="00412FC5"/>
    <w:rsid w:val="0041323D"/>
    <w:rsid w:val="00415466"/>
    <w:rsid w:val="0041698A"/>
    <w:rsid w:val="004170F3"/>
    <w:rsid w:val="004205B3"/>
    <w:rsid w:val="00422276"/>
    <w:rsid w:val="0042328E"/>
    <w:rsid w:val="00423511"/>
    <w:rsid w:val="0042377C"/>
    <w:rsid w:val="004242F1"/>
    <w:rsid w:val="00424B14"/>
    <w:rsid w:val="00424DF0"/>
    <w:rsid w:val="00425F03"/>
    <w:rsid w:val="004273D2"/>
    <w:rsid w:val="004306B2"/>
    <w:rsid w:val="00430864"/>
    <w:rsid w:val="00430D70"/>
    <w:rsid w:val="004321F1"/>
    <w:rsid w:val="00432F94"/>
    <w:rsid w:val="00433615"/>
    <w:rsid w:val="004342CE"/>
    <w:rsid w:val="00435A1C"/>
    <w:rsid w:val="00435A70"/>
    <w:rsid w:val="0043694D"/>
    <w:rsid w:val="0043716A"/>
    <w:rsid w:val="00440069"/>
    <w:rsid w:val="004409F2"/>
    <w:rsid w:val="00440A84"/>
    <w:rsid w:val="00442B3D"/>
    <w:rsid w:val="00444BBC"/>
    <w:rsid w:val="004459CB"/>
    <w:rsid w:val="00445A00"/>
    <w:rsid w:val="00445BB7"/>
    <w:rsid w:val="0044696D"/>
    <w:rsid w:val="00447919"/>
    <w:rsid w:val="00447B28"/>
    <w:rsid w:val="0045013A"/>
    <w:rsid w:val="0045013D"/>
    <w:rsid w:val="004504E6"/>
    <w:rsid w:val="00451035"/>
    <w:rsid w:val="00451B0F"/>
    <w:rsid w:val="004535D0"/>
    <w:rsid w:val="0045552D"/>
    <w:rsid w:val="00456500"/>
    <w:rsid w:val="00460911"/>
    <w:rsid w:val="00461769"/>
    <w:rsid w:val="00463FFC"/>
    <w:rsid w:val="0046466C"/>
    <w:rsid w:val="0046580C"/>
    <w:rsid w:val="00466B76"/>
    <w:rsid w:val="004678FE"/>
    <w:rsid w:val="0047135F"/>
    <w:rsid w:val="0047142D"/>
    <w:rsid w:val="00471C42"/>
    <w:rsid w:val="00471CE3"/>
    <w:rsid w:val="00473457"/>
    <w:rsid w:val="004734F9"/>
    <w:rsid w:val="00473FF8"/>
    <w:rsid w:val="00474B06"/>
    <w:rsid w:val="00476D7E"/>
    <w:rsid w:val="00480C52"/>
    <w:rsid w:val="00482100"/>
    <w:rsid w:val="00482D12"/>
    <w:rsid w:val="0048365D"/>
    <w:rsid w:val="004838B9"/>
    <w:rsid w:val="00484FC9"/>
    <w:rsid w:val="00486CC5"/>
    <w:rsid w:val="00487E9C"/>
    <w:rsid w:val="00490178"/>
    <w:rsid w:val="00490812"/>
    <w:rsid w:val="00493DDF"/>
    <w:rsid w:val="004955B3"/>
    <w:rsid w:val="00496241"/>
    <w:rsid w:val="00497A73"/>
    <w:rsid w:val="004A0496"/>
    <w:rsid w:val="004A0847"/>
    <w:rsid w:val="004A0C17"/>
    <w:rsid w:val="004A1560"/>
    <w:rsid w:val="004A4AF4"/>
    <w:rsid w:val="004A4D09"/>
    <w:rsid w:val="004A649F"/>
    <w:rsid w:val="004A6BCD"/>
    <w:rsid w:val="004A7139"/>
    <w:rsid w:val="004B04CA"/>
    <w:rsid w:val="004B0C65"/>
    <w:rsid w:val="004B2044"/>
    <w:rsid w:val="004B38FF"/>
    <w:rsid w:val="004B3F8B"/>
    <w:rsid w:val="004B4AB4"/>
    <w:rsid w:val="004C1152"/>
    <w:rsid w:val="004C1411"/>
    <w:rsid w:val="004C1861"/>
    <w:rsid w:val="004C2EE3"/>
    <w:rsid w:val="004C6875"/>
    <w:rsid w:val="004C6B0B"/>
    <w:rsid w:val="004C6B98"/>
    <w:rsid w:val="004D0459"/>
    <w:rsid w:val="004D05ED"/>
    <w:rsid w:val="004D1D45"/>
    <w:rsid w:val="004D38D3"/>
    <w:rsid w:val="004D3C3C"/>
    <w:rsid w:val="004D4BE5"/>
    <w:rsid w:val="004D5916"/>
    <w:rsid w:val="004D5EFC"/>
    <w:rsid w:val="004D71B2"/>
    <w:rsid w:val="004E040B"/>
    <w:rsid w:val="004E1212"/>
    <w:rsid w:val="004E181A"/>
    <w:rsid w:val="004E1881"/>
    <w:rsid w:val="004E2CC2"/>
    <w:rsid w:val="004E3057"/>
    <w:rsid w:val="004E4201"/>
    <w:rsid w:val="004E4A22"/>
    <w:rsid w:val="004E645E"/>
    <w:rsid w:val="004E7AEC"/>
    <w:rsid w:val="004F06D7"/>
    <w:rsid w:val="004F192D"/>
    <w:rsid w:val="004F19FF"/>
    <w:rsid w:val="004F1CE3"/>
    <w:rsid w:val="004F290E"/>
    <w:rsid w:val="004F2D5A"/>
    <w:rsid w:val="004F3770"/>
    <w:rsid w:val="004F3E87"/>
    <w:rsid w:val="004F4D40"/>
    <w:rsid w:val="004F751C"/>
    <w:rsid w:val="004F761A"/>
    <w:rsid w:val="004F7C55"/>
    <w:rsid w:val="004F7D91"/>
    <w:rsid w:val="00500BCF"/>
    <w:rsid w:val="00502386"/>
    <w:rsid w:val="005032EB"/>
    <w:rsid w:val="00503819"/>
    <w:rsid w:val="00503BA3"/>
    <w:rsid w:val="0050406A"/>
    <w:rsid w:val="0050549D"/>
    <w:rsid w:val="00505927"/>
    <w:rsid w:val="005109DD"/>
    <w:rsid w:val="0051119E"/>
    <w:rsid w:val="00511968"/>
    <w:rsid w:val="00512481"/>
    <w:rsid w:val="00512EE8"/>
    <w:rsid w:val="00512F7E"/>
    <w:rsid w:val="00514527"/>
    <w:rsid w:val="00514F6E"/>
    <w:rsid w:val="0051507A"/>
    <w:rsid w:val="00516162"/>
    <w:rsid w:val="005208DA"/>
    <w:rsid w:val="0052567A"/>
    <w:rsid w:val="00525883"/>
    <w:rsid w:val="005261CA"/>
    <w:rsid w:val="0052691B"/>
    <w:rsid w:val="00526FB1"/>
    <w:rsid w:val="00527361"/>
    <w:rsid w:val="005273C7"/>
    <w:rsid w:val="00527635"/>
    <w:rsid w:val="00532127"/>
    <w:rsid w:val="00534607"/>
    <w:rsid w:val="00534F11"/>
    <w:rsid w:val="00535296"/>
    <w:rsid w:val="00536A1B"/>
    <w:rsid w:val="00540FD7"/>
    <w:rsid w:val="00541D94"/>
    <w:rsid w:val="00542230"/>
    <w:rsid w:val="005428EC"/>
    <w:rsid w:val="00547356"/>
    <w:rsid w:val="005502AC"/>
    <w:rsid w:val="005504DB"/>
    <w:rsid w:val="00550E72"/>
    <w:rsid w:val="005518CF"/>
    <w:rsid w:val="00551F83"/>
    <w:rsid w:val="0055293D"/>
    <w:rsid w:val="00555201"/>
    <w:rsid w:val="00555C0B"/>
    <w:rsid w:val="0055614C"/>
    <w:rsid w:val="005565FA"/>
    <w:rsid w:val="00556CE3"/>
    <w:rsid w:val="00556F9D"/>
    <w:rsid w:val="005606D5"/>
    <w:rsid w:val="00561A37"/>
    <w:rsid w:val="00562085"/>
    <w:rsid w:val="0056302B"/>
    <w:rsid w:val="005644B3"/>
    <w:rsid w:val="005647FE"/>
    <w:rsid w:val="0056483F"/>
    <w:rsid w:val="00566EEA"/>
    <w:rsid w:val="00566F4B"/>
    <w:rsid w:val="00567A16"/>
    <w:rsid w:val="00567AC5"/>
    <w:rsid w:val="0057071F"/>
    <w:rsid w:val="00570F3D"/>
    <w:rsid w:val="00571CBE"/>
    <w:rsid w:val="00572DFA"/>
    <w:rsid w:val="005737D4"/>
    <w:rsid w:val="0057433F"/>
    <w:rsid w:val="00574690"/>
    <w:rsid w:val="00574AA9"/>
    <w:rsid w:val="00576E1F"/>
    <w:rsid w:val="005773CF"/>
    <w:rsid w:val="00580875"/>
    <w:rsid w:val="005818C2"/>
    <w:rsid w:val="00581DF3"/>
    <w:rsid w:val="00584779"/>
    <w:rsid w:val="00584DF2"/>
    <w:rsid w:val="005859B4"/>
    <w:rsid w:val="005873CD"/>
    <w:rsid w:val="00592341"/>
    <w:rsid w:val="00592B69"/>
    <w:rsid w:val="00593FD7"/>
    <w:rsid w:val="00594671"/>
    <w:rsid w:val="00594BBD"/>
    <w:rsid w:val="0059627E"/>
    <w:rsid w:val="00597122"/>
    <w:rsid w:val="00597F4A"/>
    <w:rsid w:val="005A08AB"/>
    <w:rsid w:val="005A22AF"/>
    <w:rsid w:val="005A2A11"/>
    <w:rsid w:val="005A2A65"/>
    <w:rsid w:val="005A493E"/>
    <w:rsid w:val="005A5A88"/>
    <w:rsid w:val="005B33E3"/>
    <w:rsid w:val="005B5066"/>
    <w:rsid w:val="005B52C3"/>
    <w:rsid w:val="005B63D5"/>
    <w:rsid w:val="005B73E7"/>
    <w:rsid w:val="005C1885"/>
    <w:rsid w:val="005C2117"/>
    <w:rsid w:val="005C2C8F"/>
    <w:rsid w:val="005C2F5D"/>
    <w:rsid w:val="005C59E2"/>
    <w:rsid w:val="005C76C7"/>
    <w:rsid w:val="005D024D"/>
    <w:rsid w:val="005D446B"/>
    <w:rsid w:val="005D45DE"/>
    <w:rsid w:val="005D610A"/>
    <w:rsid w:val="005D6118"/>
    <w:rsid w:val="005D623E"/>
    <w:rsid w:val="005D6BB7"/>
    <w:rsid w:val="005D6FED"/>
    <w:rsid w:val="005E0854"/>
    <w:rsid w:val="005E0BE1"/>
    <w:rsid w:val="005E14C2"/>
    <w:rsid w:val="005E2040"/>
    <w:rsid w:val="005E3769"/>
    <w:rsid w:val="005E4085"/>
    <w:rsid w:val="005E7942"/>
    <w:rsid w:val="005E7D28"/>
    <w:rsid w:val="005F04D0"/>
    <w:rsid w:val="005F072E"/>
    <w:rsid w:val="005F0FAF"/>
    <w:rsid w:val="005F0FD3"/>
    <w:rsid w:val="005F26B6"/>
    <w:rsid w:val="005F4D86"/>
    <w:rsid w:val="005F5406"/>
    <w:rsid w:val="005F73B3"/>
    <w:rsid w:val="005F7866"/>
    <w:rsid w:val="005F7ECA"/>
    <w:rsid w:val="006002D0"/>
    <w:rsid w:val="00601EAA"/>
    <w:rsid w:val="006045FF"/>
    <w:rsid w:val="006047F3"/>
    <w:rsid w:val="00604EA5"/>
    <w:rsid w:val="00607167"/>
    <w:rsid w:val="006073D3"/>
    <w:rsid w:val="006079AF"/>
    <w:rsid w:val="00607BA5"/>
    <w:rsid w:val="00610521"/>
    <w:rsid w:val="00610C29"/>
    <w:rsid w:val="0061180A"/>
    <w:rsid w:val="00611CED"/>
    <w:rsid w:val="00612F1B"/>
    <w:rsid w:val="00613627"/>
    <w:rsid w:val="00615F2E"/>
    <w:rsid w:val="006162FA"/>
    <w:rsid w:val="00616F50"/>
    <w:rsid w:val="006173C7"/>
    <w:rsid w:val="00617DB3"/>
    <w:rsid w:val="00617ECD"/>
    <w:rsid w:val="00621C16"/>
    <w:rsid w:val="0062247B"/>
    <w:rsid w:val="00622740"/>
    <w:rsid w:val="00623585"/>
    <w:rsid w:val="00623E2F"/>
    <w:rsid w:val="00625F95"/>
    <w:rsid w:val="00626EB6"/>
    <w:rsid w:val="0062794D"/>
    <w:rsid w:val="00627974"/>
    <w:rsid w:val="006340E0"/>
    <w:rsid w:val="0063484C"/>
    <w:rsid w:val="00634B25"/>
    <w:rsid w:val="0063675C"/>
    <w:rsid w:val="006411F2"/>
    <w:rsid w:val="00642A3F"/>
    <w:rsid w:val="006449DC"/>
    <w:rsid w:val="00646378"/>
    <w:rsid w:val="006479F7"/>
    <w:rsid w:val="00652473"/>
    <w:rsid w:val="00652850"/>
    <w:rsid w:val="00653D11"/>
    <w:rsid w:val="006552D7"/>
    <w:rsid w:val="00655D03"/>
    <w:rsid w:val="006566F5"/>
    <w:rsid w:val="00661221"/>
    <w:rsid w:val="00661461"/>
    <w:rsid w:val="006618B5"/>
    <w:rsid w:val="00661DB2"/>
    <w:rsid w:val="00663AFB"/>
    <w:rsid w:val="00664312"/>
    <w:rsid w:val="006650D9"/>
    <w:rsid w:val="00666987"/>
    <w:rsid w:val="00666C21"/>
    <w:rsid w:val="0067288B"/>
    <w:rsid w:val="0067499C"/>
    <w:rsid w:val="00674F3E"/>
    <w:rsid w:val="00674F82"/>
    <w:rsid w:val="006766C4"/>
    <w:rsid w:val="00676C68"/>
    <w:rsid w:val="00676D13"/>
    <w:rsid w:val="006800AA"/>
    <w:rsid w:val="00680D16"/>
    <w:rsid w:val="006812E6"/>
    <w:rsid w:val="00681943"/>
    <w:rsid w:val="00682A17"/>
    <w:rsid w:val="006831D7"/>
    <w:rsid w:val="00683388"/>
    <w:rsid w:val="00683F84"/>
    <w:rsid w:val="006841B3"/>
    <w:rsid w:val="006849D6"/>
    <w:rsid w:val="00684D7B"/>
    <w:rsid w:val="006851AA"/>
    <w:rsid w:val="00685EA5"/>
    <w:rsid w:val="00687043"/>
    <w:rsid w:val="00687B84"/>
    <w:rsid w:val="006902FB"/>
    <w:rsid w:val="006916DC"/>
    <w:rsid w:val="006926F2"/>
    <w:rsid w:val="00692BE9"/>
    <w:rsid w:val="006946E6"/>
    <w:rsid w:val="00695177"/>
    <w:rsid w:val="0069544C"/>
    <w:rsid w:val="00696C24"/>
    <w:rsid w:val="00697190"/>
    <w:rsid w:val="00697D2F"/>
    <w:rsid w:val="00697DA9"/>
    <w:rsid w:val="006A1769"/>
    <w:rsid w:val="006A2591"/>
    <w:rsid w:val="006A3CB1"/>
    <w:rsid w:val="006A53BA"/>
    <w:rsid w:val="006A55B4"/>
    <w:rsid w:val="006A5E52"/>
    <w:rsid w:val="006A65CF"/>
    <w:rsid w:val="006A6A81"/>
    <w:rsid w:val="006A6D92"/>
    <w:rsid w:val="006A6FD7"/>
    <w:rsid w:val="006A788D"/>
    <w:rsid w:val="006A7A68"/>
    <w:rsid w:val="006A7D2F"/>
    <w:rsid w:val="006B02F3"/>
    <w:rsid w:val="006B1D76"/>
    <w:rsid w:val="006B30BE"/>
    <w:rsid w:val="006B3D26"/>
    <w:rsid w:val="006B463D"/>
    <w:rsid w:val="006B723C"/>
    <w:rsid w:val="006C0669"/>
    <w:rsid w:val="006C1D46"/>
    <w:rsid w:val="006C29BB"/>
    <w:rsid w:val="006C3743"/>
    <w:rsid w:val="006D2ED7"/>
    <w:rsid w:val="006D4B9B"/>
    <w:rsid w:val="006D4FC3"/>
    <w:rsid w:val="006D557E"/>
    <w:rsid w:val="006D5590"/>
    <w:rsid w:val="006D5D4F"/>
    <w:rsid w:val="006E099D"/>
    <w:rsid w:val="006E0EE2"/>
    <w:rsid w:val="006E12E6"/>
    <w:rsid w:val="006E3EA0"/>
    <w:rsid w:val="006E650F"/>
    <w:rsid w:val="006E6623"/>
    <w:rsid w:val="006E6DEB"/>
    <w:rsid w:val="006F2AB5"/>
    <w:rsid w:val="006F3004"/>
    <w:rsid w:val="006F426E"/>
    <w:rsid w:val="006F447F"/>
    <w:rsid w:val="006F48CA"/>
    <w:rsid w:val="006F53FB"/>
    <w:rsid w:val="006F5E16"/>
    <w:rsid w:val="006F7393"/>
    <w:rsid w:val="0070044D"/>
    <w:rsid w:val="007010D6"/>
    <w:rsid w:val="00701CB5"/>
    <w:rsid w:val="0070224F"/>
    <w:rsid w:val="0070255F"/>
    <w:rsid w:val="00702866"/>
    <w:rsid w:val="00710961"/>
    <w:rsid w:val="007115F7"/>
    <w:rsid w:val="00711807"/>
    <w:rsid w:val="007147E6"/>
    <w:rsid w:val="00714A1F"/>
    <w:rsid w:val="00715456"/>
    <w:rsid w:val="00715C22"/>
    <w:rsid w:val="007162D8"/>
    <w:rsid w:val="00720A6E"/>
    <w:rsid w:val="00721C60"/>
    <w:rsid w:val="00724D1D"/>
    <w:rsid w:val="007257CA"/>
    <w:rsid w:val="00727654"/>
    <w:rsid w:val="007277C5"/>
    <w:rsid w:val="00727839"/>
    <w:rsid w:val="00727B8C"/>
    <w:rsid w:val="00730062"/>
    <w:rsid w:val="0073018A"/>
    <w:rsid w:val="00730500"/>
    <w:rsid w:val="007311B7"/>
    <w:rsid w:val="00731678"/>
    <w:rsid w:val="00733172"/>
    <w:rsid w:val="00733336"/>
    <w:rsid w:val="00733AC9"/>
    <w:rsid w:val="00733D85"/>
    <w:rsid w:val="00734683"/>
    <w:rsid w:val="00735EEA"/>
    <w:rsid w:val="0073647B"/>
    <w:rsid w:val="00737A5E"/>
    <w:rsid w:val="00737C4A"/>
    <w:rsid w:val="00741538"/>
    <w:rsid w:val="00741AB9"/>
    <w:rsid w:val="007447BB"/>
    <w:rsid w:val="00744BA1"/>
    <w:rsid w:val="00744C5D"/>
    <w:rsid w:val="00746409"/>
    <w:rsid w:val="00747741"/>
    <w:rsid w:val="00751FE5"/>
    <w:rsid w:val="00752B18"/>
    <w:rsid w:val="00754667"/>
    <w:rsid w:val="00754905"/>
    <w:rsid w:val="007565E1"/>
    <w:rsid w:val="007566CE"/>
    <w:rsid w:val="00756B5C"/>
    <w:rsid w:val="00756BF4"/>
    <w:rsid w:val="007573B9"/>
    <w:rsid w:val="007574B8"/>
    <w:rsid w:val="00762ABB"/>
    <w:rsid w:val="00763006"/>
    <w:rsid w:val="00763988"/>
    <w:rsid w:val="00765A2E"/>
    <w:rsid w:val="0077020B"/>
    <w:rsid w:val="00770690"/>
    <w:rsid w:val="00770D61"/>
    <w:rsid w:val="00770F6D"/>
    <w:rsid w:val="0077107A"/>
    <w:rsid w:val="00771126"/>
    <w:rsid w:val="0077161D"/>
    <w:rsid w:val="007725D5"/>
    <w:rsid w:val="007738EF"/>
    <w:rsid w:val="00774DC8"/>
    <w:rsid w:val="007753DB"/>
    <w:rsid w:val="0077676D"/>
    <w:rsid w:val="00776FA2"/>
    <w:rsid w:val="00777890"/>
    <w:rsid w:val="00782ABB"/>
    <w:rsid w:val="007852BB"/>
    <w:rsid w:val="00785689"/>
    <w:rsid w:val="0078643C"/>
    <w:rsid w:val="00787E62"/>
    <w:rsid w:val="00790233"/>
    <w:rsid w:val="00792A6B"/>
    <w:rsid w:val="00794535"/>
    <w:rsid w:val="00796534"/>
    <w:rsid w:val="00797386"/>
    <w:rsid w:val="0079754B"/>
    <w:rsid w:val="00797BE7"/>
    <w:rsid w:val="00797C84"/>
    <w:rsid w:val="00797DA2"/>
    <w:rsid w:val="007A05F7"/>
    <w:rsid w:val="007A099C"/>
    <w:rsid w:val="007A1E6D"/>
    <w:rsid w:val="007A4ED5"/>
    <w:rsid w:val="007A54DA"/>
    <w:rsid w:val="007A5852"/>
    <w:rsid w:val="007A6401"/>
    <w:rsid w:val="007A7BFE"/>
    <w:rsid w:val="007B013D"/>
    <w:rsid w:val="007B052D"/>
    <w:rsid w:val="007B0EB2"/>
    <w:rsid w:val="007B11C2"/>
    <w:rsid w:val="007B1E69"/>
    <w:rsid w:val="007B2130"/>
    <w:rsid w:val="007B3078"/>
    <w:rsid w:val="007B4C43"/>
    <w:rsid w:val="007B626C"/>
    <w:rsid w:val="007C1555"/>
    <w:rsid w:val="007C1C91"/>
    <w:rsid w:val="007C1CB9"/>
    <w:rsid w:val="007C1FD2"/>
    <w:rsid w:val="007C28FE"/>
    <w:rsid w:val="007C7356"/>
    <w:rsid w:val="007D101E"/>
    <w:rsid w:val="007D1C67"/>
    <w:rsid w:val="007D25B7"/>
    <w:rsid w:val="007D2F6B"/>
    <w:rsid w:val="007D37BE"/>
    <w:rsid w:val="007D41E2"/>
    <w:rsid w:val="007D4C22"/>
    <w:rsid w:val="007D7DD1"/>
    <w:rsid w:val="007E00C3"/>
    <w:rsid w:val="007E0DD3"/>
    <w:rsid w:val="007E1D27"/>
    <w:rsid w:val="007E36F2"/>
    <w:rsid w:val="007E5071"/>
    <w:rsid w:val="007E5928"/>
    <w:rsid w:val="007E6352"/>
    <w:rsid w:val="007E69C5"/>
    <w:rsid w:val="007F0558"/>
    <w:rsid w:val="007F2689"/>
    <w:rsid w:val="007F376A"/>
    <w:rsid w:val="007F4235"/>
    <w:rsid w:val="007F4795"/>
    <w:rsid w:val="007F5AB6"/>
    <w:rsid w:val="007F60E9"/>
    <w:rsid w:val="007F664C"/>
    <w:rsid w:val="00800217"/>
    <w:rsid w:val="00805384"/>
    <w:rsid w:val="008102C0"/>
    <w:rsid w:val="00810860"/>
    <w:rsid w:val="00810B6F"/>
    <w:rsid w:val="0081112A"/>
    <w:rsid w:val="0081144C"/>
    <w:rsid w:val="0081414A"/>
    <w:rsid w:val="0081473C"/>
    <w:rsid w:val="008149AF"/>
    <w:rsid w:val="008154DF"/>
    <w:rsid w:val="00815515"/>
    <w:rsid w:val="00816AA4"/>
    <w:rsid w:val="00816FF3"/>
    <w:rsid w:val="00820018"/>
    <w:rsid w:val="00820A63"/>
    <w:rsid w:val="008215E0"/>
    <w:rsid w:val="00822C93"/>
    <w:rsid w:val="00822CE0"/>
    <w:rsid w:val="00823299"/>
    <w:rsid w:val="0082351E"/>
    <w:rsid w:val="00823A98"/>
    <w:rsid w:val="00823EE1"/>
    <w:rsid w:val="00823F9C"/>
    <w:rsid w:val="00824562"/>
    <w:rsid w:val="00824BE7"/>
    <w:rsid w:val="00826ABF"/>
    <w:rsid w:val="00827C06"/>
    <w:rsid w:val="0083053B"/>
    <w:rsid w:val="008309BC"/>
    <w:rsid w:val="008312E7"/>
    <w:rsid w:val="008330FA"/>
    <w:rsid w:val="008361D9"/>
    <w:rsid w:val="0083736D"/>
    <w:rsid w:val="008406A4"/>
    <w:rsid w:val="00841893"/>
    <w:rsid w:val="00841AB1"/>
    <w:rsid w:val="00841FB8"/>
    <w:rsid w:val="00842675"/>
    <w:rsid w:val="00843336"/>
    <w:rsid w:val="0084595F"/>
    <w:rsid w:val="00847D37"/>
    <w:rsid w:val="008510F5"/>
    <w:rsid w:val="00851947"/>
    <w:rsid w:val="00853BFB"/>
    <w:rsid w:val="0085438A"/>
    <w:rsid w:val="008563D8"/>
    <w:rsid w:val="00856F52"/>
    <w:rsid w:val="00860718"/>
    <w:rsid w:val="00860F10"/>
    <w:rsid w:val="00861039"/>
    <w:rsid w:val="00862D63"/>
    <w:rsid w:val="00863262"/>
    <w:rsid w:val="008632C4"/>
    <w:rsid w:val="008649FB"/>
    <w:rsid w:val="0086528D"/>
    <w:rsid w:val="008654B5"/>
    <w:rsid w:val="0086552C"/>
    <w:rsid w:val="008659AA"/>
    <w:rsid w:val="00865FBF"/>
    <w:rsid w:val="00865FE8"/>
    <w:rsid w:val="008660CB"/>
    <w:rsid w:val="00867C22"/>
    <w:rsid w:val="00867E20"/>
    <w:rsid w:val="0087102F"/>
    <w:rsid w:val="00873287"/>
    <w:rsid w:val="0087344B"/>
    <w:rsid w:val="00873B51"/>
    <w:rsid w:val="00873F28"/>
    <w:rsid w:val="00874328"/>
    <w:rsid w:val="0087627D"/>
    <w:rsid w:val="008766B3"/>
    <w:rsid w:val="00880A04"/>
    <w:rsid w:val="0088118E"/>
    <w:rsid w:val="00882398"/>
    <w:rsid w:val="00882F6B"/>
    <w:rsid w:val="00883FFD"/>
    <w:rsid w:val="00884382"/>
    <w:rsid w:val="00885364"/>
    <w:rsid w:val="008906B3"/>
    <w:rsid w:val="008908C5"/>
    <w:rsid w:val="00890E70"/>
    <w:rsid w:val="0089189B"/>
    <w:rsid w:val="00891B7C"/>
    <w:rsid w:val="00894349"/>
    <w:rsid w:val="008945E9"/>
    <w:rsid w:val="008A1130"/>
    <w:rsid w:val="008A1378"/>
    <w:rsid w:val="008A14BB"/>
    <w:rsid w:val="008A17D0"/>
    <w:rsid w:val="008A5780"/>
    <w:rsid w:val="008A5C08"/>
    <w:rsid w:val="008A662E"/>
    <w:rsid w:val="008A705B"/>
    <w:rsid w:val="008B2BBC"/>
    <w:rsid w:val="008B2DB7"/>
    <w:rsid w:val="008B3158"/>
    <w:rsid w:val="008B3162"/>
    <w:rsid w:val="008B34EB"/>
    <w:rsid w:val="008B39BB"/>
    <w:rsid w:val="008B425A"/>
    <w:rsid w:val="008B50AE"/>
    <w:rsid w:val="008B5A53"/>
    <w:rsid w:val="008B5C51"/>
    <w:rsid w:val="008B6B64"/>
    <w:rsid w:val="008C0D39"/>
    <w:rsid w:val="008C3250"/>
    <w:rsid w:val="008C5B00"/>
    <w:rsid w:val="008C68F1"/>
    <w:rsid w:val="008D060F"/>
    <w:rsid w:val="008D0E43"/>
    <w:rsid w:val="008D1927"/>
    <w:rsid w:val="008D2551"/>
    <w:rsid w:val="008D5BAE"/>
    <w:rsid w:val="008D6624"/>
    <w:rsid w:val="008D73F4"/>
    <w:rsid w:val="008D7A97"/>
    <w:rsid w:val="008D7F82"/>
    <w:rsid w:val="008E10DB"/>
    <w:rsid w:val="008E1E13"/>
    <w:rsid w:val="008E382A"/>
    <w:rsid w:val="008E3D6F"/>
    <w:rsid w:val="008E3FA9"/>
    <w:rsid w:val="008E5199"/>
    <w:rsid w:val="008E7C4B"/>
    <w:rsid w:val="008F0050"/>
    <w:rsid w:val="008F07AF"/>
    <w:rsid w:val="008F0851"/>
    <w:rsid w:val="008F141C"/>
    <w:rsid w:val="008F3FD8"/>
    <w:rsid w:val="008F4921"/>
    <w:rsid w:val="008F7C51"/>
    <w:rsid w:val="008F7E96"/>
    <w:rsid w:val="009022FD"/>
    <w:rsid w:val="00903109"/>
    <w:rsid w:val="00904F16"/>
    <w:rsid w:val="00906D08"/>
    <w:rsid w:val="00912465"/>
    <w:rsid w:val="00912BCE"/>
    <w:rsid w:val="009130EF"/>
    <w:rsid w:val="009148C4"/>
    <w:rsid w:val="00917D52"/>
    <w:rsid w:val="00917FDE"/>
    <w:rsid w:val="00920412"/>
    <w:rsid w:val="00920918"/>
    <w:rsid w:val="00921118"/>
    <w:rsid w:val="00921405"/>
    <w:rsid w:val="00921803"/>
    <w:rsid w:val="009221D4"/>
    <w:rsid w:val="00923C0D"/>
    <w:rsid w:val="00924D50"/>
    <w:rsid w:val="00926503"/>
    <w:rsid w:val="0092703C"/>
    <w:rsid w:val="00930518"/>
    <w:rsid w:val="00930783"/>
    <w:rsid w:val="00930A98"/>
    <w:rsid w:val="00930C61"/>
    <w:rsid w:val="00932064"/>
    <w:rsid w:val="00933F41"/>
    <w:rsid w:val="009357D0"/>
    <w:rsid w:val="00937E37"/>
    <w:rsid w:val="009409FD"/>
    <w:rsid w:val="00941649"/>
    <w:rsid w:val="0094174D"/>
    <w:rsid w:val="0094350C"/>
    <w:rsid w:val="00943661"/>
    <w:rsid w:val="00943F32"/>
    <w:rsid w:val="00944A27"/>
    <w:rsid w:val="00944C6B"/>
    <w:rsid w:val="0095077D"/>
    <w:rsid w:val="00950A9A"/>
    <w:rsid w:val="009511D5"/>
    <w:rsid w:val="00951B18"/>
    <w:rsid w:val="00955466"/>
    <w:rsid w:val="00957139"/>
    <w:rsid w:val="00957A6C"/>
    <w:rsid w:val="00957DD9"/>
    <w:rsid w:val="0096041C"/>
    <w:rsid w:val="0096052D"/>
    <w:rsid w:val="009623B0"/>
    <w:rsid w:val="009627AB"/>
    <w:rsid w:val="009631A3"/>
    <w:rsid w:val="00963A08"/>
    <w:rsid w:val="00963B2F"/>
    <w:rsid w:val="00963BE6"/>
    <w:rsid w:val="00964684"/>
    <w:rsid w:val="00964ABE"/>
    <w:rsid w:val="0096662F"/>
    <w:rsid w:val="009708C8"/>
    <w:rsid w:val="00970DEA"/>
    <w:rsid w:val="009726D8"/>
    <w:rsid w:val="00972B99"/>
    <w:rsid w:val="00973008"/>
    <w:rsid w:val="009741BD"/>
    <w:rsid w:val="00974664"/>
    <w:rsid w:val="009751DF"/>
    <w:rsid w:val="00975FF2"/>
    <w:rsid w:val="00976C3E"/>
    <w:rsid w:val="00984BC7"/>
    <w:rsid w:val="009861DF"/>
    <w:rsid w:val="00986BE3"/>
    <w:rsid w:val="009871D9"/>
    <w:rsid w:val="00990EF1"/>
    <w:rsid w:val="00991981"/>
    <w:rsid w:val="00991CB8"/>
    <w:rsid w:val="00991CE3"/>
    <w:rsid w:val="00992AEC"/>
    <w:rsid w:val="0099340B"/>
    <w:rsid w:val="00994C1B"/>
    <w:rsid w:val="00995703"/>
    <w:rsid w:val="00995B69"/>
    <w:rsid w:val="00997B32"/>
    <w:rsid w:val="00997CA7"/>
    <w:rsid w:val="009A0867"/>
    <w:rsid w:val="009A1D3D"/>
    <w:rsid w:val="009A2B12"/>
    <w:rsid w:val="009A7A9A"/>
    <w:rsid w:val="009B138A"/>
    <w:rsid w:val="009B1BD4"/>
    <w:rsid w:val="009B2511"/>
    <w:rsid w:val="009B34B4"/>
    <w:rsid w:val="009B3F06"/>
    <w:rsid w:val="009B4429"/>
    <w:rsid w:val="009B4ED6"/>
    <w:rsid w:val="009B69B0"/>
    <w:rsid w:val="009C7E9E"/>
    <w:rsid w:val="009D0006"/>
    <w:rsid w:val="009D05DB"/>
    <w:rsid w:val="009D3939"/>
    <w:rsid w:val="009D7E5D"/>
    <w:rsid w:val="009D7E7D"/>
    <w:rsid w:val="009E147B"/>
    <w:rsid w:val="009E1D3B"/>
    <w:rsid w:val="009E49AE"/>
    <w:rsid w:val="009E6AD3"/>
    <w:rsid w:val="009E716A"/>
    <w:rsid w:val="009F12BA"/>
    <w:rsid w:val="009F47A8"/>
    <w:rsid w:val="009F4979"/>
    <w:rsid w:val="009F5051"/>
    <w:rsid w:val="009F5104"/>
    <w:rsid w:val="009F5576"/>
    <w:rsid w:val="009F5D08"/>
    <w:rsid w:val="009F758D"/>
    <w:rsid w:val="009F76DB"/>
    <w:rsid w:val="009F7BEE"/>
    <w:rsid w:val="00A03ED0"/>
    <w:rsid w:val="00A0561F"/>
    <w:rsid w:val="00A07D0A"/>
    <w:rsid w:val="00A07EA3"/>
    <w:rsid w:val="00A1062B"/>
    <w:rsid w:val="00A107D1"/>
    <w:rsid w:val="00A10BF6"/>
    <w:rsid w:val="00A10F1A"/>
    <w:rsid w:val="00A1177C"/>
    <w:rsid w:val="00A12697"/>
    <w:rsid w:val="00A14361"/>
    <w:rsid w:val="00A16962"/>
    <w:rsid w:val="00A177C9"/>
    <w:rsid w:val="00A20D7E"/>
    <w:rsid w:val="00A2165C"/>
    <w:rsid w:val="00A21CE6"/>
    <w:rsid w:val="00A227FE"/>
    <w:rsid w:val="00A25678"/>
    <w:rsid w:val="00A25970"/>
    <w:rsid w:val="00A261E9"/>
    <w:rsid w:val="00A31293"/>
    <w:rsid w:val="00A31E28"/>
    <w:rsid w:val="00A32C3B"/>
    <w:rsid w:val="00A333BC"/>
    <w:rsid w:val="00A335A9"/>
    <w:rsid w:val="00A34435"/>
    <w:rsid w:val="00A3459B"/>
    <w:rsid w:val="00A34FDB"/>
    <w:rsid w:val="00A35F7F"/>
    <w:rsid w:val="00A370A9"/>
    <w:rsid w:val="00A370D7"/>
    <w:rsid w:val="00A40604"/>
    <w:rsid w:val="00A419F6"/>
    <w:rsid w:val="00A42838"/>
    <w:rsid w:val="00A4340D"/>
    <w:rsid w:val="00A43BF0"/>
    <w:rsid w:val="00A44141"/>
    <w:rsid w:val="00A45B3E"/>
    <w:rsid w:val="00A45E00"/>
    <w:rsid w:val="00A45F4F"/>
    <w:rsid w:val="00A501EC"/>
    <w:rsid w:val="00A5137D"/>
    <w:rsid w:val="00A54C24"/>
    <w:rsid w:val="00A54C96"/>
    <w:rsid w:val="00A55AB2"/>
    <w:rsid w:val="00A56469"/>
    <w:rsid w:val="00A577FE"/>
    <w:rsid w:val="00A600A9"/>
    <w:rsid w:val="00A6125C"/>
    <w:rsid w:val="00A61C80"/>
    <w:rsid w:val="00A64657"/>
    <w:rsid w:val="00A656BB"/>
    <w:rsid w:val="00A66E04"/>
    <w:rsid w:val="00A70B78"/>
    <w:rsid w:val="00A712F4"/>
    <w:rsid w:val="00A71B08"/>
    <w:rsid w:val="00A73E11"/>
    <w:rsid w:val="00A742D2"/>
    <w:rsid w:val="00A74EAD"/>
    <w:rsid w:val="00A7634C"/>
    <w:rsid w:val="00A771D5"/>
    <w:rsid w:val="00A777FB"/>
    <w:rsid w:val="00A77FF6"/>
    <w:rsid w:val="00A80291"/>
    <w:rsid w:val="00A8101B"/>
    <w:rsid w:val="00A81FF4"/>
    <w:rsid w:val="00A82C9D"/>
    <w:rsid w:val="00A83015"/>
    <w:rsid w:val="00A834E9"/>
    <w:rsid w:val="00A84CA4"/>
    <w:rsid w:val="00A8547F"/>
    <w:rsid w:val="00A85D08"/>
    <w:rsid w:val="00A8608F"/>
    <w:rsid w:val="00A87622"/>
    <w:rsid w:val="00A928C7"/>
    <w:rsid w:val="00A9373E"/>
    <w:rsid w:val="00A941E7"/>
    <w:rsid w:val="00A94971"/>
    <w:rsid w:val="00A97C43"/>
    <w:rsid w:val="00AA1339"/>
    <w:rsid w:val="00AA2FF4"/>
    <w:rsid w:val="00AA33B2"/>
    <w:rsid w:val="00AA3726"/>
    <w:rsid w:val="00AA4E49"/>
    <w:rsid w:val="00AA4FD4"/>
    <w:rsid w:val="00AA55B7"/>
    <w:rsid w:val="00AA5759"/>
    <w:rsid w:val="00AA5B9E"/>
    <w:rsid w:val="00AA5BF4"/>
    <w:rsid w:val="00AA62F1"/>
    <w:rsid w:val="00AA7682"/>
    <w:rsid w:val="00AA789A"/>
    <w:rsid w:val="00AA7C55"/>
    <w:rsid w:val="00AB0010"/>
    <w:rsid w:val="00AB1317"/>
    <w:rsid w:val="00AB22BF"/>
    <w:rsid w:val="00AB2407"/>
    <w:rsid w:val="00AB2A9B"/>
    <w:rsid w:val="00AB2F9D"/>
    <w:rsid w:val="00AB3120"/>
    <w:rsid w:val="00AB4E44"/>
    <w:rsid w:val="00AB5387"/>
    <w:rsid w:val="00AB53DF"/>
    <w:rsid w:val="00AC0670"/>
    <w:rsid w:val="00AC29C9"/>
    <w:rsid w:val="00AC2BCB"/>
    <w:rsid w:val="00AC2C5C"/>
    <w:rsid w:val="00AC5331"/>
    <w:rsid w:val="00AC5819"/>
    <w:rsid w:val="00AC620E"/>
    <w:rsid w:val="00AC648E"/>
    <w:rsid w:val="00AC7572"/>
    <w:rsid w:val="00AD09A3"/>
    <w:rsid w:val="00AD1C98"/>
    <w:rsid w:val="00AD3CB0"/>
    <w:rsid w:val="00AD62FF"/>
    <w:rsid w:val="00AD7011"/>
    <w:rsid w:val="00AD71A3"/>
    <w:rsid w:val="00AD74AF"/>
    <w:rsid w:val="00AE1495"/>
    <w:rsid w:val="00AE280C"/>
    <w:rsid w:val="00AE3783"/>
    <w:rsid w:val="00AE6679"/>
    <w:rsid w:val="00AE6A80"/>
    <w:rsid w:val="00AE6F5F"/>
    <w:rsid w:val="00AF0D82"/>
    <w:rsid w:val="00AF1C87"/>
    <w:rsid w:val="00AF21FB"/>
    <w:rsid w:val="00AF2F5F"/>
    <w:rsid w:val="00AF4192"/>
    <w:rsid w:val="00AF63AF"/>
    <w:rsid w:val="00AF646E"/>
    <w:rsid w:val="00AF650C"/>
    <w:rsid w:val="00AF7BBC"/>
    <w:rsid w:val="00AF7C79"/>
    <w:rsid w:val="00B004A4"/>
    <w:rsid w:val="00B02053"/>
    <w:rsid w:val="00B036F7"/>
    <w:rsid w:val="00B0386B"/>
    <w:rsid w:val="00B03CF4"/>
    <w:rsid w:val="00B0458B"/>
    <w:rsid w:val="00B047C9"/>
    <w:rsid w:val="00B06A25"/>
    <w:rsid w:val="00B07481"/>
    <w:rsid w:val="00B0753A"/>
    <w:rsid w:val="00B07E5C"/>
    <w:rsid w:val="00B10358"/>
    <w:rsid w:val="00B1080B"/>
    <w:rsid w:val="00B1133F"/>
    <w:rsid w:val="00B118D3"/>
    <w:rsid w:val="00B135C8"/>
    <w:rsid w:val="00B16756"/>
    <w:rsid w:val="00B1688C"/>
    <w:rsid w:val="00B17D9A"/>
    <w:rsid w:val="00B20F14"/>
    <w:rsid w:val="00B22EF2"/>
    <w:rsid w:val="00B263BE"/>
    <w:rsid w:val="00B26CE2"/>
    <w:rsid w:val="00B3105D"/>
    <w:rsid w:val="00B31236"/>
    <w:rsid w:val="00B330C3"/>
    <w:rsid w:val="00B34F65"/>
    <w:rsid w:val="00B3537C"/>
    <w:rsid w:val="00B36008"/>
    <w:rsid w:val="00B3664A"/>
    <w:rsid w:val="00B36794"/>
    <w:rsid w:val="00B37E80"/>
    <w:rsid w:val="00B411C2"/>
    <w:rsid w:val="00B4124C"/>
    <w:rsid w:val="00B42924"/>
    <w:rsid w:val="00B42F16"/>
    <w:rsid w:val="00B43FB6"/>
    <w:rsid w:val="00B45094"/>
    <w:rsid w:val="00B45100"/>
    <w:rsid w:val="00B45124"/>
    <w:rsid w:val="00B468B2"/>
    <w:rsid w:val="00B47551"/>
    <w:rsid w:val="00B478B6"/>
    <w:rsid w:val="00B47B9C"/>
    <w:rsid w:val="00B53E50"/>
    <w:rsid w:val="00B54C8B"/>
    <w:rsid w:val="00B55729"/>
    <w:rsid w:val="00B55A1B"/>
    <w:rsid w:val="00B56C5B"/>
    <w:rsid w:val="00B575C0"/>
    <w:rsid w:val="00B633D3"/>
    <w:rsid w:val="00B63D3D"/>
    <w:rsid w:val="00B64CA1"/>
    <w:rsid w:val="00B64EA1"/>
    <w:rsid w:val="00B66140"/>
    <w:rsid w:val="00B66EE1"/>
    <w:rsid w:val="00B66F56"/>
    <w:rsid w:val="00B70787"/>
    <w:rsid w:val="00B74F1F"/>
    <w:rsid w:val="00B7556C"/>
    <w:rsid w:val="00B765A6"/>
    <w:rsid w:val="00B8046B"/>
    <w:rsid w:val="00B8078F"/>
    <w:rsid w:val="00B809B3"/>
    <w:rsid w:val="00B811F7"/>
    <w:rsid w:val="00B819D1"/>
    <w:rsid w:val="00B82F77"/>
    <w:rsid w:val="00B833D6"/>
    <w:rsid w:val="00B834D4"/>
    <w:rsid w:val="00B83EDA"/>
    <w:rsid w:val="00B84AE2"/>
    <w:rsid w:val="00B860ED"/>
    <w:rsid w:val="00B90391"/>
    <w:rsid w:val="00B9133C"/>
    <w:rsid w:val="00B934BF"/>
    <w:rsid w:val="00B9359C"/>
    <w:rsid w:val="00B963B8"/>
    <w:rsid w:val="00B96495"/>
    <w:rsid w:val="00B964C2"/>
    <w:rsid w:val="00B972FF"/>
    <w:rsid w:val="00BA1A51"/>
    <w:rsid w:val="00BA1EE9"/>
    <w:rsid w:val="00BA3015"/>
    <w:rsid w:val="00BA398C"/>
    <w:rsid w:val="00BA39EA"/>
    <w:rsid w:val="00BA3E70"/>
    <w:rsid w:val="00BA443E"/>
    <w:rsid w:val="00BA495B"/>
    <w:rsid w:val="00BA4FDD"/>
    <w:rsid w:val="00BA5DC6"/>
    <w:rsid w:val="00BA6196"/>
    <w:rsid w:val="00BA6D73"/>
    <w:rsid w:val="00BA7F9F"/>
    <w:rsid w:val="00BB0AD3"/>
    <w:rsid w:val="00BB2F8C"/>
    <w:rsid w:val="00BB3731"/>
    <w:rsid w:val="00BB3DE0"/>
    <w:rsid w:val="00BB3E74"/>
    <w:rsid w:val="00BB6870"/>
    <w:rsid w:val="00BC0AE9"/>
    <w:rsid w:val="00BC5E55"/>
    <w:rsid w:val="00BC6935"/>
    <w:rsid w:val="00BC6D8C"/>
    <w:rsid w:val="00BC702F"/>
    <w:rsid w:val="00BD007F"/>
    <w:rsid w:val="00BD06C4"/>
    <w:rsid w:val="00BD11C4"/>
    <w:rsid w:val="00BD363A"/>
    <w:rsid w:val="00BD4CFD"/>
    <w:rsid w:val="00BD59A1"/>
    <w:rsid w:val="00BD5CFF"/>
    <w:rsid w:val="00BD6BE7"/>
    <w:rsid w:val="00BE0591"/>
    <w:rsid w:val="00BE070F"/>
    <w:rsid w:val="00BE107B"/>
    <w:rsid w:val="00BE110A"/>
    <w:rsid w:val="00BE20ED"/>
    <w:rsid w:val="00BE2BFB"/>
    <w:rsid w:val="00BE4282"/>
    <w:rsid w:val="00BE4330"/>
    <w:rsid w:val="00BE4D5D"/>
    <w:rsid w:val="00BE60F2"/>
    <w:rsid w:val="00BE66AD"/>
    <w:rsid w:val="00BE7616"/>
    <w:rsid w:val="00BF0710"/>
    <w:rsid w:val="00BF1694"/>
    <w:rsid w:val="00BF23C2"/>
    <w:rsid w:val="00BF3FAB"/>
    <w:rsid w:val="00BF4838"/>
    <w:rsid w:val="00BF5B16"/>
    <w:rsid w:val="00C000B4"/>
    <w:rsid w:val="00C02DEC"/>
    <w:rsid w:val="00C03AD1"/>
    <w:rsid w:val="00C066F8"/>
    <w:rsid w:val="00C073A7"/>
    <w:rsid w:val="00C078C1"/>
    <w:rsid w:val="00C10D68"/>
    <w:rsid w:val="00C10E1D"/>
    <w:rsid w:val="00C13869"/>
    <w:rsid w:val="00C13C6D"/>
    <w:rsid w:val="00C1483E"/>
    <w:rsid w:val="00C148F1"/>
    <w:rsid w:val="00C1654A"/>
    <w:rsid w:val="00C1663C"/>
    <w:rsid w:val="00C16C7D"/>
    <w:rsid w:val="00C17440"/>
    <w:rsid w:val="00C176A9"/>
    <w:rsid w:val="00C17F79"/>
    <w:rsid w:val="00C2001F"/>
    <w:rsid w:val="00C201B4"/>
    <w:rsid w:val="00C21B35"/>
    <w:rsid w:val="00C229AA"/>
    <w:rsid w:val="00C239E5"/>
    <w:rsid w:val="00C23AB0"/>
    <w:rsid w:val="00C25D16"/>
    <w:rsid w:val="00C307A8"/>
    <w:rsid w:val="00C3274F"/>
    <w:rsid w:val="00C3306B"/>
    <w:rsid w:val="00C3348D"/>
    <w:rsid w:val="00C34006"/>
    <w:rsid w:val="00C34512"/>
    <w:rsid w:val="00C3461F"/>
    <w:rsid w:val="00C34AAE"/>
    <w:rsid w:val="00C40C18"/>
    <w:rsid w:val="00C426B1"/>
    <w:rsid w:val="00C44913"/>
    <w:rsid w:val="00C44921"/>
    <w:rsid w:val="00C44CCC"/>
    <w:rsid w:val="00C45330"/>
    <w:rsid w:val="00C454F7"/>
    <w:rsid w:val="00C45B4C"/>
    <w:rsid w:val="00C46E07"/>
    <w:rsid w:val="00C47923"/>
    <w:rsid w:val="00C50752"/>
    <w:rsid w:val="00C52073"/>
    <w:rsid w:val="00C5295B"/>
    <w:rsid w:val="00C55C84"/>
    <w:rsid w:val="00C565D1"/>
    <w:rsid w:val="00C56DA0"/>
    <w:rsid w:val="00C61C51"/>
    <w:rsid w:val="00C61C85"/>
    <w:rsid w:val="00C632BC"/>
    <w:rsid w:val="00C63A32"/>
    <w:rsid w:val="00C651A4"/>
    <w:rsid w:val="00C66160"/>
    <w:rsid w:val="00C66A19"/>
    <w:rsid w:val="00C721AC"/>
    <w:rsid w:val="00C722EA"/>
    <w:rsid w:val="00C72FFF"/>
    <w:rsid w:val="00C73107"/>
    <w:rsid w:val="00C73253"/>
    <w:rsid w:val="00C77CA2"/>
    <w:rsid w:val="00C83944"/>
    <w:rsid w:val="00C8459F"/>
    <w:rsid w:val="00C84794"/>
    <w:rsid w:val="00C85F0B"/>
    <w:rsid w:val="00C86B1A"/>
    <w:rsid w:val="00C87329"/>
    <w:rsid w:val="00C90D6A"/>
    <w:rsid w:val="00C93262"/>
    <w:rsid w:val="00C93628"/>
    <w:rsid w:val="00C93DA1"/>
    <w:rsid w:val="00C94822"/>
    <w:rsid w:val="00C94C18"/>
    <w:rsid w:val="00C94F4E"/>
    <w:rsid w:val="00C95332"/>
    <w:rsid w:val="00C95597"/>
    <w:rsid w:val="00CA159D"/>
    <w:rsid w:val="00CA212C"/>
    <w:rsid w:val="00CA247E"/>
    <w:rsid w:val="00CA3964"/>
    <w:rsid w:val="00CA4C33"/>
    <w:rsid w:val="00CA618A"/>
    <w:rsid w:val="00CA6263"/>
    <w:rsid w:val="00CA6410"/>
    <w:rsid w:val="00CA65C2"/>
    <w:rsid w:val="00CA6AFE"/>
    <w:rsid w:val="00CA7D1A"/>
    <w:rsid w:val="00CB0958"/>
    <w:rsid w:val="00CB1471"/>
    <w:rsid w:val="00CB303F"/>
    <w:rsid w:val="00CB380D"/>
    <w:rsid w:val="00CB3BBB"/>
    <w:rsid w:val="00CB4D67"/>
    <w:rsid w:val="00CB5BA1"/>
    <w:rsid w:val="00CB620D"/>
    <w:rsid w:val="00CB7727"/>
    <w:rsid w:val="00CC0011"/>
    <w:rsid w:val="00CC072D"/>
    <w:rsid w:val="00CC0D86"/>
    <w:rsid w:val="00CC0DCD"/>
    <w:rsid w:val="00CC0FD0"/>
    <w:rsid w:val="00CC1744"/>
    <w:rsid w:val="00CC38B2"/>
    <w:rsid w:val="00CC5EB6"/>
    <w:rsid w:val="00CC657E"/>
    <w:rsid w:val="00CC6BC8"/>
    <w:rsid w:val="00CC70AE"/>
    <w:rsid w:val="00CC72B6"/>
    <w:rsid w:val="00CD0B79"/>
    <w:rsid w:val="00CD129C"/>
    <w:rsid w:val="00CD2360"/>
    <w:rsid w:val="00CD49DA"/>
    <w:rsid w:val="00CD6487"/>
    <w:rsid w:val="00CD64D1"/>
    <w:rsid w:val="00CE07BF"/>
    <w:rsid w:val="00CE114C"/>
    <w:rsid w:val="00CE1D08"/>
    <w:rsid w:val="00CE2070"/>
    <w:rsid w:val="00CE2535"/>
    <w:rsid w:val="00CE2726"/>
    <w:rsid w:val="00CE39AB"/>
    <w:rsid w:val="00CE44D7"/>
    <w:rsid w:val="00CE5E2F"/>
    <w:rsid w:val="00CE662D"/>
    <w:rsid w:val="00CE6B5F"/>
    <w:rsid w:val="00CE6EF7"/>
    <w:rsid w:val="00CF1134"/>
    <w:rsid w:val="00CF29FA"/>
    <w:rsid w:val="00CF4B17"/>
    <w:rsid w:val="00CF4C4A"/>
    <w:rsid w:val="00CF53E5"/>
    <w:rsid w:val="00D005DC"/>
    <w:rsid w:val="00D011BA"/>
    <w:rsid w:val="00D01BCA"/>
    <w:rsid w:val="00D0218D"/>
    <w:rsid w:val="00D02E15"/>
    <w:rsid w:val="00D03005"/>
    <w:rsid w:val="00D03440"/>
    <w:rsid w:val="00D0394E"/>
    <w:rsid w:val="00D06973"/>
    <w:rsid w:val="00D06D0D"/>
    <w:rsid w:val="00D07851"/>
    <w:rsid w:val="00D07E0F"/>
    <w:rsid w:val="00D11BCB"/>
    <w:rsid w:val="00D120F8"/>
    <w:rsid w:val="00D12668"/>
    <w:rsid w:val="00D13C72"/>
    <w:rsid w:val="00D15A88"/>
    <w:rsid w:val="00D16A8D"/>
    <w:rsid w:val="00D2036B"/>
    <w:rsid w:val="00D22E3B"/>
    <w:rsid w:val="00D23D97"/>
    <w:rsid w:val="00D248EF"/>
    <w:rsid w:val="00D24E06"/>
    <w:rsid w:val="00D25FB5"/>
    <w:rsid w:val="00D269E7"/>
    <w:rsid w:val="00D34006"/>
    <w:rsid w:val="00D35946"/>
    <w:rsid w:val="00D371A4"/>
    <w:rsid w:val="00D373C1"/>
    <w:rsid w:val="00D37BD6"/>
    <w:rsid w:val="00D37EBA"/>
    <w:rsid w:val="00D4000F"/>
    <w:rsid w:val="00D40E82"/>
    <w:rsid w:val="00D417A0"/>
    <w:rsid w:val="00D41C57"/>
    <w:rsid w:val="00D421D1"/>
    <w:rsid w:val="00D44223"/>
    <w:rsid w:val="00D5000A"/>
    <w:rsid w:val="00D51A01"/>
    <w:rsid w:val="00D565E4"/>
    <w:rsid w:val="00D56F32"/>
    <w:rsid w:val="00D60E29"/>
    <w:rsid w:val="00D61AD1"/>
    <w:rsid w:val="00D632D3"/>
    <w:rsid w:val="00D63A6C"/>
    <w:rsid w:val="00D63B4B"/>
    <w:rsid w:val="00D63F55"/>
    <w:rsid w:val="00D64461"/>
    <w:rsid w:val="00D64B4F"/>
    <w:rsid w:val="00D64CAA"/>
    <w:rsid w:val="00D64F64"/>
    <w:rsid w:val="00D65372"/>
    <w:rsid w:val="00D65D58"/>
    <w:rsid w:val="00D65E4C"/>
    <w:rsid w:val="00D70755"/>
    <w:rsid w:val="00D718CC"/>
    <w:rsid w:val="00D73EAD"/>
    <w:rsid w:val="00D7562C"/>
    <w:rsid w:val="00D77F59"/>
    <w:rsid w:val="00D811C2"/>
    <w:rsid w:val="00D81688"/>
    <w:rsid w:val="00D81C61"/>
    <w:rsid w:val="00D86196"/>
    <w:rsid w:val="00D877C5"/>
    <w:rsid w:val="00D87DF9"/>
    <w:rsid w:val="00D90A3E"/>
    <w:rsid w:val="00D90C91"/>
    <w:rsid w:val="00D92CA3"/>
    <w:rsid w:val="00D932D6"/>
    <w:rsid w:val="00D96D03"/>
    <w:rsid w:val="00D96D34"/>
    <w:rsid w:val="00D97728"/>
    <w:rsid w:val="00DA1A53"/>
    <w:rsid w:val="00DA2529"/>
    <w:rsid w:val="00DA3409"/>
    <w:rsid w:val="00DA39A0"/>
    <w:rsid w:val="00DA4F3D"/>
    <w:rsid w:val="00DA6A2A"/>
    <w:rsid w:val="00DB06DF"/>
    <w:rsid w:val="00DB130A"/>
    <w:rsid w:val="00DB1E00"/>
    <w:rsid w:val="00DB2EBB"/>
    <w:rsid w:val="00DB52CE"/>
    <w:rsid w:val="00DB56C6"/>
    <w:rsid w:val="00DB62DD"/>
    <w:rsid w:val="00DB65C8"/>
    <w:rsid w:val="00DB7784"/>
    <w:rsid w:val="00DB77AB"/>
    <w:rsid w:val="00DB7DEE"/>
    <w:rsid w:val="00DC10A1"/>
    <w:rsid w:val="00DC12FC"/>
    <w:rsid w:val="00DC18E7"/>
    <w:rsid w:val="00DC2CC0"/>
    <w:rsid w:val="00DC2D93"/>
    <w:rsid w:val="00DC538B"/>
    <w:rsid w:val="00DC574D"/>
    <w:rsid w:val="00DC5ACF"/>
    <w:rsid w:val="00DC625A"/>
    <w:rsid w:val="00DC655F"/>
    <w:rsid w:val="00DC7118"/>
    <w:rsid w:val="00DD066C"/>
    <w:rsid w:val="00DD0B59"/>
    <w:rsid w:val="00DD1814"/>
    <w:rsid w:val="00DD1FEC"/>
    <w:rsid w:val="00DD303C"/>
    <w:rsid w:val="00DD36BF"/>
    <w:rsid w:val="00DD48EF"/>
    <w:rsid w:val="00DD5D87"/>
    <w:rsid w:val="00DD6332"/>
    <w:rsid w:val="00DD66D7"/>
    <w:rsid w:val="00DD69E8"/>
    <w:rsid w:val="00DD70BA"/>
    <w:rsid w:val="00DD7EBD"/>
    <w:rsid w:val="00DE05B1"/>
    <w:rsid w:val="00DE1160"/>
    <w:rsid w:val="00DE1190"/>
    <w:rsid w:val="00DE2765"/>
    <w:rsid w:val="00DE47C0"/>
    <w:rsid w:val="00DE530E"/>
    <w:rsid w:val="00DE7CCC"/>
    <w:rsid w:val="00DF40EF"/>
    <w:rsid w:val="00DF5056"/>
    <w:rsid w:val="00DF62B6"/>
    <w:rsid w:val="00DF7B01"/>
    <w:rsid w:val="00DF7DBF"/>
    <w:rsid w:val="00DF7ED9"/>
    <w:rsid w:val="00E00A2E"/>
    <w:rsid w:val="00E0103F"/>
    <w:rsid w:val="00E03C14"/>
    <w:rsid w:val="00E04069"/>
    <w:rsid w:val="00E04355"/>
    <w:rsid w:val="00E05718"/>
    <w:rsid w:val="00E05A33"/>
    <w:rsid w:val="00E05F59"/>
    <w:rsid w:val="00E06316"/>
    <w:rsid w:val="00E07225"/>
    <w:rsid w:val="00E07737"/>
    <w:rsid w:val="00E105AA"/>
    <w:rsid w:val="00E129B5"/>
    <w:rsid w:val="00E1308B"/>
    <w:rsid w:val="00E13308"/>
    <w:rsid w:val="00E133A8"/>
    <w:rsid w:val="00E14B68"/>
    <w:rsid w:val="00E20615"/>
    <w:rsid w:val="00E2089E"/>
    <w:rsid w:val="00E213E4"/>
    <w:rsid w:val="00E220FB"/>
    <w:rsid w:val="00E242A1"/>
    <w:rsid w:val="00E24847"/>
    <w:rsid w:val="00E250D9"/>
    <w:rsid w:val="00E257C0"/>
    <w:rsid w:val="00E26274"/>
    <w:rsid w:val="00E27567"/>
    <w:rsid w:val="00E33193"/>
    <w:rsid w:val="00E33A44"/>
    <w:rsid w:val="00E33FB8"/>
    <w:rsid w:val="00E351E9"/>
    <w:rsid w:val="00E37DB6"/>
    <w:rsid w:val="00E4126F"/>
    <w:rsid w:val="00E41A96"/>
    <w:rsid w:val="00E43043"/>
    <w:rsid w:val="00E43620"/>
    <w:rsid w:val="00E43C60"/>
    <w:rsid w:val="00E4768C"/>
    <w:rsid w:val="00E51D46"/>
    <w:rsid w:val="00E51EE6"/>
    <w:rsid w:val="00E5409F"/>
    <w:rsid w:val="00E544A3"/>
    <w:rsid w:val="00E560FF"/>
    <w:rsid w:val="00E578F8"/>
    <w:rsid w:val="00E608EA"/>
    <w:rsid w:val="00E60969"/>
    <w:rsid w:val="00E63770"/>
    <w:rsid w:val="00E63F8B"/>
    <w:rsid w:val="00E65776"/>
    <w:rsid w:val="00E66560"/>
    <w:rsid w:val="00E67D13"/>
    <w:rsid w:val="00E70C88"/>
    <w:rsid w:val="00E70D7C"/>
    <w:rsid w:val="00E725DE"/>
    <w:rsid w:val="00E73C87"/>
    <w:rsid w:val="00E744C9"/>
    <w:rsid w:val="00E760B1"/>
    <w:rsid w:val="00E77AF8"/>
    <w:rsid w:val="00E80A23"/>
    <w:rsid w:val="00E80AE5"/>
    <w:rsid w:val="00E80B9A"/>
    <w:rsid w:val="00E80D72"/>
    <w:rsid w:val="00E81E5F"/>
    <w:rsid w:val="00E82706"/>
    <w:rsid w:val="00E82D72"/>
    <w:rsid w:val="00E83A9F"/>
    <w:rsid w:val="00E83EDF"/>
    <w:rsid w:val="00E85A50"/>
    <w:rsid w:val="00E865DB"/>
    <w:rsid w:val="00E91046"/>
    <w:rsid w:val="00E93B23"/>
    <w:rsid w:val="00E9574D"/>
    <w:rsid w:val="00EA3181"/>
    <w:rsid w:val="00EB034D"/>
    <w:rsid w:val="00EB22F1"/>
    <w:rsid w:val="00EB3A57"/>
    <w:rsid w:val="00EB461A"/>
    <w:rsid w:val="00EB50E2"/>
    <w:rsid w:val="00EB7442"/>
    <w:rsid w:val="00EB7D7A"/>
    <w:rsid w:val="00EC01B7"/>
    <w:rsid w:val="00EC185F"/>
    <w:rsid w:val="00EC2969"/>
    <w:rsid w:val="00EC2F6A"/>
    <w:rsid w:val="00EC5759"/>
    <w:rsid w:val="00EC65B5"/>
    <w:rsid w:val="00EC6C05"/>
    <w:rsid w:val="00EC6E86"/>
    <w:rsid w:val="00ED05F3"/>
    <w:rsid w:val="00ED0DEA"/>
    <w:rsid w:val="00ED2084"/>
    <w:rsid w:val="00ED2560"/>
    <w:rsid w:val="00ED2716"/>
    <w:rsid w:val="00ED2F8A"/>
    <w:rsid w:val="00ED3B23"/>
    <w:rsid w:val="00ED5A69"/>
    <w:rsid w:val="00ED5C6F"/>
    <w:rsid w:val="00ED6167"/>
    <w:rsid w:val="00ED7DF6"/>
    <w:rsid w:val="00EE32B0"/>
    <w:rsid w:val="00EE40A1"/>
    <w:rsid w:val="00EE5525"/>
    <w:rsid w:val="00EE6488"/>
    <w:rsid w:val="00EE7C60"/>
    <w:rsid w:val="00EF1507"/>
    <w:rsid w:val="00EF2300"/>
    <w:rsid w:val="00EF47B8"/>
    <w:rsid w:val="00EF53FB"/>
    <w:rsid w:val="00EF5A22"/>
    <w:rsid w:val="00EF7777"/>
    <w:rsid w:val="00F009A1"/>
    <w:rsid w:val="00F019AA"/>
    <w:rsid w:val="00F01F00"/>
    <w:rsid w:val="00F02058"/>
    <w:rsid w:val="00F020ED"/>
    <w:rsid w:val="00F021FA"/>
    <w:rsid w:val="00F02BA4"/>
    <w:rsid w:val="00F03153"/>
    <w:rsid w:val="00F048FC"/>
    <w:rsid w:val="00F04B50"/>
    <w:rsid w:val="00F06D28"/>
    <w:rsid w:val="00F1072D"/>
    <w:rsid w:val="00F128EB"/>
    <w:rsid w:val="00F135D6"/>
    <w:rsid w:val="00F1424E"/>
    <w:rsid w:val="00F14E2D"/>
    <w:rsid w:val="00F166D0"/>
    <w:rsid w:val="00F17D07"/>
    <w:rsid w:val="00F22283"/>
    <w:rsid w:val="00F225D5"/>
    <w:rsid w:val="00F23F60"/>
    <w:rsid w:val="00F24997"/>
    <w:rsid w:val="00F24A1F"/>
    <w:rsid w:val="00F26879"/>
    <w:rsid w:val="00F271C6"/>
    <w:rsid w:val="00F27D86"/>
    <w:rsid w:val="00F31252"/>
    <w:rsid w:val="00F31780"/>
    <w:rsid w:val="00F32367"/>
    <w:rsid w:val="00F3415D"/>
    <w:rsid w:val="00F346E1"/>
    <w:rsid w:val="00F34E84"/>
    <w:rsid w:val="00F35C54"/>
    <w:rsid w:val="00F36E71"/>
    <w:rsid w:val="00F374EE"/>
    <w:rsid w:val="00F37C62"/>
    <w:rsid w:val="00F37D35"/>
    <w:rsid w:val="00F41184"/>
    <w:rsid w:val="00F42823"/>
    <w:rsid w:val="00F43CE4"/>
    <w:rsid w:val="00F4413C"/>
    <w:rsid w:val="00F4470A"/>
    <w:rsid w:val="00F44D7E"/>
    <w:rsid w:val="00F47495"/>
    <w:rsid w:val="00F514A9"/>
    <w:rsid w:val="00F51ECB"/>
    <w:rsid w:val="00F5277E"/>
    <w:rsid w:val="00F5279C"/>
    <w:rsid w:val="00F52D11"/>
    <w:rsid w:val="00F5307C"/>
    <w:rsid w:val="00F53919"/>
    <w:rsid w:val="00F53AA5"/>
    <w:rsid w:val="00F552F5"/>
    <w:rsid w:val="00F55602"/>
    <w:rsid w:val="00F56C51"/>
    <w:rsid w:val="00F61311"/>
    <w:rsid w:val="00F6208C"/>
    <w:rsid w:val="00F626C4"/>
    <w:rsid w:val="00F62C0E"/>
    <w:rsid w:val="00F62E97"/>
    <w:rsid w:val="00F64209"/>
    <w:rsid w:val="00F64225"/>
    <w:rsid w:val="00F66030"/>
    <w:rsid w:val="00F706EB"/>
    <w:rsid w:val="00F70B27"/>
    <w:rsid w:val="00F7281C"/>
    <w:rsid w:val="00F73343"/>
    <w:rsid w:val="00F735AB"/>
    <w:rsid w:val="00F73613"/>
    <w:rsid w:val="00F74915"/>
    <w:rsid w:val="00F7629F"/>
    <w:rsid w:val="00F76F64"/>
    <w:rsid w:val="00F77A8F"/>
    <w:rsid w:val="00F81A2A"/>
    <w:rsid w:val="00F82023"/>
    <w:rsid w:val="00F82E69"/>
    <w:rsid w:val="00F858C6"/>
    <w:rsid w:val="00F85A3C"/>
    <w:rsid w:val="00F8677F"/>
    <w:rsid w:val="00F8753D"/>
    <w:rsid w:val="00F87D14"/>
    <w:rsid w:val="00F9060C"/>
    <w:rsid w:val="00F9090E"/>
    <w:rsid w:val="00F913CB"/>
    <w:rsid w:val="00F914EE"/>
    <w:rsid w:val="00F916DE"/>
    <w:rsid w:val="00F92BBD"/>
    <w:rsid w:val="00F93BF5"/>
    <w:rsid w:val="00F93E09"/>
    <w:rsid w:val="00F954E9"/>
    <w:rsid w:val="00F96FDA"/>
    <w:rsid w:val="00F970AB"/>
    <w:rsid w:val="00F973F4"/>
    <w:rsid w:val="00F974A8"/>
    <w:rsid w:val="00FA0B98"/>
    <w:rsid w:val="00FA3B3B"/>
    <w:rsid w:val="00FA46F4"/>
    <w:rsid w:val="00FA4BE3"/>
    <w:rsid w:val="00FA52F6"/>
    <w:rsid w:val="00FA6BB0"/>
    <w:rsid w:val="00FA6F04"/>
    <w:rsid w:val="00FA76A0"/>
    <w:rsid w:val="00FA7FF8"/>
    <w:rsid w:val="00FB02FC"/>
    <w:rsid w:val="00FB1DED"/>
    <w:rsid w:val="00FB25B0"/>
    <w:rsid w:val="00FB2B4D"/>
    <w:rsid w:val="00FB6145"/>
    <w:rsid w:val="00FB685A"/>
    <w:rsid w:val="00FB699B"/>
    <w:rsid w:val="00FC17B3"/>
    <w:rsid w:val="00FC18FA"/>
    <w:rsid w:val="00FC3412"/>
    <w:rsid w:val="00FC497F"/>
    <w:rsid w:val="00FC51E5"/>
    <w:rsid w:val="00FC66BE"/>
    <w:rsid w:val="00FC6A53"/>
    <w:rsid w:val="00FD0B12"/>
    <w:rsid w:val="00FD0F80"/>
    <w:rsid w:val="00FD1531"/>
    <w:rsid w:val="00FD41DC"/>
    <w:rsid w:val="00FD4CE2"/>
    <w:rsid w:val="00FD4EF8"/>
    <w:rsid w:val="00FD7D0A"/>
    <w:rsid w:val="00FE235E"/>
    <w:rsid w:val="00FE566C"/>
    <w:rsid w:val="00FE70DF"/>
    <w:rsid w:val="00FE7DC1"/>
    <w:rsid w:val="00FF0A63"/>
    <w:rsid w:val="00FF10F5"/>
    <w:rsid w:val="00FF1EEE"/>
    <w:rsid w:val="00FF2DA0"/>
    <w:rsid w:val="00FF2DFE"/>
    <w:rsid w:val="00FF5468"/>
    <w:rsid w:val="00FF7989"/>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5B8"/>
    <w:pPr>
      <w:widowControl w:val="0"/>
    </w:pPr>
    <w:rPr>
      <w:snapToGrid w:val="0"/>
      <w:kern w:val="28"/>
      <w:sz w:val="22"/>
    </w:rPr>
  </w:style>
  <w:style w:type="paragraph" w:styleId="Heading1">
    <w:name w:val="heading 1"/>
    <w:basedOn w:val="Normal"/>
    <w:next w:val="ParaNum"/>
    <w:link w:val="Heading1Char"/>
    <w:qFormat/>
    <w:rsid w:val="002525B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525B8"/>
    <w:pPr>
      <w:keepNext/>
      <w:numPr>
        <w:ilvl w:val="1"/>
        <w:numId w:val="3"/>
      </w:numPr>
      <w:spacing w:after="120"/>
      <w:outlineLvl w:val="1"/>
    </w:pPr>
    <w:rPr>
      <w:b/>
    </w:rPr>
  </w:style>
  <w:style w:type="paragraph" w:styleId="Heading3">
    <w:name w:val="heading 3"/>
    <w:basedOn w:val="Normal"/>
    <w:next w:val="ParaNum"/>
    <w:qFormat/>
    <w:rsid w:val="002525B8"/>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2525B8"/>
    <w:pPr>
      <w:keepNext/>
      <w:numPr>
        <w:ilvl w:val="3"/>
        <w:numId w:val="3"/>
      </w:numPr>
      <w:tabs>
        <w:tab w:val="left" w:pos="2880"/>
      </w:tabs>
      <w:spacing w:after="120"/>
      <w:outlineLvl w:val="3"/>
    </w:pPr>
    <w:rPr>
      <w:b/>
    </w:rPr>
  </w:style>
  <w:style w:type="paragraph" w:styleId="Heading5">
    <w:name w:val="heading 5"/>
    <w:basedOn w:val="Normal"/>
    <w:next w:val="ParaNum"/>
    <w:qFormat/>
    <w:rsid w:val="002525B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525B8"/>
    <w:pPr>
      <w:numPr>
        <w:ilvl w:val="5"/>
        <w:numId w:val="3"/>
      </w:numPr>
      <w:tabs>
        <w:tab w:val="left" w:pos="4320"/>
      </w:tabs>
      <w:spacing w:after="120"/>
      <w:outlineLvl w:val="5"/>
    </w:pPr>
    <w:rPr>
      <w:b/>
    </w:rPr>
  </w:style>
  <w:style w:type="paragraph" w:styleId="Heading7">
    <w:name w:val="heading 7"/>
    <w:basedOn w:val="Normal"/>
    <w:next w:val="ParaNum"/>
    <w:qFormat/>
    <w:rsid w:val="002525B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525B8"/>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2525B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525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25B8"/>
  </w:style>
  <w:style w:type="paragraph" w:customStyle="1" w:styleId="ParaNum">
    <w:name w:val="ParaNum"/>
    <w:basedOn w:val="Normal"/>
    <w:link w:val="ParaNumChar"/>
    <w:rsid w:val="002525B8"/>
    <w:pPr>
      <w:numPr>
        <w:numId w:val="2"/>
      </w:numPr>
      <w:tabs>
        <w:tab w:val="clear" w:pos="1080"/>
        <w:tab w:val="num" w:pos="1440"/>
      </w:tabs>
      <w:spacing w:after="120"/>
    </w:pPr>
  </w:style>
  <w:style w:type="paragraph" w:styleId="EndnoteText">
    <w:name w:val="endnote text"/>
    <w:basedOn w:val="Normal"/>
    <w:semiHidden/>
    <w:rsid w:val="002525B8"/>
    <w:rPr>
      <w:sz w:val="20"/>
    </w:rPr>
  </w:style>
  <w:style w:type="character" w:styleId="EndnoteReference">
    <w:name w:val="endnote reference"/>
    <w:semiHidden/>
    <w:rsid w:val="002525B8"/>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2525B8"/>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2525B8"/>
    <w:rPr>
      <w:rFonts w:ascii="Times New Roman" w:hAnsi="Times New Roman"/>
      <w:dstrike w:val="0"/>
      <w:color w:val="auto"/>
      <w:sz w:val="20"/>
      <w:vertAlign w:val="superscript"/>
    </w:rPr>
  </w:style>
  <w:style w:type="paragraph" w:styleId="TOC1">
    <w:name w:val="toc 1"/>
    <w:basedOn w:val="Normal"/>
    <w:next w:val="Normal"/>
    <w:rsid w:val="002525B8"/>
    <w:pPr>
      <w:tabs>
        <w:tab w:val="left" w:pos="360"/>
        <w:tab w:val="right" w:leader="dot" w:pos="9360"/>
      </w:tabs>
      <w:suppressAutoHyphens/>
      <w:ind w:left="360" w:right="720" w:hanging="360"/>
    </w:pPr>
    <w:rPr>
      <w:caps/>
      <w:noProof/>
    </w:rPr>
  </w:style>
  <w:style w:type="paragraph" w:styleId="TOC2">
    <w:name w:val="toc 2"/>
    <w:basedOn w:val="Normal"/>
    <w:next w:val="Normal"/>
    <w:rsid w:val="002525B8"/>
    <w:pPr>
      <w:tabs>
        <w:tab w:val="left" w:pos="720"/>
        <w:tab w:val="right" w:leader="dot" w:pos="9360"/>
      </w:tabs>
      <w:suppressAutoHyphens/>
      <w:ind w:left="720" w:right="720" w:hanging="360"/>
    </w:pPr>
    <w:rPr>
      <w:noProof/>
    </w:rPr>
  </w:style>
  <w:style w:type="paragraph" w:styleId="TOC3">
    <w:name w:val="toc 3"/>
    <w:basedOn w:val="Normal"/>
    <w:next w:val="Normal"/>
    <w:rsid w:val="002525B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525B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525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525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525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525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525B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525B8"/>
    <w:pPr>
      <w:tabs>
        <w:tab w:val="right" w:pos="9360"/>
      </w:tabs>
      <w:suppressAutoHyphens/>
    </w:pPr>
  </w:style>
  <w:style w:type="character" w:customStyle="1" w:styleId="EquationCaption">
    <w:name w:val="_Equation Caption"/>
    <w:rsid w:val="002525B8"/>
  </w:style>
  <w:style w:type="paragraph" w:styleId="Header">
    <w:name w:val="header"/>
    <w:basedOn w:val="Normal"/>
    <w:link w:val="HeaderChar"/>
    <w:autoRedefine/>
    <w:rsid w:val="002525B8"/>
    <w:pPr>
      <w:tabs>
        <w:tab w:val="center" w:pos="4680"/>
        <w:tab w:val="right" w:pos="9360"/>
      </w:tabs>
    </w:pPr>
    <w:rPr>
      <w:b/>
    </w:rPr>
  </w:style>
  <w:style w:type="paragraph" w:styleId="Footer">
    <w:name w:val="footer"/>
    <w:basedOn w:val="Normal"/>
    <w:link w:val="FooterChar"/>
    <w:rsid w:val="002525B8"/>
    <w:pPr>
      <w:tabs>
        <w:tab w:val="center" w:pos="4320"/>
        <w:tab w:val="right" w:pos="8640"/>
      </w:tabs>
    </w:pPr>
  </w:style>
  <w:style w:type="character" w:styleId="PageNumber">
    <w:name w:val="page number"/>
    <w:basedOn w:val="DefaultParagraphFont"/>
    <w:rsid w:val="002525B8"/>
  </w:style>
  <w:style w:type="paragraph" w:styleId="BlockText">
    <w:name w:val="Block Text"/>
    <w:basedOn w:val="Normal"/>
    <w:rsid w:val="002525B8"/>
    <w:pPr>
      <w:spacing w:after="240"/>
      <w:ind w:left="1440" w:right="1440"/>
    </w:pPr>
  </w:style>
  <w:style w:type="paragraph" w:customStyle="1" w:styleId="Paratitle">
    <w:name w:val="Para title"/>
    <w:basedOn w:val="Normal"/>
    <w:rsid w:val="002525B8"/>
    <w:pPr>
      <w:tabs>
        <w:tab w:val="center" w:pos="9270"/>
      </w:tabs>
      <w:spacing w:after="240"/>
    </w:pPr>
    <w:rPr>
      <w:spacing w:val="-2"/>
    </w:rPr>
  </w:style>
  <w:style w:type="paragraph" w:customStyle="1" w:styleId="Bullet">
    <w:name w:val="Bullet"/>
    <w:basedOn w:val="Normal"/>
    <w:rsid w:val="002525B8"/>
    <w:pPr>
      <w:tabs>
        <w:tab w:val="left" w:pos="2160"/>
      </w:tabs>
      <w:spacing w:after="220"/>
      <w:ind w:left="2160" w:hanging="720"/>
    </w:pPr>
  </w:style>
  <w:style w:type="paragraph" w:customStyle="1" w:styleId="TableFormat">
    <w:name w:val="TableFormat"/>
    <w:basedOn w:val="Bullet"/>
    <w:rsid w:val="002525B8"/>
    <w:pPr>
      <w:tabs>
        <w:tab w:val="clear" w:pos="2160"/>
        <w:tab w:val="left" w:pos="5040"/>
      </w:tabs>
      <w:ind w:left="5040" w:hanging="3600"/>
    </w:pPr>
  </w:style>
  <w:style w:type="paragraph" w:customStyle="1" w:styleId="TOCTitle">
    <w:name w:val="TOC Title"/>
    <w:basedOn w:val="Normal"/>
    <w:rsid w:val="002525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525B8"/>
    <w:pPr>
      <w:jc w:val="center"/>
    </w:pPr>
    <w:rPr>
      <w:rFonts w:ascii="Times New Roman Bold" w:hAnsi="Times New Roman Bold"/>
      <w:b/>
      <w:bCs/>
      <w:caps/>
      <w:szCs w:val="22"/>
    </w:rPr>
  </w:style>
  <w:style w:type="character" w:styleId="Hyperlink">
    <w:name w:val="Hyperlink"/>
    <w:rsid w:val="002525B8"/>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8A705B"/>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1Char">
    <w:name w:val="Heading 1 Char"/>
    <w:link w:val="Heading1"/>
    <w:locked/>
    <w:rsid w:val="00D37BD6"/>
    <w:rPr>
      <w:rFonts w:ascii="Times New Roman Bold" w:hAnsi="Times New Roman Bold"/>
      <w:b/>
      <w:caps/>
      <w:snapToGrid w:val="0"/>
      <w:kern w:val="28"/>
      <w:sz w:val="22"/>
    </w:rPr>
  </w:style>
  <w:style w:type="character" w:customStyle="1" w:styleId="Heading2Char">
    <w:name w:val="Heading 2 Char"/>
    <w:link w:val="Heading2"/>
    <w:locked/>
    <w:rsid w:val="00D37BD6"/>
    <w:rPr>
      <w:b/>
      <w:snapToGrid w:val="0"/>
      <w:kern w:val="28"/>
      <w:sz w:val="22"/>
    </w:rPr>
  </w:style>
  <w:style w:type="character" w:customStyle="1" w:styleId="CommentTextChar1">
    <w:name w:val="Comment Text Char1"/>
    <w:semiHidden/>
    <w:locked/>
    <w:rsid w:val="00D37BD6"/>
    <w:rPr>
      <w:kern w:val="28"/>
      <w:lang w:val="en-US" w:eastAsia="en-US" w:bidi="ar-SA"/>
    </w:rPr>
  </w:style>
  <w:style w:type="character" w:customStyle="1" w:styleId="Heading2Char1">
    <w:name w:val="Heading 2 Char1"/>
    <w:locked/>
    <w:rsid w:val="008D1927"/>
    <w:rPr>
      <w:b/>
      <w:snapToGrid w:val="0"/>
      <w:kern w:val="28"/>
      <w:sz w:val="22"/>
      <w:lang w:val="en-US" w:eastAsia="en-US" w:bidi="ar-SA"/>
    </w:rPr>
  </w:style>
  <w:style w:type="paragraph" w:customStyle="1" w:styleId="StyleParaNum">
    <w:name w:val="Style ParaNum +"/>
    <w:basedOn w:val="ParaNum"/>
    <w:autoRedefine/>
    <w:rsid w:val="00A45B3E"/>
    <w:pPr>
      <w:numPr>
        <w:numId w:val="12"/>
      </w:numPr>
    </w:pPr>
    <w:rPr>
      <w:rFonts w:eastAsia="SimSun"/>
    </w:rPr>
  </w:style>
  <w:style w:type="character" w:customStyle="1" w:styleId="Footnote">
    <w:name w:val="Footnote"/>
    <w:rsid w:val="003B7297"/>
  </w:style>
  <w:style w:type="paragraph" w:customStyle="1" w:styleId="Default">
    <w:name w:val="Default"/>
    <w:rsid w:val="00AC5331"/>
    <w:pPr>
      <w:autoSpaceDE w:val="0"/>
      <w:autoSpaceDN w:val="0"/>
      <w:adjustRightInd w:val="0"/>
    </w:pPr>
    <w:rPr>
      <w:rFonts w:ascii="Calibri" w:hAnsi="Calibri" w:cs="Calibri"/>
      <w:color w:val="000000"/>
      <w:sz w:val="24"/>
      <w:szCs w:val="24"/>
    </w:rPr>
  </w:style>
  <w:style w:type="character" w:customStyle="1" w:styleId="Normal1">
    <w:name w:val="Normal1"/>
    <w:rsid w:val="0069544C"/>
    <w:rPr>
      <w:rFonts w:ascii="Times New Roman" w:hAnsi="Times New Roman"/>
      <w:noProof w:val="0"/>
      <w:sz w:val="20"/>
      <w:lang w:val="en-US"/>
    </w:rPr>
  </w:style>
  <w:style w:type="paragraph" w:styleId="Revision">
    <w:name w:val="Revision"/>
    <w:hidden/>
    <w:uiPriority w:val="99"/>
    <w:semiHidden/>
    <w:rsid w:val="008F07AF"/>
    <w:rPr>
      <w:snapToGrid w:val="0"/>
      <w:kern w:val="28"/>
      <w:sz w:val="22"/>
    </w:rPr>
  </w:style>
  <w:style w:type="character" w:customStyle="1" w:styleId="FooterChar">
    <w:name w:val="Footer Char"/>
    <w:basedOn w:val="DefaultParagraphFont"/>
    <w:link w:val="Footer"/>
    <w:rsid w:val="00BA7F9F"/>
    <w:rPr>
      <w:snapToGrid w:val="0"/>
      <w:kern w:val="28"/>
      <w:sz w:val="22"/>
    </w:rPr>
  </w:style>
  <w:style w:type="paragraph" w:customStyle="1" w:styleId="Body">
    <w:name w:val="Body"/>
    <w:rsid w:val="00EA318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5B8"/>
    <w:pPr>
      <w:widowControl w:val="0"/>
    </w:pPr>
    <w:rPr>
      <w:snapToGrid w:val="0"/>
      <w:kern w:val="28"/>
      <w:sz w:val="22"/>
    </w:rPr>
  </w:style>
  <w:style w:type="paragraph" w:styleId="Heading1">
    <w:name w:val="heading 1"/>
    <w:basedOn w:val="Normal"/>
    <w:next w:val="ParaNum"/>
    <w:link w:val="Heading1Char"/>
    <w:qFormat/>
    <w:rsid w:val="002525B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525B8"/>
    <w:pPr>
      <w:keepNext/>
      <w:numPr>
        <w:ilvl w:val="1"/>
        <w:numId w:val="3"/>
      </w:numPr>
      <w:spacing w:after="120"/>
      <w:outlineLvl w:val="1"/>
    </w:pPr>
    <w:rPr>
      <w:b/>
    </w:rPr>
  </w:style>
  <w:style w:type="paragraph" w:styleId="Heading3">
    <w:name w:val="heading 3"/>
    <w:basedOn w:val="Normal"/>
    <w:next w:val="ParaNum"/>
    <w:qFormat/>
    <w:rsid w:val="002525B8"/>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2525B8"/>
    <w:pPr>
      <w:keepNext/>
      <w:numPr>
        <w:ilvl w:val="3"/>
        <w:numId w:val="3"/>
      </w:numPr>
      <w:tabs>
        <w:tab w:val="left" w:pos="2880"/>
      </w:tabs>
      <w:spacing w:after="120"/>
      <w:outlineLvl w:val="3"/>
    </w:pPr>
    <w:rPr>
      <w:b/>
    </w:rPr>
  </w:style>
  <w:style w:type="paragraph" w:styleId="Heading5">
    <w:name w:val="heading 5"/>
    <w:basedOn w:val="Normal"/>
    <w:next w:val="ParaNum"/>
    <w:qFormat/>
    <w:rsid w:val="002525B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525B8"/>
    <w:pPr>
      <w:numPr>
        <w:ilvl w:val="5"/>
        <w:numId w:val="3"/>
      </w:numPr>
      <w:tabs>
        <w:tab w:val="left" w:pos="4320"/>
      </w:tabs>
      <w:spacing w:after="120"/>
      <w:outlineLvl w:val="5"/>
    </w:pPr>
    <w:rPr>
      <w:b/>
    </w:rPr>
  </w:style>
  <w:style w:type="paragraph" w:styleId="Heading7">
    <w:name w:val="heading 7"/>
    <w:basedOn w:val="Normal"/>
    <w:next w:val="ParaNum"/>
    <w:qFormat/>
    <w:rsid w:val="002525B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525B8"/>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2525B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525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25B8"/>
  </w:style>
  <w:style w:type="paragraph" w:customStyle="1" w:styleId="ParaNum">
    <w:name w:val="ParaNum"/>
    <w:basedOn w:val="Normal"/>
    <w:link w:val="ParaNumChar"/>
    <w:rsid w:val="002525B8"/>
    <w:pPr>
      <w:numPr>
        <w:numId w:val="2"/>
      </w:numPr>
      <w:tabs>
        <w:tab w:val="clear" w:pos="1080"/>
        <w:tab w:val="num" w:pos="1440"/>
      </w:tabs>
      <w:spacing w:after="120"/>
    </w:pPr>
  </w:style>
  <w:style w:type="paragraph" w:styleId="EndnoteText">
    <w:name w:val="endnote text"/>
    <w:basedOn w:val="Normal"/>
    <w:semiHidden/>
    <w:rsid w:val="002525B8"/>
    <w:rPr>
      <w:sz w:val="20"/>
    </w:rPr>
  </w:style>
  <w:style w:type="character" w:styleId="EndnoteReference">
    <w:name w:val="endnote reference"/>
    <w:semiHidden/>
    <w:rsid w:val="002525B8"/>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2525B8"/>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2525B8"/>
    <w:rPr>
      <w:rFonts w:ascii="Times New Roman" w:hAnsi="Times New Roman"/>
      <w:dstrike w:val="0"/>
      <w:color w:val="auto"/>
      <w:sz w:val="20"/>
      <w:vertAlign w:val="superscript"/>
    </w:rPr>
  </w:style>
  <w:style w:type="paragraph" w:styleId="TOC1">
    <w:name w:val="toc 1"/>
    <w:basedOn w:val="Normal"/>
    <w:next w:val="Normal"/>
    <w:rsid w:val="002525B8"/>
    <w:pPr>
      <w:tabs>
        <w:tab w:val="left" w:pos="360"/>
        <w:tab w:val="right" w:leader="dot" w:pos="9360"/>
      </w:tabs>
      <w:suppressAutoHyphens/>
      <w:ind w:left="360" w:right="720" w:hanging="360"/>
    </w:pPr>
    <w:rPr>
      <w:caps/>
      <w:noProof/>
    </w:rPr>
  </w:style>
  <w:style w:type="paragraph" w:styleId="TOC2">
    <w:name w:val="toc 2"/>
    <w:basedOn w:val="Normal"/>
    <w:next w:val="Normal"/>
    <w:rsid w:val="002525B8"/>
    <w:pPr>
      <w:tabs>
        <w:tab w:val="left" w:pos="720"/>
        <w:tab w:val="right" w:leader="dot" w:pos="9360"/>
      </w:tabs>
      <w:suppressAutoHyphens/>
      <w:ind w:left="720" w:right="720" w:hanging="360"/>
    </w:pPr>
    <w:rPr>
      <w:noProof/>
    </w:rPr>
  </w:style>
  <w:style w:type="paragraph" w:styleId="TOC3">
    <w:name w:val="toc 3"/>
    <w:basedOn w:val="Normal"/>
    <w:next w:val="Normal"/>
    <w:rsid w:val="002525B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525B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525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525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525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525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525B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525B8"/>
    <w:pPr>
      <w:tabs>
        <w:tab w:val="right" w:pos="9360"/>
      </w:tabs>
      <w:suppressAutoHyphens/>
    </w:pPr>
  </w:style>
  <w:style w:type="character" w:customStyle="1" w:styleId="EquationCaption">
    <w:name w:val="_Equation Caption"/>
    <w:rsid w:val="002525B8"/>
  </w:style>
  <w:style w:type="paragraph" w:styleId="Header">
    <w:name w:val="header"/>
    <w:basedOn w:val="Normal"/>
    <w:link w:val="HeaderChar"/>
    <w:autoRedefine/>
    <w:rsid w:val="002525B8"/>
    <w:pPr>
      <w:tabs>
        <w:tab w:val="center" w:pos="4680"/>
        <w:tab w:val="right" w:pos="9360"/>
      </w:tabs>
    </w:pPr>
    <w:rPr>
      <w:b/>
    </w:rPr>
  </w:style>
  <w:style w:type="paragraph" w:styleId="Footer">
    <w:name w:val="footer"/>
    <w:basedOn w:val="Normal"/>
    <w:link w:val="FooterChar"/>
    <w:rsid w:val="002525B8"/>
    <w:pPr>
      <w:tabs>
        <w:tab w:val="center" w:pos="4320"/>
        <w:tab w:val="right" w:pos="8640"/>
      </w:tabs>
    </w:pPr>
  </w:style>
  <w:style w:type="character" w:styleId="PageNumber">
    <w:name w:val="page number"/>
    <w:basedOn w:val="DefaultParagraphFont"/>
    <w:rsid w:val="002525B8"/>
  </w:style>
  <w:style w:type="paragraph" w:styleId="BlockText">
    <w:name w:val="Block Text"/>
    <w:basedOn w:val="Normal"/>
    <w:rsid w:val="002525B8"/>
    <w:pPr>
      <w:spacing w:after="240"/>
      <w:ind w:left="1440" w:right="1440"/>
    </w:pPr>
  </w:style>
  <w:style w:type="paragraph" w:customStyle="1" w:styleId="Paratitle">
    <w:name w:val="Para title"/>
    <w:basedOn w:val="Normal"/>
    <w:rsid w:val="002525B8"/>
    <w:pPr>
      <w:tabs>
        <w:tab w:val="center" w:pos="9270"/>
      </w:tabs>
      <w:spacing w:after="240"/>
    </w:pPr>
    <w:rPr>
      <w:spacing w:val="-2"/>
    </w:rPr>
  </w:style>
  <w:style w:type="paragraph" w:customStyle="1" w:styleId="Bullet">
    <w:name w:val="Bullet"/>
    <w:basedOn w:val="Normal"/>
    <w:rsid w:val="002525B8"/>
    <w:pPr>
      <w:tabs>
        <w:tab w:val="left" w:pos="2160"/>
      </w:tabs>
      <w:spacing w:after="220"/>
      <w:ind w:left="2160" w:hanging="720"/>
    </w:pPr>
  </w:style>
  <w:style w:type="paragraph" w:customStyle="1" w:styleId="TableFormat">
    <w:name w:val="TableFormat"/>
    <w:basedOn w:val="Bullet"/>
    <w:rsid w:val="002525B8"/>
    <w:pPr>
      <w:tabs>
        <w:tab w:val="clear" w:pos="2160"/>
        <w:tab w:val="left" w:pos="5040"/>
      </w:tabs>
      <w:ind w:left="5040" w:hanging="3600"/>
    </w:pPr>
  </w:style>
  <w:style w:type="paragraph" w:customStyle="1" w:styleId="TOCTitle">
    <w:name w:val="TOC Title"/>
    <w:basedOn w:val="Normal"/>
    <w:rsid w:val="002525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525B8"/>
    <w:pPr>
      <w:jc w:val="center"/>
    </w:pPr>
    <w:rPr>
      <w:rFonts w:ascii="Times New Roman Bold" w:hAnsi="Times New Roman Bold"/>
      <w:b/>
      <w:bCs/>
      <w:caps/>
      <w:szCs w:val="22"/>
    </w:rPr>
  </w:style>
  <w:style w:type="character" w:styleId="Hyperlink">
    <w:name w:val="Hyperlink"/>
    <w:rsid w:val="002525B8"/>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8A705B"/>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1Char">
    <w:name w:val="Heading 1 Char"/>
    <w:link w:val="Heading1"/>
    <w:locked/>
    <w:rsid w:val="00D37BD6"/>
    <w:rPr>
      <w:rFonts w:ascii="Times New Roman Bold" w:hAnsi="Times New Roman Bold"/>
      <w:b/>
      <w:caps/>
      <w:snapToGrid w:val="0"/>
      <w:kern w:val="28"/>
      <w:sz w:val="22"/>
    </w:rPr>
  </w:style>
  <w:style w:type="character" w:customStyle="1" w:styleId="Heading2Char">
    <w:name w:val="Heading 2 Char"/>
    <w:link w:val="Heading2"/>
    <w:locked/>
    <w:rsid w:val="00D37BD6"/>
    <w:rPr>
      <w:b/>
      <w:snapToGrid w:val="0"/>
      <w:kern w:val="28"/>
      <w:sz w:val="22"/>
    </w:rPr>
  </w:style>
  <w:style w:type="character" w:customStyle="1" w:styleId="CommentTextChar1">
    <w:name w:val="Comment Text Char1"/>
    <w:semiHidden/>
    <w:locked/>
    <w:rsid w:val="00D37BD6"/>
    <w:rPr>
      <w:kern w:val="28"/>
      <w:lang w:val="en-US" w:eastAsia="en-US" w:bidi="ar-SA"/>
    </w:rPr>
  </w:style>
  <w:style w:type="character" w:customStyle="1" w:styleId="Heading2Char1">
    <w:name w:val="Heading 2 Char1"/>
    <w:locked/>
    <w:rsid w:val="008D1927"/>
    <w:rPr>
      <w:b/>
      <w:snapToGrid w:val="0"/>
      <w:kern w:val="28"/>
      <w:sz w:val="22"/>
      <w:lang w:val="en-US" w:eastAsia="en-US" w:bidi="ar-SA"/>
    </w:rPr>
  </w:style>
  <w:style w:type="paragraph" w:customStyle="1" w:styleId="StyleParaNum">
    <w:name w:val="Style ParaNum +"/>
    <w:basedOn w:val="ParaNum"/>
    <w:autoRedefine/>
    <w:rsid w:val="00A45B3E"/>
    <w:pPr>
      <w:numPr>
        <w:numId w:val="12"/>
      </w:numPr>
    </w:pPr>
    <w:rPr>
      <w:rFonts w:eastAsia="SimSun"/>
    </w:rPr>
  </w:style>
  <w:style w:type="character" w:customStyle="1" w:styleId="Footnote">
    <w:name w:val="Footnote"/>
    <w:rsid w:val="003B7297"/>
  </w:style>
  <w:style w:type="paragraph" w:customStyle="1" w:styleId="Default">
    <w:name w:val="Default"/>
    <w:rsid w:val="00AC5331"/>
    <w:pPr>
      <w:autoSpaceDE w:val="0"/>
      <w:autoSpaceDN w:val="0"/>
      <w:adjustRightInd w:val="0"/>
    </w:pPr>
    <w:rPr>
      <w:rFonts w:ascii="Calibri" w:hAnsi="Calibri" w:cs="Calibri"/>
      <w:color w:val="000000"/>
      <w:sz w:val="24"/>
      <w:szCs w:val="24"/>
    </w:rPr>
  </w:style>
  <w:style w:type="character" w:customStyle="1" w:styleId="Normal1">
    <w:name w:val="Normal1"/>
    <w:rsid w:val="0069544C"/>
    <w:rPr>
      <w:rFonts w:ascii="Times New Roman" w:hAnsi="Times New Roman"/>
      <w:noProof w:val="0"/>
      <w:sz w:val="20"/>
      <w:lang w:val="en-US"/>
    </w:rPr>
  </w:style>
  <w:style w:type="paragraph" w:styleId="Revision">
    <w:name w:val="Revision"/>
    <w:hidden/>
    <w:uiPriority w:val="99"/>
    <w:semiHidden/>
    <w:rsid w:val="008F07AF"/>
    <w:rPr>
      <w:snapToGrid w:val="0"/>
      <w:kern w:val="28"/>
      <w:sz w:val="22"/>
    </w:rPr>
  </w:style>
  <w:style w:type="character" w:customStyle="1" w:styleId="FooterChar">
    <w:name w:val="Footer Char"/>
    <w:basedOn w:val="DefaultParagraphFont"/>
    <w:link w:val="Footer"/>
    <w:rsid w:val="00BA7F9F"/>
    <w:rPr>
      <w:snapToGrid w:val="0"/>
      <w:kern w:val="28"/>
      <w:sz w:val="22"/>
    </w:rPr>
  </w:style>
  <w:style w:type="paragraph" w:customStyle="1" w:styleId="Body">
    <w:name w:val="Body"/>
    <w:rsid w:val="00EA318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116">
      <w:bodyDiv w:val="1"/>
      <w:marLeft w:val="0"/>
      <w:marRight w:val="0"/>
      <w:marTop w:val="0"/>
      <w:marBottom w:val="0"/>
      <w:divBdr>
        <w:top w:val="none" w:sz="0" w:space="0" w:color="auto"/>
        <w:left w:val="none" w:sz="0" w:space="0" w:color="auto"/>
        <w:bottom w:val="none" w:sz="0" w:space="0" w:color="auto"/>
        <w:right w:val="none" w:sz="0" w:space="0" w:color="auto"/>
      </w:divBdr>
    </w:div>
    <w:div w:id="278538155">
      <w:bodyDiv w:val="1"/>
      <w:marLeft w:val="0"/>
      <w:marRight w:val="0"/>
      <w:marTop w:val="0"/>
      <w:marBottom w:val="0"/>
      <w:divBdr>
        <w:top w:val="none" w:sz="0" w:space="0" w:color="auto"/>
        <w:left w:val="none" w:sz="0" w:space="0" w:color="auto"/>
        <w:bottom w:val="none" w:sz="0" w:space="0" w:color="auto"/>
        <w:right w:val="none" w:sz="0" w:space="0" w:color="auto"/>
      </w:divBdr>
    </w:div>
    <w:div w:id="605116768">
      <w:bodyDiv w:val="1"/>
      <w:marLeft w:val="0"/>
      <w:marRight w:val="0"/>
      <w:marTop w:val="0"/>
      <w:marBottom w:val="0"/>
      <w:divBdr>
        <w:top w:val="none" w:sz="0" w:space="0" w:color="auto"/>
        <w:left w:val="none" w:sz="0" w:space="0" w:color="auto"/>
        <w:bottom w:val="none" w:sz="0" w:space="0" w:color="auto"/>
        <w:right w:val="none" w:sz="0" w:space="0" w:color="auto"/>
      </w:divBdr>
    </w:div>
    <w:div w:id="633561822">
      <w:bodyDiv w:val="1"/>
      <w:marLeft w:val="0"/>
      <w:marRight w:val="0"/>
      <w:marTop w:val="0"/>
      <w:marBottom w:val="0"/>
      <w:divBdr>
        <w:top w:val="none" w:sz="0" w:space="0" w:color="auto"/>
        <w:left w:val="none" w:sz="0" w:space="0" w:color="auto"/>
        <w:bottom w:val="none" w:sz="0" w:space="0" w:color="auto"/>
        <w:right w:val="none" w:sz="0" w:space="0" w:color="auto"/>
      </w:divBdr>
    </w:div>
    <w:div w:id="732391249">
      <w:bodyDiv w:val="1"/>
      <w:marLeft w:val="0"/>
      <w:marRight w:val="0"/>
      <w:marTop w:val="0"/>
      <w:marBottom w:val="0"/>
      <w:divBdr>
        <w:top w:val="none" w:sz="0" w:space="0" w:color="auto"/>
        <w:left w:val="none" w:sz="0" w:space="0" w:color="auto"/>
        <w:bottom w:val="none" w:sz="0" w:space="0" w:color="auto"/>
        <w:right w:val="none" w:sz="0" w:space="0" w:color="auto"/>
      </w:divBdr>
    </w:div>
    <w:div w:id="995306291">
      <w:bodyDiv w:val="1"/>
      <w:marLeft w:val="0"/>
      <w:marRight w:val="0"/>
      <w:marTop w:val="0"/>
      <w:marBottom w:val="0"/>
      <w:divBdr>
        <w:top w:val="none" w:sz="0" w:space="0" w:color="auto"/>
        <w:left w:val="none" w:sz="0" w:space="0" w:color="auto"/>
        <w:bottom w:val="none" w:sz="0" w:space="0" w:color="auto"/>
        <w:right w:val="none" w:sz="0" w:space="0" w:color="auto"/>
      </w:divBdr>
    </w:div>
    <w:div w:id="1046948892">
      <w:bodyDiv w:val="1"/>
      <w:marLeft w:val="0"/>
      <w:marRight w:val="0"/>
      <w:marTop w:val="0"/>
      <w:marBottom w:val="0"/>
      <w:divBdr>
        <w:top w:val="none" w:sz="0" w:space="0" w:color="auto"/>
        <w:left w:val="none" w:sz="0" w:space="0" w:color="auto"/>
        <w:bottom w:val="none" w:sz="0" w:space="0" w:color="auto"/>
        <w:right w:val="none" w:sz="0" w:space="0" w:color="auto"/>
      </w:divBdr>
    </w:div>
    <w:div w:id="1198277442">
      <w:bodyDiv w:val="1"/>
      <w:marLeft w:val="0"/>
      <w:marRight w:val="0"/>
      <w:marTop w:val="0"/>
      <w:marBottom w:val="0"/>
      <w:divBdr>
        <w:top w:val="none" w:sz="0" w:space="0" w:color="auto"/>
        <w:left w:val="none" w:sz="0" w:space="0" w:color="auto"/>
        <w:bottom w:val="none" w:sz="0" w:space="0" w:color="auto"/>
        <w:right w:val="none" w:sz="0" w:space="0" w:color="auto"/>
      </w:divBdr>
    </w:div>
    <w:div w:id="1249727021">
      <w:bodyDiv w:val="1"/>
      <w:marLeft w:val="0"/>
      <w:marRight w:val="0"/>
      <w:marTop w:val="0"/>
      <w:marBottom w:val="0"/>
      <w:divBdr>
        <w:top w:val="none" w:sz="0" w:space="0" w:color="auto"/>
        <w:left w:val="none" w:sz="0" w:space="0" w:color="auto"/>
        <w:bottom w:val="none" w:sz="0" w:space="0" w:color="auto"/>
        <w:right w:val="none" w:sz="0" w:space="0" w:color="auto"/>
      </w:divBdr>
    </w:div>
    <w:div w:id="1479571833">
      <w:bodyDiv w:val="1"/>
      <w:marLeft w:val="0"/>
      <w:marRight w:val="0"/>
      <w:marTop w:val="0"/>
      <w:marBottom w:val="0"/>
      <w:divBdr>
        <w:top w:val="none" w:sz="0" w:space="0" w:color="auto"/>
        <w:left w:val="none" w:sz="0" w:space="0" w:color="auto"/>
        <w:bottom w:val="none" w:sz="0" w:space="0" w:color="auto"/>
        <w:right w:val="none" w:sz="0" w:space="0" w:color="auto"/>
      </w:divBdr>
    </w:div>
    <w:div w:id="1619407909">
      <w:bodyDiv w:val="1"/>
      <w:marLeft w:val="0"/>
      <w:marRight w:val="0"/>
      <w:marTop w:val="0"/>
      <w:marBottom w:val="0"/>
      <w:divBdr>
        <w:top w:val="none" w:sz="0" w:space="0" w:color="auto"/>
        <w:left w:val="none" w:sz="0" w:space="0" w:color="auto"/>
        <w:bottom w:val="none" w:sz="0" w:space="0" w:color="auto"/>
        <w:right w:val="none" w:sz="0" w:space="0" w:color="auto"/>
      </w:divBdr>
    </w:div>
    <w:div w:id="16254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9028</Words>
  <Characters>52079</Characters>
  <Application>Microsoft Office Word</Application>
  <DocSecurity>0</DocSecurity>
  <Lines>815</Lines>
  <Paragraphs>184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61256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2015-04-01T22:56:00Z</cp:lastPrinted>
  <dcterms:created xsi:type="dcterms:W3CDTF">2015-05-08T15:19:00Z</dcterms:created>
  <dcterms:modified xsi:type="dcterms:W3CDTF">2015-05-08T15:19:00Z</dcterms:modified>
  <cp:category> </cp:category>
  <cp:contentStatus> </cp:contentStatus>
</cp:coreProperties>
</file>