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37DB0" w:rsidRDefault="004C2EE3" w:rsidP="0087510B">
      <w:pPr>
        <w:jc w:val="center"/>
        <w:rPr>
          <w:b/>
          <w:szCs w:val="22"/>
        </w:rPr>
      </w:pPr>
      <w:bookmarkStart w:id="0" w:name="_GoBack"/>
      <w:bookmarkEnd w:id="0"/>
      <w:r w:rsidRPr="00037DB0">
        <w:rPr>
          <w:b/>
          <w:szCs w:val="22"/>
        </w:rPr>
        <w:t>Before the</w:t>
      </w:r>
    </w:p>
    <w:p w:rsidR="00921803" w:rsidRPr="00037DB0" w:rsidRDefault="00921803" w:rsidP="0087510B">
      <w:pPr>
        <w:pStyle w:val="StyleBoldCentered"/>
        <w:rPr>
          <w:rFonts w:ascii="Times New Roman" w:hAnsi="Times New Roman"/>
        </w:rPr>
      </w:pPr>
      <w:r w:rsidRPr="00037DB0">
        <w:rPr>
          <w:rFonts w:ascii="Times New Roman" w:hAnsi="Times New Roman"/>
        </w:rPr>
        <w:t>F</w:t>
      </w:r>
      <w:r w:rsidRPr="00037DB0">
        <w:rPr>
          <w:rFonts w:ascii="Times New Roman" w:hAnsi="Times New Roman"/>
          <w:caps w:val="0"/>
        </w:rPr>
        <w:t>ederal Communications Commission</w:t>
      </w:r>
    </w:p>
    <w:p w:rsidR="004C2EE3" w:rsidRPr="00037DB0" w:rsidRDefault="00810B6F" w:rsidP="0087510B">
      <w:pPr>
        <w:pStyle w:val="StyleBoldCentered"/>
        <w:rPr>
          <w:rFonts w:ascii="Times New Roman" w:hAnsi="Times New Roman"/>
        </w:rPr>
      </w:pPr>
      <w:r w:rsidRPr="00037DB0">
        <w:rPr>
          <w:rFonts w:ascii="Times New Roman" w:hAnsi="Times New Roman"/>
          <w:caps w:val="0"/>
        </w:rPr>
        <w:t>Washington, D.C. 20554</w:t>
      </w:r>
    </w:p>
    <w:p w:rsidR="004C2EE3" w:rsidRPr="00037DB0" w:rsidRDefault="004C2EE3" w:rsidP="0087510B">
      <w:pPr>
        <w:rPr>
          <w:szCs w:val="22"/>
        </w:rPr>
      </w:pPr>
    </w:p>
    <w:tbl>
      <w:tblPr>
        <w:tblW w:w="0" w:type="auto"/>
        <w:tblLayout w:type="fixed"/>
        <w:tblLook w:val="0000" w:firstRow="0" w:lastRow="0" w:firstColumn="0" w:lastColumn="0" w:noHBand="0" w:noVBand="0"/>
      </w:tblPr>
      <w:tblGrid>
        <w:gridCol w:w="4698"/>
        <w:gridCol w:w="630"/>
        <w:gridCol w:w="4248"/>
      </w:tblGrid>
      <w:tr w:rsidR="004C2EE3" w:rsidRPr="00037DB0">
        <w:tc>
          <w:tcPr>
            <w:tcW w:w="4698" w:type="dxa"/>
          </w:tcPr>
          <w:p w:rsidR="004C2EE3" w:rsidRPr="00037DB0" w:rsidRDefault="004C2EE3" w:rsidP="0087510B">
            <w:pPr>
              <w:tabs>
                <w:tab w:val="center" w:pos="4680"/>
              </w:tabs>
              <w:suppressAutoHyphens/>
              <w:rPr>
                <w:spacing w:val="-2"/>
                <w:szCs w:val="22"/>
              </w:rPr>
            </w:pPr>
            <w:r w:rsidRPr="00037DB0">
              <w:rPr>
                <w:spacing w:val="-2"/>
                <w:szCs w:val="22"/>
              </w:rPr>
              <w:t>In the Matter of</w:t>
            </w:r>
          </w:p>
          <w:p w:rsidR="004C2EE3" w:rsidRPr="00037DB0" w:rsidRDefault="004C2EE3" w:rsidP="0087510B">
            <w:pPr>
              <w:tabs>
                <w:tab w:val="center" w:pos="4680"/>
              </w:tabs>
              <w:suppressAutoHyphens/>
              <w:rPr>
                <w:spacing w:val="-2"/>
                <w:szCs w:val="22"/>
              </w:rPr>
            </w:pPr>
          </w:p>
          <w:p w:rsidR="0084762D" w:rsidRPr="00037DB0" w:rsidRDefault="002B1CB8" w:rsidP="0087510B">
            <w:pPr>
              <w:tabs>
                <w:tab w:val="center" w:pos="4680"/>
              </w:tabs>
              <w:suppressAutoHyphens/>
              <w:rPr>
                <w:szCs w:val="22"/>
              </w:rPr>
            </w:pPr>
            <w:r w:rsidRPr="00037DB0">
              <w:rPr>
                <w:spacing w:val="-2"/>
                <w:szCs w:val="22"/>
              </w:rPr>
              <w:t>Advanced Tel</w:t>
            </w:r>
            <w:r w:rsidR="001C734F" w:rsidRPr="00037DB0">
              <w:rPr>
                <w:spacing w:val="-2"/>
                <w:szCs w:val="22"/>
              </w:rPr>
              <w:t xml:space="preserve">, Inc. </w:t>
            </w:r>
          </w:p>
          <w:p w:rsidR="0084762D" w:rsidRDefault="0084762D" w:rsidP="0087510B">
            <w:pPr>
              <w:tabs>
                <w:tab w:val="center" w:pos="4680"/>
              </w:tabs>
              <w:suppressAutoHyphens/>
              <w:rPr>
                <w:spacing w:val="-2"/>
                <w:szCs w:val="22"/>
              </w:rPr>
            </w:pPr>
          </w:p>
          <w:p w:rsidR="00883AFD" w:rsidRDefault="00883AFD" w:rsidP="0087510B">
            <w:pPr>
              <w:tabs>
                <w:tab w:val="center" w:pos="4680"/>
              </w:tabs>
              <w:suppressAutoHyphens/>
              <w:rPr>
                <w:spacing w:val="-2"/>
                <w:szCs w:val="22"/>
              </w:rPr>
            </w:pPr>
          </w:p>
          <w:p w:rsidR="00883AFD" w:rsidRPr="00037DB0" w:rsidRDefault="00883AFD" w:rsidP="0087510B">
            <w:pPr>
              <w:tabs>
                <w:tab w:val="center" w:pos="4680"/>
              </w:tabs>
              <w:suppressAutoHyphens/>
              <w:rPr>
                <w:spacing w:val="-2"/>
                <w:szCs w:val="22"/>
              </w:rPr>
            </w:pPr>
          </w:p>
        </w:tc>
        <w:tc>
          <w:tcPr>
            <w:tcW w:w="630" w:type="dxa"/>
          </w:tcPr>
          <w:p w:rsidR="004C2EE3" w:rsidRPr="00037DB0" w:rsidRDefault="004C2EE3" w:rsidP="0087510B">
            <w:pPr>
              <w:tabs>
                <w:tab w:val="center" w:pos="4680"/>
              </w:tabs>
              <w:suppressAutoHyphens/>
              <w:rPr>
                <w:b/>
                <w:spacing w:val="-2"/>
                <w:szCs w:val="22"/>
              </w:rPr>
            </w:pPr>
            <w:r w:rsidRPr="00037DB0">
              <w:rPr>
                <w:b/>
                <w:spacing w:val="-2"/>
                <w:szCs w:val="22"/>
              </w:rPr>
              <w:t>)</w:t>
            </w:r>
          </w:p>
          <w:p w:rsidR="004C2EE3" w:rsidRPr="00037DB0" w:rsidRDefault="004C2EE3" w:rsidP="0087510B">
            <w:pPr>
              <w:tabs>
                <w:tab w:val="center" w:pos="4680"/>
              </w:tabs>
              <w:suppressAutoHyphens/>
              <w:rPr>
                <w:b/>
                <w:spacing w:val="-2"/>
                <w:szCs w:val="22"/>
              </w:rPr>
            </w:pPr>
            <w:r w:rsidRPr="00037DB0">
              <w:rPr>
                <w:b/>
                <w:spacing w:val="-2"/>
                <w:szCs w:val="22"/>
              </w:rPr>
              <w:t>)</w:t>
            </w:r>
          </w:p>
          <w:p w:rsidR="004C2EE3" w:rsidRPr="00037DB0" w:rsidRDefault="004C2EE3" w:rsidP="0087510B">
            <w:pPr>
              <w:tabs>
                <w:tab w:val="center" w:pos="4680"/>
              </w:tabs>
              <w:suppressAutoHyphens/>
              <w:rPr>
                <w:b/>
                <w:spacing w:val="-2"/>
                <w:szCs w:val="22"/>
              </w:rPr>
            </w:pPr>
            <w:r w:rsidRPr="00037DB0">
              <w:rPr>
                <w:b/>
                <w:spacing w:val="-2"/>
                <w:szCs w:val="22"/>
              </w:rPr>
              <w:t>)</w:t>
            </w:r>
          </w:p>
          <w:p w:rsidR="004C2EE3" w:rsidRPr="00037DB0" w:rsidRDefault="004C2EE3" w:rsidP="0087510B">
            <w:pPr>
              <w:tabs>
                <w:tab w:val="center" w:pos="4680"/>
              </w:tabs>
              <w:suppressAutoHyphens/>
              <w:rPr>
                <w:b/>
                <w:spacing w:val="-2"/>
                <w:szCs w:val="22"/>
              </w:rPr>
            </w:pPr>
            <w:r w:rsidRPr="00037DB0">
              <w:rPr>
                <w:b/>
                <w:spacing w:val="-2"/>
                <w:szCs w:val="22"/>
              </w:rPr>
              <w:t>)</w:t>
            </w:r>
          </w:p>
          <w:p w:rsidR="0084762D" w:rsidRPr="00037DB0" w:rsidRDefault="004C2EE3">
            <w:pPr>
              <w:tabs>
                <w:tab w:val="center" w:pos="4680"/>
              </w:tabs>
              <w:suppressAutoHyphens/>
              <w:rPr>
                <w:b/>
                <w:spacing w:val="-2"/>
                <w:szCs w:val="22"/>
              </w:rPr>
            </w:pPr>
            <w:r w:rsidRPr="00037DB0">
              <w:rPr>
                <w:b/>
                <w:spacing w:val="-2"/>
                <w:szCs w:val="22"/>
              </w:rPr>
              <w:t>)</w:t>
            </w:r>
          </w:p>
        </w:tc>
        <w:tc>
          <w:tcPr>
            <w:tcW w:w="4248" w:type="dxa"/>
          </w:tcPr>
          <w:p w:rsidR="004C2EE3" w:rsidRPr="00037DB0" w:rsidRDefault="009E5420" w:rsidP="0087510B">
            <w:pPr>
              <w:tabs>
                <w:tab w:val="center" w:pos="4680"/>
              </w:tabs>
              <w:suppressAutoHyphens/>
              <w:rPr>
                <w:spacing w:val="-2"/>
                <w:szCs w:val="22"/>
              </w:rPr>
            </w:pPr>
            <w:r w:rsidRPr="00037DB0">
              <w:rPr>
                <w:spacing w:val="-2"/>
                <w:szCs w:val="22"/>
              </w:rPr>
              <w:t>Fi</w:t>
            </w:r>
            <w:r w:rsidR="001C734F" w:rsidRPr="00037DB0">
              <w:rPr>
                <w:spacing w:val="-2"/>
                <w:szCs w:val="22"/>
              </w:rPr>
              <w:t>le No.</w:t>
            </w:r>
            <w:r w:rsidRPr="00037DB0">
              <w:rPr>
                <w:spacing w:val="-2"/>
                <w:szCs w:val="22"/>
              </w:rPr>
              <w:t xml:space="preserve">: </w:t>
            </w:r>
            <w:r w:rsidR="00B91DA2" w:rsidRPr="00037DB0">
              <w:rPr>
                <w:szCs w:val="22"/>
              </w:rPr>
              <w:t>EB-IHD-14-00014860</w:t>
            </w:r>
            <w:r w:rsidR="00487D73" w:rsidRPr="00037DB0">
              <w:rPr>
                <w:rStyle w:val="FootnoteReference"/>
                <w:spacing w:val="-2"/>
                <w:sz w:val="22"/>
                <w:szCs w:val="22"/>
              </w:rPr>
              <w:footnoteReference w:id="2"/>
            </w:r>
          </w:p>
          <w:p w:rsidR="009E5420" w:rsidRPr="00037DB0" w:rsidRDefault="009E5420" w:rsidP="0087510B">
            <w:pPr>
              <w:tabs>
                <w:tab w:val="center" w:pos="4680"/>
              </w:tabs>
              <w:suppressAutoHyphens/>
              <w:rPr>
                <w:spacing w:val="-2"/>
                <w:szCs w:val="22"/>
              </w:rPr>
            </w:pPr>
          </w:p>
          <w:p w:rsidR="0084762D" w:rsidRPr="00037DB0" w:rsidRDefault="009E5420" w:rsidP="0087510B">
            <w:pPr>
              <w:tabs>
                <w:tab w:val="center" w:pos="4680"/>
              </w:tabs>
              <w:suppressAutoHyphens/>
              <w:rPr>
                <w:spacing w:val="-2"/>
                <w:szCs w:val="22"/>
              </w:rPr>
            </w:pPr>
            <w:r w:rsidRPr="00037DB0">
              <w:rPr>
                <w:spacing w:val="-2"/>
                <w:szCs w:val="22"/>
              </w:rPr>
              <w:t xml:space="preserve">NAL/Acct. No.: </w:t>
            </w:r>
            <w:r w:rsidR="00F30457" w:rsidRPr="00037DB0">
              <w:rPr>
                <w:spacing w:val="-2"/>
                <w:szCs w:val="22"/>
              </w:rPr>
              <w:t xml:space="preserve"> </w:t>
            </w:r>
            <w:r w:rsidR="00E97070" w:rsidRPr="00E97070">
              <w:rPr>
                <w:bCs/>
                <w:szCs w:val="22"/>
              </w:rPr>
              <w:t>201532080005</w:t>
            </w:r>
          </w:p>
          <w:p w:rsidR="009E5420" w:rsidRPr="00037DB0" w:rsidRDefault="009E5420" w:rsidP="0087510B">
            <w:pPr>
              <w:tabs>
                <w:tab w:val="center" w:pos="4680"/>
              </w:tabs>
              <w:suppressAutoHyphens/>
              <w:rPr>
                <w:spacing w:val="-2"/>
                <w:szCs w:val="22"/>
              </w:rPr>
            </w:pPr>
          </w:p>
          <w:p w:rsidR="0084762D" w:rsidRPr="00037DB0" w:rsidRDefault="009E5420" w:rsidP="0084762D">
            <w:pPr>
              <w:tabs>
                <w:tab w:val="center" w:pos="4680"/>
              </w:tabs>
              <w:suppressAutoHyphens/>
              <w:rPr>
                <w:spacing w:val="-2"/>
                <w:szCs w:val="22"/>
              </w:rPr>
            </w:pPr>
            <w:r w:rsidRPr="00037DB0">
              <w:rPr>
                <w:spacing w:val="-2"/>
                <w:szCs w:val="22"/>
              </w:rPr>
              <w:t>FRN:</w:t>
            </w:r>
            <w:r w:rsidR="00F30457" w:rsidRPr="00037DB0">
              <w:rPr>
                <w:spacing w:val="-2"/>
                <w:szCs w:val="22"/>
              </w:rPr>
              <w:t xml:space="preserve"> </w:t>
            </w:r>
            <w:r w:rsidRPr="00037DB0">
              <w:rPr>
                <w:spacing w:val="-2"/>
                <w:szCs w:val="22"/>
              </w:rPr>
              <w:t xml:space="preserve"> </w:t>
            </w:r>
            <w:r w:rsidR="002B1CB8" w:rsidRPr="00037DB0">
              <w:rPr>
                <w:szCs w:val="22"/>
              </w:rPr>
              <w:t>0006815898</w:t>
            </w:r>
          </w:p>
        </w:tc>
      </w:tr>
    </w:tbl>
    <w:p w:rsidR="00841AB1" w:rsidRPr="00037DB0" w:rsidRDefault="009E5420" w:rsidP="0087510B">
      <w:pPr>
        <w:pStyle w:val="StyleBoldCentered"/>
        <w:rPr>
          <w:rFonts w:ascii="Times New Roman" w:hAnsi="Times New Roman"/>
        </w:rPr>
      </w:pPr>
      <w:r w:rsidRPr="00037DB0">
        <w:rPr>
          <w:rFonts w:ascii="Times New Roman" w:hAnsi="Times New Roman"/>
        </w:rPr>
        <w:t>NOTICE OF APPARENT LIABILITY FOR FORFEITURE</w:t>
      </w:r>
    </w:p>
    <w:p w:rsidR="004C2EE3" w:rsidRPr="00037DB0" w:rsidRDefault="004C2EE3" w:rsidP="0087510B">
      <w:pPr>
        <w:tabs>
          <w:tab w:val="left" w:pos="-720"/>
        </w:tabs>
        <w:suppressAutoHyphens/>
        <w:spacing w:line="227" w:lineRule="auto"/>
        <w:rPr>
          <w:spacing w:val="-2"/>
          <w:szCs w:val="22"/>
        </w:rPr>
      </w:pPr>
    </w:p>
    <w:p w:rsidR="004C2EE3" w:rsidRPr="00037DB0" w:rsidRDefault="004C2EE3" w:rsidP="0087510B">
      <w:pPr>
        <w:tabs>
          <w:tab w:val="left" w:pos="720"/>
          <w:tab w:val="right" w:pos="9360"/>
        </w:tabs>
        <w:suppressAutoHyphens/>
        <w:spacing w:line="227" w:lineRule="auto"/>
        <w:rPr>
          <w:spacing w:val="-2"/>
          <w:szCs w:val="22"/>
        </w:rPr>
      </w:pPr>
      <w:r w:rsidRPr="00037DB0">
        <w:rPr>
          <w:b/>
          <w:spacing w:val="-2"/>
          <w:szCs w:val="22"/>
        </w:rPr>
        <w:t xml:space="preserve">Adopted:  </w:t>
      </w:r>
      <w:r w:rsidR="00175E11">
        <w:rPr>
          <w:b/>
          <w:spacing w:val="-2"/>
          <w:szCs w:val="22"/>
        </w:rPr>
        <w:t>January 23</w:t>
      </w:r>
      <w:r w:rsidR="00F30457" w:rsidRPr="00037DB0">
        <w:rPr>
          <w:b/>
          <w:spacing w:val="-2"/>
          <w:szCs w:val="22"/>
        </w:rPr>
        <w:t xml:space="preserve">, </w:t>
      </w:r>
      <w:r w:rsidR="006D1D51" w:rsidRPr="00037DB0">
        <w:rPr>
          <w:b/>
          <w:spacing w:val="-2"/>
          <w:szCs w:val="22"/>
        </w:rPr>
        <w:t>201</w:t>
      </w:r>
      <w:r w:rsidR="000567FC">
        <w:rPr>
          <w:b/>
          <w:spacing w:val="-2"/>
          <w:szCs w:val="22"/>
        </w:rPr>
        <w:t>5</w:t>
      </w:r>
      <w:r w:rsidR="006D1D51" w:rsidRPr="00037DB0">
        <w:rPr>
          <w:b/>
          <w:spacing w:val="-2"/>
          <w:szCs w:val="22"/>
        </w:rPr>
        <w:t xml:space="preserve"> </w:t>
      </w:r>
      <w:r w:rsidR="006D1D51" w:rsidRPr="00037DB0">
        <w:rPr>
          <w:b/>
          <w:spacing w:val="-2"/>
          <w:szCs w:val="22"/>
        </w:rPr>
        <w:tab/>
        <w:t xml:space="preserve">Released:  </w:t>
      </w:r>
      <w:r w:rsidR="00175E11">
        <w:rPr>
          <w:b/>
          <w:spacing w:val="-2"/>
          <w:szCs w:val="22"/>
        </w:rPr>
        <w:t>January 26</w:t>
      </w:r>
      <w:r w:rsidR="00F30457" w:rsidRPr="00037DB0">
        <w:rPr>
          <w:b/>
          <w:spacing w:val="-2"/>
          <w:szCs w:val="22"/>
        </w:rPr>
        <w:t>,</w:t>
      </w:r>
      <w:r w:rsidR="006D1D51" w:rsidRPr="00037DB0">
        <w:rPr>
          <w:b/>
          <w:spacing w:val="-2"/>
          <w:szCs w:val="22"/>
        </w:rPr>
        <w:t xml:space="preserve"> 201</w:t>
      </w:r>
      <w:r w:rsidR="000567FC">
        <w:rPr>
          <w:b/>
          <w:spacing w:val="-2"/>
          <w:szCs w:val="22"/>
        </w:rPr>
        <w:t>5</w:t>
      </w:r>
    </w:p>
    <w:p w:rsidR="00822CE0" w:rsidRPr="00037DB0" w:rsidRDefault="00822CE0" w:rsidP="0087510B">
      <w:pPr>
        <w:rPr>
          <w:szCs w:val="22"/>
        </w:rPr>
      </w:pPr>
    </w:p>
    <w:p w:rsidR="004C2EE3" w:rsidRPr="00037DB0" w:rsidRDefault="004C2EE3" w:rsidP="0087510B">
      <w:pPr>
        <w:rPr>
          <w:spacing w:val="-2"/>
          <w:szCs w:val="22"/>
        </w:rPr>
      </w:pPr>
      <w:r w:rsidRPr="00037DB0">
        <w:rPr>
          <w:szCs w:val="22"/>
        </w:rPr>
        <w:t xml:space="preserve">By </w:t>
      </w:r>
      <w:r w:rsidR="004E4A22" w:rsidRPr="00037DB0">
        <w:rPr>
          <w:szCs w:val="22"/>
        </w:rPr>
        <w:t>the</w:t>
      </w:r>
      <w:r w:rsidR="002A2D2E" w:rsidRPr="00037DB0">
        <w:rPr>
          <w:szCs w:val="22"/>
        </w:rPr>
        <w:t xml:space="preserve"> </w:t>
      </w:r>
      <w:r w:rsidR="006D1D51" w:rsidRPr="00037DB0">
        <w:rPr>
          <w:spacing w:val="-2"/>
          <w:szCs w:val="22"/>
        </w:rPr>
        <w:t>Commission:</w:t>
      </w:r>
    </w:p>
    <w:p w:rsidR="00412FC5" w:rsidRPr="00037DB0" w:rsidRDefault="00412FC5" w:rsidP="00412FC5">
      <w:pPr>
        <w:rPr>
          <w:szCs w:val="22"/>
        </w:rPr>
      </w:pPr>
    </w:p>
    <w:p w:rsidR="0013527D" w:rsidRDefault="0009023C" w:rsidP="00C3187B">
      <w:pPr>
        <w:pStyle w:val="Heading1"/>
        <w:spacing w:after="240"/>
      </w:pPr>
      <w:r w:rsidRPr="00037DB0">
        <w:t>INTRODUCTIOn</w:t>
      </w:r>
    </w:p>
    <w:p w:rsidR="00BC6CC4" w:rsidRPr="008D3D4A" w:rsidRDefault="00E72E88" w:rsidP="008515FF">
      <w:pPr>
        <w:pStyle w:val="ParaNum"/>
      </w:pPr>
      <w:r>
        <w:t xml:space="preserve">Telecommunications service providers are required to pay federal regulatory fees and make timely contributions to the Universal Service Fund (USF), the Telecommunications Relay Service (TRS) Fund, </w:t>
      </w:r>
      <w:r w:rsidR="00622868">
        <w:t xml:space="preserve">and </w:t>
      </w:r>
      <w:r w:rsidRPr="008D3D4A">
        <w:t>the cost recovery mechanism for local number portability (</w:t>
      </w:r>
      <w:r w:rsidRPr="00037DB0">
        <w:t>LNP)</w:t>
      </w:r>
      <w:r>
        <w:t xml:space="preserve">. </w:t>
      </w:r>
      <w:r w:rsidR="00854CEB">
        <w:t xml:space="preserve"> </w:t>
      </w:r>
      <w:r w:rsidRPr="00E72E88">
        <w:t>When telecommunications service providers fail to pay their share of obligations to the USF, TRS, LNP, and regulatory fee programs, and fail to file data required to assess their payment obligations for these programs, they undermine the efficiency and effectivene</w:t>
      </w:r>
      <w:r>
        <w:t>ss of these federal programs.  These d</w:t>
      </w:r>
      <w:r w:rsidRPr="00E72E88">
        <w:t>elinquent contributors also obtain a</w:t>
      </w:r>
      <w:r w:rsidR="00703990">
        <w:t>n unfair</w:t>
      </w:r>
      <w:r w:rsidRPr="00E72E88">
        <w:t xml:space="preserve"> competitive advantage over companies that comply with the </w:t>
      </w:r>
      <w:r>
        <w:t xml:space="preserve">Communications </w:t>
      </w:r>
      <w:r w:rsidRPr="00E72E88">
        <w:t>Act</w:t>
      </w:r>
      <w:r w:rsidR="00EF7524">
        <w:t xml:space="preserve"> of 1934, as amended (Act)</w:t>
      </w:r>
      <w:r w:rsidRPr="00E72E88">
        <w:t xml:space="preserve"> and </w:t>
      </w:r>
      <w:r w:rsidR="00525230">
        <w:t>the Commission’s r</w:t>
      </w:r>
      <w:r w:rsidRPr="00E72E88">
        <w:t>ules</w:t>
      </w:r>
      <w:r w:rsidR="00525230">
        <w:t xml:space="preserve"> (Rules)</w:t>
      </w:r>
      <w:r>
        <w:t>.  Today, we propose a penalty</w:t>
      </w:r>
      <w:r w:rsidRPr="0013527D">
        <w:t xml:space="preserve"> of $</w:t>
      </w:r>
      <w:r w:rsidRPr="0013527D">
        <w:rPr>
          <w:rFonts w:eastAsiaTheme="minorEastAsia"/>
        </w:rPr>
        <w:t>1,588,988</w:t>
      </w:r>
      <w:r w:rsidRPr="0013527D">
        <w:t xml:space="preserve"> against </w:t>
      </w:r>
      <w:r w:rsidRPr="0013527D">
        <w:rPr>
          <w:spacing w:val="-2"/>
        </w:rPr>
        <w:t>Advanced Tel, Inc.</w:t>
      </w:r>
      <w:r w:rsidRPr="0013527D">
        <w:t xml:space="preserve"> (ATI or Company) for the Company’s apparent failures to timely and fully </w:t>
      </w:r>
      <w:r w:rsidRPr="0013527D">
        <w:rPr>
          <w:snapToGrid/>
          <w:kern w:val="0"/>
        </w:rPr>
        <w:t xml:space="preserve">pay required </w:t>
      </w:r>
      <w:r>
        <w:rPr>
          <w:snapToGrid/>
          <w:kern w:val="0"/>
        </w:rPr>
        <w:t>contributions</w:t>
      </w:r>
      <w:r w:rsidRPr="0013527D">
        <w:rPr>
          <w:snapToGrid/>
          <w:kern w:val="0"/>
        </w:rPr>
        <w:t xml:space="preserve"> to federal regulatory programs over several years</w:t>
      </w:r>
      <w:r w:rsidRPr="0013527D">
        <w:t>.</w:t>
      </w:r>
      <w:r>
        <w:t xml:space="preserve">  </w:t>
      </w:r>
      <w:r w:rsidR="00DD2B09" w:rsidRPr="008D3D4A">
        <w:t xml:space="preserve"> </w:t>
      </w:r>
      <w:r w:rsidR="00866D0C">
        <w:t xml:space="preserve"> </w:t>
      </w:r>
    </w:p>
    <w:p w:rsidR="00A9128F" w:rsidRPr="00F06937" w:rsidRDefault="00B91DA2" w:rsidP="00E97070">
      <w:pPr>
        <w:pStyle w:val="ParaNum"/>
        <w:rPr>
          <w:caps/>
          <w:szCs w:val="22"/>
        </w:rPr>
      </w:pPr>
      <w:r w:rsidRPr="008D3D4A">
        <w:t>ATI</w:t>
      </w:r>
      <w:r w:rsidR="00134AE6" w:rsidRPr="008D3D4A">
        <w:t xml:space="preserve"> </w:t>
      </w:r>
      <w:r w:rsidR="002E783D" w:rsidRPr="008D3D4A">
        <w:t xml:space="preserve">failed to </w:t>
      </w:r>
      <w:r w:rsidR="00510141" w:rsidRPr="008D3D4A">
        <w:t xml:space="preserve">timely </w:t>
      </w:r>
      <w:r w:rsidR="00134AE6" w:rsidRPr="008D3D4A">
        <w:t xml:space="preserve">make required contributions to </w:t>
      </w:r>
      <w:r w:rsidR="006A7F77" w:rsidRPr="008D3D4A">
        <w:t xml:space="preserve">the </w:t>
      </w:r>
      <w:r w:rsidR="00622868">
        <w:t>USF, TRS Fund, and LNP cost recovery mechanism</w:t>
      </w:r>
      <w:r w:rsidR="00134AE6" w:rsidRPr="00037DB0">
        <w:t>,</w:t>
      </w:r>
      <w:r w:rsidR="006610A4" w:rsidRPr="00037DB0">
        <w:t xml:space="preserve"> </w:t>
      </w:r>
      <w:r w:rsidR="00134AE6" w:rsidRPr="00037DB0">
        <w:t xml:space="preserve">and </w:t>
      </w:r>
      <w:r w:rsidR="00365F8F" w:rsidRPr="00037DB0">
        <w:t xml:space="preserve">failed </w:t>
      </w:r>
      <w:r w:rsidR="00134AE6" w:rsidRPr="00037DB0">
        <w:t xml:space="preserve">to </w:t>
      </w:r>
      <w:r w:rsidR="00FE1136">
        <w:t xml:space="preserve">timely </w:t>
      </w:r>
      <w:r w:rsidR="00134AE6" w:rsidRPr="00037DB0">
        <w:t>pay federal</w:t>
      </w:r>
      <w:r w:rsidR="006610A4" w:rsidRPr="00037DB0">
        <w:t xml:space="preserve"> regulatory fees.</w:t>
      </w:r>
      <w:r w:rsidR="00134AE6" w:rsidRPr="00037DB0">
        <w:t xml:space="preserve">  </w:t>
      </w:r>
      <w:r w:rsidR="00EE4BD6">
        <w:t xml:space="preserve">These </w:t>
      </w:r>
      <w:r w:rsidR="005D695B">
        <w:t xml:space="preserve">apparent </w:t>
      </w:r>
      <w:r w:rsidR="00EE4BD6">
        <w:t>rule violations</w:t>
      </w:r>
      <w:r w:rsidR="00DD2B09" w:rsidRPr="00C17679">
        <w:rPr>
          <w:szCs w:val="24"/>
        </w:rPr>
        <w:t xml:space="preserve"> are serious </w:t>
      </w:r>
      <w:r w:rsidR="00DD2B09">
        <w:t xml:space="preserve">offenses.  These </w:t>
      </w:r>
      <w:r w:rsidR="00AC3C55">
        <w:t>payment</w:t>
      </w:r>
      <w:r w:rsidR="00DD2B09">
        <w:t xml:space="preserve"> failures not only deprive </w:t>
      </w:r>
      <w:r w:rsidR="00B17035">
        <w:t>the USF, TRS Fund, LNP cost recovery mechanism</w:t>
      </w:r>
      <w:r w:rsidR="00AC3C55">
        <w:t>, and the Commission</w:t>
      </w:r>
      <w:r w:rsidR="00B17035">
        <w:t xml:space="preserve"> </w:t>
      </w:r>
      <w:r w:rsidR="00DD2B09">
        <w:t xml:space="preserve">of resources </w:t>
      </w:r>
      <w:r w:rsidR="00AC3C55">
        <w:t>needed</w:t>
      </w:r>
      <w:r w:rsidR="00DD2B09">
        <w:t xml:space="preserve"> </w:t>
      </w:r>
      <w:r w:rsidR="00AC3C55">
        <w:t>for</w:t>
      </w:r>
      <w:r w:rsidR="00DD2B09">
        <w:t xml:space="preserve"> </w:t>
      </w:r>
      <w:r w:rsidR="00B17035">
        <w:t>important federal regulatory programs</w:t>
      </w:r>
      <w:r w:rsidR="00DD2B09">
        <w:t xml:space="preserve">, but </w:t>
      </w:r>
      <w:r w:rsidR="00B17035">
        <w:t>the</w:t>
      </w:r>
      <w:r w:rsidR="00AC3C55">
        <w:t>se</w:t>
      </w:r>
      <w:r w:rsidR="00B17035">
        <w:t xml:space="preserve"> </w:t>
      </w:r>
      <w:r w:rsidR="00AC3C55">
        <w:t>payment</w:t>
      </w:r>
      <w:r w:rsidR="00B17035">
        <w:t xml:space="preserve"> failures</w:t>
      </w:r>
      <w:r w:rsidR="00DD2B09">
        <w:t xml:space="preserve"> also </w:t>
      </w:r>
      <w:r w:rsidR="00B17035">
        <w:t>give</w:t>
      </w:r>
      <w:r w:rsidR="00DD2B09">
        <w:t xml:space="preserve"> delinquent </w:t>
      </w:r>
      <w:r w:rsidR="00B17035">
        <w:t>service providers</w:t>
      </w:r>
      <w:r w:rsidR="00DD2B09">
        <w:t xml:space="preserve"> an unfair competitive advantage by shifting to compliant </w:t>
      </w:r>
      <w:r w:rsidR="00AC3C55">
        <w:t xml:space="preserve">service providers </w:t>
      </w:r>
      <w:r w:rsidR="00DD2B09">
        <w:t xml:space="preserve">the economic costs associated with </w:t>
      </w:r>
      <w:r w:rsidR="00B17035">
        <w:t>these federal regulatory programs</w:t>
      </w:r>
      <w:r w:rsidR="00DD2B09">
        <w:t xml:space="preserve">.  </w:t>
      </w:r>
      <w:r w:rsidR="00134AE6" w:rsidRPr="00037DB0">
        <w:t xml:space="preserve">ATI also failed to timely file </w:t>
      </w:r>
      <w:r w:rsidR="00B474B2" w:rsidRPr="00037DB0">
        <w:t>required revenue information</w:t>
      </w:r>
      <w:r w:rsidR="00134AE6" w:rsidRPr="00037DB0">
        <w:t xml:space="preserve"> with the Universal Service Administrative Company (USAC)</w:t>
      </w:r>
      <w:r w:rsidR="000472D2">
        <w:t>, thereby</w:t>
      </w:r>
      <w:r w:rsidR="00FA22D8">
        <w:t xml:space="preserve"> imped</w:t>
      </w:r>
      <w:r w:rsidR="000472D2">
        <w:t>ing</w:t>
      </w:r>
      <w:r w:rsidR="00FA22D8">
        <w:t xml:space="preserve"> </w:t>
      </w:r>
      <w:r w:rsidR="00B474B2" w:rsidRPr="00037DB0">
        <w:t>USAC</w:t>
      </w:r>
      <w:r w:rsidR="00FA22D8">
        <w:t xml:space="preserve">’s ability to calculate the Company’s required monthly USF contributions.  </w:t>
      </w:r>
      <w:r w:rsidR="00134AE6" w:rsidRPr="00037DB0">
        <w:t xml:space="preserve">ATI’s payment </w:t>
      </w:r>
      <w:r w:rsidR="006B7287" w:rsidRPr="00037DB0">
        <w:t>failure</w:t>
      </w:r>
      <w:r w:rsidR="002E7084" w:rsidRPr="00037DB0">
        <w:t>s</w:t>
      </w:r>
      <w:r w:rsidR="006B7287" w:rsidRPr="00037DB0">
        <w:t xml:space="preserve"> </w:t>
      </w:r>
      <w:r w:rsidR="00134AE6" w:rsidRPr="00037DB0">
        <w:t>span several</w:t>
      </w:r>
      <w:r w:rsidR="0067040C" w:rsidRPr="00037DB0">
        <w:t xml:space="preserve"> </w:t>
      </w:r>
      <w:r w:rsidR="006B7287" w:rsidRPr="00037DB0">
        <w:t xml:space="preserve">years and </w:t>
      </w:r>
      <w:r w:rsidR="00365F8F" w:rsidRPr="00037DB0">
        <w:t xml:space="preserve">at one point ATI owed </w:t>
      </w:r>
      <w:r w:rsidR="00156B90">
        <w:t>nearly</w:t>
      </w:r>
      <w:r w:rsidR="00365F8F" w:rsidRPr="00037DB0">
        <w:t xml:space="preserve"> $1.5 million </w:t>
      </w:r>
      <w:r w:rsidR="00883AFD">
        <w:t>in</w:t>
      </w:r>
      <w:r w:rsidR="00883AFD" w:rsidRPr="00037DB0">
        <w:t xml:space="preserve"> </w:t>
      </w:r>
      <w:r w:rsidR="00156B90">
        <w:t>overdue</w:t>
      </w:r>
      <w:r w:rsidR="00365F8F" w:rsidRPr="00037DB0">
        <w:t xml:space="preserve"> assessments for federal regulatory programs</w:t>
      </w:r>
      <w:r w:rsidR="006B7287" w:rsidRPr="00037DB0">
        <w:t xml:space="preserve">.  </w:t>
      </w:r>
      <w:r w:rsidR="008F7838" w:rsidRPr="00037DB0">
        <w:t xml:space="preserve">The </w:t>
      </w:r>
      <w:r w:rsidR="00936403" w:rsidRPr="00037DB0">
        <w:t xml:space="preserve">penalties </w:t>
      </w:r>
      <w:r w:rsidR="008F7838" w:rsidRPr="00037DB0">
        <w:t xml:space="preserve">we propose here reflect the seriousness, duration, and scope of </w:t>
      </w:r>
      <w:r w:rsidR="00934F85" w:rsidRPr="00037DB0">
        <w:t>ATI</w:t>
      </w:r>
      <w:r w:rsidR="002D2E3A" w:rsidRPr="00037DB0">
        <w:t>’</w:t>
      </w:r>
      <w:r w:rsidR="008F7838" w:rsidRPr="00037DB0">
        <w:t xml:space="preserve">s </w:t>
      </w:r>
      <w:r w:rsidR="000472D2">
        <w:t xml:space="preserve">various </w:t>
      </w:r>
      <w:r w:rsidR="00FB6C80">
        <w:t>payment</w:t>
      </w:r>
      <w:r w:rsidR="000472D2">
        <w:t xml:space="preserve"> </w:t>
      </w:r>
      <w:r w:rsidR="008F7838" w:rsidRPr="00037DB0">
        <w:t>violations.</w:t>
      </w:r>
      <w:r w:rsidR="00C93BC8" w:rsidRPr="00A9128F">
        <w:rPr>
          <w:szCs w:val="22"/>
        </w:rPr>
        <w:t xml:space="preserve">   </w:t>
      </w:r>
    </w:p>
    <w:p w:rsidR="007E5137" w:rsidRPr="00DC4B0F" w:rsidRDefault="008F7838" w:rsidP="00DD6AB0">
      <w:pPr>
        <w:pStyle w:val="Heading1"/>
        <w:spacing w:before="240" w:after="240"/>
        <w:rPr>
          <w:rFonts w:ascii="Times New Roman" w:hAnsi="Times New Roman"/>
          <w:szCs w:val="22"/>
        </w:rPr>
      </w:pPr>
      <w:r w:rsidRPr="00DC4B0F">
        <w:rPr>
          <w:rFonts w:ascii="Times New Roman" w:hAnsi="Times New Roman"/>
          <w:szCs w:val="22"/>
        </w:rPr>
        <w:t>BACKGROUND</w:t>
      </w:r>
    </w:p>
    <w:p w:rsidR="00AB6066" w:rsidRPr="00B02FC2" w:rsidRDefault="0084762D" w:rsidP="000567FC">
      <w:pPr>
        <w:pStyle w:val="ParaNum"/>
        <w:widowControl/>
      </w:pPr>
      <w:r w:rsidRPr="00DC4B0F">
        <w:rPr>
          <w:snapToGrid/>
        </w:rPr>
        <w:t>ATI is a California-based non-dominant interexchange carrier that provides interstate</w:t>
      </w:r>
      <w:r w:rsidR="00FA22D8" w:rsidRPr="00DC4B0F">
        <w:rPr>
          <w:snapToGrid/>
        </w:rPr>
        <w:t>, international,</w:t>
      </w:r>
      <w:r w:rsidRPr="00B02FC2">
        <w:rPr>
          <w:snapToGrid/>
        </w:rPr>
        <w:t xml:space="preserve"> </w:t>
      </w:r>
      <w:r w:rsidR="00377885" w:rsidRPr="00B02FC2">
        <w:rPr>
          <w:snapToGrid/>
        </w:rPr>
        <w:t xml:space="preserve">and </w:t>
      </w:r>
      <w:r w:rsidR="00883AFD" w:rsidRPr="00B02FC2">
        <w:rPr>
          <w:snapToGrid/>
        </w:rPr>
        <w:t xml:space="preserve">intrastate </w:t>
      </w:r>
      <w:r w:rsidRPr="00B02FC2">
        <w:rPr>
          <w:snapToGrid/>
        </w:rPr>
        <w:t>long distance telecommunications services as a switchless reseller in 25 states.</w:t>
      </w:r>
      <w:r w:rsidR="00E66B62" w:rsidRPr="00B02FC2">
        <w:rPr>
          <w:rStyle w:val="FootnoteReference"/>
          <w:snapToGrid/>
          <w:kern w:val="0"/>
          <w:sz w:val="22"/>
          <w:szCs w:val="22"/>
        </w:rPr>
        <w:footnoteReference w:id="3"/>
      </w:r>
      <w:r w:rsidRPr="00B02FC2">
        <w:rPr>
          <w:snapToGrid/>
        </w:rPr>
        <w:t xml:space="preserve">  ATI has provided these services since 2002.</w:t>
      </w:r>
      <w:r w:rsidRPr="00B02FC2">
        <w:rPr>
          <w:snapToGrid/>
          <w:vertAlign w:val="superscript"/>
        </w:rPr>
        <w:footnoteReference w:id="4"/>
      </w:r>
      <w:r w:rsidRPr="00B02FC2">
        <w:rPr>
          <w:snapToGrid/>
        </w:rPr>
        <w:t xml:space="preserve"> </w:t>
      </w:r>
    </w:p>
    <w:p w:rsidR="00704418" w:rsidRPr="00AB6066" w:rsidRDefault="00704418" w:rsidP="003B681C">
      <w:pPr>
        <w:pStyle w:val="ParaNum"/>
        <w:widowControl/>
        <w:rPr>
          <w:szCs w:val="22"/>
        </w:rPr>
      </w:pPr>
      <w:r w:rsidRPr="00037DB0">
        <w:lastRenderedPageBreak/>
        <w:t xml:space="preserve">In May 2008, </w:t>
      </w:r>
      <w:r w:rsidRPr="00AB6066">
        <w:rPr>
          <w:snapToGrid/>
          <w:kern w:val="0"/>
          <w:szCs w:val="22"/>
        </w:rPr>
        <w:t>USAC</w:t>
      </w:r>
      <w:r w:rsidRPr="00037DB0">
        <w:t xml:space="preserve"> referred ATI to the Enforcement Bureau (Bureau) for potential enforcement action, alleging that ATI had failed to comply with the</w:t>
      </w:r>
      <w:r w:rsidR="00B40F7F">
        <w:t xml:space="preserve"> Commission’s USF contribution R</w:t>
      </w:r>
      <w:r w:rsidRPr="00037DB0">
        <w:t xml:space="preserve">ules.  </w:t>
      </w:r>
      <w:r w:rsidR="00377885">
        <w:t>O</w:t>
      </w:r>
      <w:r w:rsidR="00377885" w:rsidRPr="00037DB0">
        <w:t>n November 26, 2008</w:t>
      </w:r>
      <w:r w:rsidR="00377885">
        <w:t>, t</w:t>
      </w:r>
      <w:r w:rsidRPr="00037DB0">
        <w:t xml:space="preserve">he Bureau </w:t>
      </w:r>
      <w:r w:rsidR="00377885">
        <w:t xml:space="preserve">sent ATI a </w:t>
      </w:r>
      <w:r w:rsidR="00377885" w:rsidRPr="00037DB0">
        <w:t>letter of inquiry (LOI)</w:t>
      </w:r>
      <w:r w:rsidR="00377885">
        <w:t xml:space="preserve"> directing that the Company respond to questions regarding </w:t>
      </w:r>
      <w:r w:rsidRPr="00037DB0">
        <w:t xml:space="preserve">its compliance with </w:t>
      </w:r>
      <w:r w:rsidR="00510141">
        <w:t xml:space="preserve">contribution obligations </w:t>
      </w:r>
      <w:r w:rsidRPr="00037DB0">
        <w:t xml:space="preserve">and other related regulatory </w:t>
      </w:r>
      <w:r w:rsidR="00510141">
        <w:t>requirements</w:t>
      </w:r>
      <w:r w:rsidR="009820AB">
        <w:t xml:space="preserve"> contained in</w:t>
      </w:r>
      <w:r w:rsidR="009820AB" w:rsidRPr="009820AB">
        <w:rPr>
          <w:color w:val="000000"/>
        </w:rPr>
        <w:t xml:space="preserve"> </w:t>
      </w:r>
      <w:r w:rsidR="009820AB" w:rsidRPr="00A9128F">
        <w:rPr>
          <w:color w:val="000000"/>
        </w:rPr>
        <w:t>the Act and the Rules</w:t>
      </w:r>
      <w:r w:rsidRPr="00037DB0">
        <w:t>.</w:t>
      </w:r>
      <w:r w:rsidRPr="00037DB0">
        <w:rPr>
          <w:rStyle w:val="FootnoteReference"/>
          <w:sz w:val="22"/>
          <w:szCs w:val="22"/>
        </w:rPr>
        <w:footnoteReference w:id="5"/>
      </w:r>
      <w:r w:rsidRPr="00037DB0">
        <w:t xml:space="preserve">  ATI submitted </w:t>
      </w:r>
      <w:r w:rsidR="00510141">
        <w:t>its</w:t>
      </w:r>
      <w:r w:rsidRPr="00037DB0">
        <w:t xml:space="preserve"> response to the LOI on March 16, 2009.</w:t>
      </w:r>
      <w:r w:rsidRPr="00037DB0">
        <w:rPr>
          <w:rStyle w:val="FootnoteReference"/>
          <w:sz w:val="22"/>
          <w:szCs w:val="22"/>
        </w:rPr>
        <w:footnoteReference w:id="6"/>
      </w:r>
      <w:r w:rsidRPr="00037DB0">
        <w:t xml:space="preserve">  </w:t>
      </w:r>
      <w:r w:rsidR="00297B8F" w:rsidRPr="00AB6066">
        <w:rPr>
          <w:noProof/>
          <w:szCs w:val="22"/>
        </w:rPr>
        <w:t xml:space="preserve">ATI then requested consent decree </w:t>
      </w:r>
      <w:r w:rsidR="00297B8F" w:rsidRPr="00A77AC4">
        <w:rPr>
          <w:noProof/>
          <w:szCs w:val="22"/>
        </w:rPr>
        <w:t>negotiations</w:t>
      </w:r>
      <w:r w:rsidR="00A77AC4" w:rsidRPr="00A77AC4">
        <w:t>.  In accordance with long-standing FCC policy, before it could enter into a consent decree ATI was required to pay or arrange payment plans for outstanding debts for USF, TRS, LNP and regulatory fee assessments.  The Bureau granted ATI repeated extensions of time to make these payments and arrangements.  </w:t>
      </w:r>
      <w:r w:rsidR="00156B90" w:rsidRPr="00A77AC4">
        <w:rPr>
          <w:szCs w:val="22"/>
        </w:rPr>
        <w:t xml:space="preserve">After </w:t>
      </w:r>
      <w:r w:rsidR="00156B90" w:rsidRPr="00AB6066">
        <w:rPr>
          <w:szCs w:val="22"/>
        </w:rPr>
        <w:t xml:space="preserve">ATI informed the Bureau that </w:t>
      </w:r>
      <w:r w:rsidR="00A54B1D" w:rsidRPr="00AB6066">
        <w:rPr>
          <w:szCs w:val="22"/>
        </w:rPr>
        <w:t xml:space="preserve">the Company </w:t>
      </w:r>
      <w:r w:rsidR="00156B90" w:rsidRPr="00AB6066">
        <w:rPr>
          <w:szCs w:val="22"/>
        </w:rPr>
        <w:t>was making arrangements to pay outstanding amounts owed under installment plans with the U.S. Department of Treasury (Treasury Department), the Bureau sent ATI a second LOI on March 7, 2014 (Second LOI).</w:t>
      </w:r>
      <w:r w:rsidR="00156B90">
        <w:rPr>
          <w:rStyle w:val="FootnoteReference"/>
          <w:szCs w:val="22"/>
        </w:rPr>
        <w:footnoteReference w:id="7"/>
      </w:r>
      <w:r w:rsidR="00156B90" w:rsidRPr="00AB6066">
        <w:rPr>
          <w:szCs w:val="22"/>
        </w:rPr>
        <w:t xml:space="preserve">  ATI responded to the Second LOI on May 7, August 15, and September </w:t>
      </w:r>
      <w:r w:rsidR="002E5694" w:rsidRPr="00AB6066">
        <w:rPr>
          <w:szCs w:val="22"/>
        </w:rPr>
        <w:t>11</w:t>
      </w:r>
      <w:r w:rsidR="00156B90" w:rsidRPr="00AB6066">
        <w:rPr>
          <w:szCs w:val="22"/>
        </w:rPr>
        <w:t>, 2014.</w:t>
      </w:r>
      <w:r w:rsidR="00156B90">
        <w:rPr>
          <w:rStyle w:val="FootnoteReference"/>
          <w:szCs w:val="22"/>
        </w:rPr>
        <w:footnoteReference w:id="8"/>
      </w:r>
      <w:r w:rsidR="002E19FD" w:rsidRPr="00AB6066">
        <w:rPr>
          <w:szCs w:val="22"/>
        </w:rPr>
        <w:t xml:space="preserve">  </w:t>
      </w:r>
      <w:r w:rsidR="002E19FD" w:rsidRPr="00AB6066">
        <w:rPr>
          <w:noProof/>
          <w:szCs w:val="22"/>
        </w:rPr>
        <w:t>ATI subsequently again fell behind on its USF, TRS, LNP and regulatory fee payment obligations, and notified the Bureau that it could no longer pursue a consent decree.</w:t>
      </w:r>
      <w:r w:rsidR="002E19FD">
        <w:rPr>
          <w:rStyle w:val="FootnoteReference"/>
          <w:noProof/>
          <w:szCs w:val="22"/>
        </w:rPr>
        <w:footnoteReference w:id="9"/>
      </w:r>
      <w:r w:rsidR="002E19FD" w:rsidRPr="00AB6066">
        <w:rPr>
          <w:noProof/>
          <w:szCs w:val="22"/>
        </w:rPr>
        <w:t xml:space="preserve">  </w:t>
      </w:r>
      <w:r w:rsidR="00156B90" w:rsidRPr="00AB6066">
        <w:rPr>
          <w:szCs w:val="22"/>
        </w:rPr>
        <w:t xml:space="preserve">  </w:t>
      </w:r>
    </w:p>
    <w:p w:rsidR="00612BD9" w:rsidRDefault="00B55C3D" w:rsidP="00A7619F">
      <w:pPr>
        <w:pStyle w:val="Heading1"/>
        <w:spacing w:before="240" w:after="240"/>
      </w:pPr>
      <w:r w:rsidRPr="00463BED">
        <w:t>Discussion</w:t>
      </w:r>
    </w:p>
    <w:p w:rsidR="0013527D" w:rsidRDefault="005D5934" w:rsidP="00E97070">
      <w:pPr>
        <w:pStyle w:val="ParaNum"/>
      </w:pPr>
      <w:r w:rsidRPr="00037DB0">
        <w:t xml:space="preserve">Based on the facts and </w:t>
      </w:r>
      <w:r w:rsidRPr="00651A7B">
        <w:rPr>
          <w:snapToGrid/>
          <w:kern w:val="0"/>
        </w:rPr>
        <w:t>circumstances</w:t>
      </w:r>
      <w:r w:rsidRPr="00037DB0">
        <w:t xml:space="preserve"> before us, </w:t>
      </w:r>
      <w:r w:rsidR="00EE4BD6">
        <w:t xml:space="preserve">and as described more fully below, </w:t>
      </w:r>
      <w:r w:rsidRPr="00037DB0">
        <w:t xml:space="preserve">we find that </w:t>
      </w:r>
      <w:r w:rsidR="00396769" w:rsidRPr="00037DB0">
        <w:t>ATI</w:t>
      </w:r>
      <w:r w:rsidRPr="00037DB0">
        <w:t xml:space="preserve"> apparently willfully or repeatedly </w:t>
      </w:r>
      <w:r w:rsidR="005B3092">
        <w:t xml:space="preserve">failed to </w:t>
      </w:r>
      <w:r w:rsidRPr="00463BED">
        <w:t xml:space="preserve">timely </w:t>
      </w:r>
      <w:r w:rsidR="000C69C9" w:rsidRPr="00463BED">
        <w:t xml:space="preserve">make required </w:t>
      </w:r>
      <w:r w:rsidR="00396769" w:rsidRPr="00463BED">
        <w:t xml:space="preserve">USF, </w:t>
      </w:r>
      <w:r w:rsidR="000C69C9" w:rsidRPr="00463BED">
        <w:t xml:space="preserve">TRS and LNP contributions and timely pay required regulatory fees in accordance </w:t>
      </w:r>
      <w:r w:rsidR="000C69C9" w:rsidRPr="00B32883">
        <w:t>with Section</w:t>
      </w:r>
      <w:r w:rsidR="00396769" w:rsidRPr="00E93945">
        <w:t>s</w:t>
      </w:r>
      <w:r w:rsidR="000C69C9" w:rsidRPr="00651A7B">
        <w:t xml:space="preserve"> </w:t>
      </w:r>
      <w:r w:rsidR="00396769" w:rsidRPr="00651A7B">
        <w:rPr>
          <w:rFonts w:eastAsiaTheme="minorEastAsia"/>
        </w:rPr>
        <w:t>251(e)(2), and 254(d)</w:t>
      </w:r>
      <w:r w:rsidR="000C69C9" w:rsidRPr="00B32883">
        <w:t xml:space="preserve"> of the Act and Sections </w:t>
      </w:r>
      <w:r w:rsidR="00396769" w:rsidRPr="00B32883">
        <w:rPr>
          <w:rFonts w:eastAsiaTheme="minorEastAsia"/>
          <w:color w:val="000000"/>
        </w:rPr>
        <w:t xml:space="preserve">1.1154, 1.1157, 52.32, 54.706, and </w:t>
      </w:r>
      <w:r w:rsidR="00396769" w:rsidRPr="00B32883">
        <w:rPr>
          <w:rFonts w:eastAsiaTheme="minorEastAsia"/>
        </w:rPr>
        <w:t>64.604</w:t>
      </w:r>
      <w:r w:rsidR="00396769" w:rsidRPr="00B32883">
        <w:t>(c)(5)(iii)</w:t>
      </w:r>
      <w:r w:rsidR="00396769" w:rsidRPr="00463BED">
        <w:t xml:space="preserve"> of the Rules</w:t>
      </w:r>
      <w:r w:rsidR="005B3092">
        <w:t xml:space="preserve">, and to </w:t>
      </w:r>
      <w:r w:rsidR="005B3092" w:rsidRPr="00037DB0">
        <w:t xml:space="preserve">timely file a </w:t>
      </w:r>
      <w:r w:rsidR="00517CFE">
        <w:t>Q</w:t>
      </w:r>
      <w:r w:rsidR="005B3092">
        <w:t xml:space="preserve">uarterly </w:t>
      </w:r>
      <w:r w:rsidR="005B3092" w:rsidRPr="00037DB0">
        <w:t>Telecommunications Reporting Worksheet</w:t>
      </w:r>
      <w:r w:rsidR="005B3092">
        <w:t xml:space="preserve"> </w:t>
      </w:r>
      <w:r w:rsidR="005B3092" w:rsidRPr="00037DB0">
        <w:t xml:space="preserve">(FCC Form 499-Q or </w:t>
      </w:r>
      <w:r w:rsidR="005B3092">
        <w:t xml:space="preserve">Quarterly </w:t>
      </w:r>
      <w:r w:rsidR="005B3092" w:rsidRPr="00037DB0">
        <w:t>Worksheet), as Section 54.711</w:t>
      </w:r>
      <w:r w:rsidR="005B3092" w:rsidRPr="00037DB0" w:rsidDel="00115135">
        <w:t xml:space="preserve"> </w:t>
      </w:r>
      <w:r w:rsidR="005B3092" w:rsidRPr="00037DB0">
        <w:t>of the Rules require</w:t>
      </w:r>
      <w:r w:rsidR="005B3092">
        <w:t>s</w:t>
      </w:r>
      <w:r w:rsidR="005D34DC" w:rsidRPr="00463BED">
        <w:t>.</w:t>
      </w:r>
      <w:r w:rsidR="00424A9F" w:rsidRPr="00463BED">
        <w:rPr>
          <w:rStyle w:val="FootnoteReference"/>
          <w:sz w:val="22"/>
          <w:szCs w:val="22"/>
        </w:rPr>
        <w:footnoteReference w:id="10"/>
      </w:r>
      <w:r w:rsidR="005D34DC" w:rsidRPr="00463BED">
        <w:t xml:space="preserve">  </w:t>
      </w:r>
    </w:p>
    <w:p w:rsidR="00A4046E" w:rsidRDefault="0020646C" w:rsidP="00F06937">
      <w:pPr>
        <w:pStyle w:val="Heading2"/>
        <w:spacing w:before="240" w:after="240"/>
      </w:pPr>
      <w:r w:rsidRPr="00037DB0">
        <w:lastRenderedPageBreak/>
        <w:t xml:space="preserve">ATI Failed to Timely </w:t>
      </w:r>
      <w:r w:rsidR="00DD7B6C">
        <w:t xml:space="preserve">and Fully </w:t>
      </w:r>
      <w:r w:rsidRPr="00037DB0">
        <w:t>Contribute to the U</w:t>
      </w:r>
      <w:r w:rsidR="00C17679">
        <w:t>SF</w:t>
      </w:r>
    </w:p>
    <w:p w:rsidR="0020646C" w:rsidRPr="00037DB0" w:rsidRDefault="0020646C" w:rsidP="00E97070">
      <w:pPr>
        <w:pStyle w:val="ParaNum"/>
      </w:pPr>
      <w:r w:rsidRPr="00037DB0">
        <w:t xml:space="preserve">We conclude that ATI apparently violated Section 254(d) of the Act and Section 54.706(a) of the Rules by willfully </w:t>
      </w:r>
      <w:r w:rsidR="00B2062B">
        <w:t>or</w:t>
      </w:r>
      <w:r w:rsidR="00B2062B" w:rsidRPr="00037DB0">
        <w:t xml:space="preserve"> </w:t>
      </w:r>
      <w:r w:rsidRPr="00037DB0">
        <w:t>repeatedly failing to contribute fully and timely to the universal service support mechanisms.</w:t>
      </w:r>
      <w:r w:rsidRPr="00037DB0">
        <w:rPr>
          <w:vertAlign w:val="superscript"/>
        </w:rPr>
        <w:footnoteReference w:id="11"/>
      </w:r>
      <w:r w:rsidRPr="00037DB0">
        <w:t xml:space="preserve">  Section</w:t>
      </w:r>
      <w:r w:rsidR="00B40F7F">
        <w:t xml:space="preserve"> 54.706(a) of the Commission’s R</w:t>
      </w:r>
      <w:r w:rsidRPr="00037DB0">
        <w:t>ules unambiguously direct</w:t>
      </w:r>
      <w:r w:rsidR="00670183">
        <w:t>s</w:t>
      </w:r>
      <w:r w:rsidRPr="00037DB0">
        <w:t xml:space="preserve"> that “entities [providing] interstate telecommunications to the public . . . for a fee . . . contribute to the universal service support mechanisms.”</w:t>
      </w:r>
      <w:r w:rsidRPr="00037DB0">
        <w:rPr>
          <w:vertAlign w:val="superscript"/>
        </w:rPr>
        <w:footnoteReference w:id="12"/>
      </w:r>
      <w:r w:rsidRPr="00037DB0">
        <w:t xml:space="preserve">  “Interstate telecommunications” include, among other things, “resale of interstate services,” </w:t>
      </w:r>
      <w:r w:rsidR="00EE4BD6">
        <w:t xml:space="preserve">such </w:t>
      </w:r>
      <w:r w:rsidRPr="00037DB0">
        <w:t xml:space="preserve">as </w:t>
      </w:r>
      <w:r w:rsidR="00EE4BD6">
        <w:t xml:space="preserve">the services </w:t>
      </w:r>
      <w:r w:rsidRPr="00037DB0">
        <w:t>provided by ATI.</w:t>
      </w:r>
      <w:r w:rsidRPr="00037DB0">
        <w:rPr>
          <w:rStyle w:val="FootnoteReference"/>
          <w:sz w:val="22"/>
          <w:szCs w:val="22"/>
        </w:rPr>
        <w:footnoteReference w:id="13"/>
      </w:r>
      <w:r w:rsidRPr="00037DB0">
        <w:t xml:space="preserve">  </w:t>
      </w:r>
    </w:p>
    <w:p w:rsidR="0020646C" w:rsidRPr="00320370" w:rsidRDefault="0020646C" w:rsidP="00E97070">
      <w:pPr>
        <w:pStyle w:val="ParaNum"/>
      </w:pPr>
      <w:r w:rsidRPr="00320370">
        <w:t>ATI was required to contribute to the universal service support mechanisms based upon its end-user telecommunications revenues.</w:t>
      </w:r>
      <w:r w:rsidR="00C17679">
        <w:rPr>
          <w:rStyle w:val="FootnoteReference"/>
          <w:szCs w:val="22"/>
        </w:rPr>
        <w:footnoteReference w:id="14"/>
      </w:r>
      <w:r w:rsidRPr="00320370">
        <w:t xml:space="preserve">  The record reflects that ATI failed to contribute fully and timely to the USF beginning </w:t>
      </w:r>
      <w:r w:rsidR="007D7E83">
        <w:t xml:space="preserve">in </w:t>
      </w:r>
      <w:r w:rsidRPr="00320370">
        <w:t>July 2006.</w:t>
      </w:r>
      <w:r w:rsidRPr="00037DB0">
        <w:rPr>
          <w:rStyle w:val="FootnoteReference"/>
          <w:sz w:val="22"/>
          <w:szCs w:val="22"/>
        </w:rPr>
        <w:footnoteReference w:id="15"/>
      </w:r>
      <w:r w:rsidRPr="00320370">
        <w:t xml:space="preserve">  On November 16, 2007, ATI made its first attempt to remedy its USF payment problems when it submitted a request to USAC for a structured payment plan allow</w:t>
      </w:r>
      <w:r w:rsidR="00527C90" w:rsidRPr="00320370">
        <w:t>ing</w:t>
      </w:r>
      <w:r w:rsidRPr="00320370">
        <w:t xml:space="preserve"> it to pay its delinquent USF balance in </w:t>
      </w:r>
      <w:r w:rsidR="00050AE1" w:rsidRPr="00320370">
        <w:t xml:space="preserve">monthly </w:t>
      </w:r>
      <w:r w:rsidRPr="00320370">
        <w:t>installments.</w:t>
      </w:r>
      <w:r w:rsidRPr="00037DB0">
        <w:rPr>
          <w:rStyle w:val="FootnoteReference"/>
          <w:sz w:val="22"/>
          <w:szCs w:val="22"/>
        </w:rPr>
        <w:footnoteReference w:id="16"/>
      </w:r>
      <w:r w:rsidRPr="00320370">
        <w:t xml:space="preserve">  USAC</w:t>
      </w:r>
      <w:r w:rsidR="00050AE1" w:rsidRPr="00320370">
        <w:t xml:space="preserve"> </w:t>
      </w:r>
      <w:r w:rsidRPr="00320370">
        <w:t xml:space="preserve">granted the request, and in April 2008 ATI began making </w:t>
      </w:r>
      <w:r w:rsidR="00050AE1" w:rsidRPr="00320370">
        <w:t xml:space="preserve">monthly </w:t>
      </w:r>
      <w:r w:rsidRPr="00320370">
        <w:t>payments in accordance with the approved payment plan.</w:t>
      </w:r>
      <w:r w:rsidRPr="00037DB0">
        <w:rPr>
          <w:rStyle w:val="FootnoteReference"/>
          <w:sz w:val="22"/>
          <w:szCs w:val="22"/>
        </w:rPr>
        <w:footnoteReference w:id="17"/>
      </w:r>
      <w:r w:rsidRPr="00320370">
        <w:t xml:space="preserve">  </w:t>
      </w:r>
      <w:r w:rsidR="00050AE1" w:rsidRPr="00320370">
        <w:t xml:space="preserve">After </w:t>
      </w:r>
      <w:r w:rsidRPr="00320370">
        <w:t xml:space="preserve">several months, </w:t>
      </w:r>
      <w:r w:rsidR="00050AE1" w:rsidRPr="00320370">
        <w:t>however, ATI stopped making payments</w:t>
      </w:r>
      <w:r w:rsidR="007D7E83">
        <w:t>,</w:t>
      </w:r>
      <w:r w:rsidR="00050AE1" w:rsidRPr="00320370">
        <w:t xml:space="preserve"> and</w:t>
      </w:r>
      <w:r w:rsidR="00863BB6">
        <w:t xml:space="preserve"> </w:t>
      </w:r>
      <w:r w:rsidR="00050AE1" w:rsidRPr="00320370">
        <w:t xml:space="preserve">in December 2008 </w:t>
      </w:r>
      <w:r w:rsidRPr="00320370">
        <w:t xml:space="preserve">USAC </w:t>
      </w:r>
      <w:r w:rsidR="00050AE1" w:rsidRPr="00320370">
        <w:t>terminated</w:t>
      </w:r>
      <w:r w:rsidRPr="00320370">
        <w:t xml:space="preserve"> the payment plan based on ATI’s failure to make timely and complete payments on both the payment plan and on its current USF obligations.</w:t>
      </w:r>
      <w:r w:rsidRPr="00037DB0">
        <w:rPr>
          <w:rStyle w:val="FootnoteReference"/>
          <w:sz w:val="22"/>
          <w:szCs w:val="22"/>
        </w:rPr>
        <w:footnoteReference w:id="18"/>
      </w:r>
      <w:r w:rsidR="00320370" w:rsidRPr="00320370">
        <w:t xml:space="preserve">  </w:t>
      </w:r>
      <w:r w:rsidRPr="00320370">
        <w:t>ATI</w:t>
      </w:r>
      <w:r w:rsidR="0021425C" w:rsidRPr="00320370">
        <w:t xml:space="preserve">’s noncompliance with its USF contribution obligations continued </w:t>
      </w:r>
      <w:r w:rsidR="009B6841" w:rsidRPr="00320370">
        <w:t xml:space="preserve">even after the Company became aware of the Bureau’s investigation </w:t>
      </w:r>
      <w:r w:rsidR="004131AB">
        <w:t>in</w:t>
      </w:r>
      <w:r w:rsidR="0021425C" w:rsidRPr="00320370">
        <w:t xml:space="preserve"> </w:t>
      </w:r>
      <w:r w:rsidR="009B6841" w:rsidRPr="00320370">
        <w:t xml:space="preserve">November </w:t>
      </w:r>
      <w:r w:rsidR="0021425C" w:rsidRPr="00320370">
        <w:t>2009</w:t>
      </w:r>
      <w:r w:rsidR="009B6841" w:rsidRPr="00320370">
        <w:t>.</w:t>
      </w:r>
      <w:r w:rsidRPr="00037DB0">
        <w:rPr>
          <w:rStyle w:val="FootnoteReference"/>
          <w:sz w:val="22"/>
          <w:szCs w:val="22"/>
        </w:rPr>
        <w:footnoteReference w:id="19"/>
      </w:r>
      <w:r w:rsidRPr="00320370">
        <w:t xml:space="preserve"> </w:t>
      </w:r>
      <w:r w:rsidR="009B6841" w:rsidRPr="00320370">
        <w:t xml:space="preserve"> </w:t>
      </w:r>
      <w:r w:rsidRPr="00320370">
        <w:t xml:space="preserve">In December 2009, ATI again requested a payment plan </w:t>
      </w:r>
      <w:r w:rsidR="00D822A8" w:rsidRPr="00320370">
        <w:t xml:space="preserve">allowing it </w:t>
      </w:r>
      <w:r w:rsidRPr="00320370">
        <w:t>to pay its outstanding USF balance in installments.</w:t>
      </w:r>
      <w:r w:rsidRPr="00037DB0">
        <w:rPr>
          <w:rStyle w:val="FootnoteReference"/>
          <w:sz w:val="22"/>
          <w:szCs w:val="22"/>
        </w:rPr>
        <w:footnoteReference w:id="20"/>
      </w:r>
      <w:r w:rsidRPr="00320370">
        <w:t xml:space="preserve">  ATI made a few payments toward its delinquency between December 2009 and March 2010, but failed to also make timely and complete payments on its current USF obligations</w:t>
      </w:r>
      <w:r w:rsidR="00253BF7" w:rsidRPr="00320370">
        <w:t>.  A</w:t>
      </w:r>
      <w:r w:rsidRPr="00320370">
        <w:t xml:space="preserve">s a result, USAC ultimately rejected </w:t>
      </w:r>
      <w:r w:rsidR="00067B95" w:rsidRPr="00320370">
        <w:t>ATI’s</w:t>
      </w:r>
      <w:r w:rsidRPr="00320370">
        <w:t xml:space="preserve"> </w:t>
      </w:r>
      <w:r w:rsidR="00320370">
        <w:t xml:space="preserve">second </w:t>
      </w:r>
      <w:r w:rsidRPr="00320370">
        <w:t>payment plan request.</w:t>
      </w:r>
      <w:r w:rsidR="00492B2F">
        <w:rPr>
          <w:rStyle w:val="FootnoteReference"/>
          <w:szCs w:val="22"/>
        </w:rPr>
        <w:footnoteReference w:id="21"/>
      </w:r>
      <w:r w:rsidR="00A4046E" w:rsidRPr="00320370">
        <w:t xml:space="preserve">  </w:t>
      </w:r>
    </w:p>
    <w:p w:rsidR="00320370" w:rsidRPr="00320370" w:rsidRDefault="00320370" w:rsidP="000567FC">
      <w:pPr>
        <w:pStyle w:val="ParaNum"/>
        <w:widowControl/>
      </w:pPr>
      <w:r w:rsidRPr="00037DB0">
        <w:t xml:space="preserve">The record </w:t>
      </w:r>
      <w:r>
        <w:t>demonstrates</w:t>
      </w:r>
      <w:r w:rsidRPr="00037DB0">
        <w:t xml:space="preserve"> that ATI</w:t>
      </w:r>
      <w:r>
        <w:t xml:space="preserve"> </w:t>
      </w:r>
      <w:r w:rsidR="00A4046E" w:rsidRPr="00037DB0">
        <w:t xml:space="preserve">has </w:t>
      </w:r>
      <w:r w:rsidR="0020646C" w:rsidRPr="00037DB0">
        <w:t xml:space="preserve">maintained large outstanding balances </w:t>
      </w:r>
      <w:r w:rsidR="00A4046E" w:rsidRPr="00037DB0">
        <w:t xml:space="preserve">for </w:t>
      </w:r>
      <w:r>
        <w:t xml:space="preserve">unpaid </w:t>
      </w:r>
      <w:r w:rsidR="00A4046E" w:rsidRPr="00037DB0">
        <w:t>USF contributions</w:t>
      </w:r>
      <w:r w:rsidR="0020646C" w:rsidRPr="00037DB0">
        <w:t xml:space="preserve"> over a period spanning </w:t>
      </w:r>
      <w:r w:rsidR="00A4046E" w:rsidRPr="00037DB0">
        <w:t xml:space="preserve">approximately eight </w:t>
      </w:r>
      <w:r w:rsidR="0020646C" w:rsidRPr="00037DB0">
        <w:t>years.</w:t>
      </w:r>
      <w:r w:rsidR="004238A4">
        <w:t xml:space="preserve"> </w:t>
      </w:r>
      <w:r w:rsidR="005C013A">
        <w:t xml:space="preserve"> </w:t>
      </w:r>
      <w:r w:rsidR="004238A4" w:rsidRPr="005C013A">
        <w:rPr>
          <w:rFonts w:eastAsiaTheme="minorEastAsia"/>
        </w:rPr>
        <w:t>When a company has chronic payment failures</w:t>
      </w:r>
      <w:r w:rsidR="002E19FD">
        <w:rPr>
          <w:rFonts w:eastAsiaTheme="minorEastAsia"/>
        </w:rPr>
        <w:t xml:space="preserve"> to the USF</w:t>
      </w:r>
      <w:r w:rsidR="004238A4" w:rsidRPr="005C013A">
        <w:rPr>
          <w:rFonts w:eastAsiaTheme="minorEastAsia"/>
        </w:rPr>
        <w:t xml:space="preserve">, </w:t>
      </w:r>
      <w:r w:rsidR="002E19FD">
        <w:rPr>
          <w:rFonts w:eastAsiaTheme="minorEastAsia"/>
        </w:rPr>
        <w:t xml:space="preserve">USAC transfers </w:t>
      </w:r>
      <w:r w:rsidR="004238A4" w:rsidRPr="005C013A">
        <w:rPr>
          <w:rFonts w:eastAsiaTheme="minorEastAsia"/>
        </w:rPr>
        <w:t>the company’s debt</w:t>
      </w:r>
      <w:r w:rsidR="00BA1C2B">
        <w:rPr>
          <w:rFonts w:eastAsiaTheme="minorEastAsia"/>
        </w:rPr>
        <w:t xml:space="preserve"> </w:t>
      </w:r>
      <w:r w:rsidR="004238A4" w:rsidRPr="005C013A">
        <w:rPr>
          <w:rFonts w:eastAsiaTheme="minorEastAsia"/>
        </w:rPr>
        <w:t xml:space="preserve">to the </w:t>
      </w:r>
      <w:r w:rsidR="002A0096">
        <w:rPr>
          <w:rFonts w:eastAsiaTheme="minorEastAsia"/>
        </w:rPr>
        <w:t>Treasury Department</w:t>
      </w:r>
      <w:r w:rsidR="002A0096" w:rsidRPr="005C013A">
        <w:rPr>
          <w:rFonts w:eastAsiaTheme="minorEastAsia"/>
        </w:rPr>
        <w:t xml:space="preserve"> </w:t>
      </w:r>
      <w:r w:rsidR="00AA2522">
        <w:rPr>
          <w:rFonts w:eastAsiaTheme="minorEastAsia"/>
        </w:rPr>
        <w:t xml:space="preserve">for collection </w:t>
      </w:r>
      <w:r w:rsidR="004238A4" w:rsidRPr="005C013A">
        <w:rPr>
          <w:rFonts w:eastAsiaTheme="minorEastAsia"/>
        </w:rPr>
        <w:t>under the Debt Collection Improvement Act</w:t>
      </w:r>
      <w:r w:rsidR="00AA2522">
        <w:rPr>
          <w:rFonts w:eastAsiaTheme="minorEastAsia"/>
        </w:rPr>
        <w:t xml:space="preserve"> of 1996</w:t>
      </w:r>
      <w:r w:rsidR="004238A4" w:rsidRPr="005C013A">
        <w:rPr>
          <w:rFonts w:eastAsiaTheme="minorEastAsia"/>
        </w:rPr>
        <w:t xml:space="preserve"> (DCIA).</w:t>
      </w:r>
      <w:r w:rsidR="00AA2522">
        <w:rPr>
          <w:rStyle w:val="FootnoteReference"/>
          <w:rFonts w:eastAsiaTheme="minorEastAsia"/>
          <w:szCs w:val="22"/>
        </w:rPr>
        <w:footnoteReference w:id="22"/>
      </w:r>
      <w:r w:rsidR="004238A4" w:rsidRPr="005C013A">
        <w:rPr>
          <w:rFonts w:eastAsiaTheme="minorEastAsia"/>
        </w:rPr>
        <w:t xml:space="preserve">  </w:t>
      </w:r>
      <w:r w:rsidR="0058353C" w:rsidRPr="005C013A">
        <w:rPr>
          <w:rFonts w:eastAsiaTheme="minorEastAsia"/>
        </w:rPr>
        <w:t>Invoices from USAC to ATI show that b</w:t>
      </w:r>
      <w:r w:rsidR="004238A4" w:rsidRPr="005C013A">
        <w:rPr>
          <w:rFonts w:eastAsiaTheme="minorEastAsia"/>
        </w:rPr>
        <w:t xml:space="preserve">etween 2007 and 2014, </w:t>
      </w:r>
      <w:r w:rsidR="007974EE">
        <w:rPr>
          <w:rFonts w:eastAsiaTheme="minorEastAsia"/>
        </w:rPr>
        <w:t xml:space="preserve">the Commission and </w:t>
      </w:r>
      <w:r w:rsidR="004238A4" w:rsidRPr="005C013A">
        <w:rPr>
          <w:rFonts w:eastAsiaTheme="minorEastAsia"/>
        </w:rPr>
        <w:t>USAC</w:t>
      </w:r>
      <w:r w:rsidR="007974EE">
        <w:rPr>
          <w:rFonts w:eastAsiaTheme="minorEastAsia"/>
        </w:rPr>
        <w:t xml:space="preserve"> </w:t>
      </w:r>
      <w:r w:rsidR="005C013A">
        <w:rPr>
          <w:rFonts w:eastAsiaTheme="minorEastAsia"/>
        </w:rPr>
        <w:t xml:space="preserve">apparently </w:t>
      </w:r>
      <w:r w:rsidR="00BB2FEE">
        <w:rPr>
          <w:rFonts w:eastAsiaTheme="minorEastAsia"/>
        </w:rPr>
        <w:t>ma</w:t>
      </w:r>
      <w:r>
        <w:rPr>
          <w:rFonts w:eastAsiaTheme="minorEastAsia"/>
        </w:rPr>
        <w:t>d</w:t>
      </w:r>
      <w:r w:rsidR="00BB2FEE">
        <w:rPr>
          <w:rFonts w:eastAsiaTheme="minorEastAsia"/>
        </w:rPr>
        <w:t>e</w:t>
      </w:r>
      <w:r w:rsidR="004238A4" w:rsidRPr="005C013A">
        <w:rPr>
          <w:rFonts w:eastAsiaTheme="minorEastAsia"/>
        </w:rPr>
        <w:t xml:space="preserve"> </w:t>
      </w:r>
      <w:r w:rsidR="00E63C9F">
        <w:rPr>
          <w:rFonts w:eastAsiaTheme="minorEastAsia"/>
        </w:rPr>
        <w:t xml:space="preserve">numerous </w:t>
      </w:r>
      <w:r w:rsidR="004238A4" w:rsidRPr="005C013A">
        <w:rPr>
          <w:rFonts w:eastAsiaTheme="minorEastAsia"/>
        </w:rPr>
        <w:t xml:space="preserve">DCIA transfers </w:t>
      </w:r>
      <w:r w:rsidR="002A0096">
        <w:rPr>
          <w:rFonts w:eastAsiaTheme="minorEastAsia"/>
        </w:rPr>
        <w:t>for</w:t>
      </w:r>
      <w:r w:rsidR="004238A4" w:rsidRPr="005C013A">
        <w:rPr>
          <w:rFonts w:eastAsiaTheme="minorEastAsia"/>
        </w:rPr>
        <w:t xml:space="preserve"> </w:t>
      </w:r>
      <w:r w:rsidR="007974EE">
        <w:rPr>
          <w:rFonts w:eastAsiaTheme="minorEastAsia"/>
        </w:rPr>
        <w:t xml:space="preserve">ATI’s </w:t>
      </w:r>
      <w:r w:rsidR="004238A4" w:rsidRPr="005C013A">
        <w:rPr>
          <w:rFonts w:eastAsiaTheme="minorEastAsia"/>
        </w:rPr>
        <w:t xml:space="preserve">unpaid USF contributions.  </w:t>
      </w:r>
    </w:p>
    <w:p w:rsidR="0013527D" w:rsidRDefault="00320370" w:rsidP="00E97070">
      <w:pPr>
        <w:pStyle w:val="ParaNum"/>
      </w:pPr>
      <w:r w:rsidRPr="00BC2337">
        <w:t>ATI</w:t>
      </w:r>
      <w:r w:rsidR="007C00CE" w:rsidRPr="00BC2337">
        <w:t xml:space="preserve">’s </w:t>
      </w:r>
      <w:r w:rsidR="007C00CE" w:rsidRPr="00BA1C2B">
        <w:rPr>
          <w:rFonts w:eastAsiaTheme="minorEastAsia"/>
        </w:rPr>
        <w:t>apparent</w:t>
      </w:r>
      <w:r w:rsidRPr="00BC2337">
        <w:t xml:space="preserve"> </w:t>
      </w:r>
      <w:r w:rsidR="007C00CE" w:rsidRPr="00BC2337">
        <w:t xml:space="preserve">USF violations include the nonpayment of </w:t>
      </w:r>
      <w:r w:rsidR="007E1003">
        <w:t xml:space="preserve">at least </w:t>
      </w:r>
      <w:r w:rsidRPr="00BC2337">
        <w:t>36 USF invoices assessed between October 22, 2011 and September 22, 2014, and these violations will continue until ATI cures them with full payments.</w:t>
      </w:r>
      <w:r>
        <w:rPr>
          <w:rStyle w:val="FootnoteReference"/>
          <w:szCs w:val="22"/>
        </w:rPr>
        <w:footnoteReference w:id="23"/>
      </w:r>
      <w:r w:rsidRPr="00BC2337">
        <w:t xml:space="preserve">  </w:t>
      </w:r>
      <w:r w:rsidR="00A4046E" w:rsidRPr="00BC2337">
        <w:t xml:space="preserve">Data </w:t>
      </w:r>
      <w:r w:rsidR="007C00CE" w:rsidRPr="00BC2337">
        <w:t xml:space="preserve">from </w:t>
      </w:r>
      <w:r w:rsidR="00A4046E" w:rsidRPr="00BC2337">
        <w:t>ATI and USAC demonstrate that the highest amount ATI owed for USF contributions</w:t>
      </w:r>
      <w:r w:rsidR="00F835DC" w:rsidRPr="00BC2337">
        <w:t>, including amounts transferred under the DCIA</w:t>
      </w:r>
      <w:r w:rsidR="007C00CE" w:rsidRPr="00BC2337">
        <w:t>,</w:t>
      </w:r>
      <w:r w:rsidR="00DD7B6C" w:rsidRPr="00BC2337">
        <w:t xml:space="preserve"> </w:t>
      </w:r>
      <w:r w:rsidR="00A4046E" w:rsidRPr="00BC2337">
        <w:t>was $1,407,310.76 in October 2009.</w:t>
      </w:r>
      <w:r w:rsidR="00051E0E" w:rsidRPr="00BC2337">
        <w:t xml:space="preserve">  </w:t>
      </w:r>
      <w:r w:rsidR="00DD7B6C" w:rsidRPr="00BC2337">
        <w:t xml:space="preserve">Notably, </w:t>
      </w:r>
      <w:r w:rsidR="00051E0E" w:rsidRPr="00BC2337">
        <w:t>ATI’s substantial payment failures continued</w:t>
      </w:r>
      <w:r w:rsidR="00DD7B6C" w:rsidRPr="00BC2337">
        <w:t xml:space="preserve"> year after year</w:t>
      </w:r>
      <w:r w:rsidR="00AC72F1" w:rsidRPr="00BC2337">
        <w:t xml:space="preserve">, </w:t>
      </w:r>
      <w:r w:rsidR="00BB2FEE" w:rsidRPr="00BC2337">
        <w:t xml:space="preserve">even though </w:t>
      </w:r>
      <w:r w:rsidR="00051E0E" w:rsidRPr="00BC2337">
        <w:t xml:space="preserve">ATI </w:t>
      </w:r>
      <w:r w:rsidR="00BB2FEE" w:rsidRPr="00BC2337">
        <w:t>collect</w:t>
      </w:r>
      <w:r w:rsidR="002A0096" w:rsidRPr="00BC2337">
        <w:t xml:space="preserve">ed </w:t>
      </w:r>
      <w:r w:rsidR="004131AB">
        <w:t>over</w:t>
      </w:r>
      <w:r w:rsidR="002A0096" w:rsidRPr="00E535BD">
        <w:t xml:space="preserve"> $</w:t>
      </w:r>
      <w:r w:rsidR="002A0096">
        <w:t>2,</w:t>
      </w:r>
      <w:r w:rsidR="004131AB">
        <w:t>50</w:t>
      </w:r>
      <w:r w:rsidR="002A0096">
        <w:t>0,</w:t>
      </w:r>
      <w:r w:rsidR="004131AB">
        <w:t>000</w:t>
      </w:r>
      <w:r w:rsidR="002A0096" w:rsidRPr="00E535BD">
        <w:t xml:space="preserve"> </w:t>
      </w:r>
      <w:r w:rsidR="00051E0E" w:rsidRPr="00BC2337">
        <w:t>for USF assessments from its customers</w:t>
      </w:r>
      <w:r w:rsidR="00BB2FEE" w:rsidRPr="00E535BD">
        <w:t xml:space="preserve"> between </w:t>
      </w:r>
      <w:r w:rsidR="00BB2FEE">
        <w:t>2006</w:t>
      </w:r>
      <w:r w:rsidR="00BB2FEE" w:rsidRPr="00E535BD">
        <w:t xml:space="preserve"> and 201</w:t>
      </w:r>
      <w:r w:rsidR="004131AB">
        <w:t>4</w:t>
      </w:r>
      <w:r w:rsidR="00BB2FEE" w:rsidRPr="00E535BD">
        <w:t>.</w:t>
      </w:r>
      <w:r w:rsidR="00051E0E">
        <w:rPr>
          <w:rStyle w:val="FootnoteReference"/>
          <w:szCs w:val="22"/>
        </w:rPr>
        <w:footnoteReference w:id="24"/>
      </w:r>
      <w:r w:rsidR="00FC11E3" w:rsidRPr="00BC2337">
        <w:t xml:space="preserve"> </w:t>
      </w:r>
      <w:r w:rsidR="00051E0E" w:rsidRPr="00BC2337">
        <w:t xml:space="preserve"> </w:t>
      </w:r>
      <w:r w:rsidR="00A4046E" w:rsidRPr="00BC2337">
        <w:t>B</w:t>
      </w:r>
      <w:r w:rsidR="0020646C" w:rsidRPr="00BC2337">
        <w:t xml:space="preserve">ased on the record, we find that ATI apparently violated Section 254(d) of the Act and Section 54.706(a) of the Rules by willfully </w:t>
      </w:r>
      <w:r w:rsidR="00B2062B" w:rsidRPr="00BC2337">
        <w:t xml:space="preserve">or </w:t>
      </w:r>
      <w:r w:rsidR="0020646C" w:rsidRPr="00BC2337">
        <w:t>repeatedly failing to contribute fully and timely to the USF.</w:t>
      </w:r>
      <w:r w:rsidR="00FE1136">
        <w:rPr>
          <w:rStyle w:val="FootnoteReference"/>
          <w:szCs w:val="22"/>
        </w:rPr>
        <w:footnoteReference w:id="25"/>
      </w:r>
    </w:p>
    <w:p w:rsidR="00E72D31" w:rsidRDefault="00E72D31" w:rsidP="000B5F6B">
      <w:pPr>
        <w:pStyle w:val="Heading2"/>
        <w:widowControl/>
        <w:spacing w:before="240" w:after="240"/>
      </w:pPr>
      <w:r w:rsidRPr="00037DB0">
        <w:t>ATI</w:t>
      </w:r>
      <w:r w:rsidR="00652182" w:rsidRPr="00037DB0">
        <w:t xml:space="preserve"> Failed to Timely </w:t>
      </w:r>
      <w:r w:rsidR="00DD7B6C">
        <w:t xml:space="preserve">and Fully </w:t>
      </w:r>
      <w:r w:rsidR="00652182" w:rsidRPr="00037DB0">
        <w:t>Contribute to the TRS Fund</w:t>
      </w:r>
    </w:p>
    <w:p w:rsidR="00334553" w:rsidRPr="00037DB0" w:rsidRDefault="00652182" w:rsidP="00E97070">
      <w:pPr>
        <w:pStyle w:val="ParaNum"/>
      </w:pPr>
      <w:r w:rsidRPr="00037DB0">
        <w:t xml:space="preserve">We also find that </w:t>
      </w:r>
      <w:r w:rsidR="00E72D31" w:rsidRPr="00037DB0">
        <w:t>ATI</w:t>
      </w:r>
      <w:r w:rsidRPr="00037DB0">
        <w:t xml:space="preserve"> apparently violated Section 64.604(c)(5)(iii) of the Rules by willfully or repeatedly failing to timely</w:t>
      </w:r>
      <w:r w:rsidR="00711C64">
        <w:t xml:space="preserve"> and fully</w:t>
      </w:r>
      <w:r w:rsidRPr="00037DB0">
        <w:t xml:space="preserve"> contribute to the TRS Fund.  </w:t>
      </w:r>
      <w:r w:rsidR="00101BB0">
        <w:t xml:space="preserve">As directed by the Act, </w:t>
      </w:r>
      <w:r w:rsidRPr="00037DB0">
        <w:t xml:space="preserve">the Commission </w:t>
      </w:r>
      <w:r w:rsidR="00017BBD">
        <w:t>must</w:t>
      </w:r>
      <w:r w:rsidRPr="00037DB0">
        <w:t xml:space="preserve"> “ensure that interstate and intrastate telecommunications relay services are </w:t>
      </w:r>
      <w:r w:rsidR="00334553" w:rsidRPr="00037DB0">
        <w:t>available, to the extent possible and in the most efficient manner, to hearing-impaired and speech-impaired individuals in the United States.</w:t>
      </w:r>
      <w:r w:rsidR="002D2E3A" w:rsidRPr="00037DB0">
        <w:t>”</w:t>
      </w:r>
      <w:r w:rsidR="00953039" w:rsidRPr="00037DB0">
        <w:rPr>
          <w:rStyle w:val="FootnoteReference"/>
          <w:sz w:val="22"/>
          <w:szCs w:val="22"/>
        </w:rPr>
        <w:footnoteReference w:id="26"/>
      </w:r>
      <w:r w:rsidR="00953039" w:rsidRPr="00037DB0">
        <w:t xml:space="preserve"> </w:t>
      </w:r>
      <w:r w:rsidR="00953039" w:rsidRPr="00037DB0">
        <w:rPr>
          <w:rStyle w:val="par1Char"/>
          <w:szCs w:val="22"/>
        </w:rPr>
        <w:t xml:space="preserve"> </w:t>
      </w:r>
      <w:r w:rsidR="00334553" w:rsidRPr="00037DB0">
        <w:t>To that end, the Commission established the TRS Fund to reimburse TRS providers for the costs of providing interstate telecommunications relay services</w:t>
      </w:r>
      <w:r w:rsidR="000344A5" w:rsidRPr="00037DB0">
        <w:t>.</w:t>
      </w:r>
      <w:r w:rsidR="000344A5" w:rsidRPr="00037DB0">
        <w:rPr>
          <w:rStyle w:val="FootnoteReference"/>
          <w:sz w:val="22"/>
          <w:szCs w:val="22"/>
        </w:rPr>
        <w:footnoteReference w:id="27"/>
      </w:r>
      <w:r w:rsidR="000344A5" w:rsidRPr="00037DB0">
        <w:t xml:space="preserve">  </w:t>
      </w:r>
      <w:r w:rsidR="00B46978" w:rsidRPr="00037DB0">
        <w:t>Pursuant to the Rules, every provider of interstate telecommunications</w:t>
      </w:r>
      <w:r w:rsidR="00B46978">
        <w:t>, interconnected VoIP, or non-interconnected VoIP</w:t>
      </w:r>
      <w:r w:rsidR="00B46978" w:rsidRPr="00037DB0">
        <w:t xml:space="preserve"> services</w:t>
      </w:r>
      <w:r w:rsidR="00B46978">
        <w:t>, including international and resale services,</w:t>
      </w:r>
      <w:r w:rsidR="00B46978" w:rsidRPr="00037DB0">
        <w:t xml:space="preserve"> must contribute to the TRS Fund based upon its </w:t>
      </w:r>
      <w:r w:rsidR="00B46978">
        <w:t xml:space="preserve">interstate </w:t>
      </w:r>
      <w:r w:rsidR="00FD7C6E">
        <w:t xml:space="preserve">and international </w:t>
      </w:r>
      <w:r w:rsidR="00B46978" w:rsidRPr="00037DB0">
        <w:t>end-user revenues</w:t>
      </w:r>
      <w:r w:rsidR="000344A5" w:rsidRPr="00037DB0">
        <w:rPr>
          <w:rStyle w:val="FootnoteReference"/>
          <w:sz w:val="22"/>
          <w:szCs w:val="22"/>
        </w:rPr>
        <w:footnoteReference w:id="28"/>
      </w:r>
    </w:p>
    <w:p w:rsidR="005D0F71" w:rsidRPr="00037DB0" w:rsidRDefault="00420851" w:rsidP="00783084">
      <w:pPr>
        <w:pStyle w:val="ParaNum"/>
        <w:widowControl/>
      </w:pPr>
      <w:r w:rsidRPr="00037DB0">
        <w:t>As a provider of inter</w:t>
      </w:r>
      <w:r w:rsidR="00E72D31" w:rsidRPr="00037DB0">
        <w:t>state and international</w:t>
      </w:r>
      <w:r w:rsidRPr="00037DB0">
        <w:t xml:space="preserve"> telecommunications services, </w:t>
      </w:r>
      <w:r w:rsidR="00E72D31" w:rsidRPr="00037DB0">
        <w:t>ATI</w:t>
      </w:r>
      <w:r w:rsidRPr="00037DB0">
        <w:t xml:space="preserve"> was obligated to contribute to the TRS Fund on the basis of its inter</w:t>
      </w:r>
      <w:r w:rsidR="00E72D31" w:rsidRPr="00037DB0">
        <w:t>state</w:t>
      </w:r>
      <w:r w:rsidRPr="00037DB0">
        <w:t xml:space="preserve"> </w:t>
      </w:r>
      <w:r w:rsidR="00E72D31" w:rsidRPr="00037DB0">
        <w:t xml:space="preserve">and international </w:t>
      </w:r>
      <w:r w:rsidRPr="00037DB0">
        <w:t>end-user telecommunications revenues.</w:t>
      </w:r>
      <w:r w:rsidR="00480440" w:rsidRPr="00037DB0">
        <w:rPr>
          <w:rStyle w:val="FootnoteReference"/>
          <w:sz w:val="22"/>
          <w:szCs w:val="22"/>
        </w:rPr>
        <w:footnoteReference w:id="29"/>
      </w:r>
      <w:r w:rsidR="000B2D7B" w:rsidRPr="00037DB0">
        <w:t xml:space="preserve">  </w:t>
      </w:r>
      <w:r w:rsidR="00535C68" w:rsidRPr="00037DB0">
        <w:t xml:space="preserve">The </w:t>
      </w:r>
      <w:r w:rsidR="00D243F8" w:rsidRPr="00037DB0">
        <w:t xml:space="preserve">TRS </w:t>
      </w:r>
      <w:r w:rsidR="006605F8" w:rsidRPr="00037DB0">
        <w:t>Fund Administr</w:t>
      </w:r>
      <w:r w:rsidR="00D243F8" w:rsidRPr="00037DB0">
        <w:t xml:space="preserve">ator calculates the </w:t>
      </w:r>
      <w:r w:rsidR="00535C68" w:rsidRPr="00037DB0">
        <w:t>contribution that a carrier is required to make to the TRS Fund by applying a contribution factor (determined annually by the Commission) to the carrier</w:t>
      </w:r>
      <w:r w:rsidR="002D2E3A" w:rsidRPr="00037DB0">
        <w:t>’</w:t>
      </w:r>
      <w:r w:rsidR="00535C68" w:rsidRPr="00037DB0">
        <w:t>s revenues for the prior calendar year</w:t>
      </w:r>
      <w:r w:rsidR="00C033F5" w:rsidRPr="00037DB0">
        <w:t xml:space="preserve"> as reported in the </w:t>
      </w:r>
      <w:r w:rsidR="000B3240">
        <w:t xml:space="preserve">annual </w:t>
      </w:r>
      <w:r w:rsidR="000B3240" w:rsidRPr="00037DB0">
        <w:t>Telecommunications Reporting Worksheet</w:t>
      </w:r>
      <w:r w:rsidR="000B3240">
        <w:t xml:space="preserve">s </w:t>
      </w:r>
      <w:r w:rsidR="000B3240" w:rsidRPr="00037DB0">
        <w:t>(FCC Form 499-</w:t>
      </w:r>
      <w:r w:rsidR="000B3240">
        <w:t>A</w:t>
      </w:r>
      <w:r w:rsidR="000B3240" w:rsidRPr="00037DB0">
        <w:t xml:space="preserve"> or </w:t>
      </w:r>
      <w:r w:rsidR="000B3240">
        <w:t xml:space="preserve">Annual </w:t>
      </w:r>
      <w:r w:rsidR="000B3240" w:rsidRPr="00037DB0">
        <w:t>Worksheet</w:t>
      </w:r>
      <w:r w:rsidR="000B3240">
        <w:t>s</w:t>
      </w:r>
      <w:r w:rsidR="000B3240" w:rsidRPr="00037DB0">
        <w:t xml:space="preserve">) </w:t>
      </w:r>
      <w:r w:rsidR="00C033F5" w:rsidRPr="00037DB0">
        <w:t>due in April</w:t>
      </w:r>
      <w:r w:rsidR="00B7422A" w:rsidRPr="00037DB0">
        <w:t xml:space="preserve"> of each year</w:t>
      </w:r>
      <w:r w:rsidR="00535C68" w:rsidRPr="00037DB0">
        <w:t>.</w:t>
      </w:r>
      <w:r w:rsidR="00535C68" w:rsidRPr="00037DB0">
        <w:rPr>
          <w:rStyle w:val="FootnoteReference"/>
          <w:sz w:val="22"/>
          <w:szCs w:val="22"/>
        </w:rPr>
        <w:footnoteReference w:id="30"/>
      </w:r>
      <w:r w:rsidR="00535C68" w:rsidRPr="00037DB0">
        <w:t xml:space="preserve">  </w:t>
      </w:r>
      <w:r w:rsidR="007C4EDB" w:rsidRPr="00037DB0">
        <w:t>The TRS Fund Administrator uses a July 1 through June 30 billing year</w:t>
      </w:r>
      <w:r w:rsidR="00C033F5" w:rsidRPr="00037DB0">
        <w:t>, and s</w:t>
      </w:r>
      <w:r w:rsidR="00535C68" w:rsidRPr="00037DB0">
        <w:t>ubject carriers must make TRS contributions on a</w:t>
      </w:r>
      <w:r w:rsidR="002B356A" w:rsidRPr="00037DB0">
        <w:t xml:space="preserve"> monthly or </w:t>
      </w:r>
      <w:r w:rsidR="00535C68" w:rsidRPr="00037DB0">
        <w:t>annual basis.</w:t>
      </w:r>
      <w:r w:rsidR="00535C68" w:rsidRPr="00037DB0">
        <w:rPr>
          <w:rStyle w:val="FootnoteReference"/>
          <w:sz w:val="22"/>
          <w:szCs w:val="22"/>
        </w:rPr>
        <w:footnoteReference w:id="31"/>
      </w:r>
      <w:r w:rsidR="00535C68" w:rsidRPr="00037DB0">
        <w:t xml:space="preserve">  Failures to timely contribute to the TRS Fund constitute </w:t>
      </w:r>
      <w:r w:rsidR="008F2F97" w:rsidRPr="00037DB0">
        <w:t xml:space="preserve">continuing </w:t>
      </w:r>
      <w:r w:rsidR="00535C68" w:rsidRPr="00037DB0">
        <w:t>violations until the violations are cured</w:t>
      </w:r>
      <w:r w:rsidR="00F835DC">
        <w:t xml:space="preserve"> by paying all monies </w:t>
      </w:r>
      <w:r w:rsidR="00114DF3">
        <w:t>owed</w:t>
      </w:r>
      <w:r w:rsidR="00535C68" w:rsidRPr="00037DB0">
        <w:t>.</w:t>
      </w:r>
      <w:r w:rsidR="00C83A89" w:rsidRPr="00037DB0">
        <w:rPr>
          <w:rStyle w:val="FootnoteReference"/>
          <w:sz w:val="22"/>
          <w:szCs w:val="22"/>
        </w:rPr>
        <w:footnoteReference w:id="32"/>
      </w:r>
    </w:p>
    <w:p w:rsidR="00C2213C" w:rsidRDefault="00E72D31" w:rsidP="003B681C">
      <w:pPr>
        <w:pStyle w:val="ParaNum"/>
        <w:widowControl/>
      </w:pPr>
      <w:r w:rsidRPr="00AC1ECB">
        <w:t xml:space="preserve">ATI failed to timely </w:t>
      </w:r>
      <w:r w:rsidR="00E36A78" w:rsidRPr="00AC1ECB">
        <w:t xml:space="preserve">and fully pay </w:t>
      </w:r>
      <w:r w:rsidRPr="00AC1ECB">
        <w:t xml:space="preserve">TRS Fund contributions </w:t>
      </w:r>
      <w:r w:rsidR="005F72A3" w:rsidRPr="00AC1ECB">
        <w:t>due</w:t>
      </w:r>
      <w:r w:rsidR="00BD6CD9" w:rsidRPr="00AC1ECB">
        <w:t xml:space="preserve"> </w:t>
      </w:r>
      <w:r w:rsidR="00953733" w:rsidRPr="00AC1ECB">
        <w:t>by</w:t>
      </w:r>
      <w:r w:rsidR="005F72A3" w:rsidRPr="00AC1ECB">
        <w:t xml:space="preserve"> December 12, </w:t>
      </w:r>
      <w:r w:rsidRPr="00AC1ECB">
        <w:t>2012</w:t>
      </w:r>
      <w:r w:rsidR="005F72A3" w:rsidRPr="00AC1ECB">
        <w:t>,</w:t>
      </w:r>
      <w:r w:rsidRPr="00AC1ECB">
        <w:t xml:space="preserve"> </w:t>
      </w:r>
      <w:r w:rsidR="005F72A3" w:rsidRPr="00AC1ECB">
        <w:t xml:space="preserve">July 6, </w:t>
      </w:r>
      <w:r w:rsidRPr="00AC1ECB">
        <w:t>2013</w:t>
      </w:r>
      <w:r w:rsidR="00FC11E3" w:rsidRPr="00AC1ECB">
        <w:t>, and July 1, 2014</w:t>
      </w:r>
      <w:r w:rsidRPr="00AC1ECB">
        <w:t>.</w:t>
      </w:r>
      <w:r w:rsidR="005F72A3" w:rsidRPr="00037DB0">
        <w:rPr>
          <w:rStyle w:val="FootnoteReference"/>
          <w:sz w:val="22"/>
          <w:szCs w:val="22"/>
        </w:rPr>
        <w:footnoteReference w:id="33"/>
      </w:r>
      <w:r w:rsidR="005F72A3" w:rsidRPr="00AC1ECB">
        <w:t xml:space="preserve">  </w:t>
      </w:r>
      <w:r w:rsidRPr="00AC1ECB">
        <w:t xml:space="preserve">The highest amount </w:t>
      </w:r>
      <w:r w:rsidR="00953733" w:rsidRPr="00AC1ECB">
        <w:t xml:space="preserve">ATI </w:t>
      </w:r>
      <w:r w:rsidRPr="00AC1ECB">
        <w:t xml:space="preserve">owed for TRS </w:t>
      </w:r>
      <w:r w:rsidR="005F72A3" w:rsidRPr="00AC1ECB">
        <w:t xml:space="preserve">Fund contributions </w:t>
      </w:r>
      <w:r w:rsidRPr="00AC1ECB">
        <w:t>was $10,665.80</w:t>
      </w:r>
      <w:r w:rsidR="005F72A3" w:rsidRPr="00AC1ECB">
        <w:t xml:space="preserve"> (due December 12, 2012)</w:t>
      </w:r>
      <w:r w:rsidRPr="00AC1ECB">
        <w:t>.</w:t>
      </w:r>
      <w:r w:rsidR="00FD68AC" w:rsidRPr="00037DB0">
        <w:rPr>
          <w:rStyle w:val="FootnoteReference"/>
          <w:sz w:val="22"/>
          <w:szCs w:val="22"/>
        </w:rPr>
        <w:footnoteReference w:id="34"/>
      </w:r>
      <w:r w:rsidR="00FD68AC" w:rsidRPr="00AC1ECB">
        <w:t xml:space="preserve">  </w:t>
      </w:r>
      <w:r w:rsidR="00CD48C9" w:rsidRPr="00AC1ECB">
        <w:t xml:space="preserve">We conclude, based on a preponderance of the evidence, that </w:t>
      </w:r>
      <w:r w:rsidR="00BD6CD9" w:rsidRPr="00AC1ECB">
        <w:t>ATI</w:t>
      </w:r>
      <w:r w:rsidR="00CD48C9" w:rsidRPr="00AC1ECB">
        <w:t xml:space="preserve"> apparently violated Section </w:t>
      </w:r>
      <w:r w:rsidR="00606F6D" w:rsidRPr="00AC1ECB">
        <w:t xml:space="preserve">225 </w:t>
      </w:r>
      <w:r w:rsidR="00CD48C9" w:rsidRPr="00AC1ECB">
        <w:t>of the Act and Section 64.604(c)</w:t>
      </w:r>
      <w:r w:rsidR="005C7D2F" w:rsidRPr="00AC1ECB">
        <w:t>(5)(iii) o</w:t>
      </w:r>
      <w:r w:rsidR="00953733" w:rsidRPr="00AC1ECB">
        <w:t>f</w:t>
      </w:r>
      <w:r w:rsidR="005C7D2F" w:rsidRPr="00AC1ECB">
        <w:t xml:space="preserve"> the Rules </w:t>
      </w:r>
      <w:r w:rsidR="00CD48C9" w:rsidRPr="00AC1ECB">
        <w:t xml:space="preserve">by willfully or repeatedly failing to timely </w:t>
      </w:r>
      <w:r w:rsidR="00E36A78" w:rsidRPr="00AC1ECB">
        <w:t>and fully pay</w:t>
      </w:r>
      <w:r w:rsidR="00CD48C9" w:rsidRPr="00AC1ECB">
        <w:t xml:space="preserve"> required</w:t>
      </w:r>
      <w:r w:rsidR="00742133" w:rsidRPr="00AC1ECB">
        <w:t xml:space="preserve"> TRS </w:t>
      </w:r>
      <w:r w:rsidR="00670183">
        <w:t xml:space="preserve">Fund </w:t>
      </w:r>
      <w:r w:rsidR="00742133" w:rsidRPr="00AC1ECB">
        <w:t xml:space="preserve">contributions </w:t>
      </w:r>
      <w:r w:rsidR="00B24D0B" w:rsidRPr="00AC1ECB">
        <w:t>due December 12, 2012, July 6, 2013, and July 1, 2014</w:t>
      </w:r>
      <w:r w:rsidR="00582D89" w:rsidRPr="00AC1ECB">
        <w:t>.</w:t>
      </w:r>
      <w:r w:rsidR="00CD48C9" w:rsidRPr="00037DB0">
        <w:rPr>
          <w:rStyle w:val="FootnoteReference"/>
          <w:sz w:val="22"/>
          <w:szCs w:val="22"/>
        </w:rPr>
        <w:footnoteReference w:id="35"/>
      </w:r>
    </w:p>
    <w:p w:rsidR="00C85616" w:rsidRDefault="00AC1ECB" w:rsidP="001517AC">
      <w:pPr>
        <w:pStyle w:val="Heading2"/>
        <w:keepNext w:val="0"/>
        <w:widowControl/>
        <w:spacing w:before="240" w:after="240"/>
      </w:pPr>
      <w:r>
        <w:rPr>
          <w:szCs w:val="22"/>
        </w:rPr>
        <w:t>A</w:t>
      </w:r>
      <w:r w:rsidR="00D13850" w:rsidRPr="00037DB0">
        <w:t>TI</w:t>
      </w:r>
      <w:r w:rsidR="00C2399F" w:rsidRPr="00037DB0">
        <w:t xml:space="preserve"> Failed to Timely </w:t>
      </w:r>
      <w:r w:rsidR="007040EC">
        <w:t xml:space="preserve">and Fully </w:t>
      </w:r>
      <w:r w:rsidR="00C2399F" w:rsidRPr="00037DB0">
        <w:t>Contribut</w:t>
      </w:r>
      <w:r w:rsidR="000D71B6" w:rsidRPr="00037DB0">
        <w:t xml:space="preserve">e </w:t>
      </w:r>
      <w:r w:rsidR="00C2399F" w:rsidRPr="00037DB0">
        <w:t xml:space="preserve">to the </w:t>
      </w:r>
      <w:r w:rsidR="000D71B6" w:rsidRPr="00037DB0">
        <w:t xml:space="preserve">LNP </w:t>
      </w:r>
      <w:r w:rsidR="00C2399F" w:rsidRPr="00037DB0">
        <w:t xml:space="preserve">Cost Recovery </w:t>
      </w:r>
      <w:r w:rsidR="000D71B6" w:rsidRPr="00037DB0">
        <w:t>Mechanism</w:t>
      </w:r>
    </w:p>
    <w:p w:rsidR="00863BB6" w:rsidRPr="00C125B2" w:rsidRDefault="00C85616" w:rsidP="00E97070">
      <w:pPr>
        <w:pStyle w:val="ParaNum"/>
      </w:pPr>
      <w:r w:rsidRPr="00C2213C">
        <w:t>We next conclude that ATI apparently violated Section 251(e)(2) of the Act and Section 52.32 of the Rules by willfully or repeatedly failing to timely and fully pay LNP cost recovery mechanism contributions.  Telecommunications number portability concerns the ability of consumers of telecommunications services to “retain, at the same location, existing telecommunications numbers without impairment of quality, reliability, or convenience when switching from one telecommunications carrier to another.”</w:t>
      </w:r>
      <w:r w:rsidRPr="00037DB0">
        <w:rPr>
          <w:rStyle w:val="FootnoteReference"/>
          <w:sz w:val="22"/>
          <w:szCs w:val="22"/>
        </w:rPr>
        <w:footnoteReference w:id="36"/>
      </w:r>
      <w:r w:rsidRPr="00C2213C">
        <w:t xml:space="preserve">  The presence of this feature in the telecommunications marketplace fosters consumer choice and enhances competition.</w:t>
      </w:r>
      <w:r w:rsidRPr="00037DB0">
        <w:rPr>
          <w:rStyle w:val="FootnoteReference"/>
          <w:sz w:val="22"/>
          <w:szCs w:val="22"/>
        </w:rPr>
        <w:footnoteReference w:id="37"/>
      </w:r>
      <w:r w:rsidRPr="00C2213C">
        <w:t xml:space="preserve">  </w:t>
      </w:r>
      <w:r w:rsidR="00891674">
        <w:t>The Act gives e</w:t>
      </w:r>
      <w:r w:rsidRPr="00C2213C">
        <w:t>very telecommunications carrier a duty to provide local number portability</w:t>
      </w:r>
      <w:r w:rsidRPr="00037DB0">
        <w:rPr>
          <w:rStyle w:val="FootnoteReference"/>
          <w:sz w:val="22"/>
          <w:szCs w:val="22"/>
        </w:rPr>
        <w:footnoteReference w:id="38"/>
      </w:r>
      <w:r w:rsidR="00101BB0">
        <w:t xml:space="preserve"> </w:t>
      </w:r>
      <w:r w:rsidR="00646480">
        <w:t>a</w:t>
      </w:r>
      <w:r w:rsidR="00101BB0">
        <w:t>nd</w:t>
      </w:r>
      <w:r w:rsidR="00891674">
        <w:t xml:space="preserve"> specifies that</w:t>
      </w:r>
      <w:r w:rsidR="00101BB0">
        <w:t xml:space="preserve"> </w:t>
      </w:r>
      <w:r w:rsidRPr="00C2213C">
        <w:t>“[t]he cost of establishing . . . number portability shall be borne by all telecommunications carriers on a competitively neutral basis as determined by the Commission.”</w:t>
      </w:r>
      <w:r w:rsidRPr="00037DB0">
        <w:rPr>
          <w:rStyle w:val="FootnoteReference"/>
          <w:sz w:val="22"/>
          <w:szCs w:val="22"/>
        </w:rPr>
        <w:footnoteReference w:id="39"/>
      </w:r>
      <w:r w:rsidRPr="00C2213C">
        <w:t xml:space="preserve">  In implementing this statutory directive, the Commission adopted Section 52.32 of its Rules, which requires, among other things, that all telecommunications carriers contribute to the costs of LNP on the basis of their end-user telecommunications revenues for the prior calendar year.</w:t>
      </w:r>
      <w:r w:rsidRPr="00037DB0">
        <w:rPr>
          <w:rStyle w:val="FootnoteReference"/>
          <w:sz w:val="22"/>
          <w:szCs w:val="22"/>
        </w:rPr>
        <w:footnoteReference w:id="40"/>
      </w:r>
      <w:r w:rsidRPr="00C2213C">
        <w:t xml:space="preserve">  A failure to make </w:t>
      </w:r>
      <w:bookmarkStart w:id="1" w:name="sp_1511_4266"/>
      <w:bookmarkStart w:id="2" w:name="SDU_4266"/>
      <w:bookmarkStart w:id="3" w:name="citeas((Cite_as:_24_F.C.C.R._4254,_*4266"/>
      <w:bookmarkEnd w:id="1"/>
      <w:bookmarkEnd w:id="2"/>
      <w:bookmarkEnd w:id="3"/>
      <w:r w:rsidRPr="00C2213C">
        <w:t>LNP contributions constitutes a continuing violation until it is cured by paying all monies owed.</w:t>
      </w:r>
      <w:bookmarkStart w:id="4" w:name="FN[FN76]"/>
      <w:bookmarkEnd w:id="4"/>
      <w:r w:rsidRPr="00037DB0">
        <w:rPr>
          <w:rStyle w:val="FootnoteReference"/>
          <w:sz w:val="22"/>
          <w:szCs w:val="22"/>
        </w:rPr>
        <w:footnoteReference w:id="41"/>
      </w:r>
      <w:r w:rsidR="00C2213C" w:rsidRPr="00C2213C">
        <w:t xml:space="preserve">  </w:t>
      </w:r>
    </w:p>
    <w:p w:rsidR="00A7619F" w:rsidRPr="00F40AB5" w:rsidRDefault="00D13850" w:rsidP="00E97070">
      <w:pPr>
        <w:pStyle w:val="ParaNum"/>
      </w:pPr>
      <w:r w:rsidRPr="00C2213C">
        <w:t>ATI has failed to timely</w:t>
      </w:r>
      <w:r w:rsidR="007040EC" w:rsidRPr="00C2213C">
        <w:t xml:space="preserve"> and</w:t>
      </w:r>
      <w:r w:rsidRPr="00C2213C">
        <w:t xml:space="preserve"> </w:t>
      </w:r>
      <w:r w:rsidR="007040EC" w:rsidRPr="00C2213C">
        <w:t xml:space="preserve">fully </w:t>
      </w:r>
      <w:r w:rsidRPr="00C2213C">
        <w:t>pay contributions for LNP cost recovery each year from 2011 to 2014, and ATI</w:t>
      </w:r>
      <w:r w:rsidR="004B1A22" w:rsidRPr="00C2213C">
        <w:t xml:space="preserve"> has not yet </w:t>
      </w:r>
      <w:r w:rsidR="00B24D0B" w:rsidRPr="00C2213C">
        <w:t xml:space="preserve">fully </w:t>
      </w:r>
      <w:r w:rsidR="004B1A22" w:rsidRPr="00C2213C">
        <w:t>paid these required contributions.</w:t>
      </w:r>
      <w:r w:rsidR="009F218D" w:rsidRPr="00037DB0">
        <w:rPr>
          <w:rStyle w:val="FootnoteReference"/>
          <w:sz w:val="22"/>
          <w:szCs w:val="22"/>
        </w:rPr>
        <w:footnoteReference w:id="42"/>
      </w:r>
      <w:r w:rsidR="001456CA" w:rsidRPr="00C2213C">
        <w:t xml:space="preserve">  </w:t>
      </w:r>
      <w:r w:rsidR="000D71B6" w:rsidRPr="00C2213C">
        <w:t>We therefore find, b</w:t>
      </w:r>
      <w:r w:rsidR="008360D0" w:rsidRPr="00C2213C">
        <w:t xml:space="preserve">ased on the preponderance of the evidence, that </w:t>
      </w:r>
      <w:r w:rsidR="00E306E8" w:rsidRPr="00C2213C">
        <w:t>ATI</w:t>
      </w:r>
      <w:r w:rsidR="008360D0" w:rsidRPr="00C2213C">
        <w:t xml:space="preserve"> apparently violated Section 251(e)(2) of the Act and Section 52.32 of the Rules by willfully </w:t>
      </w:r>
      <w:r w:rsidR="00404BE2" w:rsidRPr="00C2213C">
        <w:t xml:space="preserve">or </w:t>
      </w:r>
      <w:r w:rsidR="008360D0" w:rsidRPr="00C2213C">
        <w:t xml:space="preserve">repeatedly failing to </w:t>
      </w:r>
      <w:r w:rsidR="001456CA" w:rsidRPr="00C2213C">
        <w:t xml:space="preserve">timely </w:t>
      </w:r>
      <w:r w:rsidR="008360D0" w:rsidRPr="00C2213C">
        <w:t xml:space="preserve">make </w:t>
      </w:r>
      <w:r w:rsidR="001456CA" w:rsidRPr="00C2213C">
        <w:t xml:space="preserve">required </w:t>
      </w:r>
      <w:r w:rsidR="008360D0" w:rsidRPr="00C2213C">
        <w:t xml:space="preserve">payments to the LNP cost recovery </w:t>
      </w:r>
      <w:r w:rsidR="001456CA" w:rsidRPr="00C2213C">
        <w:t xml:space="preserve">mechanism for </w:t>
      </w:r>
      <w:r w:rsidR="008360D0" w:rsidRPr="00C2213C">
        <w:t>2011</w:t>
      </w:r>
      <w:r w:rsidR="00E306E8" w:rsidRPr="00C2213C">
        <w:t>, 2</w:t>
      </w:r>
      <w:r w:rsidR="008360D0" w:rsidRPr="00C2213C">
        <w:t>012</w:t>
      </w:r>
      <w:r w:rsidR="001456CA" w:rsidRPr="00C2213C">
        <w:t xml:space="preserve">, </w:t>
      </w:r>
      <w:r w:rsidR="00E306E8" w:rsidRPr="00C2213C">
        <w:t>2</w:t>
      </w:r>
      <w:r w:rsidR="008360D0" w:rsidRPr="00C2213C">
        <w:t>013</w:t>
      </w:r>
      <w:r w:rsidR="001456CA" w:rsidRPr="00C2213C">
        <w:t>, and 20</w:t>
      </w:r>
      <w:r w:rsidR="00E306E8" w:rsidRPr="00C2213C">
        <w:t>1</w:t>
      </w:r>
      <w:r w:rsidR="001456CA" w:rsidRPr="00C2213C">
        <w:t>4</w:t>
      </w:r>
      <w:r w:rsidR="008360D0" w:rsidRPr="00C2213C">
        <w:t>.</w:t>
      </w:r>
      <w:r w:rsidR="008360D0" w:rsidRPr="00037DB0">
        <w:rPr>
          <w:rStyle w:val="FootnoteReference"/>
          <w:sz w:val="22"/>
          <w:szCs w:val="22"/>
        </w:rPr>
        <w:footnoteReference w:id="43"/>
      </w:r>
      <w:r w:rsidR="008360D0" w:rsidRPr="00C2213C">
        <w:t xml:space="preserve">  </w:t>
      </w:r>
    </w:p>
    <w:p w:rsidR="00783100" w:rsidRDefault="00E306E8" w:rsidP="00F06937">
      <w:pPr>
        <w:pStyle w:val="Heading2"/>
        <w:spacing w:before="240" w:after="240"/>
      </w:pPr>
      <w:r w:rsidRPr="00037DB0">
        <w:t>ATI</w:t>
      </w:r>
      <w:r w:rsidR="000A6F15" w:rsidRPr="00037DB0">
        <w:t xml:space="preserve"> </w:t>
      </w:r>
      <w:r w:rsidR="000D71B6" w:rsidRPr="00037DB0">
        <w:t>F</w:t>
      </w:r>
      <w:r w:rsidR="000A6F15" w:rsidRPr="00037DB0">
        <w:t xml:space="preserve">ailed to </w:t>
      </w:r>
      <w:r w:rsidR="000D71B6" w:rsidRPr="00037DB0">
        <w:t xml:space="preserve">Timely </w:t>
      </w:r>
      <w:r w:rsidR="007040EC">
        <w:t xml:space="preserve">and Fully </w:t>
      </w:r>
      <w:r w:rsidR="000A6F15" w:rsidRPr="00037DB0">
        <w:t xml:space="preserve">Pay </w:t>
      </w:r>
      <w:r w:rsidR="000D71B6" w:rsidRPr="00037DB0">
        <w:t xml:space="preserve">Required </w:t>
      </w:r>
      <w:r w:rsidR="000A6F15" w:rsidRPr="00037DB0">
        <w:t>Regulatory Fees</w:t>
      </w:r>
    </w:p>
    <w:p w:rsidR="000A6F15" w:rsidRPr="00787084" w:rsidRDefault="00E409F3" w:rsidP="00E97070">
      <w:pPr>
        <w:pStyle w:val="ParaNum"/>
      </w:pPr>
      <w:r w:rsidRPr="00783100">
        <w:t xml:space="preserve">We </w:t>
      </w:r>
      <w:r w:rsidR="00372F31" w:rsidRPr="00783100">
        <w:t>further</w:t>
      </w:r>
      <w:r w:rsidR="0030338C" w:rsidRPr="00783100">
        <w:t xml:space="preserve"> </w:t>
      </w:r>
      <w:r w:rsidRPr="00783100">
        <w:t xml:space="preserve">conclude that </w:t>
      </w:r>
      <w:r w:rsidR="00E306E8" w:rsidRPr="00783100">
        <w:t>ATI</w:t>
      </w:r>
      <w:r w:rsidRPr="00783100">
        <w:t xml:space="preserve"> apparently violated Sections 1.1154 and 1.1157(b)(1) of the Rules by willfully or repeatedly failing to timely </w:t>
      </w:r>
      <w:r w:rsidR="007040EC" w:rsidRPr="00783100">
        <w:t xml:space="preserve">and fully </w:t>
      </w:r>
      <w:r w:rsidRPr="00783100">
        <w:t>pay required regulatory fee</w:t>
      </w:r>
      <w:r w:rsidR="00372F31" w:rsidRPr="00783100">
        <w:t xml:space="preserve">s for fiscal years </w:t>
      </w:r>
      <w:r w:rsidR="00BF1320" w:rsidRPr="00783100">
        <w:t xml:space="preserve">2010, </w:t>
      </w:r>
      <w:r w:rsidR="00372F31" w:rsidRPr="00783100">
        <w:t>2011</w:t>
      </w:r>
      <w:r w:rsidR="00E306E8" w:rsidRPr="00783100">
        <w:t xml:space="preserve">, </w:t>
      </w:r>
      <w:r w:rsidR="007444A5" w:rsidRPr="00783100">
        <w:t>2013, and</w:t>
      </w:r>
      <w:r w:rsidR="00E306E8" w:rsidRPr="00783100">
        <w:t xml:space="preserve"> 2014</w:t>
      </w:r>
      <w:r w:rsidRPr="00783100">
        <w:t>.</w:t>
      </w:r>
      <w:r w:rsidR="00046FCA" w:rsidRPr="00783100">
        <w:t xml:space="preserve">  </w:t>
      </w:r>
      <w:r w:rsidR="000A6F15" w:rsidRPr="00783100">
        <w:t xml:space="preserve">Section 9 of the </w:t>
      </w:r>
      <w:r w:rsidR="00EF5EBC" w:rsidRPr="00783100">
        <w:t>Act</w:t>
      </w:r>
      <w:r w:rsidR="000A6F15" w:rsidRPr="00783100">
        <w:t xml:space="preserve"> directs the Commission to </w:t>
      </w:r>
      <w:r w:rsidR="002D2E3A" w:rsidRPr="00783100">
        <w:t>“</w:t>
      </w:r>
      <w:r w:rsidR="000A6F15" w:rsidRPr="00783100">
        <w:t>assess and collect regulatory fees to recover the costs</w:t>
      </w:r>
      <w:r w:rsidR="002D2E3A" w:rsidRPr="00783100">
        <w:t>”</w:t>
      </w:r>
      <w:r w:rsidR="000A6F15" w:rsidRPr="00783100">
        <w:t xml:space="preserve"> of certain enumerated Commission activities, including</w:t>
      </w:r>
      <w:r w:rsidR="009D3E6A" w:rsidRPr="00783100">
        <w:t xml:space="preserve"> </w:t>
      </w:r>
      <w:r w:rsidR="002D2E3A" w:rsidRPr="00783100">
        <w:t>“</w:t>
      </w:r>
      <w:r w:rsidR="000A6F15" w:rsidRPr="00783100">
        <w:t>enforcement activities, policy and rulemaking activities, user information services, and international activities</w:t>
      </w:r>
      <w:r w:rsidR="009D3E6A" w:rsidRPr="00783100">
        <w:t>.</w:t>
      </w:r>
      <w:r w:rsidR="002D2E3A" w:rsidRPr="00783100">
        <w:t>”</w:t>
      </w:r>
      <w:r w:rsidR="000A6F15" w:rsidRPr="00037DB0">
        <w:rPr>
          <w:rStyle w:val="FootnoteReference"/>
          <w:sz w:val="22"/>
          <w:szCs w:val="22"/>
        </w:rPr>
        <w:footnoteReference w:id="44"/>
      </w:r>
      <w:r w:rsidR="000A6F15" w:rsidRPr="00783100">
        <w:t xml:space="preserve">  Consistent with this directive, the Commission has set forth in its Rules schedules of annual regulatory fees that entities regulated by the Commission must remit to the Commission</w:t>
      </w:r>
      <w:r w:rsidR="00372F31" w:rsidRPr="00783100">
        <w:t>,</w:t>
      </w:r>
      <w:r w:rsidR="009D3E6A" w:rsidRPr="00783100">
        <w:t xml:space="preserve"> </w:t>
      </w:r>
      <w:r w:rsidR="00E7087B" w:rsidRPr="00783100">
        <w:t xml:space="preserve">as well as </w:t>
      </w:r>
      <w:r w:rsidR="009D3E6A" w:rsidRPr="00783100">
        <w:t>requirements</w:t>
      </w:r>
      <w:r w:rsidR="00E7087B" w:rsidRPr="00783100">
        <w:t xml:space="preserve"> </w:t>
      </w:r>
      <w:r w:rsidR="00372F31" w:rsidRPr="00783100">
        <w:t xml:space="preserve">for </w:t>
      </w:r>
      <w:r w:rsidR="007D176F" w:rsidRPr="00783100">
        <w:t xml:space="preserve">when </w:t>
      </w:r>
      <w:r w:rsidR="00E7087B" w:rsidRPr="00783100">
        <w:t xml:space="preserve">the fees </w:t>
      </w:r>
      <w:r w:rsidR="00372F31" w:rsidRPr="00783100">
        <w:t xml:space="preserve">must </w:t>
      </w:r>
      <w:r w:rsidR="00E7087B" w:rsidRPr="00783100">
        <w:t>be paid</w:t>
      </w:r>
      <w:r w:rsidR="000A6F15" w:rsidRPr="00783100">
        <w:t>.</w:t>
      </w:r>
      <w:r w:rsidR="000A6F15" w:rsidRPr="00037DB0">
        <w:rPr>
          <w:rStyle w:val="FootnoteReference"/>
          <w:sz w:val="22"/>
          <w:szCs w:val="22"/>
        </w:rPr>
        <w:footnoteReference w:id="45"/>
      </w:r>
      <w:r w:rsidR="000A6F15" w:rsidRPr="00783100">
        <w:t xml:space="preserve">  As a provider of</w:t>
      </w:r>
      <w:r w:rsidR="00E306E8" w:rsidRPr="00783100">
        <w:t xml:space="preserve"> interstate and</w:t>
      </w:r>
      <w:r w:rsidR="000A6F15" w:rsidRPr="00783100">
        <w:t xml:space="preserve"> international telecommunications services, </w:t>
      </w:r>
      <w:r w:rsidR="00E306E8" w:rsidRPr="00783100">
        <w:t>ATI</w:t>
      </w:r>
      <w:r w:rsidR="000A6F15" w:rsidRPr="00783100">
        <w:t xml:space="preserve"> was obligated to pay regulatory fees based on its </w:t>
      </w:r>
      <w:r w:rsidR="00E306E8" w:rsidRPr="00783100">
        <w:t xml:space="preserve">interstate and </w:t>
      </w:r>
      <w:r w:rsidR="000A6F15" w:rsidRPr="00783100">
        <w:t>international end-us</w:t>
      </w:r>
      <w:r w:rsidR="009D3E6A" w:rsidRPr="00783100">
        <w:t xml:space="preserve">er revenues as recorded on its </w:t>
      </w:r>
      <w:r w:rsidR="00B62170">
        <w:t>A</w:t>
      </w:r>
      <w:r w:rsidR="00C14043" w:rsidRPr="00783100">
        <w:t>nnual</w:t>
      </w:r>
      <w:r w:rsidR="000A6F15" w:rsidRPr="00783100">
        <w:t xml:space="preserve"> Worksheets.</w:t>
      </w:r>
      <w:r w:rsidR="000A6F15" w:rsidRPr="00037DB0">
        <w:rPr>
          <w:rStyle w:val="FootnoteReference"/>
          <w:sz w:val="22"/>
          <w:szCs w:val="22"/>
        </w:rPr>
        <w:footnoteReference w:id="46"/>
      </w:r>
      <w:r w:rsidR="00A040AD" w:rsidRPr="00783100">
        <w:t xml:space="preserve">  Failures to make regulatory fee payments are continuing violations until they are </w:t>
      </w:r>
      <w:r w:rsidR="00A040AD" w:rsidRPr="0096519B">
        <w:t xml:space="preserve">cured by </w:t>
      </w:r>
      <w:r w:rsidR="00114DF3" w:rsidRPr="0096519B">
        <w:t>paying all</w:t>
      </w:r>
      <w:r w:rsidR="00AC40FF">
        <w:t xml:space="preserve"> amounts due</w:t>
      </w:r>
      <w:r w:rsidR="00A040AD" w:rsidRPr="0096519B">
        <w:t>.</w:t>
      </w:r>
      <w:r w:rsidR="00A040AD" w:rsidRPr="0096519B">
        <w:rPr>
          <w:rStyle w:val="FootnoteReference"/>
          <w:sz w:val="22"/>
          <w:szCs w:val="22"/>
        </w:rPr>
        <w:footnoteReference w:id="47"/>
      </w:r>
      <w:r w:rsidR="00A040AD" w:rsidRPr="0096519B">
        <w:t xml:space="preserve"> </w:t>
      </w:r>
    </w:p>
    <w:p w:rsidR="0016337C" w:rsidRPr="0096519B" w:rsidRDefault="007F7D0A" w:rsidP="00E97070">
      <w:pPr>
        <w:pStyle w:val="ParaNum"/>
      </w:pPr>
      <w:r w:rsidRPr="0096519B">
        <w:t>ATI</w:t>
      </w:r>
      <w:r w:rsidR="002D2E3A" w:rsidRPr="0096519B">
        <w:t>’</w:t>
      </w:r>
      <w:r w:rsidR="00E7087B" w:rsidRPr="0096519B">
        <w:t xml:space="preserve">s regulatory fees for </w:t>
      </w:r>
      <w:r w:rsidR="000A6F15" w:rsidRPr="0096519B">
        <w:t>fiscal year</w:t>
      </w:r>
      <w:r w:rsidR="00046FCA" w:rsidRPr="0096519B">
        <w:t>s</w:t>
      </w:r>
      <w:r w:rsidR="000A6F15" w:rsidRPr="0096519B">
        <w:t xml:space="preserve"> </w:t>
      </w:r>
      <w:r w:rsidR="00BF1320" w:rsidRPr="0096519B">
        <w:t xml:space="preserve">2010, </w:t>
      </w:r>
      <w:r w:rsidR="000A6F15" w:rsidRPr="0096519B">
        <w:t>2011</w:t>
      </w:r>
      <w:r w:rsidR="00E306E8" w:rsidRPr="0096519B">
        <w:t xml:space="preserve">, </w:t>
      </w:r>
      <w:r w:rsidR="007444A5" w:rsidRPr="0096519B">
        <w:t>2013, and</w:t>
      </w:r>
      <w:r w:rsidR="00E7087B" w:rsidRPr="0096519B">
        <w:t xml:space="preserve"> 201</w:t>
      </w:r>
      <w:r w:rsidR="00E306E8" w:rsidRPr="0096519B">
        <w:t>4</w:t>
      </w:r>
      <w:r w:rsidR="00E7087B" w:rsidRPr="0096519B">
        <w:t xml:space="preserve"> </w:t>
      </w:r>
      <w:r w:rsidR="000A6F15" w:rsidRPr="0096519B">
        <w:t>w</w:t>
      </w:r>
      <w:r w:rsidR="00E7087B" w:rsidRPr="0096519B">
        <w:t xml:space="preserve">ere </w:t>
      </w:r>
      <w:r w:rsidR="000A6F15" w:rsidRPr="0096519B">
        <w:t xml:space="preserve">due by </w:t>
      </w:r>
      <w:r w:rsidR="00BF1320" w:rsidRPr="0096519B">
        <w:t xml:space="preserve">August 31, 2010, </w:t>
      </w:r>
      <w:r w:rsidR="000A6F15" w:rsidRPr="0096519B">
        <w:t>September 15, 2011</w:t>
      </w:r>
      <w:r w:rsidR="00372F31" w:rsidRPr="0096519B">
        <w:t>,</w:t>
      </w:r>
      <w:r w:rsidR="000A6F15" w:rsidRPr="0096519B">
        <w:t xml:space="preserve"> </w:t>
      </w:r>
      <w:r w:rsidR="00E7087B" w:rsidRPr="0096519B">
        <w:t xml:space="preserve">September </w:t>
      </w:r>
      <w:r w:rsidR="000737D3" w:rsidRPr="0096519B">
        <w:t>20</w:t>
      </w:r>
      <w:r w:rsidR="00E7087B" w:rsidRPr="0096519B">
        <w:t>, 201</w:t>
      </w:r>
      <w:r w:rsidR="00E306E8" w:rsidRPr="0096519B">
        <w:t>3</w:t>
      </w:r>
      <w:r w:rsidR="00E7087B" w:rsidRPr="0096519B">
        <w:t xml:space="preserve">, </w:t>
      </w:r>
      <w:r w:rsidR="00E306E8" w:rsidRPr="0096519B">
        <w:t xml:space="preserve">and September </w:t>
      </w:r>
      <w:r w:rsidR="00AB76FA" w:rsidRPr="0096519B">
        <w:t>23</w:t>
      </w:r>
      <w:r w:rsidR="00E306E8" w:rsidRPr="0096519B">
        <w:t xml:space="preserve">, 2014, </w:t>
      </w:r>
      <w:r w:rsidR="00E7087B" w:rsidRPr="0096519B">
        <w:t>respectively</w:t>
      </w:r>
      <w:r w:rsidR="000A6F15" w:rsidRPr="0096519B">
        <w:t>.</w:t>
      </w:r>
      <w:r w:rsidR="000A6F15" w:rsidRPr="0096519B">
        <w:rPr>
          <w:rStyle w:val="FootnoteReference"/>
          <w:sz w:val="22"/>
          <w:szCs w:val="22"/>
        </w:rPr>
        <w:footnoteReference w:id="48"/>
      </w:r>
      <w:r w:rsidR="000A6F15" w:rsidRPr="0096519B">
        <w:t xml:space="preserve">  </w:t>
      </w:r>
      <w:r w:rsidR="00E306E8" w:rsidRPr="0096519B">
        <w:t>ATI</w:t>
      </w:r>
      <w:r w:rsidR="000A6F15" w:rsidRPr="0096519B">
        <w:t xml:space="preserve"> has not </w:t>
      </w:r>
      <w:r w:rsidR="00E306E8" w:rsidRPr="0096519B">
        <w:t xml:space="preserve">fully </w:t>
      </w:r>
      <w:r w:rsidR="000A6F15" w:rsidRPr="0096519B">
        <w:t xml:space="preserve">paid its regulatory fees for </w:t>
      </w:r>
      <w:r w:rsidR="00E306E8" w:rsidRPr="0096519B">
        <w:t>any of these</w:t>
      </w:r>
      <w:r w:rsidR="000A6F15" w:rsidRPr="0096519B">
        <w:t xml:space="preserve"> </w:t>
      </w:r>
      <w:r w:rsidR="004B218D" w:rsidRPr="0096519B">
        <w:t>fiscal year</w:t>
      </w:r>
      <w:r w:rsidR="00E306E8" w:rsidRPr="0096519B">
        <w:t>s</w:t>
      </w:r>
      <w:r w:rsidRPr="0096519B">
        <w:t>.</w:t>
      </w:r>
      <w:r w:rsidR="007D176F" w:rsidRPr="0096519B">
        <w:rPr>
          <w:rStyle w:val="FootnoteReference"/>
          <w:sz w:val="22"/>
          <w:szCs w:val="22"/>
        </w:rPr>
        <w:footnoteReference w:id="49"/>
      </w:r>
      <w:r w:rsidR="007D176F" w:rsidRPr="0096519B">
        <w:t xml:space="preserve">  </w:t>
      </w:r>
      <w:r w:rsidR="000A6F15" w:rsidRPr="0096519B">
        <w:t xml:space="preserve">Based on the preponderance of the evidence, we find that </w:t>
      </w:r>
      <w:r w:rsidR="00E306E8" w:rsidRPr="0096519B">
        <w:t>ATI</w:t>
      </w:r>
      <w:r w:rsidR="000A6F15" w:rsidRPr="0096519B">
        <w:t xml:space="preserve"> apparently violated Section</w:t>
      </w:r>
      <w:r w:rsidR="007D176F" w:rsidRPr="0096519B">
        <w:t>s</w:t>
      </w:r>
      <w:r w:rsidR="000A6F15" w:rsidRPr="0096519B">
        <w:t xml:space="preserve"> </w:t>
      </w:r>
      <w:r w:rsidR="007D176F" w:rsidRPr="0096519B">
        <w:t xml:space="preserve">1.1154 and 1.1157(b)(1) </w:t>
      </w:r>
      <w:r w:rsidR="000A6F15" w:rsidRPr="0096519B">
        <w:t xml:space="preserve">of the Rules by willfully </w:t>
      </w:r>
      <w:r w:rsidR="00404BE2" w:rsidRPr="0096519B">
        <w:t xml:space="preserve">or </w:t>
      </w:r>
      <w:r w:rsidR="000A6F15" w:rsidRPr="0096519B">
        <w:t xml:space="preserve">repeatedly failing to make regulatory fee payments for </w:t>
      </w:r>
      <w:r w:rsidR="00546D3C" w:rsidRPr="0096519B">
        <w:t>fiscal years</w:t>
      </w:r>
      <w:r w:rsidR="000A6F15" w:rsidRPr="0096519B">
        <w:t xml:space="preserve"> </w:t>
      </w:r>
      <w:r w:rsidR="00AB76FA" w:rsidRPr="0096519B">
        <w:t xml:space="preserve">2010, </w:t>
      </w:r>
      <w:r w:rsidR="00E306E8" w:rsidRPr="0096519B">
        <w:t xml:space="preserve">2011, </w:t>
      </w:r>
      <w:r w:rsidR="007444A5" w:rsidRPr="0096519B">
        <w:t>2013, and</w:t>
      </w:r>
      <w:r w:rsidR="00E306E8" w:rsidRPr="0096519B">
        <w:t xml:space="preserve"> 2014</w:t>
      </w:r>
      <w:r w:rsidR="000A6F15" w:rsidRPr="0096519B">
        <w:t>.</w:t>
      </w:r>
      <w:r w:rsidR="000A6F15" w:rsidRPr="0096519B">
        <w:rPr>
          <w:rStyle w:val="FootnoteReference"/>
          <w:sz w:val="22"/>
          <w:szCs w:val="22"/>
        </w:rPr>
        <w:footnoteReference w:id="50"/>
      </w:r>
    </w:p>
    <w:p w:rsidR="0016337C" w:rsidRDefault="0016337C" w:rsidP="00F06937">
      <w:pPr>
        <w:pStyle w:val="Heading2"/>
        <w:spacing w:before="240" w:after="240"/>
      </w:pPr>
      <w:r w:rsidRPr="0096519B">
        <w:t>ATI Failed to Timely File a Quarterly Telecommunications Reporting Worksheet Due November 1, 2013</w:t>
      </w:r>
    </w:p>
    <w:p w:rsidR="0016337C" w:rsidRPr="00F81172" w:rsidRDefault="0016337C" w:rsidP="00E97070">
      <w:pPr>
        <w:pStyle w:val="ParaNum"/>
      </w:pPr>
      <w:r w:rsidRPr="00F81172">
        <w:t>We find that ATI apparently violated Sections 54.711</w:t>
      </w:r>
      <w:r w:rsidR="00670183">
        <w:t xml:space="preserve"> </w:t>
      </w:r>
      <w:r w:rsidRPr="00F81172">
        <w:t>of the Rules by willfully failing to timely file a Quarterly Worksheet due November 1, 2013.  The Act directs the Commission to establish, administer, and maintain programs to promote universal service and TRS, and to ensure LNP and effective numbering administration more generally, among other mandates.</w:t>
      </w:r>
      <w:r w:rsidRPr="00F81172">
        <w:rPr>
          <w:rStyle w:val="FootnoteReference"/>
          <w:sz w:val="22"/>
          <w:szCs w:val="22"/>
        </w:rPr>
        <w:footnoteReference w:id="51"/>
      </w:r>
      <w:r w:rsidRPr="00F81172">
        <w:t xml:space="preserve">  To help accomplish these goals, the Commission has established the USF, the TRS Fund, and </w:t>
      </w:r>
      <w:r w:rsidR="00F81172">
        <w:t xml:space="preserve">the </w:t>
      </w:r>
      <w:r w:rsidRPr="00F81172">
        <w:t>cost recovery mechanism for LNP.  As Congress has directed,</w:t>
      </w:r>
      <w:r w:rsidRPr="00F81172">
        <w:rPr>
          <w:rStyle w:val="FootnoteReference"/>
          <w:sz w:val="22"/>
          <w:szCs w:val="22"/>
        </w:rPr>
        <w:footnoteReference w:id="52"/>
      </w:r>
      <w:r w:rsidRPr="00F81172">
        <w:t xml:space="preserve"> the Commission funds these programs though assessments on telecommunications service providers.  To gather the data necessary to calculate assessments, the Commission requires interstate telecommunications service providers, among others, to file Annual Worksheets reporting the providers’ actual revenues from various types of services during the calendar year.</w:t>
      </w:r>
      <w:r w:rsidRPr="00F81172">
        <w:rPr>
          <w:rStyle w:val="FootnoteReference"/>
          <w:sz w:val="22"/>
          <w:szCs w:val="22"/>
        </w:rPr>
        <w:footnoteReference w:id="53"/>
      </w:r>
      <w:r w:rsidRPr="00F81172">
        <w:t xml:space="preserve">  Telecommunications service providers such as ATI must also </w:t>
      </w:r>
      <w:r w:rsidRPr="00F81172">
        <w:rPr>
          <w:snapToGrid/>
          <w:kern w:val="0"/>
        </w:rPr>
        <w:t>file Quarterly Worksheets projecting their revenue for the upcoming quarter.</w:t>
      </w:r>
      <w:r w:rsidRPr="00F81172">
        <w:rPr>
          <w:snapToGrid/>
          <w:kern w:val="0"/>
          <w:vertAlign w:val="superscript"/>
        </w:rPr>
        <w:footnoteReference w:id="54"/>
      </w:r>
      <w:r w:rsidRPr="00F81172">
        <w:rPr>
          <w:snapToGrid/>
          <w:kern w:val="0"/>
        </w:rPr>
        <w:t xml:space="preserve">  USAC</w:t>
      </w:r>
      <w:r w:rsidRPr="00F81172">
        <w:t xml:space="preserve"> relies on the project</w:t>
      </w:r>
      <w:r w:rsidR="00CD68B3" w:rsidRPr="00F81172">
        <w:t>ed revenue</w:t>
      </w:r>
      <w:r w:rsidRPr="00F81172">
        <w:t xml:space="preserve"> data to calculate each </w:t>
      </w:r>
      <w:r w:rsidRPr="00F81172">
        <w:rPr>
          <w:snapToGrid/>
          <w:kern w:val="0"/>
        </w:rPr>
        <w:t xml:space="preserve">telecommunications service provider’s required monthly USF </w:t>
      </w:r>
      <w:r w:rsidRPr="00F81172">
        <w:t>contribution</w:t>
      </w:r>
      <w:r w:rsidRPr="00F81172">
        <w:rPr>
          <w:snapToGrid/>
          <w:kern w:val="0"/>
        </w:rPr>
        <w:t>.</w:t>
      </w:r>
      <w:r w:rsidRPr="00F81172">
        <w:rPr>
          <w:rStyle w:val="FootnoteReference"/>
          <w:snapToGrid/>
          <w:kern w:val="0"/>
          <w:szCs w:val="22"/>
        </w:rPr>
        <w:footnoteReference w:id="55"/>
      </w:r>
    </w:p>
    <w:p w:rsidR="00AB76FA" w:rsidRPr="0049510C" w:rsidRDefault="0016337C" w:rsidP="00E97070">
      <w:pPr>
        <w:pStyle w:val="ParaNum"/>
      </w:pPr>
      <w:r w:rsidRPr="00037DB0">
        <w:t xml:space="preserve">ATI neglected to timely file the </w:t>
      </w:r>
      <w:r>
        <w:t>Q</w:t>
      </w:r>
      <w:r w:rsidRPr="00037DB0">
        <w:t xml:space="preserve">uarterly Worksheet due November 1, 2013.  This failure to timely file constituted a continuing violation until </w:t>
      </w:r>
      <w:r>
        <w:t>ATI cured it by filing the required Worksheet</w:t>
      </w:r>
      <w:r w:rsidRPr="00037DB0">
        <w:t>.</w:t>
      </w:r>
      <w:r w:rsidRPr="00037DB0">
        <w:rPr>
          <w:rStyle w:val="FootnoteReference"/>
          <w:sz w:val="22"/>
          <w:szCs w:val="22"/>
        </w:rPr>
        <w:footnoteReference w:id="56"/>
      </w:r>
      <w:r w:rsidRPr="00037DB0">
        <w:t xml:space="preserve">  </w:t>
      </w:r>
      <w:r>
        <w:t xml:space="preserve">USAC </w:t>
      </w:r>
      <w:r w:rsidRPr="00037DB0">
        <w:t>did not receive the Company’s November 2013</w:t>
      </w:r>
      <w:r>
        <w:t xml:space="preserve"> Quarterly </w:t>
      </w:r>
      <w:r w:rsidRPr="00037DB0">
        <w:t>Worksheet until January</w:t>
      </w:r>
      <w:r w:rsidR="000B5F6B">
        <w:t> </w:t>
      </w:r>
      <w:r w:rsidRPr="00037DB0">
        <w:t xml:space="preserve">27, 2014, nearly </w:t>
      </w:r>
      <w:r>
        <w:t>three</w:t>
      </w:r>
      <w:r w:rsidRPr="00037DB0">
        <w:t xml:space="preserve"> months past its due date.</w:t>
      </w:r>
      <w:r w:rsidRPr="00037DB0">
        <w:rPr>
          <w:rStyle w:val="FootnoteReference"/>
          <w:sz w:val="22"/>
          <w:szCs w:val="22"/>
        </w:rPr>
        <w:footnoteReference w:id="57"/>
      </w:r>
      <w:r w:rsidRPr="00037DB0">
        <w:t xml:space="preserve">  Based on the preponderance of the evidence, we find that apparently ATI willfully violated Section</w:t>
      </w:r>
      <w:r w:rsidR="00405541">
        <w:t xml:space="preserve"> </w:t>
      </w:r>
      <w:r w:rsidRPr="00037DB0">
        <w:t>54.711 of the Rules by failing to timely file its November</w:t>
      </w:r>
      <w:r>
        <w:t xml:space="preserve"> 1,</w:t>
      </w:r>
      <w:r w:rsidRPr="00037DB0">
        <w:t xml:space="preserve"> 2013 </w:t>
      </w:r>
      <w:r w:rsidR="00530711">
        <w:t>Q</w:t>
      </w:r>
      <w:r w:rsidRPr="00037DB0">
        <w:t>uarterly Worksheet.</w:t>
      </w:r>
      <w:r w:rsidRPr="00037DB0">
        <w:rPr>
          <w:rStyle w:val="FootnoteReference"/>
          <w:sz w:val="22"/>
          <w:szCs w:val="22"/>
        </w:rPr>
        <w:footnoteReference w:id="58"/>
      </w:r>
      <w:r w:rsidRPr="00037DB0">
        <w:t xml:space="preserve"> </w:t>
      </w:r>
      <w:r w:rsidR="00E01067" w:rsidRPr="0016337C">
        <w:t xml:space="preserve">  </w:t>
      </w:r>
    </w:p>
    <w:p w:rsidR="002824D8" w:rsidRDefault="00E90845" w:rsidP="00A7619F">
      <w:pPr>
        <w:pStyle w:val="Heading1"/>
        <w:spacing w:before="240" w:after="240"/>
      </w:pPr>
      <w:r w:rsidRPr="00037DB0">
        <w:t>Proposed Forfeitures</w:t>
      </w:r>
    </w:p>
    <w:p w:rsidR="006E3F18" w:rsidRPr="00981F23" w:rsidRDefault="006E3F18" w:rsidP="00E97070">
      <w:pPr>
        <w:pStyle w:val="ParaNum"/>
        <w:rPr>
          <w:color w:val="000000" w:themeColor="text1"/>
        </w:rPr>
      </w:pPr>
      <w:r w:rsidRPr="00037DB0">
        <w:t>Section 503(b) of the Act</w:t>
      </w:r>
      <w:r>
        <w:t xml:space="preserve"> authorizes the Commission to impose a forfeiture against any entity that “willfully</w:t>
      </w:r>
      <w:r w:rsidRPr="00037DB0">
        <w:t xml:space="preserve"> or repeatedly fail</w:t>
      </w:r>
      <w:r>
        <w:t>[</w:t>
      </w:r>
      <w:r w:rsidRPr="00037DB0">
        <w:t>s</w:t>
      </w:r>
      <w:r>
        <w:t>]</w:t>
      </w:r>
      <w:r w:rsidRPr="00037DB0">
        <w:t xml:space="preserve"> to comply substantially with </w:t>
      </w:r>
      <w:r>
        <w:t xml:space="preserve">any of the provisions of [the Communications Act] </w:t>
      </w:r>
      <w:r w:rsidRPr="00037DB0">
        <w:t>or of any rule, regulation, or order issued by the Commission</w:t>
      </w:r>
      <w:r>
        <w:t>.”</w:t>
      </w:r>
      <w:r w:rsidRPr="00037DB0">
        <w:rPr>
          <w:rStyle w:val="FootnoteReference"/>
          <w:sz w:val="22"/>
          <w:szCs w:val="22"/>
        </w:rPr>
        <w:footnoteReference w:id="59"/>
      </w:r>
      <w:r w:rsidRPr="00037DB0">
        <w:t xml:space="preserve">  </w:t>
      </w:r>
      <w:r w:rsidRPr="00981F23">
        <w:rPr>
          <w:color w:val="000000" w:themeColor="text1"/>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981F23">
        <w:rPr>
          <w:rStyle w:val="FootnoteReference"/>
          <w:color w:val="000000" w:themeColor="text1"/>
          <w:szCs w:val="22"/>
        </w:rPr>
        <w:footnoteReference w:id="60"/>
      </w:r>
      <w:r w:rsidRPr="00981F23">
        <w:rPr>
          <w:color w:val="000000" w:themeColor="text1"/>
          <w:spacing w:val="-2"/>
        </w:rPr>
        <w:t xml:space="preserve">  </w:t>
      </w:r>
      <w:r w:rsidRPr="00981F23">
        <w:rPr>
          <w:color w:val="000000" w:themeColor="text1"/>
        </w:rPr>
        <w:t>In addition, the Commission has established forfeiture guidelines; they establish base penalties for certain violations and identify criteria that we consider when determining the appropriate penalty in any given case.</w:t>
      </w:r>
      <w:r w:rsidRPr="00981F23">
        <w:rPr>
          <w:rStyle w:val="FootnoteReference"/>
          <w:color w:val="000000" w:themeColor="text1"/>
        </w:rPr>
        <w:footnoteReference w:id="61"/>
      </w:r>
      <w:r w:rsidRPr="00981F23">
        <w:rPr>
          <w:color w:val="000000" w:themeColor="text1"/>
        </w:rPr>
        <w:t xml:space="preserve">  Under these guidelines, we may adjust a</w:t>
      </w:r>
      <w:r>
        <w:rPr>
          <w:color w:val="000000" w:themeColor="text1"/>
        </w:rPr>
        <w:t xml:space="preserve"> </w:t>
      </w:r>
      <w:r w:rsidRPr="00981F23">
        <w:rPr>
          <w:color w:val="000000" w:themeColor="text1"/>
        </w:rPr>
        <w:t>forfeiture upward for violations that are egregious, intentional, or repeated, or that cause substantial harm or generate substantial economic gain for the violator.</w:t>
      </w:r>
      <w:r w:rsidRPr="00981F23">
        <w:rPr>
          <w:rStyle w:val="FootnoteReference"/>
          <w:color w:val="000000" w:themeColor="text1"/>
        </w:rPr>
        <w:footnoteReference w:id="62"/>
      </w:r>
      <w:r w:rsidRPr="00981F23">
        <w:rPr>
          <w:color w:val="000000" w:themeColor="text1"/>
        </w:rPr>
        <w:t xml:space="preserve">  </w:t>
      </w:r>
    </w:p>
    <w:p w:rsidR="002824D8" w:rsidRDefault="002824D8" w:rsidP="00E97070">
      <w:pPr>
        <w:pStyle w:val="ParaNum"/>
      </w:pPr>
      <w:r w:rsidRPr="00037DB0">
        <w:t xml:space="preserve">As set forth above, we conclude that </w:t>
      </w:r>
      <w:r w:rsidR="00E306E8" w:rsidRPr="00037DB0">
        <w:t>ATI</w:t>
      </w:r>
      <w:r w:rsidRPr="00037DB0">
        <w:t xml:space="preserve"> is apparently liable for forfeiture</w:t>
      </w:r>
      <w:r w:rsidR="00164152" w:rsidRPr="00037DB0">
        <w:t>s</w:t>
      </w:r>
      <w:r w:rsidRPr="00037DB0">
        <w:t xml:space="preserve"> for willful</w:t>
      </w:r>
      <w:r w:rsidR="002E2425" w:rsidRPr="00037DB0">
        <w:t xml:space="preserve">ly or </w:t>
      </w:r>
      <w:r w:rsidRPr="00037DB0">
        <w:t>repeated</w:t>
      </w:r>
      <w:r w:rsidR="002E2425" w:rsidRPr="00037DB0">
        <w:t xml:space="preserve">ly </w:t>
      </w:r>
      <w:r w:rsidR="00164152" w:rsidRPr="00037DB0">
        <w:t>failing to</w:t>
      </w:r>
      <w:r w:rsidR="002E2425" w:rsidRPr="00037DB0">
        <w:t xml:space="preserve"> </w:t>
      </w:r>
      <w:r w:rsidR="00164152" w:rsidRPr="00037DB0">
        <w:t>time</w:t>
      </w:r>
      <w:r w:rsidR="0005269F" w:rsidRPr="00037DB0">
        <w:t>ly</w:t>
      </w:r>
      <w:r w:rsidR="00164152" w:rsidRPr="00037DB0">
        <w:t xml:space="preserve"> </w:t>
      </w:r>
      <w:r w:rsidR="002E2425" w:rsidRPr="00037DB0">
        <w:t xml:space="preserve">make required </w:t>
      </w:r>
      <w:r w:rsidR="00E306E8" w:rsidRPr="00037DB0">
        <w:t xml:space="preserve">USF, </w:t>
      </w:r>
      <w:r w:rsidR="002E2425" w:rsidRPr="00037DB0">
        <w:t>TRS and LNP contributions</w:t>
      </w:r>
      <w:r w:rsidR="0080206B" w:rsidRPr="00037DB0">
        <w:t>,</w:t>
      </w:r>
      <w:r w:rsidR="00E306E8" w:rsidRPr="00037DB0">
        <w:t xml:space="preserve"> </w:t>
      </w:r>
      <w:r w:rsidR="002E2425" w:rsidRPr="00037DB0">
        <w:t>timely pay required regulatory fees</w:t>
      </w:r>
      <w:r w:rsidR="00B95742">
        <w:t>, and</w:t>
      </w:r>
      <w:r w:rsidR="00B95742" w:rsidRPr="00B95742">
        <w:t xml:space="preserve"> </w:t>
      </w:r>
      <w:r w:rsidR="00B95742" w:rsidRPr="00037DB0">
        <w:t xml:space="preserve">timely file a </w:t>
      </w:r>
      <w:r w:rsidR="00B95742">
        <w:t xml:space="preserve">Quarterly </w:t>
      </w:r>
      <w:r w:rsidR="00B95742" w:rsidRPr="00037DB0">
        <w:t>Worksheet</w:t>
      </w:r>
      <w:r w:rsidR="002E2425" w:rsidRPr="00037DB0">
        <w:t>.</w:t>
      </w:r>
      <w:r w:rsidR="002E2425" w:rsidRPr="00037DB0">
        <w:rPr>
          <w:rStyle w:val="FootnoteReference"/>
          <w:sz w:val="22"/>
          <w:szCs w:val="22"/>
        </w:rPr>
        <w:footnoteReference w:id="63"/>
      </w:r>
      <w:r w:rsidR="0080206B" w:rsidRPr="00037DB0">
        <w:t xml:space="preserve">  </w:t>
      </w:r>
      <w:r w:rsidRPr="00037DB0">
        <w:t xml:space="preserve">Based on the facts and circumstances before us, we therefore </w:t>
      </w:r>
      <w:r w:rsidR="00D9478B" w:rsidRPr="00037DB0">
        <w:t xml:space="preserve">find </w:t>
      </w:r>
      <w:r w:rsidRPr="00037DB0">
        <w:t xml:space="preserve">that </w:t>
      </w:r>
      <w:r w:rsidR="00E306E8" w:rsidRPr="00037DB0">
        <w:t>ATI</w:t>
      </w:r>
      <w:r w:rsidRPr="00037DB0">
        <w:t xml:space="preserve"> is apparently liable for forfeiture penalties totaling </w:t>
      </w:r>
      <w:r w:rsidR="00037DB0" w:rsidRPr="00037DB0">
        <w:t xml:space="preserve">one million five hundred </w:t>
      </w:r>
      <w:r w:rsidR="00AC1060">
        <w:t>eighty</w:t>
      </w:r>
      <w:r w:rsidR="00037DB0" w:rsidRPr="00037DB0">
        <w:t>-eight thousand, nine hundred eighty-eight dollars ($</w:t>
      </w:r>
      <w:r w:rsidR="00037DB0" w:rsidRPr="00037DB0">
        <w:rPr>
          <w:rFonts w:eastAsiaTheme="minorEastAsia"/>
        </w:rPr>
        <w:t>1,5</w:t>
      </w:r>
      <w:r w:rsidR="00AC1060">
        <w:rPr>
          <w:rFonts w:eastAsiaTheme="minorEastAsia"/>
        </w:rPr>
        <w:t>8</w:t>
      </w:r>
      <w:r w:rsidR="00932A36">
        <w:rPr>
          <w:rFonts w:eastAsiaTheme="minorEastAsia"/>
        </w:rPr>
        <w:t>8,988</w:t>
      </w:r>
      <w:r w:rsidR="00037DB0" w:rsidRPr="00037DB0">
        <w:t>)</w:t>
      </w:r>
      <w:r w:rsidRPr="00037DB0">
        <w:t>.</w:t>
      </w:r>
      <w:r w:rsidR="00FF5BF9">
        <w:t xml:space="preserve">  Th</w:t>
      </w:r>
      <w:r w:rsidR="008400C3">
        <w:t>e</w:t>
      </w:r>
      <w:r w:rsidR="00FF5BF9">
        <w:t xml:space="preserve"> </w:t>
      </w:r>
      <w:r w:rsidR="008400C3">
        <w:t>forfeiture penalties</w:t>
      </w:r>
      <w:r w:rsidR="00FF5BF9">
        <w:t xml:space="preserve"> reflect our application of the existing methodologies for calculating forfeitures for violations of federal program payment Rules, which we explain in detail below.</w:t>
      </w:r>
      <w:r w:rsidR="00FF5BF9">
        <w:rPr>
          <w:rStyle w:val="FootnoteReference"/>
          <w:szCs w:val="22"/>
        </w:rPr>
        <w:footnoteReference w:id="64"/>
      </w:r>
    </w:p>
    <w:p w:rsidR="005B7D00" w:rsidRDefault="005B7D00" w:rsidP="00F06937">
      <w:pPr>
        <w:pStyle w:val="Heading2"/>
        <w:spacing w:before="240" w:after="240"/>
      </w:pPr>
      <w:r>
        <w:t>Failure to Timely and Fully Pay</w:t>
      </w:r>
      <w:r w:rsidRPr="00037DB0">
        <w:t xml:space="preserve"> </w:t>
      </w:r>
      <w:r>
        <w:t>USF</w:t>
      </w:r>
      <w:r w:rsidRPr="00037DB0">
        <w:t xml:space="preserve"> Contributions</w:t>
      </w:r>
    </w:p>
    <w:p w:rsidR="000E4C1D" w:rsidRDefault="000E4C1D" w:rsidP="00E97070">
      <w:pPr>
        <w:pStyle w:val="ParaNum"/>
      </w:pPr>
      <w:r>
        <w:t xml:space="preserve">The Commission has established a base forfeiture amount of $10,000 for each month in which a contributor has failed to fully pay required </w:t>
      </w:r>
      <w:r w:rsidR="00114DF3">
        <w:t>USF</w:t>
      </w:r>
      <w:r>
        <w:t xml:space="preserve"> contributions and $20,000 for each month in which a contributor has failed to make any required </w:t>
      </w:r>
      <w:r w:rsidR="00114DF3">
        <w:t>USF</w:t>
      </w:r>
      <w:r>
        <w:t xml:space="preserve"> contribution,</w:t>
      </w:r>
      <w:r>
        <w:rPr>
          <w:rStyle w:val="FootnoteReference"/>
        </w:rPr>
        <w:footnoteReference w:id="65"/>
      </w:r>
      <w:r>
        <w:t xml:space="preserve"> plus an upward adjustment based on one-half of the company’s unpaid contributions.</w:t>
      </w:r>
      <w:r>
        <w:rPr>
          <w:rStyle w:val="FootnoteReference"/>
        </w:rPr>
        <w:footnoteReference w:id="66"/>
      </w:r>
      <w:r>
        <w:t xml:space="preserve">  </w:t>
      </w:r>
      <w:r w:rsidR="00114DF3">
        <w:t>T</w:t>
      </w:r>
      <w:r>
        <w:t xml:space="preserve">he Commission has treated failures to pay </w:t>
      </w:r>
      <w:r w:rsidR="00114DF3">
        <w:t>the USF</w:t>
      </w:r>
      <w:r>
        <w:t xml:space="preserve"> as continuing violations.</w:t>
      </w:r>
      <w:r>
        <w:rPr>
          <w:rStyle w:val="FootnoteReference"/>
        </w:rPr>
        <w:footnoteReference w:id="67"/>
      </w:r>
      <w:r>
        <w:t xml:space="preserve">  Our forfeiture calculation therefore reflects not only violations that began within the last twelve months, but also violations that began prior to the last twelve months and continued during the twelve-month period preceding this NAL.</w:t>
      </w:r>
    </w:p>
    <w:p w:rsidR="005B7D00" w:rsidRDefault="004836F8" w:rsidP="00E97070">
      <w:pPr>
        <w:pStyle w:val="ParaNum"/>
      </w:pPr>
      <w:r>
        <w:t>W</w:t>
      </w:r>
      <w:r w:rsidR="000E4C1D">
        <w:t xml:space="preserve">e find that </w:t>
      </w:r>
      <w:r>
        <w:t>ATI</w:t>
      </w:r>
      <w:r w:rsidR="000E4C1D">
        <w:t xml:space="preserve"> is apparently liable for a forfeiture for willfully </w:t>
      </w:r>
      <w:r w:rsidR="00B2062B">
        <w:t xml:space="preserve">or </w:t>
      </w:r>
      <w:r w:rsidR="000E4C1D">
        <w:t xml:space="preserve">repeatedly failing to contribute to the USF on </w:t>
      </w:r>
      <w:r w:rsidR="0046383B">
        <w:t xml:space="preserve">at least </w:t>
      </w:r>
      <w:r w:rsidR="000E4C1D">
        <w:t xml:space="preserve">a total of </w:t>
      </w:r>
      <w:r>
        <w:t>36</w:t>
      </w:r>
      <w:r w:rsidR="000E4C1D">
        <w:t xml:space="preserve"> occasions between </w:t>
      </w:r>
      <w:r>
        <w:rPr>
          <w:szCs w:val="22"/>
        </w:rPr>
        <w:t>October</w:t>
      </w:r>
      <w:r w:rsidRPr="00037DB0">
        <w:rPr>
          <w:szCs w:val="22"/>
        </w:rPr>
        <w:t xml:space="preserve"> 22, 2011 and </w:t>
      </w:r>
      <w:r>
        <w:rPr>
          <w:szCs w:val="22"/>
        </w:rPr>
        <w:t>September 22</w:t>
      </w:r>
      <w:r w:rsidRPr="00037DB0">
        <w:rPr>
          <w:szCs w:val="22"/>
        </w:rPr>
        <w:t>, 2014</w:t>
      </w:r>
      <w:r w:rsidR="000E4C1D">
        <w:t>.</w:t>
      </w:r>
      <w:r>
        <w:t xml:space="preserve">  Accordingly, we assess </w:t>
      </w:r>
      <w:r w:rsidR="000E4C1D">
        <w:t xml:space="preserve">a $20,000 forfeiture for each of </w:t>
      </w:r>
      <w:r w:rsidR="00117A3A">
        <w:t>the</w:t>
      </w:r>
      <w:r w:rsidR="00A751F7">
        <w:t>se</w:t>
      </w:r>
      <w:r w:rsidR="00117A3A">
        <w:t xml:space="preserve"> </w:t>
      </w:r>
      <w:r>
        <w:t>36</w:t>
      </w:r>
      <w:r w:rsidR="000E4C1D">
        <w:t xml:space="preserve"> months in which </w:t>
      </w:r>
      <w:r>
        <w:t>ATI</w:t>
      </w:r>
      <w:r w:rsidR="000E4C1D">
        <w:t xml:space="preserve"> failed to remit any contribution toward its outstanding USF obligation</w:t>
      </w:r>
      <w:r>
        <w:t>s</w:t>
      </w:r>
      <w:r w:rsidR="000E4C1D">
        <w:t xml:space="preserve">.  Thus, we find </w:t>
      </w:r>
      <w:r w:rsidR="00C134C5">
        <w:t>ATI</w:t>
      </w:r>
      <w:r w:rsidR="000E4C1D">
        <w:t xml:space="preserve"> apparently liable for a base forfeiture of $</w:t>
      </w:r>
      <w:r>
        <w:t>720</w:t>
      </w:r>
      <w:r w:rsidR="000E4C1D">
        <w:t xml:space="preserve">,000 for its willful </w:t>
      </w:r>
      <w:r w:rsidR="00B2062B">
        <w:t xml:space="preserve">or </w:t>
      </w:r>
      <w:r w:rsidR="000E4C1D">
        <w:t xml:space="preserve">repeated failures to contribute </w:t>
      </w:r>
      <w:r w:rsidR="00AA4502">
        <w:t xml:space="preserve">timely </w:t>
      </w:r>
      <w:r w:rsidR="000E4C1D">
        <w:t xml:space="preserve">and </w:t>
      </w:r>
      <w:r w:rsidR="00AA4502">
        <w:t xml:space="preserve">fully </w:t>
      </w:r>
      <w:r w:rsidR="000E4C1D">
        <w:t>to the USF</w:t>
      </w:r>
      <w:r w:rsidR="000E4C1D">
        <w:rPr>
          <w:lang w:eastAsia="zh-HK"/>
        </w:rPr>
        <w:t xml:space="preserve">.  Moreover, consistent with our approach </w:t>
      </w:r>
      <w:r w:rsidR="000E4C1D">
        <w:t>for assessing liability for USF</w:t>
      </w:r>
      <w:r w:rsidR="00B2062B">
        <w:t xml:space="preserve"> contribution</w:t>
      </w:r>
      <w:r w:rsidR="000E4C1D">
        <w:t xml:space="preserve"> violations, and taking into account all the factors enumerated in section 503(b)(2)(E) of the Act, we add an upward adjustment of $</w:t>
      </w:r>
      <w:r>
        <w:t xml:space="preserve">703,655 to the base forfeiture – </w:t>
      </w:r>
      <w:r w:rsidR="000E4C1D">
        <w:t>approximately one-</w:t>
      </w:r>
      <w:r w:rsidR="000E4C1D" w:rsidRPr="00A751F7">
        <w:t xml:space="preserve">half of </w:t>
      </w:r>
      <w:r w:rsidR="00352A7B" w:rsidRPr="00A751F7">
        <w:t xml:space="preserve">$1,407,310.76, </w:t>
      </w:r>
      <w:r w:rsidR="000E4C1D" w:rsidRPr="00A751F7">
        <w:t xml:space="preserve">the </w:t>
      </w:r>
      <w:r w:rsidR="007040EC" w:rsidRPr="00A751F7">
        <w:t>highest</w:t>
      </w:r>
      <w:r w:rsidR="000E4C1D" w:rsidRPr="00A751F7">
        <w:t xml:space="preserve"> amount of </w:t>
      </w:r>
      <w:r w:rsidRPr="00A751F7">
        <w:t>ATI</w:t>
      </w:r>
      <w:r w:rsidR="000E4C1D" w:rsidRPr="00A751F7">
        <w:t xml:space="preserve">’s </w:t>
      </w:r>
      <w:r w:rsidR="00451D4C" w:rsidRPr="00A751F7">
        <w:t xml:space="preserve">apparent </w:t>
      </w:r>
      <w:r w:rsidR="000E4C1D" w:rsidRPr="00A751F7">
        <w:t>unpaid USF contributions during the period a</w:t>
      </w:r>
      <w:r w:rsidR="000E4C1D">
        <w:t>t issue.</w:t>
      </w:r>
      <w:r w:rsidR="000E4C1D">
        <w:rPr>
          <w:rStyle w:val="FootnoteReference"/>
        </w:rPr>
        <w:footnoteReference w:id="68"/>
      </w:r>
      <w:r w:rsidR="000E4C1D">
        <w:t xml:space="preserve">  We therefore find </w:t>
      </w:r>
      <w:r w:rsidR="003769FD">
        <w:t>ATI</w:t>
      </w:r>
      <w:r w:rsidR="000E4C1D">
        <w:t xml:space="preserve"> apparently liable for a forfeiture of </w:t>
      </w:r>
      <w:r>
        <w:t xml:space="preserve">one million </w:t>
      </w:r>
      <w:r w:rsidR="000E4C1D">
        <w:t>four hundred twenty-</w:t>
      </w:r>
      <w:r>
        <w:t>three</w:t>
      </w:r>
      <w:r w:rsidR="000E4C1D">
        <w:t xml:space="preserve"> thousand, </w:t>
      </w:r>
      <w:r>
        <w:t>six</w:t>
      </w:r>
      <w:r w:rsidR="000E4C1D">
        <w:t xml:space="preserve"> hundred </w:t>
      </w:r>
      <w:r>
        <w:t>fifty-five</w:t>
      </w:r>
      <w:r w:rsidR="000E4C1D">
        <w:t xml:space="preserve"> dollars ($</w:t>
      </w:r>
      <w:r>
        <w:t>1,423,655</w:t>
      </w:r>
      <w:r w:rsidR="000E4C1D">
        <w:t>)</w:t>
      </w:r>
      <w:r w:rsidR="000E4C1D" w:rsidRPr="00CA7FD5">
        <w:rPr>
          <w:szCs w:val="22"/>
        </w:rPr>
        <w:t xml:space="preserve"> </w:t>
      </w:r>
      <w:r w:rsidR="000E4C1D">
        <w:t xml:space="preserve">for its willful </w:t>
      </w:r>
      <w:r w:rsidR="00503DFF">
        <w:t xml:space="preserve">or </w:t>
      </w:r>
      <w:r w:rsidR="000E4C1D">
        <w:t>repeated failures to contribute fully and timely to the USF</w:t>
      </w:r>
      <w:r w:rsidR="000E4C1D">
        <w:rPr>
          <w:lang w:eastAsia="zh-HK"/>
        </w:rPr>
        <w:t>.</w:t>
      </w:r>
    </w:p>
    <w:p w:rsidR="005B7D00" w:rsidRDefault="005B7D00" w:rsidP="00F06937">
      <w:pPr>
        <w:pStyle w:val="Heading2"/>
        <w:spacing w:before="240" w:after="240"/>
      </w:pPr>
      <w:r>
        <w:t>Failure to Timely and Fully Pay</w:t>
      </w:r>
      <w:r w:rsidR="009C5C43" w:rsidRPr="00037DB0">
        <w:t xml:space="preserve"> </w:t>
      </w:r>
      <w:r w:rsidR="0012116C" w:rsidRPr="00037DB0">
        <w:t>TRS Contributions</w:t>
      </w:r>
    </w:p>
    <w:p w:rsidR="005137C1" w:rsidRPr="00037DB0" w:rsidRDefault="002824D8" w:rsidP="00E97070">
      <w:pPr>
        <w:pStyle w:val="ParaNum"/>
      </w:pPr>
      <w:r w:rsidRPr="00037DB0">
        <w:t xml:space="preserve">The Commission has established a base forfeiture amount of $10,000 for each </w:t>
      </w:r>
      <w:r w:rsidR="00352A7B">
        <w:t>year</w:t>
      </w:r>
      <w:r w:rsidRPr="00037DB0">
        <w:t xml:space="preserve"> in which a contributor fails to </w:t>
      </w:r>
      <w:r w:rsidR="00352A7B">
        <w:t xml:space="preserve">timely </w:t>
      </w:r>
      <w:r w:rsidRPr="00037DB0">
        <w:t>make required TRS Fund contributions.</w:t>
      </w:r>
      <w:r w:rsidRPr="00037DB0">
        <w:rPr>
          <w:rStyle w:val="FootnoteReference"/>
          <w:sz w:val="22"/>
          <w:szCs w:val="22"/>
        </w:rPr>
        <w:footnoteReference w:id="69"/>
      </w:r>
      <w:r w:rsidRPr="00037DB0">
        <w:t xml:space="preserve">  Thus, we propose </w:t>
      </w:r>
      <w:r w:rsidR="005E13DB" w:rsidRPr="00037DB0">
        <w:t xml:space="preserve">a </w:t>
      </w:r>
      <w:r w:rsidR="005137C1" w:rsidRPr="00037DB0">
        <w:t xml:space="preserve">base forfeiture of </w:t>
      </w:r>
      <w:r w:rsidR="00784569">
        <w:t>thirty</w:t>
      </w:r>
      <w:r w:rsidR="0096763E" w:rsidRPr="00037DB0">
        <w:t xml:space="preserve"> thousand dollars (</w:t>
      </w:r>
      <w:r w:rsidRPr="00037DB0">
        <w:t>$</w:t>
      </w:r>
      <w:r w:rsidR="00784569">
        <w:t>3</w:t>
      </w:r>
      <w:r w:rsidRPr="00037DB0">
        <w:t>0,000</w:t>
      </w:r>
      <w:r w:rsidR="0096763E" w:rsidRPr="00037DB0">
        <w:t>)</w:t>
      </w:r>
      <w:r w:rsidRPr="00037DB0">
        <w:t xml:space="preserve"> for </w:t>
      </w:r>
      <w:r w:rsidR="00784569">
        <w:t>ATI</w:t>
      </w:r>
      <w:r w:rsidRPr="00037DB0">
        <w:t xml:space="preserve">’s failure to pay its TRS Fund contributions </w:t>
      </w:r>
      <w:r w:rsidR="00784569">
        <w:t xml:space="preserve">due </w:t>
      </w:r>
      <w:r w:rsidR="00784569" w:rsidRPr="00037DB0">
        <w:t>December 12, 2012, July 6, 2013</w:t>
      </w:r>
      <w:r w:rsidR="00784569">
        <w:t>, and July 1, 2014</w:t>
      </w:r>
      <w:r w:rsidRPr="00037DB0">
        <w:t xml:space="preserve">.  </w:t>
      </w:r>
    </w:p>
    <w:p w:rsidR="002824D8" w:rsidRDefault="00784569" w:rsidP="00E97070">
      <w:pPr>
        <w:pStyle w:val="ParaNum"/>
      </w:pPr>
      <w:r w:rsidRPr="00037DB0">
        <w:t xml:space="preserve">ATI </w:t>
      </w:r>
      <w:r>
        <w:t xml:space="preserve">owed </w:t>
      </w:r>
      <w:r w:rsidRPr="00037DB0">
        <w:t>$10,665.80</w:t>
      </w:r>
      <w:r w:rsidRPr="00784569">
        <w:t xml:space="preserve"> </w:t>
      </w:r>
      <w:r w:rsidRPr="00037DB0">
        <w:t>for TRS Fund contributions</w:t>
      </w:r>
      <w:r>
        <w:t xml:space="preserve"> by December 12, 2012</w:t>
      </w:r>
      <w:r w:rsidRPr="00037DB0">
        <w:t>.</w:t>
      </w:r>
      <w:r w:rsidRPr="00037DB0">
        <w:rPr>
          <w:rStyle w:val="FootnoteReference"/>
          <w:sz w:val="22"/>
          <w:szCs w:val="22"/>
        </w:rPr>
        <w:footnoteReference w:id="70"/>
      </w:r>
      <w:r w:rsidRPr="00037DB0">
        <w:t xml:space="preserve">  </w:t>
      </w:r>
      <w:r w:rsidR="005137C1" w:rsidRPr="00037DB0">
        <w:t>The Commission</w:t>
      </w:r>
      <w:r w:rsidR="002824D8" w:rsidRPr="00037DB0">
        <w:t xml:space="preserve"> ha</w:t>
      </w:r>
      <w:r w:rsidR="005137C1" w:rsidRPr="00037DB0">
        <w:t>s</w:t>
      </w:r>
      <w:r w:rsidR="002824D8" w:rsidRPr="00037DB0">
        <w:t xml:space="preserve"> </w:t>
      </w:r>
      <w:r w:rsidR="0071274D" w:rsidRPr="00037DB0">
        <w:t xml:space="preserve">previously </w:t>
      </w:r>
      <w:r w:rsidR="002824D8" w:rsidRPr="00037DB0">
        <w:t>adjust</w:t>
      </w:r>
      <w:r w:rsidR="005137C1" w:rsidRPr="00037DB0">
        <w:t xml:space="preserve">ed </w:t>
      </w:r>
      <w:r w:rsidR="002824D8" w:rsidRPr="00037DB0">
        <w:t xml:space="preserve">forfeitures </w:t>
      </w:r>
      <w:r w:rsidR="003769FD" w:rsidRPr="00037DB0">
        <w:t>upward</w:t>
      </w:r>
      <w:r w:rsidR="003769FD">
        <w:t>s</w:t>
      </w:r>
      <w:r w:rsidR="003769FD" w:rsidRPr="00037DB0">
        <w:t xml:space="preserve"> </w:t>
      </w:r>
      <w:r w:rsidR="002824D8" w:rsidRPr="00037DB0">
        <w:t xml:space="preserve">for failure to make TRS payments </w:t>
      </w:r>
      <w:r w:rsidR="005422B1">
        <w:t>by</w:t>
      </w:r>
      <w:r w:rsidR="00DD79CB" w:rsidRPr="00037DB0">
        <w:t xml:space="preserve"> </w:t>
      </w:r>
      <w:r>
        <w:t xml:space="preserve">50 percent of a company’s </w:t>
      </w:r>
      <w:r w:rsidR="00405541">
        <w:t xml:space="preserve">largest </w:t>
      </w:r>
      <w:r w:rsidR="002824D8" w:rsidRPr="00037DB0">
        <w:t xml:space="preserve">unpaid </w:t>
      </w:r>
      <w:r w:rsidR="006300C4" w:rsidRPr="00037DB0">
        <w:t xml:space="preserve">TRS </w:t>
      </w:r>
      <w:r w:rsidR="002824D8" w:rsidRPr="00037DB0">
        <w:t>balance.</w:t>
      </w:r>
      <w:r w:rsidR="002824D8" w:rsidRPr="00037DB0">
        <w:rPr>
          <w:rStyle w:val="FootnoteReference"/>
          <w:sz w:val="22"/>
          <w:szCs w:val="22"/>
        </w:rPr>
        <w:footnoteReference w:id="71"/>
      </w:r>
      <w:r w:rsidR="002824D8" w:rsidRPr="00037DB0">
        <w:t xml:space="preserve">  </w:t>
      </w:r>
      <w:r w:rsidR="006300C4" w:rsidRPr="00037DB0">
        <w:t>Consistent with th</w:t>
      </w:r>
      <w:r w:rsidR="007040EC">
        <w:t>is</w:t>
      </w:r>
      <w:r w:rsidR="006300C4" w:rsidRPr="00037DB0">
        <w:t xml:space="preserve"> </w:t>
      </w:r>
      <w:r w:rsidR="007040EC">
        <w:t>precedent</w:t>
      </w:r>
      <w:r w:rsidR="006300C4" w:rsidRPr="00037DB0">
        <w:t xml:space="preserve">, </w:t>
      </w:r>
      <w:r w:rsidR="002824D8" w:rsidRPr="00037DB0">
        <w:t>we propose an upward adjustment of $</w:t>
      </w:r>
      <w:r>
        <w:t>5,333</w:t>
      </w:r>
      <w:r w:rsidR="002824D8" w:rsidRPr="00037DB0">
        <w:t xml:space="preserve"> for </w:t>
      </w:r>
      <w:r>
        <w:t>ATI</w:t>
      </w:r>
      <w:r w:rsidR="002824D8" w:rsidRPr="00037DB0">
        <w:t xml:space="preserve">’s apparent </w:t>
      </w:r>
      <w:r w:rsidR="008853A9">
        <w:t>TRS Fund contribution failures</w:t>
      </w:r>
      <w:r w:rsidR="002824D8" w:rsidRPr="00037DB0">
        <w:t xml:space="preserve">, taking into account all the factors enumerated in Section 503(b)(2)(E) of the Act.  Accordingly, we find </w:t>
      </w:r>
      <w:r>
        <w:t>ATI</w:t>
      </w:r>
      <w:r w:rsidR="002824D8" w:rsidRPr="00037DB0">
        <w:t xml:space="preserve"> </w:t>
      </w:r>
      <w:r w:rsidR="005137C1" w:rsidRPr="00037DB0">
        <w:t xml:space="preserve">apparently </w:t>
      </w:r>
      <w:r w:rsidR="002824D8" w:rsidRPr="00037DB0">
        <w:t xml:space="preserve">liable for a total forfeiture of </w:t>
      </w:r>
      <w:r w:rsidR="008853A9">
        <w:t>thirty-five</w:t>
      </w:r>
      <w:r w:rsidR="009E457E" w:rsidRPr="00037DB0">
        <w:t xml:space="preserve"> thousand, </w:t>
      </w:r>
      <w:r w:rsidR="009F79A9" w:rsidRPr="00037DB0">
        <w:t>three</w:t>
      </w:r>
      <w:r w:rsidR="009E457E" w:rsidRPr="00037DB0">
        <w:t xml:space="preserve"> hundred </w:t>
      </w:r>
      <w:r w:rsidR="005422B1">
        <w:t xml:space="preserve">thirty-three </w:t>
      </w:r>
      <w:r w:rsidR="009E457E" w:rsidRPr="00037DB0">
        <w:t>dollars (</w:t>
      </w:r>
      <w:r w:rsidR="002824D8" w:rsidRPr="00037DB0">
        <w:t>$</w:t>
      </w:r>
      <w:r>
        <w:t>35</w:t>
      </w:r>
      <w:r w:rsidR="002824D8" w:rsidRPr="00037DB0">
        <w:t>,</w:t>
      </w:r>
      <w:r>
        <w:t>333</w:t>
      </w:r>
      <w:r w:rsidR="009E457E" w:rsidRPr="00037DB0">
        <w:t>)</w:t>
      </w:r>
      <w:r w:rsidR="002824D8" w:rsidRPr="00037DB0">
        <w:t xml:space="preserve"> for its apparent willful </w:t>
      </w:r>
      <w:r w:rsidR="00503DFF">
        <w:t>or</w:t>
      </w:r>
      <w:r w:rsidR="00503DFF" w:rsidRPr="00037DB0">
        <w:t xml:space="preserve"> </w:t>
      </w:r>
      <w:r w:rsidR="002824D8" w:rsidRPr="00037DB0">
        <w:t>repeated failure</w:t>
      </w:r>
      <w:r w:rsidR="005137C1" w:rsidRPr="00037DB0">
        <w:t>s</w:t>
      </w:r>
      <w:r w:rsidR="002824D8" w:rsidRPr="00037DB0">
        <w:t xml:space="preserve"> to </w:t>
      </w:r>
      <w:r w:rsidR="005137C1" w:rsidRPr="00037DB0">
        <w:t xml:space="preserve">timely contribute to </w:t>
      </w:r>
      <w:r w:rsidR="002824D8" w:rsidRPr="00037DB0">
        <w:t>the TRS Fund.</w:t>
      </w:r>
    </w:p>
    <w:p w:rsidR="00A876B4" w:rsidRDefault="005B7D00" w:rsidP="00F06937">
      <w:pPr>
        <w:pStyle w:val="Heading2"/>
        <w:spacing w:before="240" w:after="240"/>
      </w:pPr>
      <w:r>
        <w:t>Failure to Timely and Fully Pay</w:t>
      </w:r>
      <w:r w:rsidRPr="00037DB0">
        <w:t xml:space="preserve"> </w:t>
      </w:r>
      <w:r w:rsidR="00A876B4" w:rsidRPr="00037DB0">
        <w:t xml:space="preserve">LNP </w:t>
      </w:r>
      <w:r w:rsidR="00F92ACB" w:rsidRPr="00037DB0">
        <w:t>Contributions</w:t>
      </w:r>
    </w:p>
    <w:p w:rsidR="006C789B" w:rsidRDefault="006C789B" w:rsidP="00E97070">
      <w:pPr>
        <w:pStyle w:val="ParaNum"/>
      </w:pPr>
      <w:r w:rsidRPr="00037DB0">
        <w:t xml:space="preserve">The Commission has established a base forfeiture of $10,000 for each year in which there is a failure to timely make </w:t>
      </w:r>
      <w:r w:rsidR="00BD355D" w:rsidRPr="00037DB0">
        <w:t>required L</w:t>
      </w:r>
      <w:r w:rsidRPr="00037DB0">
        <w:t>NP</w:t>
      </w:r>
      <w:r w:rsidR="00BD355D" w:rsidRPr="00037DB0">
        <w:t xml:space="preserve"> contributions</w:t>
      </w:r>
      <w:r w:rsidRPr="00037DB0">
        <w:t>.</w:t>
      </w:r>
      <w:r w:rsidRPr="00037DB0">
        <w:rPr>
          <w:rStyle w:val="FootnoteReference"/>
          <w:sz w:val="22"/>
          <w:szCs w:val="22"/>
        </w:rPr>
        <w:footnoteReference w:id="72"/>
      </w:r>
      <w:r w:rsidRPr="00037DB0">
        <w:t xml:space="preserve">  </w:t>
      </w:r>
      <w:r w:rsidR="00BD355D" w:rsidRPr="00037DB0">
        <w:t>We t</w:t>
      </w:r>
      <w:r w:rsidRPr="00037DB0">
        <w:t>herefore</w:t>
      </w:r>
      <w:r w:rsidR="00BD355D" w:rsidRPr="00037DB0">
        <w:t xml:space="preserve"> </w:t>
      </w:r>
      <w:r w:rsidRPr="00037DB0">
        <w:t xml:space="preserve">find </w:t>
      </w:r>
      <w:r w:rsidR="000E4C1D">
        <w:t>ATI</w:t>
      </w:r>
      <w:r w:rsidRPr="00037DB0">
        <w:t xml:space="preserve"> apparently liable for </w:t>
      </w:r>
      <w:r w:rsidR="0047360D" w:rsidRPr="00037DB0">
        <w:t xml:space="preserve">a </w:t>
      </w:r>
      <w:r w:rsidRPr="00037DB0">
        <w:t xml:space="preserve">forfeiture of </w:t>
      </w:r>
      <w:r w:rsidR="000E4C1D">
        <w:t>forty</w:t>
      </w:r>
      <w:r w:rsidR="0096763E" w:rsidRPr="00037DB0">
        <w:t xml:space="preserve"> thousand dollars </w:t>
      </w:r>
      <w:r w:rsidR="00180FCE" w:rsidRPr="00037DB0">
        <w:t>(</w:t>
      </w:r>
      <w:r w:rsidR="000E4C1D">
        <w:t>$4</w:t>
      </w:r>
      <w:r w:rsidRPr="00037DB0">
        <w:t>0,000</w:t>
      </w:r>
      <w:r w:rsidR="00180FCE" w:rsidRPr="00037DB0">
        <w:t>)</w:t>
      </w:r>
      <w:r w:rsidRPr="00037DB0">
        <w:t xml:space="preserve"> for its willful </w:t>
      </w:r>
      <w:r w:rsidR="00077B52" w:rsidRPr="00037DB0">
        <w:t xml:space="preserve">or </w:t>
      </w:r>
      <w:r w:rsidRPr="00037DB0">
        <w:t xml:space="preserve">repeated </w:t>
      </w:r>
      <w:r w:rsidR="00BD355D" w:rsidRPr="00037DB0">
        <w:t xml:space="preserve">LNP contribution </w:t>
      </w:r>
      <w:r w:rsidRPr="00037DB0">
        <w:t>failure</w:t>
      </w:r>
      <w:r w:rsidR="00BD355D" w:rsidRPr="00037DB0">
        <w:t>s</w:t>
      </w:r>
      <w:r w:rsidRPr="00037DB0">
        <w:t xml:space="preserve"> </w:t>
      </w:r>
      <w:r w:rsidR="00BD355D" w:rsidRPr="00037DB0">
        <w:t xml:space="preserve">in </w:t>
      </w:r>
      <w:r w:rsidR="000E4C1D" w:rsidRPr="00037DB0">
        <w:t>2011, 2012, 2013, and 2014</w:t>
      </w:r>
      <w:r w:rsidRPr="00037DB0">
        <w:t>.</w:t>
      </w:r>
    </w:p>
    <w:p w:rsidR="00A876B4" w:rsidRDefault="005B7D00" w:rsidP="00F06937">
      <w:pPr>
        <w:pStyle w:val="Heading2"/>
        <w:spacing w:before="240" w:after="240"/>
      </w:pPr>
      <w:r>
        <w:t>Failure to Timely and Fully Pay</w:t>
      </w:r>
      <w:r w:rsidRPr="00037DB0">
        <w:t xml:space="preserve"> </w:t>
      </w:r>
      <w:r w:rsidR="00A876B4" w:rsidRPr="00037DB0">
        <w:t>Regulatory Fees</w:t>
      </w:r>
    </w:p>
    <w:p w:rsidR="00291129" w:rsidRPr="00281A98" w:rsidRDefault="006C789B" w:rsidP="00783084">
      <w:pPr>
        <w:pStyle w:val="ParaNum"/>
        <w:widowControl/>
      </w:pPr>
      <w:r w:rsidRPr="00037DB0">
        <w:t xml:space="preserve">The Commission has established a base forfeiture amount of $10,000 </w:t>
      </w:r>
      <w:r w:rsidR="005422B1" w:rsidRPr="00037DB0">
        <w:t xml:space="preserve">for </w:t>
      </w:r>
      <w:r w:rsidR="005422B1">
        <w:t>each</w:t>
      </w:r>
      <w:r w:rsidR="005422B1" w:rsidRPr="00037DB0">
        <w:t xml:space="preserve"> year</w:t>
      </w:r>
      <w:r w:rsidR="005422B1">
        <w:t xml:space="preserve"> a company fails to </w:t>
      </w:r>
      <w:r w:rsidR="00A62652" w:rsidRPr="00037DB0">
        <w:t>timely</w:t>
      </w:r>
      <w:r w:rsidRPr="00037DB0">
        <w:t xml:space="preserve"> </w:t>
      </w:r>
      <w:r w:rsidR="00B878D0">
        <w:t xml:space="preserve">and fully </w:t>
      </w:r>
      <w:r w:rsidRPr="00037DB0">
        <w:t>make required regulatory fee payments.</w:t>
      </w:r>
      <w:r w:rsidRPr="00037DB0">
        <w:rPr>
          <w:rStyle w:val="FootnoteReference"/>
          <w:sz w:val="22"/>
          <w:szCs w:val="22"/>
        </w:rPr>
        <w:footnoteReference w:id="73"/>
      </w:r>
      <w:r w:rsidRPr="00037DB0">
        <w:t xml:space="preserve">  Therefore, we find </w:t>
      </w:r>
      <w:r w:rsidR="000E4C1D">
        <w:t>ATI</w:t>
      </w:r>
      <w:r w:rsidRPr="00037DB0">
        <w:t xml:space="preserve"> is apparently liable for </w:t>
      </w:r>
      <w:r w:rsidR="0071274D" w:rsidRPr="00037DB0">
        <w:t xml:space="preserve">a </w:t>
      </w:r>
      <w:r w:rsidRPr="00037DB0">
        <w:t xml:space="preserve">forfeiture of </w:t>
      </w:r>
      <w:r w:rsidR="000E4C1D">
        <w:t>forty</w:t>
      </w:r>
      <w:r w:rsidR="00180FCE" w:rsidRPr="00037DB0">
        <w:t xml:space="preserve"> thousand dollars (</w:t>
      </w:r>
      <w:r w:rsidRPr="00037DB0">
        <w:t>$</w:t>
      </w:r>
      <w:r w:rsidR="000E4C1D">
        <w:t>4</w:t>
      </w:r>
      <w:r w:rsidRPr="00037DB0">
        <w:t>0,000</w:t>
      </w:r>
      <w:r w:rsidR="00180FCE" w:rsidRPr="00037DB0">
        <w:t>)</w:t>
      </w:r>
      <w:r w:rsidRPr="00037DB0">
        <w:t xml:space="preserve"> for its willful </w:t>
      </w:r>
      <w:r w:rsidR="0071274D" w:rsidRPr="00037DB0">
        <w:t xml:space="preserve">or </w:t>
      </w:r>
      <w:r w:rsidRPr="00037DB0">
        <w:t>repeated regulatory fee payment</w:t>
      </w:r>
      <w:r w:rsidR="00352A7B">
        <w:t xml:space="preserve"> failure</w:t>
      </w:r>
      <w:r w:rsidRPr="00037DB0">
        <w:t xml:space="preserve">s </w:t>
      </w:r>
      <w:r w:rsidR="00352A7B">
        <w:t>in</w:t>
      </w:r>
      <w:r w:rsidR="00546D3C" w:rsidRPr="00037DB0">
        <w:t xml:space="preserve"> </w:t>
      </w:r>
      <w:r w:rsidR="000E4C1D">
        <w:t xml:space="preserve">2010, </w:t>
      </w:r>
      <w:r w:rsidR="000E4C1D" w:rsidRPr="00037DB0">
        <w:t xml:space="preserve">2011, </w:t>
      </w:r>
      <w:r w:rsidR="007444A5">
        <w:t>2013, and</w:t>
      </w:r>
      <w:r w:rsidR="000E4C1D" w:rsidRPr="00037DB0">
        <w:t xml:space="preserve"> 2014</w:t>
      </w:r>
      <w:r w:rsidRPr="00037DB0">
        <w:t>.</w:t>
      </w:r>
    </w:p>
    <w:p w:rsidR="0016337C" w:rsidRDefault="0016337C" w:rsidP="00F06937">
      <w:pPr>
        <w:pStyle w:val="Heading2"/>
        <w:spacing w:before="240" w:after="240"/>
      </w:pPr>
      <w:r w:rsidRPr="00037DB0">
        <w:t xml:space="preserve">Failure to Timely File </w:t>
      </w:r>
      <w:r>
        <w:t xml:space="preserve">Quarterly </w:t>
      </w:r>
      <w:r w:rsidRPr="00463BED">
        <w:t>Telecommunications</w:t>
      </w:r>
      <w:r w:rsidRPr="00037DB0">
        <w:t xml:space="preserve"> Reporting Worksheet</w:t>
      </w:r>
    </w:p>
    <w:p w:rsidR="0016337C" w:rsidRDefault="0016337C" w:rsidP="00E97070">
      <w:pPr>
        <w:pStyle w:val="ParaNum"/>
      </w:pPr>
      <w:r w:rsidRPr="00037DB0">
        <w:t xml:space="preserve">In the past, the Commission has </w:t>
      </w:r>
      <w:r>
        <w:t>im</w:t>
      </w:r>
      <w:r w:rsidRPr="00037DB0">
        <w:t xml:space="preserve">posed a forfeiture of $50,000 for each failure to file a </w:t>
      </w:r>
      <w:r>
        <w:t xml:space="preserve">Quarterly </w:t>
      </w:r>
      <w:r w:rsidRPr="00037DB0">
        <w:t>Worksheet.</w:t>
      </w:r>
      <w:r w:rsidRPr="00037DB0">
        <w:rPr>
          <w:rStyle w:val="FootnoteReference"/>
          <w:sz w:val="22"/>
          <w:szCs w:val="22"/>
        </w:rPr>
        <w:footnoteReference w:id="74"/>
      </w:r>
      <w:r w:rsidRPr="00037DB0">
        <w:t xml:space="preserve">  </w:t>
      </w:r>
      <w:r>
        <w:t>C</w:t>
      </w:r>
      <w:r w:rsidRPr="00037DB0">
        <w:t xml:space="preserve">onsistent with this precedent, we find that </w:t>
      </w:r>
      <w:r>
        <w:t>ATI</w:t>
      </w:r>
      <w:r w:rsidRPr="00037DB0">
        <w:t xml:space="preserve"> is apparently liable for a forfeiture of </w:t>
      </w:r>
      <w:r>
        <w:t>fifty thousand dollars ($</w:t>
      </w:r>
      <w:r w:rsidRPr="00037DB0">
        <w:t xml:space="preserve">50,000) for </w:t>
      </w:r>
      <w:r>
        <w:t xml:space="preserve">its </w:t>
      </w:r>
      <w:r w:rsidRPr="00037DB0">
        <w:t xml:space="preserve">willful failure to timely file its </w:t>
      </w:r>
      <w:r>
        <w:t>quarterly</w:t>
      </w:r>
      <w:r w:rsidRPr="00037DB0">
        <w:t xml:space="preserve"> Worksheet</w:t>
      </w:r>
      <w:r>
        <w:t xml:space="preserve"> due November 1, </w:t>
      </w:r>
      <w:r w:rsidRPr="00037DB0">
        <w:t>2013.</w:t>
      </w:r>
    </w:p>
    <w:p w:rsidR="00915830" w:rsidRPr="004A5DEA" w:rsidRDefault="00915830" w:rsidP="00E97070">
      <w:pPr>
        <w:pStyle w:val="ParaNum"/>
      </w:pPr>
      <w:r w:rsidRPr="00981F23">
        <w:t xml:space="preserve">Therefore, after applying the </w:t>
      </w:r>
      <w:r w:rsidRPr="00981F23">
        <w:rPr>
          <w:i/>
        </w:rPr>
        <w:t>Forfeiture Policy Statement</w:t>
      </w:r>
      <w:r w:rsidRPr="00981F23">
        <w:t>, Section 1.80 of the Rules, and the statutory factors, we propose a tot</w:t>
      </w:r>
      <w:r>
        <w:t xml:space="preserve">al forfeiture of </w:t>
      </w:r>
      <w:r w:rsidRPr="00037DB0">
        <w:t xml:space="preserve">one million five hundred </w:t>
      </w:r>
      <w:r>
        <w:t>eighty</w:t>
      </w:r>
      <w:r w:rsidRPr="00037DB0">
        <w:t>-eight thousand, nine hundred eighty-eight dollars ($</w:t>
      </w:r>
      <w:r w:rsidRPr="00037DB0">
        <w:rPr>
          <w:rFonts w:eastAsiaTheme="minorEastAsia"/>
        </w:rPr>
        <w:t>1,5</w:t>
      </w:r>
      <w:r>
        <w:rPr>
          <w:rFonts w:eastAsiaTheme="minorEastAsia"/>
        </w:rPr>
        <w:t>8</w:t>
      </w:r>
      <w:r w:rsidRPr="00037DB0">
        <w:rPr>
          <w:rFonts w:eastAsiaTheme="minorEastAsia"/>
        </w:rPr>
        <w:t>8,988</w:t>
      </w:r>
      <w:r w:rsidRPr="00037DB0">
        <w:t xml:space="preserve">) </w:t>
      </w:r>
      <w:r w:rsidRPr="00981F23">
        <w:t xml:space="preserve">for which </w:t>
      </w:r>
      <w:r>
        <w:t>ATI</w:t>
      </w:r>
      <w:r w:rsidRPr="00981F23">
        <w:t xml:space="preserve"> is apparently liable.</w:t>
      </w:r>
      <w:r w:rsidR="004A5DEA">
        <w:t xml:space="preserve"> </w:t>
      </w:r>
    </w:p>
    <w:p w:rsidR="006C789B" w:rsidRDefault="003A3175" w:rsidP="00A9128F">
      <w:pPr>
        <w:pStyle w:val="Heading1"/>
        <w:spacing w:before="240" w:after="240"/>
      </w:pPr>
      <w:r w:rsidRPr="0016337C">
        <w:t>Conclusion</w:t>
      </w:r>
    </w:p>
    <w:p w:rsidR="008D42EB" w:rsidRPr="00A9128F" w:rsidRDefault="00915830" w:rsidP="00E97070">
      <w:pPr>
        <w:pStyle w:val="ParaNum"/>
        <w:rPr>
          <w:color w:val="000000" w:themeColor="text1"/>
        </w:rPr>
      </w:pPr>
      <w:r w:rsidRPr="00915830">
        <w:rPr>
          <w:color w:val="000000" w:themeColor="text1"/>
        </w:rPr>
        <w:t xml:space="preserve">We have </w:t>
      </w:r>
      <w:r>
        <w:rPr>
          <w:color w:val="000000" w:themeColor="text1"/>
        </w:rPr>
        <w:t>determined that ATI</w:t>
      </w:r>
      <w:r w:rsidRPr="00915830">
        <w:rPr>
          <w:color w:val="000000" w:themeColor="text1"/>
        </w:rPr>
        <w:t xml:space="preserve"> apparently willfully and repeatedly violated </w:t>
      </w:r>
      <w:r w:rsidRPr="00B32883">
        <w:t xml:space="preserve">Sections </w:t>
      </w:r>
      <w:r w:rsidRPr="00B32883">
        <w:rPr>
          <w:rFonts w:eastAsiaTheme="minorEastAsia"/>
        </w:rPr>
        <w:t>251(e)(2) and 254(d)</w:t>
      </w:r>
      <w:r w:rsidRPr="00B32883">
        <w:t xml:space="preserve"> of the Communications Act and Sections </w:t>
      </w:r>
      <w:r w:rsidRPr="00B32883">
        <w:rPr>
          <w:rFonts w:eastAsiaTheme="minorEastAsia"/>
          <w:color w:val="000000"/>
        </w:rPr>
        <w:t xml:space="preserve">1.1154, 1.1157, 52.32, 54.706, 54.711, and </w:t>
      </w:r>
      <w:r w:rsidRPr="00B32883">
        <w:rPr>
          <w:rFonts w:eastAsiaTheme="minorEastAsia"/>
        </w:rPr>
        <w:t>64.604</w:t>
      </w:r>
      <w:r w:rsidRPr="00B32883">
        <w:t>(c)(5)(iii) of the Commission’s Rules</w:t>
      </w:r>
      <w:r>
        <w:rPr>
          <w:color w:val="000000" w:themeColor="text1"/>
        </w:rPr>
        <w:t xml:space="preserve">.  As such, </w:t>
      </w:r>
      <w:r w:rsidR="00DC105C">
        <w:rPr>
          <w:color w:val="000000" w:themeColor="text1"/>
        </w:rPr>
        <w:t xml:space="preserve">consistent with our existing methodology for calculating forfeitures for violations of federal program payment Rules, </w:t>
      </w:r>
      <w:r>
        <w:rPr>
          <w:color w:val="000000" w:themeColor="text1"/>
        </w:rPr>
        <w:t>ATI</w:t>
      </w:r>
      <w:r w:rsidRPr="00915830">
        <w:rPr>
          <w:color w:val="000000" w:themeColor="text1"/>
        </w:rPr>
        <w:t xml:space="preserve"> is apparently liable for a fo</w:t>
      </w:r>
      <w:r>
        <w:rPr>
          <w:color w:val="000000" w:themeColor="text1"/>
        </w:rPr>
        <w:t>rfeiture of $1,588,988</w:t>
      </w:r>
      <w:r w:rsidRPr="00915830">
        <w:rPr>
          <w:color w:val="000000" w:themeColor="text1"/>
        </w:rPr>
        <w:t>.</w:t>
      </w:r>
      <w:r w:rsidR="006A22D1" w:rsidRPr="00A9128F">
        <w:rPr>
          <w:szCs w:val="22"/>
        </w:rPr>
        <w:t xml:space="preserve">  </w:t>
      </w:r>
    </w:p>
    <w:p w:rsidR="00010736" w:rsidRDefault="006C789B" w:rsidP="00A9128F">
      <w:pPr>
        <w:pStyle w:val="Heading1"/>
        <w:spacing w:before="240" w:after="240"/>
      </w:pPr>
      <w:r w:rsidRPr="00037DB0">
        <w:t>Ordering Clauses</w:t>
      </w:r>
    </w:p>
    <w:p w:rsidR="00463BED" w:rsidRPr="00037DB0" w:rsidRDefault="00010736" w:rsidP="00E97070">
      <w:pPr>
        <w:pStyle w:val="ParaNum"/>
      </w:pPr>
      <w:r w:rsidRPr="00037DB0">
        <w:t xml:space="preserve">Accordingly, </w:t>
      </w:r>
      <w:r w:rsidRPr="00037DB0">
        <w:rPr>
          <w:b/>
        </w:rPr>
        <w:t>IT IS ORDERED</w:t>
      </w:r>
      <w:r w:rsidRPr="00037DB0">
        <w:t>,</w:t>
      </w:r>
      <w:r w:rsidRPr="00037DB0">
        <w:rPr>
          <w:b/>
        </w:rPr>
        <w:t xml:space="preserve"> </w:t>
      </w:r>
      <w:r w:rsidRPr="00037DB0">
        <w:t>pursuant to Section 503(b) of the Communications Act of 1934, as amended,</w:t>
      </w:r>
      <w:r w:rsidR="001B26C4">
        <w:rPr>
          <w:rStyle w:val="FootnoteReference"/>
          <w:szCs w:val="22"/>
        </w:rPr>
        <w:footnoteReference w:id="75"/>
      </w:r>
      <w:r w:rsidRPr="00037DB0">
        <w:t xml:space="preserve"> and Se</w:t>
      </w:r>
      <w:r w:rsidR="00B950BA">
        <w:t>ction 1.80 of the Commission’s R</w:t>
      </w:r>
      <w:r w:rsidRPr="00037DB0">
        <w:t>ules,</w:t>
      </w:r>
      <w:r w:rsidR="001B26C4">
        <w:rPr>
          <w:rStyle w:val="FootnoteReference"/>
          <w:szCs w:val="22"/>
        </w:rPr>
        <w:footnoteReference w:id="76"/>
      </w:r>
      <w:r w:rsidRPr="00037DB0">
        <w:t xml:space="preserve"> that </w:t>
      </w:r>
      <w:r w:rsidR="00C0602A" w:rsidRPr="00037DB0">
        <w:t>Advanced Tel</w:t>
      </w:r>
      <w:r w:rsidRPr="00037DB0">
        <w:t xml:space="preserve">, Inc. is hereby </w:t>
      </w:r>
      <w:r w:rsidRPr="00037DB0">
        <w:rPr>
          <w:b/>
        </w:rPr>
        <w:t>NOTIFIED</w:t>
      </w:r>
      <w:r w:rsidRPr="00037DB0">
        <w:t xml:space="preserve"> of this </w:t>
      </w:r>
      <w:r w:rsidRPr="00037DB0">
        <w:rPr>
          <w:b/>
        </w:rPr>
        <w:t xml:space="preserve">APPARENT LIABILITY FOR FORFEITURE </w:t>
      </w:r>
      <w:r w:rsidRPr="00037DB0">
        <w:t>in the amount of</w:t>
      </w:r>
      <w:r w:rsidR="0082061C" w:rsidRPr="00037DB0">
        <w:t xml:space="preserve"> </w:t>
      </w:r>
      <w:r w:rsidR="00C0602A" w:rsidRPr="00037DB0">
        <w:t>one million five</w:t>
      </w:r>
      <w:r w:rsidR="0082061C" w:rsidRPr="00037DB0">
        <w:t xml:space="preserve"> hundred </w:t>
      </w:r>
      <w:r w:rsidR="000E4C1D">
        <w:t>eighty</w:t>
      </w:r>
      <w:r w:rsidR="00E81752" w:rsidRPr="00037DB0">
        <w:t>-</w:t>
      </w:r>
      <w:r w:rsidR="00C0602A" w:rsidRPr="00037DB0">
        <w:t>eight</w:t>
      </w:r>
      <w:r w:rsidR="00E81752" w:rsidRPr="00037DB0">
        <w:t xml:space="preserve"> </w:t>
      </w:r>
      <w:r w:rsidR="0082061C" w:rsidRPr="00037DB0">
        <w:t xml:space="preserve">thousand, </w:t>
      </w:r>
      <w:r w:rsidR="00C0602A" w:rsidRPr="00037DB0">
        <w:t>nine</w:t>
      </w:r>
      <w:r w:rsidR="00292B49" w:rsidRPr="00037DB0">
        <w:t xml:space="preserve"> </w:t>
      </w:r>
      <w:r w:rsidR="0082061C" w:rsidRPr="00037DB0">
        <w:t xml:space="preserve">hundred </w:t>
      </w:r>
      <w:r w:rsidR="00C0602A" w:rsidRPr="00037DB0">
        <w:t>eighty</w:t>
      </w:r>
      <w:r w:rsidR="0082061C" w:rsidRPr="00037DB0">
        <w:t>-</w:t>
      </w:r>
      <w:r w:rsidR="00C0602A" w:rsidRPr="00037DB0">
        <w:t>eight</w:t>
      </w:r>
      <w:r w:rsidR="0082061C" w:rsidRPr="00037DB0">
        <w:t xml:space="preserve"> dollars (</w:t>
      </w:r>
      <w:r w:rsidRPr="00037DB0">
        <w:t>$</w:t>
      </w:r>
      <w:r w:rsidR="00C0602A" w:rsidRPr="00037DB0">
        <w:rPr>
          <w:rFonts w:eastAsiaTheme="minorEastAsia"/>
        </w:rPr>
        <w:t>1,5</w:t>
      </w:r>
      <w:r w:rsidR="000E4C1D">
        <w:rPr>
          <w:rFonts w:eastAsiaTheme="minorEastAsia"/>
        </w:rPr>
        <w:t>8</w:t>
      </w:r>
      <w:r w:rsidR="00C0602A" w:rsidRPr="00037DB0">
        <w:rPr>
          <w:rFonts w:eastAsiaTheme="minorEastAsia"/>
        </w:rPr>
        <w:t>8,988</w:t>
      </w:r>
      <w:r w:rsidR="0082061C" w:rsidRPr="00037DB0">
        <w:t>)</w:t>
      </w:r>
      <w:r w:rsidRPr="00037DB0">
        <w:t xml:space="preserve"> for willful or repeated violations </w:t>
      </w:r>
      <w:r w:rsidRPr="00B32883">
        <w:t xml:space="preserve">of </w:t>
      </w:r>
      <w:r w:rsidR="00C0602A" w:rsidRPr="00B32883">
        <w:t xml:space="preserve">Sections </w:t>
      </w:r>
      <w:r w:rsidR="00C0602A" w:rsidRPr="00B32883">
        <w:rPr>
          <w:rFonts w:eastAsiaTheme="minorEastAsia"/>
        </w:rPr>
        <w:t>251(e)(2) and 254(d)</w:t>
      </w:r>
      <w:r w:rsidR="00C0602A" w:rsidRPr="00B32883">
        <w:t xml:space="preserve"> of the </w:t>
      </w:r>
      <w:r w:rsidR="0082061C" w:rsidRPr="00B32883">
        <w:t xml:space="preserve">Communications </w:t>
      </w:r>
      <w:r w:rsidR="001B26C4" w:rsidRPr="00B32883">
        <w:t>Act</w:t>
      </w:r>
      <w:r w:rsidRPr="00B32883">
        <w:t xml:space="preserve"> and </w:t>
      </w:r>
      <w:r w:rsidR="00C0602A" w:rsidRPr="00B32883">
        <w:t xml:space="preserve">Sections </w:t>
      </w:r>
      <w:r w:rsidR="00C0602A" w:rsidRPr="00B32883">
        <w:rPr>
          <w:rFonts w:eastAsiaTheme="minorEastAsia"/>
          <w:color w:val="000000"/>
        </w:rPr>
        <w:t xml:space="preserve">1.1154, 1.1157, 52.32, 54.706, 54.711, and </w:t>
      </w:r>
      <w:r w:rsidR="00C0602A" w:rsidRPr="00B32883">
        <w:rPr>
          <w:rFonts w:eastAsiaTheme="minorEastAsia"/>
        </w:rPr>
        <w:t>64.604</w:t>
      </w:r>
      <w:r w:rsidR="00C0602A" w:rsidRPr="00B32883">
        <w:t>(c)(5)(iii)</w:t>
      </w:r>
      <w:r w:rsidR="001B26C4" w:rsidRPr="00B32883">
        <w:t xml:space="preserve"> of the Commission’s R</w:t>
      </w:r>
      <w:r w:rsidRPr="00B32883">
        <w:t>ules</w:t>
      </w:r>
      <w:r w:rsidRPr="00037DB0">
        <w:t>.</w:t>
      </w:r>
      <w:r w:rsidR="001B26C4">
        <w:rPr>
          <w:rStyle w:val="FootnoteReference"/>
          <w:szCs w:val="22"/>
        </w:rPr>
        <w:footnoteReference w:id="77"/>
      </w:r>
      <w:r w:rsidRPr="00037DB0">
        <w:t xml:space="preserve"> </w:t>
      </w:r>
    </w:p>
    <w:p w:rsidR="00010736" w:rsidRPr="00037DB0" w:rsidRDefault="00010736" w:rsidP="00E97070">
      <w:pPr>
        <w:pStyle w:val="ParaNum"/>
      </w:pPr>
      <w:r w:rsidRPr="00037DB0">
        <w:rPr>
          <w:b/>
        </w:rPr>
        <w:t xml:space="preserve">IT IS FURTHER ORDERED </w:t>
      </w:r>
      <w:r w:rsidR="0082061C" w:rsidRPr="00037DB0">
        <w:t>that</w:t>
      </w:r>
      <w:r w:rsidRPr="00037DB0">
        <w:t xml:space="preserve"> pursuant to Se</w:t>
      </w:r>
      <w:r w:rsidR="00B950BA">
        <w:t>ction 1.80 of the Commission’s R</w:t>
      </w:r>
      <w:r w:rsidRPr="00037DB0">
        <w:t>ules,</w:t>
      </w:r>
      <w:r w:rsidR="00754291">
        <w:rPr>
          <w:rStyle w:val="FootnoteReference"/>
          <w:szCs w:val="22"/>
        </w:rPr>
        <w:footnoteReference w:id="78"/>
      </w:r>
      <w:r w:rsidRPr="00037DB0">
        <w:t xml:space="preserve"> within thirty (30) </w:t>
      </w:r>
      <w:r w:rsidR="0082061C" w:rsidRPr="00037DB0">
        <w:t xml:space="preserve">calendar </w:t>
      </w:r>
      <w:r w:rsidRPr="00037DB0">
        <w:t xml:space="preserve">days of the release date of this Notice of Apparent Liability for Forfeiture, </w:t>
      </w:r>
      <w:r w:rsidR="00723EF1" w:rsidRPr="00037DB0">
        <w:t>Advanced Tel</w:t>
      </w:r>
      <w:r w:rsidRPr="00037DB0">
        <w:t xml:space="preserve">, Inc. </w:t>
      </w:r>
      <w:r w:rsidRPr="00037DB0">
        <w:rPr>
          <w:b/>
        </w:rPr>
        <w:t>SHALL PAY</w:t>
      </w:r>
      <w:r w:rsidRPr="00037DB0">
        <w:t xml:space="preserve"> the full amount of the proposed forfeiture or </w:t>
      </w:r>
      <w:r w:rsidRPr="00037DB0">
        <w:rPr>
          <w:b/>
        </w:rPr>
        <w:t>SHALL FILE</w:t>
      </w:r>
      <w:r w:rsidRPr="00037DB0">
        <w:t xml:space="preserve"> a written statement seeking reduction or cancellation of the proposed forfeiture</w:t>
      </w:r>
      <w:r w:rsidR="00915830">
        <w:t xml:space="preserve"> consistent with paragraph</w:t>
      </w:r>
      <w:r w:rsidR="00F77387">
        <w:t>s</w:t>
      </w:r>
      <w:r w:rsidR="00E82B1D">
        <w:t xml:space="preserve"> </w:t>
      </w:r>
      <w:r w:rsidR="005466F6">
        <w:t>3</w:t>
      </w:r>
      <w:r w:rsidR="008825D1">
        <w:t>4</w:t>
      </w:r>
      <w:r w:rsidR="00E82B1D">
        <w:t>–</w:t>
      </w:r>
      <w:r w:rsidR="008825D1">
        <w:t>35</w:t>
      </w:r>
      <w:r w:rsidR="00915830">
        <w:t xml:space="preserve"> below</w:t>
      </w:r>
      <w:r w:rsidRPr="00037DB0">
        <w:t>.</w:t>
      </w:r>
    </w:p>
    <w:p w:rsidR="00010736" w:rsidRPr="00037DB0" w:rsidRDefault="00010736" w:rsidP="00E97070">
      <w:pPr>
        <w:pStyle w:val="ParaNum"/>
      </w:pPr>
      <w:r w:rsidRPr="00037DB0">
        <w:t xml:space="preserve">Payment of the forfeiture must be made by check or similar instrument, wire transfer, or credit card, and must include the NAL/Account number and FRN referenced above.  </w:t>
      </w:r>
      <w:r w:rsidR="00723EF1" w:rsidRPr="00037DB0">
        <w:t>Advanced Tel</w:t>
      </w:r>
      <w:r w:rsidRPr="00037DB0">
        <w:t xml:space="preserve">, Inc. shall send electronic notification of payment to </w:t>
      </w:r>
      <w:r w:rsidR="00E95DBE">
        <w:t>Jeffrey Gee</w:t>
      </w:r>
      <w:r w:rsidR="00E95DBE" w:rsidRPr="00037DB0">
        <w:t xml:space="preserve"> at </w:t>
      </w:r>
      <w:r w:rsidR="00E95DBE" w:rsidRPr="00B24D44">
        <w:t>Jeffrey.Gee@fcc.gov</w:t>
      </w:r>
      <w:r w:rsidR="00E95DBE">
        <w:t xml:space="preserve">, William A. Kehoe at </w:t>
      </w:r>
      <w:r w:rsidR="00E95DBE" w:rsidRPr="00B24D44">
        <w:t>William.Kehoe@fcc.gov</w:t>
      </w:r>
      <w:r w:rsidR="00E95DBE">
        <w:t xml:space="preserve">, </w:t>
      </w:r>
      <w:r w:rsidR="00E95DBE" w:rsidRPr="00037DB0">
        <w:t xml:space="preserve">and David M. Janas at </w:t>
      </w:r>
      <w:r w:rsidR="00723EF1" w:rsidRPr="00037DB0">
        <w:t>David.Janas</w:t>
      </w:r>
      <w:r w:rsidRPr="00037DB0">
        <w:t>@fcc.gov on the date said payment is made.  Regardless of the form of payment, a completed FCC Form 159 (Remittance Advice) must be submitted.</w:t>
      </w:r>
      <w:r w:rsidRPr="00037DB0">
        <w:rPr>
          <w:rStyle w:val="FootnoteReference"/>
          <w:sz w:val="22"/>
          <w:szCs w:val="22"/>
        </w:rPr>
        <w:footnoteReference w:id="79"/>
      </w:r>
      <w:r w:rsidRPr="00037DB0">
        <w:t xml:space="preserve">  When completing the FCC Form 159, enter the Account Number in block number 23A (call sign/other ID) and enter the letters “FORF” in block number 24A (payment type code).  </w:t>
      </w:r>
      <w:r w:rsidRPr="00037DB0">
        <w:rPr>
          <w:color w:val="000000"/>
        </w:rPr>
        <w:t xml:space="preserve">Below are additional instructions </w:t>
      </w:r>
      <w:r w:rsidR="00723EF1" w:rsidRPr="00037DB0">
        <w:t>Advanced Tel</w:t>
      </w:r>
      <w:r w:rsidRPr="00037DB0">
        <w:t xml:space="preserve">, Inc. </w:t>
      </w:r>
      <w:r w:rsidRPr="00037DB0">
        <w:rPr>
          <w:color w:val="000000"/>
        </w:rPr>
        <w:t>should follow based on the form of payment it selects:</w:t>
      </w:r>
    </w:p>
    <w:p w:rsidR="00010736" w:rsidRPr="00037DB0" w:rsidRDefault="00010736" w:rsidP="00010736">
      <w:pPr>
        <w:pStyle w:val="Bullet1"/>
        <w:ind w:left="1440"/>
        <w:rPr>
          <w:rFonts w:eastAsia="MS Mincho"/>
          <w:szCs w:val="22"/>
        </w:rPr>
      </w:pPr>
      <w:r w:rsidRPr="00037DB0">
        <w:rPr>
          <w:rFonts w:eastAsia="MS Mincho"/>
          <w:szCs w:val="22"/>
        </w:rPr>
        <w:t xml:space="preserve">Payment by check or money order must be made payable to the order of the Federal Communications Commission.  Such payments (along with the completed Form 159) must be mailed to Federal </w:t>
      </w:r>
      <w:r w:rsidRPr="00037DB0">
        <w:rPr>
          <w:szCs w:val="22"/>
        </w:rPr>
        <w:t>Communications</w:t>
      </w:r>
      <w:r w:rsidRPr="00037DB0">
        <w:rPr>
          <w:rFonts w:eastAsia="MS Mincho"/>
          <w:szCs w:val="22"/>
        </w:rPr>
        <w:t xml:space="preserve"> </w:t>
      </w:r>
      <w:r w:rsidRPr="00037DB0">
        <w:rPr>
          <w:szCs w:val="22"/>
        </w:rPr>
        <w:t>Commission</w:t>
      </w:r>
      <w:r w:rsidRPr="00037DB0">
        <w:rPr>
          <w:rFonts w:eastAsia="MS Mincho"/>
          <w:szCs w:val="22"/>
        </w:rPr>
        <w:t xml:space="preserve">, P.O. Box 979088, St. Louis, MO 63197-9000, or sent via overnight mail to U.S. Bank – Government Lockbox #979088, SL-MO-C2-GL, 1005 Convention Plaza, St. Louis, MO 63101.  </w:t>
      </w:r>
    </w:p>
    <w:p w:rsidR="00010736" w:rsidRPr="00037DB0" w:rsidRDefault="00010736" w:rsidP="00010736">
      <w:pPr>
        <w:pStyle w:val="Bullet1"/>
        <w:ind w:left="1440"/>
        <w:rPr>
          <w:rFonts w:eastAsia="MS Mincho"/>
          <w:szCs w:val="22"/>
        </w:rPr>
      </w:pPr>
      <w:r w:rsidRPr="00037DB0">
        <w:rPr>
          <w:rFonts w:eastAsia="MS Mincho"/>
          <w:szCs w:val="22"/>
        </w:rPr>
        <w:t xml:space="preserve">Payment by wire transfer must be made to ABA Number 021030004, receiving bank TREAS/NYC, and Account Number 27000001.  To </w:t>
      </w:r>
      <w:r w:rsidRPr="00037DB0">
        <w:rPr>
          <w:szCs w:val="22"/>
        </w:rPr>
        <w:t>complete</w:t>
      </w:r>
      <w:r w:rsidRPr="00037DB0">
        <w:rPr>
          <w:rFonts w:eastAsia="MS Mincho"/>
          <w:szCs w:val="22"/>
        </w:rPr>
        <w:t xml:space="preserve"> the wire transfer and ensure appropriate crediting of the wired </w:t>
      </w:r>
      <w:r w:rsidRPr="00037DB0">
        <w:rPr>
          <w:szCs w:val="22"/>
        </w:rPr>
        <w:t>funds</w:t>
      </w:r>
      <w:r w:rsidRPr="00037DB0">
        <w:rPr>
          <w:rFonts w:eastAsia="MS Mincho"/>
          <w:szCs w:val="22"/>
        </w:rPr>
        <w:t xml:space="preserve">, a completed Form 159 must be faxed to U.S. Bank at (314)418-4232 on the same business day the wire transfer is initiated.  </w:t>
      </w:r>
    </w:p>
    <w:p w:rsidR="00010736" w:rsidRPr="00037DB0" w:rsidRDefault="00010736" w:rsidP="00010736">
      <w:pPr>
        <w:pStyle w:val="Bullet1"/>
        <w:ind w:left="1440"/>
        <w:rPr>
          <w:rFonts w:eastAsia="MS Mincho"/>
          <w:szCs w:val="22"/>
        </w:rPr>
      </w:pPr>
      <w:r w:rsidRPr="00037DB0">
        <w:rPr>
          <w:rFonts w:eastAsia="MS Mincho"/>
          <w:szCs w:val="22"/>
        </w:rPr>
        <w:t xml:space="preserve">Payment by credit card must be made by providing the required credit card information on FCC Form 159 and signing and </w:t>
      </w:r>
      <w:r w:rsidRPr="00037DB0">
        <w:rPr>
          <w:szCs w:val="22"/>
        </w:rPr>
        <w:t>dating</w:t>
      </w:r>
      <w:r w:rsidRPr="00037DB0">
        <w:rPr>
          <w:rFonts w:eastAsia="MS Mincho"/>
          <w:szCs w:val="22"/>
        </w:rPr>
        <w:t xml:space="preserve"> the </w:t>
      </w:r>
      <w:r w:rsidRPr="00037DB0">
        <w:rPr>
          <w:szCs w:val="22"/>
        </w:rPr>
        <w:t>Form</w:t>
      </w:r>
      <w:r w:rsidRPr="00037DB0">
        <w:rPr>
          <w:rFonts w:eastAsia="MS Mincho"/>
          <w:szCs w:val="22"/>
        </w:rPr>
        <w:t xml:space="preserve">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10736" w:rsidRPr="00037DB0" w:rsidRDefault="00010736" w:rsidP="00E97070">
      <w:pPr>
        <w:pStyle w:val="ParaNum"/>
      </w:pPr>
      <w:r w:rsidRPr="00037DB0">
        <w:t>Any request for making full payment over time under an installment plan should be sent to:  Chief Financial Officer — Financial Operations, Federal Communications Commission, 445 12</w:t>
      </w:r>
      <w:r w:rsidRPr="00037DB0">
        <w:rPr>
          <w:vertAlign w:val="superscript"/>
        </w:rPr>
        <w:t>th</w:t>
      </w:r>
      <w:r w:rsidRPr="00037DB0">
        <w:t xml:space="preserve"> Street, SW, Room 1</w:t>
      </w:r>
      <w:r w:rsidRPr="00037DB0">
        <w:noBreakHyphen/>
        <w:t>A625, Washington, DC 20554.</w:t>
      </w:r>
      <w:r w:rsidRPr="00037DB0">
        <w:rPr>
          <w:rStyle w:val="FootnoteReference"/>
          <w:sz w:val="22"/>
          <w:szCs w:val="22"/>
        </w:rPr>
        <w:footnoteReference w:id="80"/>
      </w:r>
      <w:r w:rsidRPr="00037DB0">
        <w:t xml:space="preserve">  If </w:t>
      </w:r>
      <w:r w:rsidR="00723EF1" w:rsidRPr="00037DB0">
        <w:t>Advanced Tel</w:t>
      </w:r>
      <w:r w:rsidRPr="00037DB0">
        <w:t>, Inc. has questions regarding payment procedures, it can contact the Financial Operations Group Help Desk by phone, 1-877-480-3201, or by e</w:t>
      </w:r>
      <w:r w:rsidRPr="00037DB0">
        <w:noBreakHyphen/>
        <w:t xml:space="preserve">mail, ARINQUIRIES@fcc.gov.  </w:t>
      </w:r>
    </w:p>
    <w:p w:rsidR="006C4852" w:rsidRPr="00C125B2" w:rsidRDefault="006C4852" w:rsidP="00E97070">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w:t>
      </w:r>
      <w:r w:rsidR="00B950BA">
        <w:t>1.80(f)(3) of the Commission’s R</w:t>
      </w:r>
      <w:r w:rsidRPr="00981F23">
        <w:t>ules.</w:t>
      </w:r>
      <w:r w:rsidRPr="00981F23">
        <w:rPr>
          <w:vertAlign w:val="superscript"/>
        </w:rPr>
        <w:footnoteReference w:id="81"/>
      </w:r>
      <w:r w:rsidRPr="00981F23">
        <w:t xml:space="preserve">  The written statement must be mailed to the Office of the Secretary, Federal Communications Commission, 445 12th Street, SW, Washington, DC 20554, ATTN:  Enforcement Bureau – </w:t>
      </w:r>
      <w:r>
        <w:t>Investigations and Hearings Division</w:t>
      </w:r>
      <w:r w:rsidRPr="00981F23">
        <w:t xml:space="preserve">, and must include the NAL/Account Number referenced in the caption.  The statement must also be e-mailed to </w:t>
      </w:r>
      <w:r>
        <w:t>Jeffrey Gee</w:t>
      </w:r>
      <w:r w:rsidRPr="00037DB0">
        <w:t xml:space="preserve"> at </w:t>
      </w:r>
      <w:r w:rsidRPr="0016337C">
        <w:t>Jeffrey.Gee@fcc.gov</w:t>
      </w:r>
      <w:r>
        <w:t xml:space="preserve">, William A. Kehoe at </w:t>
      </w:r>
      <w:r w:rsidRPr="0016337C">
        <w:t>William.Kehoe@fcc.gov</w:t>
      </w:r>
      <w:r>
        <w:t xml:space="preserve">, </w:t>
      </w:r>
      <w:r w:rsidRPr="00037DB0">
        <w:t>and David M. Janas at David.Janas@fcc.gov</w:t>
      </w:r>
      <w:r w:rsidRPr="00981F23">
        <w:t xml:space="preserve">.  </w:t>
      </w:r>
    </w:p>
    <w:p w:rsidR="004A5DEA" w:rsidRPr="00B950BA" w:rsidRDefault="00010736" w:rsidP="00E97070">
      <w:pPr>
        <w:pStyle w:val="ParaNum"/>
      </w:pPr>
      <w:r w:rsidRPr="00037DB0">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r w:rsidR="00723EF1" w:rsidRPr="00037DB0">
        <w:t xml:space="preserve"> </w:t>
      </w:r>
    </w:p>
    <w:p w:rsidR="00B20533" w:rsidRDefault="00B20533">
      <w:pPr>
        <w:widowControl/>
        <w:rPr>
          <w:b/>
        </w:rPr>
      </w:pPr>
      <w:r>
        <w:rPr>
          <w:b/>
        </w:rPr>
        <w:br w:type="page"/>
      </w:r>
    </w:p>
    <w:p w:rsidR="00EC0903" w:rsidRPr="001F6C0A" w:rsidRDefault="00010736" w:rsidP="00E97070">
      <w:pPr>
        <w:pStyle w:val="ParaNum"/>
      </w:pPr>
      <w:r w:rsidRPr="001F6C0A">
        <w:rPr>
          <w:b/>
        </w:rPr>
        <w:t>IT IS FURTHER ORDERED</w:t>
      </w:r>
      <w:r w:rsidRPr="001F6C0A">
        <w:t xml:space="preserve"> that a copy of this Notice of Apparent Liability for Forfeiture shall be sent by Certified Mail Return Receipt Requested and First Class Mail to </w:t>
      </w:r>
      <w:r w:rsidR="00723EF1" w:rsidRPr="001F6C0A">
        <w:t>Advanced Tel</w:t>
      </w:r>
      <w:r w:rsidR="007873C0">
        <w:t xml:space="preserve"> Inc.</w:t>
      </w:r>
      <w:r w:rsidRPr="001F6C0A">
        <w:t xml:space="preserve">’s attorney, </w:t>
      </w:r>
      <w:r w:rsidR="00EC0903" w:rsidRPr="001F6C0A">
        <w:t xml:space="preserve">Mr. </w:t>
      </w:r>
      <w:r w:rsidR="00723EF1" w:rsidRPr="001F6C0A">
        <w:t>Jonathan S. Marashlian</w:t>
      </w:r>
      <w:r w:rsidR="00EC0903" w:rsidRPr="001F6C0A">
        <w:t xml:space="preserve">, Esq., </w:t>
      </w:r>
      <w:r w:rsidR="00723EF1" w:rsidRPr="001F6C0A">
        <w:t>Marashlian</w:t>
      </w:r>
      <w:r w:rsidR="00723EF1" w:rsidRPr="001F6C0A">
        <w:rPr>
          <w:smallCaps/>
        </w:rPr>
        <w:t xml:space="preserve"> &amp; </w:t>
      </w:r>
      <w:r w:rsidR="00723EF1" w:rsidRPr="001F6C0A">
        <w:t>Donahue, LLC</w:t>
      </w:r>
      <w:r w:rsidR="00EC0903" w:rsidRPr="001F6C0A">
        <w:t xml:space="preserve">, </w:t>
      </w:r>
      <w:r w:rsidR="00723EF1" w:rsidRPr="001F6C0A">
        <w:t>1420 Spring Hill Road, Suite 401</w:t>
      </w:r>
      <w:r w:rsidR="00EC0903" w:rsidRPr="001F6C0A">
        <w:t xml:space="preserve">, </w:t>
      </w:r>
      <w:r w:rsidR="00723EF1" w:rsidRPr="001F6C0A">
        <w:t>McLean, Virginia 22102</w:t>
      </w:r>
      <w:r w:rsidR="00EC0903" w:rsidRPr="001F6C0A">
        <w:t>.</w:t>
      </w:r>
    </w:p>
    <w:p w:rsidR="00010736" w:rsidRPr="00037DB0" w:rsidRDefault="00010736" w:rsidP="00010736">
      <w:pPr>
        <w:tabs>
          <w:tab w:val="left" w:pos="4320"/>
        </w:tabs>
        <w:rPr>
          <w:szCs w:val="22"/>
        </w:rPr>
      </w:pPr>
      <w:r w:rsidRPr="00037DB0">
        <w:rPr>
          <w:szCs w:val="22"/>
        </w:rPr>
        <w:tab/>
        <w:t>FEDERAL COMMUNICATIONS COMMISSION</w:t>
      </w:r>
    </w:p>
    <w:p w:rsidR="00010736" w:rsidRPr="00037DB0" w:rsidRDefault="00010736" w:rsidP="00010736">
      <w:pPr>
        <w:rPr>
          <w:szCs w:val="22"/>
        </w:rPr>
      </w:pPr>
    </w:p>
    <w:p w:rsidR="00010736" w:rsidRPr="00037DB0" w:rsidRDefault="00010736" w:rsidP="00010736">
      <w:pPr>
        <w:rPr>
          <w:szCs w:val="22"/>
        </w:rPr>
      </w:pPr>
    </w:p>
    <w:p w:rsidR="0060789E" w:rsidRPr="00037DB0" w:rsidRDefault="0060789E" w:rsidP="00010736">
      <w:pPr>
        <w:rPr>
          <w:szCs w:val="22"/>
        </w:rPr>
      </w:pPr>
    </w:p>
    <w:p w:rsidR="0060789E" w:rsidRPr="00037DB0" w:rsidRDefault="0060789E" w:rsidP="00010736">
      <w:pPr>
        <w:rPr>
          <w:szCs w:val="22"/>
        </w:rPr>
      </w:pPr>
    </w:p>
    <w:p w:rsidR="00010736" w:rsidRPr="00037DB0" w:rsidRDefault="00010736" w:rsidP="00010736">
      <w:pPr>
        <w:tabs>
          <w:tab w:val="left" w:pos="4320"/>
        </w:tabs>
        <w:rPr>
          <w:szCs w:val="22"/>
        </w:rPr>
      </w:pPr>
      <w:r w:rsidRPr="00037DB0">
        <w:rPr>
          <w:szCs w:val="22"/>
        </w:rPr>
        <w:tab/>
        <w:t>Marlene H. Dortch</w:t>
      </w:r>
    </w:p>
    <w:p w:rsidR="00010736" w:rsidRPr="00037DB0" w:rsidRDefault="00010736" w:rsidP="003717DD">
      <w:pPr>
        <w:tabs>
          <w:tab w:val="left" w:pos="4320"/>
        </w:tabs>
        <w:rPr>
          <w:szCs w:val="22"/>
        </w:rPr>
      </w:pPr>
      <w:r w:rsidRPr="00037DB0">
        <w:rPr>
          <w:szCs w:val="22"/>
        </w:rPr>
        <w:tab/>
        <w:t>Secretary</w:t>
      </w:r>
    </w:p>
    <w:sectPr w:rsidR="00010736" w:rsidRPr="00037DB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65" w:rsidRDefault="000B1865">
      <w:pPr>
        <w:spacing w:line="20" w:lineRule="exact"/>
      </w:pPr>
    </w:p>
  </w:endnote>
  <w:endnote w:type="continuationSeparator" w:id="0">
    <w:p w:rsidR="000B1865" w:rsidRDefault="000B1865">
      <w:r>
        <w:t xml:space="preserve"> </w:t>
      </w:r>
    </w:p>
  </w:endnote>
  <w:endnote w:type="continuationNotice" w:id="1">
    <w:p w:rsidR="000B1865" w:rsidRDefault="000B18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55614C">
    <w:pPr>
      <w:pStyle w:val="Footer"/>
      <w:framePr w:wrap="around" w:vAnchor="text" w:hAnchor="margin" w:xAlign="center" w:y="1"/>
    </w:pPr>
    <w:r>
      <w:fldChar w:fldCharType="begin"/>
    </w:r>
    <w:r>
      <w:instrText xml:space="preserve">PAGE  </w:instrText>
    </w:r>
    <w:r>
      <w:fldChar w:fldCharType="end"/>
    </w:r>
  </w:p>
  <w:p w:rsidR="000E4C1D" w:rsidRDefault="000E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55614C">
    <w:pPr>
      <w:pStyle w:val="Footer"/>
      <w:framePr w:wrap="around" w:vAnchor="text" w:hAnchor="margin" w:xAlign="center" w:y="1"/>
    </w:pPr>
    <w:r>
      <w:fldChar w:fldCharType="begin"/>
    </w:r>
    <w:r>
      <w:instrText xml:space="preserve">PAGE  </w:instrText>
    </w:r>
    <w:r>
      <w:fldChar w:fldCharType="separate"/>
    </w:r>
    <w:r w:rsidR="00D011EC">
      <w:rPr>
        <w:noProof/>
      </w:rPr>
      <w:t>2</w:t>
    </w:r>
    <w:r>
      <w:fldChar w:fldCharType="end"/>
    </w:r>
  </w:p>
  <w:p w:rsidR="000E4C1D" w:rsidRDefault="000E4C1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65" w:rsidRDefault="000B1865">
      <w:r>
        <w:separator/>
      </w:r>
    </w:p>
  </w:footnote>
  <w:footnote w:type="continuationSeparator" w:id="0">
    <w:p w:rsidR="000B1865" w:rsidRDefault="000B1865" w:rsidP="00C721AC">
      <w:pPr>
        <w:spacing w:before="120"/>
        <w:rPr>
          <w:sz w:val="20"/>
        </w:rPr>
      </w:pPr>
      <w:r>
        <w:rPr>
          <w:sz w:val="20"/>
        </w:rPr>
        <w:t xml:space="preserve">(Continued from previous page)  </w:t>
      </w:r>
      <w:r>
        <w:rPr>
          <w:sz w:val="20"/>
        </w:rPr>
        <w:separator/>
      </w:r>
    </w:p>
  </w:footnote>
  <w:footnote w:type="continuationNotice" w:id="1">
    <w:p w:rsidR="000B1865" w:rsidRDefault="000B1865" w:rsidP="00C721AC">
      <w:pPr>
        <w:jc w:val="right"/>
        <w:rPr>
          <w:sz w:val="20"/>
        </w:rPr>
      </w:pPr>
      <w:r>
        <w:rPr>
          <w:sz w:val="20"/>
        </w:rPr>
        <w:t>(continued….)</w:t>
      </w:r>
    </w:p>
  </w:footnote>
  <w:footnote w:id="2">
    <w:p w:rsidR="000E4C1D" w:rsidRPr="00E535BD" w:rsidRDefault="000E4C1D">
      <w:pPr>
        <w:pStyle w:val="FootnoteText"/>
      </w:pPr>
      <w:r w:rsidRPr="00E535BD">
        <w:rPr>
          <w:rStyle w:val="FootnoteReference"/>
        </w:rPr>
        <w:footnoteRef/>
      </w:r>
      <w:r w:rsidRPr="00E535BD">
        <w:t xml:space="preserve"> This case was formerly assigned File No. EB-08-IH-5311.</w:t>
      </w:r>
    </w:p>
  </w:footnote>
  <w:footnote w:id="3">
    <w:p w:rsidR="00E66B62" w:rsidRPr="00E66B62" w:rsidRDefault="00E66B62">
      <w:pPr>
        <w:pStyle w:val="FootnoteText"/>
      </w:pPr>
      <w:r>
        <w:rPr>
          <w:rStyle w:val="FootnoteReference"/>
        </w:rPr>
        <w:footnoteRef/>
      </w:r>
      <w:r>
        <w:t xml:space="preserve"> </w:t>
      </w:r>
      <w:r w:rsidR="004131AB" w:rsidRPr="00E535BD">
        <w:rPr>
          <w:i/>
        </w:rPr>
        <w:t>See</w:t>
      </w:r>
      <w:r w:rsidR="004131AB" w:rsidRPr="00E535BD">
        <w:t xml:space="preserve"> </w:t>
      </w:r>
      <w:r w:rsidR="004443FC" w:rsidRPr="00E535BD">
        <w:rPr>
          <w:i/>
        </w:rPr>
        <w:t>Domestic Section 214 Application Filed for the Transfer of Control of Advanced Tel, Inc. to InterMetro Communications, Inc.</w:t>
      </w:r>
      <w:r w:rsidR="004443FC" w:rsidRPr="00E535BD">
        <w:t xml:space="preserve">, Public Notice, 22 FCC Rcd 5534 (Wireline </w:t>
      </w:r>
      <w:r w:rsidR="004443FC">
        <w:t>Comp</w:t>
      </w:r>
      <w:r w:rsidR="0096172E">
        <w:t>.</w:t>
      </w:r>
      <w:r w:rsidR="004443FC">
        <w:t xml:space="preserve"> Bur</w:t>
      </w:r>
      <w:r w:rsidR="0096172E">
        <w:t>.</w:t>
      </w:r>
      <w:r w:rsidR="004443FC" w:rsidRPr="00E535BD">
        <w:t xml:space="preserve"> 2007)</w:t>
      </w:r>
      <w:r w:rsidR="004131AB">
        <w:t xml:space="preserve">; </w:t>
      </w:r>
      <w:r w:rsidR="004131AB" w:rsidRPr="00E535BD">
        <w:t>Advanced Tel, Inc. April 20</w:t>
      </w:r>
      <w:r w:rsidR="004131AB">
        <w:t>14</w:t>
      </w:r>
      <w:r w:rsidR="004131AB" w:rsidRPr="00E535BD">
        <w:t xml:space="preserve"> FCC Form 499-A (</w:t>
      </w:r>
      <w:r w:rsidR="004131AB" w:rsidRPr="00E535BD">
        <w:rPr>
          <w:spacing w:val="-2"/>
        </w:rPr>
        <w:t xml:space="preserve">on file in </w:t>
      </w:r>
      <w:r w:rsidR="004131AB" w:rsidRPr="00E535BD">
        <w:t>EB-IHD-14-00014860)</w:t>
      </w:r>
      <w:r>
        <w:t>.</w:t>
      </w:r>
    </w:p>
  </w:footnote>
  <w:footnote w:id="4">
    <w:p w:rsidR="000E4C1D" w:rsidRPr="00E535BD" w:rsidRDefault="000E4C1D" w:rsidP="0084762D">
      <w:pPr>
        <w:pStyle w:val="FootnoteText"/>
      </w:pPr>
      <w:r w:rsidRPr="00E535BD">
        <w:rPr>
          <w:rStyle w:val="FootnoteReference"/>
        </w:rPr>
        <w:footnoteRef/>
      </w:r>
      <w:r w:rsidRPr="00E535BD">
        <w:t xml:space="preserve"> </w:t>
      </w:r>
      <w:r w:rsidRPr="00E535BD">
        <w:rPr>
          <w:i/>
        </w:rPr>
        <w:t>See</w:t>
      </w:r>
      <w:r w:rsidRPr="00E535BD">
        <w:t xml:space="preserve"> Advanced Tel, Inc. April 2002 FCC Form 499-A (new filer registration)</w:t>
      </w:r>
      <w:r w:rsidR="00DD7B6C">
        <w:t xml:space="preserve"> </w:t>
      </w:r>
      <w:r w:rsidR="00DD7B6C" w:rsidRPr="00E535BD">
        <w:t>(</w:t>
      </w:r>
      <w:r w:rsidR="00DD7B6C" w:rsidRPr="00E535BD">
        <w:rPr>
          <w:spacing w:val="-2"/>
        </w:rPr>
        <w:t xml:space="preserve">on file in </w:t>
      </w:r>
      <w:r w:rsidR="00DD7B6C" w:rsidRPr="00E535BD">
        <w:t>EB-IHD-14-00014860)</w:t>
      </w:r>
      <w:r w:rsidRPr="00E535BD">
        <w:t>.</w:t>
      </w:r>
      <w:r w:rsidR="00576E51">
        <w:t xml:space="preserve">  As evidenced by </w:t>
      </w:r>
      <w:r w:rsidR="00517CFE">
        <w:t xml:space="preserve">the </w:t>
      </w:r>
      <w:r w:rsidR="00517CFE" w:rsidRPr="00E535BD">
        <w:t>April 2002 FCC Form 499-A</w:t>
      </w:r>
      <w:r w:rsidR="00576E51">
        <w:t xml:space="preserve"> filing, ATI presumably understood its obligation to register with the Commission under 47 C.F.R § 64.1195. </w:t>
      </w:r>
    </w:p>
  </w:footnote>
  <w:footnote w:id="5">
    <w:p w:rsidR="000E4C1D" w:rsidRPr="00E535BD" w:rsidRDefault="000E4C1D" w:rsidP="00704418">
      <w:pPr>
        <w:pStyle w:val="FootnoteText"/>
      </w:pPr>
      <w:r w:rsidRPr="00E535BD">
        <w:rPr>
          <w:rStyle w:val="FootnoteReference"/>
        </w:rPr>
        <w:footnoteRef/>
      </w:r>
      <w:r w:rsidRPr="00E535BD">
        <w:t xml:space="preserve"> Letter from Trent B. Harkrader, Deputy Chief, Investigations and Hearings Division, </w:t>
      </w:r>
      <w:r w:rsidR="00E342D3">
        <w:t xml:space="preserve">FCC </w:t>
      </w:r>
      <w:r w:rsidRPr="00E535BD">
        <w:t xml:space="preserve">Enforcement Bureau, to David Singer, Advanced Tel, Inc. (Nov. 26, 2008) </w:t>
      </w:r>
      <w:r w:rsidR="002E5694" w:rsidRPr="00E535BD">
        <w:t>(</w:t>
      </w:r>
      <w:r w:rsidR="002E5694" w:rsidRPr="00E535BD">
        <w:rPr>
          <w:spacing w:val="-2"/>
        </w:rPr>
        <w:t xml:space="preserve">on file in </w:t>
      </w:r>
      <w:r w:rsidR="002E5694" w:rsidRPr="00E535BD">
        <w:t>EB-IHD-14-00014860)</w:t>
      </w:r>
      <w:r w:rsidRPr="00E535BD">
        <w:t xml:space="preserve"> (LOI). </w:t>
      </w:r>
    </w:p>
  </w:footnote>
  <w:footnote w:id="6">
    <w:p w:rsidR="000E4C1D" w:rsidRPr="00E535BD" w:rsidRDefault="000E4C1D" w:rsidP="00704418">
      <w:pPr>
        <w:pStyle w:val="FootnoteText"/>
      </w:pPr>
      <w:r w:rsidRPr="00E535BD">
        <w:rPr>
          <w:rStyle w:val="FootnoteReference"/>
        </w:rPr>
        <w:footnoteRef/>
      </w:r>
      <w:r w:rsidRPr="00E535BD">
        <w:t xml:space="preserve"> </w:t>
      </w:r>
      <w:r w:rsidR="001B0E1A" w:rsidRPr="00E535BD">
        <w:t>Letter from Glenn Harris, Vice President Business and Legal Affairs, Advanced Tel, Inc.</w:t>
      </w:r>
      <w:r w:rsidR="00040FF4">
        <w:t>,</w:t>
      </w:r>
      <w:r w:rsidR="001B0E1A" w:rsidRPr="00E535BD">
        <w:t xml:space="preserve"> to Rebekah Bina, Attorney, Investigations and Hearings Division, </w:t>
      </w:r>
      <w:r w:rsidR="001B0E1A">
        <w:t xml:space="preserve">FCC </w:t>
      </w:r>
      <w:r w:rsidR="001B0E1A" w:rsidRPr="00E535BD">
        <w:t>Enforcement Bureau</w:t>
      </w:r>
      <w:r w:rsidR="00FE1136">
        <w:t xml:space="preserve"> </w:t>
      </w:r>
      <w:r w:rsidR="001B0E1A" w:rsidRPr="00E535BD">
        <w:t>(Mar. 16, 2009) (</w:t>
      </w:r>
      <w:r w:rsidR="001B0E1A" w:rsidRPr="00E535BD">
        <w:rPr>
          <w:spacing w:val="-2"/>
        </w:rPr>
        <w:t xml:space="preserve">on file in </w:t>
      </w:r>
      <w:r w:rsidR="001B0E1A" w:rsidRPr="00E535BD">
        <w:t xml:space="preserve">EB-IHD-14-00014860) (LOI Response). </w:t>
      </w:r>
      <w:r w:rsidR="001B0E1A">
        <w:t xml:space="preserve"> </w:t>
      </w:r>
    </w:p>
  </w:footnote>
  <w:footnote w:id="7">
    <w:p w:rsidR="00156B90" w:rsidRPr="00E535BD" w:rsidRDefault="00156B90">
      <w:pPr>
        <w:pStyle w:val="FootnoteText"/>
      </w:pPr>
      <w:r w:rsidRPr="00E535BD">
        <w:rPr>
          <w:rStyle w:val="FootnoteReference"/>
        </w:rPr>
        <w:footnoteRef/>
      </w:r>
      <w:r w:rsidRPr="00E535BD">
        <w:t xml:space="preserve"> Letter from Pamela S. Kane, Deputy Chief, Investigations and Hearings Division, </w:t>
      </w:r>
      <w:r w:rsidR="006F2D37">
        <w:t xml:space="preserve">FCC </w:t>
      </w:r>
      <w:r w:rsidRPr="00E535BD">
        <w:t>Enforcement Bureau, to David Olert, Chief Financial Officer, Advanced Tel, Inc. (May 12, 2014) (on file in EB-IHD-14-00014860) (Second LOI).</w:t>
      </w:r>
    </w:p>
  </w:footnote>
  <w:footnote w:id="8">
    <w:p w:rsidR="00156B90" w:rsidRPr="00E535BD" w:rsidRDefault="00156B90">
      <w:pPr>
        <w:pStyle w:val="FootnoteText"/>
      </w:pPr>
      <w:r w:rsidRPr="00E535BD">
        <w:rPr>
          <w:rStyle w:val="FootnoteReference"/>
        </w:rPr>
        <w:footnoteRef/>
      </w:r>
      <w:r w:rsidRPr="00E535BD">
        <w:t xml:space="preserve"> </w:t>
      </w:r>
      <w:r w:rsidRPr="00E535BD">
        <w:rPr>
          <w:i/>
        </w:rPr>
        <w:t>See</w:t>
      </w:r>
      <w:r w:rsidRPr="00E535BD">
        <w:t xml:space="preserve"> </w:t>
      </w:r>
      <w:r w:rsidR="002E5694" w:rsidRPr="00E535BD">
        <w:t xml:space="preserve">Email from Joshua Touber, Advanced Tel, Inc., to David Janas, Special Counsel, Investigations and Hearings Division, </w:t>
      </w:r>
      <w:r w:rsidR="006F2D37">
        <w:t xml:space="preserve">FCC </w:t>
      </w:r>
      <w:r w:rsidR="002E5694" w:rsidRPr="00E535BD">
        <w:t>Enforcement Bureau (Sept. 11, 2014)</w:t>
      </w:r>
      <w:r w:rsidR="004708AC" w:rsidRPr="00E535BD">
        <w:t xml:space="preserve"> (</w:t>
      </w:r>
      <w:r w:rsidR="004708AC" w:rsidRPr="00E535BD">
        <w:rPr>
          <w:spacing w:val="-2"/>
        </w:rPr>
        <w:t xml:space="preserve">on file in </w:t>
      </w:r>
      <w:r w:rsidR="004708AC" w:rsidRPr="00E535BD">
        <w:t>EB-IHD-14-00014860)</w:t>
      </w:r>
      <w:r w:rsidR="002E5694" w:rsidRPr="00E535BD">
        <w:t>; Letter from Joshua Touber, Advanced Tel, Inc.</w:t>
      </w:r>
      <w:r w:rsidR="00040FF4">
        <w:t>,</w:t>
      </w:r>
      <w:r w:rsidR="002E5694" w:rsidRPr="00E535BD">
        <w:t xml:space="preserve"> to David Janas, Special Counsel, Investigations and Hearings Division, </w:t>
      </w:r>
      <w:r w:rsidR="00E342D3">
        <w:t xml:space="preserve">FCC </w:t>
      </w:r>
      <w:r w:rsidR="002E5694" w:rsidRPr="00E535BD">
        <w:t xml:space="preserve">Enforcement Bureau (Aug. 15, 2014) (on file in EB-IHD-14-00014860); </w:t>
      </w:r>
      <w:r w:rsidRPr="00E535BD">
        <w:t>Letter from David Olert, Chief Financial Officer, Advanced Tel, Inc.</w:t>
      </w:r>
      <w:r w:rsidR="00040FF4">
        <w:t>,</w:t>
      </w:r>
      <w:r w:rsidRPr="00E535BD">
        <w:t xml:space="preserve"> to David Janas, Special Counsel, Investigations and Hearings Division, </w:t>
      </w:r>
      <w:r w:rsidR="00E342D3">
        <w:t xml:space="preserve">FCC </w:t>
      </w:r>
      <w:r w:rsidRPr="00E535BD">
        <w:t>Enforcement Bureau</w:t>
      </w:r>
      <w:r w:rsidR="00E342D3">
        <w:t xml:space="preserve"> </w:t>
      </w:r>
      <w:r w:rsidRPr="00E535BD">
        <w:t xml:space="preserve">(May 12, 2014) (on file in EB-IHD-14-00014860) (Second LOI Response).  </w:t>
      </w:r>
    </w:p>
  </w:footnote>
  <w:footnote w:id="9">
    <w:p w:rsidR="002E19FD" w:rsidRDefault="002E19FD">
      <w:pPr>
        <w:pStyle w:val="FootnoteText"/>
      </w:pPr>
      <w:r>
        <w:rPr>
          <w:rStyle w:val="FootnoteReference"/>
        </w:rPr>
        <w:footnoteRef/>
      </w:r>
      <w:r>
        <w:t xml:space="preserve"> </w:t>
      </w:r>
      <w:r w:rsidRPr="00911DA3">
        <w:rPr>
          <w:rFonts w:eastAsiaTheme="minorEastAsia"/>
          <w:snapToGrid w:val="0"/>
        </w:rPr>
        <w:t xml:space="preserve">ATI </w:t>
      </w:r>
      <w:r>
        <w:rPr>
          <w:rFonts w:eastAsiaTheme="minorEastAsia"/>
          <w:snapToGrid w:val="0"/>
        </w:rPr>
        <w:t xml:space="preserve">apparently </w:t>
      </w:r>
      <w:r w:rsidRPr="00911DA3">
        <w:rPr>
          <w:rFonts w:eastAsiaTheme="minorEastAsia"/>
          <w:snapToGrid w:val="0"/>
        </w:rPr>
        <w:t xml:space="preserve">does not plan to pay any further delinquent, or current, federal regulatory program obligations; rather, the Company is “conserving cash” in anticipation of winding down operations and seeking a court-controlled dissolution and bankruptcy process.  Email from Jonathan Marashlian, Marashlian &amp; Donahue, Counsel to ATI, to David Janas, Special Counsel, Investigations </w:t>
      </w:r>
      <w:r w:rsidRPr="00911DA3">
        <w:t>and</w:t>
      </w:r>
      <w:r>
        <w:t xml:space="preserve"> </w:t>
      </w:r>
      <w:r w:rsidRPr="00911DA3">
        <w:t>Hearings</w:t>
      </w:r>
      <w:r>
        <w:t xml:space="preserve"> </w:t>
      </w:r>
      <w:r w:rsidRPr="00E535BD">
        <w:t xml:space="preserve">Division, </w:t>
      </w:r>
      <w:r>
        <w:t>FCC Enforcement Bureau</w:t>
      </w:r>
      <w:r w:rsidRPr="00E535BD">
        <w:t xml:space="preserve"> (Sept. 26, 2014) (</w:t>
      </w:r>
      <w:r w:rsidRPr="00911DA3">
        <w:t xml:space="preserve">on file in </w:t>
      </w:r>
      <w:r w:rsidRPr="00E535BD">
        <w:t>EB-IHD-14-00014860).</w:t>
      </w:r>
      <w:r>
        <w:t xml:space="preserve">  </w:t>
      </w:r>
    </w:p>
  </w:footnote>
  <w:footnote w:id="10">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 xml:space="preserve">47 U.S.C. §§ </w:t>
      </w:r>
      <w:r w:rsidRPr="00E535BD">
        <w:rPr>
          <w:rFonts w:eastAsiaTheme="minorEastAsia"/>
        </w:rPr>
        <w:t>251(e)(2), 254(d)</w:t>
      </w:r>
      <w:r w:rsidRPr="00E535BD">
        <w:t xml:space="preserve">; 47 C.F.R. §§ </w:t>
      </w:r>
      <w:r w:rsidRPr="00E535BD">
        <w:rPr>
          <w:rFonts w:eastAsiaTheme="minorEastAsia"/>
          <w:color w:val="000000"/>
        </w:rPr>
        <w:t xml:space="preserve">1.1154, 1.1157, 52.32, 54.706, 54.711, </w:t>
      </w:r>
      <w:r w:rsidRPr="00E535BD">
        <w:t>64.604(c)(5)(iii).</w:t>
      </w:r>
    </w:p>
  </w:footnote>
  <w:footnote w:id="11">
    <w:p w:rsidR="000E4C1D" w:rsidRPr="00E535BD" w:rsidRDefault="000E4C1D" w:rsidP="0020646C">
      <w:pPr>
        <w:pStyle w:val="FootnoteText"/>
      </w:pPr>
      <w:r w:rsidRPr="00E535BD">
        <w:rPr>
          <w:rStyle w:val="FootnoteReference"/>
        </w:rPr>
        <w:footnoteRef/>
      </w:r>
      <w:r w:rsidRPr="00E535BD">
        <w:t xml:space="preserve"> 47 U.S.C. § 254(d); 47 C.F.R. § 54.706(a).  </w:t>
      </w:r>
    </w:p>
  </w:footnote>
  <w:footnote w:id="12">
    <w:p w:rsidR="000E4C1D" w:rsidRPr="00E535BD" w:rsidRDefault="000E4C1D" w:rsidP="0020646C">
      <w:pPr>
        <w:pStyle w:val="FootnoteText"/>
      </w:pPr>
      <w:r w:rsidRPr="00E535BD">
        <w:rPr>
          <w:rStyle w:val="FootnoteReference"/>
        </w:rPr>
        <w:footnoteRef/>
      </w:r>
      <w:r w:rsidRPr="00E535BD">
        <w:t xml:space="preserve"> 47 C.F.R. § 54.706(a).  </w:t>
      </w:r>
    </w:p>
  </w:footnote>
  <w:footnote w:id="13">
    <w:p w:rsidR="000E4C1D" w:rsidRPr="00E535BD" w:rsidRDefault="000E4C1D" w:rsidP="0020646C">
      <w:pPr>
        <w:pStyle w:val="FootnoteText"/>
        <w:rPr>
          <w:highlight w:val="yellow"/>
        </w:rPr>
      </w:pPr>
      <w:r w:rsidRPr="00E535BD">
        <w:rPr>
          <w:rStyle w:val="FootnoteReference"/>
        </w:rPr>
        <w:footnoteRef/>
      </w:r>
      <w:r w:rsidRPr="00E535BD">
        <w:t xml:space="preserve"> </w:t>
      </w:r>
      <w:r w:rsidRPr="00E535BD">
        <w:rPr>
          <w:i/>
        </w:rPr>
        <w:t>See id</w:t>
      </w:r>
      <w:r w:rsidRPr="00E535BD">
        <w:t>.</w:t>
      </w:r>
    </w:p>
  </w:footnote>
  <w:footnote w:id="14">
    <w:p w:rsidR="00C17679" w:rsidRDefault="00C17679">
      <w:pPr>
        <w:pStyle w:val="FootnoteText"/>
      </w:pPr>
      <w:r>
        <w:rPr>
          <w:rStyle w:val="FootnoteReference"/>
        </w:rPr>
        <w:footnoteRef/>
      </w:r>
      <w:r>
        <w:t xml:space="preserve"> </w:t>
      </w:r>
      <w:r w:rsidR="00C125B2" w:rsidRPr="00E535BD">
        <w:rPr>
          <w:i/>
        </w:rPr>
        <w:t xml:space="preserve">See </w:t>
      </w:r>
      <w:r w:rsidR="00C125B2" w:rsidRPr="00E535BD">
        <w:t>47 C.F.R. § 54.706(</w:t>
      </w:r>
      <w:r w:rsidR="00C125B2">
        <w:t>b</w:t>
      </w:r>
      <w:r w:rsidR="00C125B2" w:rsidRPr="00E535BD">
        <w:t>)</w:t>
      </w:r>
      <w:r w:rsidR="00C125B2">
        <w:t>.</w:t>
      </w:r>
    </w:p>
  </w:footnote>
  <w:footnote w:id="15">
    <w:p w:rsidR="000E4C1D" w:rsidRPr="00E535BD" w:rsidRDefault="000E4C1D" w:rsidP="0020646C">
      <w:pPr>
        <w:pStyle w:val="FootnoteText"/>
      </w:pPr>
      <w:r w:rsidRPr="00E535BD">
        <w:rPr>
          <w:rStyle w:val="FootnoteReference"/>
        </w:rPr>
        <w:footnoteRef/>
      </w:r>
      <w:r w:rsidRPr="00E535BD">
        <w:t xml:space="preserve"> </w:t>
      </w:r>
      <w:r w:rsidRPr="00E535BD">
        <w:rPr>
          <w:i/>
        </w:rPr>
        <w:t>See</w:t>
      </w:r>
      <w:r w:rsidRPr="00E535BD">
        <w:t xml:space="preserve"> </w:t>
      </w:r>
      <w:r w:rsidR="004708AC" w:rsidRPr="00E535BD">
        <w:t>Universal Service Administrative Company, Invoice to Advanced Tel, Inc., No. UBDI 0000204165 (July 21, 2006)</w:t>
      </w:r>
      <w:r w:rsidRPr="00E535BD">
        <w:t xml:space="preserve"> (</w:t>
      </w:r>
      <w:r w:rsidRPr="00E535BD">
        <w:rPr>
          <w:spacing w:val="-2"/>
        </w:rPr>
        <w:t xml:space="preserve">on file in </w:t>
      </w:r>
      <w:r w:rsidRPr="00E535BD">
        <w:t>EB-IHD-14-00014860).</w:t>
      </w:r>
    </w:p>
  </w:footnote>
  <w:footnote w:id="16">
    <w:p w:rsidR="000E4C1D" w:rsidRPr="00E535BD" w:rsidRDefault="000E4C1D" w:rsidP="0020646C">
      <w:pPr>
        <w:pStyle w:val="FootnoteText"/>
      </w:pPr>
      <w:r w:rsidRPr="00E535BD">
        <w:rPr>
          <w:rStyle w:val="FootnoteReference"/>
        </w:rPr>
        <w:footnoteRef/>
      </w:r>
      <w:r w:rsidRPr="00E535BD">
        <w:t xml:space="preserve"> </w:t>
      </w:r>
      <w:r w:rsidRPr="00E535BD">
        <w:rPr>
          <w:i/>
        </w:rPr>
        <w:t xml:space="preserve">See </w:t>
      </w:r>
      <w:r w:rsidRPr="00E535BD">
        <w:t xml:space="preserve">Email from Stefani Watterson, </w:t>
      </w:r>
      <w:r w:rsidR="009C3CC2">
        <w:t xml:space="preserve">USAC, to Rebekah Bina, Attorney </w:t>
      </w:r>
      <w:r w:rsidRPr="00E535BD">
        <w:t xml:space="preserve">Advisor, Investigations and Hearings Division, </w:t>
      </w:r>
      <w:r w:rsidR="007268C4">
        <w:t>FCC Enforcement Bureau</w:t>
      </w:r>
      <w:r w:rsidRPr="00E535BD">
        <w:t xml:space="preserve"> (Aug. 25, 2009) (</w:t>
      </w:r>
      <w:r w:rsidRPr="00E535BD">
        <w:rPr>
          <w:spacing w:val="-2"/>
        </w:rPr>
        <w:t xml:space="preserve">on file in </w:t>
      </w:r>
      <w:r w:rsidRPr="00E535BD">
        <w:t>EB-IHD-14-00014860).</w:t>
      </w:r>
    </w:p>
  </w:footnote>
  <w:footnote w:id="17">
    <w:p w:rsidR="000E4C1D" w:rsidRPr="00E535BD" w:rsidRDefault="000E4C1D" w:rsidP="0020646C">
      <w:pPr>
        <w:pStyle w:val="FootnoteText"/>
        <w:rPr>
          <w:i/>
        </w:rPr>
      </w:pPr>
      <w:r w:rsidRPr="00E535BD">
        <w:rPr>
          <w:rStyle w:val="FootnoteReference"/>
        </w:rPr>
        <w:footnoteRef/>
      </w:r>
      <w:r w:rsidRPr="00E535BD">
        <w:t xml:space="preserve"> </w:t>
      </w:r>
      <w:r w:rsidRPr="00E535BD">
        <w:rPr>
          <w:i/>
        </w:rPr>
        <w:t xml:space="preserve">See </w:t>
      </w:r>
      <w:r w:rsidR="004708AC" w:rsidRPr="00E535BD">
        <w:t xml:space="preserve">Email from Stefani Watterson, USAC, to Irene Flannery, Assistant Chief, Investigations and Hearings Division, </w:t>
      </w:r>
      <w:r w:rsidR="007268C4">
        <w:t>FCC Enforcement Bureau</w:t>
      </w:r>
      <w:r w:rsidR="004708AC" w:rsidRPr="00E535BD">
        <w:t xml:space="preserve"> (July 30, 2009) (</w:t>
      </w:r>
      <w:r w:rsidR="004708AC" w:rsidRPr="00E535BD">
        <w:rPr>
          <w:spacing w:val="-2"/>
        </w:rPr>
        <w:t xml:space="preserve">on file in </w:t>
      </w:r>
      <w:r w:rsidR="004708AC" w:rsidRPr="00E535BD">
        <w:t>EB-IHD-14-00014860)</w:t>
      </w:r>
      <w:r w:rsidRPr="00E535BD">
        <w:t>.</w:t>
      </w:r>
    </w:p>
  </w:footnote>
  <w:footnote w:id="18">
    <w:p w:rsidR="000E4C1D" w:rsidRPr="00E535BD" w:rsidRDefault="000E4C1D" w:rsidP="0020646C">
      <w:pPr>
        <w:pStyle w:val="FootnoteText"/>
        <w:rPr>
          <w:i/>
        </w:rPr>
      </w:pPr>
      <w:r w:rsidRPr="00E535BD">
        <w:rPr>
          <w:rStyle w:val="FootnoteReference"/>
        </w:rPr>
        <w:footnoteRef/>
      </w:r>
      <w:r w:rsidRPr="00E535BD">
        <w:t xml:space="preserve"> </w:t>
      </w:r>
      <w:r w:rsidRPr="00E535BD">
        <w:rPr>
          <w:i/>
        </w:rPr>
        <w:t>See</w:t>
      </w:r>
      <w:r w:rsidRPr="00E535BD">
        <w:t xml:space="preserve"> Letter from Michelle Garber, Director of Financial Operations, USAC, to Vince Arena, Chief Financial Officer, Advanced Tel, Inc. (Nov. 21, 2008) (</w:t>
      </w:r>
      <w:r w:rsidRPr="00E535BD">
        <w:rPr>
          <w:spacing w:val="-2"/>
        </w:rPr>
        <w:t xml:space="preserve">on file in </w:t>
      </w:r>
      <w:r w:rsidRPr="00E535BD">
        <w:t>EB-IHD-14-00014860) (advising of the defaults and providing notice of impending transfer</w:t>
      </w:r>
      <w:r w:rsidR="0021105A">
        <w:t xml:space="preserve"> of </w:t>
      </w:r>
      <w:r w:rsidR="00765BB9">
        <w:t xml:space="preserve">ATI’s </w:t>
      </w:r>
      <w:r w:rsidR="00765BB9" w:rsidRPr="004131AB">
        <w:t xml:space="preserve">current </w:t>
      </w:r>
      <w:r w:rsidR="00765BB9">
        <w:t xml:space="preserve">USF </w:t>
      </w:r>
      <w:r w:rsidR="0021105A">
        <w:t>debt to the Treasury Department</w:t>
      </w:r>
      <w:r w:rsidRPr="00E535BD">
        <w:t>); Letter from Michelle Garber, Director of Financial Operations, USAC, to Vince Arena, Chief Financial Officer, Advanced Tel, Inc. (Dec. 4, 2008) (</w:t>
      </w:r>
      <w:r w:rsidRPr="00E535BD">
        <w:rPr>
          <w:spacing w:val="-2"/>
        </w:rPr>
        <w:t xml:space="preserve">on file in </w:t>
      </w:r>
      <w:r w:rsidRPr="00E535BD">
        <w:t xml:space="preserve">EB-IHD-14-00014860) (providing notice of </w:t>
      </w:r>
      <w:r w:rsidR="00765BB9">
        <w:t xml:space="preserve">termination </w:t>
      </w:r>
      <w:r w:rsidRPr="00E535BD">
        <w:t xml:space="preserve">of </w:t>
      </w:r>
      <w:r w:rsidR="00765BB9">
        <w:t xml:space="preserve">ATI’s </w:t>
      </w:r>
      <w:r w:rsidRPr="00E535BD">
        <w:t xml:space="preserve">payment plan and </w:t>
      </w:r>
      <w:r w:rsidR="007268C4">
        <w:t>the t</w:t>
      </w:r>
      <w:r w:rsidRPr="00E535BD">
        <w:t xml:space="preserve">ransfer </w:t>
      </w:r>
      <w:r w:rsidR="00765BB9" w:rsidRPr="00E535BD">
        <w:t xml:space="preserve">of </w:t>
      </w:r>
      <w:r w:rsidR="00765BB9">
        <w:t xml:space="preserve">the </w:t>
      </w:r>
      <w:r w:rsidR="00765BB9" w:rsidRPr="00E535BD">
        <w:t xml:space="preserve">remaining balance due under </w:t>
      </w:r>
      <w:r w:rsidR="00765BB9">
        <w:t>that</w:t>
      </w:r>
      <w:r w:rsidR="00765BB9" w:rsidRPr="00E535BD">
        <w:t xml:space="preserve"> plan</w:t>
      </w:r>
      <w:r w:rsidR="00765BB9">
        <w:t xml:space="preserve"> </w:t>
      </w:r>
      <w:r w:rsidR="007268C4">
        <w:t>to the Treasury Department</w:t>
      </w:r>
      <w:r w:rsidRPr="00E535BD">
        <w:t xml:space="preserve">).  </w:t>
      </w:r>
    </w:p>
  </w:footnote>
  <w:footnote w:id="19">
    <w:p w:rsidR="000E4C1D" w:rsidRPr="00E535BD" w:rsidRDefault="000E4C1D" w:rsidP="0020646C">
      <w:pPr>
        <w:pStyle w:val="FootnoteText"/>
      </w:pPr>
      <w:r w:rsidRPr="00E535BD">
        <w:rPr>
          <w:rStyle w:val="FootnoteReference"/>
        </w:rPr>
        <w:footnoteRef/>
      </w:r>
      <w:r w:rsidRPr="00E535BD">
        <w:t xml:space="preserve"> </w:t>
      </w:r>
      <w:r w:rsidRPr="00E535BD">
        <w:rPr>
          <w:i/>
        </w:rPr>
        <w:t xml:space="preserve">See </w:t>
      </w:r>
      <w:r w:rsidR="004708AC" w:rsidRPr="00E535BD">
        <w:t>Universal Service Administrative Company, Invoice to Advanced Tel, Inc., No. UBDI 0000401565 (Jan. 22, 2010) (</w:t>
      </w:r>
      <w:r w:rsidR="004708AC" w:rsidRPr="00E535BD">
        <w:rPr>
          <w:spacing w:val="-2"/>
        </w:rPr>
        <w:t xml:space="preserve">on file in </w:t>
      </w:r>
      <w:r w:rsidR="004708AC" w:rsidRPr="00E535BD">
        <w:t xml:space="preserve">EB-IHD-14-00014860) (indicating </w:t>
      </w:r>
      <w:r w:rsidR="003058EF">
        <w:t xml:space="preserve">that </w:t>
      </w:r>
      <w:r w:rsidR="004708AC" w:rsidRPr="00E535BD">
        <w:t>ATI</w:t>
      </w:r>
      <w:r w:rsidR="003058EF">
        <w:t>’s first USF payment after November 2008 was a</w:t>
      </w:r>
      <w:r w:rsidR="004708AC" w:rsidRPr="00E535BD">
        <w:t xml:space="preserve"> </w:t>
      </w:r>
      <w:r w:rsidR="0021425C">
        <w:t>partial</w:t>
      </w:r>
      <w:r w:rsidR="009B6841">
        <w:t xml:space="preserve">  </w:t>
      </w:r>
      <w:r w:rsidR="004708AC" w:rsidRPr="00E535BD">
        <w:t>payment on December 17, 2009).</w:t>
      </w:r>
    </w:p>
  </w:footnote>
  <w:footnote w:id="20">
    <w:p w:rsidR="000E4C1D" w:rsidRPr="00E535BD" w:rsidRDefault="000E4C1D" w:rsidP="0020646C">
      <w:pPr>
        <w:pStyle w:val="FootnoteText"/>
      </w:pPr>
      <w:r w:rsidRPr="00E535BD">
        <w:rPr>
          <w:rStyle w:val="FootnoteReference"/>
        </w:rPr>
        <w:footnoteRef/>
      </w:r>
      <w:r w:rsidRPr="00E535BD">
        <w:t xml:space="preserve"> </w:t>
      </w:r>
      <w:r w:rsidRPr="00E535BD">
        <w:rPr>
          <w:i/>
        </w:rPr>
        <w:t>See</w:t>
      </w:r>
      <w:r w:rsidRPr="00E535BD">
        <w:t xml:space="preserve"> Letter from InterMetro Communications, Inc., to Regina Dorsey, </w:t>
      </w:r>
      <w:r w:rsidR="00E342D3">
        <w:t xml:space="preserve">FCC </w:t>
      </w:r>
      <w:r w:rsidRPr="00E535BD">
        <w:t>Office of Managing Director</w:t>
      </w:r>
      <w:r w:rsidR="00E342D3">
        <w:t xml:space="preserve"> </w:t>
      </w:r>
      <w:r w:rsidRPr="00E535BD">
        <w:t>(dated December 15, 2009) (</w:t>
      </w:r>
      <w:r w:rsidRPr="00E535BD">
        <w:rPr>
          <w:spacing w:val="-2"/>
        </w:rPr>
        <w:t xml:space="preserve">on file in </w:t>
      </w:r>
      <w:r w:rsidRPr="00E535BD">
        <w:t>EB-IHD-14-00014860) (requesting</w:t>
      </w:r>
      <w:r w:rsidR="00067B95">
        <w:t xml:space="preserve"> </w:t>
      </w:r>
      <w:r w:rsidRPr="00E535BD">
        <w:t xml:space="preserve">a long-term payment plan </w:t>
      </w:r>
      <w:r w:rsidR="00067B95">
        <w:t xml:space="preserve">for ATI’s </w:t>
      </w:r>
      <w:r w:rsidRPr="00E535BD">
        <w:t>outstanding USF balance</w:t>
      </w:r>
      <w:r w:rsidR="00067B95">
        <w:t xml:space="preserve">).  ATI is </w:t>
      </w:r>
      <w:r w:rsidRPr="00E535BD">
        <w:t>InterMetro Communications, Inc.</w:t>
      </w:r>
      <w:r w:rsidR="00067B95">
        <w:t>’s wholly-owned subsidiary</w:t>
      </w:r>
      <w:r w:rsidRPr="00E535BD">
        <w:t>.</w:t>
      </w:r>
    </w:p>
  </w:footnote>
  <w:footnote w:id="21">
    <w:p w:rsidR="00492B2F" w:rsidRDefault="00492B2F">
      <w:pPr>
        <w:pStyle w:val="FootnoteText"/>
      </w:pPr>
      <w:r>
        <w:rPr>
          <w:rStyle w:val="FootnoteReference"/>
        </w:rPr>
        <w:footnoteRef/>
      </w:r>
      <w:r>
        <w:t xml:space="preserve"> </w:t>
      </w:r>
      <w:r w:rsidR="00D00C61" w:rsidRPr="00E535BD">
        <w:rPr>
          <w:i/>
        </w:rPr>
        <w:t>See</w:t>
      </w:r>
      <w:r w:rsidR="00D00C61" w:rsidRPr="00E535BD">
        <w:t xml:space="preserve"> Stefani Watterson, USAC, to Rebekah Bina, Attorney-Advisor, Investigations and Hearings Division, </w:t>
      </w:r>
      <w:r w:rsidR="00D00C61">
        <w:t>FCC Enforcement Bureau</w:t>
      </w:r>
      <w:r w:rsidR="00D00C61" w:rsidRPr="00E535BD">
        <w:t xml:space="preserve"> (Apr. 15, 2010) (</w:t>
      </w:r>
      <w:r w:rsidR="00D00C61" w:rsidRPr="00E535BD">
        <w:rPr>
          <w:spacing w:val="-2"/>
        </w:rPr>
        <w:t xml:space="preserve">on file in </w:t>
      </w:r>
      <w:r w:rsidR="00D00C61" w:rsidRPr="00E535BD">
        <w:t>EB-IHD-14-00014860).</w:t>
      </w:r>
    </w:p>
  </w:footnote>
  <w:footnote w:id="22">
    <w:p w:rsidR="00AA2522" w:rsidRDefault="00AA2522">
      <w:pPr>
        <w:pStyle w:val="FootnoteText"/>
      </w:pPr>
      <w:r>
        <w:rPr>
          <w:rStyle w:val="FootnoteReference"/>
        </w:rPr>
        <w:footnoteRef/>
      </w:r>
      <w:r>
        <w:t xml:space="preserve"> </w:t>
      </w:r>
      <w:r>
        <w:rPr>
          <w:i/>
        </w:rPr>
        <w:t xml:space="preserve">See </w:t>
      </w:r>
      <w:r w:rsidRPr="00AA2522">
        <w:t xml:space="preserve">Debt </w:t>
      </w:r>
      <w:r w:rsidRPr="00AA2522">
        <w:rPr>
          <w:rFonts w:eastAsiaTheme="minorEastAsia"/>
        </w:rPr>
        <w:t>Collection Improvement Act of 1996</w:t>
      </w:r>
      <w:r>
        <w:rPr>
          <w:rFonts w:eastAsiaTheme="minorEastAsia"/>
          <w:szCs w:val="22"/>
        </w:rPr>
        <w:t xml:space="preserve">, </w:t>
      </w:r>
      <w:r>
        <w:t>Pub. L. No. 104</w:t>
      </w:r>
      <w:r w:rsidR="008D3D4A">
        <w:t>–</w:t>
      </w:r>
      <w:r>
        <w:t>134, 110 Stat. 1321, 1358 (1996), codified in part at 31 U.S.</w:t>
      </w:r>
      <w:r w:rsidR="00BA1C2B">
        <w:t>C. §§ 3711, 3716, 3717, 3720B.</w:t>
      </w:r>
      <w:r>
        <w:t xml:space="preserve"> </w:t>
      </w:r>
    </w:p>
  </w:footnote>
  <w:footnote w:id="23">
    <w:p w:rsidR="00320370" w:rsidRPr="00E535BD" w:rsidRDefault="00320370" w:rsidP="0065468F">
      <w:pPr>
        <w:pStyle w:val="FootnoteText"/>
      </w:pPr>
      <w:r w:rsidRPr="00E535BD">
        <w:rPr>
          <w:rStyle w:val="FootnoteReference"/>
        </w:rPr>
        <w:footnoteRef/>
      </w:r>
      <w:r w:rsidR="00D00C61">
        <w:rPr>
          <w:i/>
        </w:rPr>
        <w:t xml:space="preserve"> </w:t>
      </w:r>
      <w:r w:rsidR="004131AB" w:rsidRPr="004131AB">
        <w:rPr>
          <w:i/>
        </w:rPr>
        <w:t>See</w:t>
      </w:r>
      <w:r w:rsidR="004131AB">
        <w:t xml:space="preserve"> </w:t>
      </w:r>
      <w:r w:rsidR="004131AB" w:rsidRPr="00E535BD">
        <w:t>Universal Service Administrative Company, Invoice</w:t>
      </w:r>
      <w:r w:rsidR="004131AB">
        <w:t>s</w:t>
      </w:r>
      <w:r w:rsidR="004131AB" w:rsidRPr="00E535BD">
        <w:t xml:space="preserve"> to Advanced Tel, Inc., (</w:t>
      </w:r>
      <w:r w:rsidR="004131AB">
        <w:t>Oct. 2011 – Sept. 2014</w:t>
      </w:r>
      <w:r w:rsidR="004131AB" w:rsidRPr="00E535BD">
        <w:t>) (</w:t>
      </w:r>
      <w:r w:rsidR="004131AB" w:rsidRPr="00E535BD">
        <w:rPr>
          <w:spacing w:val="-2"/>
        </w:rPr>
        <w:t xml:space="preserve">on file in </w:t>
      </w:r>
      <w:r w:rsidR="004131AB" w:rsidRPr="00E535BD">
        <w:t>EB-IHD-14-00014860)</w:t>
      </w:r>
      <w:r w:rsidR="00911DA3" w:rsidRPr="00911DA3">
        <w:rPr>
          <w:rFonts w:eastAsiaTheme="minorEastAsia"/>
          <w:snapToGrid w:val="0"/>
        </w:rPr>
        <w:t xml:space="preserve">.  </w:t>
      </w:r>
      <w:r w:rsidR="00BC2337">
        <w:t xml:space="preserve">We note that </w:t>
      </w:r>
      <w:r w:rsidRPr="00E535BD">
        <w:t xml:space="preserve">USAC applies payments to the oldest debt carried on USAC’s books first, and not the most current billed amounts.  </w:t>
      </w:r>
      <w:r w:rsidRPr="00E535BD">
        <w:rPr>
          <w:i/>
        </w:rPr>
        <w:t>See Comprehensive Review of the Universal Service Fund Management, Administration, and Oversight</w:t>
      </w:r>
      <w:r w:rsidRPr="00E535BD">
        <w:t xml:space="preserve">, Report and Order, 22 FCC Rcd 16372, 16381, </w:t>
      </w:r>
      <w:r>
        <w:t>para.</w:t>
      </w:r>
      <w:r w:rsidRPr="00E535BD">
        <w:t xml:space="preserve"> 16 (2007);</w:t>
      </w:r>
      <w:r w:rsidRPr="00E535BD">
        <w:rPr>
          <w:i/>
        </w:rPr>
        <w:t xml:space="preserve"> </w:t>
      </w:r>
      <w:r w:rsidRPr="00E535BD">
        <w:t>47 C.F.R. §</w:t>
      </w:r>
      <w:r w:rsidR="00193751">
        <w:t> </w:t>
      </w:r>
      <w:r w:rsidRPr="00E535BD">
        <w:t>54.713(e) (Administrator shall adhere to “American Rule” of accounting).  The Commission likewise applies any payments to the oldest debts first when ascertaining the number of m</w:t>
      </w:r>
      <w:r w:rsidR="00B92E69">
        <w:t>onthly USF payment violations.</w:t>
      </w:r>
      <w:r w:rsidR="0065468F" w:rsidRPr="0065468F">
        <w:t xml:space="preserve"> </w:t>
      </w:r>
      <w:r w:rsidR="00670183">
        <w:t xml:space="preserve"> </w:t>
      </w:r>
      <w:r w:rsidR="0065468F" w:rsidRPr="00911DA3">
        <w:rPr>
          <w:i/>
        </w:rPr>
        <w:t>See</w:t>
      </w:r>
      <w:r w:rsidR="0065468F" w:rsidRPr="00E535BD">
        <w:rPr>
          <w:i/>
        </w:rPr>
        <w:t>, e.g.</w:t>
      </w:r>
      <w:r w:rsidR="0065468F" w:rsidRPr="00E535BD">
        <w:t xml:space="preserve">, </w:t>
      </w:r>
      <w:r w:rsidR="0065468F" w:rsidRPr="00E535BD">
        <w:rPr>
          <w:i/>
        </w:rPr>
        <w:t>Kajeet, Inc.,</w:t>
      </w:r>
      <w:r w:rsidR="0065468F" w:rsidRPr="00E535BD">
        <w:t xml:space="preserve"> Notice of Apparent Liability for Forfeiture and Order, </w:t>
      </w:r>
      <w:r w:rsidR="0065468F" w:rsidRPr="00E535BD">
        <w:rPr>
          <w:color w:val="000000"/>
        </w:rPr>
        <w:t>26 FCC Rcd 16684</w:t>
      </w:r>
      <w:r w:rsidR="0065468F" w:rsidRPr="00E535BD">
        <w:t>, 166</w:t>
      </w:r>
      <w:r w:rsidR="00C2213C">
        <w:t>89</w:t>
      </w:r>
      <w:r w:rsidR="0065468F" w:rsidRPr="00E535BD">
        <w:t>, para. 1</w:t>
      </w:r>
      <w:r w:rsidR="00C2213C">
        <w:t>3</w:t>
      </w:r>
      <w:r w:rsidR="0065468F" w:rsidRPr="00E535BD">
        <w:t xml:space="preserve"> n.52 (2011) (</w:t>
      </w:r>
      <w:r w:rsidR="0065468F">
        <w:t xml:space="preserve">internal </w:t>
      </w:r>
      <w:r w:rsidR="0065468F" w:rsidRPr="00E535BD">
        <w:t>citations omitted)</w:t>
      </w:r>
      <w:r w:rsidR="0065468F">
        <w:t xml:space="preserve"> (</w:t>
      </w:r>
      <w:r w:rsidR="0065468F" w:rsidRPr="00E535BD">
        <w:rPr>
          <w:i/>
        </w:rPr>
        <w:t>Kajeet</w:t>
      </w:r>
      <w:r w:rsidR="0065468F">
        <w:rPr>
          <w:i/>
        </w:rPr>
        <w:t xml:space="preserve"> NAL</w:t>
      </w:r>
      <w:r w:rsidR="0065468F">
        <w:t>)</w:t>
      </w:r>
      <w:r w:rsidR="0065468F" w:rsidRPr="00E535BD">
        <w:t>.</w:t>
      </w:r>
    </w:p>
  </w:footnote>
  <w:footnote w:id="24">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Second LOI Response at Exhib. G.</w:t>
      </w:r>
      <w:r w:rsidR="002761B3">
        <w:t xml:space="preserve">  </w:t>
      </w:r>
    </w:p>
  </w:footnote>
  <w:footnote w:id="25">
    <w:p w:rsidR="00FE1136" w:rsidRDefault="00FE1136">
      <w:pPr>
        <w:pStyle w:val="FootnoteText"/>
      </w:pPr>
      <w:r>
        <w:rPr>
          <w:rStyle w:val="FootnoteReference"/>
        </w:rPr>
        <w:footnoteRef/>
      </w:r>
      <w:r>
        <w:t xml:space="preserve"> </w:t>
      </w:r>
      <w:r w:rsidRPr="00E535BD">
        <w:rPr>
          <w:i/>
        </w:rPr>
        <w:t xml:space="preserve">See </w:t>
      </w:r>
      <w:r>
        <w:t>47 U.S.C. § 254(d); 47 C.F.R. § 5</w:t>
      </w:r>
      <w:r w:rsidRPr="00E535BD">
        <w:t>4.</w:t>
      </w:r>
      <w:r>
        <w:t>706(a).</w:t>
      </w:r>
    </w:p>
  </w:footnote>
  <w:footnote w:id="26">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47 U.S.C. § 225(b)(1).</w:t>
      </w:r>
    </w:p>
  </w:footnote>
  <w:footnote w:id="27">
    <w:p w:rsidR="000E4C1D" w:rsidRPr="00E535BD" w:rsidRDefault="000E4C1D" w:rsidP="009779A2">
      <w:pPr>
        <w:pStyle w:val="FootnoteText"/>
        <w:spacing w:after="200"/>
      </w:pPr>
      <w:r w:rsidRPr="00E535BD">
        <w:rPr>
          <w:rStyle w:val="FootnoteReference"/>
        </w:rPr>
        <w:footnoteRef/>
      </w:r>
      <w:r w:rsidRPr="00E535BD">
        <w:t xml:space="preserve"> </w:t>
      </w:r>
      <w:r w:rsidRPr="00E535BD">
        <w:rPr>
          <w:i/>
        </w:rPr>
        <w:t>See Telecommunications Relay Services and the Americans with Disabilities Act of 1990</w:t>
      </w:r>
      <w:r w:rsidRPr="00E535BD">
        <w:t xml:space="preserve">, Third Report and Order, 8 FCC Rcd 5300, 5300, para. 3 (1993).  Telecommunications relay services enable persons with hearing and speech disabilities to communicate by telephone with other individuals.  Such services provide telephone access to a significant number of Americans who, without it, might not be able to make calls to or receive calls from other users.  </w:t>
      </w:r>
      <w:r w:rsidRPr="00E535BD">
        <w:rPr>
          <w:i/>
        </w:rPr>
        <w:t>See Telecommunications Relay Services and Speech-to-Speech Services for Individuals with Hearing and Speech Disabilities</w:t>
      </w:r>
      <w:r w:rsidRPr="00E535BD">
        <w:t xml:space="preserve">, Report and Order, 15 FCC Rcd 5140, 5141, 5143, paras. 2, 5 (2000). </w:t>
      </w:r>
    </w:p>
  </w:footnote>
  <w:footnote w:id="28">
    <w:p w:rsidR="000E4C1D" w:rsidRPr="00E535BD" w:rsidRDefault="000E4C1D" w:rsidP="000344A5">
      <w:pPr>
        <w:pStyle w:val="FootnoteText"/>
      </w:pPr>
      <w:r w:rsidRPr="00E535BD">
        <w:rPr>
          <w:rStyle w:val="FootnoteReference"/>
        </w:rPr>
        <w:footnoteRef/>
      </w:r>
      <w:r w:rsidRPr="00E535BD">
        <w:t xml:space="preserve"> 47 C.F.R. § 64.604(c)(5)(iii)(A).</w:t>
      </w:r>
    </w:p>
  </w:footnote>
  <w:footnote w:id="29">
    <w:p w:rsidR="000E4C1D" w:rsidRPr="00E535BD" w:rsidRDefault="000E4C1D">
      <w:pPr>
        <w:pStyle w:val="FootnoteText"/>
      </w:pPr>
      <w:r w:rsidRPr="00E535BD">
        <w:rPr>
          <w:rStyle w:val="FootnoteReference"/>
        </w:rPr>
        <w:footnoteRef/>
      </w:r>
      <w:r w:rsidRPr="00E535BD">
        <w:t xml:space="preserve"> </w:t>
      </w:r>
      <w:r w:rsidRPr="00E535BD">
        <w:rPr>
          <w:i/>
        </w:rPr>
        <w:t>See</w:t>
      </w:r>
      <w:r w:rsidRPr="00E535BD">
        <w:t xml:space="preserve"> </w:t>
      </w:r>
      <w:r w:rsidR="00953733" w:rsidRPr="00953733">
        <w:rPr>
          <w:i/>
        </w:rPr>
        <w:t>id</w:t>
      </w:r>
      <w:r w:rsidR="00953733">
        <w:t>.</w:t>
      </w:r>
      <w:r w:rsidRPr="00E535BD">
        <w:t xml:space="preserve">; </w:t>
      </w:r>
      <w:r w:rsidRPr="00E535BD">
        <w:rPr>
          <w:i/>
        </w:rPr>
        <w:t>see als</w:t>
      </w:r>
      <w:r w:rsidR="008917C0">
        <w:rPr>
          <w:i/>
        </w:rPr>
        <w:t>o</w:t>
      </w:r>
      <w:r w:rsidR="008917C0" w:rsidRPr="00F06937">
        <w:t>,</w:t>
      </w:r>
      <w:r w:rsidRPr="00E535BD">
        <w:rPr>
          <w:i/>
        </w:rPr>
        <w:t xml:space="preserve"> e.g.</w:t>
      </w:r>
      <w:r w:rsidRPr="00E535BD">
        <w:t>,</w:t>
      </w:r>
      <w:r w:rsidRPr="00E535BD">
        <w:rPr>
          <w:i/>
        </w:rPr>
        <w:t xml:space="preserve"> </w:t>
      </w:r>
      <w:r w:rsidRPr="00E535BD">
        <w:t xml:space="preserve">47 C.F.R. § 64.604(c)(5)(iii)(B) (setting forth methods for computing and paying TRS contributions); </w:t>
      </w:r>
      <w:r w:rsidR="00C2213C" w:rsidRPr="00C2213C">
        <w:rPr>
          <w:i/>
        </w:rPr>
        <w:t>PTT Phone Cards, Inc</w:t>
      </w:r>
      <w:r w:rsidR="00C2213C">
        <w:t xml:space="preserve">., Notice of Apparent Liability for Forfeiture, </w:t>
      </w:r>
      <w:r w:rsidR="00124317">
        <w:t xml:space="preserve">FCC 14-135, </w:t>
      </w:r>
      <w:r w:rsidR="00C2213C">
        <w:t>2014 WL 4628748</w:t>
      </w:r>
      <w:r w:rsidR="00124317">
        <w:t xml:space="preserve"> at *4</w:t>
      </w:r>
      <w:r w:rsidR="00C2213C">
        <w:t>, para. 13 (Sept. 16, 2014) (</w:t>
      </w:r>
      <w:r w:rsidR="00C2213C" w:rsidRPr="00C2213C">
        <w:rPr>
          <w:i/>
        </w:rPr>
        <w:t>PTT NAL</w:t>
      </w:r>
      <w:r w:rsidR="00C2213C">
        <w:t xml:space="preserve">); </w:t>
      </w:r>
      <w:r w:rsidR="00C2213C" w:rsidRPr="00C2213C">
        <w:rPr>
          <w:i/>
        </w:rPr>
        <w:t>W</w:t>
      </w:r>
      <w:r w:rsidR="00B63682" w:rsidRPr="00C2213C">
        <w:rPr>
          <w:i/>
        </w:rPr>
        <w:t>ireline</w:t>
      </w:r>
      <w:r w:rsidR="00B63682" w:rsidRPr="0016337C">
        <w:rPr>
          <w:i/>
        </w:rPr>
        <w:t xml:space="preserve"> Competition Bureau Releases 2014 Telecommunications Reporting Worksheets and Accompanying Instructions</w:t>
      </w:r>
      <w:r w:rsidR="00B63682" w:rsidRPr="0016337C">
        <w:t xml:space="preserve">, Public Notice, 29 FCC Rcd 939, </w:t>
      </w:r>
      <w:r w:rsidR="00B63682">
        <w:t>956</w:t>
      </w:r>
      <w:r w:rsidR="008D3D4A">
        <w:t>–</w:t>
      </w:r>
      <w:r w:rsidR="00B63682">
        <w:t>57</w:t>
      </w:r>
      <w:r w:rsidR="00B63682" w:rsidRPr="0016337C">
        <w:t xml:space="preserve"> (Wireline Comp. Bur. 2014) (</w:t>
      </w:r>
      <w:r w:rsidR="00B63682" w:rsidRPr="00B63682">
        <w:rPr>
          <w:i/>
        </w:rPr>
        <w:t>2014</w:t>
      </w:r>
      <w:r w:rsidR="00B63682">
        <w:t xml:space="preserve"> </w:t>
      </w:r>
      <w:r w:rsidR="00B63682" w:rsidRPr="0016337C">
        <w:rPr>
          <w:i/>
        </w:rPr>
        <w:t>Telecommunications Worksheet Instructions</w:t>
      </w:r>
      <w:r w:rsidR="00B63682" w:rsidRPr="0016337C">
        <w:t>)</w:t>
      </w:r>
      <w:r w:rsidRPr="00E535BD">
        <w:t>.</w:t>
      </w:r>
    </w:p>
  </w:footnote>
  <w:footnote w:id="30">
    <w:p w:rsidR="000E4C1D" w:rsidRPr="00E535BD" w:rsidRDefault="000E4C1D">
      <w:pPr>
        <w:pStyle w:val="FootnoteText"/>
      </w:pPr>
      <w:r w:rsidRPr="00E535BD">
        <w:rPr>
          <w:rStyle w:val="FootnoteReference"/>
        </w:rPr>
        <w:footnoteRef/>
      </w:r>
      <w:r w:rsidRPr="00E535BD">
        <w:t xml:space="preserve"> 47 C.F.R. § 64.604(c)(5)(iii)(B).</w:t>
      </w:r>
    </w:p>
  </w:footnote>
  <w:footnote w:id="31">
    <w:p w:rsidR="000E4C1D" w:rsidRPr="00E535BD" w:rsidRDefault="000E4C1D">
      <w:pPr>
        <w:pStyle w:val="FootnoteText"/>
      </w:pPr>
      <w:r w:rsidRPr="00E535BD">
        <w:rPr>
          <w:rStyle w:val="FootnoteReference"/>
        </w:rPr>
        <w:footnoteRef/>
      </w:r>
      <w:r w:rsidRPr="00E535BD">
        <w:t xml:space="preserve"> </w:t>
      </w:r>
      <w:r w:rsidRPr="00E535BD">
        <w:rPr>
          <w:i/>
        </w:rPr>
        <w:t>Id.</w:t>
      </w:r>
      <w:r w:rsidRPr="00E535BD">
        <w:t xml:space="preserve">  Under the Rules, each subject provider must contribute at least $25 per year, and providers whose annual contributions are less than $1,200 must pay the entire amount at the beginning of the contribution period.  Otherwise, providers that are current on their payments may divide their contributions into equal, monthly payments.  </w:t>
      </w:r>
      <w:r w:rsidRPr="00E535BD">
        <w:rPr>
          <w:i/>
        </w:rPr>
        <w:t>Id.</w:t>
      </w:r>
      <w:r w:rsidRPr="00E535BD">
        <w:t xml:space="preserve">  </w:t>
      </w:r>
    </w:p>
  </w:footnote>
  <w:footnote w:id="32">
    <w:p w:rsidR="000E4C1D" w:rsidRPr="00E535BD" w:rsidRDefault="000E4C1D">
      <w:pPr>
        <w:pStyle w:val="FootnoteText"/>
      </w:pPr>
      <w:r w:rsidRPr="00E535BD">
        <w:rPr>
          <w:rStyle w:val="FootnoteReference"/>
        </w:rPr>
        <w:footnoteRef/>
      </w:r>
      <w:r w:rsidRPr="00E535BD">
        <w:t xml:space="preserve"> </w:t>
      </w:r>
      <w:r w:rsidRPr="00E535BD">
        <w:rPr>
          <w:i/>
        </w:rPr>
        <w:t>See, e.g.</w:t>
      </w:r>
      <w:r w:rsidRPr="00E535BD">
        <w:t>,</w:t>
      </w:r>
      <w:r w:rsidRPr="00E535BD">
        <w:rPr>
          <w:i/>
        </w:rPr>
        <w:t xml:space="preserve"> </w:t>
      </w:r>
      <w:r w:rsidR="00F24252" w:rsidRPr="00E535BD">
        <w:rPr>
          <w:i/>
        </w:rPr>
        <w:t>Unipoint Technologies, Inc.</w:t>
      </w:r>
      <w:r w:rsidR="00F24252" w:rsidRPr="00F06937">
        <w:t>,</w:t>
      </w:r>
      <w:r w:rsidR="00F24252" w:rsidRPr="00E535BD">
        <w:t xml:space="preserve"> Notice of Apparent Liability for Forfeiture, 27 FCC Rcd 12751, 12758–59, para. 15 (2012) (</w:t>
      </w:r>
      <w:r w:rsidR="00F24252" w:rsidRPr="00E535BD">
        <w:rPr>
          <w:i/>
        </w:rPr>
        <w:t>Unipoint NAL</w:t>
      </w:r>
      <w:r w:rsidR="00F24252" w:rsidRPr="00E535BD">
        <w:t xml:space="preserve">), </w:t>
      </w:r>
      <w:r w:rsidR="00F24252" w:rsidRPr="00E535BD">
        <w:rPr>
          <w:i/>
        </w:rPr>
        <w:t>forfeiture issued</w:t>
      </w:r>
      <w:r w:rsidR="00F24252" w:rsidRPr="00E535BD">
        <w:t>, Forfeiture Order, 29 FCC Rcd 1633 (2014)</w:t>
      </w:r>
      <w:r w:rsidR="00F24252" w:rsidRPr="00F24252">
        <w:t xml:space="preserve"> </w:t>
      </w:r>
      <w:r w:rsidR="00F24252" w:rsidRPr="00E535BD">
        <w:t>(</w:t>
      </w:r>
      <w:r w:rsidR="00F24252" w:rsidRPr="00E535BD">
        <w:rPr>
          <w:i/>
        </w:rPr>
        <w:t xml:space="preserve">Unipoint </w:t>
      </w:r>
      <w:r w:rsidR="00F24252">
        <w:rPr>
          <w:i/>
        </w:rPr>
        <w:t>Forfeiture Order</w:t>
      </w:r>
      <w:r w:rsidR="00F24252" w:rsidRPr="00E535BD">
        <w:t>)</w:t>
      </w:r>
      <w:r w:rsidR="00F24252">
        <w:t xml:space="preserve">; </w:t>
      </w:r>
      <w:r w:rsidRPr="00E535BD">
        <w:rPr>
          <w:i/>
        </w:rPr>
        <w:t>RB Communications, Inc.</w:t>
      </w:r>
      <w:r w:rsidRPr="00F06937">
        <w:t>,</w:t>
      </w:r>
      <w:r w:rsidRPr="00E535BD">
        <w:rPr>
          <w:i/>
        </w:rPr>
        <w:t xml:space="preserve"> d/b/a Starfone</w:t>
      </w:r>
      <w:r w:rsidRPr="00E535BD">
        <w:t>, Notice of Apparent Liability for Forfeiture and Order, 27 FCC Rcd 4393, 4402, para. 25 (2012) (</w:t>
      </w:r>
      <w:r w:rsidRPr="00E535BD">
        <w:rPr>
          <w:i/>
        </w:rPr>
        <w:t>Starfone NAL</w:t>
      </w:r>
      <w:r w:rsidRPr="00E535BD">
        <w:t xml:space="preserve">), </w:t>
      </w:r>
      <w:r w:rsidRPr="00E535BD">
        <w:rPr>
          <w:i/>
        </w:rPr>
        <w:t>forfeiture issued</w:t>
      </w:r>
      <w:r w:rsidRPr="00E535BD">
        <w:t>, Forfeiture Order, 29 FCC Rcd 5668 (2014) (</w:t>
      </w:r>
      <w:r w:rsidRPr="00E535BD">
        <w:rPr>
          <w:i/>
        </w:rPr>
        <w:t>Starfone Forfeiture Order</w:t>
      </w:r>
      <w:r w:rsidRPr="00E535BD">
        <w:t>);</w:t>
      </w:r>
      <w:r w:rsidRPr="00E535BD">
        <w:rPr>
          <w:rStyle w:val="FootnoteReference"/>
          <w:i/>
        </w:rPr>
        <w:t xml:space="preserve"> </w:t>
      </w:r>
      <w:r w:rsidRPr="00E535BD">
        <w:rPr>
          <w:i/>
        </w:rPr>
        <w:t>Omniat International Telecom, LLC</w:t>
      </w:r>
      <w:r w:rsidRPr="00E535BD">
        <w:t>, Notice of Apparent Liability for Forfeiture and Order, 24 FCC Rcd 4254, 4265, para. 27 (2009) (</w:t>
      </w:r>
      <w:r w:rsidRPr="00E535BD">
        <w:rPr>
          <w:i/>
        </w:rPr>
        <w:t>Omniat NAL</w:t>
      </w:r>
      <w:r w:rsidRPr="00E535BD">
        <w:t>).</w:t>
      </w:r>
    </w:p>
  </w:footnote>
  <w:footnote w:id="33">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 xml:space="preserve">Second LOI Response at Exhibit E-2; Email from Jonathan Marashlian, Marashlian &amp; Donahue, Counsel to ATI, to David Janas, Special Counsel, Investigations and Hearings Division, </w:t>
      </w:r>
      <w:r w:rsidR="007268C4">
        <w:t>FCC Enforcement Bureau</w:t>
      </w:r>
      <w:r w:rsidRPr="00E535BD">
        <w:t xml:space="preserve"> (Sept. 26, 2014) (</w:t>
      </w:r>
      <w:r w:rsidRPr="00E535BD">
        <w:rPr>
          <w:spacing w:val="-2"/>
        </w:rPr>
        <w:t xml:space="preserve">on file in </w:t>
      </w:r>
      <w:r w:rsidRPr="00E535BD">
        <w:t xml:space="preserve">EB-IHD-14-00014860).  </w:t>
      </w:r>
    </w:p>
  </w:footnote>
  <w:footnote w:id="34">
    <w:p w:rsidR="000E4C1D" w:rsidRPr="00E535BD" w:rsidRDefault="000E4C1D">
      <w:pPr>
        <w:pStyle w:val="FootnoteText"/>
        <w:rPr>
          <w:i/>
        </w:rPr>
      </w:pPr>
      <w:r w:rsidRPr="00E535BD">
        <w:rPr>
          <w:rStyle w:val="FootnoteReference"/>
        </w:rPr>
        <w:footnoteRef/>
      </w:r>
      <w:r w:rsidRPr="00E535BD">
        <w:t xml:space="preserve"> </w:t>
      </w:r>
      <w:r w:rsidRPr="00E535BD">
        <w:rPr>
          <w:i/>
        </w:rPr>
        <w:t xml:space="preserve">See </w:t>
      </w:r>
      <w:r w:rsidRPr="00E535BD">
        <w:t>Second LOI Response at Exhibit E-2</w:t>
      </w:r>
      <w:r w:rsidRPr="00E535BD">
        <w:rPr>
          <w:i/>
        </w:rPr>
        <w:t>.</w:t>
      </w:r>
    </w:p>
  </w:footnote>
  <w:footnote w:id="35">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47 U.S.C. § 225; 47 C.F.R. § 64.604(c)(5)(iii).</w:t>
      </w:r>
    </w:p>
  </w:footnote>
  <w:footnote w:id="36">
    <w:p w:rsidR="00C85616" w:rsidRPr="00E535BD" w:rsidRDefault="00C85616" w:rsidP="00C85616">
      <w:pPr>
        <w:pStyle w:val="FootnoteText"/>
      </w:pPr>
      <w:r w:rsidRPr="00E535BD">
        <w:rPr>
          <w:rStyle w:val="FootnoteReference"/>
        </w:rPr>
        <w:footnoteRef/>
      </w:r>
      <w:r w:rsidRPr="00E535BD">
        <w:t xml:space="preserve"> 47 C.F.R. § 52.21(n).</w:t>
      </w:r>
    </w:p>
  </w:footnote>
  <w:footnote w:id="37">
    <w:p w:rsidR="00C85616" w:rsidRPr="00E535BD" w:rsidRDefault="00C85616" w:rsidP="00C85616">
      <w:pPr>
        <w:pStyle w:val="FootnoteText"/>
      </w:pPr>
      <w:r w:rsidRPr="00E535BD">
        <w:rPr>
          <w:rStyle w:val="FootnoteReference"/>
        </w:rPr>
        <w:footnoteRef/>
      </w:r>
      <w:r w:rsidRPr="00E535BD">
        <w:t xml:space="preserve"> The Commission has observed that in requiring number portability, “Congress recognized that the inability of customers to retain their telephone numbers when changing local service providers hampers the development of local competition.”  </w:t>
      </w:r>
      <w:r w:rsidRPr="00E535BD">
        <w:rPr>
          <w:i/>
        </w:rPr>
        <w:t>Telephone Number Portability</w:t>
      </w:r>
      <w:r w:rsidRPr="00E535BD">
        <w:t xml:space="preserve">, Third Report and Order, 13 FCC Rcd 11701, 11702, para. 3 (1998).  </w:t>
      </w:r>
      <w:r w:rsidRPr="00E535BD">
        <w:rPr>
          <w:i/>
        </w:rPr>
        <w:t xml:space="preserve">See </w:t>
      </w:r>
      <w:r w:rsidRPr="00E535BD">
        <w:t xml:space="preserve">H.R. Rep. No. 104-204(I), 104th Cong., 1st Sess. at 113 (1995) (Joint Explanatory Statement) (stating that “[t]he ability to change service providers is only meaningful if a customer can retain his or her local telephone number”). </w:t>
      </w:r>
    </w:p>
  </w:footnote>
  <w:footnote w:id="38">
    <w:p w:rsidR="00C85616" w:rsidRPr="00E535BD" w:rsidRDefault="00C85616" w:rsidP="00C85616">
      <w:pPr>
        <w:pStyle w:val="FootnoteText"/>
      </w:pPr>
      <w:r w:rsidRPr="00E535BD">
        <w:rPr>
          <w:rStyle w:val="FootnoteReference"/>
        </w:rPr>
        <w:footnoteRef/>
      </w:r>
      <w:r w:rsidRPr="00E535BD">
        <w:t xml:space="preserve"> </w:t>
      </w:r>
      <w:r w:rsidRPr="00E535BD">
        <w:rPr>
          <w:i/>
        </w:rPr>
        <w:t xml:space="preserve">See </w:t>
      </w:r>
      <w:r w:rsidRPr="00E535BD">
        <w:t>47 U.S.C. § 251(b)(2).</w:t>
      </w:r>
    </w:p>
  </w:footnote>
  <w:footnote w:id="39">
    <w:p w:rsidR="00C85616" w:rsidRPr="00E535BD" w:rsidRDefault="00C85616" w:rsidP="00C85616">
      <w:pPr>
        <w:pStyle w:val="FootnoteText"/>
      </w:pPr>
      <w:r w:rsidRPr="00E535BD">
        <w:rPr>
          <w:rStyle w:val="FootnoteReference"/>
        </w:rPr>
        <w:footnoteRef/>
      </w:r>
      <w:r w:rsidRPr="00E535BD">
        <w:t xml:space="preserve"> </w:t>
      </w:r>
      <w:r w:rsidRPr="00E535BD">
        <w:rPr>
          <w:i/>
        </w:rPr>
        <w:t xml:space="preserve">See </w:t>
      </w:r>
      <w:r w:rsidR="009B6187">
        <w:t xml:space="preserve">47 U.S.C. </w:t>
      </w:r>
      <w:r w:rsidRPr="00E535BD">
        <w:t>§ 251(</w:t>
      </w:r>
      <w:r>
        <w:t>e</w:t>
      </w:r>
      <w:r w:rsidRPr="00E535BD">
        <w:t>)(2).</w:t>
      </w:r>
    </w:p>
  </w:footnote>
  <w:footnote w:id="40">
    <w:p w:rsidR="00C85616" w:rsidRPr="00E535BD" w:rsidRDefault="00C85616" w:rsidP="00C85616">
      <w:pPr>
        <w:pStyle w:val="FootnoteText"/>
      </w:pPr>
      <w:r w:rsidRPr="00E535BD">
        <w:rPr>
          <w:rStyle w:val="FootnoteReference"/>
        </w:rPr>
        <w:footnoteRef/>
      </w:r>
      <w:r w:rsidRPr="00E535BD">
        <w:t xml:space="preserve"> </w:t>
      </w:r>
      <w:r w:rsidRPr="00E535BD">
        <w:rPr>
          <w:i/>
        </w:rPr>
        <w:t>See</w:t>
      </w:r>
      <w:r w:rsidRPr="00E535BD">
        <w:t xml:space="preserve"> 47 C.F.R. § 52.32.</w:t>
      </w:r>
    </w:p>
  </w:footnote>
  <w:footnote w:id="41">
    <w:p w:rsidR="00C85616" w:rsidRPr="00E535BD" w:rsidRDefault="00C85616" w:rsidP="00C85616">
      <w:pPr>
        <w:pStyle w:val="FootnoteText"/>
      </w:pPr>
      <w:r w:rsidRPr="00E535BD">
        <w:rPr>
          <w:rStyle w:val="FootnoteReference"/>
        </w:rPr>
        <w:footnoteRef/>
      </w:r>
      <w:r w:rsidRPr="00E535BD">
        <w:t xml:space="preserve"> </w:t>
      </w:r>
      <w:r w:rsidRPr="00114DF3">
        <w:rPr>
          <w:i/>
        </w:rPr>
        <w:t>See</w:t>
      </w:r>
      <w:r>
        <w:rPr>
          <w:i/>
        </w:rPr>
        <w:t xml:space="preserve">, </w:t>
      </w:r>
      <w:r w:rsidRPr="00114DF3">
        <w:rPr>
          <w:i/>
        </w:rPr>
        <w:t>e.g</w:t>
      </w:r>
      <w:r>
        <w:t>.</w:t>
      </w:r>
      <w:r w:rsidRPr="00F06937">
        <w:t>,</w:t>
      </w:r>
      <w:r>
        <w:rPr>
          <w:i/>
        </w:rPr>
        <w:t xml:space="preserve"> </w:t>
      </w:r>
      <w:r w:rsidR="00C2213C">
        <w:rPr>
          <w:i/>
        </w:rPr>
        <w:t xml:space="preserve">PTT NAL, </w:t>
      </w:r>
      <w:r w:rsidR="00C2213C">
        <w:t xml:space="preserve">2014 WL 4628748 at </w:t>
      </w:r>
      <w:r w:rsidR="009B6187">
        <w:t xml:space="preserve">*5, </w:t>
      </w:r>
      <w:r w:rsidR="00C2213C">
        <w:t xml:space="preserve">para. 16; </w:t>
      </w:r>
      <w:r w:rsidRPr="00114DF3">
        <w:rPr>
          <w:i/>
        </w:rPr>
        <w:t>Omniat</w:t>
      </w:r>
      <w:r w:rsidRPr="00E535BD">
        <w:rPr>
          <w:i/>
        </w:rPr>
        <w:t xml:space="preserve"> NAL</w:t>
      </w:r>
      <w:r w:rsidRPr="00E535BD">
        <w:t>, 24 FCC Rcd at 426</w:t>
      </w:r>
      <w:r w:rsidR="00C2213C">
        <w:t>5</w:t>
      </w:r>
      <w:r w:rsidRPr="00E535BD">
        <w:t>–6</w:t>
      </w:r>
      <w:r w:rsidR="00C2213C">
        <w:t>6</w:t>
      </w:r>
      <w:r w:rsidRPr="00E535BD">
        <w:t>, para. 28.</w:t>
      </w:r>
    </w:p>
  </w:footnote>
  <w:footnote w:id="42">
    <w:p w:rsidR="000E4C1D" w:rsidRPr="00E535BD" w:rsidRDefault="000E4C1D" w:rsidP="009F218D">
      <w:pPr>
        <w:pStyle w:val="FootnoteText"/>
      </w:pPr>
      <w:r w:rsidRPr="00E535BD">
        <w:rPr>
          <w:rStyle w:val="FootnoteReference"/>
        </w:rPr>
        <w:footnoteRef/>
      </w:r>
      <w:r w:rsidRPr="00E535BD">
        <w:t xml:space="preserve"> </w:t>
      </w:r>
      <w:r w:rsidR="00C02DEB">
        <w:rPr>
          <w:i/>
        </w:rPr>
        <w:t xml:space="preserve">See </w:t>
      </w:r>
      <w:r w:rsidRPr="00E535BD">
        <w:t>Second LOI Response, Exhibit E-3.</w:t>
      </w:r>
    </w:p>
  </w:footnote>
  <w:footnote w:id="43">
    <w:p w:rsidR="000E4C1D" w:rsidRPr="00E535BD" w:rsidRDefault="000E4C1D">
      <w:pPr>
        <w:pStyle w:val="FootnoteText"/>
      </w:pPr>
      <w:r w:rsidRPr="00E535BD">
        <w:rPr>
          <w:rStyle w:val="FootnoteReference"/>
        </w:rPr>
        <w:footnoteRef/>
      </w:r>
      <w:r w:rsidRPr="00E535BD">
        <w:t xml:space="preserve"> </w:t>
      </w:r>
      <w:r w:rsidRPr="00E535BD">
        <w:rPr>
          <w:i/>
        </w:rPr>
        <w:t xml:space="preserve">See </w:t>
      </w:r>
      <w:r w:rsidRPr="00E535BD">
        <w:t>47 U.S.C. § 251(e)(2); 47 C.F.R. § 52.32.</w:t>
      </w:r>
    </w:p>
  </w:footnote>
  <w:footnote w:id="44">
    <w:p w:rsidR="000E4C1D" w:rsidRPr="00E535BD" w:rsidRDefault="000E4C1D" w:rsidP="000A6F15">
      <w:pPr>
        <w:pStyle w:val="FootnoteText"/>
      </w:pPr>
      <w:r w:rsidRPr="00E535BD">
        <w:rPr>
          <w:rStyle w:val="FootnoteReference"/>
        </w:rPr>
        <w:footnoteRef/>
      </w:r>
      <w:r w:rsidRPr="00E535BD">
        <w:rPr>
          <w:i/>
        </w:rPr>
        <w:t xml:space="preserve"> See</w:t>
      </w:r>
      <w:r w:rsidR="00B95742">
        <w:t xml:space="preserve"> 47 U.S.C. § 159</w:t>
      </w:r>
      <w:r w:rsidRPr="00E535BD">
        <w:t>(a)(1)–(2).</w:t>
      </w:r>
    </w:p>
  </w:footnote>
  <w:footnote w:id="45">
    <w:p w:rsidR="000E4C1D" w:rsidRPr="00E535BD" w:rsidRDefault="000E4C1D" w:rsidP="000A6F15">
      <w:pPr>
        <w:pStyle w:val="FootnoteText"/>
      </w:pPr>
      <w:r w:rsidRPr="00E535BD">
        <w:rPr>
          <w:rStyle w:val="FootnoteReference"/>
        </w:rPr>
        <w:footnoteRef/>
      </w:r>
      <w:r w:rsidRPr="00E535BD">
        <w:t xml:space="preserve"> </w:t>
      </w:r>
      <w:r w:rsidRPr="00E535BD">
        <w:rPr>
          <w:i/>
        </w:rPr>
        <w:t>See</w:t>
      </w:r>
      <w:r w:rsidRPr="00E535BD">
        <w:t xml:space="preserve"> 47 C.F.R. §§ 1.1152–1.1156, 1.1157(b)(1).</w:t>
      </w:r>
    </w:p>
  </w:footnote>
  <w:footnote w:id="46">
    <w:p w:rsidR="000E4C1D" w:rsidRPr="00E535BD" w:rsidRDefault="000E4C1D" w:rsidP="000A6F15">
      <w:pPr>
        <w:pStyle w:val="FootnoteText"/>
      </w:pPr>
      <w:r w:rsidRPr="00E535BD">
        <w:rPr>
          <w:rStyle w:val="FootnoteReference"/>
        </w:rPr>
        <w:footnoteRef/>
      </w:r>
      <w:r w:rsidRPr="00E535BD">
        <w:t xml:space="preserve"> </w:t>
      </w:r>
      <w:r w:rsidRPr="00E535BD">
        <w:rPr>
          <w:i/>
        </w:rPr>
        <w:t xml:space="preserve">See </w:t>
      </w:r>
      <w:r w:rsidRPr="00E535BD">
        <w:t>47 C.F.R. § 1.1154.</w:t>
      </w:r>
    </w:p>
  </w:footnote>
  <w:footnote w:id="47">
    <w:p w:rsidR="000E4C1D" w:rsidRPr="00E535BD" w:rsidRDefault="000E4C1D" w:rsidP="00A040AD">
      <w:pPr>
        <w:pStyle w:val="FootnoteText"/>
      </w:pPr>
      <w:r w:rsidRPr="00E535BD">
        <w:rPr>
          <w:rStyle w:val="FootnoteReference"/>
        </w:rPr>
        <w:footnoteRef/>
      </w:r>
      <w:r w:rsidRPr="00E535BD">
        <w:t xml:space="preserve"> </w:t>
      </w:r>
      <w:r w:rsidRPr="00E535BD">
        <w:rPr>
          <w:i/>
        </w:rPr>
        <w:t>See, e.g.</w:t>
      </w:r>
      <w:r w:rsidRPr="00E535BD">
        <w:t xml:space="preserve">, </w:t>
      </w:r>
      <w:r w:rsidR="003717DD">
        <w:rPr>
          <w:i/>
        </w:rPr>
        <w:t>PTT NAL</w:t>
      </w:r>
      <w:r w:rsidR="003717DD" w:rsidRPr="00F06937">
        <w:t>,</w:t>
      </w:r>
      <w:r w:rsidR="003717DD">
        <w:rPr>
          <w:i/>
        </w:rPr>
        <w:t xml:space="preserve"> </w:t>
      </w:r>
      <w:r w:rsidR="003717DD">
        <w:t xml:space="preserve">2014 WL 4628748 at </w:t>
      </w:r>
      <w:r w:rsidR="009B6187">
        <w:t xml:space="preserve">*6, </w:t>
      </w:r>
      <w:r w:rsidR="003717DD">
        <w:t xml:space="preserve">para. 18; </w:t>
      </w:r>
      <w:r w:rsidRPr="00E535BD">
        <w:rPr>
          <w:i/>
        </w:rPr>
        <w:t>Starfone NAL</w:t>
      </w:r>
      <w:r w:rsidRPr="00E535BD">
        <w:t>,</w:t>
      </w:r>
      <w:r w:rsidRPr="00E535BD">
        <w:rPr>
          <w:i/>
        </w:rPr>
        <w:t xml:space="preserve"> </w:t>
      </w:r>
      <w:r w:rsidRPr="00E535BD">
        <w:t>27 FCC Rcd at 4402, para. 27;</w:t>
      </w:r>
      <w:r w:rsidRPr="00E535BD">
        <w:rPr>
          <w:i/>
        </w:rPr>
        <w:t xml:space="preserve"> Omniat NAL</w:t>
      </w:r>
      <w:r w:rsidR="002E776E">
        <w:t>, 24 FCC Rcd at 4266, para. 29</w:t>
      </w:r>
      <w:r w:rsidRPr="00E535BD">
        <w:t>.</w:t>
      </w:r>
    </w:p>
  </w:footnote>
  <w:footnote w:id="48">
    <w:p w:rsidR="000E4C1D" w:rsidRPr="00E535BD" w:rsidRDefault="000E4C1D" w:rsidP="000A6F15">
      <w:pPr>
        <w:pStyle w:val="FootnoteText"/>
      </w:pPr>
      <w:r w:rsidRPr="00E535BD">
        <w:rPr>
          <w:rStyle w:val="FootnoteReference"/>
        </w:rPr>
        <w:footnoteRef/>
      </w:r>
      <w:r w:rsidRPr="00E535BD">
        <w:t xml:space="preserve"> </w:t>
      </w:r>
      <w:r w:rsidRPr="00E535BD">
        <w:rPr>
          <w:i/>
        </w:rPr>
        <w:t>See</w:t>
      </w:r>
      <w:r w:rsidRPr="00E535BD">
        <w:t xml:space="preserve"> </w:t>
      </w:r>
      <w:r w:rsidRPr="00E535BD">
        <w:rPr>
          <w:i/>
        </w:rPr>
        <w:t>Payment Methods and Procedures for Fiscal Year 2014 Regulatory Fees</w:t>
      </w:r>
      <w:r w:rsidRPr="00E535BD">
        <w:t>,</w:t>
      </w:r>
      <w:r w:rsidRPr="00E535BD">
        <w:rPr>
          <w:i/>
        </w:rPr>
        <w:t xml:space="preserve"> </w:t>
      </w:r>
      <w:r w:rsidRPr="00E535BD">
        <w:t xml:space="preserve">Public Notice, </w:t>
      </w:r>
      <w:r w:rsidR="009B6187">
        <w:t xml:space="preserve">DA 14-1283, </w:t>
      </w:r>
      <w:r w:rsidRPr="00E535BD">
        <w:rPr>
          <w:color w:val="000000"/>
        </w:rPr>
        <w:t>2014 WL 4384200</w:t>
      </w:r>
      <w:r w:rsidR="009B6187">
        <w:rPr>
          <w:color w:val="000000"/>
        </w:rPr>
        <w:t xml:space="preserve"> at *1</w:t>
      </w:r>
      <w:r w:rsidRPr="00E535BD">
        <w:t xml:space="preserve"> (Sept. 5, 201</w:t>
      </w:r>
      <w:r w:rsidR="00114DF3">
        <w:t>4</w:t>
      </w:r>
      <w:r w:rsidRPr="00E535BD">
        <w:t xml:space="preserve">); </w:t>
      </w:r>
      <w:r w:rsidRPr="00E535BD">
        <w:rPr>
          <w:i/>
        </w:rPr>
        <w:t>Payment Methods and Procedures for Fiscal Year 2013 Regulatory Fees</w:t>
      </w:r>
      <w:r w:rsidRPr="00E535BD">
        <w:t>,</w:t>
      </w:r>
      <w:r w:rsidRPr="00E535BD">
        <w:rPr>
          <w:i/>
        </w:rPr>
        <w:t xml:space="preserve"> </w:t>
      </w:r>
      <w:r w:rsidRPr="00E535BD">
        <w:t xml:space="preserve">Public Notice, 28 FCC Rcd 12635 (2013); </w:t>
      </w:r>
      <w:r w:rsidRPr="00E535BD">
        <w:rPr>
          <w:i/>
        </w:rPr>
        <w:t>FY 2011 Regulatory Fee Deadline is Extended to 11:59 PM, ET, September 16, 2011</w:t>
      </w:r>
      <w:r w:rsidRPr="00E535BD">
        <w:t xml:space="preserve">, Public Notice, 26 FCC Rcd 13029 (2011); </w:t>
      </w:r>
      <w:r w:rsidRPr="00E535BD">
        <w:rPr>
          <w:i/>
        </w:rPr>
        <w:t>FY 2010 Regulatory Fees Due No Later Than August 31, 2010</w:t>
      </w:r>
      <w:r w:rsidRPr="00E535BD">
        <w:t xml:space="preserve">, </w:t>
      </w:r>
      <w:r w:rsidRPr="00E535BD">
        <w:rPr>
          <w:i/>
        </w:rPr>
        <w:t>Eastern Time (ET)</w:t>
      </w:r>
      <w:r w:rsidRPr="00E535BD">
        <w:t>,</w:t>
      </w:r>
      <w:r w:rsidRPr="00E535BD">
        <w:rPr>
          <w:i/>
        </w:rPr>
        <w:t xml:space="preserve"> </w:t>
      </w:r>
      <w:r w:rsidRPr="00E535BD">
        <w:t>Public Notice, 25 FCC Rcd 10676 (2010).</w:t>
      </w:r>
    </w:p>
  </w:footnote>
  <w:footnote w:id="49">
    <w:p w:rsidR="000E4C1D" w:rsidRPr="00E535BD" w:rsidRDefault="000E4C1D" w:rsidP="00B95A79">
      <w:pPr>
        <w:pStyle w:val="FootnoteText"/>
      </w:pPr>
      <w:r w:rsidRPr="00E535BD">
        <w:rPr>
          <w:rStyle w:val="FootnoteReference"/>
        </w:rPr>
        <w:footnoteRef/>
      </w:r>
      <w:r w:rsidRPr="00E535BD">
        <w:t xml:space="preserve"> </w:t>
      </w:r>
      <w:r w:rsidRPr="00E535BD">
        <w:rPr>
          <w:i/>
        </w:rPr>
        <w:t>See</w:t>
      </w:r>
      <w:r w:rsidRPr="00E535BD">
        <w:t xml:space="preserve"> Second LOI Response at Exhibit E-5; Email from Jonathan Marashlian, Marashlian &amp; Donahue, Counsel to ATI, to David Janas, Special Counsel, Investigations and Hearings Division, </w:t>
      </w:r>
      <w:r w:rsidR="007268C4">
        <w:t>FCC Enforcement Bureau</w:t>
      </w:r>
      <w:r w:rsidRPr="00E535BD">
        <w:t xml:space="preserve"> (Sept. 26, 2014) (</w:t>
      </w:r>
      <w:r w:rsidRPr="00E535BD">
        <w:rPr>
          <w:spacing w:val="-2"/>
        </w:rPr>
        <w:t xml:space="preserve">on file in </w:t>
      </w:r>
      <w:r w:rsidRPr="00E535BD">
        <w:t xml:space="preserve">EB-IHD-14-00014860).  </w:t>
      </w:r>
    </w:p>
  </w:footnote>
  <w:footnote w:id="50">
    <w:p w:rsidR="000E4C1D" w:rsidRPr="00E535BD" w:rsidRDefault="000E4C1D" w:rsidP="000A6F15">
      <w:pPr>
        <w:pStyle w:val="FootnoteText"/>
      </w:pPr>
      <w:r w:rsidRPr="00E535BD">
        <w:rPr>
          <w:rStyle w:val="FootnoteReference"/>
        </w:rPr>
        <w:footnoteRef/>
      </w:r>
      <w:r w:rsidRPr="00E535BD">
        <w:t xml:space="preserve"> </w:t>
      </w:r>
      <w:r w:rsidRPr="00E535BD">
        <w:rPr>
          <w:i/>
        </w:rPr>
        <w:t xml:space="preserve">See </w:t>
      </w:r>
      <w:r w:rsidRPr="00E535BD">
        <w:t>47 C.F.R. §§ 1.1154, 1.1157(b)(1).</w:t>
      </w:r>
    </w:p>
  </w:footnote>
  <w:footnote w:id="51">
    <w:p w:rsidR="0016337C" w:rsidRPr="00E535BD" w:rsidRDefault="0016337C" w:rsidP="0016337C">
      <w:pPr>
        <w:pStyle w:val="FootnoteText"/>
      </w:pPr>
      <w:r w:rsidRPr="00E535BD">
        <w:rPr>
          <w:rStyle w:val="FootnoteReference"/>
        </w:rPr>
        <w:footnoteRef/>
      </w:r>
      <w:r w:rsidRPr="00E535BD">
        <w:t xml:space="preserve"> </w:t>
      </w:r>
      <w:r w:rsidRPr="00E535BD">
        <w:rPr>
          <w:i/>
        </w:rPr>
        <w:t xml:space="preserve">See </w:t>
      </w:r>
      <w:r w:rsidRPr="00E535BD">
        <w:t>47 U.S.C. §§ 225(b)(1)–(2), 251(b)(2), (e), 254(a)(2).</w:t>
      </w:r>
    </w:p>
  </w:footnote>
  <w:footnote w:id="52">
    <w:p w:rsidR="0016337C" w:rsidRPr="00E535BD" w:rsidRDefault="0016337C" w:rsidP="0016337C">
      <w:pPr>
        <w:pStyle w:val="FootnoteText"/>
      </w:pPr>
      <w:r w:rsidRPr="00E535BD">
        <w:rPr>
          <w:rStyle w:val="FootnoteReference"/>
        </w:rPr>
        <w:footnoteRef/>
      </w:r>
      <w:r w:rsidRPr="00E535BD">
        <w:t xml:space="preserve"> </w:t>
      </w:r>
      <w:r w:rsidRPr="00E535BD">
        <w:rPr>
          <w:i/>
        </w:rPr>
        <w:t xml:space="preserve">See </w:t>
      </w:r>
      <w:r w:rsidRPr="00E535BD">
        <w:t>47 U.S.C. §§ 225(d)(3), 251(e)(2), 254(d).</w:t>
      </w:r>
    </w:p>
  </w:footnote>
  <w:footnote w:id="53">
    <w:p w:rsidR="0016337C" w:rsidRPr="00E535BD" w:rsidRDefault="0016337C" w:rsidP="0016337C">
      <w:pPr>
        <w:pStyle w:val="FootnoteText"/>
      </w:pPr>
      <w:r w:rsidRPr="00E535BD">
        <w:rPr>
          <w:rStyle w:val="FootnoteReference"/>
        </w:rPr>
        <w:footnoteRef/>
      </w:r>
      <w:r w:rsidRPr="00E535BD">
        <w:t xml:space="preserve"> </w:t>
      </w:r>
      <w:r w:rsidRPr="00E535BD">
        <w:rPr>
          <w:i/>
        </w:rPr>
        <w:t>See</w:t>
      </w:r>
      <w:r w:rsidRPr="00E535BD">
        <w:t xml:space="preserve"> 47 C.F.R. §§ 52.32(b), 54.711(a), 64.604(c)(5)(iii)(B).</w:t>
      </w:r>
    </w:p>
  </w:footnote>
  <w:footnote w:id="54">
    <w:p w:rsidR="0016337C" w:rsidRPr="00E535BD" w:rsidRDefault="0016337C" w:rsidP="0016337C">
      <w:pPr>
        <w:pStyle w:val="FootnoteText"/>
      </w:pPr>
      <w:r w:rsidRPr="00E535BD">
        <w:rPr>
          <w:rStyle w:val="FootnoteReference"/>
        </w:rPr>
        <w:footnoteRef/>
      </w:r>
      <w:r w:rsidRPr="00E535BD">
        <w:t xml:space="preserve"> </w:t>
      </w:r>
      <w:r w:rsidRPr="00E535BD">
        <w:rPr>
          <w:i/>
        </w:rPr>
        <w:t xml:space="preserve">See Federal-State Joint Board on Universal Service, </w:t>
      </w:r>
      <w:r w:rsidRPr="00E535BD">
        <w:t>Report and Order and Order on Reconsideration, 16 FCC Rcd 5748 (2001).</w:t>
      </w:r>
      <w:r w:rsidRPr="00E535BD">
        <w:rPr>
          <w:i/>
        </w:rPr>
        <w:t xml:space="preserve">  </w:t>
      </w:r>
      <w:r w:rsidRPr="00E535BD">
        <w:t>Carriers report their revenues for the prior quarter by the beginning of the second month in each quarter (</w:t>
      </w:r>
      <w:r w:rsidRPr="00E535BD">
        <w:rPr>
          <w:i/>
        </w:rPr>
        <w:t>i.e</w:t>
      </w:r>
      <w:r w:rsidRPr="00E535BD">
        <w:t xml:space="preserve">., February 1, May 1, August 1, and November 1).  </w:t>
      </w:r>
      <w:r w:rsidRPr="00E535BD">
        <w:rPr>
          <w:i/>
        </w:rPr>
        <w:t xml:space="preserve">See id. </w:t>
      </w:r>
      <w:r w:rsidRPr="00E535BD">
        <w:t>at 5755, para. 19.</w:t>
      </w:r>
    </w:p>
  </w:footnote>
  <w:footnote w:id="55">
    <w:p w:rsidR="0016337C" w:rsidRDefault="0016337C" w:rsidP="0016337C">
      <w:pPr>
        <w:pStyle w:val="FootnoteText"/>
      </w:pPr>
      <w:r>
        <w:rPr>
          <w:rStyle w:val="FootnoteReference"/>
        </w:rPr>
        <w:footnoteRef/>
      </w:r>
      <w:r>
        <w:t xml:space="preserve"> </w:t>
      </w:r>
      <w:r>
        <w:rPr>
          <w:i/>
        </w:rPr>
        <w:t xml:space="preserve">See </w:t>
      </w:r>
      <w:r w:rsidRPr="00F81172">
        <w:rPr>
          <w:i/>
        </w:rPr>
        <w:t>2014</w:t>
      </w:r>
      <w:r w:rsidRPr="0016337C">
        <w:t xml:space="preserve"> </w:t>
      </w:r>
      <w:r w:rsidRPr="0016337C">
        <w:rPr>
          <w:i/>
        </w:rPr>
        <w:t>Telecommunications Reporting Worksheet Instructions</w:t>
      </w:r>
      <w:r w:rsidRPr="0016337C">
        <w:t xml:space="preserve">, 29 FCC Rcd </w:t>
      </w:r>
      <w:r w:rsidR="00F81172">
        <w:t>at</w:t>
      </w:r>
      <w:r w:rsidRPr="0016337C">
        <w:t xml:space="preserve"> </w:t>
      </w:r>
      <w:r>
        <w:t>978</w:t>
      </w:r>
      <w:r w:rsidRPr="0016337C">
        <w:t>.</w:t>
      </w:r>
    </w:p>
  </w:footnote>
  <w:footnote w:id="56">
    <w:p w:rsidR="0016337C" w:rsidRPr="00E535BD" w:rsidRDefault="0016337C" w:rsidP="0016337C">
      <w:pPr>
        <w:pStyle w:val="FootnoteText"/>
        <w:rPr>
          <w:i/>
        </w:rPr>
      </w:pPr>
      <w:r w:rsidRPr="00E535BD">
        <w:rPr>
          <w:rStyle w:val="FootnoteReference"/>
        </w:rPr>
        <w:footnoteRef/>
      </w:r>
      <w:r w:rsidRPr="00E535BD">
        <w:t xml:space="preserve"> </w:t>
      </w:r>
      <w:r w:rsidRPr="00E535BD">
        <w:rPr>
          <w:i/>
        </w:rPr>
        <w:t>See, e.g.</w:t>
      </w:r>
      <w:r w:rsidRPr="00E535BD">
        <w:t xml:space="preserve">, </w:t>
      </w:r>
      <w:r w:rsidR="003717DD">
        <w:rPr>
          <w:i/>
        </w:rPr>
        <w:t>PTT NAL</w:t>
      </w:r>
      <w:r w:rsidR="003717DD" w:rsidRPr="00F06937">
        <w:t>,</w:t>
      </w:r>
      <w:r w:rsidR="003717DD">
        <w:rPr>
          <w:i/>
        </w:rPr>
        <w:t xml:space="preserve"> </w:t>
      </w:r>
      <w:r w:rsidR="003717DD">
        <w:t xml:space="preserve">2014 WL 4628748 at </w:t>
      </w:r>
      <w:r w:rsidR="009B6187">
        <w:t xml:space="preserve">*4, </w:t>
      </w:r>
      <w:r w:rsidR="003717DD">
        <w:t xml:space="preserve">para. 11; </w:t>
      </w:r>
      <w:r w:rsidR="00F24252">
        <w:rPr>
          <w:i/>
        </w:rPr>
        <w:t>Unipoint NAL</w:t>
      </w:r>
      <w:r w:rsidRPr="00E535BD">
        <w:t xml:space="preserve">, 27 FCC Rcd </w:t>
      </w:r>
      <w:r w:rsidR="00F24252">
        <w:t>at 12758, para. 14.</w:t>
      </w:r>
    </w:p>
  </w:footnote>
  <w:footnote w:id="57">
    <w:p w:rsidR="0016337C" w:rsidRPr="00E535BD" w:rsidRDefault="0016337C" w:rsidP="0016337C">
      <w:pPr>
        <w:pStyle w:val="FootnoteText"/>
      </w:pPr>
      <w:r w:rsidRPr="00E535BD">
        <w:rPr>
          <w:rStyle w:val="FootnoteReference"/>
        </w:rPr>
        <w:footnoteRef/>
      </w:r>
      <w:r w:rsidRPr="00E535BD">
        <w:t xml:space="preserve"> </w:t>
      </w:r>
      <w:r w:rsidRPr="00E535BD">
        <w:rPr>
          <w:i/>
        </w:rPr>
        <w:t>See</w:t>
      </w:r>
      <w:r w:rsidRPr="00E535BD">
        <w:t xml:space="preserve"> Universal Service Administrative Company, Advanced Tel, Inc. – Form 499 – Search Forms,</w:t>
      </w:r>
      <w:r w:rsidRPr="00E535BD">
        <w:rPr>
          <w:i/>
        </w:rPr>
        <w:t xml:space="preserve"> available at </w:t>
      </w:r>
      <w:hyperlink r:id="rId1" w:history="1">
        <w:r w:rsidRPr="00E535BD">
          <w:rPr>
            <w:rStyle w:val="Hyperlink"/>
            <w:color w:val="auto"/>
            <w:u w:val="none"/>
          </w:rPr>
          <w:t>https://efile.universalservice.org/form499/source/search.asp</w:t>
        </w:r>
      </w:hyperlink>
      <w:r w:rsidRPr="00E535BD">
        <w:t xml:space="preserve"> (last visited Sept. 3, 2014) (</w:t>
      </w:r>
      <w:r w:rsidRPr="00E535BD">
        <w:rPr>
          <w:spacing w:val="-2"/>
        </w:rPr>
        <w:t xml:space="preserve">on file in </w:t>
      </w:r>
      <w:r w:rsidRPr="00E535BD">
        <w:t>EB-IHD-14-00014860).</w:t>
      </w:r>
    </w:p>
  </w:footnote>
  <w:footnote w:id="58">
    <w:p w:rsidR="0016337C" w:rsidRPr="00E535BD" w:rsidRDefault="0016337C" w:rsidP="0016337C">
      <w:pPr>
        <w:pStyle w:val="FootnoteText"/>
      </w:pPr>
      <w:r w:rsidRPr="00E535BD">
        <w:rPr>
          <w:rStyle w:val="FootnoteReference"/>
        </w:rPr>
        <w:footnoteRef/>
      </w:r>
      <w:r w:rsidRPr="00E535BD">
        <w:t xml:space="preserve"> </w:t>
      </w:r>
      <w:r w:rsidRPr="00E535BD">
        <w:rPr>
          <w:i/>
        </w:rPr>
        <w:t xml:space="preserve">See </w:t>
      </w:r>
      <w:r w:rsidR="00405541">
        <w:t>47 C.F.R. §</w:t>
      </w:r>
      <w:r w:rsidRPr="00E535BD">
        <w:t xml:space="preserve"> 54.711.</w:t>
      </w:r>
    </w:p>
  </w:footnote>
  <w:footnote w:id="59">
    <w:p w:rsidR="006E3F18" w:rsidRPr="00E535BD" w:rsidRDefault="006E3F18" w:rsidP="006E3F18">
      <w:pPr>
        <w:pStyle w:val="FootnoteText"/>
      </w:pPr>
      <w:r w:rsidRPr="00E535BD">
        <w:rPr>
          <w:rStyle w:val="FootnoteReference"/>
        </w:rPr>
        <w:footnoteRef/>
      </w:r>
      <w:r w:rsidRPr="00E535BD">
        <w:t xml:space="preserve"> </w:t>
      </w:r>
      <w:r w:rsidRPr="00E535BD">
        <w:rPr>
          <w:i/>
        </w:rPr>
        <w:t>See</w:t>
      </w:r>
      <w:r w:rsidRPr="00E535BD">
        <w:t xml:space="preserve"> 47 U.S.C. § 503(b)(1)(B). </w:t>
      </w:r>
    </w:p>
  </w:footnote>
  <w:footnote w:id="60">
    <w:p w:rsidR="006E3F18" w:rsidRPr="00981F23" w:rsidRDefault="006E3F18" w:rsidP="006E3F18">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61">
    <w:p w:rsidR="006E3F18" w:rsidRPr="00981F23" w:rsidRDefault="006E3F18" w:rsidP="006E3F18">
      <w:pPr>
        <w:pStyle w:val="FootnoteText"/>
        <w:rPr>
          <w:color w:val="000000" w:themeColor="text1"/>
        </w:rPr>
      </w:pPr>
      <w:r w:rsidRPr="00981F23">
        <w:rPr>
          <w:rStyle w:val="FootnoteReference"/>
          <w:color w:val="000000" w:themeColor="text1"/>
        </w:rPr>
        <w:footnoteRef/>
      </w:r>
      <w:r>
        <w:rPr>
          <w:color w:val="000000" w:themeColor="text1"/>
        </w:rPr>
        <w:t xml:space="preserve"> 47 C.F.R. § 1.80(b)(8), n</w:t>
      </w:r>
      <w:r w:rsidRPr="00981F23">
        <w:rPr>
          <w:color w:val="000000" w:themeColor="text1"/>
        </w:rPr>
        <w:t xml:space="preserve">ote to paragraph (b)(8). </w:t>
      </w:r>
    </w:p>
  </w:footnote>
  <w:footnote w:id="62">
    <w:p w:rsidR="006E3F18" w:rsidRPr="00981F23" w:rsidRDefault="006E3F18" w:rsidP="006E3F18">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63">
    <w:p w:rsidR="000E4C1D" w:rsidRPr="00E535BD" w:rsidRDefault="000E4C1D" w:rsidP="002E2425">
      <w:pPr>
        <w:pStyle w:val="FootnoteText"/>
      </w:pPr>
      <w:r w:rsidRPr="00E535BD">
        <w:rPr>
          <w:rStyle w:val="FootnoteReference"/>
        </w:rPr>
        <w:footnoteRef/>
      </w:r>
      <w:r w:rsidRPr="00E535BD">
        <w:t xml:space="preserve"> </w:t>
      </w:r>
      <w:r w:rsidRPr="00E535BD">
        <w:rPr>
          <w:i/>
        </w:rPr>
        <w:t xml:space="preserve">See </w:t>
      </w:r>
      <w:r w:rsidRPr="00E535BD">
        <w:t xml:space="preserve">47 U.S.C. §§ </w:t>
      </w:r>
      <w:r w:rsidRPr="00E535BD">
        <w:rPr>
          <w:rFonts w:eastAsiaTheme="minorEastAsia"/>
        </w:rPr>
        <w:t>251(e)(2), 254(d)</w:t>
      </w:r>
      <w:r w:rsidRPr="00E535BD">
        <w:t xml:space="preserve">; 47 C.F.R. §§ </w:t>
      </w:r>
      <w:r w:rsidRPr="00E535BD">
        <w:rPr>
          <w:rFonts w:eastAsiaTheme="minorEastAsia"/>
          <w:color w:val="000000"/>
        </w:rPr>
        <w:t xml:space="preserve">1.1154, 1.1157, 52.32, 54.706, 54.711, </w:t>
      </w:r>
      <w:r w:rsidRPr="00E535BD">
        <w:t>64.604(c)(5)(iii).</w:t>
      </w:r>
    </w:p>
  </w:footnote>
  <w:footnote w:id="64">
    <w:p w:rsidR="00FF5BF9" w:rsidRDefault="00FF5BF9">
      <w:pPr>
        <w:pStyle w:val="FootnoteText"/>
      </w:pPr>
      <w:r>
        <w:rPr>
          <w:rStyle w:val="FootnoteReference"/>
        </w:rPr>
        <w:footnoteRef/>
      </w:r>
      <w:r>
        <w:t xml:space="preserve"> </w:t>
      </w:r>
      <w:r w:rsidRPr="00FF5BF9">
        <w:rPr>
          <w:i/>
        </w:rPr>
        <w:t>See infra</w:t>
      </w:r>
      <w:r>
        <w:t xml:space="preserve"> paras. </w:t>
      </w:r>
      <w:r w:rsidRPr="000567FC">
        <w:t>2</w:t>
      </w:r>
      <w:r w:rsidR="000567FC">
        <w:t>1</w:t>
      </w:r>
      <w:r w:rsidRPr="000567FC">
        <w:t>-2</w:t>
      </w:r>
      <w:r w:rsidR="000567FC">
        <w:t>8</w:t>
      </w:r>
      <w:r>
        <w:t>.</w:t>
      </w:r>
      <w:r w:rsidR="00EE77BF">
        <w:t xml:space="preserve">  </w:t>
      </w:r>
      <w:r w:rsidR="00D83367">
        <w:t xml:space="preserve">   </w:t>
      </w:r>
    </w:p>
  </w:footnote>
  <w:footnote w:id="65">
    <w:p w:rsidR="000E4C1D" w:rsidRPr="00E535BD" w:rsidRDefault="000E4C1D" w:rsidP="000E4C1D">
      <w:pPr>
        <w:pStyle w:val="FootnoteText"/>
      </w:pPr>
      <w:r w:rsidRPr="00E535BD">
        <w:rPr>
          <w:rStyle w:val="FootnoteReference"/>
        </w:rPr>
        <w:footnoteRef/>
      </w:r>
      <w:r w:rsidRPr="00E535BD">
        <w:rPr>
          <w:i/>
        </w:rPr>
        <w:t xml:space="preserve"> See</w:t>
      </w:r>
      <w:r w:rsidR="00114DF3">
        <w:t xml:space="preserve">, </w:t>
      </w:r>
      <w:r w:rsidR="00114DF3">
        <w:rPr>
          <w:i/>
        </w:rPr>
        <w:t>e.g.</w:t>
      </w:r>
      <w:r w:rsidR="00114DF3">
        <w:t>,</w:t>
      </w:r>
      <w:r w:rsidRPr="00E535BD">
        <w:rPr>
          <w:i/>
        </w:rPr>
        <w:t xml:space="preserve"> OCMC, Inc</w:t>
      </w:r>
      <w:r w:rsidRPr="00E535BD">
        <w:t>., Order of Forfeiture, 21 FCC Rcd 10479, 10482</w:t>
      </w:r>
      <w:r w:rsidR="00ED22E3">
        <w:t>,</w:t>
      </w:r>
      <w:r w:rsidRPr="00E535BD">
        <w:t xml:space="preserve"> </w:t>
      </w:r>
      <w:r w:rsidR="00ED22E3">
        <w:t>para.</w:t>
      </w:r>
      <w:r w:rsidRPr="00E535BD">
        <w:t xml:space="preserve"> 10 (2</w:t>
      </w:r>
      <w:r w:rsidR="00ED22E3">
        <w:t>006) (</w:t>
      </w:r>
      <w:r w:rsidRPr="00E535BD">
        <w:rPr>
          <w:i/>
        </w:rPr>
        <w:t>OCMC Forfeiture Order</w:t>
      </w:r>
      <w:r w:rsidRPr="00E535BD">
        <w:t xml:space="preserve">); </w:t>
      </w:r>
      <w:r w:rsidR="003706B2" w:rsidRPr="00E11546">
        <w:rPr>
          <w:i/>
        </w:rPr>
        <w:t>Globcom, Inc.</w:t>
      </w:r>
      <w:r w:rsidR="003706B2" w:rsidRPr="00E11546">
        <w:t>,</w:t>
      </w:r>
      <w:r w:rsidR="003706B2" w:rsidRPr="00E11546">
        <w:rPr>
          <w:color w:val="000000"/>
          <w:shd w:val="clear" w:color="auto" w:fill="FFFFFF"/>
        </w:rPr>
        <w:t xml:space="preserve"> Notice of Apparent Liability for Forfeiture and Order, </w:t>
      </w:r>
      <w:r w:rsidR="003706B2" w:rsidRPr="00E11546">
        <w:t>18 FCC Rcd 19893 (2003) (</w:t>
      </w:r>
      <w:r w:rsidR="003706B2" w:rsidRPr="00E11546">
        <w:rPr>
          <w:i/>
        </w:rPr>
        <w:t>Globcom NAL</w:t>
      </w:r>
      <w:r w:rsidR="003706B2" w:rsidRPr="00E11546">
        <w:t xml:space="preserve">), </w:t>
      </w:r>
      <w:r w:rsidR="003706B2" w:rsidRPr="00E11546">
        <w:rPr>
          <w:i/>
        </w:rPr>
        <w:t>forfeiture</w:t>
      </w:r>
      <w:r w:rsidR="003706B2" w:rsidRPr="00E11546">
        <w:t xml:space="preserve"> </w:t>
      </w:r>
      <w:r w:rsidR="003706B2" w:rsidRPr="00E11546">
        <w:rPr>
          <w:i/>
        </w:rPr>
        <w:t>issued</w:t>
      </w:r>
      <w:r w:rsidR="003706B2" w:rsidRPr="00E11546">
        <w:t xml:space="preserve">, Order of Forfeiture, 21 FCC Rcd 4710, </w:t>
      </w:r>
      <w:r w:rsidR="003706B2" w:rsidRPr="00E535BD">
        <w:t>4722</w:t>
      </w:r>
      <w:r w:rsidR="003706B2">
        <w:t>,</w:t>
      </w:r>
      <w:r w:rsidR="003706B2" w:rsidRPr="00E535BD">
        <w:t xml:space="preserve"> </w:t>
      </w:r>
      <w:r w:rsidR="003706B2">
        <w:t>para.</w:t>
      </w:r>
      <w:r w:rsidR="003706B2" w:rsidRPr="00E535BD">
        <w:t xml:space="preserve"> 33</w:t>
      </w:r>
      <w:r w:rsidR="003706B2" w:rsidRPr="00E11546">
        <w:t xml:space="preserve"> (2006) (</w:t>
      </w:r>
      <w:r w:rsidR="003706B2" w:rsidRPr="00E11546">
        <w:rPr>
          <w:i/>
        </w:rPr>
        <w:t>Globcom Forfeiture Order</w:t>
      </w:r>
      <w:r w:rsidR="003706B2" w:rsidRPr="00E11546">
        <w:t>)</w:t>
      </w:r>
      <w:r w:rsidR="003706B2">
        <w:t>.</w:t>
      </w:r>
    </w:p>
  </w:footnote>
  <w:footnote w:id="66">
    <w:p w:rsidR="000E4C1D" w:rsidRPr="00E535BD" w:rsidRDefault="000E4C1D" w:rsidP="000E4C1D">
      <w:pPr>
        <w:pStyle w:val="FootnoteText"/>
      </w:pPr>
      <w:r w:rsidRPr="00E535BD">
        <w:rPr>
          <w:rStyle w:val="FootnoteReference"/>
        </w:rPr>
        <w:footnoteRef/>
      </w:r>
      <w:r w:rsidR="00114DF3">
        <w:rPr>
          <w:i/>
        </w:rPr>
        <w:t xml:space="preserve"> </w:t>
      </w:r>
      <w:r w:rsidR="00114DF3" w:rsidRPr="00114DF3">
        <w:rPr>
          <w:i/>
        </w:rPr>
        <w:t>See</w:t>
      </w:r>
      <w:r w:rsidR="00114DF3">
        <w:t>,</w:t>
      </w:r>
      <w:r w:rsidR="00114DF3" w:rsidRPr="00BC6CC4">
        <w:rPr>
          <w:i/>
        </w:rPr>
        <w:t xml:space="preserve"> e</w:t>
      </w:r>
      <w:r w:rsidR="00114DF3" w:rsidRPr="006E3F18">
        <w:rPr>
          <w:i/>
        </w:rPr>
        <w:t>.</w:t>
      </w:r>
      <w:r w:rsidR="00114DF3">
        <w:rPr>
          <w:i/>
        </w:rPr>
        <w:t>g.</w:t>
      </w:r>
      <w:r w:rsidR="00114DF3">
        <w:t>,</w:t>
      </w:r>
      <w:r w:rsidR="00114DF3" w:rsidRPr="00E535BD">
        <w:rPr>
          <w:i/>
        </w:rPr>
        <w:t xml:space="preserve"> </w:t>
      </w:r>
      <w:r w:rsidRPr="00E535BD">
        <w:rPr>
          <w:i/>
        </w:rPr>
        <w:t>OCMC Forfeiture Order</w:t>
      </w:r>
      <w:r w:rsidR="00ED22E3">
        <w:t>, 21 FCC Rcd at 10482, para</w:t>
      </w:r>
      <w:r w:rsidRPr="00E535BD">
        <w:t xml:space="preserve"> 10; </w:t>
      </w:r>
      <w:r w:rsidRPr="00E535BD">
        <w:rPr>
          <w:i/>
        </w:rPr>
        <w:t>Globcom Forfeiture Order</w:t>
      </w:r>
      <w:r w:rsidRPr="00E535BD">
        <w:t>, 21 FCC Rcd at 4722</w:t>
      </w:r>
      <w:r w:rsidR="00ED22E3">
        <w:t>, para.</w:t>
      </w:r>
      <w:r w:rsidRPr="00E535BD">
        <w:t xml:space="preserve"> 33.</w:t>
      </w:r>
    </w:p>
  </w:footnote>
  <w:footnote w:id="67">
    <w:p w:rsidR="000E4C1D" w:rsidRPr="00E535BD" w:rsidRDefault="000E4C1D" w:rsidP="000E4C1D">
      <w:pPr>
        <w:pStyle w:val="FootnoteText"/>
      </w:pPr>
      <w:r w:rsidRPr="00E535BD">
        <w:rPr>
          <w:rStyle w:val="FootnoteReference"/>
        </w:rPr>
        <w:footnoteRef/>
      </w:r>
      <w:r w:rsidRPr="00E535BD">
        <w:t xml:space="preserve"> </w:t>
      </w:r>
      <w:r w:rsidRPr="00E535BD">
        <w:rPr>
          <w:i/>
        </w:rPr>
        <w:t>See</w:t>
      </w:r>
      <w:r w:rsidR="00117A3A">
        <w:t xml:space="preserve">, </w:t>
      </w:r>
      <w:r w:rsidR="00117A3A" w:rsidRPr="00BC6CC4">
        <w:rPr>
          <w:i/>
        </w:rPr>
        <w:t>e</w:t>
      </w:r>
      <w:r w:rsidR="00117A3A" w:rsidRPr="006E3F18">
        <w:rPr>
          <w:i/>
        </w:rPr>
        <w:t>.g.</w:t>
      </w:r>
      <w:r w:rsidR="00117A3A" w:rsidRPr="00BC6CC4">
        <w:rPr>
          <w:i/>
        </w:rPr>
        <w:t>,</w:t>
      </w:r>
      <w:r w:rsidR="00117A3A" w:rsidRPr="00E535BD">
        <w:rPr>
          <w:i/>
        </w:rPr>
        <w:t xml:space="preserve"> </w:t>
      </w:r>
      <w:r w:rsidR="003706B2" w:rsidRPr="00E535BD">
        <w:rPr>
          <w:i/>
        </w:rPr>
        <w:t>Telrite Corp</w:t>
      </w:r>
      <w:r w:rsidR="003706B2">
        <w:rPr>
          <w:i/>
        </w:rPr>
        <w:t>.</w:t>
      </w:r>
      <w:r w:rsidR="003706B2" w:rsidRPr="00F06937">
        <w:t>,</w:t>
      </w:r>
      <w:r w:rsidR="003706B2" w:rsidRPr="00E535BD">
        <w:rPr>
          <w:i/>
        </w:rPr>
        <w:t xml:space="preserve"> </w:t>
      </w:r>
      <w:r w:rsidR="003706B2" w:rsidRPr="00E535BD">
        <w:t>Notice of Apparent Liability for Forfeiture and Order, 23 FCC Rcd 7231, 724</w:t>
      </w:r>
      <w:r w:rsidR="003706B2">
        <w:t>3, para.</w:t>
      </w:r>
      <w:r w:rsidR="003706B2" w:rsidRPr="00E535BD">
        <w:t> </w:t>
      </w:r>
      <w:r w:rsidR="003706B2">
        <w:t>27</w:t>
      </w:r>
      <w:r w:rsidR="003706B2" w:rsidRPr="00E535BD">
        <w:t xml:space="preserve"> (2008)</w:t>
      </w:r>
      <w:r w:rsidR="003706B2">
        <w:t xml:space="preserve"> (</w:t>
      </w:r>
      <w:r w:rsidR="003706B2" w:rsidRPr="00E535BD">
        <w:rPr>
          <w:i/>
        </w:rPr>
        <w:t>Telrite</w:t>
      </w:r>
      <w:r w:rsidR="003706B2">
        <w:rPr>
          <w:i/>
        </w:rPr>
        <w:t xml:space="preserve"> NAL</w:t>
      </w:r>
      <w:r w:rsidR="003706B2">
        <w:t>)</w:t>
      </w:r>
      <w:r w:rsidR="003706B2" w:rsidRPr="00E535BD">
        <w:t>;</w:t>
      </w:r>
      <w:r w:rsidR="003706B2" w:rsidRPr="00E535BD">
        <w:rPr>
          <w:i/>
        </w:rPr>
        <w:t xml:space="preserve"> Compass Global Inc.</w:t>
      </w:r>
      <w:r w:rsidR="003706B2" w:rsidRPr="00E535BD">
        <w:t xml:space="preserve">, Notice of Apparent Liability for Forfeiture, 23 FCC Rcd 6125, </w:t>
      </w:r>
      <w:r w:rsidR="003706B2">
        <w:t>at</w:t>
      </w:r>
      <w:r w:rsidR="003706B2" w:rsidRPr="00E535BD">
        <w:t xml:space="preserve"> 61</w:t>
      </w:r>
      <w:r w:rsidR="003706B2">
        <w:t>38–40, paras.</w:t>
      </w:r>
      <w:r w:rsidR="003706B2" w:rsidRPr="00E535BD">
        <w:t xml:space="preserve"> </w:t>
      </w:r>
      <w:r w:rsidR="003706B2">
        <w:t>31–34</w:t>
      </w:r>
      <w:r w:rsidR="003706B2" w:rsidRPr="00E535BD">
        <w:t xml:space="preserve"> (2008)</w:t>
      </w:r>
      <w:r w:rsidR="003706B2">
        <w:t xml:space="preserve"> (</w:t>
      </w:r>
      <w:r w:rsidR="003706B2" w:rsidRPr="00E535BD">
        <w:rPr>
          <w:i/>
        </w:rPr>
        <w:t>Compass Global NAL</w:t>
      </w:r>
      <w:r w:rsidR="003706B2">
        <w:t>)</w:t>
      </w:r>
      <w:r w:rsidR="003706B2" w:rsidRPr="00E535BD">
        <w:t xml:space="preserve">; </w:t>
      </w:r>
      <w:r w:rsidR="003706B2">
        <w:rPr>
          <w:i/>
        </w:rPr>
        <w:t>Global Crossing North America, Inc.</w:t>
      </w:r>
      <w:r w:rsidR="003706B2">
        <w:t>, Notice of Apparent Liability for Forfeiture, 23 FCC Rcd 6110, 6117–19, paras.</w:t>
      </w:r>
      <w:r w:rsidR="003706B2" w:rsidRPr="00E535BD">
        <w:t xml:space="preserve"> </w:t>
      </w:r>
      <w:r w:rsidR="003706B2">
        <w:t>16, 21 (2008) (</w:t>
      </w:r>
      <w:r w:rsidR="003706B2">
        <w:rPr>
          <w:i/>
        </w:rPr>
        <w:t>Global Crossing NAL</w:t>
      </w:r>
      <w:r w:rsidR="003706B2">
        <w:t xml:space="preserve">); </w:t>
      </w:r>
      <w:r w:rsidR="003706B2" w:rsidRPr="00E11546">
        <w:rPr>
          <w:i/>
        </w:rPr>
        <w:t>Globcom Forfeiture Order</w:t>
      </w:r>
      <w:r w:rsidR="003706B2" w:rsidRPr="00E11546">
        <w:t xml:space="preserve">, 21 FCC Rcd at </w:t>
      </w:r>
      <w:r w:rsidR="003706B2" w:rsidRPr="00D206F0">
        <w:t>4725,</w:t>
      </w:r>
      <w:r w:rsidR="003706B2">
        <w:t xml:space="preserve"> n.105.  </w:t>
      </w:r>
    </w:p>
  </w:footnote>
  <w:footnote w:id="68">
    <w:p w:rsidR="000E4C1D" w:rsidRPr="00AA4502" w:rsidRDefault="000E4C1D" w:rsidP="000E4C1D">
      <w:pPr>
        <w:pStyle w:val="FootnoteText"/>
      </w:pPr>
      <w:r w:rsidRPr="00E535BD">
        <w:rPr>
          <w:rStyle w:val="FootnoteReference"/>
        </w:rPr>
        <w:footnoteRef/>
      </w:r>
      <w:r w:rsidRPr="00E535BD">
        <w:t xml:space="preserve"> </w:t>
      </w:r>
      <w:r w:rsidRPr="00E535BD">
        <w:rPr>
          <w:i/>
        </w:rPr>
        <w:t>See supra</w:t>
      </w:r>
      <w:r w:rsidRPr="00E535BD">
        <w:t xml:space="preserve"> </w:t>
      </w:r>
      <w:r w:rsidRPr="008D3D4A">
        <w:t>para.</w:t>
      </w:r>
      <w:r w:rsidR="003769FD" w:rsidRPr="008D3D4A">
        <w:t xml:space="preserve"> </w:t>
      </w:r>
      <w:r w:rsidR="000567FC">
        <w:t>9</w:t>
      </w:r>
      <w:r w:rsidR="00451D4C" w:rsidRPr="008D3D4A">
        <w:t>.</w:t>
      </w:r>
    </w:p>
  </w:footnote>
  <w:footnote w:id="69">
    <w:p w:rsidR="000E4C1D" w:rsidRPr="00E535BD" w:rsidRDefault="000E4C1D" w:rsidP="002824D8">
      <w:pPr>
        <w:pStyle w:val="FootnoteText"/>
      </w:pPr>
      <w:r w:rsidRPr="00E535BD">
        <w:rPr>
          <w:rStyle w:val="FootnoteReference"/>
        </w:rPr>
        <w:footnoteRef/>
      </w:r>
      <w:r w:rsidRPr="00E535BD">
        <w:rPr>
          <w:i/>
        </w:rPr>
        <w:t xml:space="preserve"> See, e.g.</w:t>
      </w:r>
      <w:r w:rsidRPr="00E535BD">
        <w:t>,</w:t>
      </w:r>
      <w:r w:rsidRPr="00E535BD">
        <w:rPr>
          <w:i/>
        </w:rPr>
        <w:t xml:space="preserve"> Starfone NAL</w:t>
      </w:r>
      <w:r w:rsidRPr="004F23AB">
        <w:t>,</w:t>
      </w:r>
      <w:r w:rsidRPr="00E535BD">
        <w:rPr>
          <w:i/>
        </w:rPr>
        <w:t xml:space="preserve"> </w:t>
      </w:r>
      <w:r w:rsidRPr="00E535BD">
        <w:t>27 FCC Rcd at 4402, para. 26;</w:t>
      </w:r>
      <w:r w:rsidRPr="00E535BD">
        <w:rPr>
          <w:i/>
        </w:rPr>
        <w:t xml:space="preserve"> </w:t>
      </w:r>
      <w:r w:rsidR="00F24252">
        <w:rPr>
          <w:i/>
        </w:rPr>
        <w:t>ADMA Telecom, Inc.</w:t>
      </w:r>
      <w:r w:rsidR="00F24252">
        <w:t xml:space="preserve">, </w:t>
      </w:r>
      <w:r w:rsidR="00F24252" w:rsidRPr="00F24252">
        <w:rPr>
          <w:color w:val="000000"/>
        </w:rPr>
        <w:t>Notice of Apparent Liability for Forfeiture, 24 FCC Rcd. 838</w:t>
      </w:r>
      <w:r w:rsidR="00F24252">
        <w:rPr>
          <w:color w:val="000000"/>
        </w:rPr>
        <w:t>, 853 para. 35</w:t>
      </w:r>
      <w:r w:rsidR="00F24252" w:rsidRPr="00F24252">
        <w:rPr>
          <w:color w:val="000000"/>
        </w:rPr>
        <w:t xml:space="preserve"> (2009) (</w:t>
      </w:r>
      <w:r w:rsidR="00F24252" w:rsidRPr="00F24252">
        <w:rPr>
          <w:i/>
          <w:color w:val="000000"/>
        </w:rPr>
        <w:t>ADMA NAL</w:t>
      </w:r>
      <w:r w:rsidR="00F24252" w:rsidRPr="00F24252">
        <w:rPr>
          <w:color w:val="000000"/>
        </w:rPr>
        <w:t>),</w:t>
      </w:r>
      <w:r w:rsidR="00F24252">
        <w:rPr>
          <w:rFonts w:ascii="Verdana" w:hAnsi="Verdana"/>
          <w:color w:val="000000"/>
          <w:sz w:val="19"/>
          <w:szCs w:val="19"/>
        </w:rPr>
        <w:t xml:space="preserve"> </w:t>
      </w:r>
      <w:r w:rsidR="00F24252" w:rsidRPr="00E535BD">
        <w:rPr>
          <w:i/>
        </w:rPr>
        <w:t>forfeiture</w:t>
      </w:r>
      <w:r w:rsidR="00F24252" w:rsidRPr="00E535BD">
        <w:t xml:space="preserve"> </w:t>
      </w:r>
      <w:r w:rsidR="00F24252" w:rsidRPr="00E535BD">
        <w:rPr>
          <w:i/>
        </w:rPr>
        <w:t>issued</w:t>
      </w:r>
      <w:r w:rsidR="00F24252" w:rsidRPr="00E535BD">
        <w:t xml:space="preserve">, </w:t>
      </w:r>
      <w:r w:rsidR="00F24252">
        <w:t xml:space="preserve">Forfeiture Order, </w:t>
      </w:r>
      <w:r w:rsidR="00F24252" w:rsidRPr="00E535BD">
        <w:t>26 FCC Rcd</w:t>
      </w:r>
      <w:r w:rsidR="00F24252">
        <w:t xml:space="preserve"> 4152 (2011)</w:t>
      </w:r>
      <w:r w:rsidR="00F24252" w:rsidRPr="00E535BD">
        <w:t xml:space="preserve"> </w:t>
      </w:r>
      <w:r w:rsidR="00F24252">
        <w:t>(</w:t>
      </w:r>
      <w:r w:rsidR="00F24252" w:rsidRPr="00E535BD">
        <w:rPr>
          <w:i/>
        </w:rPr>
        <w:t>ADMA Forfeiture Order</w:t>
      </w:r>
      <w:r w:rsidR="00F24252">
        <w:t>)</w:t>
      </w:r>
      <w:r w:rsidR="00F24252" w:rsidRPr="00E535BD">
        <w:t xml:space="preserve">; </w:t>
      </w:r>
      <w:r w:rsidR="008853A9" w:rsidRPr="00E535BD">
        <w:rPr>
          <w:i/>
        </w:rPr>
        <w:t>Globcom NAL</w:t>
      </w:r>
      <w:r w:rsidRPr="00E535BD">
        <w:rPr>
          <w:color w:val="000000"/>
          <w:shd w:val="clear" w:color="auto" w:fill="FFFFFF"/>
        </w:rPr>
        <w:t xml:space="preserve">, </w:t>
      </w:r>
      <w:r w:rsidRPr="00E535BD">
        <w:t xml:space="preserve">18 FCC Rcd </w:t>
      </w:r>
      <w:r w:rsidR="008853A9">
        <w:t>at</w:t>
      </w:r>
      <w:r w:rsidRPr="00E535BD">
        <w:t xml:space="preserve"> 19904, para. 29.</w:t>
      </w:r>
    </w:p>
  </w:footnote>
  <w:footnote w:id="70">
    <w:p w:rsidR="000E4C1D" w:rsidRPr="00E535BD" w:rsidRDefault="000E4C1D" w:rsidP="00784569">
      <w:pPr>
        <w:pStyle w:val="FootnoteText"/>
        <w:rPr>
          <w:i/>
        </w:rPr>
      </w:pPr>
      <w:r w:rsidRPr="00E535BD">
        <w:rPr>
          <w:rStyle w:val="FootnoteReference"/>
        </w:rPr>
        <w:footnoteRef/>
      </w:r>
      <w:r w:rsidRPr="00E535BD">
        <w:t xml:space="preserve"> </w:t>
      </w:r>
      <w:r w:rsidRPr="00E535BD">
        <w:rPr>
          <w:i/>
        </w:rPr>
        <w:t xml:space="preserve">See </w:t>
      </w:r>
      <w:r w:rsidRPr="00E535BD">
        <w:t>Second LOI Response at Exhibit E-2</w:t>
      </w:r>
      <w:r w:rsidRPr="00E535BD">
        <w:rPr>
          <w:i/>
        </w:rPr>
        <w:t>.</w:t>
      </w:r>
    </w:p>
  </w:footnote>
  <w:footnote w:id="71">
    <w:p w:rsidR="000E4C1D" w:rsidRPr="00E535BD" w:rsidRDefault="000E4C1D" w:rsidP="002824D8">
      <w:pPr>
        <w:pStyle w:val="FootnoteText"/>
        <w:rPr>
          <w:b/>
        </w:rPr>
      </w:pPr>
      <w:r w:rsidRPr="00E535BD">
        <w:rPr>
          <w:rStyle w:val="FootnoteReference"/>
        </w:rPr>
        <w:footnoteRef/>
      </w:r>
      <w:r w:rsidRPr="00E535BD">
        <w:t xml:space="preserve"> </w:t>
      </w:r>
      <w:r w:rsidRPr="00E535BD">
        <w:rPr>
          <w:i/>
        </w:rPr>
        <w:t>See, e.g.</w:t>
      </w:r>
      <w:r w:rsidRPr="00E535BD">
        <w:t>,</w:t>
      </w:r>
      <w:r w:rsidRPr="00E535BD">
        <w:rPr>
          <w:i/>
        </w:rPr>
        <w:t xml:space="preserve"> Starfone NAL</w:t>
      </w:r>
      <w:r w:rsidRPr="004F23AB">
        <w:t>,</w:t>
      </w:r>
      <w:r w:rsidRPr="00E535BD">
        <w:rPr>
          <w:i/>
        </w:rPr>
        <w:t xml:space="preserve"> </w:t>
      </w:r>
      <w:r w:rsidRPr="00E535BD">
        <w:t>27 FCC Rcd at 4402, para. 26;</w:t>
      </w:r>
      <w:r w:rsidRPr="00E535BD">
        <w:rPr>
          <w:i/>
        </w:rPr>
        <w:t xml:space="preserve"> ADMA NAL</w:t>
      </w:r>
      <w:r w:rsidRPr="00E535BD">
        <w:t xml:space="preserve">, 24 FCC Rcd at 853, para. 35; </w:t>
      </w:r>
      <w:r w:rsidR="008853A9" w:rsidRPr="00E535BD">
        <w:rPr>
          <w:i/>
        </w:rPr>
        <w:t>Globcom NAL</w:t>
      </w:r>
      <w:r w:rsidRPr="00E535BD">
        <w:rPr>
          <w:color w:val="000000"/>
          <w:shd w:val="clear" w:color="auto" w:fill="FFFFFF"/>
        </w:rPr>
        <w:t xml:space="preserve">, </w:t>
      </w:r>
      <w:r w:rsidRPr="00E535BD">
        <w:t xml:space="preserve">18 FCC Rcd </w:t>
      </w:r>
      <w:r w:rsidR="008853A9">
        <w:t>at</w:t>
      </w:r>
      <w:r w:rsidRPr="00E535BD">
        <w:t xml:space="preserve"> 19904, para. 29.</w:t>
      </w:r>
    </w:p>
  </w:footnote>
  <w:footnote w:id="72">
    <w:p w:rsidR="00BC2337" w:rsidRPr="00AA4502" w:rsidRDefault="000E4C1D" w:rsidP="006C789B">
      <w:pPr>
        <w:pStyle w:val="FootnoteText"/>
      </w:pPr>
      <w:r w:rsidRPr="00AA4502">
        <w:rPr>
          <w:rStyle w:val="FootnoteReference"/>
        </w:rPr>
        <w:footnoteRef/>
      </w:r>
      <w:r w:rsidRPr="00AA4502">
        <w:t xml:space="preserve"> </w:t>
      </w:r>
      <w:r w:rsidRPr="00AA4502">
        <w:rPr>
          <w:i/>
        </w:rPr>
        <w:t>See, e.g.</w:t>
      </w:r>
      <w:r w:rsidRPr="00AA4502">
        <w:t>,</w:t>
      </w:r>
      <w:r w:rsidRPr="00AA4502">
        <w:rPr>
          <w:i/>
        </w:rPr>
        <w:t xml:space="preserve"> </w:t>
      </w:r>
      <w:r w:rsidR="000D3383" w:rsidRPr="00AA4502">
        <w:rPr>
          <w:i/>
        </w:rPr>
        <w:t>Kajeet NAL</w:t>
      </w:r>
      <w:r w:rsidR="003706B2">
        <w:t xml:space="preserve">, 26 FCC Rcd </w:t>
      </w:r>
      <w:r w:rsidR="000D3383">
        <w:t>at</w:t>
      </w:r>
      <w:r w:rsidR="003706B2">
        <w:t xml:space="preserve"> </w:t>
      </w:r>
      <w:r w:rsidR="003706B2" w:rsidRPr="00AA4502">
        <w:rPr>
          <w:rStyle w:val="FootnoteTextChar"/>
        </w:rPr>
        <w:t>16695, para. 24</w:t>
      </w:r>
      <w:r w:rsidRPr="00AA4502">
        <w:rPr>
          <w:rStyle w:val="FootnoteTextChar"/>
        </w:rPr>
        <w:t>;</w:t>
      </w:r>
      <w:r w:rsidRPr="00AA4502">
        <w:rPr>
          <w:i/>
        </w:rPr>
        <w:t xml:space="preserve"> Telrite </w:t>
      </w:r>
      <w:r w:rsidR="008853A9" w:rsidRPr="00AA4502">
        <w:rPr>
          <w:i/>
        </w:rPr>
        <w:t>NAL</w:t>
      </w:r>
      <w:r w:rsidRPr="004F23AB">
        <w:t>,</w:t>
      </w:r>
      <w:r w:rsidRPr="00AA4502">
        <w:rPr>
          <w:i/>
        </w:rPr>
        <w:t xml:space="preserve"> </w:t>
      </w:r>
      <w:r w:rsidRPr="00AA4502">
        <w:t xml:space="preserve">23 FCC Rcd </w:t>
      </w:r>
      <w:r w:rsidR="008853A9" w:rsidRPr="00AA4502">
        <w:t>at</w:t>
      </w:r>
      <w:r w:rsidRPr="00AA4502">
        <w:t xml:space="preserve"> 7245, para. 34.</w:t>
      </w:r>
    </w:p>
  </w:footnote>
  <w:footnote w:id="73">
    <w:p w:rsidR="000E4C1D" w:rsidRPr="00AA4502" w:rsidRDefault="000E4C1D" w:rsidP="006C789B">
      <w:pPr>
        <w:pStyle w:val="FootnoteText"/>
      </w:pPr>
      <w:r w:rsidRPr="00AA4502">
        <w:rPr>
          <w:rStyle w:val="FootnoteReference"/>
        </w:rPr>
        <w:footnoteRef/>
      </w:r>
      <w:r w:rsidRPr="00AA4502">
        <w:t xml:space="preserve"> </w:t>
      </w:r>
      <w:r w:rsidRPr="00AA4502">
        <w:rPr>
          <w:i/>
        </w:rPr>
        <w:t>See, e.g.</w:t>
      </w:r>
      <w:r w:rsidRPr="00AA4502">
        <w:t>,</w:t>
      </w:r>
      <w:r w:rsidRPr="00AA4502">
        <w:rPr>
          <w:i/>
        </w:rPr>
        <w:t xml:space="preserve"> Starfone NAL</w:t>
      </w:r>
      <w:r w:rsidRPr="00AA4502">
        <w:t xml:space="preserve">, 27 FCC Rcd at 4402, para. 27; </w:t>
      </w:r>
      <w:r w:rsidRPr="00AA4502">
        <w:rPr>
          <w:i/>
        </w:rPr>
        <w:t xml:space="preserve">Compass Global </w:t>
      </w:r>
      <w:r w:rsidR="00B878D0" w:rsidRPr="00AA4502">
        <w:rPr>
          <w:i/>
        </w:rPr>
        <w:t>NAL</w:t>
      </w:r>
      <w:r w:rsidRPr="00AA4502">
        <w:t xml:space="preserve">, 23 FCC Rcd </w:t>
      </w:r>
      <w:r w:rsidR="00B878D0" w:rsidRPr="00AA4502">
        <w:t>at 6141–42, para. 38</w:t>
      </w:r>
      <w:r w:rsidRPr="00AA4502">
        <w:t>.</w:t>
      </w:r>
    </w:p>
  </w:footnote>
  <w:footnote w:id="74">
    <w:p w:rsidR="0016337C" w:rsidRPr="00E535BD" w:rsidRDefault="0016337C" w:rsidP="0016337C">
      <w:pPr>
        <w:pStyle w:val="FootnoteText"/>
      </w:pPr>
      <w:r w:rsidRPr="00E535BD">
        <w:rPr>
          <w:rStyle w:val="FootnoteReference"/>
        </w:rPr>
        <w:footnoteRef/>
      </w:r>
      <w:r w:rsidRPr="00E535BD">
        <w:t xml:space="preserve"> </w:t>
      </w:r>
      <w:r w:rsidRPr="00E535BD">
        <w:rPr>
          <w:i/>
        </w:rPr>
        <w:t>E.g</w:t>
      </w:r>
      <w:r w:rsidRPr="00E535BD">
        <w:t xml:space="preserve">., </w:t>
      </w:r>
      <w:r>
        <w:rPr>
          <w:i/>
        </w:rPr>
        <w:t xml:space="preserve">ADMA </w:t>
      </w:r>
      <w:r w:rsidR="00F24252">
        <w:rPr>
          <w:i/>
        </w:rPr>
        <w:t>Forfeiture Order</w:t>
      </w:r>
      <w:r>
        <w:t xml:space="preserve">, </w:t>
      </w:r>
      <w:r w:rsidRPr="00E535BD">
        <w:t>26 FCC Rcd</w:t>
      </w:r>
      <w:r>
        <w:t xml:space="preserve"> </w:t>
      </w:r>
      <w:r w:rsidR="00F24252">
        <w:t>at</w:t>
      </w:r>
      <w:r>
        <w:t xml:space="preserve"> </w:t>
      </w:r>
      <w:r w:rsidRPr="00E535BD">
        <w:t xml:space="preserve">4155, 4162, paras. 9, 28; </w:t>
      </w:r>
      <w:r w:rsidRPr="00E535BD">
        <w:rPr>
          <w:i/>
        </w:rPr>
        <w:t>Globcom</w:t>
      </w:r>
      <w:r w:rsidR="00DD2B09" w:rsidRPr="00DD2B09">
        <w:rPr>
          <w:i/>
        </w:rPr>
        <w:t xml:space="preserve"> </w:t>
      </w:r>
      <w:r w:rsidR="00DD2B09" w:rsidRPr="00E535BD">
        <w:rPr>
          <w:i/>
        </w:rPr>
        <w:t>Forfeiture Order</w:t>
      </w:r>
      <w:r w:rsidRPr="00E535BD">
        <w:t xml:space="preserve">, 21 FCC Rcd </w:t>
      </w:r>
      <w:r w:rsidR="00DD2B09">
        <w:t>at</w:t>
      </w:r>
      <w:r w:rsidRPr="00E535BD">
        <w:t xml:space="preserve"> 4720–21, 4727, paras. 26–28, 31, 45.</w:t>
      </w:r>
      <w:r w:rsidR="003717DD">
        <w:t xml:space="preserve">  </w:t>
      </w:r>
    </w:p>
  </w:footnote>
  <w:footnote w:id="75">
    <w:p w:rsidR="001B26C4" w:rsidRDefault="001B26C4">
      <w:pPr>
        <w:pStyle w:val="FootnoteText"/>
      </w:pPr>
      <w:r>
        <w:rPr>
          <w:rStyle w:val="FootnoteReference"/>
        </w:rPr>
        <w:footnoteRef/>
      </w:r>
      <w:r>
        <w:t xml:space="preserve"> </w:t>
      </w:r>
      <w:r>
        <w:rPr>
          <w:szCs w:val="22"/>
        </w:rPr>
        <w:t>47 U.S.C. § 503(b).</w:t>
      </w:r>
    </w:p>
  </w:footnote>
  <w:footnote w:id="76">
    <w:p w:rsidR="001B26C4" w:rsidRDefault="001B26C4">
      <w:pPr>
        <w:pStyle w:val="FootnoteText"/>
      </w:pPr>
      <w:r>
        <w:rPr>
          <w:rStyle w:val="FootnoteReference"/>
        </w:rPr>
        <w:footnoteRef/>
      </w:r>
      <w:r>
        <w:t xml:space="preserve"> </w:t>
      </w:r>
      <w:r>
        <w:rPr>
          <w:szCs w:val="22"/>
        </w:rPr>
        <w:t>47 C.F.R. § 1.80.</w:t>
      </w:r>
    </w:p>
  </w:footnote>
  <w:footnote w:id="77">
    <w:p w:rsidR="001B26C4" w:rsidRDefault="001B26C4">
      <w:pPr>
        <w:pStyle w:val="FootnoteText"/>
      </w:pPr>
      <w:r>
        <w:rPr>
          <w:rStyle w:val="FootnoteReference"/>
        </w:rPr>
        <w:footnoteRef/>
      </w:r>
      <w:r>
        <w:t xml:space="preserve"> </w:t>
      </w:r>
      <w:r w:rsidR="007040EC" w:rsidRPr="00037DB0">
        <w:rPr>
          <w:szCs w:val="22"/>
        </w:rPr>
        <w:t>47 U.S.C. §§ 251(e)(2), 254(d)</w:t>
      </w:r>
      <w:r w:rsidR="007040EC">
        <w:rPr>
          <w:szCs w:val="22"/>
        </w:rPr>
        <w:t xml:space="preserve">; </w:t>
      </w:r>
      <w:r w:rsidRPr="00037DB0">
        <w:rPr>
          <w:szCs w:val="22"/>
        </w:rPr>
        <w:t>47 C.F.R. §§ </w:t>
      </w:r>
      <w:r w:rsidRPr="00037DB0">
        <w:rPr>
          <w:rFonts w:eastAsiaTheme="minorEastAsia"/>
          <w:color w:val="000000"/>
          <w:szCs w:val="22"/>
        </w:rPr>
        <w:t xml:space="preserve">1.1154, 1.1157, 52.32, 54.706, 54.711, and </w:t>
      </w:r>
      <w:r w:rsidRPr="00037DB0">
        <w:rPr>
          <w:rFonts w:eastAsiaTheme="minorEastAsia"/>
          <w:szCs w:val="22"/>
        </w:rPr>
        <w:t>64.604</w:t>
      </w:r>
      <w:r w:rsidRPr="00037DB0">
        <w:rPr>
          <w:szCs w:val="22"/>
        </w:rPr>
        <w:t>(c)(5)(iii)</w:t>
      </w:r>
      <w:r>
        <w:rPr>
          <w:szCs w:val="22"/>
        </w:rPr>
        <w:t>.</w:t>
      </w:r>
    </w:p>
  </w:footnote>
  <w:footnote w:id="78">
    <w:p w:rsidR="00754291" w:rsidRDefault="00754291">
      <w:pPr>
        <w:pStyle w:val="FootnoteText"/>
      </w:pPr>
      <w:r>
        <w:rPr>
          <w:rStyle w:val="FootnoteReference"/>
        </w:rPr>
        <w:footnoteRef/>
      </w:r>
      <w:r>
        <w:t xml:space="preserve"> </w:t>
      </w:r>
      <w:r>
        <w:rPr>
          <w:szCs w:val="22"/>
        </w:rPr>
        <w:t>47 C.F.R. § 1.80.</w:t>
      </w:r>
    </w:p>
  </w:footnote>
  <w:footnote w:id="79">
    <w:p w:rsidR="000E4C1D" w:rsidRPr="00E535BD" w:rsidRDefault="000E4C1D" w:rsidP="00010736">
      <w:pPr>
        <w:pStyle w:val="FootnoteText"/>
      </w:pPr>
      <w:r w:rsidRPr="00E535BD">
        <w:rPr>
          <w:rStyle w:val="FootnoteReference"/>
        </w:rPr>
        <w:footnoteRef/>
      </w:r>
      <w:r w:rsidRPr="00E535BD">
        <w:t xml:space="preserve"> </w:t>
      </w:r>
      <w:r w:rsidRPr="00E535BD">
        <w:rPr>
          <w:rFonts w:eastAsia="MS Mincho"/>
        </w:rPr>
        <w:t>An FCC Form 159 and detailed instructions for completing the form may be obtained at http://www.fcc.gov/Forms/Form159/159.pdf.</w:t>
      </w:r>
    </w:p>
  </w:footnote>
  <w:footnote w:id="80">
    <w:p w:rsidR="000E4C1D" w:rsidRPr="00E535BD" w:rsidRDefault="000E4C1D" w:rsidP="00010736">
      <w:pPr>
        <w:pStyle w:val="FootnoteText"/>
      </w:pPr>
      <w:r w:rsidRPr="00E535BD">
        <w:rPr>
          <w:rStyle w:val="FootnoteReference"/>
        </w:rPr>
        <w:footnoteRef/>
      </w:r>
      <w:r w:rsidRPr="00E535BD">
        <w:t xml:space="preserve"> </w:t>
      </w:r>
      <w:r w:rsidRPr="00E535BD">
        <w:rPr>
          <w:i/>
        </w:rPr>
        <w:t>See</w:t>
      </w:r>
      <w:r w:rsidRPr="00E535BD">
        <w:t xml:space="preserve"> 47 C.F.R. § 1.1914.</w:t>
      </w:r>
    </w:p>
  </w:footnote>
  <w:footnote w:id="81">
    <w:p w:rsidR="006C4852" w:rsidRPr="00981F23" w:rsidRDefault="006C4852" w:rsidP="006C4852">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13" w:rsidRDefault="0008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87510B">
    <w:pPr>
      <w:pStyle w:val="Header"/>
    </w:pPr>
    <w:r>
      <w:tab/>
      <w:t xml:space="preserve">Federal </w:t>
    </w:r>
    <w:r w:rsidR="005E4889">
      <w:t>Communications Commission</w:t>
    </w:r>
    <w:r w:rsidR="005E4889">
      <w:tab/>
      <w:t>FCC 15</w:t>
    </w:r>
    <w:r w:rsidR="00175E11">
      <w:t>-5</w:t>
    </w:r>
  </w:p>
  <w:p w:rsidR="000E4C1D" w:rsidRDefault="000E4C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6F7D99D" wp14:editId="6D64037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E4C1D" w:rsidRDefault="000E4C1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Pr="0087510B" w:rsidRDefault="000E4C1D" w:rsidP="0087510B">
    <w:pPr>
      <w:pStyle w:val="Header"/>
    </w:pPr>
    <w:r w:rsidRPr="0087510B">
      <w:rPr>
        <w:noProof/>
      </w:rPr>
      <mc:AlternateContent>
        <mc:Choice Requires="wps">
          <w:drawing>
            <wp:anchor distT="0" distB="0" distL="114300" distR="114300" simplePos="0" relativeHeight="251658240" behindDoc="1" locked="0" layoutInCell="0" allowOverlap="1" wp14:anchorId="3D058F39" wp14:editId="195454C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7510B">
      <w:tab/>
      <w:t>Federal Communications Commission</w:t>
    </w:r>
    <w:r w:rsidRPr="0087510B">
      <w:tab/>
    </w:r>
    <w:r w:rsidR="005E4889">
      <w:rPr>
        <w:spacing w:val="-2"/>
      </w:rPr>
      <w:t>FCC 15</w:t>
    </w:r>
    <w:r w:rsidR="00175E11">
      <w:rPr>
        <w:spacing w:val="-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C147D3"/>
    <w:multiLevelType w:val="hybridMultilevel"/>
    <w:tmpl w:val="4F9E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726AED"/>
    <w:multiLevelType w:val="multilevel"/>
    <w:tmpl w:val="E2880574"/>
    <w:lvl w:ilvl="0">
      <w:start w:val="1"/>
      <w:numFmt w:val="upperLetter"/>
      <w:lvlText w:val="%1."/>
      <w:lvlJc w:val="left"/>
      <w:pPr>
        <w:tabs>
          <w:tab w:val="num" w:pos="1170"/>
        </w:tabs>
        <w:ind w:left="1170" w:hanging="360"/>
      </w:pPr>
      <w:rPr>
        <w:rFonts w:hint="default"/>
        <w:b/>
      </w:rPr>
    </w:lvl>
    <w:lvl w:ilvl="1">
      <w:start w:val="1"/>
      <w:numFmt w:val="lowerLetter"/>
      <w:lvlText w:val="%2."/>
      <w:lvlJc w:val="left"/>
      <w:pPr>
        <w:tabs>
          <w:tab w:val="num" w:pos="1530"/>
        </w:tabs>
        <w:ind w:left="1530" w:hanging="360"/>
      </w:pPr>
    </w:lvl>
    <w:lvl w:ilvl="2">
      <w:start w:val="2"/>
      <w:numFmt w:val="decimal"/>
      <w:lvlText w:val="%3."/>
      <w:lvlJc w:val="left"/>
      <w:pPr>
        <w:tabs>
          <w:tab w:val="num" w:pos="2790"/>
        </w:tabs>
        <w:ind w:left="2790" w:hanging="72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2304F7"/>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num w:numId="1">
    <w:abstractNumId w:val="1"/>
  </w:num>
  <w:num w:numId="2">
    <w:abstractNumId w:val="9"/>
  </w:num>
  <w:num w:numId="3">
    <w:abstractNumId w:val="4"/>
  </w:num>
  <w:num w:numId="4">
    <w:abstractNumId w:val="6"/>
  </w:num>
  <w:num w:numId="5">
    <w:abstractNumId w:val="2"/>
  </w:num>
  <w:num w:numId="6">
    <w:abstractNumId w:val="0"/>
  </w:num>
  <w:num w:numId="7">
    <w:abstractNumId w:val="10"/>
  </w:num>
  <w:num w:numId="8">
    <w:abstractNumId w:val="9"/>
    <w:lvlOverride w:ilvl="0">
      <w:startOverride w:val="1"/>
    </w:lvlOverride>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lvlOverride w:ilvl="0">
      <w:startOverride w:val="1"/>
    </w:lvlOverride>
  </w:num>
  <w:num w:numId="22">
    <w:abstractNumId w:val="9"/>
  </w:num>
  <w:num w:numId="23">
    <w:abstractNumId w:val="4"/>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4"/>
  </w:num>
  <w:num w:numId="37">
    <w:abstractNumId w:val="4"/>
  </w:num>
  <w:num w:numId="38">
    <w:abstractNumId w:val="9"/>
  </w:num>
  <w:num w:numId="39">
    <w:abstractNumId w:val="9"/>
    <w:lvlOverride w:ilvl="0">
      <w:startOverride w:val="1"/>
    </w:lvlOverride>
  </w:num>
  <w:num w:numId="40">
    <w:abstractNumId w:val="9"/>
  </w:num>
  <w:num w:numId="41">
    <w:abstractNumId w:val="4"/>
  </w:num>
  <w:num w:numId="42">
    <w:abstractNumId w:val="4"/>
  </w:num>
  <w:num w:numId="43">
    <w:abstractNumId w:val="9"/>
  </w:num>
  <w:num w:numId="44">
    <w:abstractNumId w:val="9"/>
  </w:num>
  <w:num w:numId="45">
    <w:abstractNumId w:val="9"/>
  </w:num>
  <w:num w:numId="46">
    <w:abstractNumId w:val="9"/>
  </w:num>
  <w:num w:numId="47">
    <w:abstractNumId w:val="4"/>
  </w:num>
  <w:num w:numId="48">
    <w:abstractNumId w:val="9"/>
  </w:num>
  <w:num w:numId="49">
    <w:abstractNumId w:val="9"/>
  </w:num>
  <w:num w:numId="50">
    <w:abstractNumId w:val="8"/>
  </w:num>
  <w:num w:numId="51">
    <w:abstractNumId w:val="7"/>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4"/>
  </w:num>
  <w:num w:numId="62">
    <w:abstractNumId w:val="4"/>
  </w:num>
  <w:num w:numId="63">
    <w:abstractNumId w:val="9"/>
    <w:lvlOverride w:ilvl="0">
      <w:startOverride w:val="1"/>
    </w:lvlOverride>
  </w:num>
  <w:num w:numId="64">
    <w:abstractNumId w:val="9"/>
  </w:num>
  <w:num w:numId="65">
    <w:abstractNumId w:val="5"/>
  </w:num>
  <w:num w:numId="66">
    <w:abstractNumId w:val="9"/>
  </w:num>
  <w:num w:numId="67">
    <w:abstractNumId w:val="9"/>
  </w:num>
  <w:num w:numId="68">
    <w:abstractNumId w:val="4"/>
  </w:num>
  <w:num w:numId="69">
    <w:abstractNumId w:val="9"/>
  </w:num>
  <w:num w:numId="70">
    <w:abstractNumId w:val="9"/>
  </w:num>
  <w:num w:numId="71">
    <w:abstractNumId w:val="9"/>
  </w:num>
  <w:num w:numId="72">
    <w:abstractNumId w:val="9"/>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9"/>
  </w:num>
  <w:num w:numId="84">
    <w:abstractNumId w:val="9"/>
  </w:num>
  <w:num w:numId="85">
    <w:abstractNumId w:val="4"/>
  </w:num>
  <w:num w:numId="86">
    <w:abstractNumId w:val="9"/>
  </w:num>
  <w:num w:numId="87">
    <w:abstractNumId w:val="9"/>
  </w:num>
  <w:num w:numId="88">
    <w:abstractNumId w:val="9"/>
  </w:num>
  <w:num w:numId="89">
    <w:abstractNumId w:val="9"/>
  </w:num>
  <w:num w:numId="90">
    <w:abstractNumId w:val="9"/>
  </w:num>
  <w:num w:numId="91">
    <w:abstractNumId w:val="9"/>
  </w:num>
  <w:num w:numId="92">
    <w:abstractNumId w:val="4"/>
  </w:num>
  <w:num w:numId="93">
    <w:abstractNumId w:val="9"/>
    <w:lvlOverride w:ilvl="0">
      <w:startOverride w:val="1"/>
    </w:lvlOverride>
  </w:num>
  <w:num w:numId="94">
    <w:abstractNumId w:val="3"/>
  </w:num>
  <w:num w:numId="95">
    <w:abstractNumId w:val="9"/>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B"/>
    <w:rsid w:val="00001F3D"/>
    <w:rsid w:val="00003098"/>
    <w:rsid w:val="0001030F"/>
    <w:rsid w:val="00010736"/>
    <w:rsid w:val="000113C9"/>
    <w:rsid w:val="00013363"/>
    <w:rsid w:val="00017BBD"/>
    <w:rsid w:val="00022DC8"/>
    <w:rsid w:val="00023C73"/>
    <w:rsid w:val="00023D91"/>
    <w:rsid w:val="00025264"/>
    <w:rsid w:val="00026206"/>
    <w:rsid w:val="00026AB6"/>
    <w:rsid w:val="0002777C"/>
    <w:rsid w:val="0002797A"/>
    <w:rsid w:val="00027DB4"/>
    <w:rsid w:val="00027F7C"/>
    <w:rsid w:val="00031086"/>
    <w:rsid w:val="00031E6B"/>
    <w:rsid w:val="000344A5"/>
    <w:rsid w:val="00034E9D"/>
    <w:rsid w:val="00036039"/>
    <w:rsid w:val="00037DB0"/>
    <w:rsid w:val="00037F90"/>
    <w:rsid w:val="00040FF4"/>
    <w:rsid w:val="00042AE1"/>
    <w:rsid w:val="00042F5B"/>
    <w:rsid w:val="00046FCA"/>
    <w:rsid w:val="000472D2"/>
    <w:rsid w:val="00050163"/>
    <w:rsid w:val="0005064B"/>
    <w:rsid w:val="00050A2A"/>
    <w:rsid w:val="00050AE1"/>
    <w:rsid w:val="00050CCF"/>
    <w:rsid w:val="00051E0E"/>
    <w:rsid w:val="0005269F"/>
    <w:rsid w:val="00055E0C"/>
    <w:rsid w:val="000567A7"/>
    <w:rsid w:val="000567FC"/>
    <w:rsid w:val="00057DC5"/>
    <w:rsid w:val="0006025C"/>
    <w:rsid w:val="00062955"/>
    <w:rsid w:val="00065BB3"/>
    <w:rsid w:val="000679BA"/>
    <w:rsid w:val="00067B95"/>
    <w:rsid w:val="00067D83"/>
    <w:rsid w:val="00071036"/>
    <w:rsid w:val="000715B4"/>
    <w:rsid w:val="000727B0"/>
    <w:rsid w:val="000737D3"/>
    <w:rsid w:val="000761E3"/>
    <w:rsid w:val="00077195"/>
    <w:rsid w:val="00077B52"/>
    <w:rsid w:val="00080813"/>
    <w:rsid w:val="00081268"/>
    <w:rsid w:val="00082C9B"/>
    <w:rsid w:val="000847CD"/>
    <w:rsid w:val="000875BF"/>
    <w:rsid w:val="00087B30"/>
    <w:rsid w:val="0009023C"/>
    <w:rsid w:val="0009074E"/>
    <w:rsid w:val="0009144D"/>
    <w:rsid w:val="0009152E"/>
    <w:rsid w:val="00093373"/>
    <w:rsid w:val="00093EB6"/>
    <w:rsid w:val="00096262"/>
    <w:rsid w:val="000969F6"/>
    <w:rsid w:val="00096D8C"/>
    <w:rsid w:val="000A05DD"/>
    <w:rsid w:val="000A11B2"/>
    <w:rsid w:val="000A25D2"/>
    <w:rsid w:val="000A313D"/>
    <w:rsid w:val="000A5F05"/>
    <w:rsid w:val="000A6F15"/>
    <w:rsid w:val="000B0E7A"/>
    <w:rsid w:val="000B1856"/>
    <w:rsid w:val="000B1865"/>
    <w:rsid w:val="000B2D7B"/>
    <w:rsid w:val="000B3240"/>
    <w:rsid w:val="000B326D"/>
    <w:rsid w:val="000B4983"/>
    <w:rsid w:val="000B5F6B"/>
    <w:rsid w:val="000B6504"/>
    <w:rsid w:val="000C06E0"/>
    <w:rsid w:val="000C0B65"/>
    <w:rsid w:val="000C1A8A"/>
    <w:rsid w:val="000C30A9"/>
    <w:rsid w:val="000C57AB"/>
    <w:rsid w:val="000C5DDF"/>
    <w:rsid w:val="000C69C9"/>
    <w:rsid w:val="000D0238"/>
    <w:rsid w:val="000D086B"/>
    <w:rsid w:val="000D1601"/>
    <w:rsid w:val="000D2A73"/>
    <w:rsid w:val="000D3383"/>
    <w:rsid w:val="000D3451"/>
    <w:rsid w:val="000D3C96"/>
    <w:rsid w:val="000D689B"/>
    <w:rsid w:val="000D71B6"/>
    <w:rsid w:val="000D7DD6"/>
    <w:rsid w:val="000E05FE"/>
    <w:rsid w:val="000E0F02"/>
    <w:rsid w:val="000E1022"/>
    <w:rsid w:val="000E3326"/>
    <w:rsid w:val="000E3D42"/>
    <w:rsid w:val="000E4C1D"/>
    <w:rsid w:val="000E5541"/>
    <w:rsid w:val="000E5BD5"/>
    <w:rsid w:val="000E78FC"/>
    <w:rsid w:val="000F0744"/>
    <w:rsid w:val="000F240E"/>
    <w:rsid w:val="000F3981"/>
    <w:rsid w:val="000F4494"/>
    <w:rsid w:val="000F4BD1"/>
    <w:rsid w:val="000F61E4"/>
    <w:rsid w:val="000F642B"/>
    <w:rsid w:val="00101BB0"/>
    <w:rsid w:val="00101EC9"/>
    <w:rsid w:val="001021DC"/>
    <w:rsid w:val="00103040"/>
    <w:rsid w:val="0010332F"/>
    <w:rsid w:val="001037A3"/>
    <w:rsid w:val="00103E85"/>
    <w:rsid w:val="00104C29"/>
    <w:rsid w:val="00104D44"/>
    <w:rsid w:val="00104DB1"/>
    <w:rsid w:val="00106A0F"/>
    <w:rsid w:val="00107733"/>
    <w:rsid w:val="001112C8"/>
    <w:rsid w:val="001117B7"/>
    <w:rsid w:val="00113DE6"/>
    <w:rsid w:val="00114DF3"/>
    <w:rsid w:val="00115118"/>
    <w:rsid w:val="00115135"/>
    <w:rsid w:val="00117A3A"/>
    <w:rsid w:val="00120A0E"/>
    <w:rsid w:val="0012116C"/>
    <w:rsid w:val="00121D2D"/>
    <w:rsid w:val="00122BD5"/>
    <w:rsid w:val="00124317"/>
    <w:rsid w:val="00126213"/>
    <w:rsid w:val="00130AA4"/>
    <w:rsid w:val="00130E06"/>
    <w:rsid w:val="00131E8E"/>
    <w:rsid w:val="001326C3"/>
    <w:rsid w:val="00133F79"/>
    <w:rsid w:val="00134AE6"/>
    <w:rsid w:val="0013527D"/>
    <w:rsid w:val="001360F0"/>
    <w:rsid w:val="0013624C"/>
    <w:rsid w:val="001454B5"/>
    <w:rsid w:val="001456CA"/>
    <w:rsid w:val="00147B53"/>
    <w:rsid w:val="00147F82"/>
    <w:rsid w:val="001517AC"/>
    <w:rsid w:val="00155B55"/>
    <w:rsid w:val="001563F0"/>
    <w:rsid w:val="00156B90"/>
    <w:rsid w:val="00162785"/>
    <w:rsid w:val="0016337C"/>
    <w:rsid w:val="00164152"/>
    <w:rsid w:val="00166D8B"/>
    <w:rsid w:val="00170447"/>
    <w:rsid w:val="00172598"/>
    <w:rsid w:val="00174FFD"/>
    <w:rsid w:val="001757C0"/>
    <w:rsid w:val="001758EB"/>
    <w:rsid w:val="00175E11"/>
    <w:rsid w:val="00175E7D"/>
    <w:rsid w:val="00176EF0"/>
    <w:rsid w:val="00180FCE"/>
    <w:rsid w:val="00181AB3"/>
    <w:rsid w:val="00183C14"/>
    <w:rsid w:val="00193751"/>
    <w:rsid w:val="00194A66"/>
    <w:rsid w:val="0019758B"/>
    <w:rsid w:val="001A3393"/>
    <w:rsid w:val="001A38D4"/>
    <w:rsid w:val="001A3B39"/>
    <w:rsid w:val="001A46F8"/>
    <w:rsid w:val="001A702A"/>
    <w:rsid w:val="001A73C9"/>
    <w:rsid w:val="001B0E1A"/>
    <w:rsid w:val="001B1A2D"/>
    <w:rsid w:val="001B26C4"/>
    <w:rsid w:val="001B71F2"/>
    <w:rsid w:val="001C0977"/>
    <w:rsid w:val="001C0D58"/>
    <w:rsid w:val="001C43A0"/>
    <w:rsid w:val="001C4A45"/>
    <w:rsid w:val="001C6978"/>
    <w:rsid w:val="001C6AD8"/>
    <w:rsid w:val="001C734F"/>
    <w:rsid w:val="001D0AEF"/>
    <w:rsid w:val="001D1128"/>
    <w:rsid w:val="001D198D"/>
    <w:rsid w:val="001D35E1"/>
    <w:rsid w:val="001D6BCF"/>
    <w:rsid w:val="001E01CA"/>
    <w:rsid w:val="001E0B4D"/>
    <w:rsid w:val="001E491C"/>
    <w:rsid w:val="001E4D6B"/>
    <w:rsid w:val="001E7ABD"/>
    <w:rsid w:val="001F1B27"/>
    <w:rsid w:val="001F2DB8"/>
    <w:rsid w:val="001F2E85"/>
    <w:rsid w:val="001F50B2"/>
    <w:rsid w:val="001F5DE0"/>
    <w:rsid w:val="001F66B0"/>
    <w:rsid w:val="001F6C0A"/>
    <w:rsid w:val="00201250"/>
    <w:rsid w:val="0020273E"/>
    <w:rsid w:val="00204FE4"/>
    <w:rsid w:val="0020646C"/>
    <w:rsid w:val="002077D0"/>
    <w:rsid w:val="0021105A"/>
    <w:rsid w:val="00211B08"/>
    <w:rsid w:val="0021425C"/>
    <w:rsid w:val="00214EC4"/>
    <w:rsid w:val="002200B5"/>
    <w:rsid w:val="00222139"/>
    <w:rsid w:val="002231F8"/>
    <w:rsid w:val="00224748"/>
    <w:rsid w:val="00225038"/>
    <w:rsid w:val="002269F7"/>
    <w:rsid w:val="00227596"/>
    <w:rsid w:val="00231655"/>
    <w:rsid w:val="00231FC5"/>
    <w:rsid w:val="00232941"/>
    <w:rsid w:val="002329E4"/>
    <w:rsid w:val="0023545E"/>
    <w:rsid w:val="00235659"/>
    <w:rsid w:val="00236660"/>
    <w:rsid w:val="00237531"/>
    <w:rsid w:val="00240314"/>
    <w:rsid w:val="002438AD"/>
    <w:rsid w:val="00246B94"/>
    <w:rsid w:val="00246CC5"/>
    <w:rsid w:val="00246D1D"/>
    <w:rsid w:val="002529C6"/>
    <w:rsid w:val="00253BF7"/>
    <w:rsid w:val="0025412D"/>
    <w:rsid w:val="0025575F"/>
    <w:rsid w:val="0025744F"/>
    <w:rsid w:val="00260035"/>
    <w:rsid w:val="002622B5"/>
    <w:rsid w:val="00262F08"/>
    <w:rsid w:val="0026373E"/>
    <w:rsid w:val="00265999"/>
    <w:rsid w:val="00265FAF"/>
    <w:rsid w:val="00270FCA"/>
    <w:rsid w:val="0027181B"/>
    <w:rsid w:val="002724E3"/>
    <w:rsid w:val="00273F08"/>
    <w:rsid w:val="0027414F"/>
    <w:rsid w:val="00274F81"/>
    <w:rsid w:val="00275CF5"/>
    <w:rsid w:val="002760CB"/>
    <w:rsid w:val="002761B3"/>
    <w:rsid w:val="0028105D"/>
    <w:rsid w:val="00281A98"/>
    <w:rsid w:val="002824D8"/>
    <w:rsid w:val="0028301F"/>
    <w:rsid w:val="00283413"/>
    <w:rsid w:val="00285017"/>
    <w:rsid w:val="00285544"/>
    <w:rsid w:val="00285F28"/>
    <w:rsid w:val="00286C1A"/>
    <w:rsid w:val="0029088E"/>
    <w:rsid w:val="00291129"/>
    <w:rsid w:val="002912D5"/>
    <w:rsid w:val="00292B49"/>
    <w:rsid w:val="0029510D"/>
    <w:rsid w:val="00296706"/>
    <w:rsid w:val="00296FB9"/>
    <w:rsid w:val="002972AC"/>
    <w:rsid w:val="00297B8F"/>
    <w:rsid w:val="002A0096"/>
    <w:rsid w:val="002A286D"/>
    <w:rsid w:val="002A2D2E"/>
    <w:rsid w:val="002A2FA4"/>
    <w:rsid w:val="002A40BA"/>
    <w:rsid w:val="002A4F46"/>
    <w:rsid w:val="002A4FD6"/>
    <w:rsid w:val="002A517F"/>
    <w:rsid w:val="002A78E2"/>
    <w:rsid w:val="002B0229"/>
    <w:rsid w:val="002B0765"/>
    <w:rsid w:val="002B0CE2"/>
    <w:rsid w:val="002B0DEA"/>
    <w:rsid w:val="002B1CB8"/>
    <w:rsid w:val="002B26E6"/>
    <w:rsid w:val="002B356A"/>
    <w:rsid w:val="002B36B3"/>
    <w:rsid w:val="002B5CEE"/>
    <w:rsid w:val="002C00E8"/>
    <w:rsid w:val="002C0EB2"/>
    <w:rsid w:val="002C0FE6"/>
    <w:rsid w:val="002C12C6"/>
    <w:rsid w:val="002C162F"/>
    <w:rsid w:val="002C2F80"/>
    <w:rsid w:val="002C36CD"/>
    <w:rsid w:val="002C36F7"/>
    <w:rsid w:val="002C6CD2"/>
    <w:rsid w:val="002C7E3A"/>
    <w:rsid w:val="002D060F"/>
    <w:rsid w:val="002D1599"/>
    <w:rsid w:val="002D2E3A"/>
    <w:rsid w:val="002E19AD"/>
    <w:rsid w:val="002E19FD"/>
    <w:rsid w:val="002E2425"/>
    <w:rsid w:val="002E3FEF"/>
    <w:rsid w:val="002E5694"/>
    <w:rsid w:val="002E7084"/>
    <w:rsid w:val="002E776E"/>
    <w:rsid w:val="002E783D"/>
    <w:rsid w:val="002E7F4D"/>
    <w:rsid w:val="002F1E78"/>
    <w:rsid w:val="002F246B"/>
    <w:rsid w:val="002F2F9B"/>
    <w:rsid w:val="00301AAD"/>
    <w:rsid w:val="0030292F"/>
    <w:rsid w:val="0030338C"/>
    <w:rsid w:val="00303599"/>
    <w:rsid w:val="003058EF"/>
    <w:rsid w:val="003109EF"/>
    <w:rsid w:val="00310E2A"/>
    <w:rsid w:val="00311F86"/>
    <w:rsid w:val="003131B5"/>
    <w:rsid w:val="0031414C"/>
    <w:rsid w:val="003141FF"/>
    <w:rsid w:val="00320370"/>
    <w:rsid w:val="003204AD"/>
    <w:rsid w:val="00322898"/>
    <w:rsid w:val="003231DF"/>
    <w:rsid w:val="00325FA1"/>
    <w:rsid w:val="00330769"/>
    <w:rsid w:val="00331114"/>
    <w:rsid w:val="00334553"/>
    <w:rsid w:val="00336AD1"/>
    <w:rsid w:val="00337C26"/>
    <w:rsid w:val="00342019"/>
    <w:rsid w:val="00343749"/>
    <w:rsid w:val="00344FF6"/>
    <w:rsid w:val="003452C3"/>
    <w:rsid w:val="00345A43"/>
    <w:rsid w:val="00345EDF"/>
    <w:rsid w:val="0034797D"/>
    <w:rsid w:val="0035108C"/>
    <w:rsid w:val="00352A7B"/>
    <w:rsid w:val="00360905"/>
    <w:rsid w:val="0036180B"/>
    <w:rsid w:val="00363527"/>
    <w:rsid w:val="00363A61"/>
    <w:rsid w:val="00365F8F"/>
    <w:rsid w:val="003660ED"/>
    <w:rsid w:val="00366EDF"/>
    <w:rsid w:val="003706B2"/>
    <w:rsid w:val="003717DD"/>
    <w:rsid w:val="003726A3"/>
    <w:rsid w:val="00372F31"/>
    <w:rsid w:val="003758BF"/>
    <w:rsid w:val="003769FD"/>
    <w:rsid w:val="00377885"/>
    <w:rsid w:val="00380031"/>
    <w:rsid w:val="00380252"/>
    <w:rsid w:val="0038117B"/>
    <w:rsid w:val="0038482C"/>
    <w:rsid w:val="00387F29"/>
    <w:rsid w:val="0039195D"/>
    <w:rsid w:val="00391B07"/>
    <w:rsid w:val="00391D70"/>
    <w:rsid w:val="00393651"/>
    <w:rsid w:val="003955FD"/>
    <w:rsid w:val="003962EB"/>
    <w:rsid w:val="00396301"/>
    <w:rsid w:val="00396769"/>
    <w:rsid w:val="003A2CFF"/>
    <w:rsid w:val="003A3175"/>
    <w:rsid w:val="003A7F23"/>
    <w:rsid w:val="003B0550"/>
    <w:rsid w:val="003B0E55"/>
    <w:rsid w:val="003B41BC"/>
    <w:rsid w:val="003B521D"/>
    <w:rsid w:val="003B681C"/>
    <w:rsid w:val="003B694F"/>
    <w:rsid w:val="003C0815"/>
    <w:rsid w:val="003C5850"/>
    <w:rsid w:val="003C7F5E"/>
    <w:rsid w:val="003D0D2A"/>
    <w:rsid w:val="003D2C02"/>
    <w:rsid w:val="003D3EF4"/>
    <w:rsid w:val="003D42F3"/>
    <w:rsid w:val="003D66BB"/>
    <w:rsid w:val="003E00F8"/>
    <w:rsid w:val="003E17C1"/>
    <w:rsid w:val="003E43AB"/>
    <w:rsid w:val="003E496E"/>
    <w:rsid w:val="003F171C"/>
    <w:rsid w:val="003F184F"/>
    <w:rsid w:val="003F1CEB"/>
    <w:rsid w:val="003F3B36"/>
    <w:rsid w:val="00400449"/>
    <w:rsid w:val="0040327A"/>
    <w:rsid w:val="00404A47"/>
    <w:rsid w:val="00404BE2"/>
    <w:rsid w:val="00405541"/>
    <w:rsid w:val="004108A3"/>
    <w:rsid w:val="00412FC5"/>
    <w:rsid w:val="004131AB"/>
    <w:rsid w:val="0041672E"/>
    <w:rsid w:val="00417AB0"/>
    <w:rsid w:val="00420851"/>
    <w:rsid w:val="00422276"/>
    <w:rsid w:val="004238A4"/>
    <w:rsid w:val="00424088"/>
    <w:rsid w:val="004242F1"/>
    <w:rsid w:val="00424A9F"/>
    <w:rsid w:val="004253EC"/>
    <w:rsid w:val="00426F0C"/>
    <w:rsid w:val="00427CAA"/>
    <w:rsid w:val="004315FE"/>
    <w:rsid w:val="0043357A"/>
    <w:rsid w:val="00435F20"/>
    <w:rsid w:val="00441FF6"/>
    <w:rsid w:val="004425E3"/>
    <w:rsid w:val="004443FC"/>
    <w:rsid w:val="00445A00"/>
    <w:rsid w:val="00445C65"/>
    <w:rsid w:val="00445D2B"/>
    <w:rsid w:val="00447D32"/>
    <w:rsid w:val="004500E4"/>
    <w:rsid w:val="00450818"/>
    <w:rsid w:val="0045105F"/>
    <w:rsid w:val="00451956"/>
    <w:rsid w:val="00451B0F"/>
    <w:rsid w:val="00451D4C"/>
    <w:rsid w:val="00453FA0"/>
    <w:rsid w:val="00456A50"/>
    <w:rsid w:val="00461BE7"/>
    <w:rsid w:val="004621C6"/>
    <w:rsid w:val="00462A88"/>
    <w:rsid w:val="00462F90"/>
    <w:rsid w:val="0046383B"/>
    <w:rsid w:val="00463BED"/>
    <w:rsid w:val="004648A5"/>
    <w:rsid w:val="00465126"/>
    <w:rsid w:val="004668CB"/>
    <w:rsid w:val="004677BA"/>
    <w:rsid w:val="00467E6F"/>
    <w:rsid w:val="004708AC"/>
    <w:rsid w:val="00472353"/>
    <w:rsid w:val="0047360D"/>
    <w:rsid w:val="00475C80"/>
    <w:rsid w:val="00480440"/>
    <w:rsid w:val="004810DE"/>
    <w:rsid w:val="004836F8"/>
    <w:rsid w:val="00487152"/>
    <w:rsid w:val="00487D73"/>
    <w:rsid w:val="00491697"/>
    <w:rsid w:val="00492B2F"/>
    <w:rsid w:val="00493D3B"/>
    <w:rsid w:val="0049510C"/>
    <w:rsid w:val="004A0F1B"/>
    <w:rsid w:val="004A3F1A"/>
    <w:rsid w:val="004A49AC"/>
    <w:rsid w:val="004A53BF"/>
    <w:rsid w:val="004A5DEA"/>
    <w:rsid w:val="004A6479"/>
    <w:rsid w:val="004A673C"/>
    <w:rsid w:val="004A7336"/>
    <w:rsid w:val="004B1A22"/>
    <w:rsid w:val="004B218D"/>
    <w:rsid w:val="004B7204"/>
    <w:rsid w:val="004B7C8D"/>
    <w:rsid w:val="004C2EE3"/>
    <w:rsid w:val="004D1E97"/>
    <w:rsid w:val="004D1F1E"/>
    <w:rsid w:val="004D263D"/>
    <w:rsid w:val="004D2F59"/>
    <w:rsid w:val="004D78F3"/>
    <w:rsid w:val="004D7CFA"/>
    <w:rsid w:val="004E092B"/>
    <w:rsid w:val="004E166E"/>
    <w:rsid w:val="004E1C09"/>
    <w:rsid w:val="004E4213"/>
    <w:rsid w:val="004E4A22"/>
    <w:rsid w:val="004F0968"/>
    <w:rsid w:val="004F23AB"/>
    <w:rsid w:val="004F33F4"/>
    <w:rsid w:val="004F52AC"/>
    <w:rsid w:val="004F5FE8"/>
    <w:rsid w:val="00500DBC"/>
    <w:rsid w:val="0050182B"/>
    <w:rsid w:val="00502EA4"/>
    <w:rsid w:val="00503701"/>
    <w:rsid w:val="00503DFF"/>
    <w:rsid w:val="0050403A"/>
    <w:rsid w:val="00510141"/>
    <w:rsid w:val="00511968"/>
    <w:rsid w:val="00512118"/>
    <w:rsid w:val="005137C1"/>
    <w:rsid w:val="00517CFE"/>
    <w:rsid w:val="00524411"/>
    <w:rsid w:val="00525230"/>
    <w:rsid w:val="005255CB"/>
    <w:rsid w:val="00527C90"/>
    <w:rsid w:val="00530711"/>
    <w:rsid w:val="00531117"/>
    <w:rsid w:val="005313A8"/>
    <w:rsid w:val="00534869"/>
    <w:rsid w:val="0053529F"/>
    <w:rsid w:val="00535C68"/>
    <w:rsid w:val="005373B4"/>
    <w:rsid w:val="005422B1"/>
    <w:rsid w:val="00542A4D"/>
    <w:rsid w:val="00544463"/>
    <w:rsid w:val="005466F6"/>
    <w:rsid w:val="00546C33"/>
    <w:rsid w:val="00546D3C"/>
    <w:rsid w:val="00547C4F"/>
    <w:rsid w:val="00547D75"/>
    <w:rsid w:val="00551E15"/>
    <w:rsid w:val="0055614C"/>
    <w:rsid w:val="0056276D"/>
    <w:rsid w:val="00566BE3"/>
    <w:rsid w:val="00566C0B"/>
    <w:rsid w:val="00576E51"/>
    <w:rsid w:val="005814EE"/>
    <w:rsid w:val="00582D89"/>
    <w:rsid w:val="0058305B"/>
    <w:rsid w:val="005833EC"/>
    <w:rsid w:val="0058353C"/>
    <w:rsid w:val="00583EC9"/>
    <w:rsid w:val="00585CB3"/>
    <w:rsid w:val="00590132"/>
    <w:rsid w:val="0059059E"/>
    <w:rsid w:val="005909DA"/>
    <w:rsid w:val="0059148B"/>
    <w:rsid w:val="00593108"/>
    <w:rsid w:val="00594202"/>
    <w:rsid w:val="005958F7"/>
    <w:rsid w:val="00597164"/>
    <w:rsid w:val="00597D3A"/>
    <w:rsid w:val="005A0462"/>
    <w:rsid w:val="005A1E6B"/>
    <w:rsid w:val="005A223B"/>
    <w:rsid w:val="005A4B28"/>
    <w:rsid w:val="005A51BC"/>
    <w:rsid w:val="005B14F8"/>
    <w:rsid w:val="005B25FE"/>
    <w:rsid w:val="005B3092"/>
    <w:rsid w:val="005B3640"/>
    <w:rsid w:val="005B6AB7"/>
    <w:rsid w:val="005B7D00"/>
    <w:rsid w:val="005C013A"/>
    <w:rsid w:val="005C3058"/>
    <w:rsid w:val="005C6FF6"/>
    <w:rsid w:val="005C7D2F"/>
    <w:rsid w:val="005D0F71"/>
    <w:rsid w:val="005D220E"/>
    <w:rsid w:val="005D31F2"/>
    <w:rsid w:val="005D34DC"/>
    <w:rsid w:val="005D415C"/>
    <w:rsid w:val="005D5934"/>
    <w:rsid w:val="005D695B"/>
    <w:rsid w:val="005D7D05"/>
    <w:rsid w:val="005E13DB"/>
    <w:rsid w:val="005E14C2"/>
    <w:rsid w:val="005E2F48"/>
    <w:rsid w:val="005E3A09"/>
    <w:rsid w:val="005E4889"/>
    <w:rsid w:val="005E495E"/>
    <w:rsid w:val="005E73B7"/>
    <w:rsid w:val="005F20E9"/>
    <w:rsid w:val="005F629C"/>
    <w:rsid w:val="005F62CC"/>
    <w:rsid w:val="005F72A3"/>
    <w:rsid w:val="005F7F8D"/>
    <w:rsid w:val="005F7FED"/>
    <w:rsid w:val="0060265D"/>
    <w:rsid w:val="00605626"/>
    <w:rsid w:val="00605D46"/>
    <w:rsid w:val="00606F6D"/>
    <w:rsid w:val="00607753"/>
    <w:rsid w:val="0060789E"/>
    <w:rsid w:val="00607BA5"/>
    <w:rsid w:val="0061180A"/>
    <w:rsid w:val="00612BD9"/>
    <w:rsid w:val="006131AB"/>
    <w:rsid w:val="006135B8"/>
    <w:rsid w:val="006140AC"/>
    <w:rsid w:val="006141E0"/>
    <w:rsid w:val="006154EF"/>
    <w:rsid w:val="006168C8"/>
    <w:rsid w:val="0061696C"/>
    <w:rsid w:val="0062040A"/>
    <w:rsid w:val="00620A05"/>
    <w:rsid w:val="0062219A"/>
    <w:rsid w:val="00622868"/>
    <w:rsid w:val="00623A10"/>
    <w:rsid w:val="00625120"/>
    <w:rsid w:val="00625232"/>
    <w:rsid w:val="00626058"/>
    <w:rsid w:val="00626229"/>
    <w:rsid w:val="006268A6"/>
    <w:rsid w:val="00626EB6"/>
    <w:rsid w:val="006272B0"/>
    <w:rsid w:val="00627B25"/>
    <w:rsid w:val="006300C4"/>
    <w:rsid w:val="0064070A"/>
    <w:rsid w:val="00640C0F"/>
    <w:rsid w:val="006448C7"/>
    <w:rsid w:val="006454F5"/>
    <w:rsid w:val="00646364"/>
    <w:rsid w:val="00646480"/>
    <w:rsid w:val="006509B8"/>
    <w:rsid w:val="00651A7B"/>
    <w:rsid w:val="00652182"/>
    <w:rsid w:val="0065468F"/>
    <w:rsid w:val="00654776"/>
    <w:rsid w:val="00655D03"/>
    <w:rsid w:val="00660190"/>
    <w:rsid w:val="00660532"/>
    <w:rsid w:val="006605F8"/>
    <w:rsid w:val="006610A4"/>
    <w:rsid w:val="00662B16"/>
    <w:rsid w:val="0066367C"/>
    <w:rsid w:val="00663AEC"/>
    <w:rsid w:val="0066482A"/>
    <w:rsid w:val="00664841"/>
    <w:rsid w:val="00664DE1"/>
    <w:rsid w:val="00666FBB"/>
    <w:rsid w:val="00667AF5"/>
    <w:rsid w:val="00670183"/>
    <w:rsid w:val="0067040C"/>
    <w:rsid w:val="0067413F"/>
    <w:rsid w:val="00675AD2"/>
    <w:rsid w:val="006761E8"/>
    <w:rsid w:val="00677B8E"/>
    <w:rsid w:val="00682535"/>
    <w:rsid w:val="006832DA"/>
    <w:rsid w:val="00683388"/>
    <w:rsid w:val="0068378C"/>
    <w:rsid w:val="00683AAA"/>
    <w:rsid w:val="00683B9B"/>
    <w:rsid w:val="00683E78"/>
    <w:rsid w:val="00683F84"/>
    <w:rsid w:val="006842FB"/>
    <w:rsid w:val="00691CD1"/>
    <w:rsid w:val="00693C5A"/>
    <w:rsid w:val="00695B24"/>
    <w:rsid w:val="006A22D1"/>
    <w:rsid w:val="006A2A98"/>
    <w:rsid w:val="006A2EEF"/>
    <w:rsid w:val="006A3B28"/>
    <w:rsid w:val="006A4D7A"/>
    <w:rsid w:val="006A4E89"/>
    <w:rsid w:val="006A5B87"/>
    <w:rsid w:val="006A6A81"/>
    <w:rsid w:val="006A7F77"/>
    <w:rsid w:val="006B210D"/>
    <w:rsid w:val="006B7287"/>
    <w:rsid w:val="006C3712"/>
    <w:rsid w:val="006C4751"/>
    <w:rsid w:val="006C4852"/>
    <w:rsid w:val="006C4A55"/>
    <w:rsid w:val="006C5866"/>
    <w:rsid w:val="006C789B"/>
    <w:rsid w:val="006D190A"/>
    <w:rsid w:val="006D1D51"/>
    <w:rsid w:val="006D3EDA"/>
    <w:rsid w:val="006D753E"/>
    <w:rsid w:val="006E12B7"/>
    <w:rsid w:val="006E37B8"/>
    <w:rsid w:val="006E3F18"/>
    <w:rsid w:val="006E42B9"/>
    <w:rsid w:val="006E536A"/>
    <w:rsid w:val="006F27FA"/>
    <w:rsid w:val="006F2D37"/>
    <w:rsid w:val="006F6B6F"/>
    <w:rsid w:val="006F6E37"/>
    <w:rsid w:val="006F7393"/>
    <w:rsid w:val="0070224F"/>
    <w:rsid w:val="00703990"/>
    <w:rsid w:val="007040EC"/>
    <w:rsid w:val="0070421D"/>
    <w:rsid w:val="00704418"/>
    <w:rsid w:val="00705D84"/>
    <w:rsid w:val="007115F7"/>
    <w:rsid w:val="00711C64"/>
    <w:rsid w:val="00712002"/>
    <w:rsid w:val="0071274D"/>
    <w:rsid w:val="007127DF"/>
    <w:rsid w:val="00712ADE"/>
    <w:rsid w:val="00713A95"/>
    <w:rsid w:val="00716588"/>
    <w:rsid w:val="0072051C"/>
    <w:rsid w:val="00722763"/>
    <w:rsid w:val="007229E6"/>
    <w:rsid w:val="00723EF1"/>
    <w:rsid w:val="00726099"/>
    <w:rsid w:val="007268C4"/>
    <w:rsid w:val="00727BE2"/>
    <w:rsid w:val="00730179"/>
    <w:rsid w:val="007335F9"/>
    <w:rsid w:val="007366C0"/>
    <w:rsid w:val="0073793D"/>
    <w:rsid w:val="007402EA"/>
    <w:rsid w:val="007418DE"/>
    <w:rsid w:val="00742133"/>
    <w:rsid w:val="00742407"/>
    <w:rsid w:val="00742467"/>
    <w:rsid w:val="007444A5"/>
    <w:rsid w:val="00745616"/>
    <w:rsid w:val="00745EB4"/>
    <w:rsid w:val="0074793E"/>
    <w:rsid w:val="0075132F"/>
    <w:rsid w:val="00751B6D"/>
    <w:rsid w:val="00753D3A"/>
    <w:rsid w:val="00754291"/>
    <w:rsid w:val="007614EE"/>
    <w:rsid w:val="00764D25"/>
    <w:rsid w:val="00765BB9"/>
    <w:rsid w:val="00766951"/>
    <w:rsid w:val="00770AB9"/>
    <w:rsid w:val="0077164B"/>
    <w:rsid w:val="007723D2"/>
    <w:rsid w:val="00773FEC"/>
    <w:rsid w:val="0077428A"/>
    <w:rsid w:val="00783084"/>
    <w:rsid w:val="00783100"/>
    <w:rsid w:val="00784569"/>
    <w:rsid w:val="00784906"/>
    <w:rsid w:val="00785689"/>
    <w:rsid w:val="00787084"/>
    <w:rsid w:val="007873C0"/>
    <w:rsid w:val="00792FA0"/>
    <w:rsid w:val="007939D1"/>
    <w:rsid w:val="0079581C"/>
    <w:rsid w:val="007974EE"/>
    <w:rsid w:val="0079754B"/>
    <w:rsid w:val="00797DB7"/>
    <w:rsid w:val="007A1271"/>
    <w:rsid w:val="007A15A9"/>
    <w:rsid w:val="007A15D2"/>
    <w:rsid w:val="007A1E6D"/>
    <w:rsid w:val="007A40D5"/>
    <w:rsid w:val="007A447D"/>
    <w:rsid w:val="007A5C9F"/>
    <w:rsid w:val="007A6241"/>
    <w:rsid w:val="007B0EB2"/>
    <w:rsid w:val="007B5CFA"/>
    <w:rsid w:val="007B6806"/>
    <w:rsid w:val="007B7E55"/>
    <w:rsid w:val="007C00CE"/>
    <w:rsid w:val="007C24B7"/>
    <w:rsid w:val="007C4BC0"/>
    <w:rsid w:val="007C4EDB"/>
    <w:rsid w:val="007D0416"/>
    <w:rsid w:val="007D13BF"/>
    <w:rsid w:val="007D176F"/>
    <w:rsid w:val="007D30B6"/>
    <w:rsid w:val="007D7E83"/>
    <w:rsid w:val="007E0938"/>
    <w:rsid w:val="007E1003"/>
    <w:rsid w:val="007E3DD4"/>
    <w:rsid w:val="007E5137"/>
    <w:rsid w:val="007E75EF"/>
    <w:rsid w:val="007F079F"/>
    <w:rsid w:val="007F0A41"/>
    <w:rsid w:val="007F222E"/>
    <w:rsid w:val="007F7D0A"/>
    <w:rsid w:val="008007C5"/>
    <w:rsid w:val="0080206B"/>
    <w:rsid w:val="00803111"/>
    <w:rsid w:val="00804410"/>
    <w:rsid w:val="00805AAA"/>
    <w:rsid w:val="00810B6F"/>
    <w:rsid w:val="0082061C"/>
    <w:rsid w:val="0082181D"/>
    <w:rsid w:val="0082294E"/>
    <w:rsid w:val="00822CE0"/>
    <w:rsid w:val="00824A27"/>
    <w:rsid w:val="00824A61"/>
    <w:rsid w:val="00824AC7"/>
    <w:rsid w:val="00824AD0"/>
    <w:rsid w:val="00826579"/>
    <w:rsid w:val="00827F50"/>
    <w:rsid w:val="00831052"/>
    <w:rsid w:val="008311AF"/>
    <w:rsid w:val="00833CB0"/>
    <w:rsid w:val="00834462"/>
    <w:rsid w:val="00834B9F"/>
    <w:rsid w:val="00834F54"/>
    <w:rsid w:val="008356D5"/>
    <w:rsid w:val="008360D0"/>
    <w:rsid w:val="008369DE"/>
    <w:rsid w:val="008400C3"/>
    <w:rsid w:val="008402AD"/>
    <w:rsid w:val="00841907"/>
    <w:rsid w:val="00841AB1"/>
    <w:rsid w:val="00841EFF"/>
    <w:rsid w:val="00842397"/>
    <w:rsid w:val="00843ACD"/>
    <w:rsid w:val="00843F62"/>
    <w:rsid w:val="00845BF5"/>
    <w:rsid w:val="00846769"/>
    <w:rsid w:val="008467C0"/>
    <w:rsid w:val="00847061"/>
    <w:rsid w:val="0084762D"/>
    <w:rsid w:val="008515FF"/>
    <w:rsid w:val="00851D92"/>
    <w:rsid w:val="008522AF"/>
    <w:rsid w:val="00853E55"/>
    <w:rsid w:val="00854CEB"/>
    <w:rsid w:val="0085709A"/>
    <w:rsid w:val="0085775E"/>
    <w:rsid w:val="00861308"/>
    <w:rsid w:val="008631B3"/>
    <w:rsid w:val="00863362"/>
    <w:rsid w:val="00863BB6"/>
    <w:rsid w:val="00866D0C"/>
    <w:rsid w:val="00867DE8"/>
    <w:rsid w:val="00871244"/>
    <w:rsid w:val="00872474"/>
    <w:rsid w:val="0087510B"/>
    <w:rsid w:val="00876522"/>
    <w:rsid w:val="00880B3D"/>
    <w:rsid w:val="008825D1"/>
    <w:rsid w:val="00883AFD"/>
    <w:rsid w:val="00883D8E"/>
    <w:rsid w:val="008851AA"/>
    <w:rsid w:val="008853A9"/>
    <w:rsid w:val="008906B9"/>
    <w:rsid w:val="008907FB"/>
    <w:rsid w:val="00890927"/>
    <w:rsid w:val="00891674"/>
    <w:rsid w:val="008917C0"/>
    <w:rsid w:val="00894B66"/>
    <w:rsid w:val="00896616"/>
    <w:rsid w:val="008A1BA3"/>
    <w:rsid w:val="008A1C9E"/>
    <w:rsid w:val="008A3D1C"/>
    <w:rsid w:val="008A6B9F"/>
    <w:rsid w:val="008B107D"/>
    <w:rsid w:val="008B15B1"/>
    <w:rsid w:val="008B42FA"/>
    <w:rsid w:val="008C3935"/>
    <w:rsid w:val="008C68F1"/>
    <w:rsid w:val="008C6B9C"/>
    <w:rsid w:val="008D3D4A"/>
    <w:rsid w:val="008D42EB"/>
    <w:rsid w:val="008D4A71"/>
    <w:rsid w:val="008D5879"/>
    <w:rsid w:val="008D7BD5"/>
    <w:rsid w:val="008E1D10"/>
    <w:rsid w:val="008E2E6E"/>
    <w:rsid w:val="008F1FA8"/>
    <w:rsid w:val="008F2F97"/>
    <w:rsid w:val="008F3CD7"/>
    <w:rsid w:val="008F6DA2"/>
    <w:rsid w:val="008F7838"/>
    <w:rsid w:val="00900612"/>
    <w:rsid w:val="0090158E"/>
    <w:rsid w:val="00902093"/>
    <w:rsid w:val="00902E22"/>
    <w:rsid w:val="00905962"/>
    <w:rsid w:val="00911282"/>
    <w:rsid w:val="00911DA3"/>
    <w:rsid w:val="00915830"/>
    <w:rsid w:val="0092004B"/>
    <w:rsid w:val="0092012F"/>
    <w:rsid w:val="00920E15"/>
    <w:rsid w:val="00921341"/>
    <w:rsid w:val="00921803"/>
    <w:rsid w:val="0092227F"/>
    <w:rsid w:val="00922E5E"/>
    <w:rsid w:val="00926503"/>
    <w:rsid w:val="00927E41"/>
    <w:rsid w:val="009304DB"/>
    <w:rsid w:val="00931F8C"/>
    <w:rsid w:val="00932A36"/>
    <w:rsid w:val="00934F85"/>
    <w:rsid w:val="00935023"/>
    <w:rsid w:val="009361C4"/>
    <w:rsid w:val="00936403"/>
    <w:rsid w:val="00936E71"/>
    <w:rsid w:val="0094164C"/>
    <w:rsid w:val="0094369A"/>
    <w:rsid w:val="0094501B"/>
    <w:rsid w:val="0094730C"/>
    <w:rsid w:val="0095062F"/>
    <w:rsid w:val="00950BA6"/>
    <w:rsid w:val="0095112B"/>
    <w:rsid w:val="00953039"/>
    <w:rsid w:val="00953733"/>
    <w:rsid w:val="00956143"/>
    <w:rsid w:val="0095680C"/>
    <w:rsid w:val="009576F2"/>
    <w:rsid w:val="00961430"/>
    <w:rsid w:val="0096172E"/>
    <w:rsid w:val="00962494"/>
    <w:rsid w:val="0096519B"/>
    <w:rsid w:val="0096763E"/>
    <w:rsid w:val="00971445"/>
    <w:rsid w:val="009726D8"/>
    <w:rsid w:val="00972C63"/>
    <w:rsid w:val="009779A2"/>
    <w:rsid w:val="0098064B"/>
    <w:rsid w:val="009820AB"/>
    <w:rsid w:val="0098444C"/>
    <w:rsid w:val="009847BA"/>
    <w:rsid w:val="009855AC"/>
    <w:rsid w:val="009911A4"/>
    <w:rsid w:val="00993AAC"/>
    <w:rsid w:val="00995809"/>
    <w:rsid w:val="009A0164"/>
    <w:rsid w:val="009A0245"/>
    <w:rsid w:val="009A0CED"/>
    <w:rsid w:val="009A0FEF"/>
    <w:rsid w:val="009A1DB9"/>
    <w:rsid w:val="009A406C"/>
    <w:rsid w:val="009A40CD"/>
    <w:rsid w:val="009A5065"/>
    <w:rsid w:val="009A539B"/>
    <w:rsid w:val="009A5DCF"/>
    <w:rsid w:val="009A6D5F"/>
    <w:rsid w:val="009B0025"/>
    <w:rsid w:val="009B415D"/>
    <w:rsid w:val="009B42AD"/>
    <w:rsid w:val="009B457B"/>
    <w:rsid w:val="009B4C47"/>
    <w:rsid w:val="009B5529"/>
    <w:rsid w:val="009B559C"/>
    <w:rsid w:val="009B6187"/>
    <w:rsid w:val="009B6841"/>
    <w:rsid w:val="009B7D67"/>
    <w:rsid w:val="009C03E5"/>
    <w:rsid w:val="009C3CC2"/>
    <w:rsid w:val="009C58DF"/>
    <w:rsid w:val="009C5C43"/>
    <w:rsid w:val="009C6916"/>
    <w:rsid w:val="009C6D74"/>
    <w:rsid w:val="009D1EF3"/>
    <w:rsid w:val="009D3E6A"/>
    <w:rsid w:val="009D3FDB"/>
    <w:rsid w:val="009D4365"/>
    <w:rsid w:val="009D636C"/>
    <w:rsid w:val="009E0FE8"/>
    <w:rsid w:val="009E2FFC"/>
    <w:rsid w:val="009E394E"/>
    <w:rsid w:val="009E457E"/>
    <w:rsid w:val="009E5264"/>
    <w:rsid w:val="009E5420"/>
    <w:rsid w:val="009E691D"/>
    <w:rsid w:val="009E6920"/>
    <w:rsid w:val="009E6BCB"/>
    <w:rsid w:val="009F19AC"/>
    <w:rsid w:val="009F218D"/>
    <w:rsid w:val="009F5CCF"/>
    <w:rsid w:val="009F639D"/>
    <w:rsid w:val="009F6F22"/>
    <w:rsid w:val="009F76DB"/>
    <w:rsid w:val="009F79A9"/>
    <w:rsid w:val="00A00A80"/>
    <w:rsid w:val="00A040AD"/>
    <w:rsid w:val="00A073C1"/>
    <w:rsid w:val="00A07BAC"/>
    <w:rsid w:val="00A1125D"/>
    <w:rsid w:val="00A12D90"/>
    <w:rsid w:val="00A140F6"/>
    <w:rsid w:val="00A15AEE"/>
    <w:rsid w:val="00A16AB1"/>
    <w:rsid w:val="00A2085B"/>
    <w:rsid w:val="00A217AC"/>
    <w:rsid w:val="00A22BD0"/>
    <w:rsid w:val="00A24042"/>
    <w:rsid w:val="00A24353"/>
    <w:rsid w:val="00A25176"/>
    <w:rsid w:val="00A255BC"/>
    <w:rsid w:val="00A269DB"/>
    <w:rsid w:val="00A31D00"/>
    <w:rsid w:val="00A32C3B"/>
    <w:rsid w:val="00A338E3"/>
    <w:rsid w:val="00A33B31"/>
    <w:rsid w:val="00A351F5"/>
    <w:rsid w:val="00A3781B"/>
    <w:rsid w:val="00A40302"/>
    <w:rsid w:val="00A4046E"/>
    <w:rsid w:val="00A42B70"/>
    <w:rsid w:val="00A43CCD"/>
    <w:rsid w:val="00A45427"/>
    <w:rsid w:val="00A45F4F"/>
    <w:rsid w:val="00A47FE9"/>
    <w:rsid w:val="00A51A4A"/>
    <w:rsid w:val="00A54485"/>
    <w:rsid w:val="00A54B1D"/>
    <w:rsid w:val="00A56994"/>
    <w:rsid w:val="00A56CDD"/>
    <w:rsid w:val="00A600A9"/>
    <w:rsid w:val="00A601AB"/>
    <w:rsid w:val="00A62652"/>
    <w:rsid w:val="00A626EA"/>
    <w:rsid w:val="00A654CD"/>
    <w:rsid w:val="00A7414A"/>
    <w:rsid w:val="00A751F7"/>
    <w:rsid w:val="00A7619F"/>
    <w:rsid w:val="00A77AC4"/>
    <w:rsid w:val="00A80FB1"/>
    <w:rsid w:val="00A832D0"/>
    <w:rsid w:val="00A876B4"/>
    <w:rsid w:val="00A9128F"/>
    <w:rsid w:val="00AA2522"/>
    <w:rsid w:val="00AA2A31"/>
    <w:rsid w:val="00AA4502"/>
    <w:rsid w:val="00AA55B7"/>
    <w:rsid w:val="00AA5B9E"/>
    <w:rsid w:val="00AA7BF4"/>
    <w:rsid w:val="00AB2407"/>
    <w:rsid w:val="00AB3EDB"/>
    <w:rsid w:val="00AB44D1"/>
    <w:rsid w:val="00AB44D7"/>
    <w:rsid w:val="00AB4676"/>
    <w:rsid w:val="00AB53DF"/>
    <w:rsid w:val="00AB5B79"/>
    <w:rsid w:val="00AB6066"/>
    <w:rsid w:val="00AB6BE6"/>
    <w:rsid w:val="00AB76FA"/>
    <w:rsid w:val="00AC06C9"/>
    <w:rsid w:val="00AC1060"/>
    <w:rsid w:val="00AC1ECB"/>
    <w:rsid w:val="00AC3C55"/>
    <w:rsid w:val="00AC40FF"/>
    <w:rsid w:val="00AC4820"/>
    <w:rsid w:val="00AC641F"/>
    <w:rsid w:val="00AC6D0C"/>
    <w:rsid w:val="00AC6D83"/>
    <w:rsid w:val="00AC72F1"/>
    <w:rsid w:val="00AD145F"/>
    <w:rsid w:val="00AD2BDE"/>
    <w:rsid w:val="00AD3C4C"/>
    <w:rsid w:val="00AD3F8C"/>
    <w:rsid w:val="00AE222F"/>
    <w:rsid w:val="00AE22DA"/>
    <w:rsid w:val="00AE2EB6"/>
    <w:rsid w:val="00AE3FEA"/>
    <w:rsid w:val="00AE58AB"/>
    <w:rsid w:val="00AF13A4"/>
    <w:rsid w:val="00AF3073"/>
    <w:rsid w:val="00AF336C"/>
    <w:rsid w:val="00AF5F09"/>
    <w:rsid w:val="00AF72A0"/>
    <w:rsid w:val="00B00B6E"/>
    <w:rsid w:val="00B00E8E"/>
    <w:rsid w:val="00B02FC2"/>
    <w:rsid w:val="00B041F9"/>
    <w:rsid w:val="00B069C9"/>
    <w:rsid w:val="00B07E5C"/>
    <w:rsid w:val="00B10031"/>
    <w:rsid w:val="00B10E7C"/>
    <w:rsid w:val="00B12B89"/>
    <w:rsid w:val="00B1665F"/>
    <w:rsid w:val="00B17035"/>
    <w:rsid w:val="00B20533"/>
    <w:rsid w:val="00B2062B"/>
    <w:rsid w:val="00B2173E"/>
    <w:rsid w:val="00B2193C"/>
    <w:rsid w:val="00B21FB5"/>
    <w:rsid w:val="00B22BBC"/>
    <w:rsid w:val="00B22D49"/>
    <w:rsid w:val="00B22EA5"/>
    <w:rsid w:val="00B24AA5"/>
    <w:rsid w:val="00B24D0B"/>
    <w:rsid w:val="00B30004"/>
    <w:rsid w:val="00B30350"/>
    <w:rsid w:val="00B31D34"/>
    <w:rsid w:val="00B32883"/>
    <w:rsid w:val="00B328D2"/>
    <w:rsid w:val="00B33062"/>
    <w:rsid w:val="00B36E49"/>
    <w:rsid w:val="00B37CC4"/>
    <w:rsid w:val="00B40F7F"/>
    <w:rsid w:val="00B457C3"/>
    <w:rsid w:val="00B46978"/>
    <w:rsid w:val="00B46BC4"/>
    <w:rsid w:val="00B4745D"/>
    <w:rsid w:val="00B474B2"/>
    <w:rsid w:val="00B50F8C"/>
    <w:rsid w:val="00B52CC2"/>
    <w:rsid w:val="00B53419"/>
    <w:rsid w:val="00B5344A"/>
    <w:rsid w:val="00B55847"/>
    <w:rsid w:val="00B55C3D"/>
    <w:rsid w:val="00B571E3"/>
    <w:rsid w:val="00B62170"/>
    <w:rsid w:val="00B6335C"/>
    <w:rsid w:val="00B63682"/>
    <w:rsid w:val="00B63948"/>
    <w:rsid w:val="00B64531"/>
    <w:rsid w:val="00B64701"/>
    <w:rsid w:val="00B647CA"/>
    <w:rsid w:val="00B66771"/>
    <w:rsid w:val="00B66780"/>
    <w:rsid w:val="00B7362A"/>
    <w:rsid w:val="00B7422A"/>
    <w:rsid w:val="00B76137"/>
    <w:rsid w:val="00B768A2"/>
    <w:rsid w:val="00B811F7"/>
    <w:rsid w:val="00B812D8"/>
    <w:rsid w:val="00B82556"/>
    <w:rsid w:val="00B8474B"/>
    <w:rsid w:val="00B84AF7"/>
    <w:rsid w:val="00B878D0"/>
    <w:rsid w:val="00B91DA2"/>
    <w:rsid w:val="00B92E69"/>
    <w:rsid w:val="00B93772"/>
    <w:rsid w:val="00B950BA"/>
    <w:rsid w:val="00B953DA"/>
    <w:rsid w:val="00B95742"/>
    <w:rsid w:val="00B95A79"/>
    <w:rsid w:val="00B9674E"/>
    <w:rsid w:val="00B96E18"/>
    <w:rsid w:val="00BA069A"/>
    <w:rsid w:val="00BA1C2B"/>
    <w:rsid w:val="00BA229D"/>
    <w:rsid w:val="00BA3C0F"/>
    <w:rsid w:val="00BA3DF4"/>
    <w:rsid w:val="00BA5441"/>
    <w:rsid w:val="00BA5DC6"/>
    <w:rsid w:val="00BA6196"/>
    <w:rsid w:val="00BB1378"/>
    <w:rsid w:val="00BB2FEE"/>
    <w:rsid w:val="00BB3969"/>
    <w:rsid w:val="00BB3B5C"/>
    <w:rsid w:val="00BB45F3"/>
    <w:rsid w:val="00BB6B0B"/>
    <w:rsid w:val="00BC1105"/>
    <w:rsid w:val="00BC2337"/>
    <w:rsid w:val="00BC3AFC"/>
    <w:rsid w:val="00BC44B2"/>
    <w:rsid w:val="00BC6CC4"/>
    <w:rsid w:val="00BC6D8C"/>
    <w:rsid w:val="00BD0E36"/>
    <w:rsid w:val="00BD355D"/>
    <w:rsid w:val="00BD5A46"/>
    <w:rsid w:val="00BD6A26"/>
    <w:rsid w:val="00BD6CD9"/>
    <w:rsid w:val="00BD74A1"/>
    <w:rsid w:val="00BE308C"/>
    <w:rsid w:val="00BE49E6"/>
    <w:rsid w:val="00BE66BD"/>
    <w:rsid w:val="00BF1320"/>
    <w:rsid w:val="00BF27B1"/>
    <w:rsid w:val="00BF2E36"/>
    <w:rsid w:val="00BF55D4"/>
    <w:rsid w:val="00BF70B2"/>
    <w:rsid w:val="00C013C7"/>
    <w:rsid w:val="00C018AA"/>
    <w:rsid w:val="00C01C92"/>
    <w:rsid w:val="00C02DEB"/>
    <w:rsid w:val="00C033F5"/>
    <w:rsid w:val="00C05E2D"/>
    <w:rsid w:val="00C0602A"/>
    <w:rsid w:val="00C06976"/>
    <w:rsid w:val="00C111D3"/>
    <w:rsid w:val="00C12597"/>
    <w:rsid w:val="00C125B2"/>
    <w:rsid w:val="00C134C5"/>
    <w:rsid w:val="00C14043"/>
    <w:rsid w:val="00C1408E"/>
    <w:rsid w:val="00C17679"/>
    <w:rsid w:val="00C2213C"/>
    <w:rsid w:val="00C22BE2"/>
    <w:rsid w:val="00C2399F"/>
    <w:rsid w:val="00C246D4"/>
    <w:rsid w:val="00C24A9F"/>
    <w:rsid w:val="00C2520D"/>
    <w:rsid w:val="00C2567E"/>
    <w:rsid w:val="00C25B7F"/>
    <w:rsid w:val="00C306DE"/>
    <w:rsid w:val="00C3187B"/>
    <w:rsid w:val="00C34006"/>
    <w:rsid w:val="00C40DF3"/>
    <w:rsid w:val="00C41C22"/>
    <w:rsid w:val="00C41D6A"/>
    <w:rsid w:val="00C426B1"/>
    <w:rsid w:val="00C434F9"/>
    <w:rsid w:val="00C43915"/>
    <w:rsid w:val="00C4792D"/>
    <w:rsid w:val="00C5558B"/>
    <w:rsid w:val="00C57379"/>
    <w:rsid w:val="00C64F95"/>
    <w:rsid w:val="00C654E0"/>
    <w:rsid w:val="00C66160"/>
    <w:rsid w:val="00C66B9F"/>
    <w:rsid w:val="00C7078B"/>
    <w:rsid w:val="00C721AC"/>
    <w:rsid w:val="00C7266A"/>
    <w:rsid w:val="00C745B5"/>
    <w:rsid w:val="00C75EC8"/>
    <w:rsid w:val="00C762B6"/>
    <w:rsid w:val="00C838CA"/>
    <w:rsid w:val="00C83A89"/>
    <w:rsid w:val="00C85616"/>
    <w:rsid w:val="00C90D6A"/>
    <w:rsid w:val="00C93231"/>
    <w:rsid w:val="00C93BC8"/>
    <w:rsid w:val="00C97FAD"/>
    <w:rsid w:val="00CA1129"/>
    <w:rsid w:val="00CA235C"/>
    <w:rsid w:val="00CA247E"/>
    <w:rsid w:val="00CB64D5"/>
    <w:rsid w:val="00CB6CD4"/>
    <w:rsid w:val="00CB7806"/>
    <w:rsid w:val="00CC1A35"/>
    <w:rsid w:val="00CC56DE"/>
    <w:rsid w:val="00CC5E59"/>
    <w:rsid w:val="00CC5F71"/>
    <w:rsid w:val="00CC6292"/>
    <w:rsid w:val="00CC6C11"/>
    <w:rsid w:val="00CC72B6"/>
    <w:rsid w:val="00CC7A73"/>
    <w:rsid w:val="00CD1EFB"/>
    <w:rsid w:val="00CD2B0B"/>
    <w:rsid w:val="00CD4234"/>
    <w:rsid w:val="00CD4454"/>
    <w:rsid w:val="00CD48C9"/>
    <w:rsid w:val="00CD5F9A"/>
    <w:rsid w:val="00CD68B3"/>
    <w:rsid w:val="00CE266E"/>
    <w:rsid w:val="00CE4BB1"/>
    <w:rsid w:val="00CE5F6B"/>
    <w:rsid w:val="00CE6742"/>
    <w:rsid w:val="00CE68C0"/>
    <w:rsid w:val="00CE7DA8"/>
    <w:rsid w:val="00CF276E"/>
    <w:rsid w:val="00CF5808"/>
    <w:rsid w:val="00CF66EE"/>
    <w:rsid w:val="00CF72CC"/>
    <w:rsid w:val="00D00C61"/>
    <w:rsid w:val="00D011EC"/>
    <w:rsid w:val="00D0218D"/>
    <w:rsid w:val="00D03E4A"/>
    <w:rsid w:val="00D04FDF"/>
    <w:rsid w:val="00D06D5F"/>
    <w:rsid w:val="00D0783D"/>
    <w:rsid w:val="00D13850"/>
    <w:rsid w:val="00D212D4"/>
    <w:rsid w:val="00D216FD"/>
    <w:rsid w:val="00D236EC"/>
    <w:rsid w:val="00D24226"/>
    <w:rsid w:val="00D243F8"/>
    <w:rsid w:val="00D256C0"/>
    <w:rsid w:val="00D25FB5"/>
    <w:rsid w:val="00D30C26"/>
    <w:rsid w:val="00D3498F"/>
    <w:rsid w:val="00D35321"/>
    <w:rsid w:val="00D368DA"/>
    <w:rsid w:val="00D3759D"/>
    <w:rsid w:val="00D42393"/>
    <w:rsid w:val="00D4279F"/>
    <w:rsid w:val="00D434F7"/>
    <w:rsid w:val="00D435A8"/>
    <w:rsid w:val="00D44223"/>
    <w:rsid w:val="00D446B3"/>
    <w:rsid w:val="00D50255"/>
    <w:rsid w:val="00D517CE"/>
    <w:rsid w:val="00D54EC7"/>
    <w:rsid w:val="00D55922"/>
    <w:rsid w:val="00D5653D"/>
    <w:rsid w:val="00D606FB"/>
    <w:rsid w:val="00D60EE4"/>
    <w:rsid w:val="00D635E6"/>
    <w:rsid w:val="00D66418"/>
    <w:rsid w:val="00D672F1"/>
    <w:rsid w:val="00D6774E"/>
    <w:rsid w:val="00D76ABA"/>
    <w:rsid w:val="00D77E2C"/>
    <w:rsid w:val="00D81039"/>
    <w:rsid w:val="00D822A8"/>
    <w:rsid w:val="00D830FD"/>
    <w:rsid w:val="00D83367"/>
    <w:rsid w:val="00D87BF8"/>
    <w:rsid w:val="00D918ED"/>
    <w:rsid w:val="00D923D8"/>
    <w:rsid w:val="00D93C7A"/>
    <w:rsid w:val="00D946DD"/>
    <w:rsid w:val="00D94710"/>
    <w:rsid w:val="00D9478B"/>
    <w:rsid w:val="00D94B18"/>
    <w:rsid w:val="00DA0AA5"/>
    <w:rsid w:val="00DA22DA"/>
    <w:rsid w:val="00DA2529"/>
    <w:rsid w:val="00DA3B9D"/>
    <w:rsid w:val="00DA402D"/>
    <w:rsid w:val="00DA42CA"/>
    <w:rsid w:val="00DB0E82"/>
    <w:rsid w:val="00DB130A"/>
    <w:rsid w:val="00DB2EBB"/>
    <w:rsid w:val="00DB3522"/>
    <w:rsid w:val="00DB7C56"/>
    <w:rsid w:val="00DC105C"/>
    <w:rsid w:val="00DC10A1"/>
    <w:rsid w:val="00DC2FB9"/>
    <w:rsid w:val="00DC4B0F"/>
    <w:rsid w:val="00DC594E"/>
    <w:rsid w:val="00DC60F5"/>
    <w:rsid w:val="00DC655F"/>
    <w:rsid w:val="00DC67D6"/>
    <w:rsid w:val="00DD0B59"/>
    <w:rsid w:val="00DD2B09"/>
    <w:rsid w:val="00DD5715"/>
    <w:rsid w:val="00DD6AB0"/>
    <w:rsid w:val="00DD6EC0"/>
    <w:rsid w:val="00DD79CB"/>
    <w:rsid w:val="00DD7B6C"/>
    <w:rsid w:val="00DD7EBD"/>
    <w:rsid w:val="00DE1748"/>
    <w:rsid w:val="00DE4028"/>
    <w:rsid w:val="00DF21B4"/>
    <w:rsid w:val="00DF3804"/>
    <w:rsid w:val="00DF5182"/>
    <w:rsid w:val="00DF56B0"/>
    <w:rsid w:val="00DF589B"/>
    <w:rsid w:val="00DF62B6"/>
    <w:rsid w:val="00E009AE"/>
    <w:rsid w:val="00E01067"/>
    <w:rsid w:val="00E03D37"/>
    <w:rsid w:val="00E04779"/>
    <w:rsid w:val="00E07225"/>
    <w:rsid w:val="00E1681B"/>
    <w:rsid w:val="00E16B63"/>
    <w:rsid w:val="00E16C92"/>
    <w:rsid w:val="00E1780F"/>
    <w:rsid w:val="00E202DF"/>
    <w:rsid w:val="00E25F1B"/>
    <w:rsid w:val="00E2676C"/>
    <w:rsid w:val="00E306E8"/>
    <w:rsid w:val="00E342D3"/>
    <w:rsid w:val="00E36A19"/>
    <w:rsid w:val="00E36A78"/>
    <w:rsid w:val="00E37DFF"/>
    <w:rsid w:val="00E4059F"/>
    <w:rsid w:val="00E409F3"/>
    <w:rsid w:val="00E41618"/>
    <w:rsid w:val="00E425FA"/>
    <w:rsid w:val="00E44B4D"/>
    <w:rsid w:val="00E500FA"/>
    <w:rsid w:val="00E50DE8"/>
    <w:rsid w:val="00E52A6E"/>
    <w:rsid w:val="00E535BD"/>
    <w:rsid w:val="00E5409F"/>
    <w:rsid w:val="00E6100A"/>
    <w:rsid w:val="00E638C3"/>
    <w:rsid w:val="00E63C9F"/>
    <w:rsid w:val="00E65359"/>
    <w:rsid w:val="00E66B62"/>
    <w:rsid w:val="00E67890"/>
    <w:rsid w:val="00E7009E"/>
    <w:rsid w:val="00E7087B"/>
    <w:rsid w:val="00E70E1C"/>
    <w:rsid w:val="00E711DB"/>
    <w:rsid w:val="00E72940"/>
    <w:rsid w:val="00E72D31"/>
    <w:rsid w:val="00E72E88"/>
    <w:rsid w:val="00E76780"/>
    <w:rsid w:val="00E76F40"/>
    <w:rsid w:val="00E80304"/>
    <w:rsid w:val="00E81752"/>
    <w:rsid w:val="00E81854"/>
    <w:rsid w:val="00E82B1D"/>
    <w:rsid w:val="00E85CEC"/>
    <w:rsid w:val="00E877A0"/>
    <w:rsid w:val="00E90571"/>
    <w:rsid w:val="00E905EC"/>
    <w:rsid w:val="00E90845"/>
    <w:rsid w:val="00E91B99"/>
    <w:rsid w:val="00E93945"/>
    <w:rsid w:val="00E93C97"/>
    <w:rsid w:val="00E94EA6"/>
    <w:rsid w:val="00E9519A"/>
    <w:rsid w:val="00E95DBE"/>
    <w:rsid w:val="00E9643A"/>
    <w:rsid w:val="00E965A7"/>
    <w:rsid w:val="00E97070"/>
    <w:rsid w:val="00EA2CBD"/>
    <w:rsid w:val="00EA3D04"/>
    <w:rsid w:val="00EA4EEA"/>
    <w:rsid w:val="00EB06A3"/>
    <w:rsid w:val="00EB106C"/>
    <w:rsid w:val="00EB1A1D"/>
    <w:rsid w:val="00EB1A62"/>
    <w:rsid w:val="00EB3101"/>
    <w:rsid w:val="00EB4CC0"/>
    <w:rsid w:val="00EC05B4"/>
    <w:rsid w:val="00EC0903"/>
    <w:rsid w:val="00EC277A"/>
    <w:rsid w:val="00EC2AF4"/>
    <w:rsid w:val="00EC35FD"/>
    <w:rsid w:val="00EC5CF1"/>
    <w:rsid w:val="00EC61A0"/>
    <w:rsid w:val="00ED0EE3"/>
    <w:rsid w:val="00ED22E3"/>
    <w:rsid w:val="00ED3583"/>
    <w:rsid w:val="00ED5B91"/>
    <w:rsid w:val="00ED7111"/>
    <w:rsid w:val="00EE11F2"/>
    <w:rsid w:val="00EE3AAD"/>
    <w:rsid w:val="00EE4BD6"/>
    <w:rsid w:val="00EE6488"/>
    <w:rsid w:val="00EE77BF"/>
    <w:rsid w:val="00EE7B4C"/>
    <w:rsid w:val="00EF0E34"/>
    <w:rsid w:val="00EF162C"/>
    <w:rsid w:val="00EF1B86"/>
    <w:rsid w:val="00EF2406"/>
    <w:rsid w:val="00EF5532"/>
    <w:rsid w:val="00EF5EBC"/>
    <w:rsid w:val="00EF7524"/>
    <w:rsid w:val="00F021FA"/>
    <w:rsid w:val="00F0461E"/>
    <w:rsid w:val="00F05552"/>
    <w:rsid w:val="00F06937"/>
    <w:rsid w:val="00F071EE"/>
    <w:rsid w:val="00F0735B"/>
    <w:rsid w:val="00F112BA"/>
    <w:rsid w:val="00F17F3D"/>
    <w:rsid w:val="00F20FFA"/>
    <w:rsid w:val="00F224C2"/>
    <w:rsid w:val="00F22D12"/>
    <w:rsid w:val="00F23911"/>
    <w:rsid w:val="00F24252"/>
    <w:rsid w:val="00F24D01"/>
    <w:rsid w:val="00F25175"/>
    <w:rsid w:val="00F263E1"/>
    <w:rsid w:val="00F26736"/>
    <w:rsid w:val="00F2738D"/>
    <w:rsid w:val="00F30457"/>
    <w:rsid w:val="00F33EE5"/>
    <w:rsid w:val="00F40AB5"/>
    <w:rsid w:val="00F41141"/>
    <w:rsid w:val="00F4156A"/>
    <w:rsid w:val="00F44106"/>
    <w:rsid w:val="00F458BE"/>
    <w:rsid w:val="00F46114"/>
    <w:rsid w:val="00F50495"/>
    <w:rsid w:val="00F55722"/>
    <w:rsid w:val="00F559C3"/>
    <w:rsid w:val="00F57CEB"/>
    <w:rsid w:val="00F57EBD"/>
    <w:rsid w:val="00F626DB"/>
    <w:rsid w:val="00F62E97"/>
    <w:rsid w:val="00F63EEB"/>
    <w:rsid w:val="00F64209"/>
    <w:rsid w:val="00F6715D"/>
    <w:rsid w:val="00F67372"/>
    <w:rsid w:val="00F67A9A"/>
    <w:rsid w:val="00F703FC"/>
    <w:rsid w:val="00F72CF0"/>
    <w:rsid w:val="00F75B50"/>
    <w:rsid w:val="00F76C60"/>
    <w:rsid w:val="00F77387"/>
    <w:rsid w:val="00F7760E"/>
    <w:rsid w:val="00F80ACE"/>
    <w:rsid w:val="00F81172"/>
    <w:rsid w:val="00F816DC"/>
    <w:rsid w:val="00F818F6"/>
    <w:rsid w:val="00F82CF3"/>
    <w:rsid w:val="00F835DC"/>
    <w:rsid w:val="00F855C2"/>
    <w:rsid w:val="00F92033"/>
    <w:rsid w:val="00F9215A"/>
    <w:rsid w:val="00F92A23"/>
    <w:rsid w:val="00F92ACB"/>
    <w:rsid w:val="00F93BF5"/>
    <w:rsid w:val="00F94F89"/>
    <w:rsid w:val="00F951FC"/>
    <w:rsid w:val="00F952B2"/>
    <w:rsid w:val="00F9729E"/>
    <w:rsid w:val="00FA0FB3"/>
    <w:rsid w:val="00FA1264"/>
    <w:rsid w:val="00FA22D8"/>
    <w:rsid w:val="00FA5C0C"/>
    <w:rsid w:val="00FA6C4E"/>
    <w:rsid w:val="00FA7EEE"/>
    <w:rsid w:val="00FB04C7"/>
    <w:rsid w:val="00FB4DE0"/>
    <w:rsid w:val="00FB6C80"/>
    <w:rsid w:val="00FC11E3"/>
    <w:rsid w:val="00FC2656"/>
    <w:rsid w:val="00FC3E29"/>
    <w:rsid w:val="00FD1057"/>
    <w:rsid w:val="00FD5257"/>
    <w:rsid w:val="00FD68AC"/>
    <w:rsid w:val="00FD6F59"/>
    <w:rsid w:val="00FD7C6E"/>
    <w:rsid w:val="00FE1136"/>
    <w:rsid w:val="00FE2C04"/>
    <w:rsid w:val="00FE2D2C"/>
    <w:rsid w:val="00FE2FCD"/>
    <w:rsid w:val="00FE3EF5"/>
    <w:rsid w:val="00FE5763"/>
    <w:rsid w:val="00FE7175"/>
    <w:rsid w:val="00FF1D72"/>
    <w:rsid w:val="00FF2C83"/>
    <w:rsid w:val="00FF5BF9"/>
    <w:rsid w:val="00FF62FF"/>
    <w:rsid w:val="00FF654D"/>
    <w:rsid w:val="00FF6CE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EC"/>
    <w:pPr>
      <w:widowControl w:val="0"/>
    </w:pPr>
    <w:rPr>
      <w:snapToGrid w:val="0"/>
      <w:kern w:val="28"/>
      <w:sz w:val="22"/>
    </w:rPr>
  </w:style>
  <w:style w:type="paragraph" w:styleId="Heading1">
    <w:name w:val="heading 1"/>
    <w:basedOn w:val="Normal"/>
    <w:next w:val="ParaNum"/>
    <w:link w:val="Heading1Char"/>
    <w:qFormat/>
    <w:rsid w:val="00D011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11EC"/>
    <w:pPr>
      <w:keepNext/>
      <w:numPr>
        <w:ilvl w:val="1"/>
        <w:numId w:val="3"/>
      </w:numPr>
      <w:spacing w:after="120"/>
      <w:outlineLvl w:val="1"/>
    </w:pPr>
    <w:rPr>
      <w:b/>
    </w:rPr>
  </w:style>
  <w:style w:type="paragraph" w:styleId="Heading3">
    <w:name w:val="heading 3"/>
    <w:basedOn w:val="Normal"/>
    <w:next w:val="ParaNum"/>
    <w:qFormat/>
    <w:rsid w:val="00D011EC"/>
    <w:pPr>
      <w:keepNext/>
      <w:numPr>
        <w:ilvl w:val="2"/>
        <w:numId w:val="3"/>
      </w:numPr>
      <w:tabs>
        <w:tab w:val="left" w:pos="2160"/>
      </w:tabs>
      <w:spacing w:after="120"/>
      <w:outlineLvl w:val="2"/>
    </w:pPr>
    <w:rPr>
      <w:b/>
    </w:rPr>
  </w:style>
  <w:style w:type="paragraph" w:styleId="Heading4">
    <w:name w:val="heading 4"/>
    <w:basedOn w:val="Normal"/>
    <w:next w:val="ParaNum"/>
    <w:qFormat/>
    <w:rsid w:val="00D011EC"/>
    <w:pPr>
      <w:keepNext/>
      <w:numPr>
        <w:ilvl w:val="3"/>
        <w:numId w:val="3"/>
      </w:numPr>
      <w:tabs>
        <w:tab w:val="left" w:pos="2880"/>
      </w:tabs>
      <w:spacing w:after="120"/>
      <w:outlineLvl w:val="3"/>
    </w:pPr>
    <w:rPr>
      <w:b/>
    </w:rPr>
  </w:style>
  <w:style w:type="paragraph" w:styleId="Heading5">
    <w:name w:val="heading 5"/>
    <w:basedOn w:val="Normal"/>
    <w:next w:val="ParaNum"/>
    <w:qFormat/>
    <w:rsid w:val="00D011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11EC"/>
    <w:pPr>
      <w:numPr>
        <w:ilvl w:val="5"/>
        <w:numId w:val="3"/>
      </w:numPr>
      <w:tabs>
        <w:tab w:val="left" w:pos="4320"/>
      </w:tabs>
      <w:spacing w:after="120"/>
      <w:outlineLvl w:val="5"/>
    </w:pPr>
    <w:rPr>
      <w:b/>
    </w:rPr>
  </w:style>
  <w:style w:type="paragraph" w:styleId="Heading7">
    <w:name w:val="heading 7"/>
    <w:basedOn w:val="Normal"/>
    <w:next w:val="ParaNum"/>
    <w:qFormat/>
    <w:rsid w:val="00D011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11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11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11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1EC"/>
  </w:style>
  <w:style w:type="paragraph" w:customStyle="1" w:styleId="ParaNum">
    <w:name w:val="ParaNum"/>
    <w:basedOn w:val="Normal"/>
    <w:link w:val="ParaNumChar"/>
    <w:rsid w:val="00D011EC"/>
    <w:pPr>
      <w:numPr>
        <w:numId w:val="2"/>
      </w:numPr>
      <w:tabs>
        <w:tab w:val="clear" w:pos="1080"/>
        <w:tab w:val="num" w:pos="1440"/>
      </w:tabs>
      <w:spacing w:after="120"/>
    </w:pPr>
  </w:style>
  <w:style w:type="paragraph" w:styleId="EndnoteText">
    <w:name w:val="endnote text"/>
    <w:basedOn w:val="Normal"/>
    <w:semiHidden/>
    <w:rsid w:val="00D011EC"/>
    <w:rPr>
      <w:sz w:val="20"/>
    </w:rPr>
  </w:style>
  <w:style w:type="character" w:styleId="EndnoteReference">
    <w:name w:val="endnote reference"/>
    <w:semiHidden/>
    <w:rsid w:val="00D011EC"/>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D011EC"/>
    <w:pPr>
      <w:spacing w:after="120"/>
    </w:pPr>
  </w:style>
  <w:style w:type="character" w:styleId="FootnoteReference">
    <w:name w:val="footnote reference"/>
    <w:aliases w:val="Style 12,(NECG) Footnote Reference,Appel note de bas de p,Style 124,Style 4,fr,o,Style 13,Style 3,Footnote Reference1,FR,Style 17,Style 6,Footnote Reference/"/>
    <w:rsid w:val="00D011EC"/>
    <w:rPr>
      <w:rFonts w:ascii="Times New Roman" w:hAnsi="Times New Roman"/>
      <w:dstrike w:val="0"/>
      <w:color w:val="auto"/>
      <w:sz w:val="20"/>
      <w:vertAlign w:val="superscript"/>
    </w:rPr>
  </w:style>
  <w:style w:type="paragraph" w:styleId="TOC1">
    <w:name w:val="toc 1"/>
    <w:basedOn w:val="Normal"/>
    <w:next w:val="Normal"/>
    <w:semiHidden/>
    <w:rsid w:val="00D011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11EC"/>
    <w:pPr>
      <w:tabs>
        <w:tab w:val="left" w:pos="720"/>
        <w:tab w:val="right" w:leader="dot" w:pos="9360"/>
      </w:tabs>
      <w:suppressAutoHyphens/>
      <w:ind w:left="720" w:right="720" w:hanging="360"/>
    </w:pPr>
    <w:rPr>
      <w:noProof/>
    </w:rPr>
  </w:style>
  <w:style w:type="paragraph" w:styleId="TOC3">
    <w:name w:val="toc 3"/>
    <w:basedOn w:val="Normal"/>
    <w:next w:val="Normal"/>
    <w:semiHidden/>
    <w:rsid w:val="00D011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11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11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11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11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11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11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11EC"/>
    <w:pPr>
      <w:tabs>
        <w:tab w:val="right" w:pos="9360"/>
      </w:tabs>
      <w:suppressAutoHyphens/>
    </w:pPr>
  </w:style>
  <w:style w:type="character" w:customStyle="1" w:styleId="EquationCaption">
    <w:name w:val="_Equation Caption"/>
    <w:rsid w:val="00D011EC"/>
  </w:style>
  <w:style w:type="paragraph" w:styleId="Header">
    <w:name w:val="header"/>
    <w:basedOn w:val="Normal"/>
    <w:autoRedefine/>
    <w:rsid w:val="00D011EC"/>
    <w:pPr>
      <w:tabs>
        <w:tab w:val="center" w:pos="4680"/>
        <w:tab w:val="right" w:pos="9360"/>
      </w:tabs>
    </w:pPr>
    <w:rPr>
      <w:b/>
    </w:rPr>
  </w:style>
  <w:style w:type="paragraph" w:styleId="Footer">
    <w:name w:val="footer"/>
    <w:basedOn w:val="Normal"/>
    <w:rsid w:val="00D011EC"/>
    <w:pPr>
      <w:tabs>
        <w:tab w:val="center" w:pos="4320"/>
        <w:tab w:val="right" w:pos="8640"/>
      </w:tabs>
    </w:pPr>
  </w:style>
  <w:style w:type="character" w:styleId="PageNumber">
    <w:name w:val="page number"/>
    <w:basedOn w:val="DefaultParagraphFont"/>
    <w:rsid w:val="00D011EC"/>
  </w:style>
  <w:style w:type="paragraph" w:styleId="BlockText">
    <w:name w:val="Block Text"/>
    <w:basedOn w:val="Normal"/>
    <w:rsid w:val="00D011EC"/>
    <w:pPr>
      <w:spacing w:after="240"/>
      <w:ind w:left="1440" w:right="1440"/>
    </w:pPr>
  </w:style>
  <w:style w:type="paragraph" w:customStyle="1" w:styleId="Paratitle">
    <w:name w:val="Para title"/>
    <w:basedOn w:val="Normal"/>
    <w:rsid w:val="00D011EC"/>
    <w:pPr>
      <w:tabs>
        <w:tab w:val="center" w:pos="9270"/>
      </w:tabs>
      <w:spacing w:after="240"/>
    </w:pPr>
    <w:rPr>
      <w:spacing w:val="-2"/>
    </w:rPr>
  </w:style>
  <w:style w:type="paragraph" w:customStyle="1" w:styleId="Bullet">
    <w:name w:val="Bullet"/>
    <w:basedOn w:val="Normal"/>
    <w:rsid w:val="00D011EC"/>
    <w:pPr>
      <w:tabs>
        <w:tab w:val="left" w:pos="2160"/>
      </w:tabs>
      <w:spacing w:after="220"/>
      <w:ind w:left="2160" w:hanging="720"/>
    </w:pPr>
  </w:style>
  <w:style w:type="paragraph" w:customStyle="1" w:styleId="TableFormat">
    <w:name w:val="TableFormat"/>
    <w:basedOn w:val="Bullet"/>
    <w:rsid w:val="00D011EC"/>
    <w:pPr>
      <w:tabs>
        <w:tab w:val="clear" w:pos="2160"/>
        <w:tab w:val="left" w:pos="5040"/>
      </w:tabs>
      <w:ind w:left="5040" w:hanging="3600"/>
    </w:pPr>
  </w:style>
  <w:style w:type="paragraph" w:customStyle="1" w:styleId="TOCTitle">
    <w:name w:val="TOC Title"/>
    <w:basedOn w:val="Normal"/>
    <w:rsid w:val="00D011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11EC"/>
    <w:pPr>
      <w:jc w:val="center"/>
    </w:pPr>
    <w:rPr>
      <w:rFonts w:ascii="Times New Roman Bold" w:hAnsi="Times New Roman Bold"/>
      <w:b/>
      <w:bCs/>
      <w:caps/>
      <w:szCs w:val="22"/>
    </w:rPr>
  </w:style>
  <w:style w:type="character" w:styleId="Hyperlink">
    <w:name w:val="Hyperlink"/>
    <w:rsid w:val="00D011EC"/>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C1408E"/>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1EC"/>
    <w:pPr>
      <w:widowControl w:val="0"/>
    </w:pPr>
    <w:rPr>
      <w:snapToGrid w:val="0"/>
      <w:kern w:val="28"/>
      <w:sz w:val="22"/>
    </w:rPr>
  </w:style>
  <w:style w:type="paragraph" w:styleId="Heading1">
    <w:name w:val="heading 1"/>
    <w:basedOn w:val="Normal"/>
    <w:next w:val="ParaNum"/>
    <w:link w:val="Heading1Char"/>
    <w:qFormat/>
    <w:rsid w:val="00D011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11EC"/>
    <w:pPr>
      <w:keepNext/>
      <w:numPr>
        <w:ilvl w:val="1"/>
        <w:numId w:val="3"/>
      </w:numPr>
      <w:spacing w:after="120"/>
      <w:outlineLvl w:val="1"/>
    </w:pPr>
    <w:rPr>
      <w:b/>
    </w:rPr>
  </w:style>
  <w:style w:type="paragraph" w:styleId="Heading3">
    <w:name w:val="heading 3"/>
    <w:basedOn w:val="Normal"/>
    <w:next w:val="ParaNum"/>
    <w:qFormat/>
    <w:rsid w:val="00D011EC"/>
    <w:pPr>
      <w:keepNext/>
      <w:numPr>
        <w:ilvl w:val="2"/>
        <w:numId w:val="3"/>
      </w:numPr>
      <w:tabs>
        <w:tab w:val="left" w:pos="2160"/>
      </w:tabs>
      <w:spacing w:after="120"/>
      <w:outlineLvl w:val="2"/>
    </w:pPr>
    <w:rPr>
      <w:b/>
    </w:rPr>
  </w:style>
  <w:style w:type="paragraph" w:styleId="Heading4">
    <w:name w:val="heading 4"/>
    <w:basedOn w:val="Normal"/>
    <w:next w:val="ParaNum"/>
    <w:qFormat/>
    <w:rsid w:val="00D011EC"/>
    <w:pPr>
      <w:keepNext/>
      <w:numPr>
        <w:ilvl w:val="3"/>
        <w:numId w:val="3"/>
      </w:numPr>
      <w:tabs>
        <w:tab w:val="left" w:pos="2880"/>
      </w:tabs>
      <w:spacing w:after="120"/>
      <w:outlineLvl w:val="3"/>
    </w:pPr>
    <w:rPr>
      <w:b/>
    </w:rPr>
  </w:style>
  <w:style w:type="paragraph" w:styleId="Heading5">
    <w:name w:val="heading 5"/>
    <w:basedOn w:val="Normal"/>
    <w:next w:val="ParaNum"/>
    <w:qFormat/>
    <w:rsid w:val="00D011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11EC"/>
    <w:pPr>
      <w:numPr>
        <w:ilvl w:val="5"/>
        <w:numId w:val="3"/>
      </w:numPr>
      <w:tabs>
        <w:tab w:val="left" w:pos="4320"/>
      </w:tabs>
      <w:spacing w:after="120"/>
      <w:outlineLvl w:val="5"/>
    </w:pPr>
    <w:rPr>
      <w:b/>
    </w:rPr>
  </w:style>
  <w:style w:type="paragraph" w:styleId="Heading7">
    <w:name w:val="heading 7"/>
    <w:basedOn w:val="Normal"/>
    <w:next w:val="ParaNum"/>
    <w:qFormat/>
    <w:rsid w:val="00D011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11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11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11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1EC"/>
  </w:style>
  <w:style w:type="paragraph" w:customStyle="1" w:styleId="ParaNum">
    <w:name w:val="ParaNum"/>
    <w:basedOn w:val="Normal"/>
    <w:link w:val="ParaNumChar"/>
    <w:rsid w:val="00D011EC"/>
    <w:pPr>
      <w:numPr>
        <w:numId w:val="2"/>
      </w:numPr>
      <w:tabs>
        <w:tab w:val="clear" w:pos="1080"/>
        <w:tab w:val="num" w:pos="1440"/>
      </w:tabs>
      <w:spacing w:after="120"/>
    </w:pPr>
  </w:style>
  <w:style w:type="paragraph" w:styleId="EndnoteText">
    <w:name w:val="endnote text"/>
    <w:basedOn w:val="Normal"/>
    <w:semiHidden/>
    <w:rsid w:val="00D011EC"/>
    <w:rPr>
      <w:sz w:val="20"/>
    </w:rPr>
  </w:style>
  <w:style w:type="character" w:styleId="EndnoteReference">
    <w:name w:val="endnote reference"/>
    <w:semiHidden/>
    <w:rsid w:val="00D011EC"/>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D011EC"/>
    <w:pPr>
      <w:spacing w:after="120"/>
    </w:pPr>
  </w:style>
  <w:style w:type="character" w:styleId="FootnoteReference">
    <w:name w:val="footnote reference"/>
    <w:aliases w:val="Style 12,(NECG) Footnote Reference,Appel note de bas de p,Style 124,Style 4,fr,o,Style 13,Style 3,Footnote Reference1,FR,Style 17,Style 6,Footnote Reference/"/>
    <w:rsid w:val="00D011EC"/>
    <w:rPr>
      <w:rFonts w:ascii="Times New Roman" w:hAnsi="Times New Roman"/>
      <w:dstrike w:val="0"/>
      <w:color w:val="auto"/>
      <w:sz w:val="20"/>
      <w:vertAlign w:val="superscript"/>
    </w:rPr>
  </w:style>
  <w:style w:type="paragraph" w:styleId="TOC1">
    <w:name w:val="toc 1"/>
    <w:basedOn w:val="Normal"/>
    <w:next w:val="Normal"/>
    <w:semiHidden/>
    <w:rsid w:val="00D011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11EC"/>
    <w:pPr>
      <w:tabs>
        <w:tab w:val="left" w:pos="720"/>
        <w:tab w:val="right" w:leader="dot" w:pos="9360"/>
      </w:tabs>
      <w:suppressAutoHyphens/>
      <w:ind w:left="720" w:right="720" w:hanging="360"/>
    </w:pPr>
    <w:rPr>
      <w:noProof/>
    </w:rPr>
  </w:style>
  <w:style w:type="paragraph" w:styleId="TOC3">
    <w:name w:val="toc 3"/>
    <w:basedOn w:val="Normal"/>
    <w:next w:val="Normal"/>
    <w:semiHidden/>
    <w:rsid w:val="00D011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11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11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11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11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11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11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11EC"/>
    <w:pPr>
      <w:tabs>
        <w:tab w:val="right" w:pos="9360"/>
      </w:tabs>
      <w:suppressAutoHyphens/>
    </w:pPr>
  </w:style>
  <w:style w:type="character" w:customStyle="1" w:styleId="EquationCaption">
    <w:name w:val="_Equation Caption"/>
    <w:rsid w:val="00D011EC"/>
  </w:style>
  <w:style w:type="paragraph" w:styleId="Header">
    <w:name w:val="header"/>
    <w:basedOn w:val="Normal"/>
    <w:autoRedefine/>
    <w:rsid w:val="00D011EC"/>
    <w:pPr>
      <w:tabs>
        <w:tab w:val="center" w:pos="4680"/>
        <w:tab w:val="right" w:pos="9360"/>
      </w:tabs>
    </w:pPr>
    <w:rPr>
      <w:b/>
    </w:rPr>
  </w:style>
  <w:style w:type="paragraph" w:styleId="Footer">
    <w:name w:val="footer"/>
    <w:basedOn w:val="Normal"/>
    <w:rsid w:val="00D011EC"/>
    <w:pPr>
      <w:tabs>
        <w:tab w:val="center" w:pos="4320"/>
        <w:tab w:val="right" w:pos="8640"/>
      </w:tabs>
    </w:pPr>
  </w:style>
  <w:style w:type="character" w:styleId="PageNumber">
    <w:name w:val="page number"/>
    <w:basedOn w:val="DefaultParagraphFont"/>
    <w:rsid w:val="00D011EC"/>
  </w:style>
  <w:style w:type="paragraph" w:styleId="BlockText">
    <w:name w:val="Block Text"/>
    <w:basedOn w:val="Normal"/>
    <w:rsid w:val="00D011EC"/>
    <w:pPr>
      <w:spacing w:after="240"/>
      <w:ind w:left="1440" w:right="1440"/>
    </w:pPr>
  </w:style>
  <w:style w:type="paragraph" w:customStyle="1" w:styleId="Paratitle">
    <w:name w:val="Para title"/>
    <w:basedOn w:val="Normal"/>
    <w:rsid w:val="00D011EC"/>
    <w:pPr>
      <w:tabs>
        <w:tab w:val="center" w:pos="9270"/>
      </w:tabs>
      <w:spacing w:after="240"/>
    </w:pPr>
    <w:rPr>
      <w:spacing w:val="-2"/>
    </w:rPr>
  </w:style>
  <w:style w:type="paragraph" w:customStyle="1" w:styleId="Bullet">
    <w:name w:val="Bullet"/>
    <w:basedOn w:val="Normal"/>
    <w:rsid w:val="00D011EC"/>
    <w:pPr>
      <w:tabs>
        <w:tab w:val="left" w:pos="2160"/>
      </w:tabs>
      <w:spacing w:after="220"/>
      <w:ind w:left="2160" w:hanging="720"/>
    </w:pPr>
  </w:style>
  <w:style w:type="paragraph" w:customStyle="1" w:styleId="TableFormat">
    <w:name w:val="TableFormat"/>
    <w:basedOn w:val="Bullet"/>
    <w:rsid w:val="00D011EC"/>
    <w:pPr>
      <w:tabs>
        <w:tab w:val="clear" w:pos="2160"/>
        <w:tab w:val="left" w:pos="5040"/>
      </w:tabs>
      <w:ind w:left="5040" w:hanging="3600"/>
    </w:pPr>
  </w:style>
  <w:style w:type="paragraph" w:customStyle="1" w:styleId="TOCTitle">
    <w:name w:val="TOC Title"/>
    <w:basedOn w:val="Normal"/>
    <w:rsid w:val="00D011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11EC"/>
    <w:pPr>
      <w:jc w:val="center"/>
    </w:pPr>
    <w:rPr>
      <w:rFonts w:ascii="Times New Roman Bold" w:hAnsi="Times New Roman Bold"/>
      <w:b/>
      <w:bCs/>
      <w:caps/>
      <w:szCs w:val="22"/>
    </w:rPr>
  </w:style>
  <w:style w:type="character" w:styleId="Hyperlink">
    <w:name w:val="Hyperlink"/>
    <w:rsid w:val="00D011EC"/>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C1408E"/>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916">
      <w:bodyDiv w:val="1"/>
      <w:marLeft w:val="0"/>
      <w:marRight w:val="0"/>
      <w:marTop w:val="0"/>
      <w:marBottom w:val="0"/>
      <w:divBdr>
        <w:top w:val="none" w:sz="0" w:space="0" w:color="auto"/>
        <w:left w:val="none" w:sz="0" w:space="0" w:color="auto"/>
        <w:bottom w:val="none" w:sz="0" w:space="0" w:color="auto"/>
        <w:right w:val="none" w:sz="0" w:space="0" w:color="auto"/>
      </w:divBdr>
    </w:div>
    <w:div w:id="545525449">
      <w:bodyDiv w:val="1"/>
      <w:marLeft w:val="30"/>
      <w:marRight w:val="30"/>
      <w:marTop w:val="30"/>
      <w:marBottom w:val="30"/>
      <w:divBdr>
        <w:top w:val="none" w:sz="0" w:space="0" w:color="auto"/>
        <w:left w:val="none" w:sz="0" w:space="0" w:color="auto"/>
        <w:bottom w:val="none" w:sz="0" w:space="0" w:color="auto"/>
        <w:right w:val="none" w:sz="0" w:space="0" w:color="auto"/>
      </w:divBdr>
      <w:divsChild>
        <w:div w:id="788284695">
          <w:marLeft w:val="0"/>
          <w:marRight w:val="0"/>
          <w:marTop w:val="0"/>
          <w:marBottom w:val="0"/>
          <w:divBdr>
            <w:top w:val="none" w:sz="0" w:space="0" w:color="auto"/>
            <w:left w:val="none" w:sz="0" w:space="0" w:color="auto"/>
            <w:bottom w:val="none" w:sz="0" w:space="0" w:color="auto"/>
            <w:right w:val="none" w:sz="0" w:space="0" w:color="auto"/>
          </w:divBdr>
          <w:divsChild>
            <w:div w:id="167444745">
              <w:marLeft w:val="45"/>
              <w:marRight w:val="45"/>
              <w:marTop w:val="45"/>
              <w:marBottom w:val="45"/>
              <w:divBdr>
                <w:top w:val="none" w:sz="0" w:space="0" w:color="auto"/>
                <w:left w:val="none" w:sz="0" w:space="0" w:color="auto"/>
                <w:bottom w:val="none" w:sz="0" w:space="0" w:color="auto"/>
                <w:right w:val="none" w:sz="0" w:space="0" w:color="auto"/>
              </w:divBdr>
              <w:divsChild>
                <w:div w:id="20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326">
      <w:bodyDiv w:val="1"/>
      <w:marLeft w:val="0"/>
      <w:marRight w:val="0"/>
      <w:marTop w:val="0"/>
      <w:marBottom w:val="0"/>
      <w:divBdr>
        <w:top w:val="none" w:sz="0" w:space="0" w:color="auto"/>
        <w:left w:val="none" w:sz="0" w:space="0" w:color="auto"/>
        <w:bottom w:val="none" w:sz="0" w:space="0" w:color="auto"/>
        <w:right w:val="none" w:sz="0" w:space="0" w:color="auto"/>
      </w:divBdr>
    </w:div>
    <w:div w:id="921060314">
      <w:bodyDiv w:val="1"/>
      <w:marLeft w:val="30"/>
      <w:marRight w:val="30"/>
      <w:marTop w:val="30"/>
      <w:marBottom w:val="30"/>
      <w:divBdr>
        <w:top w:val="none" w:sz="0" w:space="0" w:color="auto"/>
        <w:left w:val="none" w:sz="0" w:space="0" w:color="auto"/>
        <w:bottom w:val="none" w:sz="0" w:space="0" w:color="auto"/>
        <w:right w:val="none" w:sz="0" w:space="0" w:color="auto"/>
      </w:divBdr>
      <w:divsChild>
        <w:div w:id="1141384366">
          <w:marLeft w:val="0"/>
          <w:marRight w:val="0"/>
          <w:marTop w:val="0"/>
          <w:marBottom w:val="0"/>
          <w:divBdr>
            <w:top w:val="none" w:sz="0" w:space="0" w:color="auto"/>
            <w:left w:val="none" w:sz="0" w:space="0" w:color="auto"/>
            <w:bottom w:val="none" w:sz="0" w:space="0" w:color="auto"/>
            <w:right w:val="none" w:sz="0" w:space="0" w:color="auto"/>
          </w:divBdr>
          <w:divsChild>
            <w:div w:id="1613510742">
              <w:marLeft w:val="45"/>
              <w:marRight w:val="45"/>
              <w:marTop w:val="45"/>
              <w:marBottom w:val="45"/>
              <w:divBdr>
                <w:top w:val="none" w:sz="0" w:space="0" w:color="auto"/>
                <w:left w:val="none" w:sz="0" w:space="0" w:color="auto"/>
                <w:bottom w:val="none" w:sz="0" w:space="0" w:color="auto"/>
                <w:right w:val="none" w:sz="0" w:space="0" w:color="auto"/>
              </w:divBdr>
              <w:divsChild>
                <w:div w:id="852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1585">
      <w:bodyDiv w:val="1"/>
      <w:marLeft w:val="0"/>
      <w:marRight w:val="0"/>
      <w:marTop w:val="0"/>
      <w:marBottom w:val="0"/>
      <w:divBdr>
        <w:top w:val="none" w:sz="0" w:space="0" w:color="auto"/>
        <w:left w:val="none" w:sz="0" w:space="0" w:color="auto"/>
        <w:bottom w:val="none" w:sz="0" w:space="0" w:color="auto"/>
        <w:right w:val="none" w:sz="0" w:space="0" w:color="auto"/>
      </w:divBdr>
    </w:div>
    <w:div w:id="1233273958">
      <w:bodyDiv w:val="1"/>
      <w:marLeft w:val="30"/>
      <w:marRight w:val="30"/>
      <w:marTop w:val="30"/>
      <w:marBottom w:val="30"/>
      <w:divBdr>
        <w:top w:val="none" w:sz="0" w:space="0" w:color="auto"/>
        <w:left w:val="none" w:sz="0" w:space="0" w:color="auto"/>
        <w:bottom w:val="none" w:sz="0" w:space="0" w:color="auto"/>
        <w:right w:val="none" w:sz="0" w:space="0" w:color="auto"/>
      </w:divBdr>
      <w:divsChild>
        <w:div w:id="363795142">
          <w:marLeft w:val="0"/>
          <w:marRight w:val="0"/>
          <w:marTop w:val="0"/>
          <w:marBottom w:val="0"/>
          <w:divBdr>
            <w:top w:val="none" w:sz="0" w:space="0" w:color="auto"/>
            <w:left w:val="none" w:sz="0" w:space="0" w:color="auto"/>
            <w:bottom w:val="none" w:sz="0" w:space="0" w:color="auto"/>
            <w:right w:val="none" w:sz="0" w:space="0" w:color="auto"/>
          </w:divBdr>
          <w:divsChild>
            <w:div w:id="1142768372">
              <w:marLeft w:val="45"/>
              <w:marRight w:val="45"/>
              <w:marTop w:val="45"/>
              <w:marBottom w:val="45"/>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2834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2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984708">
      <w:bodyDiv w:val="1"/>
      <w:marLeft w:val="30"/>
      <w:marRight w:val="30"/>
      <w:marTop w:val="30"/>
      <w:marBottom w:val="30"/>
      <w:divBdr>
        <w:top w:val="none" w:sz="0" w:space="0" w:color="auto"/>
        <w:left w:val="none" w:sz="0" w:space="0" w:color="auto"/>
        <w:bottom w:val="none" w:sz="0" w:space="0" w:color="auto"/>
        <w:right w:val="none" w:sz="0" w:space="0" w:color="auto"/>
      </w:divBdr>
      <w:divsChild>
        <w:div w:id="196360408">
          <w:marLeft w:val="0"/>
          <w:marRight w:val="0"/>
          <w:marTop w:val="0"/>
          <w:marBottom w:val="0"/>
          <w:divBdr>
            <w:top w:val="none" w:sz="0" w:space="0" w:color="auto"/>
            <w:left w:val="none" w:sz="0" w:space="0" w:color="auto"/>
            <w:bottom w:val="none" w:sz="0" w:space="0" w:color="auto"/>
            <w:right w:val="none" w:sz="0" w:space="0" w:color="auto"/>
          </w:divBdr>
          <w:divsChild>
            <w:div w:id="102462722">
              <w:marLeft w:val="45"/>
              <w:marRight w:val="45"/>
              <w:marTop w:val="45"/>
              <w:marBottom w:val="45"/>
              <w:divBdr>
                <w:top w:val="none" w:sz="0" w:space="0" w:color="auto"/>
                <w:left w:val="none" w:sz="0" w:space="0" w:color="auto"/>
                <w:bottom w:val="none" w:sz="0" w:space="0" w:color="auto"/>
                <w:right w:val="none" w:sz="0" w:space="0" w:color="auto"/>
              </w:divBdr>
              <w:divsChild>
                <w:div w:id="1438255191">
                  <w:marLeft w:val="0"/>
                  <w:marRight w:val="0"/>
                  <w:marTop w:val="0"/>
                  <w:marBottom w:val="0"/>
                  <w:divBdr>
                    <w:top w:val="none" w:sz="0" w:space="0" w:color="auto"/>
                    <w:left w:val="none" w:sz="0" w:space="0" w:color="auto"/>
                    <w:bottom w:val="none" w:sz="0" w:space="0" w:color="auto"/>
                    <w:right w:val="none" w:sz="0" w:space="0" w:color="auto"/>
                  </w:divBdr>
                  <w:divsChild>
                    <w:div w:id="56815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389032">
      <w:bodyDiv w:val="1"/>
      <w:marLeft w:val="0"/>
      <w:marRight w:val="0"/>
      <w:marTop w:val="0"/>
      <w:marBottom w:val="0"/>
      <w:divBdr>
        <w:top w:val="none" w:sz="0" w:space="0" w:color="auto"/>
        <w:left w:val="none" w:sz="0" w:space="0" w:color="auto"/>
        <w:bottom w:val="none" w:sz="0" w:space="0" w:color="auto"/>
        <w:right w:val="none" w:sz="0" w:space="0" w:color="auto"/>
      </w:divBdr>
    </w:div>
    <w:div w:id="1452438639">
      <w:bodyDiv w:val="1"/>
      <w:marLeft w:val="30"/>
      <w:marRight w:val="30"/>
      <w:marTop w:val="30"/>
      <w:marBottom w:val="30"/>
      <w:divBdr>
        <w:top w:val="none" w:sz="0" w:space="0" w:color="auto"/>
        <w:left w:val="none" w:sz="0" w:space="0" w:color="auto"/>
        <w:bottom w:val="none" w:sz="0" w:space="0" w:color="auto"/>
        <w:right w:val="none" w:sz="0" w:space="0" w:color="auto"/>
      </w:divBdr>
      <w:divsChild>
        <w:div w:id="81031492">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45"/>
              <w:marRight w:val="45"/>
              <w:marTop w:val="45"/>
              <w:marBottom w:val="45"/>
              <w:divBdr>
                <w:top w:val="none" w:sz="0" w:space="0" w:color="auto"/>
                <w:left w:val="none" w:sz="0" w:space="0" w:color="auto"/>
                <w:bottom w:val="none" w:sz="0" w:space="0" w:color="auto"/>
                <w:right w:val="none" w:sz="0" w:space="0" w:color="auto"/>
              </w:divBdr>
              <w:divsChild>
                <w:div w:id="1940023415">
                  <w:marLeft w:val="0"/>
                  <w:marRight w:val="0"/>
                  <w:marTop w:val="0"/>
                  <w:marBottom w:val="0"/>
                  <w:divBdr>
                    <w:top w:val="none" w:sz="0" w:space="0" w:color="auto"/>
                    <w:left w:val="none" w:sz="0" w:space="0" w:color="auto"/>
                    <w:bottom w:val="none" w:sz="0" w:space="0" w:color="auto"/>
                    <w:right w:val="none" w:sz="0" w:space="0" w:color="auto"/>
                  </w:divBdr>
                  <w:divsChild>
                    <w:div w:id="11223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8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7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4712466">
      <w:bodyDiv w:val="1"/>
      <w:marLeft w:val="30"/>
      <w:marRight w:val="30"/>
      <w:marTop w:val="30"/>
      <w:marBottom w:val="30"/>
      <w:divBdr>
        <w:top w:val="none" w:sz="0" w:space="0" w:color="auto"/>
        <w:left w:val="none" w:sz="0" w:space="0" w:color="auto"/>
        <w:bottom w:val="none" w:sz="0" w:space="0" w:color="auto"/>
        <w:right w:val="none" w:sz="0" w:space="0" w:color="auto"/>
      </w:divBdr>
      <w:divsChild>
        <w:div w:id="1633248485">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45"/>
              <w:marRight w:val="45"/>
              <w:marTop w:val="45"/>
              <w:marBottom w:val="45"/>
              <w:divBdr>
                <w:top w:val="none" w:sz="0" w:space="0" w:color="auto"/>
                <w:left w:val="none" w:sz="0" w:space="0" w:color="auto"/>
                <w:bottom w:val="none" w:sz="0" w:space="0" w:color="auto"/>
                <w:right w:val="none" w:sz="0" w:space="0" w:color="auto"/>
              </w:divBdr>
              <w:divsChild>
                <w:div w:id="1676346103">
                  <w:marLeft w:val="0"/>
                  <w:marRight w:val="0"/>
                  <w:marTop w:val="0"/>
                  <w:marBottom w:val="0"/>
                  <w:divBdr>
                    <w:top w:val="none" w:sz="0" w:space="0" w:color="auto"/>
                    <w:left w:val="none" w:sz="0" w:space="0" w:color="auto"/>
                    <w:bottom w:val="none" w:sz="0" w:space="0" w:color="auto"/>
                    <w:right w:val="none" w:sz="0" w:space="0" w:color="auto"/>
                  </w:divBdr>
                  <w:divsChild>
                    <w:div w:id="690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8041">
      <w:bodyDiv w:val="1"/>
      <w:marLeft w:val="30"/>
      <w:marRight w:val="30"/>
      <w:marTop w:val="30"/>
      <w:marBottom w:val="30"/>
      <w:divBdr>
        <w:top w:val="none" w:sz="0" w:space="0" w:color="auto"/>
        <w:left w:val="none" w:sz="0" w:space="0" w:color="auto"/>
        <w:bottom w:val="none" w:sz="0" w:space="0" w:color="auto"/>
        <w:right w:val="none" w:sz="0" w:space="0" w:color="auto"/>
      </w:divBdr>
      <w:divsChild>
        <w:div w:id="1128862884">
          <w:marLeft w:val="0"/>
          <w:marRight w:val="0"/>
          <w:marTop w:val="0"/>
          <w:marBottom w:val="0"/>
          <w:divBdr>
            <w:top w:val="none" w:sz="0" w:space="0" w:color="auto"/>
            <w:left w:val="none" w:sz="0" w:space="0" w:color="auto"/>
            <w:bottom w:val="none" w:sz="0" w:space="0" w:color="auto"/>
            <w:right w:val="none" w:sz="0" w:space="0" w:color="auto"/>
          </w:divBdr>
          <w:divsChild>
            <w:div w:id="695886586">
              <w:marLeft w:val="45"/>
              <w:marRight w:val="45"/>
              <w:marTop w:val="45"/>
              <w:marBottom w:val="45"/>
              <w:divBdr>
                <w:top w:val="none" w:sz="0" w:space="0" w:color="auto"/>
                <w:left w:val="none" w:sz="0" w:space="0" w:color="auto"/>
                <w:bottom w:val="none" w:sz="0" w:space="0" w:color="auto"/>
                <w:right w:val="none" w:sz="0" w:space="0" w:color="auto"/>
              </w:divBdr>
              <w:divsChild>
                <w:div w:id="686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525">
      <w:bodyDiv w:val="1"/>
      <w:marLeft w:val="30"/>
      <w:marRight w:val="30"/>
      <w:marTop w:val="30"/>
      <w:marBottom w:val="30"/>
      <w:divBdr>
        <w:top w:val="none" w:sz="0" w:space="0" w:color="auto"/>
        <w:left w:val="none" w:sz="0" w:space="0" w:color="auto"/>
        <w:bottom w:val="none" w:sz="0" w:space="0" w:color="auto"/>
        <w:right w:val="none" w:sz="0" w:space="0" w:color="auto"/>
      </w:divBdr>
      <w:divsChild>
        <w:div w:id="1127776195">
          <w:marLeft w:val="0"/>
          <w:marRight w:val="0"/>
          <w:marTop w:val="0"/>
          <w:marBottom w:val="0"/>
          <w:divBdr>
            <w:top w:val="none" w:sz="0" w:space="0" w:color="auto"/>
            <w:left w:val="none" w:sz="0" w:space="0" w:color="auto"/>
            <w:bottom w:val="none" w:sz="0" w:space="0" w:color="auto"/>
            <w:right w:val="none" w:sz="0" w:space="0" w:color="auto"/>
          </w:divBdr>
          <w:divsChild>
            <w:div w:id="990403479">
              <w:marLeft w:val="45"/>
              <w:marRight w:val="45"/>
              <w:marTop w:val="45"/>
              <w:marBottom w:val="45"/>
              <w:divBdr>
                <w:top w:val="none" w:sz="0" w:space="0" w:color="auto"/>
                <w:left w:val="none" w:sz="0" w:space="0" w:color="auto"/>
                <w:bottom w:val="none" w:sz="0" w:space="0" w:color="auto"/>
                <w:right w:val="none" w:sz="0" w:space="0" w:color="auto"/>
              </w:divBdr>
              <w:divsChild>
                <w:div w:id="977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ile.universalservice.org/form499/source/search.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4046</Words>
  <Characters>22626</Characters>
  <Application>Microsoft Office Word</Application>
  <DocSecurity>0</DocSecurity>
  <Lines>330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2015-01-26T18:50:00Z</dcterms:created>
  <dcterms:modified xsi:type="dcterms:W3CDTF">2015-01-26T18:50:00Z</dcterms:modified>
  <cp:category> </cp:category>
  <cp:contentStatus> </cp:contentStatus>
</cp:coreProperties>
</file>