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BF6BB1" w:rsidP="007115F7">
            <w:pPr>
              <w:tabs>
                <w:tab w:val="center" w:pos="4680"/>
              </w:tabs>
              <w:suppressAutoHyphens/>
              <w:rPr>
                <w:spacing w:val="-2"/>
              </w:rPr>
            </w:pPr>
            <w:r>
              <w:rPr>
                <w:spacing w:val="-2"/>
              </w:rPr>
              <w:t>Worldwide Industrial Enterprises,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BF6BB1" w:rsidRPr="00BF6BB1" w:rsidRDefault="00BF6BB1" w:rsidP="00BF6BB1">
            <w:pPr>
              <w:pStyle w:val="TOAHeading"/>
              <w:tabs>
                <w:tab w:val="center" w:pos="4680"/>
              </w:tabs>
              <w:rPr>
                <w:spacing w:val="-2"/>
              </w:rPr>
            </w:pPr>
            <w:r w:rsidRPr="00BF6BB1">
              <w:rPr>
                <w:spacing w:val="-2"/>
              </w:rPr>
              <w:t xml:space="preserve">File No. EB-TCD-12-00000254 </w:t>
            </w:r>
          </w:p>
          <w:p w:rsidR="00BF6BB1" w:rsidRPr="00BF6BB1" w:rsidRDefault="00BF6BB1" w:rsidP="00BF6BB1">
            <w:pPr>
              <w:pStyle w:val="TOAHeading"/>
              <w:tabs>
                <w:tab w:val="center" w:pos="4680"/>
              </w:tabs>
              <w:rPr>
                <w:spacing w:val="-2"/>
              </w:rPr>
            </w:pPr>
          </w:p>
          <w:p w:rsidR="00BF6BB1" w:rsidRPr="00BF6BB1" w:rsidRDefault="00BF6BB1" w:rsidP="00BF6BB1">
            <w:pPr>
              <w:pStyle w:val="TOAHeading"/>
              <w:tabs>
                <w:tab w:val="center" w:pos="4680"/>
              </w:tabs>
              <w:rPr>
                <w:spacing w:val="-2"/>
              </w:rPr>
            </w:pPr>
            <w:r w:rsidRPr="00BF6BB1">
              <w:rPr>
                <w:spacing w:val="-2"/>
              </w:rPr>
              <w:t>NAL/Acct. No.: 201132170018</w:t>
            </w:r>
          </w:p>
          <w:p w:rsidR="00BF6BB1" w:rsidRPr="00BF6BB1" w:rsidRDefault="00BF6BB1" w:rsidP="00BF6BB1">
            <w:pPr>
              <w:pStyle w:val="TOAHeading"/>
              <w:tabs>
                <w:tab w:val="center" w:pos="4680"/>
              </w:tabs>
              <w:rPr>
                <w:spacing w:val="-2"/>
              </w:rPr>
            </w:pPr>
          </w:p>
          <w:p w:rsidR="004C2EE3" w:rsidRDefault="00BF6BB1" w:rsidP="00BF6BB1">
            <w:pPr>
              <w:tabs>
                <w:tab w:val="center" w:pos="4680"/>
              </w:tabs>
              <w:suppressAutoHyphens/>
              <w:rPr>
                <w:spacing w:val="-2"/>
              </w:rPr>
            </w:pPr>
            <w:r w:rsidRPr="00BF6BB1">
              <w:rPr>
                <w:spacing w:val="-2"/>
              </w:rPr>
              <w:t>FRN: 0020765145</w:t>
            </w:r>
          </w:p>
        </w:tc>
      </w:tr>
    </w:tbl>
    <w:p w:rsidR="004C2EE3" w:rsidRDefault="004C2EE3" w:rsidP="0070224F"/>
    <w:p w:rsidR="00841AB1" w:rsidRDefault="00BF6BB1" w:rsidP="00F021FA">
      <w:pPr>
        <w:pStyle w:val="StyleBoldCentered"/>
      </w:pPr>
      <w:r>
        <w:t>FORFEITURE</w:t>
      </w:r>
      <w:r w:rsidR="0020708A">
        <w:t xml:space="preserve">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F45DD">
        <w:rPr>
          <w:b/>
          <w:spacing w:val="-2"/>
        </w:rPr>
        <w:t>January 26,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F45DD">
        <w:rPr>
          <w:b/>
          <w:spacing w:val="-2"/>
        </w:rPr>
        <w:t>January 2</w:t>
      </w:r>
      <w:r w:rsidR="00D60339">
        <w:rPr>
          <w:b/>
          <w:spacing w:val="-2"/>
        </w:rPr>
        <w:t>7</w:t>
      </w:r>
      <w:r w:rsidR="002F45DD">
        <w:rPr>
          <w:b/>
          <w:spacing w:val="-2"/>
        </w:rPr>
        <w:t>, 2015</w:t>
      </w:r>
    </w:p>
    <w:p w:rsidR="00822CE0" w:rsidRDefault="00822CE0"/>
    <w:p w:rsidR="004C2EE3" w:rsidRDefault="004C2EE3">
      <w:pPr>
        <w:rPr>
          <w:spacing w:val="-2"/>
        </w:rPr>
      </w:pPr>
      <w:r>
        <w:t xml:space="preserve">By </w:t>
      </w:r>
      <w:r w:rsidR="004E4A22">
        <w:t>the</w:t>
      </w:r>
      <w:r w:rsidR="002A2D2E">
        <w:t xml:space="preserve"> </w:t>
      </w:r>
      <w:r w:rsidR="00BF6BB1">
        <w:rPr>
          <w:spacing w:val="-2"/>
        </w:rPr>
        <w:t>Commission:</w:t>
      </w:r>
    </w:p>
    <w:p w:rsidR="00822CE0" w:rsidRDefault="00822CE0">
      <w:pPr>
        <w:rPr>
          <w:spacing w:val="-2"/>
        </w:rPr>
      </w:pPr>
    </w:p>
    <w:p w:rsidR="00412FC5" w:rsidRDefault="00412FC5" w:rsidP="00412FC5"/>
    <w:p w:rsidR="002C00E8" w:rsidRDefault="00BF6BB1" w:rsidP="002C00E8">
      <w:pPr>
        <w:pStyle w:val="Heading1"/>
      </w:pPr>
      <w:r>
        <w:t>INTRODUCTION</w:t>
      </w:r>
    </w:p>
    <w:p w:rsidR="00BF6BB1" w:rsidRDefault="005B19BA" w:rsidP="0020590A">
      <w:pPr>
        <w:pStyle w:val="ParaNum"/>
      </w:pPr>
      <w:r>
        <w:t>Consumers have a well-established right to be free from the nuisance of unsolicited fax advertisements in their homes and businesses.  Today, w</w:t>
      </w:r>
      <w:r w:rsidR="00BF6BB1" w:rsidRPr="00BF6BB1">
        <w:t xml:space="preserve">e assess a forfeiture of $87,500 against Worldwide Industrial Enterprises, Inc. (Worldwide or Company) for faxing 17 advertisements to consumers who did not request them, did not want them, and had no established business relationship with the </w:t>
      </w:r>
      <w:r w:rsidR="006E00B2">
        <w:t>C</w:t>
      </w:r>
      <w:r w:rsidR="006E00B2" w:rsidRPr="00BF6BB1">
        <w:t>ompany</w:t>
      </w:r>
      <w:r w:rsidR="00BF6BB1" w:rsidRPr="00BF6BB1">
        <w:t xml:space="preserve">.  </w:t>
      </w:r>
    </w:p>
    <w:p w:rsidR="00F909C8" w:rsidRPr="00F909C8" w:rsidRDefault="00BF6BB1" w:rsidP="00DF1758">
      <w:pPr>
        <w:pStyle w:val="Heading1"/>
      </w:pPr>
      <w:r>
        <w:t>BACKGROUND</w:t>
      </w:r>
    </w:p>
    <w:p w:rsidR="00732EE6" w:rsidRDefault="00732EE6" w:rsidP="00BF6BB1">
      <w:pPr>
        <w:pStyle w:val="ParaNum"/>
      </w:pPr>
      <w:r>
        <w:t xml:space="preserve">Worldwide sells sealants for floors, garages, and driveways.  Worldwide is owned and operated by Frank </w:t>
      </w:r>
      <w:r w:rsidR="000F4C33">
        <w:t>Tantalo</w:t>
      </w:r>
      <w:r>
        <w:t xml:space="preserve">.  In 2009, Worldwide contracted with a marketing firm to send out </w:t>
      </w:r>
      <w:r w:rsidR="00972D44">
        <w:t xml:space="preserve">advertisements by fax.  </w:t>
      </w:r>
    </w:p>
    <w:p w:rsidR="00050D97" w:rsidRDefault="00BF6BB1" w:rsidP="00BF6BB1">
      <w:pPr>
        <w:pStyle w:val="ParaNum"/>
      </w:pPr>
      <w:r w:rsidRPr="00BF6BB1">
        <w:t xml:space="preserve">The Enforcement Bureau (Bureau) </w:t>
      </w:r>
      <w:r w:rsidR="00D45607">
        <w:t xml:space="preserve">first took action against </w:t>
      </w:r>
      <w:r w:rsidRPr="00BF6BB1">
        <w:t>Worldwide on November 9, 2009 by issuing a citation to the Company pursuant to section 503(b)(5) of the Act.</w:t>
      </w:r>
      <w:r w:rsidR="00D45607">
        <w:rPr>
          <w:rStyle w:val="FootnoteReference"/>
        </w:rPr>
        <w:footnoteReference w:id="2"/>
      </w:r>
      <w:r w:rsidRPr="00BF6BB1">
        <w:t xml:space="preserve">  The citation was based on </w:t>
      </w:r>
      <w:r w:rsidR="00C846A9">
        <w:t xml:space="preserve">a </w:t>
      </w:r>
      <w:r w:rsidRPr="00BF6BB1">
        <w:t>consumer complaint indicating that Worldwide had faxed unsolicited advertisements</w:t>
      </w:r>
      <w:r w:rsidR="00E17575">
        <w:t xml:space="preserve"> to the consumer.  Worldwide did not respond to the citation.  </w:t>
      </w:r>
    </w:p>
    <w:p w:rsidR="00E17575" w:rsidRDefault="005E2246" w:rsidP="00153346">
      <w:pPr>
        <w:pStyle w:val="ParaNum"/>
      </w:pPr>
      <w:r w:rsidRPr="00BF6BB1">
        <w:t xml:space="preserve">Despite the citation’s warning that subsequent violations could result in the imposition of monetary forfeitures, the Commission received additional consumer complaints indicating that Worldwide continued to send junk faxes after </w:t>
      </w:r>
      <w:r>
        <w:t xml:space="preserve">issuance of the citation.  </w:t>
      </w:r>
      <w:r w:rsidR="0037084F">
        <w:t xml:space="preserve">Based on </w:t>
      </w:r>
      <w:r w:rsidR="00CD3ED3">
        <w:t>the</w:t>
      </w:r>
      <w:r>
        <w:t>se</w:t>
      </w:r>
      <w:r w:rsidR="00CD3ED3">
        <w:t xml:space="preserve"> subsequent violations, </w:t>
      </w:r>
      <w:r w:rsidR="0037084F">
        <w:t>the Commission issued a Notice of Apparent Liability</w:t>
      </w:r>
      <w:r w:rsidR="00634B07">
        <w:t xml:space="preserve"> on April 7, 2011</w:t>
      </w:r>
      <w:r w:rsidR="0037084F">
        <w:t xml:space="preserve">, finding that Worldwide apparently </w:t>
      </w:r>
      <w:r w:rsidR="0037084F" w:rsidRPr="0037084F">
        <w:t xml:space="preserve">willfully and repeatedly </w:t>
      </w:r>
      <w:r w:rsidR="006E00B2" w:rsidRPr="0037084F">
        <w:t>violat</w:t>
      </w:r>
      <w:r w:rsidR="006E00B2">
        <w:t>ed</w:t>
      </w:r>
      <w:r w:rsidR="006E00B2" w:rsidRPr="0037084F">
        <w:t xml:space="preserve"> </w:t>
      </w:r>
      <w:r w:rsidR="0037084F" w:rsidRPr="0037084F">
        <w:t>section 227 of the Communications Act of 1934, as amende</w:t>
      </w:r>
      <w:r w:rsidR="00391D3E">
        <w:t>d (Act)</w:t>
      </w:r>
      <w:r w:rsidR="00050D97">
        <w:t>,</w:t>
      </w:r>
      <w:r w:rsidR="00391D3E">
        <w:t xml:space="preserve"> and section 64.1200(a)(4</w:t>
      </w:r>
      <w:r w:rsidR="0037084F" w:rsidRPr="0037084F">
        <w:t>) of the Commission’s rules (Rules) and the Commission’s related orders.</w:t>
      </w:r>
      <w:r w:rsidR="0037084F">
        <w:t xml:space="preserve">  In determining the </w:t>
      </w:r>
      <w:r w:rsidR="000F0848">
        <w:t xml:space="preserve">proposed </w:t>
      </w:r>
      <w:r w:rsidR="0037084F">
        <w:t xml:space="preserve">forfeiture, the Commission noted that it had previously considered $4,500 per unsolicited fax advertisement to be an appropriate base amount for violating the </w:t>
      </w:r>
      <w:r w:rsidR="0037084F">
        <w:lastRenderedPageBreak/>
        <w:t>prohibition against sending unsolicited fax advertisements.</w:t>
      </w:r>
      <w:r w:rsidR="0037084F">
        <w:rPr>
          <w:rStyle w:val="FootnoteReference"/>
        </w:rPr>
        <w:footnoteReference w:id="3"/>
      </w:r>
      <w:r w:rsidR="0037084F">
        <w:t xml:space="preserve">  The Commission applied that a</w:t>
      </w:r>
      <w:r w:rsidR="00324754">
        <w:t>mount to 15 of the violations.</w:t>
      </w:r>
      <w:r w:rsidR="00324754">
        <w:rPr>
          <w:rStyle w:val="FootnoteReference"/>
        </w:rPr>
        <w:footnoteReference w:id="4"/>
      </w:r>
      <w:r w:rsidR="00324754">
        <w:t xml:space="preserve">  The Commission also noted that it had previously assessed a penalty of $10,000 per violation whe</w:t>
      </w:r>
      <w:r w:rsidR="00153346">
        <w:t>n</w:t>
      </w:r>
      <w:r w:rsidR="00324754">
        <w:t xml:space="preserve"> a company sent faxes to consumers who had specifically asked that they not receive any more faxes from the company.</w:t>
      </w:r>
      <w:r w:rsidR="00324754">
        <w:rPr>
          <w:rStyle w:val="FootnoteReference"/>
        </w:rPr>
        <w:footnoteReference w:id="5"/>
      </w:r>
      <w:r w:rsidR="00324754">
        <w:t xml:space="preserve">  </w:t>
      </w:r>
      <w:r w:rsidR="006E00B2">
        <w:t>The NAL alleged that Worldwide</w:t>
      </w:r>
      <w:r w:rsidR="00324754">
        <w:t xml:space="preserve"> sent another fax to two consumers who had asked that </w:t>
      </w:r>
      <w:r w:rsidR="00732EE6">
        <w:t>Worldwide</w:t>
      </w:r>
      <w:r w:rsidR="00324754">
        <w:t xml:space="preserve"> cease sending them</w:t>
      </w:r>
      <w:r w:rsidR="006E00B2">
        <w:t>, and</w:t>
      </w:r>
      <w:r w:rsidR="005E4452">
        <w:t xml:space="preserve"> </w:t>
      </w:r>
      <w:r w:rsidR="00324754">
        <w:t>applied the $10,000 penalty to those two violations.</w:t>
      </w:r>
      <w:r w:rsidR="00324754">
        <w:rPr>
          <w:rStyle w:val="FootnoteReference"/>
        </w:rPr>
        <w:footnoteReference w:id="6"/>
      </w:r>
      <w:r w:rsidR="00324754">
        <w:t xml:space="preserve">  </w:t>
      </w:r>
      <w:r w:rsidR="00CD3ED3">
        <w:t xml:space="preserve">Thus, the Commission proposed a </w:t>
      </w:r>
      <w:r w:rsidR="006E00B2">
        <w:t xml:space="preserve">total </w:t>
      </w:r>
      <w:r w:rsidR="00CD3ED3">
        <w:t xml:space="preserve">monetary forfeiture of $87,500.  </w:t>
      </w:r>
    </w:p>
    <w:p w:rsidR="004C78B7" w:rsidRDefault="00C822F9" w:rsidP="0037084F">
      <w:pPr>
        <w:pStyle w:val="ParaNum"/>
      </w:pPr>
      <w:r>
        <w:t>The NAL gave Worldwide an opportunity to file a written response seeking to reduce or cancel the proposed forfeiture.</w:t>
      </w:r>
      <w:r>
        <w:rPr>
          <w:rStyle w:val="FootnoteReference"/>
        </w:rPr>
        <w:footnoteReference w:id="7"/>
      </w:r>
      <w:r>
        <w:t xml:space="preserve">  On May 6, 2011, counsel for Worldwide submitted a response questioning the reliability and veracity of the complaints, and indicating that the Company was unable to pay the proposed forfeiture.  Worldwide submitted tax returns to </w:t>
      </w:r>
      <w:r w:rsidR="006E00B2">
        <w:t xml:space="preserve">support </w:t>
      </w:r>
      <w:r>
        <w:t>its claim.</w:t>
      </w:r>
    </w:p>
    <w:p w:rsidR="00D27CF8" w:rsidRDefault="00D27CF8" w:rsidP="00D27CF8">
      <w:pPr>
        <w:pStyle w:val="Heading1"/>
      </w:pPr>
      <w:r>
        <w:t>DISCUSSION</w:t>
      </w:r>
    </w:p>
    <w:p w:rsidR="00694C63" w:rsidRPr="00694C63" w:rsidRDefault="00694C63" w:rsidP="00694C63">
      <w:pPr>
        <w:pStyle w:val="ParaNum"/>
      </w:pPr>
      <w:r w:rsidRPr="00694C63">
        <w:t xml:space="preserve">In </w:t>
      </w:r>
      <w:r w:rsidR="000F0848">
        <w:t>determining the amount of a forfeiture</w:t>
      </w:r>
      <w:r w:rsidRPr="00694C63">
        <w:t>, the Commission must consider “the nature, circumstances, extent, and gravity of the violation and, with respect to the violator, the degree of culpability,</w:t>
      </w:r>
      <w:r w:rsidR="001C5763">
        <w:t xml:space="preserve"> </w:t>
      </w:r>
      <w:r w:rsidRPr="00694C63">
        <w:t>any history of prior offenses, ability to pay, and such other matters as justice may require.”</w:t>
      </w:r>
      <w:r w:rsidR="000F0848">
        <w:rPr>
          <w:rStyle w:val="FootnoteReference"/>
        </w:rPr>
        <w:footnoteReference w:id="8"/>
      </w:r>
      <w:r w:rsidRPr="00694C63">
        <w:t xml:space="preserve">  As discussed above, the Commission issued </w:t>
      </w:r>
      <w:r w:rsidR="00BB4C8F">
        <w:t xml:space="preserve">an </w:t>
      </w:r>
      <w:r w:rsidRPr="00694C63">
        <w:t xml:space="preserve">NAL to </w:t>
      </w:r>
      <w:r w:rsidR="00BB4C8F">
        <w:t xml:space="preserve">Worldwide and </w:t>
      </w:r>
      <w:r w:rsidRPr="00694C63">
        <w:t>proposed a total forfeiture of $</w:t>
      </w:r>
      <w:r w:rsidR="00BB4C8F">
        <w:t>87,500</w:t>
      </w:r>
      <w:r w:rsidRPr="00694C63">
        <w:t>.</w:t>
      </w:r>
    </w:p>
    <w:p w:rsidR="00353DA0" w:rsidRDefault="002272CC" w:rsidP="00353DA0">
      <w:pPr>
        <w:pStyle w:val="ParaNum"/>
      </w:pPr>
      <w:r>
        <w:t xml:space="preserve">We have reviewed </w:t>
      </w:r>
      <w:r w:rsidR="00D27CF8">
        <w:t xml:space="preserve">Worldwide’s </w:t>
      </w:r>
      <w:r w:rsidR="00D27CF8" w:rsidRPr="00D27CF8">
        <w:t xml:space="preserve">response to the NAL and find </w:t>
      </w:r>
      <w:r w:rsidR="00D27CF8">
        <w:t>its</w:t>
      </w:r>
      <w:r w:rsidR="00D27CF8" w:rsidRPr="00D27CF8">
        <w:t xml:space="preserve"> arguments unpersuasive.  </w:t>
      </w:r>
      <w:r w:rsidR="00CE2D46">
        <w:t>We find, by a preponderance of the evidence,</w:t>
      </w:r>
      <w:r w:rsidR="00CE2D46">
        <w:rPr>
          <w:rStyle w:val="FootnoteReference"/>
        </w:rPr>
        <w:footnoteReference w:id="9"/>
      </w:r>
      <w:r w:rsidR="00CE2D46">
        <w:t xml:space="preserve"> that the complaints are sufficient to establish Worldwide’s violations.  </w:t>
      </w:r>
      <w:r w:rsidR="0027360A" w:rsidRPr="0027360A">
        <w:t xml:space="preserve">Worldwide questioned the veracity of the complaints upon which the NAL was based, </w:t>
      </w:r>
      <w:r w:rsidR="0027360A">
        <w:t>both</w:t>
      </w:r>
      <w:r w:rsidR="0027360A" w:rsidRPr="0027360A">
        <w:t xml:space="preserve"> because the complaints did not on their face indicate to Worldwide that the consumers attested to the truth of them, </w:t>
      </w:r>
      <w:r w:rsidR="0027360A">
        <w:t>and</w:t>
      </w:r>
      <w:r w:rsidR="0027360A" w:rsidRPr="0027360A">
        <w:t xml:space="preserve"> because one complaint </w:t>
      </w:r>
      <w:r w:rsidR="0027360A">
        <w:t xml:space="preserve">was inconsistent as to whether </w:t>
      </w:r>
      <w:r w:rsidR="0027360A" w:rsidRPr="0027360A">
        <w:t xml:space="preserve">the faxed ad included </w:t>
      </w:r>
      <w:r w:rsidR="0027360A">
        <w:t xml:space="preserve">the requisite information on how to opt-out of receiving further faxes.  </w:t>
      </w:r>
      <w:r w:rsidR="0027360A" w:rsidRPr="0027360A">
        <w:t>All of the complainants, however, did, in fact, attest to the veracity of the content of their complaints</w:t>
      </w:r>
      <w:r w:rsidR="0027360A">
        <w:t>.</w:t>
      </w:r>
      <w:r w:rsidR="0027360A">
        <w:rPr>
          <w:rStyle w:val="FootnoteReference"/>
        </w:rPr>
        <w:footnoteReference w:id="10"/>
      </w:r>
      <w:r w:rsidR="0027360A">
        <w:t xml:space="preserve">  </w:t>
      </w:r>
      <w:r w:rsidR="00AE51AD">
        <w:t>Moreover, we</w:t>
      </w:r>
      <w:r w:rsidR="0027360A" w:rsidRPr="0027360A">
        <w:t xml:space="preserve"> do not believe that the nature of the inconsistency in the lo</w:t>
      </w:r>
      <w:r w:rsidR="00353DA0">
        <w:t>ne complaint “cast[s] doubt on the veracity of the complaint,” as Worldwide asserts.</w:t>
      </w:r>
      <w:r w:rsidR="00353DA0">
        <w:rPr>
          <w:rStyle w:val="FootnoteReference"/>
        </w:rPr>
        <w:footnoteReference w:id="11"/>
      </w:r>
      <w:r w:rsidR="00353DA0">
        <w:t xml:space="preserve">  Worldwide has not otherwise denied that it is legally responsible for the faxes at issue.    </w:t>
      </w:r>
    </w:p>
    <w:p w:rsidR="00D27CF8" w:rsidRDefault="006520F6" w:rsidP="002F45DD">
      <w:pPr>
        <w:pStyle w:val="ParaNum"/>
        <w:widowControl/>
      </w:pPr>
      <w:r>
        <w:t>Worldwide also claimed that it could not afford to pay $87,500, and submitted tax returns to support its claim.  However, this amount is consistent with Commission precedent in similar cases.</w:t>
      </w:r>
      <w:r w:rsidR="00EF2238" w:rsidRPr="00EF2238">
        <w:rPr>
          <w:rStyle w:val="FootnoteReference"/>
        </w:rPr>
        <w:t xml:space="preserve"> </w:t>
      </w:r>
      <w:r w:rsidR="00EF2238">
        <w:rPr>
          <w:rStyle w:val="FootnoteReference"/>
        </w:rPr>
        <w:footnoteReference w:id="12"/>
      </w:r>
      <w:r>
        <w:t xml:space="preserve">  Thus, Worldwide’s request to reduce the forfeiture amount is denied.  </w:t>
      </w:r>
      <w:r w:rsidR="00D82262">
        <w:t xml:space="preserve"> </w:t>
      </w:r>
    </w:p>
    <w:p w:rsidR="003967EA" w:rsidRDefault="003967EA" w:rsidP="003967EA">
      <w:pPr>
        <w:pStyle w:val="Heading1"/>
        <w:rPr>
          <w:b w:val="0"/>
        </w:rPr>
      </w:pPr>
      <w:r>
        <w:t>CONCLUSION</w:t>
      </w:r>
    </w:p>
    <w:p w:rsidR="00CD5A2F" w:rsidRDefault="003967EA">
      <w:pPr>
        <w:pStyle w:val="ParaNum"/>
        <w:widowControl/>
      </w:pPr>
      <w:r>
        <w:t>We affirm our finding in the NAL against Worldwide and find no reason to adjust the forfeiture proposed in the NAL.  We therefore impose a forfeiture of $</w:t>
      </w:r>
      <w:r w:rsidR="008E245F">
        <w:t>87,500</w:t>
      </w:r>
      <w:r>
        <w:t xml:space="preserve"> against Worldwide for willful and repeated violations of Section 227(b)(1)(C) of the Act and Section 64.1200(a)(4) of the Commission’s rules.  </w:t>
      </w:r>
    </w:p>
    <w:p w:rsidR="003967EA" w:rsidRPr="00A42019" w:rsidRDefault="003967EA" w:rsidP="003967EA">
      <w:pPr>
        <w:pStyle w:val="Heading1"/>
      </w:pPr>
      <w:r w:rsidRPr="00A42019">
        <w:t>ORDERING CLAUSES</w:t>
      </w:r>
    </w:p>
    <w:p w:rsidR="003967EA" w:rsidRPr="0077792A" w:rsidRDefault="003967EA" w:rsidP="003967EA">
      <w:pPr>
        <w:pStyle w:val="ParaNum"/>
      </w:pPr>
      <w:r w:rsidRPr="0077792A">
        <w:t xml:space="preserve">Accordingly, </w:t>
      </w:r>
      <w:r w:rsidRPr="0077792A">
        <w:rPr>
          <w:b/>
        </w:rPr>
        <w:t xml:space="preserve">IT IS </w:t>
      </w:r>
      <w:r w:rsidRPr="009F08AD">
        <w:rPr>
          <w:b/>
        </w:rPr>
        <w:t xml:space="preserve">ORDERED </w:t>
      </w:r>
      <w:r w:rsidRPr="009F08AD">
        <w:t>that,</w:t>
      </w:r>
      <w:r w:rsidRPr="0077792A">
        <w:t xml:space="preserve"> pursuant to Section 503(b) of the Communications Act of 1934, as amended, 47 U.S.C. § 503(b), and Section 1.80(f)(4) of the Commission’s rules, 47 C.F.R. § 1.80(f)(4), </w:t>
      </w:r>
      <w:r>
        <w:t xml:space="preserve">Worldwide </w:t>
      </w:r>
      <w:r w:rsidRPr="0077792A">
        <w:rPr>
          <w:b/>
        </w:rPr>
        <w:t>IS LIABLE FOR A MONETARY FORFEITURE</w:t>
      </w:r>
      <w:r w:rsidRPr="0077792A">
        <w:t xml:space="preserve"> to the United States Government in the sum of $</w:t>
      </w:r>
      <w:r w:rsidR="008E245F">
        <w:t xml:space="preserve">87,500 </w:t>
      </w:r>
      <w:r w:rsidRPr="0077792A">
        <w:t>for willfully and repeatedly violating Section 227(b)(1)(C) of the Communications Act, 47 U.S.C. § 227(b)(1)(C), and Section 64.1200(a)(</w:t>
      </w:r>
      <w:r>
        <w:t>4</w:t>
      </w:r>
      <w:r w:rsidRPr="0077792A">
        <w:t xml:space="preserve">) of the Commission’s rules, </w:t>
      </w:r>
      <w:r>
        <w:t xml:space="preserve">  </w:t>
      </w:r>
      <w:r w:rsidRPr="0077792A">
        <w:t>47 C.F.R. § 64.1200(a)(</w:t>
      </w:r>
      <w:r>
        <w:t>4</w:t>
      </w:r>
      <w:r w:rsidRPr="0077792A">
        <w:t xml:space="preserve">).  </w:t>
      </w:r>
    </w:p>
    <w:p w:rsidR="003967EA" w:rsidRPr="00BF0439" w:rsidRDefault="003967EA" w:rsidP="003967EA">
      <w:pPr>
        <w:pStyle w:val="ParaNum"/>
        <w:rPr>
          <w:rFonts w:eastAsia="MS Mincho"/>
          <w:color w:val="000000"/>
          <w:szCs w:val="22"/>
        </w:rPr>
      </w:pPr>
      <w:r w:rsidRPr="00626BA2">
        <w:rPr>
          <w:rFonts w:eastAsia="MS Mincho" w:cs="Arial"/>
        </w:rPr>
        <w:t xml:space="preserve">Payment of the forfeiture shall be made in the manner provided for in Section 1.80 of the Rules within </w:t>
      </w:r>
      <w:r w:rsidR="00EF2238">
        <w:rPr>
          <w:rFonts w:eastAsia="MS Mincho" w:cs="Arial"/>
        </w:rPr>
        <w:t>fifteen</w:t>
      </w:r>
      <w:r w:rsidR="00EF2238" w:rsidRPr="00626BA2">
        <w:rPr>
          <w:rFonts w:eastAsia="MS Mincho" w:cs="Arial"/>
        </w:rPr>
        <w:t xml:space="preserve"> </w:t>
      </w:r>
      <w:r w:rsidRPr="00626BA2">
        <w:rPr>
          <w:rFonts w:eastAsia="MS Mincho" w:cs="Arial"/>
        </w:rPr>
        <w:t>(</w:t>
      </w:r>
      <w:r w:rsidR="00EF2238">
        <w:rPr>
          <w:rFonts w:eastAsia="MS Mincho" w:cs="Arial"/>
        </w:rPr>
        <w:t>15</w:t>
      </w:r>
      <w:r w:rsidRPr="00626BA2">
        <w:rPr>
          <w:rFonts w:eastAsia="MS Mincho" w:cs="Arial"/>
        </w:rPr>
        <w:t>) calendar days after the release date of this Forfeiture Order.</w:t>
      </w:r>
      <w:r>
        <w:rPr>
          <w:rStyle w:val="FootnoteReference"/>
          <w:rFonts w:eastAsia="MS Mincho" w:cs="Arial"/>
        </w:rPr>
        <w:footnoteReference w:id="13"/>
      </w:r>
      <w:r w:rsidRPr="00626BA2">
        <w:rPr>
          <w:rFonts w:eastAsia="MS Mincho" w:cs="Arial"/>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cs="Arial"/>
        </w:rPr>
        <w:footnoteReference w:id="14"/>
      </w:r>
      <w:r w:rsidRPr="00626BA2">
        <w:rPr>
          <w:rFonts w:eastAsia="MS Mincho" w:cs="Arial"/>
        </w:rPr>
        <w:t xml:space="preserve">  </w:t>
      </w:r>
      <w:r>
        <w:rPr>
          <w:rFonts w:eastAsia="MS Mincho" w:cs="Arial"/>
        </w:rPr>
        <w:t xml:space="preserve">Worldwide </w:t>
      </w:r>
      <w:r w:rsidRPr="00D72D84">
        <w:rPr>
          <w:rFonts w:eastAsia="MS Mincho" w:cs="Arial"/>
        </w:rPr>
        <w:t xml:space="preserve">shall send electronic notification </w:t>
      </w:r>
      <w:r>
        <w:rPr>
          <w:rFonts w:eastAsia="MS Mincho" w:cs="Arial"/>
        </w:rPr>
        <w:t xml:space="preserve">of payment </w:t>
      </w:r>
      <w:r w:rsidRPr="00D72D84">
        <w:rPr>
          <w:rFonts w:eastAsia="MS Mincho" w:cs="Arial"/>
        </w:rPr>
        <w:t xml:space="preserve">to </w:t>
      </w:r>
      <w:r>
        <w:rPr>
          <w:rFonts w:eastAsia="MS Mincho" w:cs="Arial"/>
        </w:rPr>
        <w:t xml:space="preserve">Johnny Drake </w:t>
      </w:r>
      <w:r w:rsidRPr="00D72D84">
        <w:rPr>
          <w:rFonts w:eastAsia="MS Mincho" w:cs="Arial"/>
        </w:rPr>
        <w:t xml:space="preserve">at </w:t>
      </w:r>
      <w:r w:rsidRPr="00697B43">
        <w:rPr>
          <w:rFonts w:eastAsia="MS Mincho" w:cs="Arial"/>
        </w:rPr>
        <w:t>Johnny.Drake@fcc.gov</w:t>
      </w:r>
      <w:r>
        <w:rPr>
          <w:rFonts w:eastAsia="MS Mincho" w:cs="Arial"/>
        </w:rPr>
        <w:t xml:space="preserve">, and Phillip Priesman at </w:t>
      </w:r>
      <w:hyperlink r:id="rId8" w:history="1">
        <w:r w:rsidRPr="003F1EDE">
          <w:rPr>
            <w:rStyle w:val="Hyperlink"/>
            <w:rFonts w:eastAsia="MS Mincho" w:cs="Arial"/>
          </w:rPr>
          <w:t>Phillip.Priesman@fcc.gov</w:t>
        </w:r>
      </w:hyperlink>
      <w:r>
        <w:rPr>
          <w:rFonts w:eastAsia="MS Mincho" w:cs="Arial"/>
        </w:rPr>
        <w:t xml:space="preserve"> </w:t>
      </w:r>
      <w:r w:rsidRPr="00D72D84">
        <w:rPr>
          <w:rFonts w:eastAsia="MS Mincho" w:cs="Arial"/>
        </w:rPr>
        <w:t>on the date said payment is made.</w:t>
      </w:r>
    </w:p>
    <w:p w:rsidR="003967EA" w:rsidRPr="00626BA2" w:rsidRDefault="003967EA" w:rsidP="003967EA">
      <w:pPr>
        <w:pStyle w:val="ParaNum"/>
        <w:rPr>
          <w:rFonts w:eastAsia="MS Mincho" w:cs="Arial"/>
        </w:rPr>
      </w:pPr>
      <w:r w:rsidRPr="00626BA2">
        <w:rPr>
          <w:rFonts w:eastAsia="MS Mincho" w:cs="Arial"/>
        </w:rPr>
        <w:t>The payment must be made by check or similar instrument, wire transfer, or credit card, and must include the NAL/Account number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15"/>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Worldwide should follow based on the form of payment it selects:</w:t>
      </w:r>
    </w:p>
    <w:p w:rsidR="003967EA" w:rsidRPr="00626BA2" w:rsidRDefault="003967EA" w:rsidP="003967EA">
      <w:pPr>
        <w:pStyle w:val="ParaNum"/>
        <w:numPr>
          <w:ilvl w:val="0"/>
          <w:numId w:val="7"/>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3967EA" w:rsidRPr="00626BA2" w:rsidRDefault="003967EA" w:rsidP="003967EA">
      <w:pPr>
        <w:pStyle w:val="ParaNum"/>
        <w:numPr>
          <w:ilvl w:val="0"/>
          <w:numId w:val="7"/>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CD5A2F" w:rsidRPr="00EF2238" w:rsidRDefault="003967EA" w:rsidP="00E33E7A">
      <w:pPr>
        <w:pStyle w:val="ParaNum"/>
        <w:widowControl/>
        <w:numPr>
          <w:ilvl w:val="0"/>
          <w:numId w:val="7"/>
        </w:numPr>
        <w:rPr>
          <w:rFonts w:eastAsia="MS Mincho"/>
        </w:rPr>
      </w:pPr>
      <w:r w:rsidRPr="00EF2238">
        <w:rPr>
          <w:rFonts w:eastAsia="MS Mincho"/>
        </w:rPr>
        <w:t>Payment by credit card must be made by providing the required credit card information on FCC Form 159 and signing and dating the Form 159 to authorize the credit card payment.</w:t>
      </w:r>
      <w:r w:rsidRPr="005D673A">
        <w:rPr>
          <w:rFonts w:eastAsia="MS Mincho"/>
        </w:rPr>
        <w:t xml:space="preserve">   </w:t>
      </w:r>
      <w:r w:rsidRPr="00B620EC">
        <w:rPr>
          <w:rFonts w:eastAsia="MS Mincho"/>
        </w:rPr>
        <w:t xml:space="preserve">The completed Form 159 must then be mailed to Federal Communications Commission, P.O. Box 979088, St. Louis, MO 63197-9000, or sent via overnight mail to U.S. Bank – Government Lockbox #979088, SL-MO-C2-GL, 1005 Convention Plaza, St. Louis, MO 63101.  </w:t>
      </w:r>
    </w:p>
    <w:p w:rsidR="00123948" w:rsidRPr="00465C46" w:rsidRDefault="003967EA" w:rsidP="00AD6B58">
      <w:pPr>
        <w:pStyle w:val="ParaNum"/>
        <w:widowControl/>
      </w:pPr>
      <w:r w:rsidRPr="00CD5A2F">
        <w:rPr>
          <w:rFonts w:eastAsia="MS Mincho"/>
        </w:rPr>
        <w:t xml:space="preserve">Any request for full payment under an installment plan should be sent to:  Chief Financial Officer—Financial Operations, </w:t>
      </w:r>
      <w:r w:rsidRPr="00CD5A2F">
        <w:rPr>
          <w:rFonts w:eastAsia="MS Mincho" w:cs="Arial"/>
        </w:rPr>
        <w:t>Federal</w:t>
      </w:r>
      <w:r w:rsidRPr="00CD5A2F">
        <w:rPr>
          <w:rFonts w:eastAsia="MS Mincho"/>
        </w:rPr>
        <w:t xml:space="preserve"> Communications Commission, 445 12th Street, S.W., Room 1-A625, Washington, D.C.  20554.</w:t>
      </w:r>
      <w:r>
        <w:rPr>
          <w:rStyle w:val="FootnoteReference"/>
          <w:rFonts w:eastAsia="MS Mincho"/>
        </w:rPr>
        <w:footnoteReference w:id="16"/>
      </w:r>
      <w:r w:rsidRPr="00CD5A2F">
        <w:rPr>
          <w:rFonts w:eastAsia="MS Mincho"/>
        </w:rPr>
        <w:t>  If Worldwide has questions regarding payment procedures, it should contact the Financial Operations Group Help Desk by phone, 1-877-480-3201, or by e</w:t>
      </w:r>
      <w:r w:rsidRPr="00CD5A2F">
        <w:rPr>
          <w:rFonts w:eastAsia="MS Mincho"/>
        </w:rPr>
        <w:noBreakHyphen/>
        <w:t xml:space="preserve">mail, </w:t>
      </w:r>
      <w:r w:rsidRPr="00CD5A2F">
        <w:rPr>
          <w:rFonts w:eastAsia="MS Mincho" w:cs="Arial"/>
        </w:rPr>
        <w:t>ARINQUIRIES@fcc.gov</w:t>
      </w:r>
      <w:r w:rsidRPr="00CD5A2F">
        <w:rPr>
          <w:rFonts w:eastAsia="MS Mincho"/>
        </w:rPr>
        <w:t xml:space="preserve">.  </w:t>
      </w:r>
    </w:p>
    <w:p w:rsidR="003967EA" w:rsidRPr="00726F8A" w:rsidRDefault="003967EA" w:rsidP="00A644B3">
      <w:pPr>
        <w:pStyle w:val="ParaNum"/>
      </w:pPr>
      <w:r w:rsidRPr="00553205">
        <w:rPr>
          <w:b/>
        </w:rPr>
        <w:t>IT IS FURTHER ORDERED</w:t>
      </w:r>
      <w:r w:rsidRPr="00726F8A">
        <w:t xml:space="preserve"> that a copy of the Forfeiture Order</w:t>
      </w:r>
      <w:r w:rsidRPr="00483B23">
        <w:t xml:space="preserve"> </w:t>
      </w:r>
      <w:r w:rsidRPr="00726F8A">
        <w:t xml:space="preserve">shall be sent by mail and certified mail return receipt requested to </w:t>
      </w:r>
      <w:r>
        <w:t xml:space="preserve">Worldwide Industrial Enterprises, Inc., </w:t>
      </w:r>
      <w:r w:rsidRPr="00483B23">
        <w:t>Attention:</w:t>
      </w:r>
      <w:r w:rsidR="00A644B3" w:rsidRPr="00A644B3">
        <w:t xml:space="preserve"> Frank </w:t>
      </w:r>
      <w:r w:rsidR="000F4C33">
        <w:t xml:space="preserve">Tantalo, Chief Executive Officer, 656 North Wellwood Avenue, Suite C, Lindenhurst, NY 11757, and </w:t>
      </w:r>
      <w:r w:rsidR="00C038C9">
        <w:t xml:space="preserve">John Heitmann, </w:t>
      </w:r>
      <w:r w:rsidR="000F4C33">
        <w:t>Kelley, Drye &amp; Warren, LLP, 3050 K Street, NW, Suite 400, Washington, DC</w:t>
      </w:r>
      <w:r w:rsidR="00C038C9">
        <w:t xml:space="preserve">  </w:t>
      </w:r>
      <w:r w:rsidR="000F4C33">
        <w:t xml:space="preserve">20007.  </w:t>
      </w:r>
    </w:p>
    <w:p w:rsidR="003967EA" w:rsidRPr="00726F8A" w:rsidRDefault="003967EA" w:rsidP="003967EA">
      <w:pPr>
        <w:keepNext/>
        <w:keepLines/>
        <w:tabs>
          <w:tab w:val="left" w:pos="0"/>
        </w:tabs>
      </w:pPr>
    </w:p>
    <w:p w:rsidR="003967EA" w:rsidRDefault="003967EA" w:rsidP="003967EA">
      <w:r>
        <w:tab/>
      </w:r>
      <w:r>
        <w:tab/>
      </w:r>
      <w:r>
        <w:tab/>
      </w:r>
      <w:r>
        <w:tab/>
      </w:r>
      <w:r>
        <w:tab/>
      </w:r>
      <w:r>
        <w:tab/>
        <w:t>FEDERAL COMMUNICATIONS COMMISSION</w:t>
      </w:r>
    </w:p>
    <w:p w:rsidR="003967EA" w:rsidRDefault="003967EA" w:rsidP="003967EA"/>
    <w:p w:rsidR="003967EA" w:rsidRDefault="003967EA" w:rsidP="003967EA"/>
    <w:p w:rsidR="003967EA" w:rsidRDefault="003967EA" w:rsidP="003967EA"/>
    <w:p w:rsidR="003967EA" w:rsidRDefault="003967EA" w:rsidP="003967EA"/>
    <w:p w:rsidR="003967EA" w:rsidRDefault="003967EA" w:rsidP="003967EA">
      <w:r>
        <w:tab/>
      </w:r>
      <w:r>
        <w:tab/>
      </w:r>
      <w:r>
        <w:tab/>
      </w:r>
      <w:r>
        <w:tab/>
      </w:r>
      <w:r>
        <w:tab/>
      </w:r>
      <w:r>
        <w:tab/>
        <w:t xml:space="preserve">Marlene H. </w:t>
      </w:r>
      <w:r w:rsidR="00381BEE">
        <w:t>Dortch</w:t>
      </w:r>
    </w:p>
    <w:p w:rsidR="00BF6BB1" w:rsidRPr="00BF6BB1" w:rsidRDefault="003967EA">
      <w:pPr>
        <w:pStyle w:val="ParaNum"/>
        <w:numPr>
          <w:ilvl w:val="0"/>
          <w:numId w:val="0"/>
        </w:numPr>
        <w:ind w:left="720"/>
      </w:pPr>
      <w:r>
        <w:tab/>
      </w:r>
      <w:r>
        <w:tab/>
      </w:r>
      <w:r>
        <w:tab/>
      </w:r>
      <w:r>
        <w:tab/>
      </w:r>
      <w:r>
        <w:tab/>
        <w:t>Secretary</w:t>
      </w:r>
    </w:p>
    <w:sectPr w:rsidR="00BF6BB1" w:rsidRPr="00BF6BB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7F" w:rsidRDefault="0004627F">
      <w:pPr>
        <w:spacing w:line="20" w:lineRule="exact"/>
      </w:pPr>
    </w:p>
  </w:endnote>
  <w:endnote w:type="continuationSeparator" w:id="0">
    <w:p w:rsidR="0004627F" w:rsidRDefault="0004627F">
      <w:r>
        <w:t xml:space="preserve"> </w:t>
      </w:r>
    </w:p>
  </w:endnote>
  <w:endnote w:type="continuationNotice" w:id="1">
    <w:p w:rsidR="0004627F" w:rsidRDefault="000462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E334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7F" w:rsidRDefault="0004627F">
      <w:r>
        <w:separator/>
      </w:r>
    </w:p>
  </w:footnote>
  <w:footnote w:type="continuationSeparator" w:id="0">
    <w:p w:rsidR="0004627F" w:rsidRDefault="0004627F" w:rsidP="00C721AC">
      <w:pPr>
        <w:spacing w:before="120"/>
        <w:rPr>
          <w:sz w:val="20"/>
        </w:rPr>
      </w:pPr>
      <w:r>
        <w:rPr>
          <w:sz w:val="20"/>
        </w:rPr>
        <w:t xml:space="preserve">(Continued from previous page)  </w:t>
      </w:r>
      <w:r>
        <w:rPr>
          <w:sz w:val="20"/>
        </w:rPr>
        <w:separator/>
      </w:r>
    </w:p>
  </w:footnote>
  <w:footnote w:type="continuationNotice" w:id="1">
    <w:p w:rsidR="0004627F" w:rsidRDefault="0004627F" w:rsidP="00C721AC">
      <w:pPr>
        <w:jc w:val="right"/>
        <w:rPr>
          <w:sz w:val="20"/>
        </w:rPr>
      </w:pPr>
      <w:r>
        <w:rPr>
          <w:sz w:val="20"/>
        </w:rPr>
        <w:t>(continued….)</w:t>
      </w:r>
    </w:p>
  </w:footnote>
  <w:footnote w:id="2">
    <w:p w:rsidR="00D45607" w:rsidRDefault="00D45607">
      <w:pPr>
        <w:pStyle w:val="FootnoteText"/>
      </w:pPr>
      <w:r>
        <w:rPr>
          <w:rStyle w:val="FootnoteReference"/>
        </w:rPr>
        <w:footnoteRef/>
      </w:r>
      <w:r>
        <w:t xml:space="preserve"> Citation from Joshua P. Zeldis, Assistant Division Chief, Telecommunications Consumers Division, Enforcement Bureau, File No. EB-09-TC-452, issued to Worldwide on November 9, 2009.</w:t>
      </w:r>
    </w:p>
  </w:footnote>
  <w:footnote w:id="3">
    <w:p w:rsidR="0037084F" w:rsidRDefault="0037084F">
      <w:pPr>
        <w:pStyle w:val="FootnoteText"/>
      </w:pPr>
      <w:r>
        <w:rPr>
          <w:rStyle w:val="FootnoteReference"/>
        </w:rPr>
        <w:footnoteRef/>
      </w:r>
      <w:r>
        <w:t xml:space="preserve"> </w:t>
      </w:r>
      <w:r w:rsidR="005D2C18" w:rsidRPr="00A75603">
        <w:rPr>
          <w:i/>
        </w:rPr>
        <w:t>Worldwide Industrial Enterprises, Inc.</w:t>
      </w:r>
      <w:r w:rsidR="005D2C18">
        <w:t xml:space="preserve">, </w:t>
      </w:r>
      <w:r w:rsidR="00A75603">
        <w:t xml:space="preserve">Notice of Apparent Liability for Forfeiture, </w:t>
      </w:r>
      <w:r w:rsidR="00437C92" w:rsidRPr="00437C92">
        <w:t>26 FCC Rcd. 5737</w:t>
      </w:r>
      <w:r w:rsidR="00437C92">
        <w:t xml:space="preserve">, </w:t>
      </w:r>
      <w:r w:rsidR="002B73EA">
        <w:t>para 6 (</w:t>
      </w:r>
      <w:r w:rsidR="00A75603">
        <w:t xml:space="preserve">2011).  </w:t>
      </w:r>
    </w:p>
  </w:footnote>
  <w:footnote w:id="4">
    <w:p w:rsidR="00324754" w:rsidRPr="00D12F9E" w:rsidRDefault="00324754">
      <w:pPr>
        <w:pStyle w:val="FootnoteText"/>
      </w:pPr>
      <w:r>
        <w:rPr>
          <w:rStyle w:val="FootnoteReference"/>
        </w:rPr>
        <w:footnoteRef/>
      </w:r>
      <w:r>
        <w:t xml:space="preserve"> </w:t>
      </w:r>
      <w:r w:rsidRPr="00324754">
        <w:rPr>
          <w:i/>
        </w:rPr>
        <w:t>Id.</w:t>
      </w:r>
      <w:r w:rsidR="00D12F9E">
        <w:t xml:space="preserve">  </w:t>
      </w:r>
    </w:p>
  </w:footnote>
  <w:footnote w:id="5">
    <w:p w:rsidR="00324754" w:rsidRDefault="00324754">
      <w:pPr>
        <w:pStyle w:val="FootnoteText"/>
      </w:pPr>
      <w:r>
        <w:rPr>
          <w:rStyle w:val="FootnoteReference"/>
        </w:rPr>
        <w:footnoteRef/>
      </w:r>
      <w:r>
        <w:t xml:space="preserve"> </w:t>
      </w:r>
      <w:r w:rsidRPr="00324754">
        <w:rPr>
          <w:i/>
        </w:rPr>
        <w:t>Id.</w:t>
      </w:r>
    </w:p>
  </w:footnote>
  <w:footnote w:id="6">
    <w:p w:rsidR="00324754" w:rsidRDefault="00324754">
      <w:pPr>
        <w:pStyle w:val="FootnoteText"/>
      </w:pPr>
      <w:r>
        <w:rPr>
          <w:rStyle w:val="FootnoteReference"/>
        </w:rPr>
        <w:footnoteRef/>
      </w:r>
      <w:r>
        <w:t xml:space="preserve"> </w:t>
      </w:r>
      <w:r w:rsidRPr="00324754">
        <w:rPr>
          <w:i/>
        </w:rPr>
        <w:t>Id.</w:t>
      </w:r>
    </w:p>
  </w:footnote>
  <w:footnote w:id="7">
    <w:p w:rsidR="00C822F9" w:rsidRPr="00C822F9" w:rsidRDefault="00C822F9">
      <w:pPr>
        <w:pStyle w:val="FootnoteText"/>
      </w:pPr>
      <w:r>
        <w:rPr>
          <w:rStyle w:val="FootnoteReference"/>
        </w:rPr>
        <w:footnoteRef/>
      </w:r>
      <w:r>
        <w:t xml:space="preserve"> </w:t>
      </w:r>
      <w:r w:rsidRPr="00324754">
        <w:rPr>
          <w:i/>
        </w:rPr>
        <w:t>Id</w:t>
      </w:r>
      <w:r w:rsidRPr="00C822F9">
        <w:t>, para 9.</w:t>
      </w:r>
      <w:r>
        <w:rPr>
          <w:i/>
        </w:rPr>
        <w:t xml:space="preserve">  </w:t>
      </w:r>
    </w:p>
  </w:footnote>
  <w:footnote w:id="8">
    <w:p w:rsidR="000F0848" w:rsidRDefault="000F0848">
      <w:pPr>
        <w:pStyle w:val="FootnoteText"/>
      </w:pPr>
      <w:r>
        <w:rPr>
          <w:rStyle w:val="FootnoteReference"/>
        </w:rPr>
        <w:footnoteRef/>
      </w:r>
      <w:r>
        <w:t xml:space="preserve"> 47 U.S.C. </w:t>
      </w:r>
      <w:r w:rsidRPr="0077792A">
        <w:t>§</w:t>
      </w:r>
      <w:r>
        <w:t xml:space="preserve"> 503(b)(2)(E).</w:t>
      </w:r>
    </w:p>
  </w:footnote>
  <w:footnote w:id="9">
    <w:p w:rsidR="00CE2D46" w:rsidRDefault="00CE2D46">
      <w:pPr>
        <w:pStyle w:val="FootnoteText"/>
      </w:pPr>
      <w:r>
        <w:rPr>
          <w:rStyle w:val="FootnoteReference"/>
        </w:rPr>
        <w:footnoteRef/>
      </w:r>
      <w:r>
        <w:t xml:space="preserve"> </w:t>
      </w:r>
      <w:r w:rsidRPr="00CE2D46">
        <w:rPr>
          <w:i/>
        </w:rPr>
        <w:t>See, e.g., SBC Commc’ns, Inc.</w:t>
      </w:r>
      <w:r>
        <w:t>, Forfeiture Order, 17 FCC Rcd 7589, 7591, para. 4 (2002) (setting forth the standard of proof in a forfeiture proceeding).</w:t>
      </w:r>
    </w:p>
  </w:footnote>
  <w:footnote w:id="10">
    <w:p w:rsidR="0027360A" w:rsidRDefault="0027360A">
      <w:pPr>
        <w:pStyle w:val="FootnoteText"/>
      </w:pPr>
      <w:r>
        <w:rPr>
          <w:rStyle w:val="FootnoteReference"/>
        </w:rPr>
        <w:footnoteRef/>
      </w:r>
      <w:r w:rsidR="005A1788">
        <w:t xml:space="preserve"> When Worldwide prepared its defense it appeared that none of the consumers who submitted complaints online at </w:t>
      </w:r>
      <w:hyperlink r:id="rId1" w:history="1">
        <w:r w:rsidR="005A1788" w:rsidRPr="00F567D1">
          <w:rPr>
            <w:rStyle w:val="Hyperlink"/>
          </w:rPr>
          <w:t>www.fcc.gov</w:t>
        </w:r>
      </w:hyperlink>
      <w:r w:rsidR="005A1788">
        <w:t xml:space="preserve"> in this matter had checked the box on the complaint form attesting to the facts in their complaints</w:t>
      </w:r>
      <w:r w:rsidRPr="0027360A">
        <w:t>.</w:t>
      </w:r>
      <w:r w:rsidR="005A1788">
        <w:t xml:space="preserve">  However, for a brief period, a technical glitch prevented electronic versions of complaints from indicating whether the complainant checked the attestation box.  This has since been fixed, and a recent review of the complaints that were the subject of the NAL indicated that all of the consumers checked the attestation box.  </w:t>
      </w:r>
      <w:r w:rsidRPr="0027360A">
        <w:t xml:space="preserve">  </w:t>
      </w:r>
    </w:p>
  </w:footnote>
  <w:footnote w:id="11">
    <w:p w:rsidR="00353DA0" w:rsidRDefault="00353DA0" w:rsidP="00353DA0">
      <w:pPr>
        <w:pStyle w:val="FootnoteText"/>
      </w:pPr>
      <w:r>
        <w:rPr>
          <w:rStyle w:val="FootnoteReference"/>
        </w:rPr>
        <w:footnoteRef/>
      </w:r>
      <w:r>
        <w:t xml:space="preserve"> Since none of the other complaints suggested that Worldwide failed to include the opt-out information, as required by 47 C.F.R. § 64.1200(a)(3)(iii), the NAL did not allege that Worldwide violated this provision.  </w:t>
      </w:r>
    </w:p>
  </w:footnote>
  <w:footnote w:id="12">
    <w:p w:rsidR="00EF2238" w:rsidRDefault="00EF2238" w:rsidP="00EF2238">
      <w:pPr>
        <w:pStyle w:val="FootnoteText"/>
      </w:pPr>
      <w:r>
        <w:rPr>
          <w:rStyle w:val="FootnoteReference"/>
        </w:rPr>
        <w:footnoteRef/>
      </w:r>
      <w:r>
        <w:t xml:space="preserve"> </w:t>
      </w:r>
      <w:r w:rsidRPr="007D41C0">
        <w:rPr>
          <w:i/>
        </w:rPr>
        <w:t>See Presidential</w:t>
      </w:r>
      <w:r>
        <w:t xml:space="preserve"> </w:t>
      </w:r>
      <w:r w:rsidRPr="00995C0C">
        <w:rPr>
          <w:i/>
        </w:rPr>
        <w:t>Who’s Who, Inc</w:t>
      </w:r>
      <w:r>
        <w:t>., Forfeiture Order, 29 FCC Rcd 3451</w:t>
      </w:r>
      <w:r w:rsidR="00E97517">
        <w:t>,</w:t>
      </w:r>
      <w:r>
        <w:t xml:space="preserve"> </w:t>
      </w:r>
      <w:r w:rsidR="00B620EC">
        <w:t xml:space="preserve">paras. 14-15 </w:t>
      </w:r>
      <w:r>
        <w:t xml:space="preserve">(2014) (declining to reduce forfeiture amount and denying inability-to-pay claim); </w:t>
      </w:r>
      <w:r w:rsidRPr="004C0E37">
        <w:rPr>
          <w:i/>
        </w:rPr>
        <w:t xml:space="preserve">Kevin </w:t>
      </w:r>
      <w:r>
        <w:rPr>
          <w:i/>
        </w:rPr>
        <w:t xml:space="preserve">W. </w:t>
      </w:r>
      <w:r w:rsidRPr="004C0E37">
        <w:rPr>
          <w:i/>
        </w:rPr>
        <w:t>Bondy</w:t>
      </w:r>
      <w:r>
        <w:t>,</w:t>
      </w:r>
      <w:r w:rsidRPr="004576E8">
        <w:t xml:space="preserve"> </w:t>
      </w:r>
      <w:r>
        <w:t>Forfeiture Order, 26 FCC Rcd 7840</w:t>
      </w:r>
      <w:r w:rsidR="00EC46D1">
        <w:t xml:space="preserve">, para.16 </w:t>
      </w:r>
      <w:r>
        <w:t xml:space="preserve"> (</w:t>
      </w:r>
      <w:r w:rsidR="002B73EA">
        <w:t xml:space="preserve">Enf. Bur. </w:t>
      </w:r>
      <w:r>
        <w:t xml:space="preserve">2011); </w:t>
      </w:r>
      <w:r w:rsidRPr="004C0E37">
        <w:rPr>
          <w:i/>
        </w:rPr>
        <w:t>General Equipment and Supply</w:t>
      </w:r>
      <w:r>
        <w:t>, Forfeiture Order, 25 FCC Rcd 16928</w:t>
      </w:r>
      <w:r w:rsidR="00EC46D1">
        <w:t>, para. 5</w:t>
      </w:r>
      <w:r>
        <w:t xml:space="preserve"> (</w:t>
      </w:r>
      <w:r w:rsidR="002B73EA">
        <w:t xml:space="preserve">Enf. Bur. </w:t>
      </w:r>
      <w:r>
        <w:t>2010);</w:t>
      </w:r>
      <w:r w:rsidRPr="004C0E37">
        <w:rPr>
          <w:i/>
        </w:rPr>
        <w:t xml:space="preserve"> Hodson Broadcasting</w:t>
      </w:r>
      <w:r>
        <w:t>, Forfeiture Order, 24 FCC Rcd 13699</w:t>
      </w:r>
      <w:r w:rsidR="00EC46D1">
        <w:t>, para. 19</w:t>
      </w:r>
      <w:r>
        <w:t xml:space="preserve"> (</w:t>
      </w:r>
      <w:r w:rsidR="002B73EA">
        <w:t xml:space="preserve">Enf. Bur. </w:t>
      </w:r>
      <w:r>
        <w:t>2009).</w:t>
      </w:r>
    </w:p>
  </w:footnote>
  <w:footnote w:id="13">
    <w:p w:rsidR="003967EA" w:rsidRDefault="003967EA" w:rsidP="003967EA">
      <w:pPr>
        <w:pStyle w:val="FootnoteText"/>
      </w:pPr>
      <w:r>
        <w:rPr>
          <w:rStyle w:val="FootnoteReference"/>
        </w:rPr>
        <w:footnoteRef/>
      </w:r>
      <w:r>
        <w:t xml:space="preserve"> 47 C.F.R. § 1.80.</w:t>
      </w:r>
    </w:p>
  </w:footnote>
  <w:footnote w:id="14">
    <w:p w:rsidR="003967EA" w:rsidRDefault="003967EA" w:rsidP="003967EA">
      <w:pPr>
        <w:pStyle w:val="FootnoteText"/>
      </w:pPr>
      <w:r>
        <w:rPr>
          <w:rStyle w:val="FootnoteReference"/>
        </w:rPr>
        <w:footnoteRef/>
      </w:r>
      <w:r>
        <w:t xml:space="preserve"> 47 U.S.C. § 504(a).</w:t>
      </w:r>
    </w:p>
  </w:footnote>
  <w:footnote w:id="15">
    <w:p w:rsidR="003967EA" w:rsidRDefault="003967EA" w:rsidP="003967EA">
      <w:pPr>
        <w:pStyle w:val="FootnoteText"/>
      </w:pPr>
      <w:r>
        <w:rPr>
          <w:rStyle w:val="FootnoteReference"/>
        </w:rPr>
        <w:footnoteRef/>
      </w:r>
      <w:r>
        <w:t xml:space="preserve"> </w:t>
      </w:r>
      <w:r w:rsidRPr="00626BA2">
        <w:rPr>
          <w:rFonts w:eastAsia="MS Mincho" w:cs="Arial"/>
        </w:rPr>
        <w:t>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16">
    <w:p w:rsidR="003967EA" w:rsidRDefault="003967EA" w:rsidP="003967EA">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41" w:rsidRDefault="002E3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D2F51">
      <w:t>FCC 15-6</w:t>
    </w:r>
  </w:p>
  <w:p w:rsidR="00D25FB5" w:rsidRDefault="00501F5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91B41B2" wp14:editId="75B3FBC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01F5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F45DD">
      <w:rPr>
        <w:spacing w:val="-2"/>
      </w:rPr>
      <w:t>FCC 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57"/>
    <w:rsid w:val="00000762"/>
    <w:rsid w:val="00036039"/>
    <w:rsid w:val="00037F90"/>
    <w:rsid w:val="00042033"/>
    <w:rsid w:val="0004627F"/>
    <w:rsid w:val="00050D97"/>
    <w:rsid w:val="00054EE8"/>
    <w:rsid w:val="00061411"/>
    <w:rsid w:val="00081CEB"/>
    <w:rsid w:val="000875BF"/>
    <w:rsid w:val="00096D8C"/>
    <w:rsid w:val="000B0B01"/>
    <w:rsid w:val="000C0B65"/>
    <w:rsid w:val="000E05FE"/>
    <w:rsid w:val="000E3D42"/>
    <w:rsid w:val="000F0848"/>
    <w:rsid w:val="000F2FA8"/>
    <w:rsid w:val="000F4C33"/>
    <w:rsid w:val="000F59DB"/>
    <w:rsid w:val="00101002"/>
    <w:rsid w:val="00107A63"/>
    <w:rsid w:val="00122BD5"/>
    <w:rsid w:val="00123948"/>
    <w:rsid w:val="00133F79"/>
    <w:rsid w:val="00153346"/>
    <w:rsid w:val="001566BE"/>
    <w:rsid w:val="00194A66"/>
    <w:rsid w:val="001B63B7"/>
    <w:rsid w:val="001B79E5"/>
    <w:rsid w:val="001C2D20"/>
    <w:rsid w:val="001C5763"/>
    <w:rsid w:val="001D5142"/>
    <w:rsid w:val="001D6BCF"/>
    <w:rsid w:val="001E01CA"/>
    <w:rsid w:val="00202568"/>
    <w:rsid w:val="0020590A"/>
    <w:rsid w:val="0020708A"/>
    <w:rsid w:val="002272CC"/>
    <w:rsid w:val="00235AD8"/>
    <w:rsid w:val="00264094"/>
    <w:rsid w:val="0027360A"/>
    <w:rsid w:val="0027541C"/>
    <w:rsid w:val="00275CF5"/>
    <w:rsid w:val="0028301F"/>
    <w:rsid w:val="0028325D"/>
    <w:rsid w:val="00285017"/>
    <w:rsid w:val="002A2D2E"/>
    <w:rsid w:val="002B73EA"/>
    <w:rsid w:val="002C00E8"/>
    <w:rsid w:val="002C7ADC"/>
    <w:rsid w:val="002D2F51"/>
    <w:rsid w:val="002E3341"/>
    <w:rsid w:val="002F30E1"/>
    <w:rsid w:val="002F45DD"/>
    <w:rsid w:val="0031293A"/>
    <w:rsid w:val="00314F62"/>
    <w:rsid w:val="00323916"/>
    <w:rsid w:val="00324754"/>
    <w:rsid w:val="00343749"/>
    <w:rsid w:val="00353DA0"/>
    <w:rsid w:val="003660ED"/>
    <w:rsid w:val="0037084F"/>
    <w:rsid w:val="00381BEE"/>
    <w:rsid w:val="00384406"/>
    <w:rsid w:val="00391D3E"/>
    <w:rsid w:val="003967EA"/>
    <w:rsid w:val="003B0550"/>
    <w:rsid w:val="003B694F"/>
    <w:rsid w:val="003F171C"/>
    <w:rsid w:val="003F3355"/>
    <w:rsid w:val="00412FC5"/>
    <w:rsid w:val="00416C73"/>
    <w:rsid w:val="00422276"/>
    <w:rsid w:val="004242F1"/>
    <w:rsid w:val="00437C92"/>
    <w:rsid w:val="00445A00"/>
    <w:rsid w:val="00451B0F"/>
    <w:rsid w:val="004649E7"/>
    <w:rsid w:val="00465C46"/>
    <w:rsid w:val="004922B1"/>
    <w:rsid w:val="004B7893"/>
    <w:rsid w:val="004C2EE3"/>
    <w:rsid w:val="004C78B7"/>
    <w:rsid w:val="004D0E5C"/>
    <w:rsid w:val="004E4A22"/>
    <w:rsid w:val="004F6333"/>
    <w:rsid w:val="004F6712"/>
    <w:rsid w:val="00501F57"/>
    <w:rsid w:val="00511968"/>
    <w:rsid w:val="005225D9"/>
    <w:rsid w:val="00523A46"/>
    <w:rsid w:val="00526A86"/>
    <w:rsid w:val="00542DDA"/>
    <w:rsid w:val="00547D6F"/>
    <w:rsid w:val="0055614C"/>
    <w:rsid w:val="005851E5"/>
    <w:rsid w:val="005A1788"/>
    <w:rsid w:val="005B19BA"/>
    <w:rsid w:val="005D2C18"/>
    <w:rsid w:val="005D673A"/>
    <w:rsid w:val="005E14C2"/>
    <w:rsid w:val="005E2246"/>
    <w:rsid w:val="005E4452"/>
    <w:rsid w:val="005F4F55"/>
    <w:rsid w:val="00607BA5"/>
    <w:rsid w:val="0061180A"/>
    <w:rsid w:val="00626EB6"/>
    <w:rsid w:val="0063051E"/>
    <w:rsid w:val="00634B07"/>
    <w:rsid w:val="006520F6"/>
    <w:rsid w:val="00655D03"/>
    <w:rsid w:val="006759A2"/>
    <w:rsid w:val="00683388"/>
    <w:rsid w:val="00683F84"/>
    <w:rsid w:val="00694C63"/>
    <w:rsid w:val="006A6A81"/>
    <w:rsid w:val="006E00B2"/>
    <w:rsid w:val="006F7393"/>
    <w:rsid w:val="007012A1"/>
    <w:rsid w:val="0070224F"/>
    <w:rsid w:val="007115F7"/>
    <w:rsid w:val="00711EA3"/>
    <w:rsid w:val="007125EF"/>
    <w:rsid w:val="007159A8"/>
    <w:rsid w:val="00732EE6"/>
    <w:rsid w:val="00734604"/>
    <w:rsid w:val="00767F62"/>
    <w:rsid w:val="0078378B"/>
    <w:rsid w:val="00785689"/>
    <w:rsid w:val="00786374"/>
    <w:rsid w:val="00787C0A"/>
    <w:rsid w:val="0079754B"/>
    <w:rsid w:val="007A1E6D"/>
    <w:rsid w:val="007A6EE7"/>
    <w:rsid w:val="007B0EB2"/>
    <w:rsid w:val="00810B6F"/>
    <w:rsid w:val="00822CE0"/>
    <w:rsid w:val="00837968"/>
    <w:rsid w:val="00840C74"/>
    <w:rsid w:val="00841AB1"/>
    <w:rsid w:val="00855121"/>
    <w:rsid w:val="008B739B"/>
    <w:rsid w:val="008C68F1"/>
    <w:rsid w:val="008E245F"/>
    <w:rsid w:val="00912E4C"/>
    <w:rsid w:val="00915BA6"/>
    <w:rsid w:val="00921803"/>
    <w:rsid w:val="00926503"/>
    <w:rsid w:val="009726D8"/>
    <w:rsid w:val="00972D44"/>
    <w:rsid w:val="009A1EED"/>
    <w:rsid w:val="009A3335"/>
    <w:rsid w:val="009A6F4F"/>
    <w:rsid w:val="009B4D6A"/>
    <w:rsid w:val="009B72A0"/>
    <w:rsid w:val="009E562E"/>
    <w:rsid w:val="009F6D80"/>
    <w:rsid w:val="009F76DB"/>
    <w:rsid w:val="00A10FA8"/>
    <w:rsid w:val="00A16F11"/>
    <w:rsid w:val="00A32C3B"/>
    <w:rsid w:val="00A40210"/>
    <w:rsid w:val="00A45F4F"/>
    <w:rsid w:val="00A53305"/>
    <w:rsid w:val="00A600A9"/>
    <w:rsid w:val="00A644B3"/>
    <w:rsid w:val="00A75603"/>
    <w:rsid w:val="00A85FBA"/>
    <w:rsid w:val="00AA55B7"/>
    <w:rsid w:val="00AA5B9E"/>
    <w:rsid w:val="00AB2407"/>
    <w:rsid w:val="00AB53DF"/>
    <w:rsid w:val="00AC2095"/>
    <w:rsid w:val="00AD6B58"/>
    <w:rsid w:val="00AE027F"/>
    <w:rsid w:val="00AE0783"/>
    <w:rsid w:val="00AE51AD"/>
    <w:rsid w:val="00B07E5C"/>
    <w:rsid w:val="00B3740D"/>
    <w:rsid w:val="00B50BCB"/>
    <w:rsid w:val="00B620EC"/>
    <w:rsid w:val="00B80D6D"/>
    <w:rsid w:val="00B811F7"/>
    <w:rsid w:val="00B906A8"/>
    <w:rsid w:val="00BA5DC6"/>
    <w:rsid w:val="00BA6196"/>
    <w:rsid w:val="00BB4C8F"/>
    <w:rsid w:val="00BC6D8C"/>
    <w:rsid w:val="00BF6BB1"/>
    <w:rsid w:val="00BF78F0"/>
    <w:rsid w:val="00C038C9"/>
    <w:rsid w:val="00C34006"/>
    <w:rsid w:val="00C426B1"/>
    <w:rsid w:val="00C458BE"/>
    <w:rsid w:val="00C66160"/>
    <w:rsid w:val="00C721AC"/>
    <w:rsid w:val="00C762D0"/>
    <w:rsid w:val="00C822F9"/>
    <w:rsid w:val="00C846A9"/>
    <w:rsid w:val="00C90D6A"/>
    <w:rsid w:val="00C94EF6"/>
    <w:rsid w:val="00CA247E"/>
    <w:rsid w:val="00CB089E"/>
    <w:rsid w:val="00CC3B0E"/>
    <w:rsid w:val="00CC72B6"/>
    <w:rsid w:val="00CD3ED3"/>
    <w:rsid w:val="00CD5A2F"/>
    <w:rsid w:val="00CE2D46"/>
    <w:rsid w:val="00D0218D"/>
    <w:rsid w:val="00D12F9E"/>
    <w:rsid w:val="00D25FB5"/>
    <w:rsid w:val="00D27CF8"/>
    <w:rsid w:val="00D44223"/>
    <w:rsid w:val="00D45607"/>
    <w:rsid w:val="00D60339"/>
    <w:rsid w:val="00D8165E"/>
    <w:rsid w:val="00D82262"/>
    <w:rsid w:val="00DA2529"/>
    <w:rsid w:val="00DB130A"/>
    <w:rsid w:val="00DB2EBB"/>
    <w:rsid w:val="00DC10A1"/>
    <w:rsid w:val="00DC655F"/>
    <w:rsid w:val="00DD0B59"/>
    <w:rsid w:val="00DD7EBD"/>
    <w:rsid w:val="00DF1758"/>
    <w:rsid w:val="00DF62B6"/>
    <w:rsid w:val="00E028B1"/>
    <w:rsid w:val="00E07225"/>
    <w:rsid w:val="00E17575"/>
    <w:rsid w:val="00E33E7A"/>
    <w:rsid w:val="00E40B21"/>
    <w:rsid w:val="00E43AFF"/>
    <w:rsid w:val="00E4715F"/>
    <w:rsid w:val="00E51529"/>
    <w:rsid w:val="00E5409F"/>
    <w:rsid w:val="00E80ECD"/>
    <w:rsid w:val="00E822CD"/>
    <w:rsid w:val="00E93E36"/>
    <w:rsid w:val="00E97517"/>
    <w:rsid w:val="00EC46D1"/>
    <w:rsid w:val="00ED1243"/>
    <w:rsid w:val="00EE6488"/>
    <w:rsid w:val="00EF2238"/>
    <w:rsid w:val="00F021FA"/>
    <w:rsid w:val="00F618EC"/>
    <w:rsid w:val="00F62E97"/>
    <w:rsid w:val="00F64209"/>
    <w:rsid w:val="00F909C8"/>
    <w:rsid w:val="00F93BF5"/>
    <w:rsid w:val="00FE2F72"/>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E4C"/>
    <w:pPr>
      <w:widowControl w:val="0"/>
    </w:pPr>
    <w:rPr>
      <w:snapToGrid w:val="0"/>
      <w:kern w:val="28"/>
      <w:sz w:val="22"/>
    </w:rPr>
  </w:style>
  <w:style w:type="paragraph" w:styleId="Heading1">
    <w:name w:val="heading 1"/>
    <w:basedOn w:val="Normal"/>
    <w:next w:val="ParaNum"/>
    <w:link w:val="Heading1Char"/>
    <w:qFormat/>
    <w:rsid w:val="00912E4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2E4C"/>
    <w:pPr>
      <w:keepNext/>
      <w:numPr>
        <w:ilvl w:val="1"/>
        <w:numId w:val="3"/>
      </w:numPr>
      <w:spacing w:after="120"/>
      <w:outlineLvl w:val="1"/>
    </w:pPr>
    <w:rPr>
      <w:b/>
    </w:rPr>
  </w:style>
  <w:style w:type="paragraph" w:styleId="Heading3">
    <w:name w:val="heading 3"/>
    <w:basedOn w:val="Normal"/>
    <w:next w:val="ParaNum"/>
    <w:qFormat/>
    <w:rsid w:val="00912E4C"/>
    <w:pPr>
      <w:keepNext/>
      <w:numPr>
        <w:ilvl w:val="2"/>
        <w:numId w:val="3"/>
      </w:numPr>
      <w:tabs>
        <w:tab w:val="left" w:pos="2160"/>
      </w:tabs>
      <w:spacing w:after="120"/>
      <w:outlineLvl w:val="2"/>
    </w:pPr>
    <w:rPr>
      <w:b/>
    </w:rPr>
  </w:style>
  <w:style w:type="paragraph" w:styleId="Heading4">
    <w:name w:val="heading 4"/>
    <w:basedOn w:val="Normal"/>
    <w:next w:val="ParaNum"/>
    <w:qFormat/>
    <w:rsid w:val="00912E4C"/>
    <w:pPr>
      <w:keepNext/>
      <w:numPr>
        <w:ilvl w:val="3"/>
        <w:numId w:val="3"/>
      </w:numPr>
      <w:tabs>
        <w:tab w:val="left" w:pos="2880"/>
      </w:tabs>
      <w:spacing w:after="120"/>
      <w:outlineLvl w:val="3"/>
    </w:pPr>
    <w:rPr>
      <w:b/>
    </w:rPr>
  </w:style>
  <w:style w:type="paragraph" w:styleId="Heading5">
    <w:name w:val="heading 5"/>
    <w:basedOn w:val="Normal"/>
    <w:next w:val="ParaNum"/>
    <w:qFormat/>
    <w:rsid w:val="00912E4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2E4C"/>
    <w:pPr>
      <w:numPr>
        <w:ilvl w:val="5"/>
        <w:numId w:val="3"/>
      </w:numPr>
      <w:tabs>
        <w:tab w:val="left" w:pos="4320"/>
      </w:tabs>
      <w:spacing w:after="120"/>
      <w:outlineLvl w:val="5"/>
    </w:pPr>
    <w:rPr>
      <w:b/>
    </w:rPr>
  </w:style>
  <w:style w:type="paragraph" w:styleId="Heading7">
    <w:name w:val="heading 7"/>
    <w:basedOn w:val="Normal"/>
    <w:next w:val="ParaNum"/>
    <w:qFormat/>
    <w:rsid w:val="00912E4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2E4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2E4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2E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E4C"/>
  </w:style>
  <w:style w:type="paragraph" w:customStyle="1" w:styleId="ParaNum">
    <w:name w:val="ParaNum"/>
    <w:basedOn w:val="Normal"/>
    <w:link w:val="ParaNumChar1"/>
    <w:rsid w:val="00912E4C"/>
    <w:pPr>
      <w:numPr>
        <w:numId w:val="2"/>
      </w:numPr>
      <w:tabs>
        <w:tab w:val="clear" w:pos="1080"/>
        <w:tab w:val="num" w:pos="1440"/>
      </w:tabs>
      <w:spacing w:after="120"/>
    </w:pPr>
  </w:style>
  <w:style w:type="paragraph" w:styleId="EndnoteText">
    <w:name w:val="endnote text"/>
    <w:basedOn w:val="Normal"/>
    <w:semiHidden/>
    <w:rsid w:val="00912E4C"/>
    <w:rPr>
      <w:sz w:val="20"/>
    </w:rPr>
  </w:style>
  <w:style w:type="character" w:styleId="EndnoteReference">
    <w:name w:val="endnote reference"/>
    <w:semiHidden/>
    <w:rsid w:val="00912E4C"/>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n Char,ALTS FOOTNOTE,fn,rrfootnote,f"/>
    <w:link w:val="FootnoteTextChar"/>
    <w:rsid w:val="00912E4C"/>
    <w:pPr>
      <w:spacing w:after="120"/>
    </w:pPr>
  </w:style>
  <w:style w:type="character" w:styleId="FootnoteReference">
    <w:name w:val="footnote reference"/>
    <w:aliases w:val="Style 12,(NECG) Footnote Reference,Appel note de bas de p,Style 124,Style 4,Style 13,o,fr,Style 3"/>
    <w:rsid w:val="00912E4C"/>
    <w:rPr>
      <w:rFonts w:ascii="Times New Roman" w:hAnsi="Times New Roman"/>
      <w:dstrike w:val="0"/>
      <w:color w:val="auto"/>
      <w:sz w:val="20"/>
      <w:vertAlign w:val="superscript"/>
    </w:rPr>
  </w:style>
  <w:style w:type="paragraph" w:styleId="TOC1">
    <w:name w:val="toc 1"/>
    <w:basedOn w:val="Normal"/>
    <w:next w:val="Normal"/>
    <w:semiHidden/>
    <w:rsid w:val="00912E4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2E4C"/>
    <w:pPr>
      <w:tabs>
        <w:tab w:val="left" w:pos="720"/>
        <w:tab w:val="right" w:leader="dot" w:pos="9360"/>
      </w:tabs>
      <w:suppressAutoHyphens/>
      <w:ind w:left="720" w:right="720" w:hanging="360"/>
    </w:pPr>
    <w:rPr>
      <w:noProof/>
    </w:rPr>
  </w:style>
  <w:style w:type="paragraph" w:styleId="TOC3">
    <w:name w:val="toc 3"/>
    <w:basedOn w:val="Normal"/>
    <w:next w:val="Normal"/>
    <w:semiHidden/>
    <w:rsid w:val="00912E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2E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2E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2E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2E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2E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2E4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2E4C"/>
    <w:pPr>
      <w:tabs>
        <w:tab w:val="right" w:pos="9360"/>
      </w:tabs>
      <w:suppressAutoHyphens/>
    </w:pPr>
  </w:style>
  <w:style w:type="character" w:customStyle="1" w:styleId="EquationCaption">
    <w:name w:val="_Equation Caption"/>
    <w:rsid w:val="00912E4C"/>
  </w:style>
  <w:style w:type="paragraph" w:styleId="Header">
    <w:name w:val="header"/>
    <w:basedOn w:val="Normal"/>
    <w:autoRedefine/>
    <w:rsid w:val="00912E4C"/>
    <w:pPr>
      <w:tabs>
        <w:tab w:val="center" w:pos="4680"/>
        <w:tab w:val="right" w:pos="9360"/>
      </w:tabs>
    </w:pPr>
    <w:rPr>
      <w:b/>
    </w:rPr>
  </w:style>
  <w:style w:type="paragraph" w:styleId="Footer">
    <w:name w:val="footer"/>
    <w:basedOn w:val="Normal"/>
    <w:rsid w:val="00912E4C"/>
    <w:pPr>
      <w:tabs>
        <w:tab w:val="center" w:pos="4320"/>
        <w:tab w:val="right" w:pos="8640"/>
      </w:tabs>
    </w:pPr>
  </w:style>
  <w:style w:type="character" w:styleId="PageNumber">
    <w:name w:val="page number"/>
    <w:basedOn w:val="DefaultParagraphFont"/>
    <w:rsid w:val="00912E4C"/>
  </w:style>
  <w:style w:type="paragraph" w:styleId="BlockText">
    <w:name w:val="Block Text"/>
    <w:basedOn w:val="Normal"/>
    <w:rsid w:val="00912E4C"/>
    <w:pPr>
      <w:spacing w:after="240"/>
      <w:ind w:left="1440" w:right="1440"/>
    </w:pPr>
  </w:style>
  <w:style w:type="paragraph" w:customStyle="1" w:styleId="Paratitle">
    <w:name w:val="Para title"/>
    <w:basedOn w:val="Normal"/>
    <w:rsid w:val="00912E4C"/>
    <w:pPr>
      <w:tabs>
        <w:tab w:val="center" w:pos="9270"/>
      </w:tabs>
      <w:spacing w:after="240"/>
    </w:pPr>
    <w:rPr>
      <w:spacing w:val="-2"/>
    </w:rPr>
  </w:style>
  <w:style w:type="paragraph" w:customStyle="1" w:styleId="Bullet">
    <w:name w:val="Bullet"/>
    <w:basedOn w:val="Normal"/>
    <w:rsid w:val="00912E4C"/>
    <w:pPr>
      <w:tabs>
        <w:tab w:val="left" w:pos="2160"/>
      </w:tabs>
      <w:spacing w:after="220"/>
      <w:ind w:left="2160" w:hanging="720"/>
    </w:pPr>
  </w:style>
  <w:style w:type="paragraph" w:customStyle="1" w:styleId="TableFormat">
    <w:name w:val="TableFormat"/>
    <w:basedOn w:val="Bullet"/>
    <w:rsid w:val="00912E4C"/>
    <w:pPr>
      <w:tabs>
        <w:tab w:val="clear" w:pos="2160"/>
        <w:tab w:val="left" w:pos="5040"/>
      </w:tabs>
      <w:ind w:left="5040" w:hanging="3600"/>
    </w:pPr>
  </w:style>
  <w:style w:type="paragraph" w:customStyle="1" w:styleId="TOCTitle">
    <w:name w:val="TOC Title"/>
    <w:basedOn w:val="Normal"/>
    <w:rsid w:val="00912E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2E4C"/>
    <w:pPr>
      <w:jc w:val="center"/>
    </w:pPr>
    <w:rPr>
      <w:rFonts w:ascii="Times New Roman Bold" w:hAnsi="Times New Roman Bold"/>
      <w:b/>
      <w:bCs/>
      <w:caps/>
      <w:szCs w:val="22"/>
    </w:rPr>
  </w:style>
  <w:style w:type="character" w:styleId="Hyperlink">
    <w:name w:val="Hyperlink"/>
    <w:rsid w:val="00912E4C"/>
    <w:rPr>
      <w:color w:val="0000FF"/>
      <w:u w:val="single"/>
    </w:rPr>
  </w:style>
  <w:style w:type="character" w:customStyle="1" w:styleId="Heading1Char">
    <w:name w:val="Heading 1 Char"/>
    <w:basedOn w:val="DefaultParagraphFont"/>
    <w:link w:val="Heading1"/>
    <w:rsid w:val="00BF6BB1"/>
    <w:rPr>
      <w:rFonts w:ascii="Times New Roman Bold" w:hAnsi="Times New Roman Bold"/>
      <w:b/>
      <w:caps/>
      <w:snapToGrid w:val="0"/>
      <w:kern w:val="28"/>
      <w:sz w:val="22"/>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n Char Char,ALTS FOOTNOTE Char"/>
    <w:link w:val="FootnoteText"/>
    <w:locked/>
    <w:rsid w:val="003967EA"/>
  </w:style>
  <w:style w:type="character" w:customStyle="1" w:styleId="ParaNumChar1">
    <w:name w:val="ParaNum Char1"/>
    <w:link w:val="ParaNum"/>
    <w:locked/>
    <w:rsid w:val="003967EA"/>
    <w:rPr>
      <w:snapToGrid w:val="0"/>
      <w:kern w:val="28"/>
      <w:sz w:val="22"/>
    </w:rPr>
  </w:style>
  <w:style w:type="character" w:styleId="CommentReference">
    <w:name w:val="annotation reference"/>
    <w:basedOn w:val="DefaultParagraphFont"/>
    <w:rsid w:val="006E00B2"/>
    <w:rPr>
      <w:sz w:val="16"/>
      <w:szCs w:val="16"/>
    </w:rPr>
  </w:style>
  <w:style w:type="paragraph" w:styleId="CommentText">
    <w:name w:val="annotation text"/>
    <w:basedOn w:val="Normal"/>
    <w:link w:val="CommentTextChar"/>
    <w:rsid w:val="006E00B2"/>
    <w:rPr>
      <w:sz w:val="20"/>
    </w:rPr>
  </w:style>
  <w:style w:type="character" w:customStyle="1" w:styleId="CommentTextChar">
    <w:name w:val="Comment Text Char"/>
    <w:basedOn w:val="DefaultParagraphFont"/>
    <w:link w:val="CommentText"/>
    <w:rsid w:val="006E00B2"/>
    <w:rPr>
      <w:snapToGrid w:val="0"/>
      <w:kern w:val="28"/>
    </w:rPr>
  </w:style>
  <w:style w:type="paragraph" w:styleId="CommentSubject">
    <w:name w:val="annotation subject"/>
    <w:basedOn w:val="CommentText"/>
    <w:next w:val="CommentText"/>
    <w:link w:val="CommentSubjectChar"/>
    <w:rsid w:val="006E00B2"/>
    <w:rPr>
      <w:b/>
      <w:bCs/>
    </w:rPr>
  </w:style>
  <w:style w:type="character" w:customStyle="1" w:styleId="CommentSubjectChar">
    <w:name w:val="Comment Subject Char"/>
    <w:basedOn w:val="CommentTextChar"/>
    <w:link w:val="CommentSubject"/>
    <w:rsid w:val="006E00B2"/>
    <w:rPr>
      <w:b/>
      <w:bCs/>
      <w:snapToGrid w:val="0"/>
      <w:kern w:val="28"/>
    </w:rPr>
  </w:style>
  <w:style w:type="paragraph" w:styleId="BalloonText">
    <w:name w:val="Balloon Text"/>
    <w:basedOn w:val="Normal"/>
    <w:link w:val="BalloonTextChar"/>
    <w:rsid w:val="006E00B2"/>
    <w:rPr>
      <w:rFonts w:ascii="Tahoma" w:hAnsi="Tahoma" w:cs="Tahoma"/>
      <w:sz w:val="16"/>
      <w:szCs w:val="16"/>
    </w:rPr>
  </w:style>
  <w:style w:type="character" w:customStyle="1" w:styleId="BalloonTextChar">
    <w:name w:val="Balloon Text Char"/>
    <w:basedOn w:val="DefaultParagraphFont"/>
    <w:link w:val="BalloonText"/>
    <w:rsid w:val="006E00B2"/>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E4C"/>
    <w:pPr>
      <w:widowControl w:val="0"/>
    </w:pPr>
    <w:rPr>
      <w:snapToGrid w:val="0"/>
      <w:kern w:val="28"/>
      <w:sz w:val="22"/>
    </w:rPr>
  </w:style>
  <w:style w:type="paragraph" w:styleId="Heading1">
    <w:name w:val="heading 1"/>
    <w:basedOn w:val="Normal"/>
    <w:next w:val="ParaNum"/>
    <w:link w:val="Heading1Char"/>
    <w:qFormat/>
    <w:rsid w:val="00912E4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2E4C"/>
    <w:pPr>
      <w:keepNext/>
      <w:numPr>
        <w:ilvl w:val="1"/>
        <w:numId w:val="3"/>
      </w:numPr>
      <w:spacing w:after="120"/>
      <w:outlineLvl w:val="1"/>
    </w:pPr>
    <w:rPr>
      <w:b/>
    </w:rPr>
  </w:style>
  <w:style w:type="paragraph" w:styleId="Heading3">
    <w:name w:val="heading 3"/>
    <w:basedOn w:val="Normal"/>
    <w:next w:val="ParaNum"/>
    <w:qFormat/>
    <w:rsid w:val="00912E4C"/>
    <w:pPr>
      <w:keepNext/>
      <w:numPr>
        <w:ilvl w:val="2"/>
        <w:numId w:val="3"/>
      </w:numPr>
      <w:tabs>
        <w:tab w:val="left" w:pos="2160"/>
      </w:tabs>
      <w:spacing w:after="120"/>
      <w:outlineLvl w:val="2"/>
    </w:pPr>
    <w:rPr>
      <w:b/>
    </w:rPr>
  </w:style>
  <w:style w:type="paragraph" w:styleId="Heading4">
    <w:name w:val="heading 4"/>
    <w:basedOn w:val="Normal"/>
    <w:next w:val="ParaNum"/>
    <w:qFormat/>
    <w:rsid w:val="00912E4C"/>
    <w:pPr>
      <w:keepNext/>
      <w:numPr>
        <w:ilvl w:val="3"/>
        <w:numId w:val="3"/>
      </w:numPr>
      <w:tabs>
        <w:tab w:val="left" w:pos="2880"/>
      </w:tabs>
      <w:spacing w:after="120"/>
      <w:outlineLvl w:val="3"/>
    </w:pPr>
    <w:rPr>
      <w:b/>
    </w:rPr>
  </w:style>
  <w:style w:type="paragraph" w:styleId="Heading5">
    <w:name w:val="heading 5"/>
    <w:basedOn w:val="Normal"/>
    <w:next w:val="ParaNum"/>
    <w:qFormat/>
    <w:rsid w:val="00912E4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2E4C"/>
    <w:pPr>
      <w:numPr>
        <w:ilvl w:val="5"/>
        <w:numId w:val="3"/>
      </w:numPr>
      <w:tabs>
        <w:tab w:val="left" w:pos="4320"/>
      </w:tabs>
      <w:spacing w:after="120"/>
      <w:outlineLvl w:val="5"/>
    </w:pPr>
    <w:rPr>
      <w:b/>
    </w:rPr>
  </w:style>
  <w:style w:type="paragraph" w:styleId="Heading7">
    <w:name w:val="heading 7"/>
    <w:basedOn w:val="Normal"/>
    <w:next w:val="ParaNum"/>
    <w:qFormat/>
    <w:rsid w:val="00912E4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2E4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2E4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2E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E4C"/>
  </w:style>
  <w:style w:type="paragraph" w:customStyle="1" w:styleId="ParaNum">
    <w:name w:val="ParaNum"/>
    <w:basedOn w:val="Normal"/>
    <w:link w:val="ParaNumChar1"/>
    <w:rsid w:val="00912E4C"/>
    <w:pPr>
      <w:numPr>
        <w:numId w:val="2"/>
      </w:numPr>
      <w:tabs>
        <w:tab w:val="clear" w:pos="1080"/>
        <w:tab w:val="num" w:pos="1440"/>
      </w:tabs>
      <w:spacing w:after="120"/>
    </w:pPr>
  </w:style>
  <w:style w:type="paragraph" w:styleId="EndnoteText">
    <w:name w:val="endnote text"/>
    <w:basedOn w:val="Normal"/>
    <w:semiHidden/>
    <w:rsid w:val="00912E4C"/>
    <w:rPr>
      <w:sz w:val="20"/>
    </w:rPr>
  </w:style>
  <w:style w:type="character" w:styleId="EndnoteReference">
    <w:name w:val="endnote reference"/>
    <w:semiHidden/>
    <w:rsid w:val="00912E4C"/>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n Char,ALTS FOOTNOTE,fn,rrfootnote,f"/>
    <w:link w:val="FootnoteTextChar"/>
    <w:rsid w:val="00912E4C"/>
    <w:pPr>
      <w:spacing w:after="120"/>
    </w:pPr>
  </w:style>
  <w:style w:type="character" w:styleId="FootnoteReference">
    <w:name w:val="footnote reference"/>
    <w:aliases w:val="Style 12,(NECG) Footnote Reference,Appel note de bas de p,Style 124,Style 4,Style 13,o,fr,Style 3"/>
    <w:rsid w:val="00912E4C"/>
    <w:rPr>
      <w:rFonts w:ascii="Times New Roman" w:hAnsi="Times New Roman"/>
      <w:dstrike w:val="0"/>
      <w:color w:val="auto"/>
      <w:sz w:val="20"/>
      <w:vertAlign w:val="superscript"/>
    </w:rPr>
  </w:style>
  <w:style w:type="paragraph" w:styleId="TOC1">
    <w:name w:val="toc 1"/>
    <w:basedOn w:val="Normal"/>
    <w:next w:val="Normal"/>
    <w:semiHidden/>
    <w:rsid w:val="00912E4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2E4C"/>
    <w:pPr>
      <w:tabs>
        <w:tab w:val="left" w:pos="720"/>
        <w:tab w:val="right" w:leader="dot" w:pos="9360"/>
      </w:tabs>
      <w:suppressAutoHyphens/>
      <w:ind w:left="720" w:right="720" w:hanging="360"/>
    </w:pPr>
    <w:rPr>
      <w:noProof/>
    </w:rPr>
  </w:style>
  <w:style w:type="paragraph" w:styleId="TOC3">
    <w:name w:val="toc 3"/>
    <w:basedOn w:val="Normal"/>
    <w:next w:val="Normal"/>
    <w:semiHidden/>
    <w:rsid w:val="00912E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2E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2E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2E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2E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2E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2E4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2E4C"/>
    <w:pPr>
      <w:tabs>
        <w:tab w:val="right" w:pos="9360"/>
      </w:tabs>
      <w:suppressAutoHyphens/>
    </w:pPr>
  </w:style>
  <w:style w:type="character" w:customStyle="1" w:styleId="EquationCaption">
    <w:name w:val="_Equation Caption"/>
    <w:rsid w:val="00912E4C"/>
  </w:style>
  <w:style w:type="paragraph" w:styleId="Header">
    <w:name w:val="header"/>
    <w:basedOn w:val="Normal"/>
    <w:autoRedefine/>
    <w:rsid w:val="00912E4C"/>
    <w:pPr>
      <w:tabs>
        <w:tab w:val="center" w:pos="4680"/>
        <w:tab w:val="right" w:pos="9360"/>
      </w:tabs>
    </w:pPr>
    <w:rPr>
      <w:b/>
    </w:rPr>
  </w:style>
  <w:style w:type="paragraph" w:styleId="Footer">
    <w:name w:val="footer"/>
    <w:basedOn w:val="Normal"/>
    <w:rsid w:val="00912E4C"/>
    <w:pPr>
      <w:tabs>
        <w:tab w:val="center" w:pos="4320"/>
        <w:tab w:val="right" w:pos="8640"/>
      </w:tabs>
    </w:pPr>
  </w:style>
  <w:style w:type="character" w:styleId="PageNumber">
    <w:name w:val="page number"/>
    <w:basedOn w:val="DefaultParagraphFont"/>
    <w:rsid w:val="00912E4C"/>
  </w:style>
  <w:style w:type="paragraph" w:styleId="BlockText">
    <w:name w:val="Block Text"/>
    <w:basedOn w:val="Normal"/>
    <w:rsid w:val="00912E4C"/>
    <w:pPr>
      <w:spacing w:after="240"/>
      <w:ind w:left="1440" w:right="1440"/>
    </w:pPr>
  </w:style>
  <w:style w:type="paragraph" w:customStyle="1" w:styleId="Paratitle">
    <w:name w:val="Para title"/>
    <w:basedOn w:val="Normal"/>
    <w:rsid w:val="00912E4C"/>
    <w:pPr>
      <w:tabs>
        <w:tab w:val="center" w:pos="9270"/>
      </w:tabs>
      <w:spacing w:after="240"/>
    </w:pPr>
    <w:rPr>
      <w:spacing w:val="-2"/>
    </w:rPr>
  </w:style>
  <w:style w:type="paragraph" w:customStyle="1" w:styleId="Bullet">
    <w:name w:val="Bullet"/>
    <w:basedOn w:val="Normal"/>
    <w:rsid w:val="00912E4C"/>
    <w:pPr>
      <w:tabs>
        <w:tab w:val="left" w:pos="2160"/>
      </w:tabs>
      <w:spacing w:after="220"/>
      <w:ind w:left="2160" w:hanging="720"/>
    </w:pPr>
  </w:style>
  <w:style w:type="paragraph" w:customStyle="1" w:styleId="TableFormat">
    <w:name w:val="TableFormat"/>
    <w:basedOn w:val="Bullet"/>
    <w:rsid w:val="00912E4C"/>
    <w:pPr>
      <w:tabs>
        <w:tab w:val="clear" w:pos="2160"/>
        <w:tab w:val="left" w:pos="5040"/>
      </w:tabs>
      <w:ind w:left="5040" w:hanging="3600"/>
    </w:pPr>
  </w:style>
  <w:style w:type="paragraph" w:customStyle="1" w:styleId="TOCTitle">
    <w:name w:val="TOC Title"/>
    <w:basedOn w:val="Normal"/>
    <w:rsid w:val="00912E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2E4C"/>
    <w:pPr>
      <w:jc w:val="center"/>
    </w:pPr>
    <w:rPr>
      <w:rFonts w:ascii="Times New Roman Bold" w:hAnsi="Times New Roman Bold"/>
      <w:b/>
      <w:bCs/>
      <w:caps/>
      <w:szCs w:val="22"/>
    </w:rPr>
  </w:style>
  <w:style w:type="character" w:styleId="Hyperlink">
    <w:name w:val="Hyperlink"/>
    <w:rsid w:val="00912E4C"/>
    <w:rPr>
      <w:color w:val="0000FF"/>
      <w:u w:val="single"/>
    </w:rPr>
  </w:style>
  <w:style w:type="character" w:customStyle="1" w:styleId="Heading1Char">
    <w:name w:val="Heading 1 Char"/>
    <w:basedOn w:val="DefaultParagraphFont"/>
    <w:link w:val="Heading1"/>
    <w:rsid w:val="00BF6BB1"/>
    <w:rPr>
      <w:rFonts w:ascii="Times New Roman Bold" w:hAnsi="Times New Roman Bold"/>
      <w:b/>
      <w:caps/>
      <w:snapToGrid w:val="0"/>
      <w:kern w:val="28"/>
      <w:sz w:val="22"/>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n Char Char,ALTS FOOTNOTE Char"/>
    <w:link w:val="FootnoteText"/>
    <w:locked/>
    <w:rsid w:val="003967EA"/>
  </w:style>
  <w:style w:type="character" w:customStyle="1" w:styleId="ParaNumChar1">
    <w:name w:val="ParaNum Char1"/>
    <w:link w:val="ParaNum"/>
    <w:locked/>
    <w:rsid w:val="003967EA"/>
    <w:rPr>
      <w:snapToGrid w:val="0"/>
      <w:kern w:val="28"/>
      <w:sz w:val="22"/>
    </w:rPr>
  </w:style>
  <w:style w:type="character" w:styleId="CommentReference">
    <w:name w:val="annotation reference"/>
    <w:basedOn w:val="DefaultParagraphFont"/>
    <w:rsid w:val="006E00B2"/>
    <w:rPr>
      <w:sz w:val="16"/>
      <w:szCs w:val="16"/>
    </w:rPr>
  </w:style>
  <w:style w:type="paragraph" w:styleId="CommentText">
    <w:name w:val="annotation text"/>
    <w:basedOn w:val="Normal"/>
    <w:link w:val="CommentTextChar"/>
    <w:rsid w:val="006E00B2"/>
    <w:rPr>
      <w:sz w:val="20"/>
    </w:rPr>
  </w:style>
  <w:style w:type="character" w:customStyle="1" w:styleId="CommentTextChar">
    <w:name w:val="Comment Text Char"/>
    <w:basedOn w:val="DefaultParagraphFont"/>
    <w:link w:val="CommentText"/>
    <w:rsid w:val="006E00B2"/>
    <w:rPr>
      <w:snapToGrid w:val="0"/>
      <w:kern w:val="28"/>
    </w:rPr>
  </w:style>
  <w:style w:type="paragraph" w:styleId="CommentSubject">
    <w:name w:val="annotation subject"/>
    <w:basedOn w:val="CommentText"/>
    <w:next w:val="CommentText"/>
    <w:link w:val="CommentSubjectChar"/>
    <w:rsid w:val="006E00B2"/>
    <w:rPr>
      <w:b/>
      <w:bCs/>
    </w:rPr>
  </w:style>
  <w:style w:type="character" w:customStyle="1" w:styleId="CommentSubjectChar">
    <w:name w:val="Comment Subject Char"/>
    <w:basedOn w:val="CommentTextChar"/>
    <w:link w:val="CommentSubject"/>
    <w:rsid w:val="006E00B2"/>
    <w:rPr>
      <w:b/>
      <w:bCs/>
      <w:snapToGrid w:val="0"/>
      <w:kern w:val="28"/>
    </w:rPr>
  </w:style>
  <w:style w:type="paragraph" w:styleId="BalloonText">
    <w:name w:val="Balloon Text"/>
    <w:basedOn w:val="Normal"/>
    <w:link w:val="BalloonTextChar"/>
    <w:rsid w:val="006E00B2"/>
    <w:rPr>
      <w:rFonts w:ascii="Tahoma" w:hAnsi="Tahoma" w:cs="Tahoma"/>
      <w:sz w:val="16"/>
      <w:szCs w:val="16"/>
    </w:rPr>
  </w:style>
  <w:style w:type="character" w:customStyle="1" w:styleId="BalloonTextChar">
    <w:name w:val="Balloon Text Char"/>
    <w:basedOn w:val="DefaultParagraphFont"/>
    <w:link w:val="BalloonText"/>
    <w:rsid w:val="006E00B2"/>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Priesma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1319</Words>
  <Characters>7190</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2015-01-07T20:43:00Z</cp:lastPrinted>
  <dcterms:created xsi:type="dcterms:W3CDTF">2015-01-27T20:35:00Z</dcterms:created>
  <dcterms:modified xsi:type="dcterms:W3CDTF">2015-01-27T20:35:00Z</dcterms:modified>
  <cp:category> </cp:category>
  <cp:contentStatus> </cp:contentStatus>
</cp:coreProperties>
</file>