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63" w:rsidRDefault="00DD2963">
      <w:pPr>
        <w:jc w:val="center"/>
        <w:rPr>
          <w:b/>
        </w:rPr>
      </w:pPr>
      <w:bookmarkStart w:id="0" w:name="_GoBack"/>
      <w:bookmarkEnd w:id="0"/>
      <w:r>
        <w:rPr>
          <w:b/>
        </w:rPr>
        <w:t>Before the</w:t>
      </w:r>
    </w:p>
    <w:p w:rsidR="00DD2963" w:rsidRDefault="00DD2963">
      <w:pPr>
        <w:jc w:val="center"/>
        <w:rPr>
          <w:b/>
        </w:rPr>
      </w:pPr>
      <w:r>
        <w:rPr>
          <w:b/>
        </w:rPr>
        <w:t>Federal Communications Commission</w:t>
      </w:r>
    </w:p>
    <w:p w:rsidR="00DD2963" w:rsidRDefault="00DD2963">
      <w:pPr>
        <w:jc w:val="center"/>
        <w:rPr>
          <w:b/>
        </w:rPr>
      </w:pPr>
      <w:r>
        <w:rPr>
          <w:b/>
        </w:rPr>
        <w:t>Washington, D.C. 20554</w:t>
      </w:r>
    </w:p>
    <w:p w:rsidR="00DD2963" w:rsidRDefault="00DD2963">
      <w:pPr>
        <w:rPr>
          <w:rStyle w:val="EquationCaption"/>
        </w:rPr>
      </w:pPr>
    </w:p>
    <w:p w:rsidR="00DD2963" w:rsidRDefault="00DD2963">
      <w:pPr>
        <w:rPr>
          <w:rStyle w:val="EquationCaption"/>
        </w:rPr>
      </w:pPr>
    </w:p>
    <w:tbl>
      <w:tblPr>
        <w:tblW w:w="0" w:type="auto"/>
        <w:tblLayout w:type="fixed"/>
        <w:tblLook w:val="0000" w:firstRow="0" w:lastRow="0" w:firstColumn="0" w:lastColumn="0" w:noHBand="0" w:noVBand="0"/>
      </w:tblPr>
      <w:tblGrid>
        <w:gridCol w:w="4698"/>
        <w:gridCol w:w="630"/>
        <w:gridCol w:w="4248"/>
      </w:tblGrid>
      <w:tr w:rsidR="00DD2963" w:rsidTr="005C1BBE">
        <w:tc>
          <w:tcPr>
            <w:tcW w:w="4698" w:type="dxa"/>
            <w:shd w:val="clear" w:color="auto" w:fill="auto"/>
          </w:tcPr>
          <w:p w:rsidR="00DD2963" w:rsidRDefault="00DD2963">
            <w:pPr>
              <w:tabs>
                <w:tab w:val="center" w:pos="4680"/>
              </w:tabs>
              <w:suppressAutoHyphens/>
              <w:rPr>
                <w:spacing w:val="-2"/>
              </w:rPr>
            </w:pPr>
            <w:r>
              <w:rPr>
                <w:spacing w:val="-2"/>
              </w:rPr>
              <w:t>In the Matter of</w:t>
            </w:r>
          </w:p>
          <w:p w:rsidR="00DD2963" w:rsidRDefault="00DD2963">
            <w:pPr>
              <w:tabs>
                <w:tab w:val="center" w:pos="4680"/>
              </w:tabs>
              <w:suppressAutoHyphens/>
              <w:rPr>
                <w:spacing w:val="-2"/>
              </w:rPr>
            </w:pPr>
          </w:p>
          <w:p w:rsidR="005C1BBE" w:rsidRDefault="005C1BBE">
            <w:pPr>
              <w:tabs>
                <w:tab w:val="center" w:pos="4680"/>
              </w:tabs>
              <w:suppressAutoHyphens/>
              <w:rPr>
                <w:spacing w:val="-2"/>
              </w:rPr>
            </w:pPr>
            <w:r>
              <w:rPr>
                <w:spacing w:val="-2"/>
              </w:rPr>
              <w:t xml:space="preserve">Tennis Channel, Inc., </w:t>
            </w:r>
          </w:p>
          <w:p w:rsidR="005C1BBE" w:rsidRDefault="005C1BBE" w:rsidP="00A77239">
            <w:pPr>
              <w:tabs>
                <w:tab w:val="center" w:pos="4680"/>
              </w:tabs>
              <w:suppressAutoHyphens/>
              <w:rPr>
                <w:spacing w:val="-2"/>
              </w:rPr>
            </w:pPr>
            <w:r>
              <w:rPr>
                <w:spacing w:val="-2"/>
              </w:rPr>
              <w:t>Complainant</w:t>
            </w:r>
          </w:p>
          <w:p w:rsidR="00DD2963" w:rsidRDefault="00DD2963">
            <w:pPr>
              <w:tabs>
                <w:tab w:val="center" w:pos="4680"/>
              </w:tabs>
              <w:suppressAutoHyphens/>
              <w:rPr>
                <w:spacing w:val="-2"/>
              </w:rPr>
            </w:pPr>
          </w:p>
          <w:p w:rsidR="00DD2963" w:rsidRDefault="00DD2963">
            <w:pPr>
              <w:tabs>
                <w:tab w:val="center" w:pos="4680"/>
              </w:tabs>
              <w:suppressAutoHyphens/>
              <w:rPr>
                <w:spacing w:val="-2"/>
              </w:rPr>
            </w:pPr>
            <w:r>
              <w:rPr>
                <w:spacing w:val="-2"/>
              </w:rPr>
              <w:t xml:space="preserve">              </w:t>
            </w:r>
            <w:r w:rsidR="001966BB">
              <w:rPr>
                <w:spacing w:val="-2"/>
              </w:rPr>
              <w:t xml:space="preserve">     </w:t>
            </w:r>
            <w:r>
              <w:rPr>
                <w:spacing w:val="-2"/>
              </w:rPr>
              <w:t xml:space="preserve"> v.</w:t>
            </w:r>
          </w:p>
          <w:p w:rsidR="00DD2963" w:rsidRDefault="00DD2963">
            <w:pPr>
              <w:tabs>
                <w:tab w:val="center" w:pos="4680"/>
              </w:tabs>
              <w:suppressAutoHyphens/>
              <w:rPr>
                <w:spacing w:val="-2"/>
              </w:rPr>
            </w:pPr>
          </w:p>
          <w:p w:rsidR="005C1BBE" w:rsidRDefault="005C1BBE" w:rsidP="005C1BBE">
            <w:pPr>
              <w:tabs>
                <w:tab w:val="center" w:pos="4680"/>
              </w:tabs>
              <w:suppressAutoHyphens/>
              <w:rPr>
                <w:spacing w:val="-2"/>
              </w:rPr>
            </w:pPr>
            <w:r>
              <w:rPr>
                <w:spacing w:val="-2"/>
              </w:rPr>
              <w:t xml:space="preserve">Comcast Cable Communications, L.L.C., </w:t>
            </w:r>
          </w:p>
          <w:p w:rsidR="00DD2963" w:rsidRDefault="005C1BBE" w:rsidP="00A77239">
            <w:pPr>
              <w:tabs>
                <w:tab w:val="center" w:pos="4680"/>
              </w:tabs>
              <w:suppressAutoHyphens/>
              <w:rPr>
                <w:spacing w:val="-2"/>
              </w:rPr>
            </w:pPr>
            <w:r>
              <w:rPr>
                <w:spacing w:val="-2"/>
              </w:rPr>
              <w:t>Defendant</w:t>
            </w:r>
          </w:p>
          <w:p w:rsidR="00DD2963" w:rsidRDefault="00DD2963">
            <w:pPr>
              <w:tabs>
                <w:tab w:val="center" w:pos="4680"/>
              </w:tabs>
              <w:suppressAutoHyphens/>
              <w:rPr>
                <w:spacing w:val="-2"/>
              </w:rPr>
            </w:pPr>
          </w:p>
          <w:p w:rsidR="00DD2963" w:rsidRDefault="00DD2963"/>
        </w:tc>
        <w:tc>
          <w:tcPr>
            <w:tcW w:w="630" w:type="dxa"/>
          </w:tcPr>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DD2963">
            <w:pPr>
              <w:tabs>
                <w:tab w:val="center" w:pos="4680"/>
              </w:tabs>
              <w:suppressAutoHyphens/>
              <w:rPr>
                <w:b/>
                <w:spacing w:val="-2"/>
              </w:rPr>
            </w:pPr>
            <w:r>
              <w:rPr>
                <w:b/>
                <w:spacing w:val="-2"/>
              </w:rPr>
              <w:t>)</w:t>
            </w:r>
          </w:p>
          <w:p w:rsidR="00DD2963" w:rsidRDefault="005C1BBE">
            <w:pPr>
              <w:tabs>
                <w:tab w:val="center" w:pos="4680"/>
              </w:tabs>
              <w:suppressAutoHyphens/>
              <w:rPr>
                <w:b/>
                <w:spacing w:val="-2"/>
              </w:rPr>
            </w:pPr>
            <w:r>
              <w:rPr>
                <w:b/>
                <w:spacing w:val="-2"/>
              </w:rPr>
              <w:t>)</w:t>
            </w:r>
          </w:p>
          <w:p w:rsidR="00DD2963" w:rsidRPr="005C1BBE" w:rsidRDefault="00DD2963">
            <w:pPr>
              <w:tabs>
                <w:tab w:val="center" w:pos="4680"/>
              </w:tabs>
              <w:suppressAutoHyphens/>
              <w:rPr>
                <w:b/>
                <w:spacing w:val="-2"/>
              </w:rPr>
            </w:pPr>
          </w:p>
        </w:tc>
        <w:tc>
          <w:tcPr>
            <w:tcW w:w="4248" w:type="dxa"/>
          </w:tcPr>
          <w:p w:rsidR="00DD2963" w:rsidRDefault="00DD2963">
            <w:pPr>
              <w:tabs>
                <w:tab w:val="center" w:pos="4680"/>
              </w:tabs>
              <w:suppressAutoHyphens/>
              <w:rPr>
                <w:spacing w:val="-2"/>
              </w:rPr>
            </w:pPr>
          </w:p>
          <w:p w:rsidR="003203AB" w:rsidRDefault="003203AB" w:rsidP="00562D80">
            <w:pPr>
              <w:tabs>
                <w:tab w:val="center" w:pos="4680"/>
              </w:tabs>
              <w:suppressAutoHyphens/>
              <w:rPr>
                <w:spacing w:val="-2"/>
              </w:rPr>
            </w:pPr>
          </w:p>
          <w:p w:rsidR="00562D80" w:rsidRDefault="005C1BBE" w:rsidP="00562D80">
            <w:pPr>
              <w:tabs>
                <w:tab w:val="center" w:pos="4680"/>
              </w:tabs>
              <w:suppressAutoHyphens/>
              <w:rPr>
                <w:spacing w:val="-2"/>
              </w:rPr>
            </w:pPr>
            <w:r>
              <w:rPr>
                <w:spacing w:val="-2"/>
              </w:rPr>
              <w:t>MB Docket No. 10-204</w:t>
            </w:r>
          </w:p>
          <w:p w:rsidR="005C1BBE" w:rsidRDefault="005C1BBE" w:rsidP="00562D80">
            <w:pPr>
              <w:tabs>
                <w:tab w:val="center" w:pos="4680"/>
              </w:tabs>
              <w:suppressAutoHyphens/>
              <w:rPr>
                <w:spacing w:val="-2"/>
              </w:rPr>
            </w:pPr>
          </w:p>
          <w:p w:rsidR="00DD2963" w:rsidRDefault="005C1BBE" w:rsidP="005C1BBE">
            <w:pPr>
              <w:tabs>
                <w:tab w:val="center" w:pos="4680"/>
              </w:tabs>
              <w:suppressAutoHyphens/>
              <w:rPr>
                <w:spacing w:val="-2"/>
              </w:rPr>
            </w:pPr>
            <w:r>
              <w:rPr>
                <w:spacing w:val="-2"/>
              </w:rPr>
              <w:t xml:space="preserve">File No. </w:t>
            </w:r>
            <w:r w:rsidR="00DD2963">
              <w:rPr>
                <w:spacing w:val="-2"/>
              </w:rPr>
              <w:t>CSR-</w:t>
            </w:r>
            <w:r w:rsidR="00562D80">
              <w:rPr>
                <w:spacing w:val="-2"/>
              </w:rPr>
              <w:t>8</w:t>
            </w:r>
            <w:r>
              <w:rPr>
                <w:spacing w:val="-2"/>
              </w:rPr>
              <w:t>258</w:t>
            </w:r>
            <w:r w:rsidR="00DD2963">
              <w:rPr>
                <w:spacing w:val="-2"/>
              </w:rPr>
              <w:t>-</w:t>
            </w:r>
            <w:r>
              <w:rPr>
                <w:spacing w:val="-2"/>
              </w:rPr>
              <w:t>P</w:t>
            </w:r>
          </w:p>
        </w:tc>
      </w:tr>
    </w:tbl>
    <w:p w:rsidR="00DD2963" w:rsidRDefault="00DF1104">
      <w:pPr>
        <w:pStyle w:val="Title"/>
      </w:pPr>
      <w:r>
        <w:fldChar w:fldCharType="begin"/>
      </w:r>
      <w:r w:rsidR="00DD2963">
        <w:instrText xml:space="preserve"> AUTOTEXTLIST  \* MERGEFORMAT </w:instrText>
      </w:r>
      <w:r>
        <w:fldChar w:fldCharType="separate"/>
      </w:r>
      <w:r w:rsidR="00DD2963">
        <w:t>ORDER</w:t>
      </w:r>
      <w:r>
        <w:fldChar w:fldCharType="end"/>
      </w:r>
    </w:p>
    <w:p w:rsidR="00DD2963" w:rsidRDefault="00DD2963"/>
    <w:p w:rsidR="007E3A88" w:rsidRDefault="007E3A88" w:rsidP="007E3A88">
      <w:pPr>
        <w:tabs>
          <w:tab w:val="left" w:pos="720"/>
          <w:tab w:val="right" w:pos="9360"/>
        </w:tabs>
        <w:suppressAutoHyphens/>
        <w:spacing w:line="227" w:lineRule="auto"/>
        <w:rPr>
          <w:spacing w:val="-2"/>
        </w:rPr>
      </w:pPr>
      <w:r>
        <w:rPr>
          <w:b/>
          <w:spacing w:val="-2"/>
        </w:rPr>
        <w:t xml:space="preserve">Adopted:  </w:t>
      </w:r>
      <w:r w:rsidR="00815E06">
        <w:rPr>
          <w:b/>
          <w:spacing w:val="-2"/>
        </w:rPr>
        <w:t>January 27, 2015</w:t>
      </w:r>
      <w:r>
        <w:rPr>
          <w:b/>
          <w:spacing w:val="-2"/>
        </w:rPr>
        <w:tab/>
        <w:t>Released:</w:t>
      </w:r>
      <w:r w:rsidR="00815E06">
        <w:rPr>
          <w:b/>
          <w:spacing w:val="-2"/>
        </w:rPr>
        <w:t xml:space="preserve">  January 28, 2015</w:t>
      </w:r>
    </w:p>
    <w:p w:rsidR="00DD2963" w:rsidRDefault="00DD2963" w:rsidP="007E3A88"/>
    <w:p w:rsidR="00DD2963" w:rsidRDefault="00DD2963">
      <w:pPr>
        <w:rPr>
          <w:spacing w:val="-2"/>
        </w:rPr>
      </w:pPr>
      <w:r>
        <w:t xml:space="preserve">By the </w:t>
      </w:r>
      <w:r>
        <w:rPr>
          <w:spacing w:val="-2"/>
        </w:rPr>
        <w:t>C</w:t>
      </w:r>
      <w:r w:rsidR="00E70E2C">
        <w:rPr>
          <w:spacing w:val="-2"/>
        </w:rPr>
        <w:t>ommission</w:t>
      </w:r>
      <w:r>
        <w:rPr>
          <w:spacing w:val="-2"/>
        </w:rPr>
        <w:t>:</w:t>
      </w:r>
    </w:p>
    <w:p w:rsidR="00A34EB0" w:rsidRDefault="00A34EB0">
      <w:pPr>
        <w:rPr>
          <w:spacing w:val="-2"/>
        </w:rPr>
      </w:pPr>
    </w:p>
    <w:p w:rsidR="00DD2963" w:rsidRDefault="00A34EB0" w:rsidP="00A34EB0">
      <w:pPr>
        <w:pStyle w:val="Heading1"/>
      </w:pPr>
      <w:r>
        <w:rPr>
          <w:b w:val="0"/>
        </w:rPr>
        <w:t>INTRODUCTION</w:t>
      </w:r>
    </w:p>
    <w:p w:rsidR="001F7C5D" w:rsidRDefault="001F7C5D" w:rsidP="001F7C5D">
      <w:pPr>
        <w:pStyle w:val="ParaNum"/>
      </w:pPr>
      <w:r>
        <w:t xml:space="preserve">In this Order, we deny a program carriage complaint filed by The Tennis Channel, Inc. (“Tennis Channel”) </w:t>
      </w:r>
      <w:r>
        <w:rPr>
          <w:szCs w:val="22"/>
        </w:rPr>
        <w:t>alleging that Comcast</w:t>
      </w:r>
      <w:r w:rsidR="00562ADA">
        <w:rPr>
          <w:szCs w:val="22"/>
        </w:rPr>
        <w:t xml:space="preserve"> Cable Communications</w:t>
      </w:r>
      <w:r>
        <w:rPr>
          <w:szCs w:val="22"/>
        </w:rPr>
        <w:t xml:space="preserve">, </w:t>
      </w:r>
      <w:r w:rsidR="00562ADA">
        <w:rPr>
          <w:szCs w:val="22"/>
        </w:rPr>
        <w:t xml:space="preserve">LLC </w:t>
      </w:r>
      <w:r w:rsidR="00562ADA">
        <w:t>(“Comcast”),</w:t>
      </w:r>
      <w:r w:rsidR="00562ADA">
        <w:rPr>
          <w:szCs w:val="22"/>
        </w:rPr>
        <w:t xml:space="preserve"> </w:t>
      </w:r>
      <w:r>
        <w:rPr>
          <w:szCs w:val="22"/>
        </w:rPr>
        <w:t xml:space="preserve">a multichannel video programming distributor (“MVPD”), discriminated against it on the basis of affiliation in violation of Section 616 of the </w:t>
      </w:r>
      <w:r w:rsidR="00562ADA">
        <w:rPr>
          <w:szCs w:val="22"/>
        </w:rPr>
        <w:t>Communications Act of 1934, as amended</w:t>
      </w:r>
      <w:r>
        <w:rPr>
          <w:szCs w:val="22"/>
        </w:rPr>
        <w:t xml:space="preserve"> </w:t>
      </w:r>
      <w:r w:rsidR="00562ADA">
        <w:t xml:space="preserve">(“the Act”) </w:t>
      </w:r>
      <w:r>
        <w:rPr>
          <w:szCs w:val="22"/>
        </w:rPr>
        <w:t xml:space="preserve">and its implementing rules.  We also deny </w:t>
      </w:r>
      <w:r>
        <w:t>a Petition for Further Proceedings and Reaffirmation of Original Decision</w:t>
      </w:r>
      <w:r>
        <w:rPr>
          <w:rStyle w:val="FootnoteReference"/>
        </w:rPr>
        <w:footnoteReference w:id="2"/>
      </w:r>
      <w:r>
        <w:t xml:space="preserve"> filed by Tennis Channel in the wake of </w:t>
      </w:r>
      <w:r w:rsidR="0020386B">
        <w:t xml:space="preserve">the D.C. Circuit’s </w:t>
      </w:r>
      <w:r>
        <w:t xml:space="preserve">decision in </w:t>
      </w:r>
      <w:r w:rsidRPr="00F622D1">
        <w:rPr>
          <w:i/>
        </w:rPr>
        <w:t>Comcast Cable Communications, LLC v. FCC</w:t>
      </w:r>
      <w:r w:rsidR="0020386B">
        <w:rPr>
          <w:i/>
        </w:rPr>
        <w:t xml:space="preserve"> </w:t>
      </w:r>
      <w:r w:rsidR="0020386B">
        <w:t>(“Comcast decision”)</w:t>
      </w:r>
      <w:r>
        <w:t>.</w:t>
      </w:r>
      <w:r>
        <w:rPr>
          <w:rStyle w:val="FootnoteReference"/>
        </w:rPr>
        <w:footnoteReference w:id="3"/>
      </w:r>
      <w:r>
        <w:t xml:space="preserve"> </w:t>
      </w:r>
    </w:p>
    <w:p w:rsidR="00425160" w:rsidRDefault="001F7C5D" w:rsidP="001F7C5D">
      <w:pPr>
        <w:pStyle w:val="ParaNum"/>
      </w:pPr>
      <w:r>
        <w:t xml:space="preserve"> </w:t>
      </w:r>
      <w:r w:rsidR="00F622D1">
        <w:t xml:space="preserve">In </w:t>
      </w:r>
      <w:r w:rsidR="0020386B">
        <w:t>the Comcast decision</w:t>
      </w:r>
      <w:r w:rsidR="00425160">
        <w:t>,</w:t>
      </w:r>
      <w:r w:rsidR="001479AB">
        <w:rPr>
          <w:rStyle w:val="FootnoteReference"/>
        </w:rPr>
        <w:footnoteReference w:id="4"/>
      </w:r>
      <w:r w:rsidR="00425160">
        <w:t xml:space="preserve"> the United States Court of Appeals for the District of Columbia Circuit vacated a Commission </w:t>
      </w:r>
      <w:r w:rsidR="00AF612F">
        <w:t>order (“</w:t>
      </w:r>
      <w:r w:rsidR="00AF612F">
        <w:rPr>
          <w:i/>
        </w:rPr>
        <w:t>MO&amp;O</w:t>
      </w:r>
      <w:r w:rsidR="00AF612F">
        <w:t>”)</w:t>
      </w:r>
      <w:r w:rsidR="00041B99">
        <w:rPr>
          <w:rStyle w:val="FootnoteReference"/>
        </w:rPr>
        <w:footnoteReference w:id="5"/>
      </w:r>
      <w:r w:rsidR="00041B99">
        <w:t xml:space="preserve"> </w:t>
      </w:r>
      <w:r w:rsidR="00902162">
        <w:t xml:space="preserve">that held </w:t>
      </w:r>
      <w:r w:rsidR="00425160">
        <w:t>that Comcast</w:t>
      </w:r>
      <w:r w:rsidR="00007633">
        <w:t xml:space="preserve"> </w:t>
      </w:r>
      <w:r w:rsidR="00425160">
        <w:t>had violated Section 616 of the Act,</w:t>
      </w:r>
      <w:r w:rsidR="00425160">
        <w:rPr>
          <w:rStyle w:val="FootnoteReference"/>
        </w:rPr>
        <w:footnoteReference w:id="6"/>
      </w:r>
      <w:r w:rsidR="00425160">
        <w:t xml:space="preserve"> and the </w:t>
      </w:r>
      <w:r w:rsidR="000A2EF6">
        <w:t xml:space="preserve">Commission’s </w:t>
      </w:r>
      <w:r w:rsidR="00425160">
        <w:t>program carriage rules</w:t>
      </w:r>
      <w:r w:rsidR="002178C6">
        <w:rPr>
          <w:rStyle w:val="FootnoteReference"/>
        </w:rPr>
        <w:footnoteReference w:id="7"/>
      </w:r>
      <w:r w:rsidR="00425160">
        <w:t xml:space="preserve"> by relegating Tennis Channel</w:t>
      </w:r>
      <w:r w:rsidR="000B5588">
        <w:t xml:space="preserve"> (</w:t>
      </w:r>
      <w:r w:rsidR="00425160">
        <w:t xml:space="preserve">a cable </w:t>
      </w:r>
      <w:r w:rsidR="00425160">
        <w:lastRenderedPageBreak/>
        <w:t>network unaffiliated with Comcast) to a premium-pay programming tier on its cable systems, while more broadly distributing its affiliated sports networks, Golf Channel and</w:t>
      </w:r>
      <w:r w:rsidR="00FE49AC">
        <w:t xml:space="preserve"> Versus</w:t>
      </w:r>
      <w:r w:rsidR="00425160">
        <w:t xml:space="preserve">. </w:t>
      </w:r>
      <w:r w:rsidR="00041B99">
        <w:t xml:space="preserve"> </w:t>
      </w:r>
      <w:r w:rsidR="00425160">
        <w:t xml:space="preserve">The court overturned the decision on evidentiary grounds, ruling that the record in the proceeding failed to establish that affiliation had played a role in the level of carriage that Comcast </w:t>
      </w:r>
      <w:r w:rsidR="00C6575D">
        <w:t xml:space="preserve">had </w:t>
      </w:r>
      <w:r w:rsidR="00127434">
        <w:t>provided</w:t>
      </w:r>
      <w:r w:rsidR="00FE6FC1">
        <w:t xml:space="preserve"> to Tennis Channel.</w:t>
      </w:r>
      <w:r w:rsidR="00C86484">
        <w:rPr>
          <w:rStyle w:val="FootnoteReference"/>
        </w:rPr>
        <w:footnoteReference w:id="8"/>
      </w:r>
      <w:r w:rsidR="00425160">
        <w:t xml:space="preserve"> </w:t>
      </w:r>
    </w:p>
    <w:p w:rsidR="00F622D1" w:rsidRDefault="00465BC6" w:rsidP="005C1BBE">
      <w:pPr>
        <w:pStyle w:val="ParaNum"/>
      </w:pPr>
      <w:r>
        <w:t xml:space="preserve">In </w:t>
      </w:r>
      <w:r w:rsidR="0031231B">
        <w:t>light</w:t>
      </w:r>
      <w:r w:rsidR="00FE6FC1">
        <w:t xml:space="preserve"> </w:t>
      </w:r>
      <w:r w:rsidR="00C6575D">
        <w:t>of the D.C. Circuit’s decision</w:t>
      </w:r>
      <w:r w:rsidR="00FE6FC1">
        <w:t xml:space="preserve">, </w:t>
      </w:r>
      <w:r w:rsidR="00C6575D">
        <w:t xml:space="preserve">in this </w:t>
      </w:r>
      <w:r w:rsidR="00FE6FC1">
        <w:t>Order,</w:t>
      </w:r>
      <w:r>
        <w:t xml:space="preserve"> </w:t>
      </w:r>
      <w:r w:rsidR="00FE6FC1">
        <w:t>w</w:t>
      </w:r>
      <w:r w:rsidR="00C6575D">
        <w:t>e</w:t>
      </w:r>
      <w:r w:rsidR="00FE6FC1">
        <w:t xml:space="preserve">:  (i) </w:t>
      </w:r>
      <w:r w:rsidR="00906135" w:rsidRPr="00906135">
        <w:t>reverse the Initial Decision in this matter and</w:t>
      </w:r>
      <w:r w:rsidR="00906135">
        <w:t xml:space="preserve"> </w:t>
      </w:r>
      <w:r>
        <w:t>den</w:t>
      </w:r>
      <w:r w:rsidR="00C6575D">
        <w:t>y</w:t>
      </w:r>
      <w:r>
        <w:t xml:space="preserve"> </w:t>
      </w:r>
      <w:r w:rsidR="00FE6FC1">
        <w:t xml:space="preserve">Tennis Channel’s program carriage complaint based on the court’s finding that there is no </w:t>
      </w:r>
      <w:r w:rsidR="00C6575D">
        <w:t xml:space="preserve">record </w:t>
      </w:r>
      <w:r w:rsidR="00FE6FC1">
        <w:t xml:space="preserve">evidence of unlawful discrimination under Section 616 of the Act and its implementing rules; and (ii) </w:t>
      </w:r>
      <w:r w:rsidR="00C6575D">
        <w:t>deny</w:t>
      </w:r>
      <w:r w:rsidR="00000F33">
        <w:t xml:space="preserve"> Tennis Channel’s </w:t>
      </w:r>
      <w:r>
        <w:t>Petition for Further Proceedings and Reaffirmation of Original Decision</w:t>
      </w:r>
      <w:r w:rsidR="00222692">
        <w:t xml:space="preserve">.  </w:t>
      </w:r>
      <w:r w:rsidR="0031231B">
        <w:t xml:space="preserve">Below we set forth a brief history of the proceeding and explain </w:t>
      </w:r>
      <w:r w:rsidR="00F010A3">
        <w:t xml:space="preserve">the </w:t>
      </w:r>
      <w:r w:rsidR="00CA53BE">
        <w:t>basis</w:t>
      </w:r>
      <w:r w:rsidR="00F010A3">
        <w:t xml:space="preserve"> for our decision.</w:t>
      </w:r>
    </w:p>
    <w:p w:rsidR="00F010A3" w:rsidRPr="00E824BD" w:rsidRDefault="00F010A3" w:rsidP="00F010A3">
      <w:pPr>
        <w:pStyle w:val="Heading1"/>
      </w:pPr>
      <w:r>
        <w:t>BACKGROUND</w:t>
      </w:r>
    </w:p>
    <w:p w:rsidR="00F010A3" w:rsidRPr="00BB027B" w:rsidRDefault="000B5588" w:rsidP="00F010A3">
      <w:pPr>
        <w:pStyle w:val="ParaNum"/>
      </w:pPr>
      <w:r>
        <w:rPr>
          <w:szCs w:val="22"/>
        </w:rPr>
        <w:t>In July 2010</w:t>
      </w:r>
      <w:r w:rsidR="00BB027B">
        <w:rPr>
          <w:szCs w:val="22"/>
        </w:rPr>
        <w:t>, Tennis Channel</w:t>
      </w:r>
      <w:r>
        <w:rPr>
          <w:szCs w:val="22"/>
        </w:rPr>
        <w:t xml:space="preserve">, a video programming vendor, filed a complaint </w:t>
      </w:r>
      <w:r w:rsidR="00FE49AC">
        <w:rPr>
          <w:szCs w:val="22"/>
        </w:rPr>
        <w:t>with the Commission alleging that Comcast, a</w:t>
      </w:r>
      <w:r w:rsidR="00AE0A9D">
        <w:rPr>
          <w:szCs w:val="22"/>
        </w:rPr>
        <w:t>n MVPD</w:t>
      </w:r>
      <w:r w:rsidR="00FE49AC">
        <w:rPr>
          <w:szCs w:val="22"/>
        </w:rPr>
        <w:t>, discriminated against it on the basis of affiliation in violation of Section 616 of the Act and its implementing rules.</w:t>
      </w:r>
      <w:r w:rsidR="008C26C0">
        <w:rPr>
          <w:rStyle w:val="FootnoteReference"/>
          <w:szCs w:val="22"/>
        </w:rPr>
        <w:footnoteReference w:id="9"/>
      </w:r>
      <w:r w:rsidR="00CA53BE">
        <w:rPr>
          <w:szCs w:val="22"/>
        </w:rPr>
        <w:t xml:space="preserve">  In particular, it</w:t>
      </w:r>
      <w:r w:rsidR="00FE49AC">
        <w:rPr>
          <w:szCs w:val="22"/>
        </w:rPr>
        <w:t xml:space="preserve"> alleged that Comcast carries Tennis Channel, with which Comcast is not affiliated, on a tier with </w:t>
      </w:r>
      <w:r w:rsidR="00CA53BE">
        <w:rPr>
          <w:szCs w:val="22"/>
        </w:rPr>
        <w:t xml:space="preserve">narrow penetration that is </w:t>
      </w:r>
      <w:r w:rsidR="00FE49AC">
        <w:rPr>
          <w:szCs w:val="22"/>
        </w:rPr>
        <w:t xml:space="preserve">available </w:t>
      </w:r>
      <w:r w:rsidR="00CA53BE">
        <w:rPr>
          <w:szCs w:val="22"/>
        </w:rPr>
        <w:t xml:space="preserve">only </w:t>
      </w:r>
      <w:r w:rsidR="00FE49AC">
        <w:rPr>
          <w:szCs w:val="22"/>
        </w:rPr>
        <w:t>to subscribers who pay an additional fee, while Com</w:t>
      </w:r>
      <w:r w:rsidR="00CA53BE">
        <w:rPr>
          <w:szCs w:val="22"/>
        </w:rPr>
        <w:t>cast carrie</w:t>
      </w:r>
      <w:r w:rsidR="00FE49AC">
        <w:rPr>
          <w:szCs w:val="22"/>
        </w:rPr>
        <w:t>s its own similarly-situated affiliated networks</w:t>
      </w:r>
      <w:r w:rsidR="00902162">
        <w:rPr>
          <w:szCs w:val="22"/>
        </w:rPr>
        <w:t>,</w:t>
      </w:r>
      <w:r w:rsidR="00FE49AC">
        <w:rPr>
          <w:szCs w:val="22"/>
        </w:rPr>
        <w:t xml:space="preserve"> Golf Channel and Versus (now NBC Sports Network)</w:t>
      </w:r>
      <w:r w:rsidR="00902162">
        <w:rPr>
          <w:szCs w:val="22"/>
        </w:rPr>
        <w:t>,</w:t>
      </w:r>
      <w:r>
        <w:rPr>
          <w:szCs w:val="22"/>
        </w:rPr>
        <w:t xml:space="preserve"> </w:t>
      </w:r>
      <w:r w:rsidR="00BB027B">
        <w:rPr>
          <w:szCs w:val="22"/>
        </w:rPr>
        <w:t>on a tier with significantly higher penetration that is available to subscribers at no additional charge.</w:t>
      </w:r>
      <w:r w:rsidR="000A2EF6">
        <w:rPr>
          <w:rStyle w:val="FootnoteReference"/>
          <w:szCs w:val="22"/>
        </w:rPr>
        <w:footnoteReference w:id="10"/>
      </w:r>
    </w:p>
    <w:p w:rsidR="008E231B" w:rsidRDefault="00BB027B" w:rsidP="001A1735">
      <w:pPr>
        <w:pStyle w:val="ParaNum"/>
      </w:pPr>
      <w:r w:rsidRPr="008E231B">
        <w:rPr>
          <w:szCs w:val="22"/>
        </w:rPr>
        <w:t>In December 2011, following a full evidentiary hearing, an Administrative Law Judge (“ALJ”) rendered an Initial Decision finding that Comcast discriminated against Tennis Channel on the basis of affiliation, and that such discrimination had the effect of restraining Tennis Channel’s ability to compete fairly in violation of Section 616 of the Act and its implementing rules.</w:t>
      </w:r>
      <w:r w:rsidR="005A1718">
        <w:rPr>
          <w:rStyle w:val="FootnoteReference"/>
          <w:szCs w:val="22"/>
        </w:rPr>
        <w:footnoteReference w:id="11"/>
      </w:r>
      <w:r w:rsidRPr="008E231B">
        <w:rPr>
          <w:szCs w:val="22"/>
        </w:rPr>
        <w:t xml:space="preserve">  The ALJ, among other things, ordered Comcast to pay a monetary forfeiture and to carry Tennis Channel at the same level of distribution as Golf Channel and Versus.</w:t>
      </w:r>
      <w:r w:rsidR="005A1718">
        <w:rPr>
          <w:rStyle w:val="FootnoteReference"/>
          <w:szCs w:val="22"/>
        </w:rPr>
        <w:footnoteReference w:id="12"/>
      </w:r>
      <w:r w:rsidRPr="008E231B">
        <w:rPr>
          <w:szCs w:val="22"/>
        </w:rPr>
        <w:t xml:space="preserve">  Comcast appealed </w:t>
      </w:r>
      <w:r w:rsidR="00564470" w:rsidRPr="008E231B">
        <w:rPr>
          <w:szCs w:val="22"/>
        </w:rPr>
        <w:t>that decision to the Commission.</w:t>
      </w:r>
      <w:r w:rsidR="00564470">
        <w:rPr>
          <w:rStyle w:val="FootnoteReference"/>
          <w:szCs w:val="22"/>
        </w:rPr>
        <w:footnoteReference w:id="13"/>
      </w:r>
      <w:r w:rsidR="007467F1" w:rsidRPr="008E231B">
        <w:rPr>
          <w:szCs w:val="22"/>
        </w:rPr>
        <w:t xml:space="preserve">  </w:t>
      </w:r>
      <w:r w:rsidR="000150FF">
        <w:rPr>
          <w:szCs w:val="22"/>
        </w:rPr>
        <w:t>In July 2012, t</w:t>
      </w:r>
      <w:r w:rsidR="001A1735" w:rsidRPr="008E231B">
        <w:rPr>
          <w:szCs w:val="22"/>
        </w:rPr>
        <w:t xml:space="preserve">he Commission issued </w:t>
      </w:r>
      <w:r w:rsidR="00AF612F">
        <w:rPr>
          <w:szCs w:val="22"/>
        </w:rPr>
        <w:t xml:space="preserve">the </w:t>
      </w:r>
      <w:r w:rsidR="00AF612F">
        <w:rPr>
          <w:i/>
          <w:szCs w:val="22"/>
        </w:rPr>
        <w:t>MO&amp;O</w:t>
      </w:r>
      <w:r w:rsidR="00AF612F">
        <w:rPr>
          <w:szCs w:val="22"/>
        </w:rPr>
        <w:t>,</w:t>
      </w:r>
      <w:r w:rsidR="00AF612F">
        <w:rPr>
          <w:i/>
          <w:szCs w:val="22"/>
        </w:rPr>
        <w:t xml:space="preserve"> </w:t>
      </w:r>
      <w:r w:rsidR="00AF612F">
        <w:rPr>
          <w:szCs w:val="22"/>
        </w:rPr>
        <w:t xml:space="preserve">which </w:t>
      </w:r>
      <w:r w:rsidR="001A1735" w:rsidRPr="008E231B">
        <w:rPr>
          <w:szCs w:val="22"/>
        </w:rPr>
        <w:t xml:space="preserve">largely </w:t>
      </w:r>
      <w:r w:rsidR="00811577">
        <w:rPr>
          <w:szCs w:val="22"/>
        </w:rPr>
        <w:t>affirmed the ALJ’s decision</w:t>
      </w:r>
      <w:r w:rsidR="008E231B" w:rsidRPr="008E231B">
        <w:rPr>
          <w:szCs w:val="22"/>
        </w:rPr>
        <w:t>.</w:t>
      </w:r>
      <w:r w:rsidR="008E231B">
        <w:rPr>
          <w:rStyle w:val="FootnoteReference"/>
          <w:szCs w:val="22"/>
        </w:rPr>
        <w:footnoteReference w:id="14"/>
      </w:r>
      <w:r w:rsidR="008E231B" w:rsidRPr="008E231B">
        <w:rPr>
          <w:szCs w:val="22"/>
        </w:rPr>
        <w:t xml:space="preserve">  </w:t>
      </w:r>
      <w:r w:rsidR="007467F1" w:rsidRPr="008E231B">
        <w:rPr>
          <w:szCs w:val="22"/>
        </w:rPr>
        <w:t xml:space="preserve">Comcast </w:t>
      </w:r>
      <w:r w:rsidR="008E231B" w:rsidRPr="008E231B">
        <w:rPr>
          <w:szCs w:val="22"/>
        </w:rPr>
        <w:t>filed a petition for review of th</w:t>
      </w:r>
      <w:r w:rsidR="000150FF">
        <w:rPr>
          <w:szCs w:val="22"/>
        </w:rPr>
        <w:t xml:space="preserve">e </w:t>
      </w:r>
      <w:r w:rsidR="000150FF">
        <w:rPr>
          <w:i/>
          <w:szCs w:val="22"/>
        </w:rPr>
        <w:t>MO&amp;O</w:t>
      </w:r>
      <w:r w:rsidR="008E231B" w:rsidRPr="008E231B">
        <w:rPr>
          <w:szCs w:val="22"/>
        </w:rPr>
        <w:t xml:space="preserve"> </w:t>
      </w:r>
      <w:r w:rsidR="004E7713">
        <w:rPr>
          <w:szCs w:val="22"/>
        </w:rPr>
        <w:t>in</w:t>
      </w:r>
      <w:r w:rsidR="008E231B" w:rsidRPr="008E231B">
        <w:rPr>
          <w:szCs w:val="22"/>
        </w:rPr>
        <w:t xml:space="preserve"> the D.C. Circuit</w:t>
      </w:r>
      <w:r w:rsidR="00902162">
        <w:rPr>
          <w:szCs w:val="22"/>
        </w:rPr>
        <w:t xml:space="preserve">, </w:t>
      </w:r>
      <w:r w:rsidR="00DF2011">
        <w:rPr>
          <w:szCs w:val="22"/>
        </w:rPr>
        <w:t>asking the court to “hold unlawful, vacate, enjoin, and set aside” the Commission’s order</w:t>
      </w:r>
      <w:r w:rsidR="005A3773" w:rsidRPr="008E231B">
        <w:rPr>
          <w:szCs w:val="22"/>
        </w:rPr>
        <w:t>.</w:t>
      </w:r>
      <w:r w:rsidR="00DF2011">
        <w:rPr>
          <w:rStyle w:val="FootnoteReference"/>
          <w:szCs w:val="22"/>
        </w:rPr>
        <w:footnoteReference w:id="15"/>
      </w:r>
      <w:r w:rsidR="008E231B" w:rsidRPr="008E231B">
        <w:rPr>
          <w:szCs w:val="22"/>
        </w:rPr>
        <w:t xml:space="preserve">  As noted, the D.C. Circuit</w:t>
      </w:r>
      <w:r w:rsidR="008E231B">
        <w:rPr>
          <w:szCs w:val="22"/>
        </w:rPr>
        <w:t>, in May 2013,</w:t>
      </w:r>
      <w:r w:rsidR="008E231B" w:rsidRPr="008E231B">
        <w:rPr>
          <w:szCs w:val="22"/>
        </w:rPr>
        <w:t xml:space="preserve"> granted Comcast’s petition for review.</w:t>
      </w:r>
      <w:r w:rsidR="008E231B">
        <w:rPr>
          <w:rStyle w:val="FootnoteReference"/>
          <w:szCs w:val="22"/>
        </w:rPr>
        <w:footnoteReference w:id="16"/>
      </w:r>
      <w:r w:rsidR="008E231B" w:rsidRPr="008E231B">
        <w:rPr>
          <w:szCs w:val="22"/>
        </w:rPr>
        <w:t xml:space="preserve">  </w:t>
      </w:r>
      <w:r w:rsidR="008E231B" w:rsidRPr="008E231B">
        <w:rPr>
          <w:i/>
        </w:rPr>
        <w:t xml:space="preserve"> </w:t>
      </w:r>
    </w:p>
    <w:p w:rsidR="00484994" w:rsidRDefault="000E5318" w:rsidP="00060EC6">
      <w:pPr>
        <w:pStyle w:val="ParaNum"/>
        <w:keepNext/>
        <w:widowControl/>
      </w:pPr>
      <w:r>
        <w:lastRenderedPageBreak/>
        <w:t>In the wake of the D.C. Circuit’s decision, Tennis Channel in March 2014 filed with the Commission a Petition for Further Proceedings and Reaffirmation of Original Decision.</w:t>
      </w:r>
      <w:r>
        <w:rPr>
          <w:rStyle w:val="FootnoteReference"/>
        </w:rPr>
        <w:footnoteReference w:id="17"/>
      </w:r>
      <w:r>
        <w:t xml:space="preserve">  </w:t>
      </w:r>
      <w:r w:rsidR="00F622D1">
        <w:t xml:space="preserve">In its Petition, </w:t>
      </w:r>
      <w:r w:rsidR="006B663B">
        <w:t>Tennis Channel asserts</w:t>
      </w:r>
      <w:r w:rsidR="007030DA">
        <w:t xml:space="preserve"> that the </w:t>
      </w:r>
      <w:r w:rsidR="00D652A9">
        <w:t xml:space="preserve">D.C. Circuit’s decision created “new tests” for program carriage discrimination that the </w:t>
      </w:r>
      <w:r w:rsidR="007030DA">
        <w:t>Commission</w:t>
      </w:r>
      <w:r w:rsidR="00000F33">
        <w:t xml:space="preserve"> </w:t>
      </w:r>
      <w:r w:rsidR="00B83D9E">
        <w:t>heretofore has not articulated or applied.</w:t>
      </w:r>
      <w:r w:rsidR="00AB120C">
        <w:rPr>
          <w:rStyle w:val="FootnoteReference"/>
        </w:rPr>
        <w:footnoteReference w:id="18"/>
      </w:r>
      <w:r w:rsidR="00B83D9E">
        <w:t xml:space="preserve">  T</w:t>
      </w:r>
      <w:r w:rsidR="00D652A9">
        <w:t>hus</w:t>
      </w:r>
      <w:r w:rsidR="00B83D9E">
        <w:t>, Tennis Channel argues</w:t>
      </w:r>
      <w:r w:rsidR="00B471C7">
        <w:t>, the Commission must issue a new order resolving its program carriage complaint that applies such “tests” to the record.</w:t>
      </w:r>
      <w:r w:rsidR="00B471C7">
        <w:rPr>
          <w:rStyle w:val="FootnoteReference"/>
        </w:rPr>
        <w:footnoteReference w:id="19"/>
      </w:r>
      <w:r w:rsidR="00B471C7">
        <w:t xml:space="preserve">  Tennis Channel asserts that the existing </w:t>
      </w:r>
      <w:r w:rsidR="00AB120C">
        <w:t xml:space="preserve">factual </w:t>
      </w:r>
      <w:r w:rsidR="00B471C7">
        <w:t xml:space="preserve">record is adequate to support a finding of discrimination under </w:t>
      </w:r>
      <w:r w:rsidR="00793F45">
        <w:t>those tests</w:t>
      </w:r>
      <w:r w:rsidR="00B471C7">
        <w:t>.</w:t>
      </w:r>
      <w:r w:rsidR="00B471C7">
        <w:rPr>
          <w:rStyle w:val="FootnoteReference"/>
        </w:rPr>
        <w:footnoteReference w:id="20"/>
      </w:r>
      <w:r w:rsidR="00B471C7">
        <w:t xml:space="preserve">  </w:t>
      </w:r>
      <w:r w:rsidR="00DF2011">
        <w:t>In the alternative</w:t>
      </w:r>
      <w:r w:rsidR="00AB120C">
        <w:t xml:space="preserve">, </w:t>
      </w:r>
      <w:r w:rsidR="00DC0E07">
        <w:t>Tennis Channel</w:t>
      </w:r>
      <w:r w:rsidR="007030DA">
        <w:t xml:space="preserve"> argues that </w:t>
      </w:r>
      <w:r w:rsidR="00793F45">
        <w:t>should</w:t>
      </w:r>
      <w:r w:rsidR="00AB120C">
        <w:t xml:space="preserve"> the Commission </w:t>
      </w:r>
      <w:r w:rsidR="007759C2">
        <w:t xml:space="preserve">determine that it </w:t>
      </w:r>
      <w:r w:rsidR="00AB120C">
        <w:t>need</w:t>
      </w:r>
      <w:r w:rsidR="007759C2">
        <w:t>s</w:t>
      </w:r>
      <w:r w:rsidR="007030DA">
        <w:t xml:space="preserve"> additional evidence to satisfy the court’s </w:t>
      </w:r>
      <w:r w:rsidR="00000F33">
        <w:t xml:space="preserve">evidentiary </w:t>
      </w:r>
      <w:r w:rsidR="007030DA">
        <w:t>requirements, it should designate the issues requiring enhancement and reopen the record.</w:t>
      </w:r>
      <w:r w:rsidR="002A1897">
        <w:rPr>
          <w:rStyle w:val="FootnoteReference"/>
        </w:rPr>
        <w:footnoteReference w:id="21"/>
      </w:r>
      <w:r w:rsidR="006B663B">
        <w:t xml:space="preserve"> </w:t>
      </w:r>
      <w:r w:rsidR="00387E37">
        <w:t xml:space="preserve"> </w:t>
      </w:r>
    </w:p>
    <w:p w:rsidR="00E824BD" w:rsidRPr="00E824BD" w:rsidRDefault="00E824BD" w:rsidP="00E824BD">
      <w:pPr>
        <w:pStyle w:val="Heading1"/>
      </w:pPr>
      <w:r>
        <w:t>discussion</w:t>
      </w:r>
    </w:p>
    <w:p w:rsidR="00910983" w:rsidRDefault="006C296B" w:rsidP="006C296B">
      <w:pPr>
        <w:pStyle w:val="ParaNum"/>
      </w:pPr>
      <w:r>
        <w:t xml:space="preserve">We </w:t>
      </w:r>
      <w:r w:rsidR="00906135" w:rsidRPr="00906135">
        <w:t>reverse the ALJ’s Initial Decision and</w:t>
      </w:r>
      <w:r w:rsidR="00906135">
        <w:t xml:space="preserve"> </w:t>
      </w:r>
      <w:r>
        <w:t xml:space="preserve">deny Tennis Channel’s program carriage complaint based on the court’s </w:t>
      </w:r>
      <w:r w:rsidR="008B2FE2">
        <w:t>conclusion</w:t>
      </w:r>
      <w:r>
        <w:t xml:space="preserve"> that </w:t>
      </w:r>
      <w:r w:rsidR="00DF2011">
        <w:t>the</w:t>
      </w:r>
      <w:r>
        <w:t xml:space="preserve"> record </w:t>
      </w:r>
      <w:r w:rsidR="00DF2011">
        <w:t xml:space="preserve">contains no </w:t>
      </w:r>
      <w:r>
        <w:t>evidence that Comcast discriminated against it unlawfully under Section 616 of the Act and its implementing rules</w:t>
      </w:r>
      <w:r>
        <w:rPr>
          <w:szCs w:val="22"/>
        </w:rPr>
        <w:t>.</w:t>
      </w:r>
      <w:r w:rsidR="00906135">
        <w:rPr>
          <w:rStyle w:val="FootnoteReference"/>
          <w:szCs w:val="22"/>
        </w:rPr>
        <w:footnoteReference w:id="22"/>
      </w:r>
      <w:r>
        <w:rPr>
          <w:szCs w:val="22"/>
        </w:rPr>
        <w:t xml:space="preserve">  </w:t>
      </w:r>
      <w:r w:rsidR="00740A51">
        <w:rPr>
          <w:szCs w:val="22"/>
        </w:rPr>
        <w:t>Tennis Channel claims that the court established “new tests” for determining whether a</w:t>
      </w:r>
      <w:r w:rsidR="008B2FE2">
        <w:rPr>
          <w:szCs w:val="22"/>
        </w:rPr>
        <w:t>n MVPD</w:t>
      </w:r>
      <w:r w:rsidR="00740A51">
        <w:rPr>
          <w:szCs w:val="22"/>
        </w:rPr>
        <w:t xml:space="preserve">’s denial of </w:t>
      </w:r>
      <w:r w:rsidR="008B2FE2">
        <w:rPr>
          <w:szCs w:val="22"/>
        </w:rPr>
        <w:t xml:space="preserve">a request for </w:t>
      </w:r>
      <w:r w:rsidR="00740A51">
        <w:rPr>
          <w:szCs w:val="22"/>
        </w:rPr>
        <w:t>carriage is unlawfully discriminatory</w:t>
      </w:r>
      <w:r w:rsidR="00000F33">
        <w:rPr>
          <w:szCs w:val="22"/>
        </w:rPr>
        <w:t xml:space="preserve"> and that the Commission thus</w:t>
      </w:r>
      <w:r w:rsidR="00C16981">
        <w:rPr>
          <w:szCs w:val="22"/>
        </w:rPr>
        <w:t xml:space="preserve"> must order additional briefing </w:t>
      </w:r>
      <w:r w:rsidR="004E7713">
        <w:rPr>
          <w:szCs w:val="22"/>
        </w:rPr>
        <w:t>so that Tennis Channel</w:t>
      </w:r>
      <w:r w:rsidR="00000F33">
        <w:rPr>
          <w:szCs w:val="22"/>
        </w:rPr>
        <w:t xml:space="preserve"> may</w:t>
      </w:r>
      <w:r w:rsidR="00C16981">
        <w:rPr>
          <w:szCs w:val="22"/>
        </w:rPr>
        <w:t xml:space="preserve"> show that the record contains evidence sufficient to support grant of its complaint</w:t>
      </w:r>
      <w:r w:rsidR="00740A51">
        <w:rPr>
          <w:szCs w:val="22"/>
        </w:rPr>
        <w:t>.</w:t>
      </w:r>
      <w:r w:rsidR="00740A51">
        <w:rPr>
          <w:rStyle w:val="FootnoteReference"/>
          <w:szCs w:val="22"/>
        </w:rPr>
        <w:footnoteReference w:id="23"/>
      </w:r>
      <w:r w:rsidR="00740A51">
        <w:rPr>
          <w:szCs w:val="22"/>
        </w:rPr>
        <w:t xml:space="preserve">  We disagree. </w:t>
      </w:r>
      <w:r w:rsidR="008B2FE2">
        <w:rPr>
          <w:szCs w:val="22"/>
        </w:rPr>
        <w:t xml:space="preserve"> </w:t>
      </w:r>
      <w:r w:rsidR="009233A3">
        <w:t xml:space="preserve">The court explicitly stated that it </w:t>
      </w:r>
      <w:r w:rsidR="009233A3" w:rsidRPr="005E33B9">
        <w:t>decide</w:t>
      </w:r>
      <w:r w:rsidR="009233A3">
        <w:t>d</w:t>
      </w:r>
      <w:r w:rsidR="009233A3" w:rsidRPr="005E33B9">
        <w:t xml:space="preserve"> the case on the assumption that the Commission's interpretation of </w:t>
      </w:r>
      <w:r w:rsidR="00793F45">
        <w:t>S</w:t>
      </w:r>
      <w:r w:rsidR="009233A3">
        <w:t xml:space="preserve">ection </w:t>
      </w:r>
      <w:r w:rsidR="009233A3" w:rsidRPr="005E33B9">
        <w:t>616 was correct</w:t>
      </w:r>
      <w:r w:rsidR="009233A3">
        <w:t>,</w:t>
      </w:r>
      <w:r w:rsidR="009233A3">
        <w:rPr>
          <w:rStyle w:val="FootnoteReference"/>
          <w:szCs w:val="22"/>
        </w:rPr>
        <w:footnoteReference w:id="24"/>
      </w:r>
      <w:r w:rsidR="009233A3">
        <w:t xml:space="preserve"> and</w:t>
      </w:r>
      <w:r w:rsidR="009233A3" w:rsidRPr="005E33B9">
        <w:t xml:space="preserve"> concluded that the record lacked </w:t>
      </w:r>
      <w:r w:rsidR="009233A3" w:rsidRPr="00E85182">
        <w:t>any</w:t>
      </w:r>
      <w:r w:rsidR="009233A3">
        <w:rPr>
          <w:i/>
        </w:rPr>
        <w:t xml:space="preserve"> </w:t>
      </w:r>
      <w:r w:rsidR="009233A3" w:rsidRPr="005E33B9">
        <w:t>evidence to rebut Comcast’s claim that broader carri</w:t>
      </w:r>
      <w:r w:rsidR="009233A3">
        <w:t xml:space="preserve">age of Tennis Channel would </w:t>
      </w:r>
      <w:r w:rsidR="009233A3" w:rsidRPr="005E33B9">
        <w:t xml:space="preserve">yield </w:t>
      </w:r>
      <w:r w:rsidR="009233A3">
        <w:t>no</w:t>
      </w:r>
      <w:r w:rsidR="009233A3" w:rsidRPr="005E33B9">
        <w:t xml:space="preserve"> benefits</w:t>
      </w:r>
      <w:r w:rsidR="009233A3">
        <w:t xml:space="preserve"> for Comcast.</w:t>
      </w:r>
      <w:r w:rsidR="000944AF">
        <w:rPr>
          <w:rStyle w:val="FootnoteReference"/>
          <w:szCs w:val="22"/>
        </w:rPr>
        <w:footnoteReference w:id="25"/>
      </w:r>
      <w:r w:rsidR="00C67E34">
        <w:rPr>
          <w:szCs w:val="22"/>
        </w:rPr>
        <w:t xml:space="preserve"> </w:t>
      </w:r>
      <w:r w:rsidR="009233A3">
        <w:rPr>
          <w:szCs w:val="22"/>
        </w:rPr>
        <w:t xml:space="preserve"> </w:t>
      </w:r>
      <w:r w:rsidR="008B2FE2">
        <w:rPr>
          <w:szCs w:val="22"/>
        </w:rPr>
        <w:t>Contrary to Tennis Channel’s assertion, t</w:t>
      </w:r>
      <w:r w:rsidR="00A81351">
        <w:rPr>
          <w:szCs w:val="22"/>
        </w:rPr>
        <w:t>he court did not alter the evidentiary standards by which a complainant shows a violation of Se</w:t>
      </w:r>
      <w:r w:rsidR="00000F33">
        <w:rPr>
          <w:szCs w:val="22"/>
        </w:rPr>
        <w:t xml:space="preserve">ction 616, but </w:t>
      </w:r>
      <w:r w:rsidR="0037606A">
        <w:rPr>
          <w:szCs w:val="22"/>
        </w:rPr>
        <w:t xml:space="preserve">simply </w:t>
      </w:r>
      <w:r w:rsidR="00C601B0">
        <w:rPr>
          <w:szCs w:val="22"/>
        </w:rPr>
        <w:t xml:space="preserve">provided examples of the types of evidence that might have been </w:t>
      </w:r>
      <w:r w:rsidR="00000F33">
        <w:rPr>
          <w:szCs w:val="22"/>
        </w:rPr>
        <w:t>adequate</w:t>
      </w:r>
      <w:r w:rsidR="00C601B0">
        <w:rPr>
          <w:szCs w:val="22"/>
        </w:rPr>
        <w:t xml:space="preserve"> to </w:t>
      </w:r>
      <w:r w:rsidR="0037606A">
        <w:rPr>
          <w:szCs w:val="22"/>
        </w:rPr>
        <w:t>prove</w:t>
      </w:r>
      <w:r w:rsidR="00C601B0">
        <w:rPr>
          <w:szCs w:val="22"/>
        </w:rPr>
        <w:t xml:space="preserve"> that broader carriage would have </w:t>
      </w:r>
      <w:r w:rsidR="0037606A">
        <w:rPr>
          <w:szCs w:val="22"/>
        </w:rPr>
        <w:t xml:space="preserve">yielded </w:t>
      </w:r>
      <w:r w:rsidR="00C601B0">
        <w:rPr>
          <w:szCs w:val="22"/>
        </w:rPr>
        <w:t>net benefit</w:t>
      </w:r>
      <w:r w:rsidR="0037606A">
        <w:rPr>
          <w:szCs w:val="22"/>
        </w:rPr>
        <w:t xml:space="preserve">s to Comcast.  </w:t>
      </w:r>
      <w:r w:rsidR="00AE23AD">
        <w:rPr>
          <w:szCs w:val="22"/>
        </w:rPr>
        <w:t>Moreover</w:t>
      </w:r>
      <w:r w:rsidR="00C601B0">
        <w:rPr>
          <w:szCs w:val="22"/>
        </w:rPr>
        <w:t xml:space="preserve">, the court concluded that there was no evidence to support any of its hypothetical examples of how Tennis Channel might have proven its </w:t>
      </w:r>
      <w:r w:rsidR="008B2FE2">
        <w:rPr>
          <w:szCs w:val="22"/>
        </w:rPr>
        <w:t xml:space="preserve">discrimination </w:t>
      </w:r>
      <w:r w:rsidR="00C601B0">
        <w:rPr>
          <w:szCs w:val="22"/>
        </w:rPr>
        <w:t>claim.</w:t>
      </w:r>
      <w:r w:rsidR="002636B3">
        <w:rPr>
          <w:rStyle w:val="FootnoteReference"/>
          <w:szCs w:val="22"/>
        </w:rPr>
        <w:footnoteReference w:id="26"/>
      </w:r>
      <w:r w:rsidR="00740A51">
        <w:rPr>
          <w:szCs w:val="22"/>
        </w:rPr>
        <w:t xml:space="preserve">  </w:t>
      </w:r>
      <w:r w:rsidR="00B83DFE">
        <w:rPr>
          <w:szCs w:val="22"/>
        </w:rPr>
        <w:t>The court neither invited nor directed the Commission to address on remand the evidentiary shortcomings identified in its decision.</w:t>
      </w:r>
      <w:r w:rsidR="00B83DFE">
        <w:rPr>
          <w:rStyle w:val="FootnoteReference"/>
          <w:szCs w:val="22"/>
        </w:rPr>
        <w:footnoteReference w:id="27"/>
      </w:r>
      <w:r w:rsidR="00B83DFE">
        <w:rPr>
          <w:szCs w:val="22"/>
        </w:rPr>
        <w:t xml:space="preserve">  </w:t>
      </w:r>
      <w:r w:rsidR="002B55A7">
        <w:rPr>
          <w:szCs w:val="22"/>
        </w:rPr>
        <w:t xml:space="preserve">For these reasons, we reject Tennis Channel’s assertion that the Commission must </w:t>
      </w:r>
      <w:r w:rsidR="00AE23AD">
        <w:rPr>
          <w:szCs w:val="22"/>
        </w:rPr>
        <w:t>order</w:t>
      </w:r>
      <w:r w:rsidR="00C16981">
        <w:rPr>
          <w:szCs w:val="22"/>
        </w:rPr>
        <w:t xml:space="preserve"> additional </w:t>
      </w:r>
      <w:r w:rsidR="00AE23AD">
        <w:rPr>
          <w:szCs w:val="22"/>
        </w:rPr>
        <w:t>brie</w:t>
      </w:r>
      <w:r w:rsidR="00C16981">
        <w:rPr>
          <w:szCs w:val="22"/>
        </w:rPr>
        <w:t xml:space="preserve">fing on the </w:t>
      </w:r>
      <w:r w:rsidR="00AE23AD">
        <w:rPr>
          <w:szCs w:val="22"/>
        </w:rPr>
        <w:t>question</w:t>
      </w:r>
      <w:r w:rsidR="00C16981">
        <w:rPr>
          <w:szCs w:val="22"/>
        </w:rPr>
        <w:t xml:space="preserve"> whether </w:t>
      </w:r>
      <w:r w:rsidR="00AE23AD">
        <w:rPr>
          <w:szCs w:val="22"/>
        </w:rPr>
        <w:t>th</w:t>
      </w:r>
      <w:r w:rsidR="00A960CB">
        <w:rPr>
          <w:szCs w:val="22"/>
        </w:rPr>
        <w:t xml:space="preserve">e existing record satisfies purported </w:t>
      </w:r>
      <w:r w:rsidR="00AE23AD">
        <w:rPr>
          <w:szCs w:val="22"/>
        </w:rPr>
        <w:t xml:space="preserve">“new tests” </w:t>
      </w:r>
      <w:r w:rsidR="00A960CB">
        <w:rPr>
          <w:szCs w:val="22"/>
        </w:rPr>
        <w:t xml:space="preserve">established by the court </w:t>
      </w:r>
      <w:r w:rsidR="00AE23AD">
        <w:rPr>
          <w:szCs w:val="22"/>
        </w:rPr>
        <w:t xml:space="preserve">for </w:t>
      </w:r>
      <w:r w:rsidR="00A960CB">
        <w:rPr>
          <w:szCs w:val="22"/>
        </w:rPr>
        <w:t xml:space="preserve">unlawful </w:t>
      </w:r>
      <w:r w:rsidR="00C16981">
        <w:rPr>
          <w:szCs w:val="22"/>
        </w:rPr>
        <w:t>program carriage discrimination</w:t>
      </w:r>
      <w:r w:rsidR="00793F45">
        <w:rPr>
          <w:szCs w:val="22"/>
        </w:rPr>
        <w:t xml:space="preserve">, and </w:t>
      </w:r>
      <w:r w:rsidR="00230BB9">
        <w:rPr>
          <w:szCs w:val="22"/>
        </w:rPr>
        <w:t>deny Tennis Channel’s complaint.</w:t>
      </w:r>
      <w:r w:rsidR="00AB120C">
        <w:rPr>
          <w:szCs w:val="22"/>
        </w:rPr>
        <w:t xml:space="preserve"> </w:t>
      </w:r>
    </w:p>
    <w:p w:rsidR="00A1770E" w:rsidRDefault="009841C3" w:rsidP="006C296B">
      <w:pPr>
        <w:pStyle w:val="ParaNum"/>
      </w:pPr>
      <w:r>
        <w:t>For the same reasons,</w:t>
      </w:r>
      <w:r w:rsidR="001E5CAC">
        <w:t xml:space="preserve"> w</w:t>
      </w:r>
      <w:r w:rsidR="002D3203">
        <w:t>e also</w:t>
      </w:r>
      <w:r w:rsidR="00AE6195">
        <w:t xml:space="preserve"> deny T</w:t>
      </w:r>
      <w:r w:rsidR="00A1770E">
        <w:t xml:space="preserve">ennis Channel’s Petition.  </w:t>
      </w:r>
      <w:r w:rsidR="001E5CAC">
        <w:t>In addition to t</w:t>
      </w:r>
      <w:r w:rsidR="00774A7F">
        <w:t xml:space="preserve">he arguments </w:t>
      </w:r>
      <w:r w:rsidR="001E5CAC">
        <w:t>noted above</w:t>
      </w:r>
      <w:r w:rsidR="00774A7F">
        <w:t xml:space="preserve">, </w:t>
      </w:r>
      <w:r w:rsidR="00794886">
        <w:t xml:space="preserve">Tennis Channel </w:t>
      </w:r>
      <w:r w:rsidR="00774A7F">
        <w:t xml:space="preserve">asserts </w:t>
      </w:r>
      <w:r w:rsidR="001E5CAC">
        <w:t>in its</w:t>
      </w:r>
      <w:r w:rsidR="00774A7F">
        <w:t xml:space="preserve"> Petition </w:t>
      </w:r>
      <w:r w:rsidR="00794886">
        <w:t xml:space="preserve">that, </w:t>
      </w:r>
      <w:r w:rsidR="00001101">
        <w:t xml:space="preserve">should the Commission </w:t>
      </w:r>
      <w:r w:rsidR="00774A7F">
        <w:t>conclude</w:t>
      </w:r>
      <w:r w:rsidR="00001101">
        <w:t xml:space="preserve"> that </w:t>
      </w:r>
      <w:r w:rsidR="00794886">
        <w:t>additional evidence is needed to satisfy the court’s evidentiary requirements, it should designate the issues requiring factual enhancement and reopen the record.</w:t>
      </w:r>
      <w:r w:rsidR="00794886">
        <w:rPr>
          <w:rStyle w:val="FootnoteReference"/>
        </w:rPr>
        <w:footnoteReference w:id="28"/>
      </w:r>
      <w:r w:rsidR="00794886">
        <w:t xml:space="preserve">  We decline to do so.  T</w:t>
      </w:r>
      <w:r w:rsidR="00A1770E">
        <w:t xml:space="preserve">o the extent </w:t>
      </w:r>
      <w:r w:rsidR="00001101">
        <w:t>the Commission</w:t>
      </w:r>
      <w:r w:rsidR="00A1770E">
        <w:t xml:space="preserve"> ha</w:t>
      </w:r>
      <w:r w:rsidR="00001101">
        <w:t>s</w:t>
      </w:r>
      <w:r w:rsidR="00A1770E">
        <w:t xml:space="preserve"> discretion to reopen</w:t>
      </w:r>
      <w:r w:rsidR="00C662F0">
        <w:t xml:space="preserve"> the </w:t>
      </w:r>
      <w:r w:rsidR="00A1770E">
        <w:t xml:space="preserve">proceeding, </w:t>
      </w:r>
      <w:r w:rsidR="00794886">
        <w:t xml:space="preserve">we conclude that </w:t>
      </w:r>
      <w:r w:rsidR="00C662F0">
        <w:t>the interest in bringing the</w:t>
      </w:r>
      <w:r w:rsidR="00A1770E">
        <w:t xml:space="preserve"> proceeding to a close outweighs any interest in </w:t>
      </w:r>
      <w:r w:rsidR="00794886">
        <w:t xml:space="preserve">allowing </w:t>
      </w:r>
      <w:r w:rsidR="00A1770E">
        <w:t xml:space="preserve">Tennis Channel a second opportunity to prosecute its </w:t>
      </w:r>
      <w:r w:rsidR="00794886">
        <w:t xml:space="preserve">program carriage </w:t>
      </w:r>
      <w:r w:rsidR="00A1770E">
        <w:t>complaint.</w:t>
      </w:r>
      <w:r w:rsidR="00E220C7">
        <w:rPr>
          <w:rStyle w:val="FootnoteReference"/>
        </w:rPr>
        <w:footnoteReference w:id="29"/>
      </w:r>
      <w:r w:rsidR="00E511FE">
        <w:t xml:space="preserve">  </w:t>
      </w:r>
      <w:r w:rsidR="00C662F0">
        <w:t xml:space="preserve">In this regard, we note that Tennis Channel </w:t>
      </w:r>
      <w:r w:rsidR="004E7713">
        <w:t xml:space="preserve">has </w:t>
      </w:r>
      <w:r w:rsidR="00C662F0">
        <w:t>had a full and fair opportunity to litigate its complaint.</w:t>
      </w:r>
      <w:r w:rsidR="002D3203">
        <w:rPr>
          <w:rStyle w:val="FootnoteReference"/>
        </w:rPr>
        <w:footnoteReference w:id="30"/>
      </w:r>
      <w:r w:rsidR="00C662F0">
        <w:t xml:space="preserve">  </w:t>
      </w:r>
      <w:r w:rsidR="00233AAE">
        <w:t xml:space="preserve">Moreover, </w:t>
      </w:r>
      <w:r w:rsidR="00260FC6">
        <w:t>w</w:t>
      </w:r>
      <w:r w:rsidR="00E511FE">
        <w:t>e d</w:t>
      </w:r>
      <w:r w:rsidR="00E220C7">
        <w:t>isagree</w:t>
      </w:r>
      <w:r w:rsidR="00E511FE">
        <w:t xml:space="preserve"> with Tennis Channel’s contention that the Commission is </w:t>
      </w:r>
      <w:r w:rsidR="004E7713">
        <w:t xml:space="preserve">statutorily </w:t>
      </w:r>
      <w:r w:rsidR="00E511FE">
        <w:t>requi</w:t>
      </w:r>
      <w:r w:rsidR="00E220C7">
        <w:t>red to permit further</w:t>
      </w:r>
      <w:r w:rsidR="00E511FE">
        <w:t xml:space="preserve"> briefing and submission of additional evidence.</w:t>
      </w:r>
      <w:r w:rsidR="00260FC6">
        <w:rPr>
          <w:rStyle w:val="FootnoteReference"/>
        </w:rPr>
        <w:footnoteReference w:id="31"/>
      </w:r>
      <w:r w:rsidR="00E511FE">
        <w:t xml:space="preserve">  </w:t>
      </w:r>
    </w:p>
    <w:p w:rsidR="00E824BD" w:rsidRDefault="00E824BD" w:rsidP="00E824BD">
      <w:pPr>
        <w:pStyle w:val="Heading1"/>
      </w:pPr>
      <w:r>
        <w:t>ordering clauses</w:t>
      </w:r>
    </w:p>
    <w:p w:rsidR="00906135" w:rsidRPr="00906135" w:rsidRDefault="00E824BD" w:rsidP="00E824BD">
      <w:pPr>
        <w:pStyle w:val="ParaNum"/>
      </w:pPr>
      <w:r w:rsidRPr="00E824BD">
        <w:t xml:space="preserve">Accordingly, </w:t>
      </w:r>
      <w:r w:rsidRPr="00E824BD">
        <w:rPr>
          <w:b/>
        </w:rPr>
        <w:t>IT IS ORDERED</w:t>
      </w:r>
      <w:r w:rsidR="00650E25">
        <w:t xml:space="preserve">, </w:t>
      </w:r>
      <w:r w:rsidR="005E1AE7">
        <w:t xml:space="preserve">that </w:t>
      </w:r>
      <w:r w:rsidR="00906135" w:rsidRPr="00906135">
        <w:t xml:space="preserve">the Initial Decision in this matter </w:t>
      </w:r>
      <w:r w:rsidR="00906135" w:rsidRPr="00906135">
        <w:rPr>
          <w:b/>
        </w:rPr>
        <w:t>IS REVERSED.</w:t>
      </w:r>
    </w:p>
    <w:p w:rsidR="00615B8D" w:rsidRDefault="00906135" w:rsidP="00E824BD">
      <w:pPr>
        <w:pStyle w:val="ParaNum"/>
      </w:pPr>
      <w:r>
        <w:rPr>
          <w:b/>
        </w:rPr>
        <w:t xml:space="preserve">IT IS FURTHER ORDERED </w:t>
      </w:r>
      <w:r>
        <w:t xml:space="preserve">that </w:t>
      </w:r>
      <w:r w:rsidR="00615B8D">
        <w:t>Tennis Chan</w:t>
      </w:r>
      <w:r w:rsidR="000C1219">
        <w:t xml:space="preserve">nel’s Complaint in the above-captioned proceeding, </w:t>
      </w:r>
      <w:r w:rsidR="000C1219">
        <w:rPr>
          <w:b/>
        </w:rPr>
        <w:t xml:space="preserve">IS </w:t>
      </w:r>
      <w:r w:rsidR="000C1219" w:rsidRPr="000C1219">
        <w:rPr>
          <w:b/>
        </w:rPr>
        <w:t>DENIED</w:t>
      </w:r>
      <w:r w:rsidR="000C1219">
        <w:t>.</w:t>
      </w:r>
    </w:p>
    <w:p w:rsidR="00E824BD" w:rsidRDefault="00615B8D" w:rsidP="00E824BD">
      <w:pPr>
        <w:pStyle w:val="ParaNum"/>
      </w:pPr>
      <w:r>
        <w:rPr>
          <w:b/>
        </w:rPr>
        <w:t xml:space="preserve">IT IS FURTHER ORDERED </w:t>
      </w:r>
      <w:r>
        <w:t xml:space="preserve">that the </w:t>
      </w:r>
      <w:r w:rsidR="005E1AE7">
        <w:t>Petition for Further Proceedings and Reaffirmation of Original Decision</w:t>
      </w:r>
      <w:r w:rsidR="00E824BD" w:rsidRPr="00E824BD">
        <w:t xml:space="preserve"> </w:t>
      </w:r>
      <w:r w:rsidR="005E1AE7">
        <w:t>filed by Tennis Channel</w:t>
      </w:r>
      <w:r w:rsidR="00E824BD" w:rsidRPr="00E824BD">
        <w:t xml:space="preserve">, </w:t>
      </w:r>
      <w:r w:rsidR="00E824BD" w:rsidRPr="00E824BD">
        <w:rPr>
          <w:b/>
        </w:rPr>
        <w:t>IS DENIED</w:t>
      </w:r>
      <w:r w:rsidR="00E824BD" w:rsidRPr="00E824BD">
        <w:t>.</w:t>
      </w:r>
    </w:p>
    <w:p w:rsidR="001806E1" w:rsidRDefault="001806E1" w:rsidP="001806E1">
      <w:pPr>
        <w:pStyle w:val="ParaNum"/>
      </w:pPr>
      <w:r w:rsidRPr="00F014D6">
        <w:rPr>
          <w:b/>
        </w:rPr>
        <w:t>IT IS FURTHER ORDERED</w:t>
      </w:r>
      <w:r>
        <w:t xml:space="preserve"> that Comcast’s Application for Review in the above-captioned proceeding </w:t>
      </w:r>
      <w:r>
        <w:rPr>
          <w:b/>
        </w:rPr>
        <w:t>IS DISMISSED.</w:t>
      </w:r>
    </w:p>
    <w:p w:rsidR="00DF2011" w:rsidRPr="00E824BD" w:rsidRDefault="00E25DAA" w:rsidP="00E824BD">
      <w:pPr>
        <w:pStyle w:val="ParaNum"/>
      </w:pPr>
      <w:r w:rsidRPr="00007633">
        <w:rPr>
          <w:b/>
          <w:bCs/>
          <w:color w:val="000000"/>
          <w:szCs w:val="22"/>
        </w:rPr>
        <w:t>IT IS FURTHER ORDERED</w:t>
      </w:r>
      <w:r>
        <w:rPr>
          <w:color w:val="000000"/>
          <w:szCs w:val="22"/>
        </w:rPr>
        <w:t xml:space="preserve"> </w:t>
      </w:r>
      <w:r w:rsidRPr="00007633">
        <w:rPr>
          <w:color w:val="000000"/>
          <w:szCs w:val="22"/>
        </w:rPr>
        <w:t xml:space="preserve">that this proceeding </w:t>
      </w:r>
      <w:r w:rsidRPr="00007633">
        <w:rPr>
          <w:b/>
          <w:color w:val="000000"/>
          <w:szCs w:val="22"/>
        </w:rPr>
        <w:t>IS TERMINATED</w:t>
      </w:r>
      <w:r w:rsidRPr="00007633">
        <w:rPr>
          <w:color w:val="000000"/>
          <w:szCs w:val="22"/>
        </w:rPr>
        <w:t>.</w:t>
      </w:r>
    </w:p>
    <w:p w:rsidR="00E824BD" w:rsidRDefault="00E824BD" w:rsidP="00E824BD">
      <w:pPr>
        <w:pStyle w:val="ParaNum"/>
      </w:pPr>
      <w:r>
        <w:t>This action</w:t>
      </w:r>
      <w:r w:rsidR="00650E25">
        <w:t xml:space="preserve"> is taken pursuant to authority in Sections 4(i), 4(j), 303(r) and 616 of the Communications Act of 1934, as amended, 47 U.S.C. §§ 154(i), 154(j), 303(r), 536</w:t>
      </w:r>
      <w:r w:rsidR="00906135" w:rsidRPr="00906135">
        <w:t>, and Sections 1.282 and 76.1302 of the Commission’s rules, 47 C.F.R.§§ 1.282, 76.1302.</w:t>
      </w:r>
    </w:p>
    <w:p w:rsidR="009965AC" w:rsidRDefault="009965AC" w:rsidP="009965AC">
      <w:pPr>
        <w:pStyle w:val="ParaNum"/>
        <w:numPr>
          <w:ilvl w:val="0"/>
          <w:numId w:val="0"/>
        </w:numPr>
        <w:ind w:left="720"/>
      </w:pPr>
    </w:p>
    <w:p w:rsidR="009965AC" w:rsidRDefault="009965AC" w:rsidP="009965AC">
      <w:pPr>
        <w:pStyle w:val="ParaNum"/>
        <w:numPr>
          <w:ilvl w:val="0"/>
          <w:numId w:val="0"/>
        </w:numPr>
        <w:ind w:left="720"/>
      </w:pPr>
    </w:p>
    <w:p w:rsidR="00D059E4" w:rsidRDefault="00D059E4" w:rsidP="009670E6">
      <w:r>
        <w:tab/>
      </w:r>
      <w:r>
        <w:tab/>
      </w:r>
      <w:r>
        <w:tab/>
      </w:r>
      <w:r>
        <w:tab/>
      </w:r>
      <w:r>
        <w:tab/>
      </w:r>
      <w:r>
        <w:tab/>
        <w:t>FEDERAL COMMUNICATIONS COMMISSION</w:t>
      </w:r>
    </w:p>
    <w:p w:rsidR="00D059E4" w:rsidRDefault="00D059E4" w:rsidP="009670E6"/>
    <w:p w:rsidR="00D059E4" w:rsidRDefault="00D059E4" w:rsidP="009670E6"/>
    <w:p w:rsidR="00D059E4" w:rsidRDefault="00D059E4" w:rsidP="009670E6"/>
    <w:p w:rsidR="00D059E4" w:rsidRDefault="00D059E4" w:rsidP="009670E6"/>
    <w:p w:rsidR="00D059E4" w:rsidRDefault="00D059E4" w:rsidP="009670E6">
      <w:r>
        <w:tab/>
      </w:r>
      <w:r>
        <w:tab/>
      </w:r>
      <w:r>
        <w:tab/>
      </w:r>
      <w:r>
        <w:tab/>
      </w:r>
      <w:r>
        <w:tab/>
      </w:r>
      <w:r>
        <w:tab/>
        <w:t>Marlene H. Dortch</w:t>
      </w:r>
    </w:p>
    <w:p w:rsidR="00D059E4" w:rsidRDefault="00D059E4" w:rsidP="009670E6">
      <w:r>
        <w:tab/>
      </w:r>
      <w:r>
        <w:tab/>
      </w:r>
      <w:r>
        <w:tab/>
      </w:r>
      <w:r>
        <w:tab/>
      </w:r>
      <w:r>
        <w:tab/>
      </w:r>
      <w:r>
        <w:tab/>
        <w:t>Secretary</w:t>
      </w:r>
    </w:p>
    <w:p w:rsidR="00D059E4" w:rsidRPr="00E824BD" w:rsidRDefault="00D059E4" w:rsidP="00D059E4">
      <w:pPr>
        <w:pStyle w:val="ParaNum"/>
        <w:numPr>
          <w:ilvl w:val="0"/>
          <w:numId w:val="0"/>
        </w:numPr>
      </w:pPr>
    </w:p>
    <w:sectPr w:rsidR="00D059E4" w:rsidRPr="00E824BD" w:rsidSect="00CD0D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16" w:rsidRDefault="00837116">
      <w:pPr>
        <w:spacing w:line="20" w:lineRule="exact"/>
      </w:pPr>
    </w:p>
  </w:endnote>
  <w:endnote w:type="continuationSeparator" w:id="0">
    <w:p w:rsidR="00837116" w:rsidRDefault="00837116">
      <w:r>
        <w:t xml:space="preserve"> </w:t>
      </w:r>
    </w:p>
  </w:endnote>
  <w:endnote w:type="continuationNotice" w:id="1">
    <w:p w:rsidR="00837116" w:rsidRDefault="00837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5" w:rsidRDefault="00DF1104">
    <w:pPr>
      <w:pStyle w:val="Footer"/>
      <w:framePr w:wrap="around" w:vAnchor="text" w:hAnchor="margin" w:xAlign="center" w:y="1"/>
    </w:pPr>
    <w:r>
      <w:fldChar w:fldCharType="begin"/>
    </w:r>
    <w:r w:rsidR="00183C75">
      <w:instrText xml:space="preserve">PAGE  </w:instrText>
    </w:r>
    <w:r>
      <w:fldChar w:fldCharType="end"/>
    </w:r>
  </w:p>
  <w:p w:rsidR="00183C75" w:rsidRDefault="0018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83315"/>
      <w:docPartObj>
        <w:docPartGallery w:val="Page Numbers (Bottom of Page)"/>
        <w:docPartUnique/>
      </w:docPartObj>
    </w:sdtPr>
    <w:sdtEndPr>
      <w:rPr>
        <w:noProof/>
      </w:rPr>
    </w:sdtEndPr>
    <w:sdtContent>
      <w:p w:rsidR="00183C75" w:rsidRPr="00CD0D9D" w:rsidRDefault="003203AB" w:rsidP="00CD0D9D">
        <w:pPr>
          <w:pStyle w:val="Footer"/>
          <w:jc w:val="center"/>
        </w:pPr>
        <w:r>
          <w:fldChar w:fldCharType="begin"/>
        </w:r>
        <w:r>
          <w:instrText xml:space="preserve"> PAGE   \* MERGEFORMAT </w:instrText>
        </w:r>
        <w:r>
          <w:fldChar w:fldCharType="separate"/>
        </w:r>
        <w:r w:rsidR="00B4077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EE" w:rsidRDefault="00EB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16" w:rsidRDefault="00837116">
      <w:r>
        <w:separator/>
      </w:r>
    </w:p>
  </w:footnote>
  <w:footnote w:type="continuationSeparator" w:id="0">
    <w:p w:rsidR="00837116" w:rsidRDefault="00837116" w:rsidP="00EF16E8">
      <w:pPr>
        <w:spacing w:before="120"/>
        <w:rPr>
          <w:sz w:val="20"/>
        </w:rPr>
      </w:pPr>
      <w:r>
        <w:rPr>
          <w:sz w:val="20"/>
        </w:rPr>
        <w:t xml:space="preserve">(Continued from previous page)  </w:t>
      </w:r>
      <w:r>
        <w:rPr>
          <w:sz w:val="20"/>
        </w:rPr>
        <w:separator/>
      </w:r>
    </w:p>
  </w:footnote>
  <w:footnote w:type="continuationNotice" w:id="1">
    <w:p w:rsidR="00837116" w:rsidRDefault="00837116" w:rsidP="00EF16E8">
      <w:pPr>
        <w:jc w:val="right"/>
        <w:rPr>
          <w:sz w:val="20"/>
        </w:rPr>
      </w:pPr>
      <w:r>
        <w:rPr>
          <w:sz w:val="20"/>
        </w:rPr>
        <w:t>(continued….)</w:t>
      </w:r>
    </w:p>
  </w:footnote>
  <w:footnote w:id="2">
    <w:p w:rsidR="001F7C5D" w:rsidRDefault="001F7C5D" w:rsidP="001F7C5D">
      <w:pPr>
        <w:pStyle w:val="FootnoteText"/>
      </w:pPr>
      <w:r>
        <w:rPr>
          <w:rStyle w:val="FootnoteReference"/>
        </w:rPr>
        <w:footnoteRef/>
      </w:r>
      <w:r>
        <w:t xml:space="preserve"> Petition for Further Proceedings and Reaffirmation of Original Decision (filed Mar. 11, 2014) (“Petition”).</w:t>
      </w:r>
    </w:p>
  </w:footnote>
  <w:footnote w:id="3">
    <w:p w:rsidR="001F7C5D" w:rsidRDefault="001F7C5D" w:rsidP="001F7C5D">
      <w:pPr>
        <w:pStyle w:val="FootnoteText"/>
      </w:pPr>
      <w:r>
        <w:rPr>
          <w:rStyle w:val="FootnoteReference"/>
        </w:rPr>
        <w:footnoteRef/>
      </w:r>
      <w:r>
        <w:t xml:space="preserve"> 717 F.3d 982 (D.C. Cir. 2013).  </w:t>
      </w:r>
    </w:p>
  </w:footnote>
  <w:footnote w:id="4">
    <w:p w:rsidR="001479AB" w:rsidRDefault="001479AB" w:rsidP="001479AB">
      <w:pPr>
        <w:pStyle w:val="FootnoteText"/>
      </w:pPr>
      <w:r>
        <w:rPr>
          <w:rStyle w:val="FootnoteReference"/>
        </w:rPr>
        <w:footnoteRef/>
      </w:r>
      <w:r>
        <w:t xml:space="preserve"> </w:t>
      </w:r>
      <w:r w:rsidR="0020386B">
        <w:rPr>
          <w:i/>
        </w:rPr>
        <w:t>Id.</w:t>
      </w:r>
      <w:r>
        <w:t xml:space="preserve">  </w:t>
      </w:r>
    </w:p>
  </w:footnote>
  <w:footnote w:id="5">
    <w:p w:rsidR="00041B99" w:rsidRPr="00F71CB8" w:rsidRDefault="00041B99" w:rsidP="00041B99">
      <w:pPr>
        <w:pStyle w:val="FootnoteText"/>
      </w:pPr>
      <w:r>
        <w:rPr>
          <w:rStyle w:val="FootnoteReference"/>
        </w:rPr>
        <w:footnoteRef/>
      </w:r>
      <w:r>
        <w:t xml:space="preserve"> </w:t>
      </w:r>
      <w:r>
        <w:rPr>
          <w:i/>
        </w:rPr>
        <w:t>See Tennis Channel, Inc., Complainant, v. Comcast Cable Communications, L.L.C., Defendant,</w:t>
      </w:r>
      <w:r>
        <w:t xml:space="preserve"> Memorandum Opinion and </w:t>
      </w:r>
      <w:r w:rsidR="00AF612F">
        <w:t>Order, 27 FCC Rcd 8508 (2012)</w:t>
      </w:r>
      <w:r>
        <w:t xml:space="preserve">.  </w:t>
      </w:r>
      <w:r>
        <w:rPr>
          <w:snapToGrid w:val="0"/>
        </w:rPr>
        <w:t xml:space="preserve">   </w:t>
      </w:r>
    </w:p>
  </w:footnote>
  <w:footnote w:id="6">
    <w:p w:rsidR="00041B99" w:rsidRDefault="00183C75" w:rsidP="00425160">
      <w:pPr>
        <w:pStyle w:val="FootnoteText"/>
      </w:pPr>
      <w:r>
        <w:rPr>
          <w:rStyle w:val="FootnoteReference"/>
        </w:rPr>
        <w:footnoteRef/>
      </w:r>
      <w:r>
        <w:t xml:space="preserve"> 47 U.S.C. § 536(a)(3).</w:t>
      </w:r>
      <w:r w:rsidR="00041B99">
        <w:t xml:space="preserve">  Section 616 of the Act </w:t>
      </w:r>
      <w:r w:rsidR="00DF7B0F">
        <w:t>instructs the Commission</w:t>
      </w:r>
      <w:r w:rsidR="00041B99">
        <w:t xml:space="preserve">, </w:t>
      </w:r>
      <w:r w:rsidR="00FE2E65">
        <w:t>in relevant part</w:t>
      </w:r>
      <w:r w:rsidR="00041B99">
        <w:t xml:space="preserve">, </w:t>
      </w:r>
      <w:r w:rsidR="00DF7B0F">
        <w:t xml:space="preserve">to establish </w:t>
      </w:r>
      <w:r w:rsidR="00F72153">
        <w:t>regulations</w:t>
      </w:r>
      <w:r w:rsidR="00DF7B0F">
        <w:t xml:space="preserve"> designed to</w:t>
      </w:r>
      <w:r w:rsidR="00041B99">
        <w:t>:</w:t>
      </w:r>
    </w:p>
    <w:p w:rsidR="00183C75" w:rsidRDefault="00041B99" w:rsidP="00F72153">
      <w:pPr>
        <w:pStyle w:val="FootnoteText"/>
        <w:ind w:left="720" w:right="720"/>
      </w:pPr>
      <w:r>
        <w:t xml:space="preserve">prevent a </w:t>
      </w:r>
      <w:r w:rsidR="00250D74">
        <w:t>multichannel video programming distributor</w:t>
      </w:r>
      <w:r>
        <w:t xml:space="preserve"> from engaging in conduct the effect of which is to unreasonably restrain the ability of an unaffiliated video programming vendor to compete fairly by discriminating in video programming distribution on the basis of affiliation or nonaffiliation of vendors in the selection, terms or conditions for carriage of video programming provided by such vendors.</w:t>
      </w:r>
    </w:p>
    <w:p w:rsidR="00EB108E" w:rsidRPr="00EB108E" w:rsidRDefault="00EB108E" w:rsidP="00EB108E">
      <w:pPr>
        <w:pStyle w:val="FootnoteText"/>
        <w:ind w:right="720"/>
        <w:rPr>
          <w:i/>
        </w:rPr>
      </w:pPr>
      <w:r>
        <w:rPr>
          <w:i/>
        </w:rPr>
        <w:t>Id.</w:t>
      </w:r>
    </w:p>
  </w:footnote>
  <w:footnote w:id="7">
    <w:p w:rsidR="002178C6" w:rsidRDefault="002178C6">
      <w:pPr>
        <w:pStyle w:val="FootnoteText"/>
      </w:pPr>
      <w:r>
        <w:rPr>
          <w:rStyle w:val="FootnoteReference"/>
        </w:rPr>
        <w:footnoteRef/>
      </w:r>
      <w:r>
        <w:t xml:space="preserve"> 47 C.F.R. § 76.1301(c).</w:t>
      </w:r>
    </w:p>
  </w:footnote>
  <w:footnote w:id="8">
    <w:p w:rsidR="00C86484" w:rsidRPr="00C86484" w:rsidRDefault="00C86484">
      <w:pPr>
        <w:pStyle w:val="FootnoteText"/>
      </w:pPr>
      <w:r>
        <w:rPr>
          <w:rStyle w:val="FootnoteReference"/>
        </w:rPr>
        <w:footnoteRef/>
      </w:r>
      <w:r>
        <w:t xml:space="preserve"> </w:t>
      </w:r>
      <w:r>
        <w:rPr>
          <w:i/>
        </w:rPr>
        <w:t xml:space="preserve">See </w:t>
      </w:r>
      <w:r>
        <w:t>717 F.3d at 987.</w:t>
      </w:r>
    </w:p>
  </w:footnote>
  <w:footnote w:id="9">
    <w:p w:rsidR="00183C75" w:rsidRPr="000A2EF6" w:rsidRDefault="00183C75">
      <w:pPr>
        <w:pStyle w:val="FootnoteText"/>
      </w:pPr>
      <w:r>
        <w:rPr>
          <w:rStyle w:val="FootnoteReference"/>
        </w:rPr>
        <w:footnoteRef/>
      </w:r>
      <w:r>
        <w:t xml:space="preserve"> </w:t>
      </w:r>
      <w:r>
        <w:rPr>
          <w:i/>
        </w:rPr>
        <w:t>See MO&amp;O</w:t>
      </w:r>
      <w:r>
        <w:t>, 27 FCC Rcd at 8509, ¶ 1.</w:t>
      </w:r>
    </w:p>
  </w:footnote>
  <w:footnote w:id="10">
    <w:p w:rsidR="00183C75" w:rsidRPr="005A1718" w:rsidRDefault="00183C75">
      <w:pPr>
        <w:pStyle w:val="FootnoteText"/>
      </w:pPr>
      <w:r>
        <w:rPr>
          <w:rStyle w:val="FootnoteReference"/>
        </w:rPr>
        <w:footnoteRef/>
      </w:r>
      <w:r>
        <w:t xml:space="preserve"> </w:t>
      </w:r>
      <w:r>
        <w:rPr>
          <w:i/>
        </w:rPr>
        <w:t>Id.</w:t>
      </w:r>
    </w:p>
  </w:footnote>
  <w:footnote w:id="11">
    <w:p w:rsidR="00183C75" w:rsidRPr="005A1718" w:rsidRDefault="00183C75">
      <w:pPr>
        <w:pStyle w:val="FootnoteText"/>
      </w:pPr>
      <w:r>
        <w:rPr>
          <w:rStyle w:val="FootnoteReference"/>
        </w:rPr>
        <w:footnoteRef/>
      </w:r>
      <w:r>
        <w:t xml:space="preserve"> </w:t>
      </w:r>
      <w:r>
        <w:rPr>
          <w:i/>
        </w:rPr>
        <w:t xml:space="preserve">Id., </w:t>
      </w:r>
      <w:r>
        <w:t>¶ 2.</w:t>
      </w:r>
    </w:p>
  </w:footnote>
  <w:footnote w:id="12">
    <w:p w:rsidR="00183C75" w:rsidRPr="005A1718" w:rsidRDefault="00183C75">
      <w:pPr>
        <w:pStyle w:val="FootnoteText"/>
        <w:rPr>
          <w:i/>
        </w:rPr>
      </w:pPr>
      <w:r>
        <w:rPr>
          <w:rStyle w:val="FootnoteReference"/>
        </w:rPr>
        <w:footnoteRef/>
      </w:r>
      <w:r>
        <w:t xml:space="preserve"> </w:t>
      </w:r>
      <w:r>
        <w:rPr>
          <w:i/>
        </w:rPr>
        <w:t>Id.</w:t>
      </w:r>
    </w:p>
  </w:footnote>
  <w:footnote w:id="13">
    <w:p w:rsidR="00183C75" w:rsidRDefault="00183C75">
      <w:pPr>
        <w:pStyle w:val="FootnoteText"/>
      </w:pPr>
      <w:r>
        <w:rPr>
          <w:rStyle w:val="FootnoteReference"/>
        </w:rPr>
        <w:footnoteRef/>
      </w:r>
      <w:r>
        <w:t xml:space="preserve"> In addition, Comcast separately filed an Application for Review of a decision by the Media Bureau finding that Tennis Channel’s complaint was not barred by the program carriage statute of limitations.  </w:t>
      </w:r>
      <w:r w:rsidR="00AF612F">
        <w:t xml:space="preserve">The Commission denied the Application for Review in the </w:t>
      </w:r>
      <w:r w:rsidR="00AF612F" w:rsidRPr="00AF612F">
        <w:rPr>
          <w:i/>
        </w:rPr>
        <w:t>MO&amp;O</w:t>
      </w:r>
      <w:r w:rsidR="00AF612F">
        <w:t xml:space="preserve">.  </w:t>
      </w:r>
      <w:r>
        <w:rPr>
          <w:i/>
        </w:rPr>
        <w:t>Id.</w:t>
      </w:r>
      <w:r w:rsidR="00AF612F">
        <w:t xml:space="preserve"> at 8519, ¶¶ 28-34.</w:t>
      </w:r>
      <w:r>
        <w:t xml:space="preserve">  </w:t>
      </w:r>
    </w:p>
  </w:footnote>
  <w:footnote w:id="14">
    <w:p w:rsidR="00183C75" w:rsidRPr="003855F5" w:rsidRDefault="00183C75">
      <w:pPr>
        <w:pStyle w:val="FootnoteText"/>
        <w:rPr>
          <w:i/>
        </w:rPr>
      </w:pPr>
      <w:r>
        <w:rPr>
          <w:rStyle w:val="FootnoteReference"/>
        </w:rPr>
        <w:footnoteRef/>
      </w:r>
      <w:r>
        <w:t xml:space="preserve"> </w:t>
      </w:r>
      <w:r>
        <w:rPr>
          <w:i/>
        </w:rPr>
        <w:t xml:space="preserve">See </w:t>
      </w:r>
      <w:r w:rsidR="000150FF">
        <w:rPr>
          <w:i/>
        </w:rPr>
        <w:t>id.</w:t>
      </w:r>
      <w:r w:rsidR="003855F5">
        <w:rPr>
          <w:i/>
        </w:rPr>
        <w:t xml:space="preserve"> </w:t>
      </w:r>
      <w:r w:rsidR="003855F5">
        <w:t xml:space="preserve">at 8509, ¶ 3, 8519, ¶ 27.  </w:t>
      </w:r>
      <w:r w:rsidR="003855F5">
        <w:rPr>
          <w:szCs w:val="22"/>
        </w:rPr>
        <w:t>T</w:t>
      </w:r>
      <w:r w:rsidR="003855F5">
        <w:t>he Commission found, consistent with the ALJ’s ruling, that Comcast had discriminated against Tennis Channel on the basis of affiliation and that such discriminatory treatment unreasonably restrained Tennis Channel’s ability to compete against Comcast’s similarly situated affiliates.</w:t>
      </w:r>
      <w:r w:rsidR="00727123">
        <w:t xml:space="preserve">  In particular, the Commission agreed with the ALJ’s finding that </w:t>
      </w:r>
      <w:r w:rsidR="00727123" w:rsidRPr="00007633">
        <w:rPr>
          <w:color w:val="000000"/>
        </w:rPr>
        <w:t>Tennis Channel, Golf Channel, and Versus are similarly situated networks</w:t>
      </w:r>
      <w:bookmarkStart w:id="1" w:name="FN[FN58]"/>
      <w:bookmarkEnd w:id="1"/>
      <w:r w:rsidR="00727123">
        <w:rPr>
          <w:color w:val="000000"/>
        </w:rPr>
        <w:t xml:space="preserve">, and that </w:t>
      </w:r>
      <w:r w:rsidR="00727123" w:rsidRPr="00007633">
        <w:rPr>
          <w:color w:val="000000"/>
        </w:rPr>
        <w:t>Comcast gave Golf Channel and Versus more favorable channel placement and broader carriage than Tennis Channel</w:t>
      </w:r>
      <w:r w:rsidR="00727123">
        <w:rPr>
          <w:color w:val="000000"/>
        </w:rPr>
        <w:t xml:space="preserve"> due to their affiliation with Comcast</w:t>
      </w:r>
      <w:r w:rsidR="00727123" w:rsidRPr="00007633">
        <w:rPr>
          <w:color w:val="000000"/>
        </w:rPr>
        <w:t>.</w:t>
      </w:r>
      <w:bookmarkStart w:id="2" w:name="FN[FN63]"/>
      <w:bookmarkEnd w:id="2"/>
      <w:r w:rsidR="00727123">
        <w:rPr>
          <w:color w:val="000000"/>
        </w:rPr>
        <w:t xml:space="preserve">  </w:t>
      </w:r>
      <w:bookmarkStart w:id="3" w:name="sp_1511_8516"/>
      <w:bookmarkStart w:id="4" w:name="SDU_8516"/>
      <w:bookmarkStart w:id="5" w:name="FN[FN65]"/>
      <w:bookmarkEnd w:id="3"/>
      <w:bookmarkEnd w:id="4"/>
      <w:bookmarkEnd w:id="5"/>
    </w:p>
  </w:footnote>
  <w:footnote w:id="15">
    <w:p w:rsidR="00DF2011" w:rsidRDefault="00DF2011">
      <w:pPr>
        <w:pStyle w:val="FootnoteText"/>
      </w:pPr>
      <w:r>
        <w:rPr>
          <w:rStyle w:val="FootnoteReference"/>
        </w:rPr>
        <w:footnoteRef/>
      </w:r>
      <w:r>
        <w:t xml:space="preserve"> 717 F.3d at 987.</w:t>
      </w:r>
    </w:p>
  </w:footnote>
  <w:footnote w:id="16">
    <w:p w:rsidR="00183C75" w:rsidRDefault="00183C75">
      <w:pPr>
        <w:pStyle w:val="FootnoteText"/>
      </w:pPr>
      <w:r>
        <w:rPr>
          <w:rStyle w:val="FootnoteReference"/>
        </w:rPr>
        <w:footnoteRef/>
      </w:r>
      <w:r>
        <w:t xml:space="preserve"> </w:t>
      </w:r>
      <w:r w:rsidR="0067181D">
        <w:rPr>
          <w:i/>
        </w:rPr>
        <w:t xml:space="preserve">See supra </w:t>
      </w:r>
      <w:r w:rsidR="00AE0A9D">
        <w:t>n. 2</w:t>
      </w:r>
      <w:r w:rsidR="0067181D">
        <w:t>.</w:t>
      </w:r>
      <w:r>
        <w:t xml:space="preserve">  </w:t>
      </w:r>
      <w:r w:rsidR="00246B1B" w:rsidRPr="00946D96">
        <w:t xml:space="preserve">The D.C. Circuit had stayed the Commission’s </w:t>
      </w:r>
      <w:r w:rsidR="00946D96">
        <w:rPr>
          <w:i/>
        </w:rPr>
        <w:t xml:space="preserve">MO&amp;O </w:t>
      </w:r>
      <w:r w:rsidR="00246B1B" w:rsidRPr="00946D96">
        <w:t xml:space="preserve">prior to vacating it.  </w:t>
      </w:r>
      <w:r w:rsidR="00246B1B" w:rsidRPr="00946D96">
        <w:rPr>
          <w:i/>
        </w:rPr>
        <w:t>See Comcast Cable Communications, LLC. v. FCC</w:t>
      </w:r>
      <w:r w:rsidR="00246B1B" w:rsidRPr="00946D96">
        <w:t>, No. 12-1337, Order (D.C. Cir. Aug. 24, 2012).</w:t>
      </w:r>
    </w:p>
  </w:footnote>
  <w:footnote w:id="17">
    <w:p w:rsidR="00183C75" w:rsidRPr="002918B1" w:rsidRDefault="00183C75">
      <w:pPr>
        <w:pStyle w:val="FootnoteText"/>
      </w:pPr>
      <w:r>
        <w:rPr>
          <w:rStyle w:val="FootnoteReference"/>
        </w:rPr>
        <w:footnoteRef/>
      </w:r>
      <w:r>
        <w:t xml:space="preserve"> </w:t>
      </w:r>
      <w:r>
        <w:rPr>
          <w:i/>
        </w:rPr>
        <w:t xml:space="preserve">See </w:t>
      </w:r>
      <w:r>
        <w:t xml:space="preserve">Petition.  Prior to filing its Petition with the Commission, Tennis Channel filed a petition in the D.C. Circuit for an </w:t>
      </w:r>
      <w:r>
        <w:rPr>
          <w:i/>
        </w:rPr>
        <w:t xml:space="preserve">en banc </w:t>
      </w:r>
      <w:r>
        <w:t xml:space="preserve">rehearing, which was summarily denied.  </w:t>
      </w:r>
      <w:r>
        <w:rPr>
          <w:i/>
        </w:rPr>
        <w:t xml:space="preserve">See </w:t>
      </w:r>
      <w:r>
        <w:t xml:space="preserve">Order, No. 12-1337 (D.C. Cir. Sept. 4, 2013).  Tennis Channel then filed a petition in the U.S. Supreme Court for a </w:t>
      </w:r>
      <w:r w:rsidRPr="00127434">
        <w:rPr>
          <w:i/>
        </w:rPr>
        <w:t>writ of certiorari</w:t>
      </w:r>
      <w:r>
        <w:t xml:space="preserve"> to review the D.C. Circuit’s decision, which also was denied.  </w:t>
      </w:r>
      <w:r>
        <w:rPr>
          <w:i/>
        </w:rPr>
        <w:t xml:space="preserve">See </w:t>
      </w:r>
      <w:r>
        <w:t>Order, No. 13-676 (U.S. Feb. 24, 2014).</w:t>
      </w:r>
    </w:p>
  </w:footnote>
  <w:footnote w:id="18">
    <w:p w:rsidR="00AB120C" w:rsidRDefault="00AB120C">
      <w:pPr>
        <w:pStyle w:val="FootnoteText"/>
      </w:pPr>
      <w:r>
        <w:rPr>
          <w:rStyle w:val="FootnoteReference"/>
        </w:rPr>
        <w:footnoteRef/>
      </w:r>
      <w:r>
        <w:t xml:space="preserve"> </w:t>
      </w:r>
      <w:r>
        <w:rPr>
          <w:i/>
        </w:rPr>
        <w:t xml:space="preserve">See </w:t>
      </w:r>
      <w:r>
        <w:t>Petition at ii, 3, 7.</w:t>
      </w:r>
    </w:p>
  </w:footnote>
  <w:footnote w:id="19">
    <w:p w:rsidR="00B471C7" w:rsidRPr="00B471C7" w:rsidRDefault="00B471C7" w:rsidP="00B471C7">
      <w:pPr>
        <w:pStyle w:val="FootnoteText"/>
      </w:pPr>
      <w:r>
        <w:rPr>
          <w:rStyle w:val="FootnoteReference"/>
        </w:rPr>
        <w:footnoteRef/>
      </w:r>
      <w:r>
        <w:t xml:space="preserve"> </w:t>
      </w:r>
      <w:r>
        <w:rPr>
          <w:i/>
        </w:rPr>
        <w:t xml:space="preserve">See </w:t>
      </w:r>
      <w:r w:rsidR="00AB120C">
        <w:rPr>
          <w:i/>
        </w:rPr>
        <w:t>id.</w:t>
      </w:r>
      <w:r>
        <w:t xml:space="preserve"> at 11-13.  Tennis Channel asserts that the Commission must establish a new briefing cycle that directs the parties to file limited proposed findings of fact and conclusions of law on the issues identified by the court.  </w:t>
      </w:r>
      <w:r>
        <w:rPr>
          <w:i/>
        </w:rPr>
        <w:t xml:space="preserve">Id. </w:t>
      </w:r>
      <w:r>
        <w:t>at iii, 13-26.</w:t>
      </w:r>
    </w:p>
  </w:footnote>
  <w:footnote w:id="20">
    <w:p w:rsidR="00B471C7" w:rsidRPr="00610972" w:rsidRDefault="00B471C7">
      <w:pPr>
        <w:pStyle w:val="FootnoteText"/>
      </w:pPr>
      <w:r>
        <w:rPr>
          <w:rStyle w:val="FootnoteReference"/>
        </w:rPr>
        <w:footnoteRef/>
      </w:r>
      <w:r>
        <w:t xml:space="preserve"> </w:t>
      </w:r>
      <w:r>
        <w:rPr>
          <w:i/>
        </w:rPr>
        <w:t xml:space="preserve">Id. </w:t>
      </w:r>
      <w:r w:rsidR="00090B98">
        <w:t>at 13-26.</w:t>
      </w:r>
      <w:r w:rsidR="007759C2">
        <w:t xml:space="preserve">  Tennis Channel also argues that </w:t>
      </w:r>
      <w:r w:rsidR="00610972">
        <w:t xml:space="preserve">grant of its Petition is necessary “to give life to the [program carriage] condition imposed in the </w:t>
      </w:r>
      <w:r w:rsidR="00610972">
        <w:rPr>
          <w:i/>
        </w:rPr>
        <w:t xml:space="preserve">Comcast-NBCU </w:t>
      </w:r>
      <w:r w:rsidR="00610972">
        <w:t>merger order.</w:t>
      </w:r>
      <w:r w:rsidR="00793F45">
        <w:t>”</w:t>
      </w:r>
      <w:r w:rsidR="00610972">
        <w:t xml:space="preserve">  </w:t>
      </w:r>
      <w:r w:rsidR="00610972">
        <w:rPr>
          <w:i/>
        </w:rPr>
        <w:t>Id.</w:t>
      </w:r>
      <w:r w:rsidR="00610972">
        <w:t xml:space="preserve"> at 3-4.</w:t>
      </w:r>
    </w:p>
  </w:footnote>
  <w:footnote w:id="21">
    <w:p w:rsidR="00183C75" w:rsidRPr="0013131A" w:rsidRDefault="00183C75">
      <w:pPr>
        <w:pStyle w:val="FootnoteText"/>
      </w:pPr>
      <w:r>
        <w:rPr>
          <w:rStyle w:val="FootnoteReference"/>
        </w:rPr>
        <w:footnoteRef/>
      </w:r>
      <w:r>
        <w:t xml:space="preserve"> </w:t>
      </w:r>
      <w:r>
        <w:rPr>
          <w:i/>
        </w:rPr>
        <w:t>Id.</w:t>
      </w:r>
      <w:r>
        <w:t xml:space="preserve"> at 26-27.  Comcast filed an Oppositio</w:t>
      </w:r>
      <w:r w:rsidR="009D0F4B">
        <w:t xml:space="preserve">n to Tennis Channel’s Petition.  </w:t>
      </w:r>
      <w:r w:rsidR="00AE53B3">
        <w:rPr>
          <w:i/>
        </w:rPr>
        <w:t xml:space="preserve">See </w:t>
      </w:r>
      <w:r w:rsidR="00AE53B3">
        <w:t>Comcast’s Opposition to Tennis Channel’s Petition for Further Proceedings and Reaffirmation of Original Decision (filed Mar. 18, 2014)</w:t>
      </w:r>
      <w:r w:rsidR="00C62324">
        <w:t xml:space="preserve"> (“Opposition”)</w:t>
      </w:r>
      <w:r w:rsidR="00AE53B3">
        <w:t xml:space="preserve">.  </w:t>
      </w:r>
      <w:r w:rsidR="009D0F4B">
        <w:t xml:space="preserve">Comcast </w:t>
      </w:r>
      <w:r>
        <w:t>argu</w:t>
      </w:r>
      <w:r w:rsidR="009D0F4B">
        <w:t>es</w:t>
      </w:r>
      <w:r w:rsidR="00C62324">
        <w:t xml:space="preserve">, among other things, </w:t>
      </w:r>
      <w:r>
        <w:t xml:space="preserve">that </w:t>
      </w:r>
      <w:r w:rsidR="00C62324">
        <w:t xml:space="preserve">because </w:t>
      </w:r>
      <w:r>
        <w:t xml:space="preserve">the court made a definitive determination that the record lacked evidence sufficient to support a finding of unlawful discrimination and rejected Tennis Channel’s request for rehearing </w:t>
      </w:r>
      <w:r>
        <w:rPr>
          <w:i/>
        </w:rPr>
        <w:t>en banc</w:t>
      </w:r>
      <w:r w:rsidR="00C62324">
        <w:t xml:space="preserve">, </w:t>
      </w:r>
      <w:r>
        <w:t xml:space="preserve">the Commission is barred from reopening the proceeding.  </w:t>
      </w:r>
      <w:r>
        <w:rPr>
          <w:i/>
        </w:rPr>
        <w:t>Id.</w:t>
      </w:r>
      <w:r w:rsidR="00C62324">
        <w:rPr>
          <w:i/>
        </w:rPr>
        <w:t xml:space="preserve"> </w:t>
      </w:r>
      <w:r w:rsidR="00C62324">
        <w:t>at 8-22.</w:t>
      </w:r>
      <w:r>
        <w:rPr>
          <w:i/>
        </w:rPr>
        <w:t xml:space="preserve"> </w:t>
      </w:r>
    </w:p>
  </w:footnote>
  <w:footnote w:id="22">
    <w:p w:rsidR="00906135" w:rsidRDefault="00906135">
      <w:pPr>
        <w:pStyle w:val="FootnoteText"/>
      </w:pPr>
      <w:r>
        <w:rPr>
          <w:rStyle w:val="FootnoteReference"/>
        </w:rPr>
        <w:footnoteRef/>
      </w:r>
      <w:r>
        <w:t xml:space="preserve"> </w:t>
      </w:r>
      <w:r w:rsidRPr="00906135">
        <w:rPr>
          <w:szCs w:val="22"/>
        </w:rPr>
        <w:t>Because we are reversing the ALJ’s decision on this basis, the remaining factual and legal issues presented by the record and raised in Comcast’s exceptions are moot.</w:t>
      </w:r>
      <w:r w:rsidR="00DE427C">
        <w:rPr>
          <w:szCs w:val="22"/>
        </w:rPr>
        <w:t xml:space="preserve">  In particular, the issue whether </w:t>
      </w:r>
      <w:r w:rsidR="00DE427C" w:rsidRPr="00DE427C">
        <w:rPr>
          <w:szCs w:val="22"/>
        </w:rPr>
        <w:t xml:space="preserve">Tennis Channel’s complaint was barred by the program carriage statute of limitations </w:t>
      </w:r>
      <w:r w:rsidR="00DE427C">
        <w:rPr>
          <w:szCs w:val="22"/>
        </w:rPr>
        <w:t xml:space="preserve">is moot because </w:t>
      </w:r>
      <w:r w:rsidR="00DE427C" w:rsidRPr="00DE427C">
        <w:rPr>
          <w:szCs w:val="22"/>
        </w:rPr>
        <w:t xml:space="preserve">we </w:t>
      </w:r>
      <w:r w:rsidR="00DE427C">
        <w:rPr>
          <w:szCs w:val="22"/>
        </w:rPr>
        <w:t>deny the complaint based on the court’s ruling.  Thus, we dismiss Comcast’s Application for Review</w:t>
      </w:r>
      <w:r w:rsidR="001806E1">
        <w:rPr>
          <w:szCs w:val="22"/>
        </w:rPr>
        <w:t xml:space="preserve"> in this proceeding</w:t>
      </w:r>
      <w:r w:rsidR="00DE427C">
        <w:rPr>
          <w:szCs w:val="22"/>
        </w:rPr>
        <w:t xml:space="preserve">. </w:t>
      </w:r>
    </w:p>
  </w:footnote>
  <w:footnote w:id="23">
    <w:p w:rsidR="00183C75" w:rsidRDefault="00183C75" w:rsidP="00970E2A">
      <w:pPr>
        <w:pStyle w:val="FootnoteText"/>
        <w:rPr>
          <w:szCs w:val="22"/>
        </w:rPr>
      </w:pPr>
      <w:r>
        <w:rPr>
          <w:rStyle w:val="FootnoteReference"/>
        </w:rPr>
        <w:footnoteRef/>
      </w:r>
      <w:r>
        <w:t xml:space="preserve"> </w:t>
      </w:r>
      <w:r w:rsidR="00390C88">
        <w:rPr>
          <w:i/>
        </w:rPr>
        <w:t xml:space="preserve">See </w:t>
      </w:r>
      <w:r w:rsidR="00AB120C">
        <w:rPr>
          <w:i/>
        </w:rPr>
        <w:t>id.</w:t>
      </w:r>
      <w:r>
        <w:t xml:space="preserve"> at 1-2; Reply </w:t>
      </w:r>
      <w:r w:rsidR="00AB120C">
        <w:t xml:space="preserve">in Support of Petition for Further Proceedings and Reaffirmation of Original Decision (filed Mar. 28, 2014) </w:t>
      </w:r>
      <w:r>
        <w:t>at 1, 8</w:t>
      </w:r>
      <w:r w:rsidR="00AB120C">
        <w:t xml:space="preserve"> (“Reply”)</w:t>
      </w:r>
      <w:r>
        <w:t xml:space="preserve">.  </w:t>
      </w:r>
      <w:r>
        <w:rPr>
          <w:szCs w:val="22"/>
        </w:rPr>
        <w:t xml:space="preserve">In particular, Tennis Channel </w:t>
      </w:r>
      <w:r w:rsidR="00DB684C">
        <w:rPr>
          <w:szCs w:val="22"/>
        </w:rPr>
        <w:t xml:space="preserve">asserts that the Commission should order additional briefing so that it can show that the record contains the types of evidence that the court stated </w:t>
      </w:r>
      <w:r w:rsidR="004E7713">
        <w:rPr>
          <w:szCs w:val="22"/>
        </w:rPr>
        <w:t xml:space="preserve">would </w:t>
      </w:r>
      <w:r>
        <w:rPr>
          <w:szCs w:val="22"/>
        </w:rPr>
        <w:t>have been sufficient to demonstrate program carriage discrimination</w:t>
      </w:r>
      <w:r w:rsidR="00DB684C">
        <w:rPr>
          <w:szCs w:val="22"/>
        </w:rPr>
        <w:t xml:space="preserve">. </w:t>
      </w:r>
      <w:r>
        <w:rPr>
          <w:szCs w:val="22"/>
        </w:rPr>
        <w:t xml:space="preserve"> Tennis Channel </w:t>
      </w:r>
      <w:r w:rsidR="00DB684C">
        <w:rPr>
          <w:szCs w:val="22"/>
        </w:rPr>
        <w:t xml:space="preserve">characterizes such evidence </w:t>
      </w:r>
      <w:r>
        <w:rPr>
          <w:szCs w:val="22"/>
        </w:rPr>
        <w:t xml:space="preserve">as:   </w:t>
      </w:r>
    </w:p>
    <w:p w:rsidR="00183C75" w:rsidRDefault="00183C75" w:rsidP="00970E2A">
      <w:pPr>
        <w:pStyle w:val="FootnoteText"/>
        <w:ind w:left="720" w:right="720"/>
        <w:rPr>
          <w:szCs w:val="22"/>
        </w:rPr>
      </w:pPr>
      <w:r>
        <w:rPr>
          <w:szCs w:val="22"/>
        </w:rPr>
        <w:t xml:space="preserve">(1) </w:t>
      </w:r>
      <w:r w:rsidR="00444C40">
        <w:rPr>
          <w:szCs w:val="22"/>
        </w:rPr>
        <w:t xml:space="preserve">. . . </w:t>
      </w:r>
      <w:r>
        <w:rPr>
          <w:szCs w:val="22"/>
        </w:rPr>
        <w:t xml:space="preserve">evidence that Comcast had reason to expect a ‘net benefit’ in its distribution business from carrying Tennis Channel as broadly as Golf Channel or Versus; (2) . . . evidence that Comcast’s distribution business incurred greater ‘incremental losses’ from carrying Golf Channel or Versus on a broader tier than it would incur from carrying Tennis Channel on such tier; or (3) evidence that Comcast’s purported business justifications for </w:t>
      </w:r>
      <w:r w:rsidR="00444C40">
        <w:rPr>
          <w:szCs w:val="22"/>
        </w:rPr>
        <w:t>[</w:t>
      </w:r>
      <w:r>
        <w:rPr>
          <w:szCs w:val="22"/>
        </w:rPr>
        <w:t>refusing to</w:t>
      </w:r>
      <w:r w:rsidR="00444C40">
        <w:rPr>
          <w:szCs w:val="22"/>
        </w:rPr>
        <w:t>]</w:t>
      </w:r>
      <w:r>
        <w:rPr>
          <w:szCs w:val="22"/>
        </w:rPr>
        <w:t xml:space="preserve"> carry Tennis Channel more broadly were merely ‘pretextual cover’ masking a discriminatory purpose to benefit its affiliated and competing services at Tennis Channel’s expense.</w:t>
      </w:r>
    </w:p>
    <w:p w:rsidR="00183C75" w:rsidRDefault="00183C75" w:rsidP="00CB20C0">
      <w:pPr>
        <w:pStyle w:val="FootnoteText"/>
      </w:pPr>
      <w:r>
        <w:t>Petition at 11-12.</w:t>
      </w:r>
    </w:p>
  </w:footnote>
  <w:footnote w:id="24">
    <w:p w:rsidR="009233A3" w:rsidRPr="00E3395A" w:rsidRDefault="009233A3" w:rsidP="009233A3">
      <w:pPr>
        <w:pStyle w:val="FootnoteText"/>
      </w:pPr>
      <w:r>
        <w:rPr>
          <w:rStyle w:val="FootnoteReference"/>
        </w:rPr>
        <w:footnoteRef/>
      </w:r>
      <w:r>
        <w:t xml:space="preserve"> </w:t>
      </w:r>
      <w:r>
        <w:rPr>
          <w:i/>
        </w:rPr>
        <w:t xml:space="preserve">See </w:t>
      </w:r>
      <w:r>
        <w:t xml:space="preserve">717 F.3d at 984 (“Comcast prevails with its third set of arguments – that even under the Commission’s interpretation of § 616 (the correctness of which we assume for purposes of this decision), the Commission has failed to identify adequate evidence of unlawful discrimination.”)  </w:t>
      </w:r>
    </w:p>
  </w:footnote>
  <w:footnote w:id="25">
    <w:p w:rsidR="000944AF" w:rsidRDefault="000944AF">
      <w:pPr>
        <w:pStyle w:val="FootnoteText"/>
      </w:pPr>
      <w:r>
        <w:rPr>
          <w:rStyle w:val="FootnoteReference"/>
        </w:rPr>
        <w:footnoteRef/>
      </w:r>
      <w:r>
        <w:t xml:space="preserve"> </w:t>
      </w:r>
      <w:r>
        <w:rPr>
          <w:i/>
        </w:rPr>
        <w:t>See</w:t>
      </w:r>
      <w:r w:rsidR="004E7713">
        <w:rPr>
          <w:i/>
        </w:rPr>
        <w:t xml:space="preserve"> id.</w:t>
      </w:r>
      <w:r>
        <w:t xml:space="preserve"> (“Comcast also argued that . . . Tennis Channel offered no evidence that its rejected proposal would have afforded Comcast </w:t>
      </w:r>
      <w:r>
        <w:rPr>
          <w:i/>
        </w:rPr>
        <w:t xml:space="preserve">any </w:t>
      </w:r>
      <w:r>
        <w:t>benefit.  If that is correct, as we conclude below. . . .</w:t>
      </w:r>
      <w:r w:rsidR="00A960CB">
        <w:t>”</w:t>
      </w:r>
      <w:r>
        <w:t xml:space="preserve">).  </w:t>
      </w:r>
      <w:r>
        <w:rPr>
          <w:i/>
        </w:rPr>
        <w:t xml:space="preserve">See also id. </w:t>
      </w:r>
      <w:r>
        <w:t>at 985 (“Tennis showed no corresponding benefits that would accrue to Comcast” from bro</w:t>
      </w:r>
      <w:r w:rsidR="004E7713">
        <w:t>ader carriage of Tennis Channel</w:t>
      </w:r>
      <w:r>
        <w:t xml:space="preserve">); </w:t>
      </w:r>
      <w:r>
        <w:rPr>
          <w:i/>
        </w:rPr>
        <w:t xml:space="preserve">id. </w:t>
      </w:r>
      <w:r w:rsidRPr="005C21FD">
        <w:t>at</w:t>
      </w:r>
      <w:r>
        <w:t xml:space="preserve"> 986 (“Not only does the record lack affirmative evidence along these lines, there is no evidence that such benefits exist.”); </w:t>
      </w:r>
      <w:r>
        <w:rPr>
          <w:i/>
        </w:rPr>
        <w:t xml:space="preserve">id. </w:t>
      </w:r>
      <w:r w:rsidRPr="005C21FD">
        <w:t>at</w:t>
      </w:r>
      <w:r>
        <w:t xml:space="preserve"> 987 (“[T]he record simply lacks material evidence that the Tennis proposal offered Comcast any commercial benefit. . . . Without showing any benefit for Comcast . . ., the Commission has not provided evidence that Comcast discriminated against Tennis on the basis of affiliation. . . . </w:t>
      </w:r>
      <w:r w:rsidR="00A960CB">
        <w:t xml:space="preserve"> </w:t>
      </w:r>
      <w:r>
        <w:t xml:space="preserve">[N]one of [the Commission’s evidence] establishes benefits that Comcast would receive if it distributed Tennis Channel more broadly. </w:t>
      </w:r>
      <w:r w:rsidR="00A960CB">
        <w:t xml:space="preserve"> </w:t>
      </w:r>
      <w:r>
        <w:t>On this issue, the Commission has pointed to no evidence . . .</w:t>
      </w:r>
      <w:r w:rsidR="00A960CB">
        <w:t xml:space="preserve"> .</w:t>
      </w:r>
      <w:r>
        <w:t>”).</w:t>
      </w:r>
    </w:p>
  </w:footnote>
  <w:footnote w:id="26">
    <w:p w:rsidR="00183C75" w:rsidRPr="002636B3" w:rsidRDefault="00183C75">
      <w:pPr>
        <w:pStyle w:val="FootnoteText"/>
      </w:pPr>
      <w:r>
        <w:rPr>
          <w:rStyle w:val="FootnoteReference"/>
        </w:rPr>
        <w:footnoteRef/>
      </w:r>
      <w:r>
        <w:t xml:space="preserve"> </w:t>
      </w:r>
      <w:r>
        <w:rPr>
          <w:i/>
        </w:rPr>
        <w:t xml:space="preserve">See </w:t>
      </w:r>
      <w:r w:rsidR="004E6A23">
        <w:rPr>
          <w:i/>
        </w:rPr>
        <w:t>id.</w:t>
      </w:r>
      <w:r w:rsidR="00105A7C">
        <w:t xml:space="preserve"> </w:t>
      </w:r>
      <w:r>
        <w:t>at 986-987</w:t>
      </w:r>
      <w:r w:rsidR="004E6A23">
        <w:t xml:space="preserve"> (“A rather obvious type of proof would have been expert evidence to the effect that X number of subscribers would switch to Comcast if it carried Tennis more broadly, or that Y number would leave Comcast in the absence of broader carriage, or a combination of the two, such that Comcast would recoup the proposed increment in cost.  There is no such evidence. . . .  Not only does the record lack affirmative evidence along these lines, there is evidence that no such benefits exist.”)</w:t>
      </w:r>
      <w:r>
        <w:t>.</w:t>
      </w:r>
      <w:r w:rsidR="00001910">
        <w:t xml:space="preserve">  </w:t>
      </w:r>
      <w:bookmarkStart w:id="6" w:name="sp_999_4"/>
      <w:bookmarkStart w:id="7" w:name="SDU_4"/>
      <w:bookmarkEnd w:id="6"/>
      <w:bookmarkEnd w:id="7"/>
    </w:p>
  </w:footnote>
  <w:footnote w:id="27">
    <w:p w:rsidR="00183C75" w:rsidRPr="00B83DFE" w:rsidRDefault="00183C75">
      <w:pPr>
        <w:pStyle w:val="FootnoteText"/>
      </w:pPr>
      <w:r>
        <w:rPr>
          <w:rStyle w:val="FootnoteReference"/>
        </w:rPr>
        <w:footnoteRef/>
      </w:r>
      <w:r>
        <w:t xml:space="preserve"> We note that Tennis Channel, in its petition for rehearing </w:t>
      </w:r>
      <w:r>
        <w:rPr>
          <w:i/>
        </w:rPr>
        <w:t>en banc</w:t>
      </w:r>
      <w:r>
        <w:t xml:space="preserve">, had argued that the court erred in not remanding the case to the Commission for further proceedings.  </w:t>
      </w:r>
      <w:r w:rsidR="00A960CB">
        <w:t xml:space="preserve">As noted above, the court summarily denied that petition.  </w:t>
      </w:r>
      <w:r>
        <w:rPr>
          <w:i/>
        </w:rPr>
        <w:t xml:space="preserve">See </w:t>
      </w:r>
      <w:r>
        <w:t>Tennis Channel Reply at 12 n.</w:t>
      </w:r>
      <w:r w:rsidR="00E333DF">
        <w:t xml:space="preserve"> </w:t>
      </w:r>
      <w:r>
        <w:t>33.</w:t>
      </w:r>
      <w:r>
        <w:rPr>
          <w:i/>
        </w:rPr>
        <w:t xml:space="preserve"> </w:t>
      </w:r>
    </w:p>
  </w:footnote>
  <w:footnote w:id="28">
    <w:p w:rsidR="00183C75" w:rsidRPr="00794886" w:rsidRDefault="00183C75">
      <w:pPr>
        <w:pStyle w:val="FootnoteText"/>
      </w:pPr>
      <w:r>
        <w:rPr>
          <w:rStyle w:val="FootnoteReference"/>
        </w:rPr>
        <w:footnoteRef/>
      </w:r>
      <w:r>
        <w:t xml:space="preserve"> </w:t>
      </w:r>
      <w:r>
        <w:rPr>
          <w:i/>
        </w:rPr>
        <w:t xml:space="preserve">See </w:t>
      </w:r>
      <w:r w:rsidR="00AE0A9D">
        <w:t xml:space="preserve">Petition </w:t>
      </w:r>
      <w:r>
        <w:t>at 26-27.</w:t>
      </w:r>
    </w:p>
  </w:footnote>
  <w:footnote w:id="29">
    <w:p w:rsidR="00E220C7" w:rsidRDefault="00E220C7">
      <w:pPr>
        <w:pStyle w:val="FootnoteText"/>
      </w:pPr>
      <w:r>
        <w:rPr>
          <w:rStyle w:val="FootnoteReference"/>
        </w:rPr>
        <w:footnoteRef/>
      </w:r>
      <w:r>
        <w:t xml:space="preserve"> </w:t>
      </w:r>
      <w:r>
        <w:rPr>
          <w:i/>
        </w:rPr>
        <w:t>See</w:t>
      </w:r>
      <w:r>
        <w:t xml:space="preserve"> </w:t>
      </w:r>
      <w:r w:rsidRPr="00B233D6">
        <w:rPr>
          <w:i/>
          <w:iCs/>
        </w:rPr>
        <w:t>International Union of Mine, Mill and Smelter Workers v. Eagle-Picher Mining &amp; Smelting Co.</w:t>
      </w:r>
      <w:r w:rsidRPr="00B233D6">
        <w:t>, 325 U.S. 335, 341 (1945)</w:t>
      </w:r>
      <w:r>
        <w:t xml:space="preserve"> </w:t>
      </w:r>
      <w:r w:rsidRPr="00B233D6">
        <w:t>(“Administrative flexibility and judicial certainty are not contradictory; there must be an end to disputes which arise between administrative bodies and those over whom they have jurisdiction.”)</w:t>
      </w:r>
      <w:r>
        <w:t xml:space="preserve">; </w:t>
      </w:r>
      <w:r>
        <w:rPr>
          <w:i/>
        </w:rPr>
        <w:t>see also</w:t>
      </w:r>
      <w:r>
        <w:t xml:space="preserve"> 47 U.S.C. §154(</w:t>
      </w:r>
      <w:r w:rsidR="00E25DAA">
        <w:t>j</w:t>
      </w:r>
      <w:r>
        <w:t>) (“</w:t>
      </w:r>
      <w:r w:rsidRPr="00F12328">
        <w:t>The Commission may conduct its proceedings in such manner as will best conduce to the proper dispatch of business and to the ends of justice.</w:t>
      </w:r>
      <w:r>
        <w:t xml:space="preserve"> . .</w:t>
      </w:r>
      <w:r w:rsidR="00001101">
        <w:t xml:space="preserve"> .</w:t>
      </w:r>
      <w:r>
        <w:t>”)</w:t>
      </w:r>
      <w:r w:rsidRPr="00F12328">
        <w:t>.</w:t>
      </w:r>
    </w:p>
  </w:footnote>
  <w:footnote w:id="30">
    <w:p w:rsidR="00183C75" w:rsidRPr="002D3203" w:rsidRDefault="00183C75">
      <w:pPr>
        <w:pStyle w:val="FootnoteText"/>
      </w:pPr>
      <w:r>
        <w:rPr>
          <w:rStyle w:val="FootnoteReference"/>
        </w:rPr>
        <w:footnoteRef/>
      </w:r>
      <w:r w:rsidR="00001101">
        <w:t xml:space="preserve"> </w:t>
      </w:r>
      <w:r>
        <w:rPr>
          <w:i/>
        </w:rPr>
        <w:t xml:space="preserve">See supra </w:t>
      </w:r>
      <w:r w:rsidR="00AE0A9D">
        <w:t>n.16</w:t>
      </w:r>
      <w:r>
        <w:t>.</w:t>
      </w:r>
    </w:p>
  </w:footnote>
  <w:footnote w:id="31">
    <w:p w:rsidR="00183C75" w:rsidRPr="00260FC6" w:rsidRDefault="00183C75">
      <w:pPr>
        <w:pStyle w:val="FootnoteText"/>
      </w:pPr>
      <w:r>
        <w:rPr>
          <w:rStyle w:val="FootnoteReference"/>
        </w:rPr>
        <w:footnoteRef/>
      </w:r>
      <w:r>
        <w:t xml:space="preserve"> Tennis Channel points to Section 402(h) of the Act in asserting that the court’s vacatur necessarily operates as a remand to the Commission for further proceedings to resolve the complaint.  </w:t>
      </w:r>
      <w:r>
        <w:rPr>
          <w:i/>
        </w:rPr>
        <w:t xml:space="preserve">See </w:t>
      </w:r>
      <w:r>
        <w:t>Petition at 11 n.</w:t>
      </w:r>
      <w:r w:rsidR="00E46145">
        <w:t xml:space="preserve"> </w:t>
      </w:r>
      <w:r>
        <w:t xml:space="preserve">32.  To the extent that Section 402(h) applies to this case, we note that such provision would in fact bar the Commission from reopening the proceeding because the court has neither ordered nor authorized the Commission to do so.  </w:t>
      </w:r>
      <w:r>
        <w:rPr>
          <w:i/>
        </w:rPr>
        <w:t xml:space="preserve">See </w:t>
      </w:r>
      <w:r>
        <w:t xml:space="preserve">47 U.S.C. § 402(h) (“In the event that the court shall render a decision and enter an order reversing the order of the Commission, . . . it shall be the duty of the Commission . . . to forthwith give effect thereto, and </w:t>
      </w:r>
      <w:r w:rsidRPr="00DF4120">
        <w:rPr>
          <w:i/>
        </w:rPr>
        <w:t>unless otherwise ordered by the court</w:t>
      </w:r>
      <w:r w:rsidR="00DA3612">
        <w:t>, to do so upon the basis of</w:t>
      </w:r>
      <w:r>
        <w:t xml:space="preserve"> proceedings already had and the record upon which said appeal was heard and determined”) (emphasis added).  However, we need not resolve the question whether Section 402(h) applies here because we deny Tennis Channel’s petition on the basis of our administrative discretion.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EE" w:rsidRDefault="00EB6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5" w:rsidRDefault="00183C75">
    <w:pPr>
      <w:tabs>
        <w:tab w:val="center" w:pos="4680"/>
        <w:tab w:val="right" w:pos="9360"/>
      </w:tabs>
      <w:suppressAutoHyphens/>
      <w:spacing w:line="227" w:lineRule="auto"/>
      <w:rPr>
        <w:spacing w:val="-2"/>
      </w:rPr>
    </w:pPr>
    <w:r>
      <w:rPr>
        <w:b/>
        <w:spacing w:val="-2"/>
      </w:rPr>
      <w:tab/>
      <w:t>Federal Communications Commission</w:t>
    </w:r>
    <w:r>
      <w:rPr>
        <w:spacing w:val="-2"/>
      </w:rPr>
      <w:tab/>
    </w:r>
    <w:r w:rsidR="00E70E2C" w:rsidRPr="00D059E4">
      <w:rPr>
        <w:b/>
        <w:spacing w:val="-2"/>
      </w:rPr>
      <w:t>FCC</w:t>
    </w:r>
    <w:r w:rsidR="00815E06">
      <w:rPr>
        <w:b/>
      </w:rPr>
      <w:t xml:space="preserve"> 15</w:t>
    </w:r>
    <w:r w:rsidR="007E3A88">
      <w:rPr>
        <w:b/>
      </w:rPr>
      <w:t>-</w:t>
    </w:r>
    <w:r w:rsidR="00815E06">
      <w:rPr>
        <w:b/>
      </w:rPr>
      <w:t>7</w:t>
    </w:r>
  </w:p>
  <w:p w:rsidR="00183C75" w:rsidRDefault="00A42EB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AC4E748" wp14:editId="5EE9801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C75" w:rsidRDefault="00183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t86g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eBRbfOoCAAA9BgAADgAAAAAAAAAA&#10;AAAAAAAuAgAAZHJzL2Uyb0RvYy54bWxQSwECLQAUAAYACAAAACEAIjzu0dcAAAADAQAADwAAAAAA&#10;AAAAAAAAAABEBQAAZHJzL2Rvd25yZXYueG1sUEsFBgAAAAAEAAQA8wAAAEgGAAAAAA==&#10;" o:allowincell="f" fillcolor="black" stroked="f" strokeweight=".05pt">
              <v:textbox>
                <w:txbxContent>
                  <w:p w:rsidR="00183C75" w:rsidRDefault="00183C75"/>
                </w:txbxContent>
              </v:textbox>
              <w10:wrap anchorx="margin"/>
            </v:rect>
          </w:pict>
        </mc:Fallback>
      </mc:AlternateContent>
    </w:r>
  </w:p>
  <w:p w:rsidR="00183C75" w:rsidRDefault="00183C7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75" w:rsidRDefault="00183C75">
    <w:pPr>
      <w:tabs>
        <w:tab w:val="center" w:pos="4680"/>
        <w:tab w:val="right" w:pos="9360"/>
      </w:tabs>
      <w:suppressAutoHyphens/>
      <w:spacing w:line="227" w:lineRule="auto"/>
      <w:rPr>
        <w:spacing w:val="-2"/>
      </w:rPr>
    </w:pPr>
    <w:r>
      <w:rPr>
        <w:b/>
        <w:spacing w:val="-2"/>
      </w:rPr>
      <w:tab/>
      <w:t>Federal Communications Commission</w:t>
    </w:r>
    <w:r>
      <w:rPr>
        <w:spacing w:val="-2"/>
      </w:rPr>
      <w:tab/>
    </w:r>
    <w:r w:rsidR="00815E06">
      <w:rPr>
        <w:b/>
      </w:rPr>
      <w:t>FCC 15</w:t>
    </w:r>
    <w:r>
      <w:rPr>
        <w:b/>
      </w:rPr>
      <w:t>-</w:t>
    </w:r>
    <w:r w:rsidR="00815E06">
      <w:rPr>
        <w:b/>
      </w:rPr>
      <w:t>7</w:t>
    </w:r>
  </w:p>
  <w:p w:rsidR="00183C75" w:rsidRDefault="00A42EB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34A8CE35" wp14:editId="4AFB8538">
              <wp:simplePos x="0" y="0"/>
              <wp:positionH relativeFrom="margin">
                <wp:posOffset>0</wp:posOffset>
              </wp:positionH>
              <wp:positionV relativeFrom="paragraph">
                <wp:posOffset>0</wp:posOffset>
              </wp:positionV>
              <wp:extent cx="59436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3C75" w:rsidRDefault="00183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xk8A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OJgMZPACAABEBgAADgAA&#10;AAAAAAAAAAAAAAAuAgAAZHJzL2Uyb0RvYy54bWxQSwECLQAUAAYACAAAACEAIjzu0dcAAAADAQAA&#10;DwAAAAAAAAAAAAAAAABKBQAAZHJzL2Rvd25yZXYueG1sUEsFBgAAAAAEAAQA8wAAAE4GAAAAAA==&#10;" o:allowincell="f" fillcolor="black" stroked="f" strokeweight=".05pt">
              <v:textbox>
                <w:txbxContent>
                  <w:p w:rsidR="00183C75" w:rsidRDefault="00183C75"/>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5EF4E84"/>
    <w:multiLevelType w:val="hybridMultilevel"/>
    <w:tmpl w:val="BDA8487E"/>
    <w:lvl w:ilvl="0" w:tplc="7D48A6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AE57A2"/>
    <w:multiLevelType w:val="hybridMultilevel"/>
    <w:tmpl w:val="B2D4F9CC"/>
    <w:lvl w:ilvl="0" w:tplc="B98E0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6107312"/>
    <w:multiLevelType w:val="hybridMultilevel"/>
    <w:tmpl w:val="1E8416AA"/>
    <w:lvl w:ilvl="0" w:tplc="A444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02E6666"/>
    <w:multiLevelType w:val="hybridMultilevel"/>
    <w:tmpl w:val="29C0EE78"/>
    <w:lvl w:ilvl="0" w:tplc="D3446A3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4"/>
  </w:num>
  <w:num w:numId="10">
    <w:abstractNumId w:val="7"/>
  </w:num>
  <w:num w:numId="11">
    <w:abstractNumId w:val="12"/>
  </w:num>
  <w:num w:numId="12">
    <w:abstractNumId w:val="8"/>
  </w:num>
  <w:num w:numId="13">
    <w:abstractNumId w:val="6"/>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lvlOverride w:ilvl="0">
      <w:startOverride w:val="1"/>
    </w:lvlOverride>
  </w:num>
  <w:num w:numId="44">
    <w:abstractNumId w:val="14"/>
  </w:num>
  <w:num w:numId="45">
    <w:abstractNumId w:val="13"/>
  </w:num>
  <w:num w:numId="46">
    <w:abstractNumId w:val="11"/>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C3"/>
    <w:rsid w:val="00000F33"/>
    <w:rsid w:val="00001101"/>
    <w:rsid w:val="00001910"/>
    <w:rsid w:val="000060B9"/>
    <w:rsid w:val="00007633"/>
    <w:rsid w:val="00013F43"/>
    <w:rsid w:val="000150FF"/>
    <w:rsid w:val="00016DEC"/>
    <w:rsid w:val="00025E86"/>
    <w:rsid w:val="000321E0"/>
    <w:rsid w:val="00041B99"/>
    <w:rsid w:val="00041DC1"/>
    <w:rsid w:val="00042C85"/>
    <w:rsid w:val="000458B7"/>
    <w:rsid w:val="000465D7"/>
    <w:rsid w:val="00055DE2"/>
    <w:rsid w:val="00060EC6"/>
    <w:rsid w:val="00071728"/>
    <w:rsid w:val="0007666E"/>
    <w:rsid w:val="00080263"/>
    <w:rsid w:val="000809B0"/>
    <w:rsid w:val="000827FC"/>
    <w:rsid w:val="00090B98"/>
    <w:rsid w:val="000944AF"/>
    <w:rsid w:val="000946D7"/>
    <w:rsid w:val="000A150A"/>
    <w:rsid w:val="000A2EF6"/>
    <w:rsid w:val="000A55D3"/>
    <w:rsid w:val="000A6D64"/>
    <w:rsid w:val="000B5588"/>
    <w:rsid w:val="000C1188"/>
    <w:rsid w:val="000C1219"/>
    <w:rsid w:val="000C636E"/>
    <w:rsid w:val="000D5C65"/>
    <w:rsid w:val="000D5D5E"/>
    <w:rsid w:val="000D7DB0"/>
    <w:rsid w:val="000E1AC7"/>
    <w:rsid w:val="000E5318"/>
    <w:rsid w:val="000E6190"/>
    <w:rsid w:val="000F2EA1"/>
    <w:rsid w:val="000F3A35"/>
    <w:rsid w:val="000F75FF"/>
    <w:rsid w:val="0010460B"/>
    <w:rsid w:val="00105A7C"/>
    <w:rsid w:val="001072AA"/>
    <w:rsid w:val="0011099F"/>
    <w:rsid w:val="0011142D"/>
    <w:rsid w:val="001219B9"/>
    <w:rsid w:val="0012387A"/>
    <w:rsid w:val="0012647A"/>
    <w:rsid w:val="00127434"/>
    <w:rsid w:val="0013131A"/>
    <w:rsid w:val="00132101"/>
    <w:rsid w:val="00136706"/>
    <w:rsid w:val="00142447"/>
    <w:rsid w:val="00145A7E"/>
    <w:rsid w:val="001473AD"/>
    <w:rsid w:val="001479AB"/>
    <w:rsid w:val="0015097E"/>
    <w:rsid w:val="00150A8E"/>
    <w:rsid w:val="001516B6"/>
    <w:rsid w:val="001556D0"/>
    <w:rsid w:val="00156AB0"/>
    <w:rsid w:val="00173885"/>
    <w:rsid w:val="001806E1"/>
    <w:rsid w:val="00183C75"/>
    <w:rsid w:val="00187722"/>
    <w:rsid w:val="00187BC5"/>
    <w:rsid w:val="00195951"/>
    <w:rsid w:val="0019634A"/>
    <w:rsid w:val="001966BB"/>
    <w:rsid w:val="001A1681"/>
    <w:rsid w:val="001A1735"/>
    <w:rsid w:val="001A31ED"/>
    <w:rsid w:val="001A4BB7"/>
    <w:rsid w:val="001B399A"/>
    <w:rsid w:val="001B498D"/>
    <w:rsid w:val="001C0014"/>
    <w:rsid w:val="001C170F"/>
    <w:rsid w:val="001E125A"/>
    <w:rsid w:val="001E1E67"/>
    <w:rsid w:val="001E5CAC"/>
    <w:rsid w:val="001F01E9"/>
    <w:rsid w:val="001F3548"/>
    <w:rsid w:val="001F6A8F"/>
    <w:rsid w:val="001F71E7"/>
    <w:rsid w:val="001F7C5D"/>
    <w:rsid w:val="00200ED7"/>
    <w:rsid w:val="00201E8C"/>
    <w:rsid w:val="0020386B"/>
    <w:rsid w:val="00205454"/>
    <w:rsid w:val="00210FE7"/>
    <w:rsid w:val="002178C6"/>
    <w:rsid w:val="00217C80"/>
    <w:rsid w:val="00222692"/>
    <w:rsid w:val="002234D8"/>
    <w:rsid w:val="00223AC8"/>
    <w:rsid w:val="00230BB9"/>
    <w:rsid w:val="00233AAE"/>
    <w:rsid w:val="00246122"/>
    <w:rsid w:val="00246B1B"/>
    <w:rsid w:val="00250D74"/>
    <w:rsid w:val="0025460E"/>
    <w:rsid w:val="00256417"/>
    <w:rsid w:val="00256D6F"/>
    <w:rsid w:val="00260FC6"/>
    <w:rsid w:val="002636B3"/>
    <w:rsid w:val="0026399D"/>
    <w:rsid w:val="002656CA"/>
    <w:rsid w:val="00266DA3"/>
    <w:rsid w:val="002739EC"/>
    <w:rsid w:val="00274E46"/>
    <w:rsid w:val="002771A0"/>
    <w:rsid w:val="00284E3A"/>
    <w:rsid w:val="00286686"/>
    <w:rsid w:val="002918B1"/>
    <w:rsid w:val="002A1897"/>
    <w:rsid w:val="002B0940"/>
    <w:rsid w:val="002B4C1F"/>
    <w:rsid w:val="002B55A7"/>
    <w:rsid w:val="002C0081"/>
    <w:rsid w:val="002C32CA"/>
    <w:rsid w:val="002D24FC"/>
    <w:rsid w:val="002D3203"/>
    <w:rsid w:val="002D39DA"/>
    <w:rsid w:val="002D480B"/>
    <w:rsid w:val="002D6250"/>
    <w:rsid w:val="002E1EBC"/>
    <w:rsid w:val="002E7905"/>
    <w:rsid w:val="002F2AD1"/>
    <w:rsid w:val="002F2B5D"/>
    <w:rsid w:val="0030072B"/>
    <w:rsid w:val="00303D2E"/>
    <w:rsid w:val="003070CF"/>
    <w:rsid w:val="003107D5"/>
    <w:rsid w:val="0031231B"/>
    <w:rsid w:val="003139A1"/>
    <w:rsid w:val="003203AB"/>
    <w:rsid w:val="00324359"/>
    <w:rsid w:val="00330C8F"/>
    <w:rsid w:val="00342E84"/>
    <w:rsid w:val="00353388"/>
    <w:rsid w:val="003550CD"/>
    <w:rsid w:val="00356251"/>
    <w:rsid w:val="003610B3"/>
    <w:rsid w:val="003613B3"/>
    <w:rsid w:val="00362522"/>
    <w:rsid w:val="00364CC2"/>
    <w:rsid w:val="00374FDB"/>
    <w:rsid w:val="0037512D"/>
    <w:rsid w:val="0037606A"/>
    <w:rsid w:val="0038118B"/>
    <w:rsid w:val="003855F5"/>
    <w:rsid w:val="00387E37"/>
    <w:rsid w:val="0039024F"/>
    <w:rsid w:val="00390C88"/>
    <w:rsid w:val="00392AD2"/>
    <w:rsid w:val="00393C14"/>
    <w:rsid w:val="00394430"/>
    <w:rsid w:val="00396D25"/>
    <w:rsid w:val="003A39CF"/>
    <w:rsid w:val="003A4B1B"/>
    <w:rsid w:val="003A7C2D"/>
    <w:rsid w:val="003B0DD8"/>
    <w:rsid w:val="003B4895"/>
    <w:rsid w:val="003B610D"/>
    <w:rsid w:val="003B7721"/>
    <w:rsid w:val="003C2B9B"/>
    <w:rsid w:val="003D1F54"/>
    <w:rsid w:val="003D29DC"/>
    <w:rsid w:val="003D685E"/>
    <w:rsid w:val="003E0D83"/>
    <w:rsid w:val="003E289E"/>
    <w:rsid w:val="003E65B8"/>
    <w:rsid w:val="003E749A"/>
    <w:rsid w:val="003E79F2"/>
    <w:rsid w:val="00401E9E"/>
    <w:rsid w:val="00412AA6"/>
    <w:rsid w:val="00413174"/>
    <w:rsid w:val="00413C62"/>
    <w:rsid w:val="00414522"/>
    <w:rsid w:val="00421191"/>
    <w:rsid w:val="00425160"/>
    <w:rsid w:val="00434B4C"/>
    <w:rsid w:val="004352FD"/>
    <w:rsid w:val="00443213"/>
    <w:rsid w:val="0044375A"/>
    <w:rsid w:val="00444C40"/>
    <w:rsid w:val="004544C0"/>
    <w:rsid w:val="00464B94"/>
    <w:rsid w:val="00465BC6"/>
    <w:rsid w:val="0047000C"/>
    <w:rsid w:val="004761E2"/>
    <w:rsid w:val="00483326"/>
    <w:rsid w:val="0048494B"/>
    <w:rsid w:val="00484994"/>
    <w:rsid w:val="004859DD"/>
    <w:rsid w:val="00487859"/>
    <w:rsid w:val="004A076D"/>
    <w:rsid w:val="004A1CC3"/>
    <w:rsid w:val="004A27AF"/>
    <w:rsid w:val="004A74E5"/>
    <w:rsid w:val="004B38C6"/>
    <w:rsid w:val="004C20FA"/>
    <w:rsid w:val="004C3438"/>
    <w:rsid w:val="004C3891"/>
    <w:rsid w:val="004C71D4"/>
    <w:rsid w:val="004D3E08"/>
    <w:rsid w:val="004E6A23"/>
    <w:rsid w:val="004E7713"/>
    <w:rsid w:val="004F2D39"/>
    <w:rsid w:val="00514BC8"/>
    <w:rsid w:val="005150D9"/>
    <w:rsid w:val="00521C76"/>
    <w:rsid w:val="00522C83"/>
    <w:rsid w:val="00523CFA"/>
    <w:rsid w:val="005268C2"/>
    <w:rsid w:val="00535D21"/>
    <w:rsid w:val="00544323"/>
    <w:rsid w:val="005444AC"/>
    <w:rsid w:val="005512AE"/>
    <w:rsid w:val="00555E46"/>
    <w:rsid w:val="00561474"/>
    <w:rsid w:val="00562ADA"/>
    <w:rsid w:val="00562D80"/>
    <w:rsid w:val="00564470"/>
    <w:rsid w:val="00564DCD"/>
    <w:rsid w:val="00571AED"/>
    <w:rsid w:val="005720D4"/>
    <w:rsid w:val="00583317"/>
    <w:rsid w:val="005A1718"/>
    <w:rsid w:val="005A3773"/>
    <w:rsid w:val="005A6789"/>
    <w:rsid w:val="005A7C5E"/>
    <w:rsid w:val="005B57E5"/>
    <w:rsid w:val="005B58C9"/>
    <w:rsid w:val="005B6242"/>
    <w:rsid w:val="005C1BBE"/>
    <w:rsid w:val="005D1FAA"/>
    <w:rsid w:val="005D73B4"/>
    <w:rsid w:val="005E19B2"/>
    <w:rsid w:val="005E1AE7"/>
    <w:rsid w:val="005F6974"/>
    <w:rsid w:val="00610972"/>
    <w:rsid w:val="006112B4"/>
    <w:rsid w:val="00611669"/>
    <w:rsid w:val="00615271"/>
    <w:rsid w:val="00615B8D"/>
    <w:rsid w:val="0061733B"/>
    <w:rsid w:val="00617FF3"/>
    <w:rsid w:val="00621FAB"/>
    <w:rsid w:val="00625D3B"/>
    <w:rsid w:val="006341A1"/>
    <w:rsid w:val="006411C6"/>
    <w:rsid w:val="006453E5"/>
    <w:rsid w:val="00650E25"/>
    <w:rsid w:val="00657C97"/>
    <w:rsid w:val="00662301"/>
    <w:rsid w:val="00662B52"/>
    <w:rsid w:val="00671723"/>
    <w:rsid w:val="0067181D"/>
    <w:rsid w:val="00672362"/>
    <w:rsid w:val="006729E4"/>
    <w:rsid w:val="00676E9B"/>
    <w:rsid w:val="00683833"/>
    <w:rsid w:val="00690897"/>
    <w:rsid w:val="006A399E"/>
    <w:rsid w:val="006A7458"/>
    <w:rsid w:val="006B18D3"/>
    <w:rsid w:val="006B5E18"/>
    <w:rsid w:val="006B663B"/>
    <w:rsid w:val="006C027E"/>
    <w:rsid w:val="006C16D2"/>
    <w:rsid w:val="006C1A12"/>
    <w:rsid w:val="006C296B"/>
    <w:rsid w:val="006C3C4D"/>
    <w:rsid w:val="006C65C8"/>
    <w:rsid w:val="006D0747"/>
    <w:rsid w:val="006D54EB"/>
    <w:rsid w:val="006F34BA"/>
    <w:rsid w:val="006F47FF"/>
    <w:rsid w:val="006F533C"/>
    <w:rsid w:val="00701AAF"/>
    <w:rsid w:val="00702030"/>
    <w:rsid w:val="007028B0"/>
    <w:rsid w:val="00702D1C"/>
    <w:rsid w:val="00702F08"/>
    <w:rsid w:val="007030DA"/>
    <w:rsid w:val="00706925"/>
    <w:rsid w:val="00707473"/>
    <w:rsid w:val="00710B59"/>
    <w:rsid w:val="0071197D"/>
    <w:rsid w:val="0071419F"/>
    <w:rsid w:val="00714EF8"/>
    <w:rsid w:val="00717F8A"/>
    <w:rsid w:val="00722838"/>
    <w:rsid w:val="00727123"/>
    <w:rsid w:val="00735F62"/>
    <w:rsid w:val="00740A51"/>
    <w:rsid w:val="007467F1"/>
    <w:rsid w:val="00750606"/>
    <w:rsid w:val="0075399F"/>
    <w:rsid w:val="007568AE"/>
    <w:rsid w:val="00757139"/>
    <w:rsid w:val="00761426"/>
    <w:rsid w:val="00764E2A"/>
    <w:rsid w:val="00765B87"/>
    <w:rsid w:val="00774A7F"/>
    <w:rsid w:val="007759C2"/>
    <w:rsid w:val="00782D00"/>
    <w:rsid w:val="00783B73"/>
    <w:rsid w:val="00787ECD"/>
    <w:rsid w:val="00793778"/>
    <w:rsid w:val="00793F45"/>
    <w:rsid w:val="00794886"/>
    <w:rsid w:val="00795147"/>
    <w:rsid w:val="007B6E9B"/>
    <w:rsid w:val="007C07BC"/>
    <w:rsid w:val="007C3687"/>
    <w:rsid w:val="007C3C0D"/>
    <w:rsid w:val="007D590F"/>
    <w:rsid w:val="007D73BF"/>
    <w:rsid w:val="007E3A88"/>
    <w:rsid w:val="007F71B0"/>
    <w:rsid w:val="00801B62"/>
    <w:rsid w:val="008027E2"/>
    <w:rsid w:val="00805F07"/>
    <w:rsid w:val="00805F5F"/>
    <w:rsid w:val="00806522"/>
    <w:rsid w:val="008108BF"/>
    <w:rsid w:val="00811577"/>
    <w:rsid w:val="008128CD"/>
    <w:rsid w:val="00815E06"/>
    <w:rsid w:val="00820672"/>
    <w:rsid w:val="008206E2"/>
    <w:rsid w:val="0082328F"/>
    <w:rsid w:val="0083042F"/>
    <w:rsid w:val="008331CB"/>
    <w:rsid w:val="0083475F"/>
    <w:rsid w:val="00837116"/>
    <w:rsid w:val="008371DB"/>
    <w:rsid w:val="0083769B"/>
    <w:rsid w:val="00841F9C"/>
    <w:rsid w:val="00842FA5"/>
    <w:rsid w:val="00846388"/>
    <w:rsid w:val="00846D68"/>
    <w:rsid w:val="00853447"/>
    <w:rsid w:val="008638D2"/>
    <w:rsid w:val="00864437"/>
    <w:rsid w:val="00865E02"/>
    <w:rsid w:val="00871511"/>
    <w:rsid w:val="008730C4"/>
    <w:rsid w:val="0088409F"/>
    <w:rsid w:val="00894600"/>
    <w:rsid w:val="008A678C"/>
    <w:rsid w:val="008B2FE2"/>
    <w:rsid w:val="008B729A"/>
    <w:rsid w:val="008C26C0"/>
    <w:rsid w:val="008C58B8"/>
    <w:rsid w:val="008D0ECB"/>
    <w:rsid w:val="008D2267"/>
    <w:rsid w:val="008D7C41"/>
    <w:rsid w:val="008E231B"/>
    <w:rsid w:val="00902162"/>
    <w:rsid w:val="00906135"/>
    <w:rsid w:val="00910983"/>
    <w:rsid w:val="00913EC6"/>
    <w:rsid w:val="00916DFA"/>
    <w:rsid w:val="009233A3"/>
    <w:rsid w:val="009254C3"/>
    <w:rsid w:val="00932A15"/>
    <w:rsid w:val="00944A2F"/>
    <w:rsid w:val="00946867"/>
    <w:rsid w:val="00946D96"/>
    <w:rsid w:val="00961AD9"/>
    <w:rsid w:val="009632B0"/>
    <w:rsid w:val="00964562"/>
    <w:rsid w:val="00964B1F"/>
    <w:rsid w:val="00965F8C"/>
    <w:rsid w:val="00966635"/>
    <w:rsid w:val="009670E6"/>
    <w:rsid w:val="00970E2A"/>
    <w:rsid w:val="00976123"/>
    <w:rsid w:val="00983962"/>
    <w:rsid w:val="009841C3"/>
    <w:rsid w:val="00994016"/>
    <w:rsid w:val="009965AC"/>
    <w:rsid w:val="00997212"/>
    <w:rsid w:val="009B1493"/>
    <w:rsid w:val="009B68CE"/>
    <w:rsid w:val="009C00F0"/>
    <w:rsid w:val="009C54B4"/>
    <w:rsid w:val="009D0F4B"/>
    <w:rsid w:val="009D34FA"/>
    <w:rsid w:val="009D7D07"/>
    <w:rsid w:val="009E18F1"/>
    <w:rsid w:val="009E2218"/>
    <w:rsid w:val="009E3739"/>
    <w:rsid w:val="009E5B48"/>
    <w:rsid w:val="009F665D"/>
    <w:rsid w:val="009F6E39"/>
    <w:rsid w:val="00A07296"/>
    <w:rsid w:val="00A07BB3"/>
    <w:rsid w:val="00A11AC8"/>
    <w:rsid w:val="00A11C83"/>
    <w:rsid w:val="00A132D9"/>
    <w:rsid w:val="00A1770E"/>
    <w:rsid w:val="00A2709F"/>
    <w:rsid w:val="00A27322"/>
    <w:rsid w:val="00A27B8D"/>
    <w:rsid w:val="00A32388"/>
    <w:rsid w:val="00A34EB0"/>
    <w:rsid w:val="00A36046"/>
    <w:rsid w:val="00A36983"/>
    <w:rsid w:val="00A424B7"/>
    <w:rsid w:val="00A42EBD"/>
    <w:rsid w:val="00A474E5"/>
    <w:rsid w:val="00A5037B"/>
    <w:rsid w:val="00A551BA"/>
    <w:rsid w:val="00A5527D"/>
    <w:rsid w:val="00A55E52"/>
    <w:rsid w:val="00A63E1C"/>
    <w:rsid w:val="00A65034"/>
    <w:rsid w:val="00A6614B"/>
    <w:rsid w:val="00A71D52"/>
    <w:rsid w:val="00A7204C"/>
    <w:rsid w:val="00A74CEC"/>
    <w:rsid w:val="00A77239"/>
    <w:rsid w:val="00A81351"/>
    <w:rsid w:val="00A85F3C"/>
    <w:rsid w:val="00A86156"/>
    <w:rsid w:val="00A86E20"/>
    <w:rsid w:val="00A960CB"/>
    <w:rsid w:val="00A962B1"/>
    <w:rsid w:val="00AA1E04"/>
    <w:rsid w:val="00AA2628"/>
    <w:rsid w:val="00AA4519"/>
    <w:rsid w:val="00AB0078"/>
    <w:rsid w:val="00AB120C"/>
    <w:rsid w:val="00AB3284"/>
    <w:rsid w:val="00AC0D40"/>
    <w:rsid w:val="00AC6EBA"/>
    <w:rsid w:val="00AD66E6"/>
    <w:rsid w:val="00AD77E8"/>
    <w:rsid w:val="00AE0A9D"/>
    <w:rsid w:val="00AE23AD"/>
    <w:rsid w:val="00AE53B3"/>
    <w:rsid w:val="00AE6195"/>
    <w:rsid w:val="00AF1A33"/>
    <w:rsid w:val="00AF4D6F"/>
    <w:rsid w:val="00AF612F"/>
    <w:rsid w:val="00B05429"/>
    <w:rsid w:val="00B0759F"/>
    <w:rsid w:val="00B22E1D"/>
    <w:rsid w:val="00B25FCA"/>
    <w:rsid w:val="00B26819"/>
    <w:rsid w:val="00B278A6"/>
    <w:rsid w:val="00B32502"/>
    <w:rsid w:val="00B35A04"/>
    <w:rsid w:val="00B36EA7"/>
    <w:rsid w:val="00B40776"/>
    <w:rsid w:val="00B471C7"/>
    <w:rsid w:val="00B54E7F"/>
    <w:rsid w:val="00B56148"/>
    <w:rsid w:val="00B63D3C"/>
    <w:rsid w:val="00B71DA1"/>
    <w:rsid w:val="00B73984"/>
    <w:rsid w:val="00B8182A"/>
    <w:rsid w:val="00B83D9E"/>
    <w:rsid w:val="00B83DFE"/>
    <w:rsid w:val="00B85809"/>
    <w:rsid w:val="00B91451"/>
    <w:rsid w:val="00B95856"/>
    <w:rsid w:val="00BA1191"/>
    <w:rsid w:val="00BA28C4"/>
    <w:rsid w:val="00BB027B"/>
    <w:rsid w:val="00BB1A2B"/>
    <w:rsid w:val="00BB7811"/>
    <w:rsid w:val="00BB7913"/>
    <w:rsid w:val="00BC0191"/>
    <w:rsid w:val="00BC69D1"/>
    <w:rsid w:val="00BD3E9B"/>
    <w:rsid w:val="00BD6238"/>
    <w:rsid w:val="00BF59F4"/>
    <w:rsid w:val="00C028F0"/>
    <w:rsid w:val="00C06F32"/>
    <w:rsid w:val="00C13BD8"/>
    <w:rsid w:val="00C1659F"/>
    <w:rsid w:val="00C16981"/>
    <w:rsid w:val="00C2402D"/>
    <w:rsid w:val="00C31224"/>
    <w:rsid w:val="00C4567D"/>
    <w:rsid w:val="00C560F6"/>
    <w:rsid w:val="00C601B0"/>
    <w:rsid w:val="00C62324"/>
    <w:rsid w:val="00C6575D"/>
    <w:rsid w:val="00C662F0"/>
    <w:rsid w:val="00C67096"/>
    <w:rsid w:val="00C67E34"/>
    <w:rsid w:val="00C706FA"/>
    <w:rsid w:val="00C74DC5"/>
    <w:rsid w:val="00C8271B"/>
    <w:rsid w:val="00C849C2"/>
    <w:rsid w:val="00C86484"/>
    <w:rsid w:val="00CA41CB"/>
    <w:rsid w:val="00CA4CD9"/>
    <w:rsid w:val="00CA53BE"/>
    <w:rsid w:val="00CA53F3"/>
    <w:rsid w:val="00CB07BF"/>
    <w:rsid w:val="00CB20C0"/>
    <w:rsid w:val="00CC6137"/>
    <w:rsid w:val="00CC6D15"/>
    <w:rsid w:val="00CD0D9D"/>
    <w:rsid w:val="00CD34B0"/>
    <w:rsid w:val="00CF4936"/>
    <w:rsid w:val="00CF4D39"/>
    <w:rsid w:val="00CF4DFC"/>
    <w:rsid w:val="00D00578"/>
    <w:rsid w:val="00D03017"/>
    <w:rsid w:val="00D04AB7"/>
    <w:rsid w:val="00D059E4"/>
    <w:rsid w:val="00D068B0"/>
    <w:rsid w:val="00D10B03"/>
    <w:rsid w:val="00D14399"/>
    <w:rsid w:val="00D16584"/>
    <w:rsid w:val="00D17273"/>
    <w:rsid w:val="00D17D92"/>
    <w:rsid w:val="00D22B98"/>
    <w:rsid w:val="00D24221"/>
    <w:rsid w:val="00D2668F"/>
    <w:rsid w:val="00D26D75"/>
    <w:rsid w:val="00D30A89"/>
    <w:rsid w:val="00D33565"/>
    <w:rsid w:val="00D34275"/>
    <w:rsid w:val="00D3680D"/>
    <w:rsid w:val="00D40939"/>
    <w:rsid w:val="00D41E99"/>
    <w:rsid w:val="00D46802"/>
    <w:rsid w:val="00D63DE2"/>
    <w:rsid w:val="00D641A6"/>
    <w:rsid w:val="00D64855"/>
    <w:rsid w:val="00D652A9"/>
    <w:rsid w:val="00D71C0A"/>
    <w:rsid w:val="00D75412"/>
    <w:rsid w:val="00D76599"/>
    <w:rsid w:val="00D81F48"/>
    <w:rsid w:val="00D8441F"/>
    <w:rsid w:val="00D84E78"/>
    <w:rsid w:val="00D91812"/>
    <w:rsid w:val="00D92CA4"/>
    <w:rsid w:val="00D96B2E"/>
    <w:rsid w:val="00DA3612"/>
    <w:rsid w:val="00DA40A4"/>
    <w:rsid w:val="00DA5160"/>
    <w:rsid w:val="00DB2943"/>
    <w:rsid w:val="00DB2B44"/>
    <w:rsid w:val="00DB60BE"/>
    <w:rsid w:val="00DB684C"/>
    <w:rsid w:val="00DB7490"/>
    <w:rsid w:val="00DC0E07"/>
    <w:rsid w:val="00DC40E6"/>
    <w:rsid w:val="00DC679F"/>
    <w:rsid w:val="00DD2963"/>
    <w:rsid w:val="00DD4491"/>
    <w:rsid w:val="00DE2C98"/>
    <w:rsid w:val="00DE427C"/>
    <w:rsid w:val="00DF1104"/>
    <w:rsid w:val="00DF2011"/>
    <w:rsid w:val="00DF4120"/>
    <w:rsid w:val="00DF7B0F"/>
    <w:rsid w:val="00E220C7"/>
    <w:rsid w:val="00E23383"/>
    <w:rsid w:val="00E25DAA"/>
    <w:rsid w:val="00E3005E"/>
    <w:rsid w:val="00E3055C"/>
    <w:rsid w:val="00E333DF"/>
    <w:rsid w:val="00E3395A"/>
    <w:rsid w:val="00E3613F"/>
    <w:rsid w:val="00E41C83"/>
    <w:rsid w:val="00E4410F"/>
    <w:rsid w:val="00E44FF7"/>
    <w:rsid w:val="00E46145"/>
    <w:rsid w:val="00E46EF9"/>
    <w:rsid w:val="00E47C46"/>
    <w:rsid w:val="00E50A63"/>
    <w:rsid w:val="00E511FE"/>
    <w:rsid w:val="00E70E2C"/>
    <w:rsid w:val="00E824BD"/>
    <w:rsid w:val="00E85056"/>
    <w:rsid w:val="00E864F3"/>
    <w:rsid w:val="00E868D1"/>
    <w:rsid w:val="00E96F5F"/>
    <w:rsid w:val="00EA12C8"/>
    <w:rsid w:val="00EA42DA"/>
    <w:rsid w:val="00EB108E"/>
    <w:rsid w:val="00EB2FE5"/>
    <w:rsid w:val="00EB6EEE"/>
    <w:rsid w:val="00EC5DF3"/>
    <w:rsid w:val="00EC723A"/>
    <w:rsid w:val="00EE108E"/>
    <w:rsid w:val="00EE67D6"/>
    <w:rsid w:val="00EE7367"/>
    <w:rsid w:val="00EF16E8"/>
    <w:rsid w:val="00EF4F19"/>
    <w:rsid w:val="00EF6554"/>
    <w:rsid w:val="00F010A3"/>
    <w:rsid w:val="00F01103"/>
    <w:rsid w:val="00F014D6"/>
    <w:rsid w:val="00F025A8"/>
    <w:rsid w:val="00F04583"/>
    <w:rsid w:val="00F07171"/>
    <w:rsid w:val="00F13133"/>
    <w:rsid w:val="00F14305"/>
    <w:rsid w:val="00F14C90"/>
    <w:rsid w:val="00F16B2C"/>
    <w:rsid w:val="00F1706F"/>
    <w:rsid w:val="00F21A7A"/>
    <w:rsid w:val="00F22F2B"/>
    <w:rsid w:val="00F272C3"/>
    <w:rsid w:val="00F301C6"/>
    <w:rsid w:val="00F34C09"/>
    <w:rsid w:val="00F50AEB"/>
    <w:rsid w:val="00F543AD"/>
    <w:rsid w:val="00F557FA"/>
    <w:rsid w:val="00F56126"/>
    <w:rsid w:val="00F622D1"/>
    <w:rsid w:val="00F645C6"/>
    <w:rsid w:val="00F662FF"/>
    <w:rsid w:val="00F71CB8"/>
    <w:rsid w:val="00F72153"/>
    <w:rsid w:val="00FC4AB4"/>
    <w:rsid w:val="00FC6549"/>
    <w:rsid w:val="00FD2F5B"/>
    <w:rsid w:val="00FE2E65"/>
    <w:rsid w:val="00FE34C1"/>
    <w:rsid w:val="00FE49AC"/>
    <w:rsid w:val="00FE6FC1"/>
    <w:rsid w:val="00FE74D4"/>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6"/>
    <w:pPr>
      <w:widowControl w:val="0"/>
    </w:pPr>
    <w:rPr>
      <w:snapToGrid w:val="0"/>
      <w:kern w:val="28"/>
      <w:sz w:val="22"/>
    </w:rPr>
  </w:style>
  <w:style w:type="paragraph" w:styleId="Heading1">
    <w:name w:val="heading 1"/>
    <w:basedOn w:val="Normal"/>
    <w:next w:val="ParaNum"/>
    <w:qFormat/>
    <w:rsid w:val="00B40776"/>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0776"/>
    <w:pPr>
      <w:keepNext/>
      <w:numPr>
        <w:ilvl w:val="1"/>
        <w:numId w:val="1"/>
      </w:numPr>
      <w:spacing w:after="120"/>
      <w:outlineLvl w:val="1"/>
    </w:pPr>
    <w:rPr>
      <w:b/>
    </w:rPr>
  </w:style>
  <w:style w:type="paragraph" w:styleId="Heading3">
    <w:name w:val="heading 3"/>
    <w:basedOn w:val="Normal"/>
    <w:next w:val="ParaNum"/>
    <w:qFormat/>
    <w:rsid w:val="00B40776"/>
    <w:pPr>
      <w:keepNext/>
      <w:numPr>
        <w:ilvl w:val="2"/>
        <w:numId w:val="1"/>
      </w:numPr>
      <w:tabs>
        <w:tab w:val="left" w:pos="2160"/>
      </w:tabs>
      <w:spacing w:after="120"/>
      <w:outlineLvl w:val="2"/>
    </w:pPr>
    <w:rPr>
      <w:b/>
    </w:rPr>
  </w:style>
  <w:style w:type="paragraph" w:styleId="Heading4">
    <w:name w:val="heading 4"/>
    <w:basedOn w:val="Normal"/>
    <w:next w:val="ParaNum"/>
    <w:qFormat/>
    <w:rsid w:val="00B40776"/>
    <w:pPr>
      <w:keepNext/>
      <w:numPr>
        <w:ilvl w:val="3"/>
        <w:numId w:val="1"/>
      </w:numPr>
      <w:tabs>
        <w:tab w:val="left" w:pos="2880"/>
      </w:tabs>
      <w:spacing w:after="120"/>
      <w:outlineLvl w:val="3"/>
    </w:pPr>
    <w:rPr>
      <w:b/>
    </w:rPr>
  </w:style>
  <w:style w:type="paragraph" w:styleId="Heading5">
    <w:name w:val="heading 5"/>
    <w:basedOn w:val="Normal"/>
    <w:next w:val="ParaNum"/>
    <w:qFormat/>
    <w:rsid w:val="00B40776"/>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B40776"/>
    <w:pPr>
      <w:numPr>
        <w:ilvl w:val="5"/>
        <w:numId w:val="1"/>
      </w:numPr>
      <w:tabs>
        <w:tab w:val="left" w:pos="4320"/>
      </w:tabs>
      <w:spacing w:after="120"/>
      <w:outlineLvl w:val="5"/>
    </w:pPr>
    <w:rPr>
      <w:b/>
    </w:rPr>
  </w:style>
  <w:style w:type="paragraph" w:styleId="Heading7">
    <w:name w:val="heading 7"/>
    <w:basedOn w:val="Normal"/>
    <w:next w:val="ParaNum"/>
    <w:qFormat/>
    <w:rsid w:val="00B40776"/>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B40776"/>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B40776"/>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0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776"/>
  </w:style>
  <w:style w:type="paragraph" w:customStyle="1" w:styleId="ParaNum">
    <w:name w:val="ParaNum"/>
    <w:basedOn w:val="Normal"/>
    <w:rsid w:val="00B40776"/>
    <w:pPr>
      <w:numPr>
        <w:numId w:val="9"/>
      </w:numPr>
      <w:tabs>
        <w:tab w:val="clear" w:pos="1080"/>
        <w:tab w:val="num" w:pos="1440"/>
      </w:tabs>
      <w:spacing w:after="120"/>
    </w:pPr>
  </w:style>
  <w:style w:type="paragraph" w:styleId="EndnoteText">
    <w:name w:val="endnote text"/>
    <w:basedOn w:val="Normal"/>
    <w:semiHidden/>
    <w:rsid w:val="00B40776"/>
    <w:rPr>
      <w:sz w:val="20"/>
    </w:rPr>
  </w:style>
  <w:style w:type="character" w:styleId="EndnoteReference">
    <w:name w:val="endnote reference"/>
    <w:semiHidden/>
    <w:rsid w:val="00B40776"/>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B40776"/>
    <w:pPr>
      <w:spacing w:after="120"/>
    </w:pPr>
  </w:style>
  <w:style w:type="character" w:styleId="FootnoteReference">
    <w:name w:val="footnote reference"/>
    <w:aliases w:val="Style 12,(NECG) Footnote Reference,Appel note de bas de p,Style 124,o,fr,Style 3,Style 13,FR,Style 17,Style 6,Footnote Reference/,Style 4"/>
    <w:rsid w:val="00B40776"/>
    <w:rPr>
      <w:rFonts w:ascii="Times New Roman" w:hAnsi="Times New Roman"/>
      <w:dstrike w:val="0"/>
      <w:color w:val="auto"/>
      <w:sz w:val="20"/>
      <w:vertAlign w:val="superscript"/>
    </w:rPr>
  </w:style>
  <w:style w:type="paragraph" w:styleId="TOC1">
    <w:name w:val="toc 1"/>
    <w:basedOn w:val="Normal"/>
    <w:next w:val="Normal"/>
    <w:semiHidden/>
    <w:rsid w:val="00B407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0776"/>
    <w:pPr>
      <w:tabs>
        <w:tab w:val="left" w:pos="720"/>
        <w:tab w:val="right" w:leader="dot" w:pos="9360"/>
      </w:tabs>
      <w:suppressAutoHyphens/>
      <w:ind w:left="720" w:right="720" w:hanging="360"/>
    </w:pPr>
    <w:rPr>
      <w:noProof/>
    </w:rPr>
  </w:style>
  <w:style w:type="paragraph" w:styleId="TOC3">
    <w:name w:val="toc 3"/>
    <w:basedOn w:val="Normal"/>
    <w:next w:val="Normal"/>
    <w:semiHidden/>
    <w:rsid w:val="00B407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07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07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07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07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07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07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0776"/>
    <w:pPr>
      <w:tabs>
        <w:tab w:val="right" w:pos="9360"/>
      </w:tabs>
      <w:suppressAutoHyphens/>
    </w:pPr>
  </w:style>
  <w:style w:type="character" w:customStyle="1" w:styleId="EquationCaption">
    <w:name w:val="_Equation Caption"/>
    <w:rsid w:val="00B40776"/>
  </w:style>
  <w:style w:type="paragraph" w:styleId="Header">
    <w:name w:val="header"/>
    <w:basedOn w:val="Normal"/>
    <w:autoRedefine/>
    <w:rsid w:val="00B40776"/>
    <w:pPr>
      <w:tabs>
        <w:tab w:val="center" w:pos="4680"/>
        <w:tab w:val="right" w:pos="9360"/>
      </w:tabs>
    </w:pPr>
    <w:rPr>
      <w:b/>
    </w:rPr>
  </w:style>
  <w:style w:type="paragraph" w:styleId="Footer">
    <w:name w:val="footer"/>
    <w:basedOn w:val="Normal"/>
    <w:link w:val="FooterChar"/>
    <w:rsid w:val="00B40776"/>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B40776"/>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B40776"/>
    <w:pPr>
      <w:tabs>
        <w:tab w:val="left" w:pos="2160"/>
      </w:tabs>
      <w:spacing w:after="220"/>
      <w:ind w:left="2160" w:hanging="720"/>
    </w:pPr>
  </w:style>
  <w:style w:type="paragraph" w:customStyle="1" w:styleId="TableFormat">
    <w:name w:val="TableFormat"/>
    <w:basedOn w:val="Bullet"/>
    <w:rsid w:val="00B40776"/>
    <w:p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character" w:styleId="PageNumber">
    <w:name w:val="page number"/>
    <w:basedOn w:val="DefaultParagraphFont"/>
    <w:rsid w:val="00B40776"/>
  </w:style>
  <w:style w:type="paragraph" w:customStyle="1" w:styleId="Paratitle">
    <w:name w:val="Para title"/>
    <w:basedOn w:val="Normal"/>
    <w:rsid w:val="00B40776"/>
    <w:pPr>
      <w:tabs>
        <w:tab w:val="center" w:pos="9270"/>
      </w:tabs>
      <w:spacing w:after="240"/>
    </w:pPr>
    <w:rPr>
      <w:spacing w:val="-2"/>
    </w:rPr>
  </w:style>
  <w:style w:type="paragraph" w:customStyle="1" w:styleId="TOCTitle">
    <w:name w:val="TOC Title"/>
    <w:basedOn w:val="Normal"/>
    <w:rsid w:val="00B407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0776"/>
    <w:pPr>
      <w:jc w:val="center"/>
    </w:pPr>
    <w:rPr>
      <w:rFonts w:ascii="Times New Roman Bold" w:hAnsi="Times New Roman Bold"/>
      <w:b/>
      <w:bCs/>
      <w:caps/>
      <w:szCs w:val="22"/>
    </w:rPr>
  </w:style>
  <w:style w:type="character" w:styleId="Hyperlink">
    <w:name w:val="Hyperlink"/>
    <w:rsid w:val="00B40776"/>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9B68CE"/>
  </w:style>
  <w:style w:type="character" w:customStyle="1" w:styleId="apple-converted-space">
    <w:name w:val="apple-converted-space"/>
    <w:basedOn w:val="DefaultParagraphFont"/>
    <w:rsid w:val="009C00F0"/>
  </w:style>
  <w:style w:type="character" w:styleId="CommentReference">
    <w:name w:val="annotation reference"/>
    <w:uiPriority w:val="99"/>
    <w:semiHidden/>
    <w:unhideWhenUsed/>
    <w:rsid w:val="00CA53F3"/>
    <w:rPr>
      <w:sz w:val="16"/>
      <w:szCs w:val="16"/>
    </w:rPr>
  </w:style>
  <w:style w:type="paragraph" w:styleId="CommentText">
    <w:name w:val="annotation text"/>
    <w:basedOn w:val="Normal"/>
    <w:link w:val="CommentTextChar"/>
    <w:uiPriority w:val="99"/>
    <w:semiHidden/>
    <w:unhideWhenUsed/>
    <w:rsid w:val="00FC4AB4"/>
    <w:rPr>
      <w:sz w:val="20"/>
      <w:lang w:val="x-none" w:eastAsia="x-none"/>
    </w:rPr>
  </w:style>
  <w:style w:type="character" w:customStyle="1" w:styleId="CommentTextChar">
    <w:name w:val="Comment Text Char"/>
    <w:link w:val="CommentText"/>
    <w:uiPriority w:val="99"/>
    <w:semiHidden/>
    <w:rsid w:val="00FC4AB4"/>
    <w:rPr>
      <w:snapToGrid w:val="0"/>
      <w:kern w:val="28"/>
    </w:rPr>
  </w:style>
  <w:style w:type="paragraph" w:styleId="CommentSubject">
    <w:name w:val="annotation subject"/>
    <w:basedOn w:val="CommentText"/>
    <w:next w:val="CommentText"/>
    <w:link w:val="CommentSubjectChar"/>
    <w:uiPriority w:val="99"/>
    <w:semiHidden/>
    <w:unhideWhenUsed/>
    <w:rsid w:val="00FC4AB4"/>
    <w:rPr>
      <w:b/>
      <w:bCs/>
    </w:rPr>
  </w:style>
  <w:style w:type="character" w:customStyle="1" w:styleId="CommentSubjectChar">
    <w:name w:val="Comment Subject Char"/>
    <w:link w:val="CommentSubject"/>
    <w:uiPriority w:val="99"/>
    <w:semiHidden/>
    <w:rsid w:val="00FC4AB4"/>
    <w:rPr>
      <w:b/>
      <w:bCs/>
      <w:snapToGrid w:val="0"/>
      <w:kern w:val="28"/>
    </w:rPr>
  </w:style>
  <w:style w:type="character" w:customStyle="1" w:styleId="FooterChar">
    <w:name w:val="Footer Char"/>
    <w:basedOn w:val="DefaultParagraphFont"/>
    <w:link w:val="Footer"/>
    <w:rsid w:val="003203A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6"/>
    <w:pPr>
      <w:widowControl w:val="0"/>
    </w:pPr>
    <w:rPr>
      <w:snapToGrid w:val="0"/>
      <w:kern w:val="28"/>
      <w:sz w:val="22"/>
    </w:rPr>
  </w:style>
  <w:style w:type="paragraph" w:styleId="Heading1">
    <w:name w:val="heading 1"/>
    <w:basedOn w:val="Normal"/>
    <w:next w:val="ParaNum"/>
    <w:qFormat/>
    <w:rsid w:val="00B40776"/>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0776"/>
    <w:pPr>
      <w:keepNext/>
      <w:numPr>
        <w:ilvl w:val="1"/>
        <w:numId w:val="1"/>
      </w:numPr>
      <w:spacing w:after="120"/>
      <w:outlineLvl w:val="1"/>
    </w:pPr>
    <w:rPr>
      <w:b/>
    </w:rPr>
  </w:style>
  <w:style w:type="paragraph" w:styleId="Heading3">
    <w:name w:val="heading 3"/>
    <w:basedOn w:val="Normal"/>
    <w:next w:val="ParaNum"/>
    <w:qFormat/>
    <w:rsid w:val="00B40776"/>
    <w:pPr>
      <w:keepNext/>
      <w:numPr>
        <w:ilvl w:val="2"/>
        <w:numId w:val="1"/>
      </w:numPr>
      <w:tabs>
        <w:tab w:val="left" w:pos="2160"/>
      </w:tabs>
      <w:spacing w:after="120"/>
      <w:outlineLvl w:val="2"/>
    </w:pPr>
    <w:rPr>
      <w:b/>
    </w:rPr>
  </w:style>
  <w:style w:type="paragraph" w:styleId="Heading4">
    <w:name w:val="heading 4"/>
    <w:basedOn w:val="Normal"/>
    <w:next w:val="ParaNum"/>
    <w:qFormat/>
    <w:rsid w:val="00B40776"/>
    <w:pPr>
      <w:keepNext/>
      <w:numPr>
        <w:ilvl w:val="3"/>
        <w:numId w:val="1"/>
      </w:numPr>
      <w:tabs>
        <w:tab w:val="left" w:pos="2880"/>
      </w:tabs>
      <w:spacing w:after="120"/>
      <w:outlineLvl w:val="3"/>
    </w:pPr>
    <w:rPr>
      <w:b/>
    </w:rPr>
  </w:style>
  <w:style w:type="paragraph" w:styleId="Heading5">
    <w:name w:val="heading 5"/>
    <w:basedOn w:val="Normal"/>
    <w:next w:val="ParaNum"/>
    <w:qFormat/>
    <w:rsid w:val="00B40776"/>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B40776"/>
    <w:pPr>
      <w:numPr>
        <w:ilvl w:val="5"/>
        <w:numId w:val="1"/>
      </w:numPr>
      <w:tabs>
        <w:tab w:val="left" w:pos="4320"/>
      </w:tabs>
      <w:spacing w:after="120"/>
      <w:outlineLvl w:val="5"/>
    </w:pPr>
    <w:rPr>
      <w:b/>
    </w:rPr>
  </w:style>
  <w:style w:type="paragraph" w:styleId="Heading7">
    <w:name w:val="heading 7"/>
    <w:basedOn w:val="Normal"/>
    <w:next w:val="ParaNum"/>
    <w:qFormat/>
    <w:rsid w:val="00B40776"/>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B40776"/>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B40776"/>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0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776"/>
  </w:style>
  <w:style w:type="paragraph" w:customStyle="1" w:styleId="ParaNum">
    <w:name w:val="ParaNum"/>
    <w:basedOn w:val="Normal"/>
    <w:rsid w:val="00B40776"/>
    <w:pPr>
      <w:numPr>
        <w:numId w:val="9"/>
      </w:numPr>
      <w:tabs>
        <w:tab w:val="clear" w:pos="1080"/>
        <w:tab w:val="num" w:pos="1440"/>
      </w:tabs>
      <w:spacing w:after="120"/>
    </w:pPr>
  </w:style>
  <w:style w:type="paragraph" w:styleId="EndnoteText">
    <w:name w:val="endnote text"/>
    <w:basedOn w:val="Normal"/>
    <w:semiHidden/>
    <w:rsid w:val="00B40776"/>
    <w:rPr>
      <w:sz w:val="20"/>
    </w:rPr>
  </w:style>
  <w:style w:type="character" w:styleId="EndnoteReference">
    <w:name w:val="endnote reference"/>
    <w:semiHidden/>
    <w:rsid w:val="00B40776"/>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B40776"/>
    <w:pPr>
      <w:spacing w:after="120"/>
    </w:pPr>
  </w:style>
  <w:style w:type="character" w:styleId="FootnoteReference">
    <w:name w:val="footnote reference"/>
    <w:aliases w:val="Style 12,(NECG) Footnote Reference,Appel note de bas de p,Style 124,o,fr,Style 3,Style 13,FR,Style 17,Style 6,Footnote Reference/,Style 4"/>
    <w:rsid w:val="00B40776"/>
    <w:rPr>
      <w:rFonts w:ascii="Times New Roman" w:hAnsi="Times New Roman"/>
      <w:dstrike w:val="0"/>
      <w:color w:val="auto"/>
      <w:sz w:val="20"/>
      <w:vertAlign w:val="superscript"/>
    </w:rPr>
  </w:style>
  <w:style w:type="paragraph" w:styleId="TOC1">
    <w:name w:val="toc 1"/>
    <w:basedOn w:val="Normal"/>
    <w:next w:val="Normal"/>
    <w:semiHidden/>
    <w:rsid w:val="00B407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0776"/>
    <w:pPr>
      <w:tabs>
        <w:tab w:val="left" w:pos="720"/>
        <w:tab w:val="right" w:leader="dot" w:pos="9360"/>
      </w:tabs>
      <w:suppressAutoHyphens/>
      <w:ind w:left="720" w:right="720" w:hanging="360"/>
    </w:pPr>
    <w:rPr>
      <w:noProof/>
    </w:rPr>
  </w:style>
  <w:style w:type="paragraph" w:styleId="TOC3">
    <w:name w:val="toc 3"/>
    <w:basedOn w:val="Normal"/>
    <w:next w:val="Normal"/>
    <w:semiHidden/>
    <w:rsid w:val="00B407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07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07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07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07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07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07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0776"/>
    <w:pPr>
      <w:tabs>
        <w:tab w:val="right" w:pos="9360"/>
      </w:tabs>
      <w:suppressAutoHyphens/>
    </w:pPr>
  </w:style>
  <w:style w:type="character" w:customStyle="1" w:styleId="EquationCaption">
    <w:name w:val="_Equation Caption"/>
    <w:rsid w:val="00B40776"/>
  </w:style>
  <w:style w:type="paragraph" w:styleId="Header">
    <w:name w:val="header"/>
    <w:basedOn w:val="Normal"/>
    <w:autoRedefine/>
    <w:rsid w:val="00B40776"/>
    <w:pPr>
      <w:tabs>
        <w:tab w:val="center" w:pos="4680"/>
        <w:tab w:val="right" w:pos="9360"/>
      </w:tabs>
    </w:pPr>
    <w:rPr>
      <w:b/>
    </w:rPr>
  </w:style>
  <w:style w:type="paragraph" w:styleId="Footer">
    <w:name w:val="footer"/>
    <w:basedOn w:val="Normal"/>
    <w:link w:val="FooterChar"/>
    <w:rsid w:val="00B40776"/>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B40776"/>
    <w:pPr>
      <w:spacing w:after="24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rsid w:val="00B40776"/>
    <w:pPr>
      <w:tabs>
        <w:tab w:val="left" w:pos="2160"/>
      </w:tabs>
      <w:spacing w:after="220"/>
      <w:ind w:left="2160" w:hanging="720"/>
    </w:pPr>
  </w:style>
  <w:style w:type="paragraph" w:customStyle="1" w:styleId="TableFormat">
    <w:name w:val="TableFormat"/>
    <w:basedOn w:val="Bullet"/>
    <w:rsid w:val="00B40776"/>
    <w:p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character" w:styleId="PageNumber">
    <w:name w:val="page number"/>
    <w:basedOn w:val="DefaultParagraphFont"/>
    <w:rsid w:val="00B40776"/>
  </w:style>
  <w:style w:type="paragraph" w:customStyle="1" w:styleId="Paratitle">
    <w:name w:val="Para title"/>
    <w:basedOn w:val="Normal"/>
    <w:rsid w:val="00B40776"/>
    <w:pPr>
      <w:tabs>
        <w:tab w:val="center" w:pos="9270"/>
      </w:tabs>
      <w:spacing w:after="240"/>
    </w:pPr>
    <w:rPr>
      <w:spacing w:val="-2"/>
    </w:rPr>
  </w:style>
  <w:style w:type="paragraph" w:customStyle="1" w:styleId="TOCTitle">
    <w:name w:val="TOC Title"/>
    <w:basedOn w:val="Normal"/>
    <w:rsid w:val="00B407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0776"/>
    <w:pPr>
      <w:jc w:val="center"/>
    </w:pPr>
    <w:rPr>
      <w:rFonts w:ascii="Times New Roman Bold" w:hAnsi="Times New Roman Bold"/>
      <w:b/>
      <w:bCs/>
      <w:caps/>
      <w:szCs w:val="22"/>
    </w:rPr>
  </w:style>
  <w:style w:type="character" w:styleId="Hyperlink">
    <w:name w:val="Hyperlink"/>
    <w:rsid w:val="00B40776"/>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9B68CE"/>
  </w:style>
  <w:style w:type="character" w:customStyle="1" w:styleId="apple-converted-space">
    <w:name w:val="apple-converted-space"/>
    <w:basedOn w:val="DefaultParagraphFont"/>
    <w:rsid w:val="009C00F0"/>
  </w:style>
  <w:style w:type="character" w:styleId="CommentReference">
    <w:name w:val="annotation reference"/>
    <w:uiPriority w:val="99"/>
    <w:semiHidden/>
    <w:unhideWhenUsed/>
    <w:rsid w:val="00CA53F3"/>
    <w:rPr>
      <w:sz w:val="16"/>
      <w:szCs w:val="16"/>
    </w:rPr>
  </w:style>
  <w:style w:type="paragraph" w:styleId="CommentText">
    <w:name w:val="annotation text"/>
    <w:basedOn w:val="Normal"/>
    <w:link w:val="CommentTextChar"/>
    <w:uiPriority w:val="99"/>
    <w:semiHidden/>
    <w:unhideWhenUsed/>
    <w:rsid w:val="00FC4AB4"/>
    <w:rPr>
      <w:sz w:val="20"/>
      <w:lang w:val="x-none" w:eastAsia="x-none"/>
    </w:rPr>
  </w:style>
  <w:style w:type="character" w:customStyle="1" w:styleId="CommentTextChar">
    <w:name w:val="Comment Text Char"/>
    <w:link w:val="CommentText"/>
    <w:uiPriority w:val="99"/>
    <w:semiHidden/>
    <w:rsid w:val="00FC4AB4"/>
    <w:rPr>
      <w:snapToGrid w:val="0"/>
      <w:kern w:val="28"/>
    </w:rPr>
  </w:style>
  <w:style w:type="paragraph" w:styleId="CommentSubject">
    <w:name w:val="annotation subject"/>
    <w:basedOn w:val="CommentText"/>
    <w:next w:val="CommentText"/>
    <w:link w:val="CommentSubjectChar"/>
    <w:uiPriority w:val="99"/>
    <w:semiHidden/>
    <w:unhideWhenUsed/>
    <w:rsid w:val="00FC4AB4"/>
    <w:rPr>
      <w:b/>
      <w:bCs/>
    </w:rPr>
  </w:style>
  <w:style w:type="character" w:customStyle="1" w:styleId="CommentSubjectChar">
    <w:name w:val="Comment Subject Char"/>
    <w:link w:val="CommentSubject"/>
    <w:uiPriority w:val="99"/>
    <w:semiHidden/>
    <w:rsid w:val="00FC4AB4"/>
    <w:rPr>
      <w:b/>
      <w:bCs/>
      <w:snapToGrid w:val="0"/>
      <w:kern w:val="28"/>
    </w:rPr>
  </w:style>
  <w:style w:type="character" w:customStyle="1" w:styleId="FooterChar">
    <w:name w:val="Footer Char"/>
    <w:basedOn w:val="DefaultParagraphFont"/>
    <w:link w:val="Footer"/>
    <w:rsid w:val="003203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2849">
      <w:bodyDiv w:val="1"/>
      <w:marLeft w:val="30"/>
      <w:marRight w:val="30"/>
      <w:marTop w:val="30"/>
      <w:marBottom w:val="30"/>
      <w:divBdr>
        <w:top w:val="none" w:sz="0" w:space="0" w:color="auto"/>
        <w:left w:val="none" w:sz="0" w:space="0" w:color="auto"/>
        <w:bottom w:val="none" w:sz="0" w:space="0" w:color="auto"/>
        <w:right w:val="none" w:sz="0" w:space="0" w:color="auto"/>
      </w:divBdr>
      <w:divsChild>
        <w:div w:id="1994025528">
          <w:marLeft w:val="0"/>
          <w:marRight w:val="0"/>
          <w:marTop w:val="0"/>
          <w:marBottom w:val="0"/>
          <w:divBdr>
            <w:top w:val="none" w:sz="0" w:space="0" w:color="auto"/>
            <w:left w:val="none" w:sz="0" w:space="0" w:color="auto"/>
            <w:bottom w:val="none" w:sz="0" w:space="0" w:color="auto"/>
            <w:right w:val="none" w:sz="0" w:space="0" w:color="auto"/>
          </w:divBdr>
          <w:divsChild>
            <w:div w:id="1705859802">
              <w:marLeft w:val="45"/>
              <w:marRight w:val="45"/>
              <w:marTop w:val="45"/>
              <w:marBottom w:val="45"/>
              <w:divBdr>
                <w:top w:val="none" w:sz="0" w:space="0" w:color="auto"/>
                <w:left w:val="none" w:sz="0" w:space="0" w:color="auto"/>
                <w:bottom w:val="none" w:sz="0" w:space="0" w:color="auto"/>
                <w:right w:val="none" w:sz="0" w:space="0" w:color="auto"/>
              </w:divBdr>
              <w:divsChild>
                <w:div w:id="1054428395">
                  <w:marLeft w:val="0"/>
                  <w:marRight w:val="0"/>
                  <w:marTop w:val="0"/>
                  <w:marBottom w:val="0"/>
                  <w:divBdr>
                    <w:top w:val="none" w:sz="0" w:space="0" w:color="auto"/>
                    <w:left w:val="none" w:sz="0" w:space="0" w:color="auto"/>
                    <w:bottom w:val="none" w:sz="0" w:space="0" w:color="auto"/>
                    <w:right w:val="none" w:sz="0" w:space="0" w:color="auto"/>
                  </w:divBdr>
                  <w:divsChild>
                    <w:div w:id="764376998">
                      <w:marLeft w:val="0"/>
                      <w:marRight w:val="0"/>
                      <w:marTop w:val="0"/>
                      <w:marBottom w:val="0"/>
                      <w:divBdr>
                        <w:top w:val="none" w:sz="0" w:space="0" w:color="auto"/>
                        <w:left w:val="none" w:sz="0" w:space="0" w:color="auto"/>
                        <w:bottom w:val="none" w:sz="0" w:space="0" w:color="auto"/>
                        <w:right w:val="none" w:sz="0" w:space="0" w:color="auto"/>
                      </w:divBdr>
                    </w:div>
                    <w:div w:id="791941219">
                      <w:marLeft w:val="0"/>
                      <w:marRight w:val="0"/>
                      <w:marTop w:val="0"/>
                      <w:marBottom w:val="0"/>
                      <w:divBdr>
                        <w:top w:val="none" w:sz="0" w:space="0" w:color="auto"/>
                        <w:left w:val="none" w:sz="0" w:space="0" w:color="auto"/>
                        <w:bottom w:val="none" w:sz="0" w:space="0" w:color="auto"/>
                        <w:right w:val="none" w:sz="0" w:space="0" w:color="auto"/>
                      </w:divBdr>
                    </w:div>
                    <w:div w:id="877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1257</Words>
  <Characters>6954</Characters>
  <Application>Microsoft Office Word</Application>
  <DocSecurity>0</DocSecurity>
  <Lines>134</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2007-01-04T17:40:00Z</cp:lastPrinted>
  <dcterms:created xsi:type="dcterms:W3CDTF">2015-01-28T13:06:00Z</dcterms:created>
  <dcterms:modified xsi:type="dcterms:W3CDTF">2015-01-28T13:06:00Z</dcterms:modified>
  <cp:category> </cp:category>
  <cp:contentStatus> </cp:contentStatus>
</cp:coreProperties>
</file>