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9576" w:type="dxa"/>
        <w:tblLayout w:type="fixed"/>
        <w:tblLook w:val="0000" w:firstRow="0" w:lastRow="0" w:firstColumn="0" w:lastColumn="0" w:noHBand="0" w:noVBand="0"/>
      </w:tblPr>
      <w:tblGrid>
        <w:gridCol w:w="4698"/>
        <w:gridCol w:w="630"/>
        <w:gridCol w:w="4248"/>
      </w:tblGrid>
      <w:tr w:rsidR="004C2EE3" w:rsidTr="00AF5B8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571383" w:rsidP="00571383">
            <w:pPr>
              <w:tabs>
                <w:tab w:val="center" w:pos="4680"/>
              </w:tabs>
              <w:suppressAutoHyphens/>
              <w:rPr>
                <w:spacing w:val="-2"/>
              </w:rPr>
            </w:pPr>
            <w:r>
              <w:rPr>
                <w:spacing w:val="-2"/>
              </w:rPr>
              <w:t>S</w:t>
            </w:r>
            <w:r w:rsidR="002C2B0F">
              <w:rPr>
                <w:spacing w:val="-2"/>
              </w:rPr>
              <w:t>outhwest</w:t>
            </w:r>
            <w:r>
              <w:rPr>
                <w:spacing w:val="-2"/>
              </w:rPr>
              <w:t xml:space="preserve"> FM B</w:t>
            </w:r>
            <w:r w:rsidR="002C2B0F">
              <w:rPr>
                <w:spacing w:val="-2"/>
              </w:rPr>
              <w:t>roadcasting</w:t>
            </w:r>
            <w:r>
              <w:rPr>
                <w:spacing w:val="-2"/>
              </w:rPr>
              <w:t xml:space="preserve"> C</w:t>
            </w:r>
            <w:r w:rsidR="002C2B0F">
              <w:rPr>
                <w:spacing w:val="-2"/>
              </w:rPr>
              <w:t>o</w:t>
            </w:r>
            <w:r>
              <w:rPr>
                <w:spacing w:val="-2"/>
              </w:rPr>
              <w:t>., I</w:t>
            </w:r>
            <w:r w:rsidR="002C2B0F">
              <w:rPr>
                <w:spacing w:val="-2"/>
              </w:rPr>
              <w:t>nc</w:t>
            </w:r>
          </w:p>
          <w:p w:rsidR="00571383" w:rsidRDefault="00571383" w:rsidP="00571383">
            <w:pPr>
              <w:tabs>
                <w:tab w:val="center" w:pos="4680"/>
              </w:tabs>
              <w:suppressAutoHyphens/>
              <w:rPr>
                <w:spacing w:val="-2"/>
              </w:rPr>
            </w:pPr>
          </w:p>
          <w:p w:rsidR="00571383" w:rsidRDefault="00571383" w:rsidP="00571383">
            <w:pPr>
              <w:tabs>
                <w:tab w:val="center" w:pos="4680"/>
              </w:tabs>
              <w:suppressAutoHyphens/>
              <w:rPr>
                <w:spacing w:val="-2"/>
              </w:rPr>
            </w:pPr>
            <w:r>
              <w:rPr>
                <w:spacing w:val="-2"/>
              </w:rPr>
              <w:t>Application for Construction Permit for Minor</w:t>
            </w:r>
          </w:p>
          <w:p w:rsidR="00571383" w:rsidRDefault="00571383" w:rsidP="00571383">
            <w:pPr>
              <w:tabs>
                <w:tab w:val="center" w:pos="4680"/>
              </w:tabs>
              <w:suppressAutoHyphens/>
              <w:rPr>
                <w:spacing w:val="-2"/>
              </w:rPr>
            </w:pPr>
            <w:r>
              <w:rPr>
                <w:spacing w:val="-2"/>
              </w:rPr>
              <w:t xml:space="preserve">Change of Station KAHM(FM), Spring Valley, </w:t>
            </w:r>
          </w:p>
          <w:p w:rsidR="00571383" w:rsidRPr="007115F7" w:rsidRDefault="00571383" w:rsidP="00571383">
            <w:pPr>
              <w:tabs>
                <w:tab w:val="center" w:pos="4680"/>
              </w:tabs>
              <w:suppressAutoHyphens/>
              <w:rPr>
                <w:spacing w:val="-2"/>
              </w:rPr>
            </w:pPr>
            <w:r>
              <w:rPr>
                <w:spacing w:val="-2"/>
              </w:rPr>
              <w:t xml:space="preserve">Arizona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p>
          <w:p w:rsidR="004C2EE3" w:rsidRDefault="004C2EE3" w:rsidP="00370ADA">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386899">
            <w:pPr>
              <w:tabs>
                <w:tab w:val="center" w:pos="4680"/>
              </w:tabs>
              <w:suppressAutoHyphens/>
              <w:rPr>
                <w:spacing w:val="-2"/>
              </w:rPr>
            </w:pPr>
            <w:r>
              <w:rPr>
                <w:spacing w:val="-2"/>
              </w:rPr>
              <w:t>File No. BPH-20100813BHN</w:t>
            </w:r>
          </w:p>
          <w:p w:rsidR="00386899" w:rsidRDefault="00386899" w:rsidP="00386899">
            <w:pPr>
              <w:tabs>
                <w:tab w:val="center" w:pos="4680"/>
              </w:tabs>
              <w:suppressAutoHyphens/>
              <w:rPr>
                <w:spacing w:val="-2"/>
              </w:rPr>
            </w:pPr>
            <w:r>
              <w:rPr>
                <w:spacing w:val="-2"/>
              </w:rPr>
              <w:t>Facility ID No.  615100</w:t>
            </w:r>
          </w:p>
        </w:tc>
      </w:tr>
    </w:tbl>
    <w:p w:rsidR="00841AB1" w:rsidRDefault="007505F0"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563733">
        <w:rPr>
          <w:b/>
          <w:spacing w:val="-2"/>
        </w:rPr>
        <w:t>July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63733">
        <w:rPr>
          <w:b/>
          <w:spacing w:val="-2"/>
        </w:rPr>
        <w:t>July 16, 2015</w:t>
      </w:r>
    </w:p>
    <w:p w:rsidR="00822CE0" w:rsidRDefault="00822CE0"/>
    <w:p w:rsidR="004C2EE3" w:rsidRDefault="004C2EE3">
      <w:pPr>
        <w:rPr>
          <w:spacing w:val="-2"/>
        </w:rPr>
      </w:pPr>
      <w:r>
        <w:t xml:space="preserve">By </w:t>
      </w:r>
      <w:r w:rsidR="004E4A22">
        <w:t>the</w:t>
      </w:r>
      <w:r w:rsidR="002A2D2E">
        <w:t xml:space="preserve"> </w:t>
      </w:r>
      <w:r w:rsidR="00386899">
        <w:rPr>
          <w:spacing w:val="-2"/>
        </w:rPr>
        <w:t>Commission</w:t>
      </w:r>
      <w:r>
        <w:rPr>
          <w:spacing w:val="-2"/>
        </w:rPr>
        <w:t>:</w:t>
      </w:r>
    </w:p>
    <w:p w:rsidR="00822CE0" w:rsidRDefault="00822CE0">
      <w:pPr>
        <w:rPr>
          <w:spacing w:val="-2"/>
        </w:rPr>
      </w:pPr>
    </w:p>
    <w:p w:rsidR="00E0526A" w:rsidRDefault="00386899" w:rsidP="008F47FD">
      <w:pPr>
        <w:pStyle w:val="ParaNum"/>
      </w:pPr>
      <w:r w:rsidRPr="00067FEE">
        <w:t xml:space="preserve">The Commission has before it an Application for Review (“AFR”) filed May 28, 2014, by Kemp Communications, Inc. (“Kemp”), licensee of Station KVGG(FM), Salome, Arizona. </w:t>
      </w:r>
      <w:r w:rsidR="009233EF">
        <w:t xml:space="preserve"> </w:t>
      </w:r>
      <w:r w:rsidR="00F52AE7">
        <w:t>Kemp seeks review</w:t>
      </w:r>
      <w:r w:rsidR="00496F97">
        <w:t xml:space="preserve"> </w:t>
      </w:r>
      <w:r w:rsidR="00F52AE7">
        <w:t>of the Media Bureau’s (“Bureau”)</w:t>
      </w:r>
      <w:r w:rsidR="005C4302">
        <w:t xml:space="preserve"> </w:t>
      </w:r>
      <w:r w:rsidR="00F52AE7">
        <w:t>April 29, 2014, decision</w:t>
      </w:r>
      <w:r w:rsidR="00E0526A">
        <w:rPr>
          <w:rStyle w:val="FootnoteReference"/>
        </w:rPr>
        <w:footnoteReference w:id="2"/>
      </w:r>
      <w:r w:rsidR="00F52AE7">
        <w:t xml:space="preserve"> denying Kemp’s Petition for Reconsideration</w:t>
      </w:r>
      <w:r w:rsidR="00E0526A">
        <w:t xml:space="preserve"> of</w:t>
      </w:r>
      <w:r w:rsidR="00C84C95">
        <w:t xml:space="preserve"> </w:t>
      </w:r>
      <w:r w:rsidR="00994BD3">
        <w:t>a</w:t>
      </w:r>
      <w:r w:rsidR="00003A16">
        <w:t xml:space="preserve"> prior</w:t>
      </w:r>
      <w:r w:rsidR="00C84C95">
        <w:t xml:space="preserve"> </w:t>
      </w:r>
      <w:r w:rsidR="00003A16">
        <w:rPr>
          <w:i/>
        </w:rPr>
        <w:t>Letter Decision.</w:t>
      </w:r>
      <w:r w:rsidR="005D6EB3">
        <w:rPr>
          <w:rStyle w:val="FootnoteReference"/>
        </w:rPr>
        <w:footnoteReference w:id="3"/>
      </w:r>
      <w:r w:rsidR="005D6EB3">
        <w:t xml:space="preserve"> </w:t>
      </w:r>
      <w:r w:rsidR="00003A16">
        <w:t xml:space="preserve"> In the </w:t>
      </w:r>
      <w:r w:rsidR="00003A16">
        <w:rPr>
          <w:i/>
        </w:rPr>
        <w:t>Letter Decision</w:t>
      </w:r>
      <w:r w:rsidR="00003A16">
        <w:t xml:space="preserve">, </w:t>
      </w:r>
      <w:r w:rsidR="0074722E">
        <w:t xml:space="preserve">over Kemp’s objection, </w:t>
      </w:r>
      <w:r w:rsidR="00003A16">
        <w:t>the Bureau granted the</w:t>
      </w:r>
      <w:r w:rsidR="00067FEE">
        <w:t xml:space="preserve"> captioned application</w:t>
      </w:r>
      <w:r w:rsidR="00FF4AE1">
        <w:t xml:space="preserve"> (“Application”)</w:t>
      </w:r>
      <w:r w:rsidR="00067FEE">
        <w:t xml:space="preserve"> of Southwest FM Broadcasting Co., Inc.</w:t>
      </w:r>
      <w:r w:rsidR="00FF4AE1">
        <w:t xml:space="preserve"> (“Southwest”)</w:t>
      </w:r>
      <w:r w:rsidR="00003A16">
        <w:t xml:space="preserve"> to</w:t>
      </w:r>
      <w:r w:rsidR="0087355B">
        <w:t>: (1)</w:t>
      </w:r>
      <w:r w:rsidR="00067FEE">
        <w:t xml:space="preserve"> </w:t>
      </w:r>
      <w:r w:rsidR="005C4302">
        <w:t>change</w:t>
      </w:r>
      <w:r w:rsidR="00E0526A">
        <w:t xml:space="preserve"> </w:t>
      </w:r>
      <w:r w:rsidR="008876D6">
        <w:t xml:space="preserve">Station </w:t>
      </w:r>
      <w:r w:rsidR="00E34A9E">
        <w:t>KAHM(FM)</w:t>
      </w:r>
      <w:r w:rsidR="005C4302">
        <w:t>’s</w:t>
      </w:r>
      <w:r w:rsidR="00E34A9E">
        <w:t xml:space="preserve"> </w:t>
      </w:r>
      <w:r w:rsidR="00E0526A">
        <w:t xml:space="preserve">(“Station”) </w:t>
      </w:r>
      <w:r w:rsidR="005C4302">
        <w:t xml:space="preserve">community of license </w:t>
      </w:r>
      <w:r w:rsidR="00E34A9E">
        <w:t xml:space="preserve">from Prescott, Arizona, to </w:t>
      </w:r>
      <w:r w:rsidR="00067FEE">
        <w:t>Spring Valley, Arizona, and</w:t>
      </w:r>
      <w:r w:rsidR="0087355B">
        <w:t xml:space="preserve"> (2)</w:t>
      </w:r>
      <w:r w:rsidR="00067FEE">
        <w:t xml:space="preserve"> relocate the </w:t>
      </w:r>
      <w:r w:rsidR="00E0526A">
        <w:t>S</w:t>
      </w:r>
      <w:r w:rsidR="00067FEE">
        <w:t>tation’s transmitter site</w:t>
      </w:r>
      <w:r w:rsidR="00212C36">
        <w:rPr>
          <w:rStyle w:val="FootnoteReference"/>
        </w:rPr>
        <w:footnoteReference w:id="4"/>
      </w:r>
      <w:r w:rsidR="00501D1A">
        <w:t xml:space="preserve"> </w:t>
      </w:r>
      <w:r w:rsidR="00283D4C">
        <w:t>pursuant to Section 73.3573(g) of the Commission’s Rules</w:t>
      </w:r>
      <w:r w:rsidR="00E0526A">
        <w:t xml:space="preserve"> (“Rules”)</w:t>
      </w:r>
      <w:r w:rsidR="0074722E">
        <w:t>.</w:t>
      </w:r>
      <w:r w:rsidR="00283D4C">
        <w:rPr>
          <w:rStyle w:val="FootnoteReference"/>
        </w:rPr>
        <w:footnoteReference w:id="5"/>
      </w:r>
      <w:r w:rsidR="00E55D40">
        <w:t xml:space="preserve">  From either of these communities,</w:t>
      </w:r>
      <w:r w:rsidR="00407C9E">
        <w:t xml:space="preserve"> </w:t>
      </w:r>
      <w:r w:rsidR="00E55D40">
        <w:t>the Station would provide</w:t>
      </w:r>
      <w:r w:rsidR="00602D6A">
        <w:t xml:space="preserve"> a</w:t>
      </w:r>
      <w:r w:rsidR="00E55D40">
        <w:t xml:space="preserve"> 70</w:t>
      </w:r>
      <w:r w:rsidR="00602D6A">
        <w:t xml:space="preserve"> </w:t>
      </w:r>
      <w:r w:rsidR="00E55D40">
        <w:t xml:space="preserve">dBu signal over 100 percent of the Prescott, Arizona, urbanized area.  </w:t>
      </w:r>
      <w:r w:rsidR="00E0526A">
        <w:t>For the reasons set forth below, we deny the AFR</w:t>
      </w:r>
      <w:r w:rsidR="00D00486">
        <w:t xml:space="preserve"> and dismiss Kemp’s Motion for Stay</w:t>
      </w:r>
      <w:r w:rsidR="00E0526A">
        <w:t>.</w:t>
      </w:r>
    </w:p>
    <w:p w:rsidR="00970BD6" w:rsidRDefault="00FD2DC9" w:rsidP="000E09F1">
      <w:pPr>
        <w:pStyle w:val="ParaNum"/>
        <w:widowControl/>
      </w:pPr>
      <w:r>
        <w:t>On review</w:t>
      </w:r>
      <w:r w:rsidR="00D06A96">
        <w:t>,</w:t>
      </w:r>
      <w:r w:rsidR="00501D1A">
        <w:t xml:space="preserve"> Kemp argues that the Bureau failed to apply or wrong</w:t>
      </w:r>
      <w:r w:rsidR="006F47CD">
        <w:t>ly</w:t>
      </w:r>
      <w:r w:rsidR="00501D1A">
        <w:t xml:space="preserve"> interpreted</w:t>
      </w:r>
      <w:r w:rsidR="00B73041">
        <w:t xml:space="preserve"> </w:t>
      </w:r>
      <w:r w:rsidR="00501D1A" w:rsidRPr="00340B6D">
        <w:rPr>
          <w:i/>
        </w:rPr>
        <w:t>Rural Radio</w:t>
      </w:r>
      <w:r w:rsidR="00501D1A">
        <w:t xml:space="preserve"> </w:t>
      </w:r>
      <w:r w:rsidR="00C56451">
        <w:t xml:space="preserve">by basing its decision on the total number of people who would receive a net gain in service and </w:t>
      </w:r>
      <w:r w:rsidR="009617FB">
        <w:t xml:space="preserve">not taking into </w:t>
      </w:r>
      <w:r w:rsidR="007E2729">
        <w:t xml:space="preserve">account the </w:t>
      </w:r>
      <w:r w:rsidR="008E1CD5">
        <w:t xml:space="preserve">difference in overall service levels in the gain and loss areas.  </w:t>
      </w:r>
      <w:r w:rsidR="00AA7D2C">
        <w:t>Kemp states that 99 percent of the population in the “gain” area enjoys 20 or more services, while no one in the loss area receives 21 or more services, more than 120,00</w:t>
      </w:r>
      <w:r w:rsidR="00744C29">
        <w:t>0</w:t>
      </w:r>
      <w:r w:rsidR="00AA7D2C">
        <w:t xml:space="preserve"> people receive fewer than 20 services, and more than 27,000 people receive 10 or fewer services.</w:t>
      </w:r>
      <w:r w:rsidR="00D34036">
        <w:t xml:space="preserve">  Kemp argues that the Bureau’s decision may be an “efficient” use of spectrum, but the Bureau does not explain how the grant of the Application is more </w:t>
      </w:r>
      <w:r w:rsidR="00D34036">
        <w:lastRenderedPageBreak/>
        <w:t xml:space="preserve">“fair” or represents a preferential arrangement of allotments under Section 307(b) and the dictates of </w:t>
      </w:r>
      <w:r w:rsidR="00D34036">
        <w:rPr>
          <w:i/>
        </w:rPr>
        <w:t>Rural Radio</w:t>
      </w:r>
      <w:r w:rsidR="00D34036">
        <w:t>.</w:t>
      </w:r>
      <w:r w:rsidR="00D94415">
        <w:rPr>
          <w:rStyle w:val="FootnoteReference"/>
        </w:rPr>
        <w:footnoteReference w:id="6"/>
      </w:r>
      <w:r w:rsidR="00D34036">
        <w:t xml:space="preserve"> </w:t>
      </w:r>
      <w:r w:rsidR="00AA7D2C">
        <w:t xml:space="preserve">    </w:t>
      </w:r>
      <w:r w:rsidR="00701249">
        <w:t xml:space="preserve">  </w:t>
      </w:r>
    </w:p>
    <w:p w:rsidR="00BE04C4" w:rsidRDefault="007E2729" w:rsidP="00FD5A14">
      <w:pPr>
        <w:pStyle w:val="ParaNum"/>
      </w:pPr>
      <w:r>
        <w:t xml:space="preserve">Upon review of the AFR and the entire record, we conclude that the Bureau properly </w:t>
      </w:r>
      <w:r w:rsidR="0074722E">
        <w:t xml:space="preserve">decided the matters raised and uphold the </w:t>
      </w:r>
      <w:r w:rsidR="0074722E" w:rsidRPr="00FD5A14">
        <w:rPr>
          <w:i/>
        </w:rPr>
        <w:t>Reconsideration Decision</w:t>
      </w:r>
      <w:r w:rsidR="00276DCC" w:rsidRPr="00FD5A14">
        <w:rPr>
          <w:i/>
        </w:rPr>
        <w:t xml:space="preserve"> </w:t>
      </w:r>
      <w:r w:rsidR="00276DCC">
        <w:t>for the reasons stated therein.</w:t>
      </w:r>
      <w:r w:rsidR="00F96506">
        <w:t xml:space="preserve"> </w:t>
      </w:r>
      <w:r w:rsidR="00D34036">
        <w:t>The Commission stated explicit</w:t>
      </w:r>
      <w:r w:rsidR="002D0503">
        <w:t>l</w:t>
      </w:r>
      <w:r w:rsidR="00D34036">
        <w:t xml:space="preserve">y in the </w:t>
      </w:r>
      <w:r w:rsidR="00D34036" w:rsidRPr="00FD5A14">
        <w:rPr>
          <w:i/>
        </w:rPr>
        <w:t>Rural Radio</w:t>
      </w:r>
      <w:r w:rsidR="00595185">
        <w:rPr>
          <w:i/>
        </w:rPr>
        <w:t xml:space="preserve"> </w:t>
      </w:r>
      <w:r w:rsidR="00D34036">
        <w:t>proceeding</w:t>
      </w:r>
      <w:r w:rsidR="00724195">
        <w:t xml:space="preserve"> </w:t>
      </w:r>
      <w:r w:rsidR="00D34036">
        <w:t>that</w:t>
      </w:r>
      <w:r w:rsidR="00254AC6">
        <w:t xml:space="preserve"> a station proposing to move</w:t>
      </w:r>
      <w:r w:rsidR="008E1CD5">
        <w:t>, as here,</w:t>
      </w:r>
      <w:r w:rsidR="00254AC6">
        <w:t xml:space="preserve"> within the same urbanized area</w:t>
      </w:r>
      <w:r w:rsidR="00915B55">
        <w:t xml:space="preserve"> is required to make a showing under Priority 4</w:t>
      </w:r>
      <w:r w:rsidR="009B255A">
        <w:t xml:space="preserve"> </w:t>
      </w:r>
      <w:r w:rsidR="00915B55">
        <w:t>“by demonstrating from which of the two communities the station would provide service to a greater area and population within the urbanized area.”</w:t>
      </w:r>
      <w:r w:rsidR="000A092A">
        <w:rPr>
          <w:rStyle w:val="FootnoteReference"/>
        </w:rPr>
        <w:footnoteReference w:id="7"/>
      </w:r>
      <w:r w:rsidR="00C37175">
        <w:t xml:space="preserve"> </w:t>
      </w:r>
      <w:r w:rsidR="00915B55">
        <w:t xml:space="preserve"> </w:t>
      </w:r>
      <w:r w:rsidR="00657AE1">
        <w:t>The</w:t>
      </w:r>
      <w:r w:rsidR="008E1CD5">
        <w:t xml:space="preserve"> gain and loss areas are well served.</w:t>
      </w:r>
      <w:r w:rsidR="00657AE1">
        <w:rPr>
          <w:rStyle w:val="FootnoteReference"/>
        </w:rPr>
        <w:footnoteReference w:id="8"/>
      </w:r>
      <w:r w:rsidR="008E1CD5">
        <w:t xml:space="preserve">  Accordingly, Kemp’s argument is without merit.</w:t>
      </w:r>
      <w:r w:rsidR="00D21D16">
        <w:rPr>
          <w:rStyle w:val="FootnoteReference"/>
        </w:rPr>
        <w:footnoteReference w:id="9"/>
      </w:r>
      <w:r w:rsidR="00113484">
        <w:t xml:space="preserve">  </w:t>
      </w:r>
      <w:r w:rsidR="00930CB7">
        <w:t xml:space="preserve"> </w:t>
      </w:r>
      <w:r w:rsidR="00A81C45">
        <w:t xml:space="preserve">    </w:t>
      </w:r>
      <w:r w:rsidR="00BE04C4">
        <w:t xml:space="preserve">   </w:t>
      </w:r>
      <w:r w:rsidR="000E4491">
        <w:t xml:space="preserve"> </w:t>
      </w:r>
    </w:p>
    <w:p w:rsidR="0096456E" w:rsidRDefault="0096456E" w:rsidP="00662E3E">
      <w:pPr>
        <w:pStyle w:val="ParaNum"/>
      </w:pPr>
      <w:r>
        <w:t>Accordingly, IT IS ORDERED that, pursuant to Section 5</w:t>
      </w:r>
      <w:r w:rsidR="00272452">
        <w:t>(c)</w:t>
      </w:r>
      <w:r>
        <w:t>(5) of the Communications Act of 1934, as amended, and Section 1.115(g) of the Commission’s Rules, the Application for Review filed by Kemp Communications, Inc., IS DENIED.</w:t>
      </w:r>
    </w:p>
    <w:p w:rsidR="00067FEE" w:rsidRDefault="0096456E" w:rsidP="001A457C">
      <w:pPr>
        <w:pStyle w:val="ParaNum"/>
      </w:pPr>
      <w:r>
        <w:t>IT IS FURTHER ORDERED, that the Motion for Stay filed by Kemp Communications, Inc., IS DISMISSED.</w:t>
      </w:r>
      <w:r w:rsidR="000F34E1">
        <w:t xml:space="preserve"> </w:t>
      </w:r>
    </w:p>
    <w:p w:rsidR="00A55602" w:rsidRDefault="00A55602" w:rsidP="000E09F1"/>
    <w:p w:rsidR="00A55602" w:rsidRDefault="00A55602" w:rsidP="00AF5B83">
      <w:r>
        <w:tab/>
      </w:r>
      <w:r>
        <w:tab/>
      </w:r>
      <w:r>
        <w:tab/>
      </w:r>
      <w:r>
        <w:tab/>
      </w:r>
      <w:r>
        <w:tab/>
      </w:r>
      <w:r>
        <w:tab/>
        <w:t>FEDERAL COMMUNICATIONS COMMISSION</w:t>
      </w:r>
    </w:p>
    <w:p w:rsidR="00AF5B83" w:rsidRDefault="00AF5B83" w:rsidP="00AF5B83"/>
    <w:p w:rsidR="00A55602" w:rsidRDefault="00A55602" w:rsidP="00AF5B83"/>
    <w:p w:rsidR="00A55602" w:rsidRDefault="00A55602" w:rsidP="00AF5B83"/>
    <w:p w:rsidR="00A55602" w:rsidRDefault="00A55602" w:rsidP="00AF5B83"/>
    <w:p w:rsidR="00A55602" w:rsidRDefault="00A55602" w:rsidP="00AF5B83">
      <w:r>
        <w:tab/>
      </w:r>
      <w:r>
        <w:tab/>
      </w:r>
      <w:r>
        <w:tab/>
      </w:r>
      <w:r>
        <w:tab/>
      </w:r>
      <w:r>
        <w:tab/>
      </w:r>
      <w:r>
        <w:tab/>
        <w:t>Marlene H. Dortch</w:t>
      </w:r>
      <w:r>
        <w:tab/>
      </w:r>
      <w:r>
        <w:tab/>
      </w:r>
      <w:r>
        <w:tab/>
      </w:r>
      <w:r>
        <w:tab/>
      </w:r>
      <w:r>
        <w:tab/>
      </w:r>
      <w:r>
        <w:tab/>
      </w:r>
      <w:r w:rsidR="00FD5A14">
        <w:tab/>
      </w:r>
      <w:r w:rsidR="00FD5A14">
        <w:tab/>
      </w:r>
      <w:r w:rsidR="00FD5A14">
        <w:tab/>
      </w:r>
      <w:r w:rsidR="00FD5A14">
        <w:tab/>
      </w:r>
      <w:r w:rsidR="00FD5A14">
        <w:tab/>
      </w:r>
      <w:r>
        <w:t>Secretary</w:t>
      </w:r>
    </w:p>
    <w:sectPr w:rsidR="00A5560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78" w:rsidRDefault="005C5478">
      <w:pPr>
        <w:spacing w:line="20" w:lineRule="exact"/>
      </w:pPr>
    </w:p>
  </w:endnote>
  <w:endnote w:type="continuationSeparator" w:id="0">
    <w:p w:rsidR="005C5478" w:rsidRDefault="005C5478">
      <w:r>
        <w:t xml:space="preserve"> </w:t>
      </w:r>
    </w:p>
  </w:endnote>
  <w:endnote w:type="continuationNotice" w:id="1">
    <w:p w:rsidR="005C5478" w:rsidRDefault="005C54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D66C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78" w:rsidRDefault="005C5478">
      <w:r>
        <w:separator/>
      </w:r>
    </w:p>
  </w:footnote>
  <w:footnote w:type="continuationSeparator" w:id="0">
    <w:p w:rsidR="005C5478" w:rsidRDefault="005C5478" w:rsidP="00C721AC">
      <w:pPr>
        <w:spacing w:before="120"/>
        <w:rPr>
          <w:sz w:val="20"/>
        </w:rPr>
      </w:pPr>
      <w:r>
        <w:rPr>
          <w:sz w:val="20"/>
        </w:rPr>
        <w:t xml:space="preserve">(Continued from previous page)  </w:t>
      </w:r>
      <w:r>
        <w:rPr>
          <w:sz w:val="20"/>
        </w:rPr>
        <w:separator/>
      </w:r>
    </w:p>
  </w:footnote>
  <w:footnote w:type="continuationNotice" w:id="1">
    <w:p w:rsidR="005C5478" w:rsidRDefault="005C5478" w:rsidP="00C721AC">
      <w:pPr>
        <w:jc w:val="right"/>
        <w:rPr>
          <w:sz w:val="20"/>
        </w:rPr>
      </w:pPr>
      <w:r>
        <w:rPr>
          <w:sz w:val="20"/>
        </w:rPr>
        <w:t>(continued….)</w:t>
      </w:r>
    </w:p>
  </w:footnote>
  <w:footnote w:id="2">
    <w:p w:rsidR="00E0526A" w:rsidRPr="00781DAF" w:rsidRDefault="00E0526A" w:rsidP="00E0526A">
      <w:pPr>
        <w:pStyle w:val="FootnoteText"/>
      </w:pPr>
      <w:r>
        <w:rPr>
          <w:rStyle w:val="FootnoteReference"/>
        </w:rPr>
        <w:footnoteRef/>
      </w:r>
      <w:r>
        <w:t xml:space="preserve"> </w:t>
      </w:r>
      <w:r>
        <w:rPr>
          <w:i/>
        </w:rPr>
        <w:t xml:space="preserve">See Lawrence N. Cohn, Esq., and James A Koerner, Esq., </w:t>
      </w:r>
      <w:r>
        <w:t>Letter, 29 FCC Rcd 4799 (MB 2014) (“</w:t>
      </w:r>
      <w:r>
        <w:rPr>
          <w:i/>
        </w:rPr>
        <w:t>Reconsideration Decision</w:t>
      </w:r>
      <w:r>
        <w:t>”).  Kemp also filed a Motion for Stay on May 28, 2014.  Southwest filed an Opposition to Application for Review and an Opposition to Motion for Stay on June 10, 2014.  Kemp filed a Reply to Opposition to Application for Review on June 20, 2014.  In view of our action herein, we will dismiss the Motion for Stay as moot.</w:t>
      </w:r>
    </w:p>
  </w:footnote>
  <w:footnote w:id="3">
    <w:p w:rsidR="005D6EB3" w:rsidRPr="00A54D00" w:rsidRDefault="005D6EB3" w:rsidP="005D6EB3">
      <w:pPr>
        <w:pStyle w:val="FootnoteText"/>
      </w:pPr>
      <w:r>
        <w:rPr>
          <w:rStyle w:val="FootnoteReference"/>
        </w:rPr>
        <w:footnoteRef/>
      </w:r>
      <w:r>
        <w:t xml:space="preserve"> </w:t>
      </w:r>
      <w:r>
        <w:rPr>
          <w:i/>
        </w:rPr>
        <w:t>See Lawrence N. Cohn, Esq</w:t>
      </w:r>
      <w:r w:rsidR="00CF3017">
        <w:rPr>
          <w:i/>
        </w:rPr>
        <w:t>.</w:t>
      </w:r>
      <w:r>
        <w:rPr>
          <w:i/>
        </w:rPr>
        <w:t xml:space="preserve">, James A Koerner, Esq., and Marvin Vosper, </w:t>
      </w:r>
      <w:r>
        <w:t>Letter, 28 FCC Rcd 148 (MB 2013) (“</w:t>
      </w:r>
      <w:r>
        <w:rPr>
          <w:i/>
        </w:rPr>
        <w:t>Letter Decision</w:t>
      </w:r>
      <w:r>
        <w:t>”)</w:t>
      </w:r>
      <w:r>
        <w:rPr>
          <w:i/>
        </w:rPr>
        <w:t xml:space="preserve">. </w:t>
      </w:r>
    </w:p>
  </w:footnote>
  <w:footnote w:id="4">
    <w:p w:rsidR="00212C36" w:rsidRDefault="00212C36">
      <w:pPr>
        <w:pStyle w:val="FootnoteText"/>
      </w:pPr>
      <w:r>
        <w:rPr>
          <w:rStyle w:val="FootnoteReference"/>
        </w:rPr>
        <w:footnoteRef/>
      </w:r>
      <w:r>
        <w:t xml:space="preserve"> To accommodate the Application, the Bureau involuntarily modified the license of Station KVGG(FM) to specify Channel 231A instead of Channel 270A, and Station KBUX(FM), Quartzsite, Arizona, to specify Channel 243A instead of Channel 232A.</w:t>
      </w:r>
    </w:p>
  </w:footnote>
  <w:footnote w:id="5">
    <w:p w:rsidR="00283D4C" w:rsidRPr="00283D4C" w:rsidRDefault="00283D4C">
      <w:pPr>
        <w:pStyle w:val="FootnoteText"/>
      </w:pPr>
      <w:r>
        <w:rPr>
          <w:rStyle w:val="FootnoteReference"/>
        </w:rPr>
        <w:footnoteRef/>
      </w:r>
      <w:r>
        <w:t xml:space="preserve"> 47 C.F.R. § 73.3573(g) (permitting the modification of an FM station’s authorization to specify a new community of license without affording other interested parties an opportunity to file competing expressions of  interest provided, </w:t>
      </w:r>
      <w:r>
        <w:rPr>
          <w:i/>
        </w:rPr>
        <w:t xml:space="preserve">inter alia, </w:t>
      </w:r>
      <w:r>
        <w:t>the reallotment would result in a preferential arrangement of allotments).</w:t>
      </w:r>
      <w:r w:rsidR="00C1525B">
        <w:t xml:space="preserve"> </w:t>
      </w:r>
    </w:p>
  </w:footnote>
  <w:footnote w:id="6">
    <w:p w:rsidR="00D94415" w:rsidRPr="00D94415" w:rsidRDefault="00D94415">
      <w:pPr>
        <w:pStyle w:val="FootnoteText"/>
      </w:pPr>
      <w:r>
        <w:rPr>
          <w:rStyle w:val="FootnoteReference"/>
        </w:rPr>
        <w:footnoteRef/>
      </w:r>
      <w:r>
        <w:t xml:space="preserve"> In support of this position, Kemp cites </w:t>
      </w:r>
      <w:r w:rsidR="00124A1D" w:rsidRPr="00E62BAF">
        <w:rPr>
          <w:i/>
        </w:rPr>
        <w:t>Policies to Promote Rural Radio Service and to Streamline Allotment and Assignment Procedures</w:t>
      </w:r>
      <w:r>
        <w:rPr>
          <w:i/>
        </w:rPr>
        <w:t xml:space="preserve">, </w:t>
      </w:r>
      <w:r w:rsidR="00124A1D">
        <w:t xml:space="preserve">Second Report and Order, </w:t>
      </w:r>
      <w:r>
        <w:t xml:space="preserve">26 FCC Rcd </w:t>
      </w:r>
      <w:r w:rsidR="00124A1D" w:rsidRPr="00124A1D">
        <w:t xml:space="preserve">2556, </w:t>
      </w:r>
      <w:r>
        <w:t xml:space="preserve"> 2577</w:t>
      </w:r>
      <w:r w:rsidR="00B57493">
        <w:t xml:space="preserve"> (¶ 39)</w:t>
      </w:r>
      <w:r w:rsidR="00124A1D" w:rsidRPr="00124A1D">
        <w:t xml:space="preserve"> (2011)</w:t>
      </w:r>
      <w:r w:rsidR="00E62BAF">
        <w:t xml:space="preserve"> </w:t>
      </w:r>
      <w:r>
        <w:t>(requiring “applicants not only to set forth the size of the populations gaining and losing service under the proposal, but also the numbers of services those populations will receive if the application is granted, and an explanation as to how the proposal advances the revised Section 307(b) priorities</w:t>
      </w:r>
      <w:r w:rsidR="006F5B45">
        <w:t>”)</w:t>
      </w:r>
      <w:r>
        <w:t>.</w:t>
      </w:r>
    </w:p>
  </w:footnote>
  <w:footnote w:id="7">
    <w:p w:rsidR="000A092A" w:rsidRPr="00856C3B" w:rsidRDefault="000A092A">
      <w:pPr>
        <w:pStyle w:val="FootnoteText"/>
      </w:pPr>
      <w:r>
        <w:rPr>
          <w:rStyle w:val="FootnoteReference"/>
        </w:rPr>
        <w:footnoteRef/>
      </w:r>
      <w:r>
        <w:t xml:space="preserve"> </w:t>
      </w:r>
      <w:r w:rsidR="008E5B65">
        <w:rPr>
          <w:i/>
        </w:rPr>
        <w:t xml:space="preserve">See </w:t>
      </w:r>
      <w:r w:rsidR="00560616">
        <w:rPr>
          <w:i/>
        </w:rPr>
        <w:t>Policies to Promote Rural Radio Service and to Streamline Allotment and Assignment Procedures</w:t>
      </w:r>
      <w:r w:rsidR="008E5B65">
        <w:rPr>
          <w:i/>
        </w:rPr>
        <w:t>,</w:t>
      </w:r>
      <w:r w:rsidR="00560616">
        <w:rPr>
          <w:i/>
        </w:rPr>
        <w:t xml:space="preserve"> </w:t>
      </w:r>
      <w:r w:rsidR="00560616">
        <w:t>Second Order on Reconsideration, 27 FCC Rcd 12829, 12841</w:t>
      </w:r>
      <w:r w:rsidR="008E5B65">
        <w:t xml:space="preserve"> (¶ 19)</w:t>
      </w:r>
      <w:r w:rsidR="00E62BAF">
        <w:t xml:space="preserve"> </w:t>
      </w:r>
      <w:r w:rsidR="00124A1D">
        <w:t>(2012)</w:t>
      </w:r>
      <w:r w:rsidR="00EE4639">
        <w:t xml:space="preserve"> (“</w:t>
      </w:r>
      <w:r w:rsidR="00EE4639" w:rsidRPr="00974C65">
        <w:rPr>
          <w:i/>
        </w:rPr>
        <w:t>Second Order</w:t>
      </w:r>
      <w:r w:rsidR="00EE4639">
        <w:t>”)</w:t>
      </w:r>
      <w:r w:rsidR="008E5B65">
        <w:t>.</w:t>
      </w:r>
      <w:r w:rsidR="00856C3B">
        <w:t xml:space="preserve">  We note that Kemp’s AFR cited only the initial order in </w:t>
      </w:r>
      <w:r w:rsidR="00856C3B">
        <w:rPr>
          <w:i/>
        </w:rPr>
        <w:t>Rural Radio</w:t>
      </w:r>
      <w:r w:rsidR="00856C3B">
        <w:t xml:space="preserve"> and did not take into account the Commission’s subsequent clarification </w:t>
      </w:r>
      <w:r w:rsidR="00AA1BA6">
        <w:t xml:space="preserve">in the </w:t>
      </w:r>
      <w:r w:rsidR="00AA1BA6" w:rsidRPr="00974C65">
        <w:rPr>
          <w:i/>
        </w:rPr>
        <w:t>Second Order</w:t>
      </w:r>
      <w:r w:rsidR="00AA1BA6">
        <w:t xml:space="preserve"> </w:t>
      </w:r>
      <w:r w:rsidR="004946FC">
        <w:t xml:space="preserve">of </w:t>
      </w:r>
      <w:r w:rsidR="00856C3B">
        <w:t>“intra-urbanized area move</w:t>
      </w:r>
      <w:r w:rsidR="004F2C07">
        <w:t>[</w:t>
      </w:r>
      <w:r w:rsidR="00856C3B">
        <w:t>s</w:t>
      </w:r>
      <w:r w:rsidR="004F2C07">
        <w:t>]</w:t>
      </w:r>
      <w:r w:rsidR="00856C3B">
        <w:t xml:space="preserve">,” which </w:t>
      </w:r>
      <w:r w:rsidR="008E1CD5">
        <w:t xml:space="preserve">was released more than </w:t>
      </w:r>
      <w:r w:rsidR="00856C3B">
        <w:t xml:space="preserve">a year before the filing of the AFR.     </w:t>
      </w:r>
    </w:p>
  </w:footnote>
  <w:footnote w:id="8">
    <w:p w:rsidR="00657AE1" w:rsidRDefault="00657AE1">
      <w:pPr>
        <w:pStyle w:val="FootnoteText"/>
      </w:pPr>
      <w:r>
        <w:rPr>
          <w:rStyle w:val="FootnoteReference"/>
        </w:rPr>
        <w:footnoteRef/>
      </w:r>
      <w:r>
        <w:t xml:space="preserve"> Although 40 persons would be left with three services and 279 persons would be left with four services, the total population left with fewer than five services (319) is approximately 0.002 percent of the population within the Station’s current protected contour (1,456,187) and is far less than the 15 percent benchmark that the Commission established for determining whether such services losses would </w:t>
      </w:r>
      <w:r w:rsidR="00FD190B">
        <w:t>not b</w:t>
      </w:r>
      <w:r>
        <w:t xml:space="preserve">e </w:t>
      </w:r>
      <w:r w:rsidR="00FD190B">
        <w:t xml:space="preserve">in </w:t>
      </w:r>
      <w:r>
        <w:t xml:space="preserve">the public interest.  </w:t>
      </w:r>
      <w:r>
        <w:rPr>
          <w:i/>
        </w:rPr>
        <w:t xml:space="preserve">See Letter Decision, </w:t>
      </w:r>
      <w:r>
        <w:t xml:space="preserve">28 FCC Rcd at </w:t>
      </w:r>
      <w:r w:rsidR="00CC0AC0">
        <w:t xml:space="preserve">151, </w:t>
      </w:r>
      <w:r w:rsidR="00CC0AC0">
        <w:rPr>
          <w:i/>
        </w:rPr>
        <w:t xml:space="preserve">citing Rural Radio, </w:t>
      </w:r>
      <w:r w:rsidR="00CC0AC0">
        <w:t xml:space="preserve">26 FCC Rcd at 2577.  </w:t>
      </w:r>
      <w:r w:rsidR="00FC05D7">
        <w:t>We also clarify that in some cases of intra-urbanized area moves,</w:t>
      </w:r>
      <w:r w:rsidR="00502714">
        <w:t xml:space="preserve"> such as the instant </w:t>
      </w:r>
      <w:r w:rsidR="002A5181">
        <w:t>one</w:t>
      </w:r>
      <w:r w:rsidR="00502714">
        <w:t>,</w:t>
      </w:r>
      <w:r w:rsidR="00FC05D7">
        <w:t xml:space="preserve"> there may be a lack of </w:t>
      </w:r>
      <w:r w:rsidR="00502714">
        <w:t>third, fourth, or fifth reception services to some areas or populations within the gain or loss areas.  While these situations are likely to be rare, we will undertake a granular analysis with respect to th</w:t>
      </w:r>
      <w:r w:rsidR="00D10DE3">
        <w:t>ose</w:t>
      </w:r>
      <w:r w:rsidR="00502714">
        <w:t xml:space="preserve"> underserved areas </w:t>
      </w:r>
      <w:r w:rsidR="00D10DE3">
        <w:t xml:space="preserve">and populations in accord with </w:t>
      </w:r>
      <w:r w:rsidR="00D10DE3">
        <w:rPr>
          <w:i/>
        </w:rPr>
        <w:t>Rural Radio</w:t>
      </w:r>
      <w:r w:rsidR="00237D00">
        <w:rPr>
          <w:i/>
        </w:rPr>
        <w:t xml:space="preserve">, </w:t>
      </w:r>
      <w:r w:rsidR="00237D00">
        <w:t>for the purpose of determining whether the 15 percent benchmark has been exceeded.</w:t>
      </w:r>
      <w:r w:rsidR="00D10DE3">
        <w:t xml:space="preserve">  </w:t>
      </w:r>
      <w:r w:rsidR="002A5181">
        <w:t>However, a granular analysis is not necessary in the other portions of the gain or loss areas that are considered “well served” with more than five services.</w:t>
      </w:r>
      <w:r w:rsidR="00D10DE3">
        <w:t xml:space="preserve">   </w:t>
      </w:r>
      <w:r w:rsidR="00502714">
        <w:t xml:space="preserve">  </w:t>
      </w:r>
      <w:r w:rsidR="00D10DE3">
        <w:t xml:space="preserve"> </w:t>
      </w:r>
      <w:r w:rsidR="00502714">
        <w:t xml:space="preserve">  </w:t>
      </w:r>
      <w:r w:rsidR="00FC05D7">
        <w:t xml:space="preserve"> </w:t>
      </w:r>
    </w:p>
  </w:footnote>
  <w:footnote w:id="9">
    <w:p w:rsidR="00D21D16" w:rsidRPr="00A0591E" w:rsidRDefault="00D21D16" w:rsidP="00D21D16">
      <w:pPr>
        <w:pStyle w:val="FootnoteText"/>
      </w:pPr>
      <w:r>
        <w:rPr>
          <w:rStyle w:val="FootnoteReference"/>
        </w:rPr>
        <w:footnoteRef/>
      </w:r>
      <w:r>
        <w:t xml:space="preserve"> As a related matter, Kemp argues that</w:t>
      </w:r>
      <w:r w:rsidR="00302EFB">
        <w:t xml:space="preserve"> </w:t>
      </w:r>
      <w:r w:rsidR="00302EFB">
        <w:rPr>
          <w:i/>
        </w:rPr>
        <w:t>Gearhart</w:t>
      </w:r>
      <w:r w:rsidR="00302EFB">
        <w:t>,</w:t>
      </w:r>
      <w:r w:rsidR="00E55D40">
        <w:t xml:space="preserve"> </w:t>
      </w:r>
      <w:r w:rsidR="00E55D40">
        <w:rPr>
          <w:i/>
        </w:rPr>
        <w:t xml:space="preserve">Madras, et al., Oregon, </w:t>
      </w:r>
      <w:r w:rsidR="00E55D40">
        <w:t xml:space="preserve">Report and Order, </w:t>
      </w:r>
      <w:r w:rsidR="00EE4639">
        <w:t>26</w:t>
      </w:r>
      <w:r w:rsidR="00E55D40">
        <w:t xml:space="preserve"> FCC Rcd 10259 (MB 2011) (“</w:t>
      </w:r>
      <w:r w:rsidR="00E55D40">
        <w:rPr>
          <w:i/>
        </w:rPr>
        <w:t>Gearhart</w:t>
      </w:r>
      <w:r w:rsidR="00E55D40">
        <w:t>”),</w:t>
      </w:r>
      <w:r w:rsidR="00302EFB">
        <w:t xml:space="preserve"> which the Bureau relied upon in the </w:t>
      </w:r>
      <w:r w:rsidR="00302EFB">
        <w:rPr>
          <w:i/>
        </w:rPr>
        <w:t xml:space="preserve">Reconsideration Decision, </w:t>
      </w:r>
      <w:r w:rsidR="00302EFB">
        <w:t>was improperly decided.</w:t>
      </w:r>
      <w:r w:rsidR="00302EFB">
        <w:rPr>
          <w:i/>
        </w:rPr>
        <w:t xml:space="preserve"> </w:t>
      </w:r>
      <w:r>
        <w:t xml:space="preserve"> </w:t>
      </w:r>
      <w:r>
        <w:rPr>
          <w:i/>
        </w:rPr>
        <w:t xml:space="preserve">See </w:t>
      </w:r>
      <w:r>
        <w:t xml:space="preserve">Kemp Reply at 2-3.  We disagree.  First, it is too late to seek reconsideration of </w:t>
      </w:r>
      <w:r>
        <w:rPr>
          <w:i/>
        </w:rPr>
        <w:t>Gearhart</w:t>
      </w:r>
      <w:r>
        <w:t xml:space="preserve"> because the time period for filing petitions for reconsideration has passed.  Second, the Commission </w:t>
      </w:r>
      <w:r w:rsidR="008E1CD5">
        <w:t xml:space="preserve">cited with approval </w:t>
      </w:r>
      <w:r>
        <w:rPr>
          <w:i/>
        </w:rPr>
        <w:t>Gearhart</w:t>
      </w:r>
      <w:r>
        <w:t xml:space="preserve"> in establishing the standard </w:t>
      </w:r>
      <w:r w:rsidR="00FD190B">
        <w:t xml:space="preserve">for evaluating </w:t>
      </w:r>
      <w:r>
        <w:t xml:space="preserve">intra-urbanized area moves under Priority 4.  </w:t>
      </w:r>
      <w:r>
        <w:rPr>
          <w:i/>
        </w:rPr>
        <w:t xml:space="preserve">See Second Order, </w:t>
      </w:r>
      <w:r>
        <w:t xml:space="preserve">27 FCC Rcd at 12841 n.78.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73" w:rsidRDefault="00C45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E595C">
      <w:t>FCC 15-86</w:t>
    </w:r>
  </w:p>
  <w:p w:rsidR="00D25FB5" w:rsidRDefault="004219E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F296824" wp14:editId="028D04A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AAEE1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219EB"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6F8FAEB" wp14:editId="48BF11A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40A67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E595C">
      <w:t>FCC 15-86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EB"/>
    <w:rsid w:val="00003A16"/>
    <w:rsid w:val="0000653A"/>
    <w:rsid w:val="000167D8"/>
    <w:rsid w:val="000311F4"/>
    <w:rsid w:val="00036039"/>
    <w:rsid w:val="00037F90"/>
    <w:rsid w:val="00047973"/>
    <w:rsid w:val="00055351"/>
    <w:rsid w:val="00057BB2"/>
    <w:rsid w:val="00067FEE"/>
    <w:rsid w:val="00082406"/>
    <w:rsid w:val="000875BF"/>
    <w:rsid w:val="000905EC"/>
    <w:rsid w:val="00096D8C"/>
    <w:rsid w:val="000A092A"/>
    <w:rsid w:val="000B0618"/>
    <w:rsid w:val="000C0B65"/>
    <w:rsid w:val="000C7323"/>
    <w:rsid w:val="000C7A0C"/>
    <w:rsid w:val="000E0272"/>
    <w:rsid w:val="000E05FE"/>
    <w:rsid w:val="000E09F1"/>
    <w:rsid w:val="000E3D42"/>
    <w:rsid w:val="000E4491"/>
    <w:rsid w:val="000E5147"/>
    <w:rsid w:val="000E53DA"/>
    <w:rsid w:val="000F10A3"/>
    <w:rsid w:val="000F2DB1"/>
    <w:rsid w:val="000F34E1"/>
    <w:rsid w:val="000F7557"/>
    <w:rsid w:val="00112EF0"/>
    <w:rsid w:val="00113484"/>
    <w:rsid w:val="00122BD5"/>
    <w:rsid w:val="00124A1D"/>
    <w:rsid w:val="00126D61"/>
    <w:rsid w:val="00127441"/>
    <w:rsid w:val="00133F79"/>
    <w:rsid w:val="00140264"/>
    <w:rsid w:val="001410E9"/>
    <w:rsid w:val="0016149A"/>
    <w:rsid w:val="00194A66"/>
    <w:rsid w:val="001963F0"/>
    <w:rsid w:val="00197922"/>
    <w:rsid w:val="001A457C"/>
    <w:rsid w:val="001A6348"/>
    <w:rsid w:val="001D6BCF"/>
    <w:rsid w:val="001E01CA"/>
    <w:rsid w:val="001E3848"/>
    <w:rsid w:val="00204331"/>
    <w:rsid w:val="00212C36"/>
    <w:rsid w:val="00236375"/>
    <w:rsid w:val="00237D00"/>
    <w:rsid w:val="00237DB8"/>
    <w:rsid w:val="00254831"/>
    <w:rsid w:val="00254AC6"/>
    <w:rsid w:val="00264054"/>
    <w:rsid w:val="00272452"/>
    <w:rsid w:val="00275CF5"/>
    <w:rsid w:val="00276DCC"/>
    <w:rsid w:val="0028145A"/>
    <w:rsid w:val="00281FB5"/>
    <w:rsid w:val="00282DD9"/>
    <w:rsid w:val="0028301F"/>
    <w:rsid w:val="00283D4C"/>
    <w:rsid w:val="00285017"/>
    <w:rsid w:val="002854EE"/>
    <w:rsid w:val="0029199D"/>
    <w:rsid w:val="002934E4"/>
    <w:rsid w:val="00296799"/>
    <w:rsid w:val="002977CF"/>
    <w:rsid w:val="002A0434"/>
    <w:rsid w:val="002A2D2E"/>
    <w:rsid w:val="002A5181"/>
    <w:rsid w:val="002B18F2"/>
    <w:rsid w:val="002B671F"/>
    <w:rsid w:val="002C00E8"/>
    <w:rsid w:val="002C2B0F"/>
    <w:rsid w:val="002D0503"/>
    <w:rsid w:val="002E5C95"/>
    <w:rsid w:val="002F2852"/>
    <w:rsid w:val="00302EFB"/>
    <w:rsid w:val="00304093"/>
    <w:rsid w:val="00316492"/>
    <w:rsid w:val="00317DC9"/>
    <w:rsid w:val="003235A2"/>
    <w:rsid w:val="00327829"/>
    <w:rsid w:val="003279EA"/>
    <w:rsid w:val="00340B6D"/>
    <w:rsid w:val="00343749"/>
    <w:rsid w:val="00347B05"/>
    <w:rsid w:val="00364C25"/>
    <w:rsid w:val="003660ED"/>
    <w:rsid w:val="00370ADA"/>
    <w:rsid w:val="00385B9D"/>
    <w:rsid w:val="00386899"/>
    <w:rsid w:val="003871BB"/>
    <w:rsid w:val="003B0550"/>
    <w:rsid w:val="003B694F"/>
    <w:rsid w:val="003B7B04"/>
    <w:rsid w:val="003F171C"/>
    <w:rsid w:val="004006B7"/>
    <w:rsid w:val="00407C9E"/>
    <w:rsid w:val="00412FC5"/>
    <w:rsid w:val="00413383"/>
    <w:rsid w:val="0041536B"/>
    <w:rsid w:val="004219EB"/>
    <w:rsid w:val="00422276"/>
    <w:rsid w:val="004242F1"/>
    <w:rsid w:val="00445A00"/>
    <w:rsid w:val="00450DE0"/>
    <w:rsid w:val="00451B0F"/>
    <w:rsid w:val="00455E4C"/>
    <w:rsid w:val="00457710"/>
    <w:rsid w:val="00466B69"/>
    <w:rsid w:val="004946FC"/>
    <w:rsid w:val="00496F97"/>
    <w:rsid w:val="004B120B"/>
    <w:rsid w:val="004C2EE3"/>
    <w:rsid w:val="004C324D"/>
    <w:rsid w:val="004C5545"/>
    <w:rsid w:val="004E4A22"/>
    <w:rsid w:val="004F2C07"/>
    <w:rsid w:val="00501D1A"/>
    <w:rsid w:val="00502714"/>
    <w:rsid w:val="00511968"/>
    <w:rsid w:val="005333CD"/>
    <w:rsid w:val="00534D3A"/>
    <w:rsid w:val="0054727C"/>
    <w:rsid w:val="0055614C"/>
    <w:rsid w:val="00560616"/>
    <w:rsid w:val="00563733"/>
    <w:rsid w:val="0056695E"/>
    <w:rsid w:val="00571383"/>
    <w:rsid w:val="00575BC8"/>
    <w:rsid w:val="00595185"/>
    <w:rsid w:val="005A5C8D"/>
    <w:rsid w:val="005B44CE"/>
    <w:rsid w:val="005C1501"/>
    <w:rsid w:val="005C2E0E"/>
    <w:rsid w:val="005C4302"/>
    <w:rsid w:val="005C5478"/>
    <w:rsid w:val="005D0F3B"/>
    <w:rsid w:val="005D66C8"/>
    <w:rsid w:val="005D6EB3"/>
    <w:rsid w:val="005E14C2"/>
    <w:rsid w:val="005F2987"/>
    <w:rsid w:val="00602D6A"/>
    <w:rsid w:val="00607BA5"/>
    <w:rsid w:val="0061180A"/>
    <w:rsid w:val="00626EB6"/>
    <w:rsid w:val="00632D6C"/>
    <w:rsid w:val="006358F5"/>
    <w:rsid w:val="00640351"/>
    <w:rsid w:val="0064233A"/>
    <w:rsid w:val="00655D03"/>
    <w:rsid w:val="006562E6"/>
    <w:rsid w:val="00657AE1"/>
    <w:rsid w:val="00662E3E"/>
    <w:rsid w:val="00683388"/>
    <w:rsid w:val="00683F84"/>
    <w:rsid w:val="006941EE"/>
    <w:rsid w:val="006A037B"/>
    <w:rsid w:val="006A3AFC"/>
    <w:rsid w:val="006A4F33"/>
    <w:rsid w:val="006A6A81"/>
    <w:rsid w:val="006F47CD"/>
    <w:rsid w:val="006F5728"/>
    <w:rsid w:val="006F5B45"/>
    <w:rsid w:val="006F7393"/>
    <w:rsid w:val="007002DD"/>
    <w:rsid w:val="00701249"/>
    <w:rsid w:val="0070224F"/>
    <w:rsid w:val="007115F7"/>
    <w:rsid w:val="00717A9E"/>
    <w:rsid w:val="00724195"/>
    <w:rsid w:val="00742F71"/>
    <w:rsid w:val="00744C29"/>
    <w:rsid w:val="0074722E"/>
    <w:rsid w:val="007503BF"/>
    <w:rsid w:val="007505F0"/>
    <w:rsid w:val="00751C65"/>
    <w:rsid w:val="007539D1"/>
    <w:rsid w:val="00763F4C"/>
    <w:rsid w:val="00781DAF"/>
    <w:rsid w:val="0078345D"/>
    <w:rsid w:val="00785689"/>
    <w:rsid w:val="0079754B"/>
    <w:rsid w:val="007A1E6D"/>
    <w:rsid w:val="007A3A44"/>
    <w:rsid w:val="007B0EB2"/>
    <w:rsid w:val="007B5A63"/>
    <w:rsid w:val="007E2729"/>
    <w:rsid w:val="007F0652"/>
    <w:rsid w:val="007F1126"/>
    <w:rsid w:val="007F2543"/>
    <w:rsid w:val="00810B6F"/>
    <w:rsid w:val="00813F3F"/>
    <w:rsid w:val="00822CE0"/>
    <w:rsid w:val="008330C8"/>
    <w:rsid w:val="00841AB1"/>
    <w:rsid w:val="00846153"/>
    <w:rsid w:val="00856C3B"/>
    <w:rsid w:val="00864B1E"/>
    <w:rsid w:val="0087355B"/>
    <w:rsid w:val="00883EE4"/>
    <w:rsid w:val="00887303"/>
    <w:rsid w:val="008876D6"/>
    <w:rsid w:val="008A0C6F"/>
    <w:rsid w:val="008A1610"/>
    <w:rsid w:val="008C68F1"/>
    <w:rsid w:val="008E1CD5"/>
    <w:rsid w:val="008E5B65"/>
    <w:rsid w:val="008F47FD"/>
    <w:rsid w:val="00906ADE"/>
    <w:rsid w:val="00912692"/>
    <w:rsid w:val="00915B55"/>
    <w:rsid w:val="00921803"/>
    <w:rsid w:val="009233EF"/>
    <w:rsid w:val="00926503"/>
    <w:rsid w:val="00930CB7"/>
    <w:rsid w:val="00937F36"/>
    <w:rsid w:val="00954E37"/>
    <w:rsid w:val="009617FB"/>
    <w:rsid w:val="0096456E"/>
    <w:rsid w:val="00965C3E"/>
    <w:rsid w:val="00970BD6"/>
    <w:rsid w:val="00971D2F"/>
    <w:rsid w:val="009726D8"/>
    <w:rsid w:val="00974C65"/>
    <w:rsid w:val="0097549B"/>
    <w:rsid w:val="00994BD3"/>
    <w:rsid w:val="00996685"/>
    <w:rsid w:val="009B255A"/>
    <w:rsid w:val="009B7161"/>
    <w:rsid w:val="009B7728"/>
    <w:rsid w:val="009C7B3C"/>
    <w:rsid w:val="009D5753"/>
    <w:rsid w:val="009E6B71"/>
    <w:rsid w:val="009F44EA"/>
    <w:rsid w:val="009F48A8"/>
    <w:rsid w:val="009F540B"/>
    <w:rsid w:val="009F76DB"/>
    <w:rsid w:val="00A0591E"/>
    <w:rsid w:val="00A32C3B"/>
    <w:rsid w:val="00A45F4F"/>
    <w:rsid w:val="00A54D00"/>
    <w:rsid w:val="00A54EA6"/>
    <w:rsid w:val="00A55602"/>
    <w:rsid w:val="00A600A9"/>
    <w:rsid w:val="00A80271"/>
    <w:rsid w:val="00A81C45"/>
    <w:rsid w:val="00A91F63"/>
    <w:rsid w:val="00A96455"/>
    <w:rsid w:val="00AA1BA6"/>
    <w:rsid w:val="00AA55B7"/>
    <w:rsid w:val="00AA5777"/>
    <w:rsid w:val="00AA5B4C"/>
    <w:rsid w:val="00AA5B9E"/>
    <w:rsid w:val="00AA7D2C"/>
    <w:rsid w:val="00AB2407"/>
    <w:rsid w:val="00AB53DF"/>
    <w:rsid w:val="00AB5FDA"/>
    <w:rsid w:val="00AC6D46"/>
    <w:rsid w:val="00AE19F4"/>
    <w:rsid w:val="00AF5B83"/>
    <w:rsid w:val="00B0299D"/>
    <w:rsid w:val="00B07E5C"/>
    <w:rsid w:val="00B10B72"/>
    <w:rsid w:val="00B139C4"/>
    <w:rsid w:val="00B211BB"/>
    <w:rsid w:val="00B527C3"/>
    <w:rsid w:val="00B54E64"/>
    <w:rsid w:val="00B57493"/>
    <w:rsid w:val="00B57EE0"/>
    <w:rsid w:val="00B71794"/>
    <w:rsid w:val="00B73041"/>
    <w:rsid w:val="00B811F7"/>
    <w:rsid w:val="00BA1C91"/>
    <w:rsid w:val="00BA5DC6"/>
    <w:rsid w:val="00BA6196"/>
    <w:rsid w:val="00BB326B"/>
    <w:rsid w:val="00BB54B7"/>
    <w:rsid w:val="00BC10B7"/>
    <w:rsid w:val="00BC6D8C"/>
    <w:rsid w:val="00BC71EF"/>
    <w:rsid w:val="00BE04C4"/>
    <w:rsid w:val="00C04866"/>
    <w:rsid w:val="00C1525B"/>
    <w:rsid w:val="00C34006"/>
    <w:rsid w:val="00C3439F"/>
    <w:rsid w:val="00C37175"/>
    <w:rsid w:val="00C3767A"/>
    <w:rsid w:val="00C426B1"/>
    <w:rsid w:val="00C45673"/>
    <w:rsid w:val="00C53356"/>
    <w:rsid w:val="00C56451"/>
    <w:rsid w:val="00C61F73"/>
    <w:rsid w:val="00C66160"/>
    <w:rsid w:val="00C721AC"/>
    <w:rsid w:val="00C83896"/>
    <w:rsid w:val="00C84C95"/>
    <w:rsid w:val="00C85B5C"/>
    <w:rsid w:val="00C8647D"/>
    <w:rsid w:val="00C86ACB"/>
    <w:rsid w:val="00C90D6A"/>
    <w:rsid w:val="00CA247E"/>
    <w:rsid w:val="00CB4B31"/>
    <w:rsid w:val="00CC0AC0"/>
    <w:rsid w:val="00CC72B6"/>
    <w:rsid w:val="00CD2407"/>
    <w:rsid w:val="00CF3017"/>
    <w:rsid w:val="00D00486"/>
    <w:rsid w:val="00D0218D"/>
    <w:rsid w:val="00D04950"/>
    <w:rsid w:val="00D06A96"/>
    <w:rsid w:val="00D10DE3"/>
    <w:rsid w:val="00D170EC"/>
    <w:rsid w:val="00D21D16"/>
    <w:rsid w:val="00D25FB5"/>
    <w:rsid w:val="00D263C7"/>
    <w:rsid w:val="00D34036"/>
    <w:rsid w:val="00D37ABC"/>
    <w:rsid w:val="00D4412A"/>
    <w:rsid w:val="00D44223"/>
    <w:rsid w:val="00D53A29"/>
    <w:rsid w:val="00D66B63"/>
    <w:rsid w:val="00D94415"/>
    <w:rsid w:val="00DA2529"/>
    <w:rsid w:val="00DB1207"/>
    <w:rsid w:val="00DB130A"/>
    <w:rsid w:val="00DB2EBB"/>
    <w:rsid w:val="00DB4778"/>
    <w:rsid w:val="00DC10A1"/>
    <w:rsid w:val="00DC655F"/>
    <w:rsid w:val="00DD0B59"/>
    <w:rsid w:val="00DD3EDC"/>
    <w:rsid w:val="00DD7EBD"/>
    <w:rsid w:val="00DE595C"/>
    <w:rsid w:val="00DE72F0"/>
    <w:rsid w:val="00DF62B6"/>
    <w:rsid w:val="00E0526A"/>
    <w:rsid w:val="00E07225"/>
    <w:rsid w:val="00E16515"/>
    <w:rsid w:val="00E322B2"/>
    <w:rsid w:val="00E34A9E"/>
    <w:rsid w:val="00E4128F"/>
    <w:rsid w:val="00E5409F"/>
    <w:rsid w:val="00E55D40"/>
    <w:rsid w:val="00E61D1C"/>
    <w:rsid w:val="00E62BAF"/>
    <w:rsid w:val="00E776B1"/>
    <w:rsid w:val="00E8249B"/>
    <w:rsid w:val="00E927C7"/>
    <w:rsid w:val="00EA3A6C"/>
    <w:rsid w:val="00EB4D12"/>
    <w:rsid w:val="00EC41D9"/>
    <w:rsid w:val="00ED6102"/>
    <w:rsid w:val="00EE4639"/>
    <w:rsid w:val="00EE6488"/>
    <w:rsid w:val="00F021FA"/>
    <w:rsid w:val="00F52AE7"/>
    <w:rsid w:val="00F62E97"/>
    <w:rsid w:val="00F64209"/>
    <w:rsid w:val="00F82BED"/>
    <w:rsid w:val="00F914FC"/>
    <w:rsid w:val="00F91530"/>
    <w:rsid w:val="00F93BF5"/>
    <w:rsid w:val="00F96506"/>
    <w:rsid w:val="00F969FE"/>
    <w:rsid w:val="00FA6309"/>
    <w:rsid w:val="00FA7A81"/>
    <w:rsid w:val="00FB2BD0"/>
    <w:rsid w:val="00FC05D7"/>
    <w:rsid w:val="00FC5DB3"/>
    <w:rsid w:val="00FD190B"/>
    <w:rsid w:val="00FD2252"/>
    <w:rsid w:val="00FD26EE"/>
    <w:rsid w:val="00FD2DC9"/>
    <w:rsid w:val="00FD2FBE"/>
    <w:rsid w:val="00FD5A14"/>
    <w:rsid w:val="00FE4F2B"/>
    <w:rsid w:val="00FF4AE1"/>
    <w:rsid w:val="00FF554B"/>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C8"/>
    <w:pPr>
      <w:widowControl w:val="0"/>
    </w:pPr>
    <w:rPr>
      <w:snapToGrid w:val="0"/>
      <w:kern w:val="28"/>
      <w:sz w:val="22"/>
    </w:rPr>
  </w:style>
  <w:style w:type="paragraph" w:styleId="Heading1">
    <w:name w:val="heading 1"/>
    <w:basedOn w:val="Normal"/>
    <w:next w:val="ParaNum"/>
    <w:qFormat/>
    <w:rsid w:val="005D66C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66C8"/>
    <w:pPr>
      <w:keepNext/>
      <w:numPr>
        <w:ilvl w:val="1"/>
        <w:numId w:val="3"/>
      </w:numPr>
      <w:spacing w:after="120"/>
      <w:outlineLvl w:val="1"/>
    </w:pPr>
    <w:rPr>
      <w:b/>
    </w:rPr>
  </w:style>
  <w:style w:type="paragraph" w:styleId="Heading3">
    <w:name w:val="heading 3"/>
    <w:basedOn w:val="Normal"/>
    <w:next w:val="ParaNum"/>
    <w:qFormat/>
    <w:rsid w:val="005D66C8"/>
    <w:pPr>
      <w:keepNext/>
      <w:numPr>
        <w:ilvl w:val="2"/>
        <w:numId w:val="3"/>
      </w:numPr>
      <w:tabs>
        <w:tab w:val="left" w:pos="2160"/>
      </w:tabs>
      <w:spacing w:after="120"/>
      <w:outlineLvl w:val="2"/>
    </w:pPr>
    <w:rPr>
      <w:b/>
    </w:rPr>
  </w:style>
  <w:style w:type="paragraph" w:styleId="Heading4">
    <w:name w:val="heading 4"/>
    <w:basedOn w:val="Normal"/>
    <w:next w:val="ParaNum"/>
    <w:qFormat/>
    <w:rsid w:val="005D66C8"/>
    <w:pPr>
      <w:keepNext/>
      <w:numPr>
        <w:ilvl w:val="3"/>
        <w:numId w:val="3"/>
      </w:numPr>
      <w:tabs>
        <w:tab w:val="left" w:pos="2880"/>
      </w:tabs>
      <w:spacing w:after="120"/>
      <w:outlineLvl w:val="3"/>
    </w:pPr>
    <w:rPr>
      <w:b/>
    </w:rPr>
  </w:style>
  <w:style w:type="paragraph" w:styleId="Heading5">
    <w:name w:val="heading 5"/>
    <w:basedOn w:val="Normal"/>
    <w:next w:val="ParaNum"/>
    <w:qFormat/>
    <w:rsid w:val="005D66C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66C8"/>
    <w:pPr>
      <w:numPr>
        <w:ilvl w:val="5"/>
        <w:numId w:val="3"/>
      </w:numPr>
      <w:tabs>
        <w:tab w:val="left" w:pos="4320"/>
      </w:tabs>
      <w:spacing w:after="120"/>
      <w:outlineLvl w:val="5"/>
    </w:pPr>
    <w:rPr>
      <w:b/>
    </w:rPr>
  </w:style>
  <w:style w:type="paragraph" w:styleId="Heading7">
    <w:name w:val="heading 7"/>
    <w:basedOn w:val="Normal"/>
    <w:next w:val="ParaNum"/>
    <w:qFormat/>
    <w:rsid w:val="005D66C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66C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66C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66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6C8"/>
  </w:style>
  <w:style w:type="paragraph" w:customStyle="1" w:styleId="ParaNum">
    <w:name w:val="ParaNum"/>
    <w:basedOn w:val="Normal"/>
    <w:rsid w:val="005D66C8"/>
    <w:pPr>
      <w:numPr>
        <w:numId w:val="2"/>
      </w:numPr>
      <w:tabs>
        <w:tab w:val="clear" w:pos="1080"/>
        <w:tab w:val="num" w:pos="1440"/>
      </w:tabs>
      <w:spacing w:after="120"/>
    </w:pPr>
  </w:style>
  <w:style w:type="paragraph" w:styleId="EndnoteText">
    <w:name w:val="endnote text"/>
    <w:basedOn w:val="Normal"/>
    <w:semiHidden/>
    <w:rsid w:val="005D66C8"/>
    <w:rPr>
      <w:sz w:val="20"/>
    </w:rPr>
  </w:style>
  <w:style w:type="character" w:styleId="EndnoteReference">
    <w:name w:val="endnote reference"/>
    <w:semiHidden/>
    <w:rsid w:val="005D66C8"/>
    <w:rPr>
      <w:vertAlign w:val="superscript"/>
    </w:rPr>
  </w:style>
  <w:style w:type="paragraph" w:styleId="FootnoteText">
    <w:name w:val="footnote text"/>
    <w:link w:val="FootnoteTextChar"/>
    <w:rsid w:val="005D66C8"/>
    <w:pPr>
      <w:spacing w:after="120"/>
    </w:pPr>
  </w:style>
  <w:style w:type="character" w:styleId="FootnoteReference">
    <w:name w:val="footnote reference"/>
    <w:rsid w:val="005D66C8"/>
    <w:rPr>
      <w:rFonts w:ascii="Times New Roman" w:hAnsi="Times New Roman"/>
      <w:dstrike w:val="0"/>
      <w:color w:val="auto"/>
      <w:sz w:val="20"/>
      <w:vertAlign w:val="superscript"/>
    </w:rPr>
  </w:style>
  <w:style w:type="paragraph" w:styleId="TOC1">
    <w:name w:val="toc 1"/>
    <w:basedOn w:val="Normal"/>
    <w:next w:val="Normal"/>
    <w:semiHidden/>
    <w:rsid w:val="005D66C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66C8"/>
    <w:pPr>
      <w:tabs>
        <w:tab w:val="left" w:pos="720"/>
        <w:tab w:val="right" w:leader="dot" w:pos="9360"/>
      </w:tabs>
      <w:suppressAutoHyphens/>
      <w:ind w:left="720" w:right="720" w:hanging="360"/>
    </w:pPr>
    <w:rPr>
      <w:noProof/>
    </w:rPr>
  </w:style>
  <w:style w:type="paragraph" w:styleId="TOC3">
    <w:name w:val="toc 3"/>
    <w:basedOn w:val="Normal"/>
    <w:next w:val="Normal"/>
    <w:semiHidden/>
    <w:rsid w:val="005D66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66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66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66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66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66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66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66C8"/>
    <w:pPr>
      <w:tabs>
        <w:tab w:val="right" w:pos="9360"/>
      </w:tabs>
      <w:suppressAutoHyphens/>
    </w:pPr>
  </w:style>
  <w:style w:type="character" w:customStyle="1" w:styleId="EquationCaption">
    <w:name w:val="_Equation Caption"/>
    <w:rsid w:val="005D66C8"/>
  </w:style>
  <w:style w:type="paragraph" w:styleId="Header">
    <w:name w:val="header"/>
    <w:basedOn w:val="Normal"/>
    <w:autoRedefine/>
    <w:rsid w:val="005D66C8"/>
    <w:pPr>
      <w:tabs>
        <w:tab w:val="center" w:pos="4680"/>
        <w:tab w:val="right" w:pos="9360"/>
      </w:tabs>
    </w:pPr>
    <w:rPr>
      <w:b/>
    </w:rPr>
  </w:style>
  <w:style w:type="paragraph" w:styleId="Footer">
    <w:name w:val="footer"/>
    <w:basedOn w:val="Normal"/>
    <w:rsid w:val="005D66C8"/>
    <w:pPr>
      <w:tabs>
        <w:tab w:val="center" w:pos="4320"/>
        <w:tab w:val="right" w:pos="8640"/>
      </w:tabs>
    </w:pPr>
  </w:style>
  <w:style w:type="character" w:styleId="PageNumber">
    <w:name w:val="page number"/>
    <w:basedOn w:val="DefaultParagraphFont"/>
    <w:rsid w:val="005D66C8"/>
  </w:style>
  <w:style w:type="paragraph" w:styleId="BlockText">
    <w:name w:val="Block Text"/>
    <w:basedOn w:val="Normal"/>
    <w:rsid w:val="005D66C8"/>
    <w:pPr>
      <w:spacing w:after="240"/>
      <w:ind w:left="1440" w:right="1440"/>
    </w:pPr>
  </w:style>
  <w:style w:type="paragraph" w:customStyle="1" w:styleId="Paratitle">
    <w:name w:val="Para title"/>
    <w:basedOn w:val="Normal"/>
    <w:rsid w:val="005D66C8"/>
    <w:pPr>
      <w:tabs>
        <w:tab w:val="center" w:pos="9270"/>
      </w:tabs>
      <w:spacing w:after="240"/>
    </w:pPr>
    <w:rPr>
      <w:spacing w:val="-2"/>
    </w:rPr>
  </w:style>
  <w:style w:type="paragraph" w:customStyle="1" w:styleId="Bullet">
    <w:name w:val="Bullet"/>
    <w:basedOn w:val="Normal"/>
    <w:rsid w:val="005D66C8"/>
    <w:pPr>
      <w:tabs>
        <w:tab w:val="left" w:pos="2160"/>
      </w:tabs>
      <w:spacing w:after="220"/>
      <w:ind w:left="2160" w:hanging="720"/>
    </w:pPr>
  </w:style>
  <w:style w:type="paragraph" w:customStyle="1" w:styleId="TableFormat">
    <w:name w:val="TableFormat"/>
    <w:basedOn w:val="Bullet"/>
    <w:rsid w:val="005D66C8"/>
    <w:pPr>
      <w:tabs>
        <w:tab w:val="clear" w:pos="2160"/>
        <w:tab w:val="left" w:pos="5040"/>
      </w:tabs>
      <w:ind w:left="5040" w:hanging="3600"/>
    </w:pPr>
  </w:style>
  <w:style w:type="paragraph" w:customStyle="1" w:styleId="TOCTitle">
    <w:name w:val="TOC Title"/>
    <w:basedOn w:val="Normal"/>
    <w:rsid w:val="005D66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66C8"/>
    <w:pPr>
      <w:jc w:val="center"/>
    </w:pPr>
    <w:rPr>
      <w:rFonts w:ascii="Times New Roman Bold" w:hAnsi="Times New Roman Bold"/>
      <w:b/>
      <w:bCs/>
      <w:caps/>
      <w:szCs w:val="22"/>
    </w:rPr>
  </w:style>
  <w:style w:type="character" w:styleId="Hyperlink">
    <w:name w:val="Hyperlink"/>
    <w:rsid w:val="005D66C8"/>
    <w:rPr>
      <w:color w:val="0000FF"/>
      <w:u w:val="single"/>
    </w:rPr>
  </w:style>
  <w:style w:type="paragraph" w:styleId="BalloonText">
    <w:name w:val="Balloon Text"/>
    <w:basedOn w:val="Normal"/>
    <w:link w:val="BalloonTextChar"/>
    <w:rsid w:val="00413383"/>
    <w:rPr>
      <w:rFonts w:ascii="Tahoma" w:hAnsi="Tahoma" w:cs="Tahoma"/>
      <w:sz w:val="16"/>
      <w:szCs w:val="16"/>
    </w:rPr>
  </w:style>
  <w:style w:type="character" w:customStyle="1" w:styleId="BalloonTextChar">
    <w:name w:val="Balloon Text Char"/>
    <w:basedOn w:val="DefaultParagraphFont"/>
    <w:link w:val="BalloonText"/>
    <w:rsid w:val="00413383"/>
    <w:rPr>
      <w:rFonts w:ascii="Tahoma" w:hAnsi="Tahoma" w:cs="Tahoma"/>
      <w:snapToGrid w:val="0"/>
      <w:kern w:val="28"/>
      <w:sz w:val="16"/>
      <w:szCs w:val="16"/>
    </w:rPr>
  </w:style>
  <w:style w:type="character" w:customStyle="1" w:styleId="FootnoteTextChar">
    <w:name w:val="Footnote Text Char"/>
    <w:basedOn w:val="DefaultParagraphFont"/>
    <w:link w:val="FootnoteText"/>
    <w:rsid w:val="00AC6D46"/>
  </w:style>
  <w:style w:type="character" w:styleId="CommentReference">
    <w:name w:val="annotation reference"/>
    <w:basedOn w:val="DefaultParagraphFont"/>
    <w:rsid w:val="00C8647D"/>
    <w:rPr>
      <w:sz w:val="16"/>
      <w:szCs w:val="16"/>
    </w:rPr>
  </w:style>
  <w:style w:type="paragraph" w:styleId="CommentText">
    <w:name w:val="annotation text"/>
    <w:basedOn w:val="Normal"/>
    <w:link w:val="CommentTextChar"/>
    <w:rsid w:val="00C8647D"/>
    <w:rPr>
      <w:sz w:val="20"/>
    </w:rPr>
  </w:style>
  <w:style w:type="character" w:customStyle="1" w:styleId="CommentTextChar">
    <w:name w:val="Comment Text Char"/>
    <w:basedOn w:val="DefaultParagraphFont"/>
    <w:link w:val="CommentText"/>
    <w:rsid w:val="00C8647D"/>
    <w:rPr>
      <w:snapToGrid w:val="0"/>
      <w:kern w:val="28"/>
    </w:rPr>
  </w:style>
  <w:style w:type="paragraph" w:styleId="CommentSubject">
    <w:name w:val="annotation subject"/>
    <w:basedOn w:val="CommentText"/>
    <w:next w:val="CommentText"/>
    <w:link w:val="CommentSubjectChar"/>
    <w:rsid w:val="00C8647D"/>
    <w:rPr>
      <w:b/>
      <w:bCs/>
    </w:rPr>
  </w:style>
  <w:style w:type="character" w:customStyle="1" w:styleId="CommentSubjectChar">
    <w:name w:val="Comment Subject Char"/>
    <w:basedOn w:val="CommentTextChar"/>
    <w:link w:val="CommentSubject"/>
    <w:rsid w:val="00C8647D"/>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C8"/>
    <w:pPr>
      <w:widowControl w:val="0"/>
    </w:pPr>
    <w:rPr>
      <w:snapToGrid w:val="0"/>
      <w:kern w:val="28"/>
      <w:sz w:val="22"/>
    </w:rPr>
  </w:style>
  <w:style w:type="paragraph" w:styleId="Heading1">
    <w:name w:val="heading 1"/>
    <w:basedOn w:val="Normal"/>
    <w:next w:val="ParaNum"/>
    <w:qFormat/>
    <w:rsid w:val="005D66C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66C8"/>
    <w:pPr>
      <w:keepNext/>
      <w:numPr>
        <w:ilvl w:val="1"/>
        <w:numId w:val="3"/>
      </w:numPr>
      <w:spacing w:after="120"/>
      <w:outlineLvl w:val="1"/>
    </w:pPr>
    <w:rPr>
      <w:b/>
    </w:rPr>
  </w:style>
  <w:style w:type="paragraph" w:styleId="Heading3">
    <w:name w:val="heading 3"/>
    <w:basedOn w:val="Normal"/>
    <w:next w:val="ParaNum"/>
    <w:qFormat/>
    <w:rsid w:val="005D66C8"/>
    <w:pPr>
      <w:keepNext/>
      <w:numPr>
        <w:ilvl w:val="2"/>
        <w:numId w:val="3"/>
      </w:numPr>
      <w:tabs>
        <w:tab w:val="left" w:pos="2160"/>
      </w:tabs>
      <w:spacing w:after="120"/>
      <w:outlineLvl w:val="2"/>
    </w:pPr>
    <w:rPr>
      <w:b/>
    </w:rPr>
  </w:style>
  <w:style w:type="paragraph" w:styleId="Heading4">
    <w:name w:val="heading 4"/>
    <w:basedOn w:val="Normal"/>
    <w:next w:val="ParaNum"/>
    <w:qFormat/>
    <w:rsid w:val="005D66C8"/>
    <w:pPr>
      <w:keepNext/>
      <w:numPr>
        <w:ilvl w:val="3"/>
        <w:numId w:val="3"/>
      </w:numPr>
      <w:tabs>
        <w:tab w:val="left" w:pos="2880"/>
      </w:tabs>
      <w:spacing w:after="120"/>
      <w:outlineLvl w:val="3"/>
    </w:pPr>
    <w:rPr>
      <w:b/>
    </w:rPr>
  </w:style>
  <w:style w:type="paragraph" w:styleId="Heading5">
    <w:name w:val="heading 5"/>
    <w:basedOn w:val="Normal"/>
    <w:next w:val="ParaNum"/>
    <w:qFormat/>
    <w:rsid w:val="005D66C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66C8"/>
    <w:pPr>
      <w:numPr>
        <w:ilvl w:val="5"/>
        <w:numId w:val="3"/>
      </w:numPr>
      <w:tabs>
        <w:tab w:val="left" w:pos="4320"/>
      </w:tabs>
      <w:spacing w:after="120"/>
      <w:outlineLvl w:val="5"/>
    </w:pPr>
    <w:rPr>
      <w:b/>
    </w:rPr>
  </w:style>
  <w:style w:type="paragraph" w:styleId="Heading7">
    <w:name w:val="heading 7"/>
    <w:basedOn w:val="Normal"/>
    <w:next w:val="ParaNum"/>
    <w:qFormat/>
    <w:rsid w:val="005D66C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66C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66C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66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6C8"/>
  </w:style>
  <w:style w:type="paragraph" w:customStyle="1" w:styleId="ParaNum">
    <w:name w:val="ParaNum"/>
    <w:basedOn w:val="Normal"/>
    <w:rsid w:val="005D66C8"/>
    <w:pPr>
      <w:numPr>
        <w:numId w:val="2"/>
      </w:numPr>
      <w:tabs>
        <w:tab w:val="clear" w:pos="1080"/>
        <w:tab w:val="num" w:pos="1440"/>
      </w:tabs>
      <w:spacing w:after="120"/>
    </w:pPr>
  </w:style>
  <w:style w:type="paragraph" w:styleId="EndnoteText">
    <w:name w:val="endnote text"/>
    <w:basedOn w:val="Normal"/>
    <w:semiHidden/>
    <w:rsid w:val="005D66C8"/>
    <w:rPr>
      <w:sz w:val="20"/>
    </w:rPr>
  </w:style>
  <w:style w:type="character" w:styleId="EndnoteReference">
    <w:name w:val="endnote reference"/>
    <w:semiHidden/>
    <w:rsid w:val="005D66C8"/>
    <w:rPr>
      <w:vertAlign w:val="superscript"/>
    </w:rPr>
  </w:style>
  <w:style w:type="paragraph" w:styleId="FootnoteText">
    <w:name w:val="footnote text"/>
    <w:link w:val="FootnoteTextChar"/>
    <w:rsid w:val="005D66C8"/>
    <w:pPr>
      <w:spacing w:after="120"/>
    </w:pPr>
  </w:style>
  <w:style w:type="character" w:styleId="FootnoteReference">
    <w:name w:val="footnote reference"/>
    <w:rsid w:val="005D66C8"/>
    <w:rPr>
      <w:rFonts w:ascii="Times New Roman" w:hAnsi="Times New Roman"/>
      <w:dstrike w:val="0"/>
      <w:color w:val="auto"/>
      <w:sz w:val="20"/>
      <w:vertAlign w:val="superscript"/>
    </w:rPr>
  </w:style>
  <w:style w:type="paragraph" w:styleId="TOC1">
    <w:name w:val="toc 1"/>
    <w:basedOn w:val="Normal"/>
    <w:next w:val="Normal"/>
    <w:semiHidden/>
    <w:rsid w:val="005D66C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66C8"/>
    <w:pPr>
      <w:tabs>
        <w:tab w:val="left" w:pos="720"/>
        <w:tab w:val="right" w:leader="dot" w:pos="9360"/>
      </w:tabs>
      <w:suppressAutoHyphens/>
      <w:ind w:left="720" w:right="720" w:hanging="360"/>
    </w:pPr>
    <w:rPr>
      <w:noProof/>
    </w:rPr>
  </w:style>
  <w:style w:type="paragraph" w:styleId="TOC3">
    <w:name w:val="toc 3"/>
    <w:basedOn w:val="Normal"/>
    <w:next w:val="Normal"/>
    <w:semiHidden/>
    <w:rsid w:val="005D66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66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66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66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66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66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66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66C8"/>
    <w:pPr>
      <w:tabs>
        <w:tab w:val="right" w:pos="9360"/>
      </w:tabs>
      <w:suppressAutoHyphens/>
    </w:pPr>
  </w:style>
  <w:style w:type="character" w:customStyle="1" w:styleId="EquationCaption">
    <w:name w:val="_Equation Caption"/>
    <w:rsid w:val="005D66C8"/>
  </w:style>
  <w:style w:type="paragraph" w:styleId="Header">
    <w:name w:val="header"/>
    <w:basedOn w:val="Normal"/>
    <w:autoRedefine/>
    <w:rsid w:val="005D66C8"/>
    <w:pPr>
      <w:tabs>
        <w:tab w:val="center" w:pos="4680"/>
        <w:tab w:val="right" w:pos="9360"/>
      </w:tabs>
    </w:pPr>
    <w:rPr>
      <w:b/>
    </w:rPr>
  </w:style>
  <w:style w:type="paragraph" w:styleId="Footer">
    <w:name w:val="footer"/>
    <w:basedOn w:val="Normal"/>
    <w:rsid w:val="005D66C8"/>
    <w:pPr>
      <w:tabs>
        <w:tab w:val="center" w:pos="4320"/>
        <w:tab w:val="right" w:pos="8640"/>
      </w:tabs>
    </w:pPr>
  </w:style>
  <w:style w:type="character" w:styleId="PageNumber">
    <w:name w:val="page number"/>
    <w:basedOn w:val="DefaultParagraphFont"/>
    <w:rsid w:val="005D66C8"/>
  </w:style>
  <w:style w:type="paragraph" w:styleId="BlockText">
    <w:name w:val="Block Text"/>
    <w:basedOn w:val="Normal"/>
    <w:rsid w:val="005D66C8"/>
    <w:pPr>
      <w:spacing w:after="240"/>
      <w:ind w:left="1440" w:right="1440"/>
    </w:pPr>
  </w:style>
  <w:style w:type="paragraph" w:customStyle="1" w:styleId="Paratitle">
    <w:name w:val="Para title"/>
    <w:basedOn w:val="Normal"/>
    <w:rsid w:val="005D66C8"/>
    <w:pPr>
      <w:tabs>
        <w:tab w:val="center" w:pos="9270"/>
      </w:tabs>
      <w:spacing w:after="240"/>
    </w:pPr>
    <w:rPr>
      <w:spacing w:val="-2"/>
    </w:rPr>
  </w:style>
  <w:style w:type="paragraph" w:customStyle="1" w:styleId="Bullet">
    <w:name w:val="Bullet"/>
    <w:basedOn w:val="Normal"/>
    <w:rsid w:val="005D66C8"/>
    <w:pPr>
      <w:tabs>
        <w:tab w:val="left" w:pos="2160"/>
      </w:tabs>
      <w:spacing w:after="220"/>
      <w:ind w:left="2160" w:hanging="720"/>
    </w:pPr>
  </w:style>
  <w:style w:type="paragraph" w:customStyle="1" w:styleId="TableFormat">
    <w:name w:val="TableFormat"/>
    <w:basedOn w:val="Bullet"/>
    <w:rsid w:val="005D66C8"/>
    <w:pPr>
      <w:tabs>
        <w:tab w:val="clear" w:pos="2160"/>
        <w:tab w:val="left" w:pos="5040"/>
      </w:tabs>
      <w:ind w:left="5040" w:hanging="3600"/>
    </w:pPr>
  </w:style>
  <w:style w:type="paragraph" w:customStyle="1" w:styleId="TOCTitle">
    <w:name w:val="TOC Title"/>
    <w:basedOn w:val="Normal"/>
    <w:rsid w:val="005D66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66C8"/>
    <w:pPr>
      <w:jc w:val="center"/>
    </w:pPr>
    <w:rPr>
      <w:rFonts w:ascii="Times New Roman Bold" w:hAnsi="Times New Roman Bold"/>
      <w:b/>
      <w:bCs/>
      <w:caps/>
      <w:szCs w:val="22"/>
    </w:rPr>
  </w:style>
  <w:style w:type="character" w:styleId="Hyperlink">
    <w:name w:val="Hyperlink"/>
    <w:rsid w:val="005D66C8"/>
    <w:rPr>
      <w:color w:val="0000FF"/>
      <w:u w:val="single"/>
    </w:rPr>
  </w:style>
  <w:style w:type="paragraph" w:styleId="BalloonText">
    <w:name w:val="Balloon Text"/>
    <w:basedOn w:val="Normal"/>
    <w:link w:val="BalloonTextChar"/>
    <w:rsid w:val="00413383"/>
    <w:rPr>
      <w:rFonts w:ascii="Tahoma" w:hAnsi="Tahoma" w:cs="Tahoma"/>
      <w:sz w:val="16"/>
      <w:szCs w:val="16"/>
    </w:rPr>
  </w:style>
  <w:style w:type="character" w:customStyle="1" w:styleId="BalloonTextChar">
    <w:name w:val="Balloon Text Char"/>
    <w:basedOn w:val="DefaultParagraphFont"/>
    <w:link w:val="BalloonText"/>
    <w:rsid w:val="00413383"/>
    <w:rPr>
      <w:rFonts w:ascii="Tahoma" w:hAnsi="Tahoma" w:cs="Tahoma"/>
      <w:snapToGrid w:val="0"/>
      <w:kern w:val="28"/>
      <w:sz w:val="16"/>
      <w:szCs w:val="16"/>
    </w:rPr>
  </w:style>
  <w:style w:type="character" w:customStyle="1" w:styleId="FootnoteTextChar">
    <w:name w:val="Footnote Text Char"/>
    <w:basedOn w:val="DefaultParagraphFont"/>
    <w:link w:val="FootnoteText"/>
    <w:rsid w:val="00AC6D46"/>
  </w:style>
  <w:style w:type="character" w:styleId="CommentReference">
    <w:name w:val="annotation reference"/>
    <w:basedOn w:val="DefaultParagraphFont"/>
    <w:rsid w:val="00C8647D"/>
    <w:rPr>
      <w:sz w:val="16"/>
      <w:szCs w:val="16"/>
    </w:rPr>
  </w:style>
  <w:style w:type="paragraph" w:styleId="CommentText">
    <w:name w:val="annotation text"/>
    <w:basedOn w:val="Normal"/>
    <w:link w:val="CommentTextChar"/>
    <w:rsid w:val="00C8647D"/>
    <w:rPr>
      <w:sz w:val="20"/>
    </w:rPr>
  </w:style>
  <w:style w:type="character" w:customStyle="1" w:styleId="CommentTextChar">
    <w:name w:val="Comment Text Char"/>
    <w:basedOn w:val="DefaultParagraphFont"/>
    <w:link w:val="CommentText"/>
    <w:rsid w:val="00C8647D"/>
    <w:rPr>
      <w:snapToGrid w:val="0"/>
      <w:kern w:val="28"/>
    </w:rPr>
  </w:style>
  <w:style w:type="paragraph" w:styleId="CommentSubject">
    <w:name w:val="annotation subject"/>
    <w:basedOn w:val="CommentText"/>
    <w:next w:val="CommentText"/>
    <w:link w:val="CommentSubjectChar"/>
    <w:rsid w:val="00C8647D"/>
    <w:rPr>
      <w:b/>
      <w:bCs/>
    </w:rPr>
  </w:style>
  <w:style w:type="character" w:customStyle="1" w:styleId="CommentSubjectChar">
    <w:name w:val="Comment Subject Char"/>
    <w:basedOn w:val="CommentTextChar"/>
    <w:link w:val="CommentSubject"/>
    <w:rsid w:val="00C8647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498</Words>
  <Characters>2635</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2015-01-09T19:45:00Z</cp:lastPrinted>
  <dcterms:created xsi:type="dcterms:W3CDTF">2015-07-16T18:28:00Z</dcterms:created>
  <dcterms:modified xsi:type="dcterms:W3CDTF">2015-07-16T18:28:00Z</dcterms:modified>
  <cp:category> </cp:category>
  <cp:contentStatus> </cp:contentStatus>
</cp:coreProperties>
</file>