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</w:rPr>
        <w:t>Before</w:t>
      </w:r>
      <w:r>
        <w:rPr>
          <w:b/>
        </w:rPr>
        <w:t xml:space="preserve"> the</w:t>
      </w:r>
    </w:p>
    <w:p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:rsidR="004C2EE3" w:rsidRDefault="004C2EE3" w:rsidP="0070224F"/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 w:rsidTr="00583E66">
        <w:tc>
          <w:tcPr>
            <w:tcW w:w="4698" w:type="dxa"/>
          </w:tcPr>
          <w:p w:rsidR="004C2EE3" w:rsidRDefault="004C2EE3" w:rsidP="001E75A5">
            <w:pPr>
              <w:tabs>
                <w:tab w:val="center" w:pos="4680"/>
              </w:tabs>
              <w:suppressAutoHyphens/>
              <w:ind w:left="-108"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:rsidRDefault="004C2EE3" w:rsidP="001E75A5">
            <w:pPr>
              <w:tabs>
                <w:tab w:val="center" w:pos="4680"/>
              </w:tabs>
              <w:suppressAutoHyphens/>
              <w:ind w:left="-108"/>
              <w:rPr>
                <w:spacing w:val="-2"/>
              </w:rPr>
            </w:pPr>
          </w:p>
          <w:p w:rsidR="004C2EE3" w:rsidRDefault="001C7BF4" w:rsidP="001E75A5">
            <w:pPr>
              <w:tabs>
                <w:tab w:val="center" w:pos="4680"/>
              </w:tabs>
              <w:suppressAutoHyphens/>
              <w:ind w:left="-108"/>
              <w:rPr>
                <w:spacing w:val="-2"/>
              </w:rPr>
            </w:pPr>
            <w:r>
              <w:rPr>
                <w:spacing w:val="-2"/>
              </w:rPr>
              <w:t xml:space="preserve">WGBH Educational Foundation </w:t>
            </w:r>
          </w:p>
          <w:p w:rsidR="00571383" w:rsidRDefault="00571383" w:rsidP="001E75A5">
            <w:pPr>
              <w:tabs>
                <w:tab w:val="center" w:pos="4680"/>
              </w:tabs>
              <w:suppressAutoHyphens/>
              <w:ind w:left="-108"/>
              <w:rPr>
                <w:spacing w:val="-2"/>
              </w:rPr>
            </w:pPr>
          </w:p>
          <w:p w:rsidR="00F74788" w:rsidRDefault="00F74788" w:rsidP="001E75A5">
            <w:pPr>
              <w:tabs>
                <w:tab w:val="center" w:pos="4680"/>
              </w:tabs>
              <w:suppressAutoHyphens/>
              <w:ind w:left="-108"/>
              <w:rPr>
                <w:spacing w:val="-2"/>
              </w:rPr>
            </w:pPr>
          </w:p>
          <w:p w:rsidR="001C7BF4" w:rsidRDefault="00571383" w:rsidP="001E75A5">
            <w:pPr>
              <w:tabs>
                <w:tab w:val="center" w:pos="4680"/>
              </w:tabs>
              <w:suppressAutoHyphens/>
              <w:ind w:left="-108"/>
              <w:rPr>
                <w:spacing w:val="-2"/>
              </w:rPr>
            </w:pPr>
            <w:r>
              <w:rPr>
                <w:spacing w:val="-2"/>
              </w:rPr>
              <w:t>Application</w:t>
            </w:r>
            <w:r w:rsidR="001C7BF4">
              <w:rPr>
                <w:spacing w:val="-2"/>
              </w:rPr>
              <w:t>s</w:t>
            </w:r>
            <w:r>
              <w:rPr>
                <w:spacing w:val="-2"/>
              </w:rPr>
              <w:t xml:space="preserve"> for </w:t>
            </w:r>
            <w:r w:rsidR="001C7BF4">
              <w:rPr>
                <w:spacing w:val="-2"/>
              </w:rPr>
              <w:t>Renewal of Licenses of</w:t>
            </w:r>
          </w:p>
          <w:p w:rsidR="00E05681" w:rsidRDefault="001C7BF4" w:rsidP="001E75A5">
            <w:pPr>
              <w:tabs>
                <w:tab w:val="center" w:pos="4680"/>
              </w:tabs>
              <w:suppressAutoHyphens/>
              <w:ind w:left="-108"/>
              <w:rPr>
                <w:spacing w:val="-2"/>
              </w:rPr>
            </w:pPr>
            <w:r>
              <w:rPr>
                <w:spacing w:val="-2"/>
              </w:rPr>
              <w:t xml:space="preserve">WGBH(FM), Boston, </w:t>
            </w:r>
            <w:r w:rsidR="00E05681">
              <w:rPr>
                <w:spacing w:val="-2"/>
              </w:rPr>
              <w:t xml:space="preserve"> Massachusetts, and</w:t>
            </w:r>
          </w:p>
          <w:p w:rsidR="00571383" w:rsidRPr="007115F7" w:rsidRDefault="00E05681" w:rsidP="001E75A5">
            <w:pPr>
              <w:tabs>
                <w:tab w:val="center" w:pos="4680"/>
              </w:tabs>
              <w:suppressAutoHyphens/>
              <w:ind w:left="-108"/>
              <w:rPr>
                <w:spacing w:val="-2"/>
              </w:rPr>
            </w:pPr>
            <w:r>
              <w:rPr>
                <w:spacing w:val="-2"/>
              </w:rPr>
              <w:t>WC</w:t>
            </w:r>
            <w:r w:rsidR="00D57C77">
              <w:rPr>
                <w:spacing w:val="-2"/>
              </w:rPr>
              <w:t>R</w:t>
            </w:r>
            <w:r>
              <w:rPr>
                <w:spacing w:val="-2"/>
              </w:rPr>
              <w:t>B-FM, Lowell, Massachusetts</w:t>
            </w:r>
            <w:r w:rsidR="00571383">
              <w:rPr>
                <w:spacing w:val="-2"/>
              </w:rPr>
              <w:t xml:space="preserve"> </w:t>
            </w:r>
          </w:p>
        </w:tc>
        <w:tc>
          <w:tcPr>
            <w:tcW w:w="630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Default="004C2EE3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386899" w:rsidRDefault="00E05681" w:rsidP="00E05681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File No. BRED-20131202BIA</w:t>
            </w:r>
          </w:p>
          <w:p w:rsidR="00E05681" w:rsidRDefault="00E05681" w:rsidP="00E05681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Facility ID No.</w:t>
            </w:r>
            <w:r w:rsidR="00A53944">
              <w:rPr>
                <w:spacing w:val="-2"/>
              </w:rPr>
              <w:t xml:space="preserve"> 70510</w:t>
            </w:r>
          </w:p>
          <w:p w:rsidR="00E05681" w:rsidRDefault="00E05681" w:rsidP="00E05681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05681" w:rsidRDefault="00E05681" w:rsidP="00E05681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File No. </w:t>
            </w:r>
            <w:r w:rsidR="009711AA">
              <w:rPr>
                <w:spacing w:val="-2"/>
              </w:rPr>
              <w:t>BR</w:t>
            </w:r>
            <w:r>
              <w:rPr>
                <w:spacing w:val="-2"/>
              </w:rPr>
              <w:t>H-2013120</w:t>
            </w:r>
            <w:r w:rsidR="009711AA">
              <w:rPr>
                <w:spacing w:val="-2"/>
              </w:rPr>
              <w:t>2</w:t>
            </w:r>
            <w:r>
              <w:rPr>
                <w:spacing w:val="-2"/>
              </w:rPr>
              <w:t>BIR</w:t>
            </w:r>
          </w:p>
          <w:p w:rsidR="00E05681" w:rsidRDefault="00E05681" w:rsidP="00E05681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Facility ID No.</w:t>
            </w:r>
            <w:r w:rsidR="001054FF">
              <w:rPr>
                <w:spacing w:val="-2"/>
              </w:rPr>
              <w:t xml:space="preserve"> 23441</w:t>
            </w:r>
            <w:r>
              <w:rPr>
                <w:spacing w:val="-2"/>
              </w:rPr>
              <w:t xml:space="preserve"> </w:t>
            </w:r>
          </w:p>
          <w:p w:rsidR="00E05681" w:rsidRDefault="00E05681" w:rsidP="00E05681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05681" w:rsidRDefault="00E05681" w:rsidP="00E05681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:rsidR="004C2EE3" w:rsidRDefault="004C2EE3" w:rsidP="0070224F"/>
    <w:p w:rsidR="00841AB1" w:rsidRDefault="007505F0" w:rsidP="00F021FA">
      <w:pPr>
        <w:pStyle w:val="StyleBoldCentered"/>
      </w:pPr>
      <w:r>
        <w:t>memorandum opinion and order</w:t>
      </w:r>
    </w:p>
    <w:p w:rsidR="004C2EE3" w:rsidRDefault="004C2EE3" w:rsidP="009D628B">
      <w:pPr>
        <w:pStyle w:val="Heading3"/>
        <w:numPr>
          <w:ilvl w:val="0"/>
          <w:numId w:val="0"/>
        </w:numPr>
        <w:ind w:left="2160"/>
      </w:pPr>
    </w:p>
    <w:p w:rsidR="004C2EE3" w:rsidRDefault="004C2EE3" w:rsidP="00133F7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164754">
        <w:rPr>
          <w:b/>
          <w:spacing w:val="-2"/>
        </w:rPr>
        <w:t>July 16, 2015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164754">
        <w:rPr>
          <w:b/>
          <w:spacing w:val="-2"/>
        </w:rPr>
        <w:t>July 16, 2015</w:t>
      </w:r>
    </w:p>
    <w:p w:rsidR="00822CE0" w:rsidRDefault="00822CE0"/>
    <w:p w:rsidR="004C2EE3" w:rsidRDefault="004C2EE3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386899">
        <w:rPr>
          <w:spacing w:val="-2"/>
        </w:rPr>
        <w:t>Commission</w:t>
      </w:r>
      <w:r>
        <w:rPr>
          <w:spacing w:val="-2"/>
        </w:rPr>
        <w:t>:</w:t>
      </w:r>
    </w:p>
    <w:p w:rsidR="00822CE0" w:rsidRDefault="00822CE0">
      <w:pPr>
        <w:rPr>
          <w:spacing w:val="-2"/>
        </w:rPr>
      </w:pPr>
    </w:p>
    <w:p w:rsidR="009B569C" w:rsidRDefault="00386899" w:rsidP="00A648D8">
      <w:pPr>
        <w:pStyle w:val="ParaNum"/>
      </w:pPr>
      <w:r w:rsidRPr="00067FEE">
        <w:t xml:space="preserve">The Commission has before it an Application for Review (“AFR”) filed </w:t>
      </w:r>
      <w:r w:rsidR="00B15C50">
        <w:t xml:space="preserve">January 9, 2015, </w:t>
      </w:r>
      <w:r w:rsidRPr="00067FEE">
        <w:t xml:space="preserve">by </w:t>
      </w:r>
      <w:r w:rsidR="00C407B7">
        <w:t>the Committee for Community Access</w:t>
      </w:r>
      <w:r w:rsidRPr="00067FEE">
        <w:t xml:space="preserve"> (“</w:t>
      </w:r>
      <w:r w:rsidR="00C407B7">
        <w:t>CCA</w:t>
      </w:r>
      <w:r w:rsidRPr="00067FEE">
        <w:t>”)</w:t>
      </w:r>
      <w:r w:rsidR="00B15C50">
        <w:t xml:space="preserve">.  </w:t>
      </w:r>
      <w:r w:rsidR="001765C6">
        <w:t xml:space="preserve">CCA </w:t>
      </w:r>
      <w:r w:rsidR="00F52AE7">
        <w:t>seeks review</w:t>
      </w:r>
      <w:r w:rsidR="00496F97">
        <w:t xml:space="preserve"> </w:t>
      </w:r>
      <w:r w:rsidR="00F52AE7">
        <w:t xml:space="preserve">of </w:t>
      </w:r>
      <w:r w:rsidR="001765C6">
        <w:t>a</w:t>
      </w:r>
      <w:r w:rsidR="00F52AE7">
        <w:t xml:space="preserve"> Media Bureau (“Bureau”)</w:t>
      </w:r>
      <w:r w:rsidR="005C4302">
        <w:t xml:space="preserve"> </w:t>
      </w:r>
      <w:r w:rsidR="00F52AE7">
        <w:t>decision</w:t>
      </w:r>
      <w:r w:rsidR="00720E60">
        <w:t>,</w:t>
      </w:r>
      <w:r w:rsidR="00E0526A">
        <w:rPr>
          <w:rStyle w:val="FootnoteReference"/>
        </w:rPr>
        <w:footnoteReference w:id="2"/>
      </w:r>
      <w:r w:rsidR="00F52AE7">
        <w:t xml:space="preserve"> </w:t>
      </w:r>
      <w:r w:rsidR="009B569C">
        <w:t>dismissing for lack of standing</w:t>
      </w:r>
      <w:r w:rsidR="00CD4919">
        <w:t xml:space="preserve"> </w:t>
      </w:r>
      <w:r w:rsidR="009B569C">
        <w:t>CCA’s</w:t>
      </w:r>
      <w:r w:rsidR="00CD4919">
        <w:t xml:space="preserve"> Petition for Reconsideration of a prior</w:t>
      </w:r>
      <w:r w:rsidR="00C84C95">
        <w:t xml:space="preserve"> </w:t>
      </w:r>
      <w:r w:rsidR="00003A16" w:rsidRPr="00A648D8">
        <w:rPr>
          <w:i/>
        </w:rPr>
        <w:t>Letter Decision.</w:t>
      </w:r>
      <w:r w:rsidR="005D6EB3">
        <w:rPr>
          <w:rStyle w:val="FootnoteReference"/>
        </w:rPr>
        <w:footnoteReference w:id="3"/>
      </w:r>
      <w:r w:rsidR="005D6EB3">
        <w:t xml:space="preserve"> </w:t>
      </w:r>
      <w:r w:rsidR="00A648D8">
        <w:t xml:space="preserve">In the </w:t>
      </w:r>
      <w:r w:rsidR="00A648D8" w:rsidRPr="00A648D8">
        <w:rPr>
          <w:i/>
        </w:rPr>
        <w:t>Letter Decision</w:t>
      </w:r>
      <w:r w:rsidR="00A648D8">
        <w:t>, the Bureau treated as an informal objection CCA’s March 4, 2014, pleading styled as a “Petition to Deny” the captioned renewal</w:t>
      </w:r>
      <w:r w:rsidR="00472801">
        <w:t xml:space="preserve"> </w:t>
      </w:r>
      <w:r w:rsidR="0007553E">
        <w:t>applications (</w:t>
      </w:r>
      <w:r w:rsidR="00A648D8">
        <w:t>“Applications”)</w:t>
      </w:r>
      <w:r w:rsidR="00A648D8">
        <w:rPr>
          <w:rStyle w:val="FootnoteReference"/>
        </w:rPr>
        <w:footnoteReference w:id="4"/>
      </w:r>
      <w:r w:rsidR="00472801">
        <w:t xml:space="preserve"> </w:t>
      </w:r>
      <w:r w:rsidR="00A648D8">
        <w:t xml:space="preserve">of the WGBH Educational Foundation (“Foundation”) due to </w:t>
      </w:r>
      <w:r w:rsidR="00CF4DF0">
        <w:t xml:space="preserve">CCA’s </w:t>
      </w:r>
      <w:r w:rsidR="00A648D8">
        <w:t>late filing of a supporting affidavit.</w:t>
      </w:r>
      <w:r w:rsidR="00A648D8">
        <w:rPr>
          <w:rStyle w:val="FootnoteReference"/>
        </w:rPr>
        <w:footnoteReference w:id="5"/>
      </w:r>
      <w:r w:rsidR="00A648D8">
        <w:t xml:space="preserve">  The Bureau denied CCA’s objection, </w:t>
      </w:r>
      <w:r w:rsidR="00CF4DF0">
        <w:t xml:space="preserve">rejecting its argument that the Foundation exercised insufficient control over programming and its request to </w:t>
      </w:r>
      <w:r w:rsidR="00774996">
        <w:t>reexamine the</w:t>
      </w:r>
      <w:r w:rsidR="00A648D8">
        <w:t xml:space="preserve"> </w:t>
      </w:r>
      <w:r w:rsidR="00A648D8" w:rsidRPr="00A648D8">
        <w:rPr>
          <w:i/>
        </w:rPr>
        <w:t>Format Policy Statement</w:t>
      </w:r>
      <w:r w:rsidR="00472801">
        <w:rPr>
          <w:rStyle w:val="FootnoteReference"/>
          <w:i/>
        </w:rPr>
        <w:footnoteReference w:id="6"/>
      </w:r>
      <w:r w:rsidR="00A648D8">
        <w:t xml:space="preserve"> in the context of this proceeding.</w:t>
      </w:r>
      <w:r w:rsidR="00A648D8">
        <w:rPr>
          <w:rStyle w:val="FootnoteReference"/>
        </w:rPr>
        <w:footnoteReference w:id="7"/>
      </w:r>
      <w:r w:rsidR="00A648D8">
        <w:t xml:space="preserve">  </w:t>
      </w:r>
    </w:p>
    <w:p w:rsidR="0029646E" w:rsidRDefault="00BB2E73" w:rsidP="0029646E">
      <w:pPr>
        <w:pStyle w:val="ParaNum"/>
      </w:pPr>
      <w:r>
        <w:t xml:space="preserve">On review, CCA argues </w:t>
      </w:r>
      <w:r w:rsidR="00B401E4">
        <w:t>that</w:t>
      </w:r>
      <w:r w:rsidR="000724B5">
        <w:t xml:space="preserve">: </w:t>
      </w:r>
      <w:r w:rsidR="00B401E4">
        <w:t>(1)</w:t>
      </w:r>
      <w:r w:rsidR="004A3D16">
        <w:t xml:space="preserve"> the Bureau erred in not treating CCA’s </w:t>
      </w:r>
      <w:r w:rsidR="00A226A4">
        <w:t xml:space="preserve">untimely </w:t>
      </w:r>
      <w:r w:rsidR="004A3D16">
        <w:t xml:space="preserve">filing </w:t>
      </w:r>
      <w:r w:rsidR="00A226A4">
        <w:t>as a petition to deny</w:t>
      </w:r>
      <w:r w:rsidR="004A3D16">
        <w:t>;</w:t>
      </w:r>
      <w:r w:rsidR="00B401E4">
        <w:t xml:space="preserve"> (2) </w:t>
      </w:r>
      <w:r w:rsidR="004A3D16">
        <w:t xml:space="preserve">the </w:t>
      </w:r>
      <w:r w:rsidR="00A226A4" w:rsidRPr="00797BDF">
        <w:rPr>
          <w:i/>
        </w:rPr>
        <w:t>Reconsideration Decision</w:t>
      </w:r>
      <w:r w:rsidR="00A226A4">
        <w:t xml:space="preserve"> is</w:t>
      </w:r>
      <w:r w:rsidR="004A3D16">
        <w:t xml:space="preserve"> in conflict with Commission </w:t>
      </w:r>
      <w:r w:rsidR="00A226A4">
        <w:t xml:space="preserve">precedent regarding licensee </w:t>
      </w:r>
      <w:r w:rsidR="004A3D16">
        <w:t xml:space="preserve">control over station programming and </w:t>
      </w:r>
      <w:r w:rsidR="00A226A4">
        <w:t>improperly placed</w:t>
      </w:r>
      <w:r w:rsidR="004A3D16">
        <w:t xml:space="preserve"> the burden of proof </w:t>
      </w:r>
      <w:r w:rsidR="00A226A4">
        <w:t>on it rather than the Foundation</w:t>
      </w:r>
      <w:r w:rsidR="004A3D16">
        <w:t xml:space="preserve">; </w:t>
      </w:r>
      <w:r w:rsidR="000724B5">
        <w:t>and (3)</w:t>
      </w:r>
      <w:r w:rsidR="000F451E">
        <w:t xml:space="preserve"> </w:t>
      </w:r>
      <w:r w:rsidR="005C349D">
        <w:t xml:space="preserve">the </w:t>
      </w:r>
      <w:r w:rsidR="00466F88">
        <w:t>Bureau’s</w:t>
      </w:r>
      <w:r w:rsidR="00432A4A">
        <w:t xml:space="preserve"> decision not to</w:t>
      </w:r>
      <w:r w:rsidR="00BF6609">
        <w:t xml:space="preserve"> </w:t>
      </w:r>
      <w:r w:rsidR="000F451E">
        <w:t xml:space="preserve">reexamine the </w:t>
      </w:r>
      <w:r w:rsidR="000F451E">
        <w:rPr>
          <w:i/>
        </w:rPr>
        <w:t xml:space="preserve">Format Policy </w:t>
      </w:r>
      <w:r w:rsidR="00BF6609">
        <w:rPr>
          <w:i/>
        </w:rPr>
        <w:t>Statement</w:t>
      </w:r>
      <w:r w:rsidR="0053353F">
        <w:rPr>
          <w:i/>
        </w:rPr>
        <w:t xml:space="preserve"> </w:t>
      </w:r>
      <w:r w:rsidR="0053353F">
        <w:t>in</w:t>
      </w:r>
      <w:r w:rsidR="00BF6609">
        <w:t xml:space="preserve"> </w:t>
      </w:r>
      <w:r w:rsidR="000F451E">
        <w:t>the context of this license renewal proceeding</w:t>
      </w:r>
      <w:r w:rsidR="005C349D">
        <w:t xml:space="preserve"> </w:t>
      </w:r>
      <w:r w:rsidR="00432A4A">
        <w:t>should be reversed</w:t>
      </w:r>
      <w:r w:rsidR="0089163C">
        <w:t>.</w:t>
      </w:r>
    </w:p>
    <w:p w:rsidR="0096456E" w:rsidRDefault="00C4123A" w:rsidP="00662E3E">
      <w:pPr>
        <w:pStyle w:val="ParaNum"/>
      </w:pPr>
      <w:r>
        <w:t xml:space="preserve">Upon review of the AFR and the entire record, we conclude that the Bureau properly decided the matters raised </w:t>
      </w:r>
      <w:r w:rsidR="000C6B60">
        <w:t xml:space="preserve">in the </w:t>
      </w:r>
      <w:r w:rsidR="000C6B60">
        <w:rPr>
          <w:i/>
        </w:rPr>
        <w:t xml:space="preserve">Letter Decision </w:t>
      </w:r>
      <w:r>
        <w:t xml:space="preserve">and </w:t>
      </w:r>
      <w:r w:rsidRPr="006E79A4">
        <w:rPr>
          <w:i/>
        </w:rPr>
        <w:t>Reconsideration Decision</w:t>
      </w:r>
      <w:r w:rsidR="000C6B60">
        <w:rPr>
          <w:i/>
        </w:rPr>
        <w:t>,</w:t>
      </w:r>
      <w:r w:rsidR="000C6B60">
        <w:t xml:space="preserve"> and we uphold its</w:t>
      </w:r>
      <w:r w:rsidR="0060106D">
        <w:t xml:space="preserve"> </w:t>
      </w:r>
      <w:r w:rsidR="000C6B60">
        <w:lastRenderedPageBreak/>
        <w:t>decision for the reasons stated therein</w:t>
      </w:r>
      <w:r w:rsidR="009A16CD">
        <w:t>.</w:t>
      </w:r>
      <w:r w:rsidR="00567857">
        <w:rPr>
          <w:rStyle w:val="FootnoteReference"/>
        </w:rPr>
        <w:footnoteReference w:id="8"/>
      </w:r>
      <w:r w:rsidR="009A16CD">
        <w:t xml:space="preserve">  </w:t>
      </w:r>
      <w:r w:rsidR="0096456E">
        <w:t>Accordingly, IT IS ORDERED that, pursuant to Section 5</w:t>
      </w:r>
      <w:r w:rsidR="00272452">
        <w:t>(c)</w:t>
      </w:r>
      <w:r w:rsidR="0096456E">
        <w:t>(5) of the Communications Act of 1934, as amended, and Section</w:t>
      </w:r>
      <w:r w:rsidR="001C1378">
        <w:t>s</w:t>
      </w:r>
      <w:r w:rsidR="0096456E">
        <w:t xml:space="preserve"> 1.115</w:t>
      </w:r>
      <w:r w:rsidR="001C1378">
        <w:t xml:space="preserve">(b) and </w:t>
      </w:r>
      <w:r w:rsidR="0096456E">
        <w:t xml:space="preserve">(g) of the Commission’s Rules, </w:t>
      </w:r>
      <w:r w:rsidR="001C1378">
        <w:t xml:space="preserve">47 C.F.R. §§ 1.115(b), (g), </w:t>
      </w:r>
      <w:r w:rsidR="0096456E">
        <w:t xml:space="preserve">the Application for Review filed by </w:t>
      </w:r>
      <w:r w:rsidR="004E07A9">
        <w:t>the Committee for Community Access</w:t>
      </w:r>
      <w:r w:rsidR="001C1378">
        <w:t xml:space="preserve"> IS DISMISSED IN PART to the extent noted in footnote 7 and in all other respects</w:t>
      </w:r>
      <w:r w:rsidR="004E07A9">
        <w:t xml:space="preserve"> IS</w:t>
      </w:r>
      <w:r w:rsidR="0096456E">
        <w:t xml:space="preserve"> DENIED.</w:t>
      </w:r>
    </w:p>
    <w:p w:rsidR="009D628B" w:rsidRDefault="009D628B" w:rsidP="001E75A5"/>
    <w:p w:rsidR="00FA4722" w:rsidRDefault="00FA4722" w:rsidP="009D628B">
      <w:r>
        <w:tab/>
      </w:r>
      <w:r>
        <w:tab/>
      </w:r>
      <w:r>
        <w:tab/>
      </w:r>
      <w:r>
        <w:tab/>
      </w:r>
      <w:r>
        <w:tab/>
      </w:r>
      <w:r>
        <w:tab/>
        <w:t>FEDERAL COMMUNICATIONS COMMISSION</w:t>
      </w:r>
    </w:p>
    <w:p w:rsidR="00FA4722" w:rsidRDefault="00FA4722" w:rsidP="009D628B"/>
    <w:p w:rsidR="00FA4722" w:rsidRDefault="00FA4722" w:rsidP="009D628B"/>
    <w:p w:rsidR="00FA4722" w:rsidRDefault="00FA4722" w:rsidP="009D628B"/>
    <w:p w:rsidR="00FA4722" w:rsidRDefault="00FA4722" w:rsidP="009D628B"/>
    <w:p w:rsidR="00FA4722" w:rsidRDefault="00FA4722" w:rsidP="009D628B">
      <w:r>
        <w:tab/>
      </w:r>
      <w:r>
        <w:tab/>
      </w:r>
      <w:r>
        <w:tab/>
      </w:r>
      <w:r>
        <w:tab/>
      </w:r>
      <w:r>
        <w:tab/>
      </w:r>
      <w:r>
        <w:tab/>
        <w:t>Marlene H. Dortch</w:t>
      </w:r>
    </w:p>
    <w:p w:rsidR="00FA4722" w:rsidRDefault="00FA4722" w:rsidP="009D628B"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FA4722" w:rsidRDefault="00FA4722" w:rsidP="009D628B"/>
    <w:sectPr w:rsidR="00FA4722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EC" w:rsidRDefault="00810FEC">
      <w:pPr>
        <w:spacing w:line="20" w:lineRule="exact"/>
      </w:pPr>
    </w:p>
  </w:endnote>
  <w:endnote w:type="continuationSeparator" w:id="0">
    <w:p w:rsidR="00810FEC" w:rsidRDefault="00810FEC">
      <w:r>
        <w:t xml:space="preserve"> </w:t>
      </w:r>
    </w:p>
  </w:endnote>
  <w:endnote w:type="continuationNotice" w:id="1">
    <w:p w:rsidR="00810FEC" w:rsidRDefault="00810FE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1F653A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EC" w:rsidRDefault="00810FEC">
      <w:r>
        <w:separator/>
      </w:r>
    </w:p>
  </w:footnote>
  <w:footnote w:type="continuationSeparator" w:id="0">
    <w:p w:rsidR="00810FEC" w:rsidRDefault="00810FEC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810FEC" w:rsidRDefault="00810FEC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E0526A" w:rsidRPr="00781DAF" w:rsidRDefault="00E0526A" w:rsidP="00E052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 w:rsidR="00C407B7">
        <w:rPr>
          <w:i/>
        </w:rPr>
        <w:t>Philip R. Olenick,</w:t>
      </w:r>
      <w:r>
        <w:rPr>
          <w:i/>
        </w:rPr>
        <w:t>, Esq.</w:t>
      </w:r>
      <w:r w:rsidR="00444626">
        <w:rPr>
          <w:i/>
        </w:rPr>
        <w:t>,</w:t>
      </w:r>
      <w:r w:rsidR="00C407B7">
        <w:rPr>
          <w:i/>
        </w:rPr>
        <w:t xml:space="preserve"> and Eve Pogoriler, Esq.</w:t>
      </w:r>
      <w:r w:rsidR="00C407B7" w:rsidRPr="0060106D">
        <w:t>,</w:t>
      </w:r>
      <w:r w:rsidR="00C407B7">
        <w:rPr>
          <w:i/>
        </w:rPr>
        <w:t xml:space="preserve"> </w:t>
      </w:r>
      <w:r>
        <w:t xml:space="preserve">Letter, </w:t>
      </w:r>
      <w:r w:rsidR="00FB0C7B">
        <w:t>Ref. 1800B3-AJR (Dec. 10, 2014)</w:t>
      </w:r>
      <w:r>
        <w:t xml:space="preserve"> (“</w:t>
      </w:r>
      <w:r>
        <w:rPr>
          <w:i/>
        </w:rPr>
        <w:t>Reconsideration Decision</w:t>
      </w:r>
      <w:r>
        <w:t>”)</w:t>
      </w:r>
      <w:r w:rsidR="00444626">
        <w:t xml:space="preserve">.  </w:t>
      </w:r>
      <w:r>
        <w:t xml:space="preserve">  </w:t>
      </w:r>
    </w:p>
  </w:footnote>
  <w:footnote w:id="3">
    <w:p w:rsidR="005D6EB3" w:rsidRPr="00A54D00" w:rsidRDefault="005D6EB3" w:rsidP="005D6E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 w:rsidR="00342075">
        <w:rPr>
          <w:i/>
        </w:rPr>
        <w:t>Philip R. Olenick, Esq.</w:t>
      </w:r>
      <w:r w:rsidR="00E20B3E">
        <w:rPr>
          <w:i/>
        </w:rPr>
        <w:t>,</w:t>
      </w:r>
      <w:r w:rsidR="00342075">
        <w:rPr>
          <w:i/>
        </w:rPr>
        <w:t xml:space="preserve"> and Eve Po</w:t>
      </w:r>
      <w:r w:rsidR="00444626">
        <w:rPr>
          <w:i/>
        </w:rPr>
        <w:t>goriler, Esq.</w:t>
      </w:r>
      <w:r w:rsidR="00444626" w:rsidRPr="0060106D">
        <w:t>,</w:t>
      </w:r>
      <w:r>
        <w:t xml:space="preserve"> </w:t>
      </w:r>
      <w:r w:rsidR="00444626">
        <w:t>Letter, Ref. 1800B3-JFS</w:t>
      </w:r>
      <w:r>
        <w:t xml:space="preserve"> (</w:t>
      </w:r>
      <w:r w:rsidR="00444626">
        <w:t>Aug. 20, 2014) (</w:t>
      </w:r>
      <w:r>
        <w:t>“</w:t>
      </w:r>
      <w:r>
        <w:rPr>
          <w:i/>
        </w:rPr>
        <w:t>Letter Decision</w:t>
      </w:r>
      <w:r>
        <w:t>”)</w:t>
      </w:r>
      <w:r>
        <w:rPr>
          <w:i/>
        </w:rPr>
        <w:t xml:space="preserve">. </w:t>
      </w:r>
    </w:p>
  </w:footnote>
  <w:footnote w:id="4">
    <w:p w:rsidR="00A648D8" w:rsidRDefault="00A648D8" w:rsidP="00A648D8">
      <w:pPr>
        <w:pStyle w:val="FootnoteText"/>
      </w:pPr>
      <w:r>
        <w:rPr>
          <w:rStyle w:val="FootnoteReference"/>
        </w:rPr>
        <w:footnoteRef/>
      </w:r>
      <w:r>
        <w:t xml:space="preserve"> The Applications sought the renewal of the licenses for noncommercial educational (“NCE”) Stations WGBH(FM), Boston, Massachusetts, and WCRB(FM), Lowell, Massachusetts</w:t>
      </w:r>
      <w:r w:rsidR="003F0D44">
        <w:t>.</w:t>
      </w:r>
    </w:p>
  </w:footnote>
  <w:footnote w:id="5">
    <w:p w:rsidR="00A648D8" w:rsidRDefault="00A648D8" w:rsidP="00A648D8">
      <w:pPr>
        <w:pStyle w:val="FootnoteText"/>
      </w:pPr>
      <w:r>
        <w:rPr>
          <w:rStyle w:val="FootnoteReference"/>
        </w:rPr>
        <w:footnoteRef/>
      </w:r>
      <w:r>
        <w:t xml:space="preserve"> Specifically, the CCA Petition was filed on March 4, 2014, the deadline for filing petitions to deny against the Applications, but CCA did not submit a supporting affidavit until March 6, 2014.</w:t>
      </w:r>
    </w:p>
  </w:footnote>
  <w:footnote w:id="6">
    <w:p w:rsidR="00472801" w:rsidRPr="00472801" w:rsidRDefault="004728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Changes in the Entertainment Formats of Broadcast Stations</w:t>
      </w:r>
      <w:r w:rsidRPr="0060106D">
        <w:t>,</w:t>
      </w:r>
      <w:r>
        <w:rPr>
          <w:i/>
        </w:rPr>
        <w:t xml:space="preserve"> </w:t>
      </w:r>
      <w:r>
        <w:t>Memorandum Opinion and Order, 60 FCC 2d 858 (1976) (subsequent history omitted) (“</w:t>
      </w:r>
      <w:r>
        <w:rPr>
          <w:i/>
        </w:rPr>
        <w:t>Format Policy Statement</w:t>
      </w:r>
      <w:r>
        <w:t>”) (establishing a policy of non-intervention in broadcast station entertainment format changes).</w:t>
      </w:r>
    </w:p>
  </w:footnote>
  <w:footnote w:id="7">
    <w:p w:rsidR="00A648D8" w:rsidRDefault="00A648D8" w:rsidP="00A648D8">
      <w:pPr>
        <w:pStyle w:val="FootnoteText"/>
      </w:pPr>
      <w:r>
        <w:rPr>
          <w:rStyle w:val="FootnoteReference"/>
        </w:rPr>
        <w:footnoteRef/>
      </w:r>
      <w:r>
        <w:t xml:space="preserve"> The Foundation filed an Opposition on January 26, 2015.  CCA filed a Reply on February 5, 2015. </w:t>
      </w:r>
    </w:p>
  </w:footnote>
  <w:footnote w:id="8">
    <w:p w:rsidR="00567857" w:rsidRPr="00FA4722" w:rsidRDefault="00567857" w:rsidP="00FC71CD">
      <w:pPr>
        <w:pStyle w:val="FootnoteText"/>
      </w:pPr>
      <w:r w:rsidRPr="00FA4722">
        <w:rPr>
          <w:rStyle w:val="FootnoteReference"/>
        </w:rPr>
        <w:footnoteRef/>
      </w:r>
      <w:r w:rsidRPr="00FA4722">
        <w:t xml:space="preserve"> We also note that, throughout both its AFR and Reply, CCA makes reference to arguments contained in its previous pleadings. Such incorporation by reference is not allowed under our rules. </w:t>
      </w:r>
      <w:r w:rsidR="005A035C">
        <w:t xml:space="preserve"> </w:t>
      </w:r>
      <w:r w:rsidRPr="00FA4722">
        <w:t xml:space="preserve">Rather, the burden is on the party seeking review to set forth fully its argument and all underlying relevant facts in the application for review. </w:t>
      </w:r>
      <w:r w:rsidR="005A035C">
        <w:t xml:space="preserve"> </w:t>
      </w:r>
      <w:r w:rsidRPr="00FA4722">
        <w:t xml:space="preserve">47 C.F.R. § 1.115(b)(2)(i). The Commission is not required to sift through the prior pleadings to supply the reasoning that the Rule requires be so provided, “with particularity,” in the application for review.  </w:t>
      </w:r>
      <w:r w:rsidRPr="00FA4722">
        <w:rPr>
          <w:i/>
        </w:rPr>
        <w:t>See Tama Radio Licenses of Tampa, FL, Inc.</w:t>
      </w:r>
      <w:r w:rsidRPr="0060106D">
        <w:t>,</w:t>
      </w:r>
      <w:r w:rsidRPr="00FA4722">
        <w:t xml:space="preserve"> Memorandum Opinion and Order, 25 FCC Rcd 7588</w:t>
      </w:r>
      <w:r w:rsidR="005A035C">
        <w:t>, 7589</w:t>
      </w:r>
      <w:r w:rsidRPr="00FA4722">
        <w:t xml:space="preserve"> (2010), </w:t>
      </w:r>
      <w:r w:rsidRPr="00FA4722">
        <w:rPr>
          <w:i/>
        </w:rPr>
        <w:t>aff’d sub nom., Cherry v. FCC</w:t>
      </w:r>
      <w:r w:rsidRPr="0060106D">
        <w:t>,</w:t>
      </w:r>
      <w:r w:rsidRPr="00FA4722">
        <w:t xml:space="preserve"> 641 F.3d 494 (D.C. Cir. 2011); </w:t>
      </w:r>
      <w:r w:rsidRPr="00FA4722">
        <w:rPr>
          <w:i/>
        </w:rPr>
        <w:t>Red Hot Radio, Inc.</w:t>
      </w:r>
      <w:r w:rsidRPr="0060106D">
        <w:t>,</w:t>
      </w:r>
      <w:r w:rsidRPr="00FA4722">
        <w:t xml:space="preserve"> Memorandum Opinion and Order, 19 FCC Rcd 6737, 6745</w:t>
      </w:r>
      <w:r w:rsidR="0060106D">
        <w:t xml:space="preserve"> n.63</w:t>
      </w:r>
      <w:r w:rsidRPr="00FA4722">
        <w:t xml:space="preserve"> (2004).  We therefore dismiss the AFR to the extent it seeks to incorporate by reference arguments that CCA made in previously filed pleadings.  </w:t>
      </w:r>
      <w:r w:rsidRPr="00FA4722">
        <w:rPr>
          <w:i/>
        </w:rPr>
        <w:t>See Ernesto Bustos</w:t>
      </w:r>
      <w:r w:rsidRPr="0060106D">
        <w:t xml:space="preserve">, </w:t>
      </w:r>
      <w:r w:rsidRPr="00FA4722">
        <w:t>Memorandum Opinion and Order, 29 FCC Rcd 12863</w:t>
      </w:r>
      <w:r w:rsidR="00D3797D">
        <w:t>, 12863</w:t>
      </w:r>
      <w:r w:rsidR="0060106D">
        <w:t>-64</w:t>
      </w:r>
      <w:r w:rsidR="009F1447">
        <w:t xml:space="preserve"> </w:t>
      </w:r>
      <w:r w:rsidRPr="00FA4722">
        <w:t xml:space="preserve">n.8 (2014).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8B" w:rsidRDefault="00E146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C2865">
      <w:t>FCC 15-89</w:t>
    </w:r>
  </w:p>
  <w:p w:rsidR="00D25FB5" w:rsidRDefault="004219EB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AD268D5" wp14:editId="250C9F34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E5ACB38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4219EB" w:rsidP="00810B6F">
    <w:pPr>
      <w:pStyle w:val="Header"/>
      <w:rPr>
        <w:b w:val="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044500D" wp14:editId="07BFEB7A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0559548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  <w:r w:rsidR="002C2865">
      <w:rPr>
        <w:spacing w:val="-2"/>
      </w:rPr>
      <w:t>FCC 15-89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EB"/>
    <w:rsid w:val="000005EE"/>
    <w:rsid w:val="00003A16"/>
    <w:rsid w:val="00004913"/>
    <w:rsid w:val="0000653A"/>
    <w:rsid w:val="00012AFB"/>
    <w:rsid w:val="000167D8"/>
    <w:rsid w:val="0003246B"/>
    <w:rsid w:val="00033997"/>
    <w:rsid w:val="00036039"/>
    <w:rsid w:val="00037F90"/>
    <w:rsid w:val="00040E02"/>
    <w:rsid w:val="00046C52"/>
    <w:rsid w:val="00047973"/>
    <w:rsid w:val="00055351"/>
    <w:rsid w:val="00056A00"/>
    <w:rsid w:val="00057BB2"/>
    <w:rsid w:val="00067FEE"/>
    <w:rsid w:val="000724B5"/>
    <w:rsid w:val="0007553E"/>
    <w:rsid w:val="00080174"/>
    <w:rsid w:val="000825E3"/>
    <w:rsid w:val="00083391"/>
    <w:rsid w:val="00085409"/>
    <w:rsid w:val="000875BF"/>
    <w:rsid w:val="000905EC"/>
    <w:rsid w:val="00091ABE"/>
    <w:rsid w:val="00095238"/>
    <w:rsid w:val="00096053"/>
    <w:rsid w:val="00096D8C"/>
    <w:rsid w:val="000A092A"/>
    <w:rsid w:val="000B0618"/>
    <w:rsid w:val="000B255A"/>
    <w:rsid w:val="000C0B65"/>
    <w:rsid w:val="000C56F4"/>
    <w:rsid w:val="000C6B60"/>
    <w:rsid w:val="000C7323"/>
    <w:rsid w:val="000C7A0C"/>
    <w:rsid w:val="000D14D7"/>
    <w:rsid w:val="000D5AC2"/>
    <w:rsid w:val="000E0272"/>
    <w:rsid w:val="000E05FE"/>
    <w:rsid w:val="000E3D42"/>
    <w:rsid w:val="000E4491"/>
    <w:rsid w:val="000E5147"/>
    <w:rsid w:val="000E53DA"/>
    <w:rsid w:val="000F088E"/>
    <w:rsid w:val="000F10A3"/>
    <w:rsid w:val="000F2DB1"/>
    <w:rsid w:val="000F34E1"/>
    <w:rsid w:val="000F451E"/>
    <w:rsid w:val="000F5609"/>
    <w:rsid w:val="000F7557"/>
    <w:rsid w:val="001054FF"/>
    <w:rsid w:val="00112EF0"/>
    <w:rsid w:val="00113484"/>
    <w:rsid w:val="00117C67"/>
    <w:rsid w:val="00122BD5"/>
    <w:rsid w:val="00124A1D"/>
    <w:rsid w:val="00126D61"/>
    <w:rsid w:val="00133F79"/>
    <w:rsid w:val="00140264"/>
    <w:rsid w:val="001410E9"/>
    <w:rsid w:val="0014351A"/>
    <w:rsid w:val="001466FF"/>
    <w:rsid w:val="00147F7D"/>
    <w:rsid w:val="00154F20"/>
    <w:rsid w:val="00156133"/>
    <w:rsid w:val="0016149A"/>
    <w:rsid w:val="00164754"/>
    <w:rsid w:val="001765C6"/>
    <w:rsid w:val="001860CC"/>
    <w:rsid w:val="00191CC7"/>
    <w:rsid w:val="00194A66"/>
    <w:rsid w:val="001963F0"/>
    <w:rsid w:val="00197922"/>
    <w:rsid w:val="001A457C"/>
    <w:rsid w:val="001B6F8A"/>
    <w:rsid w:val="001C1378"/>
    <w:rsid w:val="001C5AE6"/>
    <w:rsid w:val="001C6B2C"/>
    <w:rsid w:val="001C7BF4"/>
    <w:rsid w:val="001D6BCF"/>
    <w:rsid w:val="001E01CA"/>
    <w:rsid w:val="001E3848"/>
    <w:rsid w:val="001E75A5"/>
    <w:rsid w:val="001F0907"/>
    <w:rsid w:val="001F2A54"/>
    <w:rsid w:val="001F3CF3"/>
    <w:rsid w:val="001F653A"/>
    <w:rsid w:val="001F721D"/>
    <w:rsid w:val="00212C36"/>
    <w:rsid w:val="00213F18"/>
    <w:rsid w:val="0022550A"/>
    <w:rsid w:val="00226929"/>
    <w:rsid w:val="002278A9"/>
    <w:rsid w:val="002313A4"/>
    <w:rsid w:val="00236375"/>
    <w:rsid w:val="00237D00"/>
    <w:rsid w:val="0025168F"/>
    <w:rsid w:val="00254831"/>
    <w:rsid w:val="00254AC6"/>
    <w:rsid w:val="00255B19"/>
    <w:rsid w:val="0025723E"/>
    <w:rsid w:val="00261200"/>
    <w:rsid w:val="0026293B"/>
    <w:rsid w:val="00264CD6"/>
    <w:rsid w:val="002668A3"/>
    <w:rsid w:val="00272452"/>
    <w:rsid w:val="00275CF5"/>
    <w:rsid w:val="00276DCC"/>
    <w:rsid w:val="0028145A"/>
    <w:rsid w:val="00281FB5"/>
    <w:rsid w:val="00282DD9"/>
    <w:rsid w:val="0028301F"/>
    <w:rsid w:val="00283D4C"/>
    <w:rsid w:val="00285017"/>
    <w:rsid w:val="002854EE"/>
    <w:rsid w:val="0029199D"/>
    <w:rsid w:val="002934E4"/>
    <w:rsid w:val="00294D5B"/>
    <w:rsid w:val="0029646E"/>
    <w:rsid w:val="00296799"/>
    <w:rsid w:val="00297771"/>
    <w:rsid w:val="002977CF"/>
    <w:rsid w:val="002A038E"/>
    <w:rsid w:val="002A0434"/>
    <w:rsid w:val="002A2D2E"/>
    <w:rsid w:val="002A5181"/>
    <w:rsid w:val="002B18F2"/>
    <w:rsid w:val="002B671F"/>
    <w:rsid w:val="002B68BC"/>
    <w:rsid w:val="002B7262"/>
    <w:rsid w:val="002C00E8"/>
    <w:rsid w:val="002C154B"/>
    <w:rsid w:val="002C1907"/>
    <w:rsid w:val="002C2865"/>
    <w:rsid w:val="002D0503"/>
    <w:rsid w:val="002D26D8"/>
    <w:rsid w:val="002D397C"/>
    <w:rsid w:val="002E5C95"/>
    <w:rsid w:val="002F2852"/>
    <w:rsid w:val="00302EFB"/>
    <w:rsid w:val="00304093"/>
    <w:rsid w:val="0031255B"/>
    <w:rsid w:val="00316492"/>
    <w:rsid w:val="00316DF3"/>
    <w:rsid w:val="00317DC9"/>
    <w:rsid w:val="0032166E"/>
    <w:rsid w:val="00321BF8"/>
    <w:rsid w:val="00321C68"/>
    <w:rsid w:val="003235A2"/>
    <w:rsid w:val="00327829"/>
    <w:rsid w:val="003279EA"/>
    <w:rsid w:val="00340B6D"/>
    <w:rsid w:val="00342075"/>
    <w:rsid w:val="00343749"/>
    <w:rsid w:val="00347B05"/>
    <w:rsid w:val="00353447"/>
    <w:rsid w:val="0035367A"/>
    <w:rsid w:val="00356A9E"/>
    <w:rsid w:val="003619E3"/>
    <w:rsid w:val="003631BF"/>
    <w:rsid w:val="003648B2"/>
    <w:rsid w:val="00364C25"/>
    <w:rsid w:val="003660ED"/>
    <w:rsid w:val="00385B9D"/>
    <w:rsid w:val="00386899"/>
    <w:rsid w:val="003871BB"/>
    <w:rsid w:val="00395769"/>
    <w:rsid w:val="003A7A38"/>
    <w:rsid w:val="003B0550"/>
    <w:rsid w:val="003B694F"/>
    <w:rsid w:val="003B7B04"/>
    <w:rsid w:val="003C08ED"/>
    <w:rsid w:val="003C48F0"/>
    <w:rsid w:val="003C7798"/>
    <w:rsid w:val="003D3567"/>
    <w:rsid w:val="003F0D44"/>
    <w:rsid w:val="003F171C"/>
    <w:rsid w:val="00400680"/>
    <w:rsid w:val="004006B7"/>
    <w:rsid w:val="00407C9E"/>
    <w:rsid w:val="00410B19"/>
    <w:rsid w:val="00412FC5"/>
    <w:rsid w:val="00413383"/>
    <w:rsid w:val="0041536B"/>
    <w:rsid w:val="004217F9"/>
    <w:rsid w:val="004219EB"/>
    <w:rsid w:val="00422276"/>
    <w:rsid w:val="004242F1"/>
    <w:rsid w:val="00431EFA"/>
    <w:rsid w:val="00432A4A"/>
    <w:rsid w:val="004339D1"/>
    <w:rsid w:val="00437A01"/>
    <w:rsid w:val="00442B34"/>
    <w:rsid w:val="00444626"/>
    <w:rsid w:val="00445A00"/>
    <w:rsid w:val="00450DE0"/>
    <w:rsid w:val="00451B0F"/>
    <w:rsid w:val="0045315E"/>
    <w:rsid w:val="00455E4C"/>
    <w:rsid w:val="00457710"/>
    <w:rsid w:val="0046187B"/>
    <w:rsid w:val="00464000"/>
    <w:rsid w:val="00466B69"/>
    <w:rsid w:val="00466F88"/>
    <w:rsid w:val="00472801"/>
    <w:rsid w:val="0048138D"/>
    <w:rsid w:val="00492948"/>
    <w:rsid w:val="004946FC"/>
    <w:rsid w:val="00496F97"/>
    <w:rsid w:val="004A3D16"/>
    <w:rsid w:val="004B120B"/>
    <w:rsid w:val="004B2EF3"/>
    <w:rsid w:val="004B438C"/>
    <w:rsid w:val="004B7CF8"/>
    <w:rsid w:val="004C2EE3"/>
    <w:rsid w:val="004C324D"/>
    <w:rsid w:val="004C5545"/>
    <w:rsid w:val="004C6C7D"/>
    <w:rsid w:val="004D194D"/>
    <w:rsid w:val="004D724A"/>
    <w:rsid w:val="004E07A9"/>
    <w:rsid w:val="004E4A22"/>
    <w:rsid w:val="004E5EEF"/>
    <w:rsid w:val="004F3EAC"/>
    <w:rsid w:val="00501D1A"/>
    <w:rsid w:val="00502714"/>
    <w:rsid w:val="005065B2"/>
    <w:rsid w:val="00511968"/>
    <w:rsid w:val="005333CD"/>
    <w:rsid w:val="0053353F"/>
    <w:rsid w:val="00534D3A"/>
    <w:rsid w:val="00542A05"/>
    <w:rsid w:val="00543D0A"/>
    <w:rsid w:val="0054727C"/>
    <w:rsid w:val="0055614C"/>
    <w:rsid w:val="005563D3"/>
    <w:rsid w:val="00560616"/>
    <w:rsid w:val="0056695E"/>
    <w:rsid w:val="00567857"/>
    <w:rsid w:val="00571383"/>
    <w:rsid w:val="00575BC8"/>
    <w:rsid w:val="00583E66"/>
    <w:rsid w:val="00587294"/>
    <w:rsid w:val="0059456F"/>
    <w:rsid w:val="005A035C"/>
    <w:rsid w:val="005A2997"/>
    <w:rsid w:val="005A2B31"/>
    <w:rsid w:val="005A5C8D"/>
    <w:rsid w:val="005A7A8A"/>
    <w:rsid w:val="005B1EEE"/>
    <w:rsid w:val="005B44CE"/>
    <w:rsid w:val="005C1501"/>
    <w:rsid w:val="005C1585"/>
    <w:rsid w:val="005C2E0E"/>
    <w:rsid w:val="005C349D"/>
    <w:rsid w:val="005C4302"/>
    <w:rsid w:val="005C5C79"/>
    <w:rsid w:val="005C732B"/>
    <w:rsid w:val="005C747E"/>
    <w:rsid w:val="005D0F3B"/>
    <w:rsid w:val="005D6EB3"/>
    <w:rsid w:val="005E00C0"/>
    <w:rsid w:val="005E14C2"/>
    <w:rsid w:val="005E250B"/>
    <w:rsid w:val="005E2517"/>
    <w:rsid w:val="005F104A"/>
    <w:rsid w:val="005F2987"/>
    <w:rsid w:val="00600DC2"/>
    <w:rsid w:val="0060106D"/>
    <w:rsid w:val="00602D6A"/>
    <w:rsid w:val="006049AD"/>
    <w:rsid w:val="00607BA5"/>
    <w:rsid w:val="0061180A"/>
    <w:rsid w:val="006168C4"/>
    <w:rsid w:val="00621497"/>
    <w:rsid w:val="00622508"/>
    <w:rsid w:val="00624EB1"/>
    <w:rsid w:val="00626EB6"/>
    <w:rsid w:val="00631203"/>
    <w:rsid w:val="00640351"/>
    <w:rsid w:val="00641A9D"/>
    <w:rsid w:val="0064233A"/>
    <w:rsid w:val="006534BE"/>
    <w:rsid w:val="00655D03"/>
    <w:rsid w:val="006562E6"/>
    <w:rsid w:val="00657AE1"/>
    <w:rsid w:val="00662E3E"/>
    <w:rsid w:val="00670BAB"/>
    <w:rsid w:val="00683388"/>
    <w:rsid w:val="00683F84"/>
    <w:rsid w:val="006941EE"/>
    <w:rsid w:val="00694C7C"/>
    <w:rsid w:val="00695F6D"/>
    <w:rsid w:val="006A037B"/>
    <w:rsid w:val="006A2A40"/>
    <w:rsid w:val="006A3AFC"/>
    <w:rsid w:val="006A4F33"/>
    <w:rsid w:val="006A6A81"/>
    <w:rsid w:val="006B30F8"/>
    <w:rsid w:val="006C20D6"/>
    <w:rsid w:val="006C27F8"/>
    <w:rsid w:val="006C7453"/>
    <w:rsid w:val="006C7B22"/>
    <w:rsid w:val="006D1755"/>
    <w:rsid w:val="006E1E47"/>
    <w:rsid w:val="006E22EC"/>
    <w:rsid w:val="006E37D0"/>
    <w:rsid w:val="006E79A4"/>
    <w:rsid w:val="006F3256"/>
    <w:rsid w:val="006F3B36"/>
    <w:rsid w:val="006F47CD"/>
    <w:rsid w:val="006F5728"/>
    <w:rsid w:val="006F5B45"/>
    <w:rsid w:val="006F7393"/>
    <w:rsid w:val="007002DD"/>
    <w:rsid w:val="007002FE"/>
    <w:rsid w:val="00701249"/>
    <w:rsid w:val="00701BC7"/>
    <w:rsid w:val="0070224F"/>
    <w:rsid w:val="007029FB"/>
    <w:rsid w:val="0070334B"/>
    <w:rsid w:val="007115F7"/>
    <w:rsid w:val="00717A9E"/>
    <w:rsid w:val="00720E60"/>
    <w:rsid w:val="00724195"/>
    <w:rsid w:val="00724B5C"/>
    <w:rsid w:val="00736FE9"/>
    <w:rsid w:val="00742F71"/>
    <w:rsid w:val="0074722E"/>
    <w:rsid w:val="007505F0"/>
    <w:rsid w:val="00751C65"/>
    <w:rsid w:val="007520F5"/>
    <w:rsid w:val="007539D1"/>
    <w:rsid w:val="0075763B"/>
    <w:rsid w:val="007624E7"/>
    <w:rsid w:val="00763F4C"/>
    <w:rsid w:val="007643EC"/>
    <w:rsid w:val="007672BA"/>
    <w:rsid w:val="007674C3"/>
    <w:rsid w:val="00771A42"/>
    <w:rsid w:val="00774996"/>
    <w:rsid w:val="00776B55"/>
    <w:rsid w:val="00781DAF"/>
    <w:rsid w:val="0078345D"/>
    <w:rsid w:val="00785689"/>
    <w:rsid w:val="0078626F"/>
    <w:rsid w:val="00793041"/>
    <w:rsid w:val="00796EB3"/>
    <w:rsid w:val="0079754B"/>
    <w:rsid w:val="00797BDF"/>
    <w:rsid w:val="007A1E6D"/>
    <w:rsid w:val="007A3A44"/>
    <w:rsid w:val="007A58E9"/>
    <w:rsid w:val="007B0EB2"/>
    <w:rsid w:val="007B5A63"/>
    <w:rsid w:val="007C1226"/>
    <w:rsid w:val="007C1C3C"/>
    <w:rsid w:val="007C25C5"/>
    <w:rsid w:val="007C2756"/>
    <w:rsid w:val="007E2729"/>
    <w:rsid w:val="007E5D12"/>
    <w:rsid w:val="007F0652"/>
    <w:rsid w:val="007F1126"/>
    <w:rsid w:val="007F211D"/>
    <w:rsid w:val="007F2543"/>
    <w:rsid w:val="007F48F5"/>
    <w:rsid w:val="007F7376"/>
    <w:rsid w:val="00800F13"/>
    <w:rsid w:val="008019E7"/>
    <w:rsid w:val="008025E9"/>
    <w:rsid w:val="0080674C"/>
    <w:rsid w:val="00810B6F"/>
    <w:rsid w:val="00810FEC"/>
    <w:rsid w:val="00813F3F"/>
    <w:rsid w:val="00822CE0"/>
    <w:rsid w:val="00823D4A"/>
    <w:rsid w:val="008330C8"/>
    <w:rsid w:val="00841AB1"/>
    <w:rsid w:val="00846153"/>
    <w:rsid w:val="00856C3B"/>
    <w:rsid w:val="00860581"/>
    <w:rsid w:val="00864B1E"/>
    <w:rsid w:val="00867A73"/>
    <w:rsid w:val="0087200A"/>
    <w:rsid w:val="0087355B"/>
    <w:rsid w:val="00880228"/>
    <w:rsid w:val="00883EE4"/>
    <w:rsid w:val="00887303"/>
    <w:rsid w:val="008876D6"/>
    <w:rsid w:val="0089163C"/>
    <w:rsid w:val="00891970"/>
    <w:rsid w:val="0089417D"/>
    <w:rsid w:val="008A0C6F"/>
    <w:rsid w:val="008A1610"/>
    <w:rsid w:val="008A53BA"/>
    <w:rsid w:val="008A72F6"/>
    <w:rsid w:val="008C12F5"/>
    <w:rsid w:val="008C5238"/>
    <w:rsid w:val="008C68F1"/>
    <w:rsid w:val="008D3B6B"/>
    <w:rsid w:val="008E1CD5"/>
    <w:rsid w:val="008E5B65"/>
    <w:rsid w:val="008E6491"/>
    <w:rsid w:val="0090174B"/>
    <w:rsid w:val="00901AAD"/>
    <w:rsid w:val="00906ADE"/>
    <w:rsid w:val="00912692"/>
    <w:rsid w:val="00915B55"/>
    <w:rsid w:val="00921803"/>
    <w:rsid w:val="009233EF"/>
    <w:rsid w:val="00926503"/>
    <w:rsid w:val="00930CB7"/>
    <w:rsid w:val="00932508"/>
    <w:rsid w:val="00935996"/>
    <w:rsid w:val="00937F36"/>
    <w:rsid w:val="009465CC"/>
    <w:rsid w:val="00954E37"/>
    <w:rsid w:val="009617FB"/>
    <w:rsid w:val="0096456E"/>
    <w:rsid w:val="00965C3E"/>
    <w:rsid w:val="00970BD6"/>
    <w:rsid w:val="009711AA"/>
    <w:rsid w:val="00971D2F"/>
    <w:rsid w:val="009726D8"/>
    <w:rsid w:val="0097549B"/>
    <w:rsid w:val="00985819"/>
    <w:rsid w:val="009934E5"/>
    <w:rsid w:val="00994428"/>
    <w:rsid w:val="00994BD3"/>
    <w:rsid w:val="00996685"/>
    <w:rsid w:val="009A16CD"/>
    <w:rsid w:val="009B045E"/>
    <w:rsid w:val="009B1015"/>
    <w:rsid w:val="009B255A"/>
    <w:rsid w:val="009B569C"/>
    <w:rsid w:val="009B7161"/>
    <w:rsid w:val="009B7728"/>
    <w:rsid w:val="009D111F"/>
    <w:rsid w:val="009D5753"/>
    <w:rsid w:val="009D628B"/>
    <w:rsid w:val="009E5A4C"/>
    <w:rsid w:val="009E6B71"/>
    <w:rsid w:val="009F1447"/>
    <w:rsid w:val="009F4420"/>
    <w:rsid w:val="009F44EA"/>
    <w:rsid w:val="009F48A8"/>
    <w:rsid w:val="009F540B"/>
    <w:rsid w:val="009F552B"/>
    <w:rsid w:val="009F62F3"/>
    <w:rsid w:val="009F76DB"/>
    <w:rsid w:val="00A05459"/>
    <w:rsid w:val="00A0591E"/>
    <w:rsid w:val="00A07E9D"/>
    <w:rsid w:val="00A13980"/>
    <w:rsid w:val="00A226A4"/>
    <w:rsid w:val="00A32C3B"/>
    <w:rsid w:val="00A45F4F"/>
    <w:rsid w:val="00A47512"/>
    <w:rsid w:val="00A50F95"/>
    <w:rsid w:val="00A53944"/>
    <w:rsid w:val="00A54D00"/>
    <w:rsid w:val="00A54EA6"/>
    <w:rsid w:val="00A55602"/>
    <w:rsid w:val="00A600A9"/>
    <w:rsid w:val="00A648D8"/>
    <w:rsid w:val="00A66660"/>
    <w:rsid w:val="00A75ED9"/>
    <w:rsid w:val="00A80271"/>
    <w:rsid w:val="00A81C45"/>
    <w:rsid w:val="00A91F63"/>
    <w:rsid w:val="00A96455"/>
    <w:rsid w:val="00AA1770"/>
    <w:rsid w:val="00AA1BA6"/>
    <w:rsid w:val="00AA53C6"/>
    <w:rsid w:val="00AA55B7"/>
    <w:rsid w:val="00AA5777"/>
    <w:rsid w:val="00AA5B4C"/>
    <w:rsid w:val="00AA5B9E"/>
    <w:rsid w:val="00AA64AD"/>
    <w:rsid w:val="00AA7D2C"/>
    <w:rsid w:val="00AB1A8B"/>
    <w:rsid w:val="00AB2407"/>
    <w:rsid w:val="00AB53DF"/>
    <w:rsid w:val="00AB5FDA"/>
    <w:rsid w:val="00AC2622"/>
    <w:rsid w:val="00AC6D46"/>
    <w:rsid w:val="00AD1E17"/>
    <w:rsid w:val="00AE19F4"/>
    <w:rsid w:val="00AF2CF6"/>
    <w:rsid w:val="00B0299D"/>
    <w:rsid w:val="00B04811"/>
    <w:rsid w:val="00B05267"/>
    <w:rsid w:val="00B07E5C"/>
    <w:rsid w:val="00B10B72"/>
    <w:rsid w:val="00B139C4"/>
    <w:rsid w:val="00B15C50"/>
    <w:rsid w:val="00B211BB"/>
    <w:rsid w:val="00B24732"/>
    <w:rsid w:val="00B2797E"/>
    <w:rsid w:val="00B401E4"/>
    <w:rsid w:val="00B448F3"/>
    <w:rsid w:val="00B45AE5"/>
    <w:rsid w:val="00B527C3"/>
    <w:rsid w:val="00B52A4A"/>
    <w:rsid w:val="00B54E64"/>
    <w:rsid w:val="00B57493"/>
    <w:rsid w:val="00B57EE0"/>
    <w:rsid w:val="00B65EF3"/>
    <w:rsid w:val="00B66141"/>
    <w:rsid w:val="00B71794"/>
    <w:rsid w:val="00B73041"/>
    <w:rsid w:val="00B811F7"/>
    <w:rsid w:val="00B81B09"/>
    <w:rsid w:val="00B97D58"/>
    <w:rsid w:val="00BA1C91"/>
    <w:rsid w:val="00BA5DC6"/>
    <w:rsid w:val="00BA6196"/>
    <w:rsid w:val="00BB2E73"/>
    <w:rsid w:val="00BB326B"/>
    <w:rsid w:val="00BB54B7"/>
    <w:rsid w:val="00BB793D"/>
    <w:rsid w:val="00BC10B7"/>
    <w:rsid w:val="00BC2006"/>
    <w:rsid w:val="00BC56CD"/>
    <w:rsid w:val="00BC6D8C"/>
    <w:rsid w:val="00BC71EF"/>
    <w:rsid w:val="00BE04C4"/>
    <w:rsid w:val="00BE526B"/>
    <w:rsid w:val="00BE6994"/>
    <w:rsid w:val="00BF4BBA"/>
    <w:rsid w:val="00BF6609"/>
    <w:rsid w:val="00BF7C89"/>
    <w:rsid w:val="00C023DC"/>
    <w:rsid w:val="00C04866"/>
    <w:rsid w:val="00C106EE"/>
    <w:rsid w:val="00C1525B"/>
    <w:rsid w:val="00C1604A"/>
    <w:rsid w:val="00C20FEC"/>
    <w:rsid w:val="00C24B71"/>
    <w:rsid w:val="00C34006"/>
    <w:rsid w:val="00C3439F"/>
    <w:rsid w:val="00C37175"/>
    <w:rsid w:val="00C3767A"/>
    <w:rsid w:val="00C407B7"/>
    <w:rsid w:val="00C4123A"/>
    <w:rsid w:val="00C4224C"/>
    <w:rsid w:val="00C426B1"/>
    <w:rsid w:val="00C47E21"/>
    <w:rsid w:val="00C511E9"/>
    <w:rsid w:val="00C52BED"/>
    <w:rsid w:val="00C53356"/>
    <w:rsid w:val="00C56451"/>
    <w:rsid w:val="00C61F73"/>
    <w:rsid w:val="00C66160"/>
    <w:rsid w:val="00C721AC"/>
    <w:rsid w:val="00C84C95"/>
    <w:rsid w:val="00C85B5C"/>
    <w:rsid w:val="00C8647D"/>
    <w:rsid w:val="00C90D6A"/>
    <w:rsid w:val="00C936A6"/>
    <w:rsid w:val="00C96D50"/>
    <w:rsid w:val="00CA1C0C"/>
    <w:rsid w:val="00CA247E"/>
    <w:rsid w:val="00CB30F2"/>
    <w:rsid w:val="00CB74DA"/>
    <w:rsid w:val="00CC0AC0"/>
    <w:rsid w:val="00CC251C"/>
    <w:rsid w:val="00CC6326"/>
    <w:rsid w:val="00CC72B6"/>
    <w:rsid w:val="00CC7D9C"/>
    <w:rsid w:val="00CD2407"/>
    <w:rsid w:val="00CD4919"/>
    <w:rsid w:val="00CD57F5"/>
    <w:rsid w:val="00CE23F8"/>
    <w:rsid w:val="00CF3017"/>
    <w:rsid w:val="00CF4DF0"/>
    <w:rsid w:val="00D00486"/>
    <w:rsid w:val="00D0218D"/>
    <w:rsid w:val="00D0375C"/>
    <w:rsid w:val="00D03CD4"/>
    <w:rsid w:val="00D04950"/>
    <w:rsid w:val="00D065CE"/>
    <w:rsid w:val="00D06A96"/>
    <w:rsid w:val="00D10DE3"/>
    <w:rsid w:val="00D117E7"/>
    <w:rsid w:val="00D170EC"/>
    <w:rsid w:val="00D21D16"/>
    <w:rsid w:val="00D25FB5"/>
    <w:rsid w:val="00D263C7"/>
    <w:rsid w:val="00D27105"/>
    <w:rsid w:val="00D323CF"/>
    <w:rsid w:val="00D34036"/>
    <w:rsid w:val="00D35818"/>
    <w:rsid w:val="00D3653E"/>
    <w:rsid w:val="00D3797D"/>
    <w:rsid w:val="00D37ABC"/>
    <w:rsid w:val="00D4412A"/>
    <w:rsid w:val="00D44223"/>
    <w:rsid w:val="00D45DF1"/>
    <w:rsid w:val="00D507E9"/>
    <w:rsid w:val="00D53A29"/>
    <w:rsid w:val="00D55454"/>
    <w:rsid w:val="00D55634"/>
    <w:rsid w:val="00D558A1"/>
    <w:rsid w:val="00D57C77"/>
    <w:rsid w:val="00D64586"/>
    <w:rsid w:val="00D66B63"/>
    <w:rsid w:val="00D84A24"/>
    <w:rsid w:val="00D94415"/>
    <w:rsid w:val="00D97F2F"/>
    <w:rsid w:val="00DA2529"/>
    <w:rsid w:val="00DB1207"/>
    <w:rsid w:val="00DB130A"/>
    <w:rsid w:val="00DB2EBB"/>
    <w:rsid w:val="00DB4778"/>
    <w:rsid w:val="00DC10A1"/>
    <w:rsid w:val="00DC3953"/>
    <w:rsid w:val="00DC655F"/>
    <w:rsid w:val="00DD0B59"/>
    <w:rsid w:val="00DD3EDC"/>
    <w:rsid w:val="00DD7EBD"/>
    <w:rsid w:val="00DE72F0"/>
    <w:rsid w:val="00DF22C7"/>
    <w:rsid w:val="00DF54A1"/>
    <w:rsid w:val="00DF62B6"/>
    <w:rsid w:val="00E05166"/>
    <w:rsid w:val="00E0526A"/>
    <w:rsid w:val="00E05681"/>
    <w:rsid w:val="00E07225"/>
    <w:rsid w:val="00E1468B"/>
    <w:rsid w:val="00E16515"/>
    <w:rsid w:val="00E20B3E"/>
    <w:rsid w:val="00E23637"/>
    <w:rsid w:val="00E322B2"/>
    <w:rsid w:val="00E34A9E"/>
    <w:rsid w:val="00E350EB"/>
    <w:rsid w:val="00E4128F"/>
    <w:rsid w:val="00E50975"/>
    <w:rsid w:val="00E5409F"/>
    <w:rsid w:val="00E55D40"/>
    <w:rsid w:val="00E61CC4"/>
    <w:rsid w:val="00E62BAF"/>
    <w:rsid w:val="00E776B1"/>
    <w:rsid w:val="00E814C9"/>
    <w:rsid w:val="00E8249B"/>
    <w:rsid w:val="00E869BD"/>
    <w:rsid w:val="00E927C7"/>
    <w:rsid w:val="00E96E1C"/>
    <w:rsid w:val="00E977B6"/>
    <w:rsid w:val="00EA3A6C"/>
    <w:rsid w:val="00EB4D12"/>
    <w:rsid w:val="00EC00E8"/>
    <w:rsid w:val="00EC41D9"/>
    <w:rsid w:val="00ED1CF6"/>
    <w:rsid w:val="00ED4C13"/>
    <w:rsid w:val="00ED6102"/>
    <w:rsid w:val="00EE2B57"/>
    <w:rsid w:val="00EE3590"/>
    <w:rsid w:val="00EE4A7C"/>
    <w:rsid w:val="00EE6488"/>
    <w:rsid w:val="00EF1BC2"/>
    <w:rsid w:val="00F021FA"/>
    <w:rsid w:val="00F07C4B"/>
    <w:rsid w:val="00F22344"/>
    <w:rsid w:val="00F36887"/>
    <w:rsid w:val="00F52AE7"/>
    <w:rsid w:val="00F53A04"/>
    <w:rsid w:val="00F547BA"/>
    <w:rsid w:val="00F574B4"/>
    <w:rsid w:val="00F60F0A"/>
    <w:rsid w:val="00F62E97"/>
    <w:rsid w:val="00F64209"/>
    <w:rsid w:val="00F6538B"/>
    <w:rsid w:val="00F66E87"/>
    <w:rsid w:val="00F74788"/>
    <w:rsid w:val="00F768AE"/>
    <w:rsid w:val="00F82BED"/>
    <w:rsid w:val="00F8490D"/>
    <w:rsid w:val="00F84D37"/>
    <w:rsid w:val="00F914FC"/>
    <w:rsid w:val="00F91530"/>
    <w:rsid w:val="00F93BF5"/>
    <w:rsid w:val="00F93D83"/>
    <w:rsid w:val="00F96506"/>
    <w:rsid w:val="00F969FE"/>
    <w:rsid w:val="00FA4722"/>
    <w:rsid w:val="00FA6309"/>
    <w:rsid w:val="00FA7A81"/>
    <w:rsid w:val="00FB0C7B"/>
    <w:rsid w:val="00FB2BD0"/>
    <w:rsid w:val="00FC0515"/>
    <w:rsid w:val="00FC05D7"/>
    <w:rsid w:val="00FC0BB2"/>
    <w:rsid w:val="00FC5DB3"/>
    <w:rsid w:val="00FC71CD"/>
    <w:rsid w:val="00FD190B"/>
    <w:rsid w:val="00FD1AA7"/>
    <w:rsid w:val="00FD2252"/>
    <w:rsid w:val="00FD26EE"/>
    <w:rsid w:val="00FD2DC9"/>
    <w:rsid w:val="00FD2FBE"/>
    <w:rsid w:val="00FD3033"/>
    <w:rsid w:val="00FD5A14"/>
    <w:rsid w:val="00FE0384"/>
    <w:rsid w:val="00FE3380"/>
    <w:rsid w:val="00FE4F2B"/>
    <w:rsid w:val="00FF3D42"/>
    <w:rsid w:val="00FF4AE1"/>
    <w:rsid w:val="00FF554B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3A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1F653A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1F653A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1F653A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1F653A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1F653A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1F653A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1F653A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F653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F653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1F653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F653A"/>
  </w:style>
  <w:style w:type="paragraph" w:customStyle="1" w:styleId="ParaNum">
    <w:name w:val="ParaNum"/>
    <w:basedOn w:val="Normal"/>
    <w:rsid w:val="001F653A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1F653A"/>
    <w:rPr>
      <w:sz w:val="20"/>
    </w:rPr>
  </w:style>
  <w:style w:type="character" w:styleId="EndnoteReference">
    <w:name w:val="endnote reference"/>
    <w:semiHidden/>
    <w:rsid w:val="001F653A"/>
    <w:rPr>
      <w:vertAlign w:val="superscript"/>
    </w:rPr>
  </w:style>
  <w:style w:type="paragraph" w:styleId="FootnoteText">
    <w:name w:val="footnote text"/>
    <w:link w:val="FootnoteTextChar"/>
    <w:rsid w:val="001F653A"/>
    <w:pPr>
      <w:spacing w:after="120"/>
    </w:pPr>
  </w:style>
  <w:style w:type="character" w:styleId="FootnoteReference">
    <w:name w:val="footnote reference"/>
    <w:rsid w:val="001F653A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1F653A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1F653A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1F653A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1F653A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1F653A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1F653A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1F653A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1F653A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1F653A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1F653A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1F653A"/>
  </w:style>
  <w:style w:type="paragraph" w:styleId="Header">
    <w:name w:val="header"/>
    <w:basedOn w:val="Normal"/>
    <w:autoRedefine/>
    <w:rsid w:val="001F653A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1F65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653A"/>
  </w:style>
  <w:style w:type="paragraph" w:styleId="BlockText">
    <w:name w:val="Block Text"/>
    <w:basedOn w:val="Normal"/>
    <w:rsid w:val="001F653A"/>
    <w:pPr>
      <w:spacing w:after="240"/>
      <w:ind w:left="1440" w:right="1440"/>
    </w:pPr>
  </w:style>
  <w:style w:type="paragraph" w:customStyle="1" w:styleId="Paratitle">
    <w:name w:val="Para title"/>
    <w:basedOn w:val="Normal"/>
    <w:rsid w:val="001F653A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1F653A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1F653A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1F653A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1F653A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1F653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13383"/>
    <w:rPr>
      <w:rFonts w:ascii="Tahoma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383"/>
    <w:rPr>
      <w:rFonts w:ascii="Tahoma" w:hAnsi="Tahoma" w:cs="Tahoma"/>
      <w:snapToGrid w:val="0"/>
      <w:kern w:val="28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AC6D46"/>
  </w:style>
  <w:style w:type="character" w:styleId="CommentReference">
    <w:name w:val="annotation reference"/>
    <w:basedOn w:val="DefaultParagraphFont"/>
    <w:rsid w:val="00C864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647D"/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rsid w:val="00C8647D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C86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647D"/>
    <w:rPr>
      <w:b/>
      <w:bCs/>
      <w:snapToGrid w:val="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3A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1F653A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1F653A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1F653A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1F653A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1F653A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1F653A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1F653A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F653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F653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1F653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F653A"/>
  </w:style>
  <w:style w:type="paragraph" w:customStyle="1" w:styleId="ParaNum">
    <w:name w:val="ParaNum"/>
    <w:basedOn w:val="Normal"/>
    <w:rsid w:val="001F653A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1F653A"/>
    <w:rPr>
      <w:sz w:val="20"/>
    </w:rPr>
  </w:style>
  <w:style w:type="character" w:styleId="EndnoteReference">
    <w:name w:val="endnote reference"/>
    <w:semiHidden/>
    <w:rsid w:val="001F653A"/>
    <w:rPr>
      <w:vertAlign w:val="superscript"/>
    </w:rPr>
  </w:style>
  <w:style w:type="paragraph" w:styleId="FootnoteText">
    <w:name w:val="footnote text"/>
    <w:link w:val="FootnoteTextChar"/>
    <w:rsid w:val="001F653A"/>
    <w:pPr>
      <w:spacing w:after="120"/>
    </w:pPr>
  </w:style>
  <w:style w:type="character" w:styleId="FootnoteReference">
    <w:name w:val="footnote reference"/>
    <w:rsid w:val="001F653A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1F653A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1F653A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1F653A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1F653A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1F653A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1F653A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1F653A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1F653A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1F653A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1F653A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1F653A"/>
  </w:style>
  <w:style w:type="paragraph" w:styleId="Header">
    <w:name w:val="header"/>
    <w:basedOn w:val="Normal"/>
    <w:autoRedefine/>
    <w:rsid w:val="001F653A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1F65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653A"/>
  </w:style>
  <w:style w:type="paragraph" w:styleId="BlockText">
    <w:name w:val="Block Text"/>
    <w:basedOn w:val="Normal"/>
    <w:rsid w:val="001F653A"/>
    <w:pPr>
      <w:spacing w:after="240"/>
      <w:ind w:left="1440" w:right="1440"/>
    </w:pPr>
  </w:style>
  <w:style w:type="paragraph" w:customStyle="1" w:styleId="Paratitle">
    <w:name w:val="Para title"/>
    <w:basedOn w:val="Normal"/>
    <w:rsid w:val="001F653A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1F653A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1F653A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1F653A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1F653A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1F653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13383"/>
    <w:rPr>
      <w:rFonts w:ascii="Tahoma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383"/>
    <w:rPr>
      <w:rFonts w:ascii="Tahoma" w:hAnsi="Tahoma" w:cs="Tahoma"/>
      <w:snapToGrid w:val="0"/>
      <w:kern w:val="28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AC6D46"/>
  </w:style>
  <w:style w:type="character" w:styleId="CommentReference">
    <w:name w:val="annotation reference"/>
    <w:basedOn w:val="DefaultParagraphFont"/>
    <w:rsid w:val="00C864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647D"/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rsid w:val="00C8647D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C86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647D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2</Pages>
  <Words>361</Words>
  <Characters>1966</Characters>
  <Application>Microsoft Office Word</Application>
  <DocSecurity>0</DocSecurity>
  <Lines>64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2326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2015-07-16T14:37:00Z</cp:lastPrinted>
  <dcterms:created xsi:type="dcterms:W3CDTF">2015-07-16T19:20:00Z</dcterms:created>
  <dcterms:modified xsi:type="dcterms:W3CDTF">2015-07-16T19:20:00Z</dcterms:modified>
  <cp:category> </cp:category>
  <cp:contentStatus> </cp:contentStatus>
</cp:coreProperties>
</file>