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41970" w:rsidRDefault="004C2EE3" w:rsidP="00156120">
      <w:pPr>
        <w:widowControl/>
        <w:jc w:val="center"/>
        <w:rPr>
          <w:b/>
        </w:rPr>
      </w:pPr>
      <w:bookmarkStart w:id="0" w:name="_GoBack"/>
      <w:bookmarkEnd w:id="0"/>
      <w:r w:rsidRPr="00F41970">
        <w:rPr>
          <w:b/>
          <w:kern w:val="0"/>
          <w:szCs w:val="22"/>
        </w:rPr>
        <w:t>Before</w:t>
      </w:r>
      <w:r w:rsidRPr="00F41970">
        <w:rPr>
          <w:b/>
        </w:rPr>
        <w:t xml:space="preserve"> the</w:t>
      </w:r>
    </w:p>
    <w:p w:rsidR="00921803" w:rsidRPr="00F41970" w:rsidRDefault="00921803" w:rsidP="00156120">
      <w:pPr>
        <w:pStyle w:val="StyleBoldCentered"/>
        <w:widowControl/>
        <w:rPr>
          <w:rFonts w:ascii="Times New Roman" w:hAnsi="Times New Roman"/>
        </w:rPr>
      </w:pPr>
      <w:r w:rsidRPr="00F41970">
        <w:rPr>
          <w:rFonts w:ascii="Times New Roman" w:hAnsi="Times New Roman"/>
        </w:rPr>
        <w:t>F</w:t>
      </w:r>
      <w:r w:rsidRPr="00F41970">
        <w:rPr>
          <w:rFonts w:ascii="Times New Roman" w:hAnsi="Times New Roman"/>
          <w:caps w:val="0"/>
        </w:rPr>
        <w:t>ederal Communications Commission</w:t>
      </w:r>
    </w:p>
    <w:p w:rsidR="004C2EE3" w:rsidRPr="00B65332" w:rsidRDefault="00F41970" w:rsidP="00156120">
      <w:pPr>
        <w:widowControl/>
        <w:jc w:val="center"/>
        <w:rPr>
          <w:b/>
        </w:rPr>
      </w:pPr>
      <w:r w:rsidRPr="00F41970">
        <w:rPr>
          <w:b/>
        </w:rPr>
        <w:t>Washington</w:t>
      </w:r>
      <w:r w:rsidRPr="00F41970">
        <w:rPr>
          <w:b/>
          <w:caps/>
        </w:rPr>
        <w:t xml:space="preserve">, </w:t>
      </w:r>
      <w:r w:rsidR="004C2EE3" w:rsidRPr="00F41970">
        <w:rPr>
          <w:b/>
        </w:rPr>
        <w:t>DC 20554</w:t>
      </w: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65332" w:rsidRDefault="00B65332" w:rsidP="00505270">
            <w:pPr>
              <w:tabs>
                <w:tab w:val="center" w:pos="4680"/>
              </w:tabs>
              <w:suppressAutoHyphens/>
              <w:rPr>
                <w:spacing w:val="-2"/>
              </w:rPr>
            </w:pPr>
          </w:p>
          <w:p w:rsidR="00505270" w:rsidRPr="009A2B7D" w:rsidRDefault="00505270" w:rsidP="00505270">
            <w:pPr>
              <w:tabs>
                <w:tab w:val="center" w:pos="4680"/>
              </w:tabs>
              <w:suppressAutoHyphens/>
              <w:rPr>
                <w:spacing w:val="-2"/>
                <w:szCs w:val="22"/>
              </w:rPr>
            </w:pPr>
            <w:r w:rsidRPr="009A2B7D">
              <w:rPr>
                <w:spacing w:val="-2"/>
                <w:szCs w:val="22"/>
              </w:rPr>
              <w:t>In the Matter of</w:t>
            </w:r>
          </w:p>
          <w:p w:rsidR="00505270" w:rsidRPr="009A2B7D" w:rsidRDefault="00505270" w:rsidP="00505270">
            <w:pPr>
              <w:tabs>
                <w:tab w:val="center" w:pos="4680"/>
              </w:tabs>
              <w:suppressAutoHyphens/>
              <w:rPr>
                <w:spacing w:val="-2"/>
                <w:szCs w:val="22"/>
              </w:rPr>
            </w:pPr>
          </w:p>
          <w:p w:rsidR="00505270" w:rsidRDefault="00894214" w:rsidP="00505270">
            <w:pPr>
              <w:tabs>
                <w:tab w:val="center" w:pos="4680"/>
              </w:tabs>
              <w:suppressAutoHyphens/>
              <w:rPr>
                <w:spacing w:val="-2"/>
                <w:szCs w:val="22"/>
              </w:rPr>
            </w:pPr>
            <w:r>
              <w:rPr>
                <w:spacing w:val="-2"/>
                <w:szCs w:val="22"/>
              </w:rPr>
              <w:t>GPSPS</w:t>
            </w:r>
            <w:r w:rsidR="00505270">
              <w:rPr>
                <w:spacing w:val="-2"/>
                <w:szCs w:val="22"/>
              </w:rPr>
              <w:t>, Inc.</w:t>
            </w:r>
          </w:p>
          <w:p w:rsidR="00505270" w:rsidRDefault="00505270" w:rsidP="00505270">
            <w:pPr>
              <w:tabs>
                <w:tab w:val="center" w:pos="4680"/>
              </w:tabs>
              <w:suppressAutoHyphens/>
              <w:rPr>
                <w:spacing w:val="-2"/>
                <w:szCs w:val="22"/>
              </w:rPr>
            </w:pPr>
          </w:p>
          <w:p w:rsidR="004C2EE3" w:rsidRPr="007115F7" w:rsidRDefault="004C2EE3" w:rsidP="00505270">
            <w:pPr>
              <w:tabs>
                <w:tab w:val="center" w:pos="4680"/>
              </w:tabs>
              <w:suppressAutoHyphens/>
              <w:rPr>
                <w:spacing w:val="-2"/>
              </w:rPr>
            </w:pPr>
          </w:p>
        </w:tc>
        <w:tc>
          <w:tcPr>
            <w:tcW w:w="630" w:type="dxa"/>
          </w:tcPr>
          <w:p w:rsidR="004C2EE3" w:rsidRPr="001848C6" w:rsidRDefault="004C2EE3">
            <w:pPr>
              <w:tabs>
                <w:tab w:val="center" w:pos="4680"/>
              </w:tabs>
              <w:suppressAutoHyphens/>
              <w:rPr>
                <w:spacing w:val="-2"/>
              </w:rPr>
            </w:pP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pPr>
              <w:tabs>
                <w:tab w:val="center" w:pos="4680"/>
              </w:tabs>
              <w:suppressAutoHyphens/>
              <w:rPr>
                <w:spacing w:val="-2"/>
              </w:rPr>
            </w:pPr>
            <w:r w:rsidRPr="001848C6">
              <w:rPr>
                <w:spacing w:val="-2"/>
              </w:rPr>
              <w:t>)</w:t>
            </w:r>
          </w:p>
          <w:p w:rsidR="004C2EE3" w:rsidRPr="001848C6" w:rsidRDefault="004C2EE3" w:rsidP="00505270">
            <w:pPr>
              <w:tabs>
                <w:tab w:val="center" w:pos="4680"/>
              </w:tabs>
              <w:suppressAutoHyphens/>
              <w:rPr>
                <w:spacing w:val="-2"/>
              </w:rPr>
            </w:pPr>
          </w:p>
        </w:tc>
        <w:tc>
          <w:tcPr>
            <w:tcW w:w="4248" w:type="dxa"/>
          </w:tcPr>
          <w:p w:rsidR="004C2EE3" w:rsidRDefault="004C2EE3">
            <w:pPr>
              <w:pStyle w:val="TOAHeading"/>
              <w:tabs>
                <w:tab w:val="clear" w:pos="9360"/>
                <w:tab w:val="center" w:pos="4680"/>
              </w:tabs>
              <w:rPr>
                <w:spacing w:val="-2"/>
              </w:rPr>
            </w:pPr>
          </w:p>
          <w:p w:rsidR="00505270" w:rsidRPr="009A2B7D" w:rsidRDefault="00505270" w:rsidP="00505270">
            <w:pPr>
              <w:tabs>
                <w:tab w:val="center" w:pos="4680"/>
              </w:tabs>
              <w:suppressAutoHyphens/>
              <w:rPr>
                <w:spacing w:val="-2"/>
                <w:szCs w:val="22"/>
              </w:rPr>
            </w:pPr>
          </w:p>
          <w:p w:rsidR="00505270" w:rsidRPr="009A2B7D" w:rsidRDefault="00505270" w:rsidP="00505270">
            <w:pPr>
              <w:tabs>
                <w:tab w:val="left" w:pos="1550"/>
              </w:tabs>
              <w:suppressAutoHyphens/>
              <w:rPr>
                <w:spacing w:val="-2"/>
                <w:szCs w:val="22"/>
              </w:rPr>
            </w:pPr>
            <w:r w:rsidRPr="009A2B7D">
              <w:rPr>
                <w:spacing w:val="-2"/>
                <w:szCs w:val="22"/>
              </w:rPr>
              <w:tab/>
            </w:r>
          </w:p>
          <w:p w:rsidR="002E5137" w:rsidRPr="009A2B7D" w:rsidRDefault="002E5137" w:rsidP="002E5137">
            <w:pPr>
              <w:tabs>
                <w:tab w:val="center" w:pos="4680"/>
              </w:tabs>
              <w:suppressAutoHyphens/>
              <w:rPr>
                <w:spacing w:val="-2"/>
                <w:szCs w:val="22"/>
              </w:rPr>
            </w:pPr>
            <w:r w:rsidRPr="009A2B7D">
              <w:rPr>
                <w:spacing w:val="-2"/>
                <w:szCs w:val="22"/>
              </w:rPr>
              <w:t xml:space="preserve">File No.: </w:t>
            </w:r>
            <w:r w:rsidR="00D31BDE">
              <w:rPr>
                <w:spacing w:val="-2"/>
                <w:szCs w:val="22"/>
              </w:rPr>
              <w:t xml:space="preserve"> EB-TCD-14-00016988</w:t>
            </w:r>
          </w:p>
          <w:p w:rsidR="002E5137" w:rsidRPr="009A2B7D" w:rsidRDefault="002E5137" w:rsidP="002E5137">
            <w:pPr>
              <w:tabs>
                <w:tab w:val="center" w:pos="4680"/>
              </w:tabs>
              <w:suppressAutoHyphens/>
              <w:rPr>
                <w:spacing w:val="-2"/>
                <w:szCs w:val="22"/>
              </w:rPr>
            </w:pPr>
            <w:r>
              <w:rPr>
                <w:spacing w:val="-2"/>
                <w:szCs w:val="22"/>
              </w:rPr>
              <w:t xml:space="preserve">NAL/Acct. No.:  </w:t>
            </w:r>
            <w:r w:rsidR="00D31BDE">
              <w:rPr>
                <w:spacing w:val="-2"/>
                <w:szCs w:val="22"/>
              </w:rPr>
              <w:t>201532170011</w:t>
            </w:r>
          </w:p>
          <w:p w:rsidR="004C2EE3" w:rsidRDefault="002E5137" w:rsidP="00505270">
            <w:pPr>
              <w:tabs>
                <w:tab w:val="center" w:pos="4680"/>
              </w:tabs>
              <w:suppressAutoHyphens/>
              <w:rPr>
                <w:spacing w:val="-2"/>
              </w:rPr>
            </w:pPr>
            <w:r w:rsidRPr="009A2B7D">
              <w:rPr>
                <w:spacing w:val="-2"/>
                <w:szCs w:val="22"/>
              </w:rPr>
              <w:t>FRN:  00</w:t>
            </w:r>
            <w:r w:rsidR="00D31BDE">
              <w:rPr>
                <w:spacing w:val="-2"/>
                <w:szCs w:val="22"/>
              </w:rPr>
              <w:t>22128334</w:t>
            </w:r>
          </w:p>
        </w:tc>
      </w:tr>
    </w:tbl>
    <w:p w:rsidR="00841AB1" w:rsidRDefault="00345E31" w:rsidP="00156120">
      <w:pPr>
        <w:pStyle w:val="StyleBoldCentered"/>
        <w:widowControl/>
      </w:pPr>
      <w:r>
        <w:t>Forfeiture order</w:t>
      </w:r>
    </w:p>
    <w:p w:rsidR="0011788B" w:rsidRDefault="0011788B" w:rsidP="0011788B">
      <w:pPr>
        <w:tabs>
          <w:tab w:val="left" w:pos="-720"/>
        </w:tabs>
        <w:suppressAutoHyphens/>
        <w:spacing w:line="227" w:lineRule="auto"/>
        <w:rPr>
          <w:spacing w:val="-2"/>
        </w:rPr>
      </w:pPr>
    </w:p>
    <w:p w:rsidR="0011788B" w:rsidRDefault="0011788B" w:rsidP="0011788B">
      <w:pPr>
        <w:tabs>
          <w:tab w:val="left" w:pos="720"/>
          <w:tab w:val="right" w:pos="9360"/>
        </w:tabs>
        <w:suppressAutoHyphens/>
        <w:spacing w:line="227" w:lineRule="auto"/>
        <w:rPr>
          <w:spacing w:val="-2"/>
        </w:rPr>
      </w:pPr>
      <w:r>
        <w:rPr>
          <w:b/>
          <w:spacing w:val="-2"/>
        </w:rPr>
        <w:t>Adopted:  July 20, 2015</w:t>
      </w:r>
      <w:r>
        <w:rPr>
          <w:b/>
          <w:spacing w:val="-2"/>
        </w:rPr>
        <w:tab/>
        <w:t>Released:  July 23, 2015</w:t>
      </w:r>
    </w:p>
    <w:p w:rsidR="00822CE0" w:rsidRDefault="00822CE0"/>
    <w:p w:rsidR="004C2EE3" w:rsidRDefault="004C2EE3" w:rsidP="00156120">
      <w:pPr>
        <w:widowControl/>
        <w:rPr>
          <w:spacing w:val="-2"/>
        </w:rPr>
      </w:pPr>
      <w:r>
        <w:t xml:space="preserve">By </w:t>
      </w:r>
      <w:r w:rsidR="004E4A22">
        <w:t>the</w:t>
      </w:r>
      <w:r w:rsidR="001D35C8">
        <w:t xml:space="preserve"> Commission</w:t>
      </w:r>
      <w:r>
        <w:rPr>
          <w:spacing w:val="-2"/>
        </w:rPr>
        <w:t>:</w:t>
      </w:r>
      <w:r w:rsidR="00D265ED">
        <w:rPr>
          <w:spacing w:val="-2"/>
        </w:rPr>
        <w:t xml:space="preserve"> Commissioner Pai issuing a statement.</w:t>
      </w:r>
    </w:p>
    <w:p w:rsidR="00822CE0" w:rsidRDefault="00822CE0">
      <w:pPr>
        <w:rPr>
          <w:spacing w:val="-2"/>
        </w:rPr>
      </w:pPr>
    </w:p>
    <w:p w:rsidR="00D0612C" w:rsidRDefault="00612D31" w:rsidP="00156120">
      <w:pPr>
        <w:pStyle w:val="ParaNum"/>
        <w:widowControl/>
      </w:pPr>
      <w:r>
        <w:t>W</w:t>
      </w:r>
      <w:r w:rsidR="0035207F">
        <w:t>e impose</w:t>
      </w:r>
      <w:r w:rsidR="00736891" w:rsidRPr="006877D7">
        <w:t xml:space="preserve"> a </w:t>
      </w:r>
      <w:r>
        <w:t>penalty</w:t>
      </w:r>
      <w:r w:rsidR="00736891" w:rsidRPr="006877D7">
        <w:t xml:space="preserve"> of </w:t>
      </w:r>
      <w:r w:rsidR="00D31BDE">
        <w:t>$9,065</w:t>
      </w:r>
      <w:r w:rsidR="00736891" w:rsidRPr="006877D7">
        <w:t>,000 again</w:t>
      </w:r>
      <w:r w:rsidR="00D31BDE">
        <w:t>st GPSPS, Inc. (GPSPS</w:t>
      </w:r>
      <w:r w:rsidR="00736891" w:rsidRPr="006877D7">
        <w:t xml:space="preserve"> or Company) for chang</w:t>
      </w:r>
      <w:r>
        <w:t>ing</w:t>
      </w:r>
      <w:r w:rsidR="00197590">
        <w:t xml:space="preserve"> the carriers of 65</w:t>
      </w:r>
      <w:r w:rsidR="00736891" w:rsidRPr="006877D7">
        <w:t xml:space="preserve"> consumers</w:t>
      </w:r>
      <w:r w:rsidR="003B454C">
        <w:t xml:space="preserve"> </w:t>
      </w:r>
      <w:r w:rsidR="00935F21">
        <w:t xml:space="preserve">without their </w:t>
      </w:r>
      <w:r w:rsidR="00736891" w:rsidRPr="006877D7">
        <w:t>authorization</w:t>
      </w:r>
      <w:r w:rsidR="00935F21">
        <w:t xml:space="preserve"> </w:t>
      </w:r>
      <w:r w:rsidR="00436522">
        <w:t xml:space="preserve">in </w:t>
      </w:r>
      <w:r w:rsidR="003C1CFB">
        <w:t>violation of</w:t>
      </w:r>
      <w:r w:rsidR="0001250E">
        <w:t xml:space="preserve"> </w:t>
      </w:r>
      <w:r w:rsidR="00436522">
        <w:t>our rules</w:t>
      </w:r>
      <w:r w:rsidR="00736891" w:rsidRPr="006877D7">
        <w:t>, a practice commonly known as “slamming</w:t>
      </w:r>
      <w:r w:rsidR="00935F21">
        <w:t>,</w:t>
      </w:r>
      <w:r w:rsidR="00736891" w:rsidRPr="006877D7">
        <w:t>”</w:t>
      </w:r>
      <w:r w:rsidR="00955B5B">
        <w:t xml:space="preserve"> and placing unauthorized or “crammed” charges fo</w:t>
      </w:r>
      <w:r w:rsidR="00197590">
        <w:t>r its long distance service on 4</w:t>
      </w:r>
      <w:r w:rsidR="00955B5B">
        <w:t>1 consumers’ telephone bills.</w:t>
      </w:r>
      <w:r w:rsidR="00AE5F78">
        <w:t xml:space="preserve">  </w:t>
      </w:r>
      <w:r w:rsidR="00B43AEC">
        <w:t xml:space="preserve">We also find that </w:t>
      </w:r>
      <w:r w:rsidR="002920F0">
        <w:t>GPSPS</w:t>
      </w:r>
      <w:r w:rsidR="00955B5B">
        <w:t xml:space="preserve"> relied on fabricated audio recordings as purported proof tha</w:t>
      </w:r>
      <w:r w:rsidR="00B43AEC">
        <w:t>t consumers had authorized the C</w:t>
      </w:r>
      <w:r w:rsidR="00955B5B">
        <w:t>ompany to switch their long distance carriers and to charge them for service, and then provided those fabricated recording</w:t>
      </w:r>
      <w:r w:rsidR="005F0AF2">
        <w:t xml:space="preserve">s to the Commission </w:t>
      </w:r>
      <w:r w:rsidR="00955B5B">
        <w:t xml:space="preserve">and state regulatory officials </w:t>
      </w:r>
      <w:r w:rsidR="0076279E">
        <w:t xml:space="preserve">as “proof” </w:t>
      </w:r>
      <w:r w:rsidR="00955B5B">
        <w:t>that the consumers had authorized its service.</w:t>
      </w:r>
      <w:r w:rsidR="00197590">
        <w:t xml:space="preserve">  </w:t>
      </w:r>
      <w:r w:rsidR="003C1CFB" w:rsidRPr="000C50F5">
        <w:t xml:space="preserve">  </w:t>
      </w:r>
    </w:p>
    <w:p w:rsidR="00736891" w:rsidRPr="00822FF3" w:rsidRDefault="00197590" w:rsidP="00156120">
      <w:pPr>
        <w:pStyle w:val="ParaNum"/>
        <w:widowControl/>
      </w:pPr>
      <w:r>
        <w:t>On February 27, 2015</w:t>
      </w:r>
      <w:r w:rsidR="00AC39D4">
        <w:t xml:space="preserve">, the Commission issued </w:t>
      </w:r>
      <w:r w:rsidR="000D3E75">
        <w:t>a Notice of Apparent Liability for Forfeiture (</w:t>
      </w:r>
      <w:r w:rsidR="00AC39D4" w:rsidRPr="00BB073D">
        <w:rPr>
          <w:i/>
        </w:rPr>
        <w:t>NAL</w:t>
      </w:r>
      <w:r w:rsidR="000D3E75">
        <w:rPr>
          <w:i/>
        </w:rPr>
        <w:t>)</w:t>
      </w:r>
      <w:r w:rsidR="00AC39D4">
        <w:t xml:space="preserve"> proposing </w:t>
      </w:r>
      <w:r w:rsidR="00BB073D">
        <w:t xml:space="preserve">a </w:t>
      </w:r>
      <w:r>
        <w:t>$9,065</w:t>
      </w:r>
      <w:r w:rsidR="00AC39D4">
        <w:t>,000</w:t>
      </w:r>
      <w:r>
        <w:t xml:space="preserve"> forfeiture against GPSPS</w:t>
      </w:r>
      <w:r w:rsidR="00BB073D">
        <w:t xml:space="preserve"> for its apparent</w:t>
      </w:r>
      <w:r w:rsidR="00736891" w:rsidRPr="00C30286">
        <w:t xml:space="preserve"> </w:t>
      </w:r>
      <w:r w:rsidR="00BB073D">
        <w:t>willful and repeated violation</w:t>
      </w:r>
      <w:r w:rsidR="000D3E75">
        <w:t>s</w:t>
      </w:r>
      <w:r w:rsidR="00BB073D">
        <w:t xml:space="preserve"> of</w:t>
      </w:r>
      <w:r w:rsidR="00FA497E">
        <w:t xml:space="preserve"> Section</w:t>
      </w:r>
      <w:r w:rsidR="000D3E75">
        <w:t>s</w:t>
      </w:r>
      <w:r w:rsidR="00FA497E">
        <w:t xml:space="preserve"> 201(b) </w:t>
      </w:r>
      <w:r w:rsidR="000D3E75">
        <w:t xml:space="preserve">and 258 </w:t>
      </w:r>
      <w:r w:rsidR="00FA497E">
        <w:t>of the Communications Ac</w:t>
      </w:r>
      <w:r w:rsidR="000D3E75">
        <w:t>t of 1934, as amended (Act)</w:t>
      </w:r>
      <w:r w:rsidR="002E5137">
        <w:t>,</w:t>
      </w:r>
      <w:r w:rsidR="000D3E75">
        <w:t xml:space="preserve"> </w:t>
      </w:r>
      <w:r w:rsidR="00746F33">
        <w:t>and Section 64.1120 of the Commission’s rules</w:t>
      </w:r>
      <w:r w:rsidR="000D3E75">
        <w:t xml:space="preserve"> (Rules).</w:t>
      </w:r>
      <w:r w:rsidR="000D3E75">
        <w:rPr>
          <w:rStyle w:val="FootnoteReference"/>
        </w:rPr>
        <w:footnoteReference w:id="2"/>
      </w:r>
      <w:r w:rsidR="00FA497E">
        <w:t xml:space="preserve"> </w:t>
      </w:r>
      <w:r w:rsidR="000D3E75">
        <w:t xml:space="preserve"> </w:t>
      </w:r>
      <w:r>
        <w:t xml:space="preserve">The </w:t>
      </w:r>
      <w:r w:rsidRPr="00197590">
        <w:rPr>
          <w:i/>
        </w:rPr>
        <w:t>NAL</w:t>
      </w:r>
      <w:r>
        <w:t xml:space="preserve"> also found that GPSPS </w:t>
      </w:r>
      <w:r w:rsidR="00B4354D">
        <w:t xml:space="preserve">apparently </w:t>
      </w:r>
      <w:r w:rsidR="007953AF">
        <w:t>violated Section 1.17</w:t>
      </w:r>
      <w:r>
        <w:t xml:space="preserve"> of the Rules by providing false and misleading material information to the Commission</w:t>
      </w:r>
      <w:r w:rsidR="00D0479A">
        <w:t xml:space="preserve"> and </w:t>
      </w:r>
      <w:r w:rsidR="00B4354D">
        <w:t>apparentl</w:t>
      </w:r>
      <w:r w:rsidR="001B6D75">
        <w:t>y violated a Commission order when it failed</w:t>
      </w:r>
      <w:r w:rsidR="00B4354D">
        <w:t xml:space="preserve"> to respond fully to an Enforcement Bureau letter of inquiry.</w:t>
      </w:r>
      <w:r w:rsidR="00D0479A">
        <w:rPr>
          <w:rStyle w:val="FootnoteReference"/>
        </w:rPr>
        <w:footnoteReference w:id="3"/>
      </w:r>
      <w:r w:rsidR="00B4354D">
        <w:t xml:space="preserve"> </w:t>
      </w:r>
      <w:r>
        <w:t xml:space="preserve"> </w:t>
      </w:r>
      <w:r w:rsidR="00D0479A">
        <w:t>GPSPS</w:t>
      </w:r>
      <w:r w:rsidR="000D3E75">
        <w:t xml:space="preserve"> has not filed a response to the </w:t>
      </w:r>
      <w:r w:rsidR="000D3E75" w:rsidRPr="000D3E75">
        <w:rPr>
          <w:i/>
        </w:rPr>
        <w:t>NAL</w:t>
      </w:r>
      <w:r w:rsidR="000D3E75">
        <w:t>.</w:t>
      </w:r>
      <w:r w:rsidR="00B16477">
        <w:t xml:space="preserve">  </w:t>
      </w:r>
      <w:r w:rsidR="000D3E75">
        <w:t xml:space="preserve">Based on the information before us, we affirm the forfeiture proposed in the </w:t>
      </w:r>
      <w:r w:rsidR="000D3E75" w:rsidRPr="000D3E75">
        <w:rPr>
          <w:i/>
        </w:rPr>
        <w:t>NAL</w:t>
      </w:r>
      <w:r w:rsidR="000D3E75">
        <w:t xml:space="preserve">.  </w:t>
      </w:r>
    </w:p>
    <w:p w:rsidR="007953AF" w:rsidRPr="006946F3" w:rsidRDefault="00736891" w:rsidP="0001250E">
      <w:pPr>
        <w:pStyle w:val="ParaNum"/>
        <w:widowControl/>
        <w:rPr>
          <w:rFonts w:eastAsia="MS Mincho"/>
          <w:color w:val="000000"/>
        </w:rPr>
      </w:pPr>
      <w:r w:rsidRPr="0085769D">
        <w:t xml:space="preserve">Accordingly, </w:t>
      </w:r>
      <w:r w:rsidRPr="0085769D">
        <w:rPr>
          <w:b/>
        </w:rPr>
        <w:t>IT IS ORDERED</w:t>
      </w:r>
      <w:r w:rsidR="00791140">
        <w:rPr>
          <w:b/>
        </w:rPr>
        <w:t xml:space="preserve"> </w:t>
      </w:r>
      <w:r w:rsidR="00791140">
        <w:t>that</w:t>
      </w:r>
      <w:r w:rsidRPr="0085769D">
        <w:t xml:space="preserve">, pursuant to Section 503(b) of </w:t>
      </w:r>
      <w:r w:rsidR="00791140">
        <w:t>the Act,</w:t>
      </w:r>
      <w:r w:rsidR="00791140">
        <w:rPr>
          <w:rStyle w:val="FootnoteReference"/>
        </w:rPr>
        <w:footnoteReference w:id="4"/>
      </w:r>
      <w:r w:rsidR="00791140">
        <w:t xml:space="preserve"> </w:t>
      </w:r>
      <w:r w:rsidRPr="0085769D">
        <w:t>and Se</w:t>
      </w:r>
      <w:r w:rsidR="00791140">
        <w:t>ction 1.80 of the R</w:t>
      </w:r>
      <w:r w:rsidRPr="0085769D">
        <w:t>ules,</w:t>
      </w:r>
      <w:r w:rsidR="00FB3DA8">
        <w:rPr>
          <w:rStyle w:val="FootnoteReference"/>
        </w:rPr>
        <w:footnoteReference w:id="5"/>
      </w:r>
      <w:r w:rsidR="00C004A6">
        <w:t xml:space="preserve"> </w:t>
      </w:r>
      <w:r w:rsidR="00B16477">
        <w:t>GPSPS</w:t>
      </w:r>
      <w:r w:rsidRPr="0085769D">
        <w:t xml:space="preserve">, Inc. </w:t>
      </w:r>
      <w:r w:rsidR="00C004A6">
        <w:rPr>
          <w:b/>
        </w:rPr>
        <w:t xml:space="preserve">IS LIABLE FOR A MONETARY FORFEITURE </w:t>
      </w:r>
      <w:r w:rsidR="00C004A6">
        <w:t xml:space="preserve">in the amount of </w:t>
      </w:r>
      <w:r w:rsidR="00B16477">
        <w:t>nine</w:t>
      </w:r>
      <w:r w:rsidR="001131AC">
        <w:t xml:space="preserve"> mi</w:t>
      </w:r>
      <w:r w:rsidR="00B16477">
        <w:t>llion sixty five</w:t>
      </w:r>
      <w:r w:rsidR="001131AC">
        <w:t xml:space="preserve"> thousand dollars (</w:t>
      </w:r>
      <w:r w:rsidR="004E5023">
        <w:t>$</w:t>
      </w:r>
      <w:r w:rsidR="00B16477">
        <w:t>9,065</w:t>
      </w:r>
      <w:r w:rsidRPr="0085769D">
        <w:t>,000</w:t>
      </w:r>
      <w:r w:rsidR="001131AC">
        <w:t>)</w:t>
      </w:r>
      <w:r>
        <w:t xml:space="preserve"> for willfully and</w:t>
      </w:r>
      <w:r w:rsidRPr="0085769D">
        <w:t xml:space="preserve"> repeatedly </w:t>
      </w:r>
      <w:r w:rsidR="00C004A6">
        <w:t>violating Sections 201(b) and 258 of the Act</w:t>
      </w:r>
      <w:r w:rsidR="001623B7">
        <w:rPr>
          <w:rStyle w:val="FootnoteReference"/>
        </w:rPr>
        <w:footnoteReference w:id="6"/>
      </w:r>
      <w:r w:rsidR="00C004A6">
        <w:t xml:space="preserve"> and Section</w:t>
      </w:r>
      <w:r w:rsidR="00B16477">
        <w:t>s</w:t>
      </w:r>
      <w:r w:rsidR="00C004A6">
        <w:t xml:space="preserve"> </w:t>
      </w:r>
      <w:r w:rsidR="007953AF">
        <w:t>1.17</w:t>
      </w:r>
      <w:r w:rsidR="00B16477">
        <w:t xml:space="preserve"> and </w:t>
      </w:r>
      <w:r w:rsidR="00C004A6">
        <w:t>64.1120 of the Rules</w:t>
      </w:r>
      <w:r w:rsidR="00B16477">
        <w:t>,</w:t>
      </w:r>
      <w:r w:rsidR="001623B7">
        <w:rPr>
          <w:rStyle w:val="FootnoteReference"/>
        </w:rPr>
        <w:footnoteReference w:id="7"/>
      </w:r>
      <w:r w:rsidR="00B16477">
        <w:t xml:space="preserve"> </w:t>
      </w:r>
      <w:r w:rsidR="00B16477">
        <w:rPr>
          <w:szCs w:val="22"/>
        </w:rPr>
        <w:t>as well as willfully violating a Commission order issued pursuant to delegated authority by the Enforcement Bureau to respond to a letter of inquiry.</w:t>
      </w:r>
      <w:r w:rsidR="00413E31">
        <w:rPr>
          <w:rStyle w:val="FootnoteReference"/>
          <w:szCs w:val="22"/>
        </w:rPr>
        <w:footnoteReference w:id="8"/>
      </w:r>
    </w:p>
    <w:p w:rsidR="00C004A6" w:rsidRPr="00C004A6" w:rsidRDefault="00736891" w:rsidP="00070944">
      <w:pPr>
        <w:pStyle w:val="ParaNum"/>
        <w:widowControl/>
        <w:rPr>
          <w:rFonts w:eastAsia="MS Mincho"/>
          <w:color w:val="000000"/>
        </w:rPr>
      </w:pPr>
      <w:r w:rsidRPr="0085769D">
        <w:rPr>
          <w:rFonts w:eastAsia="MS Mincho"/>
        </w:rPr>
        <w:lastRenderedPageBreak/>
        <w:t>Payment of the forfeiture shall be made in the manner provided for in Section 1.80 of the Rules within thirty (30) calendar days after the release date of this Forfeiture Order.</w:t>
      </w:r>
      <w:r w:rsidRPr="0085769D">
        <w:rPr>
          <w:rStyle w:val="FootnoteReference"/>
          <w:rFonts w:eastAsia="MS Mincho" w:cs="Arial"/>
        </w:rPr>
        <w:footnoteReference w:id="9"/>
      </w:r>
      <w:r w:rsidRPr="0085769D">
        <w:rPr>
          <w:rFonts w:eastAsia="MS Mincho"/>
        </w:rPr>
        <w:t xml:space="preserve">  If the forfeiture is not paid within the period specified, the case may be referred to the U.S. Department of Justice for enforcement of the forfeiture pursuant to Section 504(a) of the Act.</w:t>
      </w:r>
      <w:r w:rsidRPr="0085769D">
        <w:rPr>
          <w:rStyle w:val="FootnoteReference"/>
          <w:rFonts w:eastAsia="MS Mincho" w:cs="Arial"/>
        </w:rPr>
        <w:footnoteReference w:id="10"/>
      </w:r>
      <w:r>
        <w:rPr>
          <w:rFonts w:eastAsia="MS Mincho"/>
        </w:rPr>
        <w:t xml:space="preserve">  </w:t>
      </w:r>
    </w:p>
    <w:p w:rsidR="00736891" w:rsidRPr="0085769D" w:rsidRDefault="00C004A6" w:rsidP="00156120">
      <w:pPr>
        <w:pStyle w:val="ParaNum"/>
        <w:widowControl/>
        <w:rPr>
          <w:rFonts w:eastAsia="MS Mincho"/>
          <w:color w:val="000000"/>
        </w:rPr>
      </w:pPr>
      <w:r>
        <w:rPr>
          <w:rFonts w:eastAsia="MS Mincho"/>
        </w:rPr>
        <w:t>P</w:t>
      </w:r>
      <w:r w:rsidR="00736891" w:rsidRPr="0085769D">
        <w:t>ayment</w:t>
      </w:r>
      <w:r w:rsidR="00736891" w:rsidRPr="0085769D">
        <w:rPr>
          <w:rFonts w:eastAsia="MS Mincho"/>
        </w:rPr>
        <w:t xml:space="preserve"> </w:t>
      </w:r>
      <w:r>
        <w:rPr>
          <w:rFonts w:eastAsia="MS Mincho"/>
        </w:rPr>
        <w:t xml:space="preserve">of the forfeiture </w:t>
      </w:r>
      <w:r w:rsidR="00736891" w:rsidRPr="0085769D">
        <w:rPr>
          <w:rFonts w:eastAsia="MS Mincho"/>
        </w:rPr>
        <w:t>must be made by check or similar instrument, wire transfer, or credit card, an</w:t>
      </w:r>
      <w:r>
        <w:rPr>
          <w:rFonts w:eastAsia="MS Mincho"/>
        </w:rPr>
        <w:t>d must include the NAL/Account N</w:t>
      </w:r>
      <w:r w:rsidR="00736891" w:rsidRPr="0085769D">
        <w:rPr>
          <w:rFonts w:eastAsia="MS Mincho"/>
        </w:rPr>
        <w:t xml:space="preserve">umber and FRN referenced above.  </w:t>
      </w:r>
      <w:r w:rsidR="00FC5FE9">
        <w:rPr>
          <w:rFonts w:eastAsia="MS Mincho"/>
        </w:rPr>
        <w:t>GPSPS</w:t>
      </w:r>
      <w:r>
        <w:rPr>
          <w:rFonts w:eastAsia="MS Mincho"/>
        </w:rPr>
        <w:t xml:space="preserve">, Inc. shall send electronic notification of payment to Johnny Drake at </w:t>
      </w:r>
      <w:hyperlink r:id="rId8" w:history="1">
        <w:r w:rsidRPr="0040229E">
          <w:rPr>
            <w:rStyle w:val="Hyperlink"/>
            <w:rFonts w:eastAsia="MS Mincho"/>
          </w:rPr>
          <w:t>johnny.drake@fcc.gov</w:t>
        </w:r>
      </w:hyperlink>
      <w:r>
        <w:rPr>
          <w:rFonts w:eastAsia="MS Mincho"/>
        </w:rPr>
        <w:t xml:space="preserve"> on the date said payment is made.  </w:t>
      </w:r>
      <w:r w:rsidR="00736891" w:rsidRPr="0085769D">
        <w:rPr>
          <w:rFonts w:eastAsia="MS Mincho"/>
        </w:rPr>
        <w:t>Regardless of the form of payment, a completed FCC Form 159 (Remittance Advice) must be submitted.</w:t>
      </w:r>
      <w:r w:rsidR="00736891" w:rsidRPr="0085769D">
        <w:rPr>
          <w:rStyle w:val="FootnoteReference"/>
          <w:rFonts w:eastAsia="MS Mincho" w:cs="Arial"/>
        </w:rPr>
        <w:footnoteReference w:id="11"/>
      </w:r>
      <w:r w:rsidR="00736891" w:rsidRPr="0085769D">
        <w:rPr>
          <w:rFonts w:eastAsia="MS Mincho"/>
        </w:rPr>
        <w:t xml:space="preserve">  When completing the FCC Form 159, enter the Account Number in block number 23A (call sign/other ID) and enter the letters “FORF” in block nu</w:t>
      </w:r>
      <w:r>
        <w:rPr>
          <w:rFonts w:eastAsia="MS Mincho"/>
        </w:rPr>
        <w:t>mber 24A (payment type code).  </w:t>
      </w:r>
      <w:r w:rsidR="00736891" w:rsidRPr="0085769D">
        <w:rPr>
          <w:color w:val="000000"/>
        </w:rPr>
        <w:t>Below</w:t>
      </w:r>
      <w:r w:rsidR="00421AFB">
        <w:rPr>
          <w:color w:val="000000"/>
        </w:rPr>
        <w:t xml:space="preserve"> are additional instructio</w:t>
      </w:r>
      <w:r>
        <w:rPr>
          <w:color w:val="000000"/>
        </w:rPr>
        <w:t xml:space="preserve">ns that </w:t>
      </w:r>
      <w:r w:rsidR="00736891" w:rsidRPr="0085769D">
        <w:rPr>
          <w:color w:val="000000"/>
        </w:rPr>
        <w:t xml:space="preserve">should </w:t>
      </w:r>
      <w:r>
        <w:rPr>
          <w:color w:val="000000"/>
        </w:rPr>
        <w:t xml:space="preserve">be </w:t>
      </w:r>
      <w:r w:rsidR="00736891" w:rsidRPr="0085769D">
        <w:rPr>
          <w:color w:val="000000"/>
        </w:rPr>
        <w:t>follow</w:t>
      </w:r>
      <w:r>
        <w:rPr>
          <w:color w:val="000000"/>
        </w:rPr>
        <w:t>ed</w:t>
      </w:r>
      <w:r w:rsidR="00736891" w:rsidRPr="0085769D">
        <w:rPr>
          <w:color w:val="000000"/>
        </w:rPr>
        <w:t xml:space="preserve"> </w:t>
      </w:r>
      <w:r w:rsidR="00421AFB">
        <w:rPr>
          <w:color w:val="000000"/>
        </w:rPr>
        <w:t>based on</w:t>
      </w:r>
      <w:r>
        <w:rPr>
          <w:color w:val="000000"/>
        </w:rPr>
        <w:t xml:space="preserve"> the form of payment selected</w:t>
      </w:r>
      <w:r w:rsidR="00736891" w:rsidRPr="0085769D">
        <w:rPr>
          <w:color w:val="000000"/>
        </w:rPr>
        <w:t>:</w:t>
      </w:r>
    </w:p>
    <w:p w:rsidR="00736891" w:rsidRPr="003067DF" w:rsidRDefault="00736891" w:rsidP="00156120">
      <w:pPr>
        <w:pStyle w:val="ParaNum"/>
        <w:widowControl/>
        <w:numPr>
          <w:ilvl w:val="0"/>
          <w:numId w:val="5"/>
        </w:numPr>
        <w:rPr>
          <w:rFonts w:eastAsia="MS Mincho"/>
        </w:rPr>
      </w:pPr>
      <w:r w:rsidRPr="003067DF">
        <w:rPr>
          <w:rFonts w:eastAsia="MS Mincho"/>
        </w:rPr>
        <w:t>Payment by check or money order must be made payable to the order of the Federal Communications Commission.</w:t>
      </w:r>
      <w:r w:rsidR="00C004A6">
        <w:rPr>
          <w:rFonts w:eastAsia="MS Mincho"/>
        </w:rPr>
        <w:t xml:space="preserve">  Such payments (along with </w:t>
      </w:r>
      <w:r w:rsidRPr="003067DF">
        <w:rPr>
          <w:rFonts w:eastAsia="MS Mincho"/>
        </w:rPr>
        <w:t xml:space="preserve">completed Form 159) must be mailed to </w:t>
      </w:r>
      <w:r w:rsidR="00C004A6">
        <w:rPr>
          <w:rFonts w:eastAsia="MS Mincho"/>
        </w:rPr>
        <w:t xml:space="preserve">the </w:t>
      </w:r>
      <w:r w:rsidRPr="003067DF">
        <w:rPr>
          <w:rFonts w:eastAsia="MS Mincho"/>
        </w:rPr>
        <w:t>Federal Communications Commission, P.O. Box 979088, St. Louis, MO 63197-9000, or sent via overnight mail to U.S. Bank</w:t>
      </w:r>
      <w:r w:rsidR="00940E45">
        <w:rPr>
          <w:rFonts w:eastAsia="MS Mincho"/>
        </w:rPr>
        <w:t xml:space="preserve"> – </w:t>
      </w:r>
      <w:r w:rsidRPr="003067DF">
        <w:rPr>
          <w:rFonts w:eastAsia="MS Mincho"/>
        </w:rPr>
        <w:t xml:space="preserve">Government Lockbox #979088, SL-MO-C2-GL, 1005 Convention Plaza, St. Louis, MO 63101.  </w:t>
      </w:r>
    </w:p>
    <w:p w:rsidR="00736891" w:rsidRPr="003067DF" w:rsidRDefault="00736891" w:rsidP="00156120">
      <w:pPr>
        <w:pStyle w:val="ParaNum"/>
        <w:widowControl/>
        <w:numPr>
          <w:ilvl w:val="0"/>
          <w:numId w:val="5"/>
        </w:numPr>
        <w:rPr>
          <w:rFonts w:eastAsia="MS Mincho"/>
        </w:rPr>
      </w:pPr>
      <w:r w:rsidRPr="003067DF">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736891" w:rsidRDefault="00736891" w:rsidP="00156120">
      <w:pPr>
        <w:pStyle w:val="ParaNum"/>
        <w:widowControl/>
        <w:numPr>
          <w:ilvl w:val="0"/>
          <w:numId w:val="5"/>
        </w:numPr>
        <w:rPr>
          <w:rFonts w:eastAsia="MS Mincho"/>
        </w:rPr>
      </w:pPr>
      <w:r w:rsidRPr="003067DF">
        <w:rPr>
          <w:rFonts w:eastAsia="MS Mincho"/>
        </w:rPr>
        <w:t>Payment by credit card must be made by providing the required credit card information on FCC Form 159 and signing and dating the Form 159 to autho</w:t>
      </w:r>
      <w:r w:rsidR="00940E45">
        <w:rPr>
          <w:rFonts w:eastAsia="MS Mincho"/>
        </w:rPr>
        <w:t xml:space="preserve">rize the credit card payment.  </w:t>
      </w:r>
      <w:r w:rsidRPr="003067DF">
        <w:rPr>
          <w:rFonts w:eastAsia="MS Mincho"/>
        </w:rPr>
        <w:t xml:space="preserve">The completed Form 159 must then be mailed to Federal Communications Commission, P.O. Box 979088, St. Louis, MO 63197-9000, or sent via overnight mail to U.S. Bank – Government Lockbox #979088, SL-MO-C2-GL, 1005 Convention Plaza, St. Louis, MO 63101.  </w:t>
      </w:r>
    </w:p>
    <w:p w:rsidR="00C076A7" w:rsidRDefault="00736891" w:rsidP="00156120">
      <w:pPr>
        <w:pStyle w:val="ParaNum"/>
        <w:widowControl/>
        <w:rPr>
          <w:rFonts w:eastAsia="MS Mincho"/>
        </w:rPr>
      </w:pPr>
      <w:r w:rsidRPr="00407E04">
        <w:rPr>
          <w:rFonts w:eastAsia="MS Mincho"/>
        </w:rPr>
        <w:t xml:space="preserve">Any request for </w:t>
      </w:r>
      <w:r w:rsidR="00421AFB">
        <w:rPr>
          <w:rFonts w:eastAsia="MS Mincho"/>
        </w:rPr>
        <w:t xml:space="preserve">making </w:t>
      </w:r>
      <w:r w:rsidRPr="00407E04">
        <w:rPr>
          <w:rFonts w:eastAsia="MS Mincho"/>
        </w:rPr>
        <w:t xml:space="preserve">full payment </w:t>
      </w:r>
      <w:r w:rsidR="00421AFB">
        <w:rPr>
          <w:rFonts w:eastAsia="MS Mincho"/>
        </w:rPr>
        <w:t xml:space="preserve">over time </w:t>
      </w:r>
      <w:r w:rsidRPr="00407E04">
        <w:rPr>
          <w:rFonts w:eastAsia="MS Mincho"/>
        </w:rPr>
        <w:t>under an installment plan should be se</w:t>
      </w:r>
      <w:r w:rsidR="00940E45">
        <w:rPr>
          <w:rFonts w:eastAsia="MS Mincho"/>
        </w:rPr>
        <w:t xml:space="preserve">nt to:  Chief Financial Officer – </w:t>
      </w:r>
      <w:r w:rsidRPr="00407E04">
        <w:rPr>
          <w:rFonts w:eastAsia="MS Mincho"/>
        </w:rPr>
        <w:t xml:space="preserve">Financial Operations, </w:t>
      </w:r>
      <w:r w:rsidRPr="00407E04">
        <w:rPr>
          <w:rFonts w:eastAsia="MS Mincho" w:cs="Arial"/>
        </w:rPr>
        <w:t>Federal</w:t>
      </w:r>
      <w:r w:rsidRPr="00407E04">
        <w:rPr>
          <w:rFonts w:eastAsia="MS Mincho"/>
        </w:rPr>
        <w:t xml:space="preserve"> Communications Commission, 445 12th Street, SW, Room 1-A625, Washington, DC</w:t>
      </w:r>
      <w:r w:rsidR="00940E45">
        <w:rPr>
          <w:rFonts w:eastAsia="MS Mincho"/>
        </w:rPr>
        <w:t> </w:t>
      </w:r>
      <w:r w:rsidRPr="00407E04">
        <w:rPr>
          <w:rFonts w:eastAsia="MS Mincho"/>
        </w:rPr>
        <w:t>20554.</w:t>
      </w:r>
      <w:r w:rsidRPr="003067DF">
        <w:rPr>
          <w:rStyle w:val="FootnoteReference"/>
          <w:rFonts w:eastAsia="MS Mincho"/>
        </w:rPr>
        <w:footnoteReference w:id="12"/>
      </w:r>
      <w:r w:rsidR="00940E45">
        <w:rPr>
          <w:rFonts w:eastAsia="MS Mincho"/>
        </w:rPr>
        <w:t>  Q</w:t>
      </w:r>
      <w:r w:rsidRPr="00407E04">
        <w:rPr>
          <w:rFonts w:eastAsia="MS Mincho"/>
        </w:rPr>
        <w:t>uestions regarding pa</w:t>
      </w:r>
      <w:r w:rsidR="00940E45">
        <w:rPr>
          <w:rFonts w:eastAsia="MS Mincho"/>
        </w:rPr>
        <w:t>yment procedures should be directed to</w:t>
      </w:r>
      <w:r w:rsidRPr="00407E04">
        <w:rPr>
          <w:rFonts w:eastAsia="MS Mincho"/>
        </w:rPr>
        <w:t xml:space="preserve"> the Financial Operations Group Help Desk by </w:t>
      </w:r>
      <w:r w:rsidR="00940E45">
        <w:rPr>
          <w:rFonts w:eastAsia="MS Mincho"/>
        </w:rPr>
        <w:t>tele</w:t>
      </w:r>
      <w:r w:rsidRPr="00407E04">
        <w:rPr>
          <w:rFonts w:eastAsia="MS Mincho"/>
        </w:rPr>
        <w:t>phone, 1-877-480-3201, or by e</w:t>
      </w:r>
      <w:r w:rsidRPr="00407E04">
        <w:rPr>
          <w:rFonts w:eastAsia="MS Mincho"/>
        </w:rPr>
        <w:noBreakHyphen/>
        <w:t xml:space="preserve">mail, </w:t>
      </w:r>
      <w:r w:rsidR="004628B2" w:rsidRPr="001848C6">
        <w:rPr>
          <w:rFonts w:eastAsia="MS Mincho"/>
        </w:rPr>
        <w:t>ARINQUIRIES@fcc.gov</w:t>
      </w:r>
      <w:r w:rsidRPr="00407E04">
        <w:rPr>
          <w:rFonts w:eastAsia="MS Mincho"/>
        </w:rPr>
        <w:t>.</w:t>
      </w:r>
    </w:p>
    <w:p w:rsidR="00736891" w:rsidRDefault="00C076A7" w:rsidP="00156120">
      <w:pPr>
        <w:pStyle w:val="ParaNum"/>
        <w:widowControl/>
      </w:pPr>
      <w:r>
        <w:rPr>
          <w:rFonts w:eastAsia="MS Mincho"/>
        </w:rPr>
        <w:br w:type="page"/>
      </w:r>
      <w:r w:rsidR="00736891" w:rsidRPr="009A2B7D">
        <w:rPr>
          <w:b/>
        </w:rPr>
        <w:lastRenderedPageBreak/>
        <w:t>IT IS FURTHER ORDERED</w:t>
      </w:r>
      <w:r w:rsidR="00736891" w:rsidRPr="009A2B7D">
        <w:t xml:space="preserve"> that a copy of this </w:t>
      </w:r>
      <w:r w:rsidR="00940E45">
        <w:t xml:space="preserve">Forfeiture Order </w:t>
      </w:r>
      <w:r w:rsidR="00736891" w:rsidRPr="009A2B7D">
        <w:t xml:space="preserve">shall be sent by </w:t>
      </w:r>
      <w:r w:rsidR="00940E45">
        <w:t>first class mail and certified m</w:t>
      </w:r>
      <w:r w:rsidR="00736891" w:rsidRPr="009A2B7D">
        <w:t>ail</w:t>
      </w:r>
      <w:r w:rsidR="00940E45">
        <w:t>, return receipt r</w:t>
      </w:r>
      <w:r w:rsidR="00736891" w:rsidRPr="009A2B7D">
        <w:t>equested</w:t>
      </w:r>
      <w:r w:rsidR="00940E45">
        <w:t xml:space="preserve">, </w:t>
      </w:r>
      <w:r w:rsidR="00736891" w:rsidRPr="009A2B7D">
        <w:t>to</w:t>
      </w:r>
      <w:r w:rsidR="00421AFB">
        <w:t xml:space="preserve"> </w:t>
      </w:r>
      <w:r w:rsidR="00FC5FE9">
        <w:t>Clint R. Parry</w:t>
      </w:r>
      <w:r w:rsidR="00940E45">
        <w:t xml:space="preserve">, President, </w:t>
      </w:r>
      <w:r w:rsidR="00FC5FE9">
        <w:t>GPSPS</w:t>
      </w:r>
      <w:r w:rsidR="00421AFB">
        <w:t>, Inc.</w:t>
      </w:r>
      <w:r w:rsidR="00940E45">
        <w:t xml:space="preserve">, </w:t>
      </w:r>
      <w:r w:rsidR="00FC5FE9">
        <w:rPr>
          <w:szCs w:val="22"/>
        </w:rPr>
        <w:t>3355 Lenox Road, Suite 750, Atlanta, GA 30326</w:t>
      </w:r>
      <w:r w:rsidR="00940E45">
        <w:t xml:space="preserve">, and to </w:t>
      </w:r>
      <w:r w:rsidR="00421AFB">
        <w:t>Michael S. Welsh</w:t>
      </w:r>
      <w:r w:rsidR="00E73F6A">
        <w:t xml:space="preserve">, </w:t>
      </w:r>
      <w:r w:rsidR="00940E45">
        <w:t>Esq.</w:t>
      </w:r>
      <w:r w:rsidR="00421AFB">
        <w:t xml:space="preserve">, </w:t>
      </w:r>
      <w:r w:rsidR="00940E45">
        <w:t xml:space="preserve">Welsh Law, LLC, </w:t>
      </w:r>
      <w:r w:rsidR="00FC5FE9">
        <w:t>275 14</w:t>
      </w:r>
      <w:r w:rsidR="00FC5FE9" w:rsidRPr="00FC5FE9">
        <w:rPr>
          <w:vertAlign w:val="superscript"/>
        </w:rPr>
        <w:t>th</w:t>
      </w:r>
      <w:r w:rsidR="00FC5FE9">
        <w:t xml:space="preserve"> Street, NW, Suite 200, Atlanta, GA 30318</w:t>
      </w:r>
      <w:r w:rsidR="00736891" w:rsidRPr="009A2B7D">
        <w:t>.</w:t>
      </w:r>
    </w:p>
    <w:p w:rsidR="00DB2B48" w:rsidRPr="008E0592" w:rsidRDefault="00DB2B48" w:rsidP="00C0677F">
      <w:pPr>
        <w:pStyle w:val="ParaNum"/>
        <w:numPr>
          <w:ilvl w:val="0"/>
          <w:numId w:val="0"/>
        </w:numPr>
        <w:ind w:left="720"/>
      </w:pPr>
    </w:p>
    <w:p w:rsidR="003B30B1" w:rsidRDefault="00736891" w:rsidP="00156120">
      <w:pPr>
        <w:widowControl/>
      </w:pPr>
      <w:r w:rsidRPr="009A2B7D">
        <w:tab/>
      </w:r>
      <w:r w:rsidRPr="009A2B7D">
        <w:tab/>
      </w:r>
      <w:r w:rsidRPr="009A2B7D">
        <w:tab/>
      </w:r>
      <w:r w:rsidRPr="009A2B7D">
        <w:tab/>
      </w:r>
      <w:r w:rsidRPr="009A2B7D">
        <w:tab/>
      </w:r>
      <w:r w:rsidR="003B30B1">
        <w:tab/>
        <w:t>FEDERAL COMMUNICATIONS COMMISSION</w:t>
      </w:r>
    </w:p>
    <w:p w:rsidR="003B30B1" w:rsidRDefault="003B30B1" w:rsidP="0017296B"/>
    <w:p w:rsidR="003B30B1" w:rsidRDefault="003B30B1" w:rsidP="0017296B"/>
    <w:p w:rsidR="003B30B1" w:rsidRDefault="003B30B1" w:rsidP="0017296B"/>
    <w:p w:rsidR="003B30B1" w:rsidRDefault="003B30B1" w:rsidP="0017296B"/>
    <w:p w:rsidR="003B30B1" w:rsidRDefault="003B30B1" w:rsidP="00156120">
      <w:pPr>
        <w:widowControl/>
      </w:pPr>
      <w:r>
        <w:tab/>
      </w:r>
      <w:r>
        <w:tab/>
      </w:r>
      <w:r>
        <w:tab/>
      </w:r>
      <w:r>
        <w:tab/>
      </w:r>
      <w:r>
        <w:tab/>
      </w:r>
      <w:r>
        <w:tab/>
        <w:t>Marlene H. Dortch</w:t>
      </w:r>
    </w:p>
    <w:p w:rsidR="003B30B1" w:rsidRDefault="003B30B1" w:rsidP="00156120">
      <w:pPr>
        <w:widowControl/>
      </w:pPr>
      <w:r>
        <w:tab/>
      </w:r>
      <w:r>
        <w:tab/>
      </w:r>
      <w:r>
        <w:tab/>
      </w:r>
      <w:r>
        <w:tab/>
      </w:r>
      <w:r>
        <w:tab/>
      </w:r>
      <w:r>
        <w:tab/>
        <w:t>Secretary</w:t>
      </w:r>
    </w:p>
    <w:p w:rsidR="00D01DD4" w:rsidRDefault="00736891" w:rsidP="003B30B1">
      <w:pPr>
        <w:sectPr w:rsidR="00D01DD4" w:rsidSect="00B6533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r w:rsidRPr="009A2B7D">
        <w:tab/>
      </w:r>
      <w:r w:rsidRPr="009A2B7D">
        <w:tab/>
      </w:r>
      <w:r w:rsidRPr="009A2B7D">
        <w:tab/>
      </w:r>
      <w:r w:rsidRPr="009A2B7D">
        <w:tab/>
      </w:r>
      <w:r w:rsidR="00D01DD4">
        <w:tab/>
      </w:r>
    </w:p>
    <w:p w:rsidR="00D01DD4" w:rsidRDefault="00D01DD4" w:rsidP="00D01DD4">
      <w:pPr>
        <w:spacing w:after="240"/>
        <w:jc w:val="center"/>
        <w:rPr>
          <w:b/>
        </w:rPr>
      </w:pPr>
      <w:r>
        <w:rPr>
          <w:b/>
        </w:rPr>
        <w:t>STATEMENT OF</w:t>
      </w:r>
      <w:r>
        <w:rPr>
          <w:b/>
        </w:rPr>
        <w:br/>
        <w:t>COMMISSIONER AJIT PAI</w:t>
      </w:r>
    </w:p>
    <w:p w:rsidR="00D01DD4" w:rsidRDefault="00D01DD4" w:rsidP="00D01DD4">
      <w:pPr>
        <w:spacing w:after="120"/>
        <w:ind w:left="720" w:hanging="720"/>
      </w:pPr>
      <w:r>
        <w:t>Re:</w:t>
      </w:r>
      <w:r>
        <w:tab/>
      </w:r>
      <w:r>
        <w:rPr>
          <w:i/>
        </w:rPr>
        <w:t>GPSPS, Inc.</w:t>
      </w:r>
      <w:r>
        <w:t>, File No.: EB-TCD-14-00016988, NAL/Acct. No.: 201532170011, FRN: 0022128334.</w:t>
      </w:r>
    </w:p>
    <w:p w:rsidR="00D01DD4" w:rsidRDefault="00D01DD4" w:rsidP="00D01DD4">
      <w:pPr>
        <w:spacing w:after="120"/>
        <w:ind w:firstLine="720"/>
      </w:pPr>
      <w:r>
        <w:t>Our slamming rules are intended to protect consumers from unauthorized changes to their telephone service provider.</w:t>
      </w:r>
      <w:r>
        <w:rPr>
          <w:rStyle w:val="FootnoteReference"/>
        </w:rPr>
        <w:footnoteReference w:id="13"/>
      </w:r>
      <w:r>
        <w:t xml:space="preserve">  So a long-distance reseller trying to get a new customer must, for example, receive authorization for each “type” of service (“local exchange, intraLATA toll, and interLATA toll”),</w:t>
      </w:r>
      <w:r>
        <w:rPr>
          <w:rStyle w:val="FootnoteReference"/>
        </w:rPr>
        <w:footnoteReference w:id="14"/>
      </w:r>
      <w:r>
        <w:t xml:space="preserve"> make sure authorization is “from the subscriber,”</w:t>
      </w:r>
      <w:r>
        <w:rPr>
          <w:rStyle w:val="FootnoteReference"/>
        </w:rPr>
        <w:footnoteReference w:id="15"/>
      </w:r>
      <w:r>
        <w:t xml:space="preserve"> and verify that authorization using an “appropriately qualified independent third party” or another prescribed channel.</w:t>
      </w:r>
      <w:r>
        <w:rPr>
          <w:rStyle w:val="FootnoteReference"/>
        </w:rPr>
        <w:footnoteReference w:id="16"/>
      </w:r>
    </w:p>
    <w:p w:rsidR="00D01DD4" w:rsidRDefault="00D01DD4" w:rsidP="00D01DD4">
      <w:pPr>
        <w:spacing w:after="120"/>
        <w:ind w:firstLine="720"/>
      </w:pPr>
      <w:r>
        <w:t>But these rules weren’t enough to protect GPSPS’s victims.  Consider Ms. Duenas, whom GPSPS told that her husband had authorized GPSPS’s long-distance service—even though he had been dead for seven years.</w:t>
      </w:r>
      <w:r>
        <w:rPr>
          <w:rStyle w:val="FootnoteReference"/>
        </w:rPr>
        <w:footnoteReference w:id="17"/>
      </w:r>
      <w:r>
        <w:t xml:space="preserve">  Or consider Ms. Vega, who disputed GPSPS’s charges but was told that her father authorized them—even though he lives on another continent.</w:t>
      </w:r>
      <w:r>
        <w:rPr>
          <w:rStyle w:val="FootnoteReference"/>
        </w:rPr>
        <w:footnoteReference w:id="18"/>
      </w:r>
      <w:r>
        <w:t xml:space="preserve">  Or consider the many consumers that explained to us how GPSPS had falsified and fabricated verification recordings to appear to comply with Commission rules.</w:t>
      </w:r>
      <w:r>
        <w:rPr>
          <w:rStyle w:val="FootnoteReference"/>
        </w:rPr>
        <w:footnoteReference w:id="19"/>
      </w:r>
    </w:p>
    <w:p w:rsidR="00D01DD4" w:rsidRDefault="00D01DD4" w:rsidP="00D01DD4">
      <w:pPr>
        <w:spacing w:after="120"/>
        <w:ind w:firstLine="720"/>
      </w:pPr>
      <w:r>
        <w:t>This isn’t the first time our rules have failed.  We’ve seen a raft of consumer complaints about slamming in recent years, ranging from the egregious (“LDC staff did not return phone calls, hung up on callers, refused to take calls, and otherwise gave consumers the run-around.”</w:t>
      </w:r>
      <w:r>
        <w:rPr>
          <w:rStyle w:val="FootnoteReference"/>
        </w:rPr>
        <w:footnoteReference w:id="20"/>
      </w:r>
      <w:r>
        <w:t>) to the outrageous (Advantage “coach[ed] [customers] on the third party verification . . . to just say ‘yes’ to everything that they said.”</w:t>
      </w:r>
      <w:r>
        <w:rPr>
          <w:rStyle w:val="FootnoteReference"/>
        </w:rPr>
        <w:footnoteReference w:id="21"/>
      </w:r>
      <w:r>
        <w:t>) to the fraudulent (“USTLD’s sales representatives at times tricked consumers into believing that they were calling on behalf of the consumers’ existing providers.”</w:t>
      </w:r>
      <w:r>
        <w:rPr>
          <w:rStyle w:val="FootnoteReference"/>
        </w:rPr>
        <w:footnoteReference w:id="22"/>
      </w:r>
      <w:r>
        <w:t>).  Indeed, fly-by-night operators have figured out how to profit from skirting our rules rather than complying with them.</w:t>
      </w:r>
    </w:p>
    <w:p w:rsidR="00474066" w:rsidRPr="003B30B1" w:rsidRDefault="00D01DD4" w:rsidP="00D01DD4">
      <w:pPr>
        <w:spacing w:after="120"/>
        <w:ind w:firstLine="720"/>
      </w:pPr>
      <w:r>
        <w:t>How can we protect consumers?  Enforcement actions like this one are a good step, but more is needed.  Our rules already offer one avenue for relief: the preferred carrier freeze, which lets consumers opt out of these deceptive marketing practices.</w:t>
      </w:r>
      <w:r>
        <w:rPr>
          <w:rStyle w:val="FootnoteReference"/>
        </w:rPr>
        <w:footnoteReference w:id="23"/>
      </w:r>
      <w:r>
        <w:t xml:space="preserve">  But consumers shouldn’t have to opt out of a market for fraud.  My proposal:  Let’s open a proceeding and change this rule to make consumer protection not an option, but the default.</w:t>
      </w:r>
    </w:p>
    <w:sectPr w:rsidR="00474066" w:rsidRPr="003B30B1" w:rsidSect="00D01DD4">
      <w:footerReference w:type="first" r:id="rId15"/>
      <w:footnotePr>
        <w:numRestart w:val="eachSect"/>
      </w:footnotePr>
      <w:endnotePr>
        <w:numFmt w:val="decimal"/>
      </w:endnotePr>
      <w:pgSz w:w="12240" w:h="15840"/>
      <w:pgMar w:top="1440" w:right="1440" w:bottom="720" w:left="1440" w:header="720" w:footer="720" w:gutter="0"/>
      <w:pgNumType w:start="4"/>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D6" w:rsidRDefault="006A22D6">
      <w:pPr>
        <w:spacing w:line="20" w:lineRule="exact"/>
      </w:pPr>
    </w:p>
  </w:endnote>
  <w:endnote w:type="continuationSeparator" w:id="0">
    <w:p w:rsidR="006A22D6" w:rsidRDefault="006A22D6">
      <w:r>
        <w:t xml:space="preserve"> </w:t>
      </w:r>
    </w:p>
  </w:endnote>
  <w:endnote w:type="continuationNotice" w:id="1">
    <w:p w:rsidR="006A22D6" w:rsidRDefault="006A22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C0" w:rsidRDefault="00DB2EC6" w:rsidP="0055614C">
    <w:pPr>
      <w:pStyle w:val="Footer"/>
      <w:framePr w:wrap="around" w:vAnchor="text" w:hAnchor="margin" w:xAlign="center" w:y="1"/>
    </w:pPr>
    <w:r>
      <w:fldChar w:fldCharType="begin"/>
    </w:r>
    <w:r w:rsidR="00997DC0">
      <w:instrText xml:space="preserve">PAGE  </w:instrText>
    </w:r>
    <w:r>
      <w:fldChar w:fldCharType="end"/>
    </w:r>
  </w:p>
  <w:p w:rsidR="00997DC0" w:rsidRDefault="00997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C0" w:rsidRDefault="00DB2EC6" w:rsidP="00D31BDE">
    <w:pPr>
      <w:pStyle w:val="Footer"/>
      <w:framePr w:wrap="around" w:vAnchor="text" w:hAnchor="margin" w:xAlign="center" w:y="1"/>
      <w:jc w:val="center"/>
    </w:pPr>
    <w:r>
      <w:fldChar w:fldCharType="begin"/>
    </w:r>
    <w:r w:rsidR="00997DC0">
      <w:instrText xml:space="preserve">PAGE  </w:instrText>
    </w:r>
    <w:r>
      <w:fldChar w:fldCharType="separate"/>
    </w:r>
    <w:r w:rsidR="00527890">
      <w:rPr>
        <w:noProof/>
      </w:rPr>
      <w:t>2</w:t>
    </w:r>
    <w:r>
      <w:fldChar w:fldCharType="end"/>
    </w:r>
  </w:p>
  <w:p w:rsidR="00997DC0" w:rsidRDefault="00997DC0" w:rsidP="00156120">
    <w:pPr>
      <w:tabs>
        <w:tab w:val="left" w:pos="15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D4" w:rsidRDefault="00D01DD4">
    <w:pPr>
      <w:pStyle w:val="Footer"/>
      <w:jc w:val="center"/>
    </w:pPr>
  </w:p>
  <w:p w:rsidR="00997DC0" w:rsidRDefault="00997DC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29981"/>
      <w:docPartObj>
        <w:docPartGallery w:val="Page Numbers (Bottom of Page)"/>
        <w:docPartUnique/>
      </w:docPartObj>
    </w:sdtPr>
    <w:sdtEndPr>
      <w:rPr>
        <w:noProof/>
      </w:rPr>
    </w:sdtEndPr>
    <w:sdtContent>
      <w:p w:rsidR="001D6ADF" w:rsidRDefault="001D6AD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D6ADF" w:rsidRDefault="001D6AD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6" w:rsidRDefault="006A22D6">
      <w:r>
        <w:separator/>
      </w:r>
    </w:p>
  </w:footnote>
  <w:footnote w:type="continuationSeparator" w:id="0">
    <w:p w:rsidR="006A22D6" w:rsidRDefault="006A22D6">
      <w:pPr>
        <w:rPr>
          <w:sz w:val="20"/>
        </w:rPr>
      </w:pPr>
      <w:r>
        <w:rPr>
          <w:sz w:val="20"/>
        </w:rPr>
        <w:t xml:space="preserve">(Continued from previous page)  </w:t>
      </w:r>
      <w:r>
        <w:rPr>
          <w:sz w:val="20"/>
        </w:rPr>
        <w:separator/>
      </w:r>
    </w:p>
  </w:footnote>
  <w:footnote w:type="continuationNotice" w:id="1">
    <w:p w:rsidR="006A22D6" w:rsidRDefault="006A22D6">
      <w:pPr>
        <w:rPr>
          <w:sz w:val="20"/>
        </w:rPr>
      </w:pPr>
      <w:r>
        <w:rPr>
          <w:sz w:val="20"/>
        </w:rPr>
        <w:t>(continued….)</w:t>
      </w:r>
    </w:p>
  </w:footnote>
  <w:footnote w:id="2">
    <w:p w:rsidR="000D3E75" w:rsidRDefault="000D3E75" w:rsidP="000D3E75">
      <w:pPr>
        <w:pStyle w:val="FootnoteText"/>
      </w:pPr>
      <w:r>
        <w:rPr>
          <w:rStyle w:val="FootnoteReference"/>
        </w:rPr>
        <w:footnoteRef/>
      </w:r>
      <w:r>
        <w:t xml:space="preserve"> The </w:t>
      </w:r>
      <w:r w:rsidRPr="00AC39D4">
        <w:rPr>
          <w:i/>
        </w:rPr>
        <w:t>NAL</w:t>
      </w:r>
      <w:r>
        <w:t xml:space="preserve"> includes a more complete discussion of the facts and history of this case and is incorporated herein by reference.  </w:t>
      </w:r>
      <w:r w:rsidR="00D0479A">
        <w:rPr>
          <w:i/>
        </w:rPr>
        <w:t>GPSPS</w:t>
      </w:r>
      <w:r w:rsidRPr="00B75BDD">
        <w:rPr>
          <w:i/>
        </w:rPr>
        <w:t>, Inc.</w:t>
      </w:r>
      <w:r>
        <w:t>, Notice of Appar</w:t>
      </w:r>
      <w:r w:rsidR="00D0479A">
        <w:t xml:space="preserve">ent Liability for Forfeiture, </w:t>
      </w:r>
      <w:r w:rsidR="00404E51">
        <w:t xml:space="preserve">30 FCC Rcd 2522 </w:t>
      </w:r>
      <w:r w:rsidR="00D0479A">
        <w:t>(2015</w:t>
      </w:r>
      <w:r>
        <w:t>) (</w:t>
      </w:r>
      <w:r w:rsidRPr="00FA497E">
        <w:rPr>
          <w:i/>
        </w:rPr>
        <w:t>NAL</w:t>
      </w:r>
      <w:r>
        <w:t>); 47 U.S.C. §§ 201(b), 258; 47 C.F.R. § 64.1120.</w:t>
      </w:r>
    </w:p>
  </w:footnote>
  <w:footnote w:id="3">
    <w:p w:rsidR="00D0479A" w:rsidRDefault="00D0479A">
      <w:pPr>
        <w:pStyle w:val="FootnoteText"/>
      </w:pPr>
      <w:r>
        <w:rPr>
          <w:rStyle w:val="FootnoteReference"/>
        </w:rPr>
        <w:footnoteRef/>
      </w:r>
      <w:r>
        <w:t xml:space="preserve"> 47 C.F.R. § 1.17(a)</w:t>
      </w:r>
      <w:r w:rsidR="001B6D75">
        <w:t>(2); 47 U.S.C. § 503(b)(1)(B)</w:t>
      </w:r>
      <w:r>
        <w:t>.</w:t>
      </w:r>
    </w:p>
  </w:footnote>
  <w:footnote w:id="4">
    <w:p w:rsidR="00791140" w:rsidRDefault="00791140">
      <w:pPr>
        <w:pStyle w:val="FootnoteText"/>
      </w:pPr>
      <w:r>
        <w:rPr>
          <w:rStyle w:val="FootnoteReference"/>
        </w:rPr>
        <w:footnoteRef/>
      </w:r>
      <w:r>
        <w:t xml:space="preserve"> 47 U.S.C. § 503(b).</w:t>
      </w:r>
    </w:p>
  </w:footnote>
  <w:footnote w:id="5">
    <w:p w:rsidR="00FB3DA8" w:rsidRDefault="00FB3DA8">
      <w:pPr>
        <w:pStyle w:val="FootnoteText"/>
      </w:pPr>
      <w:r>
        <w:rPr>
          <w:rStyle w:val="FootnoteReference"/>
        </w:rPr>
        <w:footnoteRef/>
      </w:r>
      <w:r>
        <w:t xml:space="preserve"> 47 C.F.R. § 1.80.</w:t>
      </w:r>
    </w:p>
  </w:footnote>
  <w:footnote w:id="6">
    <w:p w:rsidR="001623B7" w:rsidRDefault="001623B7">
      <w:pPr>
        <w:pStyle w:val="FootnoteText"/>
      </w:pPr>
      <w:r>
        <w:rPr>
          <w:rStyle w:val="FootnoteReference"/>
        </w:rPr>
        <w:footnoteRef/>
      </w:r>
      <w:r>
        <w:t xml:space="preserve"> 47 U.S.C. §§ 201(b), 258.</w:t>
      </w:r>
    </w:p>
  </w:footnote>
  <w:footnote w:id="7">
    <w:p w:rsidR="001623B7" w:rsidRDefault="001623B7">
      <w:pPr>
        <w:pStyle w:val="FootnoteText"/>
      </w:pPr>
      <w:r>
        <w:rPr>
          <w:rStyle w:val="FootnoteReference"/>
        </w:rPr>
        <w:footnoteRef/>
      </w:r>
      <w:r>
        <w:t xml:space="preserve"> 47 C.F.R. §</w:t>
      </w:r>
      <w:r w:rsidR="007953AF">
        <w:t>§ 1.17,</w:t>
      </w:r>
      <w:r>
        <w:t xml:space="preserve"> 64.1120.</w:t>
      </w:r>
    </w:p>
  </w:footnote>
  <w:footnote w:id="8">
    <w:p w:rsidR="00413E31" w:rsidRDefault="00413E31">
      <w:pPr>
        <w:pStyle w:val="FootnoteText"/>
      </w:pPr>
      <w:r>
        <w:rPr>
          <w:rStyle w:val="FootnoteReference"/>
        </w:rPr>
        <w:footnoteRef/>
      </w:r>
      <w:r>
        <w:t xml:space="preserve"> 47 U.S.C. § 503(b)(1)(B).</w:t>
      </w:r>
    </w:p>
  </w:footnote>
  <w:footnote w:id="9">
    <w:p w:rsidR="00997DC0" w:rsidRDefault="00997DC0" w:rsidP="00736891">
      <w:pPr>
        <w:pStyle w:val="FootnoteText"/>
      </w:pPr>
      <w:r>
        <w:rPr>
          <w:rStyle w:val="FootnoteReference"/>
        </w:rPr>
        <w:footnoteRef/>
      </w:r>
      <w:r w:rsidR="00C004A6">
        <w:t xml:space="preserve"> </w:t>
      </w:r>
      <w:r w:rsidR="00A64377">
        <w:t>47 C.F.R. § 1.80.</w:t>
      </w:r>
    </w:p>
  </w:footnote>
  <w:footnote w:id="10">
    <w:p w:rsidR="00997DC0" w:rsidRDefault="00997DC0" w:rsidP="00736891">
      <w:pPr>
        <w:pStyle w:val="FootnoteText"/>
      </w:pPr>
      <w:r>
        <w:rPr>
          <w:rStyle w:val="FootnoteReference"/>
        </w:rPr>
        <w:footnoteRef/>
      </w:r>
      <w:r>
        <w:t xml:space="preserve"> 47 U.S.C. § 504(a).</w:t>
      </w:r>
    </w:p>
  </w:footnote>
  <w:footnote w:id="11">
    <w:p w:rsidR="00997DC0" w:rsidRDefault="00997DC0" w:rsidP="00736891">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12">
    <w:p w:rsidR="00997DC0" w:rsidRDefault="00997DC0" w:rsidP="00736891">
      <w:pPr>
        <w:pStyle w:val="FootnoteText"/>
      </w:pPr>
      <w:r>
        <w:rPr>
          <w:rStyle w:val="FootnoteReference"/>
        </w:rPr>
        <w:footnoteRef/>
      </w:r>
      <w:r>
        <w:t xml:space="preserve"> </w:t>
      </w:r>
      <w:r w:rsidRPr="00D70F1F">
        <w:rPr>
          <w:i/>
        </w:rPr>
        <w:t>See</w:t>
      </w:r>
      <w:r>
        <w:t xml:space="preserve"> 47 C.F.R. § 1.1914.</w:t>
      </w:r>
    </w:p>
  </w:footnote>
  <w:footnote w:id="13">
    <w:p w:rsidR="00D01DD4" w:rsidRDefault="00D01DD4" w:rsidP="00D01DD4">
      <w:pPr>
        <w:pStyle w:val="FootnoteText"/>
      </w:pPr>
      <w:r>
        <w:rPr>
          <w:rStyle w:val="FootnoteReference"/>
        </w:rPr>
        <w:footnoteRef/>
      </w:r>
      <w:r>
        <w:t xml:space="preserve"> </w:t>
      </w:r>
      <w:r>
        <w:rPr>
          <w:i/>
        </w:rPr>
        <w:t>See</w:t>
      </w:r>
      <w:r>
        <w:t xml:space="preserve"> 47 U.S.C. § 258; 47 C.F.R. Part 65, Subpart K.</w:t>
      </w:r>
    </w:p>
  </w:footnote>
  <w:footnote w:id="14">
    <w:p w:rsidR="00D01DD4" w:rsidRDefault="00D01DD4" w:rsidP="00D01DD4">
      <w:pPr>
        <w:pStyle w:val="FootnoteText"/>
      </w:pPr>
      <w:r>
        <w:rPr>
          <w:rStyle w:val="FootnoteReference"/>
        </w:rPr>
        <w:footnoteRef/>
      </w:r>
      <w:r>
        <w:t xml:space="preserve"> 47 C.F.R. § 64.1120(b).</w:t>
      </w:r>
    </w:p>
  </w:footnote>
  <w:footnote w:id="15">
    <w:p w:rsidR="00D01DD4" w:rsidRDefault="00D01DD4" w:rsidP="00D01DD4">
      <w:pPr>
        <w:pStyle w:val="FootnoteText"/>
      </w:pPr>
      <w:r>
        <w:rPr>
          <w:rStyle w:val="FootnoteReference"/>
        </w:rPr>
        <w:footnoteRef/>
      </w:r>
      <w:r>
        <w:t xml:space="preserve"> 47 C.F.R. § 64.1120(a)(1)(i).</w:t>
      </w:r>
    </w:p>
  </w:footnote>
  <w:footnote w:id="16">
    <w:p w:rsidR="00D01DD4" w:rsidRDefault="00D01DD4" w:rsidP="00D01DD4">
      <w:pPr>
        <w:pStyle w:val="FootnoteText"/>
      </w:pPr>
      <w:r>
        <w:rPr>
          <w:rStyle w:val="FootnoteReference"/>
        </w:rPr>
        <w:footnoteRef/>
      </w:r>
      <w:r>
        <w:t xml:space="preserve"> 47 C.F.R. § 64.1120(c)(3).</w:t>
      </w:r>
    </w:p>
  </w:footnote>
  <w:footnote w:id="17">
    <w:p w:rsidR="00D01DD4" w:rsidRDefault="00D01DD4" w:rsidP="00D01DD4">
      <w:pPr>
        <w:pStyle w:val="FootnoteText"/>
      </w:pPr>
      <w:r>
        <w:rPr>
          <w:rStyle w:val="FootnoteReference"/>
        </w:rPr>
        <w:footnoteRef/>
      </w:r>
      <w:r>
        <w:t xml:space="preserve"> </w:t>
      </w:r>
      <w:r>
        <w:rPr>
          <w:i/>
        </w:rPr>
        <w:t>GPSPS, Inc.</w:t>
      </w:r>
      <w:r>
        <w:t>, File No.: EB-TCD-14-00016988, NAL/Acct. No.: 201532170011, FRN: 0022128334, Notice of Apparent Liability for Forfeiture, 30 FCC Rcd 2522, 2525, para. 9 (2015).</w:t>
      </w:r>
    </w:p>
  </w:footnote>
  <w:footnote w:id="18">
    <w:p w:rsidR="00D01DD4" w:rsidRDefault="00D01DD4" w:rsidP="00D01DD4">
      <w:pPr>
        <w:pStyle w:val="FootnoteText"/>
      </w:pPr>
      <w:r>
        <w:rPr>
          <w:rStyle w:val="FootnoteReference"/>
        </w:rPr>
        <w:footnoteRef/>
      </w:r>
      <w:r>
        <w:t xml:space="preserve"> </w:t>
      </w:r>
      <w:r>
        <w:rPr>
          <w:i/>
        </w:rPr>
        <w:t>Id.</w:t>
      </w:r>
    </w:p>
  </w:footnote>
  <w:footnote w:id="19">
    <w:p w:rsidR="00D01DD4" w:rsidRDefault="00D01DD4" w:rsidP="00D01DD4">
      <w:pPr>
        <w:pStyle w:val="FootnoteText"/>
      </w:pPr>
      <w:r>
        <w:rPr>
          <w:rStyle w:val="FootnoteReference"/>
        </w:rPr>
        <w:footnoteRef/>
      </w:r>
      <w:r>
        <w:t xml:space="preserve"> </w:t>
      </w:r>
      <w:r>
        <w:rPr>
          <w:i/>
        </w:rPr>
        <w:t>Id.</w:t>
      </w:r>
      <w:r>
        <w:t xml:space="preserve"> at 2525, para. 10.</w:t>
      </w:r>
    </w:p>
  </w:footnote>
  <w:footnote w:id="20">
    <w:p w:rsidR="00D01DD4" w:rsidRDefault="00D01DD4" w:rsidP="00D01DD4">
      <w:pPr>
        <w:pStyle w:val="FootnoteText"/>
      </w:pPr>
      <w:r>
        <w:rPr>
          <w:rStyle w:val="FootnoteReference"/>
        </w:rPr>
        <w:footnoteRef/>
      </w:r>
      <w:r>
        <w:t xml:space="preserve"> </w:t>
      </w:r>
      <w:r>
        <w:rPr>
          <w:i/>
        </w:rPr>
        <w:t>LDC Telecommunications Inc.</w:t>
      </w:r>
      <w:r>
        <w:t>, File No.: EB-TCD-12-00000420, NAL/Acct. No.: 201232170010, FRN: 0004337556, Notice of Apparent Liability for Forfeiture, 27 FCC Rcd 10789, 10798 (2012) (Statement of Commissioner Ajit Pai, Approving in Part and Dissenting in Part).</w:t>
      </w:r>
    </w:p>
  </w:footnote>
  <w:footnote w:id="21">
    <w:p w:rsidR="00D01DD4" w:rsidRDefault="00D01DD4" w:rsidP="00D01DD4">
      <w:pPr>
        <w:pStyle w:val="FootnoteText"/>
      </w:pPr>
      <w:r>
        <w:rPr>
          <w:rStyle w:val="FootnoteReference"/>
        </w:rPr>
        <w:footnoteRef/>
      </w:r>
      <w:r>
        <w:t xml:space="preserve"> </w:t>
      </w:r>
      <w:r>
        <w:rPr>
          <w:i/>
        </w:rPr>
        <w:t>Advantage Telecommunications Corp.</w:t>
      </w:r>
      <w:r>
        <w:t>, File No.: EB-TCD-12-00004803, NAL/Acct. No.: 201332170013, FRN: 0005077730, Notice of Apparent Liability for Forfeiture, 28 FCC Rcd 6843, 6848, para. 12 (2013).</w:t>
      </w:r>
    </w:p>
  </w:footnote>
  <w:footnote w:id="22">
    <w:p w:rsidR="00D01DD4" w:rsidRDefault="00D01DD4" w:rsidP="00D01DD4">
      <w:pPr>
        <w:pStyle w:val="FootnoteText"/>
      </w:pPr>
      <w:r>
        <w:rPr>
          <w:rStyle w:val="FootnoteReference"/>
        </w:rPr>
        <w:footnoteRef/>
      </w:r>
      <w:r>
        <w:t xml:space="preserve"> </w:t>
      </w:r>
      <w:r>
        <w:rPr>
          <w:i/>
        </w:rPr>
        <w:t>U.S. Telecom Long Distance, Inc.</w:t>
      </w:r>
      <w:r>
        <w:t>, File No.: EB-TCD-13-00008959, NAL/Acct. No. 201432170002, FRN: 0004964417, Notice of Apparent Liability for Forfeiture, 29 FCC Rcd 823, 826, para. 8 (2014).</w:t>
      </w:r>
    </w:p>
  </w:footnote>
  <w:footnote w:id="23">
    <w:p w:rsidR="00D01DD4" w:rsidRDefault="00D01DD4" w:rsidP="00D01DD4">
      <w:pPr>
        <w:pStyle w:val="FootnoteText"/>
      </w:pPr>
      <w:r>
        <w:rPr>
          <w:rStyle w:val="FootnoteReference"/>
        </w:rPr>
        <w:footnoteRef/>
      </w:r>
      <w:r>
        <w:t xml:space="preserve"> 47 C.F.R. § 64.1190.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3D" w:rsidRDefault="00067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7" w:rsidRDefault="00ED7FB7" w:rsidP="00883FBA">
    <w:pPr>
      <w:pStyle w:val="Header"/>
      <w:rPr>
        <w:spacing w:val="-2"/>
      </w:rPr>
    </w:pPr>
    <w:r>
      <w:rPr>
        <w:noProof/>
        <w:snapToGrid/>
      </w:rPr>
      <mc:AlternateContent>
        <mc:Choice Requires="wps">
          <w:drawing>
            <wp:anchor distT="0" distB="0" distL="114300" distR="114300" simplePos="0" relativeHeight="251661312" behindDoc="1" locked="0" layoutInCell="0" allowOverlap="1" wp14:anchorId="291B31FA" wp14:editId="13590EC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9E2EA"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E1633">
      <w:rPr>
        <w:spacing w:val="-2"/>
      </w:rPr>
      <w:t>FCC 15</w:t>
    </w:r>
    <w:r w:rsidR="007B2FCA">
      <w:rPr>
        <w:spacing w:val="-2"/>
      </w:rPr>
      <w:t>-93</w:t>
    </w:r>
  </w:p>
  <w:p w:rsidR="00413E31" w:rsidRPr="00ED7FB7" w:rsidRDefault="00413E31" w:rsidP="00883FBA">
    <w:pPr>
      <w:pStyle w:val="Header"/>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7" w:rsidRDefault="00ED7FB7" w:rsidP="00ED7FB7">
    <w:pPr>
      <w:pStyle w:val="Header"/>
      <w:rPr>
        <w:spacing w:val="-2"/>
      </w:rPr>
    </w:pPr>
    <w:r>
      <w:rPr>
        <w:noProof/>
        <w:snapToGrid/>
      </w:rPr>
      <mc:AlternateContent>
        <mc:Choice Requires="wps">
          <w:drawing>
            <wp:anchor distT="0" distB="0" distL="114300" distR="114300" simplePos="0" relativeHeight="251659264" behindDoc="1" locked="0" layoutInCell="0" allowOverlap="1" wp14:anchorId="102FAE32" wp14:editId="103A646C">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12916"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3E1633">
      <w:rPr>
        <w:spacing w:val="-2"/>
      </w:rPr>
      <w:t>FCC 15</w:t>
    </w:r>
    <w:r w:rsidR="007B2FCA">
      <w:rPr>
        <w:spacing w:val="-2"/>
      </w:rPr>
      <w:t>-93</w:t>
    </w:r>
  </w:p>
  <w:p w:rsidR="00592341" w:rsidRPr="00ED7FB7" w:rsidRDefault="00592341" w:rsidP="00ED7FB7">
    <w:pPr>
      <w:pStyle w:val="Header"/>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890"/>
    <w:multiLevelType w:val="multilevel"/>
    <w:tmpl w:val="20D01988"/>
    <w:lvl w:ilvl="0">
      <w:start w:val="1"/>
      <w:numFmt w:val="upperRoman"/>
      <w:lvlText w:val="%1."/>
      <w:lvlJc w:val="left"/>
      <w:pPr>
        <w:tabs>
          <w:tab w:val="num" w:pos="720"/>
        </w:tabs>
        <w:ind w:left="720" w:hanging="720"/>
      </w:pPr>
      <w:rPr>
        <w:rFonts w:hint="default"/>
      </w:rPr>
    </w:lvl>
    <w:lvl w:ilvl="1">
      <w:start w:val="1"/>
      <w:numFmt w:val="none"/>
      <w:lvlText w:val="C."/>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8">
    <w:nsid w:val="7D5A49DE"/>
    <w:multiLevelType w:val="hybridMultilevel"/>
    <w:tmpl w:val="945CF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6"/>
  </w:num>
  <w:num w:numId="7">
    <w:abstractNumId w:val="5"/>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91"/>
    <w:rsid w:val="00001F12"/>
    <w:rsid w:val="00002520"/>
    <w:rsid w:val="00002755"/>
    <w:rsid w:val="000043A0"/>
    <w:rsid w:val="00005FC9"/>
    <w:rsid w:val="00006CB4"/>
    <w:rsid w:val="00007A63"/>
    <w:rsid w:val="0001250E"/>
    <w:rsid w:val="00013237"/>
    <w:rsid w:val="00013800"/>
    <w:rsid w:val="000144E7"/>
    <w:rsid w:val="00014F5A"/>
    <w:rsid w:val="00015BFB"/>
    <w:rsid w:val="00016F26"/>
    <w:rsid w:val="00022278"/>
    <w:rsid w:val="00027772"/>
    <w:rsid w:val="000356C8"/>
    <w:rsid w:val="00036039"/>
    <w:rsid w:val="00037F90"/>
    <w:rsid w:val="0004531D"/>
    <w:rsid w:val="00052BC9"/>
    <w:rsid w:val="000556DF"/>
    <w:rsid w:val="0005733D"/>
    <w:rsid w:val="0006213A"/>
    <w:rsid w:val="0006391D"/>
    <w:rsid w:val="00064F5A"/>
    <w:rsid w:val="00065BBD"/>
    <w:rsid w:val="0006743D"/>
    <w:rsid w:val="00070944"/>
    <w:rsid w:val="00074369"/>
    <w:rsid w:val="00075FE0"/>
    <w:rsid w:val="00076CB8"/>
    <w:rsid w:val="0007711A"/>
    <w:rsid w:val="000774F3"/>
    <w:rsid w:val="00081980"/>
    <w:rsid w:val="00082D2C"/>
    <w:rsid w:val="000839B7"/>
    <w:rsid w:val="00084E35"/>
    <w:rsid w:val="000875BF"/>
    <w:rsid w:val="00087B2F"/>
    <w:rsid w:val="00091421"/>
    <w:rsid w:val="00091FAB"/>
    <w:rsid w:val="00092267"/>
    <w:rsid w:val="00096264"/>
    <w:rsid w:val="00096D8C"/>
    <w:rsid w:val="00097677"/>
    <w:rsid w:val="000A09D3"/>
    <w:rsid w:val="000A2D66"/>
    <w:rsid w:val="000A4E1A"/>
    <w:rsid w:val="000A6591"/>
    <w:rsid w:val="000B1E98"/>
    <w:rsid w:val="000C01DC"/>
    <w:rsid w:val="000C0AD5"/>
    <w:rsid w:val="000C0B65"/>
    <w:rsid w:val="000C4514"/>
    <w:rsid w:val="000C6F74"/>
    <w:rsid w:val="000D1150"/>
    <w:rsid w:val="000D235C"/>
    <w:rsid w:val="000D3B74"/>
    <w:rsid w:val="000D3E75"/>
    <w:rsid w:val="000D5362"/>
    <w:rsid w:val="000D7FDE"/>
    <w:rsid w:val="000E0055"/>
    <w:rsid w:val="000E3D42"/>
    <w:rsid w:val="000E4EA8"/>
    <w:rsid w:val="000F0EF5"/>
    <w:rsid w:val="000F6724"/>
    <w:rsid w:val="001001B2"/>
    <w:rsid w:val="00103654"/>
    <w:rsid w:val="00104008"/>
    <w:rsid w:val="001047BD"/>
    <w:rsid w:val="00104CEF"/>
    <w:rsid w:val="00107197"/>
    <w:rsid w:val="001076C7"/>
    <w:rsid w:val="00107DE5"/>
    <w:rsid w:val="00110088"/>
    <w:rsid w:val="00112069"/>
    <w:rsid w:val="001131AC"/>
    <w:rsid w:val="00116852"/>
    <w:rsid w:val="0011788B"/>
    <w:rsid w:val="00117AF4"/>
    <w:rsid w:val="00122BD5"/>
    <w:rsid w:val="001277D6"/>
    <w:rsid w:val="001333F1"/>
    <w:rsid w:val="001344FD"/>
    <w:rsid w:val="0013511E"/>
    <w:rsid w:val="001379EC"/>
    <w:rsid w:val="001400C7"/>
    <w:rsid w:val="00144613"/>
    <w:rsid w:val="00156120"/>
    <w:rsid w:val="001623B7"/>
    <w:rsid w:val="00163981"/>
    <w:rsid w:val="0016631B"/>
    <w:rsid w:val="00172D7C"/>
    <w:rsid w:val="00176D4F"/>
    <w:rsid w:val="001800AC"/>
    <w:rsid w:val="0018261A"/>
    <w:rsid w:val="001848C6"/>
    <w:rsid w:val="00186556"/>
    <w:rsid w:val="00190D7A"/>
    <w:rsid w:val="00193BF0"/>
    <w:rsid w:val="00193D2F"/>
    <w:rsid w:val="00194BCC"/>
    <w:rsid w:val="00197590"/>
    <w:rsid w:val="0019782C"/>
    <w:rsid w:val="00197B80"/>
    <w:rsid w:val="001A2993"/>
    <w:rsid w:val="001A3C0E"/>
    <w:rsid w:val="001A6220"/>
    <w:rsid w:val="001A6392"/>
    <w:rsid w:val="001A6B56"/>
    <w:rsid w:val="001A7E96"/>
    <w:rsid w:val="001B3EDF"/>
    <w:rsid w:val="001B40CB"/>
    <w:rsid w:val="001B4E57"/>
    <w:rsid w:val="001B687B"/>
    <w:rsid w:val="001B6D75"/>
    <w:rsid w:val="001C44DC"/>
    <w:rsid w:val="001C7D06"/>
    <w:rsid w:val="001D156D"/>
    <w:rsid w:val="001D21CD"/>
    <w:rsid w:val="001D2E33"/>
    <w:rsid w:val="001D35C8"/>
    <w:rsid w:val="001D36EA"/>
    <w:rsid w:val="001D4A6D"/>
    <w:rsid w:val="001D53BA"/>
    <w:rsid w:val="001D6ADF"/>
    <w:rsid w:val="001D6BCF"/>
    <w:rsid w:val="001E009E"/>
    <w:rsid w:val="001E01CA"/>
    <w:rsid w:val="001E3730"/>
    <w:rsid w:val="001E4243"/>
    <w:rsid w:val="001E7281"/>
    <w:rsid w:val="001F058D"/>
    <w:rsid w:val="001F17CC"/>
    <w:rsid w:val="001F1C40"/>
    <w:rsid w:val="001F3017"/>
    <w:rsid w:val="001F5DE8"/>
    <w:rsid w:val="001F7596"/>
    <w:rsid w:val="002006E3"/>
    <w:rsid w:val="0020159F"/>
    <w:rsid w:val="0020419E"/>
    <w:rsid w:val="002046F5"/>
    <w:rsid w:val="002047FB"/>
    <w:rsid w:val="00206F9E"/>
    <w:rsid w:val="00210FDE"/>
    <w:rsid w:val="002118B5"/>
    <w:rsid w:val="00212F7C"/>
    <w:rsid w:val="002132B6"/>
    <w:rsid w:val="00213ECC"/>
    <w:rsid w:val="00216884"/>
    <w:rsid w:val="002205ED"/>
    <w:rsid w:val="00221AB1"/>
    <w:rsid w:val="00221CA8"/>
    <w:rsid w:val="00223899"/>
    <w:rsid w:val="00223ECA"/>
    <w:rsid w:val="0022685B"/>
    <w:rsid w:val="00233F13"/>
    <w:rsid w:val="00236386"/>
    <w:rsid w:val="00236990"/>
    <w:rsid w:val="00237981"/>
    <w:rsid w:val="00242599"/>
    <w:rsid w:val="00243E70"/>
    <w:rsid w:val="00252B6A"/>
    <w:rsid w:val="00253AF1"/>
    <w:rsid w:val="00253F45"/>
    <w:rsid w:val="00253F9A"/>
    <w:rsid w:val="00257ABA"/>
    <w:rsid w:val="002604F5"/>
    <w:rsid w:val="00262DA2"/>
    <w:rsid w:val="00263532"/>
    <w:rsid w:val="00263C4E"/>
    <w:rsid w:val="00264458"/>
    <w:rsid w:val="00264C8A"/>
    <w:rsid w:val="0026523F"/>
    <w:rsid w:val="00265277"/>
    <w:rsid w:val="002654A6"/>
    <w:rsid w:val="002658A7"/>
    <w:rsid w:val="00266504"/>
    <w:rsid w:val="00267467"/>
    <w:rsid w:val="00282524"/>
    <w:rsid w:val="00283206"/>
    <w:rsid w:val="00283B99"/>
    <w:rsid w:val="00284920"/>
    <w:rsid w:val="00285017"/>
    <w:rsid w:val="00285B63"/>
    <w:rsid w:val="00287D0B"/>
    <w:rsid w:val="0029051A"/>
    <w:rsid w:val="002913C8"/>
    <w:rsid w:val="002919A4"/>
    <w:rsid w:val="002920F0"/>
    <w:rsid w:val="00293351"/>
    <w:rsid w:val="00293D36"/>
    <w:rsid w:val="002A036D"/>
    <w:rsid w:val="002A2D2E"/>
    <w:rsid w:val="002A2F9E"/>
    <w:rsid w:val="002A40D8"/>
    <w:rsid w:val="002A5A41"/>
    <w:rsid w:val="002A6661"/>
    <w:rsid w:val="002A66A8"/>
    <w:rsid w:val="002A6B7A"/>
    <w:rsid w:val="002B0247"/>
    <w:rsid w:val="002B4F9E"/>
    <w:rsid w:val="002B7B05"/>
    <w:rsid w:val="002C60B5"/>
    <w:rsid w:val="002D24EF"/>
    <w:rsid w:val="002D3BE6"/>
    <w:rsid w:val="002D6411"/>
    <w:rsid w:val="002D673A"/>
    <w:rsid w:val="002E142B"/>
    <w:rsid w:val="002E1F9D"/>
    <w:rsid w:val="002E44DD"/>
    <w:rsid w:val="002E5137"/>
    <w:rsid w:val="002E5D75"/>
    <w:rsid w:val="002E5E4C"/>
    <w:rsid w:val="002E609C"/>
    <w:rsid w:val="002E6D48"/>
    <w:rsid w:val="002E7A46"/>
    <w:rsid w:val="002F027D"/>
    <w:rsid w:val="002F0F2F"/>
    <w:rsid w:val="002F1F08"/>
    <w:rsid w:val="002F375D"/>
    <w:rsid w:val="002F6EFC"/>
    <w:rsid w:val="00300B37"/>
    <w:rsid w:val="00300C07"/>
    <w:rsid w:val="00302053"/>
    <w:rsid w:val="003037A4"/>
    <w:rsid w:val="00307B85"/>
    <w:rsid w:val="003110AE"/>
    <w:rsid w:val="003119E4"/>
    <w:rsid w:val="00314A5E"/>
    <w:rsid w:val="0031761B"/>
    <w:rsid w:val="0032317D"/>
    <w:rsid w:val="0032413D"/>
    <w:rsid w:val="003265CC"/>
    <w:rsid w:val="0033039B"/>
    <w:rsid w:val="0033155D"/>
    <w:rsid w:val="00331DB3"/>
    <w:rsid w:val="00335273"/>
    <w:rsid w:val="003353CA"/>
    <w:rsid w:val="00336041"/>
    <w:rsid w:val="00336EF8"/>
    <w:rsid w:val="00343749"/>
    <w:rsid w:val="00343DB8"/>
    <w:rsid w:val="0034439E"/>
    <w:rsid w:val="00344F84"/>
    <w:rsid w:val="00345B23"/>
    <w:rsid w:val="00345E31"/>
    <w:rsid w:val="00350BFF"/>
    <w:rsid w:val="00351D45"/>
    <w:rsid w:val="0035207F"/>
    <w:rsid w:val="00352446"/>
    <w:rsid w:val="00353F52"/>
    <w:rsid w:val="00361856"/>
    <w:rsid w:val="003669B1"/>
    <w:rsid w:val="0036791D"/>
    <w:rsid w:val="003703DC"/>
    <w:rsid w:val="0037308B"/>
    <w:rsid w:val="00374887"/>
    <w:rsid w:val="00377ABC"/>
    <w:rsid w:val="00377B31"/>
    <w:rsid w:val="0038102F"/>
    <w:rsid w:val="00390D6B"/>
    <w:rsid w:val="00391241"/>
    <w:rsid w:val="00391E9A"/>
    <w:rsid w:val="003923AA"/>
    <w:rsid w:val="00393217"/>
    <w:rsid w:val="003957AE"/>
    <w:rsid w:val="003A042D"/>
    <w:rsid w:val="003A28BC"/>
    <w:rsid w:val="003A3D09"/>
    <w:rsid w:val="003A3EED"/>
    <w:rsid w:val="003A6C9E"/>
    <w:rsid w:val="003B0550"/>
    <w:rsid w:val="003B0B95"/>
    <w:rsid w:val="003B30B1"/>
    <w:rsid w:val="003B4246"/>
    <w:rsid w:val="003B454C"/>
    <w:rsid w:val="003B45A1"/>
    <w:rsid w:val="003B694F"/>
    <w:rsid w:val="003B69F6"/>
    <w:rsid w:val="003C02BB"/>
    <w:rsid w:val="003C0C23"/>
    <w:rsid w:val="003C1CFB"/>
    <w:rsid w:val="003C3373"/>
    <w:rsid w:val="003C5927"/>
    <w:rsid w:val="003C7CF4"/>
    <w:rsid w:val="003D02BC"/>
    <w:rsid w:val="003D318D"/>
    <w:rsid w:val="003D507C"/>
    <w:rsid w:val="003D53C5"/>
    <w:rsid w:val="003D6EE2"/>
    <w:rsid w:val="003D774C"/>
    <w:rsid w:val="003E1633"/>
    <w:rsid w:val="003E24B0"/>
    <w:rsid w:val="003E3326"/>
    <w:rsid w:val="003F171C"/>
    <w:rsid w:val="003F414C"/>
    <w:rsid w:val="003F4197"/>
    <w:rsid w:val="003F7ABE"/>
    <w:rsid w:val="0040394C"/>
    <w:rsid w:val="004045E3"/>
    <w:rsid w:val="00404E51"/>
    <w:rsid w:val="00405CD2"/>
    <w:rsid w:val="004071DA"/>
    <w:rsid w:val="004108C0"/>
    <w:rsid w:val="00411CE7"/>
    <w:rsid w:val="00412FC5"/>
    <w:rsid w:val="004132AF"/>
    <w:rsid w:val="0041341A"/>
    <w:rsid w:val="00413E31"/>
    <w:rsid w:val="004172D2"/>
    <w:rsid w:val="004178DE"/>
    <w:rsid w:val="00421AFB"/>
    <w:rsid w:val="00422276"/>
    <w:rsid w:val="00422AEE"/>
    <w:rsid w:val="004242F1"/>
    <w:rsid w:val="004251F7"/>
    <w:rsid w:val="00430577"/>
    <w:rsid w:val="00431161"/>
    <w:rsid w:val="00433FB7"/>
    <w:rsid w:val="0043478F"/>
    <w:rsid w:val="00435AB4"/>
    <w:rsid w:val="00436522"/>
    <w:rsid w:val="00436A37"/>
    <w:rsid w:val="0043738B"/>
    <w:rsid w:val="00437E06"/>
    <w:rsid w:val="004418BC"/>
    <w:rsid w:val="00441DD8"/>
    <w:rsid w:val="004423AD"/>
    <w:rsid w:val="004435C7"/>
    <w:rsid w:val="004436CF"/>
    <w:rsid w:val="00443817"/>
    <w:rsid w:val="00445A00"/>
    <w:rsid w:val="00446D7A"/>
    <w:rsid w:val="00447671"/>
    <w:rsid w:val="004517F0"/>
    <w:rsid w:val="00451B0F"/>
    <w:rsid w:val="00455D24"/>
    <w:rsid w:val="00455D74"/>
    <w:rsid w:val="00456387"/>
    <w:rsid w:val="00456497"/>
    <w:rsid w:val="004628B2"/>
    <w:rsid w:val="00462AED"/>
    <w:rsid w:val="0046407A"/>
    <w:rsid w:val="004669D5"/>
    <w:rsid w:val="00470596"/>
    <w:rsid w:val="0047114C"/>
    <w:rsid w:val="00474066"/>
    <w:rsid w:val="00475F93"/>
    <w:rsid w:val="00484800"/>
    <w:rsid w:val="0048635B"/>
    <w:rsid w:val="00486B28"/>
    <w:rsid w:val="0048712F"/>
    <w:rsid w:val="004877E1"/>
    <w:rsid w:val="00492834"/>
    <w:rsid w:val="004935E8"/>
    <w:rsid w:val="0049479F"/>
    <w:rsid w:val="0049674B"/>
    <w:rsid w:val="00497EC0"/>
    <w:rsid w:val="004A40C8"/>
    <w:rsid w:val="004A464B"/>
    <w:rsid w:val="004A6311"/>
    <w:rsid w:val="004A7654"/>
    <w:rsid w:val="004A7F7B"/>
    <w:rsid w:val="004B1045"/>
    <w:rsid w:val="004B6814"/>
    <w:rsid w:val="004C253E"/>
    <w:rsid w:val="004C2EE3"/>
    <w:rsid w:val="004C4AA5"/>
    <w:rsid w:val="004C5203"/>
    <w:rsid w:val="004D2639"/>
    <w:rsid w:val="004D3B08"/>
    <w:rsid w:val="004D46F9"/>
    <w:rsid w:val="004E1B5C"/>
    <w:rsid w:val="004E4A22"/>
    <w:rsid w:val="004E5023"/>
    <w:rsid w:val="004E690F"/>
    <w:rsid w:val="004F0133"/>
    <w:rsid w:val="004F1913"/>
    <w:rsid w:val="004F2AE7"/>
    <w:rsid w:val="004F3073"/>
    <w:rsid w:val="004F5686"/>
    <w:rsid w:val="004F5FA0"/>
    <w:rsid w:val="004F650E"/>
    <w:rsid w:val="005005FF"/>
    <w:rsid w:val="00505270"/>
    <w:rsid w:val="0051176D"/>
    <w:rsid w:val="00511968"/>
    <w:rsid w:val="00513B4F"/>
    <w:rsid w:val="0051402D"/>
    <w:rsid w:val="0051664C"/>
    <w:rsid w:val="00524BA2"/>
    <w:rsid w:val="0052615D"/>
    <w:rsid w:val="00527890"/>
    <w:rsid w:val="00527A4E"/>
    <w:rsid w:val="00531BCF"/>
    <w:rsid w:val="005322ED"/>
    <w:rsid w:val="00533429"/>
    <w:rsid w:val="00535182"/>
    <w:rsid w:val="005361DB"/>
    <w:rsid w:val="00540806"/>
    <w:rsid w:val="005413A8"/>
    <w:rsid w:val="005422E8"/>
    <w:rsid w:val="00542364"/>
    <w:rsid w:val="00544B7D"/>
    <w:rsid w:val="00550D5E"/>
    <w:rsid w:val="0055614C"/>
    <w:rsid w:val="005562C7"/>
    <w:rsid w:val="00557C70"/>
    <w:rsid w:val="00563752"/>
    <w:rsid w:val="0056554D"/>
    <w:rsid w:val="00565F65"/>
    <w:rsid w:val="00567DB6"/>
    <w:rsid w:val="00573FA5"/>
    <w:rsid w:val="00576526"/>
    <w:rsid w:val="005766E5"/>
    <w:rsid w:val="00591869"/>
    <w:rsid w:val="00592341"/>
    <w:rsid w:val="00596204"/>
    <w:rsid w:val="005968FE"/>
    <w:rsid w:val="005A1674"/>
    <w:rsid w:val="005A7E98"/>
    <w:rsid w:val="005B2F11"/>
    <w:rsid w:val="005C1407"/>
    <w:rsid w:val="005C44FA"/>
    <w:rsid w:val="005D3C38"/>
    <w:rsid w:val="005D49B4"/>
    <w:rsid w:val="005D4F7A"/>
    <w:rsid w:val="005D72C2"/>
    <w:rsid w:val="005E6E32"/>
    <w:rsid w:val="005E7B06"/>
    <w:rsid w:val="005F0AF2"/>
    <w:rsid w:val="005F2D12"/>
    <w:rsid w:val="005F6E24"/>
    <w:rsid w:val="0060175C"/>
    <w:rsid w:val="0060298B"/>
    <w:rsid w:val="00602FBC"/>
    <w:rsid w:val="00603DEC"/>
    <w:rsid w:val="006057CC"/>
    <w:rsid w:val="00605B78"/>
    <w:rsid w:val="00607BA5"/>
    <w:rsid w:val="00612AF9"/>
    <w:rsid w:val="00612BD1"/>
    <w:rsid w:val="00612BDD"/>
    <w:rsid w:val="00612D31"/>
    <w:rsid w:val="00617B7F"/>
    <w:rsid w:val="00626653"/>
    <w:rsid w:val="00626EB6"/>
    <w:rsid w:val="0063135C"/>
    <w:rsid w:val="00633018"/>
    <w:rsid w:val="00634B9A"/>
    <w:rsid w:val="00634F5A"/>
    <w:rsid w:val="00637137"/>
    <w:rsid w:val="00637315"/>
    <w:rsid w:val="006448EE"/>
    <w:rsid w:val="00650954"/>
    <w:rsid w:val="006531FD"/>
    <w:rsid w:val="0065496B"/>
    <w:rsid w:val="0065591C"/>
    <w:rsid w:val="00655D03"/>
    <w:rsid w:val="00660809"/>
    <w:rsid w:val="00670B8A"/>
    <w:rsid w:val="00671483"/>
    <w:rsid w:val="00671505"/>
    <w:rsid w:val="00671B73"/>
    <w:rsid w:val="0067259F"/>
    <w:rsid w:val="00677F32"/>
    <w:rsid w:val="00680E9E"/>
    <w:rsid w:val="006815B5"/>
    <w:rsid w:val="00683701"/>
    <w:rsid w:val="00683F84"/>
    <w:rsid w:val="006850E5"/>
    <w:rsid w:val="00686E4C"/>
    <w:rsid w:val="006877D7"/>
    <w:rsid w:val="00690664"/>
    <w:rsid w:val="006946F3"/>
    <w:rsid w:val="006A026F"/>
    <w:rsid w:val="006A22D6"/>
    <w:rsid w:val="006A6A81"/>
    <w:rsid w:val="006B12E9"/>
    <w:rsid w:val="006B14FA"/>
    <w:rsid w:val="006B26BD"/>
    <w:rsid w:val="006C24C9"/>
    <w:rsid w:val="006D1F37"/>
    <w:rsid w:val="006D25E9"/>
    <w:rsid w:val="006D388D"/>
    <w:rsid w:val="006E3ADF"/>
    <w:rsid w:val="006E48A1"/>
    <w:rsid w:val="006E51E5"/>
    <w:rsid w:val="006F0E4A"/>
    <w:rsid w:val="006F27F5"/>
    <w:rsid w:val="006F50CE"/>
    <w:rsid w:val="006F5241"/>
    <w:rsid w:val="006F7393"/>
    <w:rsid w:val="006F7BEE"/>
    <w:rsid w:val="006F7FAF"/>
    <w:rsid w:val="0070224F"/>
    <w:rsid w:val="00704492"/>
    <w:rsid w:val="007066DA"/>
    <w:rsid w:val="007115F7"/>
    <w:rsid w:val="0072063B"/>
    <w:rsid w:val="00724E0B"/>
    <w:rsid w:val="00732A20"/>
    <w:rsid w:val="00735DB5"/>
    <w:rsid w:val="00736778"/>
    <w:rsid w:val="00736891"/>
    <w:rsid w:val="00736B55"/>
    <w:rsid w:val="00736EC8"/>
    <w:rsid w:val="007432EE"/>
    <w:rsid w:val="00746F33"/>
    <w:rsid w:val="00747B68"/>
    <w:rsid w:val="00752235"/>
    <w:rsid w:val="007526AB"/>
    <w:rsid w:val="00753BD9"/>
    <w:rsid w:val="00753F85"/>
    <w:rsid w:val="007558F6"/>
    <w:rsid w:val="00760626"/>
    <w:rsid w:val="00761B0A"/>
    <w:rsid w:val="0076279E"/>
    <w:rsid w:val="00764A4D"/>
    <w:rsid w:val="0076576E"/>
    <w:rsid w:val="007665E3"/>
    <w:rsid w:val="007670CE"/>
    <w:rsid w:val="00771537"/>
    <w:rsid w:val="007722DC"/>
    <w:rsid w:val="00774074"/>
    <w:rsid w:val="007747DA"/>
    <w:rsid w:val="00775D18"/>
    <w:rsid w:val="00775E2C"/>
    <w:rsid w:val="007760BB"/>
    <w:rsid w:val="0077672B"/>
    <w:rsid w:val="00782673"/>
    <w:rsid w:val="00783EF1"/>
    <w:rsid w:val="00784C96"/>
    <w:rsid w:val="00784CE4"/>
    <w:rsid w:val="00785689"/>
    <w:rsid w:val="0078575D"/>
    <w:rsid w:val="007859F7"/>
    <w:rsid w:val="00791140"/>
    <w:rsid w:val="00791E7A"/>
    <w:rsid w:val="007939BE"/>
    <w:rsid w:val="007953AF"/>
    <w:rsid w:val="00795D38"/>
    <w:rsid w:val="0079754B"/>
    <w:rsid w:val="007A1E6D"/>
    <w:rsid w:val="007A6D0C"/>
    <w:rsid w:val="007B20B6"/>
    <w:rsid w:val="007B2FCA"/>
    <w:rsid w:val="007B4E29"/>
    <w:rsid w:val="007B5AA7"/>
    <w:rsid w:val="007B76C9"/>
    <w:rsid w:val="007C3084"/>
    <w:rsid w:val="007C4C06"/>
    <w:rsid w:val="007C6884"/>
    <w:rsid w:val="007D304D"/>
    <w:rsid w:val="007D34FE"/>
    <w:rsid w:val="007D6B4E"/>
    <w:rsid w:val="007E2502"/>
    <w:rsid w:val="007E55AA"/>
    <w:rsid w:val="007E6A44"/>
    <w:rsid w:val="007E729D"/>
    <w:rsid w:val="007F303F"/>
    <w:rsid w:val="007F638C"/>
    <w:rsid w:val="007F64DC"/>
    <w:rsid w:val="00800C76"/>
    <w:rsid w:val="00801545"/>
    <w:rsid w:val="0080474D"/>
    <w:rsid w:val="008069B0"/>
    <w:rsid w:val="008071B7"/>
    <w:rsid w:val="00810348"/>
    <w:rsid w:val="00810D7E"/>
    <w:rsid w:val="008167D6"/>
    <w:rsid w:val="00822CE0"/>
    <w:rsid w:val="00825909"/>
    <w:rsid w:val="008276C1"/>
    <w:rsid w:val="008314EF"/>
    <w:rsid w:val="00832DC6"/>
    <w:rsid w:val="00833BC7"/>
    <w:rsid w:val="00837687"/>
    <w:rsid w:val="00841AB1"/>
    <w:rsid w:val="008457EA"/>
    <w:rsid w:val="00846767"/>
    <w:rsid w:val="008537D7"/>
    <w:rsid w:val="008540A4"/>
    <w:rsid w:val="00857637"/>
    <w:rsid w:val="008621FF"/>
    <w:rsid w:val="00864FD4"/>
    <w:rsid w:val="00865F68"/>
    <w:rsid w:val="0086762D"/>
    <w:rsid w:val="0087008E"/>
    <w:rsid w:val="008700AF"/>
    <w:rsid w:val="0087225E"/>
    <w:rsid w:val="0087427B"/>
    <w:rsid w:val="008747AA"/>
    <w:rsid w:val="0087491C"/>
    <w:rsid w:val="00876DCF"/>
    <w:rsid w:val="008832C5"/>
    <w:rsid w:val="00883FBA"/>
    <w:rsid w:val="00884827"/>
    <w:rsid w:val="0088676E"/>
    <w:rsid w:val="00887DAB"/>
    <w:rsid w:val="0089052E"/>
    <w:rsid w:val="008908CC"/>
    <w:rsid w:val="00890B1C"/>
    <w:rsid w:val="00890D2C"/>
    <w:rsid w:val="00894214"/>
    <w:rsid w:val="008951A8"/>
    <w:rsid w:val="008A0184"/>
    <w:rsid w:val="008A6E94"/>
    <w:rsid w:val="008B2E13"/>
    <w:rsid w:val="008B3349"/>
    <w:rsid w:val="008B58C5"/>
    <w:rsid w:val="008C5C5C"/>
    <w:rsid w:val="008C5E3F"/>
    <w:rsid w:val="008D45F5"/>
    <w:rsid w:val="008E4210"/>
    <w:rsid w:val="008E7182"/>
    <w:rsid w:val="008F0B70"/>
    <w:rsid w:val="008F2BA9"/>
    <w:rsid w:val="008F37B5"/>
    <w:rsid w:val="008F421B"/>
    <w:rsid w:val="008F5642"/>
    <w:rsid w:val="008F5B1D"/>
    <w:rsid w:val="008F6756"/>
    <w:rsid w:val="008F6EAD"/>
    <w:rsid w:val="009018B5"/>
    <w:rsid w:val="00902DFB"/>
    <w:rsid w:val="00904AC4"/>
    <w:rsid w:val="009060B6"/>
    <w:rsid w:val="00907619"/>
    <w:rsid w:val="009078BC"/>
    <w:rsid w:val="00910329"/>
    <w:rsid w:val="00913187"/>
    <w:rsid w:val="009174F0"/>
    <w:rsid w:val="0092013A"/>
    <w:rsid w:val="00921803"/>
    <w:rsid w:val="00923410"/>
    <w:rsid w:val="00923F89"/>
    <w:rsid w:val="00924AD3"/>
    <w:rsid w:val="00924B90"/>
    <w:rsid w:val="00925C34"/>
    <w:rsid w:val="00926503"/>
    <w:rsid w:val="00926A48"/>
    <w:rsid w:val="00931A13"/>
    <w:rsid w:val="0093276A"/>
    <w:rsid w:val="00932DB8"/>
    <w:rsid w:val="0093541C"/>
    <w:rsid w:val="00935C91"/>
    <w:rsid w:val="00935F21"/>
    <w:rsid w:val="0094028B"/>
    <w:rsid w:val="00940E45"/>
    <w:rsid w:val="00942D9C"/>
    <w:rsid w:val="00943D36"/>
    <w:rsid w:val="0095301A"/>
    <w:rsid w:val="0095390D"/>
    <w:rsid w:val="0095538C"/>
    <w:rsid w:val="0095540F"/>
    <w:rsid w:val="00955B5B"/>
    <w:rsid w:val="00955D50"/>
    <w:rsid w:val="009712C4"/>
    <w:rsid w:val="0098567A"/>
    <w:rsid w:val="00990FC7"/>
    <w:rsid w:val="009958D8"/>
    <w:rsid w:val="00997DC0"/>
    <w:rsid w:val="009A0F3E"/>
    <w:rsid w:val="009A35A0"/>
    <w:rsid w:val="009B3B99"/>
    <w:rsid w:val="009B540E"/>
    <w:rsid w:val="009B7DE3"/>
    <w:rsid w:val="009B7FEC"/>
    <w:rsid w:val="009C45F2"/>
    <w:rsid w:val="009C4E28"/>
    <w:rsid w:val="009C616C"/>
    <w:rsid w:val="009D132E"/>
    <w:rsid w:val="009E2C34"/>
    <w:rsid w:val="009E30BC"/>
    <w:rsid w:val="009E7D47"/>
    <w:rsid w:val="009F6052"/>
    <w:rsid w:val="00A0103B"/>
    <w:rsid w:val="00A019E2"/>
    <w:rsid w:val="00A06EB7"/>
    <w:rsid w:val="00A108C6"/>
    <w:rsid w:val="00A10918"/>
    <w:rsid w:val="00A10FB5"/>
    <w:rsid w:val="00A1147B"/>
    <w:rsid w:val="00A116BD"/>
    <w:rsid w:val="00A21594"/>
    <w:rsid w:val="00A229BD"/>
    <w:rsid w:val="00A259A9"/>
    <w:rsid w:val="00A3000C"/>
    <w:rsid w:val="00A34E32"/>
    <w:rsid w:val="00A43108"/>
    <w:rsid w:val="00A431CE"/>
    <w:rsid w:val="00A44C8F"/>
    <w:rsid w:val="00A45F4F"/>
    <w:rsid w:val="00A46BF8"/>
    <w:rsid w:val="00A47719"/>
    <w:rsid w:val="00A51BF0"/>
    <w:rsid w:val="00A535C7"/>
    <w:rsid w:val="00A600A9"/>
    <w:rsid w:val="00A605B0"/>
    <w:rsid w:val="00A64377"/>
    <w:rsid w:val="00A657A3"/>
    <w:rsid w:val="00A7659E"/>
    <w:rsid w:val="00A77B37"/>
    <w:rsid w:val="00A800DA"/>
    <w:rsid w:val="00A8017D"/>
    <w:rsid w:val="00A80AA5"/>
    <w:rsid w:val="00A80D95"/>
    <w:rsid w:val="00A825EC"/>
    <w:rsid w:val="00A82706"/>
    <w:rsid w:val="00A87456"/>
    <w:rsid w:val="00A9077A"/>
    <w:rsid w:val="00A94592"/>
    <w:rsid w:val="00A951B6"/>
    <w:rsid w:val="00A9522A"/>
    <w:rsid w:val="00AA0044"/>
    <w:rsid w:val="00AA55B7"/>
    <w:rsid w:val="00AA5B9E"/>
    <w:rsid w:val="00AB0988"/>
    <w:rsid w:val="00AB2407"/>
    <w:rsid w:val="00AB395D"/>
    <w:rsid w:val="00AB4266"/>
    <w:rsid w:val="00AB53DF"/>
    <w:rsid w:val="00AC08EE"/>
    <w:rsid w:val="00AC0A69"/>
    <w:rsid w:val="00AC2288"/>
    <w:rsid w:val="00AC39D4"/>
    <w:rsid w:val="00AC49A4"/>
    <w:rsid w:val="00AD0305"/>
    <w:rsid w:val="00AD03E6"/>
    <w:rsid w:val="00AD3033"/>
    <w:rsid w:val="00AE18DA"/>
    <w:rsid w:val="00AE3893"/>
    <w:rsid w:val="00AE5F78"/>
    <w:rsid w:val="00AF1369"/>
    <w:rsid w:val="00AF236A"/>
    <w:rsid w:val="00AF6D87"/>
    <w:rsid w:val="00AF737A"/>
    <w:rsid w:val="00B007A8"/>
    <w:rsid w:val="00B02129"/>
    <w:rsid w:val="00B03038"/>
    <w:rsid w:val="00B054CB"/>
    <w:rsid w:val="00B07E5C"/>
    <w:rsid w:val="00B07E7E"/>
    <w:rsid w:val="00B149C3"/>
    <w:rsid w:val="00B16477"/>
    <w:rsid w:val="00B168B6"/>
    <w:rsid w:val="00B20964"/>
    <w:rsid w:val="00B23880"/>
    <w:rsid w:val="00B30D77"/>
    <w:rsid w:val="00B31F0F"/>
    <w:rsid w:val="00B3255F"/>
    <w:rsid w:val="00B34F3B"/>
    <w:rsid w:val="00B35DAB"/>
    <w:rsid w:val="00B36C61"/>
    <w:rsid w:val="00B42FFD"/>
    <w:rsid w:val="00B4354D"/>
    <w:rsid w:val="00B43AEC"/>
    <w:rsid w:val="00B44EA3"/>
    <w:rsid w:val="00B46135"/>
    <w:rsid w:val="00B519CD"/>
    <w:rsid w:val="00B5221D"/>
    <w:rsid w:val="00B55385"/>
    <w:rsid w:val="00B55BDA"/>
    <w:rsid w:val="00B561C9"/>
    <w:rsid w:val="00B566AE"/>
    <w:rsid w:val="00B620F3"/>
    <w:rsid w:val="00B65332"/>
    <w:rsid w:val="00B71E87"/>
    <w:rsid w:val="00B74950"/>
    <w:rsid w:val="00B75BDD"/>
    <w:rsid w:val="00B811F7"/>
    <w:rsid w:val="00B8306B"/>
    <w:rsid w:val="00B84685"/>
    <w:rsid w:val="00B84F91"/>
    <w:rsid w:val="00B865F3"/>
    <w:rsid w:val="00B87087"/>
    <w:rsid w:val="00B8748A"/>
    <w:rsid w:val="00B90DAF"/>
    <w:rsid w:val="00B96724"/>
    <w:rsid w:val="00BA2626"/>
    <w:rsid w:val="00BA3AA2"/>
    <w:rsid w:val="00BA4B53"/>
    <w:rsid w:val="00BA5DC6"/>
    <w:rsid w:val="00BA6196"/>
    <w:rsid w:val="00BA74FB"/>
    <w:rsid w:val="00BA7B9E"/>
    <w:rsid w:val="00BB073D"/>
    <w:rsid w:val="00BB2DE3"/>
    <w:rsid w:val="00BB64E3"/>
    <w:rsid w:val="00BB6D37"/>
    <w:rsid w:val="00BC1D53"/>
    <w:rsid w:val="00BC5075"/>
    <w:rsid w:val="00BC6D8C"/>
    <w:rsid w:val="00BC788E"/>
    <w:rsid w:val="00BD73B7"/>
    <w:rsid w:val="00BE139E"/>
    <w:rsid w:val="00BE31D2"/>
    <w:rsid w:val="00BE4C5A"/>
    <w:rsid w:val="00BE6828"/>
    <w:rsid w:val="00BF0E7F"/>
    <w:rsid w:val="00BF33D4"/>
    <w:rsid w:val="00BF6567"/>
    <w:rsid w:val="00BF6C03"/>
    <w:rsid w:val="00C00209"/>
    <w:rsid w:val="00C004A6"/>
    <w:rsid w:val="00C0294C"/>
    <w:rsid w:val="00C02A14"/>
    <w:rsid w:val="00C04CEF"/>
    <w:rsid w:val="00C0677F"/>
    <w:rsid w:val="00C076A7"/>
    <w:rsid w:val="00C076EF"/>
    <w:rsid w:val="00C10917"/>
    <w:rsid w:val="00C11B9D"/>
    <w:rsid w:val="00C23E84"/>
    <w:rsid w:val="00C257D2"/>
    <w:rsid w:val="00C25C39"/>
    <w:rsid w:val="00C30286"/>
    <w:rsid w:val="00C30C1D"/>
    <w:rsid w:val="00C321E3"/>
    <w:rsid w:val="00C3222F"/>
    <w:rsid w:val="00C34006"/>
    <w:rsid w:val="00C34D17"/>
    <w:rsid w:val="00C41432"/>
    <w:rsid w:val="00C4208E"/>
    <w:rsid w:val="00C42152"/>
    <w:rsid w:val="00C426B1"/>
    <w:rsid w:val="00C443E3"/>
    <w:rsid w:val="00C46278"/>
    <w:rsid w:val="00C462B0"/>
    <w:rsid w:val="00C46763"/>
    <w:rsid w:val="00C51713"/>
    <w:rsid w:val="00C5389C"/>
    <w:rsid w:val="00C5638B"/>
    <w:rsid w:val="00C56D11"/>
    <w:rsid w:val="00C60048"/>
    <w:rsid w:val="00C6115B"/>
    <w:rsid w:val="00C7271F"/>
    <w:rsid w:val="00C7603B"/>
    <w:rsid w:val="00C76281"/>
    <w:rsid w:val="00C76AC0"/>
    <w:rsid w:val="00C777E1"/>
    <w:rsid w:val="00C805D5"/>
    <w:rsid w:val="00C842BB"/>
    <w:rsid w:val="00C90D6A"/>
    <w:rsid w:val="00C911F2"/>
    <w:rsid w:val="00C92557"/>
    <w:rsid w:val="00C9662D"/>
    <w:rsid w:val="00CA247E"/>
    <w:rsid w:val="00CA3A2D"/>
    <w:rsid w:val="00CA6CBF"/>
    <w:rsid w:val="00CA7B7A"/>
    <w:rsid w:val="00CB330B"/>
    <w:rsid w:val="00CB6917"/>
    <w:rsid w:val="00CC3D4C"/>
    <w:rsid w:val="00CC6046"/>
    <w:rsid w:val="00CC6C9F"/>
    <w:rsid w:val="00CC72B6"/>
    <w:rsid w:val="00CD1607"/>
    <w:rsid w:val="00CD1E34"/>
    <w:rsid w:val="00CD5185"/>
    <w:rsid w:val="00CD5C96"/>
    <w:rsid w:val="00CE054B"/>
    <w:rsid w:val="00CE0E30"/>
    <w:rsid w:val="00CE7B7A"/>
    <w:rsid w:val="00CF006C"/>
    <w:rsid w:val="00CF0239"/>
    <w:rsid w:val="00CF1899"/>
    <w:rsid w:val="00CF209B"/>
    <w:rsid w:val="00CF2706"/>
    <w:rsid w:val="00CF2AA5"/>
    <w:rsid w:val="00CF5BD9"/>
    <w:rsid w:val="00CF6B5F"/>
    <w:rsid w:val="00D01DD4"/>
    <w:rsid w:val="00D0218D"/>
    <w:rsid w:val="00D031AD"/>
    <w:rsid w:val="00D03A72"/>
    <w:rsid w:val="00D0479A"/>
    <w:rsid w:val="00D04AE9"/>
    <w:rsid w:val="00D0612C"/>
    <w:rsid w:val="00D10AA6"/>
    <w:rsid w:val="00D11D0B"/>
    <w:rsid w:val="00D141DB"/>
    <w:rsid w:val="00D17253"/>
    <w:rsid w:val="00D2256C"/>
    <w:rsid w:val="00D22701"/>
    <w:rsid w:val="00D24A59"/>
    <w:rsid w:val="00D265ED"/>
    <w:rsid w:val="00D31BDE"/>
    <w:rsid w:val="00D323E1"/>
    <w:rsid w:val="00D32B55"/>
    <w:rsid w:val="00D36CCC"/>
    <w:rsid w:val="00D424FA"/>
    <w:rsid w:val="00D460E1"/>
    <w:rsid w:val="00D608AF"/>
    <w:rsid w:val="00D630E0"/>
    <w:rsid w:val="00D64FEC"/>
    <w:rsid w:val="00D71358"/>
    <w:rsid w:val="00D73064"/>
    <w:rsid w:val="00D73FA0"/>
    <w:rsid w:val="00D745DB"/>
    <w:rsid w:val="00D77BF4"/>
    <w:rsid w:val="00D85540"/>
    <w:rsid w:val="00D86CAD"/>
    <w:rsid w:val="00D8742D"/>
    <w:rsid w:val="00D92DC3"/>
    <w:rsid w:val="00D938E3"/>
    <w:rsid w:val="00D93CF0"/>
    <w:rsid w:val="00D95086"/>
    <w:rsid w:val="00DA088D"/>
    <w:rsid w:val="00DA2529"/>
    <w:rsid w:val="00DA42FE"/>
    <w:rsid w:val="00DA7E73"/>
    <w:rsid w:val="00DB0857"/>
    <w:rsid w:val="00DB0AF1"/>
    <w:rsid w:val="00DB130A"/>
    <w:rsid w:val="00DB2B48"/>
    <w:rsid w:val="00DB2EC6"/>
    <w:rsid w:val="00DB413A"/>
    <w:rsid w:val="00DB7745"/>
    <w:rsid w:val="00DB7961"/>
    <w:rsid w:val="00DC10A1"/>
    <w:rsid w:val="00DC14DF"/>
    <w:rsid w:val="00DC6426"/>
    <w:rsid w:val="00DC655F"/>
    <w:rsid w:val="00DD0B59"/>
    <w:rsid w:val="00DD0FCD"/>
    <w:rsid w:val="00DD2027"/>
    <w:rsid w:val="00DD397D"/>
    <w:rsid w:val="00DD3A8A"/>
    <w:rsid w:val="00DD6AFC"/>
    <w:rsid w:val="00DD7EBD"/>
    <w:rsid w:val="00DE0234"/>
    <w:rsid w:val="00DE198D"/>
    <w:rsid w:val="00DE4A9E"/>
    <w:rsid w:val="00DE6026"/>
    <w:rsid w:val="00DF038F"/>
    <w:rsid w:val="00DF62B6"/>
    <w:rsid w:val="00E00CDB"/>
    <w:rsid w:val="00E027ED"/>
    <w:rsid w:val="00E03DB4"/>
    <w:rsid w:val="00E043DC"/>
    <w:rsid w:val="00E07225"/>
    <w:rsid w:val="00E12B76"/>
    <w:rsid w:val="00E1325B"/>
    <w:rsid w:val="00E16080"/>
    <w:rsid w:val="00E16ED5"/>
    <w:rsid w:val="00E21C8B"/>
    <w:rsid w:val="00E22D80"/>
    <w:rsid w:val="00E25888"/>
    <w:rsid w:val="00E42CDD"/>
    <w:rsid w:val="00E44186"/>
    <w:rsid w:val="00E44EF3"/>
    <w:rsid w:val="00E51A70"/>
    <w:rsid w:val="00E53CEE"/>
    <w:rsid w:val="00E5409F"/>
    <w:rsid w:val="00E550DD"/>
    <w:rsid w:val="00E55344"/>
    <w:rsid w:val="00E56F99"/>
    <w:rsid w:val="00E57508"/>
    <w:rsid w:val="00E57536"/>
    <w:rsid w:val="00E5771B"/>
    <w:rsid w:val="00E70AB1"/>
    <w:rsid w:val="00E71688"/>
    <w:rsid w:val="00E71B8C"/>
    <w:rsid w:val="00E72439"/>
    <w:rsid w:val="00E73F6A"/>
    <w:rsid w:val="00E85984"/>
    <w:rsid w:val="00E8651C"/>
    <w:rsid w:val="00E937BE"/>
    <w:rsid w:val="00E9485F"/>
    <w:rsid w:val="00E95D0C"/>
    <w:rsid w:val="00E97D1E"/>
    <w:rsid w:val="00EA00FF"/>
    <w:rsid w:val="00EA31BA"/>
    <w:rsid w:val="00EA37DB"/>
    <w:rsid w:val="00EA4FB2"/>
    <w:rsid w:val="00EA5CD3"/>
    <w:rsid w:val="00EA647E"/>
    <w:rsid w:val="00EB08F7"/>
    <w:rsid w:val="00EB517F"/>
    <w:rsid w:val="00EC3F51"/>
    <w:rsid w:val="00EC4634"/>
    <w:rsid w:val="00EC79B0"/>
    <w:rsid w:val="00EC7CC9"/>
    <w:rsid w:val="00ED1751"/>
    <w:rsid w:val="00ED388D"/>
    <w:rsid w:val="00ED491C"/>
    <w:rsid w:val="00ED55E4"/>
    <w:rsid w:val="00ED690F"/>
    <w:rsid w:val="00ED7E41"/>
    <w:rsid w:val="00ED7F28"/>
    <w:rsid w:val="00ED7FB7"/>
    <w:rsid w:val="00EE04CF"/>
    <w:rsid w:val="00EE0A5B"/>
    <w:rsid w:val="00EE0C5F"/>
    <w:rsid w:val="00EE298B"/>
    <w:rsid w:val="00EE6488"/>
    <w:rsid w:val="00EF00E1"/>
    <w:rsid w:val="00EF03F9"/>
    <w:rsid w:val="00EF0869"/>
    <w:rsid w:val="00EF2C76"/>
    <w:rsid w:val="00EF6E20"/>
    <w:rsid w:val="00EF74E2"/>
    <w:rsid w:val="00F017B6"/>
    <w:rsid w:val="00F021FA"/>
    <w:rsid w:val="00F041EA"/>
    <w:rsid w:val="00F0453F"/>
    <w:rsid w:val="00F0474D"/>
    <w:rsid w:val="00F145F0"/>
    <w:rsid w:val="00F14A9D"/>
    <w:rsid w:val="00F15AEB"/>
    <w:rsid w:val="00F16470"/>
    <w:rsid w:val="00F2142C"/>
    <w:rsid w:val="00F23CC6"/>
    <w:rsid w:val="00F30EFD"/>
    <w:rsid w:val="00F32DAC"/>
    <w:rsid w:val="00F352FA"/>
    <w:rsid w:val="00F35B5D"/>
    <w:rsid w:val="00F404C5"/>
    <w:rsid w:val="00F41970"/>
    <w:rsid w:val="00F41FC7"/>
    <w:rsid w:val="00F43840"/>
    <w:rsid w:val="00F43D49"/>
    <w:rsid w:val="00F460AC"/>
    <w:rsid w:val="00F470C3"/>
    <w:rsid w:val="00F478BC"/>
    <w:rsid w:val="00F53322"/>
    <w:rsid w:val="00F53487"/>
    <w:rsid w:val="00F54100"/>
    <w:rsid w:val="00F5542F"/>
    <w:rsid w:val="00F56537"/>
    <w:rsid w:val="00F6244C"/>
    <w:rsid w:val="00F62A02"/>
    <w:rsid w:val="00F62E97"/>
    <w:rsid w:val="00F63AB3"/>
    <w:rsid w:val="00F63BBA"/>
    <w:rsid w:val="00F64209"/>
    <w:rsid w:val="00F65E1C"/>
    <w:rsid w:val="00F70AA8"/>
    <w:rsid w:val="00F718F4"/>
    <w:rsid w:val="00F7354D"/>
    <w:rsid w:val="00F74898"/>
    <w:rsid w:val="00F74E3A"/>
    <w:rsid w:val="00F75725"/>
    <w:rsid w:val="00F811FA"/>
    <w:rsid w:val="00F83251"/>
    <w:rsid w:val="00F8504F"/>
    <w:rsid w:val="00F85C5D"/>
    <w:rsid w:val="00F865F7"/>
    <w:rsid w:val="00F87DC9"/>
    <w:rsid w:val="00F93710"/>
    <w:rsid w:val="00F93BF5"/>
    <w:rsid w:val="00FA08B3"/>
    <w:rsid w:val="00FA0DBD"/>
    <w:rsid w:val="00FA276F"/>
    <w:rsid w:val="00FA497E"/>
    <w:rsid w:val="00FA6A61"/>
    <w:rsid w:val="00FB03F9"/>
    <w:rsid w:val="00FB3DA8"/>
    <w:rsid w:val="00FB3F6C"/>
    <w:rsid w:val="00FB514A"/>
    <w:rsid w:val="00FB524F"/>
    <w:rsid w:val="00FB5317"/>
    <w:rsid w:val="00FB680E"/>
    <w:rsid w:val="00FB78FE"/>
    <w:rsid w:val="00FB791E"/>
    <w:rsid w:val="00FC03A6"/>
    <w:rsid w:val="00FC0525"/>
    <w:rsid w:val="00FC4803"/>
    <w:rsid w:val="00FC5FE9"/>
    <w:rsid w:val="00FD0063"/>
    <w:rsid w:val="00FD11AD"/>
    <w:rsid w:val="00FD1B2A"/>
    <w:rsid w:val="00FD4328"/>
    <w:rsid w:val="00FE090D"/>
    <w:rsid w:val="00FE10A6"/>
    <w:rsid w:val="00FE26E1"/>
    <w:rsid w:val="00FE363D"/>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90"/>
    <w:pPr>
      <w:widowControl w:val="0"/>
    </w:pPr>
    <w:rPr>
      <w:snapToGrid w:val="0"/>
      <w:kern w:val="28"/>
      <w:sz w:val="22"/>
    </w:rPr>
  </w:style>
  <w:style w:type="paragraph" w:styleId="Heading1">
    <w:name w:val="heading 1"/>
    <w:basedOn w:val="Normal"/>
    <w:next w:val="ParaNum"/>
    <w:qFormat/>
    <w:rsid w:val="0052789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7890"/>
    <w:pPr>
      <w:keepNext/>
      <w:numPr>
        <w:ilvl w:val="1"/>
        <w:numId w:val="2"/>
      </w:numPr>
      <w:spacing w:after="120"/>
      <w:outlineLvl w:val="1"/>
    </w:pPr>
    <w:rPr>
      <w:b/>
    </w:rPr>
  </w:style>
  <w:style w:type="paragraph" w:styleId="Heading3">
    <w:name w:val="heading 3"/>
    <w:basedOn w:val="Normal"/>
    <w:next w:val="ParaNum"/>
    <w:qFormat/>
    <w:rsid w:val="00527890"/>
    <w:pPr>
      <w:keepNext/>
      <w:numPr>
        <w:ilvl w:val="2"/>
        <w:numId w:val="2"/>
      </w:numPr>
      <w:tabs>
        <w:tab w:val="left" w:pos="2160"/>
      </w:tabs>
      <w:spacing w:after="120"/>
      <w:outlineLvl w:val="2"/>
    </w:pPr>
    <w:rPr>
      <w:b/>
    </w:rPr>
  </w:style>
  <w:style w:type="paragraph" w:styleId="Heading4">
    <w:name w:val="heading 4"/>
    <w:basedOn w:val="Normal"/>
    <w:next w:val="ParaNum"/>
    <w:qFormat/>
    <w:rsid w:val="00527890"/>
    <w:pPr>
      <w:keepNext/>
      <w:numPr>
        <w:ilvl w:val="3"/>
        <w:numId w:val="2"/>
      </w:numPr>
      <w:tabs>
        <w:tab w:val="left" w:pos="2880"/>
      </w:tabs>
      <w:spacing w:after="120"/>
      <w:outlineLvl w:val="3"/>
    </w:pPr>
    <w:rPr>
      <w:b/>
    </w:rPr>
  </w:style>
  <w:style w:type="paragraph" w:styleId="Heading5">
    <w:name w:val="heading 5"/>
    <w:basedOn w:val="Normal"/>
    <w:next w:val="ParaNum"/>
    <w:qFormat/>
    <w:rsid w:val="0052789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27890"/>
    <w:pPr>
      <w:numPr>
        <w:ilvl w:val="5"/>
        <w:numId w:val="2"/>
      </w:numPr>
      <w:tabs>
        <w:tab w:val="left" w:pos="4320"/>
      </w:tabs>
      <w:spacing w:after="120"/>
      <w:outlineLvl w:val="5"/>
    </w:pPr>
    <w:rPr>
      <w:b/>
    </w:rPr>
  </w:style>
  <w:style w:type="paragraph" w:styleId="Heading7">
    <w:name w:val="heading 7"/>
    <w:basedOn w:val="Normal"/>
    <w:next w:val="ParaNum"/>
    <w:qFormat/>
    <w:rsid w:val="0052789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2789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2789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7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890"/>
  </w:style>
  <w:style w:type="paragraph" w:customStyle="1" w:styleId="ParaNum">
    <w:name w:val="ParaNum"/>
    <w:basedOn w:val="Normal"/>
    <w:link w:val="ParaNumChar1"/>
    <w:rsid w:val="00527890"/>
    <w:pPr>
      <w:numPr>
        <w:numId w:val="6"/>
      </w:numPr>
      <w:tabs>
        <w:tab w:val="clear" w:pos="1080"/>
        <w:tab w:val="num" w:pos="1440"/>
      </w:tabs>
      <w:spacing w:after="120"/>
    </w:pPr>
  </w:style>
  <w:style w:type="paragraph" w:styleId="EndnoteText">
    <w:name w:val="endnote text"/>
    <w:basedOn w:val="Normal"/>
    <w:semiHidden/>
    <w:rsid w:val="00527890"/>
    <w:rPr>
      <w:sz w:val="20"/>
    </w:rPr>
  </w:style>
  <w:style w:type="character" w:styleId="EndnoteReference">
    <w:name w:val="endnote reference"/>
    <w:semiHidden/>
    <w:rsid w:val="00527890"/>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527890"/>
    <w:pPr>
      <w:spacing w:after="120"/>
    </w:pPr>
  </w:style>
  <w:style w:type="character" w:styleId="FootnoteReference">
    <w:name w:val="footnote reference"/>
    <w:aliases w:val="Style 12,(NECG) Footnote Reference,Appel note de bas de p,Style 124,Style 4,Style 13,o,fr,Style 3"/>
    <w:rsid w:val="00527890"/>
    <w:rPr>
      <w:rFonts w:ascii="Times New Roman" w:hAnsi="Times New Roman"/>
      <w:dstrike w:val="0"/>
      <w:color w:val="auto"/>
      <w:sz w:val="20"/>
      <w:vertAlign w:val="superscript"/>
    </w:rPr>
  </w:style>
  <w:style w:type="paragraph" w:styleId="TOC1">
    <w:name w:val="toc 1"/>
    <w:basedOn w:val="Normal"/>
    <w:next w:val="Normal"/>
    <w:semiHidden/>
    <w:rsid w:val="005278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7890"/>
    <w:pPr>
      <w:tabs>
        <w:tab w:val="left" w:pos="720"/>
        <w:tab w:val="right" w:leader="dot" w:pos="9360"/>
      </w:tabs>
      <w:suppressAutoHyphens/>
      <w:ind w:left="720" w:right="720" w:hanging="360"/>
    </w:pPr>
    <w:rPr>
      <w:noProof/>
    </w:rPr>
  </w:style>
  <w:style w:type="paragraph" w:styleId="TOC3">
    <w:name w:val="toc 3"/>
    <w:basedOn w:val="Normal"/>
    <w:next w:val="Normal"/>
    <w:semiHidden/>
    <w:rsid w:val="005278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78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78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78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78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78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78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7890"/>
    <w:pPr>
      <w:tabs>
        <w:tab w:val="right" w:pos="9360"/>
      </w:tabs>
      <w:suppressAutoHyphens/>
    </w:pPr>
  </w:style>
  <w:style w:type="character" w:customStyle="1" w:styleId="EquationCaption">
    <w:name w:val="_Equation Caption"/>
    <w:rsid w:val="00527890"/>
  </w:style>
  <w:style w:type="paragraph" w:styleId="Header">
    <w:name w:val="header"/>
    <w:basedOn w:val="Normal"/>
    <w:link w:val="HeaderChar"/>
    <w:autoRedefine/>
    <w:rsid w:val="00527890"/>
    <w:pPr>
      <w:tabs>
        <w:tab w:val="center" w:pos="4680"/>
        <w:tab w:val="right" w:pos="9360"/>
      </w:tabs>
    </w:pPr>
    <w:rPr>
      <w:b/>
    </w:rPr>
  </w:style>
  <w:style w:type="paragraph" w:styleId="Footer">
    <w:name w:val="footer"/>
    <w:basedOn w:val="Normal"/>
    <w:link w:val="FooterChar"/>
    <w:rsid w:val="00527890"/>
    <w:pPr>
      <w:tabs>
        <w:tab w:val="center" w:pos="4320"/>
        <w:tab w:val="right" w:pos="8640"/>
      </w:tabs>
    </w:pPr>
  </w:style>
  <w:style w:type="character" w:styleId="PageNumber">
    <w:name w:val="page number"/>
    <w:basedOn w:val="DefaultParagraphFont"/>
    <w:rsid w:val="00527890"/>
  </w:style>
  <w:style w:type="paragraph" w:styleId="BlockText">
    <w:name w:val="Block Text"/>
    <w:basedOn w:val="Normal"/>
    <w:rsid w:val="00527890"/>
    <w:pPr>
      <w:spacing w:after="240"/>
      <w:ind w:left="1440" w:right="1440"/>
    </w:pPr>
  </w:style>
  <w:style w:type="paragraph" w:customStyle="1" w:styleId="Paratitle">
    <w:name w:val="Para title"/>
    <w:basedOn w:val="Normal"/>
    <w:rsid w:val="00527890"/>
    <w:pPr>
      <w:tabs>
        <w:tab w:val="center" w:pos="9270"/>
      </w:tabs>
      <w:spacing w:after="240"/>
    </w:pPr>
    <w:rPr>
      <w:spacing w:val="-2"/>
    </w:rPr>
  </w:style>
  <w:style w:type="paragraph" w:customStyle="1" w:styleId="Bullet">
    <w:name w:val="Bullet"/>
    <w:basedOn w:val="Normal"/>
    <w:rsid w:val="00527890"/>
    <w:pPr>
      <w:tabs>
        <w:tab w:val="left" w:pos="2160"/>
      </w:tabs>
      <w:spacing w:after="220"/>
      <w:ind w:left="2160" w:hanging="720"/>
    </w:pPr>
  </w:style>
  <w:style w:type="paragraph" w:customStyle="1" w:styleId="TableFormat">
    <w:name w:val="TableFormat"/>
    <w:basedOn w:val="Bullet"/>
    <w:rsid w:val="00527890"/>
    <w:pPr>
      <w:tabs>
        <w:tab w:val="clear" w:pos="2160"/>
        <w:tab w:val="left" w:pos="5040"/>
      </w:tabs>
      <w:ind w:left="5040" w:hanging="3600"/>
    </w:pPr>
  </w:style>
  <w:style w:type="paragraph" w:customStyle="1" w:styleId="TOCTitle">
    <w:name w:val="TOC Title"/>
    <w:basedOn w:val="Normal"/>
    <w:rsid w:val="005278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7890"/>
    <w:pPr>
      <w:jc w:val="center"/>
    </w:pPr>
    <w:rPr>
      <w:rFonts w:ascii="Times New Roman Bold" w:hAnsi="Times New Roman Bold"/>
      <w:b/>
      <w:bCs/>
      <w:caps/>
      <w:szCs w:val="22"/>
    </w:rPr>
  </w:style>
  <w:style w:type="character" w:styleId="Hyperlink">
    <w:name w:val="Hyperlink"/>
    <w:rsid w:val="00527890"/>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uiPriority w:val="99"/>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basedOn w:val="DefaultParagraphFont"/>
    <w:link w:val="BalloonText"/>
    <w:rsid w:val="00FD11AD"/>
    <w:rPr>
      <w:rFonts w:ascii="Tahoma" w:hAnsi="Tahoma" w:cs="Tahoma"/>
      <w:snapToGrid w:val="0"/>
      <w:kern w:val="28"/>
      <w:sz w:val="16"/>
      <w:szCs w:val="16"/>
    </w:rPr>
  </w:style>
  <w:style w:type="character" w:styleId="CommentReference">
    <w:name w:val="annotation reference"/>
    <w:basedOn w:val="DefaultParagraphFont"/>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basedOn w:val="DefaultParagraphFont"/>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basedOn w:val="CommentText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character" w:customStyle="1" w:styleId="HeaderChar">
    <w:name w:val="Header Char"/>
    <w:basedOn w:val="DefaultParagraphFont"/>
    <w:link w:val="Header"/>
    <w:rsid w:val="00EC3F51"/>
    <w:rPr>
      <w:b/>
      <w:snapToGrid w:val="0"/>
      <w:kern w:val="28"/>
      <w:sz w:val="22"/>
    </w:rPr>
  </w:style>
  <w:style w:type="character" w:customStyle="1" w:styleId="FooterChar">
    <w:name w:val="Footer Char"/>
    <w:basedOn w:val="DefaultParagraphFont"/>
    <w:link w:val="Footer"/>
    <w:rsid w:val="00D01DD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90"/>
    <w:pPr>
      <w:widowControl w:val="0"/>
    </w:pPr>
    <w:rPr>
      <w:snapToGrid w:val="0"/>
      <w:kern w:val="28"/>
      <w:sz w:val="22"/>
    </w:rPr>
  </w:style>
  <w:style w:type="paragraph" w:styleId="Heading1">
    <w:name w:val="heading 1"/>
    <w:basedOn w:val="Normal"/>
    <w:next w:val="ParaNum"/>
    <w:qFormat/>
    <w:rsid w:val="0052789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7890"/>
    <w:pPr>
      <w:keepNext/>
      <w:numPr>
        <w:ilvl w:val="1"/>
        <w:numId w:val="2"/>
      </w:numPr>
      <w:spacing w:after="120"/>
      <w:outlineLvl w:val="1"/>
    </w:pPr>
    <w:rPr>
      <w:b/>
    </w:rPr>
  </w:style>
  <w:style w:type="paragraph" w:styleId="Heading3">
    <w:name w:val="heading 3"/>
    <w:basedOn w:val="Normal"/>
    <w:next w:val="ParaNum"/>
    <w:qFormat/>
    <w:rsid w:val="00527890"/>
    <w:pPr>
      <w:keepNext/>
      <w:numPr>
        <w:ilvl w:val="2"/>
        <w:numId w:val="2"/>
      </w:numPr>
      <w:tabs>
        <w:tab w:val="left" w:pos="2160"/>
      </w:tabs>
      <w:spacing w:after="120"/>
      <w:outlineLvl w:val="2"/>
    </w:pPr>
    <w:rPr>
      <w:b/>
    </w:rPr>
  </w:style>
  <w:style w:type="paragraph" w:styleId="Heading4">
    <w:name w:val="heading 4"/>
    <w:basedOn w:val="Normal"/>
    <w:next w:val="ParaNum"/>
    <w:qFormat/>
    <w:rsid w:val="00527890"/>
    <w:pPr>
      <w:keepNext/>
      <w:numPr>
        <w:ilvl w:val="3"/>
        <w:numId w:val="2"/>
      </w:numPr>
      <w:tabs>
        <w:tab w:val="left" w:pos="2880"/>
      </w:tabs>
      <w:spacing w:after="120"/>
      <w:outlineLvl w:val="3"/>
    </w:pPr>
    <w:rPr>
      <w:b/>
    </w:rPr>
  </w:style>
  <w:style w:type="paragraph" w:styleId="Heading5">
    <w:name w:val="heading 5"/>
    <w:basedOn w:val="Normal"/>
    <w:next w:val="ParaNum"/>
    <w:qFormat/>
    <w:rsid w:val="00527890"/>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27890"/>
    <w:pPr>
      <w:numPr>
        <w:ilvl w:val="5"/>
        <w:numId w:val="2"/>
      </w:numPr>
      <w:tabs>
        <w:tab w:val="left" w:pos="4320"/>
      </w:tabs>
      <w:spacing w:after="120"/>
      <w:outlineLvl w:val="5"/>
    </w:pPr>
    <w:rPr>
      <w:b/>
    </w:rPr>
  </w:style>
  <w:style w:type="paragraph" w:styleId="Heading7">
    <w:name w:val="heading 7"/>
    <w:basedOn w:val="Normal"/>
    <w:next w:val="ParaNum"/>
    <w:qFormat/>
    <w:rsid w:val="00527890"/>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2789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2789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78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890"/>
  </w:style>
  <w:style w:type="paragraph" w:customStyle="1" w:styleId="ParaNum">
    <w:name w:val="ParaNum"/>
    <w:basedOn w:val="Normal"/>
    <w:link w:val="ParaNumChar1"/>
    <w:rsid w:val="00527890"/>
    <w:pPr>
      <w:numPr>
        <w:numId w:val="6"/>
      </w:numPr>
      <w:tabs>
        <w:tab w:val="clear" w:pos="1080"/>
        <w:tab w:val="num" w:pos="1440"/>
      </w:tabs>
      <w:spacing w:after="120"/>
    </w:pPr>
  </w:style>
  <w:style w:type="paragraph" w:styleId="EndnoteText">
    <w:name w:val="endnote text"/>
    <w:basedOn w:val="Normal"/>
    <w:semiHidden/>
    <w:rsid w:val="00527890"/>
    <w:rPr>
      <w:sz w:val="20"/>
    </w:rPr>
  </w:style>
  <w:style w:type="character" w:styleId="EndnoteReference">
    <w:name w:val="endnote reference"/>
    <w:semiHidden/>
    <w:rsid w:val="00527890"/>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527890"/>
    <w:pPr>
      <w:spacing w:after="120"/>
    </w:pPr>
  </w:style>
  <w:style w:type="character" w:styleId="FootnoteReference">
    <w:name w:val="footnote reference"/>
    <w:aliases w:val="Style 12,(NECG) Footnote Reference,Appel note de bas de p,Style 124,Style 4,Style 13,o,fr,Style 3"/>
    <w:rsid w:val="00527890"/>
    <w:rPr>
      <w:rFonts w:ascii="Times New Roman" w:hAnsi="Times New Roman"/>
      <w:dstrike w:val="0"/>
      <w:color w:val="auto"/>
      <w:sz w:val="20"/>
      <w:vertAlign w:val="superscript"/>
    </w:rPr>
  </w:style>
  <w:style w:type="paragraph" w:styleId="TOC1">
    <w:name w:val="toc 1"/>
    <w:basedOn w:val="Normal"/>
    <w:next w:val="Normal"/>
    <w:semiHidden/>
    <w:rsid w:val="005278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7890"/>
    <w:pPr>
      <w:tabs>
        <w:tab w:val="left" w:pos="720"/>
        <w:tab w:val="right" w:leader="dot" w:pos="9360"/>
      </w:tabs>
      <w:suppressAutoHyphens/>
      <w:ind w:left="720" w:right="720" w:hanging="360"/>
    </w:pPr>
    <w:rPr>
      <w:noProof/>
    </w:rPr>
  </w:style>
  <w:style w:type="paragraph" w:styleId="TOC3">
    <w:name w:val="toc 3"/>
    <w:basedOn w:val="Normal"/>
    <w:next w:val="Normal"/>
    <w:semiHidden/>
    <w:rsid w:val="005278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78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78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78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78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78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78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7890"/>
    <w:pPr>
      <w:tabs>
        <w:tab w:val="right" w:pos="9360"/>
      </w:tabs>
      <w:suppressAutoHyphens/>
    </w:pPr>
  </w:style>
  <w:style w:type="character" w:customStyle="1" w:styleId="EquationCaption">
    <w:name w:val="_Equation Caption"/>
    <w:rsid w:val="00527890"/>
  </w:style>
  <w:style w:type="paragraph" w:styleId="Header">
    <w:name w:val="header"/>
    <w:basedOn w:val="Normal"/>
    <w:link w:val="HeaderChar"/>
    <w:autoRedefine/>
    <w:rsid w:val="00527890"/>
    <w:pPr>
      <w:tabs>
        <w:tab w:val="center" w:pos="4680"/>
        <w:tab w:val="right" w:pos="9360"/>
      </w:tabs>
    </w:pPr>
    <w:rPr>
      <w:b/>
    </w:rPr>
  </w:style>
  <w:style w:type="paragraph" w:styleId="Footer">
    <w:name w:val="footer"/>
    <w:basedOn w:val="Normal"/>
    <w:link w:val="FooterChar"/>
    <w:rsid w:val="00527890"/>
    <w:pPr>
      <w:tabs>
        <w:tab w:val="center" w:pos="4320"/>
        <w:tab w:val="right" w:pos="8640"/>
      </w:tabs>
    </w:pPr>
  </w:style>
  <w:style w:type="character" w:styleId="PageNumber">
    <w:name w:val="page number"/>
    <w:basedOn w:val="DefaultParagraphFont"/>
    <w:rsid w:val="00527890"/>
  </w:style>
  <w:style w:type="paragraph" w:styleId="BlockText">
    <w:name w:val="Block Text"/>
    <w:basedOn w:val="Normal"/>
    <w:rsid w:val="00527890"/>
    <w:pPr>
      <w:spacing w:after="240"/>
      <w:ind w:left="1440" w:right="1440"/>
    </w:pPr>
  </w:style>
  <w:style w:type="paragraph" w:customStyle="1" w:styleId="Paratitle">
    <w:name w:val="Para title"/>
    <w:basedOn w:val="Normal"/>
    <w:rsid w:val="00527890"/>
    <w:pPr>
      <w:tabs>
        <w:tab w:val="center" w:pos="9270"/>
      </w:tabs>
      <w:spacing w:after="240"/>
    </w:pPr>
    <w:rPr>
      <w:spacing w:val="-2"/>
    </w:rPr>
  </w:style>
  <w:style w:type="paragraph" w:customStyle="1" w:styleId="Bullet">
    <w:name w:val="Bullet"/>
    <w:basedOn w:val="Normal"/>
    <w:rsid w:val="00527890"/>
    <w:pPr>
      <w:tabs>
        <w:tab w:val="left" w:pos="2160"/>
      </w:tabs>
      <w:spacing w:after="220"/>
      <w:ind w:left="2160" w:hanging="720"/>
    </w:pPr>
  </w:style>
  <w:style w:type="paragraph" w:customStyle="1" w:styleId="TableFormat">
    <w:name w:val="TableFormat"/>
    <w:basedOn w:val="Bullet"/>
    <w:rsid w:val="00527890"/>
    <w:pPr>
      <w:tabs>
        <w:tab w:val="clear" w:pos="2160"/>
        <w:tab w:val="left" w:pos="5040"/>
      </w:tabs>
      <w:ind w:left="5040" w:hanging="3600"/>
    </w:pPr>
  </w:style>
  <w:style w:type="paragraph" w:customStyle="1" w:styleId="TOCTitle">
    <w:name w:val="TOC Title"/>
    <w:basedOn w:val="Normal"/>
    <w:rsid w:val="005278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7890"/>
    <w:pPr>
      <w:jc w:val="center"/>
    </w:pPr>
    <w:rPr>
      <w:rFonts w:ascii="Times New Roman Bold" w:hAnsi="Times New Roman Bold"/>
      <w:b/>
      <w:bCs/>
      <w:caps/>
      <w:szCs w:val="22"/>
    </w:rPr>
  </w:style>
  <w:style w:type="character" w:styleId="Hyperlink">
    <w:name w:val="Hyperlink"/>
    <w:rsid w:val="00527890"/>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uiPriority w:val="99"/>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basedOn w:val="DefaultParagraphFont"/>
    <w:link w:val="BalloonText"/>
    <w:rsid w:val="00FD11AD"/>
    <w:rPr>
      <w:rFonts w:ascii="Tahoma" w:hAnsi="Tahoma" w:cs="Tahoma"/>
      <w:snapToGrid w:val="0"/>
      <w:kern w:val="28"/>
      <w:sz w:val="16"/>
      <w:szCs w:val="16"/>
    </w:rPr>
  </w:style>
  <w:style w:type="character" w:styleId="CommentReference">
    <w:name w:val="annotation reference"/>
    <w:basedOn w:val="DefaultParagraphFont"/>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basedOn w:val="DefaultParagraphFont"/>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basedOn w:val="CommentText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character" w:customStyle="1" w:styleId="HeaderChar">
    <w:name w:val="Header Char"/>
    <w:basedOn w:val="DefaultParagraphFont"/>
    <w:link w:val="Header"/>
    <w:rsid w:val="00EC3F51"/>
    <w:rPr>
      <w:b/>
      <w:snapToGrid w:val="0"/>
      <w:kern w:val="28"/>
      <w:sz w:val="22"/>
    </w:rPr>
  </w:style>
  <w:style w:type="character" w:customStyle="1" w:styleId="FooterChar">
    <w:name w:val="Footer Char"/>
    <w:basedOn w:val="DefaultParagraphFont"/>
    <w:link w:val="Footer"/>
    <w:rsid w:val="00D01D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3316">
      <w:bodyDiv w:val="1"/>
      <w:marLeft w:val="0"/>
      <w:marRight w:val="0"/>
      <w:marTop w:val="0"/>
      <w:marBottom w:val="0"/>
      <w:divBdr>
        <w:top w:val="none" w:sz="0" w:space="0" w:color="auto"/>
        <w:left w:val="none" w:sz="0" w:space="0" w:color="auto"/>
        <w:bottom w:val="none" w:sz="0" w:space="0" w:color="auto"/>
        <w:right w:val="none" w:sz="0" w:space="0" w:color="auto"/>
      </w:divBdr>
    </w:div>
    <w:div w:id="13202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ny.drak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1166</Words>
  <Characters>6241</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2015-07-23T13:21:00Z</dcterms:created>
  <dcterms:modified xsi:type="dcterms:W3CDTF">2015-07-23T13:21:00Z</dcterms:modified>
  <cp:category> </cp:category>
  <cp:contentStatus> </cp:contentStatus>
</cp:coreProperties>
</file>