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624F1" w14:textId="4171033A" w:rsidR="004C2EE3" w:rsidRPr="008B60AE" w:rsidRDefault="004C2EE3" w:rsidP="004B617B">
      <w:pPr>
        <w:jc w:val="center"/>
        <w:rPr>
          <w:b/>
          <w:szCs w:val="22"/>
        </w:rPr>
      </w:pPr>
      <w:bookmarkStart w:id="0" w:name="_GoBack"/>
      <w:bookmarkEnd w:id="0"/>
      <w:r w:rsidRPr="008B60AE">
        <w:rPr>
          <w:b/>
          <w:kern w:val="0"/>
          <w:szCs w:val="22"/>
        </w:rPr>
        <w:t>Before</w:t>
      </w:r>
      <w:r w:rsidRPr="008B60AE">
        <w:rPr>
          <w:b/>
          <w:szCs w:val="22"/>
        </w:rPr>
        <w:t xml:space="preserve"> the</w:t>
      </w:r>
    </w:p>
    <w:p w14:paraId="31641608" w14:textId="43394E9A" w:rsidR="004C2EE3" w:rsidRPr="008B60AE" w:rsidRDefault="002E593C" w:rsidP="004B617B">
      <w:pPr>
        <w:pStyle w:val="StyleBoldCentered"/>
        <w:rPr>
          <w:rFonts w:ascii="Times New Roman" w:hAnsi="Times New Roman"/>
        </w:rPr>
      </w:pPr>
      <w:r w:rsidRPr="00EE2E1F">
        <w:rPr>
          <w:rFonts w:ascii="Times New Roman" w:hAnsi="Times New Roman"/>
          <w:caps w:val="0"/>
        </w:rPr>
        <w:t>Federal Communications Commission</w:t>
      </w:r>
    </w:p>
    <w:p w14:paraId="67ADFAB5" w14:textId="77777777" w:rsidR="004C2EE3" w:rsidRPr="008B60AE" w:rsidRDefault="00083CB8" w:rsidP="004B617B">
      <w:pPr>
        <w:pStyle w:val="StyleBoldCentered"/>
        <w:rPr>
          <w:rFonts w:ascii="Times New Roman" w:hAnsi="Times New Roman"/>
        </w:rPr>
      </w:pPr>
      <w:r w:rsidRPr="008B60AE">
        <w:rPr>
          <w:rFonts w:ascii="Times New Roman" w:hAnsi="Times New Roman"/>
          <w:caps w:val="0"/>
        </w:rPr>
        <w:t>Washington</w:t>
      </w:r>
      <w:r w:rsidR="004C2EE3" w:rsidRPr="008B60AE">
        <w:rPr>
          <w:rFonts w:ascii="Times New Roman" w:hAnsi="Times New Roman"/>
        </w:rPr>
        <w:t>, D.C. 20554</w:t>
      </w:r>
    </w:p>
    <w:p w14:paraId="1877EEBD" w14:textId="77777777" w:rsidR="004C2EE3" w:rsidRPr="00DF6D30" w:rsidRDefault="004C2EE3" w:rsidP="004B617B">
      <w:pPr>
        <w:rPr>
          <w:b/>
        </w:rPr>
      </w:pPr>
    </w:p>
    <w:p w14:paraId="4C0E7B3D" w14:textId="77777777" w:rsidR="004C2EE3" w:rsidRPr="008B60AE" w:rsidRDefault="004C2EE3" w:rsidP="004B617B">
      <w:pPr>
        <w:rPr>
          <w:szCs w:val="22"/>
        </w:rPr>
      </w:pPr>
    </w:p>
    <w:tbl>
      <w:tblPr>
        <w:tblW w:w="0" w:type="auto"/>
        <w:tblLayout w:type="fixed"/>
        <w:tblLook w:val="0000" w:firstRow="0" w:lastRow="0" w:firstColumn="0" w:lastColumn="0" w:noHBand="0" w:noVBand="0"/>
      </w:tblPr>
      <w:tblGrid>
        <w:gridCol w:w="4698"/>
        <w:gridCol w:w="630"/>
        <w:gridCol w:w="4248"/>
      </w:tblGrid>
      <w:tr w:rsidR="004C2EE3" w:rsidRPr="008B60AE" w14:paraId="6875EEEA" w14:textId="77777777">
        <w:tc>
          <w:tcPr>
            <w:tcW w:w="4698" w:type="dxa"/>
          </w:tcPr>
          <w:p w14:paraId="629A9DF0" w14:textId="77777777" w:rsidR="004C2EE3" w:rsidRPr="008B60AE" w:rsidRDefault="004C2EE3" w:rsidP="004B617B">
            <w:pPr>
              <w:tabs>
                <w:tab w:val="center" w:pos="4680"/>
              </w:tabs>
              <w:suppressAutoHyphens/>
              <w:rPr>
                <w:spacing w:val="-2"/>
                <w:szCs w:val="22"/>
              </w:rPr>
            </w:pPr>
            <w:r w:rsidRPr="008B60AE">
              <w:rPr>
                <w:spacing w:val="-2"/>
                <w:szCs w:val="22"/>
              </w:rPr>
              <w:t>In the Matter of</w:t>
            </w:r>
          </w:p>
          <w:p w14:paraId="60A9E4AA" w14:textId="77777777" w:rsidR="004C2EE3" w:rsidRPr="008B60AE" w:rsidRDefault="004C2EE3" w:rsidP="004B617B">
            <w:pPr>
              <w:tabs>
                <w:tab w:val="center" w:pos="4680"/>
              </w:tabs>
              <w:suppressAutoHyphens/>
              <w:rPr>
                <w:spacing w:val="-2"/>
                <w:szCs w:val="22"/>
              </w:rPr>
            </w:pPr>
          </w:p>
          <w:p w14:paraId="70B63DD9" w14:textId="77777777" w:rsidR="004C2EE3" w:rsidRPr="008B60AE" w:rsidRDefault="00523517" w:rsidP="004B617B">
            <w:pPr>
              <w:tabs>
                <w:tab w:val="center" w:pos="4680"/>
              </w:tabs>
              <w:suppressAutoHyphens/>
              <w:rPr>
                <w:spacing w:val="-2"/>
                <w:szCs w:val="22"/>
              </w:rPr>
            </w:pPr>
            <w:r w:rsidRPr="008B60AE">
              <w:rPr>
                <w:spacing w:val="-2"/>
                <w:szCs w:val="22"/>
              </w:rPr>
              <w:t>Wireless E911 Location Accuracy Requirements</w:t>
            </w:r>
          </w:p>
        </w:tc>
        <w:tc>
          <w:tcPr>
            <w:tcW w:w="630" w:type="dxa"/>
          </w:tcPr>
          <w:p w14:paraId="1A6FA3D9" w14:textId="77777777" w:rsidR="004C2EE3" w:rsidRPr="008B60AE" w:rsidRDefault="004C2EE3" w:rsidP="004B617B">
            <w:pPr>
              <w:tabs>
                <w:tab w:val="center" w:pos="4680"/>
              </w:tabs>
              <w:suppressAutoHyphens/>
              <w:rPr>
                <w:b/>
                <w:spacing w:val="-2"/>
                <w:szCs w:val="22"/>
              </w:rPr>
            </w:pPr>
            <w:r w:rsidRPr="008B60AE">
              <w:rPr>
                <w:b/>
                <w:spacing w:val="-2"/>
                <w:szCs w:val="22"/>
              </w:rPr>
              <w:t>)</w:t>
            </w:r>
          </w:p>
          <w:p w14:paraId="47ED729B" w14:textId="77777777" w:rsidR="004C2EE3" w:rsidRPr="008B60AE" w:rsidRDefault="004C2EE3" w:rsidP="004B617B">
            <w:pPr>
              <w:tabs>
                <w:tab w:val="center" w:pos="4680"/>
              </w:tabs>
              <w:suppressAutoHyphens/>
              <w:rPr>
                <w:b/>
                <w:spacing w:val="-2"/>
                <w:szCs w:val="22"/>
              </w:rPr>
            </w:pPr>
            <w:r w:rsidRPr="008B60AE">
              <w:rPr>
                <w:b/>
                <w:spacing w:val="-2"/>
                <w:szCs w:val="22"/>
              </w:rPr>
              <w:t>)</w:t>
            </w:r>
          </w:p>
          <w:p w14:paraId="7B5275AD" w14:textId="77777777" w:rsidR="004C2EE3" w:rsidRPr="008B60AE" w:rsidRDefault="004C2EE3" w:rsidP="004B617B">
            <w:pPr>
              <w:tabs>
                <w:tab w:val="center" w:pos="4680"/>
              </w:tabs>
              <w:suppressAutoHyphens/>
              <w:rPr>
                <w:spacing w:val="-2"/>
                <w:szCs w:val="22"/>
              </w:rPr>
            </w:pPr>
            <w:r w:rsidRPr="008B60AE">
              <w:rPr>
                <w:b/>
                <w:spacing w:val="-2"/>
                <w:szCs w:val="22"/>
              </w:rPr>
              <w:t>)</w:t>
            </w:r>
          </w:p>
        </w:tc>
        <w:tc>
          <w:tcPr>
            <w:tcW w:w="4248" w:type="dxa"/>
          </w:tcPr>
          <w:p w14:paraId="25797818" w14:textId="77777777" w:rsidR="004C2EE3" w:rsidRPr="008B60AE" w:rsidRDefault="004C2EE3" w:rsidP="004B617B">
            <w:pPr>
              <w:tabs>
                <w:tab w:val="center" w:pos="4680"/>
              </w:tabs>
              <w:suppressAutoHyphens/>
              <w:rPr>
                <w:spacing w:val="-2"/>
                <w:szCs w:val="22"/>
              </w:rPr>
            </w:pPr>
          </w:p>
          <w:p w14:paraId="4000E924" w14:textId="77777777" w:rsidR="004C2EE3" w:rsidRPr="008B60AE" w:rsidRDefault="004C2EE3" w:rsidP="004B617B">
            <w:pPr>
              <w:pStyle w:val="TOAHeading"/>
              <w:tabs>
                <w:tab w:val="clear" w:pos="9360"/>
                <w:tab w:val="center" w:pos="4680"/>
              </w:tabs>
              <w:rPr>
                <w:spacing w:val="-2"/>
                <w:szCs w:val="22"/>
              </w:rPr>
            </w:pPr>
          </w:p>
          <w:p w14:paraId="7DFCDB4C" w14:textId="77777777" w:rsidR="004C2EE3" w:rsidRPr="008B60AE" w:rsidRDefault="00523517" w:rsidP="004B617B">
            <w:pPr>
              <w:tabs>
                <w:tab w:val="center" w:pos="4680"/>
              </w:tabs>
              <w:suppressAutoHyphens/>
              <w:rPr>
                <w:spacing w:val="-2"/>
                <w:szCs w:val="22"/>
              </w:rPr>
            </w:pPr>
            <w:r w:rsidRPr="008B60AE">
              <w:rPr>
                <w:spacing w:val="-2"/>
                <w:szCs w:val="22"/>
              </w:rPr>
              <w:t>PS Docket No. 07-114</w:t>
            </w:r>
          </w:p>
        </w:tc>
      </w:tr>
    </w:tbl>
    <w:p w14:paraId="0F5B6E0A" w14:textId="77777777" w:rsidR="004C2EE3" w:rsidRPr="008B60AE" w:rsidRDefault="004C2EE3" w:rsidP="004B617B">
      <w:pPr>
        <w:rPr>
          <w:szCs w:val="22"/>
        </w:rPr>
      </w:pPr>
    </w:p>
    <w:p w14:paraId="41991FBE" w14:textId="77777777" w:rsidR="00841AB1" w:rsidRPr="008B60AE" w:rsidRDefault="00CC4E75" w:rsidP="004B617B">
      <w:pPr>
        <w:pStyle w:val="StyleBoldCentered"/>
        <w:rPr>
          <w:rFonts w:ascii="Times New Roman" w:hAnsi="Times New Roman"/>
        </w:rPr>
      </w:pPr>
      <w:r w:rsidRPr="008B60AE">
        <w:rPr>
          <w:rFonts w:ascii="Times New Roman" w:hAnsi="Times New Roman"/>
        </w:rPr>
        <w:t>fourth</w:t>
      </w:r>
      <w:r w:rsidR="00523517" w:rsidRPr="008B60AE">
        <w:rPr>
          <w:rFonts w:ascii="Times New Roman" w:hAnsi="Times New Roman"/>
        </w:rPr>
        <w:t xml:space="preserve"> </w:t>
      </w:r>
      <w:r w:rsidRPr="008B60AE">
        <w:rPr>
          <w:rFonts w:ascii="Times New Roman" w:hAnsi="Times New Roman"/>
        </w:rPr>
        <w:t xml:space="preserve">REPORT AND ORDER </w:t>
      </w:r>
    </w:p>
    <w:p w14:paraId="2A639903" w14:textId="77777777" w:rsidR="004C2EE3" w:rsidRPr="008B60AE" w:rsidRDefault="004C2EE3" w:rsidP="004B617B">
      <w:pPr>
        <w:tabs>
          <w:tab w:val="left" w:pos="-720"/>
        </w:tabs>
        <w:suppressAutoHyphens/>
        <w:spacing w:line="227" w:lineRule="auto"/>
        <w:rPr>
          <w:spacing w:val="-2"/>
          <w:szCs w:val="22"/>
        </w:rPr>
      </w:pPr>
    </w:p>
    <w:p w14:paraId="49F1CB86" w14:textId="3414C0F7" w:rsidR="004C2EE3" w:rsidRPr="008B60AE" w:rsidRDefault="004C2EE3" w:rsidP="004B617B">
      <w:pPr>
        <w:tabs>
          <w:tab w:val="left" w:pos="720"/>
          <w:tab w:val="left" w:pos="5760"/>
        </w:tabs>
        <w:suppressAutoHyphens/>
        <w:spacing w:line="227" w:lineRule="auto"/>
        <w:rPr>
          <w:b/>
          <w:spacing w:val="-2"/>
          <w:szCs w:val="22"/>
        </w:rPr>
      </w:pPr>
      <w:r w:rsidRPr="008B60AE">
        <w:rPr>
          <w:b/>
          <w:spacing w:val="-2"/>
          <w:szCs w:val="22"/>
        </w:rPr>
        <w:t xml:space="preserve">Adopted:  </w:t>
      </w:r>
      <w:r w:rsidR="00E555E7">
        <w:rPr>
          <w:b/>
          <w:spacing w:val="-2"/>
          <w:szCs w:val="22"/>
        </w:rPr>
        <w:t>January 29</w:t>
      </w:r>
      <w:r w:rsidR="009A4249">
        <w:rPr>
          <w:b/>
          <w:spacing w:val="-2"/>
          <w:szCs w:val="22"/>
        </w:rPr>
        <w:t>, 2015</w:t>
      </w:r>
      <w:r w:rsidRPr="008B60AE">
        <w:rPr>
          <w:b/>
          <w:spacing w:val="-2"/>
          <w:szCs w:val="22"/>
        </w:rPr>
        <w:tab/>
      </w:r>
      <w:r w:rsidR="00A26217">
        <w:rPr>
          <w:b/>
          <w:spacing w:val="-2"/>
          <w:szCs w:val="22"/>
        </w:rPr>
        <w:tab/>
        <w:t xml:space="preserve">  </w:t>
      </w:r>
      <w:r w:rsidR="00450885">
        <w:rPr>
          <w:b/>
          <w:spacing w:val="-2"/>
          <w:szCs w:val="22"/>
        </w:rPr>
        <w:t xml:space="preserve"> </w:t>
      </w:r>
      <w:r w:rsidR="007A4D1A">
        <w:rPr>
          <w:b/>
          <w:spacing w:val="-2"/>
          <w:szCs w:val="22"/>
        </w:rPr>
        <w:t xml:space="preserve">  </w:t>
      </w:r>
      <w:r w:rsidR="00822CE0" w:rsidRPr="008B60AE">
        <w:rPr>
          <w:b/>
          <w:spacing w:val="-2"/>
          <w:szCs w:val="22"/>
        </w:rPr>
        <w:t>Released</w:t>
      </w:r>
      <w:r w:rsidRPr="008B60AE">
        <w:rPr>
          <w:b/>
          <w:spacing w:val="-2"/>
          <w:szCs w:val="22"/>
        </w:rPr>
        <w:t>:</w:t>
      </w:r>
      <w:r w:rsidR="00822CE0" w:rsidRPr="008B60AE">
        <w:rPr>
          <w:b/>
          <w:spacing w:val="-2"/>
          <w:szCs w:val="22"/>
        </w:rPr>
        <w:t xml:space="preserve"> </w:t>
      </w:r>
      <w:r w:rsidRPr="008B60AE">
        <w:rPr>
          <w:b/>
          <w:spacing w:val="-2"/>
          <w:szCs w:val="22"/>
        </w:rPr>
        <w:t xml:space="preserve"> </w:t>
      </w:r>
      <w:r w:rsidR="00B3684B">
        <w:rPr>
          <w:b/>
          <w:spacing w:val="-2"/>
          <w:szCs w:val="22"/>
        </w:rPr>
        <w:t xml:space="preserve">February </w:t>
      </w:r>
      <w:r w:rsidR="00EE2E1F">
        <w:rPr>
          <w:b/>
          <w:spacing w:val="-2"/>
          <w:szCs w:val="22"/>
        </w:rPr>
        <w:t>3</w:t>
      </w:r>
      <w:r w:rsidR="009A4249">
        <w:rPr>
          <w:b/>
          <w:spacing w:val="-2"/>
          <w:szCs w:val="22"/>
        </w:rPr>
        <w:t>, 2015</w:t>
      </w:r>
    </w:p>
    <w:p w14:paraId="5C19BFCD" w14:textId="77777777" w:rsidR="00822CE0" w:rsidRPr="008B60AE" w:rsidRDefault="00822CE0" w:rsidP="004B617B">
      <w:pPr>
        <w:rPr>
          <w:szCs w:val="22"/>
        </w:rPr>
      </w:pPr>
    </w:p>
    <w:p w14:paraId="62DFF96E" w14:textId="03412D6F" w:rsidR="00CC4E75" w:rsidRPr="008B60AE" w:rsidRDefault="004C2EE3" w:rsidP="004B617B">
      <w:pPr>
        <w:rPr>
          <w:spacing w:val="-2"/>
          <w:szCs w:val="22"/>
        </w:rPr>
      </w:pPr>
      <w:r w:rsidRPr="008B60AE">
        <w:rPr>
          <w:szCs w:val="22"/>
        </w:rPr>
        <w:t xml:space="preserve">By </w:t>
      </w:r>
      <w:r w:rsidR="004E4A22" w:rsidRPr="008B60AE">
        <w:rPr>
          <w:szCs w:val="22"/>
        </w:rPr>
        <w:t>the</w:t>
      </w:r>
      <w:r w:rsidR="002A2D2E" w:rsidRPr="008B60AE">
        <w:rPr>
          <w:szCs w:val="22"/>
        </w:rPr>
        <w:t xml:space="preserve"> </w:t>
      </w:r>
      <w:r w:rsidR="00523517" w:rsidRPr="008B60AE">
        <w:rPr>
          <w:spacing w:val="-2"/>
          <w:szCs w:val="22"/>
        </w:rPr>
        <w:t>Commission</w:t>
      </w:r>
      <w:r w:rsidRPr="008B60AE">
        <w:rPr>
          <w:spacing w:val="-2"/>
          <w:szCs w:val="22"/>
        </w:rPr>
        <w:t>:</w:t>
      </w:r>
      <w:r w:rsidR="00E555E7">
        <w:rPr>
          <w:spacing w:val="-2"/>
          <w:szCs w:val="22"/>
        </w:rPr>
        <w:t xml:space="preserve"> </w:t>
      </w:r>
      <w:r w:rsidR="00E555E7">
        <w:t>Chairman Wheeler and Commissioners Rosenworcel, Pai</w:t>
      </w:r>
      <w:r w:rsidR="00B25485">
        <w:t>,</w:t>
      </w:r>
      <w:r w:rsidR="00E555E7">
        <w:t xml:space="preserve"> and O’Rielly issuing separate statements; Commissioner Clyburn concurring and issuing a statement.</w:t>
      </w:r>
    </w:p>
    <w:p w14:paraId="5CD343BF" w14:textId="0AF0C546" w:rsidR="005A2014" w:rsidRDefault="005A10C5" w:rsidP="005A10C5">
      <w:pPr>
        <w:pStyle w:val="TOCTitle"/>
      </w:pPr>
      <w:bookmarkStart w:id="1" w:name="TOChere"/>
      <w:r>
        <w:t>Table of Contents</w:t>
      </w:r>
    </w:p>
    <w:p w14:paraId="51CCC640" w14:textId="6ACD11B0" w:rsidR="005A10C5" w:rsidRDefault="005A10C5" w:rsidP="005A10C5">
      <w:pPr>
        <w:pStyle w:val="Paratitle"/>
      </w:pPr>
      <w:r>
        <w:t>Heading</w:t>
      </w:r>
      <w:r>
        <w:tab/>
        <w:t>Paragraph #</w:t>
      </w:r>
      <w:bookmarkStart w:id="2" w:name="start_here"/>
      <w:bookmarkEnd w:id="2"/>
    </w:p>
    <w:p w14:paraId="72AD19F4" w14:textId="56EF24FD" w:rsidR="005A10C5" w:rsidRDefault="005A10C5" w:rsidP="005A10C5">
      <w:pPr>
        <w:pStyle w:val="TOC1"/>
        <w:rPr>
          <w:rFonts w:asciiTheme="minorHAnsi" w:eastAsiaTheme="minorEastAsia" w:hAnsiTheme="minorHAnsi" w:cstheme="minorBidi"/>
          <w:caps w:val="0"/>
          <w:snapToGrid/>
          <w:kern w:val="0"/>
          <w:szCs w:val="22"/>
        </w:rPr>
      </w:pPr>
      <w:r w:rsidRPr="00407E93">
        <w:t>I.</w:t>
      </w:r>
      <w:r>
        <w:rPr>
          <w:rFonts w:asciiTheme="minorHAnsi" w:eastAsiaTheme="minorEastAsia" w:hAnsiTheme="minorHAnsi" w:cstheme="minorBidi"/>
          <w:caps w:val="0"/>
          <w:snapToGrid/>
          <w:kern w:val="0"/>
          <w:szCs w:val="22"/>
        </w:rPr>
        <w:tab/>
      </w:r>
      <w:r w:rsidRPr="00407E93">
        <w:t>INTRODUCTION AND EXECUTIVE SUMMARY</w:t>
      </w:r>
      <w:r>
        <w:tab/>
        <w:t>1</w:t>
      </w:r>
    </w:p>
    <w:p w14:paraId="75C98912" w14:textId="1C54E4A5" w:rsidR="005A10C5" w:rsidRDefault="005A10C5" w:rsidP="005A10C5">
      <w:pPr>
        <w:pStyle w:val="TOC1"/>
        <w:rPr>
          <w:rFonts w:asciiTheme="minorHAnsi" w:eastAsiaTheme="minorEastAsia" w:hAnsiTheme="minorHAnsi" w:cstheme="minorBidi"/>
          <w:caps w:val="0"/>
          <w:snapToGrid/>
          <w:kern w:val="0"/>
          <w:szCs w:val="22"/>
        </w:rPr>
      </w:pPr>
      <w:r w:rsidRPr="00407E93">
        <w:t>II.</w:t>
      </w:r>
      <w:r>
        <w:rPr>
          <w:rFonts w:asciiTheme="minorHAnsi" w:eastAsiaTheme="minorEastAsia" w:hAnsiTheme="minorHAnsi" w:cstheme="minorBidi"/>
          <w:caps w:val="0"/>
          <w:snapToGrid/>
          <w:kern w:val="0"/>
          <w:szCs w:val="22"/>
        </w:rPr>
        <w:tab/>
      </w:r>
      <w:r w:rsidRPr="00407E93">
        <w:t>Background</w:t>
      </w:r>
      <w:r>
        <w:tab/>
        <w:t>9</w:t>
      </w:r>
    </w:p>
    <w:p w14:paraId="4F9C69CE" w14:textId="435FC5ED" w:rsidR="005A10C5" w:rsidRDefault="005A10C5" w:rsidP="005A10C5">
      <w:pPr>
        <w:pStyle w:val="TOC1"/>
        <w:rPr>
          <w:rFonts w:asciiTheme="minorHAnsi" w:eastAsiaTheme="minorEastAsia" w:hAnsiTheme="minorHAnsi" w:cstheme="minorBidi"/>
          <w:caps w:val="0"/>
          <w:snapToGrid/>
          <w:kern w:val="0"/>
          <w:szCs w:val="22"/>
        </w:rPr>
      </w:pPr>
      <w:r w:rsidRPr="00407E93">
        <w:t>III.</w:t>
      </w:r>
      <w:r>
        <w:rPr>
          <w:rFonts w:asciiTheme="minorHAnsi" w:eastAsiaTheme="minorEastAsia" w:hAnsiTheme="minorHAnsi" w:cstheme="minorBidi"/>
          <w:caps w:val="0"/>
          <w:snapToGrid/>
          <w:kern w:val="0"/>
          <w:szCs w:val="22"/>
        </w:rPr>
        <w:tab/>
      </w:r>
      <w:r w:rsidRPr="00407E93">
        <w:t>Indoor Location Accuracy Requirements</w:t>
      </w:r>
      <w:r>
        <w:tab/>
        <w:t>14</w:t>
      </w:r>
    </w:p>
    <w:p w14:paraId="3E93DDD3" w14:textId="1A83FB6B" w:rsidR="005A10C5" w:rsidRDefault="005A10C5" w:rsidP="005A10C5">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Ubiquity and Challenges of Indoor Wireless Calling</w:t>
      </w:r>
      <w:r>
        <w:tab/>
        <w:t>16</w:t>
      </w:r>
    </w:p>
    <w:p w14:paraId="49B1C743" w14:textId="1921B244" w:rsidR="005A10C5" w:rsidRDefault="005A10C5" w:rsidP="005A10C5">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E911 Location Accuracy Requirements</w:t>
      </w:r>
      <w:r>
        <w:tab/>
        <w:t>20</w:t>
      </w:r>
    </w:p>
    <w:p w14:paraId="4436267D" w14:textId="4213BD71" w:rsidR="005A10C5" w:rsidRDefault="005A10C5" w:rsidP="005A10C5">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Incorporation of Roadmap and Parallel Path Commitments</w:t>
      </w:r>
      <w:r>
        <w:tab/>
        <w:t>22</w:t>
      </w:r>
    </w:p>
    <w:p w14:paraId="6C6F5862" w14:textId="25BBF21D" w:rsidR="005A10C5" w:rsidRDefault="005A10C5" w:rsidP="005A10C5">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Dispatchable Location</w:t>
      </w:r>
      <w:r>
        <w:tab/>
        <w:t>41</w:t>
      </w:r>
    </w:p>
    <w:p w14:paraId="069E92AE" w14:textId="27EC03F2" w:rsidR="005A10C5" w:rsidRDefault="005A10C5" w:rsidP="005A10C5">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Horizontal Location Information</w:t>
      </w:r>
      <w:r>
        <w:tab/>
        <w:t>74</w:t>
      </w:r>
    </w:p>
    <w:p w14:paraId="0C6DC00E" w14:textId="24602DDD" w:rsidR="005A10C5" w:rsidRDefault="005A10C5" w:rsidP="005A10C5">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Vertical Location Information</w:t>
      </w:r>
      <w:r>
        <w:tab/>
        <w:t>105</w:t>
      </w:r>
    </w:p>
    <w:p w14:paraId="696D9E51" w14:textId="18CC2DB0" w:rsidR="005A10C5" w:rsidRDefault="005A10C5" w:rsidP="005A10C5">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Implementation Issues</w:t>
      </w:r>
      <w:r>
        <w:tab/>
        <w:t>121</w:t>
      </w:r>
    </w:p>
    <w:p w14:paraId="2D5F8356" w14:textId="6C016777" w:rsidR="005A10C5" w:rsidRDefault="005A10C5" w:rsidP="005A10C5">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Benefits and Costs of Indoor Location Accuracy</w:t>
      </w:r>
      <w:r>
        <w:tab/>
        <w:t>158</w:t>
      </w:r>
    </w:p>
    <w:p w14:paraId="443E4206" w14:textId="0CEB38B8" w:rsidR="005A10C5" w:rsidRDefault="005A10C5" w:rsidP="005A10C5">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Benefits of Improved Indoor Wireless Location Accuracy</w:t>
      </w:r>
      <w:r>
        <w:tab/>
        <w:t>159</w:t>
      </w:r>
    </w:p>
    <w:p w14:paraId="2377BA78" w14:textId="36EBA151" w:rsidR="005A10C5" w:rsidRDefault="005A10C5" w:rsidP="005A10C5">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Costs of Improved Indoor Wireless Location Accuracy</w:t>
      </w:r>
      <w:r>
        <w:tab/>
        <w:t>167</w:t>
      </w:r>
    </w:p>
    <w:p w14:paraId="433962B6" w14:textId="08987C4B" w:rsidR="005A10C5" w:rsidRDefault="005A10C5" w:rsidP="005A10C5">
      <w:pPr>
        <w:pStyle w:val="TOC1"/>
        <w:rPr>
          <w:rFonts w:asciiTheme="minorHAnsi" w:eastAsiaTheme="minorEastAsia" w:hAnsiTheme="minorHAnsi" w:cstheme="minorBidi"/>
          <w:caps w:val="0"/>
          <w:snapToGrid/>
          <w:kern w:val="0"/>
          <w:szCs w:val="22"/>
        </w:rPr>
      </w:pPr>
      <w:r w:rsidRPr="00407E93">
        <w:t>IV.</w:t>
      </w:r>
      <w:r>
        <w:rPr>
          <w:rFonts w:asciiTheme="minorHAnsi" w:eastAsiaTheme="minorEastAsia" w:hAnsiTheme="minorHAnsi" w:cstheme="minorBidi"/>
          <w:caps w:val="0"/>
          <w:snapToGrid/>
          <w:kern w:val="0"/>
          <w:szCs w:val="22"/>
        </w:rPr>
        <w:tab/>
      </w:r>
      <w:r w:rsidRPr="00407E93">
        <w:t>Improving the Delivery of Phase II Location Information</w:t>
      </w:r>
      <w:r>
        <w:tab/>
        <w:t>171</w:t>
      </w:r>
    </w:p>
    <w:p w14:paraId="0B8CC726" w14:textId="5CE4F0E2" w:rsidR="005A10C5" w:rsidRDefault="005A10C5" w:rsidP="005A10C5">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Latency (Time to First Fix)</w:t>
      </w:r>
      <w:r>
        <w:tab/>
        <w:t>172</w:t>
      </w:r>
    </w:p>
    <w:p w14:paraId="32C0A6EA" w14:textId="55F9EB50" w:rsidR="005A10C5" w:rsidRDefault="005A10C5" w:rsidP="005A10C5">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Retaining E911 Phase II Location Accuracy Standards for Outdoor Measurements</w:t>
      </w:r>
      <w:r>
        <w:tab/>
        <w:t>179</w:t>
      </w:r>
    </w:p>
    <w:p w14:paraId="23D03BFF" w14:textId="6FC53466" w:rsidR="005A10C5" w:rsidRDefault="005A10C5" w:rsidP="005A10C5">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Confidence and Uncertainty (C/U) Data</w:t>
      </w:r>
      <w:r>
        <w:tab/>
        <w:t>182</w:t>
      </w:r>
    </w:p>
    <w:p w14:paraId="069A6913" w14:textId="7B78332C" w:rsidR="005A10C5" w:rsidRDefault="005A10C5" w:rsidP="005A10C5">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Provision of Live 911 Call Data</w:t>
      </w:r>
      <w:r>
        <w:tab/>
        <w:t>190</w:t>
      </w:r>
    </w:p>
    <w:p w14:paraId="6CBDC3A8" w14:textId="4D502495" w:rsidR="005A10C5" w:rsidRDefault="005A10C5" w:rsidP="005A10C5">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Outdoor Compliance Testing and Reporting</w:t>
      </w:r>
      <w:r>
        <w:tab/>
        <w:t>193</w:t>
      </w:r>
    </w:p>
    <w:p w14:paraId="4708085B" w14:textId="16983CE0" w:rsidR="005A10C5" w:rsidRDefault="005A10C5" w:rsidP="005A10C5">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Roaming Issues</w:t>
      </w:r>
      <w:r>
        <w:tab/>
        <w:t>199</w:t>
      </w:r>
    </w:p>
    <w:p w14:paraId="1A355C5C" w14:textId="6964218F" w:rsidR="005A10C5" w:rsidRDefault="005A10C5" w:rsidP="005A10C5">
      <w:pPr>
        <w:pStyle w:val="TOC1"/>
        <w:rPr>
          <w:rFonts w:asciiTheme="minorHAnsi" w:eastAsiaTheme="minorEastAsia" w:hAnsiTheme="minorHAnsi" w:cstheme="minorBidi"/>
          <w:caps w:val="0"/>
          <w:snapToGrid/>
          <w:kern w:val="0"/>
          <w:szCs w:val="22"/>
        </w:rPr>
      </w:pPr>
      <w:r w:rsidRPr="00407E93">
        <w:t>V.</w:t>
      </w:r>
      <w:r>
        <w:rPr>
          <w:rFonts w:asciiTheme="minorHAnsi" w:eastAsiaTheme="minorEastAsia" w:hAnsiTheme="minorHAnsi" w:cstheme="minorBidi"/>
          <w:caps w:val="0"/>
          <w:snapToGrid/>
          <w:kern w:val="0"/>
          <w:szCs w:val="22"/>
        </w:rPr>
        <w:tab/>
      </w:r>
      <w:r w:rsidRPr="00407E93">
        <w:t>Procedural Matters</w:t>
      </w:r>
      <w:r>
        <w:tab/>
        <w:t>201</w:t>
      </w:r>
    </w:p>
    <w:p w14:paraId="0C24EBF9" w14:textId="41685007" w:rsidR="005A10C5" w:rsidRDefault="005A10C5" w:rsidP="005A10C5">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Accessible Formats</w:t>
      </w:r>
      <w:r>
        <w:tab/>
        <w:t>201</w:t>
      </w:r>
    </w:p>
    <w:p w14:paraId="7F7D6BEC" w14:textId="59D2F7A8" w:rsidR="005A10C5" w:rsidRDefault="005A10C5" w:rsidP="005A10C5">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Regulatory Flexibility Analysis</w:t>
      </w:r>
      <w:r>
        <w:tab/>
        <w:t>202</w:t>
      </w:r>
    </w:p>
    <w:p w14:paraId="09A22CFB" w14:textId="0D73BD14" w:rsidR="005A10C5" w:rsidRDefault="005A10C5" w:rsidP="005A10C5">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Paperwork Reduction Analysis</w:t>
      </w:r>
      <w:r>
        <w:tab/>
        <w:t>203</w:t>
      </w:r>
    </w:p>
    <w:p w14:paraId="2DA45068" w14:textId="2C2961F6" w:rsidR="005A10C5" w:rsidRDefault="005A10C5" w:rsidP="005A10C5">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Congressional Review Act</w:t>
      </w:r>
      <w:r>
        <w:tab/>
        <w:t>204</w:t>
      </w:r>
    </w:p>
    <w:p w14:paraId="266A771E" w14:textId="63BA5BE2" w:rsidR="005A10C5" w:rsidRPr="00024B72" w:rsidRDefault="005A10C5" w:rsidP="00024B72">
      <w:pPr>
        <w:pStyle w:val="TOC1"/>
        <w:rPr>
          <w:rFonts w:asciiTheme="minorHAnsi" w:eastAsiaTheme="minorEastAsia" w:hAnsiTheme="minorHAnsi" w:cstheme="minorBidi"/>
          <w:caps w:val="0"/>
          <w:snapToGrid/>
          <w:kern w:val="0"/>
          <w:szCs w:val="22"/>
        </w:rPr>
      </w:pPr>
      <w:r w:rsidRPr="00407E93">
        <w:t>VI.</w:t>
      </w:r>
      <w:r>
        <w:rPr>
          <w:rFonts w:asciiTheme="minorHAnsi" w:eastAsiaTheme="minorEastAsia" w:hAnsiTheme="minorHAnsi" w:cstheme="minorBidi"/>
          <w:caps w:val="0"/>
          <w:snapToGrid/>
          <w:kern w:val="0"/>
          <w:szCs w:val="22"/>
        </w:rPr>
        <w:tab/>
      </w:r>
      <w:r w:rsidRPr="00407E93">
        <w:t>Ordering Clauses</w:t>
      </w:r>
      <w:r>
        <w:tab/>
        <w:t>205</w:t>
      </w:r>
      <w:bookmarkEnd w:id="1"/>
    </w:p>
    <w:p w14:paraId="39C92DEB" w14:textId="749F2FFA" w:rsidR="00C77786" w:rsidRPr="008B60AE" w:rsidRDefault="00C77786" w:rsidP="004B617B">
      <w:pPr>
        <w:rPr>
          <w:b/>
          <w:bCs/>
          <w:noProof/>
          <w:szCs w:val="22"/>
        </w:rPr>
      </w:pPr>
      <w:r w:rsidRPr="008B60AE">
        <w:rPr>
          <w:szCs w:val="22"/>
        </w:rPr>
        <w:t xml:space="preserve">APPENDIX A – </w:t>
      </w:r>
      <w:r w:rsidR="00B3684B">
        <w:rPr>
          <w:szCs w:val="22"/>
        </w:rPr>
        <w:t>List of Commenters</w:t>
      </w:r>
    </w:p>
    <w:p w14:paraId="088D486D" w14:textId="3ECE08F9" w:rsidR="00662338" w:rsidRDefault="00662338" w:rsidP="004B617B">
      <w:pPr>
        <w:rPr>
          <w:szCs w:val="22"/>
        </w:rPr>
      </w:pPr>
      <w:r>
        <w:rPr>
          <w:szCs w:val="22"/>
        </w:rPr>
        <w:t>APPENDIX B – List of Top 50 Cellular Market Areas</w:t>
      </w:r>
    </w:p>
    <w:p w14:paraId="75F35C92" w14:textId="4240EC2B" w:rsidR="00B67466" w:rsidRDefault="00E4492B" w:rsidP="004B617B">
      <w:pPr>
        <w:rPr>
          <w:szCs w:val="22"/>
        </w:rPr>
      </w:pPr>
      <w:r>
        <w:rPr>
          <w:szCs w:val="22"/>
        </w:rPr>
        <w:t xml:space="preserve">APPENDIX </w:t>
      </w:r>
      <w:r w:rsidR="00662338">
        <w:rPr>
          <w:szCs w:val="22"/>
        </w:rPr>
        <w:t>C</w:t>
      </w:r>
      <w:r w:rsidR="00662338" w:rsidRPr="008B60AE">
        <w:rPr>
          <w:szCs w:val="22"/>
        </w:rPr>
        <w:t xml:space="preserve"> </w:t>
      </w:r>
      <w:r w:rsidR="00B67466" w:rsidRPr="008B60AE">
        <w:rPr>
          <w:szCs w:val="22"/>
        </w:rPr>
        <w:t>– Final Regulatory Flexibility Analysis</w:t>
      </w:r>
    </w:p>
    <w:p w14:paraId="143342D4" w14:textId="1A007725" w:rsidR="00433DA7" w:rsidRDefault="00C77786" w:rsidP="004B617B">
      <w:pPr>
        <w:rPr>
          <w:szCs w:val="22"/>
        </w:rPr>
      </w:pPr>
      <w:r w:rsidRPr="008B60AE">
        <w:rPr>
          <w:szCs w:val="22"/>
        </w:rPr>
        <w:t xml:space="preserve">APPENDIX </w:t>
      </w:r>
      <w:r w:rsidR="00662338">
        <w:rPr>
          <w:szCs w:val="22"/>
        </w:rPr>
        <w:t>D</w:t>
      </w:r>
      <w:r w:rsidR="00662338" w:rsidRPr="008B60AE">
        <w:rPr>
          <w:szCs w:val="22"/>
        </w:rPr>
        <w:t xml:space="preserve"> </w:t>
      </w:r>
      <w:r w:rsidRPr="008B60AE">
        <w:rPr>
          <w:szCs w:val="22"/>
        </w:rPr>
        <w:t xml:space="preserve">– </w:t>
      </w:r>
      <w:r w:rsidR="00B67466" w:rsidRPr="008B60AE">
        <w:rPr>
          <w:szCs w:val="22"/>
        </w:rPr>
        <w:t>Final</w:t>
      </w:r>
      <w:r w:rsidRPr="008B60AE">
        <w:rPr>
          <w:szCs w:val="22"/>
        </w:rPr>
        <w:t xml:space="preserve"> Rules</w:t>
      </w:r>
    </w:p>
    <w:p w14:paraId="0D97872D" w14:textId="77777777" w:rsidR="00984C0E" w:rsidRPr="008B60AE" w:rsidRDefault="00984C0E" w:rsidP="004B617B">
      <w:pPr>
        <w:rPr>
          <w:szCs w:val="22"/>
        </w:rPr>
      </w:pPr>
    </w:p>
    <w:p w14:paraId="092979C1" w14:textId="77777777" w:rsidR="00C75C37" w:rsidRPr="00B0230F" w:rsidRDefault="00523517" w:rsidP="00B0230F">
      <w:pPr>
        <w:pStyle w:val="Heading1"/>
        <w:rPr>
          <w:rFonts w:ascii="Times New Roman" w:hAnsi="Times New Roman"/>
          <w:szCs w:val="22"/>
        </w:rPr>
      </w:pPr>
      <w:bookmarkStart w:id="3" w:name="_Toc410212636"/>
      <w:bookmarkStart w:id="4" w:name="_Toc380673864"/>
      <w:bookmarkStart w:id="5" w:name="_Toc402535520"/>
      <w:bookmarkStart w:id="6" w:name="_Toc406513837"/>
      <w:bookmarkStart w:id="7" w:name="_Toc407796233"/>
      <w:bookmarkStart w:id="8" w:name="_Toc408400443"/>
      <w:bookmarkStart w:id="9" w:name="_Toc408400481"/>
      <w:bookmarkStart w:id="10" w:name="_Toc408400542"/>
      <w:bookmarkStart w:id="11" w:name="_Toc408403107"/>
      <w:bookmarkStart w:id="12" w:name="_Toc408421319"/>
      <w:bookmarkStart w:id="13" w:name="_Toc408490554"/>
      <w:bookmarkStart w:id="14" w:name="_Toc408496206"/>
      <w:bookmarkStart w:id="15" w:name="_Toc408502407"/>
      <w:bookmarkStart w:id="16" w:name="_Toc410119079"/>
      <w:bookmarkStart w:id="17" w:name="_Toc410123658"/>
      <w:bookmarkStart w:id="18" w:name="_Toc410124640"/>
      <w:bookmarkStart w:id="19" w:name="_Toc410124720"/>
      <w:bookmarkStart w:id="20" w:name="_Toc410146114"/>
      <w:bookmarkStart w:id="21" w:name="_Toc410212637"/>
      <w:bookmarkStart w:id="22" w:name="_Toc410648279"/>
      <w:bookmarkEnd w:id="3"/>
      <w:r w:rsidRPr="008B60AE">
        <w:rPr>
          <w:rFonts w:ascii="Times New Roman" w:hAnsi="Times New Roman"/>
          <w:szCs w:val="22"/>
        </w:rPr>
        <w:lastRenderedPageBreak/>
        <w:t>INTRODUCTION AND EXECUTIVE SUMMARY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1730A1A1" w14:textId="304497B8" w:rsidR="00C61E39" w:rsidRDefault="00C61E39" w:rsidP="00EC7C5A">
      <w:pPr>
        <w:pStyle w:val="ParaNum"/>
        <w:rPr>
          <w:szCs w:val="22"/>
        </w:rPr>
      </w:pPr>
      <w:r>
        <w:rPr>
          <w:szCs w:val="22"/>
        </w:rPr>
        <w:t>I</w:t>
      </w:r>
      <w:r w:rsidRPr="007E0D5C">
        <w:rPr>
          <w:szCs w:val="22"/>
        </w:rPr>
        <w:t xml:space="preserve">n this </w:t>
      </w:r>
      <w:r w:rsidRPr="007E0D5C">
        <w:rPr>
          <w:i/>
          <w:szCs w:val="22"/>
        </w:rPr>
        <w:t>Fourth Report and Order</w:t>
      </w:r>
      <w:r w:rsidRPr="007E0D5C">
        <w:rPr>
          <w:szCs w:val="22"/>
        </w:rPr>
        <w:t>,</w:t>
      </w:r>
      <w:r>
        <w:rPr>
          <w:szCs w:val="22"/>
        </w:rPr>
        <w:t xml:space="preserve"> we adopt measures that will significantly enhance the ability of </w:t>
      </w:r>
      <w:r w:rsidRPr="007E0D5C">
        <w:rPr>
          <w:szCs w:val="22"/>
        </w:rPr>
        <w:t xml:space="preserve">Public Safety Answering Points (PSAPs) to accurately identify the location of wireless 911 callers </w:t>
      </w:r>
      <w:r>
        <w:rPr>
          <w:szCs w:val="22"/>
        </w:rPr>
        <w:t xml:space="preserve">when the caller is </w:t>
      </w:r>
      <w:r w:rsidRPr="007E0D5C">
        <w:rPr>
          <w:szCs w:val="22"/>
        </w:rPr>
        <w:t>indoors</w:t>
      </w:r>
      <w:r>
        <w:rPr>
          <w:szCs w:val="22"/>
        </w:rPr>
        <w:t>.  We also s</w:t>
      </w:r>
      <w:r w:rsidRPr="007E0D5C">
        <w:rPr>
          <w:szCs w:val="22"/>
        </w:rPr>
        <w:t xml:space="preserve">trengthen our existing E911 location accuracy rules </w:t>
      </w:r>
      <w:r>
        <w:rPr>
          <w:szCs w:val="22"/>
        </w:rPr>
        <w:t xml:space="preserve">to improve location determination for outdoor as well as indoor calls.   </w:t>
      </w:r>
    </w:p>
    <w:p w14:paraId="3FB56006" w14:textId="7ECE2561" w:rsidR="00C61E39" w:rsidRDefault="00C61E39" w:rsidP="00EC7C5A">
      <w:pPr>
        <w:pStyle w:val="ParaNum"/>
        <w:rPr>
          <w:szCs w:val="22"/>
        </w:rPr>
      </w:pPr>
      <w:r>
        <w:rPr>
          <w:szCs w:val="22"/>
        </w:rPr>
        <w:t xml:space="preserve">Our actions in this order respond to major changes in the wireless landscape </w:t>
      </w:r>
      <w:r w:rsidRPr="007E0D5C">
        <w:rPr>
          <w:szCs w:val="22"/>
        </w:rPr>
        <w:t>since the Commission first adopted its wireless Enhanced 911 (E911) location accuracy rules in 1996 and since the last significant revision of these rules in 2010.</w:t>
      </w:r>
      <w:r w:rsidR="00922848" w:rsidRPr="008B60AE" w:rsidDel="00922848">
        <w:rPr>
          <w:rStyle w:val="FootnoteReference"/>
          <w:sz w:val="22"/>
          <w:szCs w:val="22"/>
        </w:rPr>
        <w:t xml:space="preserve"> </w:t>
      </w:r>
      <w:r w:rsidRPr="007E0D5C">
        <w:rPr>
          <w:szCs w:val="22"/>
        </w:rPr>
        <w:t xml:space="preserve">  </w:t>
      </w:r>
      <w:r>
        <w:rPr>
          <w:szCs w:val="22"/>
        </w:rPr>
        <w:t>C</w:t>
      </w:r>
      <w:r w:rsidRPr="007E0D5C">
        <w:rPr>
          <w:szCs w:val="22"/>
        </w:rPr>
        <w:t>onsumers are increasingly replacing traditional landline telephony with wireless phones</w:t>
      </w:r>
      <w:r w:rsidR="00D118C9">
        <w:rPr>
          <w:szCs w:val="22"/>
        </w:rPr>
        <w:t>;</w:t>
      </w:r>
      <w:r w:rsidRPr="008B60AE">
        <w:rPr>
          <w:rStyle w:val="FootnoteReference"/>
          <w:sz w:val="22"/>
          <w:szCs w:val="22"/>
        </w:rPr>
        <w:footnoteReference w:id="2"/>
      </w:r>
      <w:r w:rsidRPr="003774E7">
        <w:rPr>
          <w:szCs w:val="22"/>
        </w:rPr>
        <w:t xml:space="preserve"> </w:t>
      </w:r>
      <w:r>
        <w:rPr>
          <w:szCs w:val="22"/>
        </w:rPr>
        <w:t>the</w:t>
      </w:r>
      <w:r w:rsidRPr="007E0D5C">
        <w:rPr>
          <w:szCs w:val="22"/>
        </w:rPr>
        <w:t xml:space="preserve"> majority of wireless calls are now made indoors</w:t>
      </w:r>
      <w:r w:rsidR="00D118C9">
        <w:rPr>
          <w:szCs w:val="22"/>
        </w:rPr>
        <w:t xml:space="preserve">; </w:t>
      </w:r>
      <w:r>
        <w:rPr>
          <w:szCs w:val="22"/>
        </w:rPr>
        <w:t>and the majority of calls to 911 are from wireless phones.</w:t>
      </w:r>
      <w:r w:rsidRPr="007E0D5C">
        <w:rPr>
          <w:szCs w:val="22"/>
        </w:rPr>
        <w:t xml:space="preserve"> </w:t>
      </w:r>
      <w:r>
        <w:rPr>
          <w:szCs w:val="22"/>
        </w:rPr>
        <w:t xml:space="preserve"> This increases the likelihood that wireless 911 calls will come from indoor environments where traditional location accuracy technologies optimized for outdoor calling often do not work effectively or at all.  This gap in the performance of 911 location service needs to be closed:  the public rightfully expects 911 location technologies to work effectively regardless of whether a 911 call originates indoors or outdoors.    </w:t>
      </w:r>
    </w:p>
    <w:p w14:paraId="2C31AB69" w14:textId="457CFCD7" w:rsidR="00C61E39" w:rsidRDefault="00C61E39" w:rsidP="00EC7C5A">
      <w:pPr>
        <w:pStyle w:val="ParaNum"/>
        <w:rPr>
          <w:szCs w:val="22"/>
        </w:rPr>
      </w:pPr>
      <w:r>
        <w:rPr>
          <w:szCs w:val="22"/>
        </w:rPr>
        <w:t xml:space="preserve">The record in this proceeding also indicates that a range of potential solutions to this gap </w:t>
      </w:r>
      <w:r w:rsidR="00D118C9">
        <w:rPr>
          <w:szCs w:val="22"/>
        </w:rPr>
        <w:t xml:space="preserve">already </w:t>
      </w:r>
      <w:r>
        <w:rPr>
          <w:szCs w:val="22"/>
        </w:rPr>
        <w:t xml:space="preserve">exist and have the potential to be implemented over the next few years through concerted effort by Commercial Mobile Radio Service (CMRS) providers and PSAPs.  These solutions will both lead to more accurate horizontal location of indoor calls, and add the capacity to provide vertical location information for calls originating in multi-story buildings.  In addition, the record makes clear that the potential exists to move beyond coordinate-based location and to provide PSAPs with “dispatchable location” information for many indoor 911 calls, </w:t>
      </w:r>
      <w:r w:rsidRPr="00FE1B4D">
        <w:rPr>
          <w:i/>
          <w:szCs w:val="22"/>
        </w:rPr>
        <w:t>i.e.</w:t>
      </w:r>
      <w:r>
        <w:rPr>
          <w:szCs w:val="22"/>
        </w:rPr>
        <w:t xml:space="preserve">, </w:t>
      </w:r>
      <w:r w:rsidRPr="00FE1B4D">
        <w:rPr>
          <w:szCs w:val="22"/>
        </w:rPr>
        <w:t xml:space="preserve">a </w:t>
      </w:r>
      <w:r>
        <w:rPr>
          <w:szCs w:val="22"/>
        </w:rPr>
        <w:t>street</w:t>
      </w:r>
      <w:r w:rsidRPr="00FE1B4D">
        <w:rPr>
          <w:szCs w:val="22"/>
        </w:rPr>
        <w:t xml:space="preserve"> address plus </w:t>
      </w:r>
      <w:r>
        <w:rPr>
          <w:szCs w:val="22"/>
        </w:rPr>
        <w:t>sufficient information, such as floor and room number</w:t>
      </w:r>
      <w:r w:rsidRPr="00FE1B4D">
        <w:rPr>
          <w:szCs w:val="22"/>
        </w:rPr>
        <w:t>, to identify the location of the caller in the building.</w:t>
      </w:r>
    </w:p>
    <w:p w14:paraId="08899DD6" w14:textId="77777777" w:rsidR="00840EF7" w:rsidRPr="00840EF7" w:rsidRDefault="00C61E39" w:rsidP="00EC7C5A">
      <w:pPr>
        <w:pStyle w:val="ParaNum"/>
      </w:pPr>
      <w:r w:rsidRPr="00565D7A">
        <w:t>To be sure, no single technological approach will solve the challenge of indoor location, and no solution can be implemented overnight.  The requirements we adopt are technically feasible and technologically neutral, so that providers can choose the most effective solutions from a range of options.  In addition, our requirements allow sufficient time for development of applicable standards, establishment of testing mechanisms, and deployment of new location technology in both handsets and networks.  Our timeframes also take into account the ability of PSAPs to process enhancements in the location data they receive.  Clear and measurable timelines and benchmarks for all stakeholders are essential to drive the improvements that the public reasonably expects to see in 911 location performance.</w:t>
      </w:r>
      <w:r w:rsidR="00840EF7">
        <w:t xml:space="preserve">  </w:t>
      </w:r>
    </w:p>
    <w:p w14:paraId="2278C12F" w14:textId="3570A50A" w:rsidR="00840EF7" w:rsidRPr="00840EF7" w:rsidRDefault="00C61E39" w:rsidP="0087362C">
      <w:pPr>
        <w:pStyle w:val="ParaNum"/>
      </w:pPr>
      <w:r w:rsidRPr="00840EF7">
        <w:rPr>
          <w:szCs w:val="22"/>
        </w:rPr>
        <w:t>In determining the appropriate balance to strike in our requirements and timeframes, we give significant weight to the “Roadmap for Improving E911 Location Accuracy” (Roadmap) that was agreed to in November 2014 by the Association of Public Safety Communications Officials (APCO), the National Emergency Number Association (NENA), and the four national wireless CMRS providers</w:t>
      </w:r>
      <w:r w:rsidR="00DB3E54">
        <w:rPr>
          <w:szCs w:val="22"/>
        </w:rPr>
        <w:t>,</w:t>
      </w:r>
      <w:r>
        <w:rPr>
          <w:rStyle w:val="FootnoteReference"/>
          <w:szCs w:val="22"/>
        </w:rPr>
        <w:footnoteReference w:id="3"/>
      </w:r>
      <w:r w:rsidR="00DB3E54">
        <w:rPr>
          <w:szCs w:val="22"/>
        </w:rPr>
        <w:t xml:space="preserve"> and supplemental commitments related thereto as discussed below.</w:t>
      </w:r>
      <w:r w:rsidRPr="00840EF7">
        <w:rPr>
          <w:szCs w:val="22"/>
        </w:rPr>
        <w:t xml:space="preserve">  </w:t>
      </w:r>
      <w:r w:rsidR="00A0705E" w:rsidRPr="00840EF7">
        <w:rPr>
          <w:szCs w:val="22"/>
        </w:rPr>
        <w:t>We give similar weight to the “Parallel Path for Competitive Carriers’ Improvement of E911 Location Accuracy Standards” (“Parallel Path”) that was submitted by the Competi</w:t>
      </w:r>
      <w:r w:rsidR="005C211C" w:rsidRPr="00840EF7">
        <w:rPr>
          <w:szCs w:val="22"/>
        </w:rPr>
        <w:t>ti</w:t>
      </w:r>
      <w:r w:rsidR="00A0705E" w:rsidRPr="00840EF7">
        <w:rPr>
          <w:szCs w:val="22"/>
        </w:rPr>
        <w:t>ve Carriers Association</w:t>
      </w:r>
      <w:r w:rsidR="00B81EEB" w:rsidRPr="00840EF7">
        <w:rPr>
          <w:szCs w:val="22"/>
        </w:rPr>
        <w:t xml:space="preserve"> </w:t>
      </w:r>
      <w:r w:rsidR="00A0705E" w:rsidRPr="00840EF7">
        <w:rPr>
          <w:szCs w:val="22"/>
        </w:rPr>
        <w:t>(CCA).</w:t>
      </w:r>
      <w:r w:rsidR="00A0705E">
        <w:rPr>
          <w:rStyle w:val="FootnoteReference"/>
          <w:szCs w:val="22"/>
        </w:rPr>
        <w:footnoteReference w:id="4"/>
      </w:r>
      <w:r w:rsidR="00A0705E" w:rsidRPr="00840EF7">
        <w:rPr>
          <w:szCs w:val="22"/>
        </w:rPr>
        <w:t xml:space="preserve">  We believe the Roadmap and the </w:t>
      </w:r>
      <w:r w:rsidR="00A0705E" w:rsidRPr="00840EF7">
        <w:rPr>
          <w:szCs w:val="22"/>
        </w:rPr>
        <w:lastRenderedPageBreak/>
        <w:t xml:space="preserve">Parallel Path establish an essential foundation for driving improvements to indoor location accuracy, and we therefore incorporate their overall timelines and many of their provisions into the rules adopted in this order.  In addition, to provide greater certainty and accountability in areas that the Roadmap and the Parallel Path do not fully address, the rules we adopt today include additional elements with “backstop” requirements derived from our proposals in the </w:t>
      </w:r>
      <w:r w:rsidR="00A0705E" w:rsidRPr="00840EF7">
        <w:rPr>
          <w:i/>
          <w:szCs w:val="22"/>
        </w:rPr>
        <w:t xml:space="preserve">Third Further Notice </w:t>
      </w:r>
      <w:r w:rsidR="00A0705E" w:rsidRPr="00840EF7">
        <w:rPr>
          <w:szCs w:val="22"/>
        </w:rPr>
        <w:t xml:space="preserve">and recent </w:t>
      </w:r>
      <w:r w:rsidR="00A0705E" w:rsidRPr="00840EF7">
        <w:rPr>
          <w:i/>
          <w:szCs w:val="22"/>
        </w:rPr>
        <w:t>ex parte</w:t>
      </w:r>
      <w:r w:rsidR="00A0705E" w:rsidRPr="00840EF7">
        <w:rPr>
          <w:szCs w:val="22"/>
        </w:rPr>
        <w:t xml:space="preserve"> submissions by the parties</w:t>
      </w:r>
      <w:r w:rsidR="00501405">
        <w:rPr>
          <w:szCs w:val="22"/>
        </w:rPr>
        <w:t xml:space="preserve"> to the Roadmap</w:t>
      </w:r>
      <w:r w:rsidR="00A0705E" w:rsidRPr="00840EF7">
        <w:rPr>
          <w:szCs w:val="22"/>
        </w:rPr>
        <w:t>.</w:t>
      </w:r>
      <w:r w:rsidR="00A0705E">
        <w:rPr>
          <w:rStyle w:val="FootnoteReference"/>
          <w:szCs w:val="22"/>
        </w:rPr>
        <w:footnoteReference w:id="5"/>
      </w:r>
      <w:r w:rsidR="00A0705E" w:rsidRPr="00840EF7">
        <w:rPr>
          <w:szCs w:val="22"/>
        </w:rPr>
        <w:t xml:space="preserve">  </w:t>
      </w:r>
    </w:p>
    <w:p w14:paraId="0D97E286" w14:textId="3D784C92" w:rsidR="00A0705E" w:rsidRPr="007E0D5C" w:rsidRDefault="00A0705E" w:rsidP="0087362C">
      <w:pPr>
        <w:pStyle w:val="ParaNum"/>
      </w:pPr>
      <w:r>
        <w:rPr>
          <w:szCs w:val="22"/>
        </w:rPr>
        <w:t>Incorporating all of these elements</w:t>
      </w:r>
      <w:r w:rsidRPr="00D73874">
        <w:rPr>
          <w:szCs w:val="22"/>
        </w:rPr>
        <w:t>,</w:t>
      </w:r>
      <w:r>
        <w:rPr>
          <w:szCs w:val="22"/>
        </w:rPr>
        <w:t xml:space="preserve"> </w:t>
      </w:r>
      <w:r w:rsidRPr="007E0D5C">
        <w:rPr>
          <w:szCs w:val="22"/>
        </w:rPr>
        <w:t xml:space="preserve">we </w:t>
      </w:r>
      <w:r>
        <w:rPr>
          <w:szCs w:val="22"/>
        </w:rPr>
        <w:t>adopt the following</w:t>
      </w:r>
      <w:r w:rsidRPr="007E0D5C">
        <w:rPr>
          <w:szCs w:val="22"/>
        </w:rPr>
        <w:t xml:space="preserve"> E911 location </w:t>
      </w:r>
      <w:r w:rsidR="007C055D">
        <w:rPr>
          <w:szCs w:val="22"/>
        </w:rPr>
        <w:t>rules</w:t>
      </w:r>
      <w:r w:rsidRPr="007E0D5C">
        <w:t>:</w:t>
      </w:r>
    </w:p>
    <w:p w14:paraId="143F80FA" w14:textId="77777777" w:rsidR="0084568F" w:rsidRDefault="00A0705E" w:rsidP="004C29B5">
      <w:pPr>
        <w:rPr>
          <w:i/>
          <w:u w:val="single"/>
        </w:rPr>
      </w:pPr>
      <w:r w:rsidRPr="004C29B5">
        <w:rPr>
          <w:i/>
          <w:u w:val="single"/>
        </w:rPr>
        <w:t>Horizontal Location</w:t>
      </w:r>
    </w:p>
    <w:p w14:paraId="3DEE7F6A" w14:textId="77777777" w:rsidR="00A0705E" w:rsidRPr="00D73874" w:rsidRDefault="00A0705E" w:rsidP="008B432C"/>
    <w:p w14:paraId="2B328521" w14:textId="4F92D845" w:rsidR="00840EF7" w:rsidRPr="00976963" w:rsidRDefault="00AA61ED" w:rsidP="004C29B5">
      <w:pPr>
        <w:numPr>
          <w:ilvl w:val="0"/>
          <w:numId w:val="4"/>
        </w:numPr>
        <w:rPr>
          <w:szCs w:val="22"/>
        </w:rPr>
      </w:pPr>
      <w:r>
        <w:rPr>
          <w:szCs w:val="22"/>
        </w:rPr>
        <w:t>All</w:t>
      </w:r>
      <w:r w:rsidR="00A0705E" w:rsidRPr="000356BD">
        <w:rPr>
          <w:szCs w:val="22"/>
        </w:rPr>
        <w:t xml:space="preserve"> CMRS providers must provide (1) dispatchable location,</w:t>
      </w:r>
      <w:r w:rsidR="00A0705E" w:rsidRPr="00D73874">
        <w:rPr>
          <w:sz w:val="20"/>
          <w:vertAlign w:val="superscript"/>
        </w:rPr>
        <w:footnoteReference w:id="6"/>
      </w:r>
      <w:r w:rsidR="00A0705E" w:rsidRPr="00D73874">
        <w:t xml:space="preserve"> </w:t>
      </w:r>
      <w:r w:rsidR="00A0705E" w:rsidRPr="000356BD">
        <w:rPr>
          <w:szCs w:val="22"/>
        </w:rPr>
        <w:t xml:space="preserve"> or (2) x/y location within 50 meters, for the following percentages of wireless 911 calls</w:t>
      </w:r>
      <w:r w:rsidR="00A0705E">
        <w:rPr>
          <w:szCs w:val="22"/>
        </w:rPr>
        <w:t xml:space="preserve"> within the following timeframes, measured from</w:t>
      </w:r>
      <w:r w:rsidR="00A0705E" w:rsidRPr="004C29B5">
        <w:t xml:space="preserve"> the effective date of rules adopted in this Order (“Effective Date</w:t>
      </w:r>
      <w:r w:rsidR="00A0705E" w:rsidRPr="00D73874">
        <w:rPr>
          <w:szCs w:val="22"/>
        </w:rPr>
        <w:t>”)</w:t>
      </w:r>
      <w:r w:rsidR="00A0705E" w:rsidRPr="000356BD">
        <w:rPr>
          <w:szCs w:val="22"/>
        </w:rPr>
        <w:t xml:space="preserve">: </w:t>
      </w:r>
    </w:p>
    <w:p w14:paraId="4C2A10D7" w14:textId="77777777" w:rsidR="00A0705E" w:rsidRPr="000356BD" w:rsidRDefault="00A0705E" w:rsidP="00976963">
      <w:pPr>
        <w:numPr>
          <w:ilvl w:val="1"/>
          <w:numId w:val="4"/>
        </w:numPr>
        <w:rPr>
          <w:szCs w:val="22"/>
        </w:rPr>
      </w:pPr>
      <w:r w:rsidRPr="00EE2E1F">
        <w:rPr>
          <w:u w:val="single"/>
        </w:rPr>
        <w:t>Within 2 years</w:t>
      </w:r>
      <w:r w:rsidRPr="000356BD">
        <w:rPr>
          <w:szCs w:val="22"/>
        </w:rPr>
        <w:t>: 40 percent of all wireless 911 calls.</w:t>
      </w:r>
    </w:p>
    <w:p w14:paraId="04D4E2E3" w14:textId="47CB5877" w:rsidR="00A0705E" w:rsidRPr="000356BD" w:rsidRDefault="00A0705E" w:rsidP="004C29B5">
      <w:pPr>
        <w:numPr>
          <w:ilvl w:val="1"/>
          <w:numId w:val="4"/>
        </w:numPr>
        <w:rPr>
          <w:szCs w:val="22"/>
        </w:rPr>
      </w:pPr>
      <w:r w:rsidRPr="00EE2E1F">
        <w:rPr>
          <w:u w:val="single"/>
        </w:rPr>
        <w:t>Within 3</w:t>
      </w:r>
      <w:r w:rsidRPr="000356BD">
        <w:rPr>
          <w:szCs w:val="22"/>
        </w:rPr>
        <w:t xml:space="preserve"> </w:t>
      </w:r>
      <w:r w:rsidRPr="00EE2E1F">
        <w:rPr>
          <w:u w:val="single"/>
        </w:rPr>
        <w:t>years</w:t>
      </w:r>
      <w:r w:rsidRPr="000356BD">
        <w:rPr>
          <w:szCs w:val="22"/>
        </w:rPr>
        <w:t>: 50 percent of all wireless 911 calls.</w:t>
      </w:r>
    </w:p>
    <w:p w14:paraId="7610C0EE" w14:textId="5F0DA5CB" w:rsidR="00A0705E" w:rsidRPr="000356BD" w:rsidRDefault="00E15F55" w:rsidP="00976963">
      <w:pPr>
        <w:numPr>
          <w:ilvl w:val="1"/>
          <w:numId w:val="4"/>
        </w:numPr>
        <w:rPr>
          <w:szCs w:val="22"/>
        </w:rPr>
      </w:pPr>
      <w:r w:rsidRPr="00EE2E1F">
        <w:rPr>
          <w:u w:val="single"/>
        </w:rPr>
        <w:t>Within 5 years</w:t>
      </w:r>
      <w:r>
        <w:rPr>
          <w:szCs w:val="22"/>
        </w:rPr>
        <w:t>: 7</w:t>
      </w:r>
      <w:r w:rsidR="00A0705E" w:rsidRPr="000356BD">
        <w:rPr>
          <w:szCs w:val="22"/>
        </w:rPr>
        <w:t>0 percent of all wireless 911 calls</w:t>
      </w:r>
      <w:r w:rsidR="00A0705E">
        <w:rPr>
          <w:szCs w:val="22"/>
        </w:rPr>
        <w:t>.</w:t>
      </w:r>
      <w:r w:rsidR="00A0705E" w:rsidRPr="000356BD">
        <w:rPr>
          <w:szCs w:val="22"/>
        </w:rPr>
        <w:t xml:space="preserve"> </w:t>
      </w:r>
    </w:p>
    <w:p w14:paraId="03676AFF" w14:textId="299E5169" w:rsidR="00840EF7" w:rsidRPr="00976963" w:rsidRDefault="00A0705E" w:rsidP="004C29B5">
      <w:pPr>
        <w:numPr>
          <w:ilvl w:val="1"/>
          <w:numId w:val="4"/>
        </w:numPr>
        <w:rPr>
          <w:szCs w:val="22"/>
        </w:rPr>
      </w:pPr>
      <w:r w:rsidRPr="00EE2E1F">
        <w:rPr>
          <w:u w:val="single"/>
        </w:rPr>
        <w:t>Within 6 years</w:t>
      </w:r>
      <w:r w:rsidRPr="000356BD">
        <w:rPr>
          <w:szCs w:val="22"/>
        </w:rPr>
        <w:t>: 80 percent of all wireless 911 calls</w:t>
      </w:r>
      <w:r>
        <w:rPr>
          <w:szCs w:val="22"/>
        </w:rPr>
        <w:t>.</w:t>
      </w:r>
      <w:r w:rsidRPr="000356BD">
        <w:rPr>
          <w:szCs w:val="22"/>
        </w:rPr>
        <w:t xml:space="preserve">  </w:t>
      </w:r>
    </w:p>
    <w:p w14:paraId="31805F3A" w14:textId="077015ED" w:rsidR="00A0705E" w:rsidRDefault="00A0705E" w:rsidP="008B432C">
      <w:pPr>
        <w:numPr>
          <w:ilvl w:val="0"/>
          <w:numId w:val="4"/>
        </w:numPr>
        <w:spacing w:before="240"/>
        <w:rPr>
          <w:szCs w:val="22"/>
        </w:rPr>
      </w:pPr>
      <w:r w:rsidRPr="000356BD">
        <w:rPr>
          <w:szCs w:val="22"/>
        </w:rPr>
        <w:t xml:space="preserve">Non-nationwide CMRS providers (regional, small, and rural carriers) </w:t>
      </w:r>
      <w:r w:rsidR="00AA61ED">
        <w:rPr>
          <w:szCs w:val="22"/>
        </w:rPr>
        <w:t>can extend the five</w:t>
      </w:r>
      <w:r w:rsidR="007C055D">
        <w:rPr>
          <w:szCs w:val="22"/>
        </w:rPr>
        <w:t>-</w:t>
      </w:r>
      <w:r w:rsidR="00AA61ED">
        <w:rPr>
          <w:szCs w:val="22"/>
        </w:rPr>
        <w:t xml:space="preserve"> and six-year deadlines based on the timing of </w:t>
      </w:r>
      <w:r w:rsidR="0067491A">
        <w:rPr>
          <w:szCs w:val="22"/>
        </w:rPr>
        <w:t>Voice over Long Term Evolution (</w:t>
      </w:r>
      <w:r w:rsidR="00AA61ED">
        <w:rPr>
          <w:szCs w:val="22"/>
        </w:rPr>
        <w:t>VoLTE</w:t>
      </w:r>
      <w:r w:rsidR="0067491A">
        <w:rPr>
          <w:szCs w:val="22"/>
        </w:rPr>
        <w:t>)</w:t>
      </w:r>
      <w:r w:rsidR="00AA61ED">
        <w:rPr>
          <w:szCs w:val="22"/>
        </w:rPr>
        <w:t xml:space="preserve"> deployment in the networks.  </w:t>
      </w:r>
    </w:p>
    <w:p w14:paraId="24D1FC74" w14:textId="77777777" w:rsidR="00A0705E" w:rsidRDefault="00A0705E" w:rsidP="00A0705E">
      <w:pPr>
        <w:ind w:left="360"/>
        <w:rPr>
          <w:szCs w:val="22"/>
        </w:rPr>
      </w:pPr>
    </w:p>
    <w:p w14:paraId="5BD966FF" w14:textId="39A5FBDE" w:rsidR="007C055D" w:rsidRPr="0087362C" w:rsidRDefault="00A0705E" w:rsidP="00146A27">
      <w:pPr>
        <w:rPr>
          <w:i/>
          <w:szCs w:val="22"/>
          <w:u w:val="single"/>
        </w:rPr>
      </w:pPr>
      <w:r w:rsidRPr="0087362C">
        <w:rPr>
          <w:i/>
          <w:szCs w:val="22"/>
          <w:u w:val="single"/>
        </w:rPr>
        <w:t>Vertical Location</w:t>
      </w:r>
    </w:p>
    <w:p w14:paraId="62C71D4A" w14:textId="77777777" w:rsidR="00A0705E" w:rsidRDefault="00A0705E" w:rsidP="008B432C">
      <w:pPr>
        <w:rPr>
          <w:szCs w:val="22"/>
        </w:rPr>
      </w:pPr>
    </w:p>
    <w:p w14:paraId="34A663F2" w14:textId="2FBC3B82" w:rsidR="00840EF7" w:rsidRPr="00976963" w:rsidRDefault="00AF30E8" w:rsidP="004C29B5">
      <w:pPr>
        <w:numPr>
          <w:ilvl w:val="0"/>
          <w:numId w:val="4"/>
        </w:numPr>
        <w:rPr>
          <w:szCs w:val="22"/>
        </w:rPr>
      </w:pPr>
      <w:r>
        <w:rPr>
          <w:szCs w:val="22"/>
        </w:rPr>
        <w:t xml:space="preserve">All </w:t>
      </w:r>
      <w:r w:rsidR="00A0705E" w:rsidRPr="008D23CA">
        <w:rPr>
          <w:szCs w:val="22"/>
        </w:rPr>
        <w:t xml:space="preserve">CMRS providers must </w:t>
      </w:r>
      <w:r w:rsidR="00A0705E">
        <w:rPr>
          <w:szCs w:val="22"/>
        </w:rPr>
        <w:t xml:space="preserve">also meet the following requirements for provision of vertical location information with wireless 911 calls, within the following timeframes measured from the Effective Date: </w:t>
      </w:r>
    </w:p>
    <w:p w14:paraId="6E550C82" w14:textId="764BED3E" w:rsidR="00A0705E" w:rsidRDefault="00B35F51" w:rsidP="00DD3AAE">
      <w:pPr>
        <w:numPr>
          <w:ilvl w:val="1"/>
          <w:numId w:val="4"/>
        </w:numPr>
        <w:rPr>
          <w:szCs w:val="22"/>
        </w:rPr>
      </w:pPr>
      <w:r w:rsidRPr="00EE2E1F">
        <w:rPr>
          <w:u w:val="single"/>
        </w:rPr>
        <w:t>Within 3 years</w:t>
      </w:r>
      <w:r>
        <w:rPr>
          <w:szCs w:val="22"/>
        </w:rPr>
        <w:t>:</w:t>
      </w:r>
      <w:r w:rsidR="00AA61ED">
        <w:rPr>
          <w:szCs w:val="22"/>
        </w:rPr>
        <w:t xml:space="preserve"> </w:t>
      </w:r>
      <w:r w:rsidR="00035662">
        <w:rPr>
          <w:szCs w:val="22"/>
        </w:rPr>
        <w:t xml:space="preserve"> All </w:t>
      </w:r>
      <w:r w:rsidR="00A0705E">
        <w:rPr>
          <w:szCs w:val="22"/>
        </w:rPr>
        <w:t xml:space="preserve">CMRS providers must </w:t>
      </w:r>
      <w:r w:rsidR="00A0705E" w:rsidRPr="008D23CA">
        <w:rPr>
          <w:szCs w:val="22"/>
        </w:rPr>
        <w:t>make uncompensated barometric data available to PSAPs from any handset that has</w:t>
      </w:r>
      <w:r w:rsidR="00035662">
        <w:rPr>
          <w:szCs w:val="22"/>
        </w:rPr>
        <w:t xml:space="preserve"> the capability to deliver </w:t>
      </w:r>
      <w:r w:rsidR="00A0705E" w:rsidRPr="008D23CA">
        <w:rPr>
          <w:szCs w:val="22"/>
        </w:rPr>
        <w:t>barometric sensor</w:t>
      </w:r>
      <w:r w:rsidR="00035662">
        <w:rPr>
          <w:szCs w:val="22"/>
        </w:rPr>
        <w:t xml:space="preserve"> data</w:t>
      </w:r>
      <w:r w:rsidR="00A0705E" w:rsidRPr="008D23CA">
        <w:rPr>
          <w:szCs w:val="22"/>
        </w:rPr>
        <w:t>.</w:t>
      </w:r>
      <w:r w:rsidR="00AA61ED">
        <w:rPr>
          <w:szCs w:val="22"/>
        </w:rPr>
        <w:t xml:space="preserve">  </w:t>
      </w:r>
    </w:p>
    <w:p w14:paraId="4FCDD003" w14:textId="77777777" w:rsidR="00A0705E" w:rsidRDefault="00A0705E" w:rsidP="00DD3AAE">
      <w:pPr>
        <w:numPr>
          <w:ilvl w:val="1"/>
          <w:numId w:val="4"/>
        </w:numPr>
        <w:rPr>
          <w:szCs w:val="22"/>
        </w:rPr>
      </w:pPr>
      <w:r w:rsidRPr="00EE2E1F">
        <w:rPr>
          <w:u w:val="single"/>
        </w:rPr>
        <w:t>Within 3 years</w:t>
      </w:r>
      <w:r>
        <w:rPr>
          <w:szCs w:val="22"/>
        </w:rPr>
        <w:t>:  N</w:t>
      </w:r>
      <w:r w:rsidRPr="00CF5CDC">
        <w:rPr>
          <w:szCs w:val="22"/>
        </w:rPr>
        <w:t xml:space="preserve">ationwide </w:t>
      </w:r>
      <w:r>
        <w:rPr>
          <w:szCs w:val="22"/>
        </w:rPr>
        <w:t xml:space="preserve">CMRS providers </w:t>
      </w:r>
      <w:r w:rsidRPr="00CF5CDC">
        <w:rPr>
          <w:szCs w:val="22"/>
        </w:rPr>
        <w:t xml:space="preserve">must </w:t>
      </w:r>
      <w:r>
        <w:rPr>
          <w:szCs w:val="22"/>
        </w:rPr>
        <w:t xml:space="preserve">use an independently administered and transparent test bed process to develop a proposed z-axis accuracy metric, and must </w:t>
      </w:r>
      <w:r w:rsidRPr="00CF5CDC">
        <w:rPr>
          <w:szCs w:val="22"/>
        </w:rPr>
        <w:t xml:space="preserve">submit </w:t>
      </w:r>
      <w:r>
        <w:rPr>
          <w:szCs w:val="22"/>
        </w:rPr>
        <w:t xml:space="preserve">the proposed metric to </w:t>
      </w:r>
      <w:r w:rsidRPr="00CF5CDC">
        <w:rPr>
          <w:szCs w:val="22"/>
        </w:rPr>
        <w:t>the Commission</w:t>
      </w:r>
      <w:r>
        <w:rPr>
          <w:szCs w:val="22"/>
        </w:rPr>
        <w:t xml:space="preserve"> for approval. </w:t>
      </w:r>
    </w:p>
    <w:p w14:paraId="25B1D570" w14:textId="13588451" w:rsidR="00A0705E" w:rsidRPr="008D23CA" w:rsidRDefault="00A0705E" w:rsidP="004C29B5">
      <w:pPr>
        <w:numPr>
          <w:ilvl w:val="1"/>
          <w:numId w:val="4"/>
        </w:numPr>
        <w:rPr>
          <w:szCs w:val="22"/>
        </w:rPr>
      </w:pPr>
      <w:r>
        <w:rPr>
          <w:szCs w:val="22"/>
        </w:rPr>
        <w:t xml:space="preserve">Within 6 </w:t>
      </w:r>
      <w:r w:rsidRPr="008D23CA">
        <w:rPr>
          <w:szCs w:val="22"/>
        </w:rPr>
        <w:t>year</w:t>
      </w:r>
      <w:r>
        <w:rPr>
          <w:szCs w:val="22"/>
        </w:rPr>
        <w:t>s: N</w:t>
      </w:r>
      <w:r w:rsidRPr="008D23CA">
        <w:rPr>
          <w:szCs w:val="22"/>
        </w:rPr>
        <w:t xml:space="preserve">ationwide </w:t>
      </w:r>
      <w:r>
        <w:rPr>
          <w:szCs w:val="22"/>
        </w:rPr>
        <w:t xml:space="preserve">CMRS provides </w:t>
      </w:r>
      <w:r w:rsidRPr="008D23CA">
        <w:rPr>
          <w:szCs w:val="22"/>
        </w:rPr>
        <w:t xml:space="preserve">must deploy either (1) dispatchable location, or (2) z-axis technology that achieves the </w:t>
      </w:r>
      <w:r>
        <w:rPr>
          <w:szCs w:val="22"/>
        </w:rPr>
        <w:t xml:space="preserve">Commission-approved z-axis metric, in each </w:t>
      </w:r>
      <w:r w:rsidRPr="008D23CA">
        <w:rPr>
          <w:szCs w:val="22"/>
        </w:rPr>
        <w:t xml:space="preserve">of the top 25 </w:t>
      </w:r>
      <w:r w:rsidR="0067491A">
        <w:rPr>
          <w:szCs w:val="22"/>
        </w:rPr>
        <w:t>Cellular Market Areas (</w:t>
      </w:r>
      <w:r w:rsidRPr="008D23CA">
        <w:rPr>
          <w:szCs w:val="22"/>
        </w:rPr>
        <w:t>CMAs</w:t>
      </w:r>
      <w:r w:rsidR="0067491A">
        <w:rPr>
          <w:szCs w:val="22"/>
        </w:rPr>
        <w:t>)</w:t>
      </w:r>
      <w:r w:rsidR="008F5076">
        <w:rPr>
          <w:rStyle w:val="FootnoteReference"/>
          <w:szCs w:val="22"/>
        </w:rPr>
        <w:footnoteReference w:id="7"/>
      </w:r>
      <w:r w:rsidRPr="008D23CA">
        <w:rPr>
          <w:szCs w:val="22"/>
        </w:rPr>
        <w:t xml:space="preserve">: </w:t>
      </w:r>
    </w:p>
    <w:p w14:paraId="3255F511" w14:textId="653CEFD0" w:rsidR="0044430A" w:rsidRPr="008D23CA" w:rsidRDefault="0044430A" w:rsidP="004C29B5">
      <w:pPr>
        <w:numPr>
          <w:ilvl w:val="2"/>
          <w:numId w:val="4"/>
        </w:numPr>
        <w:rPr>
          <w:szCs w:val="22"/>
        </w:rPr>
      </w:pPr>
      <w:r>
        <w:rPr>
          <w:szCs w:val="22"/>
        </w:rPr>
        <w:t>Where dis</w:t>
      </w:r>
      <w:r w:rsidRPr="008D23CA">
        <w:rPr>
          <w:szCs w:val="22"/>
        </w:rPr>
        <w:t>patchable location</w:t>
      </w:r>
      <w:r>
        <w:rPr>
          <w:szCs w:val="22"/>
        </w:rPr>
        <w:t xml:space="preserve"> is used</w:t>
      </w:r>
      <w:r w:rsidRPr="008D23CA">
        <w:rPr>
          <w:szCs w:val="22"/>
        </w:rPr>
        <w:t xml:space="preserve">: </w:t>
      </w:r>
      <w:r w:rsidR="0084568F">
        <w:rPr>
          <w:szCs w:val="22"/>
        </w:rPr>
        <w:t>the</w:t>
      </w:r>
      <w:r>
        <w:rPr>
          <w:szCs w:val="22"/>
        </w:rPr>
        <w:t xml:space="preserve"> National Emergency Address Database (NEAD) </w:t>
      </w:r>
      <w:r w:rsidRPr="008D23CA">
        <w:rPr>
          <w:szCs w:val="22"/>
        </w:rPr>
        <w:t xml:space="preserve">must </w:t>
      </w:r>
      <w:r>
        <w:rPr>
          <w:szCs w:val="22"/>
        </w:rPr>
        <w:t xml:space="preserve">be </w:t>
      </w:r>
      <w:r w:rsidRPr="008D23CA">
        <w:rPr>
          <w:szCs w:val="22"/>
        </w:rPr>
        <w:t>populate</w:t>
      </w:r>
      <w:r>
        <w:rPr>
          <w:szCs w:val="22"/>
        </w:rPr>
        <w:t xml:space="preserve">d </w:t>
      </w:r>
      <w:r w:rsidRPr="008D23CA">
        <w:rPr>
          <w:szCs w:val="22"/>
        </w:rPr>
        <w:t xml:space="preserve">with </w:t>
      </w:r>
      <w:r>
        <w:rPr>
          <w:szCs w:val="22"/>
        </w:rPr>
        <w:t>a total number of dispatchable location r</w:t>
      </w:r>
      <w:r w:rsidRPr="008D23CA">
        <w:rPr>
          <w:szCs w:val="22"/>
        </w:rPr>
        <w:t>eference points in the CMA equal to 25</w:t>
      </w:r>
      <w:r>
        <w:rPr>
          <w:szCs w:val="22"/>
        </w:rPr>
        <w:t xml:space="preserve"> percent </w:t>
      </w:r>
      <w:r w:rsidRPr="008D23CA">
        <w:rPr>
          <w:szCs w:val="22"/>
        </w:rPr>
        <w:t>of the CMA population</w:t>
      </w:r>
      <w:r>
        <w:rPr>
          <w:szCs w:val="22"/>
        </w:rPr>
        <w:t>.</w:t>
      </w:r>
      <w:r w:rsidRPr="008D23CA">
        <w:rPr>
          <w:szCs w:val="22"/>
        </w:rPr>
        <w:t xml:space="preserve">   </w:t>
      </w:r>
    </w:p>
    <w:p w14:paraId="26A75CAD" w14:textId="361423F4" w:rsidR="00A0705E" w:rsidRPr="008D23CA" w:rsidRDefault="00A0705E" w:rsidP="00DD3AAE">
      <w:pPr>
        <w:numPr>
          <w:ilvl w:val="2"/>
          <w:numId w:val="4"/>
        </w:numPr>
        <w:rPr>
          <w:szCs w:val="22"/>
        </w:rPr>
      </w:pPr>
      <w:r>
        <w:rPr>
          <w:szCs w:val="22"/>
        </w:rPr>
        <w:t>Where z</w:t>
      </w:r>
      <w:r w:rsidRPr="008D23CA">
        <w:rPr>
          <w:szCs w:val="22"/>
        </w:rPr>
        <w:t>-axis</w:t>
      </w:r>
      <w:r>
        <w:rPr>
          <w:szCs w:val="22"/>
        </w:rPr>
        <w:t xml:space="preserve"> technology is used: CMRS providers must</w:t>
      </w:r>
      <w:r w:rsidRPr="008D23CA">
        <w:rPr>
          <w:szCs w:val="22"/>
        </w:rPr>
        <w:t xml:space="preserve"> deploy z-axis technology to cover 80 percent of the CMA population.</w:t>
      </w:r>
    </w:p>
    <w:p w14:paraId="7D9B27F8" w14:textId="40A9520C" w:rsidR="00A0705E" w:rsidRPr="008D23CA" w:rsidRDefault="00A0705E" w:rsidP="00EE2E1F">
      <w:pPr>
        <w:widowControl/>
        <w:numPr>
          <w:ilvl w:val="1"/>
          <w:numId w:val="4"/>
        </w:numPr>
        <w:rPr>
          <w:szCs w:val="22"/>
        </w:rPr>
      </w:pPr>
      <w:r w:rsidRPr="00EE2E1F">
        <w:rPr>
          <w:u w:val="single"/>
        </w:rPr>
        <w:t>Within 8 years</w:t>
      </w:r>
      <w:r>
        <w:rPr>
          <w:szCs w:val="22"/>
        </w:rPr>
        <w:t xml:space="preserve">:  Nationwide CMRS providers must deploy dispatchable location or z-axis technology in accordance with the above </w:t>
      </w:r>
      <w:r w:rsidRPr="008D23CA">
        <w:rPr>
          <w:szCs w:val="22"/>
        </w:rPr>
        <w:t>benchmarks in each of the top 50 CMAs</w:t>
      </w:r>
      <w:r>
        <w:rPr>
          <w:szCs w:val="22"/>
        </w:rPr>
        <w:t>.</w:t>
      </w:r>
      <w:r w:rsidRPr="008D23CA">
        <w:rPr>
          <w:szCs w:val="22"/>
        </w:rPr>
        <w:t xml:space="preserve">  </w:t>
      </w:r>
    </w:p>
    <w:p w14:paraId="44594E1A" w14:textId="77777777" w:rsidR="00A0705E" w:rsidRDefault="00A0705E" w:rsidP="00DD3AAE">
      <w:pPr>
        <w:numPr>
          <w:ilvl w:val="1"/>
          <w:numId w:val="4"/>
        </w:numPr>
        <w:rPr>
          <w:szCs w:val="22"/>
        </w:rPr>
      </w:pPr>
      <w:r w:rsidRPr="008D23CA">
        <w:rPr>
          <w:szCs w:val="22"/>
        </w:rPr>
        <w:t xml:space="preserve">Non-nationwide carriers that serve any of the top </w:t>
      </w:r>
      <w:r>
        <w:rPr>
          <w:szCs w:val="22"/>
        </w:rPr>
        <w:t xml:space="preserve">25 or </w:t>
      </w:r>
      <w:r w:rsidRPr="008D23CA">
        <w:rPr>
          <w:szCs w:val="22"/>
        </w:rPr>
        <w:t xml:space="preserve">50 CMAs </w:t>
      </w:r>
      <w:r>
        <w:rPr>
          <w:szCs w:val="22"/>
        </w:rPr>
        <w:t xml:space="preserve">will </w:t>
      </w:r>
      <w:r w:rsidRPr="008D23CA">
        <w:rPr>
          <w:szCs w:val="22"/>
        </w:rPr>
        <w:t>have an additional year to meet these benchmarks</w:t>
      </w:r>
      <w:r>
        <w:rPr>
          <w:szCs w:val="22"/>
        </w:rPr>
        <w:t>.</w:t>
      </w:r>
    </w:p>
    <w:p w14:paraId="311622C6" w14:textId="77777777" w:rsidR="00A0705E" w:rsidRDefault="00A0705E" w:rsidP="00A0705E">
      <w:pPr>
        <w:ind w:left="1440"/>
        <w:rPr>
          <w:szCs w:val="22"/>
        </w:rPr>
      </w:pPr>
    </w:p>
    <w:p w14:paraId="3940CBEA" w14:textId="77777777" w:rsidR="00A0705E" w:rsidRPr="0087362C" w:rsidRDefault="00A0705E" w:rsidP="0087362C">
      <w:pPr>
        <w:rPr>
          <w:i/>
          <w:szCs w:val="22"/>
          <w:u w:val="single"/>
        </w:rPr>
      </w:pPr>
      <w:r w:rsidRPr="0087362C">
        <w:rPr>
          <w:i/>
          <w:szCs w:val="22"/>
          <w:u w:val="single"/>
        </w:rPr>
        <w:t>Reporting and Compliance Measures</w:t>
      </w:r>
    </w:p>
    <w:p w14:paraId="05DB9C83" w14:textId="77777777" w:rsidR="00A0705E" w:rsidRPr="000356BD" w:rsidRDefault="00A0705E" w:rsidP="00A0705E">
      <w:pPr>
        <w:ind w:left="1080"/>
        <w:rPr>
          <w:szCs w:val="22"/>
        </w:rPr>
      </w:pPr>
    </w:p>
    <w:p w14:paraId="55101286" w14:textId="07471220" w:rsidR="00A0705E" w:rsidRPr="009C35AE" w:rsidRDefault="00A0705E" w:rsidP="004C29B5">
      <w:pPr>
        <w:numPr>
          <w:ilvl w:val="0"/>
          <w:numId w:val="4"/>
        </w:numPr>
        <w:rPr>
          <w:szCs w:val="22"/>
        </w:rPr>
      </w:pPr>
      <w:r w:rsidRPr="00503D80">
        <w:rPr>
          <w:szCs w:val="22"/>
        </w:rPr>
        <w:t>Compliance with the above metrics will be determined by reference to quarterly live 911 call data reported by CMRS providers in six cities (San Francisco, Chicago, Atlanta, Denver/Front Range, Philadelphia, and Manhattan Borough, New York City)</w:t>
      </w:r>
      <w:r w:rsidRPr="009C35AE">
        <w:rPr>
          <w:szCs w:val="22"/>
        </w:rPr>
        <w:t xml:space="preserve"> and their surrounding areas that have been determined to be representative of dense urban, urban, suburban, and rural areas nationally.  Quarterly reporting of this data will begin no later than 18 months from the Effective Date.</w:t>
      </w:r>
    </w:p>
    <w:p w14:paraId="64A37CB6" w14:textId="77777777" w:rsidR="00A0705E" w:rsidRPr="001F09FD" w:rsidRDefault="00A0705E" w:rsidP="00DD3AAE">
      <w:pPr>
        <w:numPr>
          <w:ilvl w:val="0"/>
          <w:numId w:val="4"/>
        </w:numPr>
        <w:rPr>
          <w:szCs w:val="22"/>
        </w:rPr>
      </w:pPr>
      <w:r>
        <w:rPr>
          <w:szCs w:val="22"/>
        </w:rPr>
        <w:t>Beginning no later than 18 months from the Effective Date, CMRS providers in the six cities will also provide quarterly live call data on a more granular basis that allows evaluation of the performance of individual location technologies within different morphologies (</w:t>
      </w:r>
      <w:r w:rsidRPr="00C95ECA">
        <w:rPr>
          <w:i/>
          <w:szCs w:val="22"/>
        </w:rPr>
        <w:t>e.g</w:t>
      </w:r>
      <w:r>
        <w:rPr>
          <w:szCs w:val="22"/>
        </w:rPr>
        <w:t xml:space="preserve">., dense urban, urban, suburban, rural).  This more granular data will be used for evaluation and not for compliance purposes.  </w:t>
      </w:r>
    </w:p>
    <w:p w14:paraId="6EF450BE" w14:textId="0F74C863" w:rsidR="00A0705E" w:rsidRPr="00D73874" w:rsidRDefault="00A0705E" w:rsidP="004C29B5">
      <w:pPr>
        <w:numPr>
          <w:ilvl w:val="0"/>
          <w:numId w:val="4"/>
        </w:numPr>
      </w:pPr>
      <w:r w:rsidRPr="00D73874">
        <w:t xml:space="preserve">PSAPs will be entitled to </w:t>
      </w:r>
      <w:r>
        <w:t xml:space="preserve">obtain live call data from CMRS providers and </w:t>
      </w:r>
      <w:r w:rsidRPr="00D73874">
        <w:t xml:space="preserve">seek </w:t>
      </w:r>
      <w:r>
        <w:t xml:space="preserve">Commission </w:t>
      </w:r>
      <w:r w:rsidRPr="00D73874">
        <w:t xml:space="preserve">enforcement of these requirements within their jurisdictions, but </w:t>
      </w:r>
      <w:r>
        <w:t xml:space="preserve">they may seek enforcement </w:t>
      </w:r>
      <w:r w:rsidRPr="00D73874">
        <w:t>only so long as they have implemented policies that are designed to obtain all 911 location information made available by CMRS providers pursuant to our rules.</w:t>
      </w:r>
    </w:p>
    <w:p w14:paraId="4DD709A1" w14:textId="52B758D0" w:rsidR="00BC02B3" w:rsidRPr="00976963" w:rsidRDefault="00A0705E" w:rsidP="004C29B5">
      <w:pPr>
        <w:numPr>
          <w:ilvl w:val="0"/>
          <w:numId w:val="4"/>
        </w:numPr>
        <w:rPr>
          <w:szCs w:val="22"/>
        </w:rPr>
      </w:pPr>
      <w:r w:rsidRPr="00D73874">
        <w:rPr>
          <w:szCs w:val="22"/>
        </w:rPr>
        <w:t>In order to gauge progress on the</w:t>
      </w:r>
      <w:r>
        <w:rPr>
          <w:szCs w:val="22"/>
        </w:rPr>
        <w:t xml:space="preserve"> development of improved indoor location accuracy solutions and the </w:t>
      </w:r>
      <w:r w:rsidRPr="00D73874">
        <w:rPr>
          <w:szCs w:val="22"/>
        </w:rPr>
        <w:t xml:space="preserve">implementation of these rules, </w:t>
      </w:r>
      <w:r>
        <w:rPr>
          <w:szCs w:val="22"/>
        </w:rPr>
        <w:t xml:space="preserve">nationwide </w:t>
      </w:r>
      <w:r w:rsidRPr="00D73874">
        <w:rPr>
          <w:szCs w:val="22"/>
        </w:rPr>
        <w:t xml:space="preserve">CMRS providers must </w:t>
      </w:r>
      <w:r w:rsidR="00035662">
        <w:rPr>
          <w:szCs w:val="22"/>
        </w:rPr>
        <w:t>submit</w:t>
      </w:r>
      <w:r w:rsidR="006B168D">
        <w:rPr>
          <w:szCs w:val="22"/>
        </w:rPr>
        <w:t xml:space="preserve"> reports on their initial </w:t>
      </w:r>
      <w:r w:rsidR="00035662">
        <w:rPr>
          <w:szCs w:val="22"/>
        </w:rPr>
        <w:t xml:space="preserve">plans for </w:t>
      </w:r>
      <w:r w:rsidRPr="00D73874">
        <w:rPr>
          <w:szCs w:val="22"/>
        </w:rPr>
        <w:t xml:space="preserve">implementing improved indoor location accuracy </w:t>
      </w:r>
      <w:r w:rsidR="00035662">
        <w:rPr>
          <w:szCs w:val="22"/>
        </w:rPr>
        <w:t xml:space="preserve">and must submit subsequent reports on </w:t>
      </w:r>
      <w:r w:rsidR="006B168D">
        <w:rPr>
          <w:szCs w:val="22"/>
        </w:rPr>
        <w:t xml:space="preserve">their </w:t>
      </w:r>
      <w:r w:rsidRPr="00D73874">
        <w:rPr>
          <w:szCs w:val="22"/>
        </w:rPr>
        <w:t>progress</w:t>
      </w:r>
      <w:r w:rsidR="006B168D">
        <w:rPr>
          <w:szCs w:val="22"/>
        </w:rPr>
        <w:t>.</w:t>
      </w:r>
    </w:p>
    <w:p w14:paraId="4D9932D0" w14:textId="04D0A431" w:rsidR="00BC02B3" w:rsidRDefault="00BC02B3" w:rsidP="008B432C">
      <w:pPr>
        <w:pStyle w:val="ParaNum"/>
        <w:numPr>
          <w:ilvl w:val="0"/>
          <w:numId w:val="0"/>
        </w:numPr>
        <w:spacing w:before="120"/>
      </w:pPr>
      <w:r>
        <w:t>The foregoing rules leverage many aspects of the Roadmap and the Parallel Path to improve indoor location accuracy in a commercially reasonable manner.  They do not change, or seek to change, the voluntary commitment that both nationwide and non-nationwide CMRS providers voluntarily have entered into and have already made progress towards.  The rules are intended to build confidence in the technical solutions outlined in the Roadmap and Parallel Path, and to establish clear milestones that gauge progress and ensure that there is clear accountability for all CMRS providers.</w:t>
      </w:r>
    </w:p>
    <w:p w14:paraId="093F40CA" w14:textId="77777777" w:rsidR="00C61E39" w:rsidRPr="007E0D5C" w:rsidRDefault="00C61E39" w:rsidP="00C61E39">
      <w:pPr>
        <w:pStyle w:val="ParaNum"/>
      </w:pPr>
      <w:r>
        <w:t xml:space="preserve">In addition, we </w:t>
      </w:r>
      <w:r w:rsidRPr="007E0D5C">
        <w:rPr>
          <w:szCs w:val="22"/>
        </w:rPr>
        <w:t xml:space="preserve">revise our regulatory framework for </w:t>
      </w:r>
      <w:r>
        <w:rPr>
          <w:szCs w:val="22"/>
        </w:rPr>
        <w:t xml:space="preserve">all 911 calls, </w:t>
      </w:r>
      <w:r w:rsidRPr="007E0D5C">
        <w:rPr>
          <w:szCs w:val="22"/>
        </w:rPr>
        <w:t>both indoor and outdoor</w:t>
      </w:r>
      <w:r>
        <w:rPr>
          <w:szCs w:val="22"/>
        </w:rPr>
        <w:t xml:space="preserve">, </w:t>
      </w:r>
      <w:r w:rsidRPr="007E0D5C">
        <w:rPr>
          <w:szCs w:val="22"/>
        </w:rPr>
        <w:t>as follows</w:t>
      </w:r>
      <w:r w:rsidRPr="007E0D5C">
        <w:t>:</w:t>
      </w:r>
    </w:p>
    <w:p w14:paraId="5AA53616" w14:textId="77777777" w:rsidR="00C61E39" w:rsidRPr="004029B8" w:rsidRDefault="00C61E39" w:rsidP="00DD3AAE">
      <w:pPr>
        <w:numPr>
          <w:ilvl w:val="0"/>
          <w:numId w:val="4"/>
        </w:numPr>
        <w:spacing w:after="120"/>
        <w:rPr>
          <w:kern w:val="0"/>
        </w:rPr>
      </w:pPr>
      <w:r w:rsidRPr="004029B8">
        <w:rPr>
          <w:kern w:val="0"/>
        </w:rPr>
        <w:t xml:space="preserve">We adopt a 30-second limit on </w:t>
      </w:r>
      <w:r w:rsidRPr="004029B8">
        <w:rPr>
          <w:kern w:val="0"/>
          <w:szCs w:val="22"/>
        </w:rPr>
        <w:t>the time period allowed for a CMRS provider to generate a location fix in order for the 911 call to be counted towards compliance with existing</w:t>
      </w:r>
      <w:r w:rsidR="00BC02B3">
        <w:rPr>
          <w:kern w:val="0"/>
          <w:szCs w:val="22"/>
        </w:rPr>
        <w:t xml:space="preserve"> Phase II </w:t>
      </w:r>
      <w:r w:rsidR="00BC02B3" w:rsidRPr="004029B8">
        <w:rPr>
          <w:kern w:val="0"/>
          <w:szCs w:val="22"/>
        </w:rPr>
        <w:t>location accuracy requirements</w:t>
      </w:r>
      <w:r w:rsidR="00BC02B3">
        <w:rPr>
          <w:kern w:val="0"/>
          <w:szCs w:val="22"/>
        </w:rPr>
        <w:t xml:space="preserve"> that rely on outdoor testing</w:t>
      </w:r>
      <w:r w:rsidR="00BC02B3" w:rsidRPr="004029B8">
        <w:rPr>
          <w:kern w:val="0"/>
          <w:szCs w:val="22"/>
        </w:rPr>
        <w:t xml:space="preserve">, but </w:t>
      </w:r>
      <w:r w:rsidR="00BC02B3">
        <w:rPr>
          <w:kern w:val="0"/>
          <w:szCs w:val="22"/>
        </w:rPr>
        <w:t xml:space="preserve">we </w:t>
      </w:r>
      <w:r w:rsidR="00BC02B3" w:rsidRPr="004029B8">
        <w:rPr>
          <w:kern w:val="0"/>
          <w:szCs w:val="22"/>
        </w:rPr>
        <w:t>do not extend this provision to the new indoor</w:t>
      </w:r>
      <w:r w:rsidR="00BC02B3">
        <w:rPr>
          <w:kern w:val="0"/>
          <w:szCs w:val="22"/>
        </w:rPr>
        <w:t>-focused</w:t>
      </w:r>
      <w:r w:rsidR="00BC02B3" w:rsidRPr="004029B8">
        <w:rPr>
          <w:kern w:val="0"/>
          <w:szCs w:val="22"/>
        </w:rPr>
        <w:t xml:space="preserve"> requirements adopted in this order</w:t>
      </w:r>
      <w:r w:rsidRPr="004029B8">
        <w:rPr>
          <w:kern w:val="0"/>
          <w:szCs w:val="22"/>
        </w:rPr>
        <w:t>.</w:t>
      </w:r>
    </w:p>
    <w:p w14:paraId="0F18C662" w14:textId="77777777" w:rsidR="00C61E39" w:rsidRPr="004029B8" w:rsidRDefault="00C61E39" w:rsidP="00DD3AAE">
      <w:pPr>
        <w:numPr>
          <w:ilvl w:val="0"/>
          <w:numId w:val="4"/>
        </w:numPr>
        <w:spacing w:after="120"/>
        <w:rPr>
          <w:kern w:val="0"/>
        </w:rPr>
      </w:pPr>
      <w:r w:rsidRPr="004029B8">
        <w:rPr>
          <w:kern w:val="0"/>
          <w:szCs w:val="22"/>
        </w:rPr>
        <w:t>We require that confidence and uncertainty data for all wireless 911 calls – whether placed from indoors or outdoors – be delivered at the request of a PSAP, on a per-call basis, with a uniform confidence level of 90 percent.</w:t>
      </w:r>
    </w:p>
    <w:p w14:paraId="447F4FA7" w14:textId="77777777" w:rsidR="00B35F51" w:rsidRPr="00887BCE" w:rsidRDefault="00C61E39" w:rsidP="00A417EE">
      <w:pPr>
        <w:numPr>
          <w:ilvl w:val="0"/>
          <w:numId w:val="4"/>
        </w:numPr>
        <w:spacing w:after="120"/>
      </w:pPr>
      <w:r w:rsidRPr="004029B8">
        <w:rPr>
          <w:kern w:val="0"/>
        </w:rPr>
        <w:t>We require CMRS providers to provide 911 call data, including (1) the percentage of wireless 911 calls to the PSAP that include Phase II location information, and (2) per-call identification of the positioning source method or methods used to derive location coordinates and/or dispatchable location</w:t>
      </w:r>
      <w:r>
        <w:rPr>
          <w:kern w:val="0"/>
        </w:rPr>
        <w:t>,</w:t>
      </w:r>
      <w:r w:rsidRPr="004029B8">
        <w:rPr>
          <w:kern w:val="0"/>
        </w:rPr>
        <w:t xml:space="preserve"> to any requesting PSAP.  Compliance with the 30-second time limit will </w:t>
      </w:r>
      <w:r w:rsidR="00D118C9">
        <w:rPr>
          <w:kern w:val="0"/>
        </w:rPr>
        <w:t xml:space="preserve">also </w:t>
      </w:r>
      <w:r w:rsidRPr="004029B8">
        <w:rPr>
          <w:kern w:val="0"/>
        </w:rPr>
        <w:t>be measured from this data.</w:t>
      </w:r>
    </w:p>
    <w:p w14:paraId="631FA065" w14:textId="6ECA57EF" w:rsidR="00EB36D5" w:rsidRPr="00F569C7" w:rsidRDefault="00C61E39" w:rsidP="00B624C7">
      <w:pPr>
        <w:pStyle w:val="ParaNum"/>
      </w:pPr>
      <w:r w:rsidRPr="00B0230F">
        <w:rPr>
          <w:szCs w:val="22"/>
        </w:rPr>
        <w:t>In establishing these requirements, our ultimate objective is that all Americans using mobile</w:t>
      </w:r>
      <w:r w:rsidRPr="007E0D5C">
        <w:t xml:space="preserve"> phones – whether they are calling from urban or rural areas, from indoors or outdoors – have technology that is functionally capable of providing accurate location information so that they receive the support they need in times of emergency.  </w:t>
      </w:r>
      <w:r w:rsidR="008D2447">
        <w:t xml:space="preserve">We also view these requirements as a floor, not a ceiling.  We encourage CMRS providers to take advantage of the potential of rapidly-developing location technology to exceed the thresholds and timelines established by this order.  In addition, we encourage </w:t>
      </w:r>
      <w:r w:rsidR="00B624C7">
        <w:t xml:space="preserve">CMRS providers to </w:t>
      </w:r>
      <w:r w:rsidR="00B624C7" w:rsidRPr="00B624C7">
        <w:t xml:space="preserve">work with public safety organizations and consumer organizations, including disability organizations, </w:t>
      </w:r>
      <w:r w:rsidR="009B2480">
        <w:t xml:space="preserve">to </w:t>
      </w:r>
      <w:r w:rsidR="00B624C7">
        <w:t>develop new and innovative solutions</w:t>
      </w:r>
      <w:r w:rsidR="009B2480">
        <w:t xml:space="preserve"> that will make all Americans safer.  </w:t>
      </w:r>
      <w:r w:rsidR="00EB36D5" w:rsidRPr="007E0D5C">
        <w:t xml:space="preserve"> </w:t>
      </w:r>
    </w:p>
    <w:p w14:paraId="4F591DA7" w14:textId="77777777" w:rsidR="00EB36D5" w:rsidRPr="008B60AE" w:rsidRDefault="00EB36D5" w:rsidP="00EB36D5">
      <w:pPr>
        <w:pStyle w:val="Heading1"/>
        <w:rPr>
          <w:rFonts w:ascii="Times New Roman" w:hAnsi="Times New Roman"/>
          <w:szCs w:val="22"/>
        </w:rPr>
      </w:pPr>
      <w:bookmarkStart w:id="23" w:name="_Toc378682635"/>
      <w:bookmarkStart w:id="24" w:name="_Toc378695299"/>
      <w:bookmarkStart w:id="25" w:name="_Toc378695459"/>
      <w:bookmarkStart w:id="26" w:name="_Toc378786246"/>
      <w:bookmarkStart w:id="27" w:name="_Toc378863262"/>
      <w:bookmarkStart w:id="28" w:name="_Toc378868579"/>
      <w:bookmarkStart w:id="29" w:name="_Toc379787489"/>
      <w:bookmarkStart w:id="30" w:name="_Toc379902583"/>
      <w:bookmarkStart w:id="31" w:name="_Toc379903257"/>
      <w:bookmarkStart w:id="32" w:name="_Toc379907036"/>
      <w:bookmarkStart w:id="33" w:name="_Toc380482076"/>
      <w:bookmarkStart w:id="34" w:name="_Toc380483069"/>
      <w:bookmarkStart w:id="35" w:name="_Toc380569141"/>
      <w:bookmarkStart w:id="36" w:name="_Toc380580329"/>
      <w:bookmarkStart w:id="37" w:name="_Toc380581397"/>
      <w:bookmarkStart w:id="38" w:name="_Toc380584387"/>
      <w:bookmarkStart w:id="39" w:name="_Toc380673865"/>
      <w:bookmarkStart w:id="40" w:name="_Toc402535521"/>
      <w:bookmarkStart w:id="41" w:name="_Toc406481384"/>
      <w:bookmarkStart w:id="42" w:name="_Toc406513838"/>
      <w:bookmarkStart w:id="43" w:name="_Toc407796234"/>
      <w:bookmarkStart w:id="44" w:name="_Toc408400444"/>
      <w:bookmarkStart w:id="45" w:name="_Toc408400482"/>
      <w:bookmarkStart w:id="46" w:name="_Toc408400543"/>
      <w:bookmarkStart w:id="47" w:name="_Toc408403108"/>
      <w:bookmarkStart w:id="48" w:name="_Toc408421320"/>
      <w:bookmarkStart w:id="49" w:name="_Toc408490555"/>
      <w:bookmarkStart w:id="50" w:name="_Toc408496207"/>
      <w:bookmarkStart w:id="51" w:name="_Toc408502408"/>
      <w:bookmarkStart w:id="52" w:name="_Toc410119080"/>
      <w:bookmarkStart w:id="53" w:name="_Toc410123659"/>
      <w:bookmarkStart w:id="54" w:name="_Toc410124641"/>
      <w:bookmarkStart w:id="55" w:name="_Toc410124721"/>
      <w:bookmarkStart w:id="56" w:name="_Toc410146115"/>
      <w:bookmarkStart w:id="57" w:name="_Toc410212638"/>
      <w:bookmarkStart w:id="58" w:name="_Toc410648280"/>
      <w:r>
        <w:rPr>
          <w:rFonts w:ascii="Times New Roman" w:hAnsi="Times New Roman"/>
          <w:szCs w:val="22"/>
        </w:rPr>
        <w:t>B</w:t>
      </w:r>
      <w:r w:rsidRPr="008B60AE">
        <w:rPr>
          <w:rFonts w:ascii="Times New Roman" w:hAnsi="Times New Roman"/>
          <w:szCs w:val="22"/>
        </w:rPr>
        <w:t>ackground</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28D37D24" w14:textId="50901F75" w:rsidR="00066951" w:rsidRPr="00701468" w:rsidRDefault="00066951" w:rsidP="00066951">
      <w:pPr>
        <w:pStyle w:val="ParaNum"/>
        <w:rPr>
          <w:szCs w:val="22"/>
        </w:rPr>
      </w:pPr>
      <w:r w:rsidRPr="00701468">
        <w:rPr>
          <w:szCs w:val="22"/>
        </w:rPr>
        <w:t xml:space="preserve">In February 2014, we released the </w:t>
      </w:r>
      <w:r w:rsidRPr="00701468">
        <w:rPr>
          <w:i/>
          <w:szCs w:val="22"/>
        </w:rPr>
        <w:t>Third Further Notice</w:t>
      </w:r>
      <w:r w:rsidRPr="00701468">
        <w:rPr>
          <w:szCs w:val="22"/>
        </w:rPr>
        <w:t xml:space="preserve"> in which we proposed to revise our </w:t>
      </w:r>
      <w:r w:rsidR="00D118C9">
        <w:rPr>
          <w:szCs w:val="22"/>
        </w:rPr>
        <w:t>existing E911</w:t>
      </w:r>
      <w:r w:rsidR="00D118C9" w:rsidRPr="00701468">
        <w:rPr>
          <w:szCs w:val="22"/>
        </w:rPr>
        <w:t xml:space="preserve"> </w:t>
      </w:r>
      <w:r w:rsidRPr="00701468">
        <w:rPr>
          <w:szCs w:val="22"/>
        </w:rPr>
        <w:t>framework to require delivery of accurate location information to PSAPs for wireless 911 calls placed from indoors.</w:t>
      </w:r>
      <w:r w:rsidRPr="008B60AE">
        <w:rPr>
          <w:rStyle w:val="FootnoteReference"/>
          <w:szCs w:val="22"/>
        </w:rPr>
        <w:footnoteReference w:id="8"/>
      </w:r>
      <w:r w:rsidRPr="00701468">
        <w:rPr>
          <w:szCs w:val="22"/>
        </w:rPr>
        <w:t xml:space="preserve">  In the near term, we proposed to establish interim indoor accuracy metrics that would provide approximate location information sufficient to identify the building for most indoor calls</w:t>
      </w:r>
      <w:r>
        <w:rPr>
          <w:szCs w:val="22"/>
        </w:rPr>
        <w:t>, as well as</w:t>
      </w:r>
      <w:r w:rsidRPr="00701468">
        <w:rPr>
          <w:szCs w:val="22"/>
        </w:rPr>
        <w:t xml:space="preserve"> vertical location (z-axis or elevation) information that would enable first responders to identify floor level for most calls from multi-story buildings.</w:t>
      </w:r>
      <w:r>
        <w:rPr>
          <w:rStyle w:val="FootnoteReference"/>
          <w:szCs w:val="22"/>
        </w:rPr>
        <w:footnoteReference w:id="9"/>
      </w:r>
      <w:r w:rsidRPr="00701468">
        <w:rPr>
          <w:szCs w:val="22"/>
        </w:rPr>
        <w:t xml:space="preserve">  In the long term, we sought comment on how to develop more granular indoor location accuracy requirements</w:t>
      </w:r>
      <w:r>
        <w:rPr>
          <w:szCs w:val="22"/>
        </w:rPr>
        <w:t xml:space="preserve"> that</w:t>
      </w:r>
      <w:r w:rsidRPr="00701468">
        <w:rPr>
          <w:szCs w:val="22"/>
        </w:rPr>
        <w:t xml:space="preserve"> would provide for delivery to PSAPs of in-building location information at the room or office suite level.</w:t>
      </w:r>
      <w:r>
        <w:rPr>
          <w:rStyle w:val="FootnoteReference"/>
          <w:szCs w:val="22"/>
        </w:rPr>
        <w:footnoteReference w:id="10"/>
      </w:r>
      <w:r w:rsidRPr="00701468">
        <w:rPr>
          <w:szCs w:val="22"/>
        </w:rPr>
        <w:t xml:space="preserve">  In addition, we </w:t>
      </w:r>
      <w:r>
        <w:rPr>
          <w:szCs w:val="22"/>
        </w:rPr>
        <w:t>sought comment on</w:t>
      </w:r>
      <w:r w:rsidRPr="00701468">
        <w:rPr>
          <w:szCs w:val="22"/>
        </w:rPr>
        <w:t xml:space="preserve"> </w:t>
      </w:r>
      <w:r w:rsidR="00D118C9">
        <w:rPr>
          <w:szCs w:val="22"/>
        </w:rPr>
        <w:t>other</w:t>
      </w:r>
      <w:r w:rsidR="00D118C9" w:rsidRPr="00701468">
        <w:rPr>
          <w:szCs w:val="22"/>
        </w:rPr>
        <w:t xml:space="preserve"> </w:t>
      </w:r>
      <w:r w:rsidRPr="00701468">
        <w:rPr>
          <w:szCs w:val="22"/>
        </w:rPr>
        <w:t>steps the Commission should take to strengthen our existing E911 location accuracy rules to ensure delivery of more timely, accurate, and actionable location information for all 911 calls.</w:t>
      </w:r>
      <w:r>
        <w:rPr>
          <w:rStyle w:val="FootnoteReference"/>
          <w:szCs w:val="22"/>
        </w:rPr>
        <w:footnoteReference w:id="11"/>
      </w:r>
      <w:r w:rsidRPr="00701468">
        <w:rPr>
          <w:szCs w:val="22"/>
        </w:rPr>
        <w:t xml:space="preserve">  We also </w:t>
      </w:r>
      <w:r>
        <w:rPr>
          <w:szCs w:val="22"/>
        </w:rPr>
        <w:t>asked</w:t>
      </w:r>
      <w:r w:rsidRPr="00701468">
        <w:rPr>
          <w:szCs w:val="22"/>
        </w:rPr>
        <w:t xml:space="preserve"> whether we should revisit the timeframe established by the Commission in 2010 for replacing the current handset- and network-based </w:t>
      </w:r>
      <w:r w:rsidR="00D118C9">
        <w:rPr>
          <w:szCs w:val="22"/>
        </w:rPr>
        <w:t xml:space="preserve">outdoor location </w:t>
      </w:r>
      <w:r w:rsidRPr="00701468">
        <w:rPr>
          <w:szCs w:val="22"/>
        </w:rPr>
        <w:t>accuracy requirements with a unitary requirement, in light of the rapid proliferation of Assisted Global Navigation Satellite Systems (A-GNSS)</w:t>
      </w:r>
      <w:r>
        <w:rPr>
          <w:rStyle w:val="FootnoteReference"/>
        </w:rPr>
        <w:footnoteReference w:id="12"/>
      </w:r>
      <w:r w:rsidRPr="00701468">
        <w:rPr>
          <w:szCs w:val="22"/>
        </w:rPr>
        <w:t xml:space="preserve"> technology in wireless networks and the prospect of improved location technologies that will soon support 911 communication over LTE networks.</w:t>
      </w:r>
      <w:r>
        <w:rPr>
          <w:rStyle w:val="FootnoteReference"/>
          <w:szCs w:val="22"/>
        </w:rPr>
        <w:footnoteReference w:id="13"/>
      </w:r>
      <w:r w:rsidRPr="00701468">
        <w:rPr>
          <w:szCs w:val="22"/>
        </w:rPr>
        <w:t xml:space="preserve">  A detailed examination of these proposals and the subsequent comment record is discussed below.</w:t>
      </w:r>
    </w:p>
    <w:p w14:paraId="54749004" w14:textId="77777777" w:rsidR="00066951" w:rsidRPr="008B60AE" w:rsidRDefault="00066951" w:rsidP="00066951">
      <w:pPr>
        <w:pStyle w:val="ParaNum"/>
        <w:rPr>
          <w:szCs w:val="22"/>
        </w:rPr>
      </w:pPr>
      <w:r w:rsidRPr="008B60AE">
        <w:rPr>
          <w:szCs w:val="22"/>
        </w:rPr>
        <w:t>In setting forth these proposals, we emphasized that our ultimate objective was that all Americans using mobile phones – whether calling from urban or rural areas, from indoors or outdoors – have technology that is capable of providing accurate location information in times of an emergency.</w:t>
      </w:r>
      <w:r>
        <w:rPr>
          <w:rStyle w:val="FootnoteReference"/>
          <w:szCs w:val="22"/>
        </w:rPr>
        <w:footnoteReference w:id="14"/>
      </w:r>
      <w:r w:rsidRPr="008B60AE">
        <w:rPr>
          <w:szCs w:val="22"/>
        </w:rPr>
        <w:t xml:space="preserve">  We sought comment on whether our proposals were the best way to achieve this objective, and </w:t>
      </w:r>
      <w:r>
        <w:rPr>
          <w:szCs w:val="22"/>
        </w:rPr>
        <w:t xml:space="preserve">we </w:t>
      </w:r>
      <w:r w:rsidR="00D118C9">
        <w:rPr>
          <w:szCs w:val="22"/>
        </w:rPr>
        <w:t xml:space="preserve">also </w:t>
      </w:r>
      <w:r w:rsidRPr="00BA7081">
        <w:rPr>
          <w:color w:val="000000"/>
          <w:szCs w:val="22"/>
        </w:rPr>
        <w:t>“encourage[d] industry, public safety entities, and other stakeholders to work collaboratively to develop alternative proposals for our consideration.”</w:t>
      </w:r>
      <w:r w:rsidRPr="00BA7081">
        <w:rPr>
          <w:rStyle w:val="FootnoteReference"/>
          <w:color w:val="000000"/>
          <w:szCs w:val="22"/>
        </w:rPr>
        <w:footnoteReference w:id="15"/>
      </w:r>
    </w:p>
    <w:p w14:paraId="16C5BD4D" w14:textId="77777777" w:rsidR="00066951" w:rsidRPr="00280311" w:rsidRDefault="00066951" w:rsidP="00066951">
      <w:pPr>
        <w:pStyle w:val="ParaNum"/>
        <w:rPr>
          <w:szCs w:val="22"/>
        </w:rPr>
      </w:pPr>
      <w:r>
        <w:rPr>
          <w:color w:val="000000"/>
          <w:szCs w:val="22"/>
        </w:rPr>
        <w:t xml:space="preserve">On November 18, 2014, </w:t>
      </w:r>
      <w:r w:rsidRPr="00E06B9C">
        <w:rPr>
          <w:szCs w:val="22"/>
        </w:rPr>
        <w:t>APCO</w:t>
      </w:r>
      <w:r>
        <w:rPr>
          <w:szCs w:val="22"/>
        </w:rPr>
        <w:t xml:space="preserve">, </w:t>
      </w:r>
      <w:r w:rsidRPr="00E06B9C">
        <w:rPr>
          <w:szCs w:val="22"/>
        </w:rPr>
        <w:t>NENA, AT&amp;T Mobility, Sprint</w:t>
      </w:r>
      <w:r w:rsidR="00310E99">
        <w:rPr>
          <w:szCs w:val="22"/>
        </w:rPr>
        <w:t xml:space="preserve"> Corporation</w:t>
      </w:r>
      <w:r w:rsidRPr="00E06B9C">
        <w:rPr>
          <w:szCs w:val="22"/>
        </w:rPr>
        <w:t>, T-Mobile USA</w:t>
      </w:r>
      <w:r w:rsidR="00310E99">
        <w:rPr>
          <w:szCs w:val="22"/>
        </w:rPr>
        <w:t>, Inc.</w:t>
      </w:r>
      <w:r w:rsidRPr="00E06B9C">
        <w:rPr>
          <w:szCs w:val="22"/>
        </w:rPr>
        <w:t xml:space="preserve">, and Verizon </w:t>
      </w:r>
      <w:r w:rsidR="00310E99">
        <w:rPr>
          <w:szCs w:val="22"/>
        </w:rPr>
        <w:t xml:space="preserve">Wireless </w:t>
      </w:r>
      <w:r w:rsidRPr="00E06B9C">
        <w:rPr>
          <w:szCs w:val="22"/>
        </w:rPr>
        <w:t>(</w:t>
      </w:r>
      <w:r w:rsidR="00310E99">
        <w:rPr>
          <w:szCs w:val="22"/>
        </w:rPr>
        <w:t>collectively, “</w:t>
      </w:r>
      <w:r w:rsidR="00381D00">
        <w:rPr>
          <w:szCs w:val="22"/>
        </w:rPr>
        <w:t>Roadmap</w:t>
      </w:r>
      <w:r w:rsidR="00A95811">
        <w:rPr>
          <w:szCs w:val="22"/>
        </w:rPr>
        <w:t xml:space="preserve"> Parties</w:t>
      </w:r>
      <w:r w:rsidR="00310E99">
        <w:rPr>
          <w:szCs w:val="22"/>
        </w:rPr>
        <w:t>”</w:t>
      </w:r>
      <w:r w:rsidRPr="00E06B9C">
        <w:rPr>
          <w:szCs w:val="22"/>
        </w:rPr>
        <w:t>) submitted the Roadmap.</w:t>
      </w:r>
      <w:r w:rsidRPr="00E06B9C">
        <w:rPr>
          <w:color w:val="000000"/>
          <w:szCs w:val="22"/>
        </w:rPr>
        <w:t xml:space="preserve">  According to the </w:t>
      </w:r>
      <w:r w:rsidR="00381D00">
        <w:rPr>
          <w:color w:val="000000"/>
          <w:szCs w:val="22"/>
        </w:rPr>
        <w:t>Roadmap</w:t>
      </w:r>
      <w:r w:rsidR="00A95811">
        <w:rPr>
          <w:color w:val="000000"/>
          <w:szCs w:val="22"/>
        </w:rPr>
        <w:t xml:space="preserve"> Parties</w:t>
      </w:r>
      <w:r w:rsidRPr="00E06B9C">
        <w:rPr>
          <w:color w:val="000000"/>
          <w:szCs w:val="22"/>
        </w:rPr>
        <w:t>, the Roadmap “marks a new course using indoor technologies to deliver a ‘dispatchable location’ for indoor 9-1-1 calls” and “contrasts with current and proposed outdoor technologies that provide estimates of location and face challenges with indoor location accuracy</w:t>
      </w:r>
      <w:r>
        <w:rPr>
          <w:color w:val="000000"/>
          <w:szCs w:val="22"/>
        </w:rPr>
        <w:t>,</w:t>
      </w:r>
      <w:r w:rsidRPr="00E06B9C">
        <w:rPr>
          <w:color w:val="000000"/>
          <w:szCs w:val="22"/>
        </w:rPr>
        <w:t>”</w:t>
      </w:r>
      <w:r w:rsidRPr="00BA7081">
        <w:rPr>
          <w:rStyle w:val="FootnoteReference"/>
          <w:color w:val="000000"/>
          <w:szCs w:val="22"/>
        </w:rPr>
        <w:footnoteReference w:id="16"/>
      </w:r>
      <w:r w:rsidRPr="00E06B9C">
        <w:rPr>
          <w:color w:val="000000"/>
          <w:szCs w:val="22"/>
        </w:rPr>
        <w:t xml:space="preserve"> adding that “</w:t>
      </w:r>
      <w:r w:rsidRPr="00E06B9C">
        <w:rPr>
          <w:szCs w:val="22"/>
        </w:rPr>
        <w:t>the Roadmap commits to meaningful improvements and FCC-enforceable timeframes to deliver effective location solutions.”</w:t>
      </w:r>
      <w:r w:rsidRPr="00BA7081">
        <w:rPr>
          <w:rStyle w:val="FootnoteReference"/>
          <w:szCs w:val="22"/>
        </w:rPr>
        <w:footnoteReference w:id="17"/>
      </w:r>
      <w:r w:rsidRPr="00E06B9C">
        <w:rPr>
          <w:color w:val="000000"/>
          <w:szCs w:val="22"/>
        </w:rPr>
        <w:t xml:space="preserve">  </w:t>
      </w:r>
      <w:r>
        <w:rPr>
          <w:color w:val="000000"/>
          <w:szCs w:val="22"/>
        </w:rPr>
        <w:t>On November 20, 2014, we sought expedited comment on the Roadmap.</w:t>
      </w:r>
      <w:r>
        <w:rPr>
          <w:rStyle w:val="FootnoteReference"/>
          <w:szCs w:val="22"/>
        </w:rPr>
        <w:footnoteReference w:id="18"/>
      </w:r>
      <w:r w:rsidRPr="00887BCE">
        <w:t xml:space="preserve"> </w:t>
      </w:r>
      <w:r w:rsidR="00280311">
        <w:t xml:space="preserve"> We received extensive comment in response, both supportive and critical of the Roadmap.  </w:t>
      </w:r>
    </w:p>
    <w:p w14:paraId="3AFBF044" w14:textId="77777777" w:rsidR="00CD5CF9" w:rsidRPr="00CD5CF9" w:rsidRDefault="00280311" w:rsidP="00280311">
      <w:pPr>
        <w:pStyle w:val="ParaNum"/>
        <w:rPr>
          <w:szCs w:val="22"/>
        </w:rPr>
      </w:pPr>
      <w:r>
        <w:rPr>
          <w:szCs w:val="22"/>
        </w:rPr>
        <w:t>Following the submission of comments on the Roadmap, CCA submitted its Parallel Path proposal on behalf of its members, which include most of the nation’s non-nationwide CMRS providers, including small, regional, and rural carriers.</w:t>
      </w:r>
      <w:r w:rsidR="00492CF7">
        <w:rPr>
          <w:rStyle w:val="FootnoteReference"/>
          <w:szCs w:val="22"/>
        </w:rPr>
        <w:footnoteReference w:id="19"/>
      </w:r>
      <w:r>
        <w:rPr>
          <w:szCs w:val="22"/>
        </w:rPr>
        <w:t xml:space="preserve">  </w:t>
      </w:r>
      <w:r w:rsidR="00900640">
        <w:rPr>
          <w:szCs w:val="22"/>
        </w:rPr>
        <w:t xml:space="preserve">The Parallel Path for the most part tracks the Roadmap, and commits the non-nationwide CMRS providers to the same approach and requirements </w:t>
      </w:r>
      <w:r w:rsidR="00CD5CF9">
        <w:rPr>
          <w:szCs w:val="22"/>
        </w:rPr>
        <w:t xml:space="preserve">for improving indoor location </w:t>
      </w:r>
      <w:r w:rsidR="00900640">
        <w:rPr>
          <w:szCs w:val="22"/>
        </w:rPr>
        <w:t xml:space="preserve">that the nationwide CMRS providers committed to in the Roadmap.  However, the Parallel Path </w:t>
      </w:r>
      <w:r w:rsidR="00CD5CF9">
        <w:rPr>
          <w:szCs w:val="22"/>
        </w:rPr>
        <w:t>proposes t</w:t>
      </w:r>
      <w:r w:rsidR="00D963C4">
        <w:rPr>
          <w:szCs w:val="22"/>
        </w:rPr>
        <w:t xml:space="preserve">o </w:t>
      </w:r>
      <w:r w:rsidR="004351F6">
        <w:rPr>
          <w:szCs w:val="22"/>
        </w:rPr>
        <w:t xml:space="preserve">modify </w:t>
      </w:r>
      <w:r w:rsidR="00D963C4">
        <w:rPr>
          <w:szCs w:val="22"/>
        </w:rPr>
        <w:t xml:space="preserve">certain Roadmap benchmarks and timeframes </w:t>
      </w:r>
      <w:r w:rsidR="004351F6">
        <w:rPr>
          <w:szCs w:val="22"/>
        </w:rPr>
        <w:t>to afford n</w:t>
      </w:r>
      <w:r w:rsidR="00CD5CF9">
        <w:rPr>
          <w:szCs w:val="22"/>
        </w:rPr>
        <w:t>on-nationwide CMRS providers</w:t>
      </w:r>
      <w:r w:rsidR="004351F6">
        <w:rPr>
          <w:szCs w:val="22"/>
        </w:rPr>
        <w:t xml:space="preserve"> more time and flexibility </w:t>
      </w:r>
      <w:r w:rsidR="00CD5CF9">
        <w:rPr>
          <w:szCs w:val="22"/>
        </w:rPr>
        <w:t xml:space="preserve">to meet </w:t>
      </w:r>
      <w:r w:rsidR="004351F6">
        <w:rPr>
          <w:szCs w:val="22"/>
        </w:rPr>
        <w:t>their commitments</w:t>
      </w:r>
      <w:r w:rsidR="00CD5CF9">
        <w:rPr>
          <w:szCs w:val="22"/>
        </w:rPr>
        <w:t xml:space="preserve">.  </w:t>
      </w:r>
      <w:r>
        <w:t xml:space="preserve"> </w:t>
      </w:r>
    </w:p>
    <w:p w14:paraId="6E3D2A81" w14:textId="77777777" w:rsidR="00280311" w:rsidRPr="00C6432C" w:rsidRDefault="00CD5CF9" w:rsidP="00280311">
      <w:pPr>
        <w:pStyle w:val="ParaNum"/>
        <w:rPr>
          <w:szCs w:val="22"/>
        </w:rPr>
      </w:pPr>
      <w:r>
        <w:t xml:space="preserve">Most recently, </w:t>
      </w:r>
      <w:r w:rsidR="00020312">
        <w:t xml:space="preserve">in response to criticism of the Roadmap by some commenters and to concerns raised by Commission staff, the </w:t>
      </w:r>
      <w:r w:rsidR="00381D00">
        <w:t>Roadmap</w:t>
      </w:r>
      <w:r w:rsidR="00A95811">
        <w:t xml:space="preserve"> Parties</w:t>
      </w:r>
      <w:r w:rsidR="00020312">
        <w:t xml:space="preserve"> have amended the Roadmap to strengthen certain provisions and incorporate additional commitments by the nationwide CMRS providers, particularly with respect to deployment of dispatchable location and z-axis technologies.</w:t>
      </w:r>
      <w:r w:rsidR="00620A5B">
        <w:rPr>
          <w:rStyle w:val="FootnoteReference"/>
        </w:rPr>
        <w:footnoteReference w:id="20"/>
      </w:r>
      <w:r w:rsidR="00020312">
        <w:t xml:space="preserve">  </w:t>
      </w:r>
    </w:p>
    <w:p w14:paraId="4DF89E68" w14:textId="77777777" w:rsidR="00EB36D5" w:rsidRPr="008B60AE" w:rsidRDefault="00EB36D5" w:rsidP="00EB36D5">
      <w:pPr>
        <w:pStyle w:val="Heading1"/>
        <w:tabs>
          <w:tab w:val="left" w:pos="1440"/>
        </w:tabs>
        <w:rPr>
          <w:rFonts w:ascii="Times New Roman" w:hAnsi="Times New Roman"/>
          <w:szCs w:val="22"/>
        </w:rPr>
      </w:pPr>
      <w:bookmarkStart w:id="59" w:name="_Toc378682639"/>
      <w:bookmarkStart w:id="60" w:name="_Toc378695303"/>
      <w:bookmarkStart w:id="61" w:name="_Toc378695463"/>
      <w:bookmarkStart w:id="62" w:name="_Toc378786250"/>
      <w:bookmarkStart w:id="63" w:name="_Toc378863266"/>
      <w:bookmarkStart w:id="64" w:name="_Toc378868583"/>
      <w:bookmarkStart w:id="65" w:name="_Toc379787493"/>
      <w:bookmarkStart w:id="66" w:name="_Toc379902587"/>
      <w:bookmarkStart w:id="67" w:name="_Toc379903261"/>
      <w:bookmarkStart w:id="68" w:name="_Toc379907040"/>
      <w:bookmarkStart w:id="69" w:name="_Toc380482080"/>
      <w:bookmarkStart w:id="70" w:name="_Toc380483073"/>
      <w:bookmarkStart w:id="71" w:name="_Toc380569145"/>
      <w:bookmarkStart w:id="72" w:name="_Toc380580333"/>
      <w:bookmarkStart w:id="73" w:name="_Toc380581401"/>
      <w:bookmarkStart w:id="74" w:name="_Toc380584391"/>
      <w:bookmarkStart w:id="75" w:name="_Toc380673869"/>
      <w:bookmarkStart w:id="76" w:name="_Toc402535526"/>
      <w:bookmarkStart w:id="77" w:name="_Toc406481385"/>
      <w:bookmarkStart w:id="78" w:name="_Toc406513839"/>
      <w:bookmarkStart w:id="79" w:name="_Toc408400445"/>
      <w:bookmarkStart w:id="80" w:name="_Toc408400483"/>
      <w:bookmarkStart w:id="81" w:name="_Toc408400544"/>
      <w:bookmarkStart w:id="82" w:name="_Toc408403109"/>
      <w:bookmarkStart w:id="83" w:name="_Toc408421321"/>
      <w:bookmarkStart w:id="84" w:name="_Toc407796235"/>
      <w:bookmarkStart w:id="85" w:name="_Toc408490556"/>
      <w:bookmarkStart w:id="86" w:name="_Toc408496208"/>
      <w:bookmarkStart w:id="87" w:name="_Toc408502409"/>
      <w:bookmarkStart w:id="88" w:name="_Toc410119081"/>
      <w:bookmarkStart w:id="89" w:name="_Toc410123660"/>
      <w:bookmarkStart w:id="90" w:name="_Toc410124642"/>
      <w:bookmarkStart w:id="91" w:name="_Toc410124722"/>
      <w:bookmarkStart w:id="92" w:name="_Toc410146116"/>
      <w:bookmarkStart w:id="93" w:name="_Toc410212639"/>
      <w:bookmarkStart w:id="94" w:name="_Toc410648281"/>
      <w:r>
        <w:rPr>
          <w:rFonts w:ascii="Times New Roman" w:hAnsi="Times New Roman"/>
          <w:szCs w:val="22"/>
        </w:rPr>
        <w:t>I</w:t>
      </w:r>
      <w:r w:rsidRPr="008B60AE">
        <w:rPr>
          <w:rFonts w:ascii="Times New Roman" w:hAnsi="Times New Roman"/>
          <w:szCs w:val="22"/>
        </w:rPr>
        <w:t xml:space="preserve">ndoor </w:t>
      </w:r>
      <w:r>
        <w:rPr>
          <w:rFonts w:ascii="Times New Roman" w:hAnsi="Times New Roman"/>
          <w:szCs w:val="22"/>
        </w:rPr>
        <w:t>L</w:t>
      </w:r>
      <w:r w:rsidRPr="008B60AE">
        <w:rPr>
          <w:rFonts w:ascii="Times New Roman" w:hAnsi="Times New Roman"/>
          <w:szCs w:val="22"/>
        </w:rPr>
        <w:t xml:space="preserve">ocation </w:t>
      </w:r>
      <w:r>
        <w:rPr>
          <w:rFonts w:ascii="Times New Roman" w:hAnsi="Times New Roman"/>
          <w:szCs w:val="22"/>
        </w:rPr>
        <w:t>A</w:t>
      </w:r>
      <w:r w:rsidRPr="008B60AE">
        <w:rPr>
          <w:rFonts w:ascii="Times New Roman" w:hAnsi="Times New Roman"/>
          <w:szCs w:val="22"/>
        </w:rPr>
        <w:t xml:space="preserve">ccuracy </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Fonts w:ascii="Times New Roman" w:hAnsi="Times New Roman"/>
          <w:szCs w:val="22"/>
        </w:rPr>
        <w:t>R</w:t>
      </w:r>
      <w:r w:rsidRPr="008B60AE">
        <w:rPr>
          <w:rFonts w:ascii="Times New Roman" w:hAnsi="Times New Roman"/>
          <w:szCs w:val="22"/>
        </w:rPr>
        <w:t>equirements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55E1ECEC" w14:textId="77777777" w:rsidR="00066951" w:rsidRPr="00990460" w:rsidRDefault="00066951" w:rsidP="004C29B5">
      <w:pPr>
        <w:pStyle w:val="ParaNum"/>
      </w:pPr>
      <w:r w:rsidRPr="00990460">
        <w:t xml:space="preserve">The record in this proceeding demonstrates that circumstances affecting wireless location accuracy have changed dramatically since the Commission </w:t>
      </w:r>
      <w:r w:rsidR="00EF100C">
        <w:t xml:space="preserve">first </w:t>
      </w:r>
      <w:r w:rsidRPr="00990460">
        <w:t xml:space="preserve">adopted its Phase II location accuracy rules.  As discussed in the </w:t>
      </w:r>
      <w:r w:rsidRPr="00066951">
        <w:rPr>
          <w:i/>
          <w:szCs w:val="22"/>
        </w:rPr>
        <w:t>Third Further Notice</w:t>
      </w:r>
      <w:r w:rsidRPr="00990460">
        <w:t xml:space="preserve">, </w:t>
      </w:r>
      <w:r w:rsidRPr="00066951">
        <w:rPr>
          <w:rFonts w:eastAsia="Calibri"/>
        </w:rPr>
        <w:t>the great majority of calls to 911 now originate on wireless phones, and the majority of wireless calls now originate indoors.</w:t>
      </w:r>
      <w:r w:rsidRPr="00990460">
        <w:rPr>
          <w:rStyle w:val="FootnoteReference"/>
          <w:rFonts w:eastAsia="Calibri"/>
          <w:spacing w:val="-4"/>
          <w:sz w:val="22"/>
          <w:szCs w:val="22"/>
        </w:rPr>
        <w:footnoteReference w:id="21"/>
      </w:r>
      <w:r w:rsidRPr="00066951">
        <w:rPr>
          <w:rFonts w:eastAsia="Calibri"/>
        </w:rPr>
        <w:t xml:space="preserve"> </w:t>
      </w:r>
      <w:r w:rsidRPr="00990460" w:rsidDel="008D2116">
        <w:t xml:space="preserve"> </w:t>
      </w:r>
      <w:r w:rsidRPr="00990460">
        <w:t xml:space="preserve">These changes increase the importance of ensuring that indoor 911 calls can be accurately located.  </w:t>
      </w:r>
      <w:r>
        <w:t>T</w:t>
      </w:r>
      <w:r w:rsidRPr="00990460">
        <w:t>he record also indicates that</w:t>
      </w:r>
      <w:r>
        <w:t>,</w:t>
      </w:r>
      <w:r w:rsidRPr="00990460">
        <w:t xml:space="preserve"> </w:t>
      </w:r>
      <w:r>
        <w:t>w</w:t>
      </w:r>
      <w:r w:rsidRPr="00990460">
        <w:t xml:space="preserve">hile PSAPs and CMRS providers may be able to address some of the challenges through technological and operational improvements, the outdoor-oriented focus of the Commission’s Phase II rules to date has created a regulatory gap:  by focusing on outdoor requirements for verifying compliance, our rules </w:t>
      </w:r>
      <w:r w:rsidR="00D118C9">
        <w:t xml:space="preserve">currently </w:t>
      </w:r>
      <w:r w:rsidRPr="00990460">
        <w:t xml:space="preserve">provide no remedy to address poor performance of location technologies indoors.  </w:t>
      </w:r>
    </w:p>
    <w:p w14:paraId="574AFE36" w14:textId="3B663284" w:rsidR="00EB36D5" w:rsidRPr="004B361D" w:rsidRDefault="00066951" w:rsidP="002601FC">
      <w:pPr>
        <w:pStyle w:val="ParaNum"/>
      </w:pPr>
      <w:r>
        <w:t>T</w:t>
      </w:r>
      <w:r w:rsidRPr="00793DBF">
        <w:t>he record in this proceeding</w:t>
      </w:r>
      <w:r>
        <w:t xml:space="preserve"> – including t</w:t>
      </w:r>
      <w:r w:rsidRPr="00793DBF">
        <w:t>he CSRIC test bed results,</w:t>
      </w:r>
      <w:r>
        <w:rPr>
          <w:rStyle w:val="FootnoteReference"/>
        </w:rPr>
        <w:footnoteReference w:id="22"/>
      </w:r>
      <w:r w:rsidRPr="00793DBF">
        <w:t xml:space="preserve"> </w:t>
      </w:r>
      <w:r>
        <w:t xml:space="preserve">the </w:t>
      </w:r>
      <w:r w:rsidR="009B6D20">
        <w:t xml:space="preserve">Amended </w:t>
      </w:r>
      <w:r>
        <w:t>Roadmap</w:t>
      </w:r>
      <w:r w:rsidR="003B3D3C">
        <w:t xml:space="preserve"> and Parallel Path</w:t>
      </w:r>
      <w:r>
        <w:t>, and other</w:t>
      </w:r>
      <w:r w:rsidRPr="00793DBF">
        <w:t xml:space="preserve"> evidence indicating further improvements t</w:t>
      </w:r>
      <w:r>
        <w:t xml:space="preserve">o indoor location technologies – </w:t>
      </w:r>
      <w:r w:rsidRPr="00793DBF">
        <w:t xml:space="preserve">also demonstrates that there has also been progress in the development of technologies that </w:t>
      </w:r>
      <w:r>
        <w:t>can</w:t>
      </w:r>
      <w:r w:rsidRPr="00793DBF">
        <w:t xml:space="preserve"> support impr</w:t>
      </w:r>
      <w:r>
        <w:t xml:space="preserve">oved indoor location accuracy.  Accordingly, we </w:t>
      </w:r>
      <w:r w:rsidR="00D118C9">
        <w:t xml:space="preserve">find </w:t>
      </w:r>
      <w:r>
        <w:t xml:space="preserve">that it is now appropriate to implement measures designed to address public safety’s critical need for obtaining indoor location information, and to ensure that wireless callers receive the same protection whether they place a </w:t>
      </w:r>
      <w:r w:rsidR="00D118C9">
        <w:t xml:space="preserve">911 </w:t>
      </w:r>
      <w:r>
        <w:t>call indoors or outdoors.</w:t>
      </w:r>
      <w:r w:rsidR="00EB36D5" w:rsidRPr="00B3083A">
        <w:rPr>
          <w:szCs w:val="22"/>
        </w:rPr>
        <w:t xml:space="preserve"> </w:t>
      </w:r>
    </w:p>
    <w:p w14:paraId="460845F3" w14:textId="77777777" w:rsidR="00377196" w:rsidRPr="006E4619" w:rsidRDefault="00377196" w:rsidP="00377196">
      <w:pPr>
        <w:pStyle w:val="Heading2"/>
      </w:pPr>
      <w:bookmarkStart w:id="95" w:name="_Toc405298466"/>
      <w:bookmarkStart w:id="96" w:name="_Toc406481386"/>
      <w:bookmarkStart w:id="97" w:name="_Toc406513840"/>
      <w:bookmarkStart w:id="98" w:name="_Toc408400446"/>
      <w:bookmarkStart w:id="99" w:name="_Toc408400484"/>
      <w:bookmarkStart w:id="100" w:name="_Toc408400545"/>
      <w:bookmarkStart w:id="101" w:name="_Toc408403110"/>
      <w:bookmarkStart w:id="102" w:name="_Toc408421322"/>
      <w:bookmarkStart w:id="103" w:name="_Toc407796236"/>
      <w:bookmarkStart w:id="104" w:name="_Toc408490557"/>
      <w:bookmarkStart w:id="105" w:name="_Toc408496209"/>
      <w:bookmarkStart w:id="106" w:name="_Toc408502410"/>
      <w:bookmarkStart w:id="107" w:name="_Toc410119082"/>
      <w:bookmarkStart w:id="108" w:name="_Toc410123661"/>
      <w:bookmarkStart w:id="109" w:name="_Toc410124643"/>
      <w:bookmarkStart w:id="110" w:name="_Toc410124723"/>
      <w:bookmarkStart w:id="111" w:name="_Toc410146117"/>
      <w:bookmarkStart w:id="112" w:name="_Toc410212640"/>
      <w:bookmarkStart w:id="113" w:name="_Toc410648282"/>
      <w:bookmarkStart w:id="114" w:name="_Toc378682641"/>
      <w:bookmarkStart w:id="115" w:name="_Toc378695305"/>
      <w:bookmarkStart w:id="116" w:name="_Toc378695465"/>
      <w:bookmarkStart w:id="117" w:name="_Toc378786252"/>
      <w:bookmarkStart w:id="118" w:name="_Toc378863268"/>
      <w:bookmarkStart w:id="119" w:name="_Toc378868585"/>
      <w:bookmarkStart w:id="120" w:name="_Toc379787495"/>
      <w:bookmarkStart w:id="121" w:name="_Toc379902589"/>
      <w:bookmarkStart w:id="122" w:name="_Toc379903263"/>
      <w:bookmarkStart w:id="123" w:name="_Toc379907042"/>
      <w:bookmarkStart w:id="124" w:name="_Toc380482082"/>
      <w:bookmarkStart w:id="125" w:name="_Toc380483075"/>
      <w:bookmarkStart w:id="126" w:name="_Toc380569147"/>
      <w:bookmarkStart w:id="127" w:name="_Toc380580335"/>
      <w:bookmarkStart w:id="128" w:name="_Toc380581403"/>
      <w:bookmarkStart w:id="129" w:name="_Toc380584393"/>
      <w:bookmarkStart w:id="130" w:name="_Toc380673871"/>
      <w:bookmarkStart w:id="131" w:name="_Toc402535533"/>
      <w:bookmarkStart w:id="132" w:name="_Toc406481387"/>
      <w:bookmarkStart w:id="133" w:name="_Toc406513841"/>
      <w:bookmarkStart w:id="134" w:name="_Toc408400447"/>
      <w:bookmarkStart w:id="135" w:name="_Toc408400485"/>
      <w:bookmarkStart w:id="136" w:name="_Toc408400546"/>
      <w:bookmarkStart w:id="137" w:name="_Toc408403111"/>
      <w:bookmarkStart w:id="138" w:name="_Toc408421323"/>
      <w:bookmarkStart w:id="139" w:name="_Toc407796237"/>
      <w:bookmarkStart w:id="140" w:name="_Toc408490558"/>
      <w:bookmarkStart w:id="141" w:name="_Toc408496210"/>
      <w:bookmarkStart w:id="142" w:name="_Toc408502411"/>
      <w:bookmarkStart w:id="143" w:name="_Toc410119083"/>
      <w:bookmarkStart w:id="144" w:name="_Toc410123662"/>
      <w:bookmarkStart w:id="145" w:name="_Toc410124644"/>
      <w:bookmarkStart w:id="146" w:name="_Toc410124724"/>
      <w:bookmarkStart w:id="147" w:name="_Toc410146118"/>
      <w:bookmarkStart w:id="148" w:name="_Toc410212641"/>
      <w:bookmarkStart w:id="149" w:name="_Toc410648283"/>
      <w:r>
        <w:t>Ubiquity and Challenges of Indoor Wireless Calling</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4670483B" w14:textId="77777777" w:rsidR="00377196" w:rsidRDefault="00377196" w:rsidP="00377196">
      <w:pPr>
        <w:pStyle w:val="ParaNum"/>
        <w:rPr>
          <w:szCs w:val="22"/>
        </w:rPr>
      </w:pPr>
      <w:r w:rsidRPr="006E4619">
        <w:rPr>
          <w:i/>
          <w:spacing w:val="-4"/>
          <w:szCs w:val="22"/>
        </w:rPr>
        <w:t>Background</w:t>
      </w:r>
      <w:r w:rsidRPr="006E4619">
        <w:rPr>
          <w:spacing w:val="-4"/>
          <w:szCs w:val="22"/>
        </w:rPr>
        <w:t xml:space="preserve">.  </w:t>
      </w:r>
      <w:r>
        <w:rPr>
          <w:spacing w:val="-4"/>
          <w:szCs w:val="22"/>
        </w:rPr>
        <w:t>I</w:t>
      </w:r>
      <w:r w:rsidRPr="006E4619">
        <w:rPr>
          <w:spacing w:val="-4"/>
          <w:szCs w:val="22"/>
        </w:rPr>
        <w:t xml:space="preserve">n the </w:t>
      </w:r>
      <w:r w:rsidRPr="006E4619">
        <w:rPr>
          <w:i/>
          <w:szCs w:val="22"/>
        </w:rPr>
        <w:t>Third Further Notice</w:t>
      </w:r>
      <w:r>
        <w:rPr>
          <w:szCs w:val="22"/>
        </w:rPr>
        <w:t xml:space="preserve">, </w:t>
      </w:r>
      <w:r>
        <w:rPr>
          <w:spacing w:val="-4"/>
          <w:szCs w:val="22"/>
        </w:rPr>
        <w:t>w</w:t>
      </w:r>
      <w:r w:rsidRPr="006E4619">
        <w:rPr>
          <w:szCs w:val="22"/>
        </w:rPr>
        <w:t>e noted that the large increase in indoor wireless usage over the last decade has made indoor location accuracy increasingly important.</w:t>
      </w:r>
      <w:r>
        <w:rPr>
          <w:rStyle w:val="FootnoteReference"/>
          <w:szCs w:val="22"/>
        </w:rPr>
        <w:footnoteReference w:id="23"/>
      </w:r>
      <w:r w:rsidRPr="006E4619">
        <w:rPr>
          <w:szCs w:val="22"/>
        </w:rPr>
        <w:t xml:space="preserve">  Accordingly, we sought more granular information regarding the percentage of wireless calls placed from indoors and, to the extent available, the percentage of wireless calls to 911 from indoors.</w:t>
      </w:r>
      <w:r>
        <w:rPr>
          <w:rStyle w:val="FootnoteReference"/>
          <w:szCs w:val="22"/>
        </w:rPr>
        <w:footnoteReference w:id="24"/>
      </w:r>
      <w:r w:rsidRPr="00F638AF">
        <w:rPr>
          <w:szCs w:val="22"/>
        </w:rPr>
        <w:t xml:space="preserve"> </w:t>
      </w:r>
      <w:r>
        <w:rPr>
          <w:szCs w:val="22"/>
        </w:rPr>
        <w:t xml:space="preserve"> </w:t>
      </w:r>
      <w:r w:rsidRPr="006E4619">
        <w:rPr>
          <w:szCs w:val="22"/>
        </w:rPr>
        <w:t xml:space="preserve">We also sought further data on the types of indoor environments from which 911 calls are placed, </w:t>
      </w:r>
      <w:r w:rsidRPr="006E4619">
        <w:rPr>
          <w:i/>
          <w:szCs w:val="22"/>
        </w:rPr>
        <w:t>e.g</w:t>
      </w:r>
      <w:r w:rsidRPr="006E4619">
        <w:rPr>
          <w:szCs w:val="22"/>
        </w:rPr>
        <w:t>., in the caller’s own home, his or her work location or in public accommodations such as airports, schools and movie theaters; and whether it</w:t>
      </w:r>
      <w:r>
        <w:rPr>
          <w:szCs w:val="22"/>
        </w:rPr>
        <w:t xml:space="preserve"> is</w:t>
      </w:r>
      <w:r w:rsidRPr="006E4619">
        <w:rPr>
          <w:szCs w:val="22"/>
        </w:rPr>
        <w:t xml:space="preserve"> possible to identify the type of building morphology where current location technologies routinely fail to provide accurate location information.</w:t>
      </w:r>
      <w:r w:rsidRPr="006E4619">
        <w:rPr>
          <w:rStyle w:val="FootnoteReference"/>
          <w:szCs w:val="22"/>
        </w:rPr>
        <w:footnoteReference w:id="25"/>
      </w:r>
      <w:r>
        <w:rPr>
          <w:szCs w:val="22"/>
        </w:rPr>
        <w:t xml:space="preserve">  </w:t>
      </w:r>
      <w:r w:rsidRPr="00296640">
        <w:rPr>
          <w:rFonts w:eastAsia="MS Mincho"/>
          <w:szCs w:val="22"/>
          <w:lang w:eastAsia="ja-JP"/>
        </w:rPr>
        <w:t>In response to this inquiry, commenters indicate an “ongoing, dramatic increase” in the number of wireless calls placed from indoors.</w:t>
      </w:r>
      <w:r w:rsidRPr="006E4619">
        <w:rPr>
          <w:rStyle w:val="FootnoteReference"/>
          <w:rFonts w:eastAsia="MS Mincho"/>
          <w:szCs w:val="22"/>
          <w:lang w:eastAsia="ja-JP"/>
        </w:rPr>
        <w:footnoteReference w:id="26"/>
      </w:r>
      <w:r w:rsidRPr="00296640">
        <w:rPr>
          <w:rFonts w:eastAsia="MS Mincho"/>
          <w:szCs w:val="22"/>
          <w:lang w:eastAsia="ja-JP"/>
        </w:rPr>
        <w:t xml:space="preserve">  </w:t>
      </w:r>
    </w:p>
    <w:p w14:paraId="5C8FC7D0" w14:textId="77777777" w:rsidR="00377196" w:rsidRPr="00296640" w:rsidRDefault="00377196" w:rsidP="00377196">
      <w:pPr>
        <w:pStyle w:val="ParaNum"/>
        <w:rPr>
          <w:szCs w:val="22"/>
        </w:rPr>
      </w:pPr>
      <w:r w:rsidRPr="00071760">
        <w:t xml:space="preserve">In the </w:t>
      </w:r>
      <w:r w:rsidRPr="00296640">
        <w:rPr>
          <w:i/>
        </w:rPr>
        <w:t xml:space="preserve">Third </w:t>
      </w:r>
      <w:r>
        <w:rPr>
          <w:i/>
        </w:rPr>
        <w:t>Further Notice</w:t>
      </w:r>
      <w:r w:rsidRPr="00071760">
        <w:t>,</w:t>
      </w:r>
      <w:r w:rsidRPr="00296640">
        <w:rPr>
          <w:i/>
        </w:rPr>
        <w:t xml:space="preserve"> </w:t>
      </w:r>
      <w:r w:rsidRPr="00071760">
        <w:t>we also noted</w:t>
      </w:r>
      <w:r w:rsidRPr="00296640">
        <w:rPr>
          <w:szCs w:val="22"/>
        </w:rPr>
        <w:t xml:space="preserve"> that indoor locations pose particular challenges for first responders </w:t>
      </w:r>
      <w:r>
        <w:rPr>
          <w:szCs w:val="22"/>
        </w:rPr>
        <w:t>attempting to</w:t>
      </w:r>
      <w:r w:rsidRPr="00296640">
        <w:rPr>
          <w:szCs w:val="22"/>
        </w:rPr>
        <w:t xml:space="preserve"> find the caller.  We sought comment on whether and how the increase in wireless calls to 911 from indoors has affected the delivery of E911 information and the ability of public safety officials to respond to calls for help.</w:t>
      </w:r>
      <w:r>
        <w:rPr>
          <w:rStyle w:val="FootnoteReference"/>
          <w:szCs w:val="22"/>
        </w:rPr>
        <w:footnoteReference w:id="27"/>
      </w:r>
      <w:r w:rsidRPr="00296640">
        <w:rPr>
          <w:szCs w:val="22"/>
        </w:rPr>
        <w:t xml:space="preserve">  </w:t>
      </w:r>
      <w:r w:rsidRPr="00587FF8">
        <w:rPr>
          <w:rFonts w:eastAsia="MS Mincho"/>
          <w:szCs w:val="22"/>
          <w:lang w:eastAsia="ja-JP"/>
        </w:rPr>
        <w:t xml:space="preserve">APCO indicates that location accuracy for wireless calls placed from indoors is currently inferior to </w:t>
      </w:r>
      <w:r>
        <w:rPr>
          <w:rFonts w:eastAsia="MS Mincho"/>
          <w:szCs w:val="22"/>
          <w:lang w:eastAsia="ja-JP"/>
        </w:rPr>
        <w:t xml:space="preserve">both </w:t>
      </w:r>
      <w:r w:rsidRPr="00587FF8">
        <w:rPr>
          <w:rFonts w:eastAsia="MS Mincho"/>
          <w:szCs w:val="22"/>
          <w:lang w:eastAsia="ja-JP"/>
        </w:rPr>
        <w:t>wireline calls placed from indoors</w:t>
      </w:r>
      <w:r>
        <w:rPr>
          <w:rFonts w:eastAsia="MS Mincho"/>
          <w:szCs w:val="22"/>
          <w:lang w:eastAsia="ja-JP"/>
        </w:rPr>
        <w:t xml:space="preserve"> and</w:t>
      </w:r>
      <w:r w:rsidRPr="00587FF8">
        <w:rPr>
          <w:rFonts w:eastAsia="MS Mincho"/>
          <w:szCs w:val="22"/>
          <w:lang w:eastAsia="ja-JP"/>
        </w:rPr>
        <w:t xml:space="preserve"> wireless calls placed from outdoors.</w:t>
      </w:r>
      <w:r w:rsidRPr="006E4619">
        <w:rPr>
          <w:rStyle w:val="FootnoteReference"/>
          <w:rFonts w:eastAsia="MS Mincho"/>
          <w:szCs w:val="22"/>
          <w:lang w:eastAsia="ja-JP"/>
        </w:rPr>
        <w:footnoteReference w:id="28"/>
      </w:r>
      <w:r w:rsidRPr="00587FF8">
        <w:rPr>
          <w:rFonts w:eastAsia="MS Mincho"/>
          <w:szCs w:val="22"/>
          <w:lang w:eastAsia="ja-JP"/>
        </w:rPr>
        <w:t xml:space="preserve">  </w:t>
      </w:r>
      <w:r>
        <w:rPr>
          <w:szCs w:val="22"/>
        </w:rPr>
        <w:t>The Department of Emergency Management for San Francisco (DEMSF)</w:t>
      </w:r>
      <w:r w:rsidRPr="00296640">
        <w:rPr>
          <w:szCs w:val="22"/>
        </w:rPr>
        <w:t xml:space="preserve"> states that problems with wireless indoor location accuracy are particularly acute “in dense urban environments with multiple, adjacent high-rise buildings.”</w:t>
      </w:r>
      <w:r w:rsidRPr="00133590">
        <w:rPr>
          <w:vertAlign w:val="superscript"/>
        </w:rPr>
        <w:footnoteReference w:id="29"/>
      </w:r>
      <w:r w:rsidRPr="00296640">
        <w:rPr>
          <w:szCs w:val="22"/>
        </w:rPr>
        <w:t xml:space="preserve"> </w:t>
      </w:r>
      <w:r>
        <w:rPr>
          <w:szCs w:val="22"/>
        </w:rPr>
        <w:t xml:space="preserve"> </w:t>
      </w:r>
      <w:r>
        <w:t>Commenters indicate that the increase in wireless 911 calls from indoors has affected the delivery of E911 information and eroded the ability of public safety officials to respond to calls for help, and to keep first responders safe.</w:t>
      </w:r>
      <w:r>
        <w:rPr>
          <w:rStyle w:val="FootnoteReference"/>
        </w:rPr>
        <w:footnoteReference w:id="30"/>
      </w:r>
    </w:p>
    <w:p w14:paraId="12F1623D" w14:textId="77777777" w:rsidR="00377196" w:rsidRPr="004029B8" w:rsidRDefault="00377196" w:rsidP="00377196">
      <w:pPr>
        <w:pStyle w:val="ParaNum"/>
      </w:pPr>
      <w:r w:rsidRPr="00990460">
        <w:rPr>
          <w:i/>
          <w:szCs w:val="22"/>
        </w:rPr>
        <w:t xml:space="preserve">Discussion.  </w:t>
      </w:r>
      <w:r w:rsidRPr="00990460">
        <w:t>The record confirms that more wireless 911 calls are coming from indoors, and indoor 911 calls pose challenges for location that will lead to further degradation of 911 services if not addressed.  In 1996 there were approximately 33 million cellular subscribers in the United States.</w:t>
      </w:r>
      <w:r w:rsidRPr="00990460">
        <w:rPr>
          <w:rStyle w:val="FootnoteReference"/>
          <w:spacing w:val="-4"/>
          <w:szCs w:val="22"/>
        </w:rPr>
        <w:footnoteReference w:id="31"/>
      </w:r>
      <w:r w:rsidRPr="00990460">
        <w:t xml:space="preserve">  By the end of 201</w:t>
      </w:r>
      <w:r>
        <w:t>3</w:t>
      </w:r>
      <w:r w:rsidRPr="00990460">
        <w:t xml:space="preserve">, there were </w:t>
      </w:r>
      <w:r>
        <w:t>nearly</w:t>
      </w:r>
      <w:r w:rsidRPr="00990460">
        <w:t xml:space="preserve"> </w:t>
      </w:r>
      <w:r>
        <w:t>336</w:t>
      </w:r>
      <w:r w:rsidRPr="00990460">
        <w:t xml:space="preserve"> million wireless subscriber connections.</w:t>
      </w:r>
      <w:r w:rsidRPr="00990460">
        <w:rPr>
          <w:rStyle w:val="FootnoteReference"/>
          <w:spacing w:val="-4"/>
          <w:szCs w:val="22"/>
        </w:rPr>
        <w:footnoteReference w:id="32"/>
      </w:r>
      <w:r w:rsidRPr="00990460">
        <w:t xml:space="preserve">  At the end of 2007, only 15.8 percent of American households were wireless-only.</w:t>
      </w:r>
      <w:r w:rsidRPr="00990460">
        <w:rPr>
          <w:rStyle w:val="FootnoteReference"/>
          <w:spacing w:val="-4"/>
          <w:szCs w:val="22"/>
        </w:rPr>
        <w:footnoteReference w:id="33"/>
      </w:r>
      <w:r w:rsidRPr="00990460">
        <w:t xml:space="preserve">  During the first half of 2014, that number increased to 44 percent (more than two of every five American homes), an increase of more than 3.0 percentage points since the second half of 2013.</w:t>
      </w:r>
      <w:r w:rsidRPr="00990460">
        <w:rPr>
          <w:rStyle w:val="FootnoteReference"/>
          <w:spacing w:val="-4"/>
          <w:sz w:val="22"/>
          <w:szCs w:val="22"/>
        </w:rPr>
        <w:footnoteReference w:id="34"/>
      </w:r>
      <w:r w:rsidRPr="00990460">
        <w:t xml:space="preserve">  Furthermore, adults living in or near poverty and younger Americans are more likely to live in wireless-only homes than are higher-income adults.</w:t>
      </w:r>
      <w:r w:rsidRPr="00990460">
        <w:rPr>
          <w:rStyle w:val="FootnoteReference"/>
          <w:spacing w:val="-4"/>
          <w:szCs w:val="22"/>
        </w:rPr>
        <w:footnoteReference w:id="35"/>
      </w:r>
      <w:r w:rsidRPr="00990460">
        <w:t xml:space="preserve">  Several major CMRS providers </w:t>
      </w:r>
      <w:r>
        <w:t>reflect</w:t>
      </w:r>
      <w:r w:rsidRPr="00990460">
        <w:t xml:space="preserve"> this trend by marketing wireless service as a replacement in the home for traditional landline service.</w:t>
      </w:r>
      <w:r w:rsidRPr="00990460">
        <w:rPr>
          <w:rStyle w:val="FootnoteReference"/>
          <w:spacing w:val="-4"/>
          <w:szCs w:val="22"/>
        </w:rPr>
        <w:footnoteReference w:id="36"/>
      </w:r>
      <w:r w:rsidRPr="00990460">
        <w:t xml:space="preserve">  </w:t>
      </w:r>
    </w:p>
    <w:p w14:paraId="5152724F" w14:textId="77777777" w:rsidR="00377196" w:rsidRPr="00D062B8" w:rsidRDefault="00377196" w:rsidP="00377196">
      <w:pPr>
        <w:pStyle w:val="ParaNum"/>
      </w:pPr>
      <w:bookmarkStart w:id="150" w:name="_Ref408496695"/>
      <w:r w:rsidRPr="00990460">
        <w:t xml:space="preserve">The record also indicates </w:t>
      </w:r>
      <w:r w:rsidRPr="004029B8">
        <w:t xml:space="preserve">that the increase in wireless calls to 911 from indoors has reduced the quality of location information available to first responders </w:t>
      </w:r>
      <w:r>
        <w:t>in the absence</w:t>
      </w:r>
      <w:r w:rsidRPr="004029B8">
        <w:t xml:space="preserve"> of compensatory technologies to enhance location.  </w:t>
      </w:r>
      <w:r>
        <w:t>Specifically</w:t>
      </w:r>
      <w:r w:rsidRPr="004029B8">
        <w:t xml:space="preserve">, </w:t>
      </w:r>
      <w:r w:rsidRPr="00990460">
        <w:t>satellite-based location technologies do not provide accurate location data for many wireless calls placed from indoor locations,</w:t>
      </w:r>
      <w:bookmarkStart w:id="151" w:name="_Ref408496649"/>
      <w:r>
        <w:rPr>
          <w:rStyle w:val="FootnoteReference"/>
        </w:rPr>
        <w:footnoteReference w:id="37"/>
      </w:r>
      <w:bookmarkEnd w:id="151"/>
      <w:r w:rsidRPr="00990460">
        <w:t xml:space="preserve"> particularly in urban areas where a growing number of Americans reside.</w:t>
      </w:r>
      <w:r w:rsidRPr="00990460">
        <w:rPr>
          <w:rStyle w:val="FootnoteReference"/>
          <w:spacing w:val="-4"/>
          <w:szCs w:val="22"/>
        </w:rPr>
        <w:footnoteReference w:id="38"/>
      </w:r>
      <w:r w:rsidRPr="00990460">
        <w:t xml:space="preserve">  This highlights the critical importance of the enhanced indoor wireless indoor location accuracy rules that we adopt today, which will enhance public safety and address the need to develop alternative technological approaches to address indoor location.</w:t>
      </w:r>
      <w:bookmarkEnd w:id="150"/>
    </w:p>
    <w:p w14:paraId="7E8091A0" w14:textId="77777777" w:rsidR="00EB36D5" w:rsidRDefault="00EB36D5" w:rsidP="00EB36D5">
      <w:pPr>
        <w:pStyle w:val="Heading2"/>
      </w:pPr>
      <w:r w:rsidRPr="008B60AE">
        <w:t xml:space="preserve">E911 Location Accuracy </w:t>
      </w:r>
      <w:bookmarkEnd w:id="114"/>
      <w:bookmarkEnd w:id="115"/>
      <w:bookmarkEnd w:id="116"/>
      <w:bookmarkEnd w:id="117"/>
      <w:bookmarkEnd w:id="118"/>
      <w:bookmarkEnd w:id="119"/>
      <w:bookmarkEnd w:id="120"/>
      <w:bookmarkEnd w:id="121"/>
      <w:bookmarkEnd w:id="122"/>
      <w:bookmarkEnd w:id="123"/>
      <w:bookmarkEnd w:id="124"/>
      <w:bookmarkEnd w:id="125"/>
      <w:r w:rsidRPr="008B60AE">
        <w:t>Requirements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255F981E" w14:textId="61D9A557" w:rsidR="00996562" w:rsidRDefault="00996562" w:rsidP="00996562">
      <w:pPr>
        <w:pStyle w:val="ParaNum"/>
      </w:pPr>
      <w:r w:rsidRPr="00177536">
        <w:t xml:space="preserve">In this </w:t>
      </w:r>
      <w:r w:rsidRPr="00B441B7">
        <w:rPr>
          <w:i/>
        </w:rPr>
        <w:t>Fourth Report and Order</w:t>
      </w:r>
      <w:r w:rsidR="00844C6E">
        <w:t>,</w:t>
      </w:r>
      <w:r w:rsidRPr="00B441B7">
        <w:rPr>
          <w:i/>
        </w:rPr>
        <w:t xml:space="preserve"> </w:t>
      </w:r>
      <w:r w:rsidRPr="00177536">
        <w:t>we adopt E911 location accuracy requirements</w:t>
      </w:r>
      <w:r w:rsidR="003B3D3C">
        <w:t xml:space="preserve"> that </w:t>
      </w:r>
      <w:r w:rsidR="003B3D3C" w:rsidRPr="00177536">
        <w:t>codify major elements of the Roadmap</w:t>
      </w:r>
      <w:r w:rsidR="003B3D3C">
        <w:t xml:space="preserve">, the Parallel Path, and the additional commitments that CMRS providers have made in recent </w:t>
      </w:r>
      <w:r w:rsidR="003B3D3C" w:rsidRPr="00005BE2">
        <w:rPr>
          <w:i/>
        </w:rPr>
        <w:t>ex parte</w:t>
      </w:r>
      <w:r w:rsidR="003B3D3C">
        <w:t xml:space="preserve"> filings</w:t>
      </w:r>
      <w:r w:rsidR="003B3D3C" w:rsidRPr="00177536">
        <w:t xml:space="preserve">.  </w:t>
      </w:r>
      <w:r w:rsidR="000213ED">
        <w:t xml:space="preserve">These requirements afford CMRS providers flexibility to develop dispatchable location solutions, but also include requirements and timeframes for provision of x/y and z-axis information </w:t>
      </w:r>
      <w:r w:rsidR="00370ED8">
        <w:t>in the event that dispatchable location is not available.</w:t>
      </w:r>
      <w:r w:rsidR="000213ED">
        <w:t xml:space="preserve"> </w:t>
      </w:r>
      <w:r>
        <w:t xml:space="preserve">   </w:t>
      </w:r>
    </w:p>
    <w:p w14:paraId="5F5B8D70" w14:textId="78914C16" w:rsidR="00996562" w:rsidRPr="00177536" w:rsidRDefault="00844C6E" w:rsidP="00292490">
      <w:pPr>
        <w:pStyle w:val="ParaNum"/>
      </w:pPr>
      <w:r>
        <w:t>CMRS providers must certify at 36 months and again at 72 months that they have deployed compliant technology throughout their networks to improve indoor location accuracy, consistent with the compliant technology’s performance in an independent test bed.</w:t>
      </w:r>
      <w:r>
        <w:rPr>
          <w:rStyle w:val="FootnoteReference"/>
        </w:rPr>
        <w:footnoteReference w:id="39"/>
      </w:r>
      <w:r>
        <w:t xml:space="preserve">  </w:t>
      </w:r>
      <w:r w:rsidR="00292490">
        <w:t xml:space="preserve">To demonstrate further compliance with these metrics, </w:t>
      </w:r>
      <w:r w:rsidR="00996562" w:rsidRPr="00C8273C">
        <w:t>CMRS</w:t>
      </w:r>
      <w:r w:rsidR="00996562">
        <w:t xml:space="preserve"> providers</w:t>
      </w:r>
      <w:r w:rsidR="00996562" w:rsidRPr="00177536">
        <w:t xml:space="preserve"> </w:t>
      </w:r>
      <w:r w:rsidR="00996562" w:rsidRPr="00B441B7">
        <w:t xml:space="preserve">must </w:t>
      </w:r>
      <w:r w:rsidR="00292490">
        <w:t>submit aggregated live</w:t>
      </w:r>
      <w:r w:rsidR="00292490" w:rsidRPr="00B441B7">
        <w:t xml:space="preserve"> </w:t>
      </w:r>
      <w:r w:rsidR="00996562" w:rsidRPr="00B441B7">
        <w:t xml:space="preserve">911 call data from the </w:t>
      </w:r>
      <w:r w:rsidR="0071554E">
        <w:t>six</w:t>
      </w:r>
      <w:r w:rsidR="00996562" w:rsidRPr="00B441B7">
        <w:t xml:space="preserve"> cities </w:t>
      </w:r>
      <w:r w:rsidR="00292490">
        <w:t xml:space="preserve">recommended </w:t>
      </w:r>
      <w:r w:rsidR="00C54DC0">
        <w:t xml:space="preserve">for indoor testing </w:t>
      </w:r>
      <w:r w:rsidR="00292490">
        <w:t xml:space="preserve">by the Alliance for Telecommunications Industry Solutions </w:t>
      </w:r>
      <w:r w:rsidR="00292490" w:rsidRPr="00292490">
        <w:rPr>
          <w:szCs w:val="22"/>
        </w:rPr>
        <w:t xml:space="preserve">Emergency Services Interconnection Forum </w:t>
      </w:r>
      <w:r w:rsidR="00292490">
        <w:rPr>
          <w:szCs w:val="22"/>
        </w:rPr>
        <w:t>(</w:t>
      </w:r>
      <w:r w:rsidR="00292490">
        <w:t>ATIS ESIF)</w:t>
      </w:r>
      <w:r w:rsidR="00996562" w:rsidRPr="00B441B7">
        <w:t>.</w:t>
      </w:r>
      <w:r w:rsidR="00292490">
        <w:rPr>
          <w:rStyle w:val="FootnoteReference"/>
          <w:szCs w:val="22"/>
        </w:rPr>
        <w:footnoteReference w:id="40"/>
      </w:r>
      <w:r w:rsidR="00996562" w:rsidRPr="00B441B7">
        <w:t xml:space="preserve">  </w:t>
      </w:r>
      <w:r w:rsidR="00996562">
        <w:t>CMRS providers</w:t>
      </w:r>
      <w:r w:rsidR="00996562" w:rsidRPr="00177536">
        <w:t xml:space="preserve"> that provide dispatchable location must also provide x/y coordinates to the PSAP (</w:t>
      </w:r>
      <w:r w:rsidR="00996562">
        <w:t>as well as</w:t>
      </w:r>
      <w:r w:rsidR="00996562" w:rsidRPr="00177536">
        <w:t xml:space="preserve"> z coordinates whe</w:t>
      </w:r>
      <w:r>
        <w:t>re feasible and appropriate</w:t>
      </w:r>
      <w:r w:rsidR="00996562" w:rsidRPr="00177536">
        <w:t>).  This will enable PSAPs to corroborate the validity of dispatchable location information, but the coordinates will not be considered for FCC compliance purposes</w:t>
      </w:r>
      <w:r w:rsidR="00996562">
        <w:t>.</w:t>
      </w:r>
    </w:p>
    <w:p w14:paraId="564DFA05" w14:textId="4D16DC30" w:rsidR="00EB36D5" w:rsidRPr="006A31C0" w:rsidRDefault="001F0EF0" w:rsidP="00EB36D5">
      <w:pPr>
        <w:pStyle w:val="Heading3"/>
        <w:rPr>
          <w:szCs w:val="22"/>
        </w:rPr>
      </w:pPr>
      <w:bookmarkStart w:id="152" w:name="_Toc410212642"/>
      <w:bookmarkStart w:id="153" w:name="_Toc406481388"/>
      <w:bookmarkStart w:id="154" w:name="_Toc406513842"/>
      <w:bookmarkStart w:id="155" w:name="_Toc408400448"/>
      <w:bookmarkStart w:id="156" w:name="_Toc408400486"/>
      <w:bookmarkStart w:id="157" w:name="_Toc408400547"/>
      <w:bookmarkStart w:id="158" w:name="_Toc408403112"/>
      <w:bookmarkStart w:id="159" w:name="_Toc408421324"/>
      <w:bookmarkStart w:id="160" w:name="_Toc407796238"/>
      <w:bookmarkStart w:id="161" w:name="_Toc408490559"/>
      <w:bookmarkStart w:id="162" w:name="_Toc408496211"/>
      <w:bookmarkStart w:id="163" w:name="_Toc408502412"/>
      <w:bookmarkStart w:id="164" w:name="_Toc410119084"/>
      <w:bookmarkStart w:id="165" w:name="_Toc410123663"/>
      <w:bookmarkStart w:id="166" w:name="_Toc410124645"/>
      <w:bookmarkStart w:id="167" w:name="_Toc410124725"/>
      <w:bookmarkStart w:id="168" w:name="_Toc410146119"/>
      <w:bookmarkStart w:id="169" w:name="_Toc410212643"/>
      <w:bookmarkStart w:id="170" w:name="_Toc410648284"/>
      <w:bookmarkEnd w:id="152"/>
      <w:r>
        <w:rPr>
          <w:szCs w:val="22"/>
        </w:rPr>
        <w:t xml:space="preserve">Incorporation of </w:t>
      </w:r>
      <w:r w:rsidR="00EB36D5">
        <w:rPr>
          <w:szCs w:val="22"/>
        </w:rPr>
        <w:t>Roadmap</w:t>
      </w:r>
      <w:bookmarkEnd w:id="153"/>
      <w:bookmarkEnd w:id="154"/>
      <w:r>
        <w:rPr>
          <w:szCs w:val="22"/>
        </w:rPr>
        <w:t xml:space="preserve"> and </w:t>
      </w:r>
      <w:r w:rsidR="003B3D3C">
        <w:rPr>
          <w:szCs w:val="22"/>
        </w:rPr>
        <w:t>Parallel Path Commitments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087D8715" w14:textId="779F421B" w:rsidR="00996562" w:rsidRPr="00177536" w:rsidRDefault="00996562" w:rsidP="00EE2E1F">
      <w:pPr>
        <w:pStyle w:val="ParaNum"/>
        <w:widowControl/>
        <w:rPr>
          <w:szCs w:val="22"/>
        </w:rPr>
      </w:pPr>
      <w:r w:rsidRPr="00177536">
        <w:rPr>
          <w:i/>
          <w:spacing w:val="-4"/>
          <w:szCs w:val="22"/>
        </w:rPr>
        <w:t xml:space="preserve">Background.  </w:t>
      </w:r>
      <w:r w:rsidRPr="00177536">
        <w:rPr>
          <w:szCs w:val="22"/>
        </w:rPr>
        <w:t xml:space="preserve">In the </w:t>
      </w:r>
      <w:r w:rsidRPr="00177536">
        <w:rPr>
          <w:i/>
          <w:szCs w:val="22"/>
        </w:rPr>
        <w:t>Third Further Notice</w:t>
      </w:r>
      <w:r w:rsidRPr="00177536">
        <w:rPr>
          <w:szCs w:val="22"/>
        </w:rPr>
        <w:t>, we proposed that within two years</w:t>
      </w:r>
      <w:r>
        <w:rPr>
          <w:szCs w:val="22"/>
        </w:rPr>
        <w:t xml:space="preserve"> of the Effective Date </w:t>
      </w:r>
      <w:r w:rsidRPr="00177536">
        <w:rPr>
          <w:szCs w:val="22"/>
        </w:rPr>
        <w:t xml:space="preserve">CMRS providers must locate 67 percent of indoor </w:t>
      </w:r>
      <w:r>
        <w:rPr>
          <w:szCs w:val="22"/>
        </w:rPr>
        <w:t xml:space="preserve">911 </w:t>
      </w:r>
      <w:r w:rsidRPr="00177536">
        <w:rPr>
          <w:szCs w:val="22"/>
        </w:rPr>
        <w:t xml:space="preserve">calls </w:t>
      </w:r>
      <w:r>
        <w:rPr>
          <w:szCs w:val="22"/>
        </w:rPr>
        <w:t>within 50 meters, and that within five years, they must achieve 50</w:t>
      </w:r>
      <w:r w:rsidR="007439C3">
        <w:rPr>
          <w:szCs w:val="22"/>
        </w:rPr>
        <w:t>-</w:t>
      </w:r>
      <w:r>
        <w:rPr>
          <w:szCs w:val="22"/>
        </w:rPr>
        <w:t xml:space="preserve">meter accuracy for 80 percent of indoor 911 calls.  We further proposed that within three years of the Effective Date, CMRS providers must deliver </w:t>
      </w:r>
      <w:r w:rsidRPr="00177536">
        <w:rPr>
          <w:szCs w:val="22"/>
        </w:rPr>
        <w:t>vertical (z-axis) data within 3 meters accuracy for 67 percent of indoor calls</w:t>
      </w:r>
      <w:r>
        <w:rPr>
          <w:szCs w:val="22"/>
        </w:rPr>
        <w:t>, and 3</w:t>
      </w:r>
      <w:r w:rsidR="007439C3">
        <w:rPr>
          <w:szCs w:val="22"/>
        </w:rPr>
        <w:t>-</w:t>
      </w:r>
      <w:r>
        <w:rPr>
          <w:szCs w:val="22"/>
        </w:rPr>
        <w:t xml:space="preserve">meter accuracy for 80 percent of calls </w:t>
      </w:r>
      <w:r w:rsidRPr="00177536">
        <w:rPr>
          <w:szCs w:val="22"/>
        </w:rPr>
        <w:t>within five years</w:t>
      </w:r>
      <w:r>
        <w:rPr>
          <w:szCs w:val="22"/>
        </w:rPr>
        <w:t>.</w:t>
      </w:r>
      <w:r w:rsidRPr="00177536">
        <w:rPr>
          <w:rStyle w:val="FootnoteReference"/>
          <w:sz w:val="22"/>
          <w:szCs w:val="22"/>
        </w:rPr>
        <w:footnoteReference w:id="41"/>
      </w:r>
      <w:r w:rsidRPr="00177536">
        <w:rPr>
          <w:szCs w:val="22"/>
        </w:rPr>
        <w:t xml:space="preserve">  We proposed </w:t>
      </w:r>
      <w:r>
        <w:rPr>
          <w:szCs w:val="22"/>
        </w:rPr>
        <w:t xml:space="preserve">establishment </w:t>
      </w:r>
      <w:r w:rsidRPr="00177536">
        <w:rPr>
          <w:szCs w:val="22"/>
        </w:rPr>
        <w:t>of an indoor location accuracy test bed for demonstrating compliance with these requirements</w:t>
      </w:r>
      <w:r>
        <w:rPr>
          <w:szCs w:val="22"/>
        </w:rPr>
        <w:t>,</w:t>
      </w:r>
      <w:r w:rsidRPr="00177536">
        <w:rPr>
          <w:szCs w:val="22"/>
        </w:rPr>
        <w:t xml:space="preserve"> and asked about other approaches to validating compliance.</w:t>
      </w:r>
      <w:r w:rsidRPr="00177536">
        <w:rPr>
          <w:rStyle w:val="FootnoteReference"/>
          <w:sz w:val="22"/>
          <w:szCs w:val="22"/>
        </w:rPr>
        <w:footnoteReference w:id="42"/>
      </w:r>
    </w:p>
    <w:p w14:paraId="52B3EE5E" w14:textId="77777777" w:rsidR="00996562" w:rsidRPr="00F20BED" w:rsidRDefault="00996562" w:rsidP="00996562">
      <w:pPr>
        <w:pStyle w:val="ParaNum"/>
        <w:widowControl/>
        <w:rPr>
          <w:spacing w:val="-4"/>
          <w:szCs w:val="22"/>
        </w:rPr>
      </w:pPr>
      <w:r w:rsidRPr="001E6ED8">
        <w:rPr>
          <w:szCs w:val="22"/>
        </w:rPr>
        <w:t>W</w:t>
      </w:r>
      <w:r w:rsidRPr="005505CB">
        <w:rPr>
          <w:szCs w:val="22"/>
        </w:rPr>
        <w:t xml:space="preserve">e also </w:t>
      </w:r>
      <w:r w:rsidRPr="00744597">
        <w:rPr>
          <w:szCs w:val="22"/>
        </w:rPr>
        <w:t>invited comment on alternative approaches that would best weigh the costs and benefits of implementing an indo</w:t>
      </w:r>
      <w:r w:rsidRPr="005C7FCB">
        <w:rPr>
          <w:szCs w:val="22"/>
        </w:rPr>
        <w:t>or location requirement with technical feasibility, timing, and other implementation concerns.</w:t>
      </w:r>
      <w:r w:rsidRPr="00177536">
        <w:rPr>
          <w:rStyle w:val="FootnoteReference"/>
          <w:sz w:val="22"/>
          <w:szCs w:val="22"/>
        </w:rPr>
        <w:footnoteReference w:id="43"/>
      </w:r>
      <w:r w:rsidRPr="001E6ED8">
        <w:rPr>
          <w:szCs w:val="22"/>
        </w:rPr>
        <w:t xml:space="preserve">  In particular, we invited industry and public safety stakeholders to propose consensus-based, voluntary commitments that would address the public safety goals set forth in this proceeding and facilitate closing the regulatory gap between indoor and outdoor location accuracy without the need to adopt regulatory requirements.</w:t>
      </w:r>
      <w:r w:rsidRPr="00177536">
        <w:rPr>
          <w:rStyle w:val="FootnoteReference"/>
          <w:sz w:val="22"/>
          <w:szCs w:val="22"/>
        </w:rPr>
        <w:footnoteReference w:id="44"/>
      </w:r>
      <w:r w:rsidRPr="001E6ED8">
        <w:rPr>
          <w:szCs w:val="22"/>
        </w:rPr>
        <w:t xml:space="preserve">  </w:t>
      </w:r>
    </w:p>
    <w:p w14:paraId="5BCC7FC3" w14:textId="7C398241" w:rsidR="00996562" w:rsidRPr="001E6ED8" w:rsidRDefault="00996562" w:rsidP="00996562">
      <w:pPr>
        <w:pStyle w:val="ParaNum"/>
        <w:widowControl/>
        <w:rPr>
          <w:spacing w:val="-4"/>
          <w:szCs w:val="22"/>
        </w:rPr>
      </w:pPr>
      <w:r>
        <w:rPr>
          <w:spacing w:val="-4"/>
          <w:szCs w:val="22"/>
        </w:rPr>
        <w:t>S</w:t>
      </w:r>
      <w:r w:rsidRPr="001E6ED8">
        <w:rPr>
          <w:spacing w:val="-4"/>
          <w:szCs w:val="22"/>
        </w:rPr>
        <w:t>ubsequent to the close of the comment period, NENA, APCO, and the four national CMRS providers submitted the Roadmap agreement</w:t>
      </w:r>
      <w:r w:rsidRPr="005505CB">
        <w:rPr>
          <w:spacing w:val="-4"/>
          <w:szCs w:val="22"/>
        </w:rPr>
        <w:t>.</w:t>
      </w:r>
      <w:r w:rsidRPr="00177536">
        <w:rPr>
          <w:rStyle w:val="FootnoteReference"/>
          <w:rFonts w:eastAsiaTheme="minorHAnsi"/>
          <w:snapToGrid/>
          <w:kern w:val="0"/>
          <w:sz w:val="22"/>
          <w:szCs w:val="22"/>
        </w:rPr>
        <w:footnoteReference w:id="45"/>
      </w:r>
      <w:r w:rsidRPr="001E6ED8">
        <w:rPr>
          <w:rFonts w:eastAsiaTheme="minorHAnsi"/>
          <w:snapToGrid/>
          <w:color w:val="231F20"/>
          <w:kern w:val="0"/>
          <w:szCs w:val="22"/>
        </w:rPr>
        <w:t xml:space="preserve">  </w:t>
      </w:r>
      <w:r w:rsidRPr="00177536">
        <w:t xml:space="preserve">The Roadmap </w:t>
      </w:r>
      <w:r>
        <w:t xml:space="preserve">provides </w:t>
      </w:r>
      <w:r w:rsidRPr="00177536">
        <w:t>that</w:t>
      </w:r>
      <w:r>
        <w:t>,</w:t>
      </w:r>
      <w:r w:rsidRPr="001E6ED8">
        <w:rPr>
          <w:spacing w:val="-4"/>
          <w:szCs w:val="22"/>
        </w:rPr>
        <w:t xml:space="preserve"> w</w:t>
      </w:r>
      <w:r w:rsidRPr="00177536">
        <w:t xml:space="preserve">ithin </w:t>
      </w:r>
      <w:r>
        <w:t>one</w:t>
      </w:r>
      <w:r w:rsidRPr="00177536">
        <w:t xml:space="preserve"> year, </w:t>
      </w:r>
      <w:r>
        <w:t xml:space="preserve">the signatory </w:t>
      </w:r>
      <w:r w:rsidRPr="00177536">
        <w:t>CMRS providers will establish a test bed for 911 location technologies and</w:t>
      </w:r>
      <w:r>
        <w:t>,</w:t>
      </w:r>
      <w:r w:rsidRPr="00177536">
        <w:t xml:space="preserve"> </w:t>
      </w:r>
      <w:r w:rsidRPr="001E6ED8">
        <w:rPr>
          <w:spacing w:val="-4"/>
          <w:szCs w:val="22"/>
        </w:rPr>
        <w:t>w</w:t>
      </w:r>
      <w:r w:rsidRPr="00177536">
        <w:t xml:space="preserve">ithin </w:t>
      </w:r>
      <w:r>
        <w:t>three</w:t>
      </w:r>
      <w:r w:rsidRPr="00177536">
        <w:t xml:space="preserve"> years, they will establish a national location database for provision of dispatchable location information from in-building beacons and hotspots (</w:t>
      </w:r>
      <w:r w:rsidRPr="001E6ED8">
        <w:rPr>
          <w:i/>
        </w:rPr>
        <w:t>e.g.</w:t>
      </w:r>
      <w:r w:rsidRPr="00177536">
        <w:t>, Wi-Fi</w:t>
      </w:r>
      <w:r w:rsidR="00271BFD">
        <w:t xml:space="preserve"> and </w:t>
      </w:r>
      <w:r w:rsidRPr="00177536">
        <w:t>Bluetooth).</w:t>
      </w:r>
      <w:r>
        <w:rPr>
          <w:rStyle w:val="FootnoteReference"/>
        </w:rPr>
        <w:footnoteReference w:id="46"/>
      </w:r>
      <w:r>
        <w:t xml:space="preserve">  </w:t>
      </w:r>
      <w:r w:rsidRPr="001E6ED8">
        <w:rPr>
          <w:spacing w:val="-4"/>
          <w:szCs w:val="22"/>
        </w:rPr>
        <w:t>The Roadmap also specifies that</w:t>
      </w:r>
      <w:r>
        <w:rPr>
          <w:spacing w:val="-4"/>
          <w:szCs w:val="22"/>
        </w:rPr>
        <w:t>,</w:t>
      </w:r>
      <w:r w:rsidRPr="001E6ED8">
        <w:rPr>
          <w:spacing w:val="-4"/>
          <w:szCs w:val="22"/>
        </w:rPr>
        <w:t xml:space="preserve"> b</w:t>
      </w:r>
      <w:r w:rsidRPr="00177536">
        <w:t xml:space="preserve">eginning at Year 2 </w:t>
      </w:r>
      <w:r>
        <w:t xml:space="preserve">of Roadmap implementation </w:t>
      </w:r>
      <w:r w:rsidRPr="00177536">
        <w:t xml:space="preserve">and extending through Year 8, </w:t>
      </w:r>
      <w:r>
        <w:t>the CMRS providers</w:t>
      </w:r>
      <w:r w:rsidRPr="00177536">
        <w:t xml:space="preserve"> will introduce VoLTE</w:t>
      </w:r>
      <w:r>
        <w:t>-capable</w:t>
      </w:r>
      <w:r w:rsidRPr="00177536">
        <w:t xml:space="preserve"> handsets that </w:t>
      </w:r>
      <w:r w:rsidR="00844C6E">
        <w:t>(</w:t>
      </w:r>
      <w:r w:rsidRPr="00177536">
        <w:t>1) support satellite-based location using multiple positioning systems (</w:t>
      </w:r>
      <w:r w:rsidRPr="001E6ED8">
        <w:rPr>
          <w:i/>
        </w:rPr>
        <w:t>e.g.</w:t>
      </w:r>
      <w:r w:rsidRPr="00177536">
        <w:t>, GLONASS in addition to GPS), (2) can deliver Wi-Fi</w:t>
      </w:r>
      <w:r w:rsidR="00271BFD">
        <w:t xml:space="preserve"> and </w:t>
      </w:r>
      <w:r w:rsidRPr="00177536">
        <w:t xml:space="preserve">Bluetooth beacon information, and </w:t>
      </w:r>
      <w:r w:rsidR="00844C6E">
        <w:t>(</w:t>
      </w:r>
      <w:r w:rsidRPr="00177536">
        <w:t>3) can deliver z-axis information.</w:t>
      </w:r>
      <w:r>
        <w:rPr>
          <w:rStyle w:val="FootnoteReference"/>
        </w:rPr>
        <w:footnoteReference w:id="47"/>
      </w:r>
      <w:r w:rsidRPr="00177536">
        <w:t xml:space="preserve">  </w:t>
      </w:r>
    </w:p>
    <w:p w14:paraId="4F4E4018" w14:textId="44806E8D" w:rsidR="00EB36D5" w:rsidRPr="00177536" w:rsidRDefault="00370ED8" w:rsidP="008D2650">
      <w:pPr>
        <w:pStyle w:val="ParaNum"/>
        <w:widowControl/>
        <w:rPr>
          <w:spacing w:val="-4"/>
          <w:szCs w:val="22"/>
        </w:rPr>
      </w:pPr>
      <w:r>
        <w:t>As originally proposed, t</w:t>
      </w:r>
      <w:r w:rsidR="00EB36D5" w:rsidRPr="00177536">
        <w:t>he Roadmap contain</w:t>
      </w:r>
      <w:r>
        <w:t>ed</w:t>
      </w:r>
      <w:r w:rsidR="00EB36D5" w:rsidRPr="00177536">
        <w:t xml:space="preserve"> the following </w:t>
      </w:r>
      <w:r w:rsidR="001F5E71">
        <w:t xml:space="preserve">horizontal </w:t>
      </w:r>
      <w:r>
        <w:t xml:space="preserve">location accuracy </w:t>
      </w:r>
      <w:r w:rsidR="00EB36D5" w:rsidRPr="00177536">
        <w:t xml:space="preserve">performance </w:t>
      </w:r>
      <w:r w:rsidR="001F5E71">
        <w:t>benchmarks</w:t>
      </w:r>
      <w:r w:rsidR="00EB36D5" w:rsidRPr="00177536">
        <w:t>:</w:t>
      </w:r>
    </w:p>
    <w:p w14:paraId="07FDB3E9" w14:textId="2C73D2F8" w:rsidR="00EB36D5" w:rsidRPr="00177536" w:rsidRDefault="00EB36D5" w:rsidP="00DD3AAE">
      <w:pPr>
        <w:pStyle w:val="ParaNum"/>
        <w:numPr>
          <w:ilvl w:val="1"/>
          <w:numId w:val="4"/>
        </w:numPr>
        <w:ind w:left="900"/>
      </w:pPr>
      <w:r w:rsidRPr="00177536">
        <w:t xml:space="preserve">Within </w:t>
      </w:r>
      <w:r w:rsidR="00FA73ED">
        <w:t>two</w:t>
      </w:r>
      <w:r w:rsidRPr="00177536">
        <w:t xml:space="preserve"> years</w:t>
      </w:r>
      <w:r w:rsidR="00FA73ED">
        <w:t xml:space="preserve"> of the Roadmap’s execution</w:t>
      </w:r>
      <w:r w:rsidRPr="00177536">
        <w:t xml:space="preserve">, </w:t>
      </w:r>
      <w:r>
        <w:t>CMRS providers</w:t>
      </w:r>
      <w:r w:rsidRPr="00177536">
        <w:t xml:space="preserve"> will use “heightened location accuracy technologies” to locate 40 percent of all 911 calls (indoor </w:t>
      </w:r>
      <w:r w:rsidR="00844C6E">
        <w:t>and</w:t>
      </w:r>
      <w:r w:rsidR="00844C6E" w:rsidRPr="00177536">
        <w:t xml:space="preserve"> </w:t>
      </w:r>
      <w:r w:rsidRPr="00177536">
        <w:t>outdoor).  “Heightened location accuracy technologies” consist of: (1) satellite-based (A-GNSS) location, (2) dispatchable location, or (3) “any other technology or hybrid of technologies capable of location accuracy performance of 50</w:t>
      </w:r>
      <w:r w:rsidR="00FA73ED">
        <w:t xml:space="preserve"> </w:t>
      </w:r>
      <w:r w:rsidRPr="00177536">
        <w:t>m</w:t>
      </w:r>
      <w:r w:rsidR="00FA73ED">
        <w:t>[</w:t>
      </w:r>
      <w:r w:rsidR="00381D00">
        <w:t>enters</w:t>
      </w:r>
      <w:r w:rsidR="00FA73ED">
        <w:t>]</w:t>
      </w:r>
      <w:r w:rsidR="00CC1CDC">
        <w:t>.</w:t>
      </w:r>
      <w:r w:rsidRPr="00177536">
        <w:t xml:space="preserve">”  </w:t>
      </w:r>
    </w:p>
    <w:p w14:paraId="2AEBA74B" w14:textId="77777777" w:rsidR="00EB36D5" w:rsidRPr="00177536" w:rsidRDefault="00EB36D5" w:rsidP="00DD3AAE">
      <w:pPr>
        <w:pStyle w:val="ParaNum"/>
        <w:numPr>
          <w:ilvl w:val="1"/>
          <w:numId w:val="4"/>
        </w:numPr>
        <w:ind w:left="900"/>
      </w:pPr>
      <w:r w:rsidRPr="00177536">
        <w:t xml:space="preserve">Within </w:t>
      </w:r>
      <w:r w:rsidR="00FA73ED">
        <w:t>three</w:t>
      </w:r>
      <w:r w:rsidRPr="00177536">
        <w:t xml:space="preserve"> years, </w:t>
      </w:r>
      <w:r>
        <w:t>CMRS providers</w:t>
      </w:r>
      <w:r w:rsidRPr="00177536">
        <w:t xml:space="preserve"> will use the above “heightened location accuracy technologies” to provide location for 50 percent of all 911 calls (indoor </w:t>
      </w:r>
      <w:r w:rsidR="007648F1">
        <w:t>and</w:t>
      </w:r>
      <w:r w:rsidRPr="00177536">
        <w:t xml:space="preserve"> outdoor). </w:t>
      </w:r>
    </w:p>
    <w:p w14:paraId="2D7DC42F" w14:textId="77777777" w:rsidR="00EB36D5" w:rsidRPr="00177536" w:rsidRDefault="00EB36D5" w:rsidP="00DD3AAE">
      <w:pPr>
        <w:pStyle w:val="ParaNum"/>
        <w:numPr>
          <w:ilvl w:val="1"/>
          <w:numId w:val="4"/>
        </w:numPr>
        <w:ind w:left="900"/>
      </w:pPr>
      <w:r w:rsidRPr="00177536">
        <w:t xml:space="preserve">Within </w:t>
      </w:r>
      <w:r w:rsidR="00FA73ED">
        <w:t>five</w:t>
      </w:r>
      <w:r w:rsidRPr="00177536">
        <w:t xml:space="preserve"> years, </w:t>
      </w:r>
      <w:r>
        <w:t>CMRS providers</w:t>
      </w:r>
      <w:r w:rsidRPr="00177536">
        <w:t xml:space="preserve"> will use the above “heightened location accuracy technologies” to provide location for 75 percent of all VoLTE 911 calls (indoor </w:t>
      </w:r>
      <w:r w:rsidR="007648F1">
        <w:t>and</w:t>
      </w:r>
      <w:r w:rsidR="007648F1" w:rsidRPr="00177536">
        <w:t xml:space="preserve"> </w:t>
      </w:r>
      <w:r w:rsidRPr="00177536">
        <w:t xml:space="preserve">outdoor). </w:t>
      </w:r>
    </w:p>
    <w:p w14:paraId="4CDC140B" w14:textId="77777777" w:rsidR="00EB36D5" w:rsidRPr="00177536" w:rsidRDefault="00EB36D5" w:rsidP="00DD3AAE">
      <w:pPr>
        <w:pStyle w:val="ParaNum"/>
        <w:numPr>
          <w:ilvl w:val="1"/>
          <w:numId w:val="4"/>
        </w:numPr>
        <w:ind w:left="900"/>
      </w:pPr>
      <w:r w:rsidRPr="00177536">
        <w:t xml:space="preserve">Within </w:t>
      </w:r>
      <w:r w:rsidR="00FA73ED">
        <w:t>six</w:t>
      </w:r>
      <w:r w:rsidRPr="00177536">
        <w:t xml:space="preserve"> years, </w:t>
      </w:r>
      <w:r>
        <w:t>CMRS providers</w:t>
      </w:r>
      <w:r w:rsidRPr="00177536">
        <w:t xml:space="preserve"> will use the above “heightened location accuracy technologies” to provide location for 80 percent of all VoLTE 911 calls (indoor </w:t>
      </w:r>
      <w:r w:rsidR="007648F1">
        <w:t>and</w:t>
      </w:r>
      <w:r w:rsidR="007648F1" w:rsidRPr="00177536">
        <w:t xml:space="preserve"> </w:t>
      </w:r>
      <w:r w:rsidRPr="00177536">
        <w:t>outdoor).</w:t>
      </w:r>
      <w:r>
        <w:rPr>
          <w:rStyle w:val="FootnoteReference"/>
        </w:rPr>
        <w:footnoteReference w:id="48"/>
      </w:r>
      <w:r w:rsidRPr="00177536">
        <w:t xml:space="preserve"> </w:t>
      </w:r>
    </w:p>
    <w:p w14:paraId="31F9C316" w14:textId="7FE45A33" w:rsidR="00BD5C96" w:rsidRDefault="00BD5C96" w:rsidP="00BD5C96">
      <w:pPr>
        <w:pStyle w:val="ParaNum"/>
        <w:widowControl/>
        <w:rPr>
          <w:szCs w:val="22"/>
        </w:rPr>
      </w:pPr>
      <w:r>
        <w:rPr>
          <w:szCs w:val="22"/>
        </w:rPr>
        <w:t xml:space="preserve">In recent </w:t>
      </w:r>
      <w:r w:rsidRPr="00BD5C96">
        <w:rPr>
          <w:i/>
          <w:szCs w:val="22"/>
        </w:rPr>
        <w:t>ex parte</w:t>
      </w:r>
      <w:r>
        <w:rPr>
          <w:szCs w:val="22"/>
        </w:rPr>
        <w:t xml:space="preserve"> filings, the nationwide CMRS providers have modified the five-year and six-year Roadmap benchmarks </w:t>
      </w:r>
      <w:r w:rsidR="009130B7">
        <w:rPr>
          <w:szCs w:val="22"/>
        </w:rPr>
        <w:t xml:space="preserve">so that they will </w:t>
      </w:r>
      <w:r>
        <w:rPr>
          <w:szCs w:val="22"/>
        </w:rPr>
        <w:t xml:space="preserve">apply to all wireless 911 calls, not just VoLTE calls.  To adjust for the inclusion of non-VoLTE calls, </w:t>
      </w:r>
      <w:r w:rsidR="009130B7">
        <w:rPr>
          <w:szCs w:val="22"/>
        </w:rPr>
        <w:t xml:space="preserve">the nationwide CMRS providers </w:t>
      </w:r>
      <w:r>
        <w:rPr>
          <w:szCs w:val="22"/>
        </w:rPr>
        <w:t xml:space="preserve">propose to lower the five-year benchmark from 75 percent to 60 percent.  No </w:t>
      </w:r>
      <w:r w:rsidR="009130B7">
        <w:rPr>
          <w:szCs w:val="22"/>
        </w:rPr>
        <w:t xml:space="preserve">adjustment </w:t>
      </w:r>
      <w:r>
        <w:rPr>
          <w:szCs w:val="22"/>
        </w:rPr>
        <w:t xml:space="preserve">is proposed to </w:t>
      </w:r>
      <w:r w:rsidR="009130B7">
        <w:rPr>
          <w:szCs w:val="22"/>
        </w:rPr>
        <w:t xml:space="preserve">the six-year deadline or </w:t>
      </w:r>
      <w:r>
        <w:rPr>
          <w:szCs w:val="22"/>
        </w:rPr>
        <w:t>the 80 percent benchmark</w:t>
      </w:r>
      <w:r w:rsidR="009130B7">
        <w:rPr>
          <w:szCs w:val="22"/>
        </w:rPr>
        <w:t xml:space="preserve"> for all calls</w:t>
      </w:r>
      <w:r w:rsidR="00C75559">
        <w:rPr>
          <w:szCs w:val="22"/>
        </w:rPr>
        <w:t>, however.</w:t>
      </w:r>
      <w:r w:rsidR="00C75559">
        <w:rPr>
          <w:rStyle w:val="FootnoteReference"/>
          <w:szCs w:val="22"/>
        </w:rPr>
        <w:footnoteReference w:id="49"/>
      </w:r>
    </w:p>
    <w:p w14:paraId="55BDFBB5" w14:textId="4546F412" w:rsidR="00646616" w:rsidRPr="00D062B8" w:rsidRDefault="00646616" w:rsidP="004C29B5">
      <w:pPr>
        <w:pStyle w:val="ParaNum"/>
      </w:pPr>
      <w:r>
        <w:t>The Roadmap commits CMRS providers to use live 911 call data to demonstrate compliance with these metrics.</w:t>
      </w:r>
      <w:r>
        <w:rPr>
          <w:rStyle w:val="FootnoteReference"/>
          <w:szCs w:val="22"/>
        </w:rPr>
        <w:footnoteReference w:id="50"/>
      </w:r>
      <w:r>
        <w:t>  The data will be collected monthly in the six cities that ATIS ESIF has recommended for indoor location technology testing (San Francisco, Chicago, Atlanta, Denver/Front Range, Philadelphia, and Manhattan).</w:t>
      </w:r>
      <w:r>
        <w:rPr>
          <w:rStyle w:val="FootnoteReference"/>
          <w:szCs w:val="22"/>
        </w:rPr>
        <w:footnoteReference w:id="51"/>
      </w:r>
      <w:r>
        <w:t>  Providers will provide reports to APCO and NENA on a quarterly basis, subject to appropriate confidentiality protections, with the first report due 18 months after the Effective Date.  All CMRS providers, along with APCO and NENA, will use the data from these reports to assess the trend in positioning performance over time.</w:t>
      </w:r>
      <w:r>
        <w:rPr>
          <w:rStyle w:val="FootnoteReference"/>
        </w:rPr>
        <w:footnoteReference w:id="52"/>
      </w:r>
    </w:p>
    <w:p w14:paraId="746E2AFD" w14:textId="77777777" w:rsidR="00EB36D5" w:rsidRPr="006E092E" w:rsidRDefault="00EB36D5" w:rsidP="002601FC">
      <w:pPr>
        <w:pStyle w:val="ParaNum"/>
        <w:widowControl/>
        <w:rPr>
          <w:spacing w:val="-4"/>
          <w:szCs w:val="22"/>
        </w:rPr>
      </w:pPr>
      <w:r w:rsidRPr="00177536">
        <w:rPr>
          <w:szCs w:val="22"/>
        </w:rPr>
        <w:t xml:space="preserve">Rather than propose a </w:t>
      </w:r>
      <w:r w:rsidR="00D77C90">
        <w:rPr>
          <w:szCs w:val="22"/>
        </w:rPr>
        <w:t xml:space="preserve">specific </w:t>
      </w:r>
      <w:r w:rsidRPr="00177536">
        <w:rPr>
          <w:szCs w:val="22"/>
        </w:rPr>
        <w:t xml:space="preserve">z-axis metric, the Roadmap focuses on dispatchable location solutions to identify floor level.  After 36 months, the parties will determine if these efforts are “on track,” and only if they are “off track” are the </w:t>
      </w:r>
      <w:r>
        <w:rPr>
          <w:szCs w:val="22"/>
        </w:rPr>
        <w:t>CMRS providers</w:t>
      </w:r>
      <w:r w:rsidRPr="00177536">
        <w:rPr>
          <w:szCs w:val="22"/>
        </w:rPr>
        <w:t xml:space="preserve"> obligated to pursue development of a standards-based z-axis solution (</w:t>
      </w:r>
      <w:r w:rsidRPr="00177536">
        <w:rPr>
          <w:i/>
          <w:szCs w:val="22"/>
        </w:rPr>
        <w:t>e.g.</w:t>
      </w:r>
      <w:r w:rsidRPr="00177536">
        <w:rPr>
          <w:szCs w:val="22"/>
        </w:rPr>
        <w:t>, use of barometric sensors in handsets).</w:t>
      </w:r>
      <w:r w:rsidRPr="00177536">
        <w:rPr>
          <w:rStyle w:val="FootnoteReference"/>
          <w:szCs w:val="22"/>
        </w:rPr>
        <w:footnoteReference w:id="53"/>
      </w:r>
      <w:r w:rsidR="001F5E71">
        <w:rPr>
          <w:szCs w:val="22"/>
        </w:rPr>
        <w:t xml:space="preserve">  In recent </w:t>
      </w:r>
      <w:r w:rsidR="001F5E71" w:rsidRPr="006F6D0B">
        <w:rPr>
          <w:i/>
          <w:szCs w:val="22"/>
        </w:rPr>
        <w:t>ex parte</w:t>
      </w:r>
      <w:r w:rsidR="001F5E71">
        <w:rPr>
          <w:szCs w:val="22"/>
        </w:rPr>
        <w:t xml:space="preserve"> filings, however, the nationwide CMRS providers have </w:t>
      </w:r>
      <w:r w:rsidR="006F6D0B">
        <w:rPr>
          <w:szCs w:val="22"/>
        </w:rPr>
        <w:t xml:space="preserve">committed to begin delivering uncompensated barometric </w:t>
      </w:r>
      <w:r w:rsidR="006F6D0B" w:rsidRPr="006E092E">
        <w:rPr>
          <w:szCs w:val="22"/>
        </w:rPr>
        <w:t xml:space="preserve">data from barometer-equipped handsets within three years, and have </w:t>
      </w:r>
      <w:r w:rsidR="001F5E71" w:rsidRPr="006E092E">
        <w:rPr>
          <w:szCs w:val="22"/>
        </w:rPr>
        <w:t xml:space="preserve">offered additional commitments with respect to </w:t>
      </w:r>
      <w:r w:rsidR="00FB776D" w:rsidRPr="006E092E">
        <w:rPr>
          <w:szCs w:val="22"/>
        </w:rPr>
        <w:t xml:space="preserve">deployment of </w:t>
      </w:r>
      <w:r w:rsidR="001F5E71" w:rsidRPr="006E092E">
        <w:rPr>
          <w:szCs w:val="22"/>
        </w:rPr>
        <w:t xml:space="preserve">both dispatchable location </w:t>
      </w:r>
      <w:r w:rsidR="00FB776D" w:rsidRPr="006E092E">
        <w:rPr>
          <w:szCs w:val="22"/>
        </w:rPr>
        <w:t>and z-axis solutions.</w:t>
      </w:r>
      <w:r w:rsidR="00FB776D" w:rsidRPr="006E092E">
        <w:rPr>
          <w:rStyle w:val="FootnoteReference"/>
          <w:szCs w:val="22"/>
        </w:rPr>
        <w:footnoteReference w:id="54"/>
      </w:r>
      <w:r w:rsidR="00FB776D" w:rsidRPr="006E092E">
        <w:rPr>
          <w:szCs w:val="22"/>
        </w:rPr>
        <w:t xml:space="preserve">   </w:t>
      </w:r>
    </w:p>
    <w:p w14:paraId="41741CC1" w14:textId="6B523BE3" w:rsidR="001F5E71" w:rsidRPr="006E092E" w:rsidRDefault="001F5E71" w:rsidP="001F5E71">
      <w:pPr>
        <w:pStyle w:val="ParaNum"/>
        <w:widowControl/>
        <w:rPr>
          <w:szCs w:val="22"/>
        </w:rPr>
      </w:pPr>
      <w:r w:rsidRPr="006E092E">
        <w:rPr>
          <w:szCs w:val="22"/>
        </w:rPr>
        <w:t>The Parallel Path incorporates the same two-</w:t>
      </w:r>
      <w:r w:rsidR="006937CB" w:rsidRPr="006E092E">
        <w:rPr>
          <w:szCs w:val="22"/>
        </w:rPr>
        <w:t xml:space="preserve"> and </w:t>
      </w:r>
      <w:r w:rsidRPr="006E092E">
        <w:rPr>
          <w:szCs w:val="22"/>
        </w:rPr>
        <w:t xml:space="preserve">three-year </w:t>
      </w:r>
      <w:r w:rsidR="006937CB" w:rsidRPr="006E092E">
        <w:rPr>
          <w:szCs w:val="22"/>
        </w:rPr>
        <w:t xml:space="preserve">horizontal accuracy </w:t>
      </w:r>
      <w:r w:rsidRPr="006E092E">
        <w:rPr>
          <w:szCs w:val="22"/>
        </w:rPr>
        <w:t xml:space="preserve">benchmarks as the Roadmap, </w:t>
      </w:r>
      <w:r w:rsidR="006F6D0B" w:rsidRPr="006E092E">
        <w:rPr>
          <w:szCs w:val="22"/>
        </w:rPr>
        <w:t xml:space="preserve">and proposes slightly different </w:t>
      </w:r>
      <w:r w:rsidR="006937CB" w:rsidRPr="006E092E">
        <w:rPr>
          <w:szCs w:val="22"/>
        </w:rPr>
        <w:t xml:space="preserve">five- and six-year </w:t>
      </w:r>
      <w:r w:rsidR="006F6D0B" w:rsidRPr="006E092E">
        <w:rPr>
          <w:szCs w:val="22"/>
        </w:rPr>
        <w:t xml:space="preserve">benchmarks.  </w:t>
      </w:r>
      <w:r w:rsidR="0079409D" w:rsidRPr="006E092E">
        <w:rPr>
          <w:szCs w:val="22"/>
        </w:rPr>
        <w:t>Under the Parallel Path, non-nationwide CMRS providers would use heightened accuracy technologies in 70 percent of all wireless 911 calls (VoLTE and non-VoLTE) within five years or within six months of having a commercially operating VoLTE platform in their network, whichever is later.  Similarly, non-</w:t>
      </w:r>
      <w:r w:rsidR="00A9584F" w:rsidRPr="006E092E">
        <w:rPr>
          <w:szCs w:val="22"/>
        </w:rPr>
        <w:t xml:space="preserve">nationwide CMRS providers would achieve </w:t>
      </w:r>
      <w:r w:rsidR="0079409D" w:rsidRPr="006E092E">
        <w:rPr>
          <w:szCs w:val="22"/>
        </w:rPr>
        <w:t xml:space="preserve">heightened accuracy </w:t>
      </w:r>
      <w:r w:rsidR="00A9584F" w:rsidRPr="006E092E">
        <w:rPr>
          <w:szCs w:val="22"/>
        </w:rPr>
        <w:t>for 8</w:t>
      </w:r>
      <w:r w:rsidR="0079409D" w:rsidRPr="006E092E">
        <w:rPr>
          <w:szCs w:val="22"/>
        </w:rPr>
        <w:t xml:space="preserve">0 percent of all wireless 911 calls within </w:t>
      </w:r>
      <w:r w:rsidR="00A9584F" w:rsidRPr="006E092E">
        <w:rPr>
          <w:szCs w:val="22"/>
        </w:rPr>
        <w:t xml:space="preserve">six </w:t>
      </w:r>
      <w:r w:rsidR="0079409D" w:rsidRPr="006E092E">
        <w:rPr>
          <w:szCs w:val="22"/>
        </w:rPr>
        <w:t xml:space="preserve">years or within </w:t>
      </w:r>
      <w:r w:rsidR="00A9584F" w:rsidRPr="006E092E">
        <w:rPr>
          <w:szCs w:val="22"/>
        </w:rPr>
        <w:t xml:space="preserve">one year </w:t>
      </w:r>
      <w:r w:rsidR="0079409D" w:rsidRPr="006E092E">
        <w:rPr>
          <w:szCs w:val="22"/>
        </w:rPr>
        <w:t>of having a commercially operating VoLTE platform in their network, whichever is later</w:t>
      </w:r>
      <w:r w:rsidR="00A9584F" w:rsidRPr="006E092E">
        <w:rPr>
          <w:szCs w:val="22"/>
        </w:rPr>
        <w:t>.</w:t>
      </w:r>
      <w:r w:rsidR="0079409D" w:rsidRPr="006E092E">
        <w:rPr>
          <w:szCs w:val="22"/>
        </w:rPr>
        <w:t xml:space="preserve"> </w:t>
      </w:r>
    </w:p>
    <w:p w14:paraId="1E7FE0DF" w14:textId="2840595A" w:rsidR="001F5E71" w:rsidRPr="006E092E" w:rsidRDefault="00646616" w:rsidP="006E092E">
      <w:pPr>
        <w:pStyle w:val="ParaNum"/>
        <w:widowControl/>
        <w:rPr>
          <w:spacing w:val="-4"/>
          <w:szCs w:val="22"/>
        </w:rPr>
      </w:pPr>
      <w:r w:rsidRPr="006E092E">
        <w:rPr>
          <w:spacing w:val="-4"/>
          <w:szCs w:val="22"/>
        </w:rPr>
        <w:t xml:space="preserve">Regarding data reporting, the Parallel Path commits non-nationwide </w:t>
      </w:r>
      <w:r w:rsidR="005C20D1">
        <w:rPr>
          <w:spacing w:val="-4"/>
          <w:szCs w:val="22"/>
        </w:rPr>
        <w:t>CMRS provider</w:t>
      </w:r>
      <w:r w:rsidRPr="006E092E">
        <w:rPr>
          <w:spacing w:val="-4"/>
          <w:szCs w:val="22"/>
        </w:rPr>
        <w:t>s to collect data for live wireless 9</w:t>
      </w:r>
      <w:r w:rsidR="00FD36D2">
        <w:rPr>
          <w:spacing w:val="-4"/>
          <w:szCs w:val="22"/>
        </w:rPr>
        <w:t>1</w:t>
      </w:r>
      <w:r w:rsidRPr="006E092E">
        <w:rPr>
          <w:spacing w:val="-4"/>
          <w:szCs w:val="22"/>
        </w:rPr>
        <w:t>1 calls that would show the  percentage of time that each “positioning source method”</w:t>
      </w:r>
      <w:r w:rsidR="00642CD1" w:rsidRPr="006E092E">
        <w:rPr>
          <w:spacing w:val="-4"/>
          <w:szCs w:val="22"/>
        </w:rPr>
        <w:t xml:space="preserve"> (</w:t>
      </w:r>
      <w:r w:rsidR="00642CD1" w:rsidRPr="006E092E">
        <w:rPr>
          <w:i/>
          <w:spacing w:val="-4"/>
          <w:szCs w:val="22"/>
        </w:rPr>
        <w:t xml:space="preserve">e.g., </w:t>
      </w:r>
      <w:r w:rsidRPr="006E092E">
        <w:rPr>
          <w:spacing w:val="-4"/>
          <w:szCs w:val="22"/>
        </w:rPr>
        <w:t xml:space="preserve"> </w:t>
      </w:r>
      <w:r w:rsidR="00642CD1" w:rsidRPr="006E092E">
        <w:rPr>
          <w:spacing w:val="-4"/>
          <w:szCs w:val="22"/>
        </w:rPr>
        <w:t>dispatchable location, A-GPS, A-GNSS, OTDOA, AFLT, RTT, Cell ID</w:t>
      </w:r>
      <w:r w:rsidR="0067491A">
        <w:rPr>
          <w:spacing w:val="-4"/>
          <w:szCs w:val="22"/>
        </w:rPr>
        <w:t xml:space="preserve">, which are discussed in greater detail in Section </w:t>
      </w:r>
      <w:r w:rsidR="00EF408A">
        <w:rPr>
          <w:spacing w:val="-4"/>
          <w:szCs w:val="22"/>
        </w:rPr>
        <w:fldChar w:fldCharType="begin"/>
      </w:r>
      <w:r w:rsidR="00EF408A">
        <w:rPr>
          <w:spacing w:val="-4"/>
          <w:szCs w:val="22"/>
        </w:rPr>
        <w:instrText xml:space="preserve"> REF _Ref410226854 \w \h </w:instrText>
      </w:r>
      <w:r w:rsidR="00EF408A">
        <w:rPr>
          <w:spacing w:val="-4"/>
          <w:szCs w:val="22"/>
        </w:rPr>
      </w:r>
      <w:r w:rsidR="00EF408A">
        <w:rPr>
          <w:spacing w:val="-4"/>
          <w:szCs w:val="22"/>
        </w:rPr>
        <w:fldChar w:fldCharType="separate"/>
      </w:r>
      <w:r w:rsidR="005E367B">
        <w:rPr>
          <w:spacing w:val="-4"/>
          <w:szCs w:val="22"/>
        </w:rPr>
        <w:t>III.B.3.b(i)</w:t>
      </w:r>
      <w:r w:rsidR="00EF408A">
        <w:rPr>
          <w:spacing w:val="-4"/>
          <w:szCs w:val="22"/>
        </w:rPr>
        <w:fldChar w:fldCharType="end"/>
      </w:r>
      <w:r w:rsidR="00793868">
        <w:rPr>
          <w:spacing w:val="-4"/>
          <w:szCs w:val="22"/>
        </w:rPr>
        <w:t xml:space="preserve"> below</w:t>
      </w:r>
      <w:r w:rsidR="00642CD1" w:rsidRPr="006E092E">
        <w:rPr>
          <w:spacing w:val="-4"/>
          <w:szCs w:val="22"/>
        </w:rPr>
        <w:t xml:space="preserve">) </w:t>
      </w:r>
      <w:r w:rsidRPr="006E092E">
        <w:rPr>
          <w:spacing w:val="-4"/>
          <w:szCs w:val="22"/>
        </w:rPr>
        <w:t>is used</w:t>
      </w:r>
      <w:r w:rsidR="00642CD1" w:rsidRPr="006E092E">
        <w:rPr>
          <w:spacing w:val="-4"/>
          <w:szCs w:val="22"/>
        </w:rPr>
        <w:t xml:space="preserve"> to deliver a wireless 911 call.  Small </w:t>
      </w:r>
      <w:r w:rsidR="005C20D1">
        <w:rPr>
          <w:spacing w:val="-4"/>
          <w:szCs w:val="22"/>
        </w:rPr>
        <w:t>CMRS provider</w:t>
      </w:r>
      <w:r w:rsidRPr="006E092E">
        <w:rPr>
          <w:spacing w:val="-4"/>
          <w:szCs w:val="22"/>
        </w:rPr>
        <w:t xml:space="preserve">s that operate in one </w:t>
      </w:r>
      <w:r w:rsidR="00642CD1" w:rsidRPr="006E092E">
        <w:rPr>
          <w:spacing w:val="-4"/>
          <w:szCs w:val="22"/>
        </w:rPr>
        <w:t xml:space="preserve">of the six ATIS </w:t>
      </w:r>
      <w:r w:rsidRPr="006E092E">
        <w:rPr>
          <w:spacing w:val="-4"/>
          <w:szCs w:val="22"/>
        </w:rPr>
        <w:t>ESIF</w:t>
      </w:r>
      <w:r w:rsidR="00642CD1" w:rsidRPr="006E092E">
        <w:rPr>
          <w:spacing w:val="-4"/>
          <w:szCs w:val="22"/>
        </w:rPr>
        <w:t xml:space="preserve"> </w:t>
      </w:r>
      <w:r w:rsidR="00054487">
        <w:rPr>
          <w:spacing w:val="-4"/>
          <w:szCs w:val="22"/>
        </w:rPr>
        <w:t xml:space="preserve">regions </w:t>
      </w:r>
      <w:r w:rsidR="00642CD1" w:rsidRPr="006E092E">
        <w:rPr>
          <w:spacing w:val="-4"/>
          <w:szCs w:val="22"/>
        </w:rPr>
        <w:t>will collect and report data for that region.</w:t>
      </w:r>
      <w:r w:rsidR="00642CD1" w:rsidRPr="006E092E">
        <w:rPr>
          <w:rStyle w:val="FootnoteReference"/>
          <w:spacing w:val="-4"/>
          <w:szCs w:val="22"/>
        </w:rPr>
        <w:footnoteReference w:id="55"/>
      </w:r>
      <w:r w:rsidR="00446403" w:rsidRPr="006E092E">
        <w:rPr>
          <w:spacing w:val="-4"/>
          <w:szCs w:val="22"/>
        </w:rPr>
        <w:t xml:space="preserve">  </w:t>
      </w:r>
    </w:p>
    <w:p w14:paraId="2AE28CCD" w14:textId="48007F89" w:rsidR="006E092E" w:rsidRPr="006E092E" w:rsidRDefault="006E092E" w:rsidP="006E092E">
      <w:pPr>
        <w:pStyle w:val="ParaNum"/>
      </w:pPr>
      <w:r w:rsidRPr="006E092E">
        <w:t xml:space="preserve">For z-axis location information, the Parallel Path </w:t>
      </w:r>
      <w:r w:rsidR="00501405">
        <w:t>provides</w:t>
      </w:r>
      <w:r w:rsidR="00501405" w:rsidRPr="006E092E">
        <w:t xml:space="preserve"> </w:t>
      </w:r>
      <w:r w:rsidRPr="006E092E">
        <w:t xml:space="preserve">that </w:t>
      </w:r>
      <w:r>
        <w:t xml:space="preserve">for small </w:t>
      </w:r>
      <w:r w:rsidR="005C20D1">
        <w:t>CMRS provider</w:t>
      </w:r>
      <w:r w:rsidRPr="006E092E">
        <w:t>s whose service footprints include any county or county equivalent with a population density of 20.0 people per square mile or more (</w:t>
      </w:r>
      <w:r>
        <w:t xml:space="preserve">per most recent U.S. </w:t>
      </w:r>
      <w:r w:rsidRPr="006E092E">
        <w:t xml:space="preserve">Census </w:t>
      </w:r>
      <w:r>
        <w:t>data</w:t>
      </w:r>
      <w:r w:rsidRPr="006E092E">
        <w:t>)</w:t>
      </w:r>
      <w:r>
        <w:t xml:space="preserve">, those </w:t>
      </w:r>
      <w:r w:rsidR="005C20D1">
        <w:t>provider</w:t>
      </w:r>
      <w:r>
        <w:t>s</w:t>
      </w:r>
      <w:r w:rsidRPr="006E092E">
        <w:t xml:space="preserve"> agree to deliver uncompensated barometric pressure data to PSAPs from any voice-capable</w:t>
      </w:r>
      <w:r>
        <w:t xml:space="preserve"> </w:t>
      </w:r>
      <w:r w:rsidRPr="006E092E">
        <w:t xml:space="preserve">handset that supports such a capability within four (4) years of </w:t>
      </w:r>
      <w:r w:rsidR="00501405">
        <w:t>that</w:t>
      </w:r>
      <w:r w:rsidR="00501405" w:rsidRPr="006E092E">
        <w:t xml:space="preserve"> </w:t>
      </w:r>
      <w:r w:rsidR="00501405">
        <w:t>a</w:t>
      </w:r>
      <w:r w:rsidR="00501405" w:rsidRPr="006E092E">
        <w:t>greement</w:t>
      </w:r>
      <w:r w:rsidRPr="006E092E">
        <w:t>,</w:t>
      </w:r>
      <w:r>
        <w:t xml:space="preserve">  while </w:t>
      </w:r>
      <w:r>
        <w:rPr>
          <w:spacing w:val="-4"/>
          <w:szCs w:val="22"/>
        </w:rPr>
        <w:t>such</w:t>
      </w:r>
      <w:r w:rsidRPr="006E092E">
        <w:rPr>
          <w:spacing w:val="-4"/>
          <w:szCs w:val="22"/>
        </w:rPr>
        <w:t xml:space="preserve"> </w:t>
      </w:r>
      <w:r w:rsidR="005C20D1">
        <w:rPr>
          <w:spacing w:val="-4"/>
          <w:szCs w:val="22"/>
        </w:rPr>
        <w:t>provider</w:t>
      </w:r>
      <w:r w:rsidRPr="006E092E">
        <w:rPr>
          <w:spacing w:val="-4"/>
          <w:szCs w:val="22"/>
        </w:rPr>
        <w:t>s whose serv</w:t>
      </w:r>
      <w:r>
        <w:rPr>
          <w:spacing w:val="-4"/>
          <w:szCs w:val="22"/>
        </w:rPr>
        <w:t>e designated areas with population densities</w:t>
      </w:r>
      <w:r w:rsidRPr="006E092E">
        <w:rPr>
          <w:spacing w:val="-4"/>
          <w:szCs w:val="22"/>
        </w:rPr>
        <w:t xml:space="preserve"> of 19.9 or less will be exempt from</w:t>
      </w:r>
      <w:r>
        <w:rPr>
          <w:spacing w:val="-4"/>
          <w:szCs w:val="22"/>
        </w:rPr>
        <w:t xml:space="preserve"> </w:t>
      </w:r>
      <w:r w:rsidRPr="006E092E">
        <w:rPr>
          <w:spacing w:val="-4"/>
          <w:szCs w:val="22"/>
        </w:rPr>
        <w:t>providing any uncompensated barometric pressure data to PSAPs.</w:t>
      </w:r>
      <w:r>
        <w:rPr>
          <w:rStyle w:val="FootnoteReference"/>
          <w:spacing w:val="-4"/>
          <w:szCs w:val="22"/>
        </w:rPr>
        <w:footnoteReference w:id="56"/>
      </w:r>
    </w:p>
    <w:p w14:paraId="50405A61" w14:textId="77777777" w:rsidR="0001681E" w:rsidRPr="006E092E" w:rsidRDefault="00844C6E" w:rsidP="007C7DD0">
      <w:pPr>
        <w:pStyle w:val="ParaNum"/>
      </w:pPr>
      <w:r w:rsidRPr="006E092E">
        <w:rPr>
          <w:rFonts w:eastAsia="MS Mincho"/>
          <w:lang w:eastAsia="ja-JP"/>
        </w:rPr>
        <w:t xml:space="preserve">Some vendors </w:t>
      </w:r>
      <w:r w:rsidR="005E5E17" w:rsidRPr="006E092E">
        <w:rPr>
          <w:rFonts w:eastAsia="MS Mincho"/>
          <w:lang w:eastAsia="ja-JP"/>
        </w:rPr>
        <w:t>praise the Roadmap as a meaningful step toward improved indoor location.</w:t>
      </w:r>
      <w:r w:rsidR="005E5E17" w:rsidRPr="006E092E">
        <w:rPr>
          <w:rStyle w:val="FootnoteReference"/>
          <w:rFonts w:eastAsia="MS Mincho"/>
          <w:lang w:eastAsia="ja-JP"/>
        </w:rPr>
        <w:footnoteReference w:id="57"/>
      </w:r>
      <w:r w:rsidR="005E5E17" w:rsidRPr="006E092E">
        <w:rPr>
          <w:rFonts w:eastAsia="MS Mincho"/>
          <w:lang w:eastAsia="ja-JP"/>
        </w:rPr>
        <w:t xml:space="preserve">  For example, </w:t>
      </w:r>
      <w:r w:rsidR="00481113" w:rsidRPr="006E092E">
        <w:rPr>
          <w:rFonts w:eastAsia="MS Mincho"/>
          <w:lang w:eastAsia="ja-JP"/>
        </w:rPr>
        <w:t xml:space="preserve">TCS states that the proposals in the Roadmap are more realistic than the proposals in the </w:t>
      </w:r>
      <w:r w:rsidR="00481113" w:rsidRPr="006E092E">
        <w:rPr>
          <w:rFonts w:eastAsia="MS Mincho"/>
          <w:i/>
          <w:lang w:eastAsia="ja-JP"/>
        </w:rPr>
        <w:t>Third Further Notice</w:t>
      </w:r>
      <w:r w:rsidR="00481113" w:rsidRPr="006E092E">
        <w:rPr>
          <w:rFonts w:eastAsia="MS Mincho"/>
          <w:lang w:eastAsia="ja-JP"/>
        </w:rPr>
        <w:t xml:space="preserve"> because it acknowledges CMRS providers’ inability to distinguish between indoor and outdoor wireless calls</w:t>
      </w:r>
      <w:r w:rsidR="0001681E" w:rsidRPr="006E092E">
        <w:rPr>
          <w:rFonts w:eastAsia="MS Mincho"/>
          <w:lang w:eastAsia="ja-JP"/>
        </w:rPr>
        <w:t>.</w:t>
      </w:r>
      <w:r w:rsidR="00481113" w:rsidRPr="006E092E">
        <w:rPr>
          <w:rStyle w:val="FootnoteReference"/>
          <w:rFonts w:eastAsia="MS Mincho"/>
          <w:lang w:eastAsia="ja-JP"/>
        </w:rPr>
        <w:footnoteReference w:id="58"/>
      </w:r>
      <w:r w:rsidR="0001681E" w:rsidRPr="006E092E">
        <w:rPr>
          <w:rFonts w:eastAsia="MS Mincho"/>
          <w:lang w:eastAsia="ja-JP"/>
        </w:rPr>
        <w:t xml:space="preserve">  </w:t>
      </w:r>
    </w:p>
    <w:p w14:paraId="4FD82722" w14:textId="52A7FB4E" w:rsidR="00FD71E0" w:rsidRPr="00547042" w:rsidRDefault="0001681E" w:rsidP="007C7DD0">
      <w:pPr>
        <w:pStyle w:val="ParaNum"/>
      </w:pPr>
      <w:r w:rsidRPr="0077787E">
        <w:t xml:space="preserve">However, </w:t>
      </w:r>
      <w:r w:rsidR="00910588">
        <w:t xml:space="preserve">some </w:t>
      </w:r>
      <w:r w:rsidRPr="0077787E">
        <w:t xml:space="preserve">public safety entities, </w:t>
      </w:r>
      <w:r w:rsidR="005E5E17" w:rsidRPr="0077787E">
        <w:t>consumer advocacy groups</w:t>
      </w:r>
      <w:r w:rsidR="00910588">
        <w:t xml:space="preserve">, and </w:t>
      </w:r>
      <w:r w:rsidR="00844C6E">
        <w:t xml:space="preserve">other </w:t>
      </w:r>
      <w:r w:rsidR="00910588">
        <w:t>vendors</w:t>
      </w:r>
      <w:r w:rsidR="0027218A" w:rsidRPr="0077787E">
        <w:t xml:space="preserve"> </w:t>
      </w:r>
      <w:r w:rsidR="005E5E17" w:rsidRPr="0077787E">
        <w:t xml:space="preserve">express strong concern about the </w:t>
      </w:r>
      <w:r w:rsidR="00910588">
        <w:t xml:space="preserve">Roadmap </w:t>
      </w:r>
      <w:r w:rsidR="005E5E17" w:rsidRPr="0077787E">
        <w:t>proposals</w:t>
      </w:r>
      <w:r w:rsidR="00910588">
        <w:t>.</w:t>
      </w:r>
      <w:r w:rsidR="0027218A" w:rsidRPr="0077787E">
        <w:t xml:space="preserve">  </w:t>
      </w:r>
      <w:r w:rsidR="00271BFD">
        <w:t xml:space="preserve">Multiple commenters argue that the Roadmap dilutes </w:t>
      </w:r>
      <w:r w:rsidR="0024246E">
        <w:t xml:space="preserve">the Commission’s </w:t>
      </w:r>
      <w:r w:rsidR="00271BFD">
        <w:t xml:space="preserve">efforts to </w:t>
      </w:r>
      <w:r w:rsidR="0024246E">
        <w:t>adopt indoor location accuracy</w:t>
      </w:r>
      <w:r w:rsidR="00271BFD">
        <w:t xml:space="preserve"> rules</w:t>
      </w:r>
      <w:r w:rsidR="0024246E">
        <w:t xml:space="preserve"> and does not present a viable alternative to the proposals in the </w:t>
      </w:r>
      <w:r w:rsidR="0024246E" w:rsidRPr="00852A49">
        <w:rPr>
          <w:i/>
        </w:rPr>
        <w:t>Third Further Notice</w:t>
      </w:r>
      <w:r w:rsidR="00271BFD">
        <w:t>.</w:t>
      </w:r>
      <w:r w:rsidR="00271BFD">
        <w:rPr>
          <w:rStyle w:val="FootnoteReference"/>
        </w:rPr>
        <w:footnoteReference w:id="59"/>
      </w:r>
      <w:r w:rsidR="00271BFD">
        <w:t xml:space="preserve">  </w:t>
      </w:r>
      <w:r w:rsidR="00910588">
        <w:t>T</w:t>
      </w:r>
      <w:r w:rsidR="0024246E">
        <w:t>hough it regards the Roadmap as a step in the right direction, T</w:t>
      </w:r>
      <w:r w:rsidR="00910588">
        <w:t xml:space="preserve">DI </w:t>
      </w:r>
      <w:r w:rsidR="005E6FC0" w:rsidRPr="0077787E">
        <w:t>submits that the Roadmap should serve only as a complement, not a replacement, to the Commission’s rules.</w:t>
      </w:r>
      <w:r w:rsidR="005E6FC0" w:rsidRPr="0077787E">
        <w:rPr>
          <w:rStyle w:val="FootnoteReference"/>
        </w:rPr>
        <w:footnoteReference w:id="60"/>
      </w:r>
      <w:r w:rsidR="005E6FC0" w:rsidRPr="0077787E">
        <w:t xml:space="preserve">  </w:t>
      </w:r>
      <w:r w:rsidR="00271BFD">
        <w:t>The Associated Firefighters of Illinois believe that the Roadmap pushes out the timeline for improved location accuracy too far.</w:t>
      </w:r>
      <w:r w:rsidR="00271BFD">
        <w:rPr>
          <w:rStyle w:val="FootnoteReference"/>
        </w:rPr>
        <w:footnoteReference w:id="61"/>
      </w:r>
      <w:r w:rsidR="00271BFD">
        <w:t xml:space="preserve">  </w:t>
      </w:r>
      <w:r w:rsidR="00E82F36" w:rsidRPr="0077787E">
        <w:t xml:space="preserve">IACP and Fairfax County support the concept of dispatchable location, but question the feasibility of the Roadmap’s </w:t>
      </w:r>
      <w:r w:rsidR="00E82F36" w:rsidRPr="00B54B6C">
        <w:t>dispatchable location provisions.</w:t>
      </w:r>
      <w:r w:rsidR="00E82F36" w:rsidRPr="00B54B6C">
        <w:rPr>
          <w:rStyle w:val="FootnoteReference"/>
        </w:rPr>
        <w:footnoteReference w:id="62"/>
      </w:r>
      <w:r w:rsidR="00E82F36" w:rsidRPr="00B54B6C">
        <w:t xml:space="preserve">  </w:t>
      </w:r>
      <w:r w:rsidR="00E82F36" w:rsidRPr="00C20476">
        <w:t xml:space="preserve">Multiple commenters express concern at the Roadmap’s blended metric for indoor </w:t>
      </w:r>
      <w:r w:rsidR="00910588">
        <w:t xml:space="preserve">and outdoor </w:t>
      </w:r>
      <w:r w:rsidR="00E82F36" w:rsidRPr="00C20476">
        <w:t>calls.</w:t>
      </w:r>
      <w:r w:rsidR="00E82F36" w:rsidRPr="00C20476">
        <w:rPr>
          <w:rStyle w:val="FootnoteReference"/>
        </w:rPr>
        <w:footnoteReference w:id="63"/>
      </w:r>
      <w:r w:rsidR="00E82F36" w:rsidRPr="005A0AF0">
        <w:t xml:space="preserve">  TruePosition</w:t>
      </w:r>
      <w:r w:rsidRPr="007464CF">
        <w:t xml:space="preserve"> caution</w:t>
      </w:r>
      <w:r w:rsidR="00E82F36" w:rsidRPr="007A4A87">
        <w:t>s</w:t>
      </w:r>
      <w:r w:rsidRPr="007A4A87">
        <w:t xml:space="preserve"> that the use of </w:t>
      </w:r>
      <w:r w:rsidR="0027218A" w:rsidRPr="007A4A87">
        <w:t>GLONASS</w:t>
      </w:r>
      <w:r w:rsidRPr="007A4A87">
        <w:t xml:space="preserve"> for 911 may raise </w:t>
      </w:r>
      <w:r w:rsidR="00E82F36" w:rsidRPr="00001732">
        <w:t xml:space="preserve">political and </w:t>
      </w:r>
      <w:r w:rsidRPr="00E67C2B">
        <w:t>security issues</w:t>
      </w:r>
      <w:r w:rsidR="00E82F36" w:rsidRPr="00E67C2B">
        <w:t>,</w:t>
      </w:r>
      <w:r w:rsidR="0048326F" w:rsidRPr="00E94AFD">
        <w:rPr>
          <w:rStyle w:val="FootnoteReference"/>
        </w:rPr>
        <w:footnoteReference w:id="64"/>
      </w:r>
      <w:r w:rsidR="00E82F36" w:rsidRPr="00E94AFD">
        <w:t xml:space="preserve"> though APCO, CTIA and TCS dispute that use of GLONASS poses a security threat.</w:t>
      </w:r>
      <w:r w:rsidR="00E82F36" w:rsidRPr="00E94AFD">
        <w:rPr>
          <w:rStyle w:val="FootnoteReference"/>
        </w:rPr>
        <w:footnoteReference w:id="65"/>
      </w:r>
      <w:r w:rsidR="0027218A" w:rsidRPr="00E94AFD">
        <w:t xml:space="preserve">  </w:t>
      </w:r>
      <w:r w:rsidR="0024246E">
        <w:t>Numerous parties</w:t>
      </w:r>
      <w:r w:rsidR="0027218A" w:rsidRPr="00547042">
        <w:t xml:space="preserve"> highlight concerns with </w:t>
      </w:r>
      <w:r w:rsidR="0048326F" w:rsidRPr="00547042">
        <w:t>the Roadmap’s proposal for the National Emergency Address Database</w:t>
      </w:r>
      <w:r w:rsidR="00996562">
        <w:t xml:space="preserve"> (NEAD</w:t>
      </w:r>
      <w:r w:rsidR="00844C6E">
        <w:t>).</w:t>
      </w:r>
      <w:r w:rsidR="00844C6E" w:rsidRPr="00E94AFD">
        <w:rPr>
          <w:rStyle w:val="FootnoteReference"/>
        </w:rPr>
        <w:footnoteReference w:id="66"/>
      </w:r>
      <w:r w:rsidR="00844C6E">
        <w:t xml:space="preserve">  </w:t>
      </w:r>
      <w:r w:rsidR="0024246E">
        <w:t xml:space="preserve">Some </w:t>
      </w:r>
      <w:r w:rsidR="00A95811">
        <w:t>Ro</w:t>
      </w:r>
      <w:r w:rsidR="00381D00">
        <w:t>a</w:t>
      </w:r>
      <w:r w:rsidR="00A95811">
        <w:t>dmap Parties</w:t>
      </w:r>
      <w:r w:rsidR="0024246E">
        <w:t xml:space="preserve"> </w:t>
      </w:r>
      <w:r w:rsidR="00E82F36" w:rsidRPr="00E94AFD">
        <w:t>submit rebuttals to these concerns</w:t>
      </w:r>
      <w:r w:rsidR="005E6FC0" w:rsidRPr="00547042">
        <w:t xml:space="preserve"> raised in the record</w:t>
      </w:r>
      <w:r w:rsidR="00E82F36" w:rsidRPr="00547042">
        <w:t>.</w:t>
      </w:r>
      <w:r w:rsidR="00E82F36" w:rsidRPr="00E94AFD">
        <w:rPr>
          <w:rStyle w:val="FootnoteReference"/>
        </w:rPr>
        <w:footnoteReference w:id="67"/>
      </w:r>
      <w:r w:rsidR="00E82F36" w:rsidRPr="00E94AFD">
        <w:t xml:space="preserve"> </w:t>
      </w:r>
    </w:p>
    <w:p w14:paraId="326232C5" w14:textId="141E6BD6" w:rsidR="00EB36D5" w:rsidRPr="00177536" w:rsidRDefault="00EB36D5" w:rsidP="007C7DD0">
      <w:pPr>
        <w:pStyle w:val="ParaNum"/>
        <w:widowControl/>
        <w:rPr>
          <w:spacing w:val="-4"/>
          <w:szCs w:val="22"/>
        </w:rPr>
      </w:pPr>
      <w:r w:rsidRPr="00177536">
        <w:rPr>
          <w:i/>
          <w:szCs w:val="22"/>
        </w:rPr>
        <w:t>Discussion</w:t>
      </w:r>
      <w:r w:rsidRPr="00177536">
        <w:rPr>
          <w:szCs w:val="22"/>
        </w:rPr>
        <w:t xml:space="preserve">.  As discussed in detail </w:t>
      </w:r>
      <w:r>
        <w:rPr>
          <w:szCs w:val="22"/>
        </w:rPr>
        <w:t>below</w:t>
      </w:r>
      <w:r w:rsidRPr="00177536">
        <w:rPr>
          <w:szCs w:val="22"/>
        </w:rPr>
        <w:t>,</w:t>
      </w:r>
      <w:r>
        <w:rPr>
          <w:szCs w:val="22"/>
        </w:rPr>
        <w:t xml:space="preserve"> </w:t>
      </w:r>
      <w:r w:rsidRPr="00177536">
        <w:rPr>
          <w:szCs w:val="22"/>
        </w:rPr>
        <w:t xml:space="preserve">the Roadmap </w:t>
      </w:r>
      <w:r w:rsidR="00A9584F">
        <w:rPr>
          <w:szCs w:val="22"/>
        </w:rPr>
        <w:t xml:space="preserve">and Parallel Path </w:t>
      </w:r>
      <w:r w:rsidRPr="00177536">
        <w:rPr>
          <w:szCs w:val="22"/>
        </w:rPr>
        <w:t xml:space="preserve">contain numerous positive elements that will help drive improvements in indoor location.  In particular, </w:t>
      </w:r>
      <w:r w:rsidR="00A9584F" w:rsidRPr="00177536">
        <w:rPr>
          <w:szCs w:val="22"/>
        </w:rPr>
        <w:t>the</w:t>
      </w:r>
      <w:r w:rsidR="00A9584F">
        <w:rPr>
          <w:szCs w:val="22"/>
        </w:rPr>
        <w:t xml:space="preserve">y </w:t>
      </w:r>
      <w:r w:rsidRPr="00177536">
        <w:rPr>
          <w:szCs w:val="22"/>
        </w:rPr>
        <w:t xml:space="preserve">lay the foundation for development of a </w:t>
      </w:r>
      <w:r w:rsidR="00FA73ED">
        <w:rPr>
          <w:szCs w:val="22"/>
        </w:rPr>
        <w:t xml:space="preserve">location technology </w:t>
      </w:r>
      <w:r w:rsidRPr="00177536">
        <w:rPr>
          <w:szCs w:val="22"/>
        </w:rPr>
        <w:t xml:space="preserve">test bed, a national location database, and introduction of improved location technology into VoLTE handsets and networks.  The Roadmap </w:t>
      </w:r>
      <w:r w:rsidR="00A9584F">
        <w:rPr>
          <w:szCs w:val="22"/>
        </w:rPr>
        <w:t xml:space="preserve">and Parallel Path </w:t>
      </w:r>
      <w:r w:rsidRPr="00177536">
        <w:rPr>
          <w:szCs w:val="22"/>
        </w:rPr>
        <w:t>also for the first time commit CMRS providers to using live 911 call data, not just test data, to measure progress and compliance with location accuracy metrics.</w:t>
      </w:r>
      <w:r w:rsidR="00281D11">
        <w:rPr>
          <w:szCs w:val="22"/>
        </w:rPr>
        <w:t xml:space="preserve">  </w:t>
      </w:r>
      <w:r w:rsidR="00A9584F">
        <w:rPr>
          <w:szCs w:val="22"/>
        </w:rPr>
        <w:t xml:space="preserve">They </w:t>
      </w:r>
      <w:r w:rsidR="00281D11">
        <w:rPr>
          <w:szCs w:val="22"/>
        </w:rPr>
        <w:t xml:space="preserve">also commit CMRS providers to a timetable for achieving </w:t>
      </w:r>
      <w:r w:rsidR="00DF4E27">
        <w:rPr>
          <w:szCs w:val="22"/>
        </w:rPr>
        <w:t xml:space="preserve">improved </w:t>
      </w:r>
      <w:r w:rsidR="00281D11">
        <w:rPr>
          <w:szCs w:val="22"/>
        </w:rPr>
        <w:t xml:space="preserve">horizontal </w:t>
      </w:r>
      <w:r w:rsidR="00A9584F">
        <w:rPr>
          <w:szCs w:val="22"/>
        </w:rPr>
        <w:t xml:space="preserve">and vertical </w:t>
      </w:r>
      <w:r w:rsidR="00281D11">
        <w:rPr>
          <w:szCs w:val="22"/>
        </w:rPr>
        <w:t>location accuracy in the absence of a dispatchable location solution.</w:t>
      </w:r>
    </w:p>
    <w:p w14:paraId="7C428D39" w14:textId="3546EC37" w:rsidR="00B90FBC" w:rsidRPr="009C7193" w:rsidRDefault="00A9584F" w:rsidP="00996562">
      <w:pPr>
        <w:pStyle w:val="ParaNum"/>
        <w:widowControl/>
        <w:rPr>
          <w:spacing w:val="-4"/>
          <w:szCs w:val="22"/>
        </w:rPr>
      </w:pPr>
      <w:r>
        <w:rPr>
          <w:szCs w:val="22"/>
        </w:rPr>
        <w:t xml:space="preserve">Critics of the Roadmap </w:t>
      </w:r>
      <w:r w:rsidR="006D7989">
        <w:rPr>
          <w:szCs w:val="22"/>
        </w:rPr>
        <w:t xml:space="preserve">and the Parallel Path </w:t>
      </w:r>
      <w:r>
        <w:rPr>
          <w:szCs w:val="22"/>
        </w:rPr>
        <w:t xml:space="preserve">have raised legitimate concerns regarding </w:t>
      </w:r>
      <w:r w:rsidR="006D7989">
        <w:rPr>
          <w:szCs w:val="22"/>
        </w:rPr>
        <w:t xml:space="preserve">the sufficiency of </w:t>
      </w:r>
      <w:r>
        <w:rPr>
          <w:szCs w:val="22"/>
        </w:rPr>
        <w:t xml:space="preserve">the commitments made </w:t>
      </w:r>
      <w:r w:rsidR="006D7989">
        <w:rPr>
          <w:szCs w:val="22"/>
        </w:rPr>
        <w:t xml:space="preserve">by CMRS providers </w:t>
      </w:r>
      <w:r>
        <w:rPr>
          <w:szCs w:val="22"/>
        </w:rPr>
        <w:t>therein</w:t>
      </w:r>
      <w:r w:rsidR="006D7989">
        <w:rPr>
          <w:szCs w:val="22"/>
        </w:rPr>
        <w:t xml:space="preserve">.  </w:t>
      </w:r>
      <w:r w:rsidR="00DF4E27">
        <w:rPr>
          <w:szCs w:val="22"/>
        </w:rPr>
        <w:t xml:space="preserve">However, we believe that </w:t>
      </w:r>
      <w:r w:rsidR="006D7989">
        <w:rPr>
          <w:szCs w:val="22"/>
        </w:rPr>
        <w:t xml:space="preserve">the recent </w:t>
      </w:r>
      <w:r>
        <w:rPr>
          <w:szCs w:val="22"/>
        </w:rPr>
        <w:t>amendment</w:t>
      </w:r>
      <w:r w:rsidR="006D7989">
        <w:rPr>
          <w:szCs w:val="22"/>
        </w:rPr>
        <w:t xml:space="preserve">s to both </w:t>
      </w:r>
      <w:r w:rsidR="00D77C90">
        <w:rPr>
          <w:szCs w:val="22"/>
        </w:rPr>
        <w:t xml:space="preserve">the Roadmap and the Parallel Path </w:t>
      </w:r>
      <w:r w:rsidR="006D7989">
        <w:rPr>
          <w:szCs w:val="22"/>
        </w:rPr>
        <w:t>have substantially strengthened these commitments</w:t>
      </w:r>
      <w:r w:rsidR="00B518D0">
        <w:rPr>
          <w:szCs w:val="22"/>
        </w:rPr>
        <w:t xml:space="preserve"> and provide the basis for ensuring measurable improvements in indoor location </w:t>
      </w:r>
      <w:r w:rsidR="000F3C6A">
        <w:rPr>
          <w:szCs w:val="22"/>
        </w:rPr>
        <w:t xml:space="preserve">while </w:t>
      </w:r>
      <w:r w:rsidR="00B518D0">
        <w:rPr>
          <w:szCs w:val="22"/>
        </w:rPr>
        <w:t xml:space="preserve">holding CMRS providers accountable for results. </w:t>
      </w:r>
      <w:r w:rsidR="00B90FBC">
        <w:rPr>
          <w:szCs w:val="22"/>
        </w:rPr>
        <w:t xml:space="preserve"> </w:t>
      </w:r>
      <w:r w:rsidR="000F3C6A">
        <w:rPr>
          <w:szCs w:val="22"/>
        </w:rPr>
        <w:t xml:space="preserve">Of particular significance, the horizontal accuracy benchmarks in both the </w:t>
      </w:r>
      <w:r w:rsidR="009B6D20">
        <w:rPr>
          <w:szCs w:val="22"/>
        </w:rPr>
        <w:t>A</w:t>
      </w:r>
      <w:r w:rsidR="000F3C6A">
        <w:rPr>
          <w:szCs w:val="22"/>
        </w:rPr>
        <w:t xml:space="preserve">mended Roadmap and the Parallel Path now apply uniformly to all wireless 911 calls rather than </w:t>
      </w:r>
      <w:r w:rsidR="00D7627B">
        <w:rPr>
          <w:szCs w:val="22"/>
        </w:rPr>
        <w:t xml:space="preserve">some benchmarks applying to </w:t>
      </w:r>
      <w:r w:rsidR="000F3C6A">
        <w:rPr>
          <w:szCs w:val="22"/>
        </w:rPr>
        <w:t xml:space="preserve">VoLTE calls only.  </w:t>
      </w:r>
      <w:r w:rsidR="00B66021">
        <w:rPr>
          <w:szCs w:val="22"/>
        </w:rPr>
        <w:t xml:space="preserve">Similarly, the </w:t>
      </w:r>
      <w:r w:rsidR="000F3C6A">
        <w:rPr>
          <w:szCs w:val="22"/>
        </w:rPr>
        <w:t>nationwide CMRS providers</w:t>
      </w:r>
      <w:r w:rsidR="00D7627B">
        <w:rPr>
          <w:szCs w:val="22"/>
        </w:rPr>
        <w:t xml:space="preserve">’ commitment </w:t>
      </w:r>
      <w:r w:rsidR="000F3C6A">
        <w:rPr>
          <w:szCs w:val="22"/>
        </w:rPr>
        <w:t>to begin delivering uncompensated barometric data within three years</w:t>
      </w:r>
      <w:r w:rsidR="00B66021">
        <w:rPr>
          <w:szCs w:val="22"/>
        </w:rPr>
        <w:t xml:space="preserve"> will provide an important near-term opportunity for PSAPs that have the strongest interest in obtaining vertical location information, while development of enhanced vertical location technologies proceeds in </w:t>
      </w:r>
      <w:r w:rsidR="00B66021" w:rsidRPr="009C7193">
        <w:rPr>
          <w:szCs w:val="22"/>
        </w:rPr>
        <w:t xml:space="preserve">parallel.  </w:t>
      </w:r>
      <w:r w:rsidR="00CA02F2" w:rsidRPr="009C7193">
        <w:rPr>
          <w:szCs w:val="22"/>
        </w:rPr>
        <w:t xml:space="preserve">Finally, the new provisions in the </w:t>
      </w:r>
      <w:r w:rsidR="009B6D20">
        <w:rPr>
          <w:szCs w:val="22"/>
        </w:rPr>
        <w:t>A</w:t>
      </w:r>
      <w:r w:rsidR="00CA02F2" w:rsidRPr="009C7193">
        <w:rPr>
          <w:szCs w:val="22"/>
        </w:rPr>
        <w:t xml:space="preserve">mended Roadmap for development of a z-axis standard and the inclusion of timeframes for deployment of </w:t>
      </w:r>
      <w:r w:rsidR="00D77C90" w:rsidRPr="009C7193">
        <w:t xml:space="preserve">dispatchable location </w:t>
      </w:r>
      <w:r w:rsidR="00CA02F2" w:rsidRPr="009C7193">
        <w:t xml:space="preserve">and z-axis technology </w:t>
      </w:r>
      <w:r w:rsidR="008751B5" w:rsidRPr="009C7193">
        <w:t xml:space="preserve">will drive investment in solutions to the challenge of identifying the floor level – or preferably, the dispatchable location – of </w:t>
      </w:r>
      <w:r w:rsidR="00D77C90" w:rsidRPr="009C7193">
        <w:t xml:space="preserve">911 calls </w:t>
      </w:r>
      <w:r w:rsidR="008751B5" w:rsidRPr="009C7193">
        <w:t xml:space="preserve">originated </w:t>
      </w:r>
      <w:r w:rsidR="00D77C90" w:rsidRPr="009C7193">
        <w:t>from multi-story buildings</w:t>
      </w:r>
      <w:r w:rsidR="008751B5" w:rsidRPr="009C7193">
        <w:t xml:space="preserve">.  </w:t>
      </w:r>
      <w:r w:rsidR="00D77C90" w:rsidRPr="009C7193">
        <w:t xml:space="preserve"> </w:t>
      </w:r>
    </w:p>
    <w:p w14:paraId="2030C5DC" w14:textId="3F4C32A5" w:rsidR="009C7193" w:rsidRPr="009C7193" w:rsidRDefault="009C7193" w:rsidP="002601FC">
      <w:pPr>
        <w:pStyle w:val="ParaNum"/>
        <w:widowControl/>
        <w:rPr>
          <w:spacing w:val="-4"/>
          <w:szCs w:val="22"/>
        </w:rPr>
      </w:pPr>
      <w:bookmarkStart w:id="171" w:name="_Ref408486341"/>
      <w:r w:rsidRPr="009C7193">
        <w:t xml:space="preserve">We applaud the process that resulted in these commitments and the benefits that will flow to the American people as a result.  To ensure that all parties make progress as promised, and to ensure that all stakeholders and the Commission have adequate assurances that parties are held accountable, we are codifying these commitments through the rules we adopt today.  </w:t>
      </w:r>
      <w:r w:rsidR="00EE2E1F" w:rsidRPr="009C7193">
        <w:t>We are also including reporting, recordkeeping</w:t>
      </w:r>
      <w:r w:rsidR="00EE2E1F">
        <w:t>,</w:t>
      </w:r>
      <w:r w:rsidR="00EE2E1F" w:rsidRPr="009C7193">
        <w:t xml:space="preserve"> and retention obligations associated both with the technology test bed and live 911 call information that will illuminate the implementation of the dispatchable location standard, and the real world performance of the horizontal and vertical location technologies that have been put forward in the record.   </w:t>
      </w:r>
    </w:p>
    <w:p w14:paraId="0A235008" w14:textId="3C5DC93C" w:rsidR="0077787E" w:rsidRPr="009C7193" w:rsidRDefault="009C7193" w:rsidP="002601FC">
      <w:pPr>
        <w:pStyle w:val="ParaNum"/>
        <w:widowControl/>
        <w:rPr>
          <w:spacing w:val="-4"/>
          <w:szCs w:val="22"/>
        </w:rPr>
      </w:pPr>
      <w:bookmarkStart w:id="172" w:name="_Ref410206233"/>
      <w:r w:rsidRPr="009C7193">
        <w:t xml:space="preserve">In this respect, to ensure transparency and accountability, we require that nationwide CMRS providers report to the Commission on their plans </w:t>
      </w:r>
      <w:r w:rsidR="00DD1293">
        <w:t xml:space="preserve">and progress towards </w:t>
      </w:r>
      <w:r w:rsidRPr="009C7193">
        <w:t xml:space="preserve">implementing improved indoor location accuracy no later than 18 months </w:t>
      </w:r>
      <w:r w:rsidR="00372204" w:rsidRPr="009C7193">
        <w:rPr>
          <w:szCs w:val="22"/>
        </w:rPr>
        <w:t>from the Effective Date</w:t>
      </w:r>
      <w:r w:rsidR="000D58DD" w:rsidRPr="009C7193">
        <w:rPr>
          <w:szCs w:val="22"/>
        </w:rPr>
        <w:t>, and that non-nationwide CMRS providers submit their plans no later than 24 months from the Effective Date.</w:t>
      </w:r>
      <w:r w:rsidR="00372204" w:rsidRPr="009C7193">
        <w:rPr>
          <w:szCs w:val="22"/>
        </w:rPr>
        <w:t xml:space="preserve">  These </w:t>
      </w:r>
      <w:r w:rsidR="000D58DD" w:rsidRPr="009C7193">
        <w:rPr>
          <w:szCs w:val="22"/>
        </w:rPr>
        <w:t xml:space="preserve">reports </w:t>
      </w:r>
      <w:r w:rsidR="00BF13E4" w:rsidRPr="009C7193">
        <w:rPr>
          <w:szCs w:val="22"/>
        </w:rPr>
        <w:t xml:space="preserve">should </w:t>
      </w:r>
      <w:r w:rsidR="00C20476" w:rsidRPr="009C7193">
        <w:rPr>
          <w:szCs w:val="22"/>
        </w:rPr>
        <w:t>include</w:t>
      </w:r>
      <w:r w:rsidR="00981351" w:rsidRPr="009C7193">
        <w:rPr>
          <w:szCs w:val="22"/>
        </w:rPr>
        <w:t xml:space="preserve"> </w:t>
      </w:r>
      <w:r w:rsidR="00C20476" w:rsidRPr="009C7193">
        <w:rPr>
          <w:szCs w:val="22"/>
        </w:rPr>
        <w:t>detail</w:t>
      </w:r>
      <w:r w:rsidR="00981351" w:rsidRPr="009C7193">
        <w:rPr>
          <w:szCs w:val="22"/>
        </w:rPr>
        <w:t>s</w:t>
      </w:r>
      <w:r w:rsidR="00C20476" w:rsidRPr="009C7193">
        <w:rPr>
          <w:szCs w:val="22"/>
        </w:rPr>
        <w:t xml:space="preserve"> as to</w:t>
      </w:r>
      <w:r w:rsidR="00BF13E4" w:rsidRPr="009C7193">
        <w:rPr>
          <w:szCs w:val="22"/>
        </w:rPr>
        <w:t xml:space="preserve"> </w:t>
      </w:r>
      <w:r w:rsidR="000D58DD" w:rsidRPr="009C7193">
        <w:rPr>
          <w:szCs w:val="22"/>
        </w:rPr>
        <w:t xml:space="preserve">each provider’s </w:t>
      </w:r>
      <w:r w:rsidR="00BF13E4" w:rsidRPr="009C7193">
        <w:rPr>
          <w:szCs w:val="22"/>
        </w:rPr>
        <w:t>implementation plan to</w:t>
      </w:r>
      <w:r w:rsidR="006A69E7">
        <w:rPr>
          <w:szCs w:val="22"/>
        </w:rPr>
        <w:t xml:space="preserve"> meet </w:t>
      </w:r>
      <w:r w:rsidR="00BF13E4" w:rsidRPr="009C7193">
        <w:rPr>
          <w:szCs w:val="22"/>
        </w:rPr>
        <w:t>our requirements</w:t>
      </w:r>
      <w:r w:rsidR="00CA02F2" w:rsidRPr="009C7193">
        <w:rPr>
          <w:szCs w:val="22"/>
        </w:rPr>
        <w:t xml:space="preserve">. </w:t>
      </w:r>
      <w:r w:rsidR="00976963">
        <w:rPr>
          <w:szCs w:val="22"/>
        </w:rPr>
        <w:t xml:space="preserve"> </w:t>
      </w:r>
      <w:r w:rsidR="00C20476" w:rsidRPr="009C7193">
        <w:rPr>
          <w:szCs w:val="22"/>
        </w:rPr>
        <w:t xml:space="preserve">For the </w:t>
      </w:r>
      <w:r w:rsidR="006A69E7">
        <w:rPr>
          <w:szCs w:val="22"/>
        </w:rPr>
        <w:t xml:space="preserve">nationwide </w:t>
      </w:r>
      <w:r w:rsidR="00C20476" w:rsidRPr="009C7193">
        <w:rPr>
          <w:szCs w:val="22"/>
        </w:rPr>
        <w:t xml:space="preserve">CMRS providers, this report must </w:t>
      </w:r>
      <w:r w:rsidR="006A69E7">
        <w:rPr>
          <w:szCs w:val="22"/>
        </w:rPr>
        <w:t xml:space="preserve">also </w:t>
      </w:r>
      <w:r w:rsidR="00C20476" w:rsidRPr="009C7193">
        <w:rPr>
          <w:szCs w:val="22"/>
        </w:rPr>
        <w:t xml:space="preserve">include detail as to </w:t>
      </w:r>
      <w:r w:rsidR="006A69E7">
        <w:rPr>
          <w:szCs w:val="22"/>
        </w:rPr>
        <w:t xml:space="preserve">steps taken and future plans to </w:t>
      </w:r>
      <w:r w:rsidR="00C20476" w:rsidRPr="009C7193">
        <w:rPr>
          <w:szCs w:val="22"/>
        </w:rPr>
        <w:t>implement</w:t>
      </w:r>
      <w:r w:rsidR="006A69E7">
        <w:rPr>
          <w:szCs w:val="22"/>
        </w:rPr>
        <w:t xml:space="preserve"> the</w:t>
      </w:r>
      <w:r w:rsidR="00C20476" w:rsidRPr="009C7193">
        <w:rPr>
          <w:szCs w:val="22"/>
        </w:rPr>
        <w:t xml:space="preserve"> NEAD, </w:t>
      </w:r>
      <w:r w:rsidR="00BF13E4" w:rsidRPr="009C7193">
        <w:rPr>
          <w:szCs w:val="22"/>
        </w:rPr>
        <w:t xml:space="preserve">which is </w:t>
      </w:r>
      <w:r w:rsidR="00C20476" w:rsidRPr="009C7193">
        <w:rPr>
          <w:szCs w:val="22"/>
        </w:rPr>
        <w:t>discussed in further detail below.</w:t>
      </w:r>
      <w:r w:rsidR="00C20476">
        <w:rPr>
          <w:rStyle w:val="FootnoteReference"/>
          <w:szCs w:val="22"/>
        </w:rPr>
        <w:footnoteReference w:id="68"/>
      </w:r>
      <w:r w:rsidR="00C20476" w:rsidRPr="009C7193">
        <w:rPr>
          <w:szCs w:val="22"/>
        </w:rPr>
        <w:t xml:space="preserve">  These reports </w:t>
      </w:r>
      <w:r w:rsidR="00372204" w:rsidRPr="009C7193">
        <w:rPr>
          <w:szCs w:val="22"/>
        </w:rPr>
        <w:t xml:space="preserve">will </w:t>
      </w:r>
      <w:r w:rsidR="000D58DD" w:rsidRPr="009C7193">
        <w:rPr>
          <w:szCs w:val="22"/>
        </w:rPr>
        <w:t xml:space="preserve">provide a baseline for measuring the subsequent </w:t>
      </w:r>
      <w:r w:rsidR="00C20476" w:rsidRPr="009C7193">
        <w:rPr>
          <w:szCs w:val="22"/>
        </w:rPr>
        <w:t>progress</w:t>
      </w:r>
      <w:r w:rsidR="000D58DD" w:rsidRPr="009C7193">
        <w:rPr>
          <w:szCs w:val="22"/>
        </w:rPr>
        <w:t xml:space="preserve"> made by each provider</w:t>
      </w:r>
      <w:r w:rsidR="00B54B6C" w:rsidRPr="009C7193">
        <w:rPr>
          <w:szCs w:val="22"/>
        </w:rPr>
        <w:t xml:space="preserve"> toward</w:t>
      </w:r>
      <w:r w:rsidR="00C20476" w:rsidRPr="009C7193">
        <w:rPr>
          <w:szCs w:val="22"/>
        </w:rPr>
        <w:t xml:space="preserve"> improving</w:t>
      </w:r>
      <w:r w:rsidR="00372204" w:rsidRPr="009C7193">
        <w:rPr>
          <w:szCs w:val="22"/>
        </w:rPr>
        <w:t xml:space="preserve"> indoor location accuracy</w:t>
      </w:r>
      <w:r w:rsidR="000D58DD" w:rsidRPr="009C7193">
        <w:rPr>
          <w:szCs w:val="22"/>
        </w:rPr>
        <w:t>.</w:t>
      </w:r>
      <w:r w:rsidR="00B54B6C" w:rsidRPr="009C7193">
        <w:rPr>
          <w:szCs w:val="22"/>
        </w:rPr>
        <w:t xml:space="preserve"> </w:t>
      </w:r>
      <w:r w:rsidR="00DD1293">
        <w:rPr>
          <w:szCs w:val="22"/>
        </w:rPr>
        <w:t xml:space="preserve"> In addition we require each </w:t>
      </w:r>
      <w:r w:rsidR="00DD1293" w:rsidRPr="00CF4BBE">
        <w:rPr>
          <w:szCs w:val="22"/>
        </w:rPr>
        <w:t xml:space="preserve">CMRS provider </w:t>
      </w:r>
      <w:r w:rsidR="00DD1293">
        <w:rPr>
          <w:szCs w:val="22"/>
        </w:rPr>
        <w:t>to file a progress report at 36 months indicating what progress the provider has made consistent with its implementation plan.  Nationwide CMRS providers shall include in their 36</w:t>
      </w:r>
      <w:r w:rsidR="007C055D">
        <w:rPr>
          <w:szCs w:val="22"/>
        </w:rPr>
        <w:t>-</w:t>
      </w:r>
      <w:r w:rsidR="00DD1293">
        <w:rPr>
          <w:szCs w:val="22"/>
        </w:rPr>
        <w:t xml:space="preserve">month reports an assessment of their </w:t>
      </w:r>
      <w:r w:rsidR="00DD1293">
        <w:t xml:space="preserve">deployment of dispatchable location solutions. </w:t>
      </w:r>
      <w:r w:rsidR="00DD1293">
        <w:rPr>
          <w:szCs w:val="22"/>
        </w:rPr>
        <w:t xml:space="preserve"> For any CMRS provider participating in the development of the NEAD database, </w:t>
      </w:r>
      <w:r w:rsidR="00DD1293" w:rsidRPr="00CF4BBE">
        <w:rPr>
          <w:szCs w:val="22"/>
        </w:rPr>
        <w:t xml:space="preserve">this </w:t>
      </w:r>
      <w:r w:rsidR="00DD1293">
        <w:rPr>
          <w:szCs w:val="22"/>
        </w:rPr>
        <w:t xml:space="preserve">progress </w:t>
      </w:r>
      <w:r w:rsidR="00DD1293" w:rsidRPr="00CF4BBE">
        <w:rPr>
          <w:szCs w:val="22"/>
        </w:rPr>
        <w:t xml:space="preserve">report must </w:t>
      </w:r>
      <w:r w:rsidR="000D46B3">
        <w:rPr>
          <w:szCs w:val="22"/>
        </w:rPr>
        <w:t xml:space="preserve">also </w:t>
      </w:r>
      <w:r w:rsidR="00DD1293" w:rsidRPr="00CF4BBE">
        <w:rPr>
          <w:szCs w:val="22"/>
        </w:rPr>
        <w:t xml:space="preserve">include detail as to implementation of </w:t>
      </w:r>
      <w:r w:rsidR="000D46B3">
        <w:rPr>
          <w:szCs w:val="22"/>
        </w:rPr>
        <w:t xml:space="preserve">the </w:t>
      </w:r>
      <w:r w:rsidR="00DD1293">
        <w:rPr>
          <w:szCs w:val="22"/>
        </w:rPr>
        <w:t>database.</w:t>
      </w:r>
      <w:r w:rsidR="007C055D">
        <w:rPr>
          <w:szCs w:val="22"/>
        </w:rPr>
        <w:t xml:space="preserve">  Furthermore, we encourage CMRS providers to share these reports </w:t>
      </w:r>
      <w:r w:rsidR="001214BC">
        <w:rPr>
          <w:szCs w:val="22"/>
        </w:rPr>
        <w:t xml:space="preserve">and discuss their implementation plans </w:t>
      </w:r>
      <w:r w:rsidR="007C055D">
        <w:rPr>
          <w:szCs w:val="22"/>
        </w:rPr>
        <w:t xml:space="preserve">with public safety, consumer, and disability groups.  </w:t>
      </w:r>
      <w:r w:rsidR="00B54B6C" w:rsidRPr="009C7193">
        <w:rPr>
          <w:szCs w:val="22"/>
        </w:rPr>
        <w:t xml:space="preserve">We </w:t>
      </w:r>
      <w:r w:rsidR="00C20476" w:rsidRPr="009C7193">
        <w:rPr>
          <w:szCs w:val="22"/>
        </w:rPr>
        <w:t>incorporate th</w:t>
      </w:r>
      <w:r w:rsidR="00256A2B">
        <w:rPr>
          <w:szCs w:val="22"/>
        </w:rPr>
        <w:t>ese</w:t>
      </w:r>
      <w:r w:rsidR="00C20476" w:rsidRPr="009C7193">
        <w:rPr>
          <w:szCs w:val="22"/>
        </w:rPr>
        <w:t xml:space="preserve"> requirement</w:t>
      </w:r>
      <w:r w:rsidR="00256A2B">
        <w:rPr>
          <w:szCs w:val="22"/>
        </w:rPr>
        <w:t>s</w:t>
      </w:r>
      <w:r w:rsidR="00C20476" w:rsidRPr="009C7193">
        <w:rPr>
          <w:szCs w:val="22"/>
        </w:rPr>
        <w:t xml:space="preserve"> into our rules.</w:t>
      </w:r>
      <w:bookmarkEnd w:id="171"/>
      <w:bookmarkEnd w:id="172"/>
      <w:r w:rsidR="00B54B6C" w:rsidRPr="009C7193">
        <w:rPr>
          <w:szCs w:val="22"/>
        </w:rPr>
        <w:t xml:space="preserve"> </w:t>
      </w:r>
      <w:r w:rsidR="00372204" w:rsidRPr="009C7193">
        <w:rPr>
          <w:szCs w:val="22"/>
        </w:rPr>
        <w:t xml:space="preserve">     </w:t>
      </w:r>
      <w:r w:rsidR="0077787E" w:rsidRPr="009C7193">
        <w:rPr>
          <w:szCs w:val="22"/>
        </w:rPr>
        <w:t xml:space="preserve"> </w:t>
      </w:r>
    </w:p>
    <w:p w14:paraId="07C204D9" w14:textId="180D258B" w:rsidR="00996562" w:rsidRPr="00B7262E" w:rsidRDefault="00996562" w:rsidP="00996562">
      <w:pPr>
        <w:pStyle w:val="ParaNum"/>
      </w:pPr>
      <w:r w:rsidRPr="00065105" w:rsidDel="004B7244">
        <w:t xml:space="preserve">In the Roadmap, the </w:t>
      </w:r>
      <w:r w:rsidRPr="00065105">
        <w:t>CMRS providers</w:t>
      </w:r>
      <w:r w:rsidRPr="00065105" w:rsidDel="004B7244">
        <w:t xml:space="preserve"> state that within </w:t>
      </w:r>
      <w:r w:rsidR="00844C6E">
        <w:t>six to twelve</w:t>
      </w:r>
      <w:r w:rsidRPr="00065105" w:rsidDel="004B7244">
        <w:t xml:space="preserve"> months they intend to test “improved” A-GNSS technologies that can augment GPS-</w:t>
      </w:r>
      <w:r>
        <w:t>only</w:t>
      </w:r>
      <w:r w:rsidRPr="00065105" w:rsidDel="004B7244">
        <w:t xml:space="preserve"> geolocation by obtaining positioning information from other international satellite positioning systems, including the Russian GLONASS system</w:t>
      </w:r>
      <w:r w:rsidRPr="00294864" w:rsidDel="004B7244">
        <w:rPr>
          <w:szCs w:val="22"/>
        </w:rPr>
        <w:t>.</w:t>
      </w:r>
      <w:r w:rsidR="00442501">
        <w:rPr>
          <w:rStyle w:val="FootnoteReference"/>
          <w:szCs w:val="22"/>
        </w:rPr>
        <w:footnoteReference w:id="69"/>
      </w:r>
      <w:r w:rsidRPr="00294864" w:rsidDel="004B7244">
        <w:rPr>
          <w:szCs w:val="22"/>
        </w:rPr>
        <w:t xml:space="preserve">  TruePosition contends that the potential use of GLONASS to support E911 location “raises a wide range of national security, reliability, liability, and economic trade issues,” and should be rejected by the Commission.</w:t>
      </w:r>
      <w:r w:rsidR="003045E7">
        <w:rPr>
          <w:rStyle w:val="FootnoteReference"/>
          <w:szCs w:val="22"/>
        </w:rPr>
        <w:footnoteReference w:id="70"/>
      </w:r>
      <w:r w:rsidRPr="00065105" w:rsidDel="004B7244">
        <w:t xml:space="preserve">  </w:t>
      </w:r>
      <w:r>
        <w:t>CTIA, however, explains that “the Roadmap never states that GLONASS will be the exclusive source of user location data, and instead makes clear that both GPS and GLONASS will be tested as positioning sources…</w:t>
      </w:r>
      <w:r w:rsidRPr="00294864">
        <w:t xml:space="preserve"> </w:t>
      </w:r>
      <w:r>
        <w:t>this bogeyman is nothing more than a desperate attempt to distract the stakeholders and the Commission and undermine the actual merits of the Roadmap.”</w:t>
      </w:r>
      <w:r>
        <w:rPr>
          <w:rStyle w:val="FootnoteReference"/>
        </w:rPr>
        <w:footnoteReference w:id="71"/>
      </w:r>
      <w:r w:rsidRPr="00065105" w:rsidDel="00294864">
        <w:t xml:space="preserve"> </w:t>
      </w:r>
      <w:r>
        <w:t xml:space="preserve"> CTIA asserts that “the use of GLONASS chips in handsets does not give Russia power over U.S. wireless communications,” and that “[t]here simply is no national security risk whatsoever with the Roadmap.”</w:t>
      </w:r>
      <w:r>
        <w:rPr>
          <w:rStyle w:val="FootnoteReference"/>
        </w:rPr>
        <w:footnoteReference w:id="72"/>
      </w:r>
    </w:p>
    <w:p w14:paraId="3940A650" w14:textId="26541A9B" w:rsidR="00996562" w:rsidRPr="00C671A0" w:rsidRDefault="00996562" w:rsidP="00981365">
      <w:pPr>
        <w:pStyle w:val="ParaNum"/>
        <w:rPr>
          <w:szCs w:val="22"/>
        </w:rPr>
      </w:pPr>
      <w:r w:rsidRPr="008B5501">
        <w:t xml:space="preserve">To date, none of the </w:t>
      </w:r>
      <w:r w:rsidR="00DD10E3">
        <w:t>CMRS provider</w:t>
      </w:r>
      <w:r w:rsidRPr="008B5501">
        <w:t xml:space="preserve"> parties to the Roadmap have submitted, nor has the Commission approved, any </w:t>
      </w:r>
      <w:r>
        <w:t xml:space="preserve">waiver petition or </w:t>
      </w:r>
      <w:r w:rsidRPr="008B5501">
        <w:t xml:space="preserve">application that would </w:t>
      </w:r>
      <w:r>
        <w:t xml:space="preserve">seek </w:t>
      </w:r>
      <w:r w:rsidRPr="008B5501">
        <w:t>authorize</w:t>
      </w:r>
      <w:r>
        <w:t>d</w:t>
      </w:r>
      <w:r w:rsidRPr="008B5501">
        <w:t xml:space="preserve"> use of any non-U.S. </w:t>
      </w:r>
      <w:r>
        <w:t>Radio</w:t>
      </w:r>
      <w:r w:rsidRPr="008B5501">
        <w:t>navigation</w:t>
      </w:r>
      <w:r>
        <w:t xml:space="preserve"> Satellite Service (RNSS)</w:t>
      </w:r>
      <w:r>
        <w:rPr>
          <w:rStyle w:val="FootnoteReference"/>
        </w:rPr>
        <w:footnoteReference w:id="73"/>
      </w:r>
      <w:r>
        <w:t xml:space="preserve"> </w:t>
      </w:r>
      <w:r w:rsidRPr="008B5501">
        <w:t>system to support E911 location</w:t>
      </w:r>
      <w:r>
        <w:t xml:space="preserve"> or general location-based services</w:t>
      </w:r>
      <w:r w:rsidRPr="008B5501">
        <w:t xml:space="preserve">. </w:t>
      </w:r>
      <w:r>
        <w:t xml:space="preserve"> </w:t>
      </w:r>
      <w:r w:rsidRPr="008B5501">
        <w:t xml:space="preserve">Indeed, the Roadmap only states that the signatory </w:t>
      </w:r>
      <w:r w:rsidR="00DD10E3">
        <w:t>CMRS provider</w:t>
      </w:r>
      <w:r w:rsidRPr="008B5501">
        <w:t xml:space="preserve">s intend to test the potential use of </w:t>
      </w:r>
      <w:r w:rsidR="001F4DB6">
        <w:t xml:space="preserve">non-U.S. systems (such as </w:t>
      </w:r>
      <w:r w:rsidRPr="008B5501">
        <w:t xml:space="preserve">GLONASS </w:t>
      </w:r>
      <w:r w:rsidR="001F4DB6">
        <w:t xml:space="preserve">or Galileo) </w:t>
      </w:r>
      <w:r w:rsidRPr="008B5501">
        <w:t xml:space="preserve">to support E911 location.  It does not call for the Commission to approve </w:t>
      </w:r>
      <w:r>
        <w:t xml:space="preserve">operations with </w:t>
      </w:r>
      <w:r w:rsidR="001F4DB6">
        <w:t>any non-U.S. satellite systems</w:t>
      </w:r>
      <w:r w:rsidRPr="008B5501">
        <w:t xml:space="preserve">, either explicitly or implicitly, in this proceeding, and we decline to do so.  Thus, the parties to the Roadmap and other CMRS providers must comply with the location accuracy requirements established by this order regardless of the disposition of any future request they may make </w:t>
      </w:r>
      <w:r w:rsidR="001F4DB6">
        <w:t xml:space="preserve">under FCC rules </w:t>
      </w:r>
      <w:r w:rsidRPr="008B5501">
        <w:t xml:space="preserve">to </w:t>
      </w:r>
      <w:r>
        <w:t>operate with</w:t>
      </w:r>
      <w:r w:rsidRPr="008B5501">
        <w:t xml:space="preserve"> </w:t>
      </w:r>
      <w:r w:rsidR="00EB592E">
        <w:t xml:space="preserve">any </w:t>
      </w:r>
      <w:r w:rsidRPr="008B5501">
        <w:t>non-U.S. satellite systems in support of E911 location.</w:t>
      </w:r>
      <w:r>
        <w:rPr>
          <w:rStyle w:val="FootnoteReference"/>
        </w:rPr>
        <w:footnoteReference w:id="74"/>
      </w:r>
      <w:r w:rsidRPr="008B5501">
        <w:t xml:space="preserve">  </w:t>
      </w:r>
      <w:r w:rsidR="00981365" w:rsidRPr="00981365">
        <w:t>Moreover, any such request will be subject to a full review and federal inter-agency coordination of all relevant issues, including technical, economic, national security</w:t>
      </w:r>
      <w:r w:rsidR="00981365">
        <w:t>,</w:t>
      </w:r>
      <w:r w:rsidR="00981365" w:rsidRPr="00981365">
        <w:t xml:space="preserve"> and foreign policy implications</w:t>
      </w:r>
      <w:r w:rsidRPr="008B5501">
        <w:t xml:space="preserve">.  </w:t>
      </w:r>
    </w:p>
    <w:p w14:paraId="00392EB9" w14:textId="1BADAC97" w:rsidR="002166AF" w:rsidRPr="00B7262E" w:rsidRDefault="002166AF" w:rsidP="00330ED6">
      <w:pPr>
        <w:pStyle w:val="ParaNum"/>
      </w:pPr>
      <w:r>
        <w:t>W</w:t>
      </w:r>
      <w:r w:rsidRPr="008B5501">
        <w:t xml:space="preserve">e do not decide the issue of </w:t>
      </w:r>
      <w:r>
        <w:t xml:space="preserve">operating with </w:t>
      </w:r>
      <w:r w:rsidRPr="008B5501">
        <w:t>non-U.S. satellite</w:t>
      </w:r>
      <w:r>
        <w:t xml:space="preserve"> signals</w:t>
      </w:r>
      <w:r w:rsidRPr="008B5501">
        <w:t xml:space="preserve"> in this proceeding, </w:t>
      </w:r>
      <w:r>
        <w:t xml:space="preserve">which would require consideration of a variety of issues, including its potential impact on the use of adjacent bands.  </w:t>
      </w:r>
      <w:r w:rsidR="00330ED6" w:rsidRPr="00330ED6">
        <w:t>Therefore, nothing in today’s decision authorizes the use of any non-U.S. satellite system in conjunction with the 911 system, including the 911 location accuracy rules we adopt today.</w:t>
      </w:r>
      <w:r w:rsidR="00330ED6">
        <w:t xml:space="preserve">  </w:t>
      </w:r>
      <w:r>
        <w:t>Moreover,</w:t>
      </w:r>
      <w:r w:rsidRPr="003B7095">
        <w:t xml:space="preserve"> </w:t>
      </w:r>
      <w:r>
        <w:t xml:space="preserve">A-GNSS technologies </w:t>
      </w:r>
      <w:r w:rsidRPr="00FC16FA">
        <w:rPr>
          <w:szCs w:val="22"/>
        </w:rPr>
        <w:t xml:space="preserve">used to augment GPS may </w:t>
      </w:r>
      <w:r w:rsidR="00F64F26">
        <w:rPr>
          <w:szCs w:val="22"/>
        </w:rPr>
        <w:t xml:space="preserve">increase </w:t>
      </w:r>
      <w:r w:rsidRPr="00FC16FA">
        <w:rPr>
          <w:szCs w:val="22"/>
        </w:rPr>
        <w:t xml:space="preserve">the </w:t>
      </w:r>
      <w:r w:rsidR="00B518D0">
        <w:rPr>
          <w:szCs w:val="22"/>
        </w:rPr>
        <w:t xml:space="preserve">potential exposure </w:t>
      </w:r>
      <w:r w:rsidRPr="00FC16FA">
        <w:rPr>
          <w:szCs w:val="22"/>
        </w:rPr>
        <w:t xml:space="preserve">of devices to interference by increasing the number of </w:t>
      </w:r>
      <w:r>
        <w:rPr>
          <w:szCs w:val="22"/>
        </w:rPr>
        <w:t xml:space="preserve">unwanted </w:t>
      </w:r>
      <w:r w:rsidRPr="00FC16FA">
        <w:rPr>
          <w:szCs w:val="22"/>
        </w:rPr>
        <w:t>signals</w:t>
      </w:r>
      <w:r>
        <w:rPr>
          <w:szCs w:val="22"/>
        </w:rPr>
        <w:t xml:space="preserve"> and the number of signals</w:t>
      </w:r>
      <w:r w:rsidRPr="00FC16FA">
        <w:rPr>
          <w:szCs w:val="22"/>
        </w:rPr>
        <w:t xml:space="preserve"> that can introduce data integrity problems.  W</w:t>
      </w:r>
      <w:r w:rsidRPr="003B7095">
        <w:t xml:space="preserve">e believe that CMRS providers seeking to use non-U.S. satellites should also conduct testing to ensure that </w:t>
      </w:r>
      <w:r>
        <w:t xml:space="preserve">operation with </w:t>
      </w:r>
      <w:r w:rsidRPr="003B7095">
        <w:t xml:space="preserve">these </w:t>
      </w:r>
      <w:r>
        <w:t xml:space="preserve">signals </w:t>
      </w:r>
      <w:r w:rsidRPr="003B7095">
        <w:t>does not inadvertently introduce vulnerabilities</w:t>
      </w:r>
      <w:r>
        <w:t xml:space="preserve"> to the devices</w:t>
      </w:r>
      <w:r w:rsidRPr="003B7095">
        <w:t xml:space="preserve"> that could impair E911 performance or compromise data integrity.</w:t>
      </w:r>
      <w:r>
        <w:t xml:space="preserve">  </w:t>
      </w:r>
      <w:r w:rsidRPr="003B7095">
        <w:t xml:space="preserve">For example, devices that </w:t>
      </w:r>
      <w:r>
        <w:t xml:space="preserve">are augmented to </w:t>
      </w:r>
      <w:r w:rsidRPr="003B7095">
        <w:t>receive signals from multiple satellite</w:t>
      </w:r>
      <w:r>
        <w:t xml:space="preserve"> constellations </w:t>
      </w:r>
      <w:r w:rsidRPr="003B7095">
        <w:t xml:space="preserve">may be more susceptible to </w:t>
      </w:r>
      <w:r>
        <w:t xml:space="preserve">radio frequency </w:t>
      </w:r>
      <w:r w:rsidRPr="003B7095">
        <w:t>interference</w:t>
      </w:r>
      <w:r>
        <w:t xml:space="preserve"> </w:t>
      </w:r>
      <w:r w:rsidRPr="003B7095">
        <w:t>than devices that receive signals from GPS alone.</w:t>
      </w:r>
      <w:r w:rsidRPr="00B7262E">
        <w:rPr>
          <w:rStyle w:val="FootnoteReference"/>
        </w:rPr>
        <w:footnoteReference w:id="75"/>
      </w:r>
      <w:r>
        <w:t xml:space="preserve"> </w:t>
      </w:r>
      <w:r w:rsidRPr="003B7095">
        <w:t xml:space="preserve"> </w:t>
      </w:r>
      <w:r>
        <w:t>Device</w:t>
      </w:r>
      <w:r w:rsidRPr="003B7095">
        <w:t xml:space="preserve">s </w:t>
      </w:r>
      <w:r>
        <w:t xml:space="preserve">should </w:t>
      </w:r>
      <w:r w:rsidRPr="003B7095">
        <w:t xml:space="preserve">also be </w:t>
      </w:r>
      <w:r>
        <w:t xml:space="preserve">evaluated </w:t>
      </w:r>
      <w:r w:rsidRPr="003B7095">
        <w:t xml:space="preserve">to </w:t>
      </w:r>
      <w:r>
        <w:t xml:space="preserve">determine their capabilities to </w:t>
      </w:r>
      <w:r w:rsidRPr="003B7095">
        <w:t xml:space="preserve">detect </w:t>
      </w:r>
      <w:r>
        <w:t xml:space="preserve">and mitigate the effects of </w:t>
      </w:r>
      <w:r w:rsidRPr="003B7095">
        <w:t>inaccu</w:t>
      </w:r>
      <w:r>
        <w:t>rate or corrupted data from any</w:t>
      </w:r>
      <w:r w:rsidRPr="003B7095">
        <w:t xml:space="preserve"> </w:t>
      </w:r>
      <w:r>
        <w:t xml:space="preserve">RNSS </w:t>
      </w:r>
      <w:r w:rsidRPr="003B7095">
        <w:t>system that could result in incorrect location information</w:t>
      </w:r>
      <w:r>
        <w:t xml:space="preserve">, or no information at all, </w:t>
      </w:r>
      <w:r w:rsidRPr="003B7095">
        <w:t>being relayed to a PSAP</w:t>
      </w:r>
      <w:r>
        <w:t>.</w:t>
      </w:r>
      <w:r>
        <w:rPr>
          <w:rStyle w:val="FootnoteReference"/>
        </w:rPr>
        <w:footnoteReference w:id="76"/>
      </w:r>
      <w:r w:rsidRPr="003B7095">
        <w:t xml:space="preserve">  We expect </w:t>
      </w:r>
      <w:r w:rsidR="00623D5A">
        <w:t>CMRS providers,</w:t>
      </w:r>
      <w:r>
        <w:t xml:space="preserve"> at the time they </w:t>
      </w:r>
      <w:r w:rsidRPr="003B7095">
        <w:t>certify</w:t>
      </w:r>
      <w:r>
        <w:t xml:space="preserve"> </w:t>
      </w:r>
      <w:r w:rsidR="00623D5A">
        <w:t>their compliance with</w:t>
      </w:r>
      <w:r>
        <w:t xml:space="preserve"> the Commission’s location accuracy requirements, to also certify </w:t>
      </w:r>
      <w:r w:rsidRPr="003B7095">
        <w:t>that</w:t>
      </w:r>
      <w:r>
        <w:t xml:space="preserve"> </w:t>
      </w:r>
      <w:r w:rsidRPr="003B7095">
        <w:t xml:space="preserve">any devices on their network </w:t>
      </w:r>
      <w:r>
        <w:t xml:space="preserve">operating with </w:t>
      </w:r>
      <w:r w:rsidRPr="003B7095">
        <w:t>foreign A-GNSS</w:t>
      </w:r>
      <w:r>
        <w:t xml:space="preserve"> signals</w:t>
      </w:r>
      <w:r w:rsidRPr="003B7095">
        <w:t xml:space="preserve"> for 911 location accuracy have </w:t>
      </w:r>
      <w:r>
        <w:t xml:space="preserve">proper authorizations in place to permit such use.  Before incorporating foreign A-GNSS into E911, </w:t>
      </w:r>
      <w:r w:rsidR="00623D5A">
        <w:t xml:space="preserve">CMRS providers </w:t>
      </w:r>
      <w:r>
        <w:t xml:space="preserve">must coordinate plans for foreign A-GNSS signal integration with the Public Safety and Homeland Security Bureau to confirm that signals are interoperable with GPS and that measures to prevent interference are appropriate.  Furthermore, </w:t>
      </w:r>
      <w:r w:rsidR="00623D5A">
        <w:t xml:space="preserve">CMRS providers </w:t>
      </w:r>
      <w:r>
        <w:t xml:space="preserve">are expected to certify that the devices have </w:t>
      </w:r>
      <w:r w:rsidRPr="003B7095">
        <w:t>been tested</w:t>
      </w:r>
      <w:r>
        <w:t xml:space="preserve"> to determine their ability to </w:t>
      </w:r>
      <w:r w:rsidRPr="00201A04">
        <w:t>detect</w:t>
      </w:r>
      <w:r>
        <w:t xml:space="preserve"> and </w:t>
      </w:r>
      <w:r w:rsidRPr="00201A04">
        <w:t>mitigate</w:t>
      </w:r>
      <w:r>
        <w:t xml:space="preserve"> the effects of harmful interference.</w:t>
      </w:r>
    </w:p>
    <w:p w14:paraId="2CC212A6" w14:textId="77777777" w:rsidR="00EB36D5" w:rsidRPr="008B60AE" w:rsidRDefault="00EB36D5" w:rsidP="00EB36D5">
      <w:pPr>
        <w:pStyle w:val="Heading3"/>
        <w:rPr>
          <w:szCs w:val="22"/>
        </w:rPr>
      </w:pPr>
      <w:bookmarkStart w:id="173" w:name="_Toc406481389"/>
      <w:bookmarkStart w:id="174" w:name="_Toc406513843"/>
      <w:bookmarkStart w:id="175" w:name="_Toc408400449"/>
      <w:bookmarkStart w:id="176" w:name="_Toc408400487"/>
      <w:bookmarkStart w:id="177" w:name="_Toc408400548"/>
      <w:bookmarkStart w:id="178" w:name="_Toc408403113"/>
      <w:bookmarkStart w:id="179" w:name="_Toc408421325"/>
      <w:bookmarkStart w:id="180" w:name="_Toc407796239"/>
      <w:bookmarkStart w:id="181" w:name="_Toc408490560"/>
      <w:bookmarkStart w:id="182" w:name="_Toc408496212"/>
      <w:bookmarkStart w:id="183" w:name="_Ref408501243"/>
      <w:bookmarkStart w:id="184" w:name="_Ref408501248"/>
      <w:bookmarkStart w:id="185" w:name="_Toc408502413"/>
      <w:bookmarkStart w:id="186" w:name="_Ref408922477"/>
      <w:bookmarkStart w:id="187" w:name="_Toc410119085"/>
      <w:bookmarkStart w:id="188" w:name="_Toc410123664"/>
      <w:bookmarkStart w:id="189" w:name="_Toc410124646"/>
      <w:bookmarkStart w:id="190" w:name="_Toc410124726"/>
      <w:bookmarkStart w:id="191" w:name="_Toc410146120"/>
      <w:bookmarkStart w:id="192" w:name="_Toc410212644"/>
      <w:bookmarkStart w:id="193" w:name="_Toc410648285"/>
      <w:r>
        <w:rPr>
          <w:szCs w:val="22"/>
        </w:rPr>
        <w:t>Dispatchable Location</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szCs w:val="22"/>
        </w:rPr>
        <w:t xml:space="preserve"> </w:t>
      </w:r>
    </w:p>
    <w:p w14:paraId="2C5240ED" w14:textId="70601ACE" w:rsidR="00996562" w:rsidRPr="005505CB" w:rsidRDefault="00996562" w:rsidP="00996562">
      <w:pPr>
        <w:pStyle w:val="ParaNum"/>
        <w:rPr>
          <w:szCs w:val="22"/>
        </w:rPr>
      </w:pPr>
      <w:r w:rsidRPr="002F70EB">
        <w:t xml:space="preserve">In the </w:t>
      </w:r>
      <w:r w:rsidRPr="00347F4E">
        <w:rPr>
          <w:i/>
        </w:rPr>
        <w:t>Third Further Notice,</w:t>
      </w:r>
      <w:r w:rsidRPr="002F70EB">
        <w:t xml:space="preserve"> </w:t>
      </w:r>
      <w:r w:rsidRPr="00347F4E">
        <w:rPr>
          <w:szCs w:val="22"/>
        </w:rPr>
        <w:t xml:space="preserve">we </w:t>
      </w:r>
      <w:r>
        <w:rPr>
          <w:szCs w:val="22"/>
        </w:rPr>
        <w:t xml:space="preserve">identified </w:t>
      </w:r>
      <w:r w:rsidRPr="002F70EB">
        <w:t xml:space="preserve">the delivery </w:t>
      </w:r>
      <w:r>
        <w:t xml:space="preserve">by CMRS providers to PSAPs </w:t>
      </w:r>
      <w:r w:rsidRPr="002F70EB">
        <w:t>of “</w:t>
      </w:r>
      <w:r>
        <w:t>dispatchable address</w:t>
      </w:r>
      <w:r w:rsidRPr="002F70EB">
        <w:t>” information</w:t>
      </w:r>
      <w:r>
        <w:rPr>
          <w:szCs w:val="22"/>
        </w:rPr>
        <w:t xml:space="preserve"> as a long-term objective to improve indoor location.  While we proposed indoor accuracy requirements based on x/y/z coordinate information, we noted that public safety needs would be better served if PSAPs could receive </w:t>
      </w:r>
      <w:r w:rsidRPr="005505CB">
        <w:t>the caller’s building address, floor level, and suite/room number</w:t>
      </w:r>
      <w:r>
        <w:t>.</w:t>
      </w:r>
      <w:r>
        <w:rPr>
          <w:szCs w:val="22"/>
        </w:rPr>
        <w:t xml:space="preserve">  Therefore, we sought comment on </w:t>
      </w:r>
      <w:r>
        <w:t xml:space="preserve">whether to </w:t>
      </w:r>
      <w:r w:rsidRPr="002F70EB">
        <w:t xml:space="preserve">adopt an alternative indoor location requirement that CMRS providers </w:t>
      </w:r>
      <w:r>
        <w:t>could</w:t>
      </w:r>
      <w:r w:rsidRPr="002F70EB">
        <w:t xml:space="preserve"> satisfy by delivering a caller’s building address and floor </w:t>
      </w:r>
      <w:r>
        <w:t>level</w:t>
      </w:r>
      <w:r w:rsidRPr="002F70EB">
        <w:t>.</w:t>
      </w:r>
      <w:r w:rsidR="007141AB">
        <w:rPr>
          <w:rStyle w:val="FootnoteReference"/>
        </w:rPr>
        <w:footnoteReference w:id="77"/>
      </w:r>
      <w:r w:rsidRPr="002F70EB">
        <w:t xml:space="preserve"> </w:t>
      </w:r>
      <w:r>
        <w:t xml:space="preserve"> </w:t>
      </w:r>
    </w:p>
    <w:p w14:paraId="6A91850F" w14:textId="3B93EA4E" w:rsidR="00EB36D5" w:rsidRPr="00E73EB0" w:rsidRDefault="00996562" w:rsidP="002601FC">
      <w:pPr>
        <w:pStyle w:val="ParaNum"/>
        <w:rPr>
          <w:szCs w:val="22"/>
        </w:rPr>
      </w:pPr>
      <w:r>
        <w:t xml:space="preserve">Although we viewed development of dispatchable location capability as a long-term goal in the </w:t>
      </w:r>
      <w:r w:rsidRPr="00EB3334">
        <w:rPr>
          <w:i/>
        </w:rPr>
        <w:t>Third Further Notice</w:t>
      </w:r>
      <w:r>
        <w:t>, the subsequent comment record and the Roadmap indicate the proliferation of in-building technology such as small cells and Wi-Fi and Bluetooth beacons</w:t>
      </w:r>
      <w:r w:rsidR="0054763A">
        <w:t>, which can be used together,</w:t>
      </w:r>
      <w:r>
        <w:t xml:space="preserve"> has made dispatchable location solutions technically feasible in a much shorter timeframe than we initially anticipated.  Therefore, as described below, we conclude that CMRS providers should be allowed to use dispatchable location to comply with our indoor location accuracy requirements.</w:t>
      </w:r>
    </w:p>
    <w:p w14:paraId="6BAA7CCB" w14:textId="77777777" w:rsidR="00E73EB0" w:rsidRPr="00D86D94" w:rsidRDefault="00E73EB0" w:rsidP="00E73EB0">
      <w:pPr>
        <w:pStyle w:val="Heading4"/>
        <w:rPr>
          <w:szCs w:val="22"/>
        </w:rPr>
      </w:pPr>
      <w:bookmarkStart w:id="194" w:name="_Toc408400488"/>
      <w:bookmarkStart w:id="195" w:name="_Toc408400549"/>
      <w:bookmarkStart w:id="196" w:name="_Toc408490561"/>
      <w:r>
        <w:rPr>
          <w:szCs w:val="22"/>
        </w:rPr>
        <w:t>Definition of Dispatchable Location</w:t>
      </w:r>
      <w:bookmarkEnd w:id="194"/>
      <w:bookmarkEnd w:id="195"/>
      <w:bookmarkEnd w:id="196"/>
    </w:p>
    <w:p w14:paraId="06826A9D" w14:textId="77777777" w:rsidR="00EB36D5" w:rsidRPr="00073BE8" w:rsidRDefault="00EB36D5" w:rsidP="00EE2E1F">
      <w:pPr>
        <w:pStyle w:val="ParaNum"/>
        <w:widowControl/>
        <w:rPr>
          <w:szCs w:val="22"/>
        </w:rPr>
      </w:pPr>
      <w:bookmarkStart w:id="197" w:name="_Ref408922499"/>
      <w:r>
        <w:t xml:space="preserve">The Roadmap uses the term </w:t>
      </w:r>
      <w:r w:rsidRPr="00AF292D">
        <w:rPr>
          <w:rFonts w:eastAsia="MS Mincho"/>
          <w:lang w:eastAsia="ja-JP"/>
        </w:rPr>
        <w:t>“</w:t>
      </w:r>
      <w:r>
        <w:rPr>
          <w:rFonts w:eastAsia="MS Mincho"/>
          <w:lang w:eastAsia="ja-JP"/>
        </w:rPr>
        <w:t>dispatchable location</w:t>
      </w:r>
      <w:r w:rsidRPr="00AF292D">
        <w:rPr>
          <w:rFonts w:eastAsia="MS Mincho"/>
          <w:lang w:eastAsia="ja-JP"/>
        </w:rPr>
        <w:t xml:space="preserve">” </w:t>
      </w:r>
      <w:r>
        <w:rPr>
          <w:rFonts w:eastAsia="MS Mincho"/>
          <w:lang w:eastAsia="ja-JP"/>
        </w:rPr>
        <w:t xml:space="preserve">rather than “dispatchable address” to describe the same objective identified in the </w:t>
      </w:r>
      <w:r w:rsidRPr="00B7262E">
        <w:rPr>
          <w:rFonts w:eastAsia="MS Mincho"/>
          <w:i/>
        </w:rPr>
        <w:t>Third Further Notice</w:t>
      </w:r>
      <w:r>
        <w:rPr>
          <w:rFonts w:eastAsia="MS Mincho"/>
          <w:lang w:eastAsia="ja-JP"/>
        </w:rPr>
        <w:t>.  The Roadmap defines “dispatchable location” as</w:t>
      </w:r>
      <w:r w:rsidRPr="00AF292D">
        <w:rPr>
          <w:rFonts w:eastAsia="MS Mincho"/>
          <w:lang w:eastAsia="ja-JP"/>
        </w:rPr>
        <w:t xml:space="preserve"> “the civic address of the calling party plus additional information such as floor, suite, apartment or similar information that may be needed to adequately identify the location of the calling party.”</w:t>
      </w:r>
      <w:r>
        <w:rPr>
          <w:rStyle w:val="FootnoteReference"/>
          <w:rFonts w:eastAsia="MS Mincho"/>
          <w:lang w:eastAsia="ja-JP"/>
        </w:rPr>
        <w:footnoteReference w:id="78"/>
      </w:r>
      <w:bookmarkEnd w:id="197"/>
      <w:r>
        <w:rPr>
          <w:rFonts w:eastAsia="MS Mincho"/>
          <w:lang w:eastAsia="ja-JP"/>
        </w:rPr>
        <w:t xml:space="preserve">  </w:t>
      </w:r>
    </w:p>
    <w:p w14:paraId="552D6100" w14:textId="00812918" w:rsidR="002B39CF" w:rsidRPr="007369C2" w:rsidRDefault="007755FB" w:rsidP="007C7DD0">
      <w:pPr>
        <w:pStyle w:val="ParaNum"/>
      </w:pPr>
      <w:bookmarkStart w:id="198" w:name="_Ref408922505"/>
      <w:r>
        <w:t xml:space="preserve">For the purposes of this rulemaking, </w:t>
      </w:r>
      <w:bookmarkEnd w:id="198"/>
      <w:r w:rsidR="002B39CF">
        <w:t>we</w:t>
      </w:r>
      <w:r w:rsidR="002B39CF" w:rsidRPr="00452DFE">
        <w:t xml:space="preserve"> </w:t>
      </w:r>
      <w:r w:rsidR="002B39CF">
        <w:t xml:space="preserve">define </w:t>
      </w:r>
      <w:r w:rsidR="002B39CF" w:rsidRPr="00452DFE">
        <w:t>“</w:t>
      </w:r>
      <w:r w:rsidR="002B39CF">
        <w:t>dispatchable location</w:t>
      </w:r>
      <w:r w:rsidR="002B39CF" w:rsidRPr="00452DFE">
        <w:t xml:space="preserve">” </w:t>
      </w:r>
      <w:r w:rsidR="002B39CF">
        <w:t xml:space="preserve">as </w:t>
      </w:r>
      <w:r w:rsidR="002B39CF" w:rsidRPr="00164841">
        <w:rPr>
          <w:rFonts w:eastAsia="MS Mincho"/>
          <w:lang w:eastAsia="ja-JP"/>
        </w:rPr>
        <w:t xml:space="preserve">the </w:t>
      </w:r>
      <w:r w:rsidR="002B39CF" w:rsidRPr="00403326">
        <w:rPr>
          <w:rFonts w:eastAsia="MS Mincho"/>
          <w:lang w:eastAsia="ja-JP"/>
        </w:rPr>
        <w:t>verified or corroborated street address of the calling party plus additional information such as floor, suite, apartment or similar information that may be needed to adequately identify the location of the calling party</w:t>
      </w:r>
      <w:r w:rsidR="002B39CF" w:rsidRPr="00F36C17">
        <w:rPr>
          <w:rFonts w:eastAsia="MS Mincho"/>
          <w:lang w:eastAsia="ja-JP"/>
        </w:rPr>
        <w:t xml:space="preserve">. </w:t>
      </w:r>
      <w:r w:rsidR="002B39CF" w:rsidRPr="009A3F84">
        <w:rPr>
          <w:rFonts w:eastAsia="MS Mincho"/>
          <w:lang w:eastAsia="ja-JP"/>
        </w:rPr>
        <w:t xml:space="preserve"> </w:t>
      </w:r>
      <w:r w:rsidR="002B39CF" w:rsidRPr="00631FEE">
        <w:t>W</w:t>
      </w:r>
      <w:r w:rsidR="002B39CF">
        <w:t>e note that w</w:t>
      </w:r>
      <w:r w:rsidR="002B39CF" w:rsidRPr="00631FEE">
        <w:t xml:space="preserve">hile all dispatchable addresses are necessarily civic addresses, not all civic addresses are “dispatchable,” </w:t>
      </w:r>
      <w:r w:rsidR="002B39CF" w:rsidRPr="00164841">
        <w:rPr>
          <w:i/>
        </w:rPr>
        <w:t>e.g.,</w:t>
      </w:r>
      <w:r w:rsidR="002B39CF" w:rsidRPr="00631FEE">
        <w:t xml:space="preserve"> </w:t>
      </w:r>
      <w:r w:rsidR="002B39CF">
        <w:t xml:space="preserve">P.O. Boxes, diplomatic or armed forces pouch addresses, </w:t>
      </w:r>
      <w:r w:rsidR="002B39CF" w:rsidRPr="00164841">
        <w:rPr>
          <w:i/>
        </w:rPr>
        <w:t>etc</w:t>
      </w:r>
      <w:r w:rsidR="002B39CF" w:rsidRPr="00631FEE">
        <w:t>.</w:t>
      </w:r>
      <w:r w:rsidR="002B39CF">
        <w:rPr>
          <w:rStyle w:val="FootnoteReference"/>
          <w:rFonts w:eastAsia="MS Mincho"/>
          <w:lang w:eastAsia="ja-JP"/>
        </w:rPr>
        <w:footnoteReference w:id="79"/>
      </w:r>
      <w:r w:rsidR="002B39CF" w:rsidRPr="00631FEE">
        <w:t xml:space="preserve"> </w:t>
      </w:r>
      <w:r w:rsidR="002B39CF">
        <w:t xml:space="preserve">  PSAPs currently use street address in dispatch systems, the very essence of any “dispatchable” location solution.  Public safety organizations have described dispatchable location as the “gold standard” in terms </w:t>
      </w:r>
      <w:r w:rsidR="0067491A">
        <w:t xml:space="preserve">of </w:t>
      </w:r>
      <w:r w:rsidR="002B39CF">
        <w:t>location accuracy and utility for allocating emergency resources in the field.</w:t>
      </w:r>
      <w:r w:rsidR="002B39CF">
        <w:rPr>
          <w:rStyle w:val="FootnoteReference"/>
        </w:rPr>
        <w:footnoteReference w:id="80"/>
      </w:r>
      <w:r w:rsidR="002B39CF">
        <w:t xml:space="preserve">  Accordingly, </w:t>
      </w:r>
      <w:r w:rsidR="002B39CF" w:rsidRPr="00164841">
        <w:rPr>
          <w:rFonts w:eastAsia="MS Mincho"/>
          <w:lang w:eastAsia="ja-JP"/>
        </w:rPr>
        <w:t>we adopt a definition similar to the one offered in the Roadmap, but substitute the term “street address” to provide clarity and ensure that dispatchers are not sent to addresses which may not be street addres</w:t>
      </w:r>
      <w:r w:rsidR="002B39CF" w:rsidRPr="00403326">
        <w:rPr>
          <w:rFonts w:eastAsia="MS Mincho"/>
          <w:lang w:eastAsia="ja-JP"/>
        </w:rPr>
        <w:t xml:space="preserve">ses, and therefore, may not be “dispatchable.”  </w:t>
      </w:r>
      <w:r w:rsidR="007141AB" w:rsidRPr="00403326">
        <w:rPr>
          <w:rFonts w:eastAsia="MS Mincho"/>
          <w:lang w:eastAsia="ja-JP"/>
        </w:rPr>
        <w:t xml:space="preserve">Although </w:t>
      </w:r>
      <w:r w:rsidR="002B39CF" w:rsidRPr="009A3F84">
        <w:rPr>
          <w:rFonts w:eastAsia="MS Mincho"/>
          <w:lang w:eastAsia="ja-JP"/>
        </w:rPr>
        <w:t>IMSA</w:t>
      </w:r>
      <w:r w:rsidR="007141AB" w:rsidRPr="009A3F84">
        <w:rPr>
          <w:rFonts w:eastAsia="MS Mincho"/>
          <w:lang w:eastAsia="ja-JP"/>
        </w:rPr>
        <w:t xml:space="preserve"> contends that </w:t>
      </w:r>
      <w:r w:rsidR="007141AB" w:rsidRPr="00164841">
        <w:rPr>
          <w:rFonts w:eastAsia="MS Mincho"/>
          <w:lang w:eastAsia="ja-JP"/>
        </w:rPr>
        <w:t xml:space="preserve">the </w:t>
      </w:r>
      <w:r w:rsidR="002B39CF" w:rsidRPr="00164841">
        <w:rPr>
          <w:rFonts w:eastAsia="MS Mincho"/>
          <w:lang w:eastAsia="ja-JP"/>
        </w:rPr>
        <w:t>Roadmap’s definition of dispatchable location</w:t>
      </w:r>
      <w:r w:rsidR="007141AB" w:rsidRPr="00164841">
        <w:rPr>
          <w:rFonts w:eastAsia="MS Mincho"/>
          <w:lang w:eastAsia="ja-JP"/>
        </w:rPr>
        <w:t xml:space="preserve"> lacks specificity,</w:t>
      </w:r>
      <w:r w:rsidR="002B39CF">
        <w:rPr>
          <w:rStyle w:val="FootnoteReference"/>
          <w:rFonts w:eastAsia="MS Mincho"/>
          <w:lang w:eastAsia="ja-JP"/>
        </w:rPr>
        <w:footnoteReference w:id="81"/>
      </w:r>
      <w:r w:rsidR="002B39CF" w:rsidRPr="00164841">
        <w:rPr>
          <w:rFonts w:eastAsia="MS Mincho"/>
          <w:lang w:eastAsia="ja-JP"/>
        </w:rPr>
        <w:t xml:space="preserve"> </w:t>
      </w:r>
      <w:r w:rsidR="007141AB" w:rsidRPr="00403326">
        <w:rPr>
          <w:rFonts w:eastAsia="MS Mincho"/>
          <w:lang w:eastAsia="ja-JP"/>
        </w:rPr>
        <w:t>w</w:t>
      </w:r>
      <w:r w:rsidR="002B39CF" w:rsidRPr="00F36C17">
        <w:rPr>
          <w:rFonts w:eastAsia="MS Mincho"/>
          <w:lang w:eastAsia="ja-JP"/>
        </w:rPr>
        <w:t>e find that this definition strikes the appropriate balance between specificity and flexibility</w:t>
      </w:r>
      <w:r w:rsidR="007141AB" w:rsidRPr="009A3F84">
        <w:rPr>
          <w:rFonts w:eastAsia="MS Mincho"/>
          <w:lang w:eastAsia="ja-JP"/>
        </w:rPr>
        <w:t xml:space="preserve">. </w:t>
      </w:r>
      <w:r w:rsidR="002B39CF">
        <w:t xml:space="preserve">  </w:t>
      </w:r>
    </w:p>
    <w:p w14:paraId="48EF1125" w14:textId="77777777" w:rsidR="00EB36D5" w:rsidRPr="00A3103D" w:rsidRDefault="00EB36D5" w:rsidP="00EB36D5">
      <w:pPr>
        <w:pStyle w:val="Heading4"/>
      </w:pPr>
      <w:bookmarkStart w:id="199" w:name="_Toc408400489"/>
      <w:bookmarkStart w:id="200" w:name="_Toc408400550"/>
      <w:bookmarkStart w:id="201" w:name="_Toc408490562"/>
      <w:r>
        <w:t xml:space="preserve">Technological Feasibility </w:t>
      </w:r>
      <w:r w:rsidR="00E73EB0">
        <w:t>and Implementation</w:t>
      </w:r>
      <w:r w:rsidR="002F476A">
        <w:t xml:space="preserve"> Issues</w:t>
      </w:r>
      <w:bookmarkEnd w:id="199"/>
      <w:bookmarkEnd w:id="200"/>
      <w:bookmarkEnd w:id="201"/>
    </w:p>
    <w:p w14:paraId="1671919C" w14:textId="76123CBB" w:rsidR="00EB36D5" w:rsidRPr="002F476A" w:rsidRDefault="00EB36D5" w:rsidP="00D17A55">
      <w:pPr>
        <w:pStyle w:val="ParaNum"/>
      </w:pPr>
      <w:r w:rsidRPr="0044447E">
        <w:t xml:space="preserve">In the </w:t>
      </w:r>
      <w:r w:rsidRPr="0044447E">
        <w:rPr>
          <w:i/>
        </w:rPr>
        <w:t>Third Further Notice</w:t>
      </w:r>
      <w:r w:rsidRPr="0044447E">
        <w:t>,</w:t>
      </w:r>
      <w:r w:rsidRPr="0044447E">
        <w:rPr>
          <w:i/>
        </w:rPr>
        <w:t xml:space="preserve"> </w:t>
      </w:r>
      <w:r w:rsidRPr="0044447E">
        <w:t xml:space="preserve">we recognized that provision of a dispatchable location </w:t>
      </w:r>
      <w:r>
        <w:t>would most likely be through the use of</w:t>
      </w:r>
      <w:r w:rsidRPr="0044447E">
        <w:t xml:space="preserve"> in-building location systems and network access devices</w:t>
      </w:r>
      <w:r>
        <w:t>,</w:t>
      </w:r>
      <w:r w:rsidRPr="0044447E">
        <w:t xml:space="preserve"> which could be programmed to provide granular information on the 911 caller’s location, including building address and floor level.</w:t>
      </w:r>
      <w:r w:rsidRPr="004B617B">
        <w:rPr>
          <w:rStyle w:val="FootnoteReference"/>
          <w:rFonts w:eastAsiaTheme="majorEastAsia"/>
          <w:szCs w:val="22"/>
        </w:rPr>
        <w:footnoteReference w:id="82"/>
      </w:r>
      <w:r w:rsidRPr="0044447E">
        <w:t xml:space="preserve">  </w:t>
      </w:r>
      <w:r w:rsidR="0067145E">
        <w:t xml:space="preserve">We noted that </w:t>
      </w:r>
      <w:r w:rsidR="0067145E" w:rsidRPr="00AC7D60">
        <w:t xml:space="preserve">CMRS providers </w:t>
      </w:r>
      <w:r w:rsidR="00145BD8">
        <w:t>are</w:t>
      </w:r>
      <w:r w:rsidR="0067145E">
        <w:t xml:space="preserve"> already </w:t>
      </w:r>
      <w:r w:rsidR="0067145E" w:rsidRPr="00AC7D60">
        <w:t xml:space="preserve">deploying </w:t>
      </w:r>
      <w:r w:rsidR="0067145E">
        <w:t xml:space="preserve">in-building technologies </w:t>
      </w:r>
      <w:r w:rsidR="0067145E" w:rsidRPr="00AC7D60">
        <w:t>to improve and expand their network coverage and speed</w:t>
      </w:r>
      <w:r w:rsidR="0067145E">
        <w:t xml:space="preserve">, and </w:t>
      </w:r>
      <w:r w:rsidR="00E87E0D">
        <w:t xml:space="preserve">asked </w:t>
      </w:r>
      <w:r>
        <w:t xml:space="preserve">how these technologies could </w:t>
      </w:r>
      <w:r w:rsidR="00145BD8">
        <w:t xml:space="preserve">be </w:t>
      </w:r>
      <w:r w:rsidRPr="00D24D54">
        <w:t xml:space="preserve">leveraged to </w:t>
      </w:r>
      <w:r w:rsidR="0067145E">
        <w:t>support indoor 911 location</w:t>
      </w:r>
      <w:r>
        <w:t>, as well as any challenges to implementation</w:t>
      </w:r>
      <w:r w:rsidRPr="00D24D54">
        <w:t>.</w:t>
      </w:r>
      <w:r w:rsidR="0067145E">
        <w:rPr>
          <w:rStyle w:val="FootnoteReference"/>
          <w:rFonts w:eastAsiaTheme="majorEastAsia"/>
        </w:rPr>
        <w:footnoteReference w:id="83"/>
      </w:r>
      <w:r w:rsidRPr="00D24D54">
        <w:t xml:space="preserve"> </w:t>
      </w:r>
      <w:r w:rsidR="002B39CF" w:rsidRPr="002B39CF">
        <w:t xml:space="preserve"> </w:t>
      </w:r>
      <w:r w:rsidR="002B39CF">
        <w:t xml:space="preserve">For the reasons stated below, we believe the Roadmap commitments, including those made in the </w:t>
      </w:r>
      <w:r w:rsidR="00793868">
        <w:t>A</w:t>
      </w:r>
      <w:r w:rsidR="002B39CF">
        <w:t>ddendum, and the comments in the record demonstrate that a dispatchable location solution is feasible and achievable on the timetable we establish</w:t>
      </w:r>
      <w:r w:rsidR="00DB3E54">
        <w:t>, and that in light of our predictive judgment about the future course of development of various wireless location technologies, this approach provides appropriate incentives for CMRS providers to achieve our foregoing goals as effectively and promptly as practicable</w:t>
      </w:r>
      <w:r w:rsidR="00281D11">
        <w:t>.</w:t>
      </w:r>
      <w:r w:rsidR="00D17A55">
        <w:t xml:space="preserve">  </w:t>
      </w:r>
      <w:r w:rsidR="00D17A55" w:rsidRPr="00D17A55">
        <w:t>In the absence of an approved z-axis metric alternative, CMRS providers will be obligated to rely on dispatchable location.</w:t>
      </w:r>
    </w:p>
    <w:p w14:paraId="1DEBC6FF" w14:textId="77777777" w:rsidR="002F476A" w:rsidRPr="0044447E" w:rsidRDefault="002F476A" w:rsidP="00822BB9">
      <w:pPr>
        <w:pStyle w:val="Heading5"/>
      </w:pPr>
      <w:bookmarkStart w:id="202" w:name="_Toc408400490"/>
      <w:r>
        <w:t>In-Building Infrastructure</w:t>
      </w:r>
      <w:bookmarkEnd w:id="202"/>
    </w:p>
    <w:p w14:paraId="793DD663" w14:textId="77777777" w:rsidR="00EB36D5" w:rsidRPr="0044447E" w:rsidRDefault="00EB36D5" w:rsidP="002601FC">
      <w:pPr>
        <w:pStyle w:val="ParaNum"/>
        <w:rPr>
          <w:szCs w:val="22"/>
        </w:rPr>
      </w:pPr>
      <w:r w:rsidRPr="00FD0A59">
        <w:rPr>
          <w:szCs w:val="22"/>
        </w:rPr>
        <w:t xml:space="preserve">Commenters confirm that </w:t>
      </w:r>
      <w:r w:rsidR="00AC7035">
        <w:rPr>
          <w:szCs w:val="22"/>
        </w:rPr>
        <w:t xml:space="preserve">the feasibility of </w:t>
      </w:r>
      <w:r w:rsidRPr="00FD0A59">
        <w:rPr>
          <w:szCs w:val="22"/>
        </w:rPr>
        <w:t>dispatchable location is linked</w:t>
      </w:r>
      <w:r>
        <w:rPr>
          <w:szCs w:val="22"/>
        </w:rPr>
        <w:t xml:space="preserve"> to </w:t>
      </w:r>
      <w:r w:rsidR="00AC7035">
        <w:rPr>
          <w:szCs w:val="22"/>
        </w:rPr>
        <w:t>the proliferation o</w:t>
      </w:r>
      <w:r w:rsidR="0069121A">
        <w:rPr>
          <w:szCs w:val="22"/>
        </w:rPr>
        <w:t>f</w:t>
      </w:r>
      <w:r w:rsidR="00AC7035">
        <w:rPr>
          <w:szCs w:val="22"/>
        </w:rPr>
        <w:t xml:space="preserve"> </w:t>
      </w:r>
      <w:r>
        <w:rPr>
          <w:szCs w:val="22"/>
        </w:rPr>
        <w:t>indoor, infrastructure-</w:t>
      </w:r>
      <w:r w:rsidRPr="00FD0A59">
        <w:rPr>
          <w:szCs w:val="22"/>
        </w:rPr>
        <w:t xml:space="preserve">based </w:t>
      </w:r>
      <w:r>
        <w:rPr>
          <w:szCs w:val="22"/>
        </w:rPr>
        <w:t xml:space="preserve">technologies, </w:t>
      </w:r>
      <w:r w:rsidRPr="00D24D54">
        <w:t>including small cell technology,</w:t>
      </w:r>
      <w:r w:rsidRPr="0044447E">
        <w:rPr>
          <w:rStyle w:val="FootnoteReference"/>
          <w:rFonts w:eastAsiaTheme="majorEastAsia"/>
          <w:szCs w:val="22"/>
        </w:rPr>
        <w:t xml:space="preserve"> </w:t>
      </w:r>
      <w:r>
        <w:rPr>
          <w:rStyle w:val="FootnoteReference"/>
          <w:rFonts w:eastAsiaTheme="majorEastAsia"/>
          <w:szCs w:val="22"/>
        </w:rPr>
        <w:footnoteReference w:id="84"/>
      </w:r>
      <w:r w:rsidRPr="00D24D54">
        <w:t xml:space="preserve"> dist</w:t>
      </w:r>
      <w:r>
        <w:t>ributed antenna systems (DAS),</w:t>
      </w:r>
      <w:r w:rsidRPr="00D24D54">
        <w:rPr>
          <w:rStyle w:val="FootnoteReference"/>
          <w:rFonts w:eastAsiaTheme="majorEastAsia"/>
        </w:rPr>
        <w:footnoteReference w:id="85"/>
      </w:r>
      <w:r w:rsidRPr="00D24D54">
        <w:t xml:space="preserve"> </w:t>
      </w:r>
      <w:r>
        <w:t xml:space="preserve"> </w:t>
      </w:r>
      <w:r w:rsidRPr="00D24D54">
        <w:t>Wi-Fi access points,</w:t>
      </w:r>
      <w:r>
        <w:rPr>
          <w:rStyle w:val="FootnoteReference"/>
        </w:rPr>
        <w:footnoteReference w:id="86"/>
      </w:r>
      <w:r w:rsidRPr="00D24D54">
        <w:t xml:space="preserve"> beacons,</w:t>
      </w:r>
      <w:r w:rsidRPr="0044447E">
        <w:rPr>
          <w:rStyle w:val="FootnoteReference"/>
          <w:rFonts w:eastAsiaTheme="majorEastAsia"/>
        </w:rPr>
        <w:t xml:space="preserve"> </w:t>
      </w:r>
      <w:r>
        <w:rPr>
          <w:rStyle w:val="FootnoteReference"/>
          <w:rFonts w:eastAsiaTheme="majorEastAsia"/>
        </w:rPr>
        <w:footnoteReference w:id="87"/>
      </w:r>
      <w:r w:rsidRPr="00D24D54">
        <w:t xml:space="preserve"> </w:t>
      </w:r>
      <w:r>
        <w:t>commercial location-based services (cLBS),</w:t>
      </w:r>
      <w:r>
        <w:rPr>
          <w:rStyle w:val="FootnoteReference"/>
        </w:rPr>
        <w:footnoteReference w:id="88"/>
      </w:r>
      <w:r>
        <w:t xml:space="preserve"> </w:t>
      </w:r>
      <w:r w:rsidRPr="00D24D54">
        <w:t>institutional and enterpri</w:t>
      </w:r>
      <w:r>
        <w:t>se location systems,</w:t>
      </w:r>
      <w:r>
        <w:rPr>
          <w:rStyle w:val="FootnoteReference"/>
        </w:rPr>
        <w:footnoteReference w:id="89"/>
      </w:r>
      <w:r>
        <w:t xml:space="preserve"> and smart </w:t>
      </w:r>
      <w:r w:rsidRPr="00D24D54">
        <w:t>building technology.</w:t>
      </w:r>
      <w:r>
        <w:rPr>
          <w:rStyle w:val="FootnoteReference"/>
        </w:rPr>
        <w:footnoteReference w:id="90"/>
      </w:r>
      <w:r w:rsidRPr="00D24D54">
        <w:t xml:space="preserve">  </w:t>
      </w:r>
      <w:r>
        <w:t>T</w:t>
      </w:r>
      <w:r>
        <w:rPr>
          <w:szCs w:val="22"/>
        </w:rPr>
        <w:t xml:space="preserve">hese technologies </w:t>
      </w:r>
      <w:r w:rsidR="00AC7035">
        <w:rPr>
          <w:szCs w:val="22"/>
        </w:rPr>
        <w:t xml:space="preserve">can </w:t>
      </w:r>
      <w:r>
        <w:rPr>
          <w:szCs w:val="22"/>
        </w:rPr>
        <w:t>be used in a location system</w:t>
      </w:r>
      <w:r>
        <w:t xml:space="preserve"> information “stack” that would allow a CMRS provider’s location server to compile and compare location fixes from multiple sources, to identify and disregard inaccurate fixes, and otherwise synthesize available location data.</w:t>
      </w:r>
      <w:r>
        <w:rPr>
          <w:rStyle w:val="FootnoteReference"/>
          <w:rFonts w:eastAsiaTheme="majorEastAsia"/>
        </w:rPr>
        <w:footnoteReference w:id="91"/>
      </w:r>
      <w:r>
        <w:t xml:space="preserve">  </w:t>
      </w:r>
    </w:p>
    <w:p w14:paraId="5456852E" w14:textId="3A3398EC" w:rsidR="00067204" w:rsidRPr="00D062B8" w:rsidRDefault="00EB36D5" w:rsidP="007C7DD0">
      <w:pPr>
        <w:pStyle w:val="ParaNum"/>
      </w:pPr>
      <w:r>
        <w:t xml:space="preserve">The record also confirms that many of these technologies </w:t>
      </w:r>
      <w:r w:rsidR="00AC7035">
        <w:t xml:space="preserve">can </w:t>
      </w:r>
      <w:r>
        <w:t xml:space="preserve">contribute to </w:t>
      </w:r>
      <w:r w:rsidR="00AC7035">
        <w:t xml:space="preserve">the development of </w:t>
      </w:r>
      <w:r>
        <w:t>dispatchable location solution</w:t>
      </w:r>
      <w:r w:rsidR="00AC7035">
        <w:t>s</w:t>
      </w:r>
      <w:r>
        <w:t xml:space="preserve"> in the </w:t>
      </w:r>
      <w:r w:rsidR="00E73EB0">
        <w:t xml:space="preserve">near </w:t>
      </w:r>
      <w:r w:rsidR="008D2650">
        <w:t>term</w:t>
      </w:r>
      <w:r>
        <w:t>.</w:t>
      </w:r>
      <w:r w:rsidR="00917143">
        <w:rPr>
          <w:rStyle w:val="FootnoteReference"/>
        </w:rPr>
        <w:footnoteReference w:id="92"/>
      </w:r>
      <w:r>
        <w:t xml:space="preserve">  </w:t>
      </w:r>
      <w:r w:rsidR="00BD1DC4">
        <w:t>Nearly all wireless phones are now equipped with Bluetooth and Wi-Fi capabilities, though some standardization work remains.</w:t>
      </w:r>
      <w:r w:rsidR="005F5D48">
        <w:rPr>
          <w:rStyle w:val="FootnoteReference"/>
        </w:rPr>
        <w:footnoteReference w:id="93"/>
      </w:r>
      <w:r w:rsidR="00BD1DC4">
        <w:t xml:space="preserve">  </w:t>
      </w:r>
      <w:r>
        <w:t xml:space="preserve">Small cells are increasingly deployed in urban areas, and all four nationwide </w:t>
      </w:r>
      <w:r w:rsidR="00DD4106">
        <w:t>CMRS providers</w:t>
      </w:r>
      <w:r>
        <w:t xml:space="preserve"> currently sell or plan to sell in-home consumer products designed to provide improved wireless coverage indoors,</w:t>
      </w:r>
      <w:r w:rsidR="00BD1DC4">
        <w:rPr>
          <w:rStyle w:val="FootnoteReference"/>
          <w:rFonts w:eastAsiaTheme="majorEastAsia"/>
        </w:rPr>
        <w:footnoteReference w:id="94"/>
      </w:r>
      <w:r>
        <w:t xml:space="preserve"> but which could also be leveraged to provide dispatchable location information</w:t>
      </w:r>
      <w:r w:rsidR="00501405">
        <w:t>.  Indeed</w:t>
      </w:r>
      <w:r w:rsidR="00BD1DC4">
        <w:t xml:space="preserve">, the Roadmap commits to making all </w:t>
      </w:r>
      <w:r w:rsidR="005C20D1">
        <w:t>CMRS provider</w:t>
      </w:r>
      <w:r w:rsidR="00BD1DC4">
        <w:t>-provided small cell equipment compatible with any dispatchable location solution.</w:t>
      </w:r>
      <w:r w:rsidR="00BD1DC4">
        <w:rPr>
          <w:rStyle w:val="FootnoteReference"/>
        </w:rPr>
        <w:footnoteReference w:id="95"/>
      </w:r>
      <w:r w:rsidR="00BD1DC4">
        <w:t xml:space="preserve"> </w:t>
      </w:r>
      <w:r w:rsidRPr="00067204">
        <w:rPr>
          <w:szCs w:val="22"/>
        </w:rPr>
        <w:t xml:space="preserve"> </w:t>
      </w:r>
      <w:r>
        <w:t xml:space="preserve">Additionally, Bluetooth beacons and Wi-Fi hotspots are </w:t>
      </w:r>
      <w:r w:rsidR="00BD1DC4">
        <w:t xml:space="preserve">increasingly </w:t>
      </w:r>
      <w:r>
        <w:t>deployed</w:t>
      </w:r>
      <w:r w:rsidR="00BD1DC4">
        <w:t xml:space="preserve"> in public </w:t>
      </w:r>
      <w:r w:rsidR="001A1FDE">
        <w:t>spaces</w:t>
      </w:r>
      <w:r>
        <w:t xml:space="preserve">.  For example, </w:t>
      </w:r>
      <w:r w:rsidR="009B174A">
        <w:rPr>
          <w:rFonts w:eastAsia="MS Mincho"/>
          <w:szCs w:val="22"/>
          <w:lang w:eastAsia="ja-JP"/>
        </w:rPr>
        <w:t>TCS estimates that there are more than 126 million Wi-Fi access points nationwide, with approximately 40 million in commercial settings and 86 million in residential settings.</w:t>
      </w:r>
      <w:r w:rsidR="009B174A">
        <w:rPr>
          <w:rStyle w:val="FootnoteReference"/>
          <w:rFonts w:eastAsia="MS Mincho"/>
          <w:szCs w:val="22"/>
          <w:lang w:eastAsia="ja-JP"/>
        </w:rPr>
        <w:footnoteReference w:id="96"/>
      </w:r>
      <w:r w:rsidR="009B174A">
        <w:rPr>
          <w:rFonts w:eastAsia="MS Mincho"/>
          <w:szCs w:val="22"/>
          <w:lang w:eastAsia="ja-JP"/>
        </w:rPr>
        <w:t xml:space="preserve">  </w:t>
      </w:r>
      <w:r w:rsidR="001F0126" w:rsidRPr="001827BA">
        <w:rPr>
          <w:rFonts w:eastAsia="MS Mincho"/>
          <w:lang w:eastAsia="ja-JP"/>
        </w:rPr>
        <w:t xml:space="preserve">Cisco and TCS </w:t>
      </w:r>
      <w:r w:rsidR="003F589C" w:rsidRPr="001827BA">
        <w:rPr>
          <w:rFonts w:eastAsia="MS Mincho"/>
          <w:lang w:eastAsia="ja-JP"/>
        </w:rPr>
        <w:t xml:space="preserve">assert </w:t>
      </w:r>
      <w:r w:rsidR="001F0126" w:rsidRPr="001827BA">
        <w:rPr>
          <w:rFonts w:eastAsia="MS Mincho"/>
          <w:lang w:eastAsia="ja-JP"/>
        </w:rPr>
        <w:t>that</w:t>
      </w:r>
      <w:r w:rsidR="008D2650">
        <w:rPr>
          <w:rFonts w:eastAsia="MS Mincho"/>
          <w:lang w:eastAsia="ja-JP"/>
        </w:rPr>
        <w:t>,</w:t>
      </w:r>
      <w:r w:rsidR="001F0126" w:rsidRPr="001827BA">
        <w:rPr>
          <w:rFonts w:eastAsia="MS Mincho"/>
          <w:lang w:eastAsia="ja-JP"/>
        </w:rPr>
        <w:t xml:space="preserve"> using Cisco’s wireless local area network and TCS’s gateway client technology</w:t>
      </w:r>
      <w:r w:rsidR="00D57422" w:rsidRPr="009B1247">
        <w:rPr>
          <w:rFonts w:eastAsia="MS Mincho"/>
          <w:lang w:eastAsia="ja-JP"/>
        </w:rPr>
        <w:t xml:space="preserve"> for commercial location solutions</w:t>
      </w:r>
      <w:r w:rsidR="003F589C" w:rsidRPr="004D03F1">
        <w:rPr>
          <w:rFonts w:eastAsia="MS Mincho"/>
          <w:lang w:eastAsia="ja-JP"/>
        </w:rPr>
        <w:t>,</w:t>
      </w:r>
      <w:r w:rsidR="001F0126" w:rsidRPr="004D03F1">
        <w:rPr>
          <w:rFonts w:eastAsia="MS Mincho"/>
          <w:lang w:eastAsia="ja-JP"/>
        </w:rPr>
        <w:t xml:space="preserve"> they can already provide a “‘dispatchable’ location – indicating street address, building identifier, floor number, and suite number </w:t>
      </w:r>
      <w:r w:rsidR="001A1FDE">
        <w:rPr>
          <w:rFonts w:eastAsia="MS Mincho"/>
          <w:lang w:eastAsia="ja-JP"/>
        </w:rPr>
        <w:t>‒</w:t>
      </w:r>
      <w:r w:rsidR="001F0126" w:rsidRPr="004D03F1">
        <w:rPr>
          <w:rFonts w:eastAsia="MS Mincho"/>
          <w:lang w:eastAsia="ja-JP"/>
        </w:rPr>
        <w:t xml:space="preserve"> alon</w:t>
      </w:r>
      <w:r w:rsidR="001F0126" w:rsidRPr="006069AD">
        <w:rPr>
          <w:rFonts w:eastAsia="MS Mincho"/>
          <w:lang w:eastAsia="ja-JP"/>
        </w:rPr>
        <w:t xml:space="preserve">g with a floor plan … showing the location of the phone,” with accuracy between </w:t>
      </w:r>
      <w:r w:rsidR="001A1FDE">
        <w:rPr>
          <w:rFonts w:eastAsia="MS Mincho"/>
          <w:lang w:eastAsia="ja-JP"/>
        </w:rPr>
        <w:t>five and ten</w:t>
      </w:r>
      <w:r w:rsidR="001F0126" w:rsidRPr="006069AD">
        <w:rPr>
          <w:rFonts w:eastAsia="MS Mincho"/>
          <w:lang w:eastAsia="ja-JP"/>
        </w:rPr>
        <w:t xml:space="preserve"> meters.</w:t>
      </w:r>
      <w:r w:rsidR="001F0126" w:rsidRPr="004B617B">
        <w:rPr>
          <w:rStyle w:val="FootnoteReference"/>
          <w:rFonts w:eastAsia="MS Mincho"/>
          <w:szCs w:val="22"/>
          <w:lang w:eastAsia="ja-JP"/>
        </w:rPr>
        <w:footnoteReference w:id="97"/>
      </w:r>
      <w:r w:rsidR="001F0126" w:rsidRPr="00145BD8">
        <w:rPr>
          <w:rFonts w:eastAsia="MS Mincho"/>
          <w:lang w:eastAsia="ja-JP"/>
        </w:rPr>
        <w:t xml:space="preserve"> </w:t>
      </w:r>
      <w:r w:rsidR="00BD1DC4">
        <w:rPr>
          <w:rFonts w:eastAsia="MS Mincho"/>
          <w:lang w:eastAsia="ja-JP"/>
        </w:rPr>
        <w:t xml:space="preserve"> Though much of the deployment of indoor location-capable infrastructure </w:t>
      </w:r>
      <w:r w:rsidR="00800BA5">
        <w:rPr>
          <w:rFonts w:eastAsia="MS Mincho"/>
          <w:lang w:eastAsia="ja-JP"/>
        </w:rPr>
        <w:t xml:space="preserve">thus far </w:t>
      </w:r>
      <w:r w:rsidR="00BD1DC4">
        <w:rPr>
          <w:rFonts w:eastAsia="MS Mincho"/>
          <w:lang w:eastAsia="ja-JP"/>
        </w:rPr>
        <w:t xml:space="preserve">has been commercial, there </w:t>
      </w:r>
      <w:r w:rsidR="00501405">
        <w:rPr>
          <w:rFonts w:eastAsia="MS Mincho"/>
          <w:lang w:eastAsia="ja-JP"/>
        </w:rPr>
        <w:t xml:space="preserve">are </w:t>
      </w:r>
      <w:r w:rsidR="00BD1DC4">
        <w:rPr>
          <w:rFonts w:eastAsia="MS Mincho"/>
          <w:lang w:eastAsia="ja-JP"/>
        </w:rPr>
        <w:t>a growing number of residential products that easily be used as a source of location in a comprehensive dispatchable location solution.</w:t>
      </w:r>
      <w:r w:rsidR="00BD1DC4">
        <w:rPr>
          <w:rStyle w:val="FootnoteReference"/>
          <w:rFonts w:eastAsia="MS Mincho"/>
          <w:lang w:eastAsia="ja-JP"/>
        </w:rPr>
        <w:footnoteReference w:id="98"/>
      </w:r>
      <w:r w:rsidR="005F5D48">
        <w:rPr>
          <w:rFonts w:eastAsia="MS Mincho"/>
          <w:lang w:eastAsia="ja-JP"/>
        </w:rPr>
        <w:t xml:space="preserve">  Nevertheless, some commenters </w:t>
      </w:r>
      <w:r w:rsidR="00917143">
        <w:rPr>
          <w:rFonts w:eastAsia="MS Mincho"/>
          <w:lang w:eastAsia="ja-JP"/>
        </w:rPr>
        <w:t xml:space="preserve">still </w:t>
      </w:r>
      <w:r w:rsidR="005F5D48">
        <w:rPr>
          <w:rFonts w:eastAsia="MS Mincho"/>
          <w:lang w:eastAsia="ja-JP"/>
        </w:rPr>
        <w:t>argue that beacon and Wi-Fi technologies have not been thoroughly enough tested to justify reliance on them in a</w:t>
      </w:r>
      <w:r w:rsidR="00894E42">
        <w:rPr>
          <w:rFonts w:eastAsia="MS Mincho"/>
          <w:lang w:eastAsia="ja-JP"/>
        </w:rPr>
        <w:t>ny</w:t>
      </w:r>
      <w:r w:rsidR="005F5D48">
        <w:rPr>
          <w:rFonts w:eastAsia="MS Mincho"/>
          <w:lang w:eastAsia="ja-JP"/>
        </w:rPr>
        <w:t xml:space="preserve"> dispatchable location solution</w:t>
      </w:r>
      <w:r w:rsidR="00894E42">
        <w:rPr>
          <w:rFonts w:eastAsia="MS Mincho"/>
          <w:lang w:eastAsia="ja-JP"/>
        </w:rPr>
        <w:t>.</w:t>
      </w:r>
      <w:r w:rsidR="005F5D48">
        <w:rPr>
          <w:rStyle w:val="FootnoteReference"/>
          <w:rFonts w:eastAsia="MS Mincho"/>
          <w:lang w:eastAsia="ja-JP"/>
        </w:rPr>
        <w:footnoteReference w:id="99"/>
      </w:r>
      <w:r w:rsidR="005F5D48">
        <w:rPr>
          <w:rFonts w:eastAsia="MS Mincho"/>
          <w:lang w:eastAsia="ja-JP"/>
        </w:rPr>
        <w:t xml:space="preserve"> </w:t>
      </w:r>
      <w:r w:rsidR="00894E42">
        <w:rPr>
          <w:rFonts w:eastAsia="MS Mincho"/>
          <w:lang w:eastAsia="ja-JP"/>
        </w:rPr>
        <w:t xml:space="preserve"> Others submit that</w:t>
      </w:r>
      <w:r w:rsidR="005F5D48">
        <w:rPr>
          <w:rFonts w:eastAsia="MS Mincho"/>
          <w:lang w:eastAsia="ja-JP"/>
        </w:rPr>
        <w:t xml:space="preserve"> the Commission should open a separate proceeding dedicated to dispatchable location.</w:t>
      </w:r>
      <w:r w:rsidR="005F5D48">
        <w:rPr>
          <w:rStyle w:val="FootnoteReference"/>
          <w:rFonts w:eastAsia="MS Mincho"/>
          <w:lang w:eastAsia="ja-JP"/>
        </w:rPr>
        <w:footnoteReference w:id="100"/>
      </w:r>
    </w:p>
    <w:p w14:paraId="1640213C" w14:textId="77594691" w:rsidR="00145BD8" w:rsidRPr="003168E0" w:rsidRDefault="00237F38" w:rsidP="00547E2F">
      <w:pPr>
        <w:pStyle w:val="ParaNum"/>
      </w:pPr>
      <w:r>
        <w:rPr>
          <w:rFonts w:eastAsia="MS Mincho"/>
          <w:lang w:eastAsia="ja-JP"/>
        </w:rPr>
        <w:t>CMRS commenters note that much of the in-building infrastructure that will be needed to support dispatchable location lies outside their control</w:t>
      </w:r>
      <w:r w:rsidR="006E1715">
        <w:rPr>
          <w:rFonts w:eastAsia="MS Mincho"/>
          <w:lang w:eastAsia="ja-JP"/>
        </w:rPr>
        <w:t xml:space="preserve"> and will require </w:t>
      </w:r>
      <w:r w:rsidR="00067204" w:rsidRPr="00145BD8">
        <w:rPr>
          <w:szCs w:val="22"/>
        </w:rPr>
        <w:t xml:space="preserve">building owners and other </w:t>
      </w:r>
      <w:r w:rsidRPr="00145BD8">
        <w:rPr>
          <w:szCs w:val="22"/>
        </w:rPr>
        <w:t xml:space="preserve">third-party </w:t>
      </w:r>
      <w:r w:rsidR="00067204" w:rsidRPr="00145BD8">
        <w:rPr>
          <w:szCs w:val="22"/>
        </w:rPr>
        <w:t>stakeholders to be involved in the deployment process.</w:t>
      </w:r>
      <w:r w:rsidR="00067204" w:rsidRPr="004B617B">
        <w:rPr>
          <w:rStyle w:val="FootnoteReference"/>
          <w:rFonts w:eastAsiaTheme="majorEastAsia"/>
          <w:szCs w:val="22"/>
        </w:rPr>
        <w:footnoteReference w:id="101"/>
      </w:r>
      <w:r w:rsidR="00067204" w:rsidRPr="00145BD8">
        <w:rPr>
          <w:szCs w:val="22"/>
        </w:rPr>
        <w:t xml:space="preserve">  </w:t>
      </w:r>
      <w:r w:rsidR="00067204">
        <w:t>T-Mobile submits that “[t]</w:t>
      </w:r>
      <w:r w:rsidR="00067204" w:rsidRPr="006279A7">
        <w:t xml:space="preserve">o attain truly actionable indoor locations requires buy-in and development from all stakeholders—not just wireless carriers, but also public safety, </w:t>
      </w:r>
      <w:r w:rsidR="00067204">
        <w:t>…</w:t>
      </w:r>
      <w:r w:rsidR="00067204" w:rsidRPr="006279A7">
        <w:t xml:space="preserve"> state and local governments who regulate building codes, and, perhaps mos</w:t>
      </w:r>
      <w:r w:rsidR="00067204">
        <w:t>t critically, premises owners.</w:t>
      </w:r>
      <w:r w:rsidR="00067204" w:rsidRPr="006279A7">
        <w:t>”</w:t>
      </w:r>
      <w:r w:rsidR="00067204">
        <w:rPr>
          <w:rStyle w:val="FootnoteReference"/>
          <w:rFonts w:eastAsiaTheme="majorEastAsia"/>
        </w:rPr>
        <w:footnoteReference w:id="102"/>
      </w:r>
      <w:r w:rsidR="00067204">
        <w:t xml:space="preserve">  </w:t>
      </w:r>
      <w:r w:rsidR="00067204" w:rsidRPr="004B617B">
        <w:t>T-Mobile suggests that state and local governments should modify building and fire codes to require deployment of such devices throughout a building.</w:t>
      </w:r>
      <w:r w:rsidR="00067204" w:rsidRPr="004B617B">
        <w:rPr>
          <w:rStyle w:val="FootnoteReference"/>
          <w:rFonts w:eastAsiaTheme="majorEastAsia"/>
          <w:szCs w:val="22"/>
        </w:rPr>
        <w:footnoteReference w:id="103"/>
      </w:r>
      <w:r w:rsidR="00067204" w:rsidRPr="004B617B">
        <w:t xml:space="preserve">  </w:t>
      </w:r>
    </w:p>
    <w:p w14:paraId="3547C760" w14:textId="77777777" w:rsidR="00633562" w:rsidRPr="00867DAC" w:rsidRDefault="00633562" w:rsidP="004C29B5">
      <w:pPr>
        <w:keepNext/>
        <w:widowControl/>
        <w:numPr>
          <w:ilvl w:val="4"/>
          <w:numId w:val="2"/>
        </w:numPr>
        <w:tabs>
          <w:tab w:val="left" w:pos="3600"/>
        </w:tabs>
        <w:suppressAutoHyphens/>
        <w:spacing w:after="120" w:line="276" w:lineRule="auto"/>
        <w:outlineLvl w:val="4"/>
      </w:pPr>
      <w:bookmarkStart w:id="203" w:name="_Toc408400491"/>
      <w:bookmarkStart w:id="204" w:name="_Toc408400492"/>
      <w:r w:rsidRPr="00867DAC">
        <w:rPr>
          <w:b/>
        </w:rPr>
        <w:t>Handset Hardware and Software Changes</w:t>
      </w:r>
      <w:bookmarkEnd w:id="203"/>
      <w:r w:rsidRPr="00867DAC">
        <w:rPr>
          <w:b/>
        </w:rPr>
        <w:t xml:space="preserve">  </w:t>
      </w:r>
    </w:p>
    <w:p w14:paraId="1DB879C8" w14:textId="56BD311B" w:rsidR="00633562" w:rsidRPr="008B432C" w:rsidRDefault="00633562" w:rsidP="00976963">
      <w:pPr>
        <w:pStyle w:val="ParaNum"/>
      </w:pPr>
      <w:r w:rsidRPr="00976963">
        <w:t>Despite the widespread availability of Wi-Fi- and Bluetooth-equipped phones,</w:t>
      </w:r>
      <w:r w:rsidRPr="00976963">
        <w:rPr>
          <w:rFonts w:eastAsiaTheme="majorEastAsia"/>
          <w:sz w:val="20"/>
          <w:vertAlign w:val="superscript"/>
        </w:rPr>
        <w:footnoteReference w:id="104"/>
      </w:r>
      <w:r w:rsidRPr="00976963">
        <w:t xml:space="preserve"> commenters observe that implementation of dispatchable location solutions may require hardware, firmware, and/or software modifications to handsets to enable them to communicate with in-building infrastructure such as Wi-Fi or Bluetooth beacons.</w:t>
      </w:r>
      <w:r w:rsidRPr="008B432C">
        <w:rPr>
          <w:rStyle w:val="FootnoteReference"/>
          <w:rFonts w:eastAsiaTheme="majorEastAsia"/>
        </w:rPr>
        <w:footnoteReference w:id="105"/>
      </w:r>
      <w:r w:rsidRPr="00976963">
        <w:t xml:space="preserve">  </w:t>
      </w:r>
      <w:r w:rsidR="00DB3E54">
        <w:t>S</w:t>
      </w:r>
      <w:r w:rsidR="00DB3E54" w:rsidRPr="00976963">
        <w:t xml:space="preserve">everal </w:t>
      </w:r>
      <w:r w:rsidRPr="00976963">
        <w:t xml:space="preserve">commenters </w:t>
      </w:r>
      <w:r w:rsidR="00DB3E54">
        <w:t xml:space="preserve">also </w:t>
      </w:r>
      <w:r w:rsidRPr="00976963">
        <w:t>note that in order for handsets to use Wi-Fi or Bluetooth to search for nearby location beacons</w:t>
      </w:r>
      <w:r w:rsidRPr="00976963" w:rsidDel="0040648D">
        <w:t xml:space="preserve"> </w:t>
      </w:r>
      <w:r w:rsidRPr="00976963">
        <w:t>when a caller places a 911 call, handset operating systems will need to be configured to activate Wi-Fi and Bluetooth automatically, in the same manner that current GPS-capable handsets activate GPS automatically when the user calls 911.</w:t>
      </w:r>
      <w:r w:rsidRPr="008B432C">
        <w:rPr>
          <w:rStyle w:val="FootnoteReference"/>
          <w:rFonts w:eastAsiaTheme="majorEastAsia"/>
        </w:rPr>
        <w:footnoteReference w:id="106"/>
      </w:r>
      <w:r w:rsidRPr="00976963">
        <w:t xml:space="preserve">  The Roadmap Parties commit to work with device manufacturers and operating system developers in order to implement these changes.</w:t>
      </w:r>
      <w:r w:rsidRPr="008B432C">
        <w:rPr>
          <w:rStyle w:val="FootnoteReference"/>
          <w:rFonts w:eastAsiaTheme="majorEastAsia"/>
        </w:rPr>
        <w:footnoteReference w:id="107"/>
      </w:r>
      <w:r w:rsidRPr="00976963">
        <w:t xml:space="preserve">  </w:t>
      </w:r>
    </w:p>
    <w:p w14:paraId="4924A135" w14:textId="378824E0" w:rsidR="00633562" w:rsidRPr="008B432C" w:rsidRDefault="00633562" w:rsidP="00976963">
      <w:pPr>
        <w:pStyle w:val="ParaNum"/>
      </w:pPr>
      <w:r w:rsidRPr="00976963">
        <w:t xml:space="preserve">The Roadmap also anticipates the need for deployment of new handsets to accommodate dispatchable location </w:t>
      </w:r>
      <w:r w:rsidRPr="00BF4657">
        <w:t xml:space="preserve">technologies, and commits the signatory CMRS providers to equip all carrier-provided VoLTE handset models with the “capability to support delivery of beacon information, </w:t>
      </w:r>
      <w:r w:rsidRPr="00976963">
        <w:rPr>
          <w:i/>
        </w:rPr>
        <w:t>e.g</w:t>
      </w:r>
      <w:r w:rsidRPr="00976963">
        <w:t xml:space="preserve">., Bluetooth LE and WiFi, to the network” </w:t>
      </w:r>
      <w:r w:rsidRPr="00BF4657">
        <w:t>no later than 36 months after completion of relevant standards, including interim benchmarks at the 24 and 30 month timeframes</w:t>
      </w:r>
      <w:r w:rsidRPr="007C055D">
        <w:t>.</w:t>
      </w:r>
      <w:r w:rsidRPr="008B432C">
        <w:rPr>
          <w:rStyle w:val="FootnoteReference"/>
          <w:rFonts w:eastAsiaTheme="majorEastAsia"/>
        </w:rPr>
        <w:footnoteReference w:id="108"/>
      </w:r>
      <w:r w:rsidRPr="00976963">
        <w:t xml:space="preserve">  The parties also agree to enable their VoLTE networks to deliver beacon-based location information from handsets within 24 months after the completion of relevant standards.</w:t>
      </w:r>
      <w:r w:rsidRPr="008B432C">
        <w:rPr>
          <w:rStyle w:val="FootnoteReference"/>
          <w:rFonts w:eastAsiaTheme="majorEastAsia"/>
        </w:rPr>
        <w:footnoteReference w:id="109"/>
      </w:r>
      <w:r w:rsidRPr="00976963">
        <w:t xml:space="preserve"> </w:t>
      </w:r>
    </w:p>
    <w:p w14:paraId="1D4946E6" w14:textId="1956D882" w:rsidR="00633562" w:rsidRDefault="00633562" w:rsidP="00633562">
      <w:pPr>
        <w:pStyle w:val="ParaNum"/>
      </w:pPr>
      <w:r w:rsidRPr="00633562">
        <w:t xml:space="preserve">The Parallel Path offers similar commitments on a longer timeframe, including a suggestion that all VoLTE handset models for non-nationwide </w:t>
      </w:r>
      <w:r w:rsidR="005C20D1">
        <w:t>CMRS provider</w:t>
      </w:r>
      <w:r w:rsidRPr="00633562">
        <w:t>s would support the same delivery of beacon information no later than 48 months after the completion of relevant standards.</w:t>
      </w:r>
      <w:r w:rsidRPr="00633562">
        <w:rPr>
          <w:rFonts w:eastAsiaTheme="majorEastAsia"/>
          <w:sz w:val="20"/>
          <w:vertAlign w:val="superscript"/>
        </w:rPr>
        <w:footnoteReference w:id="110"/>
      </w:r>
      <w:r w:rsidRPr="00633562">
        <w:t xml:space="preserve">  The Parallel Path commits to the delivery of beacon information by their VoLTE networks within 36 months after completion of standards, or 12 months of their VoLTE networks becoming operational, with full end to end functionality for dispatchable location for their VoLTE networks within 60 months (or 12 months of becoming operational).</w:t>
      </w:r>
      <w:r w:rsidRPr="00633562">
        <w:rPr>
          <w:rFonts w:eastAsiaTheme="majorEastAsia"/>
          <w:sz w:val="20"/>
          <w:vertAlign w:val="superscript"/>
        </w:rPr>
        <w:footnoteReference w:id="111"/>
      </w:r>
    </w:p>
    <w:p w14:paraId="1F319476" w14:textId="54AE70C9" w:rsidR="00633562" w:rsidRDefault="00633562" w:rsidP="00633562">
      <w:pPr>
        <w:pStyle w:val="ParaNum"/>
      </w:pPr>
      <w:r w:rsidRPr="00633562">
        <w:t>Some commenters stress the need for further development of standards to ensure that location applications originally developed for cLBS have the level of quality, reliability and redundancy needed to support emergency location.</w:t>
      </w:r>
      <w:r w:rsidRPr="00EE2E1F">
        <w:rPr>
          <w:rFonts w:eastAsiaTheme="majorEastAsia"/>
          <w:vertAlign w:val="superscript"/>
        </w:rPr>
        <w:footnoteReference w:id="112"/>
      </w:r>
      <w:r w:rsidRPr="00633562">
        <w:rPr>
          <w:i/>
        </w:rPr>
        <w:t xml:space="preserve">  </w:t>
      </w:r>
      <w:r w:rsidRPr="00633562">
        <w:t xml:space="preserve">We note that efforts are already under way to develop such standards. </w:t>
      </w:r>
      <w:r w:rsidRPr="00633562">
        <w:rPr>
          <w:i/>
        </w:rPr>
        <w:t xml:space="preserve"> </w:t>
      </w:r>
      <w:r w:rsidRPr="00633562">
        <w:t>The 3</w:t>
      </w:r>
      <w:r w:rsidRPr="00633562">
        <w:rPr>
          <w:vertAlign w:val="superscript"/>
        </w:rPr>
        <w:t>rd</w:t>
      </w:r>
      <w:r w:rsidRPr="00633562">
        <w:t xml:space="preserve"> Generation Partnership Project (3GPP) and Open Mobile Alliance (OMA) have been in cooperative efforts to enhance LTE to meet public safety application requirements, and 3GPP has been prioritizing indoor positioning in developing its most recent release for LTE.</w:t>
      </w:r>
      <w:r w:rsidRPr="00EE2E1F">
        <w:rPr>
          <w:rFonts w:eastAsiaTheme="majorEastAsia"/>
          <w:vertAlign w:val="superscript"/>
        </w:rPr>
        <w:footnoteReference w:id="113"/>
      </w:r>
      <w:r w:rsidRPr="00633562">
        <w:t xml:space="preserve">  In addition, CSRIC IV Working Group 1 was charged to examine whether CMRS providers transitioning to VoLTE platforms should still heed recommendations from an earlier CSRIC report on testing methodology and parameters as they began “blending” GPS handset-based location data with network-based data, per Section 20.18(h) of the Commission’s rules.</w:t>
      </w:r>
      <w:r w:rsidRPr="00EE2E1F">
        <w:rPr>
          <w:rFonts w:eastAsiaTheme="majorEastAsia"/>
          <w:vertAlign w:val="superscript"/>
        </w:rPr>
        <w:footnoteReference w:id="114"/>
      </w:r>
      <w:r w:rsidRPr="00633562">
        <w:t xml:space="preserve"> Among other findings, CSRIC notes that “[i]n addition to the committed LTE location methods discussed …, other location methods such as Wi-Fi for VoLTE have been standardized. Wi-Fi for position calculation has been standardized in Secure User Plane (“SUPL”) 2.0 and is available for deployment on GSM, UMTS, CDMA and LTE.”</w:t>
      </w:r>
      <w:r w:rsidRPr="00EE2E1F">
        <w:rPr>
          <w:rFonts w:eastAsiaTheme="majorEastAsia"/>
          <w:vertAlign w:val="superscript"/>
        </w:rPr>
        <w:footnoteReference w:id="115"/>
      </w:r>
      <w:r w:rsidRPr="00633562">
        <w:t xml:space="preserve">   </w:t>
      </w:r>
    </w:p>
    <w:p w14:paraId="4C194177" w14:textId="6A18B083" w:rsidR="00633562" w:rsidRPr="00633562" w:rsidRDefault="00633562" w:rsidP="00633562">
      <w:pPr>
        <w:pStyle w:val="ParaNum"/>
      </w:pPr>
      <w:r w:rsidRPr="00633562">
        <w:rPr>
          <w:rFonts w:eastAsia="MS Mincho"/>
          <w:lang w:eastAsia="ja-JP"/>
        </w:rPr>
        <w:t>The Roadmap commits the four nationwide CMRS providers to promote development and approval of standards within 18 months of the date of the Agreement, as well as to formally sponsor standards efforts regarding the use and delivery of Bluetooth LE and Wi-Fi information to the network.</w:t>
      </w:r>
      <w:r w:rsidRPr="008B432C">
        <w:rPr>
          <w:rStyle w:val="FootnoteReference"/>
          <w:rFonts w:eastAsia="MS Mincho"/>
        </w:rPr>
        <w:footnoteReference w:id="116"/>
      </w:r>
      <w:r w:rsidRPr="00633562">
        <w:rPr>
          <w:rFonts w:eastAsia="MS Mincho"/>
          <w:lang w:eastAsia="ja-JP"/>
        </w:rPr>
        <w:t xml:space="preserve">  Additionally, the Roadmap Parties committed to participate actively in standards setting work, as well as to engage with technology companies and others in the private sector to promote the prioritization and completion of standards setting work.</w:t>
      </w:r>
      <w:r w:rsidRPr="008B432C">
        <w:rPr>
          <w:rStyle w:val="FootnoteReference"/>
          <w:rFonts w:eastAsia="MS Mincho"/>
        </w:rPr>
        <w:footnoteReference w:id="117"/>
      </w:r>
      <w:r w:rsidRPr="00633562">
        <w:rPr>
          <w:rFonts w:eastAsia="MS Mincho"/>
          <w:lang w:eastAsia="ja-JP"/>
        </w:rPr>
        <w:t xml:space="preserve">  The parties also agree to sponsor standards activities to operationalize the display of dispatchable location in pre-NG911 PSAPs.</w:t>
      </w:r>
      <w:r w:rsidRPr="008B432C">
        <w:rPr>
          <w:rStyle w:val="FootnoteReference"/>
          <w:rFonts w:eastAsia="MS Mincho"/>
        </w:rPr>
        <w:footnoteReference w:id="118"/>
      </w:r>
      <w:r w:rsidRPr="00633562">
        <w:rPr>
          <w:rFonts w:eastAsia="MS Mincho"/>
          <w:lang w:eastAsia="ja-JP"/>
        </w:rPr>
        <w:t xml:space="preserve"> </w:t>
      </w:r>
    </w:p>
    <w:p w14:paraId="7FF160D2" w14:textId="77777777" w:rsidR="002F476A" w:rsidRPr="007E4590" w:rsidRDefault="002F476A" w:rsidP="00822BB9">
      <w:pPr>
        <w:pStyle w:val="Heading5"/>
      </w:pPr>
      <w:r w:rsidRPr="007E4590">
        <w:t>Location Database Development and Management</w:t>
      </w:r>
      <w:bookmarkEnd w:id="204"/>
      <w:r w:rsidRPr="007E4590">
        <w:t xml:space="preserve">  </w:t>
      </w:r>
    </w:p>
    <w:p w14:paraId="6A1C5C63" w14:textId="24101800" w:rsidR="007E4590" w:rsidRPr="00D062B8" w:rsidRDefault="007E4590" w:rsidP="007E4590">
      <w:pPr>
        <w:pStyle w:val="ParaNum"/>
      </w:pPr>
      <w:r w:rsidRPr="007E4590">
        <w:t xml:space="preserve">We sought comment in the </w:t>
      </w:r>
      <w:r w:rsidRPr="008B432C">
        <w:rPr>
          <w:i/>
        </w:rPr>
        <w:t>Third Further Notice</w:t>
      </w:r>
      <w:r w:rsidRPr="007E4590">
        <w:t xml:space="preserve"> on the use of location databases by CMRS providers to verify location information, as well as the privacy and security implications raised by these databases.</w:t>
      </w:r>
      <w:r w:rsidRPr="007E4590">
        <w:rPr>
          <w:rStyle w:val="FootnoteReference"/>
          <w:rFonts w:eastAsiaTheme="majorEastAsia"/>
        </w:rPr>
        <w:footnoteReference w:id="119"/>
      </w:r>
      <w:r w:rsidRPr="007E4590">
        <w:t xml:space="preserve">  Commenters note that some of the database infrastructure that would be needed to support dispatchable location</w:t>
      </w:r>
      <w:r>
        <w:t xml:space="preserve"> already exists.  </w:t>
      </w:r>
      <w:r w:rsidRPr="004B617B">
        <w:t xml:space="preserve">TCS states that </w:t>
      </w:r>
      <w:r>
        <w:t xml:space="preserve">it has database access to the </w:t>
      </w:r>
      <w:r w:rsidRPr="004B617B">
        <w:t>location</w:t>
      </w:r>
      <w:r>
        <w:t xml:space="preserve"> </w:t>
      </w:r>
      <w:r w:rsidRPr="004B617B">
        <w:t xml:space="preserve">of </w:t>
      </w:r>
      <w:r>
        <w:t xml:space="preserve">more than 38 million </w:t>
      </w:r>
      <w:r w:rsidRPr="004B617B">
        <w:t>Wi</w:t>
      </w:r>
      <w:r>
        <w:t>-</w:t>
      </w:r>
      <w:r w:rsidRPr="004B617B">
        <w:t>Fi</w:t>
      </w:r>
      <w:r>
        <w:t xml:space="preserve"> nodes to </w:t>
      </w:r>
      <w:r w:rsidRPr="004B617B">
        <w:t>assist in locati</w:t>
      </w:r>
      <w:r>
        <w:t xml:space="preserve">ng </w:t>
      </w:r>
      <w:r w:rsidRPr="004B617B">
        <w:t xml:space="preserve">users </w:t>
      </w:r>
      <w:r>
        <w:t>of cLBS</w:t>
      </w:r>
      <w:r w:rsidRPr="004B617B">
        <w:t xml:space="preserve"> applications</w:t>
      </w:r>
      <w:r>
        <w:t>.</w:t>
      </w:r>
      <w:r w:rsidRPr="004B617B">
        <w:rPr>
          <w:rStyle w:val="FootnoteReference"/>
          <w:rFonts w:eastAsiaTheme="majorEastAsia"/>
          <w:szCs w:val="22"/>
        </w:rPr>
        <w:footnoteReference w:id="120"/>
      </w:r>
      <w:r w:rsidRPr="004B617B">
        <w:t xml:space="preserve">  </w:t>
      </w:r>
      <w:r>
        <w:t>However, existing databases that map in-building infrastructure may not provide the level of reliability and security needed to support 911 location.  Commenters assert that any database used to support dispatchable location will require mechanisms to enable PSAPs to access the location data,</w:t>
      </w:r>
      <w:r>
        <w:rPr>
          <w:rStyle w:val="FootnoteReference"/>
        </w:rPr>
        <w:footnoteReference w:id="121"/>
      </w:r>
      <w:r>
        <w:t xml:space="preserve"> verify the trustworthiness and accuracy of the data, and keep the data up-to-date.</w:t>
      </w:r>
      <w:r>
        <w:rPr>
          <w:rStyle w:val="FootnoteReference"/>
        </w:rPr>
        <w:footnoteReference w:id="122"/>
      </w:r>
      <w:r>
        <w:t xml:space="preserve">  </w:t>
      </w:r>
      <w:r w:rsidRPr="004B617B">
        <w:t>CMRS providers</w:t>
      </w:r>
      <w:r w:rsidRPr="00D742AB">
        <w:t xml:space="preserve"> </w:t>
      </w:r>
      <w:r>
        <w:t>also contend that developing and managing secure location databases will require the cooperation of building owners and state and local governments.</w:t>
      </w:r>
      <w:r>
        <w:rPr>
          <w:rStyle w:val="FootnoteReference"/>
          <w:rFonts w:eastAsiaTheme="majorEastAsia"/>
        </w:rPr>
        <w:footnoteReference w:id="123"/>
      </w:r>
      <w:r w:rsidRPr="007E4590">
        <w:rPr>
          <w:rFonts w:eastAsia="MS Mincho"/>
          <w:lang w:eastAsia="ja-JP"/>
        </w:rPr>
        <w:t xml:space="preserve"> </w:t>
      </w:r>
      <w:r w:rsidRPr="004B617B">
        <w:t xml:space="preserve"> </w:t>
      </w:r>
    </w:p>
    <w:p w14:paraId="5D1124CB" w14:textId="33BCB71D" w:rsidR="007E4590" w:rsidRPr="00D062B8" w:rsidRDefault="007E4590" w:rsidP="007E4590">
      <w:pPr>
        <w:pStyle w:val="ParaNum"/>
      </w:pPr>
      <w:r>
        <w:t>The Roadmap addresses the database issue by proposing a plan for the implementation of a National Emergency Address Database (NEAD).</w:t>
      </w:r>
      <w:r>
        <w:rPr>
          <w:rStyle w:val="FootnoteReference"/>
          <w:rFonts w:eastAsiaTheme="majorEastAsia"/>
        </w:rPr>
        <w:footnoteReference w:id="124"/>
      </w:r>
      <w:r>
        <w:t xml:space="preserve">  As envisioned in the Roadmap, the NEAD will contain media access control (MAC) address information of fixed indoor access points, which a device would “see” upon initiating a wireless 911 call.</w:t>
      </w:r>
      <w:r>
        <w:rPr>
          <w:rStyle w:val="FootnoteReference"/>
          <w:rFonts w:eastAsiaTheme="majorEastAsia"/>
        </w:rPr>
        <w:footnoteReference w:id="125"/>
      </w:r>
      <w:r>
        <w:t xml:space="preserve">  When the device “sees” the MAC address of this particular device, the CMRS network would cross-reference this MAC address with a dispatchable address, which would be made available to the PSAP.  The Roadmap Parties have committed to work together to develop the design, operations, and maintenance requirements for the NEAD within 12 months of the Agreement.</w:t>
      </w:r>
      <w:r>
        <w:rPr>
          <w:rStyle w:val="FootnoteReference"/>
          <w:rFonts w:eastAsiaTheme="majorEastAsia"/>
        </w:rPr>
        <w:footnoteReference w:id="126"/>
      </w:r>
      <w:r>
        <w:t xml:space="preserve">  </w:t>
      </w:r>
      <w:r w:rsidR="00E84D7B">
        <w:t>The Parallel Path makes a similar commitment within the 1</w:t>
      </w:r>
      <w:r w:rsidR="00A27FAC">
        <w:t>2-</w:t>
      </w:r>
      <w:r w:rsidR="00E84D7B">
        <w:t>month timeframe.</w:t>
      </w:r>
      <w:r w:rsidR="00E84D7B">
        <w:rPr>
          <w:rStyle w:val="FootnoteReference"/>
        </w:rPr>
        <w:footnoteReference w:id="127"/>
      </w:r>
      <w:r w:rsidR="00E84D7B">
        <w:t xml:space="preserve">  </w:t>
      </w:r>
      <w:r>
        <w:t>The parties also agree to “work together to establish a database owner, funding mechanisms, provisions for defining security/privacy, performance, and management aspects, and to launch the initial database within 12-24 months after the development of the design requirements.”</w:t>
      </w:r>
      <w:r>
        <w:rPr>
          <w:rStyle w:val="FootnoteReference"/>
          <w:rFonts w:eastAsiaTheme="majorEastAsia"/>
        </w:rPr>
        <w:footnoteReference w:id="128"/>
      </w:r>
      <w:r>
        <w:t xml:space="preserve">  Finally, the parties agree to work together to integrate dispatchable location information from third-party sources into the NEAD, and to enlist the support of other organizations to achieve this goal.</w:t>
      </w:r>
      <w:r>
        <w:rPr>
          <w:rStyle w:val="FootnoteReference"/>
          <w:rFonts w:eastAsiaTheme="majorEastAsia"/>
        </w:rPr>
        <w:footnoteReference w:id="129"/>
      </w:r>
      <w:r>
        <w:t xml:space="preserve">  </w:t>
      </w:r>
    </w:p>
    <w:p w14:paraId="75BD6FFC" w14:textId="6D32C746" w:rsidR="007E4590" w:rsidRDefault="007E4590" w:rsidP="007E4590">
      <w:pPr>
        <w:pStyle w:val="ParaNum"/>
      </w:pPr>
      <w:r>
        <w:t>In response to the Roadmap’s NEAD proposal, numerous commenters express concern that the proposal lacks critical details and leaves too many issues unresolved, some of which could hamper development.</w:t>
      </w:r>
      <w:r>
        <w:rPr>
          <w:rStyle w:val="FootnoteReference"/>
        </w:rPr>
        <w:footnoteReference w:id="130"/>
      </w:r>
      <w:r>
        <w:t xml:space="preserve">  For example, NASNA states that “the carriers promised to ‘take steps to make non-NEAD dispatchable location information available for delivery of PSAPs,’ but did not describe when or how those steps would be taken. It may be surmised from the discussion in the Roadmap at 2.b.i, ii and iii that this would occur within 30 days of the anniversary of the agreement, but that is not clear.”</w:t>
      </w:r>
      <w:r>
        <w:rPr>
          <w:rStyle w:val="FootnoteReference"/>
        </w:rPr>
        <w:footnoteReference w:id="131"/>
      </w:r>
      <w:r>
        <w:t xml:space="preserve">  NASNA also notes that Roadmap does not specify how it will incorporate existing legacy location databases and new or soon-to-be operational NG911 location databases.</w:t>
      </w:r>
      <w:r>
        <w:rPr>
          <w:rStyle w:val="FootnoteReference"/>
        </w:rPr>
        <w:footnoteReference w:id="132"/>
      </w:r>
      <w:r>
        <w:t xml:space="preserve">  To address this concern, Sprint submits that the Commission could play an important role in the development and implementation of the NEAD: “the</w:t>
      </w:r>
      <w:r w:rsidRPr="00ED25DE">
        <w:t xml:space="preserve"> Commission could, for example, include in its equipment authorization rules, procedures or training materials for telecommunications certification bodies a labeling requirement instructing the consumer or installer of the equipment to register it in the NEAD</w:t>
      </w:r>
      <w:r>
        <w:t>.”</w:t>
      </w:r>
      <w:r>
        <w:rPr>
          <w:rStyle w:val="FootnoteReference"/>
        </w:rPr>
        <w:footnoteReference w:id="133"/>
      </w:r>
    </w:p>
    <w:p w14:paraId="7F7E1A7E" w14:textId="1D9948B7" w:rsidR="007E4590" w:rsidRPr="00D062B8" w:rsidRDefault="007E4590" w:rsidP="007E4590">
      <w:pPr>
        <w:pStyle w:val="ParaNum"/>
      </w:pPr>
      <w:r>
        <w:t>Additionally, a number of commenters express concern with regard to the preservation of individual privacy throughout the implementation and subsequent use of the NEAD.</w:t>
      </w:r>
      <w:r>
        <w:rPr>
          <w:rStyle w:val="FootnoteReference"/>
        </w:rPr>
        <w:footnoteReference w:id="134"/>
      </w:r>
      <w:r>
        <w:t xml:space="preserve">  Specifically, Public Knowledge cautions that the NEAD would contain sensitive personal information,</w:t>
      </w:r>
      <w:r>
        <w:rPr>
          <w:rStyle w:val="FootnoteReference"/>
        </w:rPr>
        <w:footnoteReference w:id="135"/>
      </w:r>
      <w:r>
        <w:t xml:space="preserve"> and that the proposal as written in the Roadmap lacks safeguards to ensure “that the database will be secure, used only for E911 purposes, and never sold to or otherwise shared with third parties, including government entities.”</w:t>
      </w:r>
      <w:r>
        <w:rPr>
          <w:rStyle w:val="FootnoteReference"/>
        </w:rPr>
        <w:footnoteReference w:id="136"/>
      </w:r>
      <w:r>
        <w:t xml:space="preserve">  Public Knowledge suggests that the Commission should require communications providers, cable operators, and satellite providers offering wireless consumer home products to allow consumers to “opt out” of including their products in such a database.</w:t>
      </w:r>
      <w:r>
        <w:rPr>
          <w:rStyle w:val="FootnoteReference"/>
        </w:rPr>
        <w:footnoteReference w:id="137"/>
      </w:r>
      <w:r>
        <w:t xml:space="preserve">  Public Knowledge asks the Commission to clarify that location information collected from a consumer’s device and stored in the NEAD would be considered customer proprietary network information (CPNI),</w:t>
      </w:r>
      <w:r>
        <w:rPr>
          <w:rStyle w:val="FootnoteReference"/>
        </w:rPr>
        <w:footnoteReference w:id="138"/>
      </w:r>
      <w:r>
        <w:t xml:space="preserve"> and determine what safeguards would apply to information that may not constitute CPNI.</w:t>
      </w:r>
      <w:r>
        <w:rPr>
          <w:rStyle w:val="FootnoteReference"/>
        </w:rPr>
        <w:footnoteReference w:id="139"/>
      </w:r>
      <w:r w:rsidDel="00121706">
        <w:t xml:space="preserve"> </w:t>
      </w:r>
      <w:r>
        <w:t xml:space="preserve"> Public Knowledge urges that the Commission address these privacy issues now and encourages the Commission to adopt a “privacy by design” approach.</w:t>
      </w:r>
      <w:r>
        <w:rPr>
          <w:rStyle w:val="FootnoteReference"/>
        </w:rPr>
        <w:footnoteReference w:id="140"/>
      </w:r>
      <w:r>
        <w:t xml:space="preserve">  Public Knowledge also recommends that the Commission adopt regulations that “require CMRS carriers and others to treat mobile 911 location information and NEAD as protected information and prohibit its sharing with third parties.”</w:t>
      </w:r>
      <w:r>
        <w:rPr>
          <w:rStyle w:val="FootnoteReference"/>
        </w:rPr>
        <w:footnoteReference w:id="141"/>
      </w:r>
    </w:p>
    <w:p w14:paraId="23CB4F08" w14:textId="779F519E" w:rsidR="007E4590" w:rsidRPr="00D062B8" w:rsidRDefault="007E4590" w:rsidP="00EE2E1F">
      <w:pPr>
        <w:pStyle w:val="ParaNum"/>
        <w:widowControl/>
      </w:pPr>
      <w:r>
        <w:t xml:space="preserve">On the other hand, TCS </w:t>
      </w:r>
      <w:r w:rsidR="00501405">
        <w:t xml:space="preserve">states that </w:t>
      </w:r>
      <w:r w:rsidRPr="00234E28">
        <w:t xml:space="preserve">“the technologies suggested by the Roadmap raise no new privacy concerns that do not already exist with today’s 9-1-1 solutions; and the security concerns raised are no greater than those already facing public safety with regards to </w:t>
      </w:r>
      <w:r>
        <w:t>[NG911]</w:t>
      </w:r>
      <w:r w:rsidRPr="00234E28">
        <w:t xml:space="preserve"> technologies.”</w:t>
      </w:r>
      <w:r>
        <w:rPr>
          <w:rStyle w:val="FootnoteReference"/>
        </w:rPr>
        <w:footnoteReference w:id="142"/>
      </w:r>
      <w:r w:rsidRPr="00234E28">
        <w:t xml:space="preserve">  </w:t>
      </w:r>
      <w:r>
        <w:t>TCS adds that “</w:t>
      </w:r>
      <w:r w:rsidRPr="00234E28">
        <w:t>our current public safety infrastructure contains much more sensitive information than what the Roadmap envisions</w:t>
      </w:r>
      <w:r>
        <w:t>.”</w:t>
      </w:r>
      <w:r>
        <w:rPr>
          <w:rStyle w:val="FootnoteReference"/>
        </w:rPr>
        <w:footnoteReference w:id="143"/>
      </w:r>
      <w:r>
        <w:t xml:space="preserve"> </w:t>
      </w:r>
      <w:r w:rsidRPr="00234E28">
        <w:t xml:space="preserve"> </w:t>
      </w:r>
      <w:r>
        <w:t xml:space="preserve">AT&amp;T submits that the Roadmap’s proposal </w:t>
      </w:r>
      <w:r w:rsidRPr="00234E28">
        <w:t>is “basically analogous to how 911 location has always been performed on the PSTN</w:t>
      </w:r>
      <w:r>
        <w:t>,</w:t>
      </w:r>
      <w:r w:rsidRPr="00234E28">
        <w:t xml:space="preserve">” and </w:t>
      </w:r>
      <w:r>
        <w:t xml:space="preserve">stresses that </w:t>
      </w:r>
      <w:r w:rsidRPr="00234E28">
        <w:t>the NEAD database would be limited “to access for 911 purposes and only during the processing of 911 calls.”</w:t>
      </w:r>
      <w:r>
        <w:rPr>
          <w:rStyle w:val="FootnoteReference"/>
        </w:rPr>
        <w:footnoteReference w:id="144"/>
      </w:r>
      <w:r>
        <w:t xml:space="preserve">  Sprint states that privacy related concerns “</w:t>
      </w:r>
      <w:r w:rsidRPr="00234E28">
        <w:t>will be addressed in the context of working groups.”</w:t>
      </w:r>
      <w:r>
        <w:rPr>
          <w:rStyle w:val="FootnoteReference"/>
        </w:rPr>
        <w:footnoteReference w:id="145"/>
      </w:r>
    </w:p>
    <w:p w14:paraId="49A3B81A" w14:textId="77777777" w:rsidR="007E4590" w:rsidRPr="00E30167" w:rsidRDefault="007E4590" w:rsidP="007E4590">
      <w:pPr>
        <w:pStyle w:val="ParaNum"/>
      </w:pPr>
      <w:r>
        <w:t>In response to these concerns, the Roadmap Parties filed an Addendum that sets forth measures they will take to address privacy and security concerns related to the implementation of the NEAD.  In particular, the Roadmap Parties commit to (1) “engage with various industry experts on privacy and security to ensure that best practices are followed in the development and operation of the database”; and (2) “require the vendor(s) selected for the NEAD administration to develop a Privacy and Security Plan in advance of going live and transmit it to the FCC.”</w:t>
      </w:r>
      <w:r>
        <w:rPr>
          <w:rStyle w:val="FootnoteReference"/>
        </w:rPr>
        <w:footnoteReference w:id="146"/>
      </w:r>
      <w:r>
        <w:t xml:space="preserve">  </w:t>
      </w:r>
      <w:r w:rsidR="003F1CF3">
        <w:t>New America,</w:t>
      </w:r>
      <w:r w:rsidR="00157E1D">
        <w:t xml:space="preserve"> </w:t>
      </w:r>
      <w:r>
        <w:t>Public Knowledge</w:t>
      </w:r>
      <w:r w:rsidR="00157E1D">
        <w:t>, and other privacy advocates</w:t>
      </w:r>
      <w:r>
        <w:t xml:space="preserve"> suggest that these measures remain </w:t>
      </w:r>
      <w:r w:rsidR="00157E1D">
        <w:t>insufficient, however, and urge</w:t>
      </w:r>
      <w:r>
        <w:t xml:space="preserve"> the Commission to take additional actions to promote privacy and security.</w:t>
      </w:r>
      <w:r>
        <w:rPr>
          <w:rStyle w:val="FootnoteReference"/>
        </w:rPr>
        <w:footnoteReference w:id="147"/>
      </w:r>
    </w:p>
    <w:p w14:paraId="28DAA140" w14:textId="77777777" w:rsidR="007E4590" w:rsidRPr="00822BB9" w:rsidRDefault="007E4590" w:rsidP="007E4590">
      <w:pPr>
        <w:pStyle w:val="Heading5"/>
      </w:pPr>
      <w:bookmarkStart w:id="205" w:name="_Toc408400493"/>
      <w:r w:rsidRPr="00822BB9">
        <w:t>PSAPs’ Ability to Use Dispatchable Location</w:t>
      </w:r>
      <w:r>
        <w:t xml:space="preserve"> Information</w:t>
      </w:r>
      <w:bookmarkEnd w:id="205"/>
      <w:r w:rsidRPr="00067204">
        <w:t xml:space="preserve">  </w:t>
      </w:r>
    </w:p>
    <w:p w14:paraId="6668EBFD" w14:textId="768EEA41" w:rsidR="007E4590" w:rsidRPr="00B7262E" w:rsidRDefault="007E4590" w:rsidP="007E4590">
      <w:pPr>
        <w:pStyle w:val="ParaNum"/>
        <w:rPr>
          <w:rFonts w:eastAsia="MS Mincho"/>
        </w:rPr>
      </w:pPr>
      <w:r>
        <w:t>Finally, we</w:t>
      </w:r>
      <w:r w:rsidRPr="004C49C1">
        <w:t xml:space="preserve"> sought comment in the </w:t>
      </w:r>
      <w:r>
        <w:rPr>
          <w:i/>
        </w:rPr>
        <w:t xml:space="preserve">Third Further Notice </w:t>
      </w:r>
      <w:r w:rsidRPr="004C49C1">
        <w:t xml:space="preserve">on whether and how PSAPs would be able to use </w:t>
      </w:r>
      <w:r>
        <w:t>dispatchable location</w:t>
      </w:r>
      <w:r w:rsidRPr="004C49C1">
        <w:t xml:space="preserve"> information.</w:t>
      </w:r>
      <w:r w:rsidRPr="004C49C1">
        <w:rPr>
          <w:rStyle w:val="FootnoteReference"/>
          <w:rFonts w:eastAsiaTheme="majorEastAsia"/>
        </w:rPr>
        <w:footnoteReference w:id="148"/>
      </w:r>
      <w:r w:rsidRPr="004C49C1">
        <w:t xml:space="preserve"> </w:t>
      </w:r>
      <w:r>
        <w:t xml:space="preserve"> </w:t>
      </w:r>
      <w:r>
        <w:rPr>
          <w:rFonts w:eastAsia="MS Mincho"/>
          <w:lang w:eastAsia="ja-JP"/>
        </w:rPr>
        <w:t>NASNA submits that “</w:t>
      </w:r>
      <w:r w:rsidRPr="00E53C61">
        <w:rPr>
          <w:rFonts w:eastAsia="MS Mincho"/>
          <w:lang w:eastAsia="ja-JP"/>
        </w:rPr>
        <w:t>E911 location databases and call-handling software products have a field that is used in wireline calls to identify apartment numbers. This field could be used to display this information.”</w:t>
      </w:r>
      <w:r>
        <w:rPr>
          <w:rStyle w:val="FootnoteReference"/>
          <w:rFonts w:eastAsia="MS Mincho"/>
          <w:lang w:eastAsia="ja-JP"/>
        </w:rPr>
        <w:footnoteReference w:id="149"/>
      </w:r>
      <w:r>
        <w:rPr>
          <w:rFonts w:eastAsia="MS Mincho"/>
          <w:lang w:eastAsia="ja-JP"/>
        </w:rPr>
        <w:t xml:space="preserve">  </w:t>
      </w:r>
      <w:r w:rsidR="00501405">
        <w:rPr>
          <w:rFonts w:eastAsia="MS Mincho"/>
          <w:lang w:eastAsia="ja-JP"/>
        </w:rPr>
        <w:t>In addition, NASNA states that</w:t>
      </w:r>
      <w:r w:rsidRPr="00044E78">
        <w:rPr>
          <w:rFonts w:eastAsia="MS Mincho"/>
          <w:lang w:eastAsia="ja-JP"/>
        </w:rPr>
        <w:t xml:space="preserve"> “[i]f the LBS data are converted to lat/long or a civic address, NASNA does not know why it would cause any issues.”</w:t>
      </w:r>
      <w:r>
        <w:rPr>
          <w:rStyle w:val="FootnoteReference"/>
          <w:rFonts w:eastAsia="MS Mincho"/>
          <w:lang w:eastAsia="ja-JP"/>
        </w:rPr>
        <w:footnoteReference w:id="150"/>
      </w:r>
      <w:r w:rsidRPr="00044E78">
        <w:rPr>
          <w:rFonts w:eastAsia="MS Mincho"/>
          <w:lang w:eastAsia="ja-JP"/>
        </w:rPr>
        <w:t xml:space="preserve">  </w:t>
      </w:r>
      <w:r>
        <w:rPr>
          <w:rFonts w:eastAsia="MS Mincho"/>
          <w:lang w:eastAsia="ja-JP"/>
        </w:rPr>
        <w:t>Cisco states that “a</w:t>
      </w:r>
      <w:r w:rsidRPr="004B617B">
        <w:rPr>
          <w:rFonts w:eastAsia="MS Mincho"/>
          <w:lang w:eastAsia="ja-JP"/>
        </w:rPr>
        <w:t xml:space="preserve"> 911 Service Provider, would query enterprise networks located in and around the cell site where a 911 call originates, using a new gateway device to access the location data for that particular end user device</w:t>
      </w:r>
      <w:r>
        <w:rPr>
          <w:rFonts w:eastAsia="MS Mincho"/>
          <w:lang w:eastAsia="ja-JP"/>
        </w:rPr>
        <w:t>,”</w:t>
      </w:r>
      <w:r>
        <w:rPr>
          <w:rStyle w:val="FootnoteReference"/>
          <w:rFonts w:eastAsia="MS Mincho"/>
          <w:lang w:eastAsia="ja-JP"/>
        </w:rPr>
        <w:footnoteReference w:id="151"/>
      </w:r>
      <w:r>
        <w:rPr>
          <w:rFonts w:eastAsia="MS Mincho"/>
          <w:lang w:eastAsia="ja-JP"/>
        </w:rPr>
        <w:t xml:space="preserve"> a process which it describes as “relatively simple straightforward.”</w:t>
      </w:r>
      <w:r w:rsidRPr="004B617B">
        <w:rPr>
          <w:rStyle w:val="FootnoteReference"/>
          <w:rFonts w:eastAsia="MS Mincho"/>
          <w:szCs w:val="22"/>
          <w:lang w:eastAsia="ja-JP"/>
        </w:rPr>
        <w:footnoteReference w:id="152"/>
      </w:r>
      <w:r>
        <w:rPr>
          <w:rFonts w:eastAsia="MS Mincho"/>
          <w:lang w:eastAsia="ja-JP"/>
        </w:rPr>
        <w:t xml:space="preserve">  Nevertheless, </w:t>
      </w:r>
      <w:r>
        <w:t>Intrado and TCS caution that changes at the PSAP level would be necessary.</w:t>
      </w:r>
      <w:r>
        <w:rPr>
          <w:rStyle w:val="FootnoteReference"/>
        </w:rPr>
        <w:footnoteReference w:id="153"/>
      </w:r>
      <w:r w:rsidRPr="00BA5974">
        <w:t xml:space="preserve">  </w:t>
      </w:r>
      <w:r>
        <w:t xml:space="preserve"> </w:t>
      </w:r>
    </w:p>
    <w:p w14:paraId="62323DA6" w14:textId="5C1CEE3C" w:rsidR="007E4590" w:rsidRDefault="007E4590" w:rsidP="007E4590">
      <w:pPr>
        <w:pStyle w:val="ParaNum"/>
      </w:pPr>
      <w:r>
        <w:t>The commitments in the Roadmap regarding dispatchable location are not contingent on a PSAP’s ability to accept such information, but the Roadmap does include a caveat that “implementation and execution of the elements within this document may be subject to a number of variables, including but not limited to… third party resources, which may require the signatories to reassess the progress” of the Roadmap.</w:t>
      </w:r>
      <w:r>
        <w:rPr>
          <w:rStyle w:val="FootnoteReference"/>
        </w:rPr>
        <w:footnoteReference w:id="154"/>
      </w:r>
      <w:r>
        <w:t xml:space="preserve">   However, the Roadmap also states that the parties “will work with public safety to study and consider further steps to providing wireline-equivalent routing for wireless consumer home products that provide a dispatchable location.”</w:t>
      </w:r>
      <w:r>
        <w:rPr>
          <w:rStyle w:val="FootnoteReference"/>
        </w:rPr>
        <w:footnoteReference w:id="155"/>
      </w:r>
      <w:r>
        <w:t xml:space="preserve">  </w:t>
      </w:r>
    </w:p>
    <w:p w14:paraId="3C73E2FF" w14:textId="77777777" w:rsidR="007E4590" w:rsidRDefault="007E4590" w:rsidP="007E4590">
      <w:pPr>
        <w:pStyle w:val="Heading4"/>
      </w:pPr>
      <w:bookmarkStart w:id="206" w:name="_Toc408400494"/>
      <w:bookmarkStart w:id="207" w:name="_Toc408400551"/>
      <w:bookmarkStart w:id="208" w:name="_Toc408490563"/>
      <w:r>
        <w:t>Discussion</w:t>
      </w:r>
      <w:bookmarkEnd w:id="206"/>
      <w:bookmarkEnd w:id="207"/>
      <w:bookmarkEnd w:id="208"/>
    </w:p>
    <w:p w14:paraId="44D8145F" w14:textId="0C312FE1" w:rsidR="007E4590" w:rsidRPr="00ED3734" w:rsidRDefault="007E4590" w:rsidP="007E4590">
      <w:pPr>
        <w:pStyle w:val="ParaNum"/>
        <w:rPr>
          <w:szCs w:val="22"/>
        </w:rPr>
      </w:pPr>
      <w:r>
        <w:t>Although</w:t>
      </w:r>
      <w:r>
        <w:rPr>
          <w:rFonts w:eastAsia="MS Mincho"/>
          <w:lang w:eastAsia="ja-JP"/>
        </w:rPr>
        <w:t xml:space="preserve"> </w:t>
      </w:r>
      <w:r>
        <w:t>we originally proposed dispatchable location as a long-term goal, the</w:t>
      </w:r>
      <w:r w:rsidRPr="00360FD6">
        <w:t xml:space="preserve"> record </w:t>
      </w:r>
      <w:r>
        <w:t>shows</w:t>
      </w:r>
      <w:r w:rsidRPr="00360FD6">
        <w:t xml:space="preserve"> that technology exists today </w:t>
      </w:r>
      <w:r>
        <w:t>that could be used to</w:t>
      </w:r>
      <w:r w:rsidRPr="00360FD6">
        <w:t xml:space="preserve"> implement various </w:t>
      </w:r>
      <w:r>
        <w:t xml:space="preserve">dispatchable location solutions in the near term, as evidenced by the </w:t>
      </w:r>
      <w:r w:rsidR="00FE5BE1">
        <w:t xml:space="preserve">Amended </w:t>
      </w:r>
      <w:r>
        <w:t>Roadmap’s provisions for immediate commencement of development of dispatchable location solutions and the Parallel Path’s provisions committing to the implementation of dispatchable location technologies into wireless consumer home products and wireless handsets</w:t>
      </w:r>
      <w:r>
        <w:rPr>
          <w:szCs w:val="22"/>
        </w:rPr>
        <w:t>.</w:t>
      </w:r>
      <w:r>
        <w:rPr>
          <w:rStyle w:val="FootnoteReference"/>
          <w:szCs w:val="22"/>
        </w:rPr>
        <w:footnoteReference w:id="156"/>
      </w:r>
      <w:r>
        <w:rPr>
          <w:szCs w:val="22"/>
        </w:rPr>
        <w:t xml:space="preserve">  Moreover, CMRS providers </w:t>
      </w:r>
      <w:r w:rsidRPr="004C49C1">
        <w:rPr>
          <w:szCs w:val="22"/>
        </w:rPr>
        <w:t xml:space="preserve">are </w:t>
      </w:r>
      <w:r>
        <w:rPr>
          <w:szCs w:val="22"/>
        </w:rPr>
        <w:t xml:space="preserve">already </w:t>
      </w:r>
      <w:r w:rsidRPr="004C49C1">
        <w:rPr>
          <w:szCs w:val="22"/>
        </w:rPr>
        <w:t>inc</w:t>
      </w:r>
      <w:r>
        <w:rPr>
          <w:szCs w:val="22"/>
        </w:rPr>
        <w:t xml:space="preserve">entivized to deploy many of these technologies to expand coverage and to manage network capacity more efficiently.  For example, </w:t>
      </w:r>
      <w:r w:rsidRPr="004C49C1">
        <w:rPr>
          <w:rFonts w:eastAsia="MS Mincho"/>
          <w:lang w:eastAsia="ja-JP"/>
        </w:rPr>
        <w:t xml:space="preserve">Cisco </w:t>
      </w:r>
      <w:r>
        <w:rPr>
          <w:rFonts w:eastAsia="MS Mincho"/>
          <w:lang w:eastAsia="ja-JP"/>
        </w:rPr>
        <w:t xml:space="preserve">notes </w:t>
      </w:r>
      <w:r w:rsidRPr="004C49C1">
        <w:rPr>
          <w:rFonts w:eastAsia="MS Mincho"/>
          <w:lang w:eastAsia="ja-JP"/>
        </w:rPr>
        <w:t xml:space="preserve">that </w:t>
      </w:r>
      <w:r>
        <w:rPr>
          <w:rFonts w:eastAsia="MS Mincho"/>
          <w:lang w:eastAsia="ja-JP"/>
        </w:rPr>
        <w:t>in 2013, “</w:t>
      </w:r>
      <w:r w:rsidRPr="004C49C1">
        <w:rPr>
          <w:rFonts w:eastAsia="MS Mincho"/>
          <w:lang w:eastAsia="ja-JP"/>
        </w:rPr>
        <w:t xml:space="preserve">approximately 45 percent of all mobile data traffic was offloaded on the fixed network via Wi-Fi or femtocell” and further estimates that </w:t>
      </w:r>
      <w:r>
        <w:rPr>
          <w:rFonts w:eastAsia="MS Mincho"/>
          <w:lang w:eastAsia="ja-JP"/>
        </w:rPr>
        <w:t>“</w:t>
      </w:r>
      <w:r w:rsidRPr="004C49C1">
        <w:rPr>
          <w:rFonts w:eastAsia="MS Mincho"/>
          <w:lang w:eastAsia="ja-JP"/>
        </w:rPr>
        <w:t>by 2018, more traffic will be offloaded on to Wi-Fi networks than will be carried over cellular networks.”</w:t>
      </w:r>
      <w:r w:rsidRPr="004B617B">
        <w:rPr>
          <w:rStyle w:val="FootnoteReference"/>
          <w:rFonts w:eastAsia="MS Mincho"/>
          <w:szCs w:val="22"/>
          <w:lang w:eastAsia="ja-JP"/>
        </w:rPr>
        <w:footnoteReference w:id="157"/>
      </w:r>
      <w:r w:rsidRPr="004C49C1">
        <w:rPr>
          <w:rFonts w:eastAsia="MS Mincho"/>
          <w:lang w:eastAsia="ja-JP"/>
        </w:rPr>
        <w:t xml:space="preserve">  </w:t>
      </w:r>
      <w:r>
        <w:rPr>
          <w:rFonts w:eastAsia="MS Mincho"/>
          <w:lang w:eastAsia="ja-JP"/>
        </w:rPr>
        <w:t xml:space="preserve">Given the commercial benefits of deploying the technologies that would support improved indoor location accuracy, we anticipate that commercial </w:t>
      </w:r>
      <w:r w:rsidRPr="004C49C1">
        <w:rPr>
          <w:rFonts w:eastAsia="MS Mincho"/>
          <w:lang w:eastAsia="ja-JP"/>
        </w:rPr>
        <w:t xml:space="preserve">location systems will continue to proliferate, providing </w:t>
      </w:r>
      <w:r>
        <w:rPr>
          <w:rFonts w:eastAsia="MS Mincho"/>
          <w:lang w:eastAsia="ja-JP"/>
        </w:rPr>
        <w:t xml:space="preserve">additional </w:t>
      </w:r>
      <w:r w:rsidRPr="004C49C1">
        <w:rPr>
          <w:rFonts w:eastAsia="MS Mincho"/>
          <w:lang w:eastAsia="ja-JP"/>
        </w:rPr>
        <w:t>resources that could be leveraged for E911 use.</w:t>
      </w:r>
      <w:r>
        <w:rPr>
          <w:rStyle w:val="FootnoteReference"/>
          <w:rFonts w:eastAsia="MS Mincho"/>
          <w:lang w:eastAsia="ja-JP"/>
        </w:rPr>
        <w:footnoteReference w:id="158"/>
      </w:r>
      <w:r w:rsidRPr="004C49C1">
        <w:rPr>
          <w:rFonts w:eastAsia="MS Mincho"/>
          <w:lang w:eastAsia="ja-JP"/>
        </w:rPr>
        <w:t xml:space="preserve">  </w:t>
      </w:r>
    </w:p>
    <w:p w14:paraId="30926225" w14:textId="2C01453F" w:rsidR="007E4590" w:rsidRPr="00484533" w:rsidRDefault="007E4590" w:rsidP="007E4590">
      <w:pPr>
        <w:pStyle w:val="ParaNum"/>
      </w:pPr>
      <w:r>
        <w:t xml:space="preserve">The record also confirms the clear public safety benefits of implementing dispatchable location as a core component </w:t>
      </w:r>
      <w:r w:rsidR="00501405">
        <w:t xml:space="preserve">of </w:t>
      </w:r>
      <w:r>
        <w:t xml:space="preserve">our approach to improving wireless indoor location.  As APCO and NENA point out, dispatchable location represents the “gold standard” for first responders, because it provides the functional equivalent of address-based location information provided with wireline 911 calls.  </w:t>
      </w:r>
      <w:r w:rsidRPr="00991E43">
        <w:t>We note that wireline-equivalent location accuracy is of particular importance to individuals who are deaf, hard of hearing, deaf-blind, and/or have speech disabilities, and we believe the approach adopted here serves as a significant step in the right direction towards achieving such location accuracy</w:t>
      </w:r>
      <w:r>
        <w:t>.</w:t>
      </w:r>
      <w:r>
        <w:rPr>
          <w:rStyle w:val="FootnoteReference"/>
        </w:rPr>
        <w:footnoteReference w:id="159"/>
      </w:r>
      <w:r>
        <w:t xml:space="preserve">  </w:t>
      </w:r>
    </w:p>
    <w:p w14:paraId="7ACBF2EA" w14:textId="77777777" w:rsidR="007E4590" w:rsidRDefault="007E4590" w:rsidP="007E4590">
      <w:pPr>
        <w:pStyle w:val="ParaNum"/>
      </w:pPr>
      <w:r>
        <w:t>We recognize, nonetheless, that dispatchable location cannot be achieved overnight, that the implementation concerns raised by commenters must be addressed, and that we must adopt timeframes that afford sufficient time to address these concerns.  We agree with Verizon that any indoor location solution that can be scaled nationwide “</w:t>
      </w:r>
      <w:r w:rsidRPr="00547E2F">
        <w:t>will depend on third parties or require cooperation with vendors in order to comply with any stan</w:t>
      </w:r>
      <w:r>
        <w:t>dards the Commission may adopt,” but also that “[t]</w:t>
      </w:r>
      <w:r w:rsidRPr="00547E2F">
        <w:t>he need for engagement with other stakeholders merely reflects the diversity of the wireless communications ecosystem consisting of service providers, solution vendors, manufacturers, and others and already exists today.”</w:t>
      </w:r>
      <w:r>
        <w:rPr>
          <w:rStyle w:val="FootnoteReference"/>
        </w:rPr>
        <w:footnoteReference w:id="160"/>
      </w:r>
      <w:r>
        <w:t xml:space="preserve">  </w:t>
      </w:r>
    </w:p>
    <w:p w14:paraId="7D32F42A" w14:textId="0083118A" w:rsidR="00E84D7B" w:rsidRDefault="00E84D7B" w:rsidP="00E84D7B">
      <w:pPr>
        <w:pStyle w:val="ParaNum"/>
      </w:pPr>
      <w:bookmarkStart w:id="209" w:name="_Ref408487473"/>
      <w:r>
        <w:t xml:space="preserve">We believe the Amended Roadmap provides the appropriate foundation for our approach.  With regard to standards, as described above, the standards development process for many dispatchable location technologies is already under way, and the </w:t>
      </w:r>
      <w:r w:rsidR="00FE5BE1">
        <w:t xml:space="preserve">Amended </w:t>
      </w:r>
      <w:r>
        <w:t xml:space="preserve">Roadmap contains commitments to advance the development and approval of standards for many relevant technologies.  The Amended Roadmap also offers a reasonable path forward with respect to deployment of in-building infrastructure and introducing necessary hardware and software modifications into new handsets.  The Parallel Path makes similar </w:t>
      </w:r>
      <w:r w:rsidR="00F16018">
        <w:t>commitments</w:t>
      </w:r>
      <w:r>
        <w:t xml:space="preserve"> for non-nationwide </w:t>
      </w:r>
      <w:r w:rsidR="005C20D1">
        <w:t>CMRS provider</w:t>
      </w:r>
      <w:r>
        <w:t>s.  In light of the Amended Roadmap and Parallel Path, we find that the implementation timeframes adopted today sufficiently consider these issues and provide adequate time for all CMRS providers to plan for and implement a compliant dispatchable location solution if they so choose.</w:t>
      </w:r>
      <w:bookmarkEnd w:id="209"/>
    </w:p>
    <w:p w14:paraId="26CDE486" w14:textId="3F449607" w:rsidR="00DD3AAE" w:rsidRDefault="00DD3AAE" w:rsidP="004876A7">
      <w:pPr>
        <w:pStyle w:val="ParaNum"/>
      </w:pPr>
      <w:r>
        <w:t>I</w:t>
      </w:r>
      <w:r w:rsidRPr="009679E0">
        <w:t xml:space="preserve">n evaluating dispatchable location, the Addendum also proposes that compliance </w:t>
      </w:r>
      <w:r w:rsidR="00F36C17">
        <w:t xml:space="preserve">with vertical accuracy requirements </w:t>
      </w:r>
      <w:r w:rsidRPr="009679E0">
        <w:t xml:space="preserve">would be satisfied in a CMA where the total number of “dispatchable location reference points” in that CMA meets or exceeds the population of the CMA divided by a concentration factor of 4 within </w:t>
      </w:r>
      <w:r w:rsidR="00BE13FF">
        <w:t>six</w:t>
      </w:r>
      <w:r w:rsidRPr="009679E0">
        <w:t xml:space="preserve"> years, based on 2010 census data.</w:t>
      </w:r>
      <w:r w:rsidR="00403326">
        <w:rPr>
          <w:rStyle w:val="FootnoteReference"/>
        </w:rPr>
        <w:footnoteReference w:id="161"/>
      </w:r>
      <w:r w:rsidRPr="009679E0">
        <w:t xml:space="preserve">  </w:t>
      </w:r>
      <w:r>
        <w:t xml:space="preserve">The Addendum commits parties to populate the NEAD with MAC address or Bluetooth reference points for dispatchable location reference points under their direct control for all CMAs.  </w:t>
      </w:r>
      <w:r w:rsidRPr="009679E0">
        <w:t>We agree</w:t>
      </w:r>
      <w:r w:rsidR="00403326">
        <w:t xml:space="preserve"> with this approach</w:t>
      </w:r>
      <w:r w:rsidRPr="009679E0">
        <w:t>, and find that a location solution that provides dispatchable location information to PSAPs</w:t>
      </w:r>
      <w:r w:rsidR="00DB3E54">
        <w:t xml:space="preserve"> in accordance with the prescribed benchmarks</w:t>
      </w:r>
      <w:r w:rsidRPr="009679E0">
        <w:t xml:space="preserve"> and meets the density calculation recommended by the Addendum will be considered in compliance with the </w:t>
      </w:r>
      <w:r w:rsidR="00F36C17">
        <w:t xml:space="preserve">vertical </w:t>
      </w:r>
      <w:r w:rsidRPr="009679E0">
        <w:t>location accuracy requirements adopted herein.</w:t>
      </w:r>
      <w:r w:rsidR="00F36C17">
        <w:rPr>
          <w:rStyle w:val="FootnoteReference"/>
        </w:rPr>
        <w:footnoteReference w:id="162"/>
      </w:r>
      <w:r w:rsidRPr="009679E0">
        <w:t xml:space="preserve">  </w:t>
      </w:r>
      <w:r w:rsidR="001D0271" w:rsidRPr="001D0271">
        <w:t>We concur that given the average population per household in the top 50 CMAs and typical Wi-Fi usage scenarios, the density calculation recommended in the Addendum should provide adequate coverage</w:t>
      </w:r>
      <w:r w:rsidR="004876A7">
        <w:t>,</w:t>
      </w:r>
      <w:r w:rsidR="004876A7" w:rsidRPr="004876A7">
        <w:t xml:space="preserve"> particularly in light of the horizontal accuracy benchmarks described below that CMRS providers using dispatchable location must ensure that they meet</w:t>
      </w:r>
      <w:r w:rsidR="00DB3E54" w:rsidRPr="00891D2D">
        <w:t>.</w:t>
      </w:r>
      <w:r w:rsidR="00DB3E54" w:rsidRPr="00891D2D">
        <w:rPr>
          <w:rStyle w:val="FootnoteReference"/>
        </w:rPr>
        <w:footnoteReference w:id="163"/>
      </w:r>
    </w:p>
    <w:p w14:paraId="43C4A67F" w14:textId="3790B000" w:rsidR="00DD3AAE" w:rsidRPr="001B24B6" w:rsidRDefault="00DD3AAE" w:rsidP="00DD3AAE">
      <w:pPr>
        <w:pStyle w:val="ParaNum"/>
      </w:pPr>
      <w:r w:rsidRPr="005A2014">
        <w:t xml:space="preserve">The Parallel Path suggests that non-nationwide providers would be able to take certain steps in advance of the NEAD’s implementation to develop dispatchable location ability, and that such </w:t>
      </w:r>
      <w:r w:rsidR="005C20D1">
        <w:t>CMRS provider</w:t>
      </w:r>
      <w:r w:rsidRPr="005A2014">
        <w:t>s commit to development, design and implementation of the NEAD, population of its data, and support of the database in concert with NENA, APCO and other stakeholders.  They also commit to certain timeframes associated with handset and network design and development to support delivery of beacon information.</w:t>
      </w:r>
      <w:r w:rsidRPr="005A2014">
        <w:rPr>
          <w:rStyle w:val="FootnoteReference"/>
        </w:rPr>
        <w:footnoteReference w:id="164"/>
      </w:r>
      <w:r w:rsidRPr="005A2014">
        <w:t xml:space="preserve">  </w:t>
      </w:r>
      <w:r w:rsidRPr="001B24B6">
        <w:t xml:space="preserve"> </w:t>
      </w:r>
      <w:r w:rsidRPr="008A0C91">
        <w:t xml:space="preserve">  </w:t>
      </w:r>
    </w:p>
    <w:p w14:paraId="6A342A5B" w14:textId="4F407DBB" w:rsidR="00DD3AAE" w:rsidRDefault="00DD3AAE" w:rsidP="00DD3AAE">
      <w:pPr>
        <w:pStyle w:val="ParaNum"/>
      </w:pPr>
      <w:bookmarkStart w:id="210" w:name="_Ref408480406"/>
      <w:r w:rsidRPr="00E94AFD">
        <w:t xml:space="preserve">With respect to the proposal to develop and implement the NEAD to support dispatchable location, we recognize that </w:t>
      </w:r>
      <w:r>
        <w:t xml:space="preserve">while </w:t>
      </w:r>
      <w:r w:rsidRPr="00143103">
        <w:t xml:space="preserve">the NEAD has significant public safety value, </w:t>
      </w:r>
      <w:r>
        <w:t>there are</w:t>
      </w:r>
      <w:r w:rsidRPr="00143103">
        <w:t xml:space="preserve"> significant </w:t>
      </w:r>
      <w:r w:rsidRPr="00F1142C">
        <w:t xml:space="preserve">privacy and security concerns associated with </w:t>
      </w:r>
      <w:r>
        <w:t xml:space="preserve">the </w:t>
      </w:r>
      <w:r w:rsidRPr="00F1142C">
        <w:t>aggregation of critical infrastructure and private intellectual property data.</w:t>
      </w:r>
      <w:r w:rsidRPr="00E94AFD">
        <w:rPr>
          <w:rStyle w:val="FootnoteReference"/>
        </w:rPr>
        <w:footnoteReference w:id="165"/>
      </w:r>
      <w:r w:rsidRPr="00E94AFD">
        <w:t xml:space="preserve">  </w:t>
      </w:r>
      <w:r>
        <w:t>Although some commenters contend that the NEAD does not present a greater threat to data privacy than already exists today,</w:t>
      </w:r>
      <w:r>
        <w:rPr>
          <w:rStyle w:val="FootnoteReference"/>
        </w:rPr>
        <w:footnoteReference w:id="166"/>
      </w:r>
      <w:r>
        <w:t xml:space="preserve"> t</w:t>
      </w:r>
      <w:r w:rsidRPr="00E94AFD">
        <w:t xml:space="preserve">he </w:t>
      </w:r>
      <w:r>
        <w:t xml:space="preserve">Roadmap and </w:t>
      </w:r>
      <w:r w:rsidR="00EE2E1F">
        <w:t>Parallel</w:t>
      </w:r>
      <w:r>
        <w:t xml:space="preserve"> Path Parties agree that there is a need for privacy and security measures to be implemented with the NEAD.</w:t>
      </w:r>
      <w:r>
        <w:rPr>
          <w:rStyle w:val="FootnoteReference"/>
        </w:rPr>
        <w:footnoteReference w:id="167"/>
      </w:r>
      <w:r w:rsidRPr="00E94AFD">
        <w:t xml:space="preserve"> </w:t>
      </w:r>
      <w:r>
        <w:t xml:space="preserve"> We emphasize that privacy and security concerns must be addressed during the design and development of the NEAD from its earliest stages.  We will hold the NEAD administrator, as well as individual CMRS providers that utilize the NEAD, accountable for protecting the privacy and security of consumers’ location information.</w:t>
      </w:r>
    </w:p>
    <w:p w14:paraId="6E49C530" w14:textId="4ABE5A30" w:rsidR="00DD3AAE" w:rsidRDefault="00DD3AAE" w:rsidP="00DD3AAE">
      <w:pPr>
        <w:pStyle w:val="ParaNum"/>
      </w:pPr>
      <w:r>
        <w:rPr>
          <w:i/>
        </w:rPr>
        <w:t xml:space="preserve">Development of the NEAD Privacy and Security Plan.  </w:t>
      </w:r>
      <w:r>
        <w:t>We</w:t>
      </w:r>
      <w:r w:rsidRPr="00E94AFD">
        <w:t xml:space="preserve"> require </w:t>
      </w:r>
      <w:r w:rsidR="00BE13FF">
        <w:t xml:space="preserve">each of </w:t>
      </w:r>
      <w:r w:rsidRPr="00E94AFD">
        <w:t xml:space="preserve">the </w:t>
      </w:r>
      <w:r w:rsidR="00BE13FF">
        <w:t>nationwide CMRS providers</w:t>
      </w:r>
      <w:r w:rsidRPr="00E94AFD">
        <w:t xml:space="preserve"> to develop </w:t>
      </w:r>
      <w:r>
        <w:t xml:space="preserve">and submit for Commission approval </w:t>
      </w:r>
      <w:r w:rsidRPr="00E94AFD">
        <w:t xml:space="preserve">a detailed </w:t>
      </w:r>
      <w:r>
        <w:t>Privacy and Security</w:t>
      </w:r>
      <w:r w:rsidRPr="00E94AFD">
        <w:t xml:space="preserve"> </w:t>
      </w:r>
      <w:r>
        <w:t>P</w:t>
      </w:r>
      <w:r w:rsidRPr="00E94AFD">
        <w:t>lan for the NEAD</w:t>
      </w:r>
      <w:r>
        <w:t xml:space="preserve">, to be submitted with the interim progress reports discussed above, due 18 months </w:t>
      </w:r>
      <w:r w:rsidRPr="00E94AFD">
        <w:t>from the Effective Date.</w:t>
      </w:r>
      <w:r w:rsidRPr="00E94AFD">
        <w:rPr>
          <w:rStyle w:val="FootnoteReference"/>
        </w:rPr>
        <w:footnoteReference w:id="168"/>
      </w:r>
      <w:r w:rsidRPr="00E94AFD">
        <w:t xml:space="preserve">  </w:t>
      </w:r>
      <w:r>
        <w:t>We note that the Roadmap Parties specifically commit “to require the vendor(s) selected for the NEAD administration to develop a Privacy and Security Plan in advance of going live and transmit it to the FCC.”</w:t>
      </w:r>
      <w:r>
        <w:rPr>
          <w:rStyle w:val="FootnoteReference"/>
        </w:rPr>
        <w:footnoteReference w:id="169"/>
      </w:r>
      <w:r>
        <w:t xml:space="preserve">  While we require the </w:t>
      </w:r>
      <w:r w:rsidR="00BE13FF">
        <w:t>nationwide CMRS providers</w:t>
      </w:r>
      <w:r w:rsidR="00BE13FF" w:rsidDel="00BE13FF">
        <w:t xml:space="preserve"> </w:t>
      </w:r>
      <w:r>
        <w:t>(rather than the vendor) to submit the Privacy and Security Plan, our approach is otherwise consistent with this commitment.  The Roadmap Parties also pledge to collaborate with “industry experts on privacy and security to ensure that best practices are followed in the development and operation of the database.”</w:t>
      </w:r>
      <w:r>
        <w:rPr>
          <w:rStyle w:val="FootnoteReference"/>
        </w:rPr>
        <w:footnoteReference w:id="170"/>
      </w:r>
      <w:r>
        <w:t xml:space="preserve">  In this regard, we expect the </w:t>
      </w:r>
      <w:r w:rsidR="00BE13FF">
        <w:t xml:space="preserve">providers </w:t>
      </w:r>
      <w:r>
        <w:t>to develop the plan in close collaboration with a broad range of relevant stakeholders, including network security and reliability experts, equipment manufacturers (including device, software and network manufacturers), public interest advocacy groups (including privacy advocates, and consumer and disabilities rights groups), and other</w:t>
      </w:r>
      <w:bookmarkStart w:id="211" w:name="_Ref408480412"/>
      <w:r>
        <w:t>, non-nationwide communications service providers.</w:t>
      </w:r>
      <w:r>
        <w:rPr>
          <w:rStyle w:val="FootnoteReference"/>
        </w:rPr>
        <w:footnoteReference w:id="171"/>
      </w:r>
      <w:r>
        <w:t xml:space="preserve">  </w:t>
      </w:r>
      <w:r w:rsidRPr="00E94AFD">
        <w:t>Th</w:t>
      </w:r>
      <w:r>
        <w:t>e</w:t>
      </w:r>
      <w:r w:rsidRPr="00E94AFD">
        <w:t xml:space="preserve"> plan should </w:t>
      </w:r>
      <w:r>
        <w:t xml:space="preserve">appoint </w:t>
      </w:r>
      <w:r w:rsidRPr="00E94AFD">
        <w:t xml:space="preserve">an administrator for the NEAD, </w:t>
      </w:r>
      <w:r>
        <w:t xml:space="preserve">prior to the database’s activation, </w:t>
      </w:r>
      <w:r w:rsidRPr="00E94AFD">
        <w:t xml:space="preserve">who </w:t>
      </w:r>
      <w:r>
        <w:t>will</w:t>
      </w:r>
      <w:r w:rsidRPr="00E94AFD">
        <w:t xml:space="preserve"> serve as a </w:t>
      </w:r>
      <w:r>
        <w:t xml:space="preserve">single </w:t>
      </w:r>
      <w:r w:rsidRPr="00E94AFD">
        <w:t xml:space="preserve">point of contact for the Commission </w:t>
      </w:r>
      <w:r>
        <w:t>on the</w:t>
      </w:r>
      <w:r w:rsidRPr="00E94AFD">
        <w:t xml:space="preserve"> security, privacy, and resiliency measures that will be implemented in the NEAD.  </w:t>
      </w:r>
      <w:bookmarkEnd w:id="210"/>
      <w:bookmarkEnd w:id="211"/>
    </w:p>
    <w:p w14:paraId="1F1EC45E" w14:textId="5103A910" w:rsidR="00DD3AAE" w:rsidRDefault="00DD3AAE" w:rsidP="00DD3AAE">
      <w:pPr>
        <w:pStyle w:val="ParaNum"/>
      </w:pPr>
      <w:r>
        <w:t>We will make the NEAD Privacy and Security Plan available for public notice and comment to promote openness and transparency,</w:t>
      </w:r>
      <w:r>
        <w:rPr>
          <w:rStyle w:val="FootnoteReference"/>
        </w:rPr>
        <w:footnoteReference w:id="172"/>
      </w:r>
      <w:r>
        <w:t xml:space="preserve"> and to ensure that the plan addresses the full range of security and privacy concerns that must be resolved prior to use of the database.  Upon review of the plan and the record generated in response, we will evaluate the need to take any additional measures to protect the privacy, security, and resiliency of the NEAD and any associated data.  In this respect, w</w:t>
      </w:r>
      <w:r w:rsidR="00D50E3F">
        <w:t>hile commenters have raised important issues, we need not address</w:t>
      </w:r>
      <w:r>
        <w:t xml:space="preserve"> </w:t>
      </w:r>
      <w:r w:rsidR="00D50E3F">
        <w:t xml:space="preserve">their </w:t>
      </w:r>
      <w:r>
        <w:t xml:space="preserve">specific concerns regarding the treatment of data within the NEAD </w:t>
      </w:r>
      <w:r w:rsidR="00D50E3F">
        <w:t xml:space="preserve">at this time, as such concerns </w:t>
      </w:r>
      <w:r>
        <w:t xml:space="preserve">can be </w:t>
      </w:r>
      <w:r w:rsidR="00D50E3F">
        <w:t xml:space="preserve">raised and fully </w:t>
      </w:r>
      <w:r>
        <w:t xml:space="preserve">addressed in connection with </w:t>
      </w:r>
      <w:r w:rsidR="00A60DC1">
        <w:t xml:space="preserve">our </w:t>
      </w:r>
      <w:r>
        <w:t xml:space="preserve">evaluation of </w:t>
      </w:r>
      <w:r w:rsidR="00D50E3F">
        <w:t xml:space="preserve">any </w:t>
      </w:r>
      <w:r>
        <w:t xml:space="preserve">specific plan </w:t>
      </w:r>
      <w:r w:rsidR="00A60DC1">
        <w:t xml:space="preserve">that may be </w:t>
      </w:r>
      <w:r>
        <w:t>filed.</w:t>
      </w:r>
    </w:p>
    <w:p w14:paraId="7A5FFC6C" w14:textId="0396BC3B" w:rsidR="00DD3AAE" w:rsidRDefault="00DD3AAE" w:rsidP="00DD3AAE">
      <w:pPr>
        <w:pStyle w:val="ParaNum"/>
      </w:pPr>
      <w:r>
        <w:rPr>
          <w:i/>
        </w:rPr>
        <w:t xml:space="preserve">Privacy and Security Measures Applicable to Individual CMRS Providers.  </w:t>
      </w:r>
      <w:r>
        <w:t>In addition to the NEAD Privacy and Security Plan, w</w:t>
      </w:r>
      <w:r w:rsidRPr="00281D11">
        <w:t xml:space="preserve">e </w:t>
      </w:r>
      <w:r>
        <w:t>believe</w:t>
      </w:r>
      <w:r w:rsidRPr="00281D11">
        <w:t xml:space="preserve"> that certain explicit requirements</w:t>
      </w:r>
      <w:r>
        <w:t xml:space="preserve"> on individual CMRS providers </w:t>
      </w:r>
      <w:r w:rsidRPr="00281D11">
        <w:t>are necessary to ensure the privacy and security of NEAD data</w:t>
      </w:r>
      <w:r w:rsidR="00D50E3F">
        <w:t xml:space="preserve"> and any other information involved in the determination and delivery of dispatchable location</w:t>
      </w:r>
      <w:r w:rsidRPr="00281D11">
        <w:t xml:space="preserve">. </w:t>
      </w:r>
      <w:r>
        <w:t xml:space="preserve"> We</w:t>
      </w:r>
      <w:r w:rsidRPr="00281D11">
        <w:t xml:space="preserve"> require that</w:t>
      </w:r>
      <w:r>
        <w:t>,</w:t>
      </w:r>
      <w:r w:rsidRPr="00281D11">
        <w:t xml:space="preserve"> as a condition of using the NEAD or any information contained therein to meet our 911 location requirements, </w:t>
      </w:r>
      <w:r>
        <w:t xml:space="preserve">and prior to use of the NEAD, </w:t>
      </w:r>
      <w:r w:rsidRPr="00281D11">
        <w:t xml:space="preserve">CMRS providers must certify that they will not use the NEAD or associated data for any </w:t>
      </w:r>
      <w:r>
        <w:t>purpose other than for the purpose of responding to 911 calls, except as required by law</w:t>
      </w:r>
      <w:r w:rsidR="00D50E3F">
        <w:t xml:space="preserve">.  Additionally, should aspects of a CMRS provider’s dispatchable location operations not be covered by the NEAD privacy and security plan, the provider should file an addendum to ensure that the protections outlined in the NEAD plan will cover the provider’s dispatchable location transactions end-to-end.  </w:t>
      </w:r>
      <w:r>
        <w:t>We note that there is support for this requirement in the record, including by the Roadmap Parties.  For example, AT&amp;T pledges that the information contained in the NEAD</w:t>
      </w:r>
      <w:r w:rsidRPr="00E94AFD">
        <w:t xml:space="preserve"> will not be used for any non-emergency purposes.</w:t>
      </w:r>
      <w:r w:rsidRPr="00E94AFD">
        <w:rPr>
          <w:rStyle w:val="FootnoteReference"/>
        </w:rPr>
        <w:footnoteReference w:id="173"/>
      </w:r>
      <w:r w:rsidRPr="00E94AFD">
        <w:t xml:space="preserve">  </w:t>
      </w:r>
      <w:r>
        <w:t xml:space="preserve">Likewise, Verizon affirms that “the Roadmap signatories committed to addressing the security and privacy of customers’ information as part of the NEAD’s development, </w:t>
      </w:r>
      <w:r w:rsidRPr="002A3E50">
        <w:rPr>
          <w:i/>
        </w:rPr>
        <w:t>which will be used exclusively for 911 purposes</w:t>
      </w:r>
      <w:r>
        <w:t>.”</w:t>
      </w:r>
      <w:r>
        <w:rPr>
          <w:rStyle w:val="FootnoteReference"/>
        </w:rPr>
        <w:footnoteReference w:id="174"/>
      </w:r>
      <w:r>
        <w:t xml:space="preserve">  </w:t>
      </w:r>
      <w:r w:rsidRPr="003C54AA">
        <w:t xml:space="preserve">To the extent location </w:t>
      </w:r>
      <w:r>
        <w:t>information</w:t>
      </w:r>
      <w:r w:rsidRPr="003C54AA">
        <w:t xml:space="preserve"> (by itself or in conjunction with other data concerning the customer) constitutes </w:t>
      </w:r>
      <w:r w:rsidR="00DB3E54">
        <w:t xml:space="preserve">proprietary information </w:t>
      </w:r>
      <w:r>
        <w:t>protected under Section 222 of the Communications Act,</w:t>
      </w:r>
      <w:r>
        <w:rPr>
          <w:rStyle w:val="FootnoteReference"/>
        </w:rPr>
        <w:footnoteReference w:id="175"/>
      </w:r>
      <w:r>
        <w:t xml:space="preserve"> </w:t>
      </w:r>
      <w:r w:rsidRPr="003C54AA">
        <w:t xml:space="preserve">we note that </w:t>
      </w:r>
      <w:r>
        <w:t>Section 222 expressly allows for the provision of</w:t>
      </w:r>
      <w:r w:rsidRPr="003C54AA">
        <w:t xml:space="preserve"> </w:t>
      </w:r>
      <w:r>
        <w:t>a user’s call location</w:t>
      </w:r>
      <w:r w:rsidRPr="003C54AA">
        <w:t xml:space="preserve"> information to </w:t>
      </w:r>
      <w:r>
        <w:t xml:space="preserve">certain emergency response </w:t>
      </w:r>
      <w:r w:rsidRPr="003C54AA">
        <w:t>providers</w:t>
      </w:r>
      <w:r>
        <w:t>,</w:t>
      </w:r>
      <w:r w:rsidRPr="003C54AA">
        <w:t xml:space="preserve"> </w:t>
      </w:r>
      <w:r>
        <w:t>in order to respond to the user’s call for</w:t>
      </w:r>
      <w:r w:rsidRPr="003C54AA">
        <w:t xml:space="preserve"> emergency services.</w:t>
      </w:r>
      <w:r w:rsidRPr="00281D11">
        <w:rPr>
          <w:rStyle w:val="FootnoteReference"/>
        </w:rPr>
        <w:footnoteReference w:id="176"/>
      </w:r>
      <w:r w:rsidRPr="00281D11">
        <w:t xml:space="preserve"> </w:t>
      </w:r>
      <w:r w:rsidRPr="00615C6A">
        <w:t xml:space="preserve"> </w:t>
      </w:r>
      <w:r w:rsidRPr="003C54AA">
        <w:t xml:space="preserve">In light of the Section 222 exception for 911 calls and the required certification by CMRS that NEAD data will only be used for 911 location purposes, nothing in this </w:t>
      </w:r>
      <w:r w:rsidRPr="00724147">
        <w:rPr>
          <w:i/>
        </w:rPr>
        <w:t>Fourth Report and Order</w:t>
      </w:r>
      <w:r>
        <w:t xml:space="preserve"> </w:t>
      </w:r>
      <w:r w:rsidRPr="003C54AA">
        <w:t>should be construed to permit any use of customer or location information stored in the NEAD in any other context.</w:t>
      </w:r>
      <w:r>
        <w:t xml:space="preserve">  </w:t>
      </w:r>
    </w:p>
    <w:p w14:paraId="179105C6" w14:textId="0624EA08" w:rsidR="008F5076" w:rsidRPr="00B7262E" w:rsidRDefault="007E4590" w:rsidP="007E4590">
      <w:pPr>
        <w:pStyle w:val="ParaNum"/>
      </w:pPr>
      <w:r w:rsidRPr="007D4F39">
        <w:rPr>
          <w:i/>
        </w:rPr>
        <w:t xml:space="preserve">PSAP </w:t>
      </w:r>
      <w:r>
        <w:rPr>
          <w:i/>
        </w:rPr>
        <w:t>Ability</w:t>
      </w:r>
      <w:r w:rsidRPr="007D4F39">
        <w:rPr>
          <w:i/>
        </w:rPr>
        <w:t xml:space="preserve"> </w:t>
      </w:r>
      <w:r>
        <w:rPr>
          <w:i/>
        </w:rPr>
        <w:t>To Use</w:t>
      </w:r>
      <w:r w:rsidRPr="007D4F39">
        <w:rPr>
          <w:i/>
        </w:rPr>
        <w:t xml:space="preserve"> Dispatchable Location Information.</w:t>
      </w:r>
      <w:r>
        <w:t xml:space="preserve">  We disagree with commenters who argue that PSAPs will not be able to accept dispatchable location information.  First, PSAPs already receive location data in street address format (as opposed to geodetic coordinates) for wireline 911 calls.  This capacity to receive non-geodetic data can be readily leveraged to accept delivery of dispatchable location information from wireless calls as well.  Second, under the approach we adopt today, PSAPs retain the choice of whether to accept dispatchable location information (where available) or to request that the CMRS provider provide only geodetic coordinates to that PSAP.</w:t>
      </w:r>
      <w:r>
        <w:rPr>
          <w:rStyle w:val="FootnoteReference"/>
        </w:rPr>
        <w:footnoteReference w:id="177"/>
      </w:r>
      <w:r>
        <w:t xml:space="preserve">  Even where PSAPs choose to accept dispatchable location information with 911 calls, CMRS providers should also make coordinate information for such calls available to the PSAP whenever feasible.</w:t>
      </w:r>
      <w:r>
        <w:rPr>
          <w:rStyle w:val="FootnoteReference"/>
        </w:rPr>
        <w:footnoteReference w:id="178"/>
      </w:r>
      <w:r>
        <w:t xml:space="preserve">  Although PSAPs may need to make adjustments in procedure and additional personnel training may be necessary, we do not believe these factors justify a delay in adopting indoor location accuracy requirements that encourage dispatchable location solutions.</w:t>
      </w:r>
    </w:p>
    <w:p w14:paraId="3F6B3166" w14:textId="72AB6EA0" w:rsidR="00EB36D5" w:rsidRPr="00D062B8" w:rsidRDefault="007E4590" w:rsidP="00B93C4B">
      <w:pPr>
        <w:pStyle w:val="ParaNum"/>
      </w:pPr>
      <w:r>
        <w:t>W</w:t>
      </w:r>
      <w:r w:rsidRPr="00B93C4B">
        <w:rPr>
          <w:szCs w:val="22"/>
        </w:rPr>
        <w:t>e applaud the commitments for dispat</w:t>
      </w:r>
      <w:r w:rsidRPr="00A17E0E">
        <w:rPr>
          <w:szCs w:val="22"/>
        </w:rPr>
        <w:t xml:space="preserve">chable location set forth in the </w:t>
      </w:r>
      <w:r w:rsidR="00F36C17">
        <w:rPr>
          <w:szCs w:val="22"/>
        </w:rPr>
        <w:t xml:space="preserve">Amended </w:t>
      </w:r>
      <w:r w:rsidRPr="00A17E0E">
        <w:rPr>
          <w:szCs w:val="22"/>
        </w:rPr>
        <w:t>Roadmap</w:t>
      </w:r>
      <w:r w:rsidR="00F36C17">
        <w:rPr>
          <w:szCs w:val="22"/>
        </w:rPr>
        <w:t xml:space="preserve"> </w:t>
      </w:r>
      <w:r w:rsidRPr="00A17E0E">
        <w:rPr>
          <w:szCs w:val="22"/>
        </w:rPr>
        <w:t xml:space="preserve">and Parallel Path, as they represent a meaningful and actionable plan for achieving dispatchable location for wireless 911 calls, particularly indoor calls.  </w:t>
      </w:r>
      <w:r>
        <w:t>The Roadmap and Parallel Path also state that the</w:t>
      </w:r>
      <w:r w:rsidR="00F36C17">
        <w:t xml:space="preserve"> signatory CMRS providers </w:t>
      </w:r>
      <w:r>
        <w:t>will work with public safety to study and consider further steps to providing wireline-equivalent routing for wireless consumer home products that provide a dispatchable location.</w:t>
      </w:r>
      <w:r>
        <w:rPr>
          <w:rStyle w:val="FootnoteReference"/>
        </w:rPr>
        <w:footnoteReference w:id="179"/>
      </w:r>
      <w:r>
        <w:t xml:space="preserve">  However,</w:t>
      </w:r>
      <w:r w:rsidRPr="00B36AEA">
        <w:t xml:space="preserve"> </w:t>
      </w:r>
      <w:r>
        <w:t>as many commenters point out, the Roadmap contains no guarantee that dispatchable location will be successfully deployed or will function as intended.</w:t>
      </w:r>
      <w:r>
        <w:rPr>
          <w:rStyle w:val="FootnoteReference"/>
        </w:rPr>
        <w:footnoteReference w:id="180"/>
      </w:r>
      <w:r>
        <w:t xml:space="preserve">  Therefore, to ensure sufficient location accuracy for all wireless indoor 911 calls, we find it necessary to adopt coordinate-based requirements for both the x- and y-axes and the z-axis as alternatives to dispatchable location.  We disc</w:t>
      </w:r>
      <w:r w:rsidR="00D062B8">
        <w:t>uss these requirements below.</w:t>
      </w:r>
    </w:p>
    <w:p w14:paraId="0E52EC3A" w14:textId="77777777" w:rsidR="003359FD" w:rsidRPr="008B60AE" w:rsidRDefault="003359FD" w:rsidP="003359FD">
      <w:pPr>
        <w:pStyle w:val="Heading3"/>
        <w:rPr>
          <w:szCs w:val="22"/>
        </w:rPr>
      </w:pPr>
      <w:bookmarkStart w:id="212" w:name="_Toc405298474"/>
      <w:bookmarkStart w:id="213" w:name="_Toc406481390"/>
      <w:bookmarkStart w:id="214" w:name="_Toc406513844"/>
      <w:bookmarkStart w:id="215" w:name="_Toc408400450"/>
      <w:bookmarkStart w:id="216" w:name="_Toc408400495"/>
      <w:bookmarkStart w:id="217" w:name="_Toc408400552"/>
      <w:bookmarkStart w:id="218" w:name="_Toc408403114"/>
      <w:bookmarkStart w:id="219" w:name="_Toc408421326"/>
      <w:bookmarkStart w:id="220" w:name="_Toc407796240"/>
      <w:bookmarkStart w:id="221" w:name="_Toc408490564"/>
      <w:bookmarkStart w:id="222" w:name="_Toc408496213"/>
      <w:bookmarkStart w:id="223" w:name="_Toc408502414"/>
      <w:bookmarkStart w:id="224" w:name="_Toc410119086"/>
      <w:bookmarkStart w:id="225" w:name="_Toc410123665"/>
      <w:bookmarkStart w:id="226" w:name="_Toc410124647"/>
      <w:bookmarkStart w:id="227" w:name="_Toc410124727"/>
      <w:bookmarkStart w:id="228" w:name="_Toc410146121"/>
      <w:bookmarkStart w:id="229" w:name="_Toc410212645"/>
      <w:bookmarkStart w:id="230" w:name="_Toc410648286"/>
      <w:r w:rsidRPr="008B60AE">
        <w:rPr>
          <w:szCs w:val="22"/>
        </w:rPr>
        <w:t>Horizontal Location Information</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1E3D1C34" w14:textId="2E15B205" w:rsidR="003359FD" w:rsidRPr="00B270FA" w:rsidRDefault="003359FD" w:rsidP="003359FD">
      <w:pPr>
        <w:pStyle w:val="ParaNum"/>
        <w:rPr>
          <w:szCs w:val="22"/>
        </w:rPr>
      </w:pPr>
      <w:r w:rsidRPr="00B270FA">
        <w:rPr>
          <w:szCs w:val="22"/>
        </w:rPr>
        <w:t xml:space="preserve">In the </w:t>
      </w:r>
      <w:r w:rsidRPr="00B270FA">
        <w:rPr>
          <w:i/>
          <w:szCs w:val="22"/>
        </w:rPr>
        <w:t>Third Further Notice</w:t>
      </w:r>
      <w:r w:rsidRPr="00B270FA">
        <w:rPr>
          <w:szCs w:val="22"/>
        </w:rPr>
        <w:t>, we proposed a horizontal accuracy standard of 50 meters for indoor wireless calls, to be achieved by 67 percent of indoor 911</w:t>
      </w:r>
      <w:r>
        <w:rPr>
          <w:szCs w:val="22"/>
        </w:rPr>
        <w:t xml:space="preserve"> </w:t>
      </w:r>
      <w:r w:rsidRPr="00B270FA">
        <w:rPr>
          <w:szCs w:val="22"/>
        </w:rPr>
        <w:t>calls within two years and 80 percent of indoor 911 calls within five years.</w:t>
      </w:r>
      <w:r w:rsidRPr="008B60AE">
        <w:rPr>
          <w:rStyle w:val="FootnoteReference"/>
          <w:sz w:val="22"/>
          <w:szCs w:val="22"/>
        </w:rPr>
        <w:footnoteReference w:id="181"/>
      </w:r>
      <w:r w:rsidRPr="00B270FA">
        <w:rPr>
          <w:szCs w:val="22"/>
        </w:rPr>
        <w:t xml:space="preserve"> </w:t>
      </w:r>
      <w:r w:rsidR="00177EFB">
        <w:rPr>
          <w:szCs w:val="22"/>
        </w:rPr>
        <w:t xml:space="preserve"> </w:t>
      </w:r>
      <w:r w:rsidRPr="00B270FA">
        <w:rPr>
          <w:szCs w:val="22"/>
        </w:rPr>
        <w:t xml:space="preserve">As discussed in </w:t>
      </w:r>
      <w:r w:rsidRPr="00D84BC7">
        <w:t xml:space="preserve">Section </w:t>
      </w:r>
      <w:r w:rsidRPr="003C54AA">
        <w:rPr>
          <w:szCs w:val="22"/>
        </w:rPr>
        <w:t>III.B</w:t>
      </w:r>
      <w:r w:rsidR="00501405">
        <w:rPr>
          <w:szCs w:val="22"/>
        </w:rPr>
        <w:t>.2</w:t>
      </w:r>
      <w:r w:rsidRPr="003C54AA">
        <w:rPr>
          <w:szCs w:val="22"/>
        </w:rPr>
        <w:t>,</w:t>
      </w:r>
      <w:r w:rsidRPr="00B270FA">
        <w:rPr>
          <w:b/>
          <w:szCs w:val="22"/>
        </w:rPr>
        <w:t xml:space="preserve"> </w:t>
      </w:r>
      <w:r w:rsidRPr="003C54AA">
        <w:rPr>
          <w:i/>
          <w:szCs w:val="22"/>
        </w:rPr>
        <w:t>supra</w:t>
      </w:r>
      <w:r w:rsidRPr="00B270FA">
        <w:rPr>
          <w:szCs w:val="22"/>
        </w:rPr>
        <w:t>, we are incorporating the Roadmap’s provisions for implementation of dispatchable location as a</w:t>
      </w:r>
      <w:r>
        <w:rPr>
          <w:szCs w:val="22"/>
        </w:rPr>
        <w:t xml:space="preserve">n alternative </w:t>
      </w:r>
      <w:r w:rsidRPr="00B270FA">
        <w:rPr>
          <w:szCs w:val="22"/>
        </w:rPr>
        <w:t xml:space="preserve">means to provide accurate indoor location information with a 911 call.  However, the Roadmap also provides that </w:t>
      </w:r>
      <w:r>
        <w:rPr>
          <w:szCs w:val="22"/>
        </w:rPr>
        <w:t>CMRS providers</w:t>
      </w:r>
      <w:r w:rsidRPr="00B270FA">
        <w:rPr>
          <w:szCs w:val="22"/>
        </w:rPr>
        <w:t xml:space="preserve"> </w:t>
      </w:r>
      <w:r>
        <w:rPr>
          <w:szCs w:val="22"/>
        </w:rPr>
        <w:t>will</w:t>
      </w:r>
      <w:r w:rsidRPr="00B270FA">
        <w:rPr>
          <w:szCs w:val="22"/>
        </w:rPr>
        <w:t xml:space="preserve"> meet their commitments by providing coordinate information</w:t>
      </w:r>
      <w:r>
        <w:rPr>
          <w:szCs w:val="22"/>
        </w:rPr>
        <w:t xml:space="preserve"> based on a 50-meter standard, in the event a dispatchable location solution is unavailable</w:t>
      </w:r>
      <w:r w:rsidRPr="00B270FA">
        <w:rPr>
          <w:szCs w:val="22"/>
        </w:rPr>
        <w:t xml:space="preserve">.  Therefore, the rules we adopt include </w:t>
      </w:r>
      <w:r>
        <w:rPr>
          <w:szCs w:val="22"/>
        </w:rPr>
        <w:t>a standard</w:t>
      </w:r>
      <w:r w:rsidRPr="00B270FA">
        <w:rPr>
          <w:szCs w:val="22"/>
        </w:rPr>
        <w:t xml:space="preserve"> for coordinate-based location as an alternative to dispatchable location</w:t>
      </w:r>
      <w:r>
        <w:rPr>
          <w:szCs w:val="22"/>
        </w:rPr>
        <w:t>.  In addition, we modify our originally proposed horizontal location benchmarks and timelines to incorporate elements from the Roadmap (including the slightly more generous timeframes and percentage benchmarks from the Addendum and the Parallel Path), but we also include backstop elements adapted from our original proposals</w:t>
      </w:r>
      <w:r w:rsidRPr="00B270FA">
        <w:rPr>
          <w:szCs w:val="22"/>
        </w:rPr>
        <w:t>:</w:t>
      </w:r>
    </w:p>
    <w:p w14:paraId="296FB409" w14:textId="3752ADE7" w:rsidR="003359FD" w:rsidRPr="000D1749" w:rsidRDefault="003359FD" w:rsidP="00177EFB">
      <w:pPr>
        <w:numPr>
          <w:ilvl w:val="0"/>
          <w:numId w:val="4"/>
        </w:numPr>
        <w:spacing w:after="120"/>
        <w:rPr>
          <w:snapToGrid/>
          <w:kern w:val="0"/>
          <w:szCs w:val="22"/>
        </w:rPr>
      </w:pPr>
      <w:r w:rsidRPr="000D1749">
        <w:rPr>
          <w:snapToGrid/>
          <w:kern w:val="0"/>
          <w:szCs w:val="22"/>
        </w:rPr>
        <w:t xml:space="preserve">Nationwide CMRS providers must provide </w:t>
      </w:r>
      <w:r w:rsidRPr="004C29B5">
        <w:rPr>
          <w:kern w:val="0"/>
        </w:rPr>
        <w:t>(1) dispatchable location,</w:t>
      </w:r>
      <w:r>
        <w:rPr>
          <w:rStyle w:val="FootnoteReference"/>
          <w:snapToGrid/>
          <w:kern w:val="0"/>
          <w:szCs w:val="22"/>
        </w:rPr>
        <w:footnoteReference w:id="182"/>
      </w:r>
      <w:r w:rsidRPr="004C29B5">
        <w:rPr>
          <w:kern w:val="0"/>
        </w:rPr>
        <w:t xml:space="preserve"> or (2) x/y location within 50 meters, for </w:t>
      </w:r>
      <w:r w:rsidRPr="000D1749">
        <w:rPr>
          <w:snapToGrid/>
          <w:kern w:val="0"/>
          <w:szCs w:val="22"/>
        </w:rPr>
        <w:t xml:space="preserve">the following percentages of wireless 911 calls within the following timeframes, measured from the effective date of rules adopted in this Order (“Effective Date”): </w:t>
      </w:r>
    </w:p>
    <w:p w14:paraId="3D5A7923" w14:textId="77777777" w:rsidR="003359FD" w:rsidRDefault="003359FD" w:rsidP="008B432C">
      <w:pPr>
        <w:numPr>
          <w:ilvl w:val="1"/>
          <w:numId w:val="4"/>
        </w:numPr>
        <w:rPr>
          <w:snapToGrid/>
          <w:kern w:val="0"/>
          <w:szCs w:val="22"/>
        </w:rPr>
      </w:pPr>
      <w:r w:rsidRPr="000D1749">
        <w:rPr>
          <w:snapToGrid/>
          <w:kern w:val="0"/>
          <w:szCs w:val="22"/>
        </w:rPr>
        <w:t>Within 2 years: 40 percent of all wireless 911 calls.</w:t>
      </w:r>
    </w:p>
    <w:p w14:paraId="52E61293" w14:textId="0526F328" w:rsidR="003359FD" w:rsidRPr="000D1749" w:rsidRDefault="003359FD" w:rsidP="008B432C">
      <w:pPr>
        <w:numPr>
          <w:ilvl w:val="1"/>
          <w:numId w:val="4"/>
        </w:numPr>
        <w:rPr>
          <w:snapToGrid/>
          <w:kern w:val="0"/>
          <w:szCs w:val="22"/>
        </w:rPr>
      </w:pPr>
      <w:r w:rsidRPr="000D1749">
        <w:rPr>
          <w:snapToGrid/>
          <w:kern w:val="0"/>
          <w:szCs w:val="22"/>
        </w:rPr>
        <w:t xml:space="preserve">Within 3 years: </w:t>
      </w:r>
      <w:r w:rsidRPr="004C29B5">
        <w:rPr>
          <w:kern w:val="0"/>
        </w:rPr>
        <w:t>50 percent of all wireless 911 calls</w:t>
      </w:r>
      <w:r w:rsidRPr="000D1749">
        <w:rPr>
          <w:snapToGrid/>
          <w:kern w:val="0"/>
          <w:szCs w:val="22"/>
        </w:rPr>
        <w:t>.</w:t>
      </w:r>
    </w:p>
    <w:p w14:paraId="5F636997" w14:textId="77777777" w:rsidR="003359FD" w:rsidRPr="000D1749" w:rsidRDefault="003359FD" w:rsidP="008B432C">
      <w:pPr>
        <w:numPr>
          <w:ilvl w:val="1"/>
          <w:numId w:val="4"/>
        </w:numPr>
        <w:rPr>
          <w:snapToGrid/>
          <w:kern w:val="0"/>
          <w:szCs w:val="22"/>
        </w:rPr>
      </w:pPr>
      <w:r w:rsidRPr="000D1749">
        <w:rPr>
          <w:snapToGrid/>
          <w:kern w:val="0"/>
          <w:szCs w:val="22"/>
        </w:rPr>
        <w:t xml:space="preserve">Within 5 years: </w:t>
      </w:r>
      <w:r>
        <w:rPr>
          <w:snapToGrid/>
          <w:kern w:val="0"/>
          <w:szCs w:val="22"/>
        </w:rPr>
        <w:t>70</w:t>
      </w:r>
      <w:r w:rsidRPr="000D1749">
        <w:rPr>
          <w:snapToGrid/>
          <w:kern w:val="0"/>
          <w:szCs w:val="22"/>
        </w:rPr>
        <w:t xml:space="preserve"> percent of all wireless 911 calls. </w:t>
      </w:r>
    </w:p>
    <w:p w14:paraId="03D6BE0B" w14:textId="36C933D7" w:rsidR="003359FD" w:rsidRPr="000D1749" w:rsidRDefault="003359FD" w:rsidP="00177EFB">
      <w:pPr>
        <w:numPr>
          <w:ilvl w:val="1"/>
          <w:numId w:val="4"/>
        </w:numPr>
        <w:spacing w:after="120"/>
        <w:rPr>
          <w:snapToGrid/>
          <w:kern w:val="0"/>
          <w:szCs w:val="22"/>
        </w:rPr>
      </w:pPr>
      <w:r w:rsidRPr="000D1749">
        <w:rPr>
          <w:snapToGrid/>
          <w:kern w:val="0"/>
          <w:szCs w:val="22"/>
        </w:rPr>
        <w:t xml:space="preserve">Within 6 years: 80 percent of all wireless 911 calls.  </w:t>
      </w:r>
    </w:p>
    <w:p w14:paraId="60456CF5" w14:textId="5F62B9B0" w:rsidR="003359FD" w:rsidRPr="004C29B5" w:rsidRDefault="003359FD" w:rsidP="004C29B5">
      <w:pPr>
        <w:numPr>
          <w:ilvl w:val="0"/>
          <w:numId w:val="4"/>
        </w:numPr>
        <w:spacing w:after="120"/>
        <w:rPr>
          <w:kern w:val="0"/>
        </w:rPr>
      </w:pPr>
      <w:r w:rsidRPr="000D1749">
        <w:rPr>
          <w:snapToGrid/>
          <w:kern w:val="0"/>
          <w:szCs w:val="22"/>
        </w:rPr>
        <w:t xml:space="preserve">Non-nationwide </w:t>
      </w:r>
      <w:r w:rsidR="005C20D1">
        <w:rPr>
          <w:snapToGrid/>
          <w:kern w:val="0"/>
          <w:szCs w:val="22"/>
        </w:rPr>
        <w:t>CMRS provider</w:t>
      </w:r>
      <w:r w:rsidRPr="000D1749">
        <w:rPr>
          <w:snapToGrid/>
          <w:kern w:val="0"/>
          <w:szCs w:val="22"/>
        </w:rPr>
        <w:t>s are subject to the same two-</w:t>
      </w:r>
      <w:r w:rsidRPr="004C29B5">
        <w:rPr>
          <w:kern w:val="0"/>
        </w:rPr>
        <w:t xml:space="preserve"> and </w:t>
      </w:r>
      <w:r w:rsidRPr="000D1749">
        <w:rPr>
          <w:snapToGrid/>
          <w:kern w:val="0"/>
          <w:szCs w:val="22"/>
        </w:rPr>
        <w:t xml:space="preserve">three-year benchmarks as nationwide </w:t>
      </w:r>
      <w:r w:rsidR="005C20D1">
        <w:rPr>
          <w:snapToGrid/>
          <w:kern w:val="0"/>
          <w:szCs w:val="22"/>
        </w:rPr>
        <w:t>CMRS provider</w:t>
      </w:r>
      <w:r w:rsidRPr="000D1749">
        <w:rPr>
          <w:snapToGrid/>
          <w:kern w:val="0"/>
          <w:szCs w:val="22"/>
        </w:rPr>
        <w:t xml:space="preserve">s </w:t>
      </w:r>
      <w:r w:rsidRPr="000D1749">
        <w:rPr>
          <w:i/>
          <w:snapToGrid/>
          <w:kern w:val="0"/>
          <w:szCs w:val="22"/>
        </w:rPr>
        <w:t>(i.e</w:t>
      </w:r>
      <w:r w:rsidRPr="000D1749">
        <w:rPr>
          <w:snapToGrid/>
          <w:kern w:val="0"/>
          <w:szCs w:val="22"/>
        </w:rPr>
        <w:t>., 40 percent at 2 years, and 50 percent at 3 years).  At years 5 and 6, non-</w:t>
      </w:r>
      <w:r w:rsidRPr="00E1395C">
        <w:rPr>
          <w:snapToGrid/>
          <w:kern w:val="0"/>
          <w:szCs w:val="22"/>
        </w:rPr>
        <w:t>nationwide</w:t>
      </w:r>
      <w:r w:rsidRPr="000D1749">
        <w:rPr>
          <w:snapToGrid/>
          <w:kern w:val="0"/>
          <w:szCs w:val="22"/>
        </w:rPr>
        <w:t xml:space="preserve"> </w:t>
      </w:r>
      <w:r w:rsidR="005C20D1">
        <w:rPr>
          <w:snapToGrid/>
          <w:kern w:val="0"/>
          <w:szCs w:val="22"/>
        </w:rPr>
        <w:t>CMRS provider</w:t>
      </w:r>
      <w:r w:rsidRPr="000D1749">
        <w:rPr>
          <w:snapToGrid/>
          <w:kern w:val="0"/>
          <w:szCs w:val="22"/>
        </w:rPr>
        <w:t>s are subject to the rules as follows:</w:t>
      </w:r>
    </w:p>
    <w:p w14:paraId="6271DF59" w14:textId="59760218" w:rsidR="003359FD" w:rsidRPr="004C29B5" w:rsidRDefault="003359FD" w:rsidP="004C29B5">
      <w:pPr>
        <w:numPr>
          <w:ilvl w:val="1"/>
          <w:numId w:val="4"/>
        </w:numPr>
        <w:spacing w:after="120"/>
        <w:rPr>
          <w:kern w:val="0"/>
        </w:rPr>
      </w:pPr>
      <w:r w:rsidRPr="004C29B5">
        <w:rPr>
          <w:kern w:val="0"/>
        </w:rPr>
        <w:t xml:space="preserve">within </w:t>
      </w:r>
      <w:r w:rsidRPr="000D1749">
        <w:rPr>
          <w:snapToGrid/>
          <w:kern w:val="0"/>
          <w:szCs w:val="22"/>
        </w:rPr>
        <w:t>the later</w:t>
      </w:r>
      <w:r w:rsidRPr="004C29B5">
        <w:rPr>
          <w:kern w:val="0"/>
        </w:rPr>
        <w:t xml:space="preserve"> of </w:t>
      </w:r>
      <w:r w:rsidRPr="000D1749">
        <w:rPr>
          <w:snapToGrid/>
          <w:kern w:val="0"/>
          <w:szCs w:val="22"/>
        </w:rPr>
        <w:t>five</w:t>
      </w:r>
      <w:r w:rsidRPr="004C29B5">
        <w:rPr>
          <w:kern w:val="0"/>
        </w:rPr>
        <w:t xml:space="preserve"> years </w:t>
      </w:r>
      <w:r w:rsidRPr="000D1749">
        <w:rPr>
          <w:snapToGrid/>
          <w:kern w:val="0"/>
          <w:szCs w:val="22"/>
        </w:rPr>
        <w:t>from</w:t>
      </w:r>
      <w:r w:rsidRPr="004C29B5">
        <w:rPr>
          <w:kern w:val="0"/>
        </w:rPr>
        <w:t xml:space="preserve"> the Effective Date</w:t>
      </w:r>
      <w:r w:rsidRPr="000D1749">
        <w:rPr>
          <w:snapToGrid/>
          <w:kern w:val="0"/>
          <w:szCs w:val="22"/>
        </w:rPr>
        <w:t xml:space="preserve"> or six months of having an operational VoLTE platform in their network</w:t>
      </w:r>
      <w:r>
        <w:rPr>
          <w:snapToGrid/>
          <w:kern w:val="0"/>
          <w:szCs w:val="22"/>
        </w:rPr>
        <w:t xml:space="preserve">, </w:t>
      </w:r>
      <w:r w:rsidRPr="00161B55">
        <w:rPr>
          <w:snapToGrid/>
          <w:kern w:val="0"/>
          <w:szCs w:val="22"/>
        </w:rPr>
        <w:t>70</w:t>
      </w:r>
      <w:r>
        <w:rPr>
          <w:snapToGrid/>
          <w:kern w:val="0"/>
          <w:szCs w:val="22"/>
        </w:rPr>
        <w:t xml:space="preserve"> percent</w:t>
      </w:r>
      <w:r w:rsidRPr="00161B55">
        <w:rPr>
          <w:snapToGrid/>
          <w:kern w:val="0"/>
          <w:szCs w:val="22"/>
        </w:rPr>
        <w:t xml:space="preserve"> of all wireless 9-1-1 calls (including VoLTE calls)</w:t>
      </w:r>
      <w:r w:rsidRPr="000D1749">
        <w:rPr>
          <w:snapToGrid/>
          <w:kern w:val="0"/>
          <w:szCs w:val="22"/>
        </w:rPr>
        <w:t xml:space="preserve">; and </w:t>
      </w:r>
    </w:p>
    <w:p w14:paraId="45924C32" w14:textId="6C8A0FA3" w:rsidR="003359FD" w:rsidRPr="004C29B5" w:rsidRDefault="003359FD" w:rsidP="004C29B5">
      <w:pPr>
        <w:numPr>
          <w:ilvl w:val="1"/>
          <w:numId w:val="4"/>
        </w:numPr>
        <w:spacing w:after="120"/>
        <w:rPr>
          <w:kern w:val="0"/>
        </w:rPr>
      </w:pPr>
      <w:r w:rsidRPr="00161B55">
        <w:rPr>
          <w:snapToGrid/>
          <w:kern w:val="0"/>
          <w:szCs w:val="22"/>
        </w:rPr>
        <w:t xml:space="preserve">within the later of </w:t>
      </w:r>
      <w:r>
        <w:rPr>
          <w:snapToGrid/>
          <w:kern w:val="0"/>
          <w:szCs w:val="22"/>
        </w:rPr>
        <w:t xml:space="preserve">six </w:t>
      </w:r>
      <w:r w:rsidRPr="00161B55">
        <w:rPr>
          <w:snapToGrid/>
          <w:kern w:val="0"/>
          <w:szCs w:val="22"/>
        </w:rPr>
        <w:t xml:space="preserve">years from </w:t>
      </w:r>
      <w:r>
        <w:rPr>
          <w:snapToGrid/>
          <w:kern w:val="0"/>
          <w:szCs w:val="22"/>
        </w:rPr>
        <w:t>the Effective Date</w:t>
      </w:r>
      <w:r w:rsidRPr="004C29B5">
        <w:rPr>
          <w:kern w:val="0"/>
        </w:rPr>
        <w:t xml:space="preserve"> or </w:t>
      </w:r>
      <w:r w:rsidRPr="00161B55">
        <w:rPr>
          <w:snapToGrid/>
          <w:kern w:val="0"/>
          <w:szCs w:val="22"/>
        </w:rPr>
        <w:t>six months of having an operational VoLTE platform in their network</w:t>
      </w:r>
      <w:r>
        <w:rPr>
          <w:snapToGrid/>
          <w:kern w:val="0"/>
          <w:szCs w:val="22"/>
        </w:rPr>
        <w:t>,</w:t>
      </w:r>
      <w:r w:rsidRPr="004C29B5">
        <w:rPr>
          <w:kern w:val="0"/>
        </w:rPr>
        <w:t xml:space="preserve"> 80 percent of all wireless </w:t>
      </w:r>
      <w:r w:rsidRPr="00161B55">
        <w:rPr>
          <w:snapToGrid/>
          <w:kern w:val="0"/>
          <w:szCs w:val="22"/>
        </w:rPr>
        <w:t>9-</w:t>
      </w:r>
      <w:r w:rsidRPr="004C29B5">
        <w:rPr>
          <w:kern w:val="0"/>
        </w:rPr>
        <w:t>1</w:t>
      </w:r>
      <w:r w:rsidRPr="00161B55">
        <w:rPr>
          <w:snapToGrid/>
          <w:kern w:val="0"/>
          <w:szCs w:val="22"/>
        </w:rPr>
        <w:t>-1</w:t>
      </w:r>
      <w:r w:rsidRPr="004C29B5">
        <w:rPr>
          <w:kern w:val="0"/>
        </w:rPr>
        <w:t xml:space="preserve"> calls </w:t>
      </w:r>
      <w:r w:rsidRPr="00161B55">
        <w:rPr>
          <w:snapToGrid/>
          <w:kern w:val="0"/>
          <w:szCs w:val="22"/>
        </w:rPr>
        <w:t>(including VoLTE calls)</w:t>
      </w:r>
      <w:r>
        <w:rPr>
          <w:snapToGrid/>
          <w:kern w:val="0"/>
          <w:szCs w:val="22"/>
        </w:rPr>
        <w:t>.</w:t>
      </w:r>
      <w:r>
        <w:rPr>
          <w:rStyle w:val="FootnoteReference"/>
          <w:snapToGrid/>
          <w:kern w:val="0"/>
          <w:szCs w:val="22"/>
        </w:rPr>
        <w:footnoteReference w:id="183"/>
      </w:r>
    </w:p>
    <w:p w14:paraId="18820577" w14:textId="0786C9B8" w:rsidR="003359FD" w:rsidRPr="00277DFB" w:rsidRDefault="003359FD" w:rsidP="003359FD">
      <w:pPr>
        <w:pStyle w:val="ParaNum"/>
        <w:numPr>
          <w:ilvl w:val="0"/>
          <w:numId w:val="0"/>
        </w:numPr>
        <w:rPr>
          <w:szCs w:val="22"/>
        </w:rPr>
      </w:pPr>
      <w:r>
        <w:rPr>
          <w:szCs w:val="22"/>
        </w:rPr>
        <w:t xml:space="preserve">We </w:t>
      </w:r>
      <w:r w:rsidRPr="00277DFB">
        <w:rPr>
          <w:szCs w:val="22"/>
        </w:rPr>
        <w:t xml:space="preserve">discuss </w:t>
      </w:r>
      <w:r>
        <w:rPr>
          <w:szCs w:val="22"/>
        </w:rPr>
        <w:t xml:space="preserve">the elements of these </w:t>
      </w:r>
      <w:r w:rsidRPr="00277DFB">
        <w:rPr>
          <w:szCs w:val="22"/>
        </w:rPr>
        <w:t>requirement</w:t>
      </w:r>
      <w:r>
        <w:rPr>
          <w:szCs w:val="22"/>
        </w:rPr>
        <w:t>s below</w:t>
      </w:r>
      <w:r w:rsidRPr="00277DFB">
        <w:rPr>
          <w:szCs w:val="22"/>
        </w:rPr>
        <w:t>.</w:t>
      </w:r>
    </w:p>
    <w:p w14:paraId="4F185DE7" w14:textId="77777777" w:rsidR="003359FD" w:rsidRDefault="003359FD" w:rsidP="003359FD">
      <w:pPr>
        <w:pStyle w:val="Heading4"/>
        <w:rPr>
          <w:szCs w:val="22"/>
        </w:rPr>
      </w:pPr>
      <w:bookmarkStart w:id="231" w:name="_Toc408400496"/>
      <w:bookmarkStart w:id="232" w:name="_Toc408400553"/>
      <w:bookmarkStart w:id="233" w:name="_Toc408490565"/>
      <w:r w:rsidRPr="008B60AE">
        <w:rPr>
          <w:szCs w:val="22"/>
        </w:rPr>
        <w:t>50</w:t>
      </w:r>
      <w:r>
        <w:rPr>
          <w:szCs w:val="22"/>
        </w:rPr>
        <w:t>-</w:t>
      </w:r>
      <w:r w:rsidRPr="008B60AE">
        <w:rPr>
          <w:szCs w:val="22"/>
        </w:rPr>
        <w:t>Meter Search Ring</w:t>
      </w:r>
      <w:bookmarkEnd w:id="231"/>
      <w:bookmarkEnd w:id="232"/>
      <w:bookmarkEnd w:id="233"/>
      <w:r>
        <w:rPr>
          <w:szCs w:val="22"/>
        </w:rPr>
        <w:t xml:space="preserve"> </w:t>
      </w:r>
    </w:p>
    <w:p w14:paraId="74D73F2E" w14:textId="77777777" w:rsidR="003359FD" w:rsidRPr="008B60AE" w:rsidRDefault="003359FD" w:rsidP="003359FD">
      <w:pPr>
        <w:pStyle w:val="ParaNum"/>
        <w:rPr>
          <w:szCs w:val="22"/>
        </w:rPr>
      </w:pPr>
      <w:r>
        <w:rPr>
          <w:i/>
          <w:szCs w:val="22"/>
        </w:rPr>
        <w:t xml:space="preserve">Background.  </w:t>
      </w:r>
      <w:r w:rsidRPr="008B60AE">
        <w:rPr>
          <w:szCs w:val="22"/>
        </w:rPr>
        <w:t xml:space="preserve">In the </w:t>
      </w:r>
      <w:r>
        <w:rPr>
          <w:i/>
          <w:szCs w:val="22"/>
        </w:rPr>
        <w:t>Third Further Notice</w:t>
      </w:r>
      <w:r w:rsidRPr="008B60AE">
        <w:rPr>
          <w:szCs w:val="22"/>
        </w:rPr>
        <w:t xml:space="preserve">, we proposed to require CMRS providers to identify an indoor </w:t>
      </w:r>
      <w:r>
        <w:rPr>
          <w:szCs w:val="22"/>
        </w:rPr>
        <w:t xml:space="preserve">911 </w:t>
      </w:r>
      <w:r w:rsidRPr="008B60AE">
        <w:rPr>
          <w:szCs w:val="22"/>
        </w:rPr>
        <w:t>caller’s horizontal location within 50 meters.</w:t>
      </w:r>
      <w:r w:rsidRPr="008B60AE">
        <w:rPr>
          <w:rStyle w:val="FootnoteReference"/>
          <w:sz w:val="22"/>
          <w:szCs w:val="22"/>
        </w:rPr>
        <w:footnoteReference w:id="184"/>
      </w:r>
      <w:r w:rsidRPr="008B60AE">
        <w:rPr>
          <w:szCs w:val="22"/>
        </w:rPr>
        <w:t xml:space="preserve">  We </w:t>
      </w:r>
      <w:r>
        <w:rPr>
          <w:szCs w:val="22"/>
        </w:rPr>
        <w:t xml:space="preserve">reasoned </w:t>
      </w:r>
      <w:r w:rsidRPr="008B60AE">
        <w:rPr>
          <w:szCs w:val="22"/>
        </w:rPr>
        <w:t xml:space="preserve">that a search radius of 50 meters </w:t>
      </w:r>
      <w:r>
        <w:rPr>
          <w:szCs w:val="22"/>
        </w:rPr>
        <w:t>had a reasonable likelihood of identifying the building from which the call originated, while a</w:t>
      </w:r>
      <w:r w:rsidRPr="008B60AE">
        <w:rPr>
          <w:szCs w:val="22"/>
        </w:rPr>
        <w:t xml:space="preserve"> search r</w:t>
      </w:r>
      <w:r>
        <w:rPr>
          <w:szCs w:val="22"/>
        </w:rPr>
        <w:t>adius larger than 50 meters</w:t>
      </w:r>
      <w:r w:rsidRPr="008B60AE">
        <w:rPr>
          <w:szCs w:val="22"/>
        </w:rPr>
        <w:t xml:space="preserve"> w</w:t>
      </w:r>
      <w:r>
        <w:rPr>
          <w:szCs w:val="22"/>
        </w:rPr>
        <w:t xml:space="preserve">as unlikely to assist </w:t>
      </w:r>
      <w:r w:rsidRPr="008B60AE">
        <w:rPr>
          <w:szCs w:val="22"/>
        </w:rPr>
        <w:t>first responders</w:t>
      </w:r>
      <w:r>
        <w:rPr>
          <w:szCs w:val="22"/>
        </w:rPr>
        <w:t xml:space="preserve"> in building identification</w:t>
      </w:r>
      <w:r w:rsidRPr="008B60AE">
        <w:rPr>
          <w:szCs w:val="22"/>
        </w:rPr>
        <w:t>.</w:t>
      </w:r>
      <w:r w:rsidRPr="008B60AE">
        <w:rPr>
          <w:szCs w:val="22"/>
          <w:vertAlign w:val="superscript"/>
        </w:rPr>
        <w:footnoteReference w:id="185"/>
      </w:r>
      <w:r w:rsidRPr="008B60AE">
        <w:rPr>
          <w:szCs w:val="22"/>
        </w:rPr>
        <w:t xml:space="preserve">  </w:t>
      </w:r>
      <w:r>
        <w:rPr>
          <w:szCs w:val="22"/>
        </w:rPr>
        <w:t>We also</w:t>
      </w:r>
      <w:r w:rsidRPr="008B60AE">
        <w:rPr>
          <w:szCs w:val="22"/>
        </w:rPr>
        <w:t xml:space="preserve"> proposed to </w:t>
      </w:r>
      <w:r>
        <w:rPr>
          <w:szCs w:val="22"/>
        </w:rPr>
        <w:t xml:space="preserve">implement </w:t>
      </w:r>
      <w:r w:rsidRPr="008B60AE">
        <w:rPr>
          <w:szCs w:val="22"/>
        </w:rPr>
        <w:t xml:space="preserve">the 50-meter accuracy requirement </w:t>
      </w:r>
      <w:r>
        <w:rPr>
          <w:szCs w:val="22"/>
        </w:rPr>
        <w:t>in two stages with different reliability thresholds (</w:t>
      </w:r>
      <w:r w:rsidRPr="008B60AE">
        <w:rPr>
          <w:szCs w:val="22"/>
        </w:rPr>
        <w:t>67 percent in two years and 80 percent in five years</w:t>
      </w:r>
      <w:r>
        <w:rPr>
          <w:szCs w:val="22"/>
        </w:rPr>
        <w:t>)</w:t>
      </w:r>
      <w:r w:rsidRPr="008B60AE">
        <w:rPr>
          <w:szCs w:val="22"/>
        </w:rPr>
        <w:t>.</w:t>
      </w:r>
      <w:r w:rsidRPr="008B60AE">
        <w:rPr>
          <w:rStyle w:val="FootnoteReference"/>
          <w:sz w:val="22"/>
          <w:szCs w:val="22"/>
        </w:rPr>
        <w:footnoteReference w:id="186"/>
      </w:r>
      <w:r w:rsidRPr="008B60AE">
        <w:rPr>
          <w:szCs w:val="22"/>
        </w:rPr>
        <w:t xml:space="preserve">  We noted that</w:t>
      </w:r>
      <w:r>
        <w:rPr>
          <w:szCs w:val="22"/>
        </w:rPr>
        <w:t xml:space="preserve"> our current</w:t>
      </w:r>
      <w:r w:rsidRPr="008B60AE">
        <w:rPr>
          <w:szCs w:val="22"/>
        </w:rPr>
        <w:t xml:space="preserve"> </w:t>
      </w:r>
      <w:r>
        <w:rPr>
          <w:szCs w:val="22"/>
        </w:rPr>
        <w:t xml:space="preserve">outdoor-based </w:t>
      </w:r>
      <w:r w:rsidRPr="008B60AE">
        <w:rPr>
          <w:szCs w:val="22"/>
        </w:rPr>
        <w:t xml:space="preserve">location accuracy rules </w:t>
      </w:r>
      <w:r>
        <w:rPr>
          <w:szCs w:val="22"/>
        </w:rPr>
        <w:t xml:space="preserve">use </w:t>
      </w:r>
      <w:r w:rsidRPr="008B60AE">
        <w:rPr>
          <w:szCs w:val="22"/>
        </w:rPr>
        <w:t xml:space="preserve">a “dual search ring” </w:t>
      </w:r>
      <w:r>
        <w:rPr>
          <w:szCs w:val="22"/>
        </w:rPr>
        <w:t>approach</w:t>
      </w:r>
      <w:r w:rsidRPr="008B60AE">
        <w:rPr>
          <w:szCs w:val="22"/>
        </w:rPr>
        <w:t xml:space="preserve">, with </w:t>
      </w:r>
      <w:r>
        <w:rPr>
          <w:szCs w:val="22"/>
        </w:rPr>
        <w:t xml:space="preserve">separate metrics </w:t>
      </w:r>
      <w:r w:rsidRPr="008B60AE">
        <w:rPr>
          <w:szCs w:val="22"/>
        </w:rPr>
        <w:t>for 50-meter and 150-meter accuracy</w:t>
      </w:r>
      <w:r>
        <w:rPr>
          <w:szCs w:val="22"/>
        </w:rPr>
        <w:t>.  However, given the limited utility of a search radius larger than 50 meters for indoor location, we proposed a single-ring rather than a dual-ring approach.</w:t>
      </w:r>
      <w:r w:rsidRPr="008B60AE">
        <w:rPr>
          <w:rStyle w:val="FootnoteReference"/>
          <w:sz w:val="22"/>
          <w:szCs w:val="22"/>
        </w:rPr>
        <w:footnoteReference w:id="187"/>
      </w:r>
      <w:r w:rsidRPr="008B60AE">
        <w:rPr>
          <w:szCs w:val="22"/>
        </w:rPr>
        <w:t xml:space="preserve">  </w:t>
      </w:r>
    </w:p>
    <w:p w14:paraId="009FC6DE" w14:textId="53E76B04" w:rsidR="003359FD" w:rsidRPr="0052397C" w:rsidRDefault="003359FD" w:rsidP="003359FD">
      <w:pPr>
        <w:pStyle w:val="ParaNum"/>
      </w:pPr>
      <w:r>
        <w:rPr>
          <w:rFonts w:eastAsia="MS Mincho"/>
          <w:szCs w:val="22"/>
          <w:lang w:eastAsia="ja-JP"/>
        </w:rPr>
        <w:t>P</w:t>
      </w:r>
      <w:r w:rsidRPr="003535BE">
        <w:rPr>
          <w:rFonts w:eastAsia="MS Mincho"/>
          <w:szCs w:val="22"/>
          <w:lang w:eastAsia="ja-JP"/>
        </w:rPr>
        <w:t>ublic safety commenters overwhelmingly support the proposed 50</w:t>
      </w:r>
      <w:r>
        <w:rPr>
          <w:rFonts w:eastAsia="MS Mincho"/>
          <w:szCs w:val="22"/>
          <w:lang w:eastAsia="ja-JP"/>
        </w:rPr>
        <w:t>-</w:t>
      </w:r>
      <w:r w:rsidRPr="003535BE">
        <w:rPr>
          <w:rFonts w:eastAsia="MS Mincho"/>
          <w:szCs w:val="22"/>
          <w:lang w:eastAsia="ja-JP"/>
        </w:rPr>
        <w:t xml:space="preserve">meter </w:t>
      </w:r>
      <w:r>
        <w:rPr>
          <w:rFonts w:eastAsia="MS Mincho"/>
          <w:szCs w:val="22"/>
          <w:lang w:eastAsia="ja-JP"/>
        </w:rPr>
        <w:t>standard,</w:t>
      </w:r>
      <w:r>
        <w:rPr>
          <w:rStyle w:val="FootnoteReference"/>
          <w:rFonts w:eastAsia="MS Mincho"/>
          <w:szCs w:val="22"/>
          <w:lang w:eastAsia="ja-JP"/>
        </w:rPr>
        <w:footnoteReference w:id="188"/>
      </w:r>
      <w:r>
        <w:rPr>
          <w:rFonts w:eastAsia="MS Mincho"/>
          <w:szCs w:val="22"/>
          <w:lang w:eastAsia="ja-JP"/>
        </w:rPr>
        <w:t xml:space="preserve">  although some express a </w:t>
      </w:r>
      <w:r w:rsidRPr="008B60AE">
        <w:rPr>
          <w:rFonts w:eastAsia="MS Mincho"/>
          <w:szCs w:val="22"/>
          <w:lang w:eastAsia="ja-JP"/>
        </w:rPr>
        <w:t>prefer</w:t>
      </w:r>
      <w:r>
        <w:rPr>
          <w:rFonts w:eastAsia="MS Mincho"/>
          <w:szCs w:val="22"/>
          <w:lang w:eastAsia="ja-JP"/>
        </w:rPr>
        <w:t>ence for</w:t>
      </w:r>
      <w:r w:rsidRPr="008B60AE">
        <w:rPr>
          <w:rFonts w:eastAsia="MS Mincho"/>
          <w:szCs w:val="22"/>
          <w:lang w:eastAsia="ja-JP"/>
        </w:rPr>
        <w:t xml:space="preserve"> a smaller search radius than 50 meters</w:t>
      </w:r>
      <w:r>
        <w:rPr>
          <w:rFonts w:eastAsia="MS Mincho"/>
          <w:szCs w:val="22"/>
          <w:lang w:eastAsia="ja-JP"/>
        </w:rPr>
        <w:t>.</w:t>
      </w:r>
      <w:r w:rsidRPr="008B60AE">
        <w:rPr>
          <w:rStyle w:val="FootnoteReference"/>
          <w:rFonts w:eastAsia="MS Mincho"/>
          <w:sz w:val="22"/>
          <w:szCs w:val="22"/>
          <w:lang w:eastAsia="ja-JP"/>
        </w:rPr>
        <w:footnoteReference w:id="189"/>
      </w:r>
      <w:r>
        <w:rPr>
          <w:rFonts w:eastAsia="MS Mincho"/>
          <w:szCs w:val="22"/>
          <w:lang w:eastAsia="ja-JP"/>
        </w:rPr>
        <w:t xml:space="preserve"> </w:t>
      </w:r>
      <w:r w:rsidRPr="008B60AE">
        <w:rPr>
          <w:rFonts w:eastAsia="MS Mincho"/>
          <w:szCs w:val="22"/>
          <w:lang w:eastAsia="ja-JP"/>
        </w:rPr>
        <w:t xml:space="preserve"> </w:t>
      </w:r>
      <w:r>
        <w:rPr>
          <w:rFonts w:eastAsia="MS Mincho"/>
          <w:szCs w:val="22"/>
          <w:lang w:eastAsia="ja-JP"/>
        </w:rPr>
        <w:t xml:space="preserve">Some CMRS providers argue against setting a 50-meter standard.  </w:t>
      </w:r>
      <w:r w:rsidRPr="008B60AE">
        <w:rPr>
          <w:rFonts w:eastAsia="MS Mincho"/>
          <w:szCs w:val="22"/>
          <w:lang w:eastAsia="ja-JP"/>
        </w:rPr>
        <w:t xml:space="preserve">AT&amp;T, for example, </w:t>
      </w:r>
      <w:r>
        <w:rPr>
          <w:rFonts w:eastAsia="MS Mincho"/>
          <w:szCs w:val="22"/>
          <w:lang w:eastAsia="ja-JP"/>
        </w:rPr>
        <w:t xml:space="preserve">argues </w:t>
      </w:r>
      <w:r w:rsidRPr="008B60AE">
        <w:rPr>
          <w:rFonts w:eastAsia="MS Mincho"/>
          <w:szCs w:val="22"/>
          <w:lang w:eastAsia="ja-JP"/>
        </w:rPr>
        <w:t xml:space="preserve">that </w:t>
      </w:r>
      <w:r>
        <w:rPr>
          <w:rFonts w:eastAsia="MS Mincho"/>
          <w:szCs w:val="22"/>
          <w:lang w:eastAsia="ja-JP"/>
        </w:rPr>
        <w:t>such</w:t>
      </w:r>
      <w:r w:rsidRPr="008B60AE">
        <w:rPr>
          <w:rFonts w:eastAsia="MS Mincho"/>
          <w:szCs w:val="22"/>
          <w:lang w:eastAsia="ja-JP"/>
        </w:rPr>
        <w:t xml:space="preserve"> </w:t>
      </w:r>
      <w:r>
        <w:rPr>
          <w:rFonts w:eastAsia="MS Mincho"/>
          <w:szCs w:val="22"/>
          <w:lang w:eastAsia="ja-JP"/>
        </w:rPr>
        <w:t>a</w:t>
      </w:r>
      <w:r w:rsidRPr="008B60AE">
        <w:rPr>
          <w:rFonts w:eastAsia="MS Mincho"/>
          <w:szCs w:val="22"/>
          <w:lang w:eastAsia="ja-JP"/>
        </w:rPr>
        <w:t xml:space="preserve"> requirement is of “dubious value to public safety” </w:t>
      </w:r>
      <w:r>
        <w:rPr>
          <w:rFonts w:eastAsia="MS Mincho"/>
          <w:szCs w:val="22"/>
          <w:lang w:eastAsia="ja-JP"/>
        </w:rPr>
        <w:t xml:space="preserve">for indoor location </w:t>
      </w:r>
      <w:r w:rsidRPr="008B60AE">
        <w:rPr>
          <w:rFonts w:eastAsia="MS Mincho"/>
          <w:szCs w:val="22"/>
          <w:lang w:eastAsia="ja-JP"/>
        </w:rPr>
        <w:t>dense-urban and urban morphologies</w:t>
      </w:r>
      <w:r>
        <w:rPr>
          <w:rFonts w:eastAsia="MS Mincho"/>
          <w:szCs w:val="22"/>
          <w:lang w:eastAsia="ja-JP"/>
        </w:rPr>
        <w:t>.</w:t>
      </w:r>
      <w:r w:rsidRPr="008B60AE">
        <w:rPr>
          <w:rFonts w:eastAsia="MS Mincho"/>
          <w:szCs w:val="22"/>
          <w:lang w:eastAsia="ja-JP"/>
        </w:rPr>
        <w:t>”</w:t>
      </w:r>
      <w:r w:rsidRPr="008B60AE">
        <w:rPr>
          <w:rStyle w:val="FootnoteReference"/>
          <w:rFonts w:eastAsia="MS Mincho"/>
          <w:sz w:val="22"/>
          <w:szCs w:val="22"/>
          <w:lang w:eastAsia="ja-JP"/>
        </w:rPr>
        <w:footnoteReference w:id="190"/>
      </w:r>
      <w:r>
        <w:rPr>
          <w:rFonts w:eastAsia="MS Mincho"/>
          <w:szCs w:val="22"/>
          <w:lang w:eastAsia="ja-JP"/>
        </w:rPr>
        <w:t xml:space="preserve"> </w:t>
      </w:r>
      <w:r w:rsidRPr="008B60AE">
        <w:rPr>
          <w:rFonts w:eastAsia="MS Mincho"/>
          <w:szCs w:val="22"/>
          <w:lang w:eastAsia="ja-JP"/>
        </w:rPr>
        <w:t xml:space="preserve"> </w:t>
      </w:r>
      <w:r>
        <w:t xml:space="preserve">CMRS providers also argue </w:t>
      </w:r>
      <w:r w:rsidRPr="00450336">
        <w:t xml:space="preserve">that </w:t>
      </w:r>
      <w:r>
        <w:t xml:space="preserve">it is </w:t>
      </w:r>
      <w:r>
        <w:rPr>
          <w:szCs w:val="22"/>
        </w:rPr>
        <w:t xml:space="preserve">more efficient </w:t>
      </w:r>
      <w:r w:rsidRPr="003168E0">
        <w:rPr>
          <w:szCs w:val="22"/>
        </w:rPr>
        <w:t xml:space="preserve">to concentrate </w:t>
      </w:r>
      <w:r>
        <w:rPr>
          <w:szCs w:val="22"/>
        </w:rPr>
        <w:t xml:space="preserve">their </w:t>
      </w:r>
      <w:r w:rsidRPr="003168E0">
        <w:rPr>
          <w:szCs w:val="22"/>
        </w:rPr>
        <w:t>resources on achieving dispatchable location rather than</w:t>
      </w:r>
      <w:r>
        <w:rPr>
          <w:szCs w:val="22"/>
        </w:rPr>
        <w:t xml:space="preserve"> meeting a 50-meter</w:t>
      </w:r>
      <w:r w:rsidRPr="003168E0">
        <w:rPr>
          <w:szCs w:val="22"/>
        </w:rPr>
        <w:t xml:space="preserve"> s</w:t>
      </w:r>
      <w:r>
        <w:rPr>
          <w:szCs w:val="22"/>
        </w:rPr>
        <w:t>tandard that provides only approximate location.</w:t>
      </w:r>
      <w:r>
        <w:rPr>
          <w:rStyle w:val="FootnoteReference"/>
        </w:rPr>
        <w:footnoteReference w:id="191"/>
      </w:r>
      <w:r>
        <w:t xml:space="preserve">  The Roadmap, however, provides that technologies capable of achieving 50-meter indoor horizontal accuracy qualify as “heightened location accuracy technologies” that may be used to meet the accuracy benchmarks in the agreement.</w:t>
      </w:r>
      <w:r>
        <w:rPr>
          <w:rStyle w:val="FootnoteReference"/>
        </w:rPr>
        <w:footnoteReference w:id="192"/>
      </w:r>
      <w:r>
        <w:t xml:space="preserve">  </w:t>
      </w:r>
    </w:p>
    <w:p w14:paraId="0C9CEF92" w14:textId="64B91B69" w:rsidR="003359FD" w:rsidRPr="00EB36D5" w:rsidRDefault="003359FD" w:rsidP="00EE2E1F">
      <w:pPr>
        <w:pStyle w:val="ParaNum"/>
        <w:widowControl/>
        <w:rPr>
          <w:szCs w:val="22"/>
        </w:rPr>
      </w:pPr>
      <w:r w:rsidRPr="008913F4">
        <w:rPr>
          <w:rFonts w:eastAsia="MS Mincho"/>
          <w:i/>
          <w:szCs w:val="22"/>
          <w:lang w:eastAsia="ja-JP"/>
        </w:rPr>
        <w:t xml:space="preserve">Discussion.  </w:t>
      </w:r>
      <w:r w:rsidRPr="00215579">
        <w:rPr>
          <w:rFonts w:eastAsia="MS Mincho"/>
          <w:szCs w:val="22"/>
          <w:lang w:eastAsia="ja-JP"/>
        </w:rPr>
        <w:t xml:space="preserve">We find it in the public interest to require CMRS providers to provide location information based on a horizontal 50-meter search radius where a dispatchable location is not available.  Public safety commenters overwhelmingly confirm that a 50-meter x/y capability would be of significant benefit in helping to locate indoor 911 callers.  </w:t>
      </w:r>
      <w:r>
        <w:rPr>
          <w:rFonts w:eastAsia="MS Mincho"/>
          <w:szCs w:val="22"/>
          <w:lang w:eastAsia="ja-JP"/>
        </w:rPr>
        <w:t xml:space="preserve">Moreover, the Roadmap effectively adopts a 50-meter standard for indoor horizontal location.  </w:t>
      </w:r>
      <w:r w:rsidRPr="008913F4">
        <w:rPr>
          <w:szCs w:val="22"/>
        </w:rPr>
        <w:t xml:space="preserve">The record </w:t>
      </w:r>
      <w:r>
        <w:rPr>
          <w:szCs w:val="22"/>
        </w:rPr>
        <w:t xml:space="preserve">further </w:t>
      </w:r>
      <w:r w:rsidRPr="008913F4">
        <w:rPr>
          <w:szCs w:val="22"/>
        </w:rPr>
        <w:t>indicates that provision of tighter geodetic data can contribute to better provision of a dispatchable location by, for example, helping to incorporate and distinguish accurate WLAN-based signals of opportunity as well as by providing more accurate geodetic location information for reverse geo-coding.</w:t>
      </w:r>
      <w:r w:rsidRPr="008B60AE">
        <w:rPr>
          <w:rStyle w:val="FootnoteReference"/>
          <w:sz w:val="22"/>
          <w:szCs w:val="22"/>
        </w:rPr>
        <w:footnoteReference w:id="193"/>
      </w:r>
      <w:r w:rsidRPr="008913F4">
        <w:rPr>
          <w:szCs w:val="22"/>
        </w:rPr>
        <w:t xml:space="preserve">  </w:t>
      </w:r>
    </w:p>
    <w:p w14:paraId="7B9F5B00" w14:textId="77777777" w:rsidR="003359FD" w:rsidRDefault="003359FD" w:rsidP="003359FD">
      <w:pPr>
        <w:pStyle w:val="Heading4"/>
        <w:rPr>
          <w:szCs w:val="22"/>
        </w:rPr>
      </w:pPr>
      <w:bookmarkStart w:id="234" w:name="_Toc408400497"/>
      <w:bookmarkStart w:id="235" w:name="_Toc408400554"/>
      <w:bookmarkStart w:id="236" w:name="_Toc408490566"/>
      <w:r>
        <w:rPr>
          <w:szCs w:val="22"/>
        </w:rPr>
        <w:t>50-Meter Compliance Thresholds and Timeframes</w:t>
      </w:r>
      <w:bookmarkEnd w:id="234"/>
      <w:bookmarkEnd w:id="235"/>
      <w:bookmarkEnd w:id="236"/>
    </w:p>
    <w:p w14:paraId="2B7305BA" w14:textId="77777777" w:rsidR="003359FD" w:rsidRPr="00516013" w:rsidRDefault="003359FD" w:rsidP="003359FD">
      <w:pPr>
        <w:pStyle w:val="Heading5"/>
        <w:rPr>
          <w:szCs w:val="22"/>
        </w:rPr>
      </w:pPr>
      <w:bookmarkStart w:id="237" w:name="_Toc408400498"/>
      <w:bookmarkStart w:id="238" w:name="_Ref410226854"/>
      <w:r w:rsidRPr="00516013">
        <w:rPr>
          <w:szCs w:val="22"/>
        </w:rPr>
        <w:t>Background</w:t>
      </w:r>
      <w:bookmarkEnd w:id="237"/>
      <w:bookmarkEnd w:id="238"/>
      <w:r w:rsidRPr="00516013">
        <w:rPr>
          <w:szCs w:val="22"/>
        </w:rPr>
        <w:t xml:space="preserve"> </w:t>
      </w:r>
    </w:p>
    <w:p w14:paraId="76AF7008" w14:textId="77777777" w:rsidR="003359FD" w:rsidRDefault="003359FD" w:rsidP="003359FD">
      <w:pPr>
        <w:pStyle w:val="ParaNum"/>
        <w:rPr>
          <w:szCs w:val="22"/>
        </w:rPr>
      </w:pPr>
      <w:r w:rsidRPr="00F20E1A">
        <w:rPr>
          <w:szCs w:val="22"/>
        </w:rPr>
        <w:t xml:space="preserve">In the </w:t>
      </w:r>
      <w:r w:rsidRPr="00F20E1A">
        <w:rPr>
          <w:i/>
          <w:szCs w:val="22"/>
        </w:rPr>
        <w:t>Third Further Notice</w:t>
      </w:r>
      <w:r>
        <w:rPr>
          <w:szCs w:val="22"/>
        </w:rPr>
        <w:t>,</w:t>
      </w:r>
      <w:r w:rsidRPr="00F20E1A">
        <w:rPr>
          <w:i/>
          <w:szCs w:val="22"/>
        </w:rPr>
        <w:t xml:space="preserve"> </w:t>
      </w:r>
      <w:r>
        <w:rPr>
          <w:szCs w:val="22"/>
        </w:rPr>
        <w:t xml:space="preserve">we </w:t>
      </w:r>
      <w:r w:rsidRPr="00586255">
        <w:rPr>
          <w:szCs w:val="22"/>
        </w:rPr>
        <w:t xml:space="preserve">proposed a two-stage implementation timeframe </w:t>
      </w:r>
      <w:r>
        <w:rPr>
          <w:szCs w:val="22"/>
        </w:rPr>
        <w:t xml:space="preserve">for the 50-meter horizontal requirement, with </w:t>
      </w:r>
      <w:r w:rsidRPr="008B60AE">
        <w:rPr>
          <w:szCs w:val="22"/>
        </w:rPr>
        <w:t xml:space="preserve">a reliability threshold of 67 percent </w:t>
      </w:r>
      <w:r>
        <w:rPr>
          <w:szCs w:val="22"/>
        </w:rPr>
        <w:t xml:space="preserve">to be achieved </w:t>
      </w:r>
      <w:r w:rsidRPr="008B60AE">
        <w:rPr>
          <w:szCs w:val="22"/>
        </w:rPr>
        <w:t xml:space="preserve">in two years and </w:t>
      </w:r>
      <w:r>
        <w:rPr>
          <w:szCs w:val="22"/>
        </w:rPr>
        <w:t xml:space="preserve">an </w:t>
      </w:r>
      <w:r w:rsidRPr="008B60AE">
        <w:rPr>
          <w:szCs w:val="22"/>
        </w:rPr>
        <w:t xml:space="preserve">80 percent </w:t>
      </w:r>
      <w:r>
        <w:rPr>
          <w:szCs w:val="22"/>
        </w:rPr>
        <w:t xml:space="preserve">threshold to be achieved </w:t>
      </w:r>
      <w:r w:rsidRPr="008B60AE">
        <w:rPr>
          <w:szCs w:val="22"/>
        </w:rPr>
        <w:t>in five years</w:t>
      </w:r>
      <w:r w:rsidRPr="00586255">
        <w:rPr>
          <w:szCs w:val="22"/>
        </w:rPr>
        <w:t>.</w:t>
      </w:r>
      <w:r w:rsidRPr="008B60AE">
        <w:rPr>
          <w:rStyle w:val="FootnoteReference"/>
          <w:sz w:val="22"/>
          <w:szCs w:val="22"/>
        </w:rPr>
        <w:footnoteReference w:id="194"/>
      </w:r>
      <w:r w:rsidRPr="00586255">
        <w:rPr>
          <w:szCs w:val="22"/>
        </w:rPr>
        <w:t xml:space="preserve"> </w:t>
      </w:r>
      <w:r>
        <w:rPr>
          <w:szCs w:val="22"/>
        </w:rPr>
        <w:t xml:space="preserve"> We</w:t>
      </w:r>
      <w:r w:rsidRPr="00586255">
        <w:rPr>
          <w:szCs w:val="22"/>
        </w:rPr>
        <w:t xml:space="preserve"> </w:t>
      </w:r>
      <w:r w:rsidRPr="00F20E1A">
        <w:rPr>
          <w:szCs w:val="22"/>
        </w:rPr>
        <w:t xml:space="preserve">stated </w:t>
      </w:r>
      <w:r>
        <w:rPr>
          <w:szCs w:val="22"/>
        </w:rPr>
        <w:t xml:space="preserve">our belief </w:t>
      </w:r>
      <w:r w:rsidRPr="00F20E1A">
        <w:rPr>
          <w:szCs w:val="22"/>
        </w:rPr>
        <w:t xml:space="preserve">that even if </w:t>
      </w:r>
      <w:r>
        <w:rPr>
          <w:szCs w:val="22"/>
        </w:rPr>
        <w:t xml:space="preserve">currently available location </w:t>
      </w:r>
      <w:r w:rsidRPr="00F20E1A">
        <w:rPr>
          <w:szCs w:val="22"/>
        </w:rPr>
        <w:t>technology c</w:t>
      </w:r>
      <w:r>
        <w:rPr>
          <w:szCs w:val="22"/>
        </w:rPr>
        <w:t xml:space="preserve">ould not </w:t>
      </w:r>
      <w:r w:rsidRPr="00F20E1A">
        <w:rPr>
          <w:szCs w:val="22"/>
        </w:rPr>
        <w:t xml:space="preserve">satisfy the proposed 50-meter </w:t>
      </w:r>
      <w:r>
        <w:rPr>
          <w:szCs w:val="22"/>
        </w:rPr>
        <w:t xml:space="preserve">standard </w:t>
      </w:r>
      <w:r w:rsidRPr="00F20E1A">
        <w:rPr>
          <w:szCs w:val="22"/>
        </w:rPr>
        <w:t xml:space="preserve">in </w:t>
      </w:r>
      <w:r>
        <w:rPr>
          <w:szCs w:val="22"/>
        </w:rPr>
        <w:t xml:space="preserve">the most </w:t>
      </w:r>
      <w:r w:rsidRPr="00F20E1A">
        <w:rPr>
          <w:szCs w:val="22"/>
        </w:rPr>
        <w:t xml:space="preserve">challenging indoor environments, the </w:t>
      </w:r>
      <w:r>
        <w:rPr>
          <w:szCs w:val="22"/>
        </w:rPr>
        <w:t xml:space="preserve">proposed timeframe </w:t>
      </w:r>
      <w:r w:rsidRPr="00F20E1A">
        <w:rPr>
          <w:szCs w:val="22"/>
        </w:rPr>
        <w:t xml:space="preserve">would </w:t>
      </w:r>
      <w:r>
        <w:rPr>
          <w:szCs w:val="22"/>
        </w:rPr>
        <w:t xml:space="preserve">be sufficient for the development of improved </w:t>
      </w:r>
      <w:r w:rsidRPr="00F20E1A">
        <w:rPr>
          <w:szCs w:val="22"/>
        </w:rPr>
        <w:t xml:space="preserve">technology </w:t>
      </w:r>
      <w:r>
        <w:rPr>
          <w:szCs w:val="22"/>
        </w:rPr>
        <w:t xml:space="preserve">and deployment of such technology by CMRS providers as needed to </w:t>
      </w:r>
      <w:r w:rsidRPr="00F20E1A">
        <w:rPr>
          <w:szCs w:val="22"/>
        </w:rPr>
        <w:t>compl</w:t>
      </w:r>
      <w:r>
        <w:rPr>
          <w:szCs w:val="22"/>
        </w:rPr>
        <w:t xml:space="preserve">y with </w:t>
      </w:r>
      <w:r w:rsidRPr="00F20E1A">
        <w:rPr>
          <w:szCs w:val="22"/>
        </w:rPr>
        <w:t>the proposed requirement</w:t>
      </w:r>
      <w:r>
        <w:rPr>
          <w:szCs w:val="22"/>
        </w:rPr>
        <w:t>s</w:t>
      </w:r>
      <w:r w:rsidRPr="00F20E1A">
        <w:rPr>
          <w:szCs w:val="22"/>
        </w:rPr>
        <w:t>.</w:t>
      </w:r>
      <w:r w:rsidRPr="008B60AE">
        <w:rPr>
          <w:rStyle w:val="FootnoteReference"/>
          <w:sz w:val="22"/>
          <w:szCs w:val="22"/>
        </w:rPr>
        <w:footnoteReference w:id="195"/>
      </w:r>
      <w:r w:rsidRPr="00F20E1A">
        <w:rPr>
          <w:szCs w:val="22"/>
        </w:rPr>
        <w:t xml:space="preserve">  </w:t>
      </w:r>
      <w:r w:rsidRPr="009A6856">
        <w:rPr>
          <w:szCs w:val="22"/>
        </w:rPr>
        <w:t xml:space="preserve">We </w:t>
      </w:r>
      <w:r>
        <w:rPr>
          <w:szCs w:val="22"/>
        </w:rPr>
        <w:t xml:space="preserve">sought comment on our proposed timeframe and various alternatives, and </w:t>
      </w:r>
      <w:r w:rsidRPr="006B367D">
        <w:rPr>
          <w:szCs w:val="22"/>
        </w:rPr>
        <w:t xml:space="preserve">received substantial comment on these issues.  </w:t>
      </w:r>
    </w:p>
    <w:p w14:paraId="4369DD57" w14:textId="77777777" w:rsidR="003359FD" w:rsidRDefault="003359FD" w:rsidP="003359FD">
      <w:pPr>
        <w:pStyle w:val="ParaNum"/>
        <w:rPr>
          <w:szCs w:val="22"/>
        </w:rPr>
      </w:pPr>
      <w:r>
        <w:rPr>
          <w:szCs w:val="22"/>
        </w:rPr>
        <w:t xml:space="preserve">CMRS providers generally </w:t>
      </w:r>
      <w:r w:rsidRPr="00914E77">
        <w:rPr>
          <w:szCs w:val="22"/>
        </w:rPr>
        <w:t xml:space="preserve">object to the </w:t>
      </w:r>
      <w:r w:rsidRPr="00914E77">
        <w:rPr>
          <w:i/>
          <w:szCs w:val="22"/>
        </w:rPr>
        <w:t>Third Further Notice</w:t>
      </w:r>
      <w:r>
        <w:rPr>
          <w:i/>
          <w:szCs w:val="22"/>
        </w:rPr>
        <w:t xml:space="preserve"> </w:t>
      </w:r>
      <w:r>
        <w:rPr>
          <w:szCs w:val="22"/>
        </w:rPr>
        <w:t>proposal</w:t>
      </w:r>
      <w:r w:rsidRPr="00914E77">
        <w:rPr>
          <w:szCs w:val="22"/>
        </w:rPr>
        <w:t>, contending that the</w:t>
      </w:r>
      <w:r w:rsidRPr="009B1247">
        <w:rPr>
          <w:i/>
        </w:rPr>
        <w:t xml:space="preserve"> </w:t>
      </w:r>
      <w:r w:rsidRPr="009B1247">
        <w:rPr>
          <w:szCs w:val="22"/>
        </w:rPr>
        <w:t>proposed two- and five-year benchmarks c</w:t>
      </w:r>
      <w:r>
        <w:rPr>
          <w:szCs w:val="22"/>
        </w:rPr>
        <w:t xml:space="preserve">annot </w:t>
      </w:r>
      <w:r w:rsidRPr="009B1247">
        <w:rPr>
          <w:szCs w:val="22"/>
        </w:rPr>
        <w:t>be met with existing technology and d</w:t>
      </w:r>
      <w:r>
        <w:rPr>
          <w:szCs w:val="22"/>
        </w:rPr>
        <w:t xml:space="preserve">o </w:t>
      </w:r>
      <w:r w:rsidRPr="009B1247">
        <w:rPr>
          <w:szCs w:val="22"/>
        </w:rPr>
        <w:t>not provide enough time for technological improvements.</w:t>
      </w:r>
      <w:r w:rsidRPr="008B60AE">
        <w:rPr>
          <w:rStyle w:val="FootnoteReference"/>
          <w:sz w:val="22"/>
          <w:szCs w:val="22"/>
        </w:rPr>
        <w:footnoteReference w:id="196"/>
      </w:r>
      <w:r w:rsidRPr="00914E77">
        <w:rPr>
          <w:szCs w:val="22"/>
        </w:rPr>
        <w:t xml:space="preserve">  </w:t>
      </w:r>
      <w:r>
        <w:rPr>
          <w:szCs w:val="22"/>
        </w:rPr>
        <w:t>Many o</w:t>
      </w:r>
      <w:r w:rsidRPr="00A6496E">
        <w:rPr>
          <w:szCs w:val="22"/>
        </w:rPr>
        <w:t>ther commenters</w:t>
      </w:r>
      <w:r>
        <w:rPr>
          <w:szCs w:val="22"/>
        </w:rPr>
        <w:t xml:space="preserve">, however, </w:t>
      </w:r>
      <w:r w:rsidRPr="00A6496E">
        <w:rPr>
          <w:szCs w:val="22"/>
        </w:rPr>
        <w:t xml:space="preserve">argue that the </w:t>
      </w:r>
      <w:r w:rsidRPr="00A6496E">
        <w:rPr>
          <w:i/>
          <w:szCs w:val="22"/>
        </w:rPr>
        <w:t>Third Further Notice</w:t>
      </w:r>
      <w:r w:rsidRPr="00A6496E">
        <w:rPr>
          <w:szCs w:val="22"/>
        </w:rPr>
        <w:t xml:space="preserve">’s </w:t>
      </w:r>
      <w:r>
        <w:rPr>
          <w:szCs w:val="22"/>
        </w:rPr>
        <w:t xml:space="preserve">benchmarks and </w:t>
      </w:r>
      <w:r w:rsidRPr="00A6496E">
        <w:rPr>
          <w:szCs w:val="22"/>
        </w:rPr>
        <w:t>timeframes are both achievable and reasonable.</w:t>
      </w:r>
      <w:r>
        <w:rPr>
          <w:rStyle w:val="FootnoteReference"/>
          <w:szCs w:val="22"/>
        </w:rPr>
        <w:footnoteReference w:id="197"/>
      </w:r>
      <w:r w:rsidRPr="00A6496E">
        <w:rPr>
          <w:szCs w:val="22"/>
        </w:rPr>
        <w:t xml:space="preserve">  </w:t>
      </w:r>
    </w:p>
    <w:p w14:paraId="4F5D24F3" w14:textId="1836CF5B" w:rsidR="003359FD" w:rsidRDefault="003359FD" w:rsidP="003359FD">
      <w:pPr>
        <w:pStyle w:val="ParaNum"/>
        <w:widowControl/>
      </w:pPr>
      <w:r>
        <w:t xml:space="preserve">The </w:t>
      </w:r>
      <w:r w:rsidRPr="00177536">
        <w:t xml:space="preserve">Roadmap </w:t>
      </w:r>
      <w:r>
        <w:t xml:space="preserve">proposes horizontal location benchmarks and timeframes that, like those in the </w:t>
      </w:r>
      <w:r w:rsidRPr="00512718">
        <w:rPr>
          <w:i/>
        </w:rPr>
        <w:t>Third Further Notice</w:t>
      </w:r>
      <w:r>
        <w:t xml:space="preserve">, require CMRS providers to achieve a defined level of accuracy for a specified percentage of 911 calls over a series of interim and longer-term deadlines.  The details of the Roadmap proposal, however, differ from the </w:t>
      </w:r>
      <w:r w:rsidRPr="004F7022">
        <w:rPr>
          <w:i/>
        </w:rPr>
        <w:t xml:space="preserve">Third Further Notice </w:t>
      </w:r>
      <w:r>
        <w:t xml:space="preserve">proposal in several respects.  First, the Roadmap proposes to use live call data that would combine indoor and outdoor calls for purposes of measuring location accuracy performance, where the </w:t>
      </w:r>
      <w:r w:rsidRPr="005F570F">
        <w:rPr>
          <w:i/>
        </w:rPr>
        <w:t>Third Further Notice</w:t>
      </w:r>
      <w:r>
        <w:t xml:space="preserve"> proposed an indoor-specific standard with test-bed data used to measure compliance.</w:t>
      </w:r>
      <w:r>
        <w:rPr>
          <w:rStyle w:val="FootnoteReference"/>
        </w:rPr>
        <w:footnoteReference w:id="198"/>
      </w:r>
      <w:r>
        <w:t xml:space="preserve">  Second, the Roadmap sets forth different compliance percentages and timeframes than the </w:t>
      </w:r>
      <w:r w:rsidRPr="005F570F">
        <w:rPr>
          <w:i/>
        </w:rPr>
        <w:t>Third Further Notice</w:t>
      </w:r>
      <w:r>
        <w:t xml:space="preserve">:  as an interim threshold, the </w:t>
      </w:r>
      <w:r w:rsidRPr="005F570F">
        <w:rPr>
          <w:i/>
        </w:rPr>
        <w:t>Third Further Notice</w:t>
      </w:r>
      <w:r>
        <w:t xml:space="preserve"> proposes 50-meter accuracy for 67 percent of indoor calls after two years, while the Roadmap would require heightened accuracy for </w:t>
      </w:r>
      <w:r w:rsidRPr="00177536">
        <w:t>40</w:t>
      </w:r>
      <w:r>
        <w:t xml:space="preserve"> percent of combined indoor and outdoor calls after two years and for 50 percent of combined calls after three years.</w:t>
      </w:r>
      <w:r>
        <w:rPr>
          <w:rStyle w:val="FootnoteReference"/>
        </w:rPr>
        <w:footnoteReference w:id="199"/>
      </w:r>
      <w:r>
        <w:t xml:space="preserve">  For the longer term, the </w:t>
      </w:r>
      <w:r w:rsidRPr="005F570F">
        <w:rPr>
          <w:i/>
        </w:rPr>
        <w:t>Third Further Notice</w:t>
      </w:r>
      <w:r>
        <w:t xml:space="preserve"> proposes 50-meter accuracy for 80 percent of indoor calls after five years, while the Roadmap sets benchmarks of 75 and 80</w:t>
      </w:r>
      <w:r w:rsidRPr="00177536">
        <w:t xml:space="preserve"> </w:t>
      </w:r>
      <w:r>
        <w:t xml:space="preserve">percent of combined indoor and outdoor calls for the fifth and sixth years, respectively, and would </w:t>
      </w:r>
      <w:r w:rsidR="008F5123">
        <w:t xml:space="preserve">have </w:t>
      </w:r>
      <w:r>
        <w:t>limit</w:t>
      </w:r>
      <w:r w:rsidR="008F5123">
        <w:t>ed</w:t>
      </w:r>
      <w:r>
        <w:t xml:space="preserve"> the calculation to VoLTE calls.</w:t>
      </w:r>
      <w:r>
        <w:rPr>
          <w:rStyle w:val="FootnoteReference"/>
        </w:rPr>
        <w:footnoteReference w:id="200"/>
      </w:r>
      <w:r>
        <w:t xml:space="preserve">  </w:t>
      </w:r>
    </w:p>
    <w:p w14:paraId="435F7005" w14:textId="5EEB92AF" w:rsidR="003359FD" w:rsidRPr="00F36C17" w:rsidRDefault="003359FD" w:rsidP="00F36C17">
      <w:pPr>
        <w:pStyle w:val="ParaNum"/>
        <w:rPr>
          <w:szCs w:val="22"/>
        </w:rPr>
      </w:pPr>
      <w:r w:rsidRPr="00822BB9">
        <w:t xml:space="preserve">The parties to the Roadmap contend that the Roadmap benchmarks and timelines offer significant advantages over the corresponding proposals in the </w:t>
      </w:r>
      <w:r w:rsidRPr="00822BB9">
        <w:rPr>
          <w:i/>
        </w:rPr>
        <w:t>Third Further Notice</w:t>
      </w:r>
      <w:r w:rsidRPr="00822BB9">
        <w:t>.</w:t>
      </w:r>
      <w:r w:rsidRPr="00822BB9">
        <w:rPr>
          <w:rStyle w:val="FootnoteReference"/>
        </w:rPr>
        <w:footnoteReference w:id="201"/>
      </w:r>
      <w:r w:rsidRPr="00822BB9">
        <w:t xml:space="preserve">  </w:t>
      </w:r>
      <w:r w:rsidR="00F36C17">
        <w:rPr>
          <w:szCs w:val="22"/>
        </w:rPr>
        <w:t xml:space="preserve">The </w:t>
      </w:r>
      <w:r w:rsidRPr="008145CC">
        <w:t xml:space="preserve">Roadmap parties also argue that the proposals included in the Roadmap are technically achievable, whereas the proposals of the </w:t>
      </w:r>
      <w:r w:rsidRPr="00F36C17">
        <w:rPr>
          <w:i/>
        </w:rPr>
        <w:t>Third Further Notice</w:t>
      </w:r>
      <w:r w:rsidRPr="008145CC">
        <w:t xml:space="preserve"> were not.</w:t>
      </w:r>
      <w:r w:rsidRPr="008145CC">
        <w:rPr>
          <w:rStyle w:val="FootnoteReference"/>
        </w:rPr>
        <w:footnoteReference w:id="202"/>
      </w:r>
      <w:r w:rsidRPr="00B93273">
        <w:t xml:space="preserve">  Many other commenters cite si</w:t>
      </w:r>
      <w:r w:rsidRPr="00822BB9">
        <w:t>milar reasons for supporting the proposed Roadmap horizontal location metrics.</w:t>
      </w:r>
      <w:r w:rsidRPr="00822BB9">
        <w:rPr>
          <w:rStyle w:val="FootnoteReference"/>
        </w:rPr>
        <w:footnoteReference w:id="203"/>
      </w:r>
      <w:r w:rsidRPr="00822BB9">
        <w:t xml:space="preserve"> </w:t>
      </w:r>
      <w:r w:rsidR="005C20D1">
        <w:t xml:space="preserve"> </w:t>
      </w:r>
      <w:r w:rsidR="00F36C17">
        <w:t>F</w:t>
      </w:r>
      <w:r>
        <w:t xml:space="preserve">or example, </w:t>
      </w:r>
      <w:r w:rsidR="00F36C17">
        <w:t xml:space="preserve">CCA </w:t>
      </w:r>
      <w:r>
        <w:t>believes the Roadmap “is a well-balanced proposal aimed at improving enhanced location accuracy standards for both outdoor and indoor calls to 911, while also establishing benchmarks for providing ‘dispatchable location’ to first responders.”</w:t>
      </w:r>
      <w:r>
        <w:rPr>
          <w:rStyle w:val="FootnoteReference"/>
        </w:rPr>
        <w:footnoteReference w:id="204"/>
      </w:r>
      <w:r>
        <w:t xml:space="preserve">  </w:t>
      </w:r>
      <w:r w:rsidRPr="00822BB9">
        <w:t xml:space="preserve"> </w:t>
      </w:r>
    </w:p>
    <w:p w14:paraId="3F593F51" w14:textId="77777777" w:rsidR="003359FD" w:rsidRPr="00553D76" w:rsidRDefault="003359FD" w:rsidP="00EE2E1F">
      <w:pPr>
        <w:pStyle w:val="ParaNum"/>
        <w:widowControl/>
        <w:rPr>
          <w:szCs w:val="22"/>
        </w:rPr>
      </w:pPr>
      <w:r w:rsidRPr="00B27F79">
        <w:t>However, many other commenters criticize the proposed Roadmap benchmarks and timeframes as inadequate to improve indoor location accuracy.  These commenters co</w:t>
      </w:r>
      <w:r>
        <w:t>n</w:t>
      </w:r>
      <w:r w:rsidRPr="00B27F79">
        <w:t>tend that because the Roadmap accuracy benchmarks blend indoor and outdoor measurements, CMRS providers can meet the benchmarks primarily through improvements to satellite-based location that enhance outdoor location accuracy without achieving any significant improvement to indoor location accuracy.</w:t>
      </w:r>
      <w:r w:rsidRPr="00B27F79">
        <w:rPr>
          <w:rStyle w:val="FootnoteReference"/>
        </w:rPr>
        <w:footnoteReference w:id="205"/>
      </w:r>
      <w:r w:rsidRPr="00B27F79">
        <w:t xml:space="preserve">  They also criticize the fact that the Roadmap sets lower percentage thresholds than the </w:t>
      </w:r>
      <w:r w:rsidRPr="00B27F79">
        <w:rPr>
          <w:i/>
        </w:rPr>
        <w:t>Third Further Notice</w:t>
      </w:r>
      <w:r w:rsidRPr="00B27F79">
        <w:t>, particularly in the early stages (</w:t>
      </w:r>
      <w:r w:rsidRPr="00B27F79">
        <w:rPr>
          <w:i/>
        </w:rPr>
        <w:t xml:space="preserve">e.g., </w:t>
      </w:r>
      <w:r w:rsidRPr="00B27F79">
        <w:t>40 percent of calls compared to 67 percent of calls at the two year mark),</w:t>
      </w:r>
      <w:r w:rsidRPr="00B27F79">
        <w:rPr>
          <w:rStyle w:val="FootnoteReference"/>
        </w:rPr>
        <w:footnoteReference w:id="206"/>
      </w:r>
      <w:r w:rsidRPr="00B27F79">
        <w:t xml:space="preserve"> and extends the overall implementation period from five to six years.</w:t>
      </w:r>
      <w:r w:rsidRPr="00B27F79">
        <w:rPr>
          <w:rStyle w:val="FootnoteReference"/>
        </w:rPr>
        <w:t xml:space="preserve"> </w:t>
      </w:r>
      <w:r w:rsidRPr="00B27F79">
        <w:rPr>
          <w:rStyle w:val="FootnoteReference"/>
        </w:rPr>
        <w:footnoteReference w:id="207"/>
      </w:r>
      <w:r w:rsidRPr="00B27F79">
        <w:t xml:space="preserve">   Many commenters also object strongly to the five</w:t>
      </w:r>
      <w:r>
        <w:t>-</w:t>
      </w:r>
      <w:r w:rsidRPr="00B27F79">
        <w:t xml:space="preserve"> and six-year Roadmap benchmarks because they </w:t>
      </w:r>
      <w:r>
        <w:t xml:space="preserve">only consider </w:t>
      </w:r>
      <w:r w:rsidRPr="00B27F79">
        <w:t>VoLTE 911 calls</w:t>
      </w:r>
      <w:r>
        <w:t xml:space="preserve"> in measuring compliance</w:t>
      </w:r>
      <w:r w:rsidRPr="00B27F79">
        <w:t>.</w:t>
      </w:r>
      <w:r w:rsidRPr="00B27F79">
        <w:rPr>
          <w:rStyle w:val="FootnoteReference"/>
        </w:rPr>
        <w:footnoteReference w:id="208"/>
      </w:r>
      <w:r w:rsidRPr="00B27F79">
        <w:t xml:space="preserve">  </w:t>
      </w:r>
      <w:r w:rsidRPr="00AB66BB">
        <w:rPr>
          <w:rFonts w:eastAsia="MS Mincho"/>
          <w:szCs w:val="22"/>
          <w:lang w:eastAsia="ja-JP"/>
        </w:rPr>
        <w:t>These commenters generall</w:t>
      </w:r>
      <w:r w:rsidRPr="00B27F79">
        <w:rPr>
          <w:rFonts w:eastAsia="MS Mincho"/>
          <w:szCs w:val="22"/>
          <w:lang w:eastAsia="ja-JP"/>
        </w:rPr>
        <w:t>y</w:t>
      </w:r>
      <w:r>
        <w:rPr>
          <w:rFonts w:eastAsia="MS Mincho"/>
          <w:szCs w:val="22"/>
          <w:lang w:eastAsia="ja-JP"/>
        </w:rPr>
        <w:t xml:space="preserve"> argue that the Commission should reject the Roadmap and simply adopt the original benchmarks and timeframes </w:t>
      </w:r>
      <w:r w:rsidRPr="00553D76">
        <w:rPr>
          <w:szCs w:val="22"/>
        </w:rPr>
        <w:t xml:space="preserve">proposed in the </w:t>
      </w:r>
      <w:r w:rsidRPr="00553D76">
        <w:rPr>
          <w:i/>
          <w:szCs w:val="22"/>
        </w:rPr>
        <w:t>Third Further Notice</w:t>
      </w:r>
      <w:r w:rsidRPr="00553D76">
        <w:rPr>
          <w:szCs w:val="22"/>
        </w:rPr>
        <w:t>.</w:t>
      </w:r>
      <w:r>
        <w:rPr>
          <w:rStyle w:val="FootnoteReference"/>
          <w:szCs w:val="22"/>
        </w:rPr>
        <w:footnoteReference w:id="209"/>
      </w:r>
    </w:p>
    <w:p w14:paraId="5DDED58C" w14:textId="4A37BD13" w:rsidR="003359FD" w:rsidRPr="006069AD" w:rsidRDefault="003359FD" w:rsidP="003359FD">
      <w:pPr>
        <w:pStyle w:val="ParaNum"/>
        <w:rPr>
          <w:szCs w:val="22"/>
        </w:rPr>
      </w:pPr>
      <w:r>
        <w:rPr>
          <w:szCs w:val="22"/>
        </w:rPr>
        <w:t xml:space="preserve">In debating the relative merits of the proposed benchmarks and timeframes for horizontal location in the </w:t>
      </w:r>
      <w:r w:rsidRPr="00D46E92">
        <w:rPr>
          <w:i/>
          <w:szCs w:val="22"/>
        </w:rPr>
        <w:t>Third Further Notice</w:t>
      </w:r>
      <w:r>
        <w:rPr>
          <w:szCs w:val="22"/>
        </w:rPr>
        <w:t xml:space="preserve"> and the Roadmap, c</w:t>
      </w:r>
      <w:r w:rsidRPr="00A6496E">
        <w:rPr>
          <w:szCs w:val="22"/>
        </w:rPr>
        <w:t xml:space="preserve">ommenters </w:t>
      </w:r>
      <w:r>
        <w:rPr>
          <w:szCs w:val="22"/>
        </w:rPr>
        <w:t xml:space="preserve">present contrasting views </w:t>
      </w:r>
      <w:r w:rsidRPr="00A6496E">
        <w:rPr>
          <w:szCs w:val="22"/>
        </w:rPr>
        <w:t>o</w:t>
      </w:r>
      <w:r>
        <w:rPr>
          <w:szCs w:val="22"/>
        </w:rPr>
        <w:t>f</w:t>
      </w:r>
      <w:r w:rsidRPr="00A6496E">
        <w:rPr>
          <w:szCs w:val="22"/>
        </w:rPr>
        <w:t xml:space="preserve"> </w:t>
      </w:r>
      <w:r w:rsidRPr="004E16B8">
        <w:rPr>
          <w:szCs w:val="22"/>
        </w:rPr>
        <w:t xml:space="preserve">the viability of </w:t>
      </w:r>
      <w:r>
        <w:rPr>
          <w:szCs w:val="22"/>
        </w:rPr>
        <w:t>certain</w:t>
      </w:r>
      <w:r w:rsidRPr="004E16B8">
        <w:rPr>
          <w:szCs w:val="22"/>
        </w:rPr>
        <w:t xml:space="preserve"> location technologies to </w:t>
      </w:r>
      <w:r>
        <w:rPr>
          <w:szCs w:val="22"/>
        </w:rPr>
        <w:t xml:space="preserve">improve horizontal location accuracy, particularly indoors.  In particular, commenters focus on the following technologies: </w:t>
      </w:r>
      <w:r w:rsidRPr="004E16B8">
        <w:rPr>
          <w:szCs w:val="22"/>
        </w:rPr>
        <w:t>(1) Observed Time Distance of Arrival (OTDOA)</w:t>
      </w:r>
      <w:r w:rsidRPr="006051C7">
        <w:rPr>
          <w:szCs w:val="22"/>
        </w:rPr>
        <w:t>, (2) terrestrial beacon systems</w:t>
      </w:r>
      <w:r>
        <w:rPr>
          <w:szCs w:val="22"/>
        </w:rPr>
        <w:t>,</w:t>
      </w:r>
      <w:r w:rsidRPr="006051C7">
        <w:rPr>
          <w:szCs w:val="22"/>
        </w:rPr>
        <w:t xml:space="preserve"> (3) Uplink Time Distance to Arrival (UTDOA), (4) </w:t>
      </w:r>
      <w:r>
        <w:rPr>
          <w:szCs w:val="22"/>
        </w:rPr>
        <w:t>Radio Frequency (</w:t>
      </w:r>
      <w:r w:rsidRPr="006051C7">
        <w:rPr>
          <w:szCs w:val="22"/>
        </w:rPr>
        <w:t>RF</w:t>
      </w:r>
      <w:r>
        <w:rPr>
          <w:szCs w:val="22"/>
        </w:rPr>
        <w:t>)</w:t>
      </w:r>
      <w:r w:rsidRPr="006051C7">
        <w:rPr>
          <w:szCs w:val="22"/>
        </w:rPr>
        <w:t xml:space="preserve"> fingerprinting</w:t>
      </w:r>
      <w:r>
        <w:rPr>
          <w:szCs w:val="22"/>
        </w:rPr>
        <w:t>, and (5) in-building infrastructure, including Wi-Fi and Bluetooth</w:t>
      </w:r>
      <w:r w:rsidRPr="006051C7">
        <w:rPr>
          <w:szCs w:val="22"/>
        </w:rPr>
        <w:t xml:space="preserve">.  </w:t>
      </w:r>
      <w:r w:rsidRPr="00A6496E">
        <w:rPr>
          <w:szCs w:val="22"/>
        </w:rPr>
        <w:t xml:space="preserve">  </w:t>
      </w:r>
      <w:r w:rsidRPr="006069AD">
        <w:rPr>
          <w:i/>
          <w:szCs w:val="22"/>
        </w:rPr>
        <w:t xml:space="preserve">  </w:t>
      </w:r>
    </w:p>
    <w:p w14:paraId="48B354DE" w14:textId="4C561610" w:rsidR="003359FD" w:rsidRPr="0080093A" w:rsidRDefault="003359FD" w:rsidP="003359FD">
      <w:pPr>
        <w:pStyle w:val="ParaNum"/>
        <w:rPr>
          <w:szCs w:val="22"/>
        </w:rPr>
      </w:pPr>
      <w:r>
        <w:rPr>
          <w:rFonts w:eastAsia="MS Mincho"/>
          <w:i/>
          <w:szCs w:val="22"/>
          <w:lang w:eastAsia="ja-JP"/>
        </w:rPr>
        <w:t xml:space="preserve">OTDOA. </w:t>
      </w:r>
      <w:r w:rsidR="00B42FD4">
        <w:t>OTDOA</w:t>
      </w:r>
      <w:r>
        <w:t xml:space="preserve"> is a location technology that uses the time difference observed by user equipment between the reception of downlink signals from two different cells.</w:t>
      </w:r>
      <w:r>
        <w:rPr>
          <w:rStyle w:val="FootnoteReference"/>
          <w:bCs/>
          <w:szCs w:val="22"/>
        </w:rPr>
        <w:footnoteReference w:id="210"/>
      </w:r>
      <w:r w:rsidRPr="0080093A">
        <w:rPr>
          <w:kern w:val="0"/>
          <w:sz w:val="24"/>
          <w:szCs w:val="24"/>
        </w:rPr>
        <w:t xml:space="preserve"> </w:t>
      </w:r>
      <w:r w:rsidRPr="0080093A">
        <w:rPr>
          <w:rFonts w:eastAsia="MS Mincho"/>
          <w:sz w:val="20"/>
          <w:szCs w:val="22"/>
          <w:lang w:eastAsia="ja-JP"/>
        </w:rPr>
        <w:t xml:space="preserve">  </w:t>
      </w:r>
      <w:r w:rsidRPr="0080093A">
        <w:rPr>
          <w:rFonts w:eastAsia="MS Mincho"/>
          <w:szCs w:val="22"/>
          <w:lang w:eastAsia="ja-JP"/>
        </w:rPr>
        <w:t xml:space="preserve">CMRS providers plan to implement OTDOA in conjunction with the rollout of </w:t>
      </w:r>
      <w:r w:rsidRPr="00731713">
        <w:rPr>
          <w:rFonts w:eastAsia="MS Mincho"/>
          <w:szCs w:val="22"/>
          <w:lang w:eastAsia="ja-JP"/>
        </w:rPr>
        <w:t>VoLTE</w:t>
      </w:r>
      <w:r w:rsidR="00B42FD4">
        <w:rPr>
          <w:rFonts w:eastAsia="MS Mincho"/>
          <w:szCs w:val="22"/>
          <w:lang w:eastAsia="ja-JP"/>
        </w:rPr>
        <w:t>.</w:t>
      </w:r>
      <w:r w:rsidRPr="008B60AE">
        <w:rPr>
          <w:rStyle w:val="FootnoteReference"/>
          <w:sz w:val="22"/>
          <w:szCs w:val="22"/>
        </w:rPr>
        <w:footnoteReference w:id="211"/>
      </w:r>
      <w:r w:rsidR="00B42FD4">
        <w:rPr>
          <w:rFonts w:eastAsia="MS Mincho"/>
          <w:szCs w:val="22"/>
          <w:lang w:eastAsia="ja-JP"/>
        </w:rPr>
        <w:t xml:space="preserve"> </w:t>
      </w:r>
      <w:r w:rsidRPr="0080093A">
        <w:rPr>
          <w:rFonts w:eastAsia="MS Mincho"/>
          <w:szCs w:val="22"/>
          <w:lang w:eastAsia="ja-JP"/>
        </w:rPr>
        <w:t xml:space="preserve"> </w:t>
      </w:r>
      <w:r w:rsidR="00B42FD4">
        <w:rPr>
          <w:rFonts w:eastAsia="MS Mincho"/>
          <w:szCs w:val="22"/>
          <w:lang w:eastAsia="ja-JP"/>
        </w:rPr>
        <w:t xml:space="preserve">While </w:t>
      </w:r>
      <w:r w:rsidRPr="00731713">
        <w:rPr>
          <w:rFonts w:eastAsia="MS Mincho"/>
          <w:szCs w:val="22"/>
          <w:lang w:eastAsia="ja-JP"/>
        </w:rPr>
        <w:t>Qualcomm states that</w:t>
      </w:r>
      <w:r w:rsidRPr="00FD3486">
        <w:rPr>
          <w:szCs w:val="22"/>
        </w:rPr>
        <w:t xml:space="preserve"> </w:t>
      </w:r>
      <w:r w:rsidRPr="00017C3B">
        <w:rPr>
          <w:iCs/>
          <w:szCs w:val="22"/>
        </w:rPr>
        <w:t>initial field trials have shown that OTDOA “is able to provide accuracy to within a few tens of meters both indoors and outdoors when carriers deploy and conf</w:t>
      </w:r>
      <w:r w:rsidRPr="00E10430">
        <w:rPr>
          <w:iCs/>
          <w:szCs w:val="22"/>
        </w:rPr>
        <w:t>igure their networks appropriately</w:t>
      </w:r>
      <w:r w:rsidR="00B42FD4">
        <w:rPr>
          <w:iCs/>
          <w:szCs w:val="22"/>
        </w:rPr>
        <w:t>,</w:t>
      </w:r>
      <w:r w:rsidRPr="00E10430">
        <w:rPr>
          <w:iCs/>
          <w:szCs w:val="22"/>
        </w:rPr>
        <w:t>”</w:t>
      </w:r>
      <w:r>
        <w:rPr>
          <w:rStyle w:val="FootnoteReference"/>
          <w:iCs/>
          <w:szCs w:val="22"/>
        </w:rPr>
        <w:footnoteReference w:id="212"/>
      </w:r>
      <w:r w:rsidRPr="00E10430">
        <w:rPr>
          <w:iCs/>
          <w:szCs w:val="22"/>
        </w:rPr>
        <w:t xml:space="preserve"> </w:t>
      </w:r>
      <w:r w:rsidR="00B42FD4">
        <w:rPr>
          <w:iCs/>
          <w:szCs w:val="22"/>
        </w:rPr>
        <w:t xml:space="preserve">it adds </w:t>
      </w:r>
      <w:r w:rsidRPr="00E10430">
        <w:rPr>
          <w:iCs/>
          <w:szCs w:val="22"/>
        </w:rPr>
        <w:t>that OTDOA has not b</w:t>
      </w:r>
      <w:r w:rsidRPr="0080093A">
        <w:rPr>
          <w:rFonts w:eastAsia="MS Mincho"/>
          <w:szCs w:val="22"/>
          <w:lang w:eastAsia="ja-JP"/>
        </w:rPr>
        <w:t xml:space="preserve">een sufficiently tested yet and that its </w:t>
      </w:r>
      <w:r w:rsidRPr="0080093A">
        <w:rPr>
          <w:iCs/>
          <w:szCs w:val="22"/>
        </w:rPr>
        <w:t>deployment “will require extensive infrastructure improvements and capital expenditures by each carrier.”</w:t>
      </w:r>
      <w:r w:rsidRPr="008B60AE">
        <w:rPr>
          <w:rStyle w:val="FootnoteReference"/>
          <w:iCs/>
          <w:sz w:val="22"/>
          <w:szCs w:val="22"/>
        </w:rPr>
        <w:footnoteReference w:id="213"/>
      </w:r>
    </w:p>
    <w:p w14:paraId="22CBAFE7" w14:textId="48AB6A74" w:rsidR="003359FD" w:rsidRPr="00A67A84" w:rsidRDefault="003359FD" w:rsidP="003359FD">
      <w:pPr>
        <w:pStyle w:val="ParaNum"/>
        <w:rPr>
          <w:szCs w:val="22"/>
        </w:rPr>
      </w:pPr>
      <w:r w:rsidRPr="002324BD">
        <w:rPr>
          <w:i/>
          <w:szCs w:val="22"/>
        </w:rPr>
        <w:t xml:space="preserve">Terrestrial Beacons. </w:t>
      </w:r>
      <w:r w:rsidRPr="002324BD">
        <w:rPr>
          <w:szCs w:val="22"/>
        </w:rPr>
        <w:t xml:space="preserve">The principal proponent of terrestrial beacons is NextNav, which tested a first-generation version of its Metropolitan Beacon System (MBS) in the 2013 CSRIC test bed.   NextNav asserts that its second-generation system has achieved significantly improved horizontal accuracy </w:t>
      </w:r>
      <w:r w:rsidRPr="002324BD">
        <w:rPr>
          <w:rFonts w:eastAsia="MS Mincho"/>
          <w:szCs w:val="22"/>
          <w:lang w:eastAsia="ja-JP"/>
        </w:rPr>
        <w:t xml:space="preserve">in urban, dense urban, and suburban areas, and could meet a five-year performance metric of 50 meters for 80 percent of </w:t>
      </w:r>
      <w:r>
        <w:rPr>
          <w:rFonts w:eastAsia="MS Mincho"/>
          <w:szCs w:val="22"/>
          <w:lang w:eastAsia="ja-JP"/>
        </w:rPr>
        <w:t xml:space="preserve">indoor </w:t>
      </w:r>
      <w:r w:rsidRPr="002324BD">
        <w:rPr>
          <w:rFonts w:eastAsia="MS Mincho"/>
          <w:szCs w:val="22"/>
          <w:lang w:eastAsia="ja-JP"/>
        </w:rPr>
        <w:t>calls.</w:t>
      </w:r>
      <w:r w:rsidRPr="008B60AE">
        <w:rPr>
          <w:rStyle w:val="FootnoteReference"/>
          <w:rFonts w:eastAsia="MS Mincho"/>
          <w:sz w:val="22"/>
          <w:szCs w:val="22"/>
          <w:lang w:eastAsia="ja-JP"/>
        </w:rPr>
        <w:footnoteReference w:id="214"/>
      </w:r>
      <w:r w:rsidRPr="002324BD">
        <w:rPr>
          <w:rFonts w:eastAsia="MS Mincho"/>
          <w:szCs w:val="22"/>
          <w:lang w:eastAsia="ja-JP"/>
        </w:rPr>
        <w:t xml:space="preserve">  </w:t>
      </w:r>
      <w:r w:rsidRPr="00A67A84">
        <w:rPr>
          <w:rFonts w:eastAsia="MS Mincho"/>
          <w:szCs w:val="22"/>
          <w:lang w:eastAsia="ja-JP"/>
        </w:rPr>
        <w:t xml:space="preserve">NextNav </w:t>
      </w:r>
      <w:r w:rsidR="00B42FD4">
        <w:rPr>
          <w:rFonts w:eastAsia="MS Mincho"/>
          <w:szCs w:val="22"/>
          <w:lang w:eastAsia="ja-JP"/>
        </w:rPr>
        <w:t>also believes</w:t>
      </w:r>
      <w:r w:rsidRPr="00A67A84">
        <w:rPr>
          <w:rFonts w:eastAsia="MS Mincho"/>
          <w:szCs w:val="22"/>
          <w:lang w:eastAsia="ja-JP"/>
        </w:rPr>
        <w:t xml:space="preserve"> its technology will be standardized in 2015 and that </w:t>
      </w:r>
      <w:r w:rsidRPr="00A67A84">
        <w:rPr>
          <w:szCs w:val="22"/>
        </w:rPr>
        <w:t>comprehensive network construction would require fifteen to eighteen months in most urban markets.</w:t>
      </w:r>
      <w:r w:rsidRPr="008B60AE">
        <w:rPr>
          <w:rStyle w:val="FootnoteReference"/>
          <w:sz w:val="22"/>
          <w:szCs w:val="22"/>
        </w:rPr>
        <w:footnoteReference w:id="215"/>
      </w:r>
      <w:r w:rsidRPr="00A67A84">
        <w:rPr>
          <w:szCs w:val="22"/>
        </w:rPr>
        <w:t xml:space="preserve"> </w:t>
      </w:r>
      <w:r>
        <w:rPr>
          <w:szCs w:val="22"/>
        </w:rPr>
        <w:t xml:space="preserve"> </w:t>
      </w:r>
      <w:r w:rsidR="00B42FD4">
        <w:rPr>
          <w:szCs w:val="22"/>
        </w:rPr>
        <w:t>Commenters</w:t>
      </w:r>
      <w:r w:rsidRPr="00A67A84">
        <w:rPr>
          <w:szCs w:val="22"/>
        </w:rPr>
        <w:t xml:space="preserve"> challenge NextNav’s ability to meet the indoor horizontal requirement in the timeframe proposed in the </w:t>
      </w:r>
      <w:r w:rsidRPr="00A67A84">
        <w:rPr>
          <w:i/>
          <w:szCs w:val="22"/>
        </w:rPr>
        <w:t>Third Further Notice</w:t>
      </w:r>
      <w:r w:rsidR="00806FFC">
        <w:rPr>
          <w:i/>
          <w:szCs w:val="22"/>
        </w:rPr>
        <w:t>,</w:t>
      </w:r>
      <w:r w:rsidR="00806FFC">
        <w:rPr>
          <w:szCs w:val="22"/>
        </w:rPr>
        <w:t xml:space="preserve"> arguing, for example, </w:t>
      </w:r>
      <w:r w:rsidRPr="00A67A84">
        <w:rPr>
          <w:szCs w:val="22"/>
        </w:rPr>
        <w:t xml:space="preserve">that NextNav’s claimed </w:t>
      </w:r>
      <w:r>
        <w:rPr>
          <w:szCs w:val="22"/>
        </w:rPr>
        <w:t>indoor location</w:t>
      </w:r>
      <w:r w:rsidRPr="00A67A84">
        <w:rPr>
          <w:szCs w:val="22"/>
        </w:rPr>
        <w:t xml:space="preserve"> accuracy results </w:t>
      </w:r>
      <w:r>
        <w:rPr>
          <w:szCs w:val="22"/>
        </w:rPr>
        <w:t>may be o</w:t>
      </w:r>
      <w:r w:rsidRPr="00A67A84">
        <w:rPr>
          <w:szCs w:val="22"/>
        </w:rPr>
        <w:t>verstated because it has only tested a technology prototype.</w:t>
      </w:r>
      <w:r w:rsidRPr="008B60AE">
        <w:rPr>
          <w:rStyle w:val="FootnoteReference"/>
          <w:sz w:val="22"/>
          <w:szCs w:val="22"/>
        </w:rPr>
        <w:footnoteReference w:id="216"/>
      </w:r>
      <w:r w:rsidRPr="00A67A84">
        <w:rPr>
          <w:szCs w:val="22"/>
        </w:rPr>
        <w:t xml:space="preserve">  </w:t>
      </w:r>
    </w:p>
    <w:p w14:paraId="7B27EFEE" w14:textId="12AF4A58" w:rsidR="003359FD" w:rsidRPr="00012124" w:rsidRDefault="003359FD" w:rsidP="003359FD">
      <w:pPr>
        <w:pStyle w:val="ParaNum"/>
        <w:rPr>
          <w:szCs w:val="22"/>
        </w:rPr>
      </w:pPr>
      <w:r w:rsidRPr="007467A2">
        <w:rPr>
          <w:i/>
          <w:szCs w:val="22"/>
        </w:rPr>
        <w:t xml:space="preserve">UTDOA.  </w:t>
      </w:r>
      <w:r w:rsidR="00806FFC">
        <w:rPr>
          <w:spacing w:val="-2"/>
        </w:rPr>
        <w:t xml:space="preserve">This </w:t>
      </w:r>
      <w:r w:rsidRPr="007467A2">
        <w:rPr>
          <w:spacing w:val="-2"/>
        </w:rPr>
        <w:t xml:space="preserve">is a network-based system developed by TruePosition that determines location based on the time it takes </w:t>
      </w:r>
      <w:r>
        <w:rPr>
          <w:spacing w:val="-2"/>
        </w:rPr>
        <w:t xml:space="preserve">the 911 caller’s </w:t>
      </w:r>
      <w:r w:rsidRPr="007467A2">
        <w:rPr>
          <w:spacing w:val="-2"/>
        </w:rPr>
        <w:t xml:space="preserve">cell phone signal to travel to nearby receivers called Location Measurement Units (LMUs).  </w:t>
      </w:r>
      <w:r w:rsidRPr="007467A2">
        <w:rPr>
          <w:rFonts w:eastAsia="MS Mincho"/>
          <w:szCs w:val="22"/>
          <w:lang w:eastAsia="ja-JP"/>
        </w:rPr>
        <w:t xml:space="preserve">TruePosition claims that </w:t>
      </w:r>
      <w:r w:rsidR="00806FFC">
        <w:rPr>
          <w:rFonts w:eastAsia="MS Mincho"/>
          <w:szCs w:val="22"/>
          <w:lang w:eastAsia="ja-JP"/>
        </w:rPr>
        <w:t xml:space="preserve">2014 </w:t>
      </w:r>
      <w:r>
        <w:rPr>
          <w:rFonts w:eastAsia="MS Mincho"/>
          <w:szCs w:val="22"/>
          <w:lang w:eastAsia="ja-JP"/>
        </w:rPr>
        <w:t xml:space="preserve">test </w:t>
      </w:r>
      <w:r w:rsidRPr="007467A2">
        <w:rPr>
          <w:rFonts w:eastAsia="MS Mincho"/>
          <w:szCs w:val="22"/>
          <w:lang w:eastAsia="ja-JP"/>
        </w:rPr>
        <w:t xml:space="preserve">results </w:t>
      </w:r>
      <w:r w:rsidR="00806FFC">
        <w:rPr>
          <w:rFonts w:eastAsia="MS Mincho"/>
          <w:szCs w:val="22"/>
          <w:lang w:eastAsia="ja-JP"/>
        </w:rPr>
        <w:t>d</w:t>
      </w:r>
      <w:r w:rsidRPr="007467A2">
        <w:rPr>
          <w:rFonts w:eastAsia="MS Mincho"/>
          <w:szCs w:val="22"/>
          <w:lang w:eastAsia="ja-JP"/>
        </w:rPr>
        <w:t>emonstrate that UTDOA technology could meet the</w:t>
      </w:r>
      <w:r>
        <w:rPr>
          <w:rFonts w:eastAsia="MS Mincho"/>
          <w:szCs w:val="22"/>
          <w:lang w:eastAsia="ja-JP"/>
        </w:rPr>
        <w:t xml:space="preserve"> Commission’s proposed two-year </w:t>
      </w:r>
      <w:r w:rsidRPr="007467A2">
        <w:rPr>
          <w:rFonts w:eastAsia="MS Mincho"/>
          <w:szCs w:val="22"/>
          <w:lang w:eastAsia="ja-JP"/>
        </w:rPr>
        <w:t>accuracy standard today,</w:t>
      </w:r>
      <w:r>
        <w:rPr>
          <w:rFonts w:eastAsia="MS Mincho"/>
          <w:szCs w:val="22"/>
          <w:lang w:eastAsia="ja-JP"/>
        </w:rPr>
        <w:t xml:space="preserve"> and could meet the proposed five-year standard </w:t>
      </w:r>
      <w:r w:rsidRPr="007467A2">
        <w:rPr>
          <w:rFonts w:eastAsia="MS Mincho"/>
          <w:szCs w:val="22"/>
          <w:lang w:eastAsia="ja-JP"/>
        </w:rPr>
        <w:t>assuming sufficient density of LMU deployments</w:t>
      </w:r>
      <w:r w:rsidR="00806FFC">
        <w:rPr>
          <w:rFonts w:eastAsia="MS Mincho"/>
          <w:szCs w:val="22"/>
          <w:lang w:eastAsia="ja-JP"/>
        </w:rPr>
        <w:t>;</w:t>
      </w:r>
      <w:r w:rsidRPr="008B60AE">
        <w:rPr>
          <w:rStyle w:val="FootnoteReference"/>
          <w:rFonts w:eastAsia="MS Mincho"/>
          <w:sz w:val="22"/>
          <w:szCs w:val="22"/>
          <w:lang w:eastAsia="ja-JP"/>
        </w:rPr>
        <w:footnoteReference w:id="217"/>
      </w:r>
      <w:r>
        <w:rPr>
          <w:rFonts w:eastAsia="MS Mincho"/>
          <w:szCs w:val="22"/>
          <w:lang w:eastAsia="ja-JP"/>
        </w:rPr>
        <w:t xml:space="preserve"> </w:t>
      </w:r>
      <w:r w:rsidR="00806FFC">
        <w:rPr>
          <w:rFonts w:eastAsia="MS Mincho"/>
          <w:szCs w:val="22"/>
          <w:lang w:eastAsia="ja-JP"/>
        </w:rPr>
        <w:t xml:space="preserve">it also </w:t>
      </w:r>
      <w:r>
        <w:rPr>
          <w:rFonts w:eastAsia="MS Mincho"/>
          <w:szCs w:val="22"/>
          <w:lang w:eastAsia="ja-JP"/>
        </w:rPr>
        <w:t>asserts that U</w:t>
      </w:r>
      <w:r w:rsidRPr="007467A2">
        <w:rPr>
          <w:rFonts w:eastAsia="MS Mincho"/>
          <w:szCs w:val="22"/>
          <w:lang w:eastAsia="ja-JP"/>
        </w:rPr>
        <w:t xml:space="preserve">TDOA is </w:t>
      </w:r>
      <w:r w:rsidRPr="007467A2">
        <w:rPr>
          <w:szCs w:val="22"/>
        </w:rPr>
        <w:t>commercially available</w:t>
      </w:r>
      <w:r>
        <w:rPr>
          <w:szCs w:val="22"/>
        </w:rPr>
        <w:t>, that LMUs could be deployed rapidly, and that implementation does not require replacement or upgrading of handsets.</w:t>
      </w:r>
      <w:r w:rsidRPr="008B60AE">
        <w:rPr>
          <w:rStyle w:val="FootnoteReference"/>
          <w:sz w:val="22"/>
          <w:szCs w:val="22"/>
        </w:rPr>
        <w:footnoteReference w:id="218"/>
      </w:r>
      <w:r>
        <w:rPr>
          <w:szCs w:val="22"/>
        </w:rPr>
        <w:t xml:space="preserve">  CMRS providers dispute these assertions, arguing that UTDOA is not compatible with the evolving design of 3G and 4G networks and that it requires handsets to operate at increased power that will cause disruptive interference.</w:t>
      </w:r>
      <w:r w:rsidRPr="008B60AE">
        <w:rPr>
          <w:rStyle w:val="FootnoteReference"/>
          <w:sz w:val="22"/>
          <w:szCs w:val="22"/>
        </w:rPr>
        <w:footnoteReference w:id="219"/>
      </w:r>
      <w:r w:rsidRPr="008B60AE">
        <w:rPr>
          <w:szCs w:val="22"/>
        </w:rPr>
        <w:t xml:space="preserve"> </w:t>
      </w:r>
      <w:r>
        <w:rPr>
          <w:szCs w:val="22"/>
        </w:rPr>
        <w:t xml:space="preserve"> </w:t>
      </w:r>
      <w:r w:rsidRPr="00012124">
        <w:rPr>
          <w:szCs w:val="22"/>
        </w:rPr>
        <w:t xml:space="preserve">        </w:t>
      </w:r>
    </w:p>
    <w:p w14:paraId="462C7472" w14:textId="1D660C69" w:rsidR="003359FD" w:rsidRPr="00D062B8" w:rsidRDefault="003359FD" w:rsidP="003359FD">
      <w:pPr>
        <w:pStyle w:val="ParaNum"/>
        <w:rPr>
          <w:szCs w:val="22"/>
        </w:rPr>
      </w:pPr>
      <w:r w:rsidRPr="00D8341C">
        <w:rPr>
          <w:i/>
          <w:szCs w:val="22"/>
        </w:rPr>
        <w:t>RF Fingerprinting.</w:t>
      </w:r>
      <w:r w:rsidRPr="008B60AE">
        <w:rPr>
          <w:szCs w:val="22"/>
        </w:rPr>
        <w:t xml:space="preserve"> </w:t>
      </w:r>
      <w:r>
        <w:rPr>
          <w:szCs w:val="22"/>
        </w:rPr>
        <w:t xml:space="preserve"> </w:t>
      </w:r>
      <w:r w:rsidR="00806FFC">
        <w:t>This technology</w:t>
      </w:r>
      <w:r>
        <w:t xml:space="preserve"> locates wireless calls by analyzing </w:t>
      </w:r>
      <w:r w:rsidRPr="00193BC3">
        <w:t xml:space="preserve">radio frequency </w:t>
      </w:r>
      <w:r>
        <w:t>measurements from all available sources (</w:t>
      </w:r>
      <w:r w:rsidR="00806FFC">
        <w:t>including</w:t>
      </w:r>
      <w:r>
        <w:t xml:space="preserve"> A-GNSS, OTDOA, and small cells or Wi-Fi hotspots)</w:t>
      </w:r>
      <w:r w:rsidR="00806FFC">
        <w:t>,</w:t>
      </w:r>
      <w:r>
        <w:t xml:space="preserve"> and matching them </w:t>
      </w:r>
      <w:r w:rsidRPr="00193BC3">
        <w:t>against a geo-referenced database of the radio environment</w:t>
      </w:r>
      <w:r>
        <w:t>.</w:t>
      </w:r>
      <w:r w:rsidRPr="008B60AE">
        <w:rPr>
          <w:rStyle w:val="FootnoteReference"/>
          <w:sz w:val="22"/>
          <w:szCs w:val="22"/>
        </w:rPr>
        <w:footnoteReference w:id="220"/>
      </w:r>
      <w:r>
        <w:rPr>
          <w:szCs w:val="22"/>
        </w:rPr>
        <w:t xml:space="preserve">  </w:t>
      </w:r>
      <w:r w:rsidR="00806FFC">
        <w:rPr>
          <w:szCs w:val="22"/>
        </w:rPr>
        <w:t xml:space="preserve">Its </w:t>
      </w:r>
      <w:r>
        <w:rPr>
          <w:szCs w:val="22"/>
        </w:rPr>
        <w:t>principal proponent</w:t>
      </w:r>
      <w:r w:rsidR="00806FFC">
        <w:rPr>
          <w:szCs w:val="22"/>
        </w:rPr>
        <w:t xml:space="preserve">, </w:t>
      </w:r>
      <w:r>
        <w:rPr>
          <w:szCs w:val="22"/>
        </w:rPr>
        <w:t>Polaris, states that</w:t>
      </w:r>
      <w:r w:rsidRPr="00C604B1">
        <w:rPr>
          <w:szCs w:val="22"/>
        </w:rPr>
        <w:t xml:space="preserve"> </w:t>
      </w:r>
      <w:r>
        <w:rPr>
          <w:szCs w:val="22"/>
        </w:rPr>
        <w:t>it has been able to “</w:t>
      </w:r>
      <w:r w:rsidR="00EE2E1F" w:rsidRPr="00C604B1">
        <w:rPr>
          <w:szCs w:val="22"/>
        </w:rPr>
        <w:t>demonstrate</w:t>
      </w:r>
      <w:r w:rsidR="00EE2E1F">
        <w:rPr>
          <w:szCs w:val="22"/>
        </w:rPr>
        <w:t xml:space="preserve"> [</w:t>
      </w:r>
      <w:r>
        <w:rPr>
          <w:szCs w:val="22"/>
        </w:rPr>
        <w:t>]</w:t>
      </w:r>
      <w:r w:rsidRPr="00C604B1">
        <w:rPr>
          <w:szCs w:val="22"/>
        </w:rPr>
        <w:t xml:space="preserve"> indoor location accuracies of approximately 30-40m across a variety of indoor morphologies</w:t>
      </w:r>
      <w:r>
        <w:rPr>
          <w:szCs w:val="22"/>
        </w:rPr>
        <w:t xml:space="preserve">” and </w:t>
      </w:r>
      <w:r w:rsidR="00806FFC">
        <w:rPr>
          <w:szCs w:val="22"/>
        </w:rPr>
        <w:t xml:space="preserve">that </w:t>
      </w:r>
      <w:r>
        <w:rPr>
          <w:szCs w:val="22"/>
        </w:rPr>
        <w:t xml:space="preserve">it can </w:t>
      </w:r>
      <w:r w:rsidRPr="00822BB9">
        <w:rPr>
          <w:szCs w:val="22"/>
        </w:rPr>
        <w:t>meet</w:t>
      </w:r>
      <w:r w:rsidRPr="00943970">
        <w:rPr>
          <w:szCs w:val="22"/>
        </w:rPr>
        <w:t xml:space="preserve"> </w:t>
      </w:r>
      <w:r w:rsidRPr="00C604B1">
        <w:rPr>
          <w:szCs w:val="22"/>
        </w:rPr>
        <w:t xml:space="preserve">the Commission’s proposed horizontal </w:t>
      </w:r>
      <w:r>
        <w:rPr>
          <w:szCs w:val="22"/>
        </w:rPr>
        <w:t>accuracy r</w:t>
      </w:r>
      <w:r w:rsidRPr="00C604B1">
        <w:rPr>
          <w:szCs w:val="22"/>
        </w:rPr>
        <w:t>equirement</w:t>
      </w:r>
      <w:r>
        <w:rPr>
          <w:szCs w:val="22"/>
        </w:rPr>
        <w:t>s</w:t>
      </w:r>
      <w:r w:rsidRPr="00C604B1">
        <w:rPr>
          <w:szCs w:val="22"/>
        </w:rPr>
        <w:t xml:space="preserve"> within the proposed timeframe.</w:t>
      </w:r>
      <w:r w:rsidRPr="008B60AE">
        <w:rPr>
          <w:rStyle w:val="FootnoteReference"/>
          <w:sz w:val="22"/>
          <w:szCs w:val="22"/>
        </w:rPr>
        <w:footnoteReference w:id="221"/>
      </w:r>
      <w:r>
        <w:rPr>
          <w:i/>
          <w:szCs w:val="22"/>
        </w:rPr>
        <w:t xml:space="preserve">  </w:t>
      </w:r>
      <w:r w:rsidRPr="00CE0A7E">
        <w:rPr>
          <w:szCs w:val="22"/>
        </w:rPr>
        <w:t>Some commenters, however, question the viability of Polaris’ technology</w:t>
      </w:r>
      <w:r>
        <w:rPr>
          <w:szCs w:val="22"/>
        </w:rPr>
        <w:t xml:space="preserve">, arguing that it has received only limited testing and that its accuracy in measuring horizontal location </w:t>
      </w:r>
      <w:r w:rsidRPr="00CE0A7E">
        <w:rPr>
          <w:szCs w:val="22"/>
        </w:rPr>
        <w:t>degrades with the height of the test point.</w:t>
      </w:r>
      <w:r w:rsidRPr="008B60AE">
        <w:rPr>
          <w:rStyle w:val="FootnoteReference"/>
          <w:sz w:val="22"/>
          <w:szCs w:val="22"/>
        </w:rPr>
        <w:footnoteReference w:id="222"/>
      </w:r>
    </w:p>
    <w:p w14:paraId="327C2456" w14:textId="56DE8728" w:rsidR="003359FD" w:rsidRPr="003A3854" w:rsidRDefault="003359FD" w:rsidP="003359FD">
      <w:pPr>
        <w:pStyle w:val="ParaNum"/>
        <w:rPr>
          <w:rFonts w:eastAsia="MS Mincho"/>
          <w:szCs w:val="22"/>
          <w:lang w:eastAsia="ja-JP"/>
        </w:rPr>
      </w:pPr>
      <w:r w:rsidRPr="0083692F">
        <w:rPr>
          <w:rFonts w:eastAsia="MS Mincho"/>
          <w:i/>
          <w:szCs w:val="22"/>
          <w:lang w:eastAsia="ja-JP"/>
        </w:rPr>
        <w:t>In</w:t>
      </w:r>
      <w:r>
        <w:rPr>
          <w:rFonts w:eastAsia="MS Mincho"/>
          <w:i/>
          <w:szCs w:val="22"/>
          <w:lang w:eastAsia="ja-JP"/>
        </w:rPr>
        <w:t>-Building I</w:t>
      </w:r>
      <w:r w:rsidRPr="0083692F">
        <w:rPr>
          <w:rFonts w:eastAsia="MS Mincho"/>
          <w:i/>
          <w:szCs w:val="22"/>
          <w:lang w:eastAsia="ja-JP"/>
        </w:rPr>
        <w:t>nfrastructure.</w:t>
      </w:r>
      <w:r w:rsidRPr="0083692F">
        <w:rPr>
          <w:i/>
          <w:szCs w:val="22"/>
        </w:rPr>
        <w:t xml:space="preserve"> </w:t>
      </w:r>
      <w:r w:rsidR="00806FFC">
        <w:rPr>
          <w:szCs w:val="22"/>
        </w:rPr>
        <w:t>Several</w:t>
      </w:r>
      <w:r>
        <w:rPr>
          <w:szCs w:val="22"/>
        </w:rPr>
        <w:t xml:space="preserve"> commenters note that in</w:t>
      </w:r>
      <w:r w:rsidRPr="0083692F">
        <w:rPr>
          <w:szCs w:val="22"/>
        </w:rPr>
        <w:t xml:space="preserve">door, infrastructure-based </w:t>
      </w:r>
      <w:r>
        <w:rPr>
          <w:szCs w:val="22"/>
        </w:rPr>
        <w:t xml:space="preserve">technologies that can support dispatchable </w:t>
      </w:r>
      <w:r w:rsidRPr="0083692F">
        <w:rPr>
          <w:szCs w:val="22"/>
        </w:rPr>
        <w:t>location</w:t>
      </w:r>
      <w:r>
        <w:rPr>
          <w:szCs w:val="22"/>
        </w:rPr>
        <w:t xml:space="preserve">, as </w:t>
      </w:r>
      <w:r w:rsidRPr="00553D76">
        <w:rPr>
          <w:szCs w:val="22"/>
        </w:rPr>
        <w:t>discuss</w:t>
      </w:r>
      <w:r>
        <w:rPr>
          <w:szCs w:val="22"/>
        </w:rPr>
        <w:t>ed</w:t>
      </w:r>
      <w:r w:rsidRPr="00553D76">
        <w:rPr>
          <w:szCs w:val="22"/>
        </w:rPr>
        <w:t xml:space="preserve"> in </w:t>
      </w:r>
      <w:r w:rsidRPr="003C54AA">
        <w:rPr>
          <w:szCs w:val="22"/>
        </w:rPr>
        <w:t>Section III.B.2.b</w:t>
      </w:r>
      <w:r w:rsidRPr="00D84BC7">
        <w:t xml:space="preserve"> </w:t>
      </w:r>
      <w:r w:rsidRPr="00D84BC7">
        <w:rPr>
          <w:i/>
        </w:rPr>
        <w:t>infra</w:t>
      </w:r>
      <w:r w:rsidRPr="00D84BC7">
        <w:t>,</w:t>
      </w:r>
      <w:r w:rsidRPr="00943E15">
        <w:rPr>
          <w:szCs w:val="22"/>
        </w:rPr>
        <w:t xml:space="preserve"> </w:t>
      </w:r>
      <w:r w:rsidR="00806FFC">
        <w:rPr>
          <w:szCs w:val="22"/>
        </w:rPr>
        <w:t xml:space="preserve">may also be able </w:t>
      </w:r>
      <w:r w:rsidRPr="00FD37FF">
        <w:rPr>
          <w:szCs w:val="22"/>
        </w:rPr>
        <w:t xml:space="preserve">to provide </w:t>
      </w:r>
      <w:r w:rsidRPr="005F570F">
        <w:rPr>
          <w:szCs w:val="22"/>
        </w:rPr>
        <w:t xml:space="preserve">geodetic </w:t>
      </w:r>
      <w:r>
        <w:rPr>
          <w:szCs w:val="22"/>
        </w:rPr>
        <w:t>coordinates that could improve indoor location</w:t>
      </w:r>
      <w:r w:rsidRPr="005F570F">
        <w:rPr>
          <w:szCs w:val="22"/>
        </w:rPr>
        <w:t xml:space="preserve">. </w:t>
      </w:r>
      <w:r w:rsidRPr="008478C6">
        <w:rPr>
          <w:szCs w:val="22"/>
        </w:rPr>
        <w:t xml:space="preserve"> For example, </w:t>
      </w:r>
      <w:r>
        <w:t>Rx Networks submits that “</w:t>
      </w:r>
      <w:r w:rsidRPr="0083692F">
        <w:rPr>
          <w:szCs w:val="22"/>
        </w:rPr>
        <w:t>proliferation of Wi-Fi enabled devices such as door locks, thermostats, security systems, and light bulbs will increase the density of indoor Wi-Fi devices thereby providing a greater number of points that can be loc</w:t>
      </w:r>
      <w:r w:rsidRPr="00553D76">
        <w:rPr>
          <w:szCs w:val="22"/>
        </w:rPr>
        <w:t>ated (either through self-location or crowd sourcing the location) which will result in improved multilateration fixes</w:t>
      </w:r>
      <w:r w:rsidR="00806FFC">
        <w:rPr>
          <w:szCs w:val="22"/>
        </w:rPr>
        <w:t>,</w:t>
      </w:r>
      <w:r w:rsidRPr="00553D76">
        <w:rPr>
          <w:szCs w:val="22"/>
        </w:rPr>
        <w:t>”</w:t>
      </w:r>
      <w:r>
        <w:rPr>
          <w:rStyle w:val="FootnoteReference"/>
          <w:szCs w:val="22"/>
        </w:rPr>
        <w:footnoteReference w:id="223"/>
      </w:r>
      <w:r w:rsidR="00806FFC">
        <w:rPr>
          <w:szCs w:val="22"/>
        </w:rPr>
        <w:t xml:space="preserve"> while </w:t>
      </w:r>
      <w:r w:rsidR="00806FFC" w:rsidRPr="0083692F">
        <w:rPr>
          <w:rFonts w:eastAsia="MS Mincho"/>
          <w:szCs w:val="22"/>
          <w:lang w:eastAsia="ja-JP"/>
        </w:rPr>
        <w:t xml:space="preserve">TIA </w:t>
      </w:r>
      <w:r w:rsidR="00806FFC">
        <w:rPr>
          <w:rFonts w:eastAsia="MS Mincho"/>
          <w:szCs w:val="22"/>
          <w:lang w:eastAsia="ja-JP"/>
        </w:rPr>
        <w:t xml:space="preserve">asserts </w:t>
      </w:r>
      <w:r w:rsidR="00806FFC" w:rsidRPr="0083692F">
        <w:rPr>
          <w:rFonts w:eastAsia="MS Mincho"/>
          <w:szCs w:val="22"/>
          <w:lang w:eastAsia="ja-JP"/>
        </w:rPr>
        <w:t xml:space="preserve">that </w:t>
      </w:r>
      <w:r w:rsidR="00806FFC">
        <w:rPr>
          <w:rFonts w:eastAsia="MS Mincho"/>
          <w:szCs w:val="22"/>
          <w:lang w:eastAsia="ja-JP"/>
        </w:rPr>
        <w:t xml:space="preserve">application of this standard to </w:t>
      </w:r>
      <w:r w:rsidR="00806FFC" w:rsidRPr="00553D76">
        <w:rPr>
          <w:rFonts w:eastAsia="MS Mincho"/>
          <w:szCs w:val="22"/>
          <w:lang w:eastAsia="ja-JP"/>
        </w:rPr>
        <w:t>Wi-Fi</w:t>
      </w:r>
      <w:r w:rsidR="00806FFC">
        <w:rPr>
          <w:rFonts w:eastAsia="MS Mincho"/>
          <w:szCs w:val="22"/>
          <w:lang w:eastAsia="ja-JP"/>
        </w:rPr>
        <w:t xml:space="preserve"> based location “</w:t>
      </w:r>
      <w:r w:rsidR="00806FFC" w:rsidRPr="00553D76">
        <w:rPr>
          <w:rFonts w:eastAsia="MS Mincho"/>
          <w:szCs w:val="22"/>
          <w:lang w:eastAsia="ja-JP"/>
        </w:rPr>
        <w:t>will be capable of producing 10 feet of accuracy on a hor</w:t>
      </w:r>
      <w:r w:rsidR="00806FFC" w:rsidRPr="005F570F">
        <w:rPr>
          <w:rFonts w:eastAsia="MS Mincho"/>
          <w:szCs w:val="22"/>
          <w:lang w:eastAsia="ja-JP"/>
        </w:rPr>
        <w:t>izontal X/Y axis 90% of the time</w:t>
      </w:r>
      <w:r w:rsidR="00806FFC">
        <w:rPr>
          <w:rFonts w:eastAsia="MS Mincho"/>
          <w:szCs w:val="22"/>
          <w:lang w:eastAsia="ja-JP"/>
        </w:rPr>
        <w:t>.</w:t>
      </w:r>
      <w:r w:rsidR="00806FFC" w:rsidRPr="005F570F">
        <w:rPr>
          <w:rFonts w:eastAsia="MS Mincho"/>
          <w:szCs w:val="22"/>
          <w:lang w:eastAsia="ja-JP"/>
        </w:rPr>
        <w:t>”</w:t>
      </w:r>
      <w:r w:rsidR="00806FFC">
        <w:rPr>
          <w:rStyle w:val="FootnoteReference"/>
          <w:rFonts w:eastAsia="MS Mincho"/>
          <w:szCs w:val="22"/>
          <w:lang w:eastAsia="ja-JP"/>
        </w:rPr>
        <w:footnoteReference w:id="224"/>
      </w:r>
    </w:p>
    <w:p w14:paraId="5F8AD8CC" w14:textId="77777777" w:rsidR="003359FD" w:rsidRPr="008B60AE" w:rsidRDefault="003359FD" w:rsidP="003359FD">
      <w:pPr>
        <w:pStyle w:val="Heading5"/>
        <w:rPr>
          <w:szCs w:val="22"/>
        </w:rPr>
      </w:pPr>
      <w:bookmarkStart w:id="239" w:name="_Toc408400499"/>
      <w:r w:rsidRPr="008B60AE">
        <w:rPr>
          <w:szCs w:val="22"/>
        </w:rPr>
        <w:t>Discussion</w:t>
      </w:r>
      <w:bookmarkEnd w:id="239"/>
    </w:p>
    <w:p w14:paraId="6CABF6FA" w14:textId="7F4440C7" w:rsidR="003359FD" w:rsidRPr="00070E99" w:rsidRDefault="003359FD" w:rsidP="003359FD">
      <w:pPr>
        <w:pStyle w:val="ParaNum"/>
        <w:rPr>
          <w:szCs w:val="22"/>
        </w:rPr>
      </w:pPr>
      <w:r>
        <w:t xml:space="preserve">As noted, both the </w:t>
      </w:r>
      <w:r w:rsidRPr="00070E99">
        <w:rPr>
          <w:i/>
        </w:rPr>
        <w:t>Third Further Notice</w:t>
      </w:r>
      <w:r>
        <w:t xml:space="preserve"> and the </w:t>
      </w:r>
      <w:r w:rsidR="0022650F">
        <w:t xml:space="preserve">Amended </w:t>
      </w:r>
      <w:r w:rsidRPr="00177536">
        <w:t xml:space="preserve">Roadmap </w:t>
      </w:r>
      <w:r w:rsidR="0022650F">
        <w:t>p</w:t>
      </w:r>
      <w:r>
        <w:t xml:space="preserve">ropose horizontal location benchmarks and timeframes that require CMRS providers to achieve a defined level of accuracy for a specified percentage of 911 calls over a series of deadlines, but the proposals </w:t>
      </w:r>
      <w:r w:rsidR="000A5A6C">
        <w:t>diverge</w:t>
      </w:r>
      <w:r>
        <w:t xml:space="preserve"> in some details.  In comparing the two, we conclude that some elements of the </w:t>
      </w:r>
      <w:r w:rsidR="00990427">
        <w:t xml:space="preserve">Amended </w:t>
      </w:r>
      <w:r>
        <w:t xml:space="preserve">Roadmap proposal offer advantages over our original proposal.  In particular, the </w:t>
      </w:r>
      <w:r w:rsidR="00990427">
        <w:t xml:space="preserve">Amended </w:t>
      </w:r>
      <w:r>
        <w:t xml:space="preserve">Roadmap offers more clarity by identifying the categories of </w:t>
      </w:r>
      <w:r w:rsidRPr="00177536">
        <w:t>technologies</w:t>
      </w:r>
      <w:r>
        <w:t xml:space="preserve"> that would be deemed to provide “heightened location accuracy</w:t>
      </w:r>
      <w:r w:rsidRPr="00177536">
        <w:t>”</w:t>
      </w:r>
      <w:r>
        <w:t xml:space="preserve"> sufficient to meet its benchmarks.  At the same time, it provides flexibility for CMRS providers to choose from a wide array of different technological approaches to achieve heightened location accuracy, and provides a mechanism for development and test-based validation of new location technologies.  These elements are consistent with our strong preference for flexible and technologically neutral rules, as we stated in the </w:t>
      </w:r>
      <w:r w:rsidRPr="00070E99">
        <w:rPr>
          <w:i/>
        </w:rPr>
        <w:t>Third Further Notice</w:t>
      </w:r>
      <w:r>
        <w:t>.</w:t>
      </w:r>
      <w:r>
        <w:rPr>
          <w:rStyle w:val="FootnoteReference"/>
        </w:rPr>
        <w:footnoteReference w:id="225"/>
      </w:r>
      <w:r>
        <w:t xml:space="preserve">  </w:t>
      </w:r>
    </w:p>
    <w:p w14:paraId="1C2ED21A" w14:textId="2E342393" w:rsidR="003359FD" w:rsidRPr="00D94FC5" w:rsidRDefault="003359FD" w:rsidP="003359FD">
      <w:pPr>
        <w:pStyle w:val="ParaNum"/>
        <w:rPr>
          <w:szCs w:val="22"/>
        </w:rPr>
      </w:pPr>
      <w:r>
        <w:t xml:space="preserve">Another key strength of the </w:t>
      </w:r>
      <w:r w:rsidR="00990427">
        <w:t xml:space="preserve">Amended </w:t>
      </w:r>
      <w:r>
        <w:t xml:space="preserve">Roadmap is its use of live 911 call data as opposed to relying solely on test data to measure compliance with location accuracy requirements.  While test data also plays an important role in validating location accuracy performance, both in the </w:t>
      </w:r>
      <w:r w:rsidR="00990427">
        <w:t xml:space="preserve">Amended </w:t>
      </w:r>
      <w:r>
        <w:t xml:space="preserve">Roadmap and in the rules we adopt in this </w:t>
      </w:r>
      <w:r w:rsidRPr="008D4E9F">
        <w:rPr>
          <w:i/>
        </w:rPr>
        <w:t>Report and Order</w:t>
      </w:r>
      <w:r>
        <w:t>,</w:t>
      </w:r>
      <w:r>
        <w:rPr>
          <w:rStyle w:val="FootnoteReference"/>
        </w:rPr>
        <w:footnoteReference w:id="226"/>
      </w:r>
      <w:r>
        <w:t xml:space="preserve"> the </w:t>
      </w:r>
      <w:r w:rsidR="00990427">
        <w:t xml:space="preserve">Amended </w:t>
      </w:r>
      <w:r>
        <w:t xml:space="preserve">Roadmap commitment to use live call data establishes for the first time an empirical basis for measuring the use and performance of different technologies in delivering location data to PSAPs, and holds CMRS providers accountable based on actual 911 calls rather than solely on test calls.  Therefore, we believe it is appropriate to incorporate this element of the </w:t>
      </w:r>
      <w:r w:rsidR="00990427">
        <w:t xml:space="preserve">Amended </w:t>
      </w:r>
      <w:r>
        <w:t xml:space="preserve">Roadmap into our rules.  </w:t>
      </w:r>
    </w:p>
    <w:p w14:paraId="4B3EFDE5" w14:textId="4E95516C" w:rsidR="003359FD" w:rsidRPr="006E1CB5" w:rsidRDefault="003359FD" w:rsidP="003359FD">
      <w:pPr>
        <w:pStyle w:val="ParaNum"/>
        <w:rPr>
          <w:szCs w:val="22"/>
        </w:rPr>
      </w:pPr>
      <w:r>
        <w:t xml:space="preserve">We also modify our original proposal to establish horizontal location benchmarks at two and five years, </w:t>
      </w:r>
      <w:r w:rsidR="0022650F">
        <w:t xml:space="preserve">instead </w:t>
      </w:r>
      <w:r>
        <w:t>adopt</w:t>
      </w:r>
      <w:r w:rsidR="0022650F">
        <w:t>ing</w:t>
      </w:r>
      <w:r>
        <w:t xml:space="preserve"> benchmarks at two, three, five, and six years that are more reflective of the </w:t>
      </w:r>
      <w:r w:rsidR="00BE7149">
        <w:t xml:space="preserve">Amended </w:t>
      </w:r>
      <w:r>
        <w:t xml:space="preserve">Roadmap timetable.  While many commenters would prefer us to adopt our original timetable, we also received extensive comment indicating that adhering to overly aggressive deadlines could end up being counterproductive.  In this respect, we believe the general timeframes and benchmarks offered in the </w:t>
      </w:r>
      <w:r w:rsidR="0022650F">
        <w:t xml:space="preserve">Amended </w:t>
      </w:r>
      <w:r>
        <w:t xml:space="preserve">Roadmap, which were the product of intense negotiation among the Roadmap parties, are more realistic and therefore more likely to result in concrete improvements in location accuracy.  We also note that Roadmap’s six-year timeframe is not significantly longer than the five-year timeframe proposed in the </w:t>
      </w:r>
      <w:r w:rsidRPr="005D07FA">
        <w:rPr>
          <w:i/>
        </w:rPr>
        <w:t>Third Further Notice</w:t>
      </w:r>
      <w:r>
        <w:t>.</w:t>
      </w:r>
      <w:r>
        <w:rPr>
          <w:rStyle w:val="FootnoteReference"/>
        </w:rPr>
        <w:footnoteReference w:id="227"/>
      </w:r>
    </w:p>
    <w:p w14:paraId="54D5DCCF" w14:textId="786B0D12" w:rsidR="003359FD" w:rsidRPr="00432AC1" w:rsidRDefault="003359FD" w:rsidP="00990427">
      <w:pPr>
        <w:pStyle w:val="ParaNum"/>
        <w:rPr>
          <w:szCs w:val="22"/>
        </w:rPr>
      </w:pPr>
      <w:r>
        <w:t xml:space="preserve">  Regarding horizontal location information, the Parallel Path </w:t>
      </w:r>
      <w:r w:rsidR="00990427">
        <w:t xml:space="preserve">commits the </w:t>
      </w:r>
      <w:r>
        <w:t xml:space="preserve">non-nationwide </w:t>
      </w:r>
      <w:r w:rsidR="005C20D1">
        <w:t>CMRS provider</w:t>
      </w:r>
      <w:r>
        <w:t xml:space="preserve">s </w:t>
      </w:r>
      <w:r w:rsidR="00990427">
        <w:t xml:space="preserve">to providing dispatchable location or x/y location within 50 meters for the following percentages of calls: </w:t>
      </w:r>
    </w:p>
    <w:p w14:paraId="2B84D335" w14:textId="6DAF2486" w:rsidR="003359FD" w:rsidRDefault="003359FD" w:rsidP="004A6A54">
      <w:pPr>
        <w:pStyle w:val="ParaNum"/>
        <w:numPr>
          <w:ilvl w:val="0"/>
          <w:numId w:val="10"/>
        </w:numPr>
        <w:spacing w:after="0"/>
        <w:ind w:left="1170" w:hanging="450"/>
        <w:rPr>
          <w:szCs w:val="22"/>
        </w:rPr>
      </w:pPr>
      <w:r w:rsidRPr="00E62734">
        <w:rPr>
          <w:szCs w:val="22"/>
        </w:rPr>
        <w:t>40</w:t>
      </w:r>
      <w:r w:rsidR="00177EFB">
        <w:rPr>
          <w:szCs w:val="22"/>
        </w:rPr>
        <w:t xml:space="preserve"> percent</w:t>
      </w:r>
      <w:r w:rsidRPr="00E62734">
        <w:rPr>
          <w:szCs w:val="22"/>
        </w:rPr>
        <w:t xml:space="preserve"> of all wireless 9</w:t>
      </w:r>
      <w:r w:rsidR="00177EFB">
        <w:rPr>
          <w:szCs w:val="22"/>
        </w:rPr>
        <w:t>1</w:t>
      </w:r>
      <w:r w:rsidRPr="00E62734">
        <w:rPr>
          <w:szCs w:val="22"/>
        </w:rPr>
        <w:t>1 calls within two (2) years;</w:t>
      </w:r>
    </w:p>
    <w:p w14:paraId="21A76236" w14:textId="263F8F07" w:rsidR="003359FD" w:rsidRDefault="003359FD" w:rsidP="004A6A54">
      <w:pPr>
        <w:pStyle w:val="ParaNum"/>
        <w:numPr>
          <w:ilvl w:val="0"/>
          <w:numId w:val="10"/>
        </w:numPr>
        <w:spacing w:after="0"/>
        <w:ind w:left="1170" w:hanging="450"/>
        <w:rPr>
          <w:szCs w:val="22"/>
        </w:rPr>
      </w:pPr>
      <w:r w:rsidRPr="003359FD">
        <w:rPr>
          <w:szCs w:val="22"/>
        </w:rPr>
        <w:t>50</w:t>
      </w:r>
      <w:r w:rsidR="00177EFB">
        <w:rPr>
          <w:szCs w:val="22"/>
        </w:rPr>
        <w:t xml:space="preserve"> percent</w:t>
      </w:r>
      <w:r w:rsidRPr="003359FD">
        <w:rPr>
          <w:szCs w:val="22"/>
        </w:rPr>
        <w:t xml:space="preserve"> of all wireless 9</w:t>
      </w:r>
      <w:r w:rsidR="00177EFB">
        <w:rPr>
          <w:szCs w:val="22"/>
        </w:rPr>
        <w:t>1</w:t>
      </w:r>
      <w:r w:rsidRPr="003359FD">
        <w:rPr>
          <w:szCs w:val="22"/>
        </w:rPr>
        <w:t>1 calls within three (3) years;</w:t>
      </w:r>
    </w:p>
    <w:p w14:paraId="272128E6" w14:textId="2409B6CB" w:rsidR="003359FD" w:rsidRPr="006C68D3" w:rsidRDefault="003359FD" w:rsidP="004A6A54">
      <w:pPr>
        <w:pStyle w:val="ParaNum"/>
        <w:numPr>
          <w:ilvl w:val="0"/>
          <w:numId w:val="10"/>
        </w:numPr>
        <w:spacing w:after="0"/>
        <w:ind w:left="1170" w:hanging="450"/>
        <w:rPr>
          <w:szCs w:val="22"/>
        </w:rPr>
      </w:pPr>
      <w:r w:rsidRPr="003359FD">
        <w:rPr>
          <w:szCs w:val="22"/>
        </w:rPr>
        <w:t>70</w:t>
      </w:r>
      <w:r w:rsidR="00177EFB">
        <w:rPr>
          <w:szCs w:val="22"/>
        </w:rPr>
        <w:t xml:space="preserve"> percent</w:t>
      </w:r>
      <w:r w:rsidRPr="003359FD">
        <w:rPr>
          <w:szCs w:val="22"/>
        </w:rPr>
        <w:t xml:space="preserve"> of all wireless 9</w:t>
      </w:r>
      <w:r w:rsidR="00177EFB">
        <w:rPr>
          <w:szCs w:val="22"/>
        </w:rPr>
        <w:t>1</w:t>
      </w:r>
      <w:r w:rsidRPr="003359FD">
        <w:rPr>
          <w:szCs w:val="22"/>
        </w:rPr>
        <w:t>1 calls (including VoLTE calls) within the later of five (5) years</w:t>
      </w:r>
      <w:r w:rsidR="006C68D3">
        <w:rPr>
          <w:szCs w:val="22"/>
        </w:rPr>
        <w:t>,</w:t>
      </w:r>
      <w:r>
        <w:rPr>
          <w:szCs w:val="22"/>
        </w:rPr>
        <w:t xml:space="preserve"> </w:t>
      </w:r>
      <w:r w:rsidRPr="006C68D3">
        <w:rPr>
          <w:szCs w:val="22"/>
        </w:rPr>
        <w:t>from the date of this Agreement or six months of having an operational VoLTE platform in their network; and</w:t>
      </w:r>
    </w:p>
    <w:p w14:paraId="3E2ACB15" w14:textId="22AAB61F" w:rsidR="003359FD" w:rsidRPr="00E62734" w:rsidRDefault="003359FD" w:rsidP="004A6A54">
      <w:pPr>
        <w:pStyle w:val="ParaNum"/>
        <w:numPr>
          <w:ilvl w:val="0"/>
          <w:numId w:val="10"/>
        </w:numPr>
        <w:ind w:left="1170" w:hanging="450"/>
        <w:rPr>
          <w:szCs w:val="22"/>
        </w:rPr>
      </w:pPr>
      <w:r w:rsidRPr="00E62734">
        <w:rPr>
          <w:szCs w:val="22"/>
        </w:rPr>
        <w:t>80</w:t>
      </w:r>
      <w:r w:rsidR="006C68D3">
        <w:rPr>
          <w:szCs w:val="22"/>
        </w:rPr>
        <w:t xml:space="preserve"> percent</w:t>
      </w:r>
      <w:r w:rsidRPr="00E62734">
        <w:rPr>
          <w:szCs w:val="22"/>
        </w:rPr>
        <w:t xml:space="preserve"> of all wireless 9</w:t>
      </w:r>
      <w:r w:rsidR="00177EFB">
        <w:rPr>
          <w:szCs w:val="22"/>
        </w:rPr>
        <w:t>1</w:t>
      </w:r>
      <w:r w:rsidRPr="00E62734">
        <w:rPr>
          <w:szCs w:val="22"/>
        </w:rPr>
        <w:t xml:space="preserve">1 calls (including VoLTE calls) within the later of six (6) </w:t>
      </w:r>
      <w:r w:rsidR="00F16018" w:rsidRPr="00E62734">
        <w:rPr>
          <w:szCs w:val="22"/>
        </w:rPr>
        <w:t>years from</w:t>
      </w:r>
      <w:r w:rsidRPr="00E62734">
        <w:rPr>
          <w:szCs w:val="22"/>
        </w:rPr>
        <w:t xml:space="preserve"> the date of this Agreement or one year of having an operational VoLTE platform in their network.</w:t>
      </w:r>
      <w:r>
        <w:rPr>
          <w:rStyle w:val="FootnoteReference"/>
          <w:szCs w:val="22"/>
        </w:rPr>
        <w:footnoteReference w:id="228"/>
      </w:r>
    </w:p>
    <w:p w14:paraId="2CCACD0F" w14:textId="1D4D65A2" w:rsidR="003359FD" w:rsidRDefault="003359FD" w:rsidP="00222A66">
      <w:pPr>
        <w:pStyle w:val="ParaNum"/>
      </w:pPr>
      <w:r>
        <w:t xml:space="preserve">We conclude that it is in the public interest to codify the horizontal location benchmarks in the </w:t>
      </w:r>
      <w:r w:rsidR="0022650F">
        <w:t xml:space="preserve">Amended </w:t>
      </w:r>
      <w:r>
        <w:t xml:space="preserve">Roadmap (as modified </w:t>
      </w:r>
      <w:r w:rsidR="0022650F">
        <w:t xml:space="preserve">for small </w:t>
      </w:r>
      <w:r w:rsidR="005C20D1">
        <w:t>CMRS provider</w:t>
      </w:r>
      <w:r w:rsidR="0022650F">
        <w:t xml:space="preserve">s </w:t>
      </w:r>
      <w:r>
        <w:t xml:space="preserve">in the Parallel Path) in this </w:t>
      </w:r>
      <w:r w:rsidRPr="00222A66">
        <w:rPr>
          <w:i/>
        </w:rPr>
        <w:t>Report and Order</w:t>
      </w:r>
      <w:r>
        <w:t xml:space="preserve">.  </w:t>
      </w:r>
      <w:r w:rsidR="00990427">
        <w:t xml:space="preserve">We </w:t>
      </w:r>
      <w:r w:rsidR="009E6940">
        <w:t>recognize th</w:t>
      </w:r>
      <w:r w:rsidR="00222A66">
        <w:t xml:space="preserve">at this approach differs from that of the </w:t>
      </w:r>
      <w:r w:rsidR="00222A66" w:rsidRPr="00222A66">
        <w:rPr>
          <w:i/>
        </w:rPr>
        <w:t>Third Further Notice</w:t>
      </w:r>
      <w:r w:rsidR="00222A66">
        <w:t xml:space="preserve">, which proposed indoor-specific benchmarks for which compliance would be measured by testing in a variety of indoor environments.  However, the approach adopted here, based on </w:t>
      </w:r>
      <w:r>
        <w:t xml:space="preserve">the </w:t>
      </w:r>
      <w:r w:rsidR="0022650F">
        <w:t xml:space="preserve">Amended </w:t>
      </w:r>
      <w:r>
        <w:t>Roadmap</w:t>
      </w:r>
      <w:r w:rsidR="00222A66">
        <w:t xml:space="preserve">, will </w:t>
      </w:r>
      <w:r w:rsidR="00EE2E1F">
        <w:t>enable measurement</w:t>
      </w:r>
      <w:r w:rsidR="00222A66">
        <w:t xml:space="preserve"> of location accuracy </w:t>
      </w:r>
      <w:r w:rsidRPr="00222A66">
        <w:rPr>
          <w:szCs w:val="22"/>
        </w:rPr>
        <w:t xml:space="preserve">performance based on live calls, an approach that has substantial benefits.  </w:t>
      </w:r>
      <w:r w:rsidR="00222A66">
        <w:rPr>
          <w:szCs w:val="22"/>
        </w:rPr>
        <w:t>W</w:t>
      </w:r>
      <w:r w:rsidRPr="00222A66">
        <w:rPr>
          <w:szCs w:val="22"/>
        </w:rPr>
        <w:t xml:space="preserve">hen using live call data, it is difficult to distinguish individual 911 calls based on whether they were originated indoors or outdoors, as numerous commenters point out.  Thus, establishing an indoor-specific benchmark that relies solely on live call data may not be practical.  </w:t>
      </w:r>
    </w:p>
    <w:p w14:paraId="7B298BD7" w14:textId="069A9C2B" w:rsidR="003359FD" w:rsidRDefault="00D30BAA" w:rsidP="003359FD">
      <w:pPr>
        <w:pStyle w:val="ParaNum"/>
      </w:pPr>
      <w:r>
        <w:t xml:space="preserve">As noted above, some commenters have criticized </w:t>
      </w:r>
      <w:r w:rsidR="00222A66">
        <w:t>allowing CMRS providers to blend location accuracy data from outdoor as well as indoor calls</w:t>
      </w:r>
      <w:r w:rsidR="00F03CA8">
        <w:t xml:space="preserve">.  However, </w:t>
      </w:r>
      <w:r w:rsidR="00DB3E54">
        <w:t>we do not believe it is practical or appropriate to establish compliance benchmarks that are limited to indoor calls or indoor-oriented solutions, or that the foregoing concerns outweigh the substantial benefits of live call data.  For example, t</w:t>
      </w:r>
      <w:r w:rsidR="003359FD">
        <w:t xml:space="preserve">he record indicates that </w:t>
      </w:r>
      <w:r w:rsidR="00F03CA8">
        <w:t xml:space="preserve">satellite-based </w:t>
      </w:r>
      <w:r w:rsidR="003359FD">
        <w:t xml:space="preserve">A-GNSS </w:t>
      </w:r>
      <w:r w:rsidR="00F03CA8">
        <w:t xml:space="preserve">location </w:t>
      </w:r>
      <w:r w:rsidR="003359FD">
        <w:t xml:space="preserve">is </w:t>
      </w:r>
      <w:r w:rsidR="00F03CA8">
        <w:t xml:space="preserve">not only </w:t>
      </w:r>
      <w:r w:rsidR="003359FD">
        <w:t>capable of providing a location fix of 50 meters or less</w:t>
      </w:r>
      <w:r w:rsidR="00F03CA8">
        <w:t xml:space="preserve"> outdoors, but will also be able to loc</w:t>
      </w:r>
      <w:r w:rsidR="003E27CF">
        <w:t>a</w:t>
      </w:r>
      <w:r w:rsidR="00F03CA8">
        <w:t xml:space="preserve">te callers in </w:t>
      </w:r>
      <w:r w:rsidR="003359FD">
        <w:t>indoor environment</w:t>
      </w:r>
      <w:r w:rsidR="00F03CA8">
        <w:t>s</w:t>
      </w:r>
      <w:r w:rsidR="003359FD">
        <w:t xml:space="preserve"> where satellite signal reception is not compromised (</w:t>
      </w:r>
      <w:r w:rsidR="003359FD" w:rsidRPr="000B5672">
        <w:rPr>
          <w:i/>
        </w:rPr>
        <w:t>e.g</w:t>
      </w:r>
      <w:r w:rsidR="003359FD">
        <w:t>., in single-story wood frame building</w:t>
      </w:r>
      <w:r w:rsidR="003E27CF">
        <w:t>s</w:t>
      </w:r>
      <w:r w:rsidR="003359FD">
        <w:t xml:space="preserve"> or </w:t>
      </w:r>
      <w:r w:rsidR="003E27CF">
        <w:t xml:space="preserve">in larger structures where the caller is located </w:t>
      </w:r>
      <w:r w:rsidR="003359FD">
        <w:t xml:space="preserve">near a window).  </w:t>
      </w:r>
      <w:r w:rsidR="00DB3E54">
        <w:t xml:space="preserve">NextNav has cited data from the 2013 CSRIC III test bed report indicating that the percentage of successful indoor GPS fixes was 23 percent in urban </w:t>
      </w:r>
      <w:r w:rsidR="00F03CA8">
        <w:t xml:space="preserve">environments </w:t>
      </w:r>
      <w:r w:rsidR="00DB3E54">
        <w:t>and 11 percent even in dense urban environments.</w:t>
      </w:r>
      <w:r w:rsidR="00DB3E54">
        <w:rPr>
          <w:rStyle w:val="FootnoteReference"/>
        </w:rPr>
        <w:footnoteReference w:id="229"/>
      </w:r>
      <w:r w:rsidR="00DB3E54">
        <w:t xml:space="preserve">  We see no reason to discount reliance by CMRS providers on such successful indoor fixes in promoting our goals for indoor location accuracy.  Conversely, particularly in light of the rapidly accelerating trend toward indoor wireless calls, we do not believe these figures provide any significant disincentive for CMRS providers to pursue alternative solutions for indoor calls</w:t>
      </w:r>
      <w:r w:rsidR="00F03CA8">
        <w:t xml:space="preserve"> </w:t>
      </w:r>
      <w:r w:rsidR="003E27CF">
        <w:t>i</w:t>
      </w:r>
      <w:r w:rsidR="00F03CA8">
        <w:t>n more challenging indoor locations</w:t>
      </w:r>
      <w:r w:rsidR="003E27CF">
        <w:t xml:space="preserve">.  Indeed, CMRS providers have significant incentive </w:t>
      </w:r>
      <w:r w:rsidR="00DB3E54">
        <w:t xml:space="preserve">in many indoor situations to pair A-GNSS with other </w:t>
      </w:r>
      <w:r w:rsidR="003E27CF">
        <w:t xml:space="preserve">location </w:t>
      </w:r>
      <w:r w:rsidR="00DB3E54">
        <w:t xml:space="preserve">technologies.  </w:t>
      </w:r>
      <w:r w:rsidR="00DB3E54" w:rsidRPr="001426FC">
        <w:rPr>
          <w:rFonts w:eastAsia="MS Mincho"/>
          <w:lang w:eastAsia="ja-JP"/>
        </w:rPr>
        <w:t xml:space="preserve">As </w:t>
      </w:r>
      <w:r w:rsidR="00DB3E54" w:rsidRPr="001426FC">
        <w:t>CSRIC notes, “[m]ultiple combinations of different technologies can be combined together to produce a more reliable and accurate position estimate than any one system alone.”</w:t>
      </w:r>
      <w:r w:rsidR="00DB3E54" w:rsidRPr="008B60AE">
        <w:rPr>
          <w:rStyle w:val="FootnoteReference"/>
          <w:sz w:val="22"/>
          <w:szCs w:val="22"/>
        </w:rPr>
        <w:footnoteReference w:id="230"/>
      </w:r>
      <w:r w:rsidR="00DB3E54" w:rsidRPr="00EC348D">
        <w:t xml:space="preserve">  </w:t>
      </w:r>
      <w:r w:rsidR="00DB3E54" w:rsidRPr="00CD0D3B">
        <w:t>In regard to LTE specifically, CSRIC notes that “[location a]c</w:t>
      </w:r>
      <w:r w:rsidR="00DB3E54" w:rsidRPr="001426FC">
        <w:t xml:space="preserve">curacy may be improved because LTE supports more flexible hybrid positioning methods than 2G/3G. The </w:t>
      </w:r>
      <w:r w:rsidR="00DB3E54">
        <w:t>[</w:t>
      </w:r>
      <w:r w:rsidR="00DB3E54" w:rsidRPr="00573DB9">
        <w:rPr>
          <w:szCs w:val="22"/>
        </w:rPr>
        <w:t>Serving Mobile Location Center</w:t>
      </w:r>
      <w:r w:rsidR="00DB3E54">
        <w:rPr>
          <w:szCs w:val="22"/>
        </w:rPr>
        <w:t xml:space="preserve">] </w:t>
      </w:r>
      <w:r w:rsidR="00DB3E54" w:rsidRPr="001426FC">
        <w:t>can initiate multiple location methods at once.”</w:t>
      </w:r>
      <w:r w:rsidR="00DB3E54" w:rsidRPr="008B60AE">
        <w:rPr>
          <w:rStyle w:val="FootnoteReference"/>
          <w:sz w:val="22"/>
          <w:szCs w:val="22"/>
        </w:rPr>
        <w:footnoteReference w:id="231"/>
      </w:r>
      <w:r w:rsidR="00DB3E54" w:rsidRPr="00EC348D">
        <w:t xml:space="preserve">  </w:t>
      </w:r>
    </w:p>
    <w:p w14:paraId="46077861" w14:textId="3AE9A00A" w:rsidR="003359FD" w:rsidRPr="001D0271" w:rsidRDefault="003359FD" w:rsidP="003359FD">
      <w:pPr>
        <w:pStyle w:val="ParaNum"/>
        <w:rPr>
          <w:szCs w:val="22"/>
        </w:rPr>
      </w:pPr>
      <w:r>
        <w:t xml:space="preserve">CMRS providers will be able to choose from </w:t>
      </w:r>
      <w:r w:rsidRPr="001D0271">
        <w:rPr>
          <w:szCs w:val="22"/>
        </w:rPr>
        <w:t xml:space="preserve">a </w:t>
      </w:r>
      <w:r w:rsidRPr="005D66E3">
        <w:rPr>
          <w:rFonts w:eastAsia="MS Mincho"/>
          <w:szCs w:val="22"/>
          <w:lang w:eastAsia="ja-JP"/>
        </w:rPr>
        <w:t xml:space="preserve">variety of technology solutions that are </w:t>
      </w:r>
      <w:r w:rsidRPr="00EC5135">
        <w:rPr>
          <w:rFonts w:eastAsia="MS Mincho"/>
          <w:szCs w:val="22"/>
          <w:lang w:eastAsia="ja-JP"/>
        </w:rPr>
        <w:t xml:space="preserve">either </w:t>
      </w:r>
      <w:r w:rsidRPr="00501405">
        <w:rPr>
          <w:rFonts w:eastAsia="MS Mincho"/>
          <w:szCs w:val="22"/>
          <w:lang w:eastAsia="ja-JP"/>
        </w:rPr>
        <w:t xml:space="preserve">already commercially available or close to commercial </w:t>
      </w:r>
      <w:r w:rsidRPr="001D0271">
        <w:rPr>
          <w:rFonts w:eastAsia="MS Mincho"/>
          <w:szCs w:val="22"/>
          <w:lang w:eastAsia="ja-JP"/>
        </w:rPr>
        <w:t xml:space="preserve">availability, because they have already recognized the potential need to rely on these technologies to meet their commitments if there is no timely dispatchable location solution, and </w:t>
      </w:r>
      <w:r>
        <w:t>because CMRS providers will have substantial time and flexibility to implement the best solution or combination of solutions.</w:t>
      </w:r>
      <w:r w:rsidRPr="00D84BC7">
        <w:rPr>
          <w:rStyle w:val="FootnoteReference"/>
        </w:rPr>
        <w:t xml:space="preserve"> </w:t>
      </w:r>
      <w:r>
        <w:rPr>
          <w:rStyle w:val="FootnoteReference"/>
        </w:rPr>
        <w:footnoteReference w:id="232"/>
      </w:r>
      <w:r>
        <w:t xml:space="preserve">  </w:t>
      </w:r>
      <w:r w:rsidR="001D0271">
        <w:t xml:space="preserve"> </w:t>
      </w:r>
      <w:r w:rsidR="00712D4C" w:rsidRPr="001D0271">
        <w:rPr>
          <w:rFonts w:eastAsia="MS Mincho"/>
          <w:szCs w:val="22"/>
          <w:lang w:eastAsia="ja-JP"/>
        </w:rPr>
        <w:t>T</w:t>
      </w:r>
      <w:r w:rsidRPr="005D66E3">
        <w:rPr>
          <w:rFonts w:eastAsia="MS Mincho"/>
          <w:szCs w:val="22"/>
          <w:lang w:eastAsia="ja-JP"/>
        </w:rPr>
        <w:t xml:space="preserve">o the extent that CMRS providers choose to move forward with dispatchable location, </w:t>
      </w:r>
      <w:r w:rsidRPr="00EC5135">
        <w:rPr>
          <w:rFonts w:eastAsia="MS Mincho"/>
          <w:szCs w:val="22"/>
          <w:lang w:eastAsia="ja-JP"/>
        </w:rPr>
        <w:t xml:space="preserve">as discussed in </w:t>
      </w:r>
      <w:r w:rsidRPr="00501405">
        <w:rPr>
          <w:rFonts w:eastAsia="MS Mincho"/>
          <w:szCs w:val="22"/>
          <w:lang w:eastAsia="ja-JP"/>
        </w:rPr>
        <w:t xml:space="preserve">Section </w:t>
      </w:r>
      <w:r w:rsidRPr="00501405">
        <w:rPr>
          <w:szCs w:val="22"/>
        </w:rPr>
        <w:t>III.B.2.b</w:t>
      </w:r>
      <w:r w:rsidRPr="00501405">
        <w:rPr>
          <w:rFonts w:eastAsia="MS Mincho"/>
          <w:szCs w:val="22"/>
          <w:lang w:eastAsia="ja-JP"/>
        </w:rPr>
        <w:t>,</w:t>
      </w:r>
      <w:r w:rsidRPr="008C715C">
        <w:rPr>
          <w:rFonts w:eastAsia="MS Mincho"/>
        </w:rPr>
        <w:t xml:space="preserve"> </w:t>
      </w:r>
      <w:r w:rsidRPr="008C715C">
        <w:rPr>
          <w:rFonts w:eastAsia="MS Mincho"/>
          <w:i/>
        </w:rPr>
        <w:t>infra</w:t>
      </w:r>
      <w:r w:rsidRPr="008C715C">
        <w:rPr>
          <w:rFonts w:eastAsia="MS Mincho"/>
          <w:szCs w:val="22"/>
          <w:lang w:eastAsia="ja-JP"/>
        </w:rPr>
        <w:t>,</w:t>
      </w:r>
      <w:r w:rsidRPr="001D0271">
        <w:rPr>
          <w:rFonts w:eastAsia="MS Mincho"/>
          <w:szCs w:val="22"/>
          <w:lang w:eastAsia="ja-JP"/>
        </w:rPr>
        <w:t xml:space="preserve"> any dispatchable location solution will count towards the horizontal benchmark at the appropriate thresholds.  In addition, CMRS providers have the option of leveraging indoor infrastructure such as small cells and Wi-Fi hotspots to provide x/y location within 50 meters as opposed to dispatchable location.  Similarly, </w:t>
      </w:r>
      <w:r w:rsidRPr="001D0271">
        <w:rPr>
          <w:szCs w:val="22"/>
          <w:shd w:val="clear" w:color="auto" w:fill="FFFFFF"/>
        </w:rPr>
        <w:t xml:space="preserve">providers may use OTDOA to comply with the horizontal benchmark to the extent that OTDOA is determined through testing to meet the 50-meter standard.  This is consistent with the CMRS providers’ commitment in the Roadmap to deploy OTDOA in their roll-out of </w:t>
      </w:r>
      <w:r w:rsidRPr="001D0271">
        <w:rPr>
          <w:szCs w:val="22"/>
        </w:rPr>
        <w:t>VoLTE</w:t>
      </w:r>
      <w:r w:rsidRPr="005D66E3">
        <w:rPr>
          <w:szCs w:val="22"/>
        </w:rPr>
        <w:t xml:space="preserve"> and to use it in conjunction with A-GNSS as a primary location solution.</w:t>
      </w:r>
      <w:r>
        <w:rPr>
          <w:rStyle w:val="FootnoteReference"/>
          <w:szCs w:val="22"/>
        </w:rPr>
        <w:footnoteReference w:id="233"/>
      </w:r>
      <w:r w:rsidRPr="001D0271">
        <w:rPr>
          <w:szCs w:val="22"/>
        </w:rPr>
        <w:t xml:space="preserve">  </w:t>
      </w:r>
    </w:p>
    <w:p w14:paraId="27A1F59C" w14:textId="44812EDA" w:rsidR="003359FD" w:rsidRPr="00D062B8" w:rsidRDefault="003359FD" w:rsidP="00C57F6C">
      <w:pPr>
        <w:pStyle w:val="ParaNum"/>
        <w:widowControl/>
        <w:tabs>
          <w:tab w:val="clear" w:pos="1440"/>
        </w:tabs>
      </w:pPr>
      <w:r w:rsidRPr="004F323E">
        <w:rPr>
          <w:rFonts w:eastAsia="MS Mincho"/>
          <w:lang w:eastAsia="ja-JP"/>
        </w:rPr>
        <w:t xml:space="preserve">In addition to dispatchable location and OTDOA, CMRS providers have several other technologies to choose from.  </w:t>
      </w:r>
      <w:r w:rsidRPr="002166AF">
        <w:rPr>
          <w:rFonts w:eastAsia="MS Mincho"/>
          <w:lang w:eastAsia="ja-JP"/>
        </w:rPr>
        <w:t xml:space="preserve">While </w:t>
      </w:r>
      <w:r w:rsidRPr="008B60AE">
        <w:t xml:space="preserve">NextNav’s </w:t>
      </w:r>
      <w:r>
        <w:t xml:space="preserve">first-generation </w:t>
      </w:r>
      <w:r w:rsidRPr="008B60AE">
        <w:t xml:space="preserve">beacon </w:t>
      </w:r>
      <w:r>
        <w:t xml:space="preserve">technology fell short of 50-meter accuracy </w:t>
      </w:r>
      <w:r w:rsidRPr="008B60AE">
        <w:t xml:space="preserve">in </w:t>
      </w:r>
      <w:r>
        <w:t xml:space="preserve">some environments in </w:t>
      </w:r>
      <w:r w:rsidRPr="008B60AE">
        <w:t>the CSRIC test bed</w:t>
      </w:r>
      <w:r>
        <w:t xml:space="preserve">, </w:t>
      </w:r>
      <w:r w:rsidRPr="004F323E">
        <w:rPr>
          <w:rFonts w:eastAsia="MS Mincho"/>
          <w:lang w:eastAsia="ja-JP"/>
        </w:rPr>
        <w:t xml:space="preserve">subsequent testing indicates that its second-generation </w:t>
      </w:r>
      <w:r w:rsidRPr="002166AF">
        <w:rPr>
          <w:rFonts w:eastAsia="MS Mincho"/>
          <w:lang w:eastAsia="ja-JP"/>
        </w:rPr>
        <w:t xml:space="preserve">MBS technology can achieve </w:t>
      </w:r>
      <w:r w:rsidRPr="00157AD3">
        <w:rPr>
          <w:rFonts w:eastAsia="MS Mincho"/>
          <w:lang w:eastAsia="ja-JP"/>
        </w:rPr>
        <w:t>50-meter accuracy in suburban, urban, and dense urban environments.</w:t>
      </w:r>
      <w:r>
        <w:rPr>
          <w:rStyle w:val="FootnoteReference"/>
          <w:rFonts w:eastAsia="MS Mincho"/>
          <w:szCs w:val="22"/>
          <w:lang w:eastAsia="ja-JP"/>
        </w:rPr>
        <w:footnoteReference w:id="234"/>
      </w:r>
      <w:r w:rsidRPr="004F323E">
        <w:rPr>
          <w:rFonts w:eastAsia="MS Mincho"/>
          <w:lang w:eastAsia="ja-JP"/>
        </w:rPr>
        <w:t xml:space="preserve">  </w:t>
      </w:r>
      <w:r w:rsidRPr="002166AF">
        <w:rPr>
          <w:rFonts w:eastAsia="MS Mincho"/>
          <w:lang w:eastAsia="ja-JP"/>
        </w:rPr>
        <w:t xml:space="preserve">Moreover, the additional year CMRS providers will have </w:t>
      </w:r>
      <w:r w:rsidRPr="00157AD3">
        <w:rPr>
          <w:rFonts w:eastAsia="MS Mincho"/>
          <w:lang w:eastAsia="ja-JP"/>
        </w:rPr>
        <w:t>to meet our benchmarks should provide sufficient time for deployment of MBS-capable handsets.</w:t>
      </w:r>
      <w:r w:rsidRPr="008B60AE">
        <w:rPr>
          <w:rStyle w:val="FootnoteReference"/>
          <w:rFonts w:eastAsia="MS Mincho"/>
          <w:sz w:val="22"/>
          <w:szCs w:val="22"/>
          <w:lang w:eastAsia="ja-JP"/>
        </w:rPr>
        <w:footnoteReference w:id="235"/>
      </w:r>
      <w:r w:rsidR="00D062B8">
        <w:rPr>
          <w:rFonts w:eastAsia="MS Mincho"/>
          <w:lang w:eastAsia="ja-JP"/>
        </w:rPr>
        <w:t xml:space="preserve"> </w:t>
      </w:r>
    </w:p>
    <w:p w14:paraId="0B582962" w14:textId="0F8BCEF7" w:rsidR="003359FD" w:rsidRPr="00D062B8" w:rsidRDefault="003359FD" w:rsidP="003359FD">
      <w:pPr>
        <w:pStyle w:val="ParaNum"/>
        <w:rPr>
          <w:szCs w:val="22"/>
        </w:rPr>
      </w:pPr>
      <w:r w:rsidRPr="004120E4">
        <w:rPr>
          <w:rFonts w:eastAsia="MS Mincho"/>
          <w:szCs w:val="22"/>
          <w:lang w:eastAsia="ja-JP"/>
        </w:rPr>
        <w:t xml:space="preserve">UTDOA technology is also sufficiently developed to </w:t>
      </w:r>
      <w:r>
        <w:rPr>
          <w:rFonts w:eastAsia="MS Mincho"/>
          <w:szCs w:val="22"/>
          <w:lang w:eastAsia="ja-JP"/>
        </w:rPr>
        <w:t>present</w:t>
      </w:r>
      <w:r w:rsidRPr="004120E4">
        <w:rPr>
          <w:rFonts w:eastAsia="MS Mincho"/>
          <w:szCs w:val="22"/>
          <w:lang w:eastAsia="ja-JP"/>
        </w:rPr>
        <w:t xml:space="preserve"> a viable option for CMRS providers. </w:t>
      </w:r>
      <w:r>
        <w:rPr>
          <w:rFonts w:eastAsia="MS Mincho"/>
          <w:szCs w:val="22"/>
          <w:lang w:eastAsia="ja-JP"/>
        </w:rPr>
        <w:t xml:space="preserve"> </w:t>
      </w:r>
      <w:r w:rsidRPr="004120E4">
        <w:rPr>
          <w:rFonts w:eastAsia="MS Mincho"/>
          <w:szCs w:val="22"/>
          <w:lang w:eastAsia="ja-JP"/>
        </w:rPr>
        <w:t xml:space="preserve">Although </w:t>
      </w:r>
      <w:r w:rsidRPr="004120E4">
        <w:rPr>
          <w:szCs w:val="22"/>
        </w:rPr>
        <w:t>TruePosition has not tested UTDOA with LTE networks, CSRIC notes that “[l]ocation accuracy of UTDOA deployed on LTE networks should be comparable to, or better than, the accuracy achieved by UTDOA deployed on 3G or 2G networks …”</w:t>
      </w:r>
      <w:r w:rsidRPr="008B60AE">
        <w:rPr>
          <w:rStyle w:val="FootnoteReference"/>
          <w:sz w:val="22"/>
          <w:szCs w:val="22"/>
        </w:rPr>
        <w:footnoteReference w:id="236"/>
      </w:r>
      <w:r w:rsidRPr="004120E4">
        <w:rPr>
          <w:szCs w:val="22"/>
        </w:rPr>
        <w:t xml:space="preserve"> </w:t>
      </w:r>
      <w:r>
        <w:rPr>
          <w:szCs w:val="22"/>
        </w:rPr>
        <w:t xml:space="preserve"> </w:t>
      </w:r>
      <w:r w:rsidRPr="004120E4">
        <w:rPr>
          <w:szCs w:val="22"/>
        </w:rPr>
        <w:t xml:space="preserve">UTDOA is already commercially available from two different vendors </w:t>
      </w:r>
      <w:r>
        <w:rPr>
          <w:szCs w:val="22"/>
        </w:rPr>
        <w:t xml:space="preserve">and </w:t>
      </w:r>
      <w:r w:rsidRPr="004120E4">
        <w:rPr>
          <w:szCs w:val="22"/>
        </w:rPr>
        <w:t>does not require any handset replacement, only updates to the CMRS providers’ networks.</w:t>
      </w:r>
      <w:r w:rsidRPr="008B60AE">
        <w:rPr>
          <w:rStyle w:val="FootnoteReference"/>
          <w:sz w:val="22"/>
          <w:szCs w:val="22"/>
        </w:rPr>
        <w:footnoteReference w:id="237"/>
      </w:r>
      <w:r w:rsidRPr="004120E4">
        <w:rPr>
          <w:szCs w:val="22"/>
        </w:rPr>
        <w:t xml:space="preserve">  While some commenters question </w:t>
      </w:r>
      <w:r>
        <w:rPr>
          <w:szCs w:val="22"/>
        </w:rPr>
        <w:t xml:space="preserve">UTDOA’s </w:t>
      </w:r>
      <w:r w:rsidRPr="004120E4">
        <w:rPr>
          <w:szCs w:val="22"/>
        </w:rPr>
        <w:t>viability because it re</w:t>
      </w:r>
      <w:r>
        <w:rPr>
          <w:szCs w:val="22"/>
        </w:rPr>
        <w:t>lies on</w:t>
      </w:r>
      <w:r w:rsidRPr="004120E4">
        <w:rPr>
          <w:szCs w:val="22"/>
        </w:rPr>
        <w:t xml:space="preserve"> “power</w:t>
      </w:r>
      <w:r>
        <w:rPr>
          <w:szCs w:val="22"/>
        </w:rPr>
        <w:t xml:space="preserve">ing </w:t>
      </w:r>
      <w:r w:rsidRPr="004120E4">
        <w:rPr>
          <w:szCs w:val="22"/>
        </w:rPr>
        <w:t xml:space="preserve">up” </w:t>
      </w:r>
      <w:r>
        <w:rPr>
          <w:szCs w:val="22"/>
        </w:rPr>
        <w:t xml:space="preserve">by the </w:t>
      </w:r>
      <w:r w:rsidRPr="004120E4">
        <w:rPr>
          <w:szCs w:val="22"/>
        </w:rPr>
        <w:t>handset, this is not an insurmountable problem</w:t>
      </w:r>
      <w:r>
        <w:rPr>
          <w:szCs w:val="22"/>
        </w:rPr>
        <w:t xml:space="preserve">.  Powering up already occurs for </w:t>
      </w:r>
      <w:r w:rsidRPr="004120E4">
        <w:rPr>
          <w:szCs w:val="22"/>
        </w:rPr>
        <w:t>emergency voice calls on GSM network</w:t>
      </w:r>
      <w:r>
        <w:rPr>
          <w:szCs w:val="22"/>
        </w:rPr>
        <w:t>s</w:t>
      </w:r>
      <w:r w:rsidRPr="004120E4">
        <w:rPr>
          <w:szCs w:val="22"/>
        </w:rPr>
        <w:t>,</w:t>
      </w:r>
      <w:r w:rsidRPr="008B60AE">
        <w:rPr>
          <w:rStyle w:val="FootnoteReference"/>
          <w:sz w:val="22"/>
          <w:szCs w:val="22"/>
        </w:rPr>
        <w:footnoteReference w:id="238"/>
      </w:r>
      <w:r w:rsidRPr="004120E4">
        <w:rPr>
          <w:rFonts w:eastAsia="MS Mincho"/>
          <w:szCs w:val="22"/>
          <w:lang w:eastAsia="ja-JP"/>
        </w:rPr>
        <w:t xml:space="preserve"> adjustment </w:t>
      </w:r>
      <w:r>
        <w:rPr>
          <w:rFonts w:eastAsia="MS Mincho"/>
          <w:szCs w:val="22"/>
          <w:lang w:eastAsia="ja-JP"/>
        </w:rPr>
        <w:t xml:space="preserve">of </w:t>
      </w:r>
      <w:r w:rsidRPr="004120E4">
        <w:rPr>
          <w:rFonts w:eastAsia="MS Mincho"/>
          <w:szCs w:val="22"/>
          <w:lang w:eastAsia="ja-JP"/>
        </w:rPr>
        <w:t xml:space="preserve">handset power is </w:t>
      </w:r>
      <w:r>
        <w:rPr>
          <w:rFonts w:eastAsia="MS Mincho"/>
          <w:szCs w:val="22"/>
          <w:lang w:eastAsia="ja-JP"/>
        </w:rPr>
        <w:t xml:space="preserve">incorporated into </w:t>
      </w:r>
      <w:r w:rsidRPr="004120E4">
        <w:rPr>
          <w:rFonts w:eastAsia="MS Mincho"/>
          <w:szCs w:val="22"/>
          <w:lang w:eastAsia="ja-JP"/>
        </w:rPr>
        <w:t xml:space="preserve">industry standards, and </w:t>
      </w:r>
      <w:r>
        <w:rPr>
          <w:rFonts w:eastAsia="MS Mincho"/>
          <w:szCs w:val="22"/>
          <w:lang w:eastAsia="ja-JP"/>
        </w:rPr>
        <w:t>any</w:t>
      </w:r>
      <w:r w:rsidRPr="004120E4">
        <w:rPr>
          <w:rFonts w:eastAsia="MS Mincho"/>
          <w:szCs w:val="22"/>
          <w:lang w:eastAsia="ja-JP"/>
        </w:rPr>
        <w:t xml:space="preserve"> power-up </w:t>
      </w:r>
      <w:r>
        <w:rPr>
          <w:rFonts w:eastAsia="MS Mincho"/>
          <w:szCs w:val="22"/>
          <w:lang w:eastAsia="ja-JP"/>
        </w:rPr>
        <w:t xml:space="preserve">requirements for </w:t>
      </w:r>
      <w:r w:rsidRPr="004120E4">
        <w:rPr>
          <w:rFonts w:eastAsia="MS Mincho"/>
          <w:szCs w:val="22"/>
          <w:lang w:eastAsia="ja-JP"/>
        </w:rPr>
        <w:t>emergency call</w:t>
      </w:r>
      <w:r>
        <w:rPr>
          <w:rFonts w:eastAsia="MS Mincho"/>
          <w:szCs w:val="22"/>
          <w:lang w:eastAsia="ja-JP"/>
        </w:rPr>
        <w:t xml:space="preserve">s would be </w:t>
      </w:r>
      <w:r w:rsidRPr="004120E4">
        <w:rPr>
          <w:rFonts w:eastAsia="MS Mincho"/>
          <w:szCs w:val="22"/>
          <w:lang w:eastAsia="ja-JP"/>
        </w:rPr>
        <w:t>fairly brief</w:t>
      </w:r>
      <w:r>
        <w:rPr>
          <w:rFonts w:eastAsia="MS Mincho"/>
          <w:szCs w:val="22"/>
          <w:lang w:eastAsia="ja-JP"/>
        </w:rPr>
        <w:t xml:space="preserve"> and limited </w:t>
      </w:r>
      <w:r w:rsidRPr="004120E4">
        <w:rPr>
          <w:rFonts w:eastAsia="MS Mincho"/>
          <w:szCs w:val="22"/>
          <w:lang w:eastAsia="ja-JP"/>
        </w:rPr>
        <w:t xml:space="preserve">exclusively </w:t>
      </w:r>
      <w:r>
        <w:rPr>
          <w:rFonts w:eastAsia="MS Mincho"/>
          <w:szCs w:val="22"/>
          <w:lang w:eastAsia="ja-JP"/>
        </w:rPr>
        <w:t xml:space="preserve">to </w:t>
      </w:r>
      <w:r w:rsidRPr="004120E4">
        <w:rPr>
          <w:rFonts w:eastAsia="MS Mincho"/>
          <w:szCs w:val="22"/>
          <w:lang w:eastAsia="ja-JP"/>
        </w:rPr>
        <w:t>911 calls</w:t>
      </w:r>
      <w:r>
        <w:rPr>
          <w:rFonts w:eastAsia="MS Mincho"/>
          <w:szCs w:val="22"/>
          <w:lang w:eastAsia="ja-JP"/>
        </w:rPr>
        <w:t>.</w:t>
      </w:r>
      <w:r w:rsidRPr="008B60AE">
        <w:rPr>
          <w:rStyle w:val="FootnoteReference"/>
          <w:rFonts w:eastAsia="MS Mincho"/>
          <w:sz w:val="22"/>
          <w:szCs w:val="22"/>
          <w:lang w:eastAsia="ja-JP"/>
        </w:rPr>
        <w:footnoteReference w:id="239"/>
      </w:r>
      <w:r w:rsidRPr="004120E4">
        <w:rPr>
          <w:rFonts w:eastAsia="MS Mincho"/>
          <w:szCs w:val="22"/>
          <w:lang w:eastAsia="ja-JP"/>
        </w:rPr>
        <w:t xml:space="preserve"> </w:t>
      </w:r>
      <w:r>
        <w:rPr>
          <w:rFonts w:eastAsia="MS Mincho"/>
          <w:szCs w:val="22"/>
          <w:lang w:eastAsia="ja-JP"/>
        </w:rPr>
        <w:t xml:space="preserve"> </w:t>
      </w:r>
      <w:r>
        <w:rPr>
          <w:szCs w:val="22"/>
        </w:rPr>
        <w:t>We also find that should CMRS providers decide to pursue UTDOA as a solution, the additional year afforded them to meet the benchmarks should provide sufficient time to address any issues regarding the impact of LMU depl</w:t>
      </w:r>
      <w:r w:rsidR="00D062B8">
        <w:rPr>
          <w:szCs w:val="22"/>
        </w:rPr>
        <w:t>oyment on network performance.</w:t>
      </w:r>
    </w:p>
    <w:p w14:paraId="5038418F" w14:textId="16222E35" w:rsidR="003359FD" w:rsidRPr="008B60AE" w:rsidRDefault="003359FD" w:rsidP="003359FD">
      <w:pPr>
        <w:pStyle w:val="ParaNum"/>
        <w:rPr>
          <w:rFonts w:eastAsia="MS Mincho"/>
          <w:szCs w:val="22"/>
          <w:lang w:eastAsia="ja-JP"/>
        </w:rPr>
      </w:pPr>
      <w:r w:rsidRPr="008B60AE">
        <w:rPr>
          <w:rFonts w:eastAsia="MS Mincho"/>
          <w:szCs w:val="22"/>
          <w:lang w:eastAsia="ja-JP"/>
        </w:rPr>
        <w:t>Polaris</w:t>
      </w:r>
      <w:r>
        <w:rPr>
          <w:rFonts w:eastAsia="MS Mincho"/>
          <w:szCs w:val="22"/>
          <w:lang w:eastAsia="ja-JP"/>
        </w:rPr>
        <w:t xml:space="preserve"> Wireless</w:t>
      </w:r>
      <w:r w:rsidRPr="008B60AE">
        <w:rPr>
          <w:rFonts w:eastAsia="MS Mincho"/>
          <w:szCs w:val="22"/>
          <w:lang w:eastAsia="ja-JP"/>
        </w:rPr>
        <w:t>’ RF</w:t>
      </w:r>
      <w:r>
        <w:rPr>
          <w:rFonts w:eastAsia="MS Mincho"/>
          <w:szCs w:val="22"/>
          <w:lang w:eastAsia="ja-JP"/>
        </w:rPr>
        <w:t xml:space="preserve"> fingerprinting </w:t>
      </w:r>
      <w:r w:rsidRPr="008B60AE">
        <w:rPr>
          <w:rFonts w:eastAsia="MS Mincho"/>
          <w:szCs w:val="22"/>
          <w:lang w:eastAsia="ja-JP"/>
        </w:rPr>
        <w:t xml:space="preserve">technology will </w:t>
      </w:r>
      <w:r>
        <w:rPr>
          <w:rFonts w:eastAsia="MS Mincho"/>
          <w:szCs w:val="22"/>
          <w:lang w:eastAsia="ja-JP"/>
        </w:rPr>
        <w:t xml:space="preserve">also </w:t>
      </w:r>
      <w:r w:rsidRPr="008B60AE">
        <w:rPr>
          <w:rFonts w:eastAsia="MS Mincho"/>
          <w:szCs w:val="22"/>
          <w:lang w:eastAsia="ja-JP"/>
        </w:rPr>
        <w:t>likely</w:t>
      </w:r>
      <w:r>
        <w:rPr>
          <w:rFonts w:eastAsia="MS Mincho"/>
          <w:szCs w:val="22"/>
          <w:lang w:eastAsia="ja-JP"/>
        </w:rPr>
        <w:t xml:space="preserve"> be able</w:t>
      </w:r>
      <w:r w:rsidRPr="008B60AE">
        <w:rPr>
          <w:rFonts w:eastAsia="MS Mincho"/>
          <w:szCs w:val="22"/>
          <w:lang w:eastAsia="ja-JP"/>
        </w:rPr>
        <w:t xml:space="preserve"> </w:t>
      </w:r>
      <w:r>
        <w:rPr>
          <w:rFonts w:eastAsia="MS Mincho"/>
          <w:szCs w:val="22"/>
          <w:lang w:eastAsia="ja-JP"/>
        </w:rPr>
        <w:t xml:space="preserve">to </w:t>
      </w:r>
      <w:r w:rsidRPr="008B60AE">
        <w:rPr>
          <w:rFonts w:eastAsia="MS Mincho"/>
          <w:szCs w:val="22"/>
          <w:lang w:eastAsia="ja-JP"/>
        </w:rPr>
        <w:t xml:space="preserve">meet </w:t>
      </w:r>
      <w:r>
        <w:rPr>
          <w:rFonts w:eastAsia="MS Mincho"/>
          <w:szCs w:val="22"/>
          <w:lang w:eastAsia="ja-JP"/>
        </w:rPr>
        <w:t xml:space="preserve">our </w:t>
      </w:r>
      <w:r w:rsidRPr="008B60AE">
        <w:rPr>
          <w:rFonts w:eastAsia="MS Mincho"/>
          <w:szCs w:val="22"/>
          <w:lang w:eastAsia="ja-JP"/>
        </w:rPr>
        <w:t xml:space="preserve">requirements </w:t>
      </w:r>
      <w:r>
        <w:rPr>
          <w:rFonts w:eastAsia="MS Mincho"/>
          <w:szCs w:val="22"/>
          <w:lang w:eastAsia="ja-JP"/>
        </w:rPr>
        <w:t>in many indoor environments</w:t>
      </w:r>
      <w:r w:rsidRPr="008B60AE">
        <w:rPr>
          <w:rFonts w:eastAsia="MS Mincho"/>
          <w:szCs w:val="22"/>
          <w:lang w:eastAsia="ja-JP"/>
        </w:rPr>
        <w:t xml:space="preserve"> when used in conjunction with </w:t>
      </w:r>
      <w:r>
        <w:rPr>
          <w:rFonts w:eastAsia="MS Mincho"/>
          <w:szCs w:val="22"/>
          <w:lang w:eastAsia="ja-JP"/>
        </w:rPr>
        <w:t>other location technologies</w:t>
      </w:r>
      <w:r w:rsidRPr="008B60AE">
        <w:rPr>
          <w:rFonts w:eastAsia="MS Mincho"/>
          <w:szCs w:val="22"/>
          <w:lang w:eastAsia="ja-JP"/>
        </w:rPr>
        <w:t xml:space="preserve">.  </w:t>
      </w:r>
      <w:r>
        <w:rPr>
          <w:rFonts w:eastAsia="MS Mincho"/>
          <w:szCs w:val="22"/>
          <w:lang w:eastAsia="ja-JP"/>
        </w:rPr>
        <w:t>R</w:t>
      </w:r>
      <w:r w:rsidR="006C68D3">
        <w:rPr>
          <w:rFonts w:eastAsia="MS Mincho"/>
          <w:szCs w:val="22"/>
          <w:lang w:eastAsia="ja-JP"/>
        </w:rPr>
        <w:t xml:space="preserve">adio </w:t>
      </w:r>
      <w:r>
        <w:rPr>
          <w:rFonts w:eastAsia="MS Mincho"/>
          <w:szCs w:val="22"/>
          <w:lang w:eastAsia="ja-JP"/>
        </w:rPr>
        <w:t>F</w:t>
      </w:r>
      <w:r w:rsidR="006C68D3">
        <w:rPr>
          <w:rFonts w:eastAsia="MS Mincho"/>
          <w:szCs w:val="22"/>
          <w:lang w:eastAsia="ja-JP"/>
        </w:rPr>
        <w:t>requency (RF)</w:t>
      </w:r>
      <w:r>
        <w:rPr>
          <w:rFonts w:eastAsia="MS Mincho"/>
          <w:szCs w:val="22"/>
          <w:lang w:eastAsia="ja-JP"/>
        </w:rPr>
        <w:t xml:space="preserve"> fingerprinting can be used in conjunction with OTDOA and other location technologies, with no </w:t>
      </w:r>
      <w:r w:rsidRPr="008B60AE">
        <w:rPr>
          <w:rFonts w:eastAsia="MS Mincho"/>
          <w:szCs w:val="22"/>
          <w:lang w:eastAsia="ja-JP"/>
        </w:rPr>
        <w:t>handset replacement necessary</w:t>
      </w:r>
      <w:r>
        <w:rPr>
          <w:rFonts w:eastAsia="MS Mincho"/>
          <w:szCs w:val="22"/>
          <w:lang w:eastAsia="ja-JP"/>
        </w:rPr>
        <w:t xml:space="preserve"> </w:t>
      </w:r>
      <w:r w:rsidRPr="008B60AE">
        <w:rPr>
          <w:rFonts w:eastAsia="MS Mincho"/>
          <w:szCs w:val="22"/>
          <w:lang w:eastAsia="ja-JP"/>
        </w:rPr>
        <w:t xml:space="preserve">because the </w:t>
      </w:r>
      <w:r>
        <w:rPr>
          <w:rFonts w:eastAsia="MS Mincho"/>
          <w:szCs w:val="22"/>
          <w:lang w:eastAsia="ja-JP"/>
        </w:rPr>
        <w:t xml:space="preserve">RF mapping capability </w:t>
      </w:r>
      <w:r w:rsidRPr="008B60AE">
        <w:rPr>
          <w:rFonts w:eastAsia="MS Mincho"/>
          <w:szCs w:val="22"/>
          <w:lang w:eastAsia="ja-JP"/>
        </w:rPr>
        <w:t xml:space="preserve">is implemented </w:t>
      </w:r>
      <w:r>
        <w:rPr>
          <w:rFonts w:eastAsia="MS Mincho"/>
          <w:szCs w:val="22"/>
          <w:lang w:eastAsia="ja-JP"/>
        </w:rPr>
        <w:t>from</w:t>
      </w:r>
      <w:r w:rsidRPr="008B60AE">
        <w:rPr>
          <w:rFonts w:eastAsia="MS Mincho"/>
          <w:szCs w:val="22"/>
          <w:lang w:eastAsia="ja-JP"/>
        </w:rPr>
        <w:t xml:space="preserve"> the network</w:t>
      </w:r>
      <w:r>
        <w:rPr>
          <w:rFonts w:eastAsia="MS Mincho"/>
          <w:szCs w:val="22"/>
          <w:lang w:eastAsia="ja-JP"/>
        </w:rPr>
        <w:t xml:space="preserve"> side</w:t>
      </w:r>
      <w:r w:rsidRPr="008B60AE">
        <w:rPr>
          <w:rFonts w:eastAsia="MS Mincho"/>
          <w:szCs w:val="22"/>
          <w:lang w:eastAsia="ja-JP"/>
        </w:rPr>
        <w:t xml:space="preserve">.  </w:t>
      </w:r>
      <w:r>
        <w:rPr>
          <w:rFonts w:eastAsia="MS Mincho"/>
          <w:szCs w:val="22"/>
          <w:lang w:eastAsia="ja-JP"/>
        </w:rPr>
        <w:t>Thus</w:t>
      </w:r>
      <w:r w:rsidRPr="008B60AE">
        <w:rPr>
          <w:rFonts w:eastAsia="MS Mincho"/>
          <w:szCs w:val="22"/>
          <w:lang w:eastAsia="ja-JP"/>
        </w:rPr>
        <w:t xml:space="preserve">, if CMRS providers wish to use </w:t>
      </w:r>
      <w:r>
        <w:rPr>
          <w:rFonts w:eastAsia="MS Mincho"/>
          <w:szCs w:val="22"/>
          <w:lang w:eastAsia="ja-JP"/>
        </w:rPr>
        <w:t>RF m</w:t>
      </w:r>
      <w:r w:rsidRPr="008B60AE">
        <w:rPr>
          <w:rFonts w:eastAsia="MS Mincho"/>
          <w:szCs w:val="22"/>
          <w:lang w:eastAsia="ja-JP"/>
        </w:rPr>
        <w:t>apping, the technology is also likely to be sufficiently developed that it can be used in a hybrid solution to</w:t>
      </w:r>
      <w:r>
        <w:rPr>
          <w:rFonts w:eastAsia="MS Mincho"/>
          <w:szCs w:val="22"/>
          <w:lang w:eastAsia="ja-JP"/>
        </w:rPr>
        <w:t xml:space="preserve"> help</w:t>
      </w:r>
      <w:r w:rsidRPr="008B60AE">
        <w:rPr>
          <w:rFonts w:eastAsia="MS Mincho"/>
          <w:szCs w:val="22"/>
          <w:lang w:eastAsia="ja-JP"/>
        </w:rPr>
        <w:t xml:space="preserve"> meet both our horizontal location accuracy requirements.</w:t>
      </w:r>
    </w:p>
    <w:p w14:paraId="1039EC18" w14:textId="0C54DD84" w:rsidR="00856EF6" w:rsidRPr="005F79FC" w:rsidRDefault="00CD0D3B" w:rsidP="00822BB9">
      <w:pPr>
        <w:pStyle w:val="Heading4"/>
        <w:rPr>
          <w:rFonts w:eastAsia="MS Mincho"/>
          <w:szCs w:val="22"/>
          <w:lang w:eastAsia="ja-JP"/>
        </w:rPr>
      </w:pPr>
      <w:bookmarkStart w:id="240" w:name="_Toc408400501"/>
      <w:bookmarkStart w:id="241" w:name="_Toc408400556"/>
      <w:bookmarkStart w:id="242" w:name="_Toc408490568"/>
      <w:r w:rsidRPr="00CD0D3B">
        <w:rPr>
          <w:rFonts w:eastAsia="MS Mincho"/>
          <w:szCs w:val="22"/>
          <w:lang w:eastAsia="ja-JP"/>
        </w:rPr>
        <w:t xml:space="preserve">Geographic Scope of </w:t>
      </w:r>
      <w:r w:rsidRPr="005F79FC">
        <w:rPr>
          <w:rFonts w:eastAsia="MS Mincho"/>
          <w:szCs w:val="22"/>
          <w:lang w:eastAsia="ja-JP"/>
        </w:rPr>
        <w:t>Horizontal Location Requirements</w:t>
      </w:r>
      <w:bookmarkEnd w:id="240"/>
      <w:bookmarkEnd w:id="241"/>
      <w:bookmarkEnd w:id="242"/>
      <w:r w:rsidRPr="005F79FC">
        <w:rPr>
          <w:rFonts w:eastAsia="MS Mincho"/>
          <w:szCs w:val="22"/>
          <w:lang w:eastAsia="ja-JP"/>
        </w:rPr>
        <w:t xml:space="preserve"> </w:t>
      </w:r>
      <w:r w:rsidR="00A91A6C">
        <w:rPr>
          <w:rFonts w:eastAsia="MS Mincho"/>
          <w:szCs w:val="22"/>
          <w:lang w:eastAsia="ja-JP"/>
        </w:rPr>
        <w:t xml:space="preserve">for Non-Nationwide </w:t>
      </w:r>
      <w:r w:rsidR="005C20D1">
        <w:rPr>
          <w:rFonts w:eastAsia="MS Mincho"/>
          <w:szCs w:val="22"/>
          <w:lang w:eastAsia="ja-JP"/>
        </w:rPr>
        <w:t xml:space="preserve">CMRS </w:t>
      </w:r>
      <w:r w:rsidR="005D66E3">
        <w:rPr>
          <w:rFonts w:eastAsia="MS Mincho"/>
          <w:szCs w:val="22"/>
          <w:lang w:eastAsia="ja-JP"/>
        </w:rPr>
        <w:t>P</w:t>
      </w:r>
      <w:r w:rsidR="005C20D1">
        <w:rPr>
          <w:rFonts w:eastAsia="MS Mincho"/>
          <w:szCs w:val="22"/>
          <w:lang w:eastAsia="ja-JP"/>
        </w:rPr>
        <w:t>rovider</w:t>
      </w:r>
      <w:r w:rsidR="00A91A6C">
        <w:rPr>
          <w:rFonts w:eastAsia="MS Mincho"/>
          <w:szCs w:val="22"/>
          <w:lang w:eastAsia="ja-JP"/>
        </w:rPr>
        <w:t>s</w:t>
      </w:r>
    </w:p>
    <w:p w14:paraId="1923025A" w14:textId="714DE6E5" w:rsidR="00054487" w:rsidRDefault="00054487" w:rsidP="00EE2E1F">
      <w:pPr>
        <w:pStyle w:val="ParaNum"/>
        <w:widowControl/>
      </w:pPr>
      <w:r>
        <w:t xml:space="preserve">In the </w:t>
      </w:r>
      <w:r w:rsidRPr="00A826DA">
        <w:rPr>
          <w:i/>
        </w:rPr>
        <w:t>Third Further Notice</w:t>
      </w:r>
      <w:r>
        <w:t>, w</w:t>
      </w:r>
      <w:r w:rsidRPr="00492FBD">
        <w:t>e propose</w:t>
      </w:r>
      <w:r>
        <w:t>d</w:t>
      </w:r>
      <w:r w:rsidRPr="00492FBD">
        <w:t xml:space="preserve"> to apply the </w:t>
      </w:r>
      <w:r>
        <w:t xml:space="preserve">horizontal </w:t>
      </w:r>
      <w:r w:rsidRPr="00492FBD">
        <w:t>indoor location accuracy requirements on a nationwide-basis, across all geographic areas</w:t>
      </w:r>
      <w:r>
        <w:t>,</w:t>
      </w:r>
      <w:r>
        <w:rPr>
          <w:rStyle w:val="FootnoteReference"/>
        </w:rPr>
        <w:footnoteReference w:id="240"/>
      </w:r>
      <w:r w:rsidRPr="00492FBD">
        <w:t xml:space="preserve"> </w:t>
      </w:r>
      <w:r>
        <w:t xml:space="preserve">under the belief </w:t>
      </w:r>
      <w:r w:rsidRPr="00492FBD">
        <w:t xml:space="preserve">that only a limited number of environments would require </w:t>
      </w:r>
      <w:r>
        <w:t xml:space="preserve">CMRS providers to deploy </w:t>
      </w:r>
      <w:r w:rsidRPr="00492FBD">
        <w:t xml:space="preserve">additional infrastructure to </w:t>
      </w:r>
      <w:r>
        <w:t xml:space="preserve">satisfy </w:t>
      </w:r>
      <w:r w:rsidRPr="00492FBD">
        <w:t>our proposed indoor accuracy requirements</w:t>
      </w:r>
      <w:r>
        <w:t>, so that applying the requirements nationwide</w:t>
      </w:r>
      <w:r w:rsidRPr="00492FBD">
        <w:t xml:space="preserve"> </w:t>
      </w:r>
      <w:r>
        <w:t>would be</w:t>
      </w:r>
      <w:r w:rsidRPr="00492FBD">
        <w:t xml:space="preserve"> </w:t>
      </w:r>
      <w:r>
        <w:t xml:space="preserve">both </w:t>
      </w:r>
      <w:r w:rsidRPr="00492FBD">
        <w:t>technologically feasible</w:t>
      </w:r>
      <w:r>
        <w:t xml:space="preserve"> and</w:t>
      </w:r>
      <w:r w:rsidRPr="00492FBD">
        <w:t xml:space="preserve"> economically reasonable.</w:t>
      </w:r>
      <w:r>
        <w:rPr>
          <w:rStyle w:val="FootnoteReference"/>
        </w:rPr>
        <w:footnoteReference w:id="241"/>
      </w:r>
      <w:r w:rsidRPr="00492FBD">
        <w:t xml:space="preserve">  </w:t>
      </w:r>
      <w:r>
        <w:t xml:space="preserve"> Nevertheless, we sought comment on</w:t>
      </w:r>
      <w:r w:rsidRPr="00492FBD">
        <w:t xml:space="preserve"> </w:t>
      </w:r>
      <w:r>
        <w:t>an alternative proposal to</w:t>
      </w:r>
      <w:r w:rsidRPr="00492FBD">
        <w:t xml:space="preserve"> apply </w:t>
      </w:r>
      <w:r>
        <w:t>the</w:t>
      </w:r>
      <w:r w:rsidRPr="00492FBD">
        <w:t xml:space="preserve"> proposed indoor location accuracy </w:t>
      </w:r>
      <w:r>
        <w:t>requirement</w:t>
      </w:r>
      <w:r w:rsidRPr="00492FBD">
        <w:t xml:space="preserve"> in a more targeted fashion</w:t>
      </w:r>
      <w:r>
        <w:t xml:space="preserve"> based on population and multi-story building density.</w:t>
      </w:r>
      <w:r>
        <w:rPr>
          <w:rStyle w:val="FootnoteReference"/>
        </w:rPr>
        <w:footnoteReference w:id="242"/>
      </w:r>
      <w:r>
        <w:t xml:space="preserve">  We also sought comment on whether exclusions based on population density or dense forestation should apply, as well as how</w:t>
      </w:r>
      <w:r w:rsidRPr="00492FBD">
        <w:t xml:space="preserve"> compliance based on one or more test beds</w:t>
      </w:r>
      <w:r>
        <w:t xml:space="preserve"> </w:t>
      </w:r>
      <w:r w:rsidRPr="00492FBD">
        <w:t>would affect the definition of areas to exclude.</w:t>
      </w:r>
      <w:r>
        <w:rPr>
          <w:rStyle w:val="FootnoteReference"/>
        </w:rPr>
        <w:footnoteReference w:id="243"/>
      </w:r>
      <w:r w:rsidRPr="00492FBD">
        <w:t xml:space="preserve">  </w:t>
      </w:r>
    </w:p>
    <w:p w14:paraId="6F1E01EC" w14:textId="79941229" w:rsidR="00054487" w:rsidRDefault="00054487" w:rsidP="00054487">
      <w:pPr>
        <w:pStyle w:val="ParaNum"/>
      </w:pPr>
      <w:r>
        <w:t xml:space="preserve">In response to the </w:t>
      </w:r>
      <w:r w:rsidRPr="00E02062">
        <w:rPr>
          <w:i/>
        </w:rPr>
        <w:t>Third Further Notice</w:t>
      </w:r>
      <w:r>
        <w:t>, several commenters express support for a targeted application of indoor location requirements based on population density.</w:t>
      </w:r>
      <w:r>
        <w:rPr>
          <w:rStyle w:val="FootnoteReference"/>
        </w:rPr>
        <w:footnoteReference w:id="244"/>
      </w:r>
      <w:r>
        <w:t xml:space="preserve">  Taking it a step further, several small and regional CMRS providers argue that it would also be appropriate to </w:t>
      </w:r>
      <w:r w:rsidRPr="00E02062">
        <w:rPr>
          <w:i/>
        </w:rPr>
        <w:t>exclude</w:t>
      </w:r>
      <w:r>
        <w:t xml:space="preserve"> rural areas from indoor-focused location accuracy requirements.</w:t>
      </w:r>
      <w:r>
        <w:rPr>
          <w:rStyle w:val="FootnoteReference"/>
        </w:rPr>
        <w:footnoteReference w:id="245"/>
      </w:r>
      <w:r>
        <w:t xml:space="preserve">  Absent any such </w:t>
      </w:r>
      <w:r w:rsidR="00EE2E1F">
        <w:t>exclusion</w:t>
      </w:r>
      <w:r>
        <w:t>, RWA expresses concerns about the ability of small and rural CMRS providers to achieve compliance with the indoor horizontal location accuracy requirements in the proposed timeframe.</w:t>
      </w:r>
      <w:r>
        <w:rPr>
          <w:rStyle w:val="FootnoteReference"/>
        </w:rPr>
        <w:footnoteReference w:id="246"/>
      </w:r>
      <w:r>
        <w:t xml:space="preserve">  SouthernLINC submits that “a significant proportion of the nation’s regional and rural carriers are . . . transitioning their networks and systems to LTE”</w:t>
      </w:r>
      <w:r>
        <w:rPr>
          <w:rStyle w:val="FootnoteReference"/>
        </w:rPr>
        <w:footnoteReference w:id="247"/>
      </w:r>
      <w:r>
        <w:t xml:space="preserve"> and adds that </w:t>
      </w:r>
      <w:r w:rsidRPr="003755ED">
        <w:t xml:space="preserve">if the nationwide carriers </w:t>
      </w:r>
      <w:r>
        <w:t xml:space="preserve">are </w:t>
      </w:r>
      <w:r w:rsidRPr="003755ED">
        <w:t>able to achieve</w:t>
      </w:r>
      <w:r>
        <w:t>”</w:t>
      </w:r>
      <w:r w:rsidRPr="003755ED">
        <w:t xml:space="preserve"> the proposed milestones</w:t>
      </w:r>
      <w:r>
        <w:t xml:space="preserve"> of the Roadmap</w:t>
      </w:r>
      <w:r w:rsidRPr="003755ED">
        <w:t xml:space="preserve">, </w:t>
      </w:r>
      <w:r>
        <w:t>“</w:t>
      </w:r>
      <w:r w:rsidRPr="003755ED">
        <w:t>regional and rural carriers should be able to achieve them</w:t>
      </w:r>
      <w:r>
        <w:t xml:space="preserve"> . . . </w:t>
      </w:r>
      <w:r w:rsidRPr="003755ED">
        <w:t>, but would need additional time because the necessary technology, equipment, and vendor support will generally not become available to them until after the nationwide carriers have completed</w:t>
      </w:r>
      <w:r>
        <w:t xml:space="preserve"> . . . </w:t>
      </w:r>
      <w:r w:rsidRPr="003755ED">
        <w:t>implementation</w:t>
      </w:r>
      <w:r>
        <w:t>.”</w:t>
      </w:r>
      <w:r>
        <w:rPr>
          <w:rStyle w:val="FootnoteReference"/>
        </w:rPr>
        <w:footnoteReference w:id="248"/>
      </w:r>
      <w:r>
        <w:t xml:space="preserve">  Similarly, CCA remarks that </w:t>
      </w:r>
      <w:r w:rsidRPr="00100B6E">
        <w:t xml:space="preserve">non-nationwide providers are not on the same LTE and VoLTE deployment timelines as the nationwide </w:t>
      </w:r>
      <w:r w:rsidR="005C20D1">
        <w:t>CMRS provider</w:t>
      </w:r>
      <w:r w:rsidRPr="00100B6E">
        <w:t>s</w:t>
      </w:r>
      <w:r>
        <w:t>.</w:t>
      </w:r>
      <w:r>
        <w:rPr>
          <w:rStyle w:val="FootnoteReference"/>
        </w:rPr>
        <w:footnoteReference w:id="249"/>
      </w:r>
      <w:r>
        <w:t xml:space="preserve">  In the Parallel Path, CCA urges the Commission to consider providing non-nationwide </w:t>
      </w:r>
      <w:r w:rsidR="005C20D1">
        <w:t xml:space="preserve"> provider</w:t>
      </w:r>
      <w:r>
        <w:t xml:space="preserve">s additional time to meet the five and six-year horizontal location accuracy benchmarks of the Roadmap, so that those </w:t>
      </w:r>
      <w:r w:rsidR="005C20D1">
        <w:t>provider</w:t>
      </w:r>
      <w:r>
        <w:t>s can “gain access” to VoLTE handsets.</w:t>
      </w:r>
      <w:r>
        <w:rPr>
          <w:rStyle w:val="FootnoteReference"/>
        </w:rPr>
        <w:footnoteReference w:id="250"/>
      </w:r>
      <w:r w:rsidRPr="00DC3FFC">
        <w:t xml:space="preserve">  </w:t>
      </w:r>
    </w:p>
    <w:p w14:paraId="6D3CA2A8" w14:textId="145E2B1A" w:rsidR="0047111D" w:rsidRDefault="00054487" w:rsidP="00054487">
      <w:pPr>
        <w:pStyle w:val="ParaNum"/>
        <w:rPr>
          <w:rFonts w:eastAsia="MS Mincho"/>
          <w:szCs w:val="22"/>
          <w:lang w:eastAsia="ja-JP"/>
        </w:rPr>
      </w:pPr>
      <w:r>
        <w:rPr>
          <w:rFonts w:eastAsia="MS Mincho"/>
          <w:i/>
          <w:szCs w:val="22"/>
          <w:lang w:eastAsia="ja-JP"/>
        </w:rPr>
        <w:t xml:space="preserve">Discussion.  </w:t>
      </w:r>
      <w:r w:rsidRPr="00005BE2">
        <w:rPr>
          <w:rFonts w:eastAsia="MS Mincho"/>
          <w:szCs w:val="22"/>
          <w:lang w:eastAsia="ja-JP"/>
        </w:rPr>
        <w:t>To ensure compliance with our indoor-focused location accuracy standards</w:t>
      </w:r>
      <w:r>
        <w:rPr>
          <w:rFonts w:eastAsia="MS Mincho"/>
          <w:szCs w:val="22"/>
          <w:lang w:eastAsia="ja-JP"/>
        </w:rPr>
        <w:t>,</w:t>
      </w:r>
      <w:r w:rsidRPr="00005BE2">
        <w:rPr>
          <w:rFonts w:eastAsia="MS Mincho"/>
          <w:szCs w:val="22"/>
          <w:lang w:eastAsia="ja-JP"/>
        </w:rPr>
        <w:t xml:space="preserve"> we provide a</w:t>
      </w:r>
      <w:r>
        <w:rPr>
          <w:rFonts w:eastAsia="MS Mincho"/>
          <w:szCs w:val="22"/>
          <w:lang w:eastAsia="ja-JP"/>
        </w:rPr>
        <w:t>n</w:t>
      </w:r>
      <w:r w:rsidRPr="00005BE2">
        <w:rPr>
          <w:rFonts w:eastAsia="MS Mincho"/>
          <w:szCs w:val="22"/>
          <w:lang w:eastAsia="ja-JP"/>
        </w:rPr>
        <w:t xml:space="preserve"> </w:t>
      </w:r>
      <w:r>
        <w:rPr>
          <w:rFonts w:eastAsia="MS Mincho"/>
          <w:szCs w:val="22"/>
          <w:lang w:eastAsia="ja-JP"/>
        </w:rPr>
        <w:t>a</w:t>
      </w:r>
      <w:r w:rsidRPr="00005BE2">
        <w:rPr>
          <w:rFonts w:eastAsia="MS Mincho"/>
          <w:szCs w:val="22"/>
          <w:lang w:eastAsia="ja-JP"/>
        </w:rPr>
        <w:t xml:space="preserve">pproach </w:t>
      </w:r>
      <w:r>
        <w:rPr>
          <w:rFonts w:eastAsia="MS Mincho"/>
          <w:szCs w:val="22"/>
          <w:lang w:eastAsia="ja-JP"/>
        </w:rPr>
        <w:t xml:space="preserve">that addresses the concerns of non-nationwide CMRS providers and provides them flexibility as they migrate to VoLTE networks.   </w:t>
      </w:r>
      <w:r>
        <w:t xml:space="preserve">For purposes of the instant </w:t>
      </w:r>
      <w:r w:rsidRPr="000F1845">
        <w:rPr>
          <w:i/>
        </w:rPr>
        <w:t>Report and Order</w:t>
      </w:r>
      <w:r>
        <w:t>, we refer to providers with networks that are limited to regional and local areas – as “non-nationwide providers.”</w:t>
      </w:r>
      <w:r>
        <w:rPr>
          <w:rStyle w:val="FootnoteReference"/>
        </w:rPr>
        <w:footnoteReference w:id="251"/>
      </w:r>
      <w:r>
        <w:t xml:space="preserve">  We recognize that, compared to </w:t>
      </w:r>
      <w:r w:rsidR="00501405">
        <w:t xml:space="preserve">the </w:t>
      </w:r>
      <w:r>
        <w:t xml:space="preserve">four nationwide CMRS providers that are parties to the Roadmap, our indoor-focused location accuracy requirements will substantially affect non-nationwide CMRS providers, particularly in years five and six under horizontal location accuracy requirements we adopt today. </w:t>
      </w:r>
      <w:r w:rsidR="00491360">
        <w:t xml:space="preserve"> </w:t>
      </w:r>
      <w:r>
        <w:t xml:space="preserve">In this regard, </w:t>
      </w:r>
      <w:r>
        <w:rPr>
          <w:rFonts w:eastAsia="MS Mincho"/>
          <w:szCs w:val="22"/>
          <w:lang w:eastAsia="ja-JP"/>
        </w:rPr>
        <w:t>w</w:t>
      </w:r>
      <w:r w:rsidRPr="008B60AE">
        <w:rPr>
          <w:rFonts w:eastAsia="MS Mincho"/>
          <w:szCs w:val="22"/>
          <w:lang w:eastAsia="ja-JP"/>
        </w:rPr>
        <w:t xml:space="preserve">e </w:t>
      </w:r>
      <w:r>
        <w:rPr>
          <w:rFonts w:eastAsia="MS Mincho"/>
          <w:szCs w:val="22"/>
          <w:lang w:eastAsia="ja-JP"/>
        </w:rPr>
        <w:t>decline t</w:t>
      </w:r>
      <w:r w:rsidRPr="008B60AE">
        <w:rPr>
          <w:rFonts w:eastAsia="MS Mincho"/>
          <w:szCs w:val="22"/>
          <w:lang w:eastAsia="ja-JP"/>
        </w:rPr>
        <w:t xml:space="preserve">o </w:t>
      </w:r>
      <w:r>
        <w:rPr>
          <w:rFonts w:eastAsia="MS Mincho"/>
          <w:szCs w:val="22"/>
          <w:lang w:eastAsia="ja-JP"/>
        </w:rPr>
        <w:t>phase in</w:t>
      </w:r>
      <w:r w:rsidRPr="008B60AE">
        <w:rPr>
          <w:rFonts w:eastAsia="MS Mincho"/>
          <w:szCs w:val="22"/>
          <w:lang w:eastAsia="ja-JP"/>
        </w:rPr>
        <w:t xml:space="preserve"> our </w:t>
      </w:r>
      <w:r>
        <w:rPr>
          <w:rFonts w:eastAsia="MS Mincho"/>
          <w:szCs w:val="22"/>
          <w:lang w:eastAsia="ja-JP"/>
        </w:rPr>
        <w:t xml:space="preserve">horizontal location </w:t>
      </w:r>
      <w:r w:rsidRPr="008B60AE">
        <w:rPr>
          <w:rFonts w:eastAsia="MS Mincho"/>
          <w:szCs w:val="22"/>
          <w:lang w:eastAsia="ja-JP"/>
        </w:rPr>
        <w:t>re</w:t>
      </w:r>
      <w:r>
        <w:rPr>
          <w:rFonts w:eastAsia="MS Mincho"/>
          <w:szCs w:val="22"/>
          <w:lang w:eastAsia="ja-JP"/>
        </w:rPr>
        <w:t>quirements based on population density</w:t>
      </w:r>
      <w:r w:rsidRPr="008B60AE">
        <w:rPr>
          <w:rFonts w:eastAsia="MS Mincho"/>
          <w:szCs w:val="22"/>
          <w:lang w:eastAsia="ja-JP"/>
        </w:rPr>
        <w:t xml:space="preserve">.  </w:t>
      </w:r>
      <w:r>
        <w:rPr>
          <w:rFonts w:eastAsia="MS Mincho"/>
          <w:szCs w:val="22"/>
          <w:lang w:eastAsia="ja-JP"/>
        </w:rPr>
        <w:t>Satellite-based location</w:t>
      </w:r>
      <w:r w:rsidRPr="008B60AE">
        <w:rPr>
          <w:rFonts w:eastAsia="MS Mincho"/>
          <w:szCs w:val="22"/>
          <w:lang w:eastAsia="ja-JP"/>
        </w:rPr>
        <w:t xml:space="preserve"> technology </w:t>
      </w:r>
      <w:r>
        <w:rPr>
          <w:rFonts w:eastAsia="MS Mincho"/>
          <w:szCs w:val="22"/>
          <w:lang w:eastAsia="ja-JP"/>
        </w:rPr>
        <w:t>has already proven able</w:t>
      </w:r>
      <w:r w:rsidRPr="008B60AE">
        <w:rPr>
          <w:rFonts w:eastAsia="MS Mincho"/>
          <w:szCs w:val="22"/>
          <w:lang w:eastAsia="ja-JP"/>
        </w:rPr>
        <w:t xml:space="preserve"> to meet our </w:t>
      </w:r>
      <w:r>
        <w:rPr>
          <w:rFonts w:eastAsia="MS Mincho"/>
          <w:szCs w:val="22"/>
          <w:lang w:eastAsia="ja-JP"/>
        </w:rPr>
        <w:t xml:space="preserve">horizontal location </w:t>
      </w:r>
      <w:r w:rsidRPr="008B60AE">
        <w:rPr>
          <w:rFonts w:eastAsia="MS Mincho"/>
          <w:szCs w:val="22"/>
          <w:lang w:eastAsia="ja-JP"/>
        </w:rPr>
        <w:t>requirements in rural areas and</w:t>
      </w:r>
      <w:r>
        <w:rPr>
          <w:rFonts w:eastAsia="MS Mincho"/>
          <w:szCs w:val="22"/>
          <w:lang w:eastAsia="ja-JP"/>
        </w:rPr>
        <w:t xml:space="preserve"> should provide the same capability soon in </w:t>
      </w:r>
      <w:r w:rsidRPr="008B60AE">
        <w:rPr>
          <w:rFonts w:eastAsia="MS Mincho"/>
          <w:szCs w:val="22"/>
          <w:lang w:eastAsia="ja-JP"/>
        </w:rPr>
        <w:t>urban clusters.</w:t>
      </w:r>
      <w:r w:rsidRPr="008B60AE">
        <w:rPr>
          <w:rStyle w:val="FootnoteReference"/>
          <w:rFonts w:eastAsia="MS Mincho"/>
          <w:sz w:val="22"/>
          <w:szCs w:val="22"/>
          <w:lang w:eastAsia="ja-JP"/>
        </w:rPr>
        <w:footnoteReference w:id="252"/>
      </w:r>
      <w:r>
        <w:rPr>
          <w:rFonts w:eastAsia="MS Mincho"/>
          <w:szCs w:val="22"/>
          <w:lang w:eastAsia="ja-JP"/>
        </w:rPr>
        <w:t xml:space="preserve">  </w:t>
      </w:r>
      <w:r w:rsidRPr="008B60AE">
        <w:rPr>
          <w:rFonts w:eastAsia="MS Mincho"/>
          <w:szCs w:val="22"/>
          <w:lang w:eastAsia="ja-JP"/>
        </w:rPr>
        <w:t xml:space="preserve">Accordingly, </w:t>
      </w:r>
      <w:r>
        <w:rPr>
          <w:rFonts w:eastAsia="MS Mincho"/>
          <w:szCs w:val="22"/>
          <w:lang w:eastAsia="ja-JP"/>
        </w:rPr>
        <w:t xml:space="preserve">small and </w:t>
      </w:r>
      <w:r w:rsidRPr="008B60AE">
        <w:rPr>
          <w:rFonts w:eastAsia="MS Mincho"/>
          <w:szCs w:val="22"/>
          <w:lang w:eastAsia="ja-JP"/>
        </w:rPr>
        <w:t>rural</w:t>
      </w:r>
      <w:r>
        <w:rPr>
          <w:rFonts w:eastAsia="MS Mincho"/>
          <w:szCs w:val="22"/>
          <w:lang w:eastAsia="ja-JP"/>
        </w:rPr>
        <w:t>, as well as some regional,</w:t>
      </w:r>
      <w:r w:rsidR="00491360">
        <w:rPr>
          <w:rFonts w:eastAsia="MS Mincho"/>
          <w:szCs w:val="22"/>
          <w:lang w:eastAsia="ja-JP"/>
        </w:rPr>
        <w:t xml:space="preserve"> </w:t>
      </w:r>
      <w:r>
        <w:rPr>
          <w:rFonts w:eastAsia="MS Mincho"/>
          <w:szCs w:val="22"/>
          <w:lang w:eastAsia="ja-JP"/>
        </w:rPr>
        <w:t>CMRS providers will likely need to make little additional expenditure</w:t>
      </w:r>
      <w:r w:rsidRPr="008B60AE">
        <w:rPr>
          <w:rFonts w:eastAsia="MS Mincho"/>
          <w:szCs w:val="22"/>
          <w:lang w:eastAsia="ja-JP"/>
        </w:rPr>
        <w:t xml:space="preserve"> </w:t>
      </w:r>
      <w:r>
        <w:rPr>
          <w:rFonts w:eastAsia="MS Mincho"/>
          <w:szCs w:val="22"/>
          <w:lang w:eastAsia="ja-JP"/>
        </w:rPr>
        <w:t xml:space="preserve">to comply with our two and three-year horizontal location accuracy </w:t>
      </w:r>
      <w:r w:rsidRPr="008B60AE">
        <w:rPr>
          <w:rFonts w:eastAsia="MS Mincho"/>
          <w:szCs w:val="22"/>
          <w:lang w:eastAsia="ja-JP"/>
        </w:rPr>
        <w:t xml:space="preserve">requirements.  </w:t>
      </w:r>
      <w:r>
        <w:rPr>
          <w:rFonts w:eastAsia="MS Mincho"/>
          <w:szCs w:val="22"/>
          <w:lang w:eastAsia="ja-JP"/>
        </w:rPr>
        <w:t xml:space="preserve">Similarly, we do not expect </w:t>
      </w:r>
      <w:r w:rsidRPr="008B60AE">
        <w:rPr>
          <w:rFonts w:eastAsia="MS Mincho"/>
          <w:szCs w:val="22"/>
          <w:lang w:eastAsia="ja-JP"/>
        </w:rPr>
        <w:t xml:space="preserve">other providers </w:t>
      </w:r>
      <w:r>
        <w:rPr>
          <w:rFonts w:eastAsia="MS Mincho"/>
          <w:szCs w:val="22"/>
          <w:lang w:eastAsia="ja-JP"/>
        </w:rPr>
        <w:t xml:space="preserve">to </w:t>
      </w:r>
      <w:r w:rsidRPr="008B60AE">
        <w:rPr>
          <w:rFonts w:eastAsia="MS Mincho"/>
          <w:szCs w:val="22"/>
          <w:lang w:eastAsia="ja-JP"/>
        </w:rPr>
        <w:t xml:space="preserve">need to expend </w:t>
      </w:r>
      <w:r>
        <w:rPr>
          <w:rFonts w:eastAsia="MS Mincho"/>
          <w:szCs w:val="22"/>
          <w:lang w:eastAsia="ja-JP"/>
        </w:rPr>
        <w:t xml:space="preserve">substantial </w:t>
      </w:r>
      <w:r w:rsidRPr="008B60AE">
        <w:rPr>
          <w:rFonts w:eastAsia="MS Mincho"/>
          <w:szCs w:val="22"/>
          <w:lang w:eastAsia="ja-JP"/>
        </w:rPr>
        <w:t>additional resources to meet our requirements in</w:t>
      </w:r>
      <w:r>
        <w:rPr>
          <w:rFonts w:eastAsia="MS Mincho"/>
          <w:szCs w:val="22"/>
          <w:lang w:eastAsia="ja-JP"/>
        </w:rPr>
        <w:t xml:space="preserve"> the</w:t>
      </w:r>
      <w:r w:rsidRPr="008B60AE">
        <w:rPr>
          <w:rFonts w:eastAsia="MS Mincho"/>
          <w:szCs w:val="22"/>
          <w:lang w:eastAsia="ja-JP"/>
        </w:rPr>
        <w:t xml:space="preserve"> less densely populated areas</w:t>
      </w:r>
      <w:r>
        <w:rPr>
          <w:rFonts w:eastAsia="MS Mincho"/>
          <w:szCs w:val="22"/>
          <w:lang w:eastAsia="ja-JP"/>
        </w:rPr>
        <w:t xml:space="preserve"> that they serve</w:t>
      </w:r>
      <w:r w:rsidRPr="008B60AE">
        <w:rPr>
          <w:rFonts w:eastAsia="MS Mincho"/>
          <w:szCs w:val="22"/>
          <w:lang w:eastAsia="ja-JP"/>
        </w:rPr>
        <w:t xml:space="preserve">.  </w:t>
      </w:r>
      <w:r>
        <w:rPr>
          <w:rFonts w:eastAsia="MS Mincho"/>
          <w:szCs w:val="22"/>
          <w:lang w:eastAsia="ja-JP"/>
        </w:rPr>
        <w:t>Rather, t</w:t>
      </w:r>
      <w:r w:rsidRPr="008B60AE">
        <w:rPr>
          <w:rFonts w:eastAsia="MS Mincho"/>
          <w:szCs w:val="22"/>
          <w:lang w:eastAsia="ja-JP"/>
        </w:rPr>
        <w:t>h</w:t>
      </w:r>
      <w:r>
        <w:rPr>
          <w:rFonts w:eastAsia="MS Mincho"/>
          <w:szCs w:val="22"/>
          <w:lang w:eastAsia="ja-JP"/>
        </w:rPr>
        <w:t>e non-nationwide</w:t>
      </w:r>
      <w:r w:rsidRPr="008B60AE">
        <w:rPr>
          <w:rFonts w:eastAsia="MS Mincho"/>
          <w:szCs w:val="22"/>
          <w:lang w:eastAsia="ja-JP"/>
        </w:rPr>
        <w:t xml:space="preserve"> providers can </w:t>
      </w:r>
      <w:r>
        <w:rPr>
          <w:rFonts w:eastAsia="MS Mincho"/>
          <w:szCs w:val="22"/>
          <w:lang w:eastAsia="ja-JP"/>
        </w:rPr>
        <w:t>focus</w:t>
      </w:r>
      <w:r w:rsidRPr="008B60AE">
        <w:rPr>
          <w:rFonts w:eastAsia="MS Mincho"/>
          <w:szCs w:val="22"/>
          <w:lang w:eastAsia="ja-JP"/>
        </w:rPr>
        <w:t xml:space="preserve"> their resources </w:t>
      </w:r>
      <w:r>
        <w:rPr>
          <w:rFonts w:eastAsia="MS Mincho"/>
          <w:szCs w:val="22"/>
          <w:lang w:eastAsia="ja-JP"/>
        </w:rPr>
        <w:t xml:space="preserve">on investing for and </w:t>
      </w:r>
      <w:r w:rsidRPr="008B60AE">
        <w:rPr>
          <w:rFonts w:eastAsia="MS Mincho"/>
          <w:szCs w:val="22"/>
          <w:lang w:eastAsia="ja-JP"/>
        </w:rPr>
        <w:t>meeting our indoor</w:t>
      </w:r>
      <w:r>
        <w:rPr>
          <w:rFonts w:eastAsia="MS Mincho"/>
          <w:szCs w:val="22"/>
          <w:lang w:eastAsia="ja-JP"/>
        </w:rPr>
        <w:t>-focused</w:t>
      </w:r>
      <w:r w:rsidRPr="008B60AE">
        <w:rPr>
          <w:rFonts w:eastAsia="MS Mincho"/>
          <w:szCs w:val="22"/>
          <w:lang w:eastAsia="ja-JP"/>
        </w:rPr>
        <w:t xml:space="preserve"> horizontal location requirements in</w:t>
      </w:r>
      <w:r>
        <w:rPr>
          <w:rFonts w:eastAsia="MS Mincho"/>
          <w:szCs w:val="22"/>
          <w:lang w:eastAsia="ja-JP"/>
        </w:rPr>
        <w:t xml:space="preserve"> years five and six as set forth below.</w:t>
      </w:r>
      <w:r w:rsidRPr="008B60AE">
        <w:rPr>
          <w:rFonts w:eastAsia="MS Mincho"/>
          <w:szCs w:val="22"/>
          <w:lang w:eastAsia="ja-JP"/>
        </w:rPr>
        <w:t xml:space="preserve"> </w:t>
      </w:r>
      <w:r w:rsidR="00770F55" w:rsidRPr="008B60AE">
        <w:rPr>
          <w:rFonts w:eastAsia="MS Mincho"/>
          <w:szCs w:val="22"/>
          <w:lang w:eastAsia="ja-JP"/>
        </w:rPr>
        <w:t xml:space="preserve"> </w:t>
      </w:r>
    </w:p>
    <w:p w14:paraId="4A3904D6" w14:textId="1AADF78A" w:rsidR="00D14787" w:rsidRPr="00D062B8" w:rsidRDefault="00EB605C" w:rsidP="00D062B8">
      <w:pPr>
        <w:pStyle w:val="ParaNum"/>
        <w:tabs>
          <w:tab w:val="clear" w:pos="1440"/>
        </w:tabs>
        <w:rPr>
          <w:szCs w:val="22"/>
        </w:rPr>
      </w:pPr>
      <w:r>
        <w:t>Moreover</w:t>
      </w:r>
      <w:r w:rsidR="00770F55">
        <w:t xml:space="preserve">, our existing E911 exclusions apply only to outdoor areas in which naturally-formed physical characteristics of the area prevent the CMRS provider from obtaining accurate location information on the 911 caller.  Because the rules we adopt today are focused on </w:t>
      </w:r>
      <w:r w:rsidR="00770F55" w:rsidRPr="00D84BC7">
        <w:t>indoor</w:t>
      </w:r>
      <w:r w:rsidR="00770F55">
        <w:t xml:space="preserve"> 911 calls – which are not hindered by naturally-formed physical characteristics – there is no need to adopt similar exclusions here.  Moreover, applying these requirements uniformly nationwide is consistent with the principle that improving 911 location is just as important in the least populous markets as in the most populous</w:t>
      </w:r>
      <w:r w:rsidR="0047111D">
        <w:t>.</w:t>
      </w:r>
    </w:p>
    <w:p w14:paraId="087B5EB0" w14:textId="392AC770" w:rsidR="00D14787" w:rsidRPr="00D062B8" w:rsidRDefault="00D14787" w:rsidP="00D062B8">
      <w:pPr>
        <w:pStyle w:val="ParaNum"/>
        <w:tabs>
          <w:tab w:val="clear" w:pos="1440"/>
        </w:tabs>
        <w:rPr>
          <w:szCs w:val="22"/>
        </w:rPr>
      </w:pPr>
      <w:r>
        <w:t>First, f</w:t>
      </w:r>
      <w:r w:rsidR="00EB605C" w:rsidRPr="00EB605C">
        <w:t xml:space="preserve">or compliance with the horizontal indoor location metrics, we require that the non-nationwide CMRS providers provide either dispatchable location or x/y location within 50 meters for the same percentages of all wireless 911 calls, applicable to the nationwide providers, 40 and 50 percent at the </w:t>
      </w:r>
      <w:r>
        <w:t>two</w:t>
      </w:r>
      <w:r w:rsidR="00EB605C" w:rsidRPr="00EB605C">
        <w:t xml:space="preserve">-year and </w:t>
      </w:r>
      <w:r>
        <w:t>three</w:t>
      </w:r>
      <w:r w:rsidR="00EB605C" w:rsidRPr="00EB605C">
        <w:t xml:space="preserve">-year timeframes, respectively, that are measured from the Effective Date.  </w:t>
      </w:r>
      <w:r>
        <w:t>As noted above, t</w:t>
      </w:r>
      <w:r w:rsidR="00EB605C" w:rsidRPr="00EB605C">
        <w:t xml:space="preserve">he record shows that non-nationwide </w:t>
      </w:r>
      <w:r w:rsidR="005C20D1">
        <w:t>CMRS provider</w:t>
      </w:r>
      <w:r w:rsidR="00EB605C" w:rsidRPr="00EB605C">
        <w:t xml:space="preserve">s that use handset-based location technologies already rely extensively on satellite-based location technologies.  </w:t>
      </w:r>
      <w:r>
        <w:t>Further, our</w:t>
      </w:r>
      <w:r w:rsidR="00EB605C" w:rsidRPr="00EB605C">
        <w:t xml:space="preserve"> requirement allows them to </w:t>
      </w:r>
      <w:r w:rsidR="00A91A6C">
        <w:t xml:space="preserve">comply with </w:t>
      </w:r>
      <w:r w:rsidR="00EB605C" w:rsidRPr="00EB605C">
        <w:t xml:space="preserve">the indoor-based location accuracy requirements by using any location technologies or combinations thereof.  </w:t>
      </w:r>
      <w:r>
        <w:t>Simila</w:t>
      </w:r>
      <w:r w:rsidR="00EB605C" w:rsidRPr="00EB605C">
        <w:t xml:space="preserve">rly, current network-based non-nationwide CMRS providers can </w:t>
      </w:r>
      <w:r>
        <w:t xml:space="preserve">either </w:t>
      </w:r>
      <w:r w:rsidR="00EB605C" w:rsidRPr="00EB605C">
        <w:t xml:space="preserve">continue to use their non-satellite technologies that provide x/y coordinates or combine them with implementing hybrid location technologies within the initial timeframes we require.  </w:t>
      </w:r>
      <w:r w:rsidR="00EE2E1F" w:rsidRPr="00EB605C">
        <w:t xml:space="preserve">These </w:t>
      </w:r>
      <w:r w:rsidR="00EE2E1F">
        <w:t>providers</w:t>
      </w:r>
      <w:r w:rsidR="00EB605C" w:rsidRPr="00EB605C">
        <w:t xml:space="preserve"> also have the option and incentive to commence working on dispatchable location technologies and resources to satisfy</w:t>
      </w:r>
      <w:r>
        <w:t xml:space="preserve"> both our </w:t>
      </w:r>
      <w:r w:rsidR="00EB605C" w:rsidRPr="00EB605C">
        <w:t>horizontal and vertical requirements.</w:t>
      </w:r>
      <w:r>
        <w:rPr>
          <w:rStyle w:val="FootnoteReference"/>
        </w:rPr>
        <w:footnoteReference w:id="253"/>
      </w:r>
    </w:p>
    <w:p w14:paraId="656DFD76" w14:textId="65B12BF6" w:rsidR="00F62DB8" w:rsidRPr="001C5153" w:rsidRDefault="00F62DB8" w:rsidP="00F62DB8">
      <w:pPr>
        <w:pStyle w:val="ParaNum"/>
      </w:pPr>
      <w:r>
        <w:t xml:space="preserve">Second, compared to the horizontal location metrics for years five and six under the Roadmap, </w:t>
      </w:r>
      <w:r w:rsidRPr="00D14787">
        <w:t>we require that non-nationwide CMRS providers that have deployed a commercially</w:t>
      </w:r>
      <w:r w:rsidR="00474CA2">
        <w:t xml:space="preserve"> </w:t>
      </w:r>
      <w:r w:rsidRPr="00D14787">
        <w:t>operating VoLTE platform in their network</w:t>
      </w:r>
      <w:r>
        <w:rPr>
          <w:rStyle w:val="FootnoteReference"/>
        </w:rPr>
        <w:footnoteReference w:id="254"/>
      </w:r>
      <w:r w:rsidRPr="00D14787">
        <w:t xml:space="preserve"> shall provide dispatchable location or x/y location within 50 meters for the same percentages of all wireless 911 calls applicable to the nationwide providers as follows: (i) 70 percent within the later of five years or six months of deploying a  commercially</w:t>
      </w:r>
      <w:r w:rsidR="00474CA2">
        <w:t xml:space="preserve"> </w:t>
      </w:r>
      <w:r w:rsidRPr="00D14787">
        <w:t>operating VoLTE platform, and (ii) 80 percent of all wireless 911 calls within the later of six years or one year of deploying a commercially</w:t>
      </w:r>
      <w:r w:rsidR="00474CA2">
        <w:t xml:space="preserve"> </w:t>
      </w:r>
      <w:r w:rsidRPr="00D14787">
        <w:t>operating VoLTE platform.</w:t>
      </w:r>
      <w:r>
        <w:t xml:space="preserve">  We </w:t>
      </w:r>
      <w:r w:rsidRPr="001C5153">
        <w:t xml:space="preserve">agree with CCA that the disadvantages </w:t>
      </w:r>
      <w:r>
        <w:t xml:space="preserve">non-nationwide </w:t>
      </w:r>
      <w:r w:rsidR="005C20D1">
        <w:t>CMRS provider</w:t>
      </w:r>
      <w:r w:rsidRPr="001C5153">
        <w:t xml:space="preserve">s face in deploying LTE networks warrant flexibility </w:t>
      </w:r>
      <w:r>
        <w:t xml:space="preserve">as they </w:t>
      </w:r>
      <w:r w:rsidRPr="001C5153">
        <w:t>migrat</w:t>
      </w:r>
      <w:r>
        <w:t xml:space="preserve">e </w:t>
      </w:r>
      <w:r w:rsidRPr="001C5153">
        <w:t xml:space="preserve">to VoLTE networks </w:t>
      </w:r>
      <w:r>
        <w:t>over the next few years.</w:t>
      </w:r>
      <w:r>
        <w:rPr>
          <w:rStyle w:val="FootnoteReference"/>
        </w:rPr>
        <w:footnoteReference w:id="255"/>
      </w:r>
      <w:r>
        <w:t xml:space="preserve">  </w:t>
      </w:r>
      <w:r w:rsidR="00A92A68">
        <w:t>N</w:t>
      </w:r>
      <w:r w:rsidRPr="0043508E">
        <w:t xml:space="preserve">on-nationwide providers are not on the same LTE and VoLTE deployment timelines as the nationwide </w:t>
      </w:r>
      <w:r w:rsidR="005C20D1">
        <w:t>provider</w:t>
      </w:r>
      <w:r w:rsidRPr="0043508E">
        <w:t>s</w:t>
      </w:r>
      <w:r>
        <w:t xml:space="preserve">.  </w:t>
      </w:r>
      <w:r w:rsidR="00A92A68">
        <w:t xml:space="preserve">As </w:t>
      </w:r>
      <w:r w:rsidRPr="003437DD">
        <w:t xml:space="preserve">CCA </w:t>
      </w:r>
      <w:r w:rsidR="00A92A68">
        <w:t>notes, non-nationwide providers face “</w:t>
      </w:r>
      <w:r w:rsidRPr="003437DD">
        <w:t>resource constraints, spectrum constraints, and lack of equipment availability</w:t>
      </w:r>
      <w:r w:rsidR="00A92A68">
        <w:t>” that mean they “</w:t>
      </w:r>
      <w:r w:rsidRPr="003437DD">
        <w:t>are often not able to deploy LTE (much less VoLTE) on the same or even similar timeline as the nationwide carriers.”</w:t>
      </w:r>
      <w:r>
        <w:rPr>
          <w:rStyle w:val="FootnoteReference"/>
        </w:rPr>
        <w:footnoteReference w:id="256"/>
      </w:r>
      <w:r w:rsidRPr="003437DD">
        <w:t xml:space="preserve"> </w:t>
      </w:r>
      <w:r>
        <w:t xml:space="preserve">More specifically, </w:t>
      </w:r>
      <w:r w:rsidR="00A92A68">
        <w:t xml:space="preserve">due to the limited scale and scope of their networks, </w:t>
      </w:r>
      <w:r>
        <w:t xml:space="preserve">non-nationwide </w:t>
      </w:r>
      <w:r w:rsidR="005C20D1">
        <w:t>CMRS provider</w:t>
      </w:r>
      <w:r>
        <w:t xml:space="preserve">s </w:t>
      </w:r>
      <w:r w:rsidR="00A92A68">
        <w:t xml:space="preserve">often have </w:t>
      </w:r>
      <w:r>
        <w:t xml:space="preserve">limited </w:t>
      </w:r>
      <w:r w:rsidR="00A92A68">
        <w:t xml:space="preserve">access to </w:t>
      </w:r>
      <w:r>
        <w:t>handset</w:t>
      </w:r>
      <w:r w:rsidR="00A92A68">
        <w:t>s</w:t>
      </w:r>
      <w:r>
        <w:t xml:space="preserve"> that incorporate the latest technologies driven by the handset product cycles of the nationwide CMRS providers.</w:t>
      </w:r>
      <w:r>
        <w:rPr>
          <w:rStyle w:val="FootnoteReference"/>
        </w:rPr>
        <w:footnoteReference w:id="257"/>
      </w:r>
      <w:r>
        <w:t xml:space="preserve">  </w:t>
      </w:r>
      <w:r w:rsidR="00A92A68">
        <w:t>In light of the</w:t>
      </w:r>
      <w:r w:rsidR="00F87FA1">
        <w:t>se</w:t>
      </w:r>
      <w:r w:rsidR="00A92A68">
        <w:t xml:space="preserve"> challenges</w:t>
      </w:r>
      <w:r w:rsidR="00F87FA1">
        <w:t xml:space="preserve">, some non-nationwide provides may face unavoidable delays in obtaining VoLTE-capable handsets and testing and deploying them in </w:t>
      </w:r>
      <w:r>
        <w:t>their networks.</w:t>
      </w:r>
      <w:r>
        <w:rPr>
          <w:rStyle w:val="FootnoteReference"/>
        </w:rPr>
        <w:footnoteReference w:id="258"/>
      </w:r>
      <w:r>
        <w:t xml:space="preserve">  </w:t>
      </w:r>
      <w:r w:rsidR="00F87FA1">
        <w:t xml:space="preserve">Therefore, we conclude it is reasonable to </w:t>
      </w:r>
      <w:r>
        <w:t xml:space="preserve">provide non-nationwide CMRS providers </w:t>
      </w:r>
      <w:r w:rsidR="00F87FA1">
        <w:t xml:space="preserve">with greater flexibility than the nationwide providers to </w:t>
      </w:r>
      <w:r>
        <w:t xml:space="preserve">extend </w:t>
      </w:r>
      <w:r w:rsidR="00F87FA1">
        <w:t xml:space="preserve">the five and six-year benchmarks until they have had a reasonable opportunity to deploy and begin offering VoLTE on their networks. </w:t>
      </w:r>
      <w:r w:rsidR="00501405">
        <w:t xml:space="preserve"> </w:t>
      </w:r>
      <w:r w:rsidR="00F87FA1">
        <w:t xml:space="preserve">This </w:t>
      </w:r>
      <w:r w:rsidRPr="00DD2BC1">
        <w:t xml:space="preserve">additional </w:t>
      </w:r>
      <w:r w:rsidR="00F87FA1">
        <w:t xml:space="preserve">flexibility will enable </w:t>
      </w:r>
      <w:r>
        <w:t xml:space="preserve">non-nationwide </w:t>
      </w:r>
      <w:r w:rsidRPr="00DD2BC1">
        <w:t xml:space="preserve">small </w:t>
      </w:r>
      <w:r w:rsidR="005C20D1">
        <w:t>CMRS provider</w:t>
      </w:r>
      <w:r w:rsidRPr="00DD2BC1">
        <w:t xml:space="preserve">s </w:t>
      </w:r>
      <w:r w:rsidR="00F87FA1">
        <w:t xml:space="preserve">to </w:t>
      </w:r>
      <w:r w:rsidRPr="00DD2BC1">
        <w:t>i</w:t>
      </w:r>
      <w:r w:rsidR="004E6080">
        <w:t xml:space="preserve">ntegrate </w:t>
      </w:r>
      <w:r>
        <w:t xml:space="preserve">the </w:t>
      </w:r>
      <w:r w:rsidRPr="00DD2BC1">
        <w:t xml:space="preserve">measures </w:t>
      </w:r>
      <w:r w:rsidR="00F87FA1">
        <w:t xml:space="preserve">needed to meet our location accuracy standards </w:t>
      </w:r>
      <w:r w:rsidR="004E6080">
        <w:t xml:space="preserve">into </w:t>
      </w:r>
      <w:r w:rsidRPr="00DD2BC1">
        <w:t>their plans</w:t>
      </w:r>
      <w:r>
        <w:t xml:space="preserve"> to acquire, test, and deploy VoLTE handsets </w:t>
      </w:r>
      <w:r w:rsidR="00F87FA1">
        <w:t>and network</w:t>
      </w:r>
      <w:r w:rsidR="004E6080">
        <w:t>s.</w:t>
      </w:r>
    </w:p>
    <w:p w14:paraId="2221A32D" w14:textId="77777777" w:rsidR="00104ED4" w:rsidRPr="008B60AE" w:rsidRDefault="00104ED4" w:rsidP="00104ED4">
      <w:pPr>
        <w:pStyle w:val="Heading3"/>
        <w:rPr>
          <w:szCs w:val="22"/>
        </w:rPr>
      </w:pPr>
      <w:bookmarkStart w:id="243" w:name="_Toc407796241"/>
      <w:bookmarkStart w:id="244" w:name="_Toc408400451"/>
      <w:bookmarkStart w:id="245" w:name="_Toc408400502"/>
      <w:bookmarkStart w:id="246" w:name="_Toc408400557"/>
      <w:bookmarkStart w:id="247" w:name="_Toc408403115"/>
      <w:bookmarkStart w:id="248" w:name="_Toc408421327"/>
      <w:bookmarkStart w:id="249" w:name="_Toc408490569"/>
      <w:bookmarkStart w:id="250" w:name="_Toc408496214"/>
      <w:bookmarkStart w:id="251" w:name="_Toc408502415"/>
      <w:bookmarkStart w:id="252" w:name="_Ref409179723"/>
      <w:bookmarkStart w:id="253" w:name="_Toc410119087"/>
      <w:bookmarkStart w:id="254" w:name="_Toc410123666"/>
      <w:bookmarkStart w:id="255" w:name="_Toc410124648"/>
      <w:bookmarkStart w:id="256" w:name="_Toc410124728"/>
      <w:bookmarkStart w:id="257" w:name="_Toc410146122"/>
      <w:bookmarkStart w:id="258" w:name="_Toc410212646"/>
      <w:bookmarkStart w:id="259" w:name="_Toc410648287"/>
      <w:bookmarkStart w:id="260" w:name="_Toc405298475"/>
      <w:bookmarkStart w:id="261" w:name="_Toc406513845"/>
      <w:bookmarkStart w:id="262" w:name="_Toc379903266"/>
      <w:bookmarkStart w:id="263" w:name="_Toc379907045"/>
      <w:bookmarkStart w:id="264" w:name="_Toc380482085"/>
      <w:bookmarkStart w:id="265" w:name="_Toc380483078"/>
      <w:bookmarkStart w:id="266" w:name="_Toc380569150"/>
      <w:bookmarkStart w:id="267" w:name="_Toc380580338"/>
      <w:bookmarkStart w:id="268" w:name="_Toc380581406"/>
      <w:bookmarkStart w:id="269" w:name="_Toc380584396"/>
      <w:bookmarkStart w:id="270" w:name="_Toc380673874"/>
      <w:r w:rsidRPr="008B60AE">
        <w:rPr>
          <w:szCs w:val="22"/>
        </w:rPr>
        <w:t>Vertical Location Information</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sidRPr="008B60AE">
        <w:rPr>
          <w:szCs w:val="22"/>
        </w:rPr>
        <w:t xml:space="preserve"> </w:t>
      </w:r>
    </w:p>
    <w:p w14:paraId="7F7DBF26" w14:textId="77777777" w:rsidR="00104ED4" w:rsidRDefault="00104ED4" w:rsidP="00104ED4">
      <w:pPr>
        <w:pStyle w:val="Heading4"/>
      </w:pPr>
      <w:bookmarkStart w:id="271" w:name="_Toc408400503"/>
      <w:bookmarkStart w:id="272" w:name="_Toc408400558"/>
      <w:bookmarkStart w:id="273" w:name="_Toc408490570"/>
      <w:bookmarkStart w:id="274" w:name="_Ref409185481"/>
      <w:bookmarkStart w:id="275" w:name="_Ref409185487"/>
      <w:r>
        <w:t>Background</w:t>
      </w:r>
      <w:bookmarkEnd w:id="271"/>
      <w:bookmarkEnd w:id="272"/>
      <w:bookmarkEnd w:id="273"/>
      <w:bookmarkEnd w:id="274"/>
      <w:bookmarkEnd w:id="275"/>
    </w:p>
    <w:p w14:paraId="161B11CA" w14:textId="77777777" w:rsidR="00104ED4" w:rsidRDefault="00104ED4" w:rsidP="00104ED4">
      <w:pPr>
        <w:pStyle w:val="ParaNum"/>
      </w:pPr>
      <w:r>
        <w:t>In the</w:t>
      </w:r>
      <w:r w:rsidRPr="00C659A0">
        <w:t xml:space="preserve"> </w:t>
      </w:r>
      <w:r w:rsidRPr="00A769F6">
        <w:rPr>
          <w:i/>
        </w:rPr>
        <w:t>Third Further Notice</w:t>
      </w:r>
      <w:r>
        <w:t xml:space="preserve">, we </w:t>
      </w:r>
      <w:r w:rsidRPr="00C937BA">
        <w:rPr>
          <w:szCs w:val="22"/>
        </w:rPr>
        <w:t>proposed that CMRS providers identify an indoor caller’s vertical location within 3 meters for 67 percent of calls within three years</w:t>
      </w:r>
      <w:r w:rsidR="00E46116">
        <w:rPr>
          <w:szCs w:val="22"/>
        </w:rPr>
        <w:t>,</w:t>
      </w:r>
      <w:r w:rsidRPr="00C937BA">
        <w:rPr>
          <w:szCs w:val="22"/>
        </w:rPr>
        <w:t xml:space="preserve"> and for 80 percent of calls within five years.</w:t>
      </w:r>
      <w:r w:rsidRPr="008B60AE">
        <w:rPr>
          <w:rStyle w:val="FootnoteReference"/>
          <w:rFonts w:eastAsiaTheme="majorEastAsia"/>
          <w:szCs w:val="22"/>
        </w:rPr>
        <w:footnoteReference w:id="259"/>
      </w:r>
      <w:r>
        <w:rPr>
          <w:szCs w:val="22"/>
        </w:rPr>
        <w:t xml:space="preserve">  We noted </w:t>
      </w:r>
      <w:r>
        <w:t>that at least one vendor had</w:t>
      </w:r>
      <w:r w:rsidRPr="00492FBD">
        <w:t xml:space="preserve"> developed </w:t>
      </w:r>
      <w:r>
        <w:t xml:space="preserve">and tested </w:t>
      </w:r>
      <w:r w:rsidRPr="00492FBD">
        <w:t xml:space="preserve">vertical location technology that </w:t>
      </w:r>
      <w:r>
        <w:t>could</w:t>
      </w:r>
      <w:r w:rsidRPr="00492FBD">
        <w:t xml:space="preserve"> locate callers to within 2.9 meters at the 90</w:t>
      </w:r>
      <w:r w:rsidRPr="00A769F6">
        <w:rPr>
          <w:vertAlign w:val="superscript"/>
        </w:rPr>
        <w:t>th</w:t>
      </w:r>
      <w:r w:rsidRPr="00492FBD">
        <w:t xml:space="preserve"> percentile</w:t>
      </w:r>
      <w:r w:rsidRPr="00492FBD">
        <w:rPr>
          <w:vertAlign w:val="superscript"/>
        </w:rPr>
        <w:footnoteReference w:id="260"/>
      </w:r>
      <w:r>
        <w:t xml:space="preserve"> and</w:t>
      </w:r>
      <w:r w:rsidRPr="00492FBD">
        <w:t xml:space="preserve"> demonstrated improvements </w:t>
      </w:r>
      <w:r>
        <w:t>in subsequent testing,</w:t>
      </w:r>
      <w:r w:rsidRPr="00492FBD">
        <w:rPr>
          <w:vertAlign w:val="superscript"/>
        </w:rPr>
        <w:footnoteReference w:id="261"/>
      </w:r>
      <w:r>
        <w:t xml:space="preserve"> and </w:t>
      </w:r>
      <w:r w:rsidRPr="00C659A0">
        <w:t>other</w:t>
      </w:r>
      <w:r>
        <w:t xml:space="preserve"> vendor</w:t>
      </w:r>
      <w:r w:rsidRPr="00C659A0">
        <w:t>s estimated having similar granular capabilities within three to five years.</w:t>
      </w:r>
      <w:r w:rsidRPr="00C659A0">
        <w:rPr>
          <w:vertAlign w:val="superscript"/>
        </w:rPr>
        <w:footnoteReference w:id="262"/>
      </w:r>
      <w:r w:rsidRPr="00C659A0">
        <w:t xml:space="preserve">  </w:t>
      </w:r>
      <w:r>
        <w:t xml:space="preserve">Moreover, by the time </w:t>
      </w:r>
      <w:r w:rsidRPr="00C659A0">
        <w:t xml:space="preserve">the </w:t>
      </w:r>
      <w:r w:rsidRPr="000B719A">
        <w:rPr>
          <w:i/>
        </w:rPr>
        <w:t>Third Further Notice</w:t>
      </w:r>
      <w:r w:rsidRPr="00C659A0">
        <w:t xml:space="preserve"> was released, nearly all smartphones had been equipped with sensors that can determine speed, compass direction, and movement</w:t>
      </w:r>
      <w:r>
        <w:t xml:space="preserve">, </w:t>
      </w:r>
      <w:r w:rsidR="006675CB">
        <w:t>and in some cases,</w:t>
      </w:r>
      <w:r>
        <w:t xml:space="preserve"> height above sea level</w:t>
      </w:r>
      <w:r w:rsidRPr="00C659A0">
        <w:t>.</w:t>
      </w:r>
      <w:r w:rsidRPr="00C659A0">
        <w:rPr>
          <w:vertAlign w:val="superscript"/>
        </w:rPr>
        <w:footnoteReference w:id="263"/>
      </w:r>
      <w:r w:rsidRPr="00C659A0">
        <w:t xml:space="preserve">  </w:t>
      </w:r>
      <w:r>
        <w:t>These</w:t>
      </w:r>
      <w:r w:rsidRPr="00C659A0">
        <w:t xml:space="preserve"> developments</w:t>
      </w:r>
      <w:r>
        <w:t xml:space="preserve"> indicated</w:t>
      </w:r>
      <w:r w:rsidRPr="00C659A0">
        <w:t xml:space="preserve"> that vertical location technology had </w:t>
      </w:r>
      <w:r>
        <w:t xml:space="preserve">sufficiently </w:t>
      </w:r>
      <w:r w:rsidRPr="00C659A0">
        <w:t xml:space="preserve">matured to propose the inclusion of </w:t>
      </w:r>
      <w:r>
        <w:t>vertical</w:t>
      </w:r>
      <w:r w:rsidRPr="00C659A0">
        <w:t xml:space="preserve"> location information for </w:t>
      </w:r>
      <w:r>
        <w:t xml:space="preserve">indoor </w:t>
      </w:r>
      <w:r w:rsidRPr="00C659A0">
        <w:t>wireless 911 calls.</w:t>
      </w:r>
      <w:r w:rsidRPr="00C659A0">
        <w:rPr>
          <w:rStyle w:val="FootnoteReference"/>
          <w:rFonts w:eastAsiaTheme="majorEastAsia"/>
        </w:rPr>
        <w:footnoteReference w:id="264"/>
      </w:r>
      <w:r w:rsidRPr="00C659A0">
        <w:t xml:space="preserve">  </w:t>
      </w:r>
      <w:r>
        <w:t>We sought</w:t>
      </w:r>
      <w:r w:rsidRPr="00492FBD">
        <w:t xml:space="preserve"> comment on whether a</w:t>
      </w:r>
      <w:r>
        <w:t>n initial</w:t>
      </w:r>
      <w:r w:rsidRPr="00492FBD">
        <w:t xml:space="preserve"> </w:t>
      </w:r>
      <w:r>
        <w:t>benchmark</w:t>
      </w:r>
      <w:r w:rsidRPr="00492FBD">
        <w:t xml:space="preserve"> of three years would be achievable</w:t>
      </w:r>
      <w:r>
        <w:t>.</w:t>
      </w:r>
      <w:r w:rsidRPr="00FB4EC6">
        <w:rPr>
          <w:rStyle w:val="FootnoteReference"/>
          <w:rFonts w:eastAsiaTheme="majorEastAsia"/>
        </w:rPr>
        <w:footnoteReference w:id="265"/>
      </w:r>
      <w:r w:rsidRPr="00FB4EC6">
        <w:t xml:space="preserve">  </w:t>
      </w:r>
    </w:p>
    <w:p w14:paraId="278624F6" w14:textId="17570A6E" w:rsidR="00104ED4" w:rsidRPr="00B83258" w:rsidRDefault="00104ED4" w:rsidP="00C57F6C">
      <w:pPr>
        <w:pStyle w:val="ParaNum"/>
        <w:widowControl/>
      </w:pPr>
      <w:r w:rsidRPr="00F87372">
        <w:t xml:space="preserve">Public </w:t>
      </w:r>
      <w:r>
        <w:t>s</w:t>
      </w:r>
      <w:r w:rsidRPr="00F87372">
        <w:t xml:space="preserve">afety and </w:t>
      </w:r>
      <w:r>
        <w:t xml:space="preserve">consumer </w:t>
      </w:r>
      <w:r w:rsidRPr="00F87372">
        <w:t>commenters urge the Commission to adopt indoor location accuracy requirements as quickly as possible</w:t>
      </w:r>
      <w:r>
        <w:t>,</w:t>
      </w:r>
      <w:r w:rsidRPr="00F87372">
        <w:rPr>
          <w:rStyle w:val="FootnoteReference"/>
          <w:rFonts w:eastAsiaTheme="majorEastAsia"/>
        </w:rPr>
        <w:footnoteReference w:id="266"/>
      </w:r>
      <w:r>
        <w:t xml:space="preserve"> but the record is divided with regard to the technical feasibility of the proposed vertical location accuracy requirements and timeframe for implementation.  Some commenters argue that the proposed requirements are technically feasible, particularly if multifaceted approaches are used.</w:t>
      </w:r>
      <w:r>
        <w:rPr>
          <w:rStyle w:val="FootnoteReference"/>
          <w:rFonts w:eastAsiaTheme="majorEastAsia"/>
        </w:rPr>
        <w:footnoteReference w:id="267"/>
      </w:r>
      <w:r>
        <w:t xml:space="preserve">  Other commenters, however, argue that current vertical</w:t>
      </w:r>
      <w:r w:rsidRPr="005F0782">
        <w:t xml:space="preserve"> </w:t>
      </w:r>
      <w:r>
        <w:t>location technologies are not sufficiently precise to</w:t>
      </w:r>
      <w:r w:rsidRPr="005F0782">
        <w:t xml:space="preserve"> support the </w:t>
      </w:r>
      <w:r>
        <w:t xml:space="preserve">proposed level of vertical accuracy, and that it will take significantly more time than estimated in the </w:t>
      </w:r>
      <w:r w:rsidRPr="000D0419">
        <w:rPr>
          <w:i/>
        </w:rPr>
        <w:t>Third Further Notice</w:t>
      </w:r>
      <w:r>
        <w:t xml:space="preserve"> to achieve such accuracy levels.</w:t>
      </w:r>
      <w:r>
        <w:rPr>
          <w:rStyle w:val="FootnoteReference"/>
          <w:rFonts w:eastAsiaTheme="majorEastAsia"/>
        </w:rPr>
        <w:footnoteReference w:id="268"/>
      </w:r>
      <w:r>
        <w:t xml:space="preserve">  </w:t>
      </w:r>
      <w:r w:rsidRPr="00B83258">
        <w:t xml:space="preserve">  </w:t>
      </w:r>
      <w:r>
        <w:t xml:space="preserve">  </w:t>
      </w:r>
      <w:r w:rsidRPr="00B83258">
        <w:t xml:space="preserve">   </w:t>
      </w:r>
    </w:p>
    <w:p w14:paraId="6044BC25" w14:textId="298DFCE3" w:rsidR="00104ED4" w:rsidRDefault="00104ED4" w:rsidP="00104ED4">
      <w:pPr>
        <w:pStyle w:val="ParaNum"/>
      </w:pPr>
      <w:r>
        <w:t xml:space="preserve">The comments suggest two potential paths for providing </w:t>
      </w:r>
      <w:r w:rsidR="001A5885">
        <w:t>floor-</w:t>
      </w:r>
      <w:r>
        <w:t xml:space="preserve">level information with indoor 911 calls: (1) </w:t>
      </w:r>
      <w:r w:rsidR="00D57B0D">
        <w:t xml:space="preserve">programming physical fixed infrastructure such as beacons or Wi-Fi access points with accurate </w:t>
      </w:r>
      <w:r w:rsidR="001A5885">
        <w:t>floor-</w:t>
      </w:r>
      <w:r w:rsidR="00D57B0D">
        <w:t>level information</w:t>
      </w:r>
      <w:r>
        <w:t xml:space="preserve">, and (2) </w:t>
      </w:r>
      <w:r w:rsidR="00D57B0D">
        <w:t>using</w:t>
      </w:r>
      <w:r>
        <w:t xml:space="preserve"> barometric pressure sensors in handsets to determine the caller’s altitude, which is then used to </w:t>
      </w:r>
      <w:r w:rsidR="00D57B0D">
        <w:t xml:space="preserve">identify </w:t>
      </w:r>
      <w:r>
        <w:t>the caller’s floor level.</w:t>
      </w:r>
      <w:r>
        <w:rPr>
          <w:rStyle w:val="FootnoteReference"/>
        </w:rPr>
        <w:footnoteReference w:id="269"/>
      </w:r>
      <w:r>
        <w:t xml:space="preserve">  With respect to the second option, commenters note that barometric sensors are increasingly common in handsets, and some analysts project that the number of smartphones equipped with such sensors will increase to 681 million new units per year in 2016.</w:t>
      </w:r>
      <w:r>
        <w:rPr>
          <w:rStyle w:val="FootnoteReference"/>
          <w:rFonts w:eastAsiaTheme="majorEastAsia"/>
        </w:rPr>
        <w:footnoteReference w:id="270"/>
      </w:r>
      <w:r>
        <w:t xml:space="preserve">  Bosch, a leading international supplier of sensors, notes that the large volume of sensors being produced has resulted in significant economies of scale, which it estimates will drive the per-unit cost downward to between $0.24 and $0.35 by 2017.</w:t>
      </w:r>
      <w:r>
        <w:rPr>
          <w:rStyle w:val="FootnoteReference"/>
          <w:rFonts w:eastAsiaTheme="majorEastAsia"/>
        </w:rPr>
        <w:footnoteReference w:id="271"/>
      </w:r>
      <w:r>
        <w:t xml:space="preserve">  </w:t>
      </w:r>
      <w:r w:rsidRPr="0060131D">
        <w:t xml:space="preserve"> </w:t>
      </w:r>
    </w:p>
    <w:p w14:paraId="47F2BBEC" w14:textId="77777777" w:rsidR="00104ED4" w:rsidRDefault="00104ED4" w:rsidP="00EE2E1F">
      <w:pPr>
        <w:pStyle w:val="ParaNum"/>
        <w:widowControl/>
      </w:pPr>
      <w:r>
        <w:t>Despite the widespread commercial availability of barometric sensors, CMRS providers question the accuracy of the current generation of sensors and argue that it will take significant time to develop and standardize barometrically-generated vertical location information for 911 calls.</w:t>
      </w:r>
      <w:r>
        <w:rPr>
          <w:rStyle w:val="FootnoteReference"/>
          <w:rFonts w:eastAsiaTheme="majorEastAsia"/>
        </w:rPr>
        <w:footnoteReference w:id="272"/>
      </w:r>
      <w:r>
        <w:t xml:space="preserve">  These commenters stress that barometer readings must be calibrated in order to provide first responders with meaningful information, a process which is currently unstandardized.</w:t>
      </w:r>
      <w:r>
        <w:rPr>
          <w:rStyle w:val="FootnoteReference"/>
          <w:rFonts w:eastAsiaTheme="majorEastAsia"/>
        </w:rPr>
        <w:footnoteReference w:id="273"/>
      </w:r>
      <w:r>
        <w:t xml:space="preserve">  </w:t>
      </w:r>
      <w:r w:rsidR="001A5885">
        <w:t xml:space="preserve">However, </w:t>
      </w:r>
      <w:r>
        <w:t xml:space="preserve">NENA and several vendor commenters submit that calibration is not a difficult process, and that while calibrated data </w:t>
      </w:r>
      <w:r w:rsidR="00D57B0D">
        <w:t xml:space="preserve">would provide more accurate information and </w:t>
      </w:r>
      <w:r>
        <w:t>is preferable, even uncalibrated data would be useful to first responders.</w:t>
      </w:r>
      <w:r>
        <w:rPr>
          <w:rStyle w:val="FootnoteReference"/>
          <w:rFonts w:eastAsiaTheme="majorEastAsia"/>
        </w:rPr>
        <w:footnoteReference w:id="274"/>
      </w:r>
      <w:r>
        <w:t xml:space="preserve">   </w:t>
      </w:r>
      <w:r w:rsidRPr="000C150E">
        <w:t xml:space="preserve">  </w:t>
      </w:r>
    </w:p>
    <w:p w14:paraId="46201677" w14:textId="64B9460A" w:rsidR="00104ED4" w:rsidRPr="00CC09AE" w:rsidRDefault="00104ED4" w:rsidP="00104ED4">
      <w:pPr>
        <w:pStyle w:val="ParaNum"/>
      </w:pPr>
      <w:r w:rsidRPr="00CC09AE">
        <w:rPr>
          <w:szCs w:val="22"/>
        </w:rPr>
        <w:t>The Roadmap</w:t>
      </w:r>
      <w:r w:rsidR="004B1701">
        <w:rPr>
          <w:szCs w:val="22"/>
        </w:rPr>
        <w:t xml:space="preserve">, Addendum, and additional filings </w:t>
      </w:r>
      <w:r w:rsidRPr="00CC09AE">
        <w:rPr>
          <w:szCs w:val="22"/>
        </w:rPr>
        <w:t xml:space="preserve">reflect the </w:t>
      </w:r>
      <w:r w:rsidR="001A5885">
        <w:rPr>
          <w:szCs w:val="22"/>
        </w:rPr>
        <w:t>parties’</w:t>
      </w:r>
      <w:r w:rsidRPr="00CC09AE">
        <w:rPr>
          <w:szCs w:val="22"/>
        </w:rPr>
        <w:t xml:space="preserve"> preference for using dispatchable location as the primary means to provide vertical location information, but </w:t>
      </w:r>
      <w:r w:rsidR="004B1701">
        <w:rPr>
          <w:szCs w:val="22"/>
        </w:rPr>
        <w:t>they also make specific and measureable commitments to develop and deploy capabilities to determine z-axis vertical location information.</w:t>
      </w:r>
      <w:r w:rsidR="004B1701" w:rsidRPr="00CC09AE">
        <w:rPr>
          <w:rStyle w:val="FootnoteReference"/>
          <w:szCs w:val="22"/>
        </w:rPr>
        <w:footnoteReference w:id="275"/>
      </w:r>
      <w:r w:rsidR="004B1701">
        <w:rPr>
          <w:szCs w:val="22"/>
        </w:rPr>
        <w:t xml:space="preserve">    First, </w:t>
      </w:r>
      <w:r w:rsidR="003E27CF">
        <w:rPr>
          <w:szCs w:val="22"/>
        </w:rPr>
        <w:t xml:space="preserve">in the Amended Roadmap, the CMRS provider </w:t>
      </w:r>
      <w:r w:rsidR="004B1701">
        <w:rPr>
          <w:szCs w:val="22"/>
        </w:rPr>
        <w:t xml:space="preserve">parties commit to </w:t>
      </w:r>
      <w:r w:rsidR="004B1701" w:rsidRPr="00CC09AE">
        <w:rPr>
          <w:szCs w:val="22"/>
        </w:rPr>
        <w:t>develop a</w:t>
      </w:r>
      <w:r w:rsidR="004B1701">
        <w:rPr>
          <w:szCs w:val="22"/>
        </w:rPr>
        <w:t>nd deliver uncompensated barometric pressure sensor data to PSAPs from compatible handsets that support such a delivery capability within three years.</w:t>
      </w:r>
      <w:r w:rsidR="004B1701">
        <w:rPr>
          <w:rStyle w:val="FootnoteReference"/>
          <w:szCs w:val="22"/>
        </w:rPr>
        <w:footnoteReference w:id="276"/>
      </w:r>
      <w:r w:rsidR="004B1701">
        <w:rPr>
          <w:szCs w:val="22"/>
        </w:rPr>
        <w:t xml:space="preserve">  Second, they commit “to develop a specific z-axis location accuracy metric that would be used as the standard for any future deployment of z-axis solutions.”</w:t>
      </w:r>
      <w:r w:rsidR="004B1701">
        <w:rPr>
          <w:rStyle w:val="FootnoteReference"/>
          <w:szCs w:val="22"/>
        </w:rPr>
        <w:footnoteReference w:id="277"/>
      </w:r>
      <w:r w:rsidR="004B1701" w:rsidRPr="00CC09AE">
        <w:rPr>
          <w:szCs w:val="22"/>
        </w:rPr>
        <w:t xml:space="preserve">  </w:t>
      </w:r>
      <w:r w:rsidR="004B1701">
        <w:rPr>
          <w:szCs w:val="22"/>
        </w:rPr>
        <w:t>To</w:t>
      </w:r>
      <w:r w:rsidR="004B1701" w:rsidRPr="00CC09AE">
        <w:rPr>
          <w:szCs w:val="22"/>
        </w:rPr>
        <w:t xml:space="preserve"> </w:t>
      </w:r>
      <w:r w:rsidR="004B1701">
        <w:rPr>
          <w:szCs w:val="22"/>
        </w:rPr>
        <w:t xml:space="preserve">demonstrate progress along this path, the </w:t>
      </w:r>
      <w:r w:rsidRPr="00CC09AE">
        <w:rPr>
          <w:szCs w:val="22"/>
        </w:rPr>
        <w:t>parties agree to “promote the development and approval of standards” for barometer-based solutions within 18 months.</w:t>
      </w:r>
      <w:r w:rsidRPr="00CC09AE">
        <w:rPr>
          <w:rStyle w:val="FootnoteReference"/>
          <w:szCs w:val="22"/>
        </w:rPr>
        <w:footnoteReference w:id="278"/>
      </w:r>
      <w:r w:rsidRPr="00CC09AE">
        <w:rPr>
          <w:szCs w:val="22"/>
        </w:rPr>
        <w:t xml:space="preserve">  The parties also agree to complete (i) a study within six months to evaluate options for using barometric pressure data to obtain a z-axis, and (ii) a further study within 24 months that would include test bed evaluation of barometric and other z-axis solutions.</w:t>
      </w:r>
      <w:r w:rsidRPr="00CC09AE">
        <w:rPr>
          <w:rStyle w:val="FootnoteReference"/>
          <w:szCs w:val="22"/>
        </w:rPr>
        <w:footnoteReference w:id="279"/>
      </w:r>
      <w:r w:rsidRPr="00CC09AE">
        <w:rPr>
          <w:szCs w:val="22"/>
        </w:rPr>
        <w:t xml:space="preserve">  </w:t>
      </w:r>
      <w:r w:rsidR="00394B57">
        <w:rPr>
          <w:szCs w:val="22"/>
        </w:rPr>
        <w:t xml:space="preserve">The Addendum further commits the </w:t>
      </w:r>
      <w:r w:rsidR="005D66E3">
        <w:rPr>
          <w:szCs w:val="22"/>
        </w:rPr>
        <w:t xml:space="preserve">nationwide </w:t>
      </w:r>
      <w:r w:rsidR="005C20D1">
        <w:rPr>
          <w:szCs w:val="22"/>
        </w:rPr>
        <w:t>CMRS provider</w:t>
      </w:r>
      <w:r w:rsidR="00394B57">
        <w:rPr>
          <w:szCs w:val="22"/>
        </w:rPr>
        <w:t xml:space="preserve">s to deploy </w:t>
      </w:r>
      <w:r w:rsidR="003E27CF">
        <w:rPr>
          <w:szCs w:val="22"/>
        </w:rPr>
        <w:t>z</w:t>
      </w:r>
      <w:r w:rsidR="00394B57">
        <w:rPr>
          <w:szCs w:val="22"/>
        </w:rPr>
        <w:t xml:space="preserve">-axis solutions according to specific benchmarks for major population centers </w:t>
      </w:r>
      <w:r w:rsidR="003E27CF">
        <w:rPr>
          <w:szCs w:val="22"/>
        </w:rPr>
        <w:t xml:space="preserve">in the event </w:t>
      </w:r>
      <w:r w:rsidR="00394B57">
        <w:rPr>
          <w:szCs w:val="22"/>
        </w:rPr>
        <w:t>they are unable to provide dispatchable location.</w:t>
      </w:r>
      <w:r w:rsidR="00394B57">
        <w:rPr>
          <w:rStyle w:val="FootnoteReference"/>
          <w:szCs w:val="22"/>
        </w:rPr>
        <w:footnoteReference w:id="280"/>
      </w:r>
      <w:r w:rsidR="00394B57">
        <w:rPr>
          <w:szCs w:val="22"/>
        </w:rPr>
        <w:t xml:space="preserve">  The Addendum provides a quantifiable </w:t>
      </w:r>
      <w:r w:rsidR="00EB5CD2">
        <w:rPr>
          <w:szCs w:val="22"/>
        </w:rPr>
        <w:t>z</w:t>
      </w:r>
      <w:r w:rsidR="00394B57">
        <w:rPr>
          <w:szCs w:val="22"/>
        </w:rPr>
        <w:t xml:space="preserve">-axis backstop if a </w:t>
      </w:r>
      <w:r w:rsidR="005C20D1">
        <w:rPr>
          <w:szCs w:val="22"/>
        </w:rPr>
        <w:t>provider</w:t>
      </w:r>
      <w:r w:rsidR="00394B57">
        <w:rPr>
          <w:szCs w:val="22"/>
        </w:rPr>
        <w:t xml:space="preserve"> has not met the dispatchable location benchmark by year 6 in any of the most populous 50 CMAs.</w:t>
      </w:r>
      <w:r w:rsidR="00394B57">
        <w:rPr>
          <w:rStyle w:val="FootnoteReference"/>
          <w:szCs w:val="22"/>
        </w:rPr>
        <w:footnoteReference w:id="281"/>
      </w:r>
      <w:r w:rsidR="00394B57">
        <w:rPr>
          <w:szCs w:val="22"/>
        </w:rPr>
        <w:t xml:space="preserve">  Further, a </w:t>
      </w:r>
      <w:r w:rsidR="005C20D1">
        <w:rPr>
          <w:szCs w:val="22"/>
        </w:rPr>
        <w:t>CMRS provider</w:t>
      </w:r>
      <w:r w:rsidR="00394B57">
        <w:rPr>
          <w:szCs w:val="22"/>
        </w:rPr>
        <w:t xml:space="preserve"> “will be deemed to have implemented a Z-axis location solution in that CMA if its Z-axis solution provides coverage for at least 80% of the population of the CMA within 8 years” and “at least 50% of all new handset model offerings everywhere must be z-capable by year 7, and 100% of all new handset models by year 8.”</w:t>
      </w:r>
      <w:r w:rsidR="00394B57">
        <w:rPr>
          <w:rStyle w:val="FootnoteReference"/>
          <w:szCs w:val="22"/>
        </w:rPr>
        <w:footnoteReference w:id="282"/>
      </w:r>
      <w:r w:rsidR="00394B57">
        <w:rPr>
          <w:szCs w:val="22"/>
        </w:rPr>
        <w:t xml:space="preserve"> </w:t>
      </w:r>
    </w:p>
    <w:p w14:paraId="580AA2E1" w14:textId="32C0CF6A" w:rsidR="00104ED4" w:rsidRPr="00E26DF6" w:rsidRDefault="00104ED4" w:rsidP="003C6366">
      <w:pPr>
        <w:pStyle w:val="ParaNum"/>
        <w:rPr>
          <w:szCs w:val="22"/>
        </w:rPr>
      </w:pPr>
      <w:r>
        <w:t>Numerous commenters oppose the Roadmap’s vertical location provisions, particularly objecting to the fact that the Roadmap proposes no specific standard for providing vertical location information in the event that a dispatchable location solution cannot be achieved.</w:t>
      </w:r>
      <w:r w:rsidRPr="000546C4">
        <w:rPr>
          <w:rStyle w:val="FootnoteReference"/>
          <w:szCs w:val="22"/>
        </w:rPr>
        <w:t xml:space="preserve"> </w:t>
      </w:r>
      <w:r>
        <w:rPr>
          <w:rStyle w:val="FootnoteReference"/>
          <w:szCs w:val="22"/>
        </w:rPr>
        <w:footnoteReference w:id="283"/>
      </w:r>
      <w:r>
        <w:t xml:space="preserve">  On the other hand, the parties to the Roadmap offer a vigorous defense of its vertical location proposals.</w:t>
      </w:r>
      <w:r>
        <w:rPr>
          <w:rStyle w:val="FootnoteReference"/>
          <w:szCs w:val="22"/>
        </w:rPr>
        <w:footnoteReference w:id="284"/>
      </w:r>
      <w:r>
        <w:t xml:space="preserve">  </w:t>
      </w:r>
      <w:r w:rsidR="002D7D2E">
        <w:t xml:space="preserve">For example, </w:t>
      </w:r>
      <w:r w:rsidR="00E26DF6">
        <w:t>Verizon submits that “R</w:t>
      </w:r>
      <w:r w:rsidR="00E26DF6" w:rsidRPr="00E26DF6">
        <w:rPr>
          <w:szCs w:val="22"/>
        </w:rPr>
        <w:t>oadmap opponents that support the</w:t>
      </w:r>
      <w:r w:rsidR="00E26DF6">
        <w:rPr>
          <w:szCs w:val="22"/>
        </w:rPr>
        <w:t xml:space="preserve"> NPRM’</w:t>
      </w:r>
      <w:r w:rsidR="00E26DF6" w:rsidRPr="00E26DF6">
        <w:rPr>
          <w:szCs w:val="22"/>
        </w:rPr>
        <w:t>s</w:t>
      </w:r>
      <w:r w:rsidR="00E26DF6">
        <w:rPr>
          <w:szCs w:val="22"/>
        </w:rPr>
        <w:t xml:space="preserve"> </w:t>
      </w:r>
      <w:r w:rsidR="00E26DF6" w:rsidRPr="00E26DF6">
        <w:rPr>
          <w:szCs w:val="22"/>
        </w:rPr>
        <w:t>proposed vertical location rules</w:t>
      </w:r>
      <w:r w:rsidR="00E26DF6">
        <w:rPr>
          <w:szCs w:val="22"/>
        </w:rPr>
        <w:t xml:space="preserve"> …</w:t>
      </w:r>
      <w:r w:rsidR="00E26DF6" w:rsidRPr="00E26DF6">
        <w:rPr>
          <w:szCs w:val="22"/>
        </w:rPr>
        <w:t xml:space="preserve"> disregard critical facts that would limit the availability </w:t>
      </w:r>
      <w:r w:rsidR="00D57B0D" w:rsidRPr="00D57B0D">
        <w:rPr>
          <w:szCs w:val="22"/>
        </w:rPr>
        <w:t>of barometric pressure sensor-based solutions like NextNav’s and Polaris Wireless’s to consumers in even the best of circumstances,” as well as “vendors’ dependence on spectrum licenses; their ability and willingness to deploy their solution throughout its licensed area; and a PSAP’s need to update its own system and equipment to handle the vertical information.”</w:t>
      </w:r>
      <w:r w:rsidR="00E26DF6">
        <w:rPr>
          <w:rStyle w:val="FootnoteReference"/>
        </w:rPr>
        <w:footnoteReference w:id="285"/>
      </w:r>
      <w:r w:rsidR="002D7D2E">
        <w:t xml:space="preserve">  </w:t>
      </w:r>
      <w:r>
        <w:t>NENA argues that the Roadmap adequately addresses vertical location and does not foreclose the possibility of the four nationwide CMRS providers providing a comprehensive vertical location accuracy solution independent from dispatchable location.</w:t>
      </w:r>
      <w:r>
        <w:rPr>
          <w:rStyle w:val="FootnoteReference"/>
          <w:szCs w:val="22"/>
        </w:rPr>
        <w:footnoteReference w:id="286"/>
      </w:r>
      <w:r>
        <w:t xml:space="preserve">  </w:t>
      </w:r>
      <w:r w:rsidR="00A2466E">
        <w:t xml:space="preserve">Also, CCA supports </w:t>
      </w:r>
      <w:r w:rsidR="003C6366">
        <w:t xml:space="preserve">a requirement for </w:t>
      </w:r>
      <w:r w:rsidR="00A2466E" w:rsidRPr="00A2466E">
        <w:t>non-nationwide providers operating in the</w:t>
      </w:r>
      <w:r w:rsidR="003C6366">
        <w:t xml:space="preserve"> top 25 to 50</w:t>
      </w:r>
      <w:r w:rsidR="00A2466E" w:rsidRPr="00A2466E">
        <w:t xml:space="preserve"> CMAs </w:t>
      </w:r>
      <w:r w:rsidR="003C6366">
        <w:t>“</w:t>
      </w:r>
      <w:r w:rsidR="00A2466E" w:rsidRPr="00A2466E">
        <w:t xml:space="preserve">to count uncompensated barometric pressure data towards meeting additional </w:t>
      </w:r>
      <w:r w:rsidR="003C6366">
        <w:t xml:space="preserve">[z-axis] </w:t>
      </w:r>
      <w:r w:rsidR="00A2466E" w:rsidRPr="00A2466E">
        <w:t>requirements</w:t>
      </w:r>
      <w:r w:rsidR="003C6366">
        <w:t xml:space="preserve">” </w:t>
      </w:r>
      <w:r w:rsidR="003C6366" w:rsidRPr="003C6366">
        <w:t>following the 36 month assessment of dispatchable location solutions</w:t>
      </w:r>
      <w:r w:rsidR="00A2466E" w:rsidRPr="00A2466E">
        <w:t>.</w:t>
      </w:r>
      <w:r w:rsidR="003C6366">
        <w:rPr>
          <w:rStyle w:val="FootnoteReference"/>
        </w:rPr>
        <w:footnoteReference w:id="287"/>
      </w:r>
      <w:r w:rsidR="003C6366">
        <w:t xml:space="preserve">   </w:t>
      </w:r>
      <w:r>
        <w:t>Several other parties offer their support for the Roadmap</w:t>
      </w:r>
      <w:r w:rsidR="009334E3">
        <w:t>’s</w:t>
      </w:r>
      <w:r>
        <w:t xml:space="preserve"> proposals</w:t>
      </w:r>
      <w:r w:rsidR="009334E3">
        <w:t xml:space="preserve"> for vertical location</w:t>
      </w:r>
      <w:r>
        <w:t>, including two public safety commenters.</w:t>
      </w:r>
      <w:r>
        <w:rPr>
          <w:rStyle w:val="FootnoteReference"/>
          <w:szCs w:val="22"/>
        </w:rPr>
        <w:footnoteReference w:id="288"/>
      </w:r>
      <w:r>
        <w:t xml:space="preserve">  iPosi suggests a compromise that there be a vertical location accuracy “target” of 10 meters within two years </w:t>
      </w:r>
      <w:r w:rsidR="001A5885">
        <w:t xml:space="preserve">of </w:t>
      </w:r>
      <w:r>
        <w:t>the adoption of rules.</w:t>
      </w:r>
      <w:r>
        <w:rPr>
          <w:rStyle w:val="FootnoteReference"/>
          <w:szCs w:val="22"/>
        </w:rPr>
        <w:footnoteReference w:id="289"/>
      </w:r>
      <w:r w:rsidR="00394B57">
        <w:t xml:space="preserve">  Further still, several commenters raise concerns that the Addendum fails to offer specific benchmarks for vertical location.</w:t>
      </w:r>
      <w:r w:rsidR="00394B57">
        <w:rPr>
          <w:rStyle w:val="FootnoteReference"/>
        </w:rPr>
        <w:footnoteReference w:id="290"/>
      </w:r>
      <w:r w:rsidR="00394B57">
        <w:t xml:space="preserve">  Polaris Wireless believes that </w:t>
      </w:r>
      <w:r w:rsidR="005C20D1">
        <w:t>CMRS provider</w:t>
      </w:r>
      <w:r w:rsidR="00394B57">
        <w:t>s are restricting indoor solutions to just a fraction of their networks and questions the impact on communities, including two-thirds of state capitols, that are not included within the top 50 CMAs.</w:t>
      </w:r>
      <w:r w:rsidR="00394B57">
        <w:rPr>
          <w:rStyle w:val="FootnoteReference"/>
        </w:rPr>
        <w:footnoteReference w:id="291"/>
      </w:r>
      <w:r w:rsidR="00394B57">
        <w:t xml:space="preserve">  TruePosition argues that the Addendum proposes to use “an alternative z-axis solution, but one that is far inferior and much later in availability than what the FCC has proposed.”</w:t>
      </w:r>
      <w:r w:rsidR="00394B57">
        <w:rPr>
          <w:rStyle w:val="FootnoteReference"/>
        </w:rPr>
        <w:footnoteReference w:id="292"/>
      </w:r>
    </w:p>
    <w:p w14:paraId="2B176ECD" w14:textId="77777777" w:rsidR="00104ED4" w:rsidRDefault="00104ED4" w:rsidP="00104ED4">
      <w:pPr>
        <w:pStyle w:val="ParaNum"/>
      </w:pPr>
      <w:r>
        <w:t xml:space="preserve">We also sought comment in the </w:t>
      </w:r>
      <w:r w:rsidRPr="00B70911">
        <w:rPr>
          <w:i/>
        </w:rPr>
        <w:t>Third Further Notice</w:t>
      </w:r>
      <w:r>
        <w:t xml:space="preserve"> on whether PSAPs </w:t>
      </w:r>
      <w:r w:rsidRPr="00492FBD">
        <w:t>are ready to accept z-axis information today</w:t>
      </w:r>
      <w:r>
        <w:t>, and if not, how long it will take for a</w:t>
      </w:r>
      <w:r w:rsidRPr="00492FBD">
        <w:t xml:space="preserve"> </w:t>
      </w:r>
      <w:r>
        <w:t>sufficient number</w:t>
      </w:r>
      <w:r w:rsidRPr="00492FBD">
        <w:t xml:space="preserve"> of PSAPs </w:t>
      </w:r>
      <w:r>
        <w:t>to develop this capability so that it would be reasonable to impose a z</w:t>
      </w:r>
      <w:r w:rsidRPr="00492FBD">
        <w:t xml:space="preserve">-axis requirement </w:t>
      </w:r>
      <w:r>
        <w:t>on CMRS providers</w:t>
      </w:r>
      <w:r w:rsidRPr="00492FBD">
        <w:t>.</w:t>
      </w:r>
      <w:r w:rsidRPr="00492FBD">
        <w:rPr>
          <w:vertAlign w:val="superscript"/>
        </w:rPr>
        <w:footnoteReference w:id="293"/>
      </w:r>
      <w:r w:rsidRPr="00492FBD">
        <w:t xml:space="preserve">  </w:t>
      </w:r>
      <w:r>
        <w:t>Some commenters argue that PSAPs could receive and process vertical location information immediately on existing consoles, even if they have not upgraded to NG911.</w:t>
      </w:r>
      <w:r>
        <w:rPr>
          <w:rStyle w:val="FootnoteReference"/>
          <w:rFonts w:eastAsiaTheme="majorEastAsia"/>
        </w:rPr>
        <w:footnoteReference w:id="294"/>
      </w:r>
      <w:r>
        <w:t xml:space="preserve">  Other commenters</w:t>
      </w:r>
      <w:r w:rsidRPr="00415CA3">
        <w:t xml:space="preserve"> argue that even if </w:t>
      </w:r>
      <w:r>
        <w:t xml:space="preserve">vertical location information were </w:t>
      </w:r>
      <w:r w:rsidRPr="00415CA3">
        <w:t xml:space="preserve">available, </w:t>
      </w:r>
      <w:r>
        <w:t xml:space="preserve">a majority of </w:t>
      </w:r>
      <w:r w:rsidRPr="00415CA3">
        <w:t xml:space="preserve">PSAPs </w:t>
      </w:r>
      <w:r>
        <w:t>will</w:t>
      </w:r>
      <w:r w:rsidRPr="00415CA3">
        <w:t xml:space="preserve"> not be able to use </w:t>
      </w:r>
      <w:r>
        <w:t>it effectively.</w:t>
      </w:r>
      <w:r>
        <w:rPr>
          <w:rStyle w:val="FootnoteReference"/>
          <w:rFonts w:eastAsiaTheme="majorEastAsia"/>
        </w:rPr>
        <w:footnoteReference w:id="295"/>
      </w:r>
      <w:r>
        <w:t xml:space="preserve">  Verizon argues that any implementation deadlines for vertical location information should be tied to PSAP readiness across large regional areas.</w:t>
      </w:r>
      <w:r>
        <w:rPr>
          <w:rStyle w:val="FootnoteReference"/>
          <w:rFonts w:eastAsiaTheme="majorEastAsia"/>
        </w:rPr>
        <w:footnoteReference w:id="296"/>
      </w:r>
      <w:r>
        <w:t xml:space="preserve"> </w:t>
      </w:r>
      <w:r w:rsidRPr="00415CA3">
        <w:t xml:space="preserve"> </w:t>
      </w:r>
      <w:r>
        <w:t>APCO argues that even if many PSAPs currently cannot process vertical location information, the Commission should establish vertical location accuracy requirements and timetables now because PSAPs are unlikely to make the necessary upgrades to their systems without certainty that CMRS providers will begin delivery of such information by a specified deadline.</w:t>
      </w:r>
      <w:r>
        <w:rPr>
          <w:rStyle w:val="FootnoteReference"/>
          <w:rFonts w:eastAsiaTheme="majorEastAsia"/>
        </w:rPr>
        <w:footnoteReference w:id="297"/>
      </w:r>
    </w:p>
    <w:p w14:paraId="3D0278E1" w14:textId="77777777" w:rsidR="00104ED4" w:rsidRPr="007369C2" w:rsidRDefault="00104ED4" w:rsidP="00104ED4">
      <w:pPr>
        <w:pStyle w:val="Heading4"/>
      </w:pPr>
      <w:bookmarkStart w:id="276" w:name="_Toc408400504"/>
      <w:bookmarkStart w:id="277" w:name="_Toc408400559"/>
      <w:bookmarkStart w:id="278" w:name="_Toc408490571"/>
      <w:bookmarkStart w:id="279" w:name="_Ref409179732"/>
      <w:r>
        <w:t>Discussion</w:t>
      </w:r>
      <w:bookmarkEnd w:id="276"/>
      <w:bookmarkEnd w:id="277"/>
      <w:bookmarkEnd w:id="278"/>
      <w:bookmarkEnd w:id="279"/>
    </w:p>
    <w:p w14:paraId="22E41161" w14:textId="29E1F0EC" w:rsidR="002D56BF" w:rsidRPr="00812DB4" w:rsidRDefault="002D56BF" w:rsidP="00D062B8">
      <w:pPr>
        <w:pStyle w:val="ParaNum"/>
        <w:tabs>
          <w:tab w:val="clear" w:pos="1440"/>
        </w:tabs>
      </w:pPr>
      <w:r w:rsidRPr="0050486F">
        <w:rPr>
          <w:szCs w:val="22"/>
        </w:rPr>
        <w:t>Based on the record, we find</w:t>
      </w:r>
      <w:r>
        <w:rPr>
          <w:szCs w:val="22"/>
        </w:rPr>
        <w:t xml:space="preserve"> that there is a need for vertical location information in connection with indoor 911 calls, and</w:t>
      </w:r>
      <w:r w:rsidRPr="0050486F">
        <w:rPr>
          <w:szCs w:val="22"/>
        </w:rPr>
        <w:t xml:space="preserve"> that adopting</w:t>
      </w:r>
      <w:r w:rsidR="002329A9" w:rsidRPr="002329A9">
        <w:rPr>
          <w:szCs w:val="22"/>
        </w:rPr>
        <w:t xml:space="preserve"> </w:t>
      </w:r>
      <w:r w:rsidR="002329A9">
        <w:rPr>
          <w:szCs w:val="22"/>
        </w:rPr>
        <w:t>clear timelines for providers to deliver</w:t>
      </w:r>
      <w:r w:rsidR="002329A9" w:rsidRPr="0050486F">
        <w:rPr>
          <w:szCs w:val="22"/>
        </w:rPr>
        <w:t xml:space="preserve"> vertical </w:t>
      </w:r>
      <w:r w:rsidR="002329A9">
        <w:rPr>
          <w:szCs w:val="22"/>
        </w:rPr>
        <w:t>location information</w:t>
      </w:r>
      <w:r w:rsidR="002329A9" w:rsidRPr="0050486F">
        <w:rPr>
          <w:szCs w:val="22"/>
        </w:rPr>
        <w:t xml:space="preserve"> is in the public interest.  </w:t>
      </w:r>
      <w:r w:rsidR="002329A9">
        <w:rPr>
          <w:szCs w:val="22"/>
        </w:rPr>
        <w:t xml:space="preserve">The </w:t>
      </w:r>
      <w:r w:rsidR="00BE7149">
        <w:rPr>
          <w:szCs w:val="22"/>
        </w:rPr>
        <w:t xml:space="preserve">Amended </w:t>
      </w:r>
      <w:r w:rsidR="002329A9">
        <w:rPr>
          <w:szCs w:val="22"/>
        </w:rPr>
        <w:t>Roadmap affirm</w:t>
      </w:r>
      <w:r w:rsidR="00BE7149">
        <w:rPr>
          <w:szCs w:val="22"/>
        </w:rPr>
        <w:t>s</w:t>
      </w:r>
      <w:r w:rsidR="002329A9">
        <w:rPr>
          <w:szCs w:val="22"/>
        </w:rPr>
        <w:t xml:space="preserve"> the importance and need for floor-level location information to be provided to emergency responders.  </w:t>
      </w:r>
      <w:r>
        <w:rPr>
          <w:szCs w:val="22"/>
        </w:rPr>
        <w:t xml:space="preserve"> </w:t>
      </w:r>
      <w:r w:rsidR="002329A9">
        <w:rPr>
          <w:szCs w:val="22"/>
        </w:rPr>
        <w:t>Moreover</w:t>
      </w:r>
      <w:r>
        <w:rPr>
          <w:szCs w:val="22"/>
        </w:rPr>
        <w:t xml:space="preserve">, the Roadmap, </w:t>
      </w:r>
      <w:r w:rsidR="002329A9">
        <w:rPr>
          <w:szCs w:val="22"/>
        </w:rPr>
        <w:t>the Addendum</w:t>
      </w:r>
      <w:r w:rsidR="00EB5CD2">
        <w:rPr>
          <w:szCs w:val="22"/>
        </w:rPr>
        <w:t>,</w:t>
      </w:r>
      <w:r w:rsidR="002329A9">
        <w:rPr>
          <w:szCs w:val="22"/>
        </w:rPr>
        <w:t xml:space="preserve"> and additional filings </w:t>
      </w:r>
      <w:r>
        <w:rPr>
          <w:szCs w:val="22"/>
        </w:rPr>
        <w:t xml:space="preserve">provide a backstop mechanism </w:t>
      </w:r>
      <w:r w:rsidR="002329A9">
        <w:rPr>
          <w:szCs w:val="22"/>
        </w:rPr>
        <w:t xml:space="preserve">using both uncompensated barometric data and a specific z-axis location accuracy metric </w:t>
      </w:r>
      <w:r w:rsidR="00610963">
        <w:rPr>
          <w:szCs w:val="22"/>
        </w:rPr>
        <w:t>to</w:t>
      </w:r>
      <w:r>
        <w:rPr>
          <w:szCs w:val="22"/>
        </w:rPr>
        <w:t xml:space="preserve"> obtain vertical location information </w:t>
      </w:r>
      <w:r w:rsidR="002329A9">
        <w:rPr>
          <w:szCs w:val="22"/>
        </w:rPr>
        <w:t xml:space="preserve">for PSAPs </w:t>
      </w:r>
      <w:r w:rsidR="00EB5CD2">
        <w:rPr>
          <w:szCs w:val="22"/>
        </w:rPr>
        <w:t xml:space="preserve">as an alternative to </w:t>
      </w:r>
      <w:r>
        <w:rPr>
          <w:szCs w:val="22"/>
        </w:rPr>
        <w:t>dispatchable location.</w:t>
      </w:r>
      <w:r w:rsidR="002329A9" w:rsidRPr="002329A9">
        <w:rPr>
          <w:rStyle w:val="FootnoteReference"/>
          <w:szCs w:val="22"/>
        </w:rPr>
        <w:t xml:space="preserve"> </w:t>
      </w:r>
      <w:r w:rsidR="002329A9">
        <w:rPr>
          <w:rStyle w:val="FootnoteReference"/>
          <w:szCs w:val="22"/>
        </w:rPr>
        <w:footnoteReference w:id="298"/>
      </w:r>
      <w:r w:rsidR="002329A9" w:rsidRPr="00812DB4">
        <w:rPr>
          <w:szCs w:val="22"/>
        </w:rPr>
        <w:t xml:space="preserve"> </w:t>
      </w:r>
      <w:r w:rsidRPr="00812DB4">
        <w:rPr>
          <w:szCs w:val="22"/>
        </w:rPr>
        <w:t xml:space="preserve"> </w:t>
      </w:r>
      <w:r>
        <w:rPr>
          <w:szCs w:val="22"/>
        </w:rPr>
        <w:t xml:space="preserve"> Therefore, while 911 calls that provide dispatchable location information, as discussed in Section </w:t>
      </w:r>
      <w:r>
        <w:rPr>
          <w:szCs w:val="22"/>
        </w:rPr>
        <w:fldChar w:fldCharType="begin"/>
      </w:r>
      <w:r>
        <w:rPr>
          <w:szCs w:val="22"/>
        </w:rPr>
        <w:instrText xml:space="preserve"> REF _Ref408501248 \w \h </w:instrText>
      </w:r>
      <w:r>
        <w:rPr>
          <w:szCs w:val="22"/>
        </w:rPr>
      </w:r>
      <w:r>
        <w:rPr>
          <w:szCs w:val="22"/>
        </w:rPr>
        <w:fldChar w:fldCharType="separate"/>
      </w:r>
      <w:r w:rsidR="005E367B">
        <w:rPr>
          <w:szCs w:val="22"/>
        </w:rPr>
        <w:t>III.B.2</w:t>
      </w:r>
      <w:r>
        <w:rPr>
          <w:szCs w:val="22"/>
        </w:rPr>
        <w:fldChar w:fldCharType="end"/>
      </w:r>
      <w:r>
        <w:rPr>
          <w:szCs w:val="22"/>
        </w:rPr>
        <w:t xml:space="preserve"> above, will count towards the vertical location accuracy requirement,</w:t>
      </w:r>
      <w:r w:rsidRPr="0050486F">
        <w:rPr>
          <w:szCs w:val="22"/>
        </w:rPr>
        <w:t xml:space="preserve"> </w:t>
      </w:r>
      <w:r>
        <w:rPr>
          <w:szCs w:val="22"/>
        </w:rPr>
        <w:t xml:space="preserve">the </w:t>
      </w:r>
      <w:r w:rsidR="002329A9">
        <w:rPr>
          <w:szCs w:val="22"/>
        </w:rPr>
        <w:t xml:space="preserve">vertical location </w:t>
      </w:r>
      <w:r>
        <w:rPr>
          <w:szCs w:val="22"/>
        </w:rPr>
        <w:t xml:space="preserve">rules adopted herein are also </w:t>
      </w:r>
      <w:r w:rsidR="00EB5CD2">
        <w:rPr>
          <w:szCs w:val="22"/>
        </w:rPr>
        <w:t>designed to provide for a potential alternative to the Road Map parties’ preferred solution</w:t>
      </w:r>
      <w:r>
        <w:rPr>
          <w:szCs w:val="22"/>
        </w:rPr>
        <w:t xml:space="preserve">.  </w:t>
      </w:r>
    </w:p>
    <w:p w14:paraId="743FDB64" w14:textId="1948962C" w:rsidR="00104ED4" w:rsidRPr="00F538F0" w:rsidRDefault="002D56BF" w:rsidP="00D062B8">
      <w:pPr>
        <w:pStyle w:val="ParaNum"/>
        <w:tabs>
          <w:tab w:val="clear" w:pos="1440"/>
        </w:tabs>
      </w:pPr>
      <w:r>
        <w:t xml:space="preserve">We </w:t>
      </w:r>
      <w:r w:rsidR="0033484B">
        <w:t xml:space="preserve">find </w:t>
      </w:r>
      <w:r>
        <w:t xml:space="preserve">that it is reasonable to establish a </w:t>
      </w:r>
      <w:r w:rsidR="00332AB8">
        <w:t xml:space="preserve">z-axis metric </w:t>
      </w:r>
      <w:r>
        <w:t xml:space="preserve">standard for vertical accuracy as an alternative to providing </w:t>
      </w:r>
      <w:r w:rsidR="001A5885">
        <w:t>floor-level</w:t>
      </w:r>
      <w:r>
        <w:t xml:space="preserve"> accuracy by means of dispatchable location.  </w:t>
      </w:r>
      <w:r w:rsidR="00332AB8">
        <w:t xml:space="preserve">Although </w:t>
      </w:r>
      <w:r w:rsidR="003E27CF">
        <w:t xml:space="preserve">some commenters support </w:t>
      </w:r>
      <w:r w:rsidR="00F77DF5">
        <w:t xml:space="preserve">immediate adoption of </w:t>
      </w:r>
      <w:r w:rsidR="003E27CF">
        <w:t xml:space="preserve">a </w:t>
      </w:r>
      <w:r w:rsidR="00332AB8">
        <w:t>three</w:t>
      </w:r>
      <w:r w:rsidR="003E27CF">
        <w:t>-</w:t>
      </w:r>
      <w:r>
        <w:t>meter</w:t>
      </w:r>
      <w:r w:rsidR="003E27CF">
        <w:t xml:space="preserve"> </w:t>
      </w:r>
      <w:r>
        <w:t>standard to provide PSAPs with accurate floor-level information</w:t>
      </w:r>
      <w:r w:rsidR="00332AB8">
        <w:t>, we believe</w:t>
      </w:r>
      <w:r w:rsidR="00EB5CD2" w:rsidRPr="00EB5CD2">
        <w:t xml:space="preserve"> </w:t>
      </w:r>
      <w:r w:rsidR="00EB5CD2">
        <w:t xml:space="preserve">that, in light of the substantial dispute in the record about the feasibility of achieving a z-axis metric on the timetable proposed in the </w:t>
      </w:r>
      <w:r w:rsidR="00EB5CD2" w:rsidRPr="00F77DF5">
        <w:rPr>
          <w:i/>
        </w:rPr>
        <w:t>Third Further Notice,</w:t>
      </w:r>
      <w:r w:rsidR="00332AB8">
        <w:t xml:space="preserve"> additional testing and standardization are </w:t>
      </w:r>
      <w:r w:rsidR="003E27CF">
        <w:t xml:space="preserve">appropriate </w:t>
      </w:r>
      <w:r w:rsidR="00332AB8">
        <w:t xml:space="preserve">in order to determine </w:t>
      </w:r>
      <w:r w:rsidR="005D4915">
        <w:t>the</w:t>
      </w:r>
      <w:r w:rsidR="00332AB8">
        <w:t xml:space="preserve"> appropriate accuracy benchmark.  </w:t>
      </w:r>
      <w:r w:rsidR="00F77DF5">
        <w:t>Although m</w:t>
      </w:r>
      <w:r>
        <w:t>arket availability of devices with barometric devices has increased,</w:t>
      </w:r>
      <w:r>
        <w:rPr>
          <w:rStyle w:val="FootnoteReference"/>
          <w:rFonts w:eastAsiaTheme="majorEastAsia"/>
        </w:rPr>
        <w:footnoteReference w:id="299"/>
      </w:r>
      <w:r>
        <w:t xml:space="preserve"> and multiple</w:t>
      </w:r>
      <w:r w:rsidRPr="00492FBD">
        <w:t xml:space="preserve"> vendors</w:t>
      </w:r>
      <w:r>
        <w:t>, including those who participated in the CSRIC test bed,</w:t>
      </w:r>
      <w:r w:rsidRPr="00492FBD">
        <w:t xml:space="preserve"> have </w:t>
      </w:r>
      <w:r>
        <w:t>continued</w:t>
      </w:r>
      <w:r w:rsidRPr="00492FBD">
        <w:t xml:space="preserve"> </w:t>
      </w:r>
      <w:r>
        <w:t>to develop and test vertical location technologies</w:t>
      </w:r>
      <w:r w:rsidR="00F77DF5">
        <w:t>,</w:t>
      </w:r>
      <w:r>
        <w:rPr>
          <w:rStyle w:val="FootnoteReference"/>
          <w:rFonts w:eastAsiaTheme="majorEastAsia"/>
        </w:rPr>
        <w:footnoteReference w:id="300"/>
      </w:r>
      <w:r>
        <w:t xml:space="preserve"> </w:t>
      </w:r>
      <w:r w:rsidR="00F77DF5">
        <w:t xml:space="preserve">challenges remain.  </w:t>
      </w:r>
      <w:r w:rsidR="00AE6F4B">
        <w:t xml:space="preserve">We note that vertical location information can be provided at varying levels of accuracy.  For example, uncalibrated barometric pressure data provides some idea of the vertical height of a device, but would become more accurate with calibration.  Even more accurate than calibrated barometric data would be </w:t>
      </w:r>
      <w:r w:rsidR="007769E0">
        <w:t>floor-</w:t>
      </w:r>
      <w:r w:rsidR="00AE6F4B">
        <w:t>level information included as part of the programmed dispatchable location of a fixed beacon or Wi-Fi access point, which could be validated as the proper location by a barometric pressure sensor on the phone.</w:t>
      </w:r>
      <w:r w:rsidR="00AE6F4B">
        <w:rPr>
          <w:rStyle w:val="FootnoteReference"/>
        </w:rPr>
        <w:footnoteReference w:id="301"/>
      </w:r>
      <w:r w:rsidR="00AE6F4B">
        <w:t xml:space="preserve">  </w:t>
      </w:r>
      <w:r w:rsidR="00D57B0D">
        <w:t xml:space="preserve">We recognize the </w:t>
      </w:r>
      <w:r w:rsidR="006675CB">
        <w:t xml:space="preserve">challenges with standardization and </w:t>
      </w:r>
      <w:r w:rsidR="00D57B0D">
        <w:t xml:space="preserve">achieving sufficient </w:t>
      </w:r>
      <w:r w:rsidR="006675CB">
        <w:t xml:space="preserve">handset penetration </w:t>
      </w:r>
      <w:r w:rsidR="00D57B0D">
        <w:t xml:space="preserve">to be able to </w:t>
      </w:r>
      <w:r w:rsidR="00104ED4">
        <w:t xml:space="preserve">implement a </w:t>
      </w:r>
      <w:r w:rsidR="00D57B0D">
        <w:t xml:space="preserve">calibrated </w:t>
      </w:r>
      <w:r w:rsidR="00104ED4">
        <w:t>barometric pressure-based solution within three years</w:t>
      </w:r>
      <w:r w:rsidR="006675CB">
        <w:t>,</w:t>
      </w:r>
      <w:r w:rsidR="00104ED4">
        <w:t xml:space="preserve"> as proposed in the </w:t>
      </w:r>
      <w:r w:rsidR="00104ED4" w:rsidRPr="00F77DF5">
        <w:rPr>
          <w:i/>
        </w:rPr>
        <w:t>Third Further Notice</w:t>
      </w:r>
      <w:r w:rsidR="00104ED4">
        <w:t xml:space="preserve">.  </w:t>
      </w:r>
      <w:r w:rsidR="00BB0B7B">
        <w:t>We find that</w:t>
      </w:r>
      <w:r w:rsidR="002D7D2E">
        <w:t xml:space="preserve"> </w:t>
      </w:r>
      <w:r w:rsidR="00BB0B7B">
        <w:t xml:space="preserve">at present, </w:t>
      </w:r>
      <w:r w:rsidR="00D57B0D">
        <w:t>vertical technologies are not as tested nor widely deployed as horizontal ones</w:t>
      </w:r>
      <w:r w:rsidR="002D7D2E">
        <w:t xml:space="preserve">, which justifies applying tailored implementation timeframes for </w:t>
      </w:r>
      <w:r w:rsidR="00D57B0D">
        <w:t>achieving indoor location accuracy in the two different dimensions</w:t>
      </w:r>
      <w:r w:rsidR="005F5D48">
        <w:t xml:space="preserve">, as reflected in the </w:t>
      </w:r>
      <w:r w:rsidR="00E953C2">
        <w:t>Addendum</w:t>
      </w:r>
      <w:r w:rsidR="005F5D48">
        <w:t xml:space="preserve"> proposals and the rules we adopt here</w:t>
      </w:r>
      <w:r w:rsidR="002D7D2E">
        <w:t>.</w:t>
      </w:r>
      <w:r w:rsidR="005F5D48">
        <w:rPr>
          <w:rStyle w:val="FootnoteReference"/>
        </w:rPr>
        <w:footnoteReference w:id="302"/>
      </w:r>
      <w:r w:rsidR="002D7D2E">
        <w:t xml:space="preserve">  </w:t>
      </w:r>
      <w:r w:rsidR="00104ED4">
        <w:t xml:space="preserve">We conclude that </w:t>
      </w:r>
      <w:r w:rsidR="00104ED4" w:rsidRPr="00F77DF5">
        <w:rPr>
          <w:szCs w:val="22"/>
        </w:rPr>
        <w:t>more than three years is likely to be needed for industry to deploy infrastructure, to change out handset models, and to configure networks and location systems to incorporate vertical location information</w:t>
      </w:r>
      <w:r w:rsidR="00E953C2" w:rsidRPr="00F77DF5">
        <w:rPr>
          <w:szCs w:val="22"/>
        </w:rPr>
        <w:t>.</w:t>
      </w:r>
    </w:p>
    <w:p w14:paraId="50D079FF" w14:textId="0E6581A0" w:rsidR="00E953C2" w:rsidRDefault="00E953C2" w:rsidP="00D062B8">
      <w:pPr>
        <w:pStyle w:val="ParaNum"/>
        <w:tabs>
          <w:tab w:val="clear" w:pos="1440"/>
        </w:tabs>
      </w:pPr>
      <w:r w:rsidRPr="005E72B0">
        <w:t xml:space="preserve">Therefore, </w:t>
      </w:r>
      <w:r>
        <w:t xml:space="preserve">we adopt rules that </w:t>
      </w:r>
      <w:r w:rsidR="004F6CAF">
        <w:t>(</w:t>
      </w:r>
      <w:r>
        <w:t>1) require the provision of uncompensated barometric pressure readings to PSAPs from capable devices within three years of the Effective Date</w:t>
      </w:r>
      <w:r w:rsidR="004F6CAF">
        <w:t>,</w:t>
      </w:r>
      <w:r>
        <w:t xml:space="preserve"> and </w:t>
      </w:r>
      <w:r w:rsidR="004F6CAF">
        <w:t>(</w:t>
      </w:r>
      <w:r>
        <w:t xml:space="preserve">2) require CMRS providers to meet a specific z-axis metric and deploy such technology in major </w:t>
      </w:r>
      <w:r w:rsidR="0067491A">
        <w:t>CMAs</w:t>
      </w:r>
      <w:r>
        <w:t xml:space="preserve"> beginning six years from the Effective Date.  </w:t>
      </w:r>
    </w:p>
    <w:bookmarkEnd w:id="260"/>
    <w:bookmarkEnd w:id="261"/>
    <w:p w14:paraId="68E5106A" w14:textId="10B5D441" w:rsidR="00610963" w:rsidRDefault="006612AF" w:rsidP="00633562">
      <w:pPr>
        <w:pStyle w:val="ParaNum"/>
      </w:pPr>
      <w:r w:rsidRPr="005E1CD4">
        <w:rPr>
          <w:i/>
        </w:rPr>
        <w:t>Uncompensated Barometric Data</w:t>
      </w:r>
      <w:r w:rsidRPr="005E1CD4">
        <w:t>.  Within three years of the Effective Date, all CMRS providers must provide uncompensated barometric data to PSAPs from any handset that has the capability of delivering barometric sensor data.  This codifies the commitment that CMRS providers have made in the Roadmap and Parallel Path to provide such data.</w:t>
      </w:r>
      <w:r w:rsidRPr="005E1CD4">
        <w:rPr>
          <w:rStyle w:val="FootnoteReference"/>
        </w:rPr>
        <w:footnoteReference w:id="303"/>
      </w:r>
      <w:r w:rsidRPr="005E1CD4">
        <w:t xml:space="preserve">  The record indicates that handsets with barometric sensors are already widely available and we expect the total number of handsets with this capability to increase over the next three years.  Moreover, while some commenters assert that uncompensated barometric data is not reliable,</w:t>
      </w:r>
      <w:r w:rsidRPr="005E1CD4">
        <w:rPr>
          <w:rStyle w:val="FootnoteReference"/>
        </w:rPr>
        <w:footnoteReference w:id="304"/>
      </w:r>
      <w:r w:rsidRPr="005E1CD4">
        <w:t xml:space="preserve"> NENA notes that uncompensated barometric pressure data would be useful to first responders searching for a 911 caller within a building, because once in the building, the first responders could compare barometric readings from their own devices to the barometric readings from the caller’s handset in the same building, eliminating the need for compensated data.</w:t>
      </w:r>
      <w:r w:rsidRPr="005E1CD4">
        <w:rPr>
          <w:rStyle w:val="FootnoteReference"/>
        </w:rPr>
        <w:footnoteReference w:id="305"/>
      </w:r>
      <w:r w:rsidRPr="005E1CD4">
        <w:t xml:space="preserve">  Uncompensated barometric data also serves as a readily available data point for calls for which dispatchable location is not available or a z-axis metric solution has not yet been deployed.  Nevertheless, we do not require CMRS providers to begin delivery of uncompensated barometric data immediately.  Although barometric sensors are available in handsets today, CMRS providers, service providers, and PSAPs alike will need time to incorporate and configure this new data into their systems.  We believe that a three-year deadline provides sufficient time for development of these capabilities. We also recognize that non-nationwide </w:t>
      </w:r>
      <w:r w:rsidR="005C20D1">
        <w:t>CMRS provider</w:t>
      </w:r>
      <w:r w:rsidRPr="005E1CD4">
        <w:t>s seek an additional year before being required to provide this information, but we find that is not necessary.  The rule we adopt today applies only to devices with barometric sensors and delivery capability that the CMRS provider may choose to offer to consumers and does not require any CMRS provider to make such devices available to subscribers</w:t>
      </w:r>
      <w:r w:rsidR="00610963">
        <w:t xml:space="preserve">.  </w:t>
      </w:r>
    </w:p>
    <w:p w14:paraId="36B3981D" w14:textId="4EF168C7" w:rsidR="00633562" w:rsidRDefault="00633562" w:rsidP="00633562">
      <w:pPr>
        <w:pStyle w:val="ParaNum"/>
      </w:pPr>
      <w:r w:rsidRPr="002C2393">
        <w:rPr>
          <w:i/>
        </w:rPr>
        <w:t>Z-Axis Metric</w:t>
      </w:r>
      <w:r>
        <w:t>.  W</w:t>
      </w:r>
      <w:r w:rsidRPr="005E72B0">
        <w:t xml:space="preserve">ithin three years of the </w:t>
      </w:r>
      <w:r w:rsidR="005B5B39">
        <w:t>Effective Date</w:t>
      </w:r>
      <w:r w:rsidRPr="005E72B0">
        <w:t xml:space="preserve">, we require nationwide CMRS providers to use an independently administered and transparent test bed process to develop a proposed z-axis accuracy metric and to submit the proposed metric to the Commission for approval.  </w:t>
      </w:r>
      <w:r>
        <w:t>We believe the testing, standard setting process and formal showing to the Commission will ensure industry-wide cooperation to determine the most feasible z-axis metric that can be established within the timeframes adopted today.  We intend that the proposal will be placed out for public comment</w:t>
      </w:r>
      <w:r w:rsidR="00EB5CD2">
        <w:t>.  Any such z-axis metric approved,</w:t>
      </w:r>
      <w:r>
        <w:t xml:space="preserve"> and, if adopted by the Commission, will serve as an alternate </w:t>
      </w:r>
      <w:r w:rsidR="00CA5600">
        <w:t>six-</w:t>
      </w:r>
      <w:r>
        <w:t xml:space="preserve"> </w:t>
      </w:r>
      <w:r w:rsidR="00EB5CD2">
        <w:t>and eight-</w:t>
      </w:r>
      <w:r>
        <w:t>year benchmark for ver</w:t>
      </w:r>
      <w:r w:rsidR="000078D8">
        <w:t>tical location should dispatchab</w:t>
      </w:r>
      <w:r>
        <w:t xml:space="preserve">le location not be utilized by a </w:t>
      </w:r>
      <w:r w:rsidR="005C20D1">
        <w:t>CMRS provider</w:t>
      </w:r>
      <w:r>
        <w:t xml:space="preserve"> for compliance.  </w:t>
      </w:r>
    </w:p>
    <w:p w14:paraId="6C016496" w14:textId="6F3DAB02" w:rsidR="00633562" w:rsidRPr="00F24F6C" w:rsidRDefault="00EB5CD2" w:rsidP="004C29B5">
      <w:pPr>
        <w:pStyle w:val="ParaNum"/>
      </w:pPr>
      <w:r>
        <w:t>W</w:t>
      </w:r>
      <w:r w:rsidR="00633562" w:rsidRPr="005E72B0">
        <w:t xml:space="preserve">ithin six years of the </w:t>
      </w:r>
      <w:r w:rsidR="00474CA2" w:rsidRPr="005E72B0">
        <w:t>Effective Date</w:t>
      </w:r>
      <w:r w:rsidR="00633562" w:rsidRPr="005E72B0">
        <w:t xml:space="preserve">, nationwide CMRS providers </w:t>
      </w:r>
      <w:r w:rsidR="00633562">
        <w:t>will be required to</w:t>
      </w:r>
      <w:r w:rsidR="00633562" w:rsidRPr="005E72B0">
        <w:t xml:space="preserve"> </w:t>
      </w:r>
      <w:r w:rsidR="00633562">
        <w:t xml:space="preserve">either (1) meet the dispatchable location benchmark described herein; or (2) </w:t>
      </w:r>
      <w:r w:rsidR="00633562" w:rsidRPr="005E72B0">
        <w:t xml:space="preserve">deploy z-axis technology that achieves </w:t>
      </w:r>
      <w:r>
        <w:t>any such</w:t>
      </w:r>
      <w:r w:rsidRPr="005E72B0">
        <w:t xml:space="preserve"> </w:t>
      </w:r>
      <w:r w:rsidR="00633562" w:rsidRPr="005E72B0">
        <w:t>Commission-approved z-axis metric in each of the top 25 CMAs and cover</w:t>
      </w:r>
      <w:r w:rsidR="00633562">
        <w:t>s</w:t>
      </w:r>
      <w:r w:rsidR="00633562" w:rsidRPr="005E72B0">
        <w:t xml:space="preserve"> 80 percent of the population in each of those CMAs.  Within eight years of the </w:t>
      </w:r>
      <w:r w:rsidR="005B5B39">
        <w:t>Effective Date</w:t>
      </w:r>
      <w:r w:rsidR="00633562" w:rsidRPr="005E72B0">
        <w:t xml:space="preserve">, nationwide CMRS providers </w:t>
      </w:r>
      <w:r w:rsidR="00633562">
        <w:t xml:space="preserve">will be required to either meet the dispatchable location benchmark described herein, or (2) </w:t>
      </w:r>
      <w:r w:rsidR="00633562" w:rsidRPr="005E72B0">
        <w:t xml:space="preserve">deploy z-axis technology that achieves </w:t>
      </w:r>
      <w:r>
        <w:t>any such</w:t>
      </w:r>
      <w:r w:rsidRPr="005E72B0">
        <w:t xml:space="preserve"> </w:t>
      </w:r>
      <w:r w:rsidR="00633562" w:rsidRPr="005E72B0">
        <w:t>Commission approved z-axis metric in the top 50 CMAs and cover</w:t>
      </w:r>
      <w:r>
        <w:t>s</w:t>
      </w:r>
      <w:r w:rsidR="00633562" w:rsidRPr="005E72B0">
        <w:t xml:space="preserve"> 80 percent of the population in each of those CMAs.</w:t>
      </w:r>
      <w:r w:rsidR="00633562">
        <w:t xml:space="preserve">  </w:t>
      </w:r>
      <w:r>
        <w:t>The same requirements will apply to n</w:t>
      </w:r>
      <w:r w:rsidR="00633562">
        <w:t xml:space="preserve">on-nationwide CMRS providers serving the </w:t>
      </w:r>
      <w:r w:rsidR="00CA5600">
        <w:t>t</w:t>
      </w:r>
      <w:r w:rsidR="00633562">
        <w:t xml:space="preserve">op 25 and </w:t>
      </w:r>
      <w:r w:rsidR="00CA5600">
        <w:t>t</w:t>
      </w:r>
      <w:r w:rsidR="00633562">
        <w:t>op 50 CMAs</w:t>
      </w:r>
      <w:r>
        <w:t>, except that</w:t>
      </w:r>
      <w:r w:rsidR="00633562">
        <w:t xml:space="preserve"> </w:t>
      </w:r>
      <w:r>
        <w:t xml:space="preserve">the six- and eight-year benchmarks will be extended to </w:t>
      </w:r>
      <w:r w:rsidR="00633562">
        <w:t>7 and 9 years, respectively.  Taken together, and based on the progress identified to date in concert with the ra</w:t>
      </w:r>
      <w:r w:rsidR="00113019">
        <w:t>p</w:t>
      </w:r>
      <w:r w:rsidR="00633562">
        <w:t xml:space="preserve">id rollout of VoLTE phones, it is our </w:t>
      </w:r>
      <w:r w:rsidR="00633562">
        <w:rPr>
          <w:szCs w:val="22"/>
        </w:rPr>
        <w:t>predictive judgment that the extended six</w:t>
      </w:r>
      <w:r w:rsidR="00C701C3">
        <w:rPr>
          <w:szCs w:val="22"/>
        </w:rPr>
        <w:t>-</w:t>
      </w:r>
      <w:r w:rsidR="00633562">
        <w:rPr>
          <w:szCs w:val="22"/>
        </w:rPr>
        <w:t xml:space="preserve"> and eight</w:t>
      </w:r>
      <w:r w:rsidR="00C701C3">
        <w:rPr>
          <w:szCs w:val="22"/>
        </w:rPr>
        <w:t>-</w:t>
      </w:r>
      <w:r w:rsidR="00633562">
        <w:rPr>
          <w:szCs w:val="22"/>
        </w:rPr>
        <w:t xml:space="preserve">year timetable for compliance will be more than adequate for nationwide </w:t>
      </w:r>
      <w:r w:rsidR="005C20D1">
        <w:rPr>
          <w:szCs w:val="22"/>
        </w:rPr>
        <w:t>CMRS provider</w:t>
      </w:r>
      <w:r w:rsidR="00633562">
        <w:rPr>
          <w:szCs w:val="22"/>
        </w:rPr>
        <w:t xml:space="preserve">s, as will the extension by one year each for non-nationwide </w:t>
      </w:r>
      <w:r w:rsidR="005C20D1">
        <w:rPr>
          <w:szCs w:val="22"/>
        </w:rPr>
        <w:t>CMRS provider</w:t>
      </w:r>
      <w:r w:rsidR="00633562">
        <w:rPr>
          <w:szCs w:val="22"/>
        </w:rPr>
        <w:t xml:space="preserve">s.  Our solution recognizes the </w:t>
      </w:r>
      <w:r>
        <w:rPr>
          <w:szCs w:val="22"/>
        </w:rPr>
        <w:t xml:space="preserve">substantial but still incomplete </w:t>
      </w:r>
      <w:r w:rsidR="00633562">
        <w:rPr>
          <w:szCs w:val="22"/>
        </w:rPr>
        <w:t>technological progress achieved to date and makes the most effective use of the Amended Roadmap to work toward a backstop solution in the event the failure of a dispatchable location approach requires it.</w:t>
      </w:r>
      <w:r>
        <w:rPr>
          <w:szCs w:val="22"/>
        </w:rPr>
        <w:t xml:space="preserve">  It also provides reasonable and appropriate incentives for CMRS providers to ensure the success of their preferred dispatchable location solution and/or a z-axis metric alternative.</w:t>
      </w:r>
    </w:p>
    <w:p w14:paraId="0C7CB12D" w14:textId="66FE1183" w:rsidR="00633562" w:rsidRDefault="00633562" w:rsidP="00633562">
      <w:pPr>
        <w:pStyle w:val="ParaNum"/>
      </w:pPr>
      <w:bookmarkStart w:id="280" w:name="_Ref409179783"/>
      <w:r>
        <w:t xml:space="preserve">To </w:t>
      </w:r>
      <w:r w:rsidR="00EB5CD2">
        <w:t xml:space="preserve">further </w:t>
      </w:r>
      <w:r>
        <w:t xml:space="preserve">ensure that nationwide CMRS providers are on track to provide a proposed z-axis metric for </w:t>
      </w:r>
      <w:r w:rsidRPr="00334281">
        <w:rPr>
          <w:szCs w:val="22"/>
        </w:rPr>
        <w:t>vertical location</w:t>
      </w:r>
      <w:r>
        <w:rPr>
          <w:szCs w:val="22"/>
        </w:rPr>
        <w:t xml:space="preserve"> at </w:t>
      </w:r>
      <w:r w:rsidRPr="00334281">
        <w:rPr>
          <w:szCs w:val="22"/>
        </w:rPr>
        <w:t>three</w:t>
      </w:r>
      <w:r>
        <w:rPr>
          <w:szCs w:val="22"/>
        </w:rPr>
        <w:t xml:space="preserve"> </w:t>
      </w:r>
      <w:r w:rsidRPr="00334281">
        <w:rPr>
          <w:szCs w:val="22"/>
        </w:rPr>
        <w:t>year</w:t>
      </w:r>
      <w:r>
        <w:rPr>
          <w:szCs w:val="22"/>
        </w:rPr>
        <w:t>s</w:t>
      </w:r>
      <w:r w:rsidRPr="00334281">
        <w:rPr>
          <w:szCs w:val="22"/>
        </w:rPr>
        <w:t xml:space="preserve">, we </w:t>
      </w:r>
      <w:r>
        <w:rPr>
          <w:szCs w:val="22"/>
        </w:rPr>
        <w:t>r</w:t>
      </w:r>
      <w:r w:rsidRPr="00334281">
        <w:rPr>
          <w:szCs w:val="22"/>
        </w:rPr>
        <w:t>equire that</w:t>
      </w:r>
      <w:r>
        <w:rPr>
          <w:szCs w:val="22"/>
        </w:rPr>
        <w:t xml:space="preserve"> they </w:t>
      </w:r>
      <w:r w:rsidRPr="00334281">
        <w:rPr>
          <w:szCs w:val="22"/>
        </w:rPr>
        <w:t xml:space="preserve">report to the Commission on their progress towards </w:t>
      </w:r>
      <w:r>
        <w:rPr>
          <w:szCs w:val="22"/>
        </w:rPr>
        <w:t>testing and developing the proposed metric 18</w:t>
      </w:r>
      <w:r w:rsidR="00F77DF5">
        <w:rPr>
          <w:szCs w:val="22"/>
        </w:rPr>
        <w:t xml:space="preserve"> </w:t>
      </w:r>
      <w:r>
        <w:rPr>
          <w:szCs w:val="22"/>
        </w:rPr>
        <w:t xml:space="preserve">months from the Effective Date. </w:t>
      </w:r>
      <w:r w:rsidDel="00E953C2">
        <w:t xml:space="preserve"> </w:t>
      </w:r>
      <w:r>
        <w:rPr>
          <w:szCs w:val="22"/>
        </w:rPr>
        <w:t xml:space="preserve">As part of the 18-month report, </w:t>
      </w:r>
      <w:r w:rsidRPr="00334281">
        <w:rPr>
          <w:szCs w:val="22"/>
        </w:rPr>
        <w:t xml:space="preserve">at a minimum, </w:t>
      </w:r>
      <w:r>
        <w:rPr>
          <w:szCs w:val="22"/>
        </w:rPr>
        <w:t xml:space="preserve">CMRS providers must show how </w:t>
      </w:r>
      <w:r w:rsidRPr="00334281">
        <w:rPr>
          <w:szCs w:val="22"/>
        </w:rPr>
        <w:t xml:space="preserve">they </w:t>
      </w:r>
      <w:r>
        <w:rPr>
          <w:szCs w:val="22"/>
        </w:rPr>
        <w:t xml:space="preserve">are testing and </w:t>
      </w:r>
      <w:r w:rsidRPr="00334281">
        <w:rPr>
          <w:szCs w:val="22"/>
        </w:rPr>
        <w:t>develop</w:t>
      </w:r>
      <w:r>
        <w:rPr>
          <w:szCs w:val="22"/>
        </w:rPr>
        <w:t xml:space="preserve">ing </w:t>
      </w:r>
      <w:r w:rsidR="00F77DF5">
        <w:rPr>
          <w:szCs w:val="22"/>
        </w:rPr>
        <w:t xml:space="preserve">z-axis </w:t>
      </w:r>
      <w:r>
        <w:rPr>
          <w:szCs w:val="22"/>
        </w:rPr>
        <w:t>solution</w:t>
      </w:r>
      <w:r w:rsidR="00F77DF5">
        <w:rPr>
          <w:szCs w:val="22"/>
        </w:rPr>
        <w:t>s</w:t>
      </w:r>
      <w:r>
        <w:rPr>
          <w:szCs w:val="22"/>
        </w:rPr>
        <w:t xml:space="preserve"> and, consistent with their commitment in the Roadmap,</w:t>
      </w:r>
      <w:r>
        <w:rPr>
          <w:rStyle w:val="FootnoteReference"/>
          <w:szCs w:val="22"/>
        </w:rPr>
        <w:footnoteReference w:id="306"/>
      </w:r>
      <w:r>
        <w:rPr>
          <w:szCs w:val="22"/>
        </w:rPr>
        <w:t xml:space="preserve"> demonstrate their efforts to promote the development and approval of standards to support such solution</w:t>
      </w:r>
      <w:r w:rsidR="00F77DF5">
        <w:rPr>
          <w:szCs w:val="22"/>
        </w:rPr>
        <w:t>s</w:t>
      </w:r>
      <w:r>
        <w:rPr>
          <w:szCs w:val="22"/>
        </w:rPr>
        <w:t xml:space="preserve">. </w:t>
      </w:r>
      <w:r w:rsidRPr="00334281">
        <w:rPr>
          <w:szCs w:val="22"/>
        </w:rPr>
        <w:t xml:space="preserve"> </w:t>
      </w:r>
      <w:r>
        <w:t>We find that the requirements and adjusted timeframe we adopt today sufficiently address concerns raised by commenters with regard to technical feasibility, the time necessary for standards development and deployment of new technologies, and for integration into PSAP systems and procedures.</w:t>
      </w:r>
      <w:bookmarkEnd w:id="280"/>
    </w:p>
    <w:p w14:paraId="26A5C75E" w14:textId="3BF2B937" w:rsidR="00633562" w:rsidRDefault="00633562" w:rsidP="00633562">
      <w:pPr>
        <w:pStyle w:val="ParaNum"/>
      </w:pPr>
      <w:r>
        <w:t>We also find that the current limitations on the ability of PSAPs to use vertical location information fail to justify delaying adoption of vertical location accuracy requirements</w:t>
      </w:r>
      <w:r w:rsidR="00F77DF5">
        <w:t xml:space="preserve"> beyond the timeframes adopted in this order</w:t>
      </w:r>
      <w:r>
        <w:t>.  Indeed, public safety commenters argue that even imperfect vertical location information would be of use to them.</w:t>
      </w:r>
      <w:r>
        <w:rPr>
          <w:rStyle w:val="FootnoteReference"/>
        </w:rPr>
        <w:footnoteReference w:id="307"/>
      </w:r>
      <w:r>
        <w:t xml:space="preserve">  We believe the provision of uncompensated barometric pressure data mitigates that problem in the near term.  We also agree with APCO that PSAPs are unlikely to invest in upgrading their equipment and software unless there are requirements in place to ensure that the information will soon be available to them.  While PSAPs may not be able to utilize vertical location information immediately, the six-year timeframe associated with this requirement provides ample time for PSAPs to develop such capability.</w:t>
      </w:r>
    </w:p>
    <w:p w14:paraId="40DE2795" w14:textId="69B838A9" w:rsidR="004C254D" w:rsidRPr="00757BFF" w:rsidRDefault="00633562" w:rsidP="00633562">
      <w:pPr>
        <w:pStyle w:val="ParaNum"/>
      </w:pPr>
      <w:r>
        <w:t xml:space="preserve">Finally, although we adopt a nationwide requirement for all CMRS providers to provide uncompensated barometric pressure data to PSAPs from any capable handset, we decline to apply a similar requirement at this time to the deployment of z-axis metric solution.  We anticipate that the provision of dispatchable location obviates the need for nationwide deployment within the timeframes adopted today.  Again, we find that the requirements and adjusted timeframe adopted herein sufficiently take into account concerns raised by commenters with regard to technical feasibility, the time necessary for standards development and deployment of new technologies, and for integration into PSAP systems and procedures even in rural areas.          </w:t>
      </w:r>
      <w:r w:rsidRPr="0047111D">
        <w:rPr>
          <w:rFonts w:eastAsia="MS Mincho"/>
          <w:lang w:eastAsia="ja-JP"/>
        </w:rPr>
        <w:t xml:space="preserve"> </w:t>
      </w:r>
      <w:r>
        <w:t xml:space="preserve"> </w:t>
      </w:r>
      <w:r w:rsidR="003D76DF">
        <w:t xml:space="preserve">   </w:t>
      </w:r>
      <w:r w:rsidR="00E77AB5">
        <w:t xml:space="preserve">  </w:t>
      </w:r>
      <w:r w:rsidR="003A3008">
        <w:t xml:space="preserve">  </w:t>
      </w:r>
      <w:r w:rsidR="003A3008" w:rsidRPr="00633562">
        <w:rPr>
          <w:rFonts w:eastAsia="MS Mincho"/>
          <w:lang w:eastAsia="ja-JP"/>
        </w:rPr>
        <w:t xml:space="preserve"> </w:t>
      </w:r>
      <w:r w:rsidR="003A3008">
        <w:t xml:space="preserve"> </w:t>
      </w:r>
    </w:p>
    <w:p w14:paraId="25A14F14" w14:textId="77777777" w:rsidR="00523517" w:rsidRPr="008B60AE" w:rsidRDefault="00523517" w:rsidP="004B617B">
      <w:pPr>
        <w:pStyle w:val="Heading3"/>
        <w:rPr>
          <w:szCs w:val="22"/>
        </w:rPr>
      </w:pPr>
      <w:bookmarkStart w:id="281" w:name="_Toc402535538"/>
      <w:bookmarkStart w:id="282" w:name="_Toc406513846"/>
      <w:bookmarkStart w:id="283" w:name="_Toc408400452"/>
      <w:bookmarkStart w:id="284" w:name="_Toc408400505"/>
      <w:bookmarkStart w:id="285" w:name="_Toc408400560"/>
      <w:bookmarkStart w:id="286" w:name="_Toc408403116"/>
      <w:bookmarkStart w:id="287" w:name="_Toc408421328"/>
      <w:bookmarkStart w:id="288" w:name="_Toc407796242"/>
      <w:bookmarkStart w:id="289" w:name="_Toc408490572"/>
      <w:bookmarkStart w:id="290" w:name="_Toc408496215"/>
      <w:bookmarkStart w:id="291" w:name="_Toc408502416"/>
      <w:bookmarkStart w:id="292" w:name="_Toc410119088"/>
      <w:bookmarkStart w:id="293" w:name="_Toc410123667"/>
      <w:bookmarkStart w:id="294" w:name="_Toc410124649"/>
      <w:bookmarkStart w:id="295" w:name="_Toc410124729"/>
      <w:bookmarkStart w:id="296" w:name="_Toc410146123"/>
      <w:bookmarkStart w:id="297" w:name="_Toc410212647"/>
      <w:bookmarkStart w:id="298" w:name="_Toc410648288"/>
      <w:r w:rsidRPr="008B60AE">
        <w:rPr>
          <w:szCs w:val="22"/>
        </w:rPr>
        <w:t>Implementation Issues</w:t>
      </w:r>
      <w:bookmarkEnd w:id="262"/>
      <w:bookmarkEnd w:id="263"/>
      <w:bookmarkEnd w:id="264"/>
      <w:bookmarkEnd w:id="265"/>
      <w:bookmarkEnd w:id="266"/>
      <w:bookmarkEnd w:id="267"/>
      <w:bookmarkEnd w:id="268"/>
      <w:bookmarkEnd w:id="269"/>
      <w:bookmarkEnd w:id="27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14:paraId="386384D6" w14:textId="77777777" w:rsidR="005E5E17" w:rsidRPr="00492FBD" w:rsidRDefault="005E5E17" w:rsidP="005E5E17">
      <w:pPr>
        <w:pStyle w:val="Heading4"/>
      </w:pPr>
      <w:bookmarkStart w:id="299" w:name="_Toc408400506"/>
      <w:bookmarkStart w:id="300" w:name="_Toc408400561"/>
      <w:bookmarkStart w:id="301" w:name="_Toc408490573"/>
      <w:bookmarkStart w:id="302" w:name="_Ref408923238"/>
      <w:bookmarkStart w:id="303" w:name="_Toc379903267"/>
      <w:bookmarkStart w:id="304" w:name="_Toc379907046"/>
      <w:bookmarkStart w:id="305" w:name="_Toc380482086"/>
      <w:bookmarkStart w:id="306" w:name="_Toc380483079"/>
      <w:bookmarkStart w:id="307" w:name="_Toc380569151"/>
      <w:bookmarkStart w:id="308" w:name="_Toc380580339"/>
      <w:bookmarkStart w:id="309" w:name="_Toc380581407"/>
      <w:bookmarkStart w:id="310" w:name="_Toc380584397"/>
      <w:bookmarkStart w:id="311" w:name="_Toc380673875"/>
      <w:r w:rsidRPr="00492FBD">
        <w:t xml:space="preserve">Compliance Testing for Indoor Location Accuracy </w:t>
      </w:r>
      <w:r>
        <w:t>Requirement</w:t>
      </w:r>
      <w:r w:rsidRPr="00492FBD">
        <w:t>s</w:t>
      </w:r>
      <w:bookmarkEnd w:id="299"/>
      <w:bookmarkEnd w:id="300"/>
      <w:bookmarkEnd w:id="301"/>
      <w:bookmarkEnd w:id="302"/>
    </w:p>
    <w:p w14:paraId="5CEBE606" w14:textId="77777777" w:rsidR="005E5E17" w:rsidRPr="00492FBD" w:rsidRDefault="005E5E17" w:rsidP="005E5E17">
      <w:pPr>
        <w:pStyle w:val="ParaNum"/>
      </w:pPr>
      <w:r w:rsidRPr="00143DBF">
        <w:rPr>
          <w:i/>
        </w:rPr>
        <w:t>Background</w:t>
      </w:r>
      <w:r>
        <w:t xml:space="preserve">.  In the </w:t>
      </w:r>
      <w:r w:rsidRPr="00B7262E">
        <w:rPr>
          <w:i/>
        </w:rPr>
        <w:t>Third Further Notice</w:t>
      </w:r>
      <w:r>
        <w:t>, w</w:t>
      </w:r>
      <w:r w:rsidRPr="00D21888">
        <w:t xml:space="preserve">e </w:t>
      </w:r>
      <w:r>
        <w:t xml:space="preserve">found </w:t>
      </w:r>
      <w:r w:rsidRPr="00D21888">
        <w:t xml:space="preserve">that </w:t>
      </w:r>
      <w:r>
        <w:t xml:space="preserve">CSRIC </w:t>
      </w:r>
      <w:r w:rsidRPr="00D21888">
        <w:t>WG3 demonstrated the feasibility of establishing a test bed for purposes of evaluating the accuracy of different indoor location technologies across various indoor environments.</w:t>
      </w:r>
      <w:r>
        <w:rPr>
          <w:rStyle w:val="FootnoteReference"/>
        </w:rPr>
        <w:footnoteReference w:id="308"/>
      </w:r>
      <w:r w:rsidRPr="00D21888">
        <w:t xml:space="preserve">  Accordingly, we </w:t>
      </w:r>
      <w:r>
        <w:t xml:space="preserve">found </w:t>
      </w:r>
      <w:r w:rsidRPr="00D21888">
        <w:t>that a test bed approach, representative of real-life call scenarios, would be the most practical and cost-effective method for testing compliance with indoor location accuracy requirements.</w:t>
      </w:r>
      <w:r>
        <w:t xml:space="preserve">  We proposed two approaches based on representative real</w:t>
      </w:r>
      <w:r w:rsidR="00917143">
        <w:t>-</w:t>
      </w:r>
      <w:r>
        <w:t xml:space="preserve">life call scenarios, one centered on participation in an independently administered test bed program and the second centered on alternative but equivalent testing methodologies.  </w:t>
      </w:r>
      <w:r w:rsidR="003B4B0F">
        <w:t>U</w:t>
      </w:r>
      <w:r w:rsidR="003B4B0F" w:rsidRPr="001D0B06">
        <w:t>nder either propos</w:t>
      </w:r>
      <w:r w:rsidR="003B4B0F">
        <w:t>al, c</w:t>
      </w:r>
      <w:r w:rsidR="003B4B0F" w:rsidRPr="001D0B06">
        <w:t xml:space="preserve">ertification would provide a </w:t>
      </w:r>
      <w:r w:rsidR="003B4B0F">
        <w:t>“</w:t>
      </w:r>
      <w:r w:rsidR="003B4B0F" w:rsidRPr="001D0B06">
        <w:t>safe harbor</w:t>
      </w:r>
      <w:r w:rsidR="003B4B0F">
        <w:t xml:space="preserve">” in which CMRS providers, upon certification that </w:t>
      </w:r>
      <w:r w:rsidR="003B4B0F" w:rsidRPr="002A6F8B">
        <w:t xml:space="preserve">a technology </w:t>
      </w:r>
      <w:r w:rsidR="003B4B0F">
        <w:t>meets our l</w:t>
      </w:r>
      <w:r w:rsidR="003B4B0F" w:rsidRPr="002A6F8B">
        <w:t>ocation requirements</w:t>
      </w:r>
      <w:r w:rsidR="003B4B0F">
        <w:t xml:space="preserve"> and has been </w:t>
      </w:r>
      <w:r w:rsidR="003B4B0F" w:rsidRPr="002A6F8B">
        <w:t>deployed in a manner consistent with the test bed parameters, would be presumed to comply with the Commission’s rules, without the need for the provider to conduct indoor testing in all locations where the technology is actually deployed</w:t>
      </w:r>
      <w:r w:rsidRPr="00492FBD">
        <w:t>.</w:t>
      </w:r>
      <w:r>
        <w:rPr>
          <w:rStyle w:val="FootnoteReference"/>
        </w:rPr>
        <w:footnoteReference w:id="309"/>
      </w:r>
      <w:r w:rsidR="00F52181">
        <w:t xml:space="preserve">  </w:t>
      </w:r>
    </w:p>
    <w:p w14:paraId="60E45DAD" w14:textId="72F0A32A" w:rsidR="003B4B0F" w:rsidRDefault="003B4B0F" w:rsidP="00C57F6C">
      <w:pPr>
        <w:pStyle w:val="ParaNum"/>
        <w:widowControl/>
      </w:pPr>
      <w:r>
        <w:t xml:space="preserve">Commenters generally support the establishment of a test bed for technology vendors and </w:t>
      </w:r>
      <w:r w:rsidR="00DD10E3">
        <w:t>CMRS provider</w:t>
      </w:r>
      <w:r>
        <w:t>s to demonstrate indoor location accuracy.</w:t>
      </w:r>
      <w:r>
        <w:rPr>
          <w:rStyle w:val="FootnoteReference"/>
        </w:rPr>
        <w:footnoteReference w:id="310"/>
      </w:r>
      <w:r>
        <w:t xml:space="preserve">  </w:t>
      </w:r>
      <w:r w:rsidR="009334E3">
        <w:t xml:space="preserve">CMRS </w:t>
      </w:r>
      <w:r>
        <w:t xml:space="preserve">providers </w:t>
      </w:r>
      <w:r w:rsidR="00ED7D18">
        <w:t>urge</w:t>
      </w:r>
      <w:r>
        <w:t xml:space="preserve"> </w:t>
      </w:r>
      <w:r w:rsidR="00501405">
        <w:t xml:space="preserve">establishment of </w:t>
      </w:r>
      <w:r>
        <w:t>a</w:t>
      </w:r>
      <w:r w:rsidR="00ED7D18">
        <w:t>n independent</w:t>
      </w:r>
      <w:r>
        <w:t xml:space="preserve"> test bed, </w:t>
      </w:r>
      <w:r w:rsidR="00ED7D18">
        <w:t xml:space="preserve">and argued that </w:t>
      </w:r>
      <w:r>
        <w:t xml:space="preserve">requiring testing in all markets served by </w:t>
      </w:r>
      <w:r w:rsidR="00DD10E3">
        <w:t>CMRS provider</w:t>
      </w:r>
      <w:r>
        <w:t>s could delay or impede identifying candidate technologies.</w:t>
      </w:r>
      <w:r>
        <w:rPr>
          <w:rStyle w:val="FootnoteReference"/>
        </w:rPr>
        <w:footnoteReference w:id="311"/>
      </w:r>
      <w:r>
        <w:t xml:space="preserve">  A number of commenters agree that testing in representative environments that include rural, suburban, urban and dense urban morphologies provides an acceptable proxy to conducting market-by-market testing.</w:t>
      </w:r>
      <w:r>
        <w:rPr>
          <w:rStyle w:val="FootnoteReference"/>
        </w:rPr>
        <w:footnoteReference w:id="312"/>
      </w:r>
      <w:r>
        <w:t xml:space="preserve">  Other commenters argue that live 911 call data should be compared to any certified results achieved in a test bed environment in order for PSAPs to determine if service providers are meeting compliance requirements in their area.</w:t>
      </w:r>
      <w:r>
        <w:rPr>
          <w:rStyle w:val="FootnoteReference"/>
        </w:rPr>
        <w:footnoteReference w:id="313"/>
      </w:r>
    </w:p>
    <w:p w14:paraId="33EAAC76" w14:textId="77777777" w:rsidR="005E5E17" w:rsidRDefault="003B4B0F" w:rsidP="005E5E17">
      <w:pPr>
        <w:pStyle w:val="ParaNum"/>
      </w:pPr>
      <w:r>
        <w:t>In June 2014, CSRIC IV WG1 released its Final Report on specifications for an indoor location accuracy test bed that included recommendations for methodology, management framework, funding, and logistical processes</w:t>
      </w:r>
      <w:r w:rsidR="005E5E17">
        <w:t>.</w:t>
      </w:r>
      <w:r w:rsidR="005E5E17">
        <w:rPr>
          <w:rStyle w:val="FootnoteReference"/>
        </w:rPr>
        <w:footnoteReference w:id="314"/>
      </w:r>
      <w:r w:rsidR="005E5E17">
        <w:t xml:space="preserve">  </w:t>
      </w:r>
      <w:r>
        <w:t xml:space="preserve">CSRIC </w:t>
      </w:r>
      <w:r w:rsidR="00A03B05">
        <w:t xml:space="preserve">IV </w:t>
      </w:r>
      <w:r>
        <w:t>recommended adopting the CSRIC III test methodology and establishing permanent regional test bed facilities in six representative cities distributed across the U.S.</w:t>
      </w:r>
      <w:r>
        <w:rPr>
          <w:rStyle w:val="FootnoteReference"/>
        </w:rPr>
        <w:footnoteReference w:id="315"/>
      </w:r>
      <w:r>
        <w:t xml:space="preserve">  While CSRIC </w:t>
      </w:r>
      <w:r w:rsidR="00A03B05">
        <w:t>IV</w:t>
      </w:r>
      <w:r w:rsidR="0071739F">
        <w:t xml:space="preserve"> </w:t>
      </w:r>
      <w:r>
        <w:t>focused on development of the test bed for experimental testing, it did not extend the scope of its recommendations to the potential use of test bed data to demonstrate compliance with location accuracy benchmarks.</w:t>
      </w:r>
      <w:r>
        <w:rPr>
          <w:rStyle w:val="FootnoteReference"/>
        </w:rPr>
        <w:footnoteReference w:id="316"/>
      </w:r>
    </w:p>
    <w:p w14:paraId="4CE6F2F3" w14:textId="77777777" w:rsidR="005E5E17" w:rsidRDefault="00B82F90" w:rsidP="005E5E17">
      <w:pPr>
        <w:pStyle w:val="ParaNum"/>
      </w:pPr>
      <w:r>
        <w:t xml:space="preserve">The Roadmap provides for establishment of a test bed modeled on the CSRIC </w:t>
      </w:r>
      <w:r w:rsidR="00A03B05">
        <w:t xml:space="preserve">III </w:t>
      </w:r>
      <w:r>
        <w:t>recommendations.  The Roadmap test bed would facilitate testing of both indoor and outdoor 911 location technologies and would include both experimental testing and compliance components.</w:t>
      </w:r>
      <w:r w:rsidR="005E5E17">
        <w:rPr>
          <w:rStyle w:val="FootnoteReference"/>
        </w:rPr>
        <w:footnoteReference w:id="317"/>
      </w:r>
      <w:r w:rsidR="005E5E17">
        <w:t xml:space="preserve">  </w:t>
      </w:r>
      <w:r>
        <w:t>The Roadmap signatories pledge to establish the test bed by November 2015 and to operate it in a technology neutral manner in order to test and validate existing and future location technologies, including “OTDOA/A-GNSS, dispatchable location solutions, and other possible location solutions (including but not limited to technologies described in PS Docket No. 07-114).”</w:t>
      </w:r>
      <w:r w:rsidR="005E5E17">
        <w:rPr>
          <w:rStyle w:val="FootnoteReference"/>
        </w:rPr>
        <w:footnoteReference w:id="318"/>
      </w:r>
      <w:r w:rsidR="005E5E17">
        <w:t xml:space="preserve">  </w:t>
      </w:r>
      <w:r>
        <w:t xml:space="preserve">The Roadmap also provides for use of the test bed data to demonstrate </w:t>
      </w:r>
      <w:r w:rsidR="00DD10E3">
        <w:t>CMRS provider</w:t>
      </w:r>
      <w:r>
        <w:t xml:space="preserve"> compliance with location accuracy performance benchmarks.  However, rather that measuring compliance based on test data alone, the Roadmap would measure compliance based on actual use of the tested technologies in live 911 calls.</w:t>
      </w:r>
      <w:r>
        <w:rPr>
          <w:rStyle w:val="FootnoteReference"/>
        </w:rPr>
        <w:footnoteReference w:id="319"/>
      </w:r>
    </w:p>
    <w:p w14:paraId="53032413" w14:textId="4445AF9A" w:rsidR="005E5E17" w:rsidRPr="00492FBD" w:rsidRDefault="00B82F90" w:rsidP="00C57F6C">
      <w:pPr>
        <w:pStyle w:val="ParaNum"/>
        <w:widowControl/>
      </w:pPr>
      <w:r>
        <w:t xml:space="preserve">Most commenters approve </w:t>
      </w:r>
      <w:r w:rsidR="00A03B05">
        <w:t xml:space="preserve">of </w:t>
      </w:r>
      <w:r>
        <w:t>the Roadmap</w:t>
      </w:r>
      <w:r w:rsidR="00A03B05">
        <w:t>’s</w:t>
      </w:r>
      <w:r>
        <w:t xml:space="preserve"> commitment to establish a test bed consistent with CSRIC</w:t>
      </w:r>
      <w:r w:rsidR="00A03B05">
        <w:t xml:space="preserve"> III</w:t>
      </w:r>
      <w:r>
        <w:t>’s recommendations.</w:t>
      </w:r>
      <w:r>
        <w:rPr>
          <w:rStyle w:val="FootnoteReference"/>
        </w:rPr>
        <w:footnoteReference w:id="320"/>
      </w:r>
      <w:r>
        <w:t xml:space="preserve">  </w:t>
      </w:r>
      <w:r w:rsidR="00A03B05">
        <w:t xml:space="preserve">However, some </w:t>
      </w:r>
      <w:r>
        <w:t>commenters question whether test bed performance data can provide sufficient certainty that the tested technologies will perform as well in the real world environment as in the test environment.</w:t>
      </w:r>
      <w:r>
        <w:rPr>
          <w:rStyle w:val="FootnoteReference"/>
        </w:rPr>
        <w:footnoteReference w:id="321"/>
      </w:r>
      <w:r>
        <w:t xml:space="preserve">  Other commenters contend that the Roadmap test bed proposal has limited value because the Roadmap does not contain sufficiently rigorous requirements to deploy successfully tested technologies.</w:t>
      </w:r>
      <w:r>
        <w:rPr>
          <w:rStyle w:val="FootnoteReference"/>
        </w:rPr>
        <w:footnoteReference w:id="322"/>
      </w:r>
      <w:r>
        <w:t xml:space="preserve">  Some commenters contend that the Roadmap test bed proposal leaves out key performance indicators which serve to demonstrate whether a technology meets Commission benchmarks.</w:t>
      </w:r>
      <w:r>
        <w:rPr>
          <w:rStyle w:val="FootnoteReference"/>
        </w:rPr>
        <w:footnoteReference w:id="323"/>
      </w:r>
      <w:r w:rsidRPr="008D5898">
        <w:t xml:space="preserve"> </w:t>
      </w:r>
      <w:r>
        <w:t xml:space="preserve"> Finally, rural </w:t>
      </w:r>
      <w:r w:rsidR="00DD10E3">
        <w:t>CMRS provider</w:t>
      </w:r>
      <w:r>
        <w:t>s express concern that due to the limited number of test bed locations, there will be no test bed facilities in their service areas and they therefore may be forced to conduct more expensive individualized testing.</w:t>
      </w:r>
      <w:r>
        <w:rPr>
          <w:rStyle w:val="FootnoteReference"/>
        </w:rPr>
        <w:footnoteReference w:id="324"/>
      </w:r>
    </w:p>
    <w:p w14:paraId="3A8BD7E7" w14:textId="6AA2CCF0" w:rsidR="005E5E17" w:rsidRDefault="005E5E17" w:rsidP="00785C1C">
      <w:pPr>
        <w:pStyle w:val="ParaNum"/>
      </w:pPr>
      <w:r w:rsidRPr="00E802F7">
        <w:rPr>
          <w:i/>
        </w:rPr>
        <w:t>Discussion</w:t>
      </w:r>
      <w:r w:rsidRPr="00B7262E">
        <w:rPr>
          <w:i/>
        </w:rPr>
        <w:t>.</w:t>
      </w:r>
      <w:r w:rsidRPr="00D47EA9">
        <w:t xml:space="preserve">  </w:t>
      </w:r>
      <w:r w:rsidR="00B82F90">
        <w:t>The record st</w:t>
      </w:r>
      <w:r w:rsidR="00610963">
        <w:t>rongly supports establishing a</w:t>
      </w:r>
      <w:r w:rsidR="00B82F90">
        <w:t xml:space="preserve"> test bed regime modeled on the CSRIC </w:t>
      </w:r>
      <w:r w:rsidR="00A03B05">
        <w:t xml:space="preserve">III </w:t>
      </w:r>
      <w:r w:rsidR="00B82F90">
        <w:t xml:space="preserve">recommendations that CMRS providers can use to test and verify that location technologies are capable of meeting our indoor accuracy requirements.  CSRIC </w:t>
      </w:r>
      <w:r w:rsidR="00A03B05">
        <w:t>III</w:t>
      </w:r>
      <w:r w:rsidR="00A03B05" w:rsidRPr="00492FBD">
        <w:t xml:space="preserve"> </w:t>
      </w:r>
      <w:r w:rsidR="00B82F90" w:rsidRPr="00492FBD">
        <w:t>demonstrated the feasibi</w:t>
      </w:r>
      <w:r w:rsidR="00B82F90">
        <w:t xml:space="preserve">lity of establishing a test bed and methodology </w:t>
      </w:r>
      <w:r w:rsidR="00B82F90" w:rsidRPr="00492FBD">
        <w:t xml:space="preserve">for purposes of evaluating the accuracy of different indoor location technologies across various indoor environments.  </w:t>
      </w:r>
      <w:r w:rsidR="00B82F90">
        <w:t xml:space="preserve">CSRIC IV WG1 further validated this approach, formally recommending that the Commission adopt CSRIC III’s methodologies and outlining additional recommendations regarding the management, funding and logistical aspects of operating a test bed.  The Roadmap builds on these recommendations with its commitment to establish a test bed regime consistent with the CSRIC principles. </w:t>
      </w:r>
      <w:r>
        <w:t xml:space="preserve">       </w:t>
      </w:r>
    </w:p>
    <w:p w14:paraId="21E67B15" w14:textId="029D0E86" w:rsidR="00B82F90" w:rsidRDefault="00B82F90" w:rsidP="00B82F90">
      <w:pPr>
        <w:pStyle w:val="ParaNum"/>
      </w:pPr>
      <w:r>
        <w:rPr>
          <w:i/>
        </w:rPr>
        <w:t xml:space="preserve">Test Bed Requirements.  </w:t>
      </w:r>
      <w:r>
        <w:t>While the Roadmap establishes an appropriate framework for development of a test bed regime, we believe that the test bed must conform to certain minim</w:t>
      </w:r>
      <w:r w:rsidRPr="00492FBD">
        <w:t>al requirements</w:t>
      </w:r>
      <w:r>
        <w:t xml:space="preserve"> in order for test results derived from the test bed to be considered valid for compliance purposes</w:t>
      </w:r>
      <w:r w:rsidRPr="00492FBD">
        <w:t>.  Specifically, the test bed must (1) include testing in representative indoor environments; (2) test for certain performance attributes</w:t>
      </w:r>
      <w:r w:rsidR="00A03B05">
        <w:t xml:space="preserve"> (known as key performance indicators, or KPIs)</w:t>
      </w:r>
      <w:r w:rsidRPr="00492FBD">
        <w:t>; and (3) require CMRS providers to show that the indoor location technology used for purposes of its compliance testing is the same technology (or technologies) that it is deploying in its network, and is being tested as it will actually be deployed in the network.</w:t>
      </w:r>
    </w:p>
    <w:p w14:paraId="220C9704" w14:textId="77777777" w:rsidR="00B82F90" w:rsidRDefault="00B82F90" w:rsidP="00B82F90">
      <w:pPr>
        <w:pStyle w:val="ParaNum"/>
      </w:pPr>
      <w:r w:rsidRPr="007A74C9">
        <w:rPr>
          <w:i/>
        </w:rPr>
        <w:t>Representative Environment</w:t>
      </w:r>
      <w:r>
        <w:t>.  T</w:t>
      </w:r>
      <w:r w:rsidRPr="00492FBD">
        <w:t>he test bed sh</w:t>
      </w:r>
      <w:r>
        <w:t xml:space="preserve">all </w:t>
      </w:r>
      <w:r w:rsidRPr="00492FBD">
        <w:t>reflect</w:t>
      </w:r>
      <w:r>
        <w:t xml:space="preserve"> </w:t>
      </w:r>
      <w:r w:rsidRPr="00492FBD">
        <w:t xml:space="preserve">a representative sampling of the different real world environments in which CMRS providers will be required to deliver indoor location information.  </w:t>
      </w:r>
      <w:r>
        <w:t xml:space="preserve">Therefore, each test bed should include </w:t>
      </w:r>
      <w:r w:rsidRPr="00492FBD">
        <w:t>dense urban, urban, suburban and rural morphologies, as defined by the ATIS-0500013 standard.</w:t>
      </w:r>
      <w:r w:rsidRPr="00492FBD">
        <w:rPr>
          <w:vertAlign w:val="superscript"/>
        </w:rPr>
        <w:footnoteReference w:id="325"/>
      </w:r>
      <w:r>
        <w:t xml:space="preserve">  We believe these morphologies are </w:t>
      </w:r>
      <w:r w:rsidRPr="00492FBD">
        <w:t>sufficiently representative and inclusive of the variety of indoor environments in which wireless 911 calls are made</w:t>
      </w:r>
      <w:r>
        <w:t xml:space="preserve">.   </w:t>
      </w:r>
    </w:p>
    <w:p w14:paraId="580A4BBE" w14:textId="4634B780" w:rsidR="00B82F90" w:rsidRDefault="00B82F90" w:rsidP="00B82F90">
      <w:pPr>
        <w:pStyle w:val="ParaNum"/>
      </w:pPr>
      <w:r w:rsidRPr="008C7BFE">
        <w:rPr>
          <w:i/>
        </w:rPr>
        <w:t>Performance Attributes</w:t>
      </w:r>
      <w:r w:rsidRPr="007A74C9">
        <w:t>.</w:t>
      </w:r>
      <w:r>
        <w:t xml:space="preserve">  Testing of any technology in the test bed must include testing of the following k</w:t>
      </w:r>
      <w:r w:rsidRPr="00492FBD">
        <w:t xml:space="preserve">ey performance </w:t>
      </w:r>
      <w:r>
        <w:t>attributes</w:t>
      </w:r>
      <w:r w:rsidRPr="00492FBD">
        <w:t>:  location accuracy, latency (T</w:t>
      </w:r>
      <w:r>
        <w:t>ime to First Fix</w:t>
      </w:r>
      <w:r w:rsidRPr="00492FBD">
        <w:t xml:space="preserve">), and </w:t>
      </w:r>
      <w:r>
        <w:t>reliability (</w:t>
      </w:r>
      <w:r w:rsidRPr="00492FBD">
        <w:t>yield</w:t>
      </w:r>
      <w:r>
        <w:t>)</w:t>
      </w:r>
      <w:r w:rsidRPr="00492FBD">
        <w:t xml:space="preserve">.  For purposes of determining compliance with location accuracy and </w:t>
      </w:r>
      <w:r>
        <w:t>latency requirement</w:t>
      </w:r>
      <w:r w:rsidRPr="00492FBD">
        <w:t xml:space="preserve">s, </w:t>
      </w:r>
      <w:r>
        <w:t>testing should at a minimum f</w:t>
      </w:r>
      <w:r w:rsidRPr="00492FBD">
        <w:t xml:space="preserve">ollow the </w:t>
      </w:r>
      <w:r>
        <w:t xml:space="preserve">CSRIC </w:t>
      </w:r>
      <w:r w:rsidR="00A03B05">
        <w:t>III</w:t>
      </w:r>
      <w:r w:rsidR="00A03B05" w:rsidRPr="00492FBD">
        <w:t xml:space="preserve"> </w:t>
      </w:r>
      <w:r>
        <w:t>test bed methodology</w:t>
      </w:r>
      <w:r w:rsidRPr="00492FBD">
        <w:t>.</w:t>
      </w:r>
      <w:r>
        <w:rPr>
          <w:rStyle w:val="FootnoteReference"/>
        </w:rPr>
        <w:footnoteReference w:id="326"/>
      </w:r>
      <w:r w:rsidRPr="00492FBD">
        <w:t xml:space="preserve"> </w:t>
      </w:r>
      <w:r>
        <w:t xml:space="preserve"> With respect to yield</w:t>
      </w:r>
      <w:r w:rsidRPr="00492FBD">
        <w:t>, the CSRIC test bed defined the “yield of each technology … as the [percentage] of calls with delivered location to overall ‘call attempts’ at each test point.”</w:t>
      </w:r>
      <w:r w:rsidRPr="00492FBD">
        <w:rPr>
          <w:vertAlign w:val="superscript"/>
        </w:rPr>
        <w:footnoteReference w:id="327"/>
      </w:r>
      <w:r w:rsidRPr="00492FBD">
        <w:t xml:space="preserve">  As with indoor calls in real-world scenarios, however, not all test call attempts will actually connect with the testing network established for the test bed and therefore constitute “completed” calls.  </w:t>
      </w:r>
      <w:r w:rsidRPr="00E24039">
        <w:t xml:space="preserve">In view of the difficulties that </w:t>
      </w:r>
      <w:r w:rsidR="00A03B05">
        <w:t>CSRIC III</w:t>
      </w:r>
      <w:r w:rsidR="00A03B05" w:rsidRPr="00E24039">
        <w:t xml:space="preserve"> </w:t>
      </w:r>
      <w:r w:rsidRPr="00E24039">
        <w:t xml:space="preserve">encountered in testing indoor locations, we </w:t>
      </w:r>
      <w:r>
        <w:t xml:space="preserve">adopt the following </w:t>
      </w:r>
      <w:r w:rsidRPr="00E24039">
        <w:t xml:space="preserve">definition of yield for </w:t>
      </w:r>
      <w:r>
        <w:t xml:space="preserve">testing </w:t>
      </w:r>
      <w:r w:rsidRPr="00E24039">
        <w:t>purposes</w:t>
      </w:r>
      <w:r>
        <w:t xml:space="preserve">: the yield </w:t>
      </w:r>
      <w:r w:rsidRPr="00492FBD">
        <w:t>percentage</w:t>
      </w:r>
      <w:r>
        <w:t xml:space="preserve"> shall</w:t>
      </w:r>
      <w:r w:rsidRPr="00492FBD">
        <w:t xml:space="preserve"> be based on the number of test calls that deliver a location in compliance with any applicable indoor location accuracy requirements, compared to the total number of calls that successfully connect to the testing network.  </w:t>
      </w:r>
      <w:r>
        <w:t>CMRS providers may e</w:t>
      </w:r>
      <w:r w:rsidRPr="00492FBD">
        <w:t xml:space="preserve">xclude </w:t>
      </w:r>
      <w:r>
        <w:t xml:space="preserve">test </w:t>
      </w:r>
      <w:r w:rsidRPr="00492FBD">
        <w:t>calls that are dropped or otherwise disconnected in</w:t>
      </w:r>
      <w:r>
        <w:t xml:space="preserve"> 1</w:t>
      </w:r>
      <w:r w:rsidRPr="00492FBD">
        <w:t>0 seconds or less from calculation of the yield percentage (both the denominator and numerator).</w:t>
      </w:r>
      <w:r>
        <w:t xml:space="preserve"> </w:t>
      </w:r>
      <w:r w:rsidRPr="00492FBD">
        <w:t xml:space="preserve"> </w:t>
      </w:r>
      <w:r>
        <w:t xml:space="preserve"> We</w:t>
      </w:r>
      <w:r w:rsidRPr="00492FBD">
        <w:t xml:space="preserve"> </w:t>
      </w:r>
      <w:r>
        <w:t xml:space="preserve">require </w:t>
      </w:r>
      <w:r w:rsidRPr="00492FBD">
        <w:t xml:space="preserve">CMRS providers </w:t>
      </w:r>
      <w:r>
        <w:t xml:space="preserve">to measure yield separately for </w:t>
      </w:r>
      <w:r w:rsidRPr="00492FBD">
        <w:t xml:space="preserve">each individual indoor location morphology (dense urban, urban, suburban, and rural) in the test bed, and based upon the specific type of location technology that the provider intends to deploy in real-world areas represented by that particular morphology.  </w:t>
      </w:r>
    </w:p>
    <w:p w14:paraId="1E08A951" w14:textId="3976D1E9" w:rsidR="00E37288" w:rsidRDefault="002D56BF" w:rsidP="002309F0">
      <w:pPr>
        <w:pStyle w:val="ParaNum"/>
      </w:pPr>
      <w:r w:rsidRPr="00492FBD">
        <w:rPr>
          <w:i/>
        </w:rPr>
        <w:t>Testing to Emulate Actual Network Deployment</w:t>
      </w:r>
      <w:r w:rsidRPr="00B7262E">
        <w:rPr>
          <w:i/>
        </w:rPr>
        <w:t>.</w:t>
      </w:r>
      <w:r>
        <w:t xml:space="preserve">  </w:t>
      </w:r>
      <w:r w:rsidRPr="00492FBD">
        <w:t>CMRS provider</w:t>
      </w:r>
      <w:r>
        <w:t>s</w:t>
      </w:r>
      <w:r w:rsidRPr="00492FBD">
        <w:t xml:space="preserve"> must show both (1) that </w:t>
      </w:r>
      <w:r>
        <w:t xml:space="preserve">any </w:t>
      </w:r>
      <w:r w:rsidRPr="00492FBD">
        <w:t xml:space="preserve">indoor location technology used </w:t>
      </w:r>
      <w:r>
        <w:t xml:space="preserve">in </w:t>
      </w:r>
      <w:r w:rsidRPr="00492FBD">
        <w:t>compliance testing is the same technology that will be deployed in its network, and (2) that th</w:t>
      </w:r>
      <w:r>
        <w:t>e</w:t>
      </w:r>
      <w:r w:rsidRPr="00492FBD">
        <w:t xml:space="preserve"> technology is being tested as it will actually be deployed in the CMRS provider’s network.  </w:t>
      </w:r>
      <w:r>
        <w:t>In order to count use of any tested technology towards</w:t>
      </w:r>
      <w:r w:rsidR="00E37288">
        <w:t xml:space="preserve"> any of our accuracy thresholds, CMRS providers must certify that they have deployed the technology throughout their networks in the same manner as tested.  </w:t>
      </w:r>
      <w:r w:rsidR="00E37288" w:rsidRPr="002309F0">
        <w:t xml:space="preserve">CMRS providers must </w:t>
      </w:r>
      <w:r w:rsidR="00E37288">
        <w:t xml:space="preserve">also update their </w:t>
      </w:r>
      <w:r w:rsidR="00E37288" w:rsidRPr="002309F0">
        <w:t>certification</w:t>
      </w:r>
      <w:r w:rsidR="00E37288">
        <w:t>s</w:t>
      </w:r>
      <w:r w:rsidR="00E37288" w:rsidRPr="002309F0">
        <w:t xml:space="preserve"> whenever the</w:t>
      </w:r>
      <w:r w:rsidR="00E37288">
        <w:t xml:space="preserve">y </w:t>
      </w:r>
      <w:r w:rsidR="00E37288" w:rsidRPr="002309F0">
        <w:t xml:space="preserve">introduce a new technology into </w:t>
      </w:r>
      <w:r w:rsidR="00E37288">
        <w:t xml:space="preserve">their </w:t>
      </w:r>
      <w:r w:rsidR="00E37288" w:rsidRPr="002309F0">
        <w:t>network</w:t>
      </w:r>
      <w:r w:rsidR="00E37288">
        <w:t>s</w:t>
      </w:r>
      <w:r w:rsidR="00E37288" w:rsidRPr="002309F0">
        <w:t xml:space="preserve"> or otherwise </w:t>
      </w:r>
      <w:r w:rsidR="00E37288">
        <w:t xml:space="preserve">modify their technology use in such a manner that </w:t>
      </w:r>
      <w:r w:rsidR="00E37288" w:rsidRPr="002309F0">
        <w:t>previous</w:t>
      </w:r>
      <w:r w:rsidR="00E37288">
        <w:t xml:space="preserve"> compliance testing in</w:t>
      </w:r>
      <w:r w:rsidR="00E37288" w:rsidRPr="002309F0">
        <w:t xml:space="preserve"> the test bed </w:t>
      </w:r>
      <w:r w:rsidR="00E37288">
        <w:t xml:space="preserve">would no longer be representative of the </w:t>
      </w:r>
      <w:r w:rsidR="00E37288" w:rsidRPr="002309F0">
        <w:t xml:space="preserve">technology’s </w:t>
      </w:r>
      <w:r w:rsidR="00E37288">
        <w:t>current use.</w:t>
      </w:r>
      <w:r w:rsidR="00E37288" w:rsidRPr="002309F0">
        <w:t xml:space="preserve">  </w:t>
      </w:r>
    </w:p>
    <w:p w14:paraId="3739B42C" w14:textId="11FC68C8" w:rsidR="00610963" w:rsidRDefault="00610963" w:rsidP="00610963">
      <w:pPr>
        <w:pStyle w:val="ParaNum"/>
      </w:pPr>
      <w:r w:rsidRPr="005E5E17">
        <w:rPr>
          <w:i/>
        </w:rPr>
        <w:t>Confidentiality of Test Results</w:t>
      </w:r>
      <w:r w:rsidRPr="005E5E17">
        <w:t xml:space="preserve">.  In the </w:t>
      </w:r>
      <w:r w:rsidRPr="00B7262E">
        <w:rPr>
          <w:i/>
        </w:rPr>
        <w:t>Third Further Notice</w:t>
      </w:r>
      <w:r w:rsidRPr="005E5E17">
        <w:t xml:space="preserve">, we noted that under the </w:t>
      </w:r>
      <w:r>
        <w:t>CSRIC III</w:t>
      </w:r>
      <w:r w:rsidRPr="005E5E17">
        <w:t xml:space="preserve"> test bed regime, all parties agreed that raw </w:t>
      </w:r>
      <w:r>
        <w:t xml:space="preserve">test </w:t>
      </w:r>
      <w:r w:rsidRPr="005E5E17">
        <w:t xml:space="preserve">results would be made available only to the vendors whose technology was to be tested, </w:t>
      </w:r>
      <w:r>
        <w:t xml:space="preserve">to the </w:t>
      </w:r>
      <w:r w:rsidRPr="005E5E17">
        <w:t xml:space="preserve">participating </w:t>
      </w:r>
      <w:r>
        <w:t>CMRS</w:t>
      </w:r>
      <w:r w:rsidRPr="005E5E17">
        <w:t xml:space="preserve"> providers, and</w:t>
      </w:r>
      <w:r>
        <w:t xml:space="preserve"> to</w:t>
      </w:r>
      <w:r w:rsidRPr="005E5E17">
        <w:t xml:space="preserve"> the third-party testing house.</w:t>
      </w:r>
      <w:r w:rsidRPr="005E5E17">
        <w:rPr>
          <w:vertAlign w:val="superscript"/>
        </w:rPr>
        <w:footnoteReference w:id="328"/>
      </w:r>
      <w:r w:rsidRPr="004C29B5">
        <w:t xml:space="preserve"> </w:t>
      </w:r>
      <w:r w:rsidRPr="0071739F">
        <w:t xml:space="preserve"> </w:t>
      </w:r>
      <w:r w:rsidRPr="005E5E17">
        <w:t>In order to protect vendors’ proprietary information, only summary data was made available to all other parties.</w:t>
      </w:r>
      <w:r w:rsidRPr="005E5E17">
        <w:rPr>
          <w:vertAlign w:val="superscript"/>
        </w:rPr>
        <w:footnoteReference w:id="329"/>
      </w:r>
      <w:r w:rsidRPr="005E5E17">
        <w:t xml:space="preserve">  At this time, we will not require CMRS providers to make public the details of test results </w:t>
      </w:r>
      <w:r>
        <w:t xml:space="preserve">for technologies </w:t>
      </w:r>
      <w:r w:rsidRPr="005E5E17">
        <w:t>that have been certified by the independent test bed administrator.  We believe the test administrators’ certification is sufficient notification that a technology meets our key performance indicators.</w:t>
      </w:r>
    </w:p>
    <w:p w14:paraId="3BC1CC62" w14:textId="52F135F5" w:rsidR="00E37288" w:rsidRDefault="00610963" w:rsidP="00C57F6C">
      <w:pPr>
        <w:pStyle w:val="ParaNum"/>
        <w:widowControl/>
      </w:pPr>
      <w:r>
        <w:t xml:space="preserve">With regard to non-nationwide CMRS providers that cannot participate directly in the test bed, we find that the test bed administrator shall make available to them the same  data available to participating CMRS providers and under the same confidentiality </w:t>
      </w:r>
      <w:r w:rsidR="006C68D3">
        <w:t>requirements</w:t>
      </w:r>
      <w:r>
        <w:t xml:space="preserve"> established by the test bed administrator.  This will enable such CMRS providers to determine whether to deploy that technology in their own networks.  Enabling non-nationwide </w:t>
      </w:r>
      <w:r w:rsidR="005C20D1">
        <w:t>CMRS provider</w:t>
      </w:r>
      <w:r>
        <w:t xml:space="preserve">s to access test data under the same confidentiality conditions as participating CMRS providers obviates the need for individual testing by those </w:t>
      </w:r>
      <w:r w:rsidR="005C20D1">
        <w:t>provider</w:t>
      </w:r>
      <w:r>
        <w:t>s.</w:t>
      </w:r>
    </w:p>
    <w:p w14:paraId="14CAA19F" w14:textId="77777777" w:rsidR="00FE0848" w:rsidRDefault="00FE0848" w:rsidP="0047111D">
      <w:pPr>
        <w:pStyle w:val="Heading4"/>
      </w:pPr>
      <w:bookmarkStart w:id="312" w:name="_Ref408486411"/>
      <w:bookmarkStart w:id="313" w:name="_Toc408490574"/>
      <w:bookmarkStart w:id="314" w:name="_Toc379903273"/>
      <w:bookmarkStart w:id="315" w:name="_Toc379907052"/>
      <w:bookmarkStart w:id="316" w:name="_Toc380482092"/>
      <w:bookmarkStart w:id="317" w:name="_Toc380483085"/>
      <w:bookmarkStart w:id="318" w:name="_Toc380569157"/>
      <w:bookmarkStart w:id="319" w:name="_Toc380580345"/>
      <w:bookmarkStart w:id="320" w:name="_Toc380581413"/>
      <w:bookmarkStart w:id="321" w:name="_Toc380584403"/>
      <w:bookmarkStart w:id="322" w:name="_Toc380673881"/>
      <w:bookmarkStart w:id="323" w:name="_Toc408400507"/>
      <w:bookmarkStart w:id="324" w:name="_Toc408400562"/>
      <w:bookmarkEnd w:id="303"/>
      <w:bookmarkEnd w:id="304"/>
      <w:bookmarkEnd w:id="305"/>
      <w:bookmarkEnd w:id="306"/>
      <w:bookmarkEnd w:id="307"/>
      <w:bookmarkEnd w:id="308"/>
      <w:bookmarkEnd w:id="309"/>
      <w:bookmarkEnd w:id="310"/>
      <w:bookmarkEnd w:id="311"/>
      <w:r>
        <w:t>Use of Live 911 Call</w:t>
      </w:r>
      <w:r w:rsidRPr="008B60AE">
        <w:t xml:space="preserve"> Dat</w:t>
      </w:r>
      <w:r>
        <w:t>a to Verify Compliance</w:t>
      </w:r>
      <w:bookmarkEnd w:id="312"/>
      <w:bookmarkEnd w:id="313"/>
    </w:p>
    <w:p w14:paraId="3CA71852" w14:textId="77777777" w:rsidR="00FE0848" w:rsidRDefault="00FE0848" w:rsidP="00FE0848">
      <w:pPr>
        <w:pStyle w:val="ParaNum"/>
      </w:pPr>
      <w:r w:rsidRPr="00852A49">
        <w:rPr>
          <w:i/>
        </w:rPr>
        <w:t>Background</w:t>
      </w:r>
      <w:r w:rsidRPr="00887BCE">
        <w:t xml:space="preserve">.  </w:t>
      </w:r>
      <w:r>
        <w:t xml:space="preserve">The Roadmap submitted by the four nationwide providers commits to collecting and reporting live </w:t>
      </w:r>
      <w:r w:rsidR="00A03B05">
        <w:t xml:space="preserve">911 </w:t>
      </w:r>
      <w:r>
        <w:t xml:space="preserve">call data in six test cities </w:t>
      </w:r>
      <w:r w:rsidR="0071554E">
        <w:t xml:space="preserve">recommended </w:t>
      </w:r>
      <w:r>
        <w:t>by ATIS ESIF on a quarterly basis to NENA and APCO, including data on the “positioning source method” used to deliver each wireless 911 call.</w:t>
      </w:r>
      <w:r>
        <w:rPr>
          <w:rStyle w:val="FootnoteReference"/>
        </w:rPr>
        <w:footnoteReference w:id="330"/>
      </w:r>
      <w:r>
        <w:t xml:space="preserve">  </w:t>
      </w:r>
    </w:p>
    <w:p w14:paraId="715CC72C" w14:textId="4789D2B8" w:rsidR="00E37288" w:rsidRDefault="00FE0848" w:rsidP="00C57F6C">
      <w:pPr>
        <w:pStyle w:val="ParaNum"/>
        <w:widowControl/>
      </w:pPr>
      <w:r>
        <w:t>In response to the Roadmap, multiple commenters support the collection and reporting of live call data.</w:t>
      </w:r>
      <w:r>
        <w:rPr>
          <w:rStyle w:val="FootnoteReference"/>
        </w:rPr>
        <w:footnoteReference w:id="331"/>
      </w:r>
      <w:r>
        <w:t xml:space="preserve">  For example, Cisco submits that “[l]ive call data is an important step and necessitated by the commitments made in the Roadmap.”</w:t>
      </w:r>
      <w:r>
        <w:rPr>
          <w:rStyle w:val="FootnoteReference"/>
        </w:rPr>
        <w:footnoteReference w:id="332"/>
      </w:r>
      <w:r>
        <w:t xml:space="preserve">  NASNA contends that CMRS providers should report live call data to NASNA and the Commission as well, consistent with existing outdoor location accuracy reporting requirements.</w:t>
      </w:r>
      <w:r>
        <w:rPr>
          <w:rStyle w:val="FootnoteReference"/>
        </w:rPr>
        <w:footnoteReference w:id="333"/>
      </w:r>
      <w:r>
        <w:t xml:space="preserve">  The Lackawanna County, PA District Attorney argues that this information should also be made available to law enforcement upon request.</w:t>
      </w:r>
      <w:r>
        <w:rPr>
          <w:rStyle w:val="FootnoteReference"/>
        </w:rPr>
        <w:footnoteReference w:id="334"/>
      </w:r>
      <w:r>
        <w:t xml:space="preserve">  Small and rural CMRS providers, however, argue that live 911 call tracking and reporting would be overly burdensome for them.</w:t>
      </w:r>
      <w:r>
        <w:rPr>
          <w:rStyle w:val="FootnoteReference"/>
        </w:rPr>
        <w:footnoteReference w:id="335"/>
      </w:r>
      <w:r>
        <w:t xml:space="preserve">  </w:t>
      </w:r>
      <w:r w:rsidR="00A03B05">
        <w:t>For example, though it supports the use of live call data, CCA notes that its members “may not hold licenses for spectrum or otherwise operate in any of the six ATIS ESIF regions, much less the single location ultimately selected for the test bed,” and therefore, the Commission should improve upon the proposal included in the Roadmap to accommodate smaller CMRS providers.</w:t>
      </w:r>
      <w:r w:rsidR="00A03B05">
        <w:rPr>
          <w:rStyle w:val="FootnoteReference"/>
        </w:rPr>
        <w:footnoteReference w:id="336"/>
      </w:r>
      <w:r w:rsidR="00A03B05">
        <w:t xml:space="preserve">  </w:t>
      </w:r>
      <w:r w:rsidR="00E37288">
        <w:t xml:space="preserve">In its Parallel Path proposal, CCA suggests that non-nationwide providers  would also collect and report data if a given provider operates in one of the six regions, and if it operates in more than one it would collect and report only in half of the regions (as selected by the </w:t>
      </w:r>
      <w:r w:rsidR="005C20D1">
        <w:t>CMRS provider</w:t>
      </w:r>
      <w:r w:rsidR="00E37288">
        <w:t>) in order to minimize burdens.</w:t>
      </w:r>
      <w:r w:rsidR="00E37288">
        <w:rPr>
          <w:rStyle w:val="FootnoteReference"/>
        </w:rPr>
        <w:footnoteReference w:id="337"/>
      </w:r>
      <w:r w:rsidR="00E37288">
        <w:t xml:space="preserve">  For those providers not operating in any of the six regions, CCA suggests that a provider would collect and report data based on the largest county within its footprint, and in where serving more than one of the ATIS ESIF morphologies it would also include a sufficient number of representative counties to cover each morphology.</w:t>
      </w:r>
      <w:r w:rsidR="00E37288">
        <w:rPr>
          <w:rStyle w:val="FootnoteReference"/>
        </w:rPr>
        <w:footnoteReference w:id="338"/>
      </w:r>
      <w:r w:rsidR="00E37288">
        <w:t xml:space="preserve">  </w:t>
      </w:r>
      <w:r w:rsidR="00EE2E1F">
        <w:t>They suggest that such reports would be provided within 60 days following each of the two-, three-, five-, and six-year benchmarks.</w:t>
      </w:r>
      <w:r w:rsidR="00EE2E1F">
        <w:rPr>
          <w:rStyle w:val="FootnoteReference"/>
        </w:rPr>
        <w:footnoteReference w:id="339"/>
      </w:r>
    </w:p>
    <w:p w14:paraId="0F51C478" w14:textId="1496E486" w:rsidR="00E37288" w:rsidRDefault="00FE0848" w:rsidP="00EE2E1F">
      <w:pPr>
        <w:pStyle w:val="ParaNum"/>
        <w:widowControl/>
      </w:pPr>
      <w:r w:rsidRPr="00852A49">
        <w:rPr>
          <w:i/>
        </w:rPr>
        <w:t>Discussion</w:t>
      </w:r>
      <w:r>
        <w:t xml:space="preserve">.  </w:t>
      </w:r>
      <w:r w:rsidR="00E37288" w:rsidRPr="00E37288">
        <w:t xml:space="preserve"> </w:t>
      </w:r>
      <w:r w:rsidR="00E37288">
        <w:t>We adopt a modified version of the Roadmap’s commitment to quarterly reporting of aggregate live 911 call data for nationwide providers.</w:t>
      </w:r>
      <w:r w:rsidR="00E37288">
        <w:rPr>
          <w:rStyle w:val="FootnoteReference"/>
        </w:rPr>
        <w:footnoteReference w:id="340"/>
      </w:r>
      <w:r w:rsidR="00E37288">
        <w:t xml:space="preserve">  We require the nationwide </w:t>
      </w:r>
      <w:r w:rsidR="005C20D1">
        <w:t>CMRS provider</w:t>
      </w:r>
      <w:r w:rsidR="00E37288">
        <w:t>s, subject to certain confidentiality protections,</w:t>
      </w:r>
      <w:r w:rsidR="00E37288">
        <w:rPr>
          <w:rStyle w:val="FootnoteReference"/>
        </w:rPr>
        <w:footnoteReference w:id="341"/>
      </w:r>
      <w:r w:rsidR="00E37288">
        <w:t xml:space="preserve"> to aggregate live 911 call data on a quarterly basis and report that data to APCO, NENA, the National Association of State 911 Administrators (NASNA), and the Commission, with the first report due 18 months after </w:t>
      </w:r>
      <w:r w:rsidR="00A82CD0">
        <w:t>the Effective Date</w:t>
      </w:r>
      <w:r w:rsidR="00E37288">
        <w:t xml:space="preserve"> of this requirement.  CMRS providers must retain this data for two years.  The Commission </w:t>
      </w:r>
      <w:r w:rsidR="00A70B5E">
        <w:t xml:space="preserve">will not publish </w:t>
      </w:r>
      <w:r w:rsidR="005C20D1">
        <w:t>provider</w:t>
      </w:r>
      <w:r w:rsidR="00A70B5E">
        <w:t xml:space="preserve">-specific data, but </w:t>
      </w:r>
      <w:r w:rsidR="00E37288">
        <w:t>may publish aggregate data on its website.</w:t>
      </w:r>
      <w:r w:rsidR="00E37288">
        <w:rPr>
          <w:rStyle w:val="FootnoteReference"/>
        </w:rPr>
        <w:footnoteReference w:id="342"/>
      </w:r>
    </w:p>
    <w:p w14:paraId="4EEAEF35" w14:textId="2EF65C9F" w:rsidR="00E37288" w:rsidRPr="00BD42A1" w:rsidRDefault="00E37288" w:rsidP="00E37288">
      <w:pPr>
        <w:pStyle w:val="ParaNum"/>
      </w:pPr>
      <w:r>
        <w:t xml:space="preserve">We further adopt the Parallel Path’s proposal for non-nationwide </w:t>
      </w:r>
      <w:r w:rsidR="005C20D1">
        <w:t>CMRS provider</w:t>
      </w:r>
      <w:r>
        <w:t xml:space="preserve">s.  </w:t>
      </w:r>
      <w:r w:rsidRPr="005A2014">
        <w:t xml:space="preserve">We modify, however, the frequency of reporting for non-nationwide </w:t>
      </w:r>
      <w:r w:rsidR="005C20D1">
        <w:t>provider</w:t>
      </w:r>
      <w:r w:rsidRPr="005A2014">
        <w:t xml:space="preserve">s to </w:t>
      </w:r>
      <w:r w:rsidR="00EC459E">
        <w:t>every six months</w:t>
      </w:r>
      <w:r w:rsidRPr="005A2014">
        <w:t xml:space="preserve">, beginning at 18 months following the </w:t>
      </w:r>
      <w:r w:rsidR="00A82CD0" w:rsidRPr="005A2014">
        <w:t>Effective Date</w:t>
      </w:r>
      <w:r w:rsidRPr="005A2014">
        <w:t xml:space="preserve"> of the reporting requirement.  In this respect, and as herein, we seek to inform our understanding of z-axis technologies by providing clear, real world data to augment the record data to date.  While this may represent a slight increase in burden for smaller providers, we find that the clear benefit of this actual data in </w:t>
      </w:r>
      <w:r w:rsidR="00EB5CD2">
        <w:t>our future review of z-axis metrics</w:t>
      </w:r>
      <w:r w:rsidRPr="005A2014">
        <w:t xml:space="preserve"> outweighs those considerations.</w:t>
      </w:r>
      <w:r w:rsidR="00CF4D81">
        <w:t xml:space="preserve"> </w:t>
      </w:r>
      <w:r w:rsidRPr="00AD3FE4">
        <w:t xml:space="preserve"> However, as discussed in Section IV.D, all CMRS providers must retain and will be required to produce live call data to</w:t>
      </w:r>
      <w:r w:rsidRPr="00D50E3F">
        <w:t xml:space="preserve"> requestin</w:t>
      </w:r>
      <w:r w:rsidRPr="00BD42A1">
        <w:t xml:space="preserve">g PSAPs in their service areas as a check on such certification.   </w:t>
      </w:r>
    </w:p>
    <w:p w14:paraId="25E7A643" w14:textId="197B2DAD" w:rsidR="00886B1E" w:rsidRDefault="00FE0848" w:rsidP="00EE2E1F">
      <w:pPr>
        <w:pStyle w:val="ParaNum"/>
        <w:widowControl/>
      </w:pPr>
      <w:r>
        <w:t xml:space="preserve">We will use this data as a complement to the test bed in determining compliance.  </w:t>
      </w:r>
      <w:r w:rsidR="00886B1E" w:rsidRPr="00886B1E">
        <w:t xml:space="preserve"> </w:t>
      </w:r>
      <w:r w:rsidR="00EC459E">
        <w:t>The performance of p</w:t>
      </w:r>
      <w:r w:rsidR="00886B1E">
        <w:t>ositioning source methods</w:t>
      </w:r>
      <w:r w:rsidR="00EC459E">
        <w:t xml:space="preserve">, whether based on </w:t>
      </w:r>
      <w:r w:rsidR="00886B1E">
        <w:t>geodetic coordinate information</w:t>
      </w:r>
      <w:r w:rsidR="00EC459E">
        <w:t xml:space="preserve"> or dispatchable location, </w:t>
      </w:r>
      <w:r w:rsidR="00886B1E">
        <w:t xml:space="preserve">will first be determined based on performance of the technology in the test bed.  </w:t>
      </w:r>
      <w:r w:rsidR="00886B1E" w:rsidRPr="00526481">
        <w:t>CMRS providers must then certify to the Commission</w:t>
      </w:r>
      <w:r w:rsidR="00886B1E">
        <w:t xml:space="preserve"> </w:t>
      </w:r>
      <w:r w:rsidR="00886B1E" w:rsidRPr="00526481">
        <w:t xml:space="preserve">that </w:t>
      </w:r>
      <w:r w:rsidR="00886B1E">
        <w:t xml:space="preserve">they have </w:t>
      </w:r>
      <w:r w:rsidR="00886B1E" w:rsidRPr="00526481">
        <w:t>deploy</w:t>
      </w:r>
      <w:r w:rsidR="00886B1E">
        <w:t xml:space="preserve">ed the tested </w:t>
      </w:r>
      <w:r w:rsidR="00886B1E" w:rsidRPr="00526481">
        <w:t xml:space="preserve">technology </w:t>
      </w:r>
      <w:r w:rsidR="00886B1E">
        <w:t xml:space="preserve">throughout their service areas in a manner that </w:t>
      </w:r>
      <w:r w:rsidR="00886B1E" w:rsidRPr="00526481">
        <w:t xml:space="preserve">is consistent with </w:t>
      </w:r>
      <w:r w:rsidR="00886B1E">
        <w:t>the</w:t>
      </w:r>
      <w:r w:rsidR="00886B1E" w:rsidRPr="00526481">
        <w:t xml:space="preserve"> deployment</w:t>
      </w:r>
      <w:r w:rsidR="00886B1E">
        <w:t xml:space="preserve"> of that technology</w:t>
      </w:r>
      <w:r w:rsidR="00886B1E" w:rsidRPr="00526481">
        <w:t xml:space="preserve"> in the test bed</w:t>
      </w:r>
      <w:r w:rsidR="00886B1E">
        <w:t>,</w:t>
      </w:r>
      <w:r w:rsidR="00886B1E">
        <w:rPr>
          <w:rStyle w:val="FootnoteReference"/>
        </w:rPr>
        <w:footnoteReference w:id="343"/>
      </w:r>
      <w:r w:rsidR="00886B1E">
        <w:t xml:space="preserve"> such that the test bed results can be reasonably relied upon as representative of the technology’s real-word performance</w:t>
      </w:r>
      <w:r w:rsidR="00886B1E" w:rsidRPr="00526481">
        <w:t xml:space="preserve">.  </w:t>
      </w:r>
      <w:r w:rsidR="00886B1E">
        <w:t xml:space="preserve">Each CMRS provider must make this certification on or before our three- and six-year benchmarks, and will need to re-certify when implementing new technology or otherwise making a significant change to its network, such that previous test bed performance is no longer representative of the network or technology as now deployed.   The certification will establish a presumption that </w:t>
      </w:r>
      <w:r w:rsidR="00886B1E" w:rsidRPr="00526481">
        <w:t xml:space="preserve">911 location performance </w:t>
      </w:r>
      <w:r w:rsidR="00886B1E">
        <w:t>results</w:t>
      </w:r>
      <w:r w:rsidR="00886B1E" w:rsidRPr="00526481">
        <w:t xml:space="preserve"> derived from live call data from the six </w:t>
      </w:r>
      <w:r w:rsidR="00886B1E">
        <w:t xml:space="preserve">ATIS ESIF test </w:t>
      </w:r>
      <w:r w:rsidR="00886B1E" w:rsidRPr="00526481">
        <w:t xml:space="preserve">cities </w:t>
      </w:r>
      <w:r w:rsidR="00886B1E">
        <w:t xml:space="preserve">are </w:t>
      </w:r>
      <w:r w:rsidR="00886B1E" w:rsidRPr="00526481">
        <w:t xml:space="preserve">representative of </w:t>
      </w:r>
      <w:r w:rsidR="00886B1E">
        <w:t xml:space="preserve">the CMRS provider’s </w:t>
      </w:r>
      <w:r w:rsidR="00886B1E" w:rsidRPr="00526481">
        <w:t xml:space="preserve">E911 location performance </w:t>
      </w:r>
      <w:r w:rsidR="00886B1E">
        <w:t xml:space="preserve">throughout </w:t>
      </w:r>
      <w:r w:rsidR="00886B1E" w:rsidRPr="00526481">
        <w:t>in areas outside the reporting areas</w:t>
      </w:r>
      <w:r w:rsidR="00886B1E">
        <w:t xml:space="preserve">.  </w:t>
      </w:r>
    </w:p>
    <w:p w14:paraId="42E2224B" w14:textId="2D7F8F37" w:rsidR="00886B1E" w:rsidRDefault="00886B1E" w:rsidP="00886B1E">
      <w:pPr>
        <w:pStyle w:val="ParaNum"/>
      </w:pPr>
      <w:r w:rsidRPr="00886B1E">
        <w:t xml:space="preserve"> </w:t>
      </w:r>
      <w:r>
        <w:t xml:space="preserve">In this respect, submission of test and live call data will augment our understanding of the progress of such technologies as we consider the providers’ proposal for a </w:t>
      </w:r>
      <w:r w:rsidR="006C68D3">
        <w:t>six-</w:t>
      </w:r>
      <w:r>
        <w:t xml:space="preserve">year benchmark when filed in the future.  In order to maximize the utility of such data for those purposes, as well as for compliance, while balancing the potential burden of such reporting, we require all providers to include the following in their reports.  </w:t>
      </w:r>
    </w:p>
    <w:p w14:paraId="784A7BCC" w14:textId="77777777" w:rsidR="00886B1E" w:rsidRDefault="00886B1E" w:rsidP="00886B1E">
      <w:pPr>
        <w:pStyle w:val="ParaNum"/>
      </w:pPr>
      <w:r>
        <w:t>First, the live call data w</w:t>
      </w:r>
      <w:r w:rsidRPr="00526481">
        <w:t xml:space="preserve">ill include identification of the positioning source method or methods used for each call.  </w:t>
      </w:r>
      <w:r>
        <w:t xml:space="preserve">The test bed performance of each positioning source method will then determine the degree to which that method can be counted towards the required location accuracy thresholds each time that positioning source method is used.  </w:t>
      </w:r>
    </w:p>
    <w:p w14:paraId="5C7C382B" w14:textId="44D89B23" w:rsidR="00886B1E" w:rsidRPr="00B37F81" w:rsidRDefault="00886B1E" w:rsidP="00886B1E">
      <w:pPr>
        <w:pStyle w:val="ParaNum"/>
      </w:pPr>
      <w:r w:rsidRPr="005A2014">
        <w:t xml:space="preserve">Second, to the extent available, live call data for all providers shall delineate based on a per technology basis accumulated and so identified for: (1) each of the ATIS ESIF morphologies; (2) on a reasonable community level basis; </w:t>
      </w:r>
      <w:r w:rsidRPr="005A2014">
        <w:rPr>
          <w:i/>
        </w:rPr>
        <w:t xml:space="preserve">or </w:t>
      </w:r>
      <w:r w:rsidRPr="005A2014">
        <w:t xml:space="preserve">(3) by census block.  In this respect, we expect that data will provide a viable, real world evaluation of particular indoor location technologies that will inform our ability to evaluate the nationwide providers’ </w:t>
      </w:r>
      <w:r w:rsidR="006C68D3">
        <w:t>six</w:t>
      </w:r>
      <w:r w:rsidRPr="005A2014">
        <w:t>-year bench mark proposal, and to prove out the various claims in the record as to technical achievability</w:t>
      </w:r>
      <w:r w:rsidRPr="00DB1F65">
        <w:t xml:space="preserve">.  </w:t>
      </w:r>
    </w:p>
    <w:p w14:paraId="2483BB97" w14:textId="11A5F6E4" w:rsidR="00FE0848" w:rsidRDefault="00886B1E" w:rsidP="00886B1E">
      <w:pPr>
        <w:pStyle w:val="ParaNum"/>
      </w:pPr>
      <w:r>
        <w:t>Finally, in order to verify compliance based on dispatchable location, we adopt the Addendum’s proposed calculation regarding reference point “density” within a CMA.</w:t>
      </w:r>
      <w:r>
        <w:rPr>
          <w:rStyle w:val="FootnoteReference"/>
        </w:rPr>
        <w:footnoteReference w:id="344"/>
      </w:r>
      <w:r>
        <w:t xml:space="preserve">  We require that nationwide </w:t>
      </w:r>
      <w:r w:rsidR="005C20D1">
        <w:t>CMRS provider</w:t>
      </w:r>
      <w:r>
        <w:t>s include such calculation for relevant CMAs in their quarterly reporting.  We find that this formulation will be reasonably representative of the capability of a provider to utilize dispa</w:t>
      </w:r>
      <w:r w:rsidR="003C24C1">
        <w:t>t</w:t>
      </w:r>
      <w:r>
        <w:t>chable location in a particular CMA.</w:t>
      </w:r>
      <w:r w:rsidR="00764274">
        <w:t xml:space="preserve">  </w:t>
      </w:r>
      <w:r w:rsidR="00FE0848">
        <w:t xml:space="preserve"> </w:t>
      </w:r>
    </w:p>
    <w:p w14:paraId="6CC04DE5" w14:textId="77777777" w:rsidR="009317F6" w:rsidRPr="009D2361" w:rsidRDefault="009317F6" w:rsidP="009317F6">
      <w:pPr>
        <w:pStyle w:val="Heading4"/>
        <w:rPr>
          <w:szCs w:val="22"/>
        </w:rPr>
      </w:pPr>
      <w:bookmarkStart w:id="325" w:name="_Toc408400508"/>
      <w:bookmarkStart w:id="326" w:name="_Toc408400563"/>
      <w:bookmarkStart w:id="327" w:name="_Toc408490575"/>
      <w:bookmarkStart w:id="328" w:name="_Ref409006965"/>
      <w:bookmarkEnd w:id="314"/>
      <w:bookmarkEnd w:id="315"/>
      <w:bookmarkEnd w:id="316"/>
      <w:bookmarkEnd w:id="317"/>
      <w:bookmarkEnd w:id="318"/>
      <w:bookmarkEnd w:id="319"/>
      <w:bookmarkEnd w:id="320"/>
      <w:bookmarkEnd w:id="321"/>
      <w:bookmarkEnd w:id="322"/>
      <w:bookmarkEnd w:id="323"/>
      <w:bookmarkEnd w:id="324"/>
      <w:r w:rsidRPr="008B60AE">
        <w:rPr>
          <w:szCs w:val="22"/>
        </w:rPr>
        <w:t xml:space="preserve">Enforcement </w:t>
      </w:r>
      <w:r>
        <w:rPr>
          <w:szCs w:val="22"/>
        </w:rPr>
        <w:t>of Location Accuracy Requirements</w:t>
      </w:r>
      <w:bookmarkEnd w:id="325"/>
      <w:bookmarkEnd w:id="326"/>
      <w:bookmarkEnd w:id="327"/>
      <w:bookmarkEnd w:id="328"/>
    </w:p>
    <w:p w14:paraId="28793351" w14:textId="77777777" w:rsidR="009317F6" w:rsidRDefault="009317F6" w:rsidP="00C57F6C">
      <w:pPr>
        <w:pStyle w:val="ParaNum"/>
        <w:widowControl/>
      </w:pPr>
      <w:r w:rsidRPr="00CB136E">
        <w:rPr>
          <w:i/>
        </w:rPr>
        <w:t>Background</w:t>
      </w:r>
      <w:r>
        <w:t xml:space="preserve">.  </w:t>
      </w:r>
      <w:r w:rsidRPr="00EA0E56">
        <w:t>Under Section 20.18(h) of the Commission’s rules, licensees subject to Section 20.18(h) must satisfy the existing E911 Phase II requirements at either a county- or PSAP-based geographic level</w:t>
      </w:r>
      <w:r>
        <w:t>.</w:t>
      </w:r>
      <w:r w:rsidRPr="00EA0E56">
        <w:rPr>
          <w:vertAlign w:val="superscript"/>
        </w:rPr>
        <w:footnoteReference w:id="345"/>
      </w:r>
      <w:r>
        <w:t xml:space="preserve">  </w:t>
      </w:r>
      <w:r w:rsidRPr="00EA0E56">
        <w:t xml:space="preserve">In the </w:t>
      </w:r>
      <w:r w:rsidRPr="001255C0">
        <w:rPr>
          <w:i/>
        </w:rPr>
        <w:t>Third Further Notice</w:t>
      </w:r>
      <w:r w:rsidRPr="00EA0E56">
        <w:t xml:space="preserve">, we proposed to adopt this </w:t>
      </w:r>
      <w:r>
        <w:t>same approach</w:t>
      </w:r>
      <w:r w:rsidRPr="00EA0E56">
        <w:t xml:space="preserve"> </w:t>
      </w:r>
      <w:r>
        <w:t xml:space="preserve">to enforcement </w:t>
      </w:r>
      <w:r w:rsidRPr="00EA0E56">
        <w:t>for</w:t>
      </w:r>
      <w:r>
        <w:t xml:space="preserve"> </w:t>
      </w:r>
      <w:r w:rsidRPr="00EA0E56">
        <w:t>indoor location accuracy requirements</w:t>
      </w:r>
      <w:r>
        <w:t>, noting</w:t>
      </w:r>
      <w:r w:rsidRPr="00EA0E56">
        <w:t xml:space="preserve"> that </w:t>
      </w:r>
      <w:r>
        <w:t>CMRS providers</w:t>
      </w:r>
      <w:r w:rsidRPr="00EA0E56">
        <w:t xml:space="preserve"> </w:t>
      </w:r>
      <w:r>
        <w:t>could</w:t>
      </w:r>
      <w:r w:rsidRPr="00EA0E56">
        <w:t xml:space="preserve"> choose</w:t>
      </w:r>
      <w:r>
        <w:t xml:space="preserve"> different technologies to </w:t>
      </w:r>
      <w:r w:rsidRPr="00EA0E56">
        <w:t>best meet the</w:t>
      </w:r>
      <w:r>
        <w:t xml:space="preserve"> </w:t>
      </w:r>
      <w:r w:rsidRPr="00EA0E56">
        <w:t xml:space="preserve">needs </w:t>
      </w:r>
      <w:r>
        <w:t xml:space="preserve">of a given area </w:t>
      </w:r>
      <w:r w:rsidRPr="00EA0E56">
        <w:t>based on individualized factors like natural and network topographies.</w:t>
      </w:r>
      <w:r w:rsidRPr="00EA0E56">
        <w:rPr>
          <w:vertAlign w:val="superscript"/>
        </w:rPr>
        <w:footnoteReference w:id="346"/>
      </w:r>
      <w:r w:rsidRPr="00EA0E56">
        <w:t xml:space="preserve">  We also recognized, however, that a county- or PSAP-based requirement may be difficult to verify if testing is performed within a more geographically constrained test bed, as discussed above.</w:t>
      </w:r>
      <w:r w:rsidRPr="00EA0E56">
        <w:rPr>
          <w:vertAlign w:val="superscript"/>
        </w:rPr>
        <w:footnoteReference w:id="347"/>
      </w:r>
      <w:r w:rsidRPr="00EA0E56">
        <w:t xml:space="preserve">  </w:t>
      </w:r>
      <w:r>
        <w:t xml:space="preserve">Ultimately, we proposed that </w:t>
      </w:r>
      <w:r w:rsidRPr="00492FBD">
        <w:t xml:space="preserve">enforcement of </w:t>
      </w:r>
      <w:r>
        <w:t>our indoor location accuracy</w:t>
      </w:r>
      <w:r w:rsidRPr="00492FBD">
        <w:t xml:space="preserve"> </w:t>
      </w:r>
      <w:r>
        <w:t>requirement</w:t>
      </w:r>
      <w:r w:rsidRPr="00492FBD">
        <w:t>s</w:t>
      </w:r>
      <w:r>
        <w:t xml:space="preserve"> would be measured with actual call data</w:t>
      </w:r>
      <w:r w:rsidRPr="00492FBD">
        <w:t xml:space="preserve"> within </w:t>
      </w:r>
      <w:r>
        <w:t>a PSAP’s</w:t>
      </w:r>
      <w:r w:rsidRPr="00492FBD">
        <w:t xml:space="preserve"> jurisdiction,</w:t>
      </w:r>
      <w:r>
        <w:rPr>
          <w:rStyle w:val="FootnoteReference"/>
        </w:rPr>
        <w:footnoteReference w:id="348"/>
      </w:r>
      <w:r w:rsidRPr="00492FBD">
        <w:t xml:space="preserve"> but as a precondition</w:t>
      </w:r>
      <w:r>
        <w:t>, the PSAP</w:t>
      </w:r>
      <w:r w:rsidRPr="00492FBD">
        <w:t xml:space="preserve"> would be required to demonstrate that they have implemented bid/re-bid policies that are designed to obtain all 911 location information made available to them by CMRS providers pursuant to our rules.</w:t>
      </w:r>
      <w:r w:rsidRPr="00492FBD">
        <w:rPr>
          <w:vertAlign w:val="superscript"/>
        </w:rPr>
        <w:footnoteReference w:id="349"/>
      </w:r>
      <w:r w:rsidRPr="00492FBD">
        <w:t xml:space="preserve">  </w:t>
      </w:r>
      <w:r>
        <w:t>We observed that</w:t>
      </w:r>
      <w:r w:rsidRPr="00492FBD">
        <w:t xml:space="preserve"> accurate and reliable delivery of E911 location information depends upon the willingness and readiness of PSAPs and CMRS providers to work together.</w:t>
      </w:r>
      <w:r>
        <w:rPr>
          <w:rStyle w:val="FootnoteReference"/>
        </w:rPr>
        <w:footnoteReference w:id="350"/>
      </w:r>
      <w:r w:rsidRPr="00492FBD">
        <w:t xml:space="preserve">  </w:t>
      </w:r>
    </w:p>
    <w:p w14:paraId="4CB27E45" w14:textId="26FD4E5D" w:rsidR="009317F6" w:rsidRDefault="009317F6" w:rsidP="009317F6">
      <w:pPr>
        <w:pStyle w:val="ParaNum"/>
      </w:pPr>
      <w:r>
        <w:t>In response, NASNA supports enforcement on a county/PSAP-level basis, and “</w:t>
      </w:r>
      <w:r w:rsidRPr="0029162B">
        <w:t xml:space="preserve">agrees with the concept of a </w:t>
      </w:r>
      <w:r w:rsidR="005C20D1">
        <w:t>CMRS provider</w:t>
      </w:r>
      <w:r w:rsidRPr="0029162B">
        <w:t xml:space="preserve"> being required to demonstrate</w:t>
      </w:r>
      <w:r>
        <w:t xml:space="preserve"> </w:t>
      </w:r>
      <w:r w:rsidRPr="0029162B">
        <w:t>compliance with the test</w:t>
      </w:r>
      <w:r>
        <w:t>,” but also expresses concern that any presumptive compliance demonstrated in the test bed “not hinder or prevent a state or local jurisdiction from taking effective action to resolve a problem with any carrier that does not meet the location accuracy requirements.”</w:t>
      </w:r>
      <w:r>
        <w:rPr>
          <w:rStyle w:val="FootnoteReference"/>
        </w:rPr>
        <w:footnoteReference w:id="351"/>
      </w:r>
      <w:r>
        <w:t xml:space="preserve">  NextNav submits that applying a PSAP-level enforcement regime to indoor calls “would ensure that compliance testing reflects the actual makeup up in each county and would ensure the performance fulfills the expectations of the callers in each area,” as well as “facilitate comparison of county or PSAP level compliance testing with the actual daily operational results experienced in each county or PSAP service area.”</w:t>
      </w:r>
      <w:r>
        <w:rPr>
          <w:rStyle w:val="FootnoteReference"/>
        </w:rPr>
        <w:footnoteReference w:id="352"/>
      </w:r>
    </w:p>
    <w:p w14:paraId="76A300B8" w14:textId="75844030" w:rsidR="009317F6" w:rsidRDefault="009317F6" w:rsidP="009317F6">
      <w:pPr>
        <w:pStyle w:val="ParaNum"/>
      </w:pPr>
      <w:r>
        <w:t xml:space="preserve">On the other hand, several commenters argue that the proposed test bed approach would obviate the need for a county- or PSAP-level </w:t>
      </w:r>
      <w:r w:rsidR="00EE2F2B">
        <w:t>enforcement</w:t>
      </w:r>
      <w:r>
        <w:t xml:space="preserve"> regime.</w:t>
      </w:r>
      <w:r>
        <w:rPr>
          <w:rStyle w:val="FootnoteReference"/>
        </w:rPr>
        <w:footnoteReference w:id="353"/>
      </w:r>
      <w:r>
        <w:t xml:space="preserve">  Verizon states that compliance testing at the county- or PSAP-level “is not feasible without different test bed parameters for each county or PSAP,” and therefore, enforcement at this level would “</w:t>
      </w:r>
      <w:r w:rsidRPr="00B62FAA">
        <w:t>defeat the purpose and promised efficiencies of a test bed in the first place</w:t>
      </w:r>
      <w:r>
        <w:t>.”</w:t>
      </w:r>
      <w:r>
        <w:rPr>
          <w:rStyle w:val="FootnoteReference"/>
        </w:rPr>
        <w:footnoteReference w:id="354"/>
      </w:r>
      <w:r>
        <w:t xml:space="preserve">  Sprint submits that the </w:t>
      </w:r>
      <w:r w:rsidRPr="00B44599">
        <w:rPr>
          <w:i/>
        </w:rPr>
        <w:t>Third Further Notice</w:t>
      </w:r>
      <w:r>
        <w:t xml:space="preserve"> “does not explain how the specific morphology associated with a particular county or PSAP will be defined,” and that “[t]here will be PSAPs and counties that contain multiple different morphologies, which will make it more difficult to assess overall compliance.”</w:t>
      </w:r>
      <w:r>
        <w:rPr>
          <w:rStyle w:val="FootnoteReference"/>
        </w:rPr>
        <w:footnoteReference w:id="355"/>
      </w:r>
      <w:r>
        <w:t xml:space="preserve">  Sprint then suggests that “building morphology districts be identified within PSAP jurisdictions.  Within each morphology district, the various building use types and any exempt spaces within a specific building should be identified.”</w:t>
      </w:r>
      <w:r>
        <w:rPr>
          <w:rStyle w:val="FootnoteReference"/>
        </w:rPr>
        <w:footnoteReference w:id="356"/>
      </w:r>
      <w:r>
        <w:t xml:space="preserve">  AT&amp;T argues that the number of jurisdictions and PSAPs creates an “administrative nightmare” and that “the only realistic and reasonable way to measure compliance would be to establish an independently administered and FCC-sanctioned test-bed mechanism that accounts for all the morphologies by which conformance to the standards could be fairly measured for all PSAPs.”</w:t>
      </w:r>
      <w:r>
        <w:rPr>
          <w:rStyle w:val="FootnoteReference"/>
        </w:rPr>
        <w:footnoteReference w:id="357"/>
      </w:r>
      <w:r>
        <w:t xml:space="preserve">  </w:t>
      </w:r>
    </w:p>
    <w:p w14:paraId="665F8302" w14:textId="77777777" w:rsidR="009317F6" w:rsidRDefault="009317F6" w:rsidP="009317F6">
      <w:pPr>
        <w:pStyle w:val="ParaNum"/>
      </w:pPr>
      <w:r>
        <w:t>With respect to whether enforcement should be preconditioned on PSAPs’ use of all available location data, APCO “understands the Commission’s desire to ensure that PSAPs use rebidding before filing complaints, but is concerned that the proposed standard is vague as there may be differing views regarding what constitutes a ‘rebidding policy.’ Moreover, the proposed rebidding condition on complaints will be irrelevant and unnecessary to the extent that future location technologies do not require rebidding to meet accuracy requirements.”</w:t>
      </w:r>
      <w:r>
        <w:rPr>
          <w:rStyle w:val="FootnoteReference"/>
        </w:rPr>
        <w:footnoteReference w:id="358"/>
      </w:r>
      <w:r>
        <w:t xml:space="preserve">  </w:t>
      </w:r>
    </w:p>
    <w:p w14:paraId="7931E0C7" w14:textId="6D9F6679" w:rsidR="009317F6" w:rsidRDefault="009317F6" w:rsidP="00C57F6C">
      <w:pPr>
        <w:pStyle w:val="ParaNum"/>
        <w:widowControl/>
      </w:pPr>
      <w:r>
        <w:t xml:space="preserve">We also sought comment in the </w:t>
      </w:r>
      <w:r w:rsidRPr="00B0230F">
        <w:rPr>
          <w:i/>
        </w:rPr>
        <w:t>Third Further Notice</w:t>
      </w:r>
      <w:r>
        <w:t xml:space="preserve"> on whether we should establish a specialized complaint process as part of our E911 enforcement strategy.</w:t>
      </w:r>
      <w:r>
        <w:rPr>
          <w:rStyle w:val="FootnoteReference"/>
        </w:rPr>
        <w:footnoteReference w:id="359"/>
      </w:r>
      <w:r>
        <w:t xml:space="preserve">  We proposed that, with the filing of an informal complaint, PSAPs would have to demonstrate that they have implemented bid/re-bid policies designed to enable PSAPs to obtain the 911 location information that CMRS providers make available.</w:t>
      </w:r>
      <w:r>
        <w:rPr>
          <w:rStyle w:val="FootnoteReference"/>
        </w:rPr>
        <w:footnoteReference w:id="360"/>
      </w:r>
      <w:r>
        <w:t xml:space="preserve">  Some public safety groups support this approach,</w:t>
      </w:r>
      <w:r w:rsidR="00D17B6C">
        <w:t xml:space="preserve"> in hopes of encouraging expeditious resolution of location accuracy issues,</w:t>
      </w:r>
      <w:r>
        <w:rPr>
          <w:rStyle w:val="FootnoteReference"/>
        </w:rPr>
        <w:footnoteReference w:id="361"/>
      </w:r>
      <w:r>
        <w:t xml:space="preserve"> but CMRS providers generally oppose such a process.  </w:t>
      </w:r>
      <w:r w:rsidR="00EE2F2B">
        <w:t xml:space="preserve">For example, </w:t>
      </w:r>
      <w:r>
        <w:t xml:space="preserve">CTIA submits that “the test bed safe harbor approach will become useless if the FCC entertains complaints seeking in-building field testing in particular markets.  Such a complaint process would effectively require </w:t>
      </w:r>
      <w:r w:rsidR="00DD4106">
        <w:t>CMRS providers</w:t>
      </w:r>
      <w:r>
        <w:t xml:space="preserve"> to test deployments in all markets, which would be inconsistent with the Commission’s findings that ubiquitous testing is both costly and impractical.”</w:t>
      </w:r>
      <w:r>
        <w:rPr>
          <w:rStyle w:val="FootnoteReference"/>
        </w:rPr>
        <w:footnoteReference w:id="362"/>
      </w:r>
      <w:r>
        <w:t xml:space="preserve">  Verizon and CCA argue that “a PSAP that believes it is experiencing degraded performance in its area should first bring its concerns to the service provider before lodging an informal complaint with the Commission, so that the provider has an opportunity to work in good faith to timely address it.”</w:t>
      </w:r>
      <w:r>
        <w:rPr>
          <w:rStyle w:val="FootnoteReference"/>
        </w:rPr>
        <w:footnoteReference w:id="363"/>
      </w:r>
      <w:r>
        <w:t xml:space="preserve">  </w:t>
      </w:r>
    </w:p>
    <w:p w14:paraId="09893891" w14:textId="6D50F8BF" w:rsidR="009317F6" w:rsidRPr="00FA6428" w:rsidRDefault="009317F6" w:rsidP="009317F6">
      <w:pPr>
        <w:pStyle w:val="ParaNum"/>
      </w:pPr>
      <w:r w:rsidRPr="00E20D68">
        <w:rPr>
          <w:i/>
        </w:rPr>
        <w:t>Discussion</w:t>
      </w:r>
      <w:r>
        <w:t>.  Consistent with our existing E911 requirements, the rules we adopt today will be enforced by measuring the provider’s performance at the county or PSAP level.  In response to commenters’ arguments that the test bed regime obviates the need for enforcement at a more granular level, we note that a CMRS provider’s test bed results create only a presumption of compliance with the location accuracy standards</w:t>
      </w:r>
      <w:r w:rsidR="004B0EC5">
        <w:t xml:space="preserve"> with respect to a particular technology used within the provider’s network</w:t>
      </w:r>
      <w:r>
        <w:t xml:space="preserve">.  If that presumption </w:t>
      </w:r>
      <w:r w:rsidR="00E413F6">
        <w:t xml:space="preserve">can be </w:t>
      </w:r>
      <w:r>
        <w:t xml:space="preserve">rebutted with live call data or other objective measurements showing lack of compliance with our </w:t>
      </w:r>
      <w:r w:rsidR="00E413F6">
        <w:t xml:space="preserve">location accuracy </w:t>
      </w:r>
      <w:r>
        <w:t>requirements, we must be able to enforce our rules.</w:t>
      </w:r>
    </w:p>
    <w:p w14:paraId="704BD955" w14:textId="2F262D40" w:rsidR="009317F6" w:rsidRDefault="009317F6" w:rsidP="009317F6">
      <w:pPr>
        <w:pStyle w:val="ParaNum"/>
      </w:pPr>
      <w:r>
        <w:t xml:space="preserve">We agree with Verizon and CCA, however, that PSAPs should first engage with relevant service providers to see whether an issue could be resolved without Commission involvement.  As discussed </w:t>
      </w:r>
      <w:r w:rsidR="00943E15">
        <w:t>above</w:t>
      </w:r>
      <w:r>
        <w:t xml:space="preserve">, we require CMRS providers to collect live call data </w:t>
      </w:r>
      <w:r w:rsidR="00895609">
        <w:t>to the extent of</w:t>
      </w:r>
      <w:r w:rsidR="00E413F6">
        <w:t xml:space="preserve"> the</w:t>
      </w:r>
      <w:r w:rsidR="00895609">
        <w:t>ir coverage footprint in the</w:t>
      </w:r>
      <w:r w:rsidR="00E413F6">
        <w:t xml:space="preserve"> six ATIS ESIF test cities</w:t>
      </w:r>
      <w:r>
        <w:t xml:space="preserve">, for purposes of </w:t>
      </w:r>
      <w:r w:rsidR="00943E15">
        <w:t xml:space="preserve">compliance and </w:t>
      </w:r>
      <w:r>
        <w:t>quarterly reporting to NENA, APCO, NASNA, and the Commission.</w:t>
      </w:r>
      <w:r>
        <w:rPr>
          <w:rStyle w:val="FootnoteReference"/>
        </w:rPr>
        <w:footnoteReference w:id="364"/>
      </w:r>
      <w:r>
        <w:t xml:space="preserve">  In addition, we require CMRS providers to collect live 911 call data for its entire service area to make available to PSAPs upon request.</w:t>
      </w:r>
      <w:r w:rsidR="00E230FC">
        <w:rPr>
          <w:rStyle w:val="FootnoteReference"/>
        </w:rPr>
        <w:footnoteReference w:id="365"/>
      </w:r>
      <w:r>
        <w:t xml:space="preserve">  By enabling PSAPs to obtain meaningful data regarding the quality of location fixes delivered with 911 calls, we intend to facilitate the ability of PSAPs and CMRS providers to troubleshoot and identify issues regarding E911 location accuracy.  </w:t>
      </w:r>
      <w:r w:rsidR="00A82CD0">
        <w:t>Accordingly, before a PSAP may seek an enforcement action through the Commission, PSAPs should first attempt to resolve the issue with the CMRS provider.  We also require that, before seeking enforcement action, a PSAP must show that (1) it has implemented policies (whether through re-bidding or other mechanisms) to retrieve all location information being made available by the CMRS provider in conjunction with 911 calls</w:t>
      </w:r>
      <w:r w:rsidR="00A82CD0">
        <w:rPr>
          <w:rStyle w:val="FootnoteReference"/>
        </w:rPr>
        <w:footnoteReference w:id="366"/>
      </w:r>
      <w:r w:rsidR="00A82CD0">
        <w:t xml:space="preserve"> </w:t>
      </w:r>
      <w:r w:rsidR="00A82CD0" w:rsidRPr="00DF144A">
        <w:t xml:space="preserve">and </w:t>
      </w:r>
      <w:r w:rsidR="00A82CD0">
        <w:t xml:space="preserve">(2) </w:t>
      </w:r>
      <w:r w:rsidR="00A82CD0" w:rsidRPr="00DF144A">
        <w:t>provid</w:t>
      </w:r>
      <w:r w:rsidR="00A82CD0">
        <w:t xml:space="preserve">e </w:t>
      </w:r>
      <w:r w:rsidR="00A82CD0" w:rsidRPr="00DF144A">
        <w:t>the CMRS provider with [30] days written notice of the PSAP’s intention to seek Commission enforcement, which shall include all of the documentation upon which the PSAP intends to rely in demonstrating  the CMRS provider’s noncompliance to the Commission.</w:t>
      </w:r>
      <w:r w:rsidR="00A82CD0">
        <w:t xml:space="preserve">  We believe these conditions will serve to foster cooperation and transparency among the parties</w:t>
      </w:r>
      <w:r>
        <w:t xml:space="preserve">.   </w:t>
      </w:r>
    </w:p>
    <w:p w14:paraId="28DD76BC" w14:textId="77777777" w:rsidR="009317F6" w:rsidRDefault="009317F6" w:rsidP="009317F6">
      <w:pPr>
        <w:pStyle w:val="ParaNum"/>
      </w:pPr>
      <w:r>
        <w:t>PSAPs may also file an informal complaint pursuant to the Commission’s existing complaint procedures.</w:t>
      </w:r>
      <w:r>
        <w:rPr>
          <w:rStyle w:val="FootnoteReference"/>
        </w:rPr>
        <w:footnoteReference w:id="367"/>
      </w:r>
      <w:r>
        <w:t xml:space="preserve">  We find that our existing informal complaint procedures should be sufficient to address PSAP concerns.  At the same time, however, given the critical importance of addressing any concerns regarding the delivery of location information in connection with wireless 911 calls, we encourage parties submitting informal complaints to provide copies to PSHSB staff directly.  In this regard, we seek to ensure that PSAPs and other stakeholders receive immediate consideration in the event there is an issue regarding E911 location accuracy. </w:t>
      </w:r>
    </w:p>
    <w:p w14:paraId="5320D0A7" w14:textId="77777777" w:rsidR="009D2361" w:rsidRPr="009317F6" w:rsidRDefault="009317F6" w:rsidP="009317F6">
      <w:pPr>
        <w:pStyle w:val="ParaNum"/>
        <w:rPr>
          <w:szCs w:val="22"/>
        </w:rPr>
      </w:pPr>
      <w:r>
        <w:t xml:space="preserve">Finally, we emphasize </w:t>
      </w:r>
      <w:r w:rsidRPr="00834FB1">
        <w:t>that CMRS providers</w:t>
      </w:r>
      <w:r>
        <w:t xml:space="preserve"> </w:t>
      </w:r>
      <w:r w:rsidRPr="00834FB1">
        <w:t>and other stakeholders</w:t>
      </w:r>
      <w:r>
        <w:t xml:space="preserve">, such as SSPs, </w:t>
      </w:r>
      <w:r w:rsidRPr="00834FB1">
        <w:t xml:space="preserve">share responsibility to ensure </w:t>
      </w:r>
      <w:r>
        <w:t xml:space="preserve">the </w:t>
      </w:r>
      <w:r w:rsidRPr="00834FB1">
        <w:t>end-to-end transmittal of wireless 911 call location information</w:t>
      </w:r>
      <w:r>
        <w:t xml:space="preserve"> to PSAPs, in compliance with our E911 location accuracy requirements.  All stakeholders must collaborate to ensure the delivery of accurate location information, as well as the delivery of associated data to help PSAPs interpret location information, such as confidence and uncertainty data.  PSAP call-</w:t>
      </w:r>
      <w:r w:rsidRPr="00834FB1">
        <w:t xml:space="preserve">takers </w:t>
      </w:r>
      <w:r>
        <w:t xml:space="preserve">must be able to </w:t>
      </w:r>
      <w:r w:rsidRPr="00834FB1">
        <w:t>quick</w:t>
      </w:r>
      <w:r>
        <w:t xml:space="preserve">ly evaluate, trust, and act on such information </w:t>
      </w:r>
      <w:r w:rsidRPr="00834FB1">
        <w:t>to dispatch first responders to the correct location.</w:t>
      </w:r>
      <w:r>
        <w:t xml:space="preserve">  In the event any party in the end-to-end delivery of location information fails to satisfy its obligation under our E911 location accuracy requirements, we reserve the right to pursue enforcement action or take other measures as appropriate.    </w:t>
      </w:r>
      <w:r w:rsidR="009D2361" w:rsidRPr="009317F6">
        <w:rPr>
          <w:szCs w:val="22"/>
        </w:rPr>
        <w:t xml:space="preserve"> </w:t>
      </w:r>
    </w:p>
    <w:p w14:paraId="2CF18603" w14:textId="77777777" w:rsidR="00523517" w:rsidRPr="00B76F66" w:rsidRDefault="00523517" w:rsidP="00B76F66">
      <w:pPr>
        <w:pStyle w:val="Heading4"/>
        <w:rPr>
          <w:szCs w:val="22"/>
        </w:rPr>
      </w:pPr>
      <w:bookmarkStart w:id="329" w:name="_Toc379903275"/>
      <w:bookmarkStart w:id="330" w:name="_Toc379907054"/>
      <w:bookmarkStart w:id="331" w:name="_Toc380482094"/>
      <w:bookmarkStart w:id="332" w:name="_Toc380483087"/>
      <w:bookmarkStart w:id="333" w:name="_Toc380569159"/>
      <w:bookmarkStart w:id="334" w:name="_Toc380580347"/>
      <w:bookmarkStart w:id="335" w:name="_Toc380581415"/>
      <w:bookmarkStart w:id="336" w:name="_Toc380584405"/>
      <w:bookmarkStart w:id="337" w:name="_Toc380673883"/>
      <w:bookmarkStart w:id="338" w:name="_Toc408400509"/>
      <w:bookmarkStart w:id="339" w:name="_Toc408400564"/>
      <w:bookmarkStart w:id="340" w:name="_Toc408490576"/>
      <w:r w:rsidRPr="008B60AE">
        <w:rPr>
          <w:szCs w:val="22"/>
        </w:rPr>
        <w:t>Liability Protection</w:t>
      </w:r>
      <w:bookmarkEnd w:id="329"/>
      <w:bookmarkEnd w:id="330"/>
      <w:bookmarkEnd w:id="331"/>
      <w:bookmarkEnd w:id="332"/>
      <w:bookmarkEnd w:id="333"/>
      <w:bookmarkEnd w:id="334"/>
      <w:bookmarkEnd w:id="335"/>
      <w:bookmarkEnd w:id="336"/>
      <w:bookmarkEnd w:id="337"/>
      <w:bookmarkEnd w:id="338"/>
      <w:bookmarkEnd w:id="339"/>
      <w:bookmarkEnd w:id="340"/>
    </w:p>
    <w:p w14:paraId="48AEF7C8" w14:textId="66A2C43E" w:rsidR="00B76F66" w:rsidRPr="00492FBD" w:rsidRDefault="00B76F66" w:rsidP="00B76F66">
      <w:pPr>
        <w:pStyle w:val="ParaNum"/>
      </w:pPr>
      <w:r w:rsidRPr="00C16FCC">
        <w:rPr>
          <w:i/>
        </w:rPr>
        <w:t>Background</w:t>
      </w:r>
      <w:r>
        <w:t xml:space="preserve">.  </w:t>
      </w:r>
      <w:r w:rsidRPr="00492FBD">
        <w:t xml:space="preserve">In general, liability protection for provision of 911 service is governed by state law and has traditionally been applied only to </w:t>
      </w:r>
      <w:r w:rsidR="006F1C59">
        <w:t>local exchange carriers (</w:t>
      </w:r>
      <w:r w:rsidRPr="00492FBD">
        <w:t>LECs</w:t>
      </w:r>
      <w:r w:rsidR="006F1C59">
        <w:t>)</w:t>
      </w:r>
      <w:r w:rsidRPr="00492FBD">
        <w:t>.  However, Congress has expanded the scope of state liability protection by requiring states to provide parity in the degree of protection provided to traditional and non-traditional 911 providers, and more recently, to providers of NG911 service.</w:t>
      </w:r>
      <w:r w:rsidRPr="00492FBD">
        <w:rPr>
          <w:vertAlign w:val="superscript"/>
        </w:rPr>
        <w:footnoteReference w:id="368"/>
      </w:r>
    </w:p>
    <w:p w14:paraId="7B649390" w14:textId="77777777" w:rsidR="00B76F66" w:rsidRDefault="00B76F66" w:rsidP="00B76F66">
      <w:pPr>
        <w:pStyle w:val="ParaNum"/>
      </w:pPr>
      <w:r>
        <w:t xml:space="preserve">We understand commenters’ arguments that liability protection is necessary in order for CMRS providers to fully comply with location accuracy requirements.  </w:t>
      </w:r>
      <w:r w:rsidRPr="003D0D6F">
        <w:t>In the</w:t>
      </w:r>
      <w:r>
        <w:rPr>
          <w:i/>
        </w:rPr>
        <w:t xml:space="preserve"> Third Further Notice, </w:t>
      </w:r>
      <w:r>
        <w:t>w</w:t>
      </w:r>
      <w:r w:rsidRPr="00492FBD">
        <w:t xml:space="preserve">e </w:t>
      </w:r>
      <w:r>
        <w:t>noted</w:t>
      </w:r>
      <w:r w:rsidRPr="00492FBD">
        <w:t xml:space="preserve"> </w:t>
      </w:r>
      <w:r>
        <w:t>that t</w:t>
      </w:r>
      <w:r w:rsidRPr="00492FBD">
        <w:t>he recent NET 911 Act and Next Generation 9</w:t>
      </w:r>
      <w:r w:rsidR="004029B8">
        <w:t>1</w:t>
      </w:r>
      <w:r w:rsidRPr="00492FBD">
        <w:t xml:space="preserve">1 Advancement Act significantly expanded the scope of </w:t>
      </w:r>
      <w:r>
        <w:t>available</w:t>
      </w:r>
      <w:r w:rsidRPr="00492FBD">
        <w:t xml:space="preserve"> </w:t>
      </w:r>
      <w:r>
        <w:t xml:space="preserve">911 </w:t>
      </w:r>
      <w:r w:rsidRPr="00492FBD">
        <w:t xml:space="preserve">liability protection, and </w:t>
      </w:r>
      <w:r>
        <w:t xml:space="preserve">that </w:t>
      </w:r>
      <w:r w:rsidRPr="00492FBD">
        <w:t>we believe this provides sufficient liability protection for CMRS providers.</w:t>
      </w:r>
      <w:r>
        <w:rPr>
          <w:rStyle w:val="FootnoteReference"/>
        </w:rPr>
        <w:footnoteReference w:id="369"/>
      </w:r>
      <w:r w:rsidRPr="00492FBD">
        <w:t xml:space="preserve">  Nevertheless, we </w:t>
      </w:r>
      <w:r>
        <w:t>sought</w:t>
      </w:r>
      <w:r w:rsidRPr="00492FBD">
        <w:t xml:space="preserve"> comment on whether there are additional steps the Commission could or should take – consistent with our regulatory authority – to provide additional liability protection to CMRS providers.  </w:t>
      </w:r>
      <w:r>
        <w:t xml:space="preserve"> We also sought</w:t>
      </w:r>
      <w:r w:rsidRPr="00492FBD">
        <w:t xml:space="preserve"> comment on liability concerns that may be raised in conjunction with the possible adverse effect on indoor location accuracy from signal boos</w:t>
      </w:r>
      <w:r>
        <w:t>ters, as</w:t>
      </w:r>
      <w:r w:rsidRPr="00492FBD">
        <w:t xml:space="preserve"> CMRS providers commenting in the </w:t>
      </w:r>
      <w:r w:rsidRPr="003D0D6F">
        <w:rPr>
          <w:i/>
        </w:rPr>
        <w:t>Signal Booster Report and Order</w:t>
      </w:r>
      <w:r w:rsidRPr="00492FBD">
        <w:t xml:space="preserve"> were concerned about liability for location accuracy when those capabilities are affected by signal booster use.</w:t>
      </w:r>
      <w:r w:rsidRPr="00492FBD">
        <w:rPr>
          <w:vertAlign w:val="superscript"/>
        </w:rPr>
        <w:footnoteReference w:id="370"/>
      </w:r>
      <w:r w:rsidRPr="00492FBD">
        <w:t xml:space="preserve"> </w:t>
      </w:r>
    </w:p>
    <w:p w14:paraId="5C7DE855" w14:textId="3CAA2BC4" w:rsidR="00B76F66" w:rsidRDefault="00B76F66" w:rsidP="00EE2E1F">
      <w:pPr>
        <w:pStyle w:val="ParaNum"/>
        <w:widowControl/>
      </w:pPr>
      <w:r>
        <w:t xml:space="preserve">The record in response to the </w:t>
      </w:r>
      <w:r w:rsidRPr="00E5142D">
        <w:rPr>
          <w:i/>
        </w:rPr>
        <w:t>Third Further Notice</w:t>
      </w:r>
      <w:r>
        <w:t xml:space="preserve"> contains little substantive comment with regard to liability protection issues.  CTIA calls for a nationwide liability protection standard for entities providing 911 service.</w:t>
      </w:r>
      <w:r>
        <w:rPr>
          <w:rStyle w:val="FootnoteReference"/>
        </w:rPr>
        <w:footnoteReference w:id="371"/>
      </w:r>
      <w:r>
        <w:t xml:space="preserve">   BRETSA emphasizes that liability protection for 911 services should be a matter of state – not federal – law.</w:t>
      </w:r>
      <w:r>
        <w:rPr>
          <w:rStyle w:val="FootnoteReference"/>
        </w:rPr>
        <w:footnoteReference w:id="372"/>
      </w:r>
      <w:r>
        <w:t xml:space="preserve">  </w:t>
      </w:r>
      <w:r w:rsidRPr="009134B0">
        <w:t xml:space="preserve">Qualcomm states that “[t]o the extent the Commission seeks to encourage </w:t>
      </w:r>
      <w:r w:rsidR="005C20D1">
        <w:t>CMRS provider</w:t>
      </w:r>
      <w:r w:rsidRPr="009134B0">
        <w:t>s to incorporate potentially inaccurate Wi-Fi location information into the location determinations calculus, clarification of liability for such unreliable data sources will be needed.”</w:t>
      </w:r>
      <w:r>
        <w:rPr>
          <w:rStyle w:val="FootnoteReference"/>
        </w:rPr>
        <w:footnoteReference w:id="373"/>
      </w:r>
      <w:r w:rsidRPr="009134B0">
        <w:t xml:space="preserve">  </w:t>
      </w:r>
      <w:r>
        <w:t xml:space="preserve"> No commenter discussed how liability protection would be impacted by the use of signal boosters. </w:t>
      </w:r>
    </w:p>
    <w:p w14:paraId="6546E9CE" w14:textId="77777777" w:rsidR="00B76F66" w:rsidRPr="00B76F66" w:rsidRDefault="00B76F66" w:rsidP="00B76F66">
      <w:pPr>
        <w:pStyle w:val="ParaNum"/>
      </w:pPr>
      <w:r w:rsidRPr="00E5142D">
        <w:rPr>
          <w:i/>
        </w:rPr>
        <w:t>Discussion</w:t>
      </w:r>
      <w:r>
        <w:t xml:space="preserve">.  In our </w:t>
      </w:r>
      <w:r w:rsidRPr="00E5142D">
        <w:rPr>
          <w:i/>
        </w:rPr>
        <w:t>Text-to-911 Order</w:t>
      </w:r>
      <w:r>
        <w:t>, we construed the Next Generation 911 Advancement Act’s definition of “other emergency communication service providers” as inclusive of over-the-top interconnected text providers to the extent that they provide text-to-911 service.</w:t>
      </w:r>
      <w:r>
        <w:rPr>
          <w:rStyle w:val="FootnoteReference"/>
        </w:rPr>
        <w:footnoteReference w:id="374"/>
      </w:r>
      <w:r>
        <w:t xml:space="preserve">  Similarly, we believe that the term “other emergency communications service providers” also reasonably includes any communications service provider to the extent that it provides E911 service.  </w:t>
      </w:r>
      <w:r w:rsidR="0062336F">
        <w:t>We believe that the liability protection set forth in the Next Generation 911 Advancement Act and other statutes provide adequate liability protection for CMRS providers subject to our rules.  Moreover, we find that the rules we adopt today serve to mitigate or eliminate any regulatory uncertainty about 911 indoor location accuracy requirements.</w:t>
      </w:r>
      <w:r w:rsidR="0062336F">
        <w:rPr>
          <w:rStyle w:val="FootnoteReference"/>
        </w:rPr>
        <w:footnoteReference w:id="375"/>
      </w:r>
      <w:r w:rsidR="0062336F">
        <w:t xml:space="preserve">  </w:t>
      </w:r>
      <w:r>
        <w:t xml:space="preserve">We take no action at this time with regard to liability protection of E911 service providers. </w:t>
      </w:r>
    </w:p>
    <w:p w14:paraId="6C84775F" w14:textId="77777777" w:rsidR="00C139EC" w:rsidRDefault="00C139EC" w:rsidP="00C139EC">
      <w:pPr>
        <w:pStyle w:val="Heading4"/>
      </w:pPr>
      <w:bookmarkStart w:id="341" w:name="_Toc408400510"/>
      <w:bookmarkStart w:id="342" w:name="_Toc408400565"/>
      <w:bookmarkStart w:id="343" w:name="_Toc408490577"/>
      <w:r>
        <w:t>Specialized Waiver Process</w:t>
      </w:r>
      <w:bookmarkEnd w:id="341"/>
      <w:bookmarkEnd w:id="342"/>
      <w:bookmarkEnd w:id="343"/>
      <w:r>
        <w:t xml:space="preserve"> </w:t>
      </w:r>
    </w:p>
    <w:p w14:paraId="30E47B29" w14:textId="675DD9FD" w:rsidR="00C139EC" w:rsidRDefault="00C139EC" w:rsidP="00EA6367">
      <w:pPr>
        <w:pStyle w:val="ParaNum"/>
      </w:pPr>
      <w:r w:rsidRPr="003C41EF">
        <w:rPr>
          <w:i/>
        </w:rPr>
        <w:t>Background</w:t>
      </w:r>
      <w:r>
        <w:t xml:space="preserve">.  We sought comment in the </w:t>
      </w:r>
      <w:r w:rsidRPr="00521953">
        <w:rPr>
          <w:i/>
        </w:rPr>
        <w:t>Third Further Notice</w:t>
      </w:r>
      <w:r>
        <w:t xml:space="preserve"> on whether we should adopt a specific waiver process for CMRS providers who seek relief from our indoor location accuracy requirements.</w:t>
      </w:r>
      <w:r>
        <w:rPr>
          <w:rStyle w:val="FootnoteReference"/>
        </w:rPr>
        <w:footnoteReference w:id="376"/>
      </w:r>
      <w:r>
        <w:t xml:space="preserve">  </w:t>
      </w:r>
      <w:r w:rsidR="0062336F" w:rsidRPr="00CF4C86">
        <w:t xml:space="preserve">In general, the Commission’s rules may be waived for good cause shown, </w:t>
      </w:r>
      <w:r w:rsidR="006F1C59">
        <w:t>pursuant to a request or by the Commission’s own motion</w:t>
      </w:r>
      <w:r w:rsidR="0062336F" w:rsidRPr="00CF4C86">
        <w:t>.</w:t>
      </w:r>
      <w:r w:rsidR="0062336F" w:rsidRPr="00CF4C86">
        <w:rPr>
          <w:vertAlign w:val="superscript"/>
        </w:rPr>
        <w:footnoteReference w:id="377"/>
      </w:r>
      <w:r>
        <w:t xml:space="preserve">  In the context of its E911 Phase II requirements, the Commission recognized that </w:t>
      </w:r>
      <w:r w:rsidRPr="005D6748">
        <w:t xml:space="preserve">technology-related issues or exceptional circumstances </w:t>
      </w:r>
      <w:r>
        <w:t>could delay providers’ ability to comply with the requirements, and that such cases could be dealt with through individual waivers as implementation issues were more precisely identified.</w:t>
      </w:r>
      <w:r>
        <w:rPr>
          <w:rStyle w:val="FootnoteReference"/>
        </w:rPr>
        <w:footnoteReference w:id="378"/>
      </w:r>
      <w:r>
        <w:t xml:space="preserve">  Accordingly, we sought comment on whether and what criteria would be appropriate for any E911-specific waiver process, as well as whether providers who believe they cannot comply with a particular indoor location accuracy benchmark, despite good faith efforts, may submit a certification to this effect six months prior to the applicable benchmark.</w:t>
      </w:r>
      <w:r>
        <w:rPr>
          <w:rStyle w:val="FootnoteReference"/>
        </w:rPr>
        <w:footnoteReference w:id="379"/>
      </w:r>
      <w:r>
        <w:t xml:space="preserve"> </w:t>
      </w:r>
    </w:p>
    <w:p w14:paraId="4855B347" w14:textId="5BE8EDB1" w:rsidR="00C139EC" w:rsidRDefault="00C139EC" w:rsidP="00EE2E1F">
      <w:pPr>
        <w:pStyle w:val="ParaNum"/>
        <w:widowControl/>
      </w:pPr>
      <w:r>
        <w:t>A number of commenters support, or at least do not oppose, the idea of an E911-specific waiver relief process.</w:t>
      </w:r>
      <w:r>
        <w:rPr>
          <w:rStyle w:val="FootnoteReference"/>
        </w:rPr>
        <w:footnoteReference w:id="380"/>
      </w:r>
      <w:r>
        <w:t xml:space="preserve">   TruePosition identifies several factors specific to indoor 911 location that may be appropriate as a basis for an E911-specific waiver process: “</w:t>
      </w:r>
      <w:r w:rsidRPr="00C057A9">
        <w:t xml:space="preserve">if a carrier has ordered the necessary equipment (network hardware, handsets, etc.) that would, if delivered on time, meet the indoor safety standards, that type </w:t>
      </w:r>
      <w:r>
        <w:t>of ‘</w:t>
      </w:r>
      <w:r w:rsidRPr="00C057A9">
        <w:t>good faith</w:t>
      </w:r>
      <w:r>
        <w:t>’</w:t>
      </w:r>
      <w:r w:rsidRPr="00C057A9">
        <w:t xml:space="preserve"> effort should be considered as fair grounds for granting the service provider additional time.</w:t>
      </w:r>
      <w:r>
        <w:t>”</w:t>
      </w:r>
      <w:r>
        <w:rPr>
          <w:rStyle w:val="FootnoteReference"/>
        </w:rPr>
        <w:footnoteReference w:id="381"/>
      </w:r>
      <w:r w:rsidRPr="00C057A9">
        <w:t xml:space="preserve"> </w:t>
      </w:r>
      <w:r>
        <w:t xml:space="preserve"> BRETSA submits a similar argument for “good faith efforts” as a basis for granting waiver relief.</w:t>
      </w:r>
      <w:r>
        <w:rPr>
          <w:rStyle w:val="FootnoteReference"/>
        </w:rPr>
        <w:footnoteReference w:id="382"/>
      </w:r>
      <w:r>
        <w:t xml:space="preserve">   RWA submits that the Commission “</w:t>
      </w:r>
      <w:r w:rsidRPr="001A5567">
        <w:t>should adopt a safe harbor for waiver applicants based on a showing of technical infeasi</w:t>
      </w:r>
      <w:r>
        <w:t>bility or financial difficulty,” which should “</w:t>
      </w:r>
      <w:r w:rsidRPr="001A5567">
        <w:t>on its own should justify a waiver.”</w:t>
      </w:r>
      <w:r>
        <w:rPr>
          <w:rStyle w:val="FootnoteReference"/>
        </w:rPr>
        <w:footnoteReference w:id="383"/>
      </w:r>
      <w:r>
        <w:t xml:space="preserve">  NTCA notes that </w:t>
      </w:r>
      <w:r w:rsidRPr="00B0198B">
        <w:t>“</w:t>
      </w:r>
      <w:r>
        <w:t>f</w:t>
      </w:r>
      <w:r w:rsidRPr="00B0198B">
        <w:t xml:space="preserve">or the small rural carriers who comprise </w:t>
      </w:r>
      <w:r>
        <w:t>NTCA’s</w:t>
      </w:r>
      <w:r w:rsidRPr="00B0198B">
        <w:t xml:space="preserve"> membership, the expense of a waiver can impose a substantial financial burden, and the regulatory uncertainty can be disruptive to b</w:t>
      </w:r>
      <w:r>
        <w:t>usiness planning and operations,</w:t>
      </w:r>
      <w:r w:rsidRPr="00B0198B">
        <w:t>”</w:t>
      </w:r>
      <w:r>
        <w:t xml:space="preserve"> but nevertheless supports the adoption of a streamlined waiver process if the Commission </w:t>
      </w:r>
      <w:r w:rsidR="006F1C59">
        <w:t>were to</w:t>
      </w:r>
      <w:r>
        <w:t xml:space="preserve"> adopt the location requirements.</w:t>
      </w:r>
      <w:r>
        <w:rPr>
          <w:rStyle w:val="FootnoteReference"/>
        </w:rPr>
        <w:footnoteReference w:id="384"/>
      </w:r>
      <w:r>
        <w:t xml:space="preserve">  However, CTIA opposes the establishment of a specific waiver process, </w:t>
      </w:r>
      <w:r w:rsidR="006F1C59">
        <w:t>arguing</w:t>
      </w:r>
      <w:r>
        <w:t xml:space="preserve"> that </w:t>
      </w:r>
      <w:r w:rsidRPr="00B0198B">
        <w:t>“a waiver standard that requires a commitment to achieve compliance within a specific timeframe … is problematic given the uncertainties associated with technology availability and deployability.”</w:t>
      </w:r>
      <w:r>
        <w:rPr>
          <w:rStyle w:val="FootnoteReference"/>
        </w:rPr>
        <w:footnoteReference w:id="385"/>
      </w:r>
      <w:r w:rsidRPr="00B0198B">
        <w:t xml:space="preserve"> </w:t>
      </w:r>
      <w:r>
        <w:t xml:space="preserve"> CTIA argues further that “the waiver process should not be a weigh station </w:t>
      </w:r>
      <w:r w:rsidR="00D17B6C">
        <w:t>[</w:t>
      </w:r>
      <w:r w:rsidR="00D17B6C" w:rsidRPr="00785C1C">
        <w:rPr>
          <w:i/>
        </w:rPr>
        <w:t>sic</w:t>
      </w:r>
      <w:r w:rsidR="00D17B6C">
        <w:t xml:space="preserve">] </w:t>
      </w:r>
      <w:r>
        <w:t>on the way to enforcement.”</w:t>
      </w:r>
      <w:r>
        <w:rPr>
          <w:rStyle w:val="FootnoteReference"/>
        </w:rPr>
        <w:footnoteReference w:id="386"/>
      </w:r>
    </w:p>
    <w:p w14:paraId="1ACB8D67" w14:textId="478BE872" w:rsidR="00C139EC" w:rsidRDefault="00C139EC" w:rsidP="00C139EC">
      <w:pPr>
        <w:pStyle w:val="ParaNum"/>
      </w:pPr>
      <w:r w:rsidRPr="006E4832">
        <w:rPr>
          <w:i/>
        </w:rPr>
        <w:t>Discussion</w:t>
      </w:r>
      <w:r>
        <w:t>.  A</w:t>
      </w:r>
      <w:r w:rsidRPr="006E02B6">
        <w:t xml:space="preserve">ny </w:t>
      </w:r>
      <w:r>
        <w:t>CMRS</w:t>
      </w:r>
      <w:r w:rsidRPr="006E02B6">
        <w:t xml:space="preserve"> provider that is unable to </w:t>
      </w:r>
      <w:r w:rsidR="006F1C59">
        <w:t>comply with the rules or</w:t>
      </w:r>
      <w:r w:rsidRPr="006E02B6">
        <w:t xml:space="preserve"> deadline</w:t>
      </w:r>
      <w:r>
        <w:t xml:space="preserve">s adopted herein may seek waiver relief.  </w:t>
      </w:r>
      <w:r w:rsidRPr="006E02B6">
        <w:t>The Commission may grant relief pursuant to the waiver standards set forth in Sectio</w:t>
      </w:r>
      <w:r>
        <w:t xml:space="preserve">ns 1.3 and 1.925 of its rules, </w:t>
      </w:r>
      <w:r w:rsidRPr="006E02B6">
        <w:t xml:space="preserve">and we believe these provisions are sufficient to address any requests for relief of the </w:t>
      </w:r>
      <w:r>
        <w:t>indoor location accuracy</w:t>
      </w:r>
      <w:r w:rsidRPr="006E02B6">
        <w:t xml:space="preserve"> requirements, which we will evaluate based on the facts and circumst</w:t>
      </w:r>
      <w:r>
        <w:t>ances of the particular request.</w:t>
      </w:r>
      <w:r w:rsidR="00253B28">
        <w:t xml:space="preserve">  Therefore, we </w:t>
      </w:r>
      <w:r w:rsidR="00253B28" w:rsidRPr="006E02B6">
        <w:t>decline to</w:t>
      </w:r>
      <w:r w:rsidR="00253B28">
        <w:t xml:space="preserve"> adopt</w:t>
      </w:r>
      <w:r w:rsidR="00253B28" w:rsidRPr="006E02B6">
        <w:t xml:space="preserve"> </w:t>
      </w:r>
      <w:r w:rsidR="00253B28">
        <w:t xml:space="preserve">additional </w:t>
      </w:r>
      <w:r w:rsidR="00253B28" w:rsidRPr="006E02B6">
        <w:t xml:space="preserve">waiver </w:t>
      </w:r>
      <w:r w:rsidR="00253B28">
        <w:t xml:space="preserve">criteria at this time </w:t>
      </w:r>
      <w:r w:rsidR="00253B28" w:rsidRPr="006E02B6">
        <w:t xml:space="preserve">that would be specific to </w:t>
      </w:r>
      <w:r w:rsidR="006F1C59">
        <w:t>waiver requests of</w:t>
      </w:r>
      <w:r w:rsidR="00253B28">
        <w:t xml:space="preserve"> our indoor accuracy </w:t>
      </w:r>
      <w:r w:rsidR="00253B28" w:rsidRPr="006E02B6">
        <w:t>requirements.</w:t>
      </w:r>
    </w:p>
    <w:p w14:paraId="0DFC5D65" w14:textId="77777777" w:rsidR="001267A0" w:rsidRPr="003B3DDD" w:rsidRDefault="001267A0" w:rsidP="001267A0">
      <w:pPr>
        <w:pStyle w:val="Heading2"/>
      </w:pPr>
      <w:bookmarkStart w:id="344" w:name="_Toc408400453"/>
      <w:bookmarkStart w:id="345" w:name="_Toc408400511"/>
      <w:bookmarkStart w:id="346" w:name="_Toc408400566"/>
      <w:bookmarkStart w:id="347" w:name="_Toc408403117"/>
      <w:bookmarkStart w:id="348" w:name="_Toc408421329"/>
      <w:bookmarkStart w:id="349" w:name="_Toc407796243"/>
      <w:bookmarkStart w:id="350" w:name="_Toc408490578"/>
      <w:bookmarkStart w:id="351" w:name="_Toc408496216"/>
      <w:bookmarkStart w:id="352" w:name="_Toc408502417"/>
      <w:bookmarkStart w:id="353" w:name="_Toc410119089"/>
      <w:bookmarkStart w:id="354" w:name="_Toc410123668"/>
      <w:bookmarkStart w:id="355" w:name="_Toc410124650"/>
      <w:bookmarkStart w:id="356" w:name="_Toc410124730"/>
      <w:bookmarkStart w:id="357" w:name="_Toc410146124"/>
      <w:bookmarkStart w:id="358" w:name="_Toc410212648"/>
      <w:bookmarkStart w:id="359" w:name="_Toc410648289"/>
      <w:bookmarkStart w:id="360" w:name="_Toc406513847"/>
      <w:r>
        <w:t>Benefits and Costs of Indoor Location Accuracy</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14:paraId="2597AF47" w14:textId="09757D55" w:rsidR="001267A0" w:rsidRPr="001F0D81" w:rsidRDefault="001267A0" w:rsidP="001267A0">
      <w:pPr>
        <w:pStyle w:val="ParaNum"/>
      </w:pPr>
      <w:r>
        <w:rPr>
          <w:spacing w:val="-4"/>
          <w:szCs w:val="22"/>
        </w:rPr>
        <w:t xml:space="preserve">In this section, we demonstrate that the benefits of building upon the </w:t>
      </w:r>
      <w:r w:rsidR="00EC459E">
        <w:rPr>
          <w:spacing w:val="-4"/>
          <w:szCs w:val="22"/>
        </w:rPr>
        <w:t xml:space="preserve">Amended </w:t>
      </w:r>
      <w:r>
        <w:rPr>
          <w:spacing w:val="-4"/>
          <w:szCs w:val="22"/>
        </w:rPr>
        <w:t xml:space="preserve">Roadmap </w:t>
      </w:r>
      <w:r w:rsidR="00EC459E">
        <w:rPr>
          <w:spacing w:val="-4"/>
          <w:szCs w:val="22"/>
        </w:rPr>
        <w:t xml:space="preserve">and Parallel Path </w:t>
      </w:r>
      <w:r>
        <w:rPr>
          <w:spacing w:val="-4"/>
          <w:szCs w:val="22"/>
        </w:rPr>
        <w:t xml:space="preserve">with the wireless location accuracy rules we adopt today outweigh the costs.  </w:t>
      </w:r>
      <w:r w:rsidRPr="006E4619">
        <w:rPr>
          <w:spacing w:val="-4"/>
          <w:szCs w:val="22"/>
        </w:rPr>
        <w:t>In developing a regulatory framework for indoor location accuracy, our objective is to implement rules that serve the public safety goals established by Congress.</w:t>
      </w:r>
      <w:r>
        <w:rPr>
          <w:rStyle w:val="FootnoteReference"/>
          <w:spacing w:val="-4"/>
          <w:szCs w:val="22"/>
        </w:rPr>
        <w:footnoteReference w:id="387"/>
      </w:r>
      <w:r w:rsidRPr="006E4619">
        <w:rPr>
          <w:spacing w:val="-4"/>
          <w:szCs w:val="22"/>
        </w:rPr>
        <w:t xml:space="preserve">  While in the </w:t>
      </w:r>
      <w:r>
        <w:rPr>
          <w:i/>
          <w:szCs w:val="22"/>
        </w:rPr>
        <w:t>Third Further Notice</w:t>
      </w:r>
      <w:r w:rsidRPr="006E4619">
        <w:rPr>
          <w:spacing w:val="-4"/>
          <w:szCs w:val="22"/>
        </w:rPr>
        <w:t xml:space="preserve"> we acknowledged the potential difficulty of quantifying benefits and burdens, we sought to measure how the availability of indoor location information will benefit the public through reduced emergency response times, as well as how to maximize these benefits, while taking into consideration the bur</w:t>
      </w:r>
      <w:r>
        <w:rPr>
          <w:spacing w:val="-4"/>
          <w:szCs w:val="22"/>
        </w:rPr>
        <w:t xml:space="preserve">den of compliance to </w:t>
      </w:r>
      <w:r w:rsidR="00DD10E3">
        <w:rPr>
          <w:spacing w:val="-4"/>
          <w:szCs w:val="22"/>
        </w:rPr>
        <w:t>CMRS provider</w:t>
      </w:r>
      <w:r>
        <w:rPr>
          <w:spacing w:val="-4"/>
          <w:szCs w:val="22"/>
        </w:rPr>
        <w:t>s.</w:t>
      </w:r>
      <w:r>
        <w:rPr>
          <w:rStyle w:val="FootnoteReference"/>
          <w:spacing w:val="-4"/>
          <w:szCs w:val="22"/>
        </w:rPr>
        <w:footnoteReference w:id="388"/>
      </w:r>
      <w:r>
        <w:rPr>
          <w:spacing w:val="-4"/>
          <w:szCs w:val="22"/>
        </w:rPr>
        <w:t xml:space="preserve">  We discuss these issues here.</w:t>
      </w:r>
      <w:r>
        <w:rPr>
          <w:szCs w:val="22"/>
        </w:rPr>
        <w:t xml:space="preserve"> </w:t>
      </w:r>
    </w:p>
    <w:p w14:paraId="472C0A7D" w14:textId="77777777" w:rsidR="001267A0" w:rsidRPr="001F0D81" w:rsidRDefault="001267A0" w:rsidP="001267A0">
      <w:pPr>
        <w:pStyle w:val="Heading3"/>
      </w:pPr>
      <w:bookmarkStart w:id="361" w:name="_Toc408400454"/>
      <w:bookmarkStart w:id="362" w:name="_Toc408400512"/>
      <w:bookmarkStart w:id="363" w:name="_Toc408400567"/>
      <w:bookmarkStart w:id="364" w:name="_Toc408403118"/>
      <w:bookmarkStart w:id="365" w:name="_Toc408421330"/>
      <w:bookmarkStart w:id="366" w:name="_Toc406513848"/>
      <w:bookmarkStart w:id="367" w:name="_Toc407796244"/>
      <w:bookmarkStart w:id="368" w:name="_Toc408490579"/>
      <w:bookmarkStart w:id="369" w:name="_Toc408496217"/>
      <w:bookmarkStart w:id="370" w:name="_Toc408502418"/>
      <w:bookmarkStart w:id="371" w:name="_Toc410119090"/>
      <w:bookmarkStart w:id="372" w:name="_Toc410123669"/>
      <w:bookmarkStart w:id="373" w:name="_Toc410124651"/>
      <w:bookmarkStart w:id="374" w:name="_Toc410124731"/>
      <w:bookmarkStart w:id="375" w:name="_Toc410146125"/>
      <w:bookmarkStart w:id="376" w:name="_Toc410212649"/>
      <w:bookmarkStart w:id="377" w:name="_Toc410648290"/>
      <w:r>
        <w:t>Benefits of Improved Indoor Wireless Location Accuracy</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14:paraId="7F9B3320" w14:textId="73A040A8" w:rsidR="001267A0" w:rsidRDefault="001267A0" w:rsidP="001267A0">
      <w:pPr>
        <w:pStyle w:val="ParaNum"/>
      </w:pPr>
      <w:r w:rsidRPr="005B0E23">
        <w:rPr>
          <w:i/>
        </w:rPr>
        <w:t xml:space="preserve">Background.  </w:t>
      </w:r>
      <w:r w:rsidRPr="001F0D81">
        <w:t xml:space="preserve">In </w:t>
      </w:r>
      <w:r>
        <w:t xml:space="preserve">the </w:t>
      </w:r>
      <w:r w:rsidRPr="005B0E23">
        <w:rPr>
          <w:i/>
        </w:rPr>
        <w:t xml:space="preserve">Third </w:t>
      </w:r>
      <w:r w:rsidR="006F1C59">
        <w:rPr>
          <w:i/>
        </w:rPr>
        <w:t>Further Notice</w:t>
      </w:r>
      <w:r>
        <w:t>,</w:t>
      </w:r>
      <w:r w:rsidRPr="001F0D81">
        <w:t xml:space="preserve"> we sought comment on the extent to which improvements in indoor location accuracy would result in tangible benefits with respect</w:t>
      </w:r>
      <w:r>
        <w:t xml:space="preserve"> to</w:t>
      </w:r>
      <w:r w:rsidR="006F1C59">
        <w:t xml:space="preserve"> the</w:t>
      </w:r>
      <w:r>
        <w:t xml:space="preserve"> safety of life and property.</w:t>
      </w:r>
      <w:r>
        <w:rPr>
          <w:rStyle w:val="FootnoteReference"/>
        </w:rPr>
        <w:footnoteReference w:id="389"/>
      </w:r>
      <w:r>
        <w:t xml:space="preserve">  W</w:t>
      </w:r>
      <w:r w:rsidRPr="001F0D81">
        <w:t>e also noted our belief that improving location accuracy for wireless calls to 911, includ</w:t>
      </w:r>
      <w:r>
        <w:t>ing from indoor environments, would be</w:t>
      </w:r>
      <w:r w:rsidRPr="001F0D81">
        <w:t xml:space="preserve"> particularly important for persons with disabilities and for those who may not be able to provide their address or otherwise describe their location and sought comment on the increased value and benefits of providing more accurate location information </w:t>
      </w:r>
      <w:r w:rsidR="006F1C59">
        <w:t>for</w:t>
      </w:r>
      <w:r w:rsidR="006F1C59" w:rsidRPr="001F0D81">
        <w:t xml:space="preserve"> </w:t>
      </w:r>
      <w:r w:rsidRPr="001F0D81">
        <w:t>certain populations, such as people with disabilities, victims of crime, senior citizens and children.</w:t>
      </w:r>
      <w:r w:rsidRPr="001F0D81">
        <w:rPr>
          <w:rStyle w:val="FootnoteReference"/>
        </w:rPr>
        <w:footnoteReference w:id="390"/>
      </w:r>
    </w:p>
    <w:p w14:paraId="00054B0A" w14:textId="65DD5CD3" w:rsidR="001267A0" w:rsidRPr="001F0D81" w:rsidRDefault="001267A0" w:rsidP="001267A0">
      <w:pPr>
        <w:pStyle w:val="ParaNum"/>
      </w:pPr>
      <w:r>
        <w:t>W</w:t>
      </w:r>
      <w:r w:rsidRPr="001F0D81">
        <w:t xml:space="preserve">e cited to a study examining emergency incidents during 2001 in the Salt Lake City area which found that </w:t>
      </w:r>
      <w:r>
        <w:t>a</w:t>
      </w:r>
      <w:r w:rsidRPr="001F0D81">
        <w:t xml:space="preserve"> decrease in ambulance response times reduced the likelihood of mortality (</w:t>
      </w:r>
      <w:r w:rsidRPr="0008082A">
        <w:rPr>
          <w:i/>
        </w:rPr>
        <w:t>Salt Lake City Study</w:t>
      </w:r>
      <w:r w:rsidRPr="001F0D81">
        <w:t>).</w:t>
      </w:r>
      <w:r w:rsidRPr="001F0D81">
        <w:rPr>
          <w:rStyle w:val="FootnoteReference"/>
        </w:rPr>
        <w:footnoteReference w:id="391"/>
      </w:r>
      <w:r w:rsidRPr="001F0D81">
        <w:t xml:space="preserve">  </w:t>
      </w:r>
      <w:r>
        <w:t>From the results of this study, we reasoned</w:t>
      </w:r>
      <w:r w:rsidRPr="001F0D81">
        <w:t xml:space="preserve"> that the location accuracy improvements we propose</w:t>
      </w:r>
      <w:r w:rsidR="006F1C59">
        <w:t>d</w:t>
      </w:r>
      <w:r w:rsidRPr="001F0D81">
        <w:t xml:space="preserve"> could save approximately 10,120 lives annually, at a value of $9.1 million per life, for an annual benefit of approximately $92 billion.</w:t>
      </w:r>
      <w:r w:rsidRPr="001F0D81">
        <w:rPr>
          <w:rStyle w:val="FootnoteReference"/>
        </w:rPr>
        <w:footnoteReference w:id="392"/>
      </w:r>
      <w:r w:rsidRPr="001F0D81">
        <w:t xml:space="preserve">  We also noted a 2002 study focusing on cardiac emergencies in Pennsylvania, which showed that when location information was provided contemporaneously with a 911 call, the reduction in response time correlated with a</w:t>
      </w:r>
      <w:r>
        <w:t xml:space="preserve"> </w:t>
      </w:r>
      <w:r w:rsidRPr="001F0D81">
        <w:t>reduction in mortality rates from cardiac arrest (</w:t>
      </w:r>
      <w:r w:rsidRPr="0008082A">
        <w:rPr>
          <w:i/>
        </w:rPr>
        <w:t>Cardiac Study</w:t>
      </w:r>
      <w:r w:rsidRPr="001F0D81">
        <w:t>).</w:t>
      </w:r>
      <w:r w:rsidRPr="001F0D81">
        <w:rPr>
          <w:rStyle w:val="FootnoteReference"/>
        </w:rPr>
        <w:footnoteReference w:id="393"/>
      </w:r>
      <w:r w:rsidRPr="001F0D81">
        <w:rPr>
          <w:rStyle w:val="FootnoteReference"/>
        </w:rPr>
        <w:t xml:space="preserve"> </w:t>
      </w:r>
      <w:r w:rsidRPr="001F0D81">
        <w:t xml:space="preserve"> </w:t>
      </w:r>
      <w:r>
        <w:t xml:space="preserve"> </w:t>
      </w:r>
      <w:r w:rsidRPr="001F0D81">
        <w:t>Based on this study, we estimated that for cardiac incidents alone, the proposed indoor location rules may well save at least 932 lives nationwide each year, yielding an annual benefit of almost $8.5 billion.</w:t>
      </w:r>
      <w:r w:rsidRPr="001F0D81">
        <w:rPr>
          <w:vertAlign w:val="superscript"/>
        </w:rPr>
        <w:footnoteReference w:id="394"/>
      </w:r>
      <w:r w:rsidRPr="001F0D81">
        <w:t xml:space="preserve">  Furthermore, as location information quality improves and latency declines, we noted our expectation that this will result in an even greater improvement in patient medical outcomes</w:t>
      </w:r>
      <w:r>
        <w:t xml:space="preserve">. </w:t>
      </w:r>
      <w:r w:rsidRPr="001F0D81">
        <w:t xml:space="preserve"> </w:t>
      </w:r>
      <w:r>
        <w:t>We</w:t>
      </w:r>
      <w:r w:rsidRPr="001F0D81">
        <w:t xml:space="preserve"> sought comment on the reasonableness of our analyses of these studies and our underlying assumptions</w:t>
      </w:r>
      <w:r>
        <w:t>,</w:t>
      </w:r>
      <w:r w:rsidRPr="001F0D81">
        <w:t xml:space="preserve"> as well as on whether the time benefit of vertical location, given the spread in horizontal location, is likely to be more, less, or comparable to the estimated gains in the </w:t>
      </w:r>
      <w:r w:rsidRPr="0008082A">
        <w:rPr>
          <w:i/>
        </w:rPr>
        <w:t>Salt Lake City Study</w:t>
      </w:r>
      <w:r w:rsidRPr="001F0D81">
        <w:t xml:space="preserve"> and the </w:t>
      </w:r>
      <w:r w:rsidRPr="0008082A">
        <w:rPr>
          <w:i/>
        </w:rPr>
        <w:t>Cardiac Study</w:t>
      </w:r>
      <w:r w:rsidRPr="001F0D81">
        <w:t xml:space="preserve"> when moving </w:t>
      </w:r>
      <w:r w:rsidRPr="005632CD">
        <w:rPr>
          <w:spacing w:val="-4"/>
          <w:szCs w:val="22"/>
        </w:rPr>
        <w:t>from</w:t>
      </w:r>
      <w:r w:rsidRPr="001F0D81">
        <w:t xml:space="preserve"> basic 911 to enhanced 911 services.</w:t>
      </w:r>
      <w:r w:rsidRPr="001F0D81">
        <w:rPr>
          <w:vertAlign w:val="superscript"/>
        </w:rPr>
        <w:footnoteReference w:id="395"/>
      </w:r>
    </w:p>
    <w:p w14:paraId="661C6E36" w14:textId="783EE4CA" w:rsidR="001267A0" w:rsidRDefault="001267A0" w:rsidP="001267A0">
      <w:pPr>
        <w:pStyle w:val="ParaNum"/>
      </w:pPr>
      <w:r>
        <w:rPr>
          <w:rFonts w:eastAsia="MS Mincho"/>
          <w:szCs w:val="22"/>
          <w:lang w:eastAsia="ja-JP"/>
        </w:rPr>
        <w:t>T</w:t>
      </w:r>
      <w:r w:rsidRPr="006E4619">
        <w:rPr>
          <w:rFonts w:eastAsia="MS Mincho"/>
          <w:szCs w:val="22"/>
          <w:lang w:eastAsia="ja-JP"/>
        </w:rPr>
        <w:t xml:space="preserve">he </w:t>
      </w:r>
      <w:r>
        <w:rPr>
          <w:rFonts w:eastAsia="MS Mincho"/>
          <w:szCs w:val="22"/>
          <w:lang w:eastAsia="ja-JP"/>
        </w:rPr>
        <w:t>large majority of commenters</w:t>
      </w:r>
      <w:r w:rsidRPr="006E4619">
        <w:rPr>
          <w:rFonts w:eastAsia="MS Mincho"/>
          <w:szCs w:val="22"/>
          <w:lang w:eastAsia="ja-JP"/>
        </w:rPr>
        <w:t xml:space="preserve"> affirm the importance of improvements to indoor location accuracy.</w:t>
      </w:r>
      <w:r w:rsidRPr="006E4619">
        <w:rPr>
          <w:rStyle w:val="FootnoteReference"/>
          <w:rFonts w:eastAsia="MS Mincho"/>
          <w:szCs w:val="22"/>
          <w:lang w:eastAsia="ja-JP"/>
        </w:rPr>
        <w:footnoteReference w:id="396"/>
      </w:r>
      <w:r w:rsidRPr="006E4619">
        <w:rPr>
          <w:rFonts w:eastAsia="MS Mincho"/>
          <w:szCs w:val="22"/>
          <w:lang w:eastAsia="ja-JP"/>
        </w:rPr>
        <w:t xml:space="preserve">  </w:t>
      </w:r>
      <w:r>
        <w:rPr>
          <w:rFonts w:eastAsia="MS Mincho"/>
          <w:lang w:eastAsia="ja-JP"/>
        </w:rPr>
        <w:t>Several c</w:t>
      </w:r>
      <w:r w:rsidRPr="001F0D81">
        <w:rPr>
          <w:rFonts w:eastAsia="MS Mincho"/>
          <w:lang w:eastAsia="ja-JP"/>
        </w:rPr>
        <w:t xml:space="preserve">ommenters </w:t>
      </w:r>
      <w:r>
        <w:rPr>
          <w:rFonts w:eastAsia="MS Mincho"/>
          <w:lang w:eastAsia="ja-JP"/>
        </w:rPr>
        <w:t>state</w:t>
      </w:r>
      <w:r w:rsidRPr="001F0D81">
        <w:rPr>
          <w:rFonts w:eastAsia="MS Mincho"/>
          <w:lang w:eastAsia="ja-JP"/>
        </w:rPr>
        <w:t xml:space="preserve"> that improved location accuracy would lead to more rapid response time by eliminating time and resources spent purs</w:t>
      </w:r>
      <w:r>
        <w:rPr>
          <w:rFonts w:eastAsia="MS Mincho"/>
          <w:lang w:eastAsia="ja-JP"/>
        </w:rPr>
        <w:t>u</w:t>
      </w:r>
      <w:r w:rsidRPr="001F0D81">
        <w:rPr>
          <w:rFonts w:eastAsia="MS Mincho"/>
          <w:lang w:eastAsia="ja-JP"/>
        </w:rPr>
        <w:t>ing incorrect addresses and locations.</w:t>
      </w:r>
      <w:r>
        <w:rPr>
          <w:rStyle w:val="FootnoteReference"/>
          <w:rFonts w:eastAsia="MS Mincho"/>
          <w:lang w:eastAsia="ja-JP"/>
        </w:rPr>
        <w:footnoteReference w:id="397"/>
      </w:r>
      <w:r>
        <w:rPr>
          <w:rFonts w:eastAsia="MS Mincho"/>
          <w:lang w:eastAsia="ja-JP"/>
        </w:rPr>
        <w:t xml:space="preserve">  </w:t>
      </w:r>
      <w:r>
        <w:t xml:space="preserve">The Commission’s expectation that improving location information quality would lead to a decline in latency was further confirmed by recent </w:t>
      </w:r>
      <w:r w:rsidR="00003512">
        <w:t xml:space="preserve">testing conducted by public safety representatives </w:t>
      </w:r>
      <w:r>
        <w:t>in the CSRIC test bed.</w:t>
      </w:r>
      <w:r>
        <w:rPr>
          <w:rStyle w:val="FootnoteReference"/>
        </w:rPr>
        <w:footnoteReference w:id="398"/>
      </w:r>
      <w:r>
        <w:t xml:space="preserve">  </w:t>
      </w:r>
      <w:r>
        <w:rPr>
          <w:rFonts w:eastAsia="MS Mincho"/>
          <w:lang w:eastAsia="ja-JP"/>
        </w:rPr>
        <w:t>M</w:t>
      </w:r>
      <w:r w:rsidRPr="00296640">
        <w:rPr>
          <w:rFonts w:eastAsia="MS Mincho"/>
          <w:lang w:eastAsia="ja-JP"/>
        </w:rPr>
        <w:t xml:space="preserve">any commenters </w:t>
      </w:r>
      <w:r>
        <w:rPr>
          <w:rFonts w:eastAsia="MS Mincho"/>
          <w:lang w:eastAsia="ja-JP"/>
        </w:rPr>
        <w:t xml:space="preserve">also </w:t>
      </w:r>
      <w:r w:rsidRPr="00296640">
        <w:rPr>
          <w:rFonts w:eastAsia="MS Mincho"/>
          <w:lang w:eastAsia="ja-JP"/>
        </w:rPr>
        <w:t xml:space="preserve">agree that shorter response times lead to </w:t>
      </w:r>
      <w:r w:rsidRPr="00587FF8">
        <w:rPr>
          <w:rFonts w:eastAsia="MS Mincho"/>
          <w:lang w:eastAsia="ja-JP"/>
        </w:rPr>
        <w:t>not only reductions in mortality, but better prognoses for many non-life-threatening cases.</w:t>
      </w:r>
      <w:r>
        <w:rPr>
          <w:rStyle w:val="FootnoteReference"/>
          <w:rFonts w:eastAsia="MS Mincho"/>
          <w:lang w:eastAsia="ja-JP"/>
        </w:rPr>
        <w:footnoteReference w:id="399"/>
      </w:r>
      <w:r>
        <w:rPr>
          <w:rFonts w:eastAsia="MS Mincho"/>
          <w:lang w:eastAsia="ja-JP"/>
        </w:rPr>
        <w:t xml:space="preserve">  </w:t>
      </w:r>
      <w:r w:rsidRPr="00296640">
        <w:rPr>
          <w:rFonts w:eastAsia="MS Mincho"/>
          <w:lang w:eastAsia="ja-JP"/>
        </w:rPr>
        <w:t xml:space="preserve">Many commenters also concur that improved location information can be particularly important for saving the lives of persons with disabilities and for those who may not be able to adequately communicate their location to a 911 </w:t>
      </w:r>
      <w:r>
        <w:rPr>
          <w:rFonts w:eastAsia="MS Mincho"/>
          <w:lang w:eastAsia="ja-JP"/>
        </w:rPr>
        <w:t>call-taker</w:t>
      </w:r>
      <w:r w:rsidRPr="00296640">
        <w:rPr>
          <w:rFonts w:eastAsia="MS Mincho"/>
          <w:lang w:eastAsia="ja-JP"/>
        </w:rPr>
        <w:t>.</w:t>
      </w:r>
      <w:r>
        <w:rPr>
          <w:rStyle w:val="FootnoteReference"/>
          <w:rFonts w:eastAsia="MS Mincho"/>
          <w:lang w:eastAsia="ja-JP"/>
        </w:rPr>
        <w:footnoteReference w:id="400"/>
      </w:r>
      <w:r w:rsidRPr="00296640">
        <w:rPr>
          <w:rFonts w:eastAsia="MS Mincho"/>
          <w:lang w:eastAsia="ja-JP"/>
        </w:rPr>
        <w:t xml:space="preserve">  </w:t>
      </w:r>
      <w:r>
        <w:t xml:space="preserve">AT&amp;T is the only commenter that does not agree that the </w:t>
      </w:r>
      <w:r w:rsidRPr="00296640">
        <w:rPr>
          <w:i/>
        </w:rPr>
        <w:t>Salt Lake City Study</w:t>
      </w:r>
      <w:r>
        <w:t>’s findings are indicative of benefits that the public should expect from the implementation of tighter location accuracy requirements.</w:t>
      </w:r>
      <w:r>
        <w:rPr>
          <w:rStyle w:val="FootnoteReference"/>
        </w:rPr>
        <w:footnoteReference w:id="401"/>
      </w:r>
    </w:p>
    <w:p w14:paraId="6BBCF491" w14:textId="0BE53B77" w:rsidR="001267A0" w:rsidRPr="00BD58E9" w:rsidRDefault="001267A0" w:rsidP="001267A0">
      <w:pPr>
        <w:pStyle w:val="ParaNum"/>
      </w:pPr>
      <w:r>
        <w:rPr>
          <w:i/>
        </w:rPr>
        <w:t xml:space="preserve">Discussion.  </w:t>
      </w:r>
      <w:r>
        <w:t>We conclude that the location accuracy rules we adopt today will improve emergency response times, which, in turn, will improve patient outcomes, and save lives.  R</w:t>
      </w:r>
      <w:r w:rsidRPr="00C53508">
        <w:t xml:space="preserve">equiring location information for wireless calls to 911 from indoors </w:t>
      </w:r>
      <w:r>
        <w:t>is thus consistent with our statutory goal of “promoting safety of life and property.”</w:t>
      </w:r>
      <w:r>
        <w:rPr>
          <w:rStyle w:val="FootnoteReference"/>
        </w:rPr>
        <w:footnoteReference w:id="402"/>
      </w:r>
      <w:r>
        <w:t xml:space="preserve"> </w:t>
      </w:r>
      <w:r w:rsidRPr="00C53508">
        <w:t xml:space="preserve"> </w:t>
      </w:r>
      <w:r>
        <w:t>Further, we must be more inclusive in our requirements than those proposed by the Roadmap because its five-year and six-year location accuracy metrics risk stranding non-VoLTE consumers without the life-saving benefits of improved wireless indoor location accuracy technology.  Finally, by providing a</w:t>
      </w:r>
      <w:r w:rsidRPr="006D0778">
        <w:t xml:space="preserve"> z-axis metric as a backstop to dispatchable location for identifying floor level of 911 calls from multi-story buildings</w:t>
      </w:r>
      <w:r>
        <w:t>, we ensure that vertical location accuracy is achieved within the timeframe laid out by the Roadmap.  These</w:t>
      </w:r>
      <w:r w:rsidRPr="006D0778">
        <w:t xml:space="preserve"> co</w:t>
      </w:r>
      <w:r>
        <w:t>mmercially reasonable requirements ensure that the full benefits of improved wireless indoor location accuracy are realized by addressing</w:t>
      </w:r>
      <w:r w:rsidRPr="006D0778">
        <w:t xml:space="preserve"> gaps</w:t>
      </w:r>
      <w:r>
        <w:t xml:space="preserve"> in the Roadmap proposal while</w:t>
      </w:r>
      <w:r w:rsidRPr="006D0778">
        <w:t xml:space="preserve"> adopt</w:t>
      </w:r>
      <w:r>
        <w:t>ing and codifying its</w:t>
      </w:r>
      <w:r w:rsidRPr="006D0778">
        <w:t xml:space="preserve"> major elements </w:t>
      </w:r>
      <w:r>
        <w:t xml:space="preserve">and </w:t>
      </w:r>
      <w:r w:rsidRPr="006D0778">
        <w:t>adapt</w:t>
      </w:r>
      <w:r>
        <w:t>ing our rules to its overall timeframe</w:t>
      </w:r>
      <w:r w:rsidR="00003512">
        <w:t>.</w:t>
      </w:r>
    </w:p>
    <w:p w14:paraId="4AFF5C68" w14:textId="5702A184" w:rsidR="001267A0" w:rsidRPr="0062527C" w:rsidRDefault="001267A0" w:rsidP="001267A0">
      <w:pPr>
        <w:pStyle w:val="ParaNum"/>
        <w:rPr>
          <w:spacing w:val="-4"/>
        </w:rPr>
      </w:pPr>
      <w:r>
        <w:t xml:space="preserve">The location accuracy rules we adopt today are a measured response to the critical public safety need for improved wireless indoor location accuracy.  While </w:t>
      </w:r>
      <w:r w:rsidRPr="000964B0">
        <w:t xml:space="preserve">AT&amp;T makes an array of arguments against the benefits the Commission </w:t>
      </w:r>
      <w:r>
        <w:t>has identified as a likely</w:t>
      </w:r>
      <w:r w:rsidRPr="000964B0">
        <w:t xml:space="preserve"> result of improved indoor location a</w:t>
      </w:r>
      <w:r>
        <w:t>ccuracy, w</w:t>
      </w:r>
      <w:r w:rsidRPr="000964B0">
        <w:t xml:space="preserve">e </w:t>
      </w:r>
      <w:r>
        <w:t>find</w:t>
      </w:r>
      <w:r w:rsidRPr="000964B0">
        <w:t xml:space="preserve"> that the </w:t>
      </w:r>
      <w:r w:rsidRPr="000964B0">
        <w:rPr>
          <w:i/>
        </w:rPr>
        <w:t>Salt Lake City Study</w:t>
      </w:r>
      <w:r w:rsidRPr="000964B0">
        <w:t xml:space="preserve"> offers a relevant basis upon which to base the projected benefits of the location accuracy requirements we a</w:t>
      </w:r>
      <w:r>
        <w:t>dopt in this item, and that the value of statistical life (VSL)</w:t>
      </w:r>
      <w:r>
        <w:rPr>
          <w:rStyle w:val="FootnoteReference"/>
        </w:rPr>
        <w:footnoteReference w:id="403"/>
      </w:r>
      <w:r w:rsidRPr="000964B0">
        <w:t xml:space="preserve"> offers an </w:t>
      </w:r>
      <w:r w:rsidR="00003512">
        <w:t>appropriate</w:t>
      </w:r>
      <w:r w:rsidR="00003512" w:rsidRPr="000964B0">
        <w:t xml:space="preserve"> </w:t>
      </w:r>
      <w:r w:rsidRPr="000964B0">
        <w:t>measure</w:t>
      </w:r>
      <w:r>
        <w:t>ment</w:t>
      </w:r>
      <w:r w:rsidRPr="000964B0">
        <w:t xml:space="preserve"> for the public’s valuation of lives saved as a result </w:t>
      </w:r>
      <w:r>
        <w:t>of</w:t>
      </w:r>
      <w:r w:rsidRPr="000964B0">
        <w:t xml:space="preserve"> these rules.</w:t>
      </w:r>
    </w:p>
    <w:p w14:paraId="4188D3D4" w14:textId="7426F1EF" w:rsidR="001267A0" w:rsidRDefault="001267A0" w:rsidP="001267A0">
      <w:pPr>
        <w:pStyle w:val="ParaNum"/>
      </w:pPr>
      <w:r>
        <w:t xml:space="preserve">The </w:t>
      </w:r>
      <w:r>
        <w:rPr>
          <w:i/>
        </w:rPr>
        <w:t>Salt Lake City Study</w:t>
      </w:r>
      <w:r>
        <w:t xml:space="preserve"> demonstrates that faster response time lowers mortality risk.  Changes in cellphone usage patterns do not undermine this finding.  AT&amp;T argues that</w:t>
      </w:r>
      <w:r w:rsidRPr="00A43591">
        <w:t xml:space="preserve"> </w:t>
      </w:r>
      <w:r>
        <w:t xml:space="preserve">even if the </w:t>
      </w:r>
      <w:r>
        <w:rPr>
          <w:i/>
        </w:rPr>
        <w:t>Salt Lake City Study</w:t>
      </w:r>
      <w:r>
        <w:t xml:space="preserve"> demonstrated that delayed response time might increase mortality, it does not necessarily follow</w:t>
      </w:r>
      <w:r w:rsidRPr="00A43591">
        <w:t xml:space="preserve"> that </w:t>
      </w:r>
      <w:r>
        <w:t xml:space="preserve">improved response times </w:t>
      </w:r>
      <w:r w:rsidRPr="00A43591">
        <w:t xml:space="preserve">would </w:t>
      </w:r>
      <w:r w:rsidRPr="008727AC">
        <w:rPr>
          <w:i/>
        </w:rPr>
        <w:t>reduce</w:t>
      </w:r>
      <w:r>
        <w:t xml:space="preserve"> mortality.</w:t>
      </w:r>
      <w:r>
        <w:rPr>
          <w:rStyle w:val="FootnoteReference"/>
        </w:rPr>
        <w:footnoteReference w:id="404"/>
      </w:r>
      <w:r>
        <w:t xml:space="preserve">  However, the record shows that for certain medical emergencies like sudden cardiac arrest (SCA), the length of response time may be determinative of whether or not a patient survives.</w:t>
      </w:r>
      <w:r>
        <w:rPr>
          <w:rStyle w:val="FootnoteReference"/>
        </w:rPr>
        <w:footnoteReference w:id="405"/>
      </w:r>
      <w:r>
        <w:t xml:space="preserve">  Sudden cardiac arrest is the leading cause of death of American adults over age 40, with 9 out of 10 incidents resulting in death.</w:t>
      </w:r>
      <w:r>
        <w:rPr>
          <w:rStyle w:val="FootnoteReference"/>
        </w:rPr>
        <w:footnoteReference w:id="406"/>
      </w:r>
      <w:r>
        <w:t xml:space="preserve">  The Sudden Cardiac Arrest Foundation states that “</w:t>
      </w:r>
      <w:r w:rsidRPr="00066ADA">
        <w:t>SCA victims can survive if they receive immediate CPR and are treated quickl</w:t>
      </w:r>
      <w:r>
        <w:t>y with defibrillators,” but caveats that “[t]</w:t>
      </w:r>
      <w:r w:rsidRPr="00066ADA">
        <w:t>o be effective, this treatment must be delivered quickly—ideally, within three to five minutes after collapse.</w:t>
      </w:r>
      <w:r>
        <w:t>”</w:t>
      </w:r>
      <w:r>
        <w:rPr>
          <w:rStyle w:val="FootnoteReference"/>
        </w:rPr>
        <w:footnoteReference w:id="407"/>
      </w:r>
      <w:r>
        <w:t xml:space="preserve">  Considering the high mortality rate and time-sensitive nature of this increasingly widespread health risk, it follows that improved location accuracy leading to shorter response times would reduce mortality rates for this very large group of medical emergencies.</w:t>
      </w:r>
      <w:r>
        <w:rPr>
          <w:rStyle w:val="FootnoteReference"/>
        </w:rPr>
        <w:footnoteReference w:id="408"/>
      </w:r>
      <w:r>
        <w:t xml:space="preserve">   We also </w:t>
      </w:r>
      <w:r w:rsidRPr="00413293">
        <w:t xml:space="preserve">disagree with AT&amp;T’s argument that the </w:t>
      </w:r>
      <w:r w:rsidRPr="00413293">
        <w:rPr>
          <w:i/>
        </w:rPr>
        <w:t>Salt Lake City Study</w:t>
      </w:r>
      <w:r w:rsidRPr="00413293">
        <w:t xml:space="preserve">’s findings are </w:t>
      </w:r>
      <w:r>
        <w:t>inapposite</w:t>
      </w:r>
      <w:r w:rsidRPr="00413293">
        <w:rPr>
          <w:i/>
        </w:rPr>
        <w:t xml:space="preserve"> </w:t>
      </w:r>
      <w:r w:rsidRPr="00413293">
        <w:t>because the increase in wireless cellular phone usage has already shortened the amount of time that individuals delay before calling 911.</w:t>
      </w:r>
      <w:r w:rsidRPr="00413293">
        <w:rPr>
          <w:vertAlign w:val="superscript"/>
        </w:rPr>
        <w:footnoteReference w:id="409"/>
      </w:r>
      <w:r w:rsidRPr="00413293">
        <w:t xml:space="preserve">  </w:t>
      </w:r>
      <w:r w:rsidR="00501405">
        <w:t>The</w:t>
      </w:r>
      <w:r w:rsidRPr="00413293">
        <w:t xml:space="preserve"> time that it takes for an individual to respond appropriately to an unexpected emergency is a function of a wide variety of factors beyond cellphone proximity</w:t>
      </w:r>
      <w:r>
        <w:t>.</w:t>
      </w:r>
      <w:r w:rsidRPr="00413293">
        <w:rPr>
          <w:vertAlign w:val="superscript"/>
        </w:rPr>
        <w:footnoteReference w:id="410"/>
      </w:r>
      <w:r w:rsidRPr="00413293">
        <w:t xml:space="preserve">  </w:t>
      </w:r>
    </w:p>
    <w:p w14:paraId="393341E2" w14:textId="151C5663" w:rsidR="001267A0" w:rsidRPr="00B03AA9" w:rsidRDefault="001267A0" w:rsidP="001267A0">
      <w:pPr>
        <w:pStyle w:val="ParaNum"/>
        <w:rPr>
          <w:rFonts w:eastAsia="MS Mincho"/>
          <w:szCs w:val="22"/>
          <w:lang w:eastAsia="ja-JP"/>
        </w:rPr>
      </w:pPr>
      <w:r>
        <w:rPr>
          <w:rFonts w:eastAsia="MS Mincho"/>
          <w:lang w:eastAsia="ja-JP"/>
        </w:rPr>
        <w:t xml:space="preserve">The </w:t>
      </w:r>
      <w:r w:rsidRPr="00A61A24">
        <w:rPr>
          <w:rFonts w:eastAsia="MS Mincho"/>
          <w:lang w:eastAsia="ja-JP"/>
        </w:rPr>
        <w:t>DoT’s VSL was designed to calculate</w:t>
      </w:r>
      <w:r>
        <w:rPr>
          <w:rFonts w:eastAsia="MS Mincho"/>
          <w:lang w:eastAsia="ja-JP"/>
        </w:rPr>
        <w:t xml:space="preserve"> the value of preventing injuries or deaths</w:t>
      </w:r>
      <w:r w:rsidRPr="00A61A24">
        <w:rPr>
          <w:rFonts w:eastAsia="MS Mincho"/>
          <w:lang w:eastAsia="ja-JP"/>
        </w:rPr>
        <w:t>.</w:t>
      </w:r>
      <w:r>
        <w:rPr>
          <w:rStyle w:val="FootnoteReference"/>
          <w:rFonts w:eastAsia="MS Mincho"/>
          <w:szCs w:val="22"/>
          <w:lang w:eastAsia="ja-JP"/>
        </w:rPr>
        <w:footnoteReference w:id="411"/>
      </w:r>
      <w:r>
        <w:rPr>
          <w:rFonts w:eastAsia="MS Mincho"/>
          <w:lang w:eastAsia="ja-JP"/>
        </w:rPr>
        <w:t xml:space="preserve">  That makes VSL an appropriate metric for our analysis of the </w:t>
      </w:r>
      <w:r w:rsidR="0060796B">
        <w:rPr>
          <w:rFonts w:eastAsia="MS Mincho"/>
          <w:lang w:eastAsia="ja-JP"/>
        </w:rPr>
        <w:t xml:space="preserve">projected </w:t>
      </w:r>
      <w:r>
        <w:rPr>
          <w:rFonts w:eastAsia="MS Mincho"/>
          <w:lang w:eastAsia="ja-JP"/>
        </w:rPr>
        <w:t xml:space="preserve">benefits of the wireless location accuracy rules we adopt today.  AT&amp;T </w:t>
      </w:r>
      <w:r w:rsidR="0060796B">
        <w:rPr>
          <w:rFonts w:eastAsia="MS Mincho"/>
          <w:lang w:eastAsia="ja-JP"/>
        </w:rPr>
        <w:t xml:space="preserve">argues </w:t>
      </w:r>
      <w:r>
        <w:rPr>
          <w:rFonts w:eastAsia="MS Mincho"/>
          <w:lang w:eastAsia="ja-JP"/>
        </w:rPr>
        <w:t>that our use of DoT’s VSL statistic is inapposite because those affected by our wireless location accuracy rules have already contracted a disease or been seriously injured.</w:t>
      </w:r>
      <w:r>
        <w:rPr>
          <w:rStyle w:val="FootnoteReference"/>
          <w:rFonts w:eastAsia="MS Mincho"/>
          <w:lang w:eastAsia="ja-JP"/>
        </w:rPr>
        <w:footnoteReference w:id="412"/>
      </w:r>
      <w:r>
        <w:rPr>
          <w:rFonts w:eastAsia="MS Mincho"/>
          <w:lang w:eastAsia="ja-JP"/>
        </w:rPr>
        <w:t xml:space="preserve">  As stated by AARP, however, t</w:t>
      </w:r>
      <w:r w:rsidRPr="007268A9">
        <w:rPr>
          <w:rFonts w:eastAsia="MS Mincho"/>
          <w:lang w:eastAsia="ja-JP"/>
        </w:rPr>
        <w:t xml:space="preserve">he relevant timeframe during which a life should be valued for the purpose of our analysis </w:t>
      </w:r>
      <w:r>
        <w:rPr>
          <w:rFonts w:eastAsia="MS Mincho"/>
          <w:lang w:eastAsia="ja-JP"/>
        </w:rPr>
        <w:t xml:space="preserve">is not </w:t>
      </w:r>
      <w:r w:rsidRPr="00EF19F0">
        <w:rPr>
          <w:rFonts w:eastAsia="MS Mincho"/>
          <w:lang w:eastAsia="ja-JP"/>
        </w:rPr>
        <w:t>the moment at which that individual dials 911</w:t>
      </w:r>
      <w:r>
        <w:rPr>
          <w:rFonts w:eastAsia="MS Mincho"/>
          <w:lang w:eastAsia="ja-JP"/>
        </w:rPr>
        <w:t xml:space="preserve">, but the time when a presumptively healthy </w:t>
      </w:r>
      <w:r w:rsidRPr="007268A9">
        <w:rPr>
          <w:rFonts w:eastAsia="MS Mincho"/>
          <w:lang w:eastAsia="ja-JP"/>
        </w:rPr>
        <w:t xml:space="preserve">consumer </w:t>
      </w:r>
      <w:r>
        <w:rPr>
          <w:rFonts w:eastAsia="MS Mincho"/>
          <w:lang w:eastAsia="ja-JP"/>
        </w:rPr>
        <w:t>decides</w:t>
      </w:r>
      <w:r w:rsidRPr="007268A9">
        <w:rPr>
          <w:rFonts w:eastAsia="MS Mincho"/>
          <w:lang w:eastAsia="ja-JP"/>
        </w:rPr>
        <w:t xml:space="preserve"> </w:t>
      </w:r>
      <w:r>
        <w:rPr>
          <w:rFonts w:eastAsia="MS Mincho"/>
          <w:lang w:eastAsia="ja-JP"/>
        </w:rPr>
        <w:t>whether to buy a</w:t>
      </w:r>
      <w:r w:rsidRPr="007268A9">
        <w:rPr>
          <w:rFonts w:eastAsia="MS Mincho"/>
          <w:lang w:eastAsia="ja-JP"/>
        </w:rPr>
        <w:t xml:space="preserve"> given cellphone product based </w:t>
      </w:r>
      <w:r>
        <w:rPr>
          <w:rFonts w:eastAsia="MS Mincho"/>
          <w:lang w:eastAsia="ja-JP"/>
        </w:rPr>
        <w:t xml:space="preserve">at least in part </w:t>
      </w:r>
      <w:r w:rsidRPr="007268A9">
        <w:rPr>
          <w:rFonts w:eastAsia="MS Mincho"/>
          <w:lang w:eastAsia="ja-JP"/>
        </w:rPr>
        <w:t>on their perception</w:t>
      </w:r>
      <w:r>
        <w:rPr>
          <w:rFonts w:eastAsia="MS Mincho"/>
          <w:lang w:eastAsia="ja-JP"/>
        </w:rPr>
        <w:t xml:space="preserve"> that </w:t>
      </w:r>
      <w:r w:rsidRPr="007268A9">
        <w:rPr>
          <w:rFonts w:eastAsia="MS Mincho"/>
          <w:lang w:eastAsia="ja-JP"/>
        </w:rPr>
        <w:t xml:space="preserve">they will be able to use that </w:t>
      </w:r>
      <w:r>
        <w:rPr>
          <w:rFonts w:eastAsia="MS Mincho"/>
          <w:lang w:eastAsia="ja-JP"/>
        </w:rPr>
        <w:t>cellphone</w:t>
      </w:r>
      <w:r w:rsidRPr="007268A9">
        <w:rPr>
          <w:rFonts w:eastAsia="MS Mincho"/>
          <w:lang w:eastAsia="ja-JP"/>
        </w:rPr>
        <w:t xml:space="preserve"> to timely summon life-saving assistance</w:t>
      </w:r>
      <w:r>
        <w:rPr>
          <w:rFonts w:eastAsia="MS Mincho"/>
          <w:lang w:eastAsia="ja-JP"/>
        </w:rPr>
        <w:t>.</w:t>
      </w:r>
      <w:r>
        <w:rPr>
          <w:rStyle w:val="FootnoteReference"/>
          <w:rFonts w:eastAsia="MS Mincho"/>
          <w:lang w:eastAsia="ja-JP"/>
        </w:rPr>
        <w:footnoteReference w:id="413"/>
      </w:r>
    </w:p>
    <w:p w14:paraId="2A7A289F" w14:textId="2ED64A40" w:rsidR="001267A0" w:rsidRPr="009D631C" w:rsidRDefault="001267A0" w:rsidP="001267A0">
      <w:pPr>
        <w:pStyle w:val="ParaNum"/>
      </w:pPr>
      <w:r>
        <w:t xml:space="preserve">We conclude that </w:t>
      </w:r>
      <w:r w:rsidRPr="00DF0796">
        <w:t xml:space="preserve">the location accuracy improvements we </w:t>
      </w:r>
      <w:r>
        <w:t xml:space="preserve">adopt today </w:t>
      </w:r>
      <w:r w:rsidR="0060796B">
        <w:t>have the potential to</w:t>
      </w:r>
      <w:r w:rsidR="0060796B" w:rsidRPr="00DF0796">
        <w:t xml:space="preserve"> </w:t>
      </w:r>
      <w:r w:rsidRPr="00DF0796">
        <w:t>save approximately 10,120 lives annually, at a value of $9.1 million per life, for an annual benefit of approximately $92 billion</w:t>
      </w:r>
      <w:r>
        <w:t>, or $291 per wireless subscriber</w:t>
      </w:r>
      <w:r w:rsidRPr="00DF0796">
        <w:t>.</w:t>
      </w:r>
      <w:r w:rsidRPr="00DF0796">
        <w:rPr>
          <w:vertAlign w:val="superscript"/>
        </w:rPr>
        <w:footnoteReference w:id="414"/>
      </w:r>
      <w:r>
        <w:t xml:space="preserve">  We find that our reliance on the </w:t>
      </w:r>
      <w:r w:rsidRPr="00B93C4B">
        <w:rPr>
          <w:i/>
        </w:rPr>
        <w:t>Salt Lake City Study</w:t>
      </w:r>
      <w:r>
        <w:t xml:space="preserve"> to arrive at those figures is well-placed, and that our analysis as to the applicability of that study to the rules we adopt today is fundamentally sound.  We are not persuaded by AT&amp;T’s counterarguments </w:t>
      </w:r>
      <w:r w:rsidR="0060796B">
        <w:t>with respect to the projected benefits</w:t>
      </w:r>
      <w:r>
        <w:t xml:space="preserve"> because of </w:t>
      </w:r>
      <w:r w:rsidR="0060796B">
        <w:t xml:space="preserve">its </w:t>
      </w:r>
      <w:r>
        <w:t xml:space="preserve">unsupported assumptions about the relationship between response time and mortality risk, and </w:t>
      </w:r>
      <w:r w:rsidR="0060796B">
        <w:t xml:space="preserve">its </w:t>
      </w:r>
      <w:r>
        <w:t xml:space="preserve">misguided approach to valuing human life that presupposes life-threatening conditions.  Even </w:t>
      </w:r>
      <w:r w:rsidR="0060796B">
        <w:t>if we were to adopt AT&amp;T’s</w:t>
      </w:r>
      <w:r>
        <w:t xml:space="preserve"> perspective, however, it </w:t>
      </w:r>
      <w:r w:rsidR="0060796B">
        <w:t xml:space="preserve">still </w:t>
      </w:r>
      <w:r>
        <w:t xml:space="preserve">stands to reason that the average wireless subscriber would </w:t>
      </w:r>
      <w:r w:rsidR="0060796B">
        <w:t xml:space="preserve">likely </w:t>
      </w:r>
      <w:r>
        <w:t xml:space="preserve">be willing to pay $291 per year to live an extra 23.7 days, the average increase in life expectancy that the </w:t>
      </w:r>
      <w:r w:rsidRPr="00B93C4B">
        <w:rPr>
          <w:i/>
        </w:rPr>
        <w:t>Salt Lake City Study</w:t>
      </w:r>
      <w:r>
        <w:t xml:space="preserve"> leads us to believe should be expected to result from the rules we adopt today.</w:t>
      </w:r>
      <w:r>
        <w:rPr>
          <w:rStyle w:val="FootnoteReference"/>
        </w:rPr>
        <w:footnoteReference w:id="415"/>
      </w:r>
    </w:p>
    <w:p w14:paraId="2B751622" w14:textId="77777777" w:rsidR="001267A0" w:rsidRPr="001F0D81" w:rsidRDefault="001267A0" w:rsidP="001267A0">
      <w:pPr>
        <w:pStyle w:val="Heading3"/>
      </w:pPr>
      <w:bookmarkStart w:id="378" w:name="_Toc408400455"/>
      <w:bookmarkStart w:id="379" w:name="_Toc408400513"/>
      <w:bookmarkStart w:id="380" w:name="_Toc408400568"/>
      <w:bookmarkStart w:id="381" w:name="_Toc408403119"/>
      <w:bookmarkStart w:id="382" w:name="_Toc408421331"/>
      <w:bookmarkStart w:id="383" w:name="_Toc406513849"/>
      <w:bookmarkStart w:id="384" w:name="_Toc407796245"/>
      <w:bookmarkStart w:id="385" w:name="_Toc408490580"/>
      <w:bookmarkStart w:id="386" w:name="_Toc408496218"/>
      <w:bookmarkStart w:id="387" w:name="_Toc408502419"/>
      <w:bookmarkStart w:id="388" w:name="_Toc410119091"/>
      <w:bookmarkStart w:id="389" w:name="_Toc410123670"/>
      <w:bookmarkStart w:id="390" w:name="_Toc410124652"/>
      <w:bookmarkStart w:id="391" w:name="_Toc410124732"/>
      <w:bookmarkStart w:id="392" w:name="_Toc410146126"/>
      <w:bookmarkStart w:id="393" w:name="_Toc410212650"/>
      <w:bookmarkStart w:id="394" w:name="_Toc410648291"/>
      <w:r>
        <w:t>Costs of Improved Indoor Wireless Location Accuracy</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14:paraId="45DEDCEF" w14:textId="6BA9CC22" w:rsidR="001267A0" w:rsidRPr="001F0D81" w:rsidRDefault="001267A0" w:rsidP="001267A0">
      <w:pPr>
        <w:pStyle w:val="ParaNum"/>
        <w:rPr>
          <w:szCs w:val="22"/>
        </w:rPr>
      </w:pPr>
      <w:r>
        <w:rPr>
          <w:i/>
        </w:rPr>
        <w:t xml:space="preserve">Background.  </w:t>
      </w:r>
      <w:r>
        <w:t xml:space="preserve">In the </w:t>
      </w:r>
      <w:r w:rsidRPr="001F0D81">
        <w:rPr>
          <w:i/>
        </w:rPr>
        <w:t xml:space="preserve">Third Further Notice </w:t>
      </w:r>
      <w:r w:rsidRPr="001F0D81">
        <w:t xml:space="preserve">we noted </w:t>
      </w:r>
      <w:r w:rsidRPr="001F0D81">
        <w:rPr>
          <w:szCs w:val="22"/>
        </w:rPr>
        <w:t xml:space="preserve">that implementation of </w:t>
      </w:r>
      <w:r>
        <w:rPr>
          <w:szCs w:val="22"/>
        </w:rPr>
        <w:t xml:space="preserve">stricter </w:t>
      </w:r>
      <w:r w:rsidRPr="001F0D81">
        <w:rPr>
          <w:szCs w:val="22"/>
        </w:rPr>
        <w:t xml:space="preserve">indoor location accuracy </w:t>
      </w:r>
      <w:r>
        <w:rPr>
          <w:szCs w:val="22"/>
        </w:rPr>
        <w:t xml:space="preserve">requirements </w:t>
      </w:r>
      <w:r w:rsidRPr="001F0D81">
        <w:rPr>
          <w:szCs w:val="22"/>
        </w:rPr>
        <w:t xml:space="preserve">will likely impose significant costs on providers and sought comment generally on the costs of </w:t>
      </w:r>
      <w:r>
        <w:rPr>
          <w:szCs w:val="22"/>
        </w:rPr>
        <w:t>such</w:t>
      </w:r>
      <w:r w:rsidRPr="001F0D81">
        <w:rPr>
          <w:szCs w:val="22"/>
        </w:rPr>
        <w:t xml:space="preserve"> requirements</w:t>
      </w:r>
      <w:r>
        <w:rPr>
          <w:szCs w:val="22"/>
        </w:rPr>
        <w:t>,</w:t>
      </w:r>
      <w:r w:rsidRPr="001F0D81">
        <w:rPr>
          <w:szCs w:val="22"/>
        </w:rPr>
        <w:t xml:space="preserve"> as well as</w:t>
      </w:r>
      <w:r w:rsidRPr="001F0D81">
        <w:t xml:space="preserve"> detailed information on all of the costs providers estimate our proposed indoor location rules would impose on them, </w:t>
      </w:r>
      <w:r>
        <w:t>and</w:t>
      </w:r>
      <w:r w:rsidRPr="001F0D81">
        <w:t xml:space="preserve"> how these costs were determined.</w:t>
      </w:r>
      <w:r w:rsidRPr="001F0D81">
        <w:rPr>
          <w:rStyle w:val="FootnoteReference"/>
        </w:rPr>
        <w:footnoteReference w:id="416"/>
      </w:r>
      <w:r w:rsidRPr="001F0D81">
        <w:t xml:space="preserve">  We also sought </w:t>
      </w:r>
      <w:r w:rsidRPr="001F0D81">
        <w:rPr>
          <w:szCs w:val="22"/>
        </w:rPr>
        <w:t>comment on what universal costs would be necessary across al</w:t>
      </w:r>
      <w:r>
        <w:rPr>
          <w:szCs w:val="22"/>
        </w:rPr>
        <w:t xml:space="preserve">l indoor location technologies, </w:t>
      </w:r>
      <w:r w:rsidRPr="001F0D81">
        <w:rPr>
          <w:szCs w:val="22"/>
        </w:rPr>
        <w:t xml:space="preserve">as well as on any specific costs that are unique to different technologies; </w:t>
      </w:r>
      <w:r>
        <w:rPr>
          <w:szCs w:val="22"/>
        </w:rPr>
        <w:t>a</w:t>
      </w:r>
      <w:r w:rsidRPr="001F0D81">
        <w:rPr>
          <w:szCs w:val="22"/>
        </w:rPr>
        <w:t>nd on whether additional costs would be passed on to consumers, resulting in higher rates and, if so, how much rates would increase.</w:t>
      </w:r>
      <w:r w:rsidRPr="001F0D81">
        <w:rPr>
          <w:szCs w:val="22"/>
          <w:vertAlign w:val="superscript"/>
        </w:rPr>
        <w:footnoteReference w:id="417"/>
      </w:r>
      <w:r w:rsidRPr="001F0D81">
        <w:rPr>
          <w:szCs w:val="22"/>
        </w:rPr>
        <w:t xml:space="preserve"> </w:t>
      </w:r>
      <w:r>
        <w:rPr>
          <w:szCs w:val="22"/>
        </w:rPr>
        <w:t xml:space="preserve"> </w:t>
      </w:r>
      <w:r w:rsidRPr="001F0D81">
        <w:rPr>
          <w:szCs w:val="22"/>
        </w:rPr>
        <w:t>Finally, we indicated our belief that any costs imposed by our rules might be mitigated, at least to some degree, by the fact that providers are already undertaking significant indoor location technology research and development on their own for commercial, non-911 reasons and sought further comment on the degree to which commercial development – unrelated to any Commission indoor location capability requirement – could be leveraged to mitigate the costs of compliance.</w:t>
      </w:r>
      <w:r w:rsidRPr="001F0D81">
        <w:rPr>
          <w:szCs w:val="22"/>
          <w:vertAlign w:val="superscript"/>
        </w:rPr>
        <w:footnoteReference w:id="418"/>
      </w:r>
      <w:r w:rsidRPr="001F0D81">
        <w:rPr>
          <w:szCs w:val="22"/>
        </w:rPr>
        <w:t xml:space="preserve">  We asked whether additional costs would be imposed by the potential indoor location requirements set forth in the </w:t>
      </w:r>
      <w:r w:rsidRPr="001F0D81">
        <w:rPr>
          <w:i/>
          <w:szCs w:val="22"/>
        </w:rPr>
        <w:t xml:space="preserve">Third Further Notice </w:t>
      </w:r>
      <w:r w:rsidRPr="001F0D81">
        <w:rPr>
          <w:szCs w:val="22"/>
        </w:rPr>
        <w:t xml:space="preserve">above and beyond the costs that </w:t>
      </w:r>
      <w:r>
        <w:rPr>
          <w:szCs w:val="22"/>
        </w:rPr>
        <w:t>CMRS providers</w:t>
      </w:r>
      <w:r w:rsidRPr="001F0D81">
        <w:rPr>
          <w:szCs w:val="22"/>
        </w:rPr>
        <w:t xml:space="preserve"> would already have in implementing indoor location capabilities for commercial purposes.</w:t>
      </w:r>
      <w:r w:rsidRPr="001F0D81">
        <w:rPr>
          <w:szCs w:val="22"/>
          <w:vertAlign w:val="superscript"/>
        </w:rPr>
        <w:footnoteReference w:id="419"/>
      </w:r>
    </w:p>
    <w:p w14:paraId="11CE9AB6" w14:textId="7316E21E" w:rsidR="001267A0" w:rsidRPr="001F0D81" w:rsidRDefault="001267A0" w:rsidP="001267A0">
      <w:pPr>
        <w:pStyle w:val="ParaNum"/>
      </w:pPr>
      <w:r>
        <w:rPr>
          <w:i/>
        </w:rPr>
        <w:t xml:space="preserve">Technology-Specific Costs.  </w:t>
      </w:r>
      <w:r>
        <w:t xml:space="preserve">While commenters do not make nuanced statements about costs that will confront the industry in order to attain compliance with our proposed indoor location accuracy standards, they offer a variety of opinions on the costs presented by the adoption of specific technologies.  Commenters agree that barometric pressure sensors are already “relatively inexpensive,” and, consistent with the general cost-based observations made in </w:t>
      </w:r>
      <w:r w:rsidR="00F000A2" w:rsidRPr="0071739F">
        <w:t>S</w:t>
      </w:r>
      <w:r w:rsidRPr="0071739F">
        <w:t xml:space="preserve">ection </w:t>
      </w:r>
      <w:r w:rsidR="00F000A2">
        <w:fldChar w:fldCharType="begin"/>
      </w:r>
      <w:r w:rsidR="00F000A2">
        <w:instrText xml:space="preserve"> REF _Ref409185487 \w \h </w:instrText>
      </w:r>
      <w:r w:rsidR="00F000A2">
        <w:fldChar w:fldCharType="separate"/>
      </w:r>
      <w:r w:rsidR="005E367B">
        <w:t>III.B.4.a</w:t>
      </w:r>
      <w:r w:rsidR="00F000A2">
        <w:fldChar w:fldCharType="end"/>
      </w:r>
      <w:r>
        <w:t xml:space="preserve"> above, conclude that the price should be expected to continue to fall at a rate of approximately 15 percent per year as adoption grows.</w:t>
      </w:r>
      <w:r>
        <w:rPr>
          <w:rStyle w:val="FootnoteReference"/>
        </w:rPr>
        <w:footnoteReference w:id="420"/>
      </w:r>
      <w:r>
        <w:t xml:space="preserve"> </w:t>
      </w:r>
      <w:r w:rsidRPr="006E0E0C">
        <w:t xml:space="preserve"> </w:t>
      </w:r>
      <w:r>
        <w:t xml:space="preserve">Commenters also agree that establishing improved wireless indoor location accuracy through a solution utilizing terrestrial beacons would entail an additional per-unit cost of </w:t>
      </w:r>
      <w:r w:rsidRPr="00134072">
        <w:t>$1,500</w:t>
      </w:r>
      <w:r w:rsidR="00F000A2">
        <w:t xml:space="preserve"> ‒ </w:t>
      </w:r>
      <w:r w:rsidRPr="00134072">
        <w:t>$3,000, plus additional site lease charges</w:t>
      </w:r>
      <w:r>
        <w:t>.</w:t>
      </w:r>
      <w:r>
        <w:rPr>
          <w:rStyle w:val="FootnoteReference"/>
        </w:rPr>
        <w:footnoteReference w:id="421"/>
      </w:r>
      <w:r>
        <w:t xml:space="preserve">  According to NextNav, r</w:t>
      </w:r>
      <w:r w:rsidRPr="004D7E43">
        <w:t xml:space="preserve">eceivers utilizing UTDOA are already deployed within </w:t>
      </w:r>
      <w:r w:rsidR="00DD10E3">
        <w:t xml:space="preserve">CMRS </w:t>
      </w:r>
      <w:r w:rsidRPr="004D7E43">
        <w:t>networks and are already supported by handsets</w:t>
      </w:r>
      <w:r w:rsidR="00F000A2">
        <w:t>, and</w:t>
      </w:r>
      <w:r w:rsidR="00F000A2" w:rsidRPr="004D7E43">
        <w:t xml:space="preserve"> </w:t>
      </w:r>
      <w:r w:rsidR="00F000A2">
        <w:t>s</w:t>
      </w:r>
      <w:r>
        <w:t>uch a “broadcast-only location network requires no additional transmitters or spectrum, nor does it entail expensive backhaul, or extensive antennae arrays.”</w:t>
      </w:r>
      <w:r>
        <w:rPr>
          <w:rStyle w:val="FootnoteReference"/>
        </w:rPr>
        <w:footnoteReference w:id="422"/>
      </w:r>
      <w:r>
        <w:t xml:space="preserve">  </w:t>
      </w:r>
      <w:r w:rsidR="008C715C">
        <w:t xml:space="preserve">Commenters also </w:t>
      </w:r>
      <w:r>
        <w:t>state that c</w:t>
      </w:r>
      <w:r w:rsidRPr="00296640">
        <w:t>onsumer</w:t>
      </w:r>
      <w:r>
        <w:t xml:space="preserve"> handsets already contain GPS receivers, and the technology has robust</w:t>
      </w:r>
      <w:r w:rsidR="00F000A2">
        <w:t>ly responded</w:t>
      </w:r>
      <w:r>
        <w:t xml:space="preserve"> to technological change, proving highly reliable results across multiple generations of technology, and avoiding the risk of stranded investment.</w:t>
      </w:r>
      <w:r>
        <w:rPr>
          <w:rStyle w:val="FootnoteReference"/>
        </w:rPr>
        <w:footnoteReference w:id="423"/>
      </w:r>
      <w:r>
        <w:rPr>
          <w:i/>
        </w:rPr>
        <w:t xml:space="preserve">  </w:t>
      </w:r>
      <w:r>
        <w:t xml:space="preserve">Finally, Rx Networks, on behalf of smaller CMRS providers, </w:t>
      </w:r>
      <w:r w:rsidR="00F000A2">
        <w:t xml:space="preserve">advocates </w:t>
      </w:r>
      <w:r>
        <w:t>for the establishment of a central</w:t>
      </w:r>
      <w:r w:rsidR="00F000A2">
        <w:t>ized</w:t>
      </w:r>
      <w:r>
        <w:t xml:space="preserve"> and standardized service to process location requests.</w:t>
      </w:r>
      <w:r>
        <w:rPr>
          <w:rStyle w:val="FootnoteReference"/>
        </w:rPr>
        <w:footnoteReference w:id="424"/>
      </w:r>
      <w:r>
        <w:t xml:space="preserve">  Such a clearinghouse solution would entail a base station almanac of Cell-IDs and Wi-Fi access point locations, and cost-effective provisioning of A-GNSS and barometric pressure data among CMRS providers.</w:t>
      </w:r>
      <w:r>
        <w:rPr>
          <w:rStyle w:val="FootnoteReference"/>
        </w:rPr>
        <w:footnoteReference w:id="425"/>
      </w:r>
      <w:r>
        <w:t xml:space="preserve">  Rx Networks asserts that such a solution bridges technical gaps, and simplifies business relationships while minimizing capital outlays.</w:t>
      </w:r>
      <w:r>
        <w:rPr>
          <w:rStyle w:val="FootnoteReference"/>
        </w:rPr>
        <w:footnoteReference w:id="426"/>
      </w:r>
      <w:r>
        <w:t xml:space="preserve"> </w:t>
      </w:r>
    </w:p>
    <w:p w14:paraId="3E120272" w14:textId="0263C682" w:rsidR="001267A0" w:rsidRDefault="001267A0" w:rsidP="001267A0">
      <w:pPr>
        <w:pStyle w:val="ParaNum"/>
      </w:pPr>
      <w:r>
        <w:rPr>
          <w:i/>
        </w:rPr>
        <w:t xml:space="preserve">Cost Mitigation.  </w:t>
      </w:r>
      <w:r>
        <w:t xml:space="preserve">Commenters agree that </w:t>
      </w:r>
      <w:r w:rsidR="00DD10E3">
        <w:t>CMRS provider</w:t>
      </w:r>
      <w:r>
        <w:t xml:space="preserve"> costs can be diminished through the sharing of infrastructural </w:t>
      </w:r>
      <w:r w:rsidR="00EE2E1F">
        <w:t>solutions</w:t>
      </w:r>
      <w:r>
        <w:t xml:space="preserve"> and that the growth in national demand for these technologies will eventually drive these costs down.</w:t>
      </w:r>
      <w:r>
        <w:rPr>
          <w:rStyle w:val="FootnoteReference"/>
        </w:rPr>
        <w:footnoteReference w:id="427"/>
      </w:r>
      <w:r w:rsidRPr="00F776CF">
        <w:t xml:space="preserve">  </w:t>
      </w:r>
      <w:r>
        <w:t>Commenters also agree that CMRS providers are already in the midst of a transition to all-digital, all-IP networks, and have already begun work to improve location accuracy within their systems for commercial reasons.</w:t>
      </w:r>
      <w:r>
        <w:rPr>
          <w:rStyle w:val="FootnoteReference"/>
        </w:rPr>
        <w:footnoteReference w:id="428"/>
      </w:r>
      <w:r>
        <w:t xml:space="preserve">  For these reasons, according to Motorola, CMRS providers have already added the permanent employees </w:t>
      </w:r>
      <w:r w:rsidR="00F000A2">
        <w:t xml:space="preserve">needed </w:t>
      </w:r>
      <w:r>
        <w:t>to engineer and manage the processes required for further improvements to location accuracy.</w:t>
      </w:r>
      <w:r>
        <w:rPr>
          <w:rStyle w:val="FootnoteReference"/>
        </w:rPr>
        <w:footnoteReference w:id="429"/>
      </w:r>
      <w:r>
        <w:t xml:space="preserve">  Additionally, TruePosition opines that one of the benefits of today’s proceeding is that it may entail cost savings upwards of $100 billion for CMRS providers </w:t>
      </w:r>
      <w:r w:rsidR="00F000A2">
        <w:t>who ultimately</w:t>
      </w:r>
      <w:r>
        <w:t xml:space="preserve"> retire their traditional circuit-switched copper-loop networks and complete their transition to an all-digital IP ecosystem.</w:t>
      </w:r>
      <w:r>
        <w:rPr>
          <w:rStyle w:val="FootnoteReference"/>
        </w:rPr>
        <w:footnoteReference w:id="430"/>
      </w:r>
      <w:r>
        <w:rPr>
          <w:szCs w:val="22"/>
        </w:rPr>
        <w:t xml:space="preserve">  Moreover, acc</w:t>
      </w:r>
      <w:r w:rsidRPr="008B60AE">
        <w:rPr>
          <w:szCs w:val="22"/>
        </w:rPr>
        <w:t xml:space="preserve">ording to </w:t>
      </w:r>
      <w:r w:rsidRPr="008B60AE">
        <w:rPr>
          <w:rFonts w:eastAsia="MS Mincho"/>
          <w:szCs w:val="22"/>
          <w:lang w:eastAsia="ja-JP"/>
        </w:rPr>
        <w:t xml:space="preserve">NENA, “[u]nlike 2000, handsets today can already leverage existing capabilities for horizontal and, in some cases, vertical location determination. </w:t>
      </w:r>
      <w:r>
        <w:rPr>
          <w:rFonts w:eastAsia="MS Mincho"/>
          <w:szCs w:val="22"/>
          <w:lang w:eastAsia="ja-JP"/>
        </w:rPr>
        <w:t xml:space="preserve"> </w:t>
      </w:r>
      <w:r w:rsidRPr="008B60AE">
        <w:rPr>
          <w:rFonts w:eastAsia="MS Mincho"/>
          <w:szCs w:val="22"/>
          <w:lang w:eastAsia="ja-JP"/>
        </w:rPr>
        <w:t>This means that carriers need only close the gap between already-deployed capabilities and the Commission’s proposed requirement, rather than starting from scratch.”</w:t>
      </w:r>
      <w:r>
        <w:rPr>
          <w:rStyle w:val="FootnoteReference"/>
          <w:rFonts w:eastAsia="MS Mincho"/>
          <w:szCs w:val="22"/>
          <w:lang w:eastAsia="ja-JP"/>
        </w:rPr>
        <w:footnoteReference w:id="431"/>
      </w:r>
    </w:p>
    <w:p w14:paraId="53F4B072" w14:textId="55ED2D6B" w:rsidR="00F20BED" w:rsidRPr="00C139EC" w:rsidRDefault="001267A0" w:rsidP="00F20BED">
      <w:pPr>
        <w:pStyle w:val="ParaNum"/>
      </w:pPr>
      <w:r>
        <w:rPr>
          <w:i/>
        </w:rPr>
        <w:t>Discussion.</w:t>
      </w:r>
      <w:r>
        <w:t xml:space="preserve">  We find that among the myriad potential costs posed by the variety of location accuracy technologies discussed in this section, all share the commonality that their price will decline as demand grows.</w:t>
      </w:r>
      <w:r w:rsidR="00E7432D">
        <w:rPr>
          <w:rStyle w:val="FootnoteReference"/>
        </w:rPr>
        <w:footnoteReference w:id="432"/>
      </w:r>
      <w:r>
        <w:t xml:space="preserve">  In light of our commitment to technology neutral</w:t>
      </w:r>
      <w:r w:rsidR="00EF100C">
        <w:t>ity</w:t>
      </w:r>
      <w:r>
        <w:t xml:space="preserve">, as we emphasized in the </w:t>
      </w:r>
      <w:r>
        <w:rPr>
          <w:i/>
        </w:rPr>
        <w:t>Third Further Notice</w:t>
      </w:r>
      <w:r>
        <w:t>,</w:t>
      </w:r>
      <w:r>
        <w:rPr>
          <w:i/>
        </w:rPr>
        <w:t xml:space="preserve"> </w:t>
      </w:r>
      <w:r>
        <w:t>we do not mandate any particular model for implementing the location accuracy rules we adopt today, and apply these requirements on a technologically neutral and provider-neutral basis.</w:t>
      </w:r>
      <w:r>
        <w:rPr>
          <w:rStyle w:val="FootnoteReference"/>
        </w:rPr>
        <w:footnoteReference w:id="433"/>
      </w:r>
      <w:r>
        <w:t xml:space="preserve">  That said, we note that NextNav reports on their website that </w:t>
      </w:r>
      <w:r w:rsidR="00EC459E">
        <w:t xml:space="preserve">it </w:t>
      </w:r>
      <w:r>
        <w:t>recently secured $70 million in funding to maintain and operate</w:t>
      </w:r>
      <w:r w:rsidR="00EC459E">
        <w:t xml:space="preserve"> its</w:t>
      </w:r>
      <w:r>
        <w:t xml:space="preserve"> MBS network.</w:t>
      </w:r>
      <w:r>
        <w:rPr>
          <w:rStyle w:val="FootnoteReference"/>
        </w:rPr>
        <w:footnoteReference w:id="434"/>
      </w:r>
      <w:r>
        <w:rPr>
          <w:rFonts w:eastAsia="MS Mincho"/>
          <w:szCs w:val="22"/>
          <w:lang w:eastAsia="ja-JP"/>
        </w:rPr>
        <w:t xml:space="preserve">  </w:t>
      </w:r>
      <w:r w:rsidR="00EC459E">
        <w:rPr>
          <w:rFonts w:eastAsia="MS Mincho"/>
          <w:szCs w:val="22"/>
          <w:lang w:eastAsia="ja-JP"/>
        </w:rPr>
        <w:t xml:space="preserve">This indicates </w:t>
      </w:r>
      <w:r>
        <w:t>that there are solutions available to achieve the indoor wireless location accuracy standards we adopt today at a cost that is far less than their $92 billion minimum benefit floor.  Finally, we acknowledge that the costs imposed by the rules we adopt today may present a proportionately greater burden to smaller CMRS providers, including the costs associated with participation in the test bed.</w:t>
      </w:r>
      <w:r>
        <w:rPr>
          <w:rStyle w:val="FootnoteReference"/>
        </w:rPr>
        <w:footnoteReference w:id="435"/>
      </w:r>
      <w:r>
        <w:t xml:space="preserve">  So, although the cost of meeting our indoor location accuracy rules has not yet been determined to a dollar amount, commenters provide the Commission with a paradigm for understanding the shape that such costs will take.</w:t>
      </w:r>
      <w:r>
        <w:rPr>
          <w:rStyle w:val="FootnoteReference"/>
        </w:rPr>
        <w:footnoteReference w:id="436"/>
      </w:r>
      <w:bookmarkEnd w:id="360"/>
    </w:p>
    <w:p w14:paraId="6D21E7DE" w14:textId="77777777" w:rsidR="00523517" w:rsidRPr="008B60AE" w:rsidRDefault="00523517" w:rsidP="004B617B">
      <w:pPr>
        <w:pStyle w:val="Heading1"/>
        <w:rPr>
          <w:rFonts w:ascii="Times New Roman" w:hAnsi="Times New Roman"/>
          <w:szCs w:val="22"/>
        </w:rPr>
      </w:pPr>
      <w:bookmarkStart w:id="395" w:name="_Toc378863285"/>
      <w:bookmarkStart w:id="396" w:name="_Toc378868602"/>
      <w:bookmarkStart w:id="397" w:name="_Toc379787512"/>
      <w:bookmarkStart w:id="398" w:name="_Toc379902594"/>
      <w:bookmarkStart w:id="399" w:name="_Toc379903280"/>
      <w:bookmarkStart w:id="400" w:name="_Toc379907059"/>
      <w:bookmarkStart w:id="401" w:name="_Toc380482099"/>
      <w:bookmarkStart w:id="402" w:name="_Toc380483092"/>
      <w:bookmarkStart w:id="403" w:name="_Toc380569165"/>
      <w:bookmarkStart w:id="404" w:name="_Toc380580353"/>
      <w:bookmarkStart w:id="405" w:name="_Toc380581421"/>
      <w:bookmarkStart w:id="406" w:name="_Toc380584411"/>
      <w:bookmarkStart w:id="407" w:name="_Toc380673889"/>
      <w:bookmarkStart w:id="408" w:name="_Toc402535539"/>
      <w:bookmarkStart w:id="409" w:name="_Toc406513850"/>
      <w:bookmarkStart w:id="410" w:name="_Toc408400456"/>
      <w:bookmarkStart w:id="411" w:name="_Toc408400514"/>
      <w:bookmarkStart w:id="412" w:name="_Toc408400569"/>
      <w:bookmarkStart w:id="413" w:name="_Toc408403120"/>
      <w:bookmarkStart w:id="414" w:name="_Toc408421332"/>
      <w:bookmarkStart w:id="415" w:name="_Toc407796246"/>
      <w:bookmarkStart w:id="416" w:name="_Toc408490581"/>
      <w:bookmarkStart w:id="417" w:name="_Toc408496219"/>
      <w:bookmarkStart w:id="418" w:name="_Toc408502420"/>
      <w:bookmarkStart w:id="419" w:name="_Toc410119092"/>
      <w:bookmarkStart w:id="420" w:name="_Toc410123671"/>
      <w:bookmarkStart w:id="421" w:name="_Toc410124653"/>
      <w:bookmarkStart w:id="422" w:name="_Toc410124733"/>
      <w:bookmarkStart w:id="423" w:name="_Toc410146127"/>
      <w:bookmarkStart w:id="424" w:name="_Toc410212651"/>
      <w:bookmarkStart w:id="425" w:name="_Toc410648292"/>
      <w:r w:rsidRPr="008B60AE">
        <w:rPr>
          <w:rFonts w:ascii="Times New Roman" w:hAnsi="Times New Roman"/>
          <w:szCs w:val="22"/>
        </w:rPr>
        <w:t xml:space="preserve">Improving the </w:t>
      </w:r>
      <w:r w:rsidR="00183DCD">
        <w:rPr>
          <w:rFonts w:ascii="Times New Roman" w:hAnsi="Times New Roman"/>
          <w:szCs w:val="22"/>
        </w:rPr>
        <w:t>D</w:t>
      </w:r>
      <w:r w:rsidR="00183DCD" w:rsidRPr="008B60AE">
        <w:rPr>
          <w:rFonts w:ascii="Times New Roman" w:hAnsi="Times New Roman"/>
          <w:szCs w:val="22"/>
        </w:rPr>
        <w:t xml:space="preserve">elivery </w:t>
      </w:r>
      <w:r w:rsidRPr="008B60AE">
        <w:rPr>
          <w:rFonts w:ascii="Times New Roman" w:hAnsi="Times New Roman"/>
          <w:szCs w:val="22"/>
        </w:rPr>
        <w:t xml:space="preserve">of </w:t>
      </w:r>
      <w:r w:rsidR="00183DCD">
        <w:rPr>
          <w:rFonts w:ascii="Times New Roman" w:hAnsi="Times New Roman"/>
          <w:szCs w:val="22"/>
        </w:rPr>
        <w:t>P</w:t>
      </w:r>
      <w:r w:rsidR="00183DCD" w:rsidRPr="008B60AE">
        <w:rPr>
          <w:rFonts w:ascii="Times New Roman" w:hAnsi="Times New Roman"/>
          <w:szCs w:val="22"/>
        </w:rPr>
        <w:t xml:space="preserve">hase </w:t>
      </w:r>
      <w:r w:rsidRPr="008B60AE">
        <w:rPr>
          <w:rFonts w:ascii="Times New Roman" w:hAnsi="Times New Roman"/>
          <w:szCs w:val="22"/>
        </w:rPr>
        <w:t xml:space="preserve">II </w:t>
      </w:r>
      <w:r w:rsidR="00183DCD">
        <w:rPr>
          <w:rFonts w:ascii="Times New Roman" w:hAnsi="Times New Roman"/>
          <w:szCs w:val="22"/>
        </w:rPr>
        <w:t>L</w:t>
      </w:r>
      <w:r w:rsidR="00183DCD" w:rsidRPr="008B60AE">
        <w:rPr>
          <w:rFonts w:ascii="Times New Roman" w:hAnsi="Times New Roman"/>
          <w:szCs w:val="22"/>
        </w:rPr>
        <w:t xml:space="preserve">ocation </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00183DCD">
        <w:rPr>
          <w:rFonts w:ascii="Times New Roman" w:hAnsi="Times New Roman"/>
          <w:szCs w:val="22"/>
        </w:rPr>
        <w:t>I</w:t>
      </w:r>
      <w:r w:rsidR="00183DCD" w:rsidRPr="008B60AE">
        <w:rPr>
          <w:rFonts w:ascii="Times New Roman" w:hAnsi="Times New Roman"/>
          <w:szCs w:val="22"/>
        </w:rPr>
        <w:t>nformation</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14:paraId="48C9236A" w14:textId="77777777" w:rsidR="002B0095" w:rsidRPr="008B60AE" w:rsidRDefault="002B0095" w:rsidP="00C57F6C">
      <w:pPr>
        <w:pStyle w:val="ParaNum"/>
        <w:widowControl/>
        <w:rPr>
          <w:szCs w:val="22"/>
        </w:rPr>
      </w:pPr>
      <w:r w:rsidRPr="008B60AE">
        <w:rPr>
          <w:szCs w:val="22"/>
        </w:rPr>
        <w:t xml:space="preserve">In the following sections, </w:t>
      </w:r>
      <w:r>
        <w:rPr>
          <w:szCs w:val="22"/>
        </w:rPr>
        <w:t>we adopt</w:t>
      </w:r>
      <w:r w:rsidRPr="008B60AE">
        <w:rPr>
          <w:szCs w:val="22"/>
        </w:rPr>
        <w:t xml:space="preserve"> measures to ensure that PSAPs receive Phase II information i</w:t>
      </w:r>
      <w:r>
        <w:rPr>
          <w:szCs w:val="22"/>
        </w:rPr>
        <w:t>n a swift and consistent format, and to improve the quality of the Phase II information.</w:t>
      </w:r>
      <w:r w:rsidRPr="008B60AE">
        <w:rPr>
          <w:szCs w:val="22"/>
        </w:rPr>
        <w:t xml:space="preserve"> </w:t>
      </w:r>
      <w:r>
        <w:rPr>
          <w:szCs w:val="22"/>
        </w:rPr>
        <w:t xml:space="preserve"> </w:t>
      </w:r>
      <w:r w:rsidRPr="008B60AE">
        <w:rPr>
          <w:szCs w:val="22"/>
        </w:rPr>
        <w:t>Through these measures, we seek to ensure that PSAPs receive the full breadth of information they need to respond swiftly and effectively to emergency calls</w:t>
      </w:r>
      <w:r>
        <w:rPr>
          <w:szCs w:val="22"/>
        </w:rPr>
        <w:t xml:space="preserve">. </w:t>
      </w:r>
    </w:p>
    <w:p w14:paraId="67606568" w14:textId="77777777" w:rsidR="006B6EC0" w:rsidRPr="00731CEB" w:rsidRDefault="006B6EC0" w:rsidP="006B6EC0">
      <w:pPr>
        <w:pStyle w:val="Heading2"/>
      </w:pPr>
      <w:bookmarkStart w:id="426" w:name="_Toc408400457"/>
      <w:bookmarkStart w:id="427" w:name="_Toc408400515"/>
      <w:bookmarkStart w:id="428" w:name="_Toc408400570"/>
      <w:bookmarkStart w:id="429" w:name="_Toc408403121"/>
      <w:bookmarkStart w:id="430" w:name="_Toc408421333"/>
      <w:bookmarkStart w:id="431" w:name="_Toc408490582"/>
      <w:bookmarkStart w:id="432" w:name="_Toc408496220"/>
      <w:bookmarkStart w:id="433" w:name="_Toc408502421"/>
      <w:bookmarkStart w:id="434" w:name="_Toc410119093"/>
      <w:bookmarkStart w:id="435" w:name="_Toc410123672"/>
      <w:bookmarkStart w:id="436" w:name="_Toc410124654"/>
      <w:bookmarkStart w:id="437" w:name="_Toc410124734"/>
      <w:bookmarkStart w:id="438" w:name="_Toc410146128"/>
      <w:bookmarkStart w:id="439" w:name="_Toc410212652"/>
      <w:bookmarkStart w:id="440" w:name="_Toc410648293"/>
      <w:bookmarkStart w:id="441" w:name="_Toc378863286"/>
      <w:bookmarkStart w:id="442" w:name="_Toc378868603"/>
      <w:bookmarkStart w:id="443" w:name="_Toc379787513"/>
      <w:bookmarkStart w:id="444" w:name="_Toc379902595"/>
      <w:bookmarkStart w:id="445" w:name="_Toc379903281"/>
      <w:bookmarkStart w:id="446" w:name="_Toc379907060"/>
      <w:bookmarkStart w:id="447" w:name="_Toc380482100"/>
      <w:bookmarkStart w:id="448" w:name="_Toc380483093"/>
      <w:bookmarkStart w:id="449" w:name="_Toc380569166"/>
      <w:bookmarkStart w:id="450" w:name="_Toc380580354"/>
      <w:bookmarkStart w:id="451" w:name="_Toc380581422"/>
      <w:bookmarkStart w:id="452" w:name="_Toc380584412"/>
      <w:bookmarkStart w:id="453" w:name="_Toc380673890"/>
      <w:bookmarkStart w:id="454" w:name="_Toc402535540"/>
      <w:bookmarkStart w:id="455" w:name="_Toc406513851"/>
      <w:r>
        <w:t>Latency (</w:t>
      </w:r>
      <w:bookmarkStart w:id="456" w:name="_Toc407796247"/>
      <w:r w:rsidRPr="00731CEB">
        <w:t>Time to First Fix</w:t>
      </w:r>
      <w:bookmarkEnd w:id="456"/>
      <w:r>
        <w:t>)</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sidRPr="00731CEB">
        <w:t xml:space="preserve"> </w:t>
      </w:r>
    </w:p>
    <w:p w14:paraId="781F470E" w14:textId="14CFEC1C" w:rsidR="006B6EC0" w:rsidRPr="002B4FE7" w:rsidRDefault="006B6EC0" w:rsidP="006B6EC0">
      <w:pPr>
        <w:pStyle w:val="ParaNum"/>
      </w:pPr>
      <w:r w:rsidRPr="002A113D">
        <w:rPr>
          <w:i/>
        </w:rPr>
        <w:t>Background</w:t>
      </w:r>
      <w:r w:rsidRPr="00396645">
        <w:t xml:space="preserve">. </w:t>
      </w:r>
      <w:r>
        <w:t xml:space="preserve"> The Commission’s current E911 location accuracy rules do not require CMRS providers to test for or to meet a specific</w:t>
      </w:r>
      <w:r w:rsidRPr="00D17B6C">
        <w:t xml:space="preserve"> </w:t>
      </w:r>
      <w:r>
        <w:t>latency threshold, commonly known as “Time to First Fix” (TTFF).</w:t>
      </w:r>
      <w:r w:rsidRPr="00244B33">
        <w:rPr>
          <w:rStyle w:val="FootnoteReference"/>
        </w:rPr>
        <w:footnoteReference w:id="437"/>
      </w:r>
      <w:r w:rsidRPr="00244B33">
        <w:t xml:space="preserve"> </w:t>
      </w:r>
      <w:r>
        <w:t xml:space="preserve">  In the </w:t>
      </w:r>
      <w:r w:rsidRPr="002A113D">
        <w:rPr>
          <w:i/>
        </w:rPr>
        <w:t>Third Further Notice</w:t>
      </w:r>
      <w:r>
        <w:t xml:space="preserve">, we </w:t>
      </w:r>
      <w:r w:rsidRPr="00244B33">
        <w:t>proposed</w:t>
      </w:r>
      <w:r>
        <w:t xml:space="preserve"> to require C</w:t>
      </w:r>
      <w:r w:rsidRPr="00244B33">
        <w:t xml:space="preserve">MRS providers </w:t>
      </w:r>
      <w:r>
        <w:t xml:space="preserve">to deliver Phase II-compliant location information to the network’s location information center within </w:t>
      </w:r>
      <w:r w:rsidRPr="00244B33">
        <w:t xml:space="preserve">30 seconds </w:t>
      </w:r>
      <w:r>
        <w:t xml:space="preserve">in order for the location fix to count </w:t>
      </w:r>
      <w:r w:rsidR="00A92B1D">
        <w:t xml:space="preserve">in </w:t>
      </w:r>
      <w:r>
        <w:t xml:space="preserve">a CMRS provider’s </w:t>
      </w:r>
      <w:r w:rsidR="00A92B1D">
        <w:t xml:space="preserve">calculation of </w:t>
      </w:r>
      <w:r>
        <w:t>percentage of calls that comply with our rules.</w:t>
      </w:r>
      <w:r w:rsidRPr="004C29B5">
        <w:rPr>
          <w:rStyle w:val="FootnoteReference"/>
        </w:rPr>
        <w:footnoteReference w:id="438"/>
      </w:r>
      <w:r w:rsidRPr="002F58E4">
        <w:t xml:space="preserve">  </w:t>
      </w:r>
      <w:r>
        <w:t>We also proposed to exclude from this compliance calculation any wireless 911 calls lasting 10 seconds or less, an interval which is often too short for a CMRS network to feasibly generate and deliver a location fix to its location information center</w:t>
      </w:r>
      <w:r w:rsidR="00A92B1D">
        <w:t xml:space="preserve">. </w:t>
      </w:r>
      <w:r w:rsidR="008C715C">
        <w:t xml:space="preserve"> </w:t>
      </w:r>
      <w:r w:rsidR="00A92B1D">
        <w:t>W</w:t>
      </w:r>
      <w:r>
        <w:t xml:space="preserve">e </w:t>
      </w:r>
      <w:r w:rsidR="00A92B1D">
        <w:t xml:space="preserve">ultimately </w:t>
      </w:r>
      <w:r>
        <w:t>proposed to include calls lasting more than 10 seconds in the calculation.</w:t>
      </w:r>
      <w:r>
        <w:rPr>
          <w:rStyle w:val="FootnoteReference"/>
        </w:rPr>
        <w:footnoteReference w:id="439"/>
      </w:r>
      <w:r>
        <w:t xml:space="preserve"> </w:t>
      </w:r>
    </w:p>
    <w:p w14:paraId="62F5E316" w14:textId="0BFCC3B0" w:rsidR="006B6EC0" w:rsidRDefault="006B6EC0" w:rsidP="00C57F6C">
      <w:pPr>
        <w:pStyle w:val="ParaNum"/>
        <w:widowControl/>
      </w:pPr>
      <w:bookmarkStart w:id="457" w:name="_Ref408486927"/>
      <w:r>
        <w:t xml:space="preserve">A number of public safety and industry commenters support a maximum latency of 30 seconds for obtaining a location fix as reasonable based on the performance of </w:t>
      </w:r>
      <w:r w:rsidRPr="00872F22">
        <w:t>current handset and network-based technologies</w:t>
      </w:r>
      <w:r>
        <w:t>.</w:t>
      </w:r>
      <w:bookmarkStart w:id="458" w:name="_Ref408486940"/>
      <w:r>
        <w:rPr>
          <w:rStyle w:val="FootnoteReference"/>
        </w:rPr>
        <w:footnoteReference w:id="440"/>
      </w:r>
      <w:bookmarkEnd w:id="458"/>
      <w:r>
        <w:t xml:space="preserve">  Some commenters, however, urge the Commission to set maximum latency at less than 30 seconds.</w:t>
      </w:r>
      <w:r>
        <w:rPr>
          <w:rStyle w:val="FootnoteReference"/>
        </w:rPr>
        <w:footnoteReference w:id="441"/>
      </w:r>
      <w:r>
        <w:t xml:space="preserve">  Industry commenters also oppose the proposal to </w:t>
      </w:r>
      <w:r w:rsidRPr="00A56CD9">
        <w:t>exclud</w:t>
      </w:r>
      <w:r>
        <w:t>e</w:t>
      </w:r>
      <w:r w:rsidRPr="00A56CD9">
        <w:t xml:space="preserve"> </w:t>
      </w:r>
      <w:r>
        <w:t>only calls of less than 10 seconds</w:t>
      </w:r>
      <w:r w:rsidRPr="00A56CD9">
        <w:t>.</w:t>
      </w:r>
      <w:r>
        <w:rPr>
          <w:rStyle w:val="FootnoteReference"/>
        </w:rPr>
        <w:footnoteReference w:id="442"/>
      </w:r>
      <w:r>
        <w:t xml:space="preserve">  They </w:t>
      </w:r>
      <w:r w:rsidRPr="00A56CD9">
        <w:t xml:space="preserve">argue that it is </w:t>
      </w:r>
      <w:r>
        <w:t xml:space="preserve">unreasonable </w:t>
      </w:r>
      <w:r w:rsidRPr="00A56CD9">
        <w:t xml:space="preserve">to </w:t>
      </w:r>
      <w:r>
        <w:t xml:space="preserve">allow </w:t>
      </w:r>
      <w:r w:rsidR="00DD10E3">
        <w:t>CMRS provider</w:t>
      </w:r>
      <w:r>
        <w:t xml:space="preserve">s up to </w:t>
      </w:r>
      <w:r w:rsidRPr="00A56CD9">
        <w:t>30 seconds</w:t>
      </w:r>
      <w:r>
        <w:t xml:space="preserve"> to obtain a location fix while also including </w:t>
      </w:r>
      <w:r w:rsidRPr="00A56CD9">
        <w:t xml:space="preserve">calls lasting </w:t>
      </w:r>
      <w:r>
        <w:t xml:space="preserve">more than 10 but </w:t>
      </w:r>
      <w:r w:rsidRPr="00A56CD9">
        <w:t xml:space="preserve">less than 30 seconds </w:t>
      </w:r>
      <w:r>
        <w:t>in the compliance calculation</w:t>
      </w:r>
      <w:r w:rsidRPr="00A56CD9">
        <w:t xml:space="preserve">.  </w:t>
      </w:r>
      <w:r w:rsidRPr="00846A36">
        <w:t xml:space="preserve">AT&amp;T submits that “all calls should be given at least 30 seconds for purposes of calculating the location-accuracy success rate” and </w:t>
      </w:r>
      <w:r>
        <w:t xml:space="preserve">that </w:t>
      </w:r>
      <w:r w:rsidRPr="00846A36">
        <w:t>to “do [otherwise] would unfairly mischaracterize the provider’s compliance with location-accuracy benchmarks.”</w:t>
      </w:r>
      <w:r w:rsidRPr="00846A36">
        <w:rPr>
          <w:rStyle w:val="FootnoteReference"/>
        </w:rPr>
        <w:footnoteReference w:id="443"/>
      </w:r>
      <w:bookmarkEnd w:id="457"/>
      <w:r>
        <w:t xml:space="preserve">  </w:t>
      </w:r>
    </w:p>
    <w:p w14:paraId="0E15BEB4" w14:textId="6F1A6504" w:rsidR="006B6EC0" w:rsidRDefault="006B6EC0" w:rsidP="006B6EC0">
      <w:pPr>
        <w:pStyle w:val="ParaNum"/>
      </w:pPr>
      <w:r w:rsidRPr="00DE0741">
        <w:rPr>
          <w:i/>
        </w:rPr>
        <w:t>Discussion</w:t>
      </w:r>
      <w:r>
        <w:t xml:space="preserve">.  We add a </w:t>
      </w:r>
      <w:r w:rsidR="00435554">
        <w:t>maximum latency</w:t>
      </w:r>
      <w:r>
        <w:t xml:space="preserve"> requirement of 30 seconds to </w:t>
      </w:r>
      <w:r w:rsidR="003D2BB3">
        <w:t xml:space="preserve">the </w:t>
      </w:r>
      <w:r>
        <w:t xml:space="preserve">existing E911 Phase II rules applicable to outdoor calls, but we conclude it is premature </w:t>
      </w:r>
      <w:r w:rsidR="00435554">
        <w:t>to include</w:t>
      </w:r>
      <w:r>
        <w:t xml:space="preserve"> this requirement as part of the new rules adopted in this order for indoor location.  Thus,</w:t>
      </w:r>
      <w:r w:rsidRPr="001B27F4">
        <w:t xml:space="preserve"> </w:t>
      </w:r>
      <w:r>
        <w:t xml:space="preserve">for a 911 call to meet Phase II requirements, a CMRS provider must deliver Phase II-compliant information to its location information center </w:t>
      </w:r>
      <w:r w:rsidRPr="00CB11D9">
        <w:t xml:space="preserve">within </w:t>
      </w:r>
      <w:r>
        <w:t xml:space="preserve">30 seconds, </w:t>
      </w:r>
      <w:r w:rsidRPr="00CB11D9">
        <w:t xml:space="preserve">as measured </w:t>
      </w:r>
      <w:r>
        <w:t>from the start of the call to when the information is delivered to</w:t>
      </w:r>
      <w:r w:rsidRPr="00CB11D9">
        <w:t xml:space="preserve"> the location information center. </w:t>
      </w:r>
      <w:r>
        <w:t xml:space="preserve"> In calculating percentages of Phase II-compliant calls, CMRS providers must include calls lasting 30 seconds or more for which they are unable to deliver a Phase II location fix.</w:t>
      </w:r>
      <w:r>
        <w:rPr>
          <w:rStyle w:val="FootnoteReference"/>
        </w:rPr>
        <w:footnoteReference w:id="444"/>
      </w:r>
      <w:r>
        <w:t xml:space="preserve">   </w:t>
      </w:r>
      <w:r w:rsidR="00EB5CD2">
        <w:t>We</w:t>
      </w:r>
      <w:r w:rsidR="003D2BB3">
        <w:t xml:space="preserve"> apply </w:t>
      </w:r>
      <w:r w:rsidR="00EB5CD2">
        <w:t xml:space="preserve">this requirement </w:t>
      </w:r>
      <w:r w:rsidR="003D2BB3">
        <w:t xml:space="preserve">only to our existing E911 regime, which determines compliance based on outdoor measurements only.  Thus, compliance with our TTFF requirement will be based on the results of outdoor testing, and will not be measured from the live 911 call data from the six test cities. </w:t>
      </w:r>
      <w:r>
        <w:t xml:space="preserve"> </w:t>
      </w:r>
    </w:p>
    <w:p w14:paraId="7341AE98" w14:textId="760D3983" w:rsidR="006B6EC0" w:rsidRDefault="006B6EC0" w:rsidP="006B6EC0">
      <w:pPr>
        <w:pStyle w:val="ParaNum"/>
      </w:pPr>
      <w:r>
        <w:t xml:space="preserve">We find that a </w:t>
      </w:r>
      <w:r w:rsidR="00A92B1D">
        <w:t>30-</w:t>
      </w:r>
      <w:r>
        <w:t>second maximum latency period appropriately balances the need for first responders to obtain a prompt location fix and the need to allow sufficient time for location accuracy technologies to work effectively.</w:t>
      </w:r>
      <w:r w:rsidRPr="00E24C37">
        <w:rPr>
          <w:rStyle w:val="FootnoteReference"/>
        </w:rPr>
        <w:footnoteReference w:id="445"/>
      </w:r>
      <w:r>
        <w:t xml:space="preserve">  Excessive delay in the provision of location information can undermine or negate its benefits to public safety, but providing sufficient time for location technologies to work can lead to improved accuracy that reduces overall response time.  As CSRIC III noted, 30 seconds </w:t>
      </w:r>
      <w:r w:rsidRPr="00837A16">
        <w:t xml:space="preserve">is “generally accepted as the </w:t>
      </w:r>
      <w:r w:rsidRPr="0010344F">
        <w:rPr>
          <w:i/>
        </w:rPr>
        <w:t>de facto</w:t>
      </w:r>
      <w:r w:rsidRPr="00837A16">
        <w:t xml:space="preserve"> standard for maximum latency in E9-1-1 location delivery.”</w:t>
      </w:r>
      <w:r>
        <w:rPr>
          <w:rStyle w:val="FootnoteReference"/>
          <w:rFonts w:eastAsiaTheme="majorEastAsia"/>
        </w:rPr>
        <w:footnoteReference w:id="446"/>
      </w:r>
      <w:r>
        <w:t xml:space="preserve">  The record in this proceeding similarly indicates that a maximum latency interval of 30 seconds is technically achievable using current location technology,</w:t>
      </w:r>
      <w:r>
        <w:rPr>
          <w:rStyle w:val="FootnoteReference"/>
        </w:rPr>
        <w:footnoteReference w:id="447"/>
      </w:r>
      <w:r>
        <w:t xml:space="preserve"> and that improved chipsets in </w:t>
      </w:r>
      <w:r w:rsidR="00A92B1D">
        <w:t xml:space="preserve">devices </w:t>
      </w:r>
      <w:r>
        <w:t>will further reduce the frequency of calls where the TTFF takes longer than 30 seconds.</w:t>
      </w:r>
      <w:r>
        <w:rPr>
          <w:rStyle w:val="FootnoteReference"/>
        </w:rPr>
        <w:footnoteReference w:id="448"/>
      </w:r>
      <w:r>
        <w:t xml:space="preserve">  </w:t>
      </w:r>
    </w:p>
    <w:p w14:paraId="39D3E7B1" w14:textId="45FE371D" w:rsidR="006B6EC0" w:rsidRDefault="006B6EC0" w:rsidP="006B6EC0">
      <w:pPr>
        <w:pStyle w:val="ParaNum"/>
      </w:pPr>
      <w:r>
        <w:t>In fact, we expect technology to reduce latency for many wireless 911 calls to significantly less than 30 seconds.  CMRS providers indicate that new satellite positioning technologies they are planning to implement in conjunction with deployment of VoLTE will likely reduce latency fix for wireless 911 calls from outdoor locations.</w:t>
      </w:r>
      <w:r>
        <w:rPr>
          <w:rStyle w:val="FootnoteReference"/>
        </w:rPr>
        <w:footnoteReference w:id="449"/>
      </w:r>
      <w:r>
        <w:t xml:space="preserve">  For example, newer-generation A-GNSS may be capable of generating a location fix within 12-15 seconds.</w:t>
      </w:r>
      <w:r>
        <w:rPr>
          <w:rStyle w:val="FootnoteReference"/>
        </w:rPr>
        <w:footnoteReference w:id="450"/>
      </w:r>
      <w:r>
        <w:t xml:space="preserve">  Nevertheless, even in such cases, allowing up to 30 seconds provides additional time to refine the location information and potentially return a more accurate location fix.</w:t>
      </w:r>
      <w:r w:rsidRPr="005D13B3">
        <w:rPr>
          <w:rStyle w:val="FootnoteReference"/>
        </w:rPr>
        <w:footnoteReference w:id="451"/>
      </w:r>
      <w:r>
        <w:t xml:space="preserve">  On balance, we find that a 30-second maximum latency period</w:t>
      </w:r>
      <w:r w:rsidRPr="00FE253B">
        <w:t xml:space="preserve"> will </w:t>
      </w:r>
      <w:r>
        <w:t>encourage solutions that deliver location information to first responders quickly while providing flexibility for solutions that can deliver greater accuracy over a modestly longer time interval.  Establishing a maximum latency period will also ensure</w:t>
      </w:r>
      <w:r w:rsidRPr="00FE253B">
        <w:t xml:space="preserve"> that PSAPs and </w:t>
      </w:r>
      <w:r>
        <w:t>CMRS providers</w:t>
      </w:r>
      <w:r w:rsidRPr="00FE253B">
        <w:t xml:space="preserve"> have the same expectations regarding the timeframe for delivering location information</w:t>
      </w:r>
      <w:r>
        <w:t>.</w:t>
      </w:r>
    </w:p>
    <w:p w14:paraId="116C4F7D" w14:textId="77777777" w:rsidR="006B6EC0" w:rsidRDefault="006B6EC0" w:rsidP="006B6EC0">
      <w:pPr>
        <w:pStyle w:val="ParaNum"/>
      </w:pPr>
      <w:r>
        <w:t xml:space="preserve">While we adopt the 30-second maximum latency period </w:t>
      </w:r>
      <w:r w:rsidR="007B25B6">
        <w:t xml:space="preserve">for outdoor calls </w:t>
      </w:r>
      <w:r>
        <w:t xml:space="preserve">as proposed in the </w:t>
      </w:r>
      <w:r w:rsidRPr="00BE27D6">
        <w:rPr>
          <w:i/>
        </w:rPr>
        <w:t>Third Further Notice</w:t>
      </w:r>
      <w:r>
        <w:t xml:space="preserve">, we decline to adopt our proposal to exclude calls of 10 seconds or less while including calls of 10 to 30 seconds in the compliance calculation.  We agree with industry commenters that where a call lasts less than 30 seconds, we should not penalize the provider for failing to obtain a Phase II-compliant fix that requires up to 30 seconds to generate and that would count towards compliance if the call lasted 30 seconds or more.  Therefore, we will allow CMRS providers to exclude from their compliance calculation any wireless 911 call lasting less than 30 seconds for which the provider is unable to deliver a Phase II-compliant fix.  </w:t>
      </w:r>
      <w:r w:rsidRPr="00631FEE">
        <w:t xml:space="preserve">On the other hand, </w:t>
      </w:r>
      <w:r>
        <w:t xml:space="preserve">to provide an incentive for </w:t>
      </w:r>
      <w:r w:rsidRPr="00631FEE">
        <w:t xml:space="preserve">CMRS providers </w:t>
      </w:r>
      <w:r>
        <w:t xml:space="preserve">to reduce latency below 30 seconds, CMRS providers may count any </w:t>
      </w:r>
      <w:r w:rsidRPr="00631FEE">
        <w:t xml:space="preserve">Phase II-compliant </w:t>
      </w:r>
      <w:r>
        <w:t xml:space="preserve">call in which the </w:t>
      </w:r>
      <w:r w:rsidRPr="00631FEE">
        <w:t xml:space="preserve">location fix </w:t>
      </w:r>
      <w:r>
        <w:t xml:space="preserve">is delivered in </w:t>
      </w:r>
      <w:r w:rsidRPr="00631FEE">
        <w:t xml:space="preserve">less than 30 seconds, </w:t>
      </w:r>
      <w:r>
        <w:t>regardless of the duration of the call.</w:t>
      </w:r>
      <w:r w:rsidRPr="007B192B">
        <w:t xml:space="preserve"> </w:t>
      </w:r>
    </w:p>
    <w:p w14:paraId="03322E41" w14:textId="77777777" w:rsidR="006B6EC0" w:rsidRDefault="006B6EC0" w:rsidP="00576FF1">
      <w:pPr>
        <w:pStyle w:val="ParaNum"/>
      </w:pPr>
      <w:r>
        <w:t xml:space="preserve">Finally, as noted above, we limit the scope of the 30-second latency requirement to wireless 911 calls covered by our existing Phase II rules, as we believe it is premature to impose a latency standard for indoor calls at this time.  </w:t>
      </w:r>
      <w:r w:rsidR="007B25B6">
        <w:t xml:space="preserve">Compliance will be measured by evaluating the results of each CMRS providers’ outdoor drive testing.  </w:t>
      </w:r>
      <w:r>
        <w:t xml:space="preserve">CMRS providers have yet to test location for latency, among other metrics, in generating dispatchable location information derived from various indoor access points or beacons.  Moreover, although location information from beacons and small cells could likely be determined almost instantaneously, the various new technologies that are included in “heightened location accuracy technologies” under the Roadmap have not yet been tested for latency.  Therefore, while the record suggests that existing and developing indoor location technologies should be capable of delivering accurate location information in 30 seconds or less for most calls, we conclude that consideration of this issue should be deferred.  Once there has been an opportunity to evaluate the performance of indoor location technologies based on test bed results and live call data from the six geographic test regions, we will be better able to determine whether to extend latency requirements to these new location technologies. </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14:paraId="37251DCC" w14:textId="77777777" w:rsidR="00B131DF" w:rsidRPr="008B60AE" w:rsidRDefault="00B131DF" w:rsidP="00B131DF">
      <w:pPr>
        <w:pStyle w:val="Heading2"/>
      </w:pPr>
      <w:bookmarkStart w:id="459" w:name="_Toc408400458"/>
      <w:bookmarkStart w:id="460" w:name="_Toc408400516"/>
      <w:bookmarkStart w:id="461" w:name="_Toc408400571"/>
      <w:bookmarkStart w:id="462" w:name="_Toc408403122"/>
      <w:bookmarkStart w:id="463" w:name="_Toc408421334"/>
      <w:bookmarkStart w:id="464" w:name="_Toc407796248"/>
      <w:bookmarkStart w:id="465" w:name="_Toc408490583"/>
      <w:bookmarkStart w:id="466" w:name="_Toc408496221"/>
      <w:bookmarkStart w:id="467" w:name="_Toc408502422"/>
      <w:bookmarkStart w:id="468" w:name="_Toc410119094"/>
      <w:bookmarkStart w:id="469" w:name="_Toc410123673"/>
      <w:bookmarkStart w:id="470" w:name="_Toc410124655"/>
      <w:bookmarkStart w:id="471" w:name="_Toc410124735"/>
      <w:bookmarkStart w:id="472" w:name="_Toc410146129"/>
      <w:bookmarkStart w:id="473" w:name="_Toc410212653"/>
      <w:bookmarkStart w:id="474" w:name="_Toc410648294"/>
      <w:r>
        <w:t xml:space="preserve">Retaining </w:t>
      </w:r>
      <w:r w:rsidRPr="008B60AE">
        <w:t xml:space="preserve">E911 Phase II </w:t>
      </w:r>
      <w:r>
        <w:t>Location Accuracy Standards</w:t>
      </w:r>
      <w:r w:rsidRPr="008B60AE">
        <w:t xml:space="preserve"> </w:t>
      </w:r>
      <w:r>
        <w:t xml:space="preserve">for </w:t>
      </w:r>
      <w:r w:rsidRPr="008B60AE">
        <w:t>Outdoor Measurements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t xml:space="preserve"> </w:t>
      </w:r>
    </w:p>
    <w:p w14:paraId="25F4FF11" w14:textId="0FF8D3A8" w:rsidR="00B131DF" w:rsidRDefault="00B131DF" w:rsidP="00B131DF">
      <w:pPr>
        <w:pStyle w:val="ParaNum"/>
      </w:pPr>
      <w:r w:rsidRPr="005B5061">
        <w:rPr>
          <w:i/>
        </w:rPr>
        <w:t>Background</w:t>
      </w:r>
      <w:r>
        <w:t xml:space="preserve">.  In </w:t>
      </w:r>
      <w:r w:rsidR="00A92B1D">
        <w:t xml:space="preserve">light </w:t>
      </w:r>
      <w:r>
        <w:t>of advancements</w:t>
      </w:r>
      <w:r w:rsidR="00A92B1D">
        <w:t xml:space="preserve"> made</w:t>
      </w:r>
      <w:r>
        <w:t xml:space="preserve"> in A-GPS technology and the migration of some CMRS providers from </w:t>
      </w:r>
      <w:r w:rsidRPr="00FA66F2">
        <w:t>GSM networks</w:t>
      </w:r>
      <w:r>
        <w:t xml:space="preserve"> </w:t>
      </w:r>
      <w:r w:rsidR="00A92B1D">
        <w:t xml:space="preserve">and </w:t>
      </w:r>
      <w:r>
        <w:t xml:space="preserve">network-based location </w:t>
      </w:r>
      <w:r w:rsidRPr="009465CB">
        <w:t xml:space="preserve">to 4G </w:t>
      </w:r>
      <w:r>
        <w:t xml:space="preserve">and </w:t>
      </w:r>
      <w:r w:rsidRPr="009465CB">
        <w:t>LTE networks</w:t>
      </w:r>
      <w:r>
        <w:t xml:space="preserve"> </w:t>
      </w:r>
      <w:r w:rsidR="00A92B1D">
        <w:t>and</w:t>
      </w:r>
      <w:r w:rsidR="00A92B1D" w:rsidRPr="009465CB">
        <w:t xml:space="preserve"> </w:t>
      </w:r>
      <w:r w:rsidRPr="009465CB">
        <w:t>handset-based</w:t>
      </w:r>
      <w:r w:rsidR="00A92B1D">
        <w:t xml:space="preserve"> location</w:t>
      </w:r>
      <w:r>
        <w:t>, the</w:t>
      </w:r>
      <w:r w:rsidRPr="004C29B5">
        <w:t xml:space="preserve"> </w:t>
      </w:r>
      <w:r w:rsidRPr="00B37768">
        <w:rPr>
          <w:i/>
        </w:rPr>
        <w:t>Third Further Notice</w:t>
      </w:r>
      <w:r>
        <w:t xml:space="preserve"> sought comment on whether all CMRS providers reasonably could comply with a 50-meter accuracy/67 percent reliability requirement within two years pursuant to a unitary location accuracy requirement for both indoor and outdoor calls.</w:t>
      </w:r>
      <w:r>
        <w:rPr>
          <w:rStyle w:val="FootnoteReference"/>
        </w:rPr>
        <w:footnoteReference w:id="452"/>
      </w:r>
      <w:r>
        <w:t xml:space="preserve">  Prior to the submission of the Roadmap, some public safety and industry commenters supported a unitary accuracy standard.</w:t>
      </w:r>
      <w:r w:rsidRPr="001F5ADE">
        <w:rPr>
          <w:rStyle w:val="FootnoteReference"/>
        </w:rPr>
        <w:t xml:space="preserve"> </w:t>
      </w:r>
      <w:r>
        <w:rPr>
          <w:rStyle w:val="FootnoteReference"/>
        </w:rPr>
        <w:footnoteReference w:id="453"/>
      </w:r>
      <w:r>
        <w:t xml:space="preserve">  Other commenters expressed that it is premature for the Commission to establish such a standard.</w:t>
      </w:r>
      <w:r>
        <w:rPr>
          <w:rStyle w:val="FootnoteReference"/>
        </w:rPr>
        <w:footnoteReference w:id="454"/>
      </w:r>
      <w:r>
        <w:t xml:space="preserve">  However, because CMRS providers do not yet have </w:t>
      </w:r>
      <w:r w:rsidR="00791251">
        <w:t xml:space="preserve">the </w:t>
      </w:r>
      <w:r>
        <w:t>technical capability to distinguish indoor from outdoor calls, we address below the reasons for retaining our existing E911 location rules that are based on outdoor testing measurements.</w:t>
      </w:r>
      <w:r w:rsidRPr="00365713">
        <w:t xml:space="preserve"> </w:t>
      </w:r>
    </w:p>
    <w:p w14:paraId="42EA057E" w14:textId="50D45CBA" w:rsidR="00B131DF" w:rsidRDefault="00B131DF" w:rsidP="00791251">
      <w:pPr>
        <w:pStyle w:val="ParaNum"/>
      </w:pPr>
      <w:r w:rsidRPr="00E34FA6">
        <w:rPr>
          <w:i/>
        </w:rPr>
        <w:t>Discussion</w:t>
      </w:r>
      <w:r>
        <w:t xml:space="preserve">.  </w:t>
      </w:r>
      <w:r w:rsidR="00EC459E">
        <w:t>W</w:t>
      </w:r>
      <w:r>
        <w:t xml:space="preserve">e find that it is premature to </w:t>
      </w:r>
      <w:r w:rsidR="008015C2">
        <w:t xml:space="preserve">eliminate the current E911 Phase II rules and replace them with </w:t>
      </w:r>
      <w:r>
        <w:t>a unitary location accuracy standard</w:t>
      </w:r>
      <w:r w:rsidR="008015C2">
        <w:t xml:space="preserve"> </w:t>
      </w:r>
      <w:r>
        <w:t>at this time.  The current E911 Phase II rules provide a set of established</w:t>
      </w:r>
      <w:r w:rsidR="008015C2">
        <w:t xml:space="preserve"> outdoor-focused</w:t>
      </w:r>
      <w:r>
        <w:t xml:space="preserve"> location accuracy benchmarks for </w:t>
      </w:r>
      <w:r w:rsidR="00DD4106">
        <w:t>CMRS providers</w:t>
      </w:r>
      <w:r>
        <w:t xml:space="preserve"> using either network-based or handset-based location technologies and allow the network-based </w:t>
      </w:r>
      <w:r w:rsidR="00DD4106">
        <w:t>CMRS providers</w:t>
      </w:r>
      <w:r>
        <w:t xml:space="preserve"> to switch to handset-based technologies.</w:t>
      </w:r>
      <w:r>
        <w:rPr>
          <w:rStyle w:val="FootnoteReference"/>
        </w:rPr>
        <w:footnoteReference w:id="455"/>
      </w:r>
      <w:r>
        <w:t xml:space="preserve">  The current outdoor-based rules thus serve to maintain regulatory certainty for CMRS providers that continue to provide service on their legacy systems while they are planning to migrate to VoLTE networks.  The major </w:t>
      </w:r>
      <w:r w:rsidR="00DD4106">
        <w:t>CMRS providers</w:t>
      </w:r>
      <w:r>
        <w:t xml:space="preserve"> that either have initiated VoLTE service or plan to deploy it in 2015 must also continue to comply with the benchmarks under the Commission’s rules for measuring the accuracy of outdoor calls.  Thus, </w:t>
      </w:r>
      <w:r w:rsidR="008015C2">
        <w:t xml:space="preserve">the additional location accuracy </w:t>
      </w:r>
      <w:r>
        <w:t>requirements</w:t>
      </w:r>
      <w:r w:rsidR="008015C2">
        <w:t xml:space="preserve"> we adopt in this order</w:t>
      </w:r>
      <w:r>
        <w:t xml:space="preserve">, which focus on improving indoor location accuracy, will serve to complement rather than replace the existing Phase II rules based on outdoor testing measurements.  </w:t>
      </w:r>
    </w:p>
    <w:p w14:paraId="26E19635" w14:textId="5FF340F5" w:rsidR="00B131DF" w:rsidRDefault="005D0176" w:rsidP="00B131DF">
      <w:pPr>
        <w:pStyle w:val="ParaNum"/>
      </w:pPr>
      <w:r>
        <w:t>W</w:t>
      </w:r>
      <w:r w:rsidR="00B131DF">
        <w:t xml:space="preserve">e recognize that the </w:t>
      </w:r>
      <w:r>
        <w:t xml:space="preserve">six-year timeframe adopted in this order for indoor-focused </w:t>
      </w:r>
      <w:r w:rsidR="00B131DF">
        <w:t xml:space="preserve">accuracy standards may </w:t>
      </w:r>
      <w:r>
        <w:t xml:space="preserve">ultimately </w:t>
      </w:r>
      <w:r w:rsidR="00B131DF">
        <w:t xml:space="preserve">moot the issue of whether to replace the current outdoor-based accuracy requirements for E11 Phase II.  </w:t>
      </w:r>
      <w:r>
        <w:t>The five and six-year benchmarks in the new rules, s</w:t>
      </w:r>
      <w:r w:rsidR="00B131DF">
        <w:t xml:space="preserve">et to take effect in </w:t>
      </w:r>
      <w:r>
        <w:t xml:space="preserve">2020 and </w:t>
      </w:r>
      <w:r w:rsidR="00B131DF">
        <w:t xml:space="preserve">2021, </w:t>
      </w:r>
      <w:r>
        <w:t xml:space="preserve">will require </w:t>
      </w:r>
      <w:r w:rsidR="00B131DF">
        <w:t>50</w:t>
      </w:r>
      <w:r>
        <w:t>-</w:t>
      </w:r>
      <w:r w:rsidR="00B131DF">
        <w:t>meter</w:t>
      </w:r>
      <w:r>
        <w:t xml:space="preserve"> accuracy for 70 and </w:t>
      </w:r>
      <w:r w:rsidR="00B131DF">
        <w:t>80 percent of all wireless 911 calls</w:t>
      </w:r>
      <w:r>
        <w:t xml:space="preserve">, respectively, and will apply to </w:t>
      </w:r>
      <w:r w:rsidR="00B131DF">
        <w:t xml:space="preserve">indoor and outdoor </w:t>
      </w:r>
      <w:r>
        <w:t xml:space="preserve">calls, </w:t>
      </w:r>
      <w:r w:rsidR="00B131DF">
        <w:t xml:space="preserve">thus exceeding the current </w:t>
      </w:r>
      <w:r>
        <w:t xml:space="preserve">Phase II </w:t>
      </w:r>
      <w:r w:rsidR="00B131DF">
        <w:t xml:space="preserve">handset-based standard of </w:t>
      </w:r>
      <w:r>
        <w:t xml:space="preserve">50-meter accuracy for </w:t>
      </w:r>
      <w:r w:rsidR="00B131DF">
        <w:t>67 percent of calls</w:t>
      </w:r>
      <w:r>
        <w:t xml:space="preserve">, </w:t>
      </w:r>
      <w:r w:rsidR="00B131DF">
        <w:t>based on outdoor measurements only.</w:t>
      </w:r>
      <w:r w:rsidR="00B131DF">
        <w:rPr>
          <w:rStyle w:val="FootnoteReference"/>
        </w:rPr>
        <w:footnoteReference w:id="456"/>
      </w:r>
      <w:r w:rsidR="00B131DF">
        <w:t xml:space="preserve">  The last handset-based benchmark under the current </w:t>
      </w:r>
      <w:r>
        <w:t xml:space="preserve">Phase II </w:t>
      </w:r>
      <w:r w:rsidR="00B131DF">
        <w:t>requirements will occur in January 18, 2019.</w:t>
      </w:r>
      <w:r w:rsidR="00B131DF">
        <w:rPr>
          <w:rStyle w:val="FootnoteReference"/>
        </w:rPr>
        <w:footnoteReference w:id="457"/>
      </w:r>
      <w:r w:rsidR="00B131DF">
        <w:t xml:space="preserve">  </w:t>
      </w:r>
      <w:r>
        <w:t>Thus, once the last Phase II benchmark has passed, w</w:t>
      </w:r>
      <w:r w:rsidR="00B131DF">
        <w:t xml:space="preserve">e </w:t>
      </w:r>
      <w:r w:rsidR="00791251">
        <w:t>may</w:t>
      </w:r>
      <w:r w:rsidR="00B131DF">
        <w:t xml:space="preserve"> revisit the issue of </w:t>
      </w:r>
      <w:r>
        <w:t xml:space="preserve">when to </w:t>
      </w:r>
      <w:r w:rsidR="00B131DF">
        <w:t xml:space="preserve">sunset date the current </w:t>
      </w:r>
      <w:r>
        <w:t xml:space="preserve">Phase II </w:t>
      </w:r>
      <w:r w:rsidR="00B131DF">
        <w:t>requirements and establish a unitary accuracy standard.</w:t>
      </w:r>
    </w:p>
    <w:p w14:paraId="374C2427" w14:textId="77777777" w:rsidR="00524BBC" w:rsidRPr="008B60AE" w:rsidRDefault="00524BBC" w:rsidP="00524BBC">
      <w:pPr>
        <w:pStyle w:val="Heading2"/>
      </w:pPr>
      <w:bookmarkStart w:id="475" w:name="_Toc379902596"/>
      <w:bookmarkStart w:id="476" w:name="_Toc379903282"/>
      <w:bookmarkStart w:id="477" w:name="_Toc379907061"/>
      <w:bookmarkStart w:id="478" w:name="_Toc380482101"/>
      <w:bookmarkStart w:id="479" w:name="_Toc380483094"/>
      <w:bookmarkStart w:id="480" w:name="_Toc380569167"/>
      <w:bookmarkStart w:id="481" w:name="_Toc380580355"/>
      <w:bookmarkStart w:id="482" w:name="_Toc380581423"/>
      <w:bookmarkStart w:id="483" w:name="_Toc380584413"/>
      <w:bookmarkStart w:id="484" w:name="_Toc380673891"/>
      <w:bookmarkStart w:id="485" w:name="_Toc402535541"/>
      <w:bookmarkStart w:id="486" w:name="_Toc406513852"/>
      <w:bookmarkStart w:id="487" w:name="_Toc408400459"/>
      <w:bookmarkStart w:id="488" w:name="_Toc408400517"/>
      <w:bookmarkStart w:id="489" w:name="_Toc408400572"/>
      <w:bookmarkStart w:id="490" w:name="_Toc408403123"/>
      <w:bookmarkStart w:id="491" w:name="_Toc408421335"/>
      <w:bookmarkStart w:id="492" w:name="_Toc407796249"/>
      <w:bookmarkStart w:id="493" w:name="_Toc408490584"/>
      <w:bookmarkStart w:id="494" w:name="_Toc408496222"/>
      <w:bookmarkStart w:id="495" w:name="_Toc408502423"/>
      <w:bookmarkStart w:id="496" w:name="_Toc410119095"/>
      <w:bookmarkStart w:id="497" w:name="_Toc410123674"/>
      <w:bookmarkStart w:id="498" w:name="_Toc410124656"/>
      <w:bookmarkStart w:id="499" w:name="_Toc410124736"/>
      <w:bookmarkStart w:id="500" w:name="_Toc410146130"/>
      <w:bookmarkStart w:id="501" w:name="_Toc410212654"/>
      <w:bookmarkStart w:id="502" w:name="_Toc410648295"/>
      <w:r w:rsidRPr="008B60AE">
        <w:t xml:space="preserve">Confidence and Uncertainty </w:t>
      </w:r>
      <w:r>
        <w:t xml:space="preserve">(C/U) </w:t>
      </w:r>
      <w:r w:rsidRPr="008B60AE">
        <w:t>Data</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14:paraId="7F13CF25" w14:textId="77777777" w:rsidR="00524BBC" w:rsidRDefault="00524BBC" w:rsidP="00524BBC">
      <w:pPr>
        <w:pStyle w:val="ParaNum"/>
        <w:rPr>
          <w:szCs w:val="22"/>
        </w:rPr>
      </w:pPr>
      <w:r w:rsidRPr="0007245F">
        <w:rPr>
          <w:i/>
        </w:rPr>
        <w:t>Background</w:t>
      </w:r>
      <w:r w:rsidRPr="004E4236">
        <w:t xml:space="preserve">.   The Commission’s current E911 Phase II </w:t>
      </w:r>
      <w:r>
        <w:t xml:space="preserve">rules </w:t>
      </w:r>
      <w:r>
        <w:rPr>
          <w:szCs w:val="22"/>
        </w:rPr>
        <w:t xml:space="preserve">require that </w:t>
      </w:r>
      <w:r w:rsidRPr="00F64DCE">
        <w:rPr>
          <w:szCs w:val="22"/>
        </w:rPr>
        <w:t xml:space="preserve">CMRS providers provide confidence and uncertainty (C/U) data on a </w:t>
      </w:r>
      <w:r w:rsidRPr="00C2364D">
        <w:rPr>
          <w:szCs w:val="22"/>
        </w:rPr>
        <w:t>per-call</w:t>
      </w:r>
      <w:r w:rsidRPr="00F64DCE">
        <w:rPr>
          <w:szCs w:val="22"/>
        </w:rPr>
        <w:t xml:space="preserve"> basis upon PSAP request.</w:t>
      </w:r>
      <w:r w:rsidRPr="005D289B">
        <w:rPr>
          <w:rStyle w:val="FootnoteReference"/>
          <w:rFonts w:eastAsiaTheme="majorEastAsia"/>
          <w:szCs w:val="22"/>
        </w:rPr>
        <w:footnoteReference w:id="458"/>
      </w:r>
      <w:r w:rsidRPr="00F64DCE">
        <w:rPr>
          <w:szCs w:val="22"/>
        </w:rPr>
        <w:t xml:space="preserve"> </w:t>
      </w:r>
      <w:r>
        <w:rPr>
          <w:szCs w:val="22"/>
        </w:rPr>
        <w:t xml:space="preserve"> </w:t>
      </w:r>
      <w:r w:rsidRPr="00F64DCE">
        <w:rPr>
          <w:szCs w:val="22"/>
        </w:rPr>
        <w:t xml:space="preserve">C/U data reflects the </w:t>
      </w:r>
      <w:r>
        <w:rPr>
          <w:szCs w:val="22"/>
        </w:rPr>
        <w:t>degree of certainty</w:t>
      </w:r>
      <w:r w:rsidRPr="00F64DCE">
        <w:rPr>
          <w:szCs w:val="22"/>
        </w:rPr>
        <w:t xml:space="preserve"> that a 911 caller is within a specified </w:t>
      </w:r>
      <w:r>
        <w:rPr>
          <w:szCs w:val="22"/>
        </w:rPr>
        <w:t>radius</w:t>
      </w:r>
      <w:r w:rsidRPr="00F64DCE">
        <w:rPr>
          <w:szCs w:val="22"/>
        </w:rPr>
        <w:t xml:space="preserve"> of the location</w:t>
      </w:r>
      <w:r>
        <w:rPr>
          <w:szCs w:val="22"/>
        </w:rPr>
        <w:t xml:space="preserve"> provided</w:t>
      </w:r>
      <w:r w:rsidRPr="00F64DCE">
        <w:rPr>
          <w:szCs w:val="22"/>
        </w:rPr>
        <w:t xml:space="preserve"> </w:t>
      </w:r>
      <w:r>
        <w:rPr>
          <w:szCs w:val="22"/>
        </w:rPr>
        <w:t>by the CMRS provider</w:t>
      </w:r>
      <w:r w:rsidRPr="00F64DCE">
        <w:rPr>
          <w:szCs w:val="22"/>
        </w:rPr>
        <w:t>.</w:t>
      </w:r>
      <w:r>
        <w:rPr>
          <w:rStyle w:val="FootnoteReference"/>
          <w:rFonts w:eastAsiaTheme="majorEastAsia"/>
          <w:szCs w:val="22"/>
        </w:rPr>
        <w:footnoteReference w:id="459"/>
      </w:r>
      <w:r w:rsidRPr="00F64DCE">
        <w:rPr>
          <w:szCs w:val="22"/>
        </w:rPr>
        <w:t xml:space="preserve">  The </w:t>
      </w:r>
      <w:r w:rsidRPr="00814228">
        <w:rPr>
          <w:i/>
          <w:szCs w:val="22"/>
        </w:rPr>
        <w:t>Third Further Notice</w:t>
      </w:r>
      <w:r w:rsidRPr="00F64DCE">
        <w:rPr>
          <w:szCs w:val="22"/>
        </w:rPr>
        <w:t xml:space="preserve"> </w:t>
      </w:r>
      <w:r>
        <w:rPr>
          <w:szCs w:val="22"/>
        </w:rPr>
        <w:t xml:space="preserve">recognized, however, that C/U data is not always utilized by PSAPs and that sought comment on how C/U data could be provided in a more useful manner.  In particular, we sought comment on the provision of C/U data for </w:t>
      </w:r>
      <w:r w:rsidRPr="00F64DCE">
        <w:rPr>
          <w:szCs w:val="22"/>
        </w:rPr>
        <w:t>all wireless 911 calls, whether outdoor or indoor,</w:t>
      </w:r>
      <w:r>
        <w:rPr>
          <w:szCs w:val="22"/>
        </w:rPr>
        <w:t xml:space="preserve"> </w:t>
      </w:r>
      <w:r w:rsidRPr="00F64DCE">
        <w:rPr>
          <w:szCs w:val="22"/>
        </w:rPr>
        <w:t xml:space="preserve">on a per-call basis </w:t>
      </w:r>
      <w:r>
        <w:rPr>
          <w:szCs w:val="22"/>
        </w:rPr>
        <w:t>at</w:t>
      </w:r>
      <w:r w:rsidRPr="00F64DCE">
        <w:rPr>
          <w:szCs w:val="22"/>
        </w:rPr>
        <w:t xml:space="preserve"> the request of a PSAP</w:t>
      </w:r>
      <w:r>
        <w:rPr>
          <w:szCs w:val="22"/>
        </w:rPr>
        <w:t>, with a uniform confidence level of 90 percent.</w:t>
      </w:r>
      <w:r>
        <w:rPr>
          <w:rStyle w:val="FootnoteReference"/>
          <w:rFonts w:eastAsiaTheme="majorEastAsia"/>
          <w:szCs w:val="22"/>
        </w:rPr>
        <w:footnoteReference w:id="460"/>
      </w:r>
      <w:r w:rsidRPr="00F64DCE">
        <w:rPr>
          <w:szCs w:val="22"/>
        </w:rPr>
        <w:t xml:space="preserve">  </w:t>
      </w:r>
      <w:r>
        <w:rPr>
          <w:szCs w:val="22"/>
        </w:rPr>
        <w:t xml:space="preserve">Additionally, the </w:t>
      </w:r>
      <w:r w:rsidRPr="00086E79">
        <w:rPr>
          <w:i/>
          <w:szCs w:val="22"/>
        </w:rPr>
        <w:t>Third Further Notice</w:t>
      </w:r>
      <w:r>
        <w:rPr>
          <w:szCs w:val="22"/>
        </w:rPr>
        <w:t xml:space="preserve"> sought comment on standardization of the delivery and format for C/U data to PSAPs.</w:t>
      </w:r>
      <w:r>
        <w:rPr>
          <w:rStyle w:val="FootnoteReference"/>
          <w:rFonts w:eastAsiaTheme="majorEastAsia"/>
          <w:szCs w:val="22"/>
        </w:rPr>
        <w:footnoteReference w:id="461"/>
      </w:r>
    </w:p>
    <w:p w14:paraId="35FEBC9F" w14:textId="77777777" w:rsidR="00524BBC" w:rsidRDefault="00A01B9C" w:rsidP="00524BBC">
      <w:pPr>
        <w:pStyle w:val="ParaNum"/>
        <w:rPr>
          <w:szCs w:val="22"/>
        </w:rPr>
      </w:pPr>
      <w:bookmarkStart w:id="503" w:name="_Ref408486663"/>
      <w:r>
        <w:t>In response, most</w:t>
      </w:r>
      <w:r w:rsidRPr="002A3316">
        <w:t xml:space="preserve"> </w:t>
      </w:r>
      <w:r w:rsidR="00524BBC">
        <w:t xml:space="preserve">public safety and industry commenters agree </w:t>
      </w:r>
      <w:r>
        <w:t>that</w:t>
      </w:r>
      <w:r w:rsidR="00524BBC">
        <w:t xml:space="preserve"> a standardized confidence level of 90 percent </w:t>
      </w:r>
      <w:r>
        <w:t xml:space="preserve">would provide important, useful information to PSAPs in interpreting the quality of location information and would </w:t>
      </w:r>
      <w:r w:rsidR="00524BBC">
        <w:t xml:space="preserve">rectify the current CMRS provider practice of using </w:t>
      </w:r>
      <w:r w:rsidR="00524BBC" w:rsidRPr="0009504D">
        <w:t>varying confidence levels</w:t>
      </w:r>
      <w:r w:rsidR="00524BBC">
        <w:t xml:space="preserve"> in providing uncertainty data.</w:t>
      </w:r>
      <w:bookmarkStart w:id="504" w:name="_Ref408486683"/>
      <w:r w:rsidR="00524BBC">
        <w:rPr>
          <w:rStyle w:val="FootnoteReference"/>
        </w:rPr>
        <w:footnoteReference w:id="462"/>
      </w:r>
      <w:bookmarkEnd w:id="503"/>
      <w:bookmarkEnd w:id="504"/>
      <w:r w:rsidR="00524BBC">
        <w:t xml:space="preserve">   </w:t>
      </w:r>
    </w:p>
    <w:p w14:paraId="0896F51C" w14:textId="77777777" w:rsidR="00524BBC" w:rsidRDefault="00524BBC" w:rsidP="00524BBC">
      <w:pPr>
        <w:pStyle w:val="ParaNum"/>
        <w:rPr>
          <w:szCs w:val="22"/>
        </w:rPr>
      </w:pPr>
      <w:r w:rsidRPr="00523165">
        <w:rPr>
          <w:i/>
        </w:rPr>
        <w:t xml:space="preserve">Discussion. </w:t>
      </w:r>
      <w:r w:rsidRPr="00D17F76">
        <w:rPr>
          <w:i/>
        </w:rPr>
        <w:t xml:space="preserve"> </w:t>
      </w:r>
      <w:r>
        <w:t>We find that requiring CMRS providers to furnish C/U data based on a standardized confidence value will provide significant benefits to PSAP call-takers and can be furnished to PSAPs at minimal cost to CMRS providers.</w:t>
      </w:r>
      <w:r>
        <w:rPr>
          <w:rStyle w:val="FootnoteReference"/>
          <w:rFonts w:eastAsiaTheme="majorEastAsia"/>
        </w:rPr>
        <w:footnoteReference w:id="463"/>
      </w:r>
      <w:r>
        <w:t xml:space="preserve">  We therefore require that C/U data for all wireless 911 calls – whether placed from indoors or outdoors – be delivered </w:t>
      </w:r>
      <w:r w:rsidRPr="00AA358D">
        <w:t xml:space="preserve">on a per-call basis </w:t>
      </w:r>
      <w:r>
        <w:t>at</w:t>
      </w:r>
      <w:r w:rsidRPr="00AA358D">
        <w:t xml:space="preserve"> the request of a PSAP</w:t>
      </w:r>
      <w:r>
        <w:t>, with a</w:t>
      </w:r>
      <w:r w:rsidR="006D4570">
        <w:t xml:space="preserve"> </w:t>
      </w:r>
      <w:r w:rsidR="00592A5C">
        <w:t>uniform</w:t>
      </w:r>
      <w:r>
        <w:t xml:space="preserve"> confidence level of 90 percent.  The record reflects that CMRS providers currently use varying levels of confidence in their C/U data, resulting in potential confusion among </w:t>
      </w:r>
      <w:r w:rsidR="00CE7C53">
        <w:t>call-taker</w:t>
      </w:r>
      <w:r>
        <w:t>s.</w:t>
      </w:r>
      <w:r>
        <w:rPr>
          <w:rStyle w:val="FootnoteReference"/>
        </w:rPr>
        <w:footnoteReference w:id="464"/>
      </w:r>
      <w:r>
        <w:t xml:space="preserve">  We find that a uniform confidence level will help PSAPs understand and better utilize location information.  By standardizing confidence levels, call</w:t>
      </w:r>
      <w:r w:rsidR="00CE7C53">
        <w:t>-</w:t>
      </w:r>
      <w:r>
        <w:t xml:space="preserve">takers will more easily be able to </w:t>
      </w:r>
      <w:r w:rsidRPr="00FE6D23">
        <w:t xml:space="preserve">identify when </w:t>
      </w:r>
      <w:r>
        <w:t xml:space="preserve">a </w:t>
      </w:r>
      <w:r w:rsidRPr="00FE6D23">
        <w:t xml:space="preserve">location </w:t>
      </w:r>
      <w:r>
        <w:t xml:space="preserve">fix </w:t>
      </w:r>
      <w:r w:rsidRPr="00FE6D23">
        <w:t xml:space="preserve">is less trustworthy </w:t>
      </w:r>
      <w:r>
        <w:t xml:space="preserve">due to larger </w:t>
      </w:r>
      <w:r w:rsidRPr="00FE6D23">
        <w:t>uncertainties</w:t>
      </w:r>
      <w:r>
        <w:t>.</w:t>
      </w:r>
      <w:r w:rsidRPr="003136C1">
        <w:rPr>
          <w:rStyle w:val="FootnoteReference"/>
          <w:rFonts w:eastAsiaTheme="majorEastAsia"/>
        </w:rPr>
        <w:footnoteReference w:id="465"/>
      </w:r>
      <w:r w:rsidRPr="003136C1">
        <w:t xml:space="preserve">  </w:t>
      </w:r>
      <w:r>
        <w:t>As TCS explains, with</w:t>
      </w:r>
      <w:r w:rsidRPr="004705A5">
        <w:t xml:space="preserve"> a standardized confidence value</w:t>
      </w:r>
      <w:r>
        <w:t xml:space="preserve">, </w:t>
      </w:r>
      <w:r w:rsidRPr="004705A5">
        <w:t>“if the uncertainty of the location fix . . . is within a reasonable margin,” the PSAP “call taker should have enough assurance to dispatch emergency services.”</w:t>
      </w:r>
      <w:r>
        <w:rPr>
          <w:rStyle w:val="FootnoteReference"/>
          <w:rFonts w:eastAsiaTheme="majorEastAsia"/>
        </w:rPr>
        <w:footnoteReference w:id="466"/>
      </w:r>
      <w:r w:rsidRPr="004705A5">
        <w:t xml:space="preserve"> </w:t>
      </w:r>
      <w:r w:rsidRPr="00D17F76">
        <w:t xml:space="preserve"> </w:t>
      </w:r>
      <w:r>
        <w:t>Further,</w:t>
      </w:r>
      <w:r w:rsidRPr="00523165">
        <w:rPr>
          <w:szCs w:val="22"/>
        </w:rPr>
        <w:t xml:space="preserve"> the magnitude of the uncertainty value varying with a standardized confidence value could also </w:t>
      </w:r>
      <w:r>
        <w:rPr>
          <w:szCs w:val="22"/>
        </w:rPr>
        <w:t>convey meaningful information to the</w:t>
      </w:r>
      <w:r w:rsidRPr="00523165">
        <w:rPr>
          <w:szCs w:val="22"/>
        </w:rPr>
        <w:t xml:space="preserve"> call-</w:t>
      </w:r>
      <w:r>
        <w:rPr>
          <w:szCs w:val="22"/>
        </w:rPr>
        <w:t>taker regarding the type of location fix</w:t>
      </w:r>
      <w:r w:rsidRPr="00523165">
        <w:rPr>
          <w:szCs w:val="22"/>
        </w:rPr>
        <w:t xml:space="preserve"> being provided.  For example, </w:t>
      </w:r>
      <w:r>
        <w:rPr>
          <w:szCs w:val="22"/>
        </w:rPr>
        <w:t>in the event a CMRS provider is delivering</w:t>
      </w:r>
      <w:r w:rsidRPr="00523165">
        <w:rPr>
          <w:szCs w:val="22"/>
        </w:rPr>
        <w:t xml:space="preserve"> dispatchable location information, the uncertainty value would either be zero or a very tight geometric figure with a radius less than 50 meters.</w:t>
      </w:r>
      <w:r>
        <w:rPr>
          <w:rStyle w:val="FootnoteReference"/>
          <w:rFonts w:eastAsiaTheme="majorEastAsia"/>
          <w:szCs w:val="22"/>
        </w:rPr>
        <w:footnoteReference w:id="467"/>
      </w:r>
      <w:r w:rsidRPr="00523165">
        <w:rPr>
          <w:szCs w:val="22"/>
        </w:rPr>
        <w:t xml:space="preserve"> </w:t>
      </w:r>
    </w:p>
    <w:p w14:paraId="2245E261" w14:textId="08F6BFF4" w:rsidR="00DD1205" w:rsidRDefault="006C68D3" w:rsidP="00EE2E1F">
      <w:pPr>
        <w:pStyle w:val="ParaNum"/>
        <w:widowControl/>
        <w:rPr>
          <w:szCs w:val="22"/>
        </w:rPr>
      </w:pPr>
      <w:r>
        <w:t xml:space="preserve">Moreover, the </w:t>
      </w:r>
      <w:r w:rsidR="00DD1205">
        <w:t>record indicates that a standardized 90 percent confidence value will serve to eliminate confusion on the part of emergency call-takers and is supported by numerous commenters.</w:t>
      </w:r>
      <w:r w:rsidR="00DD1205">
        <w:rPr>
          <w:rStyle w:val="FootnoteReference"/>
          <w:rFonts w:eastAsiaTheme="majorEastAsia"/>
        </w:rPr>
        <w:footnoteReference w:id="468"/>
      </w:r>
      <w:r w:rsidR="00DD1205">
        <w:t xml:space="preserve">  As ATIS explains, a 90 percent confidence level will provide “</w:t>
      </w:r>
      <w:r w:rsidR="00DD1205" w:rsidRPr="00AD5243">
        <w:t xml:space="preserve">for the consistent interpretation of location data by the PSAP staff without significantly affecting the integrity of the calculated </w:t>
      </w:r>
      <w:r w:rsidR="00DD1205">
        <w:t>[uncertainty].”</w:t>
      </w:r>
      <w:r w:rsidR="00DD1205">
        <w:rPr>
          <w:rStyle w:val="FootnoteReference"/>
          <w:rFonts w:eastAsiaTheme="majorEastAsia"/>
        </w:rPr>
        <w:footnoteReference w:id="469"/>
      </w:r>
      <w:r w:rsidR="00DD1205">
        <w:t xml:space="preserve">  We note that some commenters recommend an even higher standardized confidence value, </w:t>
      </w:r>
      <w:r w:rsidR="00DD1205" w:rsidRPr="00A0706B">
        <w:rPr>
          <w:i/>
        </w:rPr>
        <w:t>e.g.</w:t>
      </w:r>
      <w:r w:rsidR="00DD1205">
        <w:t>, 95 percent, either in the near term or as new technologies are implemented in the long-term</w:t>
      </w:r>
      <w:r w:rsidR="00DD1205" w:rsidRPr="0010344F">
        <w:t>.</w:t>
      </w:r>
      <w:r w:rsidR="00DD1205" w:rsidRPr="0009504D">
        <w:rPr>
          <w:rStyle w:val="FootnoteReference"/>
          <w:rFonts w:eastAsiaTheme="majorEastAsia"/>
        </w:rPr>
        <w:footnoteReference w:id="470"/>
      </w:r>
      <w:r w:rsidR="00DD1205" w:rsidRPr="00B57561">
        <w:t xml:space="preserve"> </w:t>
      </w:r>
      <w:r w:rsidR="00DD1205">
        <w:t xml:space="preserve"> On the other hand, RWA alleges in its initial comments that </w:t>
      </w:r>
      <w:r w:rsidR="00DD1205" w:rsidRPr="00675B85">
        <w:t>“</w:t>
      </w:r>
      <w:r w:rsidR="00DD1205">
        <w:t>[a]</w:t>
      </w:r>
      <w:r w:rsidR="00DD1205" w:rsidRPr="00675B85">
        <w:t xml:space="preserve"> confidence level of 90% is too high for rural carriers to meet without the expensive construction of additional cell sites.”</w:t>
      </w:r>
      <w:r w:rsidR="00DD1205">
        <w:rPr>
          <w:rStyle w:val="FootnoteReference"/>
          <w:rFonts w:eastAsiaTheme="majorEastAsia"/>
        </w:rPr>
        <w:footnoteReference w:id="471"/>
      </w:r>
      <w:r w:rsidR="00DD1205">
        <w:t xml:space="preserve">  We find that a confidence level of 90 percent, while accompanied by an uncertainty radius that will vary, strikes an appropriate balance.  While we recognize that a standardized value</w:t>
      </w:r>
      <w:r w:rsidR="00DD1205" w:rsidRPr="00FE6D23">
        <w:t xml:space="preserve"> </w:t>
      </w:r>
      <w:r w:rsidR="00DD1205">
        <w:t xml:space="preserve">of 90 percent </w:t>
      </w:r>
      <w:r w:rsidR="00DD1205" w:rsidRPr="00FE6D23">
        <w:t>will result in larger reported uncertainties</w:t>
      </w:r>
      <w:r w:rsidR="00DD1205">
        <w:t xml:space="preserve"> for some 911 calls, there will be a greater probability that callers will </w:t>
      </w:r>
      <w:r w:rsidR="00DD1205" w:rsidRPr="00FE6D23">
        <w:t>be found within the area of uncertainty</w:t>
      </w:r>
      <w:r w:rsidR="00DD1205">
        <w:t>.</w:t>
      </w:r>
      <w:r w:rsidR="00DD1205">
        <w:rPr>
          <w:rStyle w:val="FootnoteReference"/>
          <w:rFonts w:eastAsiaTheme="majorEastAsia"/>
        </w:rPr>
        <w:footnoteReference w:id="472"/>
      </w:r>
      <w:r w:rsidR="00DD1205">
        <w:t xml:space="preserve">  As technology evolves and as location accuracy improves over time, we may revisit whether to adopt an even higher required confidence level</w:t>
      </w:r>
      <w:r w:rsidR="00DD1205">
        <w:rPr>
          <w:szCs w:val="22"/>
        </w:rPr>
        <w:t>.</w:t>
      </w:r>
      <w:r w:rsidR="00DD1205">
        <w:rPr>
          <w:rStyle w:val="FootnoteReference"/>
          <w:rFonts w:eastAsiaTheme="majorEastAsia"/>
          <w:szCs w:val="22"/>
        </w:rPr>
        <w:footnoteReference w:id="473"/>
      </w:r>
    </w:p>
    <w:p w14:paraId="6E0A6758" w14:textId="77777777" w:rsidR="00524BBC" w:rsidRPr="00523165" w:rsidRDefault="00524BBC" w:rsidP="00524BBC">
      <w:pPr>
        <w:pStyle w:val="ParaNum"/>
        <w:rPr>
          <w:szCs w:val="22"/>
        </w:rPr>
      </w:pPr>
      <w:r>
        <w:rPr>
          <w:szCs w:val="22"/>
        </w:rPr>
        <w:t xml:space="preserve">In light of these public interest benefits, we disagree with </w:t>
      </w:r>
      <w:r>
        <w:t>commenters who oppose standardizing a set of confidence and uncertainty values.  For example, while Verizon “agrees that there may be value” in establishing a uniform confidence level, it nevertheless asserts that the delivery of C/U data should be “appropriately left to standards or best practices, as PSAP[s] need to determine what approach makes sense . . . .”</w:t>
      </w:r>
      <w:r>
        <w:rPr>
          <w:rStyle w:val="FootnoteReference"/>
          <w:rFonts w:eastAsiaTheme="majorEastAsia"/>
        </w:rPr>
        <w:footnoteReference w:id="474"/>
      </w:r>
      <w:r>
        <w:t xml:space="preserve">  Others contend that further study is necessary, especially as location technologies evolve.</w:t>
      </w:r>
      <w:r>
        <w:rPr>
          <w:rStyle w:val="FootnoteReference"/>
          <w:rFonts w:eastAsiaTheme="majorEastAsia"/>
        </w:rPr>
        <w:footnoteReference w:id="475"/>
      </w:r>
      <w:r>
        <w:t xml:space="preserve"> </w:t>
      </w:r>
      <w:r>
        <w:rPr>
          <w:szCs w:val="22"/>
        </w:rPr>
        <w:t xml:space="preserve"> We see no reason to delay the delivery of more uniform C/U data.  By reducing the variability in C/U information, we can help ensure that call-takers more fully understand the location information that is provided to them, enabling them to respond more efficiently to emergencies. </w:t>
      </w:r>
      <w:r>
        <w:t xml:space="preserve">   </w:t>
      </w:r>
    </w:p>
    <w:p w14:paraId="202B9F72" w14:textId="23314575" w:rsidR="00524BBC" w:rsidRDefault="00592A5C" w:rsidP="00524BBC">
      <w:pPr>
        <w:pStyle w:val="ParaNum"/>
      </w:pPr>
      <w:r>
        <w:t>Requiring</w:t>
      </w:r>
      <w:r w:rsidR="00524BBC">
        <w:t xml:space="preserve"> a standardized confidence level of 90 percent (with varying uncertainty values) will</w:t>
      </w:r>
      <w:r>
        <w:t xml:space="preserve"> also</w:t>
      </w:r>
      <w:r w:rsidR="00524BBC">
        <w:t xml:space="preserve"> </w:t>
      </w:r>
      <w:r w:rsidR="005C620B">
        <w:t xml:space="preserve">provide </w:t>
      </w:r>
      <w:r w:rsidR="00524BBC">
        <w:t xml:space="preserve">CMRS providers </w:t>
      </w:r>
      <w:r w:rsidR="005C620B">
        <w:t>with regulatory certainty as they</w:t>
      </w:r>
      <w:r w:rsidR="00524BBC">
        <w:t xml:space="preserve"> </w:t>
      </w:r>
      <w:r w:rsidR="005C620B">
        <w:t>configure</w:t>
      </w:r>
      <w:r w:rsidR="00524BBC">
        <w:t xml:space="preserve"> C/U </w:t>
      </w:r>
      <w:r w:rsidR="005C620B">
        <w:t>data using newly</w:t>
      </w:r>
      <w:r w:rsidR="00524BBC">
        <w:t xml:space="preserve"> implemen</w:t>
      </w:r>
      <w:r w:rsidR="005C620B">
        <w:t>ted</w:t>
      </w:r>
      <w:r w:rsidR="00524BBC">
        <w:t xml:space="preserve"> location technologies.  Ensuring the continued provision of C/U data, in a manner that allows PSAPs to fully utilize and understand that data, is particularly timely as providers </w:t>
      </w:r>
      <w:r w:rsidR="00791251">
        <w:t>migrate</w:t>
      </w:r>
      <w:r w:rsidR="00524BBC">
        <w:t xml:space="preserve"> to </w:t>
      </w:r>
      <w:r w:rsidR="00524BBC">
        <w:rPr>
          <w:szCs w:val="22"/>
        </w:rPr>
        <w:t xml:space="preserve">4G VoLTE networks.  </w:t>
      </w:r>
      <w:r w:rsidR="00524BBC" w:rsidRPr="002D6C90">
        <w:t xml:space="preserve">CSRIC IV </w:t>
      </w:r>
      <w:r w:rsidR="00524BBC">
        <w:t xml:space="preserve">WG1 </w:t>
      </w:r>
      <w:r w:rsidR="00524BBC" w:rsidRPr="002D6C90">
        <w:t>report</w:t>
      </w:r>
      <w:r w:rsidR="00524BBC">
        <w:t>s</w:t>
      </w:r>
      <w:r w:rsidR="00524BBC" w:rsidRPr="002D6C90">
        <w:t xml:space="preserve"> that “[t]he content of the Phase II location estimate delivered to the PSAP” for a VoLTE 4G network “includes the same position, confidence, and uncertainty parameters used in 2G/3G networks for technologies that directly generate geographic (</w:t>
      </w:r>
      <w:r w:rsidR="00524BBC" w:rsidRPr="006C0EB6">
        <w:rPr>
          <w:i/>
        </w:rPr>
        <w:t>i.e</w:t>
      </w:r>
      <w:r w:rsidR="00524BBC" w:rsidRPr="002D6C90">
        <w:t xml:space="preserve">., </w:t>
      </w:r>
      <w:r w:rsidR="00524BBC">
        <w:t>X,Y</w:t>
      </w:r>
      <w:r w:rsidR="00524BBC" w:rsidRPr="002D6C90">
        <w:t>) location.”</w:t>
      </w:r>
      <w:r w:rsidR="00524BBC" w:rsidRPr="002D6C90">
        <w:rPr>
          <w:rStyle w:val="FootnoteReference"/>
          <w:rFonts w:eastAsiaTheme="majorEastAsia"/>
        </w:rPr>
        <w:footnoteReference w:id="476"/>
      </w:r>
      <w:r w:rsidR="00524BBC" w:rsidRPr="002D6C90">
        <w:t xml:space="preserve">  CSRIC IV </w:t>
      </w:r>
      <w:r w:rsidR="00524BBC">
        <w:t>a</w:t>
      </w:r>
      <w:r w:rsidR="00524BBC" w:rsidRPr="002D6C90">
        <w:t>dd</w:t>
      </w:r>
      <w:r w:rsidR="00524BBC">
        <w:t>s</w:t>
      </w:r>
      <w:r w:rsidR="00524BBC" w:rsidRPr="002D6C90">
        <w:t xml:space="preserve"> that these parameters </w:t>
      </w:r>
      <w:r w:rsidR="00524BBC">
        <w:t xml:space="preserve">can </w:t>
      </w:r>
      <w:r w:rsidR="00524BBC" w:rsidRPr="002D6C90">
        <w:t xml:space="preserve">be </w:t>
      </w:r>
      <w:r w:rsidR="00524BBC">
        <w:t>“</w:t>
      </w:r>
      <w:r w:rsidR="00524BBC" w:rsidRPr="002D6C90">
        <w:t>formatted appropriately for legacy PSAPs as well as NG9-1-1</w:t>
      </w:r>
      <w:r w:rsidR="00524BBC">
        <w:t xml:space="preserve"> </w:t>
      </w:r>
      <w:r w:rsidR="00524BBC" w:rsidRPr="002D6C90">
        <w:t>PSAPs.</w:t>
      </w:r>
      <w:r w:rsidR="00524BBC">
        <w:t>”</w:t>
      </w:r>
      <w:r w:rsidR="00524BBC" w:rsidRPr="002D6C90">
        <w:rPr>
          <w:rStyle w:val="FootnoteReference"/>
          <w:rFonts w:eastAsiaTheme="majorEastAsia"/>
        </w:rPr>
        <w:footnoteReference w:id="477"/>
      </w:r>
      <w:r w:rsidR="00524BBC" w:rsidRPr="002D6C90">
        <w:t xml:space="preserve">  </w:t>
      </w:r>
    </w:p>
    <w:p w14:paraId="44909149" w14:textId="120FD86A" w:rsidR="00524BBC" w:rsidRDefault="00524BBC" w:rsidP="00524BBC">
      <w:pPr>
        <w:pStyle w:val="ParaNum"/>
      </w:pPr>
      <w:bookmarkStart w:id="505" w:name="_Ref408486751"/>
      <w:r>
        <w:t>We</w:t>
      </w:r>
      <w:r w:rsidRPr="00B266DC">
        <w:t xml:space="preserve"> find that </w:t>
      </w:r>
      <w:r>
        <w:t xml:space="preserve">the costs of implementing a </w:t>
      </w:r>
      <w:r w:rsidRPr="00B266DC">
        <w:t xml:space="preserve">standardized confidence level </w:t>
      </w:r>
      <w:r>
        <w:t>should be minimal</w:t>
      </w:r>
      <w:r w:rsidRPr="00B266DC">
        <w:t>.</w:t>
      </w:r>
      <w:r>
        <w:rPr>
          <w:rStyle w:val="FootnoteReference"/>
          <w:rFonts w:eastAsiaTheme="majorEastAsia"/>
        </w:rPr>
        <w:footnoteReference w:id="478"/>
      </w:r>
      <w:r w:rsidRPr="00B266DC">
        <w:t xml:space="preserve">  Because CMRS providers </w:t>
      </w:r>
      <w:r>
        <w:t xml:space="preserve">are currently required to </w:t>
      </w:r>
      <w:r w:rsidRPr="00B266DC">
        <w:t xml:space="preserve">deliver C/U data to </w:t>
      </w:r>
      <w:r>
        <w:t xml:space="preserve">requesting </w:t>
      </w:r>
      <w:r w:rsidRPr="00B266DC">
        <w:t>PSAPs on a per-call basis,</w:t>
      </w:r>
      <w:r>
        <w:rPr>
          <w:rStyle w:val="FootnoteReference"/>
          <w:rFonts w:eastAsiaTheme="majorEastAsia"/>
        </w:rPr>
        <w:footnoteReference w:id="479"/>
      </w:r>
      <w:r w:rsidRPr="00B266DC">
        <w:t xml:space="preserve"> they have already programmed their networks to furnish a confidence value, with some </w:t>
      </w:r>
      <w:r>
        <w:t>CMRS providers</w:t>
      </w:r>
      <w:r w:rsidRPr="00B266DC">
        <w:t xml:space="preserve"> already </w:t>
      </w:r>
      <w:r>
        <w:t xml:space="preserve">either </w:t>
      </w:r>
      <w:r w:rsidRPr="00B266DC">
        <w:t xml:space="preserve">delivering </w:t>
      </w:r>
      <w:r>
        <w:t xml:space="preserve">or testing for </w:t>
      </w:r>
      <w:r w:rsidRPr="00B266DC">
        <w:t>it with a 90 percent confidence</w:t>
      </w:r>
      <w:r w:rsidR="005C620B">
        <w:t xml:space="preserve"> level</w:t>
      </w:r>
      <w:r w:rsidRPr="00B266DC">
        <w:t>.</w:t>
      </w:r>
      <w:r>
        <w:rPr>
          <w:rStyle w:val="FootnoteReference"/>
          <w:rFonts w:eastAsiaTheme="majorEastAsia"/>
        </w:rPr>
        <w:footnoteReference w:id="480"/>
      </w:r>
      <w:r w:rsidRPr="00B266DC">
        <w:t xml:space="preserve">  Moreover, RWA </w:t>
      </w:r>
      <w:r>
        <w:t>does not offer</w:t>
      </w:r>
      <w:r w:rsidRPr="00B266DC">
        <w:t xml:space="preserve"> support</w:t>
      </w:r>
      <w:r>
        <w:t xml:space="preserve"> for</w:t>
      </w:r>
      <w:r w:rsidRPr="00B266DC">
        <w:t xml:space="preserve"> its allegation </w:t>
      </w:r>
      <w:r>
        <w:t xml:space="preserve">that a 90 percent standard confidence level would </w:t>
      </w:r>
      <w:r w:rsidR="00A01B9C">
        <w:t>necessitate the construction of additional cell sites and therefore create a burden on small CMRS providers</w:t>
      </w:r>
      <w:r w:rsidRPr="00B266DC">
        <w:t>.</w:t>
      </w:r>
      <w:r>
        <w:t xml:space="preserve">  Likewise, we find that the costs for SSPs to continue to transport C/U data to ensure its delivery to PSAPs would be minimal.  Like CMRS providers, SSPs currently must ensure that PSAPs receive C/U data on a per-call basis.</w:t>
      </w:r>
      <w:r>
        <w:rPr>
          <w:rStyle w:val="FootnoteReference"/>
          <w:rFonts w:eastAsiaTheme="majorEastAsia"/>
        </w:rPr>
        <w:footnoteReference w:id="481"/>
      </w:r>
      <w:r>
        <w:t xml:space="preserve">  The requirement we adopt for C/U data will continue to apply to all entities responsible for transporting C/U data between CMRS providers and PSAPs, including LECs, CLECs, owners of E911 networks, and emergency service providers, to enable the transmission of such</w:t>
      </w:r>
      <w:r w:rsidRPr="00E626A9">
        <w:t xml:space="preserve"> data to the requesting PSAP.</w:t>
      </w:r>
      <w:r>
        <w:rPr>
          <w:rStyle w:val="FootnoteReference"/>
        </w:rPr>
        <w:footnoteReference w:id="482"/>
      </w:r>
      <w:bookmarkEnd w:id="505"/>
      <w:r>
        <w:t xml:space="preserve">  </w:t>
      </w:r>
    </w:p>
    <w:p w14:paraId="7922722F" w14:textId="77777777" w:rsidR="00524BBC" w:rsidRPr="00B131DF" w:rsidRDefault="00524BBC" w:rsidP="00524BBC">
      <w:pPr>
        <w:pStyle w:val="ParaNum"/>
      </w:pPr>
      <w:r>
        <w:rPr>
          <w:szCs w:val="22"/>
        </w:rPr>
        <w:t>Finally, we note that commenters generally support the delivery of C/U data to PSAPs using a consistent format</w:t>
      </w:r>
      <w:r w:rsidRPr="006E0ABC">
        <w:rPr>
          <w:szCs w:val="22"/>
        </w:rPr>
        <w:t>.</w:t>
      </w:r>
      <w:r>
        <w:rPr>
          <w:rStyle w:val="FootnoteReference"/>
          <w:rFonts w:eastAsiaTheme="majorEastAsia"/>
          <w:szCs w:val="22"/>
        </w:rPr>
        <w:footnoteReference w:id="483"/>
      </w:r>
      <w:r w:rsidRPr="006E0ABC">
        <w:rPr>
          <w:szCs w:val="22"/>
        </w:rPr>
        <w:t xml:space="preserve">  </w:t>
      </w:r>
      <w:r>
        <w:rPr>
          <w:szCs w:val="22"/>
        </w:rPr>
        <w:t xml:space="preserve">As discussed above, we believe that consistency in the delivery of C/U data will promote </w:t>
      </w:r>
      <w:r>
        <w:t xml:space="preserve">PSAP call-takers’ ability to more readily evaluate the C/U data being delivered.  </w:t>
      </w:r>
      <w:r>
        <w:rPr>
          <w:szCs w:val="22"/>
        </w:rPr>
        <w:t xml:space="preserve">We therefore </w:t>
      </w:r>
      <w:r w:rsidRPr="00ED6BD6">
        <w:rPr>
          <w:szCs w:val="22"/>
        </w:rPr>
        <w:t>u</w:t>
      </w:r>
      <w:r>
        <w:t>rge stakeholders to work together to develop a consistent format for the delivery of C/U data that considers the different capabilities of PSAPs to receive both geodetic and dispatchable location information.</w:t>
      </w:r>
      <w:r>
        <w:rPr>
          <w:rStyle w:val="FootnoteReference"/>
          <w:rFonts w:eastAsiaTheme="majorEastAsia"/>
        </w:rPr>
        <w:footnoteReference w:id="484"/>
      </w:r>
      <w:r>
        <w:t xml:space="preserve">  We</w:t>
      </w:r>
      <w:r w:rsidRPr="00ED6BD6">
        <w:rPr>
          <w:szCs w:val="22"/>
        </w:rPr>
        <w:t xml:space="preserve"> </w:t>
      </w:r>
      <w:r>
        <w:rPr>
          <w:szCs w:val="22"/>
        </w:rPr>
        <w:t xml:space="preserve">also </w:t>
      </w:r>
      <w:r w:rsidRPr="00ED6BD6">
        <w:rPr>
          <w:szCs w:val="22"/>
        </w:rPr>
        <w:t>encourage the public safety community to contin</w:t>
      </w:r>
      <w:r>
        <w:rPr>
          <w:szCs w:val="22"/>
        </w:rPr>
        <w:t xml:space="preserve">ue to take </w:t>
      </w:r>
      <w:r w:rsidRPr="00ED6BD6">
        <w:rPr>
          <w:szCs w:val="22"/>
        </w:rPr>
        <w:t>measures</w:t>
      </w:r>
      <w:r>
        <w:rPr>
          <w:szCs w:val="22"/>
        </w:rPr>
        <w:t xml:space="preserve"> to ensure that PSAP call-takers can fully benefit from the availability of C/U data</w:t>
      </w:r>
      <w:r w:rsidRPr="00ED6BD6">
        <w:rPr>
          <w:szCs w:val="22"/>
        </w:rPr>
        <w:t xml:space="preserve">, including </w:t>
      </w:r>
      <w:r>
        <w:rPr>
          <w:szCs w:val="22"/>
        </w:rPr>
        <w:t xml:space="preserve">obtaining upgraded </w:t>
      </w:r>
      <w:r w:rsidR="00A01B9C">
        <w:rPr>
          <w:szCs w:val="22"/>
        </w:rPr>
        <w:t xml:space="preserve">CPE </w:t>
      </w:r>
      <w:r>
        <w:rPr>
          <w:szCs w:val="22"/>
        </w:rPr>
        <w:t>and programming</w:t>
      </w:r>
      <w:r w:rsidRPr="00ED6BD6">
        <w:rPr>
          <w:szCs w:val="22"/>
        </w:rPr>
        <w:t xml:space="preserve">, </w:t>
      </w:r>
      <w:r>
        <w:rPr>
          <w:szCs w:val="22"/>
        </w:rPr>
        <w:t>as well as providing relevant education and training.</w:t>
      </w:r>
    </w:p>
    <w:p w14:paraId="39837F05" w14:textId="77777777" w:rsidR="004A1C14" w:rsidRDefault="00FE0848" w:rsidP="004A1C14">
      <w:pPr>
        <w:pStyle w:val="Heading2"/>
      </w:pPr>
      <w:bookmarkStart w:id="506" w:name="_Toc408400460"/>
      <w:bookmarkStart w:id="507" w:name="_Toc408400518"/>
      <w:bookmarkStart w:id="508" w:name="_Toc408400573"/>
      <w:bookmarkStart w:id="509" w:name="_Toc408403124"/>
      <w:bookmarkStart w:id="510" w:name="_Toc408421336"/>
      <w:bookmarkStart w:id="511" w:name="_Toc407796250"/>
      <w:bookmarkStart w:id="512" w:name="_Ref408487718"/>
      <w:bookmarkStart w:id="513" w:name="_Toc408490585"/>
      <w:bookmarkStart w:id="514" w:name="_Toc408496223"/>
      <w:bookmarkStart w:id="515" w:name="_Toc408502424"/>
      <w:bookmarkStart w:id="516" w:name="_Toc410119096"/>
      <w:bookmarkStart w:id="517" w:name="_Toc410123675"/>
      <w:bookmarkStart w:id="518" w:name="_Toc410124657"/>
      <w:bookmarkStart w:id="519" w:name="_Toc410124737"/>
      <w:bookmarkStart w:id="520" w:name="_Toc410146131"/>
      <w:bookmarkStart w:id="521" w:name="_Toc410212655"/>
      <w:bookmarkStart w:id="522" w:name="_Toc410648296"/>
      <w:r>
        <w:t xml:space="preserve">Provision </w:t>
      </w:r>
      <w:r w:rsidR="004A1C14">
        <w:t xml:space="preserve">of Live 911 </w:t>
      </w:r>
      <w:bookmarkStart w:id="523" w:name="_Toc379902599"/>
      <w:bookmarkStart w:id="524" w:name="_Toc379903285"/>
      <w:bookmarkStart w:id="525" w:name="_Toc379907064"/>
      <w:bookmarkStart w:id="526" w:name="_Toc380482104"/>
      <w:bookmarkStart w:id="527" w:name="_Toc380483097"/>
      <w:bookmarkStart w:id="528" w:name="_Toc380569170"/>
      <w:bookmarkStart w:id="529" w:name="_Toc380580358"/>
      <w:bookmarkStart w:id="530" w:name="_Toc380581426"/>
      <w:bookmarkStart w:id="531" w:name="_Toc380584416"/>
      <w:bookmarkStart w:id="532" w:name="_Toc380673894"/>
      <w:bookmarkStart w:id="533" w:name="_Toc402535544"/>
      <w:bookmarkStart w:id="534" w:name="_Toc406513855"/>
      <w:r w:rsidR="004A1C14">
        <w:t>Call</w:t>
      </w:r>
      <w:r w:rsidR="004A1C14" w:rsidRPr="008B60AE">
        <w:t xml:space="preserve"> Dat</w:t>
      </w:r>
      <w:r w:rsidR="004A1C14">
        <w:t>a</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14:paraId="04ACA5BB" w14:textId="613E7265" w:rsidR="004A1C14" w:rsidRDefault="004A1C14" w:rsidP="004A1C14">
      <w:pPr>
        <w:pStyle w:val="ParaNum"/>
      </w:pPr>
      <w:r w:rsidRPr="00775E9C">
        <w:rPr>
          <w:i/>
        </w:rPr>
        <w:t>Background</w:t>
      </w:r>
      <w:r>
        <w:t>.  The</w:t>
      </w:r>
      <w:r w:rsidRPr="00D17F76">
        <w:t xml:space="preserve"> </w:t>
      </w:r>
      <w:r w:rsidRPr="00775E9C">
        <w:rPr>
          <w:i/>
        </w:rPr>
        <w:t>Third Further Notice</w:t>
      </w:r>
      <w:r>
        <w:t xml:space="preserve"> sought comment on whether the Commission should require providers to periodically report E911 Phase II call tracking information,</w:t>
      </w:r>
      <w:r>
        <w:rPr>
          <w:rStyle w:val="FootnoteReference"/>
          <w:rFonts w:eastAsiaTheme="majorEastAsia"/>
        </w:rPr>
        <w:footnoteReference w:id="485"/>
      </w:r>
      <w:r>
        <w:t xml:space="preserve"> and if so, on the scope of information that should be reported.</w:t>
      </w:r>
      <w:r>
        <w:rPr>
          <w:rStyle w:val="FootnoteReference"/>
          <w:rFonts w:eastAsiaTheme="majorEastAsia"/>
        </w:rPr>
        <w:footnoteReference w:id="486"/>
      </w:r>
      <w:r>
        <w:t xml:space="preserve">  Numerous</w:t>
      </w:r>
      <w:r w:rsidRPr="00277E20">
        <w:t xml:space="preserve"> commenters </w:t>
      </w:r>
      <w:r>
        <w:t>support this proposal</w:t>
      </w:r>
      <w:r w:rsidRPr="00277E20">
        <w:t>.</w:t>
      </w:r>
      <w:r>
        <w:rPr>
          <w:rStyle w:val="FootnoteReference"/>
          <w:rFonts w:eastAsiaTheme="majorEastAsia"/>
        </w:rPr>
        <w:footnoteReference w:id="487"/>
      </w:r>
      <w:r w:rsidRPr="00277E20">
        <w:t xml:space="preserve">  </w:t>
      </w:r>
      <w:r>
        <w:t xml:space="preserve">For instance, </w:t>
      </w:r>
      <w:r w:rsidRPr="00277E20">
        <w:t xml:space="preserve">Verizon </w:t>
      </w:r>
      <w:r>
        <w:t>submits</w:t>
      </w:r>
      <w:r w:rsidRPr="00277E20">
        <w:t xml:space="preserve"> </w:t>
      </w:r>
      <w:r w:rsidRPr="008F70E9">
        <w:t xml:space="preserve">that </w:t>
      </w:r>
      <w:r>
        <w:t xml:space="preserve">such </w:t>
      </w:r>
      <w:r w:rsidRPr="008F70E9">
        <w:t>data c</w:t>
      </w:r>
      <w:r>
        <w:t>ould</w:t>
      </w:r>
      <w:r w:rsidRPr="008F70E9">
        <w:t xml:space="preserve"> be </w:t>
      </w:r>
      <w:r>
        <w:t xml:space="preserve">“helpful </w:t>
      </w:r>
      <w:r w:rsidRPr="008F70E9">
        <w:t>in evaluating</w:t>
      </w:r>
      <w:r>
        <w:t xml:space="preserve">… </w:t>
      </w:r>
      <w:r w:rsidRPr="008F70E9">
        <w:t>delivery issues associated with particular PSAPs, or in assessing if a location solution faces particular topology and RF challenges in a particular geographic area.</w:t>
      </w:r>
      <w:r>
        <w:t>”</w:t>
      </w:r>
      <w:r>
        <w:rPr>
          <w:rStyle w:val="FootnoteReference"/>
          <w:rFonts w:eastAsiaTheme="majorEastAsia"/>
        </w:rPr>
        <w:footnoteReference w:id="488"/>
      </w:r>
      <w:r w:rsidRPr="00277E20">
        <w:t xml:space="preserve"> </w:t>
      </w:r>
      <w:r>
        <w:t xml:space="preserve"> </w:t>
      </w:r>
      <w:r w:rsidRPr="00277E20">
        <w:t xml:space="preserve">NextNav submits that reporting </w:t>
      </w:r>
      <w:r>
        <w:t xml:space="preserve">the </w:t>
      </w:r>
      <w:r w:rsidRPr="00277E20">
        <w:t>TTFF, yield, and typ</w:t>
      </w:r>
      <w:r>
        <w:t>e of technology used to obtain a location</w:t>
      </w:r>
      <w:r w:rsidRPr="00277E20">
        <w:t xml:space="preserve"> fix</w:t>
      </w:r>
      <w:r>
        <w:t xml:space="preserve"> </w:t>
      </w:r>
      <w:r w:rsidRPr="000C6663">
        <w:t xml:space="preserve">should </w:t>
      </w:r>
      <w:r>
        <w:t>be</w:t>
      </w:r>
      <w:r w:rsidRPr="000C6663">
        <w:t xml:space="preserve"> sufficient to </w:t>
      </w:r>
      <w:r>
        <w:t>evaluate</w:t>
      </w:r>
      <w:r w:rsidRPr="000C6663">
        <w:t xml:space="preserve"> whether </w:t>
      </w:r>
      <w:r>
        <w:t>a</w:t>
      </w:r>
      <w:r w:rsidRPr="000C6663">
        <w:t xml:space="preserve"> </w:t>
      </w:r>
      <w:r>
        <w:t xml:space="preserve">CMRS provider’s </w:t>
      </w:r>
      <w:r w:rsidRPr="000C6663">
        <w:t xml:space="preserve">performance is consistent with </w:t>
      </w:r>
      <w:r>
        <w:t>test bed performance.</w:t>
      </w:r>
      <w:r>
        <w:rPr>
          <w:rStyle w:val="FootnoteReference"/>
          <w:rFonts w:eastAsiaTheme="majorEastAsia"/>
        </w:rPr>
        <w:footnoteReference w:id="489"/>
      </w:r>
      <w:r>
        <w:t xml:space="preserve">  </w:t>
      </w:r>
      <w:r w:rsidR="009334E3">
        <w:t>RWA</w:t>
      </w:r>
      <w:r w:rsidR="008C715C">
        <w:t>, however,</w:t>
      </w:r>
      <w:r w:rsidR="009334E3">
        <w:t xml:space="preserve"> contends that </w:t>
      </w:r>
      <w:r w:rsidR="009334E3" w:rsidRPr="00631FEE">
        <w:t>“the cost of providing the FCC with call tracking information is high,” with “little certainty” as to its utility to the Commission</w:t>
      </w:r>
      <w:r w:rsidR="009334E3">
        <w:t>.</w:t>
      </w:r>
      <w:r w:rsidR="009334E3">
        <w:rPr>
          <w:rStyle w:val="FootnoteReference"/>
        </w:rPr>
        <w:footnoteReference w:id="490"/>
      </w:r>
    </w:p>
    <w:p w14:paraId="6E5EB246" w14:textId="4374A278" w:rsidR="004A1C14" w:rsidRDefault="00253B28" w:rsidP="004A1C14">
      <w:pPr>
        <w:pStyle w:val="ParaNum"/>
      </w:pPr>
      <w:r w:rsidRPr="00C1772A">
        <w:rPr>
          <w:i/>
        </w:rPr>
        <w:t>Discussion</w:t>
      </w:r>
      <w:r>
        <w:t>.  We require</w:t>
      </w:r>
      <w:r w:rsidRPr="00277E20">
        <w:t xml:space="preserve"> </w:t>
      </w:r>
      <w:r>
        <w:t xml:space="preserve">all </w:t>
      </w:r>
      <w:r w:rsidRPr="00277E20">
        <w:t xml:space="preserve">CMRS providers </w:t>
      </w:r>
      <w:r>
        <w:t>to</w:t>
      </w:r>
      <w:r w:rsidRPr="00277E20">
        <w:t xml:space="preserve"> </w:t>
      </w:r>
      <w:r>
        <w:t>collect</w:t>
      </w:r>
      <w:r w:rsidRPr="00277E20">
        <w:t xml:space="preserve"> </w:t>
      </w:r>
      <w:r>
        <w:t>and retain for two years 911</w:t>
      </w:r>
      <w:r w:rsidRPr="00277E20">
        <w:t xml:space="preserve"> call tracking data </w:t>
      </w:r>
      <w:r>
        <w:t xml:space="preserve">for all wireless 911 calls placed on their networks.  This requirement is separate from, and in addition to, the provisions for quarterly reporting of live call data by CMRS providers in the six test cities as discussed in Section </w:t>
      </w:r>
      <w:r>
        <w:fldChar w:fldCharType="begin"/>
      </w:r>
      <w:r>
        <w:instrText xml:space="preserve"> REF _Ref408486411 \w \h </w:instrText>
      </w:r>
      <w:r>
        <w:fldChar w:fldCharType="separate"/>
      </w:r>
      <w:r w:rsidR="005E367B">
        <w:t>III.B.5.b</w:t>
      </w:r>
      <w:r>
        <w:fldChar w:fldCharType="end"/>
      </w:r>
      <w:r>
        <w:t xml:space="preserve"> above</w:t>
      </w:r>
      <w:r w:rsidR="005C620B">
        <w:t>, though for CMRS providers in the six test cities, some of the data will overlap</w:t>
      </w:r>
      <w:r>
        <w:t xml:space="preserve">.  Aside from those quarterly </w:t>
      </w:r>
      <w:r w:rsidR="005C620B">
        <w:t xml:space="preserve">aggregate </w:t>
      </w:r>
      <w:r>
        <w:t xml:space="preserve">reporting requirements, we do not require CMRS providers to report general call tracking data.  However, upon request of a PSAP within a CMRS provider’s service area, the CMRS provider must provide the PSAP with call tracking data for </w:t>
      </w:r>
      <w:r w:rsidR="005C620B">
        <w:t xml:space="preserve">all </w:t>
      </w:r>
      <w:r>
        <w:t>911 calls delivered to that PSAP</w:t>
      </w:r>
      <w:r w:rsidRPr="00277E20">
        <w:t>.</w:t>
      </w:r>
      <w:r>
        <w:rPr>
          <w:rStyle w:val="FootnoteReference"/>
        </w:rPr>
        <w:footnoteReference w:id="491"/>
      </w:r>
      <w:r>
        <w:t xml:space="preserve">  </w:t>
      </w:r>
      <w:r w:rsidR="00D237BC">
        <w:t>T</w:t>
      </w:r>
      <w:r>
        <w:t>he call tracking data should include, but need not be limited to: (1) the date, time, and length of each call; (2) the class of service of the call (</w:t>
      </w:r>
      <w:r w:rsidRPr="00C1772A">
        <w:rPr>
          <w:i/>
        </w:rPr>
        <w:t>i.e</w:t>
      </w:r>
      <w:r>
        <w:t>., whether a call was delivered with Phase I or Phase II information, or other type of information); (3) the percentage of calls lasting 30 seconds or more that achieved a Phase II-compliant fix;</w:t>
      </w:r>
      <w:r>
        <w:rPr>
          <w:rStyle w:val="FootnoteReference"/>
          <w:rFonts w:eastAsiaTheme="majorEastAsia"/>
        </w:rPr>
        <w:footnoteReference w:id="492"/>
      </w:r>
      <w:r>
        <w:t xml:space="preserve"> (4) confidence and uncertainty data for each call; and (</w:t>
      </w:r>
      <w:r w:rsidR="0066621B">
        <w:t>5</w:t>
      </w:r>
      <w:r>
        <w:t>) the positioning source method used for determining a location fix.</w:t>
      </w:r>
      <w:r>
        <w:rPr>
          <w:rStyle w:val="FootnoteReference"/>
          <w:rFonts w:eastAsiaTheme="majorEastAsia"/>
        </w:rPr>
        <w:footnoteReference w:id="493"/>
      </w:r>
      <w:r>
        <w:t xml:space="preserve">  In order to comply with this requirement and to be able to provide such data upon individual PSAP request, CMRS providers must collect data on all 911 calls throughout their service area.  Some commenters suggest that delivering this additional information in real time may be confusing to PSAP call-takers,</w:t>
      </w:r>
      <w:r>
        <w:rPr>
          <w:rStyle w:val="FootnoteReference"/>
          <w:rFonts w:eastAsiaTheme="majorEastAsia"/>
        </w:rPr>
        <w:footnoteReference w:id="494"/>
      </w:r>
      <w:r>
        <w:t xml:space="preserve"> but our requirement requires only that CMRS providers collect this information; the PSAP must request to receive some or all of the data in real time, or in the aggregate on a monthly or quarterly basis</w:t>
      </w:r>
      <w:r w:rsidR="004A1C14">
        <w:t xml:space="preserve">.   </w:t>
      </w:r>
    </w:p>
    <w:p w14:paraId="41EA223D" w14:textId="78F0E8EF" w:rsidR="00077966" w:rsidRPr="00E67762" w:rsidRDefault="004A1C14" w:rsidP="00E67762">
      <w:pPr>
        <w:pStyle w:val="ParaNum"/>
        <w:rPr>
          <w:szCs w:val="22"/>
        </w:rPr>
      </w:pPr>
      <w:bookmarkStart w:id="535" w:name="_Toc379902601"/>
      <w:bookmarkStart w:id="536" w:name="_Toc379903287"/>
      <w:bookmarkStart w:id="537" w:name="_Toc379907066"/>
      <w:bookmarkStart w:id="538" w:name="_Toc380482106"/>
      <w:bookmarkStart w:id="539" w:name="_Toc380483099"/>
      <w:bookmarkStart w:id="540" w:name="_Toc380569172"/>
      <w:bookmarkStart w:id="541" w:name="_Toc380580360"/>
      <w:bookmarkStart w:id="542" w:name="_Toc380581428"/>
      <w:bookmarkStart w:id="543" w:name="_Toc380584418"/>
      <w:bookmarkStart w:id="544" w:name="_Toc380673896"/>
      <w:bookmarkStart w:id="545" w:name="_Toc402535546"/>
      <w:r>
        <w:t>In sum, our</w:t>
      </w:r>
      <w:r w:rsidRPr="005441BF">
        <w:t xml:space="preserve"> </w:t>
      </w:r>
      <w:r>
        <w:t>call tracking requirements will empower multiple stakeholders to</w:t>
      </w:r>
      <w:r w:rsidRPr="00277E20">
        <w:t xml:space="preserve"> monitor </w:t>
      </w:r>
      <w:r>
        <w:t>and ensure that location information is compliant with our E911 requirements, and will provide PSAPs and CMRS providers with an objective set of data that can help inform decision-making in the event of a service issue or dispute between the parties as to E911 compliance.</w:t>
      </w:r>
      <w:r w:rsidR="005C620B">
        <w:rPr>
          <w:rStyle w:val="FootnoteReference"/>
        </w:rPr>
        <w:footnoteReference w:id="495"/>
      </w:r>
      <w:r>
        <w:t xml:space="preserve">  In this regard, our call tracking requirement will serve to encourage transparency, accountability, and cooperation among stakeholders</w:t>
      </w:r>
      <w:r w:rsidRPr="00277E20">
        <w:t>.</w:t>
      </w:r>
      <w:r>
        <w:rPr>
          <w:rStyle w:val="FootnoteReference"/>
          <w:rFonts w:eastAsiaTheme="majorEastAsia"/>
        </w:rPr>
        <w:footnoteReference w:id="496"/>
      </w:r>
    </w:p>
    <w:p w14:paraId="4E304CE9" w14:textId="77777777" w:rsidR="004711AB" w:rsidRDefault="004711AB" w:rsidP="004711AB">
      <w:pPr>
        <w:pStyle w:val="Heading2"/>
      </w:pPr>
      <w:bookmarkStart w:id="546" w:name="_Toc406513857"/>
      <w:bookmarkStart w:id="547" w:name="_Toc408400461"/>
      <w:bookmarkStart w:id="548" w:name="_Toc408400519"/>
      <w:bookmarkStart w:id="549" w:name="_Toc408400574"/>
      <w:bookmarkStart w:id="550" w:name="_Toc408403125"/>
      <w:bookmarkStart w:id="551" w:name="_Toc408421337"/>
      <w:bookmarkStart w:id="552" w:name="_Toc407796251"/>
      <w:bookmarkStart w:id="553" w:name="_Toc408490586"/>
      <w:bookmarkStart w:id="554" w:name="_Toc408496224"/>
      <w:bookmarkStart w:id="555" w:name="_Toc408502425"/>
      <w:bookmarkStart w:id="556" w:name="_Toc410119097"/>
      <w:bookmarkStart w:id="557" w:name="_Toc410123676"/>
      <w:bookmarkStart w:id="558" w:name="_Toc410124658"/>
      <w:bookmarkStart w:id="559" w:name="_Toc410124738"/>
      <w:bookmarkStart w:id="560" w:name="_Toc410146132"/>
      <w:bookmarkStart w:id="561" w:name="_Toc410212656"/>
      <w:bookmarkStart w:id="562" w:name="_Toc410648297"/>
      <w:bookmarkStart w:id="563" w:name="_Toc378863294"/>
      <w:bookmarkStart w:id="564" w:name="_Toc378868611"/>
      <w:bookmarkStart w:id="565" w:name="_Toc379787521"/>
      <w:bookmarkStart w:id="566" w:name="_Toc379902603"/>
      <w:bookmarkStart w:id="567" w:name="_Toc379903289"/>
      <w:bookmarkStart w:id="568" w:name="_Toc379907068"/>
      <w:bookmarkStart w:id="569" w:name="_Toc380482109"/>
      <w:bookmarkStart w:id="570" w:name="_Toc380483102"/>
      <w:bookmarkStart w:id="571" w:name="_Toc380569175"/>
      <w:bookmarkStart w:id="572" w:name="_Toc380580363"/>
      <w:bookmarkStart w:id="573" w:name="_Toc380581431"/>
      <w:bookmarkStart w:id="574" w:name="_Toc380584421"/>
      <w:bookmarkStart w:id="575" w:name="_Toc380673899"/>
      <w:bookmarkStart w:id="576" w:name="_Toc402535552"/>
      <w:r w:rsidRPr="008B60AE">
        <w:t>Outdoor Compliance Testing and Reporting</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14:paraId="2E035CD0" w14:textId="4D2509BE" w:rsidR="004711AB" w:rsidRDefault="004711AB" w:rsidP="004711AB">
      <w:pPr>
        <w:pStyle w:val="ParaNum"/>
      </w:pPr>
      <w:r w:rsidRPr="003F405B">
        <w:rPr>
          <w:i/>
        </w:rPr>
        <w:t>Background</w:t>
      </w:r>
      <w:r>
        <w:t xml:space="preserve">.  In the </w:t>
      </w:r>
      <w:r w:rsidRPr="003F405B">
        <w:rPr>
          <w:i/>
        </w:rPr>
        <w:t>Third Further Notice</w:t>
      </w:r>
      <w:r>
        <w:t>, we</w:t>
      </w:r>
      <w:r w:rsidRPr="003F405B">
        <w:rPr>
          <w:i/>
        </w:rPr>
        <w:t xml:space="preserve"> </w:t>
      </w:r>
      <w:r>
        <w:t>proposed that periodic testing would be necessary as providers upgrade their networks and migrate to handset-based technologies.</w:t>
      </w:r>
      <w:r>
        <w:rPr>
          <w:rStyle w:val="FootnoteReference"/>
        </w:rPr>
        <w:footnoteReference w:id="497"/>
      </w:r>
      <w:r>
        <w:t xml:space="preserve">  We also sought comment on the recommendations set forth in CSRIC WG3’s </w:t>
      </w:r>
      <w:r w:rsidRPr="003F405B">
        <w:rPr>
          <w:i/>
        </w:rPr>
        <w:t>Outdoor Location Accuracy Report</w:t>
      </w:r>
      <w:r>
        <w:t>.</w:t>
      </w:r>
      <w:r>
        <w:rPr>
          <w:rStyle w:val="FootnoteReference"/>
        </w:rPr>
        <w:footnoteReference w:id="498"/>
      </w:r>
      <w:r>
        <w:t xml:space="preserve">  CSRIC WG3’s central recommendation was that “[a]lternative testing methods replace full compliance testing” every 24 months, using a testing scheme that rested on certain ATIS Technical Reports.</w:t>
      </w:r>
      <w:r>
        <w:rPr>
          <w:rStyle w:val="FootnoteReference"/>
        </w:rPr>
        <w:footnoteReference w:id="499"/>
      </w:r>
      <w:r>
        <w:t xml:space="preserve">  Subsequently, CSRIC IV WG1 found the “location performance with VoLTE to be slightly better than or equivalent to 2G and 3G performance</w:t>
      </w:r>
      <w:r w:rsidR="005C620B">
        <w:t>,</w:t>
      </w:r>
      <w:r>
        <w:t>” and recommended that “these expectations should be validated via the maintenance testing methodology, including representative testing or ‘spot-checking,’” as previously recommended by CSRIC WG3.</w:t>
      </w:r>
      <w:r>
        <w:rPr>
          <w:rStyle w:val="FootnoteReference"/>
        </w:rPr>
        <w:footnoteReference w:id="500"/>
      </w:r>
    </w:p>
    <w:p w14:paraId="520C6D0E" w14:textId="77777777" w:rsidR="004711AB" w:rsidRDefault="004711AB" w:rsidP="00C57F6C">
      <w:pPr>
        <w:pStyle w:val="ParaNum"/>
        <w:widowControl/>
      </w:pPr>
      <w:r>
        <w:t>Public safety commenters support the periodic testing proposal and suggest that testing requirements should cover both indoor and outdoor location accuracy performance.</w:t>
      </w:r>
      <w:r>
        <w:rPr>
          <w:rStyle w:val="FootnoteReference"/>
        </w:rPr>
        <w:footnoteReference w:id="501"/>
      </w:r>
      <w:r>
        <w:t xml:space="preserve"> </w:t>
      </w:r>
      <w:r w:rsidRPr="004A38E2">
        <w:t xml:space="preserve"> </w:t>
      </w:r>
      <w:r>
        <w:t xml:space="preserve">For instance, APCO </w:t>
      </w:r>
      <w:r w:rsidRPr="00006F5D">
        <w:t>agree</w:t>
      </w:r>
      <w:r>
        <w:t>s</w:t>
      </w:r>
      <w:r w:rsidRPr="00006F5D">
        <w:t xml:space="preserve"> with the recommendations in the CSRIC WG3 report and </w:t>
      </w:r>
      <w:r>
        <w:t>“</w:t>
      </w:r>
      <w:r w:rsidRPr="00006F5D">
        <w:t>urg</w:t>
      </w:r>
      <w:r>
        <w:t>[ed]</w:t>
      </w:r>
      <w:r w:rsidRPr="00006F5D">
        <w:t xml:space="preserve"> the Commission to adopt appropriate rules to implement those recommendations.”</w:t>
      </w:r>
      <w:r>
        <w:rPr>
          <w:rStyle w:val="FootnoteReference"/>
        </w:rPr>
        <w:footnoteReference w:id="502"/>
      </w:r>
      <w:r>
        <w:t xml:space="preserve"> </w:t>
      </w:r>
    </w:p>
    <w:p w14:paraId="41C09597" w14:textId="20F38DAD" w:rsidR="004711AB" w:rsidRDefault="004711AB" w:rsidP="004711AB">
      <w:pPr>
        <w:pStyle w:val="ParaNum"/>
      </w:pPr>
      <w:r>
        <w:t>CMRS providers oppose the Commission’s proposal as costly and unnecessary.</w:t>
      </w:r>
      <w:r>
        <w:rPr>
          <w:rStyle w:val="FootnoteReference"/>
        </w:rPr>
        <w:footnoteReference w:id="503"/>
      </w:r>
      <w:r>
        <w:t xml:space="preserve">  For example, RWA and CCA oppose periodic testing as burdensome on small rural </w:t>
      </w:r>
      <w:r w:rsidR="00DD4106">
        <w:t>CMRS providers</w:t>
      </w:r>
      <w:r>
        <w:t>.</w:t>
      </w:r>
      <w:r>
        <w:rPr>
          <w:rStyle w:val="FootnoteReference"/>
        </w:rPr>
        <w:footnoteReference w:id="504"/>
      </w:r>
      <w:r>
        <w:t xml:space="preserve">  However, both RWA and CCA submit that periodic testing is appropriate in case of substantial network changes.</w:t>
      </w:r>
      <w:r>
        <w:rPr>
          <w:rStyle w:val="FootnoteReference"/>
        </w:rPr>
        <w:footnoteReference w:id="505"/>
      </w:r>
      <w:r>
        <w:t xml:space="preserve"> </w:t>
      </w:r>
    </w:p>
    <w:p w14:paraId="1437A417" w14:textId="3A8EDC8C" w:rsidR="004711AB" w:rsidRDefault="004711AB" w:rsidP="004711AB">
      <w:pPr>
        <w:pStyle w:val="ParaNum"/>
      </w:pPr>
      <w:r w:rsidRPr="002C57A6">
        <w:rPr>
          <w:i/>
        </w:rPr>
        <w:t>Discussion</w:t>
      </w:r>
      <w:r>
        <w:t xml:space="preserve">.  We believe that conducting periodic testing continues to be </w:t>
      </w:r>
      <w:r w:rsidR="00722C62">
        <w:t xml:space="preserve">appropriate </w:t>
      </w:r>
      <w:r>
        <w:t>to ensure compliance with outdoor location accuracy parameters.  CMRS providers’ efforts to measure for</w:t>
      </w:r>
      <w:r w:rsidR="00CB5F2A">
        <w:t>,</w:t>
      </w:r>
      <w:r>
        <w:t xml:space="preserve"> and ensure continuing compliance with</w:t>
      </w:r>
      <w:r w:rsidR="00CB5F2A">
        <w:t>,</w:t>
      </w:r>
      <w:r>
        <w:t xml:space="preserve"> the Commission’s outdoor-based location accuracy requirements are critical to public safety, particularly as new networks and technologies are implemented.</w:t>
      </w:r>
      <w:r>
        <w:rPr>
          <w:rStyle w:val="FootnoteReference"/>
        </w:rPr>
        <w:footnoteReference w:id="506"/>
      </w:r>
      <w:r>
        <w:t xml:space="preserve">  Further, we find that periodic testing </w:t>
      </w:r>
      <w:r w:rsidR="00CB5F2A">
        <w:t>will</w:t>
      </w:r>
      <w:r>
        <w:t xml:space="preserve"> support the reporting of outdoor call data that is included in the Roadmap as part of the live call data.</w:t>
      </w:r>
      <w:r>
        <w:rPr>
          <w:rStyle w:val="FootnoteReference"/>
        </w:rPr>
        <w:footnoteReference w:id="507"/>
      </w:r>
      <w:r>
        <w:t xml:space="preserve">   Because CMRS providers will blend </w:t>
      </w:r>
      <w:r w:rsidR="005C620B">
        <w:t>all 911</w:t>
      </w:r>
      <w:r>
        <w:t xml:space="preserve"> call data, CMRS providers should incorporate an approach to test for compliance with the current outdoor-based location accuracy standards.  For instance, CMRS providers may need to undertake drive testing in certain counties or PSAP service areas where they have migrated to VoLTE and that are outside the six test regions.</w:t>
      </w:r>
      <w:r>
        <w:rPr>
          <w:rStyle w:val="FootnoteReference"/>
        </w:rPr>
        <w:footnoteReference w:id="508"/>
      </w:r>
    </w:p>
    <w:p w14:paraId="359EBEDA" w14:textId="15AFB144" w:rsidR="004711AB" w:rsidRDefault="004711AB" w:rsidP="004711AB">
      <w:pPr>
        <w:pStyle w:val="ParaNum"/>
      </w:pPr>
      <w:r>
        <w:t xml:space="preserve">While we do not codify any particular approach, we find that the ongoing maintenance testing framework set forth in the CSRIC III WG3 and CSRIC IV WG1 recommendations provides a reasonable and adequate basis for ensuring continued compliance with our E911 location accuracy requirements.  </w:t>
      </w:r>
      <w:r w:rsidR="00CB5F2A" w:rsidRPr="003852D2">
        <w:t xml:space="preserve">We urge CMRS providers to undertake periodic testing to ensure continued compliance </w:t>
      </w:r>
      <w:r w:rsidR="00CB5F2A">
        <w:t>accordingly</w:t>
      </w:r>
      <w:r w:rsidR="00CB5F2A" w:rsidRPr="003852D2">
        <w:t xml:space="preserve">.  </w:t>
      </w:r>
      <w:r>
        <w:t>Moreover, such ongoing testing enables CMRS providers to implement testing protocols more efficiently and without the cost burdens associated with periodic testing pursuant to a mandatory, established timetable (</w:t>
      </w:r>
      <w:r w:rsidRPr="00EF540F">
        <w:rPr>
          <w:i/>
        </w:rPr>
        <w:t>e.g</w:t>
      </w:r>
      <w:r>
        <w:t>., every two years).</w:t>
      </w:r>
      <w:r>
        <w:rPr>
          <w:rStyle w:val="FootnoteReference"/>
        </w:rPr>
        <w:footnoteReference w:id="509"/>
      </w:r>
      <w:r>
        <w:t xml:space="preserve">   Consistent with CSRIC’s recommendations, CMRS providers should conduct testing upon any significant technology changes or upgrades to their networks, including those changes accompanying the deployment of VoLTE networks.  As CSRIC IV WG 1 emphasizes, “t</w:t>
      </w:r>
      <w:r w:rsidRPr="00EA4297">
        <w:t>he goal of maintenance testing is to identify a method that verifies continued optimal performance of E9-1-1 location systems at the local level.</w:t>
      </w:r>
      <w:r>
        <w:t>”</w:t>
      </w:r>
      <w:r>
        <w:rPr>
          <w:rStyle w:val="FootnoteReference"/>
        </w:rPr>
        <w:footnoteReference w:id="510"/>
      </w:r>
      <w:r>
        <w:t xml:space="preserve">  This recommended testing protocol includes several components, including: (1) K</w:t>
      </w:r>
      <w:r w:rsidRPr="00EA4297">
        <w:t xml:space="preserve">ey </w:t>
      </w:r>
      <w:r>
        <w:t>P</w:t>
      </w:r>
      <w:r w:rsidRPr="00EA4297">
        <w:t>erformance</w:t>
      </w:r>
      <w:r>
        <w:t xml:space="preserve"> I</w:t>
      </w:r>
      <w:r w:rsidRPr="00EA4297">
        <w:t xml:space="preserve">ndicators (KPIs) </w:t>
      </w:r>
      <w:r>
        <w:t>that “are</w:t>
      </w:r>
      <w:r w:rsidRPr="00EA4297">
        <w:t xml:space="preserve"> routinely monitored to help identify instances where </w:t>
      </w:r>
      <w:r>
        <w:t>system performance has degraded”; and (2) “[s]pot-checking using empirical field-testing . . . on an as needed basis, for example, as determined by KPI monitoring or legitimate performance concerns from a PSAP.”</w:t>
      </w:r>
      <w:r>
        <w:rPr>
          <w:rStyle w:val="FootnoteReference"/>
        </w:rPr>
        <w:footnoteReference w:id="511"/>
      </w:r>
      <w:r>
        <w:t xml:space="preserve">  We find that this emphasis on KPI testing will provide </w:t>
      </w:r>
      <w:r w:rsidR="00DD4106">
        <w:t>CMRS providers</w:t>
      </w:r>
      <w:r>
        <w:t xml:space="preserve"> with a testing approach that they can apply in a variety of circumstances.  Moreover, this ongoing testing approach provides CMRS providers with the means to validate </w:t>
      </w:r>
      <w:r w:rsidR="008C669A">
        <w:t>latency (</w:t>
      </w:r>
      <w:r>
        <w:t>TTFF</w:t>
      </w:r>
      <w:r w:rsidR="008C669A">
        <w:t>)</w:t>
      </w:r>
      <w:r>
        <w:t xml:space="preserve"> and C/U Data, as standardized in the rule changes we adopt today.</w:t>
      </w:r>
      <w:r>
        <w:rPr>
          <w:rStyle w:val="FootnoteReference"/>
        </w:rPr>
        <w:footnoteReference w:id="512"/>
      </w:r>
      <w:r>
        <w:t xml:space="preserve">   </w:t>
      </w:r>
    </w:p>
    <w:p w14:paraId="49FF6CC9" w14:textId="21484D54" w:rsidR="00C04165" w:rsidRPr="00D2329F" w:rsidRDefault="004711AB" w:rsidP="004711AB">
      <w:pPr>
        <w:pStyle w:val="ParaNum"/>
      </w:pPr>
      <w:r>
        <w:t xml:space="preserve">Finally, consistent with </w:t>
      </w:r>
      <w:r w:rsidR="00073916">
        <w:t>our views on</w:t>
      </w:r>
      <w:r>
        <w:t xml:space="preserve"> KPI testing, we are revising the Commission’s outdoor requirement for </w:t>
      </w:r>
      <w:r w:rsidR="005C620B">
        <w:t>C/U</w:t>
      </w:r>
      <w:r>
        <w:t xml:space="preserve"> data, which currently specifies that “[o]nce a carrier has established baseline confidence and uncertainty levels in a county or PSAP service area . . . additional testing shall not be required.”</w:t>
      </w:r>
      <w:r>
        <w:rPr>
          <w:rStyle w:val="FootnoteReference"/>
        </w:rPr>
        <w:footnoteReference w:id="513"/>
      </w:r>
      <w:r>
        <w:t xml:space="preserve">  We remove the language excluding additional testing.  Although </w:t>
      </w:r>
      <w:r w:rsidRPr="008815DF">
        <w:t xml:space="preserve">CSRIC III </w:t>
      </w:r>
      <w:r>
        <w:t xml:space="preserve">WG3 stated </w:t>
      </w:r>
      <w:r w:rsidRPr="008815DF">
        <w:t>that</w:t>
      </w:r>
      <w:r>
        <w:t xml:space="preserve"> </w:t>
      </w:r>
      <w:r w:rsidRPr="008815DF">
        <w:t xml:space="preserve">“[u]ncertainty estimates, when taken on average over time, can indicate a </w:t>
      </w:r>
      <w:r w:rsidRPr="008815DF">
        <w:rPr>
          <w:i/>
        </w:rPr>
        <w:t>trend</w:t>
      </w:r>
      <w:r w:rsidRPr="008815DF">
        <w:t xml:space="preserve"> that may reflect continued proper system operation or system problems</w:t>
      </w:r>
      <w:r>
        <w:t>,</w:t>
      </w:r>
      <w:r w:rsidRPr="008815DF">
        <w:t>”</w:t>
      </w:r>
      <w:r w:rsidRPr="008815DF">
        <w:rPr>
          <w:rStyle w:val="FootnoteReference"/>
        </w:rPr>
        <w:footnoteReference w:id="514"/>
      </w:r>
      <w:r>
        <w:t xml:space="preserve"> </w:t>
      </w:r>
      <w:r w:rsidRPr="008815DF">
        <w:t xml:space="preserve">CSRIC III </w:t>
      </w:r>
      <w:r>
        <w:t xml:space="preserve">WG3 </w:t>
      </w:r>
      <w:r w:rsidRPr="008815DF">
        <w:t xml:space="preserve">also noted the importance of C/U data for monitoring location accuracy as </w:t>
      </w:r>
      <w:r>
        <w:t xml:space="preserve">one </w:t>
      </w:r>
      <w:r w:rsidRPr="008815DF">
        <w:t>part of a CMRS providers testing program</w:t>
      </w:r>
      <w:r>
        <w:t xml:space="preserve"> for other KPIs</w:t>
      </w:r>
      <w:r w:rsidRPr="008815DF">
        <w:t>.</w:t>
      </w:r>
      <w:r w:rsidRPr="008815DF">
        <w:rPr>
          <w:rStyle w:val="FootnoteReference"/>
        </w:rPr>
        <w:footnoteReference w:id="515"/>
      </w:r>
      <w:r w:rsidRPr="009C16D0">
        <w:t xml:space="preserve"> </w:t>
      </w:r>
      <w:r>
        <w:t xml:space="preserve"> As discussed above, KPI testing should continue as part of CMRS providers’ best practices, along with other recommend</w:t>
      </w:r>
      <w:r w:rsidR="00397B86">
        <w:t>ed</w:t>
      </w:r>
      <w:r>
        <w:t xml:space="preserve"> testing procedures, such as spot-testing.</w:t>
      </w:r>
    </w:p>
    <w:p w14:paraId="66FD4258" w14:textId="77777777" w:rsidR="00C04165" w:rsidRPr="008B60AE" w:rsidRDefault="00C04165" w:rsidP="00C04165">
      <w:pPr>
        <w:pStyle w:val="Heading2"/>
      </w:pPr>
      <w:bookmarkStart w:id="577" w:name="_Toc406513858"/>
      <w:bookmarkStart w:id="578" w:name="_Toc380482107"/>
      <w:bookmarkStart w:id="579" w:name="_Toc380483100"/>
      <w:bookmarkStart w:id="580" w:name="_Toc380569173"/>
      <w:bookmarkStart w:id="581" w:name="_Toc380580361"/>
      <w:bookmarkStart w:id="582" w:name="_Toc380581429"/>
      <w:bookmarkStart w:id="583" w:name="_Toc380584419"/>
      <w:bookmarkStart w:id="584" w:name="_Toc380673897"/>
      <w:bookmarkStart w:id="585" w:name="_Toc402535547"/>
      <w:bookmarkStart w:id="586" w:name="_Toc408400462"/>
      <w:bookmarkStart w:id="587" w:name="_Toc408400520"/>
      <w:bookmarkStart w:id="588" w:name="_Toc408400575"/>
      <w:bookmarkStart w:id="589" w:name="_Toc408403126"/>
      <w:bookmarkStart w:id="590" w:name="_Toc408421338"/>
      <w:bookmarkStart w:id="591" w:name="_Toc407796252"/>
      <w:bookmarkStart w:id="592" w:name="_Toc408490587"/>
      <w:bookmarkStart w:id="593" w:name="_Toc408496225"/>
      <w:bookmarkStart w:id="594" w:name="_Toc408502426"/>
      <w:bookmarkStart w:id="595" w:name="_Toc410119098"/>
      <w:bookmarkStart w:id="596" w:name="_Toc410123677"/>
      <w:bookmarkStart w:id="597" w:name="_Toc410124659"/>
      <w:bookmarkStart w:id="598" w:name="_Toc410124739"/>
      <w:bookmarkStart w:id="599" w:name="_Toc410146133"/>
      <w:bookmarkStart w:id="600" w:name="_Toc410212657"/>
      <w:bookmarkStart w:id="601" w:name="_Toc410648298"/>
      <w:r w:rsidRPr="008B60AE">
        <w:t>Roaming Issues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14:paraId="1CE71651" w14:textId="77777777" w:rsidR="00C04165" w:rsidRPr="00C1044F" w:rsidRDefault="00C04165" w:rsidP="00B7262E">
      <w:pPr>
        <w:pStyle w:val="ParaNum"/>
        <w:rPr>
          <w:szCs w:val="22"/>
        </w:rPr>
      </w:pPr>
      <w:r w:rsidRPr="00C1044F">
        <w:rPr>
          <w:szCs w:val="22"/>
        </w:rPr>
        <w:t xml:space="preserve">The </w:t>
      </w:r>
      <w:r w:rsidRPr="00C1044F">
        <w:rPr>
          <w:i/>
          <w:szCs w:val="22"/>
        </w:rPr>
        <w:t>Third Further Notice</w:t>
      </w:r>
      <w:r w:rsidRPr="00C1044F">
        <w:rPr>
          <w:szCs w:val="22"/>
        </w:rPr>
        <w:t xml:space="preserve"> sought comment on whether the provision of Phase II information continues to be a concern</w:t>
      </w:r>
      <w:r>
        <w:rPr>
          <w:szCs w:val="22"/>
        </w:rPr>
        <w:t xml:space="preserve"> for consumers when they are roaming</w:t>
      </w:r>
      <w:r w:rsidRPr="00C1044F">
        <w:rPr>
          <w:szCs w:val="22"/>
        </w:rPr>
        <w:t>, or whether this concern has been addressed by the evolution of location technology.</w:t>
      </w:r>
      <w:r>
        <w:rPr>
          <w:rStyle w:val="FootnoteReference"/>
          <w:szCs w:val="22"/>
        </w:rPr>
        <w:footnoteReference w:id="516"/>
      </w:r>
      <w:r w:rsidRPr="00C1044F">
        <w:rPr>
          <w:szCs w:val="22"/>
        </w:rPr>
        <w:t xml:space="preserve">  Specifically, </w:t>
      </w:r>
      <w:r>
        <w:rPr>
          <w:szCs w:val="22"/>
        </w:rPr>
        <w:t>we</w:t>
      </w:r>
      <w:r w:rsidRPr="00C1044F">
        <w:rPr>
          <w:szCs w:val="22"/>
        </w:rPr>
        <w:t xml:space="preserve"> invited comment on </w:t>
      </w:r>
      <w:r>
        <w:rPr>
          <w:szCs w:val="22"/>
        </w:rPr>
        <w:t xml:space="preserve">whether the </w:t>
      </w:r>
      <w:r w:rsidRPr="00C1044F">
        <w:rPr>
          <w:szCs w:val="22"/>
        </w:rPr>
        <w:t xml:space="preserve">implementation of our indoor location proposals </w:t>
      </w:r>
      <w:r>
        <w:rPr>
          <w:szCs w:val="22"/>
        </w:rPr>
        <w:t xml:space="preserve">would </w:t>
      </w:r>
      <w:r w:rsidRPr="00C1044F">
        <w:rPr>
          <w:szCs w:val="22"/>
        </w:rPr>
        <w:t>create any challenges in the roaming context that the Commission should address.</w:t>
      </w:r>
      <w:r>
        <w:rPr>
          <w:rStyle w:val="FootnoteReference"/>
          <w:szCs w:val="22"/>
        </w:rPr>
        <w:footnoteReference w:id="517"/>
      </w:r>
      <w:r w:rsidRPr="00C1044F">
        <w:rPr>
          <w:szCs w:val="22"/>
        </w:rPr>
        <w:t xml:space="preserve"> </w:t>
      </w:r>
      <w:r>
        <w:rPr>
          <w:szCs w:val="22"/>
        </w:rPr>
        <w:t xml:space="preserve"> </w:t>
      </w:r>
      <w:r w:rsidRPr="00C1044F">
        <w:rPr>
          <w:szCs w:val="22"/>
        </w:rPr>
        <w:t>The few comments filed generally indicate that</w:t>
      </w:r>
      <w:r>
        <w:rPr>
          <w:szCs w:val="22"/>
        </w:rPr>
        <w:t xml:space="preserve"> the migration to VoLTE networks should </w:t>
      </w:r>
      <w:r w:rsidRPr="00C1044F">
        <w:rPr>
          <w:szCs w:val="22"/>
        </w:rPr>
        <w:t>resolve the roaming issue because</w:t>
      </w:r>
      <w:r>
        <w:rPr>
          <w:szCs w:val="22"/>
        </w:rPr>
        <w:t xml:space="preserve"> i</w:t>
      </w:r>
      <w:r w:rsidRPr="00C1044F">
        <w:rPr>
          <w:szCs w:val="22"/>
        </w:rPr>
        <w:t>t is probable “that all emergency calls (routing and location) will either be handled by the visited network or through a location roaming scenario.”</w:t>
      </w:r>
      <w:r>
        <w:rPr>
          <w:rStyle w:val="FootnoteReference"/>
          <w:szCs w:val="22"/>
        </w:rPr>
        <w:footnoteReference w:id="518"/>
      </w:r>
      <w:r w:rsidRPr="00C1044F">
        <w:rPr>
          <w:szCs w:val="22"/>
        </w:rPr>
        <w:t xml:space="preserve"> </w:t>
      </w:r>
      <w:r>
        <w:rPr>
          <w:szCs w:val="22"/>
        </w:rPr>
        <w:t xml:space="preserve"> </w:t>
      </w:r>
      <w:r w:rsidRPr="00C1044F">
        <w:rPr>
          <w:szCs w:val="22"/>
        </w:rPr>
        <w:t>As TruePosition submits, “it is entirely likely that complementary technologies will exist and operate side-by-side in a given city, town or county.”</w:t>
      </w:r>
      <w:r>
        <w:rPr>
          <w:rStyle w:val="FootnoteReference"/>
          <w:szCs w:val="22"/>
        </w:rPr>
        <w:footnoteReference w:id="519"/>
      </w:r>
      <w:r w:rsidRPr="00C1044F">
        <w:rPr>
          <w:szCs w:val="22"/>
        </w:rPr>
        <w:t xml:space="preserve">  </w:t>
      </w:r>
    </w:p>
    <w:p w14:paraId="684FEDED" w14:textId="77777777" w:rsidR="00C04165" w:rsidRPr="00CF5301" w:rsidRDefault="00C04165" w:rsidP="00C04165">
      <w:pPr>
        <w:pStyle w:val="ParaNum"/>
      </w:pPr>
      <w:r>
        <w:t xml:space="preserve">After considering the views of the commenters, </w:t>
      </w:r>
      <w:r w:rsidRPr="00C1044F">
        <w:t xml:space="preserve">we </w:t>
      </w:r>
      <w:r>
        <w:t xml:space="preserve">refrain from taking action with respect to roaming at this time.  We believe the better course is to </w:t>
      </w:r>
      <w:r w:rsidRPr="00C1044F">
        <w:t xml:space="preserve">monitor </w:t>
      </w:r>
      <w:r>
        <w:t xml:space="preserve">progress on </w:t>
      </w:r>
      <w:r w:rsidRPr="00C1044F">
        <w:t xml:space="preserve">the roaming issue </w:t>
      </w:r>
      <w:r>
        <w:t>as CMRS providers fully deploy VoLTE, and to examine any problems that may arise during this implementation process.  We reserve the right to take action in the future, if necessary, to ensure that accurate location information is provided for wireless calls to 911 while roaming.</w:t>
      </w:r>
    </w:p>
    <w:p w14:paraId="5D678865" w14:textId="77777777" w:rsidR="00523517" w:rsidRPr="008B60AE" w:rsidRDefault="008D0E87" w:rsidP="004B617B">
      <w:pPr>
        <w:pStyle w:val="Heading1"/>
        <w:rPr>
          <w:rFonts w:ascii="Times New Roman" w:hAnsi="Times New Roman"/>
          <w:szCs w:val="22"/>
        </w:rPr>
      </w:pPr>
      <w:bookmarkStart w:id="602" w:name="_Toc406513859"/>
      <w:bookmarkStart w:id="603" w:name="_Toc408400463"/>
      <w:bookmarkStart w:id="604" w:name="_Toc408400521"/>
      <w:bookmarkStart w:id="605" w:name="_Toc408400576"/>
      <w:bookmarkStart w:id="606" w:name="_Toc408403127"/>
      <w:bookmarkStart w:id="607" w:name="_Toc408421339"/>
      <w:bookmarkStart w:id="608" w:name="_Toc408490588"/>
      <w:bookmarkStart w:id="609" w:name="_Toc408496226"/>
      <w:bookmarkStart w:id="610" w:name="_Toc408502427"/>
      <w:bookmarkStart w:id="611" w:name="_Toc410119099"/>
      <w:bookmarkStart w:id="612" w:name="_Toc410123678"/>
      <w:bookmarkStart w:id="613" w:name="_Toc410124660"/>
      <w:bookmarkStart w:id="614" w:name="_Toc410124740"/>
      <w:bookmarkStart w:id="615" w:name="_Toc410146134"/>
      <w:bookmarkStart w:id="616" w:name="_Toc410212658"/>
      <w:bookmarkStart w:id="617" w:name="_Toc410648299"/>
      <w:r>
        <w:rPr>
          <w:rFonts w:ascii="Times New Roman" w:hAnsi="Times New Roman"/>
          <w:szCs w:val="22"/>
        </w:rPr>
        <w:t>Procedural</w:t>
      </w:r>
      <w:r w:rsidRPr="008B60AE">
        <w:rPr>
          <w:rFonts w:ascii="Times New Roman" w:hAnsi="Times New Roman"/>
          <w:szCs w:val="22"/>
        </w:rPr>
        <w:t xml:space="preserve"> </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602"/>
      <w:bookmarkEnd w:id="603"/>
      <w:bookmarkEnd w:id="604"/>
      <w:bookmarkEnd w:id="605"/>
      <w:r>
        <w:rPr>
          <w:rFonts w:ascii="Times New Roman" w:hAnsi="Times New Roman"/>
          <w:szCs w:val="22"/>
        </w:rPr>
        <w:t>Matters</w:t>
      </w:r>
      <w:bookmarkEnd w:id="606"/>
      <w:bookmarkEnd w:id="607"/>
      <w:bookmarkEnd w:id="608"/>
      <w:bookmarkEnd w:id="609"/>
      <w:bookmarkEnd w:id="610"/>
      <w:bookmarkEnd w:id="611"/>
      <w:bookmarkEnd w:id="612"/>
      <w:bookmarkEnd w:id="613"/>
      <w:bookmarkEnd w:id="614"/>
      <w:bookmarkEnd w:id="615"/>
      <w:bookmarkEnd w:id="616"/>
      <w:bookmarkEnd w:id="617"/>
    </w:p>
    <w:p w14:paraId="67E868B9" w14:textId="77777777" w:rsidR="00884E2A" w:rsidRPr="00884E2A" w:rsidRDefault="00884E2A" w:rsidP="00766233">
      <w:pPr>
        <w:pStyle w:val="Heading2"/>
      </w:pPr>
      <w:bookmarkStart w:id="618" w:name="_Toc378863297"/>
      <w:bookmarkStart w:id="619" w:name="_Toc378868614"/>
      <w:bookmarkStart w:id="620" w:name="_Toc379787524"/>
      <w:bookmarkStart w:id="621" w:name="_Toc379902606"/>
      <w:bookmarkStart w:id="622" w:name="_Toc379903292"/>
      <w:bookmarkStart w:id="623" w:name="_Toc379907071"/>
      <w:bookmarkStart w:id="624" w:name="_Toc380482112"/>
      <w:bookmarkStart w:id="625" w:name="_Toc380483105"/>
      <w:bookmarkStart w:id="626" w:name="_Toc380569178"/>
      <w:bookmarkStart w:id="627" w:name="_Toc380580366"/>
      <w:bookmarkStart w:id="628" w:name="_Toc380581434"/>
      <w:bookmarkStart w:id="629" w:name="_Toc380584424"/>
      <w:bookmarkStart w:id="630" w:name="_Toc380673902"/>
      <w:bookmarkStart w:id="631" w:name="_Toc402535555"/>
      <w:bookmarkStart w:id="632" w:name="_Toc406513862"/>
      <w:bookmarkStart w:id="633" w:name="_Toc408400464"/>
      <w:bookmarkStart w:id="634" w:name="_Toc408400522"/>
      <w:bookmarkStart w:id="635" w:name="_Toc408400577"/>
      <w:bookmarkStart w:id="636" w:name="_Toc408403128"/>
      <w:bookmarkStart w:id="637" w:name="_Toc408421340"/>
      <w:bookmarkStart w:id="638" w:name="_Toc407796254"/>
      <w:bookmarkStart w:id="639" w:name="_Toc408490589"/>
      <w:bookmarkStart w:id="640" w:name="_Toc408496227"/>
      <w:bookmarkStart w:id="641" w:name="_Toc408502428"/>
      <w:bookmarkStart w:id="642" w:name="_Toc410119100"/>
      <w:bookmarkStart w:id="643" w:name="_Toc410123679"/>
      <w:bookmarkStart w:id="644" w:name="_Toc410124661"/>
      <w:bookmarkStart w:id="645" w:name="_Toc410124741"/>
      <w:bookmarkStart w:id="646" w:name="_Toc410146135"/>
      <w:bookmarkStart w:id="647" w:name="_Toc410212659"/>
      <w:bookmarkStart w:id="648" w:name="_Toc410648300"/>
      <w:bookmarkStart w:id="649" w:name="_Toc378863295"/>
      <w:bookmarkStart w:id="650" w:name="_Toc378868612"/>
      <w:bookmarkStart w:id="651" w:name="_Toc379787522"/>
      <w:bookmarkStart w:id="652" w:name="_Toc379902604"/>
      <w:bookmarkStart w:id="653" w:name="_Toc379903290"/>
      <w:bookmarkStart w:id="654" w:name="_Toc379907069"/>
      <w:bookmarkStart w:id="655" w:name="_Toc380482110"/>
      <w:bookmarkStart w:id="656" w:name="_Toc380483103"/>
      <w:bookmarkStart w:id="657" w:name="_Toc380569176"/>
      <w:bookmarkStart w:id="658" w:name="_Toc380580364"/>
      <w:bookmarkStart w:id="659" w:name="_Toc380581432"/>
      <w:bookmarkStart w:id="660" w:name="_Toc380584422"/>
      <w:bookmarkStart w:id="661" w:name="_Toc380673900"/>
      <w:bookmarkStart w:id="662" w:name="_Toc402535553"/>
      <w:bookmarkStart w:id="663" w:name="_Toc406513860"/>
      <w:r w:rsidRPr="00884E2A">
        <w:t>Accessible Formats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14:paraId="5A067FD6" w14:textId="1C4B492A" w:rsidR="00884E2A" w:rsidRPr="00884E2A" w:rsidRDefault="00884E2A" w:rsidP="00B7262E">
      <w:pPr>
        <w:pStyle w:val="ParaNum"/>
      </w:pPr>
      <w:r w:rsidRPr="00884E2A">
        <w:t xml:space="preserve">To request materials in accessible formats for people with disabilities (braille, large print, electronic files, audio format), send an e-mail to </w:t>
      </w:r>
      <w:hyperlink r:id="rId8" w:history="1">
        <w:r w:rsidRPr="00D558A9">
          <w:rPr>
            <w:rStyle w:val="Hyperlink"/>
          </w:rPr>
          <w:t>fcc504@fcc.gov</w:t>
        </w:r>
      </w:hyperlink>
      <w:r>
        <w:t xml:space="preserve"> </w:t>
      </w:r>
      <w:r w:rsidRPr="00884E2A">
        <w:t>or call the Consumer &amp; Governmental Affairs Bureau at 202-418-0530 (voice), 202-418-0432 (</w:t>
      </w:r>
      <w:r>
        <w:t>TTY</w:t>
      </w:r>
      <w:r w:rsidRPr="00884E2A">
        <w:t>).</w:t>
      </w:r>
    </w:p>
    <w:p w14:paraId="46630D88" w14:textId="77777777" w:rsidR="00884E2A" w:rsidRPr="00884E2A" w:rsidRDefault="00884E2A" w:rsidP="00766233">
      <w:pPr>
        <w:pStyle w:val="Heading2"/>
      </w:pPr>
      <w:bookmarkStart w:id="664" w:name="_Toc378863298"/>
      <w:bookmarkStart w:id="665" w:name="_Toc378868615"/>
      <w:bookmarkStart w:id="666" w:name="_Toc379787525"/>
      <w:bookmarkStart w:id="667" w:name="_Toc379902607"/>
      <w:bookmarkStart w:id="668" w:name="_Toc379903293"/>
      <w:bookmarkStart w:id="669" w:name="_Toc379907072"/>
      <w:bookmarkStart w:id="670" w:name="_Toc380482113"/>
      <w:bookmarkStart w:id="671" w:name="_Toc380483106"/>
      <w:bookmarkStart w:id="672" w:name="_Toc380569179"/>
      <w:bookmarkStart w:id="673" w:name="_Toc380580367"/>
      <w:bookmarkStart w:id="674" w:name="_Toc380581435"/>
      <w:bookmarkStart w:id="675" w:name="_Toc380584425"/>
      <w:bookmarkStart w:id="676" w:name="_Toc380673903"/>
      <w:bookmarkStart w:id="677" w:name="_Toc402535556"/>
      <w:bookmarkStart w:id="678" w:name="_Toc406513863"/>
      <w:bookmarkStart w:id="679" w:name="_Toc408400465"/>
      <w:bookmarkStart w:id="680" w:name="_Toc408400523"/>
      <w:bookmarkStart w:id="681" w:name="_Toc408400578"/>
      <w:bookmarkStart w:id="682" w:name="_Toc408403129"/>
      <w:bookmarkStart w:id="683" w:name="_Toc408421341"/>
      <w:bookmarkStart w:id="684" w:name="_Toc407796255"/>
      <w:bookmarkStart w:id="685" w:name="_Toc408490590"/>
      <w:bookmarkStart w:id="686" w:name="_Toc408496228"/>
      <w:bookmarkStart w:id="687" w:name="_Toc408502429"/>
      <w:bookmarkStart w:id="688" w:name="_Toc410119101"/>
      <w:bookmarkStart w:id="689" w:name="_Toc410123680"/>
      <w:bookmarkStart w:id="690" w:name="_Toc410124662"/>
      <w:bookmarkStart w:id="691" w:name="_Toc410124742"/>
      <w:bookmarkStart w:id="692" w:name="_Toc410146136"/>
      <w:bookmarkStart w:id="693" w:name="_Toc410212660"/>
      <w:bookmarkStart w:id="694" w:name="_Toc410648301"/>
      <w:r w:rsidRPr="00884E2A">
        <w:t>Regulatory Flexibility Analysis</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14:paraId="610AFD9C" w14:textId="20B9AF50" w:rsidR="00884E2A" w:rsidRPr="00884E2A" w:rsidRDefault="00884E2A" w:rsidP="00B7262E">
      <w:pPr>
        <w:pStyle w:val="ParaNum"/>
      </w:pPr>
      <w:r w:rsidRPr="00884E2A">
        <w:t xml:space="preserve">As required by the Regulatory Flexibility Act of 1980, </w:t>
      </w:r>
      <w:r w:rsidRPr="00B7262E">
        <w:t>see</w:t>
      </w:r>
      <w:r w:rsidRPr="00884E2A">
        <w:t xml:space="preserve"> 5 U.S.C. § 604, the Commission has prepared a Final Regulatory Flexibility Analysis (FRFA) of the possible significant economic impact on small entities of the policies and rules addressed in this document.  The FRFA is set forth in Appendix </w:t>
      </w:r>
      <w:r w:rsidR="00AF0788">
        <w:t>C</w:t>
      </w:r>
      <w:r w:rsidRPr="00884E2A">
        <w:t>.</w:t>
      </w:r>
    </w:p>
    <w:p w14:paraId="7DB03664" w14:textId="77777777" w:rsidR="00884E2A" w:rsidRPr="00884E2A" w:rsidRDefault="00884E2A" w:rsidP="00766233">
      <w:pPr>
        <w:pStyle w:val="Heading2"/>
      </w:pPr>
      <w:bookmarkStart w:id="695" w:name="_Toc378863299"/>
      <w:bookmarkStart w:id="696" w:name="_Toc378868616"/>
      <w:bookmarkStart w:id="697" w:name="_Toc379787526"/>
      <w:bookmarkStart w:id="698" w:name="_Toc379902608"/>
      <w:bookmarkStart w:id="699" w:name="_Toc379903294"/>
      <w:bookmarkStart w:id="700" w:name="_Toc379907073"/>
      <w:bookmarkStart w:id="701" w:name="_Toc380482114"/>
      <w:bookmarkStart w:id="702" w:name="_Toc380483107"/>
      <w:bookmarkStart w:id="703" w:name="_Toc380569180"/>
      <w:bookmarkStart w:id="704" w:name="_Toc380580368"/>
      <w:bookmarkStart w:id="705" w:name="_Toc380581436"/>
      <w:bookmarkStart w:id="706" w:name="_Toc380584426"/>
      <w:bookmarkStart w:id="707" w:name="_Toc380673904"/>
      <w:bookmarkStart w:id="708" w:name="_Toc402535557"/>
      <w:bookmarkStart w:id="709" w:name="_Toc406513864"/>
      <w:bookmarkStart w:id="710" w:name="_Toc407796256"/>
      <w:bookmarkStart w:id="711" w:name="_Toc408400466"/>
      <w:bookmarkStart w:id="712" w:name="_Toc408400524"/>
      <w:bookmarkStart w:id="713" w:name="_Toc408400579"/>
      <w:bookmarkStart w:id="714" w:name="_Toc408403130"/>
      <w:bookmarkStart w:id="715" w:name="_Toc408421342"/>
      <w:bookmarkStart w:id="716" w:name="_Toc408490591"/>
      <w:bookmarkStart w:id="717" w:name="_Toc408496229"/>
      <w:bookmarkStart w:id="718" w:name="_Toc408502430"/>
      <w:bookmarkStart w:id="719" w:name="_Toc410119102"/>
      <w:bookmarkStart w:id="720" w:name="_Toc410123681"/>
      <w:bookmarkStart w:id="721" w:name="_Toc410124663"/>
      <w:bookmarkStart w:id="722" w:name="_Toc410124743"/>
      <w:bookmarkStart w:id="723" w:name="_Toc410146137"/>
      <w:bookmarkStart w:id="724" w:name="_Toc410212661"/>
      <w:bookmarkStart w:id="725" w:name="_Toc410648302"/>
      <w:r w:rsidRPr="00884E2A">
        <w:t>Paperwork Reduction Analysis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14:paraId="6C2389AB" w14:textId="10727854" w:rsidR="00884E2A" w:rsidRPr="008B60AE" w:rsidRDefault="00884E2A" w:rsidP="00884E2A">
      <w:pPr>
        <w:pStyle w:val="ParaNum"/>
        <w:tabs>
          <w:tab w:val="num" w:pos="720"/>
        </w:tabs>
        <w:rPr>
          <w:szCs w:val="22"/>
        </w:rPr>
      </w:pPr>
      <w:r w:rsidRPr="008B60AE">
        <w:rPr>
          <w:szCs w:val="22"/>
        </w:rPr>
        <w:t xml:space="preserve">This </w:t>
      </w:r>
      <w:r w:rsidRPr="008B60AE">
        <w:rPr>
          <w:i/>
          <w:szCs w:val="22"/>
        </w:rPr>
        <w:t xml:space="preserve">Fourth </w:t>
      </w:r>
      <w:r>
        <w:rPr>
          <w:i/>
          <w:szCs w:val="22"/>
        </w:rPr>
        <w:t>Report and Order</w:t>
      </w:r>
      <w:r w:rsidRPr="008B60AE">
        <w:rPr>
          <w:szCs w:val="22"/>
        </w:rPr>
        <w:t xml:space="preserve"> contains proposed new information collection requirements.  The Commission, as part of its continuing effort to reduce paperwork burdens, invites the general public and OMB to comment on the information collection requirements contained in this document, as required by </w:t>
      </w:r>
      <w:r w:rsidR="005C620B">
        <w:rPr>
          <w:szCs w:val="22"/>
        </w:rPr>
        <w:t>Paperwork Reduction Act (</w:t>
      </w:r>
      <w:r w:rsidRPr="008B60AE">
        <w:rPr>
          <w:szCs w:val="22"/>
        </w:rPr>
        <w:t>PRA</w:t>
      </w:r>
      <w:r w:rsidR="005C620B">
        <w:rPr>
          <w:szCs w:val="22"/>
        </w:rPr>
        <w:t>)</w:t>
      </w:r>
      <w:r w:rsidRPr="008B60AE">
        <w:rPr>
          <w:szCs w:val="22"/>
        </w:rPr>
        <w:t>.  In addition, pursuant to the Small Business Paperwork Relief Act of 2002,</w:t>
      </w:r>
      <w:r w:rsidRPr="008B60AE">
        <w:rPr>
          <w:rStyle w:val="FootnoteReference"/>
          <w:sz w:val="22"/>
          <w:szCs w:val="22"/>
        </w:rPr>
        <w:footnoteReference w:id="520"/>
      </w:r>
      <w:r w:rsidRPr="008B60AE">
        <w:rPr>
          <w:szCs w:val="22"/>
        </w:rPr>
        <w:t xml:space="preserve"> we seek specific comment on how we might “further reduce the information collection burden for small business concerns with fewer than 25 employees.”</w:t>
      </w:r>
      <w:r w:rsidRPr="008B60AE">
        <w:rPr>
          <w:rStyle w:val="FootnoteReference"/>
          <w:sz w:val="22"/>
          <w:szCs w:val="22"/>
        </w:rPr>
        <w:footnoteReference w:id="521"/>
      </w:r>
    </w:p>
    <w:p w14:paraId="2A656254" w14:textId="77777777" w:rsidR="00884E2A" w:rsidRPr="00884E2A" w:rsidRDefault="00884E2A" w:rsidP="00766233">
      <w:pPr>
        <w:pStyle w:val="Heading2"/>
      </w:pPr>
      <w:bookmarkStart w:id="726" w:name="_Toc407796257"/>
      <w:bookmarkStart w:id="727" w:name="_Toc408400467"/>
      <w:bookmarkStart w:id="728" w:name="_Toc408400525"/>
      <w:bookmarkStart w:id="729" w:name="_Toc408400580"/>
      <w:bookmarkStart w:id="730" w:name="_Toc408403131"/>
      <w:bookmarkStart w:id="731" w:name="_Toc408421343"/>
      <w:bookmarkStart w:id="732" w:name="_Toc408490592"/>
      <w:bookmarkStart w:id="733" w:name="_Toc408496230"/>
      <w:bookmarkStart w:id="734" w:name="_Toc408502431"/>
      <w:bookmarkStart w:id="735" w:name="_Toc410119103"/>
      <w:bookmarkStart w:id="736" w:name="_Toc410123682"/>
      <w:bookmarkStart w:id="737" w:name="_Toc410124664"/>
      <w:bookmarkStart w:id="738" w:name="_Toc410124744"/>
      <w:bookmarkStart w:id="739" w:name="_Toc410146138"/>
      <w:bookmarkStart w:id="740" w:name="_Toc410212662"/>
      <w:bookmarkStart w:id="741" w:name="_Toc410648303"/>
      <w:r w:rsidRPr="00884E2A">
        <w:t>Congressional Review Act</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14:paraId="0E79F813" w14:textId="77777777" w:rsidR="00523517" w:rsidRPr="008B60AE" w:rsidRDefault="00884E2A" w:rsidP="00766233">
      <w:pPr>
        <w:pStyle w:val="ParaNum"/>
        <w:rPr>
          <w:szCs w:val="22"/>
        </w:rPr>
      </w:pPr>
      <w:r w:rsidRPr="00884E2A">
        <w:t xml:space="preserve">The Commission will send a copy of this </w:t>
      </w:r>
      <w:r w:rsidR="005557C1" w:rsidRPr="006675CB">
        <w:rPr>
          <w:i/>
        </w:rPr>
        <w:t xml:space="preserve">Fourth </w:t>
      </w:r>
      <w:r w:rsidRPr="006675CB">
        <w:rPr>
          <w:i/>
        </w:rPr>
        <w:t>Report and Order</w:t>
      </w:r>
      <w:r w:rsidRPr="00884E2A">
        <w:t xml:space="preserve"> in a report to be sent to Congress and the Government Accountability Office pursuant to the Congressional Review Act (CRA), </w:t>
      </w:r>
      <w:r w:rsidRPr="006675CB">
        <w:rPr>
          <w:i/>
        </w:rPr>
        <w:t>see</w:t>
      </w:r>
      <w:r w:rsidRPr="00884E2A">
        <w:t xml:space="preserve"> 5 U.S.C. § 801(a)(1)(A)</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sidR="005557C1">
        <w:t>.</w:t>
      </w:r>
    </w:p>
    <w:p w14:paraId="782EB648" w14:textId="77777777" w:rsidR="00523517" w:rsidRPr="008B60AE" w:rsidRDefault="000301D0" w:rsidP="004B617B">
      <w:pPr>
        <w:pStyle w:val="Heading1"/>
        <w:rPr>
          <w:rFonts w:ascii="Times New Roman" w:hAnsi="Times New Roman"/>
          <w:b w:val="0"/>
          <w:szCs w:val="22"/>
        </w:rPr>
      </w:pPr>
      <w:bookmarkStart w:id="742" w:name="_Toc378863300"/>
      <w:bookmarkStart w:id="743" w:name="_Toc378868617"/>
      <w:bookmarkStart w:id="744" w:name="_Toc379787527"/>
      <w:bookmarkStart w:id="745" w:name="_Toc379902609"/>
      <w:bookmarkStart w:id="746" w:name="_Toc379903295"/>
      <w:bookmarkStart w:id="747" w:name="_Toc379907074"/>
      <w:bookmarkStart w:id="748" w:name="_Toc380482115"/>
      <w:bookmarkStart w:id="749" w:name="_Toc380483108"/>
      <w:bookmarkStart w:id="750" w:name="_Toc380569181"/>
      <w:bookmarkStart w:id="751" w:name="_Toc380580369"/>
      <w:bookmarkStart w:id="752" w:name="_Toc380581437"/>
      <w:bookmarkStart w:id="753" w:name="_Toc380584427"/>
      <w:bookmarkStart w:id="754" w:name="_Toc380673905"/>
      <w:bookmarkStart w:id="755" w:name="_Toc402535558"/>
      <w:bookmarkStart w:id="756" w:name="_Toc406513865"/>
      <w:bookmarkStart w:id="757" w:name="_Toc408400468"/>
      <w:bookmarkStart w:id="758" w:name="_Toc408400526"/>
      <w:bookmarkStart w:id="759" w:name="_Toc408400581"/>
      <w:bookmarkStart w:id="760" w:name="_Toc408403132"/>
      <w:bookmarkStart w:id="761" w:name="_Toc408421344"/>
      <w:bookmarkStart w:id="762" w:name="_Toc408490593"/>
      <w:bookmarkStart w:id="763" w:name="_Toc408496231"/>
      <w:bookmarkStart w:id="764" w:name="_Toc408502432"/>
      <w:bookmarkStart w:id="765" w:name="_Toc410119104"/>
      <w:bookmarkStart w:id="766" w:name="_Toc410123683"/>
      <w:bookmarkStart w:id="767" w:name="_Toc410124665"/>
      <w:bookmarkStart w:id="768" w:name="_Toc410124745"/>
      <w:bookmarkStart w:id="769" w:name="_Toc410146139"/>
      <w:bookmarkStart w:id="770" w:name="_Toc410212663"/>
      <w:bookmarkStart w:id="771" w:name="_Toc410648304"/>
      <w:r>
        <w:rPr>
          <w:rFonts w:ascii="Times New Roman" w:hAnsi="Times New Roman"/>
          <w:szCs w:val="22"/>
        </w:rPr>
        <w:t>O</w:t>
      </w:r>
      <w:r w:rsidR="00271170" w:rsidRPr="008B60AE">
        <w:rPr>
          <w:rFonts w:ascii="Times New Roman" w:hAnsi="Times New Roman"/>
          <w:szCs w:val="22"/>
        </w:rPr>
        <w:t xml:space="preserve">rdering </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r w:rsidR="00271170">
        <w:rPr>
          <w:rFonts w:ascii="Times New Roman" w:hAnsi="Times New Roman"/>
          <w:szCs w:val="22"/>
        </w:rPr>
        <w:t>C</w:t>
      </w:r>
      <w:r w:rsidR="00271170" w:rsidRPr="008B60AE">
        <w:rPr>
          <w:rFonts w:ascii="Times New Roman" w:hAnsi="Times New Roman"/>
          <w:szCs w:val="22"/>
        </w:rPr>
        <w:t>lauses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14:paraId="3313F001" w14:textId="77777777" w:rsidR="00523517" w:rsidRPr="008B60AE" w:rsidRDefault="00523517" w:rsidP="004B617B">
      <w:pPr>
        <w:pStyle w:val="ParaNum"/>
        <w:tabs>
          <w:tab w:val="num" w:pos="720"/>
        </w:tabs>
        <w:rPr>
          <w:szCs w:val="22"/>
        </w:rPr>
      </w:pPr>
      <w:r w:rsidRPr="008B60AE">
        <w:rPr>
          <w:szCs w:val="22"/>
        </w:rPr>
        <w:t xml:space="preserve">IT IS FURTHER ORDERED, pursuant to Sections 1, 2, 4(i), 7, 10, 201, 214, 222, 251(e), 301, 302, 303, 303(b), 303(r), 307, 307(a), 309, 309(j)(3), 316, 316(a), and 332, of the Communications Act of 1934, 47 U.S.C. §§ 151, 152(a), 154(i), 157, 160, 201, 214, 222, 251(e), 301, 302, 303, 303(b), 303(r), 307, 307(a), 309, 309(j)(3), 316, 316(a), 332; the Wireless Communications and Public Safety Act of 1999, Pub. L. No. 106-81, 47 U.S.C. §§ 615 note, 615, 615a, 615b; and Section 106 of the Twenty-First Century Communications and Video Accessibility Act of 2010, Pub. L. No. 111-260, 47 U.S.C. § 615c, that this </w:t>
      </w:r>
      <w:r w:rsidR="00E17177" w:rsidRPr="008B60AE">
        <w:rPr>
          <w:i/>
          <w:szCs w:val="22"/>
        </w:rPr>
        <w:t xml:space="preserve">Fourth Report and Order </w:t>
      </w:r>
      <w:r w:rsidRPr="008B60AE">
        <w:rPr>
          <w:szCs w:val="22"/>
        </w:rPr>
        <w:t>is hereby ADOPTED.</w:t>
      </w:r>
    </w:p>
    <w:p w14:paraId="1EEB15FB" w14:textId="0E875287" w:rsidR="008D0E87" w:rsidRPr="001C120C" w:rsidRDefault="008D0E87" w:rsidP="00EE2E1F">
      <w:pPr>
        <w:pStyle w:val="ParaNum"/>
        <w:widowControl/>
        <w:rPr>
          <w:szCs w:val="22"/>
        </w:rPr>
      </w:pPr>
      <w:r>
        <w:rPr>
          <w:szCs w:val="22"/>
        </w:rPr>
        <w:t>IT IS FURTHER ORDERED that Part</w:t>
      </w:r>
      <w:r w:rsidRPr="001C120C">
        <w:rPr>
          <w:szCs w:val="22"/>
        </w:rPr>
        <w:t xml:space="preserve"> </w:t>
      </w:r>
      <w:r>
        <w:rPr>
          <w:szCs w:val="22"/>
        </w:rPr>
        <w:t>20</w:t>
      </w:r>
      <w:r w:rsidRPr="001C120C">
        <w:rPr>
          <w:szCs w:val="22"/>
        </w:rPr>
        <w:t xml:space="preserve"> of the Commission’s Rules, 47 C.F.R. </w:t>
      </w:r>
      <w:r>
        <w:rPr>
          <w:szCs w:val="22"/>
        </w:rPr>
        <w:t>Part 20</w:t>
      </w:r>
      <w:r w:rsidRPr="001C120C">
        <w:rPr>
          <w:szCs w:val="22"/>
        </w:rPr>
        <w:t xml:space="preserve">, </w:t>
      </w:r>
      <w:r>
        <w:rPr>
          <w:szCs w:val="22"/>
        </w:rPr>
        <w:t>IS</w:t>
      </w:r>
      <w:r w:rsidRPr="001C120C">
        <w:rPr>
          <w:szCs w:val="22"/>
        </w:rPr>
        <w:t xml:space="preserve"> AM</w:t>
      </w:r>
      <w:r>
        <w:rPr>
          <w:szCs w:val="22"/>
        </w:rPr>
        <w:t xml:space="preserve">ENDED as specified in Appendix </w:t>
      </w:r>
      <w:r w:rsidR="00AF0788">
        <w:rPr>
          <w:szCs w:val="22"/>
        </w:rPr>
        <w:t>D</w:t>
      </w:r>
      <w:r w:rsidRPr="001C120C">
        <w:rPr>
          <w:szCs w:val="22"/>
        </w:rPr>
        <w:t>, effective 30 days after publication in the Federal Register, except that those amendments which contain new or modified information collection requirements that require approval by the Office of Management and Budget under the Paperwork Reduction Act WILL BECOME EFFECTIVE after the Commission publishes a notice in the Federal Register announcing such approval and the relevant effective date.</w:t>
      </w:r>
    </w:p>
    <w:p w14:paraId="3BB6F9D4" w14:textId="77777777" w:rsidR="008D0E87" w:rsidRPr="001C120C" w:rsidRDefault="008D0E87" w:rsidP="008D0E87">
      <w:pPr>
        <w:pStyle w:val="ParaNum"/>
        <w:rPr>
          <w:szCs w:val="22"/>
        </w:rPr>
      </w:pPr>
      <w:r w:rsidRPr="001C120C">
        <w:rPr>
          <w:szCs w:val="22"/>
        </w:rPr>
        <w:t>IT IS FURTHER ORDERED that the Final Regulatory Flexibility Analysis in Appendix C hereto IS ADOPTED.</w:t>
      </w:r>
    </w:p>
    <w:p w14:paraId="759B03F8" w14:textId="77777777" w:rsidR="008D0E87" w:rsidRPr="001C120C" w:rsidRDefault="008D0E87" w:rsidP="008D0E87">
      <w:pPr>
        <w:pStyle w:val="ParaNum"/>
        <w:rPr>
          <w:szCs w:val="22"/>
        </w:rPr>
      </w:pPr>
      <w:r w:rsidRPr="001C120C">
        <w:rPr>
          <w:szCs w:val="22"/>
        </w:rPr>
        <w:t xml:space="preserve">IT IS FURTHER ORDERED that, pursuant to Section 801(a)(1)(A) of the Congressional Review Act, 5 U.S.C. § 801(a)(1)(A), the Commission SHALL SEND a copy of this Report and Order to Congress and to the Government Accountability Office.  </w:t>
      </w:r>
    </w:p>
    <w:p w14:paraId="56F425A5" w14:textId="77777777" w:rsidR="008D0E87" w:rsidRPr="008B60AE" w:rsidRDefault="008D0E87" w:rsidP="008D0E87">
      <w:pPr>
        <w:pStyle w:val="ParaNum"/>
        <w:widowControl/>
        <w:tabs>
          <w:tab w:val="num" w:pos="720"/>
        </w:tabs>
        <w:rPr>
          <w:szCs w:val="22"/>
        </w:rPr>
      </w:pPr>
      <w:r w:rsidRPr="008B60AE">
        <w:rPr>
          <w:szCs w:val="22"/>
        </w:rPr>
        <w:t xml:space="preserve">IT IS FURTHER ORDERED that the Commission’s Consumer and Governmental Affairs Bureau, Reference Information Center, SHALL SEND a copy of </w:t>
      </w:r>
      <w:r w:rsidRPr="008B60AE">
        <w:rPr>
          <w:i/>
          <w:szCs w:val="22"/>
        </w:rPr>
        <w:t>this Fourth Report and Order</w:t>
      </w:r>
      <w:r w:rsidRPr="008B60AE">
        <w:rPr>
          <w:szCs w:val="22"/>
        </w:rPr>
        <w:t xml:space="preserve">, including the </w:t>
      </w:r>
      <w:r>
        <w:rPr>
          <w:szCs w:val="22"/>
        </w:rPr>
        <w:t>Final</w:t>
      </w:r>
      <w:r w:rsidRPr="008B60AE">
        <w:rPr>
          <w:szCs w:val="22"/>
        </w:rPr>
        <w:t xml:space="preserve"> Regulatory Flexibility Analysis, to the Chief Counsel for Advocacy of the Small Business Administration.</w:t>
      </w:r>
    </w:p>
    <w:p w14:paraId="6F552226" w14:textId="77777777" w:rsidR="00980CFD" w:rsidRPr="008B60AE" w:rsidRDefault="00980CFD" w:rsidP="004B617B">
      <w:pPr>
        <w:rPr>
          <w:szCs w:val="22"/>
        </w:rPr>
      </w:pPr>
    </w:p>
    <w:p w14:paraId="300C0BA2" w14:textId="77777777" w:rsidR="00980CFD" w:rsidRPr="008B60AE" w:rsidRDefault="00980CFD" w:rsidP="004B617B">
      <w:pPr>
        <w:rPr>
          <w:szCs w:val="22"/>
        </w:rPr>
      </w:pPr>
      <w:r w:rsidRPr="008B60AE">
        <w:rPr>
          <w:szCs w:val="22"/>
        </w:rPr>
        <w:tab/>
      </w:r>
      <w:r w:rsidRPr="008B60AE">
        <w:rPr>
          <w:szCs w:val="22"/>
        </w:rPr>
        <w:tab/>
      </w:r>
      <w:r w:rsidRPr="008B60AE">
        <w:rPr>
          <w:szCs w:val="22"/>
        </w:rPr>
        <w:tab/>
      </w:r>
      <w:r w:rsidRPr="008B60AE">
        <w:rPr>
          <w:szCs w:val="22"/>
        </w:rPr>
        <w:tab/>
      </w:r>
      <w:r w:rsidRPr="008B60AE">
        <w:rPr>
          <w:szCs w:val="22"/>
        </w:rPr>
        <w:tab/>
      </w:r>
      <w:r w:rsidRPr="008B60AE">
        <w:rPr>
          <w:szCs w:val="22"/>
        </w:rPr>
        <w:tab/>
        <w:t>FEDERAL COMMUNICATIONS COMMISSION</w:t>
      </w:r>
    </w:p>
    <w:p w14:paraId="59271B32" w14:textId="77777777" w:rsidR="00980CFD" w:rsidRPr="008B60AE" w:rsidRDefault="00980CFD" w:rsidP="004B617B">
      <w:pPr>
        <w:rPr>
          <w:szCs w:val="22"/>
        </w:rPr>
      </w:pPr>
    </w:p>
    <w:p w14:paraId="4C4B22BB" w14:textId="77777777" w:rsidR="00980CFD" w:rsidRPr="008B60AE" w:rsidRDefault="00980CFD" w:rsidP="004B617B">
      <w:pPr>
        <w:rPr>
          <w:szCs w:val="22"/>
        </w:rPr>
      </w:pPr>
    </w:p>
    <w:p w14:paraId="79804A67" w14:textId="77777777" w:rsidR="00980CFD" w:rsidRPr="008B60AE" w:rsidRDefault="00980CFD" w:rsidP="004B617B">
      <w:pPr>
        <w:rPr>
          <w:szCs w:val="22"/>
        </w:rPr>
      </w:pPr>
    </w:p>
    <w:p w14:paraId="49B355E4" w14:textId="77777777" w:rsidR="00980CFD" w:rsidRPr="008B60AE" w:rsidRDefault="00980CFD" w:rsidP="004B617B">
      <w:pPr>
        <w:rPr>
          <w:szCs w:val="22"/>
        </w:rPr>
      </w:pPr>
    </w:p>
    <w:p w14:paraId="7FF2EB0F" w14:textId="77777777" w:rsidR="00980CFD" w:rsidRPr="008B60AE" w:rsidRDefault="00980CFD" w:rsidP="004B617B">
      <w:pPr>
        <w:rPr>
          <w:szCs w:val="22"/>
        </w:rPr>
      </w:pPr>
      <w:r w:rsidRPr="008B60AE">
        <w:rPr>
          <w:szCs w:val="22"/>
        </w:rPr>
        <w:tab/>
      </w:r>
      <w:r w:rsidRPr="008B60AE">
        <w:rPr>
          <w:szCs w:val="22"/>
        </w:rPr>
        <w:tab/>
      </w:r>
      <w:r w:rsidRPr="008B60AE">
        <w:rPr>
          <w:szCs w:val="22"/>
        </w:rPr>
        <w:tab/>
      </w:r>
      <w:r w:rsidRPr="008B60AE">
        <w:rPr>
          <w:szCs w:val="22"/>
        </w:rPr>
        <w:tab/>
      </w:r>
      <w:r w:rsidRPr="008B60AE">
        <w:rPr>
          <w:szCs w:val="22"/>
        </w:rPr>
        <w:tab/>
      </w:r>
      <w:r w:rsidRPr="008B60AE">
        <w:rPr>
          <w:szCs w:val="22"/>
        </w:rPr>
        <w:tab/>
        <w:t>Marlene H. Dortch</w:t>
      </w:r>
    </w:p>
    <w:p w14:paraId="2530997C" w14:textId="77777777" w:rsidR="00980CFD" w:rsidRPr="008B60AE" w:rsidRDefault="00980CFD" w:rsidP="00005BE2">
      <w:pPr>
        <w:rPr>
          <w:szCs w:val="22"/>
        </w:rPr>
      </w:pPr>
      <w:r w:rsidRPr="008B60AE">
        <w:rPr>
          <w:szCs w:val="22"/>
        </w:rPr>
        <w:tab/>
      </w:r>
      <w:r w:rsidRPr="008B60AE">
        <w:rPr>
          <w:szCs w:val="22"/>
        </w:rPr>
        <w:tab/>
      </w:r>
      <w:r w:rsidRPr="008B60AE">
        <w:rPr>
          <w:szCs w:val="22"/>
        </w:rPr>
        <w:tab/>
      </w:r>
      <w:r w:rsidRPr="008B60AE">
        <w:rPr>
          <w:szCs w:val="22"/>
        </w:rPr>
        <w:tab/>
      </w:r>
      <w:r w:rsidRPr="008B60AE">
        <w:rPr>
          <w:szCs w:val="22"/>
        </w:rPr>
        <w:tab/>
      </w:r>
      <w:r w:rsidRPr="008B60AE">
        <w:rPr>
          <w:szCs w:val="22"/>
        </w:rPr>
        <w:tab/>
        <w:t>Secretary</w:t>
      </w:r>
    </w:p>
    <w:p w14:paraId="547CE76A" w14:textId="77777777" w:rsidR="00A61FD2" w:rsidRPr="008B60AE" w:rsidRDefault="00A61FD2" w:rsidP="004B617B">
      <w:pPr>
        <w:widowControl/>
        <w:rPr>
          <w:szCs w:val="22"/>
        </w:rPr>
      </w:pPr>
      <w:r w:rsidRPr="008B60AE">
        <w:rPr>
          <w:szCs w:val="22"/>
        </w:rPr>
        <w:br w:type="page"/>
      </w:r>
    </w:p>
    <w:p w14:paraId="56C69E48" w14:textId="77777777" w:rsidR="00345872" w:rsidRPr="008B60AE" w:rsidRDefault="00345872" w:rsidP="004B617B">
      <w:pPr>
        <w:widowControl/>
        <w:rPr>
          <w:szCs w:val="22"/>
        </w:rPr>
        <w:sectPr w:rsidR="00345872" w:rsidRPr="008B60AE">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cols w:space="720"/>
          <w:noEndnote/>
          <w:titlePg/>
          <w:docGrid w:linePitch="299"/>
        </w:sectPr>
      </w:pPr>
    </w:p>
    <w:p w14:paraId="1CB302A8" w14:textId="77777777" w:rsidR="006201F4" w:rsidRDefault="006201F4" w:rsidP="004B617B">
      <w:pPr>
        <w:jc w:val="center"/>
        <w:rPr>
          <w:b/>
          <w:szCs w:val="22"/>
        </w:rPr>
      </w:pPr>
      <w:r>
        <w:rPr>
          <w:b/>
          <w:szCs w:val="22"/>
        </w:rPr>
        <w:t>APPENDIX A</w:t>
      </w:r>
    </w:p>
    <w:p w14:paraId="1A7999FC" w14:textId="77777777" w:rsidR="006201F4" w:rsidRDefault="006201F4">
      <w:pPr>
        <w:widowControl/>
        <w:rPr>
          <w:b/>
          <w:szCs w:val="22"/>
        </w:rPr>
      </w:pPr>
    </w:p>
    <w:p w14:paraId="46151FCE" w14:textId="77777777" w:rsidR="00495058" w:rsidRDefault="00495058" w:rsidP="00495058">
      <w:pPr>
        <w:keepLines/>
        <w:jc w:val="center"/>
        <w:rPr>
          <w:b/>
          <w:szCs w:val="22"/>
        </w:rPr>
      </w:pPr>
      <w:r w:rsidRPr="00B97A01">
        <w:rPr>
          <w:b/>
          <w:szCs w:val="22"/>
        </w:rPr>
        <w:t>List of Commenters</w:t>
      </w:r>
      <w:r w:rsidR="00FC0CEB">
        <w:rPr>
          <w:b/>
          <w:szCs w:val="22"/>
          <w:vertAlign w:val="superscript"/>
        </w:rPr>
        <w:t>i</w:t>
      </w:r>
    </w:p>
    <w:p w14:paraId="3371F1B6" w14:textId="77777777" w:rsidR="00495058" w:rsidRPr="00B97A01" w:rsidRDefault="00495058" w:rsidP="00495058">
      <w:pPr>
        <w:keepLines/>
        <w:jc w:val="center"/>
        <w:rPr>
          <w:b/>
          <w:szCs w:val="22"/>
        </w:rPr>
      </w:pPr>
    </w:p>
    <w:p w14:paraId="35529EB9" w14:textId="77777777" w:rsidR="00495058" w:rsidRPr="003C54AA" w:rsidRDefault="00495058" w:rsidP="00495058">
      <w:pPr>
        <w:rPr>
          <w:szCs w:val="22"/>
        </w:rPr>
      </w:pPr>
      <w:r w:rsidRPr="00281D11">
        <w:rPr>
          <w:szCs w:val="22"/>
        </w:rPr>
        <w:t xml:space="preserve">In response to Wireless E911 Location Accuracy Requirements, </w:t>
      </w:r>
      <w:r w:rsidRPr="003C54AA">
        <w:rPr>
          <w:i/>
          <w:szCs w:val="22"/>
        </w:rPr>
        <w:t>Public Notice</w:t>
      </w:r>
      <w:r w:rsidRPr="003C54AA">
        <w:rPr>
          <w:szCs w:val="22"/>
        </w:rPr>
        <w:t xml:space="preserve">, </w:t>
      </w:r>
      <w:r w:rsidRPr="00281D11">
        <w:rPr>
          <w:szCs w:val="22"/>
        </w:rPr>
        <w:t xml:space="preserve">PS Docket No. 07-114, </w:t>
      </w:r>
      <w:r w:rsidRPr="003C54AA">
        <w:rPr>
          <w:iCs/>
          <w:szCs w:val="22"/>
          <w:shd w:val="clear" w:color="auto" w:fill="FFFFFF"/>
        </w:rPr>
        <w:t>29 FCC Rcd 3203 (rel. Mar. 28, 2014)</w:t>
      </w:r>
      <w:r w:rsidR="000420F2">
        <w:rPr>
          <w:iCs/>
          <w:szCs w:val="22"/>
          <w:shd w:val="clear" w:color="auto" w:fill="FFFFFF"/>
        </w:rPr>
        <w:t xml:space="preserve"> (seeking comment on </w:t>
      </w:r>
      <w:r w:rsidR="000420F2" w:rsidRPr="003C54AA">
        <w:rPr>
          <w:i/>
          <w:iCs/>
          <w:szCs w:val="22"/>
          <w:shd w:val="clear" w:color="auto" w:fill="FFFFFF"/>
        </w:rPr>
        <w:t>Third Further Notice</w:t>
      </w:r>
      <w:r w:rsidR="000420F2">
        <w:rPr>
          <w:iCs/>
          <w:szCs w:val="22"/>
          <w:shd w:val="clear" w:color="auto" w:fill="FFFFFF"/>
        </w:rPr>
        <w:t>)</w:t>
      </w:r>
      <w:r w:rsidRPr="003C54AA">
        <w:rPr>
          <w:iCs/>
          <w:szCs w:val="22"/>
          <w:shd w:val="clear" w:color="auto" w:fill="FFFFFF"/>
        </w:rPr>
        <w:t xml:space="preserve">; </w:t>
      </w:r>
      <w:r w:rsidRPr="003C54AA">
        <w:rPr>
          <w:i/>
          <w:iCs/>
          <w:szCs w:val="22"/>
          <w:shd w:val="clear" w:color="auto" w:fill="FFFFFF"/>
        </w:rPr>
        <w:t xml:space="preserve">Order, </w:t>
      </w:r>
      <w:r w:rsidRPr="00281D11">
        <w:rPr>
          <w:szCs w:val="22"/>
        </w:rPr>
        <w:t xml:space="preserve">PS Docket No. 07-114, </w:t>
      </w:r>
      <w:r w:rsidRPr="003C54AA">
        <w:rPr>
          <w:iCs/>
          <w:szCs w:val="22"/>
          <w:shd w:val="clear" w:color="auto" w:fill="FFFFFF"/>
        </w:rPr>
        <w:t>29 FCC Rcd 5923 (rel. Jun. 4, 2014)</w:t>
      </w:r>
      <w:r w:rsidR="000420F2">
        <w:rPr>
          <w:iCs/>
          <w:szCs w:val="22"/>
          <w:shd w:val="clear" w:color="auto" w:fill="FFFFFF"/>
        </w:rPr>
        <w:t xml:space="preserve"> (extending comment deadlines)</w:t>
      </w:r>
      <w:r w:rsidRPr="003C54AA">
        <w:rPr>
          <w:iCs/>
          <w:szCs w:val="22"/>
          <w:shd w:val="clear" w:color="auto" w:fill="FFFFFF"/>
        </w:rPr>
        <w:t>:</w:t>
      </w:r>
    </w:p>
    <w:p w14:paraId="3D9FDD40" w14:textId="77777777" w:rsidR="00495058" w:rsidRPr="00B97A01" w:rsidRDefault="00495058" w:rsidP="00495058">
      <w:pPr>
        <w:rPr>
          <w:b/>
          <w:szCs w:val="22"/>
          <w:u w:val="single"/>
        </w:rPr>
      </w:pPr>
    </w:p>
    <w:p w14:paraId="38F7A303" w14:textId="77777777" w:rsidR="0099229B" w:rsidRPr="00087138" w:rsidRDefault="0099229B" w:rsidP="0099229B">
      <w:pPr>
        <w:rPr>
          <w:szCs w:val="22"/>
        </w:rPr>
      </w:pPr>
      <w:r w:rsidRPr="00087138">
        <w:rPr>
          <w:szCs w:val="22"/>
        </w:rPr>
        <w:t xml:space="preserve">In response to Wireless E911 Location Accuracy Requirements, </w:t>
      </w:r>
      <w:r w:rsidRPr="00087138">
        <w:rPr>
          <w:i/>
          <w:szCs w:val="22"/>
        </w:rPr>
        <w:t>Public Notice</w:t>
      </w:r>
      <w:r w:rsidRPr="00087138">
        <w:rPr>
          <w:szCs w:val="22"/>
        </w:rPr>
        <w:t xml:space="preserve">, PS Docket No. 07-114, </w:t>
      </w:r>
      <w:r w:rsidRPr="00087138">
        <w:rPr>
          <w:iCs/>
          <w:szCs w:val="22"/>
          <w:shd w:val="clear" w:color="auto" w:fill="FFFFFF"/>
        </w:rPr>
        <w:t xml:space="preserve">29 FCC Rcd 3203 (rel. Mar. 28, 2014) (seeking comment on </w:t>
      </w:r>
      <w:r w:rsidRPr="00087138">
        <w:rPr>
          <w:i/>
          <w:iCs/>
          <w:szCs w:val="22"/>
          <w:shd w:val="clear" w:color="auto" w:fill="FFFFFF"/>
        </w:rPr>
        <w:t>Third Further Notice</w:t>
      </w:r>
      <w:r w:rsidRPr="00087138">
        <w:rPr>
          <w:iCs/>
          <w:szCs w:val="22"/>
          <w:shd w:val="clear" w:color="auto" w:fill="FFFFFF"/>
        </w:rPr>
        <w:t xml:space="preserve">); </w:t>
      </w:r>
      <w:r w:rsidRPr="00087138">
        <w:rPr>
          <w:i/>
          <w:iCs/>
          <w:szCs w:val="22"/>
          <w:shd w:val="clear" w:color="auto" w:fill="FFFFFF"/>
        </w:rPr>
        <w:t xml:space="preserve">Order, </w:t>
      </w:r>
      <w:r w:rsidRPr="00087138">
        <w:rPr>
          <w:szCs w:val="22"/>
        </w:rPr>
        <w:t xml:space="preserve">PS Docket No. 07-114, </w:t>
      </w:r>
      <w:r w:rsidRPr="00087138">
        <w:rPr>
          <w:iCs/>
          <w:szCs w:val="22"/>
          <w:shd w:val="clear" w:color="auto" w:fill="FFFFFF"/>
        </w:rPr>
        <w:t>29 FCC Rcd 5923 (rel. Jun. 4, 2014) (extending comment deadlines):</w:t>
      </w:r>
    </w:p>
    <w:p w14:paraId="0F357DDD" w14:textId="77777777" w:rsidR="0099229B" w:rsidRPr="00087138" w:rsidRDefault="0099229B" w:rsidP="0099229B">
      <w:pPr>
        <w:rPr>
          <w:b/>
          <w:szCs w:val="22"/>
          <w:u w:val="single"/>
        </w:rPr>
      </w:pPr>
    </w:p>
    <w:p w14:paraId="122A3D9C" w14:textId="77777777" w:rsidR="0099229B" w:rsidRPr="00087138" w:rsidRDefault="0099229B" w:rsidP="0099229B">
      <w:pPr>
        <w:rPr>
          <w:szCs w:val="22"/>
        </w:rPr>
      </w:pPr>
      <w:r w:rsidRPr="00087138">
        <w:rPr>
          <w:b/>
          <w:szCs w:val="22"/>
          <w:u w:val="single"/>
        </w:rPr>
        <w:t>Comments</w:t>
      </w:r>
      <w:r w:rsidRPr="00087138">
        <w:rPr>
          <w:szCs w:val="22"/>
        </w:rPr>
        <w:t xml:space="preserve"> </w:t>
      </w:r>
    </w:p>
    <w:p w14:paraId="798A5798" w14:textId="77777777" w:rsidR="0099229B" w:rsidRPr="00087138" w:rsidRDefault="0099229B" w:rsidP="0099229B">
      <w:pPr>
        <w:rPr>
          <w:szCs w:val="22"/>
        </w:rPr>
        <w:sectPr w:rsidR="0099229B" w:rsidRPr="00087138" w:rsidSect="0046037B">
          <w:headerReference w:type="default" r:id="rId15"/>
          <w:pgSz w:w="12240" w:h="15840"/>
          <w:pgMar w:top="1440" w:right="1440" w:bottom="1440" w:left="1440" w:header="720" w:footer="720" w:gutter="0"/>
          <w:cols w:space="720"/>
          <w:docGrid w:linePitch="360"/>
        </w:sectPr>
      </w:pPr>
    </w:p>
    <w:p w14:paraId="4B4F5ED3" w14:textId="77777777" w:rsidR="0099229B" w:rsidRPr="00087138" w:rsidRDefault="0099229B" w:rsidP="0099229B">
      <w:pPr>
        <w:rPr>
          <w:szCs w:val="22"/>
        </w:rPr>
      </w:pPr>
      <w:r w:rsidRPr="00087138">
        <w:rPr>
          <w:szCs w:val="22"/>
        </w:rPr>
        <w:t>AARP</w:t>
      </w:r>
      <w:r>
        <w:rPr>
          <w:szCs w:val="22"/>
        </w:rPr>
        <w:t>, Inc. (AARP)</w:t>
      </w:r>
    </w:p>
    <w:p w14:paraId="3EF5A130" w14:textId="77777777" w:rsidR="0099229B" w:rsidRPr="00087138" w:rsidRDefault="0099229B" w:rsidP="0099229B">
      <w:pPr>
        <w:rPr>
          <w:szCs w:val="22"/>
        </w:rPr>
      </w:pPr>
      <w:r w:rsidRPr="00087138">
        <w:rPr>
          <w:szCs w:val="22"/>
        </w:rPr>
        <w:t>Alexandra Folmer </w:t>
      </w:r>
    </w:p>
    <w:p w14:paraId="703594C9" w14:textId="77777777" w:rsidR="0099229B" w:rsidRPr="00087138" w:rsidRDefault="0099229B" w:rsidP="0099229B">
      <w:pPr>
        <w:rPr>
          <w:szCs w:val="22"/>
        </w:rPr>
      </w:pPr>
      <w:r w:rsidRPr="00087138">
        <w:rPr>
          <w:szCs w:val="22"/>
        </w:rPr>
        <w:t>Alfred Conklin </w:t>
      </w:r>
    </w:p>
    <w:p w14:paraId="5299E7DE" w14:textId="77777777" w:rsidR="0099229B" w:rsidRPr="00087138" w:rsidRDefault="0099229B" w:rsidP="0099229B">
      <w:pPr>
        <w:rPr>
          <w:szCs w:val="22"/>
        </w:rPr>
      </w:pPr>
      <w:r w:rsidRPr="00087138">
        <w:rPr>
          <w:szCs w:val="22"/>
        </w:rPr>
        <w:t>Alliance for Retired Americans</w:t>
      </w:r>
    </w:p>
    <w:p w14:paraId="75610B6F" w14:textId="77777777" w:rsidR="0099229B" w:rsidRPr="00087138" w:rsidRDefault="0099229B" w:rsidP="0099229B">
      <w:pPr>
        <w:rPr>
          <w:szCs w:val="22"/>
        </w:rPr>
      </w:pPr>
      <w:r w:rsidRPr="00087138">
        <w:rPr>
          <w:szCs w:val="22"/>
        </w:rPr>
        <w:t>Allison K</w:t>
      </w:r>
      <w:r>
        <w:rPr>
          <w:szCs w:val="22"/>
        </w:rPr>
        <w:t>.</w:t>
      </w:r>
    </w:p>
    <w:p w14:paraId="27008EB9" w14:textId="77777777" w:rsidR="0099229B" w:rsidRPr="00087138" w:rsidRDefault="0099229B" w:rsidP="0099229B">
      <w:pPr>
        <w:rPr>
          <w:szCs w:val="22"/>
        </w:rPr>
      </w:pPr>
      <w:r w:rsidRPr="00087138">
        <w:rPr>
          <w:szCs w:val="22"/>
        </w:rPr>
        <w:t>Alyssa Juliano </w:t>
      </w:r>
    </w:p>
    <w:p w14:paraId="5B700A2D" w14:textId="77777777" w:rsidR="0099229B" w:rsidRPr="00087138" w:rsidRDefault="0099229B" w:rsidP="0099229B">
      <w:pPr>
        <w:rPr>
          <w:szCs w:val="22"/>
        </w:rPr>
      </w:pPr>
      <w:r w:rsidRPr="00087138">
        <w:rPr>
          <w:szCs w:val="22"/>
        </w:rPr>
        <w:t>Alzheimer’s Association</w:t>
      </w:r>
    </w:p>
    <w:p w14:paraId="74433850" w14:textId="77777777" w:rsidR="0099229B" w:rsidRPr="00087138" w:rsidRDefault="0099229B" w:rsidP="0099229B">
      <w:pPr>
        <w:rPr>
          <w:szCs w:val="22"/>
        </w:rPr>
      </w:pPr>
      <w:r w:rsidRPr="00087138">
        <w:rPr>
          <w:szCs w:val="22"/>
        </w:rPr>
        <w:t>American Heart Association</w:t>
      </w:r>
    </w:p>
    <w:p w14:paraId="51D43857" w14:textId="77777777" w:rsidR="0099229B" w:rsidRPr="00087138" w:rsidRDefault="0099229B" w:rsidP="0099229B">
      <w:pPr>
        <w:rPr>
          <w:szCs w:val="22"/>
        </w:rPr>
      </w:pPr>
      <w:r w:rsidRPr="00087138">
        <w:rPr>
          <w:szCs w:val="22"/>
        </w:rPr>
        <w:t>Amish Dangodara </w:t>
      </w:r>
    </w:p>
    <w:p w14:paraId="5582555E" w14:textId="77777777" w:rsidR="0099229B" w:rsidRPr="00087138" w:rsidRDefault="0099229B" w:rsidP="0099229B">
      <w:pPr>
        <w:rPr>
          <w:szCs w:val="22"/>
        </w:rPr>
      </w:pPr>
      <w:r w:rsidRPr="00087138">
        <w:rPr>
          <w:szCs w:val="22"/>
        </w:rPr>
        <w:t>Andrea Schnietz </w:t>
      </w:r>
    </w:p>
    <w:p w14:paraId="0411E958" w14:textId="77777777" w:rsidR="0099229B" w:rsidRPr="00087138" w:rsidRDefault="0099229B" w:rsidP="0099229B">
      <w:pPr>
        <w:rPr>
          <w:szCs w:val="22"/>
        </w:rPr>
      </w:pPr>
      <w:r w:rsidRPr="00087138">
        <w:rPr>
          <w:szCs w:val="22"/>
        </w:rPr>
        <w:t>Andrew Anderson </w:t>
      </w:r>
    </w:p>
    <w:p w14:paraId="3E31818D" w14:textId="77777777" w:rsidR="0099229B" w:rsidRPr="00087138" w:rsidRDefault="0099229B" w:rsidP="0099229B">
      <w:pPr>
        <w:rPr>
          <w:szCs w:val="22"/>
        </w:rPr>
      </w:pPr>
      <w:r w:rsidRPr="00087138">
        <w:rPr>
          <w:szCs w:val="22"/>
        </w:rPr>
        <w:t>Angelo Salvucci, MD</w:t>
      </w:r>
    </w:p>
    <w:p w14:paraId="0C43DAFD" w14:textId="77777777" w:rsidR="0099229B" w:rsidRPr="00087138" w:rsidRDefault="0099229B" w:rsidP="0099229B">
      <w:pPr>
        <w:rPr>
          <w:szCs w:val="22"/>
        </w:rPr>
      </w:pPr>
      <w:r w:rsidRPr="00087138">
        <w:rPr>
          <w:szCs w:val="22"/>
        </w:rPr>
        <w:t>Ann Cude </w:t>
      </w:r>
    </w:p>
    <w:p w14:paraId="2234CA71" w14:textId="77777777" w:rsidR="0099229B" w:rsidRPr="00087138" w:rsidRDefault="0099229B" w:rsidP="0099229B">
      <w:pPr>
        <w:rPr>
          <w:szCs w:val="22"/>
        </w:rPr>
      </w:pPr>
      <w:r w:rsidRPr="00087138">
        <w:rPr>
          <w:szCs w:val="22"/>
        </w:rPr>
        <w:t>Anonymous</w:t>
      </w:r>
    </w:p>
    <w:p w14:paraId="5E47232C" w14:textId="77777777" w:rsidR="0099229B" w:rsidRPr="00087138" w:rsidRDefault="0099229B" w:rsidP="0099229B">
      <w:pPr>
        <w:rPr>
          <w:szCs w:val="22"/>
        </w:rPr>
      </w:pPr>
      <w:r w:rsidRPr="00087138">
        <w:rPr>
          <w:szCs w:val="22"/>
        </w:rPr>
        <w:t>Anthony Santoro </w:t>
      </w:r>
    </w:p>
    <w:p w14:paraId="6A1D2BD1" w14:textId="7AEAE4FF" w:rsidR="0099229B" w:rsidRDefault="0099229B" w:rsidP="0099229B">
      <w:pPr>
        <w:rPr>
          <w:szCs w:val="22"/>
        </w:rPr>
      </w:pPr>
      <w:r w:rsidRPr="00087138">
        <w:rPr>
          <w:szCs w:val="22"/>
        </w:rPr>
        <w:t xml:space="preserve">Association of Public-Safety Communications </w:t>
      </w:r>
    </w:p>
    <w:p w14:paraId="7C26F326" w14:textId="77777777" w:rsidR="0099229B" w:rsidRPr="00087138" w:rsidRDefault="0099229B" w:rsidP="0099229B">
      <w:pPr>
        <w:rPr>
          <w:szCs w:val="22"/>
        </w:rPr>
      </w:pPr>
      <w:r>
        <w:rPr>
          <w:szCs w:val="22"/>
        </w:rPr>
        <w:t xml:space="preserve">   </w:t>
      </w:r>
      <w:r w:rsidRPr="00087138">
        <w:rPr>
          <w:szCs w:val="22"/>
        </w:rPr>
        <w:t>Officials-International, Inc. (APCO)</w:t>
      </w:r>
    </w:p>
    <w:p w14:paraId="7D4AED2A" w14:textId="77777777" w:rsidR="0099229B" w:rsidRPr="00087138" w:rsidRDefault="0099229B" w:rsidP="0099229B">
      <w:pPr>
        <w:rPr>
          <w:szCs w:val="22"/>
        </w:rPr>
      </w:pPr>
      <w:r w:rsidRPr="00087138">
        <w:rPr>
          <w:szCs w:val="22"/>
        </w:rPr>
        <w:t>Arlene Edwards </w:t>
      </w:r>
    </w:p>
    <w:p w14:paraId="3E7967E8" w14:textId="77777777" w:rsidR="0099229B" w:rsidRPr="00087138" w:rsidRDefault="0099229B" w:rsidP="0099229B">
      <w:pPr>
        <w:rPr>
          <w:szCs w:val="22"/>
        </w:rPr>
      </w:pPr>
      <w:r w:rsidRPr="00087138">
        <w:rPr>
          <w:szCs w:val="22"/>
        </w:rPr>
        <w:t>Arnold Champlain </w:t>
      </w:r>
    </w:p>
    <w:p w14:paraId="52940EAA" w14:textId="77777777" w:rsidR="0099229B" w:rsidRPr="00087138" w:rsidRDefault="0099229B" w:rsidP="0099229B">
      <w:pPr>
        <w:rPr>
          <w:szCs w:val="22"/>
        </w:rPr>
      </w:pPr>
      <w:r w:rsidRPr="00087138">
        <w:rPr>
          <w:szCs w:val="22"/>
        </w:rPr>
        <w:t>Ashlie Bowen </w:t>
      </w:r>
    </w:p>
    <w:p w14:paraId="1503725E" w14:textId="77777777" w:rsidR="0099229B" w:rsidRPr="00087138" w:rsidRDefault="0099229B" w:rsidP="0099229B">
      <w:pPr>
        <w:rPr>
          <w:szCs w:val="22"/>
        </w:rPr>
      </w:pPr>
      <w:r w:rsidRPr="00087138">
        <w:rPr>
          <w:szCs w:val="22"/>
        </w:rPr>
        <w:t>AT&amp;T Services, Inc. (AT&amp;T)</w:t>
      </w:r>
    </w:p>
    <w:p w14:paraId="40473520" w14:textId="77777777" w:rsidR="0099229B" w:rsidRPr="00087138" w:rsidRDefault="0099229B" w:rsidP="0099229B">
      <w:pPr>
        <w:rPr>
          <w:szCs w:val="22"/>
        </w:rPr>
      </w:pPr>
      <w:r w:rsidRPr="00087138">
        <w:rPr>
          <w:szCs w:val="22"/>
        </w:rPr>
        <w:t>Bernadette House </w:t>
      </w:r>
    </w:p>
    <w:p w14:paraId="06CDD037" w14:textId="77777777" w:rsidR="0099229B" w:rsidRPr="00087138" w:rsidRDefault="0099229B" w:rsidP="0099229B">
      <w:pPr>
        <w:rPr>
          <w:szCs w:val="22"/>
        </w:rPr>
      </w:pPr>
      <w:r w:rsidRPr="00087138">
        <w:rPr>
          <w:szCs w:val="22"/>
        </w:rPr>
        <w:t>Betty Wallace </w:t>
      </w:r>
    </w:p>
    <w:p w14:paraId="20B97B50" w14:textId="77777777" w:rsidR="0099229B" w:rsidRPr="00087138" w:rsidRDefault="0099229B" w:rsidP="0099229B">
      <w:pPr>
        <w:rPr>
          <w:szCs w:val="22"/>
        </w:rPr>
      </w:pPr>
      <w:r w:rsidRPr="00087138">
        <w:rPr>
          <w:szCs w:val="22"/>
        </w:rPr>
        <w:t>Beverly Conroy </w:t>
      </w:r>
    </w:p>
    <w:p w14:paraId="06BC81C9" w14:textId="77777777" w:rsidR="0099229B" w:rsidRPr="00087138" w:rsidRDefault="0099229B" w:rsidP="0099229B">
      <w:pPr>
        <w:rPr>
          <w:szCs w:val="22"/>
        </w:rPr>
      </w:pPr>
      <w:r w:rsidRPr="00087138">
        <w:rPr>
          <w:szCs w:val="22"/>
        </w:rPr>
        <w:t>Beverly Harris </w:t>
      </w:r>
    </w:p>
    <w:p w14:paraId="08CBA7B5" w14:textId="77777777" w:rsidR="0099229B" w:rsidRPr="00087138" w:rsidRDefault="0099229B" w:rsidP="0099229B">
      <w:pPr>
        <w:rPr>
          <w:szCs w:val="22"/>
        </w:rPr>
      </w:pPr>
      <w:r w:rsidRPr="00087138">
        <w:rPr>
          <w:szCs w:val="22"/>
        </w:rPr>
        <w:t>Bill Fries </w:t>
      </w:r>
    </w:p>
    <w:p w14:paraId="07ED7A43" w14:textId="77777777" w:rsidR="0099229B" w:rsidRPr="00087138" w:rsidRDefault="0099229B" w:rsidP="0099229B">
      <w:pPr>
        <w:rPr>
          <w:szCs w:val="22"/>
        </w:rPr>
      </w:pPr>
      <w:r w:rsidRPr="00087138">
        <w:rPr>
          <w:szCs w:val="22"/>
        </w:rPr>
        <w:t>Blooston Rural Carriers</w:t>
      </w:r>
    </w:p>
    <w:p w14:paraId="3C7815F6" w14:textId="77777777" w:rsidR="0099229B" w:rsidRPr="00087138" w:rsidRDefault="0099229B" w:rsidP="0099229B">
      <w:pPr>
        <w:rPr>
          <w:szCs w:val="22"/>
        </w:rPr>
      </w:pPr>
      <w:r w:rsidRPr="00087138">
        <w:rPr>
          <w:szCs w:val="22"/>
        </w:rPr>
        <w:t>Bobby Robertson </w:t>
      </w:r>
    </w:p>
    <w:p w14:paraId="65EF4BFE" w14:textId="77777777" w:rsidR="0099229B" w:rsidRPr="00087138" w:rsidRDefault="0099229B" w:rsidP="0099229B">
      <w:pPr>
        <w:rPr>
          <w:szCs w:val="22"/>
        </w:rPr>
      </w:pPr>
      <w:r w:rsidRPr="00087138">
        <w:rPr>
          <w:szCs w:val="22"/>
        </w:rPr>
        <w:t>Bosch Sensortec</w:t>
      </w:r>
      <w:r>
        <w:rPr>
          <w:szCs w:val="22"/>
        </w:rPr>
        <w:t xml:space="preserve"> (Bosch)</w:t>
      </w:r>
    </w:p>
    <w:p w14:paraId="28433002" w14:textId="77777777" w:rsidR="0099229B" w:rsidRDefault="0099229B" w:rsidP="0099229B">
      <w:pPr>
        <w:rPr>
          <w:szCs w:val="22"/>
        </w:rPr>
      </w:pPr>
      <w:r w:rsidRPr="00087138">
        <w:rPr>
          <w:szCs w:val="22"/>
        </w:rPr>
        <w:t xml:space="preserve">Boulder Regional Emergency Telephone Service </w:t>
      </w:r>
    </w:p>
    <w:p w14:paraId="3495834F" w14:textId="77777777" w:rsidR="0099229B" w:rsidRPr="00087138" w:rsidRDefault="0099229B" w:rsidP="0099229B">
      <w:pPr>
        <w:rPr>
          <w:szCs w:val="22"/>
        </w:rPr>
      </w:pPr>
      <w:r>
        <w:rPr>
          <w:szCs w:val="22"/>
        </w:rPr>
        <w:t xml:space="preserve">   </w:t>
      </w:r>
      <w:r w:rsidRPr="00087138">
        <w:rPr>
          <w:szCs w:val="22"/>
        </w:rPr>
        <w:t>Authority (BRETSA)</w:t>
      </w:r>
    </w:p>
    <w:p w14:paraId="66DB4B95" w14:textId="77777777" w:rsidR="0099229B" w:rsidRPr="00087138" w:rsidRDefault="0099229B" w:rsidP="0099229B">
      <w:pPr>
        <w:rPr>
          <w:szCs w:val="22"/>
        </w:rPr>
      </w:pPr>
      <w:r w:rsidRPr="00087138">
        <w:rPr>
          <w:szCs w:val="22"/>
        </w:rPr>
        <w:t>Brandon Cobb </w:t>
      </w:r>
    </w:p>
    <w:p w14:paraId="05EF83D3" w14:textId="77777777" w:rsidR="0099229B" w:rsidRPr="00087138" w:rsidRDefault="0099229B" w:rsidP="0099229B">
      <w:pPr>
        <w:rPr>
          <w:szCs w:val="22"/>
        </w:rPr>
      </w:pPr>
      <w:r w:rsidRPr="00087138">
        <w:rPr>
          <w:szCs w:val="22"/>
        </w:rPr>
        <w:t>Brendhan Sears</w:t>
      </w:r>
    </w:p>
    <w:p w14:paraId="50A0F052" w14:textId="77777777" w:rsidR="0099229B" w:rsidRPr="00087138" w:rsidRDefault="0099229B" w:rsidP="0099229B">
      <w:pPr>
        <w:rPr>
          <w:szCs w:val="22"/>
        </w:rPr>
      </w:pPr>
      <w:r w:rsidRPr="00087138">
        <w:rPr>
          <w:szCs w:val="22"/>
        </w:rPr>
        <w:t>Brett Kruse </w:t>
      </w:r>
    </w:p>
    <w:p w14:paraId="49305C3F" w14:textId="77777777" w:rsidR="0099229B" w:rsidRPr="00087138" w:rsidRDefault="0099229B" w:rsidP="0099229B">
      <w:pPr>
        <w:rPr>
          <w:szCs w:val="22"/>
        </w:rPr>
      </w:pPr>
      <w:r w:rsidRPr="00087138">
        <w:rPr>
          <w:szCs w:val="22"/>
        </w:rPr>
        <w:t>Brian Schoen </w:t>
      </w:r>
    </w:p>
    <w:p w14:paraId="5F4FAA49" w14:textId="77777777" w:rsidR="0099229B" w:rsidRPr="00087138" w:rsidRDefault="0099229B" w:rsidP="0099229B">
      <w:pPr>
        <w:rPr>
          <w:szCs w:val="22"/>
        </w:rPr>
      </w:pPr>
      <w:r w:rsidRPr="00087138">
        <w:rPr>
          <w:szCs w:val="22"/>
        </w:rPr>
        <w:t>Brieanne Fluewelling </w:t>
      </w:r>
    </w:p>
    <w:p w14:paraId="0E44A4B7" w14:textId="77777777" w:rsidR="0099229B" w:rsidRPr="00087138" w:rsidRDefault="0099229B" w:rsidP="0099229B">
      <w:pPr>
        <w:rPr>
          <w:szCs w:val="22"/>
        </w:rPr>
      </w:pPr>
      <w:r w:rsidRPr="00087138">
        <w:rPr>
          <w:szCs w:val="22"/>
        </w:rPr>
        <w:t>C</w:t>
      </w:r>
      <w:r>
        <w:rPr>
          <w:szCs w:val="22"/>
        </w:rPr>
        <w:t>.</w:t>
      </w:r>
      <w:r w:rsidRPr="00087138">
        <w:rPr>
          <w:szCs w:val="22"/>
        </w:rPr>
        <w:t xml:space="preserve"> Born  </w:t>
      </w:r>
    </w:p>
    <w:p w14:paraId="7A6FAD0F" w14:textId="77777777" w:rsidR="0099229B" w:rsidRPr="00087138" w:rsidRDefault="0099229B" w:rsidP="0099229B">
      <w:pPr>
        <w:rPr>
          <w:szCs w:val="22"/>
          <w:lang w:val="es-ES"/>
        </w:rPr>
      </w:pPr>
      <w:r w:rsidRPr="00087138">
        <w:rPr>
          <w:szCs w:val="22"/>
          <w:lang w:val="es-ES"/>
        </w:rPr>
        <w:t>California NENA (CALNENA)</w:t>
      </w:r>
    </w:p>
    <w:p w14:paraId="294F1B93" w14:textId="77777777" w:rsidR="0099229B" w:rsidRPr="00087138" w:rsidRDefault="0099229B" w:rsidP="0099229B">
      <w:pPr>
        <w:rPr>
          <w:szCs w:val="22"/>
          <w:lang w:val="es-ES"/>
        </w:rPr>
      </w:pPr>
      <w:r w:rsidRPr="00087138">
        <w:rPr>
          <w:szCs w:val="22"/>
          <w:lang w:val="es-ES"/>
        </w:rPr>
        <w:t>Cameron Gardin </w:t>
      </w:r>
    </w:p>
    <w:p w14:paraId="5AE1AB72" w14:textId="77777777" w:rsidR="0099229B" w:rsidRPr="004C29B5" w:rsidRDefault="0099229B" w:rsidP="0099229B">
      <w:pPr>
        <w:rPr>
          <w:lang w:val="es-ES"/>
        </w:rPr>
      </w:pPr>
      <w:r w:rsidRPr="004C29B5">
        <w:rPr>
          <w:lang w:val="es-ES"/>
        </w:rPr>
        <w:t>Carol Glaws </w:t>
      </w:r>
    </w:p>
    <w:p w14:paraId="1E7B1479" w14:textId="77777777" w:rsidR="0099229B" w:rsidRPr="00087138" w:rsidRDefault="0099229B" w:rsidP="0099229B">
      <w:pPr>
        <w:rPr>
          <w:szCs w:val="22"/>
        </w:rPr>
      </w:pPr>
      <w:r w:rsidRPr="00087138">
        <w:rPr>
          <w:szCs w:val="22"/>
        </w:rPr>
        <w:t>Cassandra Braswell </w:t>
      </w:r>
    </w:p>
    <w:p w14:paraId="72CD3A8C" w14:textId="77777777" w:rsidR="0099229B" w:rsidRPr="00087138" w:rsidRDefault="0099229B" w:rsidP="0099229B">
      <w:pPr>
        <w:rPr>
          <w:szCs w:val="22"/>
        </w:rPr>
      </w:pPr>
      <w:r w:rsidRPr="00087138">
        <w:rPr>
          <w:szCs w:val="22"/>
        </w:rPr>
        <w:t>Chantelle Tait </w:t>
      </w:r>
    </w:p>
    <w:p w14:paraId="464C0FD5" w14:textId="77777777" w:rsidR="0099229B" w:rsidRPr="00087138" w:rsidRDefault="0099229B" w:rsidP="0099229B">
      <w:pPr>
        <w:rPr>
          <w:szCs w:val="22"/>
        </w:rPr>
      </w:pPr>
      <w:r w:rsidRPr="00087138">
        <w:rPr>
          <w:szCs w:val="22"/>
        </w:rPr>
        <w:t>Charles Daniels </w:t>
      </w:r>
    </w:p>
    <w:p w14:paraId="6F084BB2" w14:textId="77777777" w:rsidR="0099229B" w:rsidRPr="00087138" w:rsidRDefault="0099229B" w:rsidP="0099229B">
      <w:pPr>
        <w:rPr>
          <w:szCs w:val="22"/>
        </w:rPr>
      </w:pPr>
      <w:r w:rsidRPr="00087138">
        <w:rPr>
          <w:szCs w:val="22"/>
        </w:rPr>
        <w:t>Charles Udriet </w:t>
      </w:r>
    </w:p>
    <w:p w14:paraId="2C4CEC64" w14:textId="77777777" w:rsidR="0099229B" w:rsidRPr="00087138" w:rsidRDefault="0099229B" w:rsidP="0099229B">
      <w:pPr>
        <w:rPr>
          <w:szCs w:val="22"/>
        </w:rPr>
      </w:pPr>
      <w:r w:rsidRPr="00087138">
        <w:rPr>
          <w:szCs w:val="22"/>
        </w:rPr>
        <w:t>Charlotte Benton </w:t>
      </w:r>
    </w:p>
    <w:p w14:paraId="1E159491" w14:textId="77777777" w:rsidR="0099229B" w:rsidRPr="00087138" w:rsidRDefault="0099229B" w:rsidP="0099229B">
      <w:pPr>
        <w:rPr>
          <w:szCs w:val="22"/>
        </w:rPr>
      </w:pPr>
      <w:r w:rsidRPr="00087138">
        <w:rPr>
          <w:szCs w:val="22"/>
        </w:rPr>
        <w:t xml:space="preserve">Cherryl Askew  </w:t>
      </w:r>
    </w:p>
    <w:p w14:paraId="3CF14928" w14:textId="77777777" w:rsidR="0099229B" w:rsidRPr="00087138" w:rsidRDefault="0099229B" w:rsidP="0099229B">
      <w:pPr>
        <w:rPr>
          <w:szCs w:val="22"/>
        </w:rPr>
      </w:pPr>
      <w:r w:rsidRPr="00087138">
        <w:rPr>
          <w:szCs w:val="22"/>
        </w:rPr>
        <w:t>Chris Kargl </w:t>
      </w:r>
    </w:p>
    <w:p w14:paraId="0F904C24" w14:textId="77777777" w:rsidR="0099229B" w:rsidRPr="00087138" w:rsidRDefault="0099229B" w:rsidP="0099229B">
      <w:pPr>
        <w:rPr>
          <w:szCs w:val="22"/>
        </w:rPr>
      </w:pPr>
      <w:r w:rsidRPr="00087138">
        <w:rPr>
          <w:szCs w:val="22"/>
        </w:rPr>
        <w:t>Christa Laub </w:t>
      </w:r>
    </w:p>
    <w:p w14:paraId="2DC5B4EE" w14:textId="77777777" w:rsidR="0099229B" w:rsidRPr="00087138" w:rsidRDefault="0099229B" w:rsidP="0099229B">
      <w:pPr>
        <w:rPr>
          <w:szCs w:val="22"/>
        </w:rPr>
      </w:pPr>
      <w:r w:rsidRPr="00087138">
        <w:rPr>
          <w:szCs w:val="22"/>
        </w:rPr>
        <w:t>Christina Mendrinos </w:t>
      </w:r>
    </w:p>
    <w:p w14:paraId="14BADC9D" w14:textId="77777777" w:rsidR="0099229B" w:rsidRPr="00087138" w:rsidRDefault="0099229B" w:rsidP="0099229B">
      <w:pPr>
        <w:rPr>
          <w:szCs w:val="22"/>
        </w:rPr>
      </w:pPr>
      <w:r w:rsidRPr="00087138">
        <w:rPr>
          <w:szCs w:val="22"/>
        </w:rPr>
        <w:t>Christine Alvarado </w:t>
      </w:r>
    </w:p>
    <w:p w14:paraId="5FAE37D1" w14:textId="77777777" w:rsidR="0099229B" w:rsidRPr="00087138" w:rsidRDefault="0099229B" w:rsidP="0099229B">
      <w:pPr>
        <w:rPr>
          <w:szCs w:val="22"/>
        </w:rPr>
      </w:pPr>
      <w:r w:rsidRPr="00087138">
        <w:rPr>
          <w:szCs w:val="22"/>
        </w:rPr>
        <w:t>Christine Carbone </w:t>
      </w:r>
    </w:p>
    <w:p w14:paraId="39A04363" w14:textId="77777777" w:rsidR="0099229B" w:rsidRPr="00087138" w:rsidRDefault="0099229B" w:rsidP="0099229B">
      <w:pPr>
        <w:rPr>
          <w:szCs w:val="22"/>
        </w:rPr>
      </w:pPr>
      <w:r w:rsidRPr="00087138">
        <w:rPr>
          <w:szCs w:val="22"/>
        </w:rPr>
        <w:t>Cindy Guarnieri </w:t>
      </w:r>
    </w:p>
    <w:p w14:paraId="54460D79" w14:textId="77777777" w:rsidR="0099229B" w:rsidRPr="00087138" w:rsidRDefault="0099229B" w:rsidP="0099229B">
      <w:pPr>
        <w:rPr>
          <w:szCs w:val="22"/>
        </w:rPr>
      </w:pPr>
      <w:r w:rsidRPr="00087138">
        <w:rPr>
          <w:szCs w:val="22"/>
        </w:rPr>
        <w:t>Cindy Thies </w:t>
      </w:r>
    </w:p>
    <w:p w14:paraId="1E7FB300" w14:textId="77777777" w:rsidR="0099229B" w:rsidRPr="00087138" w:rsidRDefault="0099229B" w:rsidP="0099229B">
      <w:pPr>
        <w:rPr>
          <w:szCs w:val="22"/>
        </w:rPr>
      </w:pPr>
      <w:r w:rsidRPr="00087138">
        <w:rPr>
          <w:szCs w:val="22"/>
        </w:rPr>
        <w:t>Cisco Systems, Inc. (Cisco)</w:t>
      </w:r>
    </w:p>
    <w:p w14:paraId="2402CAE3" w14:textId="77777777" w:rsidR="0099229B" w:rsidRPr="00087138" w:rsidRDefault="0099229B" w:rsidP="0099229B">
      <w:pPr>
        <w:rPr>
          <w:szCs w:val="22"/>
        </w:rPr>
      </w:pPr>
      <w:r w:rsidRPr="00087138">
        <w:rPr>
          <w:szCs w:val="22"/>
        </w:rPr>
        <w:t>Clair Childers </w:t>
      </w:r>
    </w:p>
    <w:p w14:paraId="1A2E2FAC" w14:textId="77777777" w:rsidR="0099229B" w:rsidRPr="00087138" w:rsidRDefault="0099229B" w:rsidP="0099229B">
      <w:pPr>
        <w:rPr>
          <w:szCs w:val="22"/>
        </w:rPr>
      </w:pPr>
      <w:r w:rsidRPr="00087138">
        <w:rPr>
          <w:szCs w:val="22"/>
        </w:rPr>
        <w:t>Cliff Berman </w:t>
      </w:r>
    </w:p>
    <w:p w14:paraId="78E79EB7" w14:textId="77777777" w:rsidR="0099229B" w:rsidRPr="00087138" w:rsidRDefault="0099229B" w:rsidP="0099229B">
      <w:pPr>
        <w:rPr>
          <w:szCs w:val="22"/>
        </w:rPr>
      </w:pPr>
      <w:r w:rsidRPr="00087138">
        <w:rPr>
          <w:szCs w:val="22"/>
        </w:rPr>
        <w:t>Competitive Carriers Association (CCA)</w:t>
      </w:r>
    </w:p>
    <w:p w14:paraId="68C0CC63" w14:textId="77777777" w:rsidR="0099229B" w:rsidRPr="00087138" w:rsidRDefault="0099229B" w:rsidP="0099229B">
      <w:pPr>
        <w:rPr>
          <w:szCs w:val="22"/>
        </w:rPr>
      </w:pPr>
      <w:r w:rsidRPr="00087138">
        <w:rPr>
          <w:szCs w:val="22"/>
        </w:rPr>
        <w:t>Corey Mock </w:t>
      </w:r>
    </w:p>
    <w:p w14:paraId="476DE02F" w14:textId="77777777" w:rsidR="0099229B" w:rsidRPr="00087138" w:rsidRDefault="0099229B" w:rsidP="0099229B">
      <w:pPr>
        <w:rPr>
          <w:szCs w:val="22"/>
        </w:rPr>
      </w:pPr>
      <w:r w:rsidRPr="00087138">
        <w:rPr>
          <w:szCs w:val="22"/>
        </w:rPr>
        <w:t>Crissy Livengood </w:t>
      </w:r>
    </w:p>
    <w:p w14:paraId="5D3E4C54" w14:textId="77777777" w:rsidR="0099229B" w:rsidRPr="00087138" w:rsidRDefault="0099229B" w:rsidP="0099229B">
      <w:pPr>
        <w:rPr>
          <w:szCs w:val="22"/>
        </w:rPr>
      </w:pPr>
      <w:r w:rsidRPr="00087138">
        <w:rPr>
          <w:szCs w:val="22"/>
        </w:rPr>
        <w:t>CTIA-The Wireless Association (CTIA)</w:t>
      </w:r>
    </w:p>
    <w:p w14:paraId="3A0329E1" w14:textId="77777777" w:rsidR="0099229B" w:rsidRPr="00087138" w:rsidRDefault="0099229B" w:rsidP="0099229B">
      <w:pPr>
        <w:rPr>
          <w:szCs w:val="22"/>
        </w:rPr>
      </w:pPr>
      <w:r w:rsidRPr="00087138">
        <w:rPr>
          <w:szCs w:val="22"/>
        </w:rPr>
        <w:t>D</w:t>
      </w:r>
      <w:r>
        <w:rPr>
          <w:szCs w:val="22"/>
        </w:rPr>
        <w:t>.</w:t>
      </w:r>
      <w:r w:rsidRPr="00087138">
        <w:rPr>
          <w:szCs w:val="22"/>
        </w:rPr>
        <w:t xml:space="preserve"> Goldsmith </w:t>
      </w:r>
    </w:p>
    <w:p w14:paraId="266A5DC7" w14:textId="77777777" w:rsidR="0099229B" w:rsidRPr="00087138" w:rsidRDefault="0099229B" w:rsidP="0099229B">
      <w:pPr>
        <w:rPr>
          <w:szCs w:val="22"/>
        </w:rPr>
      </w:pPr>
      <w:r w:rsidRPr="00087138">
        <w:rPr>
          <w:szCs w:val="22"/>
        </w:rPr>
        <w:t>Dan Simonelli </w:t>
      </w:r>
    </w:p>
    <w:p w14:paraId="599C683E" w14:textId="77777777" w:rsidR="0099229B" w:rsidRPr="00087138" w:rsidRDefault="0099229B" w:rsidP="0099229B">
      <w:pPr>
        <w:rPr>
          <w:szCs w:val="22"/>
        </w:rPr>
      </w:pPr>
      <w:r w:rsidRPr="00087138">
        <w:rPr>
          <w:szCs w:val="22"/>
        </w:rPr>
        <w:t>Daniel Hulbert </w:t>
      </w:r>
    </w:p>
    <w:p w14:paraId="60580144" w14:textId="77777777" w:rsidR="0099229B" w:rsidRPr="00087138" w:rsidRDefault="0099229B" w:rsidP="0099229B">
      <w:pPr>
        <w:rPr>
          <w:szCs w:val="22"/>
        </w:rPr>
      </w:pPr>
      <w:r w:rsidRPr="00087138">
        <w:rPr>
          <w:szCs w:val="22"/>
        </w:rPr>
        <w:t>Darren Strickland </w:t>
      </w:r>
    </w:p>
    <w:p w14:paraId="2B357960" w14:textId="77777777" w:rsidR="0099229B" w:rsidRPr="00087138" w:rsidRDefault="0099229B" w:rsidP="0099229B">
      <w:pPr>
        <w:rPr>
          <w:szCs w:val="22"/>
        </w:rPr>
      </w:pPr>
      <w:r w:rsidRPr="00087138">
        <w:rPr>
          <w:szCs w:val="22"/>
        </w:rPr>
        <w:t>Dave Maloney </w:t>
      </w:r>
    </w:p>
    <w:p w14:paraId="3D7E3264" w14:textId="77777777" w:rsidR="0099229B" w:rsidRPr="00087138" w:rsidRDefault="0099229B" w:rsidP="0099229B">
      <w:pPr>
        <w:rPr>
          <w:szCs w:val="22"/>
        </w:rPr>
      </w:pPr>
      <w:r w:rsidRPr="00087138">
        <w:rPr>
          <w:szCs w:val="22"/>
        </w:rPr>
        <w:t>Dave Mount </w:t>
      </w:r>
    </w:p>
    <w:p w14:paraId="2D5FE9FD" w14:textId="77777777" w:rsidR="0099229B" w:rsidRPr="00087138" w:rsidRDefault="0099229B" w:rsidP="0099229B">
      <w:pPr>
        <w:rPr>
          <w:szCs w:val="22"/>
        </w:rPr>
      </w:pPr>
      <w:r w:rsidRPr="00087138">
        <w:rPr>
          <w:szCs w:val="22"/>
        </w:rPr>
        <w:t>David Carlson </w:t>
      </w:r>
    </w:p>
    <w:p w14:paraId="53A06993" w14:textId="77777777" w:rsidR="0099229B" w:rsidRPr="00087138" w:rsidRDefault="0099229B" w:rsidP="0099229B">
      <w:pPr>
        <w:rPr>
          <w:szCs w:val="22"/>
        </w:rPr>
      </w:pPr>
      <w:r w:rsidRPr="00087138">
        <w:rPr>
          <w:szCs w:val="22"/>
        </w:rPr>
        <w:t>David Helmer </w:t>
      </w:r>
    </w:p>
    <w:p w14:paraId="4BFEFE00" w14:textId="77777777" w:rsidR="0099229B" w:rsidRPr="00087138" w:rsidRDefault="0099229B" w:rsidP="0099229B">
      <w:pPr>
        <w:rPr>
          <w:szCs w:val="22"/>
        </w:rPr>
      </w:pPr>
      <w:r w:rsidRPr="00087138">
        <w:rPr>
          <w:szCs w:val="22"/>
        </w:rPr>
        <w:t>David Kaus </w:t>
      </w:r>
    </w:p>
    <w:p w14:paraId="1063186D" w14:textId="77777777" w:rsidR="0099229B" w:rsidRPr="00087138" w:rsidRDefault="0099229B" w:rsidP="0099229B">
      <w:pPr>
        <w:rPr>
          <w:szCs w:val="22"/>
        </w:rPr>
      </w:pPr>
      <w:r w:rsidRPr="00087138">
        <w:rPr>
          <w:szCs w:val="22"/>
        </w:rPr>
        <w:t>David Schneider </w:t>
      </w:r>
    </w:p>
    <w:p w14:paraId="44ACB995" w14:textId="77777777" w:rsidR="0099229B" w:rsidRPr="00087138" w:rsidRDefault="0099229B" w:rsidP="0099229B">
      <w:pPr>
        <w:rPr>
          <w:szCs w:val="22"/>
        </w:rPr>
      </w:pPr>
      <w:r w:rsidRPr="00087138">
        <w:rPr>
          <w:szCs w:val="22"/>
        </w:rPr>
        <w:t>David Strompf </w:t>
      </w:r>
    </w:p>
    <w:p w14:paraId="31585482" w14:textId="77777777" w:rsidR="0099229B" w:rsidRPr="00087138" w:rsidRDefault="0099229B" w:rsidP="0099229B">
      <w:pPr>
        <w:rPr>
          <w:szCs w:val="22"/>
        </w:rPr>
      </w:pPr>
      <w:r w:rsidRPr="00087138">
        <w:rPr>
          <w:szCs w:val="22"/>
        </w:rPr>
        <w:t>Debra Danna </w:t>
      </w:r>
    </w:p>
    <w:p w14:paraId="24AECEBA" w14:textId="77777777" w:rsidR="0099229B" w:rsidRPr="00087138" w:rsidRDefault="0099229B" w:rsidP="0099229B">
      <w:pPr>
        <w:rPr>
          <w:szCs w:val="22"/>
        </w:rPr>
      </w:pPr>
      <w:r w:rsidRPr="00087138">
        <w:rPr>
          <w:szCs w:val="22"/>
        </w:rPr>
        <w:t>Dee Emrich </w:t>
      </w:r>
    </w:p>
    <w:p w14:paraId="613D84B1" w14:textId="77777777" w:rsidR="0099229B" w:rsidRPr="00087138" w:rsidRDefault="0099229B" w:rsidP="0099229B">
      <w:pPr>
        <w:rPr>
          <w:szCs w:val="22"/>
        </w:rPr>
      </w:pPr>
      <w:r w:rsidRPr="00087138">
        <w:rPr>
          <w:szCs w:val="22"/>
        </w:rPr>
        <w:t>Denise Driscoll </w:t>
      </w:r>
    </w:p>
    <w:p w14:paraId="10187350" w14:textId="77777777" w:rsidR="0099229B" w:rsidRPr="004C29B5" w:rsidRDefault="0099229B" w:rsidP="0099229B">
      <w:r w:rsidRPr="004C29B5">
        <w:t>Diana McNair </w:t>
      </w:r>
    </w:p>
    <w:p w14:paraId="150C84F4" w14:textId="77777777" w:rsidR="0099229B" w:rsidRPr="004C29B5" w:rsidRDefault="0099229B" w:rsidP="0099229B">
      <w:r w:rsidRPr="004C29B5">
        <w:t>Dianne Sullivan </w:t>
      </w:r>
    </w:p>
    <w:p w14:paraId="1C5543A8" w14:textId="77777777" w:rsidR="0099229B" w:rsidRPr="004C29B5" w:rsidRDefault="0099229B" w:rsidP="0099229B">
      <w:r w:rsidRPr="004C29B5">
        <w:t>Dina Benyo </w:t>
      </w:r>
    </w:p>
    <w:p w14:paraId="0E1154A8" w14:textId="77777777" w:rsidR="0099229B" w:rsidRPr="00087138" w:rsidRDefault="0099229B" w:rsidP="0099229B">
      <w:pPr>
        <w:rPr>
          <w:szCs w:val="22"/>
        </w:rPr>
      </w:pPr>
      <w:r w:rsidRPr="00087138">
        <w:rPr>
          <w:szCs w:val="22"/>
        </w:rPr>
        <w:t>Don Hawkins</w:t>
      </w:r>
    </w:p>
    <w:p w14:paraId="49E97597" w14:textId="77777777" w:rsidR="0099229B" w:rsidRPr="00087138" w:rsidRDefault="0099229B" w:rsidP="0099229B">
      <w:pPr>
        <w:rPr>
          <w:szCs w:val="22"/>
        </w:rPr>
      </w:pPr>
      <w:r w:rsidRPr="00087138">
        <w:rPr>
          <w:szCs w:val="22"/>
        </w:rPr>
        <w:t>Donna Baer </w:t>
      </w:r>
    </w:p>
    <w:p w14:paraId="1C51036A" w14:textId="77777777" w:rsidR="0099229B" w:rsidRPr="00087138" w:rsidRDefault="0099229B" w:rsidP="0099229B">
      <w:pPr>
        <w:rPr>
          <w:szCs w:val="22"/>
        </w:rPr>
      </w:pPr>
      <w:r w:rsidRPr="00087138">
        <w:rPr>
          <w:szCs w:val="22"/>
        </w:rPr>
        <w:t>Donna Daniels </w:t>
      </w:r>
    </w:p>
    <w:p w14:paraId="6AFCC003" w14:textId="77777777" w:rsidR="0099229B" w:rsidRPr="00087138" w:rsidRDefault="0099229B" w:rsidP="0099229B">
      <w:pPr>
        <w:rPr>
          <w:szCs w:val="22"/>
          <w:lang w:val="es-ES"/>
        </w:rPr>
      </w:pPr>
      <w:r w:rsidRPr="00087138">
        <w:rPr>
          <w:szCs w:val="22"/>
          <w:lang w:val="es-ES"/>
        </w:rPr>
        <w:t>Dorothy Vyskocil </w:t>
      </w:r>
    </w:p>
    <w:p w14:paraId="7D5F305E" w14:textId="77777777" w:rsidR="0099229B" w:rsidRPr="00087138" w:rsidRDefault="0099229B" w:rsidP="0099229B">
      <w:pPr>
        <w:rPr>
          <w:szCs w:val="22"/>
          <w:lang w:val="es-ES"/>
        </w:rPr>
      </w:pPr>
      <w:r w:rsidRPr="00087138">
        <w:rPr>
          <w:szCs w:val="22"/>
          <w:lang w:val="es-ES"/>
        </w:rPr>
        <w:t>Douglas DeCarlo </w:t>
      </w:r>
    </w:p>
    <w:p w14:paraId="47CF7AF6" w14:textId="77777777" w:rsidR="0099229B" w:rsidRPr="00087138" w:rsidRDefault="0099229B" w:rsidP="0099229B">
      <w:pPr>
        <w:rPr>
          <w:szCs w:val="22"/>
          <w:lang w:val="es-ES"/>
        </w:rPr>
      </w:pPr>
      <w:r w:rsidRPr="00087138">
        <w:rPr>
          <w:szCs w:val="22"/>
          <w:lang w:val="es-ES"/>
        </w:rPr>
        <w:t>Ed Avila </w:t>
      </w:r>
    </w:p>
    <w:p w14:paraId="7DAD1019" w14:textId="77777777" w:rsidR="0099229B" w:rsidRPr="00087138" w:rsidRDefault="0099229B" w:rsidP="0099229B">
      <w:pPr>
        <w:rPr>
          <w:szCs w:val="22"/>
        </w:rPr>
      </w:pPr>
      <w:r w:rsidRPr="00087138">
        <w:rPr>
          <w:szCs w:val="22"/>
        </w:rPr>
        <w:t>Eileen Black </w:t>
      </w:r>
    </w:p>
    <w:p w14:paraId="734F7C06" w14:textId="77777777" w:rsidR="0099229B" w:rsidRPr="00087138" w:rsidRDefault="0099229B" w:rsidP="0099229B">
      <w:pPr>
        <w:rPr>
          <w:szCs w:val="22"/>
        </w:rPr>
      </w:pPr>
      <w:r w:rsidRPr="00087138">
        <w:rPr>
          <w:szCs w:val="22"/>
        </w:rPr>
        <w:t>Ellen Sweets </w:t>
      </w:r>
    </w:p>
    <w:p w14:paraId="4B55F694" w14:textId="77777777" w:rsidR="0099229B" w:rsidRPr="00087138" w:rsidRDefault="0099229B" w:rsidP="0099229B">
      <w:pPr>
        <w:rPr>
          <w:szCs w:val="22"/>
        </w:rPr>
      </w:pPr>
      <w:r w:rsidRPr="00087138">
        <w:rPr>
          <w:szCs w:val="22"/>
        </w:rPr>
        <w:t>Emily Bartow </w:t>
      </w:r>
    </w:p>
    <w:p w14:paraId="3BE1641B" w14:textId="77777777" w:rsidR="0099229B" w:rsidRPr="00087138" w:rsidRDefault="0099229B" w:rsidP="0099229B">
      <w:pPr>
        <w:rPr>
          <w:szCs w:val="22"/>
        </w:rPr>
      </w:pPr>
      <w:r w:rsidRPr="00087138">
        <w:rPr>
          <w:szCs w:val="22"/>
        </w:rPr>
        <w:t>Emily Hendricks </w:t>
      </w:r>
    </w:p>
    <w:p w14:paraId="50CA3F91" w14:textId="77777777" w:rsidR="0099229B" w:rsidRPr="00087138" w:rsidRDefault="0099229B" w:rsidP="0099229B">
      <w:pPr>
        <w:rPr>
          <w:szCs w:val="22"/>
        </w:rPr>
      </w:pPr>
      <w:r w:rsidRPr="00087138">
        <w:rPr>
          <w:szCs w:val="22"/>
        </w:rPr>
        <w:t>Emmanuela Bowman </w:t>
      </w:r>
    </w:p>
    <w:p w14:paraId="79F57CC2" w14:textId="77777777" w:rsidR="0099229B" w:rsidRPr="00087138" w:rsidRDefault="0099229B" w:rsidP="0099229B">
      <w:pPr>
        <w:rPr>
          <w:szCs w:val="22"/>
        </w:rPr>
      </w:pPr>
      <w:r w:rsidRPr="00087138">
        <w:rPr>
          <w:szCs w:val="22"/>
        </w:rPr>
        <w:t>Eric Singer </w:t>
      </w:r>
    </w:p>
    <w:p w14:paraId="59C00B92" w14:textId="77777777" w:rsidR="0099229B" w:rsidRPr="00087138" w:rsidRDefault="0099229B" w:rsidP="0099229B">
      <w:pPr>
        <w:rPr>
          <w:szCs w:val="22"/>
        </w:rPr>
      </w:pPr>
      <w:r w:rsidRPr="00087138">
        <w:rPr>
          <w:szCs w:val="22"/>
        </w:rPr>
        <w:t>Ericsson</w:t>
      </w:r>
    </w:p>
    <w:p w14:paraId="3788CBDD" w14:textId="77777777" w:rsidR="0099229B" w:rsidRPr="00087138" w:rsidRDefault="0099229B" w:rsidP="0099229B">
      <w:pPr>
        <w:rPr>
          <w:szCs w:val="22"/>
        </w:rPr>
      </w:pPr>
      <w:r w:rsidRPr="00087138">
        <w:rPr>
          <w:szCs w:val="22"/>
        </w:rPr>
        <w:t>Fairfax County (VA) Dept. of Public Safety Communications (Fairfax County)</w:t>
      </w:r>
    </w:p>
    <w:p w14:paraId="16019F60" w14:textId="77777777" w:rsidR="0099229B" w:rsidRPr="00087138" w:rsidRDefault="0099229B" w:rsidP="0099229B">
      <w:pPr>
        <w:rPr>
          <w:szCs w:val="22"/>
        </w:rPr>
      </w:pPr>
      <w:r w:rsidRPr="00087138">
        <w:rPr>
          <w:szCs w:val="22"/>
        </w:rPr>
        <w:t>FindMe911 Coalition (FindMe911)</w:t>
      </w:r>
    </w:p>
    <w:p w14:paraId="574BE14B" w14:textId="77777777" w:rsidR="0099229B" w:rsidRPr="00087138" w:rsidRDefault="0099229B" w:rsidP="0099229B">
      <w:pPr>
        <w:rPr>
          <w:szCs w:val="22"/>
        </w:rPr>
      </w:pPr>
      <w:r w:rsidRPr="00087138">
        <w:rPr>
          <w:szCs w:val="22"/>
        </w:rPr>
        <w:t>Fran Giboney </w:t>
      </w:r>
    </w:p>
    <w:p w14:paraId="150ED5A9" w14:textId="77777777" w:rsidR="0099229B" w:rsidRPr="00087138" w:rsidRDefault="0099229B" w:rsidP="0099229B">
      <w:pPr>
        <w:rPr>
          <w:szCs w:val="22"/>
        </w:rPr>
      </w:pPr>
      <w:r w:rsidRPr="00087138">
        <w:rPr>
          <w:szCs w:val="22"/>
        </w:rPr>
        <w:t>Frances Brown </w:t>
      </w:r>
    </w:p>
    <w:p w14:paraId="75277EF2" w14:textId="77777777" w:rsidR="0099229B" w:rsidRPr="00087138" w:rsidRDefault="0099229B" w:rsidP="0099229B">
      <w:pPr>
        <w:rPr>
          <w:szCs w:val="22"/>
        </w:rPr>
      </w:pPr>
      <w:r w:rsidRPr="00087138">
        <w:rPr>
          <w:szCs w:val="22"/>
        </w:rPr>
        <w:t>Frances Rove </w:t>
      </w:r>
    </w:p>
    <w:p w14:paraId="073DFFDB" w14:textId="77777777" w:rsidR="0099229B" w:rsidRPr="00087138" w:rsidRDefault="0099229B" w:rsidP="0099229B">
      <w:pPr>
        <w:rPr>
          <w:szCs w:val="22"/>
        </w:rPr>
      </w:pPr>
      <w:r w:rsidRPr="00087138">
        <w:rPr>
          <w:szCs w:val="22"/>
        </w:rPr>
        <w:t>Frederic Chrislip </w:t>
      </w:r>
    </w:p>
    <w:p w14:paraId="708D246F" w14:textId="77777777" w:rsidR="0099229B" w:rsidRPr="00087138" w:rsidRDefault="0099229B" w:rsidP="0099229B">
      <w:pPr>
        <w:rPr>
          <w:szCs w:val="22"/>
        </w:rPr>
      </w:pPr>
      <w:r w:rsidRPr="00087138">
        <w:rPr>
          <w:szCs w:val="22"/>
        </w:rPr>
        <w:t>Gary Chase </w:t>
      </w:r>
    </w:p>
    <w:p w14:paraId="71BBB925" w14:textId="77777777" w:rsidR="0099229B" w:rsidRPr="00087138" w:rsidRDefault="0099229B" w:rsidP="0099229B">
      <w:pPr>
        <w:rPr>
          <w:szCs w:val="22"/>
        </w:rPr>
      </w:pPr>
      <w:r w:rsidRPr="00087138">
        <w:rPr>
          <w:szCs w:val="22"/>
        </w:rPr>
        <w:t>Gene Cox</w:t>
      </w:r>
    </w:p>
    <w:p w14:paraId="49BAC657" w14:textId="77777777" w:rsidR="0099229B" w:rsidRPr="00087138" w:rsidRDefault="0099229B" w:rsidP="0099229B">
      <w:pPr>
        <w:rPr>
          <w:szCs w:val="22"/>
        </w:rPr>
      </w:pPr>
      <w:r w:rsidRPr="00087138">
        <w:rPr>
          <w:szCs w:val="22"/>
        </w:rPr>
        <w:t xml:space="preserve">General Communication, Inc. </w:t>
      </w:r>
    </w:p>
    <w:p w14:paraId="1D57C1DD" w14:textId="77777777" w:rsidR="0099229B" w:rsidRPr="00087138" w:rsidRDefault="0099229B" w:rsidP="0099229B">
      <w:pPr>
        <w:rPr>
          <w:szCs w:val="22"/>
        </w:rPr>
      </w:pPr>
      <w:r w:rsidRPr="00087138">
        <w:rPr>
          <w:szCs w:val="22"/>
        </w:rPr>
        <w:t>George Huckins </w:t>
      </w:r>
    </w:p>
    <w:p w14:paraId="4AB4EEFC" w14:textId="77777777" w:rsidR="0099229B" w:rsidRPr="00087138" w:rsidRDefault="0099229B" w:rsidP="0099229B">
      <w:pPr>
        <w:rPr>
          <w:szCs w:val="22"/>
        </w:rPr>
      </w:pPr>
      <w:r w:rsidRPr="00087138">
        <w:rPr>
          <w:szCs w:val="22"/>
        </w:rPr>
        <w:t>Gil Carpenter </w:t>
      </w:r>
    </w:p>
    <w:p w14:paraId="1A412020" w14:textId="77777777" w:rsidR="0099229B" w:rsidRPr="00087138" w:rsidRDefault="0099229B" w:rsidP="0099229B">
      <w:pPr>
        <w:rPr>
          <w:szCs w:val="22"/>
        </w:rPr>
      </w:pPr>
      <w:r w:rsidRPr="00087138">
        <w:rPr>
          <w:szCs w:val="22"/>
        </w:rPr>
        <w:t>Gilberto Rivera </w:t>
      </w:r>
    </w:p>
    <w:p w14:paraId="4F7A38A7" w14:textId="77777777" w:rsidR="0099229B" w:rsidRPr="00087138" w:rsidRDefault="0099229B" w:rsidP="0099229B">
      <w:pPr>
        <w:rPr>
          <w:szCs w:val="22"/>
        </w:rPr>
      </w:pPr>
      <w:r w:rsidRPr="00087138">
        <w:rPr>
          <w:szCs w:val="22"/>
        </w:rPr>
        <w:t>Ginny Hemmeter </w:t>
      </w:r>
    </w:p>
    <w:p w14:paraId="1EDC2E05" w14:textId="77777777" w:rsidR="0099229B" w:rsidRPr="00087138" w:rsidRDefault="0099229B" w:rsidP="0099229B">
      <w:pPr>
        <w:rPr>
          <w:szCs w:val="22"/>
        </w:rPr>
      </w:pPr>
      <w:r w:rsidRPr="00087138">
        <w:rPr>
          <w:szCs w:val="22"/>
        </w:rPr>
        <w:t>Glenda Roddy </w:t>
      </w:r>
    </w:p>
    <w:p w14:paraId="7FDE3700" w14:textId="77777777" w:rsidR="0099229B" w:rsidRPr="00087138" w:rsidRDefault="0099229B" w:rsidP="0099229B">
      <w:pPr>
        <w:rPr>
          <w:szCs w:val="22"/>
        </w:rPr>
      </w:pPr>
      <w:r w:rsidRPr="00087138">
        <w:rPr>
          <w:szCs w:val="22"/>
        </w:rPr>
        <w:t>Greg Liesenfelt </w:t>
      </w:r>
    </w:p>
    <w:p w14:paraId="0AF0FC41" w14:textId="77777777" w:rsidR="0099229B" w:rsidRPr="004C29B5" w:rsidRDefault="0099229B" w:rsidP="0099229B">
      <w:pPr>
        <w:rPr>
          <w:lang w:val="es-ES"/>
        </w:rPr>
      </w:pPr>
      <w:r w:rsidRPr="004C29B5">
        <w:rPr>
          <w:lang w:val="es-ES"/>
        </w:rPr>
        <w:t>H</w:t>
      </w:r>
      <w:r w:rsidRPr="00005BE2">
        <w:rPr>
          <w:szCs w:val="22"/>
          <w:lang w:val="es-ES"/>
        </w:rPr>
        <w:t>.</w:t>
      </w:r>
      <w:r w:rsidRPr="004C29B5">
        <w:rPr>
          <w:lang w:val="es-ES"/>
        </w:rPr>
        <w:t xml:space="preserve"> Horne </w:t>
      </w:r>
    </w:p>
    <w:p w14:paraId="5A0A09D3" w14:textId="74EB0610" w:rsidR="0099229B" w:rsidRPr="004C29B5" w:rsidRDefault="0099229B" w:rsidP="0099229B">
      <w:pPr>
        <w:rPr>
          <w:lang w:val="es-ES"/>
        </w:rPr>
      </w:pPr>
      <w:r w:rsidRPr="004C29B5">
        <w:rPr>
          <w:lang w:val="es-ES"/>
        </w:rPr>
        <w:t>Helena M</w:t>
      </w:r>
      <w:r w:rsidRPr="00005BE2">
        <w:rPr>
          <w:szCs w:val="22"/>
          <w:lang w:val="es-ES"/>
        </w:rPr>
        <w:t>.</w:t>
      </w:r>
    </w:p>
    <w:p w14:paraId="4E27D70B" w14:textId="77777777" w:rsidR="0099229B" w:rsidRPr="004C29B5" w:rsidRDefault="0099229B" w:rsidP="0099229B">
      <w:pPr>
        <w:rPr>
          <w:lang w:val="es-ES"/>
        </w:rPr>
      </w:pPr>
      <w:r w:rsidRPr="004C29B5">
        <w:rPr>
          <w:lang w:val="es-ES"/>
        </w:rPr>
        <w:t>Herb Sayas </w:t>
      </w:r>
    </w:p>
    <w:p w14:paraId="69719058" w14:textId="77777777" w:rsidR="0099229B" w:rsidRPr="00087138" w:rsidRDefault="0099229B" w:rsidP="0099229B">
      <w:pPr>
        <w:ind w:left="180" w:hanging="180"/>
        <w:rPr>
          <w:szCs w:val="22"/>
        </w:rPr>
      </w:pPr>
      <w:r w:rsidRPr="00087138">
        <w:rPr>
          <w:szCs w:val="22"/>
        </w:rPr>
        <w:t>International Association of Chiefs of Police (IACP) and National Sheriffs’ Association (NSA)</w:t>
      </w:r>
    </w:p>
    <w:p w14:paraId="44BB6785" w14:textId="7754998E" w:rsidR="0099229B" w:rsidRPr="00087138" w:rsidRDefault="0099229B" w:rsidP="0099229B">
      <w:pPr>
        <w:rPr>
          <w:szCs w:val="22"/>
        </w:rPr>
      </w:pPr>
      <w:r w:rsidRPr="00087138">
        <w:rPr>
          <w:szCs w:val="22"/>
        </w:rPr>
        <w:t>Information Technology Industry Council (ITI)</w:t>
      </w:r>
    </w:p>
    <w:p w14:paraId="647F3434" w14:textId="77777777" w:rsidR="0099229B" w:rsidRPr="00087138" w:rsidRDefault="0099229B" w:rsidP="0099229B">
      <w:pPr>
        <w:rPr>
          <w:szCs w:val="22"/>
        </w:rPr>
      </w:pPr>
      <w:r w:rsidRPr="00087138">
        <w:rPr>
          <w:szCs w:val="22"/>
        </w:rPr>
        <w:t>International Association of Fire Chiefs (IAFC)</w:t>
      </w:r>
    </w:p>
    <w:p w14:paraId="7F029564" w14:textId="77777777" w:rsidR="0099229B" w:rsidRPr="00087138" w:rsidRDefault="0099229B" w:rsidP="0099229B">
      <w:pPr>
        <w:rPr>
          <w:szCs w:val="22"/>
        </w:rPr>
      </w:pPr>
      <w:r w:rsidRPr="00087138">
        <w:rPr>
          <w:szCs w:val="22"/>
        </w:rPr>
        <w:t>International Association of Fire Fighters (IAFF)</w:t>
      </w:r>
    </w:p>
    <w:p w14:paraId="212A09C0" w14:textId="77777777" w:rsidR="0099229B" w:rsidRPr="004C29B5" w:rsidRDefault="0099229B" w:rsidP="0099229B">
      <w:pPr>
        <w:rPr>
          <w:lang w:val="es-ES"/>
        </w:rPr>
      </w:pPr>
      <w:r w:rsidRPr="004C29B5">
        <w:rPr>
          <w:lang w:val="es-ES"/>
        </w:rPr>
        <w:t>Intrado</w:t>
      </w:r>
      <w:r w:rsidRPr="00C46361">
        <w:rPr>
          <w:szCs w:val="22"/>
          <w:lang w:val="es-ES"/>
        </w:rPr>
        <w:t>, Inc. (Intrado)</w:t>
      </w:r>
    </w:p>
    <w:p w14:paraId="64C4DE4B" w14:textId="77777777" w:rsidR="0099229B" w:rsidRPr="005A2014" w:rsidRDefault="0099229B" w:rsidP="0099229B">
      <w:r w:rsidRPr="004C29B5">
        <w:rPr>
          <w:lang w:val="es-ES"/>
        </w:rPr>
        <w:t xml:space="preserve">iPosi, Inc. </w:t>
      </w:r>
      <w:r w:rsidRPr="005A2014">
        <w:t>(iPosi)</w:t>
      </w:r>
    </w:p>
    <w:p w14:paraId="6F90D163" w14:textId="77777777" w:rsidR="0099229B" w:rsidRPr="00087138" w:rsidRDefault="0099229B" w:rsidP="0099229B">
      <w:pPr>
        <w:rPr>
          <w:szCs w:val="22"/>
        </w:rPr>
      </w:pPr>
      <w:r w:rsidRPr="00087138">
        <w:rPr>
          <w:szCs w:val="22"/>
        </w:rPr>
        <w:t>Jackie Kilby Richards </w:t>
      </w:r>
    </w:p>
    <w:p w14:paraId="21BDC39E" w14:textId="77777777" w:rsidR="0099229B" w:rsidRPr="00087138" w:rsidRDefault="0099229B" w:rsidP="0099229B">
      <w:pPr>
        <w:rPr>
          <w:szCs w:val="22"/>
        </w:rPr>
      </w:pPr>
      <w:r w:rsidRPr="00087138">
        <w:rPr>
          <w:szCs w:val="22"/>
        </w:rPr>
        <w:t>Jacob McCulley </w:t>
      </w:r>
    </w:p>
    <w:p w14:paraId="08065998" w14:textId="77777777" w:rsidR="0099229B" w:rsidRPr="00087138" w:rsidRDefault="0099229B" w:rsidP="0099229B">
      <w:pPr>
        <w:rPr>
          <w:szCs w:val="22"/>
        </w:rPr>
      </w:pPr>
      <w:r w:rsidRPr="00087138">
        <w:rPr>
          <w:szCs w:val="22"/>
        </w:rPr>
        <w:t>Jaime Elder </w:t>
      </w:r>
    </w:p>
    <w:p w14:paraId="76A7E3D9" w14:textId="77777777" w:rsidR="0099229B" w:rsidRPr="00087138" w:rsidRDefault="0099229B" w:rsidP="0099229B">
      <w:pPr>
        <w:rPr>
          <w:szCs w:val="22"/>
        </w:rPr>
      </w:pPr>
      <w:r w:rsidRPr="00087138">
        <w:rPr>
          <w:szCs w:val="22"/>
        </w:rPr>
        <w:t>Jan Lindeman </w:t>
      </w:r>
    </w:p>
    <w:p w14:paraId="21DCEE8D" w14:textId="77777777" w:rsidR="0099229B" w:rsidRPr="00087138" w:rsidRDefault="0099229B" w:rsidP="0099229B">
      <w:pPr>
        <w:rPr>
          <w:szCs w:val="22"/>
        </w:rPr>
      </w:pPr>
      <w:r w:rsidRPr="00087138">
        <w:rPr>
          <w:szCs w:val="22"/>
        </w:rPr>
        <w:t>Jan Lutz </w:t>
      </w:r>
    </w:p>
    <w:p w14:paraId="33B84E4C" w14:textId="77777777" w:rsidR="0099229B" w:rsidRPr="00087138" w:rsidRDefault="0099229B" w:rsidP="0099229B">
      <w:pPr>
        <w:rPr>
          <w:szCs w:val="22"/>
        </w:rPr>
      </w:pPr>
      <w:r w:rsidRPr="00087138">
        <w:rPr>
          <w:szCs w:val="22"/>
        </w:rPr>
        <w:t>Jane Williams </w:t>
      </w:r>
    </w:p>
    <w:p w14:paraId="40A0807E" w14:textId="77777777" w:rsidR="0099229B" w:rsidRPr="00087138" w:rsidRDefault="0099229B" w:rsidP="0099229B">
      <w:pPr>
        <w:rPr>
          <w:szCs w:val="22"/>
        </w:rPr>
      </w:pPr>
      <w:r w:rsidRPr="00087138">
        <w:rPr>
          <w:szCs w:val="22"/>
        </w:rPr>
        <w:t>Jean Walsh </w:t>
      </w:r>
    </w:p>
    <w:p w14:paraId="686E352B" w14:textId="77777777" w:rsidR="0099229B" w:rsidRPr="00087138" w:rsidRDefault="0099229B" w:rsidP="0099229B">
      <w:pPr>
        <w:rPr>
          <w:szCs w:val="22"/>
        </w:rPr>
      </w:pPr>
      <w:r w:rsidRPr="00087138">
        <w:rPr>
          <w:szCs w:val="22"/>
        </w:rPr>
        <w:t>Jeffrey Jones </w:t>
      </w:r>
    </w:p>
    <w:p w14:paraId="66FA92D4" w14:textId="77777777" w:rsidR="0099229B" w:rsidRPr="00087138" w:rsidRDefault="0099229B" w:rsidP="0099229B">
      <w:pPr>
        <w:rPr>
          <w:szCs w:val="22"/>
        </w:rPr>
      </w:pPr>
      <w:r w:rsidRPr="00087138">
        <w:rPr>
          <w:szCs w:val="22"/>
        </w:rPr>
        <w:t>Jennifer Baker </w:t>
      </w:r>
    </w:p>
    <w:p w14:paraId="35DFB18C" w14:textId="77777777" w:rsidR="0099229B" w:rsidRPr="00087138" w:rsidRDefault="0099229B" w:rsidP="0099229B">
      <w:pPr>
        <w:rPr>
          <w:szCs w:val="22"/>
        </w:rPr>
      </w:pPr>
      <w:r w:rsidRPr="00087138">
        <w:rPr>
          <w:szCs w:val="22"/>
        </w:rPr>
        <w:t xml:space="preserve">Jennifer Eads  </w:t>
      </w:r>
    </w:p>
    <w:p w14:paraId="61AB1C3A" w14:textId="77777777" w:rsidR="0099229B" w:rsidRPr="00087138" w:rsidRDefault="0099229B" w:rsidP="0099229B">
      <w:pPr>
        <w:rPr>
          <w:szCs w:val="22"/>
        </w:rPr>
      </w:pPr>
      <w:r w:rsidRPr="00087138">
        <w:rPr>
          <w:szCs w:val="22"/>
        </w:rPr>
        <w:t>Jessica Aliberti </w:t>
      </w:r>
    </w:p>
    <w:p w14:paraId="7C66CB23" w14:textId="77777777" w:rsidR="0099229B" w:rsidRPr="00087138" w:rsidRDefault="0099229B" w:rsidP="0099229B">
      <w:pPr>
        <w:rPr>
          <w:szCs w:val="22"/>
        </w:rPr>
      </w:pPr>
      <w:r w:rsidRPr="00087138">
        <w:rPr>
          <w:szCs w:val="22"/>
        </w:rPr>
        <w:t>JeVerna Haynes </w:t>
      </w:r>
    </w:p>
    <w:p w14:paraId="0E8BF767" w14:textId="77777777" w:rsidR="0099229B" w:rsidRPr="00087138" w:rsidRDefault="0099229B" w:rsidP="0099229B">
      <w:pPr>
        <w:rPr>
          <w:szCs w:val="22"/>
        </w:rPr>
      </w:pPr>
      <w:r w:rsidRPr="00087138">
        <w:rPr>
          <w:szCs w:val="22"/>
        </w:rPr>
        <w:t>Jill Anderson </w:t>
      </w:r>
    </w:p>
    <w:p w14:paraId="2A9EDD4C" w14:textId="77777777" w:rsidR="0099229B" w:rsidRPr="00087138" w:rsidRDefault="0099229B" w:rsidP="0099229B">
      <w:pPr>
        <w:rPr>
          <w:szCs w:val="22"/>
        </w:rPr>
      </w:pPr>
      <w:r w:rsidRPr="00087138">
        <w:rPr>
          <w:szCs w:val="22"/>
        </w:rPr>
        <w:t>Jill Cyr </w:t>
      </w:r>
    </w:p>
    <w:p w14:paraId="2B9C6CE6" w14:textId="77777777" w:rsidR="0099229B" w:rsidRPr="00087138" w:rsidRDefault="0099229B" w:rsidP="0099229B">
      <w:pPr>
        <w:rPr>
          <w:szCs w:val="22"/>
        </w:rPr>
      </w:pPr>
      <w:r w:rsidRPr="00087138">
        <w:rPr>
          <w:szCs w:val="22"/>
        </w:rPr>
        <w:t>Jim Snee</w:t>
      </w:r>
    </w:p>
    <w:p w14:paraId="2B0A878D" w14:textId="77777777" w:rsidR="0099229B" w:rsidRPr="00087138" w:rsidRDefault="0099229B" w:rsidP="0099229B">
      <w:pPr>
        <w:rPr>
          <w:szCs w:val="22"/>
        </w:rPr>
      </w:pPr>
      <w:r w:rsidRPr="00087138">
        <w:rPr>
          <w:szCs w:val="22"/>
        </w:rPr>
        <w:t>Joan Churton </w:t>
      </w:r>
    </w:p>
    <w:p w14:paraId="4DFEF773" w14:textId="77777777" w:rsidR="0099229B" w:rsidRPr="00087138" w:rsidRDefault="0099229B" w:rsidP="0099229B">
      <w:pPr>
        <w:rPr>
          <w:szCs w:val="22"/>
        </w:rPr>
      </w:pPr>
      <w:r w:rsidRPr="00087138">
        <w:rPr>
          <w:szCs w:val="22"/>
        </w:rPr>
        <w:t>Joan Dougherty</w:t>
      </w:r>
    </w:p>
    <w:p w14:paraId="4967DEB4" w14:textId="77777777" w:rsidR="0099229B" w:rsidRPr="00087138" w:rsidRDefault="0099229B" w:rsidP="0099229B">
      <w:pPr>
        <w:rPr>
          <w:szCs w:val="22"/>
        </w:rPr>
      </w:pPr>
      <w:r w:rsidRPr="00087138">
        <w:rPr>
          <w:szCs w:val="22"/>
        </w:rPr>
        <w:t>Jocelyn Finnegan </w:t>
      </w:r>
    </w:p>
    <w:p w14:paraId="30D776C2" w14:textId="77777777" w:rsidR="0099229B" w:rsidRPr="00087138" w:rsidRDefault="0099229B" w:rsidP="0099229B">
      <w:pPr>
        <w:rPr>
          <w:szCs w:val="22"/>
        </w:rPr>
      </w:pPr>
      <w:r w:rsidRPr="00087138">
        <w:rPr>
          <w:szCs w:val="22"/>
        </w:rPr>
        <w:t>Joel Scott Strauss </w:t>
      </w:r>
    </w:p>
    <w:p w14:paraId="54F3C25F" w14:textId="77777777" w:rsidR="0099229B" w:rsidRPr="00087138" w:rsidRDefault="0099229B" w:rsidP="0099229B">
      <w:pPr>
        <w:rPr>
          <w:szCs w:val="22"/>
        </w:rPr>
      </w:pPr>
      <w:r w:rsidRPr="00087138">
        <w:rPr>
          <w:szCs w:val="22"/>
        </w:rPr>
        <w:t>John Cobb </w:t>
      </w:r>
    </w:p>
    <w:p w14:paraId="2674A4CF" w14:textId="77777777" w:rsidR="0099229B" w:rsidRPr="00087138" w:rsidRDefault="0099229B" w:rsidP="0099229B">
      <w:pPr>
        <w:rPr>
          <w:szCs w:val="22"/>
        </w:rPr>
      </w:pPr>
      <w:r w:rsidRPr="00087138">
        <w:rPr>
          <w:szCs w:val="22"/>
        </w:rPr>
        <w:t>John E</w:t>
      </w:r>
      <w:r>
        <w:rPr>
          <w:szCs w:val="22"/>
        </w:rPr>
        <w:t>.</w:t>
      </w:r>
      <w:r w:rsidRPr="00087138">
        <w:rPr>
          <w:szCs w:val="22"/>
        </w:rPr>
        <w:t xml:space="preserve"> Warwick </w:t>
      </w:r>
    </w:p>
    <w:p w14:paraId="63E35B0F" w14:textId="77777777" w:rsidR="0099229B" w:rsidRPr="00087138" w:rsidRDefault="0099229B" w:rsidP="0099229B">
      <w:pPr>
        <w:rPr>
          <w:szCs w:val="22"/>
        </w:rPr>
      </w:pPr>
      <w:r w:rsidRPr="00087138">
        <w:rPr>
          <w:szCs w:val="22"/>
        </w:rPr>
        <w:t>John Glova  </w:t>
      </w:r>
    </w:p>
    <w:p w14:paraId="242941B1" w14:textId="77777777" w:rsidR="0099229B" w:rsidRPr="00087138" w:rsidRDefault="0099229B" w:rsidP="0099229B">
      <w:pPr>
        <w:rPr>
          <w:szCs w:val="22"/>
        </w:rPr>
      </w:pPr>
      <w:r w:rsidRPr="00087138">
        <w:rPr>
          <w:szCs w:val="22"/>
        </w:rPr>
        <w:t>John Merklinger </w:t>
      </w:r>
    </w:p>
    <w:p w14:paraId="5DC9E4B6" w14:textId="77777777" w:rsidR="0099229B" w:rsidRPr="004C29B5" w:rsidRDefault="0099229B" w:rsidP="0099229B">
      <w:pPr>
        <w:rPr>
          <w:lang w:val="es-ES"/>
        </w:rPr>
      </w:pPr>
      <w:r w:rsidRPr="004C29B5">
        <w:rPr>
          <w:lang w:val="es-ES"/>
        </w:rPr>
        <w:t xml:space="preserve">Joyce Marino  </w:t>
      </w:r>
    </w:p>
    <w:p w14:paraId="255809EA" w14:textId="77777777" w:rsidR="0099229B" w:rsidRPr="004C29B5" w:rsidRDefault="0099229B" w:rsidP="0099229B">
      <w:pPr>
        <w:rPr>
          <w:lang w:val="es-ES"/>
        </w:rPr>
      </w:pPr>
      <w:r w:rsidRPr="004C29B5">
        <w:rPr>
          <w:lang w:val="es-ES"/>
        </w:rPr>
        <w:t>Julie Evans </w:t>
      </w:r>
    </w:p>
    <w:p w14:paraId="3D8109C9" w14:textId="77777777" w:rsidR="0099229B" w:rsidRPr="004C29B5" w:rsidRDefault="0099229B" w:rsidP="0099229B">
      <w:pPr>
        <w:rPr>
          <w:lang w:val="es-ES"/>
        </w:rPr>
      </w:pPr>
      <w:r w:rsidRPr="004C29B5">
        <w:rPr>
          <w:lang w:val="es-ES"/>
        </w:rPr>
        <w:t>Julie Ponce-Doyle </w:t>
      </w:r>
    </w:p>
    <w:p w14:paraId="1A612B34" w14:textId="77777777" w:rsidR="0099229B" w:rsidRPr="00087138" w:rsidRDefault="0099229B" w:rsidP="0099229B">
      <w:pPr>
        <w:rPr>
          <w:szCs w:val="22"/>
        </w:rPr>
      </w:pPr>
      <w:r w:rsidRPr="00087138">
        <w:rPr>
          <w:szCs w:val="22"/>
        </w:rPr>
        <w:t>Julie Spickler </w:t>
      </w:r>
    </w:p>
    <w:p w14:paraId="1CC332CC" w14:textId="77777777" w:rsidR="0099229B" w:rsidRPr="00087138" w:rsidRDefault="0099229B" w:rsidP="0099229B">
      <w:pPr>
        <w:rPr>
          <w:szCs w:val="22"/>
        </w:rPr>
      </w:pPr>
      <w:r w:rsidRPr="00087138">
        <w:rPr>
          <w:szCs w:val="22"/>
        </w:rPr>
        <w:t>Kami Erland </w:t>
      </w:r>
    </w:p>
    <w:p w14:paraId="07808BD6" w14:textId="77777777" w:rsidR="0099229B" w:rsidRPr="00087138" w:rsidRDefault="0099229B" w:rsidP="0099229B">
      <w:pPr>
        <w:rPr>
          <w:szCs w:val="22"/>
        </w:rPr>
      </w:pPr>
      <w:r w:rsidRPr="00087138">
        <w:rPr>
          <w:szCs w:val="22"/>
        </w:rPr>
        <w:t>Karen Roy </w:t>
      </w:r>
    </w:p>
    <w:p w14:paraId="69814E68" w14:textId="77777777" w:rsidR="0099229B" w:rsidRPr="00087138" w:rsidRDefault="0099229B" w:rsidP="0099229B">
      <w:pPr>
        <w:rPr>
          <w:szCs w:val="22"/>
        </w:rPr>
      </w:pPr>
      <w:r w:rsidRPr="00087138">
        <w:rPr>
          <w:szCs w:val="22"/>
        </w:rPr>
        <w:t>Karen Vaughn </w:t>
      </w:r>
    </w:p>
    <w:p w14:paraId="20A9D86E" w14:textId="77777777" w:rsidR="0099229B" w:rsidRPr="00087138" w:rsidRDefault="0099229B" w:rsidP="0099229B">
      <w:pPr>
        <w:rPr>
          <w:szCs w:val="22"/>
        </w:rPr>
      </w:pPr>
      <w:r w:rsidRPr="00087138">
        <w:rPr>
          <w:szCs w:val="22"/>
        </w:rPr>
        <w:t>Kathey Good </w:t>
      </w:r>
    </w:p>
    <w:p w14:paraId="2EE0B5F9" w14:textId="77777777" w:rsidR="0099229B" w:rsidRPr="00087138" w:rsidRDefault="0099229B" w:rsidP="0099229B">
      <w:pPr>
        <w:rPr>
          <w:szCs w:val="22"/>
        </w:rPr>
      </w:pPr>
      <w:r w:rsidRPr="00087138">
        <w:rPr>
          <w:szCs w:val="22"/>
        </w:rPr>
        <w:t>Kathy Bradley </w:t>
      </w:r>
    </w:p>
    <w:p w14:paraId="7DB1EC44" w14:textId="77777777" w:rsidR="0099229B" w:rsidRPr="00087138" w:rsidRDefault="0099229B" w:rsidP="0099229B">
      <w:pPr>
        <w:rPr>
          <w:szCs w:val="22"/>
        </w:rPr>
      </w:pPr>
      <w:r w:rsidRPr="00087138">
        <w:rPr>
          <w:szCs w:val="22"/>
        </w:rPr>
        <w:t>Kay Wapman </w:t>
      </w:r>
    </w:p>
    <w:p w14:paraId="2DC1F29A" w14:textId="77777777" w:rsidR="0099229B" w:rsidRPr="00087138" w:rsidRDefault="0099229B" w:rsidP="0099229B">
      <w:pPr>
        <w:rPr>
          <w:szCs w:val="22"/>
        </w:rPr>
      </w:pPr>
      <w:r w:rsidRPr="00087138">
        <w:rPr>
          <w:szCs w:val="22"/>
        </w:rPr>
        <w:t>Kelley Odom  </w:t>
      </w:r>
    </w:p>
    <w:p w14:paraId="0484C834" w14:textId="77777777" w:rsidR="0099229B" w:rsidRPr="00087138" w:rsidRDefault="0099229B" w:rsidP="0099229B">
      <w:pPr>
        <w:rPr>
          <w:szCs w:val="22"/>
        </w:rPr>
      </w:pPr>
      <w:r w:rsidRPr="00087138">
        <w:rPr>
          <w:szCs w:val="22"/>
        </w:rPr>
        <w:t>Kelly Donoghue </w:t>
      </w:r>
    </w:p>
    <w:p w14:paraId="75012697" w14:textId="77777777" w:rsidR="0099229B" w:rsidRPr="00087138" w:rsidRDefault="0099229B" w:rsidP="0099229B">
      <w:pPr>
        <w:rPr>
          <w:szCs w:val="22"/>
        </w:rPr>
      </w:pPr>
      <w:r w:rsidRPr="00087138">
        <w:rPr>
          <w:szCs w:val="22"/>
        </w:rPr>
        <w:t>Kenneth Wheelock </w:t>
      </w:r>
    </w:p>
    <w:p w14:paraId="4832556F" w14:textId="77777777" w:rsidR="0099229B" w:rsidRPr="00087138" w:rsidRDefault="0099229B" w:rsidP="0099229B">
      <w:pPr>
        <w:rPr>
          <w:szCs w:val="22"/>
        </w:rPr>
      </w:pPr>
      <w:r w:rsidRPr="00087138">
        <w:rPr>
          <w:szCs w:val="22"/>
        </w:rPr>
        <w:t>Kevin Hall </w:t>
      </w:r>
    </w:p>
    <w:p w14:paraId="4E04506D" w14:textId="77777777" w:rsidR="0099229B" w:rsidRPr="00087138" w:rsidRDefault="0099229B" w:rsidP="0099229B">
      <w:pPr>
        <w:rPr>
          <w:szCs w:val="22"/>
        </w:rPr>
      </w:pPr>
      <w:r w:rsidRPr="00087138">
        <w:rPr>
          <w:szCs w:val="22"/>
        </w:rPr>
        <w:t>Kirk Kraft </w:t>
      </w:r>
    </w:p>
    <w:p w14:paraId="168E3BEB" w14:textId="77777777" w:rsidR="0099229B" w:rsidRPr="00087138" w:rsidRDefault="0099229B" w:rsidP="0099229B">
      <w:pPr>
        <w:rPr>
          <w:szCs w:val="22"/>
        </w:rPr>
      </w:pPr>
      <w:r w:rsidRPr="00087138">
        <w:rPr>
          <w:szCs w:val="22"/>
        </w:rPr>
        <w:t>Kirsten McGovern </w:t>
      </w:r>
    </w:p>
    <w:p w14:paraId="699D636F" w14:textId="0393E5A2" w:rsidR="0099229B" w:rsidRPr="00087138" w:rsidRDefault="0099229B" w:rsidP="0099229B">
      <w:pPr>
        <w:rPr>
          <w:szCs w:val="22"/>
        </w:rPr>
      </w:pPr>
      <w:r w:rsidRPr="00087138">
        <w:rPr>
          <w:szCs w:val="22"/>
        </w:rPr>
        <w:t>Kyle Bracken</w:t>
      </w:r>
    </w:p>
    <w:p w14:paraId="55FC9AF3" w14:textId="5BDD33DE" w:rsidR="0099229B" w:rsidRPr="00087138" w:rsidRDefault="0099229B" w:rsidP="0099229B">
      <w:pPr>
        <w:rPr>
          <w:szCs w:val="22"/>
        </w:rPr>
      </w:pPr>
      <w:r w:rsidRPr="00087138">
        <w:rPr>
          <w:szCs w:val="22"/>
        </w:rPr>
        <w:t>Laura Caldwell </w:t>
      </w:r>
    </w:p>
    <w:p w14:paraId="56D13F42" w14:textId="77777777" w:rsidR="0099229B" w:rsidRPr="004C29B5" w:rsidRDefault="0099229B" w:rsidP="0099229B">
      <w:pPr>
        <w:rPr>
          <w:lang w:val="es-ES"/>
        </w:rPr>
      </w:pPr>
      <w:r w:rsidRPr="00586C4A">
        <w:rPr>
          <w:noProof/>
          <w:szCs w:val="22"/>
        </w:rPr>
        <w:drawing>
          <wp:anchor distT="0" distB="0" distL="114300" distR="114300" simplePos="0" relativeHeight="251661312" behindDoc="0" locked="0" layoutInCell="1" allowOverlap="1" wp14:anchorId="3AFD0B44" wp14:editId="18A5F311">
            <wp:simplePos x="0" y="0"/>
            <wp:positionH relativeFrom="column">
              <wp:posOffset>0</wp:posOffset>
            </wp:positionH>
            <wp:positionV relativeFrom="paragraph">
              <wp:posOffset>0</wp:posOffset>
            </wp:positionV>
            <wp:extent cx="9525" cy="104775"/>
            <wp:effectExtent l="0" t="0" r="0" b="0"/>
            <wp:wrapNone/>
            <wp:docPr id="1" name="Picture 1" descr="http://www.fcc.gov/images/clear.gif"/>
            <wp:cNvGraphicFramePr/>
            <a:graphic xmlns:a="http://schemas.openxmlformats.org/drawingml/2006/main">
              <a:graphicData uri="http://schemas.openxmlformats.org/drawingml/2006/picture">
                <pic:pic xmlns:pic="http://schemas.openxmlformats.org/drawingml/2006/picture">
                  <pic:nvPicPr>
                    <pic:cNvPr id="25" name="Picture 258" descr="http://www.fcc.gov/images/clear.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1047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4C29B5">
        <w:rPr>
          <w:lang w:val="es-ES"/>
        </w:rPr>
        <w:t>Laura Carroll </w:t>
      </w:r>
    </w:p>
    <w:p w14:paraId="34749ECB" w14:textId="77777777" w:rsidR="0099229B" w:rsidRPr="004C29B5" w:rsidRDefault="0099229B" w:rsidP="0099229B">
      <w:pPr>
        <w:rPr>
          <w:lang w:val="es-ES"/>
        </w:rPr>
      </w:pPr>
      <w:r w:rsidRPr="004C29B5">
        <w:rPr>
          <w:lang w:val="es-ES"/>
        </w:rPr>
        <w:t>Laura Colegrove </w:t>
      </w:r>
    </w:p>
    <w:p w14:paraId="78FCA716" w14:textId="77777777" w:rsidR="0099229B" w:rsidRPr="004C29B5" w:rsidRDefault="0099229B" w:rsidP="0099229B">
      <w:pPr>
        <w:rPr>
          <w:lang w:val="es-ES"/>
        </w:rPr>
      </w:pPr>
      <w:r w:rsidRPr="004C29B5">
        <w:rPr>
          <w:lang w:val="es-ES"/>
        </w:rPr>
        <w:t>Laura Jobe </w:t>
      </w:r>
    </w:p>
    <w:p w14:paraId="0FA2F2ED" w14:textId="77777777" w:rsidR="0099229B" w:rsidRPr="00C46361" w:rsidRDefault="0099229B" w:rsidP="0099229B">
      <w:pPr>
        <w:rPr>
          <w:szCs w:val="22"/>
        </w:rPr>
      </w:pPr>
      <w:r w:rsidRPr="00C46361">
        <w:rPr>
          <w:szCs w:val="22"/>
        </w:rPr>
        <w:t>Laurence McNamara</w:t>
      </w:r>
    </w:p>
    <w:p w14:paraId="794E325B" w14:textId="77777777" w:rsidR="0099229B" w:rsidRPr="00087138" w:rsidRDefault="0099229B" w:rsidP="0099229B">
      <w:pPr>
        <w:rPr>
          <w:szCs w:val="22"/>
        </w:rPr>
      </w:pPr>
      <w:r w:rsidRPr="00087138">
        <w:rPr>
          <w:szCs w:val="22"/>
        </w:rPr>
        <w:t>LaVonne Whinery </w:t>
      </w:r>
    </w:p>
    <w:p w14:paraId="47EEB91B" w14:textId="77777777" w:rsidR="0099229B" w:rsidRPr="00087138" w:rsidRDefault="0099229B" w:rsidP="0099229B">
      <w:pPr>
        <w:rPr>
          <w:szCs w:val="22"/>
        </w:rPr>
      </w:pPr>
      <w:r w:rsidRPr="00087138">
        <w:rPr>
          <w:szCs w:val="22"/>
        </w:rPr>
        <w:t>Leischen Celsur </w:t>
      </w:r>
    </w:p>
    <w:p w14:paraId="2C4017F4" w14:textId="77777777" w:rsidR="0099229B" w:rsidRPr="00087138" w:rsidRDefault="0099229B" w:rsidP="0099229B">
      <w:pPr>
        <w:rPr>
          <w:szCs w:val="22"/>
        </w:rPr>
      </w:pPr>
      <w:r w:rsidRPr="00087138">
        <w:rPr>
          <w:szCs w:val="22"/>
        </w:rPr>
        <w:t>Leo Kucewicz </w:t>
      </w:r>
    </w:p>
    <w:p w14:paraId="31E3A8A2" w14:textId="77777777" w:rsidR="0099229B" w:rsidRPr="00087138" w:rsidRDefault="0099229B" w:rsidP="0099229B">
      <w:pPr>
        <w:rPr>
          <w:szCs w:val="22"/>
        </w:rPr>
      </w:pPr>
      <w:r w:rsidRPr="00087138">
        <w:rPr>
          <w:szCs w:val="22"/>
        </w:rPr>
        <w:t>Lester Federoff </w:t>
      </w:r>
    </w:p>
    <w:p w14:paraId="05C92326" w14:textId="77777777" w:rsidR="0099229B" w:rsidRPr="00087138" w:rsidRDefault="0099229B" w:rsidP="0099229B">
      <w:pPr>
        <w:rPr>
          <w:szCs w:val="22"/>
        </w:rPr>
      </w:pPr>
      <w:r w:rsidRPr="00087138">
        <w:rPr>
          <w:szCs w:val="22"/>
        </w:rPr>
        <w:t>Lewis Blanchard </w:t>
      </w:r>
    </w:p>
    <w:p w14:paraId="1056298C" w14:textId="77777777" w:rsidR="0099229B" w:rsidRPr="004C29B5" w:rsidRDefault="0099229B" w:rsidP="0099229B">
      <w:pPr>
        <w:rPr>
          <w:lang w:val="es-ES"/>
        </w:rPr>
      </w:pPr>
      <w:r w:rsidRPr="004C29B5">
        <w:rPr>
          <w:lang w:val="es-ES"/>
        </w:rPr>
        <w:t>Linda Brown </w:t>
      </w:r>
    </w:p>
    <w:p w14:paraId="548490F0" w14:textId="527FBD5D" w:rsidR="0099229B" w:rsidRPr="004C29B5" w:rsidRDefault="0099229B" w:rsidP="0099229B">
      <w:pPr>
        <w:rPr>
          <w:lang w:val="es-ES"/>
        </w:rPr>
      </w:pPr>
      <w:r w:rsidRPr="004C29B5">
        <w:rPr>
          <w:lang w:val="es-ES"/>
        </w:rPr>
        <w:t>Linda I</w:t>
      </w:r>
      <w:r w:rsidRPr="00005BE2">
        <w:rPr>
          <w:szCs w:val="22"/>
          <w:lang w:val="es-ES"/>
        </w:rPr>
        <w:t>.</w:t>
      </w:r>
      <w:r w:rsidRPr="004C29B5">
        <w:rPr>
          <w:lang w:val="es-ES"/>
        </w:rPr>
        <w:t xml:space="preserve"> Hixson </w:t>
      </w:r>
    </w:p>
    <w:p w14:paraId="7CB9200D" w14:textId="77777777" w:rsidR="0099229B" w:rsidRPr="004C29B5" w:rsidRDefault="0099229B" w:rsidP="0099229B">
      <w:pPr>
        <w:rPr>
          <w:lang w:val="es-ES"/>
        </w:rPr>
      </w:pPr>
      <w:r w:rsidRPr="004C29B5">
        <w:rPr>
          <w:lang w:val="es-ES"/>
        </w:rPr>
        <w:t>Linda Wolschlager </w:t>
      </w:r>
    </w:p>
    <w:p w14:paraId="650F7CE5" w14:textId="77777777" w:rsidR="0099229B" w:rsidRPr="004C29B5" w:rsidRDefault="0099229B" w:rsidP="0099229B">
      <w:pPr>
        <w:rPr>
          <w:lang w:val="es-ES"/>
        </w:rPr>
      </w:pPr>
      <w:r w:rsidRPr="004C29B5">
        <w:rPr>
          <w:lang w:val="es-ES"/>
        </w:rPr>
        <w:t>Lisa J. Hoffmann</w:t>
      </w:r>
    </w:p>
    <w:p w14:paraId="1E3745DE" w14:textId="77777777" w:rsidR="0099229B" w:rsidRPr="004C29B5" w:rsidRDefault="0099229B" w:rsidP="0099229B">
      <w:pPr>
        <w:rPr>
          <w:lang w:val="es-ES"/>
        </w:rPr>
      </w:pPr>
      <w:r w:rsidRPr="004C29B5">
        <w:rPr>
          <w:lang w:val="es-ES"/>
        </w:rPr>
        <w:t>Lisa Johnson </w:t>
      </w:r>
    </w:p>
    <w:p w14:paraId="498025F9" w14:textId="77777777" w:rsidR="0099229B" w:rsidRPr="004C29B5" w:rsidRDefault="0099229B" w:rsidP="0099229B">
      <w:pPr>
        <w:rPr>
          <w:lang w:val="es-ES"/>
        </w:rPr>
      </w:pPr>
      <w:r w:rsidRPr="004C29B5">
        <w:rPr>
          <w:lang w:val="es-ES"/>
        </w:rPr>
        <w:t>Lisa Ross </w:t>
      </w:r>
    </w:p>
    <w:p w14:paraId="543D9081" w14:textId="77777777" w:rsidR="0099229B" w:rsidRPr="004C29B5" w:rsidRDefault="0099229B" w:rsidP="0099229B">
      <w:pPr>
        <w:rPr>
          <w:lang w:val="es-ES"/>
        </w:rPr>
      </w:pPr>
      <w:r w:rsidRPr="004C29B5">
        <w:rPr>
          <w:lang w:val="es-ES"/>
        </w:rPr>
        <w:t>Lydia Hay</w:t>
      </w:r>
    </w:p>
    <w:p w14:paraId="58DD96E7" w14:textId="77777777" w:rsidR="0099229B" w:rsidRPr="00C23EF0" w:rsidRDefault="0099229B" w:rsidP="0099229B">
      <w:pPr>
        <w:rPr>
          <w:szCs w:val="22"/>
        </w:rPr>
      </w:pPr>
      <w:r w:rsidRPr="00C23EF0">
        <w:rPr>
          <w:szCs w:val="22"/>
        </w:rPr>
        <w:t>Lynda Marquardt</w:t>
      </w:r>
    </w:p>
    <w:p w14:paraId="47F3074A" w14:textId="77777777" w:rsidR="0099229B" w:rsidRPr="00087138" w:rsidRDefault="0099229B" w:rsidP="0099229B">
      <w:pPr>
        <w:rPr>
          <w:szCs w:val="22"/>
        </w:rPr>
      </w:pPr>
      <w:r w:rsidRPr="00087138">
        <w:rPr>
          <w:szCs w:val="22"/>
        </w:rPr>
        <w:t>Lynn Signorelli </w:t>
      </w:r>
    </w:p>
    <w:p w14:paraId="516B86E3" w14:textId="77777777" w:rsidR="0099229B" w:rsidRPr="00087138" w:rsidRDefault="0099229B" w:rsidP="0099229B">
      <w:pPr>
        <w:rPr>
          <w:szCs w:val="22"/>
        </w:rPr>
      </w:pPr>
      <w:r w:rsidRPr="00087138">
        <w:rPr>
          <w:szCs w:val="22"/>
        </w:rPr>
        <w:t>M</w:t>
      </w:r>
      <w:r>
        <w:rPr>
          <w:szCs w:val="22"/>
        </w:rPr>
        <w:t>.</w:t>
      </w:r>
      <w:r w:rsidRPr="00087138">
        <w:rPr>
          <w:szCs w:val="22"/>
        </w:rPr>
        <w:t xml:space="preserve"> Herndon </w:t>
      </w:r>
    </w:p>
    <w:p w14:paraId="2522869C" w14:textId="77777777" w:rsidR="0099229B" w:rsidRPr="00087138" w:rsidRDefault="0099229B" w:rsidP="0099229B">
      <w:pPr>
        <w:rPr>
          <w:szCs w:val="22"/>
        </w:rPr>
      </w:pPr>
      <w:r w:rsidRPr="00087138">
        <w:rPr>
          <w:szCs w:val="22"/>
        </w:rPr>
        <w:t>Marc Simon </w:t>
      </w:r>
    </w:p>
    <w:p w14:paraId="3892E7D6" w14:textId="77777777" w:rsidR="0099229B" w:rsidRPr="00087138" w:rsidRDefault="0099229B" w:rsidP="0099229B">
      <w:pPr>
        <w:rPr>
          <w:szCs w:val="22"/>
        </w:rPr>
      </w:pPr>
      <w:r w:rsidRPr="00087138">
        <w:rPr>
          <w:szCs w:val="22"/>
        </w:rPr>
        <w:t>Maria Lemonds </w:t>
      </w:r>
    </w:p>
    <w:p w14:paraId="76D4DC6C" w14:textId="77777777" w:rsidR="0099229B" w:rsidRPr="00087138" w:rsidRDefault="0099229B" w:rsidP="0099229B">
      <w:pPr>
        <w:rPr>
          <w:szCs w:val="22"/>
        </w:rPr>
      </w:pPr>
      <w:r w:rsidRPr="00087138">
        <w:rPr>
          <w:szCs w:val="22"/>
        </w:rPr>
        <w:t>Marjo Nordhorn </w:t>
      </w:r>
    </w:p>
    <w:p w14:paraId="5F1919B6" w14:textId="77777777" w:rsidR="0099229B" w:rsidRPr="00087138" w:rsidRDefault="0099229B" w:rsidP="0099229B">
      <w:pPr>
        <w:rPr>
          <w:szCs w:val="22"/>
        </w:rPr>
      </w:pPr>
      <w:r w:rsidRPr="00087138">
        <w:rPr>
          <w:szCs w:val="22"/>
        </w:rPr>
        <w:t>Mark Leicester </w:t>
      </w:r>
    </w:p>
    <w:p w14:paraId="60FC4C55" w14:textId="77777777" w:rsidR="0099229B" w:rsidRPr="00087138" w:rsidRDefault="0099229B" w:rsidP="0099229B">
      <w:pPr>
        <w:rPr>
          <w:szCs w:val="22"/>
        </w:rPr>
      </w:pPr>
      <w:r w:rsidRPr="00087138">
        <w:rPr>
          <w:szCs w:val="22"/>
        </w:rPr>
        <w:t>Mary Hill </w:t>
      </w:r>
    </w:p>
    <w:p w14:paraId="4A094453" w14:textId="77777777" w:rsidR="0099229B" w:rsidRPr="00087138" w:rsidRDefault="0099229B" w:rsidP="0099229B">
      <w:pPr>
        <w:rPr>
          <w:szCs w:val="22"/>
        </w:rPr>
      </w:pPr>
      <w:r w:rsidRPr="00087138">
        <w:rPr>
          <w:szCs w:val="22"/>
        </w:rPr>
        <w:t>Mary Jean Collins </w:t>
      </w:r>
    </w:p>
    <w:p w14:paraId="608F101F" w14:textId="77777777" w:rsidR="0099229B" w:rsidRPr="00087138" w:rsidRDefault="0099229B" w:rsidP="0099229B">
      <w:pPr>
        <w:rPr>
          <w:szCs w:val="22"/>
        </w:rPr>
      </w:pPr>
      <w:r w:rsidRPr="00087138">
        <w:rPr>
          <w:szCs w:val="22"/>
        </w:rPr>
        <w:t>Mary Longstreth </w:t>
      </w:r>
    </w:p>
    <w:p w14:paraId="6B6A6BA5" w14:textId="77777777" w:rsidR="0099229B" w:rsidRPr="00087138" w:rsidRDefault="0099229B" w:rsidP="0099229B">
      <w:pPr>
        <w:rPr>
          <w:szCs w:val="22"/>
        </w:rPr>
      </w:pPr>
      <w:r w:rsidRPr="00087138">
        <w:rPr>
          <w:szCs w:val="22"/>
        </w:rPr>
        <w:t>Mary Van Son </w:t>
      </w:r>
    </w:p>
    <w:p w14:paraId="6CB098D7" w14:textId="77777777" w:rsidR="0099229B" w:rsidRPr="00087138" w:rsidRDefault="0099229B" w:rsidP="0099229B">
      <w:pPr>
        <w:rPr>
          <w:szCs w:val="22"/>
        </w:rPr>
      </w:pPr>
      <w:r w:rsidRPr="00087138">
        <w:rPr>
          <w:szCs w:val="22"/>
        </w:rPr>
        <w:t>Mashell Colwell </w:t>
      </w:r>
    </w:p>
    <w:p w14:paraId="4DE472B4" w14:textId="77777777" w:rsidR="0099229B" w:rsidRPr="00087138" w:rsidRDefault="0099229B" w:rsidP="0099229B">
      <w:pPr>
        <w:rPr>
          <w:szCs w:val="22"/>
        </w:rPr>
      </w:pPr>
      <w:r w:rsidRPr="00087138">
        <w:rPr>
          <w:szCs w:val="22"/>
        </w:rPr>
        <w:t>Matthew Berg  </w:t>
      </w:r>
    </w:p>
    <w:p w14:paraId="5011544F" w14:textId="77777777" w:rsidR="0099229B" w:rsidRPr="00087138" w:rsidRDefault="0099229B" w:rsidP="0099229B">
      <w:pPr>
        <w:rPr>
          <w:szCs w:val="22"/>
        </w:rPr>
      </w:pPr>
      <w:r w:rsidRPr="00087138">
        <w:rPr>
          <w:szCs w:val="22"/>
        </w:rPr>
        <w:t>Matthew Felegy </w:t>
      </w:r>
    </w:p>
    <w:p w14:paraId="43DC2A46" w14:textId="77777777" w:rsidR="0099229B" w:rsidRPr="00087138" w:rsidRDefault="0099229B" w:rsidP="0099229B">
      <w:pPr>
        <w:rPr>
          <w:szCs w:val="22"/>
        </w:rPr>
      </w:pPr>
      <w:r w:rsidRPr="00087138">
        <w:rPr>
          <w:szCs w:val="22"/>
        </w:rPr>
        <w:t xml:space="preserve">Maureen Anderson  </w:t>
      </w:r>
    </w:p>
    <w:p w14:paraId="704E9585" w14:textId="77777777" w:rsidR="0099229B" w:rsidRPr="00087138" w:rsidRDefault="0099229B" w:rsidP="0099229B">
      <w:pPr>
        <w:rPr>
          <w:szCs w:val="22"/>
        </w:rPr>
      </w:pPr>
      <w:r w:rsidRPr="00087138">
        <w:rPr>
          <w:szCs w:val="22"/>
        </w:rPr>
        <w:t>Maureen Walsh </w:t>
      </w:r>
    </w:p>
    <w:p w14:paraId="11CB0435" w14:textId="77777777" w:rsidR="0099229B" w:rsidRPr="00087138" w:rsidRDefault="0099229B" w:rsidP="0099229B">
      <w:pPr>
        <w:rPr>
          <w:szCs w:val="22"/>
        </w:rPr>
      </w:pPr>
      <w:r w:rsidRPr="00087138">
        <w:rPr>
          <w:szCs w:val="22"/>
        </w:rPr>
        <w:t>Meghan Sugrue </w:t>
      </w:r>
    </w:p>
    <w:p w14:paraId="346D2684" w14:textId="77777777" w:rsidR="0099229B" w:rsidRPr="00087138" w:rsidRDefault="0099229B" w:rsidP="0099229B">
      <w:pPr>
        <w:rPr>
          <w:szCs w:val="22"/>
        </w:rPr>
      </w:pPr>
      <w:r w:rsidRPr="00087138">
        <w:rPr>
          <w:szCs w:val="22"/>
        </w:rPr>
        <w:t>Meghana Khanolkar</w:t>
      </w:r>
    </w:p>
    <w:p w14:paraId="5A6B77CF" w14:textId="77777777" w:rsidR="0099229B" w:rsidRPr="00087138" w:rsidRDefault="0099229B" w:rsidP="0099229B">
      <w:pPr>
        <w:rPr>
          <w:szCs w:val="22"/>
        </w:rPr>
      </w:pPr>
      <w:r w:rsidRPr="00087138">
        <w:rPr>
          <w:szCs w:val="22"/>
        </w:rPr>
        <w:t>Melanie Binkley </w:t>
      </w:r>
    </w:p>
    <w:p w14:paraId="67E02294" w14:textId="77777777" w:rsidR="0099229B" w:rsidRPr="00087138" w:rsidRDefault="0099229B" w:rsidP="0099229B">
      <w:pPr>
        <w:rPr>
          <w:szCs w:val="22"/>
        </w:rPr>
      </w:pPr>
      <w:r w:rsidRPr="00087138">
        <w:rPr>
          <w:szCs w:val="22"/>
        </w:rPr>
        <w:t>Melanie Cantrell </w:t>
      </w:r>
    </w:p>
    <w:p w14:paraId="1C9B7490" w14:textId="77777777" w:rsidR="0099229B" w:rsidRPr="00087138" w:rsidRDefault="0099229B" w:rsidP="0099229B">
      <w:pPr>
        <w:rPr>
          <w:szCs w:val="22"/>
        </w:rPr>
      </w:pPr>
      <w:r w:rsidRPr="00087138">
        <w:rPr>
          <w:szCs w:val="22"/>
        </w:rPr>
        <w:t>Me'Lissa King </w:t>
      </w:r>
    </w:p>
    <w:p w14:paraId="12D38844" w14:textId="77777777" w:rsidR="0099229B" w:rsidRPr="00087138" w:rsidRDefault="0099229B" w:rsidP="0099229B">
      <w:pPr>
        <w:rPr>
          <w:szCs w:val="22"/>
        </w:rPr>
      </w:pPr>
      <w:r w:rsidRPr="00087138">
        <w:rPr>
          <w:szCs w:val="22"/>
        </w:rPr>
        <w:t>Melissa Waller </w:t>
      </w:r>
    </w:p>
    <w:p w14:paraId="581F44E9" w14:textId="77777777" w:rsidR="0099229B" w:rsidRPr="00087138" w:rsidRDefault="0099229B" w:rsidP="0099229B">
      <w:pPr>
        <w:rPr>
          <w:szCs w:val="22"/>
          <w:lang w:val="es-ES"/>
        </w:rPr>
      </w:pPr>
      <w:r w:rsidRPr="00087138">
        <w:rPr>
          <w:szCs w:val="22"/>
          <w:lang w:val="es-ES"/>
        </w:rPr>
        <w:t>Michael McLeod </w:t>
      </w:r>
    </w:p>
    <w:p w14:paraId="42A37EED" w14:textId="77777777" w:rsidR="0099229B" w:rsidRPr="00087138" w:rsidRDefault="0099229B" w:rsidP="0099229B">
      <w:pPr>
        <w:rPr>
          <w:szCs w:val="22"/>
          <w:lang w:val="es-ES"/>
        </w:rPr>
      </w:pPr>
      <w:r w:rsidRPr="00087138">
        <w:rPr>
          <w:szCs w:val="22"/>
          <w:lang w:val="es-ES"/>
        </w:rPr>
        <w:t>Michael Rostagno-Lasky </w:t>
      </w:r>
    </w:p>
    <w:p w14:paraId="1549339A" w14:textId="77777777" w:rsidR="0099229B" w:rsidRPr="00087138" w:rsidRDefault="0099229B" w:rsidP="0099229B">
      <w:pPr>
        <w:rPr>
          <w:szCs w:val="22"/>
          <w:lang w:val="es-ES"/>
        </w:rPr>
      </w:pPr>
      <w:r w:rsidRPr="00087138">
        <w:rPr>
          <w:szCs w:val="22"/>
          <w:lang w:val="es-ES"/>
        </w:rPr>
        <w:t>Michael Rowland </w:t>
      </w:r>
    </w:p>
    <w:p w14:paraId="344D44D5" w14:textId="77777777" w:rsidR="0099229B" w:rsidRPr="00087138" w:rsidRDefault="0099229B" w:rsidP="0099229B">
      <w:pPr>
        <w:rPr>
          <w:szCs w:val="22"/>
        </w:rPr>
      </w:pPr>
      <w:r w:rsidRPr="00087138">
        <w:rPr>
          <w:szCs w:val="22"/>
        </w:rPr>
        <w:t>Michael Woolever </w:t>
      </w:r>
    </w:p>
    <w:p w14:paraId="13566777" w14:textId="77777777" w:rsidR="0099229B" w:rsidRPr="00087138" w:rsidRDefault="0099229B" w:rsidP="0099229B">
      <w:pPr>
        <w:rPr>
          <w:szCs w:val="22"/>
        </w:rPr>
      </w:pPr>
      <w:r w:rsidRPr="00087138">
        <w:rPr>
          <w:szCs w:val="22"/>
        </w:rPr>
        <w:t>Michelle Kerr </w:t>
      </w:r>
    </w:p>
    <w:p w14:paraId="74CBE9AA" w14:textId="77777777" w:rsidR="0099229B" w:rsidRPr="00087138" w:rsidRDefault="0099229B" w:rsidP="0099229B">
      <w:pPr>
        <w:rPr>
          <w:szCs w:val="22"/>
        </w:rPr>
      </w:pPr>
      <w:r w:rsidRPr="00087138">
        <w:rPr>
          <w:szCs w:val="22"/>
        </w:rPr>
        <w:t>Mike Hancock </w:t>
      </w:r>
    </w:p>
    <w:p w14:paraId="4DD009C1" w14:textId="77777777" w:rsidR="0099229B" w:rsidRPr="00087138" w:rsidRDefault="0099229B" w:rsidP="0099229B">
      <w:pPr>
        <w:rPr>
          <w:szCs w:val="22"/>
        </w:rPr>
      </w:pPr>
      <w:r w:rsidRPr="00087138">
        <w:rPr>
          <w:szCs w:val="22"/>
        </w:rPr>
        <w:t xml:space="preserve">Mobile Future </w:t>
      </w:r>
    </w:p>
    <w:p w14:paraId="411319A3" w14:textId="77777777" w:rsidR="0099229B" w:rsidRPr="00087138" w:rsidRDefault="0099229B" w:rsidP="0099229B">
      <w:pPr>
        <w:rPr>
          <w:szCs w:val="22"/>
        </w:rPr>
      </w:pPr>
      <w:r w:rsidRPr="00087138">
        <w:rPr>
          <w:szCs w:val="22"/>
        </w:rPr>
        <w:t>Monika Winchester</w:t>
      </w:r>
    </w:p>
    <w:p w14:paraId="14CB6AF8" w14:textId="77777777" w:rsidR="0099229B" w:rsidRPr="00087138" w:rsidRDefault="0099229B" w:rsidP="0099229B">
      <w:pPr>
        <w:rPr>
          <w:szCs w:val="22"/>
        </w:rPr>
      </w:pPr>
      <w:r w:rsidRPr="00087138">
        <w:rPr>
          <w:szCs w:val="22"/>
        </w:rPr>
        <w:t>Monty King</w:t>
      </w:r>
    </w:p>
    <w:p w14:paraId="5AD35D05" w14:textId="77777777" w:rsidR="0099229B" w:rsidRPr="00087138" w:rsidRDefault="0099229B" w:rsidP="0099229B">
      <w:pPr>
        <w:rPr>
          <w:szCs w:val="22"/>
        </w:rPr>
      </w:pPr>
      <w:r w:rsidRPr="00087138">
        <w:rPr>
          <w:szCs w:val="22"/>
        </w:rPr>
        <w:t>Mordy Kaplinsky </w:t>
      </w:r>
    </w:p>
    <w:p w14:paraId="79A47A1B" w14:textId="77777777" w:rsidR="0099229B" w:rsidRPr="00087138" w:rsidRDefault="0099229B" w:rsidP="0099229B">
      <w:pPr>
        <w:rPr>
          <w:szCs w:val="22"/>
        </w:rPr>
      </w:pPr>
      <w:r w:rsidRPr="00087138">
        <w:rPr>
          <w:szCs w:val="22"/>
        </w:rPr>
        <w:t>Motorola Mobility LLC (Motorola)</w:t>
      </w:r>
    </w:p>
    <w:p w14:paraId="35ED503A" w14:textId="77777777" w:rsidR="0099229B" w:rsidRPr="00087138" w:rsidRDefault="0099229B" w:rsidP="0099229B">
      <w:pPr>
        <w:rPr>
          <w:szCs w:val="22"/>
        </w:rPr>
      </w:pPr>
      <w:r w:rsidRPr="00087138">
        <w:rPr>
          <w:szCs w:val="22"/>
        </w:rPr>
        <w:t>Murray McAndrew </w:t>
      </w:r>
    </w:p>
    <w:p w14:paraId="6C2B82A1" w14:textId="09906B5C" w:rsidR="0099229B" w:rsidRPr="00087138" w:rsidRDefault="0099229B" w:rsidP="0099229B">
      <w:pPr>
        <w:rPr>
          <w:szCs w:val="22"/>
        </w:rPr>
      </w:pPr>
      <w:r w:rsidRPr="00087138">
        <w:rPr>
          <w:szCs w:val="22"/>
        </w:rPr>
        <w:t>Nancy Cha</w:t>
      </w:r>
    </w:p>
    <w:p w14:paraId="5C3F5837" w14:textId="77777777" w:rsidR="0099229B" w:rsidRPr="00087138" w:rsidRDefault="0099229B" w:rsidP="0099229B">
      <w:pPr>
        <w:rPr>
          <w:szCs w:val="22"/>
        </w:rPr>
      </w:pPr>
      <w:r w:rsidRPr="00087138">
        <w:rPr>
          <w:szCs w:val="22"/>
        </w:rPr>
        <w:t>Nancy Dolman </w:t>
      </w:r>
    </w:p>
    <w:p w14:paraId="05282E65" w14:textId="77777777" w:rsidR="0099229B" w:rsidRPr="00087138" w:rsidRDefault="0099229B" w:rsidP="0099229B">
      <w:pPr>
        <w:rPr>
          <w:szCs w:val="22"/>
        </w:rPr>
      </w:pPr>
      <w:r w:rsidRPr="00087138">
        <w:rPr>
          <w:szCs w:val="22"/>
        </w:rPr>
        <w:t>Nancy Stamm </w:t>
      </w:r>
    </w:p>
    <w:p w14:paraId="71888831" w14:textId="77777777" w:rsidR="0099229B" w:rsidRPr="00087138" w:rsidRDefault="0099229B" w:rsidP="0099229B">
      <w:pPr>
        <w:rPr>
          <w:szCs w:val="22"/>
        </w:rPr>
      </w:pPr>
      <w:r w:rsidRPr="00087138">
        <w:rPr>
          <w:szCs w:val="22"/>
        </w:rPr>
        <w:t>Nancy Williams </w:t>
      </w:r>
    </w:p>
    <w:p w14:paraId="1DDDC626" w14:textId="77777777" w:rsidR="0099229B" w:rsidRPr="00087138" w:rsidRDefault="0099229B" w:rsidP="0099229B">
      <w:pPr>
        <w:rPr>
          <w:szCs w:val="22"/>
        </w:rPr>
      </w:pPr>
      <w:r w:rsidRPr="00087138">
        <w:rPr>
          <w:szCs w:val="22"/>
        </w:rPr>
        <w:t>Naomi Moody </w:t>
      </w:r>
    </w:p>
    <w:p w14:paraId="60076D81" w14:textId="77777777" w:rsidR="0099229B" w:rsidRPr="00087138" w:rsidRDefault="0099229B" w:rsidP="0099229B">
      <w:pPr>
        <w:rPr>
          <w:szCs w:val="22"/>
        </w:rPr>
      </w:pPr>
      <w:r w:rsidRPr="00087138">
        <w:rPr>
          <w:szCs w:val="22"/>
        </w:rPr>
        <w:t>Nathan Lee </w:t>
      </w:r>
    </w:p>
    <w:p w14:paraId="1800D591" w14:textId="77777777" w:rsidR="0099229B" w:rsidRPr="00087138" w:rsidRDefault="0099229B" w:rsidP="0099229B">
      <w:pPr>
        <w:rPr>
          <w:szCs w:val="22"/>
        </w:rPr>
      </w:pPr>
      <w:r w:rsidRPr="00087138">
        <w:rPr>
          <w:szCs w:val="22"/>
        </w:rPr>
        <w:t>Nathan Watts </w:t>
      </w:r>
    </w:p>
    <w:p w14:paraId="730DDE22" w14:textId="77777777" w:rsidR="0099229B" w:rsidRDefault="0099229B" w:rsidP="0099229B">
      <w:pPr>
        <w:rPr>
          <w:szCs w:val="22"/>
        </w:rPr>
      </w:pPr>
      <w:r w:rsidRPr="00087138">
        <w:rPr>
          <w:szCs w:val="22"/>
        </w:rPr>
        <w:t xml:space="preserve">National Association of Regulatory Utility </w:t>
      </w:r>
    </w:p>
    <w:p w14:paraId="760FC2F9" w14:textId="77777777" w:rsidR="0099229B" w:rsidRPr="00087138" w:rsidRDefault="0099229B" w:rsidP="0099229B">
      <w:pPr>
        <w:rPr>
          <w:szCs w:val="22"/>
        </w:rPr>
      </w:pPr>
      <w:r>
        <w:rPr>
          <w:szCs w:val="22"/>
        </w:rPr>
        <w:t xml:space="preserve">   </w:t>
      </w:r>
      <w:r w:rsidRPr="00087138">
        <w:rPr>
          <w:szCs w:val="22"/>
        </w:rPr>
        <w:t>Commissioners (NARUC)</w:t>
      </w:r>
    </w:p>
    <w:p w14:paraId="55B7B7C7" w14:textId="77777777" w:rsidR="0099229B" w:rsidRDefault="0099229B" w:rsidP="0099229B">
      <w:pPr>
        <w:rPr>
          <w:szCs w:val="22"/>
        </w:rPr>
      </w:pPr>
      <w:r w:rsidRPr="00087138">
        <w:rPr>
          <w:szCs w:val="22"/>
        </w:rPr>
        <w:t xml:space="preserve">National Association of State Emergency </w:t>
      </w:r>
    </w:p>
    <w:p w14:paraId="041227BC" w14:textId="77777777" w:rsidR="0099229B" w:rsidRDefault="0099229B" w:rsidP="0099229B">
      <w:pPr>
        <w:rPr>
          <w:szCs w:val="22"/>
        </w:rPr>
      </w:pPr>
      <w:r>
        <w:rPr>
          <w:szCs w:val="22"/>
        </w:rPr>
        <w:t xml:space="preserve">   </w:t>
      </w:r>
      <w:r w:rsidRPr="00087138">
        <w:rPr>
          <w:szCs w:val="22"/>
        </w:rPr>
        <w:t xml:space="preserve">Medical Services EMS Officials </w:t>
      </w:r>
    </w:p>
    <w:p w14:paraId="478B13FD" w14:textId="77777777" w:rsidR="0099229B" w:rsidRDefault="0099229B" w:rsidP="0099229B">
      <w:pPr>
        <w:rPr>
          <w:szCs w:val="22"/>
        </w:rPr>
      </w:pPr>
      <w:r>
        <w:rPr>
          <w:szCs w:val="22"/>
        </w:rPr>
        <w:t xml:space="preserve">   </w:t>
      </w:r>
      <w:r w:rsidRPr="00087138">
        <w:rPr>
          <w:szCs w:val="22"/>
        </w:rPr>
        <w:t xml:space="preserve">(NASEMSO), National Association of EMS </w:t>
      </w:r>
    </w:p>
    <w:p w14:paraId="3D8AAFB2" w14:textId="77777777" w:rsidR="0099229B" w:rsidRDefault="0099229B" w:rsidP="0099229B">
      <w:pPr>
        <w:rPr>
          <w:szCs w:val="22"/>
        </w:rPr>
      </w:pPr>
      <w:r>
        <w:rPr>
          <w:szCs w:val="22"/>
        </w:rPr>
        <w:t xml:space="preserve">   </w:t>
      </w:r>
      <w:r w:rsidRPr="00087138">
        <w:rPr>
          <w:szCs w:val="22"/>
        </w:rPr>
        <w:t xml:space="preserve">Physicians (NAEMSP), National Association </w:t>
      </w:r>
    </w:p>
    <w:p w14:paraId="0C8310E4" w14:textId="77777777" w:rsidR="0099229B" w:rsidRDefault="0099229B" w:rsidP="0099229B">
      <w:pPr>
        <w:rPr>
          <w:szCs w:val="22"/>
        </w:rPr>
      </w:pPr>
      <w:r>
        <w:rPr>
          <w:szCs w:val="22"/>
        </w:rPr>
        <w:t xml:space="preserve">   </w:t>
      </w:r>
      <w:r w:rsidRPr="00087138">
        <w:rPr>
          <w:szCs w:val="22"/>
        </w:rPr>
        <w:t xml:space="preserve">of EMTs (NAEMT), and National EMS </w:t>
      </w:r>
    </w:p>
    <w:p w14:paraId="1B2BAA69" w14:textId="77777777" w:rsidR="0099229B" w:rsidRPr="00087138" w:rsidRDefault="0099229B" w:rsidP="0099229B">
      <w:pPr>
        <w:rPr>
          <w:szCs w:val="22"/>
        </w:rPr>
      </w:pPr>
      <w:r>
        <w:rPr>
          <w:szCs w:val="22"/>
        </w:rPr>
        <w:t xml:space="preserve">   </w:t>
      </w:r>
      <w:r w:rsidRPr="00087138">
        <w:rPr>
          <w:szCs w:val="22"/>
        </w:rPr>
        <w:t>Management Association (NEMSA)</w:t>
      </w:r>
    </w:p>
    <w:p w14:paraId="75353EBB" w14:textId="77777777" w:rsidR="0099229B" w:rsidRDefault="0099229B" w:rsidP="0099229B">
      <w:pPr>
        <w:rPr>
          <w:szCs w:val="22"/>
        </w:rPr>
      </w:pPr>
      <w:r w:rsidRPr="00087138">
        <w:rPr>
          <w:szCs w:val="22"/>
        </w:rPr>
        <w:t xml:space="preserve">National Association of State 911 </w:t>
      </w:r>
    </w:p>
    <w:p w14:paraId="16B47BCE" w14:textId="77777777" w:rsidR="0099229B" w:rsidRPr="00087138" w:rsidRDefault="0099229B" w:rsidP="0099229B">
      <w:pPr>
        <w:rPr>
          <w:szCs w:val="22"/>
        </w:rPr>
      </w:pPr>
      <w:r>
        <w:rPr>
          <w:szCs w:val="22"/>
        </w:rPr>
        <w:t xml:space="preserve">   </w:t>
      </w:r>
      <w:r w:rsidRPr="00087138">
        <w:rPr>
          <w:szCs w:val="22"/>
        </w:rPr>
        <w:t>Administrators (NASNA)</w:t>
      </w:r>
    </w:p>
    <w:p w14:paraId="24FE48A8" w14:textId="77777777" w:rsidR="0099229B" w:rsidRDefault="0099229B" w:rsidP="0099229B">
      <w:pPr>
        <w:rPr>
          <w:szCs w:val="22"/>
        </w:rPr>
      </w:pPr>
      <w:r w:rsidRPr="00087138">
        <w:rPr>
          <w:szCs w:val="22"/>
        </w:rPr>
        <w:t xml:space="preserve">National Public Safety Telecommunications </w:t>
      </w:r>
    </w:p>
    <w:p w14:paraId="4A361F0F" w14:textId="59908D1A" w:rsidR="0099229B" w:rsidRPr="00087138" w:rsidRDefault="0099229B" w:rsidP="0099229B">
      <w:pPr>
        <w:rPr>
          <w:szCs w:val="22"/>
        </w:rPr>
      </w:pPr>
      <w:r>
        <w:rPr>
          <w:szCs w:val="22"/>
        </w:rPr>
        <w:t xml:space="preserve">   </w:t>
      </w:r>
      <w:r w:rsidRPr="00087138">
        <w:rPr>
          <w:szCs w:val="22"/>
        </w:rPr>
        <w:t>Council (NPSTC)</w:t>
      </w:r>
    </w:p>
    <w:p w14:paraId="19526DF9" w14:textId="77777777" w:rsidR="0099229B" w:rsidRPr="00087138" w:rsidRDefault="0099229B" w:rsidP="0099229B">
      <w:pPr>
        <w:rPr>
          <w:szCs w:val="22"/>
        </w:rPr>
      </w:pPr>
      <w:r w:rsidRPr="00087138">
        <w:rPr>
          <w:szCs w:val="22"/>
        </w:rPr>
        <w:t>Nebraska Public Service Commission (NPSC)</w:t>
      </w:r>
    </w:p>
    <w:p w14:paraId="0A51B60A" w14:textId="77777777" w:rsidR="0099229B" w:rsidRPr="00087138" w:rsidRDefault="0099229B" w:rsidP="0099229B">
      <w:pPr>
        <w:rPr>
          <w:szCs w:val="22"/>
        </w:rPr>
      </w:pPr>
      <w:r w:rsidRPr="00087138">
        <w:rPr>
          <w:szCs w:val="22"/>
        </w:rPr>
        <w:t>NENA: The 9-1-1 Association (NENA)</w:t>
      </w:r>
    </w:p>
    <w:p w14:paraId="7BC1432B" w14:textId="77777777" w:rsidR="0099229B" w:rsidRPr="00087138" w:rsidRDefault="0099229B" w:rsidP="0099229B">
      <w:pPr>
        <w:rPr>
          <w:szCs w:val="22"/>
        </w:rPr>
      </w:pPr>
      <w:r w:rsidRPr="00087138">
        <w:rPr>
          <w:szCs w:val="22"/>
        </w:rPr>
        <w:t>NextNav, LLC (NextNav)</w:t>
      </w:r>
    </w:p>
    <w:p w14:paraId="403AC8E6" w14:textId="77777777" w:rsidR="0099229B" w:rsidRPr="00087138" w:rsidRDefault="0099229B" w:rsidP="0099229B">
      <w:pPr>
        <w:rPr>
          <w:szCs w:val="22"/>
        </w:rPr>
      </w:pPr>
      <w:r w:rsidRPr="00087138">
        <w:rPr>
          <w:szCs w:val="22"/>
        </w:rPr>
        <w:t>Nick Dickens </w:t>
      </w:r>
    </w:p>
    <w:p w14:paraId="2A39F832" w14:textId="77777777" w:rsidR="0099229B" w:rsidRPr="00087138" w:rsidRDefault="0099229B" w:rsidP="0099229B">
      <w:pPr>
        <w:rPr>
          <w:szCs w:val="22"/>
        </w:rPr>
      </w:pPr>
      <w:r w:rsidRPr="00087138">
        <w:rPr>
          <w:szCs w:val="22"/>
        </w:rPr>
        <w:t>Nicole Schnittger </w:t>
      </w:r>
    </w:p>
    <w:p w14:paraId="0CF36B70" w14:textId="77777777" w:rsidR="0099229B" w:rsidRPr="00087138" w:rsidRDefault="0099229B" w:rsidP="0099229B">
      <w:pPr>
        <w:rPr>
          <w:szCs w:val="22"/>
        </w:rPr>
      </w:pPr>
      <w:r w:rsidRPr="00087138">
        <w:rPr>
          <w:szCs w:val="22"/>
        </w:rPr>
        <w:t>Norris Williams </w:t>
      </w:r>
    </w:p>
    <w:p w14:paraId="716D4FEC" w14:textId="1982150F" w:rsidR="0099229B" w:rsidRDefault="0099229B" w:rsidP="0099229B">
      <w:pPr>
        <w:rPr>
          <w:szCs w:val="22"/>
        </w:rPr>
      </w:pPr>
      <w:r w:rsidRPr="00087138">
        <w:rPr>
          <w:szCs w:val="22"/>
        </w:rPr>
        <w:t xml:space="preserve">NTCA–The Rural Broadband Association </w:t>
      </w:r>
    </w:p>
    <w:p w14:paraId="099FFF55" w14:textId="77777777" w:rsidR="0099229B" w:rsidRPr="005A2014" w:rsidRDefault="0099229B" w:rsidP="0099229B">
      <w:r>
        <w:rPr>
          <w:szCs w:val="22"/>
        </w:rPr>
        <w:t xml:space="preserve">   </w:t>
      </w:r>
      <w:r w:rsidRPr="005A2014">
        <w:t>(NTCA)</w:t>
      </w:r>
    </w:p>
    <w:p w14:paraId="5A131740" w14:textId="77777777" w:rsidR="0099229B" w:rsidRPr="00087138" w:rsidRDefault="0099229B" w:rsidP="0099229B">
      <w:pPr>
        <w:rPr>
          <w:szCs w:val="22"/>
          <w:lang w:val="es-ES"/>
        </w:rPr>
      </w:pPr>
      <w:r w:rsidRPr="00087138">
        <w:rPr>
          <w:szCs w:val="22"/>
          <w:lang w:val="es-ES"/>
        </w:rPr>
        <w:t>Pam Pfeifer </w:t>
      </w:r>
    </w:p>
    <w:p w14:paraId="296FD502" w14:textId="77777777" w:rsidR="0099229B" w:rsidRPr="00087138" w:rsidRDefault="0099229B" w:rsidP="0099229B">
      <w:pPr>
        <w:rPr>
          <w:szCs w:val="22"/>
          <w:lang w:val="es-ES"/>
        </w:rPr>
      </w:pPr>
      <w:r w:rsidRPr="00087138">
        <w:rPr>
          <w:szCs w:val="22"/>
          <w:lang w:val="es-ES"/>
        </w:rPr>
        <w:t>Pamela Dodd </w:t>
      </w:r>
    </w:p>
    <w:p w14:paraId="424B70A3" w14:textId="77777777" w:rsidR="0099229B" w:rsidRPr="00087138" w:rsidRDefault="0099229B" w:rsidP="0099229B">
      <w:pPr>
        <w:rPr>
          <w:szCs w:val="22"/>
          <w:lang w:val="es-ES"/>
        </w:rPr>
      </w:pPr>
      <w:r w:rsidRPr="00087138">
        <w:rPr>
          <w:szCs w:val="22"/>
          <w:lang w:val="es-ES"/>
        </w:rPr>
        <w:t>Patricia Mensler </w:t>
      </w:r>
    </w:p>
    <w:p w14:paraId="632CFEEB" w14:textId="77777777" w:rsidR="0099229B" w:rsidRPr="00087138" w:rsidRDefault="0099229B" w:rsidP="0099229B">
      <w:pPr>
        <w:rPr>
          <w:szCs w:val="22"/>
        </w:rPr>
      </w:pPr>
      <w:r w:rsidRPr="00087138">
        <w:rPr>
          <w:szCs w:val="22"/>
        </w:rPr>
        <w:t>Pattie Johnston </w:t>
      </w:r>
    </w:p>
    <w:p w14:paraId="503C782E" w14:textId="77777777" w:rsidR="0099229B" w:rsidRPr="00087138" w:rsidRDefault="0099229B" w:rsidP="0099229B">
      <w:pPr>
        <w:rPr>
          <w:szCs w:val="22"/>
        </w:rPr>
      </w:pPr>
      <w:r w:rsidRPr="00087138">
        <w:rPr>
          <w:szCs w:val="22"/>
        </w:rPr>
        <w:t>Patty Stokes </w:t>
      </w:r>
    </w:p>
    <w:p w14:paraId="3ADB4B63" w14:textId="77777777" w:rsidR="0099229B" w:rsidRPr="00087138" w:rsidRDefault="0099229B" w:rsidP="0099229B">
      <w:pPr>
        <w:rPr>
          <w:szCs w:val="22"/>
        </w:rPr>
      </w:pPr>
      <w:r w:rsidRPr="00087138">
        <w:rPr>
          <w:szCs w:val="22"/>
        </w:rPr>
        <w:t>Paul Gaultieri </w:t>
      </w:r>
    </w:p>
    <w:p w14:paraId="09E7E42B" w14:textId="77777777" w:rsidR="0099229B" w:rsidRPr="00087138" w:rsidRDefault="0099229B" w:rsidP="0099229B">
      <w:pPr>
        <w:rPr>
          <w:szCs w:val="22"/>
        </w:rPr>
      </w:pPr>
      <w:r w:rsidRPr="00087138">
        <w:rPr>
          <w:szCs w:val="22"/>
        </w:rPr>
        <w:t>Paul Stevens </w:t>
      </w:r>
    </w:p>
    <w:p w14:paraId="2028F8E0" w14:textId="77777777" w:rsidR="0099229B" w:rsidRPr="00087138" w:rsidRDefault="0099229B" w:rsidP="0099229B">
      <w:pPr>
        <w:rPr>
          <w:szCs w:val="22"/>
        </w:rPr>
      </w:pPr>
      <w:r w:rsidRPr="00087138">
        <w:rPr>
          <w:szCs w:val="22"/>
        </w:rPr>
        <w:t>Paula Washam </w:t>
      </w:r>
    </w:p>
    <w:p w14:paraId="5EE06624" w14:textId="77777777" w:rsidR="0099229B" w:rsidRPr="00087138" w:rsidRDefault="0099229B" w:rsidP="0099229B">
      <w:pPr>
        <w:rPr>
          <w:szCs w:val="22"/>
        </w:rPr>
      </w:pPr>
      <w:r w:rsidRPr="00087138">
        <w:rPr>
          <w:szCs w:val="22"/>
        </w:rPr>
        <w:t>Peter Voorhees</w:t>
      </w:r>
    </w:p>
    <w:p w14:paraId="61BB58D4" w14:textId="77777777" w:rsidR="0099229B" w:rsidRPr="00087138" w:rsidRDefault="0099229B" w:rsidP="0099229B">
      <w:pPr>
        <w:rPr>
          <w:szCs w:val="22"/>
        </w:rPr>
      </w:pPr>
      <w:r w:rsidRPr="00087138">
        <w:rPr>
          <w:szCs w:val="22"/>
        </w:rPr>
        <w:t>Phyllis Meyer-Parthermore </w:t>
      </w:r>
    </w:p>
    <w:p w14:paraId="6B4BB07A" w14:textId="77777777" w:rsidR="0099229B" w:rsidRPr="00087138" w:rsidRDefault="0099229B" w:rsidP="0099229B">
      <w:pPr>
        <w:rPr>
          <w:szCs w:val="22"/>
        </w:rPr>
      </w:pPr>
      <w:r w:rsidRPr="00087138">
        <w:rPr>
          <w:szCs w:val="22"/>
        </w:rPr>
        <w:t>Polaris Wireless, Inc. (Polaris)</w:t>
      </w:r>
    </w:p>
    <w:p w14:paraId="51BE3500" w14:textId="77777777" w:rsidR="0099229B" w:rsidRPr="00087138" w:rsidRDefault="0099229B" w:rsidP="0099229B">
      <w:pPr>
        <w:rPr>
          <w:szCs w:val="22"/>
        </w:rPr>
      </w:pPr>
      <w:r w:rsidRPr="00087138">
        <w:rPr>
          <w:szCs w:val="22"/>
        </w:rPr>
        <w:t>QUALCOMM Incorporated (QUALCOMM)</w:t>
      </w:r>
    </w:p>
    <w:p w14:paraId="0904246F" w14:textId="77777777" w:rsidR="0099229B" w:rsidRPr="00087138" w:rsidRDefault="0099229B" w:rsidP="0099229B">
      <w:pPr>
        <w:rPr>
          <w:szCs w:val="22"/>
        </w:rPr>
      </w:pPr>
      <w:r w:rsidRPr="00087138">
        <w:rPr>
          <w:szCs w:val="22"/>
        </w:rPr>
        <w:t>Ray Jagger </w:t>
      </w:r>
    </w:p>
    <w:p w14:paraId="7EF66B38" w14:textId="77777777" w:rsidR="0099229B" w:rsidRPr="00087138" w:rsidRDefault="0099229B" w:rsidP="0099229B">
      <w:pPr>
        <w:rPr>
          <w:szCs w:val="22"/>
        </w:rPr>
      </w:pPr>
      <w:r w:rsidRPr="00087138">
        <w:rPr>
          <w:szCs w:val="22"/>
        </w:rPr>
        <w:t>Raymond Nolan </w:t>
      </w:r>
    </w:p>
    <w:p w14:paraId="4E7C4CB0" w14:textId="77777777" w:rsidR="0099229B" w:rsidRPr="00087138" w:rsidRDefault="0099229B" w:rsidP="0099229B">
      <w:pPr>
        <w:rPr>
          <w:szCs w:val="22"/>
        </w:rPr>
      </w:pPr>
      <w:r w:rsidRPr="00087138">
        <w:rPr>
          <w:szCs w:val="22"/>
        </w:rPr>
        <w:t>Rea Brown </w:t>
      </w:r>
    </w:p>
    <w:p w14:paraId="1196D3D5" w14:textId="77777777" w:rsidR="0099229B" w:rsidRPr="00087138" w:rsidRDefault="0099229B" w:rsidP="0099229B">
      <w:pPr>
        <w:rPr>
          <w:szCs w:val="22"/>
        </w:rPr>
      </w:pPr>
      <w:r w:rsidRPr="00087138">
        <w:rPr>
          <w:szCs w:val="22"/>
        </w:rPr>
        <w:t>Rebecca Tucker </w:t>
      </w:r>
    </w:p>
    <w:p w14:paraId="62494853" w14:textId="77777777" w:rsidR="0099229B" w:rsidRPr="00087138" w:rsidRDefault="0099229B" w:rsidP="0099229B">
      <w:pPr>
        <w:rPr>
          <w:szCs w:val="22"/>
        </w:rPr>
      </w:pPr>
      <w:r w:rsidRPr="00087138">
        <w:rPr>
          <w:szCs w:val="22"/>
        </w:rPr>
        <w:t>Regina Nelson </w:t>
      </w:r>
    </w:p>
    <w:p w14:paraId="30688FF7" w14:textId="77777777" w:rsidR="0099229B" w:rsidRPr="00087138" w:rsidRDefault="0099229B" w:rsidP="0099229B">
      <w:pPr>
        <w:rPr>
          <w:szCs w:val="22"/>
        </w:rPr>
      </w:pPr>
      <w:r w:rsidRPr="00087138">
        <w:rPr>
          <w:szCs w:val="22"/>
        </w:rPr>
        <w:t>Regina Schulter</w:t>
      </w:r>
    </w:p>
    <w:p w14:paraId="3667BB37" w14:textId="77777777" w:rsidR="0099229B" w:rsidRPr="00087138" w:rsidRDefault="0099229B" w:rsidP="0099229B">
      <w:pPr>
        <w:rPr>
          <w:szCs w:val="22"/>
        </w:rPr>
      </w:pPr>
      <w:r w:rsidRPr="00087138">
        <w:rPr>
          <w:szCs w:val="22"/>
        </w:rPr>
        <w:t>Ricardo Reyes </w:t>
      </w:r>
    </w:p>
    <w:p w14:paraId="44860792" w14:textId="66443934" w:rsidR="0099229B" w:rsidRPr="00087138" w:rsidRDefault="0099229B" w:rsidP="0099229B">
      <w:pPr>
        <w:rPr>
          <w:szCs w:val="22"/>
        </w:rPr>
      </w:pPr>
      <w:r w:rsidRPr="00087138">
        <w:rPr>
          <w:szCs w:val="22"/>
        </w:rPr>
        <w:t>Richard Hanson </w:t>
      </w:r>
    </w:p>
    <w:p w14:paraId="64DD36AA" w14:textId="77777777" w:rsidR="0099229B" w:rsidRPr="00087138" w:rsidRDefault="0099229B" w:rsidP="0099229B">
      <w:pPr>
        <w:rPr>
          <w:szCs w:val="22"/>
        </w:rPr>
      </w:pPr>
      <w:r w:rsidRPr="00087138">
        <w:rPr>
          <w:szCs w:val="22"/>
        </w:rPr>
        <w:t>Richard Loveday </w:t>
      </w:r>
    </w:p>
    <w:p w14:paraId="158714AB" w14:textId="77777777" w:rsidR="0099229B" w:rsidRPr="00087138" w:rsidRDefault="0099229B" w:rsidP="0099229B">
      <w:pPr>
        <w:rPr>
          <w:szCs w:val="22"/>
        </w:rPr>
      </w:pPr>
      <w:r w:rsidRPr="00087138">
        <w:rPr>
          <w:szCs w:val="22"/>
        </w:rPr>
        <w:t>Robert Kaiser </w:t>
      </w:r>
    </w:p>
    <w:p w14:paraId="7A308FBA" w14:textId="77777777" w:rsidR="0099229B" w:rsidRPr="00087138" w:rsidRDefault="0099229B" w:rsidP="0099229B">
      <w:pPr>
        <w:rPr>
          <w:szCs w:val="22"/>
        </w:rPr>
      </w:pPr>
      <w:r w:rsidRPr="00087138">
        <w:rPr>
          <w:szCs w:val="22"/>
        </w:rPr>
        <w:t>Robert Knott </w:t>
      </w:r>
    </w:p>
    <w:p w14:paraId="3406C7D6" w14:textId="77777777" w:rsidR="0099229B" w:rsidRPr="00087138" w:rsidRDefault="0099229B" w:rsidP="0099229B">
      <w:pPr>
        <w:rPr>
          <w:szCs w:val="22"/>
        </w:rPr>
      </w:pPr>
      <w:r w:rsidRPr="00087138">
        <w:rPr>
          <w:szCs w:val="22"/>
        </w:rPr>
        <w:t>Robert Oenning</w:t>
      </w:r>
    </w:p>
    <w:p w14:paraId="032D1A90" w14:textId="77777777" w:rsidR="0099229B" w:rsidRPr="00087138" w:rsidRDefault="0099229B" w:rsidP="0099229B">
      <w:pPr>
        <w:rPr>
          <w:szCs w:val="22"/>
        </w:rPr>
      </w:pPr>
      <w:r w:rsidRPr="00087138">
        <w:rPr>
          <w:szCs w:val="22"/>
        </w:rPr>
        <w:t>Robert Wells </w:t>
      </w:r>
    </w:p>
    <w:p w14:paraId="7460B42A" w14:textId="77777777" w:rsidR="0099229B" w:rsidRPr="00087138" w:rsidRDefault="0099229B" w:rsidP="0099229B">
      <w:pPr>
        <w:rPr>
          <w:szCs w:val="22"/>
        </w:rPr>
      </w:pPr>
      <w:r w:rsidRPr="00087138">
        <w:rPr>
          <w:szCs w:val="22"/>
        </w:rPr>
        <w:t>Roberta Tomaino </w:t>
      </w:r>
    </w:p>
    <w:p w14:paraId="3CECB5C2" w14:textId="77777777" w:rsidR="0099229B" w:rsidRPr="004C29B5" w:rsidRDefault="0099229B" w:rsidP="0099229B">
      <w:pPr>
        <w:rPr>
          <w:lang w:val="es-ES"/>
        </w:rPr>
      </w:pPr>
      <w:r w:rsidRPr="004C29B5">
        <w:rPr>
          <w:lang w:val="es-ES"/>
        </w:rPr>
        <w:t>Robin Moore </w:t>
      </w:r>
    </w:p>
    <w:p w14:paraId="60059FAD" w14:textId="77777777" w:rsidR="0099229B" w:rsidRPr="004C29B5" w:rsidRDefault="0099229B" w:rsidP="0099229B">
      <w:pPr>
        <w:rPr>
          <w:lang w:val="es-ES"/>
        </w:rPr>
      </w:pPr>
      <w:r w:rsidRPr="004C29B5">
        <w:rPr>
          <w:lang w:val="es-ES"/>
        </w:rPr>
        <w:t>Robin Murphy </w:t>
      </w:r>
    </w:p>
    <w:p w14:paraId="52CBA5A2" w14:textId="77777777" w:rsidR="0099229B" w:rsidRPr="004C29B5" w:rsidRDefault="0099229B" w:rsidP="0099229B">
      <w:pPr>
        <w:rPr>
          <w:lang w:val="es-ES"/>
        </w:rPr>
      </w:pPr>
      <w:r w:rsidRPr="004C29B5">
        <w:rPr>
          <w:lang w:val="es-ES"/>
        </w:rPr>
        <w:t>Rosalinda Rodriguez </w:t>
      </w:r>
    </w:p>
    <w:p w14:paraId="699E265E" w14:textId="77777777" w:rsidR="0099229B" w:rsidRPr="00087138" w:rsidRDefault="0099229B" w:rsidP="0099229B">
      <w:pPr>
        <w:rPr>
          <w:szCs w:val="22"/>
        </w:rPr>
      </w:pPr>
      <w:r w:rsidRPr="00087138">
        <w:rPr>
          <w:szCs w:val="22"/>
        </w:rPr>
        <w:t>Rural Wireless Association, Inc. (RWA)</w:t>
      </w:r>
    </w:p>
    <w:p w14:paraId="7332E147" w14:textId="77777777" w:rsidR="0099229B" w:rsidRPr="00087138" w:rsidRDefault="0099229B" w:rsidP="0099229B">
      <w:pPr>
        <w:rPr>
          <w:szCs w:val="22"/>
        </w:rPr>
      </w:pPr>
      <w:r w:rsidRPr="00087138">
        <w:rPr>
          <w:szCs w:val="22"/>
        </w:rPr>
        <w:t>Rx Networks Inc. (Rx Networks)</w:t>
      </w:r>
    </w:p>
    <w:p w14:paraId="01F947AC" w14:textId="77777777" w:rsidR="0099229B" w:rsidRPr="00087138" w:rsidRDefault="0099229B" w:rsidP="0099229B">
      <w:pPr>
        <w:rPr>
          <w:szCs w:val="22"/>
        </w:rPr>
      </w:pPr>
      <w:r w:rsidRPr="00087138">
        <w:rPr>
          <w:szCs w:val="22"/>
        </w:rPr>
        <w:t>Samuel Johnson </w:t>
      </w:r>
    </w:p>
    <w:p w14:paraId="533F5418" w14:textId="77777777" w:rsidR="0099229B" w:rsidRDefault="0099229B" w:rsidP="0099229B">
      <w:pPr>
        <w:rPr>
          <w:szCs w:val="22"/>
        </w:rPr>
      </w:pPr>
      <w:r w:rsidRPr="00087138">
        <w:rPr>
          <w:szCs w:val="22"/>
        </w:rPr>
        <w:t xml:space="preserve">San Francisco Dept. </w:t>
      </w:r>
      <w:r>
        <w:rPr>
          <w:szCs w:val="22"/>
        </w:rPr>
        <w:t xml:space="preserve">of </w:t>
      </w:r>
      <w:r w:rsidRPr="00087138">
        <w:rPr>
          <w:szCs w:val="22"/>
        </w:rPr>
        <w:t xml:space="preserve">Emergency </w:t>
      </w:r>
    </w:p>
    <w:p w14:paraId="3F8A08EB" w14:textId="77777777" w:rsidR="0099229B" w:rsidRDefault="0099229B" w:rsidP="0099229B">
      <w:pPr>
        <w:rPr>
          <w:szCs w:val="22"/>
        </w:rPr>
      </w:pPr>
      <w:r>
        <w:rPr>
          <w:szCs w:val="22"/>
        </w:rPr>
        <w:t xml:space="preserve">   </w:t>
      </w:r>
      <w:r w:rsidRPr="00087138">
        <w:rPr>
          <w:szCs w:val="22"/>
        </w:rPr>
        <w:t>Management, D</w:t>
      </w:r>
      <w:r>
        <w:rPr>
          <w:szCs w:val="22"/>
        </w:rPr>
        <w:t xml:space="preserve">iv. of Emergency </w:t>
      </w:r>
    </w:p>
    <w:p w14:paraId="2D84F4F1" w14:textId="77777777" w:rsidR="0099229B" w:rsidRPr="00087138" w:rsidRDefault="0099229B" w:rsidP="0099229B">
      <w:pPr>
        <w:rPr>
          <w:szCs w:val="22"/>
        </w:rPr>
      </w:pPr>
      <w:r>
        <w:rPr>
          <w:szCs w:val="22"/>
        </w:rPr>
        <w:t xml:space="preserve">   Communications (</w:t>
      </w:r>
      <w:r w:rsidRPr="00087138">
        <w:rPr>
          <w:szCs w:val="22"/>
        </w:rPr>
        <w:t>DEMSF)</w:t>
      </w:r>
    </w:p>
    <w:p w14:paraId="60B585A9" w14:textId="77777777" w:rsidR="0099229B" w:rsidRPr="00087138" w:rsidRDefault="0099229B" w:rsidP="0099229B">
      <w:pPr>
        <w:rPr>
          <w:szCs w:val="22"/>
        </w:rPr>
      </w:pPr>
      <w:r w:rsidRPr="00087138">
        <w:rPr>
          <w:szCs w:val="22"/>
        </w:rPr>
        <w:t>Sandra Martine </w:t>
      </w:r>
    </w:p>
    <w:p w14:paraId="2ED58281" w14:textId="77777777" w:rsidR="0099229B" w:rsidRPr="00087138" w:rsidRDefault="0099229B" w:rsidP="0099229B">
      <w:pPr>
        <w:rPr>
          <w:szCs w:val="22"/>
        </w:rPr>
      </w:pPr>
      <w:r w:rsidRPr="00087138">
        <w:rPr>
          <w:szCs w:val="22"/>
        </w:rPr>
        <w:t>Sandra Reed </w:t>
      </w:r>
    </w:p>
    <w:p w14:paraId="4FFC6E19" w14:textId="77777777" w:rsidR="0099229B" w:rsidRPr="00087138" w:rsidRDefault="0099229B" w:rsidP="0099229B">
      <w:pPr>
        <w:rPr>
          <w:szCs w:val="22"/>
        </w:rPr>
      </w:pPr>
      <w:r w:rsidRPr="00087138">
        <w:rPr>
          <w:szCs w:val="22"/>
        </w:rPr>
        <w:t>Shari Farrar </w:t>
      </w:r>
    </w:p>
    <w:p w14:paraId="221889C1" w14:textId="77777777" w:rsidR="0099229B" w:rsidRPr="00087138" w:rsidRDefault="0099229B" w:rsidP="0099229B">
      <w:pPr>
        <w:rPr>
          <w:szCs w:val="22"/>
        </w:rPr>
      </w:pPr>
      <w:r w:rsidRPr="00087138">
        <w:rPr>
          <w:szCs w:val="22"/>
        </w:rPr>
        <w:t>Sheri Lemming </w:t>
      </w:r>
    </w:p>
    <w:p w14:paraId="22696E55" w14:textId="77777777" w:rsidR="0099229B" w:rsidRPr="00087138" w:rsidRDefault="0099229B" w:rsidP="0099229B">
      <w:pPr>
        <w:rPr>
          <w:szCs w:val="22"/>
        </w:rPr>
      </w:pPr>
      <w:r w:rsidRPr="00087138">
        <w:rPr>
          <w:szCs w:val="22"/>
        </w:rPr>
        <w:t>Sheryl King </w:t>
      </w:r>
    </w:p>
    <w:p w14:paraId="41BA75B7" w14:textId="77777777" w:rsidR="0099229B" w:rsidRPr="00087138" w:rsidRDefault="0099229B" w:rsidP="0099229B">
      <w:pPr>
        <w:rPr>
          <w:szCs w:val="22"/>
        </w:rPr>
      </w:pPr>
      <w:r w:rsidRPr="00087138">
        <w:rPr>
          <w:szCs w:val="22"/>
        </w:rPr>
        <w:t>Sonja Yefsky </w:t>
      </w:r>
    </w:p>
    <w:p w14:paraId="2942C838" w14:textId="77777777" w:rsidR="0099229B" w:rsidRPr="00087138" w:rsidRDefault="0099229B" w:rsidP="0099229B">
      <w:pPr>
        <w:rPr>
          <w:szCs w:val="22"/>
        </w:rPr>
      </w:pPr>
      <w:r w:rsidRPr="00087138">
        <w:rPr>
          <w:szCs w:val="22"/>
        </w:rPr>
        <w:t>Sprint Corporation (Sprint)</w:t>
      </w:r>
    </w:p>
    <w:p w14:paraId="0207E4EA" w14:textId="77777777" w:rsidR="0099229B" w:rsidRPr="00087138" w:rsidRDefault="0099229B" w:rsidP="0099229B">
      <w:pPr>
        <w:rPr>
          <w:szCs w:val="22"/>
        </w:rPr>
      </w:pPr>
      <w:r w:rsidRPr="00087138">
        <w:rPr>
          <w:szCs w:val="22"/>
        </w:rPr>
        <w:t>Stanley Kite </w:t>
      </w:r>
    </w:p>
    <w:p w14:paraId="03E58CF3" w14:textId="77777777" w:rsidR="0099229B" w:rsidRPr="00087138" w:rsidRDefault="0099229B" w:rsidP="0099229B">
      <w:pPr>
        <w:rPr>
          <w:szCs w:val="22"/>
        </w:rPr>
      </w:pPr>
      <w:r w:rsidRPr="00087138">
        <w:rPr>
          <w:szCs w:val="22"/>
        </w:rPr>
        <w:t>Stephanie Newton </w:t>
      </w:r>
    </w:p>
    <w:p w14:paraId="185CF2A4" w14:textId="77777777" w:rsidR="0099229B" w:rsidRPr="00087138" w:rsidRDefault="0099229B" w:rsidP="0099229B">
      <w:pPr>
        <w:rPr>
          <w:szCs w:val="22"/>
        </w:rPr>
      </w:pPr>
      <w:r w:rsidRPr="00087138">
        <w:rPr>
          <w:szCs w:val="22"/>
        </w:rPr>
        <w:t>Stephen A. Cannon </w:t>
      </w:r>
    </w:p>
    <w:p w14:paraId="40D53611" w14:textId="77777777" w:rsidR="0099229B" w:rsidRPr="00087138" w:rsidRDefault="0099229B" w:rsidP="0099229B">
      <w:pPr>
        <w:rPr>
          <w:szCs w:val="22"/>
        </w:rPr>
      </w:pPr>
      <w:r w:rsidRPr="00087138">
        <w:rPr>
          <w:szCs w:val="22"/>
        </w:rPr>
        <w:t>Stephen Graff </w:t>
      </w:r>
    </w:p>
    <w:p w14:paraId="4E87F31E" w14:textId="77777777" w:rsidR="0099229B" w:rsidRPr="00087138" w:rsidRDefault="0099229B" w:rsidP="0099229B">
      <w:pPr>
        <w:rPr>
          <w:szCs w:val="22"/>
        </w:rPr>
      </w:pPr>
      <w:r w:rsidRPr="00087138">
        <w:rPr>
          <w:szCs w:val="22"/>
        </w:rPr>
        <w:t>Stephen Makovec </w:t>
      </w:r>
    </w:p>
    <w:p w14:paraId="5086AC40" w14:textId="77777777" w:rsidR="0099229B" w:rsidRPr="00087138" w:rsidRDefault="0099229B" w:rsidP="0099229B">
      <w:pPr>
        <w:rPr>
          <w:szCs w:val="22"/>
        </w:rPr>
      </w:pPr>
      <w:r w:rsidRPr="00087138">
        <w:rPr>
          <w:szCs w:val="22"/>
        </w:rPr>
        <w:t>Steve Graff </w:t>
      </w:r>
    </w:p>
    <w:p w14:paraId="598AF1BC" w14:textId="77777777" w:rsidR="0099229B" w:rsidRPr="00087138" w:rsidRDefault="0099229B" w:rsidP="0099229B">
      <w:pPr>
        <w:rPr>
          <w:szCs w:val="22"/>
        </w:rPr>
      </w:pPr>
      <w:r w:rsidRPr="00087138">
        <w:rPr>
          <w:szCs w:val="22"/>
        </w:rPr>
        <w:t>Sue and Tom W. </w:t>
      </w:r>
    </w:p>
    <w:p w14:paraId="42689502" w14:textId="77777777" w:rsidR="0099229B" w:rsidRPr="00087138" w:rsidRDefault="0099229B" w:rsidP="0099229B">
      <w:pPr>
        <w:rPr>
          <w:szCs w:val="22"/>
        </w:rPr>
      </w:pPr>
      <w:r w:rsidRPr="00087138">
        <w:rPr>
          <w:szCs w:val="22"/>
        </w:rPr>
        <w:t>Susan Crimmins </w:t>
      </w:r>
    </w:p>
    <w:p w14:paraId="41295427" w14:textId="77777777" w:rsidR="0099229B" w:rsidRPr="00087138" w:rsidRDefault="0099229B" w:rsidP="0099229B">
      <w:pPr>
        <w:rPr>
          <w:szCs w:val="22"/>
        </w:rPr>
      </w:pPr>
      <w:r w:rsidRPr="00087138">
        <w:rPr>
          <w:szCs w:val="22"/>
        </w:rPr>
        <w:t>Susan Marie Frontczak </w:t>
      </w:r>
    </w:p>
    <w:p w14:paraId="698E419E" w14:textId="77777777" w:rsidR="0099229B" w:rsidRPr="00087138" w:rsidRDefault="0099229B" w:rsidP="0099229B">
      <w:pPr>
        <w:rPr>
          <w:szCs w:val="22"/>
        </w:rPr>
      </w:pPr>
      <w:r w:rsidRPr="00087138">
        <w:rPr>
          <w:szCs w:val="22"/>
        </w:rPr>
        <w:t xml:space="preserve">Suzanne Kesel  </w:t>
      </w:r>
    </w:p>
    <w:p w14:paraId="1178485B" w14:textId="77777777" w:rsidR="0099229B" w:rsidRPr="00087138" w:rsidRDefault="0099229B" w:rsidP="0099229B">
      <w:pPr>
        <w:rPr>
          <w:szCs w:val="22"/>
        </w:rPr>
      </w:pPr>
      <w:r w:rsidRPr="00087138">
        <w:rPr>
          <w:szCs w:val="22"/>
        </w:rPr>
        <w:t>Tammy Grant </w:t>
      </w:r>
    </w:p>
    <w:p w14:paraId="4E7C8B7F" w14:textId="77777777" w:rsidR="0099229B" w:rsidRPr="00087138" w:rsidRDefault="0099229B" w:rsidP="0099229B">
      <w:pPr>
        <w:rPr>
          <w:szCs w:val="22"/>
        </w:rPr>
      </w:pPr>
      <w:r w:rsidRPr="00087138">
        <w:rPr>
          <w:szCs w:val="22"/>
        </w:rPr>
        <w:t>Tania Cole  </w:t>
      </w:r>
    </w:p>
    <w:p w14:paraId="1B006912" w14:textId="77777777" w:rsidR="0099229B" w:rsidRPr="00087138" w:rsidRDefault="0099229B" w:rsidP="0099229B">
      <w:pPr>
        <w:rPr>
          <w:szCs w:val="22"/>
        </w:rPr>
      </w:pPr>
      <w:r w:rsidRPr="00087138">
        <w:rPr>
          <w:szCs w:val="22"/>
        </w:rPr>
        <w:t>TeleCommunication Systems, Inc. (TCS)</w:t>
      </w:r>
    </w:p>
    <w:p w14:paraId="79CB9A86" w14:textId="0C4CD2B1" w:rsidR="0099229B" w:rsidRPr="00087138" w:rsidRDefault="0099229B" w:rsidP="004C29B5">
      <w:pPr>
        <w:ind w:left="180" w:hanging="180"/>
        <w:rPr>
          <w:szCs w:val="22"/>
        </w:rPr>
      </w:pPr>
      <w:r w:rsidRPr="00087138">
        <w:rPr>
          <w:szCs w:val="22"/>
        </w:rPr>
        <w:t>Telecommunications for the Deaf and Hard of Hearing, Inc. (TDI); National Association of the Deaf (NAD); Association of Late-Deafened Adults, Inc. (AL-DA); Cerebral Palsy and Deaf Organization, Inc. (CPDO); California Coalition of Agencies Serving the Deaf and Hard of Hearing (California Coalition); Deaf and Hard of Hearing Consumer Advocacy Network (Consumer Advocacy Network), and Technology Access Program, Gallaudet University</w:t>
      </w:r>
      <w:r>
        <w:rPr>
          <w:szCs w:val="22"/>
        </w:rPr>
        <w:t xml:space="preserve"> (Gallaudet TAP)</w:t>
      </w:r>
    </w:p>
    <w:p w14:paraId="12F3EF5C" w14:textId="77777777" w:rsidR="0099229B" w:rsidRPr="00087138" w:rsidRDefault="0099229B" w:rsidP="0099229B">
      <w:pPr>
        <w:rPr>
          <w:szCs w:val="22"/>
        </w:rPr>
      </w:pPr>
      <w:r w:rsidRPr="00087138">
        <w:rPr>
          <w:szCs w:val="22"/>
        </w:rPr>
        <w:t>Telecommunications Industry Association (TIA)</w:t>
      </w:r>
    </w:p>
    <w:p w14:paraId="33324675" w14:textId="77777777" w:rsidR="0099229B" w:rsidRPr="00087138" w:rsidRDefault="0099229B" w:rsidP="0099229B">
      <w:pPr>
        <w:rPr>
          <w:szCs w:val="22"/>
        </w:rPr>
      </w:pPr>
      <w:r w:rsidRPr="00087138">
        <w:rPr>
          <w:szCs w:val="22"/>
        </w:rPr>
        <w:t xml:space="preserve">Teresa Hamilton  </w:t>
      </w:r>
    </w:p>
    <w:p w14:paraId="2AC5CC86" w14:textId="77777777" w:rsidR="0099229B" w:rsidRPr="00087138" w:rsidRDefault="0099229B" w:rsidP="0099229B">
      <w:pPr>
        <w:rPr>
          <w:szCs w:val="22"/>
        </w:rPr>
      </w:pPr>
      <w:r w:rsidRPr="00087138">
        <w:rPr>
          <w:szCs w:val="22"/>
        </w:rPr>
        <w:t>Terri Brooks </w:t>
      </w:r>
    </w:p>
    <w:p w14:paraId="0143F83E" w14:textId="7A3B74DD" w:rsidR="0099229B" w:rsidRDefault="0099229B" w:rsidP="0099229B">
      <w:pPr>
        <w:rPr>
          <w:szCs w:val="22"/>
        </w:rPr>
      </w:pPr>
      <w:r w:rsidRPr="00087138">
        <w:rPr>
          <w:szCs w:val="22"/>
        </w:rPr>
        <w:t>Texas 9</w:t>
      </w:r>
      <w:r>
        <w:rPr>
          <w:szCs w:val="22"/>
        </w:rPr>
        <w:t>11</w:t>
      </w:r>
      <w:r w:rsidRPr="00087138">
        <w:rPr>
          <w:szCs w:val="22"/>
        </w:rPr>
        <w:t xml:space="preserve"> Alliance, Texas Commission on </w:t>
      </w:r>
    </w:p>
    <w:p w14:paraId="2797018C" w14:textId="77777777" w:rsidR="0099229B" w:rsidRDefault="0099229B" w:rsidP="0099229B">
      <w:pPr>
        <w:rPr>
          <w:szCs w:val="22"/>
        </w:rPr>
      </w:pPr>
      <w:r>
        <w:rPr>
          <w:szCs w:val="22"/>
        </w:rPr>
        <w:t xml:space="preserve">   </w:t>
      </w:r>
      <w:r w:rsidRPr="00087138">
        <w:rPr>
          <w:szCs w:val="22"/>
        </w:rPr>
        <w:t xml:space="preserve">State Emergency Communications (Texas </w:t>
      </w:r>
    </w:p>
    <w:p w14:paraId="672312FA" w14:textId="77777777" w:rsidR="0099229B" w:rsidRDefault="0099229B" w:rsidP="0099229B">
      <w:pPr>
        <w:rPr>
          <w:szCs w:val="22"/>
        </w:rPr>
      </w:pPr>
      <w:r>
        <w:rPr>
          <w:szCs w:val="22"/>
        </w:rPr>
        <w:t xml:space="preserve">   </w:t>
      </w:r>
      <w:r w:rsidRPr="00087138">
        <w:rPr>
          <w:szCs w:val="22"/>
        </w:rPr>
        <w:t xml:space="preserve">CSEC), and Municipal Emergency </w:t>
      </w:r>
    </w:p>
    <w:p w14:paraId="479BF239" w14:textId="77777777" w:rsidR="0099229B" w:rsidRDefault="0099229B" w:rsidP="0099229B">
      <w:pPr>
        <w:rPr>
          <w:szCs w:val="22"/>
        </w:rPr>
      </w:pPr>
      <w:r>
        <w:rPr>
          <w:szCs w:val="22"/>
        </w:rPr>
        <w:t xml:space="preserve">  </w:t>
      </w:r>
      <w:r w:rsidRPr="00087138">
        <w:rPr>
          <w:szCs w:val="22"/>
        </w:rPr>
        <w:t xml:space="preserve">Communication Districts Association </w:t>
      </w:r>
    </w:p>
    <w:p w14:paraId="44A85E5B" w14:textId="77777777" w:rsidR="0099229B" w:rsidRPr="00087138" w:rsidRDefault="0099229B" w:rsidP="0099229B">
      <w:pPr>
        <w:rPr>
          <w:szCs w:val="22"/>
        </w:rPr>
      </w:pPr>
      <w:r>
        <w:rPr>
          <w:szCs w:val="22"/>
        </w:rPr>
        <w:t xml:space="preserve">   </w:t>
      </w:r>
      <w:r w:rsidRPr="00087138">
        <w:rPr>
          <w:szCs w:val="22"/>
        </w:rPr>
        <w:t>(MECDA) (Texas 911 Entities)</w:t>
      </w:r>
    </w:p>
    <w:p w14:paraId="0A38A73F" w14:textId="77777777" w:rsidR="0099229B" w:rsidRPr="00087138" w:rsidRDefault="0099229B" w:rsidP="0099229B">
      <w:pPr>
        <w:rPr>
          <w:szCs w:val="22"/>
        </w:rPr>
      </w:pPr>
      <w:r w:rsidRPr="00087138">
        <w:rPr>
          <w:szCs w:val="22"/>
        </w:rPr>
        <w:t>Tim Claflin </w:t>
      </w:r>
    </w:p>
    <w:p w14:paraId="3A74DBBA" w14:textId="77777777" w:rsidR="0099229B" w:rsidRPr="00087138" w:rsidRDefault="0099229B" w:rsidP="0099229B">
      <w:pPr>
        <w:rPr>
          <w:szCs w:val="22"/>
        </w:rPr>
      </w:pPr>
      <w:r w:rsidRPr="00087138">
        <w:rPr>
          <w:szCs w:val="22"/>
        </w:rPr>
        <w:t>Tim Zagorski </w:t>
      </w:r>
    </w:p>
    <w:p w14:paraId="301E3F1F" w14:textId="77777777" w:rsidR="0099229B" w:rsidRPr="00087138" w:rsidRDefault="0099229B" w:rsidP="0099229B">
      <w:pPr>
        <w:rPr>
          <w:szCs w:val="22"/>
        </w:rPr>
      </w:pPr>
      <w:r w:rsidRPr="00087138">
        <w:rPr>
          <w:szCs w:val="22"/>
        </w:rPr>
        <w:t>Tina Wall </w:t>
      </w:r>
    </w:p>
    <w:p w14:paraId="136845DB" w14:textId="77777777" w:rsidR="0099229B" w:rsidRPr="004C29B5" w:rsidRDefault="0099229B" w:rsidP="0099229B">
      <w:pPr>
        <w:rPr>
          <w:lang w:val="es-ES"/>
        </w:rPr>
      </w:pPr>
      <w:r w:rsidRPr="004C29B5">
        <w:rPr>
          <w:lang w:val="es-ES"/>
        </w:rPr>
        <w:t>T-Mobile USA, Inc. (T-Mobile)</w:t>
      </w:r>
    </w:p>
    <w:p w14:paraId="224CA1E0" w14:textId="77777777" w:rsidR="0099229B" w:rsidRPr="00087138" w:rsidRDefault="0099229B" w:rsidP="0099229B">
      <w:pPr>
        <w:rPr>
          <w:szCs w:val="22"/>
          <w:lang w:val="es-ES"/>
        </w:rPr>
      </w:pPr>
      <w:r w:rsidRPr="00087138">
        <w:rPr>
          <w:szCs w:val="22"/>
          <w:lang w:val="es-ES"/>
        </w:rPr>
        <w:t>Tracey DeRosa </w:t>
      </w:r>
    </w:p>
    <w:p w14:paraId="70EAD481" w14:textId="77777777" w:rsidR="0099229B" w:rsidRPr="00867DAC" w:rsidRDefault="0099229B" w:rsidP="0099229B">
      <w:pPr>
        <w:rPr>
          <w:lang w:val="es-ES"/>
        </w:rPr>
      </w:pPr>
      <w:r w:rsidRPr="00867DAC">
        <w:rPr>
          <w:lang w:val="es-ES"/>
        </w:rPr>
        <w:t>Tracey Kesler </w:t>
      </w:r>
    </w:p>
    <w:p w14:paraId="7BE759A9" w14:textId="77777777" w:rsidR="0099229B" w:rsidRPr="00867DAC" w:rsidRDefault="0099229B" w:rsidP="0099229B">
      <w:pPr>
        <w:rPr>
          <w:lang w:val="es-ES"/>
        </w:rPr>
      </w:pPr>
      <w:r w:rsidRPr="00867DAC">
        <w:rPr>
          <w:lang w:val="es-ES"/>
        </w:rPr>
        <w:t>Trina Beck </w:t>
      </w:r>
    </w:p>
    <w:p w14:paraId="7567B1E3" w14:textId="77777777" w:rsidR="0099229B" w:rsidRPr="00087138" w:rsidRDefault="0099229B" w:rsidP="0099229B">
      <w:pPr>
        <w:rPr>
          <w:szCs w:val="22"/>
        </w:rPr>
      </w:pPr>
      <w:r w:rsidRPr="00087138">
        <w:rPr>
          <w:szCs w:val="22"/>
        </w:rPr>
        <w:t>Trish Brown </w:t>
      </w:r>
    </w:p>
    <w:p w14:paraId="2620374B" w14:textId="77777777" w:rsidR="0099229B" w:rsidRPr="00087138" w:rsidRDefault="0099229B" w:rsidP="0099229B">
      <w:pPr>
        <w:rPr>
          <w:szCs w:val="22"/>
        </w:rPr>
      </w:pPr>
      <w:r w:rsidRPr="00087138">
        <w:rPr>
          <w:szCs w:val="22"/>
        </w:rPr>
        <w:t>TruePosition, Inc. (TruePosition)</w:t>
      </w:r>
    </w:p>
    <w:p w14:paraId="3CF60C64" w14:textId="77777777" w:rsidR="0099229B" w:rsidRPr="00087138" w:rsidRDefault="0099229B" w:rsidP="0099229B">
      <w:pPr>
        <w:rPr>
          <w:szCs w:val="22"/>
        </w:rPr>
      </w:pPr>
      <w:r w:rsidRPr="00087138">
        <w:rPr>
          <w:szCs w:val="22"/>
        </w:rPr>
        <w:t>Ursula Freer </w:t>
      </w:r>
    </w:p>
    <w:p w14:paraId="4646317E" w14:textId="77777777" w:rsidR="0099229B" w:rsidRPr="00087138" w:rsidRDefault="0099229B" w:rsidP="0099229B">
      <w:pPr>
        <w:rPr>
          <w:szCs w:val="22"/>
        </w:rPr>
      </w:pPr>
      <w:r w:rsidRPr="00087138">
        <w:rPr>
          <w:szCs w:val="22"/>
        </w:rPr>
        <w:t>Valerie Kokoszka </w:t>
      </w:r>
    </w:p>
    <w:p w14:paraId="0DE58E76" w14:textId="77777777" w:rsidR="0099229B" w:rsidRPr="00087138" w:rsidRDefault="0099229B" w:rsidP="0099229B">
      <w:pPr>
        <w:rPr>
          <w:szCs w:val="22"/>
        </w:rPr>
      </w:pPr>
      <w:r w:rsidRPr="00087138">
        <w:rPr>
          <w:szCs w:val="22"/>
        </w:rPr>
        <w:t>Verizon and Verizon Wireless (Verizon)</w:t>
      </w:r>
    </w:p>
    <w:p w14:paraId="3A96F69F" w14:textId="77777777" w:rsidR="0099229B" w:rsidRPr="00087138" w:rsidRDefault="0099229B" w:rsidP="0099229B">
      <w:pPr>
        <w:rPr>
          <w:szCs w:val="22"/>
        </w:rPr>
      </w:pPr>
      <w:r w:rsidRPr="00087138">
        <w:rPr>
          <w:szCs w:val="22"/>
        </w:rPr>
        <w:t>Vicki Dowell </w:t>
      </w:r>
    </w:p>
    <w:p w14:paraId="4C7FFC9D" w14:textId="77777777" w:rsidR="0099229B" w:rsidRPr="00087138" w:rsidRDefault="0099229B" w:rsidP="0099229B">
      <w:pPr>
        <w:rPr>
          <w:szCs w:val="22"/>
        </w:rPr>
      </w:pPr>
      <w:r w:rsidRPr="00087138">
        <w:rPr>
          <w:szCs w:val="22"/>
        </w:rPr>
        <w:t>Victor Kordish </w:t>
      </w:r>
    </w:p>
    <w:p w14:paraId="650AFE7B" w14:textId="77777777" w:rsidR="0099229B" w:rsidRPr="00087138" w:rsidRDefault="0099229B" w:rsidP="0099229B">
      <w:pPr>
        <w:rPr>
          <w:szCs w:val="22"/>
        </w:rPr>
      </w:pPr>
      <w:r w:rsidRPr="00087138">
        <w:rPr>
          <w:szCs w:val="22"/>
        </w:rPr>
        <w:t xml:space="preserve">Victor Martin  </w:t>
      </w:r>
    </w:p>
    <w:p w14:paraId="71D1A0A7" w14:textId="77777777" w:rsidR="0099229B" w:rsidRPr="00087138" w:rsidRDefault="0099229B" w:rsidP="0099229B">
      <w:pPr>
        <w:rPr>
          <w:szCs w:val="22"/>
        </w:rPr>
      </w:pPr>
      <w:r w:rsidRPr="00087138">
        <w:rPr>
          <w:szCs w:val="22"/>
        </w:rPr>
        <w:t>Voiance Language Services</w:t>
      </w:r>
    </w:p>
    <w:p w14:paraId="120D1D0F" w14:textId="77777777" w:rsidR="0099229B" w:rsidRPr="00087138" w:rsidRDefault="0099229B" w:rsidP="0099229B">
      <w:pPr>
        <w:rPr>
          <w:szCs w:val="22"/>
        </w:rPr>
      </w:pPr>
      <w:r w:rsidRPr="00087138">
        <w:rPr>
          <w:szCs w:val="22"/>
        </w:rPr>
        <w:t xml:space="preserve">Wiliam Schoene  </w:t>
      </w:r>
    </w:p>
    <w:p w14:paraId="1C207BA1" w14:textId="77777777" w:rsidR="0099229B" w:rsidRPr="00087138" w:rsidRDefault="0099229B" w:rsidP="0099229B">
      <w:pPr>
        <w:rPr>
          <w:szCs w:val="22"/>
        </w:rPr>
      </w:pPr>
      <w:r w:rsidRPr="00087138">
        <w:rPr>
          <w:szCs w:val="22"/>
        </w:rPr>
        <w:t>Willa Strauss </w:t>
      </w:r>
    </w:p>
    <w:p w14:paraId="2533854A" w14:textId="77777777" w:rsidR="0099229B" w:rsidRPr="00087138" w:rsidRDefault="0099229B" w:rsidP="0099229B">
      <w:pPr>
        <w:rPr>
          <w:szCs w:val="22"/>
        </w:rPr>
      </w:pPr>
      <w:r w:rsidRPr="00087138">
        <w:rPr>
          <w:szCs w:val="22"/>
        </w:rPr>
        <w:t>William Powell </w:t>
      </w:r>
    </w:p>
    <w:p w14:paraId="448D2B65" w14:textId="3A959EF4" w:rsidR="0099229B" w:rsidRPr="00087138" w:rsidRDefault="0099229B" w:rsidP="0099229B">
      <w:pPr>
        <w:rPr>
          <w:szCs w:val="22"/>
        </w:rPr>
      </w:pPr>
      <w:r w:rsidRPr="00087138">
        <w:rPr>
          <w:szCs w:val="22"/>
        </w:rPr>
        <w:t>William D</w:t>
      </w:r>
      <w:r>
        <w:rPr>
          <w:szCs w:val="22"/>
        </w:rPr>
        <w:t>.</w:t>
      </w:r>
    </w:p>
    <w:p w14:paraId="76C68E6A" w14:textId="77777777" w:rsidR="0099229B" w:rsidRPr="00087138" w:rsidRDefault="0099229B" w:rsidP="0099229B">
      <w:pPr>
        <w:rPr>
          <w:szCs w:val="22"/>
        </w:rPr>
      </w:pPr>
      <w:r w:rsidRPr="00087138">
        <w:rPr>
          <w:szCs w:val="22"/>
        </w:rPr>
        <w:t>Yvette Palmer </w:t>
      </w:r>
    </w:p>
    <w:p w14:paraId="3A5278B6" w14:textId="77777777" w:rsidR="0099229B" w:rsidRPr="00087138" w:rsidRDefault="0099229B" w:rsidP="0099229B">
      <w:pPr>
        <w:rPr>
          <w:b/>
          <w:szCs w:val="22"/>
          <w:u w:val="single"/>
        </w:rPr>
        <w:sectPr w:rsidR="0099229B" w:rsidRPr="00087138" w:rsidSect="0046037B">
          <w:type w:val="continuous"/>
          <w:pgSz w:w="12240" w:h="15840"/>
          <w:pgMar w:top="1440" w:right="1440" w:bottom="1440" w:left="1440" w:header="720" w:footer="720" w:gutter="0"/>
          <w:cols w:num="2" w:space="720"/>
          <w:docGrid w:linePitch="360"/>
        </w:sectPr>
      </w:pPr>
    </w:p>
    <w:p w14:paraId="08EDAFDE" w14:textId="77777777" w:rsidR="0099229B" w:rsidRPr="00087138" w:rsidRDefault="0099229B" w:rsidP="0099229B">
      <w:pPr>
        <w:rPr>
          <w:b/>
          <w:szCs w:val="22"/>
          <w:u w:val="single"/>
        </w:rPr>
      </w:pPr>
    </w:p>
    <w:p w14:paraId="218091A5" w14:textId="77777777" w:rsidR="0099229B" w:rsidRPr="00087138" w:rsidRDefault="0099229B" w:rsidP="0099229B">
      <w:pPr>
        <w:rPr>
          <w:b/>
          <w:szCs w:val="22"/>
          <w:u w:val="single"/>
        </w:rPr>
      </w:pPr>
      <w:r w:rsidRPr="00087138">
        <w:rPr>
          <w:b/>
          <w:szCs w:val="22"/>
          <w:u w:val="single"/>
        </w:rPr>
        <w:t>Reply Comments</w:t>
      </w:r>
    </w:p>
    <w:p w14:paraId="5C60310B" w14:textId="77777777" w:rsidR="0099229B" w:rsidRPr="00087138" w:rsidRDefault="0099229B" w:rsidP="0099229B">
      <w:pPr>
        <w:rPr>
          <w:szCs w:val="22"/>
        </w:rPr>
        <w:sectPr w:rsidR="0099229B" w:rsidRPr="00087138" w:rsidSect="0046037B">
          <w:type w:val="continuous"/>
          <w:pgSz w:w="12240" w:h="15840"/>
          <w:pgMar w:top="1440" w:right="1440" w:bottom="1440" w:left="1440" w:header="720" w:footer="720" w:gutter="0"/>
          <w:cols w:space="720"/>
          <w:docGrid w:linePitch="360"/>
        </w:sectPr>
      </w:pPr>
    </w:p>
    <w:p w14:paraId="7146657C" w14:textId="77777777" w:rsidR="0099229B" w:rsidRDefault="0099229B" w:rsidP="0099229B">
      <w:pPr>
        <w:rPr>
          <w:szCs w:val="22"/>
        </w:rPr>
      </w:pPr>
      <w:r w:rsidRPr="00087138">
        <w:rPr>
          <w:szCs w:val="22"/>
        </w:rPr>
        <w:t xml:space="preserve">Alliance for Telecommunications Industry </w:t>
      </w:r>
    </w:p>
    <w:p w14:paraId="34B034DE" w14:textId="77777777" w:rsidR="0099229B" w:rsidRPr="00087138" w:rsidRDefault="0099229B" w:rsidP="0099229B">
      <w:pPr>
        <w:rPr>
          <w:szCs w:val="22"/>
        </w:rPr>
      </w:pPr>
      <w:r>
        <w:rPr>
          <w:szCs w:val="22"/>
        </w:rPr>
        <w:t xml:space="preserve">   </w:t>
      </w:r>
      <w:r w:rsidRPr="00087138">
        <w:rPr>
          <w:szCs w:val="22"/>
        </w:rPr>
        <w:t>Solutions (ATIS)</w:t>
      </w:r>
    </w:p>
    <w:p w14:paraId="66E8F500" w14:textId="77777777" w:rsidR="0099229B" w:rsidRPr="00087138" w:rsidRDefault="0099229B" w:rsidP="0099229B">
      <w:pPr>
        <w:rPr>
          <w:szCs w:val="22"/>
        </w:rPr>
      </w:pPr>
      <w:r w:rsidRPr="00087138">
        <w:rPr>
          <w:szCs w:val="22"/>
        </w:rPr>
        <w:t>APCO</w:t>
      </w:r>
    </w:p>
    <w:p w14:paraId="120BDE5D" w14:textId="77777777" w:rsidR="0099229B" w:rsidRPr="00087138" w:rsidRDefault="0099229B" w:rsidP="0099229B">
      <w:pPr>
        <w:rPr>
          <w:szCs w:val="22"/>
        </w:rPr>
      </w:pPr>
      <w:r w:rsidRPr="00087138">
        <w:rPr>
          <w:szCs w:val="22"/>
        </w:rPr>
        <w:t xml:space="preserve">AT&amp;T </w:t>
      </w:r>
    </w:p>
    <w:p w14:paraId="6C5E55B2" w14:textId="77777777" w:rsidR="0099229B" w:rsidRPr="00087138" w:rsidRDefault="0099229B" w:rsidP="0099229B">
      <w:pPr>
        <w:rPr>
          <w:szCs w:val="22"/>
        </w:rPr>
      </w:pPr>
      <w:r w:rsidRPr="00087138">
        <w:rPr>
          <w:szCs w:val="22"/>
        </w:rPr>
        <w:t>BRETSA</w:t>
      </w:r>
    </w:p>
    <w:p w14:paraId="7A0A8B8A" w14:textId="77777777" w:rsidR="0099229B" w:rsidRPr="00087138" w:rsidRDefault="0099229B" w:rsidP="0099229B">
      <w:pPr>
        <w:rPr>
          <w:szCs w:val="22"/>
        </w:rPr>
      </w:pPr>
      <w:r w:rsidRPr="00087138">
        <w:rPr>
          <w:szCs w:val="22"/>
        </w:rPr>
        <w:t>CCA</w:t>
      </w:r>
    </w:p>
    <w:p w14:paraId="01983355" w14:textId="77777777" w:rsidR="0099229B" w:rsidRPr="00087138" w:rsidRDefault="0099229B" w:rsidP="0099229B">
      <w:pPr>
        <w:rPr>
          <w:szCs w:val="22"/>
        </w:rPr>
      </w:pPr>
      <w:r w:rsidRPr="00087138">
        <w:rPr>
          <w:szCs w:val="22"/>
        </w:rPr>
        <w:t>Consumers Union</w:t>
      </w:r>
    </w:p>
    <w:p w14:paraId="46F603A5" w14:textId="77777777" w:rsidR="0099229B" w:rsidRPr="00087138" w:rsidRDefault="0099229B" w:rsidP="0099229B">
      <w:pPr>
        <w:rPr>
          <w:szCs w:val="22"/>
        </w:rPr>
      </w:pPr>
      <w:r w:rsidRPr="00087138">
        <w:rPr>
          <w:szCs w:val="22"/>
        </w:rPr>
        <w:t>CTIA</w:t>
      </w:r>
    </w:p>
    <w:p w14:paraId="66F69A85" w14:textId="18FFCE02" w:rsidR="0099229B" w:rsidRPr="00087138" w:rsidRDefault="0099229B" w:rsidP="0099229B">
      <w:pPr>
        <w:rPr>
          <w:szCs w:val="22"/>
        </w:rPr>
      </w:pPr>
      <w:r w:rsidRPr="00087138">
        <w:rPr>
          <w:szCs w:val="22"/>
        </w:rPr>
        <w:t>Find Me</w:t>
      </w:r>
      <w:r>
        <w:rPr>
          <w:szCs w:val="22"/>
        </w:rPr>
        <w:t xml:space="preserve"> </w:t>
      </w:r>
      <w:r w:rsidRPr="00087138">
        <w:rPr>
          <w:szCs w:val="22"/>
        </w:rPr>
        <w:t>911</w:t>
      </w:r>
    </w:p>
    <w:p w14:paraId="1D92D3DC" w14:textId="77777777" w:rsidR="0099229B" w:rsidRPr="00087138" w:rsidRDefault="0099229B" w:rsidP="0099229B">
      <w:pPr>
        <w:rPr>
          <w:szCs w:val="22"/>
        </w:rPr>
      </w:pPr>
      <w:r w:rsidRPr="00087138">
        <w:rPr>
          <w:szCs w:val="22"/>
        </w:rPr>
        <w:t>IACP &amp; NSA</w:t>
      </w:r>
    </w:p>
    <w:p w14:paraId="24D655D9" w14:textId="77777777" w:rsidR="0099229B" w:rsidRPr="00087138" w:rsidRDefault="0099229B" w:rsidP="0099229B">
      <w:pPr>
        <w:rPr>
          <w:szCs w:val="22"/>
        </w:rPr>
      </w:pPr>
      <w:r w:rsidRPr="00087138">
        <w:rPr>
          <w:szCs w:val="22"/>
        </w:rPr>
        <w:t>iCERT</w:t>
      </w:r>
    </w:p>
    <w:p w14:paraId="4DA81EC7" w14:textId="77777777" w:rsidR="0099229B" w:rsidRPr="00087138" w:rsidRDefault="0099229B" w:rsidP="0099229B">
      <w:pPr>
        <w:rPr>
          <w:szCs w:val="22"/>
        </w:rPr>
      </w:pPr>
      <w:r w:rsidRPr="00087138">
        <w:rPr>
          <w:szCs w:val="22"/>
        </w:rPr>
        <w:t>IAFC</w:t>
      </w:r>
    </w:p>
    <w:p w14:paraId="45B193EE" w14:textId="77777777" w:rsidR="0099229B" w:rsidRPr="004C29B5" w:rsidRDefault="0099229B" w:rsidP="0099229B">
      <w:r w:rsidRPr="004C29B5">
        <w:t>iPosi</w:t>
      </w:r>
    </w:p>
    <w:p w14:paraId="4884F0EB" w14:textId="77777777" w:rsidR="0099229B" w:rsidRPr="004C29B5" w:rsidRDefault="0099229B" w:rsidP="0099229B">
      <w:r w:rsidRPr="00087138">
        <w:rPr>
          <w:szCs w:val="22"/>
        </w:rPr>
        <w:t xml:space="preserve">IAFC/NFPA </w:t>
      </w:r>
      <w:r w:rsidRPr="004C29B5">
        <w:t>Metropolitan Fire Chiefs</w:t>
      </w:r>
      <w:r w:rsidRPr="00087138">
        <w:rPr>
          <w:szCs w:val="22"/>
        </w:rPr>
        <w:t xml:space="preserve"> </w:t>
      </w:r>
    </w:p>
    <w:p w14:paraId="2F1B50F2" w14:textId="77777777" w:rsidR="0099229B" w:rsidRPr="00087138" w:rsidRDefault="0099229B" w:rsidP="0099229B">
      <w:pPr>
        <w:rPr>
          <w:szCs w:val="22"/>
        </w:rPr>
      </w:pPr>
      <w:r>
        <w:rPr>
          <w:szCs w:val="22"/>
        </w:rPr>
        <w:t xml:space="preserve">   </w:t>
      </w:r>
      <w:r w:rsidRPr="00087138">
        <w:rPr>
          <w:szCs w:val="22"/>
        </w:rPr>
        <w:t>Association</w:t>
      </w:r>
    </w:p>
    <w:p w14:paraId="45FD2B21" w14:textId="77777777" w:rsidR="0099229B" w:rsidRPr="004C29B5" w:rsidRDefault="0099229B" w:rsidP="0099229B">
      <w:r w:rsidRPr="004C29B5">
        <w:t xml:space="preserve">Motorola </w:t>
      </w:r>
    </w:p>
    <w:p w14:paraId="1C6C7B50" w14:textId="77777777" w:rsidR="0099229B" w:rsidRPr="00087138" w:rsidRDefault="0099229B" w:rsidP="0099229B">
      <w:pPr>
        <w:rPr>
          <w:szCs w:val="22"/>
        </w:rPr>
      </w:pPr>
      <w:r w:rsidRPr="00087138">
        <w:rPr>
          <w:szCs w:val="22"/>
        </w:rPr>
        <w:t>NASEMSO, NAEMSP, NAEMT, and NEMSA</w:t>
      </w:r>
    </w:p>
    <w:p w14:paraId="08C37C3D" w14:textId="77777777" w:rsidR="0099229B" w:rsidRPr="004C29B5" w:rsidRDefault="0099229B" w:rsidP="0099229B">
      <w:r w:rsidRPr="004C29B5">
        <w:t>NENA</w:t>
      </w:r>
    </w:p>
    <w:p w14:paraId="4E81F146" w14:textId="77777777" w:rsidR="0099229B" w:rsidRPr="00087138" w:rsidRDefault="0099229B" w:rsidP="0099229B">
      <w:pPr>
        <w:rPr>
          <w:szCs w:val="22"/>
        </w:rPr>
      </w:pPr>
      <w:r w:rsidRPr="00087138">
        <w:rPr>
          <w:szCs w:val="22"/>
        </w:rPr>
        <w:t>NPSTC</w:t>
      </w:r>
    </w:p>
    <w:p w14:paraId="6A11DE59" w14:textId="77777777" w:rsidR="0099229B" w:rsidRPr="00087138" w:rsidRDefault="0099229B" w:rsidP="0099229B">
      <w:pPr>
        <w:rPr>
          <w:szCs w:val="22"/>
        </w:rPr>
      </w:pPr>
      <w:r w:rsidRPr="00087138">
        <w:rPr>
          <w:szCs w:val="22"/>
        </w:rPr>
        <w:t>NextNav</w:t>
      </w:r>
    </w:p>
    <w:p w14:paraId="4A8BE6F4" w14:textId="77777777" w:rsidR="0099229B" w:rsidRPr="00087138" w:rsidRDefault="0099229B" w:rsidP="0099229B">
      <w:pPr>
        <w:rPr>
          <w:szCs w:val="22"/>
        </w:rPr>
      </w:pPr>
      <w:r w:rsidRPr="00087138">
        <w:rPr>
          <w:szCs w:val="22"/>
        </w:rPr>
        <w:t>NTCA</w:t>
      </w:r>
    </w:p>
    <w:p w14:paraId="74280AAF" w14:textId="77777777" w:rsidR="0099229B" w:rsidRPr="00087138" w:rsidRDefault="0099229B" w:rsidP="0099229B">
      <w:pPr>
        <w:rPr>
          <w:szCs w:val="22"/>
        </w:rPr>
      </w:pPr>
      <w:r w:rsidRPr="00087138">
        <w:rPr>
          <w:szCs w:val="22"/>
        </w:rPr>
        <w:t>QUALCOMM</w:t>
      </w:r>
    </w:p>
    <w:p w14:paraId="3F2ED8EE" w14:textId="0F4B660F" w:rsidR="0099229B" w:rsidRPr="00087138" w:rsidRDefault="0099229B" w:rsidP="004C29B5">
      <w:pPr>
        <w:ind w:left="180" w:hanging="180"/>
        <w:rPr>
          <w:szCs w:val="22"/>
        </w:rPr>
      </w:pPr>
      <w:r w:rsidRPr="00087138">
        <w:rPr>
          <w:szCs w:val="22"/>
        </w:rPr>
        <w:t>San Francisco Fire Department, IAFF, and DEMSF</w:t>
      </w:r>
    </w:p>
    <w:p w14:paraId="0344F7F5" w14:textId="77777777" w:rsidR="0099229B" w:rsidRPr="00087138" w:rsidRDefault="0099229B" w:rsidP="0099229B">
      <w:pPr>
        <w:rPr>
          <w:szCs w:val="22"/>
        </w:rPr>
      </w:pPr>
      <w:r w:rsidRPr="00087138">
        <w:rPr>
          <w:szCs w:val="22"/>
        </w:rPr>
        <w:t>SouthernLINC Wireless (SouthernLINC)</w:t>
      </w:r>
    </w:p>
    <w:p w14:paraId="07E92F26" w14:textId="77777777" w:rsidR="0099229B" w:rsidRPr="00087138" w:rsidRDefault="0099229B" w:rsidP="0099229B">
      <w:pPr>
        <w:rPr>
          <w:szCs w:val="22"/>
        </w:rPr>
      </w:pPr>
      <w:r w:rsidRPr="00087138">
        <w:rPr>
          <w:szCs w:val="22"/>
        </w:rPr>
        <w:t xml:space="preserve">Sprint </w:t>
      </w:r>
    </w:p>
    <w:p w14:paraId="17C280AD" w14:textId="77777777" w:rsidR="0099229B" w:rsidRPr="00087138" w:rsidRDefault="0099229B" w:rsidP="0099229B">
      <w:pPr>
        <w:ind w:left="180" w:hanging="180"/>
        <w:rPr>
          <w:szCs w:val="22"/>
        </w:rPr>
      </w:pPr>
      <w:r w:rsidRPr="00087138">
        <w:rPr>
          <w:szCs w:val="22"/>
        </w:rPr>
        <w:t xml:space="preserve">TDI, NAD, AL-DA, CPDO, California Coalition, Consumer Advocacy Network, </w:t>
      </w:r>
      <w:r>
        <w:rPr>
          <w:szCs w:val="22"/>
        </w:rPr>
        <w:t>A</w:t>
      </w:r>
      <w:r w:rsidRPr="00087138">
        <w:rPr>
          <w:szCs w:val="22"/>
        </w:rPr>
        <w:t xml:space="preserve">merican </w:t>
      </w:r>
      <w:r>
        <w:rPr>
          <w:szCs w:val="22"/>
        </w:rPr>
        <w:t>A</w:t>
      </w:r>
      <w:r w:rsidRPr="00087138">
        <w:rPr>
          <w:szCs w:val="22"/>
        </w:rPr>
        <w:t xml:space="preserve">ssociation of the </w:t>
      </w:r>
      <w:r>
        <w:rPr>
          <w:szCs w:val="22"/>
        </w:rPr>
        <w:t>Deaf-B</w:t>
      </w:r>
      <w:r w:rsidRPr="00087138">
        <w:rPr>
          <w:szCs w:val="22"/>
        </w:rPr>
        <w:t>lind</w:t>
      </w:r>
      <w:r>
        <w:rPr>
          <w:szCs w:val="22"/>
        </w:rPr>
        <w:t>, and R</w:t>
      </w:r>
      <w:r w:rsidRPr="00087138">
        <w:rPr>
          <w:szCs w:val="22"/>
        </w:rPr>
        <w:t xml:space="preserve">ehabilitation </w:t>
      </w:r>
      <w:r>
        <w:rPr>
          <w:szCs w:val="22"/>
        </w:rPr>
        <w:t>Engineering Research C</w:t>
      </w:r>
      <w:r w:rsidRPr="00087138">
        <w:rPr>
          <w:szCs w:val="22"/>
        </w:rPr>
        <w:t>enter</w:t>
      </w:r>
      <w:r>
        <w:rPr>
          <w:szCs w:val="22"/>
        </w:rPr>
        <w:t xml:space="preserve"> on T</w:t>
      </w:r>
      <w:r w:rsidRPr="00087138">
        <w:rPr>
          <w:szCs w:val="22"/>
        </w:rPr>
        <w:t xml:space="preserve">elecommunications </w:t>
      </w:r>
      <w:r>
        <w:rPr>
          <w:szCs w:val="22"/>
        </w:rPr>
        <w:t>A</w:t>
      </w:r>
      <w:r w:rsidRPr="00087138">
        <w:rPr>
          <w:szCs w:val="22"/>
        </w:rPr>
        <w:t>ccess</w:t>
      </w:r>
    </w:p>
    <w:p w14:paraId="1BCF3C57" w14:textId="77777777" w:rsidR="0099229B" w:rsidRPr="00087138" w:rsidRDefault="0099229B" w:rsidP="0099229B">
      <w:pPr>
        <w:rPr>
          <w:szCs w:val="22"/>
        </w:rPr>
      </w:pPr>
      <w:r w:rsidRPr="00087138">
        <w:rPr>
          <w:szCs w:val="22"/>
        </w:rPr>
        <w:t>TIA</w:t>
      </w:r>
    </w:p>
    <w:p w14:paraId="784A957B" w14:textId="70333CF0" w:rsidR="0099229B" w:rsidRPr="00087138" w:rsidRDefault="0099229B" w:rsidP="0099229B">
      <w:pPr>
        <w:rPr>
          <w:szCs w:val="22"/>
        </w:rPr>
      </w:pPr>
      <w:r w:rsidRPr="00087138">
        <w:rPr>
          <w:szCs w:val="22"/>
        </w:rPr>
        <w:t>Texas 9</w:t>
      </w:r>
      <w:r>
        <w:rPr>
          <w:szCs w:val="22"/>
        </w:rPr>
        <w:t>1</w:t>
      </w:r>
      <w:r w:rsidRPr="00087138">
        <w:rPr>
          <w:szCs w:val="22"/>
        </w:rPr>
        <w:t>1 Entities</w:t>
      </w:r>
    </w:p>
    <w:p w14:paraId="605576E5" w14:textId="77777777" w:rsidR="0099229B" w:rsidRPr="00087138" w:rsidRDefault="0099229B" w:rsidP="0099229B">
      <w:pPr>
        <w:rPr>
          <w:szCs w:val="22"/>
        </w:rPr>
      </w:pPr>
      <w:r w:rsidRPr="00087138">
        <w:rPr>
          <w:szCs w:val="22"/>
        </w:rPr>
        <w:t>T-Mobile</w:t>
      </w:r>
    </w:p>
    <w:p w14:paraId="49BF244E" w14:textId="77777777" w:rsidR="0099229B" w:rsidRPr="00087138" w:rsidRDefault="0099229B" w:rsidP="0099229B">
      <w:pPr>
        <w:rPr>
          <w:szCs w:val="22"/>
        </w:rPr>
      </w:pPr>
      <w:r w:rsidRPr="00087138">
        <w:rPr>
          <w:szCs w:val="22"/>
        </w:rPr>
        <w:t>Transit Wireless LLC</w:t>
      </w:r>
    </w:p>
    <w:p w14:paraId="44E09A81" w14:textId="77777777" w:rsidR="0099229B" w:rsidRPr="00087138" w:rsidRDefault="0099229B" w:rsidP="0099229B">
      <w:pPr>
        <w:rPr>
          <w:szCs w:val="22"/>
        </w:rPr>
      </w:pPr>
      <w:r w:rsidRPr="00087138">
        <w:rPr>
          <w:szCs w:val="22"/>
        </w:rPr>
        <w:t>TruePosition</w:t>
      </w:r>
    </w:p>
    <w:p w14:paraId="77941C5A" w14:textId="77777777" w:rsidR="0099229B" w:rsidRPr="00005BE2" w:rsidRDefault="0099229B" w:rsidP="0099229B">
      <w:pPr>
        <w:rPr>
          <w:szCs w:val="22"/>
        </w:rPr>
      </w:pPr>
      <w:r w:rsidRPr="00005BE2">
        <w:rPr>
          <w:szCs w:val="22"/>
        </w:rPr>
        <w:t>Verizon</w:t>
      </w:r>
    </w:p>
    <w:p w14:paraId="0810B291" w14:textId="77777777" w:rsidR="0099229B" w:rsidRPr="00005BE2" w:rsidRDefault="0099229B" w:rsidP="0099229B">
      <w:pPr>
        <w:rPr>
          <w:szCs w:val="22"/>
        </w:rPr>
        <w:sectPr w:rsidR="0099229B" w:rsidRPr="00005BE2" w:rsidSect="0046037B">
          <w:type w:val="continuous"/>
          <w:pgSz w:w="12240" w:h="15840"/>
          <w:pgMar w:top="1440" w:right="1440" w:bottom="1440" w:left="1440" w:header="720" w:footer="720" w:gutter="0"/>
          <w:cols w:num="2" w:space="720"/>
          <w:docGrid w:linePitch="360"/>
        </w:sectPr>
      </w:pPr>
    </w:p>
    <w:p w14:paraId="039F208C" w14:textId="77777777" w:rsidR="0099229B" w:rsidRPr="00005BE2" w:rsidRDefault="0099229B" w:rsidP="0099229B">
      <w:pPr>
        <w:rPr>
          <w:b/>
          <w:szCs w:val="22"/>
          <w:u w:val="single"/>
        </w:rPr>
      </w:pPr>
    </w:p>
    <w:p w14:paraId="0AB0535C" w14:textId="77777777" w:rsidR="0099229B" w:rsidRPr="00005BE2" w:rsidRDefault="0099229B" w:rsidP="0099229B">
      <w:pPr>
        <w:rPr>
          <w:b/>
          <w:szCs w:val="22"/>
          <w:u w:val="single"/>
        </w:rPr>
      </w:pPr>
      <w:r w:rsidRPr="00005BE2">
        <w:rPr>
          <w:b/>
          <w:i/>
          <w:szCs w:val="22"/>
          <w:u w:val="single"/>
        </w:rPr>
        <w:t>Ex Parte</w:t>
      </w:r>
      <w:r w:rsidRPr="00005BE2">
        <w:rPr>
          <w:b/>
          <w:szCs w:val="22"/>
          <w:u w:val="single"/>
        </w:rPr>
        <w:t xml:space="preserve"> Submissions</w:t>
      </w:r>
    </w:p>
    <w:p w14:paraId="297AA240" w14:textId="77777777" w:rsidR="0099229B" w:rsidRPr="00005BE2" w:rsidRDefault="0099229B" w:rsidP="0099229B">
      <w:pPr>
        <w:rPr>
          <w:szCs w:val="22"/>
        </w:rPr>
        <w:sectPr w:rsidR="0099229B" w:rsidRPr="00005BE2" w:rsidSect="0046037B">
          <w:type w:val="continuous"/>
          <w:pgSz w:w="12240" w:h="15840"/>
          <w:pgMar w:top="1440" w:right="1440" w:bottom="1440" w:left="1440" w:header="720" w:footer="720" w:gutter="0"/>
          <w:cols w:space="720"/>
          <w:docGrid w:linePitch="360"/>
        </w:sectPr>
      </w:pPr>
    </w:p>
    <w:p w14:paraId="60AF4312" w14:textId="78B5AAF6" w:rsidR="0099229B" w:rsidRPr="004C29B5" w:rsidRDefault="0099229B" w:rsidP="0099229B">
      <w:r w:rsidRPr="004C29B5">
        <w:t xml:space="preserve">4G </w:t>
      </w:r>
      <w:r w:rsidRPr="00005BE2">
        <w:rPr>
          <w:szCs w:val="22"/>
        </w:rPr>
        <w:t>Americas</w:t>
      </w:r>
    </w:p>
    <w:p w14:paraId="3EACF0DE" w14:textId="77777777" w:rsidR="0099229B" w:rsidRDefault="0099229B" w:rsidP="0099229B">
      <w:pPr>
        <w:rPr>
          <w:szCs w:val="22"/>
        </w:rPr>
      </w:pPr>
      <w:r w:rsidRPr="00087138">
        <w:rPr>
          <w:szCs w:val="22"/>
        </w:rPr>
        <w:t>AdGen Telecom Group, Inc.</w:t>
      </w:r>
    </w:p>
    <w:p w14:paraId="0BA13AA3" w14:textId="77777777" w:rsidR="0099229B" w:rsidRPr="00087138" w:rsidRDefault="0099229B" w:rsidP="0099229B">
      <w:pPr>
        <w:rPr>
          <w:szCs w:val="22"/>
        </w:rPr>
      </w:pPr>
      <w:r>
        <w:rPr>
          <w:szCs w:val="22"/>
        </w:rPr>
        <w:t>American Heart Association</w:t>
      </w:r>
    </w:p>
    <w:p w14:paraId="4353255A" w14:textId="77777777" w:rsidR="0099229B" w:rsidRPr="004C29B5" w:rsidRDefault="0099229B" w:rsidP="0099229B">
      <w:r w:rsidRPr="004C29B5">
        <w:t>Angelo Salvucci, M.D.</w:t>
      </w:r>
    </w:p>
    <w:p w14:paraId="67CCD8FE" w14:textId="77777777" w:rsidR="0099229B" w:rsidRPr="00087138" w:rsidRDefault="0099229B" w:rsidP="0099229B">
      <w:pPr>
        <w:rPr>
          <w:szCs w:val="22"/>
        </w:rPr>
      </w:pPr>
      <w:r w:rsidRPr="00087138">
        <w:rPr>
          <w:szCs w:val="22"/>
        </w:rPr>
        <w:t>ASL Services Holdings LLC</w:t>
      </w:r>
    </w:p>
    <w:p w14:paraId="38AD664F" w14:textId="77777777" w:rsidR="0099229B" w:rsidRPr="00087138" w:rsidRDefault="0099229B" w:rsidP="0099229B">
      <w:pPr>
        <w:rPr>
          <w:szCs w:val="22"/>
        </w:rPr>
      </w:pPr>
      <w:r w:rsidRPr="00087138">
        <w:rPr>
          <w:szCs w:val="22"/>
        </w:rPr>
        <w:t>AT&amp;T</w:t>
      </w:r>
    </w:p>
    <w:p w14:paraId="6F3ABCF6" w14:textId="77777777" w:rsidR="0099229B" w:rsidRPr="00087138" w:rsidRDefault="0099229B" w:rsidP="0099229B">
      <w:pPr>
        <w:rPr>
          <w:szCs w:val="22"/>
        </w:rPr>
      </w:pPr>
      <w:r w:rsidRPr="00087138">
        <w:rPr>
          <w:szCs w:val="22"/>
        </w:rPr>
        <w:t>Azert LLC</w:t>
      </w:r>
    </w:p>
    <w:p w14:paraId="3B702885" w14:textId="77777777" w:rsidR="0099229B" w:rsidRDefault="0099229B" w:rsidP="0099229B">
      <w:pPr>
        <w:rPr>
          <w:szCs w:val="22"/>
        </w:rPr>
      </w:pPr>
      <w:r w:rsidRPr="00087138">
        <w:rPr>
          <w:szCs w:val="22"/>
        </w:rPr>
        <w:t>Bonnie Campbell</w:t>
      </w:r>
    </w:p>
    <w:p w14:paraId="58CF5998" w14:textId="77777777" w:rsidR="0099229B" w:rsidRPr="00087138" w:rsidRDefault="0099229B" w:rsidP="0099229B">
      <w:pPr>
        <w:rPr>
          <w:szCs w:val="22"/>
        </w:rPr>
      </w:pPr>
      <w:r>
        <w:rPr>
          <w:szCs w:val="22"/>
        </w:rPr>
        <w:t>Bosch</w:t>
      </w:r>
    </w:p>
    <w:p w14:paraId="25AD0FE9" w14:textId="77777777" w:rsidR="0099229B" w:rsidRDefault="0099229B" w:rsidP="0099229B">
      <w:pPr>
        <w:rPr>
          <w:szCs w:val="22"/>
        </w:rPr>
      </w:pPr>
      <w:r w:rsidRPr="00087138">
        <w:rPr>
          <w:szCs w:val="22"/>
        </w:rPr>
        <w:t>CALNENA</w:t>
      </w:r>
      <w:r>
        <w:rPr>
          <w:szCs w:val="22"/>
        </w:rPr>
        <w:t xml:space="preserve">, Alliance for Retired Americans, </w:t>
      </w:r>
    </w:p>
    <w:p w14:paraId="7B482280" w14:textId="77777777" w:rsidR="0099229B" w:rsidRDefault="0099229B" w:rsidP="0099229B">
      <w:pPr>
        <w:rPr>
          <w:szCs w:val="22"/>
        </w:rPr>
      </w:pPr>
      <w:r>
        <w:rPr>
          <w:szCs w:val="22"/>
        </w:rPr>
        <w:t xml:space="preserve">   Angelo Salvucci, M.D., DEAF Seniors of </w:t>
      </w:r>
    </w:p>
    <w:p w14:paraId="196085EF" w14:textId="77777777" w:rsidR="0099229B" w:rsidRDefault="0099229B" w:rsidP="0099229B">
      <w:pPr>
        <w:rPr>
          <w:szCs w:val="22"/>
        </w:rPr>
      </w:pPr>
      <w:r>
        <w:rPr>
          <w:szCs w:val="22"/>
        </w:rPr>
        <w:t xml:space="preserve">   America, </w:t>
      </w:r>
      <w:r w:rsidRPr="00087138">
        <w:rPr>
          <w:szCs w:val="22"/>
        </w:rPr>
        <w:t>Consumer Advocacy Network</w:t>
      </w:r>
      <w:r>
        <w:rPr>
          <w:szCs w:val="22"/>
        </w:rPr>
        <w:t xml:space="preserve">, </w:t>
      </w:r>
    </w:p>
    <w:p w14:paraId="26FED800" w14:textId="77777777" w:rsidR="0099229B" w:rsidRDefault="0099229B" w:rsidP="0099229B">
      <w:pPr>
        <w:rPr>
          <w:szCs w:val="22"/>
        </w:rPr>
      </w:pPr>
      <w:r>
        <w:rPr>
          <w:szCs w:val="22"/>
        </w:rPr>
        <w:t xml:space="preserve">   </w:t>
      </w:r>
      <w:r w:rsidRPr="00087138">
        <w:rPr>
          <w:szCs w:val="22"/>
        </w:rPr>
        <w:t>California Coalition</w:t>
      </w:r>
      <w:r>
        <w:rPr>
          <w:szCs w:val="22"/>
        </w:rPr>
        <w:t>, A</w:t>
      </w:r>
      <w:r w:rsidRPr="00087138">
        <w:rPr>
          <w:szCs w:val="22"/>
        </w:rPr>
        <w:t xml:space="preserve">merican </w:t>
      </w:r>
      <w:r>
        <w:rPr>
          <w:szCs w:val="22"/>
        </w:rPr>
        <w:t>A</w:t>
      </w:r>
      <w:r w:rsidRPr="00087138">
        <w:rPr>
          <w:szCs w:val="22"/>
        </w:rPr>
        <w:t xml:space="preserve">ssociation of </w:t>
      </w:r>
    </w:p>
    <w:p w14:paraId="19B137FE" w14:textId="77777777" w:rsidR="0099229B" w:rsidRPr="00087138" w:rsidRDefault="0099229B" w:rsidP="0099229B">
      <w:pPr>
        <w:rPr>
          <w:szCs w:val="22"/>
        </w:rPr>
      </w:pPr>
      <w:r>
        <w:rPr>
          <w:szCs w:val="22"/>
        </w:rPr>
        <w:t xml:space="preserve">   </w:t>
      </w:r>
      <w:r w:rsidRPr="00087138">
        <w:rPr>
          <w:szCs w:val="22"/>
        </w:rPr>
        <w:t xml:space="preserve">the </w:t>
      </w:r>
      <w:r>
        <w:rPr>
          <w:szCs w:val="22"/>
        </w:rPr>
        <w:t>Deaf-B</w:t>
      </w:r>
      <w:r w:rsidRPr="00087138">
        <w:rPr>
          <w:szCs w:val="22"/>
        </w:rPr>
        <w:t>lind</w:t>
      </w:r>
      <w:r>
        <w:rPr>
          <w:szCs w:val="22"/>
        </w:rPr>
        <w:t>, NAD, and CPDO</w:t>
      </w:r>
    </w:p>
    <w:p w14:paraId="3EBDC365" w14:textId="77777777" w:rsidR="0099229B" w:rsidRPr="00087138" w:rsidRDefault="0099229B" w:rsidP="0099229B">
      <w:pPr>
        <w:rPr>
          <w:szCs w:val="22"/>
        </w:rPr>
      </w:pPr>
      <w:r w:rsidRPr="00087138">
        <w:rPr>
          <w:szCs w:val="22"/>
        </w:rPr>
        <w:t>Cisco</w:t>
      </w:r>
    </w:p>
    <w:p w14:paraId="10FDD568" w14:textId="77777777" w:rsidR="0099229B" w:rsidRDefault="0099229B" w:rsidP="0099229B">
      <w:pPr>
        <w:rPr>
          <w:szCs w:val="22"/>
        </w:rPr>
      </w:pPr>
      <w:r w:rsidRPr="00087138">
        <w:rPr>
          <w:szCs w:val="22"/>
        </w:rPr>
        <w:t>CCA</w:t>
      </w:r>
    </w:p>
    <w:p w14:paraId="74F0B6D8" w14:textId="77777777" w:rsidR="0099229B" w:rsidRPr="00087138" w:rsidRDefault="0099229B" w:rsidP="0099229B">
      <w:pPr>
        <w:rPr>
          <w:szCs w:val="22"/>
        </w:rPr>
      </w:pPr>
      <w:r>
        <w:rPr>
          <w:szCs w:val="22"/>
        </w:rPr>
        <w:t>Congressional Fire Services Institute (CFSI)</w:t>
      </w:r>
    </w:p>
    <w:p w14:paraId="51A361EC" w14:textId="77777777" w:rsidR="0099229B" w:rsidRPr="00087138" w:rsidRDefault="0099229B" w:rsidP="0099229B">
      <w:pPr>
        <w:rPr>
          <w:szCs w:val="22"/>
        </w:rPr>
      </w:pPr>
      <w:r w:rsidRPr="00087138">
        <w:rPr>
          <w:szCs w:val="22"/>
        </w:rPr>
        <w:t>Consumer Action</w:t>
      </w:r>
    </w:p>
    <w:p w14:paraId="03F0727B" w14:textId="77777777" w:rsidR="0099229B" w:rsidRPr="00087138" w:rsidRDefault="0099229B" w:rsidP="0099229B">
      <w:pPr>
        <w:rPr>
          <w:szCs w:val="22"/>
        </w:rPr>
      </w:pPr>
      <w:r w:rsidRPr="00087138">
        <w:rPr>
          <w:szCs w:val="22"/>
        </w:rPr>
        <w:t>CTIA</w:t>
      </w:r>
    </w:p>
    <w:p w14:paraId="3A6480B2" w14:textId="77777777" w:rsidR="0099229B" w:rsidRPr="00087138" w:rsidRDefault="0099229B" w:rsidP="0099229B">
      <w:pPr>
        <w:rPr>
          <w:szCs w:val="22"/>
        </w:rPr>
      </w:pPr>
      <w:r w:rsidRPr="00087138">
        <w:rPr>
          <w:szCs w:val="22"/>
        </w:rPr>
        <w:t>Denise Amber Lee Foundation</w:t>
      </w:r>
    </w:p>
    <w:p w14:paraId="3CAA065B" w14:textId="77777777" w:rsidR="0099229B" w:rsidRPr="00087138" w:rsidRDefault="0099229B" w:rsidP="0099229B">
      <w:pPr>
        <w:rPr>
          <w:szCs w:val="22"/>
        </w:rPr>
      </w:pPr>
      <w:r w:rsidRPr="00087138">
        <w:rPr>
          <w:szCs w:val="22"/>
        </w:rPr>
        <w:t xml:space="preserve">Find Me911 </w:t>
      </w:r>
    </w:p>
    <w:p w14:paraId="61C294CB" w14:textId="77777777" w:rsidR="0099229B" w:rsidRDefault="0099229B" w:rsidP="0099229B">
      <w:pPr>
        <w:rPr>
          <w:szCs w:val="22"/>
        </w:rPr>
      </w:pPr>
      <w:r w:rsidRPr="00087138">
        <w:rPr>
          <w:szCs w:val="22"/>
        </w:rPr>
        <w:t>HTC America, Inc.</w:t>
      </w:r>
    </w:p>
    <w:p w14:paraId="00D31162" w14:textId="77777777" w:rsidR="0099229B" w:rsidRDefault="0099229B" w:rsidP="0099229B">
      <w:pPr>
        <w:rPr>
          <w:szCs w:val="22"/>
        </w:rPr>
      </w:pPr>
      <w:r>
        <w:rPr>
          <w:szCs w:val="22"/>
        </w:rPr>
        <w:t>IAFF</w:t>
      </w:r>
    </w:p>
    <w:p w14:paraId="3C4E83B7" w14:textId="77777777" w:rsidR="0099229B" w:rsidRPr="00087138" w:rsidRDefault="0099229B" w:rsidP="0099229B">
      <w:pPr>
        <w:rPr>
          <w:szCs w:val="22"/>
        </w:rPr>
      </w:pPr>
      <w:r>
        <w:rPr>
          <w:szCs w:val="22"/>
        </w:rPr>
        <w:t>International Union of Police Associations</w:t>
      </w:r>
    </w:p>
    <w:p w14:paraId="2B1FD647" w14:textId="77777777" w:rsidR="0099229B" w:rsidRPr="00087138" w:rsidRDefault="0099229B" w:rsidP="0099229B">
      <w:pPr>
        <w:rPr>
          <w:szCs w:val="22"/>
        </w:rPr>
      </w:pPr>
      <w:r w:rsidRPr="00087138">
        <w:rPr>
          <w:szCs w:val="22"/>
        </w:rPr>
        <w:t>Intrado</w:t>
      </w:r>
    </w:p>
    <w:p w14:paraId="7F6C3C14" w14:textId="77777777" w:rsidR="0099229B" w:rsidRPr="00087138" w:rsidRDefault="0099229B" w:rsidP="0099229B">
      <w:pPr>
        <w:rPr>
          <w:szCs w:val="22"/>
        </w:rPr>
      </w:pPr>
      <w:r w:rsidRPr="00087138">
        <w:rPr>
          <w:szCs w:val="22"/>
        </w:rPr>
        <w:t>NARUC</w:t>
      </w:r>
    </w:p>
    <w:p w14:paraId="7649C6BF" w14:textId="77777777" w:rsidR="0099229B" w:rsidRPr="00087138" w:rsidRDefault="0099229B" w:rsidP="0099229B">
      <w:pPr>
        <w:rPr>
          <w:szCs w:val="22"/>
        </w:rPr>
      </w:pPr>
      <w:r w:rsidRPr="00087138">
        <w:rPr>
          <w:szCs w:val="22"/>
        </w:rPr>
        <w:t>NextNav</w:t>
      </w:r>
    </w:p>
    <w:p w14:paraId="075A746B" w14:textId="77777777" w:rsidR="0099229B" w:rsidRPr="00087138" w:rsidRDefault="0099229B" w:rsidP="0099229B">
      <w:pPr>
        <w:rPr>
          <w:szCs w:val="22"/>
        </w:rPr>
      </w:pPr>
      <w:r w:rsidRPr="00087138">
        <w:rPr>
          <w:szCs w:val="22"/>
        </w:rPr>
        <w:t xml:space="preserve">Polaris </w:t>
      </w:r>
    </w:p>
    <w:p w14:paraId="3430D70F" w14:textId="77777777" w:rsidR="0099229B" w:rsidRDefault="0099229B" w:rsidP="0099229B">
      <w:pPr>
        <w:rPr>
          <w:szCs w:val="22"/>
        </w:rPr>
      </w:pPr>
      <w:r w:rsidRPr="00087138">
        <w:rPr>
          <w:szCs w:val="22"/>
        </w:rPr>
        <w:t>Public Knowledge</w:t>
      </w:r>
    </w:p>
    <w:p w14:paraId="50B7180A" w14:textId="77777777" w:rsidR="0099229B" w:rsidRPr="00087138" w:rsidRDefault="0099229B" w:rsidP="0099229B">
      <w:pPr>
        <w:rPr>
          <w:szCs w:val="22"/>
        </w:rPr>
      </w:pPr>
      <w:r>
        <w:rPr>
          <w:szCs w:val="22"/>
        </w:rPr>
        <w:t>QUALCOMM</w:t>
      </w:r>
    </w:p>
    <w:p w14:paraId="1B221D50" w14:textId="77777777" w:rsidR="0099229B" w:rsidRPr="00087138" w:rsidRDefault="0099229B" w:rsidP="0099229B">
      <w:pPr>
        <w:rPr>
          <w:szCs w:val="22"/>
        </w:rPr>
      </w:pPr>
      <w:r w:rsidRPr="00087138">
        <w:rPr>
          <w:szCs w:val="22"/>
        </w:rPr>
        <w:t>Rural Broadband Policy Group</w:t>
      </w:r>
    </w:p>
    <w:p w14:paraId="06CB4C33" w14:textId="77777777" w:rsidR="0099229B" w:rsidRPr="00087138" w:rsidRDefault="0099229B" w:rsidP="0099229B">
      <w:pPr>
        <w:rPr>
          <w:szCs w:val="22"/>
        </w:rPr>
      </w:pPr>
      <w:r w:rsidRPr="00087138">
        <w:rPr>
          <w:szCs w:val="22"/>
        </w:rPr>
        <w:t>SouthernLINC</w:t>
      </w:r>
    </w:p>
    <w:p w14:paraId="4036F49A" w14:textId="77777777" w:rsidR="0099229B" w:rsidRPr="00087138" w:rsidRDefault="0099229B" w:rsidP="0099229B">
      <w:pPr>
        <w:rPr>
          <w:szCs w:val="22"/>
        </w:rPr>
      </w:pPr>
      <w:r w:rsidRPr="00087138">
        <w:rPr>
          <w:szCs w:val="22"/>
        </w:rPr>
        <w:t>TCS</w:t>
      </w:r>
    </w:p>
    <w:p w14:paraId="17529B01" w14:textId="77777777" w:rsidR="0099229B" w:rsidRPr="00087138" w:rsidRDefault="0099229B" w:rsidP="0099229B">
      <w:pPr>
        <w:rPr>
          <w:szCs w:val="22"/>
        </w:rPr>
      </w:pPr>
      <w:r w:rsidRPr="00087138">
        <w:rPr>
          <w:szCs w:val="22"/>
        </w:rPr>
        <w:t>TDI</w:t>
      </w:r>
    </w:p>
    <w:p w14:paraId="57112DC9" w14:textId="77777777" w:rsidR="0099229B" w:rsidRPr="00087138" w:rsidRDefault="0099229B" w:rsidP="0099229B">
      <w:pPr>
        <w:rPr>
          <w:szCs w:val="22"/>
        </w:rPr>
      </w:pPr>
      <w:r w:rsidRPr="00087138">
        <w:rPr>
          <w:szCs w:val="22"/>
        </w:rPr>
        <w:t>TechnoCom Corporation</w:t>
      </w:r>
    </w:p>
    <w:p w14:paraId="4916493E" w14:textId="6C6C8F3C" w:rsidR="0099229B" w:rsidRPr="00087138" w:rsidRDefault="0099229B" w:rsidP="0099229B">
      <w:pPr>
        <w:rPr>
          <w:szCs w:val="22"/>
        </w:rPr>
      </w:pPr>
      <w:r w:rsidRPr="00087138">
        <w:rPr>
          <w:szCs w:val="22"/>
        </w:rPr>
        <w:t>Texas 9</w:t>
      </w:r>
      <w:r>
        <w:rPr>
          <w:szCs w:val="22"/>
        </w:rPr>
        <w:t>1</w:t>
      </w:r>
      <w:r w:rsidRPr="00087138">
        <w:rPr>
          <w:szCs w:val="22"/>
        </w:rPr>
        <w:t xml:space="preserve">1 </w:t>
      </w:r>
      <w:r>
        <w:rPr>
          <w:szCs w:val="22"/>
        </w:rPr>
        <w:t>Entities</w:t>
      </w:r>
    </w:p>
    <w:p w14:paraId="7704A577" w14:textId="77777777" w:rsidR="0099229B" w:rsidRPr="00087138" w:rsidRDefault="0099229B" w:rsidP="0099229B">
      <w:pPr>
        <w:rPr>
          <w:szCs w:val="22"/>
        </w:rPr>
      </w:pPr>
      <w:r w:rsidRPr="00087138">
        <w:rPr>
          <w:szCs w:val="22"/>
        </w:rPr>
        <w:t>Texas CSEC</w:t>
      </w:r>
    </w:p>
    <w:p w14:paraId="084CAD30" w14:textId="77777777" w:rsidR="0099229B" w:rsidRPr="00087138" w:rsidRDefault="0099229B" w:rsidP="0099229B">
      <w:pPr>
        <w:rPr>
          <w:szCs w:val="22"/>
        </w:rPr>
      </w:pPr>
      <w:r w:rsidRPr="00087138">
        <w:rPr>
          <w:szCs w:val="22"/>
        </w:rPr>
        <w:t>T-Mobile</w:t>
      </w:r>
    </w:p>
    <w:p w14:paraId="009CADBC" w14:textId="77777777" w:rsidR="0099229B" w:rsidRPr="00087138" w:rsidRDefault="0099229B" w:rsidP="0099229B">
      <w:pPr>
        <w:rPr>
          <w:szCs w:val="22"/>
        </w:rPr>
      </w:pPr>
      <w:r w:rsidRPr="00087138">
        <w:rPr>
          <w:szCs w:val="22"/>
        </w:rPr>
        <w:t>TruePosition</w:t>
      </w:r>
    </w:p>
    <w:p w14:paraId="15C1A79E" w14:textId="77777777" w:rsidR="0099229B" w:rsidRPr="00087138" w:rsidRDefault="0099229B" w:rsidP="0099229B">
      <w:pPr>
        <w:rPr>
          <w:szCs w:val="22"/>
        </w:rPr>
      </w:pPr>
      <w:r w:rsidRPr="00087138">
        <w:rPr>
          <w:szCs w:val="22"/>
        </w:rPr>
        <w:t>Verizon</w:t>
      </w:r>
    </w:p>
    <w:p w14:paraId="41481338" w14:textId="77777777" w:rsidR="0099229B" w:rsidRPr="00087138" w:rsidRDefault="0099229B" w:rsidP="0099229B">
      <w:pPr>
        <w:rPr>
          <w:szCs w:val="22"/>
        </w:rPr>
        <w:sectPr w:rsidR="0099229B" w:rsidRPr="00087138" w:rsidSect="0046037B">
          <w:type w:val="continuous"/>
          <w:pgSz w:w="12240" w:h="15840"/>
          <w:pgMar w:top="1440" w:right="1440" w:bottom="1440" w:left="1440" w:header="720" w:footer="720" w:gutter="0"/>
          <w:cols w:num="2" w:space="720"/>
          <w:docGrid w:linePitch="360"/>
        </w:sectPr>
      </w:pPr>
    </w:p>
    <w:p w14:paraId="051620E1" w14:textId="77777777" w:rsidR="0099229B" w:rsidRPr="00087138" w:rsidRDefault="0099229B" w:rsidP="0099229B">
      <w:pPr>
        <w:rPr>
          <w:szCs w:val="22"/>
        </w:rPr>
      </w:pPr>
    </w:p>
    <w:p w14:paraId="3CF80525" w14:textId="77777777" w:rsidR="0099229B" w:rsidRPr="00087138" w:rsidRDefault="0099229B" w:rsidP="0099229B">
      <w:pPr>
        <w:rPr>
          <w:b/>
          <w:i/>
          <w:szCs w:val="22"/>
          <w:u w:val="single"/>
        </w:rPr>
      </w:pPr>
    </w:p>
    <w:p w14:paraId="11EA3921" w14:textId="77777777" w:rsidR="0099229B" w:rsidRPr="00087138" w:rsidRDefault="0099229B" w:rsidP="0099229B">
      <w:pPr>
        <w:rPr>
          <w:szCs w:val="22"/>
        </w:rPr>
      </w:pPr>
      <w:r w:rsidRPr="00087138">
        <w:rPr>
          <w:szCs w:val="22"/>
        </w:rPr>
        <w:t>In response to Wireless E911 Location Accuracy Requirements, PS Docket No. 07-114, DA 14-1680,</w:t>
      </w:r>
      <w:r w:rsidRPr="00087138">
        <w:rPr>
          <w:i/>
          <w:szCs w:val="22"/>
        </w:rPr>
        <w:t xml:space="preserve"> Public Notice </w:t>
      </w:r>
      <w:r w:rsidRPr="00087138">
        <w:rPr>
          <w:szCs w:val="22"/>
        </w:rPr>
        <w:t xml:space="preserve">(rel. Nov. 20, 2014) (seeking comment on Roadmap); DA 14-1794, </w:t>
      </w:r>
      <w:r w:rsidRPr="00087138">
        <w:rPr>
          <w:i/>
          <w:szCs w:val="22"/>
        </w:rPr>
        <w:t xml:space="preserve">Order </w:t>
      </w:r>
      <w:r w:rsidRPr="00087138">
        <w:rPr>
          <w:szCs w:val="22"/>
        </w:rPr>
        <w:t>(rel. Dec. 9, 2014) (extending Roadmap comment deadline):</w:t>
      </w:r>
    </w:p>
    <w:p w14:paraId="619E74E9" w14:textId="77777777" w:rsidR="0099229B" w:rsidRPr="00087138" w:rsidRDefault="0099229B" w:rsidP="0099229B">
      <w:pPr>
        <w:rPr>
          <w:i/>
          <w:szCs w:val="22"/>
        </w:rPr>
      </w:pPr>
    </w:p>
    <w:p w14:paraId="16F80B41" w14:textId="77777777" w:rsidR="0099229B" w:rsidRDefault="0099229B" w:rsidP="0099229B">
      <w:pPr>
        <w:rPr>
          <w:b/>
          <w:szCs w:val="22"/>
          <w:u w:val="single"/>
        </w:rPr>
        <w:sectPr w:rsidR="0099229B" w:rsidSect="0046037B">
          <w:type w:val="continuous"/>
          <w:pgSz w:w="12240" w:h="15840"/>
          <w:pgMar w:top="1440" w:right="1440" w:bottom="1440" w:left="1440" w:header="720" w:footer="720" w:gutter="0"/>
          <w:cols w:space="720"/>
          <w:docGrid w:linePitch="360"/>
        </w:sectPr>
      </w:pPr>
    </w:p>
    <w:p w14:paraId="44D472B6" w14:textId="77777777" w:rsidR="0099229B" w:rsidRPr="00087138" w:rsidRDefault="0099229B" w:rsidP="0099229B">
      <w:pPr>
        <w:rPr>
          <w:szCs w:val="22"/>
        </w:rPr>
      </w:pPr>
      <w:r w:rsidRPr="00087138">
        <w:rPr>
          <w:b/>
          <w:szCs w:val="22"/>
          <w:u w:val="single"/>
        </w:rPr>
        <w:t>Comments</w:t>
      </w:r>
    </w:p>
    <w:p w14:paraId="25418F81" w14:textId="77777777" w:rsidR="0099229B" w:rsidRPr="00087138" w:rsidRDefault="0099229B" w:rsidP="0099229B">
      <w:pPr>
        <w:rPr>
          <w:szCs w:val="22"/>
        </w:rPr>
        <w:sectPr w:rsidR="0099229B" w:rsidRPr="00087138" w:rsidSect="004C29B5">
          <w:type w:val="continuous"/>
          <w:pgSz w:w="12240" w:h="15840"/>
          <w:pgMar w:top="1440" w:right="1440" w:bottom="1440" w:left="1440" w:header="720" w:footer="720" w:gutter="0"/>
          <w:cols w:num="2" w:space="720"/>
          <w:docGrid w:linePitch="360"/>
        </w:sectPr>
      </w:pPr>
    </w:p>
    <w:p w14:paraId="5F2B041B" w14:textId="77777777" w:rsidR="0099229B" w:rsidRPr="00087138" w:rsidRDefault="0099229B" w:rsidP="0099229B">
      <w:pPr>
        <w:rPr>
          <w:szCs w:val="22"/>
        </w:rPr>
      </w:pPr>
      <w:r w:rsidRPr="00087138">
        <w:rPr>
          <w:szCs w:val="22"/>
        </w:rPr>
        <w:t>AARP</w:t>
      </w:r>
    </w:p>
    <w:p w14:paraId="10495B26" w14:textId="77777777" w:rsidR="0099229B" w:rsidRPr="00087138" w:rsidRDefault="0099229B" w:rsidP="0099229B">
      <w:pPr>
        <w:rPr>
          <w:szCs w:val="22"/>
        </w:rPr>
      </w:pPr>
      <w:r w:rsidRPr="00087138">
        <w:rPr>
          <w:szCs w:val="22"/>
        </w:rPr>
        <w:t>Adam Welland</w:t>
      </w:r>
    </w:p>
    <w:p w14:paraId="693A8463" w14:textId="77777777" w:rsidR="0099229B" w:rsidRPr="00087138" w:rsidRDefault="0099229B" w:rsidP="0099229B">
      <w:pPr>
        <w:rPr>
          <w:szCs w:val="22"/>
        </w:rPr>
      </w:pPr>
      <w:r w:rsidRPr="00087138">
        <w:rPr>
          <w:szCs w:val="22"/>
        </w:rPr>
        <w:t>Al Studt</w:t>
      </w:r>
    </w:p>
    <w:p w14:paraId="04F5C407" w14:textId="77777777" w:rsidR="0099229B" w:rsidRPr="00087138" w:rsidRDefault="0099229B" w:rsidP="0099229B">
      <w:pPr>
        <w:rPr>
          <w:szCs w:val="22"/>
        </w:rPr>
      </w:pPr>
      <w:r w:rsidRPr="00087138">
        <w:rPr>
          <w:szCs w:val="22"/>
        </w:rPr>
        <w:t>Alona Mendoza</w:t>
      </w:r>
    </w:p>
    <w:p w14:paraId="636DEFE5" w14:textId="77777777" w:rsidR="0099229B" w:rsidRPr="00087138" w:rsidRDefault="0099229B" w:rsidP="004C29B5">
      <w:pPr>
        <w:ind w:left="180" w:hanging="180"/>
        <w:rPr>
          <w:szCs w:val="22"/>
        </w:rPr>
      </w:pPr>
      <w:r w:rsidRPr="00087138">
        <w:rPr>
          <w:szCs w:val="22"/>
        </w:rPr>
        <w:t>American Association of People with Disabilities</w:t>
      </w:r>
      <w:r>
        <w:rPr>
          <w:szCs w:val="22"/>
        </w:rPr>
        <w:t>, American Foundation for the Blind, National Council of Independent Living, United Spinal Association, and World Institute on Disability</w:t>
      </w:r>
    </w:p>
    <w:p w14:paraId="0B991C9B" w14:textId="77777777" w:rsidR="0099229B" w:rsidRPr="00087138" w:rsidRDefault="0099229B" w:rsidP="0099229B">
      <w:pPr>
        <w:rPr>
          <w:szCs w:val="22"/>
        </w:rPr>
      </w:pPr>
      <w:r>
        <w:rPr>
          <w:szCs w:val="22"/>
        </w:rPr>
        <w:t>Andy Sayles</w:t>
      </w:r>
    </w:p>
    <w:p w14:paraId="0BEB15D1" w14:textId="77777777" w:rsidR="0099229B" w:rsidRPr="00087138" w:rsidRDefault="0099229B" w:rsidP="0099229B">
      <w:pPr>
        <w:rPr>
          <w:szCs w:val="22"/>
        </w:rPr>
      </w:pPr>
      <w:r w:rsidRPr="00087138">
        <w:rPr>
          <w:szCs w:val="22"/>
        </w:rPr>
        <w:t>Anthony Santoro</w:t>
      </w:r>
    </w:p>
    <w:p w14:paraId="54B0AC8B" w14:textId="77777777" w:rsidR="0099229B" w:rsidRPr="00087138" w:rsidRDefault="0099229B" w:rsidP="0099229B">
      <w:pPr>
        <w:rPr>
          <w:szCs w:val="22"/>
        </w:rPr>
      </w:pPr>
      <w:r w:rsidRPr="00087138">
        <w:rPr>
          <w:szCs w:val="22"/>
        </w:rPr>
        <w:t>APCO</w:t>
      </w:r>
    </w:p>
    <w:p w14:paraId="18D8447D" w14:textId="77777777" w:rsidR="0099229B" w:rsidRPr="00087138" w:rsidRDefault="0099229B" w:rsidP="0099229B">
      <w:pPr>
        <w:rPr>
          <w:szCs w:val="22"/>
        </w:rPr>
      </w:pPr>
      <w:r w:rsidRPr="00087138">
        <w:rPr>
          <w:szCs w:val="22"/>
        </w:rPr>
        <w:t>April Schmitt</w:t>
      </w:r>
    </w:p>
    <w:p w14:paraId="3BC829C8" w14:textId="1BBFD1FB" w:rsidR="0099229B" w:rsidRPr="00087138" w:rsidRDefault="0099229B" w:rsidP="0099229B">
      <w:pPr>
        <w:rPr>
          <w:szCs w:val="22"/>
        </w:rPr>
      </w:pPr>
      <w:r w:rsidRPr="00087138">
        <w:rPr>
          <w:szCs w:val="22"/>
        </w:rPr>
        <w:t xml:space="preserve">AT&amp;T </w:t>
      </w:r>
    </w:p>
    <w:p w14:paraId="08F7A43E" w14:textId="77777777" w:rsidR="0099229B" w:rsidRPr="00087138" w:rsidRDefault="0099229B" w:rsidP="0099229B">
      <w:pPr>
        <w:rPr>
          <w:szCs w:val="22"/>
        </w:rPr>
      </w:pPr>
      <w:r w:rsidRPr="00087138">
        <w:rPr>
          <w:szCs w:val="22"/>
        </w:rPr>
        <w:t>Bob Heck</w:t>
      </w:r>
    </w:p>
    <w:p w14:paraId="1F64960C" w14:textId="77777777" w:rsidR="0099229B" w:rsidRPr="00087138" w:rsidRDefault="0099229B" w:rsidP="0099229B">
      <w:pPr>
        <w:rPr>
          <w:szCs w:val="22"/>
        </w:rPr>
      </w:pPr>
      <w:r w:rsidRPr="00087138">
        <w:rPr>
          <w:szCs w:val="22"/>
        </w:rPr>
        <w:t>BRETSA</w:t>
      </w:r>
    </w:p>
    <w:p w14:paraId="70DD14B0" w14:textId="77777777" w:rsidR="0099229B" w:rsidRPr="00087138" w:rsidRDefault="0099229B" w:rsidP="0099229B">
      <w:pPr>
        <w:rPr>
          <w:szCs w:val="22"/>
        </w:rPr>
      </w:pPr>
      <w:r w:rsidRPr="00087138">
        <w:rPr>
          <w:szCs w:val="22"/>
        </w:rPr>
        <w:t>Bozena Lahtinen</w:t>
      </w:r>
    </w:p>
    <w:p w14:paraId="6C6F84F8" w14:textId="28E7544A" w:rsidR="0099229B" w:rsidRDefault="0099229B" w:rsidP="0099229B">
      <w:pPr>
        <w:rPr>
          <w:szCs w:val="22"/>
        </w:rPr>
      </w:pPr>
      <w:r w:rsidRPr="00087138">
        <w:rPr>
          <w:szCs w:val="22"/>
        </w:rPr>
        <w:t>California State Firefighters</w:t>
      </w:r>
      <w:r>
        <w:rPr>
          <w:szCs w:val="22"/>
        </w:rPr>
        <w:t>’</w:t>
      </w:r>
      <w:r w:rsidRPr="00087138">
        <w:rPr>
          <w:szCs w:val="22"/>
        </w:rPr>
        <w:t xml:space="preserve"> Association</w:t>
      </w:r>
    </w:p>
    <w:p w14:paraId="0D4D00A1" w14:textId="77777777" w:rsidR="0099229B" w:rsidRPr="00087138" w:rsidRDefault="0099229B" w:rsidP="0099229B">
      <w:pPr>
        <w:rPr>
          <w:szCs w:val="22"/>
        </w:rPr>
      </w:pPr>
      <w:r>
        <w:rPr>
          <w:szCs w:val="22"/>
        </w:rPr>
        <w:t>Canyons School Dist., Sandy, UT</w:t>
      </w:r>
    </w:p>
    <w:p w14:paraId="5E1DCE91" w14:textId="77777777" w:rsidR="0099229B" w:rsidRPr="00087138" w:rsidRDefault="0099229B" w:rsidP="0099229B">
      <w:pPr>
        <w:rPr>
          <w:szCs w:val="22"/>
        </w:rPr>
      </w:pPr>
      <w:r w:rsidRPr="00087138">
        <w:rPr>
          <w:szCs w:val="22"/>
        </w:rPr>
        <w:t>Cisco</w:t>
      </w:r>
    </w:p>
    <w:p w14:paraId="388A85B7" w14:textId="77777777" w:rsidR="0099229B" w:rsidRDefault="0099229B" w:rsidP="0099229B">
      <w:pPr>
        <w:rPr>
          <w:szCs w:val="22"/>
        </w:rPr>
      </w:pPr>
      <w:r w:rsidRPr="00087138">
        <w:rPr>
          <w:szCs w:val="22"/>
        </w:rPr>
        <w:t>CCA</w:t>
      </w:r>
    </w:p>
    <w:p w14:paraId="35388CAE" w14:textId="77777777" w:rsidR="0099229B" w:rsidRDefault="0099229B" w:rsidP="0099229B">
      <w:pPr>
        <w:rPr>
          <w:szCs w:val="22"/>
        </w:rPr>
      </w:pPr>
      <w:r>
        <w:rPr>
          <w:szCs w:val="22"/>
        </w:rPr>
        <w:t>Colorado Chapter of NENA</w:t>
      </w:r>
    </w:p>
    <w:p w14:paraId="5579C8D3" w14:textId="77777777" w:rsidR="0099229B" w:rsidRPr="00087138" w:rsidRDefault="0099229B" w:rsidP="0099229B">
      <w:pPr>
        <w:rPr>
          <w:szCs w:val="22"/>
        </w:rPr>
      </w:pPr>
      <w:r>
        <w:rPr>
          <w:szCs w:val="22"/>
        </w:rPr>
        <w:t>CSR</w:t>
      </w:r>
    </w:p>
    <w:p w14:paraId="3C1A29C8" w14:textId="77777777" w:rsidR="0099229B" w:rsidRPr="00087138" w:rsidRDefault="0099229B" w:rsidP="0099229B">
      <w:pPr>
        <w:rPr>
          <w:szCs w:val="22"/>
        </w:rPr>
      </w:pPr>
      <w:r w:rsidRPr="00087138">
        <w:rPr>
          <w:szCs w:val="22"/>
        </w:rPr>
        <w:t>CTIA</w:t>
      </w:r>
    </w:p>
    <w:p w14:paraId="52C1C368" w14:textId="77777777" w:rsidR="0099229B" w:rsidRPr="00087138" w:rsidRDefault="0099229B" w:rsidP="0099229B">
      <w:pPr>
        <w:rPr>
          <w:szCs w:val="22"/>
        </w:rPr>
      </w:pPr>
      <w:r>
        <w:rPr>
          <w:szCs w:val="22"/>
        </w:rPr>
        <w:t>D.</w:t>
      </w:r>
      <w:r w:rsidRPr="00087138">
        <w:rPr>
          <w:szCs w:val="22"/>
        </w:rPr>
        <w:t xml:space="preserve"> </w:t>
      </w:r>
      <w:r>
        <w:rPr>
          <w:szCs w:val="22"/>
        </w:rPr>
        <w:t>G</w:t>
      </w:r>
      <w:r w:rsidRPr="00087138">
        <w:rPr>
          <w:szCs w:val="22"/>
        </w:rPr>
        <w:t>oldsmith</w:t>
      </w:r>
    </w:p>
    <w:p w14:paraId="6E72603E" w14:textId="77777777" w:rsidR="0099229B" w:rsidRDefault="0099229B" w:rsidP="0099229B">
      <w:pPr>
        <w:rPr>
          <w:szCs w:val="22"/>
        </w:rPr>
      </w:pPr>
      <w:r w:rsidRPr="00087138">
        <w:rPr>
          <w:szCs w:val="22"/>
        </w:rPr>
        <w:t>Eddie Burchell, ENP</w:t>
      </w:r>
    </w:p>
    <w:p w14:paraId="34E32735" w14:textId="77777777" w:rsidR="0099229B" w:rsidRPr="00087138" w:rsidRDefault="0099229B" w:rsidP="0099229B">
      <w:pPr>
        <w:rPr>
          <w:szCs w:val="22"/>
        </w:rPr>
      </w:pPr>
      <w:r>
        <w:rPr>
          <w:szCs w:val="22"/>
        </w:rPr>
        <w:t>Enid (OK) Fire Department</w:t>
      </w:r>
    </w:p>
    <w:p w14:paraId="0963D953" w14:textId="77777777" w:rsidR="0099229B" w:rsidRPr="00087138" w:rsidRDefault="0099229B" w:rsidP="0099229B">
      <w:pPr>
        <w:rPr>
          <w:szCs w:val="22"/>
        </w:rPr>
      </w:pPr>
      <w:r w:rsidRPr="00087138">
        <w:rPr>
          <w:szCs w:val="22"/>
        </w:rPr>
        <w:t>FindMe911</w:t>
      </w:r>
    </w:p>
    <w:p w14:paraId="5694FA0D" w14:textId="77777777" w:rsidR="0099229B" w:rsidRDefault="0099229B" w:rsidP="0099229B">
      <w:pPr>
        <w:rPr>
          <w:szCs w:val="22"/>
        </w:rPr>
      </w:pPr>
      <w:r w:rsidRPr="00087138">
        <w:rPr>
          <w:szCs w:val="22"/>
        </w:rPr>
        <w:t>Florida Sheriffs</w:t>
      </w:r>
      <w:r>
        <w:rPr>
          <w:szCs w:val="22"/>
        </w:rPr>
        <w:t>’</w:t>
      </w:r>
      <w:r w:rsidRPr="00087138">
        <w:rPr>
          <w:szCs w:val="22"/>
        </w:rPr>
        <w:t xml:space="preserve"> Association</w:t>
      </w:r>
    </w:p>
    <w:p w14:paraId="2C49A7B4" w14:textId="77777777" w:rsidR="0099229B" w:rsidRPr="00087138" w:rsidRDefault="0099229B" w:rsidP="0099229B">
      <w:pPr>
        <w:ind w:left="180" w:hanging="180"/>
        <w:rPr>
          <w:szCs w:val="22"/>
        </w:rPr>
      </w:pPr>
      <w:r>
        <w:rPr>
          <w:szCs w:val="22"/>
        </w:rPr>
        <w:t>Garfield County (CO) Emergency Communications Authority</w:t>
      </w:r>
    </w:p>
    <w:p w14:paraId="20B37C35" w14:textId="77777777" w:rsidR="0099229B" w:rsidRDefault="0099229B" w:rsidP="0099229B">
      <w:pPr>
        <w:rPr>
          <w:szCs w:val="22"/>
        </w:rPr>
      </w:pPr>
      <w:r w:rsidRPr="00087138">
        <w:rPr>
          <w:szCs w:val="22"/>
        </w:rPr>
        <w:t>George DiBlasi</w:t>
      </w:r>
    </w:p>
    <w:p w14:paraId="20B0D299" w14:textId="77777777" w:rsidR="0099229B" w:rsidRPr="00087138" w:rsidRDefault="0099229B" w:rsidP="0099229B">
      <w:pPr>
        <w:rPr>
          <w:szCs w:val="22"/>
        </w:rPr>
      </w:pPr>
      <w:r>
        <w:rPr>
          <w:szCs w:val="22"/>
        </w:rPr>
        <w:t>Hampstead (NH) Police Department</w:t>
      </w:r>
    </w:p>
    <w:p w14:paraId="3A8C0D27" w14:textId="77777777" w:rsidR="0099229B" w:rsidRPr="00087138" w:rsidRDefault="0099229B" w:rsidP="0099229B">
      <w:pPr>
        <w:rPr>
          <w:szCs w:val="22"/>
        </w:rPr>
      </w:pPr>
      <w:r w:rsidRPr="00087138">
        <w:rPr>
          <w:szCs w:val="22"/>
        </w:rPr>
        <w:t>iCERT</w:t>
      </w:r>
    </w:p>
    <w:p w14:paraId="29E15548" w14:textId="77777777" w:rsidR="0099229B" w:rsidRPr="00087138" w:rsidRDefault="0099229B" w:rsidP="0099229B">
      <w:pPr>
        <w:rPr>
          <w:szCs w:val="22"/>
        </w:rPr>
      </w:pPr>
      <w:r w:rsidRPr="00087138">
        <w:rPr>
          <w:szCs w:val="22"/>
        </w:rPr>
        <w:t>InLocation Alliance</w:t>
      </w:r>
    </w:p>
    <w:p w14:paraId="449162E7" w14:textId="77777777" w:rsidR="0099229B" w:rsidRPr="00087138" w:rsidRDefault="0099229B" w:rsidP="0099229B">
      <w:pPr>
        <w:rPr>
          <w:szCs w:val="22"/>
        </w:rPr>
      </w:pPr>
      <w:r w:rsidRPr="00087138">
        <w:rPr>
          <w:szCs w:val="22"/>
        </w:rPr>
        <w:t>IAFC</w:t>
      </w:r>
    </w:p>
    <w:p w14:paraId="188C1728" w14:textId="6D2F1522" w:rsidR="0099229B" w:rsidRPr="00087138" w:rsidRDefault="0099229B" w:rsidP="0099229B">
      <w:pPr>
        <w:rPr>
          <w:szCs w:val="22"/>
        </w:rPr>
      </w:pPr>
      <w:r w:rsidRPr="00087138">
        <w:rPr>
          <w:szCs w:val="22"/>
        </w:rPr>
        <w:t xml:space="preserve">IAFF and </w:t>
      </w:r>
      <w:r>
        <w:rPr>
          <w:szCs w:val="22"/>
        </w:rPr>
        <w:t xml:space="preserve">CFSI </w:t>
      </w:r>
    </w:p>
    <w:p w14:paraId="516107D6" w14:textId="424AB61B" w:rsidR="0099229B" w:rsidRPr="00087138" w:rsidRDefault="0099229B" w:rsidP="0099229B">
      <w:pPr>
        <w:rPr>
          <w:szCs w:val="22"/>
        </w:rPr>
      </w:pPr>
      <w:r w:rsidRPr="00087138">
        <w:rPr>
          <w:szCs w:val="22"/>
        </w:rPr>
        <w:t>Internation</w:t>
      </w:r>
      <w:r>
        <w:rPr>
          <w:szCs w:val="22"/>
        </w:rPr>
        <w:t>al Municipal Signal Association</w:t>
      </w:r>
    </w:p>
    <w:p w14:paraId="12768053" w14:textId="77777777" w:rsidR="0099229B" w:rsidRPr="00087138" w:rsidRDefault="0099229B" w:rsidP="0099229B">
      <w:pPr>
        <w:rPr>
          <w:szCs w:val="22"/>
        </w:rPr>
      </w:pPr>
      <w:r w:rsidRPr="00087138">
        <w:rPr>
          <w:szCs w:val="22"/>
        </w:rPr>
        <w:t>Intrado</w:t>
      </w:r>
    </w:p>
    <w:p w14:paraId="6725B2FC" w14:textId="77777777" w:rsidR="0099229B" w:rsidRPr="00087138" w:rsidRDefault="0099229B" w:rsidP="0099229B">
      <w:pPr>
        <w:rPr>
          <w:szCs w:val="22"/>
        </w:rPr>
      </w:pPr>
      <w:r w:rsidRPr="00087138">
        <w:rPr>
          <w:szCs w:val="22"/>
        </w:rPr>
        <w:t>iPosi</w:t>
      </w:r>
    </w:p>
    <w:p w14:paraId="2C506EA6" w14:textId="77777777" w:rsidR="0099229B" w:rsidRPr="00087138" w:rsidRDefault="0099229B" w:rsidP="0099229B">
      <w:pPr>
        <w:rPr>
          <w:szCs w:val="22"/>
        </w:rPr>
      </w:pPr>
      <w:r w:rsidRPr="00087138">
        <w:rPr>
          <w:szCs w:val="22"/>
        </w:rPr>
        <w:t>James Ga</w:t>
      </w:r>
      <w:r>
        <w:rPr>
          <w:szCs w:val="22"/>
        </w:rPr>
        <w:t>lbreath</w:t>
      </w:r>
    </w:p>
    <w:p w14:paraId="24B1AEDF" w14:textId="77777777" w:rsidR="0099229B" w:rsidRPr="00087138" w:rsidRDefault="0099229B" w:rsidP="0099229B">
      <w:pPr>
        <w:rPr>
          <w:szCs w:val="22"/>
        </w:rPr>
      </w:pPr>
      <w:r w:rsidRPr="00087138">
        <w:rPr>
          <w:szCs w:val="22"/>
        </w:rPr>
        <w:t>John Cipora</w:t>
      </w:r>
    </w:p>
    <w:p w14:paraId="4F8E6F50" w14:textId="77777777" w:rsidR="0099229B" w:rsidRPr="00087138" w:rsidRDefault="0099229B" w:rsidP="0099229B">
      <w:pPr>
        <w:rPr>
          <w:szCs w:val="22"/>
        </w:rPr>
      </w:pPr>
      <w:r w:rsidRPr="00087138">
        <w:rPr>
          <w:szCs w:val="22"/>
        </w:rPr>
        <w:t>Jules McNeff</w:t>
      </w:r>
    </w:p>
    <w:p w14:paraId="265122C9" w14:textId="77777777" w:rsidR="0099229B" w:rsidRDefault="0099229B" w:rsidP="0099229B">
      <w:pPr>
        <w:rPr>
          <w:szCs w:val="22"/>
        </w:rPr>
      </w:pPr>
      <w:r w:rsidRPr="00087138">
        <w:rPr>
          <w:szCs w:val="22"/>
        </w:rPr>
        <w:t>Kevin S</w:t>
      </w:r>
      <w:r>
        <w:rPr>
          <w:szCs w:val="22"/>
        </w:rPr>
        <w:t>.</w:t>
      </w:r>
      <w:r w:rsidRPr="00087138">
        <w:rPr>
          <w:szCs w:val="22"/>
        </w:rPr>
        <w:t xml:space="preserve"> O'Donnell</w:t>
      </w:r>
    </w:p>
    <w:p w14:paraId="11B040E1" w14:textId="77777777" w:rsidR="0099229B" w:rsidRPr="00087138" w:rsidRDefault="0099229B" w:rsidP="0099229B">
      <w:pPr>
        <w:ind w:left="180" w:hanging="180"/>
        <w:rPr>
          <w:szCs w:val="22"/>
        </w:rPr>
      </w:pPr>
      <w:r>
        <w:rPr>
          <w:szCs w:val="22"/>
        </w:rPr>
        <w:t>Lackawanna County (PA) District Attorney Andrew Jarbola</w:t>
      </w:r>
    </w:p>
    <w:p w14:paraId="31B5B2A2" w14:textId="77777777" w:rsidR="0099229B" w:rsidRDefault="0099229B" w:rsidP="0099229B">
      <w:pPr>
        <w:rPr>
          <w:szCs w:val="22"/>
        </w:rPr>
      </w:pPr>
      <w:r w:rsidRPr="00087138">
        <w:rPr>
          <w:szCs w:val="22"/>
        </w:rPr>
        <w:t>Martin P. Montgomery</w:t>
      </w:r>
    </w:p>
    <w:p w14:paraId="2292C1DA" w14:textId="77777777" w:rsidR="0099229B" w:rsidRPr="00087138" w:rsidRDefault="0099229B" w:rsidP="0099229B">
      <w:pPr>
        <w:rPr>
          <w:szCs w:val="22"/>
        </w:rPr>
      </w:pPr>
      <w:r>
        <w:rPr>
          <w:szCs w:val="22"/>
        </w:rPr>
        <w:t>Minnesota Chiefs of Police</w:t>
      </w:r>
    </w:p>
    <w:p w14:paraId="7323893B" w14:textId="77777777" w:rsidR="0099229B" w:rsidRPr="00087138" w:rsidRDefault="0099229B" w:rsidP="0099229B">
      <w:pPr>
        <w:rPr>
          <w:szCs w:val="22"/>
        </w:rPr>
      </w:pPr>
      <w:r w:rsidRPr="00087138">
        <w:rPr>
          <w:szCs w:val="22"/>
        </w:rPr>
        <w:t>Mobile Future</w:t>
      </w:r>
    </w:p>
    <w:p w14:paraId="35548FC0" w14:textId="77777777" w:rsidR="0099229B" w:rsidRPr="00087138" w:rsidRDefault="0099229B" w:rsidP="0099229B">
      <w:pPr>
        <w:rPr>
          <w:szCs w:val="22"/>
        </w:rPr>
      </w:pPr>
      <w:r w:rsidRPr="00087138">
        <w:rPr>
          <w:szCs w:val="22"/>
        </w:rPr>
        <w:t xml:space="preserve">Motorola </w:t>
      </w:r>
      <w:r>
        <w:rPr>
          <w:szCs w:val="22"/>
        </w:rPr>
        <w:t>Mobility</w:t>
      </w:r>
    </w:p>
    <w:p w14:paraId="081B8136" w14:textId="77777777" w:rsidR="0099229B" w:rsidRDefault="0099229B" w:rsidP="0099229B">
      <w:pPr>
        <w:rPr>
          <w:szCs w:val="22"/>
        </w:rPr>
      </w:pPr>
      <w:r w:rsidRPr="00087138">
        <w:rPr>
          <w:szCs w:val="22"/>
        </w:rPr>
        <w:t>NARUC</w:t>
      </w:r>
    </w:p>
    <w:p w14:paraId="22389A88" w14:textId="77777777" w:rsidR="0099229B" w:rsidRPr="00087138" w:rsidRDefault="0099229B" w:rsidP="0099229B">
      <w:pPr>
        <w:rPr>
          <w:szCs w:val="22"/>
        </w:rPr>
      </w:pPr>
      <w:r>
        <w:rPr>
          <w:szCs w:val="22"/>
        </w:rPr>
        <w:t>NASEMSO</w:t>
      </w:r>
      <w:r w:rsidRPr="00087138">
        <w:rPr>
          <w:szCs w:val="22"/>
        </w:rPr>
        <w:t xml:space="preserve">, </w:t>
      </w:r>
      <w:r>
        <w:rPr>
          <w:szCs w:val="22"/>
        </w:rPr>
        <w:t>NAEMSP</w:t>
      </w:r>
      <w:r w:rsidRPr="00087138">
        <w:rPr>
          <w:szCs w:val="22"/>
        </w:rPr>
        <w:t>, NAEMT, and NEMSA</w:t>
      </w:r>
    </w:p>
    <w:p w14:paraId="708D29CC" w14:textId="77777777" w:rsidR="0099229B" w:rsidRPr="00087138" w:rsidRDefault="0099229B" w:rsidP="0099229B">
      <w:pPr>
        <w:rPr>
          <w:szCs w:val="22"/>
        </w:rPr>
      </w:pPr>
      <w:r w:rsidRPr="00087138">
        <w:rPr>
          <w:szCs w:val="22"/>
        </w:rPr>
        <w:t>NASNA</w:t>
      </w:r>
    </w:p>
    <w:p w14:paraId="72896181" w14:textId="47391448" w:rsidR="0099229B" w:rsidRPr="00087138" w:rsidRDefault="0099229B" w:rsidP="0099229B">
      <w:pPr>
        <w:rPr>
          <w:szCs w:val="22"/>
        </w:rPr>
      </w:pPr>
      <w:r w:rsidRPr="00087138">
        <w:rPr>
          <w:szCs w:val="22"/>
        </w:rPr>
        <w:t xml:space="preserve">National Conference of State Legislatures </w:t>
      </w:r>
    </w:p>
    <w:p w14:paraId="1B6E8F5F" w14:textId="77777777" w:rsidR="0099229B" w:rsidRPr="00087138" w:rsidRDefault="0099229B" w:rsidP="0099229B">
      <w:pPr>
        <w:rPr>
          <w:szCs w:val="22"/>
        </w:rPr>
      </w:pPr>
      <w:r w:rsidRPr="00087138">
        <w:rPr>
          <w:szCs w:val="22"/>
        </w:rPr>
        <w:t>National Fraternal Order of Police</w:t>
      </w:r>
    </w:p>
    <w:p w14:paraId="7B7EEC93" w14:textId="77777777" w:rsidR="0099229B" w:rsidRPr="00087138" w:rsidRDefault="0099229B" w:rsidP="0099229B">
      <w:pPr>
        <w:ind w:left="180" w:hanging="180"/>
        <w:rPr>
          <w:szCs w:val="22"/>
        </w:rPr>
      </w:pPr>
      <w:r>
        <w:rPr>
          <w:szCs w:val="22"/>
        </w:rPr>
        <w:t>National Association of Telecommunications Officers and Advisors</w:t>
      </w:r>
    </w:p>
    <w:p w14:paraId="4F46C507" w14:textId="77777777" w:rsidR="0099229B" w:rsidRPr="00087138" w:rsidRDefault="0099229B" w:rsidP="0099229B">
      <w:pPr>
        <w:rPr>
          <w:szCs w:val="22"/>
        </w:rPr>
      </w:pPr>
      <w:r w:rsidRPr="00087138">
        <w:rPr>
          <w:szCs w:val="22"/>
        </w:rPr>
        <w:t>NPSC</w:t>
      </w:r>
    </w:p>
    <w:p w14:paraId="690180AC" w14:textId="77777777" w:rsidR="0099229B" w:rsidRPr="00087138" w:rsidRDefault="0099229B" w:rsidP="0099229B">
      <w:pPr>
        <w:rPr>
          <w:szCs w:val="22"/>
        </w:rPr>
      </w:pPr>
      <w:r w:rsidRPr="00087138">
        <w:rPr>
          <w:szCs w:val="22"/>
        </w:rPr>
        <w:t>NENA</w:t>
      </w:r>
    </w:p>
    <w:p w14:paraId="79B22C3C" w14:textId="77777777" w:rsidR="0099229B" w:rsidRPr="00087138" w:rsidRDefault="0099229B" w:rsidP="0099229B">
      <w:pPr>
        <w:rPr>
          <w:szCs w:val="22"/>
        </w:rPr>
      </w:pPr>
      <w:r w:rsidRPr="00087138">
        <w:rPr>
          <w:szCs w:val="22"/>
        </w:rPr>
        <w:t>NextNav</w:t>
      </w:r>
    </w:p>
    <w:p w14:paraId="4357ED43" w14:textId="77777777" w:rsidR="0099229B" w:rsidRPr="00087138" w:rsidRDefault="0099229B" w:rsidP="0099229B">
      <w:pPr>
        <w:rPr>
          <w:szCs w:val="22"/>
        </w:rPr>
      </w:pPr>
      <w:r w:rsidRPr="00087138">
        <w:rPr>
          <w:szCs w:val="22"/>
        </w:rPr>
        <w:t>NTCA</w:t>
      </w:r>
    </w:p>
    <w:p w14:paraId="1F35F9BC" w14:textId="77777777" w:rsidR="0099229B" w:rsidRPr="00087138" w:rsidRDefault="0099229B" w:rsidP="0099229B">
      <w:pPr>
        <w:rPr>
          <w:szCs w:val="22"/>
        </w:rPr>
      </w:pPr>
      <w:r w:rsidRPr="00087138">
        <w:rPr>
          <w:szCs w:val="22"/>
        </w:rPr>
        <w:t>Pat Devaney</w:t>
      </w:r>
    </w:p>
    <w:p w14:paraId="74BA6554" w14:textId="77777777" w:rsidR="0099229B" w:rsidRDefault="0099229B" w:rsidP="0099229B">
      <w:pPr>
        <w:rPr>
          <w:szCs w:val="22"/>
        </w:rPr>
      </w:pPr>
      <w:r w:rsidRPr="00087138">
        <w:rPr>
          <w:szCs w:val="22"/>
        </w:rPr>
        <w:t>Pennsylvania Chapter of NENA</w:t>
      </w:r>
    </w:p>
    <w:p w14:paraId="2DCE4506" w14:textId="77777777" w:rsidR="0099229B" w:rsidRPr="00087138" w:rsidRDefault="0099229B" w:rsidP="0099229B">
      <w:pPr>
        <w:rPr>
          <w:szCs w:val="22"/>
        </w:rPr>
      </w:pPr>
      <w:r>
        <w:rPr>
          <w:szCs w:val="22"/>
        </w:rPr>
        <w:t>Plaistow (NH) Fire Department</w:t>
      </w:r>
    </w:p>
    <w:p w14:paraId="5D3AB43F" w14:textId="77777777" w:rsidR="0099229B" w:rsidRPr="00087138" w:rsidRDefault="0099229B" w:rsidP="0099229B">
      <w:pPr>
        <w:rPr>
          <w:szCs w:val="22"/>
        </w:rPr>
      </w:pPr>
      <w:r w:rsidRPr="00087138">
        <w:rPr>
          <w:szCs w:val="22"/>
        </w:rPr>
        <w:t>Polaris</w:t>
      </w:r>
    </w:p>
    <w:p w14:paraId="3021B027" w14:textId="77777777" w:rsidR="0099229B" w:rsidRPr="002A4CC4" w:rsidRDefault="0099229B" w:rsidP="0099229B">
      <w:pPr>
        <w:ind w:left="180" w:hanging="180"/>
        <w:rPr>
          <w:szCs w:val="22"/>
        </w:rPr>
      </w:pPr>
      <w:r>
        <w:rPr>
          <w:szCs w:val="22"/>
        </w:rPr>
        <w:t>Public Knowledge, A</w:t>
      </w:r>
      <w:r w:rsidRPr="002A4CC4">
        <w:rPr>
          <w:szCs w:val="22"/>
        </w:rPr>
        <w:t xml:space="preserve">lvaro </w:t>
      </w:r>
      <w:r>
        <w:rPr>
          <w:szCs w:val="22"/>
        </w:rPr>
        <w:t>B</w:t>
      </w:r>
      <w:r w:rsidRPr="002A4CC4">
        <w:rPr>
          <w:szCs w:val="22"/>
        </w:rPr>
        <w:t>edoya</w:t>
      </w:r>
      <w:r>
        <w:rPr>
          <w:szCs w:val="22"/>
        </w:rPr>
        <w:t>, A</w:t>
      </w:r>
      <w:r w:rsidRPr="002A4CC4">
        <w:rPr>
          <w:szCs w:val="22"/>
        </w:rPr>
        <w:t xml:space="preserve">merican </w:t>
      </w:r>
      <w:r>
        <w:rPr>
          <w:szCs w:val="22"/>
        </w:rPr>
        <w:t>C</w:t>
      </w:r>
      <w:r w:rsidRPr="002A4CC4">
        <w:rPr>
          <w:szCs w:val="22"/>
        </w:rPr>
        <w:t xml:space="preserve">ivil </w:t>
      </w:r>
      <w:r>
        <w:rPr>
          <w:szCs w:val="22"/>
        </w:rPr>
        <w:t>L</w:t>
      </w:r>
      <w:r w:rsidRPr="002A4CC4">
        <w:rPr>
          <w:szCs w:val="22"/>
        </w:rPr>
        <w:t xml:space="preserve">iberties </w:t>
      </w:r>
      <w:r>
        <w:rPr>
          <w:szCs w:val="22"/>
        </w:rPr>
        <w:t>U</w:t>
      </w:r>
      <w:r w:rsidRPr="002A4CC4">
        <w:rPr>
          <w:szCs w:val="22"/>
        </w:rPr>
        <w:t>nion</w:t>
      </w:r>
      <w:r>
        <w:rPr>
          <w:szCs w:val="22"/>
        </w:rPr>
        <w:t>, Benton F</w:t>
      </w:r>
      <w:r w:rsidRPr="002A4CC4">
        <w:rPr>
          <w:szCs w:val="22"/>
        </w:rPr>
        <w:t>oundation</w:t>
      </w:r>
      <w:r>
        <w:rPr>
          <w:szCs w:val="22"/>
        </w:rPr>
        <w:t>, C</w:t>
      </w:r>
      <w:r w:rsidRPr="002A4CC4">
        <w:rPr>
          <w:szCs w:val="22"/>
        </w:rPr>
        <w:t xml:space="preserve">enter for </w:t>
      </w:r>
      <w:r>
        <w:rPr>
          <w:szCs w:val="22"/>
        </w:rPr>
        <w:t>D</w:t>
      </w:r>
      <w:r w:rsidRPr="002A4CC4">
        <w:rPr>
          <w:szCs w:val="22"/>
        </w:rPr>
        <w:t xml:space="preserve">emocracy &amp; </w:t>
      </w:r>
      <w:r>
        <w:rPr>
          <w:szCs w:val="22"/>
        </w:rPr>
        <w:t>T</w:t>
      </w:r>
      <w:r w:rsidRPr="002A4CC4">
        <w:rPr>
          <w:szCs w:val="22"/>
        </w:rPr>
        <w:t>echnology</w:t>
      </w:r>
      <w:r>
        <w:rPr>
          <w:szCs w:val="22"/>
        </w:rPr>
        <w:t>, C</w:t>
      </w:r>
      <w:r w:rsidRPr="002A4CC4">
        <w:rPr>
          <w:szCs w:val="22"/>
        </w:rPr>
        <w:t xml:space="preserve">enter for </w:t>
      </w:r>
      <w:r>
        <w:rPr>
          <w:szCs w:val="22"/>
        </w:rPr>
        <w:t>D</w:t>
      </w:r>
      <w:r w:rsidRPr="002A4CC4">
        <w:rPr>
          <w:szCs w:val="22"/>
        </w:rPr>
        <w:t xml:space="preserve">igital </w:t>
      </w:r>
      <w:r>
        <w:rPr>
          <w:szCs w:val="22"/>
        </w:rPr>
        <w:t>D</w:t>
      </w:r>
      <w:r w:rsidRPr="002A4CC4">
        <w:rPr>
          <w:szCs w:val="22"/>
        </w:rPr>
        <w:t>emocracy</w:t>
      </w:r>
      <w:r>
        <w:rPr>
          <w:szCs w:val="22"/>
        </w:rPr>
        <w:t>, C</w:t>
      </w:r>
      <w:r w:rsidRPr="002A4CC4">
        <w:rPr>
          <w:szCs w:val="22"/>
        </w:rPr>
        <w:t xml:space="preserve">ommon </w:t>
      </w:r>
      <w:r>
        <w:rPr>
          <w:szCs w:val="22"/>
        </w:rPr>
        <w:t>S</w:t>
      </w:r>
      <w:r w:rsidRPr="002A4CC4">
        <w:rPr>
          <w:szCs w:val="22"/>
        </w:rPr>
        <w:t xml:space="preserve">ense </w:t>
      </w:r>
      <w:r>
        <w:rPr>
          <w:szCs w:val="22"/>
        </w:rPr>
        <w:t>M</w:t>
      </w:r>
      <w:r w:rsidRPr="002A4CC4">
        <w:rPr>
          <w:szCs w:val="22"/>
        </w:rPr>
        <w:t>edia</w:t>
      </w:r>
      <w:r>
        <w:rPr>
          <w:szCs w:val="22"/>
        </w:rPr>
        <w:t>, C</w:t>
      </w:r>
      <w:r w:rsidRPr="002A4CC4">
        <w:rPr>
          <w:szCs w:val="22"/>
        </w:rPr>
        <w:t xml:space="preserve">onsumer </w:t>
      </w:r>
      <w:r>
        <w:rPr>
          <w:szCs w:val="22"/>
        </w:rPr>
        <w:t>A</w:t>
      </w:r>
      <w:r w:rsidRPr="002A4CC4">
        <w:rPr>
          <w:szCs w:val="22"/>
        </w:rPr>
        <w:t>ction</w:t>
      </w:r>
      <w:r>
        <w:rPr>
          <w:szCs w:val="22"/>
        </w:rPr>
        <w:t>, C</w:t>
      </w:r>
      <w:r w:rsidRPr="002A4CC4">
        <w:rPr>
          <w:szCs w:val="22"/>
        </w:rPr>
        <w:t xml:space="preserve">onsumer </w:t>
      </w:r>
      <w:r>
        <w:rPr>
          <w:szCs w:val="22"/>
        </w:rPr>
        <w:t>F</w:t>
      </w:r>
      <w:r w:rsidRPr="002A4CC4">
        <w:rPr>
          <w:szCs w:val="22"/>
        </w:rPr>
        <w:t>ederation of</w:t>
      </w:r>
      <w:r>
        <w:rPr>
          <w:szCs w:val="22"/>
        </w:rPr>
        <w:t xml:space="preserve"> A</w:t>
      </w:r>
      <w:r w:rsidRPr="002A4CC4">
        <w:rPr>
          <w:szCs w:val="22"/>
        </w:rPr>
        <w:t>merica</w:t>
      </w:r>
      <w:r>
        <w:rPr>
          <w:szCs w:val="22"/>
        </w:rPr>
        <w:t>, C</w:t>
      </w:r>
      <w:r w:rsidRPr="002A4CC4">
        <w:rPr>
          <w:szCs w:val="22"/>
        </w:rPr>
        <w:t xml:space="preserve">onsumer </w:t>
      </w:r>
      <w:r>
        <w:rPr>
          <w:szCs w:val="22"/>
        </w:rPr>
        <w:t>F</w:t>
      </w:r>
      <w:r w:rsidRPr="002A4CC4">
        <w:rPr>
          <w:szCs w:val="22"/>
        </w:rPr>
        <w:t xml:space="preserve">ederation of </w:t>
      </w:r>
      <w:r>
        <w:rPr>
          <w:szCs w:val="22"/>
        </w:rPr>
        <w:t>C</w:t>
      </w:r>
      <w:r w:rsidRPr="002A4CC4">
        <w:rPr>
          <w:szCs w:val="22"/>
        </w:rPr>
        <w:t>alifornia</w:t>
      </w:r>
      <w:r>
        <w:rPr>
          <w:szCs w:val="22"/>
        </w:rPr>
        <w:t>, C</w:t>
      </w:r>
      <w:r w:rsidRPr="002A4CC4">
        <w:rPr>
          <w:szCs w:val="22"/>
        </w:rPr>
        <w:t xml:space="preserve">onsumer </w:t>
      </w:r>
      <w:r>
        <w:rPr>
          <w:szCs w:val="22"/>
        </w:rPr>
        <w:t>W</w:t>
      </w:r>
      <w:r w:rsidRPr="002A4CC4">
        <w:rPr>
          <w:szCs w:val="22"/>
        </w:rPr>
        <w:t>atchdog</w:t>
      </w:r>
      <w:r>
        <w:rPr>
          <w:szCs w:val="22"/>
        </w:rPr>
        <w:t>, E</w:t>
      </w:r>
      <w:r w:rsidRPr="002A4CC4">
        <w:rPr>
          <w:szCs w:val="22"/>
        </w:rPr>
        <w:t xml:space="preserve">lectronic </w:t>
      </w:r>
      <w:r>
        <w:rPr>
          <w:szCs w:val="22"/>
        </w:rPr>
        <w:t>F</w:t>
      </w:r>
      <w:r w:rsidRPr="002A4CC4">
        <w:rPr>
          <w:szCs w:val="22"/>
        </w:rPr>
        <w:t>rontier</w:t>
      </w:r>
      <w:r>
        <w:rPr>
          <w:szCs w:val="22"/>
        </w:rPr>
        <w:t xml:space="preserve"> F</w:t>
      </w:r>
      <w:r w:rsidRPr="002A4CC4">
        <w:rPr>
          <w:szCs w:val="22"/>
        </w:rPr>
        <w:t>oundation</w:t>
      </w:r>
      <w:r>
        <w:rPr>
          <w:szCs w:val="22"/>
        </w:rPr>
        <w:t>, E</w:t>
      </w:r>
      <w:r w:rsidRPr="002A4CC4">
        <w:rPr>
          <w:szCs w:val="22"/>
        </w:rPr>
        <w:t xml:space="preserve">lectronic </w:t>
      </w:r>
      <w:r>
        <w:rPr>
          <w:szCs w:val="22"/>
        </w:rPr>
        <w:t>P</w:t>
      </w:r>
      <w:r w:rsidRPr="002A4CC4">
        <w:rPr>
          <w:szCs w:val="22"/>
        </w:rPr>
        <w:t xml:space="preserve">rivacy </w:t>
      </w:r>
      <w:r>
        <w:rPr>
          <w:szCs w:val="22"/>
        </w:rPr>
        <w:t>I</w:t>
      </w:r>
      <w:r w:rsidRPr="002A4CC4">
        <w:rPr>
          <w:szCs w:val="22"/>
        </w:rPr>
        <w:t>nformation</w:t>
      </w:r>
      <w:r>
        <w:rPr>
          <w:szCs w:val="22"/>
        </w:rPr>
        <w:t xml:space="preserve"> C</w:t>
      </w:r>
      <w:r w:rsidRPr="002A4CC4">
        <w:rPr>
          <w:szCs w:val="22"/>
        </w:rPr>
        <w:t>enter</w:t>
      </w:r>
      <w:r>
        <w:rPr>
          <w:szCs w:val="22"/>
        </w:rPr>
        <w:t>, N</w:t>
      </w:r>
      <w:r w:rsidRPr="002A4CC4">
        <w:rPr>
          <w:szCs w:val="22"/>
        </w:rPr>
        <w:t xml:space="preserve">ew </w:t>
      </w:r>
      <w:r>
        <w:rPr>
          <w:szCs w:val="22"/>
        </w:rPr>
        <w:t>A</w:t>
      </w:r>
      <w:r w:rsidRPr="002A4CC4">
        <w:rPr>
          <w:szCs w:val="22"/>
        </w:rPr>
        <w:t xml:space="preserve">merica </w:t>
      </w:r>
      <w:r>
        <w:rPr>
          <w:szCs w:val="22"/>
        </w:rPr>
        <w:t>F</w:t>
      </w:r>
      <w:r w:rsidRPr="002A4CC4">
        <w:rPr>
          <w:szCs w:val="22"/>
        </w:rPr>
        <w:t xml:space="preserve">oundation’s </w:t>
      </w:r>
      <w:r>
        <w:rPr>
          <w:szCs w:val="22"/>
        </w:rPr>
        <w:t>Op</w:t>
      </w:r>
      <w:r w:rsidRPr="002A4CC4">
        <w:rPr>
          <w:szCs w:val="22"/>
        </w:rPr>
        <w:t xml:space="preserve">en </w:t>
      </w:r>
      <w:r>
        <w:rPr>
          <w:szCs w:val="22"/>
        </w:rPr>
        <w:t>T</w:t>
      </w:r>
      <w:r w:rsidRPr="002A4CC4">
        <w:rPr>
          <w:szCs w:val="22"/>
        </w:rPr>
        <w:t xml:space="preserve">echnology </w:t>
      </w:r>
      <w:r>
        <w:rPr>
          <w:szCs w:val="22"/>
        </w:rPr>
        <w:t>I</w:t>
      </w:r>
      <w:r w:rsidRPr="002A4CC4">
        <w:rPr>
          <w:szCs w:val="22"/>
        </w:rPr>
        <w:t>nstitute</w:t>
      </w:r>
      <w:r>
        <w:rPr>
          <w:szCs w:val="22"/>
        </w:rPr>
        <w:t>, P</w:t>
      </w:r>
      <w:r w:rsidRPr="002A4CC4">
        <w:rPr>
          <w:szCs w:val="22"/>
        </w:rPr>
        <w:t xml:space="preserve">rivacy </w:t>
      </w:r>
      <w:r>
        <w:rPr>
          <w:szCs w:val="22"/>
        </w:rPr>
        <w:t>R</w:t>
      </w:r>
      <w:r w:rsidRPr="002A4CC4">
        <w:rPr>
          <w:szCs w:val="22"/>
        </w:rPr>
        <w:t>ights</w:t>
      </w:r>
      <w:r>
        <w:rPr>
          <w:szCs w:val="22"/>
        </w:rPr>
        <w:t xml:space="preserve"> C</w:t>
      </w:r>
      <w:r w:rsidRPr="002A4CC4">
        <w:rPr>
          <w:szCs w:val="22"/>
        </w:rPr>
        <w:t>learinghouse</w:t>
      </w:r>
      <w:r>
        <w:rPr>
          <w:szCs w:val="22"/>
        </w:rPr>
        <w:t>, U.S. PIRG, and W</w:t>
      </w:r>
      <w:r w:rsidRPr="002A4CC4">
        <w:rPr>
          <w:szCs w:val="22"/>
        </w:rPr>
        <w:t xml:space="preserve">orld </w:t>
      </w:r>
      <w:r>
        <w:rPr>
          <w:szCs w:val="22"/>
        </w:rPr>
        <w:t>P</w:t>
      </w:r>
      <w:r w:rsidRPr="002A4CC4">
        <w:rPr>
          <w:szCs w:val="22"/>
        </w:rPr>
        <w:t xml:space="preserve">rivacy </w:t>
      </w:r>
      <w:r>
        <w:rPr>
          <w:szCs w:val="22"/>
        </w:rPr>
        <w:t>F</w:t>
      </w:r>
      <w:r w:rsidRPr="002A4CC4">
        <w:rPr>
          <w:szCs w:val="22"/>
        </w:rPr>
        <w:t>orum</w:t>
      </w:r>
    </w:p>
    <w:p w14:paraId="176F84CA" w14:textId="77777777" w:rsidR="0099229B" w:rsidRPr="00087138" w:rsidRDefault="0099229B" w:rsidP="0099229B">
      <w:pPr>
        <w:rPr>
          <w:szCs w:val="22"/>
        </w:rPr>
      </w:pPr>
      <w:r w:rsidRPr="00087138">
        <w:rPr>
          <w:szCs w:val="22"/>
        </w:rPr>
        <w:t xml:space="preserve">QUALCOMM </w:t>
      </w:r>
    </w:p>
    <w:p w14:paraId="2C45EAD6" w14:textId="77777777" w:rsidR="0099229B" w:rsidRPr="00087138" w:rsidRDefault="0099229B" w:rsidP="0099229B">
      <w:pPr>
        <w:rPr>
          <w:szCs w:val="22"/>
        </w:rPr>
      </w:pPr>
      <w:r w:rsidRPr="00087138">
        <w:rPr>
          <w:szCs w:val="22"/>
        </w:rPr>
        <w:t>Robert G</w:t>
      </w:r>
      <w:r>
        <w:rPr>
          <w:szCs w:val="22"/>
        </w:rPr>
        <w:t>.</w:t>
      </w:r>
      <w:r w:rsidRPr="00087138">
        <w:rPr>
          <w:szCs w:val="22"/>
        </w:rPr>
        <w:t xml:space="preserve"> Oenning</w:t>
      </w:r>
    </w:p>
    <w:p w14:paraId="114EE917" w14:textId="77777777" w:rsidR="0099229B" w:rsidRDefault="0099229B" w:rsidP="0099229B">
      <w:pPr>
        <w:rPr>
          <w:szCs w:val="22"/>
        </w:rPr>
      </w:pPr>
      <w:r w:rsidRPr="00087138">
        <w:rPr>
          <w:szCs w:val="22"/>
        </w:rPr>
        <w:t>Robert Hawley</w:t>
      </w:r>
    </w:p>
    <w:p w14:paraId="1B50C690" w14:textId="77777777" w:rsidR="0099229B" w:rsidRPr="00087138" w:rsidRDefault="0099229B" w:rsidP="0099229B">
      <w:pPr>
        <w:ind w:left="180" w:hanging="180"/>
        <w:rPr>
          <w:szCs w:val="22"/>
        </w:rPr>
      </w:pPr>
      <w:r>
        <w:rPr>
          <w:szCs w:val="22"/>
        </w:rPr>
        <w:t>San Luis Obispo County (CA) District Attorney Dan Dow</w:t>
      </w:r>
    </w:p>
    <w:p w14:paraId="04DE466D" w14:textId="77777777" w:rsidR="0099229B" w:rsidRDefault="0099229B" w:rsidP="0099229B">
      <w:pPr>
        <w:rPr>
          <w:szCs w:val="22"/>
        </w:rPr>
      </w:pPr>
      <w:r w:rsidRPr="00087138">
        <w:rPr>
          <w:szCs w:val="22"/>
        </w:rPr>
        <w:t xml:space="preserve">Sprint </w:t>
      </w:r>
    </w:p>
    <w:p w14:paraId="5E407B58" w14:textId="77777777" w:rsidR="0099229B" w:rsidRPr="00087138" w:rsidRDefault="0099229B" w:rsidP="0099229B">
      <w:pPr>
        <w:rPr>
          <w:szCs w:val="22"/>
        </w:rPr>
      </w:pPr>
      <w:r>
        <w:rPr>
          <w:szCs w:val="22"/>
        </w:rPr>
        <w:t>Stafford County (VA) Sheriff’s Office</w:t>
      </w:r>
    </w:p>
    <w:p w14:paraId="6AC8BE33" w14:textId="77777777" w:rsidR="0099229B" w:rsidRPr="00087138" w:rsidRDefault="0099229B" w:rsidP="0099229B">
      <w:pPr>
        <w:rPr>
          <w:szCs w:val="22"/>
        </w:rPr>
      </w:pPr>
      <w:r w:rsidRPr="00087138">
        <w:rPr>
          <w:szCs w:val="22"/>
        </w:rPr>
        <w:t>State of Hawaii Enhanced 911 Board</w:t>
      </w:r>
    </w:p>
    <w:p w14:paraId="3235A590" w14:textId="77777777" w:rsidR="0099229B" w:rsidRPr="00087138" w:rsidRDefault="0099229B" w:rsidP="0099229B">
      <w:pPr>
        <w:rPr>
          <w:szCs w:val="22"/>
        </w:rPr>
      </w:pPr>
      <w:r w:rsidRPr="00087138">
        <w:rPr>
          <w:szCs w:val="22"/>
        </w:rPr>
        <w:t>Stephanie Klenotich</w:t>
      </w:r>
    </w:p>
    <w:p w14:paraId="4F1D42AE" w14:textId="77777777" w:rsidR="0099229B" w:rsidRPr="00087138" w:rsidRDefault="0099229B" w:rsidP="0099229B">
      <w:pPr>
        <w:rPr>
          <w:szCs w:val="22"/>
        </w:rPr>
      </w:pPr>
      <w:r w:rsidRPr="00087138">
        <w:rPr>
          <w:szCs w:val="22"/>
        </w:rPr>
        <w:t>Sue Korlan</w:t>
      </w:r>
    </w:p>
    <w:p w14:paraId="3093DDFC" w14:textId="77777777" w:rsidR="0099229B" w:rsidRPr="00087138" w:rsidRDefault="0099229B" w:rsidP="0099229B">
      <w:pPr>
        <w:rPr>
          <w:szCs w:val="22"/>
        </w:rPr>
      </w:pPr>
      <w:r w:rsidRPr="00087138">
        <w:rPr>
          <w:szCs w:val="22"/>
        </w:rPr>
        <w:t>TCS</w:t>
      </w:r>
    </w:p>
    <w:p w14:paraId="33B7DF0B" w14:textId="77777777" w:rsidR="0099229B" w:rsidRPr="00087138" w:rsidRDefault="0099229B" w:rsidP="0099229B">
      <w:pPr>
        <w:ind w:left="180" w:hanging="180"/>
        <w:rPr>
          <w:szCs w:val="22"/>
        </w:rPr>
      </w:pPr>
      <w:r w:rsidRPr="00087138">
        <w:rPr>
          <w:szCs w:val="22"/>
        </w:rPr>
        <w:t>TDI</w:t>
      </w:r>
      <w:r>
        <w:rPr>
          <w:szCs w:val="22"/>
        </w:rPr>
        <w:t xml:space="preserve">, </w:t>
      </w:r>
      <w:r w:rsidRPr="00087138">
        <w:rPr>
          <w:szCs w:val="22"/>
        </w:rPr>
        <w:t>NAD</w:t>
      </w:r>
      <w:r>
        <w:rPr>
          <w:szCs w:val="22"/>
        </w:rPr>
        <w:t xml:space="preserve">, </w:t>
      </w:r>
      <w:r w:rsidRPr="00087138">
        <w:rPr>
          <w:szCs w:val="22"/>
        </w:rPr>
        <w:t>AL-DA</w:t>
      </w:r>
      <w:r>
        <w:rPr>
          <w:szCs w:val="22"/>
        </w:rPr>
        <w:t xml:space="preserve">, </w:t>
      </w:r>
      <w:r w:rsidRPr="00087138">
        <w:rPr>
          <w:szCs w:val="22"/>
        </w:rPr>
        <w:t>CPDO</w:t>
      </w:r>
      <w:r>
        <w:rPr>
          <w:szCs w:val="22"/>
        </w:rPr>
        <w:t>, Ca</w:t>
      </w:r>
      <w:r w:rsidRPr="00087138">
        <w:rPr>
          <w:szCs w:val="22"/>
        </w:rPr>
        <w:t>lifornia Coalition</w:t>
      </w:r>
      <w:r>
        <w:rPr>
          <w:szCs w:val="22"/>
        </w:rPr>
        <w:t xml:space="preserve">, </w:t>
      </w:r>
      <w:r w:rsidRPr="00087138">
        <w:rPr>
          <w:szCs w:val="22"/>
        </w:rPr>
        <w:t xml:space="preserve">Consumer Advocacy Network, </w:t>
      </w:r>
      <w:r>
        <w:rPr>
          <w:szCs w:val="22"/>
        </w:rPr>
        <w:t>Gallaudet TAP, Hearing Loss Association of America, Deaf Seniors of America, and American Association of the Deaf-Blind</w:t>
      </w:r>
    </w:p>
    <w:p w14:paraId="2FF48250" w14:textId="77777777" w:rsidR="0099229B" w:rsidRPr="00087138" w:rsidRDefault="0099229B" w:rsidP="0099229B">
      <w:pPr>
        <w:rPr>
          <w:szCs w:val="22"/>
        </w:rPr>
      </w:pPr>
      <w:r w:rsidRPr="00087138">
        <w:rPr>
          <w:szCs w:val="22"/>
        </w:rPr>
        <w:t>TIA</w:t>
      </w:r>
    </w:p>
    <w:p w14:paraId="5237FE52" w14:textId="77777777" w:rsidR="0099229B" w:rsidRPr="00087138" w:rsidRDefault="0099229B" w:rsidP="0099229B">
      <w:pPr>
        <w:rPr>
          <w:szCs w:val="22"/>
        </w:rPr>
      </w:pPr>
      <w:r w:rsidRPr="00087138">
        <w:rPr>
          <w:szCs w:val="22"/>
        </w:rPr>
        <w:t>Terry Skinner</w:t>
      </w:r>
    </w:p>
    <w:p w14:paraId="49245FAA" w14:textId="6B238AEE" w:rsidR="0099229B" w:rsidRPr="00087138" w:rsidRDefault="0099229B" w:rsidP="0099229B">
      <w:pPr>
        <w:rPr>
          <w:szCs w:val="22"/>
        </w:rPr>
      </w:pPr>
      <w:r w:rsidRPr="00087138">
        <w:rPr>
          <w:szCs w:val="22"/>
        </w:rPr>
        <w:t xml:space="preserve">Texas </w:t>
      </w:r>
      <w:r>
        <w:rPr>
          <w:szCs w:val="22"/>
        </w:rPr>
        <w:t>911</w:t>
      </w:r>
      <w:r w:rsidRPr="00087138">
        <w:rPr>
          <w:szCs w:val="22"/>
        </w:rPr>
        <w:t xml:space="preserve"> </w:t>
      </w:r>
      <w:r>
        <w:rPr>
          <w:szCs w:val="22"/>
        </w:rPr>
        <w:t>Entities</w:t>
      </w:r>
    </w:p>
    <w:p w14:paraId="1376C85D" w14:textId="77777777" w:rsidR="0099229B" w:rsidRPr="00087138" w:rsidRDefault="0099229B" w:rsidP="0099229B">
      <w:pPr>
        <w:rPr>
          <w:szCs w:val="22"/>
        </w:rPr>
      </w:pPr>
      <w:r w:rsidRPr="00087138">
        <w:rPr>
          <w:szCs w:val="22"/>
        </w:rPr>
        <w:t>Thomas J Smoot</w:t>
      </w:r>
    </w:p>
    <w:p w14:paraId="4EF155D3" w14:textId="77777777" w:rsidR="0099229B" w:rsidRDefault="0099229B" w:rsidP="0099229B">
      <w:pPr>
        <w:rPr>
          <w:szCs w:val="22"/>
        </w:rPr>
      </w:pPr>
      <w:r w:rsidRPr="00087138">
        <w:rPr>
          <w:szCs w:val="22"/>
        </w:rPr>
        <w:t>T-Mobile</w:t>
      </w:r>
    </w:p>
    <w:p w14:paraId="1B7668C7" w14:textId="77777777" w:rsidR="0099229B" w:rsidRPr="00087138" w:rsidRDefault="0099229B" w:rsidP="0099229B">
      <w:pPr>
        <w:rPr>
          <w:szCs w:val="22"/>
        </w:rPr>
      </w:pPr>
      <w:r w:rsidRPr="00087138">
        <w:rPr>
          <w:szCs w:val="22"/>
        </w:rPr>
        <w:t>Tom Lackey</w:t>
      </w:r>
      <w:r>
        <w:rPr>
          <w:szCs w:val="22"/>
        </w:rPr>
        <w:t>, California Assembly Member</w:t>
      </w:r>
    </w:p>
    <w:p w14:paraId="289E6E11" w14:textId="77777777" w:rsidR="0099229B" w:rsidRPr="00087138" w:rsidRDefault="0099229B" w:rsidP="0099229B">
      <w:pPr>
        <w:rPr>
          <w:szCs w:val="22"/>
        </w:rPr>
      </w:pPr>
      <w:r w:rsidRPr="00087138">
        <w:rPr>
          <w:szCs w:val="22"/>
        </w:rPr>
        <w:t>TruePosition</w:t>
      </w:r>
    </w:p>
    <w:p w14:paraId="60F1387F" w14:textId="77777777" w:rsidR="0099229B" w:rsidRPr="00087138" w:rsidRDefault="0099229B" w:rsidP="0099229B">
      <w:pPr>
        <w:rPr>
          <w:szCs w:val="22"/>
        </w:rPr>
      </w:pPr>
      <w:r w:rsidRPr="00087138">
        <w:rPr>
          <w:szCs w:val="22"/>
        </w:rPr>
        <w:t>Valarina Johnson</w:t>
      </w:r>
    </w:p>
    <w:p w14:paraId="2111546D" w14:textId="77777777" w:rsidR="0099229B" w:rsidRPr="00087138" w:rsidRDefault="0099229B" w:rsidP="0099229B">
      <w:pPr>
        <w:rPr>
          <w:szCs w:val="22"/>
        </w:rPr>
      </w:pPr>
      <w:r w:rsidRPr="00087138">
        <w:rPr>
          <w:szCs w:val="22"/>
        </w:rPr>
        <w:t>Verizon</w:t>
      </w:r>
    </w:p>
    <w:p w14:paraId="30E0AFD7" w14:textId="77777777" w:rsidR="0099229B" w:rsidRDefault="0099229B" w:rsidP="0099229B">
      <w:pPr>
        <w:rPr>
          <w:szCs w:val="22"/>
        </w:rPr>
      </w:pPr>
      <w:r w:rsidRPr="00087138">
        <w:rPr>
          <w:szCs w:val="22"/>
        </w:rPr>
        <w:t>William P. Ostrander, Jr.</w:t>
      </w:r>
    </w:p>
    <w:p w14:paraId="36C6A791" w14:textId="77777777" w:rsidR="0099229B" w:rsidRPr="00087138" w:rsidRDefault="0099229B" w:rsidP="0099229B">
      <w:pPr>
        <w:rPr>
          <w:szCs w:val="22"/>
        </w:rPr>
      </w:pPr>
      <w:r>
        <w:rPr>
          <w:szCs w:val="22"/>
        </w:rPr>
        <w:t>Woburn (MA) Police Department</w:t>
      </w:r>
    </w:p>
    <w:p w14:paraId="7E17450E" w14:textId="77777777" w:rsidR="0099229B" w:rsidRDefault="0099229B" w:rsidP="0099229B">
      <w:pPr>
        <w:widowControl/>
        <w:rPr>
          <w:b/>
          <w:szCs w:val="22"/>
          <w:u w:val="single"/>
        </w:rPr>
        <w:sectPr w:rsidR="0099229B" w:rsidSect="0099229B">
          <w:type w:val="continuous"/>
          <w:pgSz w:w="12240" w:h="15840"/>
          <w:pgMar w:top="1440" w:right="1440" w:bottom="1440" w:left="1440" w:header="720" w:footer="720" w:gutter="0"/>
          <w:cols w:num="2" w:space="720"/>
          <w:docGrid w:linePitch="360"/>
        </w:sectPr>
      </w:pPr>
    </w:p>
    <w:p w14:paraId="5DC1330E" w14:textId="77777777" w:rsidR="0099229B" w:rsidRPr="00087138" w:rsidRDefault="0099229B" w:rsidP="0099229B">
      <w:pPr>
        <w:widowControl/>
        <w:rPr>
          <w:szCs w:val="22"/>
        </w:rPr>
      </w:pPr>
      <w:r w:rsidRPr="00087138">
        <w:rPr>
          <w:b/>
          <w:szCs w:val="22"/>
          <w:u w:val="single"/>
        </w:rPr>
        <w:t>Reply Comments</w:t>
      </w:r>
    </w:p>
    <w:p w14:paraId="57D07B6C" w14:textId="77777777" w:rsidR="0099229B" w:rsidRPr="00087138" w:rsidRDefault="0099229B" w:rsidP="0099229B">
      <w:pPr>
        <w:rPr>
          <w:szCs w:val="22"/>
        </w:rPr>
        <w:sectPr w:rsidR="0099229B" w:rsidRPr="00087138" w:rsidSect="0046037B">
          <w:footerReference w:type="first" r:id="rId17"/>
          <w:footnotePr>
            <w:numRestart w:val="eachSect"/>
          </w:footnotePr>
          <w:endnotePr>
            <w:numFmt w:val="decimal"/>
          </w:endnotePr>
          <w:pgSz w:w="12240" w:h="15840"/>
          <w:pgMar w:top="1440" w:right="1440" w:bottom="720" w:left="1440" w:header="720" w:footer="720" w:gutter="0"/>
          <w:cols w:space="720"/>
          <w:noEndnote/>
          <w:titlePg/>
        </w:sectPr>
      </w:pPr>
    </w:p>
    <w:p w14:paraId="741BC82E" w14:textId="77777777" w:rsidR="0099229B" w:rsidRDefault="0099229B" w:rsidP="0099229B">
      <w:pPr>
        <w:rPr>
          <w:szCs w:val="22"/>
        </w:rPr>
      </w:pPr>
      <w:r w:rsidRPr="00087138">
        <w:rPr>
          <w:szCs w:val="22"/>
        </w:rPr>
        <w:t>American Ambulance Association</w:t>
      </w:r>
    </w:p>
    <w:p w14:paraId="68DB86C4" w14:textId="77777777" w:rsidR="0099229B" w:rsidRPr="00087138" w:rsidRDefault="0099229B" w:rsidP="0099229B">
      <w:pPr>
        <w:rPr>
          <w:szCs w:val="22"/>
        </w:rPr>
      </w:pPr>
      <w:r w:rsidRPr="00087138">
        <w:rPr>
          <w:szCs w:val="22"/>
        </w:rPr>
        <w:t>Angelo Salvucci, MD</w:t>
      </w:r>
    </w:p>
    <w:p w14:paraId="48CE095C" w14:textId="77777777" w:rsidR="0099229B" w:rsidRPr="00087138" w:rsidRDefault="0099229B" w:rsidP="0099229B">
      <w:pPr>
        <w:rPr>
          <w:szCs w:val="22"/>
        </w:rPr>
      </w:pPr>
      <w:r w:rsidRPr="00087138">
        <w:rPr>
          <w:szCs w:val="22"/>
        </w:rPr>
        <w:t>APCO</w:t>
      </w:r>
    </w:p>
    <w:p w14:paraId="2349E770" w14:textId="4D95B715" w:rsidR="0099229B" w:rsidRPr="00087138" w:rsidRDefault="0099229B" w:rsidP="0099229B">
      <w:pPr>
        <w:rPr>
          <w:szCs w:val="22"/>
        </w:rPr>
      </w:pPr>
      <w:r w:rsidRPr="00087138">
        <w:rPr>
          <w:szCs w:val="22"/>
        </w:rPr>
        <w:t xml:space="preserve">AT&amp;T </w:t>
      </w:r>
    </w:p>
    <w:p w14:paraId="6540856F" w14:textId="5E146716" w:rsidR="0099229B" w:rsidRPr="00087138" w:rsidRDefault="0099229B" w:rsidP="004C29B5">
      <w:pPr>
        <w:ind w:left="180" w:hanging="180"/>
        <w:rPr>
          <w:szCs w:val="22"/>
        </w:rPr>
      </w:pPr>
      <w:r w:rsidRPr="00087138">
        <w:rPr>
          <w:szCs w:val="22"/>
        </w:rPr>
        <w:t>Computer &amp; Communications Industry Association (CCIA)</w:t>
      </w:r>
    </w:p>
    <w:p w14:paraId="774BD3AE" w14:textId="77777777" w:rsidR="0099229B" w:rsidRPr="00087138" w:rsidRDefault="0099229B" w:rsidP="0099229B">
      <w:pPr>
        <w:rPr>
          <w:szCs w:val="22"/>
        </w:rPr>
      </w:pPr>
      <w:r w:rsidRPr="00087138">
        <w:rPr>
          <w:szCs w:val="22"/>
        </w:rPr>
        <w:t>CTIA</w:t>
      </w:r>
    </w:p>
    <w:p w14:paraId="3304AAAE" w14:textId="77777777" w:rsidR="0099229B" w:rsidRPr="00087138" w:rsidRDefault="0099229B" w:rsidP="0099229B">
      <w:pPr>
        <w:ind w:left="180" w:hanging="180"/>
        <w:rPr>
          <w:szCs w:val="22"/>
        </w:rPr>
      </w:pPr>
      <w:r>
        <w:rPr>
          <w:szCs w:val="22"/>
        </w:rPr>
        <w:t>IACP, IAFC, NASEMSO, NSA, and National Volunteer Fire Council</w:t>
      </w:r>
    </w:p>
    <w:p w14:paraId="5514A169" w14:textId="77777777" w:rsidR="0099229B" w:rsidRPr="00087138" w:rsidRDefault="0099229B" w:rsidP="0099229B">
      <w:pPr>
        <w:rPr>
          <w:szCs w:val="22"/>
        </w:rPr>
      </w:pPr>
      <w:r w:rsidRPr="00087138">
        <w:rPr>
          <w:szCs w:val="22"/>
        </w:rPr>
        <w:t>iPosi, Inc.</w:t>
      </w:r>
    </w:p>
    <w:p w14:paraId="13812EEF" w14:textId="77777777" w:rsidR="0099229B" w:rsidRPr="00087138" w:rsidRDefault="0099229B" w:rsidP="0099229B">
      <w:pPr>
        <w:rPr>
          <w:szCs w:val="22"/>
        </w:rPr>
      </w:pPr>
      <w:r w:rsidRPr="00087138">
        <w:rPr>
          <w:szCs w:val="22"/>
        </w:rPr>
        <w:t>Mobile Future</w:t>
      </w:r>
    </w:p>
    <w:p w14:paraId="5DF24EFB" w14:textId="77777777" w:rsidR="0099229B" w:rsidRPr="00087138" w:rsidRDefault="0099229B" w:rsidP="0099229B">
      <w:pPr>
        <w:rPr>
          <w:szCs w:val="22"/>
        </w:rPr>
      </w:pPr>
      <w:r w:rsidRPr="00087138">
        <w:rPr>
          <w:szCs w:val="22"/>
        </w:rPr>
        <w:t>NENA</w:t>
      </w:r>
    </w:p>
    <w:p w14:paraId="33CCC9F4" w14:textId="77777777" w:rsidR="0099229B" w:rsidRPr="00087138" w:rsidRDefault="0099229B" w:rsidP="0099229B">
      <w:pPr>
        <w:rPr>
          <w:szCs w:val="22"/>
        </w:rPr>
      </w:pPr>
      <w:r w:rsidRPr="00087138">
        <w:rPr>
          <w:szCs w:val="22"/>
        </w:rPr>
        <w:t>NextNav</w:t>
      </w:r>
    </w:p>
    <w:p w14:paraId="526C5627" w14:textId="77777777" w:rsidR="0099229B" w:rsidRPr="00087138" w:rsidRDefault="0099229B" w:rsidP="0099229B">
      <w:pPr>
        <w:rPr>
          <w:szCs w:val="22"/>
        </w:rPr>
      </w:pPr>
      <w:r w:rsidRPr="00087138">
        <w:rPr>
          <w:szCs w:val="22"/>
        </w:rPr>
        <w:t>PCIA - The Wireless Infrastructure Association</w:t>
      </w:r>
    </w:p>
    <w:p w14:paraId="2131FF12" w14:textId="77777777" w:rsidR="0099229B" w:rsidRPr="00087138" w:rsidRDefault="0099229B" w:rsidP="0099229B">
      <w:pPr>
        <w:rPr>
          <w:szCs w:val="22"/>
        </w:rPr>
      </w:pPr>
      <w:r w:rsidRPr="00087138">
        <w:rPr>
          <w:szCs w:val="22"/>
        </w:rPr>
        <w:t>RWA</w:t>
      </w:r>
    </w:p>
    <w:p w14:paraId="16131468" w14:textId="77777777" w:rsidR="0099229B" w:rsidRPr="00087138" w:rsidRDefault="0099229B" w:rsidP="0099229B">
      <w:pPr>
        <w:rPr>
          <w:szCs w:val="22"/>
        </w:rPr>
      </w:pPr>
      <w:r w:rsidRPr="00087138">
        <w:rPr>
          <w:szCs w:val="22"/>
        </w:rPr>
        <w:t>SouthernLINC</w:t>
      </w:r>
    </w:p>
    <w:p w14:paraId="75029C77" w14:textId="77777777" w:rsidR="0099229B" w:rsidRPr="00087138" w:rsidRDefault="0099229B" w:rsidP="0099229B">
      <w:pPr>
        <w:rPr>
          <w:szCs w:val="22"/>
        </w:rPr>
      </w:pPr>
      <w:r w:rsidRPr="00087138">
        <w:rPr>
          <w:szCs w:val="22"/>
        </w:rPr>
        <w:t>Sprint</w:t>
      </w:r>
    </w:p>
    <w:p w14:paraId="00397466" w14:textId="77777777" w:rsidR="0099229B" w:rsidRDefault="0099229B" w:rsidP="0099229B">
      <w:pPr>
        <w:rPr>
          <w:szCs w:val="22"/>
        </w:rPr>
      </w:pPr>
      <w:r w:rsidRPr="00087138">
        <w:rPr>
          <w:szCs w:val="22"/>
        </w:rPr>
        <w:t>TCS</w:t>
      </w:r>
    </w:p>
    <w:p w14:paraId="37332793" w14:textId="77777777" w:rsidR="0099229B" w:rsidRPr="00087138" w:rsidRDefault="0099229B" w:rsidP="0099229B">
      <w:pPr>
        <w:rPr>
          <w:szCs w:val="22"/>
        </w:rPr>
      </w:pPr>
      <w:r w:rsidRPr="00087138">
        <w:rPr>
          <w:szCs w:val="22"/>
        </w:rPr>
        <w:t>Texas State Troopers' Association</w:t>
      </w:r>
    </w:p>
    <w:p w14:paraId="408206EC" w14:textId="77777777" w:rsidR="0099229B" w:rsidRPr="00087138" w:rsidRDefault="0099229B" w:rsidP="0099229B">
      <w:pPr>
        <w:rPr>
          <w:szCs w:val="22"/>
        </w:rPr>
      </w:pPr>
      <w:r w:rsidRPr="00087138">
        <w:rPr>
          <w:szCs w:val="22"/>
        </w:rPr>
        <w:t>T-Mobile</w:t>
      </w:r>
    </w:p>
    <w:p w14:paraId="57506FC3" w14:textId="77777777" w:rsidR="0099229B" w:rsidRPr="00087138" w:rsidRDefault="0099229B" w:rsidP="0099229B">
      <w:pPr>
        <w:rPr>
          <w:szCs w:val="22"/>
        </w:rPr>
      </w:pPr>
      <w:r w:rsidRPr="00087138">
        <w:rPr>
          <w:szCs w:val="22"/>
        </w:rPr>
        <w:t>TruePosition, Inc.</w:t>
      </w:r>
    </w:p>
    <w:p w14:paraId="43DC787C" w14:textId="77777777" w:rsidR="0099229B" w:rsidRPr="00087138" w:rsidRDefault="0099229B" w:rsidP="0099229B">
      <w:pPr>
        <w:rPr>
          <w:szCs w:val="22"/>
        </w:rPr>
      </w:pPr>
      <w:r w:rsidRPr="00087138">
        <w:rPr>
          <w:szCs w:val="22"/>
        </w:rPr>
        <w:t>Verizon</w:t>
      </w:r>
    </w:p>
    <w:p w14:paraId="7C07156B" w14:textId="77777777" w:rsidR="0099229B" w:rsidRPr="00087138" w:rsidRDefault="0099229B" w:rsidP="0099229B">
      <w:pPr>
        <w:widowControl/>
        <w:rPr>
          <w:szCs w:val="22"/>
        </w:rPr>
        <w:sectPr w:rsidR="0099229B" w:rsidRPr="00087138" w:rsidSect="0046037B">
          <w:footnotePr>
            <w:numRestart w:val="eachSect"/>
          </w:footnotePr>
          <w:endnotePr>
            <w:numFmt w:val="decimal"/>
          </w:endnotePr>
          <w:type w:val="continuous"/>
          <w:pgSz w:w="12240" w:h="15840"/>
          <w:pgMar w:top="1440" w:right="1440" w:bottom="720" w:left="1440" w:header="720" w:footer="720" w:gutter="0"/>
          <w:cols w:num="2" w:space="720"/>
          <w:noEndnote/>
          <w:titlePg/>
        </w:sectPr>
      </w:pPr>
    </w:p>
    <w:p w14:paraId="36CDAB0C" w14:textId="77777777" w:rsidR="0099229B" w:rsidRPr="00087138" w:rsidRDefault="0099229B" w:rsidP="0099229B">
      <w:pPr>
        <w:widowControl/>
        <w:rPr>
          <w:szCs w:val="22"/>
        </w:rPr>
      </w:pPr>
    </w:p>
    <w:p w14:paraId="0B27CAE6" w14:textId="77777777" w:rsidR="0099229B" w:rsidRPr="00087138" w:rsidRDefault="0099229B" w:rsidP="0099229B">
      <w:pPr>
        <w:widowControl/>
        <w:rPr>
          <w:szCs w:val="22"/>
        </w:rPr>
      </w:pPr>
      <w:r w:rsidRPr="00087138">
        <w:rPr>
          <w:b/>
          <w:i/>
          <w:szCs w:val="22"/>
          <w:u w:val="single"/>
        </w:rPr>
        <w:t>Ex Parte</w:t>
      </w:r>
      <w:r w:rsidRPr="00087138">
        <w:rPr>
          <w:b/>
          <w:szCs w:val="22"/>
          <w:u w:val="single"/>
        </w:rPr>
        <w:t xml:space="preserve"> Submissions</w:t>
      </w:r>
    </w:p>
    <w:p w14:paraId="109F7D60" w14:textId="77777777" w:rsidR="0099229B" w:rsidRPr="00087138" w:rsidRDefault="0099229B" w:rsidP="0099229B">
      <w:pPr>
        <w:rPr>
          <w:szCs w:val="22"/>
        </w:rPr>
        <w:sectPr w:rsidR="0099229B" w:rsidRPr="00087138" w:rsidSect="0046037B">
          <w:footnotePr>
            <w:numRestart w:val="eachSect"/>
          </w:footnotePr>
          <w:endnotePr>
            <w:numFmt w:val="decimal"/>
          </w:endnotePr>
          <w:type w:val="continuous"/>
          <w:pgSz w:w="12240" w:h="15840"/>
          <w:pgMar w:top="1440" w:right="1440" w:bottom="720" w:left="1440" w:header="720" w:footer="720" w:gutter="0"/>
          <w:cols w:space="720"/>
          <w:noEndnote/>
          <w:titlePg/>
        </w:sectPr>
      </w:pPr>
    </w:p>
    <w:p w14:paraId="5199789B" w14:textId="77777777" w:rsidR="0099229B" w:rsidRPr="00087138" w:rsidRDefault="0099229B" w:rsidP="0099229B">
      <w:pPr>
        <w:rPr>
          <w:szCs w:val="22"/>
        </w:rPr>
      </w:pPr>
      <w:r w:rsidRPr="00087138">
        <w:rPr>
          <w:szCs w:val="22"/>
        </w:rPr>
        <w:t>4G Americas</w:t>
      </w:r>
    </w:p>
    <w:p w14:paraId="07B4BD03" w14:textId="77777777" w:rsidR="0099229B" w:rsidRDefault="0099229B" w:rsidP="0099229B">
      <w:pPr>
        <w:rPr>
          <w:szCs w:val="22"/>
        </w:rPr>
      </w:pPr>
      <w:r w:rsidRPr="00087138">
        <w:rPr>
          <w:szCs w:val="22"/>
        </w:rPr>
        <w:t>Aaron Pippin</w:t>
      </w:r>
    </w:p>
    <w:p w14:paraId="3BC3C261" w14:textId="77777777" w:rsidR="0099229B" w:rsidRDefault="0099229B" w:rsidP="0099229B">
      <w:pPr>
        <w:rPr>
          <w:szCs w:val="22"/>
        </w:rPr>
      </w:pPr>
      <w:r>
        <w:rPr>
          <w:szCs w:val="22"/>
        </w:rPr>
        <w:t xml:space="preserve">Adair County (MO) Sheriff </w:t>
      </w:r>
      <w:r w:rsidRPr="00087138">
        <w:rPr>
          <w:szCs w:val="22"/>
        </w:rPr>
        <w:t>Robert Hardwick</w:t>
      </w:r>
    </w:p>
    <w:p w14:paraId="6004D61B" w14:textId="77777777" w:rsidR="0099229B" w:rsidRDefault="0099229B" w:rsidP="0099229B">
      <w:pPr>
        <w:rPr>
          <w:szCs w:val="22"/>
        </w:rPr>
      </w:pPr>
      <w:r w:rsidRPr="00087138">
        <w:rPr>
          <w:szCs w:val="22"/>
        </w:rPr>
        <w:t>Alma Safety</w:t>
      </w:r>
    </w:p>
    <w:p w14:paraId="3496C5F7" w14:textId="77777777" w:rsidR="0099229B" w:rsidRPr="008B4CB7" w:rsidRDefault="0099229B" w:rsidP="0099229B">
      <w:pPr>
        <w:ind w:left="180" w:hanging="180"/>
        <w:rPr>
          <w:szCs w:val="22"/>
        </w:rPr>
      </w:pPr>
      <w:r w:rsidRPr="008B4CB7">
        <w:rPr>
          <w:szCs w:val="22"/>
        </w:rPr>
        <w:t xml:space="preserve">American Civil Liberties Union, </w:t>
      </w:r>
      <w:r>
        <w:rPr>
          <w:szCs w:val="22"/>
        </w:rPr>
        <w:t xml:space="preserve">American Library Association, </w:t>
      </w:r>
      <w:r w:rsidRPr="008B4CB7">
        <w:rPr>
          <w:szCs w:val="22"/>
        </w:rPr>
        <w:t xml:space="preserve">Benton Foundation, </w:t>
      </w:r>
      <w:r>
        <w:rPr>
          <w:szCs w:val="22"/>
        </w:rPr>
        <w:t xml:space="preserve">Brennan Center for Justice, </w:t>
      </w:r>
      <w:r w:rsidRPr="008B4CB7">
        <w:rPr>
          <w:szCs w:val="22"/>
        </w:rPr>
        <w:t xml:space="preserve">Center for Democracy &amp; Technology, Center for Digital Democracy, Consumer Action, Consumer Federation of America, Consumer Federation of California, Consumer Watchdog, </w:t>
      </w:r>
      <w:r>
        <w:rPr>
          <w:szCs w:val="22"/>
        </w:rPr>
        <w:t xml:space="preserve">Defending Dissent Foundation, </w:t>
      </w:r>
      <w:r w:rsidRPr="008B4CB7">
        <w:rPr>
          <w:szCs w:val="22"/>
        </w:rPr>
        <w:t xml:space="preserve">Electronic Frontier Foundation, New America Foundation’s Open Technology Institute, Privacy Rights Clearinghouse, </w:t>
      </w:r>
      <w:r>
        <w:rPr>
          <w:szCs w:val="22"/>
        </w:rPr>
        <w:t xml:space="preserve">Public Knowledge, </w:t>
      </w:r>
      <w:r w:rsidRPr="008B4CB7">
        <w:rPr>
          <w:szCs w:val="22"/>
        </w:rPr>
        <w:t>U.S. PIRG, and World Privacy Forum</w:t>
      </w:r>
    </w:p>
    <w:p w14:paraId="17356DC0" w14:textId="77777777" w:rsidR="0099229B" w:rsidRDefault="0099229B" w:rsidP="0099229B">
      <w:pPr>
        <w:rPr>
          <w:szCs w:val="22"/>
        </w:rPr>
      </w:pPr>
      <w:r>
        <w:rPr>
          <w:szCs w:val="22"/>
        </w:rPr>
        <w:t>APCO</w:t>
      </w:r>
    </w:p>
    <w:p w14:paraId="77C00A21" w14:textId="77777777" w:rsidR="0099229B" w:rsidRDefault="0099229B" w:rsidP="0099229B">
      <w:pPr>
        <w:rPr>
          <w:szCs w:val="22"/>
        </w:rPr>
      </w:pPr>
      <w:r>
        <w:rPr>
          <w:szCs w:val="22"/>
        </w:rPr>
        <w:t>Arkansas Ambulance Association</w:t>
      </w:r>
    </w:p>
    <w:p w14:paraId="1D519AB6" w14:textId="77777777" w:rsidR="0099229B" w:rsidRDefault="0099229B" w:rsidP="0099229B">
      <w:pPr>
        <w:rPr>
          <w:szCs w:val="22"/>
        </w:rPr>
      </w:pPr>
      <w:r>
        <w:rPr>
          <w:szCs w:val="22"/>
        </w:rPr>
        <w:t>Arkansas Sheriffs’ Association</w:t>
      </w:r>
    </w:p>
    <w:p w14:paraId="5EA9025F" w14:textId="77777777" w:rsidR="0099229B" w:rsidRPr="00087138" w:rsidRDefault="0099229B" w:rsidP="0099229B">
      <w:pPr>
        <w:rPr>
          <w:szCs w:val="22"/>
        </w:rPr>
      </w:pPr>
      <w:r>
        <w:rPr>
          <w:szCs w:val="22"/>
        </w:rPr>
        <w:t>Armstrong Ambulance</w:t>
      </w:r>
    </w:p>
    <w:p w14:paraId="14CCD094" w14:textId="77777777" w:rsidR="0099229B" w:rsidRDefault="0099229B" w:rsidP="0099229B">
      <w:pPr>
        <w:rPr>
          <w:szCs w:val="22"/>
        </w:rPr>
      </w:pPr>
      <w:r w:rsidRPr="00087138">
        <w:rPr>
          <w:szCs w:val="22"/>
        </w:rPr>
        <w:t>Associated Fire Fighters of Illinois</w:t>
      </w:r>
    </w:p>
    <w:p w14:paraId="106A7DFB" w14:textId="77777777" w:rsidR="0099229B" w:rsidRPr="00087138" w:rsidRDefault="0099229B" w:rsidP="0099229B">
      <w:pPr>
        <w:rPr>
          <w:szCs w:val="22"/>
        </w:rPr>
      </w:pPr>
      <w:r>
        <w:rPr>
          <w:szCs w:val="22"/>
        </w:rPr>
        <w:t>Atlanta (MO) Volunteer Fire Department</w:t>
      </w:r>
    </w:p>
    <w:p w14:paraId="606FD335" w14:textId="77777777" w:rsidR="0099229B" w:rsidRPr="00087138" w:rsidRDefault="0099229B" w:rsidP="0099229B">
      <w:pPr>
        <w:rPr>
          <w:szCs w:val="22"/>
        </w:rPr>
      </w:pPr>
      <w:r w:rsidRPr="00087138">
        <w:rPr>
          <w:szCs w:val="22"/>
        </w:rPr>
        <w:t>AT&amp;T</w:t>
      </w:r>
    </w:p>
    <w:p w14:paraId="3D068DF7" w14:textId="77777777" w:rsidR="0099229B" w:rsidRPr="00087138" w:rsidRDefault="0099229B" w:rsidP="0099229B">
      <w:pPr>
        <w:rPr>
          <w:szCs w:val="22"/>
        </w:rPr>
      </w:pPr>
      <w:r w:rsidRPr="00087138">
        <w:rPr>
          <w:szCs w:val="22"/>
        </w:rPr>
        <w:t>Bath (ME) Vol. Fire Department</w:t>
      </w:r>
    </w:p>
    <w:p w14:paraId="3F812448" w14:textId="77777777" w:rsidR="0099229B" w:rsidRPr="00087138" w:rsidRDefault="0099229B" w:rsidP="0099229B">
      <w:pPr>
        <w:rPr>
          <w:szCs w:val="22"/>
        </w:rPr>
      </w:pPr>
      <w:r w:rsidRPr="00087138">
        <w:rPr>
          <w:szCs w:val="22"/>
        </w:rPr>
        <w:t>BRETSA</w:t>
      </w:r>
    </w:p>
    <w:p w14:paraId="5859B90B" w14:textId="77777777" w:rsidR="0099229B" w:rsidRPr="00087138" w:rsidRDefault="0099229B" w:rsidP="0099229B">
      <w:pPr>
        <w:rPr>
          <w:szCs w:val="22"/>
        </w:rPr>
      </w:pPr>
      <w:r w:rsidRPr="00087138">
        <w:rPr>
          <w:szCs w:val="22"/>
        </w:rPr>
        <w:t>Brian C. Schu</w:t>
      </w:r>
    </w:p>
    <w:p w14:paraId="051CC180" w14:textId="77777777" w:rsidR="0099229B" w:rsidRPr="004C29B5" w:rsidRDefault="0099229B" w:rsidP="0099229B">
      <w:r w:rsidRPr="004C29B5">
        <w:t>CALNENA</w:t>
      </w:r>
    </w:p>
    <w:p w14:paraId="3B38118F" w14:textId="77777777" w:rsidR="0099229B" w:rsidRPr="004C29B5" w:rsidRDefault="0099229B" w:rsidP="0099229B">
      <w:r w:rsidRPr="004C29B5">
        <w:t>Carol A. Ferratella</w:t>
      </w:r>
    </w:p>
    <w:p w14:paraId="71066E6B" w14:textId="77777777" w:rsidR="0099229B" w:rsidRPr="004C29B5" w:rsidRDefault="0099229B" w:rsidP="0099229B">
      <w:r w:rsidRPr="004C29B5">
        <w:t>Carolyn Allen</w:t>
      </w:r>
    </w:p>
    <w:p w14:paraId="1EC6E60D" w14:textId="77777777" w:rsidR="0099229B" w:rsidRPr="00087138" w:rsidRDefault="0099229B" w:rsidP="0099229B">
      <w:pPr>
        <w:rPr>
          <w:szCs w:val="22"/>
        </w:rPr>
      </w:pPr>
      <w:r w:rsidRPr="00087138">
        <w:rPr>
          <w:szCs w:val="22"/>
        </w:rPr>
        <w:t xml:space="preserve">Cayuga County </w:t>
      </w:r>
      <w:r>
        <w:rPr>
          <w:szCs w:val="22"/>
        </w:rPr>
        <w:t xml:space="preserve">(NY) </w:t>
      </w:r>
      <w:r w:rsidRPr="00087138">
        <w:rPr>
          <w:szCs w:val="22"/>
        </w:rPr>
        <w:t>E-911 Communications</w:t>
      </w:r>
    </w:p>
    <w:p w14:paraId="4F7438D8" w14:textId="77777777" w:rsidR="0099229B" w:rsidRPr="00087138" w:rsidRDefault="0099229B" w:rsidP="0099229B">
      <w:pPr>
        <w:rPr>
          <w:szCs w:val="22"/>
        </w:rPr>
      </w:pPr>
      <w:r w:rsidRPr="00087138">
        <w:rPr>
          <w:szCs w:val="22"/>
        </w:rPr>
        <w:t>Chief Thomas L. McPherson Jr.</w:t>
      </w:r>
    </w:p>
    <w:p w14:paraId="38B5922F" w14:textId="77777777" w:rsidR="0099229B" w:rsidRPr="00087138" w:rsidRDefault="0099229B" w:rsidP="0099229B">
      <w:pPr>
        <w:rPr>
          <w:szCs w:val="22"/>
        </w:rPr>
      </w:pPr>
      <w:r w:rsidRPr="00087138">
        <w:rPr>
          <w:szCs w:val="22"/>
        </w:rPr>
        <w:t>Chris Parsons</w:t>
      </w:r>
    </w:p>
    <w:p w14:paraId="28B5D524" w14:textId="77777777" w:rsidR="0099229B" w:rsidRPr="00087138" w:rsidRDefault="0099229B" w:rsidP="0099229B">
      <w:pPr>
        <w:rPr>
          <w:szCs w:val="22"/>
        </w:rPr>
      </w:pPr>
      <w:r>
        <w:rPr>
          <w:szCs w:val="22"/>
        </w:rPr>
        <w:t>Cook County (IL) Sheriff Tom Dart</w:t>
      </w:r>
    </w:p>
    <w:p w14:paraId="62BE852A" w14:textId="77777777" w:rsidR="0099229B" w:rsidRPr="00087138" w:rsidRDefault="0099229B" w:rsidP="0099229B">
      <w:pPr>
        <w:rPr>
          <w:szCs w:val="22"/>
        </w:rPr>
      </w:pPr>
      <w:r>
        <w:rPr>
          <w:szCs w:val="22"/>
        </w:rPr>
        <w:t>County Judges Association of Arkansas</w:t>
      </w:r>
    </w:p>
    <w:p w14:paraId="42079A36" w14:textId="77777777" w:rsidR="0099229B" w:rsidRPr="00087138" w:rsidRDefault="0099229B" w:rsidP="0099229B">
      <w:pPr>
        <w:rPr>
          <w:szCs w:val="22"/>
        </w:rPr>
      </w:pPr>
      <w:r w:rsidRPr="00087138">
        <w:rPr>
          <w:szCs w:val="22"/>
        </w:rPr>
        <w:t>CTIA</w:t>
      </w:r>
    </w:p>
    <w:p w14:paraId="3FAEA631" w14:textId="2A2A85B6" w:rsidR="00885813" w:rsidRDefault="00885813" w:rsidP="004C29B5">
      <w:pPr>
        <w:ind w:left="180" w:hanging="180"/>
        <w:rPr>
          <w:szCs w:val="22"/>
        </w:rPr>
      </w:pPr>
      <w:r>
        <w:rPr>
          <w:szCs w:val="22"/>
        </w:rPr>
        <w:t>David Cook</w:t>
      </w:r>
    </w:p>
    <w:p w14:paraId="38B3F06B" w14:textId="77777777" w:rsidR="0099229B" w:rsidRPr="00087138" w:rsidRDefault="0099229B" w:rsidP="004C29B5">
      <w:pPr>
        <w:ind w:left="180" w:hanging="180"/>
        <w:rPr>
          <w:szCs w:val="22"/>
        </w:rPr>
      </w:pPr>
      <w:r w:rsidRPr="00087138">
        <w:rPr>
          <w:szCs w:val="22"/>
        </w:rPr>
        <w:t>Davlynn Racadio, Pres., APCO/NENA Joint Pacific Chapter</w:t>
      </w:r>
    </w:p>
    <w:p w14:paraId="6A1B1ACD" w14:textId="0F872919" w:rsidR="0099229B" w:rsidRDefault="0099229B" w:rsidP="0099229B">
      <w:pPr>
        <w:rPr>
          <w:szCs w:val="22"/>
        </w:rPr>
      </w:pPr>
      <w:r>
        <w:rPr>
          <w:szCs w:val="22"/>
        </w:rPr>
        <w:t>Douglas County (NE</w:t>
      </w:r>
      <w:r w:rsidRPr="00087138">
        <w:rPr>
          <w:szCs w:val="22"/>
        </w:rPr>
        <w:t>) Sheriff</w:t>
      </w:r>
      <w:r>
        <w:rPr>
          <w:szCs w:val="22"/>
        </w:rPr>
        <w:t xml:space="preserve"> Timothy Dunning</w:t>
      </w:r>
    </w:p>
    <w:p w14:paraId="2CE013D3" w14:textId="77777777" w:rsidR="0099229B" w:rsidRPr="00087138" w:rsidRDefault="0099229B" w:rsidP="0099229B">
      <w:pPr>
        <w:ind w:left="180" w:hanging="180"/>
        <w:rPr>
          <w:szCs w:val="22"/>
        </w:rPr>
      </w:pPr>
      <w:r>
        <w:rPr>
          <w:szCs w:val="22"/>
        </w:rPr>
        <w:t>F</w:t>
      </w:r>
      <w:r w:rsidRPr="00087138">
        <w:rPr>
          <w:szCs w:val="22"/>
        </w:rPr>
        <w:t>airfax County (VA) Emergency Communications</w:t>
      </w:r>
      <w:r>
        <w:rPr>
          <w:szCs w:val="22"/>
        </w:rPr>
        <w:t>, Steve Souder</w:t>
      </w:r>
    </w:p>
    <w:p w14:paraId="2B6547F7" w14:textId="4F406C89" w:rsidR="0099229B" w:rsidRPr="00087138" w:rsidRDefault="0099229B" w:rsidP="0099229B">
      <w:pPr>
        <w:rPr>
          <w:szCs w:val="22"/>
        </w:rPr>
      </w:pPr>
      <w:r>
        <w:rPr>
          <w:szCs w:val="22"/>
        </w:rPr>
        <w:t>Florida Police Benevolent Association, Inc.</w:t>
      </w:r>
    </w:p>
    <w:p w14:paraId="67869F0D" w14:textId="77777777" w:rsidR="0099229B" w:rsidRDefault="0099229B" w:rsidP="0099229B">
      <w:pPr>
        <w:rPr>
          <w:szCs w:val="22"/>
        </w:rPr>
      </w:pPr>
      <w:r w:rsidRPr="00087138">
        <w:rPr>
          <w:szCs w:val="22"/>
        </w:rPr>
        <w:t>Florida Sheriffs Association</w:t>
      </w:r>
    </w:p>
    <w:p w14:paraId="3290AB23" w14:textId="77777777" w:rsidR="0099229B" w:rsidRDefault="0099229B" w:rsidP="0099229B">
      <w:pPr>
        <w:rPr>
          <w:szCs w:val="22"/>
        </w:rPr>
      </w:pPr>
      <w:r>
        <w:rPr>
          <w:szCs w:val="22"/>
        </w:rPr>
        <w:t>Fraternal Order of Police of Ohio, Inc.</w:t>
      </w:r>
      <w:r>
        <w:rPr>
          <w:szCs w:val="22"/>
        </w:rPr>
        <w:br/>
        <w:t>Fraternal Order of Police, Columbus, OH</w:t>
      </w:r>
    </w:p>
    <w:p w14:paraId="73022964" w14:textId="77777777" w:rsidR="0099229B" w:rsidRPr="00087138" w:rsidRDefault="0099229B" w:rsidP="0099229B">
      <w:pPr>
        <w:rPr>
          <w:szCs w:val="22"/>
        </w:rPr>
      </w:pPr>
      <w:r>
        <w:rPr>
          <w:szCs w:val="22"/>
        </w:rPr>
        <w:t>Fraternal Order of Police, Dayton, OH</w:t>
      </w:r>
    </w:p>
    <w:p w14:paraId="34FACCB4" w14:textId="77777777" w:rsidR="0099229B" w:rsidRDefault="0099229B" w:rsidP="0099229B">
      <w:pPr>
        <w:rPr>
          <w:szCs w:val="22"/>
        </w:rPr>
      </w:pPr>
      <w:r w:rsidRPr="00087138">
        <w:rPr>
          <w:szCs w:val="22"/>
        </w:rPr>
        <w:t>Graham Fountain</w:t>
      </w:r>
    </w:p>
    <w:p w14:paraId="148BD41C" w14:textId="77777777" w:rsidR="0099229B" w:rsidRPr="00087138" w:rsidRDefault="0099229B" w:rsidP="0099229B">
      <w:pPr>
        <w:rPr>
          <w:szCs w:val="22"/>
        </w:rPr>
      </w:pPr>
      <w:r>
        <w:rPr>
          <w:szCs w:val="22"/>
        </w:rPr>
        <w:t xml:space="preserve">Green Bay (WI) Police Chief </w:t>
      </w:r>
      <w:r w:rsidRPr="00087138">
        <w:rPr>
          <w:szCs w:val="22"/>
        </w:rPr>
        <w:t>Tom Molitor</w:t>
      </w:r>
    </w:p>
    <w:p w14:paraId="5354EAEC" w14:textId="77777777" w:rsidR="0099229B" w:rsidRPr="00087138" w:rsidRDefault="0099229B" w:rsidP="0099229B">
      <w:pPr>
        <w:rPr>
          <w:szCs w:val="22"/>
        </w:rPr>
      </w:pPr>
      <w:r w:rsidRPr="00087138">
        <w:rPr>
          <w:szCs w:val="22"/>
        </w:rPr>
        <w:t xml:space="preserve">Greer County </w:t>
      </w:r>
      <w:r>
        <w:rPr>
          <w:szCs w:val="22"/>
        </w:rPr>
        <w:t xml:space="preserve">(OK) </w:t>
      </w:r>
      <w:r w:rsidRPr="00087138">
        <w:rPr>
          <w:szCs w:val="22"/>
        </w:rPr>
        <w:t>Emergency Management</w:t>
      </w:r>
    </w:p>
    <w:p w14:paraId="7BC534C6" w14:textId="77777777" w:rsidR="0099229B" w:rsidRDefault="0099229B" w:rsidP="0099229B">
      <w:pPr>
        <w:ind w:left="180" w:hanging="180"/>
        <w:rPr>
          <w:szCs w:val="22"/>
        </w:rPr>
      </w:pPr>
      <w:r>
        <w:rPr>
          <w:szCs w:val="22"/>
        </w:rPr>
        <w:t xml:space="preserve">Hon. </w:t>
      </w:r>
      <w:r w:rsidRPr="00087138">
        <w:rPr>
          <w:szCs w:val="22"/>
        </w:rPr>
        <w:t>Anthony D'Amelio</w:t>
      </w:r>
      <w:r>
        <w:rPr>
          <w:szCs w:val="22"/>
        </w:rPr>
        <w:t>, Connecticut State Rep.</w:t>
      </w:r>
    </w:p>
    <w:p w14:paraId="5786965A" w14:textId="77777777" w:rsidR="0099229B" w:rsidRDefault="0099229B" w:rsidP="0099229B">
      <w:pPr>
        <w:ind w:left="180" w:hanging="180"/>
        <w:rPr>
          <w:szCs w:val="22"/>
        </w:rPr>
      </w:pPr>
      <w:r>
        <w:rPr>
          <w:szCs w:val="22"/>
        </w:rPr>
        <w:t>Hon. Arnie Roblan, Oregon State Senate</w:t>
      </w:r>
    </w:p>
    <w:p w14:paraId="6142CF70" w14:textId="77777777" w:rsidR="0099229B" w:rsidRDefault="0099229B" w:rsidP="0099229B">
      <w:pPr>
        <w:ind w:left="180" w:hanging="180"/>
        <w:rPr>
          <w:szCs w:val="22"/>
        </w:rPr>
      </w:pPr>
      <w:r>
        <w:rPr>
          <w:szCs w:val="22"/>
        </w:rPr>
        <w:t>Hon. Charles Anderson, Texas State Rep.</w:t>
      </w:r>
    </w:p>
    <w:p w14:paraId="5B1CE63C" w14:textId="77777777" w:rsidR="0099229B" w:rsidRDefault="0099229B" w:rsidP="004C29B5">
      <w:pPr>
        <w:ind w:left="180" w:hanging="180"/>
        <w:rPr>
          <w:szCs w:val="22"/>
        </w:rPr>
      </w:pPr>
      <w:r>
        <w:rPr>
          <w:szCs w:val="22"/>
        </w:rPr>
        <w:t>Hon. Greg Smith, Kansas State Senate</w:t>
      </w:r>
    </w:p>
    <w:p w14:paraId="7EB970DF" w14:textId="77777777" w:rsidR="0099229B" w:rsidRDefault="0099229B" w:rsidP="0099229B">
      <w:pPr>
        <w:ind w:left="180" w:hanging="180"/>
        <w:rPr>
          <w:szCs w:val="22"/>
        </w:rPr>
      </w:pPr>
      <w:r>
        <w:rPr>
          <w:szCs w:val="22"/>
        </w:rPr>
        <w:t>Hon. Jay Hoffman, Illinois State Rep.</w:t>
      </w:r>
    </w:p>
    <w:p w14:paraId="2B2C1C7D" w14:textId="77777777" w:rsidR="0099229B" w:rsidRDefault="0099229B" w:rsidP="0099229B">
      <w:pPr>
        <w:ind w:left="180" w:hanging="180"/>
        <w:rPr>
          <w:szCs w:val="22"/>
        </w:rPr>
      </w:pPr>
      <w:r>
        <w:rPr>
          <w:szCs w:val="22"/>
        </w:rPr>
        <w:t>Hon. Jeff Dial, Arizona State Senate</w:t>
      </w:r>
    </w:p>
    <w:p w14:paraId="564DBC74" w14:textId="77777777" w:rsidR="0099229B" w:rsidRDefault="0099229B" w:rsidP="0099229B">
      <w:pPr>
        <w:ind w:left="180" w:hanging="180"/>
        <w:rPr>
          <w:szCs w:val="22"/>
        </w:rPr>
      </w:pPr>
      <w:r>
        <w:rPr>
          <w:szCs w:val="22"/>
        </w:rPr>
        <w:t>Hon. Jon Woods, Arkansas State Senate</w:t>
      </w:r>
    </w:p>
    <w:p w14:paraId="7F438E32" w14:textId="77777777" w:rsidR="0099229B" w:rsidRDefault="0099229B" w:rsidP="0099229B">
      <w:pPr>
        <w:ind w:left="180" w:hanging="180"/>
        <w:rPr>
          <w:szCs w:val="22"/>
        </w:rPr>
      </w:pPr>
      <w:r>
        <w:rPr>
          <w:szCs w:val="22"/>
        </w:rPr>
        <w:t>Hon. N. Daughtry, North Carolina State Rep.</w:t>
      </w:r>
    </w:p>
    <w:p w14:paraId="5DB30F1F" w14:textId="77777777" w:rsidR="0099229B" w:rsidRDefault="0099229B" w:rsidP="0099229B">
      <w:pPr>
        <w:ind w:left="180" w:hanging="180"/>
        <w:rPr>
          <w:szCs w:val="22"/>
        </w:rPr>
      </w:pPr>
      <w:r>
        <w:rPr>
          <w:szCs w:val="22"/>
        </w:rPr>
        <w:t>Hon. P</w:t>
      </w:r>
      <w:r w:rsidRPr="00087138">
        <w:rPr>
          <w:szCs w:val="22"/>
        </w:rPr>
        <w:t xml:space="preserve"> O’Malley</w:t>
      </w:r>
      <w:r>
        <w:rPr>
          <w:szCs w:val="22"/>
        </w:rPr>
        <w:t>,</w:t>
      </w:r>
      <w:r w:rsidRPr="00087138">
        <w:rPr>
          <w:szCs w:val="22"/>
        </w:rPr>
        <w:t xml:space="preserve"> </w:t>
      </w:r>
      <w:r>
        <w:rPr>
          <w:szCs w:val="22"/>
        </w:rPr>
        <w:t>Lackawanna Co.</w:t>
      </w:r>
      <w:r w:rsidRPr="00087138">
        <w:rPr>
          <w:szCs w:val="22"/>
        </w:rPr>
        <w:t xml:space="preserve"> (PA) Co</w:t>
      </w:r>
      <w:r>
        <w:rPr>
          <w:szCs w:val="22"/>
        </w:rPr>
        <w:t>mm.</w:t>
      </w:r>
    </w:p>
    <w:p w14:paraId="3957F4F3" w14:textId="77777777" w:rsidR="0099229B" w:rsidRDefault="0099229B" w:rsidP="0099229B">
      <w:pPr>
        <w:ind w:left="180" w:hanging="180"/>
        <w:rPr>
          <w:szCs w:val="22"/>
        </w:rPr>
      </w:pPr>
      <w:r>
        <w:rPr>
          <w:szCs w:val="22"/>
        </w:rPr>
        <w:t>Hon. Scott Martin, Lancaster Co. (PA) Comm.</w:t>
      </w:r>
    </w:p>
    <w:p w14:paraId="7E5CDC33" w14:textId="77777777" w:rsidR="0099229B" w:rsidRPr="00087138" w:rsidRDefault="0099229B" w:rsidP="0099229B">
      <w:pPr>
        <w:ind w:left="180" w:hanging="180"/>
        <w:rPr>
          <w:szCs w:val="22"/>
        </w:rPr>
      </w:pPr>
      <w:r>
        <w:rPr>
          <w:szCs w:val="22"/>
        </w:rPr>
        <w:t>Hon. Stan Klitzman, Waller Co. (TX) Comm.</w:t>
      </w:r>
    </w:p>
    <w:p w14:paraId="4B788D22" w14:textId="77777777" w:rsidR="0099229B" w:rsidRDefault="0099229B" w:rsidP="0099229B">
      <w:pPr>
        <w:rPr>
          <w:szCs w:val="22"/>
        </w:rPr>
      </w:pPr>
      <w:r>
        <w:rPr>
          <w:szCs w:val="22"/>
        </w:rPr>
        <w:t>Hon. Terry Seitz, Mayor, Jasper, IN</w:t>
      </w:r>
    </w:p>
    <w:p w14:paraId="6ACB2DE3" w14:textId="77777777" w:rsidR="0099229B" w:rsidRDefault="0099229B" w:rsidP="0099229B">
      <w:pPr>
        <w:rPr>
          <w:szCs w:val="22"/>
        </w:rPr>
      </w:pPr>
      <w:r w:rsidRPr="00087138">
        <w:rPr>
          <w:szCs w:val="22"/>
        </w:rPr>
        <w:t>Illinois NENA</w:t>
      </w:r>
    </w:p>
    <w:p w14:paraId="0FAC43D2" w14:textId="77777777" w:rsidR="0099229B" w:rsidRDefault="0099229B" w:rsidP="0099229B">
      <w:pPr>
        <w:rPr>
          <w:szCs w:val="22"/>
        </w:rPr>
      </w:pPr>
      <w:r w:rsidRPr="00087138">
        <w:rPr>
          <w:szCs w:val="22"/>
        </w:rPr>
        <w:t>Indiana NENA</w:t>
      </w:r>
    </w:p>
    <w:p w14:paraId="5EB2878F" w14:textId="77777777" w:rsidR="0099229B" w:rsidRPr="00087138" w:rsidRDefault="0099229B" w:rsidP="0099229B">
      <w:pPr>
        <w:rPr>
          <w:szCs w:val="22"/>
        </w:rPr>
      </w:pPr>
      <w:r>
        <w:rPr>
          <w:szCs w:val="22"/>
        </w:rPr>
        <w:t>Indianapolis (IN) EMS</w:t>
      </w:r>
    </w:p>
    <w:p w14:paraId="0207629A" w14:textId="77777777" w:rsidR="0099229B" w:rsidRPr="00087138" w:rsidRDefault="0099229B" w:rsidP="0099229B">
      <w:pPr>
        <w:rPr>
          <w:szCs w:val="22"/>
        </w:rPr>
      </w:pPr>
      <w:r w:rsidRPr="00087138">
        <w:rPr>
          <w:szCs w:val="22"/>
        </w:rPr>
        <w:t>James Franklin</w:t>
      </w:r>
    </w:p>
    <w:p w14:paraId="705E65C4" w14:textId="77777777" w:rsidR="0099229B" w:rsidRPr="00087138" w:rsidRDefault="0099229B" w:rsidP="0099229B">
      <w:pPr>
        <w:rPr>
          <w:szCs w:val="22"/>
        </w:rPr>
      </w:pPr>
      <w:r w:rsidRPr="00087138">
        <w:rPr>
          <w:szCs w:val="22"/>
        </w:rPr>
        <w:t>James Patton</w:t>
      </w:r>
    </w:p>
    <w:p w14:paraId="7072F668" w14:textId="77777777" w:rsidR="0099229B" w:rsidRPr="00087138" w:rsidRDefault="0099229B" w:rsidP="0099229B">
      <w:pPr>
        <w:rPr>
          <w:szCs w:val="22"/>
        </w:rPr>
      </w:pPr>
      <w:r w:rsidRPr="00087138">
        <w:rPr>
          <w:szCs w:val="22"/>
        </w:rPr>
        <w:t>Jane Lynch</w:t>
      </w:r>
    </w:p>
    <w:p w14:paraId="0563DB69" w14:textId="77777777" w:rsidR="0099229B" w:rsidRPr="00087138" w:rsidRDefault="0099229B" w:rsidP="0099229B">
      <w:pPr>
        <w:rPr>
          <w:szCs w:val="22"/>
        </w:rPr>
      </w:pPr>
      <w:r w:rsidRPr="00087138">
        <w:rPr>
          <w:szCs w:val="22"/>
        </w:rPr>
        <w:t>Jim Arts</w:t>
      </w:r>
    </w:p>
    <w:p w14:paraId="62E506B6" w14:textId="77777777" w:rsidR="0099229B" w:rsidRPr="00087138" w:rsidRDefault="0099229B" w:rsidP="0099229B">
      <w:pPr>
        <w:rPr>
          <w:szCs w:val="22"/>
        </w:rPr>
      </w:pPr>
      <w:r w:rsidRPr="00087138">
        <w:rPr>
          <w:szCs w:val="22"/>
        </w:rPr>
        <w:t>Jim Sabin</w:t>
      </w:r>
    </w:p>
    <w:p w14:paraId="073F5D78" w14:textId="77777777" w:rsidR="0099229B" w:rsidRDefault="0099229B" w:rsidP="0099229B">
      <w:pPr>
        <w:rPr>
          <w:szCs w:val="22"/>
        </w:rPr>
      </w:pPr>
      <w:r w:rsidRPr="00087138">
        <w:rPr>
          <w:szCs w:val="22"/>
        </w:rPr>
        <w:t>John Giese</w:t>
      </w:r>
    </w:p>
    <w:p w14:paraId="24F186E8" w14:textId="69F4368C" w:rsidR="0099229B" w:rsidRPr="00087138" w:rsidRDefault="0099229B" w:rsidP="0099229B">
      <w:pPr>
        <w:rPr>
          <w:szCs w:val="22"/>
        </w:rPr>
      </w:pPr>
      <w:r>
        <w:rPr>
          <w:szCs w:val="22"/>
        </w:rPr>
        <w:t>Johnston County (NC) Sheriff Steve Bizzell</w:t>
      </w:r>
    </w:p>
    <w:p w14:paraId="60D1429A" w14:textId="77777777" w:rsidR="0099229B" w:rsidRPr="00087138" w:rsidRDefault="0099229B" w:rsidP="0099229B">
      <w:pPr>
        <w:rPr>
          <w:szCs w:val="22"/>
        </w:rPr>
      </w:pPr>
      <w:r w:rsidRPr="00087138">
        <w:rPr>
          <w:szCs w:val="22"/>
        </w:rPr>
        <w:t>Lee Vasquez</w:t>
      </w:r>
    </w:p>
    <w:p w14:paraId="56F5035B" w14:textId="77777777" w:rsidR="0099229B" w:rsidRDefault="0099229B" w:rsidP="0099229B">
      <w:pPr>
        <w:rPr>
          <w:szCs w:val="22"/>
        </w:rPr>
      </w:pPr>
      <w:r w:rsidRPr="00087138">
        <w:rPr>
          <w:szCs w:val="22"/>
        </w:rPr>
        <w:t>Lewis County (NY) Sheriff</w:t>
      </w:r>
      <w:r>
        <w:rPr>
          <w:szCs w:val="22"/>
        </w:rPr>
        <w:t xml:space="preserve"> Michael Carpinelli</w:t>
      </w:r>
    </w:p>
    <w:p w14:paraId="108EAC1A" w14:textId="77777777" w:rsidR="0099229B" w:rsidRPr="00087138" w:rsidRDefault="0099229B" w:rsidP="0099229B">
      <w:pPr>
        <w:rPr>
          <w:szCs w:val="22"/>
        </w:rPr>
      </w:pPr>
      <w:r>
        <w:rPr>
          <w:szCs w:val="22"/>
        </w:rPr>
        <w:t>Liberty Media Corporation</w:t>
      </w:r>
    </w:p>
    <w:p w14:paraId="4C6D2674" w14:textId="58DD9889" w:rsidR="0099229B" w:rsidRPr="004C29B5" w:rsidRDefault="0099229B" w:rsidP="0099229B">
      <w:r w:rsidRPr="004C29B5">
        <w:t>Lowndes County (</w:t>
      </w:r>
      <w:r w:rsidRPr="00F51455">
        <w:rPr>
          <w:szCs w:val="22"/>
        </w:rPr>
        <w:t>AL</w:t>
      </w:r>
      <w:r w:rsidRPr="004C29B5">
        <w:t>) E911</w:t>
      </w:r>
    </w:p>
    <w:p w14:paraId="12691526" w14:textId="77777777" w:rsidR="0099229B" w:rsidRPr="00F51455" w:rsidRDefault="0099229B" w:rsidP="0099229B">
      <w:pPr>
        <w:rPr>
          <w:szCs w:val="22"/>
        </w:rPr>
      </w:pPr>
      <w:r>
        <w:rPr>
          <w:szCs w:val="22"/>
        </w:rPr>
        <w:t>Macon County (MO) Enhanced 911</w:t>
      </w:r>
    </w:p>
    <w:p w14:paraId="645D0096" w14:textId="77777777" w:rsidR="0099229B" w:rsidRPr="007A7961" w:rsidRDefault="0099229B" w:rsidP="0099229B">
      <w:pPr>
        <w:rPr>
          <w:szCs w:val="22"/>
        </w:rPr>
      </w:pPr>
      <w:r w:rsidRPr="007A7961">
        <w:rPr>
          <w:szCs w:val="22"/>
        </w:rPr>
        <w:t>Madison County (OH) Sheriff Jim Sabin</w:t>
      </w:r>
    </w:p>
    <w:p w14:paraId="5EEC53A8" w14:textId="77777777" w:rsidR="0099229B" w:rsidRDefault="0099229B" w:rsidP="004C29B5">
      <w:pPr>
        <w:ind w:left="180" w:hanging="180"/>
        <w:rPr>
          <w:szCs w:val="22"/>
        </w:rPr>
      </w:pPr>
      <w:r w:rsidRPr="00087138">
        <w:rPr>
          <w:szCs w:val="22"/>
        </w:rPr>
        <w:t>Madison County (NY) Emergency Communications</w:t>
      </w:r>
    </w:p>
    <w:p w14:paraId="2B5233B7" w14:textId="77777777" w:rsidR="0099229B" w:rsidRDefault="0099229B" w:rsidP="0099229B">
      <w:pPr>
        <w:ind w:left="180" w:hanging="180"/>
        <w:rPr>
          <w:szCs w:val="22"/>
        </w:rPr>
      </w:pPr>
      <w:r>
        <w:rPr>
          <w:szCs w:val="22"/>
        </w:rPr>
        <w:t>Maine NENA</w:t>
      </w:r>
    </w:p>
    <w:p w14:paraId="0B96CB9A" w14:textId="77777777" w:rsidR="0099229B" w:rsidRPr="00087138" w:rsidRDefault="0099229B" w:rsidP="0099229B">
      <w:pPr>
        <w:ind w:left="180" w:hanging="180"/>
        <w:rPr>
          <w:szCs w:val="22"/>
        </w:rPr>
      </w:pPr>
      <w:r>
        <w:rPr>
          <w:szCs w:val="22"/>
        </w:rPr>
        <w:t>Maricopa County (AZ) Sheriff’s Office</w:t>
      </w:r>
    </w:p>
    <w:p w14:paraId="330D7770" w14:textId="77777777" w:rsidR="0099229B" w:rsidRPr="00087138" w:rsidRDefault="0099229B" w:rsidP="0099229B">
      <w:pPr>
        <w:rPr>
          <w:szCs w:val="22"/>
        </w:rPr>
      </w:pPr>
      <w:r w:rsidRPr="00087138">
        <w:rPr>
          <w:szCs w:val="22"/>
        </w:rPr>
        <w:t>Marion County (IN) Sheriff</w:t>
      </w:r>
      <w:r>
        <w:rPr>
          <w:szCs w:val="22"/>
        </w:rPr>
        <w:t xml:space="preserve"> John Layton</w:t>
      </w:r>
    </w:p>
    <w:p w14:paraId="26ABC8C6" w14:textId="77777777" w:rsidR="0099229B" w:rsidRPr="00087138" w:rsidRDefault="0099229B" w:rsidP="0099229B">
      <w:pPr>
        <w:rPr>
          <w:szCs w:val="22"/>
        </w:rPr>
      </w:pPr>
      <w:r>
        <w:rPr>
          <w:szCs w:val="22"/>
        </w:rPr>
        <w:t>Mesa (AZ) Fire and Medical Department</w:t>
      </w:r>
    </w:p>
    <w:p w14:paraId="2742198A" w14:textId="77777777" w:rsidR="0099229B" w:rsidRPr="00087138" w:rsidRDefault="0099229B" w:rsidP="0099229B">
      <w:pPr>
        <w:rPr>
          <w:szCs w:val="22"/>
        </w:rPr>
      </w:pPr>
      <w:r w:rsidRPr="00087138">
        <w:rPr>
          <w:szCs w:val="22"/>
        </w:rPr>
        <w:t>Michael Lincoln</w:t>
      </w:r>
    </w:p>
    <w:p w14:paraId="2DDA9328" w14:textId="77777777" w:rsidR="0099229B" w:rsidRPr="00087138" w:rsidRDefault="0099229B" w:rsidP="0099229B">
      <w:pPr>
        <w:rPr>
          <w:szCs w:val="22"/>
        </w:rPr>
      </w:pPr>
      <w:r w:rsidRPr="00087138">
        <w:rPr>
          <w:szCs w:val="22"/>
        </w:rPr>
        <w:t>Michigan NENA</w:t>
      </w:r>
    </w:p>
    <w:p w14:paraId="354C3F12" w14:textId="77777777" w:rsidR="0099229B" w:rsidRDefault="0099229B" w:rsidP="004C29B5">
      <w:pPr>
        <w:ind w:left="180" w:hanging="180"/>
        <w:rPr>
          <w:szCs w:val="22"/>
        </w:rPr>
      </w:pPr>
      <w:r w:rsidRPr="00087138">
        <w:rPr>
          <w:szCs w:val="22"/>
        </w:rPr>
        <w:t>Middle Smithfield Township (PA) Emergency Coordinator</w:t>
      </w:r>
    </w:p>
    <w:p w14:paraId="491C71B3" w14:textId="77777777" w:rsidR="0099229B" w:rsidRPr="00087138" w:rsidRDefault="0099229B" w:rsidP="0099229B">
      <w:pPr>
        <w:ind w:left="180" w:hanging="180"/>
        <w:rPr>
          <w:szCs w:val="22"/>
        </w:rPr>
      </w:pPr>
      <w:r>
        <w:rPr>
          <w:szCs w:val="22"/>
        </w:rPr>
        <w:t>Midway (FL) Police Department</w:t>
      </w:r>
    </w:p>
    <w:p w14:paraId="6342C9E6" w14:textId="77777777" w:rsidR="0099229B" w:rsidRDefault="0099229B" w:rsidP="0099229B">
      <w:pPr>
        <w:rPr>
          <w:szCs w:val="22"/>
        </w:rPr>
      </w:pPr>
      <w:r w:rsidRPr="00087138">
        <w:rPr>
          <w:szCs w:val="22"/>
        </w:rPr>
        <w:t>Mike Kundert</w:t>
      </w:r>
    </w:p>
    <w:p w14:paraId="14486FA6" w14:textId="77777777" w:rsidR="0099229B" w:rsidRPr="00087138" w:rsidRDefault="0099229B" w:rsidP="0099229B">
      <w:pPr>
        <w:rPr>
          <w:szCs w:val="22"/>
        </w:rPr>
      </w:pPr>
      <w:r w:rsidRPr="00087138">
        <w:rPr>
          <w:szCs w:val="22"/>
        </w:rPr>
        <w:t>Minnesota Professional Fire Fighters</w:t>
      </w:r>
    </w:p>
    <w:p w14:paraId="39EFE6C8" w14:textId="77777777" w:rsidR="0099229B" w:rsidRDefault="0099229B" w:rsidP="0099229B">
      <w:pPr>
        <w:rPr>
          <w:szCs w:val="22"/>
        </w:rPr>
      </w:pPr>
      <w:r>
        <w:rPr>
          <w:szCs w:val="22"/>
        </w:rPr>
        <w:t>Minnesota Sheriffs’ Association</w:t>
      </w:r>
    </w:p>
    <w:p w14:paraId="43755854" w14:textId="77777777" w:rsidR="0099229B" w:rsidRDefault="0099229B" w:rsidP="0099229B">
      <w:pPr>
        <w:rPr>
          <w:szCs w:val="22"/>
        </w:rPr>
      </w:pPr>
      <w:r>
        <w:rPr>
          <w:szCs w:val="22"/>
        </w:rPr>
        <w:t>Mississippi Center for Police &amp; Sheriffs</w:t>
      </w:r>
    </w:p>
    <w:p w14:paraId="07CA67E9" w14:textId="77777777" w:rsidR="0099229B" w:rsidRPr="00087138" w:rsidRDefault="0099229B" w:rsidP="0099229B">
      <w:pPr>
        <w:rPr>
          <w:szCs w:val="22"/>
        </w:rPr>
      </w:pPr>
      <w:r>
        <w:rPr>
          <w:szCs w:val="22"/>
        </w:rPr>
        <w:t>Missouri NENA</w:t>
      </w:r>
    </w:p>
    <w:p w14:paraId="7B00FD81" w14:textId="77777777" w:rsidR="0099229B" w:rsidRDefault="0099229B" w:rsidP="0099229B">
      <w:pPr>
        <w:rPr>
          <w:szCs w:val="22"/>
        </w:rPr>
      </w:pPr>
      <w:r w:rsidRPr="00087138">
        <w:rPr>
          <w:szCs w:val="22"/>
        </w:rPr>
        <w:t>NARUC</w:t>
      </w:r>
    </w:p>
    <w:p w14:paraId="700A2FFA" w14:textId="77777777" w:rsidR="0099229B" w:rsidRPr="00087138" w:rsidRDefault="0099229B" w:rsidP="0099229B">
      <w:pPr>
        <w:rPr>
          <w:szCs w:val="22"/>
        </w:rPr>
      </w:pPr>
      <w:r>
        <w:rPr>
          <w:szCs w:val="22"/>
        </w:rPr>
        <w:t>National Asian Peace Officers Association</w:t>
      </w:r>
    </w:p>
    <w:p w14:paraId="51DF7C3C" w14:textId="77777777" w:rsidR="0099229B" w:rsidRDefault="0099229B" w:rsidP="0099229B">
      <w:pPr>
        <w:rPr>
          <w:szCs w:val="22"/>
        </w:rPr>
      </w:pPr>
      <w:r w:rsidRPr="00087138">
        <w:rPr>
          <w:szCs w:val="22"/>
        </w:rPr>
        <w:t>NENA</w:t>
      </w:r>
    </w:p>
    <w:p w14:paraId="05ADF1BA" w14:textId="77777777" w:rsidR="0099229B" w:rsidRDefault="0099229B" w:rsidP="0099229B">
      <w:pPr>
        <w:rPr>
          <w:szCs w:val="22"/>
        </w:rPr>
      </w:pPr>
      <w:r>
        <w:rPr>
          <w:szCs w:val="22"/>
        </w:rPr>
        <w:t>New Haven (CT) Police Department</w:t>
      </w:r>
    </w:p>
    <w:p w14:paraId="7D1F1D92" w14:textId="77777777" w:rsidR="0099229B" w:rsidRPr="00087138" w:rsidRDefault="0099229B" w:rsidP="0099229B">
      <w:pPr>
        <w:rPr>
          <w:szCs w:val="22"/>
        </w:rPr>
      </w:pPr>
      <w:r w:rsidRPr="00087138">
        <w:rPr>
          <w:szCs w:val="22"/>
        </w:rPr>
        <w:t>New Jersey NENA</w:t>
      </w:r>
    </w:p>
    <w:p w14:paraId="2DBE624D" w14:textId="77777777" w:rsidR="0099229B" w:rsidRPr="00087138" w:rsidRDefault="0099229B" w:rsidP="0099229B">
      <w:pPr>
        <w:rPr>
          <w:szCs w:val="22"/>
        </w:rPr>
      </w:pPr>
      <w:r w:rsidRPr="00087138">
        <w:rPr>
          <w:szCs w:val="22"/>
        </w:rPr>
        <w:t>New York State 911 Coordinators Association</w:t>
      </w:r>
    </w:p>
    <w:p w14:paraId="7BCDEBFA" w14:textId="77777777" w:rsidR="0099229B" w:rsidRPr="00087138" w:rsidRDefault="0099229B" w:rsidP="0099229B">
      <w:pPr>
        <w:rPr>
          <w:szCs w:val="22"/>
        </w:rPr>
      </w:pPr>
      <w:r w:rsidRPr="00087138">
        <w:rPr>
          <w:szCs w:val="22"/>
        </w:rPr>
        <w:t>NewYork State NENA</w:t>
      </w:r>
    </w:p>
    <w:p w14:paraId="25E2C504" w14:textId="77777777" w:rsidR="0099229B" w:rsidRPr="00087138" w:rsidRDefault="0099229B" w:rsidP="0099229B">
      <w:pPr>
        <w:rPr>
          <w:szCs w:val="22"/>
        </w:rPr>
      </w:pPr>
      <w:r w:rsidRPr="00087138">
        <w:rPr>
          <w:szCs w:val="22"/>
        </w:rPr>
        <w:t>NextNav</w:t>
      </w:r>
    </w:p>
    <w:p w14:paraId="07ACF336" w14:textId="77777777" w:rsidR="0099229B" w:rsidRPr="00087138" w:rsidRDefault="0099229B" w:rsidP="0099229B">
      <w:pPr>
        <w:ind w:left="180" w:hanging="180"/>
        <w:rPr>
          <w:szCs w:val="22"/>
        </w:rPr>
      </w:pPr>
      <w:r>
        <w:rPr>
          <w:szCs w:val="22"/>
        </w:rPr>
        <w:t>Oregon Coalition Against Domestic and Sexual Violence</w:t>
      </w:r>
    </w:p>
    <w:p w14:paraId="10FB2068" w14:textId="4831AD64" w:rsidR="0099229B" w:rsidRPr="00087138" w:rsidRDefault="0099229B" w:rsidP="0099229B">
      <w:pPr>
        <w:rPr>
          <w:szCs w:val="22"/>
        </w:rPr>
      </w:pPr>
      <w:r w:rsidRPr="00087138">
        <w:rPr>
          <w:szCs w:val="22"/>
        </w:rPr>
        <w:t>Orleans County (NY) Sheriff</w:t>
      </w:r>
      <w:r>
        <w:rPr>
          <w:szCs w:val="22"/>
        </w:rPr>
        <w:t>’s Office</w:t>
      </w:r>
    </w:p>
    <w:p w14:paraId="0D16FBB1" w14:textId="77777777" w:rsidR="0099229B" w:rsidRPr="00087138" w:rsidRDefault="0099229B" w:rsidP="0099229B">
      <w:pPr>
        <w:ind w:left="180" w:hanging="180"/>
        <w:rPr>
          <w:szCs w:val="22"/>
        </w:rPr>
      </w:pPr>
      <w:r w:rsidRPr="00087138">
        <w:rPr>
          <w:szCs w:val="22"/>
        </w:rPr>
        <w:t>Oswego County (NY) Emergency Communication</w:t>
      </w:r>
      <w:r>
        <w:rPr>
          <w:szCs w:val="22"/>
        </w:rPr>
        <w:t>s</w:t>
      </w:r>
      <w:r w:rsidRPr="00087138">
        <w:rPr>
          <w:szCs w:val="22"/>
        </w:rPr>
        <w:t xml:space="preserve"> Department</w:t>
      </w:r>
    </w:p>
    <w:p w14:paraId="45C27AD6" w14:textId="77777777" w:rsidR="0099229B" w:rsidRPr="00087138" w:rsidRDefault="0099229B" w:rsidP="0099229B">
      <w:pPr>
        <w:rPr>
          <w:szCs w:val="22"/>
        </w:rPr>
      </w:pPr>
      <w:r w:rsidRPr="00087138">
        <w:rPr>
          <w:szCs w:val="22"/>
        </w:rPr>
        <w:t>Philip Byers</w:t>
      </w:r>
    </w:p>
    <w:p w14:paraId="50EF2CCC" w14:textId="77777777" w:rsidR="0099229B" w:rsidRDefault="0099229B" w:rsidP="0099229B">
      <w:pPr>
        <w:rPr>
          <w:szCs w:val="22"/>
        </w:rPr>
      </w:pPr>
      <w:r w:rsidRPr="00087138">
        <w:rPr>
          <w:szCs w:val="22"/>
        </w:rPr>
        <w:t>Polaris</w:t>
      </w:r>
    </w:p>
    <w:p w14:paraId="02966BC6" w14:textId="77777777" w:rsidR="0099229B" w:rsidRDefault="0099229B" w:rsidP="0099229B">
      <w:pPr>
        <w:rPr>
          <w:szCs w:val="22"/>
        </w:rPr>
      </w:pPr>
      <w:r>
        <w:rPr>
          <w:szCs w:val="22"/>
        </w:rPr>
        <w:t>Public Knowledge</w:t>
      </w:r>
    </w:p>
    <w:p w14:paraId="5FB1405A" w14:textId="77777777" w:rsidR="0099229B" w:rsidRDefault="0099229B" w:rsidP="0099229B">
      <w:pPr>
        <w:rPr>
          <w:szCs w:val="22"/>
        </w:rPr>
      </w:pPr>
      <w:r w:rsidRPr="00087138">
        <w:rPr>
          <w:szCs w:val="22"/>
        </w:rPr>
        <w:t>Rivada Networks</w:t>
      </w:r>
    </w:p>
    <w:p w14:paraId="2DFEAA18" w14:textId="77777777" w:rsidR="0099229B" w:rsidRPr="00087138" w:rsidRDefault="0099229B" w:rsidP="004C29B5">
      <w:pPr>
        <w:ind w:left="180" w:hanging="180"/>
        <w:rPr>
          <w:szCs w:val="22"/>
        </w:rPr>
      </w:pPr>
      <w:r>
        <w:rPr>
          <w:szCs w:val="22"/>
        </w:rPr>
        <w:t xml:space="preserve">Rochester (NY) </w:t>
      </w:r>
      <w:r w:rsidRPr="00087138">
        <w:rPr>
          <w:szCs w:val="22"/>
        </w:rPr>
        <w:t>Emergency Communication Department</w:t>
      </w:r>
    </w:p>
    <w:p w14:paraId="1DD02CB1" w14:textId="77777777" w:rsidR="0099229B" w:rsidRPr="00087138" w:rsidRDefault="0099229B" w:rsidP="0099229B">
      <w:pPr>
        <w:rPr>
          <w:szCs w:val="22"/>
        </w:rPr>
      </w:pPr>
      <w:r>
        <w:rPr>
          <w:szCs w:val="22"/>
        </w:rPr>
        <w:t>Shawnee County (KS) Sheriff’s Office</w:t>
      </w:r>
    </w:p>
    <w:p w14:paraId="564F5133" w14:textId="77777777" w:rsidR="0099229B" w:rsidRDefault="0099229B" w:rsidP="0099229B">
      <w:pPr>
        <w:rPr>
          <w:szCs w:val="22"/>
        </w:rPr>
      </w:pPr>
      <w:r w:rsidRPr="00087138">
        <w:rPr>
          <w:szCs w:val="22"/>
        </w:rPr>
        <w:t>SouthernLINC</w:t>
      </w:r>
    </w:p>
    <w:p w14:paraId="3BEAF5A2" w14:textId="77777777" w:rsidR="0099229B" w:rsidRPr="00087138" w:rsidRDefault="0099229B" w:rsidP="0099229B">
      <w:pPr>
        <w:rPr>
          <w:szCs w:val="22"/>
        </w:rPr>
      </w:pPr>
      <w:r w:rsidRPr="00087138">
        <w:rPr>
          <w:szCs w:val="22"/>
        </w:rPr>
        <w:t>Spotsylvania County (VA) Sheriff's Office</w:t>
      </w:r>
    </w:p>
    <w:p w14:paraId="3FDE151A" w14:textId="77777777" w:rsidR="0099229B" w:rsidRDefault="0099229B" w:rsidP="0099229B">
      <w:pPr>
        <w:rPr>
          <w:szCs w:val="22"/>
        </w:rPr>
      </w:pPr>
      <w:r w:rsidRPr="00087138">
        <w:rPr>
          <w:szCs w:val="22"/>
        </w:rPr>
        <w:t>Sprint</w:t>
      </w:r>
    </w:p>
    <w:p w14:paraId="45DC6AB3" w14:textId="038BA3A0" w:rsidR="0099229B" w:rsidRPr="00087138" w:rsidRDefault="0099229B" w:rsidP="0099229B">
      <w:pPr>
        <w:rPr>
          <w:szCs w:val="22"/>
        </w:rPr>
      </w:pPr>
      <w:r>
        <w:rPr>
          <w:szCs w:val="22"/>
        </w:rPr>
        <w:t>Stephen P. Martini, ENP</w:t>
      </w:r>
    </w:p>
    <w:p w14:paraId="33F63037" w14:textId="4D92D0BB" w:rsidR="0099229B" w:rsidRDefault="0099229B" w:rsidP="0099229B">
      <w:pPr>
        <w:rPr>
          <w:szCs w:val="22"/>
        </w:rPr>
      </w:pPr>
      <w:r>
        <w:rPr>
          <w:szCs w:val="22"/>
        </w:rPr>
        <w:t>Steuben County (NY</w:t>
      </w:r>
      <w:r w:rsidRPr="00087138">
        <w:rPr>
          <w:szCs w:val="22"/>
        </w:rPr>
        <w:t>) Fire Service</w:t>
      </w:r>
    </w:p>
    <w:p w14:paraId="06A489FF" w14:textId="77777777" w:rsidR="0099229B" w:rsidRDefault="0099229B" w:rsidP="0099229B">
      <w:pPr>
        <w:rPr>
          <w:szCs w:val="22"/>
        </w:rPr>
      </w:pPr>
      <w:r>
        <w:rPr>
          <w:szCs w:val="22"/>
        </w:rPr>
        <w:t>Steuben County (NY) Legislature:</w:t>
      </w:r>
    </w:p>
    <w:p w14:paraId="714EB135" w14:textId="77777777" w:rsidR="0099229B" w:rsidRDefault="0099229B" w:rsidP="0099229B">
      <w:pPr>
        <w:ind w:left="360" w:hanging="180"/>
      </w:pPr>
      <w:r>
        <w:rPr>
          <w:szCs w:val="22"/>
        </w:rPr>
        <w:t>Hon. Brian Schu</w:t>
      </w:r>
    </w:p>
    <w:p w14:paraId="72F13995" w14:textId="77777777" w:rsidR="0099229B" w:rsidRDefault="0099229B" w:rsidP="0099229B">
      <w:pPr>
        <w:ind w:left="360" w:hanging="180"/>
        <w:rPr>
          <w:szCs w:val="22"/>
        </w:rPr>
      </w:pPr>
      <w:r>
        <w:rPr>
          <w:szCs w:val="22"/>
        </w:rPr>
        <w:t>Hon. Carol Ferratella</w:t>
      </w:r>
    </w:p>
    <w:p w14:paraId="2B3B08BC" w14:textId="77777777" w:rsidR="0099229B" w:rsidRDefault="0099229B" w:rsidP="004C29B5">
      <w:pPr>
        <w:ind w:left="360" w:hanging="180"/>
      </w:pPr>
      <w:r>
        <w:rPr>
          <w:szCs w:val="22"/>
        </w:rPr>
        <w:t xml:space="preserve">Hon. </w:t>
      </w:r>
      <w:r w:rsidRPr="00087138">
        <w:rPr>
          <w:szCs w:val="22"/>
        </w:rPr>
        <w:t>Gary D. Swackhamer</w:t>
      </w:r>
    </w:p>
    <w:p w14:paraId="12CAD4AA" w14:textId="77777777" w:rsidR="0099229B" w:rsidRDefault="0099229B" w:rsidP="0099229B">
      <w:pPr>
        <w:ind w:left="360" w:hanging="180"/>
      </w:pPr>
      <w:r>
        <w:rPr>
          <w:szCs w:val="22"/>
        </w:rPr>
        <w:t>Hon. Gary Roush</w:t>
      </w:r>
    </w:p>
    <w:p w14:paraId="0A4D325C" w14:textId="77777777" w:rsidR="0099229B" w:rsidRDefault="0099229B" w:rsidP="0099229B">
      <w:pPr>
        <w:ind w:left="360" w:hanging="180"/>
      </w:pPr>
      <w:r>
        <w:rPr>
          <w:szCs w:val="22"/>
        </w:rPr>
        <w:t xml:space="preserve">Hon. </w:t>
      </w:r>
      <w:r w:rsidRPr="00087138">
        <w:rPr>
          <w:szCs w:val="22"/>
        </w:rPr>
        <w:t>Joseph J. Hauryski</w:t>
      </w:r>
      <w:r>
        <w:rPr>
          <w:szCs w:val="22"/>
        </w:rPr>
        <w:t>, Chair</w:t>
      </w:r>
    </w:p>
    <w:p w14:paraId="4E91BA87" w14:textId="77777777" w:rsidR="0099229B" w:rsidRDefault="0099229B" w:rsidP="004C29B5">
      <w:pPr>
        <w:ind w:left="360" w:hanging="180"/>
        <w:rPr>
          <w:szCs w:val="22"/>
        </w:rPr>
      </w:pPr>
      <w:r>
        <w:rPr>
          <w:szCs w:val="22"/>
        </w:rPr>
        <w:t>Hon. K. Michael Hanna</w:t>
      </w:r>
    </w:p>
    <w:p w14:paraId="47ADB558" w14:textId="77777777" w:rsidR="0099229B" w:rsidRPr="00087138" w:rsidRDefault="0099229B" w:rsidP="004C29B5">
      <w:pPr>
        <w:ind w:left="360" w:hanging="180"/>
        <w:rPr>
          <w:szCs w:val="22"/>
        </w:rPr>
      </w:pPr>
      <w:r>
        <w:rPr>
          <w:szCs w:val="22"/>
        </w:rPr>
        <w:t xml:space="preserve">Hon. </w:t>
      </w:r>
      <w:r w:rsidRPr="00087138">
        <w:rPr>
          <w:szCs w:val="22"/>
        </w:rPr>
        <w:t>Patrick F. McAllister</w:t>
      </w:r>
    </w:p>
    <w:p w14:paraId="6E12C4D0" w14:textId="77777777" w:rsidR="0099229B" w:rsidRDefault="0099229B" w:rsidP="004C29B5">
      <w:pPr>
        <w:ind w:left="360" w:hanging="180"/>
      </w:pPr>
      <w:r>
        <w:rPr>
          <w:szCs w:val="22"/>
        </w:rPr>
        <w:t>Hon. Scott J. Van Etten</w:t>
      </w:r>
    </w:p>
    <w:p w14:paraId="61154337" w14:textId="145E69A2" w:rsidR="0099229B" w:rsidRPr="00087138" w:rsidRDefault="0099229B" w:rsidP="0099229B">
      <w:pPr>
        <w:rPr>
          <w:szCs w:val="22"/>
        </w:rPr>
      </w:pPr>
      <w:r>
        <w:rPr>
          <w:szCs w:val="22"/>
        </w:rPr>
        <w:t>Steuben County (NY</w:t>
      </w:r>
      <w:r w:rsidRPr="00087138">
        <w:rPr>
          <w:szCs w:val="22"/>
        </w:rPr>
        <w:t>) Manager</w:t>
      </w:r>
      <w:r>
        <w:rPr>
          <w:szCs w:val="22"/>
        </w:rPr>
        <w:t xml:space="preserve"> Mark Alger</w:t>
      </w:r>
    </w:p>
    <w:p w14:paraId="3C585DC6" w14:textId="251259C9" w:rsidR="00885813" w:rsidRDefault="00885813" w:rsidP="0099229B">
      <w:pPr>
        <w:rPr>
          <w:szCs w:val="22"/>
        </w:rPr>
      </w:pPr>
      <w:r>
        <w:rPr>
          <w:szCs w:val="22"/>
        </w:rPr>
        <w:t>Steve Davidson</w:t>
      </w:r>
    </w:p>
    <w:p w14:paraId="07C0854D" w14:textId="77777777" w:rsidR="0099229B" w:rsidRPr="00087138" w:rsidRDefault="0099229B" w:rsidP="0099229B">
      <w:pPr>
        <w:rPr>
          <w:szCs w:val="22"/>
        </w:rPr>
      </w:pPr>
      <w:r w:rsidRPr="00087138">
        <w:rPr>
          <w:szCs w:val="22"/>
        </w:rPr>
        <w:t>Steve Saltsman</w:t>
      </w:r>
    </w:p>
    <w:p w14:paraId="7FC69929" w14:textId="77777777" w:rsidR="0099229B" w:rsidRPr="00087138" w:rsidRDefault="0099229B" w:rsidP="0099229B">
      <w:pPr>
        <w:rPr>
          <w:szCs w:val="22"/>
        </w:rPr>
      </w:pPr>
      <w:r w:rsidRPr="00087138">
        <w:rPr>
          <w:szCs w:val="22"/>
        </w:rPr>
        <w:t>Steven Mael</w:t>
      </w:r>
    </w:p>
    <w:p w14:paraId="00EEB0F6" w14:textId="77777777" w:rsidR="0099229B" w:rsidRDefault="0099229B" w:rsidP="0099229B">
      <w:pPr>
        <w:rPr>
          <w:szCs w:val="22"/>
        </w:rPr>
      </w:pPr>
      <w:r w:rsidRPr="00087138">
        <w:rPr>
          <w:szCs w:val="22"/>
        </w:rPr>
        <w:t>Steven Pickett</w:t>
      </w:r>
    </w:p>
    <w:p w14:paraId="6007729B" w14:textId="77777777" w:rsidR="0099229B" w:rsidRPr="00087138" w:rsidRDefault="0099229B" w:rsidP="0099229B">
      <w:pPr>
        <w:rPr>
          <w:szCs w:val="22"/>
        </w:rPr>
      </w:pPr>
      <w:r>
        <w:rPr>
          <w:szCs w:val="22"/>
        </w:rPr>
        <w:t xml:space="preserve">Stoughton (WI) Police Lt. </w:t>
      </w:r>
      <w:r w:rsidRPr="00087138">
        <w:rPr>
          <w:szCs w:val="22"/>
        </w:rPr>
        <w:t>Patrick Conlin</w:t>
      </w:r>
    </w:p>
    <w:p w14:paraId="18C488B7" w14:textId="77777777" w:rsidR="0099229B" w:rsidRPr="00087138" w:rsidRDefault="0099229B" w:rsidP="0099229B">
      <w:pPr>
        <w:rPr>
          <w:szCs w:val="22"/>
        </w:rPr>
      </w:pPr>
      <w:r w:rsidRPr="00087138">
        <w:rPr>
          <w:szCs w:val="22"/>
        </w:rPr>
        <w:t>Sunsight Instruments, LLC</w:t>
      </w:r>
    </w:p>
    <w:p w14:paraId="46BDA2B5" w14:textId="77777777" w:rsidR="0099229B" w:rsidRPr="00087138" w:rsidRDefault="0099229B" w:rsidP="0099229B">
      <w:pPr>
        <w:rPr>
          <w:szCs w:val="22"/>
        </w:rPr>
      </w:pPr>
      <w:r w:rsidRPr="00087138">
        <w:rPr>
          <w:szCs w:val="22"/>
        </w:rPr>
        <w:t>TDI</w:t>
      </w:r>
    </w:p>
    <w:p w14:paraId="7417C581" w14:textId="77777777" w:rsidR="0099229B" w:rsidRDefault="0099229B" w:rsidP="0099229B">
      <w:pPr>
        <w:rPr>
          <w:szCs w:val="22"/>
        </w:rPr>
      </w:pPr>
      <w:r w:rsidRPr="00087138">
        <w:rPr>
          <w:szCs w:val="22"/>
        </w:rPr>
        <w:t>Tennessee Emergency Number Association</w:t>
      </w:r>
    </w:p>
    <w:p w14:paraId="4F00D834" w14:textId="77777777" w:rsidR="0099229B" w:rsidRPr="00087138" w:rsidRDefault="0099229B" w:rsidP="0099229B">
      <w:pPr>
        <w:rPr>
          <w:szCs w:val="22"/>
        </w:rPr>
      </w:pPr>
      <w:r>
        <w:rPr>
          <w:szCs w:val="22"/>
        </w:rPr>
        <w:t>Texas State Troopers Association</w:t>
      </w:r>
    </w:p>
    <w:p w14:paraId="6E7323EC" w14:textId="77777777" w:rsidR="0099229B" w:rsidRPr="00087138" w:rsidRDefault="0099229B" w:rsidP="0099229B">
      <w:pPr>
        <w:rPr>
          <w:szCs w:val="22"/>
        </w:rPr>
      </w:pPr>
      <w:r w:rsidRPr="00087138">
        <w:rPr>
          <w:szCs w:val="22"/>
        </w:rPr>
        <w:t>Thom Goolsby</w:t>
      </w:r>
    </w:p>
    <w:p w14:paraId="5235F730" w14:textId="77777777" w:rsidR="0099229B" w:rsidRPr="00087138" w:rsidRDefault="0099229B" w:rsidP="0099229B">
      <w:pPr>
        <w:rPr>
          <w:szCs w:val="22"/>
        </w:rPr>
      </w:pPr>
      <w:r w:rsidRPr="00087138">
        <w:rPr>
          <w:szCs w:val="22"/>
        </w:rPr>
        <w:t>Thomas E Nesbitt</w:t>
      </w:r>
    </w:p>
    <w:p w14:paraId="7B58E059" w14:textId="77777777" w:rsidR="0099229B" w:rsidRPr="00087138" w:rsidRDefault="0099229B" w:rsidP="0099229B">
      <w:pPr>
        <w:rPr>
          <w:szCs w:val="22"/>
        </w:rPr>
      </w:pPr>
      <w:r w:rsidRPr="00087138">
        <w:rPr>
          <w:szCs w:val="22"/>
        </w:rPr>
        <w:t>T-Mobile</w:t>
      </w:r>
    </w:p>
    <w:p w14:paraId="1BA3B676" w14:textId="77777777" w:rsidR="0099229B" w:rsidRPr="00087138" w:rsidRDefault="0099229B" w:rsidP="0099229B">
      <w:pPr>
        <w:rPr>
          <w:szCs w:val="22"/>
        </w:rPr>
      </w:pPr>
      <w:r w:rsidRPr="00087138">
        <w:rPr>
          <w:szCs w:val="22"/>
        </w:rPr>
        <w:t>Verizon</w:t>
      </w:r>
    </w:p>
    <w:p w14:paraId="729B97B8" w14:textId="77777777" w:rsidR="0099229B" w:rsidRDefault="0099229B" w:rsidP="0099229B">
      <w:pPr>
        <w:rPr>
          <w:szCs w:val="22"/>
        </w:rPr>
      </w:pPr>
      <w:r w:rsidRPr="00087138">
        <w:rPr>
          <w:szCs w:val="22"/>
        </w:rPr>
        <w:t>Virginia NENA</w:t>
      </w:r>
    </w:p>
    <w:p w14:paraId="5618594A" w14:textId="77777777" w:rsidR="0099229B" w:rsidRDefault="0099229B" w:rsidP="0099229B">
      <w:pPr>
        <w:rPr>
          <w:szCs w:val="22"/>
        </w:rPr>
      </w:pPr>
      <w:r>
        <w:rPr>
          <w:szCs w:val="22"/>
        </w:rPr>
        <w:t>Wakulla (FL) Senior Citizens Council, Inc.</w:t>
      </w:r>
    </w:p>
    <w:p w14:paraId="7F265800" w14:textId="77777777" w:rsidR="0099229B" w:rsidRDefault="0099229B" w:rsidP="0099229B">
      <w:pPr>
        <w:rPr>
          <w:szCs w:val="22"/>
        </w:rPr>
      </w:pPr>
      <w:r>
        <w:rPr>
          <w:szCs w:val="22"/>
        </w:rPr>
        <w:t>Windham (NH) Fire Department</w:t>
      </w:r>
    </w:p>
    <w:p w14:paraId="7D0AFC52" w14:textId="77777777" w:rsidR="00FC0CEB" w:rsidRDefault="0099229B" w:rsidP="003C54AA">
      <w:pPr>
        <w:widowControl/>
      </w:pPr>
      <w:r>
        <w:rPr>
          <w:szCs w:val="22"/>
        </w:rPr>
        <w:t>Yazoo City (MS) Fire Department</w:t>
      </w:r>
    </w:p>
    <w:p w14:paraId="297ECD9A" w14:textId="77777777" w:rsidR="0099229B" w:rsidRDefault="0099229B" w:rsidP="003C54AA">
      <w:pPr>
        <w:widowControl/>
        <w:sectPr w:rsidR="0099229B" w:rsidSect="00D0425B">
          <w:footerReference w:type="first" r:id="rId18"/>
          <w:footnotePr>
            <w:numRestart w:val="eachSect"/>
          </w:footnotePr>
          <w:endnotePr>
            <w:numFmt w:val="decimal"/>
          </w:endnotePr>
          <w:type w:val="continuous"/>
          <w:pgSz w:w="12240" w:h="15840"/>
          <w:pgMar w:top="1440" w:right="1440" w:bottom="720" w:left="1440" w:header="720" w:footer="720" w:gutter="0"/>
          <w:cols w:num="2" w:space="720"/>
          <w:noEndnote/>
          <w:titlePg/>
        </w:sectPr>
      </w:pPr>
    </w:p>
    <w:p w14:paraId="00A25182" w14:textId="77777777" w:rsidR="00FC0CEB" w:rsidRDefault="00FC0CEB" w:rsidP="003C54AA">
      <w:pPr>
        <w:widowControl/>
      </w:pPr>
    </w:p>
    <w:p w14:paraId="6E1DA36B" w14:textId="49340815" w:rsidR="000420F2" w:rsidRPr="003C54AA" w:rsidRDefault="00FC0CEB" w:rsidP="003C54AA">
      <w:pPr>
        <w:widowControl/>
        <w:rPr>
          <w:b/>
          <w:sz w:val="20"/>
        </w:rPr>
        <w:sectPr w:rsidR="000420F2" w:rsidRPr="003C54AA" w:rsidSect="00FC0CEB">
          <w:footnotePr>
            <w:numRestart w:val="eachSect"/>
          </w:footnotePr>
          <w:endnotePr>
            <w:numFmt w:val="decimal"/>
          </w:endnotePr>
          <w:type w:val="continuous"/>
          <w:pgSz w:w="12240" w:h="15840"/>
          <w:pgMar w:top="1440" w:right="1440" w:bottom="720" w:left="1440" w:header="720" w:footer="720" w:gutter="0"/>
          <w:cols w:space="720"/>
          <w:noEndnote/>
          <w:titlePg/>
        </w:sectPr>
      </w:pPr>
      <w:r>
        <w:rPr>
          <w:sz w:val="20"/>
          <w:vertAlign w:val="superscript"/>
        </w:rPr>
        <w:t>i</w:t>
      </w:r>
      <w:r w:rsidRPr="003C54AA">
        <w:rPr>
          <w:sz w:val="20"/>
        </w:rPr>
        <w:t xml:space="preserve"> The parties listed in this Appendix filed directly into PS Docket No. 07-114 through the Commission’s Electronic Comment Filing System (ECFS).  We note that a separate email box, </w:t>
      </w:r>
      <w:hyperlink r:id="rId19" w:history="1">
        <w:r w:rsidRPr="003C54AA">
          <w:rPr>
            <w:rStyle w:val="Hyperlink"/>
            <w:sz w:val="20"/>
          </w:rPr>
          <w:t>911locationaccuracy@fcc.gov</w:t>
        </w:r>
      </w:hyperlink>
      <w:r w:rsidRPr="003C54AA">
        <w:rPr>
          <w:sz w:val="20"/>
        </w:rPr>
        <w:t xml:space="preserve">, was set up </w:t>
      </w:r>
      <w:r w:rsidR="000301D0">
        <w:rPr>
          <w:sz w:val="20"/>
        </w:rPr>
        <w:t>in</w:t>
      </w:r>
      <w:r w:rsidR="000301D0" w:rsidRPr="003C54AA">
        <w:rPr>
          <w:sz w:val="20"/>
        </w:rPr>
        <w:t xml:space="preserve"> </w:t>
      </w:r>
      <w:r w:rsidR="000301D0" w:rsidRPr="0099229B">
        <w:rPr>
          <w:sz w:val="20"/>
        </w:rPr>
        <w:t>July 2014</w:t>
      </w:r>
      <w:r w:rsidR="000301D0">
        <w:rPr>
          <w:sz w:val="20"/>
        </w:rPr>
        <w:t xml:space="preserve"> </w:t>
      </w:r>
      <w:r w:rsidRPr="003C54AA">
        <w:rPr>
          <w:sz w:val="20"/>
        </w:rPr>
        <w:t xml:space="preserve">to facilitate input from members of the public regarding wireless location accuracy.  This email box contains several thousand identical or near-identical emails </w:t>
      </w:r>
      <w:r w:rsidR="00EB5CD2">
        <w:rPr>
          <w:sz w:val="20"/>
        </w:rPr>
        <w:t>with respect to</w:t>
      </w:r>
      <w:r w:rsidR="00EB5CD2" w:rsidRPr="003C54AA">
        <w:rPr>
          <w:sz w:val="20"/>
        </w:rPr>
        <w:t xml:space="preserve"> </w:t>
      </w:r>
      <w:r w:rsidRPr="003C54AA">
        <w:rPr>
          <w:sz w:val="20"/>
        </w:rPr>
        <w:t xml:space="preserve">the proposals in the </w:t>
      </w:r>
      <w:r w:rsidRPr="003C54AA">
        <w:rPr>
          <w:i/>
          <w:sz w:val="20"/>
        </w:rPr>
        <w:t>Third Further Notice</w:t>
      </w:r>
      <w:r w:rsidR="00EB5CD2">
        <w:rPr>
          <w:sz w:val="20"/>
        </w:rPr>
        <w:t xml:space="preserve"> and/or the Roadmap</w:t>
      </w:r>
      <w:r w:rsidRPr="003C54AA">
        <w:rPr>
          <w:i/>
          <w:sz w:val="20"/>
        </w:rPr>
        <w:t xml:space="preserve">.  </w:t>
      </w:r>
      <w:r w:rsidRPr="003C54AA">
        <w:rPr>
          <w:sz w:val="20"/>
        </w:rPr>
        <w:t xml:space="preserve">Like the comments listed in this Appendix, these emails have been included in the docket and can be accessed by following this link: </w:t>
      </w:r>
      <w:hyperlink r:id="rId20" w:history="1">
        <w:r w:rsidRPr="003C54AA">
          <w:rPr>
            <w:rStyle w:val="Hyperlink"/>
            <w:sz w:val="20"/>
          </w:rPr>
          <w:t>http://appsint.fcc.gov/ecfs/comment_search/input</w:t>
        </w:r>
      </w:hyperlink>
      <w:r w:rsidRPr="003C54AA">
        <w:rPr>
          <w:sz w:val="20"/>
        </w:rPr>
        <w:t>, and inserting “07-114” in the Proceeding Number box.</w:t>
      </w:r>
    </w:p>
    <w:p w14:paraId="06FCEFA2" w14:textId="5632B603" w:rsidR="00D728E5" w:rsidRDefault="00D728E5" w:rsidP="00DA6B31">
      <w:pPr>
        <w:widowControl/>
        <w:jc w:val="center"/>
        <w:rPr>
          <w:b/>
          <w:szCs w:val="22"/>
        </w:rPr>
      </w:pPr>
    </w:p>
    <w:p w14:paraId="3081C3BD" w14:textId="77777777" w:rsidR="00D728E5" w:rsidRDefault="00D728E5" w:rsidP="00DA6B31">
      <w:pPr>
        <w:widowControl/>
        <w:jc w:val="center"/>
        <w:rPr>
          <w:b/>
          <w:szCs w:val="22"/>
        </w:rPr>
      </w:pPr>
    </w:p>
    <w:p w14:paraId="43633DFD" w14:textId="77777777" w:rsidR="00D728E5" w:rsidRDefault="00D728E5" w:rsidP="00DA6B31">
      <w:pPr>
        <w:widowControl/>
        <w:jc w:val="center"/>
        <w:rPr>
          <w:b/>
          <w:szCs w:val="22"/>
        </w:rPr>
        <w:sectPr w:rsidR="00D728E5" w:rsidSect="00D728E5">
          <w:footnotePr>
            <w:numRestart w:val="eachSect"/>
          </w:footnotePr>
          <w:endnotePr>
            <w:numFmt w:val="decimal"/>
          </w:endnotePr>
          <w:type w:val="continuous"/>
          <w:pgSz w:w="12240" w:h="15840"/>
          <w:pgMar w:top="1440" w:right="1440" w:bottom="720" w:left="1440" w:header="720" w:footer="720" w:gutter="0"/>
          <w:cols w:space="720"/>
          <w:noEndnote/>
          <w:titlePg/>
        </w:sectPr>
      </w:pPr>
    </w:p>
    <w:p w14:paraId="37EA579E" w14:textId="77777777" w:rsidR="00D728E5" w:rsidRDefault="00D728E5">
      <w:pPr>
        <w:widowControl/>
        <w:rPr>
          <w:b/>
          <w:szCs w:val="22"/>
        </w:rPr>
      </w:pPr>
      <w:r>
        <w:rPr>
          <w:b/>
          <w:szCs w:val="22"/>
        </w:rPr>
        <w:br w:type="page"/>
      </w:r>
    </w:p>
    <w:p w14:paraId="3933B6F5" w14:textId="514DFCDC" w:rsidR="00FC0CEB" w:rsidRDefault="007E3DCB" w:rsidP="00DA6B31">
      <w:pPr>
        <w:widowControl/>
        <w:jc w:val="center"/>
        <w:rPr>
          <w:b/>
          <w:szCs w:val="22"/>
        </w:rPr>
      </w:pPr>
      <w:r>
        <w:rPr>
          <w:b/>
          <w:szCs w:val="22"/>
        </w:rPr>
        <w:t>APPENDIX B</w:t>
      </w:r>
    </w:p>
    <w:p w14:paraId="1EE5C278" w14:textId="77777777" w:rsidR="00A27FAC" w:rsidRDefault="00A27FAC" w:rsidP="00DA6B31">
      <w:pPr>
        <w:widowControl/>
        <w:jc w:val="center"/>
        <w:rPr>
          <w:b/>
          <w:szCs w:val="22"/>
        </w:rPr>
      </w:pPr>
    </w:p>
    <w:p w14:paraId="254E9187" w14:textId="13D073A3" w:rsidR="007E3DCB" w:rsidRDefault="007E3DCB" w:rsidP="00DA6B31">
      <w:pPr>
        <w:widowControl/>
        <w:jc w:val="center"/>
        <w:rPr>
          <w:b/>
          <w:szCs w:val="22"/>
        </w:rPr>
      </w:pPr>
      <w:r>
        <w:rPr>
          <w:b/>
          <w:szCs w:val="22"/>
        </w:rPr>
        <w:t>List of Top 50 Most Populous Cellular Market Areas</w:t>
      </w:r>
      <w:r w:rsidR="00D728E5" w:rsidRPr="0099404E">
        <w:rPr>
          <w:szCs w:val="22"/>
          <w:vertAlign w:val="superscript"/>
        </w:rPr>
        <w:t>1</w:t>
      </w:r>
    </w:p>
    <w:p w14:paraId="417B0E36" w14:textId="77777777" w:rsidR="00A27FAC" w:rsidRDefault="00A27FAC" w:rsidP="00DA6B31">
      <w:pPr>
        <w:widowControl/>
        <w:jc w:val="center"/>
        <w:rPr>
          <w:b/>
          <w:szCs w:val="22"/>
        </w:rPr>
      </w:pPr>
    </w:p>
    <w:p w14:paraId="350036F2" w14:textId="77777777" w:rsidR="00D728E5" w:rsidRDefault="00D728E5" w:rsidP="008B432C">
      <w:pPr>
        <w:pStyle w:val="ListParagraph"/>
        <w:widowControl/>
        <w:numPr>
          <w:ilvl w:val="0"/>
          <w:numId w:val="31"/>
        </w:numPr>
        <w:rPr>
          <w:b/>
          <w:szCs w:val="22"/>
        </w:rPr>
        <w:sectPr w:rsidR="00D728E5" w:rsidSect="00D728E5">
          <w:footnotePr>
            <w:numRestart w:val="eachSect"/>
          </w:footnotePr>
          <w:endnotePr>
            <w:numFmt w:val="decimal"/>
          </w:endnotePr>
          <w:type w:val="continuous"/>
          <w:pgSz w:w="12240" w:h="15840"/>
          <w:pgMar w:top="1440" w:right="1440" w:bottom="720" w:left="1440" w:header="720" w:footer="720" w:gutter="0"/>
          <w:cols w:space="720"/>
          <w:noEndnote/>
          <w:titlePg/>
        </w:sectPr>
      </w:pPr>
    </w:p>
    <w:p w14:paraId="01A8B56C" w14:textId="65E9EFDE" w:rsidR="00A17E0E" w:rsidRPr="008B432C" w:rsidRDefault="00A17E0E" w:rsidP="008B432C">
      <w:pPr>
        <w:pStyle w:val="ListParagraph"/>
        <w:widowControl/>
        <w:numPr>
          <w:ilvl w:val="0"/>
          <w:numId w:val="31"/>
        </w:numPr>
        <w:rPr>
          <w:szCs w:val="22"/>
        </w:rPr>
      </w:pPr>
      <w:r w:rsidRPr="008B432C">
        <w:rPr>
          <w:szCs w:val="22"/>
        </w:rPr>
        <w:t>New York-Northern New Jersey-Long Island, NY-NJ-PA</w:t>
      </w:r>
    </w:p>
    <w:p w14:paraId="4044AC7A" w14:textId="77777777" w:rsidR="00A17E0E" w:rsidRPr="008B432C" w:rsidRDefault="00A17E0E" w:rsidP="008B432C">
      <w:pPr>
        <w:pStyle w:val="ListParagraph"/>
        <w:widowControl/>
        <w:numPr>
          <w:ilvl w:val="0"/>
          <w:numId w:val="31"/>
        </w:numPr>
        <w:rPr>
          <w:szCs w:val="22"/>
        </w:rPr>
      </w:pPr>
      <w:r w:rsidRPr="008B432C">
        <w:rPr>
          <w:szCs w:val="22"/>
        </w:rPr>
        <w:t>Los Angeles-Long Beach-Santa Ana, CA</w:t>
      </w:r>
    </w:p>
    <w:p w14:paraId="25999FA9" w14:textId="77777777" w:rsidR="00A17E0E" w:rsidRPr="008B432C" w:rsidRDefault="00A17E0E" w:rsidP="008B432C">
      <w:pPr>
        <w:pStyle w:val="ListParagraph"/>
        <w:widowControl/>
        <w:numPr>
          <w:ilvl w:val="0"/>
          <w:numId w:val="31"/>
        </w:numPr>
        <w:rPr>
          <w:szCs w:val="22"/>
        </w:rPr>
      </w:pPr>
      <w:r w:rsidRPr="008B432C">
        <w:rPr>
          <w:szCs w:val="22"/>
        </w:rPr>
        <w:t>Chicago-Joliet-Naperville, IL-IN-WI</w:t>
      </w:r>
    </w:p>
    <w:p w14:paraId="118EE572" w14:textId="77777777" w:rsidR="00A17E0E" w:rsidRPr="008B432C" w:rsidRDefault="00A17E0E" w:rsidP="008B432C">
      <w:pPr>
        <w:pStyle w:val="ListParagraph"/>
        <w:widowControl/>
        <w:numPr>
          <w:ilvl w:val="0"/>
          <w:numId w:val="31"/>
        </w:numPr>
        <w:rPr>
          <w:szCs w:val="22"/>
        </w:rPr>
      </w:pPr>
      <w:r w:rsidRPr="008B432C">
        <w:rPr>
          <w:szCs w:val="22"/>
        </w:rPr>
        <w:t>Dallas-Fort Worth-Arlington, TX</w:t>
      </w:r>
    </w:p>
    <w:p w14:paraId="32051218" w14:textId="77777777" w:rsidR="00A17E0E" w:rsidRPr="008B432C" w:rsidRDefault="00A17E0E" w:rsidP="008B432C">
      <w:pPr>
        <w:pStyle w:val="ListParagraph"/>
        <w:widowControl/>
        <w:numPr>
          <w:ilvl w:val="0"/>
          <w:numId w:val="31"/>
        </w:numPr>
        <w:rPr>
          <w:szCs w:val="22"/>
        </w:rPr>
      </w:pPr>
      <w:r w:rsidRPr="008B432C">
        <w:rPr>
          <w:szCs w:val="22"/>
        </w:rPr>
        <w:t>Philadelphia-Camden-Wilmington, PA-NJ-DE-MD</w:t>
      </w:r>
    </w:p>
    <w:p w14:paraId="0793E7BB" w14:textId="77777777" w:rsidR="00A17E0E" w:rsidRPr="008B432C" w:rsidRDefault="00A17E0E" w:rsidP="008B432C">
      <w:pPr>
        <w:pStyle w:val="ListParagraph"/>
        <w:widowControl/>
        <w:numPr>
          <w:ilvl w:val="0"/>
          <w:numId w:val="31"/>
        </w:numPr>
        <w:rPr>
          <w:szCs w:val="22"/>
        </w:rPr>
      </w:pPr>
      <w:r w:rsidRPr="008B432C">
        <w:rPr>
          <w:szCs w:val="22"/>
        </w:rPr>
        <w:t>Houston-Sugar Land-Baytown, TX</w:t>
      </w:r>
    </w:p>
    <w:p w14:paraId="502DAF93" w14:textId="77777777" w:rsidR="00A17E0E" w:rsidRPr="008B432C" w:rsidRDefault="00A17E0E" w:rsidP="008B432C">
      <w:pPr>
        <w:pStyle w:val="ListParagraph"/>
        <w:widowControl/>
        <w:numPr>
          <w:ilvl w:val="0"/>
          <w:numId w:val="31"/>
        </w:numPr>
        <w:rPr>
          <w:szCs w:val="22"/>
        </w:rPr>
      </w:pPr>
      <w:r w:rsidRPr="008B432C">
        <w:rPr>
          <w:szCs w:val="22"/>
        </w:rPr>
        <w:t>Washington-Arlington-Alexandria, DC-VA-MD-WV</w:t>
      </w:r>
    </w:p>
    <w:p w14:paraId="03B56E8D" w14:textId="77777777" w:rsidR="00A17E0E" w:rsidRPr="008B432C" w:rsidRDefault="00A17E0E" w:rsidP="008B432C">
      <w:pPr>
        <w:pStyle w:val="ListParagraph"/>
        <w:widowControl/>
        <w:numPr>
          <w:ilvl w:val="0"/>
          <w:numId w:val="31"/>
        </w:numPr>
        <w:rPr>
          <w:szCs w:val="22"/>
        </w:rPr>
      </w:pPr>
      <w:r w:rsidRPr="008B432C">
        <w:rPr>
          <w:szCs w:val="22"/>
        </w:rPr>
        <w:t>Miami-Fort Lauderdale-Pompano Beach, FL</w:t>
      </w:r>
    </w:p>
    <w:p w14:paraId="625ECA06" w14:textId="77777777" w:rsidR="00A17E0E" w:rsidRPr="008B432C" w:rsidRDefault="00A17E0E" w:rsidP="008B432C">
      <w:pPr>
        <w:pStyle w:val="ListParagraph"/>
        <w:widowControl/>
        <w:numPr>
          <w:ilvl w:val="0"/>
          <w:numId w:val="31"/>
        </w:numPr>
        <w:rPr>
          <w:szCs w:val="22"/>
        </w:rPr>
      </w:pPr>
      <w:r w:rsidRPr="008B432C">
        <w:rPr>
          <w:szCs w:val="22"/>
        </w:rPr>
        <w:t>Atlanta-Sandy Springs-Marietta, GA</w:t>
      </w:r>
    </w:p>
    <w:p w14:paraId="697927DC" w14:textId="77777777" w:rsidR="00A17E0E" w:rsidRPr="008B432C" w:rsidRDefault="00A17E0E" w:rsidP="008B432C">
      <w:pPr>
        <w:pStyle w:val="ListParagraph"/>
        <w:widowControl/>
        <w:numPr>
          <w:ilvl w:val="0"/>
          <w:numId w:val="31"/>
        </w:numPr>
        <w:rPr>
          <w:szCs w:val="22"/>
        </w:rPr>
      </w:pPr>
      <w:r w:rsidRPr="008B432C">
        <w:rPr>
          <w:szCs w:val="22"/>
        </w:rPr>
        <w:t>Boston-Cambridge-Quincy, MA-NH</w:t>
      </w:r>
    </w:p>
    <w:p w14:paraId="67FB2166" w14:textId="77777777" w:rsidR="00A17E0E" w:rsidRPr="008B432C" w:rsidRDefault="00A17E0E" w:rsidP="008B432C">
      <w:pPr>
        <w:pStyle w:val="ListParagraph"/>
        <w:widowControl/>
        <w:numPr>
          <w:ilvl w:val="0"/>
          <w:numId w:val="31"/>
        </w:numPr>
        <w:rPr>
          <w:szCs w:val="22"/>
        </w:rPr>
      </w:pPr>
      <w:r w:rsidRPr="008B432C">
        <w:rPr>
          <w:szCs w:val="22"/>
        </w:rPr>
        <w:t>San Francisco-Oakland-Fremont, CA</w:t>
      </w:r>
    </w:p>
    <w:p w14:paraId="283D3746" w14:textId="77777777" w:rsidR="00A17E0E" w:rsidRPr="008B432C" w:rsidRDefault="00A17E0E" w:rsidP="008B432C">
      <w:pPr>
        <w:pStyle w:val="ListParagraph"/>
        <w:widowControl/>
        <w:numPr>
          <w:ilvl w:val="0"/>
          <w:numId w:val="31"/>
        </w:numPr>
        <w:rPr>
          <w:szCs w:val="22"/>
        </w:rPr>
      </w:pPr>
      <w:r w:rsidRPr="008B432C">
        <w:rPr>
          <w:szCs w:val="22"/>
        </w:rPr>
        <w:t>Detroit-Warren-Livonia, MI</w:t>
      </w:r>
    </w:p>
    <w:p w14:paraId="4F7E3D83" w14:textId="77777777" w:rsidR="00A17E0E" w:rsidRPr="008B432C" w:rsidRDefault="00A17E0E" w:rsidP="008B432C">
      <w:pPr>
        <w:pStyle w:val="ListParagraph"/>
        <w:widowControl/>
        <w:numPr>
          <w:ilvl w:val="0"/>
          <w:numId w:val="31"/>
        </w:numPr>
        <w:rPr>
          <w:szCs w:val="22"/>
        </w:rPr>
      </w:pPr>
      <w:r w:rsidRPr="008B432C">
        <w:rPr>
          <w:szCs w:val="22"/>
        </w:rPr>
        <w:t>Riverside-San Bernardino-Ontario, CA</w:t>
      </w:r>
    </w:p>
    <w:p w14:paraId="390AB690" w14:textId="77777777" w:rsidR="00A17E0E" w:rsidRPr="008B432C" w:rsidRDefault="00A17E0E" w:rsidP="008B432C">
      <w:pPr>
        <w:pStyle w:val="ListParagraph"/>
        <w:widowControl/>
        <w:numPr>
          <w:ilvl w:val="0"/>
          <w:numId w:val="31"/>
        </w:numPr>
        <w:rPr>
          <w:szCs w:val="22"/>
        </w:rPr>
      </w:pPr>
      <w:r w:rsidRPr="008B432C">
        <w:rPr>
          <w:szCs w:val="22"/>
        </w:rPr>
        <w:t>Phoenix-Mesa-Glendale, AZ</w:t>
      </w:r>
    </w:p>
    <w:p w14:paraId="6B0A8255" w14:textId="77777777" w:rsidR="00A17E0E" w:rsidRPr="008B432C" w:rsidRDefault="00A17E0E" w:rsidP="008B432C">
      <w:pPr>
        <w:pStyle w:val="ListParagraph"/>
        <w:widowControl/>
        <w:numPr>
          <w:ilvl w:val="0"/>
          <w:numId w:val="31"/>
        </w:numPr>
        <w:rPr>
          <w:szCs w:val="22"/>
        </w:rPr>
      </w:pPr>
      <w:r w:rsidRPr="008B432C">
        <w:rPr>
          <w:szCs w:val="22"/>
        </w:rPr>
        <w:t>Seattle-Tacoma-Bellevue, WA</w:t>
      </w:r>
    </w:p>
    <w:p w14:paraId="0D36F6C9" w14:textId="77777777" w:rsidR="00A17E0E" w:rsidRPr="008B432C" w:rsidRDefault="00A17E0E" w:rsidP="008B432C">
      <w:pPr>
        <w:pStyle w:val="ListParagraph"/>
        <w:widowControl/>
        <w:numPr>
          <w:ilvl w:val="0"/>
          <w:numId w:val="31"/>
        </w:numPr>
        <w:rPr>
          <w:szCs w:val="22"/>
        </w:rPr>
      </w:pPr>
      <w:r w:rsidRPr="008B432C">
        <w:rPr>
          <w:szCs w:val="22"/>
        </w:rPr>
        <w:t>Minneapolis-St. Paul-Bloomington, MN-WI</w:t>
      </w:r>
    </w:p>
    <w:p w14:paraId="10A632E5" w14:textId="77777777" w:rsidR="00A17E0E" w:rsidRPr="008B432C" w:rsidRDefault="00A17E0E" w:rsidP="008B432C">
      <w:pPr>
        <w:pStyle w:val="ListParagraph"/>
        <w:widowControl/>
        <w:numPr>
          <w:ilvl w:val="0"/>
          <w:numId w:val="31"/>
        </w:numPr>
        <w:rPr>
          <w:szCs w:val="22"/>
        </w:rPr>
      </w:pPr>
      <w:r w:rsidRPr="008B432C">
        <w:rPr>
          <w:szCs w:val="22"/>
        </w:rPr>
        <w:t>San Diego-Carlsbad-San Marcos, CA</w:t>
      </w:r>
    </w:p>
    <w:p w14:paraId="52FB45AB" w14:textId="77777777" w:rsidR="00A17E0E" w:rsidRPr="008B432C" w:rsidRDefault="00A17E0E" w:rsidP="008B432C">
      <w:pPr>
        <w:pStyle w:val="ListParagraph"/>
        <w:widowControl/>
        <w:numPr>
          <w:ilvl w:val="0"/>
          <w:numId w:val="31"/>
        </w:numPr>
        <w:rPr>
          <w:szCs w:val="22"/>
        </w:rPr>
      </w:pPr>
      <w:r w:rsidRPr="008B432C">
        <w:rPr>
          <w:szCs w:val="22"/>
        </w:rPr>
        <w:t xml:space="preserve">St. Louis, MO-IL </w:t>
      </w:r>
    </w:p>
    <w:p w14:paraId="0CACA018" w14:textId="77777777" w:rsidR="00A17E0E" w:rsidRPr="008B432C" w:rsidRDefault="00A17E0E" w:rsidP="008B432C">
      <w:pPr>
        <w:pStyle w:val="ListParagraph"/>
        <w:widowControl/>
        <w:numPr>
          <w:ilvl w:val="0"/>
          <w:numId w:val="31"/>
        </w:numPr>
        <w:rPr>
          <w:szCs w:val="22"/>
        </w:rPr>
      </w:pPr>
      <w:r w:rsidRPr="008B432C">
        <w:rPr>
          <w:szCs w:val="22"/>
        </w:rPr>
        <w:t>Tampa-St. Petersburg-Clearwater, FL</w:t>
      </w:r>
    </w:p>
    <w:p w14:paraId="55866C91" w14:textId="77777777" w:rsidR="00A17E0E" w:rsidRPr="008B432C" w:rsidRDefault="00A17E0E" w:rsidP="008B432C">
      <w:pPr>
        <w:pStyle w:val="ListParagraph"/>
        <w:widowControl/>
        <w:numPr>
          <w:ilvl w:val="0"/>
          <w:numId w:val="31"/>
        </w:numPr>
        <w:rPr>
          <w:szCs w:val="22"/>
        </w:rPr>
      </w:pPr>
      <w:r w:rsidRPr="008B432C">
        <w:rPr>
          <w:szCs w:val="22"/>
        </w:rPr>
        <w:t>Baltimore-Towson, MD</w:t>
      </w:r>
    </w:p>
    <w:p w14:paraId="20FFEB31" w14:textId="77777777" w:rsidR="00A17E0E" w:rsidRPr="008B432C" w:rsidRDefault="00A17E0E" w:rsidP="008B432C">
      <w:pPr>
        <w:pStyle w:val="ListParagraph"/>
        <w:widowControl/>
        <w:numPr>
          <w:ilvl w:val="0"/>
          <w:numId w:val="31"/>
        </w:numPr>
        <w:rPr>
          <w:szCs w:val="22"/>
        </w:rPr>
      </w:pPr>
      <w:r w:rsidRPr="008B432C">
        <w:rPr>
          <w:szCs w:val="22"/>
        </w:rPr>
        <w:t>Denver-Aurora-Broomfield, CO</w:t>
      </w:r>
    </w:p>
    <w:p w14:paraId="14EE7B97" w14:textId="77777777" w:rsidR="00A17E0E" w:rsidRPr="008B432C" w:rsidRDefault="00A17E0E" w:rsidP="008B432C">
      <w:pPr>
        <w:pStyle w:val="ListParagraph"/>
        <w:widowControl/>
        <w:numPr>
          <w:ilvl w:val="0"/>
          <w:numId w:val="31"/>
        </w:numPr>
        <w:rPr>
          <w:szCs w:val="22"/>
        </w:rPr>
      </w:pPr>
      <w:r w:rsidRPr="008B432C">
        <w:rPr>
          <w:szCs w:val="22"/>
        </w:rPr>
        <w:t>Pittsburgh, PA</w:t>
      </w:r>
    </w:p>
    <w:p w14:paraId="1C07F998" w14:textId="77777777" w:rsidR="00A17E0E" w:rsidRPr="008B432C" w:rsidRDefault="00A17E0E" w:rsidP="008B432C">
      <w:pPr>
        <w:pStyle w:val="ListParagraph"/>
        <w:widowControl/>
        <w:numPr>
          <w:ilvl w:val="0"/>
          <w:numId w:val="31"/>
        </w:numPr>
        <w:rPr>
          <w:szCs w:val="22"/>
        </w:rPr>
      </w:pPr>
      <w:r w:rsidRPr="008B432C">
        <w:rPr>
          <w:szCs w:val="22"/>
        </w:rPr>
        <w:t>Portland-Vancouver-Hillsboro, OR-WA</w:t>
      </w:r>
    </w:p>
    <w:p w14:paraId="78FEF65C" w14:textId="77777777" w:rsidR="00A17E0E" w:rsidRPr="008B432C" w:rsidRDefault="00A17E0E" w:rsidP="008B432C">
      <w:pPr>
        <w:pStyle w:val="ListParagraph"/>
        <w:widowControl/>
        <w:numPr>
          <w:ilvl w:val="0"/>
          <w:numId w:val="31"/>
        </w:numPr>
        <w:rPr>
          <w:szCs w:val="22"/>
        </w:rPr>
      </w:pPr>
      <w:r w:rsidRPr="008B432C">
        <w:rPr>
          <w:szCs w:val="22"/>
        </w:rPr>
        <w:t>Sacramento--Arden-Arcade--Roseville, CA</w:t>
      </w:r>
    </w:p>
    <w:p w14:paraId="683E25D3" w14:textId="77777777" w:rsidR="00A17E0E" w:rsidRPr="008B432C" w:rsidRDefault="00A17E0E" w:rsidP="008B432C">
      <w:pPr>
        <w:pStyle w:val="ListParagraph"/>
        <w:widowControl/>
        <w:numPr>
          <w:ilvl w:val="0"/>
          <w:numId w:val="31"/>
        </w:numPr>
        <w:rPr>
          <w:szCs w:val="22"/>
        </w:rPr>
      </w:pPr>
      <w:r w:rsidRPr="008B432C">
        <w:rPr>
          <w:szCs w:val="22"/>
        </w:rPr>
        <w:t>San Antonio-New Braunfels, TX</w:t>
      </w:r>
    </w:p>
    <w:p w14:paraId="333DF9FA" w14:textId="77777777" w:rsidR="00A17E0E" w:rsidRPr="008B432C" w:rsidRDefault="00A17E0E" w:rsidP="008B432C">
      <w:pPr>
        <w:pStyle w:val="ListParagraph"/>
        <w:widowControl/>
        <w:numPr>
          <w:ilvl w:val="0"/>
          <w:numId w:val="31"/>
        </w:numPr>
        <w:rPr>
          <w:szCs w:val="22"/>
        </w:rPr>
      </w:pPr>
      <w:r w:rsidRPr="008B432C">
        <w:rPr>
          <w:szCs w:val="22"/>
        </w:rPr>
        <w:t>Orlando-Kissimmee-Sanford, FL</w:t>
      </w:r>
    </w:p>
    <w:p w14:paraId="6BABBBFE" w14:textId="77777777" w:rsidR="00A17E0E" w:rsidRPr="008B432C" w:rsidRDefault="00A17E0E" w:rsidP="008B432C">
      <w:pPr>
        <w:pStyle w:val="ListParagraph"/>
        <w:widowControl/>
        <w:numPr>
          <w:ilvl w:val="0"/>
          <w:numId w:val="31"/>
        </w:numPr>
        <w:rPr>
          <w:szCs w:val="22"/>
        </w:rPr>
      </w:pPr>
      <w:r w:rsidRPr="008B432C">
        <w:rPr>
          <w:szCs w:val="22"/>
        </w:rPr>
        <w:t>Cincinnati-Middletown, OH-KY-IN</w:t>
      </w:r>
    </w:p>
    <w:p w14:paraId="3657E6C0" w14:textId="77777777" w:rsidR="00A17E0E" w:rsidRPr="008B432C" w:rsidRDefault="00A17E0E" w:rsidP="008B432C">
      <w:pPr>
        <w:pStyle w:val="ListParagraph"/>
        <w:widowControl/>
        <w:numPr>
          <w:ilvl w:val="0"/>
          <w:numId w:val="31"/>
        </w:numPr>
        <w:rPr>
          <w:szCs w:val="22"/>
        </w:rPr>
      </w:pPr>
      <w:r w:rsidRPr="008B432C">
        <w:rPr>
          <w:szCs w:val="22"/>
        </w:rPr>
        <w:t>Cleveland-Elyria-Mentor, OH</w:t>
      </w:r>
    </w:p>
    <w:p w14:paraId="653C27BE" w14:textId="77777777" w:rsidR="00A17E0E" w:rsidRPr="008B432C" w:rsidRDefault="00A17E0E" w:rsidP="008B432C">
      <w:pPr>
        <w:pStyle w:val="ListParagraph"/>
        <w:widowControl/>
        <w:numPr>
          <w:ilvl w:val="0"/>
          <w:numId w:val="31"/>
        </w:numPr>
        <w:rPr>
          <w:szCs w:val="22"/>
        </w:rPr>
      </w:pPr>
      <w:r w:rsidRPr="008B432C">
        <w:rPr>
          <w:szCs w:val="22"/>
        </w:rPr>
        <w:t>Kansas City, MO-KS</w:t>
      </w:r>
    </w:p>
    <w:p w14:paraId="4FCD959D" w14:textId="77777777" w:rsidR="00A17E0E" w:rsidRPr="008B432C" w:rsidRDefault="00A17E0E" w:rsidP="008B432C">
      <w:pPr>
        <w:pStyle w:val="ListParagraph"/>
        <w:widowControl/>
        <w:numPr>
          <w:ilvl w:val="0"/>
          <w:numId w:val="31"/>
        </w:numPr>
        <w:rPr>
          <w:szCs w:val="22"/>
        </w:rPr>
      </w:pPr>
      <w:r w:rsidRPr="008B432C">
        <w:rPr>
          <w:szCs w:val="22"/>
        </w:rPr>
        <w:t>Las Vegas-Paradise, NV</w:t>
      </w:r>
    </w:p>
    <w:p w14:paraId="1CF18FF7" w14:textId="77777777" w:rsidR="00A17E0E" w:rsidRPr="008B432C" w:rsidRDefault="00A17E0E" w:rsidP="008B432C">
      <w:pPr>
        <w:pStyle w:val="ListParagraph"/>
        <w:widowControl/>
        <w:numPr>
          <w:ilvl w:val="0"/>
          <w:numId w:val="31"/>
        </w:numPr>
        <w:rPr>
          <w:szCs w:val="22"/>
        </w:rPr>
      </w:pPr>
      <w:r w:rsidRPr="008B432C">
        <w:rPr>
          <w:szCs w:val="22"/>
        </w:rPr>
        <w:t>San Jose-Sunnyvale-Santa Clara, CA</w:t>
      </w:r>
    </w:p>
    <w:p w14:paraId="7A2CA7BB" w14:textId="77777777" w:rsidR="00A17E0E" w:rsidRPr="008B432C" w:rsidRDefault="00A17E0E" w:rsidP="008B432C">
      <w:pPr>
        <w:pStyle w:val="ListParagraph"/>
        <w:widowControl/>
        <w:numPr>
          <w:ilvl w:val="0"/>
          <w:numId w:val="31"/>
        </w:numPr>
        <w:rPr>
          <w:szCs w:val="22"/>
        </w:rPr>
      </w:pPr>
      <w:r w:rsidRPr="008B432C">
        <w:rPr>
          <w:szCs w:val="22"/>
        </w:rPr>
        <w:t>Columbus, OH</w:t>
      </w:r>
    </w:p>
    <w:p w14:paraId="1E2BA932" w14:textId="77777777" w:rsidR="00A17E0E" w:rsidRPr="008B432C" w:rsidRDefault="00A17E0E" w:rsidP="008B432C">
      <w:pPr>
        <w:pStyle w:val="ListParagraph"/>
        <w:widowControl/>
        <w:numPr>
          <w:ilvl w:val="0"/>
          <w:numId w:val="31"/>
        </w:numPr>
        <w:rPr>
          <w:szCs w:val="22"/>
        </w:rPr>
      </w:pPr>
      <w:r w:rsidRPr="008B432C">
        <w:rPr>
          <w:szCs w:val="22"/>
        </w:rPr>
        <w:t>Charlotte-Gastonia-Rock Hill, NC-SC</w:t>
      </w:r>
    </w:p>
    <w:p w14:paraId="0C06AB2C" w14:textId="77777777" w:rsidR="00A17E0E" w:rsidRPr="008B432C" w:rsidRDefault="00A17E0E" w:rsidP="008B432C">
      <w:pPr>
        <w:pStyle w:val="ListParagraph"/>
        <w:widowControl/>
        <w:numPr>
          <w:ilvl w:val="0"/>
          <w:numId w:val="31"/>
        </w:numPr>
        <w:rPr>
          <w:szCs w:val="22"/>
        </w:rPr>
      </w:pPr>
      <w:r w:rsidRPr="008B432C">
        <w:rPr>
          <w:szCs w:val="22"/>
        </w:rPr>
        <w:t>Indianapolis-Carmel, IN</w:t>
      </w:r>
    </w:p>
    <w:p w14:paraId="76E17FD0" w14:textId="77777777" w:rsidR="00A17E0E" w:rsidRPr="008B432C" w:rsidRDefault="00A17E0E" w:rsidP="008B432C">
      <w:pPr>
        <w:pStyle w:val="ListParagraph"/>
        <w:widowControl/>
        <w:numPr>
          <w:ilvl w:val="0"/>
          <w:numId w:val="31"/>
        </w:numPr>
        <w:rPr>
          <w:szCs w:val="22"/>
        </w:rPr>
      </w:pPr>
      <w:r w:rsidRPr="008B432C">
        <w:rPr>
          <w:szCs w:val="22"/>
        </w:rPr>
        <w:t>Austin-Round Rock-San Marcos, TX</w:t>
      </w:r>
    </w:p>
    <w:p w14:paraId="43F13DAE" w14:textId="77777777" w:rsidR="00A17E0E" w:rsidRPr="008B432C" w:rsidRDefault="00A17E0E" w:rsidP="008B432C">
      <w:pPr>
        <w:pStyle w:val="ListParagraph"/>
        <w:widowControl/>
        <w:numPr>
          <w:ilvl w:val="0"/>
          <w:numId w:val="31"/>
        </w:numPr>
        <w:rPr>
          <w:szCs w:val="22"/>
        </w:rPr>
      </w:pPr>
      <w:r w:rsidRPr="008B432C">
        <w:rPr>
          <w:szCs w:val="22"/>
        </w:rPr>
        <w:t>Virginia Beach-Norfolk-Newport News, VA-NC</w:t>
      </w:r>
    </w:p>
    <w:p w14:paraId="18D82470" w14:textId="77777777" w:rsidR="00A17E0E" w:rsidRPr="008B432C" w:rsidRDefault="00A17E0E" w:rsidP="008B432C">
      <w:pPr>
        <w:pStyle w:val="ListParagraph"/>
        <w:widowControl/>
        <w:numPr>
          <w:ilvl w:val="0"/>
          <w:numId w:val="31"/>
        </w:numPr>
        <w:rPr>
          <w:szCs w:val="22"/>
        </w:rPr>
      </w:pPr>
      <w:r w:rsidRPr="008B432C">
        <w:rPr>
          <w:szCs w:val="22"/>
        </w:rPr>
        <w:t>Providence-New Bedford-Fall River, RI-MA</w:t>
      </w:r>
    </w:p>
    <w:p w14:paraId="36FAA991" w14:textId="77777777" w:rsidR="00A17E0E" w:rsidRPr="008B432C" w:rsidRDefault="00A17E0E" w:rsidP="008B432C">
      <w:pPr>
        <w:pStyle w:val="ListParagraph"/>
        <w:widowControl/>
        <w:numPr>
          <w:ilvl w:val="0"/>
          <w:numId w:val="31"/>
        </w:numPr>
        <w:rPr>
          <w:szCs w:val="22"/>
        </w:rPr>
      </w:pPr>
      <w:r w:rsidRPr="008B432C">
        <w:rPr>
          <w:szCs w:val="22"/>
        </w:rPr>
        <w:t>Nashville-Davidson--Murfreesboro--Franklin, TN</w:t>
      </w:r>
    </w:p>
    <w:p w14:paraId="4947E117" w14:textId="77777777" w:rsidR="00A17E0E" w:rsidRPr="008B432C" w:rsidRDefault="00A17E0E" w:rsidP="008B432C">
      <w:pPr>
        <w:pStyle w:val="ListParagraph"/>
        <w:widowControl/>
        <w:numPr>
          <w:ilvl w:val="0"/>
          <w:numId w:val="31"/>
        </w:numPr>
        <w:rPr>
          <w:szCs w:val="22"/>
        </w:rPr>
      </w:pPr>
      <w:r w:rsidRPr="008B432C">
        <w:rPr>
          <w:szCs w:val="22"/>
        </w:rPr>
        <w:t>Milwaukee-Waukesha-West Allis, WI</w:t>
      </w:r>
    </w:p>
    <w:p w14:paraId="6592F8C9" w14:textId="77777777" w:rsidR="00A17E0E" w:rsidRPr="008B432C" w:rsidRDefault="00A17E0E" w:rsidP="008B432C">
      <w:pPr>
        <w:pStyle w:val="ListParagraph"/>
        <w:widowControl/>
        <w:numPr>
          <w:ilvl w:val="0"/>
          <w:numId w:val="31"/>
        </w:numPr>
        <w:rPr>
          <w:szCs w:val="22"/>
        </w:rPr>
      </w:pPr>
      <w:r w:rsidRPr="008B432C">
        <w:rPr>
          <w:szCs w:val="22"/>
        </w:rPr>
        <w:t>Jacksonville, FL</w:t>
      </w:r>
    </w:p>
    <w:p w14:paraId="525F1128" w14:textId="77777777" w:rsidR="00A17E0E" w:rsidRPr="008B432C" w:rsidRDefault="00A17E0E" w:rsidP="008B432C">
      <w:pPr>
        <w:pStyle w:val="ListParagraph"/>
        <w:widowControl/>
        <w:numPr>
          <w:ilvl w:val="0"/>
          <w:numId w:val="31"/>
        </w:numPr>
        <w:rPr>
          <w:szCs w:val="22"/>
        </w:rPr>
      </w:pPr>
      <w:r w:rsidRPr="008B432C">
        <w:rPr>
          <w:szCs w:val="22"/>
        </w:rPr>
        <w:t>Memphis, TN-MS-AR</w:t>
      </w:r>
    </w:p>
    <w:p w14:paraId="24221914" w14:textId="77777777" w:rsidR="00A17E0E" w:rsidRPr="008B432C" w:rsidRDefault="00A17E0E" w:rsidP="008B432C">
      <w:pPr>
        <w:pStyle w:val="ListParagraph"/>
        <w:widowControl/>
        <w:numPr>
          <w:ilvl w:val="0"/>
          <w:numId w:val="31"/>
        </w:numPr>
        <w:rPr>
          <w:szCs w:val="22"/>
        </w:rPr>
      </w:pPr>
      <w:r w:rsidRPr="008B432C">
        <w:rPr>
          <w:szCs w:val="22"/>
        </w:rPr>
        <w:t>Louisville/Jefferson County, KY-IN</w:t>
      </w:r>
    </w:p>
    <w:p w14:paraId="4B28DD2C" w14:textId="77777777" w:rsidR="00A17E0E" w:rsidRPr="008B432C" w:rsidRDefault="00A17E0E" w:rsidP="008B432C">
      <w:pPr>
        <w:pStyle w:val="ListParagraph"/>
        <w:widowControl/>
        <w:numPr>
          <w:ilvl w:val="0"/>
          <w:numId w:val="31"/>
        </w:numPr>
        <w:rPr>
          <w:szCs w:val="22"/>
        </w:rPr>
      </w:pPr>
      <w:r w:rsidRPr="008B432C">
        <w:rPr>
          <w:szCs w:val="22"/>
        </w:rPr>
        <w:t>Richmond, VA</w:t>
      </w:r>
    </w:p>
    <w:p w14:paraId="79B9B0B4" w14:textId="77777777" w:rsidR="00A17E0E" w:rsidRPr="008B432C" w:rsidRDefault="00A17E0E" w:rsidP="008B432C">
      <w:pPr>
        <w:pStyle w:val="ListParagraph"/>
        <w:widowControl/>
        <w:numPr>
          <w:ilvl w:val="0"/>
          <w:numId w:val="31"/>
        </w:numPr>
        <w:rPr>
          <w:szCs w:val="22"/>
        </w:rPr>
      </w:pPr>
      <w:r w:rsidRPr="008B432C">
        <w:rPr>
          <w:szCs w:val="22"/>
        </w:rPr>
        <w:t>Oklahoma City, OK</w:t>
      </w:r>
    </w:p>
    <w:p w14:paraId="63BCF3C8" w14:textId="77777777" w:rsidR="00A17E0E" w:rsidRPr="008B432C" w:rsidRDefault="00A17E0E" w:rsidP="008B432C">
      <w:pPr>
        <w:pStyle w:val="ListParagraph"/>
        <w:widowControl/>
        <w:numPr>
          <w:ilvl w:val="0"/>
          <w:numId w:val="31"/>
        </w:numPr>
        <w:rPr>
          <w:szCs w:val="22"/>
        </w:rPr>
      </w:pPr>
      <w:r w:rsidRPr="008B432C">
        <w:rPr>
          <w:szCs w:val="22"/>
        </w:rPr>
        <w:t>Hartford-West Hartford-East Hartford, CT</w:t>
      </w:r>
    </w:p>
    <w:p w14:paraId="62E12C60" w14:textId="77777777" w:rsidR="00A17E0E" w:rsidRPr="008B432C" w:rsidRDefault="00A17E0E" w:rsidP="008B432C">
      <w:pPr>
        <w:pStyle w:val="ListParagraph"/>
        <w:widowControl/>
        <w:numPr>
          <w:ilvl w:val="0"/>
          <w:numId w:val="31"/>
        </w:numPr>
        <w:rPr>
          <w:szCs w:val="22"/>
        </w:rPr>
      </w:pPr>
      <w:r w:rsidRPr="008B432C">
        <w:rPr>
          <w:szCs w:val="22"/>
        </w:rPr>
        <w:t>New Orleans-Metairie-Kenner, LA</w:t>
      </w:r>
    </w:p>
    <w:p w14:paraId="73704E37" w14:textId="77777777" w:rsidR="00A17E0E" w:rsidRPr="008B432C" w:rsidRDefault="00A17E0E" w:rsidP="008B432C">
      <w:pPr>
        <w:pStyle w:val="ListParagraph"/>
        <w:widowControl/>
        <w:numPr>
          <w:ilvl w:val="0"/>
          <w:numId w:val="31"/>
        </w:numPr>
        <w:rPr>
          <w:szCs w:val="22"/>
        </w:rPr>
      </w:pPr>
      <w:r w:rsidRPr="008B432C">
        <w:rPr>
          <w:szCs w:val="22"/>
        </w:rPr>
        <w:t>Buffalo-Niagara Falls, NY</w:t>
      </w:r>
    </w:p>
    <w:p w14:paraId="36759109" w14:textId="77777777" w:rsidR="00A17E0E" w:rsidRPr="008B432C" w:rsidRDefault="00A17E0E" w:rsidP="008B432C">
      <w:pPr>
        <w:pStyle w:val="ListParagraph"/>
        <w:widowControl/>
        <w:numPr>
          <w:ilvl w:val="0"/>
          <w:numId w:val="31"/>
        </w:numPr>
        <w:rPr>
          <w:szCs w:val="22"/>
        </w:rPr>
      </w:pPr>
      <w:r w:rsidRPr="008B432C">
        <w:rPr>
          <w:szCs w:val="22"/>
        </w:rPr>
        <w:t>Raleigh-Cary, NC</w:t>
      </w:r>
    </w:p>
    <w:p w14:paraId="5749E640" w14:textId="77777777" w:rsidR="00A17E0E" w:rsidRPr="008B432C" w:rsidRDefault="00A17E0E" w:rsidP="008B432C">
      <w:pPr>
        <w:pStyle w:val="ListParagraph"/>
        <w:widowControl/>
        <w:numPr>
          <w:ilvl w:val="0"/>
          <w:numId w:val="31"/>
        </w:numPr>
        <w:rPr>
          <w:szCs w:val="22"/>
        </w:rPr>
      </w:pPr>
      <w:r w:rsidRPr="008B432C">
        <w:rPr>
          <w:szCs w:val="22"/>
        </w:rPr>
        <w:t>Birmingham-Hoover, AL</w:t>
      </w:r>
    </w:p>
    <w:p w14:paraId="320654FA" w14:textId="77777777" w:rsidR="00A17E0E" w:rsidRDefault="00A17E0E" w:rsidP="00E85F2D">
      <w:pPr>
        <w:pStyle w:val="ListParagraph"/>
        <w:widowControl/>
        <w:numPr>
          <w:ilvl w:val="0"/>
          <w:numId w:val="31"/>
        </w:numPr>
        <w:rPr>
          <w:szCs w:val="22"/>
        </w:rPr>
        <w:sectPr w:rsidR="00A17E0E" w:rsidSect="005B5B39">
          <w:footnotePr>
            <w:numRestart w:val="eachSect"/>
          </w:footnotePr>
          <w:endnotePr>
            <w:numFmt w:val="decimal"/>
          </w:endnotePr>
          <w:type w:val="continuous"/>
          <w:pgSz w:w="12240" w:h="15840"/>
          <w:pgMar w:top="1440" w:right="1440" w:bottom="720" w:left="1440" w:header="720" w:footer="720" w:gutter="0"/>
          <w:cols w:num="2" w:space="720"/>
          <w:noEndnote/>
          <w:titlePg/>
        </w:sectPr>
      </w:pPr>
      <w:r w:rsidRPr="008B432C">
        <w:rPr>
          <w:szCs w:val="22"/>
        </w:rPr>
        <w:t>Salt Lake City, UT</w:t>
      </w:r>
    </w:p>
    <w:p w14:paraId="34A458B1" w14:textId="77777777" w:rsidR="00D728E5" w:rsidRDefault="00D728E5" w:rsidP="0099404E">
      <w:pPr>
        <w:widowControl/>
        <w:rPr>
          <w:b/>
          <w:szCs w:val="22"/>
        </w:rPr>
      </w:pPr>
    </w:p>
    <w:p w14:paraId="1FEB572B" w14:textId="77777777" w:rsidR="00D728E5" w:rsidRDefault="00D728E5" w:rsidP="0099404E">
      <w:pPr>
        <w:widowControl/>
        <w:rPr>
          <w:b/>
          <w:szCs w:val="22"/>
        </w:rPr>
      </w:pPr>
    </w:p>
    <w:p w14:paraId="227BD06F" w14:textId="77777777" w:rsidR="00D728E5" w:rsidRDefault="00D728E5" w:rsidP="0099404E">
      <w:pPr>
        <w:widowControl/>
        <w:rPr>
          <w:b/>
          <w:szCs w:val="22"/>
        </w:rPr>
      </w:pPr>
    </w:p>
    <w:p w14:paraId="02F7F491" w14:textId="77777777" w:rsidR="00D728E5" w:rsidRDefault="00D728E5" w:rsidP="0099404E">
      <w:pPr>
        <w:widowControl/>
        <w:rPr>
          <w:b/>
          <w:szCs w:val="22"/>
        </w:rPr>
      </w:pPr>
    </w:p>
    <w:p w14:paraId="3F81BA2E" w14:textId="77777777" w:rsidR="00D728E5" w:rsidRDefault="00D728E5" w:rsidP="0099404E">
      <w:pPr>
        <w:widowControl/>
        <w:rPr>
          <w:sz w:val="20"/>
          <w:szCs w:val="22"/>
          <w:vertAlign w:val="superscript"/>
        </w:rPr>
      </w:pPr>
    </w:p>
    <w:p w14:paraId="6ED05D49" w14:textId="77777777" w:rsidR="00D728E5" w:rsidRDefault="00D728E5" w:rsidP="0099404E">
      <w:pPr>
        <w:widowControl/>
        <w:rPr>
          <w:sz w:val="20"/>
          <w:szCs w:val="22"/>
          <w:vertAlign w:val="superscript"/>
        </w:rPr>
      </w:pPr>
    </w:p>
    <w:p w14:paraId="4A97ACE9" w14:textId="77777777" w:rsidR="00D728E5" w:rsidRDefault="00D728E5" w:rsidP="0099404E">
      <w:pPr>
        <w:widowControl/>
        <w:rPr>
          <w:sz w:val="20"/>
          <w:szCs w:val="22"/>
          <w:vertAlign w:val="superscript"/>
        </w:rPr>
      </w:pPr>
    </w:p>
    <w:p w14:paraId="37D135FF" w14:textId="77777777" w:rsidR="00D728E5" w:rsidRDefault="00D728E5" w:rsidP="0099404E">
      <w:pPr>
        <w:widowControl/>
        <w:rPr>
          <w:sz w:val="20"/>
          <w:szCs w:val="22"/>
          <w:vertAlign w:val="superscript"/>
        </w:rPr>
      </w:pPr>
    </w:p>
    <w:p w14:paraId="701138D2" w14:textId="77777777" w:rsidR="00D728E5" w:rsidRDefault="00D728E5" w:rsidP="0099404E">
      <w:pPr>
        <w:widowControl/>
        <w:rPr>
          <w:sz w:val="20"/>
          <w:szCs w:val="22"/>
          <w:vertAlign w:val="superscript"/>
        </w:rPr>
      </w:pPr>
    </w:p>
    <w:p w14:paraId="5FBDD18A" w14:textId="77777777" w:rsidR="00D728E5" w:rsidRDefault="00D728E5" w:rsidP="0099404E">
      <w:pPr>
        <w:widowControl/>
        <w:rPr>
          <w:sz w:val="20"/>
          <w:szCs w:val="22"/>
          <w:vertAlign w:val="superscript"/>
        </w:rPr>
      </w:pPr>
    </w:p>
    <w:p w14:paraId="101C81B7" w14:textId="77777777" w:rsidR="00D728E5" w:rsidRDefault="00D728E5" w:rsidP="0099404E">
      <w:pPr>
        <w:widowControl/>
        <w:rPr>
          <w:sz w:val="20"/>
          <w:szCs w:val="22"/>
          <w:vertAlign w:val="superscript"/>
        </w:rPr>
      </w:pPr>
    </w:p>
    <w:p w14:paraId="30A8F025" w14:textId="77777777" w:rsidR="00D728E5" w:rsidRDefault="00D728E5" w:rsidP="0099404E">
      <w:pPr>
        <w:widowControl/>
        <w:rPr>
          <w:sz w:val="20"/>
          <w:szCs w:val="22"/>
          <w:vertAlign w:val="superscript"/>
        </w:rPr>
      </w:pPr>
    </w:p>
    <w:p w14:paraId="5C118ACA" w14:textId="77777777" w:rsidR="00D728E5" w:rsidRDefault="00D728E5" w:rsidP="0099404E">
      <w:pPr>
        <w:widowControl/>
        <w:rPr>
          <w:sz w:val="20"/>
          <w:szCs w:val="22"/>
          <w:vertAlign w:val="superscript"/>
        </w:rPr>
      </w:pPr>
    </w:p>
    <w:p w14:paraId="28064EEF" w14:textId="77777777" w:rsidR="00D728E5" w:rsidRDefault="00D728E5" w:rsidP="0099404E">
      <w:pPr>
        <w:widowControl/>
        <w:rPr>
          <w:sz w:val="20"/>
          <w:szCs w:val="22"/>
          <w:vertAlign w:val="superscript"/>
        </w:rPr>
      </w:pPr>
    </w:p>
    <w:p w14:paraId="150F01B7" w14:textId="77777777" w:rsidR="00D728E5" w:rsidRDefault="00D728E5" w:rsidP="0099404E">
      <w:pPr>
        <w:widowControl/>
        <w:rPr>
          <w:sz w:val="20"/>
          <w:szCs w:val="22"/>
          <w:vertAlign w:val="superscript"/>
        </w:rPr>
      </w:pPr>
    </w:p>
    <w:p w14:paraId="7BC1899E" w14:textId="77777777" w:rsidR="00D728E5" w:rsidRDefault="00D728E5" w:rsidP="0099404E">
      <w:pPr>
        <w:widowControl/>
        <w:rPr>
          <w:sz w:val="20"/>
          <w:szCs w:val="22"/>
          <w:vertAlign w:val="superscript"/>
        </w:rPr>
      </w:pPr>
    </w:p>
    <w:p w14:paraId="14FE5350" w14:textId="33EF364C" w:rsidR="007E3DCB" w:rsidRDefault="00D728E5" w:rsidP="005B5B39">
      <w:pPr>
        <w:widowControl/>
        <w:rPr>
          <w:b/>
          <w:szCs w:val="22"/>
        </w:rPr>
      </w:pPr>
      <w:r w:rsidRPr="0099404E">
        <w:rPr>
          <w:sz w:val="20"/>
          <w:szCs w:val="22"/>
          <w:vertAlign w:val="superscript"/>
        </w:rPr>
        <w:t>1</w:t>
      </w:r>
      <w:r>
        <w:rPr>
          <w:szCs w:val="22"/>
          <w:vertAlign w:val="superscript"/>
        </w:rPr>
        <w:t xml:space="preserve">  </w:t>
      </w:r>
      <w:r w:rsidRPr="0099404E">
        <w:rPr>
          <w:i/>
          <w:sz w:val="20"/>
        </w:rPr>
        <w:t>See</w:t>
      </w:r>
      <w:r w:rsidRPr="0099404E">
        <w:rPr>
          <w:sz w:val="20"/>
        </w:rPr>
        <w:t xml:space="preserve"> </w:t>
      </w:r>
      <w:r w:rsidRPr="0099404E">
        <w:rPr>
          <w:smallCaps/>
          <w:sz w:val="20"/>
        </w:rPr>
        <w:t>United States Census Bureau</w:t>
      </w:r>
      <w:r w:rsidRPr="0099404E">
        <w:rPr>
          <w:sz w:val="20"/>
        </w:rPr>
        <w:t xml:space="preserve">, 2012 Statistical Abstract at Table 20, </w:t>
      </w:r>
      <w:r w:rsidRPr="0099404E">
        <w:rPr>
          <w:i/>
          <w:sz w:val="20"/>
        </w:rPr>
        <w:t>available at</w:t>
      </w:r>
      <w:r w:rsidRPr="0099404E">
        <w:rPr>
          <w:sz w:val="20"/>
        </w:rPr>
        <w:t xml:space="preserve"> </w:t>
      </w:r>
      <w:hyperlink r:id="rId21" w:history="1">
        <w:r w:rsidRPr="0099404E">
          <w:rPr>
            <w:rStyle w:val="Hyperlink"/>
            <w:sz w:val="20"/>
          </w:rPr>
          <w:t>http://www.census.gov/compendia/statab/2012/tables/12s0020.pdf</w:t>
        </w:r>
      </w:hyperlink>
      <w:r w:rsidRPr="0099404E">
        <w:rPr>
          <w:sz w:val="20"/>
        </w:rPr>
        <w:t xml:space="preserve"> (last visited Jan. 29, 2015)</w:t>
      </w:r>
    </w:p>
    <w:p w14:paraId="4AC95ED2" w14:textId="77777777" w:rsidR="00D728E5" w:rsidRDefault="00D728E5" w:rsidP="00EC5135">
      <w:pPr>
        <w:widowControl/>
        <w:jc w:val="center"/>
        <w:rPr>
          <w:b/>
          <w:szCs w:val="22"/>
        </w:rPr>
      </w:pPr>
    </w:p>
    <w:p w14:paraId="5669C360" w14:textId="0937A80B" w:rsidR="00EC5135" w:rsidRDefault="00EC5135" w:rsidP="00EC5135">
      <w:pPr>
        <w:widowControl/>
        <w:jc w:val="center"/>
        <w:rPr>
          <w:b/>
          <w:szCs w:val="22"/>
        </w:rPr>
      </w:pPr>
      <w:r>
        <w:rPr>
          <w:b/>
          <w:szCs w:val="22"/>
        </w:rPr>
        <w:t xml:space="preserve">APPENDIX </w:t>
      </w:r>
      <w:r w:rsidR="007E3DCB">
        <w:rPr>
          <w:b/>
          <w:szCs w:val="22"/>
        </w:rPr>
        <w:t>C</w:t>
      </w:r>
    </w:p>
    <w:p w14:paraId="32790F25" w14:textId="77777777" w:rsidR="00EC5135" w:rsidRDefault="00EC5135" w:rsidP="00EC5135">
      <w:pPr>
        <w:widowControl/>
        <w:jc w:val="center"/>
        <w:rPr>
          <w:b/>
          <w:szCs w:val="22"/>
        </w:rPr>
      </w:pPr>
    </w:p>
    <w:p w14:paraId="6946CD0A" w14:textId="77777777" w:rsidR="00EC5135" w:rsidRDefault="00EC5135" w:rsidP="00EC5135">
      <w:pPr>
        <w:widowControl/>
        <w:jc w:val="center"/>
        <w:rPr>
          <w:b/>
          <w:szCs w:val="22"/>
        </w:rPr>
      </w:pPr>
      <w:r>
        <w:rPr>
          <w:b/>
          <w:szCs w:val="22"/>
        </w:rPr>
        <w:t>Final Regulatory Flexibility Analysis</w:t>
      </w:r>
    </w:p>
    <w:p w14:paraId="5C34E73A" w14:textId="77777777" w:rsidR="00EC5135" w:rsidRDefault="00EC5135" w:rsidP="00EC5135">
      <w:pPr>
        <w:widowControl/>
        <w:jc w:val="center"/>
        <w:rPr>
          <w:b/>
          <w:szCs w:val="22"/>
        </w:rPr>
      </w:pPr>
    </w:p>
    <w:p w14:paraId="749779CD" w14:textId="77777777" w:rsidR="00EC5135" w:rsidRPr="00607836" w:rsidRDefault="00EC5135" w:rsidP="00EE2E1F">
      <w:pPr>
        <w:pStyle w:val="ParaNum"/>
        <w:numPr>
          <w:ilvl w:val="0"/>
          <w:numId w:val="5"/>
        </w:numPr>
        <w:tabs>
          <w:tab w:val="clear" w:pos="1080"/>
        </w:tabs>
      </w:pPr>
      <w:r w:rsidRPr="00607836">
        <w:t xml:space="preserve">As </w:t>
      </w:r>
      <w:r w:rsidRPr="007E04F3">
        <w:rPr>
          <w:bCs/>
          <w:color w:val="000000"/>
        </w:rPr>
        <w:t>required</w:t>
      </w:r>
      <w:r w:rsidRPr="00607836">
        <w:t xml:space="preserve"> by the Regulatory Flexibility Act of 1980, as amended (RFA),</w:t>
      </w:r>
      <w:r>
        <w:rPr>
          <w:rStyle w:val="FootnoteReference"/>
        </w:rPr>
        <w:footnoteReference w:id="522"/>
      </w:r>
      <w:r w:rsidRPr="00607836">
        <w:t xml:space="preserve"> an Initial Regulatory Flexibility Analysis (IRFA) was incorporated in</w:t>
      </w:r>
      <w:r>
        <w:t>to</w:t>
      </w:r>
      <w:r w:rsidRPr="00607836">
        <w:t xml:space="preserve"> the </w:t>
      </w:r>
      <w:r>
        <w:rPr>
          <w:i/>
        </w:rPr>
        <w:t xml:space="preserve">Third Further </w:t>
      </w:r>
      <w:r w:rsidRPr="007E04F3">
        <w:rPr>
          <w:i/>
        </w:rPr>
        <w:t>Notice of Proposed Rule</w:t>
      </w:r>
      <w:r>
        <w:rPr>
          <w:i/>
        </w:rPr>
        <w:t>m</w:t>
      </w:r>
      <w:r w:rsidRPr="007E04F3">
        <w:rPr>
          <w:i/>
        </w:rPr>
        <w:t>aking</w:t>
      </w:r>
      <w:r>
        <w:t xml:space="preserve"> in this proceeding</w:t>
      </w:r>
      <w:r w:rsidRPr="00607836">
        <w:t>.</w:t>
      </w:r>
      <w:r>
        <w:rPr>
          <w:rStyle w:val="FootnoteReference"/>
        </w:rPr>
        <w:footnoteReference w:id="523"/>
      </w:r>
      <w:r w:rsidRPr="00607836">
        <w:t xml:space="preserve">  The Commission sought written public comment on the proposals in the Notice, including comment on the IRFA.  </w:t>
      </w:r>
      <w:r>
        <w:t>Any</w:t>
      </w:r>
      <w:r w:rsidRPr="00607836">
        <w:t xml:space="preserve"> comments received are discussed below.  This present Final Regulatory Flexibility Analysis (FRFA) conforms to the RFA.</w:t>
      </w:r>
      <w:r>
        <w:rPr>
          <w:rStyle w:val="FootnoteReference"/>
        </w:rPr>
        <w:footnoteReference w:id="524"/>
      </w:r>
      <w:r w:rsidRPr="00607836">
        <w:t xml:space="preserve">  </w:t>
      </w:r>
    </w:p>
    <w:p w14:paraId="7228B697" w14:textId="77777777" w:rsidR="00EC5135" w:rsidRDefault="00EC5135" w:rsidP="00EC5135">
      <w:pPr>
        <w:pStyle w:val="Heading2"/>
        <w:numPr>
          <w:ilvl w:val="1"/>
          <w:numId w:val="7"/>
        </w:numPr>
      </w:pPr>
      <w:bookmarkStart w:id="772" w:name="_Toc408421345"/>
      <w:bookmarkStart w:id="773" w:name="_Toc408490594"/>
      <w:bookmarkStart w:id="774" w:name="_Toc408496232"/>
      <w:bookmarkStart w:id="775" w:name="_Toc408502433"/>
      <w:bookmarkStart w:id="776" w:name="_Toc410119105"/>
      <w:bookmarkStart w:id="777" w:name="_Toc410123684"/>
      <w:bookmarkStart w:id="778" w:name="_Toc410124666"/>
      <w:bookmarkStart w:id="779" w:name="_Toc410124746"/>
      <w:bookmarkStart w:id="780" w:name="_Toc410146140"/>
      <w:bookmarkStart w:id="781" w:name="_Toc410212664"/>
      <w:bookmarkStart w:id="782" w:name="_Toc410648305"/>
      <w:r w:rsidRPr="00607836">
        <w:t>Need for, and Objectives of, the</w:t>
      </w:r>
      <w:r>
        <w:t xml:space="preserve"> Rules Adopted</w:t>
      </w:r>
      <w:bookmarkEnd w:id="772"/>
      <w:bookmarkEnd w:id="773"/>
      <w:bookmarkEnd w:id="774"/>
      <w:bookmarkEnd w:id="775"/>
      <w:bookmarkEnd w:id="776"/>
      <w:bookmarkEnd w:id="777"/>
      <w:bookmarkEnd w:id="778"/>
      <w:bookmarkEnd w:id="779"/>
      <w:bookmarkEnd w:id="780"/>
      <w:bookmarkEnd w:id="781"/>
      <w:bookmarkEnd w:id="782"/>
    </w:p>
    <w:p w14:paraId="1EF1A848" w14:textId="77777777" w:rsidR="00EC5135" w:rsidRPr="006B6E05" w:rsidRDefault="00EC5135" w:rsidP="00EE2E1F">
      <w:pPr>
        <w:pStyle w:val="ParaNum"/>
        <w:tabs>
          <w:tab w:val="clear" w:pos="1440"/>
        </w:tabs>
        <w:rPr>
          <w:szCs w:val="22"/>
        </w:rPr>
      </w:pPr>
      <w:r w:rsidRPr="006B6E05">
        <w:rPr>
          <w:szCs w:val="22"/>
        </w:rPr>
        <w:t xml:space="preserve">In this </w:t>
      </w:r>
      <w:r w:rsidRPr="006B6E05">
        <w:rPr>
          <w:i/>
          <w:szCs w:val="22"/>
        </w:rPr>
        <w:t>Fourth Report and Order</w:t>
      </w:r>
      <w:r w:rsidRPr="006B6E05">
        <w:rPr>
          <w:szCs w:val="22"/>
        </w:rPr>
        <w:t xml:space="preserve">, the Commission adopts measures that will significantly enhance the ability of Public Safety Answering Points (PSAPs) to accurately identify the location of wireless 911 callers when the caller is located indoors, and strengthen existing E911 location accuracy rules to improve location determination for outdoor as well as indoor calls.  These actions respond to major changes in the wireless landscape since the Commission first adopted its wireless Enhanced 911 (E911) location accuracy rules in 1996 and since the last significant revision of these rules in 2010.  As consumers increasingly replace traditional landline telephony with wireless phones, a majority of wireless calls are now made indoors, increasing the likelihood that wireless 911 calls will come from indoor environments where traditional location accuracy technologies optimized for outdoor calling often do not work effectively or at all.  A significant objective of this proceeding is to close the gap between the performance of 911 calls made from outdoors with similar </w:t>
      </w:r>
      <w:r>
        <w:rPr>
          <w:szCs w:val="22"/>
        </w:rPr>
        <w:t>calls made indoors.</w:t>
      </w:r>
    </w:p>
    <w:p w14:paraId="37D19B83" w14:textId="157D9AF8" w:rsidR="00EC5135" w:rsidRPr="007E0D5C" w:rsidRDefault="00EC5135" w:rsidP="00646595">
      <w:pPr>
        <w:pStyle w:val="ParaNum"/>
        <w:widowControl/>
        <w:tabs>
          <w:tab w:val="clear" w:pos="1440"/>
        </w:tabs>
      </w:pPr>
      <w:r w:rsidRPr="001511FD">
        <w:rPr>
          <w:szCs w:val="22"/>
        </w:rPr>
        <w:t xml:space="preserve">The Commission adopts rules applicable to CMRS providers that reflect technical feasibility and are technologically neutral, so that providers can choose the most effective solutions from a range of options.  Further, the rules allow sufficient time for development of applicable standards, establishment of testing mechanisms, and deployment of new location technology in both handsets and networks, on timeframes that account for the ability of PSAPs to process enhancements in the location data they receive.  In determining the appropriate balance to strike </w:t>
      </w:r>
      <w:r>
        <w:rPr>
          <w:szCs w:val="22"/>
        </w:rPr>
        <w:t>between its</w:t>
      </w:r>
      <w:r w:rsidRPr="001511FD">
        <w:rPr>
          <w:szCs w:val="22"/>
        </w:rPr>
        <w:t xml:space="preserve"> requirements and timeframes, </w:t>
      </w:r>
      <w:r>
        <w:rPr>
          <w:szCs w:val="22"/>
        </w:rPr>
        <w:t>the Commission gave</w:t>
      </w:r>
      <w:r w:rsidRPr="001511FD">
        <w:rPr>
          <w:szCs w:val="22"/>
        </w:rPr>
        <w:t xml:space="preserve"> significant weight to the “Roadmap for Improving E911 Location Accuracy” (Roadmap) that was agreed to in November 2014 by the Association of Public Safety Communications Officials (APCO), the National Emergency Number Association (NENA), and the four national wireless CMRS providers</w:t>
      </w:r>
      <w:r>
        <w:rPr>
          <w:szCs w:val="22"/>
        </w:rPr>
        <w:t>,</w:t>
      </w:r>
      <w:r>
        <w:rPr>
          <w:rStyle w:val="FootnoteReference"/>
          <w:szCs w:val="22"/>
        </w:rPr>
        <w:footnoteReference w:id="525"/>
      </w:r>
      <w:r>
        <w:rPr>
          <w:szCs w:val="22"/>
        </w:rPr>
        <w:t xml:space="preserve"> as well as the “</w:t>
      </w:r>
      <w:r w:rsidRPr="00840EF7">
        <w:rPr>
          <w:szCs w:val="22"/>
        </w:rPr>
        <w:t>Parallel Path for Competitive Carriers’ Improvement of E911 Location Accuracy Standards” (“Parallel Path”) that was submitted by the Competitive Carriers Association (CCA).</w:t>
      </w:r>
      <w:r>
        <w:rPr>
          <w:rStyle w:val="FootnoteReference"/>
          <w:szCs w:val="22"/>
        </w:rPr>
        <w:footnoteReference w:id="526"/>
      </w:r>
      <w:r w:rsidRPr="00840EF7">
        <w:rPr>
          <w:szCs w:val="22"/>
        </w:rPr>
        <w:t xml:space="preserve"> </w:t>
      </w:r>
      <w:r w:rsidRPr="001511FD">
        <w:rPr>
          <w:szCs w:val="22"/>
        </w:rPr>
        <w:t xml:space="preserve"> </w:t>
      </w:r>
      <w:r>
        <w:rPr>
          <w:szCs w:val="22"/>
        </w:rPr>
        <w:t xml:space="preserve">At the same time, in order </w:t>
      </w:r>
      <w:r w:rsidRPr="001511FD">
        <w:rPr>
          <w:szCs w:val="22"/>
        </w:rPr>
        <w:t xml:space="preserve">to provide greater certainty and accountability in areas that the </w:t>
      </w:r>
      <w:r>
        <w:rPr>
          <w:szCs w:val="22"/>
        </w:rPr>
        <w:t xml:space="preserve">Amended </w:t>
      </w:r>
      <w:r w:rsidRPr="001511FD">
        <w:rPr>
          <w:szCs w:val="22"/>
        </w:rPr>
        <w:t xml:space="preserve">Roadmap does not fully address, the rules </w:t>
      </w:r>
      <w:r>
        <w:rPr>
          <w:szCs w:val="22"/>
        </w:rPr>
        <w:t xml:space="preserve">incorporate </w:t>
      </w:r>
      <w:r w:rsidRPr="001511FD">
        <w:rPr>
          <w:szCs w:val="22"/>
        </w:rPr>
        <w:t xml:space="preserve">“backstop” requirements derived from </w:t>
      </w:r>
      <w:r>
        <w:rPr>
          <w:szCs w:val="22"/>
        </w:rPr>
        <w:t>the Commission’s</w:t>
      </w:r>
      <w:r w:rsidRPr="001511FD">
        <w:rPr>
          <w:szCs w:val="22"/>
        </w:rPr>
        <w:t xml:space="preserve"> original proposals in the </w:t>
      </w:r>
      <w:r w:rsidRPr="001511FD">
        <w:rPr>
          <w:i/>
          <w:szCs w:val="22"/>
        </w:rPr>
        <w:t>Third Further Notice</w:t>
      </w:r>
      <w:r>
        <w:rPr>
          <w:i/>
          <w:szCs w:val="22"/>
        </w:rPr>
        <w:t>.</w:t>
      </w:r>
    </w:p>
    <w:p w14:paraId="7F47C3C2" w14:textId="77777777" w:rsidR="00EC5135" w:rsidRPr="00F569C7" w:rsidRDefault="00EC5135" w:rsidP="00EE2E1F">
      <w:pPr>
        <w:pStyle w:val="ParaNum"/>
        <w:tabs>
          <w:tab w:val="clear" w:pos="1440"/>
        </w:tabs>
      </w:pPr>
      <w:r>
        <w:t>The rules the Commission adopts are designed to increase indoor location accuracy in a commercially reasonable manner by leveraging many aspects of the Amended Roadmap.  They do not change, or seek to change, the commitment that the four nationwide CMRS providers voluntarily entered into and have already made progress towards.   The Amended Roadmap is intended to build confidence in the technical solutions outlined therein, and it establishes clear milestones to gauge progress and ensure that if the signatory parties fail to deliver on their commitments, there is clear accountability for the integrity of location accuracy using metrics adopted at earlier stages in this proceeding. The rules the Commission adopts are in addition to, not a replacement of, its existing E911 location rules applicable to outdoor calls, which remain in effect, unless otherwise amended herein.  In</w:t>
      </w:r>
      <w:r w:rsidRPr="001511FD">
        <w:rPr>
          <w:szCs w:val="22"/>
        </w:rPr>
        <w:t xml:space="preserve"> establishing these requirements, </w:t>
      </w:r>
      <w:r>
        <w:rPr>
          <w:szCs w:val="22"/>
        </w:rPr>
        <w:t xml:space="preserve">the Commission’s </w:t>
      </w:r>
      <w:r w:rsidRPr="001511FD">
        <w:rPr>
          <w:szCs w:val="22"/>
        </w:rPr>
        <w:t>objective is that all Americans using mobile</w:t>
      </w:r>
      <w:r w:rsidRPr="007E0D5C">
        <w:t xml:space="preserve"> phones – whether they are calling from urban or rural areas, from indoors or outdoors – have technology that is functionally capable of providing accurate location information so that they receive the support they need in times of emergency.  </w:t>
      </w:r>
    </w:p>
    <w:p w14:paraId="7F2DDB24" w14:textId="77777777" w:rsidR="00EC5135" w:rsidRPr="00607836" w:rsidRDefault="00EC5135" w:rsidP="00EC5135">
      <w:pPr>
        <w:pStyle w:val="Heading2"/>
      </w:pPr>
      <w:bookmarkStart w:id="783" w:name="_Toc408421346"/>
      <w:bookmarkStart w:id="784" w:name="_Toc408490595"/>
      <w:bookmarkStart w:id="785" w:name="_Toc408496233"/>
      <w:bookmarkStart w:id="786" w:name="_Toc408502434"/>
      <w:bookmarkStart w:id="787" w:name="_Toc410119106"/>
      <w:bookmarkStart w:id="788" w:name="_Toc410123685"/>
      <w:bookmarkStart w:id="789" w:name="_Toc410124667"/>
      <w:bookmarkStart w:id="790" w:name="_Toc410124747"/>
      <w:bookmarkStart w:id="791" w:name="_Toc410146141"/>
      <w:bookmarkStart w:id="792" w:name="_Toc410212665"/>
      <w:bookmarkStart w:id="793" w:name="_Toc410648306"/>
      <w:r w:rsidRPr="00607836">
        <w:t>Summary of Significant Issues Raised by Public Comments in Response to the IRFA</w:t>
      </w:r>
      <w:bookmarkEnd w:id="783"/>
      <w:bookmarkEnd w:id="784"/>
      <w:bookmarkEnd w:id="785"/>
      <w:bookmarkEnd w:id="786"/>
      <w:bookmarkEnd w:id="787"/>
      <w:bookmarkEnd w:id="788"/>
      <w:bookmarkEnd w:id="789"/>
      <w:bookmarkEnd w:id="790"/>
      <w:bookmarkEnd w:id="791"/>
      <w:bookmarkEnd w:id="792"/>
      <w:bookmarkEnd w:id="793"/>
    </w:p>
    <w:p w14:paraId="1D3CE30D" w14:textId="7859C848" w:rsidR="00EC5135" w:rsidRDefault="00EC5135" w:rsidP="00EE2E1F">
      <w:pPr>
        <w:pStyle w:val="ParaNum"/>
        <w:tabs>
          <w:tab w:val="clear" w:pos="1440"/>
        </w:tabs>
      </w:pPr>
      <w:r w:rsidRPr="00607836">
        <w:t xml:space="preserve">No comments were submitted specifically in response to the IRFA.  </w:t>
      </w:r>
      <w:r>
        <w:t xml:space="preserve">Nevertheless, small and rural CMRS providers suggested that compliance with the rules (as proposed in both the </w:t>
      </w:r>
      <w:r w:rsidRPr="000E0D97">
        <w:rPr>
          <w:i/>
        </w:rPr>
        <w:t>Third Further Notice</w:t>
      </w:r>
      <w:r>
        <w:t xml:space="preserve"> and the Roadmap) could be burdensome: </w:t>
      </w:r>
    </w:p>
    <w:p w14:paraId="43DF1DA6" w14:textId="77777777" w:rsidR="00EC5135" w:rsidRPr="000E0D97" w:rsidRDefault="00EC5135" w:rsidP="00EC5135">
      <w:pPr>
        <w:pStyle w:val="ParaNum"/>
        <w:numPr>
          <w:ilvl w:val="0"/>
          <w:numId w:val="8"/>
        </w:numPr>
      </w:pPr>
      <w:r w:rsidRPr="00636B09">
        <w:rPr>
          <w:szCs w:val="22"/>
        </w:rPr>
        <w:t xml:space="preserve">Blooston </w:t>
      </w:r>
      <w:r>
        <w:rPr>
          <w:szCs w:val="22"/>
        </w:rPr>
        <w:t>believes</w:t>
      </w:r>
      <w:r w:rsidRPr="00636B09">
        <w:rPr>
          <w:szCs w:val="22"/>
        </w:rPr>
        <w:t xml:space="preserve"> “that substantial investments in new E911 equipment that small rural carriers will be required to make in order to comply with the proposed new E911 requirements will soon become unrecoverable stranded investments when NG911 technology is deployed.”</w:t>
      </w:r>
      <w:r w:rsidRPr="008B60AE">
        <w:rPr>
          <w:rStyle w:val="FootnoteReference"/>
          <w:szCs w:val="22"/>
        </w:rPr>
        <w:footnoteReference w:id="527"/>
      </w:r>
      <w:r w:rsidRPr="00636B09">
        <w:rPr>
          <w:szCs w:val="22"/>
        </w:rPr>
        <w:t xml:space="preserve">  </w:t>
      </w:r>
    </w:p>
    <w:p w14:paraId="61813E6C" w14:textId="77777777" w:rsidR="00EC5135" w:rsidRPr="00492FBD" w:rsidRDefault="00EC5135" w:rsidP="00EC5135">
      <w:pPr>
        <w:pStyle w:val="ParaNum"/>
        <w:numPr>
          <w:ilvl w:val="0"/>
          <w:numId w:val="8"/>
        </w:numPr>
      </w:pPr>
      <w:r>
        <w:t>CCA is concerned that small and rural CMRS providers may not hold licenses for spectrum or otherwise operate in the single location defined implied in the Roadmap and will thus be forced to commit to individualized testing of a particular heightened location accuracy technology should it utilize any component of their network (such as an RF-based technology), possibly placing a substantial burden on these smaller CMRS providers.</w:t>
      </w:r>
      <w:r>
        <w:rPr>
          <w:rStyle w:val="FootnoteReference"/>
        </w:rPr>
        <w:footnoteReference w:id="528"/>
      </w:r>
    </w:p>
    <w:p w14:paraId="36449C43" w14:textId="77777777" w:rsidR="00EC5135" w:rsidRDefault="00EC5135" w:rsidP="00EC5135">
      <w:pPr>
        <w:pStyle w:val="ParaNum"/>
        <w:numPr>
          <w:ilvl w:val="0"/>
          <w:numId w:val="8"/>
        </w:numPr>
      </w:pPr>
      <w:r>
        <w:t xml:space="preserve">Several small and regional CMRS providers argue that it would also be appropriate either to </w:t>
      </w:r>
      <w:r w:rsidRPr="00C938A6">
        <w:t>exclude</w:t>
      </w:r>
      <w:r>
        <w:t xml:space="preserve"> rural areas from indoor location accuracy requirements, or to phase-in any requirements.</w:t>
      </w:r>
      <w:r>
        <w:rPr>
          <w:rStyle w:val="FootnoteReference"/>
        </w:rPr>
        <w:footnoteReference w:id="529"/>
      </w:r>
      <w:r>
        <w:t xml:space="preserve">  </w:t>
      </w:r>
    </w:p>
    <w:p w14:paraId="012B86D1" w14:textId="77777777" w:rsidR="00EC5135" w:rsidRDefault="00EC5135" w:rsidP="00EC5135">
      <w:pPr>
        <w:pStyle w:val="ParaNum"/>
        <w:numPr>
          <w:ilvl w:val="0"/>
          <w:numId w:val="8"/>
        </w:numPr>
      </w:pPr>
      <w:r>
        <w:t>Regarding technology-specific costs, Rx Networks proposes establishment of a central and standardized service to process location requests.  Such a clearinghouse solution would entail a base station almanac of Cell-IDs and Wi-Fi access point locations, and cost-effective provisioning of A-GNSS and barometric pressure data among CMRS providers, which could bridge technical gaps while minimizing capital outlays.</w:t>
      </w:r>
      <w:r>
        <w:rPr>
          <w:rStyle w:val="FootnoteReference"/>
        </w:rPr>
        <w:footnoteReference w:id="530"/>
      </w:r>
    </w:p>
    <w:p w14:paraId="7DDFB68C" w14:textId="77777777" w:rsidR="00EC5135" w:rsidRDefault="00EC5135" w:rsidP="00EE2E1F">
      <w:pPr>
        <w:pStyle w:val="ParaNum"/>
        <w:widowControl/>
        <w:numPr>
          <w:ilvl w:val="0"/>
          <w:numId w:val="8"/>
        </w:numPr>
      </w:pPr>
      <w:r>
        <w:t>Small and rural CMRS providers generally believe that live 911 call tracking and reporting will be overly burdensome for them.</w:t>
      </w:r>
      <w:r>
        <w:rPr>
          <w:rStyle w:val="FootnoteReference"/>
        </w:rPr>
        <w:footnoteReference w:id="531"/>
      </w:r>
    </w:p>
    <w:p w14:paraId="0A6B02AA" w14:textId="77777777" w:rsidR="00EC5135" w:rsidRDefault="00EC5135" w:rsidP="00EC5135">
      <w:pPr>
        <w:pStyle w:val="ParaNum"/>
        <w:numPr>
          <w:ilvl w:val="0"/>
          <w:numId w:val="8"/>
        </w:numPr>
      </w:pPr>
      <w:r>
        <w:t>Regarding outdoor compliance and reporting, RWA and CCA oppose periodic testing as burdensome on small rural CMRS providers,</w:t>
      </w:r>
      <w:r>
        <w:rPr>
          <w:rStyle w:val="FootnoteReference"/>
        </w:rPr>
        <w:footnoteReference w:id="532"/>
      </w:r>
      <w:r>
        <w:t xml:space="preserve"> but both agree that periodic testing is appropriate in case of substantial network changes.</w:t>
      </w:r>
      <w:r>
        <w:rPr>
          <w:rStyle w:val="FootnoteReference"/>
        </w:rPr>
        <w:footnoteReference w:id="533"/>
      </w:r>
      <w:r>
        <w:t xml:space="preserve"> </w:t>
      </w:r>
    </w:p>
    <w:p w14:paraId="4651DEB1" w14:textId="77777777" w:rsidR="00EC5135" w:rsidRDefault="00EC5135" w:rsidP="00EC5135">
      <w:pPr>
        <w:pStyle w:val="ParaNum"/>
        <w:numPr>
          <w:ilvl w:val="0"/>
          <w:numId w:val="8"/>
        </w:numPr>
      </w:pPr>
      <w:r>
        <w:t>SouthernLINC Wireless believes that any delays in implementing any adopted rules by the nationwide carriers will necessarily create downstream delays for regional and rural carriers that are beyond the smaller carriers’ control.</w:t>
      </w:r>
      <w:r>
        <w:rPr>
          <w:rStyle w:val="FootnoteReference"/>
        </w:rPr>
        <w:footnoteReference w:id="534"/>
      </w:r>
    </w:p>
    <w:p w14:paraId="4DD90936" w14:textId="77777777" w:rsidR="00EC5135" w:rsidRPr="00671AB8" w:rsidRDefault="00EC5135" w:rsidP="00EC5135">
      <w:pPr>
        <w:pStyle w:val="Heading2"/>
      </w:pPr>
      <w:bookmarkStart w:id="794" w:name="_Toc408421347"/>
      <w:bookmarkStart w:id="795" w:name="_Toc408490596"/>
      <w:bookmarkStart w:id="796" w:name="_Toc408496234"/>
      <w:bookmarkStart w:id="797" w:name="_Toc408502435"/>
      <w:bookmarkStart w:id="798" w:name="_Toc410119107"/>
      <w:bookmarkStart w:id="799" w:name="_Toc410123686"/>
      <w:bookmarkStart w:id="800" w:name="_Toc410124668"/>
      <w:bookmarkStart w:id="801" w:name="_Toc410124748"/>
      <w:bookmarkStart w:id="802" w:name="_Toc410146142"/>
      <w:bookmarkStart w:id="803" w:name="_Toc410212666"/>
      <w:bookmarkStart w:id="804" w:name="_Toc410648307"/>
      <w:r w:rsidRPr="00671AB8">
        <w:t>Description and Estimate of the Number of Small Entities to Which Rules Will Apply</w:t>
      </w:r>
      <w:bookmarkEnd w:id="794"/>
      <w:bookmarkEnd w:id="795"/>
      <w:bookmarkEnd w:id="796"/>
      <w:bookmarkEnd w:id="797"/>
      <w:bookmarkEnd w:id="798"/>
      <w:bookmarkEnd w:id="799"/>
      <w:bookmarkEnd w:id="800"/>
      <w:bookmarkEnd w:id="801"/>
      <w:bookmarkEnd w:id="802"/>
      <w:bookmarkEnd w:id="803"/>
      <w:bookmarkEnd w:id="804"/>
    </w:p>
    <w:p w14:paraId="1A433F73" w14:textId="77777777" w:rsidR="00EC5135" w:rsidRDefault="00EC5135" w:rsidP="00EE2E1F">
      <w:pPr>
        <w:pStyle w:val="ParaNum"/>
        <w:tabs>
          <w:tab w:val="clear" w:pos="1440"/>
        </w:tabs>
        <w:rPr>
          <w:color w:val="000000"/>
        </w:rPr>
      </w:pPr>
      <w:r>
        <w:t>The RFA directs agencies to provide a description of and, where feasible, an estimate of the number of small entities that may be affected by the proposed rules.</w:t>
      </w:r>
      <w:r>
        <w:rPr>
          <w:rStyle w:val="FootnoteReference"/>
          <w:szCs w:val="22"/>
        </w:rPr>
        <w:footnoteReference w:id="535"/>
      </w:r>
      <w:r>
        <w:t xml:space="preserve">  The RFA generally defines the term “small entity” as having the same </w:t>
      </w:r>
      <w:r>
        <w:rPr>
          <w:iCs/>
        </w:rPr>
        <w:t>meaning</w:t>
      </w:r>
      <w:r>
        <w:t xml:space="preserve"> as the terms “small business,” “small organization,” and “small governmental jurisdiction.”</w:t>
      </w:r>
      <w:r>
        <w:rPr>
          <w:rStyle w:val="FootnoteReference"/>
          <w:szCs w:val="22"/>
        </w:rPr>
        <w:footnoteReference w:id="536"/>
      </w:r>
      <w:r>
        <w:t xml:space="preserve">  In addition, the term “small business” has the same meaning as the term “small business concern” under the Small Business Act.</w:t>
      </w:r>
      <w:r>
        <w:rPr>
          <w:rStyle w:val="FootnoteReference"/>
          <w:szCs w:val="22"/>
        </w:rPr>
        <w:footnoteReference w:id="537"/>
      </w:r>
      <w:r>
        <w:t xml:space="preserve">  A small business concern is one which: (1) is independently owned and operated; (2) is not dominant in its field of operation; and (3) satisfies any additional criteria established by the Small Business Administration (SBA).</w:t>
      </w:r>
      <w:r>
        <w:rPr>
          <w:rStyle w:val="FootnoteReference"/>
          <w:szCs w:val="22"/>
        </w:rPr>
        <w:footnoteReference w:id="538"/>
      </w:r>
    </w:p>
    <w:p w14:paraId="20E5E8A9" w14:textId="77777777" w:rsidR="00EC5135" w:rsidRDefault="00EC5135" w:rsidP="00EE2E1F">
      <w:pPr>
        <w:pStyle w:val="ParaNum"/>
        <w:tabs>
          <w:tab w:val="clear" w:pos="1440"/>
        </w:tabs>
      </w:pPr>
      <w:r>
        <w:rPr>
          <w:i/>
        </w:rPr>
        <w:t>Small Businesses, Small Organizations, and Small Governmental Jurisdictions</w:t>
      </w:r>
      <w:r>
        <w:t>.  Our action may, over time, affect small entities that are not easily categorized at present.  We therefore describe here, at the outset, three comprehensive, statutory small entity size standards.</w:t>
      </w:r>
      <w:r>
        <w:rPr>
          <w:rStyle w:val="FootnoteReference"/>
          <w:szCs w:val="22"/>
        </w:rPr>
        <w:footnoteReference w:id="539"/>
      </w:r>
      <w:r>
        <w:t xml:space="preserve">  First, nationwide, there are a total of approximately 27.9 million small businesses, according to the SBA.</w:t>
      </w:r>
      <w:r>
        <w:rPr>
          <w:rStyle w:val="FootnoteReference"/>
          <w:szCs w:val="22"/>
        </w:rPr>
        <w:footnoteReference w:id="540"/>
      </w:r>
      <w:r>
        <w:t xml:space="preserve">  In addition, a “small organization” is generally “any not-for-profit enterprise which is independently owned and operated and is not dominant in its field.”</w:t>
      </w:r>
      <w:r>
        <w:rPr>
          <w:rStyle w:val="FootnoteReference"/>
          <w:iCs/>
          <w:szCs w:val="22"/>
        </w:rPr>
        <w:footnoteReference w:id="541"/>
      </w:r>
      <w:r>
        <w:t xml:space="preserve">  Nationwide, as of </w:t>
      </w:r>
      <w:r>
        <w:rPr>
          <w:iCs/>
        </w:rPr>
        <w:t>2007</w:t>
      </w:r>
      <w:r>
        <w:t>, there were approximately 1</w:t>
      </w:r>
      <w:r>
        <w:rPr>
          <w:iCs/>
        </w:rPr>
        <w:t>,621,315</w:t>
      </w:r>
      <w:r>
        <w:t xml:space="preserve"> small organizations.</w:t>
      </w:r>
      <w:r>
        <w:rPr>
          <w:rStyle w:val="FootnoteReference"/>
          <w:iCs/>
          <w:szCs w:val="22"/>
        </w:rPr>
        <w:footnoteReference w:id="542"/>
      </w:r>
      <w:r>
        <w:t xml:space="preserve">  </w:t>
      </w:r>
      <w:r>
        <w:rPr>
          <w:iCs/>
        </w:rPr>
        <w:t>Finally, the</w:t>
      </w:r>
      <w:r>
        <w:t xml:space="preserve"> term “small governmental jurisdiction” is defined generally as “governments of cities, towns, townships, villages, school districts, or special districts, with a population of less than fifty thousand.”</w:t>
      </w:r>
      <w:r>
        <w:rPr>
          <w:rStyle w:val="FootnoteReference"/>
          <w:iCs/>
          <w:szCs w:val="22"/>
        </w:rPr>
        <w:footnoteReference w:id="543"/>
      </w:r>
      <w:r>
        <w:t xml:space="preserve">  Census Bureau data for </w:t>
      </w:r>
      <w:r>
        <w:rPr>
          <w:iCs/>
        </w:rPr>
        <w:t>2011</w:t>
      </w:r>
      <w:r>
        <w:t xml:space="preserve"> indicate that there were 89,476 local governmental jurisdictions in the United States.</w:t>
      </w:r>
      <w:r>
        <w:rPr>
          <w:rStyle w:val="FootnoteReference"/>
          <w:szCs w:val="22"/>
        </w:rPr>
        <w:footnoteReference w:id="544"/>
      </w:r>
      <w:r>
        <w:t xml:space="preserve">  We estimate that, of this total, as many as 88,506 entities may qualify as “small governmental jurisdictions.”</w:t>
      </w:r>
      <w:r>
        <w:rPr>
          <w:rStyle w:val="FootnoteReference"/>
          <w:szCs w:val="22"/>
        </w:rPr>
        <w:footnoteReference w:id="545"/>
      </w:r>
      <w:r>
        <w:t xml:space="preserve">  Thus, we estimate that most governmental jurisdictions are small.</w:t>
      </w:r>
    </w:p>
    <w:p w14:paraId="2F1B529E" w14:textId="77777777" w:rsidR="00EC5135" w:rsidRDefault="00EC5135" w:rsidP="00EC5135">
      <w:pPr>
        <w:pStyle w:val="Heading3"/>
      </w:pPr>
      <w:bookmarkStart w:id="805" w:name="_Toc297278845"/>
      <w:bookmarkStart w:id="806" w:name="_Toc297280022"/>
      <w:bookmarkStart w:id="807" w:name="_Toc335990492"/>
      <w:bookmarkStart w:id="808" w:name="_Toc335990607"/>
      <w:bookmarkStart w:id="809" w:name="_Toc335990730"/>
      <w:bookmarkStart w:id="810" w:name="_Toc341262731"/>
      <w:bookmarkStart w:id="811" w:name="_Toc341262837"/>
      <w:bookmarkStart w:id="812" w:name="_Toc341263066"/>
      <w:bookmarkStart w:id="813" w:name="_Toc341265771"/>
      <w:bookmarkStart w:id="814" w:name="_Toc342295370"/>
      <w:bookmarkStart w:id="815" w:name="_Toc342466978"/>
      <w:bookmarkStart w:id="816" w:name="_Toc342556510"/>
      <w:bookmarkStart w:id="817" w:name="_Toc342566982"/>
      <w:bookmarkStart w:id="818" w:name="_Toc342670606"/>
      <w:bookmarkStart w:id="819" w:name="_Toc342670815"/>
      <w:bookmarkStart w:id="820" w:name="_Toc342929099"/>
      <w:bookmarkStart w:id="821" w:name="_Toc343014203"/>
      <w:bookmarkStart w:id="822" w:name="_Toc343014245"/>
      <w:bookmarkStart w:id="823" w:name="_Toc343014396"/>
      <w:bookmarkStart w:id="824" w:name="_Toc343014481"/>
      <w:bookmarkStart w:id="825" w:name="_Toc343014527"/>
      <w:bookmarkStart w:id="826" w:name="_Toc343066049"/>
      <w:bookmarkStart w:id="827" w:name="_Toc343074936"/>
      <w:bookmarkStart w:id="828" w:name="_Toc379787531"/>
      <w:bookmarkStart w:id="829" w:name="_Toc379902613"/>
      <w:bookmarkStart w:id="830" w:name="_Toc379903299"/>
      <w:bookmarkStart w:id="831" w:name="_Toc379907078"/>
      <w:bookmarkStart w:id="832" w:name="_Toc380482119"/>
      <w:bookmarkStart w:id="833" w:name="_Toc380483112"/>
      <w:bookmarkStart w:id="834" w:name="_Toc380569185"/>
      <w:bookmarkStart w:id="835" w:name="_Toc380580373"/>
      <w:bookmarkStart w:id="836" w:name="_Toc380581441"/>
      <w:bookmarkStart w:id="837" w:name="_Toc380584431"/>
      <w:bookmarkStart w:id="838" w:name="_Toc408421348"/>
      <w:bookmarkStart w:id="839" w:name="_Toc408490597"/>
      <w:bookmarkStart w:id="840" w:name="_Toc408496235"/>
      <w:bookmarkStart w:id="841" w:name="_Toc408502436"/>
      <w:bookmarkStart w:id="842" w:name="_Toc410119108"/>
      <w:bookmarkStart w:id="843" w:name="_Toc410123687"/>
      <w:bookmarkStart w:id="844" w:name="_Toc410124669"/>
      <w:bookmarkStart w:id="845" w:name="_Toc410124749"/>
      <w:bookmarkStart w:id="846" w:name="_Toc410146143"/>
      <w:bookmarkStart w:id="847" w:name="_Toc410212667"/>
      <w:bookmarkStart w:id="848" w:name="_Toc410648308"/>
      <w:r>
        <w:t>Telecommunications Service Entities</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14:paraId="463D4C38" w14:textId="77777777" w:rsidR="00EC5135" w:rsidRDefault="00EC5135" w:rsidP="00EC5135">
      <w:pPr>
        <w:pStyle w:val="Heading4"/>
        <w:tabs>
          <w:tab w:val="clear" w:pos="2880"/>
          <w:tab w:val="num" w:pos="2520"/>
        </w:tabs>
        <w:spacing w:line="360" w:lineRule="auto"/>
        <w:ind w:left="2520" w:hanging="360"/>
        <w:rPr>
          <w:szCs w:val="22"/>
        </w:rPr>
      </w:pPr>
      <w:bookmarkStart w:id="849" w:name="_Toc297278846"/>
      <w:bookmarkStart w:id="850" w:name="_Toc297280023"/>
      <w:bookmarkStart w:id="851" w:name="_Toc335990493"/>
      <w:bookmarkStart w:id="852" w:name="_Toc335990608"/>
      <w:bookmarkStart w:id="853" w:name="_Toc335990731"/>
      <w:bookmarkStart w:id="854" w:name="_Toc341262732"/>
      <w:bookmarkStart w:id="855" w:name="_Toc341263067"/>
      <w:bookmarkStart w:id="856" w:name="_Toc379787532"/>
      <w:bookmarkStart w:id="857" w:name="_Toc379902614"/>
      <w:bookmarkStart w:id="858" w:name="_Toc379903300"/>
      <w:bookmarkStart w:id="859" w:name="_Toc379907079"/>
      <w:bookmarkStart w:id="860" w:name="_Toc380482120"/>
      <w:bookmarkStart w:id="861" w:name="_Toc380483113"/>
      <w:bookmarkStart w:id="862" w:name="_Toc380569186"/>
      <w:bookmarkStart w:id="863" w:name="_Toc380580374"/>
      <w:bookmarkStart w:id="864" w:name="_Toc380581442"/>
      <w:bookmarkStart w:id="865" w:name="_Toc380584432"/>
      <w:bookmarkStart w:id="866" w:name="_Toc408490598"/>
      <w:r>
        <w:rPr>
          <w:szCs w:val="22"/>
        </w:rPr>
        <w:t>Wireless Telecommunications Service Providers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14:paraId="38A1CB7F" w14:textId="77777777" w:rsidR="00EC5135" w:rsidRDefault="00EC5135" w:rsidP="00EE2E1F">
      <w:pPr>
        <w:pStyle w:val="ParaNum"/>
        <w:tabs>
          <w:tab w:val="clear" w:pos="1440"/>
        </w:tabs>
      </w:pPr>
      <w:r>
        <w:t>Pursuant to 47 C.F.R. § 20.18(a), the Commission’s 911 service requirements are only applicable to Commercial Mobile Radio Service (CMRS) “[providers], excluding mobile satellite service operators, to the extent that they: (1) Offer real-time, two way switched voice service that is interconnected with the public switched network; and (2) Utilize an in-network switching facility that enables the provider to reuse frequencies and accomplish seamless hand-offs of subscriber calls.  These requirements are applicable to entities that offer voice service to consumers by purchasing airtime or capacity at wholesale rates from CMRS licensees.”</w:t>
      </w:r>
    </w:p>
    <w:p w14:paraId="3208A818" w14:textId="77777777" w:rsidR="00EC5135" w:rsidRDefault="00EC5135" w:rsidP="00EE2E1F">
      <w:pPr>
        <w:pStyle w:val="ParaNum"/>
        <w:tabs>
          <w:tab w:val="clear" w:pos="1440"/>
        </w:tabs>
      </w:pPr>
      <w:r>
        <w:t xml:space="preserve">Below, for those services subject to auctions, we note that, as a general matter, the number of winning bidders that qualify as small </w:t>
      </w:r>
      <w:r>
        <w:rPr>
          <w:iCs/>
        </w:rPr>
        <w:t>businesses</w:t>
      </w:r>
      <w:r>
        <w:t xml:space="preserve"> at the close of an auction does not necessarily represent the number of small businesses currently in service.  Also, the Commission does not generally track subsequent business size unless, in the context of assignments or transfers, unjust enrichment issues are implicated.</w:t>
      </w:r>
    </w:p>
    <w:p w14:paraId="11257C36" w14:textId="63141AF8" w:rsidR="00EC5135" w:rsidRDefault="00EC5135" w:rsidP="00EE2E1F">
      <w:pPr>
        <w:pStyle w:val="ParaNum"/>
        <w:tabs>
          <w:tab w:val="clear" w:pos="1440"/>
        </w:tabs>
      </w:pPr>
      <w:r w:rsidRPr="00942F09">
        <w:rPr>
          <w:i/>
          <w:snapToGrid/>
          <w:kern w:val="0"/>
          <w:szCs w:val="22"/>
        </w:rPr>
        <w:t xml:space="preserve">Wireless Telecommunications Carriers (except satellite). </w:t>
      </w:r>
      <w:r w:rsidRPr="00942F09">
        <w:rPr>
          <w:snapToGrid/>
          <w:kern w:val="0"/>
          <w:szCs w:val="22"/>
        </w:rPr>
        <w:t xml:space="preserve"> </w:t>
      </w:r>
      <w:r w:rsidRPr="00942F09">
        <w:rPr>
          <w:szCs w:val="22"/>
        </w:rPr>
        <w:t>This industry comprises establishments engaged in operating and maintaining switching and transmission facilities to provide communications via the airw</w:t>
      </w:r>
      <w:r w:rsidRPr="002E178C">
        <w:rPr>
          <w:szCs w:val="22"/>
        </w:rPr>
        <w:t>aves. Establishments in this industry have spectrum licenses and provide services using that spectrum, such as cellular phone services, paging services, wireless Internet access, and wireless video services.</w:t>
      </w:r>
      <w:r w:rsidRPr="00B37DA5">
        <w:rPr>
          <w:rStyle w:val="FootnoteReference"/>
          <w:szCs w:val="22"/>
        </w:rPr>
        <w:footnoteReference w:id="546"/>
      </w:r>
      <w:r w:rsidRPr="00942F09">
        <w:rPr>
          <w:szCs w:val="22"/>
        </w:rPr>
        <w:t xml:space="preserve"> The appropriate size standard under SBA rules is for the category Wireless Telecommunications Carriers.  The size standard for that category is that a business is small if it has 1,500 or fewer employees.</w:t>
      </w:r>
      <w:r w:rsidRPr="00B37DA5">
        <w:rPr>
          <w:rStyle w:val="FootnoteReference"/>
          <w:szCs w:val="22"/>
        </w:rPr>
        <w:footnoteReference w:id="547"/>
      </w:r>
      <w:r w:rsidRPr="00942F09">
        <w:rPr>
          <w:szCs w:val="22"/>
        </w:rPr>
        <w:t xml:space="preserve">    For this category, census data for 2007 show that there were 11,163 establishments that operated for the entire year.</w:t>
      </w:r>
      <w:r w:rsidRPr="00B37DA5">
        <w:rPr>
          <w:rStyle w:val="FootnoteReference"/>
          <w:szCs w:val="22"/>
        </w:rPr>
        <w:footnoteReference w:id="548"/>
      </w:r>
      <w:r w:rsidRPr="00942F09">
        <w:rPr>
          <w:szCs w:val="22"/>
        </w:rPr>
        <w:t xml:space="preserve">  Of this total, 10,791 establishments had employment of 999 or fewer employees and 372 had employment of 1000 employees or more.</w:t>
      </w:r>
      <w:r w:rsidRPr="00B37DA5">
        <w:rPr>
          <w:rStyle w:val="FootnoteReference"/>
          <w:szCs w:val="22"/>
        </w:rPr>
        <w:footnoteReference w:id="549"/>
      </w:r>
      <w:r w:rsidRPr="00942F09">
        <w:rPr>
          <w:szCs w:val="22"/>
        </w:rPr>
        <w:t xml:space="preserve"> Thus under this category and the associated small business size standard, the Commission estimates that the majority of wireless telecommunications carriers</w:t>
      </w:r>
      <w:r w:rsidRPr="002E178C">
        <w:rPr>
          <w:szCs w:val="22"/>
        </w:rPr>
        <w:t xml:space="preserve"> (except satellite) are small entities that may be affected by our proposed action.</w:t>
      </w:r>
      <w:r w:rsidRPr="00B37DA5">
        <w:rPr>
          <w:rStyle w:val="FootnoteReference"/>
          <w:szCs w:val="22"/>
        </w:rPr>
        <w:footnoteReference w:id="550"/>
      </w:r>
      <w:r w:rsidRPr="00942F09">
        <w:rPr>
          <w:szCs w:val="22"/>
        </w:rPr>
        <w:t xml:space="preserve">  </w:t>
      </w:r>
    </w:p>
    <w:p w14:paraId="661ACEC6" w14:textId="77777777" w:rsidR="00EC5135" w:rsidRDefault="00EC5135" w:rsidP="00EE2E1F">
      <w:pPr>
        <w:pStyle w:val="ParaNum"/>
        <w:widowControl/>
        <w:tabs>
          <w:tab w:val="clear" w:pos="1440"/>
        </w:tabs>
      </w:pPr>
      <w:r>
        <w:rPr>
          <w:i/>
        </w:rPr>
        <w:t xml:space="preserve">Incumbent Local Exchange Carriers </w:t>
      </w:r>
      <w:r>
        <w:t>(</w:t>
      </w:r>
      <w:r>
        <w:rPr>
          <w:i/>
        </w:rPr>
        <w:t>Incumbent LECs</w:t>
      </w:r>
      <w:r>
        <w:t>).  Neither the Commission nor the SBA has developed a small business size standard specifically for incumbent local exchange services.  The appropriate size standard under SBA rules is for the category Wired Telecommunications Carriers.  Under that size standard, such a business is small if it has 1,500 or fewer employees.</w:t>
      </w:r>
      <w:r>
        <w:rPr>
          <w:rStyle w:val="FootnoteReference"/>
          <w:szCs w:val="22"/>
        </w:rPr>
        <w:footnoteReference w:id="551"/>
      </w:r>
      <w:r>
        <w:t xml:space="preserve">  Census Bureau data for 2007, which now supersede data from the 2002 Census, show that there were 3,188 firms in this category that operated for the entire year.  Of this total, 3,144 had employment of 999 or fewer, and 44 firms had had employment of 1000 or more. According to Commission data, 1,307 carriers reported that they were incumbent local exchange service providers.</w:t>
      </w:r>
      <w:r>
        <w:rPr>
          <w:rStyle w:val="FootnoteReference"/>
          <w:szCs w:val="22"/>
        </w:rPr>
        <w:footnoteReference w:id="552"/>
      </w:r>
      <w:r>
        <w:t xml:space="preserve">  Of these 1,307 carriers, an estimated 1,006 have 1,500 or fewer employees and 301 have more than 1,500 employees.</w:t>
      </w:r>
      <w:r>
        <w:rPr>
          <w:rStyle w:val="FootnoteReference"/>
          <w:szCs w:val="22"/>
        </w:rPr>
        <w:footnoteReference w:id="553"/>
      </w:r>
      <w:r>
        <w:t xml:space="preserve">  Consequently, the Commission estimates that most providers of local exchange service are small entities that may be affected by the rules and policies proposed in the Notice.  Thus under this category and the associated small business size standard, the majority of these incumbent local exchange service providers can be considered small.</w:t>
      </w:r>
      <w:r>
        <w:rPr>
          <w:rStyle w:val="FootnoteReference"/>
          <w:szCs w:val="22"/>
        </w:rPr>
        <w:footnoteReference w:id="554"/>
      </w:r>
    </w:p>
    <w:p w14:paraId="2D7B73BF" w14:textId="77777777" w:rsidR="00EC5135" w:rsidRDefault="00EC5135" w:rsidP="00EE2E1F">
      <w:pPr>
        <w:pStyle w:val="ParaNum"/>
        <w:tabs>
          <w:tab w:val="clear" w:pos="1440"/>
        </w:tabs>
      </w:pPr>
      <w:r>
        <w:rPr>
          <w:i/>
        </w:rPr>
        <w:t>Competitive Local Exchange Carriers (Competitive LECs), Competitive Access Providers (CAPs), Shared-Tenant Service Providers, and Other Local Service Providers.</w:t>
      </w:r>
      <w:r>
        <w:t xml:space="preserve">  Neither the Commission nor the SBA has developed a small business size standard specifically for these service providers.  The appropriate size standard under SBA rules is for the category Wired Telecommunications Carriers.  Under that size standard, such a business is small if it has 1,500 or fewer employees.</w:t>
      </w:r>
      <w:r>
        <w:rPr>
          <w:rStyle w:val="FootnoteReference"/>
          <w:szCs w:val="22"/>
        </w:rPr>
        <w:footnoteReference w:id="555"/>
      </w:r>
      <w:r>
        <w:t xml:space="preserve">   Census Bureau data for 2007, which now supersede data from the 2002 Census, show that there were 3,188 firms in this category that operated for the entire year.  Of this total, 3,144 had employment of 999 or fewer, and 44 firms had had employment of 1,000 employees or more.  Thus under this category and the associated small business size standard, the majority of these Competitive LECs, CAPs, Shared-Tenant Service Providers, and Other Local Service Providers can be considered small entities.</w:t>
      </w:r>
      <w:r>
        <w:rPr>
          <w:rStyle w:val="FootnoteReference"/>
          <w:szCs w:val="22"/>
        </w:rPr>
        <w:footnoteReference w:id="556"/>
      </w:r>
      <w:r>
        <w:t xml:space="preserve">   According to Commission data, 1,442 carriers reported that they were engaged in the provision of either competitive local exchange services or competitive access provider services.</w:t>
      </w:r>
      <w:r>
        <w:rPr>
          <w:vertAlign w:val="superscript"/>
        </w:rPr>
        <w:footnoteReference w:id="557"/>
      </w:r>
      <w:r>
        <w:t xml:space="preserve">  Of these 1,442 carriers, an estimated 1,256 have 1,500 or fewer employees and 186 have more than 1,500 employees.</w:t>
      </w:r>
      <w:r>
        <w:rPr>
          <w:vertAlign w:val="superscript"/>
        </w:rPr>
        <w:footnoteReference w:id="558"/>
      </w:r>
      <w:r>
        <w:t xml:space="preserve">  In addition, 17 carriers have reported that they are Shared-Tenant Service Providers, and all 17 are estimated to have 1,500 or fewer employees.</w:t>
      </w:r>
      <w:r>
        <w:rPr>
          <w:rStyle w:val="FootnoteReference"/>
          <w:szCs w:val="22"/>
        </w:rPr>
        <w:footnoteReference w:id="559"/>
      </w:r>
      <w:r>
        <w:t xml:space="preserve">  In addition, 72 carriers have reported that they are Other Local Service Providers.</w:t>
      </w:r>
      <w:r>
        <w:rPr>
          <w:rStyle w:val="FootnoteReference"/>
          <w:szCs w:val="22"/>
        </w:rPr>
        <w:footnoteReference w:id="560"/>
      </w:r>
      <w:r>
        <w:t xml:space="preserve">  Of the 72, seventy have 1,500 or fewer employees and two have more than 1,500 employees.</w:t>
      </w:r>
      <w:r>
        <w:rPr>
          <w:rStyle w:val="FootnoteReference"/>
          <w:szCs w:val="22"/>
        </w:rPr>
        <w:footnoteReference w:id="561"/>
      </w:r>
      <w:r>
        <w:t xml:space="preserve">  Consequently, the Commission estimates that most providers of competitive local exchange service, competitive access providers, Shared-Tenant Service Providers, and Other Local Service Providers are small entities that may be affected by rules adopted pursuant to the Notice.</w:t>
      </w:r>
    </w:p>
    <w:p w14:paraId="74143CDA" w14:textId="77777777" w:rsidR="00EC5135" w:rsidRDefault="00EC5135" w:rsidP="00EE2E1F">
      <w:pPr>
        <w:pStyle w:val="ParaNum"/>
        <w:widowControl/>
        <w:tabs>
          <w:tab w:val="clear" w:pos="1440"/>
        </w:tabs>
      </w:pPr>
      <w:r>
        <w:rPr>
          <w:i/>
        </w:rPr>
        <w:t>Broadband Personal Communications Service</w:t>
      </w:r>
      <w:r>
        <w:t>.  The broadband personal communications services (PCS) spectrum is divided into six frequency blocks designated A through F, and the Commission has held auctions for each block.  The Commission initially defined a “small business” for C- and F-Block licenses as an entity that has average gross revenues of $40 million or less in the three previous calendar years.</w:t>
      </w:r>
      <w:r>
        <w:rPr>
          <w:rStyle w:val="StyleFootnoteReferenceStyle13Style12NECGFootnoteReferenc"/>
          <w:szCs w:val="22"/>
        </w:rPr>
        <w:footnoteReference w:id="562"/>
      </w:r>
      <w:r>
        <w:t xml:space="preserve">  For F-Block licenses, an additional small business size standard for “very small business” was added and is defined as an entity that, together with its affiliates, has average gross revenues of not more than $15 million for the preceding three calendar years.</w:t>
      </w:r>
      <w:r>
        <w:rPr>
          <w:rStyle w:val="StyleFootnoteReferenceStyle13Style12NECGFootnoteReferenc"/>
          <w:szCs w:val="22"/>
        </w:rPr>
        <w:footnoteReference w:id="563"/>
      </w:r>
      <w:r>
        <w:t xml:space="preserve">  These small business size standards, in the context of broadband PCS auctions, have been approved by the SBA.</w:t>
      </w:r>
      <w:r>
        <w:rPr>
          <w:rStyle w:val="StyleFootnoteReferenceStyle13Style12NECGFootnoteReferenc"/>
          <w:szCs w:val="22"/>
        </w:rPr>
        <w:footnoteReference w:id="564"/>
      </w:r>
      <w:r>
        <w:t xml:space="preserve">  No small businesses within the SBA-approved small business size standards bid successfully for licenses in Blocks A and B.  There were 90 winning bidders that claimed small business status in the first two C-Block auctions.  A total of 93 bidders that claimed small business status won approximately 40 percent of the 1,479 licenses in the first auction for the D, E, and F Blocks.</w:t>
      </w:r>
      <w:r>
        <w:rPr>
          <w:rStyle w:val="StyleFootnoteReferenceStyle13Style12NECGFootnoteReferenc"/>
          <w:szCs w:val="22"/>
        </w:rPr>
        <w:footnoteReference w:id="565"/>
      </w:r>
      <w:r>
        <w:t xml:space="preserve">  On April 15, 1999, the Commission completed the reauction of 347 C-, D-, E-, and F-Block licenses in Auction No. 22.</w:t>
      </w:r>
      <w:r>
        <w:rPr>
          <w:rStyle w:val="StyleFootnoteReferenceStyle13Style12NECGFootnoteReferenc"/>
          <w:szCs w:val="22"/>
        </w:rPr>
        <w:footnoteReference w:id="566"/>
      </w:r>
      <w:r>
        <w:t xml:space="preserve">  Of the 57 winning bidders in that auction, 48 claimed small business status and won 277 licenses.</w:t>
      </w:r>
    </w:p>
    <w:p w14:paraId="476F6890" w14:textId="77777777" w:rsidR="00EC5135" w:rsidRDefault="00EC5135" w:rsidP="00EE2E1F">
      <w:pPr>
        <w:pStyle w:val="ParaNum"/>
        <w:tabs>
          <w:tab w:val="clear" w:pos="1440"/>
        </w:tabs>
      </w:pPr>
      <w:r>
        <w:t>On January 26, 2001, the Commission completed the auction of 422 C and F Block Broadband PCS licenses in Auction No. 35.  Of the 35 winning bidders in that auction, 29 claimed small business status.</w:t>
      </w:r>
      <w:r>
        <w:rPr>
          <w:rStyle w:val="StyleFootnoteReferenceStyle13Style12NECGFootnoteReferenc"/>
          <w:szCs w:val="22"/>
        </w:rPr>
        <w:footnoteReference w:id="567"/>
      </w:r>
      <w:r>
        <w:t xml:space="preserve">  Subsequent events concerning Auction 35, including judicial and agency determinations, resulted in a total of 163 C and F Block licenses being available for grant.  On February 15, 2005, the Commission completed an auction of 242 C-, D-, E-, and F-Block licenses in Auction No. 58.  Of the 24 winning bidders in that auction, 16 claimed small business status and won 156 licenses.</w:t>
      </w:r>
      <w:r>
        <w:rPr>
          <w:rStyle w:val="StyleFootnoteReferenceStyle13Style12NECGFootnoteReferenc"/>
          <w:szCs w:val="22"/>
        </w:rPr>
        <w:footnoteReference w:id="568"/>
      </w:r>
      <w:r>
        <w:t xml:space="preserve">  On May 21, 2007, the Commission completed an auction of 33 licenses in the A, C, and F Blocks in Auction No. 71.</w:t>
      </w:r>
      <w:r>
        <w:footnoteReference w:id="569"/>
      </w:r>
      <w:r>
        <w:t xml:space="preserve">  Of the 12 winning bidders in that auction, five claimed small business status and won 18 licenses.</w:t>
      </w:r>
      <w:r>
        <w:footnoteReference w:id="570"/>
      </w:r>
      <w:r>
        <w:t xml:space="preserve">  On August 20, 2008, the Commission completed the auction of 20 C-, D-, E-, and F-Block Broadband PCS licenses in Auction No. 78.</w:t>
      </w:r>
      <w:r>
        <w:rPr>
          <w:rStyle w:val="StyleFootnoteReferenceStyle13Style12NECGFootnoteReferenc"/>
          <w:szCs w:val="22"/>
        </w:rPr>
        <w:footnoteReference w:id="571"/>
      </w:r>
      <w:r>
        <w:t xml:space="preserve">  Of the eight winning bidders for Broadband PCS licenses in that auction, six claimed small business status and won 14 licenses.</w:t>
      </w:r>
      <w:r>
        <w:rPr>
          <w:rStyle w:val="StyleFootnoteReferenceStyle13Style12NECGFootnoteReferenc"/>
          <w:szCs w:val="22"/>
        </w:rPr>
        <w:footnoteReference w:id="572"/>
      </w:r>
    </w:p>
    <w:p w14:paraId="180B2F69" w14:textId="77777777" w:rsidR="00EC5135" w:rsidRDefault="00EC5135" w:rsidP="00EE2E1F">
      <w:pPr>
        <w:pStyle w:val="ParaNum"/>
        <w:tabs>
          <w:tab w:val="clear" w:pos="1440"/>
        </w:tabs>
      </w:pPr>
      <w:r>
        <w:rPr>
          <w:i/>
        </w:rPr>
        <w:t>Narrowband Personal Communications Services</w:t>
      </w:r>
      <w:r>
        <w:t>.  To date, two auctions of narrowband personal communications services (PCS) licenses have been conducted.  For purposes of the two auctions that have already been held, “small businesses” were entities with average gross revenues for the prior three calendar years of $40 million or less.  Through these auctions, the Commission has awarded a total of 41 licenses, out of which 11 were obtained by small businesses.  To ensure meaningful participation of small business entities in future auctions, the Commission has adopted a two-tiered small business size standard in the Narrowband PCS Second Report and Order.</w:t>
      </w:r>
      <w:r>
        <w:rPr>
          <w:rStyle w:val="StyleFootnoteReferenceStyle13Style12NECGFootnoteReferenc"/>
          <w:szCs w:val="22"/>
        </w:rPr>
        <w:footnoteReference w:id="573"/>
      </w:r>
      <w:r>
        <w:rPr>
          <w:rStyle w:val="StyleFootnoteReferenceStyle13Style12NECGFootnoteReferenc"/>
          <w:szCs w:val="22"/>
        </w:rPr>
        <w:t xml:space="preserve"> </w:t>
      </w:r>
      <w:r>
        <w:t xml:space="preserve"> A “small business” is an entity that, together with affiliates and controlling interests, has average gross revenues for the three preceding years of not more than $40 million.  A “very small business” is an entity that, together with affiliates and controlling interests, has average gross revenues for the three preceding years of not more than $15 million.  The SBA has approved these small business size standards.</w:t>
      </w:r>
      <w:r>
        <w:rPr>
          <w:rStyle w:val="StyleFootnoteReferenceStyle13Style12NECGFootnoteReferenc"/>
          <w:szCs w:val="22"/>
        </w:rPr>
        <w:footnoteReference w:id="574"/>
      </w:r>
    </w:p>
    <w:p w14:paraId="0026937C" w14:textId="155B933C" w:rsidR="00EC5135" w:rsidRDefault="00EC5135" w:rsidP="00EE2E1F">
      <w:pPr>
        <w:pStyle w:val="ParaNum"/>
        <w:tabs>
          <w:tab w:val="clear" w:pos="1440"/>
        </w:tabs>
      </w:pPr>
      <w:r>
        <w:rPr>
          <w:i/>
        </w:rPr>
        <w:t>AWS Services (1710–1755 MHz  and 2110–2155 MHz bands (AWS-1); 1915–1920 MHz, 1995–2000 MHz, 2020–2025 MHz and 2175–2180 MHz bands (AWS-2); 2155–2175 MHz band (AWS-3))</w:t>
      </w:r>
      <w:r>
        <w:t>.  For the AWS-1 bands, the Commission defined a “small business” as an entity with average annual gross revenues for the preceding three years not exceeding $40 million, and a “very small business” as an entity with average annual gross revenues for the preceding three years not exceeding $15 million.</w:t>
      </w:r>
      <w:r>
        <w:rPr>
          <w:rStyle w:val="FootnoteReference"/>
          <w:szCs w:val="22"/>
        </w:rPr>
        <w:footnoteReference w:id="575"/>
      </w:r>
      <w:r>
        <w:t xml:space="preserve">  In 2006, the Commission conducted its first auction of AWS-1 licenses.</w:t>
      </w:r>
      <w:r>
        <w:rPr>
          <w:rStyle w:val="FootnoteReference"/>
          <w:szCs w:val="22"/>
        </w:rPr>
        <w:footnoteReference w:id="576"/>
      </w:r>
      <w:r>
        <w:t xml:space="preserve">  In that initial AWS-1 auction, 31</w:t>
      </w:r>
      <w:r>
        <w:rPr>
          <w:color w:val="000000"/>
        </w:rPr>
        <w:t xml:space="preserve"> winning bidders identified themselves as very small businesses.</w:t>
      </w:r>
      <w:r>
        <w:rPr>
          <w:rStyle w:val="FootnoteReference"/>
          <w:szCs w:val="22"/>
        </w:rPr>
        <w:footnoteReference w:id="577"/>
      </w:r>
      <w:r>
        <w:rPr>
          <w:color w:val="000000"/>
        </w:rPr>
        <w:t xml:space="preserve">  Twenty-six of the winning bidders identified themselves as small businesses.</w:t>
      </w:r>
      <w:r>
        <w:rPr>
          <w:rStyle w:val="FootnoteReference"/>
          <w:szCs w:val="22"/>
        </w:rPr>
        <w:footnoteReference w:id="578"/>
      </w:r>
      <w:r>
        <w:rPr>
          <w:color w:val="000000"/>
        </w:rPr>
        <w:t xml:space="preserve">  </w:t>
      </w:r>
      <w:r>
        <w:t>In a subsequent 2008 auction, the Commission offered 35 AWS-1 licenses.</w:t>
      </w:r>
      <w:r>
        <w:rPr>
          <w:rStyle w:val="FootnoteReference"/>
          <w:szCs w:val="22"/>
        </w:rPr>
        <w:footnoteReference w:id="579"/>
      </w:r>
      <w:r>
        <w:t xml:space="preserve">  Four winning bidders identified themselves as very small businesses, and three of the winning bidders identified themselves as a small business.</w:t>
      </w:r>
      <w:r>
        <w:rPr>
          <w:rStyle w:val="FootnoteReference"/>
          <w:szCs w:val="22"/>
        </w:rPr>
        <w:footnoteReference w:id="580"/>
      </w:r>
      <w:r>
        <w:t>For AWS-2 and AWS-3, although we do not know for certain which entities are likely to apply for these frequencies, we note that the AWS-1 bands are comparable to those used for cellular service and personal communications service.  The Commission has adopted size standards for the AWS-2 or AWS-3 bands similar to broadband PCS service and AWS-1 service due to the comparable capital requirements and other factors, such as issues involved in relocating incumbents and developing markets, technologies, and services.</w:t>
      </w:r>
      <w:r>
        <w:rPr>
          <w:rStyle w:val="FootnoteReference"/>
          <w:szCs w:val="22"/>
        </w:rPr>
        <w:footnoteReference w:id="581"/>
      </w:r>
      <w:r>
        <w:t xml:space="preserve"> In the AWS-3 a</w:t>
      </w:r>
      <w:r w:rsidR="00B632BE">
        <w:t>u</w:t>
      </w:r>
      <w:r>
        <w:t>ction, 70 applicants were found qualified to participate, and 46 of those have claimed themselves eligible for a designated entity bidding credit.</w:t>
      </w:r>
      <w:r>
        <w:rPr>
          <w:rStyle w:val="FootnoteReference"/>
        </w:rPr>
        <w:footnoteReference w:id="582"/>
      </w:r>
    </w:p>
    <w:p w14:paraId="62F4A255" w14:textId="77777777" w:rsidR="00EC5135" w:rsidRPr="00184EEA" w:rsidRDefault="00EC5135" w:rsidP="00EE2E1F">
      <w:pPr>
        <w:pStyle w:val="ParaNum"/>
        <w:widowControl/>
        <w:tabs>
          <w:tab w:val="clear" w:pos="1440"/>
        </w:tabs>
        <w:rPr>
          <w:szCs w:val="22"/>
        </w:rPr>
      </w:pPr>
      <w:r w:rsidRPr="00184EEA">
        <w:rPr>
          <w:i/>
          <w:szCs w:val="22"/>
        </w:rPr>
        <w:t>Rural Radiotelephone Service</w:t>
      </w:r>
      <w:r w:rsidRPr="00184EEA">
        <w:rPr>
          <w:szCs w:val="22"/>
        </w:rPr>
        <w:t>.  The Commission has not adopted a size standard for small businesses specific to the Rural Radiotelephone Service.  A significant subset of the Rural Radiotelephone Service is the Basic Exchange Telephone Radio System (“BETRS”).  In the present context, we will use the SBA’s small business size standard applicable to Wireless Telecommunications Carriers (except Satellite), i.e., an entity employing no more than 1,500 persons.</w:t>
      </w:r>
      <w:r w:rsidRPr="00F92745">
        <w:rPr>
          <w:rStyle w:val="FootnoteReference"/>
          <w:szCs w:val="22"/>
        </w:rPr>
        <w:footnoteReference w:id="583"/>
      </w:r>
      <w:r w:rsidRPr="00184EEA">
        <w:rPr>
          <w:szCs w:val="22"/>
        </w:rPr>
        <w:t xml:space="preserve">  There are approximately 1,000 licensees in the Rural Radiotelephone Service, and the Commission estimates that there are 1,000 or fewer small entity licensees in the Rural Radiotelephone Service that may be affected by the rules and policies adopted herein.</w:t>
      </w:r>
    </w:p>
    <w:p w14:paraId="5E04901D" w14:textId="77777777" w:rsidR="00EC5135" w:rsidRPr="00DA0136" w:rsidRDefault="00EC5135" w:rsidP="00EE2E1F">
      <w:pPr>
        <w:pStyle w:val="ParaNum"/>
        <w:tabs>
          <w:tab w:val="clear" w:pos="1440"/>
        </w:tabs>
        <w:rPr>
          <w:szCs w:val="22"/>
        </w:rPr>
      </w:pPr>
      <w:r w:rsidRPr="00B0601B">
        <w:rPr>
          <w:i/>
        </w:rPr>
        <w:t>Wireless Communications Services.</w:t>
      </w:r>
      <w:r w:rsidRPr="00B0601B">
        <w:t xml:space="preserve">  This service can be used for fixed, mobile, radiolocation, and digital audio broadcasting satellite uses in the 2305-2320 MHz and 2345-2360 MHz bands.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sidRPr="00E84FA6">
        <w:rPr>
          <w:rStyle w:val="FootnoteReference"/>
          <w:szCs w:val="22"/>
        </w:rPr>
        <w:footnoteReference w:id="584"/>
      </w:r>
      <w:r w:rsidRPr="00B0601B">
        <w:t xml:space="preserve">  The SBA has approved these definitions.</w:t>
      </w:r>
      <w:r w:rsidRPr="00E84FA6">
        <w:rPr>
          <w:rStyle w:val="FootnoteReference"/>
          <w:szCs w:val="22"/>
        </w:rPr>
        <w:footnoteReference w:id="585"/>
      </w:r>
      <w:r w:rsidRPr="00B0601B">
        <w:t xml:space="preserve">  The Commission auctioned geographic area licenses in the WCS service.  In the auction, which commenced on April 15, 1997 and closed on April 25, 1997, there were seven bidders that won 31 licenses that qualified as very small business entities, and one bidder that won one license that qualified as a small business entity.</w:t>
      </w:r>
    </w:p>
    <w:p w14:paraId="70198CB6" w14:textId="77777777" w:rsidR="00EC5135" w:rsidRDefault="00EC5135" w:rsidP="00EE2E1F">
      <w:pPr>
        <w:pStyle w:val="ParaNum"/>
        <w:widowControl/>
        <w:tabs>
          <w:tab w:val="clear" w:pos="1440"/>
        </w:tabs>
      </w:pPr>
      <w:r>
        <w:rPr>
          <w:i/>
        </w:rPr>
        <w:t>700 MHz Guard Band Licenses.</w:t>
      </w:r>
      <w:r>
        <w:t xml:space="preserve">  In the </w:t>
      </w:r>
      <w:r>
        <w:rPr>
          <w:i/>
        </w:rPr>
        <w:t>700 MHz Guard Band Order</w:t>
      </w:r>
      <w:r>
        <w:t>, the Commission adopted size standards for “small businesses” and “very small businesses” for purposes of determining their eligibility for special provisions such as bidding credits and installment payments.</w:t>
      </w:r>
      <w:r>
        <w:rPr>
          <w:rStyle w:val="FootnoteReference"/>
          <w:szCs w:val="22"/>
        </w:rPr>
        <w:footnoteReference w:id="586"/>
      </w:r>
      <w:r>
        <w:t xml:space="preserve">  A small business in this service is an entity that, together with its affiliates and controlling principals, has average gross revenues not exceeding $40 million for the preceding three years.</w:t>
      </w:r>
      <w:r>
        <w:rPr>
          <w:rStyle w:val="FootnoteReference"/>
          <w:szCs w:val="22"/>
        </w:rPr>
        <w:footnoteReference w:id="587"/>
      </w:r>
      <w:r>
        <w:t xml:space="preserve">  Additionally, a “very small business” is an entity that, together with its affiliates and controlling principals, has average gross revenues that are not more than $15 million for the preceding three years.</w:t>
      </w:r>
      <w:r>
        <w:rPr>
          <w:rStyle w:val="FootnoteReference"/>
          <w:szCs w:val="22"/>
        </w:rPr>
        <w:footnoteReference w:id="588"/>
      </w:r>
      <w:r>
        <w:t xml:space="preserve">  SBA approval of these definitions is not required.</w:t>
      </w:r>
      <w:r>
        <w:rPr>
          <w:rStyle w:val="FootnoteReference"/>
          <w:szCs w:val="22"/>
        </w:rPr>
        <w:footnoteReference w:id="589"/>
      </w:r>
      <w:r>
        <w:t xml:space="preserve">  An auction of 52 Major Economic Area (MEA) licenses commenced on September 6, 2000, and closed on September 21, 2000.</w:t>
      </w:r>
      <w:r>
        <w:rPr>
          <w:rStyle w:val="FootnoteReference"/>
          <w:szCs w:val="22"/>
        </w:rPr>
        <w:footnoteReference w:id="590"/>
      </w:r>
      <w:r>
        <w:t xml:space="preserve">  Of the 104 licenses auctioned, 96 licenses were sold to nine bidders.  Five of these bidders were small businesses that won a total of 26 licenses.  A second auction of 700 MHz Guard Band licenses commenced and closed in 2001.  All eight of the licenses auctioned were sold to three bidders.  One of these bidders was a small business that won a total of two licenses.</w:t>
      </w:r>
      <w:r>
        <w:rPr>
          <w:rStyle w:val="FootnoteReference"/>
          <w:szCs w:val="22"/>
        </w:rPr>
        <w:footnoteReference w:id="591"/>
      </w:r>
    </w:p>
    <w:p w14:paraId="1F381CB4" w14:textId="77777777" w:rsidR="00EC5135" w:rsidRDefault="00EC5135" w:rsidP="00EE2E1F">
      <w:pPr>
        <w:pStyle w:val="ParaNum"/>
        <w:tabs>
          <w:tab w:val="clear" w:pos="1440"/>
        </w:tabs>
      </w:pPr>
      <w:r>
        <w:rPr>
          <w:i/>
        </w:rPr>
        <w:t>Upper 700 MHz Band Licenses</w:t>
      </w:r>
      <w:r>
        <w:t xml:space="preserve">.  In the </w:t>
      </w:r>
      <w:r>
        <w:rPr>
          <w:i/>
        </w:rPr>
        <w:t>700 MHz Second Report and Order</w:t>
      </w:r>
      <w:r>
        <w:t>, the Commission revised its rules regarding Upper 700 MHz licenses.</w:t>
      </w:r>
      <w:r>
        <w:rPr>
          <w:rStyle w:val="FootnoteReference"/>
          <w:szCs w:val="22"/>
        </w:rPr>
        <w:footnoteReference w:id="592"/>
      </w:r>
      <w:r>
        <w:t xml:space="preserve">  On January 24, 2008, the Commission commenced Auction 73 in which several licenses in the Upper 700 MHz band were available for licensing:  12 Regional Economic Area Grouping licenses in the C Block, and one nationwide license in the D Block.</w:t>
      </w:r>
      <w:r>
        <w:rPr>
          <w:rStyle w:val="FootnoteReference"/>
          <w:szCs w:val="22"/>
        </w:rPr>
        <w:footnoteReference w:id="593"/>
      </w:r>
      <w:r>
        <w:t xml:space="preserve">  The auction concluded on March 18, 2008, with 3 winning bidders claiming very small business status (those with attributable average annual gross revenues that do not exceed $15 million for the preceding three years) and winning five licenses.</w:t>
      </w:r>
    </w:p>
    <w:p w14:paraId="46B1DF29" w14:textId="77777777" w:rsidR="00EC5135" w:rsidRDefault="00EC5135" w:rsidP="00EE2E1F">
      <w:pPr>
        <w:pStyle w:val="ParaNum"/>
        <w:widowControl/>
        <w:tabs>
          <w:tab w:val="clear" w:pos="1440"/>
        </w:tabs>
      </w:pPr>
      <w:r>
        <w:rPr>
          <w:i/>
        </w:rPr>
        <w:t>Lower 700 MHz Band Licenses</w:t>
      </w:r>
      <w:r>
        <w:t>.  The Commission previously adopted criteria for defining three groups of small businesses for purposes of determining their eligibility for special provisions such as bidding credits.</w:t>
      </w:r>
      <w:r>
        <w:rPr>
          <w:vertAlign w:val="superscript"/>
        </w:rPr>
        <w:footnoteReference w:id="594"/>
      </w:r>
      <w:r>
        <w:t xml:space="preserve">  The Commission defined a “small business” as an entity that, together with its affiliates and controlling principals, has average gross revenues not exceeding $40 million for the preceding three years.</w:t>
      </w:r>
      <w:r>
        <w:rPr>
          <w:vertAlign w:val="superscript"/>
        </w:rPr>
        <w:footnoteReference w:id="595"/>
      </w:r>
      <w:r>
        <w:t xml:space="preserve">  A “very small business” is defined as an entity that, together with its affiliates and controlling principals, has average gross revenues that are not more than $15 million for the preceding three years.</w:t>
      </w:r>
      <w:r>
        <w:rPr>
          <w:vertAlign w:val="superscript"/>
        </w:rPr>
        <w:footnoteReference w:id="596"/>
      </w:r>
      <w:r>
        <w:t xml:space="preserve">  Additionally, the lower 700 MHz Service had a third category of small business status for Metropolitan/Rural Service Area (MSA/RSA) licenses—“entrepreneur”—which is defined as an entity that, together with its affiliates and controlling principals, has average gross revenues that are not more than $3 million for the preceding three years.</w:t>
      </w:r>
      <w:r>
        <w:rPr>
          <w:vertAlign w:val="superscript"/>
        </w:rPr>
        <w:footnoteReference w:id="597"/>
      </w:r>
      <w:r>
        <w:t xml:space="preserve">  The SBA approved these small size standards.</w:t>
      </w:r>
      <w:r>
        <w:rPr>
          <w:vertAlign w:val="superscript"/>
        </w:rPr>
        <w:footnoteReference w:id="598"/>
      </w:r>
      <w:r>
        <w:t xml:space="preserve">  An auction of 740 licenses (one license in each of the 734 MSAs/RSAs and one license in each of the six Economic Area Groupings (EAGs)) was conducted in 2002.  Of the 740 licenses available for auction, 484 licenses were won by 102 winning bidders.  Seventy-two of the winning bidders claimed small business, very small business or entrepreneur status and won licenses.</w:t>
      </w:r>
      <w:r>
        <w:rPr>
          <w:vertAlign w:val="superscript"/>
        </w:rPr>
        <w:footnoteReference w:id="599"/>
      </w:r>
      <w:r>
        <w:t xml:space="preserve">  A second auction commenced on May 28, 2003, closed on June 13, 2003, and included 256 licenses.</w:t>
      </w:r>
      <w:r>
        <w:rPr>
          <w:vertAlign w:val="superscript"/>
        </w:rPr>
        <w:footnoteReference w:id="600"/>
      </w:r>
      <w:r>
        <w:t xml:space="preserve">  Seventeen winning bidders claimed small or very small business status, and nine winning bidders claimed entrepreneur status.</w:t>
      </w:r>
      <w:r>
        <w:rPr>
          <w:vertAlign w:val="superscript"/>
        </w:rPr>
        <w:footnoteReference w:id="601"/>
      </w:r>
      <w:r>
        <w:t xml:space="preserve">  In 2005, the Commission completed an auction of 5 licenses in the Lower 700 MHz band.  All three winning bidders claimed small business status.</w:t>
      </w:r>
    </w:p>
    <w:p w14:paraId="30CB0375" w14:textId="77777777" w:rsidR="00EC5135" w:rsidRDefault="00EC5135" w:rsidP="00EE2E1F">
      <w:pPr>
        <w:pStyle w:val="ParaNum"/>
        <w:tabs>
          <w:tab w:val="clear" w:pos="1440"/>
        </w:tabs>
      </w:pPr>
      <w:r>
        <w:t xml:space="preserve">In 2007, the Commission reexamined its rules governing the 700 MHz band in the </w:t>
      </w:r>
      <w:r>
        <w:rPr>
          <w:i/>
        </w:rPr>
        <w:t>700 MHz Second Report and Order</w:t>
      </w:r>
      <w:r>
        <w:t>.</w:t>
      </w:r>
      <w:r>
        <w:rPr>
          <w:rStyle w:val="FootnoteReference"/>
          <w:szCs w:val="22"/>
        </w:rPr>
        <w:footnoteReference w:id="602"/>
      </w:r>
      <w:r>
        <w:t xml:space="preserve">  An auction of A, B and E block 700 MHz licenses was held in 2008.</w:t>
      </w:r>
      <w:r>
        <w:rPr>
          <w:rStyle w:val="FootnoteReference"/>
          <w:szCs w:val="22"/>
        </w:rPr>
        <w:footnoteReference w:id="603"/>
      </w:r>
      <w:r>
        <w:t xml:space="preserve">  Twenty winning bidders claimed small business status (those with attributable average annual gross revenues that exceed $15 million and do not exceed $40 million for the preceding three years).  Thirty three winning bidders claimed very small business status (those with attributable average annual gross revenues that do not exceed $15 million for the preceding three years).</w:t>
      </w:r>
    </w:p>
    <w:p w14:paraId="775077FE" w14:textId="77777777" w:rsidR="00EC5135" w:rsidRDefault="00EC5135" w:rsidP="00EE2E1F">
      <w:pPr>
        <w:pStyle w:val="ParaNum"/>
        <w:tabs>
          <w:tab w:val="clear" w:pos="1440"/>
        </w:tabs>
        <w:rPr>
          <w:szCs w:val="22"/>
        </w:rPr>
      </w:pPr>
      <w:r>
        <w:rPr>
          <w:i/>
        </w:rPr>
        <w:t>Offshore Radiotelephone Service.</w:t>
      </w:r>
      <w:r>
        <w:t xml:space="preserve">  This service operates on several UHF television broadcast channels that are not used for television broadcasting in the coastal areas of states bordering the Gulf of Mexico.</w:t>
      </w:r>
      <w:r>
        <w:rPr>
          <w:rStyle w:val="StyleFootnoteReferenceStyle13Style12NECGFootnoteReferenc"/>
        </w:rPr>
        <w:footnoteReference w:id="604"/>
      </w:r>
      <w:r>
        <w:t xml:space="preserve">  There are presently approximately 55 licensees in this service.  We are unable to estimate at this time the number of licensees that would qualify as small under the SBA’s small business size standard for the category of Wireless Telecommunications Carriers (except Satellite).  Under that SBA small business size standard, a business is small if it has 1,500 or fewer employees.</w:t>
      </w:r>
      <w:r>
        <w:rPr>
          <w:rStyle w:val="StyleFootnoteReferenceStyle13Style12NECGFootnoteReferenc"/>
        </w:rPr>
        <w:footnoteReference w:id="605"/>
      </w:r>
      <w:r>
        <w:t xml:space="preserve">   </w:t>
      </w:r>
      <w:r>
        <w:rPr>
          <w:szCs w:val="22"/>
        </w:rPr>
        <w:t>Census data for 2007, which supersede data contained in the 2002 Census, show that there were 1,383 firms that operated that year.</w:t>
      </w:r>
      <w:r>
        <w:rPr>
          <w:rStyle w:val="FootnoteReference"/>
          <w:szCs w:val="22"/>
        </w:rPr>
        <w:footnoteReference w:id="606"/>
      </w:r>
      <w:r>
        <w:rPr>
          <w:szCs w:val="22"/>
        </w:rPr>
        <w:t xml:space="preserve">  Of those 1,383, 1,368 had fewer than 100 employees, and 15 firms had more than 100 employees. </w:t>
      </w:r>
      <w:r>
        <w:t xml:space="preserve"> Thus, under this category and the associated small business size standard, the majority of firms can be considered small.</w:t>
      </w:r>
    </w:p>
    <w:p w14:paraId="651838F7" w14:textId="77777777" w:rsidR="00EC5135" w:rsidRPr="00B0601B" w:rsidRDefault="00EC5135" w:rsidP="00EE2E1F">
      <w:pPr>
        <w:pStyle w:val="ParaNum"/>
        <w:widowControl/>
        <w:tabs>
          <w:tab w:val="clear" w:pos="1440"/>
        </w:tabs>
      </w:pPr>
      <w:r>
        <w:rPr>
          <w:i/>
        </w:rPr>
        <w:t>Wireless Telephony</w:t>
      </w:r>
      <w:r>
        <w:t>.  Wireless telephony includes cellular, personal communications services, and specialized mobile radio telephony carriers.  As noted, the SBA has developed a small business size standard for Wireless Telecommunications Carriers (except Satellite).</w:t>
      </w:r>
      <w:r>
        <w:rPr>
          <w:rStyle w:val="FootnoteReference"/>
          <w:szCs w:val="22"/>
        </w:rPr>
        <w:footnoteReference w:id="607"/>
      </w:r>
      <w:r>
        <w:t xml:space="preserve">  Under the SBA small business size standard, a business is small if it has 1,500 or fewer employees.</w:t>
      </w:r>
      <w:r>
        <w:rPr>
          <w:rStyle w:val="FootnoteReference"/>
          <w:szCs w:val="22"/>
        </w:rPr>
        <w:footnoteReference w:id="608"/>
      </w:r>
      <w:r>
        <w:t xml:space="preserve">  According to </w:t>
      </w:r>
      <w:r>
        <w:rPr>
          <w:i/>
        </w:rPr>
        <w:t>Trends in Telephone Service</w:t>
      </w:r>
      <w:r>
        <w:t xml:space="preserve"> data, 413 carriers reported that they were engaged in wireless telephony.</w:t>
      </w:r>
      <w:r>
        <w:rPr>
          <w:rStyle w:val="FootnoteReference"/>
          <w:szCs w:val="22"/>
        </w:rPr>
        <w:footnoteReference w:id="609"/>
      </w:r>
      <w:r>
        <w:t xml:space="preserve">  Of these, an estimated 261 have 1,500 or fewer employees and 152 have more than 1,500 employees.</w:t>
      </w:r>
      <w:r>
        <w:rPr>
          <w:rStyle w:val="FootnoteReference"/>
          <w:szCs w:val="22"/>
        </w:rPr>
        <w:footnoteReference w:id="610"/>
      </w:r>
      <w:r>
        <w:t xml:space="preserve">  Therefore, more than half of these entities can be considered small.</w:t>
      </w:r>
    </w:p>
    <w:p w14:paraId="6D4E58EF" w14:textId="77777777" w:rsidR="00EC5135" w:rsidRPr="00B0601B" w:rsidRDefault="00EC5135" w:rsidP="00EE2E1F">
      <w:pPr>
        <w:pStyle w:val="ParaNum"/>
        <w:tabs>
          <w:tab w:val="clear" w:pos="1440"/>
        </w:tabs>
      </w:pPr>
      <w:r w:rsidRPr="00B0601B">
        <w:t xml:space="preserve">The second category, </w:t>
      </w:r>
      <w:r w:rsidRPr="00AC5E2F">
        <w:rPr>
          <w:i/>
        </w:rPr>
        <w:t>i.e.</w:t>
      </w:r>
      <w:r>
        <w:t>,</w:t>
      </w:r>
      <w:r w:rsidRPr="00B0601B">
        <w:t xml:space="preserve"> “All Other Telecommunications</w:t>
      </w:r>
      <w:r>
        <w:t>,</w:t>
      </w:r>
      <w:r w:rsidRPr="00B0601B">
        <w:t xml:space="preserve">” comprises “establishments primarily engaged in providing specialized telecommunications services, such as satellite tracking, communications telemetry, and radar station operation. </w:t>
      </w:r>
      <w:r>
        <w:t xml:space="preserve"> </w:t>
      </w:r>
      <w:r w:rsidRPr="00B0601B">
        <w:t xml:space="preserve">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w:t>
      </w:r>
      <w:r>
        <w:t xml:space="preserve"> </w:t>
      </w:r>
      <w:r w:rsidRPr="00B0601B">
        <w:rPr>
          <w:color w:val="000000"/>
        </w:rPr>
        <w:t>Establishments providing Internet services or Voice over Internet Protocol (VoIP) services via client-supplied telecommunications connections are also included in this industry.</w:t>
      </w:r>
      <w:r w:rsidRPr="00B0601B">
        <w:t>”</w:t>
      </w:r>
      <w:r w:rsidRPr="00E84FA6">
        <w:rPr>
          <w:rStyle w:val="StyleFootnoteReferenceStyle13Style12NECGFootnoteReferenc"/>
          <w:szCs w:val="22"/>
        </w:rPr>
        <w:footnoteReference w:id="611"/>
      </w:r>
      <w:r w:rsidRPr="00B0601B">
        <w:t xml:space="preserve">  For this category, Census Bureau data for 2007 show that there were a total of 2,623 firms that operated for the entire year.</w:t>
      </w:r>
      <w:r w:rsidRPr="00E84FA6">
        <w:rPr>
          <w:rStyle w:val="StyleFootnoteReferenceStyle13Style12NECGFootnoteReferenc"/>
          <w:szCs w:val="22"/>
        </w:rPr>
        <w:footnoteReference w:id="612"/>
      </w:r>
      <w:r w:rsidRPr="00B0601B">
        <w:t xml:space="preserve">  Consequently, the Commission estimates that the majority of All Other Telecommunications firms are small entities that might be affected by rules proposed in the </w:t>
      </w:r>
      <w:r>
        <w:rPr>
          <w:i/>
        </w:rPr>
        <w:t>Third</w:t>
      </w:r>
      <w:r w:rsidRPr="00B0601B">
        <w:rPr>
          <w:i/>
        </w:rPr>
        <w:t xml:space="preserve"> Further Notice</w:t>
      </w:r>
      <w:r w:rsidRPr="00B0601B">
        <w:t>.</w:t>
      </w:r>
    </w:p>
    <w:p w14:paraId="71B6B6AB" w14:textId="77777777" w:rsidR="00EC5135" w:rsidRPr="005F4387" w:rsidRDefault="00EC5135" w:rsidP="00EC5135">
      <w:pPr>
        <w:pStyle w:val="Heading4"/>
        <w:rPr>
          <w:spacing w:val="-2"/>
        </w:rPr>
      </w:pPr>
      <w:bookmarkStart w:id="867" w:name="_Toc297278848"/>
      <w:bookmarkStart w:id="868" w:name="_Toc297280025"/>
      <w:bookmarkStart w:id="869" w:name="_Toc335990494"/>
      <w:bookmarkStart w:id="870" w:name="_Toc335990609"/>
      <w:bookmarkStart w:id="871" w:name="_Toc335990732"/>
      <w:bookmarkStart w:id="872" w:name="_Toc341262733"/>
      <w:bookmarkStart w:id="873" w:name="_Toc341263068"/>
      <w:bookmarkStart w:id="874" w:name="_Toc379787533"/>
      <w:bookmarkStart w:id="875" w:name="_Toc379902615"/>
      <w:bookmarkStart w:id="876" w:name="_Toc379903301"/>
      <w:bookmarkStart w:id="877" w:name="_Toc379907080"/>
      <w:bookmarkStart w:id="878" w:name="_Toc380482121"/>
      <w:bookmarkStart w:id="879" w:name="_Toc380483114"/>
      <w:bookmarkStart w:id="880" w:name="_Toc380569187"/>
      <w:bookmarkStart w:id="881" w:name="_Toc380580375"/>
      <w:bookmarkStart w:id="882" w:name="_Toc380581443"/>
      <w:bookmarkStart w:id="883" w:name="_Toc380584433"/>
      <w:bookmarkStart w:id="884" w:name="_Toc408490599"/>
      <w:r>
        <w:t>Equipment Manufacturers</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14:paraId="098AA30E" w14:textId="77777777" w:rsidR="00EC5135" w:rsidRDefault="00EC5135" w:rsidP="00EE2E1F">
      <w:pPr>
        <w:pStyle w:val="ParaNum"/>
        <w:tabs>
          <w:tab w:val="clear" w:pos="1440"/>
        </w:tabs>
      </w:pPr>
      <w:bookmarkStart w:id="885" w:name="OLE_LINK9"/>
      <w:bookmarkStart w:id="886" w:name="OLE_LINK10"/>
      <w:r>
        <w:rPr>
          <w:bCs/>
          <w:i/>
          <w:iCs/>
        </w:rPr>
        <w:t xml:space="preserve">Radio and Television Broadcasting and </w:t>
      </w:r>
      <w:r>
        <w:rPr>
          <w:i/>
        </w:rPr>
        <w:t>Wireless Communications Equipment Manufacturing.</w:t>
      </w:r>
      <w:r>
        <w:t xml:space="preserve">  The Census Bureau defines this category as follows: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 The SBA has developed a small business size standard for Radio and Television Broadcasting and Wireless Communications Equipment Manufacturing which is: all such firms having 750 or fewer employees. According to Census Bureau data for 2007, there were a total of 939 establishments in this category that operated for part or all of the entire year. Of this total, 784 had less than 500 employees and 155 had more than 100 employees.</w:t>
      </w:r>
      <w:r>
        <w:rPr>
          <w:rStyle w:val="FootnoteReference"/>
          <w:color w:val="000000"/>
          <w:szCs w:val="22"/>
        </w:rPr>
        <w:footnoteReference w:id="613"/>
      </w:r>
      <w:r>
        <w:t xml:space="preserve"> Thus, under this size standard, the majority of firms can be considered small.</w:t>
      </w:r>
      <w:bookmarkEnd w:id="885"/>
      <w:bookmarkEnd w:id="886"/>
    </w:p>
    <w:p w14:paraId="269DF6FA" w14:textId="77777777" w:rsidR="00EC5135" w:rsidRDefault="00EC5135" w:rsidP="00EE2E1F">
      <w:pPr>
        <w:pStyle w:val="ParaNum"/>
        <w:tabs>
          <w:tab w:val="clear" w:pos="1440"/>
        </w:tabs>
      </w:pPr>
      <w:r>
        <w:rPr>
          <w:i/>
        </w:rPr>
        <w:t xml:space="preserve">Semiconductor and Related Device Manufacturing.  </w:t>
      </w:r>
      <w:r>
        <w:t>These establishments manufacture “computer storage devices that allow the storage and retrieval of data from a phase change, magnetic, optical, or magnetic/optical media</w:t>
      </w:r>
      <w:r>
        <w:rPr>
          <w:i/>
        </w:rPr>
        <w:t xml:space="preserve">. The </w:t>
      </w:r>
      <w:r>
        <w:t>SBA has developed a small business size standard for this category of manufacturing; that size standard is 500 or fewer employees</w:t>
      </w:r>
      <w:r>
        <w:rPr>
          <w:i/>
        </w:rPr>
        <w:t xml:space="preserve"> </w:t>
      </w:r>
      <w:r>
        <w:t>storage and retrieval of data from a phase change, magnetic, optical, or magnetic/optical media.”</w:t>
      </w:r>
      <w:r>
        <w:rPr>
          <w:rStyle w:val="FootnoteReference"/>
          <w:szCs w:val="22"/>
        </w:rPr>
        <w:footnoteReference w:id="614"/>
      </w:r>
      <w:r>
        <w:t xml:space="preserve">  According to data from the 2007 U.S. Census, in 2007, there were 954 establishments engaged in this business.  Of these, 545 had from 1 to 19 employees; 219 had from 20 to 99 employees; and 190 had 100 or more employees.</w:t>
      </w:r>
      <w:r>
        <w:rPr>
          <w:rStyle w:val="FootnoteReference"/>
          <w:szCs w:val="22"/>
        </w:rPr>
        <w:footnoteReference w:id="615"/>
      </w:r>
      <w:r>
        <w:t xml:space="preserve"> Based on this data, the Commission concludes that the majority of the businesses engaged in this industry are small.</w:t>
      </w:r>
    </w:p>
    <w:p w14:paraId="151892B7" w14:textId="77777777" w:rsidR="00EC5135" w:rsidRPr="00CF5F8C" w:rsidRDefault="00EC5135" w:rsidP="00EC5135">
      <w:pPr>
        <w:pStyle w:val="Heading2"/>
      </w:pPr>
      <w:bookmarkStart w:id="887" w:name="_Toc408421349"/>
      <w:bookmarkStart w:id="888" w:name="_Toc408490600"/>
      <w:bookmarkStart w:id="889" w:name="_Toc408496236"/>
      <w:bookmarkStart w:id="890" w:name="_Toc408502437"/>
      <w:bookmarkStart w:id="891" w:name="_Toc410119109"/>
      <w:bookmarkStart w:id="892" w:name="_Toc410123688"/>
      <w:bookmarkStart w:id="893" w:name="_Toc410124670"/>
      <w:bookmarkStart w:id="894" w:name="_Toc410124750"/>
      <w:bookmarkStart w:id="895" w:name="_Toc410146144"/>
      <w:bookmarkStart w:id="896" w:name="_Toc410212668"/>
      <w:bookmarkStart w:id="897" w:name="_Toc410648309"/>
      <w:r w:rsidRPr="00CF5F8C">
        <w:t>Description of Projected Reporting, Recordkeeping, and Other Compliance Requirements for Small Entities</w:t>
      </w:r>
      <w:bookmarkEnd w:id="887"/>
      <w:bookmarkEnd w:id="888"/>
      <w:bookmarkEnd w:id="889"/>
      <w:bookmarkEnd w:id="890"/>
      <w:bookmarkEnd w:id="891"/>
      <w:bookmarkEnd w:id="892"/>
      <w:bookmarkEnd w:id="893"/>
      <w:bookmarkEnd w:id="894"/>
      <w:bookmarkEnd w:id="895"/>
      <w:bookmarkEnd w:id="896"/>
      <w:bookmarkEnd w:id="897"/>
    </w:p>
    <w:p w14:paraId="6AC12B4D" w14:textId="752C10ED" w:rsidR="00EC5135" w:rsidRDefault="00EC5135" w:rsidP="00EE2E1F">
      <w:pPr>
        <w:pStyle w:val="ParaNum"/>
        <w:tabs>
          <w:tab w:val="clear" w:pos="1440"/>
        </w:tabs>
        <w:rPr>
          <w:szCs w:val="22"/>
        </w:rPr>
      </w:pPr>
      <w:r w:rsidRPr="00D161D4">
        <w:t>In this</w:t>
      </w:r>
      <w:r>
        <w:t xml:space="preserve"> </w:t>
      </w:r>
      <w:r w:rsidRPr="00D161D4">
        <w:rPr>
          <w:i/>
        </w:rPr>
        <w:t>Fourth Report and Order</w:t>
      </w:r>
      <w:r>
        <w:t xml:space="preserve">, we require nationwide CMRS </w:t>
      </w:r>
      <w:r w:rsidRPr="00D161D4">
        <w:rPr>
          <w:szCs w:val="22"/>
        </w:rPr>
        <w:t xml:space="preserve">providers report to the Commission on their plans for implementing improved indoor location accuracy no later than 18 months from the date when the rules contained herein become effective.  </w:t>
      </w:r>
      <w:r>
        <w:rPr>
          <w:szCs w:val="22"/>
        </w:rPr>
        <w:t>To address concerns raised by small and regional CMRS providers, non-nationwide CMRS providers will have an additional six months to submit their plans.  These initial reports</w:t>
      </w:r>
      <w:r w:rsidRPr="00D161D4">
        <w:rPr>
          <w:szCs w:val="22"/>
        </w:rPr>
        <w:t xml:space="preserve"> will include details as to the CMRS provider’s implementation plan to meet our requirements in the three- and six-year timeframes, and these one-time reports will ensure that each CMRS provider (including small and/or rural) makes at least some progress toward improving indoor location accuracy in the near term.  </w:t>
      </w:r>
      <w:r>
        <w:rPr>
          <w:szCs w:val="22"/>
        </w:rPr>
        <w:t xml:space="preserve">Furthermore, all CMRS providers must also report to the Commission on their progress toward implementation of their plans no later than 36 months from the </w:t>
      </w:r>
      <w:r w:rsidR="005B5B39">
        <w:rPr>
          <w:szCs w:val="22"/>
        </w:rPr>
        <w:t>Effective Date</w:t>
      </w:r>
      <w:r>
        <w:rPr>
          <w:szCs w:val="22"/>
        </w:rPr>
        <w:t xml:space="preserve">.  </w:t>
      </w:r>
      <w:r w:rsidRPr="00D161D4">
        <w:rPr>
          <w:szCs w:val="22"/>
        </w:rPr>
        <w:t>We believe the global data provided through these reports may enable the Commission to identify efficiencies and facilitate coordination among providers, and may help ensure that CMRS providers do not invest too heavily in duplicative technologies or in technology and system design that proves unusable.</w:t>
      </w:r>
    </w:p>
    <w:p w14:paraId="0FA72B5A" w14:textId="477038FA" w:rsidR="00EC5135" w:rsidRPr="00B65C10" w:rsidRDefault="00EC5135" w:rsidP="008B432C">
      <w:pPr>
        <w:pStyle w:val="ParaNum"/>
        <w:tabs>
          <w:tab w:val="clear" w:pos="1440"/>
        </w:tabs>
      </w:pPr>
      <w:r w:rsidRPr="00D161D4">
        <w:t>The</w:t>
      </w:r>
      <w:r w:rsidRPr="00D161D4">
        <w:rPr>
          <w:szCs w:val="22"/>
        </w:rPr>
        <w:t xml:space="preserve"> rul</w:t>
      </w:r>
      <w:r>
        <w:rPr>
          <w:szCs w:val="22"/>
        </w:rPr>
        <w:t>es we adopt today require that:</w:t>
      </w:r>
    </w:p>
    <w:p w14:paraId="1B36D146" w14:textId="6A072042" w:rsidR="00EC5135" w:rsidRDefault="00EC5135" w:rsidP="00EC5135">
      <w:pPr>
        <w:numPr>
          <w:ilvl w:val="0"/>
          <w:numId w:val="4"/>
        </w:numPr>
        <w:rPr>
          <w:szCs w:val="22"/>
        </w:rPr>
      </w:pPr>
      <w:r>
        <w:rPr>
          <w:szCs w:val="22"/>
        </w:rPr>
        <w:t>All</w:t>
      </w:r>
      <w:r w:rsidRPr="000356BD">
        <w:rPr>
          <w:szCs w:val="22"/>
        </w:rPr>
        <w:t xml:space="preserve"> CMRS providers must provide (1) dispatchable location,</w:t>
      </w:r>
      <w:r w:rsidRPr="00D73874">
        <w:t xml:space="preserve"> </w:t>
      </w:r>
      <w:r w:rsidRPr="000356BD">
        <w:rPr>
          <w:szCs w:val="22"/>
        </w:rPr>
        <w:t xml:space="preserve">or (2) x/y </w:t>
      </w:r>
      <w:r>
        <w:rPr>
          <w:szCs w:val="22"/>
        </w:rPr>
        <w:t xml:space="preserve">(horizontal) </w:t>
      </w:r>
      <w:r w:rsidRPr="000356BD">
        <w:rPr>
          <w:szCs w:val="22"/>
        </w:rPr>
        <w:t>location within 50 meters, for the following percentages of wireless 911 calls</w:t>
      </w:r>
      <w:r>
        <w:rPr>
          <w:szCs w:val="22"/>
        </w:rPr>
        <w:t xml:space="preserve"> within the following timeframes, measured from</w:t>
      </w:r>
      <w:r w:rsidRPr="00942901">
        <w:t xml:space="preserve"> the </w:t>
      </w:r>
      <w:r w:rsidR="005B5B39" w:rsidRPr="00942901">
        <w:t xml:space="preserve">Effective Date </w:t>
      </w:r>
      <w:r w:rsidRPr="00942901">
        <w:t xml:space="preserve">of rules adopted in this </w:t>
      </w:r>
      <w:r w:rsidRPr="00270C45">
        <w:rPr>
          <w:i/>
        </w:rPr>
        <w:t>Fourth Report and Order</w:t>
      </w:r>
      <w:r>
        <w:t>:</w:t>
      </w:r>
    </w:p>
    <w:p w14:paraId="2107190A" w14:textId="77777777" w:rsidR="00EC5135" w:rsidRPr="000356BD" w:rsidRDefault="00EC5135" w:rsidP="00EC5135">
      <w:pPr>
        <w:ind w:left="360"/>
        <w:rPr>
          <w:szCs w:val="22"/>
        </w:rPr>
      </w:pPr>
    </w:p>
    <w:p w14:paraId="2858475C" w14:textId="77777777" w:rsidR="00EC5135" w:rsidRPr="000356BD" w:rsidRDefault="00EC5135" w:rsidP="00EC5135">
      <w:pPr>
        <w:numPr>
          <w:ilvl w:val="1"/>
          <w:numId w:val="4"/>
        </w:numPr>
        <w:rPr>
          <w:szCs w:val="22"/>
        </w:rPr>
      </w:pPr>
      <w:r w:rsidRPr="000356BD">
        <w:rPr>
          <w:szCs w:val="22"/>
        </w:rPr>
        <w:t>Within 2 years: 40 percent of all wireless 911 calls.</w:t>
      </w:r>
    </w:p>
    <w:p w14:paraId="5DB66D23" w14:textId="11ECF82F" w:rsidR="00EC5135" w:rsidRPr="000356BD" w:rsidRDefault="00EC5135" w:rsidP="00EC5135">
      <w:pPr>
        <w:numPr>
          <w:ilvl w:val="1"/>
          <w:numId w:val="4"/>
        </w:numPr>
        <w:rPr>
          <w:szCs w:val="22"/>
        </w:rPr>
      </w:pPr>
      <w:r w:rsidRPr="000356BD">
        <w:rPr>
          <w:szCs w:val="22"/>
        </w:rPr>
        <w:t>Within 3 years: 50 percent of all wireless 911 calls.</w:t>
      </w:r>
    </w:p>
    <w:p w14:paraId="3A85B3F4" w14:textId="77777777" w:rsidR="00EC5135" w:rsidRPr="000356BD" w:rsidRDefault="00EC5135" w:rsidP="00EC5135">
      <w:pPr>
        <w:numPr>
          <w:ilvl w:val="1"/>
          <w:numId w:val="4"/>
        </w:numPr>
        <w:rPr>
          <w:szCs w:val="22"/>
        </w:rPr>
      </w:pPr>
      <w:r>
        <w:rPr>
          <w:szCs w:val="22"/>
        </w:rPr>
        <w:t>Within 5 years: 7</w:t>
      </w:r>
      <w:r w:rsidRPr="000356BD">
        <w:rPr>
          <w:szCs w:val="22"/>
        </w:rPr>
        <w:t>0 percent of all wireless 911 calls</w:t>
      </w:r>
      <w:r>
        <w:rPr>
          <w:szCs w:val="22"/>
        </w:rPr>
        <w:t>.</w:t>
      </w:r>
      <w:r w:rsidRPr="000356BD">
        <w:rPr>
          <w:szCs w:val="22"/>
        </w:rPr>
        <w:t xml:space="preserve"> </w:t>
      </w:r>
    </w:p>
    <w:p w14:paraId="3655621F" w14:textId="5515AA4B" w:rsidR="00EC5135" w:rsidRDefault="00EC5135" w:rsidP="00EE2E1F">
      <w:pPr>
        <w:numPr>
          <w:ilvl w:val="1"/>
          <w:numId w:val="4"/>
        </w:numPr>
        <w:rPr>
          <w:szCs w:val="22"/>
        </w:rPr>
      </w:pPr>
      <w:r w:rsidRPr="000356BD">
        <w:rPr>
          <w:szCs w:val="22"/>
        </w:rPr>
        <w:t>Within 6 years: 80 percent of all wireless 911 calls</w:t>
      </w:r>
      <w:r>
        <w:rPr>
          <w:szCs w:val="22"/>
        </w:rPr>
        <w:t>.</w:t>
      </w:r>
      <w:r w:rsidRPr="000356BD">
        <w:rPr>
          <w:szCs w:val="22"/>
        </w:rPr>
        <w:t xml:space="preserve">  </w:t>
      </w:r>
    </w:p>
    <w:p w14:paraId="04A207DF" w14:textId="2865D6AD" w:rsidR="00EC5135" w:rsidRPr="000356BD" w:rsidRDefault="00EC5135" w:rsidP="00EC5135">
      <w:pPr>
        <w:ind w:left="1440"/>
        <w:rPr>
          <w:szCs w:val="22"/>
        </w:rPr>
      </w:pPr>
    </w:p>
    <w:p w14:paraId="5714A9DC" w14:textId="6033D598" w:rsidR="00EC5135" w:rsidRDefault="00EC5135" w:rsidP="00EC5135">
      <w:pPr>
        <w:numPr>
          <w:ilvl w:val="0"/>
          <w:numId w:val="4"/>
        </w:numPr>
        <w:rPr>
          <w:szCs w:val="22"/>
        </w:rPr>
      </w:pPr>
      <w:r w:rsidRPr="000356BD">
        <w:rPr>
          <w:szCs w:val="22"/>
        </w:rPr>
        <w:t xml:space="preserve">Non-nationwide CMRS providers (regional, small, and rural </w:t>
      </w:r>
      <w:r w:rsidR="00B632BE">
        <w:rPr>
          <w:szCs w:val="22"/>
        </w:rPr>
        <w:t>provid</w:t>
      </w:r>
      <w:r w:rsidRPr="000356BD">
        <w:rPr>
          <w:szCs w:val="22"/>
        </w:rPr>
        <w:t xml:space="preserve">ers) </w:t>
      </w:r>
      <w:r>
        <w:rPr>
          <w:szCs w:val="22"/>
        </w:rPr>
        <w:t xml:space="preserve">can extend the five and six-year deadlines based on the timing of VoLTE deployment in the networks.  </w:t>
      </w:r>
    </w:p>
    <w:p w14:paraId="4EC5516F" w14:textId="77777777" w:rsidR="00EC5135" w:rsidRDefault="00EC5135" w:rsidP="00EC5135">
      <w:pPr>
        <w:ind w:left="360"/>
        <w:rPr>
          <w:szCs w:val="22"/>
        </w:rPr>
      </w:pPr>
    </w:p>
    <w:p w14:paraId="02D1FA7A" w14:textId="77777777" w:rsidR="00EC5135" w:rsidRDefault="00EC5135" w:rsidP="008B432C">
      <w:pPr>
        <w:pStyle w:val="ParaNum"/>
        <w:tabs>
          <w:tab w:val="clear" w:pos="1440"/>
        </w:tabs>
        <w:rPr>
          <w:szCs w:val="22"/>
        </w:rPr>
      </w:pPr>
      <w:r>
        <w:rPr>
          <w:szCs w:val="22"/>
        </w:rPr>
        <w:t xml:space="preserve">All </w:t>
      </w:r>
      <w:r w:rsidRPr="008D23CA">
        <w:rPr>
          <w:szCs w:val="22"/>
        </w:rPr>
        <w:t xml:space="preserve">CMRS providers must </w:t>
      </w:r>
      <w:r>
        <w:rPr>
          <w:szCs w:val="22"/>
        </w:rPr>
        <w:t>meet the following requirements for provision of vertical location information with wireless 911 calls:</w:t>
      </w:r>
    </w:p>
    <w:p w14:paraId="4C82C40E" w14:textId="77777777" w:rsidR="00EC5135" w:rsidRDefault="00EC5135" w:rsidP="00EC5135">
      <w:pPr>
        <w:ind w:left="360"/>
        <w:rPr>
          <w:szCs w:val="22"/>
        </w:rPr>
      </w:pPr>
    </w:p>
    <w:p w14:paraId="4FA82D98" w14:textId="77777777" w:rsidR="00EC5135" w:rsidRDefault="00EC5135" w:rsidP="00EC5135">
      <w:pPr>
        <w:numPr>
          <w:ilvl w:val="1"/>
          <w:numId w:val="4"/>
        </w:numPr>
        <w:rPr>
          <w:szCs w:val="22"/>
        </w:rPr>
      </w:pPr>
      <w:r>
        <w:rPr>
          <w:szCs w:val="22"/>
        </w:rPr>
        <w:t xml:space="preserve">Within 3 years, all CMRS providers must </w:t>
      </w:r>
      <w:r w:rsidRPr="008D23CA">
        <w:rPr>
          <w:szCs w:val="22"/>
        </w:rPr>
        <w:t>make uncompensated barometric data available to PSAPs from any handset that has</w:t>
      </w:r>
      <w:r>
        <w:rPr>
          <w:szCs w:val="22"/>
        </w:rPr>
        <w:t xml:space="preserve"> the capability to deliver </w:t>
      </w:r>
      <w:r w:rsidRPr="008D23CA">
        <w:rPr>
          <w:szCs w:val="22"/>
        </w:rPr>
        <w:t>barometric sensor</w:t>
      </w:r>
      <w:r>
        <w:rPr>
          <w:szCs w:val="22"/>
        </w:rPr>
        <w:t xml:space="preserve"> data</w:t>
      </w:r>
      <w:r w:rsidRPr="008D23CA">
        <w:rPr>
          <w:szCs w:val="22"/>
        </w:rPr>
        <w:t>.</w:t>
      </w:r>
      <w:r>
        <w:rPr>
          <w:szCs w:val="22"/>
        </w:rPr>
        <w:t xml:space="preserve">  </w:t>
      </w:r>
    </w:p>
    <w:p w14:paraId="01EA0F44" w14:textId="77777777" w:rsidR="00EC5135" w:rsidRDefault="00EC5135" w:rsidP="00EC5135">
      <w:pPr>
        <w:numPr>
          <w:ilvl w:val="1"/>
          <w:numId w:val="4"/>
        </w:numPr>
        <w:rPr>
          <w:szCs w:val="22"/>
        </w:rPr>
      </w:pPr>
      <w:r>
        <w:rPr>
          <w:szCs w:val="22"/>
        </w:rPr>
        <w:t>Within 3 years, n</w:t>
      </w:r>
      <w:r w:rsidRPr="00CF5CDC">
        <w:rPr>
          <w:szCs w:val="22"/>
        </w:rPr>
        <w:t xml:space="preserve">ationwide </w:t>
      </w:r>
      <w:r>
        <w:rPr>
          <w:szCs w:val="22"/>
        </w:rPr>
        <w:t xml:space="preserve">CMRS providers </w:t>
      </w:r>
      <w:r w:rsidRPr="00CF5CDC">
        <w:rPr>
          <w:szCs w:val="22"/>
        </w:rPr>
        <w:t xml:space="preserve">must </w:t>
      </w:r>
      <w:r>
        <w:rPr>
          <w:szCs w:val="22"/>
        </w:rPr>
        <w:t xml:space="preserve">use an independently administered and transparent test bed process to develop a proposed z-axis accuracy metric, and must </w:t>
      </w:r>
      <w:r w:rsidRPr="00CF5CDC">
        <w:rPr>
          <w:szCs w:val="22"/>
        </w:rPr>
        <w:t xml:space="preserve">submit </w:t>
      </w:r>
      <w:r>
        <w:rPr>
          <w:szCs w:val="22"/>
        </w:rPr>
        <w:t xml:space="preserve">the proposed metric to </w:t>
      </w:r>
      <w:r w:rsidRPr="00CF5CDC">
        <w:rPr>
          <w:szCs w:val="22"/>
        </w:rPr>
        <w:t>the Commission</w:t>
      </w:r>
      <w:r>
        <w:rPr>
          <w:szCs w:val="22"/>
        </w:rPr>
        <w:t xml:space="preserve"> for approval. </w:t>
      </w:r>
    </w:p>
    <w:p w14:paraId="0B585E86" w14:textId="77777777" w:rsidR="00EC5135" w:rsidRPr="008D23CA" w:rsidRDefault="00EC5135" w:rsidP="00EC5135">
      <w:pPr>
        <w:numPr>
          <w:ilvl w:val="1"/>
          <w:numId w:val="4"/>
        </w:numPr>
        <w:rPr>
          <w:szCs w:val="22"/>
        </w:rPr>
      </w:pPr>
      <w:r>
        <w:rPr>
          <w:szCs w:val="22"/>
        </w:rPr>
        <w:t xml:space="preserve">Within 6 </w:t>
      </w:r>
      <w:r w:rsidRPr="008D23CA">
        <w:rPr>
          <w:szCs w:val="22"/>
        </w:rPr>
        <w:t>year</w:t>
      </w:r>
      <w:r>
        <w:rPr>
          <w:szCs w:val="22"/>
        </w:rPr>
        <w:t>s, na</w:t>
      </w:r>
      <w:r w:rsidRPr="008D23CA">
        <w:rPr>
          <w:szCs w:val="22"/>
        </w:rPr>
        <w:t xml:space="preserve">tionwide </w:t>
      </w:r>
      <w:r>
        <w:rPr>
          <w:szCs w:val="22"/>
        </w:rPr>
        <w:t xml:space="preserve">CMRS provides </w:t>
      </w:r>
      <w:r w:rsidRPr="008D23CA">
        <w:rPr>
          <w:szCs w:val="22"/>
        </w:rPr>
        <w:t xml:space="preserve">must deploy either (1) dispatchable location, or (2) z-axis technology that achieves the </w:t>
      </w:r>
      <w:r>
        <w:rPr>
          <w:szCs w:val="22"/>
        </w:rPr>
        <w:t xml:space="preserve">Commission-approved z-axis metric, in each </w:t>
      </w:r>
      <w:r w:rsidRPr="008D23CA">
        <w:rPr>
          <w:szCs w:val="22"/>
        </w:rPr>
        <w:t xml:space="preserve">of the top 25 CMAs: </w:t>
      </w:r>
    </w:p>
    <w:p w14:paraId="582F04B6" w14:textId="77777777" w:rsidR="00EC5135" w:rsidRPr="008D23CA" w:rsidRDefault="00EC5135" w:rsidP="00EC5135">
      <w:pPr>
        <w:numPr>
          <w:ilvl w:val="2"/>
          <w:numId w:val="4"/>
        </w:numPr>
        <w:rPr>
          <w:szCs w:val="22"/>
        </w:rPr>
      </w:pPr>
      <w:r>
        <w:rPr>
          <w:szCs w:val="22"/>
        </w:rPr>
        <w:t xml:space="preserve">The National Emergency Address Database (NEAD) </w:t>
      </w:r>
      <w:r w:rsidRPr="008D23CA">
        <w:rPr>
          <w:szCs w:val="22"/>
        </w:rPr>
        <w:t xml:space="preserve">must </w:t>
      </w:r>
      <w:r>
        <w:rPr>
          <w:szCs w:val="22"/>
        </w:rPr>
        <w:t xml:space="preserve">be </w:t>
      </w:r>
      <w:r w:rsidRPr="008D23CA">
        <w:rPr>
          <w:szCs w:val="22"/>
        </w:rPr>
        <w:t>populate</w:t>
      </w:r>
      <w:r>
        <w:rPr>
          <w:szCs w:val="22"/>
        </w:rPr>
        <w:t xml:space="preserve">d </w:t>
      </w:r>
      <w:r w:rsidRPr="008D23CA">
        <w:rPr>
          <w:szCs w:val="22"/>
        </w:rPr>
        <w:t xml:space="preserve">with </w:t>
      </w:r>
      <w:r>
        <w:rPr>
          <w:szCs w:val="22"/>
        </w:rPr>
        <w:t>a total number of dispatchable location r</w:t>
      </w:r>
      <w:r w:rsidRPr="008D23CA">
        <w:rPr>
          <w:szCs w:val="22"/>
        </w:rPr>
        <w:t>eference points in the CMA equal to 25</w:t>
      </w:r>
      <w:r>
        <w:rPr>
          <w:szCs w:val="22"/>
        </w:rPr>
        <w:t xml:space="preserve"> percent </w:t>
      </w:r>
      <w:r w:rsidRPr="008D23CA">
        <w:rPr>
          <w:szCs w:val="22"/>
        </w:rPr>
        <w:t>of the CMA population</w:t>
      </w:r>
      <w:r>
        <w:rPr>
          <w:szCs w:val="22"/>
        </w:rPr>
        <w:t xml:space="preserve"> if dis</w:t>
      </w:r>
      <w:r w:rsidRPr="008D23CA">
        <w:rPr>
          <w:szCs w:val="22"/>
        </w:rPr>
        <w:t>patchable location</w:t>
      </w:r>
      <w:r>
        <w:rPr>
          <w:szCs w:val="22"/>
        </w:rPr>
        <w:t xml:space="preserve"> is used.</w:t>
      </w:r>
      <w:r w:rsidRPr="008D23CA">
        <w:rPr>
          <w:szCs w:val="22"/>
        </w:rPr>
        <w:t xml:space="preserve">   </w:t>
      </w:r>
    </w:p>
    <w:p w14:paraId="1ED49646" w14:textId="77777777" w:rsidR="00EC5135" w:rsidRPr="008D23CA" w:rsidRDefault="00EC5135" w:rsidP="0099404E">
      <w:pPr>
        <w:widowControl/>
        <w:numPr>
          <w:ilvl w:val="2"/>
          <w:numId w:val="4"/>
        </w:numPr>
        <w:rPr>
          <w:szCs w:val="22"/>
        </w:rPr>
      </w:pPr>
      <w:r>
        <w:rPr>
          <w:szCs w:val="22"/>
        </w:rPr>
        <w:t>CMRS providers must</w:t>
      </w:r>
      <w:r w:rsidRPr="008D23CA">
        <w:rPr>
          <w:szCs w:val="22"/>
        </w:rPr>
        <w:t xml:space="preserve"> deploy z-axis technology to cover 80 percent of the CMA population</w:t>
      </w:r>
      <w:r>
        <w:rPr>
          <w:szCs w:val="22"/>
        </w:rPr>
        <w:t xml:space="preserve"> if z</w:t>
      </w:r>
      <w:r w:rsidRPr="008D23CA">
        <w:rPr>
          <w:szCs w:val="22"/>
        </w:rPr>
        <w:t>-axis</w:t>
      </w:r>
      <w:r>
        <w:rPr>
          <w:szCs w:val="22"/>
        </w:rPr>
        <w:t xml:space="preserve"> technology is used</w:t>
      </w:r>
      <w:r w:rsidRPr="008D23CA">
        <w:rPr>
          <w:szCs w:val="22"/>
        </w:rPr>
        <w:t>.</w:t>
      </w:r>
    </w:p>
    <w:p w14:paraId="5C95AFA7" w14:textId="22829F4C" w:rsidR="00EC5135" w:rsidRPr="008D23CA" w:rsidRDefault="00EC5135" w:rsidP="00EC5135">
      <w:pPr>
        <w:numPr>
          <w:ilvl w:val="1"/>
          <w:numId w:val="4"/>
        </w:numPr>
        <w:rPr>
          <w:szCs w:val="22"/>
        </w:rPr>
      </w:pPr>
      <w:r>
        <w:rPr>
          <w:szCs w:val="22"/>
        </w:rPr>
        <w:t xml:space="preserve">Within 8 years, nationwide CMRS providers must deploy dispatchable location or z-axis technology in accordance with the above </w:t>
      </w:r>
      <w:r w:rsidRPr="008D23CA">
        <w:rPr>
          <w:szCs w:val="22"/>
        </w:rPr>
        <w:t>benchmarks in each of the top 50 CMAs</w:t>
      </w:r>
      <w:r>
        <w:rPr>
          <w:szCs w:val="22"/>
        </w:rPr>
        <w:t>.</w:t>
      </w:r>
      <w:r w:rsidRPr="008D23CA">
        <w:rPr>
          <w:szCs w:val="22"/>
        </w:rPr>
        <w:t xml:space="preserve">  </w:t>
      </w:r>
    </w:p>
    <w:p w14:paraId="75808AA8" w14:textId="77777777" w:rsidR="00EC5135" w:rsidRDefault="00EC5135" w:rsidP="00EC5135">
      <w:pPr>
        <w:numPr>
          <w:ilvl w:val="1"/>
          <w:numId w:val="4"/>
        </w:numPr>
        <w:rPr>
          <w:szCs w:val="22"/>
        </w:rPr>
      </w:pPr>
      <w:r w:rsidRPr="008D23CA">
        <w:rPr>
          <w:szCs w:val="22"/>
        </w:rPr>
        <w:t xml:space="preserve">Non-nationwide carriers that serve any of the top </w:t>
      </w:r>
      <w:r>
        <w:rPr>
          <w:szCs w:val="22"/>
        </w:rPr>
        <w:t xml:space="preserve">25 or </w:t>
      </w:r>
      <w:r w:rsidRPr="008D23CA">
        <w:rPr>
          <w:szCs w:val="22"/>
        </w:rPr>
        <w:t xml:space="preserve">50 CMAs </w:t>
      </w:r>
      <w:r>
        <w:rPr>
          <w:szCs w:val="22"/>
        </w:rPr>
        <w:t xml:space="preserve">will </w:t>
      </w:r>
      <w:r w:rsidRPr="008D23CA">
        <w:rPr>
          <w:szCs w:val="22"/>
        </w:rPr>
        <w:t xml:space="preserve">have </w:t>
      </w:r>
      <w:r>
        <w:rPr>
          <w:szCs w:val="22"/>
        </w:rPr>
        <w:t>an additional year to meet the latter two</w:t>
      </w:r>
      <w:r w:rsidRPr="008D23CA">
        <w:rPr>
          <w:szCs w:val="22"/>
        </w:rPr>
        <w:t xml:space="preserve"> benchmarks</w:t>
      </w:r>
      <w:r>
        <w:rPr>
          <w:szCs w:val="22"/>
        </w:rPr>
        <w:t xml:space="preserve"> (</w:t>
      </w:r>
      <w:r w:rsidRPr="00B65C10">
        <w:rPr>
          <w:i/>
          <w:szCs w:val="22"/>
        </w:rPr>
        <w:t>i.e</w:t>
      </w:r>
      <w:r>
        <w:rPr>
          <w:szCs w:val="22"/>
        </w:rPr>
        <w:t>., relating to years 6 and 8).</w:t>
      </w:r>
    </w:p>
    <w:p w14:paraId="5F544BEF" w14:textId="77777777" w:rsidR="00EC5135" w:rsidRDefault="00EC5135" w:rsidP="00EC5135">
      <w:pPr>
        <w:ind w:left="1440"/>
        <w:rPr>
          <w:szCs w:val="22"/>
        </w:rPr>
      </w:pPr>
    </w:p>
    <w:p w14:paraId="3FF2083C" w14:textId="76E62ECD" w:rsidR="00EC5135" w:rsidRPr="00EE2E1F" w:rsidRDefault="00EC5135" w:rsidP="00EE2E1F">
      <w:pPr>
        <w:pStyle w:val="ParaNum"/>
        <w:tabs>
          <w:tab w:val="clear" w:pos="1440"/>
        </w:tabs>
        <w:rPr>
          <w:kern w:val="0"/>
        </w:rPr>
      </w:pPr>
      <w:r w:rsidRPr="00E43563">
        <w:rPr>
          <w:szCs w:val="22"/>
        </w:rPr>
        <w:t>Quarterly reporting of live 911 data will begin no later than 18 months from the date the rules become effective</w:t>
      </w:r>
      <w:r>
        <w:rPr>
          <w:szCs w:val="22"/>
        </w:rPr>
        <w:t xml:space="preserve">; </w:t>
      </w:r>
      <w:r w:rsidRPr="00E43563">
        <w:rPr>
          <w:szCs w:val="22"/>
        </w:rPr>
        <w:t>CMRS providers will also provide quarterly live call data on a more granular basis that allows evaluation of the performance of individual location technologies within different morphologies (</w:t>
      </w:r>
      <w:r w:rsidRPr="008B432C">
        <w:rPr>
          <w:i/>
          <w:szCs w:val="22"/>
        </w:rPr>
        <w:t>e.g.,</w:t>
      </w:r>
      <w:r w:rsidRPr="00E43563">
        <w:rPr>
          <w:szCs w:val="22"/>
        </w:rPr>
        <w:t xml:space="preserve"> dense urban, urban, suburban, rural).  </w:t>
      </w:r>
      <w:r>
        <w:rPr>
          <w:szCs w:val="22"/>
        </w:rPr>
        <w:t xml:space="preserve">Public Safety </w:t>
      </w:r>
      <w:r w:rsidR="00B632BE">
        <w:rPr>
          <w:szCs w:val="22"/>
        </w:rPr>
        <w:t xml:space="preserve">Answering Points </w:t>
      </w:r>
      <w:r>
        <w:rPr>
          <w:szCs w:val="22"/>
        </w:rPr>
        <w:t>(</w:t>
      </w:r>
      <w:r w:rsidRPr="00D73874">
        <w:t>PSAPs</w:t>
      </w:r>
      <w:r>
        <w:t>)</w:t>
      </w:r>
      <w:r w:rsidRPr="00D73874">
        <w:t xml:space="preserve"> will be entitled to </w:t>
      </w:r>
      <w:r w:rsidRPr="00E72C52">
        <w:rPr>
          <w:kern w:val="0"/>
          <w:szCs w:val="22"/>
        </w:rPr>
        <w:t xml:space="preserve">obtain live call data from CMRS providers and </w:t>
      </w:r>
      <w:r w:rsidRPr="00EE2E1F">
        <w:rPr>
          <w:kern w:val="0"/>
        </w:rPr>
        <w:t xml:space="preserve">seek Commission enforcement of these requirements within their jurisdictions, but </w:t>
      </w:r>
      <w:r w:rsidRPr="00E72C52">
        <w:rPr>
          <w:kern w:val="0"/>
          <w:szCs w:val="22"/>
        </w:rPr>
        <w:t xml:space="preserve">they may seek enforcement </w:t>
      </w:r>
      <w:r w:rsidRPr="00EE2E1F">
        <w:rPr>
          <w:kern w:val="0"/>
        </w:rPr>
        <w:t>only so long as they have implemented policies that are designed to obtain all 911 location information made available by CMRS providers pursuant to our rules.</w:t>
      </w:r>
    </w:p>
    <w:p w14:paraId="4332BBAA" w14:textId="236E4163" w:rsidR="00EC5135" w:rsidRPr="00E43563" w:rsidRDefault="00EC5135" w:rsidP="008B432C">
      <w:pPr>
        <w:pStyle w:val="ParaNum"/>
        <w:tabs>
          <w:tab w:val="clear" w:pos="1440"/>
        </w:tabs>
        <w:rPr>
          <w:kern w:val="0"/>
        </w:rPr>
      </w:pPr>
      <w:r w:rsidRPr="00E72C52">
        <w:rPr>
          <w:kern w:val="0"/>
          <w:szCs w:val="22"/>
        </w:rPr>
        <w:t xml:space="preserve">We adopt a 30-second limit on </w:t>
      </w:r>
      <w:r w:rsidRPr="00E43563">
        <w:rPr>
          <w:kern w:val="0"/>
          <w:szCs w:val="22"/>
        </w:rPr>
        <w:t xml:space="preserve">the time period allowed for a CMRS provider to generate a location fix in order for the 911 call to be counted towards compliance with existing Phase II location </w:t>
      </w:r>
      <w:r w:rsidRPr="00EE2E1F">
        <w:t>accuracy</w:t>
      </w:r>
      <w:r w:rsidRPr="00E43563">
        <w:rPr>
          <w:kern w:val="0"/>
          <w:szCs w:val="22"/>
        </w:rPr>
        <w:t xml:space="preserve"> requirements that rely on outdoor testing, but we do not extend this provision to the new indoor-focused requirements adopted in this order.  We require that confidence and uncertainty data for all wireless 911 calls – whether placed from indoors or outdoors – be delivered at the request of a PSAP, on a per-call basis, with a uniform confidence level of 90 percent.</w:t>
      </w:r>
    </w:p>
    <w:p w14:paraId="0C5648BF" w14:textId="77777777" w:rsidR="00EC5135" w:rsidRPr="00F569C7" w:rsidRDefault="00EC5135" w:rsidP="00EE2E1F">
      <w:pPr>
        <w:pStyle w:val="ParaNum"/>
        <w:tabs>
          <w:tab w:val="clear" w:pos="1440"/>
        </w:tabs>
      </w:pPr>
      <w:r w:rsidRPr="004029B8">
        <w:rPr>
          <w:kern w:val="0"/>
        </w:rPr>
        <w:t xml:space="preserve">We require CMRS providers to provide 911 call data, including (1) the percentage of wireless 911 calls to the PSAP that include Phase II location information, and (2) per-call identification of the positioning </w:t>
      </w:r>
      <w:r w:rsidRPr="00EE2E1F">
        <w:t>source</w:t>
      </w:r>
      <w:r w:rsidRPr="004029B8">
        <w:rPr>
          <w:kern w:val="0"/>
        </w:rPr>
        <w:t xml:space="preserve"> method or methods used to derive location coordinates and/or dispatchable location</w:t>
      </w:r>
      <w:r>
        <w:rPr>
          <w:kern w:val="0"/>
        </w:rPr>
        <w:t>,</w:t>
      </w:r>
      <w:r w:rsidRPr="004029B8">
        <w:rPr>
          <w:kern w:val="0"/>
        </w:rPr>
        <w:t xml:space="preserve"> to any requesting PSAP.  Compliance with the 30-second time limit will </w:t>
      </w:r>
      <w:r>
        <w:rPr>
          <w:kern w:val="0"/>
        </w:rPr>
        <w:t xml:space="preserve">also </w:t>
      </w:r>
      <w:r w:rsidRPr="004029B8">
        <w:rPr>
          <w:kern w:val="0"/>
        </w:rPr>
        <w:t>be measured from this data.</w:t>
      </w:r>
    </w:p>
    <w:p w14:paraId="65316EA6" w14:textId="77777777" w:rsidR="00EC5135" w:rsidRPr="00CF5F8C" w:rsidRDefault="00EC5135" w:rsidP="00EC5135">
      <w:pPr>
        <w:pStyle w:val="Heading2"/>
      </w:pPr>
      <w:bookmarkStart w:id="898" w:name="_Toc408421350"/>
      <w:bookmarkStart w:id="899" w:name="_Toc408490601"/>
      <w:bookmarkStart w:id="900" w:name="_Toc408496237"/>
      <w:bookmarkStart w:id="901" w:name="_Toc408502438"/>
      <w:bookmarkStart w:id="902" w:name="_Toc410119110"/>
      <w:bookmarkStart w:id="903" w:name="_Toc410123689"/>
      <w:bookmarkStart w:id="904" w:name="_Toc410124671"/>
      <w:bookmarkStart w:id="905" w:name="_Toc410124751"/>
      <w:bookmarkStart w:id="906" w:name="_Toc410146145"/>
      <w:bookmarkStart w:id="907" w:name="_Toc410212669"/>
      <w:bookmarkStart w:id="908" w:name="_Toc410648310"/>
      <w:r w:rsidRPr="00CF5F8C">
        <w:t>Steps Taken to Minimize the Significant Economic Impact on Small Entities, and Significant Alternatives Considered</w:t>
      </w:r>
      <w:bookmarkEnd w:id="898"/>
      <w:bookmarkEnd w:id="899"/>
      <w:bookmarkEnd w:id="900"/>
      <w:bookmarkEnd w:id="901"/>
      <w:bookmarkEnd w:id="902"/>
      <w:bookmarkEnd w:id="903"/>
      <w:bookmarkEnd w:id="904"/>
      <w:bookmarkEnd w:id="905"/>
      <w:bookmarkEnd w:id="906"/>
      <w:bookmarkEnd w:id="907"/>
      <w:bookmarkEnd w:id="908"/>
    </w:p>
    <w:p w14:paraId="346EB70A" w14:textId="77777777" w:rsidR="00EC5135" w:rsidRPr="00CF5F8C" w:rsidRDefault="00EC5135" w:rsidP="00EE2E1F">
      <w:pPr>
        <w:pStyle w:val="ParaNum"/>
        <w:tabs>
          <w:tab w:val="clear" w:pos="1440"/>
        </w:tabs>
      </w:pPr>
      <w:r w:rsidRPr="00CF5F8C">
        <w:t xml:space="preserve">The RFA requires an agency to describe any significant alternatives that it has considered in developing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   </w:t>
      </w:r>
    </w:p>
    <w:p w14:paraId="1670C138" w14:textId="77777777" w:rsidR="00EC5135" w:rsidRDefault="00EC5135" w:rsidP="00EE2E1F">
      <w:pPr>
        <w:pStyle w:val="ParaNum"/>
        <w:tabs>
          <w:tab w:val="clear" w:pos="1440"/>
        </w:tabs>
      </w:pPr>
      <w:r>
        <w:t xml:space="preserve">We received </w:t>
      </w:r>
      <w:r w:rsidRPr="00940A31">
        <w:t xml:space="preserve">comments </w:t>
      </w:r>
      <w:r>
        <w:t>from entities representing small and/or rural interests, suggesting that the rules would apply a unique burden on small and/or rural entities,</w:t>
      </w:r>
      <w:r>
        <w:rPr>
          <w:rStyle w:val="FootnoteReference"/>
        </w:rPr>
        <w:footnoteReference w:id="616"/>
      </w:r>
      <w:r>
        <w:t xml:space="preserve"> and raising the possibility of </w:t>
      </w:r>
      <w:r w:rsidRPr="00940A31">
        <w:t>exemptions or waivers for small or rural entities</w:t>
      </w:r>
      <w:r>
        <w:t>.</w:t>
      </w:r>
      <w:r>
        <w:rPr>
          <w:rStyle w:val="FootnoteReference"/>
        </w:rPr>
        <w:footnoteReference w:id="617"/>
      </w:r>
      <w:r>
        <w:t xml:space="preserve">   In the </w:t>
      </w:r>
      <w:r w:rsidRPr="00692E1F">
        <w:rPr>
          <w:i/>
        </w:rPr>
        <w:t>Fourth Report and Order</w:t>
      </w:r>
      <w:r>
        <w:t>, we explicitly acknowledge that the costs imposed by the rules adopted herein</w:t>
      </w:r>
      <w:r w:rsidRPr="00C32526">
        <w:rPr>
          <w:i/>
        </w:rPr>
        <w:t xml:space="preserve"> </w:t>
      </w:r>
      <w:r>
        <w:t>“may present a proportionately greater burden to smaller CMRS providers, including the costs associated with participation in the test bed.”</w:t>
      </w:r>
      <w:r>
        <w:rPr>
          <w:rStyle w:val="FootnoteReference"/>
        </w:rPr>
        <w:footnoteReference w:id="618"/>
      </w:r>
      <w:r>
        <w:t xml:space="preserve">    Nevertheless, we conclude that </w:t>
      </w:r>
      <w:r w:rsidRPr="00940A31">
        <w:t xml:space="preserve">overriding public safety concerns require our rules to apply equally to all </w:t>
      </w:r>
      <w:r>
        <w:t xml:space="preserve">CMRS providers, regardless of location or size – 911 location accuracy is paramount in all portions of the Nation, and all CMRS providers must be on an equal footing in their ability to provide correct 911 location accuracy.  </w:t>
      </w:r>
    </w:p>
    <w:p w14:paraId="7EB138DD" w14:textId="77777777" w:rsidR="00EC5135" w:rsidRDefault="00EC5135" w:rsidP="00110CD6">
      <w:pPr>
        <w:pStyle w:val="ParaNum"/>
        <w:tabs>
          <w:tab w:val="clear" w:pos="1440"/>
        </w:tabs>
      </w:pPr>
      <w:r>
        <w:t>To accommodate the unique circumstances facing small and rural carriers, the rules we adopt today include the following steps that we believe will minimize the impact on such carriers:</w:t>
      </w:r>
    </w:p>
    <w:p w14:paraId="6FDF66FA" w14:textId="77777777" w:rsidR="00EC5135" w:rsidRDefault="00EC5135" w:rsidP="00EC5135">
      <w:pPr>
        <w:pStyle w:val="ParaNum"/>
        <w:numPr>
          <w:ilvl w:val="0"/>
          <w:numId w:val="29"/>
        </w:numPr>
      </w:pPr>
      <w:r>
        <w:t>While all</w:t>
      </w:r>
      <w:r w:rsidRPr="000356BD">
        <w:t xml:space="preserve"> CMRS providers </w:t>
      </w:r>
      <w:r>
        <w:t xml:space="preserve">(including small providers) </w:t>
      </w:r>
      <w:r w:rsidRPr="000356BD">
        <w:t>must provide dispatchable location</w:t>
      </w:r>
      <w:r>
        <w:t xml:space="preserve"> or </w:t>
      </w:r>
      <w:r w:rsidRPr="000356BD">
        <w:t xml:space="preserve">x/y </w:t>
      </w:r>
      <w:r>
        <w:t xml:space="preserve">(horizontal) </w:t>
      </w:r>
      <w:r w:rsidRPr="000356BD">
        <w:t>location within 50 meters</w:t>
      </w:r>
      <w:r>
        <w:t xml:space="preserve"> for certain </w:t>
      </w:r>
      <w:r w:rsidRPr="000356BD">
        <w:t>percentages of wireless 911 calls</w:t>
      </w:r>
      <w:r>
        <w:t xml:space="preserve"> at Years 2, 3, 5, and 6 after the rules in this </w:t>
      </w:r>
      <w:r w:rsidRPr="00786433">
        <w:rPr>
          <w:i/>
        </w:rPr>
        <w:t>Fourth Report and Order</w:t>
      </w:r>
      <w:r>
        <w:t xml:space="preserve"> become effective, n</w:t>
      </w:r>
      <w:r w:rsidRPr="000356BD">
        <w:t>on-nationwide CMRS providers (</w:t>
      </w:r>
      <w:r w:rsidRPr="00786433">
        <w:rPr>
          <w:i/>
        </w:rPr>
        <w:t>i.e</w:t>
      </w:r>
      <w:r>
        <w:t xml:space="preserve">., </w:t>
      </w:r>
      <w:r w:rsidRPr="000356BD">
        <w:t xml:space="preserve">regional, small, and rural carriers) </w:t>
      </w:r>
      <w:r>
        <w:t xml:space="preserve">can extend the five and six-year deadlines based on the timing of Voice-over-LTE (VoLTE) deployment in their networks.  </w:t>
      </w:r>
    </w:p>
    <w:p w14:paraId="687E65DA" w14:textId="7F56C99C" w:rsidR="00EC5135" w:rsidRDefault="00EC5135" w:rsidP="00EC5135">
      <w:pPr>
        <w:pStyle w:val="ParaNum"/>
        <w:numPr>
          <w:ilvl w:val="0"/>
          <w:numId w:val="29"/>
        </w:numPr>
        <w:rPr>
          <w:szCs w:val="22"/>
        </w:rPr>
      </w:pPr>
      <w:r>
        <w:rPr>
          <w:szCs w:val="22"/>
        </w:rPr>
        <w:t>Regarding vertical location accuracy, w</w:t>
      </w:r>
      <w:r w:rsidRPr="00BC2AFD">
        <w:rPr>
          <w:szCs w:val="22"/>
        </w:rPr>
        <w:t xml:space="preserve">hile all CMRS providers (including small providers) must make uncompensated barometric data available to PSAPs from any handset that has the capability to deliver barometric sensor data within 3 years of the </w:t>
      </w:r>
      <w:r w:rsidRPr="00BC2AFD">
        <w:t>rules</w:t>
      </w:r>
      <w:r w:rsidRPr="00BC2AFD">
        <w:rPr>
          <w:szCs w:val="22"/>
        </w:rPr>
        <w:t xml:space="preserve"> in this </w:t>
      </w:r>
      <w:r w:rsidRPr="00BC2AFD">
        <w:rPr>
          <w:i/>
          <w:szCs w:val="22"/>
        </w:rPr>
        <w:t>Fourth Report and Order</w:t>
      </w:r>
      <w:r w:rsidRPr="00BC2AFD">
        <w:rPr>
          <w:szCs w:val="22"/>
        </w:rPr>
        <w:t xml:space="preserve"> becoming effective, small carriers have an additional year beyond what nationwide carriers must comply with </w:t>
      </w:r>
      <w:r w:rsidR="00B632BE">
        <w:rPr>
          <w:szCs w:val="22"/>
        </w:rPr>
        <w:t>(</w:t>
      </w:r>
      <w:r w:rsidR="00B632BE" w:rsidRPr="00110CD6">
        <w:rPr>
          <w:i/>
          <w:szCs w:val="22"/>
        </w:rPr>
        <w:t>i.e</w:t>
      </w:r>
      <w:r w:rsidR="00B632BE">
        <w:rPr>
          <w:szCs w:val="22"/>
        </w:rPr>
        <w:t>., Year 6 requirements extend to Year 7; Year 8 requirements extend to Year 9)</w:t>
      </w:r>
      <w:r>
        <w:rPr>
          <w:szCs w:val="22"/>
        </w:rPr>
        <w:t xml:space="preserve">.  </w:t>
      </w:r>
      <w:r w:rsidRPr="00BC2AFD">
        <w:rPr>
          <w:szCs w:val="22"/>
        </w:rPr>
        <w:t xml:space="preserve"> </w:t>
      </w:r>
    </w:p>
    <w:p w14:paraId="54163EBA" w14:textId="77777777" w:rsidR="00EC5135" w:rsidRPr="00F42C1B" w:rsidRDefault="00EC5135" w:rsidP="00EC5135">
      <w:pPr>
        <w:pStyle w:val="ParaNum"/>
        <w:numPr>
          <w:ilvl w:val="0"/>
          <w:numId w:val="29"/>
        </w:numPr>
      </w:pPr>
      <w:r>
        <w:t xml:space="preserve">While </w:t>
      </w:r>
      <w:r w:rsidRPr="009C7193">
        <w:t xml:space="preserve">nationwide CMRS providers </w:t>
      </w:r>
      <w:r>
        <w:t xml:space="preserve">must </w:t>
      </w:r>
      <w:r w:rsidRPr="009C7193">
        <w:t xml:space="preserve">report to the Commission on their plans </w:t>
      </w:r>
      <w:r>
        <w:t xml:space="preserve">and progress towards </w:t>
      </w:r>
      <w:r w:rsidRPr="009C7193">
        <w:t xml:space="preserve">implementing improved indoor location accuracy no later than 18 months </w:t>
      </w:r>
      <w:r>
        <w:rPr>
          <w:szCs w:val="22"/>
        </w:rPr>
        <w:t xml:space="preserve">of the date the rules in this </w:t>
      </w:r>
      <w:r w:rsidRPr="00F42C1B">
        <w:rPr>
          <w:i/>
          <w:szCs w:val="22"/>
        </w:rPr>
        <w:t>Fourth Report and Order</w:t>
      </w:r>
      <w:r>
        <w:rPr>
          <w:szCs w:val="22"/>
        </w:rPr>
        <w:t xml:space="preserve"> become effective, smaller </w:t>
      </w:r>
      <w:r w:rsidRPr="009C7193">
        <w:rPr>
          <w:szCs w:val="22"/>
        </w:rPr>
        <w:t xml:space="preserve">CMRS providers </w:t>
      </w:r>
      <w:r>
        <w:rPr>
          <w:szCs w:val="22"/>
        </w:rPr>
        <w:t xml:space="preserve">have </w:t>
      </w:r>
      <w:r w:rsidRPr="009C7193">
        <w:rPr>
          <w:szCs w:val="22"/>
        </w:rPr>
        <w:t xml:space="preserve">24 months.  </w:t>
      </w:r>
    </w:p>
    <w:p w14:paraId="747139F0" w14:textId="3F816400" w:rsidR="00EC5135" w:rsidRDefault="00EC5135" w:rsidP="00EC5135">
      <w:pPr>
        <w:pStyle w:val="ParaNum"/>
        <w:numPr>
          <w:ilvl w:val="0"/>
          <w:numId w:val="29"/>
        </w:numPr>
      </w:pPr>
      <w:r>
        <w:t>While nationwide CMRS providers must aggregate live 911 call data on a quarterly basis and report that data to the Association of Public-Safety Communications Officials (APCO), National Emergency Number Association (NENA), and the National Association of State 911 Administrators (NASNA), small providers must do so on a biannual basis.</w:t>
      </w:r>
    </w:p>
    <w:p w14:paraId="48D2A95F" w14:textId="06E204BC" w:rsidR="00EC5135" w:rsidRDefault="00EC5135" w:rsidP="00EE2E1F">
      <w:pPr>
        <w:pStyle w:val="ParaNum"/>
        <w:tabs>
          <w:tab w:val="clear" w:pos="1440"/>
        </w:tabs>
      </w:pPr>
      <w:r>
        <w:t xml:space="preserve">Regarding the overall scope of the indoor 911 location accuracy rules we adopt in this </w:t>
      </w:r>
      <w:r w:rsidRPr="001E1493">
        <w:rPr>
          <w:i/>
        </w:rPr>
        <w:t>Fourth Report and Order</w:t>
      </w:r>
      <w:r>
        <w:t xml:space="preserve">, we note that in the </w:t>
      </w:r>
      <w:r w:rsidRPr="00A826DA">
        <w:rPr>
          <w:i/>
        </w:rPr>
        <w:t>Third Further Notice</w:t>
      </w:r>
      <w:r>
        <w:t>, w</w:t>
      </w:r>
      <w:r w:rsidRPr="00492FBD">
        <w:t>e propose</w:t>
      </w:r>
      <w:r>
        <w:t>d</w:t>
      </w:r>
      <w:r w:rsidRPr="00492FBD">
        <w:t xml:space="preserve"> to apply the </w:t>
      </w:r>
      <w:r>
        <w:t xml:space="preserve">horizontal </w:t>
      </w:r>
      <w:r w:rsidRPr="00492FBD">
        <w:t xml:space="preserve">indoor location accuracy requirements on a nationwide-basis, across </w:t>
      </w:r>
      <w:r w:rsidRPr="00D84BC7">
        <w:t>all</w:t>
      </w:r>
      <w:r w:rsidRPr="00492FBD">
        <w:t xml:space="preserve"> geographic areas.</w:t>
      </w:r>
      <w:r>
        <w:rPr>
          <w:rStyle w:val="FootnoteReference"/>
        </w:rPr>
        <w:footnoteReference w:id="619"/>
      </w:r>
      <w:r w:rsidRPr="00492FBD">
        <w:t xml:space="preserve">  </w:t>
      </w:r>
      <w:r>
        <w:t xml:space="preserve"> In response,</w:t>
      </w:r>
      <w:r>
        <w:rPr>
          <w:i/>
        </w:rPr>
        <w:t xml:space="preserve"> </w:t>
      </w:r>
      <w:r>
        <w:t>several small and regional CMRS providers proposed that rural areas from indoor location accuracy requirements be excluded from the rules, either entirely or for a certain “phase-in” period.</w:t>
      </w:r>
      <w:r>
        <w:rPr>
          <w:rStyle w:val="FootnoteReference"/>
        </w:rPr>
        <w:footnoteReference w:id="620"/>
      </w:r>
      <w:r>
        <w:t xml:space="preserve">  Absent any such exclusion, RWA believes the ability of small and rural CMRS providers to achieve compliance with the indoor horizontal location accuracy requirements in the proposed timeframe would be problematic.</w:t>
      </w:r>
      <w:r>
        <w:rPr>
          <w:rStyle w:val="FootnoteReference"/>
        </w:rPr>
        <w:footnoteReference w:id="621"/>
      </w:r>
      <w:r>
        <w:t xml:space="preserve">  In response, we state that</w:t>
      </w:r>
      <w:r w:rsidR="00A27FAC">
        <w:t xml:space="preserve"> b</w:t>
      </w:r>
      <w:r w:rsidRPr="00943E15">
        <w:t xml:space="preserve">ecause the rules we adopt today relate to </w:t>
      </w:r>
      <w:r w:rsidRPr="00D84BC7">
        <w:t>indoor</w:t>
      </w:r>
      <w:r w:rsidRPr="00943E15">
        <w:t xml:space="preserve"> 911 calls – and therefore are not hindered by naturally-formed physical characteristics – there is no need to adopt similar exclusions. We believe that the design of our indoor location accuracy requirements and the timeframe allotted for compliance adequately addresses commenters’ concerns about being able to implement indoor location solutions throughout all morphologies within their coverage footprint.   Moreover, applying these requirements uniformly nationwide is consistent with the principle that improving 911 location is just as important in the least populous markets as in the most populous</w:t>
      </w:r>
      <w:r>
        <w:t>.</w:t>
      </w:r>
      <w:r>
        <w:rPr>
          <w:rStyle w:val="FootnoteReference"/>
        </w:rPr>
        <w:footnoteReference w:id="622"/>
      </w:r>
      <w:r>
        <w:t xml:space="preserve">  </w:t>
      </w:r>
    </w:p>
    <w:p w14:paraId="54B881B8" w14:textId="77777777" w:rsidR="00EC5135" w:rsidRDefault="00EC5135" w:rsidP="00EE2E1F">
      <w:pPr>
        <w:pStyle w:val="ParaNum"/>
        <w:tabs>
          <w:tab w:val="clear" w:pos="1440"/>
        </w:tabs>
      </w:pPr>
      <w:r>
        <w:t xml:space="preserve">We sought comment in the </w:t>
      </w:r>
      <w:r w:rsidRPr="00521953">
        <w:rPr>
          <w:i/>
        </w:rPr>
        <w:t>Third Further Notice</w:t>
      </w:r>
      <w:r>
        <w:t xml:space="preserve"> on whether we should adopt a specific waiver process for CMRS providers who seek relief from our indoor location accuracy requirements.</w:t>
      </w:r>
      <w:r>
        <w:rPr>
          <w:rStyle w:val="FootnoteReference"/>
        </w:rPr>
        <w:footnoteReference w:id="623"/>
      </w:r>
      <w:r>
        <w:t xml:space="preserve">  In particular, we sought comment on whether and what criteria would be appropriate for any E911-specific waiver process, as well as whether providers who believe they cannot comply with a particular indoor location accuracy benchmark, despite good faith efforts, may certify this six months prior to the applicable benchmark.</w:t>
      </w:r>
      <w:r>
        <w:rPr>
          <w:rStyle w:val="FootnoteReference"/>
        </w:rPr>
        <w:footnoteReference w:id="624"/>
      </w:r>
      <w:r>
        <w:t xml:space="preserve">  In response, RWA suggests the Commission </w:t>
      </w:r>
      <w:r w:rsidRPr="001A5567">
        <w:t>adopt a safe harbor for waiver applicants based on a showing of technical infeasi</w:t>
      </w:r>
      <w:r>
        <w:t>bility or financial difficulty,</w:t>
      </w:r>
      <w:r>
        <w:rPr>
          <w:rStyle w:val="FootnoteReference"/>
        </w:rPr>
        <w:footnoteReference w:id="625"/>
      </w:r>
      <w:r>
        <w:t xml:space="preserve"> while NTCA notes that </w:t>
      </w:r>
      <w:r w:rsidRPr="00B0198B">
        <w:t>the expense of a waiver can impose a substantial financial burden</w:t>
      </w:r>
      <w:r>
        <w:t xml:space="preserve"> f</w:t>
      </w:r>
      <w:r w:rsidRPr="00B0198B">
        <w:t>or small rural carriers, and the regulatory uncertainty can be disruptive to b</w:t>
      </w:r>
      <w:r>
        <w:t>usiness planning and operations.</w:t>
      </w:r>
      <w:r>
        <w:rPr>
          <w:rStyle w:val="FootnoteReference"/>
        </w:rPr>
        <w:footnoteReference w:id="626"/>
      </w:r>
      <w:r>
        <w:t xml:space="preserve">  We ultimately determined not </w:t>
      </w:r>
      <w:r w:rsidRPr="006E02B6">
        <w:t xml:space="preserve">to adopt a </w:t>
      </w:r>
      <w:r>
        <w:t xml:space="preserve">specific </w:t>
      </w:r>
      <w:r w:rsidRPr="006E02B6">
        <w:t xml:space="preserve">waiver standard </w:t>
      </w:r>
      <w:r>
        <w:t>applicable only to the indoor location accuracy</w:t>
      </w:r>
      <w:r w:rsidRPr="006E02B6">
        <w:t xml:space="preserve"> requirements</w:t>
      </w:r>
      <w:r>
        <w:t xml:space="preserve"> we adopt today, noting that ‘[a]</w:t>
      </w:r>
      <w:r w:rsidRPr="006E02B6">
        <w:t xml:space="preserve">ny </w:t>
      </w:r>
      <w:r>
        <w:t>CMRS</w:t>
      </w:r>
      <w:r w:rsidRPr="006E02B6">
        <w:t xml:space="preserve"> provider that is unable to meet the deadline</w:t>
      </w:r>
      <w:r>
        <w:t xml:space="preserve">s adopted herein may seek waiver relief.  </w:t>
      </w:r>
      <w:r w:rsidRPr="006E02B6">
        <w:t>The Commission may grant relief pursuant to the waiver standards set forth in Sectio</w:t>
      </w:r>
      <w:r>
        <w:t xml:space="preserve">ns 1.3 and 1.925 of its rules, </w:t>
      </w:r>
      <w:r w:rsidRPr="006E02B6">
        <w:t xml:space="preserve">and we believe these provisions are sufficient to address any requests for relief of the </w:t>
      </w:r>
      <w:r>
        <w:t>indoor location accuracy</w:t>
      </w:r>
      <w:r w:rsidRPr="006E02B6">
        <w:t xml:space="preserve"> requirements</w:t>
      </w:r>
      <w:r>
        <w:t>…”</w:t>
      </w:r>
      <w:r>
        <w:rPr>
          <w:rStyle w:val="FootnoteReference"/>
        </w:rPr>
        <w:footnoteReference w:id="627"/>
      </w:r>
    </w:p>
    <w:p w14:paraId="45555260" w14:textId="77777777" w:rsidR="00EC5135" w:rsidRPr="00607836" w:rsidRDefault="00EC5135" w:rsidP="00EC5135">
      <w:pPr>
        <w:pStyle w:val="Heading2"/>
      </w:pPr>
      <w:bookmarkStart w:id="909" w:name="_Toc408421351"/>
      <w:bookmarkStart w:id="910" w:name="_Toc408490602"/>
      <w:bookmarkStart w:id="911" w:name="_Toc408496238"/>
      <w:bookmarkStart w:id="912" w:name="_Toc408502439"/>
      <w:bookmarkStart w:id="913" w:name="_Toc410119111"/>
      <w:bookmarkStart w:id="914" w:name="_Toc410123690"/>
      <w:bookmarkStart w:id="915" w:name="_Toc410124672"/>
      <w:bookmarkStart w:id="916" w:name="_Toc410124752"/>
      <w:bookmarkStart w:id="917" w:name="_Toc410146146"/>
      <w:bookmarkStart w:id="918" w:name="_Toc410212670"/>
      <w:bookmarkStart w:id="919" w:name="_Toc410648311"/>
      <w:r w:rsidRPr="00607836">
        <w:t>Report to Congress</w:t>
      </w:r>
      <w:bookmarkEnd w:id="909"/>
      <w:bookmarkEnd w:id="910"/>
      <w:bookmarkEnd w:id="911"/>
      <w:bookmarkEnd w:id="912"/>
      <w:bookmarkEnd w:id="913"/>
      <w:bookmarkEnd w:id="914"/>
      <w:bookmarkEnd w:id="915"/>
      <w:bookmarkEnd w:id="916"/>
      <w:bookmarkEnd w:id="917"/>
      <w:bookmarkEnd w:id="918"/>
      <w:bookmarkEnd w:id="919"/>
    </w:p>
    <w:p w14:paraId="369DF399" w14:textId="6C498B4E" w:rsidR="001E2694" w:rsidRPr="00607836" w:rsidRDefault="00EC5135" w:rsidP="00EE2E1F">
      <w:pPr>
        <w:pStyle w:val="ParaNum"/>
        <w:tabs>
          <w:tab w:val="clear" w:pos="1440"/>
        </w:tabs>
      </w:pPr>
      <w:r w:rsidRPr="00607836">
        <w:t xml:space="preserve">The Commission will send a copy of the </w:t>
      </w:r>
      <w:r w:rsidRPr="00D014B3">
        <w:rPr>
          <w:i/>
        </w:rPr>
        <w:t>Report and Order</w:t>
      </w:r>
      <w:r w:rsidRPr="00607836">
        <w:t xml:space="preserve">, including this FRFA, in a report to be sent to Congress pursuant to the Congressional Review Act.   In addition, the Commission will send a copy of the </w:t>
      </w:r>
      <w:r w:rsidRPr="00D014B3">
        <w:rPr>
          <w:i/>
        </w:rPr>
        <w:t>Report and Order</w:t>
      </w:r>
      <w:r w:rsidRPr="00607836">
        <w:t xml:space="preserve">, including this FRFA, to the Chief Counsel for Advocacy of the SBA.  A copy of the </w:t>
      </w:r>
      <w:r w:rsidRPr="00D014B3">
        <w:rPr>
          <w:i/>
        </w:rPr>
        <w:t>Report and Order</w:t>
      </w:r>
      <w:r w:rsidRPr="00607836">
        <w:t xml:space="preserve"> and FRFA (or summaries thereof) will also be publis</w:t>
      </w:r>
      <w:r>
        <w:t>hed in the Federal Register</w:t>
      </w:r>
      <w:r w:rsidR="001E2694" w:rsidRPr="00607836">
        <w:t xml:space="preserve">.   </w:t>
      </w:r>
    </w:p>
    <w:p w14:paraId="64970AD3" w14:textId="77777777" w:rsidR="003C31FD" w:rsidRPr="004C29B5" w:rsidRDefault="001E2694" w:rsidP="006E62FB">
      <w:pPr>
        <w:widowControl/>
      </w:pPr>
      <w:r>
        <w:rPr>
          <w:b/>
          <w:szCs w:val="22"/>
        </w:rPr>
        <w:br w:type="page"/>
      </w:r>
    </w:p>
    <w:p w14:paraId="11871D1E" w14:textId="77777777" w:rsidR="00196FCC" w:rsidRDefault="00196FCC" w:rsidP="005F21F9">
      <w:pPr>
        <w:rPr>
          <w:szCs w:val="22"/>
        </w:rPr>
      </w:pPr>
    </w:p>
    <w:p w14:paraId="0774C0EC" w14:textId="27DC4A56" w:rsidR="00C210E7" w:rsidRPr="008B60AE" w:rsidRDefault="00C210E7" w:rsidP="00C210E7">
      <w:pPr>
        <w:jc w:val="center"/>
        <w:rPr>
          <w:b/>
          <w:szCs w:val="22"/>
        </w:rPr>
      </w:pPr>
      <w:r w:rsidRPr="008B60AE">
        <w:rPr>
          <w:b/>
          <w:szCs w:val="22"/>
        </w:rPr>
        <w:t xml:space="preserve">APPENDIX </w:t>
      </w:r>
      <w:r w:rsidR="007E3DCB">
        <w:rPr>
          <w:b/>
          <w:szCs w:val="22"/>
        </w:rPr>
        <w:t>D</w:t>
      </w:r>
      <w:r w:rsidR="007E3DCB" w:rsidRPr="008B60AE">
        <w:rPr>
          <w:b/>
          <w:szCs w:val="22"/>
        </w:rPr>
        <w:t xml:space="preserve"> </w:t>
      </w:r>
    </w:p>
    <w:p w14:paraId="2519D9FB" w14:textId="77777777" w:rsidR="00C210E7" w:rsidRPr="008B60AE" w:rsidRDefault="00C210E7" w:rsidP="00C210E7">
      <w:pPr>
        <w:jc w:val="center"/>
        <w:rPr>
          <w:b/>
          <w:szCs w:val="22"/>
        </w:rPr>
      </w:pPr>
    </w:p>
    <w:p w14:paraId="6BCC2728" w14:textId="77777777" w:rsidR="00C210E7" w:rsidRPr="008B60AE" w:rsidRDefault="00C210E7" w:rsidP="00C210E7">
      <w:pPr>
        <w:jc w:val="center"/>
        <w:rPr>
          <w:b/>
          <w:szCs w:val="22"/>
        </w:rPr>
      </w:pPr>
      <w:r>
        <w:rPr>
          <w:b/>
          <w:szCs w:val="22"/>
        </w:rPr>
        <w:t>Final</w:t>
      </w:r>
      <w:r w:rsidRPr="008B60AE">
        <w:rPr>
          <w:b/>
          <w:szCs w:val="22"/>
        </w:rPr>
        <w:t xml:space="preserve"> Rules</w:t>
      </w:r>
    </w:p>
    <w:p w14:paraId="1207137C" w14:textId="77777777" w:rsidR="00C210E7" w:rsidRPr="008B60AE" w:rsidRDefault="00C210E7" w:rsidP="00C210E7">
      <w:pPr>
        <w:jc w:val="center"/>
        <w:rPr>
          <w:b/>
          <w:szCs w:val="22"/>
        </w:rPr>
      </w:pPr>
    </w:p>
    <w:p w14:paraId="34832988" w14:textId="77777777" w:rsidR="00C210E7" w:rsidRPr="008B60AE" w:rsidRDefault="00C210E7" w:rsidP="00C210E7">
      <w:pPr>
        <w:rPr>
          <w:szCs w:val="22"/>
        </w:rPr>
      </w:pPr>
      <w:r w:rsidRPr="008B60AE">
        <w:rPr>
          <w:szCs w:val="22"/>
        </w:rPr>
        <w:t>Part 20 of the Code of Federal Regulations is amended as follows:</w:t>
      </w:r>
    </w:p>
    <w:p w14:paraId="26DD03B3" w14:textId="77777777" w:rsidR="00C210E7" w:rsidRPr="008B60AE" w:rsidRDefault="00C210E7" w:rsidP="00C210E7">
      <w:pPr>
        <w:ind w:firstLine="720"/>
        <w:rPr>
          <w:szCs w:val="22"/>
        </w:rPr>
      </w:pPr>
    </w:p>
    <w:p w14:paraId="07E3B3D6" w14:textId="77777777" w:rsidR="00C210E7" w:rsidRPr="008B60AE" w:rsidRDefault="00C210E7" w:rsidP="00C210E7">
      <w:pPr>
        <w:rPr>
          <w:szCs w:val="22"/>
        </w:rPr>
      </w:pPr>
      <w:r w:rsidRPr="008B60AE">
        <w:rPr>
          <w:b/>
          <w:szCs w:val="22"/>
        </w:rPr>
        <w:t>PART 20 – COMMERCIAL MOBILE RADIO SERVICES</w:t>
      </w:r>
    </w:p>
    <w:p w14:paraId="4576C8FF" w14:textId="77777777" w:rsidR="00C210E7" w:rsidRPr="008B60AE" w:rsidRDefault="00C210E7" w:rsidP="00C210E7">
      <w:pPr>
        <w:rPr>
          <w:szCs w:val="22"/>
        </w:rPr>
      </w:pPr>
    </w:p>
    <w:p w14:paraId="7909B793" w14:textId="77777777" w:rsidR="00C210E7" w:rsidRPr="008B60AE" w:rsidRDefault="00C210E7" w:rsidP="00C210E7">
      <w:pPr>
        <w:rPr>
          <w:szCs w:val="22"/>
        </w:rPr>
      </w:pPr>
      <w:r w:rsidRPr="008B60AE">
        <w:rPr>
          <w:szCs w:val="22"/>
        </w:rPr>
        <w:t>1.</w:t>
      </w:r>
      <w:r w:rsidRPr="008B60AE">
        <w:rPr>
          <w:szCs w:val="22"/>
        </w:rPr>
        <w:tab/>
        <w:t>The authority for Part 20 is revised to read as follows:</w:t>
      </w:r>
    </w:p>
    <w:p w14:paraId="04D4738C" w14:textId="77777777" w:rsidR="00C210E7" w:rsidRPr="008B60AE" w:rsidRDefault="00C210E7" w:rsidP="00C210E7">
      <w:pPr>
        <w:rPr>
          <w:szCs w:val="22"/>
        </w:rPr>
      </w:pPr>
    </w:p>
    <w:p w14:paraId="6561801F" w14:textId="77777777" w:rsidR="00C210E7" w:rsidRPr="008B60AE" w:rsidRDefault="00C210E7" w:rsidP="00C210E7">
      <w:pPr>
        <w:rPr>
          <w:szCs w:val="22"/>
        </w:rPr>
      </w:pPr>
      <w:r w:rsidRPr="008B60AE">
        <w:rPr>
          <w:b/>
          <w:szCs w:val="22"/>
        </w:rPr>
        <w:t>Authority:</w:t>
      </w:r>
      <w:r w:rsidRPr="008B60AE">
        <w:rPr>
          <w:szCs w:val="22"/>
        </w:rPr>
        <w:t xml:space="preserve">  47 U.S.C. §§ 151, 152(a), 154(i), 157, 160, 201, 214, 222, 251(e), 301, 302, 303, 303(b), 303(r), 307, 307(a), 309, 309(j)(3), 316, 316(a), 332, 615, 615a, 615b, 615c.  </w:t>
      </w:r>
    </w:p>
    <w:p w14:paraId="687D234A" w14:textId="77777777" w:rsidR="00C210E7" w:rsidRPr="008B60AE" w:rsidRDefault="00C210E7" w:rsidP="00C210E7">
      <w:pPr>
        <w:rPr>
          <w:szCs w:val="22"/>
        </w:rPr>
      </w:pPr>
    </w:p>
    <w:p w14:paraId="23BFBBA8" w14:textId="0C9EF4E9" w:rsidR="00C210E7" w:rsidRPr="008B60AE" w:rsidRDefault="00C210E7" w:rsidP="00C210E7">
      <w:pPr>
        <w:rPr>
          <w:szCs w:val="22"/>
        </w:rPr>
      </w:pPr>
      <w:r w:rsidRPr="008B60AE">
        <w:rPr>
          <w:szCs w:val="22"/>
        </w:rPr>
        <w:t>2</w:t>
      </w:r>
      <w:r w:rsidRPr="008B60AE">
        <w:rPr>
          <w:b/>
          <w:szCs w:val="22"/>
        </w:rPr>
        <w:t>.</w:t>
      </w:r>
      <w:r w:rsidRPr="008B60AE">
        <w:rPr>
          <w:b/>
          <w:szCs w:val="22"/>
        </w:rPr>
        <w:tab/>
      </w:r>
      <w:r w:rsidR="00F846BE" w:rsidRPr="00F846BE">
        <w:rPr>
          <w:szCs w:val="22"/>
        </w:rPr>
        <w:t>Section 20.18 is amended by amending paragraph (h)(3) and re-designating paragraphs (i) through (n) as paragraphs (l) through (q), adding new paragraphs (i) through (k), and revising paragraph (1) of re-designated new paragraph (m)</w:t>
      </w:r>
      <w:r w:rsidRPr="008B60AE">
        <w:rPr>
          <w:szCs w:val="22"/>
        </w:rPr>
        <w:t>:</w:t>
      </w:r>
    </w:p>
    <w:p w14:paraId="0D8ED37B" w14:textId="77777777" w:rsidR="00C210E7" w:rsidRPr="008B60AE" w:rsidRDefault="00C210E7" w:rsidP="00C210E7">
      <w:pPr>
        <w:rPr>
          <w:szCs w:val="22"/>
        </w:rPr>
      </w:pPr>
    </w:p>
    <w:p w14:paraId="3B53D90B" w14:textId="77777777" w:rsidR="00C210E7" w:rsidRPr="008B60AE" w:rsidRDefault="00C210E7" w:rsidP="00C210E7">
      <w:pPr>
        <w:rPr>
          <w:szCs w:val="22"/>
        </w:rPr>
      </w:pPr>
      <w:r w:rsidRPr="008B60AE">
        <w:rPr>
          <w:szCs w:val="22"/>
        </w:rPr>
        <w:t>*</w:t>
      </w:r>
      <w:r w:rsidRPr="008B60AE">
        <w:rPr>
          <w:szCs w:val="22"/>
        </w:rPr>
        <w:tab/>
        <w:t>*</w:t>
      </w:r>
      <w:r w:rsidRPr="008B60AE">
        <w:rPr>
          <w:szCs w:val="22"/>
        </w:rPr>
        <w:tab/>
        <w:t>*</w:t>
      </w:r>
      <w:r w:rsidRPr="008B60AE">
        <w:rPr>
          <w:szCs w:val="22"/>
        </w:rPr>
        <w:tab/>
        <w:t>*</w:t>
      </w:r>
      <w:r w:rsidRPr="008B60AE">
        <w:rPr>
          <w:szCs w:val="22"/>
        </w:rPr>
        <w:tab/>
        <w:t xml:space="preserve">* </w:t>
      </w:r>
    </w:p>
    <w:p w14:paraId="1ABA6027" w14:textId="77777777" w:rsidR="00C210E7" w:rsidRDefault="00C210E7" w:rsidP="00C210E7">
      <w:pPr>
        <w:pStyle w:val="ListParagraph"/>
        <w:ind w:left="0"/>
        <w:rPr>
          <w:szCs w:val="22"/>
        </w:rPr>
      </w:pPr>
      <w:r w:rsidRPr="008B60AE">
        <w:rPr>
          <w:szCs w:val="22"/>
        </w:rPr>
        <w:t>(</w:t>
      </w:r>
      <w:r>
        <w:rPr>
          <w:szCs w:val="22"/>
        </w:rPr>
        <w:t>h</w:t>
      </w:r>
      <w:r w:rsidRPr="008B60AE">
        <w:rPr>
          <w:szCs w:val="22"/>
        </w:rPr>
        <w:t>)</w:t>
      </w:r>
      <w:r>
        <w:rPr>
          <w:szCs w:val="22"/>
        </w:rPr>
        <w:t>(3)</w:t>
      </w:r>
      <w:r w:rsidRPr="008B60AE">
        <w:rPr>
          <w:szCs w:val="22"/>
        </w:rPr>
        <w:t xml:space="preserve"> </w:t>
      </w:r>
      <w:r w:rsidRPr="008B60AE">
        <w:rPr>
          <w:i/>
          <w:szCs w:val="22"/>
        </w:rPr>
        <w:t>Latency (Time to First Fix)</w:t>
      </w:r>
      <w:r w:rsidRPr="008B60AE">
        <w:rPr>
          <w:szCs w:val="22"/>
        </w:rPr>
        <w:t xml:space="preserve">.  For purposes of measuring compliance with the location accuracy standards of </w:t>
      </w:r>
      <w:r>
        <w:rPr>
          <w:szCs w:val="22"/>
        </w:rPr>
        <w:t>this paragraph</w:t>
      </w:r>
      <w:r w:rsidRPr="008B60AE">
        <w:rPr>
          <w:szCs w:val="22"/>
        </w:rPr>
        <w:t xml:space="preserve">, a call will be deemed to satisfy the standard only if it provides the specified degree of location accuracy within a maximum </w:t>
      </w:r>
      <w:r>
        <w:rPr>
          <w:szCs w:val="22"/>
        </w:rPr>
        <w:t xml:space="preserve">latency </w:t>
      </w:r>
      <w:r w:rsidRPr="008B60AE">
        <w:rPr>
          <w:szCs w:val="22"/>
        </w:rPr>
        <w:t xml:space="preserve">period of 30 seconds, as measured </w:t>
      </w:r>
      <w:r>
        <w:rPr>
          <w:szCs w:val="22"/>
        </w:rPr>
        <w:t xml:space="preserve">from </w:t>
      </w:r>
      <w:r w:rsidRPr="005C2F7C">
        <w:t xml:space="preserve">the time the user </w:t>
      </w:r>
      <w:r>
        <w:t>initiates the 911 call</w:t>
      </w:r>
      <w:r w:rsidRPr="005C2F7C">
        <w:t xml:space="preserve"> to the time the location fix appears at the location information center</w:t>
      </w:r>
      <w:r>
        <w:t>: Provided, however, that the CMRS provider may elect not to include for purposes of measuring compliance therewith any calls lasting less than 30 seconds</w:t>
      </w:r>
      <w:r w:rsidRPr="008B60AE">
        <w:rPr>
          <w:szCs w:val="22"/>
        </w:rPr>
        <w:t xml:space="preserve">.  </w:t>
      </w:r>
    </w:p>
    <w:p w14:paraId="7B0773E2" w14:textId="77777777" w:rsidR="00C210E7" w:rsidRDefault="00C210E7" w:rsidP="00C210E7">
      <w:pPr>
        <w:rPr>
          <w:szCs w:val="22"/>
        </w:rPr>
      </w:pPr>
    </w:p>
    <w:p w14:paraId="67F59C63" w14:textId="491C8066" w:rsidR="00C210E7" w:rsidRDefault="00C210E7" w:rsidP="00C210E7">
      <w:pPr>
        <w:rPr>
          <w:szCs w:val="22"/>
        </w:rPr>
      </w:pPr>
      <w:r w:rsidRPr="008B60AE">
        <w:rPr>
          <w:szCs w:val="22"/>
        </w:rPr>
        <w:t xml:space="preserve">(i) </w:t>
      </w:r>
      <w:r w:rsidRPr="008B60AE">
        <w:rPr>
          <w:i/>
          <w:szCs w:val="22"/>
        </w:rPr>
        <w:t xml:space="preserve">Indoor </w:t>
      </w:r>
      <w:r w:rsidR="00D33139" w:rsidRPr="008B60AE">
        <w:rPr>
          <w:i/>
          <w:szCs w:val="22"/>
        </w:rPr>
        <w:t xml:space="preserve">location accuracy for </w:t>
      </w:r>
      <w:r w:rsidRPr="008B60AE">
        <w:rPr>
          <w:i/>
          <w:szCs w:val="22"/>
        </w:rPr>
        <w:t>911 and testing requirements</w:t>
      </w:r>
      <w:r w:rsidRPr="008B60AE">
        <w:rPr>
          <w:szCs w:val="22"/>
        </w:rPr>
        <w:t xml:space="preserve">.  </w:t>
      </w:r>
    </w:p>
    <w:p w14:paraId="547D6266" w14:textId="77777777" w:rsidR="00C210E7" w:rsidRPr="003B25B6" w:rsidRDefault="00C210E7" w:rsidP="00DD3AAE">
      <w:pPr>
        <w:pStyle w:val="ListParagraph"/>
        <w:numPr>
          <w:ilvl w:val="0"/>
          <w:numId w:val="6"/>
        </w:numPr>
        <w:spacing w:before="240"/>
        <w:rPr>
          <w:szCs w:val="22"/>
        </w:rPr>
      </w:pPr>
      <w:r>
        <w:rPr>
          <w:i/>
          <w:szCs w:val="22"/>
        </w:rPr>
        <w:t>Definitions:</w:t>
      </w:r>
      <w:r>
        <w:rPr>
          <w:szCs w:val="22"/>
        </w:rPr>
        <w:t xml:space="preserve">  The terms as used in this section have the following meaning:</w:t>
      </w:r>
    </w:p>
    <w:p w14:paraId="25EF1DFF" w14:textId="65769F42" w:rsidR="00A82CD0" w:rsidRDefault="00A82CD0" w:rsidP="00EE2E1F">
      <w:pPr>
        <w:pStyle w:val="ListParagraph"/>
        <w:numPr>
          <w:ilvl w:val="1"/>
          <w:numId w:val="6"/>
        </w:numPr>
        <w:spacing w:before="120"/>
        <w:ind w:left="1267" w:hanging="187"/>
        <w:rPr>
          <w:szCs w:val="22"/>
        </w:rPr>
      </w:pPr>
      <w:r>
        <w:rPr>
          <w:i/>
          <w:szCs w:val="22"/>
        </w:rPr>
        <w:t xml:space="preserve">Dispatchable </w:t>
      </w:r>
      <w:r w:rsidR="00D33139">
        <w:rPr>
          <w:i/>
          <w:szCs w:val="22"/>
        </w:rPr>
        <w:t>l</w:t>
      </w:r>
      <w:r>
        <w:rPr>
          <w:i/>
          <w:szCs w:val="22"/>
        </w:rPr>
        <w:t xml:space="preserve">ocation:  </w:t>
      </w:r>
      <w:r>
        <w:rPr>
          <w:szCs w:val="22"/>
        </w:rPr>
        <w:t xml:space="preserve">A location delivered to the PSAP by the CMRS provider with a 911 call that consists of </w:t>
      </w:r>
      <w:r w:rsidRPr="00610836">
        <w:rPr>
          <w:szCs w:val="22"/>
        </w:rPr>
        <w:t xml:space="preserve">the </w:t>
      </w:r>
      <w:r>
        <w:rPr>
          <w:szCs w:val="22"/>
        </w:rPr>
        <w:t>street</w:t>
      </w:r>
      <w:r w:rsidRPr="00610836">
        <w:rPr>
          <w:szCs w:val="22"/>
        </w:rPr>
        <w:t xml:space="preserve"> address of the calling party</w:t>
      </w:r>
      <w:r>
        <w:rPr>
          <w:szCs w:val="22"/>
        </w:rPr>
        <w:t>,</w:t>
      </w:r>
      <w:r w:rsidRPr="00610836">
        <w:rPr>
          <w:szCs w:val="22"/>
        </w:rPr>
        <w:t xml:space="preserve"> plus additional information such as suite, apartment or similar information </w:t>
      </w:r>
      <w:r>
        <w:rPr>
          <w:szCs w:val="22"/>
        </w:rPr>
        <w:t>necessary</w:t>
      </w:r>
      <w:r w:rsidRPr="00610836">
        <w:rPr>
          <w:szCs w:val="22"/>
        </w:rPr>
        <w:t xml:space="preserve"> to adequately identify the location of the calling party</w:t>
      </w:r>
      <w:r>
        <w:rPr>
          <w:szCs w:val="22"/>
        </w:rPr>
        <w:t>.  The street address of the calling party must be validated and, to the extent possible, corroborated against other location information prior to delivery of dispatchable location information by the CMRS provider to the PSAP.</w:t>
      </w:r>
    </w:p>
    <w:p w14:paraId="02A62C5A" w14:textId="77777777" w:rsidR="00A82CD0" w:rsidRDefault="00A82CD0" w:rsidP="00EE2E1F">
      <w:pPr>
        <w:pStyle w:val="ListParagraph"/>
        <w:numPr>
          <w:ilvl w:val="1"/>
          <w:numId w:val="6"/>
        </w:numPr>
        <w:spacing w:before="120"/>
        <w:ind w:left="1267" w:hanging="187"/>
        <w:rPr>
          <w:szCs w:val="22"/>
        </w:rPr>
      </w:pPr>
      <w:r>
        <w:rPr>
          <w:i/>
          <w:szCs w:val="22"/>
        </w:rPr>
        <w:t>Media Access Control (</w:t>
      </w:r>
      <w:r w:rsidRPr="00610836">
        <w:rPr>
          <w:i/>
          <w:szCs w:val="22"/>
        </w:rPr>
        <w:t>MAC</w:t>
      </w:r>
      <w:r>
        <w:rPr>
          <w:i/>
          <w:szCs w:val="22"/>
        </w:rPr>
        <w:t>)</w:t>
      </w:r>
      <w:r w:rsidRPr="00610836">
        <w:rPr>
          <w:i/>
          <w:szCs w:val="22"/>
        </w:rPr>
        <w:t xml:space="preserve"> Address</w:t>
      </w:r>
      <w:r>
        <w:rPr>
          <w:szCs w:val="22"/>
        </w:rPr>
        <w:t>.  A location identifier of a Wi-Fi access point.</w:t>
      </w:r>
    </w:p>
    <w:p w14:paraId="3C003A7C" w14:textId="77777777" w:rsidR="00A82CD0" w:rsidRDefault="00A82CD0" w:rsidP="00EE2E1F">
      <w:pPr>
        <w:pStyle w:val="ListParagraph"/>
        <w:numPr>
          <w:ilvl w:val="1"/>
          <w:numId w:val="6"/>
        </w:numPr>
        <w:spacing w:before="120"/>
        <w:ind w:left="1267" w:hanging="187"/>
        <w:rPr>
          <w:szCs w:val="22"/>
        </w:rPr>
      </w:pPr>
      <w:r w:rsidRPr="003B25B6">
        <w:rPr>
          <w:i/>
          <w:szCs w:val="22"/>
        </w:rPr>
        <w:t>National Emergency Address Database (NEAD</w:t>
      </w:r>
      <w:r w:rsidRPr="00FA5DCD">
        <w:rPr>
          <w:szCs w:val="22"/>
        </w:rPr>
        <w:t xml:space="preserve">). </w:t>
      </w:r>
      <w:r>
        <w:rPr>
          <w:szCs w:val="22"/>
        </w:rPr>
        <w:t xml:space="preserve"> </w:t>
      </w:r>
      <w:r w:rsidRPr="00FA5DCD">
        <w:rPr>
          <w:szCs w:val="22"/>
        </w:rPr>
        <w:t xml:space="preserve">A database that utilizes MAC address information to identify </w:t>
      </w:r>
      <w:r>
        <w:rPr>
          <w:szCs w:val="22"/>
        </w:rPr>
        <w:t xml:space="preserve">a </w:t>
      </w:r>
      <w:r w:rsidRPr="00FA5DCD">
        <w:rPr>
          <w:szCs w:val="22"/>
        </w:rPr>
        <w:t xml:space="preserve">dispatchable location </w:t>
      </w:r>
      <w:r>
        <w:rPr>
          <w:szCs w:val="22"/>
        </w:rPr>
        <w:t xml:space="preserve">for nearby </w:t>
      </w:r>
      <w:r w:rsidRPr="00FA5DCD">
        <w:rPr>
          <w:szCs w:val="22"/>
        </w:rPr>
        <w:t xml:space="preserve">wireless devices within </w:t>
      </w:r>
      <w:r>
        <w:rPr>
          <w:szCs w:val="22"/>
        </w:rPr>
        <w:t>the</w:t>
      </w:r>
      <w:r w:rsidRPr="00FA5DCD">
        <w:rPr>
          <w:szCs w:val="22"/>
        </w:rPr>
        <w:t xml:space="preserve"> </w:t>
      </w:r>
      <w:r>
        <w:rPr>
          <w:szCs w:val="22"/>
        </w:rPr>
        <w:t>CMRS provider’s</w:t>
      </w:r>
      <w:r w:rsidRPr="00FA5DCD">
        <w:rPr>
          <w:szCs w:val="22"/>
        </w:rPr>
        <w:t xml:space="preserve"> coverage footprint</w:t>
      </w:r>
      <w:r>
        <w:rPr>
          <w:szCs w:val="22"/>
        </w:rPr>
        <w:t xml:space="preserve">. </w:t>
      </w:r>
    </w:p>
    <w:p w14:paraId="6FD06CF4" w14:textId="77777777" w:rsidR="00A82CD0" w:rsidRDefault="00A82CD0" w:rsidP="00EE2E1F">
      <w:pPr>
        <w:pStyle w:val="ListParagraph"/>
        <w:numPr>
          <w:ilvl w:val="1"/>
          <w:numId w:val="6"/>
        </w:numPr>
        <w:spacing w:before="120"/>
        <w:ind w:left="1267" w:hanging="187"/>
        <w:rPr>
          <w:szCs w:val="22"/>
        </w:rPr>
      </w:pPr>
      <w:r>
        <w:rPr>
          <w:i/>
          <w:szCs w:val="22"/>
        </w:rPr>
        <w:t xml:space="preserve">Nationwide CMRS provider:  </w:t>
      </w:r>
      <w:r>
        <w:rPr>
          <w:szCs w:val="22"/>
        </w:rPr>
        <w:t>A CMRS provider whose service extends to a majority of the population and land area of the United States.</w:t>
      </w:r>
    </w:p>
    <w:p w14:paraId="29F0CF8B" w14:textId="77777777" w:rsidR="00A82CD0" w:rsidRDefault="00A82CD0" w:rsidP="00EE2E1F">
      <w:pPr>
        <w:pStyle w:val="ListParagraph"/>
        <w:numPr>
          <w:ilvl w:val="1"/>
          <w:numId w:val="6"/>
        </w:numPr>
        <w:spacing w:before="120"/>
        <w:ind w:left="1267" w:hanging="187"/>
        <w:rPr>
          <w:szCs w:val="22"/>
        </w:rPr>
      </w:pPr>
      <w:r>
        <w:rPr>
          <w:i/>
          <w:szCs w:val="22"/>
        </w:rPr>
        <w:t xml:space="preserve">Non-nationwide CMRS provider:  </w:t>
      </w:r>
      <w:r>
        <w:rPr>
          <w:szCs w:val="22"/>
        </w:rPr>
        <w:t>Any CMRS provider other than a nationwide CMRS provider.</w:t>
      </w:r>
    </w:p>
    <w:p w14:paraId="1656C790" w14:textId="050D5BE4" w:rsidR="00C210E7" w:rsidRPr="008B1CC3" w:rsidRDefault="00A82CD0" w:rsidP="00EE2E1F">
      <w:pPr>
        <w:pStyle w:val="ListParagraph"/>
        <w:numPr>
          <w:ilvl w:val="1"/>
          <w:numId w:val="6"/>
        </w:numPr>
        <w:spacing w:before="120"/>
        <w:ind w:left="1267" w:hanging="187"/>
        <w:rPr>
          <w:szCs w:val="22"/>
        </w:rPr>
      </w:pPr>
      <w:r w:rsidRPr="00FE323F">
        <w:rPr>
          <w:i/>
          <w:szCs w:val="22"/>
        </w:rPr>
        <w:t>Test Cities</w:t>
      </w:r>
      <w:r w:rsidRPr="008B1CC3">
        <w:rPr>
          <w:szCs w:val="22"/>
        </w:rPr>
        <w:t>.</w:t>
      </w:r>
      <w:r>
        <w:rPr>
          <w:szCs w:val="22"/>
        </w:rPr>
        <w:t xml:space="preserve">  The six cities (</w:t>
      </w:r>
      <w:r w:rsidRPr="0024277C">
        <w:rPr>
          <w:szCs w:val="22"/>
        </w:rPr>
        <w:t>San Francisco, Chicago, Atlanta, Denver/Front Range, Philadelphia, and M</w:t>
      </w:r>
      <w:r>
        <w:rPr>
          <w:szCs w:val="22"/>
        </w:rPr>
        <w:t xml:space="preserve">anhattan Borough) and surrounding geographic areas that correspond to the six geographic regions specified by </w:t>
      </w:r>
      <w:r w:rsidR="00EF4D90">
        <w:rPr>
          <w:szCs w:val="22"/>
        </w:rPr>
        <w:t xml:space="preserve">the February 7, 2014 </w:t>
      </w:r>
      <w:r>
        <w:rPr>
          <w:szCs w:val="22"/>
        </w:rPr>
        <w:t xml:space="preserve">ATIS Document, “Considerations in Selecting Indoor Test Regions,” for testing of indoor location technologies. </w:t>
      </w:r>
    </w:p>
    <w:p w14:paraId="1A329E68" w14:textId="12C8932D" w:rsidR="00C210E7" w:rsidRDefault="00C210E7" w:rsidP="00646595">
      <w:pPr>
        <w:pStyle w:val="ListParagraph"/>
        <w:widowControl/>
        <w:numPr>
          <w:ilvl w:val="0"/>
          <w:numId w:val="6"/>
        </w:numPr>
        <w:spacing w:before="240"/>
        <w:rPr>
          <w:szCs w:val="22"/>
        </w:rPr>
      </w:pPr>
      <w:r>
        <w:rPr>
          <w:i/>
          <w:szCs w:val="22"/>
        </w:rPr>
        <w:t xml:space="preserve">Indoor </w:t>
      </w:r>
      <w:r w:rsidR="00D33139">
        <w:rPr>
          <w:i/>
          <w:szCs w:val="22"/>
        </w:rPr>
        <w:t>location accuracy standards</w:t>
      </w:r>
      <w:r>
        <w:rPr>
          <w:i/>
          <w:szCs w:val="22"/>
        </w:rPr>
        <w:t xml:space="preserve">:  </w:t>
      </w:r>
      <w:r w:rsidRPr="006469F7">
        <w:rPr>
          <w:szCs w:val="22"/>
        </w:rPr>
        <w:t xml:space="preserve">CMRS providers subject to this section </w:t>
      </w:r>
      <w:r>
        <w:rPr>
          <w:szCs w:val="22"/>
        </w:rPr>
        <w:t>shall meet the following requirements:</w:t>
      </w:r>
    </w:p>
    <w:p w14:paraId="22F3AD03" w14:textId="56AE552F" w:rsidR="00C210E7" w:rsidRPr="008F51D9" w:rsidRDefault="00C210E7" w:rsidP="00DD3AAE">
      <w:pPr>
        <w:pStyle w:val="ListParagraph"/>
        <w:numPr>
          <w:ilvl w:val="1"/>
          <w:numId w:val="6"/>
        </w:numPr>
        <w:spacing w:before="240"/>
        <w:rPr>
          <w:szCs w:val="22"/>
        </w:rPr>
      </w:pPr>
      <w:r w:rsidRPr="00B9740B">
        <w:rPr>
          <w:i/>
          <w:szCs w:val="22"/>
        </w:rPr>
        <w:t>Horizontal</w:t>
      </w:r>
      <w:r w:rsidRPr="009B069C">
        <w:rPr>
          <w:szCs w:val="22"/>
        </w:rPr>
        <w:t xml:space="preserve"> </w:t>
      </w:r>
      <w:r w:rsidR="00D33139">
        <w:rPr>
          <w:i/>
          <w:szCs w:val="22"/>
        </w:rPr>
        <w:t>l</w:t>
      </w:r>
      <w:r w:rsidRPr="00B9740B">
        <w:rPr>
          <w:i/>
          <w:szCs w:val="22"/>
        </w:rPr>
        <w:t>ocation</w:t>
      </w:r>
      <w:r w:rsidR="00430EF3">
        <w:rPr>
          <w:szCs w:val="22"/>
        </w:rPr>
        <w:t>.</w:t>
      </w:r>
      <w:r>
        <w:rPr>
          <w:szCs w:val="22"/>
        </w:rPr>
        <w:t xml:space="preserve"> </w:t>
      </w:r>
    </w:p>
    <w:p w14:paraId="046F4267" w14:textId="2D825280" w:rsidR="00BF1A72" w:rsidRDefault="00C210E7" w:rsidP="00EE2E1F">
      <w:pPr>
        <w:pStyle w:val="ListParagraph"/>
        <w:numPr>
          <w:ilvl w:val="0"/>
          <w:numId w:val="32"/>
        </w:numPr>
        <w:spacing w:before="120"/>
        <w:ind w:left="2250" w:hanging="450"/>
        <w:rPr>
          <w:szCs w:val="22"/>
        </w:rPr>
      </w:pPr>
      <w:r>
        <w:rPr>
          <w:szCs w:val="22"/>
        </w:rPr>
        <w:t xml:space="preserve">Nationwide </w:t>
      </w:r>
      <w:r w:rsidRPr="00CE0070">
        <w:rPr>
          <w:szCs w:val="22"/>
        </w:rPr>
        <w:t xml:space="preserve">CMRS providers </w:t>
      </w:r>
      <w:r>
        <w:rPr>
          <w:szCs w:val="22"/>
        </w:rPr>
        <w:t>shall</w:t>
      </w:r>
      <w:r w:rsidRPr="00CE0070">
        <w:rPr>
          <w:szCs w:val="22"/>
        </w:rPr>
        <w:t xml:space="preserve"> provide (1) dispatchable location, or (2) x/y location within 50 meters, for the following percentages of wireless 911 calls within the following timeframes, measured from </w:t>
      </w:r>
      <w:r w:rsidR="005B5B39">
        <w:rPr>
          <w:szCs w:val="22"/>
        </w:rPr>
        <w:t xml:space="preserve">the </w:t>
      </w:r>
      <w:r w:rsidR="005B5B39" w:rsidRPr="00CE0070">
        <w:rPr>
          <w:szCs w:val="22"/>
        </w:rPr>
        <w:t xml:space="preserve">effective date </w:t>
      </w:r>
      <w:r w:rsidRPr="00CE0070">
        <w:rPr>
          <w:szCs w:val="22"/>
        </w:rPr>
        <w:t xml:space="preserve">of </w:t>
      </w:r>
      <w:r>
        <w:rPr>
          <w:szCs w:val="22"/>
        </w:rPr>
        <w:t>the adoption of this rule</w:t>
      </w:r>
      <w:r w:rsidRPr="00CE0070">
        <w:rPr>
          <w:szCs w:val="22"/>
        </w:rPr>
        <w:t>:</w:t>
      </w:r>
    </w:p>
    <w:p w14:paraId="53FEBF67" w14:textId="7BA3BBB5" w:rsidR="00BF1A72" w:rsidRPr="008A2624" w:rsidRDefault="00C210E7" w:rsidP="00EE2E1F">
      <w:pPr>
        <w:pStyle w:val="ListParagraph"/>
        <w:numPr>
          <w:ilvl w:val="1"/>
          <w:numId w:val="32"/>
        </w:numPr>
        <w:spacing w:before="120"/>
        <w:rPr>
          <w:szCs w:val="22"/>
        </w:rPr>
      </w:pPr>
      <w:r w:rsidRPr="008A2624">
        <w:rPr>
          <w:szCs w:val="22"/>
        </w:rPr>
        <w:t>Within 2 years: 40 percent of all wireless 911 calls.</w:t>
      </w:r>
    </w:p>
    <w:p w14:paraId="23E046BE" w14:textId="53650C55" w:rsidR="00BF1A72" w:rsidRPr="008A2624" w:rsidRDefault="00C210E7" w:rsidP="00EE2E1F">
      <w:pPr>
        <w:pStyle w:val="ListParagraph"/>
        <w:numPr>
          <w:ilvl w:val="1"/>
          <w:numId w:val="32"/>
        </w:numPr>
        <w:spacing w:before="120"/>
        <w:rPr>
          <w:szCs w:val="22"/>
        </w:rPr>
      </w:pPr>
      <w:r w:rsidRPr="008A2624">
        <w:rPr>
          <w:szCs w:val="22"/>
        </w:rPr>
        <w:t>Within 3 years: 50 percent of all wireless 911 calls.</w:t>
      </w:r>
    </w:p>
    <w:p w14:paraId="015CF740" w14:textId="66970333" w:rsidR="00BF1A72" w:rsidRPr="008A2624" w:rsidRDefault="00C210E7" w:rsidP="00EE2E1F">
      <w:pPr>
        <w:pStyle w:val="ListParagraph"/>
        <w:numPr>
          <w:ilvl w:val="1"/>
          <w:numId w:val="32"/>
        </w:numPr>
        <w:spacing w:before="120"/>
        <w:rPr>
          <w:szCs w:val="22"/>
        </w:rPr>
      </w:pPr>
      <w:r w:rsidRPr="008A2624">
        <w:rPr>
          <w:szCs w:val="22"/>
        </w:rPr>
        <w:t xml:space="preserve">Within 5 years: 70 percent of all wireless 911 calls. </w:t>
      </w:r>
    </w:p>
    <w:p w14:paraId="55F5A907" w14:textId="4A62B210" w:rsidR="00BF1A72" w:rsidRPr="008A2624" w:rsidRDefault="00C210E7" w:rsidP="00EE2E1F">
      <w:pPr>
        <w:pStyle w:val="ListParagraph"/>
        <w:numPr>
          <w:ilvl w:val="1"/>
          <w:numId w:val="32"/>
        </w:numPr>
        <w:spacing w:before="120"/>
        <w:rPr>
          <w:szCs w:val="22"/>
        </w:rPr>
      </w:pPr>
      <w:r w:rsidRPr="008A2624">
        <w:rPr>
          <w:szCs w:val="22"/>
        </w:rPr>
        <w:t xml:space="preserve">Within 6 years: 80 percent of all wireless 911 calls.      </w:t>
      </w:r>
    </w:p>
    <w:p w14:paraId="5965EFD4" w14:textId="1A4B48C5" w:rsidR="00BF1A72" w:rsidRPr="008A2624" w:rsidRDefault="00C210E7" w:rsidP="00EE2E1F">
      <w:pPr>
        <w:pStyle w:val="ListParagraph"/>
        <w:numPr>
          <w:ilvl w:val="0"/>
          <w:numId w:val="32"/>
        </w:numPr>
        <w:spacing w:before="120"/>
        <w:rPr>
          <w:szCs w:val="22"/>
        </w:rPr>
      </w:pPr>
      <w:r w:rsidRPr="008A2624">
        <w:rPr>
          <w:szCs w:val="22"/>
        </w:rPr>
        <w:t xml:space="preserve">Non-nationwide CMRS providers shall provide (1) dispatchable location or (2) x/y location within 50 meters, for the following percentages of wireless 911 calls within the following timeframes, measured from </w:t>
      </w:r>
      <w:r w:rsidR="005B5B39">
        <w:rPr>
          <w:szCs w:val="22"/>
        </w:rPr>
        <w:t xml:space="preserve">the </w:t>
      </w:r>
      <w:r w:rsidR="005B5B39" w:rsidRPr="008A2624">
        <w:rPr>
          <w:szCs w:val="22"/>
        </w:rPr>
        <w:t xml:space="preserve">effective date </w:t>
      </w:r>
      <w:r w:rsidRPr="008A2624">
        <w:rPr>
          <w:szCs w:val="22"/>
        </w:rPr>
        <w:t>of the adoption of this rule:</w:t>
      </w:r>
    </w:p>
    <w:p w14:paraId="4826775C" w14:textId="55335E32" w:rsidR="00BF1A72" w:rsidRPr="008A2624" w:rsidRDefault="00C210E7" w:rsidP="00EE2E1F">
      <w:pPr>
        <w:pStyle w:val="ListParagraph"/>
        <w:numPr>
          <w:ilvl w:val="1"/>
          <w:numId w:val="32"/>
        </w:numPr>
        <w:spacing w:before="120"/>
        <w:rPr>
          <w:szCs w:val="22"/>
        </w:rPr>
      </w:pPr>
      <w:r w:rsidRPr="008A2624">
        <w:rPr>
          <w:szCs w:val="22"/>
        </w:rPr>
        <w:t>Within 2 years: 40 percent of all wireless 911 calls.</w:t>
      </w:r>
    </w:p>
    <w:p w14:paraId="29A6941E" w14:textId="2EB17995" w:rsidR="00BF1A72" w:rsidRPr="008A2624" w:rsidRDefault="00C210E7" w:rsidP="00EE2E1F">
      <w:pPr>
        <w:pStyle w:val="ListParagraph"/>
        <w:numPr>
          <w:ilvl w:val="1"/>
          <w:numId w:val="32"/>
        </w:numPr>
        <w:spacing w:before="120"/>
        <w:rPr>
          <w:szCs w:val="22"/>
        </w:rPr>
      </w:pPr>
      <w:r w:rsidRPr="008A2624">
        <w:rPr>
          <w:szCs w:val="22"/>
        </w:rPr>
        <w:t>Within 3 years: 50 percent of all wireless 911 calls.</w:t>
      </w:r>
    </w:p>
    <w:p w14:paraId="3A9EDCD9" w14:textId="699225AA" w:rsidR="00BF1A72" w:rsidRPr="008A2624" w:rsidRDefault="00C210E7" w:rsidP="00EE2E1F">
      <w:pPr>
        <w:pStyle w:val="ListParagraph"/>
        <w:numPr>
          <w:ilvl w:val="1"/>
          <w:numId w:val="32"/>
        </w:numPr>
        <w:spacing w:before="120"/>
        <w:rPr>
          <w:szCs w:val="22"/>
        </w:rPr>
      </w:pPr>
      <w:r w:rsidRPr="008A2624">
        <w:rPr>
          <w:szCs w:val="22"/>
        </w:rPr>
        <w:t xml:space="preserve">Within 5 years or </w:t>
      </w:r>
      <w:r w:rsidRPr="00CA63EB">
        <w:t xml:space="preserve">within </w:t>
      </w:r>
      <w:r w:rsidRPr="00E16D9C">
        <w:t>six months</w:t>
      </w:r>
      <w:r w:rsidRPr="008A2624">
        <w:rPr>
          <w:szCs w:val="22"/>
        </w:rPr>
        <w:t xml:space="preserve"> of deploying a commercially-operating VoLTE platform in their network, whichever is later: 70 percent of all wireless 911 calls.</w:t>
      </w:r>
    </w:p>
    <w:p w14:paraId="5A425AEA" w14:textId="0E51FDA9" w:rsidR="00C210E7" w:rsidRDefault="00C210E7" w:rsidP="00EE2E1F">
      <w:pPr>
        <w:pStyle w:val="ListParagraph"/>
        <w:numPr>
          <w:ilvl w:val="1"/>
          <w:numId w:val="32"/>
        </w:numPr>
        <w:spacing w:before="120"/>
      </w:pPr>
      <w:r w:rsidRPr="00CA63EB">
        <w:t xml:space="preserve">Within </w:t>
      </w:r>
      <w:r w:rsidRPr="00E16D9C">
        <w:t xml:space="preserve">6 years or </w:t>
      </w:r>
      <w:r w:rsidRPr="0091750B">
        <w:t>within one year</w:t>
      </w:r>
      <w:r w:rsidRPr="008B1CC3">
        <w:t xml:space="preserve"> of deploying a commercially-operating VoLTE platform in their network,</w:t>
      </w:r>
      <w:r>
        <w:t xml:space="preserve"> whichever is later: 80 percent of all wireless 911 calls.</w:t>
      </w:r>
    </w:p>
    <w:p w14:paraId="3EA6BB31" w14:textId="4C324EDF" w:rsidR="00C210E7" w:rsidRPr="009B069C" w:rsidRDefault="00C210E7" w:rsidP="00DD3AAE">
      <w:pPr>
        <w:pStyle w:val="ListParagraph"/>
        <w:numPr>
          <w:ilvl w:val="1"/>
          <w:numId w:val="6"/>
        </w:numPr>
        <w:spacing w:before="240"/>
        <w:rPr>
          <w:szCs w:val="22"/>
        </w:rPr>
      </w:pPr>
      <w:r>
        <w:rPr>
          <w:i/>
          <w:szCs w:val="22"/>
        </w:rPr>
        <w:t xml:space="preserve">Vertical </w:t>
      </w:r>
      <w:r w:rsidR="00430EF3">
        <w:rPr>
          <w:i/>
          <w:szCs w:val="22"/>
        </w:rPr>
        <w:t>location.</w:t>
      </w:r>
      <w:r>
        <w:rPr>
          <w:i/>
          <w:szCs w:val="22"/>
        </w:rPr>
        <w:t xml:space="preserve"> </w:t>
      </w:r>
      <w:r>
        <w:rPr>
          <w:szCs w:val="22"/>
        </w:rPr>
        <w:t>CMRS providers shall p</w:t>
      </w:r>
      <w:r w:rsidRPr="009B069C">
        <w:rPr>
          <w:szCs w:val="22"/>
        </w:rPr>
        <w:t>rovi</w:t>
      </w:r>
      <w:r>
        <w:rPr>
          <w:szCs w:val="22"/>
        </w:rPr>
        <w:t xml:space="preserve">de </w:t>
      </w:r>
      <w:r w:rsidRPr="009B069C">
        <w:rPr>
          <w:szCs w:val="22"/>
        </w:rPr>
        <w:t xml:space="preserve">vertical location information with wireless 911 calls </w:t>
      </w:r>
      <w:r>
        <w:rPr>
          <w:szCs w:val="22"/>
        </w:rPr>
        <w:t xml:space="preserve">as described in this section </w:t>
      </w:r>
      <w:r w:rsidRPr="009B069C">
        <w:rPr>
          <w:szCs w:val="22"/>
        </w:rPr>
        <w:t xml:space="preserve">within the following timeframes measured from </w:t>
      </w:r>
      <w:r w:rsidR="005B5B39">
        <w:rPr>
          <w:szCs w:val="22"/>
        </w:rPr>
        <w:t xml:space="preserve">the effective date </w:t>
      </w:r>
      <w:r>
        <w:rPr>
          <w:szCs w:val="22"/>
        </w:rPr>
        <w:t>of the adoption of this rule</w:t>
      </w:r>
      <w:r w:rsidRPr="009B069C">
        <w:rPr>
          <w:szCs w:val="22"/>
        </w:rPr>
        <w:t xml:space="preserve">: </w:t>
      </w:r>
    </w:p>
    <w:p w14:paraId="1D682E21" w14:textId="1B3C8004" w:rsidR="00C210E7" w:rsidRPr="009B069C" w:rsidRDefault="00C210E7" w:rsidP="00EE2E1F">
      <w:pPr>
        <w:pStyle w:val="ListParagraph"/>
        <w:numPr>
          <w:ilvl w:val="3"/>
          <w:numId w:val="6"/>
        </w:numPr>
        <w:tabs>
          <w:tab w:val="left" w:pos="1800"/>
        </w:tabs>
        <w:spacing w:before="120"/>
        <w:ind w:left="2250" w:hanging="450"/>
        <w:rPr>
          <w:szCs w:val="22"/>
        </w:rPr>
      </w:pPr>
      <w:r w:rsidRPr="009B069C">
        <w:rPr>
          <w:szCs w:val="22"/>
        </w:rPr>
        <w:t xml:space="preserve">Within 3 years: </w:t>
      </w:r>
      <w:r w:rsidR="00B449BA">
        <w:rPr>
          <w:szCs w:val="22"/>
        </w:rPr>
        <w:t xml:space="preserve">All </w:t>
      </w:r>
      <w:r w:rsidRPr="009B069C">
        <w:rPr>
          <w:szCs w:val="22"/>
        </w:rPr>
        <w:t xml:space="preserve">CMRS providers </w:t>
      </w:r>
      <w:r>
        <w:rPr>
          <w:szCs w:val="22"/>
        </w:rPr>
        <w:t>shall</w:t>
      </w:r>
      <w:r w:rsidRPr="009B069C">
        <w:rPr>
          <w:szCs w:val="22"/>
        </w:rPr>
        <w:t xml:space="preserve"> make uncompensated barometric data available to PSAPs </w:t>
      </w:r>
      <w:r>
        <w:rPr>
          <w:szCs w:val="22"/>
        </w:rPr>
        <w:t xml:space="preserve">with respect to any 911 call placed </w:t>
      </w:r>
      <w:r w:rsidRPr="009B069C">
        <w:rPr>
          <w:szCs w:val="22"/>
        </w:rPr>
        <w:t>from any handset</w:t>
      </w:r>
      <w:r>
        <w:rPr>
          <w:szCs w:val="22"/>
        </w:rPr>
        <w:t xml:space="preserve"> </w:t>
      </w:r>
      <w:r w:rsidRPr="009B069C">
        <w:rPr>
          <w:szCs w:val="22"/>
        </w:rPr>
        <w:t xml:space="preserve">that has </w:t>
      </w:r>
      <w:r w:rsidR="00F8034B">
        <w:rPr>
          <w:szCs w:val="22"/>
        </w:rPr>
        <w:t xml:space="preserve">the capability to deliver </w:t>
      </w:r>
      <w:r w:rsidRPr="009B069C">
        <w:rPr>
          <w:szCs w:val="22"/>
        </w:rPr>
        <w:t>barometric sensor</w:t>
      </w:r>
      <w:r w:rsidR="00F8034B">
        <w:rPr>
          <w:szCs w:val="22"/>
        </w:rPr>
        <w:t xml:space="preserve"> information</w:t>
      </w:r>
      <w:r w:rsidRPr="009B069C">
        <w:rPr>
          <w:szCs w:val="22"/>
        </w:rPr>
        <w:t>.</w:t>
      </w:r>
      <w:r>
        <w:rPr>
          <w:szCs w:val="22"/>
        </w:rPr>
        <w:t xml:space="preserve">  </w:t>
      </w:r>
    </w:p>
    <w:p w14:paraId="40BE6DF9" w14:textId="42DF29AF" w:rsidR="00C210E7" w:rsidRPr="009B069C" w:rsidRDefault="00F846BE" w:rsidP="00EE2E1F">
      <w:pPr>
        <w:pStyle w:val="ListParagraph"/>
        <w:numPr>
          <w:ilvl w:val="3"/>
          <w:numId w:val="6"/>
        </w:numPr>
        <w:tabs>
          <w:tab w:val="left" w:pos="1800"/>
        </w:tabs>
        <w:spacing w:before="120"/>
        <w:ind w:left="2250" w:hanging="450"/>
        <w:rPr>
          <w:szCs w:val="22"/>
        </w:rPr>
      </w:pPr>
      <w:r w:rsidRPr="00F846BE">
        <w:rPr>
          <w:szCs w:val="22"/>
        </w:rPr>
        <w:t>Within 3 years:  Nationwide CMRS providers shall develop one or more z-axis accuracy metrics validated by an independently administered and transparent test bed process as described in paragraph (i)(3)(i) of this section, and shall  submit the proposed metric or metrics, supported by a report of the results of such development and testing, to the Commission for approval</w:t>
      </w:r>
      <w:r w:rsidR="00C210E7" w:rsidRPr="009B069C">
        <w:rPr>
          <w:szCs w:val="22"/>
        </w:rPr>
        <w:t>.</w:t>
      </w:r>
      <w:r w:rsidR="00C210E7">
        <w:rPr>
          <w:szCs w:val="22"/>
        </w:rPr>
        <w:t xml:space="preserve">  </w:t>
      </w:r>
      <w:r w:rsidR="00C210E7" w:rsidRPr="009B069C">
        <w:rPr>
          <w:szCs w:val="22"/>
        </w:rPr>
        <w:t xml:space="preserve"> </w:t>
      </w:r>
    </w:p>
    <w:p w14:paraId="1D20AC51" w14:textId="6960DDAD" w:rsidR="008A2624" w:rsidRPr="009B069C" w:rsidRDefault="0044430A" w:rsidP="00EE2E1F">
      <w:pPr>
        <w:pStyle w:val="ListParagraph"/>
        <w:numPr>
          <w:ilvl w:val="3"/>
          <w:numId w:val="6"/>
        </w:numPr>
        <w:tabs>
          <w:tab w:val="left" w:pos="1800"/>
        </w:tabs>
        <w:spacing w:before="120"/>
        <w:ind w:left="2250" w:hanging="450"/>
        <w:rPr>
          <w:szCs w:val="22"/>
        </w:rPr>
      </w:pPr>
      <w:r w:rsidRPr="009B069C">
        <w:rPr>
          <w:szCs w:val="22"/>
        </w:rPr>
        <w:t xml:space="preserve">Within 6 years: </w:t>
      </w:r>
      <w:r>
        <w:rPr>
          <w:szCs w:val="22"/>
        </w:rPr>
        <w:t>I</w:t>
      </w:r>
      <w:r w:rsidRPr="009B069C">
        <w:rPr>
          <w:szCs w:val="22"/>
        </w:rPr>
        <w:t>n each of the top 25 CMAs</w:t>
      </w:r>
      <w:r>
        <w:rPr>
          <w:szCs w:val="22"/>
        </w:rPr>
        <w:t>, n</w:t>
      </w:r>
      <w:r w:rsidRPr="009B069C">
        <w:rPr>
          <w:szCs w:val="22"/>
        </w:rPr>
        <w:t>ationwide CMRS provide</w:t>
      </w:r>
      <w:r>
        <w:rPr>
          <w:szCs w:val="22"/>
        </w:rPr>
        <w:t>r</w:t>
      </w:r>
      <w:r w:rsidRPr="009B069C">
        <w:rPr>
          <w:szCs w:val="22"/>
        </w:rPr>
        <w:t xml:space="preserve">s </w:t>
      </w:r>
      <w:r>
        <w:rPr>
          <w:szCs w:val="22"/>
        </w:rPr>
        <w:t>shall</w:t>
      </w:r>
      <w:r w:rsidRPr="009B069C">
        <w:rPr>
          <w:szCs w:val="22"/>
        </w:rPr>
        <w:t xml:space="preserve"> deploy either (1) dispatchable location, or (2)</w:t>
      </w:r>
      <w:r>
        <w:rPr>
          <w:szCs w:val="22"/>
        </w:rPr>
        <w:t xml:space="preserve"> </w:t>
      </w:r>
      <w:r w:rsidRPr="009B069C">
        <w:rPr>
          <w:szCs w:val="22"/>
        </w:rPr>
        <w:t xml:space="preserve">z-axis technology </w:t>
      </w:r>
      <w:r w:rsidR="00602851">
        <w:rPr>
          <w:szCs w:val="22"/>
        </w:rPr>
        <w:t xml:space="preserve">in compliance with </w:t>
      </w:r>
      <w:r w:rsidR="00B561B2">
        <w:rPr>
          <w:szCs w:val="22"/>
        </w:rPr>
        <w:t xml:space="preserve">any </w:t>
      </w:r>
      <w:r w:rsidR="00602851">
        <w:rPr>
          <w:szCs w:val="22"/>
        </w:rPr>
        <w:t xml:space="preserve">z-axis accuracy metric </w:t>
      </w:r>
      <w:r w:rsidR="00B561B2">
        <w:rPr>
          <w:szCs w:val="22"/>
        </w:rPr>
        <w:t>that</w:t>
      </w:r>
      <w:r w:rsidR="00B561B2" w:rsidRPr="009B069C">
        <w:rPr>
          <w:szCs w:val="22"/>
        </w:rPr>
        <w:t xml:space="preserve"> </w:t>
      </w:r>
      <w:r>
        <w:rPr>
          <w:szCs w:val="22"/>
        </w:rPr>
        <w:t xml:space="preserve">has been </w:t>
      </w:r>
      <w:r w:rsidR="00B561B2">
        <w:rPr>
          <w:szCs w:val="22"/>
        </w:rPr>
        <w:t xml:space="preserve">approved </w:t>
      </w:r>
      <w:r>
        <w:rPr>
          <w:szCs w:val="22"/>
        </w:rPr>
        <w:t xml:space="preserve">by </w:t>
      </w:r>
      <w:r w:rsidR="00B561B2">
        <w:rPr>
          <w:szCs w:val="22"/>
        </w:rPr>
        <w:t xml:space="preserve">the </w:t>
      </w:r>
      <w:r>
        <w:rPr>
          <w:szCs w:val="22"/>
        </w:rPr>
        <w:t>Commission</w:t>
      </w:r>
      <w:r w:rsidRPr="009B069C">
        <w:rPr>
          <w:szCs w:val="22"/>
        </w:rPr>
        <w:t xml:space="preserve">, </w:t>
      </w:r>
    </w:p>
    <w:p w14:paraId="1F6CFB3A" w14:textId="37A3D1AF" w:rsidR="00D33139" w:rsidRDefault="0044430A" w:rsidP="00EE2E1F">
      <w:pPr>
        <w:pStyle w:val="ListParagraph"/>
        <w:numPr>
          <w:ilvl w:val="0"/>
          <w:numId w:val="33"/>
        </w:numPr>
        <w:spacing w:before="120"/>
        <w:ind w:left="2880"/>
        <w:rPr>
          <w:szCs w:val="22"/>
        </w:rPr>
      </w:pPr>
      <w:r w:rsidRPr="008A2624">
        <w:t>In each CMA where dispatchable location is used: nationwide CMRS providers must ensure that the NEAD is populated with a sufficient number of total dispatchable location reference points to equal 25 percent of the CMA population.</w:t>
      </w:r>
    </w:p>
    <w:p w14:paraId="77105F01" w14:textId="735AF140" w:rsidR="0044430A" w:rsidRPr="008A2624" w:rsidRDefault="0044430A" w:rsidP="00EE2E1F">
      <w:pPr>
        <w:pStyle w:val="ListParagraph"/>
        <w:numPr>
          <w:ilvl w:val="0"/>
          <w:numId w:val="33"/>
        </w:numPr>
        <w:spacing w:before="120"/>
        <w:ind w:left="2880"/>
      </w:pPr>
      <w:r w:rsidRPr="008A2624">
        <w:t>In each CMA where z-axis technology is used: nationwide CMRS providers must deploy z-axis technology to cover 80 percent of the CMA population.</w:t>
      </w:r>
    </w:p>
    <w:p w14:paraId="08B156EA" w14:textId="0EC6B5F4" w:rsidR="00C46DE6" w:rsidRPr="009B069C" w:rsidRDefault="00C210E7" w:rsidP="00EE2E1F">
      <w:pPr>
        <w:pStyle w:val="ListParagraph"/>
        <w:numPr>
          <w:ilvl w:val="3"/>
          <w:numId w:val="6"/>
        </w:numPr>
        <w:tabs>
          <w:tab w:val="left" w:pos="1800"/>
        </w:tabs>
        <w:spacing w:before="120"/>
        <w:ind w:left="2250" w:hanging="450"/>
        <w:rPr>
          <w:szCs w:val="22"/>
        </w:rPr>
      </w:pPr>
      <w:r w:rsidRPr="009B069C">
        <w:rPr>
          <w:szCs w:val="22"/>
        </w:rPr>
        <w:t xml:space="preserve">Within 8 years:  </w:t>
      </w:r>
      <w:r>
        <w:rPr>
          <w:szCs w:val="22"/>
        </w:rPr>
        <w:t>In each of the top 50 CMAs, n</w:t>
      </w:r>
      <w:r w:rsidRPr="009B069C">
        <w:rPr>
          <w:szCs w:val="22"/>
        </w:rPr>
        <w:t xml:space="preserve">ationwide CMRS providers </w:t>
      </w:r>
      <w:r>
        <w:rPr>
          <w:szCs w:val="22"/>
        </w:rPr>
        <w:t>shall</w:t>
      </w:r>
      <w:r w:rsidRPr="009B069C">
        <w:rPr>
          <w:szCs w:val="22"/>
        </w:rPr>
        <w:t xml:space="preserve"> deploy </w:t>
      </w:r>
      <w:r>
        <w:rPr>
          <w:szCs w:val="22"/>
        </w:rPr>
        <w:t xml:space="preserve">either (1) </w:t>
      </w:r>
      <w:r w:rsidRPr="009B069C">
        <w:rPr>
          <w:szCs w:val="22"/>
        </w:rPr>
        <w:t xml:space="preserve">dispatchable location or </w:t>
      </w:r>
      <w:r>
        <w:rPr>
          <w:szCs w:val="22"/>
        </w:rPr>
        <w:t xml:space="preserve">(2) such </w:t>
      </w:r>
      <w:r w:rsidRPr="009B069C">
        <w:rPr>
          <w:szCs w:val="22"/>
        </w:rPr>
        <w:t xml:space="preserve">z-axis technology </w:t>
      </w:r>
      <w:r w:rsidR="00B561B2">
        <w:rPr>
          <w:szCs w:val="22"/>
        </w:rPr>
        <w:t>in compliance with any z-axis accuracy metric that</w:t>
      </w:r>
      <w:r>
        <w:rPr>
          <w:szCs w:val="22"/>
        </w:rPr>
        <w:t xml:space="preserve"> has been </w:t>
      </w:r>
      <w:r w:rsidR="00B561B2">
        <w:rPr>
          <w:szCs w:val="22"/>
        </w:rPr>
        <w:t xml:space="preserve">approved </w:t>
      </w:r>
      <w:r>
        <w:rPr>
          <w:szCs w:val="22"/>
        </w:rPr>
        <w:t xml:space="preserve">by </w:t>
      </w:r>
      <w:r w:rsidR="00B561B2">
        <w:rPr>
          <w:szCs w:val="22"/>
        </w:rPr>
        <w:t xml:space="preserve">the </w:t>
      </w:r>
      <w:r>
        <w:rPr>
          <w:szCs w:val="22"/>
        </w:rPr>
        <w:t xml:space="preserve">Commission.  </w:t>
      </w:r>
      <w:r w:rsidRPr="009B069C">
        <w:rPr>
          <w:szCs w:val="22"/>
        </w:rPr>
        <w:t xml:space="preserve">  </w:t>
      </w:r>
    </w:p>
    <w:p w14:paraId="554E9436" w14:textId="534D1EA5" w:rsidR="00C210E7" w:rsidRPr="00943FD3" w:rsidRDefault="00C210E7" w:rsidP="00EE2E1F">
      <w:pPr>
        <w:pStyle w:val="ListParagraph"/>
        <w:numPr>
          <w:ilvl w:val="3"/>
          <w:numId w:val="6"/>
        </w:numPr>
        <w:tabs>
          <w:tab w:val="left" w:pos="1800"/>
        </w:tabs>
        <w:spacing w:before="120"/>
        <w:ind w:left="2246" w:hanging="446"/>
        <w:rPr>
          <w:i/>
          <w:szCs w:val="22"/>
        </w:rPr>
      </w:pPr>
      <w:r w:rsidRPr="00943FD3">
        <w:rPr>
          <w:szCs w:val="22"/>
        </w:rPr>
        <w:t xml:space="preserve">Non-nationwide </w:t>
      </w:r>
      <w:r w:rsidR="005C20D1">
        <w:rPr>
          <w:szCs w:val="22"/>
        </w:rPr>
        <w:t>CMRS provider</w:t>
      </w:r>
      <w:r w:rsidRPr="00943FD3">
        <w:rPr>
          <w:szCs w:val="22"/>
        </w:rPr>
        <w:t>s that serve any of the top 25 or 50 CMAs will have an additional year to meet each of the benchmarks in paragraphs (i)(2)(</w:t>
      </w:r>
      <w:r w:rsidR="004F6CAF">
        <w:rPr>
          <w:szCs w:val="22"/>
        </w:rPr>
        <w:t>ii</w:t>
      </w:r>
      <w:r w:rsidRPr="00943FD3">
        <w:rPr>
          <w:szCs w:val="22"/>
        </w:rPr>
        <w:t>)(</w:t>
      </w:r>
      <w:r w:rsidR="004F6CAF">
        <w:rPr>
          <w:szCs w:val="22"/>
        </w:rPr>
        <w:t>C</w:t>
      </w:r>
      <w:r w:rsidRPr="00943FD3">
        <w:rPr>
          <w:szCs w:val="22"/>
        </w:rPr>
        <w:t>)-(</w:t>
      </w:r>
      <w:r w:rsidR="004F6CAF">
        <w:rPr>
          <w:szCs w:val="22"/>
        </w:rPr>
        <w:t>D</w:t>
      </w:r>
      <w:r w:rsidRPr="00943FD3">
        <w:rPr>
          <w:szCs w:val="22"/>
        </w:rPr>
        <w:t>) of this section.</w:t>
      </w:r>
    </w:p>
    <w:p w14:paraId="4298CCC2" w14:textId="77777777" w:rsidR="00C210E7" w:rsidRDefault="00C210E7" w:rsidP="00C210E7">
      <w:pPr>
        <w:pStyle w:val="ListParagraph"/>
        <w:ind w:left="2250" w:hanging="450"/>
        <w:rPr>
          <w:szCs w:val="22"/>
        </w:rPr>
      </w:pPr>
    </w:p>
    <w:p w14:paraId="7AF412F4" w14:textId="4818B401" w:rsidR="00C210E7" w:rsidRDefault="00C210E7" w:rsidP="00DD3AAE">
      <w:pPr>
        <w:pStyle w:val="ListParagraph"/>
        <w:numPr>
          <w:ilvl w:val="1"/>
          <w:numId w:val="6"/>
        </w:numPr>
      </w:pPr>
      <w:r>
        <w:rPr>
          <w:i/>
          <w:szCs w:val="22"/>
        </w:rPr>
        <w:t>Compliance</w:t>
      </w:r>
      <w:r>
        <w:t>.</w:t>
      </w:r>
      <w:r w:rsidRPr="00AD2222">
        <w:t xml:space="preserve"> </w:t>
      </w:r>
      <w:r>
        <w:t xml:space="preserve"> Within 60 days after each benchmark date specified in paragraphs (i)(2)(</w:t>
      </w:r>
      <w:r w:rsidR="008A2624">
        <w:t>i</w:t>
      </w:r>
      <w:r>
        <w:t>) and (</w:t>
      </w:r>
      <w:r w:rsidR="008A2624">
        <w:t>ii</w:t>
      </w:r>
      <w:r>
        <w:t xml:space="preserve">) of this section, </w:t>
      </w:r>
      <w:r w:rsidRPr="003072AE">
        <w:t xml:space="preserve">CMRS providers must certify </w:t>
      </w:r>
      <w:r>
        <w:t xml:space="preserve">that they are in compliance with the location accuracy requirements applicable to them as of that date.  CMRS providers shall be presumed to be in compliance by certifying that they have complied with the test bed and live call </w:t>
      </w:r>
      <w:r w:rsidRPr="00AD2222">
        <w:t xml:space="preserve">data </w:t>
      </w:r>
      <w:r>
        <w:t>provisions described in paragraph (i)(3) of this section.</w:t>
      </w:r>
    </w:p>
    <w:p w14:paraId="00880ABD" w14:textId="24AC84A0" w:rsidR="00C210E7" w:rsidRDefault="00C210E7" w:rsidP="00EE2E1F">
      <w:pPr>
        <w:pStyle w:val="ListParagraph"/>
        <w:numPr>
          <w:ilvl w:val="3"/>
          <w:numId w:val="6"/>
        </w:numPr>
        <w:tabs>
          <w:tab w:val="left" w:pos="1800"/>
        </w:tabs>
        <w:spacing w:before="120"/>
        <w:ind w:left="2246" w:hanging="446"/>
      </w:pPr>
      <w:r>
        <w:t xml:space="preserve">All </w:t>
      </w:r>
      <w:r w:rsidRPr="003B25B6">
        <w:t>CMRS provider</w:t>
      </w:r>
      <w:r>
        <w:t>s</w:t>
      </w:r>
      <w:r w:rsidRPr="003B25B6">
        <w:t xml:space="preserve"> </w:t>
      </w:r>
      <w:r>
        <w:t>must certify</w:t>
      </w:r>
      <w:r w:rsidRPr="003B25B6">
        <w:t xml:space="preserve"> that the indoor location technology (or technologies) </w:t>
      </w:r>
      <w:r>
        <w:t xml:space="preserve">used </w:t>
      </w:r>
      <w:r w:rsidRPr="003B25B6">
        <w:t>in</w:t>
      </w:r>
      <w:r>
        <w:t xml:space="preserve"> their </w:t>
      </w:r>
      <w:r w:rsidRPr="003B25B6">
        <w:t>network</w:t>
      </w:r>
      <w:r>
        <w:t>s are deployed consistently with the manner in which they have been tested in the test bed</w:t>
      </w:r>
      <w:r w:rsidRPr="003B25B6">
        <w:t xml:space="preserve">.  </w:t>
      </w:r>
      <w:r>
        <w:t xml:space="preserve">A CMRS provider must update certification whenever it introduces a new technology into its network or otherwise modifies its network, such that previous performance in the test bed would no longer be consistent with the technology’s modified deployment. </w:t>
      </w:r>
    </w:p>
    <w:p w14:paraId="7E109DF1" w14:textId="76BE6446" w:rsidR="00C210E7" w:rsidRDefault="00C210E7" w:rsidP="00EE2E1F">
      <w:pPr>
        <w:pStyle w:val="ListParagraph"/>
        <w:numPr>
          <w:ilvl w:val="3"/>
          <w:numId w:val="6"/>
        </w:numPr>
        <w:tabs>
          <w:tab w:val="left" w:pos="1800"/>
        </w:tabs>
        <w:spacing w:before="120"/>
        <w:ind w:left="2246" w:hanging="446"/>
      </w:pPr>
      <w:r>
        <w:t>CMRS providers that provide quarterly reports of live call data in one or more of the six test cities specified in paragraph (i)(</w:t>
      </w:r>
      <w:r w:rsidR="008A2624">
        <w:t>1</w:t>
      </w:r>
      <w:r>
        <w:t>)(</w:t>
      </w:r>
      <w:r w:rsidR="008A2624">
        <w:t>vi</w:t>
      </w:r>
      <w:r>
        <w:t>) of this section must certify that their deployment of location technologies throughout their coverage area is consistent with their deployment of the same technologies in the areas that are used for live call data reporting.</w:t>
      </w:r>
    </w:p>
    <w:p w14:paraId="5E8829FA" w14:textId="705900B0" w:rsidR="00C210E7" w:rsidRPr="00C710DE" w:rsidRDefault="00C210E7" w:rsidP="00EE2E1F">
      <w:pPr>
        <w:pStyle w:val="ListParagraph"/>
        <w:numPr>
          <w:ilvl w:val="3"/>
          <w:numId w:val="6"/>
        </w:numPr>
        <w:tabs>
          <w:tab w:val="left" w:pos="1800"/>
        </w:tabs>
        <w:spacing w:before="120"/>
        <w:ind w:left="2246" w:hanging="446"/>
      </w:pPr>
      <w:r>
        <w:t xml:space="preserve">Non-nationwide </w:t>
      </w:r>
      <w:r w:rsidRPr="00D41F63">
        <w:t xml:space="preserve">CMRS providers </w:t>
      </w:r>
      <w:r>
        <w:t>that do not provide service or report quarterly live call data in any of the six test cities specified in paragraph (i)(</w:t>
      </w:r>
      <w:r w:rsidR="008A2624">
        <w:t>1</w:t>
      </w:r>
      <w:r>
        <w:t>)(</w:t>
      </w:r>
      <w:r w:rsidR="008A2624">
        <w:t>vi</w:t>
      </w:r>
      <w:r>
        <w:t>) must</w:t>
      </w:r>
      <w:r w:rsidRPr="00D41F63">
        <w:t xml:space="preserve"> certify that </w:t>
      </w:r>
      <w:r>
        <w:t>they have verified based on their own live call data that they are in compliance with the requirements of paragraphs (i)(2)(</w:t>
      </w:r>
      <w:r w:rsidR="008A2624">
        <w:t>i</w:t>
      </w:r>
      <w:r>
        <w:t>)(B) a</w:t>
      </w:r>
      <w:r w:rsidR="0044430A">
        <w:t>nd (</w:t>
      </w:r>
      <w:r w:rsidR="008A2624">
        <w:t>ii</w:t>
      </w:r>
      <w:r w:rsidR="0044430A">
        <w:t xml:space="preserve">) of this section. </w:t>
      </w:r>
    </w:p>
    <w:p w14:paraId="28BF31C4" w14:textId="39F7489E" w:rsidR="0044430A" w:rsidRDefault="0044430A" w:rsidP="00EE2E1F">
      <w:pPr>
        <w:pStyle w:val="ListParagraph"/>
        <w:numPr>
          <w:ilvl w:val="1"/>
          <w:numId w:val="6"/>
        </w:numPr>
        <w:spacing w:before="120"/>
      </w:pPr>
      <w:r w:rsidRPr="0078437D">
        <w:rPr>
          <w:i/>
        </w:rPr>
        <w:t>Enforcement.</w:t>
      </w:r>
      <w:r w:rsidRPr="00CA63EB">
        <w:rPr>
          <w:i/>
        </w:rPr>
        <w:t xml:space="preserve"> </w:t>
      </w:r>
      <w:r>
        <w:t>PSAPs may seek Commission enforcement within their geographic service area of the requirements of paragraphs (i)(2)(</w:t>
      </w:r>
      <w:r w:rsidR="008A2624">
        <w:t>i</w:t>
      </w:r>
      <w:r>
        <w:t>) and (</w:t>
      </w:r>
      <w:r w:rsidR="008A2624">
        <w:t>ii</w:t>
      </w:r>
      <w:r>
        <w:t>) of this section, but only so long as they have implemented policies that are designed to obtain all location information made available by CMRS providers when initiating and delivering 911 calls to the PSAP.  Prior to seeking Commission enforcement, a PSAP must provide the CMRS provider with [30] days written notice, and the CMRS provider shall have an opportunity to address the issue informally. If the issue has not been addressed to the PSAP’s satisfaction within 90 days, the PSAP may seek enforcement relief.</w:t>
      </w:r>
    </w:p>
    <w:p w14:paraId="49E4ECCB" w14:textId="77777777" w:rsidR="00C210E7" w:rsidRDefault="00C210E7" w:rsidP="00C210E7">
      <w:pPr>
        <w:pStyle w:val="ListParagraph"/>
        <w:ind w:left="1440"/>
      </w:pPr>
    </w:p>
    <w:p w14:paraId="6E5CF140" w14:textId="7F1B46E3" w:rsidR="00C210E7" w:rsidRDefault="00C210E7" w:rsidP="00DD3AAE">
      <w:pPr>
        <w:pStyle w:val="ListParagraph"/>
        <w:numPr>
          <w:ilvl w:val="0"/>
          <w:numId w:val="6"/>
        </w:numPr>
        <w:spacing w:after="240"/>
      </w:pPr>
      <w:r w:rsidRPr="00852A49">
        <w:rPr>
          <w:i/>
        </w:rPr>
        <w:t xml:space="preserve">Indoor </w:t>
      </w:r>
      <w:r w:rsidR="00D33139" w:rsidRPr="00852A49">
        <w:rPr>
          <w:i/>
        </w:rPr>
        <w:t xml:space="preserve">location accuracy </w:t>
      </w:r>
      <w:r w:rsidR="00D33139">
        <w:rPr>
          <w:i/>
        </w:rPr>
        <w:t>testing and live call data reporting</w:t>
      </w:r>
      <w:r>
        <w:t xml:space="preserve">.  </w:t>
      </w:r>
    </w:p>
    <w:p w14:paraId="7EA0055B" w14:textId="1B980227" w:rsidR="00C210E7" w:rsidRDefault="00C210E7" w:rsidP="00EE2E1F">
      <w:pPr>
        <w:pStyle w:val="ListParagraph"/>
        <w:numPr>
          <w:ilvl w:val="1"/>
          <w:numId w:val="6"/>
        </w:numPr>
        <w:spacing w:after="120"/>
      </w:pPr>
      <w:r>
        <w:rPr>
          <w:i/>
        </w:rPr>
        <w:t xml:space="preserve">Indoor </w:t>
      </w:r>
      <w:r w:rsidR="00D33139">
        <w:rPr>
          <w:i/>
        </w:rPr>
        <w:t>location accuracy test bed</w:t>
      </w:r>
      <w:r>
        <w:rPr>
          <w:i/>
        </w:rPr>
        <w:t xml:space="preserve">.  </w:t>
      </w:r>
      <w:r>
        <w:t>CMRS providers must establish the test bed described in this section within 12 months of the effective date of this rule.</w:t>
      </w:r>
      <w:r w:rsidRPr="00CA63EB">
        <w:t xml:space="preserve">  </w:t>
      </w:r>
      <w:r>
        <w:t xml:space="preserve">CMRS providers must validate technologies intended for indoor location, including dispatchable location technologies and technologies that deliver horizontal and/or vertical coordinates, through </w:t>
      </w:r>
      <w:r>
        <w:rPr>
          <w:szCs w:val="22"/>
        </w:rPr>
        <w:t>an independently administered and transparent t</w:t>
      </w:r>
      <w:r w:rsidRPr="00A6665D">
        <w:rPr>
          <w:szCs w:val="22"/>
        </w:rPr>
        <w:t xml:space="preserve">est bed </w:t>
      </w:r>
      <w:r>
        <w:rPr>
          <w:szCs w:val="22"/>
        </w:rPr>
        <w:t xml:space="preserve">process, in order for such technologies to be </w:t>
      </w:r>
      <w:r w:rsidRPr="00A6665D">
        <w:rPr>
          <w:szCs w:val="22"/>
        </w:rPr>
        <w:t>presum</w:t>
      </w:r>
      <w:r>
        <w:rPr>
          <w:szCs w:val="22"/>
        </w:rPr>
        <w:t xml:space="preserve">ed to comply with the </w:t>
      </w:r>
      <w:r w:rsidRPr="00A6665D">
        <w:rPr>
          <w:szCs w:val="22"/>
        </w:rPr>
        <w:t xml:space="preserve">location </w:t>
      </w:r>
      <w:r>
        <w:rPr>
          <w:szCs w:val="22"/>
        </w:rPr>
        <w:t xml:space="preserve">accuracy </w:t>
      </w:r>
      <w:r w:rsidRPr="00A6665D">
        <w:rPr>
          <w:szCs w:val="22"/>
        </w:rPr>
        <w:t>requirements</w:t>
      </w:r>
      <w:r>
        <w:rPr>
          <w:szCs w:val="22"/>
        </w:rPr>
        <w:t xml:space="preserve"> of this paragraph</w:t>
      </w:r>
      <w:r w:rsidRPr="00A6665D">
        <w:rPr>
          <w:szCs w:val="22"/>
        </w:rPr>
        <w:t xml:space="preserve">.  The test bed </w:t>
      </w:r>
      <w:r>
        <w:rPr>
          <w:szCs w:val="22"/>
        </w:rPr>
        <w:t xml:space="preserve">shall </w:t>
      </w:r>
      <w:r w:rsidRPr="00A6665D">
        <w:rPr>
          <w:szCs w:val="22"/>
        </w:rPr>
        <w:t>meet the following</w:t>
      </w:r>
      <w:r w:rsidRPr="00480EBD">
        <w:t xml:space="preserve"> minimal requirements in order for the test results to be considered valid for compliance purposes</w:t>
      </w:r>
      <w:r>
        <w:t>:</w:t>
      </w:r>
      <w:r w:rsidRPr="00A64315">
        <w:t xml:space="preserve"> </w:t>
      </w:r>
    </w:p>
    <w:p w14:paraId="5BFA5D7B" w14:textId="77777777" w:rsidR="00C210E7" w:rsidRDefault="00C210E7" w:rsidP="00EE2E1F">
      <w:pPr>
        <w:pStyle w:val="ListParagraph"/>
        <w:numPr>
          <w:ilvl w:val="2"/>
          <w:numId w:val="6"/>
        </w:numPr>
        <w:spacing w:after="120"/>
        <w:ind w:hanging="450"/>
      </w:pPr>
      <w:r w:rsidRPr="00480EBD">
        <w:t>include testing in representative indoor environments</w:t>
      </w:r>
      <w:r>
        <w:t>, including</w:t>
      </w:r>
      <w:r w:rsidRPr="003A7172">
        <w:t xml:space="preserve"> dense urban, urban, suburban and rural morphologies</w:t>
      </w:r>
      <w:r w:rsidRPr="00480EBD">
        <w:t>;</w:t>
      </w:r>
    </w:p>
    <w:p w14:paraId="2EE12767" w14:textId="654A67FA" w:rsidR="00C210E7" w:rsidRDefault="00C210E7" w:rsidP="00EE2E1F">
      <w:pPr>
        <w:pStyle w:val="ListParagraph"/>
        <w:numPr>
          <w:ilvl w:val="2"/>
          <w:numId w:val="6"/>
        </w:numPr>
        <w:spacing w:after="120"/>
        <w:ind w:hanging="450"/>
      </w:pPr>
      <w:r w:rsidRPr="00480EBD">
        <w:t>test for performance attributes</w:t>
      </w:r>
      <w:r>
        <w:t xml:space="preserve"> including location accuracy (ground truth as measured in the test bed), latency (Time to First Fix), and reliability (yield)</w:t>
      </w:r>
      <w:r w:rsidRPr="00480EBD">
        <w:t>;</w:t>
      </w:r>
      <w:r>
        <w:t xml:space="preserve"> and</w:t>
      </w:r>
    </w:p>
    <w:p w14:paraId="0EB16D97" w14:textId="77777777" w:rsidR="00C210E7" w:rsidRDefault="00C210E7" w:rsidP="00EE2E1F">
      <w:pPr>
        <w:pStyle w:val="ListParagraph"/>
        <w:numPr>
          <w:ilvl w:val="2"/>
          <w:numId w:val="6"/>
        </w:numPr>
        <w:spacing w:after="120"/>
        <w:ind w:hanging="450"/>
      </w:pPr>
      <w:r>
        <w:t>E</w:t>
      </w:r>
      <w:r w:rsidRPr="005C2F7C">
        <w:t xml:space="preserve">ach test call (or equivalent) shall be independent from prior calls and accuracy will be based on the first location delivered </w:t>
      </w:r>
      <w:r>
        <w:t>after the call is initiated.</w:t>
      </w:r>
    </w:p>
    <w:p w14:paraId="47C60529" w14:textId="3197445F" w:rsidR="00A82CD0" w:rsidRDefault="00A82CD0" w:rsidP="00EE2E1F">
      <w:pPr>
        <w:pStyle w:val="ListParagraph"/>
        <w:numPr>
          <w:ilvl w:val="2"/>
          <w:numId w:val="6"/>
        </w:numPr>
        <w:spacing w:after="120"/>
        <w:ind w:hanging="450"/>
      </w:pPr>
      <w:r>
        <w:t>In complying with paragraph (i)(3)(</w:t>
      </w:r>
      <w:r w:rsidR="00430EF3">
        <w:t>i</w:t>
      </w:r>
      <w:r>
        <w:t>)(</w:t>
      </w:r>
      <w:r w:rsidR="00430EF3">
        <w:t>B</w:t>
      </w:r>
      <w:r>
        <w:t xml:space="preserve">) of this section, </w:t>
      </w:r>
      <w:r w:rsidRPr="00492FBD">
        <w:t xml:space="preserve">CMRS providers </w:t>
      </w:r>
      <w:r>
        <w:t xml:space="preserve">shall  measure yield separately for </w:t>
      </w:r>
      <w:r w:rsidRPr="00492FBD">
        <w:t>each individual indoor location morphology (dense urban, urban, suburban, and rural) in the test bed, and based upon the specific type of location technology that the provider intends to deploy in real-world areas represented by that particular morphology.</w:t>
      </w:r>
      <w:r>
        <w:t xml:space="preserve"> CMRS providers must base </w:t>
      </w:r>
      <w:r w:rsidR="00B37F81">
        <w:t>t</w:t>
      </w:r>
      <w:r>
        <w:t xml:space="preserve">he yield </w:t>
      </w:r>
      <w:r w:rsidRPr="00492FBD">
        <w:t>percentage</w:t>
      </w:r>
      <w:r>
        <w:t xml:space="preserve"> </w:t>
      </w:r>
      <w:r w:rsidRPr="00492FBD">
        <w:t xml:space="preserve">based on the number of test calls that deliver a location in compliance with any applicable indoor location accuracy requirements, compared to the total number of calls that successfully connect to the testing network.  </w:t>
      </w:r>
      <w:r>
        <w:t>CMRS providers may e</w:t>
      </w:r>
      <w:r w:rsidRPr="00492FBD">
        <w:t xml:space="preserve">xclude </w:t>
      </w:r>
      <w:r>
        <w:t xml:space="preserve">test </w:t>
      </w:r>
      <w:r w:rsidRPr="00492FBD">
        <w:t>calls that are dropped or otherwise disconnected in</w:t>
      </w:r>
      <w:r>
        <w:t xml:space="preserve"> 1</w:t>
      </w:r>
      <w:r w:rsidRPr="00492FBD">
        <w:t>0 seconds or less from calculation of the yield percentage (both the denominator and numerator).</w:t>
      </w:r>
      <w:r>
        <w:t xml:space="preserve"> </w:t>
      </w:r>
      <w:r w:rsidRPr="00492FBD">
        <w:t xml:space="preserve"> </w:t>
      </w:r>
      <w:r>
        <w:t xml:space="preserve"> </w:t>
      </w:r>
      <w:r w:rsidRPr="00492FBD">
        <w:t xml:space="preserve">  </w:t>
      </w:r>
    </w:p>
    <w:p w14:paraId="12C0BE6E" w14:textId="6A8722BB" w:rsidR="00C210E7" w:rsidRPr="00B148C4" w:rsidRDefault="00C210E7" w:rsidP="00EE2E1F">
      <w:pPr>
        <w:pStyle w:val="ListParagraph"/>
        <w:numPr>
          <w:ilvl w:val="1"/>
          <w:numId w:val="6"/>
        </w:numPr>
        <w:spacing w:after="120"/>
      </w:pPr>
      <w:r>
        <w:rPr>
          <w:i/>
        </w:rPr>
        <w:t xml:space="preserve">Collection and </w:t>
      </w:r>
      <w:r w:rsidR="00D33139">
        <w:rPr>
          <w:i/>
        </w:rPr>
        <w:t xml:space="preserve">reporting of aggregate </w:t>
      </w:r>
      <w:r w:rsidR="00D33139" w:rsidRPr="00852A49">
        <w:rPr>
          <w:i/>
        </w:rPr>
        <w:t>live 911 call</w:t>
      </w:r>
      <w:r w:rsidR="00D33139">
        <w:rPr>
          <w:i/>
        </w:rPr>
        <w:t xml:space="preserve"> location</w:t>
      </w:r>
      <w:r w:rsidR="00D33139" w:rsidRPr="00852A49">
        <w:rPr>
          <w:i/>
        </w:rPr>
        <w:t xml:space="preserve"> data</w:t>
      </w:r>
      <w:r>
        <w:t xml:space="preserve">.  </w:t>
      </w:r>
      <w:r w:rsidRPr="0024277C">
        <w:rPr>
          <w:szCs w:val="22"/>
        </w:rPr>
        <w:t xml:space="preserve">CMRS providers </w:t>
      </w:r>
      <w:r>
        <w:rPr>
          <w:szCs w:val="22"/>
        </w:rPr>
        <w:t>providing service in any of the Test Cities or portions thereof must</w:t>
      </w:r>
      <w:r w:rsidRPr="0024277C">
        <w:rPr>
          <w:szCs w:val="22"/>
        </w:rPr>
        <w:t xml:space="preserve"> </w:t>
      </w:r>
      <w:r>
        <w:rPr>
          <w:szCs w:val="22"/>
        </w:rPr>
        <w:t xml:space="preserve">collect and report aggregate data on the location technologies used for live 911 </w:t>
      </w:r>
      <w:r w:rsidRPr="0024277C">
        <w:rPr>
          <w:szCs w:val="22"/>
        </w:rPr>
        <w:t>call</w:t>
      </w:r>
      <w:r>
        <w:rPr>
          <w:szCs w:val="22"/>
        </w:rPr>
        <w:t xml:space="preserve">s in those areas.  </w:t>
      </w:r>
    </w:p>
    <w:p w14:paraId="07562ED9" w14:textId="77777777" w:rsidR="0099254D" w:rsidRPr="008417A9" w:rsidRDefault="0099254D" w:rsidP="00EE2E1F">
      <w:pPr>
        <w:pStyle w:val="ListParagraph"/>
        <w:numPr>
          <w:ilvl w:val="2"/>
          <w:numId w:val="6"/>
        </w:numPr>
        <w:spacing w:after="120"/>
        <w:ind w:hanging="446"/>
      </w:pPr>
      <w:r w:rsidRPr="00B148C4">
        <w:rPr>
          <w:szCs w:val="22"/>
        </w:rPr>
        <w:t>CMRS providers subject to this section shall identify and collect information regarding the location technology or technologies used for each 911 call in the reporting area</w:t>
      </w:r>
      <w:r>
        <w:rPr>
          <w:szCs w:val="22"/>
        </w:rPr>
        <w:t xml:space="preserve"> during the calling period</w:t>
      </w:r>
      <w:r w:rsidRPr="00B148C4">
        <w:rPr>
          <w:szCs w:val="22"/>
        </w:rPr>
        <w:t>.</w:t>
      </w:r>
    </w:p>
    <w:p w14:paraId="6453CB6E" w14:textId="0D3133CD" w:rsidR="0099254D" w:rsidRPr="007D7842" w:rsidRDefault="0099254D" w:rsidP="00EE2E1F">
      <w:pPr>
        <w:pStyle w:val="ListParagraph"/>
        <w:numPr>
          <w:ilvl w:val="2"/>
          <w:numId w:val="6"/>
        </w:numPr>
        <w:spacing w:after="120"/>
        <w:ind w:hanging="446"/>
      </w:pPr>
      <w:r w:rsidRPr="00517FC5">
        <w:rPr>
          <w:szCs w:val="22"/>
        </w:rPr>
        <w:t>CMRS providers subject to this section shall report Test City call location data on a quarterly basis to the Commission, the National Emergency Number Association, the Association of Public Safety Communications Officials, and the National Association of State 911 Administrators, with the first report due 18 months from the effective date of rules adopted in this proceeding</w:t>
      </w:r>
      <w:r w:rsidRPr="00F14488">
        <w:rPr>
          <w:szCs w:val="22"/>
        </w:rPr>
        <w:t xml:space="preserve">. </w:t>
      </w:r>
    </w:p>
    <w:p w14:paraId="7DB034F1" w14:textId="75CA8D5C" w:rsidR="0099254D" w:rsidRPr="00EE66E3" w:rsidRDefault="0099254D" w:rsidP="00EE2E1F">
      <w:pPr>
        <w:pStyle w:val="ListParagraph"/>
        <w:numPr>
          <w:ilvl w:val="2"/>
          <w:numId w:val="6"/>
        </w:numPr>
        <w:spacing w:after="120"/>
        <w:ind w:hanging="446"/>
      </w:pPr>
      <w:r>
        <w:t>CMRS providers subject to this section shall also provide quarterly live call data on a more granular basis that allows evaluation of the performance of individual location technologies within different morphologies (</w:t>
      </w:r>
      <w:r w:rsidRPr="00EE2E1F">
        <w:rPr>
          <w:i/>
        </w:rPr>
        <w:t>e.g</w:t>
      </w:r>
      <w:r>
        <w:t xml:space="preserve">., dense urban, urban, suburban, rural).  </w:t>
      </w:r>
      <w:r w:rsidR="00517FC5">
        <w:rPr>
          <w:szCs w:val="22"/>
        </w:rPr>
        <w:t>T</w:t>
      </w:r>
      <w:r w:rsidR="00517FC5" w:rsidRPr="008417A9">
        <w:rPr>
          <w:szCs w:val="22"/>
        </w:rPr>
        <w:t xml:space="preserve">o the extent available, live call data for all </w:t>
      </w:r>
      <w:r w:rsidR="00517FC5">
        <w:rPr>
          <w:szCs w:val="22"/>
        </w:rPr>
        <w:t xml:space="preserve">CMRS </w:t>
      </w:r>
      <w:r w:rsidR="00517FC5" w:rsidRPr="008417A9">
        <w:rPr>
          <w:szCs w:val="22"/>
        </w:rPr>
        <w:t>providers shall delineate based on a per technology basis accumulated and so identified for: (1) each of the ATIS ESIF morphologies; (2) on a reasonable community level basis; or (3) by census block.</w:t>
      </w:r>
      <w:r>
        <w:t xml:space="preserve">  </w:t>
      </w:r>
      <w:r w:rsidR="00F14488">
        <w:t xml:space="preserve">This more granular data will be used for evaluation and not for compliance purposes.  </w:t>
      </w:r>
      <w:r w:rsidRPr="007D7842">
        <w:rPr>
          <w:szCs w:val="22"/>
        </w:rPr>
        <w:t xml:space="preserve"> </w:t>
      </w:r>
    </w:p>
    <w:p w14:paraId="6BEBF6A9" w14:textId="3F1FF844" w:rsidR="0099254D" w:rsidRPr="0002432F" w:rsidRDefault="0099254D" w:rsidP="00EE2E1F">
      <w:pPr>
        <w:pStyle w:val="ListParagraph"/>
        <w:numPr>
          <w:ilvl w:val="2"/>
          <w:numId w:val="6"/>
        </w:numPr>
        <w:spacing w:after="120"/>
        <w:ind w:hanging="446"/>
      </w:pPr>
      <w:r>
        <w:rPr>
          <w:szCs w:val="22"/>
        </w:rPr>
        <w:t xml:space="preserve">Non-nationwide </w:t>
      </w:r>
      <w:r w:rsidRPr="00B148C4">
        <w:rPr>
          <w:szCs w:val="22"/>
        </w:rPr>
        <w:t xml:space="preserve">CMRS providers that </w:t>
      </w:r>
      <w:r>
        <w:rPr>
          <w:szCs w:val="22"/>
        </w:rPr>
        <w:t xml:space="preserve">operate in </w:t>
      </w:r>
      <w:r w:rsidR="008A2570">
        <w:rPr>
          <w:szCs w:val="22"/>
        </w:rPr>
        <w:t xml:space="preserve">a single Test City </w:t>
      </w:r>
      <w:r w:rsidRPr="00B148C4">
        <w:rPr>
          <w:szCs w:val="22"/>
        </w:rPr>
        <w:t>need only report live 911 call data from th</w:t>
      </w:r>
      <w:r>
        <w:rPr>
          <w:szCs w:val="22"/>
        </w:rPr>
        <w:t>at city</w:t>
      </w:r>
      <w:r w:rsidRPr="00B148C4">
        <w:rPr>
          <w:szCs w:val="22"/>
        </w:rPr>
        <w:t xml:space="preserve"> or portion</w:t>
      </w:r>
      <w:r w:rsidR="008A2570">
        <w:rPr>
          <w:szCs w:val="22"/>
        </w:rPr>
        <w:t xml:space="preserve"> thereof that </w:t>
      </w:r>
      <w:r>
        <w:rPr>
          <w:szCs w:val="22"/>
        </w:rPr>
        <w:t>they</w:t>
      </w:r>
      <w:r w:rsidRPr="00B148C4">
        <w:rPr>
          <w:szCs w:val="22"/>
        </w:rPr>
        <w:t xml:space="preserve"> cover.  </w:t>
      </w:r>
      <w:r>
        <w:rPr>
          <w:szCs w:val="22"/>
        </w:rPr>
        <w:t xml:space="preserve">Non-nationwide CMRS providers that operate in more than one </w:t>
      </w:r>
      <w:r w:rsidR="001A0DA3">
        <w:rPr>
          <w:szCs w:val="22"/>
        </w:rPr>
        <w:t xml:space="preserve">Test City </w:t>
      </w:r>
      <w:r>
        <w:rPr>
          <w:szCs w:val="22"/>
        </w:rPr>
        <w:t xml:space="preserve">must report live 911 call data only in half of the regions (as selected by the provider).  </w:t>
      </w:r>
      <w:r w:rsidRPr="00B148C4">
        <w:rPr>
          <w:szCs w:val="22"/>
        </w:rPr>
        <w:t xml:space="preserve">In the event a </w:t>
      </w:r>
      <w:r>
        <w:rPr>
          <w:szCs w:val="22"/>
        </w:rPr>
        <w:t xml:space="preserve">non-nationwide </w:t>
      </w:r>
      <w:r w:rsidRPr="00B148C4">
        <w:rPr>
          <w:szCs w:val="22"/>
        </w:rPr>
        <w:t xml:space="preserve">CMRS provider begins coverage in </w:t>
      </w:r>
      <w:r w:rsidR="008A2570">
        <w:rPr>
          <w:szCs w:val="22"/>
        </w:rPr>
        <w:t xml:space="preserve">a Test City </w:t>
      </w:r>
      <w:r w:rsidRPr="00B148C4">
        <w:rPr>
          <w:szCs w:val="22"/>
        </w:rPr>
        <w:t>it previously did not</w:t>
      </w:r>
      <w:r w:rsidR="008A2570">
        <w:rPr>
          <w:szCs w:val="22"/>
        </w:rPr>
        <w:t xml:space="preserve"> serve</w:t>
      </w:r>
      <w:r w:rsidRPr="00B148C4">
        <w:rPr>
          <w:szCs w:val="22"/>
        </w:rPr>
        <w:t>, it must update its certification pursuant to paragraph (i)(</w:t>
      </w:r>
      <w:r>
        <w:rPr>
          <w:szCs w:val="22"/>
        </w:rPr>
        <w:t>2)(</w:t>
      </w:r>
      <w:r w:rsidR="00517FC5">
        <w:rPr>
          <w:szCs w:val="22"/>
        </w:rPr>
        <w:t>iii</w:t>
      </w:r>
      <w:r>
        <w:rPr>
          <w:szCs w:val="22"/>
        </w:rPr>
        <w:t>)(</w:t>
      </w:r>
      <w:r w:rsidR="00517FC5">
        <w:rPr>
          <w:szCs w:val="22"/>
        </w:rPr>
        <w:t>C</w:t>
      </w:r>
      <w:r>
        <w:rPr>
          <w:szCs w:val="22"/>
        </w:rPr>
        <w:t>)</w:t>
      </w:r>
      <w:r w:rsidRPr="00B148C4">
        <w:rPr>
          <w:szCs w:val="22"/>
        </w:rPr>
        <w:t xml:space="preserve"> of this section to reflect this change in its network and begin reporting data from the appropriate areas.</w:t>
      </w:r>
      <w:r>
        <w:rPr>
          <w:szCs w:val="22"/>
        </w:rPr>
        <w:t xml:space="preserve"> All non-nationwide CMRS providers must report their </w:t>
      </w:r>
      <w:r w:rsidR="009A3F84">
        <w:rPr>
          <w:szCs w:val="22"/>
        </w:rPr>
        <w:t xml:space="preserve">Test City </w:t>
      </w:r>
      <w:r>
        <w:rPr>
          <w:szCs w:val="22"/>
        </w:rPr>
        <w:t xml:space="preserve">live call data </w:t>
      </w:r>
      <w:r w:rsidR="00D663FA">
        <w:rPr>
          <w:szCs w:val="22"/>
        </w:rPr>
        <w:t>every 6 months</w:t>
      </w:r>
      <w:r>
        <w:rPr>
          <w:szCs w:val="22"/>
        </w:rPr>
        <w:t>, beginning 18 months from the effective date of rules adopted in this proceeding.</w:t>
      </w:r>
    </w:p>
    <w:p w14:paraId="5662AE00" w14:textId="0E849350" w:rsidR="0099254D" w:rsidRPr="00CA438A" w:rsidRDefault="0099254D" w:rsidP="00646595">
      <w:pPr>
        <w:pStyle w:val="ListParagraph"/>
        <w:widowControl/>
        <w:numPr>
          <w:ilvl w:val="2"/>
          <w:numId w:val="6"/>
        </w:numPr>
        <w:spacing w:after="120"/>
        <w:ind w:hanging="446"/>
      </w:pPr>
      <w:r>
        <w:rPr>
          <w:szCs w:val="22"/>
        </w:rPr>
        <w:t xml:space="preserve">Non-nationwide </w:t>
      </w:r>
      <w:r w:rsidRPr="00B148C4">
        <w:rPr>
          <w:szCs w:val="22"/>
        </w:rPr>
        <w:t>CMRS providers that do not provide coverage in any of the</w:t>
      </w:r>
      <w:r w:rsidR="001A0DA3">
        <w:rPr>
          <w:szCs w:val="22"/>
        </w:rPr>
        <w:t xml:space="preserve"> Test C</w:t>
      </w:r>
      <w:r w:rsidRPr="00B148C4">
        <w:rPr>
          <w:szCs w:val="22"/>
        </w:rPr>
        <w:t>ities can satisfy th</w:t>
      </w:r>
      <w:r>
        <w:rPr>
          <w:szCs w:val="22"/>
        </w:rPr>
        <w:t>e</w:t>
      </w:r>
      <w:r w:rsidRPr="00B148C4">
        <w:rPr>
          <w:szCs w:val="22"/>
        </w:rPr>
        <w:t xml:space="preserve"> requirement of </w:t>
      </w:r>
      <w:r>
        <w:rPr>
          <w:szCs w:val="22"/>
        </w:rPr>
        <w:t xml:space="preserve">paragraph </w:t>
      </w:r>
      <w:r w:rsidR="00517FC5">
        <w:rPr>
          <w:szCs w:val="22"/>
        </w:rPr>
        <w:t>(i)</w:t>
      </w:r>
      <w:r w:rsidR="00430EF3">
        <w:rPr>
          <w:szCs w:val="22"/>
        </w:rPr>
        <w:t>(</w:t>
      </w:r>
      <w:r>
        <w:rPr>
          <w:szCs w:val="22"/>
        </w:rPr>
        <w:t>3</w:t>
      </w:r>
      <w:r w:rsidR="00430EF3">
        <w:rPr>
          <w:szCs w:val="22"/>
        </w:rPr>
        <w:t>)</w:t>
      </w:r>
      <w:r>
        <w:rPr>
          <w:szCs w:val="22"/>
        </w:rPr>
        <w:t>(</w:t>
      </w:r>
      <w:r w:rsidR="00430EF3">
        <w:rPr>
          <w:szCs w:val="22"/>
        </w:rPr>
        <w:t>ii</w:t>
      </w:r>
      <w:r>
        <w:rPr>
          <w:szCs w:val="22"/>
        </w:rPr>
        <w:t xml:space="preserve">) of </w:t>
      </w:r>
      <w:r w:rsidRPr="00B148C4">
        <w:rPr>
          <w:szCs w:val="22"/>
        </w:rPr>
        <w:t>this section</w:t>
      </w:r>
      <w:r>
        <w:rPr>
          <w:szCs w:val="22"/>
        </w:rPr>
        <w:t xml:space="preserve"> by </w:t>
      </w:r>
      <w:r w:rsidRPr="00B12EE4">
        <w:rPr>
          <w:szCs w:val="22"/>
        </w:rPr>
        <w:t>collect</w:t>
      </w:r>
      <w:r>
        <w:rPr>
          <w:szCs w:val="22"/>
        </w:rPr>
        <w:t>ing</w:t>
      </w:r>
      <w:r w:rsidRPr="00B12EE4">
        <w:rPr>
          <w:szCs w:val="22"/>
        </w:rPr>
        <w:t xml:space="preserve"> </w:t>
      </w:r>
      <w:r w:rsidR="0024015C">
        <w:rPr>
          <w:szCs w:val="22"/>
        </w:rPr>
        <w:t xml:space="preserve">and reporting </w:t>
      </w:r>
      <w:r w:rsidRPr="00B12EE4">
        <w:rPr>
          <w:szCs w:val="22"/>
        </w:rPr>
        <w:t>data based on the largest county within its footprint</w:t>
      </w:r>
      <w:r>
        <w:rPr>
          <w:szCs w:val="22"/>
        </w:rPr>
        <w:t>.  In addition,</w:t>
      </w:r>
      <w:r w:rsidRPr="00B12EE4">
        <w:rPr>
          <w:szCs w:val="22"/>
        </w:rPr>
        <w:t xml:space="preserve"> </w:t>
      </w:r>
      <w:r>
        <w:rPr>
          <w:szCs w:val="22"/>
        </w:rPr>
        <w:t xml:space="preserve">where a non-nationwide CMRS provider </w:t>
      </w:r>
      <w:r w:rsidRPr="00B12EE4">
        <w:rPr>
          <w:szCs w:val="22"/>
        </w:rPr>
        <w:t>serv</w:t>
      </w:r>
      <w:r>
        <w:rPr>
          <w:szCs w:val="22"/>
        </w:rPr>
        <w:t>es</w:t>
      </w:r>
      <w:r w:rsidRPr="00B12EE4">
        <w:rPr>
          <w:szCs w:val="22"/>
        </w:rPr>
        <w:t xml:space="preserve"> more than one of the ATIS ESIF morphologies</w:t>
      </w:r>
      <w:r>
        <w:rPr>
          <w:szCs w:val="22"/>
        </w:rPr>
        <w:t>,</w:t>
      </w:r>
      <w:r w:rsidRPr="00B12EE4">
        <w:rPr>
          <w:szCs w:val="22"/>
        </w:rPr>
        <w:t xml:space="preserve"> it </w:t>
      </w:r>
      <w:r>
        <w:rPr>
          <w:szCs w:val="22"/>
        </w:rPr>
        <w:t xml:space="preserve">must </w:t>
      </w:r>
      <w:r w:rsidRPr="00B12EE4">
        <w:rPr>
          <w:szCs w:val="22"/>
        </w:rPr>
        <w:t>include a sufficient number of representative counties to cover each morphology</w:t>
      </w:r>
      <w:r w:rsidRPr="00B148C4">
        <w:rPr>
          <w:szCs w:val="22"/>
        </w:rPr>
        <w:t xml:space="preserve">.  </w:t>
      </w:r>
    </w:p>
    <w:p w14:paraId="22BA128A" w14:textId="0F141332" w:rsidR="00C210E7" w:rsidRPr="00852A49" w:rsidRDefault="00C210E7" w:rsidP="00DD3AAE">
      <w:pPr>
        <w:pStyle w:val="ListParagraph"/>
        <w:numPr>
          <w:ilvl w:val="1"/>
          <w:numId w:val="6"/>
        </w:numPr>
        <w:spacing w:after="240"/>
      </w:pPr>
      <w:r w:rsidRPr="008B1CC3">
        <w:rPr>
          <w:i/>
        </w:rPr>
        <w:t xml:space="preserve">Data </w:t>
      </w:r>
      <w:r w:rsidR="00D33139">
        <w:rPr>
          <w:i/>
        </w:rPr>
        <w:t>r</w:t>
      </w:r>
      <w:r w:rsidRPr="008B1CC3">
        <w:rPr>
          <w:i/>
        </w:rPr>
        <w:t>etention</w:t>
      </w:r>
      <w:r>
        <w:t>.  CMRS providers shall retain t</w:t>
      </w:r>
      <w:r>
        <w:rPr>
          <w:szCs w:val="22"/>
        </w:rPr>
        <w:t>esting and live call data gathered pursuant to this section for a period of 2 years.</w:t>
      </w:r>
    </w:p>
    <w:p w14:paraId="5765F81F" w14:textId="47FDEC91" w:rsidR="00C210E7" w:rsidRPr="00FA5DCD" w:rsidRDefault="00C210E7" w:rsidP="00EE2E1F">
      <w:pPr>
        <w:pStyle w:val="ListParagraph"/>
        <w:numPr>
          <w:ilvl w:val="0"/>
          <w:numId w:val="6"/>
        </w:numPr>
        <w:spacing w:after="120"/>
      </w:pPr>
      <w:r>
        <w:rPr>
          <w:i/>
          <w:szCs w:val="22"/>
        </w:rPr>
        <w:t xml:space="preserve">Submission of </w:t>
      </w:r>
      <w:r w:rsidR="00D33139">
        <w:rPr>
          <w:i/>
          <w:szCs w:val="22"/>
        </w:rPr>
        <w:t xml:space="preserve">plans and </w:t>
      </w:r>
      <w:r w:rsidR="00D33139" w:rsidRPr="00870393">
        <w:rPr>
          <w:i/>
          <w:szCs w:val="22"/>
        </w:rPr>
        <w:t>reports</w:t>
      </w:r>
      <w:r>
        <w:rPr>
          <w:szCs w:val="22"/>
        </w:rPr>
        <w:t>.  The following reporting and certification obligations apply to all CMRS providers subject to this section, which may be filed</w:t>
      </w:r>
      <w:r w:rsidRPr="00DA783C">
        <w:rPr>
          <w:szCs w:val="22"/>
        </w:rPr>
        <w:t xml:space="preserve"> electronically in PS Docket No. 07-114</w:t>
      </w:r>
      <w:r>
        <w:rPr>
          <w:szCs w:val="22"/>
        </w:rPr>
        <w:t>:</w:t>
      </w:r>
    </w:p>
    <w:p w14:paraId="7DEC9BBE" w14:textId="1592EE14" w:rsidR="00C210E7" w:rsidRPr="008B1CC3" w:rsidRDefault="00C210E7" w:rsidP="00EE2E1F">
      <w:pPr>
        <w:pStyle w:val="ListParagraph"/>
        <w:numPr>
          <w:ilvl w:val="1"/>
          <w:numId w:val="6"/>
        </w:numPr>
        <w:spacing w:before="120"/>
      </w:pPr>
      <w:r>
        <w:rPr>
          <w:i/>
        </w:rPr>
        <w:t xml:space="preserve">Initial </w:t>
      </w:r>
      <w:r w:rsidR="00D33139">
        <w:rPr>
          <w:i/>
        </w:rPr>
        <w:t>implementation plan</w:t>
      </w:r>
      <w:r>
        <w:rPr>
          <w:i/>
        </w:rPr>
        <w:t xml:space="preserve">.  </w:t>
      </w:r>
      <w:r>
        <w:t xml:space="preserve">No later than 18 months from the </w:t>
      </w:r>
      <w:r w:rsidRPr="006231ED">
        <w:t>effective date of the adoption of this rule</w:t>
      </w:r>
      <w:r>
        <w:t xml:space="preserve">, nationwide CMRS providers shall report to the Commission on their plans for meeting the indoor location accuracy requirements of </w:t>
      </w:r>
      <w:r w:rsidR="002F1BB7">
        <w:t xml:space="preserve">paragraph (i)(2) </w:t>
      </w:r>
      <w:r>
        <w:t xml:space="preserve">this section.  Non-nationwide CMRS providers will have an additional 6 months to submit their implementation plans.  </w:t>
      </w:r>
    </w:p>
    <w:p w14:paraId="791FCA19" w14:textId="655F03CB" w:rsidR="00DD3AAE" w:rsidRPr="003072AE" w:rsidRDefault="00DD3AAE" w:rsidP="00EE2E1F">
      <w:pPr>
        <w:pStyle w:val="ListParagraph"/>
        <w:numPr>
          <w:ilvl w:val="1"/>
          <w:numId w:val="6"/>
        </w:numPr>
        <w:spacing w:before="120"/>
      </w:pPr>
      <w:r>
        <w:rPr>
          <w:i/>
          <w:szCs w:val="22"/>
        </w:rPr>
        <w:t xml:space="preserve">Progress </w:t>
      </w:r>
      <w:r w:rsidR="00D33139">
        <w:rPr>
          <w:i/>
          <w:szCs w:val="22"/>
        </w:rPr>
        <w:t>r</w:t>
      </w:r>
      <w:r>
        <w:rPr>
          <w:i/>
          <w:szCs w:val="22"/>
        </w:rPr>
        <w:t>eports</w:t>
      </w:r>
      <w:r w:rsidR="00430EF3">
        <w:rPr>
          <w:i/>
          <w:szCs w:val="22"/>
        </w:rPr>
        <w:t>.</w:t>
      </w:r>
      <w:r>
        <w:rPr>
          <w:i/>
          <w:szCs w:val="22"/>
        </w:rPr>
        <w:t xml:space="preserve">  </w:t>
      </w:r>
      <w:r>
        <w:rPr>
          <w:szCs w:val="22"/>
        </w:rPr>
        <w:t>N</w:t>
      </w:r>
      <w:r w:rsidRPr="00CF4BBE">
        <w:rPr>
          <w:szCs w:val="22"/>
        </w:rPr>
        <w:t xml:space="preserve">o later than 18 months from the </w:t>
      </w:r>
      <w:r>
        <w:rPr>
          <w:szCs w:val="22"/>
        </w:rPr>
        <w:t>e</w:t>
      </w:r>
      <w:r w:rsidRPr="00CF4BBE">
        <w:rPr>
          <w:szCs w:val="22"/>
        </w:rPr>
        <w:t xml:space="preserve">ffective </w:t>
      </w:r>
      <w:r>
        <w:rPr>
          <w:szCs w:val="22"/>
        </w:rPr>
        <w:t>d</w:t>
      </w:r>
      <w:r w:rsidRPr="00CF4BBE">
        <w:rPr>
          <w:szCs w:val="22"/>
        </w:rPr>
        <w:t xml:space="preserve">ate </w:t>
      </w:r>
      <w:r w:rsidRPr="008F51D9">
        <w:rPr>
          <w:szCs w:val="22"/>
        </w:rPr>
        <w:t>of the adoption of this rule</w:t>
      </w:r>
      <w:r>
        <w:rPr>
          <w:szCs w:val="22"/>
        </w:rPr>
        <w:t xml:space="preserve">, each </w:t>
      </w:r>
      <w:r w:rsidRPr="00CF4BBE">
        <w:rPr>
          <w:szCs w:val="22"/>
        </w:rPr>
        <w:t xml:space="preserve">CMRS provider </w:t>
      </w:r>
      <w:r>
        <w:rPr>
          <w:szCs w:val="22"/>
        </w:rPr>
        <w:t>shall file a progress report on</w:t>
      </w:r>
      <w:r w:rsidRPr="00CF4BBE">
        <w:rPr>
          <w:szCs w:val="22"/>
        </w:rPr>
        <w:t xml:space="preserve"> </w:t>
      </w:r>
      <w:r>
        <w:rPr>
          <w:szCs w:val="22"/>
        </w:rPr>
        <w:t>implementation of indoor location accuracy</w:t>
      </w:r>
      <w:r w:rsidRPr="00CF4BBE">
        <w:rPr>
          <w:szCs w:val="22"/>
        </w:rPr>
        <w:t xml:space="preserve"> requirements</w:t>
      </w:r>
      <w:r>
        <w:rPr>
          <w:szCs w:val="22"/>
        </w:rPr>
        <w:t xml:space="preserve">.  </w:t>
      </w:r>
      <w:r w:rsidR="00943FD3">
        <w:t xml:space="preserve">Non-nationwide CMRS providers will have an additional 6 months to submit their </w:t>
      </w:r>
      <w:r w:rsidR="00844D06">
        <w:t>progress reports</w:t>
      </w:r>
      <w:r w:rsidR="00943FD3">
        <w:t xml:space="preserve">.  All </w:t>
      </w:r>
      <w:r>
        <w:rPr>
          <w:szCs w:val="22"/>
        </w:rPr>
        <w:t>CMRS providers shall provide an additional progress report no later than 36 months from the e</w:t>
      </w:r>
      <w:r w:rsidRPr="00CF4BBE">
        <w:rPr>
          <w:szCs w:val="22"/>
        </w:rPr>
        <w:t xml:space="preserve">ffective </w:t>
      </w:r>
      <w:r>
        <w:rPr>
          <w:szCs w:val="22"/>
        </w:rPr>
        <w:t>d</w:t>
      </w:r>
      <w:r w:rsidRPr="00CF4BBE">
        <w:rPr>
          <w:szCs w:val="22"/>
        </w:rPr>
        <w:t xml:space="preserve">ate </w:t>
      </w:r>
      <w:r w:rsidRPr="008F51D9">
        <w:rPr>
          <w:szCs w:val="22"/>
        </w:rPr>
        <w:t>of the adoption of this rule</w:t>
      </w:r>
      <w:r w:rsidR="00224018">
        <w:rPr>
          <w:szCs w:val="22"/>
        </w:rPr>
        <w:t>.  The 36</w:t>
      </w:r>
      <w:r w:rsidR="001F383D">
        <w:rPr>
          <w:szCs w:val="22"/>
        </w:rPr>
        <w:t>-</w:t>
      </w:r>
      <w:r w:rsidR="00224018">
        <w:rPr>
          <w:szCs w:val="22"/>
        </w:rPr>
        <w:t xml:space="preserve">month reports </w:t>
      </w:r>
      <w:r>
        <w:rPr>
          <w:szCs w:val="22"/>
        </w:rPr>
        <w:t xml:space="preserve">shall indicate </w:t>
      </w:r>
      <w:r w:rsidR="00283FBF">
        <w:rPr>
          <w:szCs w:val="22"/>
        </w:rPr>
        <w:t xml:space="preserve">what progress </w:t>
      </w:r>
      <w:r>
        <w:rPr>
          <w:szCs w:val="22"/>
        </w:rPr>
        <w:t>the provider has made consistent with its implementation plan</w:t>
      </w:r>
      <w:r w:rsidR="00224018">
        <w:rPr>
          <w:szCs w:val="22"/>
        </w:rPr>
        <w:t xml:space="preserve">, and the nationwide CMRS providers shall include an assessment of their </w:t>
      </w:r>
      <w:r w:rsidR="002B70E2">
        <w:t>deployment of dispatchable location solution</w:t>
      </w:r>
      <w:r w:rsidR="00224018">
        <w:t xml:space="preserve">s. </w:t>
      </w:r>
      <w:r w:rsidR="002B70E2">
        <w:rPr>
          <w:szCs w:val="22"/>
        </w:rPr>
        <w:t xml:space="preserve"> </w:t>
      </w:r>
      <w:r>
        <w:rPr>
          <w:szCs w:val="22"/>
        </w:rPr>
        <w:t xml:space="preserve">For any CMRS provider participating in the development of the NEAD database, </w:t>
      </w:r>
      <w:r w:rsidRPr="00CF4BBE">
        <w:rPr>
          <w:szCs w:val="22"/>
        </w:rPr>
        <w:t xml:space="preserve">this </w:t>
      </w:r>
      <w:r>
        <w:rPr>
          <w:szCs w:val="22"/>
        </w:rPr>
        <w:t xml:space="preserve">progress </w:t>
      </w:r>
      <w:r w:rsidRPr="00CF4BBE">
        <w:rPr>
          <w:szCs w:val="22"/>
        </w:rPr>
        <w:t xml:space="preserve">report must include detail as to the implementation of </w:t>
      </w:r>
      <w:r>
        <w:rPr>
          <w:szCs w:val="22"/>
        </w:rPr>
        <w:t xml:space="preserve">the </w:t>
      </w:r>
      <w:r w:rsidRPr="00CF4BBE">
        <w:rPr>
          <w:szCs w:val="22"/>
        </w:rPr>
        <w:t>NEAD</w:t>
      </w:r>
      <w:r>
        <w:rPr>
          <w:szCs w:val="22"/>
        </w:rPr>
        <w:t xml:space="preserve"> database described in paragraphs (i)(</w:t>
      </w:r>
      <w:r w:rsidR="00517FC5">
        <w:rPr>
          <w:szCs w:val="22"/>
        </w:rPr>
        <w:t>4</w:t>
      </w:r>
      <w:r>
        <w:rPr>
          <w:szCs w:val="22"/>
        </w:rPr>
        <w:t>)(</w:t>
      </w:r>
      <w:r w:rsidR="00517FC5">
        <w:rPr>
          <w:szCs w:val="22"/>
        </w:rPr>
        <w:t>iii</w:t>
      </w:r>
      <w:r>
        <w:rPr>
          <w:szCs w:val="22"/>
        </w:rPr>
        <w:t>)-(</w:t>
      </w:r>
      <w:r w:rsidR="00517FC5">
        <w:rPr>
          <w:szCs w:val="22"/>
        </w:rPr>
        <w:t>iv</w:t>
      </w:r>
      <w:r>
        <w:rPr>
          <w:szCs w:val="22"/>
        </w:rPr>
        <w:t>) of this section.</w:t>
      </w:r>
    </w:p>
    <w:p w14:paraId="53990782" w14:textId="1C85F589" w:rsidR="00DD3AAE" w:rsidRDefault="00DD3AAE" w:rsidP="00EE2E1F">
      <w:pPr>
        <w:pStyle w:val="ListParagraph"/>
        <w:numPr>
          <w:ilvl w:val="1"/>
          <w:numId w:val="6"/>
        </w:numPr>
        <w:spacing w:before="120"/>
      </w:pPr>
      <w:r w:rsidRPr="008A1C57">
        <w:rPr>
          <w:i/>
        </w:rPr>
        <w:t>NEAD</w:t>
      </w:r>
      <w:r>
        <w:rPr>
          <w:i/>
        </w:rPr>
        <w:t xml:space="preserve"> </w:t>
      </w:r>
      <w:r w:rsidR="00D33139">
        <w:rPr>
          <w:i/>
        </w:rPr>
        <w:t>privacy and security plan</w:t>
      </w:r>
      <w:r>
        <w:t xml:space="preserve">. Prior to activation </w:t>
      </w:r>
      <w:r w:rsidR="001A0DA3">
        <w:t xml:space="preserve">of the NEAD </w:t>
      </w:r>
      <w:r>
        <w:t>but no later than 18 months from the effective date of the adoption of this rule, the nationwide CMRS providers shall file with the Commission</w:t>
      </w:r>
      <w:r w:rsidRPr="003A7172">
        <w:t xml:space="preserve"> </w:t>
      </w:r>
      <w:r>
        <w:t xml:space="preserve">and request approval for a </w:t>
      </w:r>
      <w:r w:rsidRPr="003A7172">
        <w:t xml:space="preserve">security and privacy plan for the </w:t>
      </w:r>
      <w:r>
        <w:t xml:space="preserve">administration and operation of the </w:t>
      </w:r>
      <w:r w:rsidRPr="003A7172">
        <w:t>NEAD</w:t>
      </w:r>
      <w:r>
        <w:t>.  The plan must include the identity of</w:t>
      </w:r>
      <w:r w:rsidRPr="00C85413">
        <w:t xml:space="preserve"> an administrator for the NEAD, who </w:t>
      </w:r>
      <w:r>
        <w:t>will</w:t>
      </w:r>
      <w:r w:rsidRPr="00C85413">
        <w:t xml:space="preserve"> serve as a point of contact for the Commission</w:t>
      </w:r>
      <w:r>
        <w:t xml:space="preserve"> and shall be</w:t>
      </w:r>
      <w:r w:rsidRPr="00C85413">
        <w:t xml:space="preserve"> accountable for the effectiveness of the security, privacy, and resiliency measures</w:t>
      </w:r>
      <w:r>
        <w:t xml:space="preserve">. </w:t>
      </w:r>
    </w:p>
    <w:p w14:paraId="30C1EBC1" w14:textId="397F3CB8" w:rsidR="00DD3AAE" w:rsidRDefault="00DD3AAE" w:rsidP="00EE2E1F">
      <w:pPr>
        <w:pStyle w:val="ListParagraph"/>
        <w:numPr>
          <w:ilvl w:val="1"/>
          <w:numId w:val="6"/>
        </w:numPr>
        <w:spacing w:before="120"/>
      </w:pPr>
      <w:r>
        <w:rPr>
          <w:i/>
          <w:szCs w:val="22"/>
        </w:rPr>
        <w:t xml:space="preserve">NEAD </w:t>
      </w:r>
      <w:r w:rsidR="00D33139">
        <w:rPr>
          <w:i/>
          <w:szCs w:val="22"/>
        </w:rPr>
        <w:t>use</w:t>
      </w:r>
      <w:r w:rsidR="00D33139">
        <w:rPr>
          <w:szCs w:val="22"/>
        </w:rPr>
        <w:t xml:space="preserve"> </w:t>
      </w:r>
      <w:r w:rsidR="00D33139" w:rsidRPr="00852A49">
        <w:rPr>
          <w:i/>
          <w:szCs w:val="22"/>
        </w:rPr>
        <w:t>certification</w:t>
      </w:r>
      <w:r>
        <w:rPr>
          <w:szCs w:val="22"/>
        </w:rPr>
        <w:t xml:space="preserve">. </w:t>
      </w:r>
      <w:r>
        <w:t xml:space="preserve"> </w:t>
      </w:r>
      <w:r w:rsidRPr="00532F4D">
        <w:t xml:space="preserve">Prior to use of the NEAD or any information contained therein to meet </w:t>
      </w:r>
      <w:r>
        <w:t>such</w:t>
      </w:r>
      <w:r w:rsidRPr="00532F4D">
        <w:t xml:space="preserve"> requirements, CMRS providers must certify that they will not use the NEAD or associated data for any non-911 purpose</w:t>
      </w:r>
      <w:r>
        <w:t xml:space="preserve">, except as otherwise required by law. </w:t>
      </w:r>
      <w:r w:rsidDel="006200E1">
        <w:t xml:space="preserve"> </w:t>
      </w:r>
    </w:p>
    <w:p w14:paraId="1A7E29AD" w14:textId="77777777" w:rsidR="00C210E7" w:rsidRPr="008B60AE" w:rsidRDefault="00C210E7" w:rsidP="004C29B5">
      <w:pPr>
        <w:pStyle w:val="ListParagraph"/>
        <w:ind w:left="0"/>
        <w:rPr>
          <w:szCs w:val="22"/>
        </w:rPr>
      </w:pPr>
    </w:p>
    <w:p w14:paraId="75118E29" w14:textId="77777777" w:rsidR="00C210E7" w:rsidRDefault="00C210E7" w:rsidP="00C210E7">
      <w:pPr>
        <w:pStyle w:val="ListParagraph"/>
        <w:ind w:left="0"/>
        <w:rPr>
          <w:szCs w:val="22"/>
        </w:rPr>
      </w:pPr>
      <w:r w:rsidRPr="008B60AE">
        <w:rPr>
          <w:szCs w:val="22"/>
        </w:rPr>
        <w:t>(</w:t>
      </w:r>
      <w:r>
        <w:rPr>
          <w:szCs w:val="22"/>
        </w:rPr>
        <w:t>j</w:t>
      </w:r>
      <w:r w:rsidRPr="008B60AE">
        <w:rPr>
          <w:szCs w:val="22"/>
        </w:rPr>
        <w:t xml:space="preserve">) </w:t>
      </w:r>
      <w:r w:rsidRPr="008B60AE">
        <w:rPr>
          <w:i/>
          <w:szCs w:val="22"/>
        </w:rPr>
        <w:t>Confidence and uncertainty data</w:t>
      </w:r>
      <w:r>
        <w:rPr>
          <w:i/>
          <w:szCs w:val="22"/>
        </w:rPr>
        <w:t>.</w:t>
      </w:r>
      <w:r w:rsidRPr="008B60AE">
        <w:rPr>
          <w:szCs w:val="22"/>
        </w:rPr>
        <w:t xml:space="preserve">  </w:t>
      </w:r>
    </w:p>
    <w:p w14:paraId="3D87C390" w14:textId="6E843499" w:rsidR="00C210E7" w:rsidRDefault="00C210E7" w:rsidP="00EE2E1F">
      <w:pPr>
        <w:pStyle w:val="ListParagraph"/>
        <w:numPr>
          <w:ilvl w:val="0"/>
          <w:numId w:val="9"/>
        </w:numPr>
        <w:spacing w:before="120"/>
        <w:rPr>
          <w:szCs w:val="22"/>
        </w:rPr>
      </w:pPr>
      <w:r>
        <w:rPr>
          <w:szCs w:val="22"/>
        </w:rPr>
        <w:t xml:space="preserve">Except as provided in paragraphs (j)(2)-(3) of this section, </w:t>
      </w:r>
      <w:r w:rsidRPr="008B60AE">
        <w:rPr>
          <w:szCs w:val="22"/>
        </w:rPr>
        <w:t xml:space="preserve">CMRS providers subject to this section shall provide for all wireless 911 calls, whether from outdoor or indoor locations, x- and y-axis (latitude, longitude) confidence and uncertainty information (C/U data) on a per-call basis upon the request of a PSAP.  </w:t>
      </w:r>
      <w:r>
        <w:rPr>
          <w:szCs w:val="22"/>
        </w:rPr>
        <w:t>The</w:t>
      </w:r>
      <w:r w:rsidRPr="008B60AE">
        <w:rPr>
          <w:szCs w:val="22"/>
        </w:rPr>
        <w:t xml:space="preserve"> data shall specify (1) the caller’s location with a </w:t>
      </w:r>
      <w:r>
        <w:rPr>
          <w:szCs w:val="22"/>
        </w:rPr>
        <w:t xml:space="preserve">uniform </w:t>
      </w:r>
      <w:r w:rsidRPr="008B60AE">
        <w:rPr>
          <w:szCs w:val="22"/>
        </w:rPr>
        <w:t>confidence level</w:t>
      </w:r>
      <w:r>
        <w:rPr>
          <w:szCs w:val="22"/>
        </w:rPr>
        <w:t xml:space="preserve"> of 90 percent</w:t>
      </w:r>
      <w:r w:rsidRPr="008B60AE">
        <w:rPr>
          <w:szCs w:val="22"/>
        </w:rPr>
        <w:t xml:space="preserve">, and (2) the radius in meters from the reported position at that same confidence level.  All entities responsible for transporting confidence and uncertainty between </w:t>
      </w:r>
      <w:r>
        <w:rPr>
          <w:szCs w:val="22"/>
        </w:rPr>
        <w:t>CMRS providers</w:t>
      </w:r>
      <w:r w:rsidRPr="008B60AE">
        <w:rPr>
          <w:szCs w:val="22"/>
        </w:rPr>
        <w:t xml:space="preserve"> and PSAPs, including LECs, CLECs, owners of E911 networks, and emergency service providers, must enable the transmission of confidence and uncertainty data provided by </w:t>
      </w:r>
      <w:r>
        <w:rPr>
          <w:szCs w:val="22"/>
        </w:rPr>
        <w:t>CMRS providers</w:t>
      </w:r>
      <w:r w:rsidRPr="008B60AE">
        <w:rPr>
          <w:szCs w:val="22"/>
        </w:rPr>
        <w:t xml:space="preserve"> to the requesting PSAP.</w:t>
      </w:r>
    </w:p>
    <w:p w14:paraId="1C665124" w14:textId="72C65601" w:rsidR="00C210E7" w:rsidRPr="00FC0CEB" w:rsidRDefault="00F846BE" w:rsidP="00EE2E1F">
      <w:pPr>
        <w:pStyle w:val="ListParagraph"/>
        <w:numPr>
          <w:ilvl w:val="0"/>
          <w:numId w:val="9"/>
        </w:numPr>
        <w:spacing w:before="120"/>
        <w:rPr>
          <w:szCs w:val="22"/>
        </w:rPr>
      </w:pPr>
      <w:r w:rsidRPr="00F846BE">
        <w:rPr>
          <w:szCs w:val="22"/>
        </w:rPr>
        <w:t>Upon meeting the 3-year timeframe pursuant to paragraph (i)(2)(i) of this section, CMRS providers shall provide with wireless 911 calls that have a dispatchable location the C/U data for the x- and y-axis (latitude, longitude) required under paragraph (j)(1) of this section</w:t>
      </w:r>
      <w:r w:rsidR="00C210E7">
        <w:rPr>
          <w:szCs w:val="22"/>
        </w:rPr>
        <w:t>.</w:t>
      </w:r>
    </w:p>
    <w:p w14:paraId="1C43A626" w14:textId="31003183" w:rsidR="00C210E7" w:rsidRDefault="00F846BE" w:rsidP="00646595">
      <w:pPr>
        <w:pStyle w:val="ListParagraph"/>
        <w:widowControl/>
        <w:numPr>
          <w:ilvl w:val="0"/>
          <w:numId w:val="9"/>
        </w:numPr>
        <w:spacing w:before="120"/>
        <w:rPr>
          <w:szCs w:val="22"/>
        </w:rPr>
      </w:pPr>
      <w:r w:rsidRPr="00F846BE">
        <w:rPr>
          <w:szCs w:val="22"/>
        </w:rPr>
        <w:t>Upon meeting the 6-year timeframe pursuant to paragraph (i)(2)(i) of this section, CMRS providers shall provide with wireless 911 calls that have a dispatchable location the C/U data for the x- and y-axis (latitude, longitude) required under paragraph (j)(1) of this section.</w:t>
      </w:r>
      <w:r w:rsidR="00C210E7">
        <w:rPr>
          <w:szCs w:val="22"/>
        </w:rPr>
        <w:t xml:space="preserve">  </w:t>
      </w:r>
    </w:p>
    <w:p w14:paraId="6A49D200" w14:textId="77777777" w:rsidR="00C210E7" w:rsidRPr="008B60AE" w:rsidRDefault="00C210E7" w:rsidP="00C210E7">
      <w:pPr>
        <w:pStyle w:val="ListParagraph"/>
        <w:ind w:left="0"/>
        <w:rPr>
          <w:szCs w:val="22"/>
        </w:rPr>
      </w:pPr>
    </w:p>
    <w:p w14:paraId="2D0A2DCE" w14:textId="11B7145C" w:rsidR="00C210E7" w:rsidRDefault="00C210E7" w:rsidP="00C210E7">
      <w:pPr>
        <w:rPr>
          <w:szCs w:val="22"/>
        </w:rPr>
      </w:pPr>
      <w:r>
        <w:rPr>
          <w:szCs w:val="22"/>
        </w:rPr>
        <w:t xml:space="preserve">(k) </w:t>
      </w:r>
      <w:r w:rsidRPr="00610836">
        <w:rPr>
          <w:i/>
          <w:szCs w:val="22"/>
        </w:rPr>
        <w:t xml:space="preserve">Provision of </w:t>
      </w:r>
      <w:r>
        <w:rPr>
          <w:i/>
          <w:szCs w:val="22"/>
        </w:rPr>
        <w:t xml:space="preserve">live 911 </w:t>
      </w:r>
      <w:r w:rsidRPr="00610836">
        <w:rPr>
          <w:i/>
          <w:szCs w:val="22"/>
        </w:rPr>
        <w:t xml:space="preserve">call data for </w:t>
      </w:r>
      <w:r>
        <w:rPr>
          <w:i/>
          <w:szCs w:val="22"/>
        </w:rPr>
        <w:t>PSAPs</w:t>
      </w:r>
      <w:r>
        <w:rPr>
          <w:szCs w:val="22"/>
        </w:rPr>
        <w:t xml:space="preserve">.  </w:t>
      </w:r>
      <w:r w:rsidRPr="00A67905">
        <w:rPr>
          <w:szCs w:val="22"/>
        </w:rPr>
        <w:t xml:space="preserve">Notwithstanding other 911 call data collection and reporting </w:t>
      </w:r>
      <w:r>
        <w:rPr>
          <w:szCs w:val="22"/>
        </w:rPr>
        <w:t xml:space="preserve">requirements </w:t>
      </w:r>
      <w:r w:rsidRPr="00A67905">
        <w:rPr>
          <w:szCs w:val="22"/>
        </w:rPr>
        <w:t xml:space="preserve">in paragraph (i) of this section, </w:t>
      </w:r>
      <w:r>
        <w:rPr>
          <w:szCs w:val="22"/>
        </w:rPr>
        <w:t xml:space="preserve">CMRS providers must record information on all live 911 calls, including, but not limited to, the positioning source method used to provide a location fix associated with the call.  CMRS providers must also record the confidence and uncertainty data that they provide pursuant to paragraphs (j)(1)-(3) of this section.  This information must be made available to PSAPs upon request, and shall be retained for a period of two years.  </w:t>
      </w:r>
    </w:p>
    <w:p w14:paraId="6A3E6F23" w14:textId="77777777" w:rsidR="00C210E7" w:rsidRDefault="00C210E7" w:rsidP="00C210E7">
      <w:pPr>
        <w:rPr>
          <w:szCs w:val="22"/>
        </w:rPr>
      </w:pPr>
    </w:p>
    <w:p w14:paraId="783A91EA" w14:textId="25203F3F" w:rsidR="00C210E7" w:rsidRPr="008B60AE" w:rsidRDefault="00C210E7" w:rsidP="00C210E7">
      <w:pPr>
        <w:rPr>
          <w:szCs w:val="22"/>
        </w:rPr>
      </w:pPr>
      <w:r w:rsidRPr="008B60AE">
        <w:rPr>
          <w:szCs w:val="22"/>
        </w:rPr>
        <w:t>(</w:t>
      </w:r>
      <w:r w:rsidR="00F846BE">
        <w:rPr>
          <w:szCs w:val="22"/>
        </w:rPr>
        <w:t>l</w:t>
      </w:r>
      <w:r w:rsidRPr="008B60AE">
        <w:rPr>
          <w:szCs w:val="22"/>
        </w:rPr>
        <w:t xml:space="preserve">) </w:t>
      </w:r>
      <w:r w:rsidRPr="008B60AE">
        <w:rPr>
          <w:i/>
          <w:szCs w:val="22"/>
        </w:rPr>
        <w:t>Reports on Phase II plans</w:t>
      </w:r>
      <w:r w:rsidRPr="008B60AE">
        <w:rPr>
          <w:szCs w:val="22"/>
        </w:rPr>
        <w:t xml:space="preserve">.  </w:t>
      </w:r>
      <w:r w:rsidR="00F846BE" w:rsidRPr="00D67183">
        <w:t xml:space="preserve">Licensees subject to this section shall report to the Commission their plans for implementing Phase II enhanced 911 service, including the location-determination technology they plan to employ and the procedure they intend to use to verify conformance with the Phase II accuracy requirements by November 9, 2000. </w:t>
      </w:r>
      <w:r w:rsidR="00F846BE">
        <w:t xml:space="preserve"> </w:t>
      </w:r>
      <w:r w:rsidR="00F846BE" w:rsidRPr="00D67183">
        <w:t xml:space="preserve">Licensees are required to update these plans within thirty days of the adoption of any change. </w:t>
      </w:r>
      <w:r w:rsidR="00F846BE">
        <w:t xml:space="preserve"> </w:t>
      </w:r>
      <w:r w:rsidR="00F846BE" w:rsidRPr="00D67183">
        <w:t>These reports and updates may be filed electronically in a manner to be designated by the Commission.</w:t>
      </w:r>
    </w:p>
    <w:p w14:paraId="79FCB60A" w14:textId="77777777" w:rsidR="00C210E7" w:rsidRPr="008B60AE" w:rsidRDefault="00C210E7" w:rsidP="00C210E7">
      <w:pPr>
        <w:rPr>
          <w:szCs w:val="22"/>
        </w:rPr>
      </w:pPr>
    </w:p>
    <w:p w14:paraId="6EE09D88" w14:textId="098757D2" w:rsidR="00C210E7" w:rsidRPr="008B60AE" w:rsidRDefault="00C210E7" w:rsidP="00C210E7">
      <w:pPr>
        <w:rPr>
          <w:szCs w:val="22"/>
        </w:rPr>
      </w:pPr>
      <w:r w:rsidRPr="008B60AE">
        <w:rPr>
          <w:szCs w:val="22"/>
        </w:rPr>
        <w:t>(</w:t>
      </w:r>
      <w:r w:rsidR="00F846BE">
        <w:rPr>
          <w:szCs w:val="22"/>
        </w:rPr>
        <w:t>m</w:t>
      </w:r>
      <w:r w:rsidRPr="008B60AE">
        <w:rPr>
          <w:szCs w:val="22"/>
        </w:rPr>
        <w:t>)  *             *             *</w:t>
      </w:r>
    </w:p>
    <w:p w14:paraId="3A086D02" w14:textId="77777777" w:rsidR="00C210E7" w:rsidRPr="008B60AE" w:rsidRDefault="00C210E7" w:rsidP="00C210E7">
      <w:pPr>
        <w:rPr>
          <w:szCs w:val="22"/>
        </w:rPr>
      </w:pPr>
    </w:p>
    <w:p w14:paraId="704AB047" w14:textId="675FA138" w:rsidR="00C210E7" w:rsidRPr="00D17F76" w:rsidRDefault="00C210E7" w:rsidP="00C210E7">
      <w:pPr>
        <w:rPr>
          <w:b/>
        </w:rPr>
      </w:pPr>
      <w:r w:rsidRPr="008B60AE">
        <w:rPr>
          <w:szCs w:val="22"/>
        </w:rPr>
        <w:t xml:space="preserve">(1)  </w:t>
      </w:r>
      <w:r w:rsidRPr="008B60AE">
        <w:rPr>
          <w:i/>
          <w:szCs w:val="22"/>
        </w:rPr>
        <w:t>Generally</w:t>
      </w:r>
      <w:r w:rsidRPr="008B60AE">
        <w:rPr>
          <w:szCs w:val="22"/>
        </w:rPr>
        <w:t xml:space="preserve">.  </w:t>
      </w:r>
      <w:r w:rsidR="00F846BE" w:rsidRPr="00F846BE">
        <w:rPr>
          <w:szCs w:val="22"/>
        </w:rPr>
        <w:t>The requirements set forth in paragraphs (d) through (h)(2) and in paragraph (j) of this section shall be applicable only to the extent that the administrator of the applicable designated PSAP has requested the services required under those paragraphs and such PSAP is capable of receiving and utilizing the requested data elements and has a mechanism for recovering the PSAP’s costs associated with them.</w:t>
      </w:r>
    </w:p>
    <w:p w14:paraId="7C5989BA" w14:textId="77777777" w:rsidR="00C210E7" w:rsidRDefault="00C210E7" w:rsidP="00C210E7">
      <w:pPr>
        <w:rPr>
          <w:szCs w:val="22"/>
        </w:rPr>
      </w:pPr>
    </w:p>
    <w:p w14:paraId="1205A12E" w14:textId="77777777" w:rsidR="00C210E7" w:rsidRDefault="00C210E7" w:rsidP="00C210E7">
      <w:pPr>
        <w:rPr>
          <w:szCs w:val="22"/>
        </w:rPr>
      </w:pPr>
    </w:p>
    <w:p w14:paraId="7D0517E1" w14:textId="77777777" w:rsidR="00C210E7" w:rsidRDefault="00C210E7" w:rsidP="00C210E7">
      <w:pPr>
        <w:rPr>
          <w:szCs w:val="22"/>
        </w:rPr>
      </w:pPr>
    </w:p>
    <w:p w14:paraId="47721F74" w14:textId="77777777" w:rsidR="00C210E7" w:rsidRPr="00D84BC7" w:rsidRDefault="00C210E7" w:rsidP="00C210E7"/>
    <w:p w14:paraId="002D83C7" w14:textId="77777777" w:rsidR="00C210E7" w:rsidRPr="001B3885" w:rsidRDefault="00C210E7" w:rsidP="00C210E7"/>
    <w:p w14:paraId="6D252C93" w14:textId="35399260" w:rsidR="00E555E7" w:rsidRDefault="00E555E7">
      <w:pPr>
        <w:widowControl/>
      </w:pPr>
      <w:r>
        <w:br w:type="page"/>
      </w:r>
    </w:p>
    <w:p w14:paraId="79A9AD3E" w14:textId="77777777" w:rsidR="00E555E7" w:rsidRPr="008F65DF" w:rsidRDefault="00E555E7" w:rsidP="00E555E7">
      <w:pPr>
        <w:jc w:val="center"/>
        <w:rPr>
          <w:b/>
          <w:bCs/>
          <w:color w:val="000000"/>
        </w:rPr>
      </w:pPr>
      <w:r w:rsidRPr="008F65DF">
        <w:rPr>
          <w:b/>
          <w:bCs/>
          <w:color w:val="000000"/>
        </w:rPr>
        <w:t>STATEMENT OF</w:t>
      </w:r>
    </w:p>
    <w:p w14:paraId="7D68261F" w14:textId="77777777" w:rsidR="00E555E7" w:rsidRPr="008F65DF" w:rsidRDefault="00E555E7" w:rsidP="00E555E7">
      <w:pPr>
        <w:jc w:val="center"/>
      </w:pPr>
      <w:r w:rsidRPr="008F65DF">
        <w:rPr>
          <w:b/>
          <w:bCs/>
          <w:color w:val="000000"/>
        </w:rPr>
        <w:t>CHAIRMAN TOM WHEELER</w:t>
      </w:r>
    </w:p>
    <w:p w14:paraId="72A6F573" w14:textId="77777777" w:rsidR="00E555E7" w:rsidRPr="008F65DF" w:rsidRDefault="00E555E7" w:rsidP="008B432C"/>
    <w:p w14:paraId="0A2324C8" w14:textId="3909E65E" w:rsidR="00E555E7" w:rsidRPr="008F65DF" w:rsidRDefault="00E555E7" w:rsidP="00E555E7">
      <w:pPr>
        <w:autoSpaceDE w:val="0"/>
        <w:autoSpaceDN w:val="0"/>
        <w:adjustRightInd w:val="0"/>
        <w:ind w:firstLine="720"/>
      </w:pPr>
      <w:r w:rsidRPr="008F65DF">
        <w:t xml:space="preserve">Since I arrived at the Commission, one of our top public safety priorities has been improving the effectiveness of 911. </w:t>
      </w:r>
      <w:r w:rsidR="007177D3">
        <w:t xml:space="preserve"> </w:t>
      </w:r>
      <w:r w:rsidRPr="008F65DF">
        <w:t>Last February, we adopted an NPRM that proposed aggressive but achievable goals for improved location accuracy. Through the hard, diligent work of many people at the FCC, in the public safety community, and in industry, we have before us today an Order that significantly improves our 911 location accuracy rules.</w:t>
      </w:r>
    </w:p>
    <w:p w14:paraId="0146C4A2" w14:textId="77777777" w:rsidR="00E555E7" w:rsidRPr="008F65DF" w:rsidRDefault="00E555E7" w:rsidP="00E555E7"/>
    <w:p w14:paraId="12F22244" w14:textId="77777777" w:rsidR="00E555E7" w:rsidRPr="008F65DF" w:rsidRDefault="00E555E7" w:rsidP="00E555E7">
      <w:pPr>
        <w:ind w:firstLine="720"/>
      </w:pPr>
      <w:r w:rsidRPr="008F65DF">
        <w:t xml:space="preserve">Everybody agrees on the problem: When the FCC adopted its original wireless 911 rules in 1996, most wireless usage occurred outdoors. But times and technology have changed. The vast majority of 911 calls now come from wireless phones, increasingly from indoors. </w:t>
      </w:r>
    </w:p>
    <w:p w14:paraId="6E195302" w14:textId="77777777" w:rsidR="00E555E7" w:rsidRPr="008F65DF" w:rsidRDefault="00E555E7" w:rsidP="00E555E7"/>
    <w:p w14:paraId="5C9263EE" w14:textId="77777777" w:rsidR="00E555E7" w:rsidRPr="008F65DF" w:rsidRDefault="00E555E7" w:rsidP="00E555E7">
      <w:pPr>
        <w:ind w:firstLine="720"/>
      </w:pPr>
      <w:r w:rsidRPr="008F65DF">
        <w:t xml:space="preserve">This has generated a 911 readiness gap. First responders are less able to rapidly and accurately locate a significant percentage of calls for help than they could in previous years. </w:t>
      </w:r>
    </w:p>
    <w:p w14:paraId="77108EC7" w14:textId="77777777" w:rsidR="00E555E7" w:rsidRPr="008F65DF" w:rsidRDefault="00E555E7" w:rsidP="00E555E7"/>
    <w:p w14:paraId="51426905" w14:textId="77777777" w:rsidR="00E555E7" w:rsidRPr="008F65DF" w:rsidRDefault="00E555E7" w:rsidP="00E555E7">
      <w:pPr>
        <w:ind w:firstLine="720"/>
      </w:pPr>
      <w:r w:rsidRPr="008F65DF">
        <w:t>We need to update our wireless 911 rules to solve this problem. The record that was developed in response to our proposals tells us that there have been significant advances in technology, including technologies that have the potential to locate indoor callers by address, floor, and apartment or room number. We all know how commercial location-based services like Uber can find their users reliably and consistently. If we can have an app that gets a car service to the right door, we certainly should be able to get 911 to the right door consistently and reliably. It is a simple public interest obligation.</w:t>
      </w:r>
    </w:p>
    <w:p w14:paraId="7BC3C10D" w14:textId="77777777" w:rsidR="00E555E7" w:rsidRPr="008F65DF" w:rsidRDefault="00E555E7" w:rsidP="00E555E7"/>
    <w:p w14:paraId="1FD20091" w14:textId="77777777" w:rsidR="00E555E7" w:rsidRPr="008F65DF" w:rsidRDefault="00E555E7" w:rsidP="00E555E7">
      <w:pPr>
        <w:ind w:firstLine="720"/>
      </w:pPr>
      <w:r w:rsidRPr="008F65DF">
        <w:t>Late last year, the four largest wireless carriers and two national public safety organizations submitted their own proposed “roadmap” to address this challenge. The roadmap was a novel approach that has the potential to close the readiness gap through use of known locations of indoor wireless nodes.</w:t>
      </w:r>
    </w:p>
    <w:p w14:paraId="566C836E" w14:textId="77777777" w:rsidR="00E555E7" w:rsidRPr="008F65DF" w:rsidRDefault="00E555E7" w:rsidP="00E555E7"/>
    <w:p w14:paraId="1BFAFB1D" w14:textId="77777777" w:rsidR="00E555E7" w:rsidRPr="008F65DF" w:rsidRDefault="00E555E7" w:rsidP="00E555E7">
      <w:pPr>
        <w:ind w:firstLine="720"/>
      </w:pPr>
      <w:r w:rsidRPr="008F65DF">
        <w:t>The roadmap proposal was a big step forward, but we also understand and appreciate the valid criticisms raised by some public safety stakeholders. Our response was to challenge industry to address the concerns raised by other public safety stakeholders. The carriers responded, and their additional commitments substantially strengthened the roadmap approach. We will have better data than ever before about carriers’ location accuracy performance, and we will hold them to account if they do not live up to their commitments. In addition, the smaller wireless carriers have agreed to the same commitments as the nationwide carriers, with certain adjustments to reflect their position in the marketplace and their more limited resources.</w:t>
      </w:r>
    </w:p>
    <w:p w14:paraId="06804D72" w14:textId="77777777" w:rsidR="00E555E7" w:rsidRPr="008F65DF" w:rsidRDefault="00E555E7" w:rsidP="00E555E7"/>
    <w:p w14:paraId="0327D3F4" w14:textId="77777777" w:rsidR="00E555E7" w:rsidRPr="008F65DF" w:rsidRDefault="00E555E7" w:rsidP="00E555E7">
      <w:pPr>
        <w:ind w:firstLine="720"/>
      </w:pPr>
      <w:r w:rsidRPr="008F65DF">
        <w:t>The result of these efforts is today’s Order. It is an action that will lead to significant improvements in 911 location accuracy: taking advantage of the good work done by the carriers, APCO, and NENA, while also providing confidence-building measures, setting clear targets and deadlines for improving indoor location, and holding parties accountable for results. This order establishes achievable benchmarks centered around the commitments made by the carriers and public safety assurances that will close the 911 readiness gap. That is why I support it.</w:t>
      </w:r>
    </w:p>
    <w:p w14:paraId="29FADA56" w14:textId="77777777" w:rsidR="00E555E7" w:rsidRPr="008F65DF" w:rsidRDefault="00E555E7" w:rsidP="00E555E7"/>
    <w:p w14:paraId="1796CC8B" w14:textId="77777777" w:rsidR="00E555E7" w:rsidRPr="008F65DF" w:rsidRDefault="00E555E7" w:rsidP="00E555E7">
      <w:pPr>
        <w:ind w:firstLine="720"/>
      </w:pPr>
      <w:r w:rsidRPr="008F65DF">
        <w:t>But let there be no mistake – we are establishing a floor, not a ceiling. It is a beginning, not an end. We should not be satisfied with a situation where Uber can consistently find a user’s house via an app, but the EMT’s location fix is within half a football field 80 percent of the time. I hope our efforts will encourage app developers to work with the public safety community to develop an “Uber for 911.” Imagine – the carriers would be improving their capabilities, while “there’s an app for that” could harness the capabilities that enable Google, Uber, or Waze to find a consumer with pinpoint accuracy.</w:t>
      </w:r>
    </w:p>
    <w:p w14:paraId="0F31BCED" w14:textId="77777777" w:rsidR="00E555E7" w:rsidRPr="008F65DF" w:rsidRDefault="00E555E7" w:rsidP="00E555E7"/>
    <w:p w14:paraId="02298E11" w14:textId="77777777" w:rsidR="00E555E7" w:rsidRDefault="00E555E7" w:rsidP="00E555E7">
      <w:pPr>
        <w:ind w:firstLine="720"/>
      </w:pPr>
      <w:r w:rsidRPr="008F65DF">
        <w:t>Together we can and will deliver on the promise of new technology to make Americans safer.</w:t>
      </w:r>
    </w:p>
    <w:p w14:paraId="5E39CBFE" w14:textId="6A53C150" w:rsidR="00E555E7" w:rsidRDefault="00E555E7">
      <w:pPr>
        <w:widowControl/>
      </w:pPr>
      <w:r>
        <w:br w:type="page"/>
      </w:r>
    </w:p>
    <w:p w14:paraId="487A8005" w14:textId="77777777" w:rsidR="00CE51A2" w:rsidRDefault="00CE51A2" w:rsidP="00E555E7">
      <w:pPr>
        <w:jc w:val="center"/>
        <w:rPr>
          <w:rFonts w:cs="Arial"/>
          <w:b/>
          <w:bCs/>
          <w:szCs w:val="28"/>
        </w:rPr>
        <w:sectPr w:rsidR="00CE51A2" w:rsidSect="00D84BC7">
          <w:footnotePr>
            <w:numRestart w:val="eachSect"/>
          </w:footnotePr>
          <w:endnotePr>
            <w:numFmt w:val="decimal"/>
          </w:endnotePr>
          <w:type w:val="continuous"/>
          <w:pgSz w:w="12240" w:h="15840"/>
          <w:pgMar w:top="1440" w:right="1440" w:bottom="720" w:left="1440" w:header="720" w:footer="720" w:gutter="0"/>
          <w:cols w:space="720"/>
          <w:noEndnote/>
          <w:titlePg/>
        </w:sectPr>
      </w:pPr>
    </w:p>
    <w:p w14:paraId="3C017DF1" w14:textId="150A5563" w:rsidR="00E555E7" w:rsidRPr="00593554" w:rsidRDefault="00E555E7" w:rsidP="00E555E7">
      <w:pPr>
        <w:jc w:val="center"/>
        <w:rPr>
          <w:rFonts w:cs="Arial"/>
          <w:b/>
          <w:bCs/>
          <w:szCs w:val="28"/>
        </w:rPr>
      </w:pPr>
      <w:r>
        <w:rPr>
          <w:rFonts w:cs="Arial"/>
          <w:b/>
          <w:bCs/>
          <w:szCs w:val="28"/>
        </w:rPr>
        <w:t xml:space="preserve">CONCURRING </w:t>
      </w:r>
      <w:r w:rsidRPr="00593554">
        <w:rPr>
          <w:rFonts w:cs="Arial"/>
          <w:b/>
          <w:bCs/>
          <w:szCs w:val="28"/>
        </w:rPr>
        <w:t>STATEMENT OF</w:t>
      </w:r>
    </w:p>
    <w:p w14:paraId="20495CB8" w14:textId="77777777" w:rsidR="00E555E7" w:rsidRDefault="00E555E7" w:rsidP="00E555E7">
      <w:pPr>
        <w:jc w:val="center"/>
        <w:rPr>
          <w:rFonts w:cs="Arial"/>
          <w:b/>
          <w:bCs/>
          <w:szCs w:val="28"/>
        </w:rPr>
      </w:pPr>
      <w:r w:rsidRPr="00593554">
        <w:rPr>
          <w:rFonts w:cs="Arial"/>
          <w:b/>
          <w:bCs/>
          <w:szCs w:val="28"/>
        </w:rPr>
        <w:t>COMMISSIONER MIGNON L. CLYBURN</w:t>
      </w:r>
    </w:p>
    <w:p w14:paraId="3976D456" w14:textId="77777777" w:rsidR="00E555E7" w:rsidRPr="00593554" w:rsidRDefault="00E555E7" w:rsidP="00E555E7">
      <w:pPr>
        <w:rPr>
          <w:rFonts w:cs="Arial"/>
          <w:spacing w:val="-2"/>
          <w:szCs w:val="28"/>
        </w:rPr>
      </w:pPr>
    </w:p>
    <w:p w14:paraId="5BBB0342" w14:textId="77777777" w:rsidR="00E555E7" w:rsidRPr="00605B68" w:rsidRDefault="00E555E7" w:rsidP="00E555E7">
      <w:pPr>
        <w:ind w:firstLine="720"/>
        <w:rPr>
          <w:szCs w:val="22"/>
        </w:rPr>
      </w:pPr>
      <w:r w:rsidRPr="00605B68">
        <w:rPr>
          <w:szCs w:val="22"/>
        </w:rPr>
        <w:t>“Police dispatchers could do little but listen to Reinaldo Zayas scream, as he was tortured to death by a gang of kidnappers… The 25-year-old somehow managed to dial 9-1-1 twice from his cell phone after his abduction.  One chilling call lasted 18 minutes, during which dispatchers heard Zayas beg for his life…Unable to speak, and no way to trace the calls, investigators sat helpless as he was repeatedly stabbed.</w:t>
      </w:r>
      <w:r>
        <w:rPr>
          <w:szCs w:val="22"/>
        </w:rPr>
        <w:t xml:space="preserve">  </w:t>
      </w:r>
      <w:r w:rsidRPr="00605B68">
        <w:rPr>
          <w:szCs w:val="22"/>
        </w:rPr>
        <w:t>Not all cell phones and systems are equipped for wireless tracking, but the federal government has ordered all carriers to include the technology by 2005.”</w:t>
      </w:r>
      <w:r w:rsidRPr="00605B68">
        <w:rPr>
          <w:rStyle w:val="FootnoteReference"/>
          <w:szCs w:val="22"/>
        </w:rPr>
        <w:footnoteReference w:id="628"/>
      </w:r>
      <w:r w:rsidRPr="00605B68">
        <w:rPr>
          <w:szCs w:val="22"/>
        </w:rPr>
        <w:t xml:space="preserve">  </w:t>
      </w:r>
    </w:p>
    <w:p w14:paraId="3078D32B" w14:textId="77777777" w:rsidR="00E555E7" w:rsidRPr="00605B68" w:rsidRDefault="00E555E7" w:rsidP="00E555E7">
      <w:pPr>
        <w:ind w:firstLine="720"/>
        <w:rPr>
          <w:szCs w:val="22"/>
        </w:rPr>
      </w:pPr>
    </w:p>
    <w:p w14:paraId="2649EA72" w14:textId="77777777" w:rsidR="00E555E7" w:rsidRPr="00605B68" w:rsidRDefault="00E555E7" w:rsidP="00E555E7">
      <w:pPr>
        <w:ind w:firstLine="720"/>
        <w:rPr>
          <w:szCs w:val="22"/>
        </w:rPr>
      </w:pPr>
      <w:r w:rsidRPr="00605B68">
        <w:rPr>
          <w:szCs w:val="22"/>
        </w:rPr>
        <w:t xml:space="preserve">By now, you probably </w:t>
      </w:r>
      <w:r>
        <w:rPr>
          <w:szCs w:val="22"/>
        </w:rPr>
        <w:t>surmised</w:t>
      </w:r>
      <w:r w:rsidRPr="00605B68">
        <w:rPr>
          <w:szCs w:val="22"/>
        </w:rPr>
        <w:t xml:space="preserve"> that the sentences I just read were lifted from a news article about a young man who made not one, but two 9-1-1 calls.  However, because no information about his location was forwarded</w:t>
      </w:r>
      <w:r>
        <w:rPr>
          <w:szCs w:val="22"/>
        </w:rPr>
        <w:t>,</w:t>
      </w:r>
      <w:r w:rsidRPr="00605B68">
        <w:rPr>
          <w:szCs w:val="22"/>
        </w:rPr>
        <w:t xml:space="preserve"> those who were in the best position to help could not and he died.  But what you might be even more surprised to learn is since that article was written in June 2003, little has actually changed.</w:t>
      </w:r>
      <w:r>
        <w:rPr>
          <w:szCs w:val="22"/>
        </w:rPr>
        <w:t xml:space="preserve">  </w:t>
      </w:r>
      <w:r w:rsidRPr="00605B68">
        <w:rPr>
          <w:szCs w:val="22"/>
        </w:rPr>
        <w:t xml:space="preserve">Almost 12 years have passed, yet as I sit before you today, it pains me to say we are far from meeting reasonable expectations when consumers dial 9-1-1 from their cellphone that law enforcement or emergency responders will automatically receive the information they need to find you.  </w:t>
      </w:r>
    </w:p>
    <w:p w14:paraId="7CB3D860" w14:textId="77777777" w:rsidR="00E555E7" w:rsidRPr="00605B68" w:rsidRDefault="00E555E7" w:rsidP="00E555E7">
      <w:pPr>
        <w:ind w:firstLine="720"/>
        <w:rPr>
          <w:szCs w:val="22"/>
        </w:rPr>
      </w:pPr>
    </w:p>
    <w:p w14:paraId="1A80C739" w14:textId="77777777" w:rsidR="00E555E7" w:rsidRPr="00605B68" w:rsidRDefault="00E555E7" w:rsidP="00E555E7">
      <w:pPr>
        <w:ind w:firstLine="720"/>
        <w:rPr>
          <w:szCs w:val="22"/>
        </w:rPr>
      </w:pPr>
      <w:r w:rsidRPr="00605B68">
        <w:rPr>
          <w:szCs w:val="22"/>
        </w:rPr>
        <w:t>Given the current rate at which Americans are adopting mobile services, improving response times for 9-1-1 calls from cellphones should be an even higher national priority than it was in 2003.  The number of wireless only American households has grown from roughly 16 percent, in 2007, to 44 percent today.  And</w:t>
      </w:r>
      <w:r>
        <w:rPr>
          <w:szCs w:val="22"/>
        </w:rPr>
        <w:t>,</w:t>
      </w:r>
      <w:r w:rsidRPr="00605B68">
        <w:rPr>
          <w:szCs w:val="22"/>
        </w:rPr>
        <w:t xml:space="preserve"> for those living below the poverty line, that number has risen to 5</w:t>
      </w:r>
      <w:r>
        <w:rPr>
          <w:szCs w:val="22"/>
        </w:rPr>
        <w:t>9.1</w:t>
      </w:r>
      <w:r w:rsidRPr="00605B68">
        <w:rPr>
          <w:szCs w:val="22"/>
        </w:rPr>
        <w:t xml:space="preserve"> percent.  An increase in the number of people</w:t>
      </w:r>
      <w:r>
        <w:rPr>
          <w:szCs w:val="22"/>
        </w:rPr>
        <w:t>,</w:t>
      </w:r>
      <w:r w:rsidRPr="00605B68">
        <w:rPr>
          <w:szCs w:val="22"/>
        </w:rPr>
        <w:t xml:space="preserve"> who rely solely on cellphones, means an increase in wireless calls to 911 from indoors.  Indoor 911 calls are more difficult to locate especially in dense urban environments with multiple, adjacent high-rise buildings.  In these indoor environments, it is critical that public safety entities have horizontal and vertical data about where the 9-1-1 call was made.</w:t>
      </w:r>
    </w:p>
    <w:p w14:paraId="5967A25C" w14:textId="77777777" w:rsidR="00E555E7" w:rsidRPr="00605B68" w:rsidRDefault="00E555E7" w:rsidP="00E555E7">
      <w:pPr>
        <w:ind w:firstLine="720"/>
        <w:rPr>
          <w:szCs w:val="22"/>
        </w:rPr>
      </w:pPr>
    </w:p>
    <w:p w14:paraId="77CC764A" w14:textId="77777777" w:rsidR="00E555E7" w:rsidRPr="00605B68" w:rsidRDefault="00E555E7" w:rsidP="00E555E7">
      <w:pPr>
        <w:ind w:firstLine="720"/>
        <w:rPr>
          <w:szCs w:val="22"/>
        </w:rPr>
      </w:pPr>
      <w:r w:rsidRPr="00605B68">
        <w:rPr>
          <w:szCs w:val="22"/>
        </w:rPr>
        <w:t>In order to improve the accuracy of wireless 9-1-1 location information, all relevant stakeholders must do their part.  I commend Chairman Wheeler for circulating, last February, a Further Notice that put us on a path toward an efficient development of rules.  That item was the first time the Commission had proposed accuracy standards for wireless 9-1-1 calls from indoor locations.  It had stronger 9-1-1 location accuracy requirements at the two and three-year benchmarks, than what we are adopting today and yes, I would have preferred the rules that we originally proposed.  So today I am concurring.</w:t>
      </w:r>
    </w:p>
    <w:p w14:paraId="79E2F109" w14:textId="77777777" w:rsidR="00E555E7" w:rsidRPr="00605B68" w:rsidRDefault="00E555E7" w:rsidP="00E555E7">
      <w:pPr>
        <w:ind w:firstLine="720"/>
        <w:rPr>
          <w:szCs w:val="22"/>
        </w:rPr>
      </w:pPr>
    </w:p>
    <w:p w14:paraId="1245E5BA" w14:textId="77777777" w:rsidR="00E555E7" w:rsidRPr="00605B68" w:rsidRDefault="00E555E7" w:rsidP="00E555E7">
      <w:pPr>
        <w:ind w:firstLine="720"/>
        <w:rPr>
          <w:szCs w:val="22"/>
        </w:rPr>
      </w:pPr>
      <w:r w:rsidRPr="00605B68">
        <w:rPr>
          <w:szCs w:val="22"/>
        </w:rPr>
        <w:t xml:space="preserve">In my separate statement in support of the 2014 Further Notice, I called on the wireless industry to show leadership, and move ahead of schedule, to implement the proposed location accuracy rules that our nation needs.  I must commend CTIA, the four nationwide carriers, and APCO and NENA, for stepping up and answering my call.  Last November, they presented us with a roadmap with commitments to provide more accurate 9-1-1 location information, earlier than the two-year benchmark originally proposed.  For example, within one year of signing the roadmap agreement, the four nationwide wireless carriers will establish a test bed for 9-1-1 location technologies.  Within 18 months, these carriers also agreed to promote standards that would enable the delivery of barometric pressure data to PSAPs with 9-1-1 calls and send us reports with their plans for meeting the benchmarks we adopt today.  I want to thank those entities, and my colleagues, for supporting the decision to turn some of those voluntary commitments, into rules.  </w:t>
      </w:r>
    </w:p>
    <w:p w14:paraId="1E8AC300" w14:textId="77777777" w:rsidR="00E555E7" w:rsidRPr="00605B68" w:rsidRDefault="00E555E7" w:rsidP="00E555E7">
      <w:pPr>
        <w:ind w:firstLine="720"/>
        <w:rPr>
          <w:szCs w:val="22"/>
        </w:rPr>
      </w:pPr>
    </w:p>
    <w:p w14:paraId="4C6793D7" w14:textId="77777777" w:rsidR="00E555E7" w:rsidRPr="00605B68" w:rsidRDefault="00E555E7" w:rsidP="00E555E7">
      <w:pPr>
        <w:rPr>
          <w:szCs w:val="22"/>
        </w:rPr>
      </w:pPr>
      <w:r w:rsidRPr="00605B68">
        <w:rPr>
          <w:szCs w:val="22"/>
        </w:rPr>
        <w:tab/>
        <w:t xml:space="preserve">Second, this Order has rules that will require industry to demonstrate progress towards providing vertical location information, which is critical for finding those in high rise buildings.  It gives the industry a reasonable opportunity to pursue a dispatchable location solution, that would send the street address and if relevant, suite or apartment number, of the calling party.  </w:t>
      </w:r>
    </w:p>
    <w:p w14:paraId="3C9F8BD4" w14:textId="77777777" w:rsidR="00E555E7" w:rsidRPr="00605B68" w:rsidRDefault="00E555E7" w:rsidP="00E555E7">
      <w:pPr>
        <w:rPr>
          <w:szCs w:val="22"/>
        </w:rPr>
      </w:pPr>
    </w:p>
    <w:p w14:paraId="4FC40CFF" w14:textId="77777777" w:rsidR="00E555E7" w:rsidRPr="00605B68" w:rsidRDefault="00E555E7" w:rsidP="00E555E7">
      <w:pPr>
        <w:ind w:firstLine="720"/>
        <w:rPr>
          <w:szCs w:val="22"/>
        </w:rPr>
      </w:pPr>
      <w:r w:rsidRPr="00605B68">
        <w:rPr>
          <w:szCs w:val="22"/>
        </w:rPr>
        <w:t>As APCO and a number of public entities have mentioned, dispatchable location technology, could put wireless 9-1-1 calls on an equal footing with wireline calls.  But as the International Association of Firefighters told me</w:t>
      </w:r>
      <w:r>
        <w:rPr>
          <w:szCs w:val="22"/>
        </w:rPr>
        <w:t xml:space="preserve"> recently</w:t>
      </w:r>
      <w:r w:rsidRPr="00605B68">
        <w:rPr>
          <w:szCs w:val="22"/>
        </w:rPr>
        <w:t xml:space="preserve">, we should still encourage the development of other vertical location technology.  </w:t>
      </w:r>
    </w:p>
    <w:p w14:paraId="2F336955" w14:textId="77777777" w:rsidR="00E555E7" w:rsidRPr="00605B68" w:rsidRDefault="00E555E7" w:rsidP="00E555E7">
      <w:pPr>
        <w:rPr>
          <w:szCs w:val="22"/>
        </w:rPr>
      </w:pPr>
    </w:p>
    <w:p w14:paraId="625C9B6C" w14:textId="77777777" w:rsidR="00E555E7" w:rsidRPr="00605B68" w:rsidRDefault="00E555E7" w:rsidP="00E555E7">
      <w:pPr>
        <w:ind w:firstLine="720"/>
        <w:rPr>
          <w:szCs w:val="22"/>
        </w:rPr>
      </w:pPr>
      <w:r w:rsidRPr="00605B68">
        <w:rPr>
          <w:szCs w:val="22"/>
        </w:rPr>
        <w:t xml:space="preserve">I am glad to say today, that within three years of the effective date of this order, we will require nationwide wireless providers to develop a vertical, or z-axis, location information proposal and submit it to the Commission for approval.  It is my hope that the industry will provide both solutions to firefighters.  </w:t>
      </w:r>
    </w:p>
    <w:p w14:paraId="15C36B42" w14:textId="77777777" w:rsidR="00E555E7" w:rsidRPr="00605B68" w:rsidRDefault="00E555E7" w:rsidP="00E555E7">
      <w:pPr>
        <w:rPr>
          <w:szCs w:val="22"/>
        </w:rPr>
      </w:pPr>
    </w:p>
    <w:p w14:paraId="04F68178" w14:textId="45B956B8" w:rsidR="00E555E7" w:rsidRDefault="00E555E7" w:rsidP="00E555E7">
      <w:pPr>
        <w:ind w:firstLine="720"/>
        <w:rPr>
          <w:szCs w:val="22"/>
        </w:rPr>
      </w:pPr>
      <w:r w:rsidRPr="00605B68">
        <w:rPr>
          <w:szCs w:val="22"/>
        </w:rPr>
        <w:t>To Admiral Simpson, and the dedicated staff of the Public Safety Homeland Security Bureau, thank you for working so hard on an Order that seeks to close long-standing public safety gaps.</w:t>
      </w:r>
    </w:p>
    <w:p w14:paraId="7240A37D" w14:textId="77777777" w:rsidR="00E555E7" w:rsidRDefault="00E555E7">
      <w:pPr>
        <w:widowControl/>
        <w:rPr>
          <w:szCs w:val="22"/>
        </w:rPr>
      </w:pPr>
      <w:r>
        <w:rPr>
          <w:szCs w:val="22"/>
        </w:rPr>
        <w:br w:type="page"/>
      </w:r>
    </w:p>
    <w:p w14:paraId="75546DC4" w14:textId="77777777" w:rsidR="004B2B5E" w:rsidRPr="008B432C" w:rsidRDefault="004B2B5E" w:rsidP="004B2B5E">
      <w:pPr>
        <w:jc w:val="center"/>
        <w:rPr>
          <w:b/>
          <w:szCs w:val="24"/>
        </w:rPr>
      </w:pPr>
      <w:r w:rsidRPr="008B432C">
        <w:rPr>
          <w:b/>
          <w:szCs w:val="24"/>
        </w:rPr>
        <w:t>STATEMENT OF</w:t>
      </w:r>
      <w:r w:rsidRPr="008B432C">
        <w:rPr>
          <w:b/>
          <w:szCs w:val="24"/>
        </w:rPr>
        <w:br/>
        <w:t>COMMISSIONER JESSICA ROSENWORCEL</w:t>
      </w:r>
    </w:p>
    <w:p w14:paraId="4303F7CE" w14:textId="77777777" w:rsidR="004B2B5E" w:rsidRPr="008B432C" w:rsidRDefault="004B2B5E" w:rsidP="004B2B5E">
      <w:pPr>
        <w:jc w:val="center"/>
        <w:rPr>
          <w:b/>
          <w:szCs w:val="24"/>
        </w:rPr>
      </w:pPr>
    </w:p>
    <w:p w14:paraId="0A468091" w14:textId="77777777" w:rsidR="004B2B5E" w:rsidRPr="008B432C" w:rsidRDefault="004B2B5E" w:rsidP="004B2B5E">
      <w:pPr>
        <w:rPr>
          <w:szCs w:val="24"/>
        </w:rPr>
      </w:pPr>
      <w:r w:rsidRPr="008B432C">
        <w:rPr>
          <w:szCs w:val="24"/>
        </w:rPr>
        <w:t>Re:</w:t>
      </w:r>
      <w:r w:rsidRPr="008B432C">
        <w:rPr>
          <w:szCs w:val="24"/>
        </w:rPr>
        <w:tab/>
      </w:r>
      <w:r w:rsidRPr="008B432C">
        <w:rPr>
          <w:i/>
          <w:szCs w:val="24"/>
        </w:rPr>
        <w:t>Wireless E911 Location Accuracy Requirements</w:t>
      </w:r>
      <w:r w:rsidRPr="008B432C">
        <w:rPr>
          <w:szCs w:val="24"/>
        </w:rPr>
        <w:t xml:space="preserve">, PS Docket No. 07-114 </w:t>
      </w:r>
    </w:p>
    <w:p w14:paraId="4DBEEF46" w14:textId="77777777" w:rsidR="004B2B5E" w:rsidRPr="008B432C" w:rsidRDefault="004B2B5E" w:rsidP="004B2B5E">
      <w:pPr>
        <w:rPr>
          <w:szCs w:val="24"/>
        </w:rPr>
      </w:pPr>
    </w:p>
    <w:p w14:paraId="30EE3DE7" w14:textId="77777777" w:rsidR="004B2B5E" w:rsidRPr="008B432C" w:rsidRDefault="004B2B5E" w:rsidP="004B2B5E">
      <w:pPr>
        <w:rPr>
          <w:szCs w:val="24"/>
        </w:rPr>
      </w:pPr>
      <w:r w:rsidRPr="008B432C">
        <w:rPr>
          <w:szCs w:val="24"/>
        </w:rPr>
        <w:tab/>
        <w:t>I want to start with two stories—two stories that illustrate why what the Commission is doing today is so important.</w:t>
      </w:r>
    </w:p>
    <w:p w14:paraId="3EC988DB" w14:textId="77777777" w:rsidR="004B2B5E" w:rsidRPr="008B432C" w:rsidRDefault="004B2B5E" w:rsidP="004B2B5E">
      <w:pPr>
        <w:rPr>
          <w:szCs w:val="24"/>
        </w:rPr>
      </w:pPr>
    </w:p>
    <w:p w14:paraId="54940D67" w14:textId="77777777" w:rsidR="004B2B5E" w:rsidRPr="008B432C" w:rsidRDefault="004B2B5E" w:rsidP="004B2B5E">
      <w:pPr>
        <w:rPr>
          <w:szCs w:val="24"/>
        </w:rPr>
      </w:pPr>
      <w:r w:rsidRPr="008B432C">
        <w:rPr>
          <w:szCs w:val="24"/>
        </w:rPr>
        <w:tab/>
        <w:t>First story.  The summer before last, Shanika Parker finished working the night shift at her job outside of Indianapolis.  She was on her way home when exhaustion got the better of her.  She dozed off behind the wheel.  The next thing Ms. Parker knew, her car was upside down—and quickly filling with water.</w:t>
      </w:r>
    </w:p>
    <w:p w14:paraId="4ED30C12" w14:textId="77777777" w:rsidR="004B2B5E" w:rsidRPr="008B432C" w:rsidRDefault="004B2B5E" w:rsidP="004B2B5E">
      <w:pPr>
        <w:rPr>
          <w:szCs w:val="24"/>
        </w:rPr>
      </w:pPr>
    </w:p>
    <w:p w14:paraId="1182FEB6" w14:textId="77777777" w:rsidR="004B2B5E" w:rsidRPr="008B432C" w:rsidRDefault="004B2B5E" w:rsidP="004B2B5E">
      <w:pPr>
        <w:rPr>
          <w:szCs w:val="24"/>
        </w:rPr>
      </w:pPr>
      <w:r w:rsidRPr="008B432C">
        <w:rPr>
          <w:szCs w:val="24"/>
        </w:rPr>
        <w:tab/>
        <w:t>Ms. Parker acted fast.  She called 911 from her mobile phone.  But when the operator asked where she was, Ms. Parker could only answer: “I don’t know.  I don’t know.  Can you please help me?”</w:t>
      </w:r>
    </w:p>
    <w:p w14:paraId="69723C5E" w14:textId="77777777" w:rsidR="004B2B5E" w:rsidRPr="008B432C" w:rsidRDefault="004B2B5E" w:rsidP="004B2B5E">
      <w:pPr>
        <w:rPr>
          <w:szCs w:val="24"/>
        </w:rPr>
      </w:pPr>
    </w:p>
    <w:p w14:paraId="5E82E173" w14:textId="77777777" w:rsidR="004B2B5E" w:rsidRPr="008B432C" w:rsidRDefault="004B2B5E" w:rsidP="004B2B5E">
      <w:pPr>
        <w:rPr>
          <w:szCs w:val="24"/>
        </w:rPr>
      </w:pPr>
      <w:r w:rsidRPr="008B432C">
        <w:rPr>
          <w:szCs w:val="24"/>
        </w:rPr>
        <w:tab/>
        <w:t>Using location information from her mobile phone, local police were able to trace the call.  Using their knowledge of the area, responding officers were able to figure out that her car slid into a pond next to an interstate on her way home.  When the officers arrived on the scene, they found her overturned car.  Mud was oozing through the windows and doors.  Time was running out.</w:t>
      </w:r>
    </w:p>
    <w:p w14:paraId="5E0FE9EB" w14:textId="77777777" w:rsidR="004B2B5E" w:rsidRPr="008B432C" w:rsidRDefault="004B2B5E" w:rsidP="004B2B5E">
      <w:pPr>
        <w:rPr>
          <w:szCs w:val="24"/>
        </w:rPr>
      </w:pPr>
    </w:p>
    <w:p w14:paraId="238DC0DA" w14:textId="77777777" w:rsidR="004B2B5E" w:rsidRPr="008B432C" w:rsidRDefault="004B2B5E" w:rsidP="004B2B5E">
      <w:pPr>
        <w:rPr>
          <w:szCs w:val="24"/>
        </w:rPr>
      </w:pPr>
      <w:r w:rsidRPr="008B432C">
        <w:rPr>
          <w:szCs w:val="24"/>
        </w:rPr>
        <w:tab/>
        <w:t>Fortunately, this story ends well.  But by the time the police pulled Ms. Parker out from the car she had only eight inches of air left.  Still, this story shows very clearly what first responders can do with the right tools—that is, with accurate location information.</w:t>
      </w:r>
    </w:p>
    <w:p w14:paraId="102C34EE" w14:textId="77777777" w:rsidR="004B2B5E" w:rsidRPr="008B432C" w:rsidRDefault="004B2B5E" w:rsidP="004B2B5E">
      <w:pPr>
        <w:rPr>
          <w:szCs w:val="24"/>
        </w:rPr>
      </w:pPr>
    </w:p>
    <w:p w14:paraId="0AF737C0" w14:textId="77777777" w:rsidR="004B2B5E" w:rsidRPr="008B432C" w:rsidRDefault="004B2B5E" w:rsidP="004B2B5E">
      <w:pPr>
        <w:rPr>
          <w:szCs w:val="24"/>
        </w:rPr>
      </w:pPr>
      <w:r w:rsidRPr="008B432C">
        <w:rPr>
          <w:szCs w:val="24"/>
        </w:rPr>
        <w:tab/>
        <w:t>Second story.  Mary Thomas suffered a stroke in New York.  Ms. Thomas knew something was wrong.  So she mustered up the strength to call 911.  But the stroke had taken its toll.  Her speech was slurred.  She was unable to tell the dispatcher where she was and what help she needed.</w:t>
      </w:r>
    </w:p>
    <w:p w14:paraId="49227773" w14:textId="77777777" w:rsidR="004B2B5E" w:rsidRPr="008B432C" w:rsidRDefault="004B2B5E" w:rsidP="004B2B5E">
      <w:pPr>
        <w:rPr>
          <w:szCs w:val="24"/>
        </w:rPr>
      </w:pPr>
    </w:p>
    <w:p w14:paraId="4A4D412E" w14:textId="77777777" w:rsidR="004B2B5E" w:rsidRPr="008B432C" w:rsidRDefault="004B2B5E" w:rsidP="004B2B5E">
      <w:pPr>
        <w:rPr>
          <w:szCs w:val="24"/>
        </w:rPr>
      </w:pPr>
      <w:r w:rsidRPr="008B432C">
        <w:rPr>
          <w:szCs w:val="24"/>
        </w:rPr>
        <w:tab/>
        <w:t xml:space="preserve">So the first responders turned to technology.  The tower information for Ms. Thomas’s mobile phone gave an address for the call.  But the address was wrong.  It turns out that on the Upper East Side of Manhattan, it can be easy to get lost.  Lots of buildings, lots of floors, lots of apartments stacked high in the sky.  In fact, first responders in New York followed several false leads trying to track the call.  All in all, they searched for eight hours before they found Ms. Thomas.  She died the next day.  </w:t>
      </w:r>
    </w:p>
    <w:p w14:paraId="10CA69B7" w14:textId="77777777" w:rsidR="004B2B5E" w:rsidRPr="008B432C" w:rsidRDefault="004B2B5E" w:rsidP="004B2B5E">
      <w:pPr>
        <w:rPr>
          <w:szCs w:val="24"/>
        </w:rPr>
      </w:pPr>
    </w:p>
    <w:p w14:paraId="40464974" w14:textId="77777777" w:rsidR="004B2B5E" w:rsidRPr="008B432C" w:rsidRDefault="004B2B5E" w:rsidP="004B2B5E">
      <w:pPr>
        <w:rPr>
          <w:szCs w:val="24"/>
        </w:rPr>
      </w:pPr>
      <w:r w:rsidRPr="008B432C">
        <w:rPr>
          <w:szCs w:val="24"/>
        </w:rPr>
        <w:tab/>
        <w:t xml:space="preserve">These stories illustrate very clearly what we all know intuitively.  When the unthinkable occurs you want first responders to find you—no matter where you are—indoors or out—and no matter what kind of phone you use to make that call.  </w:t>
      </w:r>
    </w:p>
    <w:p w14:paraId="637CB4EA" w14:textId="77777777" w:rsidR="004B2B5E" w:rsidRPr="008B432C" w:rsidRDefault="004B2B5E" w:rsidP="004B2B5E">
      <w:pPr>
        <w:rPr>
          <w:szCs w:val="24"/>
        </w:rPr>
      </w:pPr>
    </w:p>
    <w:p w14:paraId="423563AD" w14:textId="77777777" w:rsidR="004B2B5E" w:rsidRPr="008B432C" w:rsidRDefault="004B2B5E" w:rsidP="004B2B5E">
      <w:pPr>
        <w:rPr>
          <w:szCs w:val="24"/>
        </w:rPr>
      </w:pPr>
      <w:r w:rsidRPr="008B432C">
        <w:rPr>
          <w:szCs w:val="24"/>
        </w:rPr>
        <w:tab/>
        <w:t xml:space="preserve">That is why what we do here today is so critical.  The number of wireless calls to 911 is skyrocketing.  In fact, more than 70 percent of 911 calls are now made from wireless phones.  That is more than 400,000 calls across the country every day.  This number is only going to grow.  Because today, for roughly 2 in 5 households, their wireless phone is their only phone.  </w:t>
      </w:r>
    </w:p>
    <w:p w14:paraId="153DC88E" w14:textId="77777777" w:rsidR="004B2B5E" w:rsidRPr="008B432C" w:rsidRDefault="004B2B5E" w:rsidP="004B2B5E">
      <w:pPr>
        <w:rPr>
          <w:szCs w:val="24"/>
        </w:rPr>
      </w:pPr>
    </w:p>
    <w:p w14:paraId="7E43A7DB" w14:textId="77777777" w:rsidR="004B2B5E" w:rsidRPr="008B432C" w:rsidRDefault="004B2B5E" w:rsidP="004B2B5E">
      <w:pPr>
        <w:rPr>
          <w:szCs w:val="24"/>
        </w:rPr>
      </w:pPr>
      <w:r w:rsidRPr="008B432C">
        <w:rPr>
          <w:szCs w:val="24"/>
        </w:rPr>
        <w:tab/>
        <w:t xml:space="preserve">So the way we connect and call is changing.  But until today our policies providing first responders with information about where we are when we call 911 have been stranded in the calling practices of the last century.  They provide for location information for 911 calls made using wireline phones.  They provide for location information for 911 calls made outdoors using wireless phones.  But for calls made indoors using wireless phones your best bet would be to cross your fingers and hope and pray, because no location accuracy standards apply.  This gap is unacceptable.  It does not reflect the way we now reach out for help in our moment of greatest need.  </w:t>
      </w:r>
    </w:p>
    <w:p w14:paraId="048B6636" w14:textId="77777777" w:rsidR="004B2B5E" w:rsidRPr="008B432C" w:rsidRDefault="004B2B5E" w:rsidP="004B2B5E">
      <w:pPr>
        <w:rPr>
          <w:szCs w:val="24"/>
        </w:rPr>
      </w:pPr>
    </w:p>
    <w:p w14:paraId="72DCDD96" w14:textId="77777777" w:rsidR="004B2B5E" w:rsidRPr="008B432C" w:rsidRDefault="004B2B5E" w:rsidP="00646595">
      <w:pPr>
        <w:widowControl/>
        <w:rPr>
          <w:szCs w:val="24"/>
        </w:rPr>
      </w:pPr>
      <w:r w:rsidRPr="008B432C">
        <w:rPr>
          <w:szCs w:val="24"/>
        </w:rPr>
        <w:tab/>
        <w:t xml:space="preserve">Today, at long last, we take steps to fix this problem and close this gap.  For the first time, we bring indoor dispatchable location into our wireless location accuracy policies.  This is big—and it is bound to save lives.  Because, as Steve Souder from the Fairfax County Department of Public Safety Communications suggests, before a blue and red light flashes, before a whistle on the volunteer fire station blows, before a pager rings, or an air horn blares—the front line of public safety in the United States are the people who answer your 911 call.  When they have more information about where you are when you call, we are all safer.  He’s right—and his words illustrate the importance of that call made by Ms. Parker in Indiana, by Ms. Thomas in New York, and by hundreds of thousands of us each and every year.  </w:t>
      </w:r>
    </w:p>
    <w:p w14:paraId="1E2DB7A2" w14:textId="77777777" w:rsidR="004B2B5E" w:rsidRPr="008B432C" w:rsidRDefault="004B2B5E" w:rsidP="004B2B5E">
      <w:pPr>
        <w:rPr>
          <w:szCs w:val="24"/>
        </w:rPr>
      </w:pPr>
    </w:p>
    <w:p w14:paraId="5AEA8A4E" w14:textId="77777777" w:rsidR="004B2B5E" w:rsidRPr="008B432C" w:rsidRDefault="004B2B5E" w:rsidP="004B2B5E">
      <w:pPr>
        <w:ind w:firstLine="720"/>
        <w:rPr>
          <w:szCs w:val="24"/>
        </w:rPr>
      </w:pPr>
      <w:r w:rsidRPr="008B432C">
        <w:rPr>
          <w:szCs w:val="24"/>
        </w:rPr>
        <w:t xml:space="preserve">Our effort today has taken a lot of work and wrangling.  Thank you to the countless first responders and the authorities at the Association of Public Safety Communications Officials International and National Emergency Number Association who helped us in this process. Your insights and assistance have been invaluable.  Thank you also to the Chairman for making this effort a priority and Admiral Simpson and the Public Safety and Homeland Security Bureau for pushing this issue forward.  </w:t>
      </w:r>
    </w:p>
    <w:p w14:paraId="72C8C4F9" w14:textId="77777777" w:rsidR="004B2B5E" w:rsidRPr="008B432C" w:rsidRDefault="004B2B5E" w:rsidP="004B2B5E">
      <w:pPr>
        <w:rPr>
          <w:szCs w:val="24"/>
        </w:rPr>
      </w:pPr>
    </w:p>
    <w:p w14:paraId="76701A99" w14:textId="693245A8" w:rsidR="00CE51A2" w:rsidRDefault="004B2B5E" w:rsidP="00CE51A2">
      <w:pPr>
        <w:rPr>
          <w:szCs w:val="24"/>
        </w:rPr>
      </w:pPr>
      <w:r w:rsidRPr="008B432C">
        <w:rPr>
          <w:szCs w:val="24"/>
        </w:rPr>
        <w:tab/>
        <w:t xml:space="preserve">Finally, we owe a debt of gratitude to the bipartisan support this initiative has received from Capitol Hill.  Last year, the Senate Committee on Commerce, Science, and Transportation held a hearing to bring focus to this problem.  Senator Schumer also pressed us to modernize our rules—and get this right.  In particular, he called for us to update our policies to give first responders the information they need to help us in our hour of need.  In addition, Congressman Upton and Congressman Pallone encouraged this agency to put a premium on dispatchable location—and get this done.  For their support and willingness to champion this important public safety matter, we are grateful.    </w:t>
      </w:r>
    </w:p>
    <w:p w14:paraId="48A72941" w14:textId="77777777" w:rsidR="00CE51A2" w:rsidRDefault="00CE51A2">
      <w:pPr>
        <w:widowControl/>
        <w:rPr>
          <w:szCs w:val="24"/>
        </w:rPr>
      </w:pPr>
      <w:r>
        <w:rPr>
          <w:szCs w:val="24"/>
        </w:rPr>
        <w:br w:type="page"/>
      </w:r>
    </w:p>
    <w:p w14:paraId="7B1FFBC3" w14:textId="77777777" w:rsidR="00CE51A2" w:rsidRDefault="00CE51A2" w:rsidP="00CE51A2">
      <w:pPr>
        <w:spacing w:after="240"/>
        <w:jc w:val="center"/>
        <w:rPr>
          <w:b/>
        </w:rPr>
        <w:sectPr w:rsidR="00CE51A2" w:rsidSect="00CE51A2">
          <w:footnotePr>
            <w:numRestart w:val="eachSect"/>
          </w:footnotePr>
          <w:endnotePr>
            <w:numFmt w:val="decimal"/>
          </w:endnotePr>
          <w:pgSz w:w="12240" w:h="15840"/>
          <w:pgMar w:top="1440" w:right="1440" w:bottom="720" w:left="1440" w:header="720" w:footer="720" w:gutter="0"/>
          <w:cols w:space="720"/>
          <w:noEndnote/>
          <w:titlePg/>
        </w:sectPr>
      </w:pPr>
    </w:p>
    <w:p w14:paraId="4FE679AE" w14:textId="63F64E20" w:rsidR="00CE51A2" w:rsidRPr="00F347A6" w:rsidRDefault="00CE51A2" w:rsidP="00CE51A2">
      <w:pPr>
        <w:spacing w:after="240"/>
        <w:jc w:val="center"/>
        <w:rPr>
          <w:b/>
        </w:rPr>
      </w:pPr>
      <w:r w:rsidRPr="00F347A6">
        <w:rPr>
          <w:b/>
        </w:rPr>
        <w:t>STATEMENT OF</w:t>
      </w:r>
      <w:r>
        <w:rPr>
          <w:b/>
        </w:rPr>
        <w:br/>
      </w:r>
      <w:r w:rsidRPr="00F347A6">
        <w:rPr>
          <w:b/>
        </w:rPr>
        <w:t>COMMISSIONER AJIT PAI</w:t>
      </w:r>
    </w:p>
    <w:p w14:paraId="6A0C99FF" w14:textId="77777777" w:rsidR="00CE51A2" w:rsidRDefault="00CE51A2" w:rsidP="00CE51A2">
      <w:pPr>
        <w:ind w:firstLine="720"/>
      </w:pPr>
      <w:r>
        <w:t>Whoever you are or from wherever you are calling, 911 has to work.  It doesn’t matter if you’re in a school or library, a hotel or motel, an office or government building; your call needs to go through, and emergency responders need to be able to find you.</w:t>
      </w:r>
    </w:p>
    <w:p w14:paraId="756DB55B" w14:textId="77777777" w:rsidR="00CE51A2" w:rsidRPr="00F347A6" w:rsidRDefault="00CE51A2" w:rsidP="00CE51A2">
      <w:pPr>
        <w:ind w:firstLine="720"/>
      </w:pPr>
    </w:p>
    <w:p w14:paraId="007CB25E" w14:textId="77777777" w:rsidR="00CE51A2" w:rsidRDefault="00CE51A2" w:rsidP="00CE51A2">
      <w:pPr>
        <w:ind w:firstLine="720"/>
      </w:pPr>
      <w:r>
        <w:t xml:space="preserve">That is why I supported the commencement of this proceeding last February—because it is time that 911 calls provide emergency responders with </w:t>
      </w:r>
      <w:r w:rsidRPr="00F347A6">
        <w:t>accurate location information</w:t>
      </w:r>
      <w:r>
        <w:t xml:space="preserve"> regardless of whether the caller is indoors or outdoors</w:t>
      </w:r>
      <w:r w:rsidRPr="00F347A6">
        <w:t xml:space="preserve">.  </w:t>
      </w:r>
      <w:r>
        <w:t>My goal, as I said back then, was to adopt</w:t>
      </w:r>
      <w:r w:rsidRPr="00F347A6">
        <w:t xml:space="preserve"> rules that are both “aggressive</w:t>
      </w:r>
      <w:r w:rsidRPr="00F347A6">
        <w:rPr>
          <w:i/>
        </w:rPr>
        <w:t xml:space="preserve"> and </w:t>
      </w:r>
      <w:r w:rsidRPr="00F347A6">
        <w:t>achievable.”</w:t>
      </w:r>
      <w:r w:rsidRPr="00F347A6">
        <w:rPr>
          <w:rStyle w:val="FootnoteReference"/>
        </w:rPr>
        <w:footnoteReference w:id="629"/>
      </w:r>
      <w:r>
        <w:t xml:space="preserve">  At the time, I expressed concern that the NPRM’s proposals would fail to meet that test.  And that concern was borne out by the record in this proceeding, which shows that our original proposals were impractical and unrealistic.</w:t>
      </w:r>
    </w:p>
    <w:p w14:paraId="0CD3585A" w14:textId="77777777" w:rsidR="00CE51A2" w:rsidRPr="00F347A6" w:rsidRDefault="00CE51A2" w:rsidP="00CE51A2">
      <w:pPr>
        <w:ind w:firstLine="720"/>
      </w:pPr>
    </w:p>
    <w:p w14:paraId="22F12494" w14:textId="77777777" w:rsidR="00CE51A2" w:rsidRDefault="00CE51A2" w:rsidP="00CE51A2">
      <w:pPr>
        <w:ind w:firstLine="720"/>
      </w:pPr>
      <w:r>
        <w:t xml:space="preserve">So </w:t>
      </w:r>
      <w:r w:rsidRPr="00F347A6">
        <w:t xml:space="preserve">I am pleased that </w:t>
      </w:r>
      <w:r>
        <w:t>we’ve adjusted course and are now adopting requirements that meet those two watchwords</w:t>
      </w:r>
      <w:r w:rsidRPr="00F347A6">
        <w:t xml:space="preserve">.  </w:t>
      </w:r>
      <w:r>
        <w:t xml:space="preserve">I am also glad that the framework we’re putting in place </w:t>
      </w:r>
      <w:r w:rsidRPr="00F347A6">
        <w:t>put</w:t>
      </w:r>
      <w:r>
        <w:t>s</w:t>
      </w:r>
      <w:r w:rsidRPr="00F347A6">
        <w:t xml:space="preserve"> us on a path to providing emergency responders with a “dispatchable location”—that’s the room, office, or suite </w:t>
      </w:r>
      <w:r>
        <w:t xml:space="preserve">number </w:t>
      </w:r>
      <w:r w:rsidRPr="00F347A6">
        <w:t>where the 911 caller is located.  Public safety organizations have described this as the “gold standard” for indoor location accuracy because it tel</w:t>
      </w:r>
      <w:r>
        <w:t>ls first responders exactly which</w:t>
      </w:r>
      <w:r w:rsidRPr="00F347A6">
        <w:t xml:space="preserve"> door they need to knock on</w:t>
      </w:r>
      <w:r>
        <w:t>,</w:t>
      </w:r>
      <w:r w:rsidRPr="00F347A6">
        <w:t xml:space="preserve"> or in some cases</w:t>
      </w:r>
      <w:r>
        <w:t>,</w:t>
      </w:r>
      <w:r w:rsidRPr="00F347A6">
        <w:t xml:space="preserve"> kick in</w:t>
      </w:r>
      <w:r>
        <w:t xml:space="preserve"> during an emergency</w:t>
      </w:r>
      <w:r w:rsidRPr="00F347A6">
        <w:t>.</w:t>
      </w:r>
      <w:r w:rsidRPr="00F347A6">
        <w:rPr>
          <w:rStyle w:val="FootnoteReference"/>
        </w:rPr>
        <w:footnoteReference w:id="630"/>
      </w:r>
    </w:p>
    <w:p w14:paraId="4AD374BF" w14:textId="1814F7DE" w:rsidR="00CE51A2" w:rsidRDefault="00CE51A2" w:rsidP="00CE51A2">
      <w:pPr>
        <w:ind w:firstLine="720"/>
      </w:pPr>
      <w:r w:rsidRPr="00F347A6">
        <w:t xml:space="preserve">  </w:t>
      </w:r>
    </w:p>
    <w:p w14:paraId="2D32B0DC" w14:textId="77777777" w:rsidR="00CE51A2" w:rsidRDefault="00CE51A2" w:rsidP="00CE51A2">
      <w:pPr>
        <w:ind w:firstLine="720"/>
      </w:pPr>
      <w:r w:rsidRPr="00F347A6">
        <w:t>I commend</w:t>
      </w:r>
      <w:r>
        <w:t xml:space="preserve"> all the parties that worked cooperatively on this important </w:t>
      </w:r>
      <w:r w:rsidRPr="00F347A6">
        <w:t xml:space="preserve">issue.  </w:t>
      </w:r>
      <w:r>
        <w:t xml:space="preserve">Although </w:t>
      </w:r>
      <w:r w:rsidRPr="00F347A6">
        <w:t>I had concerns with this Order when it first circulated,</w:t>
      </w:r>
      <w:r>
        <w:t xml:space="preserve"> I appreciate the changes that have been made and would like to thank</w:t>
      </w:r>
      <w:r w:rsidRPr="00F347A6">
        <w:t xml:space="preserve"> Commissioner Rosenworcel </w:t>
      </w:r>
      <w:r>
        <w:t xml:space="preserve">in particular for </w:t>
      </w:r>
      <w:r w:rsidRPr="00F347A6">
        <w:t>h</w:t>
      </w:r>
      <w:r>
        <w:t>elping steer the item down</w:t>
      </w:r>
      <w:r w:rsidRPr="00F347A6">
        <w:t xml:space="preserve"> a better path.</w:t>
      </w:r>
      <w:r>
        <w:t xml:space="preserve">  </w:t>
      </w:r>
      <w:r w:rsidRPr="00967CFA">
        <w:t>I am pleased too that the Order now makes it clear that nothing in our decision authorizes the use of any non-U.S. satellite system in conjunction with the 911 system.</w:t>
      </w:r>
      <w:r>
        <w:t xml:space="preserve">  I will thus be voting to approve.</w:t>
      </w:r>
    </w:p>
    <w:p w14:paraId="7775B8AA" w14:textId="77777777" w:rsidR="00CE51A2" w:rsidRPr="00F347A6" w:rsidRDefault="00CE51A2" w:rsidP="00CE51A2">
      <w:pPr>
        <w:ind w:firstLine="720"/>
      </w:pPr>
    </w:p>
    <w:p w14:paraId="0CB7B554" w14:textId="77777777" w:rsidR="00CE51A2" w:rsidRDefault="00CE51A2" w:rsidP="00CE51A2">
      <w:pPr>
        <w:ind w:firstLine="720"/>
      </w:pPr>
      <w:r w:rsidRPr="00F347A6">
        <w:t xml:space="preserve">Finally, I would </w:t>
      </w:r>
      <w:r>
        <w:t xml:space="preserve">be </w:t>
      </w:r>
      <w:r w:rsidRPr="00F347A6">
        <w:t xml:space="preserve">remiss if I did not </w:t>
      </w:r>
      <w:r>
        <w:t>take a moment to mention another issue that affects millions of Americans when they dial 911 from indoor locations.  As some of you might recall, I launched an inquiry a year ago to ensure that dialing 911 always works.</w:t>
      </w:r>
      <w:r>
        <w:rPr>
          <w:rStyle w:val="FootnoteReference"/>
        </w:rPr>
        <w:footnoteReference w:id="631"/>
      </w:r>
      <w:r>
        <w:t xml:space="preserve">  I started the effort after hearing about the tragic death of Kari Rene Hunt Dunn in a Marshall, Texas hotel room.  As I’ve recounted before, Kari’s daughter tried calling 911 four times, but the call never went through because the hotel’s 911 system required guests to first dial a “9” to get an outside line.</w:t>
      </w:r>
    </w:p>
    <w:p w14:paraId="7A3A5AB9" w14:textId="77777777" w:rsidR="00CE51A2" w:rsidRDefault="00CE51A2" w:rsidP="00CE51A2">
      <w:pPr>
        <w:ind w:firstLine="720"/>
      </w:pPr>
    </w:p>
    <w:p w14:paraId="7EB3FCFA" w14:textId="77777777" w:rsidR="00CE51A2" w:rsidRDefault="00CE51A2" w:rsidP="00646595">
      <w:pPr>
        <w:widowControl/>
        <w:ind w:firstLine="720"/>
      </w:pPr>
      <w:r>
        <w:t>After hearing this story, I gave Kari’s father, Hank Hunt, my personal commitment that I would do my best to ensure that no one—and no child—would ever again confront that situation.  Last week, I had the chance to visit Marshall, Texas and the 911 dispatch center where the call from Kari’s daughter would have—and should have—gone.  I was honored to stand with Kari’s father, Hank—someone whose courage, fortitude, and determination is humbling and inspiring.  And I was pleased to report on the progress that’s been made in just one year’s time.</w:t>
      </w:r>
      <w:r>
        <w:rPr>
          <w:rStyle w:val="FootnoteReference"/>
        </w:rPr>
        <w:footnoteReference w:id="632"/>
      </w:r>
    </w:p>
    <w:p w14:paraId="2BB76CE9" w14:textId="77777777" w:rsidR="00CE51A2" w:rsidRDefault="00CE51A2" w:rsidP="00CE51A2">
      <w:pPr>
        <w:ind w:firstLine="720"/>
      </w:pPr>
    </w:p>
    <w:p w14:paraId="59FCFC21" w14:textId="77777777" w:rsidR="00CE51A2" w:rsidRDefault="00CE51A2" w:rsidP="00CE51A2">
      <w:pPr>
        <w:ind w:firstLine="720"/>
      </w:pPr>
      <w:r>
        <w:t>While both my progress report and a shorter summary are available on the Commission’s website, I wanted to take just a minute to highlight some of the progress that’s been made.  By raising awareness and through voluntary efforts, w</w:t>
      </w:r>
      <w:r w:rsidRPr="004157FB">
        <w:t xml:space="preserve">e are </w:t>
      </w:r>
      <w:r>
        <w:t xml:space="preserve">now </w:t>
      </w:r>
      <w:r w:rsidRPr="004157FB">
        <w:t>on track to have solved</w:t>
      </w:r>
      <w:r>
        <w:t xml:space="preserve"> this problem by the end of the</w:t>
      </w:r>
      <w:r w:rsidRPr="004157FB">
        <w:t xml:space="preserve"> year at all Country Inn &amp; Suites,</w:t>
      </w:r>
      <w:r>
        <w:t xml:space="preserve"> </w:t>
      </w:r>
      <w:r w:rsidRPr="004157FB">
        <w:t>Crowne Plaza, Doubletree, Embassy Suites, Fairfield Inn, Four Points, Gaylord, Hampton Inn, Hilton,</w:t>
      </w:r>
      <w:r>
        <w:t xml:space="preserve"> </w:t>
      </w:r>
      <w:r w:rsidRPr="004157FB">
        <w:t>Holiday Inn, Hyatt, InterContinental, La Quinta, Marriott, Motel 6, Park Plaza, Radisson, Residence Inn,</w:t>
      </w:r>
      <w:r>
        <w:t xml:space="preserve"> </w:t>
      </w:r>
      <w:r w:rsidRPr="004157FB">
        <w:t>Ritz-Carlton, St. Regis, Sheraton, Staybr</w:t>
      </w:r>
      <w:r>
        <w:t>idge, W, and Westin properties.  That’s real progress.</w:t>
      </w:r>
    </w:p>
    <w:p w14:paraId="36D9EA4E" w14:textId="77777777" w:rsidR="00CE51A2" w:rsidRDefault="00CE51A2" w:rsidP="00CE51A2">
      <w:pPr>
        <w:ind w:firstLine="720"/>
      </w:pPr>
    </w:p>
    <w:p w14:paraId="59615AD3" w14:textId="77777777" w:rsidR="00CE51A2" w:rsidRDefault="00CE51A2" w:rsidP="00CE51A2">
      <w:pPr>
        <w:ind w:firstLine="720"/>
      </w:pPr>
      <w:r>
        <w:t xml:space="preserve">Manufacturers and vendors of multi-line telephone systems (MLTS) have also stepped up to the plate.  Today, half of surveyed vendors ship all of their MLTS products with a default setting of direct 911 dialing—this includes NEC, </w:t>
      </w:r>
      <w:r w:rsidRPr="00F81D64">
        <w:t xml:space="preserve">Shortel, </w:t>
      </w:r>
      <w:r>
        <w:t xml:space="preserve">Vertical, and </w:t>
      </w:r>
      <w:r w:rsidRPr="00F81D64">
        <w:t>Windstream</w:t>
      </w:r>
      <w:r>
        <w:t>—and 100% recommend that their products be set up to allow for direct 911 dialing.</w:t>
      </w:r>
    </w:p>
    <w:p w14:paraId="60FE8CFF" w14:textId="77777777" w:rsidR="00CE51A2" w:rsidRDefault="00CE51A2" w:rsidP="00CE51A2">
      <w:pPr>
        <w:ind w:firstLine="720"/>
      </w:pPr>
    </w:p>
    <w:p w14:paraId="06E62C85" w14:textId="48EFDA7E" w:rsidR="00CE51A2" w:rsidRDefault="00CE51A2" w:rsidP="00CE51A2">
      <w:pPr>
        <w:ind w:firstLine="720"/>
      </w:pPr>
      <w:r>
        <w:t>Bottom line: we’re getting serious and substantial results.  It’s been an honor to work alongside Hank, Mark Fletcher, the American Hotel &amp; Lodging Association, the National Emergency Number Association, and many others to solve this problem.  I look forward to continuing our labors and making further progress in the time to come.</w:t>
      </w:r>
    </w:p>
    <w:p w14:paraId="349DFF4C" w14:textId="77777777" w:rsidR="00CE51A2" w:rsidRDefault="00CE51A2">
      <w:pPr>
        <w:widowControl/>
      </w:pPr>
      <w:r>
        <w:br w:type="page"/>
      </w:r>
    </w:p>
    <w:p w14:paraId="7E4093C1" w14:textId="77777777" w:rsidR="00CE51A2" w:rsidRPr="00757591" w:rsidRDefault="00CE51A2" w:rsidP="00CE51A2">
      <w:pPr>
        <w:jc w:val="center"/>
        <w:rPr>
          <w:b/>
          <w:caps/>
        </w:rPr>
      </w:pPr>
      <w:r w:rsidRPr="00757591">
        <w:rPr>
          <w:b/>
          <w:caps/>
        </w:rPr>
        <w:t>Statement of</w:t>
      </w:r>
    </w:p>
    <w:p w14:paraId="0E7155B7" w14:textId="77777777" w:rsidR="00CE51A2" w:rsidRPr="00757591" w:rsidRDefault="00CE51A2" w:rsidP="00CE51A2">
      <w:pPr>
        <w:jc w:val="center"/>
        <w:rPr>
          <w:b/>
          <w:caps/>
        </w:rPr>
      </w:pPr>
      <w:r w:rsidRPr="00757591">
        <w:rPr>
          <w:b/>
          <w:caps/>
        </w:rPr>
        <w:t>Commissioner Michael O’Rielly</w:t>
      </w:r>
    </w:p>
    <w:p w14:paraId="527033AF" w14:textId="77777777" w:rsidR="00CE51A2" w:rsidRDefault="00CE51A2" w:rsidP="00CE51A2">
      <w:pPr>
        <w:ind w:firstLine="720"/>
      </w:pPr>
    </w:p>
    <w:p w14:paraId="5E90E0D8" w14:textId="77777777" w:rsidR="00CE51A2" w:rsidRPr="00757591" w:rsidDel="00E63E15" w:rsidRDefault="00CE51A2" w:rsidP="00CE51A2">
      <w:pPr>
        <w:ind w:firstLine="720"/>
      </w:pPr>
      <w:r w:rsidRPr="00757591" w:rsidDel="00E63E15">
        <w:t xml:space="preserve">Over the </w:t>
      </w:r>
      <w:r w:rsidRPr="00757591">
        <w:t>p</w:t>
      </w:r>
      <w:r w:rsidRPr="00757591" w:rsidDel="00E63E15">
        <w:t xml:space="preserve">ast few months, I have been fortunate to visit several Public Safety Answering Points (PSAPs).  From New York City, to Fairfax County, Virginia, to Anchorage, Alaska, dedicated and hardworking 911 call takers have </w:t>
      </w:r>
      <w:r w:rsidRPr="00757591">
        <w:t>expressed the great need for</w:t>
      </w:r>
      <w:r w:rsidRPr="00757591" w:rsidDel="00E63E15">
        <w:t xml:space="preserve"> better location information.  </w:t>
      </w:r>
      <w:r w:rsidRPr="00757591">
        <w:t>The location of the caller can be the single most critical data point taken during each emergency call, as demonstrated by the</w:t>
      </w:r>
      <w:r w:rsidRPr="00757591" w:rsidDel="00E63E15">
        <w:t xml:space="preserve"> fact that the first thing </w:t>
      </w:r>
      <w:r w:rsidRPr="00757591">
        <w:t>some call centers</w:t>
      </w:r>
      <w:r w:rsidRPr="00757591" w:rsidDel="00E63E15">
        <w:t xml:space="preserve"> ask is “where is your emergency?” not “what is your emergency?”  For this reason, I support today’s item that will facilitate the ability of </w:t>
      </w:r>
      <w:r w:rsidRPr="00757591">
        <w:t xml:space="preserve">911 call takers </w:t>
      </w:r>
      <w:r w:rsidRPr="00757591" w:rsidDel="00E63E15">
        <w:t xml:space="preserve">to </w:t>
      </w:r>
      <w:r w:rsidRPr="00757591">
        <w:t xml:space="preserve">access quicker and more accurate </w:t>
      </w:r>
      <w:r w:rsidRPr="00757591" w:rsidDel="00E63E15">
        <w:t>locat</w:t>
      </w:r>
      <w:r w:rsidRPr="00757591">
        <w:t>ion information</w:t>
      </w:r>
      <w:r w:rsidRPr="00757591" w:rsidDel="00E63E15">
        <w:t xml:space="preserve"> </w:t>
      </w:r>
      <w:r w:rsidRPr="00757591">
        <w:t xml:space="preserve">for </w:t>
      </w:r>
      <w:r w:rsidRPr="00757591" w:rsidDel="00E63E15">
        <w:t xml:space="preserve">wireless callers that contact 911 during emergencies, especially when they are indoors.  </w:t>
      </w:r>
      <w:r w:rsidRPr="00757591">
        <w:t xml:space="preserve">This is a particular concern as it pertains to more densely populated locations, including urban centers with skyscrapers and high-rises.  </w:t>
      </w:r>
    </w:p>
    <w:p w14:paraId="770E948F" w14:textId="77777777" w:rsidR="00CE51A2" w:rsidRPr="00757591" w:rsidRDefault="00CE51A2" w:rsidP="00CE51A2"/>
    <w:p w14:paraId="056626D7" w14:textId="77777777" w:rsidR="00CE51A2" w:rsidRPr="00757591" w:rsidRDefault="00CE51A2" w:rsidP="00CE51A2">
      <w:pPr>
        <w:ind w:firstLine="720"/>
      </w:pPr>
      <w:r w:rsidRPr="00757591">
        <w:t>In the February 2014 Notice of Proposed Rulemaking (Notice), the Commission challenged the wireless sector and public safety community to develop a “consensus approach” to improve indoor location accuracy.</w:t>
      </w:r>
      <w:r w:rsidRPr="00757591">
        <w:rPr>
          <w:rStyle w:val="FootnoteReference"/>
        </w:rPr>
        <w:footnoteReference w:id="633"/>
      </w:r>
      <w:r w:rsidRPr="00757591">
        <w:t xml:space="preserve">  I applaud the wireless industry, NENA and APCO for stepping up to the plate and putting forth a “roadmap” to deliver “dispatchable location,” the so-called gold standard of emergency location information, sooner than expected.  By providing the address, along with other information such as floor, apartment or suite, emergency services will be able to locate the person in need and administer assistance faster than ever before, when seconds count.</w:t>
      </w:r>
    </w:p>
    <w:p w14:paraId="3AECC75E" w14:textId="77777777" w:rsidR="00CE51A2" w:rsidRPr="00757591" w:rsidRDefault="00CE51A2" w:rsidP="00CE51A2"/>
    <w:p w14:paraId="28A94302" w14:textId="77777777" w:rsidR="00CE51A2" w:rsidRPr="00757591" w:rsidRDefault="00CE51A2" w:rsidP="00CE51A2">
      <w:pPr>
        <w:ind w:firstLine="720"/>
      </w:pPr>
      <w:r w:rsidRPr="00757591">
        <w:t>By setting a goal</w:t>
      </w:r>
      <w:r>
        <w:t xml:space="preserve"> to provide dispatchable location</w:t>
      </w:r>
      <w:r w:rsidRPr="00757591">
        <w:t xml:space="preserve"> to first responders within specified timeframes and with specific performance results, however, we are tasking industry with a quite a challenge.  In response to the 2014 Notice, I cautioned that deadlines needed to be realistic and that we should not adopt rules based on unproven technologies that have not been commercially deployed.  Within the modified roadmap confines, industry and public safety are prepared to take on this challenge, along with testing alternative technologies if dispatchable address cannot be timely deployed.  In fact, I am able to support today’s item because we are adopting a compromise that addresses many of the concerns raised on this issue.  I am sure that everyone – including my colleagues and stakeholders alike – can look at what is being adopted today and see particular portions that they would have done differently, but this is a consensus document receiving all of my colleagues</w:t>
      </w:r>
      <w:r>
        <w:t>’</w:t>
      </w:r>
      <w:r w:rsidRPr="00757591">
        <w:t xml:space="preserve"> support and it skillfully balances all of the competing interests.</w:t>
      </w:r>
    </w:p>
    <w:p w14:paraId="007C5FC0" w14:textId="77777777" w:rsidR="00CE51A2" w:rsidRPr="00757591" w:rsidRDefault="00CE51A2" w:rsidP="00CE51A2"/>
    <w:p w14:paraId="3E71E8D2" w14:textId="77777777" w:rsidR="00CE51A2" w:rsidRPr="00757591" w:rsidRDefault="00CE51A2" w:rsidP="00CE51A2">
      <w:pPr>
        <w:ind w:firstLine="720"/>
      </w:pPr>
      <w:r w:rsidRPr="00757591">
        <w:t xml:space="preserve">Ultimately, this item should serve to bring tremendous benefits forward for all concerned.  The public safety community will receive more precise information, in the desired format, to increase efficiency and rapidly respond to emergencies.  Industry has a path forward that will likely be achievable in the timeframes provided.  Moreover, companies will not be faced with a single vendor solution or possibly forced to build out multiple indoor location solutions, wasting money and stranding investment.  And, the real winners, of course, are American consumers, who, in time, will be more locatable by first responders when placing a wireless call.  </w:t>
      </w:r>
    </w:p>
    <w:p w14:paraId="32FD903D" w14:textId="77777777" w:rsidR="00CE51A2" w:rsidRPr="00757591" w:rsidRDefault="00CE51A2" w:rsidP="00CE51A2"/>
    <w:p w14:paraId="44935232" w14:textId="77777777" w:rsidR="00CE51A2" w:rsidRPr="00757591" w:rsidRDefault="00CE51A2" w:rsidP="00CE51A2">
      <w:pPr>
        <w:ind w:firstLine="720"/>
      </w:pPr>
      <w:r w:rsidRPr="00757591">
        <w:t>Today, the Commission is successfully implementing a voluntary industry and public sector compromise, albeit after several rounds of revisions.  A</w:t>
      </w:r>
      <w:r>
        <w:t>nd</w:t>
      </w:r>
      <w:r w:rsidRPr="00757591">
        <w:t>, the plan put forth will hopefully reduce the need for future action and waivers down the road, as experienced during the previous location accuracy proceeding.</w:t>
      </w:r>
    </w:p>
    <w:p w14:paraId="62C5206E" w14:textId="77777777" w:rsidR="00CE51A2" w:rsidRPr="00757591" w:rsidRDefault="00CE51A2" w:rsidP="00CE51A2"/>
    <w:p w14:paraId="3F79F4C0" w14:textId="77777777" w:rsidR="00CE51A2" w:rsidRPr="00757591" w:rsidRDefault="00CE51A2" w:rsidP="00CE51A2">
      <w:pPr>
        <w:ind w:firstLine="720"/>
      </w:pPr>
      <w:r w:rsidRPr="00757591">
        <w:t xml:space="preserve">Separately, I renew my concern that the location information resulting from the implementation of this item could be used by government agencies to pinpoint the location of law abiding Americans.  While this is not the direct responsibility of the Commission, I trust that appropriate oversight, including congressional involvement, will seek to ensure that this information is not used or abused to the detriment of the American people.  Improving location accuracy for wireless 911 callers should not happen at the </w:t>
      </w:r>
      <w:r>
        <w:t>expense</w:t>
      </w:r>
      <w:r w:rsidRPr="00757591">
        <w:t xml:space="preserve"> of greater exposure to surveillance or monitoring</w:t>
      </w:r>
      <w:r>
        <w:t xml:space="preserve"> by government officials</w:t>
      </w:r>
      <w:r w:rsidRPr="00757591">
        <w:t xml:space="preserve">.  </w:t>
      </w:r>
      <w:r>
        <w:t>It is to help public safety during emergencies, not limit the freedoms and lawful activities of American citizens.</w:t>
      </w:r>
    </w:p>
    <w:p w14:paraId="44AF4CF5" w14:textId="77777777" w:rsidR="00CE51A2" w:rsidRPr="00757591" w:rsidRDefault="00CE51A2" w:rsidP="00CE51A2"/>
    <w:p w14:paraId="7D1C7CE2" w14:textId="357BA85A" w:rsidR="00CE51A2" w:rsidRPr="00F347A6" w:rsidRDefault="00CE51A2" w:rsidP="00CE51A2">
      <w:pPr>
        <w:ind w:firstLine="720"/>
      </w:pPr>
      <w:r w:rsidRPr="00757591">
        <w:t xml:space="preserve">I thank the Chairman and my fellow Commissioners for agreeing to </w:t>
      </w:r>
      <w:r>
        <w:t>this approach</w:t>
      </w:r>
      <w:r w:rsidRPr="00757591">
        <w:t>, and I thank the Public Safety and Homeland Security Bureau for their hard work</w:t>
      </w:r>
      <w:r>
        <w:t>.</w:t>
      </w:r>
    </w:p>
    <w:p w14:paraId="2A2C0570" w14:textId="77777777" w:rsidR="00E555E7" w:rsidRPr="008B432C" w:rsidRDefault="00E555E7" w:rsidP="008B432C">
      <w:pPr>
        <w:rPr>
          <w:sz w:val="20"/>
        </w:rPr>
      </w:pPr>
    </w:p>
    <w:p w14:paraId="7CB14ECE" w14:textId="77777777" w:rsidR="003C31FD" w:rsidRPr="00EE2E1F" w:rsidRDefault="003C31FD" w:rsidP="005F21F9">
      <w:pPr>
        <w:rPr>
          <w:sz w:val="20"/>
        </w:rPr>
      </w:pPr>
    </w:p>
    <w:sectPr w:rsidR="003C31FD" w:rsidRPr="00EE2E1F" w:rsidSect="00EE2E1F">
      <w:footnotePr>
        <w:numRestart w:val="eachSect"/>
      </w:footnotePr>
      <w:endnotePr>
        <w:numFmt w:val="decimal"/>
      </w:endnotePr>
      <w:pgSz w:w="12240" w:h="15840"/>
      <w:pgMar w:top="1440" w:right="1440" w:bottom="720" w:left="1440" w:header="720" w:footer="720" w:gutter="0"/>
      <w:cols w:space="720"/>
      <w:noEndnote/>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E9951D" w15:done="0"/>
  <w15:commentEx w15:paraId="7B26D112" w15:done="0"/>
  <w15:commentEx w15:paraId="5E26B36B" w15:done="0"/>
  <w15:commentEx w15:paraId="5FD81142" w15:done="0"/>
  <w15:commentEx w15:paraId="3FAF3879" w15:done="0"/>
  <w15:commentEx w15:paraId="4921B6B4" w15:done="0"/>
  <w15:commentEx w15:paraId="485BBC37" w15:done="0"/>
  <w15:commentEx w15:paraId="6CA1B495" w15:done="0"/>
  <w15:commentEx w15:paraId="14C6AE61" w15:done="0"/>
  <w15:commentEx w15:paraId="329BDA12" w15:done="0"/>
  <w15:commentEx w15:paraId="0249C862" w15:done="0"/>
  <w15:commentEx w15:paraId="41B17161" w15:done="0"/>
  <w15:commentEx w15:paraId="2957D59F" w15:done="0"/>
  <w15:commentEx w15:paraId="26A00E47" w15:done="0"/>
  <w15:commentEx w15:paraId="6559009F" w15:done="0"/>
  <w15:commentEx w15:paraId="305E899F" w15:done="0"/>
  <w15:commentEx w15:paraId="38DD01F8" w15:done="0"/>
  <w15:commentEx w15:paraId="60E6776C" w15:done="0"/>
  <w15:commentEx w15:paraId="7ABEFC71" w15:done="0"/>
  <w15:commentEx w15:paraId="63FF8B6B" w15:done="0"/>
  <w15:commentEx w15:paraId="0F849113" w15:done="0"/>
  <w15:commentEx w15:paraId="1BC5C559" w15:done="0"/>
  <w15:commentEx w15:paraId="70E56804" w15:done="0"/>
  <w15:commentEx w15:paraId="05F96D29" w15:done="0"/>
  <w15:commentEx w15:paraId="31EC9611" w15:done="0"/>
  <w15:commentEx w15:paraId="04EC6D5C" w15:done="0"/>
  <w15:commentEx w15:paraId="6C07333D" w15:done="0"/>
  <w15:commentEx w15:paraId="73DE9761" w15:done="0"/>
  <w15:commentEx w15:paraId="41FB98E2" w15:done="0"/>
  <w15:commentEx w15:paraId="3F788582" w15:done="0"/>
  <w15:commentEx w15:paraId="4CBF318A" w15:paraIdParent="3F788582" w15:done="0"/>
  <w15:commentEx w15:paraId="29C1E0DF" w15:done="0"/>
  <w15:commentEx w15:paraId="2BFEEEBF" w15:done="0"/>
  <w15:commentEx w15:paraId="44CD4E56" w15:done="0"/>
  <w15:commentEx w15:paraId="39300F19" w15:done="0"/>
  <w15:commentEx w15:paraId="049DF193" w15:done="0"/>
  <w15:commentEx w15:paraId="7011CC4D" w15:done="0"/>
  <w15:commentEx w15:paraId="37A6A8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DE282" w14:textId="77777777" w:rsidR="003D1D20" w:rsidRDefault="003D1D20">
      <w:pPr>
        <w:spacing w:line="20" w:lineRule="exact"/>
      </w:pPr>
    </w:p>
  </w:endnote>
  <w:endnote w:type="continuationSeparator" w:id="0">
    <w:p w14:paraId="5B6FABAC" w14:textId="77777777" w:rsidR="003D1D20" w:rsidRDefault="003D1D20">
      <w:r>
        <w:t xml:space="preserve"> </w:t>
      </w:r>
    </w:p>
  </w:endnote>
  <w:endnote w:type="continuationNotice" w:id="1">
    <w:p w14:paraId="08C74E0D" w14:textId="77777777" w:rsidR="003D1D20" w:rsidRDefault="003D1D2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49605" w14:textId="77777777" w:rsidR="00FB0965" w:rsidRDefault="00FB09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394503"/>
      <w:docPartObj>
        <w:docPartGallery w:val="Page Numbers (Bottom of Page)"/>
        <w:docPartUnique/>
      </w:docPartObj>
    </w:sdtPr>
    <w:sdtEndPr>
      <w:rPr>
        <w:noProof/>
      </w:rPr>
    </w:sdtEndPr>
    <w:sdtContent>
      <w:p w14:paraId="050C7220" w14:textId="77777777" w:rsidR="00EE2E1F" w:rsidRDefault="00EE2E1F">
        <w:pPr>
          <w:pStyle w:val="Footer"/>
          <w:jc w:val="center"/>
        </w:pPr>
        <w:r>
          <w:fldChar w:fldCharType="begin"/>
        </w:r>
        <w:r>
          <w:instrText xml:space="preserve"> PAGE   \* MERGEFORMAT </w:instrText>
        </w:r>
        <w:r>
          <w:fldChar w:fldCharType="separate"/>
        </w:r>
        <w:r w:rsidR="006941E8">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4027A" w14:textId="77777777" w:rsidR="00EE2E1F" w:rsidRDefault="00EE2E1F">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323227"/>
      <w:docPartObj>
        <w:docPartGallery w:val="Page Numbers (Bottom of Page)"/>
        <w:docPartUnique/>
      </w:docPartObj>
    </w:sdtPr>
    <w:sdtEndPr>
      <w:rPr>
        <w:noProof/>
      </w:rPr>
    </w:sdtEndPr>
    <w:sdtContent>
      <w:p w14:paraId="0BF54BD5" w14:textId="77777777" w:rsidR="00EE2E1F" w:rsidRPr="007120EC" w:rsidRDefault="00EE2E1F" w:rsidP="0046037B">
        <w:pPr>
          <w:pStyle w:val="Footer"/>
          <w:jc w:val="center"/>
        </w:pPr>
        <w:r>
          <w:fldChar w:fldCharType="begin"/>
        </w:r>
        <w:r>
          <w:instrText xml:space="preserve"> PAGE   \* MERGEFORMAT </w:instrText>
        </w:r>
        <w:r>
          <w:fldChar w:fldCharType="separate"/>
        </w:r>
        <w:r w:rsidR="005D2B32">
          <w:rPr>
            <w:noProof/>
          </w:rPr>
          <w:t>84</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254309"/>
      <w:docPartObj>
        <w:docPartGallery w:val="Page Numbers (Bottom of Page)"/>
        <w:docPartUnique/>
      </w:docPartObj>
    </w:sdtPr>
    <w:sdtEndPr>
      <w:rPr>
        <w:noProof/>
      </w:rPr>
    </w:sdtEndPr>
    <w:sdtContent>
      <w:p w14:paraId="0D93EC4A" w14:textId="77777777" w:rsidR="00EE2E1F" w:rsidRPr="007120EC" w:rsidRDefault="00EE2E1F" w:rsidP="004C29B5">
        <w:pPr>
          <w:pStyle w:val="Footer"/>
          <w:jc w:val="center"/>
        </w:pPr>
        <w:r>
          <w:fldChar w:fldCharType="begin"/>
        </w:r>
        <w:r>
          <w:instrText xml:space="preserve"> PAGE   \* MERGEFORMAT </w:instrText>
        </w:r>
        <w:r>
          <w:fldChar w:fldCharType="separate"/>
        </w:r>
        <w:r w:rsidR="005D2B32">
          <w:rPr>
            <w:noProof/>
          </w:rPr>
          <w:t>113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432D8" w14:textId="77777777" w:rsidR="003D1D20" w:rsidRDefault="003D1D20">
      <w:r>
        <w:separator/>
      </w:r>
    </w:p>
  </w:footnote>
  <w:footnote w:type="continuationSeparator" w:id="0">
    <w:p w14:paraId="6D783D24" w14:textId="77777777" w:rsidR="003D1D20" w:rsidRDefault="003D1D20" w:rsidP="00D3755B">
      <w:pPr>
        <w:spacing w:before="120"/>
        <w:rPr>
          <w:sz w:val="20"/>
        </w:rPr>
      </w:pPr>
      <w:r>
        <w:rPr>
          <w:sz w:val="20"/>
        </w:rPr>
        <w:t xml:space="preserve">(Continued from previous page)  </w:t>
      </w:r>
      <w:r>
        <w:rPr>
          <w:sz w:val="20"/>
        </w:rPr>
        <w:separator/>
      </w:r>
    </w:p>
  </w:footnote>
  <w:footnote w:type="continuationNotice" w:id="1">
    <w:p w14:paraId="62C0052B" w14:textId="77777777" w:rsidR="003D1D20" w:rsidRDefault="003D1D20" w:rsidP="00204D6B">
      <w:pPr>
        <w:jc w:val="right"/>
        <w:rPr>
          <w:sz w:val="20"/>
        </w:rPr>
      </w:pPr>
      <w:r>
        <w:rPr>
          <w:sz w:val="20"/>
        </w:rPr>
        <w:t>(continued….)</w:t>
      </w:r>
    </w:p>
  </w:footnote>
  <w:footnote w:id="2">
    <w:p w14:paraId="19AD2018" w14:textId="77777777" w:rsidR="00EE2E1F" w:rsidRPr="00EE2E1F" w:rsidRDefault="00EE2E1F" w:rsidP="00C61E39">
      <w:pPr>
        <w:pStyle w:val="FootnoteText"/>
      </w:pPr>
      <w:r w:rsidRPr="00EE2E1F">
        <w:rPr>
          <w:rStyle w:val="FootnoteReference"/>
        </w:rPr>
        <w:footnoteRef/>
      </w:r>
      <w:r w:rsidRPr="00EE2E1F">
        <w:t xml:space="preserve"> For purposes of this notice, we use the terms “mobile” and “wireless” interchangeably.  These terms do not encompass, for example, cordless telephones such as those using the DECT standard or PBX handsets using Wi-Fi connectivity.</w:t>
      </w:r>
    </w:p>
  </w:footnote>
  <w:footnote w:id="3">
    <w:p w14:paraId="21B4EDEC" w14:textId="6628F85B" w:rsidR="00EE2E1F" w:rsidRPr="00EE2E1F" w:rsidRDefault="00EE2E1F" w:rsidP="00C61E39">
      <w:pPr>
        <w:pStyle w:val="FootnoteText"/>
      </w:pPr>
      <w:r w:rsidRPr="00EE2E1F">
        <w:rPr>
          <w:rStyle w:val="FootnoteReference"/>
        </w:rPr>
        <w:footnoteRef/>
      </w:r>
      <w:r w:rsidRPr="00EE2E1F">
        <w:t xml:space="preserve"> </w:t>
      </w:r>
      <w:r w:rsidRPr="00EE2E1F">
        <w:rPr>
          <w:i/>
        </w:rPr>
        <w:t xml:space="preserve">See </w:t>
      </w:r>
      <w:r w:rsidRPr="00EE2E1F">
        <w:t xml:space="preserve">Letter, John Wright, APCO International (APCO); Charles W. McKee, Sprint Corporation (Sprint); Joan Marsh, AT&amp;T Services, Inc. (AT&amp;T); Kathleen O’Brien Ham, T-Mobile USA, Inc. (T-Mobile); Christy Williams, National Emergency Number Association (NENA); Kathleen Grillo, Verizon Wireless (Verizon), to Marlene H. Dortch, Secretary, Federal Communications Commission, PS Docket No. 07-114 (filed Nov. 18, 2014) (Roadmap Cover Letter), Attachment A, “Roadmap for Improving E911 Location Accuracy” (Roadmap), </w:t>
      </w:r>
      <w:r w:rsidRPr="00EE2E1F">
        <w:rPr>
          <w:i/>
        </w:rPr>
        <w:t xml:space="preserve">available at </w:t>
      </w:r>
      <w:hyperlink r:id="rId1" w:history="1">
        <w:r w:rsidRPr="00EE2E1F">
          <w:rPr>
            <w:rStyle w:val="Hyperlink"/>
          </w:rPr>
          <w:t>http://apps.fcc.gov/ecfs/document/view?id=60000986637</w:t>
        </w:r>
      </w:hyperlink>
      <w:r w:rsidRPr="00EE2E1F">
        <w:rPr>
          <w:rStyle w:val="Hyperlink"/>
          <w:color w:val="auto"/>
          <w:u w:val="none"/>
        </w:rPr>
        <w:t xml:space="preserve"> (last visited Jan. 13, 2015)</w:t>
      </w:r>
      <w:r w:rsidRPr="00EE2E1F">
        <w:t>.</w:t>
      </w:r>
    </w:p>
  </w:footnote>
  <w:footnote w:id="4">
    <w:p w14:paraId="351828DD" w14:textId="7B6FC415" w:rsidR="00EE2E1F" w:rsidRPr="00EE2E1F" w:rsidRDefault="00EE2E1F" w:rsidP="00A0705E">
      <w:pPr>
        <w:pStyle w:val="FootnoteText"/>
      </w:pPr>
      <w:r w:rsidRPr="00EE2E1F">
        <w:rPr>
          <w:rStyle w:val="FootnoteReference"/>
        </w:rPr>
        <w:footnoteRef/>
      </w:r>
      <w:r w:rsidRPr="00EE2E1F">
        <w:t xml:space="preserve"> </w:t>
      </w:r>
      <w:r w:rsidRPr="00EE2E1F">
        <w:rPr>
          <w:i/>
        </w:rPr>
        <w:t>See</w:t>
      </w:r>
      <w:r w:rsidRPr="00EE2E1F">
        <w:t xml:space="preserve"> Competitive Carrier Association </w:t>
      </w:r>
      <w:r w:rsidRPr="00EE2E1F">
        <w:rPr>
          <w:i/>
        </w:rPr>
        <w:t>Ex Parte</w:t>
      </w:r>
      <w:r w:rsidRPr="00EE2E1F">
        <w:t xml:space="preserve"> Letter (filed Jan. 23, 2015) (Parallel Path Cover Letter), and Competitive Carrier Association </w:t>
      </w:r>
      <w:r w:rsidRPr="00EE2E1F">
        <w:rPr>
          <w:i/>
        </w:rPr>
        <w:t>Ex Parte</w:t>
      </w:r>
      <w:r w:rsidRPr="00EE2E1F">
        <w:t xml:space="preserve"> Letter, Attachment “Parallel Path” (filed Jan. 16, 2015) (Parallel Path).</w:t>
      </w:r>
    </w:p>
  </w:footnote>
  <w:footnote w:id="5">
    <w:p w14:paraId="7AE46D9D" w14:textId="64E11B95" w:rsidR="00EE2E1F" w:rsidRPr="00EE2E1F" w:rsidRDefault="00EE2E1F" w:rsidP="00A0705E">
      <w:pPr>
        <w:pStyle w:val="FootnoteText"/>
      </w:pPr>
      <w:r w:rsidRPr="00EE2E1F">
        <w:rPr>
          <w:rStyle w:val="FootnoteReference"/>
        </w:rPr>
        <w:footnoteRef/>
      </w:r>
      <w:r w:rsidRPr="00EE2E1F">
        <w:t xml:space="preserve"> </w:t>
      </w:r>
      <w:r w:rsidRPr="00EE2E1F">
        <w:rPr>
          <w:i/>
        </w:rPr>
        <w:t>See Ex Parte</w:t>
      </w:r>
      <w:r w:rsidRPr="00EE2E1F">
        <w:t xml:space="preserve"> Letter from APCO, AT&amp;T, NENA, T-Mobile, Sprint, and Verizon (filed Jan. 23, 2015); CTIA </w:t>
      </w:r>
      <w:r w:rsidRPr="00EE2E1F">
        <w:rPr>
          <w:i/>
        </w:rPr>
        <w:t>Ex Parte</w:t>
      </w:r>
      <w:r w:rsidRPr="00EE2E1F">
        <w:t xml:space="preserve"> Letter (filed Jan. 23, 2015).</w:t>
      </w:r>
    </w:p>
  </w:footnote>
  <w:footnote w:id="6">
    <w:p w14:paraId="284E1D3E" w14:textId="2AEC2129" w:rsidR="00EE2E1F" w:rsidRPr="00EE2E1F" w:rsidRDefault="00EE2E1F" w:rsidP="00A0705E">
      <w:pPr>
        <w:pStyle w:val="FootnoteText"/>
      </w:pPr>
      <w:r w:rsidRPr="00EE2E1F">
        <w:rPr>
          <w:rStyle w:val="FootnoteReference"/>
        </w:rPr>
        <w:footnoteRef/>
      </w:r>
      <w:r w:rsidRPr="00EE2E1F">
        <w:t xml:space="preserve"> </w:t>
      </w:r>
      <w:r w:rsidRPr="00EE2E1F">
        <w:rPr>
          <w:i/>
        </w:rPr>
        <w:t>See infra</w:t>
      </w:r>
      <w:r w:rsidRPr="00EE2E1F">
        <w:t xml:space="preserve"> Section </w:t>
      </w:r>
      <w:r w:rsidRPr="00EE2E1F">
        <w:fldChar w:fldCharType="begin"/>
      </w:r>
      <w:r w:rsidRPr="00EE2E1F">
        <w:instrText xml:space="preserve"> REF _Ref408922477 \w \h  \* MERGEFORMAT </w:instrText>
      </w:r>
      <w:r w:rsidRPr="00EE2E1F">
        <w:fldChar w:fldCharType="separate"/>
      </w:r>
      <w:r w:rsidR="005E367B">
        <w:t>III.B.2</w:t>
      </w:r>
      <w:r w:rsidRPr="00EE2E1F">
        <w:fldChar w:fldCharType="end"/>
      </w:r>
      <w:r w:rsidRPr="00EE2E1F">
        <w:t xml:space="preserve"> paras. </w:t>
      </w:r>
      <w:r w:rsidRPr="00EE2E1F">
        <w:fldChar w:fldCharType="begin"/>
      </w:r>
      <w:r w:rsidRPr="00EE2E1F">
        <w:instrText xml:space="preserve"> REF _Ref408922499 \r \h  \* MERGEFORMAT </w:instrText>
      </w:r>
      <w:r w:rsidRPr="00EE2E1F">
        <w:fldChar w:fldCharType="separate"/>
      </w:r>
      <w:r w:rsidR="005E367B">
        <w:t>43</w:t>
      </w:r>
      <w:r w:rsidRPr="00EE2E1F">
        <w:fldChar w:fldCharType="end"/>
      </w:r>
      <w:r w:rsidRPr="00EE2E1F">
        <w:t>-</w:t>
      </w:r>
      <w:r w:rsidRPr="00EE2E1F">
        <w:fldChar w:fldCharType="begin"/>
      </w:r>
      <w:r w:rsidRPr="00EE2E1F">
        <w:instrText xml:space="preserve"> REF _Ref408922505 \r \h  \* MERGEFORMAT </w:instrText>
      </w:r>
      <w:r w:rsidRPr="00EE2E1F">
        <w:fldChar w:fldCharType="separate"/>
      </w:r>
      <w:r w:rsidR="005E367B">
        <w:t>44</w:t>
      </w:r>
      <w:r w:rsidRPr="00EE2E1F">
        <w:fldChar w:fldCharType="end"/>
      </w:r>
      <w:r w:rsidRPr="00EE2E1F">
        <w:t>.</w:t>
      </w:r>
    </w:p>
  </w:footnote>
  <w:footnote w:id="7">
    <w:p w14:paraId="334F9936" w14:textId="0F11A5A5" w:rsidR="00EE2E1F" w:rsidRPr="00EE2E1F" w:rsidRDefault="00EE2E1F">
      <w:pPr>
        <w:pStyle w:val="FootnoteText"/>
      </w:pPr>
      <w:r w:rsidRPr="00EE2E1F">
        <w:rPr>
          <w:rStyle w:val="FootnoteReference"/>
        </w:rPr>
        <w:footnoteRef/>
      </w:r>
      <w:r w:rsidRPr="00EE2E1F">
        <w:t xml:space="preserve"> Cellular Market Areas (CMAs) consist of both Metropolitan Statistical Areas (MSAs) and Rural Service Areas (RSAs).  The commitments in the Roadmap Addendum were based on CMAs as defined by 2010 census data.   For purposes of this </w:t>
      </w:r>
      <w:r w:rsidRPr="00EE2E1F">
        <w:rPr>
          <w:i/>
        </w:rPr>
        <w:t>Report and Order</w:t>
      </w:r>
      <w:r w:rsidRPr="00EE2E1F">
        <w:t xml:space="preserve">, CMAs will be delineated based on information from the 2010 Census.  </w:t>
      </w:r>
      <w:r w:rsidRPr="00EE2E1F">
        <w:rPr>
          <w:i/>
        </w:rPr>
        <w:t>See infra</w:t>
      </w:r>
      <w:r w:rsidRPr="00EE2E1F">
        <w:t xml:space="preserve"> Appendix B for a list of the top 50 CMAs.  </w:t>
      </w:r>
    </w:p>
  </w:footnote>
  <w:footnote w:id="8">
    <w:p w14:paraId="2C7E3A04" w14:textId="77777777" w:rsidR="00EE2E1F" w:rsidRPr="00EE2E1F" w:rsidRDefault="00EE2E1F" w:rsidP="00066951">
      <w:pPr>
        <w:pStyle w:val="FootnoteText"/>
      </w:pPr>
      <w:r w:rsidRPr="00EE2E1F">
        <w:rPr>
          <w:rStyle w:val="FootnoteReference"/>
        </w:rPr>
        <w:footnoteRef/>
      </w:r>
      <w:r w:rsidRPr="00EE2E1F">
        <w:t xml:space="preserve"> Wireless E911 Location Accuracy Requirements, </w:t>
      </w:r>
      <w:r w:rsidRPr="00EE2E1F">
        <w:rPr>
          <w:i/>
        </w:rPr>
        <w:t>Third Further Notice of Proposed Rulemaking</w:t>
      </w:r>
      <w:r w:rsidRPr="00EE2E1F">
        <w:t xml:space="preserve">, </w:t>
      </w:r>
      <w:r w:rsidRPr="00EE2E1F">
        <w:rPr>
          <w:color w:val="000000"/>
          <w:shd w:val="clear" w:color="auto" w:fill="FFFFFF"/>
        </w:rPr>
        <w:t>29 FCC Rcd 2374 (2014) (</w:t>
      </w:r>
      <w:r w:rsidRPr="00EE2E1F">
        <w:rPr>
          <w:i/>
          <w:color w:val="000000"/>
          <w:shd w:val="clear" w:color="auto" w:fill="FFFFFF"/>
        </w:rPr>
        <w:t>Third Further Notice</w:t>
      </w:r>
      <w:r w:rsidRPr="00EE2E1F">
        <w:rPr>
          <w:color w:val="000000"/>
          <w:shd w:val="clear" w:color="auto" w:fill="FFFFFF"/>
        </w:rPr>
        <w:t>)</w:t>
      </w:r>
      <w:r w:rsidRPr="00EE2E1F">
        <w:t xml:space="preserve">.  The </w:t>
      </w:r>
      <w:r w:rsidRPr="00EE2E1F">
        <w:rPr>
          <w:i/>
        </w:rPr>
        <w:t>Third Further Notice</w:t>
      </w:r>
      <w:r w:rsidRPr="00EE2E1F">
        <w:t xml:space="preserve"> includes a detailed history of this proceeding, including </w:t>
      </w:r>
      <w:r w:rsidRPr="00EE2E1F">
        <w:rPr>
          <w:i/>
        </w:rPr>
        <w:t xml:space="preserve">inter alia </w:t>
      </w:r>
      <w:r w:rsidRPr="00EE2E1F">
        <w:t>an overview of the regulatory background on E911; certain findings on indoor location accuracy made by Working Group 3 (WG3) of the Communications Security, Reliability, and Interoperability Council (CSRIC); and data on E911 location accuracy and call tracking, in particular regarding an apparent significant decrease in the percentage of wireless 911 calls that were delivering Phase II location information to public safety answering points (PSAPs).</w:t>
      </w:r>
    </w:p>
  </w:footnote>
  <w:footnote w:id="9">
    <w:p w14:paraId="01846693" w14:textId="77777777" w:rsidR="00EE2E1F" w:rsidRPr="00EE2E1F" w:rsidRDefault="00EE2E1F" w:rsidP="00066951">
      <w:pPr>
        <w:pStyle w:val="FootnoteText"/>
      </w:pPr>
      <w:r w:rsidRPr="00EE2E1F">
        <w:rPr>
          <w:rStyle w:val="FootnoteReference"/>
        </w:rPr>
        <w:footnoteRef/>
      </w:r>
      <w:r w:rsidRPr="00EE2E1F">
        <w:t xml:space="preserve"> </w:t>
      </w:r>
      <w:r w:rsidRPr="00EE2E1F">
        <w:rPr>
          <w:i/>
        </w:rPr>
        <w:t xml:space="preserve">Third Further Notice, </w:t>
      </w:r>
      <w:r w:rsidRPr="00EE2E1F">
        <w:t>29 FCC Rcd at 2375-76</w:t>
      </w:r>
      <w:r w:rsidRPr="00EE2E1F">
        <w:rPr>
          <w:i/>
        </w:rPr>
        <w:t xml:space="preserve"> </w:t>
      </w:r>
      <w:r w:rsidRPr="00EE2E1F">
        <w:t>¶ 2.</w:t>
      </w:r>
    </w:p>
  </w:footnote>
  <w:footnote w:id="10">
    <w:p w14:paraId="4F5FD4F1" w14:textId="691B8268" w:rsidR="00EE2E1F" w:rsidRPr="00EE2E1F" w:rsidRDefault="00EE2E1F" w:rsidP="00066951">
      <w:pPr>
        <w:pStyle w:val="FootnoteText"/>
      </w:pPr>
      <w:r w:rsidRPr="00EE2E1F">
        <w:rPr>
          <w:rStyle w:val="FootnoteReference"/>
        </w:rPr>
        <w:footnoteRef/>
      </w:r>
      <w:r w:rsidRPr="00EE2E1F">
        <w:t xml:space="preserve"> </w:t>
      </w:r>
      <w:r w:rsidRPr="00EE2E1F">
        <w:rPr>
          <w:i/>
        </w:rPr>
        <w:t>Id</w:t>
      </w:r>
      <w:r w:rsidRPr="00EE2E1F">
        <w:t>.</w:t>
      </w:r>
    </w:p>
  </w:footnote>
  <w:footnote w:id="11">
    <w:p w14:paraId="2A78FC97" w14:textId="04F2977C" w:rsidR="00EE2E1F" w:rsidRPr="00EE2E1F" w:rsidRDefault="00EE2E1F" w:rsidP="00066951">
      <w:pPr>
        <w:pStyle w:val="FootnoteText"/>
      </w:pPr>
      <w:r w:rsidRPr="00EE2E1F">
        <w:rPr>
          <w:rStyle w:val="FootnoteReference"/>
        </w:rPr>
        <w:footnoteRef/>
      </w:r>
      <w:r w:rsidRPr="00EE2E1F">
        <w:t xml:space="preserve"> </w:t>
      </w:r>
      <w:r w:rsidRPr="00EE2E1F">
        <w:rPr>
          <w:i/>
        </w:rPr>
        <w:t>Id.</w:t>
      </w:r>
      <w:r w:rsidRPr="00EE2E1F">
        <w:t xml:space="preserve"> at 2376</w:t>
      </w:r>
      <w:r w:rsidRPr="00EE2E1F">
        <w:rPr>
          <w:i/>
        </w:rPr>
        <w:t xml:space="preserve"> </w:t>
      </w:r>
      <w:r w:rsidRPr="00EE2E1F">
        <w:t>¶ 4.</w:t>
      </w:r>
    </w:p>
  </w:footnote>
  <w:footnote w:id="12">
    <w:p w14:paraId="7E7F0664" w14:textId="77777777" w:rsidR="00EE2E1F" w:rsidRPr="00EE2E1F" w:rsidRDefault="00EE2E1F" w:rsidP="00066951">
      <w:pPr>
        <w:pStyle w:val="FootnoteText"/>
      </w:pPr>
      <w:r w:rsidRPr="00EE2E1F">
        <w:rPr>
          <w:rStyle w:val="FootnoteReference"/>
        </w:rPr>
        <w:footnoteRef/>
      </w:r>
      <w:r w:rsidRPr="00EE2E1F">
        <w:t xml:space="preserve"> GNSS is a system of satellites that provide autonomous geo-spatial positioning with continuous global coverage; GPS is considered to be the first GNSS system.  GNSS receivers operate primarily in the 1559-1610 MHz Radionavigation Satellite Service (RNSS) allocation.  Other GNSS operations include Russia’s Global Navigation Satellite Systems (GLONASS) system (which is the only globally operational system other than GPS), and the Chinese BeiDou (COMPASS) and European Galileo systems (which are not yet operating globally).</w:t>
      </w:r>
    </w:p>
  </w:footnote>
  <w:footnote w:id="13">
    <w:p w14:paraId="6A252CDA" w14:textId="77777777" w:rsidR="00EE2E1F" w:rsidRPr="00EE2E1F" w:rsidRDefault="00EE2E1F" w:rsidP="00066951">
      <w:pPr>
        <w:pStyle w:val="FootnoteText"/>
      </w:pPr>
      <w:r w:rsidRPr="00EE2E1F">
        <w:rPr>
          <w:rStyle w:val="FootnoteReference"/>
        </w:rPr>
        <w:footnoteRef/>
      </w:r>
      <w:r w:rsidRPr="00EE2E1F">
        <w:t xml:space="preserve"> </w:t>
      </w:r>
      <w:r w:rsidRPr="00EE2E1F">
        <w:rPr>
          <w:i/>
        </w:rPr>
        <w:t xml:space="preserve">Third Further Notice, </w:t>
      </w:r>
      <w:r w:rsidRPr="00EE2E1F">
        <w:t>29 FCC Rcd at 2376</w:t>
      </w:r>
      <w:r w:rsidRPr="00EE2E1F">
        <w:rPr>
          <w:i/>
        </w:rPr>
        <w:t xml:space="preserve"> </w:t>
      </w:r>
      <w:r w:rsidRPr="00EE2E1F">
        <w:t>¶ 4.</w:t>
      </w:r>
    </w:p>
  </w:footnote>
  <w:footnote w:id="14">
    <w:p w14:paraId="2F369138" w14:textId="3D333399" w:rsidR="00EE2E1F" w:rsidRPr="00EE2E1F" w:rsidRDefault="00EE2E1F" w:rsidP="00066951">
      <w:pPr>
        <w:pStyle w:val="FootnoteText"/>
      </w:pPr>
      <w:r w:rsidRPr="00EE2E1F">
        <w:rPr>
          <w:rStyle w:val="FootnoteReference"/>
        </w:rPr>
        <w:footnoteRef/>
      </w:r>
      <w:r w:rsidRPr="00EE2E1F">
        <w:t xml:space="preserve"> </w:t>
      </w:r>
      <w:r w:rsidRPr="00EE2E1F">
        <w:rPr>
          <w:i/>
        </w:rPr>
        <w:t>Id.</w:t>
      </w:r>
      <w:r w:rsidRPr="00EE2E1F" w:rsidDel="006000B5">
        <w:rPr>
          <w:i/>
        </w:rPr>
        <w:t xml:space="preserve"> </w:t>
      </w:r>
      <w:r w:rsidRPr="00EE2E1F">
        <w:t>at 2377</w:t>
      </w:r>
      <w:r w:rsidRPr="00EE2E1F">
        <w:rPr>
          <w:i/>
        </w:rPr>
        <w:t xml:space="preserve"> </w:t>
      </w:r>
      <w:r w:rsidRPr="00EE2E1F">
        <w:t>¶ 6.</w:t>
      </w:r>
    </w:p>
  </w:footnote>
  <w:footnote w:id="15">
    <w:p w14:paraId="5B6DEC01" w14:textId="58BA7636" w:rsidR="00EE2E1F" w:rsidRPr="00EE2E1F" w:rsidRDefault="00EE2E1F" w:rsidP="00066951">
      <w:pPr>
        <w:pStyle w:val="FootnoteText"/>
      </w:pPr>
      <w:r w:rsidRPr="00EE2E1F">
        <w:rPr>
          <w:rStyle w:val="FootnoteReference"/>
        </w:rPr>
        <w:footnoteRef/>
      </w:r>
      <w:r w:rsidRPr="00EE2E1F">
        <w:t xml:space="preserve"> </w:t>
      </w:r>
      <w:r w:rsidRPr="00EE2E1F">
        <w:rPr>
          <w:i/>
        </w:rPr>
        <w:t>Id</w:t>
      </w:r>
      <w:r w:rsidRPr="00EE2E1F">
        <w:t>.</w:t>
      </w:r>
    </w:p>
  </w:footnote>
  <w:footnote w:id="16">
    <w:p w14:paraId="2303DA53" w14:textId="77777777" w:rsidR="00EE2E1F" w:rsidRPr="00EE2E1F" w:rsidRDefault="00EE2E1F" w:rsidP="00066951">
      <w:pPr>
        <w:pStyle w:val="FootnoteText"/>
      </w:pPr>
      <w:r w:rsidRPr="00EE2E1F">
        <w:rPr>
          <w:rStyle w:val="FootnoteReference"/>
        </w:rPr>
        <w:footnoteRef/>
      </w:r>
      <w:r w:rsidRPr="00EE2E1F">
        <w:t xml:space="preserve"> Roadmap Cover Letter at 1. </w:t>
      </w:r>
    </w:p>
  </w:footnote>
  <w:footnote w:id="17">
    <w:p w14:paraId="65DB7492" w14:textId="77777777" w:rsidR="00EE2E1F" w:rsidRPr="00EE2E1F" w:rsidRDefault="00EE2E1F" w:rsidP="00066951">
      <w:pPr>
        <w:pStyle w:val="FootnoteText"/>
      </w:pPr>
      <w:r w:rsidRPr="00EE2E1F">
        <w:rPr>
          <w:rStyle w:val="FootnoteReference"/>
        </w:rPr>
        <w:footnoteRef/>
      </w:r>
      <w:r w:rsidRPr="00EE2E1F">
        <w:t xml:space="preserve"> </w:t>
      </w:r>
      <w:r w:rsidRPr="00EE2E1F">
        <w:rPr>
          <w:i/>
        </w:rPr>
        <w:t>Id.</w:t>
      </w:r>
      <w:r w:rsidRPr="00EE2E1F">
        <w:t xml:space="preserve"> at 2.</w:t>
      </w:r>
    </w:p>
  </w:footnote>
  <w:footnote w:id="18">
    <w:p w14:paraId="2F13FDC0" w14:textId="06D5EF4B" w:rsidR="00EE2E1F" w:rsidRPr="00EE2E1F" w:rsidRDefault="00EE2E1F" w:rsidP="00066951">
      <w:pPr>
        <w:pStyle w:val="FootnoteText"/>
      </w:pPr>
      <w:r w:rsidRPr="00EE2E1F">
        <w:rPr>
          <w:rStyle w:val="FootnoteReference"/>
        </w:rPr>
        <w:footnoteRef/>
      </w:r>
      <w:r w:rsidRPr="00EE2E1F">
        <w:t xml:space="preserve"> Public Safety and Homeland Security Bureau Seeks Comment in the E911 Location Accuracy Proceeding on the Location Accuracy “Roadmap” Submitted by APCO, NENA, and the Four National Wireless Carriers, </w:t>
      </w:r>
      <w:r w:rsidRPr="00EE2E1F">
        <w:rPr>
          <w:i/>
        </w:rPr>
        <w:t>Public Notice</w:t>
      </w:r>
      <w:r w:rsidRPr="00EE2E1F">
        <w:t xml:space="preserve">, PS Docket No. 07-114 (rel. Nov. 20, 2014) (Roadmap PN).  In addition, the Commission has received several thousand e-mail messages from individuals with respect to its proposals and/or the Roadmap.  As noted in Appendix A, these have been incorporated into the record of this docket. </w:t>
      </w:r>
    </w:p>
  </w:footnote>
  <w:footnote w:id="19">
    <w:p w14:paraId="2CFA7A21" w14:textId="7055D44C" w:rsidR="00EE2E1F" w:rsidRPr="00EE2E1F" w:rsidRDefault="00EE2E1F">
      <w:pPr>
        <w:pStyle w:val="FootnoteText"/>
      </w:pPr>
      <w:r w:rsidRPr="00EE2E1F">
        <w:rPr>
          <w:rStyle w:val="FootnoteReference"/>
        </w:rPr>
        <w:footnoteRef/>
      </w:r>
      <w:r w:rsidRPr="00EE2E1F">
        <w:t xml:space="preserve"> </w:t>
      </w:r>
      <w:r w:rsidRPr="00EE2E1F">
        <w:rPr>
          <w:i/>
        </w:rPr>
        <w:t>See</w:t>
      </w:r>
      <w:r w:rsidRPr="00EE2E1F">
        <w:t xml:space="preserve"> Competitive Carrier Association </w:t>
      </w:r>
      <w:r w:rsidRPr="00EE2E1F">
        <w:rPr>
          <w:i/>
        </w:rPr>
        <w:t>Ex Parte</w:t>
      </w:r>
      <w:r w:rsidRPr="00EE2E1F">
        <w:t xml:space="preserve"> Letter, Attachment “Parallel Path” (filed Jan. 16, 2015) and Competitive Carrier Association </w:t>
      </w:r>
      <w:r w:rsidRPr="00EE2E1F">
        <w:rPr>
          <w:i/>
        </w:rPr>
        <w:t>Ex Parte</w:t>
      </w:r>
      <w:r w:rsidRPr="00EE2E1F">
        <w:t xml:space="preserve"> Letter (filed Jan. 23, 2015).</w:t>
      </w:r>
    </w:p>
  </w:footnote>
  <w:footnote w:id="20">
    <w:p w14:paraId="202C137D" w14:textId="60F2C782" w:rsidR="00EE2E1F" w:rsidRPr="00EE2E1F" w:rsidRDefault="00EE2E1F">
      <w:pPr>
        <w:pStyle w:val="FootnoteText"/>
      </w:pPr>
      <w:r w:rsidRPr="00EE2E1F">
        <w:rPr>
          <w:rStyle w:val="FootnoteReference"/>
        </w:rPr>
        <w:footnoteRef/>
      </w:r>
      <w:r w:rsidRPr="00EE2E1F">
        <w:t xml:space="preserve"> </w:t>
      </w:r>
      <w:r w:rsidRPr="00EE2E1F">
        <w:rPr>
          <w:i/>
        </w:rPr>
        <w:t>See</w:t>
      </w:r>
      <w:r w:rsidRPr="00EE2E1F">
        <w:t xml:space="preserve"> AT&amp;T, Sprint, T-Mobile, and Verizon </w:t>
      </w:r>
      <w:r w:rsidRPr="00EE2E1F">
        <w:rPr>
          <w:i/>
        </w:rPr>
        <w:t xml:space="preserve">Ex Parte </w:t>
      </w:r>
      <w:r w:rsidRPr="00EE2E1F">
        <w:t xml:space="preserve">Letter at 3 (“Addendum”) (filed Jan. 21, 2015).  </w:t>
      </w:r>
      <w:r w:rsidRPr="00EE2E1F">
        <w:rPr>
          <w:i/>
        </w:rPr>
        <w:t>See also</w:t>
      </w:r>
      <w:r w:rsidRPr="00EE2E1F">
        <w:t xml:space="preserve"> APCO </w:t>
      </w:r>
      <w:r w:rsidRPr="00EE2E1F">
        <w:rPr>
          <w:i/>
        </w:rPr>
        <w:t>Ex Parte</w:t>
      </w:r>
      <w:r w:rsidRPr="00EE2E1F">
        <w:t xml:space="preserve"> Letter (filed Jan. 21, 2015) and NENA </w:t>
      </w:r>
      <w:r w:rsidRPr="00EE2E1F">
        <w:rPr>
          <w:i/>
        </w:rPr>
        <w:t>Ex Parte</w:t>
      </w:r>
      <w:r w:rsidRPr="00EE2E1F">
        <w:t xml:space="preserve"> Letter (filed Jan. 21, 2015) (both expressing support for the Addendum).  The parties to the Roadmap, after reviewing various comments and </w:t>
      </w:r>
      <w:r w:rsidRPr="00EE2E1F">
        <w:rPr>
          <w:i/>
        </w:rPr>
        <w:t>ex partes</w:t>
      </w:r>
      <w:r w:rsidRPr="00EE2E1F">
        <w:t xml:space="preserve"> filed in this proceeding, and pursuant to consultation with public safety entities, sought to modify certain aspects of the initial Roadmap.  </w:t>
      </w:r>
      <w:r w:rsidRPr="00EE2E1F">
        <w:rPr>
          <w:i/>
        </w:rPr>
        <w:t xml:space="preserve">See also </w:t>
      </w:r>
      <w:r w:rsidRPr="00EE2E1F">
        <w:t xml:space="preserve">APCO, AT&amp;T, CTIA, NENA, Sprint, T-Mobile USA, and Verizon </w:t>
      </w:r>
      <w:r w:rsidRPr="00EE2E1F">
        <w:rPr>
          <w:i/>
        </w:rPr>
        <w:t xml:space="preserve">Ex Parte </w:t>
      </w:r>
      <w:r w:rsidRPr="00EE2E1F">
        <w:t xml:space="preserve">Letter (filed Jan. 23, 2015) (modifying certain aspects of the Addendum).  We refer to the Roadmap, Addendum, and modifications to the Addendum collectively as the “Amended Roadmap.”   </w:t>
      </w:r>
    </w:p>
  </w:footnote>
  <w:footnote w:id="21">
    <w:p w14:paraId="55F47189" w14:textId="77777777" w:rsidR="00EE2E1F" w:rsidRPr="00EE2E1F" w:rsidRDefault="00EE2E1F" w:rsidP="00066951">
      <w:pPr>
        <w:pStyle w:val="FootnoteText"/>
      </w:pPr>
      <w:r w:rsidRPr="00EE2E1F">
        <w:rPr>
          <w:rStyle w:val="FootnoteReference"/>
        </w:rPr>
        <w:footnoteRef/>
      </w:r>
      <w:r w:rsidRPr="00EE2E1F">
        <w:t xml:space="preserve"> </w:t>
      </w:r>
      <w:r w:rsidRPr="00EE2E1F">
        <w:rPr>
          <w:i/>
        </w:rPr>
        <w:t>Third Further Notice</w:t>
      </w:r>
      <w:r w:rsidRPr="00EE2E1F">
        <w:t>, 29 FCC Rcd at 2387</w:t>
      </w:r>
      <w:r w:rsidRPr="00EE2E1F">
        <w:rPr>
          <w:i/>
        </w:rPr>
        <w:t xml:space="preserve"> </w:t>
      </w:r>
      <w:r w:rsidRPr="00EE2E1F">
        <w:t>¶ 29.</w:t>
      </w:r>
    </w:p>
  </w:footnote>
  <w:footnote w:id="22">
    <w:p w14:paraId="1DB4676B" w14:textId="4C00302D" w:rsidR="00EE2E1F" w:rsidRPr="00EE2E1F" w:rsidRDefault="00EE2E1F" w:rsidP="00066951">
      <w:pPr>
        <w:pStyle w:val="FootnoteText"/>
      </w:pPr>
      <w:r w:rsidRPr="00EE2E1F">
        <w:rPr>
          <w:rStyle w:val="FootnoteReference"/>
        </w:rPr>
        <w:footnoteRef/>
      </w:r>
      <w:r w:rsidRPr="00EE2E1F">
        <w:t xml:space="preserve"> </w:t>
      </w:r>
      <w:r w:rsidRPr="00EE2E1F">
        <w:rPr>
          <w:i/>
        </w:rPr>
        <w:t>See generally</w:t>
      </w:r>
      <w:r w:rsidRPr="00EE2E1F">
        <w:t xml:space="preserve"> CSRIC III Working Group 3, Indoor Location Test Bed Report (Mar. 14, 2013), </w:t>
      </w:r>
      <w:r w:rsidRPr="00EE2E1F">
        <w:rPr>
          <w:i/>
        </w:rPr>
        <w:t>available at</w:t>
      </w:r>
      <w:r w:rsidRPr="00EE2E1F">
        <w:t xml:space="preserve"> </w:t>
      </w:r>
      <w:hyperlink r:id="rId2" w:history="1">
        <w:r w:rsidRPr="00EE2E1F">
          <w:rPr>
            <w:rStyle w:val="Hyperlink"/>
          </w:rPr>
          <w:t>http://transition.fcc.gov/bureaus/pshs/advisory/csric3/CSRIC_III_WG3_Report_March_%202013_ILTestBedReport.pdf</w:t>
        </w:r>
      </w:hyperlink>
      <w:r w:rsidRPr="00EE2E1F">
        <w:t xml:space="preserve"> (last visited Jan. 2, 2015) (</w:t>
      </w:r>
      <w:r w:rsidRPr="00EE2E1F">
        <w:rPr>
          <w:i/>
        </w:rPr>
        <w:t>Indoor Location Test Bed Report</w:t>
      </w:r>
      <w:r w:rsidRPr="00EE2E1F">
        <w:t xml:space="preserve">).  </w:t>
      </w:r>
    </w:p>
  </w:footnote>
  <w:footnote w:id="23">
    <w:p w14:paraId="62F82AB9" w14:textId="77777777" w:rsidR="00377196" w:rsidRPr="00EE2E1F" w:rsidRDefault="00377196" w:rsidP="00377196">
      <w:pPr>
        <w:pStyle w:val="FootnoteText"/>
      </w:pPr>
      <w:r w:rsidRPr="00EE2E1F">
        <w:rPr>
          <w:rStyle w:val="FootnoteReference"/>
        </w:rPr>
        <w:footnoteRef/>
      </w:r>
      <w:r w:rsidRPr="00EE2E1F">
        <w:rPr>
          <w:i/>
        </w:rPr>
        <w:t xml:space="preserve"> Third Further Notice</w:t>
      </w:r>
      <w:r w:rsidRPr="00EE2E1F">
        <w:t>, 29 FCC Rcd at 2387 ¶ 30.</w:t>
      </w:r>
    </w:p>
  </w:footnote>
  <w:footnote w:id="24">
    <w:p w14:paraId="658BD5DE" w14:textId="77777777" w:rsidR="00377196" w:rsidRPr="00EE2E1F" w:rsidRDefault="00377196" w:rsidP="00377196">
      <w:pPr>
        <w:pStyle w:val="FootnoteText"/>
      </w:pPr>
      <w:r w:rsidRPr="00EE2E1F">
        <w:rPr>
          <w:rStyle w:val="FootnoteReference"/>
        </w:rPr>
        <w:footnoteRef/>
      </w:r>
      <w:r w:rsidRPr="00EE2E1F">
        <w:t xml:space="preserve"> </w:t>
      </w:r>
      <w:r w:rsidRPr="00EE2E1F">
        <w:rPr>
          <w:i/>
        </w:rPr>
        <w:t>Id</w:t>
      </w:r>
      <w:r w:rsidRPr="00EE2E1F">
        <w:t>.</w:t>
      </w:r>
    </w:p>
  </w:footnote>
  <w:footnote w:id="25">
    <w:p w14:paraId="40989D9C" w14:textId="77777777" w:rsidR="00377196" w:rsidRPr="00EE2E1F" w:rsidRDefault="00377196" w:rsidP="00377196">
      <w:pPr>
        <w:pStyle w:val="FootnoteText"/>
      </w:pPr>
      <w:r w:rsidRPr="00EE2E1F">
        <w:rPr>
          <w:rStyle w:val="FootnoteReference"/>
        </w:rPr>
        <w:footnoteRef/>
      </w:r>
      <w:r w:rsidRPr="00EE2E1F">
        <w:t xml:space="preserve"> </w:t>
      </w:r>
      <w:r w:rsidRPr="00EE2E1F">
        <w:rPr>
          <w:i/>
        </w:rPr>
        <w:t>Id</w:t>
      </w:r>
      <w:r w:rsidRPr="00EE2E1F">
        <w:t>.</w:t>
      </w:r>
    </w:p>
  </w:footnote>
  <w:footnote w:id="26">
    <w:p w14:paraId="39E33C18" w14:textId="77777777" w:rsidR="00377196" w:rsidRPr="00EE2E1F" w:rsidRDefault="00377196" w:rsidP="00377196">
      <w:pPr>
        <w:pStyle w:val="FootnoteText"/>
      </w:pPr>
      <w:r w:rsidRPr="00EE2E1F">
        <w:rPr>
          <w:rStyle w:val="FootnoteReference"/>
        </w:rPr>
        <w:footnoteRef/>
      </w:r>
      <w:r w:rsidRPr="00EE2E1F">
        <w:t xml:space="preserve"> APCO Comments at 1.  </w:t>
      </w:r>
      <w:r w:rsidRPr="00EE2E1F">
        <w:rPr>
          <w:i/>
        </w:rPr>
        <w:t>See also</w:t>
      </w:r>
      <w:r w:rsidRPr="00EE2E1F">
        <w:t xml:space="preserve"> IAFC Comments at 1;</w:t>
      </w:r>
      <w:r w:rsidRPr="00EE2E1F">
        <w:rPr>
          <w:i/>
        </w:rPr>
        <w:t xml:space="preserve"> </w:t>
      </w:r>
      <w:r w:rsidRPr="00EE2E1F">
        <w:t>NENA Comments at 13 (“NENA’s members report that more than 80% of 9-1-1 calls in many jurisdictions now come from wireless devices, and that a large-but-difficult-to-quantify fraction of those calls come from indoors . . . More than 40% of U.S. households are now wireless-only, and that fraction will continue to grow.”);</w:t>
      </w:r>
      <w:r w:rsidRPr="00EE2E1F">
        <w:rPr>
          <w:snapToGrid w:val="0"/>
          <w:kern w:val="28"/>
        </w:rPr>
        <w:t xml:space="preserve"> </w:t>
      </w:r>
      <w:r w:rsidRPr="00EE2E1F">
        <w:t>FindMe911 Reply Comments at 4 (stating that 64 percent of wireless calls to 911 are made from inside buildings).</w:t>
      </w:r>
    </w:p>
  </w:footnote>
  <w:footnote w:id="27">
    <w:p w14:paraId="5D853710" w14:textId="77777777" w:rsidR="00377196" w:rsidRPr="00EE2E1F" w:rsidRDefault="00377196" w:rsidP="00377196">
      <w:pPr>
        <w:pStyle w:val="FootnoteText"/>
      </w:pPr>
      <w:r w:rsidRPr="00EE2E1F">
        <w:rPr>
          <w:rStyle w:val="FootnoteReference"/>
        </w:rPr>
        <w:footnoteRef/>
      </w:r>
      <w:r w:rsidRPr="00EE2E1F">
        <w:t xml:space="preserve"> </w:t>
      </w:r>
      <w:r w:rsidRPr="00EE2E1F">
        <w:rPr>
          <w:i/>
        </w:rPr>
        <w:t>Third Further Notice</w:t>
      </w:r>
      <w:r w:rsidRPr="00EE2E1F">
        <w:t>,</w:t>
      </w:r>
      <w:r w:rsidRPr="00EE2E1F">
        <w:rPr>
          <w:i/>
        </w:rPr>
        <w:t xml:space="preserve"> </w:t>
      </w:r>
      <w:r w:rsidRPr="00EE2E1F">
        <w:t>29 FCC Rcd at 2387 ¶ 31.</w:t>
      </w:r>
    </w:p>
  </w:footnote>
  <w:footnote w:id="28">
    <w:p w14:paraId="5A9E528D" w14:textId="77777777" w:rsidR="00377196" w:rsidRPr="00EE2E1F" w:rsidRDefault="00377196" w:rsidP="00377196">
      <w:pPr>
        <w:pStyle w:val="FootnoteText"/>
      </w:pPr>
      <w:r w:rsidRPr="00EE2E1F">
        <w:rPr>
          <w:rStyle w:val="FootnoteReference"/>
        </w:rPr>
        <w:footnoteRef/>
      </w:r>
      <w:r w:rsidRPr="00EE2E1F">
        <w:t xml:space="preserve"> APCO Comments at 2; </w:t>
      </w:r>
      <w:r w:rsidRPr="00EE2E1F">
        <w:rPr>
          <w:i/>
        </w:rPr>
        <w:t xml:space="preserve">see also </w:t>
      </w:r>
      <w:r w:rsidRPr="00EE2E1F">
        <w:t>IACP Comments at 1; FindMe911 Survey at 4-5 (stating that 82 percent of 911 professionals said that “they do not have a great deal of confidence in location information provided by carriers, and 54 [percent] said that the latitude and longitude data provided by carriers is ‘regularly’ inaccurate.”).</w:t>
      </w:r>
    </w:p>
  </w:footnote>
  <w:footnote w:id="29">
    <w:p w14:paraId="06D1E117" w14:textId="77777777" w:rsidR="00377196" w:rsidRPr="00EE2E1F" w:rsidRDefault="00377196" w:rsidP="00377196">
      <w:pPr>
        <w:pStyle w:val="FootnoteText"/>
      </w:pPr>
      <w:r w:rsidRPr="00EE2E1F">
        <w:rPr>
          <w:rStyle w:val="FootnoteReference"/>
        </w:rPr>
        <w:footnoteRef/>
      </w:r>
      <w:r w:rsidRPr="00EE2E1F">
        <w:t xml:space="preserve"> DEMSF Comments at 2; </w:t>
      </w:r>
      <w:r w:rsidRPr="00EE2E1F">
        <w:rPr>
          <w:i/>
        </w:rPr>
        <w:t xml:space="preserve">see also </w:t>
      </w:r>
      <w:r w:rsidRPr="00EE2E1F">
        <w:t>NENA Comments at 13 (stating that “[t]his trend must be reversed to ensure that 9-1-1 centers can locate callers in need, regardless of the location from which their call originates”).</w:t>
      </w:r>
    </w:p>
  </w:footnote>
  <w:footnote w:id="30">
    <w:p w14:paraId="3CB4D81E" w14:textId="77777777" w:rsidR="00377196" w:rsidRPr="00EE2E1F" w:rsidRDefault="00377196" w:rsidP="00377196">
      <w:pPr>
        <w:pStyle w:val="FootnoteText"/>
      </w:pPr>
      <w:r w:rsidRPr="00EE2E1F">
        <w:rPr>
          <w:rStyle w:val="FootnoteReference"/>
        </w:rPr>
        <w:footnoteRef/>
      </w:r>
      <w:r w:rsidRPr="00EE2E1F">
        <w:t xml:space="preserve"> </w:t>
      </w:r>
      <w:r w:rsidRPr="00EE2E1F">
        <w:rPr>
          <w:i/>
        </w:rPr>
        <w:t xml:space="preserve">See </w:t>
      </w:r>
      <w:r w:rsidRPr="00EE2E1F">
        <w:t>APCO Comments at 2 (“location information is especially important for indoor calls to [911], as the emergency . . . may not be visible to first responders arriving at the approximate address.”); IACP Comments at 2 (stating that improved indoor location accuracy will help incident command to know the location of their firefighters and policemen in burning buildings or where criminal incidents are occurring).</w:t>
      </w:r>
    </w:p>
  </w:footnote>
  <w:footnote w:id="31">
    <w:p w14:paraId="00D3C98C" w14:textId="77777777" w:rsidR="00377196" w:rsidRPr="00EE2E1F" w:rsidRDefault="00377196" w:rsidP="00377196">
      <w:pPr>
        <w:pStyle w:val="FootnoteText"/>
        <w:rPr>
          <w:color w:val="000000"/>
        </w:rPr>
      </w:pPr>
      <w:r w:rsidRPr="00EE2E1F">
        <w:rPr>
          <w:rStyle w:val="FootnoteReference"/>
          <w:color w:val="000000"/>
        </w:rPr>
        <w:footnoteRef/>
      </w:r>
      <w:r w:rsidRPr="00EE2E1F">
        <w:rPr>
          <w:i/>
          <w:color w:val="000000"/>
        </w:rPr>
        <w:t xml:space="preserve"> See </w:t>
      </w:r>
      <w:r w:rsidRPr="00EE2E1F">
        <w:rPr>
          <w:color w:val="000000"/>
        </w:rPr>
        <w:t xml:space="preserve">Revision of the Commission’s Rules to Ensure Compatibility with Enhanced 911 Emergency Calling Systems, CC Docket No. 94-102, </w:t>
      </w:r>
      <w:r w:rsidRPr="00EE2E1F">
        <w:rPr>
          <w:i/>
          <w:color w:val="000000"/>
        </w:rPr>
        <w:t xml:space="preserve">Report and Order and Further Notice of Proposed Rulemaking, </w:t>
      </w:r>
      <w:r w:rsidRPr="00EE2E1F">
        <w:rPr>
          <w:color w:val="000000"/>
        </w:rPr>
        <w:t>11 FCC Rcd 18676, 18680, ¶ 6 (1996)</w:t>
      </w:r>
      <w:r w:rsidRPr="00EE2E1F">
        <w:rPr>
          <w:rFonts w:eastAsiaTheme="minorHAnsi"/>
          <w:color w:val="545454"/>
          <w:shd w:val="clear" w:color="auto" w:fill="FFFFFF"/>
        </w:rPr>
        <w:t xml:space="preserve"> </w:t>
      </w:r>
      <w:r w:rsidRPr="00EE2E1F">
        <w:rPr>
          <w:color w:val="000000"/>
        </w:rPr>
        <w:t>(</w:t>
      </w:r>
      <w:r w:rsidRPr="00EE2E1F">
        <w:rPr>
          <w:i/>
          <w:color w:val="000000"/>
        </w:rPr>
        <w:t>First E911 Report and Order</w:t>
      </w:r>
      <w:r w:rsidRPr="00EE2E1F">
        <w:rPr>
          <w:color w:val="000000"/>
        </w:rPr>
        <w:t>).</w:t>
      </w:r>
    </w:p>
  </w:footnote>
  <w:footnote w:id="32">
    <w:p w14:paraId="57E7C0BF" w14:textId="25B90D9E" w:rsidR="00377196" w:rsidRPr="00EE2E1F" w:rsidRDefault="00377196" w:rsidP="00377196">
      <w:pPr>
        <w:pStyle w:val="FootnoteText"/>
        <w:rPr>
          <w:color w:val="000000"/>
        </w:rPr>
      </w:pPr>
      <w:r w:rsidRPr="00EE2E1F">
        <w:rPr>
          <w:rStyle w:val="FootnoteReference"/>
          <w:color w:val="000000"/>
        </w:rPr>
        <w:footnoteRef/>
      </w:r>
      <w:r w:rsidRPr="00EE2E1F">
        <w:rPr>
          <w:color w:val="000000"/>
        </w:rPr>
        <w:t xml:space="preserve"> </w:t>
      </w:r>
      <w:r w:rsidRPr="00EE2E1F">
        <w:rPr>
          <w:i/>
          <w:color w:val="000000"/>
        </w:rPr>
        <w:t xml:space="preserve">See </w:t>
      </w:r>
      <w:r w:rsidRPr="00EE2E1F">
        <w:rPr>
          <w:color w:val="000000"/>
        </w:rPr>
        <w:t xml:space="preserve">CTIA, Annual Wireless Survey, </w:t>
      </w:r>
      <w:r w:rsidRPr="00EE2E1F">
        <w:rPr>
          <w:i/>
          <w:color w:val="000000"/>
        </w:rPr>
        <w:t xml:space="preserve">available at </w:t>
      </w:r>
      <w:hyperlink r:id="rId3" w:history="1">
        <w:r w:rsidRPr="00EE2E1F">
          <w:rPr>
            <w:rStyle w:val="Hyperlink"/>
          </w:rPr>
          <w:t>http://www.ctia.org/your-wireless-life/how-wireless-works/annual-wireless-industry-survey</w:t>
        </w:r>
      </w:hyperlink>
      <w:r w:rsidRPr="00EE2E1F">
        <w:t xml:space="preserve"> </w:t>
      </w:r>
      <w:r w:rsidRPr="00EE2E1F">
        <w:rPr>
          <w:color w:val="000000"/>
        </w:rPr>
        <w:t xml:space="preserve">(last visited Jan. 13, 2015).  The Commission’s sixteenth annual report on the state of competition in the mobile services marketplace, released in March 2013, estimated that the “total number of mobile wireless connections now exceeds the total U.S. population.”  </w:t>
      </w:r>
      <w:r w:rsidRPr="00EE2E1F">
        <w:rPr>
          <w:i/>
          <w:color w:val="000000"/>
        </w:rPr>
        <w:t xml:space="preserve">See </w:t>
      </w:r>
      <w:r w:rsidRPr="00EE2E1F">
        <w:rPr>
          <w:color w:val="000000"/>
          <w:lang w:eastAsia="ja-JP"/>
        </w:rPr>
        <w:t xml:space="preserve">Implementation of Section 6002(b) of the Omnibus Budget Reconciliation Act of 1993; Annual Report and Analysis of Competitive Market Conditions With Respect to Mobile Wireless, Including Commercial Mobile Services, WT Docket No. 11-186, </w:t>
      </w:r>
      <w:r w:rsidRPr="00EE2E1F">
        <w:rPr>
          <w:i/>
          <w:color w:val="000000"/>
          <w:lang w:eastAsia="ja-JP"/>
        </w:rPr>
        <w:t>Sixteenth Report</w:t>
      </w:r>
      <w:r w:rsidRPr="00EE2E1F">
        <w:rPr>
          <w:color w:val="000000"/>
          <w:lang w:eastAsia="ja-JP"/>
        </w:rPr>
        <w:t xml:space="preserve">, </w:t>
      </w:r>
      <w:r w:rsidRPr="00EE2E1F">
        <w:rPr>
          <w:color w:val="000000"/>
        </w:rPr>
        <w:t xml:space="preserve">28 FCC Rcd 3700, 3854 ¶ 244 (2013).  The Commission based this estimate on </w:t>
      </w:r>
      <w:r w:rsidRPr="00EE2E1F">
        <w:rPr>
          <w:bCs/>
          <w:iCs/>
          <w:color w:val="000000"/>
        </w:rPr>
        <w:t xml:space="preserve">year-end 2010 and year-end 2011 </w:t>
      </w:r>
      <w:r w:rsidRPr="00EE2E1F">
        <w:rPr>
          <w:color w:val="000000"/>
        </w:rPr>
        <w:t xml:space="preserve">Numbering Resource Utilization Forecast (NRUF) </w:t>
      </w:r>
      <w:r w:rsidRPr="00EE2E1F">
        <w:rPr>
          <w:bCs/>
          <w:iCs/>
          <w:color w:val="000000"/>
        </w:rPr>
        <w:t>filings</w:t>
      </w:r>
      <w:r w:rsidRPr="00EE2E1F">
        <w:rPr>
          <w:bCs/>
          <w:color w:val="000000"/>
        </w:rPr>
        <w:t>,</w:t>
      </w:r>
      <w:r w:rsidRPr="00EE2E1F">
        <w:rPr>
          <w:bCs/>
          <w:i/>
          <w:iCs/>
          <w:color w:val="000000"/>
        </w:rPr>
        <w:t xml:space="preserve"> </w:t>
      </w:r>
      <w:r w:rsidRPr="00EE2E1F">
        <w:rPr>
          <w:bCs/>
          <w:color w:val="000000"/>
        </w:rPr>
        <w:t>adjusted for porting,</w:t>
      </w:r>
      <w:r w:rsidRPr="00EE2E1F">
        <w:rPr>
          <w:color w:val="000000"/>
        </w:rPr>
        <w:t xml:space="preserve"> and CTIA’s Year-End 2011 Wireless Indices Report.  </w:t>
      </w:r>
      <w:r w:rsidRPr="00EE2E1F">
        <w:rPr>
          <w:i/>
          <w:color w:val="000000"/>
        </w:rPr>
        <w:t>Id</w:t>
      </w:r>
      <w:r w:rsidRPr="00EE2E1F">
        <w:rPr>
          <w:color w:val="000000"/>
        </w:rPr>
        <w:t xml:space="preserve">. at 3854-55 ¶ 244.  “Mobile Wireless Connections” refers to the number of connected devices rather than the number of individual subscribers.  </w:t>
      </w:r>
      <w:r w:rsidRPr="00EE2E1F">
        <w:rPr>
          <w:i/>
          <w:color w:val="000000"/>
        </w:rPr>
        <w:t xml:space="preserve">Id. </w:t>
      </w:r>
      <w:r w:rsidRPr="00EE2E1F">
        <w:rPr>
          <w:color w:val="000000"/>
        </w:rPr>
        <w:t>at 3708 ¶ 2.</w:t>
      </w:r>
    </w:p>
  </w:footnote>
  <w:footnote w:id="33">
    <w:p w14:paraId="70DA44C3" w14:textId="7FCBAA78" w:rsidR="00377196" w:rsidRPr="00EE2E1F" w:rsidRDefault="00377196" w:rsidP="00377196">
      <w:pPr>
        <w:pStyle w:val="FootnoteText"/>
        <w:rPr>
          <w:color w:val="000000"/>
        </w:rPr>
      </w:pPr>
      <w:r w:rsidRPr="00EE2E1F">
        <w:rPr>
          <w:rStyle w:val="FootnoteReference"/>
          <w:color w:val="000000"/>
        </w:rPr>
        <w:footnoteRef/>
      </w:r>
      <w:r w:rsidRPr="00EE2E1F">
        <w:rPr>
          <w:color w:val="000000"/>
        </w:rPr>
        <w:t xml:space="preserve"> </w:t>
      </w:r>
      <w:r w:rsidRPr="00EE2E1F">
        <w:rPr>
          <w:i/>
          <w:color w:val="000000"/>
        </w:rPr>
        <w:t xml:space="preserve">See </w:t>
      </w:r>
      <w:r w:rsidRPr="00EE2E1F">
        <w:rPr>
          <w:color w:val="000000"/>
        </w:rPr>
        <w:t xml:space="preserve">CTIA, Wireless Quick Facts, </w:t>
      </w:r>
      <w:r w:rsidRPr="00EE2E1F">
        <w:rPr>
          <w:i/>
          <w:color w:val="000000"/>
        </w:rPr>
        <w:t>available at</w:t>
      </w:r>
      <w:r w:rsidRPr="00EE2E1F">
        <w:rPr>
          <w:color w:val="000000"/>
        </w:rPr>
        <w:t xml:space="preserve"> </w:t>
      </w:r>
      <w:hyperlink r:id="rId4" w:history="1">
        <w:r w:rsidRPr="00EE2E1F">
          <w:rPr>
            <w:rStyle w:val="Hyperlink"/>
          </w:rPr>
          <w:t>http://www.ctia.org/your-wireless-life/how-wireless-works/wireless-quick-facts</w:t>
        </w:r>
      </w:hyperlink>
      <w:r w:rsidRPr="00EE2E1F">
        <w:rPr>
          <w:color w:val="000000"/>
        </w:rPr>
        <w:t xml:space="preserve"> (last visited Jan. 13, 2015) (</w:t>
      </w:r>
      <w:r w:rsidRPr="00EE2E1F">
        <w:rPr>
          <w:i/>
          <w:color w:val="000000"/>
        </w:rPr>
        <w:t>CTIA Wireless Quick Facts)</w:t>
      </w:r>
      <w:r w:rsidRPr="00EE2E1F">
        <w:rPr>
          <w:color w:val="000000"/>
        </w:rPr>
        <w:t xml:space="preserve">. </w:t>
      </w:r>
    </w:p>
  </w:footnote>
  <w:footnote w:id="34">
    <w:p w14:paraId="008CEF4B" w14:textId="0CDD9ED6" w:rsidR="00377196" w:rsidRPr="00EE2E1F" w:rsidRDefault="00377196" w:rsidP="00377196">
      <w:pPr>
        <w:pStyle w:val="FootnoteText"/>
        <w:rPr>
          <w:color w:val="000000"/>
        </w:rPr>
      </w:pPr>
      <w:r w:rsidRPr="00EE2E1F">
        <w:rPr>
          <w:rStyle w:val="FootnoteReference"/>
          <w:color w:val="000000"/>
        </w:rPr>
        <w:footnoteRef/>
      </w:r>
      <w:r w:rsidRPr="00EE2E1F">
        <w:rPr>
          <w:color w:val="000000"/>
        </w:rPr>
        <w:t xml:space="preserve"> </w:t>
      </w:r>
      <w:r w:rsidRPr="00EE2E1F">
        <w:rPr>
          <w:i/>
          <w:color w:val="000000"/>
        </w:rPr>
        <w:t xml:space="preserve">See </w:t>
      </w:r>
      <w:r w:rsidRPr="00EE2E1F">
        <w:rPr>
          <w:color w:val="000000"/>
        </w:rPr>
        <w:t xml:space="preserve">Blumberg, Stephen &amp; Luke, Julian, Center for Disease Control National Center for Health Statistics, “Wireless Substitution: Early Release of Estimates from the National Health Interview Survey, January- June 2014,” at 2, </w:t>
      </w:r>
      <w:r w:rsidRPr="00EE2E1F">
        <w:rPr>
          <w:i/>
          <w:color w:val="000000"/>
        </w:rPr>
        <w:t xml:space="preserve">available at </w:t>
      </w:r>
      <w:hyperlink r:id="rId5" w:history="1">
        <w:r w:rsidRPr="00EE2E1F">
          <w:rPr>
            <w:rStyle w:val="Hyperlink"/>
          </w:rPr>
          <w:t>http://www.cdc.gov/nchs/data/nhis/earlyrelease/wireless201412.pdf</w:t>
        </w:r>
      </w:hyperlink>
      <w:r w:rsidRPr="00EE2E1F">
        <w:t xml:space="preserve"> </w:t>
      </w:r>
      <w:r w:rsidRPr="00EE2E1F">
        <w:rPr>
          <w:color w:val="000000"/>
        </w:rPr>
        <w:t>(last visited Dec. 30, 2014) (</w:t>
      </w:r>
      <w:r w:rsidRPr="00EE2E1F">
        <w:rPr>
          <w:i/>
          <w:color w:val="000000"/>
        </w:rPr>
        <w:t>CDC Wireless Substitution Survey</w:t>
      </w:r>
      <w:r w:rsidRPr="00EE2E1F">
        <w:rPr>
          <w:color w:val="000000"/>
        </w:rPr>
        <w:t xml:space="preserve">). </w:t>
      </w:r>
    </w:p>
  </w:footnote>
  <w:footnote w:id="35">
    <w:p w14:paraId="39C4CCDD" w14:textId="77777777" w:rsidR="00377196" w:rsidRPr="00EE2E1F" w:rsidRDefault="00377196" w:rsidP="00377196">
      <w:pPr>
        <w:pStyle w:val="FootnoteText"/>
        <w:rPr>
          <w:color w:val="000000"/>
        </w:rPr>
      </w:pPr>
      <w:r w:rsidRPr="00EE2E1F">
        <w:rPr>
          <w:rStyle w:val="FootnoteReference"/>
          <w:color w:val="000000"/>
        </w:rPr>
        <w:footnoteRef/>
      </w:r>
      <w:r w:rsidRPr="00EE2E1F">
        <w:rPr>
          <w:color w:val="000000"/>
        </w:rPr>
        <w:t xml:space="preserve"> </w:t>
      </w:r>
      <w:r w:rsidRPr="00EE2E1F">
        <w:rPr>
          <w:i/>
          <w:color w:val="000000"/>
        </w:rPr>
        <w:t>CDC Wireless Substitution Survey</w:t>
      </w:r>
      <w:r w:rsidRPr="00EE2E1F" w:rsidDel="00A62B67">
        <w:rPr>
          <w:i/>
          <w:color w:val="000000"/>
        </w:rPr>
        <w:t xml:space="preserve"> </w:t>
      </w:r>
      <w:r w:rsidRPr="00EE2E1F">
        <w:rPr>
          <w:color w:val="000000"/>
        </w:rPr>
        <w:t xml:space="preserve">at 2 (reporting that by the second half of 2014, 59.1 percent of adults living in poverty live in wireless-only homes, and 50.8 percent of adults living near poverty live in wireless-only homes, as compared to 40.8 percent of higher income adults.  Also, more than two-thirds of adults aged 25-29 (69.3 percent) lived in wireless-only households.  For adults aged 18–24 the rate was 57.8 percent and for adults aged 30–34, the rate was 64.9 percent). </w:t>
      </w:r>
    </w:p>
  </w:footnote>
  <w:footnote w:id="36">
    <w:p w14:paraId="4DF4121A" w14:textId="62214928" w:rsidR="00377196" w:rsidRPr="00EE2E1F" w:rsidRDefault="00377196" w:rsidP="00377196">
      <w:pPr>
        <w:pStyle w:val="FootnoteText"/>
      </w:pPr>
      <w:r w:rsidRPr="00EE2E1F">
        <w:rPr>
          <w:rStyle w:val="FootnoteReference"/>
        </w:rPr>
        <w:footnoteRef/>
      </w:r>
      <w:r w:rsidRPr="00EE2E1F">
        <w:t xml:space="preserve"> </w:t>
      </w:r>
      <w:r w:rsidRPr="00EE2E1F">
        <w:rPr>
          <w:i/>
        </w:rPr>
        <w:t>See, e.g.</w:t>
      </w:r>
      <w:r w:rsidRPr="00EE2E1F">
        <w:t>,</w:t>
      </w:r>
      <w:r w:rsidRPr="00EE2E1F">
        <w:rPr>
          <w:i/>
        </w:rPr>
        <w:t xml:space="preserve"> </w:t>
      </w:r>
      <w:r w:rsidRPr="00EE2E1F">
        <w:t>Verizon Wireless, Verizon Wireless Home Phone Connect (“Home Phone Connect offers… a reliable, portable, low-cost alternative to traditional home phone service using the Verizon Wireless Network all while keeping your same number and home phone.</w:t>
      </w:r>
      <w:r w:rsidRPr="00EE2E1F" w:rsidDel="002406C7">
        <w:t>”</w:t>
      </w:r>
      <w:r w:rsidRPr="00EE2E1F">
        <w:t xml:space="preserve">), </w:t>
      </w:r>
      <w:r w:rsidRPr="00EE2E1F">
        <w:rPr>
          <w:i/>
        </w:rPr>
        <w:t xml:space="preserve">available at </w:t>
      </w:r>
      <w:hyperlink r:id="rId6" w:history="1">
        <w:r w:rsidRPr="00EE2E1F">
          <w:rPr>
            <w:rStyle w:val="Hyperlink"/>
            <w:rFonts w:eastAsia="MS Gothic"/>
          </w:rPr>
          <w:t>http://www.verizonwireless.com/b2c/device/home-phone-connect</w:t>
        </w:r>
      </w:hyperlink>
      <w:r w:rsidRPr="00EE2E1F">
        <w:rPr>
          <w:rFonts w:eastAsia="MS Gothic"/>
        </w:rPr>
        <w:t xml:space="preserve"> </w:t>
      </w:r>
      <w:r w:rsidRPr="00EE2E1F">
        <w:t xml:space="preserve">(last visited Dec. 1, 2014); AT&amp;T, AT&amp;T Wireless Home Phone (“Now you can connect the home telephone you already have to the AT&amp;T wireless network.”), </w:t>
      </w:r>
      <w:r w:rsidRPr="00EE2E1F">
        <w:rPr>
          <w:i/>
        </w:rPr>
        <w:t xml:space="preserve">available at </w:t>
      </w:r>
      <w:hyperlink r:id="rId7" w:history="1">
        <w:r w:rsidRPr="00EE2E1F">
          <w:rPr>
            <w:rStyle w:val="Hyperlink"/>
            <w:rFonts w:eastAsia="MS Gothic"/>
          </w:rPr>
          <w:t>http://www.att.com/shop/wireless/devices/att/wireless-home-phone-silver.html#fbid=BT-M86RbotW</w:t>
        </w:r>
      </w:hyperlink>
      <w:r w:rsidRPr="00EE2E1F">
        <w:rPr>
          <w:rFonts w:eastAsia="MS Gothic"/>
        </w:rPr>
        <w:t xml:space="preserve"> </w:t>
      </w:r>
      <w:r w:rsidRPr="00EE2E1F">
        <w:t xml:space="preserve">(last visited Dec. 1, 2014); Sprint Nextel, Sprint Phone Connect, (“Replace your current landline or digital phone service with unlimited Sprint phone service at your home or office.”) </w:t>
      </w:r>
      <w:r w:rsidRPr="00EE2E1F">
        <w:rPr>
          <w:i/>
        </w:rPr>
        <w:t xml:space="preserve">available at </w:t>
      </w:r>
      <w:hyperlink r:id="rId8" w:history="1">
        <w:r w:rsidRPr="00EE2E1F">
          <w:rPr>
            <w:rStyle w:val="Hyperlink"/>
            <w:rFonts w:eastAsia="MS Gothic"/>
          </w:rPr>
          <w:t>http://shop.sprint.com/mysprint/shop/plan_details.jsp?tabId=plnTab4410001&amp;planCatId=pln590002cat&amp;planFamilyType=&amp;flow=AAL</w:t>
        </w:r>
      </w:hyperlink>
      <w:r w:rsidRPr="00EE2E1F">
        <w:rPr>
          <w:rFonts w:eastAsia="MS Gothic"/>
        </w:rPr>
        <w:t xml:space="preserve"> </w:t>
      </w:r>
      <w:r w:rsidRPr="00EE2E1F">
        <w:t>(last visited Dec. 1, 2014).</w:t>
      </w:r>
    </w:p>
  </w:footnote>
  <w:footnote w:id="37">
    <w:p w14:paraId="27675041" w14:textId="4B4C699C" w:rsidR="00377196" w:rsidRPr="00EE2E1F" w:rsidRDefault="00377196" w:rsidP="00377196">
      <w:pPr>
        <w:pStyle w:val="FootnoteText"/>
      </w:pPr>
      <w:r w:rsidRPr="00EE2E1F">
        <w:rPr>
          <w:rStyle w:val="FootnoteReference"/>
        </w:rPr>
        <w:footnoteRef/>
      </w:r>
      <w:r w:rsidRPr="00EE2E1F">
        <w:t xml:space="preserve"> Farid, Z., Nordin, R., and Ismail, M., “Recent Advances in Wireless Indoor Localization Techniques and System,” </w:t>
      </w:r>
      <w:r w:rsidRPr="00EE2E1F">
        <w:rPr>
          <w:smallCaps/>
        </w:rPr>
        <w:t>Journal of Computer Networks and Communications</w:t>
      </w:r>
      <w:r w:rsidRPr="00EE2E1F">
        <w:t xml:space="preserve"> (Vol. 2013) at Section 1.1, </w:t>
      </w:r>
      <w:r w:rsidRPr="00EE2E1F">
        <w:rPr>
          <w:i/>
        </w:rPr>
        <w:t xml:space="preserve">available at </w:t>
      </w:r>
      <w:hyperlink r:id="rId9" w:history="1">
        <w:r w:rsidRPr="00EE2E1F">
          <w:rPr>
            <w:rStyle w:val="Hyperlink"/>
          </w:rPr>
          <w:t>http://www.hindawi.com/journals/jcnc/2013/185138/#B4</w:t>
        </w:r>
      </w:hyperlink>
      <w:r w:rsidRPr="00EE2E1F">
        <w:t xml:space="preserve"> (last visited Jan. 8, 2015) (“GPS works extremely well in outdoor positioning. Unfortunately, GPS does not perform well in urban canyons, close to walls, buildings, trees, indoors, and in underground environments as the signal from the GPS satellites is too weak to come across most buildings thus making GPS ineffective for indoor localization.”) (footnote omitted).  </w:t>
      </w:r>
      <w:r w:rsidRPr="00EE2E1F">
        <w:rPr>
          <w:i/>
        </w:rPr>
        <w:t>See also</w:t>
      </w:r>
      <w:r w:rsidRPr="00EE2E1F">
        <w:t xml:space="preserve"> Schneider, David, “New Indoor Navigation Technologies Work Where GPS Can’t,” </w:t>
      </w:r>
      <w:r w:rsidRPr="00EE2E1F">
        <w:rPr>
          <w:smallCaps/>
        </w:rPr>
        <w:t>IEEE Spectrum</w:t>
      </w:r>
      <w:r w:rsidRPr="00EE2E1F">
        <w:t xml:space="preserve"> (Nov. 20, 2013), available at </w:t>
      </w:r>
      <w:hyperlink r:id="rId10" w:history="1">
        <w:r w:rsidRPr="00EE2E1F">
          <w:rPr>
            <w:rStyle w:val="Hyperlink"/>
          </w:rPr>
          <w:t>http://spectrum.ieee.org/telecom/wireless/new-indoor-navigation-technologies-work-where-gps-cant</w:t>
        </w:r>
      </w:hyperlink>
      <w:r w:rsidRPr="00EE2E1F">
        <w:t xml:space="preserve"> (last visited Jan. 8, 2015). </w:t>
      </w:r>
    </w:p>
  </w:footnote>
  <w:footnote w:id="38">
    <w:p w14:paraId="417E9B2A" w14:textId="36B84532" w:rsidR="00377196" w:rsidRPr="00EE2E1F" w:rsidRDefault="00377196" w:rsidP="00377196">
      <w:pPr>
        <w:pStyle w:val="FootnoteText"/>
      </w:pPr>
      <w:r w:rsidRPr="00EE2E1F">
        <w:rPr>
          <w:rStyle w:val="FootnoteReference"/>
        </w:rPr>
        <w:footnoteRef/>
      </w:r>
      <w:r w:rsidRPr="00EE2E1F">
        <w:t xml:space="preserve"> </w:t>
      </w:r>
      <w:r w:rsidRPr="00EE2E1F">
        <w:rPr>
          <w:i/>
        </w:rPr>
        <w:t>See</w:t>
      </w:r>
      <w:r w:rsidRPr="00EE2E1F">
        <w:t xml:space="preserve"> </w:t>
      </w:r>
      <w:r w:rsidRPr="00EE2E1F">
        <w:rPr>
          <w:i/>
        </w:rPr>
        <w:t>Frequently Asked Questions</w:t>
      </w:r>
      <w:r w:rsidRPr="00EE2E1F">
        <w:t xml:space="preserve">, </w:t>
      </w:r>
      <w:r w:rsidRPr="00EE2E1F">
        <w:rPr>
          <w:smallCaps/>
        </w:rPr>
        <w:t>United States Census Bureau (2010),</w:t>
      </w:r>
      <w:r w:rsidRPr="00EE2E1F">
        <w:t xml:space="preserve"> https://ask.census.gov/faq.php?id=5000&amp;faqId=5971 (last visited Jan. 21, 2015) (reporting that 81 percent of the American population lives in urban areas); </w:t>
      </w:r>
      <w:r w:rsidRPr="00EE2E1F">
        <w:rPr>
          <w:i/>
        </w:rPr>
        <w:t xml:space="preserve">see also </w:t>
      </w:r>
      <w:r w:rsidRPr="00EE2E1F">
        <w:t xml:space="preserve">Westcott, Lucy, “More Americans Moving to Cities, Reversing Suburban Exodus,” </w:t>
      </w:r>
      <w:r w:rsidRPr="00EE2E1F">
        <w:rPr>
          <w:smallCaps/>
        </w:rPr>
        <w:t>TheWire.com</w:t>
      </w:r>
      <w:r w:rsidRPr="00EE2E1F">
        <w:t xml:space="preserve"> (Mar. 27, 2014), </w:t>
      </w:r>
      <w:r w:rsidRPr="00EE2E1F">
        <w:rPr>
          <w:i/>
        </w:rPr>
        <w:t>available at</w:t>
      </w:r>
      <w:r w:rsidRPr="00EE2E1F">
        <w:t xml:space="preserve"> </w:t>
      </w:r>
      <w:hyperlink r:id="rId11" w:history="1">
        <w:r w:rsidRPr="00EE2E1F">
          <w:rPr>
            <w:rStyle w:val="Hyperlink"/>
          </w:rPr>
          <w:t>http://www.thewire.com/national/2014/03/more-americans-moving-to-cities-reversing-the-suburban-exodus/359714/</w:t>
        </w:r>
      </w:hyperlink>
      <w:r w:rsidRPr="00EE2E1F">
        <w:t xml:space="preserve"> (last visited Jan. 21, 2015) (reporting that “[t]he shift in population to America’s metro areas has been increasing since 2010, when the economic recovery began picking up”).</w:t>
      </w:r>
    </w:p>
  </w:footnote>
  <w:footnote w:id="39">
    <w:p w14:paraId="38FF1110" w14:textId="77777777" w:rsidR="00EE2E1F" w:rsidRPr="00EE2E1F" w:rsidRDefault="00EE2E1F">
      <w:pPr>
        <w:pStyle w:val="FootnoteText"/>
      </w:pPr>
      <w:r w:rsidRPr="00EE2E1F">
        <w:rPr>
          <w:rStyle w:val="FootnoteReference"/>
        </w:rPr>
        <w:footnoteRef/>
      </w:r>
      <w:r w:rsidRPr="00EE2E1F">
        <w:t xml:space="preserve"> </w:t>
      </w:r>
      <w:r w:rsidRPr="00EE2E1F">
        <w:rPr>
          <w:i/>
        </w:rPr>
        <w:t>See infra</w:t>
      </w:r>
      <w:r w:rsidRPr="00EE2E1F">
        <w:t xml:space="preserve"> Section </w:t>
      </w:r>
      <w:r w:rsidRPr="00EE2E1F">
        <w:fldChar w:fldCharType="begin"/>
      </w:r>
      <w:r w:rsidRPr="00EE2E1F">
        <w:instrText xml:space="preserve"> REF _Ref408923238 \w \h  \* MERGEFORMAT </w:instrText>
      </w:r>
      <w:r w:rsidRPr="00EE2E1F">
        <w:fldChar w:fldCharType="separate"/>
      </w:r>
      <w:r w:rsidR="005E367B">
        <w:t>III.B.5.a</w:t>
      </w:r>
      <w:r w:rsidRPr="00EE2E1F">
        <w:fldChar w:fldCharType="end"/>
      </w:r>
      <w:r w:rsidRPr="00EE2E1F">
        <w:t xml:space="preserve"> (describing compliance testing). </w:t>
      </w:r>
    </w:p>
  </w:footnote>
  <w:footnote w:id="40">
    <w:p w14:paraId="2C3E73FF" w14:textId="011DA64A" w:rsidR="00EE2E1F" w:rsidRPr="00EE2E1F" w:rsidRDefault="00EE2E1F">
      <w:pPr>
        <w:pStyle w:val="FootnoteText"/>
      </w:pPr>
      <w:r w:rsidRPr="00EE2E1F">
        <w:rPr>
          <w:rStyle w:val="FootnoteReference"/>
        </w:rPr>
        <w:footnoteRef/>
      </w:r>
      <w:r w:rsidRPr="00EE2E1F">
        <w:t xml:space="preserve"> ATIS Reply Comments at 4 n. 6.  </w:t>
      </w:r>
      <w:r w:rsidRPr="00EE2E1F">
        <w:rPr>
          <w:i/>
        </w:rPr>
        <w:t>See also</w:t>
      </w:r>
      <w:r w:rsidRPr="00EE2E1F">
        <w:t xml:space="preserve"> Letter from Thomas Goode, General Counsel, Alliance for Telecommunications Industry Solutions, to David DeLorenzo, Chairman, CSRIC IV Working Group 1, Task Group 3 (dated Feb. 7, 2014), at 3-4, </w:t>
      </w:r>
      <w:r w:rsidRPr="00EE2E1F">
        <w:rPr>
          <w:i/>
        </w:rPr>
        <w:t xml:space="preserve">available at </w:t>
      </w:r>
      <w:hyperlink r:id="rId12" w:history="1">
        <w:r w:rsidRPr="00EE2E1F">
          <w:rPr>
            <w:rStyle w:val="Hyperlink"/>
          </w:rPr>
          <w:t>http://www.atis.org/legal/Docs/ESIF%20DOCS/ESIF_Letter_DeLorenzo_Feb2014.pdf</w:t>
        </w:r>
      </w:hyperlink>
      <w:r w:rsidRPr="00EE2E1F">
        <w:t xml:space="preserve"> (last visited Jan, 8, 2015). </w:t>
      </w:r>
    </w:p>
  </w:footnote>
  <w:footnote w:id="41">
    <w:p w14:paraId="72F4C7AA" w14:textId="77777777" w:rsidR="00EE2E1F" w:rsidRPr="00EE2E1F" w:rsidRDefault="00EE2E1F" w:rsidP="00996562">
      <w:pPr>
        <w:pStyle w:val="FootnoteText"/>
      </w:pPr>
      <w:r w:rsidRPr="00EE2E1F">
        <w:rPr>
          <w:rStyle w:val="FootnoteReference"/>
        </w:rPr>
        <w:footnoteRef/>
      </w:r>
      <w:r w:rsidRPr="00EE2E1F">
        <w:t xml:space="preserve"> </w:t>
      </w:r>
      <w:r w:rsidRPr="00EE2E1F">
        <w:rPr>
          <w:i/>
        </w:rPr>
        <w:t>Third Further Notice,</w:t>
      </w:r>
      <w:r w:rsidRPr="00EE2E1F">
        <w:t xml:space="preserve"> 29 FCC Rcd at 2391</w:t>
      </w:r>
      <w:r w:rsidRPr="00EE2E1F">
        <w:rPr>
          <w:i/>
        </w:rPr>
        <w:t xml:space="preserve"> </w:t>
      </w:r>
      <w:r w:rsidRPr="00EE2E1F">
        <w:t>¶ 38.</w:t>
      </w:r>
    </w:p>
  </w:footnote>
  <w:footnote w:id="42">
    <w:p w14:paraId="339CB048" w14:textId="74025BB3" w:rsidR="00EE2E1F" w:rsidRPr="00EE2E1F" w:rsidRDefault="00EE2E1F" w:rsidP="00996562">
      <w:pPr>
        <w:pStyle w:val="FootnoteText"/>
      </w:pPr>
      <w:r w:rsidRPr="00EE2E1F">
        <w:rPr>
          <w:rStyle w:val="FootnoteReference"/>
        </w:rPr>
        <w:footnoteRef/>
      </w:r>
      <w:r w:rsidRPr="00EE2E1F">
        <w:t xml:space="preserve"> </w:t>
      </w:r>
      <w:r w:rsidRPr="00EE2E1F">
        <w:rPr>
          <w:i/>
        </w:rPr>
        <w:t>Id</w:t>
      </w:r>
      <w:r w:rsidRPr="00EE2E1F">
        <w:t>.</w:t>
      </w:r>
    </w:p>
  </w:footnote>
  <w:footnote w:id="43">
    <w:p w14:paraId="1D2386CF" w14:textId="77777777" w:rsidR="00EE2E1F" w:rsidRPr="00EE2E1F" w:rsidRDefault="00EE2E1F" w:rsidP="00996562">
      <w:pPr>
        <w:pStyle w:val="FootnoteText"/>
      </w:pPr>
      <w:r w:rsidRPr="00EE2E1F">
        <w:rPr>
          <w:rStyle w:val="FootnoteReference"/>
        </w:rPr>
        <w:footnoteRef/>
      </w:r>
      <w:r w:rsidRPr="00EE2E1F">
        <w:t xml:space="preserve"> </w:t>
      </w:r>
      <w:r w:rsidRPr="00EE2E1F">
        <w:rPr>
          <w:i/>
        </w:rPr>
        <w:t>Third Further Notice,</w:t>
      </w:r>
      <w:r w:rsidRPr="00EE2E1F">
        <w:t xml:space="preserve"> 29 FCC Rcd at 2396</w:t>
      </w:r>
      <w:r w:rsidRPr="00EE2E1F">
        <w:rPr>
          <w:i/>
        </w:rPr>
        <w:t xml:space="preserve"> </w:t>
      </w:r>
      <w:r w:rsidRPr="00EE2E1F">
        <w:t xml:space="preserve">¶ 54.  </w:t>
      </w:r>
    </w:p>
  </w:footnote>
  <w:footnote w:id="44">
    <w:p w14:paraId="76F78611" w14:textId="05939B19" w:rsidR="00EE2E1F" w:rsidRPr="00EE2E1F" w:rsidRDefault="00EE2E1F" w:rsidP="00996562">
      <w:pPr>
        <w:pStyle w:val="FootnoteText"/>
      </w:pPr>
      <w:r w:rsidRPr="00EE2E1F">
        <w:rPr>
          <w:rStyle w:val="FootnoteReference"/>
        </w:rPr>
        <w:footnoteRef/>
      </w:r>
      <w:r w:rsidRPr="00EE2E1F">
        <w:t xml:space="preserve"> </w:t>
      </w:r>
      <w:r w:rsidRPr="00EE2E1F">
        <w:rPr>
          <w:i/>
        </w:rPr>
        <w:t>Id</w:t>
      </w:r>
      <w:r w:rsidRPr="00EE2E1F">
        <w:t xml:space="preserve">.  </w:t>
      </w:r>
    </w:p>
  </w:footnote>
  <w:footnote w:id="45">
    <w:p w14:paraId="10DF3656" w14:textId="77777777" w:rsidR="00EE2E1F" w:rsidRPr="00EE2E1F" w:rsidRDefault="00EE2E1F" w:rsidP="00996562">
      <w:pPr>
        <w:pStyle w:val="FootnoteText"/>
      </w:pPr>
      <w:r w:rsidRPr="00EE2E1F">
        <w:rPr>
          <w:rStyle w:val="FootnoteReference"/>
        </w:rPr>
        <w:footnoteRef/>
      </w:r>
      <w:r w:rsidRPr="00EE2E1F">
        <w:t xml:space="preserve"> Roadmap Cover Letter at 1.</w:t>
      </w:r>
    </w:p>
  </w:footnote>
  <w:footnote w:id="46">
    <w:p w14:paraId="5E3433F8" w14:textId="77777777" w:rsidR="00EE2E1F" w:rsidRPr="00EE2E1F" w:rsidRDefault="00EE2E1F" w:rsidP="00996562">
      <w:pPr>
        <w:pStyle w:val="FootnoteText"/>
      </w:pPr>
      <w:r w:rsidRPr="00EE2E1F">
        <w:rPr>
          <w:rStyle w:val="FootnoteReference"/>
        </w:rPr>
        <w:footnoteRef/>
      </w:r>
      <w:r w:rsidRPr="00EE2E1F">
        <w:t xml:space="preserve"> Roadmap at Section 2(e).</w:t>
      </w:r>
    </w:p>
  </w:footnote>
  <w:footnote w:id="47">
    <w:p w14:paraId="13BA89D0" w14:textId="35787B27" w:rsidR="00EE2E1F" w:rsidRPr="00EE2E1F" w:rsidRDefault="00EE2E1F" w:rsidP="00996562">
      <w:pPr>
        <w:pStyle w:val="FootnoteText"/>
      </w:pPr>
      <w:r w:rsidRPr="00EE2E1F">
        <w:rPr>
          <w:rStyle w:val="FootnoteReference"/>
        </w:rPr>
        <w:footnoteRef/>
      </w:r>
      <w:r w:rsidRPr="00EE2E1F">
        <w:t xml:space="preserve"> Roadmap at Sections 2(f), 3(c), and 6(b)(ii)(2)(a).  VoLTE provides voice service delivered over the LTE network rather than voice delivered over legacy networks.  </w:t>
      </w:r>
      <w:r w:rsidRPr="00EE2E1F">
        <w:rPr>
          <w:i/>
        </w:rPr>
        <w:t>See</w:t>
      </w:r>
      <w:r w:rsidRPr="00EE2E1F">
        <w:t xml:space="preserve"> </w:t>
      </w:r>
      <w:hyperlink r:id="rId13" w:history="1">
        <w:r w:rsidRPr="00EE2E1F">
          <w:rPr>
            <w:rStyle w:val="Hyperlink"/>
          </w:rPr>
          <w:t>http://en.wikipedia.org/wiki/VoLTE</w:t>
        </w:r>
      </w:hyperlink>
      <w:r w:rsidRPr="00EE2E1F">
        <w:t xml:space="preserve"> (last visited Dec. 30, 2014). </w:t>
      </w:r>
    </w:p>
  </w:footnote>
  <w:footnote w:id="48">
    <w:p w14:paraId="7645A66F" w14:textId="77777777" w:rsidR="00EE2E1F" w:rsidRPr="00EE2E1F" w:rsidRDefault="00EE2E1F" w:rsidP="00B7034F">
      <w:pPr>
        <w:pStyle w:val="FootnoteText"/>
      </w:pPr>
      <w:r w:rsidRPr="00EE2E1F">
        <w:rPr>
          <w:rStyle w:val="FootnoteReference"/>
        </w:rPr>
        <w:footnoteRef/>
      </w:r>
      <w:r w:rsidRPr="00EE2E1F">
        <w:t xml:space="preserve"> Roadmap at Section 4(c).</w:t>
      </w:r>
    </w:p>
  </w:footnote>
  <w:footnote w:id="49">
    <w:p w14:paraId="690EE12A" w14:textId="656D4141" w:rsidR="00EE2E1F" w:rsidRPr="00EE2E1F" w:rsidRDefault="00EE2E1F">
      <w:pPr>
        <w:pStyle w:val="FootnoteText"/>
      </w:pPr>
      <w:r w:rsidRPr="00EE2E1F">
        <w:rPr>
          <w:rStyle w:val="FootnoteReference"/>
        </w:rPr>
        <w:footnoteRef/>
      </w:r>
      <w:r w:rsidRPr="00EE2E1F">
        <w:t xml:space="preserve"> The nationwide CMRS providers initially proposed to extend the 80 percent deadline from six to seven years, but subsequently agreed to retain the six-year deadline.  </w:t>
      </w:r>
      <w:r w:rsidRPr="00EE2E1F">
        <w:rPr>
          <w:i/>
        </w:rPr>
        <w:t>See Ex Parte</w:t>
      </w:r>
      <w:r w:rsidRPr="00EE2E1F">
        <w:t xml:space="preserve"> Letter from APCO, AT&amp;T, NENA, T-Mobile, Sprint, and Verizon (filed Jan. 23, 2015).</w:t>
      </w:r>
    </w:p>
  </w:footnote>
  <w:footnote w:id="50">
    <w:p w14:paraId="7AE0F760" w14:textId="77777777" w:rsidR="00EE2E1F" w:rsidRPr="00EE2E1F" w:rsidRDefault="00EE2E1F" w:rsidP="00646616">
      <w:pPr>
        <w:pStyle w:val="FootnoteText"/>
      </w:pPr>
      <w:r w:rsidRPr="00EE2E1F">
        <w:rPr>
          <w:rStyle w:val="FootnoteReference"/>
        </w:rPr>
        <w:footnoteRef/>
      </w:r>
      <w:r w:rsidRPr="00EE2E1F">
        <w:t xml:space="preserve"> Roadmap at Section 4(a).</w:t>
      </w:r>
    </w:p>
  </w:footnote>
  <w:footnote w:id="51">
    <w:p w14:paraId="237F0607" w14:textId="23814365" w:rsidR="00EE2E1F" w:rsidRPr="00EE2E1F" w:rsidRDefault="00EE2E1F" w:rsidP="00646616">
      <w:pPr>
        <w:pStyle w:val="FootnoteText"/>
      </w:pPr>
      <w:r w:rsidRPr="00EE2E1F">
        <w:rPr>
          <w:rStyle w:val="FootnoteReference"/>
        </w:rPr>
        <w:footnoteRef/>
      </w:r>
      <w:r w:rsidRPr="00EE2E1F">
        <w:t xml:space="preserve"> </w:t>
      </w:r>
      <w:r w:rsidRPr="00EE2E1F">
        <w:rPr>
          <w:i/>
        </w:rPr>
        <w:t>Id.</w:t>
      </w:r>
      <w:r w:rsidRPr="00EE2E1F" w:rsidDel="006000B5">
        <w:t xml:space="preserve"> </w:t>
      </w:r>
      <w:r w:rsidRPr="00EE2E1F">
        <w:t xml:space="preserve">at Section 4(a)(ii).  </w:t>
      </w:r>
      <w:r w:rsidRPr="00EE2E1F">
        <w:rPr>
          <w:i/>
        </w:rPr>
        <w:t xml:space="preserve">See also </w:t>
      </w:r>
      <w:r w:rsidRPr="00EE2E1F">
        <w:t>ATIS Reply Comments at 4 n. 6 (listing the six cities).</w:t>
      </w:r>
    </w:p>
  </w:footnote>
  <w:footnote w:id="52">
    <w:p w14:paraId="5B170099" w14:textId="77777777" w:rsidR="00EE2E1F" w:rsidRPr="00EE2E1F" w:rsidRDefault="00EE2E1F">
      <w:pPr>
        <w:pStyle w:val="FootnoteText"/>
      </w:pPr>
      <w:r w:rsidRPr="00EE2E1F">
        <w:rPr>
          <w:rStyle w:val="FootnoteReference"/>
        </w:rPr>
        <w:footnoteRef/>
      </w:r>
      <w:r w:rsidRPr="00EE2E1F">
        <w:t xml:space="preserve"> Roadmap at Section 4(b).</w:t>
      </w:r>
    </w:p>
  </w:footnote>
  <w:footnote w:id="53">
    <w:p w14:paraId="1C7EE76B" w14:textId="310335C9" w:rsidR="00EE2E1F" w:rsidRPr="00EE2E1F" w:rsidRDefault="00EE2E1F" w:rsidP="00B7034F">
      <w:pPr>
        <w:pStyle w:val="FootnoteText"/>
      </w:pPr>
      <w:r w:rsidRPr="00EE2E1F">
        <w:rPr>
          <w:rStyle w:val="FootnoteReference"/>
        </w:rPr>
        <w:footnoteRef/>
      </w:r>
      <w:r w:rsidRPr="00EE2E1F">
        <w:t xml:space="preserve"> </w:t>
      </w:r>
      <w:r w:rsidRPr="00EE2E1F">
        <w:rPr>
          <w:i/>
        </w:rPr>
        <w:t>Id.</w:t>
      </w:r>
      <w:r w:rsidRPr="00EE2E1F" w:rsidDel="006000B5">
        <w:t xml:space="preserve"> </w:t>
      </w:r>
      <w:r w:rsidRPr="00EE2E1F">
        <w:t>at Section 6.</w:t>
      </w:r>
    </w:p>
  </w:footnote>
  <w:footnote w:id="54">
    <w:p w14:paraId="4B80B4AF" w14:textId="63332D6B" w:rsidR="00EE2E1F" w:rsidRPr="00EE2E1F" w:rsidRDefault="00EE2E1F">
      <w:pPr>
        <w:pStyle w:val="FootnoteText"/>
      </w:pPr>
      <w:r w:rsidRPr="00EE2E1F">
        <w:rPr>
          <w:rStyle w:val="FootnoteReference"/>
        </w:rPr>
        <w:footnoteRef/>
      </w:r>
      <w:r w:rsidRPr="00EE2E1F">
        <w:t xml:space="preserve"> </w:t>
      </w:r>
      <w:r w:rsidRPr="00EE2E1F">
        <w:rPr>
          <w:i/>
        </w:rPr>
        <w:t xml:space="preserve">See </w:t>
      </w:r>
      <w:r w:rsidRPr="00EE2E1F">
        <w:t xml:space="preserve">Addendum at Section 6. These additional commitments are discussed in greater detail in Section III.B.4.a, </w:t>
      </w:r>
      <w:r w:rsidRPr="00EE2E1F">
        <w:rPr>
          <w:i/>
        </w:rPr>
        <w:t>infra</w:t>
      </w:r>
      <w:r w:rsidRPr="00EE2E1F">
        <w:t xml:space="preserve">. </w:t>
      </w:r>
    </w:p>
  </w:footnote>
  <w:footnote w:id="55">
    <w:p w14:paraId="5EC1474A" w14:textId="003FBCC3" w:rsidR="00EE2E1F" w:rsidRPr="00EE2E1F" w:rsidRDefault="00EE2E1F" w:rsidP="00045D01">
      <w:pPr>
        <w:pStyle w:val="FootnoteText"/>
      </w:pPr>
      <w:r w:rsidRPr="00EE2E1F">
        <w:rPr>
          <w:rStyle w:val="FootnoteReference"/>
        </w:rPr>
        <w:footnoteRef/>
      </w:r>
      <w:r w:rsidRPr="00EE2E1F">
        <w:t xml:space="preserve"> </w:t>
      </w:r>
      <w:r w:rsidRPr="00EE2E1F">
        <w:rPr>
          <w:spacing w:val="-4"/>
        </w:rPr>
        <w:t xml:space="preserve">If a non-nationwide carrier operates in more than one of the six geographic areas that correspond to the six geographic test regions recommended by ATIS ESIF, data will be collected in and reported for one half of the total number of regions where the non-nationwide carrier operates, with the reporting areas </w:t>
      </w:r>
      <w:r w:rsidRPr="00EE2E1F">
        <w:t xml:space="preserve">selected by each such carrier. Once the region or regions are selected, however, the carrier </w:t>
      </w:r>
      <w:r w:rsidRPr="00EE2E1F">
        <w:rPr>
          <w:spacing w:val="-4"/>
        </w:rPr>
        <w:t xml:space="preserve">must consistently report data from the selected region(s) for the remainder of the benchmarks.  </w:t>
      </w:r>
      <w:r w:rsidRPr="00EE2E1F">
        <w:rPr>
          <w:i/>
          <w:spacing w:val="-4"/>
        </w:rPr>
        <w:t>See</w:t>
      </w:r>
      <w:r w:rsidRPr="00EE2E1F">
        <w:rPr>
          <w:spacing w:val="-4"/>
        </w:rPr>
        <w:t xml:space="preserve"> Parallel Path at Section 5(a).  For small CMRS providers not operating in any of the six regions, data will be collected in and reported for the largest county by population within the carrier’s footprint. To the extent the carrier’s footprint encompasses more than one of the four morphologies found in the ATIS ESIF test regions (dense urban, urban, suburban, and rural), the carrier will collect data from a sufficient number of counties so as to provide data covering each of the morphologies found in the carrier’s footprint.  </w:t>
      </w:r>
      <w:r w:rsidRPr="00EE2E1F">
        <w:rPr>
          <w:i/>
          <w:spacing w:val="-4"/>
        </w:rPr>
        <w:t>Id</w:t>
      </w:r>
      <w:r w:rsidRPr="00EE2E1F">
        <w:rPr>
          <w:spacing w:val="-4"/>
        </w:rPr>
        <w:t>.</w:t>
      </w:r>
    </w:p>
  </w:footnote>
  <w:footnote w:id="56">
    <w:p w14:paraId="37D8CC6F" w14:textId="36A2680E" w:rsidR="00EE2E1F" w:rsidRPr="00EE2E1F" w:rsidRDefault="00EE2E1F">
      <w:pPr>
        <w:pStyle w:val="FootnoteText"/>
      </w:pPr>
      <w:r w:rsidRPr="00EE2E1F">
        <w:rPr>
          <w:rStyle w:val="FootnoteReference"/>
        </w:rPr>
        <w:footnoteRef/>
      </w:r>
      <w:r w:rsidRPr="00EE2E1F">
        <w:t xml:space="preserve"> </w:t>
      </w:r>
      <w:r w:rsidRPr="00EE2E1F">
        <w:rPr>
          <w:i/>
        </w:rPr>
        <w:t>See</w:t>
      </w:r>
      <w:r w:rsidRPr="00EE2E1F">
        <w:t xml:space="preserve"> Parallel Path at Sections 4(a) and (b).</w:t>
      </w:r>
    </w:p>
  </w:footnote>
  <w:footnote w:id="57">
    <w:p w14:paraId="13277D0B" w14:textId="77777777" w:rsidR="00EE2E1F" w:rsidRPr="00EE2E1F" w:rsidRDefault="00EE2E1F">
      <w:pPr>
        <w:pStyle w:val="FootnoteText"/>
      </w:pPr>
      <w:r w:rsidRPr="00EE2E1F">
        <w:rPr>
          <w:rStyle w:val="FootnoteReference"/>
        </w:rPr>
        <w:footnoteRef/>
      </w:r>
      <w:r w:rsidRPr="00EE2E1F">
        <w:t xml:space="preserve"> </w:t>
      </w:r>
      <w:r w:rsidRPr="00EE2E1F">
        <w:rPr>
          <w:i/>
        </w:rPr>
        <w:t>See, e.g</w:t>
      </w:r>
      <w:r w:rsidRPr="00EE2E1F">
        <w:t xml:space="preserve">., Qualcomm Roadmap Comments at 3.   </w:t>
      </w:r>
    </w:p>
  </w:footnote>
  <w:footnote w:id="58">
    <w:p w14:paraId="6CF4C3BE" w14:textId="77777777" w:rsidR="00EE2E1F" w:rsidRPr="00EE2E1F" w:rsidRDefault="00EE2E1F">
      <w:pPr>
        <w:pStyle w:val="FootnoteText"/>
      </w:pPr>
      <w:r w:rsidRPr="00EE2E1F">
        <w:rPr>
          <w:rStyle w:val="FootnoteReference"/>
        </w:rPr>
        <w:footnoteRef/>
      </w:r>
      <w:r w:rsidRPr="00EE2E1F">
        <w:t xml:space="preserve"> TCS Roadmap Reply Comments at 2.  </w:t>
      </w:r>
    </w:p>
  </w:footnote>
  <w:footnote w:id="59">
    <w:p w14:paraId="05064B6F" w14:textId="77777777" w:rsidR="00EE2E1F" w:rsidRPr="00EE2E1F" w:rsidRDefault="00EE2E1F">
      <w:pPr>
        <w:pStyle w:val="FootnoteText"/>
      </w:pPr>
      <w:r w:rsidRPr="00EE2E1F">
        <w:rPr>
          <w:rStyle w:val="FootnoteReference"/>
        </w:rPr>
        <w:footnoteRef/>
      </w:r>
      <w:r w:rsidRPr="00EE2E1F">
        <w:t xml:space="preserve"> BRETSA Roadmap Comments at 27; Enid OK Fire Department Roadmap Comments at 1; IMSA Roadmap Comments at 1, 7; San Louis Obispo County, CA, District Attorney Roadmap Comments at 1; Hampstead NH Roadmap Comments at 1; TruePosition Roadmap Comments at iv and Roadmap Reply Comments at 3; NARUC Roadmap Comments at 5; Plaistow, NW Fire Department Roadmap Comments at 1; Polaris Wireless Roadmap Comments at 2, Woburn MA Police Department Roadmap Comments at 1.  </w:t>
      </w:r>
    </w:p>
  </w:footnote>
  <w:footnote w:id="60">
    <w:p w14:paraId="5D889B18" w14:textId="77777777" w:rsidR="00EE2E1F" w:rsidRPr="00EE2E1F" w:rsidRDefault="00EE2E1F" w:rsidP="005E6FC0">
      <w:pPr>
        <w:pStyle w:val="FootnoteText"/>
      </w:pPr>
      <w:r w:rsidRPr="00EE2E1F">
        <w:rPr>
          <w:rStyle w:val="FootnoteReference"/>
        </w:rPr>
        <w:footnoteRef/>
      </w:r>
      <w:r w:rsidRPr="00EE2E1F">
        <w:t xml:space="preserve"> TDI Roadmap Reply Comments at 2-3.</w:t>
      </w:r>
    </w:p>
  </w:footnote>
  <w:footnote w:id="61">
    <w:p w14:paraId="5CB2C348" w14:textId="77777777" w:rsidR="00EE2E1F" w:rsidRPr="00EE2E1F" w:rsidRDefault="00EE2E1F">
      <w:pPr>
        <w:pStyle w:val="FootnoteText"/>
      </w:pPr>
      <w:r w:rsidRPr="00EE2E1F">
        <w:rPr>
          <w:rStyle w:val="FootnoteReference"/>
        </w:rPr>
        <w:footnoteRef/>
      </w:r>
      <w:r w:rsidRPr="00EE2E1F">
        <w:t xml:space="preserve"> Associated Firefighters of Illinois Roadmap Comments at 2. </w:t>
      </w:r>
    </w:p>
  </w:footnote>
  <w:footnote w:id="62">
    <w:p w14:paraId="50FA79A5" w14:textId="77777777" w:rsidR="00EE2E1F" w:rsidRPr="00EE2E1F" w:rsidRDefault="00EE2E1F">
      <w:pPr>
        <w:pStyle w:val="FootnoteText"/>
      </w:pPr>
      <w:r w:rsidRPr="00EE2E1F">
        <w:rPr>
          <w:rStyle w:val="FootnoteReference"/>
        </w:rPr>
        <w:footnoteRef/>
      </w:r>
      <w:r w:rsidRPr="00EE2E1F">
        <w:t xml:space="preserve"> IACP </w:t>
      </w:r>
      <w:r w:rsidRPr="00EE2E1F">
        <w:rPr>
          <w:i/>
        </w:rPr>
        <w:t>et al</w:t>
      </w:r>
      <w:r w:rsidRPr="00EE2E1F">
        <w:t xml:space="preserve"> Roadmap Reply Comments at 2; Fairfax Roadmap Comments at 1 and Reply Comments at 1-2.  </w:t>
      </w:r>
    </w:p>
  </w:footnote>
  <w:footnote w:id="63">
    <w:p w14:paraId="34199CA3" w14:textId="77777777" w:rsidR="00EE2E1F" w:rsidRPr="00EE2E1F" w:rsidRDefault="00EE2E1F">
      <w:pPr>
        <w:pStyle w:val="FootnoteText"/>
      </w:pPr>
      <w:r w:rsidRPr="00EE2E1F">
        <w:rPr>
          <w:rStyle w:val="FootnoteReference"/>
        </w:rPr>
        <w:footnoteRef/>
      </w:r>
      <w:r w:rsidRPr="00EE2E1F">
        <w:t xml:space="preserve"> TruePosition Roadmap Comments at 18 and Reply Comments at 14-15; NextNav Roadmap Comments at 17-18.</w:t>
      </w:r>
    </w:p>
  </w:footnote>
  <w:footnote w:id="64">
    <w:p w14:paraId="559AF00E" w14:textId="77777777" w:rsidR="00EE2E1F" w:rsidRPr="00EE2E1F" w:rsidRDefault="00EE2E1F" w:rsidP="0048326F">
      <w:pPr>
        <w:pStyle w:val="FootnoteText"/>
      </w:pPr>
      <w:r w:rsidRPr="00EE2E1F">
        <w:rPr>
          <w:rStyle w:val="FootnoteReference"/>
        </w:rPr>
        <w:footnoteRef/>
      </w:r>
      <w:r w:rsidRPr="00EE2E1F">
        <w:t xml:space="preserve"> </w:t>
      </w:r>
      <w:r w:rsidRPr="00EE2E1F">
        <w:rPr>
          <w:i/>
        </w:rPr>
        <w:t>See, e.g.,</w:t>
      </w:r>
      <w:r w:rsidRPr="00EE2E1F">
        <w:t xml:space="preserve"> TruePosition Roadmap Comments at 27-31.  </w:t>
      </w:r>
    </w:p>
  </w:footnote>
  <w:footnote w:id="65">
    <w:p w14:paraId="33F836EF" w14:textId="77777777" w:rsidR="00EE2E1F" w:rsidRPr="00EE2E1F" w:rsidRDefault="00EE2E1F">
      <w:pPr>
        <w:pStyle w:val="FootnoteText"/>
      </w:pPr>
      <w:r w:rsidRPr="00EE2E1F">
        <w:rPr>
          <w:rStyle w:val="FootnoteReference"/>
        </w:rPr>
        <w:footnoteRef/>
      </w:r>
      <w:r w:rsidRPr="00EE2E1F">
        <w:t xml:space="preserve"> APCO Roadmap Reply Comments at 7; CTIA Roadmap Reply Comments at 27; TCS Roadmap Reply Comments at 9.  </w:t>
      </w:r>
    </w:p>
  </w:footnote>
  <w:footnote w:id="66">
    <w:p w14:paraId="54602D3D" w14:textId="77777777" w:rsidR="00EE2E1F" w:rsidRPr="00EE2E1F" w:rsidRDefault="00EE2E1F" w:rsidP="0048326F">
      <w:pPr>
        <w:pStyle w:val="FootnoteText"/>
      </w:pPr>
      <w:r w:rsidRPr="00EE2E1F">
        <w:rPr>
          <w:rStyle w:val="FootnoteReference"/>
        </w:rPr>
        <w:footnoteRef/>
      </w:r>
      <w:r w:rsidRPr="00EE2E1F">
        <w:t xml:space="preserve"> </w:t>
      </w:r>
      <w:r w:rsidRPr="00EE2E1F">
        <w:rPr>
          <w:i/>
        </w:rPr>
        <w:t>See, e.g.,</w:t>
      </w:r>
      <w:r w:rsidRPr="00EE2E1F">
        <w:t xml:space="preserve"> Public Knowledge Roadmap Comments throughout.  </w:t>
      </w:r>
      <w:r w:rsidRPr="00EE2E1F">
        <w:rPr>
          <w:i/>
        </w:rPr>
        <w:t>See also</w:t>
      </w:r>
      <w:r w:rsidRPr="00EE2E1F">
        <w:t xml:space="preserve"> IMSA Roadmap Comments at 5; iPosi Roadmap Comments at 4; Fairfax Roadmap Comments at 1 and Reply Comments at 2; TruePosition Roadmap Comments at 9-10 and Reply Comments at 13; CSR Roadmap Comments at 3; IACP </w:t>
      </w:r>
      <w:r w:rsidRPr="00EE2E1F">
        <w:rPr>
          <w:i/>
        </w:rPr>
        <w:t>et al</w:t>
      </w:r>
      <w:r w:rsidRPr="00EE2E1F">
        <w:t xml:space="preserve"> Roadmap Comments at 2; IMSA Roadmap Comments at 5; iCERT Roadmap Comments at 2; NextNav Roadmap Comments at ii, 9, 14; Polaris Wireless Roadmap Comments at 4.</w:t>
      </w:r>
    </w:p>
  </w:footnote>
  <w:footnote w:id="67">
    <w:p w14:paraId="08B462C4" w14:textId="6759FA83" w:rsidR="00EE2E1F" w:rsidRPr="00EE2E1F" w:rsidRDefault="00EE2E1F">
      <w:pPr>
        <w:pStyle w:val="FootnoteText"/>
      </w:pPr>
      <w:r w:rsidRPr="00EE2E1F">
        <w:rPr>
          <w:rStyle w:val="FootnoteReference"/>
        </w:rPr>
        <w:footnoteRef/>
      </w:r>
      <w:r w:rsidRPr="00EE2E1F">
        <w:t xml:space="preserve"> </w:t>
      </w:r>
      <w:r w:rsidRPr="00EE2E1F">
        <w:rPr>
          <w:i/>
        </w:rPr>
        <w:t>See, e.g.,</w:t>
      </w:r>
      <w:r w:rsidRPr="00EE2E1F">
        <w:t xml:space="preserve"> CTIA Roadmap Reply Comments at 24 (saying that a blended metric is not problematic because indoor calls will make up too large a portion of all calls to allow carriers to “mask inferior indoor location accuracy performance”); Sprint Roadmap Reply Comments at 15 and Verizon Roadmap Reply Comments at 12 (asserting that privacy issues will be worked out among the Roadmap Parties’ working groups).</w:t>
      </w:r>
    </w:p>
  </w:footnote>
  <w:footnote w:id="68">
    <w:p w14:paraId="0B3DB85F" w14:textId="6293F8EC" w:rsidR="00EE2E1F" w:rsidRPr="00EE2E1F" w:rsidRDefault="00EE2E1F">
      <w:pPr>
        <w:pStyle w:val="FootnoteText"/>
      </w:pPr>
      <w:r w:rsidRPr="00EE2E1F">
        <w:rPr>
          <w:rStyle w:val="FootnoteReference"/>
        </w:rPr>
        <w:footnoteRef/>
      </w:r>
      <w:r w:rsidRPr="00EE2E1F">
        <w:t xml:space="preserve"> </w:t>
      </w:r>
      <w:r w:rsidRPr="00EE2E1F">
        <w:rPr>
          <w:i/>
        </w:rPr>
        <w:t>See supra</w:t>
      </w:r>
      <w:r w:rsidRPr="00EE2E1F">
        <w:t xml:space="preserve"> paras. </w:t>
      </w:r>
      <w:r w:rsidRPr="00EE2E1F">
        <w:fldChar w:fldCharType="begin"/>
      </w:r>
      <w:r w:rsidRPr="00EE2E1F">
        <w:instrText xml:space="preserve"> REF _Ref408480406 \r \h  \* MERGEFORMAT </w:instrText>
      </w:r>
      <w:r w:rsidRPr="00EE2E1F">
        <w:fldChar w:fldCharType="separate"/>
      </w:r>
      <w:r w:rsidR="005E367B">
        <w:t>68</w:t>
      </w:r>
      <w:r w:rsidRPr="00EE2E1F">
        <w:fldChar w:fldCharType="end"/>
      </w:r>
      <w:r w:rsidRPr="00EE2E1F">
        <w:t>-</w:t>
      </w:r>
      <w:r w:rsidRPr="00EE2E1F">
        <w:fldChar w:fldCharType="begin"/>
      </w:r>
      <w:r w:rsidRPr="00EE2E1F">
        <w:instrText xml:space="preserve"> REF _Ref408480412 \r \h  \* MERGEFORMAT </w:instrText>
      </w:r>
      <w:r w:rsidRPr="00EE2E1F">
        <w:fldChar w:fldCharType="separate"/>
      </w:r>
      <w:r w:rsidR="005E367B">
        <w:t>69</w:t>
      </w:r>
      <w:r w:rsidRPr="00EE2E1F">
        <w:fldChar w:fldCharType="end"/>
      </w:r>
      <w:r w:rsidRPr="00EE2E1F">
        <w:t>.</w:t>
      </w:r>
    </w:p>
  </w:footnote>
  <w:footnote w:id="69">
    <w:p w14:paraId="59D6CCB5" w14:textId="77777777" w:rsidR="00EE2E1F" w:rsidRPr="00EE2E1F" w:rsidRDefault="00EE2E1F">
      <w:pPr>
        <w:pStyle w:val="FootnoteText"/>
      </w:pPr>
      <w:r w:rsidRPr="00EE2E1F">
        <w:rPr>
          <w:rStyle w:val="FootnoteReference"/>
        </w:rPr>
        <w:footnoteRef/>
      </w:r>
      <w:r w:rsidRPr="00EE2E1F">
        <w:t xml:space="preserve"> Roadmap at Section 1(a). </w:t>
      </w:r>
    </w:p>
  </w:footnote>
  <w:footnote w:id="70">
    <w:p w14:paraId="20781E70" w14:textId="77777777" w:rsidR="00EE2E1F" w:rsidRPr="00EE2E1F" w:rsidRDefault="00EE2E1F">
      <w:pPr>
        <w:pStyle w:val="FootnoteText"/>
      </w:pPr>
      <w:r w:rsidRPr="00EE2E1F">
        <w:rPr>
          <w:rStyle w:val="FootnoteReference"/>
        </w:rPr>
        <w:footnoteRef/>
      </w:r>
      <w:r w:rsidRPr="00EE2E1F">
        <w:t xml:space="preserve"> TruePosition Roadmap Comments at 27-31.</w:t>
      </w:r>
    </w:p>
  </w:footnote>
  <w:footnote w:id="71">
    <w:p w14:paraId="3B346AA1" w14:textId="77777777" w:rsidR="00EE2E1F" w:rsidRPr="00EE2E1F" w:rsidRDefault="00EE2E1F" w:rsidP="00996562">
      <w:pPr>
        <w:pStyle w:val="FootnoteText"/>
      </w:pPr>
      <w:r w:rsidRPr="00EE2E1F">
        <w:rPr>
          <w:rStyle w:val="FootnoteReference"/>
        </w:rPr>
        <w:footnoteRef/>
      </w:r>
      <w:r w:rsidRPr="00EE2E1F">
        <w:t xml:space="preserve"> CTIA Roadmap Reply Comments at 26-27, noting that the Commission “has repeatedly stressed that receive-only operations cannot cause interference.”  </w:t>
      </w:r>
      <w:r w:rsidRPr="00EE2E1F">
        <w:rPr>
          <w:i/>
        </w:rPr>
        <w:t>See</w:t>
      </w:r>
      <w:r w:rsidRPr="00EE2E1F">
        <w:t xml:space="preserve"> Amendment of the Commission’s Space Station Licensing Rules and Policies, </w:t>
      </w:r>
      <w:r w:rsidRPr="00EE2E1F">
        <w:rPr>
          <w:i/>
        </w:rPr>
        <w:t>Second Report and Order</w:t>
      </w:r>
      <w:r w:rsidRPr="00EE2E1F">
        <w:t xml:space="preserve">, IB Docket Nos. 02-34 and 00-248, and </w:t>
      </w:r>
      <w:r w:rsidRPr="00EE2E1F">
        <w:rPr>
          <w:i/>
        </w:rPr>
        <w:t>Declaratory Order</w:t>
      </w:r>
      <w:r w:rsidRPr="00EE2E1F">
        <w:t>, IB Docket No. 96, 111, 18 FCC Rcd 12507 at ¶ 21 (2003).</w:t>
      </w:r>
    </w:p>
  </w:footnote>
  <w:footnote w:id="72">
    <w:p w14:paraId="64EB8850" w14:textId="77777777" w:rsidR="00EE2E1F" w:rsidRPr="00EE2E1F" w:rsidRDefault="00EE2E1F" w:rsidP="00996562">
      <w:pPr>
        <w:pStyle w:val="FootnoteText"/>
      </w:pPr>
      <w:r w:rsidRPr="00EE2E1F">
        <w:rPr>
          <w:rStyle w:val="FootnoteReference"/>
        </w:rPr>
        <w:footnoteRef/>
      </w:r>
      <w:r w:rsidRPr="00EE2E1F">
        <w:t xml:space="preserve"> CTIA Roadmap Reply Comments at 27.</w:t>
      </w:r>
    </w:p>
  </w:footnote>
  <w:footnote w:id="73">
    <w:p w14:paraId="40315D55" w14:textId="538BFB3E" w:rsidR="00EE2E1F" w:rsidRPr="00EE2E1F" w:rsidRDefault="00EE2E1F" w:rsidP="00996562">
      <w:pPr>
        <w:pStyle w:val="FootnoteText"/>
      </w:pPr>
      <w:r w:rsidRPr="00EE2E1F">
        <w:rPr>
          <w:rStyle w:val="FootnoteReference"/>
        </w:rPr>
        <w:footnoteRef/>
      </w:r>
      <w:r w:rsidRPr="00EE2E1F">
        <w:t xml:space="preserve"> RNSS is a radiodetermination-satellite service used for the purpose of radionavigation.  A radiodetermination-satellite service is a radio communication service for the purpose of radiodetermination (position determination via the propagation properties of radio waves) involving the use of one or more space stations.  Among others, the 1559-1610 MHz (L1) frequency band is allocated to the RNSS (space-to-Earth) on a primary basis worldwide.  </w:t>
      </w:r>
      <w:r w:rsidRPr="00EE2E1F">
        <w:rPr>
          <w:i/>
        </w:rPr>
        <w:t xml:space="preserve">See </w:t>
      </w:r>
      <w:r w:rsidRPr="00EE2E1F">
        <w:t>47 C.F.R. §§ 2.1, 2.106.</w:t>
      </w:r>
    </w:p>
  </w:footnote>
  <w:footnote w:id="74">
    <w:p w14:paraId="40D669AF" w14:textId="0B390081" w:rsidR="00EE2E1F" w:rsidRPr="00EE2E1F" w:rsidRDefault="00EE2E1F" w:rsidP="00996562">
      <w:pPr>
        <w:pStyle w:val="FootnoteText"/>
      </w:pPr>
      <w:r w:rsidRPr="00EE2E1F">
        <w:rPr>
          <w:rStyle w:val="FootnoteReference"/>
        </w:rPr>
        <w:footnoteRef/>
      </w:r>
      <w:r w:rsidRPr="00EE2E1F">
        <w:t xml:space="preserve"> We note that manufacturers are already mass producing chipsets that are capable of receiving simultaneous signals from multiple RNSS systems, including GPS, GLONASS, the Chinese COMPASS, and European Galileo systems, and the global availability of such capabilities is anticipated and likely to become standard in most future handsets.  </w:t>
      </w:r>
      <w:r w:rsidRPr="00EE2E1F">
        <w:rPr>
          <w:i/>
        </w:rPr>
        <w:t>See</w:t>
      </w:r>
      <w:r w:rsidRPr="00EE2E1F">
        <w:t xml:space="preserve"> Frank Van Diggelen, Charlie Abraham, Javier de Salas, Randy Silva, “GNSS Inside Mobile Phones,” </w:t>
      </w:r>
      <w:r w:rsidRPr="00EE2E1F">
        <w:rPr>
          <w:smallCaps/>
        </w:rPr>
        <w:t>Inside GNSS</w:t>
      </w:r>
      <w:r w:rsidRPr="00EE2E1F">
        <w:t xml:space="preserve"> (Mar. &amp; Apr. 2011), </w:t>
      </w:r>
      <w:r w:rsidRPr="00EE2E1F">
        <w:rPr>
          <w:i/>
        </w:rPr>
        <w:t>available at</w:t>
      </w:r>
      <w:r w:rsidRPr="00EE2E1F">
        <w:t xml:space="preserve"> </w:t>
      </w:r>
      <w:hyperlink r:id="rId14" w:history="1">
        <w:r w:rsidRPr="00EE2E1F">
          <w:rPr>
            <w:rStyle w:val="Hyperlink"/>
          </w:rPr>
          <w:t>http://www.insidegnss.com/node/2507</w:t>
        </w:r>
      </w:hyperlink>
      <w:r w:rsidRPr="00EE2E1F">
        <w:t xml:space="preserve"> (last visited Jan. 2, 2015).  Some receiver equipment in use today includes un-activated GLONASS chipsets.  The capability to operate with foreign satellite signals presents regulatory concerns of unauthorized use if that capability can be activated either intentionally or unintentionally by end users prior to FCC authorization.  We encourage CMRS providers seeking to employ foreign satellite navigation systems to begin the approval process as soon as possible.  </w:t>
      </w:r>
    </w:p>
  </w:footnote>
  <w:footnote w:id="75">
    <w:p w14:paraId="7CA13650" w14:textId="77777777" w:rsidR="00EE2E1F" w:rsidRPr="00EE2E1F" w:rsidRDefault="00EE2E1F" w:rsidP="002166AF">
      <w:pPr>
        <w:pStyle w:val="FootnoteText"/>
      </w:pPr>
      <w:r w:rsidRPr="00EE2E1F">
        <w:rPr>
          <w:rStyle w:val="FootnoteReference"/>
        </w:rPr>
        <w:footnoteRef/>
      </w:r>
      <w:r w:rsidRPr="00EE2E1F">
        <w:t xml:space="preserve"> GLONASS signals, for example, are located in the upper portion of the 1559-1610 MHz RNSS allocation while the GPS signals are located in the lower portion of the RNSS allocation.  Since GPS and GLONASS use different spectrum segments, a device that is designed to receive signals from both GPS and GLONASS will be open to receiving unwanted signals from transmitters that operate above 1610 MHz that could interfere with A-GNSS functions.</w:t>
      </w:r>
    </w:p>
  </w:footnote>
  <w:footnote w:id="76">
    <w:p w14:paraId="4FAD8FCD" w14:textId="6CB6A181" w:rsidR="00EE2E1F" w:rsidRPr="00EE2E1F" w:rsidRDefault="00EE2E1F" w:rsidP="002166AF">
      <w:pPr>
        <w:pStyle w:val="FootnoteText"/>
      </w:pPr>
      <w:r w:rsidRPr="00EE2E1F">
        <w:rPr>
          <w:rStyle w:val="FootnoteReference"/>
        </w:rPr>
        <w:footnoteRef/>
      </w:r>
      <w:r w:rsidRPr="00EE2E1F">
        <w:t xml:space="preserve"> On April 1, 2014, all GLONASS satellites started to transmit wrong Broadcast Messages (BM) resulting in a total disruption of the globally operational GNSS constellation.  All satellites in the constellation broadcasted corrupt information for 11 hours rendering the system unusable to GLONASS receivers.</w:t>
      </w:r>
    </w:p>
  </w:footnote>
  <w:footnote w:id="77">
    <w:p w14:paraId="59CD55E2" w14:textId="493627C5" w:rsidR="00EE2E1F" w:rsidRPr="00EE2E1F" w:rsidRDefault="00EE2E1F" w:rsidP="007141AB">
      <w:pPr>
        <w:pStyle w:val="FootnoteText"/>
      </w:pPr>
      <w:r w:rsidRPr="00EE2E1F">
        <w:rPr>
          <w:rStyle w:val="FootnoteReference"/>
        </w:rPr>
        <w:footnoteRef/>
      </w:r>
      <w:r w:rsidRPr="00EE2E1F">
        <w:t xml:space="preserve"> </w:t>
      </w:r>
      <w:r w:rsidRPr="00EE2E1F">
        <w:rPr>
          <w:i/>
        </w:rPr>
        <w:t>Third Further Notice</w:t>
      </w:r>
      <w:r w:rsidRPr="00EE2E1F">
        <w:t xml:space="preserve">, 29 FCC Rcd at 2395 ¶ 50. </w:t>
      </w:r>
    </w:p>
  </w:footnote>
  <w:footnote w:id="78">
    <w:p w14:paraId="50728550" w14:textId="77777777" w:rsidR="00EE2E1F" w:rsidRPr="00EE2E1F" w:rsidRDefault="00EE2E1F" w:rsidP="00B7034F">
      <w:pPr>
        <w:pStyle w:val="FootnoteText"/>
      </w:pPr>
      <w:r w:rsidRPr="00EE2E1F">
        <w:rPr>
          <w:rStyle w:val="FootnoteReference"/>
          <w:rFonts w:eastAsiaTheme="majorEastAsia"/>
        </w:rPr>
        <w:footnoteRef/>
      </w:r>
      <w:r w:rsidRPr="00EE2E1F">
        <w:t xml:space="preserve"> Roadmap at Section 2(a).  The parties also state that “the civic address of the calling party number will be validated. In addition, the civic address will be corroborated against other location information prior to delivery of the address with the 9-1-1 call to the PSAP to the extent possible.”  </w:t>
      </w:r>
      <w:r w:rsidRPr="00EE2E1F">
        <w:rPr>
          <w:i/>
        </w:rPr>
        <w:t>See id.</w:t>
      </w:r>
      <w:r w:rsidRPr="00EE2E1F">
        <w:t xml:space="preserve">  </w:t>
      </w:r>
    </w:p>
  </w:footnote>
  <w:footnote w:id="79">
    <w:p w14:paraId="54711FBC" w14:textId="56A97BBB" w:rsidR="00EE2E1F" w:rsidRPr="00EE2E1F" w:rsidRDefault="00EE2E1F" w:rsidP="002B39CF">
      <w:pPr>
        <w:pStyle w:val="FootnoteText"/>
      </w:pPr>
      <w:r w:rsidRPr="00EE2E1F">
        <w:rPr>
          <w:rStyle w:val="FootnoteReference"/>
        </w:rPr>
        <w:footnoteRef/>
      </w:r>
      <w:r w:rsidRPr="00EE2E1F">
        <w:t xml:space="preserve"> </w:t>
      </w:r>
      <w:r w:rsidRPr="00EE2E1F">
        <w:rPr>
          <w:i/>
        </w:rPr>
        <w:t>See</w:t>
      </w:r>
      <w:r w:rsidRPr="00EE2E1F">
        <w:t xml:space="preserve"> NENA, NENA NG911 United States Civic Location Data Exchange Format (CLDXF) Standard (Mar. 23, 2014) at Introductory Note to Section 3.2, </w:t>
      </w:r>
      <w:r w:rsidRPr="00EE2E1F">
        <w:rPr>
          <w:i/>
        </w:rPr>
        <w:t>available at</w:t>
      </w:r>
      <w:r w:rsidRPr="00EE2E1F">
        <w:t xml:space="preserve"> </w:t>
      </w:r>
      <w:hyperlink r:id="rId15" w:history="1">
        <w:r w:rsidRPr="00EE2E1F">
          <w:rPr>
            <w:rStyle w:val="Hyperlink"/>
          </w:rPr>
          <w:t>https://c.ymcdn.com/sites/www.nena.org/resource/resmgr/Standards/NENA-STA-004.1-2014_CLDXF.pdf</w:t>
        </w:r>
      </w:hyperlink>
      <w:r w:rsidRPr="00EE2E1F">
        <w:t xml:space="preserve"> (last visited Dec. 30, 2014) (describing legislative, postal, and unofficial place names and how they impact addressing).  </w:t>
      </w:r>
      <w:r w:rsidRPr="00EE2E1F">
        <w:rPr>
          <w:i/>
        </w:rPr>
        <w:t xml:space="preserve">See also </w:t>
      </w:r>
      <w:r w:rsidRPr="00EE2E1F">
        <w:t xml:space="preserve">Addressing Guidelines, Canada Post, </w:t>
      </w:r>
      <w:r w:rsidRPr="00EE2E1F">
        <w:rPr>
          <w:i/>
        </w:rPr>
        <w:t xml:space="preserve">available at </w:t>
      </w:r>
      <w:hyperlink r:id="rId16" w:history="1">
        <w:r w:rsidRPr="00EE2E1F">
          <w:rPr>
            <w:rStyle w:val="Hyperlink"/>
          </w:rPr>
          <w:t>http://www.canadapost.ca/tools/pg/manual/PGaddress-e.asp?ecid=murl10006450#1417752</w:t>
        </w:r>
      </w:hyperlink>
      <w:r w:rsidRPr="00EE2E1F">
        <w:t xml:space="preserve"> (last visited Dec. 30, 2014) (distinguishing civic address from other types of postal addresses).</w:t>
      </w:r>
    </w:p>
  </w:footnote>
  <w:footnote w:id="80">
    <w:p w14:paraId="12DB48B0" w14:textId="4F19E1A7" w:rsidR="00EE2E1F" w:rsidRPr="00EE2E1F" w:rsidRDefault="00EE2E1F" w:rsidP="002B39CF">
      <w:pPr>
        <w:pStyle w:val="FootnoteText"/>
      </w:pPr>
      <w:r w:rsidRPr="00EE2E1F">
        <w:rPr>
          <w:rStyle w:val="FootnoteReference"/>
        </w:rPr>
        <w:footnoteRef/>
      </w:r>
      <w:r w:rsidRPr="00EE2E1F">
        <w:t xml:space="preserve"> </w:t>
      </w:r>
      <w:r w:rsidRPr="00EE2E1F">
        <w:rPr>
          <w:i/>
        </w:rPr>
        <w:t>See, e.g.</w:t>
      </w:r>
      <w:r w:rsidRPr="00EE2E1F">
        <w:t xml:space="preserve">, Letter from Derek Poarch, Executive Director, APCO to Marlene Dortch Secretary, Federal Communications Commission (dated January 22, 2015) at 1.   </w:t>
      </w:r>
    </w:p>
  </w:footnote>
  <w:footnote w:id="81">
    <w:p w14:paraId="0180562B" w14:textId="6AED70B8" w:rsidR="00EE2E1F" w:rsidRPr="00EE2E1F" w:rsidRDefault="00EE2E1F" w:rsidP="002B39CF">
      <w:pPr>
        <w:pStyle w:val="FootnoteText"/>
      </w:pPr>
      <w:r w:rsidRPr="00EE2E1F">
        <w:rPr>
          <w:rStyle w:val="FootnoteReference"/>
        </w:rPr>
        <w:footnoteRef/>
      </w:r>
      <w:r w:rsidRPr="00EE2E1F">
        <w:t xml:space="preserve"> IMSA Roadmap Comments at 3-4 (expressing concern that the Roadmap does not state specifically how it will help identify and direct responders to dispatchable locations, and that “[t]hese concerns, if left unaddressed, prevent the Roadmap from being a reasonable alternative to the performance-based metrics proposed by the Commission.”). </w:t>
      </w:r>
    </w:p>
  </w:footnote>
  <w:footnote w:id="82">
    <w:p w14:paraId="15E31890" w14:textId="77777777" w:rsidR="00EE2E1F" w:rsidRPr="00EE2E1F" w:rsidRDefault="00EE2E1F" w:rsidP="00B7034F">
      <w:pPr>
        <w:pStyle w:val="FootnoteText"/>
      </w:pPr>
      <w:r w:rsidRPr="00EE2E1F">
        <w:rPr>
          <w:rStyle w:val="FootnoteReference"/>
          <w:rFonts w:eastAsiaTheme="majorEastAsia"/>
        </w:rPr>
        <w:footnoteRef/>
      </w:r>
      <w:r w:rsidRPr="00EE2E1F">
        <w:t xml:space="preserve"> </w:t>
      </w:r>
      <w:r w:rsidRPr="00EE2E1F">
        <w:rPr>
          <w:i/>
        </w:rPr>
        <w:t>Third Further Notice,</w:t>
      </w:r>
      <w:r w:rsidRPr="00EE2E1F">
        <w:t xml:space="preserve"> 29 FCC Rcd at 2395</w:t>
      </w:r>
      <w:r w:rsidRPr="00EE2E1F">
        <w:rPr>
          <w:i/>
        </w:rPr>
        <w:t xml:space="preserve"> </w:t>
      </w:r>
      <w:r w:rsidRPr="00EE2E1F">
        <w:t>¶ 50.</w:t>
      </w:r>
    </w:p>
  </w:footnote>
  <w:footnote w:id="83">
    <w:p w14:paraId="44320928" w14:textId="36451B87" w:rsidR="00EE2E1F" w:rsidRPr="00EE2E1F" w:rsidRDefault="00EE2E1F" w:rsidP="0067145E">
      <w:pPr>
        <w:pStyle w:val="FootnoteText"/>
      </w:pPr>
      <w:r w:rsidRPr="00EE2E1F">
        <w:rPr>
          <w:rStyle w:val="FootnoteReference"/>
          <w:rFonts w:eastAsiaTheme="majorEastAsia"/>
        </w:rPr>
        <w:footnoteRef/>
      </w:r>
      <w:r w:rsidRPr="00EE2E1F">
        <w:t xml:space="preserve"> </w:t>
      </w:r>
      <w:r w:rsidRPr="00EE2E1F">
        <w:rPr>
          <w:i/>
        </w:rPr>
        <w:t>Id.  See also</w:t>
      </w:r>
      <w:r w:rsidRPr="00EE2E1F">
        <w:t xml:space="preserve">, </w:t>
      </w:r>
      <w:r w:rsidRPr="00EE2E1F">
        <w:rPr>
          <w:i/>
        </w:rPr>
        <w:t>e.g</w:t>
      </w:r>
      <w:r w:rsidRPr="00EE2E1F">
        <w:t xml:space="preserve">., </w:t>
      </w:r>
      <w:r w:rsidRPr="00EE2E1F">
        <w:rPr>
          <w:smallCaps/>
        </w:rPr>
        <w:t>PR Newswire</w:t>
      </w:r>
      <w:r w:rsidRPr="00EE2E1F">
        <w:t xml:space="preserve">, “Verizon Wireless Activates DAS System In Empire State Plaza,” Sept. 16, 2013, </w:t>
      </w:r>
      <w:r w:rsidRPr="00EE2E1F">
        <w:rPr>
          <w:i/>
        </w:rPr>
        <w:t>available at</w:t>
      </w:r>
      <w:r w:rsidRPr="00EE2E1F">
        <w:t xml:space="preserve"> </w:t>
      </w:r>
      <w:hyperlink r:id="rId17" w:history="1">
        <w:r w:rsidRPr="00EE2E1F">
          <w:rPr>
            <w:rStyle w:val="Hyperlink"/>
            <w:rFonts w:eastAsia="MS Gothic"/>
          </w:rPr>
          <w:t>http://www.prnewswire.com/news-releases/verizon-wireless-activates-das-system-in-empire-state-plaza-223946991.html</w:t>
        </w:r>
      </w:hyperlink>
      <w:r w:rsidRPr="00EE2E1F">
        <w:t xml:space="preserve"> (last visited Oct. 29, 2014); DeGrasse, Martha, “Small cells: Carriers focus on handoffs to legacy networks,” </w:t>
      </w:r>
      <w:r w:rsidRPr="00EE2E1F">
        <w:rPr>
          <w:smallCaps/>
        </w:rPr>
        <w:t>RCR Wireless</w:t>
      </w:r>
      <w:r w:rsidRPr="00EE2E1F">
        <w:t xml:space="preserve">, Nov. 21, 2013, </w:t>
      </w:r>
      <w:r w:rsidRPr="00EE2E1F">
        <w:rPr>
          <w:i/>
        </w:rPr>
        <w:t>available at</w:t>
      </w:r>
      <w:r w:rsidRPr="00EE2E1F">
        <w:t xml:space="preserve"> </w:t>
      </w:r>
      <w:hyperlink r:id="rId18" w:history="1">
        <w:r w:rsidRPr="00EE2E1F">
          <w:rPr>
            <w:rStyle w:val="Hyperlink"/>
            <w:rFonts w:eastAsia="MS Gothic"/>
          </w:rPr>
          <w:t>http://www.rcrwireless.com/article/20131121/heterogeneous-networks-2/small-cells-carriers-focus-on-handoff-to-legacy-networks/</w:t>
        </w:r>
      </w:hyperlink>
      <w:r w:rsidRPr="00EE2E1F">
        <w:t xml:space="preserve"> (last visited Jan. 21, 2015); AT&amp;T, “Small Cells, Big Steps,” </w:t>
      </w:r>
      <w:r w:rsidRPr="00EE2E1F">
        <w:rPr>
          <w:i/>
        </w:rPr>
        <w:t>available at</w:t>
      </w:r>
      <w:r w:rsidRPr="00EE2E1F">
        <w:t xml:space="preserve"> </w:t>
      </w:r>
      <w:hyperlink r:id="rId19" w:history="1">
        <w:r w:rsidRPr="00EE2E1F">
          <w:rPr>
            <w:rStyle w:val="Hyperlink"/>
            <w:rFonts w:eastAsia="MS Gothic"/>
          </w:rPr>
          <w:t>http://www.att.com/Common/about_us/pdf/small_cell.pdf</w:t>
        </w:r>
      </w:hyperlink>
      <w:r w:rsidRPr="00EE2E1F">
        <w:t xml:space="preserve"> (last visited Jan. 21, 2015) (“by 2015, AT&amp;T plans to deploy 40,000 small cells in the network”). </w:t>
      </w:r>
    </w:p>
  </w:footnote>
  <w:footnote w:id="84">
    <w:p w14:paraId="4E9609E3" w14:textId="77777777" w:rsidR="00EE2E1F" w:rsidRPr="00EE2E1F" w:rsidRDefault="00EE2E1F" w:rsidP="00B7034F">
      <w:pPr>
        <w:pStyle w:val="FootnoteText"/>
      </w:pPr>
      <w:r w:rsidRPr="00EE2E1F">
        <w:rPr>
          <w:rStyle w:val="FootnoteReference"/>
          <w:rFonts w:eastAsiaTheme="majorEastAsia"/>
        </w:rPr>
        <w:footnoteRef/>
      </w:r>
      <w:r w:rsidRPr="00EE2E1F">
        <w:t xml:space="preserve"> Rx Networks at 5; Qualcomm Comments at 5; iPosi Comments at 6; CTIA Comments at 22; TCS Comments at 19-20; 4G Americas Reply Comments at 2; AT&amp;T Comments at 24; Rx Networks Comments at 5.   </w:t>
      </w:r>
      <w:r w:rsidRPr="00EE2E1F">
        <w:rPr>
          <w:i/>
        </w:rPr>
        <w:t>But see</w:t>
      </w:r>
      <w:r w:rsidRPr="00EE2E1F">
        <w:t xml:space="preserve"> TruePosition Reply Comments at 44 (arguing that small cells are not well-suited for dispatchable location, because handsets today are not equipped to communicate with small cells in the control plane layer, something it describes as “the very essence of E911.”). </w:t>
      </w:r>
    </w:p>
  </w:footnote>
  <w:footnote w:id="85">
    <w:p w14:paraId="6D0638CE" w14:textId="32F6F57A" w:rsidR="00EE2E1F" w:rsidRPr="00EE2E1F" w:rsidRDefault="00EE2E1F" w:rsidP="00B7034F">
      <w:pPr>
        <w:pStyle w:val="FootnoteText"/>
      </w:pPr>
      <w:r w:rsidRPr="00EE2E1F">
        <w:rPr>
          <w:rStyle w:val="FootnoteReference"/>
          <w:rFonts w:eastAsiaTheme="majorEastAsia"/>
        </w:rPr>
        <w:footnoteRef/>
      </w:r>
      <w:r w:rsidRPr="00EE2E1F">
        <w:t xml:space="preserve"> A DAS is “[a] network of spatially separated antenna nodes connected to a common source via transport medium that provides wireless service within a geographic area or structure.”  DAS Forum, “Distributed Antenna Systems (DAS) and Small Cell Technologies Distinguished,” </w:t>
      </w:r>
      <w:r w:rsidRPr="00EE2E1F">
        <w:rPr>
          <w:i/>
        </w:rPr>
        <w:t>available at</w:t>
      </w:r>
      <w:r w:rsidRPr="00EE2E1F">
        <w:t xml:space="preserve"> </w:t>
      </w:r>
      <w:hyperlink r:id="rId20" w:history="1">
        <w:r w:rsidRPr="00EE2E1F">
          <w:rPr>
            <w:rStyle w:val="Hyperlink"/>
          </w:rPr>
          <w:t>http://www.thedasforum.org/wp-content/uploads/2014/07/DAS-and-Small-Cell-Technologies-Distinguished_HNForum.pdf</w:t>
        </w:r>
      </w:hyperlink>
      <w:r w:rsidRPr="00EE2E1F">
        <w:t xml:space="preserve"> (last visited Jan. 21, 2015).  Most commenters argue that DAS is not well suited for E911 purposes.  </w:t>
      </w:r>
      <w:r w:rsidRPr="00EE2E1F">
        <w:rPr>
          <w:i/>
        </w:rPr>
        <w:t>See</w:t>
      </w:r>
      <w:r w:rsidRPr="00EE2E1F">
        <w:t xml:space="preserve"> Rx Networks Comments at 6; Transit Wireless Comments at 3; TCS Comments at 20.  </w:t>
      </w:r>
      <w:r w:rsidRPr="00EE2E1F">
        <w:rPr>
          <w:i/>
        </w:rPr>
        <w:t>But see</w:t>
      </w:r>
      <w:r w:rsidRPr="00EE2E1F">
        <w:t xml:space="preserve"> Polaris Wireless Comments at 3; Rx Networks Comments at 6; Sprint Reply Comments at 8.</w:t>
      </w:r>
    </w:p>
  </w:footnote>
  <w:footnote w:id="86">
    <w:p w14:paraId="22BE33E5" w14:textId="77777777" w:rsidR="00EE2E1F" w:rsidRPr="00EE2E1F" w:rsidRDefault="00EE2E1F" w:rsidP="00B7034F">
      <w:pPr>
        <w:pStyle w:val="FootnoteText"/>
      </w:pPr>
      <w:r w:rsidRPr="00EE2E1F">
        <w:rPr>
          <w:rStyle w:val="FootnoteReference"/>
        </w:rPr>
        <w:footnoteRef/>
      </w:r>
      <w:r w:rsidRPr="00EE2E1F">
        <w:t xml:space="preserve"> Cisco already utilizes Wi-Fi access points to provide indoor location data, and is in discussions with competitors Aruba and Ruckus on how all three vendors – which comprise nearly 80 percent of the Wi-Fi market – can work together to provide a robust indoor location solution using Wi-Fi access points.  </w:t>
      </w:r>
      <w:r w:rsidRPr="00EE2E1F">
        <w:rPr>
          <w:i/>
        </w:rPr>
        <w:t>See</w:t>
      </w:r>
      <w:r w:rsidRPr="00EE2E1F">
        <w:t xml:space="preserve"> Cisco/TCS Sept. 12, 2014 </w:t>
      </w:r>
      <w:r w:rsidRPr="00EE2E1F">
        <w:rPr>
          <w:i/>
        </w:rPr>
        <w:t>ex parte</w:t>
      </w:r>
      <w:r w:rsidRPr="00EE2E1F">
        <w:t xml:space="preserve"> at 17.</w:t>
      </w:r>
    </w:p>
  </w:footnote>
  <w:footnote w:id="87">
    <w:p w14:paraId="75D991CF" w14:textId="2C360ECF" w:rsidR="00EE2E1F" w:rsidRPr="00EE2E1F" w:rsidRDefault="00EE2E1F" w:rsidP="00B7034F">
      <w:pPr>
        <w:pStyle w:val="FootnoteText"/>
      </w:pPr>
      <w:r w:rsidRPr="00EE2E1F">
        <w:rPr>
          <w:rStyle w:val="FootnoteReference"/>
          <w:rFonts w:eastAsiaTheme="majorEastAsia"/>
        </w:rPr>
        <w:footnoteRef/>
      </w:r>
      <w:r w:rsidRPr="00EE2E1F">
        <w:t xml:space="preserve"> </w:t>
      </w:r>
      <w:r w:rsidRPr="00EE2E1F">
        <w:rPr>
          <w:i/>
        </w:rPr>
        <w:t>See</w:t>
      </w:r>
      <w:r w:rsidRPr="00EE2E1F">
        <w:t xml:space="preserve"> </w:t>
      </w:r>
      <w:r w:rsidRPr="00EE2E1F">
        <w:rPr>
          <w:i/>
        </w:rPr>
        <w:t>e.g.</w:t>
      </w:r>
      <w:r w:rsidRPr="00EE2E1F">
        <w:t xml:space="preserve">, AT&amp;T Comments at 3-4. Beacons are Bluetooth hardware devices that can be detected by and wirelessly exchange data with other Bluetooth-enabled devices, all of which are part of a Bluetooth network “stack.”  See Android, “Bluetooth,” </w:t>
      </w:r>
      <w:r w:rsidRPr="00EE2E1F">
        <w:rPr>
          <w:i/>
        </w:rPr>
        <w:t>available at</w:t>
      </w:r>
      <w:r w:rsidRPr="00EE2E1F">
        <w:t xml:space="preserve"> </w:t>
      </w:r>
      <w:hyperlink r:id="rId21" w:history="1">
        <w:r w:rsidRPr="00EE2E1F">
          <w:rPr>
            <w:rStyle w:val="Hyperlink"/>
          </w:rPr>
          <w:t>http://developer.android.com/guide/topics/connectivity/bluetooth.html</w:t>
        </w:r>
      </w:hyperlink>
      <w:r w:rsidRPr="00EE2E1F">
        <w:t xml:space="preserve"> (last visited Jan. 21, 2015).  </w:t>
      </w:r>
    </w:p>
  </w:footnote>
  <w:footnote w:id="88">
    <w:p w14:paraId="36BBA630" w14:textId="5662582A" w:rsidR="00EE2E1F" w:rsidRPr="00EE2E1F" w:rsidRDefault="00EE2E1F" w:rsidP="00B7034F">
      <w:pPr>
        <w:pStyle w:val="FootnoteText"/>
      </w:pPr>
      <w:r w:rsidRPr="00EE2E1F">
        <w:rPr>
          <w:rStyle w:val="FootnoteReference"/>
        </w:rPr>
        <w:footnoteRef/>
      </w:r>
      <w:r w:rsidRPr="00EE2E1F">
        <w:t xml:space="preserve"> Commercial location-based services (cLBS) are applications that providers load, or consumers download, onto their phones to provide location services.  </w:t>
      </w:r>
      <w:r w:rsidRPr="00EE2E1F">
        <w:rPr>
          <w:i/>
        </w:rPr>
        <w:t>Third Further Notice,</w:t>
      </w:r>
      <w:r w:rsidRPr="00EE2E1F">
        <w:t xml:space="preserve"> 29 FCC Rcd at 2320-21</w:t>
      </w:r>
      <w:r w:rsidRPr="00EE2E1F">
        <w:rPr>
          <w:i/>
        </w:rPr>
        <w:t xml:space="preserve"> </w:t>
      </w:r>
      <w:r w:rsidRPr="00EE2E1F">
        <w:t xml:space="preserve">¶ 127.  cLBS are currently implemented in all major commercial mobile operating systems with multiple independent Wi-Fi access location databases, maintained by Google, Apple, and Skyhook, among others.  </w:t>
      </w:r>
      <w:r w:rsidRPr="00EE2E1F">
        <w:rPr>
          <w:i/>
        </w:rPr>
        <w:t>See, e.g.,</w:t>
      </w:r>
      <w:r w:rsidRPr="00EE2E1F">
        <w:t xml:space="preserve"> Google, “Configure access points with Google Location Service,” </w:t>
      </w:r>
      <w:r w:rsidRPr="00EE2E1F">
        <w:rPr>
          <w:i/>
        </w:rPr>
        <w:t xml:space="preserve">available at </w:t>
      </w:r>
      <w:hyperlink r:id="rId22" w:history="1">
        <w:r w:rsidRPr="00EE2E1F">
          <w:rPr>
            <w:rStyle w:val="Hyperlink"/>
            <w:rFonts w:eastAsia="MS Gothic"/>
          </w:rPr>
          <w:t>https://support.google.com/maps/answer/1725632?hl=en</w:t>
        </w:r>
      </w:hyperlink>
      <w:r w:rsidRPr="00EE2E1F">
        <w:t xml:space="preserve"> (last visited Jan. 21, 2015); Cox, John, “Apple Leverages Wi-Fi location with latest acquisition,” </w:t>
      </w:r>
      <w:r w:rsidRPr="00EE2E1F">
        <w:rPr>
          <w:smallCaps/>
        </w:rPr>
        <w:t>Network World</w:t>
      </w:r>
      <w:r w:rsidRPr="00EE2E1F">
        <w:t xml:space="preserve">, Mar. 25, 2013, </w:t>
      </w:r>
      <w:r w:rsidRPr="00EE2E1F">
        <w:rPr>
          <w:i/>
        </w:rPr>
        <w:t xml:space="preserve">available at </w:t>
      </w:r>
      <w:hyperlink r:id="rId23" w:history="1">
        <w:r w:rsidRPr="00EE2E1F">
          <w:rPr>
            <w:rStyle w:val="Hyperlink"/>
            <w:rFonts w:eastAsia="MS Gothic"/>
          </w:rPr>
          <w:t>http://www.networkworld.com/news/2013/032513-apple-wifislam-268054.html</w:t>
        </w:r>
      </w:hyperlink>
      <w:r w:rsidRPr="00EE2E1F">
        <w:t xml:space="preserve"> (last visited Jan. 21, 2015); Skyhook, Coverage Area, </w:t>
      </w:r>
      <w:r w:rsidRPr="00EE2E1F">
        <w:rPr>
          <w:i/>
        </w:rPr>
        <w:t xml:space="preserve">available at </w:t>
      </w:r>
      <w:hyperlink r:id="rId24" w:history="1">
        <w:r w:rsidRPr="00EE2E1F">
          <w:rPr>
            <w:rStyle w:val="Hyperlink"/>
            <w:rFonts w:eastAsia="MS Gothic"/>
          </w:rPr>
          <w:t>http://www.skyhookwireless.com/location-technology/coverage.php</w:t>
        </w:r>
      </w:hyperlink>
      <w:r w:rsidRPr="00EE2E1F">
        <w:t xml:space="preserve"> (last visited Jan. 21, 2015).</w:t>
      </w:r>
    </w:p>
  </w:footnote>
  <w:footnote w:id="89">
    <w:p w14:paraId="57E3602B" w14:textId="77777777" w:rsidR="00EE2E1F" w:rsidRPr="00EE2E1F" w:rsidRDefault="00EE2E1F" w:rsidP="00B7034F">
      <w:pPr>
        <w:pStyle w:val="FootnoteText"/>
      </w:pPr>
      <w:r w:rsidRPr="00EE2E1F">
        <w:rPr>
          <w:rStyle w:val="FootnoteReference"/>
        </w:rPr>
        <w:footnoteRef/>
      </w:r>
      <w:r w:rsidRPr="00EE2E1F">
        <w:t xml:space="preserve"> Cisco submits that it would not be difficult to leverage its existing location systems for E911 indoor location accuracy use, and that doing so would not raise the kind of security concerns associated with using crowdsourced Wi-Fi data.  </w:t>
      </w:r>
      <w:r w:rsidRPr="00EE2E1F">
        <w:rPr>
          <w:i/>
        </w:rPr>
        <w:t xml:space="preserve">See </w:t>
      </w:r>
      <w:r w:rsidRPr="00EE2E1F">
        <w:t xml:space="preserve">Cisco/TCS Sept. 12, 2014 </w:t>
      </w:r>
      <w:r w:rsidRPr="00EE2E1F">
        <w:rPr>
          <w:i/>
        </w:rPr>
        <w:t>ex parte</w:t>
      </w:r>
      <w:r w:rsidRPr="00EE2E1F">
        <w:t xml:space="preserve"> at 11 (“Enterprises deploying [local area] networks do so for their own benefit” and “Enterprises manage and maintain their location infrastructure as it’s $$ to them.”) and 15 (ranking information from enterprise-based networks as more trustworthy than crowdsourced location information); Cisco Comments at 15 (“Although these consumer systems historically were viewed as untrustworthy, they can allow PSAPs unprecedented location accuracy when coupled with currently deployed CMRS E911 location technologies and trustworthy location information from Enterprise Wi-Fi.”).  </w:t>
      </w:r>
    </w:p>
  </w:footnote>
  <w:footnote w:id="90">
    <w:p w14:paraId="48ED3E91" w14:textId="1BA64AD3" w:rsidR="00EE2E1F" w:rsidRPr="00EE2E1F" w:rsidRDefault="00EE2E1F" w:rsidP="00B7034F">
      <w:pPr>
        <w:pStyle w:val="FootnoteText"/>
      </w:pPr>
      <w:r w:rsidRPr="00EE2E1F">
        <w:rPr>
          <w:rStyle w:val="FootnoteReference"/>
        </w:rPr>
        <w:footnoteRef/>
      </w:r>
      <w:r w:rsidRPr="00EE2E1F">
        <w:t xml:space="preserve"> “Smart buildings” integrate hardware like Wi-Fi antennas, beacons, motion and light sensors, and corresponding wiring into a building’s infrastructure, and shares information from each source to optimize building system function with respect to, </w:t>
      </w:r>
      <w:r w:rsidRPr="00EE2E1F">
        <w:rPr>
          <w:i/>
        </w:rPr>
        <w:t>inter alia</w:t>
      </w:r>
      <w:r w:rsidRPr="00EE2E1F">
        <w:t xml:space="preserve">, heating and ventilation, power consumption, equipment maintenance, and security.  </w:t>
      </w:r>
      <w:r w:rsidRPr="00EE2E1F">
        <w:rPr>
          <w:i/>
        </w:rPr>
        <w:t>See</w:t>
      </w:r>
      <w:r w:rsidRPr="00EE2E1F">
        <w:t xml:space="preserve"> Institute for Building Efficiency, “What is a Smart Building?”, </w:t>
      </w:r>
      <w:r w:rsidRPr="00EE2E1F">
        <w:rPr>
          <w:i/>
        </w:rPr>
        <w:t>available at</w:t>
      </w:r>
      <w:r w:rsidRPr="00EE2E1F">
        <w:t xml:space="preserve"> </w:t>
      </w:r>
      <w:hyperlink r:id="rId25" w:history="1">
        <w:r w:rsidRPr="00EE2E1F">
          <w:rPr>
            <w:rStyle w:val="Hyperlink"/>
          </w:rPr>
          <w:t>http://www.institutebe.com/smart-grid-smart-building/What-is-a-Smart-Building.aspx</w:t>
        </w:r>
      </w:hyperlink>
      <w:r w:rsidRPr="00EE2E1F">
        <w:t xml:space="preserve"> (last visited Jan. 21, 2015).  </w:t>
      </w:r>
    </w:p>
  </w:footnote>
  <w:footnote w:id="91">
    <w:p w14:paraId="50861E8F" w14:textId="7887F733" w:rsidR="00EE2E1F" w:rsidRPr="00EE2E1F" w:rsidRDefault="00EE2E1F" w:rsidP="00B7034F">
      <w:pPr>
        <w:pStyle w:val="FootnoteText"/>
      </w:pPr>
      <w:r w:rsidRPr="00EE2E1F">
        <w:rPr>
          <w:rStyle w:val="FootnoteReference"/>
          <w:rFonts w:eastAsiaTheme="majorEastAsia"/>
        </w:rPr>
        <w:footnoteRef/>
      </w:r>
      <w:r w:rsidRPr="00EE2E1F">
        <w:t xml:space="preserve"> </w:t>
      </w:r>
      <w:r w:rsidRPr="00EE2E1F">
        <w:rPr>
          <w:i/>
        </w:rPr>
        <w:t>See, e.g</w:t>
      </w:r>
      <w:r w:rsidRPr="00EE2E1F">
        <w:t>., Polaris Wireless Comments (corrected) at 3-4 (stating that its “hybrid model includes additional layers above the base layer, such as location data derived from [DAS], metro cells and pico cells, data derived from WiFi access points, and finally data derived from sensors,” and that this “stack of location” would enable it to achieve compliance with the Commission’s proposed requirements).</w:t>
      </w:r>
    </w:p>
  </w:footnote>
  <w:footnote w:id="92">
    <w:p w14:paraId="444F44A4" w14:textId="77777777" w:rsidR="00EE2E1F" w:rsidRPr="00EE2E1F" w:rsidRDefault="00EE2E1F">
      <w:pPr>
        <w:pStyle w:val="FootnoteText"/>
      </w:pPr>
      <w:r w:rsidRPr="00EE2E1F">
        <w:rPr>
          <w:rStyle w:val="FootnoteReference"/>
        </w:rPr>
        <w:footnoteRef/>
      </w:r>
      <w:r w:rsidRPr="00EE2E1F">
        <w:t xml:space="preserve"> </w:t>
      </w:r>
      <w:r w:rsidRPr="00EE2E1F">
        <w:rPr>
          <w:i/>
        </w:rPr>
        <w:t>See e.g.</w:t>
      </w:r>
      <w:r w:rsidRPr="00EE2E1F">
        <w:t xml:space="preserve">, Sunsight Instruments Roadmap Reply Comments at 2. </w:t>
      </w:r>
    </w:p>
  </w:footnote>
  <w:footnote w:id="93">
    <w:p w14:paraId="3009289D" w14:textId="6DF5CAAE" w:rsidR="00EE2E1F" w:rsidRPr="00EE2E1F" w:rsidRDefault="00EE2E1F" w:rsidP="005F5D48">
      <w:pPr>
        <w:pStyle w:val="FootnoteText"/>
      </w:pPr>
      <w:r w:rsidRPr="00EE2E1F">
        <w:rPr>
          <w:rStyle w:val="FootnoteReference"/>
        </w:rPr>
        <w:footnoteRef/>
      </w:r>
      <w:r w:rsidRPr="00EE2E1F">
        <w:t xml:space="preserve"> </w:t>
      </w:r>
      <w:r w:rsidRPr="00EE2E1F">
        <w:rPr>
          <w:i/>
        </w:rPr>
        <w:t>See</w:t>
      </w:r>
      <w:r w:rsidRPr="00EE2E1F">
        <w:t xml:space="preserve"> </w:t>
      </w:r>
      <w:r w:rsidRPr="00EE2E1F">
        <w:rPr>
          <w:i/>
        </w:rPr>
        <w:t>CSRIC LBS Report</w:t>
      </w:r>
      <w:r w:rsidRPr="00EE2E1F">
        <w:rPr>
          <w:smallCaps/>
        </w:rPr>
        <w:t xml:space="preserve"> </w:t>
      </w:r>
      <w:r w:rsidRPr="00EE2E1F">
        <w:t xml:space="preserve">at 34; Galbraith, Craig, “Number of Wi-Fi Access Points Growing Quickly,” </w:t>
      </w:r>
      <w:r w:rsidRPr="00EE2E1F">
        <w:rPr>
          <w:smallCaps/>
        </w:rPr>
        <w:t>Billing and OSS World</w:t>
      </w:r>
      <w:r w:rsidRPr="00EE2E1F">
        <w:t xml:space="preserve"> (Sept. 6, 2013), </w:t>
      </w:r>
      <w:r w:rsidRPr="00EE2E1F">
        <w:rPr>
          <w:i/>
        </w:rPr>
        <w:t xml:space="preserve">available at </w:t>
      </w:r>
      <w:hyperlink r:id="rId26" w:history="1">
        <w:r w:rsidRPr="00EE2E1F">
          <w:rPr>
            <w:rStyle w:val="Hyperlink"/>
            <w:rFonts w:eastAsia="MS Gothic"/>
          </w:rPr>
          <w:t>http://www.billingworld.com/news/2013/09/number-of-wi-fi-access-points-growing-quickly.aspx</w:t>
        </w:r>
      </w:hyperlink>
      <w:r w:rsidRPr="00EE2E1F">
        <w:rPr>
          <w:i/>
        </w:rPr>
        <w:t xml:space="preserve"> </w:t>
      </w:r>
      <w:r w:rsidRPr="00EE2E1F">
        <w:t xml:space="preserve">(last visited Jan. 21, 2015);  Apple, iPhone Tech Specs, </w:t>
      </w:r>
      <w:r w:rsidRPr="00EE2E1F">
        <w:rPr>
          <w:i/>
        </w:rPr>
        <w:t xml:space="preserve">available at </w:t>
      </w:r>
      <w:hyperlink r:id="rId27" w:history="1">
        <w:r w:rsidRPr="00EE2E1F">
          <w:rPr>
            <w:rStyle w:val="Hyperlink"/>
            <w:rFonts w:eastAsia="MS Gothic"/>
          </w:rPr>
          <w:t>http://www.apple.com/iphone/specs.html</w:t>
        </w:r>
      </w:hyperlink>
      <w:r w:rsidRPr="00EE2E1F">
        <w:rPr>
          <w:i/>
        </w:rPr>
        <w:t xml:space="preserve"> </w:t>
      </w:r>
      <w:r w:rsidRPr="00EE2E1F">
        <w:t xml:space="preserve">(last visited Jan. 21, 2015); Android, Developers, Connectivity, </w:t>
      </w:r>
      <w:r w:rsidRPr="00EE2E1F">
        <w:rPr>
          <w:i/>
        </w:rPr>
        <w:t>available at</w:t>
      </w:r>
      <w:r w:rsidRPr="00EE2E1F">
        <w:t xml:space="preserve"> </w:t>
      </w:r>
      <w:hyperlink r:id="rId28" w:history="1">
        <w:r w:rsidRPr="00EE2E1F">
          <w:rPr>
            <w:rStyle w:val="Hyperlink"/>
            <w:rFonts w:eastAsia="MS Gothic"/>
          </w:rPr>
          <w:t>http://developer.android.com/guide/topics/connectivity/bluetooth.html</w:t>
        </w:r>
      </w:hyperlink>
      <w:r w:rsidRPr="00EE2E1F">
        <w:rPr>
          <w:i/>
        </w:rPr>
        <w:t xml:space="preserve"> </w:t>
      </w:r>
      <w:r w:rsidRPr="00EE2E1F">
        <w:t xml:space="preserve">(last visited Jan. 21, 2015); Bluetooth, “Mobile Telephony Market” (2014), </w:t>
      </w:r>
      <w:r w:rsidRPr="00EE2E1F">
        <w:rPr>
          <w:i/>
        </w:rPr>
        <w:t>available at</w:t>
      </w:r>
      <w:r w:rsidRPr="00EE2E1F">
        <w:t xml:space="preserve"> </w:t>
      </w:r>
      <w:hyperlink r:id="rId29" w:history="1">
        <w:r w:rsidRPr="00EE2E1F">
          <w:rPr>
            <w:rStyle w:val="Hyperlink"/>
          </w:rPr>
          <w:t>http://www.bluetooth.com/Pages/Mobile-Telephony-Market.aspx</w:t>
        </w:r>
      </w:hyperlink>
      <w:r w:rsidRPr="00EE2E1F">
        <w:t xml:space="preserve"> (last visited Jan. 21, 2015).  </w:t>
      </w:r>
      <w:r w:rsidRPr="00EE2E1F">
        <w:rPr>
          <w:i/>
        </w:rPr>
        <w:t>See also</w:t>
      </w:r>
      <w:r w:rsidRPr="00EE2E1F">
        <w:t xml:space="preserve"> Panzarino, Michael, “The Open Secret Of iBeacon: Apple Could Have 250M Potential Units In The Wild By 2014,” </w:t>
      </w:r>
      <w:r w:rsidRPr="00EE2E1F">
        <w:rPr>
          <w:smallCaps/>
        </w:rPr>
        <w:t>TechCrunch</w:t>
      </w:r>
      <w:r w:rsidRPr="00EE2E1F">
        <w:t xml:space="preserve"> (Dec. 7, 2013), </w:t>
      </w:r>
      <w:r w:rsidRPr="00EE2E1F">
        <w:rPr>
          <w:i/>
        </w:rPr>
        <w:t>available at</w:t>
      </w:r>
      <w:r w:rsidRPr="00EE2E1F">
        <w:t xml:space="preserve">  </w:t>
      </w:r>
      <w:hyperlink r:id="rId30" w:history="1">
        <w:r w:rsidRPr="00EE2E1F">
          <w:rPr>
            <w:rStyle w:val="Hyperlink"/>
          </w:rPr>
          <w:t>http://techcrunch.com/2013/12/07/the-open-secret-of-ibeacon-apple-could-have-250m-units-in-the-wild-by-2014/</w:t>
        </w:r>
      </w:hyperlink>
      <w:r w:rsidRPr="00EE2E1F">
        <w:t xml:space="preserve"> (last visited Jan. 21, 2015).</w:t>
      </w:r>
    </w:p>
  </w:footnote>
  <w:footnote w:id="94">
    <w:p w14:paraId="6A67CB20" w14:textId="00F96692" w:rsidR="00EE2E1F" w:rsidRPr="00EE2E1F" w:rsidRDefault="00EE2E1F" w:rsidP="00BD1DC4">
      <w:pPr>
        <w:pStyle w:val="FootnoteText"/>
      </w:pPr>
      <w:r w:rsidRPr="00EE2E1F">
        <w:rPr>
          <w:rStyle w:val="FootnoteReference"/>
          <w:rFonts w:eastAsiaTheme="majorEastAsia"/>
        </w:rPr>
        <w:footnoteRef/>
      </w:r>
      <w:r w:rsidRPr="00EE2E1F">
        <w:t xml:space="preserve"> </w:t>
      </w:r>
      <w:r w:rsidRPr="00EE2E1F">
        <w:rPr>
          <w:i/>
        </w:rPr>
        <w:t>See</w:t>
      </w:r>
      <w:r w:rsidRPr="00EE2E1F">
        <w:t xml:space="preserve"> </w:t>
      </w:r>
      <w:hyperlink r:id="rId31" w:history="1">
        <w:r w:rsidRPr="00EE2E1F">
          <w:rPr>
            <w:rStyle w:val="Hyperlink"/>
          </w:rPr>
          <w:t>http://www.verizonwireless.com/accessories/samsung-network-extender-scs-2u01/</w:t>
        </w:r>
      </w:hyperlink>
      <w:r w:rsidRPr="00EE2E1F">
        <w:t xml:space="preserve"> (last visited Jan. 21, 2015); </w:t>
      </w:r>
      <w:hyperlink r:id="rId32" w:history="1">
        <w:r w:rsidRPr="00EE2E1F">
          <w:rPr>
            <w:rStyle w:val="Hyperlink"/>
          </w:rPr>
          <w:t>http://www.sprintenterprise.com/airave/faq.html</w:t>
        </w:r>
      </w:hyperlink>
      <w:r w:rsidRPr="00EE2E1F">
        <w:t xml:space="preserve"> (last visited Jan. 21, 2015); </w:t>
      </w:r>
      <w:hyperlink r:id="rId33" w:history="1">
        <w:r w:rsidRPr="00EE2E1F">
          <w:rPr>
            <w:rStyle w:val="Hyperlink"/>
          </w:rPr>
          <w:t>http://www.att.com/standalone/3gmicrocell/?fbid=W5aTdQD6xi9</w:t>
        </w:r>
      </w:hyperlink>
      <w:r w:rsidRPr="00EE2E1F">
        <w:t xml:space="preserve"> (last visited Jan. 21, 2015); </w:t>
      </w:r>
      <w:hyperlink r:id="rId34" w:history="1">
        <w:r w:rsidRPr="00EE2E1F">
          <w:rPr>
            <w:rStyle w:val="Hyperlink"/>
          </w:rPr>
          <w:t>http://www.tmonews.com/2014/09/t-mobile-asus-personal-cellspot-lte-cel-fi/</w:t>
        </w:r>
      </w:hyperlink>
      <w:r w:rsidRPr="00EE2E1F">
        <w:t xml:space="preserve"> (last visited Jan. 21, 2015). </w:t>
      </w:r>
    </w:p>
  </w:footnote>
  <w:footnote w:id="95">
    <w:p w14:paraId="2AE87E64" w14:textId="77777777" w:rsidR="00EE2E1F" w:rsidRPr="00EE2E1F" w:rsidRDefault="00EE2E1F" w:rsidP="00BD1DC4">
      <w:pPr>
        <w:pStyle w:val="FootnoteText"/>
      </w:pPr>
      <w:r w:rsidRPr="00EE2E1F">
        <w:rPr>
          <w:rStyle w:val="FootnoteReference"/>
        </w:rPr>
        <w:footnoteRef/>
      </w:r>
      <w:r w:rsidRPr="00EE2E1F">
        <w:t xml:space="preserve"> Roadmap at Section 2(b)(i) (“To the extent that a carrier plans to introduce new wireless consumer home products, such carrier agrees to introduce such products that will provide dispatchable location within 18-24 months of the date of the Agreement.  Products not installed by carrier representatives may require the customer to input dispatchable location data (e.g., apartment number) into the product or device.”). </w:t>
      </w:r>
    </w:p>
  </w:footnote>
  <w:footnote w:id="96">
    <w:p w14:paraId="34458E28" w14:textId="77777777" w:rsidR="00EE2E1F" w:rsidRPr="00EE2E1F" w:rsidRDefault="00EE2E1F" w:rsidP="009B174A">
      <w:pPr>
        <w:pStyle w:val="FootnoteText"/>
      </w:pPr>
      <w:r w:rsidRPr="00EE2E1F">
        <w:rPr>
          <w:rStyle w:val="FootnoteReference"/>
        </w:rPr>
        <w:footnoteRef/>
      </w:r>
      <w:r w:rsidRPr="00EE2E1F">
        <w:t xml:space="preserve"> Letter from H. Russell Frisby, Counsel, TeleCommunication Systems, Inc., to Marlene H. Dortch, Secretary, Federal Communications Commission (filed Jan. 16, 2015), Attachment at 28 (TCS Jan. 16 </w:t>
      </w:r>
      <w:r w:rsidRPr="00EE2E1F">
        <w:rPr>
          <w:i/>
        </w:rPr>
        <w:t>Ex Parte</w:t>
      </w:r>
      <w:r w:rsidRPr="00EE2E1F">
        <w:t xml:space="preserve">).   </w:t>
      </w:r>
    </w:p>
  </w:footnote>
  <w:footnote w:id="97">
    <w:p w14:paraId="6B6B6779" w14:textId="77777777" w:rsidR="00EE2E1F" w:rsidRPr="00EE2E1F" w:rsidRDefault="00EE2E1F" w:rsidP="00B7034F">
      <w:pPr>
        <w:pStyle w:val="FootnoteText"/>
      </w:pPr>
      <w:r w:rsidRPr="00EE2E1F">
        <w:rPr>
          <w:rStyle w:val="FootnoteReference"/>
          <w:rFonts w:eastAsiaTheme="majorEastAsia"/>
        </w:rPr>
        <w:footnoteRef/>
      </w:r>
      <w:r w:rsidRPr="00EE2E1F">
        <w:t xml:space="preserve"> Cisco/TCS Sept. 12, 2014 </w:t>
      </w:r>
      <w:r w:rsidRPr="00EE2E1F">
        <w:rPr>
          <w:i/>
        </w:rPr>
        <w:t>ex parte</w:t>
      </w:r>
      <w:r w:rsidRPr="00EE2E1F">
        <w:t xml:space="preserve"> at 2</w:t>
      </w:r>
    </w:p>
  </w:footnote>
  <w:footnote w:id="98">
    <w:p w14:paraId="126D9016" w14:textId="34E4EF4D" w:rsidR="00EE2E1F" w:rsidRPr="00EE2E1F" w:rsidRDefault="00EE2E1F">
      <w:pPr>
        <w:pStyle w:val="FootnoteText"/>
      </w:pPr>
      <w:r w:rsidRPr="00EE2E1F">
        <w:rPr>
          <w:rStyle w:val="FootnoteReference"/>
        </w:rPr>
        <w:footnoteRef/>
      </w:r>
      <w:r w:rsidRPr="00EE2E1F">
        <w:t xml:space="preserve"> </w:t>
      </w:r>
      <w:r w:rsidRPr="00EE2E1F">
        <w:rPr>
          <w:i/>
        </w:rPr>
        <w:t>See</w:t>
      </w:r>
      <w:r w:rsidRPr="00EE2E1F">
        <w:t xml:space="preserve"> Nest Protect, </w:t>
      </w:r>
      <w:hyperlink r:id="rId35" w:history="1">
        <w:r w:rsidRPr="00EE2E1F">
          <w:rPr>
            <w:rStyle w:val="Hyperlink"/>
          </w:rPr>
          <w:t>https://nest.com/smoke-co-alarm/life-with-nest-protect/</w:t>
        </w:r>
      </w:hyperlink>
      <w:r w:rsidRPr="00EE2E1F">
        <w:t xml:space="preserve"> (last visited Jan. 6, 2015); August Smart Lock, </w:t>
      </w:r>
      <w:hyperlink r:id="rId36" w:history="1">
        <w:r w:rsidRPr="00EE2E1F">
          <w:rPr>
            <w:rStyle w:val="Hyperlink"/>
          </w:rPr>
          <w:t>http://august.com/</w:t>
        </w:r>
      </w:hyperlink>
      <w:r w:rsidRPr="00EE2E1F">
        <w:t xml:space="preserve"> (last visited Jan. 5, 2015); Smarter Socket, </w:t>
      </w:r>
      <w:hyperlink r:id="rId37" w:history="1">
        <w:r w:rsidRPr="00EE2E1F">
          <w:rPr>
            <w:rStyle w:val="Hyperlink"/>
          </w:rPr>
          <w:t>http://smartersocket.com</w:t>
        </w:r>
      </w:hyperlink>
      <w:r w:rsidRPr="00EE2E1F">
        <w:t xml:space="preserve"> (last visited Jan. 6, 2015).</w:t>
      </w:r>
    </w:p>
  </w:footnote>
  <w:footnote w:id="99">
    <w:p w14:paraId="103D4AAD" w14:textId="77777777" w:rsidR="00EE2E1F" w:rsidRPr="00EE2E1F" w:rsidRDefault="00EE2E1F" w:rsidP="005F5D48">
      <w:pPr>
        <w:pStyle w:val="FootnoteText"/>
      </w:pPr>
      <w:r w:rsidRPr="00EE2E1F">
        <w:rPr>
          <w:rStyle w:val="FootnoteReference"/>
        </w:rPr>
        <w:footnoteRef/>
      </w:r>
      <w:r w:rsidRPr="00EE2E1F">
        <w:t xml:space="preserve"> IACP </w:t>
      </w:r>
      <w:r w:rsidRPr="00EE2E1F">
        <w:rPr>
          <w:i/>
        </w:rPr>
        <w:t>et al</w:t>
      </w:r>
      <w:r w:rsidRPr="00EE2E1F">
        <w:t xml:space="preserve"> Roadmap Comments at 2; IMSA Roadmap Comments at 5; TruePosition Roadmap Comments at 5-6.  </w:t>
      </w:r>
      <w:r w:rsidRPr="00EE2E1F">
        <w:rPr>
          <w:i/>
        </w:rPr>
        <w:t>But see</w:t>
      </w:r>
      <w:r w:rsidRPr="00EE2E1F">
        <w:t xml:space="preserve"> CCIA Roadmap Reply Comments at 2 (“WiFi and Bluetooth technologies are fully integrated into the existing mobile wireless ecosystem and are not “untested” as some parties claim. The roadmap accelerates progress on location accuracy also by leveraging existing commercial location services.”); Cisco Roadmap Comments at 10-12.</w:t>
      </w:r>
    </w:p>
  </w:footnote>
  <w:footnote w:id="100">
    <w:p w14:paraId="1A66888C" w14:textId="77777777" w:rsidR="00EE2E1F" w:rsidRPr="00EE2E1F" w:rsidRDefault="00EE2E1F" w:rsidP="005F5D48">
      <w:pPr>
        <w:pStyle w:val="FootnoteText"/>
      </w:pPr>
      <w:r w:rsidRPr="00EE2E1F">
        <w:rPr>
          <w:rStyle w:val="FootnoteReference"/>
        </w:rPr>
        <w:footnoteRef/>
      </w:r>
      <w:r w:rsidRPr="00EE2E1F">
        <w:t xml:space="preserve"> Hawaii E911 Board Roadmap Comments at 2; AARP Roadmap Comments at 2. </w:t>
      </w:r>
    </w:p>
  </w:footnote>
  <w:footnote w:id="101">
    <w:p w14:paraId="6A911116" w14:textId="77777777" w:rsidR="00EE2E1F" w:rsidRPr="00EE2E1F" w:rsidRDefault="00EE2E1F" w:rsidP="00067204">
      <w:pPr>
        <w:pStyle w:val="FootnoteText"/>
      </w:pPr>
      <w:r w:rsidRPr="00EE2E1F">
        <w:rPr>
          <w:rStyle w:val="FootnoteReference"/>
          <w:rFonts w:eastAsiaTheme="majorEastAsia"/>
        </w:rPr>
        <w:footnoteRef/>
      </w:r>
      <w:r w:rsidRPr="00EE2E1F">
        <w:t xml:space="preserve"> </w:t>
      </w:r>
      <w:r w:rsidRPr="00EE2E1F">
        <w:rPr>
          <w:i/>
        </w:rPr>
        <w:t>See, e.g</w:t>
      </w:r>
      <w:r w:rsidRPr="00EE2E1F">
        <w:t xml:space="preserve">., 4G Americas Aug. 11, 2014 </w:t>
      </w:r>
      <w:r w:rsidRPr="00EE2E1F">
        <w:rPr>
          <w:i/>
        </w:rPr>
        <w:t>ex parte</w:t>
      </w:r>
      <w:r w:rsidRPr="00EE2E1F">
        <w:t xml:space="preserve"> at 2; T-Mobile Comments at 2.</w:t>
      </w:r>
    </w:p>
  </w:footnote>
  <w:footnote w:id="102">
    <w:p w14:paraId="5A497BF7" w14:textId="77777777" w:rsidR="00EE2E1F" w:rsidRPr="00EE2E1F" w:rsidRDefault="00EE2E1F" w:rsidP="00067204">
      <w:pPr>
        <w:pStyle w:val="FootnoteText"/>
      </w:pPr>
      <w:r w:rsidRPr="00EE2E1F">
        <w:rPr>
          <w:rStyle w:val="FootnoteReference"/>
          <w:rFonts w:eastAsiaTheme="majorEastAsia"/>
        </w:rPr>
        <w:footnoteRef/>
      </w:r>
      <w:r w:rsidRPr="00EE2E1F">
        <w:t xml:space="preserve"> T-Mobile Comments at 2.  </w:t>
      </w:r>
    </w:p>
  </w:footnote>
  <w:footnote w:id="103">
    <w:p w14:paraId="5025A00D" w14:textId="77777777" w:rsidR="00EE2E1F" w:rsidRPr="00EE2E1F" w:rsidRDefault="00EE2E1F" w:rsidP="00067204">
      <w:pPr>
        <w:pStyle w:val="FootnoteText"/>
      </w:pPr>
      <w:r w:rsidRPr="00EE2E1F">
        <w:rPr>
          <w:rStyle w:val="FootnoteReference"/>
          <w:rFonts w:eastAsiaTheme="majorEastAsia"/>
        </w:rPr>
        <w:footnoteRef/>
      </w:r>
      <w:r w:rsidRPr="00EE2E1F">
        <w:t xml:space="preserve"> T-Mobile Comments at 2 and Reply Comments at 12.  </w:t>
      </w:r>
      <w:r w:rsidRPr="00EE2E1F">
        <w:rPr>
          <w:i/>
        </w:rPr>
        <w:t>See also</w:t>
      </w:r>
      <w:r w:rsidRPr="00EE2E1F">
        <w:t xml:space="preserve"> Sprint Reply Comments at 12; iPosi Reply Comments at 5-6; 4G Americas Aug. 11, 2014 </w:t>
      </w:r>
      <w:r w:rsidRPr="00EE2E1F">
        <w:rPr>
          <w:i/>
        </w:rPr>
        <w:t>ex parte</w:t>
      </w:r>
      <w:r w:rsidRPr="00EE2E1F">
        <w:t xml:space="preserve"> at 2. </w:t>
      </w:r>
    </w:p>
  </w:footnote>
  <w:footnote w:id="104">
    <w:p w14:paraId="4E79ED16" w14:textId="77777777" w:rsidR="00EE2E1F" w:rsidRPr="00EE2E1F" w:rsidRDefault="00EE2E1F" w:rsidP="00633562">
      <w:pPr>
        <w:pStyle w:val="FootnoteText"/>
      </w:pPr>
      <w:r w:rsidRPr="00EE2E1F">
        <w:rPr>
          <w:rStyle w:val="FootnoteReference"/>
        </w:rPr>
        <w:footnoteRef/>
      </w:r>
      <w:r w:rsidRPr="00EE2E1F">
        <w:t xml:space="preserve"> </w:t>
      </w:r>
      <w:r w:rsidRPr="00EE2E1F">
        <w:rPr>
          <w:i/>
        </w:rPr>
        <w:t>See, e.g.,</w:t>
      </w:r>
      <w:r w:rsidRPr="00EE2E1F">
        <w:t xml:space="preserve"> AT&amp;T Comments at 2 (pointing out that many existing smartphones are capable of sensing nearby Wi-Fi and Bluetooth beacons for cLBS purposes and suggests that these capabilities could be similarly exploited for 911 purposes).</w:t>
      </w:r>
    </w:p>
  </w:footnote>
  <w:footnote w:id="105">
    <w:p w14:paraId="36894114" w14:textId="04958A3F" w:rsidR="00EE2E1F" w:rsidRPr="00EE2E1F" w:rsidRDefault="00EE2E1F" w:rsidP="00633562">
      <w:pPr>
        <w:pStyle w:val="FootnoteText"/>
      </w:pPr>
      <w:r w:rsidRPr="00EE2E1F">
        <w:rPr>
          <w:rStyle w:val="FootnoteReference"/>
          <w:rFonts w:eastAsiaTheme="majorEastAsia"/>
        </w:rPr>
        <w:footnoteRef/>
      </w:r>
      <w:r w:rsidRPr="00EE2E1F">
        <w:t xml:space="preserve"> </w:t>
      </w:r>
      <w:r w:rsidRPr="00EE2E1F">
        <w:rPr>
          <w:i/>
        </w:rPr>
        <w:t>See, e.g</w:t>
      </w:r>
      <w:r w:rsidRPr="00EE2E1F">
        <w:t>., TIA Comments at 4 (“</w:t>
      </w:r>
      <w:r w:rsidRPr="00EE2E1F">
        <w:rPr>
          <w:rFonts w:eastAsia="MS Mincho"/>
          <w:lang w:eastAsia="ja-JP"/>
        </w:rPr>
        <w:t>new user devices will need to be deployed to support this feature in order to be available to support the Commission’s location accuracy objectives.”).</w:t>
      </w:r>
    </w:p>
  </w:footnote>
  <w:footnote w:id="106">
    <w:p w14:paraId="4A927F2C" w14:textId="77777777" w:rsidR="00EE2E1F" w:rsidRPr="00EE2E1F" w:rsidRDefault="00EE2E1F" w:rsidP="00633562">
      <w:pPr>
        <w:pStyle w:val="FootnoteText"/>
      </w:pPr>
      <w:r w:rsidRPr="00EE2E1F">
        <w:rPr>
          <w:rStyle w:val="FootnoteReference"/>
          <w:rFonts w:eastAsiaTheme="majorEastAsia"/>
        </w:rPr>
        <w:footnoteRef/>
      </w:r>
      <w:r w:rsidRPr="00EE2E1F">
        <w:t xml:space="preserve"> Cisco Comments at 9; AT&amp;T Comments at 2; Sprint Comments at 1; TCS Comments at 32.</w:t>
      </w:r>
    </w:p>
  </w:footnote>
  <w:footnote w:id="107">
    <w:p w14:paraId="71258BD4" w14:textId="77777777" w:rsidR="00EE2E1F" w:rsidRPr="00EE2E1F" w:rsidRDefault="00EE2E1F" w:rsidP="00633562">
      <w:pPr>
        <w:pStyle w:val="FootnoteText"/>
      </w:pPr>
      <w:r w:rsidRPr="00EE2E1F">
        <w:rPr>
          <w:rStyle w:val="FootnoteReference"/>
        </w:rPr>
        <w:footnoteRef/>
      </w:r>
      <w:r w:rsidRPr="00EE2E1F">
        <w:t xml:space="preserve"> Roadmap at Section 2(f)(i)-(ii). </w:t>
      </w:r>
    </w:p>
  </w:footnote>
  <w:footnote w:id="108">
    <w:p w14:paraId="487243D8" w14:textId="2A297417" w:rsidR="00EE2E1F" w:rsidRPr="00EE2E1F" w:rsidRDefault="00EE2E1F" w:rsidP="00633562">
      <w:pPr>
        <w:pStyle w:val="FootnoteText"/>
      </w:pPr>
      <w:r w:rsidRPr="00EE2E1F">
        <w:rPr>
          <w:rStyle w:val="FootnoteReference"/>
        </w:rPr>
        <w:footnoteRef/>
      </w:r>
      <w:r w:rsidRPr="00EE2E1F">
        <w:t xml:space="preserve"> </w:t>
      </w:r>
      <w:r w:rsidRPr="00EE2E1F">
        <w:rPr>
          <w:i/>
        </w:rPr>
        <w:t>Id.</w:t>
      </w:r>
      <w:r w:rsidRPr="00EE2E1F" w:rsidDel="00EF4D90">
        <w:t xml:space="preserve"> </w:t>
      </w:r>
      <w:r w:rsidRPr="00EE2E1F">
        <w:t xml:space="preserve">at Section 2(f).  The Roadmap commits to equipping 25 percent of VoLTE handsets with this capability within 18-24 months from the completion of standards and 50 percent of VoLTE handsets within 24-30 months.  </w:t>
      </w:r>
      <w:r w:rsidRPr="00EE2E1F">
        <w:rPr>
          <w:i/>
        </w:rPr>
        <w:t>Id</w:t>
      </w:r>
      <w:r w:rsidRPr="00EE2E1F">
        <w:t xml:space="preserve">. at Section 2(f)(iv).  The Roadmap similarly commits to improvements in x/y location related to VoLTE handset deployments to support A-GNSS 911 capabilities, including 50% of new VoLTE handsets within 24 months, 75% of VoLTE handsets within 36 months, and 100% of VoLTE handsets within 48 months.  </w:t>
      </w:r>
      <w:r w:rsidRPr="00EE2E1F">
        <w:rPr>
          <w:i/>
        </w:rPr>
        <w:t>Id.</w:t>
      </w:r>
      <w:r w:rsidRPr="00EE2E1F" w:rsidDel="00EF4D90">
        <w:t xml:space="preserve"> </w:t>
      </w:r>
      <w:r w:rsidRPr="00EE2E1F">
        <w:t xml:space="preserve">at Section 3(c).   </w:t>
      </w:r>
    </w:p>
  </w:footnote>
  <w:footnote w:id="109">
    <w:p w14:paraId="62A18ACF" w14:textId="77777777" w:rsidR="00EE2E1F" w:rsidRPr="00EE2E1F" w:rsidRDefault="00EE2E1F" w:rsidP="00633562">
      <w:pPr>
        <w:pStyle w:val="FootnoteText"/>
      </w:pPr>
      <w:r w:rsidRPr="00EE2E1F">
        <w:rPr>
          <w:rStyle w:val="FootnoteReference"/>
        </w:rPr>
        <w:footnoteRef/>
      </w:r>
      <w:r w:rsidRPr="00EE2E1F">
        <w:t xml:space="preserve"> Roadmap at Section 2(g).</w:t>
      </w:r>
    </w:p>
  </w:footnote>
  <w:footnote w:id="110">
    <w:p w14:paraId="6A572321" w14:textId="1B4A2D6B" w:rsidR="00EE2E1F" w:rsidRPr="00EE2E1F" w:rsidRDefault="00EE2E1F" w:rsidP="00633562">
      <w:pPr>
        <w:pStyle w:val="FootnoteText"/>
      </w:pPr>
      <w:r w:rsidRPr="00EE2E1F">
        <w:rPr>
          <w:rStyle w:val="FootnoteReference"/>
        </w:rPr>
        <w:footnoteRef/>
      </w:r>
      <w:r w:rsidRPr="00EE2E1F">
        <w:t xml:space="preserve"> Parallel Path at Section 2(d).  The Parallel Path suggests non-nationwide carriers equipping 25 percent of VoLTE handsets with this capability within 30-36 months from the completion of standards and 50 percent of VoLTE handsets within 36-42 months.  </w:t>
      </w:r>
      <w:r w:rsidRPr="00EE2E1F">
        <w:rPr>
          <w:i/>
        </w:rPr>
        <w:t xml:space="preserve">Id.  </w:t>
      </w:r>
      <w:r w:rsidRPr="00EE2E1F">
        <w:t xml:space="preserve">With respect to x/y enhancement, the Parallel Path also commits to deployment of A-GNSS capable VoLTE handsets along the following timetable: 50% at 36 months; 75% at 48 months and 100% within 54 months. If, however, the nationwide carriers offer four or less VoLTE-capable handsets at any of these benchmarks, then only a minimum of one handset will have the capability of supporting A-GNSS for 911.  </w:t>
      </w:r>
      <w:r w:rsidRPr="00EE2E1F">
        <w:rPr>
          <w:i/>
        </w:rPr>
        <w:t>Id.</w:t>
      </w:r>
      <w:r w:rsidRPr="00EE2E1F" w:rsidDel="000C10FE">
        <w:t xml:space="preserve"> </w:t>
      </w:r>
      <w:r w:rsidRPr="00EE2E1F">
        <w:t xml:space="preserve">at Section 3(c).  </w:t>
      </w:r>
    </w:p>
  </w:footnote>
  <w:footnote w:id="111">
    <w:p w14:paraId="2BEB9377" w14:textId="07BD1F9E" w:rsidR="00EE2E1F" w:rsidRPr="00EE2E1F" w:rsidRDefault="00EE2E1F" w:rsidP="00633562">
      <w:pPr>
        <w:pStyle w:val="FootnoteText"/>
      </w:pPr>
      <w:r w:rsidRPr="00EE2E1F">
        <w:rPr>
          <w:rStyle w:val="FootnoteReference"/>
        </w:rPr>
        <w:footnoteRef/>
      </w:r>
      <w:r w:rsidRPr="00EE2E1F">
        <w:t xml:space="preserve"> Parallel Path at Section 2(e) and (f).</w:t>
      </w:r>
    </w:p>
  </w:footnote>
  <w:footnote w:id="112">
    <w:p w14:paraId="0784F3FB" w14:textId="77777777" w:rsidR="00EE2E1F" w:rsidRPr="00EE2E1F" w:rsidRDefault="00EE2E1F" w:rsidP="00633562">
      <w:pPr>
        <w:pStyle w:val="FootnoteText"/>
      </w:pPr>
      <w:r w:rsidRPr="00EE2E1F">
        <w:rPr>
          <w:rStyle w:val="FootnoteReference"/>
          <w:rFonts w:eastAsiaTheme="majorEastAsia"/>
        </w:rPr>
        <w:footnoteRef/>
      </w:r>
      <w:r w:rsidRPr="00EE2E1F">
        <w:t xml:space="preserve"> Sprint Comments at 13(footnote omitted).</w:t>
      </w:r>
    </w:p>
  </w:footnote>
  <w:footnote w:id="113">
    <w:p w14:paraId="12909D0F" w14:textId="75679C78" w:rsidR="00EE2E1F" w:rsidRPr="00EE2E1F" w:rsidRDefault="00EE2E1F" w:rsidP="00633562">
      <w:pPr>
        <w:pStyle w:val="FootnoteText"/>
      </w:pPr>
      <w:r w:rsidRPr="00EE2E1F">
        <w:rPr>
          <w:rStyle w:val="FootnoteReference"/>
        </w:rPr>
        <w:footnoteRef/>
      </w:r>
      <w:r w:rsidRPr="00EE2E1F">
        <w:t xml:space="preserve"> </w:t>
      </w:r>
      <w:r w:rsidRPr="00EE2E1F">
        <w:rPr>
          <w:i/>
        </w:rPr>
        <w:t>See</w:t>
      </w:r>
      <w:r w:rsidRPr="00EE2E1F">
        <w:t xml:space="preserve"> Flore, Dino, 3GPP RAN Chairman, “Initial priorities for the evolution of LTE in Release-13” (Sept. 20, 2014), </w:t>
      </w:r>
      <w:r w:rsidRPr="00EE2E1F">
        <w:rPr>
          <w:i/>
        </w:rPr>
        <w:t>available at</w:t>
      </w:r>
      <w:r w:rsidRPr="00EE2E1F">
        <w:t xml:space="preserve"> </w:t>
      </w:r>
      <w:hyperlink r:id="rId38" w:history="1">
        <w:r w:rsidRPr="00EE2E1F">
          <w:rPr>
            <w:rStyle w:val="Hyperlink"/>
          </w:rPr>
          <w:t>http://www.3gpp.org/news-events/3gpp-news/1628-rel13</w:t>
        </w:r>
      </w:hyperlink>
      <w:r w:rsidRPr="00EE2E1F">
        <w:rPr>
          <w:i/>
        </w:rPr>
        <w:t xml:space="preserve"> </w:t>
      </w:r>
      <w:r w:rsidRPr="00EE2E1F">
        <w:t xml:space="preserve">(last visited Dec. 29, 2014).  </w:t>
      </w:r>
      <w:r w:rsidRPr="00EE2E1F">
        <w:rPr>
          <w:i/>
        </w:rPr>
        <w:t>See</w:t>
      </w:r>
      <w:r w:rsidRPr="00EE2E1F">
        <w:t xml:space="preserve"> </w:t>
      </w:r>
      <w:r w:rsidRPr="00EE2E1F">
        <w:rPr>
          <w:i/>
        </w:rPr>
        <w:t>also</w:t>
      </w:r>
      <w:r w:rsidRPr="00EE2E1F">
        <w:t xml:space="preserve"> Korinek, Frank and Vadalà, Francesco, “Mobile Network Operators Can Offer Strong Services for Public Safety Networks with the Help of OMA Standards,” </w:t>
      </w:r>
      <w:r w:rsidRPr="00EE2E1F">
        <w:rPr>
          <w:smallCaps/>
        </w:rPr>
        <w:t>911 Magazine</w:t>
      </w:r>
      <w:r w:rsidRPr="00EE2E1F">
        <w:t xml:space="preserve"> (May 12, 2014), </w:t>
      </w:r>
      <w:r w:rsidRPr="00EE2E1F">
        <w:rPr>
          <w:i/>
        </w:rPr>
        <w:t>available at</w:t>
      </w:r>
      <w:r w:rsidRPr="00EE2E1F">
        <w:t xml:space="preserve"> </w:t>
      </w:r>
      <w:hyperlink r:id="rId39" w:history="1">
        <w:r w:rsidRPr="00EE2E1F">
          <w:rPr>
            <w:rStyle w:val="Hyperlink"/>
          </w:rPr>
          <w:t>http://openmobilealliance.org/mobile-network-operators-can-offer-strong-services-for-public-safety-networks-with-the-help-of-oma-standards/</w:t>
        </w:r>
      </w:hyperlink>
      <w:r w:rsidRPr="00EE2E1F">
        <w:t xml:space="preserve"> (last visited Dec. 29, 2014) (OMA 911 Article). </w:t>
      </w:r>
    </w:p>
  </w:footnote>
  <w:footnote w:id="114">
    <w:p w14:paraId="50E5F6C1" w14:textId="4AF72F1A" w:rsidR="00EE2E1F" w:rsidRPr="00EE2E1F" w:rsidRDefault="00EE2E1F" w:rsidP="00132E61">
      <w:pPr>
        <w:pStyle w:val="FootnoteText"/>
      </w:pPr>
      <w:r w:rsidRPr="00EE2E1F">
        <w:rPr>
          <w:rStyle w:val="FootnoteReference"/>
        </w:rPr>
        <w:footnoteRef/>
      </w:r>
      <w:r w:rsidRPr="00EE2E1F">
        <w:t xml:space="preserve"> </w:t>
      </w:r>
      <w:r w:rsidRPr="00EE2E1F">
        <w:rPr>
          <w:i/>
        </w:rPr>
        <w:t>See</w:t>
      </w:r>
      <w:r w:rsidRPr="00EE2E1F">
        <w:t xml:space="preserve"> CSRIC IV, Working Group 1, Final Report – Location Accuracy and Testing for Voice-over-LTE Networks (Sept. 2014) at 3, available at </w:t>
      </w:r>
      <w:hyperlink r:id="rId40" w:history="1">
        <w:r w:rsidRPr="00EE2E1F">
          <w:rPr>
            <w:rStyle w:val="Hyperlink"/>
          </w:rPr>
          <w:t>http://transition.fcc.gov/pshs/advisory/csric4/CSRIC%20IV%20WG1%20TG2%20Report.pdf</w:t>
        </w:r>
      </w:hyperlink>
      <w:r w:rsidRPr="00EE2E1F">
        <w:t xml:space="preserve"> (last visited Jan. 29, 2015) (</w:t>
      </w:r>
      <w:r w:rsidRPr="00EE2E1F">
        <w:rPr>
          <w:i/>
        </w:rPr>
        <w:t>CSRIC VoLTE Report</w:t>
      </w:r>
      <w:r w:rsidRPr="00EE2E1F">
        <w:t xml:space="preserve">).  </w:t>
      </w:r>
    </w:p>
  </w:footnote>
  <w:footnote w:id="115">
    <w:p w14:paraId="21382DB2" w14:textId="0AF585F3" w:rsidR="00EE2E1F" w:rsidRPr="00EE2E1F" w:rsidRDefault="00EE2E1F" w:rsidP="00633562">
      <w:pPr>
        <w:pStyle w:val="FootnoteText"/>
      </w:pPr>
      <w:r w:rsidRPr="00EE2E1F">
        <w:rPr>
          <w:rStyle w:val="FootnoteReference"/>
          <w:rFonts w:eastAsiaTheme="majorEastAsia"/>
        </w:rPr>
        <w:footnoteRef/>
      </w:r>
      <w:r w:rsidRPr="00EE2E1F">
        <w:t xml:space="preserve"> </w:t>
      </w:r>
      <w:r w:rsidRPr="00EE2E1F">
        <w:rPr>
          <w:i/>
        </w:rPr>
        <w:t>CSRIC VoLTE Report at 13</w:t>
      </w:r>
      <w:r w:rsidRPr="00EE2E1F">
        <w:t xml:space="preserve">.  CSRIC caveats that “Wi-Fi support for control plane UE-Assisted call flows is standardized only for LTE in the LPPe protocol.”  </w:t>
      </w:r>
      <w:r w:rsidRPr="00EE2E1F">
        <w:rPr>
          <w:i/>
        </w:rPr>
        <w:t>Id</w:t>
      </w:r>
      <w:r w:rsidRPr="00EE2E1F">
        <w:t xml:space="preserve">. </w:t>
      </w:r>
    </w:p>
  </w:footnote>
  <w:footnote w:id="116">
    <w:p w14:paraId="033DC881" w14:textId="77777777" w:rsidR="00EE2E1F" w:rsidRPr="00EE2E1F" w:rsidRDefault="00EE2E1F" w:rsidP="00633562">
      <w:pPr>
        <w:pStyle w:val="FootnoteText"/>
      </w:pPr>
      <w:r w:rsidRPr="00EE2E1F">
        <w:rPr>
          <w:rStyle w:val="FootnoteReference"/>
          <w:rFonts w:eastAsiaTheme="majorEastAsia"/>
        </w:rPr>
        <w:footnoteRef/>
      </w:r>
      <w:r w:rsidRPr="00EE2E1F">
        <w:t xml:space="preserve"> Roadmap at Section 2(d) (agreeing to “formally sponsor 3GPP Study Item RP-141003 as the standards vehicle that will allow handsets to deliver Bluetooth LE and WiFi information to the network, and to work through the standards process to incorporate the Bluetooth LE and WiFi dispatchable location concept into the 3GPP technical report within 12 months of the Agreement.”).  </w:t>
      </w:r>
    </w:p>
  </w:footnote>
  <w:footnote w:id="117">
    <w:p w14:paraId="7441B13C" w14:textId="77777777" w:rsidR="00EE2E1F" w:rsidRPr="00EE2E1F" w:rsidRDefault="00EE2E1F" w:rsidP="00633562">
      <w:pPr>
        <w:pStyle w:val="FootnoteText"/>
      </w:pPr>
      <w:r w:rsidRPr="00EE2E1F">
        <w:rPr>
          <w:rStyle w:val="FootnoteReference"/>
          <w:rFonts w:eastAsiaTheme="majorEastAsia"/>
        </w:rPr>
        <w:footnoteRef/>
      </w:r>
      <w:r w:rsidRPr="00EE2E1F">
        <w:t xml:space="preserve"> Roadmap at Section 2(d)(ii) (“at a minimum including – (1) Relevant 3GPP Specifications (e.g., LTE control plane location 3GPP LPP spec 36.355), and (2) Standards to support dispatchable location (e.g., J-STD-036).”). </w:t>
      </w:r>
    </w:p>
  </w:footnote>
  <w:footnote w:id="118">
    <w:p w14:paraId="173949BB" w14:textId="77777777" w:rsidR="00EE2E1F" w:rsidRPr="00EE2E1F" w:rsidRDefault="00EE2E1F" w:rsidP="00633562">
      <w:pPr>
        <w:pStyle w:val="FootnoteText"/>
      </w:pPr>
      <w:r w:rsidRPr="00EE2E1F">
        <w:rPr>
          <w:rStyle w:val="FootnoteReference"/>
          <w:rFonts w:eastAsiaTheme="majorEastAsia"/>
        </w:rPr>
        <w:footnoteRef/>
      </w:r>
      <w:r w:rsidRPr="00EE2E1F">
        <w:t xml:space="preserve"> Roadmap at Section 2(d)(iii).</w:t>
      </w:r>
    </w:p>
  </w:footnote>
  <w:footnote w:id="119">
    <w:p w14:paraId="0BCE49F4" w14:textId="77777777" w:rsidR="00EE2E1F" w:rsidRPr="00EE2E1F" w:rsidRDefault="00EE2E1F" w:rsidP="007E4590">
      <w:pPr>
        <w:pStyle w:val="FootnoteText"/>
        <w:tabs>
          <w:tab w:val="left" w:pos="990"/>
        </w:tabs>
      </w:pPr>
      <w:r w:rsidRPr="00EE2E1F">
        <w:rPr>
          <w:rStyle w:val="FootnoteReference"/>
          <w:rFonts w:eastAsiaTheme="majorEastAsia"/>
        </w:rPr>
        <w:footnoteRef/>
      </w:r>
      <w:r w:rsidRPr="00EE2E1F">
        <w:t xml:space="preserve"> </w:t>
      </w:r>
      <w:r w:rsidRPr="00EE2E1F">
        <w:rPr>
          <w:i/>
        </w:rPr>
        <w:t>Third Further Notice,</w:t>
      </w:r>
      <w:r w:rsidRPr="00EE2E1F">
        <w:t xml:space="preserve"> 29 FCC Rcd at 2425</w:t>
      </w:r>
      <w:r w:rsidRPr="00EE2E1F">
        <w:rPr>
          <w:i/>
        </w:rPr>
        <w:t xml:space="preserve"> </w:t>
      </w:r>
      <w:r w:rsidRPr="00EE2E1F">
        <w:t xml:space="preserve">¶ 136.  </w:t>
      </w:r>
    </w:p>
  </w:footnote>
  <w:footnote w:id="120">
    <w:p w14:paraId="03F7BFE7" w14:textId="77777777" w:rsidR="00EE2E1F" w:rsidRPr="00EE2E1F" w:rsidRDefault="00EE2E1F" w:rsidP="007E4590">
      <w:pPr>
        <w:pStyle w:val="FootnoteText"/>
      </w:pPr>
      <w:r w:rsidRPr="00EE2E1F">
        <w:rPr>
          <w:rStyle w:val="FootnoteReference"/>
          <w:rFonts w:eastAsiaTheme="majorEastAsia"/>
        </w:rPr>
        <w:footnoteRef/>
      </w:r>
      <w:r w:rsidRPr="00EE2E1F">
        <w:t xml:space="preserve"> TCS Comments at 22.  </w:t>
      </w:r>
    </w:p>
  </w:footnote>
  <w:footnote w:id="121">
    <w:p w14:paraId="5289C57A" w14:textId="77777777" w:rsidR="00EE2E1F" w:rsidRPr="00EE2E1F" w:rsidRDefault="00EE2E1F" w:rsidP="007E4590">
      <w:pPr>
        <w:pStyle w:val="FootnoteText"/>
      </w:pPr>
      <w:r w:rsidRPr="00EE2E1F">
        <w:rPr>
          <w:rStyle w:val="FootnoteReference"/>
        </w:rPr>
        <w:footnoteRef/>
      </w:r>
      <w:r w:rsidRPr="00EE2E1F">
        <w:t xml:space="preserve"> Sprint Reply Comments at 11.  </w:t>
      </w:r>
      <w:r w:rsidRPr="00EE2E1F">
        <w:rPr>
          <w:i/>
        </w:rPr>
        <w:t>See also</w:t>
      </w:r>
      <w:r w:rsidRPr="00EE2E1F">
        <w:t xml:space="preserve"> Cisco Comments at 9-10 (“current Wi-Fi location mechanisms require access to the Wi-Fi identifier, the MAC address.   To obtain this information, a 911 Service Provider may require access to a database or a protocol enhancement might be necessary to allow the 911 Service Provider to query the information from the device itself.  911 Service Providers also may need gateway devices to enable them to query participating enterprise networks to find the Wi-Fi based location of the phone.”).</w:t>
      </w:r>
    </w:p>
  </w:footnote>
  <w:footnote w:id="122">
    <w:p w14:paraId="0A69BAE1" w14:textId="5C762B59" w:rsidR="00EE2E1F" w:rsidRPr="00EE2E1F" w:rsidRDefault="00EE2E1F" w:rsidP="007E4590">
      <w:pPr>
        <w:pStyle w:val="FootnoteText"/>
      </w:pPr>
      <w:r w:rsidRPr="00EE2E1F">
        <w:rPr>
          <w:rStyle w:val="FootnoteReference"/>
        </w:rPr>
        <w:footnoteRef/>
      </w:r>
      <w:r w:rsidRPr="00EE2E1F">
        <w:t xml:space="preserve"> TCS Comments at 21.  Some commenters argue that CMRS providers cannot control when a Wi-Fi hotspot or small cell installed by a third party is moved to a different location, and therefore cannot be certain that location information associated with the device is up-to-date.  </w:t>
      </w:r>
      <w:r w:rsidRPr="00EE2E1F">
        <w:rPr>
          <w:i/>
        </w:rPr>
        <w:t>See e.g</w:t>
      </w:r>
      <w:r w:rsidRPr="00EE2E1F">
        <w:t xml:space="preserve">., iPosi Comments at 3-4.  Other commenters contend that technology exists that would enable small cells to self-locate and provide automatic updates to a location database when moved.  </w:t>
      </w:r>
      <w:r w:rsidRPr="00EE2E1F">
        <w:rPr>
          <w:i/>
        </w:rPr>
        <w:t>See</w:t>
      </w:r>
      <w:r w:rsidRPr="00EE2E1F">
        <w:t xml:space="preserve"> Rx Networks Comments at 5.  </w:t>
      </w:r>
    </w:p>
  </w:footnote>
  <w:footnote w:id="123">
    <w:p w14:paraId="15331040" w14:textId="0820810A" w:rsidR="00EE2E1F" w:rsidRPr="00EE2E1F" w:rsidRDefault="00EE2E1F" w:rsidP="007E4590">
      <w:pPr>
        <w:pStyle w:val="FootnoteText"/>
      </w:pPr>
      <w:r w:rsidRPr="00EE2E1F">
        <w:rPr>
          <w:rStyle w:val="FootnoteReference"/>
          <w:rFonts w:eastAsiaTheme="majorEastAsia"/>
        </w:rPr>
        <w:footnoteRef/>
      </w:r>
      <w:r w:rsidRPr="00EE2E1F">
        <w:t xml:space="preserve"> </w:t>
      </w:r>
      <w:r w:rsidRPr="00EE2E1F">
        <w:rPr>
          <w:rFonts w:eastAsia="MS Mincho"/>
          <w:lang w:eastAsia="ja-JP"/>
        </w:rPr>
        <w:t xml:space="preserve">NextNav Reply Comments at 47; </w:t>
      </w:r>
      <w:r w:rsidRPr="00EE2E1F">
        <w:t xml:space="preserve">4G Americas </w:t>
      </w:r>
      <w:r w:rsidRPr="00EE2E1F">
        <w:rPr>
          <w:i/>
        </w:rPr>
        <w:t>ex parte</w:t>
      </w:r>
      <w:r w:rsidRPr="00EE2E1F">
        <w:t xml:space="preserve"> at 2; Cisco Comments at 10</w:t>
      </w:r>
      <w:r w:rsidRPr="00EE2E1F">
        <w:rPr>
          <w:rFonts w:eastAsia="MS Mincho"/>
          <w:lang w:eastAsia="ja-JP"/>
        </w:rPr>
        <w:t>; Sprint Comments at 17-18.</w:t>
      </w:r>
    </w:p>
  </w:footnote>
  <w:footnote w:id="124">
    <w:p w14:paraId="630317CD" w14:textId="77777777" w:rsidR="00EE2E1F" w:rsidRPr="00EE2E1F" w:rsidRDefault="00EE2E1F" w:rsidP="007E4590">
      <w:pPr>
        <w:pStyle w:val="FootnoteText"/>
      </w:pPr>
      <w:r w:rsidRPr="00EE2E1F">
        <w:rPr>
          <w:rStyle w:val="FootnoteReference"/>
          <w:rFonts w:eastAsiaTheme="majorEastAsia"/>
        </w:rPr>
        <w:footnoteRef/>
      </w:r>
      <w:r w:rsidRPr="00EE2E1F">
        <w:t xml:space="preserve"> Roadmap at Section 2(e).  </w:t>
      </w:r>
    </w:p>
  </w:footnote>
  <w:footnote w:id="125">
    <w:p w14:paraId="08B5084A" w14:textId="6203143A" w:rsidR="00EE2E1F" w:rsidRPr="00EE2E1F" w:rsidRDefault="00EE2E1F" w:rsidP="007E4590">
      <w:pPr>
        <w:pStyle w:val="FootnoteText"/>
      </w:pPr>
      <w:r w:rsidRPr="00EE2E1F">
        <w:rPr>
          <w:rStyle w:val="FootnoteReference"/>
          <w:rFonts w:eastAsiaTheme="majorEastAsia"/>
        </w:rPr>
        <w:footnoteRef/>
      </w:r>
      <w:r w:rsidRPr="00EE2E1F">
        <w:t xml:space="preserve"> </w:t>
      </w:r>
      <w:r w:rsidRPr="00EE2E1F">
        <w:rPr>
          <w:i/>
        </w:rPr>
        <w:t>Id.</w:t>
      </w:r>
      <w:r w:rsidRPr="00EE2E1F">
        <w:t xml:space="preserve"> at Section 2(e)(i). </w:t>
      </w:r>
    </w:p>
  </w:footnote>
  <w:footnote w:id="126">
    <w:p w14:paraId="240BB92E" w14:textId="2B2BECBB" w:rsidR="00EE2E1F" w:rsidRPr="00EE2E1F" w:rsidRDefault="00EE2E1F" w:rsidP="007E4590">
      <w:pPr>
        <w:pStyle w:val="FootnoteText"/>
      </w:pPr>
      <w:r w:rsidRPr="00EE2E1F">
        <w:rPr>
          <w:rStyle w:val="FootnoteReference"/>
          <w:rFonts w:eastAsiaTheme="majorEastAsia"/>
        </w:rPr>
        <w:footnoteRef/>
      </w:r>
      <w:r w:rsidRPr="00EE2E1F">
        <w:t xml:space="preserve"> </w:t>
      </w:r>
      <w:r w:rsidRPr="00EE2E1F">
        <w:rPr>
          <w:i/>
        </w:rPr>
        <w:t>Id.</w:t>
      </w:r>
      <w:r w:rsidRPr="00EE2E1F" w:rsidDel="000C10FE">
        <w:t xml:space="preserve"> </w:t>
      </w:r>
      <w:r w:rsidRPr="00EE2E1F">
        <w:t xml:space="preserve">at Section 2(e)(ii).  </w:t>
      </w:r>
    </w:p>
  </w:footnote>
  <w:footnote w:id="127">
    <w:p w14:paraId="70CBD953" w14:textId="77777777" w:rsidR="00EE2E1F" w:rsidRPr="00EE2E1F" w:rsidRDefault="00EE2E1F" w:rsidP="00E84D7B">
      <w:pPr>
        <w:pStyle w:val="FootnoteText"/>
      </w:pPr>
      <w:r w:rsidRPr="00EE2E1F">
        <w:rPr>
          <w:rStyle w:val="FootnoteReference"/>
        </w:rPr>
        <w:footnoteRef/>
      </w:r>
      <w:r w:rsidRPr="00EE2E1F">
        <w:t xml:space="preserve"> Parallel Path at Section 2(c)(i).  </w:t>
      </w:r>
    </w:p>
  </w:footnote>
  <w:footnote w:id="128">
    <w:p w14:paraId="575D2728" w14:textId="4F259ED8" w:rsidR="00EE2E1F" w:rsidRPr="00EE2E1F" w:rsidRDefault="00EE2E1F" w:rsidP="007E4590">
      <w:pPr>
        <w:pStyle w:val="FootnoteText"/>
      </w:pPr>
      <w:r w:rsidRPr="00EE2E1F">
        <w:rPr>
          <w:rStyle w:val="FootnoteReference"/>
          <w:rFonts w:eastAsiaTheme="majorEastAsia"/>
        </w:rPr>
        <w:footnoteRef/>
      </w:r>
      <w:r w:rsidRPr="00EE2E1F">
        <w:t xml:space="preserve"> Roadmap at Section 2(e)(iii); </w:t>
      </w:r>
      <w:r w:rsidRPr="00EE2E1F">
        <w:rPr>
          <w:i/>
        </w:rPr>
        <w:t>see also</w:t>
      </w:r>
      <w:r w:rsidRPr="00EE2E1F">
        <w:t xml:space="preserve"> Parallel Path at Section 2(c)(ii).  </w:t>
      </w:r>
    </w:p>
  </w:footnote>
  <w:footnote w:id="129">
    <w:p w14:paraId="2BB419DA" w14:textId="714BA74C" w:rsidR="00EE2E1F" w:rsidRPr="00EE2E1F" w:rsidRDefault="00EE2E1F" w:rsidP="007E4590">
      <w:pPr>
        <w:pStyle w:val="FootnoteText"/>
      </w:pPr>
      <w:r w:rsidRPr="00EE2E1F">
        <w:rPr>
          <w:rStyle w:val="FootnoteReference"/>
          <w:rFonts w:eastAsiaTheme="majorEastAsia"/>
        </w:rPr>
        <w:footnoteRef/>
      </w:r>
      <w:r w:rsidRPr="00EE2E1F">
        <w:t xml:space="preserve"> Roadmap at Section 2(e)(iv); </w:t>
      </w:r>
      <w:r w:rsidRPr="00EE2E1F">
        <w:rPr>
          <w:i/>
        </w:rPr>
        <w:t xml:space="preserve">see also </w:t>
      </w:r>
      <w:r w:rsidRPr="00EE2E1F">
        <w:t xml:space="preserve">Parallel Path at Section 2(c)(iii). </w:t>
      </w:r>
    </w:p>
  </w:footnote>
  <w:footnote w:id="130">
    <w:p w14:paraId="37507E63" w14:textId="77777777" w:rsidR="00EE2E1F" w:rsidRPr="00EE2E1F" w:rsidRDefault="00EE2E1F" w:rsidP="007E4590">
      <w:pPr>
        <w:pStyle w:val="FootnoteText"/>
      </w:pPr>
      <w:r w:rsidRPr="00EE2E1F">
        <w:rPr>
          <w:rStyle w:val="FootnoteReference"/>
        </w:rPr>
        <w:footnoteRef/>
      </w:r>
      <w:r w:rsidRPr="00EE2E1F">
        <w:t xml:space="preserve"> </w:t>
      </w:r>
      <w:r w:rsidRPr="00EE2E1F">
        <w:rPr>
          <w:i/>
        </w:rPr>
        <w:t>See, e.g</w:t>
      </w:r>
      <w:r w:rsidRPr="00EE2E1F">
        <w:t xml:space="preserve">., Fairfax County VA Roadmap Comments at 1 (“We support the intent … but feel that certain elements of the Roadmap, such as the [NEAD] should be addressed as a secondary discussion, as the costs, location, management, and provisioning of the NEAD are so preliminary in scope and definition that an agreement to its purpose and role in NG9-1-1 make signing an agreement to it…premature. The concept of NEAD is interesting, but the practical impact of who will pay for the implementation is currently unclear and an area the PSAP community needs to better understand before endorsing its adoption.”); Reply Comments at 2.  </w:t>
      </w:r>
      <w:r w:rsidRPr="00EE2E1F">
        <w:rPr>
          <w:i/>
        </w:rPr>
        <w:t>See also</w:t>
      </w:r>
      <w:r w:rsidRPr="00EE2E1F">
        <w:t xml:space="preserve"> CSR Roadmap Comments at 3; IACP et al Roadmap Comments at 2; IMSA Roadmap Comments at 5; iCERT Roadmap Comments at 2; NextNav Roadmap Comments at ii, 9, 14; Polaris Wireless Roadmap Comments at 4; TruePosition Roadmap Comments at 9-10.</w:t>
      </w:r>
    </w:p>
  </w:footnote>
  <w:footnote w:id="131">
    <w:p w14:paraId="260D6CAA" w14:textId="77777777" w:rsidR="00EE2E1F" w:rsidRPr="00EE2E1F" w:rsidRDefault="00EE2E1F" w:rsidP="007E4590">
      <w:pPr>
        <w:pStyle w:val="FootnoteText"/>
      </w:pPr>
      <w:r w:rsidRPr="00EE2E1F">
        <w:rPr>
          <w:rStyle w:val="FootnoteReference"/>
        </w:rPr>
        <w:footnoteRef/>
      </w:r>
      <w:r w:rsidRPr="00EE2E1F">
        <w:t xml:space="preserve"> NASNA Roadmap Comments at 3.  </w:t>
      </w:r>
    </w:p>
  </w:footnote>
  <w:footnote w:id="132">
    <w:p w14:paraId="6C0E8148" w14:textId="77777777" w:rsidR="00EE2E1F" w:rsidRPr="00EE2E1F" w:rsidRDefault="00EE2E1F" w:rsidP="007E4590">
      <w:pPr>
        <w:pStyle w:val="FootnoteText"/>
      </w:pPr>
      <w:r w:rsidRPr="00EE2E1F">
        <w:rPr>
          <w:rStyle w:val="FootnoteReference"/>
        </w:rPr>
        <w:footnoteRef/>
      </w:r>
      <w:r w:rsidRPr="00EE2E1F">
        <w:t xml:space="preserve"> NASNA Roadmap Comments at 3-4 (“Today’s E911 methodology for validating a location involves several databases. Addresses must conform to the number range in the Master Street Address Guide (MSAG) before they are added to the [ALI] database. NG911 also relies on databases to validate addresses, but the functions provided by the ALI and MSAG databases have been replaced by GIS databases and a new location validation function (LVF). NG911 systems, including the new databases, are being implemented across the country today, and more will become operational in the next 36 months. Within the timeframe of this Roadmap and beyond, the environment will be a patchwork of legacy and NG911 systems. The Roadmap does not clearly state that the NEAD will be required to use available standards-based legacy MSAGs where applicable or available standards-based NG911 LVFs where applicable.”).</w:t>
      </w:r>
    </w:p>
  </w:footnote>
  <w:footnote w:id="133">
    <w:p w14:paraId="0382AAF6" w14:textId="77777777" w:rsidR="00EE2E1F" w:rsidRPr="00EE2E1F" w:rsidRDefault="00EE2E1F" w:rsidP="007E4590">
      <w:pPr>
        <w:pStyle w:val="FootnoteText"/>
      </w:pPr>
      <w:r w:rsidRPr="00EE2E1F">
        <w:rPr>
          <w:rStyle w:val="FootnoteReference"/>
        </w:rPr>
        <w:footnoteRef/>
      </w:r>
      <w:r w:rsidRPr="00EE2E1F">
        <w:t xml:space="preserve"> Sprint Roadmap Reply Comments at 9.</w:t>
      </w:r>
    </w:p>
  </w:footnote>
  <w:footnote w:id="134">
    <w:p w14:paraId="46E53FF6" w14:textId="77777777" w:rsidR="00EE2E1F" w:rsidRPr="00EE2E1F" w:rsidRDefault="00EE2E1F" w:rsidP="007E4590">
      <w:pPr>
        <w:pStyle w:val="FootnoteText"/>
      </w:pPr>
      <w:r w:rsidRPr="00EE2E1F">
        <w:rPr>
          <w:rStyle w:val="FootnoteReference"/>
        </w:rPr>
        <w:footnoteRef/>
      </w:r>
      <w:r w:rsidRPr="00EE2E1F">
        <w:t xml:space="preserve"> Public Knowledge Roadmap Comments throughout; IMSA Roadmap Comments at 5; iPosi Roadmap Comments at 4 (suggesting that a federal entity be in charge of the NEAD to eliminate some of these privacy concerns); NextNav Roadmap Comments at 14; Fairfax County VA Roadmap Reply Comments at 2; TruePosition Roadmap Reply Comments at 13.  </w:t>
      </w:r>
    </w:p>
  </w:footnote>
  <w:footnote w:id="135">
    <w:p w14:paraId="63D39ABB" w14:textId="463FCE7D" w:rsidR="00EE2E1F" w:rsidRPr="00EE2E1F" w:rsidRDefault="00EE2E1F" w:rsidP="007E4590">
      <w:pPr>
        <w:pStyle w:val="FootnoteText"/>
      </w:pPr>
      <w:r w:rsidRPr="00EE2E1F">
        <w:rPr>
          <w:rStyle w:val="FootnoteReference"/>
        </w:rPr>
        <w:footnoteRef/>
      </w:r>
      <w:r w:rsidRPr="00EE2E1F">
        <w:t xml:space="preserve"> Public Knowledge Roadmap Comments at 2.  Public Knowledge argues that “users of networked devices likely do not expect that information about their device and physical address will be stored in a national database that is accessible to multiple parties,” that “as the database is updated over time, it could reveal the exact address of individuals who have moved from one location to another and brought their networked devices with them,” and that “software vulnerabilities make it possible for malicious third parties to obtain their victims’ MAC addresses remotely, which … could then be used to derive physical address as well.”  </w:t>
      </w:r>
      <w:r w:rsidRPr="00EE2E1F">
        <w:rPr>
          <w:i/>
        </w:rPr>
        <w:t>Id</w:t>
      </w:r>
      <w:r w:rsidRPr="00EE2E1F">
        <w:t xml:space="preserve">. at 3.  Public Knowledge also points out that “mobile devices are used by teens and even children—users whose location might be considered more sensitive than adults’, and who are less equipped to consider the implications of sharing location information with third parties.”  </w:t>
      </w:r>
      <w:r w:rsidRPr="00EE2E1F">
        <w:rPr>
          <w:i/>
        </w:rPr>
        <w:t>Id</w:t>
      </w:r>
      <w:r w:rsidRPr="00EE2E1F">
        <w:t xml:space="preserve">. at 11. </w:t>
      </w:r>
    </w:p>
  </w:footnote>
  <w:footnote w:id="136">
    <w:p w14:paraId="47E3D405" w14:textId="77777777" w:rsidR="00EE2E1F" w:rsidRPr="00EE2E1F" w:rsidRDefault="00EE2E1F" w:rsidP="007E4590">
      <w:pPr>
        <w:pStyle w:val="FootnoteText"/>
      </w:pPr>
      <w:r w:rsidRPr="00EE2E1F">
        <w:rPr>
          <w:rStyle w:val="FootnoteReference"/>
        </w:rPr>
        <w:footnoteRef/>
      </w:r>
      <w:r w:rsidRPr="00EE2E1F">
        <w:t xml:space="preserve"> Public Knowledge Roadmap Comments at 4.</w:t>
      </w:r>
    </w:p>
  </w:footnote>
  <w:footnote w:id="137">
    <w:p w14:paraId="0A49A6BA" w14:textId="7E5DFED9" w:rsidR="00EE2E1F" w:rsidRPr="00EE2E1F" w:rsidRDefault="00EE2E1F" w:rsidP="007E4590">
      <w:pPr>
        <w:pStyle w:val="FootnoteText"/>
      </w:pPr>
      <w:r w:rsidRPr="00EE2E1F">
        <w:rPr>
          <w:rStyle w:val="FootnoteReference"/>
        </w:rPr>
        <w:footnoteRef/>
      </w:r>
      <w:r w:rsidRPr="00EE2E1F">
        <w:t xml:space="preserve"> </w:t>
      </w:r>
      <w:r w:rsidRPr="00EE2E1F">
        <w:rPr>
          <w:i/>
        </w:rPr>
        <w:t>Id.</w:t>
      </w:r>
      <w:r w:rsidRPr="00EE2E1F" w:rsidDel="000C10FE">
        <w:t xml:space="preserve"> </w:t>
      </w:r>
      <w:r w:rsidRPr="00EE2E1F">
        <w:t xml:space="preserve">at 2, 13. </w:t>
      </w:r>
    </w:p>
  </w:footnote>
  <w:footnote w:id="138">
    <w:p w14:paraId="468DD80E" w14:textId="5B3D634A" w:rsidR="00EE2E1F" w:rsidRPr="00EE2E1F" w:rsidRDefault="00EE2E1F" w:rsidP="007E4590">
      <w:pPr>
        <w:pStyle w:val="FootnoteText"/>
      </w:pPr>
      <w:r w:rsidRPr="00EE2E1F">
        <w:rPr>
          <w:rStyle w:val="FootnoteReference"/>
        </w:rPr>
        <w:footnoteRef/>
      </w:r>
      <w:r w:rsidRPr="00EE2E1F">
        <w:t xml:space="preserve"> </w:t>
      </w:r>
      <w:r w:rsidRPr="00EE2E1F">
        <w:rPr>
          <w:i/>
        </w:rPr>
        <w:t>Id.</w:t>
      </w:r>
      <w:r w:rsidRPr="00EE2E1F" w:rsidDel="000C10FE">
        <w:t xml:space="preserve"> </w:t>
      </w:r>
      <w:r w:rsidRPr="00EE2E1F">
        <w:t xml:space="preserve">at 6-7, n.12 (quoting Implementation of the Telecommunications Act of 1996:  Telecommunications Carriers’ Use of Customer Proprietary Network Information and Other Customer Information, </w:t>
      </w:r>
      <w:r w:rsidRPr="00EE2E1F">
        <w:rPr>
          <w:i/>
        </w:rPr>
        <w:t>Declaratory Ruling</w:t>
      </w:r>
      <w:r w:rsidRPr="00EE2E1F">
        <w:t xml:space="preserve">, 28 FCC Rcd 9609, 9611 (June 27, 2013) at ¶ 8 ‘[T]he definition of CPNI in section 222 and the obligations flowing from that definition apply to information that telecommunications carriers cause to be stored on their customers’ devices when carriers or their designees have access to or control over that information.’” </w:t>
      </w:r>
    </w:p>
  </w:footnote>
  <w:footnote w:id="139">
    <w:p w14:paraId="4AA66A8D" w14:textId="074164AB" w:rsidR="00EE2E1F" w:rsidRPr="00EE2E1F" w:rsidRDefault="00EE2E1F" w:rsidP="007E4590">
      <w:pPr>
        <w:pStyle w:val="FootnoteText"/>
      </w:pPr>
      <w:r w:rsidRPr="00EE2E1F">
        <w:rPr>
          <w:rStyle w:val="FootnoteReference"/>
        </w:rPr>
        <w:footnoteRef/>
      </w:r>
      <w:r w:rsidRPr="00EE2E1F">
        <w:t xml:space="preserve"> Public Knowledge Roadmap Comments at 7.</w:t>
      </w:r>
    </w:p>
  </w:footnote>
  <w:footnote w:id="140">
    <w:p w14:paraId="6D52786A" w14:textId="5D16FE33" w:rsidR="00EE2E1F" w:rsidRPr="00EE2E1F" w:rsidRDefault="00EE2E1F" w:rsidP="007E4590">
      <w:pPr>
        <w:pStyle w:val="FootnoteText"/>
      </w:pPr>
      <w:r w:rsidRPr="00EE2E1F">
        <w:rPr>
          <w:rStyle w:val="FootnoteReference"/>
        </w:rPr>
        <w:footnoteRef/>
      </w:r>
      <w:r w:rsidRPr="00EE2E1F">
        <w:t xml:space="preserve"> </w:t>
      </w:r>
      <w:r w:rsidRPr="00EE2E1F">
        <w:rPr>
          <w:i/>
        </w:rPr>
        <w:t>Id</w:t>
      </w:r>
      <w:r w:rsidRPr="00EE2E1F">
        <w:t>.</w:t>
      </w:r>
    </w:p>
  </w:footnote>
  <w:footnote w:id="141">
    <w:p w14:paraId="0FE26881" w14:textId="106F2954" w:rsidR="00EE2E1F" w:rsidRPr="00EE2E1F" w:rsidRDefault="00EE2E1F" w:rsidP="007E4590">
      <w:pPr>
        <w:pStyle w:val="FootnoteText"/>
      </w:pPr>
      <w:r w:rsidRPr="00EE2E1F">
        <w:rPr>
          <w:rStyle w:val="FootnoteReference"/>
        </w:rPr>
        <w:footnoteRef/>
      </w:r>
      <w:r w:rsidRPr="00EE2E1F">
        <w:t xml:space="preserve"> </w:t>
      </w:r>
      <w:r w:rsidRPr="00EE2E1F">
        <w:rPr>
          <w:i/>
        </w:rPr>
        <w:t>Id</w:t>
      </w:r>
      <w:r w:rsidRPr="00EE2E1F">
        <w:t xml:space="preserve">.at 12.  Specifically, Public Knowledge urges the Commission to require that (1) CMRS providers must treat location information derived from responsive technologies as CPNI; (2) CMRS providers must afford all entries in NEAD the same protections afforded to CPNI; (3) telecommunications providers, cable operators, and satellite operators that offer wireless consumer home products must provide consumers who purchase or use such products the ability to opt out of participating in the NEAD; and (4) CMRS providers ensure that location information and NEAD are secure.  </w:t>
      </w:r>
      <w:r w:rsidRPr="00EE2E1F">
        <w:rPr>
          <w:i/>
        </w:rPr>
        <w:t>Id</w:t>
      </w:r>
      <w:r w:rsidRPr="00EE2E1F">
        <w:t xml:space="preserve">. at 12-13.  </w:t>
      </w:r>
    </w:p>
  </w:footnote>
  <w:footnote w:id="142">
    <w:p w14:paraId="7BCFE936" w14:textId="77777777" w:rsidR="00EE2E1F" w:rsidRPr="00EE2E1F" w:rsidRDefault="00EE2E1F" w:rsidP="007E4590">
      <w:pPr>
        <w:pStyle w:val="FootnoteText"/>
      </w:pPr>
      <w:r w:rsidRPr="00EE2E1F">
        <w:rPr>
          <w:rStyle w:val="FootnoteReference"/>
        </w:rPr>
        <w:footnoteRef/>
      </w:r>
      <w:r w:rsidRPr="00EE2E1F">
        <w:t xml:space="preserve"> TCS Roadmap Reply Comments at 7.  </w:t>
      </w:r>
    </w:p>
  </w:footnote>
  <w:footnote w:id="143">
    <w:p w14:paraId="7232C057" w14:textId="1391470C" w:rsidR="00EE2E1F" w:rsidRPr="00EE2E1F" w:rsidRDefault="00EE2E1F" w:rsidP="007E4590">
      <w:pPr>
        <w:pStyle w:val="FootnoteText"/>
      </w:pPr>
      <w:r w:rsidRPr="00EE2E1F">
        <w:rPr>
          <w:rStyle w:val="FootnoteReference"/>
        </w:rPr>
        <w:footnoteRef/>
      </w:r>
      <w:r w:rsidRPr="00EE2E1F">
        <w:t xml:space="preserve"> </w:t>
      </w:r>
      <w:r w:rsidRPr="00EE2E1F">
        <w:rPr>
          <w:i/>
        </w:rPr>
        <w:t>Id.</w:t>
      </w:r>
      <w:r w:rsidRPr="00EE2E1F" w:rsidDel="000C10FE">
        <w:t xml:space="preserve"> </w:t>
      </w:r>
      <w:r w:rsidRPr="00EE2E1F">
        <w:t xml:space="preserve">at 9. </w:t>
      </w:r>
    </w:p>
  </w:footnote>
  <w:footnote w:id="144">
    <w:p w14:paraId="2009B009" w14:textId="77777777" w:rsidR="00EE2E1F" w:rsidRPr="00EE2E1F" w:rsidRDefault="00EE2E1F" w:rsidP="007E4590">
      <w:pPr>
        <w:pStyle w:val="FootnoteText"/>
      </w:pPr>
      <w:r w:rsidRPr="00EE2E1F">
        <w:rPr>
          <w:rStyle w:val="FootnoteReference"/>
        </w:rPr>
        <w:footnoteRef/>
      </w:r>
      <w:r w:rsidRPr="00EE2E1F">
        <w:t xml:space="preserve"> AT&amp;T Roadmap Reply Comments at 6.  </w:t>
      </w:r>
    </w:p>
  </w:footnote>
  <w:footnote w:id="145">
    <w:p w14:paraId="2EB3086F" w14:textId="77777777" w:rsidR="00EE2E1F" w:rsidRPr="00EE2E1F" w:rsidRDefault="00EE2E1F" w:rsidP="007E4590">
      <w:pPr>
        <w:pStyle w:val="FootnoteText"/>
      </w:pPr>
      <w:r w:rsidRPr="00EE2E1F">
        <w:rPr>
          <w:rStyle w:val="FootnoteReference"/>
        </w:rPr>
        <w:footnoteRef/>
      </w:r>
      <w:r w:rsidRPr="00EE2E1F">
        <w:t xml:space="preserve"> Sprint Roadmap Reply Comments at 15. </w:t>
      </w:r>
      <w:r w:rsidRPr="00EE2E1F">
        <w:rPr>
          <w:i/>
        </w:rPr>
        <w:t>See also</w:t>
      </w:r>
      <w:r w:rsidRPr="00EE2E1F">
        <w:t xml:space="preserve"> NENA Roadmap Reply Comments at 8.</w:t>
      </w:r>
    </w:p>
  </w:footnote>
  <w:footnote w:id="146">
    <w:p w14:paraId="255768E3" w14:textId="77777777" w:rsidR="00EE2E1F" w:rsidRPr="00EE2E1F" w:rsidRDefault="00EE2E1F" w:rsidP="007E4590">
      <w:pPr>
        <w:pStyle w:val="FootnoteText"/>
      </w:pPr>
      <w:r w:rsidRPr="00EE2E1F">
        <w:rPr>
          <w:rStyle w:val="FootnoteReference"/>
        </w:rPr>
        <w:footnoteRef/>
      </w:r>
      <w:r w:rsidRPr="00EE2E1F">
        <w:t xml:space="preserve"> Addendum at 4.</w:t>
      </w:r>
    </w:p>
  </w:footnote>
  <w:footnote w:id="147">
    <w:p w14:paraId="255F88C9" w14:textId="77777777" w:rsidR="00EE2E1F" w:rsidRPr="00EE2E1F" w:rsidRDefault="00EE2E1F" w:rsidP="007E4590">
      <w:pPr>
        <w:pStyle w:val="FootnoteText"/>
      </w:pPr>
      <w:r w:rsidRPr="00EE2E1F">
        <w:rPr>
          <w:rStyle w:val="FootnoteReference"/>
        </w:rPr>
        <w:footnoteRef/>
      </w:r>
      <w:r w:rsidRPr="00EE2E1F">
        <w:t xml:space="preserve"> </w:t>
      </w:r>
      <w:r w:rsidRPr="00EE2E1F">
        <w:rPr>
          <w:i/>
        </w:rPr>
        <w:t xml:space="preserve">See </w:t>
      </w:r>
      <w:r w:rsidRPr="00EE2E1F">
        <w:t>Letter from Laura M. Moy, Open Technology Institute, New America, to Marlene H. Dortch, Secretary, Federal Communications Commission (filed Jan. 22, 2015) (</w:t>
      </w:r>
      <w:r w:rsidRPr="00EE2E1F">
        <w:rPr>
          <w:i/>
        </w:rPr>
        <w:t>New America Jan. 22, 2015 Ex Parte</w:t>
      </w:r>
      <w:r w:rsidRPr="00EE2E1F">
        <w:t>); Letter from Laura M. Moy, Open Technology Institute, New America, et al., to Marlene H. Dortch, Secretary, Federal Communications Commission (filed Jan. 22, 2015) (</w:t>
      </w:r>
      <w:r w:rsidRPr="00EE2E1F">
        <w:rPr>
          <w:i/>
        </w:rPr>
        <w:t>New America et al. Jan. 22, 2015 Ex Parte</w:t>
      </w:r>
      <w:r w:rsidRPr="00EE2E1F">
        <w:t>).</w:t>
      </w:r>
    </w:p>
  </w:footnote>
  <w:footnote w:id="148">
    <w:p w14:paraId="5D0F42F6" w14:textId="77777777" w:rsidR="00EE2E1F" w:rsidRPr="00EE2E1F" w:rsidRDefault="00EE2E1F" w:rsidP="007E4590">
      <w:pPr>
        <w:pStyle w:val="FootnoteText"/>
      </w:pPr>
      <w:r w:rsidRPr="00EE2E1F">
        <w:rPr>
          <w:rStyle w:val="FootnoteReference"/>
          <w:rFonts w:eastAsiaTheme="majorEastAsia"/>
        </w:rPr>
        <w:footnoteRef/>
      </w:r>
      <w:r w:rsidRPr="00EE2E1F">
        <w:t xml:space="preserve"> </w:t>
      </w:r>
      <w:r w:rsidRPr="00EE2E1F">
        <w:rPr>
          <w:i/>
        </w:rPr>
        <w:t>Third Further Notice,</w:t>
      </w:r>
      <w:r w:rsidRPr="00EE2E1F">
        <w:t xml:space="preserve"> 29 FCC Rcd at 2419-20</w:t>
      </w:r>
      <w:r w:rsidRPr="00EE2E1F">
        <w:rPr>
          <w:i/>
        </w:rPr>
        <w:t xml:space="preserve"> </w:t>
      </w:r>
      <w:r w:rsidRPr="00EE2E1F">
        <w:t xml:space="preserve">¶ 123. </w:t>
      </w:r>
    </w:p>
  </w:footnote>
  <w:footnote w:id="149">
    <w:p w14:paraId="2D88BD32" w14:textId="77777777" w:rsidR="00EE2E1F" w:rsidRPr="00EE2E1F" w:rsidRDefault="00EE2E1F" w:rsidP="007E4590">
      <w:pPr>
        <w:pStyle w:val="FootnoteText"/>
      </w:pPr>
      <w:r w:rsidRPr="00EE2E1F">
        <w:rPr>
          <w:rStyle w:val="FootnoteReference"/>
        </w:rPr>
        <w:footnoteRef/>
      </w:r>
      <w:r w:rsidRPr="00EE2E1F">
        <w:t xml:space="preserve"> NASNA Comments at 12.  NASNA goes into further detail: “In the current environment, location information from wireless calls is delivered to the PSAP in x- and y-coordinates. Geographic Information System (GIS) software is then required at the PSAP to convert this to a civic address.  This could be changed by moving the GIS software further back in the delivery process.  Latitude and longitude data could be converted to a civic address at the Mobile Positioning Center (MPC), then delivered through a shell ALI record to the PSAP in the same way that VoIP calls are. In a NG911 environment, that conversion to a civic address could occur after the lat/long are delivered to the NG911 network.”  </w:t>
      </w:r>
      <w:r w:rsidRPr="00EE2E1F">
        <w:rPr>
          <w:i/>
        </w:rPr>
        <w:t>See id.</w:t>
      </w:r>
      <w:r w:rsidRPr="00EE2E1F">
        <w:t xml:space="preserve"> </w:t>
      </w:r>
    </w:p>
  </w:footnote>
  <w:footnote w:id="150">
    <w:p w14:paraId="71CEFB3B" w14:textId="77777777" w:rsidR="00EE2E1F" w:rsidRPr="00EE2E1F" w:rsidRDefault="00EE2E1F" w:rsidP="007E4590">
      <w:pPr>
        <w:pStyle w:val="FootnoteText"/>
      </w:pPr>
      <w:r w:rsidRPr="00EE2E1F">
        <w:rPr>
          <w:rStyle w:val="FootnoteReference"/>
        </w:rPr>
        <w:footnoteRef/>
      </w:r>
      <w:r w:rsidRPr="00EE2E1F">
        <w:t xml:space="preserve"> NASNA Comments at 12. </w:t>
      </w:r>
    </w:p>
  </w:footnote>
  <w:footnote w:id="151">
    <w:p w14:paraId="2C88FEFF" w14:textId="77777777" w:rsidR="00EE2E1F" w:rsidRPr="00EE2E1F" w:rsidRDefault="00EE2E1F" w:rsidP="007E4590">
      <w:pPr>
        <w:pStyle w:val="FootnoteText"/>
      </w:pPr>
      <w:r w:rsidRPr="00EE2E1F">
        <w:rPr>
          <w:rStyle w:val="FootnoteReference"/>
          <w:rFonts w:eastAsiaTheme="majorEastAsia"/>
        </w:rPr>
        <w:footnoteRef/>
      </w:r>
      <w:r w:rsidRPr="00EE2E1F">
        <w:t xml:space="preserve"> Cisco Comments at 10. </w:t>
      </w:r>
    </w:p>
  </w:footnote>
  <w:footnote w:id="152">
    <w:p w14:paraId="1EAB3A28" w14:textId="2E50BF35" w:rsidR="00EE2E1F" w:rsidRPr="00EE2E1F" w:rsidRDefault="00EE2E1F" w:rsidP="007E4590">
      <w:pPr>
        <w:pStyle w:val="FootnoteText"/>
      </w:pPr>
      <w:r w:rsidRPr="00EE2E1F">
        <w:rPr>
          <w:rStyle w:val="FootnoteReference"/>
          <w:rFonts w:eastAsiaTheme="majorEastAsia"/>
        </w:rPr>
        <w:footnoteRef/>
      </w:r>
      <w:r w:rsidRPr="00EE2E1F">
        <w:t xml:space="preserve"> </w:t>
      </w:r>
      <w:r w:rsidRPr="00EE2E1F">
        <w:rPr>
          <w:i/>
        </w:rPr>
        <w:t>Id</w:t>
      </w:r>
      <w:r w:rsidRPr="00EE2E1F">
        <w:t>.</w:t>
      </w:r>
    </w:p>
  </w:footnote>
  <w:footnote w:id="153">
    <w:p w14:paraId="29E2C8E1" w14:textId="77777777" w:rsidR="00EE2E1F" w:rsidRPr="00EE2E1F" w:rsidRDefault="00EE2E1F" w:rsidP="007E4590">
      <w:pPr>
        <w:pStyle w:val="FootnoteText"/>
      </w:pPr>
      <w:r w:rsidRPr="00EE2E1F">
        <w:rPr>
          <w:rStyle w:val="FootnoteReference"/>
        </w:rPr>
        <w:footnoteRef/>
      </w:r>
      <w:r w:rsidRPr="00EE2E1F">
        <w:t xml:space="preserve"> Intrado Comments at 8-9 (“[t]here would need to be procedural or ALI format changes made at the PSAP so that the PSAP would know that these are dispatchable address originating from small indoor cells versus Phase I macrocell addresses.”); TCS Comments at 8 (</w:t>
      </w:r>
      <w:r w:rsidRPr="00EE2E1F">
        <w:rPr>
          <w:rFonts w:eastAsia="MS Mincho"/>
          <w:lang w:eastAsia="ja-JP"/>
        </w:rPr>
        <w:t>“</w:t>
      </w:r>
      <w:r w:rsidRPr="00EE2E1F">
        <w:t>work may still be needed for PSAP customer premises equipment (CPE) to display all of the information that can be conveyed.”).</w:t>
      </w:r>
    </w:p>
  </w:footnote>
  <w:footnote w:id="154">
    <w:p w14:paraId="7C4129FD" w14:textId="77777777" w:rsidR="00EE2E1F" w:rsidRPr="00EE2E1F" w:rsidRDefault="00EE2E1F" w:rsidP="007E4590">
      <w:pPr>
        <w:pStyle w:val="FootnoteText"/>
      </w:pPr>
      <w:r w:rsidRPr="00EE2E1F">
        <w:rPr>
          <w:rStyle w:val="FootnoteReference"/>
        </w:rPr>
        <w:footnoteRef/>
      </w:r>
      <w:r w:rsidRPr="00EE2E1F">
        <w:t xml:space="preserve"> Roadmap Cover Letter at 2. </w:t>
      </w:r>
    </w:p>
  </w:footnote>
  <w:footnote w:id="155">
    <w:p w14:paraId="6AF4CF56" w14:textId="77777777" w:rsidR="00EE2E1F" w:rsidRPr="00EE2E1F" w:rsidRDefault="00EE2E1F" w:rsidP="007E4590">
      <w:pPr>
        <w:pStyle w:val="FootnoteText"/>
      </w:pPr>
      <w:r w:rsidRPr="00EE2E1F">
        <w:rPr>
          <w:rStyle w:val="FootnoteReference"/>
        </w:rPr>
        <w:footnoteRef/>
      </w:r>
      <w:r w:rsidRPr="00EE2E1F">
        <w:t xml:space="preserve"> Roadmap at Section 2(b)(i)(1). </w:t>
      </w:r>
    </w:p>
  </w:footnote>
  <w:footnote w:id="156">
    <w:p w14:paraId="4CC2FCF8" w14:textId="0231EB84" w:rsidR="00EE2E1F" w:rsidRPr="00EE2E1F" w:rsidRDefault="00EE2E1F" w:rsidP="007E4590">
      <w:pPr>
        <w:pStyle w:val="FootnoteText"/>
      </w:pPr>
      <w:r w:rsidRPr="00EE2E1F">
        <w:rPr>
          <w:rStyle w:val="FootnoteReference"/>
        </w:rPr>
        <w:footnoteRef/>
      </w:r>
      <w:r w:rsidRPr="00EE2E1F">
        <w:t xml:space="preserve"> </w:t>
      </w:r>
      <w:r w:rsidRPr="00EE2E1F">
        <w:rPr>
          <w:i/>
        </w:rPr>
        <w:t>Id.</w:t>
      </w:r>
      <w:r w:rsidRPr="00EE2E1F" w:rsidDel="000C10FE">
        <w:t xml:space="preserve"> </w:t>
      </w:r>
      <w:r w:rsidRPr="00EE2E1F">
        <w:t>at Section 2(b)(i); Parallel Path at Section 2(b)(i) and (2)(D).</w:t>
      </w:r>
    </w:p>
  </w:footnote>
  <w:footnote w:id="157">
    <w:p w14:paraId="6F6F9121" w14:textId="77777777" w:rsidR="00EE2E1F" w:rsidRPr="00EE2E1F" w:rsidRDefault="00EE2E1F" w:rsidP="007E4590">
      <w:pPr>
        <w:pStyle w:val="FootnoteText"/>
      </w:pPr>
      <w:r w:rsidRPr="00EE2E1F">
        <w:rPr>
          <w:rStyle w:val="FootnoteReference"/>
          <w:rFonts w:eastAsiaTheme="majorEastAsia"/>
        </w:rPr>
        <w:footnoteRef/>
      </w:r>
      <w:r w:rsidRPr="00EE2E1F">
        <w:t xml:space="preserve"> Cisco Comments at 6 (footnotes omitted).</w:t>
      </w:r>
    </w:p>
  </w:footnote>
  <w:footnote w:id="158">
    <w:p w14:paraId="261F936E" w14:textId="77777777" w:rsidR="00EE2E1F" w:rsidRPr="00EE2E1F" w:rsidRDefault="00EE2E1F" w:rsidP="007E4590">
      <w:pPr>
        <w:pStyle w:val="FootnoteText"/>
      </w:pPr>
      <w:r w:rsidRPr="00EE2E1F">
        <w:rPr>
          <w:rStyle w:val="FootnoteReference"/>
        </w:rPr>
        <w:footnoteRef/>
      </w:r>
      <w:r w:rsidRPr="00EE2E1F">
        <w:t xml:space="preserve"> </w:t>
      </w:r>
      <w:r w:rsidRPr="00EE2E1F">
        <w:rPr>
          <w:i/>
        </w:rPr>
        <w:t xml:space="preserve">See generally, </w:t>
      </w:r>
      <w:r w:rsidRPr="00EE2E1F">
        <w:t xml:space="preserve">Roberson Report.  </w:t>
      </w:r>
    </w:p>
  </w:footnote>
  <w:footnote w:id="159">
    <w:p w14:paraId="2467A0EE" w14:textId="77777777" w:rsidR="00EE2E1F" w:rsidRPr="00EE2E1F" w:rsidRDefault="00EE2E1F" w:rsidP="007E4590">
      <w:pPr>
        <w:pStyle w:val="FootnoteText"/>
      </w:pPr>
      <w:r w:rsidRPr="00EE2E1F">
        <w:rPr>
          <w:rStyle w:val="FootnoteReference"/>
        </w:rPr>
        <w:footnoteRef/>
      </w:r>
      <w:r w:rsidRPr="00EE2E1F">
        <w:t xml:space="preserve"> TDI Roadmap Comments at 2. </w:t>
      </w:r>
    </w:p>
  </w:footnote>
  <w:footnote w:id="160">
    <w:p w14:paraId="36958641" w14:textId="77777777" w:rsidR="00EE2E1F" w:rsidRPr="00EE2E1F" w:rsidRDefault="00EE2E1F" w:rsidP="007E4590">
      <w:pPr>
        <w:pStyle w:val="FootnoteText"/>
      </w:pPr>
      <w:r w:rsidRPr="00EE2E1F">
        <w:rPr>
          <w:rStyle w:val="FootnoteReference"/>
        </w:rPr>
        <w:footnoteRef/>
      </w:r>
      <w:r w:rsidRPr="00EE2E1F">
        <w:t xml:space="preserve"> Verizon Roadmap Reply Comments at 19 (footnotes omitted). </w:t>
      </w:r>
    </w:p>
  </w:footnote>
  <w:footnote w:id="161">
    <w:p w14:paraId="532A0492" w14:textId="3DA07D38" w:rsidR="00EE2E1F" w:rsidRPr="00EE2E1F" w:rsidRDefault="00EE2E1F">
      <w:pPr>
        <w:pStyle w:val="FootnoteText"/>
      </w:pPr>
      <w:r w:rsidRPr="00EE2E1F">
        <w:rPr>
          <w:rStyle w:val="FootnoteReference"/>
        </w:rPr>
        <w:footnoteRef/>
      </w:r>
      <w:r w:rsidRPr="00EE2E1F">
        <w:t xml:space="preserve"> Addendum at 3. </w:t>
      </w:r>
    </w:p>
  </w:footnote>
  <w:footnote w:id="162">
    <w:p w14:paraId="0F2A3581" w14:textId="50F0A037" w:rsidR="00EE2E1F" w:rsidRPr="00EE2E1F" w:rsidRDefault="00EE2E1F">
      <w:pPr>
        <w:pStyle w:val="FootnoteText"/>
      </w:pPr>
      <w:r w:rsidRPr="00EE2E1F">
        <w:rPr>
          <w:rStyle w:val="FootnoteReference"/>
        </w:rPr>
        <w:footnoteRef/>
      </w:r>
      <w:r w:rsidRPr="00EE2E1F">
        <w:t xml:space="preserve"> </w:t>
      </w:r>
      <w:r w:rsidRPr="00EE2E1F">
        <w:rPr>
          <w:i/>
        </w:rPr>
        <w:t>See supra</w:t>
      </w:r>
      <w:r w:rsidRPr="00EE2E1F">
        <w:t xml:space="preserve"> Section III.B.3.b.</w:t>
      </w:r>
    </w:p>
  </w:footnote>
  <w:footnote w:id="163">
    <w:p w14:paraId="72C53666" w14:textId="2EBAD440" w:rsidR="00EE2E1F" w:rsidRPr="00EE2E1F" w:rsidRDefault="00EE2E1F" w:rsidP="00DB3E54">
      <w:pPr>
        <w:pStyle w:val="FootnoteText"/>
      </w:pPr>
      <w:r w:rsidRPr="00EE2E1F">
        <w:rPr>
          <w:rStyle w:val="FootnoteReference"/>
        </w:rPr>
        <w:footnoteRef/>
      </w:r>
      <w:r w:rsidRPr="00EE2E1F">
        <w:t xml:space="preserve"> CTIA </w:t>
      </w:r>
      <w:r w:rsidRPr="00EE2E1F">
        <w:rPr>
          <w:i/>
        </w:rPr>
        <w:t>Ex Parte</w:t>
      </w:r>
      <w:r w:rsidRPr="00EE2E1F">
        <w:t xml:space="preserve"> Letter (dated Jan. 21, 2015), at 3 n.3.</w:t>
      </w:r>
    </w:p>
  </w:footnote>
  <w:footnote w:id="164">
    <w:p w14:paraId="214C4382" w14:textId="77777777" w:rsidR="00EE2E1F" w:rsidRPr="00EE2E1F" w:rsidRDefault="00EE2E1F" w:rsidP="00DD3AAE">
      <w:pPr>
        <w:pStyle w:val="FootnoteText"/>
      </w:pPr>
      <w:r w:rsidRPr="00EE2E1F">
        <w:rPr>
          <w:rStyle w:val="FootnoteReference"/>
        </w:rPr>
        <w:footnoteRef/>
      </w:r>
      <w:r w:rsidRPr="00EE2E1F">
        <w:t xml:space="preserve"> Parallel Path at Section 2(d)-(f).</w:t>
      </w:r>
    </w:p>
  </w:footnote>
  <w:footnote w:id="165">
    <w:p w14:paraId="05C6882E" w14:textId="77777777" w:rsidR="00EE2E1F" w:rsidRPr="00EE2E1F" w:rsidRDefault="00EE2E1F" w:rsidP="00DD3AAE">
      <w:pPr>
        <w:pStyle w:val="FootnoteText"/>
      </w:pPr>
      <w:r w:rsidRPr="00EE2E1F">
        <w:rPr>
          <w:rStyle w:val="FootnoteReference"/>
        </w:rPr>
        <w:footnoteRef/>
      </w:r>
      <w:r w:rsidRPr="00EE2E1F">
        <w:t xml:space="preserve"> </w:t>
      </w:r>
      <w:r w:rsidRPr="00EE2E1F">
        <w:rPr>
          <w:i/>
        </w:rPr>
        <w:t>See, e.g.,</w:t>
      </w:r>
      <w:r w:rsidRPr="00EE2E1F">
        <w:t xml:space="preserve"> Public Knowledge Roadmap Comments at 2-6; Fairfax County VA Roadmap Reply Comments at 2; TruePosition Roadmap Reply Comments at 13.</w:t>
      </w:r>
    </w:p>
  </w:footnote>
  <w:footnote w:id="166">
    <w:p w14:paraId="2C62F7CC" w14:textId="77777777" w:rsidR="00EE2E1F" w:rsidRPr="00EE2E1F" w:rsidRDefault="00EE2E1F" w:rsidP="00DD3AAE">
      <w:pPr>
        <w:pStyle w:val="FootnoteText"/>
      </w:pPr>
      <w:r w:rsidRPr="00EE2E1F">
        <w:rPr>
          <w:rStyle w:val="FootnoteReference"/>
        </w:rPr>
        <w:footnoteRef/>
      </w:r>
      <w:r w:rsidRPr="00EE2E1F">
        <w:t xml:space="preserve"> Verizon Roadmap Reply Comments at 14; TCS Roadmap Reply at 7-8.</w:t>
      </w:r>
    </w:p>
  </w:footnote>
  <w:footnote w:id="167">
    <w:p w14:paraId="6BC91197" w14:textId="68FD78A6" w:rsidR="00EE2E1F" w:rsidRPr="00EE2E1F" w:rsidRDefault="00EE2E1F" w:rsidP="00DD3AAE">
      <w:pPr>
        <w:pStyle w:val="FootnoteText"/>
      </w:pPr>
      <w:r w:rsidRPr="00EE2E1F">
        <w:rPr>
          <w:rStyle w:val="FootnoteReference"/>
        </w:rPr>
        <w:footnoteRef/>
      </w:r>
      <w:r w:rsidRPr="00EE2E1F">
        <w:t xml:space="preserve"> NENA Roadmap Reply Comments at 8; CTIA Roadmap Reply Comments at 18 n. 71; Roadmap Addendum at 4 (committing to developing best practices in coordination with industry experts and requiring the vendor selected to administer the NEAD to develop a “Privacy and Security Plan”); Parallel Path at Section (2)(c)(i).</w:t>
      </w:r>
    </w:p>
  </w:footnote>
  <w:footnote w:id="168">
    <w:p w14:paraId="1BB4CECF" w14:textId="582736E0" w:rsidR="00EE2E1F" w:rsidRPr="00EE2E1F" w:rsidRDefault="00EE2E1F" w:rsidP="00DD3AAE">
      <w:pPr>
        <w:pStyle w:val="FootnoteText"/>
      </w:pPr>
      <w:r w:rsidRPr="00EE2E1F">
        <w:rPr>
          <w:rStyle w:val="FootnoteReference"/>
        </w:rPr>
        <w:footnoteRef/>
      </w:r>
      <w:r w:rsidRPr="00EE2E1F">
        <w:t xml:space="preserve"> </w:t>
      </w:r>
      <w:r w:rsidRPr="00EE2E1F">
        <w:rPr>
          <w:i/>
        </w:rPr>
        <w:t>See supra</w:t>
      </w:r>
      <w:r w:rsidRPr="00EE2E1F">
        <w:t xml:space="preserve"> para. </w:t>
      </w:r>
      <w:r w:rsidRPr="00EE2E1F">
        <w:fldChar w:fldCharType="begin"/>
      </w:r>
      <w:r w:rsidRPr="00EE2E1F">
        <w:instrText xml:space="preserve"> REF _Ref408486341 \r \h  \* MERGEFORMAT </w:instrText>
      </w:r>
      <w:r w:rsidRPr="00EE2E1F">
        <w:fldChar w:fldCharType="separate"/>
      </w:r>
      <w:r w:rsidR="005E367B">
        <w:t>36</w:t>
      </w:r>
      <w:r w:rsidRPr="00EE2E1F">
        <w:fldChar w:fldCharType="end"/>
      </w:r>
      <w:r w:rsidRPr="00EE2E1F">
        <w:t>.  We emphasize that the development of the Privacy and Security Plan should not delay or otherwise affect the development and prototyping of the NEAD.  The development of the NEAD should be pursued in parallel with the development of the Privacy and Security Plan, in order to ensure the NEAD is ready and operational in a timeframe consistent with the deadlines set forth herein.</w:t>
      </w:r>
    </w:p>
  </w:footnote>
  <w:footnote w:id="169">
    <w:p w14:paraId="026EA5E8" w14:textId="77777777" w:rsidR="00EE2E1F" w:rsidRPr="00EE2E1F" w:rsidRDefault="00EE2E1F" w:rsidP="00DD3AAE">
      <w:pPr>
        <w:pStyle w:val="FootnoteText"/>
      </w:pPr>
      <w:r w:rsidRPr="00EE2E1F">
        <w:rPr>
          <w:rStyle w:val="FootnoteReference"/>
        </w:rPr>
        <w:footnoteRef/>
      </w:r>
      <w:r w:rsidRPr="00EE2E1F">
        <w:t xml:space="preserve"> Roadmap Addendum at 4.  We note that the signatory parties also voluntarily commit to assessing dispatchable location at 36 months from the date of the Roadmap.  </w:t>
      </w:r>
      <w:r w:rsidRPr="00EE2E1F">
        <w:rPr>
          <w:i/>
        </w:rPr>
        <w:t>See</w:t>
      </w:r>
      <w:r w:rsidRPr="00EE2E1F">
        <w:t xml:space="preserve"> Roadmap at Section 2(i)(i).</w:t>
      </w:r>
    </w:p>
  </w:footnote>
  <w:footnote w:id="170">
    <w:p w14:paraId="69DF6C6D" w14:textId="77777777" w:rsidR="00EE2E1F" w:rsidRPr="00EE2E1F" w:rsidRDefault="00EE2E1F" w:rsidP="00DD3AAE">
      <w:pPr>
        <w:pStyle w:val="FootnoteText"/>
      </w:pPr>
      <w:r w:rsidRPr="00EE2E1F">
        <w:rPr>
          <w:rStyle w:val="FootnoteReference"/>
        </w:rPr>
        <w:footnoteRef/>
      </w:r>
      <w:r w:rsidRPr="00EE2E1F">
        <w:t xml:space="preserve"> Roadmap Addendum at 4.</w:t>
      </w:r>
    </w:p>
  </w:footnote>
  <w:footnote w:id="171">
    <w:p w14:paraId="3B4F85D0" w14:textId="5024E31F" w:rsidR="00EE2E1F" w:rsidRPr="00EE2E1F" w:rsidRDefault="00EE2E1F" w:rsidP="00DD3AAE">
      <w:pPr>
        <w:pStyle w:val="FootnoteText"/>
      </w:pPr>
      <w:r w:rsidRPr="00EE2E1F">
        <w:rPr>
          <w:rStyle w:val="FootnoteReference"/>
        </w:rPr>
        <w:footnoteRef/>
      </w:r>
      <w:r w:rsidRPr="00EE2E1F">
        <w:t xml:space="preserve"> </w:t>
      </w:r>
      <w:r w:rsidRPr="00EE2E1F">
        <w:rPr>
          <w:i/>
        </w:rPr>
        <w:t xml:space="preserve">See </w:t>
      </w:r>
      <w:r w:rsidRPr="00EE2E1F">
        <w:t>New America</w:t>
      </w:r>
      <w:r w:rsidRPr="00EE2E1F">
        <w:rPr>
          <w:i/>
        </w:rPr>
        <w:t xml:space="preserve"> et al. </w:t>
      </w:r>
      <w:r w:rsidRPr="00EE2E1F">
        <w:t>January 22, 2015</w:t>
      </w:r>
      <w:r w:rsidRPr="00EE2E1F">
        <w:rPr>
          <w:i/>
        </w:rPr>
        <w:t xml:space="preserve"> Ex Parte </w:t>
      </w:r>
      <w:r w:rsidRPr="00EE2E1F">
        <w:t xml:space="preserve">at 5 (“The Commission should encourage carriers to consult with privacy and consumer organizations as they develop E911 technology and privacy and security plans.”) </w:t>
      </w:r>
    </w:p>
  </w:footnote>
  <w:footnote w:id="172">
    <w:p w14:paraId="74CD62D6" w14:textId="5F0A61E1" w:rsidR="00EE2E1F" w:rsidRPr="00EE2E1F" w:rsidRDefault="00EE2E1F" w:rsidP="00DD3AAE">
      <w:pPr>
        <w:pStyle w:val="FootnoteText"/>
      </w:pPr>
      <w:r w:rsidRPr="00EE2E1F">
        <w:rPr>
          <w:rStyle w:val="FootnoteReference"/>
        </w:rPr>
        <w:footnoteRef/>
      </w:r>
      <w:r w:rsidRPr="00EE2E1F">
        <w:t xml:space="preserve"> TDI requests that “[t]</w:t>
      </w:r>
      <w:r w:rsidRPr="00EE2E1F">
        <w:rPr>
          <w:rFonts w:ascii="Times" w:hAnsi="Times"/>
        </w:rPr>
        <w:t xml:space="preserve">he Commission should encourage further effort by having appropriate open and transparent bodies (e.g., CSRIC) study elements of the Roadmap,” including the privacy and reliability of the NEAD.  </w:t>
      </w:r>
      <w:r w:rsidRPr="00EE2E1F">
        <w:rPr>
          <w:rFonts w:ascii="Times" w:hAnsi="Times"/>
          <w:i/>
        </w:rPr>
        <w:t xml:space="preserve">See </w:t>
      </w:r>
      <w:r w:rsidRPr="00EE2E1F">
        <w:t>Letter from Claude L. Stout, Executive Director, TDI, to Marlene H. Dortch, Secretary, Federal Communications Commission (filed Jan. 22, 2015) at 2.  We expect the providers to consult with relevant stakeholders, including members of the CSRIC, and emphasize the importance of an open and transparent process throughout the development of the NEAD Privacy and Security Plan.</w:t>
      </w:r>
    </w:p>
  </w:footnote>
  <w:footnote w:id="173">
    <w:p w14:paraId="1F591899" w14:textId="77777777" w:rsidR="00EE2E1F" w:rsidRPr="00EE2E1F" w:rsidRDefault="00EE2E1F" w:rsidP="00DD3AAE">
      <w:pPr>
        <w:pStyle w:val="FootnoteText"/>
      </w:pPr>
      <w:r w:rsidRPr="00EE2E1F">
        <w:rPr>
          <w:rStyle w:val="FootnoteReference"/>
        </w:rPr>
        <w:footnoteRef/>
      </w:r>
      <w:r w:rsidRPr="00EE2E1F">
        <w:t xml:space="preserve">AT&amp;T Roadmap Reply Comments at 6. </w:t>
      </w:r>
    </w:p>
  </w:footnote>
  <w:footnote w:id="174">
    <w:p w14:paraId="38116546" w14:textId="77777777" w:rsidR="00EE2E1F" w:rsidRPr="00EE2E1F" w:rsidRDefault="00EE2E1F" w:rsidP="00DD3AAE">
      <w:pPr>
        <w:pStyle w:val="FootnoteText"/>
      </w:pPr>
      <w:r w:rsidRPr="00EE2E1F">
        <w:rPr>
          <w:rStyle w:val="FootnoteReference"/>
        </w:rPr>
        <w:footnoteRef/>
      </w:r>
      <w:r w:rsidRPr="00EE2E1F">
        <w:t xml:space="preserve"> Verizon Roadmap Reply Comments at 12-13 (emphasis in original).</w:t>
      </w:r>
    </w:p>
  </w:footnote>
  <w:footnote w:id="175">
    <w:p w14:paraId="0E66F10B" w14:textId="77777777" w:rsidR="00EE2E1F" w:rsidRPr="00EE2E1F" w:rsidRDefault="00EE2E1F" w:rsidP="00DD3AAE">
      <w:pPr>
        <w:pStyle w:val="FootnoteText"/>
      </w:pPr>
      <w:r w:rsidRPr="00EE2E1F">
        <w:rPr>
          <w:rStyle w:val="FootnoteReference"/>
        </w:rPr>
        <w:footnoteRef/>
      </w:r>
      <w:r w:rsidRPr="00EE2E1F">
        <w:t xml:space="preserve"> 47 U.S.C. § 222.</w:t>
      </w:r>
    </w:p>
  </w:footnote>
  <w:footnote w:id="176">
    <w:p w14:paraId="1E39F8D5" w14:textId="34973BC4" w:rsidR="00EE2E1F" w:rsidRPr="00EE2E1F" w:rsidRDefault="00EE2E1F" w:rsidP="00DD3AAE">
      <w:pPr>
        <w:pStyle w:val="FootnoteText"/>
      </w:pPr>
      <w:r w:rsidRPr="00EE2E1F">
        <w:rPr>
          <w:rStyle w:val="FootnoteReference"/>
        </w:rPr>
        <w:footnoteRef/>
      </w:r>
      <w:r w:rsidRPr="00EE2E1F">
        <w:t xml:space="preserve"> </w:t>
      </w:r>
      <w:r w:rsidRPr="00EE2E1F">
        <w:rPr>
          <w:i/>
          <w:iCs/>
        </w:rPr>
        <w:t xml:space="preserve">See </w:t>
      </w:r>
      <w:r w:rsidRPr="00EE2E1F">
        <w:t>47 U.S.C. § 222(d)(4)(A) (providing that a telecommunications carrier may provide call location information concerning the user of a commercial mobile service or IP-enabled voice service “to a public safety answering point, emergency medical service provider or emergency dispatch provider, public safety, fire service, or law enforcement official, or hospital emergency or trauma care facility, in order to respond to the user’s call for emergency services”).</w:t>
      </w:r>
    </w:p>
  </w:footnote>
  <w:footnote w:id="177">
    <w:p w14:paraId="310BC1F2" w14:textId="77777777" w:rsidR="00EE2E1F" w:rsidRPr="00EE2E1F" w:rsidRDefault="00EE2E1F" w:rsidP="007E4590">
      <w:pPr>
        <w:pStyle w:val="FootnoteText"/>
      </w:pPr>
      <w:r w:rsidRPr="00EE2E1F">
        <w:rPr>
          <w:rStyle w:val="FootnoteReference"/>
        </w:rPr>
        <w:footnoteRef/>
      </w:r>
      <w:r w:rsidRPr="00EE2E1F">
        <w:t xml:space="preserve"> While the record indicates that PSAPs should be able to receive dispatchable location information as well as geodetic coordinates, some PSAPs may prefer some current call processing systems that may not enable PSAPs to receive both sets of information simultaneously.  </w:t>
      </w:r>
      <w:r w:rsidRPr="00EE2E1F">
        <w:rPr>
          <w:i/>
        </w:rPr>
        <w:t xml:space="preserve">See </w:t>
      </w:r>
      <w:r w:rsidRPr="00EE2E1F">
        <w:t xml:space="preserve">Verizon Roadmap Reply Comments at 12.  </w:t>
      </w:r>
    </w:p>
  </w:footnote>
  <w:footnote w:id="178">
    <w:p w14:paraId="2B1C2E18" w14:textId="77777777" w:rsidR="00EE2E1F" w:rsidRPr="00EE2E1F" w:rsidRDefault="00EE2E1F" w:rsidP="007E4590">
      <w:pPr>
        <w:pStyle w:val="FootnoteText"/>
      </w:pPr>
      <w:r w:rsidRPr="00EE2E1F">
        <w:rPr>
          <w:rStyle w:val="FootnoteReference"/>
        </w:rPr>
        <w:footnoteRef/>
      </w:r>
      <w:r w:rsidRPr="00EE2E1F">
        <w:t xml:space="preserve"> Providing coordinate information in addition to dispatchable location information will enable PSAPs to continue using coordinates as part of their emergency response data set and to corroborate the validity of the dispatchable location information.  However, where the CMRS provider provides dispatchable location information, the corroborating coordinate information associated with the call need not meet coordinate-based accuracy thresholds and will not be considered for compliance purposes.</w:t>
      </w:r>
    </w:p>
  </w:footnote>
  <w:footnote w:id="179">
    <w:p w14:paraId="732105A3" w14:textId="77777777" w:rsidR="00EE2E1F" w:rsidRPr="00EE2E1F" w:rsidRDefault="00EE2E1F" w:rsidP="007E4590">
      <w:pPr>
        <w:pStyle w:val="FootnoteText"/>
      </w:pPr>
      <w:r w:rsidRPr="00EE2E1F">
        <w:rPr>
          <w:rStyle w:val="FootnoteReference"/>
        </w:rPr>
        <w:footnoteRef/>
      </w:r>
      <w:r w:rsidRPr="00EE2E1F">
        <w:t xml:space="preserve"> Roadmap at Section 2(b)(i)(1); Parallel Path at Section 2(b)(3).</w:t>
      </w:r>
    </w:p>
  </w:footnote>
  <w:footnote w:id="180">
    <w:p w14:paraId="54E243E3" w14:textId="77777777" w:rsidR="00EE2E1F" w:rsidRPr="00EE2E1F" w:rsidRDefault="00EE2E1F" w:rsidP="007E4590">
      <w:pPr>
        <w:pStyle w:val="FootnoteText"/>
      </w:pPr>
      <w:r w:rsidRPr="00EE2E1F">
        <w:rPr>
          <w:rStyle w:val="FootnoteReference"/>
        </w:rPr>
        <w:footnoteRef/>
      </w:r>
      <w:r w:rsidRPr="00EE2E1F">
        <w:t xml:space="preserve"> AARP Roadmap Comments at 1; IAFF Roadmap Comments at 1; FindMe911 Coalition Roadmap Comments at 26; Hawaii E911 Board Roadmap Comments at 2; IACP et al Roadmap Comments at 2; NASNA Roadmap Comments at 8; NextNav Roadmap Comments at 10; Polaris Wireless Roadmap Comments at 3; TruePosition Roadmap Comments at 4, 17. </w:t>
      </w:r>
    </w:p>
  </w:footnote>
  <w:footnote w:id="181">
    <w:p w14:paraId="0753371B" w14:textId="77777777" w:rsidR="00EE2E1F" w:rsidRPr="00EE2E1F" w:rsidRDefault="00EE2E1F" w:rsidP="003359FD">
      <w:pPr>
        <w:pStyle w:val="FootnoteText"/>
      </w:pPr>
      <w:r w:rsidRPr="00EE2E1F">
        <w:rPr>
          <w:rStyle w:val="FootnoteReference"/>
        </w:rPr>
        <w:footnoteRef/>
      </w:r>
      <w:r w:rsidRPr="00EE2E1F">
        <w:t xml:space="preserve"> </w:t>
      </w:r>
      <w:r w:rsidRPr="00EE2E1F">
        <w:rPr>
          <w:i/>
        </w:rPr>
        <w:t xml:space="preserve">Third Further Notice, </w:t>
      </w:r>
      <w:r w:rsidRPr="00EE2E1F">
        <w:t>29 FCC Rcd at 2393</w:t>
      </w:r>
      <w:r w:rsidRPr="00EE2E1F">
        <w:rPr>
          <w:i/>
        </w:rPr>
        <w:t xml:space="preserve"> </w:t>
      </w:r>
      <w:r w:rsidRPr="00EE2E1F">
        <w:t>¶ 44.</w:t>
      </w:r>
    </w:p>
  </w:footnote>
  <w:footnote w:id="182">
    <w:p w14:paraId="1E75BFE8" w14:textId="3229F0A2" w:rsidR="00EE2E1F" w:rsidRPr="00EE2E1F" w:rsidRDefault="00EE2E1F" w:rsidP="003359FD">
      <w:pPr>
        <w:pStyle w:val="FootnoteText"/>
      </w:pPr>
      <w:r w:rsidRPr="00EE2E1F">
        <w:rPr>
          <w:rStyle w:val="FootnoteReference"/>
        </w:rPr>
        <w:footnoteRef/>
      </w:r>
      <w:r w:rsidRPr="00EE2E1F">
        <w:t xml:space="preserve"> </w:t>
      </w:r>
      <w:r w:rsidRPr="00EE2E1F">
        <w:rPr>
          <w:i/>
        </w:rPr>
        <w:t>See supra</w:t>
      </w:r>
      <w:r w:rsidRPr="00EE2E1F">
        <w:t xml:space="preserve"> Section III.B.2 .</w:t>
      </w:r>
    </w:p>
  </w:footnote>
  <w:footnote w:id="183">
    <w:p w14:paraId="264FEA7E" w14:textId="77777777" w:rsidR="00EE2E1F" w:rsidRPr="00EE2E1F" w:rsidRDefault="00EE2E1F" w:rsidP="003359FD">
      <w:pPr>
        <w:pStyle w:val="FootnoteText"/>
      </w:pPr>
      <w:r w:rsidRPr="00EE2E1F">
        <w:rPr>
          <w:rStyle w:val="FootnoteReference"/>
        </w:rPr>
        <w:footnoteRef/>
      </w:r>
      <w:r w:rsidRPr="00EE2E1F">
        <w:t xml:space="preserve"> </w:t>
      </w:r>
      <w:r w:rsidRPr="00EE2E1F">
        <w:rPr>
          <w:i/>
        </w:rPr>
        <w:t>See</w:t>
      </w:r>
      <w:r w:rsidRPr="00EE2E1F">
        <w:t xml:space="preserve"> Competitive Carrier Association </w:t>
      </w:r>
      <w:r w:rsidRPr="00EE2E1F">
        <w:rPr>
          <w:i/>
        </w:rPr>
        <w:t>Ex Parte</w:t>
      </w:r>
      <w:r w:rsidRPr="00EE2E1F">
        <w:t xml:space="preserve"> Letter, Attachment “Parallel Path,” at 6 (Sec. 5(b)) (filed Jan. 16, 2015) and Competitive Carrier Association </w:t>
      </w:r>
      <w:r w:rsidRPr="00EE2E1F">
        <w:rPr>
          <w:i/>
        </w:rPr>
        <w:t>Ex Parte</w:t>
      </w:r>
      <w:r w:rsidRPr="00EE2E1F">
        <w:t xml:space="preserve"> Letter at 3 (filed Jan. 23, 2015).</w:t>
      </w:r>
    </w:p>
  </w:footnote>
  <w:footnote w:id="184">
    <w:p w14:paraId="62E3BAFD" w14:textId="77777777" w:rsidR="00EE2E1F" w:rsidRPr="00EE2E1F" w:rsidRDefault="00EE2E1F" w:rsidP="003359FD">
      <w:pPr>
        <w:pStyle w:val="FootnoteText"/>
      </w:pPr>
      <w:r w:rsidRPr="00EE2E1F">
        <w:rPr>
          <w:rStyle w:val="FootnoteReference"/>
        </w:rPr>
        <w:footnoteRef/>
      </w:r>
      <w:r w:rsidRPr="00EE2E1F">
        <w:t xml:space="preserve"> </w:t>
      </w:r>
      <w:r w:rsidRPr="00EE2E1F">
        <w:rPr>
          <w:i/>
        </w:rPr>
        <w:t xml:space="preserve">Third Further Notice, </w:t>
      </w:r>
      <w:r w:rsidRPr="00EE2E1F">
        <w:t>29 FCC Rcd at 2393</w:t>
      </w:r>
      <w:r w:rsidRPr="00EE2E1F">
        <w:rPr>
          <w:i/>
        </w:rPr>
        <w:t xml:space="preserve"> </w:t>
      </w:r>
      <w:r w:rsidRPr="00EE2E1F">
        <w:t>¶ 44.</w:t>
      </w:r>
    </w:p>
  </w:footnote>
  <w:footnote w:id="185">
    <w:p w14:paraId="5589663B" w14:textId="10AF54C2" w:rsidR="00EE2E1F" w:rsidRPr="00EE2E1F" w:rsidRDefault="00EE2E1F" w:rsidP="003359FD">
      <w:pPr>
        <w:pStyle w:val="FootnoteText"/>
      </w:pPr>
      <w:r w:rsidRPr="00EE2E1F">
        <w:rPr>
          <w:rStyle w:val="FootnoteReference"/>
        </w:rPr>
        <w:footnoteRef/>
      </w:r>
      <w:r w:rsidRPr="00EE2E1F">
        <w:t xml:space="preserve"> </w:t>
      </w:r>
      <w:r w:rsidRPr="00EE2E1F">
        <w:rPr>
          <w:i/>
        </w:rPr>
        <w:t>Id.</w:t>
      </w:r>
      <w:r w:rsidRPr="00EE2E1F" w:rsidDel="00A3605B">
        <w:rPr>
          <w:i/>
        </w:rPr>
        <w:t xml:space="preserve"> </w:t>
      </w:r>
      <w:r w:rsidRPr="00EE2E1F">
        <w:t>at 2393</w:t>
      </w:r>
      <w:r w:rsidRPr="00EE2E1F">
        <w:rPr>
          <w:i/>
        </w:rPr>
        <w:t xml:space="preserve"> </w:t>
      </w:r>
      <w:r w:rsidRPr="00EE2E1F">
        <w:t xml:space="preserve">¶ 45.  For example, a 100-meter requirement would only narrow the search radius to a city block at best.  A Manhattan city block is 80 meters by 270 meters.  </w:t>
      </w:r>
      <w:r w:rsidRPr="00EE2E1F">
        <w:rPr>
          <w:i/>
        </w:rPr>
        <w:t>See</w:t>
      </w:r>
      <w:r w:rsidRPr="00EE2E1F">
        <w:t xml:space="preserve"> “City block,” </w:t>
      </w:r>
      <w:r w:rsidRPr="00EE2E1F">
        <w:rPr>
          <w:i/>
        </w:rPr>
        <w:t xml:space="preserve">available at </w:t>
      </w:r>
      <w:hyperlink r:id="rId41" w:history="1">
        <w:r w:rsidRPr="00EE2E1F">
          <w:rPr>
            <w:rStyle w:val="Hyperlink"/>
            <w:rFonts w:eastAsia="MS Gothic"/>
          </w:rPr>
          <w:t>http://en.wikipedia.org/wiki/City_block</w:t>
        </w:r>
      </w:hyperlink>
      <w:r w:rsidRPr="00EE2E1F">
        <w:rPr>
          <w:rStyle w:val="Hyperlink"/>
          <w:rFonts w:eastAsia="MS Gothic"/>
          <w:color w:val="auto"/>
          <w:u w:val="none"/>
        </w:rPr>
        <w:t xml:space="preserve"> (last visited Jan. 16, 2015)</w:t>
      </w:r>
      <w:r w:rsidRPr="00EE2E1F">
        <w:t xml:space="preserve">. </w:t>
      </w:r>
    </w:p>
  </w:footnote>
  <w:footnote w:id="186">
    <w:p w14:paraId="1323DBF9" w14:textId="77777777" w:rsidR="00EE2E1F" w:rsidRPr="00EE2E1F" w:rsidRDefault="00EE2E1F" w:rsidP="003359FD">
      <w:pPr>
        <w:pStyle w:val="FootnoteText"/>
      </w:pPr>
      <w:r w:rsidRPr="00EE2E1F">
        <w:rPr>
          <w:rStyle w:val="FootnoteReference"/>
        </w:rPr>
        <w:footnoteRef/>
      </w:r>
      <w:r w:rsidRPr="00EE2E1F">
        <w:t xml:space="preserve"> </w:t>
      </w:r>
      <w:r w:rsidRPr="00EE2E1F">
        <w:rPr>
          <w:i/>
        </w:rPr>
        <w:t xml:space="preserve">Third Further Notice, </w:t>
      </w:r>
      <w:r w:rsidRPr="00EE2E1F">
        <w:t>29 FCC Rcd at 2394</w:t>
      </w:r>
      <w:r w:rsidRPr="00EE2E1F">
        <w:rPr>
          <w:i/>
        </w:rPr>
        <w:t xml:space="preserve"> </w:t>
      </w:r>
      <w:r w:rsidRPr="00EE2E1F">
        <w:t>¶ 48.</w:t>
      </w:r>
    </w:p>
  </w:footnote>
  <w:footnote w:id="187">
    <w:p w14:paraId="61BAA091" w14:textId="0BB6EBD8" w:rsidR="00EE2E1F" w:rsidRPr="00EE2E1F" w:rsidRDefault="00EE2E1F" w:rsidP="003359FD">
      <w:pPr>
        <w:pStyle w:val="FootnoteText"/>
      </w:pPr>
      <w:r w:rsidRPr="00EE2E1F">
        <w:rPr>
          <w:rStyle w:val="FootnoteReference"/>
        </w:rPr>
        <w:footnoteRef/>
      </w:r>
      <w:r w:rsidRPr="00EE2E1F">
        <w:t xml:space="preserve"> </w:t>
      </w:r>
      <w:r w:rsidRPr="00EE2E1F">
        <w:rPr>
          <w:i/>
        </w:rPr>
        <w:t>Id.</w:t>
      </w:r>
      <w:r w:rsidRPr="00EE2E1F" w:rsidDel="00A3605B">
        <w:rPr>
          <w:i/>
        </w:rPr>
        <w:t xml:space="preserve"> </w:t>
      </w:r>
      <w:r w:rsidRPr="00EE2E1F">
        <w:t>at 2395</w:t>
      </w:r>
      <w:r w:rsidRPr="00EE2E1F">
        <w:rPr>
          <w:i/>
        </w:rPr>
        <w:t xml:space="preserve"> </w:t>
      </w:r>
      <w:r w:rsidRPr="00EE2E1F">
        <w:t>¶ 51.</w:t>
      </w:r>
    </w:p>
  </w:footnote>
  <w:footnote w:id="188">
    <w:p w14:paraId="4FAED4F5" w14:textId="77777777" w:rsidR="00EE2E1F" w:rsidRPr="00EE2E1F" w:rsidRDefault="00EE2E1F" w:rsidP="003359FD">
      <w:pPr>
        <w:pStyle w:val="FootnoteText"/>
      </w:pPr>
      <w:r w:rsidRPr="00EE2E1F">
        <w:rPr>
          <w:rStyle w:val="FootnoteReference"/>
        </w:rPr>
        <w:footnoteRef/>
      </w:r>
      <w:r w:rsidRPr="00EE2E1F">
        <w:t xml:space="preserve"> NENA Comments at 14; NASNA Comments at 4-5; IAFC Reply Comments at 1-2; IAFF Comments at 3; Metropolitan Fire Chiefs Reply Comments at 2; IACP Comments at 1; NextNav Comments at 28; Letter from Terry Hall, President, APCO International, to Marlene H. Dortch, Secretary, FCC, WT Docket No. 11-49, at 2 (filed May 6, 2013); Letter from Adam D. Kennard, Executive Director, National Sheriffs’ Association, to Julius Genachowski, Chairman, FCC, WT Docket No. 11-49 (filed Apr. 3, 2013), at 1; Letter from Telford E. Forgety, III, Director of Government Affairs &amp; Regulatory Counsel, NENA: The 9-1-1 Association, to Julius Knapp, Chief Engineer, Office of Technology, FCC, WT Docket No. 11-49 (filed Mar. 22, 2013), at 2.</w:t>
      </w:r>
    </w:p>
  </w:footnote>
  <w:footnote w:id="189">
    <w:p w14:paraId="012CA5A2" w14:textId="77777777" w:rsidR="00EE2E1F" w:rsidRPr="00EE2E1F" w:rsidRDefault="00EE2E1F" w:rsidP="003359FD">
      <w:pPr>
        <w:pStyle w:val="FootnoteText"/>
      </w:pPr>
      <w:r w:rsidRPr="00EE2E1F">
        <w:rPr>
          <w:rStyle w:val="FootnoteReference"/>
        </w:rPr>
        <w:footnoteRef/>
      </w:r>
      <w:r w:rsidRPr="00EE2E1F">
        <w:t xml:space="preserve"> </w:t>
      </w:r>
      <w:r w:rsidRPr="00EE2E1F">
        <w:rPr>
          <w:i/>
        </w:rPr>
        <w:t xml:space="preserve">See, e.g., </w:t>
      </w:r>
      <w:r w:rsidRPr="00EE2E1F">
        <w:t>APCO Comments at 4; Texas 911 Entities Comments at 2; BRETSA Comments at 16</w:t>
      </w:r>
      <w:r w:rsidRPr="00EE2E1F">
        <w:rPr>
          <w:rFonts w:eastAsia="MS Mincho"/>
          <w:lang w:eastAsia="ja-JP"/>
        </w:rPr>
        <w:t>.</w:t>
      </w:r>
    </w:p>
  </w:footnote>
  <w:footnote w:id="190">
    <w:p w14:paraId="28DAD72C" w14:textId="77777777" w:rsidR="00EE2E1F" w:rsidRPr="00EE2E1F" w:rsidRDefault="00EE2E1F" w:rsidP="003359FD">
      <w:pPr>
        <w:pStyle w:val="FootnoteText"/>
      </w:pPr>
      <w:r w:rsidRPr="00EE2E1F">
        <w:rPr>
          <w:rStyle w:val="FootnoteReference"/>
        </w:rPr>
        <w:footnoteRef/>
      </w:r>
      <w:r w:rsidRPr="00EE2E1F">
        <w:t xml:space="preserve"> AT&amp;T Comments at 10-11.</w:t>
      </w:r>
      <w:r w:rsidRPr="00EE2E1F">
        <w:rPr>
          <w:rFonts w:eastAsia="MS Mincho"/>
          <w:lang w:eastAsia="ja-JP"/>
        </w:rPr>
        <w:t xml:space="preserve">  </w:t>
      </w:r>
      <w:r w:rsidRPr="00EE2E1F">
        <w:rPr>
          <w:i/>
        </w:rPr>
        <w:t xml:space="preserve">See also </w:t>
      </w:r>
      <w:r w:rsidRPr="00EE2E1F">
        <w:t>CTIA Reply Comments at 12 (</w:t>
      </w:r>
      <w:r w:rsidRPr="00EE2E1F">
        <w:rPr>
          <w:rFonts w:eastAsia="MS Mincho"/>
          <w:lang w:eastAsia="ja-JP"/>
        </w:rPr>
        <w:t>calling the proposed indoor requirements only “marginal improvements”)</w:t>
      </w:r>
      <w:r w:rsidRPr="00EE2E1F">
        <w:t>; Intrado Comments at 4 (“</w:t>
      </w:r>
      <w:r w:rsidRPr="00EE2E1F">
        <w:rPr>
          <w:rFonts w:eastAsia="MS Mincho"/>
          <w:lang w:eastAsia="ja-JP"/>
        </w:rPr>
        <w:t>if the X,Y coordinate is not accurate enough to locate which door the emergency caller is behind, there is little additional value to the first responder.”);</w:t>
      </w:r>
      <w:r w:rsidRPr="00EE2E1F">
        <w:t xml:space="preserve"> Blooston Comments at 5 (the “added costs of compliance with the proposed rules will make only (at best) a marginal contribution to public health and safety.”).</w:t>
      </w:r>
    </w:p>
  </w:footnote>
  <w:footnote w:id="191">
    <w:p w14:paraId="6E7D89FA" w14:textId="77777777" w:rsidR="00EE2E1F" w:rsidRPr="00EE2E1F" w:rsidRDefault="00EE2E1F" w:rsidP="003359FD">
      <w:pPr>
        <w:pStyle w:val="FootnoteText"/>
      </w:pPr>
      <w:r w:rsidRPr="00EE2E1F">
        <w:rPr>
          <w:rStyle w:val="FootnoteReference"/>
        </w:rPr>
        <w:footnoteRef/>
      </w:r>
      <w:r w:rsidRPr="00EE2E1F">
        <w:t xml:space="preserve"> </w:t>
      </w:r>
      <w:r w:rsidRPr="00EE2E1F">
        <w:rPr>
          <w:i/>
        </w:rPr>
        <w:t>See, e.g</w:t>
      </w:r>
      <w:r w:rsidRPr="00EE2E1F">
        <w:t xml:space="preserve">., AT&amp;T Reply Comments at 5-6 (“by the time that CMRS providers are in a position to meet any proposed new location-accuracy standards, they could be well-under way to providing a dispatchable-address solution … in light of the time it would take CMRS providers to implement any plan to incrementally improve ALI for the short-term, they could be ready to finalize implementation on the ultimate solution.”). </w:t>
      </w:r>
      <w:r w:rsidRPr="00EE2E1F">
        <w:rPr>
          <w:i/>
        </w:rPr>
        <w:t xml:space="preserve">See also </w:t>
      </w:r>
      <w:r w:rsidRPr="00EE2E1F">
        <w:t>AT&amp;T Comments at 3-4; Sprint Reply Comments at 10; Verizon Reply Comments at 12; CTIA Reply Comments at 1; CCA Reply Comments at 9, 11; Blooston Comments at 2.</w:t>
      </w:r>
    </w:p>
  </w:footnote>
  <w:footnote w:id="192">
    <w:p w14:paraId="61231CBD" w14:textId="77777777" w:rsidR="00EE2E1F" w:rsidRPr="00EE2E1F" w:rsidRDefault="00EE2E1F" w:rsidP="003359FD">
      <w:pPr>
        <w:pStyle w:val="FootnoteText"/>
      </w:pPr>
      <w:r w:rsidRPr="00EE2E1F">
        <w:rPr>
          <w:rStyle w:val="FootnoteReference"/>
        </w:rPr>
        <w:footnoteRef/>
      </w:r>
      <w:r w:rsidRPr="00EE2E1F">
        <w:t xml:space="preserve"> Roadmap at Section 4(c). </w:t>
      </w:r>
    </w:p>
  </w:footnote>
  <w:footnote w:id="193">
    <w:p w14:paraId="1B1269E3" w14:textId="1CDD71E0" w:rsidR="00EE2E1F" w:rsidRPr="00EE2E1F" w:rsidRDefault="00EE2E1F" w:rsidP="003359FD">
      <w:pPr>
        <w:pStyle w:val="FootnoteText"/>
      </w:pPr>
      <w:r w:rsidRPr="00EE2E1F">
        <w:rPr>
          <w:rStyle w:val="FootnoteReference"/>
        </w:rPr>
        <w:footnoteRef/>
      </w:r>
      <w:r w:rsidRPr="00EE2E1F">
        <w:t xml:space="preserve"> </w:t>
      </w:r>
      <w:r w:rsidRPr="00EE2E1F">
        <w:rPr>
          <w:i/>
        </w:rPr>
        <w:t xml:space="preserve">See, e.g., </w:t>
      </w:r>
      <w:r w:rsidRPr="00EE2E1F">
        <w:t xml:space="preserve">TruePosition </w:t>
      </w:r>
      <w:r w:rsidRPr="00EE2E1F">
        <w:rPr>
          <w:i/>
        </w:rPr>
        <w:t>Ex Parte</w:t>
      </w:r>
      <w:r w:rsidRPr="00EE2E1F">
        <w:t xml:space="preserve"> Letter at 1 (filed Oct. 9, 2014) (); Intrado </w:t>
      </w:r>
      <w:r w:rsidRPr="00EE2E1F">
        <w:rPr>
          <w:i/>
        </w:rPr>
        <w:t xml:space="preserve">Ex Parte </w:t>
      </w:r>
      <w:r w:rsidRPr="00EE2E1F">
        <w:t>Letter, Attachment at 11 (filed Sep. 26, 2014) (“Improved accuracy of X/Y/Z … reduces the total error of reverse geocoding”).</w:t>
      </w:r>
    </w:p>
  </w:footnote>
  <w:footnote w:id="194">
    <w:p w14:paraId="2C74DA2B" w14:textId="77777777" w:rsidR="00EE2E1F" w:rsidRPr="00EE2E1F" w:rsidRDefault="00EE2E1F" w:rsidP="003359FD">
      <w:pPr>
        <w:pStyle w:val="FootnoteText"/>
      </w:pPr>
      <w:r w:rsidRPr="00EE2E1F">
        <w:rPr>
          <w:rStyle w:val="FootnoteReference"/>
        </w:rPr>
        <w:footnoteRef/>
      </w:r>
      <w:r w:rsidRPr="00EE2E1F">
        <w:t xml:space="preserve"> </w:t>
      </w:r>
      <w:r w:rsidRPr="00EE2E1F">
        <w:rPr>
          <w:i/>
        </w:rPr>
        <w:t xml:space="preserve">Third Further Notice, </w:t>
      </w:r>
      <w:r w:rsidRPr="00EE2E1F">
        <w:t>29 FCC Rcd at 2396</w:t>
      </w:r>
      <w:r w:rsidRPr="00EE2E1F">
        <w:rPr>
          <w:i/>
        </w:rPr>
        <w:t xml:space="preserve"> </w:t>
      </w:r>
      <w:r w:rsidRPr="00EE2E1F">
        <w:t>¶ 55.</w:t>
      </w:r>
    </w:p>
  </w:footnote>
  <w:footnote w:id="195">
    <w:p w14:paraId="19E28003" w14:textId="3D481031" w:rsidR="00EE2E1F" w:rsidRPr="00EE2E1F" w:rsidRDefault="00EE2E1F" w:rsidP="003359FD">
      <w:pPr>
        <w:pStyle w:val="FootnoteText"/>
      </w:pPr>
      <w:r w:rsidRPr="00EE2E1F">
        <w:rPr>
          <w:rStyle w:val="FootnoteReference"/>
        </w:rPr>
        <w:footnoteRef/>
      </w:r>
      <w:r w:rsidRPr="00EE2E1F">
        <w:t xml:space="preserve"> </w:t>
      </w:r>
      <w:r w:rsidRPr="00EE2E1F">
        <w:rPr>
          <w:i/>
        </w:rPr>
        <w:t>Id.</w:t>
      </w:r>
      <w:r w:rsidRPr="00EE2E1F" w:rsidDel="00A3605B">
        <w:rPr>
          <w:i/>
        </w:rPr>
        <w:t xml:space="preserve"> </w:t>
      </w:r>
      <w:r w:rsidRPr="00EE2E1F">
        <w:t>at 2394</w:t>
      </w:r>
      <w:r w:rsidRPr="00EE2E1F">
        <w:rPr>
          <w:i/>
        </w:rPr>
        <w:t xml:space="preserve"> </w:t>
      </w:r>
      <w:r w:rsidRPr="00EE2E1F">
        <w:t>¶ 47.</w:t>
      </w:r>
    </w:p>
  </w:footnote>
  <w:footnote w:id="196">
    <w:p w14:paraId="2155A525" w14:textId="77777777" w:rsidR="00EE2E1F" w:rsidRPr="00EE2E1F" w:rsidRDefault="00EE2E1F" w:rsidP="003359FD">
      <w:pPr>
        <w:pStyle w:val="FootnoteText"/>
        <w:rPr>
          <w:i/>
        </w:rPr>
      </w:pPr>
      <w:r w:rsidRPr="00EE2E1F">
        <w:rPr>
          <w:rStyle w:val="FootnoteReference"/>
        </w:rPr>
        <w:footnoteRef/>
      </w:r>
      <w:r w:rsidRPr="00EE2E1F">
        <w:t xml:space="preserve"> Transit Reply Comments at ii; </w:t>
      </w:r>
      <w:r w:rsidRPr="00EE2E1F">
        <w:rPr>
          <w:rFonts w:eastAsia="MS Mincho"/>
          <w:lang w:eastAsia="ja-JP"/>
        </w:rPr>
        <w:t>ITI Comments at 3-4;</w:t>
      </w:r>
      <w:r w:rsidRPr="00EE2E1F">
        <w:t xml:space="preserve">  Motorola Comments at 3; </w:t>
      </w:r>
      <w:r w:rsidRPr="00EE2E1F">
        <w:rPr>
          <w:rFonts w:eastAsia="MS Mincho"/>
          <w:lang w:eastAsia="ja-JP"/>
        </w:rPr>
        <w:t xml:space="preserve">TIA Comments at 3; Qualcomm Comments at 4; </w:t>
      </w:r>
      <w:r w:rsidRPr="00EE2E1F">
        <w:t>SouthernLINC Reply Comments at 2; 4G Americas Ex Parte at 1-2 (8/11/14).</w:t>
      </w:r>
    </w:p>
  </w:footnote>
  <w:footnote w:id="197">
    <w:p w14:paraId="6DAD3CCD" w14:textId="77777777" w:rsidR="00EE2E1F" w:rsidRPr="00EE2E1F" w:rsidRDefault="00EE2E1F" w:rsidP="003359FD">
      <w:pPr>
        <w:pStyle w:val="FootnoteText"/>
      </w:pPr>
      <w:r w:rsidRPr="00EE2E1F">
        <w:rPr>
          <w:rStyle w:val="FootnoteReference"/>
        </w:rPr>
        <w:footnoteRef/>
      </w:r>
      <w:r w:rsidRPr="00EE2E1F">
        <w:t xml:space="preserve"> </w:t>
      </w:r>
      <w:r w:rsidRPr="00EE2E1F">
        <w:rPr>
          <w:i/>
          <w:snapToGrid w:val="0"/>
        </w:rPr>
        <w:t xml:space="preserve">See, e.g., </w:t>
      </w:r>
      <w:r w:rsidRPr="00EE2E1F">
        <w:rPr>
          <w:snapToGrid w:val="0"/>
        </w:rPr>
        <w:t>AdGen Comments at 1; NASNA Comments at 4; NextNav Comments at 3; TruePosition Comments at 6-7; NARUC Comments at 8; NPSC Comments at 1; TDI Comments at 3-4; IAFF Comments at 5;  NENA Comments at 14; IAFC Reply Comments at 2; Metropolitan Fire Chiefs Reply Comments at 2.</w:t>
      </w:r>
    </w:p>
  </w:footnote>
  <w:footnote w:id="198">
    <w:p w14:paraId="2A0285CD" w14:textId="77777777" w:rsidR="00EE2E1F" w:rsidRPr="00EE2E1F" w:rsidRDefault="00EE2E1F" w:rsidP="003359FD">
      <w:pPr>
        <w:pStyle w:val="FootnoteText"/>
      </w:pPr>
      <w:r w:rsidRPr="00EE2E1F">
        <w:rPr>
          <w:rStyle w:val="FootnoteReference"/>
        </w:rPr>
        <w:footnoteRef/>
      </w:r>
      <w:r w:rsidRPr="00EE2E1F">
        <w:t xml:space="preserve"> Roadmap at Section 4(a).</w:t>
      </w:r>
    </w:p>
  </w:footnote>
  <w:footnote w:id="199">
    <w:p w14:paraId="3DD3D0BB" w14:textId="77777777" w:rsidR="00EE2E1F" w:rsidRPr="00EE2E1F" w:rsidRDefault="00EE2E1F" w:rsidP="003359FD">
      <w:pPr>
        <w:pStyle w:val="FootnoteText"/>
      </w:pPr>
      <w:r w:rsidRPr="00EE2E1F">
        <w:rPr>
          <w:rStyle w:val="FootnoteReference"/>
        </w:rPr>
        <w:footnoteRef/>
      </w:r>
      <w:r w:rsidRPr="00EE2E1F">
        <w:t xml:space="preserve"> Roadmap at Section 4(c).</w:t>
      </w:r>
    </w:p>
  </w:footnote>
  <w:footnote w:id="200">
    <w:p w14:paraId="01FB65D0" w14:textId="10A1F9DA" w:rsidR="00EE2E1F" w:rsidRPr="00EE2E1F" w:rsidRDefault="00EE2E1F" w:rsidP="003359FD">
      <w:pPr>
        <w:pStyle w:val="FootnoteText"/>
      </w:pPr>
      <w:r w:rsidRPr="00EE2E1F">
        <w:rPr>
          <w:rStyle w:val="FootnoteReference"/>
        </w:rPr>
        <w:footnoteRef/>
      </w:r>
      <w:r w:rsidRPr="00EE2E1F">
        <w:t xml:space="preserve"> </w:t>
      </w:r>
      <w:r w:rsidRPr="00EE2E1F">
        <w:rPr>
          <w:i/>
        </w:rPr>
        <w:t>Id</w:t>
      </w:r>
      <w:r w:rsidRPr="00EE2E1F">
        <w:t xml:space="preserve">.  We note that in the Addendum, the nationwide carrier signatories committed to a 60 percent metric at Year 5 for </w:t>
      </w:r>
      <w:r w:rsidRPr="00EE2E1F">
        <w:rPr>
          <w:b/>
        </w:rPr>
        <w:t>all</w:t>
      </w:r>
      <w:r w:rsidRPr="00EE2E1F">
        <w:t xml:space="preserve"> calls including non-VoLTE calls (as opposed to the 75 percent offered in the Roadmap for VoLTE calls), and an 80 percent metric for </w:t>
      </w:r>
      <w:r w:rsidRPr="00EE2E1F">
        <w:rPr>
          <w:b/>
        </w:rPr>
        <w:t>all</w:t>
      </w:r>
      <w:r w:rsidRPr="00EE2E1F">
        <w:t xml:space="preserve"> calls at Year </w:t>
      </w:r>
      <w:r w:rsidRPr="00EE2E1F">
        <w:rPr>
          <w:b/>
        </w:rPr>
        <w:t>7</w:t>
      </w:r>
      <w:r w:rsidRPr="00EE2E1F">
        <w:t xml:space="preserve"> (as opposed to the 80 percent offered for VoLTE calls at Year 6).  See AT&amp;T Services, Inc., Sprint, T-Mobile USA, and Verizon Letter at 4 (“Addendum”) (filed Jan. 21, 2015).  </w:t>
      </w:r>
      <w:r w:rsidRPr="00EE2E1F">
        <w:rPr>
          <w:i/>
        </w:rPr>
        <w:t>See also</w:t>
      </w:r>
      <w:r w:rsidRPr="00EE2E1F">
        <w:t xml:space="preserve"> APCO </w:t>
      </w:r>
      <w:r w:rsidRPr="00EE2E1F">
        <w:rPr>
          <w:i/>
        </w:rPr>
        <w:t>Ex Parte</w:t>
      </w:r>
      <w:r w:rsidRPr="00EE2E1F">
        <w:t xml:space="preserve"> Letter (filed Jan. 21, 2015) and NENA </w:t>
      </w:r>
      <w:r w:rsidRPr="00EE2E1F">
        <w:rPr>
          <w:i/>
        </w:rPr>
        <w:t>Ex Parte</w:t>
      </w:r>
      <w:r w:rsidRPr="00EE2E1F">
        <w:t xml:space="preserve"> Letter (filed Jan. 21, 2015) (both expressing support the Addendum).</w:t>
      </w:r>
    </w:p>
  </w:footnote>
  <w:footnote w:id="201">
    <w:p w14:paraId="247D81CE" w14:textId="77777777" w:rsidR="00EE2E1F" w:rsidRPr="00EE2E1F" w:rsidRDefault="00EE2E1F" w:rsidP="003359FD">
      <w:pPr>
        <w:pStyle w:val="FootnoteText"/>
      </w:pPr>
      <w:r w:rsidRPr="00EE2E1F">
        <w:rPr>
          <w:rStyle w:val="FootnoteReference"/>
        </w:rPr>
        <w:footnoteRef/>
      </w:r>
      <w:r w:rsidRPr="00EE2E1F">
        <w:t xml:space="preserve"> </w:t>
      </w:r>
      <w:r w:rsidRPr="00EE2E1F">
        <w:rPr>
          <w:i/>
        </w:rPr>
        <w:t xml:space="preserve">See, e.g., </w:t>
      </w:r>
      <w:r w:rsidRPr="00EE2E1F">
        <w:t xml:space="preserve">NENA Roadmap Comments at 1; APCO Roadmap Comments at 2; CTIA Roadmap Reply Comments at ii-iii.  </w:t>
      </w:r>
    </w:p>
  </w:footnote>
  <w:footnote w:id="202">
    <w:p w14:paraId="7DE979E0" w14:textId="77777777" w:rsidR="00EE2E1F" w:rsidRPr="00EE2E1F" w:rsidRDefault="00EE2E1F" w:rsidP="003359FD">
      <w:pPr>
        <w:pStyle w:val="FootnoteText"/>
      </w:pPr>
      <w:r w:rsidRPr="00EE2E1F">
        <w:rPr>
          <w:rStyle w:val="FootnoteReference"/>
        </w:rPr>
        <w:footnoteRef/>
      </w:r>
      <w:r w:rsidRPr="00EE2E1F">
        <w:t xml:space="preserve"> AT&amp;T Roadmap Reply Comments at 1-2; T-Mobile Roadmap Reply Comments at 1-2. </w:t>
      </w:r>
    </w:p>
  </w:footnote>
  <w:footnote w:id="203">
    <w:p w14:paraId="00F58682" w14:textId="77777777" w:rsidR="00EE2E1F" w:rsidRPr="00EE2E1F" w:rsidRDefault="00EE2E1F" w:rsidP="003359FD">
      <w:pPr>
        <w:pStyle w:val="FootnoteText"/>
      </w:pPr>
      <w:r w:rsidRPr="00EE2E1F">
        <w:rPr>
          <w:rStyle w:val="FootnoteReference"/>
        </w:rPr>
        <w:footnoteRef/>
      </w:r>
      <w:r w:rsidRPr="00EE2E1F">
        <w:t xml:space="preserve"> APCO Roadmap Comments at 2; Intrado Roadmap Comments at 2; TIA Roadmap Comments at 2; NATOA Roadmap Comments at 3; Mobile Future Roadmap Comments at 2; ILA Roadmap Comments at 1; CTIA Comments at 12; Pennsylvania NENA Roadmap Comments at 1; Garfield County Roadmap Comments at 1; Colorado NENA Roadmap Comments at 1; iCERT Roadmap Comments at 2; TCS Roadmap Comments at 4; CSR Roadmap Comments at 3. </w:t>
      </w:r>
    </w:p>
  </w:footnote>
  <w:footnote w:id="204">
    <w:p w14:paraId="6635CDB7" w14:textId="6DCACEB7" w:rsidR="00EE2E1F" w:rsidRPr="00EE2E1F" w:rsidRDefault="00EE2E1F" w:rsidP="003359FD">
      <w:pPr>
        <w:pStyle w:val="FootnoteText"/>
      </w:pPr>
      <w:r w:rsidRPr="00EE2E1F">
        <w:rPr>
          <w:rStyle w:val="FootnoteReference"/>
        </w:rPr>
        <w:footnoteRef/>
      </w:r>
      <w:r w:rsidRPr="00EE2E1F">
        <w:t xml:space="preserve"> Competitive Carrier Association </w:t>
      </w:r>
      <w:r w:rsidRPr="00EE2E1F">
        <w:rPr>
          <w:i/>
        </w:rPr>
        <w:t>Ex Parte</w:t>
      </w:r>
      <w:r w:rsidRPr="00EE2E1F">
        <w:t xml:space="preserve"> Letter at 1 (filed Jan. 16, 2015) (“Parallel Path”).  CCA qualified its endorsement of the Roadmap, believing the Roadmap as initially presented should be adopted by the Commission “exclusively for the four nationwide carriers,” </w:t>
      </w:r>
      <w:r w:rsidRPr="00EE2E1F">
        <w:rPr>
          <w:i/>
        </w:rPr>
        <w:t>id</w:t>
      </w:r>
      <w:r w:rsidRPr="00EE2E1F">
        <w:t xml:space="preserve">. at 1, because of the impact on smaller carriers of the Roadmap’s testing, reporting, and deployment arrangement.   Regarding horizontal location accuracy, CCA offered a ‘parallel path” for smaller, non-nationwide carriers to achieve the same percentage benchmarks and timetable as the nationwide carriers for Years 2 and 3, and in fact offered a more aggressive benchmark for small carriers to meet (70 percent of all wireless 911 calls at Year 5, provided they had operational VoLTE platforms, contrasted with the 60 percent offered in the Addendum); similarly, the Parallel Path would, under appropriate conditions, have small carriers reach an 80 percent rate for location fix for all calls at Year 6, contrasted with the Addendum similar rate for all calls at Year 7.  </w:t>
      </w:r>
      <w:r w:rsidRPr="00EE2E1F">
        <w:rPr>
          <w:i/>
        </w:rPr>
        <w:t>See</w:t>
      </w:r>
      <w:r w:rsidRPr="00EE2E1F">
        <w:t xml:space="preserve"> Parallel Path at Section 5(b).</w:t>
      </w:r>
    </w:p>
  </w:footnote>
  <w:footnote w:id="205">
    <w:p w14:paraId="3921D0EE" w14:textId="77777777" w:rsidR="00EE2E1F" w:rsidRPr="00EE2E1F" w:rsidRDefault="00EE2E1F" w:rsidP="003359FD">
      <w:pPr>
        <w:pStyle w:val="FootnoteText"/>
      </w:pPr>
      <w:r w:rsidRPr="00EE2E1F">
        <w:rPr>
          <w:rStyle w:val="FootnoteReference"/>
        </w:rPr>
        <w:footnoteRef/>
      </w:r>
      <w:r w:rsidRPr="00EE2E1F">
        <w:t xml:space="preserve"> Hawaii Roadmap Comments at 2; AARP Roadmap Comments at 1: Nebraska Roadmap Comments at 2; NASNA Comments at 6; Fairfax Roadmap Comments at 1; CFSI Roadmap Comments at 1; NextNav Roadmap Comments at iii, 7, 9, 17, 18, 20; FindMe911 Roadmap Comments at 3, 33; TruePosition Roadmap Comments at 17. </w:t>
      </w:r>
    </w:p>
  </w:footnote>
  <w:footnote w:id="206">
    <w:p w14:paraId="61590B88" w14:textId="77777777" w:rsidR="00EE2E1F" w:rsidRPr="00EE2E1F" w:rsidRDefault="00EE2E1F" w:rsidP="003359FD">
      <w:pPr>
        <w:pStyle w:val="FootnoteText"/>
      </w:pPr>
      <w:r w:rsidRPr="00EE2E1F">
        <w:rPr>
          <w:rStyle w:val="FootnoteReference"/>
        </w:rPr>
        <w:footnoteRef/>
      </w:r>
      <w:r w:rsidRPr="00EE2E1F">
        <w:rPr>
          <w:i/>
        </w:rPr>
        <w:t xml:space="preserve"> </w:t>
      </w:r>
      <w:r w:rsidRPr="00EE2E1F">
        <w:t>NARUC Roadmap Comments at 5; NASNA Roadmap Comments at 6; Fairfax Roadmap Comments at 1.</w:t>
      </w:r>
    </w:p>
  </w:footnote>
  <w:footnote w:id="207">
    <w:p w14:paraId="301C4EC7" w14:textId="77777777" w:rsidR="00EE2E1F" w:rsidRPr="00EE2E1F" w:rsidRDefault="00EE2E1F" w:rsidP="003359FD">
      <w:pPr>
        <w:pStyle w:val="FootnoteText"/>
      </w:pPr>
      <w:r w:rsidRPr="00EE2E1F">
        <w:rPr>
          <w:rStyle w:val="FootnoteReference"/>
        </w:rPr>
        <w:footnoteRef/>
      </w:r>
      <w:r w:rsidRPr="00EE2E1F">
        <w:t xml:space="preserve"> NARUC Roadmap Comments at 5-6; Hawaii Roadmap Comments at 2. </w:t>
      </w:r>
    </w:p>
  </w:footnote>
  <w:footnote w:id="208">
    <w:p w14:paraId="4906F11F" w14:textId="77777777" w:rsidR="00EE2E1F" w:rsidRPr="00EE2E1F" w:rsidRDefault="00EE2E1F" w:rsidP="003359FD">
      <w:pPr>
        <w:pStyle w:val="FootnoteText"/>
        <w:rPr>
          <w:i/>
        </w:rPr>
      </w:pPr>
      <w:r w:rsidRPr="00EE2E1F">
        <w:rPr>
          <w:rStyle w:val="FootnoteReference"/>
        </w:rPr>
        <w:footnoteRef/>
      </w:r>
      <w:r w:rsidRPr="00EE2E1F">
        <w:t xml:space="preserve"> NASNA Roadmap Comments at 5; NextNav Roadmap Comments at 24; FindMe911 Roadmap Comments at 3, 25, 26, 41; Hawaii Roadmap Comments at 2; TruePosition Roadmap Comments at 12-13.</w:t>
      </w:r>
    </w:p>
  </w:footnote>
  <w:footnote w:id="209">
    <w:p w14:paraId="2A5D2162" w14:textId="77777777" w:rsidR="00EE2E1F" w:rsidRPr="00EE2E1F" w:rsidRDefault="00EE2E1F" w:rsidP="003359FD">
      <w:pPr>
        <w:pStyle w:val="FootnoteText"/>
      </w:pPr>
      <w:r w:rsidRPr="00EE2E1F">
        <w:rPr>
          <w:rStyle w:val="FootnoteReference"/>
        </w:rPr>
        <w:footnoteRef/>
      </w:r>
      <w:r w:rsidRPr="00EE2E1F">
        <w:t xml:space="preserve"> </w:t>
      </w:r>
      <w:r w:rsidRPr="00EE2E1F">
        <w:rPr>
          <w:i/>
        </w:rPr>
        <w:t xml:space="preserve">See, e.g., </w:t>
      </w:r>
      <w:r w:rsidRPr="00EE2E1F">
        <w:t>Calif. State Firefighters’ Assoc. Roadmap Comments at 1; Congressional Fire Services Institute Roadmap Comments at 1; Fraternal Order of Police of Ohio Roadmap Comments at 1; Hawaii E911 Roadmap Comments at 1; NARUC Roadmap Comments at 5; San Francisco Dept. of Emergency Management Roadmap Comments at 1.</w:t>
      </w:r>
    </w:p>
  </w:footnote>
  <w:footnote w:id="210">
    <w:p w14:paraId="51D66E63" w14:textId="0AB6A868" w:rsidR="00EE2E1F" w:rsidRPr="00EE2E1F" w:rsidRDefault="00EE2E1F" w:rsidP="003359FD">
      <w:pPr>
        <w:pStyle w:val="FootnoteText"/>
        <w:rPr>
          <w:u w:val="single"/>
        </w:rPr>
      </w:pPr>
      <w:r w:rsidRPr="00EE2E1F">
        <w:rPr>
          <w:rStyle w:val="FootnoteReference"/>
        </w:rPr>
        <w:footnoteRef/>
      </w:r>
      <w:r w:rsidRPr="00EE2E1F">
        <w:t xml:space="preserve"> </w:t>
      </w:r>
      <w:r w:rsidRPr="00EE2E1F">
        <w:rPr>
          <w:i/>
        </w:rPr>
        <w:t xml:space="preserve">See </w:t>
      </w:r>
      <w:r w:rsidRPr="00EE2E1F">
        <w:t xml:space="preserve">Sven Fischer, “Observed Time Difference of Arrival (OTDOA) Positioning in 3GPP LTE” at 8, </w:t>
      </w:r>
      <w:r w:rsidRPr="00EE2E1F">
        <w:rPr>
          <w:i/>
        </w:rPr>
        <w:t xml:space="preserve">available at </w:t>
      </w:r>
      <w:hyperlink r:id="rId42" w:history="1">
        <w:r w:rsidRPr="00EE2E1F">
          <w:rPr>
            <w:rStyle w:val="Hyperlink"/>
          </w:rPr>
          <w:t>https://www.qualcomm.com/media/documents/files/otdoa-positioning-in-3gpp-lte.pdf</w:t>
        </w:r>
      </w:hyperlink>
      <w:r w:rsidRPr="00EE2E1F">
        <w:rPr>
          <w:i/>
        </w:rPr>
        <w:t xml:space="preserve"> </w:t>
      </w:r>
      <w:r w:rsidRPr="00EE2E1F">
        <w:t xml:space="preserve">(last visited Jan. 5, 2015). </w:t>
      </w:r>
    </w:p>
  </w:footnote>
  <w:footnote w:id="211">
    <w:p w14:paraId="2A55B83D" w14:textId="77777777" w:rsidR="00EE2E1F" w:rsidRPr="00EE2E1F" w:rsidRDefault="00EE2E1F" w:rsidP="003359FD">
      <w:pPr>
        <w:pStyle w:val="FootnoteText"/>
        <w:rPr>
          <w:i/>
        </w:rPr>
      </w:pPr>
      <w:r w:rsidRPr="00EE2E1F">
        <w:rPr>
          <w:rStyle w:val="FootnoteReference"/>
        </w:rPr>
        <w:footnoteRef/>
      </w:r>
      <w:r w:rsidRPr="00EE2E1F">
        <w:t xml:space="preserve"> 4G Americas Ex Parte at 2 (8/11/14) (footnotes omitted).  </w:t>
      </w:r>
      <w:r w:rsidRPr="00EE2E1F">
        <w:rPr>
          <w:i/>
        </w:rPr>
        <w:t xml:space="preserve">See also </w:t>
      </w:r>
      <w:r w:rsidRPr="00EE2E1F">
        <w:t>AT&amp;T Ex Parte at 3 (8/26/14).</w:t>
      </w:r>
    </w:p>
  </w:footnote>
  <w:footnote w:id="212">
    <w:p w14:paraId="3589C1B2" w14:textId="77777777" w:rsidR="00EE2E1F" w:rsidRPr="00EE2E1F" w:rsidRDefault="00EE2E1F" w:rsidP="003359FD">
      <w:pPr>
        <w:pStyle w:val="FootnoteText"/>
      </w:pPr>
      <w:r w:rsidRPr="00EE2E1F">
        <w:rPr>
          <w:rStyle w:val="FootnoteReference"/>
        </w:rPr>
        <w:footnoteRef/>
      </w:r>
      <w:r w:rsidRPr="00EE2E1F">
        <w:t xml:space="preserve"> Qualcomm Reply Comments at 6.</w:t>
      </w:r>
    </w:p>
  </w:footnote>
  <w:footnote w:id="213">
    <w:p w14:paraId="00D892B9" w14:textId="20E321DF" w:rsidR="00EE2E1F" w:rsidRPr="00EE2E1F" w:rsidRDefault="00EE2E1F" w:rsidP="003359FD">
      <w:pPr>
        <w:pStyle w:val="FootnoteText"/>
      </w:pPr>
      <w:r w:rsidRPr="00EE2E1F">
        <w:rPr>
          <w:rStyle w:val="FootnoteReference"/>
        </w:rPr>
        <w:footnoteRef/>
      </w:r>
      <w:r w:rsidRPr="00EE2E1F">
        <w:t xml:space="preserve"> </w:t>
      </w:r>
      <w:r w:rsidRPr="00EE2E1F">
        <w:rPr>
          <w:i/>
        </w:rPr>
        <w:t>Id</w:t>
      </w:r>
      <w:r w:rsidRPr="00EE2E1F">
        <w:t>.</w:t>
      </w:r>
    </w:p>
  </w:footnote>
  <w:footnote w:id="214">
    <w:p w14:paraId="0F817A82" w14:textId="77777777" w:rsidR="00EE2E1F" w:rsidRPr="00EE2E1F" w:rsidRDefault="00EE2E1F" w:rsidP="003359FD">
      <w:pPr>
        <w:pStyle w:val="FootnoteText"/>
      </w:pPr>
      <w:r w:rsidRPr="00EE2E1F">
        <w:rPr>
          <w:rStyle w:val="FootnoteReference"/>
        </w:rPr>
        <w:footnoteRef/>
      </w:r>
      <w:r w:rsidRPr="00EE2E1F">
        <w:t xml:space="preserve"> </w:t>
      </w:r>
      <w:r w:rsidRPr="00EE2E1F">
        <w:rPr>
          <w:rFonts w:eastAsia="MS Mincho"/>
          <w:lang w:eastAsia="ja-JP"/>
        </w:rPr>
        <w:t>NextNav Reply Comments at 6-7.</w:t>
      </w:r>
    </w:p>
  </w:footnote>
  <w:footnote w:id="215">
    <w:p w14:paraId="754582A6" w14:textId="77777777" w:rsidR="00EE2E1F" w:rsidRPr="00EE2E1F" w:rsidRDefault="00EE2E1F" w:rsidP="003359FD">
      <w:pPr>
        <w:pStyle w:val="FootnoteText"/>
      </w:pPr>
      <w:r w:rsidRPr="00EE2E1F">
        <w:rPr>
          <w:rStyle w:val="FootnoteReference"/>
        </w:rPr>
        <w:footnoteRef/>
      </w:r>
      <w:r w:rsidRPr="00EE2E1F">
        <w:t xml:space="preserve"> NextNav Comments at 10.</w:t>
      </w:r>
    </w:p>
  </w:footnote>
  <w:footnote w:id="216">
    <w:p w14:paraId="06B21335" w14:textId="77777777" w:rsidR="00EE2E1F" w:rsidRPr="00EE2E1F" w:rsidRDefault="00EE2E1F" w:rsidP="003359FD">
      <w:pPr>
        <w:pStyle w:val="FootnoteText"/>
        <w:rPr>
          <w:i/>
        </w:rPr>
      </w:pPr>
      <w:r w:rsidRPr="00EE2E1F">
        <w:rPr>
          <w:rStyle w:val="FootnoteReference"/>
        </w:rPr>
        <w:footnoteRef/>
      </w:r>
      <w:r w:rsidRPr="00EE2E1F">
        <w:t xml:space="preserve"> T-Mobile Comments at 15-16; T-Mobile Reply Comments at 19 (footnote omitted).  </w:t>
      </w:r>
      <w:r w:rsidRPr="00EE2E1F">
        <w:rPr>
          <w:i/>
        </w:rPr>
        <w:t>See, also</w:t>
      </w:r>
      <w:r w:rsidRPr="00EE2E1F">
        <w:t xml:space="preserve"> Transit Reply Comments at 6; CTIA Reply Comments, Bokath Report at 10.  </w:t>
      </w:r>
      <w:r w:rsidRPr="00EE2E1F">
        <w:rPr>
          <w:szCs w:val="22"/>
        </w:rPr>
        <w:t xml:space="preserve">Several commenters also contend that NextNav has underestimated the time required to develop MBS-capable chipsets and integrate them into handsets, which they argue could take four to six years.  </w:t>
      </w:r>
      <w:r w:rsidRPr="00EE2E1F">
        <w:rPr>
          <w:i/>
          <w:szCs w:val="22"/>
        </w:rPr>
        <w:t>See, e.g</w:t>
      </w:r>
      <w:r w:rsidRPr="00EE2E1F">
        <w:rPr>
          <w:szCs w:val="22"/>
        </w:rPr>
        <w:t xml:space="preserve">., </w:t>
      </w:r>
      <w:r w:rsidRPr="00EE2E1F">
        <w:t xml:space="preserve">TCS Comments at 23.  </w:t>
      </w:r>
      <w:r w:rsidRPr="00EE2E1F">
        <w:rPr>
          <w:i/>
        </w:rPr>
        <w:t>See also</w:t>
      </w:r>
      <w:r w:rsidRPr="00EE2E1F">
        <w:t xml:space="preserve"> AT&amp;T Comments at 9, T-Mobile Reply Comments at 18, CTIA Reply Comments at 11.</w:t>
      </w:r>
    </w:p>
  </w:footnote>
  <w:footnote w:id="217">
    <w:p w14:paraId="78977B8B" w14:textId="77777777" w:rsidR="00EE2E1F" w:rsidRPr="00EE2E1F" w:rsidRDefault="00EE2E1F" w:rsidP="003359FD">
      <w:pPr>
        <w:pStyle w:val="FootnoteText"/>
      </w:pPr>
      <w:r w:rsidRPr="00EE2E1F">
        <w:rPr>
          <w:rStyle w:val="FootnoteReference"/>
        </w:rPr>
        <w:footnoteRef/>
      </w:r>
      <w:r w:rsidRPr="00EE2E1F">
        <w:t xml:space="preserve"> </w:t>
      </w:r>
      <w:r w:rsidRPr="00EE2E1F">
        <w:rPr>
          <w:rFonts w:eastAsia="MS Mincho"/>
          <w:lang w:eastAsia="ja-JP"/>
        </w:rPr>
        <w:t>TruePosition Reply Comments at 15</w:t>
      </w:r>
    </w:p>
  </w:footnote>
  <w:footnote w:id="218">
    <w:p w14:paraId="666B728A" w14:textId="77777777" w:rsidR="00EE2E1F" w:rsidRPr="00EE2E1F" w:rsidRDefault="00EE2E1F" w:rsidP="003359FD">
      <w:pPr>
        <w:pStyle w:val="FootnoteText"/>
      </w:pPr>
      <w:r w:rsidRPr="00EE2E1F">
        <w:rPr>
          <w:rStyle w:val="FootnoteReference"/>
        </w:rPr>
        <w:footnoteRef/>
      </w:r>
      <w:r w:rsidRPr="00EE2E1F">
        <w:t xml:space="preserve"> TruePosition Comments at 7.</w:t>
      </w:r>
    </w:p>
  </w:footnote>
  <w:footnote w:id="219">
    <w:p w14:paraId="4315F977" w14:textId="77777777" w:rsidR="00EE2E1F" w:rsidRPr="00EE2E1F" w:rsidRDefault="00EE2E1F" w:rsidP="003359FD">
      <w:pPr>
        <w:pStyle w:val="FootnoteText"/>
      </w:pPr>
      <w:r w:rsidRPr="00EE2E1F">
        <w:rPr>
          <w:rStyle w:val="FootnoteReference"/>
        </w:rPr>
        <w:footnoteRef/>
      </w:r>
      <w:r w:rsidRPr="00EE2E1F">
        <w:t xml:space="preserve"> CTIA Reply Comments at 7-8; T-Mobile Reply Comments at 21; T-Mobile </w:t>
      </w:r>
      <w:r w:rsidRPr="00EE2E1F">
        <w:rPr>
          <w:i/>
        </w:rPr>
        <w:t>ex parte</w:t>
      </w:r>
      <w:r w:rsidRPr="00EE2E1F">
        <w:t>, Attachment at 5 (filed 10/9/14).</w:t>
      </w:r>
    </w:p>
  </w:footnote>
  <w:footnote w:id="220">
    <w:p w14:paraId="3D102232" w14:textId="77777777" w:rsidR="00EE2E1F" w:rsidRPr="00EE2E1F" w:rsidRDefault="00EE2E1F" w:rsidP="003359FD">
      <w:pPr>
        <w:pStyle w:val="FootnoteText"/>
      </w:pPr>
      <w:r w:rsidRPr="00EE2E1F">
        <w:rPr>
          <w:rStyle w:val="FootnoteReference"/>
        </w:rPr>
        <w:footnoteRef/>
      </w:r>
      <w:r w:rsidRPr="00EE2E1F">
        <w:t xml:space="preserve"> Polaris Comments at 3.</w:t>
      </w:r>
    </w:p>
  </w:footnote>
  <w:footnote w:id="221">
    <w:p w14:paraId="2EFCBB72" w14:textId="4497278D" w:rsidR="00EE2E1F" w:rsidRPr="00EE2E1F" w:rsidRDefault="00EE2E1F" w:rsidP="003359FD">
      <w:pPr>
        <w:pStyle w:val="FootnoteText"/>
      </w:pPr>
      <w:r w:rsidRPr="00EE2E1F">
        <w:rPr>
          <w:rStyle w:val="FootnoteReference"/>
        </w:rPr>
        <w:footnoteRef/>
      </w:r>
      <w:r w:rsidRPr="00EE2E1F">
        <w:t xml:space="preserve"> </w:t>
      </w:r>
      <w:r w:rsidRPr="00EE2E1F">
        <w:rPr>
          <w:i/>
        </w:rPr>
        <w:t>Id.</w:t>
      </w:r>
      <w:r w:rsidRPr="00EE2E1F" w:rsidDel="00A3605B">
        <w:t xml:space="preserve"> </w:t>
      </w:r>
      <w:r w:rsidRPr="00EE2E1F">
        <w:t>at 5 (emphasis in original).</w:t>
      </w:r>
    </w:p>
  </w:footnote>
  <w:footnote w:id="222">
    <w:p w14:paraId="30AFD1BE" w14:textId="77777777" w:rsidR="00EE2E1F" w:rsidRPr="00EE2E1F" w:rsidRDefault="00EE2E1F" w:rsidP="003359FD">
      <w:pPr>
        <w:pStyle w:val="FootnoteText"/>
        <w:rPr>
          <w:i/>
        </w:rPr>
      </w:pPr>
      <w:r w:rsidRPr="00EE2E1F">
        <w:rPr>
          <w:rStyle w:val="FootnoteReference"/>
        </w:rPr>
        <w:footnoteRef/>
      </w:r>
      <w:r w:rsidRPr="00EE2E1F">
        <w:t xml:space="preserve"> Transit Reply Comments at 6, T-Mobile Reply Comments at 22.  </w:t>
      </w:r>
      <w:r w:rsidRPr="00EE2E1F">
        <w:rPr>
          <w:i/>
        </w:rPr>
        <w:t xml:space="preserve">See also </w:t>
      </w:r>
      <w:r w:rsidRPr="00EE2E1F">
        <w:t>CCA Reply Comments at 6.</w:t>
      </w:r>
    </w:p>
  </w:footnote>
  <w:footnote w:id="223">
    <w:p w14:paraId="640E2AE1" w14:textId="77777777" w:rsidR="00EE2E1F" w:rsidRPr="00EE2E1F" w:rsidRDefault="00EE2E1F" w:rsidP="003359FD">
      <w:pPr>
        <w:pStyle w:val="FootnoteText"/>
      </w:pPr>
      <w:r w:rsidRPr="00EE2E1F">
        <w:rPr>
          <w:rStyle w:val="FootnoteReference"/>
        </w:rPr>
        <w:footnoteRef/>
      </w:r>
      <w:r w:rsidRPr="00EE2E1F">
        <w:t xml:space="preserve"> Rx Networks Comments at 15.</w:t>
      </w:r>
    </w:p>
  </w:footnote>
  <w:footnote w:id="224">
    <w:p w14:paraId="0E8FF72C" w14:textId="75D52742" w:rsidR="00EE2E1F" w:rsidRPr="00EE2E1F" w:rsidRDefault="00EE2E1F" w:rsidP="00806FFC">
      <w:pPr>
        <w:pStyle w:val="FootnoteText"/>
      </w:pPr>
      <w:r w:rsidRPr="00EE2E1F">
        <w:rPr>
          <w:rStyle w:val="FootnoteReference"/>
        </w:rPr>
        <w:footnoteRef/>
      </w:r>
      <w:r w:rsidRPr="00EE2E1F">
        <w:t xml:space="preserve"> TIA Comments at 4.   While </w:t>
      </w:r>
      <w:r w:rsidRPr="00EE2E1F">
        <w:rPr>
          <w:szCs w:val="22"/>
        </w:rPr>
        <w:t xml:space="preserve">CSRIC notes use of Wi-Fi nodes for position calculation has been standardized is available for deployment on GSM, UMTS, CDMA and LTE networks, it added that </w:t>
      </w:r>
      <w:r w:rsidRPr="00EE2E1F">
        <w:t xml:space="preserve">“Wi-Fi support for control plane UE-Assisted call flows is standardized only for LTE in the LPPe protocol.”  </w:t>
      </w:r>
      <w:r w:rsidRPr="00EE2E1F">
        <w:rPr>
          <w:i/>
        </w:rPr>
        <w:t>See CSRIC VoLTE Report</w:t>
      </w:r>
      <w:r w:rsidRPr="00EE2E1F">
        <w:t xml:space="preserve"> at 13.</w:t>
      </w:r>
    </w:p>
  </w:footnote>
  <w:footnote w:id="225">
    <w:p w14:paraId="440A0902" w14:textId="7EA9B695" w:rsidR="00EE2E1F" w:rsidRPr="00EE2E1F" w:rsidRDefault="00EE2E1F" w:rsidP="003359FD">
      <w:pPr>
        <w:pStyle w:val="FootnoteText"/>
      </w:pPr>
      <w:r w:rsidRPr="00EE2E1F">
        <w:rPr>
          <w:rStyle w:val="FootnoteReference"/>
        </w:rPr>
        <w:footnoteRef/>
      </w:r>
      <w:r w:rsidRPr="00EE2E1F">
        <w:t xml:space="preserve"> </w:t>
      </w:r>
      <w:r w:rsidRPr="00EE2E1F">
        <w:rPr>
          <w:i/>
        </w:rPr>
        <w:t>Third Further Notice</w:t>
      </w:r>
      <w:r w:rsidRPr="00EE2E1F">
        <w:t>, 29 FCC Rcd at 2393 ¶ 44.</w:t>
      </w:r>
    </w:p>
  </w:footnote>
  <w:footnote w:id="226">
    <w:p w14:paraId="50086A24" w14:textId="251BF605" w:rsidR="00EE2E1F" w:rsidRPr="00EE2E1F" w:rsidRDefault="00EE2E1F" w:rsidP="003359FD">
      <w:pPr>
        <w:pStyle w:val="FootnoteText"/>
      </w:pPr>
      <w:r w:rsidRPr="00EE2E1F">
        <w:rPr>
          <w:rStyle w:val="FootnoteReference"/>
        </w:rPr>
        <w:footnoteRef/>
      </w:r>
      <w:r w:rsidRPr="00EE2E1F">
        <w:t xml:space="preserve"> </w:t>
      </w:r>
      <w:r w:rsidRPr="00EE2E1F">
        <w:rPr>
          <w:i/>
        </w:rPr>
        <w:t xml:space="preserve">See supra </w:t>
      </w:r>
      <w:r w:rsidRPr="00EE2E1F">
        <w:t xml:space="preserve">Section </w:t>
      </w:r>
      <w:r w:rsidRPr="00EE2E1F">
        <w:fldChar w:fldCharType="begin"/>
      </w:r>
      <w:r w:rsidRPr="00EE2E1F">
        <w:instrText xml:space="preserve"> REF _Ref408486411 \w \h  \* MERGEFORMAT </w:instrText>
      </w:r>
      <w:r w:rsidRPr="00EE2E1F">
        <w:fldChar w:fldCharType="separate"/>
      </w:r>
      <w:r w:rsidR="005E367B">
        <w:t>III.B.5.b</w:t>
      </w:r>
      <w:r w:rsidRPr="00EE2E1F">
        <w:fldChar w:fldCharType="end"/>
      </w:r>
      <w:r w:rsidRPr="00EE2E1F">
        <w:t>.</w:t>
      </w:r>
    </w:p>
  </w:footnote>
  <w:footnote w:id="227">
    <w:p w14:paraId="6DDCCDCD" w14:textId="77777777" w:rsidR="00EE2E1F" w:rsidRPr="00EE2E1F" w:rsidRDefault="00EE2E1F" w:rsidP="003359FD">
      <w:pPr>
        <w:pStyle w:val="FootnoteText"/>
      </w:pPr>
      <w:r w:rsidRPr="00EE2E1F">
        <w:rPr>
          <w:rStyle w:val="FootnoteReference"/>
        </w:rPr>
        <w:footnoteRef/>
      </w:r>
      <w:r w:rsidRPr="00EE2E1F">
        <w:t xml:space="preserve"> As described at note [180] </w:t>
      </w:r>
      <w:r w:rsidRPr="00EE2E1F">
        <w:rPr>
          <w:i/>
        </w:rPr>
        <w:t xml:space="preserve">supra, </w:t>
      </w:r>
      <w:r w:rsidRPr="00EE2E1F">
        <w:t xml:space="preserve">the Roadmap signatories, in the Addendum, sought to adjust certain metrics (at Year 5 from 75 percent for VoLTE calls, to 60 percent for all calls, and at Year 7 (not Year 6 as initially proposed) for 80 percent of all calls, not VoLTE calls alone.   In their January 23, 2015, </w:t>
      </w:r>
      <w:r w:rsidRPr="00EE2E1F">
        <w:rPr>
          <w:i/>
        </w:rPr>
        <w:t>ex parte</w:t>
      </w:r>
      <w:r w:rsidRPr="00EE2E1F">
        <w:t xml:space="preserve"> letter, the Amended Roadmap parties put forth a Year 3/50 percent/all calls metric, and a Year 6/80 percent/all calls metric. </w:t>
      </w:r>
    </w:p>
  </w:footnote>
  <w:footnote w:id="228">
    <w:p w14:paraId="2F313ACF" w14:textId="519FDDD6" w:rsidR="00EE2E1F" w:rsidRPr="00EE2E1F" w:rsidRDefault="00EE2E1F" w:rsidP="003359FD">
      <w:pPr>
        <w:pStyle w:val="FootnoteText"/>
      </w:pPr>
      <w:r w:rsidRPr="00EE2E1F">
        <w:rPr>
          <w:rStyle w:val="FootnoteReference"/>
        </w:rPr>
        <w:footnoteRef/>
      </w:r>
      <w:r w:rsidRPr="00EE2E1F">
        <w:t xml:space="preserve"> </w:t>
      </w:r>
      <w:r w:rsidRPr="00EE2E1F">
        <w:rPr>
          <w:i/>
        </w:rPr>
        <w:t>See</w:t>
      </w:r>
      <w:r w:rsidRPr="00EE2E1F">
        <w:t xml:space="preserve"> Parallel Path at Section 5(b).</w:t>
      </w:r>
    </w:p>
  </w:footnote>
  <w:footnote w:id="229">
    <w:p w14:paraId="45C16666" w14:textId="77777777" w:rsidR="00EE2E1F" w:rsidRPr="00EE2E1F" w:rsidRDefault="00EE2E1F" w:rsidP="00DB3E54">
      <w:pPr>
        <w:pStyle w:val="FootnoteText"/>
      </w:pPr>
      <w:r w:rsidRPr="00EE2E1F">
        <w:rPr>
          <w:rStyle w:val="FootnoteReference"/>
        </w:rPr>
        <w:footnoteRef/>
      </w:r>
      <w:r w:rsidRPr="00EE2E1F">
        <w:t xml:space="preserve"> NextNav Ex Parte Letter, Jan. 25, 2015, at 2.  </w:t>
      </w:r>
    </w:p>
  </w:footnote>
  <w:footnote w:id="230">
    <w:p w14:paraId="278224E8" w14:textId="7D0E3CE5" w:rsidR="00EE2E1F" w:rsidRPr="00EE2E1F" w:rsidRDefault="00EE2E1F" w:rsidP="00DB3E54">
      <w:pPr>
        <w:pStyle w:val="FootnoteText"/>
      </w:pPr>
      <w:r w:rsidRPr="00EE2E1F">
        <w:rPr>
          <w:rStyle w:val="FootnoteReference"/>
        </w:rPr>
        <w:footnoteRef/>
      </w:r>
      <w:r w:rsidRPr="00EE2E1F">
        <w:t xml:space="preserve"> </w:t>
      </w:r>
      <w:r w:rsidRPr="00EE2E1F">
        <w:rPr>
          <w:i/>
        </w:rPr>
        <w:t>CSRIC VoLTE Report</w:t>
      </w:r>
      <w:r w:rsidRPr="00EE2E1F">
        <w:t xml:space="preserve"> at 14.</w:t>
      </w:r>
    </w:p>
  </w:footnote>
  <w:footnote w:id="231">
    <w:p w14:paraId="46CEA78E" w14:textId="26431B73" w:rsidR="00EE2E1F" w:rsidRPr="00EE2E1F" w:rsidRDefault="00EE2E1F" w:rsidP="00DB3E54">
      <w:pPr>
        <w:pStyle w:val="FootnoteText"/>
      </w:pPr>
      <w:r w:rsidRPr="00EE2E1F">
        <w:rPr>
          <w:rStyle w:val="FootnoteReference"/>
        </w:rPr>
        <w:footnoteRef/>
      </w:r>
      <w:r w:rsidRPr="00EE2E1F">
        <w:t xml:space="preserve"> </w:t>
      </w:r>
      <w:r w:rsidRPr="00EE2E1F">
        <w:rPr>
          <w:i/>
        </w:rPr>
        <w:t>CSRIC VoLTE Report</w:t>
      </w:r>
      <w:r w:rsidRPr="00EE2E1F">
        <w:t xml:space="preserve"> at 11.</w:t>
      </w:r>
    </w:p>
  </w:footnote>
  <w:footnote w:id="232">
    <w:p w14:paraId="006A9881" w14:textId="77777777" w:rsidR="00EE2E1F" w:rsidRPr="00EE2E1F" w:rsidRDefault="00EE2E1F" w:rsidP="003359FD">
      <w:pPr>
        <w:pStyle w:val="FootnoteText"/>
      </w:pPr>
      <w:r w:rsidRPr="00EE2E1F">
        <w:rPr>
          <w:rStyle w:val="FootnoteReference"/>
        </w:rPr>
        <w:footnoteRef/>
      </w:r>
      <w:r w:rsidRPr="00EE2E1F">
        <w:t xml:space="preserve"> </w:t>
      </w:r>
      <w:r w:rsidRPr="00EE2E1F">
        <w:rPr>
          <w:i/>
        </w:rPr>
        <w:t>See, e.g.,</w:t>
      </w:r>
      <w:r w:rsidRPr="00EE2E1F">
        <w:t xml:space="preserve"> AT&amp;T Roadmap Comments at 8 (“With the addition of the NEAD, wireless providers can now choose from an array of technologies that generally fall into two distinct categories: (1) outside-based technologies (e.g., OTDOS, A-GPS, RF fingerprinting, network beacons, satellite-based positioning), and (2) inside-based technologies (e.g., Wi-Fi hot spots and Bluetooth Low Energy beacons”); TIA Roadmap Comments at 5 (by leveraging improved satellite, LTE-based and commercial location based technologies such as Wi-Fi, First Responders will receive improved location information and when indoor networks can be leveraged, a dispatchable address for an indoor wireless 9-1-1 call); AT&amp;T Roadmap Reply Comments at 17 (“we will be able to empirically demonstrate the benefits of leveraging WiFi and Bluetooth beacons, both via dispatchable address and crowdsourcing.”); Motorola Mobility Roadmap Comments at 2 (The Roadmap is the product of positive collaboration between the public and private sectors and further evidences the wireless industry’s commitment to leveraging new technologies to provide first responders with a “dispatchable location” for 911 calls placed indoors).  </w:t>
      </w:r>
    </w:p>
  </w:footnote>
  <w:footnote w:id="233">
    <w:p w14:paraId="23ED45C2" w14:textId="77777777" w:rsidR="00EE2E1F" w:rsidRPr="00EE2E1F" w:rsidRDefault="00EE2E1F" w:rsidP="003359FD">
      <w:pPr>
        <w:pStyle w:val="FootnoteText"/>
      </w:pPr>
      <w:r w:rsidRPr="00EE2E1F">
        <w:rPr>
          <w:rStyle w:val="FootnoteReference"/>
        </w:rPr>
        <w:footnoteRef/>
      </w:r>
      <w:r w:rsidRPr="00EE2E1F">
        <w:t xml:space="preserve"> Roadmap at Section 1(a).</w:t>
      </w:r>
    </w:p>
  </w:footnote>
  <w:footnote w:id="234">
    <w:p w14:paraId="6099D68A" w14:textId="77777777" w:rsidR="00EE2E1F" w:rsidRPr="00EE2E1F" w:rsidRDefault="00EE2E1F" w:rsidP="003359FD">
      <w:pPr>
        <w:pStyle w:val="FootnoteText"/>
      </w:pPr>
      <w:r w:rsidRPr="00EE2E1F">
        <w:rPr>
          <w:rStyle w:val="FootnoteReference"/>
        </w:rPr>
        <w:footnoteRef/>
      </w:r>
      <w:r w:rsidRPr="00EE2E1F">
        <w:t xml:space="preserve"> NextNav Test Report at 2.  Although some commenters criticized NextNav’s testing for using a prototype rather than commercially available handsets, </w:t>
      </w:r>
      <w:r w:rsidRPr="00EE2E1F">
        <w:rPr>
          <w:rFonts w:eastAsia="MS Mincho"/>
          <w:szCs w:val="22"/>
          <w:lang w:eastAsia="ja-JP"/>
        </w:rPr>
        <w:t>we believe NextNav’s test results are reasonably reflective of real world conditions because all of the basic components of a commercial handset were tested.</w:t>
      </w:r>
    </w:p>
  </w:footnote>
  <w:footnote w:id="235">
    <w:p w14:paraId="08C85107" w14:textId="77777777" w:rsidR="00EE2E1F" w:rsidRPr="00EE2E1F" w:rsidRDefault="00EE2E1F" w:rsidP="003359FD">
      <w:pPr>
        <w:pStyle w:val="FootnoteText"/>
      </w:pPr>
      <w:r w:rsidRPr="00EE2E1F">
        <w:rPr>
          <w:rStyle w:val="FootnoteReference"/>
        </w:rPr>
        <w:footnoteRef/>
      </w:r>
      <w:r w:rsidRPr="00EE2E1F">
        <w:t xml:space="preserve"> Rx Network Comments at 7 (“Up to 24 months for mandating and realizing the necessary features and APIs on smartphones”); Motorola Comments at 14 (“integration of GPS into digital cellular handsets took approximately 24 months”).</w:t>
      </w:r>
    </w:p>
  </w:footnote>
  <w:footnote w:id="236">
    <w:p w14:paraId="07D93018" w14:textId="7780C0CC" w:rsidR="00EE2E1F" w:rsidRPr="00EE2E1F" w:rsidRDefault="00EE2E1F" w:rsidP="003359FD">
      <w:pPr>
        <w:pStyle w:val="FootnoteText"/>
      </w:pPr>
      <w:r w:rsidRPr="00EE2E1F">
        <w:rPr>
          <w:rStyle w:val="FootnoteReference"/>
        </w:rPr>
        <w:footnoteRef/>
      </w:r>
      <w:r w:rsidRPr="00EE2E1F">
        <w:t xml:space="preserve"> </w:t>
      </w:r>
      <w:r w:rsidRPr="00EE2E1F">
        <w:rPr>
          <w:i/>
        </w:rPr>
        <w:t>CSRIC VoLTE Report</w:t>
      </w:r>
      <w:r w:rsidRPr="00EE2E1F">
        <w:t xml:space="preserve"> at 13.</w:t>
      </w:r>
    </w:p>
  </w:footnote>
  <w:footnote w:id="237">
    <w:p w14:paraId="3216C530" w14:textId="77777777" w:rsidR="00EE2E1F" w:rsidRPr="00EE2E1F" w:rsidRDefault="00EE2E1F" w:rsidP="003359FD">
      <w:pPr>
        <w:pStyle w:val="FootnoteText"/>
      </w:pPr>
      <w:r w:rsidRPr="00EE2E1F">
        <w:rPr>
          <w:rStyle w:val="FootnoteReference"/>
        </w:rPr>
        <w:footnoteRef/>
      </w:r>
      <w:r w:rsidRPr="00EE2E1F">
        <w:t xml:space="preserve"> TruePosition Comments at 7.</w:t>
      </w:r>
    </w:p>
  </w:footnote>
  <w:footnote w:id="238">
    <w:p w14:paraId="2E978C51" w14:textId="078F8857" w:rsidR="00EE2E1F" w:rsidRPr="00906411" w:rsidRDefault="00EE2E1F" w:rsidP="00906411">
      <w:pPr>
        <w:pStyle w:val="FootnoteText"/>
      </w:pPr>
      <w:r w:rsidRPr="00906411">
        <w:rPr>
          <w:rStyle w:val="FootnoteReference"/>
        </w:rPr>
        <w:footnoteRef/>
      </w:r>
      <w:r w:rsidRPr="00906411">
        <w:t xml:space="preserve"> </w:t>
      </w:r>
      <w:r w:rsidRPr="00906411">
        <w:rPr>
          <w:rStyle w:val="footnote0"/>
        </w:rPr>
        <w:t>Techn</w:t>
      </w:r>
      <w:r w:rsidR="00024B72" w:rsidRPr="00906411">
        <w:rPr>
          <w:rStyle w:val="footnote0"/>
        </w:rPr>
        <w:t>oCom Reply, TruePosition Report at</w:t>
      </w:r>
      <w:r w:rsidRPr="00906411">
        <w:rPr>
          <w:rStyle w:val="footnote0"/>
        </w:rPr>
        <w:t xml:space="preserve"> 1.</w:t>
      </w:r>
    </w:p>
  </w:footnote>
  <w:footnote w:id="239">
    <w:p w14:paraId="06EEDD04" w14:textId="77777777" w:rsidR="00EE2E1F" w:rsidRPr="00EE2E1F" w:rsidRDefault="00EE2E1F" w:rsidP="003359FD">
      <w:pPr>
        <w:pStyle w:val="FootnoteText"/>
      </w:pPr>
      <w:r w:rsidRPr="00EE2E1F">
        <w:rPr>
          <w:rStyle w:val="FootnoteReference"/>
        </w:rPr>
        <w:footnoteRef/>
      </w:r>
      <w:r w:rsidRPr="00EE2E1F">
        <w:t xml:space="preserve"> </w:t>
      </w:r>
      <w:r w:rsidRPr="00EE2E1F">
        <w:rPr>
          <w:rFonts w:eastAsia="MS Mincho"/>
          <w:lang w:eastAsia="ja-JP"/>
        </w:rPr>
        <w:t>TruePosition Comments at 10.</w:t>
      </w:r>
    </w:p>
  </w:footnote>
  <w:footnote w:id="240">
    <w:p w14:paraId="7A884410" w14:textId="77777777" w:rsidR="00EE2E1F" w:rsidRPr="00EE2E1F" w:rsidRDefault="00EE2E1F" w:rsidP="00054487">
      <w:pPr>
        <w:pStyle w:val="FootnoteText"/>
      </w:pPr>
      <w:r w:rsidRPr="00EE2E1F">
        <w:rPr>
          <w:rStyle w:val="FootnoteReference"/>
        </w:rPr>
        <w:footnoteRef/>
      </w:r>
      <w:r w:rsidRPr="00EE2E1F">
        <w:t xml:space="preserve"> </w:t>
      </w:r>
      <w:r w:rsidRPr="00EE2E1F">
        <w:rPr>
          <w:i/>
        </w:rPr>
        <w:t>Third Further Notice,</w:t>
      </w:r>
      <w:r w:rsidRPr="00EE2E1F">
        <w:t xml:space="preserve"> 29 FCC Rcd at 2413-15 ¶¶ 104-09. </w:t>
      </w:r>
    </w:p>
  </w:footnote>
  <w:footnote w:id="241">
    <w:p w14:paraId="58A81BA9" w14:textId="1338FB32" w:rsidR="00EE2E1F" w:rsidRPr="00EE2E1F" w:rsidRDefault="00EE2E1F" w:rsidP="00054487">
      <w:pPr>
        <w:pStyle w:val="FootnoteText"/>
      </w:pPr>
      <w:r w:rsidRPr="00EE2E1F">
        <w:rPr>
          <w:rStyle w:val="FootnoteReference"/>
        </w:rPr>
        <w:footnoteRef/>
      </w:r>
      <w:r w:rsidRPr="00EE2E1F">
        <w:t xml:space="preserve"> </w:t>
      </w:r>
      <w:r w:rsidRPr="00EE2E1F">
        <w:rPr>
          <w:i/>
        </w:rPr>
        <w:t>Id.</w:t>
      </w:r>
      <w:r w:rsidRPr="00EE2E1F">
        <w:t xml:space="preserve"> at 2414 ¶ 105. </w:t>
      </w:r>
    </w:p>
  </w:footnote>
  <w:footnote w:id="242">
    <w:p w14:paraId="443A1A5B" w14:textId="7A06B5FF" w:rsidR="00EE2E1F" w:rsidRPr="00EE2E1F" w:rsidRDefault="00EE2E1F" w:rsidP="00054487">
      <w:pPr>
        <w:pStyle w:val="FootnoteText"/>
      </w:pPr>
      <w:r w:rsidRPr="00EE2E1F">
        <w:rPr>
          <w:rStyle w:val="FootnoteReference"/>
        </w:rPr>
        <w:footnoteRef/>
      </w:r>
      <w:r w:rsidRPr="00EE2E1F">
        <w:t xml:space="preserve"> </w:t>
      </w:r>
      <w:r w:rsidRPr="00EE2E1F">
        <w:rPr>
          <w:i/>
        </w:rPr>
        <w:t xml:space="preserve">Id. </w:t>
      </w:r>
      <w:r w:rsidRPr="00EE2E1F">
        <w:t xml:space="preserve">at 2414 ¶ 106.  We sought specific comment on whether to use the definition of “urban” as provided by the U.S. Census Bureau (“[c]ore census block groups or blocks that have a population density of at least 1,000 people per square mile (386 per square kilometer) and surrounding census blocks that have an overall density of at least 500 people per square mile (193 per square kilometer).”) or ATIS (“an area with [h]igh population density where multi-story apartment and office buildings are observed, and with [h]igh [cell] site concentration due to capacity requirements and high signal penetration margins are encountered.”). </w:t>
      </w:r>
    </w:p>
  </w:footnote>
  <w:footnote w:id="243">
    <w:p w14:paraId="0411E77C" w14:textId="77777777" w:rsidR="00EE2E1F" w:rsidRPr="00EE2E1F" w:rsidRDefault="00EE2E1F" w:rsidP="00054487">
      <w:pPr>
        <w:pStyle w:val="FootnoteText"/>
      </w:pPr>
      <w:r w:rsidRPr="00EE2E1F">
        <w:rPr>
          <w:rStyle w:val="FootnoteReference"/>
        </w:rPr>
        <w:footnoteRef/>
      </w:r>
      <w:r w:rsidRPr="00EE2E1F">
        <w:t xml:space="preserve"> </w:t>
      </w:r>
      <w:r w:rsidRPr="00EE2E1F">
        <w:rPr>
          <w:i/>
        </w:rPr>
        <w:t>Third Further Notice</w:t>
      </w:r>
      <w:r w:rsidRPr="00EE2E1F">
        <w:t xml:space="preserve">, 29 FCC Rcd at 2415 ¶ 107.  </w:t>
      </w:r>
      <w:r w:rsidRPr="00EE2E1F">
        <w:rPr>
          <w:i/>
        </w:rPr>
        <w:t>See</w:t>
      </w:r>
      <w:r w:rsidRPr="00EE2E1F">
        <w:t xml:space="preserve"> 47 C.F.R. § 20.18(h) (1)(vi) (permitting exclusions for counties or portions of counties where triangulation is not technically possible); 20.18(h)(2)(iii) (permitting exclusions for heavily forested areas).</w:t>
      </w:r>
    </w:p>
  </w:footnote>
  <w:footnote w:id="244">
    <w:p w14:paraId="3DEA2C08" w14:textId="54F50590" w:rsidR="00EE2E1F" w:rsidRPr="00EE2E1F" w:rsidRDefault="00EE2E1F" w:rsidP="00054487">
      <w:pPr>
        <w:pStyle w:val="FootnoteText"/>
      </w:pPr>
      <w:r w:rsidRPr="00EE2E1F">
        <w:rPr>
          <w:rStyle w:val="FootnoteReference"/>
        </w:rPr>
        <w:footnoteRef/>
      </w:r>
      <w:r w:rsidRPr="00EE2E1F">
        <w:t xml:space="preserve"> APCO Comments at 4; TruePosition Comments at 20; Verizon Comments at 25 (stating that such an approach “will reward providers for focusing initial deployments on the very urban areas where the CSRIC III report and public safety stakeholders indicate that indoor accuracy concerns are highest”</w:t>
      </w:r>
      <w:r w:rsidRPr="00EE2E1F">
        <w:rPr>
          <w:rStyle w:val="FootnoteReference"/>
          <w:vertAlign w:val="baseline"/>
        </w:rPr>
        <w:t>)</w:t>
      </w:r>
      <w:r w:rsidRPr="00EE2E1F">
        <w:t xml:space="preserve">; Sprint Comments at 18. </w:t>
      </w:r>
    </w:p>
  </w:footnote>
  <w:footnote w:id="245">
    <w:p w14:paraId="5BA7FA48" w14:textId="485C2D74" w:rsidR="00EE2E1F" w:rsidRPr="00EE2E1F" w:rsidRDefault="00EE2E1F" w:rsidP="00054487">
      <w:pPr>
        <w:pStyle w:val="FootnoteText"/>
      </w:pPr>
      <w:r w:rsidRPr="00EE2E1F">
        <w:rPr>
          <w:rStyle w:val="FootnoteReference"/>
        </w:rPr>
        <w:footnoteRef/>
      </w:r>
      <w:r w:rsidRPr="00EE2E1F">
        <w:t xml:space="preserve"> </w:t>
      </w:r>
      <w:r w:rsidRPr="00EE2E1F">
        <w:rPr>
          <w:i/>
        </w:rPr>
        <w:t>See</w:t>
      </w:r>
      <w:r w:rsidRPr="00EE2E1F">
        <w:t xml:space="preserve"> NCTA Reply Comments at 2; RWA Comments at 6; Blooston Rural Reply Comments at 2-3; SouthernLINC Wireless Reply Comments at 6.  </w:t>
      </w:r>
    </w:p>
  </w:footnote>
  <w:footnote w:id="246">
    <w:p w14:paraId="56399204" w14:textId="6E80F1D8" w:rsidR="00EE2E1F" w:rsidRPr="00EE2E1F" w:rsidRDefault="00EE2E1F" w:rsidP="00054487">
      <w:pPr>
        <w:pStyle w:val="FootnoteText"/>
      </w:pPr>
      <w:r w:rsidRPr="00EE2E1F">
        <w:rPr>
          <w:rStyle w:val="FootnoteReference"/>
        </w:rPr>
        <w:footnoteRef/>
      </w:r>
      <w:r w:rsidRPr="00EE2E1F">
        <w:t xml:space="preserve"> RWA Comments at 6 (stating that“[t]he length of the exclusion will depend on the degree of accuracy and deadlines the Commission ultimately adopts, but should extend at least two years beyond the time urban carriers are required to come into compliance” and “should ensure that carriers operating in such rural areas have sufficient time to come into compliance with the standards ultimately adopted without requiring such carriers to incur financial hardship to come into compliance.”).</w:t>
      </w:r>
    </w:p>
  </w:footnote>
  <w:footnote w:id="247">
    <w:p w14:paraId="79A398F0" w14:textId="77777777" w:rsidR="00EE2E1F" w:rsidRPr="00EE2E1F" w:rsidRDefault="00EE2E1F" w:rsidP="00054487">
      <w:pPr>
        <w:pStyle w:val="FootnoteText"/>
      </w:pPr>
      <w:r w:rsidRPr="00EE2E1F">
        <w:rPr>
          <w:rStyle w:val="FootnoteReference"/>
        </w:rPr>
        <w:footnoteRef/>
      </w:r>
      <w:r w:rsidRPr="00EE2E1F">
        <w:t xml:space="preserve"> SouthernLINC Wireless Reply Comments at 7.</w:t>
      </w:r>
    </w:p>
  </w:footnote>
  <w:footnote w:id="248">
    <w:p w14:paraId="142F2833" w14:textId="77777777" w:rsidR="00EE2E1F" w:rsidRPr="00EE2E1F" w:rsidRDefault="00EE2E1F" w:rsidP="00054487">
      <w:pPr>
        <w:pStyle w:val="FootnoteText"/>
      </w:pPr>
      <w:r w:rsidRPr="00EE2E1F">
        <w:rPr>
          <w:rStyle w:val="FootnoteReference"/>
        </w:rPr>
        <w:footnoteRef/>
      </w:r>
      <w:r w:rsidRPr="00EE2E1F">
        <w:t xml:space="preserve"> SouthernLINC Wireless Jan. 23, 2014 </w:t>
      </w:r>
      <w:r w:rsidRPr="00EE2E1F">
        <w:rPr>
          <w:i/>
        </w:rPr>
        <w:t>Ex Parte</w:t>
      </w:r>
      <w:r w:rsidRPr="00EE2E1F">
        <w:t xml:space="preserve"> at 2.</w:t>
      </w:r>
    </w:p>
  </w:footnote>
  <w:footnote w:id="249">
    <w:p w14:paraId="7025ED7D" w14:textId="77777777" w:rsidR="00EE2E1F" w:rsidRPr="00EE2E1F" w:rsidRDefault="00EE2E1F" w:rsidP="00054487">
      <w:pPr>
        <w:pStyle w:val="FootnoteText"/>
      </w:pPr>
      <w:r w:rsidRPr="00EE2E1F">
        <w:rPr>
          <w:rStyle w:val="FootnoteReference"/>
        </w:rPr>
        <w:footnoteRef/>
      </w:r>
      <w:r w:rsidRPr="00EE2E1F">
        <w:t xml:space="preserve"> CCA Jan. 23, 2015 </w:t>
      </w:r>
      <w:r w:rsidRPr="00EE2E1F">
        <w:rPr>
          <w:i/>
        </w:rPr>
        <w:t>Ex Parte</w:t>
      </w:r>
      <w:r w:rsidRPr="00EE2E1F">
        <w:t xml:space="preserve"> at 2, citing CCA Jan. 16, 2015 </w:t>
      </w:r>
      <w:r w:rsidRPr="00EE2E1F">
        <w:rPr>
          <w:i/>
        </w:rPr>
        <w:t>Ex Parte</w:t>
      </w:r>
      <w:r w:rsidRPr="00EE2E1F">
        <w:t xml:space="preserve"> at 1-2.</w:t>
      </w:r>
    </w:p>
  </w:footnote>
  <w:footnote w:id="250">
    <w:p w14:paraId="7A14C0C1" w14:textId="63CACF32" w:rsidR="00EE2E1F" w:rsidRPr="00EE2E1F" w:rsidRDefault="00EE2E1F" w:rsidP="00054487">
      <w:pPr>
        <w:pStyle w:val="FootnoteText"/>
      </w:pPr>
      <w:r w:rsidRPr="00EE2E1F">
        <w:rPr>
          <w:rStyle w:val="FootnoteReference"/>
        </w:rPr>
        <w:footnoteRef/>
      </w:r>
      <w:r w:rsidRPr="00EE2E1F">
        <w:t xml:space="preserve"> </w:t>
      </w:r>
      <w:r w:rsidRPr="00EE2E1F">
        <w:rPr>
          <w:i/>
        </w:rPr>
        <w:t>Id.</w:t>
      </w:r>
      <w:r w:rsidRPr="00EE2E1F">
        <w:t xml:space="preserve"> at 2-3.</w:t>
      </w:r>
    </w:p>
  </w:footnote>
  <w:footnote w:id="251">
    <w:p w14:paraId="09339F22" w14:textId="77777777" w:rsidR="00EE2E1F" w:rsidRPr="00EE2E1F" w:rsidRDefault="00EE2E1F" w:rsidP="00054487">
      <w:pPr>
        <w:pStyle w:val="FootnoteText"/>
      </w:pPr>
      <w:r w:rsidRPr="00EE2E1F">
        <w:rPr>
          <w:rStyle w:val="FootnoteReference"/>
        </w:rPr>
        <w:footnoteRef/>
      </w:r>
      <w:r w:rsidRPr="00EE2E1F">
        <w:t xml:space="preserve"> </w:t>
      </w:r>
      <w:r w:rsidRPr="00EE2E1F">
        <w:rPr>
          <w:i/>
        </w:rPr>
        <w:t xml:space="preserve">See </w:t>
      </w:r>
      <w:r w:rsidRPr="00EE2E1F">
        <w:t>Policies Regarding Mobile Spectrum Holdings and Expanding the Economic and Innovation Opportunities of Spectrum Through Incentive Auctions, WT Docket No. 12-269 and Docket No. 12-268,</w:t>
      </w:r>
      <w:r w:rsidRPr="00EE2E1F">
        <w:rPr>
          <w:i/>
        </w:rPr>
        <w:t xml:space="preserve"> Report and Order</w:t>
      </w:r>
      <w:r w:rsidRPr="00EE2E1F">
        <w:t>, 29 FCC Rcd 6133, 6206 &amp; n.502 (2014)</w:t>
      </w:r>
    </w:p>
  </w:footnote>
  <w:footnote w:id="252">
    <w:p w14:paraId="1C6C87F0" w14:textId="799AA303" w:rsidR="00EE2E1F" w:rsidRPr="00EE2E1F" w:rsidRDefault="00EE2E1F" w:rsidP="00054487">
      <w:pPr>
        <w:pStyle w:val="FootnoteText"/>
      </w:pPr>
      <w:r w:rsidRPr="00EE2E1F">
        <w:rPr>
          <w:rStyle w:val="FootnoteReference"/>
        </w:rPr>
        <w:footnoteRef/>
      </w:r>
      <w:r w:rsidRPr="00EE2E1F">
        <w:t xml:space="preserve"> </w:t>
      </w:r>
      <w:r w:rsidRPr="00EE2E1F">
        <w:rPr>
          <w:i/>
        </w:rPr>
        <w:t xml:space="preserve">See </w:t>
      </w:r>
      <w:r w:rsidRPr="00EE2E1F">
        <w:t xml:space="preserve">“2010 Census Urban and Rural Classification and Urban Area Criteria,” </w:t>
      </w:r>
      <w:r w:rsidRPr="00EE2E1F">
        <w:rPr>
          <w:smallCaps/>
        </w:rPr>
        <w:t>United States Census Bureau</w:t>
      </w:r>
      <w:r w:rsidRPr="00EE2E1F">
        <w:t xml:space="preserve">, </w:t>
      </w:r>
      <w:r w:rsidRPr="00EE2E1F">
        <w:rPr>
          <w:i/>
        </w:rPr>
        <w:t xml:space="preserve">available at </w:t>
      </w:r>
      <w:hyperlink r:id="rId43" w:history="1">
        <w:r w:rsidRPr="00EE2E1F">
          <w:rPr>
            <w:rStyle w:val="Hyperlink"/>
          </w:rPr>
          <w:t>https://www.census.gov/geo/reference/ua/urban-rural-2010.html</w:t>
        </w:r>
      </w:hyperlink>
      <w:r w:rsidRPr="00EE2E1F">
        <w:rPr>
          <w:rStyle w:val="Hyperlink"/>
          <w:color w:val="auto"/>
          <w:u w:val="none"/>
        </w:rPr>
        <w:t xml:space="preserve"> (last visited Dec. 30, 2014)</w:t>
      </w:r>
      <w:r w:rsidRPr="00EE2E1F">
        <w:t xml:space="preserve">.  </w:t>
      </w:r>
      <w:r w:rsidRPr="00EE2E1F">
        <w:rPr>
          <w:rFonts w:eastAsia="MS Mincho"/>
          <w:lang w:eastAsia="ja-JP"/>
        </w:rPr>
        <w:t xml:space="preserve">NextNav Reply Comments at 11.  </w:t>
      </w:r>
      <w:r w:rsidRPr="00EE2E1F">
        <w:rPr>
          <w:rFonts w:eastAsia="MS Mincho"/>
          <w:i/>
          <w:lang w:eastAsia="ja-JP"/>
        </w:rPr>
        <w:t xml:space="preserve">See also </w:t>
      </w:r>
      <w:r w:rsidRPr="00EE2E1F">
        <w:rPr>
          <w:rFonts w:eastAsia="MS Mincho"/>
          <w:lang w:eastAsia="ja-JP"/>
        </w:rPr>
        <w:t>NextNav Test Report at 3 (“These test results confirm that, in the Urban Cluster tested, A-GNSS meets the proposed horizontal location threshold of 50m for more than 80% of the test calls…”).</w:t>
      </w:r>
    </w:p>
  </w:footnote>
  <w:footnote w:id="253">
    <w:p w14:paraId="0AA7B897" w14:textId="77777777" w:rsidR="00EE2E1F" w:rsidRPr="00EE2E1F" w:rsidRDefault="00EE2E1F">
      <w:pPr>
        <w:pStyle w:val="FootnoteText"/>
      </w:pPr>
      <w:r w:rsidRPr="00EE2E1F">
        <w:rPr>
          <w:rStyle w:val="FootnoteReference"/>
        </w:rPr>
        <w:footnoteRef/>
      </w:r>
      <w:r w:rsidRPr="00EE2E1F">
        <w:t xml:space="preserve"> </w:t>
      </w:r>
      <w:r w:rsidRPr="00EE2E1F">
        <w:rPr>
          <w:i/>
        </w:rPr>
        <w:t>See infra</w:t>
      </w:r>
      <w:r w:rsidRPr="00EE2E1F">
        <w:t xml:space="preserve"> Sec.III.B.4, addressing Vertical Location. </w:t>
      </w:r>
    </w:p>
  </w:footnote>
  <w:footnote w:id="254">
    <w:p w14:paraId="47A19260" w14:textId="0B94D972" w:rsidR="00EE2E1F" w:rsidRPr="00EE2E1F" w:rsidRDefault="00EE2E1F" w:rsidP="00F62DB8">
      <w:pPr>
        <w:pStyle w:val="FootnoteText"/>
      </w:pPr>
      <w:r w:rsidRPr="00EE2E1F">
        <w:rPr>
          <w:rStyle w:val="FootnoteReference"/>
        </w:rPr>
        <w:footnoteRef/>
      </w:r>
      <w:r w:rsidRPr="00EE2E1F">
        <w:t xml:space="preserve"> CCA describes a commercially-operating VoLTE platform “as the point in time when a non-nationwide carrier is commercially offering VoLTE service to any subscriber in any portion of its service footprint.”  See CCA Jan. 23, 2015 </w:t>
      </w:r>
      <w:r w:rsidRPr="00EE2E1F">
        <w:rPr>
          <w:i/>
        </w:rPr>
        <w:t>Ex Parte</w:t>
      </w:r>
      <w:r w:rsidRPr="00EE2E1F">
        <w:t xml:space="preserve"> at 3, n.22, citing Parallel Path at Section 5(b).</w:t>
      </w:r>
    </w:p>
  </w:footnote>
  <w:footnote w:id="255">
    <w:p w14:paraId="1C79460B" w14:textId="6866B0D8" w:rsidR="00EE2E1F" w:rsidRPr="00EE2E1F" w:rsidRDefault="00EE2E1F" w:rsidP="00F62DB8">
      <w:pPr>
        <w:pStyle w:val="FootnoteText"/>
      </w:pPr>
      <w:r w:rsidRPr="00EE2E1F">
        <w:rPr>
          <w:rStyle w:val="FootnoteReference"/>
        </w:rPr>
        <w:footnoteRef/>
      </w:r>
      <w:r w:rsidRPr="00EE2E1F">
        <w:t xml:space="preserve"> </w:t>
      </w:r>
      <w:r w:rsidRPr="00EE2E1F">
        <w:rPr>
          <w:i/>
        </w:rPr>
        <w:t>See</w:t>
      </w:r>
      <w:r w:rsidRPr="00EE2E1F">
        <w:t xml:space="preserve"> CCA Jan. 23, 2015 Ex Parte; CCA Roadmap Comments at 4-5.  </w:t>
      </w:r>
    </w:p>
  </w:footnote>
  <w:footnote w:id="256">
    <w:p w14:paraId="7380CD50" w14:textId="77777777" w:rsidR="00EE2E1F" w:rsidRPr="00EE2E1F" w:rsidRDefault="00EE2E1F" w:rsidP="00F62DB8">
      <w:pPr>
        <w:pStyle w:val="FootnoteText"/>
      </w:pPr>
      <w:r w:rsidRPr="00EE2E1F">
        <w:rPr>
          <w:rStyle w:val="FootnoteReference"/>
        </w:rPr>
        <w:footnoteRef/>
      </w:r>
      <w:r w:rsidRPr="00EE2E1F">
        <w:t xml:space="preserve"> CCA Roadmap Comments at 4.  </w:t>
      </w:r>
    </w:p>
  </w:footnote>
  <w:footnote w:id="257">
    <w:p w14:paraId="2F51748B" w14:textId="77777777" w:rsidR="00EE2E1F" w:rsidRPr="00EE2E1F" w:rsidRDefault="00EE2E1F" w:rsidP="00F62DB8">
      <w:pPr>
        <w:pStyle w:val="FootnoteText"/>
      </w:pPr>
      <w:r w:rsidRPr="00EE2E1F">
        <w:rPr>
          <w:rStyle w:val="FootnoteReference"/>
        </w:rPr>
        <w:footnoteRef/>
      </w:r>
      <w:r w:rsidRPr="00EE2E1F">
        <w:t xml:space="preserve"> </w:t>
      </w:r>
      <w:r w:rsidRPr="00EE2E1F">
        <w:rPr>
          <w:i/>
        </w:rPr>
        <w:t>Id</w:t>
      </w:r>
      <w:r w:rsidRPr="00EE2E1F">
        <w:t>. at 5.</w:t>
      </w:r>
    </w:p>
  </w:footnote>
  <w:footnote w:id="258">
    <w:p w14:paraId="455A7644" w14:textId="7E8E395A" w:rsidR="00EE2E1F" w:rsidRPr="00EE2E1F" w:rsidRDefault="00EE2E1F" w:rsidP="00F62DB8">
      <w:pPr>
        <w:pStyle w:val="FootnoteText"/>
      </w:pPr>
      <w:r w:rsidRPr="00EE2E1F">
        <w:rPr>
          <w:rStyle w:val="FootnoteReference"/>
        </w:rPr>
        <w:footnoteRef/>
      </w:r>
      <w:r w:rsidRPr="00EE2E1F">
        <w:t xml:space="preserve"> </w:t>
      </w:r>
      <w:r w:rsidRPr="00EE2E1F">
        <w:rPr>
          <w:i/>
        </w:rPr>
        <w:t>See</w:t>
      </w:r>
      <w:r w:rsidRPr="00EE2E1F">
        <w:t xml:space="preserve"> CCA Roadmap Comments at 6-7 (noting, among various testing challenges, the difficulties and costs of drive testing by non-nationwide CMRS providers that serve rural areas).</w:t>
      </w:r>
    </w:p>
  </w:footnote>
  <w:footnote w:id="259">
    <w:p w14:paraId="451ECFD4" w14:textId="77777777" w:rsidR="00EE2E1F" w:rsidRPr="00EE2E1F" w:rsidRDefault="00EE2E1F" w:rsidP="00B7034F">
      <w:pPr>
        <w:pStyle w:val="FootnoteText"/>
      </w:pPr>
      <w:r w:rsidRPr="00EE2E1F">
        <w:rPr>
          <w:rStyle w:val="FootnoteReference"/>
          <w:rFonts w:eastAsiaTheme="majorEastAsia"/>
        </w:rPr>
        <w:footnoteRef/>
      </w:r>
      <w:r w:rsidRPr="00EE2E1F">
        <w:t xml:space="preserve"> </w:t>
      </w:r>
      <w:r w:rsidRPr="00EE2E1F">
        <w:rPr>
          <w:i/>
        </w:rPr>
        <w:t xml:space="preserve">Third Further Notice, </w:t>
      </w:r>
      <w:r w:rsidRPr="00EE2E1F">
        <w:t>29 FCC Rcd at 2402-03</w:t>
      </w:r>
      <w:r w:rsidRPr="00EE2E1F">
        <w:rPr>
          <w:i/>
        </w:rPr>
        <w:t xml:space="preserve"> </w:t>
      </w:r>
      <w:r w:rsidRPr="00EE2E1F">
        <w:t>at ¶ 73.</w:t>
      </w:r>
    </w:p>
  </w:footnote>
  <w:footnote w:id="260">
    <w:p w14:paraId="4A17D3E1" w14:textId="77777777" w:rsidR="00EE2E1F" w:rsidRPr="00EE2E1F" w:rsidRDefault="00EE2E1F" w:rsidP="00B7034F">
      <w:pPr>
        <w:pStyle w:val="FootnoteText"/>
      </w:pPr>
      <w:r w:rsidRPr="00EE2E1F">
        <w:rPr>
          <w:rStyle w:val="FootnoteReference"/>
          <w:rFonts w:eastAsiaTheme="majorEastAsia"/>
        </w:rPr>
        <w:footnoteRef/>
      </w:r>
      <w:r w:rsidRPr="00EE2E1F">
        <w:t xml:space="preserve"> In the CSRIC test bed, NextNav was able to locate a caller’s vertical location within 3 meters more than 67 percent of the time in dense urban, urban, and rural morphologies.  </w:t>
      </w:r>
      <w:r w:rsidRPr="00EE2E1F">
        <w:rPr>
          <w:i/>
        </w:rPr>
        <w:t>See</w:t>
      </w:r>
      <w:r w:rsidRPr="00EE2E1F">
        <w:t xml:space="preserve"> </w:t>
      </w:r>
      <w:r w:rsidRPr="00EE2E1F">
        <w:rPr>
          <w:i/>
        </w:rPr>
        <w:t>Indoor Location Test Bed Report</w:t>
      </w:r>
      <w:r w:rsidRPr="00EE2E1F">
        <w:t xml:space="preserve"> at 36.  NextNav conducted additional testing on the second generation of its location technology and reported improvements in both horizontal and vertical location accuracy.  It provided callers’ vertical location within 3.2 meters 80 percent of the time, across all morphologies.  </w:t>
      </w:r>
      <w:r w:rsidRPr="00EE2E1F">
        <w:rPr>
          <w:i/>
        </w:rPr>
        <w:t>See</w:t>
      </w:r>
      <w:r w:rsidRPr="00EE2E1F">
        <w:t xml:space="preserve"> NextNav Aug. 14, 2013 </w:t>
      </w:r>
      <w:r w:rsidRPr="00EE2E1F">
        <w:rPr>
          <w:i/>
        </w:rPr>
        <w:t>Ex Parte</w:t>
      </w:r>
      <w:r w:rsidRPr="00EE2E1F">
        <w:t xml:space="preserve"> Letter at 3-11.  </w:t>
      </w:r>
    </w:p>
  </w:footnote>
  <w:footnote w:id="261">
    <w:p w14:paraId="0F282CBE" w14:textId="77777777" w:rsidR="00EE2E1F" w:rsidRPr="00EE2E1F" w:rsidRDefault="00EE2E1F" w:rsidP="00B7034F">
      <w:pPr>
        <w:pStyle w:val="FootnoteText"/>
      </w:pPr>
      <w:r w:rsidRPr="00EE2E1F">
        <w:rPr>
          <w:rStyle w:val="FootnoteReference"/>
          <w:rFonts w:eastAsiaTheme="majorEastAsia"/>
        </w:rPr>
        <w:footnoteRef/>
      </w:r>
      <w:r w:rsidRPr="00EE2E1F">
        <w:t xml:space="preserve"> NextNav Aug. 14, 2013 </w:t>
      </w:r>
      <w:r w:rsidRPr="00EE2E1F">
        <w:rPr>
          <w:i/>
        </w:rPr>
        <w:t>ex parte</w:t>
      </w:r>
      <w:r w:rsidRPr="00EE2E1F">
        <w:t xml:space="preserve"> at 1-2.</w:t>
      </w:r>
    </w:p>
  </w:footnote>
  <w:footnote w:id="262">
    <w:p w14:paraId="13492BE0" w14:textId="77777777" w:rsidR="00EE2E1F" w:rsidRPr="00EE2E1F" w:rsidRDefault="00EE2E1F" w:rsidP="00B7034F">
      <w:pPr>
        <w:pStyle w:val="FootnoteText"/>
      </w:pPr>
      <w:r w:rsidRPr="00EE2E1F">
        <w:rPr>
          <w:rStyle w:val="FootnoteReference"/>
          <w:rFonts w:eastAsiaTheme="majorEastAsia"/>
        </w:rPr>
        <w:footnoteRef/>
      </w:r>
      <w:r w:rsidRPr="00EE2E1F">
        <w:t xml:space="preserve"> Polaris Workshop Comments at 3 (estimating that its vertical location accuracy performance “should achieve floor-level precision across all indoor environments in the 3-5 year timeframe”). </w:t>
      </w:r>
    </w:p>
  </w:footnote>
  <w:footnote w:id="263">
    <w:p w14:paraId="7924E259" w14:textId="17965630" w:rsidR="00EE2E1F" w:rsidRPr="00EE2E1F" w:rsidRDefault="00EE2E1F" w:rsidP="00B7034F">
      <w:pPr>
        <w:pStyle w:val="FootnoteText"/>
      </w:pPr>
      <w:r w:rsidRPr="00EE2E1F">
        <w:rPr>
          <w:rStyle w:val="FootnoteReference"/>
          <w:rFonts w:eastAsiaTheme="majorEastAsia"/>
        </w:rPr>
        <w:footnoteRef/>
      </w:r>
      <w:r w:rsidRPr="00EE2E1F">
        <w:t xml:space="preserve"> </w:t>
      </w:r>
      <w:r w:rsidRPr="00EE2E1F">
        <w:rPr>
          <w:i/>
        </w:rPr>
        <w:t xml:space="preserve">Third Further Notice, </w:t>
      </w:r>
      <w:r w:rsidRPr="00EE2E1F">
        <w:t xml:space="preserve">29 FCC Rcd at 2405 ¶ 79, citing Lawson, Stephen, “Ten Ways your Smartphone Knows Where You Are,” </w:t>
      </w:r>
      <w:r w:rsidRPr="00EE2E1F">
        <w:rPr>
          <w:smallCaps/>
        </w:rPr>
        <w:t>PC World</w:t>
      </w:r>
      <w:r w:rsidRPr="00EE2E1F">
        <w:t xml:space="preserve">, Apr. 6, 2012, </w:t>
      </w:r>
      <w:r w:rsidRPr="00EE2E1F">
        <w:rPr>
          <w:i/>
        </w:rPr>
        <w:t>available at</w:t>
      </w:r>
      <w:r w:rsidRPr="00EE2E1F">
        <w:t xml:space="preserve"> </w:t>
      </w:r>
      <w:hyperlink r:id="rId44" w:history="1">
        <w:r w:rsidRPr="00EE2E1F">
          <w:rPr>
            <w:rStyle w:val="Hyperlink"/>
            <w:rFonts w:eastAsia="MS Gothic"/>
          </w:rPr>
          <w:t>http://www.pcworld.com/article/253354/ten_ways_your_smartphone_knows_where_you_are.html</w:t>
        </w:r>
      </w:hyperlink>
      <w:r w:rsidRPr="00EE2E1F">
        <w:t xml:space="preserve"> (last visited Jan. 13, 2015).</w:t>
      </w:r>
    </w:p>
  </w:footnote>
  <w:footnote w:id="264">
    <w:p w14:paraId="170C7675" w14:textId="77777777" w:rsidR="00EE2E1F" w:rsidRPr="00EE2E1F" w:rsidRDefault="00EE2E1F" w:rsidP="00B7034F">
      <w:pPr>
        <w:pStyle w:val="FootnoteText"/>
      </w:pPr>
      <w:r w:rsidRPr="00EE2E1F">
        <w:rPr>
          <w:rStyle w:val="FootnoteReference"/>
          <w:rFonts w:eastAsiaTheme="majorEastAsia"/>
        </w:rPr>
        <w:footnoteRef/>
      </w:r>
      <w:r w:rsidRPr="00EE2E1F">
        <w:t xml:space="preserve"> </w:t>
      </w:r>
      <w:r w:rsidRPr="00EE2E1F">
        <w:rPr>
          <w:i/>
        </w:rPr>
        <w:t xml:space="preserve">Third Further Notice, </w:t>
      </w:r>
      <w:r w:rsidRPr="00EE2E1F">
        <w:t xml:space="preserve">29 FCC Rcd at 2402-03 ¶ 73.  </w:t>
      </w:r>
    </w:p>
  </w:footnote>
  <w:footnote w:id="265">
    <w:p w14:paraId="54291F60" w14:textId="19179A97" w:rsidR="00EE2E1F" w:rsidRPr="00EE2E1F" w:rsidRDefault="00EE2E1F" w:rsidP="00B7034F">
      <w:pPr>
        <w:pStyle w:val="FootnoteText"/>
      </w:pPr>
      <w:r w:rsidRPr="00EE2E1F">
        <w:rPr>
          <w:rStyle w:val="FootnoteReference"/>
          <w:rFonts w:eastAsiaTheme="majorEastAsia"/>
        </w:rPr>
        <w:footnoteRef/>
      </w:r>
      <w:r w:rsidRPr="00EE2E1F">
        <w:t xml:space="preserve"> </w:t>
      </w:r>
      <w:r w:rsidRPr="00EE2E1F">
        <w:rPr>
          <w:i/>
        </w:rPr>
        <w:t>Id.</w:t>
      </w:r>
      <w:r w:rsidRPr="00EE2E1F">
        <w:t xml:space="preserve"> at 2405 ¶ 79. </w:t>
      </w:r>
    </w:p>
  </w:footnote>
  <w:footnote w:id="266">
    <w:p w14:paraId="48A57A8B" w14:textId="54AA6AF4" w:rsidR="00EE2E1F" w:rsidRPr="00EE2E1F" w:rsidRDefault="00EE2E1F" w:rsidP="00B7034F">
      <w:pPr>
        <w:pStyle w:val="FootnoteText"/>
      </w:pPr>
      <w:r w:rsidRPr="00EE2E1F">
        <w:rPr>
          <w:rStyle w:val="FootnoteReference"/>
          <w:rFonts w:eastAsiaTheme="majorEastAsia"/>
        </w:rPr>
        <w:footnoteRef/>
      </w:r>
      <w:r w:rsidRPr="00EE2E1F">
        <w:t xml:space="preserve"> </w:t>
      </w:r>
      <w:r w:rsidRPr="00EE2E1F">
        <w:rPr>
          <w:i/>
        </w:rPr>
        <w:t>See</w:t>
      </w:r>
      <w:r w:rsidRPr="00EE2E1F">
        <w:t xml:space="preserve"> IAFF January 23</w:t>
      </w:r>
      <w:r w:rsidRPr="00EE2E1F">
        <w:rPr>
          <w:i/>
        </w:rPr>
        <w:t xml:space="preserve"> Ex Parte</w:t>
      </w:r>
      <w:r w:rsidRPr="00EE2E1F">
        <w:t xml:space="preserve"> at 1 (stating that “the proposal to establish a three meter vertical accuracy requirement will vastly improve the ability of first responders to locate indoor calls, reducing response times and significantly enhancing the public safety.  Vertical accuracy requirements will also improve the safety of responding personnel by providing for a directed search and thus reducing responder stress and disorientation).  </w:t>
      </w:r>
      <w:r w:rsidRPr="00EE2E1F">
        <w:rPr>
          <w:i/>
        </w:rPr>
        <w:t>See also</w:t>
      </w:r>
      <w:r w:rsidRPr="00EE2E1F">
        <w:t xml:space="preserve"> IACP Comments at 1; IAFC Comments at 2; NASEMSO Comments at 2. </w:t>
      </w:r>
    </w:p>
  </w:footnote>
  <w:footnote w:id="267">
    <w:p w14:paraId="0F5B0A14" w14:textId="77777777" w:rsidR="00EE2E1F" w:rsidRPr="00EE2E1F" w:rsidRDefault="00EE2E1F" w:rsidP="00B7034F">
      <w:pPr>
        <w:pStyle w:val="FootnoteText"/>
      </w:pPr>
      <w:r w:rsidRPr="00EE2E1F">
        <w:rPr>
          <w:rStyle w:val="FootnoteReference"/>
          <w:rFonts w:eastAsiaTheme="majorEastAsia"/>
        </w:rPr>
        <w:footnoteRef/>
      </w:r>
      <w:r w:rsidRPr="00EE2E1F">
        <w:t xml:space="preserve"> iPosi Comments at 6; NextNav Comments at 52, Reply at 13; Polaris Comments at 6-7; TruePosition Comments at 17; Bosch Comments at 2-3. NextNav Comments at 18; NASNA Comments at 7; Rx Networks Comments at 7. </w:t>
      </w:r>
    </w:p>
  </w:footnote>
  <w:footnote w:id="268">
    <w:p w14:paraId="329E641A" w14:textId="28D5EBBB" w:rsidR="00EE2E1F" w:rsidRPr="00EE2E1F" w:rsidRDefault="00EE2E1F" w:rsidP="00B7034F">
      <w:pPr>
        <w:pStyle w:val="FootnoteText"/>
      </w:pPr>
      <w:r w:rsidRPr="00EE2E1F">
        <w:rPr>
          <w:rStyle w:val="FootnoteReference"/>
          <w:rFonts w:eastAsiaTheme="majorEastAsia"/>
        </w:rPr>
        <w:footnoteRef/>
      </w:r>
      <w:r w:rsidRPr="00EE2E1F">
        <w:t xml:space="preserve"> AT&amp;T Reply Comments at 5-6 (“[I]nstead of seeing incremental improvement in wireless ALI on either the x/y- or z-axis within the Commission’s projected two-to-three year timeframe, the actual timeframe for improvements might easily be three to four times longer.”); AT&amp;T Comments at 6, 8-9; CTIA Comments at 1 and Reply Comments at 9-11; TIA Comments at 7, Reply Comments at 7-8; CCA Reply Comments at 6, 8; T-Mobile Comments at 4-5; Verizon Comments at 21; RWA Comments at 2; CTIA Reply Comments at 11; Qualcomm Comments at 11, 13; Motorola Comments at 6-12; ITI Comments at 5.</w:t>
      </w:r>
    </w:p>
  </w:footnote>
  <w:footnote w:id="269">
    <w:p w14:paraId="01731430" w14:textId="6FDDD840" w:rsidR="00EE2E1F" w:rsidRPr="00EE2E1F" w:rsidRDefault="00EE2E1F" w:rsidP="00B7034F">
      <w:pPr>
        <w:pStyle w:val="FootnoteText"/>
      </w:pPr>
      <w:r w:rsidRPr="00EE2E1F">
        <w:rPr>
          <w:rStyle w:val="FootnoteReference"/>
        </w:rPr>
        <w:footnoteRef/>
      </w:r>
      <w:r w:rsidRPr="00EE2E1F">
        <w:t xml:space="preserve"> </w:t>
      </w:r>
      <w:r w:rsidRPr="00EE2E1F">
        <w:rPr>
          <w:i/>
        </w:rPr>
        <w:t xml:space="preserve">See </w:t>
      </w:r>
      <w:r w:rsidRPr="00EE2E1F">
        <w:t xml:space="preserve">Franczek, Witold, “Mean Sea Level, GPS, and the Geoid,” </w:t>
      </w:r>
      <w:r w:rsidRPr="00EE2E1F">
        <w:rPr>
          <w:smallCaps/>
        </w:rPr>
        <w:t>Esri</w:t>
      </w:r>
      <w:r w:rsidRPr="00EE2E1F">
        <w:t xml:space="preserve">, </w:t>
      </w:r>
      <w:r w:rsidRPr="00EE2E1F">
        <w:rPr>
          <w:i/>
        </w:rPr>
        <w:t>available at</w:t>
      </w:r>
      <w:r w:rsidRPr="00EE2E1F">
        <w:t xml:space="preserve"> </w:t>
      </w:r>
      <w:hyperlink r:id="rId45" w:history="1">
        <w:r w:rsidRPr="00EE2E1F">
          <w:rPr>
            <w:rStyle w:val="Hyperlink"/>
          </w:rPr>
          <w:t>http://www.esri.com/news/arcuser/0703/geoid1of3.html</w:t>
        </w:r>
      </w:hyperlink>
      <w:r w:rsidRPr="00EE2E1F">
        <w:t xml:space="preserve"> (last visited Dec. 9, 2014).  Barometric pressure sensors could be used in multiple ways:  in conjunction with other fixed physical infrastructure (</w:t>
      </w:r>
      <w:r w:rsidRPr="00EE2E1F">
        <w:rPr>
          <w:i/>
        </w:rPr>
        <w:t>i.e</w:t>
      </w:r>
      <w:r w:rsidRPr="00EE2E1F">
        <w:t xml:space="preserve">., disambiguating between two Wi-Fi locations that are on different floors but both within range of the device calling 911), or as a measurement of vertical height (using calibrated or uncalibrated air pressure readings for a vertical height estimate).  </w:t>
      </w:r>
    </w:p>
  </w:footnote>
  <w:footnote w:id="270">
    <w:p w14:paraId="36DA27A4" w14:textId="6050366E" w:rsidR="00EE2E1F" w:rsidRPr="00EE2E1F" w:rsidRDefault="00EE2E1F" w:rsidP="00B7034F">
      <w:pPr>
        <w:pStyle w:val="FootnoteText"/>
      </w:pPr>
      <w:r w:rsidRPr="00EE2E1F">
        <w:rPr>
          <w:rStyle w:val="FootnoteReference"/>
          <w:rFonts w:eastAsiaTheme="majorEastAsia"/>
        </w:rPr>
        <w:footnoteRef/>
      </w:r>
      <w:r w:rsidRPr="00EE2E1F">
        <w:t xml:space="preserve"> </w:t>
      </w:r>
      <w:r w:rsidRPr="00EE2E1F">
        <w:rPr>
          <w:i/>
        </w:rPr>
        <w:t>See</w:t>
      </w:r>
      <w:r w:rsidRPr="00EE2E1F">
        <w:t xml:space="preserve"> Happich,</w:t>
      </w:r>
      <w:r w:rsidRPr="00EE2E1F">
        <w:rPr>
          <w:i/>
        </w:rPr>
        <w:t xml:space="preserve"> </w:t>
      </w:r>
      <w:r w:rsidRPr="00EE2E1F">
        <w:t xml:space="preserve">Julien, </w:t>
      </w:r>
      <w:r w:rsidRPr="00EE2E1F">
        <w:rPr>
          <w:i/>
        </w:rPr>
        <w:t>“</w:t>
      </w:r>
      <w:r w:rsidRPr="00EE2E1F">
        <w:t xml:space="preserve">Samsung Leads the Adoption of Pressure Sensors in Smartphones, for Floor-Accurate Indoor Geolocation,” </w:t>
      </w:r>
      <w:r w:rsidRPr="00EE2E1F">
        <w:rPr>
          <w:smallCaps/>
        </w:rPr>
        <w:t>EE Times Europe</w:t>
      </w:r>
      <w:r w:rsidRPr="00EE2E1F">
        <w:t xml:space="preserve">, Mar. 21, 2013, </w:t>
      </w:r>
      <w:r w:rsidRPr="00EE2E1F">
        <w:rPr>
          <w:i/>
        </w:rPr>
        <w:t>available at</w:t>
      </w:r>
      <w:r w:rsidRPr="00EE2E1F">
        <w:t xml:space="preserve"> </w:t>
      </w:r>
      <w:hyperlink r:id="rId46" w:history="1">
        <w:r w:rsidRPr="00EE2E1F">
          <w:rPr>
            <w:rStyle w:val="Hyperlink"/>
          </w:rPr>
          <w:t>http://www.electronics-eetimes.com/en/samsung-leads-the-adoption-of-pressure-sensors-in-smartphones-for-floor-accurate-indoor-geolocation.html?cmp_id=7&amp;news_id=222916211</w:t>
        </w:r>
      </w:hyperlink>
      <w:r w:rsidRPr="00EE2E1F">
        <w:t xml:space="preserve"> (last visited Jan. 21, 2015) (noting that new units per year in 2014 were more than eight times the 82 million new units per year in 2012).  </w:t>
      </w:r>
    </w:p>
  </w:footnote>
  <w:footnote w:id="271">
    <w:p w14:paraId="6A2F8CE1" w14:textId="77777777" w:rsidR="00EE2E1F" w:rsidRPr="00EE2E1F" w:rsidRDefault="00EE2E1F" w:rsidP="00B7034F">
      <w:pPr>
        <w:pStyle w:val="FootnoteText"/>
      </w:pPr>
      <w:r w:rsidRPr="00EE2E1F">
        <w:rPr>
          <w:rStyle w:val="FootnoteReference"/>
          <w:rFonts w:eastAsiaTheme="majorEastAsia"/>
        </w:rPr>
        <w:footnoteRef/>
      </w:r>
      <w:r w:rsidRPr="00EE2E1F">
        <w:t xml:space="preserve"> Bosch Comments at 6.</w:t>
      </w:r>
    </w:p>
  </w:footnote>
  <w:footnote w:id="272">
    <w:p w14:paraId="3D3C71EC" w14:textId="77777777" w:rsidR="00EE2E1F" w:rsidRPr="00EE2E1F" w:rsidRDefault="00EE2E1F" w:rsidP="00B7034F">
      <w:pPr>
        <w:pStyle w:val="FootnoteText"/>
      </w:pPr>
      <w:r w:rsidRPr="00EE2E1F">
        <w:rPr>
          <w:rStyle w:val="FootnoteReference"/>
          <w:rFonts w:eastAsiaTheme="majorEastAsia"/>
        </w:rPr>
        <w:footnoteRef/>
      </w:r>
      <w:r w:rsidRPr="00EE2E1F">
        <w:t xml:space="preserve"> </w:t>
      </w:r>
      <w:r w:rsidRPr="00EE2E1F">
        <w:rPr>
          <w:i/>
        </w:rPr>
        <w:t>See, e.g.,</w:t>
      </w:r>
      <w:r w:rsidRPr="00EE2E1F">
        <w:t xml:space="preserve"> Sprint Comments at 7-8; Verizon Reply Comments at ii; AT&amp;T Comments at iii, 9, and 10.  </w:t>
      </w:r>
      <w:r w:rsidRPr="00EE2E1F">
        <w:rPr>
          <w:i/>
        </w:rPr>
        <w:t>See also</w:t>
      </w:r>
      <w:r w:rsidRPr="00EE2E1F">
        <w:t xml:space="preserve"> Qualcomm Comments at 14 (stating that “barometric sensors offer some promise, but not all cell phones today include such sensors…” and that “the positioning technologies that are being considered for z-axis location information not only require consumers to acquire handsets but they also require mobile carriers to deploy new network equipment.”).</w:t>
      </w:r>
    </w:p>
  </w:footnote>
  <w:footnote w:id="273">
    <w:p w14:paraId="52EB50F0" w14:textId="77777777" w:rsidR="00EE2E1F" w:rsidRPr="00EE2E1F" w:rsidRDefault="00EE2E1F" w:rsidP="00B7034F">
      <w:pPr>
        <w:pStyle w:val="FootnoteText"/>
      </w:pPr>
      <w:r w:rsidRPr="00EE2E1F">
        <w:rPr>
          <w:rStyle w:val="FootnoteReference"/>
          <w:rFonts w:eastAsiaTheme="majorEastAsia"/>
        </w:rPr>
        <w:footnoteRef/>
      </w:r>
      <w:r w:rsidRPr="00EE2E1F">
        <w:t xml:space="preserve"> T-Mobile Comments at 13 and Reply Comments at 6; AT&amp;T Comments at 15; Sprint Comments at 7-8.</w:t>
      </w:r>
    </w:p>
  </w:footnote>
  <w:footnote w:id="274">
    <w:p w14:paraId="288CD7BD" w14:textId="77777777" w:rsidR="00EE2E1F" w:rsidRPr="00EE2E1F" w:rsidRDefault="00EE2E1F" w:rsidP="00B7034F">
      <w:pPr>
        <w:pStyle w:val="FootnoteText"/>
      </w:pPr>
      <w:r w:rsidRPr="00EE2E1F">
        <w:rPr>
          <w:rStyle w:val="FootnoteReference"/>
          <w:rFonts w:eastAsiaTheme="majorEastAsia"/>
        </w:rPr>
        <w:footnoteRef/>
      </w:r>
      <w:r w:rsidRPr="00EE2E1F">
        <w:t xml:space="preserve"> NENA Comments at 23-24 (“Once responders reach the correct </w:t>
      </w:r>
      <w:r w:rsidRPr="00EE2E1F">
        <w:rPr>
          <w:i/>
        </w:rPr>
        <w:t>lateral</w:t>
      </w:r>
      <w:r w:rsidRPr="00EE2E1F">
        <w:t xml:space="preserve"> area, barometric sensors in their own devices . . . will be subject to </w:t>
      </w:r>
      <w:r w:rsidRPr="00EE2E1F">
        <w:rPr>
          <w:i/>
        </w:rPr>
        <w:t>exactly the same systemic errors</w:t>
      </w:r>
      <w:r w:rsidRPr="00EE2E1F">
        <w:t>.  That is, a responder entering a building with only uncalibrated barometry data available could still locate the correct floor, provided she had available her own barometer.”)(emphasis in original); NextNav Comments at 23 (“first responders are expected to have their own devices…that can allow the responder to match his or her elevation to the conveyed elevation of the emergency, removing the need for integrating databases or guesswork by dispatchers and responders on scene.”).</w:t>
      </w:r>
    </w:p>
  </w:footnote>
  <w:footnote w:id="275">
    <w:p w14:paraId="3E3D2B40" w14:textId="77777777" w:rsidR="00EE2E1F" w:rsidRPr="00EE2E1F" w:rsidRDefault="00EE2E1F" w:rsidP="004B1701">
      <w:pPr>
        <w:pStyle w:val="FootnoteText"/>
      </w:pPr>
      <w:r w:rsidRPr="00EE2E1F">
        <w:rPr>
          <w:rStyle w:val="FootnoteReference"/>
        </w:rPr>
        <w:footnoteRef/>
      </w:r>
      <w:r w:rsidRPr="00EE2E1F">
        <w:t xml:space="preserve"> Roadmap at Section 5; Addendum at 2; CTIA January 23</w:t>
      </w:r>
      <w:r w:rsidRPr="00EE2E1F">
        <w:rPr>
          <w:i/>
        </w:rPr>
        <w:t xml:space="preserve"> Ex Parte</w:t>
      </w:r>
      <w:r w:rsidRPr="00EE2E1F">
        <w:t>.</w:t>
      </w:r>
    </w:p>
  </w:footnote>
  <w:footnote w:id="276">
    <w:p w14:paraId="4BB11BED" w14:textId="77777777" w:rsidR="00EE2E1F" w:rsidRPr="00EE2E1F" w:rsidRDefault="00EE2E1F" w:rsidP="004B1701">
      <w:pPr>
        <w:pStyle w:val="FootnoteText"/>
      </w:pPr>
      <w:r w:rsidRPr="00EE2E1F">
        <w:rPr>
          <w:rStyle w:val="FootnoteReference"/>
        </w:rPr>
        <w:footnoteRef/>
      </w:r>
      <w:r w:rsidRPr="00EE2E1F">
        <w:t xml:space="preserve"> CTIA January 23</w:t>
      </w:r>
      <w:r w:rsidRPr="00EE2E1F">
        <w:rPr>
          <w:i/>
        </w:rPr>
        <w:t xml:space="preserve"> Ex Parte</w:t>
      </w:r>
      <w:r w:rsidRPr="00EE2E1F">
        <w:t xml:space="preserve"> at 2.</w:t>
      </w:r>
    </w:p>
  </w:footnote>
  <w:footnote w:id="277">
    <w:p w14:paraId="64893F98" w14:textId="1687D765" w:rsidR="00EE2E1F" w:rsidRPr="00EE2E1F" w:rsidRDefault="00EE2E1F" w:rsidP="004B1701">
      <w:pPr>
        <w:pStyle w:val="FootnoteText"/>
      </w:pPr>
      <w:r w:rsidRPr="00EE2E1F">
        <w:rPr>
          <w:rStyle w:val="FootnoteReference"/>
        </w:rPr>
        <w:footnoteRef/>
      </w:r>
      <w:r w:rsidRPr="00EE2E1F">
        <w:t xml:space="preserve"> </w:t>
      </w:r>
      <w:r w:rsidRPr="00EE2E1F">
        <w:rPr>
          <w:i/>
        </w:rPr>
        <w:t>Id</w:t>
      </w:r>
      <w:r w:rsidRPr="00EE2E1F">
        <w:t>.</w:t>
      </w:r>
    </w:p>
  </w:footnote>
  <w:footnote w:id="278">
    <w:p w14:paraId="005984A9" w14:textId="77777777" w:rsidR="00EE2E1F" w:rsidRPr="00EE2E1F" w:rsidRDefault="00EE2E1F" w:rsidP="00B7034F">
      <w:pPr>
        <w:pStyle w:val="FootnoteText"/>
      </w:pPr>
      <w:r w:rsidRPr="00EE2E1F">
        <w:rPr>
          <w:rStyle w:val="FootnoteReference"/>
        </w:rPr>
        <w:footnoteRef/>
      </w:r>
      <w:r w:rsidRPr="00EE2E1F">
        <w:t xml:space="preserve"> Roadmap at Section 5(a).</w:t>
      </w:r>
    </w:p>
  </w:footnote>
  <w:footnote w:id="279">
    <w:p w14:paraId="05430417" w14:textId="745EE999" w:rsidR="00EE2E1F" w:rsidRPr="00EE2E1F" w:rsidRDefault="00EE2E1F" w:rsidP="00B7034F">
      <w:pPr>
        <w:pStyle w:val="FootnoteText"/>
      </w:pPr>
      <w:r w:rsidRPr="00EE2E1F">
        <w:rPr>
          <w:rStyle w:val="FootnoteReference"/>
        </w:rPr>
        <w:footnoteRef/>
      </w:r>
      <w:r w:rsidRPr="00EE2E1F">
        <w:t xml:space="preserve"> </w:t>
      </w:r>
      <w:r w:rsidRPr="00EE2E1F">
        <w:rPr>
          <w:i/>
        </w:rPr>
        <w:t>Id.</w:t>
      </w:r>
      <w:r w:rsidRPr="00EE2E1F">
        <w:t xml:space="preserve"> at Section 5(b)(i)-(ii). </w:t>
      </w:r>
    </w:p>
  </w:footnote>
  <w:footnote w:id="280">
    <w:p w14:paraId="77009EC6" w14:textId="77777777" w:rsidR="00EE2E1F" w:rsidRPr="00EE2E1F" w:rsidRDefault="00EE2E1F" w:rsidP="00394B57">
      <w:pPr>
        <w:pStyle w:val="FootnoteText"/>
      </w:pPr>
      <w:r w:rsidRPr="00EE2E1F">
        <w:rPr>
          <w:rStyle w:val="FootnoteReference"/>
        </w:rPr>
        <w:footnoteRef/>
      </w:r>
      <w:r w:rsidRPr="00EE2E1F">
        <w:t xml:space="preserve"> Addendum at 3-4.</w:t>
      </w:r>
    </w:p>
  </w:footnote>
  <w:footnote w:id="281">
    <w:p w14:paraId="6DD817E3" w14:textId="7834945B" w:rsidR="00EE2E1F" w:rsidRPr="00EE2E1F" w:rsidRDefault="00EE2E1F" w:rsidP="00394B57">
      <w:pPr>
        <w:pStyle w:val="FootnoteText"/>
      </w:pPr>
      <w:r w:rsidRPr="00EE2E1F">
        <w:rPr>
          <w:rStyle w:val="FootnoteReference"/>
        </w:rPr>
        <w:footnoteRef/>
      </w:r>
      <w:r w:rsidRPr="00EE2E1F">
        <w:t xml:space="preserve"> </w:t>
      </w:r>
      <w:r w:rsidRPr="00EE2E1F">
        <w:rPr>
          <w:i/>
        </w:rPr>
        <w:t>Id.</w:t>
      </w:r>
      <w:r w:rsidRPr="00EE2E1F">
        <w:t xml:space="preserve"> at 3.</w:t>
      </w:r>
    </w:p>
  </w:footnote>
  <w:footnote w:id="282">
    <w:p w14:paraId="16194033" w14:textId="142C57FB" w:rsidR="00EE2E1F" w:rsidRPr="00EE2E1F" w:rsidRDefault="00EE2E1F" w:rsidP="00394B57">
      <w:pPr>
        <w:pStyle w:val="FootnoteText"/>
      </w:pPr>
      <w:r w:rsidRPr="00EE2E1F">
        <w:rPr>
          <w:rStyle w:val="FootnoteReference"/>
        </w:rPr>
        <w:footnoteRef/>
      </w:r>
      <w:r w:rsidRPr="00EE2E1F">
        <w:t xml:space="preserve"> </w:t>
      </w:r>
      <w:r w:rsidRPr="00EE2E1F">
        <w:rPr>
          <w:i/>
        </w:rPr>
        <w:t>Id</w:t>
      </w:r>
      <w:r w:rsidRPr="00EE2E1F">
        <w:t>.</w:t>
      </w:r>
    </w:p>
  </w:footnote>
  <w:footnote w:id="283">
    <w:p w14:paraId="61C0AB2F" w14:textId="77777777" w:rsidR="00EE2E1F" w:rsidRPr="00EE2E1F" w:rsidRDefault="00EE2E1F" w:rsidP="00B7034F">
      <w:pPr>
        <w:pStyle w:val="FootnoteText"/>
      </w:pPr>
      <w:r w:rsidRPr="00EE2E1F">
        <w:rPr>
          <w:rStyle w:val="FootnoteReference"/>
        </w:rPr>
        <w:footnoteRef/>
      </w:r>
      <w:r w:rsidRPr="00EE2E1F">
        <w:t xml:space="preserve"> National Association of EMS Roadmap Comments at 2; Polaris Wireless Roadmap Comments at 2; NARUC Roadmap Comments at 5; NASNA Roadmap Comments at 7; IMSA Roadmap Comments at 6; Find Me 911 Roadmap Comments at 41; TruePosition Roadmap Comments at 2, 4, 16; Hawaii E911 Roadmap Comments at 2; IACP </w:t>
      </w:r>
      <w:r w:rsidRPr="00EE2E1F">
        <w:rPr>
          <w:i/>
        </w:rPr>
        <w:t>et al</w:t>
      </w:r>
      <w:r w:rsidRPr="00EE2E1F">
        <w:t xml:space="preserve">, Roadmap Comments at 2; IAFF </w:t>
      </w:r>
      <w:r w:rsidRPr="00EE2E1F">
        <w:rPr>
          <w:i/>
        </w:rPr>
        <w:t>et al</w:t>
      </w:r>
      <w:r w:rsidRPr="00EE2E1F">
        <w:t xml:space="preserve"> Roadmap Comments at 1; NextNav Roadmap Comments at 9, 25. </w:t>
      </w:r>
    </w:p>
  </w:footnote>
  <w:footnote w:id="284">
    <w:p w14:paraId="37740EEE" w14:textId="4E3A97A7" w:rsidR="00EE2E1F" w:rsidRPr="00EE2E1F" w:rsidRDefault="00EE2E1F" w:rsidP="00B7034F">
      <w:pPr>
        <w:pStyle w:val="FootnoteText"/>
      </w:pPr>
      <w:r w:rsidRPr="00EE2E1F">
        <w:rPr>
          <w:rStyle w:val="FootnoteReference"/>
        </w:rPr>
        <w:footnoteRef/>
      </w:r>
      <w:r w:rsidRPr="00EE2E1F">
        <w:t xml:space="preserve"> AT&amp;T Roadmap Comments at 9; CTIA Roadmap Comments at 13 and Roadmap Reply Comments at 9-10, 19; Sprint Roadmap Comments at Roadmap Reply Comments at 13; T-Mobile Roadmap Comments at 12 and Roadmap Reply Comments at 5; Verizon Wireless Roadmap Comments at 3 and Roadmap Reply Comments at 22-24.</w:t>
      </w:r>
    </w:p>
  </w:footnote>
  <w:footnote w:id="285">
    <w:p w14:paraId="7A6D86AA" w14:textId="77777777" w:rsidR="00EE2E1F" w:rsidRPr="00EE2E1F" w:rsidRDefault="00EE2E1F">
      <w:pPr>
        <w:pStyle w:val="FootnoteText"/>
      </w:pPr>
      <w:r w:rsidRPr="00EE2E1F">
        <w:rPr>
          <w:rStyle w:val="FootnoteReference"/>
        </w:rPr>
        <w:footnoteRef/>
      </w:r>
      <w:r w:rsidRPr="00EE2E1F">
        <w:t xml:space="preserve"> Verizon Roadmap Reply Comments at 23-24. </w:t>
      </w:r>
    </w:p>
  </w:footnote>
  <w:footnote w:id="286">
    <w:p w14:paraId="56D42F87" w14:textId="77777777" w:rsidR="00EE2E1F" w:rsidRPr="00EE2E1F" w:rsidRDefault="00EE2E1F" w:rsidP="00B7034F">
      <w:pPr>
        <w:pStyle w:val="FootnoteText"/>
      </w:pPr>
      <w:r w:rsidRPr="00EE2E1F">
        <w:rPr>
          <w:rStyle w:val="FootnoteReference"/>
        </w:rPr>
        <w:footnoteRef/>
      </w:r>
      <w:r w:rsidRPr="00EE2E1F">
        <w:t xml:space="preserve"> NENA Roadmap Comments at 4.  </w:t>
      </w:r>
    </w:p>
  </w:footnote>
  <w:footnote w:id="287">
    <w:p w14:paraId="25302CFB" w14:textId="6ED195A7" w:rsidR="00EE2E1F" w:rsidRPr="00EE2E1F" w:rsidRDefault="00EE2E1F">
      <w:pPr>
        <w:pStyle w:val="FootnoteText"/>
      </w:pPr>
      <w:r w:rsidRPr="00EE2E1F">
        <w:rPr>
          <w:rStyle w:val="FootnoteReference"/>
        </w:rPr>
        <w:footnoteRef/>
      </w:r>
      <w:r w:rsidRPr="00EE2E1F">
        <w:t xml:space="preserve"> CCA Jan. 23, 2015 </w:t>
      </w:r>
      <w:r w:rsidRPr="00EE2E1F">
        <w:rPr>
          <w:i/>
        </w:rPr>
        <w:t>Ex Parte</w:t>
      </w:r>
      <w:r w:rsidRPr="00EE2E1F">
        <w:t xml:space="preserve"> at 5, citing Parallel Path at Section 6; Roadmap at Section 6.</w:t>
      </w:r>
    </w:p>
  </w:footnote>
  <w:footnote w:id="288">
    <w:p w14:paraId="443A51FB" w14:textId="77777777" w:rsidR="00EE2E1F" w:rsidRPr="00EE2E1F" w:rsidRDefault="00EE2E1F" w:rsidP="00B7034F">
      <w:pPr>
        <w:pStyle w:val="FootnoteText"/>
      </w:pPr>
      <w:r w:rsidRPr="00EE2E1F">
        <w:rPr>
          <w:rStyle w:val="FootnoteReference"/>
        </w:rPr>
        <w:footnoteRef/>
      </w:r>
      <w:r w:rsidRPr="00EE2E1F">
        <w:t xml:space="preserve"> Qualcomm Roadmap Comments at 8-10; TCS Roadmap Comments at 1, 5; Motorola Roadmap Comments at 2; DEMSF Roadmap Comments at 2; National Fraternal Order of Police Roadmap Comments at 1.</w:t>
      </w:r>
    </w:p>
  </w:footnote>
  <w:footnote w:id="289">
    <w:p w14:paraId="0C67D7E3" w14:textId="77777777" w:rsidR="00EE2E1F" w:rsidRPr="00EE2E1F" w:rsidRDefault="00EE2E1F" w:rsidP="00B7034F">
      <w:pPr>
        <w:pStyle w:val="FootnoteText"/>
      </w:pPr>
      <w:r w:rsidRPr="00EE2E1F">
        <w:rPr>
          <w:rStyle w:val="FootnoteReference"/>
        </w:rPr>
        <w:footnoteRef/>
      </w:r>
      <w:r w:rsidRPr="00EE2E1F">
        <w:t xml:space="preserve"> iPosi Roadmap Comments at 4.  </w:t>
      </w:r>
    </w:p>
  </w:footnote>
  <w:footnote w:id="290">
    <w:p w14:paraId="06D1E0CE" w14:textId="48121DF0" w:rsidR="00EE2E1F" w:rsidRPr="00EE2E1F" w:rsidRDefault="00EE2E1F" w:rsidP="00394B57">
      <w:pPr>
        <w:pStyle w:val="FootnoteText"/>
      </w:pPr>
      <w:r w:rsidRPr="00EE2E1F">
        <w:rPr>
          <w:rStyle w:val="FootnoteReference"/>
        </w:rPr>
        <w:footnoteRef/>
      </w:r>
      <w:r w:rsidRPr="00EE2E1F">
        <w:t xml:space="preserve"> </w:t>
      </w:r>
      <w:r w:rsidRPr="00EE2E1F">
        <w:rPr>
          <w:i/>
        </w:rPr>
        <w:t>See, e.g.</w:t>
      </w:r>
      <w:r w:rsidRPr="00EE2E1F">
        <w:t>, NextNav January 22</w:t>
      </w:r>
      <w:r w:rsidRPr="00EE2E1F">
        <w:rPr>
          <w:i/>
        </w:rPr>
        <w:t xml:space="preserve"> Ex Parte</w:t>
      </w:r>
      <w:r w:rsidRPr="00EE2E1F">
        <w:t xml:space="preserve"> at 7 (arguing that the Addendum does not specify any level of accuracy associated with its Z-axis approach and continues to assert that the carriers will establish their own Z-axis benchmark based on the results of testing in a test bed based on numerous and subjective requirements that could result in the carriers dismissing any solution or establishing a vertical benchmark that is so lenient that it provides no real value to the public or to public safety); IAFF January 23</w:t>
      </w:r>
      <w:r w:rsidRPr="00EE2E1F">
        <w:rPr>
          <w:i/>
        </w:rPr>
        <w:t xml:space="preserve"> Ex Parte</w:t>
      </w:r>
      <w:r w:rsidRPr="00EE2E1F">
        <w:t xml:space="preserve"> at 1 (stating that the final rule include a three meter vertical accuracy requirement within three years because establishing a three year timeline will ensure that carriers begin to implement new technology today).</w:t>
      </w:r>
    </w:p>
  </w:footnote>
  <w:footnote w:id="291">
    <w:p w14:paraId="3CAA014C" w14:textId="77777777" w:rsidR="00EE2E1F" w:rsidRPr="00EE2E1F" w:rsidRDefault="00EE2E1F" w:rsidP="00394B57">
      <w:pPr>
        <w:pStyle w:val="FootnoteText"/>
      </w:pPr>
      <w:r w:rsidRPr="00EE2E1F">
        <w:rPr>
          <w:rStyle w:val="FootnoteReference"/>
        </w:rPr>
        <w:footnoteRef/>
      </w:r>
      <w:r w:rsidRPr="00EE2E1F">
        <w:t xml:space="preserve"> Polaris Wireless January 22</w:t>
      </w:r>
      <w:r w:rsidRPr="00EE2E1F">
        <w:rPr>
          <w:i/>
        </w:rPr>
        <w:t xml:space="preserve"> Ex Parte</w:t>
      </w:r>
      <w:r w:rsidRPr="00EE2E1F">
        <w:t xml:space="preserve"> at 1.</w:t>
      </w:r>
    </w:p>
  </w:footnote>
  <w:footnote w:id="292">
    <w:p w14:paraId="61009EDE" w14:textId="13D2D292" w:rsidR="00EE2E1F" w:rsidRPr="00EE2E1F" w:rsidRDefault="00EE2E1F" w:rsidP="00394B57">
      <w:pPr>
        <w:pStyle w:val="FootnoteText"/>
      </w:pPr>
      <w:r w:rsidRPr="00EE2E1F">
        <w:rPr>
          <w:rStyle w:val="FootnoteReference"/>
        </w:rPr>
        <w:footnoteRef/>
      </w:r>
      <w:r w:rsidRPr="00EE2E1F">
        <w:t xml:space="preserve"> TruePosition January 22</w:t>
      </w:r>
      <w:r w:rsidRPr="00EE2E1F">
        <w:rPr>
          <w:i/>
        </w:rPr>
        <w:t xml:space="preserve"> Ex Parte</w:t>
      </w:r>
      <w:r w:rsidRPr="00EE2E1F">
        <w:t xml:space="preserve"> at 2.  Additionally, TruePosition questions the viability of the carriers’ commitment to provide z-axis capable handsets because “it will be more than a decade before there is significant penetration of the z-axis capable handsets throughout the U.S., hence, they can make this proposal now knowing that six years from now they will ask the FCC for a waiver citing “lack of availability” of the devices that would provide them an alternative means of complying with these horrible guidelines.”  </w:t>
      </w:r>
      <w:r w:rsidRPr="00EE2E1F">
        <w:rPr>
          <w:i/>
        </w:rPr>
        <w:t>Id</w:t>
      </w:r>
      <w:r w:rsidRPr="00EE2E1F">
        <w:t>.</w:t>
      </w:r>
    </w:p>
  </w:footnote>
  <w:footnote w:id="293">
    <w:p w14:paraId="6FDB97D1" w14:textId="77777777" w:rsidR="00EE2E1F" w:rsidRPr="00EE2E1F" w:rsidRDefault="00EE2E1F" w:rsidP="00B7034F">
      <w:pPr>
        <w:pStyle w:val="FootnoteText"/>
      </w:pPr>
      <w:r w:rsidRPr="00EE2E1F">
        <w:rPr>
          <w:rStyle w:val="FootnoteReference"/>
          <w:rFonts w:eastAsiaTheme="majorEastAsia"/>
        </w:rPr>
        <w:footnoteRef/>
      </w:r>
      <w:r w:rsidRPr="00EE2E1F">
        <w:t xml:space="preserve"> </w:t>
      </w:r>
      <w:r w:rsidRPr="00EE2E1F">
        <w:rPr>
          <w:i/>
        </w:rPr>
        <w:t xml:space="preserve">Third Further Notice, </w:t>
      </w:r>
      <w:r w:rsidRPr="00EE2E1F">
        <w:t>29 FCC Rcd at 2405 ¶ 80.</w:t>
      </w:r>
    </w:p>
  </w:footnote>
  <w:footnote w:id="294">
    <w:p w14:paraId="565C1FB7" w14:textId="77777777" w:rsidR="00EE2E1F" w:rsidRPr="00EE2E1F" w:rsidRDefault="00EE2E1F" w:rsidP="00B7034F">
      <w:pPr>
        <w:pStyle w:val="FootnoteText"/>
      </w:pPr>
      <w:r w:rsidRPr="00EE2E1F">
        <w:rPr>
          <w:rStyle w:val="FootnoteReference"/>
          <w:rFonts w:eastAsiaTheme="majorEastAsia"/>
        </w:rPr>
        <w:footnoteRef/>
      </w:r>
      <w:r w:rsidRPr="00EE2E1F">
        <w:t xml:space="preserve"> </w:t>
      </w:r>
      <w:r w:rsidRPr="00EE2E1F">
        <w:rPr>
          <w:i/>
        </w:rPr>
        <w:t xml:space="preserve">See </w:t>
      </w:r>
      <w:r w:rsidRPr="00EE2E1F">
        <w:t xml:space="preserve">NextNav Comments at 20 (“[t]he vertical location systems of NextNav and other vendors can easily be integrated into PSAP operations because messaging protocols for vertical information between the handset, the carrier network, and the PSAPs are largely in place already.”); NENA Comments at 21 (stating that PSAPs have been anticipating vertical location, and showing a sample PSAP call-taker screen which includes an optional field for vertical information).  </w:t>
      </w:r>
      <w:r w:rsidRPr="00EE2E1F">
        <w:rPr>
          <w:i/>
        </w:rPr>
        <w:t>See also</w:t>
      </w:r>
      <w:r w:rsidRPr="00EE2E1F">
        <w:t xml:space="preserve"> Letter from Mary L. Brown, Senior Director, Government Affairs, Cisco Systems, Inc., and Timothy Lorello, SVP, Chief Marketing Officer, TeleCommunication Systems, Inc., to Marlene Dortch, Secretary, Federal Communications Commission (dated Oct. 16, 2014), at 2 (</w:t>
      </w:r>
      <w:r w:rsidRPr="00EE2E1F">
        <w:rPr>
          <w:rFonts w:eastAsia="MS Mincho"/>
          <w:lang w:eastAsia="ja-JP"/>
        </w:rPr>
        <w:t>PSAPs “with advanced 911 capability could take advantage of its floor map function, which would enable them to better utilize vertical location information.”)</w:t>
      </w:r>
      <w:r w:rsidRPr="00EE2E1F">
        <w:t xml:space="preserve">(Cisco/TCS Sept. 12, 2014 </w:t>
      </w:r>
      <w:r w:rsidRPr="00EE2E1F">
        <w:rPr>
          <w:i/>
        </w:rPr>
        <w:t>ex parte</w:t>
      </w:r>
      <w:r w:rsidRPr="00EE2E1F">
        <w:t>).</w:t>
      </w:r>
    </w:p>
  </w:footnote>
  <w:footnote w:id="295">
    <w:p w14:paraId="273993D0" w14:textId="77777777" w:rsidR="00EE2E1F" w:rsidRPr="00EE2E1F" w:rsidRDefault="00EE2E1F" w:rsidP="00B7034F">
      <w:pPr>
        <w:pStyle w:val="FootnoteText"/>
      </w:pPr>
      <w:r w:rsidRPr="00EE2E1F">
        <w:rPr>
          <w:rStyle w:val="FootnoteReference"/>
          <w:rFonts w:eastAsiaTheme="majorEastAsia"/>
        </w:rPr>
        <w:footnoteRef/>
      </w:r>
      <w:r w:rsidRPr="00EE2E1F">
        <w:t xml:space="preserve"> AT&amp;T Comments at 17; CCA Reply at 7; Sprint Comments at 7; Sprint Reply at 14-15; T-Mobile Comments at 10; Motorola Comments at 15; TIA Comments at 8; Qualcomm Comments at 16.</w:t>
      </w:r>
    </w:p>
  </w:footnote>
  <w:footnote w:id="296">
    <w:p w14:paraId="66E84E5A" w14:textId="77777777" w:rsidR="00EE2E1F" w:rsidRPr="00EE2E1F" w:rsidRDefault="00EE2E1F" w:rsidP="00B7034F">
      <w:pPr>
        <w:pStyle w:val="FootnoteText"/>
      </w:pPr>
      <w:r w:rsidRPr="00EE2E1F">
        <w:rPr>
          <w:rStyle w:val="FootnoteReference"/>
          <w:rFonts w:eastAsiaTheme="majorEastAsia"/>
        </w:rPr>
        <w:footnoteRef/>
      </w:r>
      <w:r w:rsidRPr="00EE2E1F">
        <w:t xml:space="preserve"> Verizon Comments at 26-27. </w:t>
      </w:r>
    </w:p>
  </w:footnote>
  <w:footnote w:id="297">
    <w:p w14:paraId="7912D0F2" w14:textId="77777777" w:rsidR="00EE2E1F" w:rsidRPr="00EE2E1F" w:rsidRDefault="00EE2E1F" w:rsidP="00B7034F">
      <w:pPr>
        <w:pStyle w:val="FootnoteText"/>
      </w:pPr>
      <w:r w:rsidRPr="00EE2E1F">
        <w:rPr>
          <w:rStyle w:val="FootnoteReference"/>
          <w:rFonts w:eastAsiaTheme="majorEastAsia"/>
        </w:rPr>
        <w:footnoteRef/>
      </w:r>
      <w:r w:rsidRPr="00EE2E1F">
        <w:t xml:space="preserve"> APCO Comments at 6 and Reply Comments at 3.</w:t>
      </w:r>
    </w:p>
  </w:footnote>
  <w:footnote w:id="298">
    <w:p w14:paraId="61E6D696" w14:textId="77777777" w:rsidR="00EE2E1F" w:rsidRPr="00EE2E1F" w:rsidRDefault="00EE2E1F" w:rsidP="002329A9">
      <w:pPr>
        <w:pStyle w:val="FootnoteText"/>
      </w:pPr>
      <w:r w:rsidRPr="00EE2E1F">
        <w:rPr>
          <w:rStyle w:val="FootnoteReference"/>
        </w:rPr>
        <w:footnoteRef/>
      </w:r>
      <w:r w:rsidRPr="00EE2E1F">
        <w:t xml:space="preserve"> Addendum at 3 (“the revised deployment commitments also assure a quantifiable Z-axis backstop if a carrier has not met the dispatchable location benchmark by year 6 in any of the most populous 50 CMAs”).</w:t>
      </w:r>
    </w:p>
  </w:footnote>
  <w:footnote w:id="299">
    <w:p w14:paraId="6FC3304D" w14:textId="2230134D" w:rsidR="00EE2E1F" w:rsidRPr="00EE2E1F" w:rsidRDefault="00EE2E1F" w:rsidP="002D56BF">
      <w:pPr>
        <w:pStyle w:val="FootnoteText"/>
      </w:pPr>
      <w:r w:rsidRPr="00EE2E1F">
        <w:rPr>
          <w:rStyle w:val="FootnoteReference"/>
          <w:rFonts w:eastAsiaTheme="majorEastAsia"/>
        </w:rPr>
        <w:footnoteRef/>
      </w:r>
      <w:r w:rsidRPr="00EE2E1F">
        <w:t xml:space="preserve"> </w:t>
      </w:r>
      <w:r w:rsidRPr="00EE2E1F">
        <w:rPr>
          <w:i/>
        </w:rPr>
        <w:t>See, e.g.,</w:t>
      </w:r>
      <w:r w:rsidRPr="00EE2E1F">
        <w:t xml:space="preserve"> Samenow, Jason, “Slow clap: New iPhone6 has a barometer,” </w:t>
      </w:r>
      <w:r w:rsidRPr="00EE2E1F">
        <w:rPr>
          <w:smallCaps/>
        </w:rPr>
        <w:t>Washington Post</w:t>
      </w:r>
      <w:r w:rsidRPr="00EE2E1F">
        <w:t xml:space="preserve"> (Sept. 9, 2014), </w:t>
      </w:r>
      <w:r w:rsidRPr="00EE2E1F">
        <w:rPr>
          <w:i/>
        </w:rPr>
        <w:t>available at</w:t>
      </w:r>
      <w:r w:rsidRPr="00EE2E1F">
        <w:t xml:space="preserve"> </w:t>
      </w:r>
      <w:hyperlink r:id="rId47" w:history="1">
        <w:r w:rsidRPr="00EE2E1F">
          <w:rPr>
            <w:rStyle w:val="Hyperlink"/>
          </w:rPr>
          <w:t>http://www.washingtonpost.com/blogs/capital-weather-gang/wp/2014/09/09/slow-clap-new-iphone6-has-a-barometer/</w:t>
        </w:r>
      </w:hyperlink>
      <w:r w:rsidRPr="00EE2E1F">
        <w:t xml:space="preserve"> (last visited Jan. 21, 2015).  </w:t>
      </w:r>
    </w:p>
  </w:footnote>
  <w:footnote w:id="300">
    <w:p w14:paraId="2E20E4D2" w14:textId="77777777" w:rsidR="00EE2E1F" w:rsidRPr="00EE2E1F" w:rsidRDefault="00EE2E1F" w:rsidP="002D56BF">
      <w:pPr>
        <w:pStyle w:val="FootnoteText"/>
      </w:pPr>
      <w:r w:rsidRPr="00EE2E1F">
        <w:rPr>
          <w:rStyle w:val="FootnoteReference"/>
          <w:rFonts w:eastAsiaTheme="majorEastAsia"/>
        </w:rPr>
        <w:footnoteRef/>
      </w:r>
      <w:r w:rsidRPr="00EE2E1F">
        <w:t xml:space="preserve"> For example, NextNav has continued to refine its Metropolitan Beacon System, which uses “readily-available barometers combined with real-time reference data provided by NextNav’s beacon network to enable the accurate computation of altitude.”  NextNav Comments at 19.  </w:t>
      </w:r>
      <w:r w:rsidRPr="00EE2E1F">
        <w:rPr>
          <w:i/>
        </w:rPr>
        <w:t>See also</w:t>
      </w:r>
      <w:r w:rsidRPr="00EE2E1F">
        <w:t xml:space="preserve"> Letter from Bruce Olcott, Counsel, NextNav LLC, to Marlene H. Dortch, Secretary, FCC (dated Dec. 9, 2014) at 2 (describing a demonstration of its vertical technology to Commission staff).  Polaris Wireless likewise demonstrated its vertical location capabilities in an </w:t>
      </w:r>
      <w:r w:rsidRPr="00EE2E1F">
        <w:rPr>
          <w:i/>
        </w:rPr>
        <w:t>ex parte</w:t>
      </w:r>
      <w:r w:rsidRPr="00EE2E1F">
        <w:t xml:space="preserve"> meeting with Commission staff, indicating that its technology would be a viable path to vertical location accuracy within the proposed timeframe. </w:t>
      </w:r>
      <w:r w:rsidRPr="00EE2E1F">
        <w:rPr>
          <w:i/>
        </w:rPr>
        <w:t>See</w:t>
      </w:r>
      <w:r w:rsidRPr="00EE2E1F">
        <w:t xml:space="preserve"> Letter from Michelle C. Farquhar, Counsel, Polaris Wireless, to Marlene Dortch, Secretary, Federal Communications Commission (Sept. 26, 2014), Attachment at 15 (Polaris Wireless Sept. 26 </w:t>
      </w:r>
      <w:r w:rsidRPr="00EE2E1F">
        <w:rPr>
          <w:i/>
        </w:rPr>
        <w:t>ex parte</w:t>
      </w:r>
      <w:r w:rsidRPr="00EE2E1F">
        <w:t>).  Polaris Wireless uses 3D radio prediction maps based on RF signatures found in multiple sources of information, including Wi-Fi access points and small cell nodes, with 3D RF pattern matching location algorithms to provide an indoor location estimate of a device.  Polaris Wireless Comments at 5-6.  iPosi uses advanced signal processing to extract weak indoor GPS and GNSS satellite signals, and then determines a device’s location based on its client and network servers, and submits that its solution “has demonstrated vertical GNSS/GPS accuracy error levels … less than three meters.”  iPosi Comments at 1, 5.</w:t>
      </w:r>
    </w:p>
  </w:footnote>
  <w:footnote w:id="301">
    <w:p w14:paraId="3EF72707" w14:textId="77777777" w:rsidR="00EE2E1F" w:rsidRPr="00EE2E1F" w:rsidRDefault="00EE2E1F" w:rsidP="00AE6F4B">
      <w:pPr>
        <w:pStyle w:val="FootnoteText"/>
      </w:pPr>
      <w:r w:rsidRPr="00EE2E1F">
        <w:rPr>
          <w:rStyle w:val="FootnoteReference"/>
        </w:rPr>
        <w:footnoteRef/>
      </w:r>
      <w:r w:rsidRPr="00EE2E1F">
        <w:t xml:space="preserve"> This would enable the phone to distinguish between two Wi-Fi access points that it may “see,” but which may be on different floor levels.</w:t>
      </w:r>
    </w:p>
  </w:footnote>
  <w:footnote w:id="302">
    <w:p w14:paraId="2AA1101C" w14:textId="77777777" w:rsidR="00EE2E1F" w:rsidRPr="00EE2E1F" w:rsidRDefault="00EE2E1F" w:rsidP="005F5D48">
      <w:pPr>
        <w:pStyle w:val="FootnoteText"/>
      </w:pPr>
      <w:r w:rsidRPr="00EE2E1F">
        <w:rPr>
          <w:rStyle w:val="FootnoteReference"/>
        </w:rPr>
        <w:footnoteRef/>
      </w:r>
      <w:r w:rsidRPr="00EE2E1F">
        <w:t xml:space="preserve"> </w:t>
      </w:r>
      <w:r w:rsidRPr="00EE2E1F">
        <w:rPr>
          <w:i/>
        </w:rPr>
        <w:t>See, e.g</w:t>
      </w:r>
      <w:r w:rsidRPr="00EE2E1F">
        <w:t>., Motorola Mobility Roadmap Comments at 2 (The Roadmap “correctly articulates the need for separate work streams on implementation solutions for providing a dispatchable location, improvement of horizontal location information, and development of basic standards for delivery and use of vertical location information.”).</w:t>
      </w:r>
    </w:p>
  </w:footnote>
  <w:footnote w:id="303">
    <w:p w14:paraId="43A1511F" w14:textId="06CB6B99" w:rsidR="00EE2E1F" w:rsidRPr="00EE2E1F" w:rsidRDefault="00EE2E1F" w:rsidP="006612AF">
      <w:pPr>
        <w:pStyle w:val="FootnoteText"/>
      </w:pPr>
      <w:r w:rsidRPr="00EE2E1F">
        <w:rPr>
          <w:rStyle w:val="FootnoteReference"/>
        </w:rPr>
        <w:footnoteRef/>
      </w:r>
      <w:r w:rsidRPr="00EE2E1F">
        <w:t xml:space="preserve"> Roadmap at Section 5(c); Parallel Path at Section 4(a).  </w:t>
      </w:r>
    </w:p>
  </w:footnote>
  <w:footnote w:id="304">
    <w:p w14:paraId="1EB1F17F" w14:textId="1C964EDA" w:rsidR="00EE2E1F" w:rsidRPr="00EE2E1F" w:rsidRDefault="00EE2E1F" w:rsidP="006612AF">
      <w:pPr>
        <w:pStyle w:val="FootnoteText"/>
      </w:pPr>
      <w:r w:rsidRPr="00EE2E1F">
        <w:rPr>
          <w:rStyle w:val="FootnoteReference"/>
        </w:rPr>
        <w:footnoteRef/>
      </w:r>
      <w:r w:rsidRPr="00EE2E1F">
        <w:t xml:space="preserve"> Motorola Mobility Reply Comments at 12-14.</w:t>
      </w:r>
    </w:p>
  </w:footnote>
  <w:footnote w:id="305">
    <w:p w14:paraId="2B8A69CF" w14:textId="552E79A0" w:rsidR="00EE2E1F" w:rsidRPr="00EE2E1F" w:rsidRDefault="00EE2E1F" w:rsidP="006612AF">
      <w:pPr>
        <w:pStyle w:val="FootnoteText"/>
      </w:pPr>
      <w:r w:rsidRPr="00EE2E1F">
        <w:rPr>
          <w:rStyle w:val="FootnoteReference"/>
        </w:rPr>
        <w:footnoteRef/>
      </w:r>
      <w:r w:rsidRPr="00EE2E1F">
        <w:t xml:space="preserve"> NENA Comments at 23 (“[a] responder entering a building with only uncalibrated barometry data available could still locate the correct floor, provided she had available her own barometer. In a simplified sense, responders could be instructed to ‘look at the barometer and go up until the numbers match.’ This is admittedly a cumbersome process, but NENA is convinced that it is preferable to the lack of any z-axis data today.”).  </w:t>
      </w:r>
      <w:r w:rsidRPr="00EE2E1F">
        <w:rPr>
          <w:i/>
        </w:rPr>
        <w:t>See also</w:t>
      </w:r>
      <w:r w:rsidRPr="00EE2E1F">
        <w:t xml:space="preserve"> NextNav Reply Comments at 22; IAFF Comments at 3; IACP and NSA Comments at 2.  </w:t>
      </w:r>
    </w:p>
  </w:footnote>
  <w:footnote w:id="306">
    <w:p w14:paraId="7FF3D078" w14:textId="72FCD4BA" w:rsidR="00EE2E1F" w:rsidRPr="00EE2E1F" w:rsidRDefault="00EE2E1F" w:rsidP="00633562">
      <w:pPr>
        <w:pStyle w:val="FootnoteText"/>
      </w:pPr>
      <w:r w:rsidRPr="00EE2E1F">
        <w:rPr>
          <w:rStyle w:val="FootnoteReference"/>
        </w:rPr>
        <w:footnoteRef/>
      </w:r>
      <w:r w:rsidRPr="00EE2E1F">
        <w:t xml:space="preserve"> Roadmap at Section 5(a).</w:t>
      </w:r>
    </w:p>
  </w:footnote>
  <w:footnote w:id="307">
    <w:p w14:paraId="479184AD" w14:textId="6879C919" w:rsidR="00EE2E1F" w:rsidRPr="00EE2E1F" w:rsidRDefault="00EE2E1F" w:rsidP="00633562">
      <w:pPr>
        <w:pStyle w:val="FootnoteText"/>
      </w:pPr>
      <w:r w:rsidRPr="00EE2E1F">
        <w:rPr>
          <w:rStyle w:val="FootnoteReference"/>
        </w:rPr>
        <w:footnoteRef/>
      </w:r>
      <w:r w:rsidRPr="00EE2E1F">
        <w:t xml:space="preserve"> </w:t>
      </w:r>
      <w:r w:rsidRPr="00EE2E1F">
        <w:rPr>
          <w:i/>
        </w:rPr>
        <w:t>See e.g</w:t>
      </w:r>
      <w:r w:rsidRPr="00EE2E1F">
        <w:t xml:space="preserve">., IAFF Roadmap Comments at 2; NENA Comments at 23. </w:t>
      </w:r>
    </w:p>
  </w:footnote>
  <w:footnote w:id="308">
    <w:p w14:paraId="349BCF11" w14:textId="77777777" w:rsidR="00EE2E1F" w:rsidRPr="00EE2E1F" w:rsidRDefault="00EE2E1F" w:rsidP="005E5E17">
      <w:pPr>
        <w:pStyle w:val="FootnoteText"/>
      </w:pPr>
      <w:r w:rsidRPr="00EE2E1F">
        <w:rPr>
          <w:rStyle w:val="FootnoteReference"/>
        </w:rPr>
        <w:footnoteRef/>
      </w:r>
      <w:r w:rsidRPr="00EE2E1F">
        <w:t xml:space="preserve"> </w:t>
      </w:r>
      <w:r w:rsidRPr="00EE2E1F">
        <w:rPr>
          <w:i/>
        </w:rPr>
        <w:t xml:space="preserve">Third Further Notice, </w:t>
      </w:r>
      <w:r w:rsidRPr="00EE2E1F">
        <w:t>29 FCC Rcd at 2407 ¶ 84.</w:t>
      </w:r>
    </w:p>
  </w:footnote>
  <w:footnote w:id="309">
    <w:p w14:paraId="5863A06E" w14:textId="76DA402C" w:rsidR="00EE2E1F" w:rsidRPr="00EE2E1F" w:rsidRDefault="00EE2E1F" w:rsidP="005E5E17">
      <w:pPr>
        <w:pStyle w:val="FootnoteText"/>
      </w:pPr>
      <w:r w:rsidRPr="00EE2E1F">
        <w:rPr>
          <w:rStyle w:val="FootnoteReference"/>
        </w:rPr>
        <w:footnoteRef/>
      </w:r>
      <w:r w:rsidRPr="00EE2E1F">
        <w:t xml:space="preserve"> </w:t>
      </w:r>
      <w:r w:rsidRPr="00EE2E1F">
        <w:rPr>
          <w:i/>
        </w:rPr>
        <w:t>Id</w:t>
      </w:r>
      <w:r w:rsidRPr="00EE2E1F">
        <w:t>.</w:t>
      </w:r>
    </w:p>
  </w:footnote>
  <w:footnote w:id="310">
    <w:p w14:paraId="010E9353" w14:textId="77777777" w:rsidR="00EE2E1F" w:rsidRPr="00EE2E1F" w:rsidRDefault="00EE2E1F" w:rsidP="003B4B0F">
      <w:pPr>
        <w:pStyle w:val="FootnoteText"/>
      </w:pPr>
      <w:r w:rsidRPr="00EE2E1F">
        <w:rPr>
          <w:rStyle w:val="FootnoteReference"/>
        </w:rPr>
        <w:footnoteRef/>
      </w:r>
      <w:r w:rsidRPr="00EE2E1F">
        <w:t xml:space="preserve"> APCO Comments at 7; NASNA Comments at 4; Texas 911 Reply Comments at 15; ATIS Reply Comments at 3; NextNav Comments at 47.</w:t>
      </w:r>
    </w:p>
  </w:footnote>
  <w:footnote w:id="311">
    <w:p w14:paraId="27369831" w14:textId="77777777" w:rsidR="00EE2E1F" w:rsidRPr="00EE2E1F" w:rsidRDefault="00EE2E1F" w:rsidP="003B4B0F">
      <w:pPr>
        <w:pStyle w:val="FootnoteText"/>
      </w:pPr>
      <w:r w:rsidRPr="00EE2E1F">
        <w:rPr>
          <w:rStyle w:val="FootnoteReference"/>
        </w:rPr>
        <w:footnoteRef/>
      </w:r>
      <w:r w:rsidRPr="00EE2E1F">
        <w:t xml:space="preserve"> AT&amp;T Comments at 28; CTIA Comments at 16 and Reply Comments at 15-16; Sprint Comments at 12; Verizon Comments at 22-23; T-Mobile Reply Comments at 7.</w:t>
      </w:r>
    </w:p>
  </w:footnote>
  <w:footnote w:id="312">
    <w:p w14:paraId="74795CC0" w14:textId="77777777" w:rsidR="00EE2E1F" w:rsidRPr="00EE2E1F" w:rsidRDefault="00EE2E1F" w:rsidP="003B4B0F">
      <w:pPr>
        <w:pStyle w:val="FootnoteText"/>
      </w:pPr>
      <w:r w:rsidRPr="00EE2E1F">
        <w:rPr>
          <w:rStyle w:val="FootnoteReference"/>
        </w:rPr>
        <w:footnoteRef/>
      </w:r>
      <w:r w:rsidRPr="00EE2E1F">
        <w:t xml:space="preserve"> ATIS Reply Comments at 4-5; NextNav Comment at 52; Qualcomm Comments at 19; TCS Comments at 10; TruePosition Comments at 18; RWA Comments at 5.</w:t>
      </w:r>
    </w:p>
  </w:footnote>
  <w:footnote w:id="313">
    <w:p w14:paraId="6EE82BFE" w14:textId="77777777" w:rsidR="00EE2E1F" w:rsidRPr="00EE2E1F" w:rsidRDefault="00EE2E1F" w:rsidP="003B4B0F">
      <w:pPr>
        <w:pStyle w:val="FootnoteText"/>
      </w:pPr>
      <w:r w:rsidRPr="00EE2E1F">
        <w:rPr>
          <w:rStyle w:val="FootnoteReference"/>
        </w:rPr>
        <w:footnoteRef/>
      </w:r>
      <w:r w:rsidRPr="00EE2E1F">
        <w:t xml:space="preserve"> BRETSA Comments at 19-21; NASNA Comments at 8.</w:t>
      </w:r>
    </w:p>
  </w:footnote>
  <w:footnote w:id="314">
    <w:p w14:paraId="5BECA9A1" w14:textId="2BADAF1F" w:rsidR="00EE2E1F" w:rsidRPr="00EE2E1F" w:rsidRDefault="00EE2E1F" w:rsidP="005E5E17">
      <w:pPr>
        <w:pStyle w:val="FootnoteText"/>
      </w:pPr>
      <w:r w:rsidRPr="00EE2E1F">
        <w:rPr>
          <w:rStyle w:val="FootnoteReference"/>
        </w:rPr>
        <w:footnoteRef/>
      </w:r>
      <w:r w:rsidRPr="00EE2E1F">
        <w:t xml:space="preserve"> CSRIC IV Working Group 1, Final Report:  Specification for Indoor Location Accuracy Test Bed, June 2014, </w:t>
      </w:r>
      <w:r w:rsidRPr="00EE2E1F">
        <w:rPr>
          <w:i/>
        </w:rPr>
        <w:t>available at</w:t>
      </w:r>
      <w:r w:rsidRPr="00EE2E1F">
        <w:t xml:space="preserve"> </w:t>
      </w:r>
      <w:hyperlink r:id="rId48" w:history="1">
        <w:r w:rsidRPr="00EE2E1F">
          <w:rPr>
            <w:rStyle w:val="Hyperlink"/>
          </w:rPr>
          <w:t>http://transition.fcc.gov/pshs/advisory/csric4/CSRIC_IV_WG-1_Subgroup3_061814.pdf</w:t>
        </w:r>
      </w:hyperlink>
      <w:r w:rsidRPr="00EE2E1F">
        <w:t xml:space="preserve"> (last visited Dec. 30, 2014) (</w:t>
      </w:r>
      <w:r w:rsidRPr="00EE2E1F">
        <w:rPr>
          <w:i/>
        </w:rPr>
        <w:t>CSRIC Test Bed Final Report</w:t>
      </w:r>
      <w:r w:rsidRPr="00EE2E1F">
        <w:t>).</w:t>
      </w:r>
    </w:p>
  </w:footnote>
  <w:footnote w:id="315">
    <w:p w14:paraId="21347728" w14:textId="04C0271F" w:rsidR="00EE2E1F" w:rsidRPr="00EE2E1F" w:rsidRDefault="00EE2E1F" w:rsidP="00F51DC2">
      <w:pPr>
        <w:pStyle w:val="FootnoteText"/>
      </w:pPr>
      <w:r w:rsidRPr="00EE2E1F">
        <w:rPr>
          <w:rStyle w:val="FootnoteReference"/>
        </w:rPr>
        <w:footnoteRef/>
      </w:r>
      <w:r w:rsidRPr="00EE2E1F">
        <w:t xml:space="preserve"> </w:t>
      </w:r>
      <w:r w:rsidRPr="00EE2E1F">
        <w:rPr>
          <w:i/>
        </w:rPr>
        <w:t>CSRIC Test Bed Final Report</w:t>
      </w:r>
      <w:r w:rsidRPr="00EE2E1F">
        <w:t xml:space="preserve"> at 3.  According to the signatories, the test bed will be “consistent with the elements recommended by the [CSRIC] III Working Group and with the work undertaken by the Emergency Services Interconnection Forum (ESIF) established by ATIS.”  Further, although the test bed will be open for use by any technology vendor, whether or not the technology is standardized or available commercially, the signatories state that only testing of solutions “based on industry standards and commercial configurations will be relied on to verify performance expectations to an E911 location benchmark.” The signatories agree “to work together to develop an appropriate funding framework for the test bed that includes funding support from carriers and affected E911 location vendors, and also to investigate the potential for obtaining other sources of funding (e.g., government grants).” </w:t>
      </w:r>
      <w:r w:rsidRPr="00EE2E1F">
        <w:rPr>
          <w:i/>
        </w:rPr>
        <w:t>See</w:t>
      </w:r>
      <w:r w:rsidRPr="00EE2E1F">
        <w:t xml:space="preserve"> ATIS Reply Comments at 4 &amp; n.6 (referring to the Feb. 7, 2014 ATIS ESIF Emergency Services &amp; Methodologies (ESM) Subcommittee document concerning the selection of the six cites).  </w:t>
      </w:r>
      <w:r w:rsidRPr="00EE2E1F">
        <w:rPr>
          <w:i/>
        </w:rPr>
        <w:t>See</w:t>
      </w:r>
      <w:r w:rsidRPr="00EE2E1F">
        <w:t xml:space="preserve"> </w:t>
      </w:r>
      <w:r w:rsidRPr="00EE2E1F">
        <w:rPr>
          <w:i/>
        </w:rPr>
        <w:t>also</w:t>
      </w:r>
      <w:r w:rsidRPr="00EE2E1F">
        <w:t xml:space="preserve"> http://www.atis.org/legal/Docs/ESIF%20DOCS/ESIF_Letter_DeLorenzo_Feb2014.pdf. (last visited Jan. 29, 2015) (containing ATIS Document, “Considerations in Selecting Indoor Test Regions,” for testing of indoor location technologies).</w:t>
      </w:r>
    </w:p>
  </w:footnote>
  <w:footnote w:id="316">
    <w:p w14:paraId="74CC020F" w14:textId="77777777" w:rsidR="00EE2E1F" w:rsidRPr="00EE2E1F" w:rsidRDefault="00EE2E1F" w:rsidP="003B4B0F">
      <w:pPr>
        <w:pStyle w:val="FootnoteText"/>
      </w:pPr>
      <w:r w:rsidRPr="00EE2E1F">
        <w:rPr>
          <w:rStyle w:val="FootnoteReference"/>
        </w:rPr>
        <w:footnoteRef/>
      </w:r>
      <w:r w:rsidRPr="00EE2E1F">
        <w:t xml:space="preserve"> </w:t>
      </w:r>
      <w:r w:rsidRPr="00EE2E1F">
        <w:rPr>
          <w:i/>
        </w:rPr>
        <w:t>CSRIC Test Bed Final Report</w:t>
      </w:r>
      <w:r w:rsidRPr="00EE2E1F">
        <w:t xml:space="preserve"> at 8. </w:t>
      </w:r>
    </w:p>
  </w:footnote>
  <w:footnote w:id="317">
    <w:p w14:paraId="5177F30F" w14:textId="77777777" w:rsidR="00EE2E1F" w:rsidRPr="00EE2E1F" w:rsidRDefault="00EE2E1F" w:rsidP="005E5E17">
      <w:pPr>
        <w:pStyle w:val="FootnoteText"/>
      </w:pPr>
      <w:r w:rsidRPr="00EE2E1F">
        <w:rPr>
          <w:rStyle w:val="FootnoteReference"/>
        </w:rPr>
        <w:footnoteRef/>
      </w:r>
      <w:r w:rsidRPr="00EE2E1F">
        <w:t xml:space="preserve"> Roadmap at Section 1(a)(iii). </w:t>
      </w:r>
    </w:p>
  </w:footnote>
  <w:footnote w:id="318">
    <w:p w14:paraId="01B458CD" w14:textId="0E9830D9" w:rsidR="00EE2E1F" w:rsidRPr="00EE2E1F" w:rsidRDefault="00EE2E1F" w:rsidP="005E5E17">
      <w:pPr>
        <w:pStyle w:val="FootnoteText"/>
      </w:pPr>
      <w:r w:rsidRPr="00EE2E1F">
        <w:rPr>
          <w:rStyle w:val="FootnoteReference"/>
        </w:rPr>
        <w:footnoteRef/>
      </w:r>
      <w:r w:rsidRPr="00EE2E1F">
        <w:t xml:space="preserve"> </w:t>
      </w:r>
      <w:r w:rsidRPr="00EE2E1F">
        <w:rPr>
          <w:i/>
        </w:rPr>
        <w:t>Id.</w:t>
      </w:r>
      <w:r w:rsidRPr="00EE2E1F">
        <w:t xml:space="preserve"> at Section 1(a).  According to the Roadmap, the test bed will be managed by a non-governmental entity, such as ATIS, and “operated in an open, transparent, and competitively neutral manner, as to technologies, carriers and location solution vendors” to enable them to “demonstrate vendor performance of E911 location solutions and to characterize performance of E911 location technologies, including OTDOA/A-GNSS, in order to establish appropriate E911 location benchmarks.”  </w:t>
      </w:r>
      <w:r w:rsidRPr="00EE2E1F">
        <w:rPr>
          <w:i/>
        </w:rPr>
        <w:t xml:space="preserve">Id. </w:t>
      </w:r>
      <w:r w:rsidRPr="00EE2E1F">
        <w:t xml:space="preserve">at Section 1(a)(ii).  </w:t>
      </w:r>
      <w:r w:rsidRPr="00EE2E1F">
        <w:rPr>
          <w:i/>
        </w:rPr>
        <w:t>See also</w:t>
      </w:r>
      <w:r w:rsidRPr="00EE2E1F">
        <w:t xml:space="preserve"> AT&amp;T Roadmap Comments at 8 (stating that cost efficiencies of the Roadmap are derived from allowing wireless providers to choose from among </w:t>
      </w:r>
      <w:r w:rsidRPr="00EE2E1F">
        <w:rPr>
          <w:i/>
        </w:rPr>
        <w:t>proven</w:t>
      </w:r>
      <w:r w:rsidRPr="00EE2E1F">
        <w:t xml:space="preserve"> wireless location-accuracy solutions that have been appropriately tested in the test bed under real-world conditions “in an open, transparent, and competitively neutral manner” (emphasis in original)).</w:t>
      </w:r>
    </w:p>
  </w:footnote>
  <w:footnote w:id="319">
    <w:p w14:paraId="7EBF557C" w14:textId="7F96A8E7" w:rsidR="00EE2E1F" w:rsidRPr="00EE2E1F" w:rsidRDefault="00EE2E1F" w:rsidP="00B82F90">
      <w:pPr>
        <w:pStyle w:val="FootnoteText"/>
      </w:pPr>
      <w:r w:rsidRPr="00EE2E1F">
        <w:rPr>
          <w:rStyle w:val="FootnoteReference"/>
        </w:rPr>
        <w:footnoteRef/>
      </w:r>
      <w:r w:rsidRPr="00EE2E1F">
        <w:t xml:space="preserve"> </w:t>
      </w:r>
      <w:r w:rsidRPr="00EE2E1F">
        <w:rPr>
          <w:i/>
        </w:rPr>
        <w:t>Id.</w:t>
      </w:r>
      <w:r w:rsidRPr="00EE2E1F">
        <w:t xml:space="preserve"> at Section 4(b).</w:t>
      </w:r>
    </w:p>
  </w:footnote>
  <w:footnote w:id="320">
    <w:p w14:paraId="0D3F6BEA" w14:textId="77777777" w:rsidR="00EE2E1F" w:rsidRPr="00EE2E1F" w:rsidRDefault="00EE2E1F" w:rsidP="00B82F90">
      <w:pPr>
        <w:pStyle w:val="FootnoteText"/>
      </w:pPr>
      <w:r w:rsidRPr="00EE2E1F">
        <w:rPr>
          <w:rStyle w:val="FootnoteReference"/>
        </w:rPr>
        <w:footnoteRef/>
      </w:r>
      <w:r w:rsidRPr="00EE2E1F">
        <w:t xml:space="preserve"> </w:t>
      </w:r>
      <w:r w:rsidRPr="00EE2E1F">
        <w:rPr>
          <w:i/>
        </w:rPr>
        <w:t>See, e.g.</w:t>
      </w:r>
      <w:r w:rsidRPr="00EE2E1F">
        <w:t xml:space="preserve">, iCERT Roadmap Comments at 2; Motorola Comments at 4; NASNA Comments at 2-5; Qualcomm Comments at 7-8. </w:t>
      </w:r>
    </w:p>
  </w:footnote>
  <w:footnote w:id="321">
    <w:p w14:paraId="551BAFC5" w14:textId="77777777" w:rsidR="00EE2E1F" w:rsidRPr="00EE2E1F" w:rsidRDefault="00EE2E1F" w:rsidP="00B82F90">
      <w:pPr>
        <w:pStyle w:val="FootnoteText"/>
      </w:pPr>
      <w:r w:rsidRPr="00EE2E1F">
        <w:rPr>
          <w:rStyle w:val="FootnoteReference"/>
        </w:rPr>
        <w:footnoteRef/>
      </w:r>
      <w:r w:rsidRPr="00EE2E1F">
        <w:t xml:space="preserve"> BRETSA Roadmap Comments at 8-9 (testing of beacon-based technologies or other locally deployed systems can only demonstrate that the technology is capable of meeting certain accuracy standards in the test bed but the accuracy in non-test bed markets is not likely to be equivalent to test bed performance).  </w:t>
      </w:r>
      <w:r w:rsidRPr="00EE2E1F">
        <w:rPr>
          <w:i/>
        </w:rPr>
        <w:t>See also</w:t>
      </w:r>
      <w:r w:rsidRPr="00EE2E1F">
        <w:t xml:space="preserve"> Texas 911 Entities Roadmap Comments at 15-16, iPosi Roadmap Comments at 4 (recommending establishing a multi-city test bed using in-building sites offering public access such as hotels, train stations, and temporary office rental services).</w:t>
      </w:r>
    </w:p>
  </w:footnote>
  <w:footnote w:id="322">
    <w:p w14:paraId="22330883" w14:textId="77777777" w:rsidR="00EE2E1F" w:rsidRPr="00EE2E1F" w:rsidRDefault="00EE2E1F" w:rsidP="00B82F90">
      <w:pPr>
        <w:pStyle w:val="FootnoteText"/>
      </w:pPr>
      <w:r w:rsidRPr="00EE2E1F">
        <w:rPr>
          <w:rStyle w:val="FootnoteReference"/>
        </w:rPr>
        <w:footnoteRef/>
      </w:r>
      <w:r w:rsidRPr="00EE2E1F">
        <w:t xml:space="preserve"> NextNav Roadmap Comments at 29 (also arguing that the carriers “appear to be offering to finally test their deployed OTDOA location capability in a single test bed market, measure the expected modest improvement over AFLT, and declare a new benchmark to be whatever accuracy OTDOA is capable of providing”).</w:t>
      </w:r>
    </w:p>
  </w:footnote>
  <w:footnote w:id="323">
    <w:p w14:paraId="1ADA4B4E" w14:textId="51DAAF56" w:rsidR="00EE2E1F" w:rsidRPr="00EE2E1F" w:rsidRDefault="00EE2E1F" w:rsidP="00B82F90">
      <w:pPr>
        <w:pStyle w:val="FootnoteText"/>
      </w:pPr>
      <w:r w:rsidRPr="00EE2E1F">
        <w:rPr>
          <w:rStyle w:val="FootnoteReference"/>
        </w:rPr>
        <w:footnoteRef/>
      </w:r>
      <w:r w:rsidRPr="00EE2E1F">
        <w:t xml:space="preserve"> </w:t>
      </w:r>
      <w:r w:rsidRPr="00EE2E1F">
        <w:rPr>
          <w:i/>
        </w:rPr>
        <w:t>See, e.g.,</w:t>
      </w:r>
      <w:r w:rsidRPr="00EE2E1F">
        <w:t xml:space="preserve"> NASNA Roadmap Comments at 2 (arguing that the Roadmap test bed commitment only includes testing location accuracy but should also include TTFF and yield as key performance indicators consistent with the Commission’s proposed approach in the </w:t>
      </w:r>
      <w:r w:rsidRPr="00EE2E1F">
        <w:rPr>
          <w:i/>
        </w:rPr>
        <w:t>Third Further Notice</w:t>
      </w:r>
      <w:r w:rsidRPr="00EE2E1F">
        <w:t>).</w:t>
      </w:r>
    </w:p>
  </w:footnote>
  <w:footnote w:id="324">
    <w:p w14:paraId="4387AE47" w14:textId="77777777" w:rsidR="00EE2E1F" w:rsidRPr="00EE2E1F" w:rsidRDefault="00EE2E1F" w:rsidP="00B82F90">
      <w:pPr>
        <w:pStyle w:val="FootnoteText"/>
      </w:pPr>
      <w:r w:rsidRPr="00EE2E1F">
        <w:rPr>
          <w:rStyle w:val="FootnoteReference"/>
        </w:rPr>
        <w:footnoteRef/>
      </w:r>
      <w:r w:rsidRPr="00EE2E1F">
        <w:t xml:space="preserve"> CCA Roadmap Comments at 6.</w:t>
      </w:r>
    </w:p>
  </w:footnote>
  <w:footnote w:id="325">
    <w:p w14:paraId="4735A373" w14:textId="77777777" w:rsidR="00EE2E1F" w:rsidRPr="00EE2E1F" w:rsidRDefault="00EE2E1F" w:rsidP="00B82F90">
      <w:pPr>
        <w:pStyle w:val="FootnoteText"/>
      </w:pPr>
      <w:r w:rsidRPr="00EE2E1F">
        <w:rPr>
          <w:rStyle w:val="FootnoteReference"/>
        </w:rPr>
        <w:footnoteRef/>
      </w:r>
      <w:r w:rsidRPr="00EE2E1F">
        <w:t xml:space="preserve"> </w:t>
      </w:r>
      <w:r w:rsidRPr="00EE2E1F">
        <w:rPr>
          <w:i/>
        </w:rPr>
        <w:t xml:space="preserve">CSRIC LBS Report </w:t>
      </w:r>
      <w:r w:rsidRPr="00EE2E1F">
        <w:t xml:space="preserve">at 57; </w:t>
      </w:r>
      <w:r w:rsidRPr="00EE2E1F">
        <w:rPr>
          <w:i/>
        </w:rPr>
        <w:t>Indoor Location Test Bed Report</w:t>
      </w:r>
      <w:r w:rsidRPr="00EE2E1F">
        <w:t xml:space="preserve"> at 12.</w:t>
      </w:r>
    </w:p>
  </w:footnote>
  <w:footnote w:id="326">
    <w:p w14:paraId="6FCC3B75" w14:textId="12FF0EEE" w:rsidR="00EE2E1F" w:rsidRPr="00EE2E1F" w:rsidRDefault="00EE2E1F" w:rsidP="00B82F90">
      <w:pPr>
        <w:pStyle w:val="FootnoteText"/>
      </w:pPr>
      <w:r w:rsidRPr="00EE2E1F">
        <w:rPr>
          <w:rStyle w:val="FootnoteReference"/>
        </w:rPr>
        <w:footnoteRef/>
      </w:r>
      <w:r w:rsidRPr="00EE2E1F">
        <w:t xml:space="preserve"> Specifically, for location accuracy, the test bed must compute the error in estimating the location of the device under test by comparing each vendor’s reported horizontal position to the surveyed ground truth position of the test location (determined through a precise land survey).  Each test call (or equivalent) must be independent from prior calls and accuracy will be based on the first location delivered by the vendor after he call is initiated.  With regard to latency, TTFF must be calculated by establishing the precise time for call initiation (or an equivalent initiation event if the vendor’s test configuration does not support the placement of an emulated emergency test call).  Specifically, latency must be measured from the time the user presses SEND after dialing 911, to the time the location fix appears at the location information center.</w:t>
      </w:r>
    </w:p>
  </w:footnote>
  <w:footnote w:id="327">
    <w:p w14:paraId="0911D8B1" w14:textId="77777777" w:rsidR="00EE2E1F" w:rsidRPr="00EE2E1F" w:rsidRDefault="00EE2E1F" w:rsidP="00B82F90">
      <w:pPr>
        <w:pStyle w:val="FootnoteText"/>
        <w:rPr>
          <w:i/>
        </w:rPr>
      </w:pPr>
      <w:r w:rsidRPr="00EE2E1F">
        <w:rPr>
          <w:rStyle w:val="FootnoteReference"/>
        </w:rPr>
        <w:footnoteRef/>
      </w:r>
      <w:r w:rsidRPr="00EE2E1F">
        <w:rPr>
          <w:i/>
        </w:rPr>
        <w:t xml:space="preserve"> Indoor Location Test Bed Report</w:t>
      </w:r>
      <w:r w:rsidRPr="00EE2E1F">
        <w:t xml:space="preserve"> at 14.</w:t>
      </w:r>
    </w:p>
  </w:footnote>
  <w:footnote w:id="328">
    <w:p w14:paraId="0CB2A20C" w14:textId="5DD46A96" w:rsidR="00EE2E1F" w:rsidRPr="00EE2E1F" w:rsidRDefault="00EE2E1F" w:rsidP="00610963">
      <w:pPr>
        <w:pStyle w:val="FootnoteText"/>
      </w:pPr>
      <w:r w:rsidRPr="00EE2E1F">
        <w:rPr>
          <w:rStyle w:val="FootnoteReference"/>
        </w:rPr>
        <w:footnoteRef/>
      </w:r>
      <w:r w:rsidRPr="00EE2E1F">
        <w:t xml:space="preserve"> </w:t>
      </w:r>
      <w:r w:rsidR="007177D3">
        <w:rPr>
          <w:i/>
        </w:rPr>
        <w:t>Id.</w:t>
      </w:r>
      <w:r w:rsidRPr="00EE2E1F">
        <w:t xml:space="preserve"> at 12.</w:t>
      </w:r>
    </w:p>
  </w:footnote>
  <w:footnote w:id="329">
    <w:p w14:paraId="3BFF4C20" w14:textId="40172F60" w:rsidR="00EE2E1F" w:rsidRPr="00EE2E1F" w:rsidRDefault="00EE2E1F" w:rsidP="00610963">
      <w:pPr>
        <w:pStyle w:val="FootnoteText"/>
      </w:pPr>
      <w:r w:rsidRPr="00EE2E1F">
        <w:rPr>
          <w:rStyle w:val="FootnoteReference"/>
        </w:rPr>
        <w:footnoteRef/>
      </w:r>
      <w:r w:rsidRPr="00EE2E1F">
        <w:t xml:space="preserve"> </w:t>
      </w:r>
      <w:r w:rsidRPr="00EE2E1F">
        <w:rPr>
          <w:i/>
        </w:rPr>
        <w:t xml:space="preserve">See </w:t>
      </w:r>
      <w:r w:rsidRPr="00EE2E1F">
        <w:t xml:space="preserve">Presentation by CSRIC WG3, Indoor Location Accuracy – Test Bed Framework (Sept. 12, 2012), at 6, </w:t>
      </w:r>
      <w:r w:rsidRPr="00EE2E1F">
        <w:rPr>
          <w:i/>
        </w:rPr>
        <w:t>available at</w:t>
      </w:r>
      <w:r w:rsidRPr="00EE2E1F">
        <w:t xml:space="preserve"> </w:t>
      </w:r>
      <w:hyperlink r:id="rId49" w:history="1">
        <w:r w:rsidRPr="00EE2E1F">
          <w:rPr>
            <w:rStyle w:val="Hyperlink"/>
            <w:rFonts w:eastAsia="MS Gothic"/>
          </w:rPr>
          <w:t>http://transition.fcc.gov/pshs/advisory/csric3/3-WG%20Presentation%209-12-12.pdf</w:t>
        </w:r>
      </w:hyperlink>
      <w:r w:rsidRPr="00EE2E1F">
        <w:t xml:space="preserve"> (last visited Dec. 19, 2014) (noting agreement reached among test bed participants that CMRS providers could only view raw results if they signed a nondisclosure agreement).  </w:t>
      </w:r>
      <w:r w:rsidRPr="00EE2E1F">
        <w:rPr>
          <w:i/>
        </w:rPr>
        <w:t>See also</w:t>
      </w:r>
      <w:r w:rsidRPr="00EE2E1F">
        <w:t xml:space="preserve"> </w:t>
      </w:r>
      <w:r w:rsidRPr="00EE2E1F">
        <w:rPr>
          <w:i/>
        </w:rPr>
        <w:t>Indoor Location Test Bed Report</w:t>
      </w:r>
      <w:r w:rsidRPr="00EE2E1F">
        <w:t xml:space="preserve"> at 12.</w:t>
      </w:r>
    </w:p>
  </w:footnote>
  <w:footnote w:id="330">
    <w:p w14:paraId="4C183015" w14:textId="77777777" w:rsidR="00EE2E1F" w:rsidRPr="00EE2E1F" w:rsidRDefault="00EE2E1F" w:rsidP="00FE0848">
      <w:pPr>
        <w:pStyle w:val="FootnoteText"/>
      </w:pPr>
      <w:r w:rsidRPr="00EE2E1F">
        <w:rPr>
          <w:rStyle w:val="FootnoteReference"/>
        </w:rPr>
        <w:footnoteRef/>
      </w:r>
      <w:r w:rsidRPr="00EE2E1F">
        <w:t xml:space="preserve"> Roadmap at Section 4.  The Roadmap states that data on the “‘positioning source method’ would include dispatchable location methods as well as positioning based on latitude/longitude (e.g., A-GPS, GLONASS, OTDOA, AFLT, RTT, Cell ID, or a hybrid of any of the listed or future technologies).”  </w:t>
      </w:r>
      <w:r w:rsidRPr="00EE2E1F">
        <w:rPr>
          <w:i/>
        </w:rPr>
        <w:t>Id</w:t>
      </w:r>
      <w:r w:rsidRPr="00EE2E1F">
        <w:t xml:space="preserve">. at Section 4(a)(i). </w:t>
      </w:r>
    </w:p>
  </w:footnote>
  <w:footnote w:id="331">
    <w:p w14:paraId="56F961E8" w14:textId="77777777" w:rsidR="00EE2E1F" w:rsidRPr="00EE2E1F" w:rsidRDefault="00EE2E1F" w:rsidP="00FE0848">
      <w:pPr>
        <w:pStyle w:val="FootnoteText"/>
      </w:pPr>
      <w:r w:rsidRPr="00EE2E1F">
        <w:rPr>
          <w:rStyle w:val="FootnoteReference"/>
        </w:rPr>
        <w:footnoteRef/>
      </w:r>
      <w:r w:rsidRPr="00EE2E1F">
        <w:t xml:space="preserve"> CCA Roadmap Comments at 3; NASNA Roadmap Comments at 2, 5; TCS Roadmap Comments at 5-6; PCIA Roadmap Reply Comments at 4; Mobile Future Roadmap Reply Comments at 7; NextNav Roadmap Comments at 21 (stating that following successful tests in a test bed, a CMRS network’s performance should be evaluated by looking at live call data).</w:t>
      </w:r>
    </w:p>
  </w:footnote>
  <w:footnote w:id="332">
    <w:p w14:paraId="382DD7AD" w14:textId="77777777" w:rsidR="00EE2E1F" w:rsidRPr="00EE2E1F" w:rsidRDefault="00EE2E1F" w:rsidP="00FE0848">
      <w:pPr>
        <w:pStyle w:val="FootnoteText"/>
      </w:pPr>
      <w:r w:rsidRPr="00EE2E1F">
        <w:rPr>
          <w:rStyle w:val="FootnoteReference"/>
        </w:rPr>
        <w:footnoteRef/>
      </w:r>
      <w:r w:rsidRPr="00EE2E1F">
        <w:t xml:space="preserve"> Cisco Roadmap Comments at 3.</w:t>
      </w:r>
    </w:p>
  </w:footnote>
  <w:footnote w:id="333">
    <w:p w14:paraId="51B7CBE2" w14:textId="77777777" w:rsidR="00EE2E1F" w:rsidRPr="00EE2E1F" w:rsidRDefault="00EE2E1F" w:rsidP="00FE0848">
      <w:pPr>
        <w:pStyle w:val="FootnoteText"/>
      </w:pPr>
      <w:r w:rsidRPr="00EE2E1F">
        <w:rPr>
          <w:rStyle w:val="FootnoteReference"/>
        </w:rPr>
        <w:footnoteRef/>
      </w:r>
      <w:r w:rsidRPr="00EE2E1F">
        <w:t xml:space="preserve"> NASNA Roadmap Comments at 5 (referencing 47 C.F.R. § 20.18(h)(1)(vi) and (h)(2)(iii)). </w:t>
      </w:r>
    </w:p>
  </w:footnote>
  <w:footnote w:id="334">
    <w:p w14:paraId="1315743F" w14:textId="77777777" w:rsidR="00EE2E1F" w:rsidRPr="00EE2E1F" w:rsidRDefault="00EE2E1F" w:rsidP="00FE0848">
      <w:pPr>
        <w:pStyle w:val="FootnoteText"/>
      </w:pPr>
      <w:r w:rsidRPr="00EE2E1F">
        <w:rPr>
          <w:rStyle w:val="FootnoteReference"/>
        </w:rPr>
        <w:footnoteRef/>
      </w:r>
      <w:r w:rsidRPr="00EE2E1F">
        <w:t xml:space="preserve"> Lackawanna County PA District Attorney Roadmap Comments at 1.</w:t>
      </w:r>
    </w:p>
  </w:footnote>
  <w:footnote w:id="335">
    <w:p w14:paraId="391951E1" w14:textId="77777777" w:rsidR="00EE2E1F" w:rsidRPr="00EE2E1F" w:rsidRDefault="00EE2E1F" w:rsidP="00FE0848">
      <w:pPr>
        <w:pStyle w:val="FootnoteText"/>
      </w:pPr>
      <w:r w:rsidRPr="00EE2E1F">
        <w:rPr>
          <w:rStyle w:val="FootnoteReference"/>
        </w:rPr>
        <w:footnoteRef/>
      </w:r>
      <w:r w:rsidRPr="00EE2E1F">
        <w:t xml:space="preserve"> CCA Roadmap Comments at 3; RWA Roadmap Reply Comments at 6.  </w:t>
      </w:r>
      <w:r w:rsidRPr="00EE2E1F">
        <w:rPr>
          <w:i/>
        </w:rPr>
        <w:t xml:space="preserve">See also </w:t>
      </w:r>
      <w:r w:rsidRPr="00EE2E1F">
        <w:t xml:space="preserve">NTCA Roadmap Reply Comments at 5 (highlighting that requesting a waiver of the Commission’s rule can be a burdensome process for small and rural CMRS providers). </w:t>
      </w:r>
    </w:p>
  </w:footnote>
  <w:footnote w:id="336">
    <w:p w14:paraId="1B66F909" w14:textId="77777777" w:rsidR="00EE2E1F" w:rsidRPr="00EE2E1F" w:rsidRDefault="00EE2E1F" w:rsidP="00A03B05">
      <w:pPr>
        <w:pStyle w:val="FootnoteText"/>
      </w:pPr>
      <w:r w:rsidRPr="00EE2E1F">
        <w:rPr>
          <w:rStyle w:val="FootnoteReference"/>
        </w:rPr>
        <w:footnoteRef/>
      </w:r>
      <w:r w:rsidRPr="00EE2E1F">
        <w:t xml:space="preserve"> CCA Roadmap Comments at 6-7.  </w:t>
      </w:r>
    </w:p>
  </w:footnote>
  <w:footnote w:id="337">
    <w:p w14:paraId="586C8F02" w14:textId="2C70B6DE" w:rsidR="00EE2E1F" w:rsidRPr="00EE2E1F" w:rsidRDefault="00EE2E1F" w:rsidP="00E37288">
      <w:pPr>
        <w:pStyle w:val="FootnoteText"/>
      </w:pPr>
      <w:r w:rsidRPr="00EE2E1F">
        <w:rPr>
          <w:rStyle w:val="FootnoteReference"/>
        </w:rPr>
        <w:footnoteRef/>
      </w:r>
      <w:r w:rsidRPr="00EE2E1F">
        <w:t xml:space="preserve"> Parallel Path at Section (5)(a)(ii).</w:t>
      </w:r>
    </w:p>
  </w:footnote>
  <w:footnote w:id="338">
    <w:p w14:paraId="57B7172B" w14:textId="7B243EF5" w:rsidR="00EE2E1F" w:rsidRPr="00EE2E1F" w:rsidRDefault="00EE2E1F" w:rsidP="00E37288">
      <w:pPr>
        <w:pStyle w:val="FootnoteText"/>
      </w:pPr>
      <w:r w:rsidRPr="00EE2E1F">
        <w:rPr>
          <w:rStyle w:val="FootnoteReference"/>
        </w:rPr>
        <w:footnoteRef/>
      </w:r>
      <w:r w:rsidRPr="00EE2E1F">
        <w:t xml:space="preserve"> </w:t>
      </w:r>
      <w:r w:rsidRPr="00EE2E1F">
        <w:rPr>
          <w:i/>
        </w:rPr>
        <w:t>Id</w:t>
      </w:r>
      <w:r w:rsidRPr="00EE2E1F">
        <w:t>.</w:t>
      </w:r>
    </w:p>
  </w:footnote>
  <w:footnote w:id="339">
    <w:p w14:paraId="0D65C4EC" w14:textId="77777777" w:rsidR="00EE2E1F" w:rsidRPr="00EE2E1F" w:rsidRDefault="00EE2E1F" w:rsidP="00E37288">
      <w:pPr>
        <w:pStyle w:val="FootnoteText"/>
      </w:pPr>
      <w:r w:rsidRPr="00EE2E1F">
        <w:rPr>
          <w:rStyle w:val="FootnoteReference"/>
        </w:rPr>
        <w:footnoteRef/>
      </w:r>
      <w:r w:rsidRPr="00EE2E1F">
        <w:t xml:space="preserve"> </w:t>
      </w:r>
      <w:r w:rsidRPr="00EE2E1F">
        <w:rPr>
          <w:i/>
        </w:rPr>
        <w:t>Id</w:t>
      </w:r>
      <w:r w:rsidRPr="00EE2E1F">
        <w:t>.</w:t>
      </w:r>
    </w:p>
  </w:footnote>
  <w:footnote w:id="340">
    <w:p w14:paraId="01D97039" w14:textId="77777777" w:rsidR="00EE2E1F" w:rsidRPr="00EE2E1F" w:rsidRDefault="00EE2E1F" w:rsidP="00E37288">
      <w:pPr>
        <w:pStyle w:val="FootnoteText"/>
      </w:pPr>
      <w:r w:rsidRPr="00EE2E1F">
        <w:rPr>
          <w:rStyle w:val="FootnoteReference"/>
        </w:rPr>
        <w:footnoteRef/>
      </w:r>
      <w:r w:rsidRPr="00EE2E1F">
        <w:t xml:space="preserve"> Roadmap at Section 4(b). While the Roadmap indicates these test regions were selected to represent common indoor use cases, the regions include a range of morphologies and should also be representative of the areas where outdoor wireless calls to 911 are placed.  The Roadmap commits to obtaining data for “all live wireless 9-1-1 calls” in these regions, regardless of whether the call is placed from indoors or outdoors; we emphasize that for purposes of this reporting requirement, we expect the live call data to reflect the quality of both indoor and outdoor call location information.</w:t>
      </w:r>
    </w:p>
  </w:footnote>
  <w:footnote w:id="341">
    <w:p w14:paraId="0DB2FCF2" w14:textId="7CBD02C0" w:rsidR="00EE2E1F" w:rsidRPr="00EE2E1F" w:rsidRDefault="00EE2E1F" w:rsidP="00E37288">
      <w:pPr>
        <w:pStyle w:val="FootnoteText"/>
      </w:pPr>
      <w:r w:rsidRPr="00EE2E1F">
        <w:rPr>
          <w:rStyle w:val="FootnoteReference"/>
        </w:rPr>
        <w:footnoteRef/>
      </w:r>
      <w:r w:rsidRPr="00EE2E1F">
        <w:t xml:space="preserve"> In order for this data to serve as a reasonable measure of the efficacy of indoor location solutions, it will be necessary for the Roadmap parties to make information available on the system deployment and the live 911 call data, such that smaller CMRS providers who do not cover territory in one of the six ATIS ESIF test cities could certify whether their deployments is consistent with one of the four nationwide providers in the six test cities.  As such, CMRS providers may request confidential treatment of their live 911 call data reports, but the Commission reserves the right to release aggregate or anonymized data on a limited basis in order to facilitate compliance with its rules.  In addition, nothing in this </w:t>
      </w:r>
      <w:r w:rsidRPr="00EE2E1F">
        <w:rPr>
          <w:i/>
        </w:rPr>
        <w:t>Order</w:t>
      </w:r>
      <w:r w:rsidRPr="00EE2E1F">
        <w:t xml:space="preserve"> is intended to limit the authority of state and local 911 agencies to publish 911 call data to the extent authorized under state or local law. </w:t>
      </w:r>
    </w:p>
  </w:footnote>
  <w:footnote w:id="342">
    <w:p w14:paraId="269E9946" w14:textId="7A1F8D70" w:rsidR="00EE2E1F" w:rsidRPr="00EE2E1F" w:rsidRDefault="00EE2E1F" w:rsidP="00E37288">
      <w:pPr>
        <w:pStyle w:val="FootnoteText"/>
      </w:pPr>
      <w:r w:rsidRPr="00EE2E1F">
        <w:rPr>
          <w:rStyle w:val="FootnoteReference"/>
        </w:rPr>
        <w:footnoteRef/>
      </w:r>
      <w:r w:rsidRPr="00EE2E1F">
        <w:t xml:space="preserve"> The Commission will not publish any personally identifiable information, such as 911 callers’ phone numbers or the locations to which first responders were dispatched.  The Commission may, however, publish aggregate information on CMRS providers’ performance in a given geographic area, or on the percentage of calls using a particular positioning source method across all CMRS providers.  We believe that this information will enable the Commission to better monitor location accuracy performance as a whole and will serve as a self-evaluation tool for CMRS providers.   </w:t>
      </w:r>
    </w:p>
  </w:footnote>
  <w:footnote w:id="343">
    <w:p w14:paraId="2D6AD63E" w14:textId="389034D1" w:rsidR="00EE2E1F" w:rsidRPr="00EE2E1F" w:rsidRDefault="00EE2E1F" w:rsidP="00886B1E">
      <w:pPr>
        <w:pStyle w:val="FootnoteText"/>
      </w:pPr>
      <w:r w:rsidRPr="00EE2E1F">
        <w:rPr>
          <w:rStyle w:val="FootnoteReference"/>
        </w:rPr>
        <w:footnoteRef/>
      </w:r>
      <w:r w:rsidRPr="00EE2E1F">
        <w:t xml:space="preserve"> For nationwide carriers, this will include the six test regions.  For non-nationwide carriers, this will include the appropriate test region, county or other test area in accordance with the Parallel Path as adopted herein.</w:t>
      </w:r>
    </w:p>
  </w:footnote>
  <w:footnote w:id="344">
    <w:p w14:paraId="76A9CAC2" w14:textId="08A1603A" w:rsidR="00EE2E1F" w:rsidRPr="00EE2E1F" w:rsidRDefault="00EE2E1F" w:rsidP="00886B1E">
      <w:pPr>
        <w:pStyle w:val="FootnoteText"/>
      </w:pPr>
      <w:r w:rsidRPr="00EE2E1F">
        <w:rPr>
          <w:rStyle w:val="FootnoteReference"/>
        </w:rPr>
        <w:footnoteRef/>
      </w:r>
      <w:r w:rsidRPr="00EE2E1F">
        <w:t xml:space="preserve"> Addendum at 3.</w:t>
      </w:r>
    </w:p>
  </w:footnote>
  <w:footnote w:id="345">
    <w:p w14:paraId="6AD46431" w14:textId="77777777" w:rsidR="00EE2E1F" w:rsidRPr="00EE2E1F" w:rsidRDefault="00EE2E1F" w:rsidP="00B7034F">
      <w:pPr>
        <w:pStyle w:val="FootnoteText"/>
      </w:pPr>
      <w:r w:rsidRPr="00EE2E1F">
        <w:rPr>
          <w:rStyle w:val="FootnoteReference"/>
        </w:rPr>
        <w:footnoteRef/>
      </w:r>
      <w:r w:rsidRPr="00EE2E1F">
        <w:t xml:space="preserve"> </w:t>
      </w:r>
      <w:r w:rsidRPr="00EE2E1F">
        <w:rPr>
          <w:i/>
        </w:rPr>
        <w:t xml:space="preserve">See </w:t>
      </w:r>
      <w:r w:rsidRPr="00EE2E1F">
        <w:t>47 C.F.R. §20.18(h).</w:t>
      </w:r>
    </w:p>
  </w:footnote>
  <w:footnote w:id="346">
    <w:p w14:paraId="7114A568" w14:textId="77777777" w:rsidR="00EE2E1F" w:rsidRPr="00EE2E1F" w:rsidRDefault="00EE2E1F" w:rsidP="00B7034F">
      <w:pPr>
        <w:pStyle w:val="FootnoteText"/>
      </w:pPr>
      <w:r w:rsidRPr="00EE2E1F">
        <w:rPr>
          <w:rStyle w:val="FootnoteReference"/>
        </w:rPr>
        <w:footnoteRef/>
      </w:r>
      <w:r w:rsidRPr="00EE2E1F">
        <w:t xml:space="preserve"> </w:t>
      </w:r>
      <w:r w:rsidRPr="00EE2E1F">
        <w:rPr>
          <w:i/>
        </w:rPr>
        <w:t xml:space="preserve">Third Further Notice, </w:t>
      </w:r>
      <w:r w:rsidRPr="00EE2E1F">
        <w:t>29 FCC Rcd at 2415-16 ¶ 110-11.</w:t>
      </w:r>
    </w:p>
  </w:footnote>
  <w:footnote w:id="347">
    <w:p w14:paraId="401A7F7E" w14:textId="0C6228D2" w:rsidR="00EE2E1F" w:rsidRPr="00EE2E1F" w:rsidRDefault="00EE2E1F" w:rsidP="00B7034F">
      <w:pPr>
        <w:pStyle w:val="FootnoteText"/>
      </w:pPr>
      <w:r w:rsidRPr="00EE2E1F">
        <w:rPr>
          <w:rStyle w:val="FootnoteReference"/>
        </w:rPr>
        <w:footnoteRef/>
      </w:r>
      <w:r w:rsidRPr="00EE2E1F">
        <w:t xml:space="preserve"> </w:t>
      </w:r>
      <w:r w:rsidRPr="00EE2E1F">
        <w:rPr>
          <w:i/>
        </w:rPr>
        <w:t>Id</w:t>
      </w:r>
      <w:r w:rsidRPr="00EE2E1F">
        <w:t xml:space="preserve">.  </w:t>
      </w:r>
      <w:r w:rsidRPr="00EE2E1F">
        <w:rPr>
          <w:i/>
        </w:rPr>
        <w:t>See also</w:t>
      </w:r>
      <w:r w:rsidRPr="00EE2E1F">
        <w:t xml:space="preserve"> Section III.B.5.a. </w:t>
      </w:r>
    </w:p>
  </w:footnote>
  <w:footnote w:id="348">
    <w:p w14:paraId="5399D03A" w14:textId="10C11CEC" w:rsidR="00EE2E1F" w:rsidRPr="00EE2E1F" w:rsidRDefault="00EE2E1F" w:rsidP="00B7034F">
      <w:pPr>
        <w:pStyle w:val="FootnoteText"/>
      </w:pPr>
      <w:r w:rsidRPr="00EE2E1F">
        <w:rPr>
          <w:rStyle w:val="FootnoteReference"/>
        </w:rPr>
        <w:footnoteRef/>
      </w:r>
      <w:r w:rsidRPr="00EE2E1F">
        <w:t xml:space="preserve"> </w:t>
      </w:r>
      <w:r w:rsidRPr="00EE2E1F">
        <w:rPr>
          <w:i/>
        </w:rPr>
        <w:t>Id.</w:t>
      </w:r>
      <w:r w:rsidRPr="00EE2E1F">
        <w:t xml:space="preserve"> at 2416 ¶ 111.  </w:t>
      </w:r>
    </w:p>
  </w:footnote>
  <w:footnote w:id="349">
    <w:p w14:paraId="4ED61789" w14:textId="093E1E54" w:rsidR="00EE2E1F" w:rsidRPr="00EE2E1F" w:rsidRDefault="00EE2E1F" w:rsidP="00B7034F">
      <w:pPr>
        <w:pStyle w:val="FootnoteText"/>
      </w:pPr>
      <w:r w:rsidRPr="00EE2E1F">
        <w:rPr>
          <w:rStyle w:val="FootnoteReference"/>
        </w:rPr>
        <w:footnoteRef/>
      </w:r>
      <w:r w:rsidRPr="00EE2E1F">
        <w:t xml:space="preserve"> </w:t>
      </w:r>
      <w:r w:rsidRPr="00EE2E1F">
        <w:rPr>
          <w:i/>
        </w:rPr>
        <w:t>Id.</w:t>
      </w:r>
    </w:p>
  </w:footnote>
  <w:footnote w:id="350">
    <w:p w14:paraId="0651D424" w14:textId="1029107C" w:rsidR="00EE2E1F" w:rsidRPr="00EE2E1F" w:rsidRDefault="00EE2E1F" w:rsidP="00B7034F">
      <w:pPr>
        <w:pStyle w:val="FootnoteText"/>
      </w:pPr>
      <w:r w:rsidRPr="00EE2E1F">
        <w:rPr>
          <w:rStyle w:val="FootnoteReference"/>
        </w:rPr>
        <w:footnoteRef/>
      </w:r>
      <w:r w:rsidRPr="00EE2E1F">
        <w:t xml:space="preserve"> </w:t>
      </w:r>
      <w:r w:rsidRPr="00EE2E1F">
        <w:rPr>
          <w:i/>
        </w:rPr>
        <w:t>Id.</w:t>
      </w:r>
    </w:p>
  </w:footnote>
  <w:footnote w:id="351">
    <w:p w14:paraId="0C4415BD" w14:textId="77777777" w:rsidR="00EE2E1F" w:rsidRPr="00EE2E1F" w:rsidRDefault="00EE2E1F" w:rsidP="00B7034F">
      <w:pPr>
        <w:pStyle w:val="FootnoteText"/>
      </w:pPr>
      <w:r w:rsidRPr="00EE2E1F">
        <w:rPr>
          <w:rStyle w:val="FootnoteReference"/>
        </w:rPr>
        <w:footnoteRef/>
      </w:r>
      <w:r w:rsidRPr="00EE2E1F">
        <w:t xml:space="preserve"> NASNA Comments at 7-8</w:t>
      </w:r>
    </w:p>
  </w:footnote>
  <w:footnote w:id="352">
    <w:p w14:paraId="2B02B107" w14:textId="77777777" w:rsidR="00EE2E1F" w:rsidRPr="00EE2E1F" w:rsidRDefault="00EE2E1F" w:rsidP="00B7034F">
      <w:pPr>
        <w:pStyle w:val="FootnoteText"/>
      </w:pPr>
      <w:r w:rsidRPr="00EE2E1F">
        <w:rPr>
          <w:rStyle w:val="FootnoteReference"/>
        </w:rPr>
        <w:footnoteRef/>
      </w:r>
      <w:r w:rsidRPr="00EE2E1F">
        <w:t xml:space="preserve"> NextNav Comments at 52-53.</w:t>
      </w:r>
    </w:p>
  </w:footnote>
  <w:footnote w:id="353">
    <w:p w14:paraId="214E2A51" w14:textId="77777777" w:rsidR="00EE2E1F" w:rsidRPr="00EE2E1F" w:rsidRDefault="00EE2E1F" w:rsidP="00B7034F">
      <w:pPr>
        <w:pStyle w:val="FootnoteText"/>
      </w:pPr>
      <w:r w:rsidRPr="00EE2E1F">
        <w:rPr>
          <w:rStyle w:val="FootnoteReference"/>
        </w:rPr>
        <w:footnoteRef/>
      </w:r>
      <w:r w:rsidRPr="00EE2E1F">
        <w:t xml:space="preserve"> Verizon Comments at 22 and Reply Comments at 16; AT&amp;T Comments at 5, 29-32; CTIA Comments at 16-17; NASNA Comments at 7-8; NextNav Comments at 55-56; T-Mobile Comments at 20; RWA Comments at 5; </w:t>
      </w:r>
      <w:r w:rsidRPr="00EE2E1F">
        <w:rPr>
          <w:i/>
        </w:rPr>
        <w:t>see</w:t>
      </w:r>
      <w:r w:rsidRPr="00EE2E1F">
        <w:t xml:space="preserve"> </w:t>
      </w:r>
      <w:r w:rsidRPr="00EE2E1F">
        <w:rPr>
          <w:i/>
        </w:rPr>
        <w:t>also</w:t>
      </w:r>
      <w:r w:rsidRPr="00EE2E1F">
        <w:t xml:space="preserve"> TCS Comments at 3, 9 (market-specific testing may impose burden on wireless providers with little improvement in performance).</w:t>
      </w:r>
    </w:p>
  </w:footnote>
  <w:footnote w:id="354">
    <w:p w14:paraId="4EBA37EC" w14:textId="77777777" w:rsidR="00EE2E1F" w:rsidRPr="00EE2E1F" w:rsidRDefault="00EE2E1F" w:rsidP="00B7034F">
      <w:pPr>
        <w:pStyle w:val="FootnoteText"/>
      </w:pPr>
      <w:r w:rsidRPr="00EE2E1F">
        <w:rPr>
          <w:rStyle w:val="FootnoteReference"/>
        </w:rPr>
        <w:footnoteRef/>
      </w:r>
      <w:r w:rsidRPr="00EE2E1F">
        <w:t xml:space="preserve"> Verizon Comments at 27.  </w:t>
      </w:r>
    </w:p>
  </w:footnote>
  <w:footnote w:id="355">
    <w:p w14:paraId="5900320C" w14:textId="77777777" w:rsidR="00EE2E1F" w:rsidRPr="00EE2E1F" w:rsidRDefault="00EE2E1F" w:rsidP="00B7034F">
      <w:pPr>
        <w:pStyle w:val="FootnoteText"/>
      </w:pPr>
      <w:r w:rsidRPr="00EE2E1F">
        <w:rPr>
          <w:rStyle w:val="FootnoteReference"/>
        </w:rPr>
        <w:footnoteRef/>
      </w:r>
      <w:r w:rsidRPr="00EE2E1F">
        <w:t xml:space="preserve"> Sprint Comments at 16.</w:t>
      </w:r>
    </w:p>
  </w:footnote>
  <w:footnote w:id="356">
    <w:p w14:paraId="778CE3FA" w14:textId="126A3094" w:rsidR="00EE2E1F" w:rsidRPr="00EE2E1F" w:rsidRDefault="00EE2E1F" w:rsidP="00B7034F">
      <w:pPr>
        <w:pStyle w:val="FootnoteText"/>
      </w:pPr>
      <w:r w:rsidRPr="00EE2E1F">
        <w:rPr>
          <w:rStyle w:val="FootnoteReference"/>
        </w:rPr>
        <w:footnoteRef/>
      </w:r>
      <w:r w:rsidRPr="00EE2E1F">
        <w:t xml:space="preserve"> </w:t>
      </w:r>
      <w:r w:rsidRPr="00EE2E1F">
        <w:rPr>
          <w:i/>
        </w:rPr>
        <w:t>Id.</w:t>
      </w:r>
    </w:p>
  </w:footnote>
  <w:footnote w:id="357">
    <w:p w14:paraId="7312E40E" w14:textId="77777777" w:rsidR="00EE2E1F" w:rsidRPr="00EE2E1F" w:rsidRDefault="00EE2E1F" w:rsidP="00B7034F">
      <w:pPr>
        <w:pStyle w:val="FootnoteText"/>
      </w:pPr>
      <w:r w:rsidRPr="00EE2E1F">
        <w:rPr>
          <w:rStyle w:val="FootnoteReference"/>
        </w:rPr>
        <w:footnoteRef/>
      </w:r>
      <w:r w:rsidRPr="00EE2E1F">
        <w:t xml:space="preserve"> AT&amp;T Reply Comments at 7. </w:t>
      </w:r>
    </w:p>
  </w:footnote>
  <w:footnote w:id="358">
    <w:p w14:paraId="36C3DF34" w14:textId="77777777" w:rsidR="00EE2E1F" w:rsidRPr="00EE2E1F" w:rsidRDefault="00EE2E1F" w:rsidP="00B7034F">
      <w:pPr>
        <w:pStyle w:val="FootnoteText"/>
      </w:pPr>
      <w:r w:rsidRPr="00EE2E1F">
        <w:rPr>
          <w:rStyle w:val="FootnoteReference"/>
        </w:rPr>
        <w:footnoteRef/>
      </w:r>
      <w:r w:rsidRPr="00EE2E1F">
        <w:t xml:space="preserve"> APCO Comments at 9. </w:t>
      </w:r>
    </w:p>
  </w:footnote>
  <w:footnote w:id="359">
    <w:p w14:paraId="135699F2" w14:textId="77777777" w:rsidR="00EE2E1F" w:rsidRPr="00EE2E1F" w:rsidRDefault="00EE2E1F" w:rsidP="00B7034F">
      <w:pPr>
        <w:pStyle w:val="FootnoteText"/>
      </w:pPr>
      <w:r w:rsidRPr="00EE2E1F">
        <w:rPr>
          <w:rStyle w:val="FootnoteReference"/>
        </w:rPr>
        <w:footnoteRef/>
      </w:r>
      <w:r w:rsidRPr="00EE2E1F">
        <w:t xml:space="preserve"> </w:t>
      </w:r>
      <w:r w:rsidRPr="00EE2E1F">
        <w:rPr>
          <w:i/>
        </w:rPr>
        <w:t>Third Further Notice</w:t>
      </w:r>
      <w:r w:rsidRPr="00EE2E1F">
        <w:t xml:space="preserve">, 29 FCC Rcd at 2430 ¶ 171. </w:t>
      </w:r>
    </w:p>
  </w:footnote>
  <w:footnote w:id="360">
    <w:p w14:paraId="7C5C9A66" w14:textId="368AF74E" w:rsidR="00EE2E1F" w:rsidRPr="00EE2E1F" w:rsidRDefault="00EE2E1F" w:rsidP="00B7034F">
      <w:pPr>
        <w:pStyle w:val="FootnoteText"/>
      </w:pPr>
      <w:r w:rsidRPr="00EE2E1F">
        <w:rPr>
          <w:rStyle w:val="FootnoteReference"/>
        </w:rPr>
        <w:footnoteRef/>
      </w:r>
      <w:r w:rsidRPr="00EE2E1F">
        <w:t xml:space="preserve"> </w:t>
      </w:r>
      <w:r w:rsidRPr="00EE2E1F">
        <w:rPr>
          <w:i/>
        </w:rPr>
        <w:t>Id.</w:t>
      </w:r>
    </w:p>
  </w:footnote>
  <w:footnote w:id="361">
    <w:p w14:paraId="079C31D2" w14:textId="77777777" w:rsidR="00EE2E1F" w:rsidRPr="00EE2E1F" w:rsidRDefault="00EE2E1F" w:rsidP="00B7034F">
      <w:pPr>
        <w:pStyle w:val="FootnoteText"/>
      </w:pPr>
      <w:r w:rsidRPr="00EE2E1F">
        <w:rPr>
          <w:rStyle w:val="FootnoteReference"/>
        </w:rPr>
        <w:footnoteRef/>
      </w:r>
      <w:r w:rsidRPr="00EE2E1F">
        <w:t xml:space="preserve"> APCO Comments at 8; NASNA Comments at 8.</w:t>
      </w:r>
    </w:p>
  </w:footnote>
  <w:footnote w:id="362">
    <w:p w14:paraId="0E2FF506" w14:textId="77777777" w:rsidR="00EE2E1F" w:rsidRPr="00EE2E1F" w:rsidRDefault="00EE2E1F" w:rsidP="00B7034F">
      <w:pPr>
        <w:pStyle w:val="FootnoteText"/>
      </w:pPr>
      <w:r w:rsidRPr="00EE2E1F">
        <w:rPr>
          <w:rStyle w:val="FootnoteReference"/>
        </w:rPr>
        <w:footnoteRef/>
      </w:r>
      <w:r w:rsidRPr="00EE2E1F">
        <w:t xml:space="preserve"> CTIA Comments at 18.</w:t>
      </w:r>
    </w:p>
  </w:footnote>
  <w:footnote w:id="363">
    <w:p w14:paraId="60D78F57" w14:textId="77777777" w:rsidR="00EE2E1F" w:rsidRPr="00EE2E1F" w:rsidRDefault="00EE2E1F" w:rsidP="00B7034F">
      <w:pPr>
        <w:pStyle w:val="FootnoteText"/>
      </w:pPr>
      <w:r w:rsidRPr="00EE2E1F">
        <w:rPr>
          <w:rStyle w:val="FootnoteReference"/>
        </w:rPr>
        <w:footnoteRef/>
      </w:r>
      <w:r w:rsidRPr="00EE2E1F">
        <w:t xml:space="preserve"> Verizon Comments at 33; CCA Reply Comments at 17. </w:t>
      </w:r>
    </w:p>
  </w:footnote>
  <w:footnote w:id="364">
    <w:p w14:paraId="48A2E43B" w14:textId="695F706C" w:rsidR="00EE2E1F" w:rsidRPr="00EE2E1F" w:rsidRDefault="00EE2E1F" w:rsidP="00B7034F">
      <w:pPr>
        <w:pStyle w:val="FootnoteText"/>
      </w:pPr>
      <w:r w:rsidRPr="00EE2E1F">
        <w:rPr>
          <w:rStyle w:val="FootnoteReference"/>
        </w:rPr>
        <w:footnoteRef/>
      </w:r>
      <w:r w:rsidRPr="00EE2E1F">
        <w:t xml:space="preserve"> </w:t>
      </w:r>
      <w:r w:rsidRPr="00EE2E1F">
        <w:rPr>
          <w:i/>
        </w:rPr>
        <w:t>See supra</w:t>
      </w:r>
      <w:r w:rsidRPr="00EE2E1F">
        <w:t xml:space="preserve"> Section </w:t>
      </w:r>
      <w:r w:rsidRPr="00EE2E1F">
        <w:fldChar w:fldCharType="begin"/>
      </w:r>
      <w:r w:rsidRPr="00EE2E1F">
        <w:instrText xml:space="preserve"> REF _Ref408486411 \w \h  \* MERGEFORMAT </w:instrText>
      </w:r>
      <w:r w:rsidRPr="00EE2E1F">
        <w:fldChar w:fldCharType="separate"/>
      </w:r>
      <w:r w:rsidR="005E367B">
        <w:t>III.B.5.b</w:t>
      </w:r>
      <w:r w:rsidRPr="00EE2E1F">
        <w:fldChar w:fldCharType="end"/>
      </w:r>
      <w:r w:rsidRPr="00EE2E1F">
        <w:t xml:space="preserve">.  CMRS providers that do not provide service in any of the six cities may satisfy this requirement by certifying in their 36- and 72-month certifications that (1) they have deployed technology throughout their network consistent with a technology deployment that was certified in the test bed, and (2) that their network does not cover any territory in any of the six test cities.  If a CMRS provider expands its network coverage into one of the six test cities, it must re-certify the compliance of its deployed technology as well as begin reporting live call data from that portion of its network to NENA, APCO, NASNA, and the Commission. </w:t>
      </w:r>
    </w:p>
  </w:footnote>
  <w:footnote w:id="365">
    <w:p w14:paraId="2C1A8D4B" w14:textId="1DCBDB7B" w:rsidR="00EE2E1F" w:rsidRPr="00EE2E1F" w:rsidRDefault="00EE2E1F">
      <w:pPr>
        <w:pStyle w:val="FootnoteText"/>
      </w:pPr>
      <w:r w:rsidRPr="00EE2E1F">
        <w:rPr>
          <w:rStyle w:val="FootnoteReference"/>
        </w:rPr>
        <w:footnoteRef/>
      </w:r>
      <w:r w:rsidRPr="00EE2E1F">
        <w:t xml:space="preserve"> </w:t>
      </w:r>
      <w:r w:rsidRPr="00EE2E1F">
        <w:rPr>
          <w:i/>
        </w:rPr>
        <w:t>See infra</w:t>
      </w:r>
      <w:r w:rsidRPr="00EE2E1F">
        <w:t xml:space="preserve"> Section </w:t>
      </w:r>
      <w:r w:rsidRPr="00EE2E1F">
        <w:fldChar w:fldCharType="begin"/>
      </w:r>
      <w:r w:rsidRPr="00EE2E1F">
        <w:instrText xml:space="preserve"> REF _Ref408487718 \w \h  \* MERGEFORMAT </w:instrText>
      </w:r>
      <w:r w:rsidRPr="00EE2E1F">
        <w:fldChar w:fldCharType="separate"/>
      </w:r>
      <w:r w:rsidR="005E367B">
        <w:t>IV.D</w:t>
      </w:r>
      <w:r w:rsidRPr="00EE2E1F">
        <w:fldChar w:fldCharType="end"/>
      </w:r>
      <w:r w:rsidRPr="00EE2E1F">
        <w:t>.</w:t>
      </w:r>
    </w:p>
  </w:footnote>
  <w:footnote w:id="366">
    <w:p w14:paraId="11AB3244" w14:textId="77777777" w:rsidR="00EE2E1F" w:rsidRPr="00EE2E1F" w:rsidRDefault="00EE2E1F" w:rsidP="00A82CD0">
      <w:pPr>
        <w:pStyle w:val="FootnoteText"/>
      </w:pPr>
      <w:r w:rsidRPr="00EE2E1F">
        <w:rPr>
          <w:rStyle w:val="FootnoteReference"/>
        </w:rPr>
        <w:footnoteRef/>
      </w:r>
      <w:r w:rsidRPr="00EE2E1F">
        <w:t xml:space="preserve"> This includes, but is not limited to, evidence of a PSAP’s reasonable bidding and rebidding activity throughout the duration of a 911 call.  </w:t>
      </w:r>
    </w:p>
  </w:footnote>
  <w:footnote w:id="367">
    <w:p w14:paraId="6FB42122" w14:textId="77777777" w:rsidR="00EE2E1F" w:rsidRPr="00EE2E1F" w:rsidRDefault="00EE2E1F" w:rsidP="00B7034F">
      <w:pPr>
        <w:pStyle w:val="FootnoteText"/>
      </w:pPr>
      <w:r w:rsidRPr="00EE2E1F">
        <w:rPr>
          <w:rStyle w:val="FootnoteReference"/>
        </w:rPr>
        <w:footnoteRef/>
      </w:r>
      <w:r w:rsidRPr="00EE2E1F">
        <w:t xml:space="preserve"> </w:t>
      </w:r>
      <w:r w:rsidRPr="00EE2E1F">
        <w:rPr>
          <w:i/>
        </w:rPr>
        <w:t>See</w:t>
      </w:r>
      <w:r w:rsidRPr="00EE2E1F">
        <w:t xml:space="preserve"> 47 U.S.C. §§ 1.711-1.736 </w:t>
      </w:r>
      <w:r w:rsidRPr="00EE2E1F">
        <w:rPr>
          <w:i/>
        </w:rPr>
        <w:t>et seq</w:t>
      </w:r>
      <w:r w:rsidRPr="00EE2E1F">
        <w:t>.  CMRS providers will have 30 days to respond to the Commission following notification of any such complaint.</w:t>
      </w:r>
    </w:p>
  </w:footnote>
  <w:footnote w:id="368">
    <w:p w14:paraId="6C680BA9" w14:textId="77777777" w:rsidR="00EE2E1F" w:rsidRPr="00EE2E1F" w:rsidRDefault="00EE2E1F" w:rsidP="00B7034F">
      <w:pPr>
        <w:pStyle w:val="FootnoteText"/>
      </w:pPr>
      <w:r w:rsidRPr="00EE2E1F">
        <w:rPr>
          <w:rStyle w:val="FootnoteReference"/>
        </w:rPr>
        <w:footnoteRef/>
      </w:r>
      <w:r w:rsidRPr="00EE2E1F">
        <w:t xml:space="preserve"> In 2008, Congress enacted the New and Emerging Technologies 911 Improvement Act (NET 911 Act), which provides that a “wireless carrier, IP-enabled voice service provider, or other emergency communications provider … shall have” the same liability protection as a local exchange provider under federal and state law.  47 U.S.C. § 615a.  In February 2012, Congress further extended state liability protection to providers of NG911 service in the Next Generation 9-1-1 Advancement Act of 2012, enacted as subtitle E of the Middle Class Tax Relief and Job Creation Act of  2012, Pub. L. No. 112-96, 126 Stat 156, 237-45.  The Next Generation 9-1-1 Advancement Act of 2012 provides that “[a] provider or user of Next Generation 9-1-1 services…shall have immunity and protection from liability under Federal and State law [to the extent provided under section 4 of the Wireless Communications and Public Safety Act of 1999],” with respect to “the release of subscriber information related to emergency calls or emergency services,” “the use or provision of 9-1-1 services, E9-1-1 services, or Next Generation 9-1-1 services,” and “other matters related to 9-1-1 services, E9-1-1 services, or Next Generation 9-1-1 services.”  47 U.S.C. § 1472.  In addition, Section 6503 of the Act amends the National Telecommunications and Information Administration Organization Act to define “emergency call” as “any real-time communication with a public safety answering point or other emergency management or response agency,” including communication “through voice, text, or video and related data.”  47 U.S.C. § 942(e)(4).  </w:t>
      </w:r>
    </w:p>
  </w:footnote>
  <w:footnote w:id="369">
    <w:p w14:paraId="6E944B67" w14:textId="0C3E4B8C" w:rsidR="00EE2E1F" w:rsidRPr="00EE2E1F" w:rsidRDefault="00EE2E1F" w:rsidP="00B7034F">
      <w:pPr>
        <w:pStyle w:val="FootnoteText"/>
      </w:pPr>
      <w:r w:rsidRPr="00EE2E1F">
        <w:rPr>
          <w:rStyle w:val="FootnoteReference"/>
        </w:rPr>
        <w:footnoteRef/>
      </w:r>
      <w:r w:rsidRPr="00EE2E1F">
        <w:t xml:space="preserve"> </w:t>
      </w:r>
      <w:r w:rsidRPr="00EE2E1F">
        <w:rPr>
          <w:i/>
        </w:rPr>
        <w:t>Third Further Notice</w:t>
      </w:r>
      <w:r w:rsidRPr="00EE2E1F">
        <w:t xml:space="preserve">, 29 FCC Rcd at 2416 ¶ 113. </w:t>
      </w:r>
    </w:p>
  </w:footnote>
  <w:footnote w:id="370">
    <w:p w14:paraId="4A1D95BE" w14:textId="06BF3EEB" w:rsidR="00EE2E1F" w:rsidRPr="00EE2E1F" w:rsidRDefault="00EE2E1F" w:rsidP="00B7034F">
      <w:pPr>
        <w:pStyle w:val="FootnoteText"/>
      </w:pPr>
      <w:r w:rsidRPr="00EE2E1F">
        <w:rPr>
          <w:rStyle w:val="FootnoteReference"/>
        </w:rPr>
        <w:footnoteRef/>
      </w:r>
      <w:r w:rsidRPr="00EE2E1F">
        <w:t xml:space="preserve"> </w:t>
      </w:r>
      <w:r w:rsidRPr="00EE2E1F">
        <w:rPr>
          <w:i/>
        </w:rPr>
        <w:t>Id.</w:t>
      </w:r>
      <w:r w:rsidRPr="00EE2E1F">
        <w:t xml:space="preserve">at 2417 ¶ 114.  </w:t>
      </w:r>
      <w:r w:rsidRPr="00EE2E1F">
        <w:rPr>
          <w:i/>
        </w:rPr>
        <w:t>See also</w:t>
      </w:r>
      <w:r w:rsidRPr="00EE2E1F">
        <w:t xml:space="preserve"> </w:t>
      </w:r>
      <w:r w:rsidRPr="00EE2E1F">
        <w:rPr>
          <w:i/>
        </w:rPr>
        <w:t xml:space="preserve">Signal Booster Report and Order, </w:t>
      </w:r>
      <w:r w:rsidRPr="00EE2E1F">
        <w:t xml:space="preserve">28 FCC Rcd at 1696 ¶ 90 n. 206. </w:t>
      </w:r>
    </w:p>
  </w:footnote>
  <w:footnote w:id="371">
    <w:p w14:paraId="6C068671" w14:textId="77777777" w:rsidR="00EE2E1F" w:rsidRPr="00EE2E1F" w:rsidRDefault="00EE2E1F" w:rsidP="00B7034F">
      <w:pPr>
        <w:pStyle w:val="FootnoteText"/>
      </w:pPr>
      <w:r w:rsidRPr="00EE2E1F">
        <w:rPr>
          <w:rStyle w:val="FootnoteReference"/>
        </w:rPr>
        <w:footnoteRef/>
      </w:r>
      <w:r w:rsidRPr="00EE2E1F">
        <w:t xml:space="preserve"> CTIA Reply Comments at 20.</w:t>
      </w:r>
    </w:p>
  </w:footnote>
  <w:footnote w:id="372">
    <w:p w14:paraId="516096E2" w14:textId="77777777" w:rsidR="00EE2E1F" w:rsidRPr="00EE2E1F" w:rsidRDefault="00EE2E1F" w:rsidP="00B7034F">
      <w:pPr>
        <w:pStyle w:val="FootnoteText"/>
      </w:pPr>
      <w:r w:rsidRPr="00EE2E1F">
        <w:rPr>
          <w:rStyle w:val="FootnoteReference"/>
        </w:rPr>
        <w:footnoteRef/>
      </w:r>
      <w:r w:rsidRPr="00EE2E1F">
        <w:t xml:space="preserve"> BRETSA Comments at 24-25.</w:t>
      </w:r>
    </w:p>
  </w:footnote>
  <w:footnote w:id="373">
    <w:p w14:paraId="0189436F" w14:textId="77777777" w:rsidR="00EE2E1F" w:rsidRPr="00EE2E1F" w:rsidRDefault="00EE2E1F" w:rsidP="00B7034F">
      <w:pPr>
        <w:pStyle w:val="FootnoteText"/>
      </w:pPr>
      <w:r w:rsidRPr="00EE2E1F">
        <w:rPr>
          <w:rStyle w:val="FootnoteReference"/>
        </w:rPr>
        <w:footnoteRef/>
      </w:r>
      <w:r w:rsidRPr="00EE2E1F">
        <w:t xml:space="preserve"> Qualcomm Reply Comments at 8. </w:t>
      </w:r>
    </w:p>
  </w:footnote>
  <w:footnote w:id="374">
    <w:p w14:paraId="09EC98F3" w14:textId="77777777" w:rsidR="00EE2E1F" w:rsidRPr="00EE2E1F" w:rsidRDefault="00EE2E1F" w:rsidP="00944434">
      <w:pPr>
        <w:pStyle w:val="FootnoteText"/>
      </w:pPr>
      <w:r w:rsidRPr="00EE2E1F">
        <w:rPr>
          <w:rStyle w:val="FootnoteReference"/>
        </w:rPr>
        <w:footnoteRef/>
      </w:r>
      <w:r w:rsidRPr="00EE2E1F">
        <w:t xml:space="preserve"> Facilitating the Deployment of Text-to-911 &amp; Other Next Generation 911 Applications, Framework for Next Generation 911 Deployment, </w:t>
      </w:r>
      <w:r w:rsidRPr="00EE2E1F">
        <w:rPr>
          <w:i/>
        </w:rPr>
        <w:t>Second Report and Order</w:t>
      </w:r>
      <w:r w:rsidRPr="00EE2E1F">
        <w:t xml:space="preserve">, 29 FCC Rcd 9846, 9876-77 ¶ 65 (2014). </w:t>
      </w:r>
    </w:p>
  </w:footnote>
  <w:footnote w:id="375">
    <w:p w14:paraId="54B4486B" w14:textId="77777777" w:rsidR="00EE2E1F" w:rsidRPr="00EE2E1F" w:rsidRDefault="00EE2E1F" w:rsidP="00B7034F">
      <w:pPr>
        <w:pStyle w:val="FootnoteText"/>
      </w:pPr>
      <w:r w:rsidRPr="00EE2E1F">
        <w:rPr>
          <w:rStyle w:val="FootnoteReference"/>
        </w:rPr>
        <w:footnoteRef/>
      </w:r>
      <w:r w:rsidRPr="00EE2E1F">
        <w:t xml:space="preserve"> </w:t>
      </w:r>
      <w:r w:rsidRPr="00EE2E1F">
        <w:rPr>
          <w:i/>
        </w:rPr>
        <w:t>See, e.g</w:t>
      </w:r>
      <w:r w:rsidRPr="00EE2E1F">
        <w:t xml:space="preserve">., NextNav Comments at iv (“The Commission has acknowledged that the adoption of clear, near-term requirements will remove regulatory uncertainty, add needed impetus to carrier adoption, and hasten the eventual development of long-term solutions capable of delivering the dispatch-able address-level information that is ultimately sought by public safety.”).  </w:t>
      </w:r>
    </w:p>
  </w:footnote>
  <w:footnote w:id="376">
    <w:p w14:paraId="234B014F" w14:textId="77777777" w:rsidR="00EE2E1F" w:rsidRPr="00EE2E1F" w:rsidRDefault="00EE2E1F" w:rsidP="00B7034F">
      <w:pPr>
        <w:pStyle w:val="FootnoteText"/>
      </w:pPr>
      <w:r w:rsidRPr="00EE2E1F">
        <w:rPr>
          <w:rStyle w:val="FootnoteReference"/>
        </w:rPr>
        <w:footnoteRef/>
      </w:r>
      <w:r w:rsidRPr="00EE2E1F">
        <w:t xml:space="preserve"> </w:t>
      </w:r>
      <w:r w:rsidRPr="00EE2E1F">
        <w:rPr>
          <w:i/>
        </w:rPr>
        <w:t>Third Further Notice</w:t>
      </w:r>
      <w:r w:rsidRPr="00EE2E1F">
        <w:t xml:space="preserve">, 29 FCC Rcd 2417 ¶¶ 115-16. </w:t>
      </w:r>
    </w:p>
  </w:footnote>
  <w:footnote w:id="377">
    <w:p w14:paraId="0F7DF9FC" w14:textId="77777777" w:rsidR="00EE2E1F" w:rsidRPr="00EE2E1F" w:rsidRDefault="00EE2E1F" w:rsidP="00B7034F">
      <w:pPr>
        <w:pStyle w:val="FootnoteText"/>
      </w:pPr>
      <w:r w:rsidRPr="00EE2E1F">
        <w:rPr>
          <w:rStyle w:val="FootnoteReference"/>
        </w:rPr>
        <w:footnoteRef/>
      </w:r>
      <w:r w:rsidRPr="00EE2E1F">
        <w:t xml:space="preserve"> </w:t>
      </w:r>
      <w:r w:rsidRPr="00EE2E1F">
        <w:rPr>
          <w:i/>
        </w:rPr>
        <w:t xml:space="preserve">See </w:t>
      </w:r>
      <w:r w:rsidRPr="00EE2E1F">
        <w:t>47 C.F.R. §§1.3 and 1.925.</w:t>
      </w:r>
    </w:p>
  </w:footnote>
  <w:footnote w:id="378">
    <w:p w14:paraId="6EEBFA8E" w14:textId="77777777" w:rsidR="00EE2E1F" w:rsidRPr="00EE2E1F" w:rsidRDefault="00EE2E1F" w:rsidP="00B7034F">
      <w:pPr>
        <w:pStyle w:val="FootnoteText"/>
        <w:rPr>
          <w:i/>
        </w:rPr>
      </w:pPr>
      <w:r w:rsidRPr="00EE2E1F">
        <w:rPr>
          <w:rStyle w:val="FootnoteReference"/>
        </w:rPr>
        <w:footnoteRef/>
      </w:r>
      <w:r w:rsidRPr="00EE2E1F">
        <w:t xml:space="preserve"> </w:t>
      </w:r>
      <w:r w:rsidRPr="00EE2E1F">
        <w:rPr>
          <w:i/>
        </w:rPr>
        <w:t>First E911 Report and Order</w:t>
      </w:r>
      <w:r w:rsidRPr="00EE2E1F">
        <w:t>, 11 FCC Rcd at 18710 ¶ 66, 18718 ¶ 84.</w:t>
      </w:r>
    </w:p>
  </w:footnote>
  <w:footnote w:id="379">
    <w:p w14:paraId="6DF81AC3" w14:textId="71DD5EB6" w:rsidR="00EE2E1F" w:rsidRPr="00EE2E1F" w:rsidRDefault="00EE2E1F" w:rsidP="00B7034F">
      <w:pPr>
        <w:pStyle w:val="FootnoteText"/>
      </w:pPr>
      <w:r w:rsidRPr="00EE2E1F">
        <w:rPr>
          <w:rStyle w:val="FootnoteReference"/>
        </w:rPr>
        <w:footnoteRef/>
      </w:r>
      <w:r w:rsidRPr="00EE2E1F">
        <w:t xml:space="preserve"> </w:t>
      </w:r>
      <w:r w:rsidRPr="00EE2E1F">
        <w:rPr>
          <w:i/>
        </w:rPr>
        <w:t>Third Further Notice</w:t>
      </w:r>
      <w:r w:rsidRPr="00EE2E1F">
        <w:t xml:space="preserve">, 29 FCC Rcd 2417 ¶ 116. </w:t>
      </w:r>
    </w:p>
  </w:footnote>
  <w:footnote w:id="380">
    <w:p w14:paraId="62278A5F" w14:textId="77777777" w:rsidR="00EE2E1F" w:rsidRPr="00EE2E1F" w:rsidRDefault="00EE2E1F" w:rsidP="00B7034F">
      <w:pPr>
        <w:pStyle w:val="FootnoteText"/>
      </w:pPr>
      <w:r w:rsidRPr="00EE2E1F">
        <w:rPr>
          <w:rStyle w:val="FootnoteReference"/>
        </w:rPr>
        <w:footnoteRef/>
      </w:r>
      <w:r w:rsidRPr="00EE2E1F">
        <w:t xml:space="preserve"> BRETSA Comments at 25; FindMe911 Coalition Comments at 10; NASNA Comments at 11; Blooston Comments at 5-7; CCA Reply Comments at 13; SouthernLINC Wireless Reply Comments at 8; TIA Comments at 6; TruePosition Comments at 15-16; NTCA Comments at 2; Transit Wireless Reply Comments at 11. </w:t>
      </w:r>
    </w:p>
  </w:footnote>
  <w:footnote w:id="381">
    <w:p w14:paraId="21F44F22" w14:textId="0D68CF68" w:rsidR="00EE2E1F" w:rsidRPr="00EE2E1F" w:rsidRDefault="00EE2E1F" w:rsidP="00B7034F">
      <w:pPr>
        <w:pStyle w:val="FootnoteText"/>
      </w:pPr>
      <w:r w:rsidRPr="00EE2E1F">
        <w:rPr>
          <w:rStyle w:val="FootnoteReference"/>
        </w:rPr>
        <w:footnoteRef/>
      </w:r>
      <w:r w:rsidRPr="00EE2E1F">
        <w:t xml:space="preserve"> True Position Comments at 15-16.  The Commission has adopted “proof of timely ordering of equipment” as a consideration in specific waiver processes for the construction of broadcast, mobile radio and telephone stations.  </w:t>
      </w:r>
      <w:r w:rsidRPr="00EE2E1F">
        <w:rPr>
          <w:i/>
        </w:rPr>
        <w:t>See, e.g.,</w:t>
      </w:r>
      <w:r w:rsidRPr="00EE2E1F">
        <w:t xml:space="preserve"> Consolidated Request of the WCS Coalition for Limited Waiver of Construction Deadline, </w:t>
      </w:r>
      <w:r w:rsidRPr="00EE2E1F">
        <w:rPr>
          <w:i/>
        </w:rPr>
        <w:t>Order</w:t>
      </w:r>
      <w:r w:rsidRPr="00EE2E1F">
        <w:t xml:space="preserve">, 21 FCC Rcd. 14134 ¶¶ 9, 12 (WTB 2006) (three-year extension of deployment deadline granted where licensees where confronted with “factors beyond their control” and the public interest would not have been advanced by strict compliance with construction deadlines); Applications Filed by Licensees in the Local Multipoint Distribution Service, </w:t>
      </w:r>
      <w:r w:rsidRPr="00EE2E1F">
        <w:rPr>
          <w:i/>
        </w:rPr>
        <w:t>Memorandum Opinion and Order</w:t>
      </w:r>
      <w:r w:rsidRPr="00EE2E1F">
        <w:t>, 23 FCC Rcd 5894 ¶ 25 (WTB 2008) (finding that public interest was served by extending 10-year construction requirement because licensees “faced factors beyond their control”).</w:t>
      </w:r>
    </w:p>
  </w:footnote>
  <w:footnote w:id="382">
    <w:p w14:paraId="348C7F0E" w14:textId="77777777" w:rsidR="00EE2E1F" w:rsidRPr="00EE2E1F" w:rsidRDefault="00EE2E1F" w:rsidP="00B7034F">
      <w:pPr>
        <w:pStyle w:val="FootnoteText"/>
      </w:pPr>
      <w:r w:rsidRPr="00EE2E1F">
        <w:rPr>
          <w:rStyle w:val="FootnoteReference"/>
        </w:rPr>
        <w:footnoteRef/>
      </w:r>
      <w:r w:rsidRPr="00EE2E1F">
        <w:t xml:space="preserve"> BRETSA Comments at 25 (“The Commission should grant waivers of its deadlines for provision of indoor location information upon a showing by the provider that it was unable to meet a deadline due to circumstances beyond its control, such as the inability of location information providers to install their systems in all markets required within the time allotted.”).</w:t>
      </w:r>
    </w:p>
  </w:footnote>
  <w:footnote w:id="383">
    <w:p w14:paraId="0CF2FC4E" w14:textId="77777777" w:rsidR="00EE2E1F" w:rsidRPr="00EE2E1F" w:rsidRDefault="00EE2E1F" w:rsidP="00B7034F">
      <w:pPr>
        <w:pStyle w:val="FootnoteText"/>
      </w:pPr>
      <w:r w:rsidRPr="00EE2E1F">
        <w:rPr>
          <w:rStyle w:val="FootnoteReference"/>
        </w:rPr>
        <w:footnoteRef/>
      </w:r>
      <w:r w:rsidRPr="00EE2E1F">
        <w:t xml:space="preserve"> RWA Comments at 7.  </w:t>
      </w:r>
    </w:p>
  </w:footnote>
  <w:footnote w:id="384">
    <w:p w14:paraId="60C5E2FF" w14:textId="77777777" w:rsidR="00EE2E1F" w:rsidRPr="00EE2E1F" w:rsidRDefault="00EE2E1F" w:rsidP="00B7034F">
      <w:pPr>
        <w:pStyle w:val="FootnoteText"/>
      </w:pPr>
      <w:r w:rsidRPr="00EE2E1F">
        <w:rPr>
          <w:rStyle w:val="FootnoteReference"/>
        </w:rPr>
        <w:footnoteRef/>
      </w:r>
      <w:r w:rsidRPr="00EE2E1F">
        <w:t xml:space="preserve"> NTCA Comments at 5 and Reply Comments at 7. </w:t>
      </w:r>
    </w:p>
  </w:footnote>
  <w:footnote w:id="385">
    <w:p w14:paraId="22A2465A" w14:textId="77777777" w:rsidR="00EE2E1F" w:rsidRPr="00EE2E1F" w:rsidRDefault="00EE2E1F" w:rsidP="00B7034F">
      <w:pPr>
        <w:pStyle w:val="FootnoteText"/>
      </w:pPr>
      <w:r w:rsidRPr="00EE2E1F">
        <w:rPr>
          <w:rStyle w:val="FootnoteReference"/>
        </w:rPr>
        <w:footnoteRef/>
      </w:r>
      <w:r w:rsidRPr="00EE2E1F">
        <w:t xml:space="preserve"> CTIA Comments at 20.</w:t>
      </w:r>
    </w:p>
  </w:footnote>
  <w:footnote w:id="386">
    <w:p w14:paraId="4671ABE2" w14:textId="548765CD" w:rsidR="00EE2E1F" w:rsidRPr="00EE2E1F" w:rsidRDefault="00EE2E1F" w:rsidP="00B7034F">
      <w:pPr>
        <w:pStyle w:val="FootnoteText"/>
      </w:pPr>
      <w:r w:rsidRPr="00EE2E1F">
        <w:rPr>
          <w:rStyle w:val="FootnoteReference"/>
        </w:rPr>
        <w:footnoteRef/>
      </w:r>
      <w:r w:rsidRPr="00EE2E1F">
        <w:t xml:space="preserve"> </w:t>
      </w:r>
      <w:r w:rsidRPr="00EE2E1F">
        <w:rPr>
          <w:i/>
        </w:rPr>
        <w:t>Id</w:t>
      </w:r>
      <w:r w:rsidRPr="00EE2E1F">
        <w:t>.</w:t>
      </w:r>
    </w:p>
  </w:footnote>
  <w:footnote w:id="387">
    <w:p w14:paraId="11DBD7FE" w14:textId="77777777" w:rsidR="00EE2E1F" w:rsidRPr="00EE2E1F" w:rsidRDefault="00EE2E1F" w:rsidP="001267A0">
      <w:pPr>
        <w:pStyle w:val="FootnoteText"/>
      </w:pPr>
      <w:r w:rsidRPr="00EE2E1F">
        <w:rPr>
          <w:rStyle w:val="FootnoteReference"/>
        </w:rPr>
        <w:footnoteRef/>
      </w:r>
      <w:r w:rsidRPr="00EE2E1F">
        <w:t xml:space="preserve"> Section 1 of the Communications Act of 1934 (as amended) (the “Act”), 47 U.S.C § 151.</w:t>
      </w:r>
    </w:p>
  </w:footnote>
  <w:footnote w:id="388">
    <w:p w14:paraId="39F9EB6A" w14:textId="77777777" w:rsidR="00EE2E1F" w:rsidRPr="00EE2E1F" w:rsidRDefault="00EE2E1F" w:rsidP="001267A0">
      <w:pPr>
        <w:pStyle w:val="FootnoteText"/>
      </w:pPr>
      <w:r w:rsidRPr="00EE2E1F">
        <w:rPr>
          <w:rStyle w:val="FootnoteReference"/>
        </w:rPr>
        <w:footnoteRef/>
      </w:r>
      <w:r w:rsidRPr="00EE2E1F">
        <w:t xml:space="preserve"> </w:t>
      </w:r>
      <w:r w:rsidRPr="00EE2E1F">
        <w:rPr>
          <w:i/>
        </w:rPr>
        <w:t xml:space="preserve">Third Further Notice, </w:t>
      </w:r>
      <w:r w:rsidRPr="00EE2E1F">
        <w:t>29 FCC Rcd at 2387 ¶ 30.</w:t>
      </w:r>
    </w:p>
  </w:footnote>
  <w:footnote w:id="389">
    <w:p w14:paraId="43C90791" w14:textId="77777777" w:rsidR="00EE2E1F" w:rsidRPr="00EE2E1F" w:rsidRDefault="00EE2E1F" w:rsidP="001267A0">
      <w:pPr>
        <w:pStyle w:val="FootnoteText"/>
      </w:pPr>
      <w:r w:rsidRPr="00EE2E1F">
        <w:rPr>
          <w:rStyle w:val="FootnoteReference"/>
        </w:rPr>
        <w:footnoteRef/>
      </w:r>
      <w:r w:rsidRPr="00EE2E1F">
        <w:t xml:space="preserve"> </w:t>
      </w:r>
      <w:r w:rsidRPr="00EE2E1F">
        <w:rPr>
          <w:i/>
        </w:rPr>
        <w:t>Third Further Notice</w:t>
      </w:r>
      <w:r w:rsidRPr="00EE2E1F">
        <w:t>,</w:t>
      </w:r>
      <w:r w:rsidRPr="00EE2E1F">
        <w:rPr>
          <w:i/>
        </w:rPr>
        <w:t xml:space="preserve"> </w:t>
      </w:r>
      <w:r w:rsidRPr="00EE2E1F">
        <w:t>29 FCC Rcd</w:t>
      </w:r>
      <w:r w:rsidRPr="00EE2E1F">
        <w:rPr>
          <w:i/>
        </w:rPr>
        <w:t xml:space="preserve"> </w:t>
      </w:r>
      <w:r w:rsidRPr="00EE2E1F">
        <w:t>at 2388 ¶ 33.</w:t>
      </w:r>
    </w:p>
  </w:footnote>
  <w:footnote w:id="390">
    <w:p w14:paraId="12341926" w14:textId="6942B80E" w:rsidR="00EE2E1F" w:rsidRPr="00EE2E1F" w:rsidRDefault="00EE2E1F" w:rsidP="001267A0">
      <w:pPr>
        <w:pStyle w:val="FootnoteText"/>
      </w:pPr>
      <w:r w:rsidRPr="00EE2E1F">
        <w:rPr>
          <w:rStyle w:val="FootnoteReference"/>
        </w:rPr>
        <w:footnoteRef/>
      </w:r>
      <w:r w:rsidRPr="00EE2E1F">
        <w:t xml:space="preserve"> </w:t>
      </w:r>
      <w:r w:rsidRPr="00EE2E1F">
        <w:rPr>
          <w:i/>
        </w:rPr>
        <w:t>Id.</w:t>
      </w:r>
      <w:r w:rsidRPr="00EE2E1F">
        <w:t>at 2389 ¶ 34.</w:t>
      </w:r>
    </w:p>
  </w:footnote>
  <w:footnote w:id="391">
    <w:p w14:paraId="73B5879D" w14:textId="303D4EF0" w:rsidR="00EE2E1F" w:rsidRPr="00EE2E1F" w:rsidRDefault="00EE2E1F" w:rsidP="001267A0">
      <w:pPr>
        <w:pStyle w:val="FootnoteText"/>
      </w:pPr>
      <w:r w:rsidRPr="00EE2E1F">
        <w:rPr>
          <w:rStyle w:val="FootnoteReference"/>
        </w:rPr>
        <w:footnoteRef/>
      </w:r>
      <w:r w:rsidRPr="00EE2E1F">
        <w:t xml:space="preserve"> </w:t>
      </w:r>
      <w:r w:rsidRPr="00EE2E1F">
        <w:rPr>
          <w:i/>
        </w:rPr>
        <w:t>Id.</w:t>
      </w:r>
      <w:r w:rsidRPr="00EE2E1F">
        <w:t>at 2388 ¶ 33.</w:t>
      </w:r>
    </w:p>
  </w:footnote>
  <w:footnote w:id="392">
    <w:p w14:paraId="162096D0" w14:textId="512F4DDF" w:rsidR="00EE2E1F" w:rsidRPr="00EE2E1F" w:rsidRDefault="00EE2E1F" w:rsidP="001267A0">
      <w:pPr>
        <w:pStyle w:val="FootnoteText"/>
      </w:pPr>
      <w:r w:rsidRPr="00EE2E1F">
        <w:rPr>
          <w:rStyle w:val="FootnoteReference"/>
        </w:rPr>
        <w:footnoteRef/>
      </w:r>
      <w:r w:rsidRPr="00EE2E1F">
        <w:t xml:space="preserve"> </w:t>
      </w:r>
      <w:r w:rsidRPr="00EE2E1F">
        <w:rPr>
          <w:i/>
        </w:rPr>
        <w:t>Id.</w:t>
      </w:r>
    </w:p>
  </w:footnote>
  <w:footnote w:id="393">
    <w:p w14:paraId="7B4657F1" w14:textId="0C0B3335" w:rsidR="00EE2E1F" w:rsidRPr="00EE2E1F" w:rsidRDefault="00EE2E1F" w:rsidP="001267A0">
      <w:pPr>
        <w:pStyle w:val="FootnoteText"/>
      </w:pPr>
      <w:r w:rsidRPr="00EE2E1F">
        <w:rPr>
          <w:rStyle w:val="FootnoteReference"/>
        </w:rPr>
        <w:footnoteRef/>
      </w:r>
      <w:r w:rsidRPr="00EE2E1F">
        <w:t xml:space="preserve"> </w:t>
      </w:r>
      <w:r w:rsidRPr="00EE2E1F">
        <w:rPr>
          <w:i/>
        </w:rPr>
        <w:t>Id.</w:t>
      </w:r>
    </w:p>
  </w:footnote>
  <w:footnote w:id="394">
    <w:p w14:paraId="54A8A319" w14:textId="69633326" w:rsidR="00EE2E1F" w:rsidRPr="00EE2E1F" w:rsidRDefault="00EE2E1F" w:rsidP="001267A0">
      <w:pPr>
        <w:pStyle w:val="FootnoteText"/>
      </w:pPr>
      <w:r w:rsidRPr="00EE2E1F">
        <w:rPr>
          <w:rStyle w:val="FootnoteReference"/>
        </w:rPr>
        <w:footnoteRef/>
      </w:r>
      <w:r w:rsidRPr="00EE2E1F">
        <w:t xml:space="preserve"> </w:t>
      </w:r>
      <w:r w:rsidRPr="00EE2E1F">
        <w:rPr>
          <w:i/>
        </w:rPr>
        <w:t>Id.</w:t>
      </w:r>
    </w:p>
  </w:footnote>
  <w:footnote w:id="395">
    <w:p w14:paraId="6485DB4F" w14:textId="3370EE8D" w:rsidR="00EE2E1F" w:rsidRPr="00EE2E1F" w:rsidRDefault="00EE2E1F" w:rsidP="001267A0">
      <w:pPr>
        <w:pStyle w:val="FootnoteText"/>
      </w:pPr>
      <w:r w:rsidRPr="00EE2E1F">
        <w:rPr>
          <w:rStyle w:val="FootnoteReference"/>
        </w:rPr>
        <w:footnoteRef/>
      </w:r>
      <w:r w:rsidRPr="00EE2E1F">
        <w:t xml:space="preserve"> </w:t>
      </w:r>
      <w:r w:rsidRPr="00EE2E1F">
        <w:rPr>
          <w:i/>
        </w:rPr>
        <w:t>Id.</w:t>
      </w:r>
    </w:p>
  </w:footnote>
  <w:footnote w:id="396">
    <w:p w14:paraId="7E3B4EBF" w14:textId="77777777" w:rsidR="00EE2E1F" w:rsidRPr="00EE2E1F" w:rsidRDefault="00EE2E1F" w:rsidP="001267A0">
      <w:pPr>
        <w:pStyle w:val="FootnoteText"/>
      </w:pPr>
      <w:r w:rsidRPr="00EE2E1F">
        <w:rPr>
          <w:rStyle w:val="FootnoteReference"/>
        </w:rPr>
        <w:footnoteRef/>
      </w:r>
      <w:r w:rsidRPr="00EE2E1F">
        <w:t xml:space="preserve"> </w:t>
      </w:r>
      <w:r w:rsidRPr="00EE2E1F">
        <w:rPr>
          <w:i/>
        </w:rPr>
        <w:t>See</w:t>
      </w:r>
      <w:r w:rsidRPr="00EE2E1F">
        <w:t xml:space="preserve">, </w:t>
      </w:r>
      <w:r w:rsidRPr="00EE2E1F">
        <w:rPr>
          <w:i/>
        </w:rPr>
        <w:t>e.g</w:t>
      </w:r>
      <w:r w:rsidRPr="00EE2E1F">
        <w:t>., BRETSA Comments at 15; CALNENA Comments at 3; DEMSF Comments at 1-2; FindMe911 Comments at 3-7; NENA Comments at 13; Letter from Terry Hall, President, APCO International, to Marlene H. Dortch, Secretary, FCC, WT Docket No. 11-49, at 2 (filed May 6, 2013) (“APCO has consistently supported regulatory and technical initiatives targeted at achieving even incremental steps toward ensuring accurate, actionable location information is available for every 911 call.”); Letter from Adam D. Kennard, Executive Director, National Sheriffs’ Association, to Julius Genachowski, Chairman, FCC, WT Docket No. 11-49 (filed Apr. 3, 2013), at 1 (“Even a modest improvement in capabilities above the current 100-300 meter standards would represent a significant benefit to public safety.”); Letter from Telford E. Forgety, III, Director of Government Affairs &amp; Regulatory Counsel, NENA: The 9-1-1 Association, to Julius Knapp, Chief Engineer, Office of Technology, FCC, WT Docket No. 11-49 (filed Mar. 22, 2013), at 2 (“Any significant improvement over the current regime of impossibly-large out-door search rings and indeterminate indoor search rings must be encouraged, whether or not it can reach our ultimate ideal right away.”).</w:t>
      </w:r>
    </w:p>
  </w:footnote>
  <w:footnote w:id="397">
    <w:p w14:paraId="4448E88D" w14:textId="77777777" w:rsidR="00EE2E1F" w:rsidRPr="00EE2E1F" w:rsidRDefault="00EE2E1F" w:rsidP="001267A0">
      <w:pPr>
        <w:pStyle w:val="FootnoteText"/>
      </w:pPr>
      <w:r w:rsidRPr="00EE2E1F">
        <w:rPr>
          <w:rStyle w:val="FootnoteReference"/>
        </w:rPr>
        <w:footnoteRef/>
      </w:r>
      <w:r w:rsidRPr="00EE2E1F">
        <w:t xml:space="preserve"> AARP Comments at 5-6 (“[s]tudies have identified the following favorable outcomes arising from more rapid response time: improved cardiac outcomes; improved stroke treatment and outcomes; fewer complications from multiple fracture injuries; as well as generally improved treatment outcomes.”); Salvucci Comments at 3 (“In order to achieve the short time intervals necessary to save lives, immediate and accurate location determination is essential.”); APCO Comments, PS Docket No. 07-114 (filed Sept. 25, 2013), at 3 (APCO Workshop Comments) (noting that in “the absence of accurate location data associated with a wireless call, the caller must be questioned in detail to provide verbal information regarding their location.  This process can be time consuming and callers are sometimes unable to speak or provide correct information.”); IAFC Workshop Comments at 1 (deployment of advanced location technologies is critical to … public safety response capabilities, and to the personal safety of all first responders”).</w:t>
      </w:r>
    </w:p>
  </w:footnote>
  <w:footnote w:id="398">
    <w:p w14:paraId="3C0E4A1B" w14:textId="60237871" w:rsidR="00EE2E1F" w:rsidRPr="00EE2E1F" w:rsidRDefault="00EE2E1F" w:rsidP="001267A0">
      <w:pPr>
        <w:pStyle w:val="FootnoteText"/>
      </w:pPr>
      <w:r w:rsidRPr="00EE2E1F">
        <w:rPr>
          <w:rStyle w:val="FootnoteReference"/>
        </w:rPr>
        <w:footnoteRef/>
      </w:r>
      <w:r w:rsidRPr="00EE2E1F">
        <w:t xml:space="preserve"> The test included buildings that were previously used by CSRIC for the indoor location test bed.  The results showed that a 90 percent reduction in first responder search area led to a dramatic reduction in latency, between 4 and 17 minutes. </w:t>
      </w:r>
      <w:r w:rsidRPr="00EE2E1F">
        <w:rPr>
          <w:i/>
        </w:rPr>
        <w:t xml:space="preserve"> See </w:t>
      </w:r>
      <w:r w:rsidRPr="00EE2E1F">
        <w:t xml:space="preserve">NextNav Reply Comments at 54, </w:t>
      </w:r>
      <w:r w:rsidRPr="00EE2E1F">
        <w:rPr>
          <w:i/>
        </w:rPr>
        <w:t>citing</w:t>
      </w:r>
      <w:r w:rsidRPr="00EE2E1F">
        <w:t xml:space="preserve"> Letter from William Storti, Battalion Chief, San Francisco Fire Department; Robert Smuts, Deputy Director, Division of Emergency Communications; Tom O’Connor, President, San Francisco Fire Fighters, to Marlene H. Dortch, Secretary, Federal Communication Commission (dated July 14, 2014), at 2. </w:t>
      </w:r>
    </w:p>
  </w:footnote>
  <w:footnote w:id="399">
    <w:p w14:paraId="0B3DC255" w14:textId="77777777" w:rsidR="00EE2E1F" w:rsidRPr="00EE2E1F" w:rsidRDefault="00EE2E1F" w:rsidP="001267A0">
      <w:pPr>
        <w:pStyle w:val="FootnoteText"/>
      </w:pPr>
      <w:r w:rsidRPr="00EE2E1F">
        <w:rPr>
          <w:rStyle w:val="FootnoteReference"/>
        </w:rPr>
        <w:footnoteRef/>
      </w:r>
      <w:r w:rsidRPr="00EE2E1F">
        <w:t xml:space="preserve"> </w:t>
      </w:r>
      <w:r w:rsidRPr="00EE2E1F">
        <w:rPr>
          <w:i/>
        </w:rPr>
        <w:t xml:space="preserve">See </w:t>
      </w:r>
      <w:r w:rsidRPr="00EE2E1F">
        <w:t xml:space="preserve">NASEMSO Reply Comments at 2-3 (“for every minute without life-saving CPR and defibrillation, chance of survival decrease 7%-10%”); NASNA Comments at 2-3 ( “A faster response time generally results in lives saved, but there is a broader societal issue here. Resources saved in terms of faster response time helps to contribute to the overall quality of life of a given area. We locate in communities because of schools and low cost of living; why not faster response times?”); IAFC Reply Comments at 2; American Heart Association Comments at 1.  </w:t>
      </w:r>
      <w:r w:rsidRPr="00EE2E1F">
        <w:rPr>
          <w:i/>
        </w:rPr>
        <w:t>See</w:t>
      </w:r>
      <w:r w:rsidRPr="00EE2E1F">
        <w:t xml:space="preserve"> Salvucci Comments at 5 (citing a Blanchard study on EMS response times and mortality in urban areas (where indoor wireless location accuracy is least accurate) that concluded that “patients suffered a 35 [percent] greater mortality rate when the response was greater than 4 minutes compared to less than 4 minutes.”);</w:t>
      </w:r>
      <w:r w:rsidRPr="00EE2E1F">
        <w:rPr>
          <w:i/>
        </w:rPr>
        <w:t xml:space="preserve"> see also </w:t>
      </w:r>
      <w:r w:rsidRPr="00EE2E1F">
        <w:t xml:space="preserve">ARA Comments at 1 (citing better health outcomes particularly for older Americans, a group that uses the healthcare system more than any other); Salvucci Comments at 2 (citing better health outcomes for patients suffering from Sudden Cardiac Arrest (SCA)); NextNav Comments at 36; FindMe911 Comments at 8.Improved survival rates and health outcomes also lead to lower healthcare costs.  </w:t>
      </w:r>
      <w:r w:rsidRPr="00EE2E1F">
        <w:rPr>
          <w:i/>
        </w:rPr>
        <w:t xml:space="preserve">See </w:t>
      </w:r>
      <w:r w:rsidRPr="00EE2E1F">
        <w:t>Americans Heart Association Comments at 2 (stating that “[f]aster treatment for a patient suffering a STEMI, for example, reduced the average hospital stay by two days and average hospital costs declined by nearly $10,000 per patient from $26,826 to $18,280.”).</w:t>
      </w:r>
    </w:p>
  </w:footnote>
  <w:footnote w:id="400">
    <w:p w14:paraId="5B54E628" w14:textId="77777777" w:rsidR="00EE2E1F" w:rsidRPr="00EE2E1F" w:rsidRDefault="00EE2E1F" w:rsidP="001267A0">
      <w:pPr>
        <w:pStyle w:val="FootnoteText"/>
      </w:pPr>
      <w:r w:rsidRPr="00EE2E1F">
        <w:rPr>
          <w:rStyle w:val="FootnoteReference"/>
        </w:rPr>
        <w:footnoteRef/>
      </w:r>
      <w:r w:rsidRPr="00EE2E1F">
        <w:t xml:space="preserve"> </w:t>
      </w:r>
      <w:r w:rsidRPr="00EE2E1F">
        <w:rPr>
          <w:i/>
        </w:rPr>
        <w:t>See</w:t>
      </w:r>
      <w:r w:rsidRPr="00EE2E1F">
        <w:t xml:space="preserve">, </w:t>
      </w:r>
      <w:r w:rsidRPr="00EE2E1F">
        <w:rPr>
          <w:i/>
        </w:rPr>
        <w:t>e.g.</w:t>
      </w:r>
      <w:r w:rsidRPr="00EE2E1F">
        <w:t>, DEMSF Comments at 1-2; ARA Comments at 2; Alzheimer’s Association Comments at 1; FindMe911 Reply Comments at 10; AARP Comments at 7</w:t>
      </w:r>
      <w:r w:rsidRPr="00EE2E1F">
        <w:rPr>
          <w:i/>
          <w:snapToGrid w:val="0"/>
          <w:kern w:val="28"/>
        </w:rPr>
        <w:t xml:space="preserve">; </w:t>
      </w:r>
      <w:r w:rsidRPr="00EE2E1F">
        <w:t>FindMe911 Survey at 1 (sharing that their survey of 911 professionals shows  that the most common instances of callers who are unable to tell the 911 dispatcher their location were either suffering from age-related confusion or a medical emergency, was deaf or hard-of hearing, did not speak English, or was too young to know their address).</w:t>
      </w:r>
    </w:p>
  </w:footnote>
  <w:footnote w:id="401">
    <w:p w14:paraId="630E7DF9" w14:textId="77777777" w:rsidR="00EE2E1F" w:rsidRPr="00EE2E1F" w:rsidRDefault="00EE2E1F" w:rsidP="001267A0">
      <w:pPr>
        <w:pStyle w:val="FootnoteText"/>
      </w:pPr>
      <w:r w:rsidRPr="00EE2E1F">
        <w:rPr>
          <w:rStyle w:val="FootnoteReference"/>
        </w:rPr>
        <w:footnoteRef/>
      </w:r>
      <w:r w:rsidRPr="00EE2E1F">
        <w:t xml:space="preserve"> AT&amp;T Comments at 21-22.</w:t>
      </w:r>
    </w:p>
  </w:footnote>
  <w:footnote w:id="402">
    <w:p w14:paraId="3E039372" w14:textId="77777777" w:rsidR="00EE2E1F" w:rsidRPr="00EE2E1F" w:rsidRDefault="00EE2E1F" w:rsidP="001267A0">
      <w:pPr>
        <w:pStyle w:val="FootnoteText"/>
      </w:pPr>
      <w:r w:rsidRPr="00EE2E1F">
        <w:rPr>
          <w:rStyle w:val="FootnoteReference"/>
        </w:rPr>
        <w:footnoteRef/>
      </w:r>
      <w:r w:rsidRPr="00EE2E1F">
        <w:t xml:space="preserve"> 47 U.S.C. § 151.</w:t>
      </w:r>
    </w:p>
  </w:footnote>
  <w:footnote w:id="403">
    <w:p w14:paraId="68A32353" w14:textId="1CDAD8C4" w:rsidR="00EE2E1F" w:rsidRPr="00EE2E1F" w:rsidRDefault="00EE2E1F" w:rsidP="001267A0">
      <w:pPr>
        <w:pStyle w:val="FootnoteText"/>
      </w:pPr>
      <w:r w:rsidRPr="00EE2E1F">
        <w:rPr>
          <w:rStyle w:val="FootnoteReference"/>
        </w:rPr>
        <w:footnoteRef/>
      </w:r>
      <w:r w:rsidRPr="00EE2E1F">
        <w:t xml:space="preserve"> The United States Department of Transportation defines value of a statistical life (VSL) as “the additional cost that individuals would be willing to bear for improvements in safety (that is, reductions in risks) that, in the aggregate, reduce the expected number of fatalities by one.”  DoT presently estimates the VSL at $9.1 million.  </w:t>
      </w:r>
      <w:r w:rsidRPr="00EE2E1F">
        <w:rPr>
          <w:i/>
        </w:rPr>
        <w:t>See</w:t>
      </w:r>
      <w:r w:rsidRPr="00EE2E1F">
        <w:t xml:space="preserve"> Memorandum from Polly Trottenberg, Assistant Secretary for Transportation Policy, and Robert S. Rivkin, General Counsel, to Secretarial Officers and Modal Administrators, U.S. Department of Transportation, “Treatment of the Economic Value of a Statistical Life in Departmental Analysis” (Feb. 28, 2013), </w:t>
      </w:r>
      <w:r w:rsidRPr="00EE2E1F">
        <w:rPr>
          <w:i/>
        </w:rPr>
        <w:t>available at</w:t>
      </w:r>
      <w:r w:rsidRPr="00EE2E1F">
        <w:t xml:space="preserve"> </w:t>
      </w:r>
      <w:hyperlink r:id="rId50" w:history="1">
        <w:r w:rsidRPr="00EE2E1F">
          <w:rPr>
            <w:rStyle w:val="Hyperlink"/>
          </w:rPr>
          <w:t>http://www.dot.gov/sites/dot.dev/files/docs/VSL%20Guidance_2013.pdf</w:t>
        </w:r>
      </w:hyperlink>
      <w:r w:rsidRPr="00EE2E1F">
        <w:t xml:space="preserve"> (last visited Jan. 21, 2015).</w:t>
      </w:r>
    </w:p>
  </w:footnote>
  <w:footnote w:id="404">
    <w:p w14:paraId="558F1C7D" w14:textId="77777777" w:rsidR="00EE2E1F" w:rsidRPr="00EE2E1F" w:rsidRDefault="00EE2E1F" w:rsidP="001267A0">
      <w:pPr>
        <w:pStyle w:val="FootnoteText"/>
      </w:pPr>
      <w:r w:rsidRPr="00EE2E1F">
        <w:rPr>
          <w:rStyle w:val="FootnoteReference"/>
        </w:rPr>
        <w:footnoteRef/>
      </w:r>
      <w:r w:rsidRPr="00EE2E1F">
        <w:t xml:space="preserve"> AT&amp;T Comments at 21.</w:t>
      </w:r>
    </w:p>
  </w:footnote>
  <w:footnote w:id="405">
    <w:p w14:paraId="6E44D27B" w14:textId="77777777" w:rsidR="00EE2E1F" w:rsidRPr="00EE2E1F" w:rsidRDefault="00EE2E1F" w:rsidP="001267A0">
      <w:pPr>
        <w:pStyle w:val="FootnoteText"/>
      </w:pPr>
      <w:r w:rsidRPr="00EE2E1F">
        <w:rPr>
          <w:rStyle w:val="FootnoteReference"/>
        </w:rPr>
        <w:footnoteRef/>
      </w:r>
      <w:r w:rsidRPr="00EE2E1F">
        <w:t xml:space="preserve"> </w:t>
      </w:r>
      <w:r w:rsidRPr="00EE2E1F">
        <w:rPr>
          <w:i/>
        </w:rPr>
        <w:t>See, e.g</w:t>
      </w:r>
      <w:r w:rsidRPr="00EE2E1F">
        <w:t>., Salvucci Comments at 2, 5.</w:t>
      </w:r>
    </w:p>
  </w:footnote>
  <w:footnote w:id="406">
    <w:p w14:paraId="614BA82D" w14:textId="02B10F25" w:rsidR="00EE2E1F" w:rsidRPr="00EE2E1F" w:rsidRDefault="00EE2E1F" w:rsidP="001267A0">
      <w:pPr>
        <w:pStyle w:val="FootnoteText"/>
      </w:pPr>
      <w:r w:rsidRPr="00EE2E1F">
        <w:rPr>
          <w:rStyle w:val="FootnoteReference"/>
        </w:rPr>
        <w:footnoteRef/>
      </w:r>
      <w:r w:rsidRPr="00EE2E1F">
        <w:t xml:space="preserve"> Sudden Cardiac Arrest Foundation, “Sudden Cardiac Arrest: A Healthcare Crisis,” </w:t>
      </w:r>
      <w:r w:rsidRPr="00EE2E1F">
        <w:rPr>
          <w:i/>
        </w:rPr>
        <w:t>available at</w:t>
      </w:r>
      <w:r w:rsidRPr="00EE2E1F">
        <w:t xml:space="preserve"> </w:t>
      </w:r>
      <w:hyperlink r:id="rId51" w:history="1">
        <w:r w:rsidRPr="00EE2E1F">
          <w:rPr>
            <w:rStyle w:val="Hyperlink"/>
          </w:rPr>
          <w:t>http://www.sca-aware.org/about-sca</w:t>
        </w:r>
      </w:hyperlink>
      <w:r w:rsidRPr="00EE2E1F">
        <w:t xml:space="preserve"> (last visited Jan. 22, 2015) (About Sudden Cardiac Arrest Article).  </w:t>
      </w:r>
    </w:p>
  </w:footnote>
  <w:footnote w:id="407">
    <w:p w14:paraId="2E7FAAFA" w14:textId="77777777" w:rsidR="00EE2E1F" w:rsidRPr="00EE2E1F" w:rsidRDefault="00EE2E1F" w:rsidP="001267A0">
      <w:pPr>
        <w:pStyle w:val="FootnoteText"/>
      </w:pPr>
      <w:r w:rsidRPr="00EE2E1F">
        <w:rPr>
          <w:rStyle w:val="FootnoteReference"/>
        </w:rPr>
        <w:footnoteRef/>
      </w:r>
      <w:r w:rsidRPr="00EE2E1F">
        <w:t xml:space="preserve"> About Sudden Cardiac Arrest Article. </w:t>
      </w:r>
    </w:p>
  </w:footnote>
  <w:footnote w:id="408">
    <w:p w14:paraId="72CF107C" w14:textId="77777777" w:rsidR="00EE2E1F" w:rsidRPr="00EE2E1F" w:rsidRDefault="00EE2E1F" w:rsidP="001267A0">
      <w:pPr>
        <w:pStyle w:val="FootnoteText"/>
      </w:pPr>
      <w:r w:rsidRPr="00EE2E1F">
        <w:rPr>
          <w:rStyle w:val="FootnoteReference"/>
        </w:rPr>
        <w:footnoteRef/>
      </w:r>
      <w:r w:rsidRPr="00EE2E1F">
        <w:t xml:space="preserve"> The Sudden Cardiac Arrest Foundation estimates that there are 424,000 SCA incidents requiring immediate medical attention in the United States each year.  </w:t>
      </w:r>
      <w:r w:rsidRPr="00EE2E1F">
        <w:rPr>
          <w:i/>
        </w:rPr>
        <w:t>See</w:t>
      </w:r>
      <w:r w:rsidRPr="00EE2E1F">
        <w:t xml:space="preserve"> About Sudden Cardiac Arrest Article.  It also notes that the number of deaths resulting from SCA annually “is roughly equivalent to the number of people who die from Alzheimers’ disease, assault with firearms, breast cancer, cervical cancer, colorectal cancer, diabetes, HIV, house fires, motor vehicle accidents, prostate cancer and suicides </w:t>
      </w:r>
      <w:r w:rsidRPr="00EE2E1F">
        <w:rPr>
          <w:i/>
        </w:rPr>
        <w:t>combined</w:t>
      </w:r>
      <w:r w:rsidRPr="00EE2E1F">
        <w:t xml:space="preserve">. In fact, the incidence of sudden cardiac death is nearly 10 times higher than the incidence of death from breast cancer.”  </w:t>
      </w:r>
      <w:r w:rsidRPr="00EE2E1F">
        <w:rPr>
          <w:i/>
        </w:rPr>
        <w:t>Id</w:t>
      </w:r>
      <w:r w:rsidRPr="00EE2E1F">
        <w:t xml:space="preserve"> (emphasis in original). </w:t>
      </w:r>
    </w:p>
  </w:footnote>
  <w:footnote w:id="409">
    <w:p w14:paraId="0CB852D2" w14:textId="77777777" w:rsidR="00EE2E1F" w:rsidRPr="00EE2E1F" w:rsidRDefault="00EE2E1F" w:rsidP="001267A0">
      <w:pPr>
        <w:pStyle w:val="FootnoteText"/>
      </w:pPr>
      <w:r w:rsidRPr="00EE2E1F">
        <w:rPr>
          <w:rStyle w:val="FootnoteReference"/>
        </w:rPr>
        <w:footnoteRef/>
      </w:r>
      <w:r w:rsidRPr="00EE2E1F">
        <w:t xml:space="preserve"> AT&amp;T Comments at 21-22.</w:t>
      </w:r>
    </w:p>
  </w:footnote>
  <w:footnote w:id="410">
    <w:p w14:paraId="164DF9D0" w14:textId="77777777" w:rsidR="00EE2E1F" w:rsidRPr="00EE2E1F" w:rsidRDefault="00EE2E1F" w:rsidP="001267A0">
      <w:pPr>
        <w:pStyle w:val="FootnoteText"/>
      </w:pPr>
      <w:r w:rsidRPr="00EE2E1F">
        <w:rPr>
          <w:rStyle w:val="FootnoteReference"/>
        </w:rPr>
        <w:footnoteRef/>
      </w:r>
      <w:r w:rsidRPr="00EE2E1F">
        <w:t xml:space="preserve"> Additionally, we find AT&amp;T’s observation that the latency measured in the </w:t>
      </w:r>
      <w:r w:rsidRPr="00EE2E1F">
        <w:rPr>
          <w:i/>
        </w:rPr>
        <w:t xml:space="preserve">Salt Lake City Study </w:t>
      </w:r>
      <w:r w:rsidRPr="00EE2E1F">
        <w:t xml:space="preserve">was due to increased distance from dispatch, rather than improved location accuracy, is a distinction without a difference. </w:t>
      </w:r>
      <w:r w:rsidRPr="00EE2E1F">
        <w:rPr>
          <w:i/>
        </w:rPr>
        <w:t xml:space="preserve"> See </w:t>
      </w:r>
      <w:r w:rsidRPr="00EE2E1F">
        <w:t>AT&amp;T Comments at 22-23.  Time saved will have the same effect on risk of mortality regardless of when and how that time was saved.</w:t>
      </w:r>
    </w:p>
  </w:footnote>
  <w:footnote w:id="411">
    <w:p w14:paraId="48756AE4" w14:textId="77777777" w:rsidR="00EE2E1F" w:rsidRPr="00EE2E1F" w:rsidRDefault="00EE2E1F" w:rsidP="001267A0">
      <w:pPr>
        <w:pStyle w:val="FootnoteText"/>
      </w:pPr>
      <w:r w:rsidRPr="00EE2E1F">
        <w:rPr>
          <w:rStyle w:val="FootnoteReference"/>
        </w:rPr>
        <w:footnoteRef/>
      </w:r>
      <w:r w:rsidRPr="00EE2E1F">
        <w:t xml:space="preserve"> NextNav Reply Comments at 55 (footnote omitted).</w:t>
      </w:r>
    </w:p>
  </w:footnote>
  <w:footnote w:id="412">
    <w:p w14:paraId="5B928DDC" w14:textId="77777777" w:rsidR="00EE2E1F" w:rsidRPr="00EE2E1F" w:rsidRDefault="00EE2E1F" w:rsidP="001267A0">
      <w:pPr>
        <w:pStyle w:val="FootnoteText"/>
      </w:pPr>
      <w:r w:rsidRPr="00EE2E1F">
        <w:rPr>
          <w:rStyle w:val="FootnoteReference"/>
        </w:rPr>
        <w:footnoteRef/>
      </w:r>
      <w:r w:rsidRPr="00EE2E1F">
        <w:t xml:space="preserve"> AT&amp;T Comments at 26.</w:t>
      </w:r>
    </w:p>
  </w:footnote>
  <w:footnote w:id="413">
    <w:p w14:paraId="20591361" w14:textId="77777777" w:rsidR="00EE2E1F" w:rsidRPr="00EE2E1F" w:rsidRDefault="00EE2E1F" w:rsidP="001267A0">
      <w:pPr>
        <w:pStyle w:val="FootnoteText"/>
      </w:pPr>
      <w:r w:rsidRPr="00EE2E1F">
        <w:rPr>
          <w:rStyle w:val="FootnoteReference"/>
        </w:rPr>
        <w:footnoteRef/>
      </w:r>
      <w:r w:rsidRPr="00EE2E1F">
        <w:t xml:space="preserve"> AARP Comments at 4.</w:t>
      </w:r>
    </w:p>
  </w:footnote>
  <w:footnote w:id="414">
    <w:p w14:paraId="14493DA4" w14:textId="77777777" w:rsidR="00EE2E1F" w:rsidRPr="00EE2E1F" w:rsidRDefault="00EE2E1F" w:rsidP="001267A0">
      <w:pPr>
        <w:pStyle w:val="FootnoteText"/>
      </w:pPr>
      <w:r w:rsidRPr="00EE2E1F">
        <w:rPr>
          <w:rStyle w:val="FootnoteReference"/>
        </w:rPr>
        <w:footnoteRef/>
      </w:r>
      <w:r w:rsidRPr="00EE2E1F">
        <w:t xml:space="preserve"> </w:t>
      </w:r>
      <w:r w:rsidRPr="00EE2E1F">
        <w:rPr>
          <w:i/>
        </w:rPr>
        <w:t xml:space="preserve">Third Further </w:t>
      </w:r>
      <w:r w:rsidRPr="00EE2E1F">
        <w:t>Notice, 29 FCC Rcd</w:t>
      </w:r>
      <w:r w:rsidRPr="00EE2E1F">
        <w:rPr>
          <w:i/>
        </w:rPr>
        <w:t xml:space="preserve"> </w:t>
      </w:r>
      <w:r w:rsidRPr="00EE2E1F">
        <w:t xml:space="preserve">at 2388-89 ¶ 33; </w:t>
      </w:r>
      <w:r w:rsidRPr="00EE2E1F">
        <w:rPr>
          <w:i/>
        </w:rPr>
        <w:t>see</w:t>
      </w:r>
      <w:r w:rsidRPr="00EE2E1F">
        <w:t xml:space="preserve"> </w:t>
      </w:r>
      <w:r w:rsidRPr="00EE2E1F">
        <w:rPr>
          <w:i/>
        </w:rPr>
        <w:t xml:space="preserve">also </w:t>
      </w:r>
      <w:r w:rsidRPr="00EE2E1F">
        <w:t xml:space="preserve">Implementation of Section 6002(b) of the Omnibus Budget Reconciliation Act of 1993 Annual Report and Analysis of Competitive Market Conditions With Respect to Mobile Wireless, Including Commercial Mobile Services, WT Docket No. 11-186, </w:t>
      </w:r>
      <w:r w:rsidRPr="00EE2E1F">
        <w:rPr>
          <w:i/>
        </w:rPr>
        <w:t>Sixteenth Report</w:t>
      </w:r>
      <w:r w:rsidRPr="00EE2E1F">
        <w:t>, 28 FCC Rcd 3700, 3708 (2013) (reporting that the total number of mobile wireless connections . . .  grew 11 percent from 285.6 million at the end of 2009 to 316.0 million at the end of the fourth quarter of 2011).</w:t>
      </w:r>
    </w:p>
  </w:footnote>
  <w:footnote w:id="415">
    <w:p w14:paraId="58CE8868" w14:textId="1402E0A6" w:rsidR="00EE2E1F" w:rsidRPr="00EE2E1F" w:rsidRDefault="00EE2E1F" w:rsidP="001267A0">
      <w:pPr>
        <w:pStyle w:val="FootnoteText"/>
      </w:pPr>
      <w:r w:rsidRPr="00EE2E1F">
        <w:rPr>
          <w:rStyle w:val="FootnoteReference"/>
        </w:rPr>
        <w:footnoteRef/>
      </w:r>
      <w:r w:rsidRPr="00EE2E1F">
        <w:t xml:space="preserve"> AT&amp;T’s statement that a one-minute reduction in response time saves 23.7 days of life is potentially misleading, because the figure expresses expected life savings as an average among all 911 callers, including individuals not at risk of death, and those at risk of death who are not timely saved.  </w:t>
      </w:r>
      <w:r w:rsidRPr="00EE2E1F">
        <w:rPr>
          <w:i/>
        </w:rPr>
        <w:t xml:space="preserve">See </w:t>
      </w:r>
      <w:r w:rsidRPr="00EE2E1F">
        <w:t xml:space="preserve">AT&amp;T Comments at 26.  In fact, most individuals whose lives are saved because of improved emergency response times will live beyond what would otherwise have been their life expectancy than the </w:t>
      </w:r>
      <w:r w:rsidRPr="00EE2E1F">
        <w:rPr>
          <w:i/>
        </w:rPr>
        <w:t>Salt Lake City Study</w:t>
      </w:r>
      <w:r w:rsidRPr="00EE2E1F">
        <w:t>’s 23.7 day figure suggests.</w:t>
      </w:r>
    </w:p>
  </w:footnote>
  <w:footnote w:id="416">
    <w:p w14:paraId="0653D0BB" w14:textId="77777777" w:rsidR="00EE2E1F" w:rsidRPr="00EE2E1F" w:rsidRDefault="00EE2E1F" w:rsidP="001267A0">
      <w:pPr>
        <w:pStyle w:val="FootnoteText"/>
      </w:pPr>
      <w:r w:rsidRPr="00EE2E1F">
        <w:rPr>
          <w:rStyle w:val="FootnoteReference"/>
        </w:rPr>
        <w:footnoteRef/>
      </w:r>
      <w:r w:rsidRPr="00EE2E1F">
        <w:t xml:space="preserve"> </w:t>
      </w:r>
      <w:r w:rsidRPr="00EE2E1F">
        <w:rPr>
          <w:i/>
        </w:rPr>
        <w:t>Third Further Notice</w:t>
      </w:r>
      <w:r w:rsidRPr="00EE2E1F">
        <w:t>, 29 FCC Rcd</w:t>
      </w:r>
      <w:r w:rsidRPr="00EE2E1F">
        <w:rPr>
          <w:i/>
        </w:rPr>
        <w:t xml:space="preserve"> </w:t>
      </w:r>
      <w:r w:rsidRPr="00EE2E1F">
        <w:t>at 2390 ¶ 35.</w:t>
      </w:r>
    </w:p>
  </w:footnote>
  <w:footnote w:id="417">
    <w:p w14:paraId="587B4C55" w14:textId="0648E01D" w:rsidR="00EE2E1F" w:rsidRPr="00EE2E1F" w:rsidRDefault="00EE2E1F" w:rsidP="001267A0">
      <w:pPr>
        <w:pStyle w:val="FootnoteText"/>
      </w:pPr>
      <w:r w:rsidRPr="00EE2E1F">
        <w:rPr>
          <w:rStyle w:val="FootnoteReference"/>
        </w:rPr>
        <w:footnoteRef/>
      </w:r>
      <w:r w:rsidRPr="00EE2E1F">
        <w:t xml:space="preserve"> </w:t>
      </w:r>
      <w:r w:rsidRPr="00EE2E1F">
        <w:rPr>
          <w:i/>
        </w:rPr>
        <w:t>Id.</w:t>
      </w:r>
      <w:r w:rsidRPr="00EE2E1F">
        <w:t>at 2390 ¶ 36.</w:t>
      </w:r>
    </w:p>
  </w:footnote>
  <w:footnote w:id="418">
    <w:p w14:paraId="0D2C2DC7" w14:textId="7301B514" w:rsidR="00EE2E1F" w:rsidRPr="00EE2E1F" w:rsidRDefault="00EE2E1F" w:rsidP="001267A0">
      <w:pPr>
        <w:pStyle w:val="FootnoteText"/>
      </w:pPr>
      <w:r w:rsidRPr="00EE2E1F">
        <w:rPr>
          <w:rStyle w:val="FootnoteReference"/>
        </w:rPr>
        <w:footnoteRef/>
      </w:r>
      <w:r w:rsidRPr="00EE2E1F">
        <w:t xml:space="preserve"> </w:t>
      </w:r>
      <w:r w:rsidRPr="00EE2E1F">
        <w:rPr>
          <w:i/>
        </w:rPr>
        <w:t>Id.</w:t>
      </w:r>
      <w:r w:rsidRPr="00EE2E1F">
        <w:t>at 2390 ¶ 37.</w:t>
      </w:r>
    </w:p>
  </w:footnote>
  <w:footnote w:id="419">
    <w:p w14:paraId="72E4D70C" w14:textId="190DF360" w:rsidR="00EE2E1F" w:rsidRPr="00EE2E1F" w:rsidRDefault="00EE2E1F" w:rsidP="001267A0">
      <w:pPr>
        <w:pStyle w:val="FootnoteText"/>
      </w:pPr>
      <w:r w:rsidRPr="00EE2E1F">
        <w:rPr>
          <w:rStyle w:val="FootnoteReference"/>
        </w:rPr>
        <w:footnoteRef/>
      </w:r>
      <w:r w:rsidRPr="00EE2E1F">
        <w:t xml:space="preserve"> </w:t>
      </w:r>
      <w:r w:rsidRPr="00EE2E1F">
        <w:rPr>
          <w:i/>
        </w:rPr>
        <w:t>Id.</w:t>
      </w:r>
    </w:p>
  </w:footnote>
  <w:footnote w:id="420">
    <w:p w14:paraId="501AEA8F" w14:textId="77777777" w:rsidR="00EE2E1F" w:rsidRPr="00EE2E1F" w:rsidRDefault="00EE2E1F" w:rsidP="001267A0">
      <w:pPr>
        <w:pStyle w:val="FootnoteText"/>
      </w:pPr>
      <w:r w:rsidRPr="00EE2E1F">
        <w:rPr>
          <w:rStyle w:val="FootnoteReference"/>
        </w:rPr>
        <w:footnoteRef/>
      </w:r>
      <w:r w:rsidRPr="00EE2E1F">
        <w:t xml:space="preserve"> NextNav Comments at 26 (projecting that the average sales price of these devices will be between $0.25 and $0.35 by 2017 as a direct result of the commercial demand that already exists for such components); </w:t>
      </w:r>
      <w:r w:rsidRPr="00EE2E1F">
        <w:rPr>
          <w:i/>
        </w:rPr>
        <w:t xml:space="preserve">accord </w:t>
      </w:r>
      <w:r w:rsidRPr="00EE2E1F">
        <w:t>Bosch Comments at 2.</w:t>
      </w:r>
    </w:p>
  </w:footnote>
  <w:footnote w:id="421">
    <w:p w14:paraId="33A54BE3" w14:textId="77777777" w:rsidR="00EE2E1F" w:rsidRPr="00EE2E1F" w:rsidRDefault="00EE2E1F" w:rsidP="001267A0">
      <w:pPr>
        <w:pStyle w:val="FootnoteText"/>
      </w:pPr>
      <w:r w:rsidRPr="00EE2E1F">
        <w:rPr>
          <w:rStyle w:val="FootnoteReference"/>
        </w:rPr>
        <w:footnoteRef/>
      </w:r>
      <w:r w:rsidRPr="00EE2E1F">
        <w:t xml:space="preserve"> iPosi Comments at 12 (stating that roof-top antennae installations cost $1,500 - $3,000, plus additional site lease charges).  </w:t>
      </w:r>
      <w:r w:rsidRPr="00EE2E1F">
        <w:rPr>
          <w:i/>
        </w:rPr>
        <w:t xml:space="preserve">See also </w:t>
      </w:r>
      <w:r w:rsidRPr="00EE2E1F">
        <w:t>NextNav Comments at 27</w:t>
      </w:r>
      <w:r w:rsidRPr="00EE2E1F">
        <w:rPr>
          <w:i/>
        </w:rPr>
        <w:t>.</w:t>
      </w:r>
    </w:p>
  </w:footnote>
  <w:footnote w:id="422">
    <w:p w14:paraId="675D186E" w14:textId="77777777" w:rsidR="00EE2E1F" w:rsidRPr="00EE2E1F" w:rsidRDefault="00EE2E1F" w:rsidP="001267A0">
      <w:pPr>
        <w:pStyle w:val="FootnoteText"/>
      </w:pPr>
      <w:r w:rsidRPr="00EE2E1F">
        <w:rPr>
          <w:rStyle w:val="FootnoteReference"/>
        </w:rPr>
        <w:footnoteRef/>
      </w:r>
      <w:r w:rsidRPr="00EE2E1F">
        <w:t xml:space="preserve"> NextNav Comments at 25, 27-28.  </w:t>
      </w:r>
      <w:r w:rsidRPr="00EE2E1F">
        <w:rPr>
          <w:i/>
        </w:rPr>
        <w:t xml:space="preserve">See also </w:t>
      </w:r>
      <w:r w:rsidRPr="00EE2E1F">
        <w:t>AdGen Comments at 16.</w:t>
      </w:r>
    </w:p>
  </w:footnote>
  <w:footnote w:id="423">
    <w:p w14:paraId="797F3369" w14:textId="77777777" w:rsidR="00EE2E1F" w:rsidRPr="00EE2E1F" w:rsidRDefault="00EE2E1F" w:rsidP="001267A0">
      <w:pPr>
        <w:pStyle w:val="FootnoteText"/>
      </w:pPr>
      <w:r w:rsidRPr="00EE2E1F">
        <w:rPr>
          <w:rStyle w:val="FootnoteReference"/>
        </w:rPr>
        <w:footnoteRef/>
      </w:r>
      <w:r w:rsidRPr="00EE2E1F">
        <w:t xml:space="preserve"> iPosi Comments at 12.  </w:t>
      </w:r>
      <w:r w:rsidRPr="00EE2E1F">
        <w:rPr>
          <w:i/>
        </w:rPr>
        <w:t xml:space="preserve">See also </w:t>
      </w:r>
      <w:r w:rsidRPr="00EE2E1F">
        <w:t>NextNav Comments at 33.</w:t>
      </w:r>
    </w:p>
  </w:footnote>
  <w:footnote w:id="424">
    <w:p w14:paraId="1FE4423A" w14:textId="77777777" w:rsidR="00EE2E1F" w:rsidRPr="00EE2E1F" w:rsidRDefault="00EE2E1F" w:rsidP="001267A0">
      <w:pPr>
        <w:pStyle w:val="FootnoteText"/>
      </w:pPr>
      <w:r w:rsidRPr="00EE2E1F">
        <w:rPr>
          <w:rStyle w:val="FootnoteReference"/>
        </w:rPr>
        <w:footnoteRef/>
      </w:r>
      <w:r w:rsidRPr="00EE2E1F">
        <w:t xml:space="preserve"> Rx Networks Comments at 4.</w:t>
      </w:r>
    </w:p>
  </w:footnote>
  <w:footnote w:id="425">
    <w:p w14:paraId="12CD60F2" w14:textId="473E5E8D" w:rsidR="00EE2E1F" w:rsidRPr="00EE2E1F" w:rsidRDefault="00EE2E1F" w:rsidP="001267A0">
      <w:pPr>
        <w:pStyle w:val="FootnoteText"/>
      </w:pPr>
      <w:r w:rsidRPr="00EE2E1F">
        <w:rPr>
          <w:rStyle w:val="FootnoteReference"/>
        </w:rPr>
        <w:footnoteRef/>
      </w:r>
      <w:r w:rsidRPr="00EE2E1F">
        <w:t xml:space="preserve"> </w:t>
      </w:r>
      <w:r w:rsidRPr="00EE2E1F">
        <w:rPr>
          <w:i/>
        </w:rPr>
        <w:t>Id.</w:t>
      </w:r>
    </w:p>
  </w:footnote>
  <w:footnote w:id="426">
    <w:p w14:paraId="6C0CEE64" w14:textId="3EBE154C" w:rsidR="00EE2E1F" w:rsidRPr="00EE2E1F" w:rsidRDefault="00EE2E1F" w:rsidP="001267A0">
      <w:pPr>
        <w:pStyle w:val="FootnoteText"/>
      </w:pPr>
      <w:r w:rsidRPr="00EE2E1F">
        <w:rPr>
          <w:rStyle w:val="FootnoteReference"/>
        </w:rPr>
        <w:footnoteRef/>
      </w:r>
      <w:r w:rsidRPr="00EE2E1F">
        <w:t xml:space="preserve"> </w:t>
      </w:r>
      <w:r w:rsidRPr="00EE2E1F">
        <w:rPr>
          <w:i/>
        </w:rPr>
        <w:t>Id.</w:t>
      </w:r>
    </w:p>
  </w:footnote>
  <w:footnote w:id="427">
    <w:p w14:paraId="4722614C" w14:textId="77777777" w:rsidR="00EE2E1F" w:rsidRPr="00EE2E1F" w:rsidRDefault="00EE2E1F" w:rsidP="001267A0">
      <w:pPr>
        <w:pStyle w:val="FootnoteText"/>
      </w:pPr>
      <w:r w:rsidRPr="00EE2E1F">
        <w:rPr>
          <w:rStyle w:val="FootnoteReference"/>
        </w:rPr>
        <w:footnoteRef/>
      </w:r>
      <w:r w:rsidRPr="00EE2E1F">
        <w:t xml:space="preserve"> TruePosition Reply Comments at 31. </w:t>
      </w:r>
      <w:r w:rsidRPr="00EE2E1F">
        <w:rPr>
          <w:i/>
        </w:rPr>
        <w:t xml:space="preserve">See also </w:t>
      </w:r>
      <w:r w:rsidRPr="00EE2E1F">
        <w:t>NextNav Comments at 26-27.</w:t>
      </w:r>
    </w:p>
  </w:footnote>
  <w:footnote w:id="428">
    <w:p w14:paraId="0CFB7AE7" w14:textId="77777777" w:rsidR="00EE2E1F" w:rsidRPr="00EE2E1F" w:rsidRDefault="00EE2E1F" w:rsidP="001267A0">
      <w:pPr>
        <w:pStyle w:val="FootnoteText"/>
      </w:pPr>
      <w:r w:rsidRPr="00EE2E1F">
        <w:rPr>
          <w:rStyle w:val="FootnoteReference"/>
        </w:rPr>
        <w:footnoteRef/>
      </w:r>
      <w:r w:rsidRPr="00EE2E1F">
        <w:t xml:space="preserve"> Motorola Comments at 16.</w:t>
      </w:r>
      <w:r w:rsidRPr="00EE2E1F">
        <w:rPr>
          <w:i/>
        </w:rPr>
        <w:t xml:space="preserve"> See also</w:t>
      </w:r>
      <w:r w:rsidRPr="00EE2E1F">
        <w:t xml:space="preserve"> TruePosition Reply Comments at 27.</w:t>
      </w:r>
    </w:p>
  </w:footnote>
  <w:footnote w:id="429">
    <w:p w14:paraId="26A69EAD" w14:textId="77777777" w:rsidR="00EE2E1F" w:rsidRPr="00EE2E1F" w:rsidRDefault="00EE2E1F" w:rsidP="001267A0">
      <w:pPr>
        <w:pStyle w:val="FootnoteText"/>
      </w:pPr>
      <w:r w:rsidRPr="00EE2E1F">
        <w:rPr>
          <w:rStyle w:val="FootnoteReference"/>
        </w:rPr>
        <w:footnoteRef/>
      </w:r>
      <w:r w:rsidRPr="00EE2E1F">
        <w:t xml:space="preserve"> Motorola Comments at 16.</w:t>
      </w:r>
    </w:p>
  </w:footnote>
  <w:footnote w:id="430">
    <w:p w14:paraId="61221382" w14:textId="77777777" w:rsidR="00EE2E1F" w:rsidRPr="00EE2E1F" w:rsidRDefault="00EE2E1F" w:rsidP="001267A0">
      <w:pPr>
        <w:pStyle w:val="FootnoteText"/>
      </w:pPr>
      <w:r w:rsidRPr="00EE2E1F">
        <w:rPr>
          <w:rStyle w:val="FootnoteReference"/>
        </w:rPr>
        <w:footnoteRef/>
      </w:r>
      <w:r w:rsidRPr="00EE2E1F">
        <w:t xml:space="preserve"> TruePosition Reply Comments at 27 (stating that there “could be roughly $100 billion” in real estate cost savings alone for such CMRS providers).</w:t>
      </w:r>
    </w:p>
  </w:footnote>
  <w:footnote w:id="431">
    <w:p w14:paraId="7353590F" w14:textId="00311DBF" w:rsidR="00EE2E1F" w:rsidRPr="00EE2E1F" w:rsidRDefault="00EE2E1F" w:rsidP="001267A0">
      <w:pPr>
        <w:pStyle w:val="FootnoteText"/>
      </w:pPr>
      <w:r w:rsidRPr="00EE2E1F">
        <w:rPr>
          <w:rStyle w:val="FootnoteReference"/>
        </w:rPr>
        <w:footnoteRef/>
      </w:r>
      <w:r w:rsidRPr="00EE2E1F">
        <w:t xml:space="preserve"> NENA Reply Comments at 7 (comparing CMRS providers’ response to the proposed indoor location rules with CMRS providers’ response to the Commission’s Phase II rules adopted in the E911 </w:t>
      </w:r>
      <w:r w:rsidRPr="00EE2E1F">
        <w:rPr>
          <w:i/>
        </w:rPr>
        <w:t>Fourth Memorandum Report and Order</w:t>
      </w:r>
      <w:r w:rsidRPr="00EE2E1F">
        <w:t xml:space="preserve"> (2000)).</w:t>
      </w:r>
    </w:p>
  </w:footnote>
  <w:footnote w:id="432">
    <w:p w14:paraId="5F8C97CC" w14:textId="77777777" w:rsidR="00EE2E1F" w:rsidRPr="00EE2E1F" w:rsidRDefault="00EE2E1F" w:rsidP="00E7432D">
      <w:pPr>
        <w:pStyle w:val="FootnoteText"/>
      </w:pPr>
      <w:r w:rsidRPr="00EE2E1F">
        <w:rPr>
          <w:rStyle w:val="FootnoteReference"/>
        </w:rPr>
        <w:footnoteRef/>
      </w:r>
      <w:r w:rsidRPr="00EE2E1F">
        <w:t xml:space="preserve"> We also recognize that the regulatory scheme we have set forth will also impose reporting burdens and the costs associated with those requirements.  </w:t>
      </w:r>
      <w:r w:rsidRPr="00EE2E1F">
        <w:rPr>
          <w:i/>
        </w:rPr>
        <w:t xml:space="preserve">See </w:t>
      </w:r>
      <w:r w:rsidRPr="00EE2E1F">
        <w:t>CCA Comments at 6.  The record keeping and reporting costs are set forth in our Paperwork Reduction Analysis.</w:t>
      </w:r>
    </w:p>
  </w:footnote>
  <w:footnote w:id="433">
    <w:p w14:paraId="2FA856FC" w14:textId="77777777" w:rsidR="00EE2E1F" w:rsidRPr="00EE2E1F" w:rsidRDefault="00EE2E1F" w:rsidP="001267A0">
      <w:pPr>
        <w:pStyle w:val="FootnoteText"/>
      </w:pPr>
      <w:r w:rsidRPr="00EE2E1F">
        <w:rPr>
          <w:rStyle w:val="FootnoteReference"/>
        </w:rPr>
        <w:footnoteRef/>
      </w:r>
      <w:r w:rsidRPr="00EE2E1F">
        <w:rPr>
          <w:i/>
        </w:rPr>
        <w:t xml:space="preserve"> Third Further Notice</w:t>
      </w:r>
      <w:r w:rsidRPr="00EE2E1F">
        <w:t>, 29 FCC Rcd at 2391 ¶ 39.</w:t>
      </w:r>
    </w:p>
  </w:footnote>
  <w:footnote w:id="434">
    <w:p w14:paraId="681DCE45" w14:textId="4C90A1DA" w:rsidR="00EE2E1F" w:rsidRPr="00EE2E1F" w:rsidRDefault="00EE2E1F" w:rsidP="001267A0">
      <w:pPr>
        <w:pStyle w:val="FootnoteText"/>
      </w:pPr>
      <w:r w:rsidRPr="00EE2E1F">
        <w:rPr>
          <w:rStyle w:val="FootnoteReference"/>
        </w:rPr>
        <w:footnoteRef/>
      </w:r>
      <w:r w:rsidRPr="00EE2E1F">
        <w:t xml:space="preserve"> Press Release, “NextNav Closes $70 Million Series D Financing,”</w:t>
      </w:r>
      <w:r w:rsidRPr="00EE2E1F">
        <w:rPr>
          <w:smallCaps/>
        </w:rPr>
        <w:t xml:space="preserve"> </w:t>
      </w:r>
      <w:r w:rsidRPr="00EE2E1F">
        <w:t xml:space="preserve">(Jul. 24, 2014), </w:t>
      </w:r>
      <w:r w:rsidRPr="00EE2E1F">
        <w:rPr>
          <w:i/>
        </w:rPr>
        <w:t xml:space="preserve">available at </w:t>
      </w:r>
      <w:hyperlink r:id="rId52" w:history="1">
        <w:r w:rsidRPr="00EE2E1F">
          <w:rPr>
            <w:rStyle w:val="Hyperlink"/>
          </w:rPr>
          <w:t>http://www.nextnav.com/news/nextnav-closes-70-million-series-d-financing</w:t>
        </w:r>
      </w:hyperlink>
      <w:r w:rsidRPr="00EE2E1F">
        <w:t xml:space="preserve"> (last visited Dec. 30, 2014).</w:t>
      </w:r>
    </w:p>
  </w:footnote>
  <w:footnote w:id="435">
    <w:p w14:paraId="5A7F2D44" w14:textId="77777777" w:rsidR="00EE2E1F" w:rsidRPr="00EE2E1F" w:rsidRDefault="00EE2E1F" w:rsidP="001267A0">
      <w:pPr>
        <w:pStyle w:val="FootnoteText"/>
      </w:pPr>
      <w:r w:rsidRPr="00EE2E1F">
        <w:rPr>
          <w:rStyle w:val="FootnoteReference"/>
        </w:rPr>
        <w:footnoteRef/>
      </w:r>
      <w:r w:rsidRPr="00EE2E1F">
        <w:t xml:space="preserve"> CCA Reply Comments at 15.</w:t>
      </w:r>
    </w:p>
  </w:footnote>
  <w:footnote w:id="436">
    <w:p w14:paraId="5BF881BD" w14:textId="77777777" w:rsidR="00EE2E1F" w:rsidRPr="00EE2E1F" w:rsidRDefault="00EE2E1F" w:rsidP="001267A0">
      <w:pPr>
        <w:pStyle w:val="FootnoteText"/>
      </w:pPr>
      <w:r w:rsidRPr="00EE2E1F">
        <w:rPr>
          <w:rStyle w:val="FootnoteReference"/>
        </w:rPr>
        <w:footnoteRef/>
      </w:r>
      <w:r w:rsidRPr="00EE2E1F">
        <w:t xml:space="preserve"> See </w:t>
      </w:r>
      <w:r w:rsidRPr="00EE2E1F">
        <w:rPr>
          <w:i/>
        </w:rPr>
        <w:t>e.g.</w:t>
      </w:r>
      <w:r w:rsidRPr="00EE2E1F">
        <w:t>, Sprint Commenters at 9 (“Before CMRS carriers can begin to estimate costs accurately, standards work must be closer to completion in order to guide hardware and software development, and the field of potential solutions and vendors needs to broaden so that carriers can receive competitive pricing.”).</w:t>
      </w:r>
    </w:p>
  </w:footnote>
  <w:footnote w:id="437">
    <w:p w14:paraId="6796090C" w14:textId="77777777" w:rsidR="00EE2E1F" w:rsidRPr="00EE2E1F" w:rsidRDefault="00EE2E1F" w:rsidP="006B6EC0">
      <w:pPr>
        <w:pStyle w:val="FootnoteText"/>
      </w:pPr>
      <w:r w:rsidRPr="00EE2E1F">
        <w:rPr>
          <w:rStyle w:val="FootnoteReference"/>
        </w:rPr>
        <w:footnoteRef/>
      </w:r>
      <w:r w:rsidRPr="00EE2E1F">
        <w:t xml:space="preserve"> 47 C.F.R. § 20.18(h)(1)-(2) (for the currently specified accuracy standards for outdoor measurements only).</w:t>
      </w:r>
    </w:p>
  </w:footnote>
  <w:footnote w:id="438">
    <w:p w14:paraId="01E605F4" w14:textId="4BEDC270" w:rsidR="00EE2E1F" w:rsidRPr="00EE2E1F" w:rsidRDefault="00EE2E1F" w:rsidP="006B6EC0">
      <w:pPr>
        <w:pStyle w:val="FootnoteText"/>
      </w:pPr>
      <w:r w:rsidRPr="00EE2E1F">
        <w:rPr>
          <w:rStyle w:val="FootnoteReference"/>
        </w:rPr>
        <w:footnoteRef/>
      </w:r>
      <w:r w:rsidRPr="00EE2E1F">
        <w:t xml:space="preserve"> </w:t>
      </w:r>
      <w:r w:rsidRPr="00EE2E1F">
        <w:rPr>
          <w:i/>
        </w:rPr>
        <w:t>Third Further Notice</w:t>
      </w:r>
      <w:r w:rsidRPr="00EE2E1F">
        <w:t xml:space="preserve">, 29 FCC Rcd at 2428-29 ¶ 144.  The </w:t>
      </w:r>
      <w:r w:rsidRPr="00EE2E1F">
        <w:rPr>
          <w:i/>
        </w:rPr>
        <w:t>Third Further Notice</w:t>
      </w:r>
      <w:r w:rsidRPr="00EE2E1F">
        <w:t xml:space="preserve"> used the term “location information center” to refer to either the Mobile Positioning Center (MPC) or Gateway Mobile Location Center (GMLC), which perform essentially the same function but are specific to the CMRS network’s design.  </w:t>
      </w:r>
      <w:r w:rsidRPr="00EE2E1F">
        <w:rPr>
          <w:i/>
        </w:rPr>
        <w:t>See id.</w:t>
      </w:r>
      <w:r w:rsidRPr="00EE2E1F">
        <w:t xml:space="preserve"> at ¶ 21 n.47.  Once the CMRS provider generates the location fix, it is transmitted to the location information center, where it is available for retrieval by PSAPs through their initial bidding or re-bidding process. This proposal is consistent with CSRIC </w:t>
      </w:r>
      <w:r w:rsidRPr="00EE2E1F">
        <w:rPr>
          <w:i/>
        </w:rPr>
        <w:t>Outdoor Location Accuracy Report</w:t>
      </w:r>
      <w:r w:rsidRPr="00EE2E1F">
        <w:t>, which suggests a TTFF of 30 seconds as an acceptable time limit for delivering location information.</w:t>
      </w:r>
      <w:r w:rsidRPr="00EE2E1F">
        <w:rPr>
          <w:i/>
        </w:rPr>
        <w:t xml:space="preserve"> See</w:t>
      </w:r>
      <w:r w:rsidRPr="00EE2E1F">
        <w:t xml:space="preserve"> </w:t>
      </w:r>
      <w:r w:rsidRPr="00EE2E1F">
        <w:rPr>
          <w:i/>
        </w:rPr>
        <w:t>Outdoor Location Accuracy Report</w:t>
      </w:r>
      <w:r w:rsidRPr="00EE2E1F">
        <w:t xml:space="preserve"> at 12. </w:t>
      </w:r>
    </w:p>
  </w:footnote>
  <w:footnote w:id="439">
    <w:p w14:paraId="707F0707" w14:textId="77777777" w:rsidR="00EE2E1F" w:rsidRPr="00EE2E1F" w:rsidRDefault="00EE2E1F" w:rsidP="006B6EC0">
      <w:pPr>
        <w:pStyle w:val="FootnoteText"/>
      </w:pPr>
      <w:r w:rsidRPr="00EE2E1F">
        <w:rPr>
          <w:rStyle w:val="FootnoteReference"/>
        </w:rPr>
        <w:footnoteRef/>
      </w:r>
      <w:r w:rsidRPr="00EE2E1F">
        <w:t xml:space="preserve"> </w:t>
      </w:r>
      <w:r w:rsidRPr="00EE2E1F">
        <w:rPr>
          <w:i/>
        </w:rPr>
        <w:t>Third Further Notice</w:t>
      </w:r>
      <w:r w:rsidRPr="00EE2E1F">
        <w:t>, 29 FCC Rcd at 2430 ¶ 147.</w:t>
      </w:r>
    </w:p>
  </w:footnote>
  <w:footnote w:id="440">
    <w:p w14:paraId="543D89E3" w14:textId="77777777" w:rsidR="00EE2E1F" w:rsidRPr="00EE2E1F" w:rsidRDefault="00EE2E1F" w:rsidP="006B6EC0">
      <w:pPr>
        <w:pStyle w:val="FootnoteText"/>
      </w:pPr>
      <w:r w:rsidRPr="00EE2E1F">
        <w:rPr>
          <w:rStyle w:val="FootnoteReference"/>
        </w:rPr>
        <w:footnoteRef/>
      </w:r>
      <w:r w:rsidRPr="00EE2E1F">
        <w:t xml:space="preserve"> APCO Comments at 7; NENA Reply Comments at 18; AT&amp;T Comments at 34; CTIA Comments at 18-19; T-Mobile Comments at 20; NextNav Comments at 41; TCS Comments at 24 (“The average TTFF for an A-GPS location solution is well within . . . 30-second[s] . . .  typically 12 to 15 seconds.”); Sprint Comments at 19 and Reply Comments at 13; Verizon Reply Comments at 19 (asserting that “nothing in the record suggest[s] that a . . . significantly shorter latency standard than the 30-second standard . . . is technically feasible”).</w:t>
      </w:r>
    </w:p>
  </w:footnote>
  <w:footnote w:id="441">
    <w:p w14:paraId="57DF9B10" w14:textId="77777777" w:rsidR="00EE2E1F" w:rsidRPr="00EE2E1F" w:rsidRDefault="00EE2E1F" w:rsidP="006B6EC0">
      <w:pPr>
        <w:pStyle w:val="FootnoteText"/>
      </w:pPr>
      <w:r w:rsidRPr="00EE2E1F">
        <w:rPr>
          <w:rStyle w:val="FootnoteReference"/>
        </w:rPr>
        <w:footnoteRef/>
      </w:r>
      <w:r w:rsidRPr="00EE2E1F">
        <w:t xml:space="preserve"> CALNENA Comments at 1 (“30 seconds is too long to wait for accurate caller location information, especially if there is any hope of routing wireless 911 calls to the correct PSAP using GPS coordinates.”); Salvucci Comments at 4; BRETSA Comments at 3 (informing that its “PSAPs and a number of other [Colorado] PSAPs . . . report that Phase II locations are generally available within ten seconds”) NARUC Comments at 12 (advocating that the Commission “reduc[e] the 30-second maximum time period for the delivery of an accurate location.”).  </w:t>
      </w:r>
      <w:r w:rsidRPr="00EE2E1F">
        <w:rPr>
          <w:i/>
        </w:rPr>
        <w:t>See also id</w:t>
      </w:r>
      <w:r w:rsidRPr="00EE2E1F">
        <w:t>. at 11 &amp; n.15.  NARUC highlights (1) CSRIC III’s view of OET Bulletin No. 71 guideline of “30 seconds as the ‘</w:t>
      </w:r>
      <w:r w:rsidRPr="00EE2E1F">
        <w:rPr>
          <w:i/>
        </w:rPr>
        <w:t>de facto</w:t>
      </w:r>
      <w:r w:rsidRPr="00EE2E1F">
        <w:t xml:space="preserve"> standard for maximum latency’”, and (2) the  results of a survey by the FindMe911 Coalition, as justification for “targeting response times </w:t>
      </w:r>
      <w:r w:rsidRPr="00EE2E1F">
        <w:rPr>
          <w:i/>
        </w:rPr>
        <w:t>below</w:t>
      </w:r>
      <w:r w:rsidRPr="00EE2E1F">
        <w:t xml:space="preserve"> 30 seconds.”  </w:t>
      </w:r>
    </w:p>
  </w:footnote>
  <w:footnote w:id="442">
    <w:p w14:paraId="384C873C" w14:textId="77777777" w:rsidR="00EE2E1F" w:rsidRPr="00EE2E1F" w:rsidRDefault="00EE2E1F" w:rsidP="006B6EC0">
      <w:pPr>
        <w:pStyle w:val="FootnoteText"/>
      </w:pPr>
      <w:r w:rsidRPr="00EE2E1F">
        <w:rPr>
          <w:rStyle w:val="FootnoteReference"/>
        </w:rPr>
        <w:footnoteRef/>
      </w:r>
      <w:r w:rsidRPr="00EE2E1F">
        <w:t xml:space="preserve"> CTIA Comments at 19; T-Mobile Comments at 21; Sprint Comments at 19 (noting that the [Commission’s] proposals are in conflict . . . because carriers have 30 seconds, not 10 seconds, to generate and deliver the first 9-1-1 location fix.”).    </w:t>
      </w:r>
    </w:p>
  </w:footnote>
  <w:footnote w:id="443">
    <w:p w14:paraId="6AECDB24" w14:textId="77777777" w:rsidR="00EE2E1F" w:rsidRPr="00EE2E1F" w:rsidRDefault="00EE2E1F" w:rsidP="006B6EC0">
      <w:pPr>
        <w:pStyle w:val="FootnoteText"/>
      </w:pPr>
      <w:r w:rsidRPr="00EE2E1F">
        <w:rPr>
          <w:rStyle w:val="FootnoteReference"/>
        </w:rPr>
        <w:footnoteRef/>
      </w:r>
      <w:r w:rsidRPr="00EE2E1F">
        <w:t xml:space="preserve"> AT&amp;T Comments at 34.  </w:t>
      </w:r>
      <w:r w:rsidRPr="00EE2E1F">
        <w:rPr>
          <w:i/>
        </w:rPr>
        <w:t>See also</w:t>
      </w:r>
      <w:r w:rsidRPr="00EE2E1F">
        <w:t xml:space="preserve"> NextNav Comments at 43-44 (remarking that the proposal “raises the question of how calls will be treated when they are interrupted after 10 seconds but before 30 seconds has elapsed”); NTCA Comments at 6-7 (asserting that “the record has not been fully developed on this point, and an industry standard different than 30 seconds has not been established.”); T-Mobile Comments at 21 (although it supports a maximum TTFF of 30 second, T-Mobile asserts that the Commission “should exclude calls of less than 30 seconds’ duration from consideration” in carriers’ complying with the Phase II rules); CTIA Reply Comments at 9 (favoring including “only calls lasting 30 seconds or more in yield”).</w:t>
      </w:r>
    </w:p>
  </w:footnote>
  <w:footnote w:id="444">
    <w:p w14:paraId="1B9FE5D2" w14:textId="77777777" w:rsidR="00EE2E1F" w:rsidRPr="00EE2E1F" w:rsidRDefault="00EE2E1F" w:rsidP="006B6EC0">
      <w:pPr>
        <w:pStyle w:val="FootnoteText"/>
      </w:pPr>
      <w:r w:rsidRPr="00EE2E1F">
        <w:rPr>
          <w:rStyle w:val="FootnoteReference"/>
        </w:rPr>
        <w:footnoteRef/>
      </w:r>
      <w:r w:rsidRPr="00EE2E1F">
        <w:t xml:space="preserve"> For example, in a calculation of the yield percentage, all 911 calls with compliant location fixes within 30 seconds would be included in the numerator, and calls with a non-compliant TTFF would be in the total of all 911 calls in the denominator.</w:t>
      </w:r>
    </w:p>
  </w:footnote>
  <w:footnote w:id="445">
    <w:p w14:paraId="604078F0" w14:textId="77777777" w:rsidR="00EE2E1F" w:rsidRPr="00EE2E1F" w:rsidRDefault="00EE2E1F" w:rsidP="006B6EC0">
      <w:pPr>
        <w:pStyle w:val="FootnoteText"/>
      </w:pPr>
      <w:r w:rsidRPr="00EE2E1F">
        <w:rPr>
          <w:rStyle w:val="FootnoteReference"/>
        </w:rPr>
        <w:footnoteRef/>
      </w:r>
      <w:r w:rsidRPr="00EE2E1F">
        <w:t xml:space="preserve"> </w:t>
      </w:r>
      <w:r w:rsidRPr="00EE2E1F">
        <w:rPr>
          <w:i/>
        </w:rPr>
        <w:t>Third Further Notice</w:t>
      </w:r>
      <w:r w:rsidRPr="00EE2E1F">
        <w:t>, 29 FCC Rcd at 2427-28 ¶ 143; and at 2434 ¶ 160</w:t>
      </w:r>
      <w:r w:rsidRPr="00EE2E1F">
        <w:rPr>
          <w:color w:val="000000"/>
        </w:rPr>
        <w:t xml:space="preserve"> (describing trade-off between accuracy and latency)</w:t>
      </w:r>
      <w:r w:rsidRPr="00EE2E1F">
        <w:t xml:space="preserve">.  </w:t>
      </w:r>
      <w:r w:rsidRPr="00EE2E1F">
        <w:rPr>
          <w:i/>
        </w:rPr>
        <w:t>See also</w:t>
      </w:r>
      <w:r w:rsidRPr="00EE2E1F">
        <w:t xml:space="preserve"> NENA Workshop Comments at 3 (asserting that “existing network-based and network-assisted location technologies can provide very fast first fixes, which are valuable to public safety, even if they are subject to larger uncertainties than final GNSS [satellite] fixes.”).</w:t>
      </w:r>
    </w:p>
  </w:footnote>
  <w:footnote w:id="446">
    <w:p w14:paraId="246C6C40" w14:textId="77777777" w:rsidR="00EE2E1F" w:rsidRPr="00EE2E1F" w:rsidRDefault="00EE2E1F" w:rsidP="006B6EC0">
      <w:pPr>
        <w:pStyle w:val="FootnoteText"/>
      </w:pPr>
      <w:r w:rsidRPr="00EE2E1F">
        <w:rPr>
          <w:rStyle w:val="FootnoteReference"/>
          <w:rFonts w:eastAsiaTheme="majorEastAsia"/>
        </w:rPr>
        <w:footnoteRef/>
      </w:r>
      <w:r w:rsidRPr="00EE2E1F">
        <w:t xml:space="preserve"> </w:t>
      </w:r>
      <w:r w:rsidRPr="00EE2E1F">
        <w:rPr>
          <w:i/>
        </w:rPr>
        <w:t>Outdoor Location Accuracy Report</w:t>
      </w:r>
      <w:r w:rsidRPr="00EE2E1F">
        <w:t xml:space="preserve"> at 12. </w:t>
      </w:r>
    </w:p>
  </w:footnote>
  <w:footnote w:id="447">
    <w:p w14:paraId="6E819DA7" w14:textId="7CFCEEC2" w:rsidR="00EE2E1F" w:rsidRPr="00EE2E1F" w:rsidRDefault="00EE2E1F" w:rsidP="006B6EC0">
      <w:pPr>
        <w:pStyle w:val="FootnoteText"/>
      </w:pPr>
      <w:r w:rsidRPr="00EE2E1F">
        <w:rPr>
          <w:rStyle w:val="FootnoteReference"/>
        </w:rPr>
        <w:footnoteRef/>
      </w:r>
      <w:r w:rsidRPr="00EE2E1F">
        <w:t xml:space="preserve"> </w:t>
      </w:r>
      <w:r w:rsidRPr="00EE2E1F">
        <w:rPr>
          <w:i/>
        </w:rPr>
        <w:t>See supra</w:t>
      </w:r>
      <w:r w:rsidRPr="00EE2E1F">
        <w:t xml:space="preserve"> para. </w:t>
      </w:r>
      <w:r w:rsidRPr="00EE2E1F">
        <w:fldChar w:fldCharType="begin"/>
      </w:r>
      <w:r w:rsidRPr="00EE2E1F">
        <w:instrText xml:space="preserve"> REF _Ref408486927 \r \h  \* MERGEFORMAT </w:instrText>
      </w:r>
      <w:r w:rsidRPr="00EE2E1F">
        <w:fldChar w:fldCharType="separate"/>
      </w:r>
      <w:r w:rsidR="005E367B">
        <w:t>173</w:t>
      </w:r>
      <w:r w:rsidRPr="00EE2E1F">
        <w:fldChar w:fldCharType="end"/>
      </w:r>
      <w:r w:rsidRPr="00EE2E1F">
        <w:t xml:space="preserve"> note </w:t>
      </w:r>
      <w:r w:rsidRPr="00EE2E1F">
        <w:fldChar w:fldCharType="begin"/>
      </w:r>
      <w:r w:rsidRPr="00EE2E1F">
        <w:instrText xml:space="preserve"> NOTEREF _Ref408486940 \h  \* MERGEFORMAT </w:instrText>
      </w:r>
      <w:r w:rsidRPr="00EE2E1F">
        <w:fldChar w:fldCharType="separate"/>
      </w:r>
      <w:r w:rsidR="005E367B">
        <w:t>439</w:t>
      </w:r>
      <w:r w:rsidRPr="00EE2E1F">
        <w:fldChar w:fldCharType="end"/>
      </w:r>
      <w:r w:rsidRPr="00EE2E1F">
        <w:t xml:space="preserve">. </w:t>
      </w:r>
    </w:p>
  </w:footnote>
  <w:footnote w:id="448">
    <w:p w14:paraId="7D89F7AA" w14:textId="77777777" w:rsidR="00EE2E1F" w:rsidRPr="00EE2E1F" w:rsidRDefault="00EE2E1F" w:rsidP="006B6EC0">
      <w:pPr>
        <w:pStyle w:val="FootnoteText"/>
      </w:pPr>
      <w:r w:rsidRPr="00EE2E1F">
        <w:rPr>
          <w:rStyle w:val="FootnoteReference"/>
        </w:rPr>
        <w:footnoteRef/>
      </w:r>
      <w:r w:rsidRPr="00EE2E1F">
        <w:t xml:space="preserve"> Verizon Comments at 28-29.</w:t>
      </w:r>
    </w:p>
  </w:footnote>
  <w:footnote w:id="449">
    <w:p w14:paraId="30EF3975" w14:textId="77777777" w:rsidR="00EE2E1F" w:rsidRPr="00EE2E1F" w:rsidRDefault="00EE2E1F" w:rsidP="006B6EC0">
      <w:pPr>
        <w:pStyle w:val="FootnoteText"/>
      </w:pPr>
      <w:r w:rsidRPr="00EE2E1F">
        <w:rPr>
          <w:rStyle w:val="FootnoteReference"/>
        </w:rPr>
        <w:footnoteRef/>
      </w:r>
      <w:r w:rsidRPr="00EE2E1F">
        <w:t xml:space="preserve"> For example, Verizon has previously stated that it has taken “steps … to improve the location information delivered to PSAPs,” such as “[m]aking caller location information available within an average of 12-15 seconds, and within 25 seconds for 99 percent of all calls for which the information is available.”  </w:t>
      </w:r>
      <w:r w:rsidRPr="00EE2E1F">
        <w:rPr>
          <w:i/>
        </w:rPr>
        <w:t xml:space="preserve">See </w:t>
      </w:r>
      <w:r w:rsidRPr="00EE2E1F">
        <w:t xml:space="preserve">Verizon Dec. 19, 2013 </w:t>
      </w:r>
      <w:r w:rsidRPr="00EE2E1F">
        <w:rPr>
          <w:i/>
        </w:rPr>
        <w:t>Ex Parte</w:t>
      </w:r>
      <w:r w:rsidRPr="00EE2E1F">
        <w:t xml:space="preserve"> Letter at 1 (referring to the improvements in the context of “enhancing the A-GPS location accuracy solution for VoLTE . . . including coupling location data from additional satellite systems (GLONASS) and OTDOA with GPS data.”).  Additionally, TCS submits that “[t]he higher bandwidth capability of an LTE network may lower the time that it takes for the network to push GNSS assistance data to the handset.” TCS Comments at 25.  </w:t>
      </w:r>
      <w:r w:rsidRPr="00EE2E1F">
        <w:rPr>
          <w:i/>
        </w:rPr>
        <w:t xml:space="preserve"> </w:t>
      </w:r>
    </w:p>
  </w:footnote>
  <w:footnote w:id="450">
    <w:p w14:paraId="647C0B5A" w14:textId="77777777" w:rsidR="00EE2E1F" w:rsidRPr="00EE2E1F" w:rsidRDefault="00EE2E1F" w:rsidP="006B6EC0">
      <w:pPr>
        <w:pStyle w:val="FootnoteText"/>
      </w:pPr>
      <w:r w:rsidRPr="00EE2E1F">
        <w:rPr>
          <w:rStyle w:val="FootnoteReference"/>
        </w:rPr>
        <w:footnoteRef/>
      </w:r>
      <w:r w:rsidRPr="00EE2E1F">
        <w:t xml:space="preserve"> TCS Comments at 24; Sprint Reply Comments at 13 (“There are multiple variables outside of the control of CMRS carriers that affect the TTFF, such as the number of satellites that are visible and atmospheric conditions.”).  </w:t>
      </w:r>
      <w:r w:rsidRPr="00EE2E1F">
        <w:rPr>
          <w:i/>
        </w:rPr>
        <w:t>See also id</w:t>
      </w:r>
      <w:r w:rsidRPr="00EE2E1F">
        <w:t>. (noting that “when turning on location for any call, a device takes time to acquire the necessary satellites to determine location”).</w:t>
      </w:r>
    </w:p>
  </w:footnote>
  <w:footnote w:id="451">
    <w:p w14:paraId="05CC7156" w14:textId="77777777" w:rsidR="00EE2E1F" w:rsidRPr="00EE2E1F" w:rsidRDefault="00EE2E1F" w:rsidP="006B6EC0">
      <w:pPr>
        <w:pStyle w:val="FootnoteText"/>
      </w:pPr>
      <w:r w:rsidRPr="00EE2E1F">
        <w:rPr>
          <w:rStyle w:val="FootnoteReference"/>
        </w:rPr>
        <w:footnoteRef/>
      </w:r>
      <w:r w:rsidRPr="00EE2E1F">
        <w:t xml:space="preserve"> TCS Comments at 24 (“The average TTFF for an A-GPS location solution is well within . . . 30-second[s] . . .  typically 12 to 15 seconds.”); Verizon Sept. 11, 2013 </w:t>
      </w:r>
      <w:r w:rsidRPr="00EE2E1F">
        <w:rPr>
          <w:i/>
        </w:rPr>
        <w:t xml:space="preserve">Ex Parte </w:t>
      </w:r>
      <w:r w:rsidRPr="00EE2E1F">
        <w:t xml:space="preserve">Letter at 5 (noting that a precise Phase II fix via GPS can take up to 30 seconds but in most instances is generated within 12-15 seconds but can be generated in as few as 5 seconds).  </w:t>
      </w:r>
      <w:r w:rsidRPr="00EE2E1F">
        <w:rPr>
          <w:i/>
        </w:rPr>
        <w:t>See</w:t>
      </w:r>
      <w:r w:rsidRPr="00EE2E1F">
        <w:t xml:space="preserve"> </w:t>
      </w:r>
      <w:r w:rsidRPr="00EE2E1F">
        <w:rPr>
          <w:i/>
        </w:rPr>
        <w:t>also</w:t>
      </w:r>
      <w:r w:rsidRPr="00EE2E1F">
        <w:t xml:space="preserve"> </w:t>
      </w:r>
      <w:r w:rsidRPr="00EE2E1F">
        <w:rPr>
          <w:i/>
        </w:rPr>
        <w:t>Third Further Notice</w:t>
      </w:r>
      <w:r w:rsidRPr="00EE2E1F">
        <w:t>, 29 FCC Rcd at 2433-34 ¶ 159 (observing that, if A-GPS generated location fix cannot be obtained due to the blocking of GPS signals in a challenging environment, CMRS providers networks trigger a “fall-back” location technology, which may take longer than 30 seconds to obtaining the fix.).</w:t>
      </w:r>
    </w:p>
  </w:footnote>
  <w:footnote w:id="452">
    <w:p w14:paraId="0F24AA77" w14:textId="77777777" w:rsidR="00EE2E1F" w:rsidRPr="00EE2E1F" w:rsidRDefault="00EE2E1F" w:rsidP="00B7034F">
      <w:pPr>
        <w:pStyle w:val="FootnoteText"/>
      </w:pPr>
      <w:r w:rsidRPr="00EE2E1F">
        <w:rPr>
          <w:rStyle w:val="FootnoteReference"/>
        </w:rPr>
        <w:footnoteRef/>
      </w:r>
      <w:r w:rsidRPr="00EE2E1F">
        <w:t xml:space="preserve"> </w:t>
      </w:r>
      <w:r w:rsidRPr="00EE2E1F">
        <w:rPr>
          <w:i/>
        </w:rPr>
        <w:t>Third Further Notice</w:t>
      </w:r>
      <w:r w:rsidRPr="00EE2E1F">
        <w:t xml:space="preserve">, </w:t>
      </w:r>
      <w:r w:rsidRPr="00EE2E1F">
        <w:rPr>
          <w:color w:val="000000"/>
          <w:shd w:val="clear" w:color="auto" w:fill="FFFFFF"/>
        </w:rPr>
        <w:t>29 FCC Rcd at 2435-37 ¶¶ 164-166.</w:t>
      </w:r>
    </w:p>
  </w:footnote>
  <w:footnote w:id="453">
    <w:p w14:paraId="0CAC4FE1" w14:textId="77777777" w:rsidR="00EE2E1F" w:rsidRPr="00EE2E1F" w:rsidRDefault="00EE2E1F" w:rsidP="00B7034F">
      <w:pPr>
        <w:pStyle w:val="FootnoteText"/>
      </w:pPr>
      <w:r w:rsidRPr="00EE2E1F">
        <w:rPr>
          <w:rStyle w:val="FootnoteReference"/>
        </w:rPr>
        <w:footnoteRef/>
      </w:r>
      <w:r w:rsidRPr="00EE2E1F">
        <w:t xml:space="preserve"> NENA Comments at 4-5; AT&amp;T Comments at 35; Verizon Comments at 32; NextNav Comments at 32; Rx Networks Comments at 3.    </w:t>
      </w:r>
    </w:p>
  </w:footnote>
  <w:footnote w:id="454">
    <w:p w14:paraId="49812A81" w14:textId="77777777" w:rsidR="00EE2E1F" w:rsidRPr="00EE2E1F" w:rsidRDefault="00EE2E1F" w:rsidP="00B7034F">
      <w:pPr>
        <w:pStyle w:val="FootnoteText"/>
      </w:pPr>
      <w:r w:rsidRPr="00EE2E1F">
        <w:rPr>
          <w:rStyle w:val="FootnoteReference"/>
        </w:rPr>
        <w:footnoteRef/>
      </w:r>
      <w:r w:rsidRPr="00EE2E1F">
        <w:t xml:space="preserve"> T-Mobile Comments at 21-22; Sprint Comments at 20; CCA Reply Comments at 16-17; Verizon Comments at 32.   </w:t>
      </w:r>
    </w:p>
  </w:footnote>
  <w:footnote w:id="455">
    <w:p w14:paraId="7B486071" w14:textId="77777777" w:rsidR="00EE2E1F" w:rsidRPr="00EE2E1F" w:rsidRDefault="00EE2E1F" w:rsidP="00B7034F">
      <w:pPr>
        <w:pStyle w:val="FootnoteText"/>
      </w:pPr>
      <w:r w:rsidRPr="00EE2E1F">
        <w:rPr>
          <w:rStyle w:val="FootnoteReference"/>
        </w:rPr>
        <w:footnoteRef/>
      </w:r>
      <w:r w:rsidRPr="00EE2E1F">
        <w:t xml:space="preserve"> 47 C.F.R. § 20.18(h)(1)(iv)-(v) (permitting the use of handset-based accuracy data with respect to evaluating outdoor measurements).</w:t>
      </w:r>
    </w:p>
  </w:footnote>
  <w:footnote w:id="456">
    <w:p w14:paraId="22A8B721" w14:textId="77777777" w:rsidR="00EE2E1F" w:rsidRPr="00EE2E1F" w:rsidRDefault="00EE2E1F" w:rsidP="00B7034F">
      <w:pPr>
        <w:pStyle w:val="FootnoteText"/>
      </w:pPr>
      <w:r w:rsidRPr="00EE2E1F">
        <w:rPr>
          <w:rStyle w:val="FootnoteReference"/>
        </w:rPr>
        <w:footnoteRef/>
      </w:r>
      <w:r w:rsidRPr="00EE2E1F">
        <w:t xml:space="preserve"> 47 C.F.R. § 20.18(h)(2)(i).</w:t>
      </w:r>
    </w:p>
  </w:footnote>
  <w:footnote w:id="457">
    <w:p w14:paraId="3D862C01" w14:textId="77777777" w:rsidR="00EE2E1F" w:rsidRPr="00EE2E1F" w:rsidRDefault="00EE2E1F" w:rsidP="00B7034F">
      <w:pPr>
        <w:pStyle w:val="FootnoteText"/>
      </w:pPr>
      <w:r w:rsidRPr="00EE2E1F">
        <w:rPr>
          <w:rStyle w:val="FootnoteReference"/>
        </w:rPr>
        <w:footnoteRef/>
      </w:r>
      <w:r w:rsidRPr="00EE2E1F">
        <w:t xml:space="preserve"> 47 C.F.R. § 20.18(h)(2)(ii).</w:t>
      </w:r>
    </w:p>
  </w:footnote>
  <w:footnote w:id="458">
    <w:p w14:paraId="5F52F2FC" w14:textId="77777777" w:rsidR="00EE2E1F" w:rsidRPr="00EE2E1F" w:rsidRDefault="00EE2E1F" w:rsidP="00B7034F">
      <w:pPr>
        <w:pStyle w:val="FootnoteText"/>
      </w:pPr>
      <w:r w:rsidRPr="00EE2E1F">
        <w:rPr>
          <w:rStyle w:val="FootnoteReference"/>
          <w:rFonts w:eastAsiaTheme="majorEastAsia"/>
        </w:rPr>
        <w:footnoteRef/>
      </w:r>
      <w:r w:rsidRPr="00EE2E1F">
        <w:t xml:space="preserve"> 47 C.F.R. § 20.18(h)(3) (providing that “all carriers subject to this section shall be required to provide confidence and uncertainty data on a per-call basis upon the request of a PSAP,” and that “[a]ll entities responsible for transporting confidence and uncertainty between wireless carriers and PSAPs, including LECs, CLECs, owners of E911 networks, and emergency service providers (collectively, System Service Providers (SSPs)) must implement any modifications that will enable the transmission of confidence and uncertainty data provided by wireless carriers to the requesting PSAP”).</w:t>
      </w:r>
    </w:p>
  </w:footnote>
  <w:footnote w:id="459">
    <w:p w14:paraId="0C409879" w14:textId="77777777" w:rsidR="00EE2E1F" w:rsidRPr="00EE2E1F" w:rsidRDefault="00EE2E1F" w:rsidP="00B7034F">
      <w:pPr>
        <w:pStyle w:val="FootnoteText"/>
      </w:pPr>
      <w:r w:rsidRPr="00EE2E1F">
        <w:rPr>
          <w:rStyle w:val="FootnoteReference"/>
          <w:rFonts w:eastAsiaTheme="majorEastAsia"/>
        </w:rPr>
        <w:footnoteRef/>
      </w:r>
      <w:r w:rsidRPr="00EE2E1F">
        <w:t xml:space="preserve"> The confidence level is expressed as a percentage, indicating the statistical probability that the caller is within the area defined by the “uncertainty” statistical estimate, while uncertainty is expressed as a radius in meters around the reported position.  </w:t>
      </w:r>
      <w:r w:rsidRPr="00EE2E1F">
        <w:rPr>
          <w:i/>
        </w:rPr>
        <w:t>Third Further Notice</w:t>
      </w:r>
      <w:r w:rsidRPr="00EE2E1F">
        <w:t xml:space="preserve">, 29 FCC Rcd at 2431 ¶ 150.  For example, the E911 Phase II location information that CMRS providers provide to PSAPs is accompanied by a 90 percent/35 meter “C/U score,” reflecting 90 percent confidence that the caller is within 35 meters of the estimated location.  </w:t>
      </w:r>
      <w:r w:rsidRPr="00EE2E1F">
        <w:rPr>
          <w:i/>
        </w:rPr>
        <w:t>See Second Report and Order</w:t>
      </w:r>
      <w:r w:rsidRPr="00EE2E1F">
        <w:t>, 25 FCC Rcd at 18928-30 ¶¶ 51-53.</w:t>
      </w:r>
    </w:p>
  </w:footnote>
  <w:footnote w:id="460">
    <w:p w14:paraId="25261527" w14:textId="77777777" w:rsidR="00EE2E1F" w:rsidRPr="00EE2E1F" w:rsidRDefault="00EE2E1F" w:rsidP="00B7034F">
      <w:pPr>
        <w:pStyle w:val="FootnoteText"/>
      </w:pPr>
      <w:r w:rsidRPr="00EE2E1F">
        <w:rPr>
          <w:rStyle w:val="FootnoteReference"/>
          <w:rFonts w:eastAsiaTheme="majorEastAsia"/>
        </w:rPr>
        <w:footnoteRef/>
      </w:r>
      <w:r w:rsidRPr="00EE2E1F">
        <w:t xml:space="preserve"> </w:t>
      </w:r>
      <w:r w:rsidRPr="00EE2E1F">
        <w:rPr>
          <w:i/>
        </w:rPr>
        <w:t>Third Further Notice</w:t>
      </w:r>
      <w:r w:rsidRPr="00EE2E1F">
        <w:t xml:space="preserve">, 29 FCC Rcd at 2431-33 ¶¶ 150-156 &amp; Appendix C. </w:t>
      </w:r>
    </w:p>
  </w:footnote>
  <w:footnote w:id="461">
    <w:p w14:paraId="41063FAD" w14:textId="2717FC2A" w:rsidR="00EE2E1F" w:rsidRPr="00EE2E1F" w:rsidRDefault="00EE2E1F" w:rsidP="00B7034F">
      <w:pPr>
        <w:pStyle w:val="FootnoteText"/>
      </w:pPr>
      <w:r w:rsidRPr="00EE2E1F">
        <w:rPr>
          <w:rStyle w:val="FootnoteReference"/>
          <w:rFonts w:eastAsiaTheme="majorEastAsia"/>
        </w:rPr>
        <w:footnoteRef/>
      </w:r>
      <w:r w:rsidRPr="00EE2E1F">
        <w:t xml:space="preserve"> </w:t>
      </w:r>
      <w:r w:rsidRPr="00EE2E1F">
        <w:rPr>
          <w:i/>
        </w:rPr>
        <w:t>Id.</w:t>
      </w:r>
      <w:r w:rsidRPr="00EE2E1F">
        <w:t>at 2433 ¶¶157-58.</w:t>
      </w:r>
    </w:p>
  </w:footnote>
  <w:footnote w:id="462">
    <w:p w14:paraId="27C5A6C4" w14:textId="77777777" w:rsidR="00EE2E1F" w:rsidRPr="00EE2E1F" w:rsidRDefault="00EE2E1F" w:rsidP="00B7034F">
      <w:pPr>
        <w:pStyle w:val="FootnoteText"/>
      </w:pPr>
      <w:r w:rsidRPr="00EE2E1F">
        <w:rPr>
          <w:rStyle w:val="FootnoteReference"/>
        </w:rPr>
        <w:footnoteRef/>
      </w:r>
      <w:r w:rsidRPr="00EE2E1F">
        <w:t xml:space="preserve"> NASNA Comments at 13; NENA Comments at 8; Texas 9-1-1 Comments at 3, 11 (expressing its understanding that Verizon, AT&amp;T (including former Leap/Cricket), and T-Mobile (including former MetroPCS) currently use 90 percent, while Sprint uses 63 percent); APCO Reply Comments at 4; AT&amp;T Comments at 35; T-Mobile Comments at 21.  CSRIC III also noted this ATIS standard with respect to a standardized confidence level.  </w:t>
      </w:r>
      <w:r w:rsidRPr="00EE2E1F">
        <w:rPr>
          <w:i/>
        </w:rPr>
        <w:t>See</w:t>
      </w:r>
      <w:r w:rsidRPr="00EE2E1F">
        <w:t xml:space="preserve"> </w:t>
      </w:r>
      <w:r w:rsidRPr="00EE2E1F">
        <w:rPr>
          <w:i/>
        </w:rPr>
        <w:t>Outdoor Location Accuracy Report</w:t>
      </w:r>
      <w:r w:rsidRPr="00EE2E1F">
        <w:t xml:space="preserve"> at 19.  </w:t>
      </w:r>
      <w:r w:rsidRPr="00EE2E1F">
        <w:rPr>
          <w:i/>
        </w:rPr>
        <w:t>See also</w:t>
      </w:r>
      <w:r w:rsidRPr="00EE2E1F">
        <w:t xml:space="preserve"> ATIS Reply Comments at 6 (referring to the ATIS-ESIF recommendation that “[confidence] should be normalized at 90 percent to provide for the consistent interpretation of location data by the PSAP staff without significantly affecting the integrity of the calculated [uncertainty]”).  </w:t>
      </w:r>
      <w:r w:rsidRPr="00EE2E1F">
        <w:rPr>
          <w:i/>
        </w:rPr>
        <w:t>See id</w:t>
      </w:r>
      <w:r w:rsidRPr="00EE2E1F">
        <w:t xml:space="preserve">. at n.9 (citing ATIS ESIF Issue 70 (Final Closure Date: November 29, 2010), </w:t>
      </w:r>
      <w:r w:rsidRPr="00EE2E1F">
        <w:rPr>
          <w:i/>
        </w:rPr>
        <w:t>High Level Requirements for Accuracy Testing Methodologies</w:t>
      </w:r>
      <w:r w:rsidRPr="00EE2E1F">
        <w:t xml:space="preserve"> (ATIS-0500001)).).  </w:t>
      </w:r>
    </w:p>
  </w:footnote>
  <w:footnote w:id="463">
    <w:p w14:paraId="649B7BA7" w14:textId="5E31AE06" w:rsidR="00EE2E1F" w:rsidRPr="00EE2E1F" w:rsidRDefault="00EE2E1F" w:rsidP="00B7034F">
      <w:pPr>
        <w:pStyle w:val="FootnoteText"/>
      </w:pPr>
      <w:r w:rsidRPr="00EE2E1F">
        <w:rPr>
          <w:rStyle w:val="FootnoteReference"/>
          <w:rFonts w:eastAsiaTheme="majorEastAsia"/>
        </w:rPr>
        <w:footnoteRef/>
      </w:r>
      <w:r w:rsidRPr="00EE2E1F">
        <w:t xml:space="preserve"> </w:t>
      </w:r>
      <w:r w:rsidRPr="00EE2E1F">
        <w:rPr>
          <w:i/>
        </w:rPr>
        <w:t>See infra</w:t>
      </w:r>
      <w:r w:rsidRPr="00EE2E1F">
        <w:t xml:space="preserve"> para. </w:t>
      </w:r>
      <w:r w:rsidRPr="00EE2E1F">
        <w:fldChar w:fldCharType="begin"/>
      </w:r>
      <w:r w:rsidRPr="00EE2E1F">
        <w:instrText xml:space="preserve"> REF _Ref408486751 \r \h  \* MERGEFORMAT </w:instrText>
      </w:r>
      <w:r w:rsidRPr="00EE2E1F">
        <w:fldChar w:fldCharType="separate"/>
      </w:r>
      <w:r w:rsidR="005E367B">
        <w:t>188</w:t>
      </w:r>
      <w:r w:rsidRPr="00EE2E1F">
        <w:fldChar w:fldCharType="end"/>
      </w:r>
      <w:r w:rsidRPr="00EE2E1F">
        <w:t>.</w:t>
      </w:r>
    </w:p>
  </w:footnote>
  <w:footnote w:id="464">
    <w:p w14:paraId="3BE39653" w14:textId="74F9C98D" w:rsidR="00EE2E1F" w:rsidRPr="00EE2E1F" w:rsidRDefault="00EE2E1F" w:rsidP="00B7034F">
      <w:pPr>
        <w:pStyle w:val="FootnoteText"/>
      </w:pPr>
      <w:r w:rsidRPr="00EE2E1F">
        <w:rPr>
          <w:rStyle w:val="FootnoteReference"/>
        </w:rPr>
        <w:footnoteRef/>
      </w:r>
      <w:r w:rsidRPr="00EE2E1F">
        <w:t xml:space="preserve"> </w:t>
      </w:r>
      <w:r w:rsidRPr="00EE2E1F">
        <w:rPr>
          <w:i/>
        </w:rPr>
        <w:t>See supra</w:t>
      </w:r>
      <w:r w:rsidRPr="00EE2E1F">
        <w:t xml:space="preserve"> para. </w:t>
      </w:r>
      <w:r w:rsidRPr="00EE2E1F">
        <w:fldChar w:fldCharType="begin"/>
      </w:r>
      <w:r w:rsidRPr="00EE2E1F">
        <w:instrText xml:space="preserve"> REF _Ref408486663 \r \h  \* MERGEFORMAT </w:instrText>
      </w:r>
      <w:r w:rsidRPr="00EE2E1F">
        <w:fldChar w:fldCharType="separate"/>
      </w:r>
      <w:r w:rsidR="005E367B">
        <w:t>183</w:t>
      </w:r>
      <w:r w:rsidRPr="00EE2E1F">
        <w:fldChar w:fldCharType="end"/>
      </w:r>
      <w:r w:rsidRPr="00EE2E1F">
        <w:t xml:space="preserve"> note </w:t>
      </w:r>
      <w:r w:rsidRPr="00EE2E1F">
        <w:fldChar w:fldCharType="begin"/>
      </w:r>
      <w:r w:rsidRPr="00EE2E1F">
        <w:instrText xml:space="preserve"> NOTEREF _Ref408486683 \h  \* MERGEFORMAT </w:instrText>
      </w:r>
      <w:r w:rsidRPr="00EE2E1F">
        <w:fldChar w:fldCharType="separate"/>
      </w:r>
      <w:r w:rsidR="005E367B">
        <w:t>461</w:t>
      </w:r>
      <w:r w:rsidRPr="00EE2E1F">
        <w:fldChar w:fldCharType="end"/>
      </w:r>
      <w:r w:rsidRPr="00EE2E1F">
        <w:t>.</w:t>
      </w:r>
    </w:p>
  </w:footnote>
  <w:footnote w:id="465">
    <w:p w14:paraId="250AD422" w14:textId="77777777" w:rsidR="00EE2E1F" w:rsidRPr="00EE2E1F" w:rsidRDefault="00EE2E1F" w:rsidP="00B7034F">
      <w:pPr>
        <w:pStyle w:val="FootnoteText"/>
      </w:pPr>
      <w:r w:rsidRPr="00EE2E1F">
        <w:rPr>
          <w:rStyle w:val="FootnoteReference"/>
          <w:rFonts w:eastAsiaTheme="majorEastAsia"/>
        </w:rPr>
        <w:footnoteRef/>
      </w:r>
      <w:r w:rsidRPr="00EE2E1F">
        <w:t xml:space="preserve"> TCS Comments at 2 (if the call-taker does “not have enough trust in the location fix [because] the uncertainty level is too high,” it should perceive the need to obtain further location information from the caller before dispatching emergency services).</w:t>
      </w:r>
    </w:p>
  </w:footnote>
  <w:footnote w:id="466">
    <w:p w14:paraId="2B78D7FF" w14:textId="77777777" w:rsidR="00EE2E1F" w:rsidRPr="00EE2E1F" w:rsidRDefault="00EE2E1F" w:rsidP="00B7034F">
      <w:pPr>
        <w:pStyle w:val="FootnoteText"/>
      </w:pPr>
      <w:r w:rsidRPr="00EE2E1F">
        <w:rPr>
          <w:rStyle w:val="FootnoteReference"/>
          <w:rFonts w:eastAsiaTheme="majorEastAsia"/>
        </w:rPr>
        <w:footnoteRef/>
      </w:r>
      <w:r w:rsidRPr="00EE2E1F">
        <w:t xml:space="preserve"> TCS Comments at 2.</w:t>
      </w:r>
    </w:p>
  </w:footnote>
  <w:footnote w:id="467">
    <w:p w14:paraId="56031B97" w14:textId="77777777" w:rsidR="00EE2E1F" w:rsidRPr="00EE2E1F" w:rsidRDefault="00EE2E1F" w:rsidP="00B7034F">
      <w:pPr>
        <w:pStyle w:val="FootnoteText"/>
      </w:pPr>
      <w:r w:rsidRPr="00EE2E1F">
        <w:rPr>
          <w:rStyle w:val="FootnoteReference"/>
          <w:rFonts w:eastAsiaTheme="majorEastAsia"/>
        </w:rPr>
        <w:footnoteRef/>
      </w:r>
      <w:r w:rsidRPr="00EE2E1F">
        <w:t xml:space="preserve"> Comments indicate that the uncertainty value sent from a small cell location would approach zero.  </w:t>
      </w:r>
      <w:r w:rsidRPr="00EE2E1F">
        <w:rPr>
          <w:i/>
        </w:rPr>
        <w:t>See</w:t>
      </w:r>
      <w:r w:rsidRPr="00EE2E1F">
        <w:t xml:space="preserve"> AT&amp;T Comments at 35 (with “the long-term solution of a dispatchable address, certainty-uncertainty data would be unnecessary, except in cases where latitude/longitude ALI was provided because a dispatchable address was unavailable”).  </w:t>
      </w:r>
      <w:r w:rsidRPr="00EE2E1F">
        <w:rPr>
          <w:i/>
        </w:rPr>
        <w:t>See also</w:t>
      </w:r>
      <w:r w:rsidRPr="00EE2E1F">
        <w:t xml:space="preserve"> Intrado Comments at 13 (“[w]ith the introduction of femtocells and small cells, the concept that a Phase I location is less accurate than a Phase II location is not always true.”).</w:t>
      </w:r>
    </w:p>
  </w:footnote>
  <w:footnote w:id="468">
    <w:p w14:paraId="50465469" w14:textId="77777777" w:rsidR="00EE2E1F" w:rsidRPr="00EE2E1F" w:rsidRDefault="00EE2E1F" w:rsidP="00DD1205">
      <w:pPr>
        <w:pStyle w:val="FootnoteText"/>
      </w:pPr>
      <w:r w:rsidRPr="00EE2E1F">
        <w:rPr>
          <w:rStyle w:val="FootnoteReference"/>
          <w:rFonts w:eastAsiaTheme="majorEastAsia"/>
        </w:rPr>
        <w:footnoteRef/>
      </w:r>
      <w:r w:rsidRPr="00EE2E1F">
        <w:t xml:space="preserve"> NASNA Comments at 13; NENA Comments at 8; Texas 9-1-1 Comments at 3, 11; APCO Reply Comments at 4; AT&amp;T Comments at 35; T-Mobile Comments at 21; Intrado Comments at 13; TCS Comments at 7; Rx Networks Comments at 16.  </w:t>
      </w:r>
    </w:p>
  </w:footnote>
  <w:footnote w:id="469">
    <w:p w14:paraId="352110D8" w14:textId="7D57D448" w:rsidR="00EE2E1F" w:rsidRPr="00EE2E1F" w:rsidRDefault="00EE2E1F" w:rsidP="00DD1205">
      <w:pPr>
        <w:pStyle w:val="FootnoteText"/>
      </w:pPr>
      <w:r w:rsidRPr="00EE2E1F">
        <w:rPr>
          <w:rStyle w:val="FootnoteReference"/>
          <w:rFonts w:eastAsiaTheme="majorEastAsia"/>
        </w:rPr>
        <w:footnoteRef/>
      </w:r>
      <w:r w:rsidRPr="00EE2E1F">
        <w:t xml:space="preserve"> ATIS Reply Comments at 6 (concerning ATIS standard 0500001); AT&amp;T Comments at 35.  CSRIC III also noted this ATIS standard with respect to a standardized confidence level.  </w:t>
      </w:r>
      <w:r w:rsidRPr="00EE2E1F">
        <w:rPr>
          <w:i/>
        </w:rPr>
        <w:t>See</w:t>
      </w:r>
      <w:r w:rsidRPr="00EE2E1F">
        <w:t xml:space="preserve"> </w:t>
      </w:r>
      <w:r w:rsidRPr="00EE2E1F">
        <w:rPr>
          <w:i/>
        </w:rPr>
        <w:t>Outdoor Location Accuracy Report</w:t>
      </w:r>
      <w:r w:rsidRPr="00EE2E1F">
        <w:t xml:space="preserve"> at 19.    </w:t>
      </w:r>
    </w:p>
  </w:footnote>
  <w:footnote w:id="470">
    <w:p w14:paraId="508FF9FF" w14:textId="77777777" w:rsidR="00EE2E1F" w:rsidRPr="00EE2E1F" w:rsidRDefault="00EE2E1F" w:rsidP="00DD1205">
      <w:pPr>
        <w:pStyle w:val="FootnoteText"/>
      </w:pPr>
      <w:r w:rsidRPr="00EE2E1F">
        <w:rPr>
          <w:rStyle w:val="FootnoteReference"/>
          <w:rFonts w:eastAsiaTheme="majorEastAsia"/>
        </w:rPr>
        <w:footnoteRef/>
      </w:r>
      <w:r w:rsidRPr="00EE2E1F">
        <w:t xml:space="preserve"> TCS Comments at 7, 13 (submitting that IETF RFC 5491 establishes the “mechanism” that is “foundational” for “NG9-1-1 as defined by the NENA 08-003 standard.”).  </w:t>
      </w:r>
      <w:r w:rsidRPr="00EE2E1F">
        <w:rPr>
          <w:i/>
        </w:rPr>
        <w:t>See also</w:t>
      </w:r>
      <w:r w:rsidRPr="00EE2E1F">
        <w:t xml:space="preserve"> APCO Reply Comments at 4 (“There may be merit in revisiting the 90% confidence metric as emerging technologies are analyzed and evaluated . . . .”).  NENA submits that “[t]he Commission should announce a longer term goal of implementing a 95% confidence level” as the “existing standard for location representation in NG9-1-1 systems. NENA Comments at 9.  NENA asserts that as “improvements in positioning technology . . . trickle-down to consumer devices and ‘consumer-facing’ networks… the required confidence level for position fixes can be increased without inducing a corresponding increase in reported uncertainties.”  </w:t>
      </w:r>
      <w:r w:rsidRPr="00EE2E1F">
        <w:rPr>
          <w:i/>
        </w:rPr>
        <w:t>Id</w:t>
      </w:r>
      <w:r w:rsidRPr="00EE2E1F">
        <w:t>.</w:t>
      </w:r>
    </w:p>
  </w:footnote>
  <w:footnote w:id="471">
    <w:p w14:paraId="3E768913" w14:textId="77777777" w:rsidR="00EE2E1F" w:rsidRPr="00EE2E1F" w:rsidRDefault="00EE2E1F" w:rsidP="00DD1205">
      <w:pPr>
        <w:pStyle w:val="FootnoteText"/>
      </w:pPr>
      <w:r w:rsidRPr="00EE2E1F">
        <w:rPr>
          <w:rStyle w:val="FootnoteReference"/>
          <w:rFonts w:eastAsiaTheme="majorEastAsia"/>
        </w:rPr>
        <w:footnoteRef/>
      </w:r>
      <w:r w:rsidRPr="00EE2E1F">
        <w:t xml:space="preserve"> RWA Comments at 8.</w:t>
      </w:r>
    </w:p>
  </w:footnote>
  <w:footnote w:id="472">
    <w:p w14:paraId="647564C8" w14:textId="77777777" w:rsidR="00EE2E1F" w:rsidRPr="00EE2E1F" w:rsidRDefault="00EE2E1F" w:rsidP="00DD1205">
      <w:pPr>
        <w:pStyle w:val="FootnoteText"/>
      </w:pPr>
      <w:r w:rsidRPr="00EE2E1F">
        <w:rPr>
          <w:rStyle w:val="FootnoteReference"/>
          <w:rFonts w:eastAsiaTheme="majorEastAsia"/>
        </w:rPr>
        <w:footnoteRef/>
      </w:r>
      <w:r w:rsidRPr="00EE2E1F">
        <w:t xml:space="preserve"> NENA Comments at 8.  </w:t>
      </w:r>
    </w:p>
  </w:footnote>
  <w:footnote w:id="473">
    <w:p w14:paraId="06A8466B" w14:textId="11518F1E" w:rsidR="00EE2E1F" w:rsidRPr="00EE2E1F" w:rsidRDefault="00EE2E1F" w:rsidP="00DD1205">
      <w:pPr>
        <w:pStyle w:val="FootnoteText"/>
      </w:pPr>
      <w:r w:rsidRPr="00EE2E1F">
        <w:rPr>
          <w:rStyle w:val="FootnoteReference"/>
          <w:rFonts w:eastAsiaTheme="majorEastAsia"/>
        </w:rPr>
        <w:footnoteRef/>
      </w:r>
      <w:r w:rsidRPr="00EE2E1F">
        <w:t xml:space="preserve"> We also urge CMRS providers to consider public safety concerns, expressed by NENA and Intrado, on how the capability for more discrete location information from PSAPs’ GIS-mapping and reverse geo-coding systems may affect accuracy and uncertainty representations.  For example, NENA submits that “[c]oincident with the deployment of NG9-1-1 systems, PSAP systems and processes” will be capable of “support[ing] ever more powerful GIS-based mapping and reverse-geocoding systems[,]” and PSAPs “will gain the ability to display more complex location uncertainty representations . . . .”  </w:t>
      </w:r>
      <w:r w:rsidRPr="00EE2E1F">
        <w:rPr>
          <w:i/>
        </w:rPr>
        <w:t xml:space="preserve">See </w:t>
      </w:r>
      <w:r w:rsidRPr="00EE2E1F">
        <w:t xml:space="preserve">NENA Comments at 9 (informing that “carrier network standards like ATIS/TIA J-STD-036 already support the use of some such uncertainty representations”).  Intrado reports that current PSAP mapping programs providing reverse geo-coding of x/y coordinates may generate “address location error that often results in a failure to meet public safety’s needs.”  Letter from Craig W. Donaldson, Senior Vice President Regulatory &amp; Government Affairs, Intrado, to Marlene H. Dortch, Secretary, Federal Communications Commission, filed Sept. 26, 2014 (Intrado Sept. 26, 2014 </w:t>
      </w:r>
      <w:r w:rsidRPr="00EE2E1F">
        <w:rPr>
          <w:i/>
        </w:rPr>
        <w:t>Ex Parte</w:t>
      </w:r>
      <w:r w:rsidRPr="00EE2E1F">
        <w:t xml:space="preserve">).  </w:t>
      </w:r>
      <w:r w:rsidRPr="00EE2E1F">
        <w:rPr>
          <w:i/>
        </w:rPr>
        <w:t>See also id</w:t>
      </w:r>
      <w:r w:rsidRPr="00EE2E1F">
        <w:t xml:space="preserve">., Attachment at 8.  Intrado suggests that “improvements to underlying base mapping could substantially improve the accuracy of a dispatchable address.”  Intrado Comments at 13.  </w:t>
      </w:r>
    </w:p>
  </w:footnote>
  <w:footnote w:id="474">
    <w:p w14:paraId="00A230B8" w14:textId="77777777" w:rsidR="00EE2E1F" w:rsidRPr="00EE2E1F" w:rsidRDefault="00EE2E1F" w:rsidP="00B7034F">
      <w:pPr>
        <w:pStyle w:val="FootnoteText"/>
      </w:pPr>
      <w:r w:rsidRPr="00EE2E1F">
        <w:rPr>
          <w:rStyle w:val="FootnoteReference"/>
          <w:rFonts w:eastAsiaTheme="majorEastAsia"/>
        </w:rPr>
        <w:footnoteRef/>
      </w:r>
      <w:r w:rsidRPr="00EE2E1F">
        <w:t xml:space="preserve"> Verizon Comments at 30-31.</w:t>
      </w:r>
    </w:p>
  </w:footnote>
  <w:footnote w:id="475">
    <w:p w14:paraId="6933BF02" w14:textId="77777777" w:rsidR="00EE2E1F" w:rsidRPr="00EE2E1F" w:rsidRDefault="00EE2E1F" w:rsidP="00B7034F">
      <w:pPr>
        <w:pStyle w:val="FootnoteText"/>
      </w:pPr>
      <w:r w:rsidRPr="00EE2E1F">
        <w:rPr>
          <w:rStyle w:val="FootnoteReference"/>
          <w:rFonts w:eastAsiaTheme="majorEastAsia"/>
        </w:rPr>
        <w:footnoteRef/>
      </w:r>
      <w:r w:rsidRPr="00EE2E1F">
        <w:t xml:space="preserve"> Sprint Comments at 20; iCERT Reply Comments at 2-3.</w:t>
      </w:r>
    </w:p>
  </w:footnote>
  <w:footnote w:id="476">
    <w:p w14:paraId="0133AA77" w14:textId="3E26C9C7" w:rsidR="00EE2E1F" w:rsidRPr="00EE2E1F" w:rsidRDefault="00EE2E1F" w:rsidP="00B7034F">
      <w:pPr>
        <w:pStyle w:val="FootnoteText"/>
      </w:pPr>
      <w:r w:rsidRPr="00EE2E1F">
        <w:rPr>
          <w:rStyle w:val="FootnoteReference"/>
          <w:rFonts w:eastAsiaTheme="majorEastAsia"/>
        </w:rPr>
        <w:footnoteRef/>
      </w:r>
      <w:r w:rsidRPr="00EE2E1F">
        <w:t xml:space="preserve"> </w:t>
      </w:r>
      <w:r w:rsidRPr="00EE2E1F">
        <w:rPr>
          <w:i/>
        </w:rPr>
        <w:t>CSRIC VoLTE Report</w:t>
      </w:r>
      <w:r w:rsidRPr="00EE2E1F">
        <w:t xml:space="preserve"> at 7.</w:t>
      </w:r>
    </w:p>
  </w:footnote>
  <w:footnote w:id="477">
    <w:p w14:paraId="361F440A" w14:textId="63A6ECA9" w:rsidR="00EE2E1F" w:rsidRPr="00EE2E1F" w:rsidRDefault="00EE2E1F" w:rsidP="00B7034F">
      <w:pPr>
        <w:pStyle w:val="FootnoteText"/>
      </w:pPr>
      <w:r w:rsidRPr="00EE2E1F">
        <w:rPr>
          <w:rStyle w:val="FootnoteReference"/>
          <w:rFonts w:eastAsiaTheme="majorEastAsia"/>
        </w:rPr>
        <w:footnoteRef/>
      </w:r>
      <w:r w:rsidRPr="00EE2E1F">
        <w:t xml:space="preserve"> </w:t>
      </w:r>
      <w:r w:rsidRPr="00EE2E1F">
        <w:rPr>
          <w:i/>
        </w:rPr>
        <w:t>Id</w:t>
      </w:r>
      <w:r w:rsidRPr="00EE2E1F">
        <w:t>.</w:t>
      </w:r>
    </w:p>
  </w:footnote>
  <w:footnote w:id="478">
    <w:p w14:paraId="6881FEEF" w14:textId="77777777" w:rsidR="00EE2E1F" w:rsidRPr="00EE2E1F" w:rsidRDefault="00EE2E1F" w:rsidP="00B7034F">
      <w:pPr>
        <w:pStyle w:val="FootnoteText"/>
      </w:pPr>
      <w:r w:rsidRPr="00EE2E1F">
        <w:rPr>
          <w:rStyle w:val="FootnoteReference"/>
          <w:rFonts w:eastAsiaTheme="majorEastAsia"/>
        </w:rPr>
        <w:footnoteRef/>
      </w:r>
      <w:r w:rsidRPr="00EE2E1F">
        <w:t xml:space="preserve"> </w:t>
      </w:r>
      <w:r w:rsidRPr="00EE2E1F">
        <w:rPr>
          <w:i/>
        </w:rPr>
        <w:t>See, e.g.,</w:t>
      </w:r>
      <w:r w:rsidRPr="00EE2E1F">
        <w:t xml:space="preserve"> Rx Networks Comments at 16 (generally indicating that “the cost of implementing this requirement is low given the technology available today.”).</w:t>
      </w:r>
    </w:p>
  </w:footnote>
  <w:footnote w:id="479">
    <w:p w14:paraId="5E1E112E" w14:textId="77777777" w:rsidR="00EE2E1F" w:rsidRPr="00EE2E1F" w:rsidRDefault="00EE2E1F" w:rsidP="00B7034F">
      <w:pPr>
        <w:pStyle w:val="FootnoteText"/>
      </w:pPr>
      <w:r w:rsidRPr="00EE2E1F">
        <w:rPr>
          <w:rStyle w:val="FootnoteReference"/>
          <w:rFonts w:eastAsiaTheme="majorEastAsia"/>
        </w:rPr>
        <w:footnoteRef/>
      </w:r>
      <w:r w:rsidRPr="00EE2E1F">
        <w:t xml:space="preserve"> 47 C.F.R. § 20.18(h)(3).</w:t>
      </w:r>
    </w:p>
  </w:footnote>
  <w:footnote w:id="480">
    <w:p w14:paraId="4286034D" w14:textId="77777777" w:rsidR="00EE2E1F" w:rsidRPr="00EE2E1F" w:rsidRDefault="00EE2E1F" w:rsidP="00B7034F">
      <w:pPr>
        <w:pStyle w:val="FootnoteText"/>
      </w:pPr>
      <w:r w:rsidRPr="00EE2E1F">
        <w:rPr>
          <w:rStyle w:val="FootnoteReference"/>
          <w:rFonts w:eastAsiaTheme="majorEastAsia"/>
        </w:rPr>
        <w:footnoteRef/>
      </w:r>
      <w:r w:rsidRPr="00EE2E1F">
        <w:t xml:space="preserve"> Letter from Allison M. Jones, Counsel-Legal/Government Affairs, Sprint Corporation, to the Marlene H. Dortch, Secretary, Federal Communications Commission, PS Docket No. 07-114 (filed Sept. 30, 2013), Attachment at 9, 11, 13, 15, 17 (Sprint Sept. 30, 2013 </w:t>
      </w:r>
      <w:r w:rsidRPr="00EE2E1F">
        <w:rPr>
          <w:i/>
        </w:rPr>
        <w:t>Ex Parte</w:t>
      </w:r>
      <w:r w:rsidRPr="00EE2E1F">
        <w:t xml:space="preserve"> Letter).</w:t>
      </w:r>
    </w:p>
  </w:footnote>
  <w:footnote w:id="481">
    <w:p w14:paraId="7C45B6EB" w14:textId="252B88B2" w:rsidR="00EE2E1F" w:rsidRPr="00EE2E1F" w:rsidRDefault="00EE2E1F" w:rsidP="00B7034F">
      <w:pPr>
        <w:pStyle w:val="FootnoteText"/>
      </w:pPr>
      <w:r w:rsidRPr="00EE2E1F">
        <w:rPr>
          <w:rStyle w:val="FootnoteReference"/>
          <w:rFonts w:eastAsiaTheme="majorEastAsia"/>
        </w:rPr>
        <w:footnoteRef/>
      </w:r>
      <w:r w:rsidRPr="00EE2E1F">
        <w:t xml:space="preserve"> 47 C.F.R. § 20.18 (h)(3).  </w:t>
      </w:r>
    </w:p>
  </w:footnote>
  <w:footnote w:id="482">
    <w:p w14:paraId="19874DA2" w14:textId="77777777" w:rsidR="00EE2E1F" w:rsidRPr="00EE2E1F" w:rsidRDefault="00EE2E1F" w:rsidP="00B7034F">
      <w:pPr>
        <w:pStyle w:val="FootnoteText"/>
      </w:pPr>
      <w:r w:rsidRPr="00EE2E1F">
        <w:rPr>
          <w:rStyle w:val="FootnoteReference"/>
        </w:rPr>
        <w:footnoteRef/>
      </w:r>
      <w:r w:rsidRPr="00EE2E1F">
        <w:t xml:space="preserve"> All SSPs, including LECs, must continue to provide the technical capabilities and any modifications necessary to ensure that PSAPs receive C/U data in accordance with our requirements.  </w:t>
      </w:r>
      <w:r w:rsidRPr="00EE2E1F">
        <w:rPr>
          <w:i/>
        </w:rPr>
        <w:t>See</w:t>
      </w:r>
      <w:r w:rsidRPr="00EE2E1F">
        <w:t xml:space="preserve"> </w:t>
      </w:r>
      <w:r w:rsidRPr="00EE2E1F">
        <w:rPr>
          <w:i/>
        </w:rPr>
        <w:t>generally</w:t>
      </w:r>
      <w:r w:rsidRPr="00EE2E1F">
        <w:t xml:space="preserve"> Sprint Comments at 20 (indicating that PSAPs may not be receiving C/U data “because the LEC S/R may be truncating it or the PSAP may have turned off such functionality.”).</w:t>
      </w:r>
    </w:p>
  </w:footnote>
  <w:footnote w:id="483">
    <w:p w14:paraId="76BA07DB" w14:textId="77777777" w:rsidR="00EE2E1F" w:rsidRPr="00EE2E1F" w:rsidRDefault="00EE2E1F" w:rsidP="00B7034F">
      <w:pPr>
        <w:pStyle w:val="FootnoteText"/>
      </w:pPr>
      <w:r w:rsidRPr="00EE2E1F">
        <w:rPr>
          <w:rStyle w:val="FootnoteReference"/>
          <w:rFonts w:eastAsiaTheme="majorEastAsia"/>
        </w:rPr>
        <w:footnoteRef/>
      </w:r>
      <w:r w:rsidRPr="00EE2E1F">
        <w:t xml:space="preserve"> NENA Comments at 9; Sprint Comments at 20.  </w:t>
      </w:r>
      <w:r w:rsidRPr="00EE2E1F">
        <w:rPr>
          <w:i/>
        </w:rPr>
        <w:t>See also</w:t>
      </w:r>
      <w:r w:rsidRPr="00EE2E1F">
        <w:t xml:space="preserve"> NASNA Comments at 13 (“the format of C/U requirements should [not] differ for indoor versus outdoor calls [as this] would complicate its display at the PSAP.”).</w:t>
      </w:r>
    </w:p>
  </w:footnote>
  <w:footnote w:id="484">
    <w:p w14:paraId="59CC4BC0" w14:textId="77777777" w:rsidR="00EE2E1F" w:rsidRPr="00EE2E1F" w:rsidRDefault="00EE2E1F" w:rsidP="00B7034F">
      <w:pPr>
        <w:pStyle w:val="FootnoteText"/>
      </w:pPr>
      <w:r w:rsidRPr="00EE2E1F">
        <w:rPr>
          <w:rStyle w:val="FootnoteReference"/>
          <w:rFonts w:eastAsiaTheme="majorEastAsia"/>
        </w:rPr>
        <w:footnoteRef/>
      </w:r>
      <w:r w:rsidRPr="00EE2E1F">
        <w:t xml:space="preserve"> </w:t>
      </w:r>
      <w:r w:rsidRPr="00EE2E1F">
        <w:rPr>
          <w:i/>
        </w:rPr>
        <w:t>See</w:t>
      </w:r>
      <w:r w:rsidRPr="00EE2E1F">
        <w:t xml:space="preserve">, </w:t>
      </w:r>
      <w:r w:rsidRPr="00EE2E1F">
        <w:rPr>
          <w:i/>
        </w:rPr>
        <w:t>e.g.,</w:t>
      </w:r>
      <w:r w:rsidRPr="00EE2E1F">
        <w:t xml:space="preserve"> Roadmap, at 5, Sec. 2(d)(iii) (concerning “standards activities to operationalize the display of dispatchable location in pre NG-911 PSAPs”).  Similarly, we encourage stakeholders to develop a consistent format and approach for the delivery of C/U data for vertical location information. </w:t>
      </w:r>
      <w:r w:rsidRPr="00EE2E1F">
        <w:rPr>
          <w:i/>
        </w:rPr>
        <w:t xml:space="preserve"> See</w:t>
      </w:r>
      <w:r w:rsidRPr="00EE2E1F">
        <w:t xml:space="preserve"> T-Mobile Reply Comments at 15 (concerning the possibility that vertical location information may have an independent uncertainty value, “[a]ll PSAP interfaces and PSAP operational procedures may not support presentation of vertical location uncertainty information”). </w:t>
      </w:r>
    </w:p>
  </w:footnote>
  <w:footnote w:id="485">
    <w:p w14:paraId="0D82F3DF" w14:textId="77777777" w:rsidR="00EE2E1F" w:rsidRPr="00EE2E1F" w:rsidRDefault="00EE2E1F" w:rsidP="00B7034F">
      <w:pPr>
        <w:pStyle w:val="FootnoteText"/>
      </w:pPr>
      <w:r w:rsidRPr="00EE2E1F">
        <w:rPr>
          <w:rStyle w:val="FootnoteReference"/>
          <w:rFonts w:eastAsiaTheme="majorEastAsia"/>
        </w:rPr>
        <w:footnoteRef/>
      </w:r>
      <w:r w:rsidRPr="00EE2E1F">
        <w:t xml:space="preserve"> </w:t>
      </w:r>
      <w:r w:rsidRPr="00EE2E1F">
        <w:rPr>
          <w:i/>
        </w:rPr>
        <w:t>Third Further Notice</w:t>
      </w:r>
      <w:r w:rsidRPr="00EE2E1F">
        <w:t>, 29 FCC Rcd at 2437-38 ¶ 169.</w:t>
      </w:r>
    </w:p>
  </w:footnote>
  <w:footnote w:id="486">
    <w:p w14:paraId="73D273CC" w14:textId="34546D49" w:rsidR="00EE2E1F" w:rsidRPr="00EE2E1F" w:rsidRDefault="00EE2E1F" w:rsidP="00B7034F">
      <w:pPr>
        <w:pStyle w:val="FootnoteText"/>
      </w:pPr>
      <w:r w:rsidRPr="00EE2E1F">
        <w:rPr>
          <w:rStyle w:val="FootnoteReference"/>
          <w:rFonts w:eastAsiaTheme="majorEastAsia"/>
        </w:rPr>
        <w:footnoteRef/>
      </w:r>
      <w:r w:rsidRPr="00EE2E1F">
        <w:t xml:space="preserve"> </w:t>
      </w:r>
      <w:r w:rsidRPr="00EE2E1F">
        <w:rPr>
          <w:i/>
        </w:rPr>
        <w:t>Id.</w:t>
      </w:r>
      <w:r w:rsidRPr="00EE2E1F">
        <w:t xml:space="preserve"> at 2437-38 ¶¶ 169-70.</w:t>
      </w:r>
    </w:p>
  </w:footnote>
  <w:footnote w:id="487">
    <w:p w14:paraId="6BB14561" w14:textId="77777777" w:rsidR="00EE2E1F" w:rsidRPr="00EE2E1F" w:rsidRDefault="00EE2E1F" w:rsidP="00B7034F">
      <w:pPr>
        <w:pStyle w:val="FootnoteText"/>
      </w:pPr>
      <w:r w:rsidRPr="00EE2E1F">
        <w:rPr>
          <w:rStyle w:val="FootnoteReference"/>
          <w:rFonts w:eastAsiaTheme="majorEastAsia"/>
        </w:rPr>
        <w:footnoteRef/>
      </w:r>
      <w:r w:rsidRPr="00EE2E1F">
        <w:t xml:space="preserve"> APCO Comments at 8; CALNENA Comments at 2; NARUC Comments at 3;  NASNA Comments at 13(suggesting annual reports that “break down . . . how many calls are delivered as Phase I vs. Phase II”); BRETSA Reply Comments at 4, 7; Consumers Union Reply Comments at 2; TruePosition Comments at 18. </w:t>
      </w:r>
    </w:p>
  </w:footnote>
  <w:footnote w:id="488">
    <w:p w14:paraId="0ABF8637" w14:textId="77777777" w:rsidR="00EE2E1F" w:rsidRPr="00EE2E1F" w:rsidRDefault="00EE2E1F" w:rsidP="00B7034F">
      <w:pPr>
        <w:pStyle w:val="FootnoteText"/>
      </w:pPr>
      <w:r w:rsidRPr="00EE2E1F">
        <w:rPr>
          <w:rStyle w:val="FootnoteReference"/>
          <w:rFonts w:eastAsiaTheme="majorEastAsia"/>
        </w:rPr>
        <w:footnoteRef/>
      </w:r>
      <w:r w:rsidRPr="00EE2E1F">
        <w:t xml:space="preserve"> Verizon Comments at 36.  </w:t>
      </w:r>
    </w:p>
  </w:footnote>
  <w:footnote w:id="489">
    <w:p w14:paraId="708C95B7" w14:textId="77777777" w:rsidR="00EE2E1F" w:rsidRPr="00EE2E1F" w:rsidRDefault="00EE2E1F" w:rsidP="00B7034F">
      <w:pPr>
        <w:pStyle w:val="FootnoteText"/>
      </w:pPr>
      <w:r w:rsidRPr="00EE2E1F">
        <w:rPr>
          <w:rStyle w:val="FootnoteReference"/>
          <w:rFonts w:eastAsiaTheme="majorEastAsia"/>
        </w:rPr>
        <w:footnoteRef/>
      </w:r>
      <w:r w:rsidRPr="00EE2E1F">
        <w:t xml:space="preserve"> NextNav Comments at 56.   </w:t>
      </w:r>
    </w:p>
  </w:footnote>
  <w:footnote w:id="490">
    <w:p w14:paraId="5C586DFD" w14:textId="77777777" w:rsidR="00EE2E1F" w:rsidRPr="00EE2E1F" w:rsidRDefault="00EE2E1F">
      <w:pPr>
        <w:pStyle w:val="FootnoteText"/>
      </w:pPr>
      <w:r w:rsidRPr="00EE2E1F">
        <w:rPr>
          <w:rStyle w:val="FootnoteReference"/>
        </w:rPr>
        <w:footnoteRef/>
      </w:r>
      <w:r w:rsidRPr="00EE2E1F">
        <w:t xml:space="preserve"> RWA Comments at 8.</w:t>
      </w:r>
    </w:p>
  </w:footnote>
  <w:footnote w:id="491">
    <w:p w14:paraId="47805AF3" w14:textId="3174258E" w:rsidR="00EE2E1F" w:rsidRPr="00EE2E1F" w:rsidRDefault="00EE2E1F" w:rsidP="00253B28">
      <w:pPr>
        <w:pStyle w:val="FootnoteText"/>
      </w:pPr>
      <w:r w:rsidRPr="00EE2E1F">
        <w:rPr>
          <w:rStyle w:val="FootnoteReference"/>
        </w:rPr>
        <w:footnoteRef/>
      </w:r>
      <w:r w:rsidRPr="00EE2E1F">
        <w:t xml:space="preserve"> </w:t>
      </w:r>
      <w:r w:rsidRPr="00EE2E1F">
        <w:rPr>
          <w:i/>
        </w:rPr>
        <w:t>See</w:t>
      </w:r>
      <w:r w:rsidRPr="00EE2E1F">
        <w:t xml:space="preserve"> </w:t>
      </w:r>
      <w:r w:rsidRPr="00EE2E1F">
        <w:rPr>
          <w:i/>
        </w:rPr>
        <w:t>infra</w:t>
      </w:r>
      <w:r w:rsidRPr="00EE2E1F">
        <w:t xml:space="preserve"> Section </w:t>
      </w:r>
      <w:r w:rsidRPr="00EE2E1F">
        <w:fldChar w:fldCharType="begin"/>
      </w:r>
      <w:r w:rsidRPr="00EE2E1F">
        <w:instrText xml:space="preserve"> REF _Ref409006965 \w \h  \* MERGEFORMAT </w:instrText>
      </w:r>
      <w:r w:rsidRPr="00EE2E1F">
        <w:fldChar w:fldCharType="separate"/>
      </w:r>
      <w:r w:rsidR="005E367B">
        <w:t>III.B.5.c</w:t>
      </w:r>
      <w:r w:rsidRPr="00EE2E1F">
        <w:fldChar w:fldCharType="end"/>
      </w:r>
      <w:r w:rsidRPr="00EE2E1F">
        <w:t>.  In light of differing PSAP capabilities, a PSAP may request that the CMRS provider make this information available to the PSAP in the aggregate or in real time.  CMRS providers should accommodate such requests, in order to allow PSAPs access to call tracking information in whatever format best suits their needs and capabilities.</w:t>
      </w:r>
    </w:p>
  </w:footnote>
  <w:footnote w:id="492">
    <w:p w14:paraId="222E0687" w14:textId="77777777" w:rsidR="00EE2E1F" w:rsidRPr="00EE2E1F" w:rsidRDefault="00EE2E1F" w:rsidP="00253B28">
      <w:pPr>
        <w:pStyle w:val="FootnoteText"/>
      </w:pPr>
      <w:r w:rsidRPr="00EE2E1F">
        <w:rPr>
          <w:rStyle w:val="FootnoteReference"/>
          <w:rFonts w:eastAsiaTheme="majorEastAsia"/>
        </w:rPr>
        <w:footnoteRef/>
      </w:r>
      <w:r w:rsidRPr="00EE2E1F">
        <w:t xml:space="preserve"> This percentage would compare the number of calls that generate requisite location information within the required TTFF of 30 seconds to the total number of 911 calls lasting 30 seconds or more.  </w:t>
      </w:r>
    </w:p>
  </w:footnote>
  <w:footnote w:id="493">
    <w:p w14:paraId="5ABD323F" w14:textId="4FD18D7B" w:rsidR="00EE2E1F" w:rsidRPr="00EE2E1F" w:rsidRDefault="00EE2E1F" w:rsidP="00253B28">
      <w:pPr>
        <w:pStyle w:val="FootnoteText"/>
      </w:pPr>
      <w:r w:rsidRPr="00EE2E1F">
        <w:rPr>
          <w:rStyle w:val="FootnoteReference"/>
          <w:rFonts w:eastAsiaTheme="majorEastAsia"/>
        </w:rPr>
        <w:footnoteRef/>
      </w:r>
      <w:r w:rsidRPr="00EE2E1F">
        <w:t xml:space="preserve"> As new technologies enter the E911 ecosystem, we recognize that it may not be immediately feasible to incorporate the new technology into the call tracking system.  </w:t>
      </w:r>
      <w:r w:rsidRPr="00EE2E1F">
        <w:rPr>
          <w:i/>
        </w:rPr>
        <w:t xml:space="preserve">See </w:t>
      </w:r>
      <w:r w:rsidRPr="00EE2E1F">
        <w:t xml:space="preserve">Verizon Comments at 31 (contending that identifying the location technology “is a more appropriate subject for standards or best practices . . . , given rapidly evolving wireless technology”).  We do not require CMRS providers to deliver information on the type of location technology used to provide a location fix with active 911 calls unless (1) a PSAP specifically requests this data, and (2) it is technically feasible to do so.    </w:t>
      </w:r>
    </w:p>
  </w:footnote>
  <w:footnote w:id="494">
    <w:p w14:paraId="273D867C" w14:textId="77777777" w:rsidR="00EE2E1F" w:rsidRPr="00EE2E1F" w:rsidRDefault="00EE2E1F" w:rsidP="00253B28">
      <w:pPr>
        <w:pStyle w:val="FootnoteText"/>
      </w:pPr>
      <w:r w:rsidRPr="00EE2E1F">
        <w:rPr>
          <w:rStyle w:val="FootnoteReference"/>
          <w:rFonts w:eastAsiaTheme="majorEastAsia"/>
        </w:rPr>
        <w:footnoteRef/>
      </w:r>
      <w:r w:rsidRPr="00EE2E1F">
        <w:t xml:space="preserve"> BRETSA Comments at 29; T-Mobile Comments at 21; Rx Networks Comments at 17.</w:t>
      </w:r>
    </w:p>
  </w:footnote>
  <w:footnote w:id="495">
    <w:p w14:paraId="7E5D1697" w14:textId="1BC4DA75" w:rsidR="00EE2E1F" w:rsidRPr="00EE2E1F" w:rsidRDefault="00EE2E1F">
      <w:pPr>
        <w:pStyle w:val="FootnoteText"/>
      </w:pPr>
      <w:r w:rsidRPr="00EE2E1F">
        <w:rPr>
          <w:rStyle w:val="FootnoteReference"/>
        </w:rPr>
        <w:footnoteRef/>
      </w:r>
      <w:r w:rsidRPr="00EE2E1F">
        <w:t xml:space="preserve"> </w:t>
      </w:r>
      <w:r w:rsidRPr="00EE2E1F">
        <w:rPr>
          <w:i/>
        </w:rPr>
        <w:t>See infra</w:t>
      </w:r>
      <w:r w:rsidRPr="00EE2E1F">
        <w:t xml:space="preserve"> Section </w:t>
      </w:r>
      <w:r w:rsidRPr="00EE2E1F">
        <w:fldChar w:fldCharType="begin"/>
      </w:r>
      <w:r w:rsidRPr="00EE2E1F">
        <w:instrText xml:space="preserve"> REF _Ref408486411 \w \h  \* MERGEFORMAT </w:instrText>
      </w:r>
      <w:r w:rsidRPr="00EE2E1F">
        <w:fldChar w:fldCharType="separate"/>
      </w:r>
      <w:r w:rsidR="005E367B">
        <w:t>III.B.5.b</w:t>
      </w:r>
      <w:r w:rsidRPr="00EE2E1F">
        <w:fldChar w:fldCharType="end"/>
      </w:r>
      <w:r w:rsidRPr="00EE2E1F">
        <w:t xml:space="preserve">. </w:t>
      </w:r>
    </w:p>
  </w:footnote>
  <w:footnote w:id="496">
    <w:p w14:paraId="54388D00" w14:textId="77777777" w:rsidR="00EE2E1F" w:rsidRPr="00EE2E1F" w:rsidRDefault="00EE2E1F" w:rsidP="00B7034F">
      <w:pPr>
        <w:pStyle w:val="FootnoteText"/>
      </w:pPr>
      <w:r w:rsidRPr="00EE2E1F">
        <w:rPr>
          <w:rStyle w:val="FootnoteReference"/>
          <w:rFonts w:eastAsiaTheme="majorEastAsia"/>
        </w:rPr>
        <w:footnoteRef/>
      </w:r>
      <w:r w:rsidRPr="00EE2E1F">
        <w:t xml:space="preserve"> </w:t>
      </w:r>
      <w:r w:rsidRPr="00EE2E1F">
        <w:rPr>
          <w:i/>
        </w:rPr>
        <w:t>See</w:t>
      </w:r>
      <w:r w:rsidRPr="00EE2E1F">
        <w:t xml:space="preserve">, </w:t>
      </w:r>
      <w:r w:rsidRPr="00EE2E1F">
        <w:rPr>
          <w:i/>
        </w:rPr>
        <w:t>e.g</w:t>
      </w:r>
      <w:r w:rsidRPr="00EE2E1F">
        <w:t xml:space="preserve">., TruePosition Comments at 18. </w:t>
      </w:r>
    </w:p>
  </w:footnote>
  <w:footnote w:id="497">
    <w:p w14:paraId="18861371" w14:textId="77777777" w:rsidR="00EE2E1F" w:rsidRPr="00EE2E1F" w:rsidRDefault="00EE2E1F" w:rsidP="00B7034F">
      <w:pPr>
        <w:pStyle w:val="FootnoteText"/>
      </w:pPr>
      <w:r w:rsidRPr="00EE2E1F">
        <w:rPr>
          <w:rStyle w:val="FootnoteReference"/>
        </w:rPr>
        <w:footnoteRef/>
      </w:r>
      <w:r w:rsidRPr="00EE2E1F">
        <w:t xml:space="preserve"> </w:t>
      </w:r>
      <w:r w:rsidRPr="00EE2E1F">
        <w:rPr>
          <w:i/>
        </w:rPr>
        <w:t>Third Further Notice</w:t>
      </w:r>
      <w:r w:rsidRPr="00EE2E1F">
        <w:t>, 29 FCC Rcd at 2440-41 ¶ 178.</w:t>
      </w:r>
    </w:p>
  </w:footnote>
  <w:footnote w:id="498">
    <w:p w14:paraId="6AA492BE" w14:textId="77777777" w:rsidR="00EE2E1F" w:rsidRPr="00EE2E1F" w:rsidRDefault="00EE2E1F" w:rsidP="00B7034F">
      <w:pPr>
        <w:pStyle w:val="FootnoteText"/>
      </w:pPr>
      <w:r w:rsidRPr="00EE2E1F">
        <w:rPr>
          <w:rStyle w:val="FootnoteReference"/>
        </w:rPr>
        <w:footnoteRef/>
      </w:r>
      <w:r w:rsidRPr="00EE2E1F">
        <w:t xml:space="preserve"> In the </w:t>
      </w:r>
      <w:r w:rsidRPr="00EE2E1F">
        <w:rPr>
          <w:i/>
        </w:rPr>
        <w:t>Third Report and Order</w:t>
      </w:r>
      <w:r w:rsidRPr="00EE2E1F">
        <w:t xml:space="preserve">, the Commission concluded that periodic testing should be implemented, but tasked CSRIC with recommending how it should best be implemented.  </w:t>
      </w:r>
      <w:r w:rsidRPr="00EE2E1F">
        <w:rPr>
          <w:i/>
        </w:rPr>
        <w:t>See</w:t>
      </w:r>
      <w:r w:rsidRPr="00EE2E1F">
        <w:t xml:space="preserve"> </w:t>
      </w:r>
      <w:r w:rsidRPr="00EE2E1F">
        <w:rPr>
          <w:i/>
        </w:rPr>
        <w:t>Third Report and Order</w:t>
      </w:r>
      <w:r w:rsidRPr="00EE2E1F">
        <w:t>, 26 FCC Rcd at 10088 ¶ 34 (stating that “requiring CMRS providers to periodically test their outdoor periodic testing requirements were important to ensure location accuracy… is important to ensure that…location accuracy requirements are being met”; and that “[t]he lack of available data has also made it difficult to assess the effects of emerging technologies on location accuracy results….”).</w:t>
      </w:r>
    </w:p>
  </w:footnote>
  <w:footnote w:id="499">
    <w:p w14:paraId="469E61CF" w14:textId="77777777" w:rsidR="00EE2E1F" w:rsidRPr="00EE2E1F" w:rsidRDefault="00EE2E1F" w:rsidP="00B7034F">
      <w:pPr>
        <w:pStyle w:val="FootnoteText"/>
      </w:pPr>
      <w:r w:rsidRPr="00EE2E1F">
        <w:rPr>
          <w:rStyle w:val="FootnoteReference"/>
        </w:rPr>
        <w:footnoteRef/>
      </w:r>
      <w:r w:rsidRPr="00EE2E1F">
        <w:t xml:space="preserve"> </w:t>
      </w:r>
      <w:r w:rsidRPr="00EE2E1F">
        <w:rPr>
          <w:i/>
        </w:rPr>
        <w:t>Third Further Notice</w:t>
      </w:r>
      <w:r w:rsidRPr="00EE2E1F">
        <w:t xml:space="preserve">, 29 FCC Rcd at 2441 ¶ 179.  The ATIS Reports set forth best practices and alternative testing concepts.  </w:t>
      </w:r>
      <w:r w:rsidRPr="00EE2E1F">
        <w:rPr>
          <w:i/>
        </w:rPr>
        <w:t>See id</w:t>
      </w:r>
      <w:r w:rsidRPr="00EE2E1F">
        <w:t>. at 2440-41, ¶ 178 &amp; n.384 (citing ATIS Technical Report numbers 0500001 (High Level Requirements for Accuracy Testing Methodologies), 0500009 (High Level Requirements for End-to-End Functional Testing), 0500011 (Define Topologies &amp; Data Collection Methodology), 0500010 (Maintenance Testing), and 0500013 (Approaches to Wireless Indoor Location)).</w:t>
      </w:r>
    </w:p>
  </w:footnote>
  <w:footnote w:id="500">
    <w:p w14:paraId="451B136C" w14:textId="25F14DDB" w:rsidR="00EE2E1F" w:rsidRPr="00EE2E1F" w:rsidRDefault="00EE2E1F" w:rsidP="00B7034F">
      <w:pPr>
        <w:pStyle w:val="FootnoteText"/>
      </w:pPr>
      <w:r w:rsidRPr="00EE2E1F">
        <w:rPr>
          <w:rStyle w:val="FootnoteReference"/>
        </w:rPr>
        <w:footnoteRef/>
      </w:r>
      <w:r w:rsidRPr="00EE2E1F">
        <w:t xml:space="preserve"> </w:t>
      </w:r>
      <w:r w:rsidRPr="00EE2E1F">
        <w:rPr>
          <w:i/>
        </w:rPr>
        <w:t>CSRIC VoLTE Report</w:t>
      </w:r>
      <w:r w:rsidRPr="00EE2E1F">
        <w:t xml:space="preserve"> at 17.  The Commission tasked CSRIC IV WG1 with examining the extent to which CSRIC WG3’s recommendations would for reconfiguring to VoLTE platforms.  </w:t>
      </w:r>
      <w:r w:rsidRPr="00EE2E1F">
        <w:rPr>
          <w:i/>
        </w:rPr>
        <w:t>See id.</w:t>
      </w:r>
      <w:r w:rsidRPr="00EE2E1F">
        <w:t xml:space="preserve"> at Sec. 1.1, 3.</w:t>
      </w:r>
    </w:p>
  </w:footnote>
  <w:footnote w:id="501">
    <w:p w14:paraId="3AC4EC2E" w14:textId="77777777" w:rsidR="00EE2E1F" w:rsidRPr="00EE2E1F" w:rsidRDefault="00EE2E1F" w:rsidP="00B7034F">
      <w:pPr>
        <w:pStyle w:val="FootnoteText"/>
      </w:pPr>
      <w:r w:rsidRPr="00EE2E1F">
        <w:rPr>
          <w:rStyle w:val="FootnoteReference"/>
        </w:rPr>
        <w:footnoteRef/>
      </w:r>
      <w:r w:rsidRPr="00EE2E1F">
        <w:t xml:space="preserve"> NENA Comments at 27 (submitting that carriers who certify, on the basis of periodic testing, that they meet the revised outdoor location accuracy standards and use one or more certified technologies to reach the [adopted] indoor standards . . . should be rebuttably presumed to be in compliance . . . .”).  </w:t>
      </w:r>
      <w:r w:rsidRPr="00EE2E1F">
        <w:rPr>
          <w:i/>
        </w:rPr>
        <w:t>See also</w:t>
      </w:r>
      <w:r w:rsidRPr="00EE2E1F">
        <w:t xml:space="preserve"> NASNA Comments at 4 (asking the Commission “to consider expanding the test bed for outdoor location accuracy compliance, as well”).</w:t>
      </w:r>
    </w:p>
  </w:footnote>
  <w:footnote w:id="502">
    <w:p w14:paraId="2FA5614D" w14:textId="77777777" w:rsidR="00EE2E1F" w:rsidRPr="00EE2E1F" w:rsidRDefault="00EE2E1F" w:rsidP="00B7034F">
      <w:pPr>
        <w:pStyle w:val="FootnoteText"/>
      </w:pPr>
      <w:r w:rsidRPr="00EE2E1F">
        <w:rPr>
          <w:rStyle w:val="FootnoteReference"/>
        </w:rPr>
        <w:footnoteRef/>
      </w:r>
      <w:r w:rsidRPr="00EE2E1F">
        <w:t xml:space="preserve"> APCO Comments at 9.</w:t>
      </w:r>
    </w:p>
  </w:footnote>
  <w:footnote w:id="503">
    <w:p w14:paraId="76929079" w14:textId="77777777" w:rsidR="00EE2E1F" w:rsidRPr="00EE2E1F" w:rsidRDefault="00EE2E1F" w:rsidP="00B7034F">
      <w:pPr>
        <w:pStyle w:val="FootnoteText"/>
      </w:pPr>
      <w:r w:rsidRPr="00EE2E1F">
        <w:rPr>
          <w:rStyle w:val="FootnoteReference"/>
        </w:rPr>
        <w:footnoteRef/>
      </w:r>
      <w:r w:rsidRPr="00EE2E1F">
        <w:t xml:space="preserve"> Verizon Comments at 33 (viewing the proposed testing requirement as “micromanag[ing] [testing] processes” and submitting that Verizon “already tests 911 functionalities . . . after significant changes in accordance with existing best practices . . . .”).  </w:t>
      </w:r>
      <w:r w:rsidRPr="00EE2E1F">
        <w:rPr>
          <w:i/>
        </w:rPr>
        <w:t>See also</w:t>
      </w:r>
      <w:r w:rsidRPr="00EE2E1F">
        <w:t xml:space="preserve"> Sprint Comments at 21 (mandated testing and reporting “would further constrain limited resources . . . when carriers are focused on other important public safety initiatives, including text-to-911 and Next Generation 9-1-1”); T-Mobile Comments at 20 (contending that, after a demonstration of compliance through the test bed process, . . . periodic compliance testing should not be required”).  </w:t>
      </w:r>
      <w:r w:rsidRPr="00EE2E1F">
        <w:rPr>
          <w:i/>
        </w:rPr>
        <w:t>See also</w:t>
      </w:r>
      <w:r w:rsidRPr="00EE2E1F">
        <w:t xml:space="preserve"> TruePosition Comments at 19.</w:t>
      </w:r>
    </w:p>
  </w:footnote>
  <w:footnote w:id="504">
    <w:p w14:paraId="6FBD796D" w14:textId="352D79CE" w:rsidR="00EE2E1F" w:rsidRPr="00EE2E1F" w:rsidRDefault="00EE2E1F" w:rsidP="00B7034F">
      <w:pPr>
        <w:pStyle w:val="FootnoteText"/>
      </w:pPr>
      <w:r w:rsidRPr="00EE2E1F">
        <w:rPr>
          <w:rStyle w:val="FootnoteReference"/>
        </w:rPr>
        <w:footnoteRef/>
      </w:r>
      <w:r w:rsidRPr="00EE2E1F">
        <w:t xml:space="preserve"> RWA Comments at 8 (opposing a requirement for periodic testing every 24 months and contending that “[t]esting accuracy compliance on a periodic basis is extremely burdensome, particularly for small rural carriers”).  RWA asserts that one of its members estimates “the cost of each test to be in the neighborhood of $100,000.”  </w:t>
      </w:r>
      <w:r w:rsidRPr="00EE2E1F">
        <w:rPr>
          <w:i/>
        </w:rPr>
        <w:t>Id</w:t>
      </w:r>
      <w:r w:rsidRPr="00EE2E1F">
        <w:t xml:space="preserve">. &amp; at note 8.  </w:t>
      </w:r>
      <w:r w:rsidRPr="00EE2E1F">
        <w:rPr>
          <w:i/>
        </w:rPr>
        <w:t>See also</w:t>
      </w:r>
      <w:r w:rsidRPr="00EE2E1F">
        <w:t xml:space="preserve"> CCA Reply Comments at 17. </w:t>
      </w:r>
    </w:p>
  </w:footnote>
  <w:footnote w:id="505">
    <w:p w14:paraId="52E83405" w14:textId="77777777" w:rsidR="00EE2E1F" w:rsidRPr="00EE2E1F" w:rsidRDefault="00EE2E1F" w:rsidP="00B7034F">
      <w:pPr>
        <w:pStyle w:val="FootnoteText"/>
      </w:pPr>
      <w:r w:rsidRPr="00EE2E1F">
        <w:rPr>
          <w:rStyle w:val="FootnoteReference"/>
        </w:rPr>
        <w:footnoteRef/>
      </w:r>
      <w:r w:rsidRPr="00EE2E1F">
        <w:t xml:space="preserve"> RWA Comments at 5 (asserting that “only substantial network changes, such as deployment of a new technology, or vendor, or frequency band chances, should warrant re-testing”); CCA Reply Comments at 17 (supporting a requirement for retesting only “upon the occurrence of a substantial network change”). </w:t>
      </w:r>
    </w:p>
  </w:footnote>
  <w:footnote w:id="506">
    <w:p w14:paraId="31209389" w14:textId="77777777" w:rsidR="00EE2E1F" w:rsidRPr="00EE2E1F" w:rsidRDefault="00EE2E1F" w:rsidP="00B7034F">
      <w:pPr>
        <w:pStyle w:val="FootnoteText"/>
      </w:pPr>
      <w:r w:rsidRPr="00EE2E1F">
        <w:rPr>
          <w:rStyle w:val="FootnoteReference"/>
        </w:rPr>
        <w:footnoteRef/>
      </w:r>
      <w:r w:rsidRPr="00EE2E1F">
        <w:t xml:space="preserve"> </w:t>
      </w:r>
      <w:r w:rsidRPr="00EE2E1F">
        <w:rPr>
          <w:i/>
        </w:rPr>
        <w:t>See</w:t>
      </w:r>
      <w:r w:rsidRPr="00EE2E1F">
        <w:t xml:space="preserve">, </w:t>
      </w:r>
      <w:r w:rsidRPr="00EE2E1F">
        <w:rPr>
          <w:i/>
        </w:rPr>
        <w:t>e.g</w:t>
      </w:r>
      <w:r w:rsidRPr="00EE2E1F">
        <w:t xml:space="preserve">., </w:t>
      </w:r>
      <w:r w:rsidRPr="00EE2E1F">
        <w:rPr>
          <w:i/>
        </w:rPr>
        <w:t>Third Report and Order</w:t>
      </w:r>
      <w:r w:rsidRPr="00EE2E1F">
        <w:t>, 26 FCC Rcd at 10088 ¶ 36 (finding that periodic testing is important to ensure that test data and accuracy performance do not become obsolete as a result of environmental changes and network reconfigurations by CMRS providers as they implement new technologies).</w:t>
      </w:r>
    </w:p>
  </w:footnote>
  <w:footnote w:id="507">
    <w:p w14:paraId="49C8C1F1" w14:textId="11D49259" w:rsidR="00EE2E1F" w:rsidRPr="00EE2E1F" w:rsidRDefault="00EE2E1F" w:rsidP="00B7034F">
      <w:pPr>
        <w:pStyle w:val="FootnoteText"/>
      </w:pPr>
      <w:r w:rsidRPr="00EE2E1F">
        <w:rPr>
          <w:rStyle w:val="FootnoteReference"/>
        </w:rPr>
        <w:footnoteRef/>
      </w:r>
      <w:r w:rsidRPr="00EE2E1F">
        <w:t xml:space="preserve"> Roadmap at Sections 4(a) and (c).</w:t>
      </w:r>
    </w:p>
  </w:footnote>
  <w:footnote w:id="508">
    <w:p w14:paraId="35C505DB" w14:textId="77777777" w:rsidR="00EE2E1F" w:rsidRPr="00EE2E1F" w:rsidRDefault="00EE2E1F" w:rsidP="00B7034F">
      <w:pPr>
        <w:pStyle w:val="FootnoteText"/>
      </w:pPr>
      <w:r w:rsidRPr="00EE2E1F">
        <w:rPr>
          <w:rStyle w:val="FootnoteReference"/>
        </w:rPr>
        <w:footnoteRef/>
      </w:r>
      <w:r w:rsidRPr="00EE2E1F">
        <w:t xml:space="preserve"> The Roadmap indicates that the available data used for blending indoor and outdoor calls will come “from a test bed and/or drive test performance.”  </w:t>
      </w:r>
      <w:r w:rsidRPr="00EE2E1F">
        <w:rPr>
          <w:i/>
        </w:rPr>
        <w:t>See</w:t>
      </w:r>
      <w:r w:rsidRPr="00EE2E1F">
        <w:t xml:space="preserve"> Roadmap at Section 4(c).</w:t>
      </w:r>
    </w:p>
  </w:footnote>
  <w:footnote w:id="509">
    <w:p w14:paraId="627E6B16" w14:textId="77777777" w:rsidR="00EE2E1F" w:rsidRPr="00EE2E1F" w:rsidRDefault="00EE2E1F" w:rsidP="00B7034F">
      <w:pPr>
        <w:pStyle w:val="FootnoteText"/>
      </w:pPr>
      <w:r w:rsidRPr="00EE2E1F">
        <w:rPr>
          <w:rStyle w:val="FootnoteReference"/>
        </w:rPr>
        <w:footnoteRef/>
      </w:r>
      <w:r w:rsidRPr="00EE2E1F">
        <w:t xml:space="preserve"> </w:t>
      </w:r>
      <w:r w:rsidRPr="00EE2E1F">
        <w:rPr>
          <w:i/>
        </w:rPr>
        <w:t>Third Further Notice</w:t>
      </w:r>
      <w:r w:rsidRPr="00EE2E1F">
        <w:t xml:space="preserve">, 29 FCC Rcd 2430-31 ¶ 148.  CSRIC III WG3 found that costs for testing can be high.  For instance, CSRIC notes that the deployment of field test resources can range from $250 to $1000 per cell site, and that, for testing systems with the capability to monitor Key Performance Indicators (KPIs), the annual costs “to maintain reporting and data storage” range from $500,000 to $1,500,000 for a large network.   CSRIC observes, however, that “[l]imited resources are best utilized through a systematic method of maintenance which utilizes other available performance indicators and simplifying assumptions, in addition to empirical testing.” </w:t>
      </w:r>
      <w:r w:rsidRPr="00EE2E1F">
        <w:rPr>
          <w:i/>
        </w:rPr>
        <w:t>See</w:t>
      </w:r>
      <w:r w:rsidRPr="00EE2E1F">
        <w:t xml:space="preserve"> </w:t>
      </w:r>
      <w:r w:rsidRPr="00EE2E1F">
        <w:rPr>
          <w:i/>
        </w:rPr>
        <w:t>Outdoor Location Accuracy Report</w:t>
      </w:r>
      <w:r w:rsidRPr="00EE2E1F">
        <w:t xml:space="preserve"> at 25. </w:t>
      </w:r>
    </w:p>
  </w:footnote>
  <w:footnote w:id="510">
    <w:p w14:paraId="26DF249A" w14:textId="2369C57D" w:rsidR="00EE2E1F" w:rsidRPr="00EE2E1F" w:rsidRDefault="00EE2E1F" w:rsidP="00B7034F">
      <w:pPr>
        <w:pStyle w:val="FootnoteText"/>
      </w:pPr>
      <w:r w:rsidRPr="00EE2E1F">
        <w:rPr>
          <w:rStyle w:val="FootnoteReference"/>
        </w:rPr>
        <w:footnoteRef/>
      </w:r>
      <w:r w:rsidRPr="00EE2E1F">
        <w:t xml:space="preserve"> </w:t>
      </w:r>
      <w:r w:rsidRPr="00EE2E1F">
        <w:rPr>
          <w:i/>
        </w:rPr>
        <w:t>CSRIC VoLTE Report</w:t>
      </w:r>
      <w:r w:rsidRPr="00EE2E1F">
        <w:t xml:space="preserve"> at 15.</w:t>
      </w:r>
    </w:p>
  </w:footnote>
  <w:footnote w:id="511">
    <w:p w14:paraId="598BFA37" w14:textId="048EFDE9" w:rsidR="00EE2E1F" w:rsidRPr="00EE2E1F" w:rsidRDefault="00EE2E1F" w:rsidP="00B7034F">
      <w:pPr>
        <w:pStyle w:val="FootnoteText"/>
      </w:pPr>
      <w:r w:rsidRPr="00EE2E1F">
        <w:rPr>
          <w:rStyle w:val="FootnoteReference"/>
        </w:rPr>
        <w:footnoteRef/>
      </w:r>
      <w:r w:rsidRPr="00EE2E1F">
        <w:t xml:space="preserve"> </w:t>
      </w:r>
      <w:r w:rsidRPr="00EE2E1F">
        <w:rPr>
          <w:i/>
        </w:rPr>
        <w:t>CSRIC VoLTE Report</w:t>
      </w:r>
      <w:r w:rsidRPr="00EE2E1F">
        <w:t xml:space="preserve"> at 17 (also stating that “Empirical data for maintenance testing may be collected incrementally over time.”).  </w:t>
      </w:r>
      <w:r w:rsidRPr="00EE2E1F">
        <w:rPr>
          <w:i/>
        </w:rPr>
        <w:t>See</w:t>
      </w:r>
      <w:r w:rsidRPr="00EE2E1F">
        <w:t xml:space="preserve"> </w:t>
      </w:r>
      <w:r w:rsidRPr="00EE2E1F">
        <w:rPr>
          <w:i/>
        </w:rPr>
        <w:t>Outdoor Location Accuracy Report</w:t>
      </w:r>
      <w:r w:rsidRPr="00EE2E1F">
        <w:t xml:space="preserve"> at 4-5, (referencing, </w:t>
      </w:r>
      <w:r w:rsidRPr="00EE2E1F">
        <w:rPr>
          <w:i/>
        </w:rPr>
        <w:t>e.g</w:t>
      </w:r>
      <w:r w:rsidRPr="00EE2E1F">
        <w:t>., ATIS Technical Reports ATIS-0500001, ATIS-0500010; and recommending monitoring KPIs and conducting spot-checking); at Sec. 5.1.2., at 16 (concerning spot-checking: where “county-level compliance has been certified to meet accuracy requirements, a systematic method of ‘spot-checking’ representative areas that have previously been tested and shown compliant can be employed to verify that changes (such as a different radio access network) have not resulted in any significant deviations from expected performance levels.”).</w:t>
      </w:r>
    </w:p>
  </w:footnote>
  <w:footnote w:id="512">
    <w:p w14:paraId="6A0AFAC0" w14:textId="77777777" w:rsidR="00EE2E1F" w:rsidRPr="00EE2E1F" w:rsidRDefault="00EE2E1F" w:rsidP="00B7034F">
      <w:pPr>
        <w:pStyle w:val="FootnoteText"/>
      </w:pPr>
      <w:r w:rsidRPr="00EE2E1F">
        <w:rPr>
          <w:rStyle w:val="FootnoteReference"/>
        </w:rPr>
        <w:footnoteRef/>
      </w:r>
      <w:r w:rsidRPr="00EE2E1F">
        <w:t xml:space="preserve"> WG3 reported that performance testing systems afford the capability to monitor KPIs, including yield, latency and uncertainty estimate trends</w:t>
      </w:r>
      <w:r w:rsidRPr="00EE2E1F">
        <w:rPr>
          <w:i/>
        </w:rPr>
        <w:t>.  See</w:t>
      </w:r>
      <w:r w:rsidRPr="00EE2E1F">
        <w:t xml:space="preserve"> </w:t>
      </w:r>
      <w:r w:rsidRPr="00EE2E1F">
        <w:rPr>
          <w:i/>
        </w:rPr>
        <w:t>Outdoor Location Accuracy Report</w:t>
      </w:r>
      <w:r w:rsidRPr="00EE2E1F">
        <w:t xml:space="preserve"> at 20-21.</w:t>
      </w:r>
    </w:p>
  </w:footnote>
  <w:footnote w:id="513">
    <w:p w14:paraId="6884AA86" w14:textId="77777777" w:rsidR="00EE2E1F" w:rsidRPr="00EE2E1F" w:rsidRDefault="00EE2E1F" w:rsidP="00B7034F">
      <w:pPr>
        <w:pStyle w:val="FootnoteText"/>
      </w:pPr>
      <w:r w:rsidRPr="00EE2E1F">
        <w:rPr>
          <w:rStyle w:val="FootnoteReference"/>
        </w:rPr>
        <w:footnoteRef/>
      </w:r>
      <w:r w:rsidRPr="00EE2E1F">
        <w:t xml:space="preserve"> 47 C.F.R. § 20.18(h)(3) (stating that “ongoing accuracy shall be monitored based on trending of uncertainty data…”).</w:t>
      </w:r>
    </w:p>
  </w:footnote>
  <w:footnote w:id="514">
    <w:p w14:paraId="448ED289" w14:textId="77777777" w:rsidR="00EE2E1F" w:rsidRPr="00EE2E1F" w:rsidRDefault="00EE2E1F" w:rsidP="00B7034F">
      <w:pPr>
        <w:pStyle w:val="FootnoteText"/>
      </w:pPr>
      <w:r w:rsidRPr="00EE2E1F">
        <w:rPr>
          <w:rStyle w:val="FootnoteReference"/>
        </w:rPr>
        <w:footnoteRef/>
      </w:r>
      <w:r w:rsidRPr="00EE2E1F">
        <w:t xml:space="preserve"> </w:t>
      </w:r>
      <w:r w:rsidRPr="00EE2E1F">
        <w:rPr>
          <w:i/>
        </w:rPr>
        <w:t xml:space="preserve">Outdoor Location Accuracy Report </w:t>
      </w:r>
      <w:r w:rsidRPr="00EE2E1F">
        <w:t>at 22 (basing the finding on an assessment that “uncertainty estimates on a call-by-call basis are not a reliable substitute for empirical location accuracy testing.”).</w:t>
      </w:r>
    </w:p>
  </w:footnote>
  <w:footnote w:id="515">
    <w:p w14:paraId="362FB546" w14:textId="77777777" w:rsidR="00EE2E1F" w:rsidRPr="00EE2E1F" w:rsidRDefault="00EE2E1F" w:rsidP="00B7034F">
      <w:pPr>
        <w:pStyle w:val="FootnoteText"/>
      </w:pPr>
      <w:r w:rsidRPr="00EE2E1F">
        <w:rPr>
          <w:rStyle w:val="FootnoteReference"/>
        </w:rPr>
        <w:footnoteRef/>
      </w:r>
      <w:r w:rsidRPr="00EE2E1F">
        <w:t xml:space="preserve"> </w:t>
      </w:r>
      <w:r w:rsidRPr="00EE2E1F">
        <w:rPr>
          <w:i/>
        </w:rPr>
        <w:t>Indoor Location Test Bed Report</w:t>
      </w:r>
      <w:r w:rsidRPr="00EE2E1F">
        <w:t xml:space="preserve"> at 39 (“in the context of location system testing in general (not only indoors) the results provide an indication of how well a location system under test is performing in a certain environment.”). </w:t>
      </w:r>
    </w:p>
  </w:footnote>
  <w:footnote w:id="516">
    <w:p w14:paraId="5F4A20A9" w14:textId="77777777" w:rsidR="00EE2E1F" w:rsidRPr="00EE2E1F" w:rsidRDefault="00EE2E1F" w:rsidP="00B7034F">
      <w:pPr>
        <w:pStyle w:val="FootnoteText"/>
      </w:pPr>
      <w:r w:rsidRPr="00EE2E1F">
        <w:rPr>
          <w:rStyle w:val="FootnoteReference"/>
        </w:rPr>
        <w:footnoteRef/>
      </w:r>
      <w:r w:rsidRPr="00EE2E1F">
        <w:t xml:space="preserve"> </w:t>
      </w:r>
      <w:r w:rsidRPr="00EE2E1F">
        <w:rPr>
          <w:i/>
        </w:rPr>
        <w:t>Third Further Notice</w:t>
      </w:r>
      <w:r w:rsidRPr="00EE2E1F">
        <w:t>, 29 FCC Rcd at 2442 ¶ 183.</w:t>
      </w:r>
    </w:p>
  </w:footnote>
  <w:footnote w:id="517">
    <w:p w14:paraId="39D3D241" w14:textId="73A90FE6" w:rsidR="00EE2E1F" w:rsidRPr="00EE2E1F" w:rsidRDefault="00EE2E1F" w:rsidP="00B7034F">
      <w:pPr>
        <w:pStyle w:val="FootnoteText"/>
      </w:pPr>
      <w:r w:rsidRPr="00EE2E1F">
        <w:rPr>
          <w:rStyle w:val="FootnoteReference"/>
        </w:rPr>
        <w:footnoteRef/>
      </w:r>
      <w:r w:rsidRPr="00EE2E1F">
        <w:t xml:space="preserve"> </w:t>
      </w:r>
      <w:r w:rsidRPr="00EE2E1F">
        <w:rPr>
          <w:i/>
        </w:rPr>
        <w:t>Id.</w:t>
      </w:r>
      <w:r w:rsidRPr="00EE2E1F">
        <w:t xml:space="preserve"> at 2443 ¶ 184.</w:t>
      </w:r>
    </w:p>
  </w:footnote>
  <w:footnote w:id="518">
    <w:p w14:paraId="0E35DFCF" w14:textId="77777777" w:rsidR="00EE2E1F" w:rsidRPr="00EE2E1F" w:rsidRDefault="00EE2E1F" w:rsidP="00B7034F">
      <w:pPr>
        <w:pStyle w:val="FootnoteText"/>
      </w:pPr>
      <w:r w:rsidRPr="00EE2E1F">
        <w:rPr>
          <w:rStyle w:val="FootnoteReference"/>
        </w:rPr>
        <w:footnoteRef/>
      </w:r>
      <w:r w:rsidRPr="00EE2E1F">
        <w:t xml:space="preserve"> TCS Comments at 30.  </w:t>
      </w:r>
    </w:p>
  </w:footnote>
  <w:footnote w:id="519">
    <w:p w14:paraId="43D7B3A8" w14:textId="77777777" w:rsidR="00EE2E1F" w:rsidRPr="00EE2E1F" w:rsidRDefault="00EE2E1F" w:rsidP="00B7034F">
      <w:pPr>
        <w:pStyle w:val="FootnoteText"/>
      </w:pPr>
      <w:r w:rsidRPr="00EE2E1F">
        <w:rPr>
          <w:rStyle w:val="FootnoteReference"/>
        </w:rPr>
        <w:footnoteRef/>
      </w:r>
      <w:r w:rsidRPr="00EE2E1F">
        <w:t xml:space="preserve"> TruePosition Comments at 14.</w:t>
      </w:r>
    </w:p>
  </w:footnote>
  <w:footnote w:id="520">
    <w:p w14:paraId="45141B5B" w14:textId="77777777" w:rsidR="00EE2E1F" w:rsidRPr="00EE2E1F" w:rsidRDefault="00EE2E1F" w:rsidP="00B7034F">
      <w:pPr>
        <w:pStyle w:val="FootnoteText"/>
      </w:pPr>
      <w:r w:rsidRPr="00EE2E1F">
        <w:rPr>
          <w:rStyle w:val="FootnoteReference"/>
        </w:rPr>
        <w:footnoteRef/>
      </w:r>
      <w:r w:rsidRPr="00EE2E1F">
        <w:t xml:space="preserve"> Pub. L. No. 107-198.</w:t>
      </w:r>
    </w:p>
  </w:footnote>
  <w:footnote w:id="521">
    <w:p w14:paraId="2F6A5E68" w14:textId="77777777" w:rsidR="00EE2E1F" w:rsidRPr="00EE2E1F" w:rsidRDefault="00EE2E1F" w:rsidP="00B7034F">
      <w:pPr>
        <w:pStyle w:val="FootnoteText"/>
      </w:pPr>
      <w:r w:rsidRPr="00EE2E1F">
        <w:rPr>
          <w:rStyle w:val="FootnoteReference"/>
        </w:rPr>
        <w:footnoteRef/>
      </w:r>
      <w:r w:rsidRPr="00EE2E1F">
        <w:t xml:space="preserve"> 44 U.S.C. § 3506(c)(4).</w:t>
      </w:r>
    </w:p>
  </w:footnote>
  <w:footnote w:id="522">
    <w:p w14:paraId="19AA9599" w14:textId="77777777" w:rsidR="00EE2E1F" w:rsidRPr="00EE2E1F" w:rsidRDefault="00EE2E1F" w:rsidP="00EC5135">
      <w:pPr>
        <w:pStyle w:val="FootnoteText"/>
      </w:pPr>
      <w:r w:rsidRPr="00EE2E1F">
        <w:rPr>
          <w:rStyle w:val="FootnoteReference"/>
        </w:rPr>
        <w:footnoteRef/>
      </w:r>
      <w:r w:rsidRPr="00EE2E1F">
        <w:t xml:space="preserve"> 5 U.S.C. § 603.  The RFA, </w:t>
      </w:r>
      <w:r w:rsidRPr="00EE2E1F">
        <w:rPr>
          <w:i/>
        </w:rPr>
        <w:t>see</w:t>
      </w:r>
      <w:r w:rsidRPr="00EE2E1F">
        <w:t xml:space="preserve"> 5 U.S.C. § 601 – 612, has been amended by the Small Business Regulatory Enforcement Fairness Act of 1996 (SBREFA), Pub. L. No. 104-121, Title II, 110 Stat. 857 (1996).</w:t>
      </w:r>
    </w:p>
  </w:footnote>
  <w:footnote w:id="523">
    <w:p w14:paraId="4039BB9D" w14:textId="558C011F" w:rsidR="00EE2E1F" w:rsidRPr="00EE2E1F" w:rsidRDefault="00EE2E1F" w:rsidP="00EC5135">
      <w:pPr>
        <w:pStyle w:val="FootnoteText"/>
      </w:pPr>
      <w:r w:rsidRPr="00EE2E1F">
        <w:rPr>
          <w:rStyle w:val="FootnoteReference"/>
        </w:rPr>
        <w:footnoteRef/>
      </w:r>
      <w:r w:rsidRPr="00EE2E1F">
        <w:t xml:space="preserve"> Wireless E911 Location Accuracy Requirements, PS Docket No. 07-114, </w:t>
      </w:r>
      <w:r w:rsidRPr="00EE2E1F">
        <w:rPr>
          <w:i/>
        </w:rPr>
        <w:t>Third Further Notice of Proposed Rulemaking</w:t>
      </w:r>
      <w:r w:rsidRPr="00EE2E1F">
        <w:t xml:space="preserve">, </w:t>
      </w:r>
      <w:r w:rsidRPr="00EE2E1F">
        <w:rPr>
          <w:color w:val="000000"/>
          <w:shd w:val="clear" w:color="auto" w:fill="FFFFFF"/>
        </w:rPr>
        <w:t>29 FCC Rcd 2374 (2014) (“</w:t>
      </w:r>
      <w:r w:rsidRPr="00EE2E1F">
        <w:rPr>
          <w:i/>
          <w:color w:val="000000"/>
          <w:shd w:val="clear" w:color="auto" w:fill="FFFFFF"/>
        </w:rPr>
        <w:t>Third Further Notice</w:t>
      </w:r>
      <w:r w:rsidRPr="00EE2E1F">
        <w:rPr>
          <w:color w:val="000000"/>
          <w:shd w:val="clear" w:color="auto" w:fill="FFFFFF"/>
        </w:rPr>
        <w:t>” or “</w:t>
      </w:r>
      <w:r w:rsidRPr="00EE2E1F">
        <w:rPr>
          <w:i/>
          <w:color w:val="000000"/>
          <w:shd w:val="clear" w:color="auto" w:fill="FFFFFF"/>
        </w:rPr>
        <w:t>Notice</w:t>
      </w:r>
      <w:r w:rsidRPr="00EE2E1F">
        <w:rPr>
          <w:color w:val="000000"/>
          <w:shd w:val="clear" w:color="auto" w:fill="FFFFFF"/>
        </w:rPr>
        <w:t>”)</w:t>
      </w:r>
      <w:r w:rsidRPr="00EE2E1F">
        <w:t>.</w:t>
      </w:r>
    </w:p>
  </w:footnote>
  <w:footnote w:id="524">
    <w:p w14:paraId="01DF563F" w14:textId="77777777" w:rsidR="00EE2E1F" w:rsidRPr="00EE2E1F" w:rsidRDefault="00EE2E1F" w:rsidP="00EC5135">
      <w:pPr>
        <w:pStyle w:val="FootnoteText"/>
      </w:pPr>
      <w:r w:rsidRPr="00EE2E1F">
        <w:rPr>
          <w:rStyle w:val="FootnoteReference"/>
        </w:rPr>
        <w:footnoteRef/>
      </w:r>
      <w:r w:rsidRPr="00EE2E1F">
        <w:t xml:space="preserve"> 5 U.S.C. § 604.</w:t>
      </w:r>
    </w:p>
  </w:footnote>
  <w:footnote w:id="525">
    <w:p w14:paraId="6FFC6B0D" w14:textId="77777777" w:rsidR="00EE2E1F" w:rsidRPr="00EE2E1F" w:rsidRDefault="00EE2E1F" w:rsidP="00EC5135">
      <w:pPr>
        <w:pStyle w:val="FootnoteText"/>
      </w:pPr>
      <w:r w:rsidRPr="00EE2E1F">
        <w:rPr>
          <w:rStyle w:val="FootnoteReference"/>
        </w:rPr>
        <w:footnoteRef/>
      </w:r>
      <w:r w:rsidRPr="00EE2E1F">
        <w:t xml:space="preserve"> Letter from John Wright, APCO International; Charles W. McKee, Sprint Corporation; Joan Marsh, AT&amp;T Services, Inc.; Kathleen O’Brien Ham, T-Mobile USA, Inc.; Christy Williams, National Emergency Number Association; Kathleen Grillo, Verizon Wireless, to Marlene H. Dortch, Secretary, Federal Communications Commission, PS Docket No. 07-114 (filed Nov. 18, 2014) (Roadmap Cover Letter), Attachment A, “Roadmap for Improving E911 Location Accuracy” (Roadmap),</w:t>
      </w:r>
      <w:r w:rsidRPr="00EE2E1F">
        <w:rPr>
          <w:i/>
        </w:rPr>
        <w:t xml:space="preserve">; see also </w:t>
      </w:r>
      <w:r w:rsidRPr="00EE2E1F">
        <w:t xml:space="preserve">AT&amp;T, Sprint, T-Mobile, and Verizon </w:t>
      </w:r>
      <w:r w:rsidRPr="00EE2E1F">
        <w:rPr>
          <w:i/>
        </w:rPr>
        <w:t xml:space="preserve">Ex Parte </w:t>
      </w:r>
      <w:r w:rsidRPr="00EE2E1F">
        <w:t>Letter at 3 (Addendum) (filed Jan. 21, 2015).  Together, the Roadmap and the Addendum are known as the “Amended Roadmap.”</w:t>
      </w:r>
    </w:p>
  </w:footnote>
  <w:footnote w:id="526">
    <w:p w14:paraId="41A3CC75" w14:textId="4868E92C" w:rsidR="00EE2E1F" w:rsidRPr="00EE2E1F" w:rsidRDefault="00EE2E1F" w:rsidP="00EC5135">
      <w:pPr>
        <w:pStyle w:val="FootnoteText"/>
      </w:pPr>
      <w:r w:rsidRPr="00EE2E1F">
        <w:rPr>
          <w:rStyle w:val="FootnoteReference"/>
        </w:rPr>
        <w:footnoteRef/>
      </w:r>
      <w:r w:rsidRPr="00EE2E1F">
        <w:t xml:space="preserve"> </w:t>
      </w:r>
      <w:r w:rsidRPr="00EE2E1F">
        <w:rPr>
          <w:i/>
        </w:rPr>
        <w:t>See</w:t>
      </w:r>
      <w:r w:rsidRPr="00EE2E1F">
        <w:t xml:space="preserve"> Competitive Carrier Association </w:t>
      </w:r>
      <w:r w:rsidRPr="00EE2E1F">
        <w:rPr>
          <w:i/>
        </w:rPr>
        <w:t>Ex Parte</w:t>
      </w:r>
      <w:r w:rsidRPr="00EE2E1F">
        <w:t xml:space="preserve"> Letter, Attachment “Parallel Path” (filed Jan. 16, 2015) and Competitive Carrier Association </w:t>
      </w:r>
      <w:r w:rsidRPr="00EE2E1F">
        <w:rPr>
          <w:i/>
        </w:rPr>
        <w:t>Ex Parte</w:t>
      </w:r>
      <w:r w:rsidRPr="00EE2E1F">
        <w:t xml:space="preserve"> Letter (filed Jan. 23, 2015).</w:t>
      </w:r>
    </w:p>
  </w:footnote>
  <w:footnote w:id="527">
    <w:p w14:paraId="43E7834A" w14:textId="77777777" w:rsidR="00EE2E1F" w:rsidRPr="00EE2E1F" w:rsidRDefault="00EE2E1F" w:rsidP="00EC5135">
      <w:pPr>
        <w:pStyle w:val="FootnoteText"/>
      </w:pPr>
      <w:r w:rsidRPr="00EE2E1F">
        <w:rPr>
          <w:rStyle w:val="FootnoteReference"/>
        </w:rPr>
        <w:footnoteRef/>
      </w:r>
      <w:r w:rsidRPr="00EE2E1F">
        <w:t xml:space="preserve"> Blooston Comments at 2-3.</w:t>
      </w:r>
    </w:p>
  </w:footnote>
  <w:footnote w:id="528">
    <w:p w14:paraId="23A47F1B" w14:textId="77777777" w:rsidR="00EE2E1F" w:rsidRPr="00EE2E1F" w:rsidRDefault="00EE2E1F" w:rsidP="00EC5135">
      <w:pPr>
        <w:pStyle w:val="FootnoteText"/>
      </w:pPr>
      <w:r w:rsidRPr="00EE2E1F">
        <w:rPr>
          <w:rStyle w:val="FootnoteReference"/>
        </w:rPr>
        <w:footnoteRef/>
      </w:r>
      <w:r w:rsidRPr="00EE2E1F">
        <w:t xml:space="preserve"> CCA Roadmap Comments at 6.</w:t>
      </w:r>
    </w:p>
  </w:footnote>
  <w:footnote w:id="529">
    <w:p w14:paraId="78AD04C0" w14:textId="77777777" w:rsidR="00EE2E1F" w:rsidRPr="00EE2E1F" w:rsidRDefault="00EE2E1F" w:rsidP="00EC5135">
      <w:pPr>
        <w:pStyle w:val="FootnoteText"/>
      </w:pPr>
      <w:r w:rsidRPr="00EE2E1F">
        <w:rPr>
          <w:rStyle w:val="FootnoteReference"/>
        </w:rPr>
        <w:footnoteRef/>
      </w:r>
      <w:r w:rsidRPr="00EE2E1F">
        <w:t xml:space="preserve"> CCA Reply Comments at 12; NCTA Reply Comments at 2; RWA Comments at 6; Blooston Rural Reply Comments at 2-3; SouthernLINC Wireless Reply Comments at 6.  </w:t>
      </w:r>
    </w:p>
  </w:footnote>
  <w:footnote w:id="530">
    <w:p w14:paraId="209C20B4" w14:textId="77777777" w:rsidR="00EE2E1F" w:rsidRPr="00EE2E1F" w:rsidRDefault="00EE2E1F" w:rsidP="00EC5135">
      <w:pPr>
        <w:pStyle w:val="FootnoteText"/>
      </w:pPr>
      <w:r w:rsidRPr="00EE2E1F">
        <w:rPr>
          <w:rStyle w:val="FootnoteReference"/>
        </w:rPr>
        <w:footnoteRef/>
      </w:r>
      <w:r w:rsidRPr="00EE2E1F">
        <w:t xml:space="preserve"> Rx Networks Comments at 4.</w:t>
      </w:r>
    </w:p>
  </w:footnote>
  <w:footnote w:id="531">
    <w:p w14:paraId="209F630C" w14:textId="77777777" w:rsidR="00EE2E1F" w:rsidRPr="00EE2E1F" w:rsidRDefault="00EE2E1F" w:rsidP="00EC5135">
      <w:pPr>
        <w:pStyle w:val="FootnoteText"/>
      </w:pPr>
      <w:r w:rsidRPr="00EE2E1F">
        <w:rPr>
          <w:rStyle w:val="FootnoteReference"/>
        </w:rPr>
        <w:footnoteRef/>
      </w:r>
      <w:r w:rsidRPr="00EE2E1F">
        <w:t xml:space="preserve"> CCA Roadmap Comments at 3; RWA Roadmap Reply Comments at 6.  </w:t>
      </w:r>
      <w:r w:rsidRPr="00EE2E1F">
        <w:rPr>
          <w:i/>
        </w:rPr>
        <w:t xml:space="preserve">See also </w:t>
      </w:r>
      <w:r w:rsidRPr="00EE2E1F">
        <w:t xml:space="preserve">NTCA Roadmap Reply Comments at 5 (highlighting that requesting a waiver of the Commission’s rule can be a burdensome process for small and rural CMRS providers). </w:t>
      </w:r>
    </w:p>
  </w:footnote>
  <w:footnote w:id="532">
    <w:p w14:paraId="1DA78C0B" w14:textId="77777777" w:rsidR="00EE2E1F" w:rsidRPr="00EE2E1F" w:rsidRDefault="00EE2E1F" w:rsidP="00EC5135">
      <w:pPr>
        <w:pStyle w:val="FootnoteText"/>
      </w:pPr>
      <w:r w:rsidRPr="00EE2E1F">
        <w:rPr>
          <w:rStyle w:val="FootnoteReference"/>
        </w:rPr>
        <w:footnoteRef/>
      </w:r>
      <w:r w:rsidRPr="00EE2E1F">
        <w:t xml:space="preserve"> RWA Comments at 8 (opposing a requirement for periodic testing every 24 months and contending that “[t]esting accuracy compliance on a periodic basis is extremely burdensome, particularly for small rural carriers”).  RWA asserts that one of its members estimates “the cost of each test to be in the neighborhood of $100,000.”  </w:t>
      </w:r>
      <w:r w:rsidRPr="00EE2E1F">
        <w:rPr>
          <w:i/>
        </w:rPr>
        <w:t>Id</w:t>
      </w:r>
      <w:r w:rsidRPr="00EE2E1F">
        <w:t xml:space="preserve">. &amp; n.8.  </w:t>
      </w:r>
      <w:r w:rsidRPr="00EE2E1F">
        <w:rPr>
          <w:i/>
        </w:rPr>
        <w:t>See also</w:t>
      </w:r>
      <w:r w:rsidRPr="00EE2E1F">
        <w:t xml:space="preserve"> CCA Reply Comments at 17. </w:t>
      </w:r>
    </w:p>
  </w:footnote>
  <w:footnote w:id="533">
    <w:p w14:paraId="3FB43CD1" w14:textId="77777777" w:rsidR="00EE2E1F" w:rsidRPr="00EE2E1F" w:rsidRDefault="00EE2E1F" w:rsidP="00EC5135">
      <w:pPr>
        <w:pStyle w:val="FootnoteText"/>
      </w:pPr>
      <w:r w:rsidRPr="00EE2E1F">
        <w:rPr>
          <w:rStyle w:val="FootnoteReference"/>
        </w:rPr>
        <w:footnoteRef/>
      </w:r>
      <w:r w:rsidRPr="00EE2E1F">
        <w:t xml:space="preserve"> RWA Comments at 5 (asserting that “only substantial network changes, such as deployment of a new technology, or vendor, or frequency band chances, should warrant re-testing”); CCA Reply Comments at 17 (supporting a requirement for retesting only “upon the occurrence of a substantial network change”). </w:t>
      </w:r>
    </w:p>
  </w:footnote>
  <w:footnote w:id="534">
    <w:p w14:paraId="008DE7F6" w14:textId="77777777" w:rsidR="00EE2E1F" w:rsidRPr="00EE2E1F" w:rsidRDefault="00EE2E1F" w:rsidP="00EC5135">
      <w:pPr>
        <w:pStyle w:val="FootnoteText"/>
      </w:pPr>
      <w:r w:rsidRPr="00EE2E1F">
        <w:rPr>
          <w:rStyle w:val="FootnoteReference"/>
        </w:rPr>
        <w:footnoteRef/>
      </w:r>
      <w:r w:rsidRPr="00EE2E1F">
        <w:t xml:space="preserve"> SouthernLINC </w:t>
      </w:r>
      <w:r w:rsidRPr="00EE2E1F">
        <w:rPr>
          <w:i/>
        </w:rPr>
        <w:t>Ex Parte</w:t>
      </w:r>
      <w:r w:rsidRPr="00EE2E1F">
        <w:t xml:space="preserve"> Letter at 2 (filed Jan. 23, 2015).</w:t>
      </w:r>
    </w:p>
  </w:footnote>
  <w:footnote w:id="535">
    <w:p w14:paraId="5F086729" w14:textId="77777777" w:rsidR="00EE2E1F" w:rsidRPr="00EE2E1F" w:rsidRDefault="00EE2E1F" w:rsidP="00EC5135">
      <w:pPr>
        <w:pStyle w:val="FootnoteText"/>
        <w:rPr>
          <w:color w:val="000000"/>
        </w:rPr>
      </w:pPr>
      <w:r w:rsidRPr="00EE2E1F">
        <w:rPr>
          <w:rStyle w:val="FootnoteReference"/>
          <w:color w:val="000000"/>
        </w:rPr>
        <w:footnoteRef/>
      </w:r>
      <w:r w:rsidRPr="00EE2E1F">
        <w:rPr>
          <w:color w:val="000000"/>
        </w:rPr>
        <w:t xml:space="preserve"> 5 U.S.C. §§ 603(b)(3), 604(a)(3).</w:t>
      </w:r>
    </w:p>
  </w:footnote>
  <w:footnote w:id="536">
    <w:p w14:paraId="606A82D6" w14:textId="77777777" w:rsidR="00EE2E1F" w:rsidRPr="00EE2E1F" w:rsidRDefault="00EE2E1F" w:rsidP="00EC5135">
      <w:pPr>
        <w:pStyle w:val="FootnoteText"/>
        <w:rPr>
          <w:color w:val="000000"/>
        </w:rPr>
      </w:pPr>
      <w:r w:rsidRPr="00EE2E1F">
        <w:rPr>
          <w:rStyle w:val="FootnoteReference"/>
          <w:color w:val="000000"/>
        </w:rPr>
        <w:footnoteRef/>
      </w:r>
      <w:r w:rsidRPr="00EE2E1F">
        <w:rPr>
          <w:color w:val="000000"/>
        </w:rPr>
        <w:t xml:space="preserve"> 5 U.S.C. § 601(6).</w:t>
      </w:r>
    </w:p>
  </w:footnote>
  <w:footnote w:id="537">
    <w:p w14:paraId="712A231B" w14:textId="77777777" w:rsidR="00EE2E1F" w:rsidRPr="00EE2E1F" w:rsidRDefault="00EE2E1F" w:rsidP="00EC5135">
      <w:pPr>
        <w:pStyle w:val="FootnoteText"/>
        <w:rPr>
          <w:color w:val="000000"/>
        </w:rPr>
      </w:pPr>
      <w:r w:rsidRPr="00EE2E1F">
        <w:rPr>
          <w:rStyle w:val="FootnoteReference"/>
          <w:color w:val="000000"/>
        </w:rPr>
        <w:footnoteRef/>
      </w:r>
      <w:r w:rsidRPr="00EE2E1F">
        <w:rPr>
          <w:color w:val="000000"/>
        </w:rPr>
        <w:t xml:space="preserve"> 5 U.S.C. § 601(3) (incorporating by reference the definition of “small 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terms which are appropriate to the activities of the agency and publishes such definitions(s) in the Federal Register.”</w:t>
      </w:r>
    </w:p>
  </w:footnote>
  <w:footnote w:id="538">
    <w:p w14:paraId="7891BB11" w14:textId="77777777" w:rsidR="00EE2E1F" w:rsidRPr="00EE2E1F" w:rsidRDefault="00EE2E1F" w:rsidP="00EC5135">
      <w:pPr>
        <w:pStyle w:val="FootnoteText"/>
        <w:rPr>
          <w:color w:val="000000"/>
        </w:rPr>
      </w:pPr>
      <w:r w:rsidRPr="00EE2E1F">
        <w:rPr>
          <w:rStyle w:val="FootnoteReference"/>
          <w:color w:val="000000"/>
        </w:rPr>
        <w:footnoteRef/>
      </w:r>
      <w:r w:rsidRPr="00EE2E1F">
        <w:rPr>
          <w:color w:val="000000"/>
        </w:rPr>
        <w:t xml:space="preserve"> 15 U.S.C. § 632.</w:t>
      </w:r>
    </w:p>
  </w:footnote>
  <w:footnote w:id="539">
    <w:p w14:paraId="09C2698C" w14:textId="77777777" w:rsidR="00EE2E1F" w:rsidRPr="00EE2E1F" w:rsidRDefault="00EE2E1F" w:rsidP="00EC5135">
      <w:pPr>
        <w:pStyle w:val="FootnoteText"/>
      </w:pPr>
      <w:r w:rsidRPr="00EE2E1F">
        <w:rPr>
          <w:rStyle w:val="FootnoteReference"/>
        </w:rPr>
        <w:footnoteRef/>
      </w:r>
      <w:r w:rsidRPr="00EE2E1F">
        <w:t xml:space="preserve"> </w:t>
      </w:r>
      <w:r w:rsidRPr="00EE2E1F">
        <w:rPr>
          <w:i/>
        </w:rPr>
        <w:t>See</w:t>
      </w:r>
      <w:r w:rsidRPr="00EE2E1F">
        <w:t xml:space="preserve"> 5 U.S.C. §§ 601(3)–(6).</w:t>
      </w:r>
    </w:p>
  </w:footnote>
  <w:footnote w:id="540">
    <w:p w14:paraId="0257E8C5" w14:textId="0991F6FC" w:rsidR="00EE2E1F" w:rsidRPr="00EE2E1F" w:rsidRDefault="00EE2E1F" w:rsidP="00EC5135">
      <w:pPr>
        <w:pStyle w:val="FootnoteText"/>
      </w:pPr>
      <w:r w:rsidRPr="00EE2E1F">
        <w:rPr>
          <w:rStyle w:val="FootnoteReference"/>
        </w:rPr>
        <w:footnoteRef/>
      </w:r>
      <w:r w:rsidRPr="00EE2E1F">
        <w:rPr>
          <w:i/>
        </w:rPr>
        <w:t>See</w:t>
      </w:r>
      <w:r w:rsidRPr="00EE2E1F">
        <w:t xml:space="preserve"> SBA, Office of Advocacy, </w:t>
      </w:r>
      <w:r w:rsidRPr="00EE2E1F">
        <w:rPr>
          <w:i/>
        </w:rPr>
        <w:t>available at</w:t>
      </w:r>
      <w:r w:rsidRPr="00EE2E1F">
        <w:t xml:space="preserve"> </w:t>
      </w:r>
      <w:hyperlink r:id="rId53" w:history="1">
        <w:r w:rsidRPr="00EE2E1F">
          <w:rPr>
            <w:rStyle w:val="Hyperlink"/>
            <w:rFonts w:eastAsia="MS Gothic"/>
          </w:rPr>
          <w:t>http://www.sba.gov/sites/default/files/FAQ_Sept_2012.pdf</w:t>
        </w:r>
      </w:hyperlink>
      <w:r w:rsidRPr="00EE2E1F">
        <w:t xml:space="preserve"> (last visited Jan. 31, 2014).</w:t>
      </w:r>
    </w:p>
  </w:footnote>
  <w:footnote w:id="541">
    <w:p w14:paraId="018976EE" w14:textId="77777777" w:rsidR="00EE2E1F" w:rsidRPr="00EE2E1F" w:rsidRDefault="00EE2E1F" w:rsidP="00EC5135">
      <w:pPr>
        <w:pStyle w:val="FootnoteText"/>
      </w:pPr>
      <w:r w:rsidRPr="00EE2E1F">
        <w:rPr>
          <w:rStyle w:val="FootnoteReference"/>
        </w:rPr>
        <w:footnoteRef/>
      </w:r>
      <w:r w:rsidRPr="00EE2E1F">
        <w:t xml:space="preserve"> </w:t>
      </w:r>
      <w:r w:rsidRPr="00EE2E1F">
        <w:rPr>
          <w:spacing w:val="-2"/>
        </w:rPr>
        <w:t>5 U.S.C.</w:t>
      </w:r>
      <w:r w:rsidRPr="00EE2E1F">
        <w:t xml:space="preserve"> § 601(4).</w:t>
      </w:r>
    </w:p>
  </w:footnote>
  <w:footnote w:id="542">
    <w:p w14:paraId="11A44622" w14:textId="77777777" w:rsidR="00EE2E1F" w:rsidRPr="00EE2E1F" w:rsidRDefault="00EE2E1F" w:rsidP="00EC5135">
      <w:pPr>
        <w:pStyle w:val="FootnoteText"/>
      </w:pPr>
      <w:r w:rsidRPr="00EE2E1F">
        <w:rPr>
          <w:rStyle w:val="FootnoteReference"/>
        </w:rPr>
        <w:footnoteRef/>
      </w:r>
      <w:r w:rsidRPr="00EE2E1F">
        <w:t xml:space="preserve"> </w:t>
      </w:r>
      <w:r w:rsidRPr="00EE2E1F">
        <w:rPr>
          <w:smallCaps/>
        </w:rPr>
        <w:t>Independent Sector</w:t>
      </w:r>
      <w:r w:rsidRPr="00EE2E1F">
        <w:t xml:space="preserve">, </w:t>
      </w:r>
      <w:r w:rsidRPr="00EE2E1F">
        <w:rPr>
          <w:smallCaps/>
        </w:rPr>
        <w:t>The New Nonprofit Almanac &amp; Desk Reference</w:t>
      </w:r>
      <w:r w:rsidRPr="00EE2E1F">
        <w:t xml:space="preserve"> (2010).</w:t>
      </w:r>
    </w:p>
  </w:footnote>
  <w:footnote w:id="543">
    <w:p w14:paraId="66233D44" w14:textId="77777777" w:rsidR="00EE2E1F" w:rsidRPr="00EE2E1F" w:rsidRDefault="00EE2E1F" w:rsidP="00EC5135">
      <w:pPr>
        <w:pStyle w:val="FootnoteText"/>
      </w:pPr>
      <w:r w:rsidRPr="00EE2E1F">
        <w:rPr>
          <w:rStyle w:val="FootnoteReference"/>
          <w:spacing w:val="-2"/>
        </w:rPr>
        <w:footnoteRef/>
      </w:r>
      <w:r w:rsidRPr="00EE2E1F">
        <w:t xml:space="preserve"> 5 U.S.C. § 601(5).</w:t>
      </w:r>
    </w:p>
  </w:footnote>
  <w:footnote w:id="544">
    <w:p w14:paraId="70F24C3F" w14:textId="77777777" w:rsidR="00EE2E1F" w:rsidRPr="00EE2E1F" w:rsidRDefault="00EE2E1F" w:rsidP="00EC5135">
      <w:pPr>
        <w:pStyle w:val="FootnoteText"/>
      </w:pPr>
      <w:r w:rsidRPr="00EE2E1F">
        <w:rPr>
          <w:rStyle w:val="FootnoteReference"/>
          <w:spacing w:val="-2"/>
        </w:rPr>
        <w:footnoteRef/>
      </w:r>
      <w:r w:rsidRPr="00EE2E1F">
        <w:t xml:space="preserve"> </w:t>
      </w:r>
      <w:r w:rsidRPr="00EE2E1F">
        <w:rPr>
          <w:smallCaps/>
        </w:rPr>
        <w:t>U.S. Census Bureau, Statistical Abstract of the United States: 2011</w:t>
      </w:r>
      <w:r w:rsidRPr="00EE2E1F">
        <w:t xml:space="preserve">, Table 427 (2007). </w:t>
      </w:r>
    </w:p>
  </w:footnote>
  <w:footnote w:id="545">
    <w:p w14:paraId="1A640A8B" w14:textId="77777777" w:rsidR="00EE2E1F" w:rsidRPr="00EE2E1F" w:rsidRDefault="00EE2E1F" w:rsidP="00EC5135">
      <w:pPr>
        <w:pStyle w:val="FootnoteText"/>
      </w:pPr>
      <w:r w:rsidRPr="00EE2E1F">
        <w:rPr>
          <w:rStyle w:val="FootnoteReference"/>
        </w:rPr>
        <w:footnoteRef/>
      </w:r>
      <w:r w:rsidRPr="00EE2E1F">
        <w:t xml:space="preserve"> The 2007 U.S Census data for small governmental organizations are not presented based on the size of the population in each such organization. There were 89, 476 small governmental organizations in 2007. If we assume that county, municipal, township and school district organizations are more likely than larger governmental organizations to have populations of 50,000 or less, , the total of these organizations is 52,125. If we make the same assumption about special districts, and also assume that special districts are different from county, municipal, township, and school districts, in 2007 there were 37,381 special districts. Therefore, of the 89,476 small governmental organizations documented in 2007, as many as 89,506 may be considered small under the applicable standard.  This data may overestimate the number of such organizations that has a population of 50,000 or less. </w:t>
      </w:r>
      <w:r w:rsidRPr="00EE2E1F">
        <w:rPr>
          <w:smallCaps/>
        </w:rPr>
        <w:t>U.S. Census Bureau, Statistical Abstract of the United States 2011</w:t>
      </w:r>
      <w:r w:rsidRPr="00EE2E1F">
        <w:t>, Tables 427, 426 (Data cited therein are from 2007)</w:t>
      </w:r>
      <w:r w:rsidRPr="00EE2E1F">
        <w:rPr>
          <w:i/>
        </w:rPr>
        <w:t>.</w:t>
      </w:r>
    </w:p>
  </w:footnote>
  <w:footnote w:id="546">
    <w:p w14:paraId="0AF54181" w14:textId="06DCEFC4" w:rsidR="00EE2E1F" w:rsidRPr="00EE2E1F" w:rsidRDefault="00EE2E1F" w:rsidP="00EC5135">
      <w:pPr>
        <w:pStyle w:val="FootnoteText"/>
      </w:pPr>
      <w:r w:rsidRPr="00EE2E1F">
        <w:rPr>
          <w:rStyle w:val="FootnoteReference"/>
        </w:rPr>
        <w:footnoteRef/>
      </w:r>
      <w:r w:rsidRPr="00EE2E1F">
        <w:t xml:space="preserve"> U.S. Census Bureau, North American Industry Classification System, Definition of “Wireless Telecommunications Carriers (except Satellite),” NAICS code 517210, </w:t>
      </w:r>
      <w:r w:rsidRPr="00EE2E1F">
        <w:rPr>
          <w:i/>
        </w:rPr>
        <w:t>available at</w:t>
      </w:r>
      <w:r w:rsidRPr="00EE2E1F">
        <w:t xml:space="preserve"> </w:t>
      </w:r>
      <w:hyperlink r:id="rId54" w:history="1">
        <w:r w:rsidRPr="00EE2E1F">
          <w:rPr>
            <w:rStyle w:val="Hyperlink"/>
            <w:rFonts w:eastAsia="MS Gothic"/>
          </w:rPr>
          <w:t>http://www.census.gov/cgi-bin/sssd/naics/naicsrch?code=517210&amp;search=2007%20NAICS%20Search</w:t>
        </w:r>
      </w:hyperlink>
      <w:r w:rsidRPr="00EE2E1F">
        <w:rPr>
          <w:rStyle w:val="Hyperlink"/>
          <w:rFonts w:eastAsia="MS Gothic"/>
        </w:rPr>
        <w:t xml:space="preserve"> (last visited Jan. 31, 2013).</w:t>
      </w:r>
    </w:p>
  </w:footnote>
  <w:footnote w:id="547">
    <w:p w14:paraId="7DDE9E84" w14:textId="77777777" w:rsidR="00EE2E1F" w:rsidRPr="00EE2E1F" w:rsidRDefault="00EE2E1F" w:rsidP="00EC5135">
      <w:pPr>
        <w:pStyle w:val="FootnoteText"/>
        <w:spacing w:line="120" w:lineRule="atLeast"/>
      </w:pPr>
      <w:r w:rsidRPr="00EE2E1F">
        <w:rPr>
          <w:rStyle w:val="FootnoteReference"/>
        </w:rPr>
        <w:footnoteRef/>
      </w:r>
      <w:r w:rsidRPr="00EE2E1F">
        <w:t xml:space="preserve"> </w:t>
      </w:r>
      <w:r w:rsidRPr="00EE2E1F">
        <w:rPr>
          <w:i/>
        </w:rPr>
        <w:t>See id</w:t>
      </w:r>
      <w:r w:rsidRPr="00EE2E1F">
        <w:t xml:space="preserve">.  </w:t>
      </w:r>
      <w:r w:rsidRPr="00EE2E1F">
        <w:rPr>
          <w:i/>
        </w:rPr>
        <w:t>See also</w:t>
      </w:r>
      <w:r w:rsidRPr="00EE2E1F">
        <w:t xml:space="preserve"> 13 C.F.R. § 121.201, NAICS code 517210. </w:t>
      </w:r>
    </w:p>
  </w:footnote>
  <w:footnote w:id="548">
    <w:p w14:paraId="6074380B" w14:textId="7D0B8A0F" w:rsidR="00EE2E1F" w:rsidRPr="00EE2E1F" w:rsidRDefault="00EE2E1F" w:rsidP="00EC5135">
      <w:pPr>
        <w:pStyle w:val="FootnoteText"/>
      </w:pPr>
      <w:r w:rsidRPr="00EE2E1F">
        <w:rPr>
          <w:rStyle w:val="FootnoteReference"/>
        </w:rPr>
        <w:footnoteRef/>
      </w:r>
      <w:r w:rsidRPr="00EE2E1F">
        <w:t xml:space="preserve"> U.S. Census Bureau, Subject Series: Information, Table 5, “Establishment and Firm Size: Employment Size of Firms for the United States: 2007 NAICS Code 517210” (issued Nov. 2010), </w:t>
      </w:r>
      <w:r w:rsidRPr="00EE2E1F">
        <w:rPr>
          <w:i/>
        </w:rPr>
        <w:t>available at</w:t>
      </w:r>
      <w:r w:rsidRPr="00EE2E1F">
        <w:t xml:space="preserve"> </w:t>
      </w:r>
      <w:hyperlink r:id="rId55" w:history="1">
        <w:r w:rsidRPr="00EE2E1F">
          <w:rPr>
            <w:rStyle w:val="Hyperlink"/>
            <w:rFonts w:eastAsia="MS Gothic"/>
          </w:rPr>
          <w:t>http://factfinder2.census.gov/faces/tableservices/jsf/pages/productview.xhtml?pid=ECN_2007_US_51SSSZ2&amp;prodType=table</w:t>
        </w:r>
      </w:hyperlink>
      <w:r w:rsidRPr="00EE2E1F">
        <w:t xml:space="preserve"> (last visited Jan. 31, 2014).</w:t>
      </w:r>
    </w:p>
  </w:footnote>
  <w:footnote w:id="549">
    <w:p w14:paraId="6596F534" w14:textId="77777777" w:rsidR="00EE2E1F" w:rsidRPr="00EE2E1F" w:rsidRDefault="00EE2E1F" w:rsidP="00EC5135">
      <w:pPr>
        <w:pStyle w:val="FootnoteText"/>
      </w:pPr>
      <w:r w:rsidRPr="00EE2E1F">
        <w:rPr>
          <w:rStyle w:val="FootnoteReference"/>
        </w:rPr>
        <w:footnoteRef/>
      </w:r>
      <w:r w:rsidRPr="00EE2E1F">
        <w:rPr>
          <w:i/>
        </w:rPr>
        <w:t xml:space="preserve"> Id</w:t>
      </w:r>
      <w:r w:rsidRPr="00EE2E1F">
        <w:t>.  Available census data do not provide a more precise estimate of the number of firms that have employment of 1,500 or fewer employees; the largest category provided is for firms with “100 employees or more.”</w:t>
      </w:r>
    </w:p>
  </w:footnote>
  <w:footnote w:id="550">
    <w:p w14:paraId="6B49CBB7" w14:textId="77777777" w:rsidR="00EE2E1F" w:rsidRPr="00EE2E1F" w:rsidRDefault="00EE2E1F" w:rsidP="00EC5135">
      <w:pPr>
        <w:pStyle w:val="FootnoteText"/>
      </w:pPr>
      <w:r w:rsidRPr="00EE2E1F">
        <w:rPr>
          <w:rStyle w:val="FootnoteReference"/>
        </w:rPr>
        <w:footnoteRef/>
      </w:r>
      <w:r w:rsidRPr="00EE2E1F">
        <w:rPr>
          <w:i/>
        </w:rPr>
        <w:t xml:space="preserve"> Id.</w:t>
      </w:r>
    </w:p>
  </w:footnote>
  <w:footnote w:id="551">
    <w:p w14:paraId="0919270A" w14:textId="77777777" w:rsidR="00EE2E1F" w:rsidRPr="00EE2E1F" w:rsidRDefault="00EE2E1F" w:rsidP="00A02910">
      <w:pPr>
        <w:pStyle w:val="FootnoteText"/>
      </w:pPr>
      <w:r w:rsidRPr="00EE2E1F">
        <w:rPr>
          <w:rStyle w:val="FootnoteReference"/>
        </w:rPr>
        <w:footnoteRef/>
      </w:r>
      <w:r w:rsidRPr="00EE2E1F">
        <w:rPr>
          <w:rStyle w:val="Footnote"/>
        </w:rPr>
        <w:t xml:space="preserve"> 13 C.F.R. § 121.201, NAICS code 517110.</w:t>
      </w:r>
    </w:p>
  </w:footnote>
  <w:footnote w:id="552">
    <w:p w14:paraId="24FB7257" w14:textId="77777777" w:rsidR="00EE2E1F" w:rsidRPr="00EE2E1F" w:rsidRDefault="00EE2E1F" w:rsidP="00EC5135">
      <w:pPr>
        <w:pStyle w:val="FootnoteText"/>
      </w:pPr>
      <w:r w:rsidRPr="00EE2E1F">
        <w:rPr>
          <w:rStyle w:val="FootnoteReference"/>
        </w:rPr>
        <w:footnoteRef/>
      </w:r>
      <w:r w:rsidRPr="00EE2E1F">
        <w:t xml:space="preserve"> </w:t>
      </w:r>
      <w:r w:rsidRPr="00EE2E1F">
        <w:rPr>
          <w:i/>
        </w:rPr>
        <w:t>See Trends in Telephone Service</w:t>
      </w:r>
      <w:r w:rsidRPr="00EE2E1F">
        <w:t>, Federal Communications Commission, Wireline Competition Bureau, Industry Analysis and Technology Division at Table 5.3 (Sept. 2010) (</w:t>
      </w:r>
      <w:r w:rsidRPr="00EE2E1F">
        <w:rPr>
          <w:i/>
        </w:rPr>
        <w:t>Trends in Telephone Service</w:t>
      </w:r>
      <w:r w:rsidRPr="00EE2E1F">
        <w:t>).</w:t>
      </w:r>
    </w:p>
  </w:footnote>
  <w:footnote w:id="553">
    <w:p w14:paraId="5D5E46ED" w14:textId="77777777" w:rsidR="00EE2E1F" w:rsidRPr="00EE2E1F" w:rsidRDefault="00EE2E1F" w:rsidP="00EC5135">
      <w:pPr>
        <w:pStyle w:val="FootnoteText"/>
      </w:pPr>
      <w:r w:rsidRPr="00EE2E1F">
        <w:rPr>
          <w:rStyle w:val="FootnoteReference"/>
        </w:rPr>
        <w:footnoteRef/>
      </w:r>
      <w:r w:rsidRPr="00EE2E1F">
        <w:t xml:space="preserve"> </w:t>
      </w:r>
      <w:r w:rsidRPr="00EE2E1F">
        <w:rPr>
          <w:i/>
        </w:rPr>
        <w:t>See id</w:t>
      </w:r>
      <w:r w:rsidRPr="00EE2E1F">
        <w:t>.</w:t>
      </w:r>
    </w:p>
  </w:footnote>
  <w:footnote w:id="554">
    <w:p w14:paraId="04D3CB57" w14:textId="2C1F3147" w:rsidR="00EE2E1F" w:rsidRPr="00EE2E1F" w:rsidRDefault="00EE2E1F" w:rsidP="00EC5135">
      <w:pPr>
        <w:pStyle w:val="FootnoteText"/>
      </w:pPr>
      <w:r w:rsidRPr="00EE2E1F">
        <w:rPr>
          <w:rStyle w:val="FootnoteReference"/>
        </w:rPr>
        <w:footnoteRef/>
      </w:r>
      <w:r w:rsidRPr="00EE2E1F">
        <w:t xml:space="preserve"> </w:t>
      </w:r>
      <w:r w:rsidRPr="00EE2E1F">
        <w:rPr>
          <w:i/>
        </w:rPr>
        <w:t xml:space="preserve">See </w:t>
      </w:r>
      <w:hyperlink r:id="rId56" w:history="1">
        <w:r w:rsidRPr="00EE2E1F">
          <w:rPr>
            <w:color w:val="0000FF"/>
            <w:u w:val="single"/>
          </w:rPr>
          <w:t>http://factfinder.census.gov/servlet/IBQTable?_bm=y&amp;-fds_name=EC0700A1&amp;-geo_id=&amp;-_skip=600&amp;-ds_name=EC0751SSSZ5&amp;-_lang=en</w:t>
        </w:r>
      </w:hyperlink>
      <w:r w:rsidRPr="00EE2E1F">
        <w:t>.</w:t>
      </w:r>
    </w:p>
  </w:footnote>
  <w:footnote w:id="555">
    <w:p w14:paraId="4C2C88E5" w14:textId="77777777" w:rsidR="00EE2E1F" w:rsidRPr="00EE2E1F" w:rsidRDefault="00EE2E1F" w:rsidP="00EC5135">
      <w:pPr>
        <w:pStyle w:val="FootnoteText"/>
      </w:pPr>
      <w:r w:rsidRPr="00EE2E1F">
        <w:rPr>
          <w:rStyle w:val="FootnoteReference"/>
        </w:rPr>
        <w:footnoteRef/>
      </w:r>
      <w:r w:rsidRPr="00EE2E1F">
        <w:t xml:space="preserve"> </w:t>
      </w:r>
      <w:r w:rsidRPr="00EE2E1F">
        <w:rPr>
          <w:rStyle w:val="footnote0"/>
        </w:rPr>
        <w:t>13 C.F.R. § 121.201, NAICS code 517110</w:t>
      </w:r>
      <w:r w:rsidRPr="00EE2E1F">
        <w:rPr>
          <w:rStyle w:val="FootnoteTextChar4"/>
        </w:rPr>
        <w:t>.</w:t>
      </w:r>
    </w:p>
  </w:footnote>
  <w:footnote w:id="556">
    <w:p w14:paraId="638C8D2F" w14:textId="109D831F" w:rsidR="00EE2E1F" w:rsidRPr="00EE2E1F" w:rsidRDefault="00EE2E1F" w:rsidP="00EC5135">
      <w:pPr>
        <w:pStyle w:val="FootnoteText"/>
      </w:pPr>
      <w:r w:rsidRPr="00EE2E1F">
        <w:rPr>
          <w:rStyle w:val="FootnoteReference"/>
        </w:rPr>
        <w:footnoteRef/>
      </w:r>
      <w:r w:rsidRPr="00EE2E1F">
        <w:t xml:space="preserve"> </w:t>
      </w:r>
      <w:r w:rsidRPr="00EE2E1F">
        <w:rPr>
          <w:i/>
        </w:rPr>
        <w:t xml:space="preserve">See </w:t>
      </w:r>
      <w:hyperlink r:id="rId57" w:history="1">
        <w:r w:rsidRPr="00EE2E1F">
          <w:rPr>
            <w:color w:val="0000FF"/>
            <w:u w:val="single"/>
          </w:rPr>
          <w:t>http://factfinder.census.gov/servlet/IBQTable?_bm=y&amp;-fds_name=EC0700A1&amp;-geo_id=&amp;-_skip=600&amp;-ds_name=EC0751SSSZ5&amp;-_lang=en</w:t>
        </w:r>
      </w:hyperlink>
      <w:r w:rsidRPr="00EE2E1F">
        <w:t>.</w:t>
      </w:r>
    </w:p>
  </w:footnote>
  <w:footnote w:id="557">
    <w:p w14:paraId="221135AB" w14:textId="77777777" w:rsidR="00EE2E1F" w:rsidRPr="00EE2E1F" w:rsidRDefault="00EE2E1F" w:rsidP="00EC5135">
      <w:pPr>
        <w:pStyle w:val="FootnoteText"/>
      </w:pPr>
      <w:r w:rsidRPr="00EE2E1F">
        <w:rPr>
          <w:rStyle w:val="FootnoteReference"/>
        </w:rPr>
        <w:footnoteRef/>
      </w:r>
      <w:r w:rsidRPr="00EE2E1F">
        <w:t xml:space="preserve"> </w:t>
      </w:r>
      <w:r w:rsidRPr="00EE2E1F">
        <w:rPr>
          <w:i/>
        </w:rPr>
        <w:t>See Trends in Telephone Service</w:t>
      </w:r>
      <w:r w:rsidRPr="00EE2E1F">
        <w:t xml:space="preserve"> at Table 5.3.</w:t>
      </w:r>
    </w:p>
  </w:footnote>
  <w:footnote w:id="558">
    <w:p w14:paraId="0944A2B0" w14:textId="77777777" w:rsidR="00EE2E1F" w:rsidRPr="00EE2E1F" w:rsidRDefault="00EE2E1F" w:rsidP="00EC5135">
      <w:pPr>
        <w:pStyle w:val="FootnoteText"/>
      </w:pPr>
      <w:r w:rsidRPr="00EE2E1F">
        <w:rPr>
          <w:rStyle w:val="FootnoteReference"/>
        </w:rPr>
        <w:footnoteRef/>
      </w:r>
      <w:r w:rsidRPr="00EE2E1F">
        <w:t xml:space="preserve"> </w:t>
      </w:r>
      <w:r w:rsidRPr="00EE2E1F">
        <w:rPr>
          <w:i/>
        </w:rPr>
        <w:t>See id.</w:t>
      </w:r>
    </w:p>
  </w:footnote>
  <w:footnote w:id="559">
    <w:p w14:paraId="2921EAF1" w14:textId="77777777" w:rsidR="00EE2E1F" w:rsidRPr="00EE2E1F" w:rsidRDefault="00EE2E1F" w:rsidP="00EC5135">
      <w:pPr>
        <w:pStyle w:val="FootnoteText"/>
      </w:pPr>
      <w:r w:rsidRPr="00EE2E1F">
        <w:rPr>
          <w:rStyle w:val="FootnoteReference"/>
        </w:rPr>
        <w:footnoteRef/>
      </w:r>
      <w:r w:rsidRPr="00EE2E1F">
        <w:t xml:space="preserve"> </w:t>
      </w:r>
      <w:r w:rsidRPr="00EE2E1F">
        <w:rPr>
          <w:i/>
        </w:rPr>
        <w:t>See id</w:t>
      </w:r>
      <w:r w:rsidRPr="00EE2E1F">
        <w:t>.</w:t>
      </w:r>
    </w:p>
  </w:footnote>
  <w:footnote w:id="560">
    <w:p w14:paraId="153EF173" w14:textId="77777777" w:rsidR="00EE2E1F" w:rsidRPr="00EE2E1F" w:rsidRDefault="00EE2E1F" w:rsidP="00EC5135">
      <w:pPr>
        <w:pStyle w:val="FootnoteText"/>
      </w:pPr>
      <w:r w:rsidRPr="00EE2E1F">
        <w:rPr>
          <w:rStyle w:val="FootnoteReference"/>
        </w:rPr>
        <w:footnoteRef/>
      </w:r>
      <w:r w:rsidRPr="00EE2E1F">
        <w:t xml:space="preserve"> </w:t>
      </w:r>
      <w:r w:rsidRPr="00EE2E1F">
        <w:rPr>
          <w:i/>
        </w:rPr>
        <w:t>See id</w:t>
      </w:r>
      <w:r w:rsidRPr="00EE2E1F">
        <w:t>.</w:t>
      </w:r>
    </w:p>
  </w:footnote>
  <w:footnote w:id="561">
    <w:p w14:paraId="2AC190B6" w14:textId="77777777" w:rsidR="00EE2E1F" w:rsidRPr="00EE2E1F" w:rsidRDefault="00EE2E1F" w:rsidP="00EC5135">
      <w:pPr>
        <w:pStyle w:val="FootnoteText"/>
      </w:pPr>
      <w:r w:rsidRPr="00EE2E1F">
        <w:rPr>
          <w:rStyle w:val="FootnoteReference"/>
        </w:rPr>
        <w:footnoteRef/>
      </w:r>
      <w:r w:rsidRPr="00EE2E1F">
        <w:t xml:space="preserve"> </w:t>
      </w:r>
      <w:r w:rsidRPr="00EE2E1F">
        <w:rPr>
          <w:i/>
        </w:rPr>
        <w:t>See id</w:t>
      </w:r>
      <w:r w:rsidRPr="00EE2E1F">
        <w:t>.</w:t>
      </w:r>
    </w:p>
  </w:footnote>
  <w:footnote w:id="562">
    <w:p w14:paraId="5ED957FA" w14:textId="77777777" w:rsidR="00EE2E1F" w:rsidRPr="00EE2E1F" w:rsidRDefault="00EE2E1F" w:rsidP="00EC5135">
      <w:pPr>
        <w:pStyle w:val="FootnoteText"/>
        <w:spacing w:line="120" w:lineRule="atLeast"/>
      </w:pPr>
      <w:r w:rsidRPr="00EE2E1F">
        <w:rPr>
          <w:rStyle w:val="Footnote"/>
          <w:vertAlign w:val="superscript"/>
        </w:rPr>
        <w:footnoteRef/>
      </w:r>
      <w:r w:rsidRPr="00EE2E1F">
        <w:rPr>
          <w:rStyle w:val="Footnote"/>
        </w:rPr>
        <w:t xml:space="preserve"> </w:t>
      </w:r>
      <w:r w:rsidRPr="00EE2E1F">
        <w:rPr>
          <w:rStyle w:val="Footnote"/>
          <w:i/>
        </w:rPr>
        <w:t>See</w:t>
      </w:r>
      <w:r w:rsidRPr="00EE2E1F">
        <w:rPr>
          <w:rStyle w:val="Footnote"/>
        </w:rPr>
        <w:t xml:space="preserve"> Amendment of Parts 20 and 24 of the Commission’s Rules – Broadband PCS Competitive Bidding and the Commercial Mobile Radio Service Spectrum Cap; Amendment of the Commission’s Cellular/PCS Cross-Ownership Rule; WT Docket No. 96-59, GN Docket No. 90-314, </w:t>
      </w:r>
      <w:r w:rsidRPr="00EE2E1F">
        <w:rPr>
          <w:rStyle w:val="Footnote"/>
          <w:i/>
        </w:rPr>
        <w:t>Report and Order</w:t>
      </w:r>
      <w:r w:rsidRPr="00EE2E1F">
        <w:rPr>
          <w:rStyle w:val="Footnote"/>
        </w:rPr>
        <w:t>, 11 FCC Rcd 7824, 7850–52, paras. 57–60 (1996) (</w:t>
      </w:r>
      <w:r w:rsidRPr="00EE2E1F">
        <w:rPr>
          <w:rStyle w:val="Footnote"/>
          <w:i/>
        </w:rPr>
        <w:t>PCS Report and Order</w:t>
      </w:r>
      <w:r w:rsidRPr="00EE2E1F">
        <w:rPr>
          <w:rStyle w:val="Footnote"/>
        </w:rPr>
        <w:t xml:space="preserve">); </w:t>
      </w:r>
      <w:r w:rsidRPr="00EE2E1F">
        <w:rPr>
          <w:rStyle w:val="Footnote"/>
          <w:i/>
        </w:rPr>
        <w:t>see also</w:t>
      </w:r>
      <w:r w:rsidRPr="00EE2E1F">
        <w:rPr>
          <w:rStyle w:val="Footnote"/>
        </w:rPr>
        <w:t xml:space="preserve"> 47 C.F.R. § 24.720(b).</w:t>
      </w:r>
    </w:p>
  </w:footnote>
  <w:footnote w:id="563">
    <w:p w14:paraId="5311050F" w14:textId="77777777" w:rsidR="00EE2E1F" w:rsidRPr="00EE2E1F" w:rsidRDefault="00EE2E1F" w:rsidP="00EC5135">
      <w:pPr>
        <w:pStyle w:val="FootnoteText"/>
        <w:spacing w:line="120" w:lineRule="atLeast"/>
      </w:pPr>
      <w:r w:rsidRPr="00EE2E1F">
        <w:rPr>
          <w:rStyle w:val="Footnote"/>
          <w:vertAlign w:val="superscript"/>
        </w:rPr>
        <w:footnoteRef/>
      </w:r>
      <w:r w:rsidRPr="00EE2E1F">
        <w:rPr>
          <w:rStyle w:val="Footnote"/>
        </w:rPr>
        <w:t xml:space="preserve"> </w:t>
      </w:r>
      <w:r w:rsidRPr="00EE2E1F">
        <w:rPr>
          <w:rStyle w:val="Footnote"/>
          <w:i/>
        </w:rPr>
        <w:t>See</w:t>
      </w:r>
      <w:r w:rsidRPr="00EE2E1F">
        <w:rPr>
          <w:rStyle w:val="Footnote"/>
        </w:rPr>
        <w:t xml:space="preserve"> </w:t>
      </w:r>
      <w:r w:rsidRPr="00EE2E1F">
        <w:rPr>
          <w:rStyle w:val="Footnote"/>
          <w:i/>
        </w:rPr>
        <w:t>PCS Report and Order</w:t>
      </w:r>
      <w:r w:rsidRPr="00EE2E1F">
        <w:rPr>
          <w:rStyle w:val="Footnote"/>
        </w:rPr>
        <w:t>, 11 FCC Rcd at 7852 ¶ 60.</w:t>
      </w:r>
    </w:p>
  </w:footnote>
  <w:footnote w:id="564">
    <w:p w14:paraId="4EFBF839" w14:textId="77777777" w:rsidR="00EE2E1F" w:rsidRPr="00EE2E1F" w:rsidRDefault="00EE2E1F" w:rsidP="00EC5135">
      <w:pPr>
        <w:pStyle w:val="FootnoteText"/>
        <w:spacing w:line="120" w:lineRule="atLeast"/>
      </w:pPr>
      <w:r w:rsidRPr="00EE2E1F">
        <w:rPr>
          <w:rStyle w:val="Footnote"/>
          <w:vertAlign w:val="superscript"/>
        </w:rPr>
        <w:footnoteRef/>
      </w:r>
      <w:r w:rsidRPr="00EE2E1F">
        <w:rPr>
          <w:rStyle w:val="Footnote"/>
        </w:rPr>
        <w:t xml:space="preserve"> </w:t>
      </w:r>
      <w:r w:rsidRPr="00EE2E1F">
        <w:rPr>
          <w:rStyle w:val="Footnote"/>
          <w:i/>
        </w:rPr>
        <w:t>See</w:t>
      </w:r>
      <w:r w:rsidRPr="00EE2E1F">
        <w:t xml:space="preserve"> Letter from Aida Alvarez, Administrator, Small Business Administration, to Amy Zoslov, Chief, Auctions and Industry Analysis Division, Wireless Telecommunications Bureau, Federal Communications Commission (Dec. 2, 1998) (</w:t>
      </w:r>
      <w:r w:rsidRPr="00EE2E1F">
        <w:rPr>
          <w:i/>
        </w:rPr>
        <w:t>Alvarez Letter 1998</w:t>
      </w:r>
      <w:r w:rsidRPr="00EE2E1F">
        <w:t>)</w:t>
      </w:r>
      <w:r w:rsidRPr="00EE2E1F">
        <w:rPr>
          <w:rStyle w:val="Footnote"/>
        </w:rPr>
        <w:t>.</w:t>
      </w:r>
    </w:p>
  </w:footnote>
  <w:footnote w:id="565">
    <w:p w14:paraId="336E9280" w14:textId="77777777" w:rsidR="00EE2E1F" w:rsidRPr="00EE2E1F" w:rsidRDefault="00EE2E1F" w:rsidP="00EC5135">
      <w:pPr>
        <w:pStyle w:val="FootnoteText"/>
        <w:spacing w:line="120" w:lineRule="atLeast"/>
      </w:pPr>
      <w:r w:rsidRPr="00EE2E1F">
        <w:rPr>
          <w:rStyle w:val="Footnote"/>
          <w:vertAlign w:val="superscript"/>
        </w:rPr>
        <w:footnoteRef/>
      </w:r>
      <w:r w:rsidRPr="00EE2E1F">
        <w:t xml:space="preserve"> </w:t>
      </w:r>
      <w:r w:rsidRPr="00EE2E1F">
        <w:rPr>
          <w:rStyle w:val="footnote0"/>
          <w:i/>
          <w:iCs/>
        </w:rPr>
        <w:t>See</w:t>
      </w:r>
      <w:r w:rsidRPr="00EE2E1F">
        <w:rPr>
          <w:rStyle w:val="footnote0"/>
        </w:rPr>
        <w:t xml:space="preserve"> </w:t>
      </w:r>
      <w:r w:rsidRPr="00EE2E1F">
        <w:rPr>
          <w:rStyle w:val="footnote0"/>
          <w:iCs/>
        </w:rPr>
        <w:t>Broadband PCS, D, E and F Block Auction Closes</w:t>
      </w:r>
      <w:r w:rsidRPr="00EE2E1F">
        <w:rPr>
          <w:rStyle w:val="footnote0"/>
        </w:rPr>
        <w:t xml:space="preserve">, </w:t>
      </w:r>
      <w:r w:rsidRPr="00EE2E1F">
        <w:rPr>
          <w:rStyle w:val="footnote0"/>
          <w:i/>
        </w:rPr>
        <w:t>Public Notice</w:t>
      </w:r>
      <w:r w:rsidRPr="00EE2E1F">
        <w:rPr>
          <w:rStyle w:val="footnote0"/>
        </w:rPr>
        <w:t>, Doc. No. 89838 (rel. Jan. 14, 1997).</w:t>
      </w:r>
    </w:p>
  </w:footnote>
  <w:footnote w:id="566">
    <w:p w14:paraId="33F712A4" w14:textId="77777777" w:rsidR="00EE2E1F" w:rsidRPr="00EE2E1F" w:rsidRDefault="00EE2E1F" w:rsidP="00EC5135">
      <w:pPr>
        <w:pStyle w:val="FootnoteText"/>
        <w:spacing w:line="120" w:lineRule="atLeast"/>
      </w:pPr>
      <w:r w:rsidRPr="00EE2E1F">
        <w:rPr>
          <w:rStyle w:val="Footnote"/>
          <w:vertAlign w:val="superscript"/>
        </w:rPr>
        <w:footnoteRef/>
      </w:r>
      <w:r w:rsidRPr="00EE2E1F">
        <w:rPr>
          <w:rStyle w:val="Footnote"/>
        </w:rPr>
        <w:t xml:space="preserve"> </w:t>
      </w:r>
      <w:r w:rsidRPr="00EE2E1F">
        <w:rPr>
          <w:rStyle w:val="Footnote"/>
          <w:i/>
        </w:rPr>
        <w:t>See</w:t>
      </w:r>
      <w:r w:rsidRPr="00EE2E1F">
        <w:rPr>
          <w:rStyle w:val="Footnote"/>
        </w:rPr>
        <w:t xml:space="preserve"> C, D, E, and F Block Broadband PCS Auction Closes, </w:t>
      </w:r>
      <w:r w:rsidRPr="00EE2E1F">
        <w:rPr>
          <w:rStyle w:val="Footnote"/>
          <w:i/>
        </w:rPr>
        <w:t>Public Notice</w:t>
      </w:r>
      <w:r w:rsidRPr="00EE2E1F">
        <w:rPr>
          <w:rStyle w:val="Footnote"/>
        </w:rPr>
        <w:t xml:space="preserve">, 14 FCC Rcd 6688 (WTB 1999).  </w:t>
      </w:r>
      <w:r w:rsidRPr="00EE2E1F">
        <w:t xml:space="preserve">Before Auction No. 22, the Commission established a very small standard for the C Block to match the standard used for F Block.  Amendment of the Commission’s Rules Regarding Installment Payment Financing for Personal Communications Services (PCS) Licensees, WT Docket No. 97-82, </w:t>
      </w:r>
      <w:r w:rsidRPr="00EE2E1F">
        <w:rPr>
          <w:i/>
        </w:rPr>
        <w:t>Fourth Report and Order</w:t>
      </w:r>
      <w:r w:rsidRPr="00EE2E1F">
        <w:t>, 13 FCC Rcd 15743, 15768, ¶ 46 (1998).</w:t>
      </w:r>
    </w:p>
  </w:footnote>
  <w:footnote w:id="567">
    <w:p w14:paraId="2892E4C3" w14:textId="77777777" w:rsidR="00EE2E1F" w:rsidRPr="00EE2E1F" w:rsidRDefault="00EE2E1F" w:rsidP="00EC5135">
      <w:pPr>
        <w:pStyle w:val="FootnoteText"/>
        <w:spacing w:line="120" w:lineRule="atLeast"/>
      </w:pPr>
      <w:r w:rsidRPr="00EE2E1F">
        <w:rPr>
          <w:rStyle w:val="Footnote"/>
          <w:vertAlign w:val="superscript"/>
        </w:rPr>
        <w:footnoteRef/>
      </w:r>
      <w:r w:rsidRPr="00EE2E1F">
        <w:rPr>
          <w:rStyle w:val="Footnote"/>
        </w:rPr>
        <w:t xml:space="preserve"> </w:t>
      </w:r>
      <w:r w:rsidRPr="00EE2E1F">
        <w:rPr>
          <w:rStyle w:val="Footnote"/>
          <w:i/>
        </w:rPr>
        <w:t>See</w:t>
      </w:r>
      <w:r w:rsidRPr="00EE2E1F">
        <w:rPr>
          <w:rStyle w:val="Footnote"/>
        </w:rPr>
        <w:t xml:space="preserve"> C and F Block Broadband PCS Auction Closes; Winning Bidders Announced, </w:t>
      </w:r>
      <w:r w:rsidRPr="00EE2E1F">
        <w:rPr>
          <w:rStyle w:val="Footnote"/>
          <w:i/>
        </w:rPr>
        <w:t>Public Notice</w:t>
      </w:r>
      <w:r w:rsidRPr="00EE2E1F">
        <w:rPr>
          <w:rStyle w:val="Footnote"/>
        </w:rPr>
        <w:t>, 16 FCC Rcd 2339 (WTB 2001).</w:t>
      </w:r>
    </w:p>
  </w:footnote>
  <w:footnote w:id="568">
    <w:p w14:paraId="265ED5BF" w14:textId="77777777" w:rsidR="00EE2E1F" w:rsidRPr="00EE2E1F" w:rsidRDefault="00EE2E1F" w:rsidP="00EC5135">
      <w:pPr>
        <w:pStyle w:val="FootnoteText"/>
        <w:spacing w:line="120" w:lineRule="atLeast"/>
      </w:pPr>
      <w:r w:rsidRPr="00EE2E1F">
        <w:rPr>
          <w:rStyle w:val="FootnoteReference"/>
        </w:rPr>
        <w:footnoteRef/>
      </w:r>
      <w:r w:rsidRPr="00EE2E1F">
        <w:t xml:space="preserve"> </w:t>
      </w:r>
      <w:r w:rsidRPr="00EE2E1F">
        <w:rPr>
          <w:i/>
        </w:rPr>
        <w:t>See</w:t>
      </w:r>
      <w:r w:rsidRPr="00EE2E1F">
        <w:t xml:space="preserve"> Broadband PCS Spectrum Auction Closes; Winning Bidders Announced for Auction No. 58, </w:t>
      </w:r>
      <w:r w:rsidRPr="00EE2E1F">
        <w:rPr>
          <w:i/>
        </w:rPr>
        <w:t>Public Notice</w:t>
      </w:r>
      <w:r w:rsidRPr="00EE2E1F">
        <w:t>, 20 FCC Rcd 3703 (WTB 2005).</w:t>
      </w:r>
    </w:p>
  </w:footnote>
  <w:footnote w:id="569">
    <w:p w14:paraId="1F3AD01D" w14:textId="77777777" w:rsidR="00EE2E1F" w:rsidRPr="00EE2E1F" w:rsidRDefault="00EE2E1F" w:rsidP="00EC5135">
      <w:pPr>
        <w:pStyle w:val="FootnoteText"/>
        <w:spacing w:line="120" w:lineRule="atLeast"/>
      </w:pPr>
      <w:r w:rsidRPr="00EE2E1F">
        <w:rPr>
          <w:rStyle w:val="FootnoteReference"/>
        </w:rPr>
        <w:footnoteRef/>
      </w:r>
      <w:r w:rsidRPr="00EE2E1F">
        <w:t xml:space="preserve"> </w:t>
      </w:r>
      <w:r w:rsidRPr="00EE2E1F">
        <w:rPr>
          <w:i/>
        </w:rPr>
        <w:t>See</w:t>
      </w:r>
      <w:r w:rsidRPr="00EE2E1F">
        <w:t xml:space="preserve"> Auction of Broadband PCS Spectrum Licenses Closes; Winning Bidders Announced for Auction No. 71, </w:t>
      </w:r>
      <w:r w:rsidRPr="00EE2E1F">
        <w:rPr>
          <w:i/>
        </w:rPr>
        <w:t>Public Notice</w:t>
      </w:r>
      <w:r w:rsidRPr="00EE2E1F">
        <w:t>, 22 FCC Rcd 9247 (WTB 2007).</w:t>
      </w:r>
    </w:p>
  </w:footnote>
  <w:footnote w:id="570">
    <w:p w14:paraId="2E4EA634" w14:textId="77777777" w:rsidR="00EE2E1F" w:rsidRPr="00EE2E1F" w:rsidRDefault="00EE2E1F" w:rsidP="00EC5135">
      <w:pPr>
        <w:pStyle w:val="FootnoteText"/>
        <w:spacing w:line="120" w:lineRule="atLeast"/>
      </w:pPr>
      <w:r w:rsidRPr="00EE2E1F">
        <w:rPr>
          <w:rStyle w:val="FootnoteReference"/>
        </w:rPr>
        <w:footnoteRef/>
      </w:r>
      <w:r w:rsidRPr="00EE2E1F">
        <w:t xml:space="preserve"> </w:t>
      </w:r>
      <w:r w:rsidRPr="00EE2E1F">
        <w:rPr>
          <w:i/>
        </w:rPr>
        <w:t>Id</w:t>
      </w:r>
      <w:r w:rsidRPr="00EE2E1F">
        <w:t>.</w:t>
      </w:r>
    </w:p>
  </w:footnote>
  <w:footnote w:id="571">
    <w:p w14:paraId="1A4ADF2D" w14:textId="77777777" w:rsidR="00EE2E1F" w:rsidRPr="00EE2E1F" w:rsidRDefault="00EE2E1F" w:rsidP="00EC5135">
      <w:pPr>
        <w:pStyle w:val="FootnoteText"/>
        <w:spacing w:line="120" w:lineRule="atLeast"/>
      </w:pPr>
      <w:r w:rsidRPr="00EE2E1F">
        <w:rPr>
          <w:rStyle w:val="FootnoteReference"/>
        </w:rPr>
        <w:footnoteRef/>
      </w:r>
      <w:r w:rsidRPr="00EE2E1F">
        <w:t xml:space="preserve"> </w:t>
      </w:r>
      <w:r w:rsidRPr="00EE2E1F">
        <w:rPr>
          <w:i/>
        </w:rPr>
        <w:t>See</w:t>
      </w:r>
      <w:r w:rsidRPr="00EE2E1F">
        <w:t xml:space="preserve"> </w:t>
      </w:r>
      <w:r w:rsidRPr="00EE2E1F">
        <w:rPr>
          <w:bCs/>
        </w:rPr>
        <w:t>Auction</w:t>
      </w:r>
      <w:r w:rsidRPr="00EE2E1F">
        <w:t xml:space="preserve"> </w:t>
      </w:r>
      <w:r w:rsidRPr="00EE2E1F">
        <w:rPr>
          <w:bCs/>
        </w:rPr>
        <w:t xml:space="preserve">of AWS-1 and Broadband PCS Licenses Closes; Winning Bidders Announced for Auction 78, </w:t>
      </w:r>
      <w:r w:rsidRPr="00EE2E1F">
        <w:rPr>
          <w:i/>
        </w:rPr>
        <w:t>Public Notice</w:t>
      </w:r>
      <w:r w:rsidRPr="00EE2E1F">
        <w:t>, 23 FCC Rcd 12749 (WTB 2008).</w:t>
      </w:r>
    </w:p>
  </w:footnote>
  <w:footnote w:id="572">
    <w:p w14:paraId="4560835C" w14:textId="77777777" w:rsidR="00EE2E1F" w:rsidRPr="00EE2E1F" w:rsidRDefault="00EE2E1F" w:rsidP="00EC5135">
      <w:pPr>
        <w:pStyle w:val="FootnoteText"/>
        <w:spacing w:line="120" w:lineRule="atLeast"/>
      </w:pPr>
      <w:r w:rsidRPr="00EE2E1F">
        <w:rPr>
          <w:rStyle w:val="FootnoteReference"/>
        </w:rPr>
        <w:footnoteRef/>
      </w:r>
      <w:r w:rsidRPr="00EE2E1F">
        <w:t xml:space="preserve"> </w:t>
      </w:r>
      <w:r w:rsidRPr="00EE2E1F">
        <w:rPr>
          <w:i/>
        </w:rPr>
        <w:t>Id.</w:t>
      </w:r>
    </w:p>
  </w:footnote>
  <w:footnote w:id="573">
    <w:p w14:paraId="229C3B3D" w14:textId="77777777" w:rsidR="00EE2E1F" w:rsidRPr="00EE2E1F" w:rsidRDefault="00EE2E1F" w:rsidP="00EC5135">
      <w:pPr>
        <w:pStyle w:val="FootnoteText"/>
        <w:spacing w:line="120" w:lineRule="atLeast"/>
      </w:pPr>
      <w:r w:rsidRPr="00EE2E1F">
        <w:rPr>
          <w:rStyle w:val="FootnoteReference"/>
        </w:rPr>
        <w:footnoteRef/>
      </w:r>
      <w:r w:rsidRPr="00EE2E1F">
        <w:t xml:space="preserve"> Amendment of the Commission’s Rules to Establish New Personal Communications Services, Narrowband PCS, GEN Docket No. 90-314, ET Docket No. 92-100, PP Docket No. 93-253, </w:t>
      </w:r>
      <w:r w:rsidRPr="00EE2E1F">
        <w:rPr>
          <w:i/>
        </w:rPr>
        <w:t>Second Report and Order and Second Further Notice of Proposed Rulemaking</w:t>
      </w:r>
      <w:r w:rsidRPr="00EE2E1F">
        <w:t>, 15 FCC Rcd 10456 (2000).</w:t>
      </w:r>
    </w:p>
  </w:footnote>
  <w:footnote w:id="574">
    <w:p w14:paraId="5E994C54" w14:textId="77777777" w:rsidR="00EE2E1F" w:rsidRPr="00EE2E1F" w:rsidRDefault="00EE2E1F" w:rsidP="00EC5135">
      <w:pPr>
        <w:pStyle w:val="FootnoteText"/>
        <w:spacing w:line="120" w:lineRule="atLeast"/>
      </w:pPr>
      <w:r w:rsidRPr="00EE2E1F">
        <w:rPr>
          <w:rStyle w:val="FootnoteReference"/>
        </w:rPr>
        <w:footnoteRef/>
      </w:r>
      <w:r w:rsidRPr="00EE2E1F">
        <w:t xml:space="preserve"> </w:t>
      </w:r>
      <w:r w:rsidRPr="00EE2E1F">
        <w:rPr>
          <w:i/>
        </w:rPr>
        <w:t>See</w:t>
      </w:r>
      <w:r w:rsidRPr="00EE2E1F">
        <w:t xml:space="preserve"> </w:t>
      </w:r>
      <w:r w:rsidRPr="00EE2E1F">
        <w:rPr>
          <w:i/>
        </w:rPr>
        <w:t>Alvarez Letter</w:t>
      </w:r>
      <w:r w:rsidRPr="00EE2E1F">
        <w:t xml:space="preserve"> </w:t>
      </w:r>
      <w:r w:rsidRPr="00EE2E1F">
        <w:rPr>
          <w:i/>
        </w:rPr>
        <w:t>1998</w:t>
      </w:r>
      <w:r w:rsidRPr="00EE2E1F">
        <w:t>.</w:t>
      </w:r>
    </w:p>
  </w:footnote>
  <w:footnote w:id="575">
    <w:p w14:paraId="3A12230F" w14:textId="77777777" w:rsidR="00EE2E1F" w:rsidRPr="00EE2E1F" w:rsidRDefault="00EE2E1F" w:rsidP="00EC5135">
      <w:pPr>
        <w:pStyle w:val="FootnoteText"/>
      </w:pPr>
      <w:r w:rsidRPr="00EE2E1F">
        <w:rPr>
          <w:rStyle w:val="FootnoteReference"/>
        </w:rPr>
        <w:footnoteRef/>
      </w:r>
      <w:r w:rsidRPr="00EE2E1F">
        <w:t xml:space="preserve"> </w:t>
      </w:r>
      <w:r w:rsidRPr="00EE2E1F">
        <w:rPr>
          <w:i/>
        </w:rPr>
        <w:t>See</w:t>
      </w:r>
      <w:r w:rsidRPr="00EE2E1F">
        <w:t xml:space="preserve"> Service Rules for Advanced Wireless Services in the 1.7 GHz and 2.1 GHz Bands, </w:t>
      </w:r>
      <w:r w:rsidRPr="00EE2E1F">
        <w:rPr>
          <w:i/>
        </w:rPr>
        <w:t>Report and Order</w:t>
      </w:r>
      <w:r w:rsidRPr="00EE2E1F">
        <w:t xml:space="preserve">, 18 FCC Rcd 25162, App. B (2003), </w:t>
      </w:r>
      <w:r w:rsidRPr="00EE2E1F">
        <w:rPr>
          <w:i/>
        </w:rPr>
        <w:t xml:space="preserve">modified by </w:t>
      </w:r>
      <w:r w:rsidRPr="00EE2E1F">
        <w:t xml:space="preserve">Service Rules for Advanced Wireless Services In the 1.7 GHz and 2.1 GHz Bands, </w:t>
      </w:r>
      <w:r w:rsidRPr="00EE2E1F">
        <w:rPr>
          <w:i/>
        </w:rPr>
        <w:t>Order on Reconsideration</w:t>
      </w:r>
      <w:r w:rsidRPr="00EE2E1F">
        <w:t>, 20 FCC Rcd 14058, App. C (2005).</w:t>
      </w:r>
    </w:p>
  </w:footnote>
  <w:footnote w:id="576">
    <w:p w14:paraId="64D7C98B" w14:textId="77777777" w:rsidR="00EE2E1F" w:rsidRPr="00EE2E1F" w:rsidRDefault="00EE2E1F" w:rsidP="00EC5135">
      <w:pPr>
        <w:pStyle w:val="FootnoteText"/>
      </w:pPr>
      <w:r w:rsidRPr="00EE2E1F">
        <w:rPr>
          <w:rStyle w:val="FootnoteReference"/>
        </w:rPr>
        <w:footnoteRef/>
      </w:r>
      <w:r w:rsidRPr="00EE2E1F">
        <w:t xml:space="preserve"> </w:t>
      </w:r>
      <w:r w:rsidRPr="00EE2E1F">
        <w:rPr>
          <w:i/>
        </w:rPr>
        <w:t>See</w:t>
      </w:r>
      <w:r w:rsidRPr="00EE2E1F">
        <w:t xml:space="preserve"> Auction of Advanced Wireless Services Licenses Scheduled for June 29, 2006; Notice and Filing Requirements, Minimum Opening Bids, Upfront Payments and Other Procedures for Auction No. 66, AU Docket No. 06-30, </w:t>
      </w:r>
      <w:r w:rsidRPr="00EE2E1F">
        <w:rPr>
          <w:i/>
        </w:rPr>
        <w:t>Public Notice</w:t>
      </w:r>
      <w:r w:rsidRPr="00EE2E1F">
        <w:t>, 21 FCC Rcd 4562 (2006) (</w:t>
      </w:r>
      <w:r w:rsidRPr="00EE2E1F">
        <w:rPr>
          <w:i/>
        </w:rPr>
        <w:t>Auction 66 Procedures Public Notice</w:t>
      </w:r>
      <w:r w:rsidRPr="00EE2E1F">
        <w:t>).</w:t>
      </w:r>
    </w:p>
  </w:footnote>
  <w:footnote w:id="577">
    <w:p w14:paraId="455BC432" w14:textId="77777777" w:rsidR="00EE2E1F" w:rsidRPr="00EE2E1F" w:rsidRDefault="00EE2E1F" w:rsidP="00EC5135">
      <w:pPr>
        <w:pStyle w:val="FootnoteText"/>
      </w:pPr>
      <w:r w:rsidRPr="00EE2E1F">
        <w:rPr>
          <w:rStyle w:val="FootnoteReference"/>
        </w:rPr>
        <w:footnoteRef/>
      </w:r>
      <w:r w:rsidRPr="00EE2E1F">
        <w:t xml:space="preserve"> </w:t>
      </w:r>
      <w:r w:rsidRPr="00EE2E1F">
        <w:rPr>
          <w:i/>
        </w:rPr>
        <w:t xml:space="preserve">See </w:t>
      </w:r>
      <w:r w:rsidRPr="00EE2E1F">
        <w:t xml:space="preserve">“Auction of Advanced Wireless Services Licenses Closes; Winning Bidders Announced for Auction No. 66,” </w:t>
      </w:r>
      <w:r w:rsidRPr="00EE2E1F">
        <w:rPr>
          <w:i/>
        </w:rPr>
        <w:t>Public Notice</w:t>
      </w:r>
      <w:r w:rsidRPr="00EE2E1F">
        <w:t>, 21 FCC Rcd 10,521 (2006) (</w:t>
      </w:r>
      <w:r w:rsidRPr="00EE2E1F">
        <w:rPr>
          <w:i/>
        </w:rPr>
        <w:t>Auction 66 Closing Public Notice</w:t>
      </w:r>
      <w:r w:rsidRPr="00EE2E1F">
        <w:t>).</w:t>
      </w:r>
    </w:p>
  </w:footnote>
  <w:footnote w:id="578">
    <w:p w14:paraId="6C827ED0" w14:textId="77777777" w:rsidR="00EE2E1F" w:rsidRPr="00EE2E1F" w:rsidRDefault="00EE2E1F" w:rsidP="00EC5135">
      <w:pPr>
        <w:pStyle w:val="FootnoteText"/>
      </w:pPr>
      <w:r w:rsidRPr="00EE2E1F">
        <w:rPr>
          <w:rStyle w:val="FootnoteReference"/>
        </w:rPr>
        <w:footnoteRef/>
      </w:r>
      <w:r w:rsidRPr="00EE2E1F">
        <w:t xml:space="preserve"> </w:t>
      </w:r>
      <w:r w:rsidRPr="00EE2E1F">
        <w:rPr>
          <w:i/>
        </w:rPr>
        <w:t>See id.</w:t>
      </w:r>
    </w:p>
  </w:footnote>
  <w:footnote w:id="579">
    <w:p w14:paraId="6547EACB" w14:textId="77777777" w:rsidR="00EE2E1F" w:rsidRPr="00EE2E1F" w:rsidRDefault="00EE2E1F" w:rsidP="00EC5135">
      <w:pPr>
        <w:pStyle w:val="FootnoteText"/>
      </w:pPr>
      <w:r w:rsidRPr="00EE2E1F">
        <w:rPr>
          <w:rStyle w:val="FootnoteReference"/>
        </w:rPr>
        <w:footnoteRef/>
      </w:r>
      <w:r w:rsidRPr="00EE2E1F">
        <w:t xml:space="preserve"> </w:t>
      </w:r>
      <w:r w:rsidRPr="00EE2E1F">
        <w:rPr>
          <w:i/>
        </w:rPr>
        <w:t>See</w:t>
      </w:r>
      <w:r w:rsidRPr="00EE2E1F">
        <w:t xml:space="preserve"> </w:t>
      </w:r>
      <w:r w:rsidRPr="00EE2E1F">
        <w:rPr>
          <w:i/>
        </w:rPr>
        <w:t>AWS-1 and Broadband PCS Procedures Public Notice</w:t>
      </w:r>
      <w:r w:rsidRPr="00EE2E1F">
        <w:t>, 23 FCC Rcd at 7499.  Auction 78 also included an auction of broadband PCS licenses.</w:t>
      </w:r>
    </w:p>
  </w:footnote>
  <w:footnote w:id="580">
    <w:p w14:paraId="13076A0E" w14:textId="77777777" w:rsidR="00EE2E1F" w:rsidRPr="00EE2E1F" w:rsidRDefault="00EE2E1F" w:rsidP="00EC5135">
      <w:pPr>
        <w:pStyle w:val="FootnoteText"/>
      </w:pPr>
      <w:r w:rsidRPr="00EE2E1F">
        <w:rPr>
          <w:rStyle w:val="FootnoteReference"/>
        </w:rPr>
        <w:footnoteRef/>
      </w:r>
      <w:r w:rsidRPr="00EE2E1F">
        <w:t xml:space="preserve"> </w:t>
      </w:r>
      <w:r w:rsidRPr="00EE2E1F">
        <w:rPr>
          <w:i/>
        </w:rPr>
        <w:t xml:space="preserve">See </w:t>
      </w:r>
      <w:r w:rsidRPr="00EE2E1F">
        <w:t xml:space="preserve">Auction of AWS-1 and Broadband PCS Licenses Closes, Winning Bidders Announced for Auction 78, Down Payments Due September 9, 2008, FCC Forms 601 and 602 Due September 9, 2008, Final Payments Due September 23, 2008, Ten-Day Petition to Deny Period, </w:t>
      </w:r>
      <w:r w:rsidRPr="00EE2E1F">
        <w:rPr>
          <w:i/>
        </w:rPr>
        <w:t>Public Notice</w:t>
      </w:r>
      <w:r w:rsidRPr="00EE2E1F">
        <w:t>, 23 FCC Rcd 12749 (2008).</w:t>
      </w:r>
    </w:p>
  </w:footnote>
  <w:footnote w:id="581">
    <w:p w14:paraId="1E7C5BAD" w14:textId="77777777" w:rsidR="00EE2E1F" w:rsidRPr="00EE2E1F" w:rsidRDefault="00EE2E1F" w:rsidP="00EC5135">
      <w:pPr>
        <w:pStyle w:val="FootnoteText"/>
      </w:pPr>
      <w:r w:rsidRPr="00EE2E1F">
        <w:rPr>
          <w:rStyle w:val="FootnoteReference"/>
        </w:rPr>
        <w:footnoteRef/>
      </w:r>
      <w:r w:rsidRPr="00EE2E1F">
        <w:t xml:space="preserve"> Service Rules for Advanced Wireless Services in the 1915–1920 MHz, 1995–2000 MHz, 2020–2025 MHz and 2175–2180 MHz Bands et al</w:t>
      </w:r>
      <w:r w:rsidRPr="00EE2E1F">
        <w:rPr>
          <w:i/>
        </w:rPr>
        <w:t>.</w:t>
      </w:r>
      <w:r w:rsidRPr="00EE2E1F">
        <w:t xml:space="preserve">, </w:t>
      </w:r>
      <w:r w:rsidRPr="00EE2E1F">
        <w:rPr>
          <w:i/>
        </w:rPr>
        <w:t>Notice of Proposed Rulemaking</w:t>
      </w:r>
      <w:r w:rsidRPr="00EE2E1F">
        <w:t xml:space="preserve">, 19 FCC Rcd 19263, App. B (2005); Service Rules for Advanced Wireless Services in the 2155–2175 MHz Band, </w:t>
      </w:r>
      <w:r w:rsidRPr="00EE2E1F">
        <w:rPr>
          <w:i/>
        </w:rPr>
        <w:t>Notice of Proposed Rulemaking</w:t>
      </w:r>
      <w:r w:rsidRPr="00EE2E1F">
        <w:t xml:space="preserve">, 22 FCC Rcd 17035, App. (2007); Service Rules for Advanced Wireless Services in the 2155-2175 MHz Band, </w:t>
      </w:r>
      <w:r w:rsidRPr="00EE2E1F">
        <w:rPr>
          <w:i/>
        </w:rPr>
        <w:t>Further Notice of Proposed Rulemaking</w:t>
      </w:r>
      <w:r w:rsidRPr="00EE2E1F">
        <w:t>, 23 FCC Rcd 9859, App. B (2008).</w:t>
      </w:r>
    </w:p>
  </w:footnote>
  <w:footnote w:id="582">
    <w:p w14:paraId="23D5C55B" w14:textId="77777777" w:rsidR="00EE2E1F" w:rsidRPr="00EE2E1F" w:rsidRDefault="00EE2E1F" w:rsidP="00EC5135">
      <w:pPr>
        <w:pStyle w:val="FootnoteText"/>
      </w:pPr>
      <w:r w:rsidRPr="00EE2E1F">
        <w:rPr>
          <w:rStyle w:val="FootnoteReference"/>
        </w:rPr>
        <w:footnoteRef/>
      </w:r>
      <w:r w:rsidRPr="00EE2E1F">
        <w:t xml:space="preserve"> </w:t>
      </w:r>
      <w:r w:rsidRPr="00EE2E1F">
        <w:rPr>
          <w:i/>
        </w:rPr>
        <w:t>See</w:t>
      </w:r>
      <w:r w:rsidRPr="00EE2E1F">
        <w:t xml:space="preserve"> Auction of Advanced Wireless Services (AWS-3) Licenses; 70 Bidders Qualified to Participate in Auction 97, </w:t>
      </w:r>
      <w:r w:rsidRPr="00EE2E1F">
        <w:rPr>
          <w:i/>
        </w:rPr>
        <w:t>Public Notice</w:t>
      </w:r>
      <w:r w:rsidRPr="00EE2E1F">
        <w:t xml:space="preserve">, </w:t>
      </w:r>
      <w:r w:rsidRPr="00EE2E1F">
        <w:rPr>
          <w:iCs/>
          <w:color w:val="333333"/>
          <w:shd w:val="clear" w:color="auto" w:fill="FFFFFF"/>
        </w:rPr>
        <w:t>29 FCC Rcd 13465 (WTB 2014).</w:t>
      </w:r>
    </w:p>
  </w:footnote>
  <w:footnote w:id="583">
    <w:p w14:paraId="5B00EECD" w14:textId="77777777" w:rsidR="00EE2E1F" w:rsidRPr="00EE2E1F" w:rsidRDefault="00EE2E1F" w:rsidP="00EC5135">
      <w:pPr>
        <w:pStyle w:val="FootnoteText"/>
      </w:pPr>
      <w:r w:rsidRPr="00EE2E1F">
        <w:rPr>
          <w:rStyle w:val="FootnoteReference"/>
        </w:rPr>
        <w:footnoteRef/>
      </w:r>
      <w:r w:rsidRPr="00EE2E1F">
        <w:t xml:space="preserve"> NAICS Code 51210.</w:t>
      </w:r>
    </w:p>
  </w:footnote>
  <w:footnote w:id="584">
    <w:p w14:paraId="4DD617E5" w14:textId="77777777" w:rsidR="00EE2E1F" w:rsidRPr="00EE2E1F" w:rsidRDefault="00EE2E1F" w:rsidP="00EC5135">
      <w:pPr>
        <w:pStyle w:val="FootnoteText"/>
      </w:pPr>
      <w:r w:rsidRPr="00EE2E1F">
        <w:rPr>
          <w:rStyle w:val="FootnoteReference"/>
        </w:rPr>
        <w:footnoteRef/>
      </w:r>
      <w:r w:rsidRPr="00EE2E1F">
        <w:t xml:space="preserve"> Amendment of the Commission’s Rules to Establish Part 27, the Wireless Communications Service (WCS), </w:t>
      </w:r>
      <w:r w:rsidRPr="00EE2E1F">
        <w:rPr>
          <w:i/>
        </w:rPr>
        <w:t>Report and Order</w:t>
      </w:r>
      <w:r w:rsidRPr="00EE2E1F">
        <w:t>, 12 FCC Rcd 10785, 10879 ¶ 194 (1997).</w:t>
      </w:r>
    </w:p>
  </w:footnote>
  <w:footnote w:id="585">
    <w:p w14:paraId="295F9BD6" w14:textId="77777777" w:rsidR="00EE2E1F" w:rsidRPr="00EE2E1F" w:rsidRDefault="00EE2E1F" w:rsidP="00EC5135">
      <w:pPr>
        <w:pStyle w:val="FootnoteText"/>
      </w:pPr>
      <w:r w:rsidRPr="00EE2E1F">
        <w:rPr>
          <w:rStyle w:val="FootnoteReference"/>
        </w:rPr>
        <w:footnoteRef/>
      </w:r>
      <w:r w:rsidRPr="00EE2E1F">
        <w:t xml:space="preserve"> </w:t>
      </w:r>
      <w:r w:rsidRPr="00EE2E1F">
        <w:rPr>
          <w:i/>
        </w:rPr>
        <w:t>See</w:t>
      </w:r>
      <w:r w:rsidRPr="00EE2E1F">
        <w:t xml:space="preserve"> </w:t>
      </w:r>
      <w:r w:rsidRPr="00EE2E1F">
        <w:rPr>
          <w:i/>
        </w:rPr>
        <w:t>Alvarez Letter 1998</w:t>
      </w:r>
      <w:r w:rsidRPr="00EE2E1F">
        <w:t>.</w:t>
      </w:r>
    </w:p>
  </w:footnote>
  <w:footnote w:id="586">
    <w:p w14:paraId="53EA2CF2" w14:textId="77777777" w:rsidR="00EE2E1F" w:rsidRPr="00EE2E1F" w:rsidRDefault="00EE2E1F" w:rsidP="00EC5135">
      <w:pPr>
        <w:pStyle w:val="FootnoteText"/>
      </w:pPr>
      <w:r w:rsidRPr="00EE2E1F">
        <w:rPr>
          <w:rStyle w:val="FootnoteReference"/>
        </w:rPr>
        <w:footnoteRef/>
      </w:r>
      <w:r w:rsidRPr="00EE2E1F">
        <w:t xml:space="preserve"> Service Rules for the 746-764 MHz Bands, and Revisions to Part 27 of the Commission’s Rules, </w:t>
      </w:r>
      <w:r w:rsidRPr="00EE2E1F">
        <w:rPr>
          <w:i/>
        </w:rPr>
        <w:t>Second Report and Order</w:t>
      </w:r>
      <w:r w:rsidRPr="00EE2E1F">
        <w:t xml:space="preserve">, 15 FCC Rcd 5299 (2000).  Service rules were amended in 2007, but no changes were made to small business size categories.  </w:t>
      </w:r>
      <w:r w:rsidRPr="00EE2E1F">
        <w:rPr>
          <w:i/>
        </w:rPr>
        <w:t xml:space="preserve">See </w:t>
      </w:r>
      <w:r w:rsidRPr="00EE2E1F">
        <w:rPr>
          <w:snapToGrid w:val="0"/>
        </w:rPr>
        <w:t xml:space="preserve">Service Rules for the 698-746, 747-762 and 777-792 MHz Bands, WT Docket No. 06-150, Revision of the Commission’s Rules to Ensure Compatibility with Enhanced 911 Emergency Calling Systems, CC Docket No. 94-102, Section 68.4(a) of the Commission’s Rules Governing Hearing Aid-Compatible Telephones, WT Docket No. 01-309, Biennial Regulatory Review – Amendment of Parts 1, 22, 24, 27, and 90 to Streamline and Harmonize Various Rules Affecting Wireless Radio Services, WT Docket 03-264, Former Nextel Communications, Inc. Upper 700 MHz Guard Band Licenses and Revisions to Part 27 of the Commission’s Rules, WT Docket No. 06-169, Implementing a Nationwide, Broadband, Interoperable Public Safety Network in the 700 MHz Band, PS Docket No. 06-229, Development of Operational, Technical and Spectrum Requirements for Meeting Federal, State and Local Public Safety Communications Requirements Through the Year 2010, WT Docket No. 96-86, </w:t>
      </w:r>
      <w:r w:rsidRPr="00EE2E1F">
        <w:rPr>
          <w:i/>
          <w:snapToGrid w:val="0"/>
        </w:rPr>
        <w:t>Report and Order and Further Notice of Proposed Rulemaking</w:t>
      </w:r>
      <w:r w:rsidRPr="00EE2E1F">
        <w:rPr>
          <w:snapToGrid w:val="0"/>
        </w:rPr>
        <w:t>, 22 FCC Rcd 8064 (2007).</w:t>
      </w:r>
    </w:p>
  </w:footnote>
  <w:footnote w:id="587">
    <w:p w14:paraId="59CB0F56" w14:textId="77777777" w:rsidR="00EE2E1F" w:rsidRPr="00EE2E1F" w:rsidRDefault="00EE2E1F" w:rsidP="00EC5135">
      <w:pPr>
        <w:pStyle w:val="FootnoteText"/>
      </w:pPr>
      <w:r w:rsidRPr="00EE2E1F">
        <w:rPr>
          <w:rStyle w:val="FootnoteReference"/>
        </w:rPr>
        <w:footnoteRef/>
      </w:r>
      <w:r w:rsidRPr="00EE2E1F">
        <w:t xml:space="preserve"> </w:t>
      </w:r>
      <w:r w:rsidRPr="00EE2E1F">
        <w:rPr>
          <w:i/>
        </w:rPr>
        <w:t>Id</w:t>
      </w:r>
      <w:r w:rsidRPr="00EE2E1F">
        <w:t>. at 5343 ¶ 108.</w:t>
      </w:r>
    </w:p>
  </w:footnote>
  <w:footnote w:id="588">
    <w:p w14:paraId="5E1844C3" w14:textId="77777777" w:rsidR="00EE2E1F" w:rsidRPr="00EE2E1F" w:rsidRDefault="00EE2E1F" w:rsidP="00EC5135">
      <w:pPr>
        <w:pStyle w:val="FootnoteText"/>
      </w:pPr>
      <w:r w:rsidRPr="00EE2E1F">
        <w:rPr>
          <w:rStyle w:val="FootnoteReference"/>
        </w:rPr>
        <w:footnoteRef/>
      </w:r>
      <w:r w:rsidRPr="00EE2E1F">
        <w:t xml:space="preserve"> </w:t>
      </w:r>
      <w:r w:rsidRPr="00EE2E1F">
        <w:rPr>
          <w:i/>
        </w:rPr>
        <w:t>Id</w:t>
      </w:r>
      <w:r w:rsidRPr="00EE2E1F">
        <w:t xml:space="preserve">. </w:t>
      </w:r>
    </w:p>
  </w:footnote>
  <w:footnote w:id="589">
    <w:p w14:paraId="6412C39B" w14:textId="77777777" w:rsidR="00EE2E1F" w:rsidRPr="00EE2E1F" w:rsidRDefault="00EE2E1F" w:rsidP="00EC5135">
      <w:pPr>
        <w:pStyle w:val="FootnoteText"/>
      </w:pPr>
      <w:r w:rsidRPr="00EE2E1F">
        <w:rPr>
          <w:rStyle w:val="FootnoteReference"/>
        </w:rPr>
        <w:footnoteRef/>
      </w:r>
      <w:r w:rsidRPr="00EE2E1F">
        <w:t xml:space="preserve"> </w:t>
      </w:r>
      <w:r w:rsidRPr="00EE2E1F">
        <w:rPr>
          <w:i/>
        </w:rPr>
        <w:t>Id</w:t>
      </w:r>
      <w:r w:rsidRPr="00EE2E1F">
        <w:t xml:space="preserve">. at 5343 ¶ 108 n.246 (for the 746-764 MHz and 776-704 MHz bands, the Commission is exempt from 15 U.S.C. § 632, which requires Federal agencies to obtain Small Business Administration approval before adopting small business size standards). </w:t>
      </w:r>
    </w:p>
  </w:footnote>
  <w:footnote w:id="590">
    <w:p w14:paraId="3EE6F82F" w14:textId="77777777" w:rsidR="00EE2E1F" w:rsidRPr="00EE2E1F" w:rsidRDefault="00EE2E1F" w:rsidP="00EC5135">
      <w:pPr>
        <w:pStyle w:val="FootnoteText"/>
        <w:rPr>
          <w:rStyle w:val="Footnote"/>
          <w:snapToGrid w:val="0"/>
          <w:kern w:val="28"/>
          <w:sz w:val="22"/>
        </w:rPr>
      </w:pPr>
      <w:r w:rsidRPr="00EE2E1F">
        <w:rPr>
          <w:rStyle w:val="FootnoteReference"/>
        </w:rPr>
        <w:footnoteRef/>
      </w:r>
      <w:r w:rsidRPr="00EE2E1F">
        <w:rPr>
          <w:rStyle w:val="Footnote"/>
          <w:i/>
        </w:rPr>
        <w:t xml:space="preserve">  See</w:t>
      </w:r>
      <w:r w:rsidRPr="00EE2E1F">
        <w:rPr>
          <w:rStyle w:val="Footnote"/>
        </w:rPr>
        <w:t xml:space="preserve"> 700 MHz Guard Bands Auction Closes: Winning Bidders Announced, </w:t>
      </w:r>
      <w:r w:rsidRPr="00EE2E1F">
        <w:rPr>
          <w:rStyle w:val="Footnote"/>
          <w:i/>
        </w:rPr>
        <w:t>Public Notice</w:t>
      </w:r>
      <w:r w:rsidRPr="00EE2E1F">
        <w:rPr>
          <w:rStyle w:val="Footnote"/>
        </w:rPr>
        <w:t>, 15 FCC Rcd 18026 (WTB 2000).</w:t>
      </w:r>
    </w:p>
  </w:footnote>
  <w:footnote w:id="591">
    <w:p w14:paraId="3DCC0BF9" w14:textId="77777777" w:rsidR="00EE2E1F" w:rsidRPr="00EE2E1F" w:rsidRDefault="00EE2E1F" w:rsidP="00EC5135">
      <w:pPr>
        <w:pStyle w:val="FootnoteText"/>
        <w:tabs>
          <w:tab w:val="left" w:pos="1080"/>
        </w:tabs>
        <w:rPr>
          <w:rStyle w:val="Footnote"/>
          <w:snapToGrid w:val="0"/>
          <w:kern w:val="28"/>
          <w:sz w:val="22"/>
        </w:rPr>
      </w:pPr>
      <w:r w:rsidRPr="00EE2E1F">
        <w:rPr>
          <w:rStyle w:val="FootnoteReference"/>
        </w:rPr>
        <w:footnoteRef/>
      </w:r>
      <w:r w:rsidRPr="00EE2E1F">
        <w:rPr>
          <w:rStyle w:val="Footnote"/>
        </w:rPr>
        <w:t xml:space="preserve"> </w:t>
      </w:r>
      <w:r w:rsidRPr="00EE2E1F">
        <w:rPr>
          <w:rStyle w:val="Footnote"/>
          <w:i/>
        </w:rPr>
        <w:t>See</w:t>
      </w:r>
      <w:r w:rsidRPr="00EE2E1F">
        <w:rPr>
          <w:rStyle w:val="Footnote"/>
        </w:rPr>
        <w:t xml:space="preserve"> 700 MHz Guard Bands Auction Closes: Winning Bidders Announced, </w:t>
      </w:r>
      <w:r w:rsidRPr="00EE2E1F">
        <w:rPr>
          <w:rStyle w:val="Footnote"/>
          <w:i/>
        </w:rPr>
        <w:t>Public Notice</w:t>
      </w:r>
      <w:r w:rsidRPr="00EE2E1F">
        <w:rPr>
          <w:rStyle w:val="Footnote"/>
        </w:rPr>
        <w:t>, 16 FCC Rcd 4590 (WTB 2001).</w:t>
      </w:r>
    </w:p>
  </w:footnote>
  <w:footnote w:id="592">
    <w:p w14:paraId="57F434AF" w14:textId="77777777" w:rsidR="00EE2E1F" w:rsidRPr="00EE2E1F" w:rsidRDefault="00EE2E1F" w:rsidP="00EC5135">
      <w:pPr>
        <w:pStyle w:val="FootnoteText"/>
      </w:pPr>
      <w:r w:rsidRPr="00EE2E1F">
        <w:rPr>
          <w:rStyle w:val="FootnoteReference"/>
        </w:rPr>
        <w:footnoteRef/>
      </w:r>
      <w:r w:rsidRPr="00EE2E1F">
        <w:t xml:space="preserve"> </w:t>
      </w:r>
      <w:r w:rsidRPr="00EE2E1F">
        <w:rPr>
          <w:i/>
        </w:rPr>
        <w:t>700 MHz Second Report and Order</w:t>
      </w:r>
      <w:r w:rsidRPr="00EE2E1F">
        <w:t>, 22 FCC Rcd 15289.</w:t>
      </w:r>
    </w:p>
  </w:footnote>
  <w:footnote w:id="593">
    <w:p w14:paraId="4E9606A0" w14:textId="77777777" w:rsidR="00EE2E1F" w:rsidRPr="00EE2E1F" w:rsidRDefault="00EE2E1F" w:rsidP="00EC5135">
      <w:pPr>
        <w:pStyle w:val="FootnoteText"/>
      </w:pPr>
      <w:r w:rsidRPr="00EE2E1F">
        <w:rPr>
          <w:rStyle w:val="FootnoteReference"/>
        </w:rPr>
        <w:footnoteRef/>
      </w:r>
      <w:r w:rsidRPr="00EE2E1F">
        <w:t xml:space="preserve"> </w:t>
      </w:r>
      <w:r w:rsidRPr="00EE2E1F">
        <w:rPr>
          <w:i/>
        </w:rPr>
        <w:t>See</w:t>
      </w:r>
      <w:r w:rsidRPr="00EE2E1F">
        <w:t xml:space="preserve"> Auction of 700 MHz Band Licenses Closes</w:t>
      </w:r>
      <w:r w:rsidRPr="00EE2E1F">
        <w:rPr>
          <w:rStyle w:val="FootnoteTextCharCharCharChar3CharCharChar1"/>
        </w:rPr>
        <w:t xml:space="preserve">, </w:t>
      </w:r>
      <w:r w:rsidRPr="00EE2E1F">
        <w:rPr>
          <w:rStyle w:val="FootnoteTextCharCharCharChar3CharCharChar1"/>
          <w:i/>
        </w:rPr>
        <w:t>Public Notice</w:t>
      </w:r>
      <w:r w:rsidRPr="00EE2E1F">
        <w:rPr>
          <w:rStyle w:val="FootnoteTextCharCharCharChar3CharCharChar1"/>
        </w:rPr>
        <w:t>, 23 FCC Rcd 4572 (WTB 2008).</w:t>
      </w:r>
    </w:p>
  </w:footnote>
  <w:footnote w:id="594">
    <w:p w14:paraId="6C88F4ED" w14:textId="77777777" w:rsidR="00EE2E1F" w:rsidRPr="00EE2E1F" w:rsidRDefault="00EE2E1F" w:rsidP="00EC5135">
      <w:pPr>
        <w:pStyle w:val="FootnoteText"/>
      </w:pPr>
      <w:r w:rsidRPr="00EE2E1F">
        <w:rPr>
          <w:vertAlign w:val="superscript"/>
        </w:rPr>
        <w:footnoteRef/>
      </w:r>
      <w:r w:rsidRPr="00EE2E1F">
        <w:t xml:space="preserve"> </w:t>
      </w:r>
      <w:r w:rsidRPr="00EE2E1F">
        <w:rPr>
          <w:i/>
        </w:rPr>
        <w:t>See</w:t>
      </w:r>
      <w:r w:rsidRPr="00EE2E1F">
        <w:t xml:space="preserve"> Reallocation and Service Rules for the 698</w:t>
      </w:r>
      <w:r w:rsidRPr="00EE2E1F">
        <w:rPr>
          <w:rStyle w:val="Footnote"/>
        </w:rPr>
        <w:t>–</w:t>
      </w:r>
      <w:r w:rsidRPr="00EE2E1F">
        <w:t>746 MHz Spectrum Band (Television Channels 52</w:t>
      </w:r>
      <w:r w:rsidRPr="00EE2E1F">
        <w:rPr>
          <w:rStyle w:val="Footnote"/>
        </w:rPr>
        <w:t>–</w:t>
      </w:r>
      <w:r w:rsidRPr="00EE2E1F">
        <w:t xml:space="preserve">59), </w:t>
      </w:r>
      <w:r w:rsidRPr="00EE2E1F">
        <w:rPr>
          <w:i/>
        </w:rPr>
        <w:t>Report and Order</w:t>
      </w:r>
      <w:r w:rsidRPr="00EE2E1F">
        <w:t>, 17 FCC Rcd 1022 (2002) (</w:t>
      </w:r>
      <w:r w:rsidRPr="00EE2E1F">
        <w:rPr>
          <w:i/>
        </w:rPr>
        <w:t>Channels 52</w:t>
      </w:r>
      <w:r w:rsidRPr="00EE2E1F">
        <w:rPr>
          <w:rStyle w:val="Footnote"/>
        </w:rPr>
        <w:t>–</w:t>
      </w:r>
      <w:r w:rsidRPr="00EE2E1F">
        <w:rPr>
          <w:i/>
        </w:rPr>
        <w:t>59 Report and Order</w:t>
      </w:r>
      <w:r w:rsidRPr="00EE2E1F">
        <w:t>).</w:t>
      </w:r>
    </w:p>
  </w:footnote>
  <w:footnote w:id="595">
    <w:p w14:paraId="5D2908E7" w14:textId="77777777" w:rsidR="00EE2E1F" w:rsidRPr="00EE2E1F" w:rsidRDefault="00EE2E1F" w:rsidP="00EC5135">
      <w:pPr>
        <w:pStyle w:val="FootnoteText"/>
      </w:pPr>
      <w:r w:rsidRPr="00EE2E1F">
        <w:rPr>
          <w:vertAlign w:val="superscript"/>
        </w:rPr>
        <w:footnoteRef/>
      </w:r>
      <w:r w:rsidRPr="00EE2E1F">
        <w:t xml:space="preserve"> </w:t>
      </w:r>
      <w:r w:rsidRPr="00EE2E1F">
        <w:rPr>
          <w:i/>
        </w:rPr>
        <w:t>See</w:t>
      </w:r>
      <w:r w:rsidRPr="00EE2E1F">
        <w:t xml:space="preserve"> </w:t>
      </w:r>
      <w:r w:rsidRPr="00EE2E1F">
        <w:rPr>
          <w:i/>
        </w:rPr>
        <w:t>id.</w:t>
      </w:r>
      <w:r w:rsidRPr="00EE2E1F">
        <w:t>, 17 FCC Rcd at 1087</w:t>
      </w:r>
      <w:r w:rsidRPr="00EE2E1F">
        <w:rPr>
          <w:rStyle w:val="Footnote"/>
        </w:rPr>
        <w:t>–</w:t>
      </w:r>
      <w:r w:rsidRPr="00EE2E1F">
        <w:t>88 ¶ 172.</w:t>
      </w:r>
    </w:p>
  </w:footnote>
  <w:footnote w:id="596">
    <w:p w14:paraId="0A4779D6" w14:textId="77777777" w:rsidR="00EE2E1F" w:rsidRPr="00EE2E1F" w:rsidRDefault="00EE2E1F" w:rsidP="00EC5135">
      <w:pPr>
        <w:pStyle w:val="FootnoteText"/>
      </w:pPr>
      <w:r w:rsidRPr="00EE2E1F">
        <w:rPr>
          <w:vertAlign w:val="superscript"/>
        </w:rPr>
        <w:footnoteRef/>
      </w:r>
      <w:r w:rsidRPr="00EE2E1F">
        <w:t xml:space="preserve"> </w:t>
      </w:r>
      <w:r w:rsidRPr="00EE2E1F">
        <w:rPr>
          <w:i/>
        </w:rPr>
        <w:t>See</w:t>
      </w:r>
      <w:r w:rsidRPr="00EE2E1F">
        <w:t xml:space="preserve"> </w:t>
      </w:r>
      <w:r w:rsidRPr="00EE2E1F">
        <w:rPr>
          <w:i/>
        </w:rPr>
        <w:t>id</w:t>
      </w:r>
      <w:r w:rsidRPr="00EE2E1F">
        <w:t>.</w:t>
      </w:r>
    </w:p>
  </w:footnote>
  <w:footnote w:id="597">
    <w:p w14:paraId="7319BA24" w14:textId="77777777" w:rsidR="00EE2E1F" w:rsidRPr="00EE2E1F" w:rsidRDefault="00EE2E1F" w:rsidP="00EC5135">
      <w:pPr>
        <w:pStyle w:val="FootnoteText"/>
      </w:pPr>
      <w:r w:rsidRPr="00EE2E1F">
        <w:rPr>
          <w:vertAlign w:val="superscript"/>
        </w:rPr>
        <w:footnoteRef/>
      </w:r>
      <w:r w:rsidRPr="00EE2E1F">
        <w:t xml:space="preserve"> </w:t>
      </w:r>
      <w:r w:rsidRPr="00EE2E1F">
        <w:rPr>
          <w:i/>
        </w:rPr>
        <w:t>See</w:t>
      </w:r>
      <w:r w:rsidRPr="00EE2E1F">
        <w:t xml:space="preserve"> </w:t>
      </w:r>
      <w:r w:rsidRPr="00EE2E1F">
        <w:rPr>
          <w:i/>
        </w:rPr>
        <w:t>id.</w:t>
      </w:r>
      <w:r w:rsidRPr="00EE2E1F">
        <w:t>, 17 FCC Rcd at 1088 ¶ 173.</w:t>
      </w:r>
    </w:p>
  </w:footnote>
  <w:footnote w:id="598">
    <w:p w14:paraId="3D06E825" w14:textId="77777777" w:rsidR="00EE2E1F" w:rsidRPr="00EE2E1F" w:rsidRDefault="00EE2E1F" w:rsidP="00EC5135">
      <w:pPr>
        <w:pStyle w:val="FootnoteText"/>
      </w:pPr>
      <w:r w:rsidRPr="00EE2E1F">
        <w:rPr>
          <w:vertAlign w:val="superscript"/>
        </w:rPr>
        <w:footnoteRef/>
      </w:r>
      <w:r w:rsidRPr="00EE2E1F">
        <w:t xml:space="preserve"> </w:t>
      </w:r>
      <w:r w:rsidRPr="00EE2E1F">
        <w:rPr>
          <w:i/>
        </w:rPr>
        <w:t>See</w:t>
      </w:r>
      <w:r w:rsidRPr="00EE2E1F">
        <w:t xml:space="preserve"> </w:t>
      </w:r>
      <w:r w:rsidRPr="00EE2E1F">
        <w:rPr>
          <w:rStyle w:val="Footnote"/>
          <w:i/>
        </w:rPr>
        <w:t>Alvarez Letter 1998</w:t>
      </w:r>
      <w:r w:rsidRPr="00EE2E1F">
        <w:rPr>
          <w:rStyle w:val="Footnote"/>
        </w:rPr>
        <w:t>.</w:t>
      </w:r>
    </w:p>
  </w:footnote>
  <w:footnote w:id="599">
    <w:p w14:paraId="4D04B107" w14:textId="77777777" w:rsidR="00EE2E1F" w:rsidRPr="00EE2E1F" w:rsidRDefault="00EE2E1F" w:rsidP="00EC5135">
      <w:pPr>
        <w:pStyle w:val="FootnoteText"/>
      </w:pPr>
      <w:r w:rsidRPr="00EE2E1F">
        <w:rPr>
          <w:vertAlign w:val="superscript"/>
        </w:rPr>
        <w:footnoteRef/>
      </w:r>
      <w:r w:rsidRPr="00EE2E1F">
        <w:t xml:space="preserve"> </w:t>
      </w:r>
      <w:r w:rsidRPr="00EE2E1F">
        <w:rPr>
          <w:i/>
        </w:rPr>
        <w:t>See</w:t>
      </w:r>
      <w:r w:rsidRPr="00EE2E1F">
        <w:t xml:space="preserve"> Lower 700 MHz Band Auction Closes, </w:t>
      </w:r>
      <w:r w:rsidRPr="00EE2E1F">
        <w:rPr>
          <w:i/>
        </w:rPr>
        <w:t>Public Notice</w:t>
      </w:r>
      <w:r w:rsidRPr="00EE2E1F">
        <w:t>, 17 FCC Rcd 17272 (2002).</w:t>
      </w:r>
    </w:p>
  </w:footnote>
  <w:footnote w:id="600">
    <w:p w14:paraId="48082E5D" w14:textId="77777777" w:rsidR="00EE2E1F" w:rsidRPr="00EE2E1F" w:rsidRDefault="00EE2E1F" w:rsidP="00EC5135">
      <w:pPr>
        <w:pStyle w:val="FootnoteText"/>
      </w:pPr>
      <w:r w:rsidRPr="00EE2E1F">
        <w:rPr>
          <w:vertAlign w:val="superscript"/>
        </w:rPr>
        <w:footnoteRef/>
      </w:r>
      <w:r w:rsidRPr="00EE2E1F">
        <w:t xml:space="preserve"> </w:t>
      </w:r>
      <w:r w:rsidRPr="00EE2E1F">
        <w:rPr>
          <w:i/>
        </w:rPr>
        <w:t>See</w:t>
      </w:r>
      <w:r w:rsidRPr="00EE2E1F">
        <w:t xml:space="preserve"> Lower 700 MHz Band Auction Closes, </w:t>
      </w:r>
      <w:r w:rsidRPr="00EE2E1F">
        <w:rPr>
          <w:i/>
        </w:rPr>
        <w:t>Public Notice</w:t>
      </w:r>
      <w:r w:rsidRPr="00EE2E1F">
        <w:t>, 18 FCC Rcd 11873 (2003).</w:t>
      </w:r>
    </w:p>
  </w:footnote>
  <w:footnote w:id="601">
    <w:p w14:paraId="7CE770EF" w14:textId="77777777" w:rsidR="00EE2E1F" w:rsidRPr="00EE2E1F" w:rsidRDefault="00EE2E1F" w:rsidP="00EC5135">
      <w:pPr>
        <w:pStyle w:val="FootnoteText"/>
      </w:pPr>
      <w:r w:rsidRPr="00EE2E1F">
        <w:rPr>
          <w:vertAlign w:val="superscript"/>
        </w:rPr>
        <w:footnoteRef/>
      </w:r>
      <w:r w:rsidRPr="00EE2E1F">
        <w:t xml:space="preserve"> </w:t>
      </w:r>
      <w:r w:rsidRPr="00EE2E1F">
        <w:rPr>
          <w:i/>
        </w:rPr>
        <w:t>See id.</w:t>
      </w:r>
    </w:p>
  </w:footnote>
  <w:footnote w:id="602">
    <w:p w14:paraId="55E48825" w14:textId="77777777" w:rsidR="00EE2E1F" w:rsidRPr="00EE2E1F" w:rsidRDefault="00EE2E1F" w:rsidP="00EC5135">
      <w:pPr>
        <w:pStyle w:val="FootnoteText"/>
      </w:pPr>
      <w:r w:rsidRPr="00EE2E1F">
        <w:rPr>
          <w:rStyle w:val="FootnoteReference"/>
        </w:rPr>
        <w:footnoteRef/>
      </w:r>
      <w:r w:rsidRPr="00EE2E1F">
        <w:t xml:space="preserve"> </w:t>
      </w:r>
      <w:r w:rsidRPr="00EE2E1F">
        <w:rPr>
          <w:iCs/>
        </w:rPr>
        <w:t>700 MHz Second Report and Order</w:t>
      </w:r>
      <w:r w:rsidRPr="00EE2E1F">
        <w:t xml:space="preserve">, </w:t>
      </w:r>
      <w:r w:rsidRPr="00EE2E1F">
        <w:rPr>
          <w:i/>
        </w:rPr>
        <w:t>Second Report and Order</w:t>
      </w:r>
      <w:r w:rsidRPr="00EE2E1F">
        <w:t>, 22 FCC Rcd 15,289, 15,359 n.434 (2007).</w:t>
      </w:r>
    </w:p>
  </w:footnote>
  <w:footnote w:id="603">
    <w:p w14:paraId="3B47CF14" w14:textId="77777777" w:rsidR="00EE2E1F" w:rsidRPr="00EE2E1F" w:rsidRDefault="00EE2E1F" w:rsidP="00EC5135">
      <w:pPr>
        <w:pStyle w:val="FootnoteText"/>
      </w:pPr>
      <w:r w:rsidRPr="00EE2E1F">
        <w:rPr>
          <w:rStyle w:val="FootnoteReference"/>
        </w:rPr>
        <w:footnoteRef/>
      </w:r>
      <w:r w:rsidRPr="00EE2E1F">
        <w:t xml:space="preserve"> </w:t>
      </w:r>
      <w:r w:rsidRPr="00EE2E1F">
        <w:rPr>
          <w:i/>
        </w:rPr>
        <w:t>See</w:t>
      </w:r>
      <w:r w:rsidRPr="00EE2E1F">
        <w:t xml:space="preserve"> Auction of 700 MHz Band Licenses Closes</w:t>
      </w:r>
      <w:r w:rsidRPr="00EE2E1F">
        <w:rPr>
          <w:rStyle w:val="FootnoteTextCharCharCharChar3CharCharChar1"/>
        </w:rPr>
        <w:t xml:space="preserve">, </w:t>
      </w:r>
      <w:r w:rsidRPr="00EE2E1F">
        <w:rPr>
          <w:rStyle w:val="FootnoteTextCharCharCharChar3CharCharChar1"/>
          <w:i/>
        </w:rPr>
        <w:t>Public Notice</w:t>
      </w:r>
      <w:r w:rsidRPr="00EE2E1F">
        <w:rPr>
          <w:rStyle w:val="FootnoteTextCharCharCharChar3CharCharChar1"/>
        </w:rPr>
        <w:t>, 23 FCC Rcd 4572 (2008).</w:t>
      </w:r>
    </w:p>
  </w:footnote>
  <w:footnote w:id="604">
    <w:p w14:paraId="4CE011B9" w14:textId="77777777" w:rsidR="00EE2E1F" w:rsidRPr="00EE2E1F" w:rsidRDefault="00EE2E1F" w:rsidP="00EC5135">
      <w:pPr>
        <w:pStyle w:val="FootnoteText"/>
        <w:spacing w:line="120" w:lineRule="atLeast"/>
      </w:pPr>
      <w:r w:rsidRPr="00EE2E1F">
        <w:rPr>
          <w:rStyle w:val="FootnoteReference"/>
        </w:rPr>
        <w:footnoteRef/>
      </w:r>
      <w:r w:rsidRPr="00EE2E1F">
        <w:t xml:space="preserve"> This service is governed by Subpart I of Part 22 of the Commission’s Rules.  </w:t>
      </w:r>
      <w:r w:rsidRPr="00EE2E1F">
        <w:rPr>
          <w:i/>
        </w:rPr>
        <w:t>See</w:t>
      </w:r>
      <w:r w:rsidRPr="00EE2E1F">
        <w:t xml:space="preserve"> 47 C.F.R. §§ 22.1001-22.1037, NAICS code 517210. </w:t>
      </w:r>
    </w:p>
  </w:footnote>
  <w:footnote w:id="605">
    <w:p w14:paraId="4B14CFC8" w14:textId="77777777" w:rsidR="00EE2E1F" w:rsidRPr="00EE2E1F" w:rsidRDefault="00EE2E1F" w:rsidP="00EC5135">
      <w:pPr>
        <w:pStyle w:val="FootnoteText"/>
        <w:spacing w:line="120" w:lineRule="atLeast"/>
      </w:pPr>
      <w:r w:rsidRPr="00EE2E1F">
        <w:rPr>
          <w:rStyle w:val="FootnoteReference"/>
        </w:rPr>
        <w:footnoteRef/>
      </w:r>
      <w:r w:rsidRPr="00EE2E1F">
        <w:t xml:space="preserve"> 13 C.F.R. § 121.201, NAICS code 517210.</w:t>
      </w:r>
    </w:p>
  </w:footnote>
  <w:footnote w:id="606">
    <w:p w14:paraId="787402DF" w14:textId="77777777" w:rsidR="00EE2E1F" w:rsidRPr="00EE2E1F" w:rsidRDefault="00EE2E1F" w:rsidP="00EC5135">
      <w:pPr>
        <w:pStyle w:val="FootnoteText"/>
        <w:spacing w:line="120" w:lineRule="atLeast"/>
      </w:pPr>
      <w:r w:rsidRPr="00EE2E1F">
        <w:rPr>
          <w:rStyle w:val="FootnoteReference"/>
        </w:rPr>
        <w:footnoteRef/>
      </w:r>
      <w:r w:rsidRPr="00EE2E1F">
        <w:t xml:space="preserve"> 2007 Economic Census Report Employment Size of Firms, at NAICS Code 517210. </w:t>
      </w:r>
    </w:p>
  </w:footnote>
  <w:footnote w:id="607">
    <w:p w14:paraId="159F0F56" w14:textId="77777777" w:rsidR="00EE2E1F" w:rsidRPr="00EE2E1F" w:rsidRDefault="00EE2E1F" w:rsidP="00EC5135">
      <w:pPr>
        <w:pStyle w:val="FootnoteText"/>
      </w:pPr>
      <w:r w:rsidRPr="00EE2E1F">
        <w:rPr>
          <w:rStyle w:val="Footnote"/>
          <w:vertAlign w:val="superscript"/>
        </w:rPr>
        <w:footnoteRef/>
      </w:r>
      <w:r w:rsidRPr="00EE2E1F">
        <w:rPr>
          <w:rStyle w:val="Footnote"/>
        </w:rPr>
        <w:t xml:space="preserve"> 13 C.F.R. § 121.201, NAICS code 517210.</w:t>
      </w:r>
    </w:p>
  </w:footnote>
  <w:footnote w:id="608">
    <w:p w14:paraId="121C267E" w14:textId="77777777" w:rsidR="00EE2E1F" w:rsidRPr="00EE2E1F" w:rsidRDefault="00EE2E1F" w:rsidP="00EC5135">
      <w:pPr>
        <w:pStyle w:val="FootnoteText"/>
      </w:pPr>
      <w:r w:rsidRPr="00EE2E1F">
        <w:rPr>
          <w:rStyle w:val="Footnote"/>
          <w:vertAlign w:val="superscript"/>
        </w:rPr>
        <w:footnoteRef/>
      </w:r>
      <w:r w:rsidRPr="00EE2E1F">
        <w:rPr>
          <w:rStyle w:val="Footnote"/>
        </w:rPr>
        <w:t xml:space="preserve"> </w:t>
      </w:r>
      <w:r w:rsidRPr="00EE2E1F">
        <w:rPr>
          <w:rStyle w:val="Footnote"/>
          <w:i/>
        </w:rPr>
        <w:t>Id</w:t>
      </w:r>
      <w:r w:rsidRPr="00EE2E1F">
        <w:rPr>
          <w:rStyle w:val="Footnote"/>
        </w:rPr>
        <w:t>.</w:t>
      </w:r>
    </w:p>
  </w:footnote>
  <w:footnote w:id="609">
    <w:p w14:paraId="5CFD77DA" w14:textId="77777777" w:rsidR="00EE2E1F" w:rsidRPr="00EE2E1F" w:rsidRDefault="00EE2E1F" w:rsidP="00EC5135">
      <w:pPr>
        <w:pStyle w:val="FootnoteText"/>
      </w:pPr>
      <w:r w:rsidRPr="00EE2E1F">
        <w:rPr>
          <w:rStyle w:val="Footnote"/>
          <w:vertAlign w:val="superscript"/>
        </w:rPr>
        <w:footnoteRef/>
      </w:r>
      <w:r w:rsidRPr="00EE2E1F">
        <w:rPr>
          <w:rStyle w:val="Footnote"/>
        </w:rPr>
        <w:t xml:space="preserve"> </w:t>
      </w:r>
      <w:r w:rsidRPr="00EE2E1F">
        <w:rPr>
          <w:rStyle w:val="Footnote"/>
          <w:smallCaps/>
        </w:rPr>
        <w:t>Trends in Telephone Service</w:t>
      </w:r>
      <w:r w:rsidRPr="00EE2E1F">
        <w:rPr>
          <w:rStyle w:val="Footnote"/>
        </w:rPr>
        <w:t>, tbl. 5.3.</w:t>
      </w:r>
    </w:p>
  </w:footnote>
  <w:footnote w:id="610">
    <w:p w14:paraId="02EBDC5C" w14:textId="77777777" w:rsidR="00EE2E1F" w:rsidRPr="00EE2E1F" w:rsidRDefault="00EE2E1F" w:rsidP="00EC5135">
      <w:pPr>
        <w:pStyle w:val="FootnoteText"/>
      </w:pPr>
      <w:r w:rsidRPr="00EE2E1F">
        <w:rPr>
          <w:rStyle w:val="Footnote"/>
          <w:vertAlign w:val="superscript"/>
        </w:rPr>
        <w:footnoteRef/>
      </w:r>
      <w:r w:rsidRPr="00EE2E1F">
        <w:rPr>
          <w:rStyle w:val="Footnote"/>
        </w:rPr>
        <w:t xml:space="preserve"> </w:t>
      </w:r>
      <w:r w:rsidRPr="00EE2E1F">
        <w:rPr>
          <w:rStyle w:val="Footnote"/>
          <w:i/>
        </w:rPr>
        <w:t>Id.</w:t>
      </w:r>
    </w:p>
  </w:footnote>
  <w:footnote w:id="611">
    <w:p w14:paraId="2D717A0F" w14:textId="48277AA3" w:rsidR="00EE2E1F" w:rsidRPr="00EE2E1F" w:rsidRDefault="00EE2E1F" w:rsidP="00EC5135">
      <w:pPr>
        <w:pStyle w:val="FootnoteText"/>
        <w:spacing w:line="120" w:lineRule="atLeast"/>
      </w:pPr>
      <w:r w:rsidRPr="00EE2E1F">
        <w:rPr>
          <w:rStyle w:val="FootnoteReference"/>
        </w:rPr>
        <w:footnoteRef/>
      </w:r>
      <w:r w:rsidRPr="00EE2E1F">
        <w:t xml:space="preserve"> </w:t>
      </w:r>
      <w:r w:rsidRPr="00EE2E1F">
        <w:rPr>
          <w:i/>
        </w:rPr>
        <w:t>See</w:t>
      </w:r>
      <w:r w:rsidRPr="00EE2E1F">
        <w:t xml:space="preserve"> </w:t>
      </w:r>
      <w:hyperlink r:id="rId58" w:history="1">
        <w:r w:rsidRPr="00EE2E1F">
          <w:rPr>
            <w:rStyle w:val="Hyperlink"/>
            <w:rFonts w:eastAsia="MS Gothic"/>
            <w:i/>
          </w:rPr>
          <w:t>http://www.census.gov/cgi-bin/sssd/naics/naicsrch?code=517919&amp;search=2007%20NAICS%20Search.</w:t>
        </w:r>
        <w:r w:rsidRPr="00EE2E1F">
          <w:rPr>
            <w:rStyle w:val="Hyperlink"/>
            <w:rFonts w:eastAsia="MS Gothic"/>
          </w:rPr>
          <w:t>(last</w:t>
        </w:r>
      </w:hyperlink>
      <w:r w:rsidRPr="00EE2E1F">
        <w:t xml:space="preserve"> viewed Jan. 31, 2014).</w:t>
      </w:r>
    </w:p>
  </w:footnote>
  <w:footnote w:id="612">
    <w:p w14:paraId="7564539C" w14:textId="77B563E5" w:rsidR="00EE2E1F" w:rsidRPr="00EE2E1F" w:rsidRDefault="00EE2E1F" w:rsidP="00EC5135">
      <w:pPr>
        <w:pStyle w:val="FootnoteText"/>
        <w:spacing w:line="120" w:lineRule="atLeast"/>
      </w:pPr>
      <w:r w:rsidRPr="00EE2E1F">
        <w:rPr>
          <w:rStyle w:val="FootnoteReference"/>
        </w:rPr>
        <w:footnoteRef/>
      </w:r>
      <w:r w:rsidRPr="00EE2E1F">
        <w:t xml:space="preserve"> </w:t>
      </w:r>
      <w:r w:rsidRPr="00EE2E1F">
        <w:rPr>
          <w:i/>
        </w:rPr>
        <w:t>See</w:t>
      </w:r>
      <w:r w:rsidRPr="00EE2E1F">
        <w:t xml:space="preserve"> </w:t>
      </w:r>
      <w:hyperlink r:id="rId59" w:history="1">
        <w:r w:rsidRPr="00EE2E1F">
          <w:rPr>
            <w:rStyle w:val="Hyperlink"/>
            <w:rFonts w:eastAsia="MS Gothic"/>
          </w:rPr>
          <w:t>http://factfinder2.census.gov/faces/tableservices/jsf/pages/productview.xhtml?pid=ECN_2007_US_51SSSZ1&amp;prodType=table</w:t>
        </w:r>
      </w:hyperlink>
      <w:r w:rsidRPr="00EE2E1F">
        <w:t xml:space="preserve"> (last viewed Jan. 31, 2014).</w:t>
      </w:r>
    </w:p>
  </w:footnote>
  <w:footnote w:id="613">
    <w:p w14:paraId="24E8876D" w14:textId="220A60DA" w:rsidR="00EE2E1F" w:rsidRPr="00EE2E1F" w:rsidRDefault="00EE2E1F" w:rsidP="00EC5135">
      <w:pPr>
        <w:pStyle w:val="FootnoteText"/>
      </w:pPr>
      <w:r w:rsidRPr="00EE2E1F">
        <w:rPr>
          <w:rStyle w:val="FootnoteReference"/>
        </w:rPr>
        <w:footnoteRef/>
      </w:r>
      <w:r w:rsidRPr="00EE2E1F">
        <w:t xml:space="preserve"> The NAICS Code for this service 334220.  </w:t>
      </w:r>
      <w:r w:rsidRPr="00EE2E1F">
        <w:rPr>
          <w:i/>
        </w:rPr>
        <w:t>See</w:t>
      </w:r>
      <w:r w:rsidRPr="00EE2E1F">
        <w:t xml:space="preserve"> 13 C.F.R 121/201.  </w:t>
      </w:r>
      <w:r w:rsidRPr="00EE2E1F">
        <w:rPr>
          <w:i/>
        </w:rPr>
        <w:t>See also</w:t>
      </w:r>
      <w:r w:rsidRPr="00EE2E1F">
        <w:t xml:space="preserve"> </w:t>
      </w:r>
      <w:hyperlink r:id="rId60" w:history="1">
        <w:r w:rsidRPr="00EE2E1F">
          <w:rPr>
            <w:rStyle w:val="Hyperlink"/>
            <w:rFonts w:eastAsia="MS Gothic"/>
          </w:rPr>
          <w:t>http://factfinder2.census.gov/faces/tableservices/jsf/pages/productview.xhtml?pid=ECN_2007_US_00A1&amp;prodType=table</w:t>
        </w:r>
      </w:hyperlink>
      <w:r w:rsidRPr="00EE2E1F">
        <w:t xml:space="preserve"> (last viewed Jan. 31, 2014).</w:t>
      </w:r>
    </w:p>
  </w:footnote>
  <w:footnote w:id="614">
    <w:p w14:paraId="07A02EE7" w14:textId="77777777" w:rsidR="00EE2E1F" w:rsidRPr="00EE2E1F" w:rsidRDefault="00EE2E1F" w:rsidP="00EC5135">
      <w:pPr>
        <w:pStyle w:val="FootnoteText"/>
      </w:pPr>
      <w:r w:rsidRPr="00EE2E1F">
        <w:rPr>
          <w:rStyle w:val="FootnoteReference"/>
        </w:rPr>
        <w:footnoteRef/>
      </w:r>
      <w:r w:rsidRPr="00EE2E1F">
        <w:t xml:space="preserve"> </w:t>
      </w:r>
      <w:r w:rsidRPr="00EE2E1F">
        <w:rPr>
          <w:color w:val="000000"/>
        </w:rPr>
        <w:t>U.S. Census Bureau, 2007 Economic Census, Industry Series:  Manufacturing, “Semiconductor and Related Device Manufacturing,” NAICS code 334413.</w:t>
      </w:r>
    </w:p>
  </w:footnote>
  <w:footnote w:id="615">
    <w:p w14:paraId="27340047" w14:textId="77777777" w:rsidR="00EE2E1F" w:rsidRPr="00EE2E1F" w:rsidRDefault="00EE2E1F" w:rsidP="00EC5135">
      <w:pPr>
        <w:pStyle w:val="FootnoteText"/>
      </w:pPr>
      <w:r w:rsidRPr="00EE2E1F">
        <w:rPr>
          <w:rStyle w:val="FootnoteReference"/>
        </w:rPr>
        <w:footnoteRef/>
      </w:r>
      <w:r w:rsidRPr="00EE2E1F">
        <w:t xml:space="preserve"> </w:t>
      </w:r>
      <w:r w:rsidRPr="00EE2E1F">
        <w:rPr>
          <w:i/>
        </w:rPr>
        <w:t xml:space="preserve">See </w:t>
      </w:r>
      <w:r w:rsidRPr="00EE2E1F">
        <w:t>http://factfinder.census.gov/servlet/IBQTable?_bm=y&amp;-geo_id=&amp;-_skip=300&amp;-ds_name=EC0731I1&amp;-_lang=en.</w:t>
      </w:r>
    </w:p>
  </w:footnote>
  <w:footnote w:id="616">
    <w:p w14:paraId="10FB6BA7" w14:textId="77777777" w:rsidR="00EE2E1F" w:rsidRPr="00EE2E1F" w:rsidRDefault="00EE2E1F" w:rsidP="00EC5135">
      <w:pPr>
        <w:pStyle w:val="FootnoteText"/>
      </w:pPr>
      <w:r w:rsidRPr="00EE2E1F">
        <w:rPr>
          <w:rStyle w:val="FootnoteReference"/>
        </w:rPr>
        <w:footnoteRef/>
      </w:r>
      <w:r w:rsidRPr="00EE2E1F">
        <w:t xml:space="preserve"> </w:t>
      </w:r>
      <w:r w:rsidRPr="00EE2E1F">
        <w:rPr>
          <w:i/>
        </w:rPr>
        <w:t>See, e.g.</w:t>
      </w:r>
      <w:r w:rsidRPr="00EE2E1F">
        <w:t xml:space="preserve">, Blooston Comments at 2-3 (suggesting that </w:t>
      </w:r>
      <w:r w:rsidRPr="00EE2E1F">
        <w:rPr>
          <w:szCs w:val="22"/>
        </w:rPr>
        <w:t xml:space="preserve">substantial investments in new E911 equipment that small rural carriers will be required to make in order to comply with the proposed new E911 requirements will soon become unrecoverable stranded investments when NG911 technology is deployed); CCA Roadmap Comments at 6 (expressing concern </w:t>
      </w:r>
      <w:r w:rsidRPr="00EE2E1F">
        <w:t xml:space="preserve">that small and rural carriers may not hold licenses for spectrum or otherwise operate in the single location defined implied in the Roadmap and will thus be forced to commit to individualized testing of a particular heightened location accuracy technology should it utilize any component of their network); </w:t>
      </w:r>
    </w:p>
  </w:footnote>
  <w:footnote w:id="617">
    <w:p w14:paraId="185DA090" w14:textId="77777777" w:rsidR="00EE2E1F" w:rsidRPr="00EE2E1F" w:rsidRDefault="00EE2E1F" w:rsidP="00EC5135">
      <w:pPr>
        <w:pStyle w:val="FootnoteText"/>
      </w:pPr>
      <w:r w:rsidRPr="00EE2E1F">
        <w:rPr>
          <w:rStyle w:val="FootnoteReference"/>
        </w:rPr>
        <w:footnoteRef/>
      </w:r>
      <w:r w:rsidRPr="00EE2E1F">
        <w:t xml:space="preserve"> CCA Reply Comments at 12; NCTA Reply Comments at 2; RWA Comments at 6; Blooston Rural Comments at 2-3; SouthernLINC Wireless Reply Comments at 6.  </w:t>
      </w:r>
    </w:p>
  </w:footnote>
  <w:footnote w:id="618">
    <w:p w14:paraId="5AE5854F" w14:textId="77777777" w:rsidR="00EE2E1F" w:rsidRPr="00EE2E1F" w:rsidRDefault="00EE2E1F" w:rsidP="00EC5135">
      <w:pPr>
        <w:pStyle w:val="FootnoteText"/>
      </w:pPr>
      <w:r w:rsidRPr="00EE2E1F">
        <w:rPr>
          <w:rStyle w:val="FootnoteReference"/>
        </w:rPr>
        <w:footnoteRef/>
      </w:r>
      <w:r w:rsidRPr="00EE2E1F">
        <w:t xml:space="preserve"> </w:t>
      </w:r>
      <w:r w:rsidRPr="00EE2E1F">
        <w:rPr>
          <w:i/>
        </w:rPr>
        <w:t>Fourth Report and Order</w:t>
      </w:r>
      <w:r w:rsidRPr="00EE2E1F">
        <w:t xml:space="preserve"> at para. 154, citing CCA Reply Comments at 15.</w:t>
      </w:r>
    </w:p>
  </w:footnote>
  <w:footnote w:id="619">
    <w:p w14:paraId="32380F1A" w14:textId="77777777" w:rsidR="00EE2E1F" w:rsidRPr="00EE2E1F" w:rsidRDefault="00EE2E1F" w:rsidP="00EC5135">
      <w:pPr>
        <w:pStyle w:val="FootnoteText"/>
      </w:pPr>
      <w:r w:rsidRPr="00EE2E1F">
        <w:rPr>
          <w:rStyle w:val="FootnoteReference"/>
        </w:rPr>
        <w:footnoteRef/>
      </w:r>
      <w:r w:rsidRPr="00EE2E1F">
        <w:t xml:space="preserve"> </w:t>
      </w:r>
      <w:r w:rsidRPr="00EE2E1F">
        <w:rPr>
          <w:i/>
        </w:rPr>
        <w:t xml:space="preserve">Third Further Notice, </w:t>
      </w:r>
      <w:r w:rsidRPr="00EE2E1F">
        <w:t xml:space="preserve">29 FCC Rcd at 2413-15 ¶¶ 104-09. </w:t>
      </w:r>
    </w:p>
  </w:footnote>
  <w:footnote w:id="620">
    <w:p w14:paraId="2BA82566" w14:textId="77777777" w:rsidR="00EE2E1F" w:rsidRPr="00EE2E1F" w:rsidRDefault="00EE2E1F" w:rsidP="00EC5135">
      <w:pPr>
        <w:pStyle w:val="FootnoteText"/>
      </w:pPr>
      <w:r w:rsidRPr="00EE2E1F">
        <w:rPr>
          <w:rStyle w:val="FootnoteReference"/>
        </w:rPr>
        <w:footnoteRef/>
      </w:r>
      <w:r w:rsidRPr="00EE2E1F">
        <w:t xml:space="preserve"> NCTA Reply Comments at 2 (“The Commission should exclude rural areas with a low density of multistory commercial buildings (e.g., less than 10 multi-story buildings per square mile) from the indoor location accuracy requirements for a minimum of two years past the initial compliance deadline placed upon urban carriers.”); RWA Comments at 6 (“RWA would also support limiting the application of the vertical location requirement to certain urban areas with a high density of multi-story commercial buildings.”); Blooston Rural Comments at 2-3 (“The much smaller carriers that are serving rural areas have limited resources. To require them to install new E91 l equipment and shortly thereafter replace it with NG911 equipment would constitute an undue financial hardship that will impair their ability in the long term to provide emergency services to their customers. This waste of scarce resources would be all the more regrettable since there are far fewer high rise buildings in rural areas than in urban areas, making the need for vertical location information less pressing.”).  </w:t>
      </w:r>
    </w:p>
  </w:footnote>
  <w:footnote w:id="621">
    <w:p w14:paraId="6CAF826F" w14:textId="77777777" w:rsidR="00EE2E1F" w:rsidRPr="00EE2E1F" w:rsidRDefault="00EE2E1F" w:rsidP="00EC5135">
      <w:pPr>
        <w:pStyle w:val="FootnoteText"/>
      </w:pPr>
      <w:r w:rsidRPr="00EE2E1F">
        <w:rPr>
          <w:rStyle w:val="FootnoteReference"/>
        </w:rPr>
        <w:footnoteRef/>
      </w:r>
      <w:r w:rsidRPr="00EE2E1F">
        <w:t xml:space="preserve"> RWA Comments at 6 (stating that“[t]he length of the exclusion will depend on the degree of accuracy and deadlines the Commission ultimately adopts, but should extend at least two years beyond the time urban carriers are required to come into compliance” and “should ensure that carriers operating in such rural areas have sufficient time to come into compliance with the standards ultimately adopted without requiring such carriers to incur financial hardship to come into compliance.”). </w:t>
      </w:r>
    </w:p>
  </w:footnote>
  <w:footnote w:id="622">
    <w:p w14:paraId="242BC800" w14:textId="77777777" w:rsidR="00EE2E1F" w:rsidRPr="00EE2E1F" w:rsidRDefault="00EE2E1F" w:rsidP="00EC5135">
      <w:pPr>
        <w:pStyle w:val="FootnoteText"/>
      </w:pPr>
      <w:r w:rsidRPr="00EE2E1F">
        <w:rPr>
          <w:rStyle w:val="FootnoteReference"/>
        </w:rPr>
        <w:footnoteRef/>
      </w:r>
      <w:r w:rsidRPr="00EE2E1F">
        <w:t xml:space="preserve"> </w:t>
      </w:r>
      <w:r w:rsidRPr="00EE2E1F">
        <w:rPr>
          <w:i/>
        </w:rPr>
        <w:t>See</w:t>
      </w:r>
      <w:r w:rsidRPr="00EE2E1F">
        <w:t xml:space="preserve"> </w:t>
      </w:r>
      <w:r w:rsidRPr="00EE2E1F">
        <w:rPr>
          <w:i/>
        </w:rPr>
        <w:t>supra</w:t>
      </w:r>
      <w:r w:rsidRPr="00EE2E1F">
        <w:t xml:space="preserve"> </w:t>
      </w:r>
      <w:r w:rsidRPr="00EE2E1F">
        <w:rPr>
          <w:i/>
        </w:rPr>
        <w:t>Fourth Report and Order</w:t>
      </w:r>
      <w:r w:rsidRPr="00EE2E1F">
        <w:t xml:space="preserve"> para. 97.</w:t>
      </w:r>
    </w:p>
  </w:footnote>
  <w:footnote w:id="623">
    <w:p w14:paraId="3EA45C3A" w14:textId="77777777" w:rsidR="00EE2E1F" w:rsidRPr="00EE2E1F" w:rsidRDefault="00EE2E1F" w:rsidP="00EC5135">
      <w:pPr>
        <w:pStyle w:val="FootnoteText"/>
      </w:pPr>
      <w:r w:rsidRPr="00EE2E1F">
        <w:rPr>
          <w:rStyle w:val="FootnoteReference"/>
        </w:rPr>
        <w:footnoteRef/>
      </w:r>
      <w:r w:rsidRPr="00EE2E1F">
        <w:t xml:space="preserve"> </w:t>
      </w:r>
      <w:r w:rsidRPr="00EE2E1F">
        <w:rPr>
          <w:i/>
        </w:rPr>
        <w:t>Third Further Notice,</w:t>
      </w:r>
      <w:r w:rsidRPr="00EE2E1F">
        <w:t xml:space="preserve"> 29 FCC Rcd at 2417 ¶¶ 115-16. </w:t>
      </w:r>
    </w:p>
  </w:footnote>
  <w:footnote w:id="624">
    <w:p w14:paraId="4272E7B3" w14:textId="77777777" w:rsidR="00EE2E1F" w:rsidRPr="00EE2E1F" w:rsidRDefault="00EE2E1F" w:rsidP="00EC5135">
      <w:pPr>
        <w:pStyle w:val="FootnoteText"/>
      </w:pPr>
      <w:r w:rsidRPr="00EE2E1F">
        <w:rPr>
          <w:rStyle w:val="FootnoteReference"/>
        </w:rPr>
        <w:footnoteRef/>
      </w:r>
      <w:r w:rsidRPr="00EE2E1F">
        <w:t xml:space="preserve"> </w:t>
      </w:r>
      <w:r w:rsidRPr="00EE2E1F">
        <w:rPr>
          <w:i/>
        </w:rPr>
        <w:t>Third Further Notice,</w:t>
      </w:r>
      <w:r w:rsidRPr="00EE2E1F">
        <w:t xml:space="preserve"> 29 FCC Rcd at 2417 ¶ 116. </w:t>
      </w:r>
    </w:p>
  </w:footnote>
  <w:footnote w:id="625">
    <w:p w14:paraId="4D2F9492" w14:textId="77777777" w:rsidR="00EE2E1F" w:rsidRPr="00EE2E1F" w:rsidRDefault="00EE2E1F" w:rsidP="00EC5135">
      <w:pPr>
        <w:pStyle w:val="FootnoteText"/>
      </w:pPr>
      <w:r w:rsidRPr="00EE2E1F">
        <w:rPr>
          <w:rStyle w:val="FootnoteReference"/>
        </w:rPr>
        <w:footnoteRef/>
      </w:r>
      <w:r w:rsidRPr="00EE2E1F">
        <w:t xml:space="preserve"> RWA Comments at 7.  </w:t>
      </w:r>
    </w:p>
  </w:footnote>
  <w:footnote w:id="626">
    <w:p w14:paraId="35637703" w14:textId="77777777" w:rsidR="00EE2E1F" w:rsidRPr="00EE2E1F" w:rsidRDefault="00EE2E1F" w:rsidP="00EC5135">
      <w:pPr>
        <w:pStyle w:val="FootnoteText"/>
      </w:pPr>
      <w:r w:rsidRPr="00EE2E1F">
        <w:rPr>
          <w:rStyle w:val="FootnoteReference"/>
        </w:rPr>
        <w:footnoteRef/>
      </w:r>
      <w:r w:rsidRPr="00EE2E1F">
        <w:t xml:space="preserve"> NTCA Comments at 5 and Reply Comments at 7.   NTCA does, however, support adoption of a streamlined waiver process were the Commission to adopt the location requirements proposed in the </w:t>
      </w:r>
      <w:r w:rsidRPr="00EE2E1F">
        <w:rPr>
          <w:i/>
        </w:rPr>
        <w:t>Third Further Notice</w:t>
      </w:r>
      <w:r w:rsidRPr="00EE2E1F">
        <w:t xml:space="preserve">.  </w:t>
      </w:r>
    </w:p>
  </w:footnote>
  <w:footnote w:id="627">
    <w:p w14:paraId="43D97CFD" w14:textId="77777777" w:rsidR="00EE2E1F" w:rsidRPr="00EE2E1F" w:rsidRDefault="00EE2E1F" w:rsidP="00EC5135">
      <w:pPr>
        <w:pStyle w:val="FootnoteText"/>
      </w:pPr>
      <w:r w:rsidRPr="00EE2E1F">
        <w:rPr>
          <w:rStyle w:val="FootnoteReference"/>
        </w:rPr>
        <w:footnoteRef/>
      </w:r>
      <w:r w:rsidRPr="00EE2E1F">
        <w:t xml:space="preserve"> </w:t>
      </w:r>
      <w:r w:rsidRPr="00EE2E1F">
        <w:rPr>
          <w:i/>
        </w:rPr>
        <w:t>See</w:t>
      </w:r>
      <w:r w:rsidRPr="00EE2E1F">
        <w:t xml:space="preserve"> </w:t>
      </w:r>
      <w:r w:rsidRPr="00EE2E1F">
        <w:rPr>
          <w:i/>
        </w:rPr>
        <w:t>supra</w:t>
      </w:r>
      <w:r w:rsidRPr="00EE2E1F">
        <w:t xml:space="preserve"> para. 140.</w:t>
      </w:r>
    </w:p>
  </w:footnote>
  <w:footnote w:id="628">
    <w:p w14:paraId="7FD19ECC" w14:textId="4908AA46" w:rsidR="00EE2E1F" w:rsidRPr="00EE2E1F" w:rsidRDefault="00EE2E1F" w:rsidP="00E555E7">
      <w:pPr>
        <w:pStyle w:val="FootnoteText"/>
      </w:pPr>
      <w:r w:rsidRPr="00EE2E1F">
        <w:rPr>
          <w:rStyle w:val="FootnoteReference"/>
        </w:rPr>
        <w:footnoteRef/>
      </w:r>
      <w:r w:rsidRPr="00EE2E1F">
        <w:t xml:space="preserve"> </w:t>
      </w:r>
      <w:hyperlink r:id="rId61" w:history="1">
        <w:r w:rsidRPr="00EE2E1F">
          <w:rPr>
            <w:rStyle w:val="Hyperlink"/>
          </w:rPr>
          <w:t>http://tucsoncitizen.com/morgue2/2003/06/16/188977-legislators-raid-funds-from-911-cell-upgrade/</w:t>
        </w:r>
      </w:hyperlink>
    </w:p>
    <w:p w14:paraId="27C5FFE2" w14:textId="77777777" w:rsidR="00EE2E1F" w:rsidRPr="00EE2E1F" w:rsidRDefault="00EE2E1F" w:rsidP="00E555E7">
      <w:pPr>
        <w:pStyle w:val="FootnoteText"/>
      </w:pPr>
    </w:p>
  </w:footnote>
  <w:footnote w:id="629">
    <w:p w14:paraId="474691F4" w14:textId="77777777" w:rsidR="00EE2E1F" w:rsidRPr="00EE2E1F" w:rsidRDefault="00EE2E1F" w:rsidP="00CE51A2">
      <w:pPr>
        <w:pStyle w:val="FootnoteText"/>
        <w:rPr>
          <w:szCs w:val="22"/>
        </w:rPr>
      </w:pPr>
      <w:r w:rsidRPr="00EE2E1F">
        <w:rPr>
          <w:rStyle w:val="FootnoteReference"/>
          <w:szCs w:val="22"/>
        </w:rPr>
        <w:footnoteRef/>
      </w:r>
      <w:r w:rsidRPr="00EE2E1F">
        <w:rPr>
          <w:szCs w:val="22"/>
        </w:rPr>
        <w:t xml:space="preserve"> </w:t>
      </w:r>
      <w:r w:rsidRPr="00EE2E1F">
        <w:rPr>
          <w:i/>
          <w:szCs w:val="22"/>
        </w:rPr>
        <w:t>Wireless E911 Location Accuracy Requirements</w:t>
      </w:r>
      <w:r w:rsidRPr="00EE2E1F">
        <w:rPr>
          <w:szCs w:val="22"/>
        </w:rPr>
        <w:t>, PS Docket No. 07-114, Notice of Proposed Rulemaking 29 FCC Rcd. 2374 (2014) (Statement of Commissioner Ajit Pai Approving in Part and Concurring in Part), http://go.usa.gov/SQXV.</w:t>
      </w:r>
    </w:p>
  </w:footnote>
  <w:footnote w:id="630">
    <w:p w14:paraId="795A1AD9" w14:textId="77777777" w:rsidR="00EE2E1F" w:rsidRPr="00EE2E1F" w:rsidRDefault="00EE2E1F" w:rsidP="00CE51A2">
      <w:pPr>
        <w:pStyle w:val="FootnoteText"/>
        <w:rPr>
          <w:szCs w:val="22"/>
        </w:rPr>
      </w:pPr>
      <w:r w:rsidRPr="00EE2E1F">
        <w:rPr>
          <w:rStyle w:val="FootnoteReference"/>
          <w:szCs w:val="22"/>
        </w:rPr>
        <w:footnoteRef/>
      </w:r>
      <w:r w:rsidRPr="00EE2E1F">
        <w:rPr>
          <w:szCs w:val="22"/>
        </w:rPr>
        <w:t xml:space="preserve"> </w:t>
      </w:r>
      <w:r w:rsidRPr="00EE2E1F">
        <w:rPr>
          <w:i/>
          <w:szCs w:val="22"/>
        </w:rPr>
        <w:t>See, e.g.</w:t>
      </w:r>
      <w:r w:rsidRPr="00EE2E1F">
        <w:rPr>
          <w:szCs w:val="22"/>
        </w:rPr>
        <w:t>, Letter from Derek Poarch, Executive Director, APCO International to Marlene Dortch, Secretary, FCC (Jan. 21, 2015), http://go.usa.gov/SQXH.</w:t>
      </w:r>
    </w:p>
  </w:footnote>
  <w:footnote w:id="631">
    <w:p w14:paraId="10C4F58A" w14:textId="77777777" w:rsidR="00EE2E1F" w:rsidRPr="00EE2E1F" w:rsidRDefault="00EE2E1F" w:rsidP="00CE51A2">
      <w:pPr>
        <w:pStyle w:val="FootnoteText"/>
        <w:rPr>
          <w:sz w:val="22"/>
          <w:szCs w:val="22"/>
        </w:rPr>
      </w:pPr>
      <w:r w:rsidRPr="00EE2E1F">
        <w:rPr>
          <w:rStyle w:val="FootnoteReference"/>
          <w:szCs w:val="22"/>
        </w:rPr>
        <w:footnoteRef/>
      </w:r>
      <w:r w:rsidRPr="00EE2E1F">
        <w:rPr>
          <w:szCs w:val="22"/>
        </w:rPr>
        <w:t xml:space="preserve"> </w:t>
      </w:r>
      <w:r w:rsidRPr="00EE2E1F">
        <w:rPr>
          <w:i/>
          <w:szCs w:val="22"/>
        </w:rPr>
        <w:t>See</w:t>
      </w:r>
      <w:r w:rsidRPr="00EE2E1F">
        <w:rPr>
          <w:szCs w:val="22"/>
        </w:rPr>
        <w:t xml:space="preserve"> Statement of FCC Commissioner Ajit Pai on the Importance of Connecting Americans to Emergency Personnel Whenever They Dial 911 (Jan. 13, 2014), http://go.usa.gov/9DxJ; Remarks of Commissioner Ajit Pai at the 9-1-1 Goes to Washington Conference (Mar. 24, 2014), http://go.usa.gov/9DjA; Statement of FCC Commissioner Ajit Pai Regarding the Ongoing Inquiry into Consumers’ Ability to Reach Emergency Personnel Whenever They Dial 911 (June 24, 2014), http://go.usa.gov/NNj4.</w:t>
      </w:r>
    </w:p>
  </w:footnote>
  <w:footnote w:id="632">
    <w:p w14:paraId="6F0C689A" w14:textId="77777777" w:rsidR="00EE2E1F" w:rsidRPr="00EE2E1F" w:rsidRDefault="00EE2E1F" w:rsidP="00CE51A2">
      <w:pPr>
        <w:pStyle w:val="FootnoteText"/>
      </w:pPr>
      <w:r w:rsidRPr="00EE2E1F">
        <w:rPr>
          <w:rStyle w:val="FootnoteReference"/>
        </w:rPr>
        <w:footnoteRef/>
      </w:r>
      <w:r w:rsidRPr="00EE2E1F">
        <w:t xml:space="preserve"> </w:t>
      </w:r>
      <w:r w:rsidRPr="00EE2E1F">
        <w:rPr>
          <w:i/>
        </w:rPr>
        <w:t xml:space="preserve">See </w:t>
      </w:r>
      <w:r w:rsidRPr="00EE2E1F">
        <w:t xml:space="preserve">Remarks of FCC Commissioner Ajit Pai on Connecting Americans to Emergency Personnel Whenever They Dial 911 (Jan. 23, 2015), http://go.usa.gov/SQ5k; </w:t>
      </w:r>
      <w:r w:rsidRPr="00EE2E1F">
        <w:rPr>
          <w:i/>
        </w:rPr>
        <w:t xml:space="preserve">see also </w:t>
      </w:r>
      <w:r w:rsidRPr="00EE2E1F">
        <w:t>Summary of FCC Commissioner Ajit Pai’s Report on the Progress Being Made to Ensure that Dialing 911 Always Works (Jan. 23, 2015), http://go.usa.gov/SQ5P.</w:t>
      </w:r>
    </w:p>
  </w:footnote>
  <w:footnote w:id="633">
    <w:p w14:paraId="6161CDC3" w14:textId="77777777" w:rsidR="00EE2E1F" w:rsidRPr="00EE2E1F" w:rsidRDefault="00EE2E1F" w:rsidP="00CE51A2">
      <w:pPr>
        <w:pStyle w:val="FootnoteText"/>
      </w:pPr>
      <w:r w:rsidRPr="00EE2E1F">
        <w:rPr>
          <w:rStyle w:val="FootnoteReference"/>
        </w:rPr>
        <w:footnoteRef/>
      </w:r>
      <w:r w:rsidRPr="00EE2E1F">
        <w:t xml:space="preserve"> </w:t>
      </w:r>
      <w:r w:rsidRPr="00EE2E1F">
        <w:rPr>
          <w:i/>
        </w:rPr>
        <w:t xml:space="preserve">Wireless E911 Location Accuracy Requirements, </w:t>
      </w:r>
      <w:r w:rsidRPr="00EE2E1F">
        <w:t xml:space="preserve">PS Docket No. 07-114, </w:t>
      </w:r>
      <w:r w:rsidRPr="00EE2E1F">
        <w:rPr>
          <w:i/>
        </w:rPr>
        <w:t>Third Further Notice of Proposed Rulemaking</w:t>
      </w:r>
      <w:r w:rsidRPr="00EE2E1F">
        <w:t>, 29 FCC Rcd 2374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C7F6C" w14:textId="77777777" w:rsidR="00FB0965" w:rsidRDefault="00FB09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F368B" w14:textId="1E7D1581" w:rsidR="00EE2E1F" w:rsidRDefault="00EE2E1F" w:rsidP="00EC51FD">
    <w:pPr>
      <w:pStyle w:val="Header"/>
      <w:pBdr>
        <w:bottom w:val="single" w:sz="12" w:space="1" w:color="auto"/>
      </w:pBdr>
      <w:rPr>
        <w:b w:val="0"/>
      </w:rPr>
    </w:pPr>
    <w:r w:rsidRPr="004C29B5">
      <w:rPr>
        <w:noProof/>
        <w:snapToGrid/>
      </w:rPr>
      <mc:AlternateContent>
        <mc:Choice Requires="wps">
          <w:drawing>
            <wp:anchor distT="0" distB="0" distL="114300" distR="114300" simplePos="0" relativeHeight="251663360" behindDoc="1" locked="0" layoutInCell="0" allowOverlap="1" wp14:anchorId="1769A506" wp14:editId="4AEC827D">
              <wp:simplePos x="0" y="0"/>
              <wp:positionH relativeFrom="margin">
                <wp:posOffset>3175</wp:posOffset>
              </wp:positionH>
              <wp:positionV relativeFrom="paragraph">
                <wp:posOffset>176530</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pt;margin-top:13.9pt;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" o:allowincell="f" fillcolor="black" stroked="f" strokeweight=".05pt">
              <w10:wrap anchorx="margin"/>
            </v:rect>
          </w:pict>
        </mc:Fallback>
      </mc:AlternateContent>
    </w:r>
    <w:r w:rsidR="006941E8">
      <w:rPr>
        <w:noProof/>
        <w:snapToGrid/>
      </w:rPr>
      <w:pict w14:anchorId="0652C429">
        <v:rect id="Rectangle 1" o:spid="_x0000_s2049" style="position:absolute;margin-left:.25pt;margin-top:13.9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" o:allowincell="f" fillcolor="black" stroked="f" strokeweight=".05pt">
          <w10:wrap anchorx="margin"/>
        </v:rect>
      </w:pict>
    </w:r>
    <w:r>
      <w:tab/>
      <w:t>Federal Communications Commission</w:t>
    </w:r>
    <w:r>
      <w:tab/>
    </w:r>
    <w:r>
      <w:rPr>
        <w:spacing w:val="-2"/>
      </w:rPr>
      <w:t>FCC 15-9</w:t>
    </w:r>
  </w:p>
  <w:p w14:paraId="1AFC7446" w14:textId="77777777" w:rsidR="00EE2E1F" w:rsidRDefault="00EE2E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5A295" w14:textId="3CB46082" w:rsidR="00EE2E1F" w:rsidRDefault="006941E8" w:rsidP="00470D93">
    <w:pPr>
      <w:pStyle w:val="Header"/>
      <w:pBdr>
        <w:bottom w:val="single" w:sz="12" w:space="1" w:color="auto"/>
      </w:pBdr>
      <w:rPr>
        <w:b w:val="0"/>
      </w:rPr>
    </w:pPr>
    <w:r>
      <w:rPr>
        <w:noProof/>
        <w:snapToGrid/>
      </w:rPr>
      <w:pict w14:anchorId="303C10CB">
        <v:rect id="Rectangle 2" o:spid="_x0000_s2048" style="position:absolute;margin-left:.25pt;margin-top:13.9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" o:allowincell="f" fillcolor="black" stroked="f" strokeweight=".05pt">
          <w10:wrap anchorx="margin"/>
        </v:rect>
      </w:pict>
    </w:r>
    <w:r w:rsidR="00EE2E1F">
      <w:tab/>
      <w:t>Federal Communications Commission</w:t>
    </w:r>
    <w:r w:rsidR="00EE2E1F">
      <w:tab/>
    </w:r>
    <w:r w:rsidR="00EE2E1F">
      <w:rPr>
        <w:spacing w:val="-2"/>
      </w:rPr>
      <w:t>FCC 15-9</w:t>
    </w:r>
  </w:p>
  <w:p w14:paraId="165B15C2" w14:textId="77777777" w:rsidR="00EE2E1F" w:rsidRDefault="00EE2E1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5640F" w14:textId="6EE729C0" w:rsidR="00EE2E1F" w:rsidRPr="00B97A01" w:rsidRDefault="00EE2E1F" w:rsidP="0046037B">
    <w:pPr>
      <w:pStyle w:val="Header"/>
      <w:pBdr>
        <w:bottom w:val="single" w:sz="12" w:space="1" w:color="auto"/>
      </w:pBdr>
      <w:rPr>
        <w:b w:val="0"/>
        <w:szCs w:val="22"/>
      </w:rPr>
    </w:pPr>
    <w:r w:rsidRPr="00B97A01">
      <w:rPr>
        <w:szCs w:val="22"/>
      </w:rPr>
      <w:tab/>
      <w:t>Federal Communications Commission</w:t>
    </w:r>
    <w:r w:rsidRPr="00B97A01">
      <w:rPr>
        <w:szCs w:val="22"/>
      </w:rPr>
      <w:tab/>
      <w:t xml:space="preserve">FCC </w:t>
    </w:r>
    <w:r>
      <w:rPr>
        <w:szCs w:val="22"/>
      </w:rPr>
      <w:t>15</w:t>
    </w:r>
    <w:r w:rsidRPr="00B97A01">
      <w:rPr>
        <w:szCs w:val="22"/>
      </w:rPr>
      <w:t>-</w:t>
    </w:r>
    <w:r>
      <w:rPr>
        <w:szCs w:val="22"/>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C66129C"/>
    <w:lvl w:ilvl="0">
      <w:start w:val="1"/>
      <w:numFmt w:val="decimal"/>
      <w:lvlText w:val="%1."/>
      <w:lvlJc w:val="left"/>
      <w:pPr>
        <w:tabs>
          <w:tab w:val="num" w:pos="360"/>
        </w:tabs>
        <w:ind w:left="360" w:hanging="360"/>
      </w:pPr>
    </w:lvl>
  </w:abstractNum>
  <w:abstractNum w:abstractNumId="1">
    <w:nsid w:val="01490931"/>
    <w:multiLevelType w:val="hybridMultilevel"/>
    <w:tmpl w:val="B9EAF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7E62726"/>
    <w:multiLevelType w:val="hybridMultilevel"/>
    <w:tmpl w:val="FBC20A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4B453C"/>
    <w:multiLevelType w:val="singleLevel"/>
    <w:tmpl w:val="40A8E97A"/>
    <w:lvl w:ilvl="0">
      <w:start w:val="1"/>
      <w:numFmt w:val="decimal"/>
      <w:lvlText w:val="%1."/>
      <w:lvlJc w:val="left"/>
      <w:pPr>
        <w:tabs>
          <w:tab w:val="num" w:pos="1080"/>
        </w:tabs>
        <w:ind w:left="0" w:firstLine="720"/>
      </w:pPr>
    </w:lvl>
  </w:abstractNum>
  <w:abstractNum w:abstractNumId="5">
    <w:nsid w:val="09037258"/>
    <w:multiLevelType w:val="hybridMultilevel"/>
    <w:tmpl w:val="BD5E6760"/>
    <w:lvl w:ilvl="0" w:tplc="2F8C687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3B2E14"/>
    <w:multiLevelType w:val="hybridMultilevel"/>
    <w:tmpl w:val="C53C17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A36398"/>
    <w:multiLevelType w:val="hybridMultilevel"/>
    <w:tmpl w:val="82B26F84"/>
    <w:lvl w:ilvl="0" w:tplc="CAA004D2">
      <w:start w:val="1"/>
      <w:numFmt w:val="upperLetter"/>
      <w:lvlText w:val="(%1)"/>
      <w:lvlJc w:val="left"/>
      <w:pPr>
        <w:ind w:left="2160" w:hanging="360"/>
      </w:pPr>
      <w:rPr>
        <w:rFonts w:hint="default"/>
        <w:i w:val="0"/>
      </w:rPr>
    </w:lvl>
    <w:lvl w:ilvl="1" w:tplc="2A3A6614">
      <w:start w:val="1"/>
      <w:numFmt w:val="decimal"/>
      <w:lvlText w:val="(%2)"/>
      <w:lvlJc w:val="left"/>
      <w:pPr>
        <w:ind w:left="2880" w:hanging="360"/>
      </w:pPr>
      <w:rPr>
        <w:rFonts w:hint="default"/>
        <w:b w:val="0"/>
        <w:i/>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32551A68"/>
    <w:multiLevelType w:val="hybridMultilevel"/>
    <w:tmpl w:val="87683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CF0E8E"/>
    <w:multiLevelType w:val="hybridMultilevel"/>
    <w:tmpl w:val="3FA88C6C"/>
    <w:lvl w:ilvl="0" w:tplc="2A3A6614">
      <w:start w:val="1"/>
      <w:numFmt w:val="decimal"/>
      <w:lvlText w:val="(%1)"/>
      <w:lvlJc w:val="left"/>
      <w:pPr>
        <w:ind w:left="3600" w:hanging="360"/>
      </w:pPr>
      <w:rPr>
        <w:rFonts w:hint="default"/>
        <w:b w:val="0"/>
        <w:i/>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nsid w:val="39EB1EC2"/>
    <w:multiLevelType w:val="hybridMultilevel"/>
    <w:tmpl w:val="6B5C114C"/>
    <w:lvl w:ilvl="0" w:tplc="D2906D0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4074F0"/>
    <w:multiLevelType w:val="hybridMultilevel"/>
    <w:tmpl w:val="D93EB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4661A1"/>
    <w:multiLevelType w:val="hybridMultilevel"/>
    <w:tmpl w:val="CD6EAECE"/>
    <w:lvl w:ilvl="0" w:tplc="6D664DFA">
      <w:start w:val="1"/>
      <w:numFmt w:val="decimal"/>
      <w:lvlText w:val="(%1)"/>
      <w:lvlJc w:val="left"/>
      <w:pPr>
        <w:ind w:left="765" w:hanging="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D56248"/>
    <w:multiLevelType w:val="hybridMultilevel"/>
    <w:tmpl w:val="45ECC162"/>
    <w:lvl w:ilvl="0" w:tplc="5BEE477E">
      <w:start w:val="1"/>
      <w:numFmt w:val="lowerRoman"/>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8D3B81"/>
    <w:multiLevelType w:val="hybridMultilevel"/>
    <w:tmpl w:val="9104AE32"/>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1433FF"/>
    <w:multiLevelType w:val="hybridMultilevel"/>
    <w:tmpl w:val="6BD8A3E6"/>
    <w:lvl w:ilvl="0" w:tplc="EE829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360034"/>
    <w:multiLevelType w:val="hybridMultilevel"/>
    <w:tmpl w:val="FAD8D68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3">
    <w:nsid w:val="536B7D5A"/>
    <w:multiLevelType w:val="hybridMultilevel"/>
    <w:tmpl w:val="1E527C48"/>
    <w:lvl w:ilvl="0" w:tplc="2F8C6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55667B"/>
    <w:multiLevelType w:val="hybridMultilevel"/>
    <w:tmpl w:val="F0605AFA"/>
    <w:lvl w:ilvl="0" w:tplc="2F8C687A">
      <w:start w:val="1"/>
      <w:numFmt w:val="decimal"/>
      <w:lvlText w:val="(%1)"/>
      <w:lvlJc w:val="left"/>
      <w:pPr>
        <w:ind w:left="720" w:hanging="360"/>
      </w:pPr>
      <w:rPr>
        <w:rFonts w:cs="Times New Roman" w:hint="default"/>
      </w:rPr>
    </w:lvl>
    <w:lvl w:ilvl="1" w:tplc="0409001B">
      <w:start w:val="1"/>
      <w:numFmt w:val="lowerRoman"/>
      <w:lvlText w:val="%2."/>
      <w:lvlJc w:val="right"/>
      <w:pPr>
        <w:ind w:left="1440" w:hanging="360"/>
      </w:pPr>
    </w:lvl>
    <w:lvl w:ilvl="2" w:tplc="CAA004D2">
      <w:start w:val="1"/>
      <w:numFmt w:val="upperLetter"/>
      <w:lvlText w:val="(%3)"/>
      <w:lvlJc w:val="left"/>
      <w:pPr>
        <w:ind w:left="2160" w:hanging="180"/>
      </w:pPr>
      <w:rPr>
        <w:rFonts w:hint="default"/>
        <w:i w:val="0"/>
      </w:rPr>
    </w:lvl>
    <w:lvl w:ilvl="3" w:tplc="CAA004D2">
      <w:start w:val="1"/>
      <w:numFmt w:val="upperLetter"/>
      <w:lvlText w:val="(%4)"/>
      <w:lvlJc w:val="left"/>
      <w:pPr>
        <w:ind w:left="2880" w:hanging="360"/>
      </w:pPr>
      <w:rPr>
        <w:rFonts w:hint="default"/>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6">
    <w:nsid w:val="78906D85"/>
    <w:multiLevelType w:val="hybridMultilevel"/>
    <w:tmpl w:val="BC6E695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AF55A60"/>
    <w:multiLevelType w:val="hybridMultilevel"/>
    <w:tmpl w:val="87EE50C4"/>
    <w:lvl w:ilvl="0" w:tplc="2F8C687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BB5739"/>
    <w:multiLevelType w:val="hybridMultilevel"/>
    <w:tmpl w:val="DBA61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25"/>
  </w:num>
  <w:num w:numId="2">
    <w:abstractNumId w:val="10"/>
  </w:num>
  <w:num w:numId="3">
    <w:abstractNumId w:val="22"/>
  </w:num>
  <w:num w:numId="4">
    <w:abstractNumId w:val="3"/>
  </w:num>
  <w:num w:numId="5">
    <w:abstractNumId w:val="25"/>
    <w:lvlOverride w:ilvl="0">
      <w:startOverride w:val="1"/>
    </w:lvlOverride>
  </w:num>
  <w:num w:numId="6">
    <w:abstractNumId w:val="24"/>
  </w:num>
  <w:num w:numId="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3"/>
  </w:num>
  <w:num w:numId="10">
    <w:abstractNumId w:val="18"/>
  </w:num>
  <w:num w:numId="11">
    <w:abstractNumId w:val="12"/>
  </w:num>
  <w:num w:numId="12">
    <w:abstractNumId w:val="8"/>
  </w:num>
  <w:num w:numId="13">
    <w:abstractNumId w:val="21"/>
  </w:num>
  <w:num w:numId="14">
    <w:abstractNumId w:val="9"/>
  </w:num>
  <w:num w:numId="15">
    <w:abstractNumId w:val="4"/>
  </w:num>
  <w:num w:numId="16">
    <w:abstractNumId w:val="2"/>
  </w:num>
  <w:num w:numId="17">
    <w:abstractNumId w:val="29"/>
  </w:num>
  <w:num w:numId="18">
    <w:abstractNumId w:val="19"/>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6"/>
  </w:num>
  <w:num w:numId="22">
    <w:abstractNumId w:val="5"/>
  </w:num>
  <w:num w:numId="23">
    <w:abstractNumId w:val="16"/>
  </w:num>
  <w:num w:numId="24">
    <w:abstractNumId w:val="27"/>
  </w:num>
  <w:num w:numId="25">
    <w:abstractNumId w:val="17"/>
  </w:num>
  <w:num w:numId="26">
    <w:abstractNumId w:val="15"/>
  </w:num>
  <w:num w:numId="27">
    <w:abstractNumId w:val="14"/>
  </w:num>
  <w:num w:numId="28">
    <w:abstractNumId w:val="0"/>
  </w:num>
  <w:num w:numId="29">
    <w:abstractNumId w:val="6"/>
  </w:num>
  <w:num w:numId="30">
    <w:abstractNumId w:val="28"/>
  </w:num>
  <w:num w:numId="31">
    <w:abstractNumId w:val="1"/>
  </w:num>
  <w:num w:numId="32">
    <w:abstractNumId w:val="7"/>
  </w:num>
  <w:num w:numId="33">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4"/>
  </w:compat>
  <w:rsids>
    <w:rsidRoot w:val="00F62E97"/>
    <w:rsid w:val="00000553"/>
    <w:rsid w:val="00001732"/>
    <w:rsid w:val="000020DA"/>
    <w:rsid w:val="00003512"/>
    <w:rsid w:val="000050CC"/>
    <w:rsid w:val="00005BE2"/>
    <w:rsid w:val="000078D8"/>
    <w:rsid w:val="000111C5"/>
    <w:rsid w:val="00011448"/>
    <w:rsid w:val="00011672"/>
    <w:rsid w:val="00011AA4"/>
    <w:rsid w:val="00012124"/>
    <w:rsid w:val="00012706"/>
    <w:rsid w:val="00012862"/>
    <w:rsid w:val="00012E9C"/>
    <w:rsid w:val="0001681E"/>
    <w:rsid w:val="00017293"/>
    <w:rsid w:val="00017875"/>
    <w:rsid w:val="00017C3B"/>
    <w:rsid w:val="00017DB5"/>
    <w:rsid w:val="00020312"/>
    <w:rsid w:val="00020317"/>
    <w:rsid w:val="00020EC7"/>
    <w:rsid w:val="000213ED"/>
    <w:rsid w:val="00024A4D"/>
    <w:rsid w:val="00024B72"/>
    <w:rsid w:val="00025F04"/>
    <w:rsid w:val="0002615C"/>
    <w:rsid w:val="00026D31"/>
    <w:rsid w:val="000301D0"/>
    <w:rsid w:val="00033EED"/>
    <w:rsid w:val="00033F2F"/>
    <w:rsid w:val="00035478"/>
    <w:rsid w:val="00035662"/>
    <w:rsid w:val="00035C91"/>
    <w:rsid w:val="00036039"/>
    <w:rsid w:val="000367D9"/>
    <w:rsid w:val="0003799A"/>
    <w:rsid w:val="00037F90"/>
    <w:rsid w:val="0004009B"/>
    <w:rsid w:val="00041113"/>
    <w:rsid w:val="000420EF"/>
    <w:rsid w:val="000420F2"/>
    <w:rsid w:val="00042715"/>
    <w:rsid w:val="0004331D"/>
    <w:rsid w:val="00044813"/>
    <w:rsid w:val="00044E78"/>
    <w:rsid w:val="00045D01"/>
    <w:rsid w:val="0004769A"/>
    <w:rsid w:val="000504EF"/>
    <w:rsid w:val="0005133E"/>
    <w:rsid w:val="0005307C"/>
    <w:rsid w:val="0005359B"/>
    <w:rsid w:val="00054487"/>
    <w:rsid w:val="0005461B"/>
    <w:rsid w:val="00055A69"/>
    <w:rsid w:val="000576D7"/>
    <w:rsid w:val="000607F1"/>
    <w:rsid w:val="00062345"/>
    <w:rsid w:val="00062ED4"/>
    <w:rsid w:val="00063797"/>
    <w:rsid w:val="00065105"/>
    <w:rsid w:val="0006554C"/>
    <w:rsid w:val="00066951"/>
    <w:rsid w:val="00067204"/>
    <w:rsid w:val="000674B4"/>
    <w:rsid w:val="00070E99"/>
    <w:rsid w:val="00072E1F"/>
    <w:rsid w:val="00073916"/>
    <w:rsid w:val="00075983"/>
    <w:rsid w:val="00077446"/>
    <w:rsid w:val="00077966"/>
    <w:rsid w:val="000818A0"/>
    <w:rsid w:val="00081AAA"/>
    <w:rsid w:val="000826F0"/>
    <w:rsid w:val="0008303B"/>
    <w:rsid w:val="0008315B"/>
    <w:rsid w:val="00083451"/>
    <w:rsid w:val="00083CB8"/>
    <w:rsid w:val="00084CC8"/>
    <w:rsid w:val="00086511"/>
    <w:rsid w:val="00086D82"/>
    <w:rsid w:val="00086E79"/>
    <w:rsid w:val="000875BF"/>
    <w:rsid w:val="00090EFF"/>
    <w:rsid w:val="0009146B"/>
    <w:rsid w:val="000923EE"/>
    <w:rsid w:val="00092699"/>
    <w:rsid w:val="00095B61"/>
    <w:rsid w:val="00096B99"/>
    <w:rsid w:val="00096D8C"/>
    <w:rsid w:val="00097169"/>
    <w:rsid w:val="000974E0"/>
    <w:rsid w:val="000A01C5"/>
    <w:rsid w:val="000A0863"/>
    <w:rsid w:val="000A0902"/>
    <w:rsid w:val="000A1D2D"/>
    <w:rsid w:val="000A5088"/>
    <w:rsid w:val="000A5A6C"/>
    <w:rsid w:val="000A65C4"/>
    <w:rsid w:val="000B340A"/>
    <w:rsid w:val="000B4D75"/>
    <w:rsid w:val="000B5672"/>
    <w:rsid w:val="000B5748"/>
    <w:rsid w:val="000B7B0F"/>
    <w:rsid w:val="000C0645"/>
    <w:rsid w:val="000C0B65"/>
    <w:rsid w:val="000C10FE"/>
    <w:rsid w:val="000C4022"/>
    <w:rsid w:val="000C5378"/>
    <w:rsid w:val="000C7965"/>
    <w:rsid w:val="000C7C84"/>
    <w:rsid w:val="000D068F"/>
    <w:rsid w:val="000D17D6"/>
    <w:rsid w:val="000D46B3"/>
    <w:rsid w:val="000D58DD"/>
    <w:rsid w:val="000D6A60"/>
    <w:rsid w:val="000E016D"/>
    <w:rsid w:val="000E1EF6"/>
    <w:rsid w:val="000E3D42"/>
    <w:rsid w:val="000E686B"/>
    <w:rsid w:val="000E7582"/>
    <w:rsid w:val="000F1651"/>
    <w:rsid w:val="000F1845"/>
    <w:rsid w:val="000F3C6A"/>
    <w:rsid w:val="000F50E6"/>
    <w:rsid w:val="000F528E"/>
    <w:rsid w:val="000F5631"/>
    <w:rsid w:val="00100336"/>
    <w:rsid w:val="00100B6E"/>
    <w:rsid w:val="00102233"/>
    <w:rsid w:val="001049AC"/>
    <w:rsid w:val="00104A58"/>
    <w:rsid w:val="00104ED4"/>
    <w:rsid w:val="00105121"/>
    <w:rsid w:val="0010533B"/>
    <w:rsid w:val="00105B39"/>
    <w:rsid w:val="00106461"/>
    <w:rsid w:val="0010728B"/>
    <w:rsid w:val="00110CD6"/>
    <w:rsid w:val="001122C2"/>
    <w:rsid w:val="00113019"/>
    <w:rsid w:val="0011502F"/>
    <w:rsid w:val="001150DE"/>
    <w:rsid w:val="0012129E"/>
    <w:rsid w:val="001214BC"/>
    <w:rsid w:val="00121DA9"/>
    <w:rsid w:val="00122BD5"/>
    <w:rsid w:val="00123C14"/>
    <w:rsid w:val="0012422B"/>
    <w:rsid w:val="00124314"/>
    <w:rsid w:val="00125F07"/>
    <w:rsid w:val="0012670C"/>
    <w:rsid w:val="001267A0"/>
    <w:rsid w:val="001303D6"/>
    <w:rsid w:val="00131ADC"/>
    <w:rsid w:val="00132E61"/>
    <w:rsid w:val="00133E0C"/>
    <w:rsid w:val="00134B48"/>
    <w:rsid w:val="0013506C"/>
    <w:rsid w:val="00135772"/>
    <w:rsid w:val="00136738"/>
    <w:rsid w:val="00136E8B"/>
    <w:rsid w:val="00137765"/>
    <w:rsid w:val="0014099D"/>
    <w:rsid w:val="00142355"/>
    <w:rsid w:val="001426FC"/>
    <w:rsid w:val="00143103"/>
    <w:rsid w:val="001432E8"/>
    <w:rsid w:val="00144272"/>
    <w:rsid w:val="00144E6E"/>
    <w:rsid w:val="00145965"/>
    <w:rsid w:val="00145BD8"/>
    <w:rsid w:val="00146158"/>
    <w:rsid w:val="001469EE"/>
    <w:rsid w:val="00146A27"/>
    <w:rsid w:val="00147939"/>
    <w:rsid w:val="00147ABD"/>
    <w:rsid w:val="00150584"/>
    <w:rsid w:val="00150878"/>
    <w:rsid w:val="00151875"/>
    <w:rsid w:val="001532CD"/>
    <w:rsid w:val="001551D2"/>
    <w:rsid w:val="00156120"/>
    <w:rsid w:val="001569BA"/>
    <w:rsid w:val="00157AD3"/>
    <w:rsid w:val="00157E1D"/>
    <w:rsid w:val="00162791"/>
    <w:rsid w:val="001641D2"/>
    <w:rsid w:val="001646BD"/>
    <w:rsid w:val="00164841"/>
    <w:rsid w:val="00164E25"/>
    <w:rsid w:val="00164EE8"/>
    <w:rsid w:val="001651B4"/>
    <w:rsid w:val="0016585B"/>
    <w:rsid w:val="00165FB2"/>
    <w:rsid w:val="00166470"/>
    <w:rsid w:val="00170D31"/>
    <w:rsid w:val="00171E68"/>
    <w:rsid w:val="00173687"/>
    <w:rsid w:val="00173FF8"/>
    <w:rsid w:val="001747F4"/>
    <w:rsid w:val="001752F8"/>
    <w:rsid w:val="00176345"/>
    <w:rsid w:val="00176805"/>
    <w:rsid w:val="00176AB5"/>
    <w:rsid w:val="00177AAA"/>
    <w:rsid w:val="00177EFB"/>
    <w:rsid w:val="00180885"/>
    <w:rsid w:val="00180B11"/>
    <w:rsid w:val="00180D93"/>
    <w:rsid w:val="00181283"/>
    <w:rsid w:val="001813D3"/>
    <w:rsid w:val="00182273"/>
    <w:rsid w:val="001827BA"/>
    <w:rsid w:val="001836BC"/>
    <w:rsid w:val="00183DCD"/>
    <w:rsid w:val="001936B2"/>
    <w:rsid w:val="001937AA"/>
    <w:rsid w:val="001940F3"/>
    <w:rsid w:val="00194A57"/>
    <w:rsid w:val="00195A19"/>
    <w:rsid w:val="00196231"/>
    <w:rsid w:val="00196548"/>
    <w:rsid w:val="00196CE5"/>
    <w:rsid w:val="00196FCC"/>
    <w:rsid w:val="0019730F"/>
    <w:rsid w:val="001A03C6"/>
    <w:rsid w:val="001A0DA3"/>
    <w:rsid w:val="001A0E26"/>
    <w:rsid w:val="001A1757"/>
    <w:rsid w:val="001A1FDE"/>
    <w:rsid w:val="001A5031"/>
    <w:rsid w:val="001A516B"/>
    <w:rsid w:val="001A5477"/>
    <w:rsid w:val="001A5885"/>
    <w:rsid w:val="001A68C4"/>
    <w:rsid w:val="001A7DB0"/>
    <w:rsid w:val="001A7F52"/>
    <w:rsid w:val="001B03FE"/>
    <w:rsid w:val="001B24B6"/>
    <w:rsid w:val="001B25AC"/>
    <w:rsid w:val="001B4C52"/>
    <w:rsid w:val="001B77BE"/>
    <w:rsid w:val="001C032B"/>
    <w:rsid w:val="001C0397"/>
    <w:rsid w:val="001C5153"/>
    <w:rsid w:val="001C5786"/>
    <w:rsid w:val="001D0271"/>
    <w:rsid w:val="001D0BFB"/>
    <w:rsid w:val="001D1105"/>
    <w:rsid w:val="001D33B4"/>
    <w:rsid w:val="001D33C1"/>
    <w:rsid w:val="001D4104"/>
    <w:rsid w:val="001D44D3"/>
    <w:rsid w:val="001D6BCF"/>
    <w:rsid w:val="001E01CA"/>
    <w:rsid w:val="001E12B8"/>
    <w:rsid w:val="001E15D0"/>
    <w:rsid w:val="001E1E19"/>
    <w:rsid w:val="001E2694"/>
    <w:rsid w:val="001E3974"/>
    <w:rsid w:val="001E4370"/>
    <w:rsid w:val="001E5157"/>
    <w:rsid w:val="001E5325"/>
    <w:rsid w:val="001E5C1E"/>
    <w:rsid w:val="001E6ED8"/>
    <w:rsid w:val="001E7475"/>
    <w:rsid w:val="001E7BDE"/>
    <w:rsid w:val="001F0126"/>
    <w:rsid w:val="001F0EF0"/>
    <w:rsid w:val="001F14F7"/>
    <w:rsid w:val="001F22D1"/>
    <w:rsid w:val="001F23A9"/>
    <w:rsid w:val="001F383D"/>
    <w:rsid w:val="001F4DB6"/>
    <w:rsid w:val="001F5803"/>
    <w:rsid w:val="001F5E71"/>
    <w:rsid w:val="001F781E"/>
    <w:rsid w:val="001F7C11"/>
    <w:rsid w:val="002010E7"/>
    <w:rsid w:val="0020113A"/>
    <w:rsid w:val="00201E6E"/>
    <w:rsid w:val="0020292B"/>
    <w:rsid w:val="0020321D"/>
    <w:rsid w:val="002040A8"/>
    <w:rsid w:val="00204D6B"/>
    <w:rsid w:val="00206FD1"/>
    <w:rsid w:val="00207551"/>
    <w:rsid w:val="00207E98"/>
    <w:rsid w:val="00210B15"/>
    <w:rsid w:val="0021439B"/>
    <w:rsid w:val="002164B2"/>
    <w:rsid w:val="002166AF"/>
    <w:rsid w:val="00220C31"/>
    <w:rsid w:val="002212EF"/>
    <w:rsid w:val="002217B7"/>
    <w:rsid w:val="002225A3"/>
    <w:rsid w:val="002226A4"/>
    <w:rsid w:val="00222A66"/>
    <w:rsid w:val="00223CCA"/>
    <w:rsid w:val="00224018"/>
    <w:rsid w:val="002242E7"/>
    <w:rsid w:val="002264A5"/>
    <w:rsid w:val="002264B9"/>
    <w:rsid w:val="0022650F"/>
    <w:rsid w:val="0022667D"/>
    <w:rsid w:val="00227929"/>
    <w:rsid w:val="00227B44"/>
    <w:rsid w:val="002302BE"/>
    <w:rsid w:val="002309F0"/>
    <w:rsid w:val="0023115D"/>
    <w:rsid w:val="00231E53"/>
    <w:rsid w:val="002324BD"/>
    <w:rsid w:val="002329A9"/>
    <w:rsid w:val="00232E25"/>
    <w:rsid w:val="00235F6E"/>
    <w:rsid w:val="00236118"/>
    <w:rsid w:val="00236295"/>
    <w:rsid w:val="00237482"/>
    <w:rsid w:val="002379F0"/>
    <w:rsid w:val="00237F38"/>
    <w:rsid w:val="0024015C"/>
    <w:rsid w:val="00240728"/>
    <w:rsid w:val="0024246E"/>
    <w:rsid w:val="00242489"/>
    <w:rsid w:val="0024252E"/>
    <w:rsid w:val="0024277C"/>
    <w:rsid w:val="00243461"/>
    <w:rsid w:val="00243644"/>
    <w:rsid w:val="00244216"/>
    <w:rsid w:val="00244E72"/>
    <w:rsid w:val="0024607A"/>
    <w:rsid w:val="0024718C"/>
    <w:rsid w:val="002503D8"/>
    <w:rsid w:val="002507DA"/>
    <w:rsid w:val="00251A19"/>
    <w:rsid w:val="00253B28"/>
    <w:rsid w:val="00255296"/>
    <w:rsid w:val="00255AE9"/>
    <w:rsid w:val="00256A04"/>
    <w:rsid w:val="00256A2B"/>
    <w:rsid w:val="00256EC5"/>
    <w:rsid w:val="0025790A"/>
    <w:rsid w:val="00257E5E"/>
    <w:rsid w:val="002601FC"/>
    <w:rsid w:val="002624F4"/>
    <w:rsid w:val="00262C77"/>
    <w:rsid w:val="00263AA6"/>
    <w:rsid w:val="00265D7B"/>
    <w:rsid w:val="00271170"/>
    <w:rsid w:val="00271BFD"/>
    <w:rsid w:val="00271CCA"/>
    <w:rsid w:val="0027218A"/>
    <w:rsid w:val="00272DB0"/>
    <w:rsid w:val="002730BC"/>
    <w:rsid w:val="00275843"/>
    <w:rsid w:val="0027621C"/>
    <w:rsid w:val="00276C80"/>
    <w:rsid w:val="00277DFB"/>
    <w:rsid w:val="002800AF"/>
    <w:rsid w:val="00280311"/>
    <w:rsid w:val="00280F0A"/>
    <w:rsid w:val="002817AA"/>
    <w:rsid w:val="00281D11"/>
    <w:rsid w:val="0028295E"/>
    <w:rsid w:val="002834D1"/>
    <w:rsid w:val="00283FBF"/>
    <w:rsid w:val="00285017"/>
    <w:rsid w:val="00287A96"/>
    <w:rsid w:val="0029084A"/>
    <w:rsid w:val="00290FAB"/>
    <w:rsid w:val="002911D5"/>
    <w:rsid w:val="00292490"/>
    <w:rsid w:val="00293B38"/>
    <w:rsid w:val="00293E6B"/>
    <w:rsid w:val="00293FF6"/>
    <w:rsid w:val="00294864"/>
    <w:rsid w:val="002956C0"/>
    <w:rsid w:val="002976CD"/>
    <w:rsid w:val="002A0DD9"/>
    <w:rsid w:val="002A2D2E"/>
    <w:rsid w:val="002A2F57"/>
    <w:rsid w:val="002A39B4"/>
    <w:rsid w:val="002A4AC3"/>
    <w:rsid w:val="002A61F3"/>
    <w:rsid w:val="002B0095"/>
    <w:rsid w:val="002B2246"/>
    <w:rsid w:val="002B22DD"/>
    <w:rsid w:val="002B29A1"/>
    <w:rsid w:val="002B2F14"/>
    <w:rsid w:val="002B39CF"/>
    <w:rsid w:val="002B52EC"/>
    <w:rsid w:val="002B5E8A"/>
    <w:rsid w:val="002B70E2"/>
    <w:rsid w:val="002B741E"/>
    <w:rsid w:val="002C2D1B"/>
    <w:rsid w:val="002C32FE"/>
    <w:rsid w:val="002C3678"/>
    <w:rsid w:val="002C3C20"/>
    <w:rsid w:val="002C5A9E"/>
    <w:rsid w:val="002C715C"/>
    <w:rsid w:val="002C7784"/>
    <w:rsid w:val="002D39C2"/>
    <w:rsid w:val="002D41BF"/>
    <w:rsid w:val="002D4DFB"/>
    <w:rsid w:val="002D56BF"/>
    <w:rsid w:val="002D56F7"/>
    <w:rsid w:val="002D60ED"/>
    <w:rsid w:val="002D6990"/>
    <w:rsid w:val="002D7AEE"/>
    <w:rsid w:val="002D7D2E"/>
    <w:rsid w:val="002D7D9C"/>
    <w:rsid w:val="002E0FD8"/>
    <w:rsid w:val="002E1C8E"/>
    <w:rsid w:val="002E36F1"/>
    <w:rsid w:val="002E4A7C"/>
    <w:rsid w:val="002E57C1"/>
    <w:rsid w:val="002E593C"/>
    <w:rsid w:val="002E74A1"/>
    <w:rsid w:val="002F0483"/>
    <w:rsid w:val="002F1BB7"/>
    <w:rsid w:val="002F3F3A"/>
    <w:rsid w:val="002F476A"/>
    <w:rsid w:val="002F4C2F"/>
    <w:rsid w:val="002F58E4"/>
    <w:rsid w:val="00300109"/>
    <w:rsid w:val="00300191"/>
    <w:rsid w:val="00302B1C"/>
    <w:rsid w:val="00302C55"/>
    <w:rsid w:val="003045E7"/>
    <w:rsid w:val="00304DBE"/>
    <w:rsid w:val="00306CF1"/>
    <w:rsid w:val="003106AA"/>
    <w:rsid w:val="00310BCC"/>
    <w:rsid w:val="00310E99"/>
    <w:rsid w:val="00311953"/>
    <w:rsid w:val="00315794"/>
    <w:rsid w:val="0031714F"/>
    <w:rsid w:val="00322ABC"/>
    <w:rsid w:val="00325288"/>
    <w:rsid w:val="0032581C"/>
    <w:rsid w:val="00325C52"/>
    <w:rsid w:val="00325E49"/>
    <w:rsid w:val="00330ED6"/>
    <w:rsid w:val="00331D54"/>
    <w:rsid w:val="00332AB8"/>
    <w:rsid w:val="003336CB"/>
    <w:rsid w:val="00333CD6"/>
    <w:rsid w:val="003347CB"/>
    <w:rsid w:val="0033484B"/>
    <w:rsid w:val="003359FD"/>
    <w:rsid w:val="00336663"/>
    <w:rsid w:val="00337364"/>
    <w:rsid w:val="00337E84"/>
    <w:rsid w:val="00340BBD"/>
    <w:rsid w:val="003410D6"/>
    <w:rsid w:val="00341495"/>
    <w:rsid w:val="00341F59"/>
    <w:rsid w:val="00343749"/>
    <w:rsid w:val="003438BE"/>
    <w:rsid w:val="00344F46"/>
    <w:rsid w:val="00345872"/>
    <w:rsid w:val="00345C72"/>
    <w:rsid w:val="00346F8E"/>
    <w:rsid w:val="0034728D"/>
    <w:rsid w:val="003473DD"/>
    <w:rsid w:val="00351DEC"/>
    <w:rsid w:val="003528B1"/>
    <w:rsid w:val="00355571"/>
    <w:rsid w:val="00356BB0"/>
    <w:rsid w:val="003576B7"/>
    <w:rsid w:val="0036111B"/>
    <w:rsid w:val="00362FD5"/>
    <w:rsid w:val="00364E19"/>
    <w:rsid w:val="003652AB"/>
    <w:rsid w:val="00365777"/>
    <w:rsid w:val="00366DB5"/>
    <w:rsid w:val="0036755E"/>
    <w:rsid w:val="003679C8"/>
    <w:rsid w:val="00370ED8"/>
    <w:rsid w:val="00371C52"/>
    <w:rsid w:val="00372204"/>
    <w:rsid w:val="00373E2B"/>
    <w:rsid w:val="003755ED"/>
    <w:rsid w:val="00376EFE"/>
    <w:rsid w:val="00377058"/>
    <w:rsid w:val="00377196"/>
    <w:rsid w:val="003818F7"/>
    <w:rsid w:val="00381D00"/>
    <w:rsid w:val="00382420"/>
    <w:rsid w:val="0038273D"/>
    <w:rsid w:val="0038294B"/>
    <w:rsid w:val="00382DD6"/>
    <w:rsid w:val="00383300"/>
    <w:rsid w:val="00385AA0"/>
    <w:rsid w:val="003903F3"/>
    <w:rsid w:val="00391BFF"/>
    <w:rsid w:val="00391ECD"/>
    <w:rsid w:val="003931C1"/>
    <w:rsid w:val="0039329F"/>
    <w:rsid w:val="0039348B"/>
    <w:rsid w:val="00393E04"/>
    <w:rsid w:val="00394B57"/>
    <w:rsid w:val="003957FB"/>
    <w:rsid w:val="00395EDB"/>
    <w:rsid w:val="00395EF5"/>
    <w:rsid w:val="0039716F"/>
    <w:rsid w:val="00397323"/>
    <w:rsid w:val="00397867"/>
    <w:rsid w:val="00397B86"/>
    <w:rsid w:val="003A100B"/>
    <w:rsid w:val="003A13DC"/>
    <w:rsid w:val="003A1426"/>
    <w:rsid w:val="003A1816"/>
    <w:rsid w:val="003A1FEE"/>
    <w:rsid w:val="003A210F"/>
    <w:rsid w:val="003A3008"/>
    <w:rsid w:val="003A31AC"/>
    <w:rsid w:val="003A3331"/>
    <w:rsid w:val="003A365D"/>
    <w:rsid w:val="003A3854"/>
    <w:rsid w:val="003A5515"/>
    <w:rsid w:val="003A6449"/>
    <w:rsid w:val="003A7805"/>
    <w:rsid w:val="003B028C"/>
    <w:rsid w:val="003B0550"/>
    <w:rsid w:val="003B2103"/>
    <w:rsid w:val="003B3D3C"/>
    <w:rsid w:val="003B3F6F"/>
    <w:rsid w:val="003B4B0F"/>
    <w:rsid w:val="003B5DB1"/>
    <w:rsid w:val="003B694F"/>
    <w:rsid w:val="003C24C1"/>
    <w:rsid w:val="003C31FD"/>
    <w:rsid w:val="003C3CCE"/>
    <w:rsid w:val="003C54AA"/>
    <w:rsid w:val="003C5EE4"/>
    <w:rsid w:val="003C6366"/>
    <w:rsid w:val="003C76DA"/>
    <w:rsid w:val="003D19AE"/>
    <w:rsid w:val="003D1D20"/>
    <w:rsid w:val="003D21D7"/>
    <w:rsid w:val="003D2AC9"/>
    <w:rsid w:val="003D2BB3"/>
    <w:rsid w:val="003D36CD"/>
    <w:rsid w:val="003D4FDB"/>
    <w:rsid w:val="003D535A"/>
    <w:rsid w:val="003D76DF"/>
    <w:rsid w:val="003D7E26"/>
    <w:rsid w:val="003D7E99"/>
    <w:rsid w:val="003E0DE2"/>
    <w:rsid w:val="003E24BF"/>
    <w:rsid w:val="003E27CF"/>
    <w:rsid w:val="003E3713"/>
    <w:rsid w:val="003E3985"/>
    <w:rsid w:val="003E3E37"/>
    <w:rsid w:val="003E776C"/>
    <w:rsid w:val="003F03D1"/>
    <w:rsid w:val="003F04E9"/>
    <w:rsid w:val="003F171C"/>
    <w:rsid w:val="003F1CF3"/>
    <w:rsid w:val="003F23F3"/>
    <w:rsid w:val="003F2773"/>
    <w:rsid w:val="003F2783"/>
    <w:rsid w:val="003F4535"/>
    <w:rsid w:val="003F48B8"/>
    <w:rsid w:val="003F589C"/>
    <w:rsid w:val="003F5A17"/>
    <w:rsid w:val="003F5AB4"/>
    <w:rsid w:val="003F6BD8"/>
    <w:rsid w:val="003F7FDE"/>
    <w:rsid w:val="00401F5F"/>
    <w:rsid w:val="004029B8"/>
    <w:rsid w:val="00403326"/>
    <w:rsid w:val="0040467B"/>
    <w:rsid w:val="00405501"/>
    <w:rsid w:val="00405B99"/>
    <w:rsid w:val="00405C43"/>
    <w:rsid w:val="0040648D"/>
    <w:rsid w:val="004068FA"/>
    <w:rsid w:val="00407443"/>
    <w:rsid w:val="00407B95"/>
    <w:rsid w:val="00411695"/>
    <w:rsid w:val="00411BB3"/>
    <w:rsid w:val="004120E4"/>
    <w:rsid w:val="00412FC5"/>
    <w:rsid w:val="00413174"/>
    <w:rsid w:val="0041368A"/>
    <w:rsid w:val="0041548F"/>
    <w:rsid w:val="004158B6"/>
    <w:rsid w:val="00416FD1"/>
    <w:rsid w:val="004213FD"/>
    <w:rsid w:val="00422276"/>
    <w:rsid w:val="00422CA3"/>
    <w:rsid w:val="00423BDA"/>
    <w:rsid w:val="004242F1"/>
    <w:rsid w:val="0042455F"/>
    <w:rsid w:val="00426CBF"/>
    <w:rsid w:val="004279CF"/>
    <w:rsid w:val="00430EF3"/>
    <w:rsid w:val="00431513"/>
    <w:rsid w:val="00432674"/>
    <w:rsid w:val="00432AF7"/>
    <w:rsid w:val="00433DA7"/>
    <w:rsid w:val="00433EED"/>
    <w:rsid w:val="00434033"/>
    <w:rsid w:val="004351F6"/>
    <w:rsid w:val="00435554"/>
    <w:rsid w:val="00435B4B"/>
    <w:rsid w:val="00436696"/>
    <w:rsid w:val="00436EBA"/>
    <w:rsid w:val="00437D30"/>
    <w:rsid w:val="004413CB"/>
    <w:rsid w:val="00441BD5"/>
    <w:rsid w:val="00441EE3"/>
    <w:rsid w:val="00442415"/>
    <w:rsid w:val="00442501"/>
    <w:rsid w:val="0044430A"/>
    <w:rsid w:val="00445A00"/>
    <w:rsid w:val="00446403"/>
    <w:rsid w:val="0044641A"/>
    <w:rsid w:val="004500F6"/>
    <w:rsid w:val="00450885"/>
    <w:rsid w:val="00451B0F"/>
    <w:rsid w:val="004541BE"/>
    <w:rsid w:val="00456503"/>
    <w:rsid w:val="004567A8"/>
    <w:rsid w:val="0046037B"/>
    <w:rsid w:val="004603B3"/>
    <w:rsid w:val="004606E7"/>
    <w:rsid w:val="00460DF2"/>
    <w:rsid w:val="0046231A"/>
    <w:rsid w:val="0046354E"/>
    <w:rsid w:val="00464DA7"/>
    <w:rsid w:val="00464F46"/>
    <w:rsid w:val="00465606"/>
    <w:rsid w:val="00466BCC"/>
    <w:rsid w:val="00470428"/>
    <w:rsid w:val="00470D93"/>
    <w:rsid w:val="0047111D"/>
    <w:rsid w:val="004711AB"/>
    <w:rsid w:val="00472232"/>
    <w:rsid w:val="0047435F"/>
    <w:rsid w:val="00474724"/>
    <w:rsid w:val="00474B92"/>
    <w:rsid w:val="00474CA2"/>
    <w:rsid w:val="00476175"/>
    <w:rsid w:val="00477D1D"/>
    <w:rsid w:val="004808B8"/>
    <w:rsid w:val="00481113"/>
    <w:rsid w:val="00481BC3"/>
    <w:rsid w:val="00481F65"/>
    <w:rsid w:val="00482344"/>
    <w:rsid w:val="0048326F"/>
    <w:rsid w:val="00484533"/>
    <w:rsid w:val="0048635B"/>
    <w:rsid w:val="00486EA3"/>
    <w:rsid w:val="004876A7"/>
    <w:rsid w:val="00487F96"/>
    <w:rsid w:val="0049033F"/>
    <w:rsid w:val="0049061F"/>
    <w:rsid w:val="004908D5"/>
    <w:rsid w:val="00491360"/>
    <w:rsid w:val="004918C5"/>
    <w:rsid w:val="00491B3B"/>
    <w:rsid w:val="0049269B"/>
    <w:rsid w:val="00492CF7"/>
    <w:rsid w:val="00492EF9"/>
    <w:rsid w:val="00493C72"/>
    <w:rsid w:val="0049427B"/>
    <w:rsid w:val="00494386"/>
    <w:rsid w:val="00495058"/>
    <w:rsid w:val="00495756"/>
    <w:rsid w:val="00496521"/>
    <w:rsid w:val="00497906"/>
    <w:rsid w:val="004A0683"/>
    <w:rsid w:val="004A0E05"/>
    <w:rsid w:val="004A10E1"/>
    <w:rsid w:val="004A11FD"/>
    <w:rsid w:val="004A1922"/>
    <w:rsid w:val="004A1C14"/>
    <w:rsid w:val="004A3554"/>
    <w:rsid w:val="004A56EF"/>
    <w:rsid w:val="004A6A54"/>
    <w:rsid w:val="004B0AE8"/>
    <w:rsid w:val="004B0EC5"/>
    <w:rsid w:val="004B1561"/>
    <w:rsid w:val="004B1701"/>
    <w:rsid w:val="004B1A17"/>
    <w:rsid w:val="004B2B5E"/>
    <w:rsid w:val="004B348F"/>
    <w:rsid w:val="004B361D"/>
    <w:rsid w:val="004B4A78"/>
    <w:rsid w:val="004B617B"/>
    <w:rsid w:val="004C0352"/>
    <w:rsid w:val="004C11D4"/>
    <w:rsid w:val="004C254D"/>
    <w:rsid w:val="004C2864"/>
    <w:rsid w:val="004C29B5"/>
    <w:rsid w:val="004C2EE3"/>
    <w:rsid w:val="004C3D6C"/>
    <w:rsid w:val="004C5C43"/>
    <w:rsid w:val="004D03F1"/>
    <w:rsid w:val="004D2F99"/>
    <w:rsid w:val="004D3D3B"/>
    <w:rsid w:val="004D5CBD"/>
    <w:rsid w:val="004D6E51"/>
    <w:rsid w:val="004E023B"/>
    <w:rsid w:val="004E16B8"/>
    <w:rsid w:val="004E47C6"/>
    <w:rsid w:val="004E483A"/>
    <w:rsid w:val="004E4A22"/>
    <w:rsid w:val="004E6080"/>
    <w:rsid w:val="004E646B"/>
    <w:rsid w:val="004E6EF2"/>
    <w:rsid w:val="004F0DFA"/>
    <w:rsid w:val="004F16DD"/>
    <w:rsid w:val="004F2630"/>
    <w:rsid w:val="004F323E"/>
    <w:rsid w:val="004F6CAF"/>
    <w:rsid w:val="004F7022"/>
    <w:rsid w:val="00500742"/>
    <w:rsid w:val="0050104D"/>
    <w:rsid w:val="00501405"/>
    <w:rsid w:val="00502D44"/>
    <w:rsid w:val="00503E21"/>
    <w:rsid w:val="00504971"/>
    <w:rsid w:val="00504AEF"/>
    <w:rsid w:val="005054FE"/>
    <w:rsid w:val="00505F69"/>
    <w:rsid w:val="00506D29"/>
    <w:rsid w:val="00511968"/>
    <w:rsid w:val="00512397"/>
    <w:rsid w:val="00512718"/>
    <w:rsid w:val="00513DEF"/>
    <w:rsid w:val="00514366"/>
    <w:rsid w:val="0051480F"/>
    <w:rsid w:val="00516013"/>
    <w:rsid w:val="005166FE"/>
    <w:rsid w:val="005172D3"/>
    <w:rsid w:val="005178FE"/>
    <w:rsid w:val="00517FC5"/>
    <w:rsid w:val="005200E6"/>
    <w:rsid w:val="00520157"/>
    <w:rsid w:val="00523517"/>
    <w:rsid w:val="0052397C"/>
    <w:rsid w:val="00524BBC"/>
    <w:rsid w:val="005256C6"/>
    <w:rsid w:val="00525B10"/>
    <w:rsid w:val="00526481"/>
    <w:rsid w:val="00526685"/>
    <w:rsid w:val="00526FBA"/>
    <w:rsid w:val="00527E84"/>
    <w:rsid w:val="0053178F"/>
    <w:rsid w:val="00532D6E"/>
    <w:rsid w:val="005334EA"/>
    <w:rsid w:val="00534B9C"/>
    <w:rsid w:val="00535CCB"/>
    <w:rsid w:val="00535DB9"/>
    <w:rsid w:val="00540088"/>
    <w:rsid w:val="00541009"/>
    <w:rsid w:val="00541D9A"/>
    <w:rsid w:val="00542E33"/>
    <w:rsid w:val="005431BA"/>
    <w:rsid w:val="00544070"/>
    <w:rsid w:val="0054560D"/>
    <w:rsid w:val="00545935"/>
    <w:rsid w:val="00546F06"/>
    <w:rsid w:val="00547042"/>
    <w:rsid w:val="0054705D"/>
    <w:rsid w:val="0054763A"/>
    <w:rsid w:val="00547E2F"/>
    <w:rsid w:val="005502AE"/>
    <w:rsid w:val="005505CB"/>
    <w:rsid w:val="005526C2"/>
    <w:rsid w:val="00553B3B"/>
    <w:rsid w:val="00553D76"/>
    <w:rsid w:val="00554E4B"/>
    <w:rsid w:val="005557C1"/>
    <w:rsid w:val="0055614C"/>
    <w:rsid w:val="00556154"/>
    <w:rsid w:val="005567EE"/>
    <w:rsid w:val="00561818"/>
    <w:rsid w:val="00561A39"/>
    <w:rsid w:val="00562BFA"/>
    <w:rsid w:val="00562EDA"/>
    <w:rsid w:val="005632CD"/>
    <w:rsid w:val="00563AE2"/>
    <w:rsid w:val="00564F9C"/>
    <w:rsid w:val="00565D7A"/>
    <w:rsid w:val="0056636A"/>
    <w:rsid w:val="005667C9"/>
    <w:rsid w:val="00567ADC"/>
    <w:rsid w:val="00567B3B"/>
    <w:rsid w:val="0057234F"/>
    <w:rsid w:val="00573DB9"/>
    <w:rsid w:val="00574491"/>
    <w:rsid w:val="005747AB"/>
    <w:rsid w:val="00575C1D"/>
    <w:rsid w:val="00576FF1"/>
    <w:rsid w:val="0057710D"/>
    <w:rsid w:val="005772AF"/>
    <w:rsid w:val="00577BAE"/>
    <w:rsid w:val="0058284B"/>
    <w:rsid w:val="00583CEC"/>
    <w:rsid w:val="005849D1"/>
    <w:rsid w:val="00585386"/>
    <w:rsid w:val="00586255"/>
    <w:rsid w:val="00586B05"/>
    <w:rsid w:val="00586C4A"/>
    <w:rsid w:val="0059141D"/>
    <w:rsid w:val="00591DC0"/>
    <w:rsid w:val="00592493"/>
    <w:rsid w:val="00592A5C"/>
    <w:rsid w:val="00595E8D"/>
    <w:rsid w:val="00595FAA"/>
    <w:rsid w:val="005976FA"/>
    <w:rsid w:val="005A0AF0"/>
    <w:rsid w:val="005A10C5"/>
    <w:rsid w:val="005A16C3"/>
    <w:rsid w:val="005A2014"/>
    <w:rsid w:val="005A6F2A"/>
    <w:rsid w:val="005B0B20"/>
    <w:rsid w:val="005B11F7"/>
    <w:rsid w:val="005B1326"/>
    <w:rsid w:val="005B5B39"/>
    <w:rsid w:val="005B6EDD"/>
    <w:rsid w:val="005B7F4E"/>
    <w:rsid w:val="005C0190"/>
    <w:rsid w:val="005C045D"/>
    <w:rsid w:val="005C15E7"/>
    <w:rsid w:val="005C1B09"/>
    <w:rsid w:val="005C20D1"/>
    <w:rsid w:val="005C211C"/>
    <w:rsid w:val="005C274E"/>
    <w:rsid w:val="005C444E"/>
    <w:rsid w:val="005C47FF"/>
    <w:rsid w:val="005C4851"/>
    <w:rsid w:val="005C620B"/>
    <w:rsid w:val="005C6A22"/>
    <w:rsid w:val="005C6C7D"/>
    <w:rsid w:val="005C749E"/>
    <w:rsid w:val="005C7AD5"/>
    <w:rsid w:val="005C7FCB"/>
    <w:rsid w:val="005D0176"/>
    <w:rsid w:val="005D07FA"/>
    <w:rsid w:val="005D221A"/>
    <w:rsid w:val="005D2B32"/>
    <w:rsid w:val="005D2E41"/>
    <w:rsid w:val="005D4915"/>
    <w:rsid w:val="005D5016"/>
    <w:rsid w:val="005D54CC"/>
    <w:rsid w:val="005D600B"/>
    <w:rsid w:val="005D6199"/>
    <w:rsid w:val="005D66E3"/>
    <w:rsid w:val="005D6F3B"/>
    <w:rsid w:val="005D7167"/>
    <w:rsid w:val="005E109A"/>
    <w:rsid w:val="005E10FA"/>
    <w:rsid w:val="005E3151"/>
    <w:rsid w:val="005E367B"/>
    <w:rsid w:val="005E461F"/>
    <w:rsid w:val="005E5C8A"/>
    <w:rsid w:val="005E5E17"/>
    <w:rsid w:val="005E69EF"/>
    <w:rsid w:val="005E6FC0"/>
    <w:rsid w:val="005E7617"/>
    <w:rsid w:val="005E7ECD"/>
    <w:rsid w:val="005F0340"/>
    <w:rsid w:val="005F1F0F"/>
    <w:rsid w:val="005F21F9"/>
    <w:rsid w:val="005F2FF5"/>
    <w:rsid w:val="005F4E29"/>
    <w:rsid w:val="005F54ED"/>
    <w:rsid w:val="005F570F"/>
    <w:rsid w:val="005F5D48"/>
    <w:rsid w:val="005F79FC"/>
    <w:rsid w:val="005F7F7D"/>
    <w:rsid w:val="006000B5"/>
    <w:rsid w:val="00601212"/>
    <w:rsid w:val="006018AC"/>
    <w:rsid w:val="00602851"/>
    <w:rsid w:val="00603E7F"/>
    <w:rsid w:val="00604138"/>
    <w:rsid w:val="00604B1F"/>
    <w:rsid w:val="006051C7"/>
    <w:rsid w:val="006069AD"/>
    <w:rsid w:val="0060796B"/>
    <w:rsid w:val="00607BA5"/>
    <w:rsid w:val="00610963"/>
    <w:rsid w:val="00610AEB"/>
    <w:rsid w:val="00611547"/>
    <w:rsid w:val="00612900"/>
    <w:rsid w:val="00612D80"/>
    <w:rsid w:val="00613956"/>
    <w:rsid w:val="00615C6A"/>
    <w:rsid w:val="00617296"/>
    <w:rsid w:val="006201F4"/>
    <w:rsid w:val="00620656"/>
    <w:rsid w:val="00620A5B"/>
    <w:rsid w:val="00621354"/>
    <w:rsid w:val="0062242A"/>
    <w:rsid w:val="0062336F"/>
    <w:rsid w:val="0062384A"/>
    <w:rsid w:val="00623BEA"/>
    <w:rsid w:val="00623D5A"/>
    <w:rsid w:val="00626EB6"/>
    <w:rsid w:val="00626F28"/>
    <w:rsid w:val="006275E9"/>
    <w:rsid w:val="0062790F"/>
    <w:rsid w:val="00627C92"/>
    <w:rsid w:val="00627E6C"/>
    <w:rsid w:val="00631FEE"/>
    <w:rsid w:val="006320D6"/>
    <w:rsid w:val="0063275A"/>
    <w:rsid w:val="00633562"/>
    <w:rsid w:val="00633610"/>
    <w:rsid w:val="006336E2"/>
    <w:rsid w:val="00636AE1"/>
    <w:rsid w:val="00636B09"/>
    <w:rsid w:val="00636E94"/>
    <w:rsid w:val="0063732A"/>
    <w:rsid w:val="00637D0D"/>
    <w:rsid w:val="0064009D"/>
    <w:rsid w:val="006407A9"/>
    <w:rsid w:val="00640834"/>
    <w:rsid w:val="00640BB3"/>
    <w:rsid w:val="006424D6"/>
    <w:rsid w:val="00642A2E"/>
    <w:rsid w:val="00642A89"/>
    <w:rsid w:val="00642AD5"/>
    <w:rsid w:val="00642CD1"/>
    <w:rsid w:val="006446BA"/>
    <w:rsid w:val="0064627D"/>
    <w:rsid w:val="00646595"/>
    <w:rsid w:val="00646616"/>
    <w:rsid w:val="006469F7"/>
    <w:rsid w:val="00650FE0"/>
    <w:rsid w:val="0065183F"/>
    <w:rsid w:val="006524F4"/>
    <w:rsid w:val="00652ED4"/>
    <w:rsid w:val="006536E7"/>
    <w:rsid w:val="00655D03"/>
    <w:rsid w:val="0065679C"/>
    <w:rsid w:val="00657AB2"/>
    <w:rsid w:val="00657C9D"/>
    <w:rsid w:val="00660B42"/>
    <w:rsid w:val="00660DEF"/>
    <w:rsid w:val="006612AF"/>
    <w:rsid w:val="00662338"/>
    <w:rsid w:val="00662B9E"/>
    <w:rsid w:val="0066473C"/>
    <w:rsid w:val="0066621B"/>
    <w:rsid w:val="00666B2B"/>
    <w:rsid w:val="006675CB"/>
    <w:rsid w:val="006676E7"/>
    <w:rsid w:val="006677DC"/>
    <w:rsid w:val="00667F0B"/>
    <w:rsid w:val="0067145E"/>
    <w:rsid w:val="00671812"/>
    <w:rsid w:val="00672AF0"/>
    <w:rsid w:val="00673F27"/>
    <w:rsid w:val="0067491A"/>
    <w:rsid w:val="00675489"/>
    <w:rsid w:val="006801AD"/>
    <w:rsid w:val="006804FB"/>
    <w:rsid w:val="00681895"/>
    <w:rsid w:val="006819E3"/>
    <w:rsid w:val="00681EBD"/>
    <w:rsid w:val="00683038"/>
    <w:rsid w:val="00683F84"/>
    <w:rsid w:val="00684A84"/>
    <w:rsid w:val="00684C2B"/>
    <w:rsid w:val="006905D8"/>
    <w:rsid w:val="0069121A"/>
    <w:rsid w:val="00691664"/>
    <w:rsid w:val="00691A26"/>
    <w:rsid w:val="006937CB"/>
    <w:rsid w:val="006941E8"/>
    <w:rsid w:val="0069656F"/>
    <w:rsid w:val="00697B9D"/>
    <w:rsid w:val="006A2278"/>
    <w:rsid w:val="006A28E5"/>
    <w:rsid w:val="006A2EB8"/>
    <w:rsid w:val="006A30BA"/>
    <w:rsid w:val="006A31C0"/>
    <w:rsid w:val="006A4F22"/>
    <w:rsid w:val="006A656C"/>
    <w:rsid w:val="006A69E7"/>
    <w:rsid w:val="006A6A81"/>
    <w:rsid w:val="006A6D32"/>
    <w:rsid w:val="006B168D"/>
    <w:rsid w:val="006B1A17"/>
    <w:rsid w:val="006B273C"/>
    <w:rsid w:val="006B322D"/>
    <w:rsid w:val="006B367D"/>
    <w:rsid w:val="006B5F62"/>
    <w:rsid w:val="006B6EC0"/>
    <w:rsid w:val="006C0EB6"/>
    <w:rsid w:val="006C169B"/>
    <w:rsid w:val="006C1E62"/>
    <w:rsid w:val="006C1E87"/>
    <w:rsid w:val="006C23C6"/>
    <w:rsid w:val="006C3300"/>
    <w:rsid w:val="006C4643"/>
    <w:rsid w:val="006C4E1C"/>
    <w:rsid w:val="006C5A9D"/>
    <w:rsid w:val="006C5DAF"/>
    <w:rsid w:val="006C68D3"/>
    <w:rsid w:val="006C7628"/>
    <w:rsid w:val="006D0834"/>
    <w:rsid w:val="006D2FA9"/>
    <w:rsid w:val="006D3CF4"/>
    <w:rsid w:val="006D3F3A"/>
    <w:rsid w:val="006D3FCA"/>
    <w:rsid w:val="006D4570"/>
    <w:rsid w:val="006D49C4"/>
    <w:rsid w:val="006D53F2"/>
    <w:rsid w:val="006D6DE3"/>
    <w:rsid w:val="006D7989"/>
    <w:rsid w:val="006E092E"/>
    <w:rsid w:val="006E09C5"/>
    <w:rsid w:val="006E1715"/>
    <w:rsid w:val="006E1778"/>
    <w:rsid w:val="006E17E3"/>
    <w:rsid w:val="006E292C"/>
    <w:rsid w:val="006E2DFD"/>
    <w:rsid w:val="006E37A9"/>
    <w:rsid w:val="006E3E9F"/>
    <w:rsid w:val="006E5766"/>
    <w:rsid w:val="006E62FB"/>
    <w:rsid w:val="006E63D0"/>
    <w:rsid w:val="006E6A3C"/>
    <w:rsid w:val="006E7C64"/>
    <w:rsid w:val="006F1222"/>
    <w:rsid w:val="006F1907"/>
    <w:rsid w:val="006F1C59"/>
    <w:rsid w:val="006F2A8F"/>
    <w:rsid w:val="006F329B"/>
    <w:rsid w:val="006F40BC"/>
    <w:rsid w:val="006F59D7"/>
    <w:rsid w:val="006F5DEC"/>
    <w:rsid w:val="006F5E5B"/>
    <w:rsid w:val="006F66B4"/>
    <w:rsid w:val="006F6D0B"/>
    <w:rsid w:val="006F6DA0"/>
    <w:rsid w:val="006F7393"/>
    <w:rsid w:val="007004F6"/>
    <w:rsid w:val="007008EE"/>
    <w:rsid w:val="00701468"/>
    <w:rsid w:val="00701FDC"/>
    <w:rsid w:val="0070224F"/>
    <w:rsid w:val="007033BB"/>
    <w:rsid w:val="00704D39"/>
    <w:rsid w:val="0070538E"/>
    <w:rsid w:val="00706D77"/>
    <w:rsid w:val="0071023B"/>
    <w:rsid w:val="00710523"/>
    <w:rsid w:val="007115F7"/>
    <w:rsid w:val="00711843"/>
    <w:rsid w:val="00711D26"/>
    <w:rsid w:val="00711FE6"/>
    <w:rsid w:val="007120EC"/>
    <w:rsid w:val="00712D4C"/>
    <w:rsid w:val="007141AB"/>
    <w:rsid w:val="0071554E"/>
    <w:rsid w:val="0071623A"/>
    <w:rsid w:val="007163DA"/>
    <w:rsid w:val="00716872"/>
    <w:rsid w:val="0071739F"/>
    <w:rsid w:val="007177D3"/>
    <w:rsid w:val="0072010D"/>
    <w:rsid w:val="00720848"/>
    <w:rsid w:val="00720AF0"/>
    <w:rsid w:val="0072264D"/>
    <w:rsid w:val="00722C62"/>
    <w:rsid w:val="00723720"/>
    <w:rsid w:val="00724469"/>
    <w:rsid w:val="007246D7"/>
    <w:rsid w:val="00724F13"/>
    <w:rsid w:val="00726863"/>
    <w:rsid w:val="0073109F"/>
    <w:rsid w:val="00731276"/>
    <w:rsid w:val="007315FF"/>
    <w:rsid w:val="00731713"/>
    <w:rsid w:val="007370A7"/>
    <w:rsid w:val="00737C0E"/>
    <w:rsid w:val="007402A4"/>
    <w:rsid w:val="007434AC"/>
    <w:rsid w:val="007439C3"/>
    <w:rsid w:val="00744597"/>
    <w:rsid w:val="007464CF"/>
    <w:rsid w:val="007467A2"/>
    <w:rsid w:val="00747CE9"/>
    <w:rsid w:val="00750FF4"/>
    <w:rsid w:val="00751EE9"/>
    <w:rsid w:val="00754ADA"/>
    <w:rsid w:val="00754C44"/>
    <w:rsid w:val="00756399"/>
    <w:rsid w:val="00757883"/>
    <w:rsid w:val="00757BFF"/>
    <w:rsid w:val="00760182"/>
    <w:rsid w:val="007601AB"/>
    <w:rsid w:val="007630F3"/>
    <w:rsid w:val="00764274"/>
    <w:rsid w:val="007648F1"/>
    <w:rsid w:val="00765A28"/>
    <w:rsid w:val="00766233"/>
    <w:rsid w:val="00767A9B"/>
    <w:rsid w:val="0077010E"/>
    <w:rsid w:val="00770EB8"/>
    <w:rsid w:val="00770F55"/>
    <w:rsid w:val="007715F7"/>
    <w:rsid w:val="00771614"/>
    <w:rsid w:val="00773CE5"/>
    <w:rsid w:val="0077419F"/>
    <w:rsid w:val="00774BEE"/>
    <w:rsid w:val="007755FB"/>
    <w:rsid w:val="007767C0"/>
    <w:rsid w:val="007769E0"/>
    <w:rsid w:val="0077787E"/>
    <w:rsid w:val="007823F3"/>
    <w:rsid w:val="0078383D"/>
    <w:rsid w:val="007847C7"/>
    <w:rsid w:val="00784CC6"/>
    <w:rsid w:val="00785689"/>
    <w:rsid w:val="00785C1C"/>
    <w:rsid w:val="00791251"/>
    <w:rsid w:val="00793868"/>
    <w:rsid w:val="00793DBF"/>
    <w:rsid w:val="00794091"/>
    <w:rsid w:val="0079409D"/>
    <w:rsid w:val="00794D53"/>
    <w:rsid w:val="007962FF"/>
    <w:rsid w:val="0079754B"/>
    <w:rsid w:val="007975C2"/>
    <w:rsid w:val="007A0A0B"/>
    <w:rsid w:val="007A0D54"/>
    <w:rsid w:val="007A1E6D"/>
    <w:rsid w:val="007A2695"/>
    <w:rsid w:val="007A2ECE"/>
    <w:rsid w:val="007A3A26"/>
    <w:rsid w:val="007A41AD"/>
    <w:rsid w:val="007A4A87"/>
    <w:rsid w:val="007A4D1A"/>
    <w:rsid w:val="007A4DD6"/>
    <w:rsid w:val="007A5CFF"/>
    <w:rsid w:val="007A6AEE"/>
    <w:rsid w:val="007A7BCF"/>
    <w:rsid w:val="007B09E0"/>
    <w:rsid w:val="007B0E47"/>
    <w:rsid w:val="007B0E86"/>
    <w:rsid w:val="007B25B6"/>
    <w:rsid w:val="007B3251"/>
    <w:rsid w:val="007B3B05"/>
    <w:rsid w:val="007B3C12"/>
    <w:rsid w:val="007B5126"/>
    <w:rsid w:val="007B780B"/>
    <w:rsid w:val="007C055D"/>
    <w:rsid w:val="007C0CBE"/>
    <w:rsid w:val="007C46E3"/>
    <w:rsid w:val="007C4DE2"/>
    <w:rsid w:val="007C4EE6"/>
    <w:rsid w:val="007C4F03"/>
    <w:rsid w:val="007C53FC"/>
    <w:rsid w:val="007C5B94"/>
    <w:rsid w:val="007C7DD0"/>
    <w:rsid w:val="007D0C70"/>
    <w:rsid w:val="007D2972"/>
    <w:rsid w:val="007D2D53"/>
    <w:rsid w:val="007D3050"/>
    <w:rsid w:val="007D3973"/>
    <w:rsid w:val="007D3EA8"/>
    <w:rsid w:val="007D4B53"/>
    <w:rsid w:val="007D55D7"/>
    <w:rsid w:val="007E2489"/>
    <w:rsid w:val="007E3DCB"/>
    <w:rsid w:val="007E4590"/>
    <w:rsid w:val="007E5A10"/>
    <w:rsid w:val="007E5CA2"/>
    <w:rsid w:val="007E6334"/>
    <w:rsid w:val="007E7433"/>
    <w:rsid w:val="007F2064"/>
    <w:rsid w:val="007F3BF2"/>
    <w:rsid w:val="007F3E92"/>
    <w:rsid w:val="007F445F"/>
    <w:rsid w:val="007F5A29"/>
    <w:rsid w:val="007F733A"/>
    <w:rsid w:val="007F7A8A"/>
    <w:rsid w:val="008006A6"/>
    <w:rsid w:val="0080093A"/>
    <w:rsid w:val="00800BA5"/>
    <w:rsid w:val="00800C60"/>
    <w:rsid w:val="0080111D"/>
    <w:rsid w:val="008013A5"/>
    <w:rsid w:val="008015C2"/>
    <w:rsid w:val="00802123"/>
    <w:rsid w:val="008024D3"/>
    <w:rsid w:val="008055C7"/>
    <w:rsid w:val="00806A43"/>
    <w:rsid w:val="00806FFC"/>
    <w:rsid w:val="00807EDB"/>
    <w:rsid w:val="008145CC"/>
    <w:rsid w:val="00815058"/>
    <w:rsid w:val="00815554"/>
    <w:rsid w:val="008169C1"/>
    <w:rsid w:val="008177AA"/>
    <w:rsid w:val="008204F8"/>
    <w:rsid w:val="00822BB9"/>
    <w:rsid w:val="00822CE0"/>
    <w:rsid w:val="00823151"/>
    <w:rsid w:val="0082430B"/>
    <w:rsid w:val="008254A9"/>
    <w:rsid w:val="00825BFF"/>
    <w:rsid w:val="008261BA"/>
    <w:rsid w:val="00827A26"/>
    <w:rsid w:val="00827DC4"/>
    <w:rsid w:val="00830801"/>
    <w:rsid w:val="00831DE2"/>
    <w:rsid w:val="00834866"/>
    <w:rsid w:val="0083497E"/>
    <w:rsid w:val="00835F79"/>
    <w:rsid w:val="00836011"/>
    <w:rsid w:val="008361AB"/>
    <w:rsid w:val="0083692F"/>
    <w:rsid w:val="00837CCD"/>
    <w:rsid w:val="008402A7"/>
    <w:rsid w:val="00840EF7"/>
    <w:rsid w:val="00841AB1"/>
    <w:rsid w:val="008423AC"/>
    <w:rsid w:val="008437A9"/>
    <w:rsid w:val="00843DBC"/>
    <w:rsid w:val="008441E5"/>
    <w:rsid w:val="008442DA"/>
    <w:rsid w:val="00844C6E"/>
    <w:rsid w:val="00844D06"/>
    <w:rsid w:val="00844EBD"/>
    <w:rsid w:val="00844EDC"/>
    <w:rsid w:val="008451E4"/>
    <w:rsid w:val="0084568F"/>
    <w:rsid w:val="008465E7"/>
    <w:rsid w:val="00847845"/>
    <w:rsid w:val="008478C6"/>
    <w:rsid w:val="00851F40"/>
    <w:rsid w:val="00852A49"/>
    <w:rsid w:val="00852F6A"/>
    <w:rsid w:val="0085344A"/>
    <w:rsid w:val="0085555D"/>
    <w:rsid w:val="00856906"/>
    <w:rsid w:val="00856EF6"/>
    <w:rsid w:val="008607B6"/>
    <w:rsid w:val="008614B4"/>
    <w:rsid w:val="008628EE"/>
    <w:rsid w:val="0086496A"/>
    <w:rsid w:val="00864CEF"/>
    <w:rsid w:val="00864F66"/>
    <w:rsid w:val="00865D3D"/>
    <w:rsid w:val="00865F9D"/>
    <w:rsid w:val="008664BF"/>
    <w:rsid w:val="00867C5A"/>
    <w:rsid w:val="00867DAC"/>
    <w:rsid w:val="00870395"/>
    <w:rsid w:val="00872360"/>
    <w:rsid w:val="0087362C"/>
    <w:rsid w:val="00874292"/>
    <w:rsid w:val="008751B5"/>
    <w:rsid w:val="00876578"/>
    <w:rsid w:val="008766AC"/>
    <w:rsid w:val="00877A0A"/>
    <w:rsid w:val="00881DC3"/>
    <w:rsid w:val="008847AF"/>
    <w:rsid w:val="00884E2A"/>
    <w:rsid w:val="00885813"/>
    <w:rsid w:val="00886B1E"/>
    <w:rsid w:val="008873C3"/>
    <w:rsid w:val="00887784"/>
    <w:rsid w:val="008878E1"/>
    <w:rsid w:val="00887BCE"/>
    <w:rsid w:val="0089015A"/>
    <w:rsid w:val="0089104B"/>
    <w:rsid w:val="00893338"/>
    <w:rsid w:val="00894299"/>
    <w:rsid w:val="0089481D"/>
    <w:rsid w:val="00894E42"/>
    <w:rsid w:val="00895609"/>
    <w:rsid w:val="008A019E"/>
    <w:rsid w:val="008A0A82"/>
    <w:rsid w:val="008A0C91"/>
    <w:rsid w:val="008A157C"/>
    <w:rsid w:val="008A1AB7"/>
    <w:rsid w:val="008A2570"/>
    <w:rsid w:val="008A2624"/>
    <w:rsid w:val="008A3929"/>
    <w:rsid w:val="008A3B0E"/>
    <w:rsid w:val="008A3B55"/>
    <w:rsid w:val="008A4ED2"/>
    <w:rsid w:val="008A559D"/>
    <w:rsid w:val="008A56CA"/>
    <w:rsid w:val="008A5892"/>
    <w:rsid w:val="008B1465"/>
    <w:rsid w:val="008B203A"/>
    <w:rsid w:val="008B3727"/>
    <w:rsid w:val="008B3F2B"/>
    <w:rsid w:val="008B432C"/>
    <w:rsid w:val="008B60AE"/>
    <w:rsid w:val="008C0850"/>
    <w:rsid w:val="008C0AC2"/>
    <w:rsid w:val="008C0C94"/>
    <w:rsid w:val="008C30EA"/>
    <w:rsid w:val="008C3753"/>
    <w:rsid w:val="008C4FF4"/>
    <w:rsid w:val="008C669A"/>
    <w:rsid w:val="008C6DFC"/>
    <w:rsid w:val="008C715C"/>
    <w:rsid w:val="008D0E87"/>
    <w:rsid w:val="008D2447"/>
    <w:rsid w:val="008D2641"/>
    <w:rsid w:val="008D2650"/>
    <w:rsid w:val="008D2878"/>
    <w:rsid w:val="008D3243"/>
    <w:rsid w:val="008D372E"/>
    <w:rsid w:val="008D4E9F"/>
    <w:rsid w:val="008D5218"/>
    <w:rsid w:val="008D56A3"/>
    <w:rsid w:val="008D62E1"/>
    <w:rsid w:val="008D6457"/>
    <w:rsid w:val="008D6E1C"/>
    <w:rsid w:val="008D7743"/>
    <w:rsid w:val="008E0191"/>
    <w:rsid w:val="008E158F"/>
    <w:rsid w:val="008E26A0"/>
    <w:rsid w:val="008E3B27"/>
    <w:rsid w:val="008E3BB5"/>
    <w:rsid w:val="008E4775"/>
    <w:rsid w:val="008E56C2"/>
    <w:rsid w:val="008E7432"/>
    <w:rsid w:val="008E7592"/>
    <w:rsid w:val="008F090C"/>
    <w:rsid w:val="008F0D67"/>
    <w:rsid w:val="008F33F8"/>
    <w:rsid w:val="008F4CE7"/>
    <w:rsid w:val="008F4E6B"/>
    <w:rsid w:val="008F5076"/>
    <w:rsid w:val="008F5123"/>
    <w:rsid w:val="008F57D0"/>
    <w:rsid w:val="008F7021"/>
    <w:rsid w:val="008F7D54"/>
    <w:rsid w:val="00900640"/>
    <w:rsid w:val="00901B78"/>
    <w:rsid w:val="009032A8"/>
    <w:rsid w:val="00904194"/>
    <w:rsid w:val="009051AA"/>
    <w:rsid w:val="00906411"/>
    <w:rsid w:val="00907B51"/>
    <w:rsid w:val="00910588"/>
    <w:rsid w:val="00910AF4"/>
    <w:rsid w:val="009130B7"/>
    <w:rsid w:val="009133F3"/>
    <w:rsid w:val="009140C0"/>
    <w:rsid w:val="00914E77"/>
    <w:rsid w:val="00915E63"/>
    <w:rsid w:val="00916ECA"/>
    <w:rsid w:val="00917143"/>
    <w:rsid w:val="00917195"/>
    <w:rsid w:val="00917A37"/>
    <w:rsid w:val="00917B63"/>
    <w:rsid w:val="00920104"/>
    <w:rsid w:val="00920CDE"/>
    <w:rsid w:val="00921CF0"/>
    <w:rsid w:val="009223FB"/>
    <w:rsid w:val="00922848"/>
    <w:rsid w:val="00922A4E"/>
    <w:rsid w:val="00922F4E"/>
    <w:rsid w:val="00926503"/>
    <w:rsid w:val="009309F5"/>
    <w:rsid w:val="009317F6"/>
    <w:rsid w:val="0093323E"/>
    <w:rsid w:val="009334E3"/>
    <w:rsid w:val="009339F9"/>
    <w:rsid w:val="00935593"/>
    <w:rsid w:val="0093599F"/>
    <w:rsid w:val="00935AE1"/>
    <w:rsid w:val="00936DCD"/>
    <w:rsid w:val="009372F1"/>
    <w:rsid w:val="00940E64"/>
    <w:rsid w:val="009435B8"/>
    <w:rsid w:val="00943970"/>
    <w:rsid w:val="00943BD2"/>
    <w:rsid w:val="00943E15"/>
    <w:rsid w:val="00943FD3"/>
    <w:rsid w:val="00944434"/>
    <w:rsid w:val="00944A92"/>
    <w:rsid w:val="00944D6C"/>
    <w:rsid w:val="00947240"/>
    <w:rsid w:val="0094727C"/>
    <w:rsid w:val="00947CC9"/>
    <w:rsid w:val="00947E9B"/>
    <w:rsid w:val="00952C90"/>
    <w:rsid w:val="00953CC4"/>
    <w:rsid w:val="0095702D"/>
    <w:rsid w:val="00957CEA"/>
    <w:rsid w:val="009655EE"/>
    <w:rsid w:val="00966329"/>
    <w:rsid w:val="009674BB"/>
    <w:rsid w:val="009717AB"/>
    <w:rsid w:val="00971C31"/>
    <w:rsid w:val="009721E8"/>
    <w:rsid w:val="009722ED"/>
    <w:rsid w:val="00972B88"/>
    <w:rsid w:val="00972E91"/>
    <w:rsid w:val="00974749"/>
    <w:rsid w:val="009749F6"/>
    <w:rsid w:val="00974F93"/>
    <w:rsid w:val="00975AFE"/>
    <w:rsid w:val="00976963"/>
    <w:rsid w:val="00976DCD"/>
    <w:rsid w:val="00977665"/>
    <w:rsid w:val="009776F6"/>
    <w:rsid w:val="00980CFD"/>
    <w:rsid w:val="0098113D"/>
    <w:rsid w:val="00981351"/>
    <w:rsid w:val="00981365"/>
    <w:rsid w:val="0098228E"/>
    <w:rsid w:val="0098242F"/>
    <w:rsid w:val="0098248E"/>
    <w:rsid w:val="0098394B"/>
    <w:rsid w:val="00984C0E"/>
    <w:rsid w:val="0098648E"/>
    <w:rsid w:val="00987D7B"/>
    <w:rsid w:val="00990427"/>
    <w:rsid w:val="00990460"/>
    <w:rsid w:val="00991DAA"/>
    <w:rsid w:val="00991E43"/>
    <w:rsid w:val="009920C9"/>
    <w:rsid w:val="0099229B"/>
    <w:rsid w:val="0099254D"/>
    <w:rsid w:val="00993056"/>
    <w:rsid w:val="009933D5"/>
    <w:rsid w:val="0099404E"/>
    <w:rsid w:val="00995F71"/>
    <w:rsid w:val="00996062"/>
    <w:rsid w:val="00996562"/>
    <w:rsid w:val="009966F4"/>
    <w:rsid w:val="00996AB8"/>
    <w:rsid w:val="00997E6A"/>
    <w:rsid w:val="009A0D8E"/>
    <w:rsid w:val="009A1E08"/>
    <w:rsid w:val="009A1EC1"/>
    <w:rsid w:val="009A3F84"/>
    <w:rsid w:val="009A4249"/>
    <w:rsid w:val="009A4DC3"/>
    <w:rsid w:val="009A6856"/>
    <w:rsid w:val="009B091C"/>
    <w:rsid w:val="009B11BD"/>
    <w:rsid w:val="009B1247"/>
    <w:rsid w:val="009B174A"/>
    <w:rsid w:val="009B242F"/>
    <w:rsid w:val="009B2480"/>
    <w:rsid w:val="009B26ED"/>
    <w:rsid w:val="009B4116"/>
    <w:rsid w:val="009B4FB0"/>
    <w:rsid w:val="009B5BB4"/>
    <w:rsid w:val="009B6614"/>
    <w:rsid w:val="009B6D20"/>
    <w:rsid w:val="009B7E45"/>
    <w:rsid w:val="009B7EA0"/>
    <w:rsid w:val="009C1185"/>
    <w:rsid w:val="009C14D4"/>
    <w:rsid w:val="009C2374"/>
    <w:rsid w:val="009C2EA8"/>
    <w:rsid w:val="009C47D9"/>
    <w:rsid w:val="009C5ABE"/>
    <w:rsid w:val="009C5D2E"/>
    <w:rsid w:val="009C62B9"/>
    <w:rsid w:val="009C7193"/>
    <w:rsid w:val="009C741A"/>
    <w:rsid w:val="009D1B8F"/>
    <w:rsid w:val="009D2361"/>
    <w:rsid w:val="009D2C4D"/>
    <w:rsid w:val="009D3914"/>
    <w:rsid w:val="009D4A39"/>
    <w:rsid w:val="009D545A"/>
    <w:rsid w:val="009D6944"/>
    <w:rsid w:val="009D715C"/>
    <w:rsid w:val="009E0BE5"/>
    <w:rsid w:val="009E26A0"/>
    <w:rsid w:val="009E6104"/>
    <w:rsid w:val="009E6206"/>
    <w:rsid w:val="009E6940"/>
    <w:rsid w:val="009E7368"/>
    <w:rsid w:val="009F0161"/>
    <w:rsid w:val="009F10DA"/>
    <w:rsid w:val="009F210E"/>
    <w:rsid w:val="009F2FB7"/>
    <w:rsid w:val="009F372C"/>
    <w:rsid w:val="009F5E6C"/>
    <w:rsid w:val="009F7576"/>
    <w:rsid w:val="00A0142E"/>
    <w:rsid w:val="00A017F7"/>
    <w:rsid w:val="00A01B9C"/>
    <w:rsid w:val="00A02910"/>
    <w:rsid w:val="00A03B05"/>
    <w:rsid w:val="00A04381"/>
    <w:rsid w:val="00A0705E"/>
    <w:rsid w:val="00A07DEB"/>
    <w:rsid w:val="00A10DC5"/>
    <w:rsid w:val="00A119DB"/>
    <w:rsid w:val="00A139C9"/>
    <w:rsid w:val="00A164C6"/>
    <w:rsid w:val="00A17E0E"/>
    <w:rsid w:val="00A21B91"/>
    <w:rsid w:val="00A23169"/>
    <w:rsid w:val="00A2466E"/>
    <w:rsid w:val="00A24A16"/>
    <w:rsid w:val="00A26217"/>
    <w:rsid w:val="00A263E1"/>
    <w:rsid w:val="00A26B11"/>
    <w:rsid w:val="00A27BA1"/>
    <w:rsid w:val="00A27FAC"/>
    <w:rsid w:val="00A30E8A"/>
    <w:rsid w:val="00A35DF4"/>
    <w:rsid w:val="00A3605B"/>
    <w:rsid w:val="00A36BD5"/>
    <w:rsid w:val="00A37F5D"/>
    <w:rsid w:val="00A404B6"/>
    <w:rsid w:val="00A4107F"/>
    <w:rsid w:val="00A417EE"/>
    <w:rsid w:val="00A43797"/>
    <w:rsid w:val="00A43B33"/>
    <w:rsid w:val="00A446E0"/>
    <w:rsid w:val="00A44EB2"/>
    <w:rsid w:val="00A45F4F"/>
    <w:rsid w:val="00A463D1"/>
    <w:rsid w:val="00A46CB1"/>
    <w:rsid w:val="00A52B1C"/>
    <w:rsid w:val="00A53186"/>
    <w:rsid w:val="00A53DE9"/>
    <w:rsid w:val="00A600A9"/>
    <w:rsid w:val="00A6023B"/>
    <w:rsid w:val="00A60DC1"/>
    <w:rsid w:val="00A61CF5"/>
    <w:rsid w:val="00A61FD2"/>
    <w:rsid w:val="00A633DD"/>
    <w:rsid w:val="00A6496E"/>
    <w:rsid w:val="00A6592B"/>
    <w:rsid w:val="00A6665D"/>
    <w:rsid w:val="00A66852"/>
    <w:rsid w:val="00A67A84"/>
    <w:rsid w:val="00A70B5E"/>
    <w:rsid w:val="00A737A2"/>
    <w:rsid w:val="00A74622"/>
    <w:rsid w:val="00A74636"/>
    <w:rsid w:val="00A751AD"/>
    <w:rsid w:val="00A7612E"/>
    <w:rsid w:val="00A80E5B"/>
    <w:rsid w:val="00A82367"/>
    <w:rsid w:val="00A827C8"/>
    <w:rsid w:val="00A82CD0"/>
    <w:rsid w:val="00A8309E"/>
    <w:rsid w:val="00A83B7D"/>
    <w:rsid w:val="00A85217"/>
    <w:rsid w:val="00A9011C"/>
    <w:rsid w:val="00A91A6C"/>
    <w:rsid w:val="00A9222C"/>
    <w:rsid w:val="00A92A68"/>
    <w:rsid w:val="00A92B1D"/>
    <w:rsid w:val="00A95615"/>
    <w:rsid w:val="00A95811"/>
    <w:rsid w:val="00A9584F"/>
    <w:rsid w:val="00A9751E"/>
    <w:rsid w:val="00A97590"/>
    <w:rsid w:val="00AA0606"/>
    <w:rsid w:val="00AA16A6"/>
    <w:rsid w:val="00AA16A7"/>
    <w:rsid w:val="00AA2349"/>
    <w:rsid w:val="00AA28DF"/>
    <w:rsid w:val="00AA3BA7"/>
    <w:rsid w:val="00AA4AD4"/>
    <w:rsid w:val="00AA55B7"/>
    <w:rsid w:val="00AA5B9E"/>
    <w:rsid w:val="00AA61ED"/>
    <w:rsid w:val="00AB058F"/>
    <w:rsid w:val="00AB152B"/>
    <w:rsid w:val="00AB2407"/>
    <w:rsid w:val="00AB2F48"/>
    <w:rsid w:val="00AB4B9E"/>
    <w:rsid w:val="00AB53DF"/>
    <w:rsid w:val="00AB58B7"/>
    <w:rsid w:val="00AB66BB"/>
    <w:rsid w:val="00AC01F7"/>
    <w:rsid w:val="00AC2564"/>
    <w:rsid w:val="00AC3965"/>
    <w:rsid w:val="00AC4E44"/>
    <w:rsid w:val="00AC629B"/>
    <w:rsid w:val="00AC7035"/>
    <w:rsid w:val="00AC7266"/>
    <w:rsid w:val="00AC7B3E"/>
    <w:rsid w:val="00AD1EFC"/>
    <w:rsid w:val="00AD207D"/>
    <w:rsid w:val="00AD3252"/>
    <w:rsid w:val="00AD3FE4"/>
    <w:rsid w:val="00AD4EA0"/>
    <w:rsid w:val="00AD5408"/>
    <w:rsid w:val="00AD5CBF"/>
    <w:rsid w:val="00AE19FB"/>
    <w:rsid w:val="00AE3BA1"/>
    <w:rsid w:val="00AE66CF"/>
    <w:rsid w:val="00AE6F4B"/>
    <w:rsid w:val="00AE782F"/>
    <w:rsid w:val="00AF0788"/>
    <w:rsid w:val="00AF1395"/>
    <w:rsid w:val="00AF1716"/>
    <w:rsid w:val="00AF292D"/>
    <w:rsid w:val="00AF30E8"/>
    <w:rsid w:val="00AF330A"/>
    <w:rsid w:val="00AF49FE"/>
    <w:rsid w:val="00AF51DD"/>
    <w:rsid w:val="00AF6F70"/>
    <w:rsid w:val="00B0230F"/>
    <w:rsid w:val="00B03CF6"/>
    <w:rsid w:val="00B06DCB"/>
    <w:rsid w:val="00B06FFC"/>
    <w:rsid w:val="00B07813"/>
    <w:rsid w:val="00B07E5C"/>
    <w:rsid w:val="00B131DF"/>
    <w:rsid w:val="00B1356D"/>
    <w:rsid w:val="00B13A0B"/>
    <w:rsid w:val="00B14848"/>
    <w:rsid w:val="00B17034"/>
    <w:rsid w:val="00B17426"/>
    <w:rsid w:val="00B20B1A"/>
    <w:rsid w:val="00B20F3F"/>
    <w:rsid w:val="00B21C6A"/>
    <w:rsid w:val="00B25485"/>
    <w:rsid w:val="00B25958"/>
    <w:rsid w:val="00B25C34"/>
    <w:rsid w:val="00B270FA"/>
    <w:rsid w:val="00B27F79"/>
    <w:rsid w:val="00B301F8"/>
    <w:rsid w:val="00B3083A"/>
    <w:rsid w:val="00B30DA1"/>
    <w:rsid w:val="00B30E5C"/>
    <w:rsid w:val="00B31125"/>
    <w:rsid w:val="00B31710"/>
    <w:rsid w:val="00B3189D"/>
    <w:rsid w:val="00B31FB8"/>
    <w:rsid w:val="00B33F4D"/>
    <w:rsid w:val="00B34658"/>
    <w:rsid w:val="00B35A70"/>
    <w:rsid w:val="00B35F51"/>
    <w:rsid w:val="00B367B2"/>
    <w:rsid w:val="00B3684B"/>
    <w:rsid w:val="00B36B87"/>
    <w:rsid w:val="00B37F81"/>
    <w:rsid w:val="00B40650"/>
    <w:rsid w:val="00B41ECB"/>
    <w:rsid w:val="00B42FD4"/>
    <w:rsid w:val="00B430E5"/>
    <w:rsid w:val="00B43452"/>
    <w:rsid w:val="00B43ED7"/>
    <w:rsid w:val="00B441B7"/>
    <w:rsid w:val="00B449BA"/>
    <w:rsid w:val="00B45DFD"/>
    <w:rsid w:val="00B46B87"/>
    <w:rsid w:val="00B47D93"/>
    <w:rsid w:val="00B50628"/>
    <w:rsid w:val="00B50A24"/>
    <w:rsid w:val="00B50D5B"/>
    <w:rsid w:val="00B51587"/>
    <w:rsid w:val="00B518D0"/>
    <w:rsid w:val="00B53601"/>
    <w:rsid w:val="00B54B6C"/>
    <w:rsid w:val="00B556BB"/>
    <w:rsid w:val="00B561B2"/>
    <w:rsid w:val="00B567A4"/>
    <w:rsid w:val="00B602E5"/>
    <w:rsid w:val="00B6038D"/>
    <w:rsid w:val="00B624C7"/>
    <w:rsid w:val="00B632BE"/>
    <w:rsid w:val="00B63F7C"/>
    <w:rsid w:val="00B64558"/>
    <w:rsid w:val="00B65A55"/>
    <w:rsid w:val="00B65FA3"/>
    <w:rsid w:val="00B66021"/>
    <w:rsid w:val="00B67466"/>
    <w:rsid w:val="00B7034F"/>
    <w:rsid w:val="00B72311"/>
    <w:rsid w:val="00B7262E"/>
    <w:rsid w:val="00B74C2D"/>
    <w:rsid w:val="00B75A7B"/>
    <w:rsid w:val="00B76083"/>
    <w:rsid w:val="00B76F66"/>
    <w:rsid w:val="00B776CF"/>
    <w:rsid w:val="00B77C98"/>
    <w:rsid w:val="00B811F7"/>
    <w:rsid w:val="00B81EEB"/>
    <w:rsid w:val="00B82CC2"/>
    <w:rsid w:val="00B82F90"/>
    <w:rsid w:val="00B86844"/>
    <w:rsid w:val="00B86A29"/>
    <w:rsid w:val="00B87FD7"/>
    <w:rsid w:val="00B90FBC"/>
    <w:rsid w:val="00B91552"/>
    <w:rsid w:val="00B91A8B"/>
    <w:rsid w:val="00B92354"/>
    <w:rsid w:val="00B93273"/>
    <w:rsid w:val="00B9346F"/>
    <w:rsid w:val="00B9358B"/>
    <w:rsid w:val="00B93C4B"/>
    <w:rsid w:val="00B96ADC"/>
    <w:rsid w:val="00B97E83"/>
    <w:rsid w:val="00BA1722"/>
    <w:rsid w:val="00BA1CB3"/>
    <w:rsid w:val="00BA2E42"/>
    <w:rsid w:val="00BA32A7"/>
    <w:rsid w:val="00BA3DDC"/>
    <w:rsid w:val="00BA5667"/>
    <w:rsid w:val="00BA5DC6"/>
    <w:rsid w:val="00BA6196"/>
    <w:rsid w:val="00BA6490"/>
    <w:rsid w:val="00BB0B7B"/>
    <w:rsid w:val="00BB1AF4"/>
    <w:rsid w:val="00BB35F6"/>
    <w:rsid w:val="00BB39F4"/>
    <w:rsid w:val="00BB49A0"/>
    <w:rsid w:val="00BB4C34"/>
    <w:rsid w:val="00BB7472"/>
    <w:rsid w:val="00BB783C"/>
    <w:rsid w:val="00BC02B3"/>
    <w:rsid w:val="00BC0C1E"/>
    <w:rsid w:val="00BC18CE"/>
    <w:rsid w:val="00BC5550"/>
    <w:rsid w:val="00BC598D"/>
    <w:rsid w:val="00BC6663"/>
    <w:rsid w:val="00BC6AAC"/>
    <w:rsid w:val="00BC6D8C"/>
    <w:rsid w:val="00BC7890"/>
    <w:rsid w:val="00BD0A5D"/>
    <w:rsid w:val="00BD0F80"/>
    <w:rsid w:val="00BD1644"/>
    <w:rsid w:val="00BD1DC4"/>
    <w:rsid w:val="00BD2DDF"/>
    <w:rsid w:val="00BD5C96"/>
    <w:rsid w:val="00BE13FF"/>
    <w:rsid w:val="00BE1A41"/>
    <w:rsid w:val="00BE2AB7"/>
    <w:rsid w:val="00BE5940"/>
    <w:rsid w:val="00BE6E09"/>
    <w:rsid w:val="00BE7149"/>
    <w:rsid w:val="00BF0940"/>
    <w:rsid w:val="00BF0BF5"/>
    <w:rsid w:val="00BF0FFD"/>
    <w:rsid w:val="00BF13E4"/>
    <w:rsid w:val="00BF1A72"/>
    <w:rsid w:val="00BF36FA"/>
    <w:rsid w:val="00BF3F4C"/>
    <w:rsid w:val="00BF42D4"/>
    <w:rsid w:val="00BF4657"/>
    <w:rsid w:val="00BF4EEC"/>
    <w:rsid w:val="00BF60F8"/>
    <w:rsid w:val="00BF6D93"/>
    <w:rsid w:val="00BF7212"/>
    <w:rsid w:val="00C00439"/>
    <w:rsid w:val="00C00940"/>
    <w:rsid w:val="00C01BCA"/>
    <w:rsid w:val="00C030F9"/>
    <w:rsid w:val="00C04165"/>
    <w:rsid w:val="00C044EE"/>
    <w:rsid w:val="00C048B6"/>
    <w:rsid w:val="00C0497F"/>
    <w:rsid w:val="00C05247"/>
    <w:rsid w:val="00C05842"/>
    <w:rsid w:val="00C0612B"/>
    <w:rsid w:val="00C0757C"/>
    <w:rsid w:val="00C10982"/>
    <w:rsid w:val="00C10B42"/>
    <w:rsid w:val="00C12DA1"/>
    <w:rsid w:val="00C139EC"/>
    <w:rsid w:val="00C13CD1"/>
    <w:rsid w:val="00C1463D"/>
    <w:rsid w:val="00C16307"/>
    <w:rsid w:val="00C17C23"/>
    <w:rsid w:val="00C20476"/>
    <w:rsid w:val="00C210E7"/>
    <w:rsid w:val="00C216E2"/>
    <w:rsid w:val="00C2331F"/>
    <w:rsid w:val="00C2364D"/>
    <w:rsid w:val="00C23EF0"/>
    <w:rsid w:val="00C24412"/>
    <w:rsid w:val="00C273B8"/>
    <w:rsid w:val="00C27DDD"/>
    <w:rsid w:val="00C30973"/>
    <w:rsid w:val="00C31606"/>
    <w:rsid w:val="00C329D2"/>
    <w:rsid w:val="00C34006"/>
    <w:rsid w:val="00C34393"/>
    <w:rsid w:val="00C343B1"/>
    <w:rsid w:val="00C373D7"/>
    <w:rsid w:val="00C37D27"/>
    <w:rsid w:val="00C4130C"/>
    <w:rsid w:val="00C426B1"/>
    <w:rsid w:val="00C42948"/>
    <w:rsid w:val="00C44094"/>
    <w:rsid w:val="00C447E0"/>
    <w:rsid w:val="00C45036"/>
    <w:rsid w:val="00C45BB7"/>
    <w:rsid w:val="00C45CC3"/>
    <w:rsid w:val="00C461D6"/>
    <w:rsid w:val="00C46DE6"/>
    <w:rsid w:val="00C47671"/>
    <w:rsid w:val="00C501D8"/>
    <w:rsid w:val="00C512FC"/>
    <w:rsid w:val="00C52043"/>
    <w:rsid w:val="00C52167"/>
    <w:rsid w:val="00C5491E"/>
    <w:rsid w:val="00C54DC0"/>
    <w:rsid w:val="00C55376"/>
    <w:rsid w:val="00C55518"/>
    <w:rsid w:val="00C556EB"/>
    <w:rsid w:val="00C55711"/>
    <w:rsid w:val="00C56DDD"/>
    <w:rsid w:val="00C57E7D"/>
    <w:rsid w:val="00C57EB7"/>
    <w:rsid w:val="00C57F6C"/>
    <w:rsid w:val="00C57F81"/>
    <w:rsid w:val="00C57FE2"/>
    <w:rsid w:val="00C604B1"/>
    <w:rsid w:val="00C61E39"/>
    <w:rsid w:val="00C61FE0"/>
    <w:rsid w:val="00C620D8"/>
    <w:rsid w:val="00C6432C"/>
    <w:rsid w:val="00C64E41"/>
    <w:rsid w:val="00C65726"/>
    <w:rsid w:val="00C678AC"/>
    <w:rsid w:val="00C70168"/>
    <w:rsid w:val="00C701C3"/>
    <w:rsid w:val="00C722F8"/>
    <w:rsid w:val="00C72565"/>
    <w:rsid w:val="00C725B5"/>
    <w:rsid w:val="00C72D7B"/>
    <w:rsid w:val="00C754F7"/>
    <w:rsid w:val="00C75559"/>
    <w:rsid w:val="00C75C37"/>
    <w:rsid w:val="00C76B2B"/>
    <w:rsid w:val="00C771B8"/>
    <w:rsid w:val="00C77786"/>
    <w:rsid w:val="00C80FED"/>
    <w:rsid w:val="00C815D7"/>
    <w:rsid w:val="00C81CD3"/>
    <w:rsid w:val="00C81EFE"/>
    <w:rsid w:val="00C826F9"/>
    <w:rsid w:val="00C8273C"/>
    <w:rsid w:val="00C827BF"/>
    <w:rsid w:val="00C83CA8"/>
    <w:rsid w:val="00C850AC"/>
    <w:rsid w:val="00C85417"/>
    <w:rsid w:val="00C854B0"/>
    <w:rsid w:val="00C85FC6"/>
    <w:rsid w:val="00C8769E"/>
    <w:rsid w:val="00C87889"/>
    <w:rsid w:val="00C90006"/>
    <w:rsid w:val="00C90D6A"/>
    <w:rsid w:val="00C91034"/>
    <w:rsid w:val="00C930E6"/>
    <w:rsid w:val="00C939FF"/>
    <w:rsid w:val="00C93A03"/>
    <w:rsid w:val="00C955A3"/>
    <w:rsid w:val="00C95ECA"/>
    <w:rsid w:val="00C971E8"/>
    <w:rsid w:val="00CA02F2"/>
    <w:rsid w:val="00CA3F3D"/>
    <w:rsid w:val="00CA4049"/>
    <w:rsid w:val="00CA43A3"/>
    <w:rsid w:val="00CA5600"/>
    <w:rsid w:val="00CA5CD7"/>
    <w:rsid w:val="00CA752C"/>
    <w:rsid w:val="00CB2664"/>
    <w:rsid w:val="00CB59D6"/>
    <w:rsid w:val="00CB5F2A"/>
    <w:rsid w:val="00CB7DD2"/>
    <w:rsid w:val="00CC09AE"/>
    <w:rsid w:val="00CC0ABD"/>
    <w:rsid w:val="00CC0C8D"/>
    <w:rsid w:val="00CC1CDC"/>
    <w:rsid w:val="00CC3BF1"/>
    <w:rsid w:val="00CC4E75"/>
    <w:rsid w:val="00CC6897"/>
    <w:rsid w:val="00CC72B6"/>
    <w:rsid w:val="00CC7754"/>
    <w:rsid w:val="00CD0407"/>
    <w:rsid w:val="00CD0D3B"/>
    <w:rsid w:val="00CD1686"/>
    <w:rsid w:val="00CD20F8"/>
    <w:rsid w:val="00CD28BF"/>
    <w:rsid w:val="00CD2E2B"/>
    <w:rsid w:val="00CD4D38"/>
    <w:rsid w:val="00CD4FEE"/>
    <w:rsid w:val="00CD5CF9"/>
    <w:rsid w:val="00CD5E0B"/>
    <w:rsid w:val="00CD6098"/>
    <w:rsid w:val="00CD69D8"/>
    <w:rsid w:val="00CD7D4B"/>
    <w:rsid w:val="00CE0A7E"/>
    <w:rsid w:val="00CE0BB4"/>
    <w:rsid w:val="00CE1D3D"/>
    <w:rsid w:val="00CE36E1"/>
    <w:rsid w:val="00CE3859"/>
    <w:rsid w:val="00CE51A2"/>
    <w:rsid w:val="00CE5D43"/>
    <w:rsid w:val="00CE71D3"/>
    <w:rsid w:val="00CE7218"/>
    <w:rsid w:val="00CE7C53"/>
    <w:rsid w:val="00CF004A"/>
    <w:rsid w:val="00CF0407"/>
    <w:rsid w:val="00CF0F54"/>
    <w:rsid w:val="00CF1BD0"/>
    <w:rsid w:val="00CF2963"/>
    <w:rsid w:val="00CF4D81"/>
    <w:rsid w:val="00CF6896"/>
    <w:rsid w:val="00CF7C4C"/>
    <w:rsid w:val="00D0166A"/>
    <w:rsid w:val="00D0218D"/>
    <w:rsid w:val="00D036DE"/>
    <w:rsid w:val="00D03A17"/>
    <w:rsid w:val="00D040B2"/>
    <w:rsid w:val="00D0425B"/>
    <w:rsid w:val="00D062B8"/>
    <w:rsid w:val="00D07A71"/>
    <w:rsid w:val="00D11508"/>
    <w:rsid w:val="00D118C9"/>
    <w:rsid w:val="00D12593"/>
    <w:rsid w:val="00D14787"/>
    <w:rsid w:val="00D15478"/>
    <w:rsid w:val="00D164D3"/>
    <w:rsid w:val="00D177B2"/>
    <w:rsid w:val="00D17A55"/>
    <w:rsid w:val="00D17B6C"/>
    <w:rsid w:val="00D17F76"/>
    <w:rsid w:val="00D20F0D"/>
    <w:rsid w:val="00D21436"/>
    <w:rsid w:val="00D2329F"/>
    <w:rsid w:val="00D237BC"/>
    <w:rsid w:val="00D23AFC"/>
    <w:rsid w:val="00D24A89"/>
    <w:rsid w:val="00D25D67"/>
    <w:rsid w:val="00D274FB"/>
    <w:rsid w:val="00D30216"/>
    <w:rsid w:val="00D306B1"/>
    <w:rsid w:val="00D30BAA"/>
    <w:rsid w:val="00D314DD"/>
    <w:rsid w:val="00D323A5"/>
    <w:rsid w:val="00D33139"/>
    <w:rsid w:val="00D33643"/>
    <w:rsid w:val="00D340C6"/>
    <w:rsid w:val="00D349CE"/>
    <w:rsid w:val="00D3524A"/>
    <w:rsid w:val="00D35486"/>
    <w:rsid w:val="00D374C3"/>
    <w:rsid w:val="00D3755B"/>
    <w:rsid w:val="00D4019E"/>
    <w:rsid w:val="00D41684"/>
    <w:rsid w:val="00D41D15"/>
    <w:rsid w:val="00D427DA"/>
    <w:rsid w:val="00D45FC6"/>
    <w:rsid w:val="00D46C2F"/>
    <w:rsid w:val="00D46E92"/>
    <w:rsid w:val="00D47DA2"/>
    <w:rsid w:val="00D5083F"/>
    <w:rsid w:val="00D50E3F"/>
    <w:rsid w:val="00D51670"/>
    <w:rsid w:val="00D53E6B"/>
    <w:rsid w:val="00D54ED0"/>
    <w:rsid w:val="00D55723"/>
    <w:rsid w:val="00D565D0"/>
    <w:rsid w:val="00D5687F"/>
    <w:rsid w:val="00D57027"/>
    <w:rsid w:val="00D57422"/>
    <w:rsid w:val="00D5755D"/>
    <w:rsid w:val="00D57675"/>
    <w:rsid w:val="00D57B0D"/>
    <w:rsid w:val="00D60FD4"/>
    <w:rsid w:val="00D6121B"/>
    <w:rsid w:val="00D612D6"/>
    <w:rsid w:val="00D6138E"/>
    <w:rsid w:val="00D62ED8"/>
    <w:rsid w:val="00D64204"/>
    <w:rsid w:val="00D648B5"/>
    <w:rsid w:val="00D663FA"/>
    <w:rsid w:val="00D665B0"/>
    <w:rsid w:val="00D668D4"/>
    <w:rsid w:val="00D67588"/>
    <w:rsid w:val="00D677DB"/>
    <w:rsid w:val="00D67F17"/>
    <w:rsid w:val="00D728E5"/>
    <w:rsid w:val="00D731F7"/>
    <w:rsid w:val="00D742AB"/>
    <w:rsid w:val="00D74D1B"/>
    <w:rsid w:val="00D759A2"/>
    <w:rsid w:val="00D7627B"/>
    <w:rsid w:val="00D77C90"/>
    <w:rsid w:val="00D77C97"/>
    <w:rsid w:val="00D8111D"/>
    <w:rsid w:val="00D81FBB"/>
    <w:rsid w:val="00D832FC"/>
    <w:rsid w:val="00D8341C"/>
    <w:rsid w:val="00D84BC7"/>
    <w:rsid w:val="00D85D7C"/>
    <w:rsid w:val="00D86D94"/>
    <w:rsid w:val="00D873D8"/>
    <w:rsid w:val="00D9193C"/>
    <w:rsid w:val="00D91A6D"/>
    <w:rsid w:val="00D91F9E"/>
    <w:rsid w:val="00D924EC"/>
    <w:rsid w:val="00D945F7"/>
    <w:rsid w:val="00D94FC5"/>
    <w:rsid w:val="00D96256"/>
    <w:rsid w:val="00D963C4"/>
    <w:rsid w:val="00D96A7F"/>
    <w:rsid w:val="00D97BD0"/>
    <w:rsid w:val="00DA0480"/>
    <w:rsid w:val="00DA0A0D"/>
    <w:rsid w:val="00DA0B33"/>
    <w:rsid w:val="00DA2529"/>
    <w:rsid w:val="00DA4188"/>
    <w:rsid w:val="00DA4AB1"/>
    <w:rsid w:val="00DA4CAF"/>
    <w:rsid w:val="00DA4D2E"/>
    <w:rsid w:val="00DA4DAB"/>
    <w:rsid w:val="00DA5957"/>
    <w:rsid w:val="00DA6B31"/>
    <w:rsid w:val="00DA7598"/>
    <w:rsid w:val="00DB130A"/>
    <w:rsid w:val="00DB1F65"/>
    <w:rsid w:val="00DB36B7"/>
    <w:rsid w:val="00DB3879"/>
    <w:rsid w:val="00DB3E54"/>
    <w:rsid w:val="00DB51A6"/>
    <w:rsid w:val="00DB61FB"/>
    <w:rsid w:val="00DC004F"/>
    <w:rsid w:val="00DC10A1"/>
    <w:rsid w:val="00DC33F6"/>
    <w:rsid w:val="00DC3965"/>
    <w:rsid w:val="00DC655F"/>
    <w:rsid w:val="00DC708B"/>
    <w:rsid w:val="00DD0A34"/>
    <w:rsid w:val="00DD0FFF"/>
    <w:rsid w:val="00DD10E3"/>
    <w:rsid w:val="00DD1205"/>
    <w:rsid w:val="00DD1293"/>
    <w:rsid w:val="00DD16A8"/>
    <w:rsid w:val="00DD16AB"/>
    <w:rsid w:val="00DD2920"/>
    <w:rsid w:val="00DD2BC1"/>
    <w:rsid w:val="00DD3AAE"/>
    <w:rsid w:val="00DD4106"/>
    <w:rsid w:val="00DD4FDB"/>
    <w:rsid w:val="00DD7055"/>
    <w:rsid w:val="00DD7EBD"/>
    <w:rsid w:val="00DE03B3"/>
    <w:rsid w:val="00DE086D"/>
    <w:rsid w:val="00DE3FB7"/>
    <w:rsid w:val="00DE49F7"/>
    <w:rsid w:val="00DE5AE6"/>
    <w:rsid w:val="00DE6870"/>
    <w:rsid w:val="00DE7B9A"/>
    <w:rsid w:val="00DF02C8"/>
    <w:rsid w:val="00DF03A1"/>
    <w:rsid w:val="00DF051F"/>
    <w:rsid w:val="00DF0850"/>
    <w:rsid w:val="00DF127F"/>
    <w:rsid w:val="00DF1E9E"/>
    <w:rsid w:val="00DF24D1"/>
    <w:rsid w:val="00DF3109"/>
    <w:rsid w:val="00DF3E9E"/>
    <w:rsid w:val="00DF4E15"/>
    <w:rsid w:val="00DF4E27"/>
    <w:rsid w:val="00DF5188"/>
    <w:rsid w:val="00DF62B6"/>
    <w:rsid w:val="00DF63ED"/>
    <w:rsid w:val="00DF6D30"/>
    <w:rsid w:val="00E02062"/>
    <w:rsid w:val="00E025AE"/>
    <w:rsid w:val="00E0455D"/>
    <w:rsid w:val="00E064BD"/>
    <w:rsid w:val="00E06591"/>
    <w:rsid w:val="00E06B56"/>
    <w:rsid w:val="00E06B9C"/>
    <w:rsid w:val="00E07225"/>
    <w:rsid w:val="00E0734B"/>
    <w:rsid w:val="00E10430"/>
    <w:rsid w:val="00E11E2D"/>
    <w:rsid w:val="00E1268D"/>
    <w:rsid w:val="00E12C07"/>
    <w:rsid w:val="00E13338"/>
    <w:rsid w:val="00E1458B"/>
    <w:rsid w:val="00E15F55"/>
    <w:rsid w:val="00E17177"/>
    <w:rsid w:val="00E20042"/>
    <w:rsid w:val="00E2042C"/>
    <w:rsid w:val="00E222CD"/>
    <w:rsid w:val="00E22985"/>
    <w:rsid w:val="00E230FC"/>
    <w:rsid w:val="00E2456E"/>
    <w:rsid w:val="00E24F08"/>
    <w:rsid w:val="00E25083"/>
    <w:rsid w:val="00E2514D"/>
    <w:rsid w:val="00E25702"/>
    <w:rsid w:val="00E26DF6"/>
    <w:rsid w:val="00E27619"/>
    <w:rsid w:val="00E27A2A"/>
    <w:rsid w:val="00E31381"/>
    <w:rsid w:val="00E32D76"/>
    <w:rsid w:val="00E335D3"/>
    <w:rsid w:val="00E33EE0"/>
    <w:rsid w:val="00E34293"/>
    <w:rsid w:val="00E357B2"/>
    <w:rsid w:val="00E35E86"/>
    <w:rsid w:val="00E37288"/>
    <w:rsid w:val="00E40063"/>
    <w:rsid w:val="00E401D0"/>
    <w:rsid w:val="00E413F6"/>
    <w:rsid w:val="00E42288"/>
    <w:rsid w:val="00E426E4"/>
    <w:rsid w:val="00E43769"/>
    <w:rsid w:val="00E43D67"/>
    <w:rsid w:val="00E4492B"/>
    <w:rsid w:val="00E44B75"/>
    <w:rsid w:val="00E452CE"/>
    <w:rsid w:val="00E454EF"/>
    <w:rsid w:val="00E46116"/>
    <w:rsid w:val="00E470F5"/>
    <w:rsid w:val="00E519E5"/>
    <w:rsid w:val="00E51D29"/>
    <w:rsid w:val="00E51E7E"/>
    <w:rsid w:val="00E529F5"/>
    <w:rsid w:val="00E53C61"/>
    <w:rsid w:val="00E5409F"/>
    <w:rsid w:val="00E555E7"/>
    <w:rsid w:val="00E62873"/>
    <w:rsid w:val="00E62DB3"/>
    <w:rsid w:val="00E6371E"/>
    <w:rsid w:val="00E6562E"/>
    <w:rsid w:val="00E65A4B"/>
    <w:rsid w:val="00E66460"/>
    <w:rsid w:val="00E670D6"/>
    <w:rsid w:val="00E67762"/>
    <w:rsid w:val="00E67C2B"/>
    <w:rsid w:val="00E67EEF"/>
    <w:rsid w:val="00E70400"/>
    <w:rsid w:val="00E709E7"/>
    <w:rsid w:val="00E72563"/>
    <w:rsid w:val="00E726C8"/>
    <w:rsid w:val="00E72905"/>
    <w:rsid w:val="00E73A12"/>
    <w:rsid w:val="00E73D25"/>
    <w:rsid w:val="00E73EB0"/>
    <w:rsid w:val="00E7432D"/>
    <w:rsid w:val="00E76743"/>
    <w:rsid w:val="00E77AB5"/>
    <w:rsid w:val="00E80C0E"/>
    <w:rsid w:val="00E827A9"/>
    <w:rsid w:val="00E82F36"/>
    <w:rsid w:val="00E84BBF"/>
    <w:rsid w:val="00E84D7B"/>
    <w:rsid w:val="00E85ECB"/>
    <w:rsid w:val="00E85F2D"/>
    <w:rsid w:val="00E866BA"/>
    <w:rsid w:val="00E86863"/>
    <w:rsid w:val="00E86966"/>
    <w:rsid w:val="00E87174"/>
    <w:rsid w:val="00E87663"/>
    <w:rsid w:val="00E87E0D"/>
    <w:rsid w:val="00E902FE"/>
    <w:rsid w:val="00E90331"/>
    <w:rsid w:val="00E9424B"/>
    <w:rsid w:val="00E94AFD"/>
    <w:rsid w:val="00E953C2"/>
    <w:rsid w:val="00E96573"/>
    <w:rsid w:val="00E97A6B"/>
    <w:rsid w:val="00EA0F24"/>
    <w:rsid w:val="00EA1F32"/>
    <w:rsid w:val="00EA6367"/>
    <w:rsid w:val="00EB20B7"/>
    <w:rsid w:val="00EB36D5"/>
    <w:rsid w:val="00EB43DF"/>
    <w:rsid w:val="00EB4BF2"/>
    <w:rsid w:val="00EB53CE"/>
    <w:rsid w:val="00EB592E"/>
    <w:rsid w:val="00EB5CD2"/>
    <w:rsid w:val="00EB605C"/>
    <w:rsid w:val="00EB6B7B"/>
    <w:rsid w:val="00EC1F81"/>
    <w:rsid w:val="00EC348D"/>
    <w:rsid w:val="00EC459E"/>
    <w:rsid w:val="00EC4757"/>
    <w:rsid w:val="00EC5135"/>
    <w:rsid w:val="00EC51FD"/>
    <w:rsid w:val="00EC588F"/>
    <w:rsid w:val="00EC65EE"/>
    <w:rsid w:val="00EC6E3C"/>
    <w:rsid w:val="00EC7C5A"/>
    <w:rsid w:val="00ED0688"/>
    <w:rsid w:val="00ED2E97"/>
    <w:rsid w:val="00ED3734"/>
    <w:rsid w:val="00ED3FD3"/>
    <w:rsid w:val="00ED5926"/>
    <w:rsid w:val="00ED7D18"/>
    <w:rsid w:val="00ED7EE1"/>
    <w:rsid w:val="00EE2E1F"/>
    <w:rsid w:val="00EE2F2B"/>
    <w:rsid w:val="00EE3502"/>
    <w:rsid w:val="00EE3808"/>
    <w:rsid w:val="00EE3C57"/>
    <w:rsid w:val="00EE40C7"/>
    <w:rsid w:val="00EE427E"/>
    <w:rsid w:val="00EE4A89"/>
    <w:rsid w:val="00EE61C3"/>
    <w:rsid w:val="00EE66E3"/>
    <w:rsid w:val="00EF0198"/>
    <w:rsid w:val="00EF02FD"/>
    <w:rsid w:val="00EF100C"/>
    <w:rsid w:val="00EF109C"/>
    <w:rsid w:val="00EF2ED1"/>
    <w:rsid w:val="00EF3BC1"/>
    <w:rsid w:val="00EF3BD9"/>
    <w:rsid w:val="00EF408A"/>
    <w:rsid w:val="00EF4D90"/>
    <w:rsid w:val="00EF5BD8"/>
    <w:rsid w:val="00EF5D0D"/>
    <w:rsid w:val="00EF6172"/>
    <w:rsid w:val="00EF79C8"/>
    <w:rsid w:val="00F000A2"/>
    <w:rsid w:val="00F00B8B"/>
    <w:rsid w:val="00F021FA"/>
    <w:rsid w:val="00F029A7"/>
    <w:rsid w:val="00F02CA1"/>
    <w:rsid w:val="00F02D45"/>
    <w:rsid w:val="00F036B6"/>
    <w:rsid w:val="00F03AD9"/>
    <w:rsid w:val="00F03CA8"/>
    <w:rsid w:val="00F04B17"/>
    <w:rsid w:val="00F0548E"/>
    <w:rsid w:val="00F05FFC"/>
    <w:rsid w:val="00F07701"/>
    <w:rsid w:val="00F105D4"/>
    <w:rsid w:val="00F1061A"/>
    <w:rsid w:val="00F1142C"/>
    <w:rsid w:val="00F14488"/>
    <w:rsid w:val="00F1545E"/>
    <w:rsid w:val="00F15FFD"/>
    <w:rsid w:val="00F16018"/>
    <w:rsid w:val="00F20656"/>
    <w:rsid w:val="00F20BED"/>
    <w:rsid w:val="00F20E1A"/>
    <w:rsid w:val="00F21ED7"/>
    <w:rsid w:val="00F22F37"/>
    <w:rsid w:val="00F23A30"/>
    <w:rsid w:val="00F24388"/>
    <w:rsid w:val="00F248C7"/>
    <w:rsid w:val="00F24F6C"/>
    <w:rsid w:val="00F250E9"/>
    <w:rsid w:val="00F25681"/>
    <w:rsid w:val="00F26D9D"/>
    <w:rsid w:val="00F278E9"/>
    <w:rsid w:val="00F27E01"/>
    <w:rsid w:val="00F30AA7"/>
    <w:rsid w:val="00F31180"/>
    <w:rsid w:val="00F31537"/>
    <w:rsid w:val="00F31EDB"/>
    <w:rsid w:val="00F33DA1"/>
    <w:rsid w:val="00F33FAA"/>
    <w:rsid w:val="00F3455B"/>
    <w:rsid w:val="00F36C17"/>
    <w:rsid w:val="00F36FD1"/>
    <w:rsid w:val="00F373D7"/>
    <w:rsid w:val="00F410B9"/>
    <w:rsid w:val="00F4229F"/>
    <w:rsid w:val="00F42449"/>
    <w:rsid w:val="00F42607"/>
    <w:rsid w:val="00F433BC"/>
    <w:rsid w:val="00F43BD0"/>
    <w:rsid w:val="00F44DDD"/>
    <w:rsid w:val="00F460B1"/>
    <w:rsid w:val="00F4614B"/>
    <w:rsid w:val="00F46E54"/>
    <w:rsid w:val="00F51085"/>
    <w:rsid w:val="00F511C3"/>
    <w:rsid w:val="00F51DC2"/>
    <w:rsid w:val="00F52181"/>
    <w:rsid w:val="00F545F1"/>
    <w:rsid w:val="00F54DB2"/>
    <w:rsid w:val="00F54F63"/>
    <w:rsid w:val="00F557C5"/>
    <w:rsid w:val="00F55F74"/>
    <w:rsid w:val="00F56527"/>
    <w:rsid w:val="00F569C7"/>
    <w:rsid w:val="00F62DB8"/>
    <w:rsid w:val="00F62E97"/>
    <w:rsid w:val="00F632A4"/>
    <w:rsid w:val="00F64209"/>
    <w:rsid w:val="00F64F26"/>
    <w:rsid w:val="00F64F8A"/>
    <w:rsid w:val="00F65C1A"/>
    <w:rsid w:val="00F669CC"/>
    <w:rsid w:val="00F67505"/>
    <w:rsid w:val="00F71459"/>
    <w:rsid w:val="00F74B01"/>
    <w:rsid w:val="00F77DF5"/>
    <w:rsid w:val="00F8034B"/>
    <w:rsid w:val="00F846BE"/>
    <w:rsid w:val="00F875C8"/>
    <w:rsid w:val="00F87FA1"/>
    <w:rsid w:val="00F9020E"/>
    <w:rsid w:val="00F90A34"/>
    <w:rsid w:val="00F92237"/>
    <w:rsid w:val="00F93BF5"/>
    <w:rsid w:val="00F94955"/>
    <w:rsid w:val="00F96452"/>
    <w:rsid w:val="00FA058D"/>
    <w:rsid w:val="00FA12BC"/>
    <w:rsid w:val="00FA3854"/>
    <w:rsid w:val="00FA5D1B"/>
    <w:rsid w:val="00FA6F2F"/>
    <w:rsid w:val="00FA73ED"/>
    <w:rsid w:val="00FB0965"/>
    <w:rsid w:val="00FB1702"/>
    <w:rsid w:val="00FB269D"/>
    <w:rsid w:val="00FB3628"/>
    <w:rsid w:val="00FB3C9F"/>
    <w:rsid w:val="00FB5AF7"/>
    <w:rsid w:val="00FB654D"/>
    <w:rsid w:val="00FB69E4"/>
    <w:rsid w:val="00FB776D"/>
    <w:rsid w:val="00FB783C"/>
    <w:rsid w:val="00FC0014"/>
    <w:rsid w:val="00FC0CEB"/>
    <w:rsid w:val="00FC1A0D"/>
    <w:rsid w:val="00FC2AA0"/>
    <w:rsid w:val="00FC2BE8"/>
    <w:rsid w:val="00FC4B6B"/>
    <w:rsid w:val="00FC5391"/>
    <w:rsid w:val="00FC599E"/>
    <w:rsid w:val="00FC5DAE"/>
    <w:rsid w:val="00FD0187"/>
    <w:rsid w:val="00FD02CF"/>
    <w:rsid w:val="00FD1144"/>
    <w:rsid w:val="00FD33DE"/>
    <w:rsid w:val="00FD3486"/>
    <w:rsid w:val="00FD36D2"/>
    <w:rsid w:val="00FD37FF"/>
    <w:rsid w:val="00FD4A7E"/>
    <w:rsid w:val="00FD71E0"/>
    <w:rsid w:val="00FD7F68"/>
    <w:rsid w:val="00FE0848"/>
    <w:rsid w:val="00FE097E"/>
    <w:rsid w:val="00FE1348"/>
    <w:rsid w:val="00FE15AE"/>
    <w:rsid w:val="00FE3246"/>
    <w:rsid w:val="00FE35FA"/>
    <w:rsid w:val="00FE434C"/>
    <w:rsid w:val="00FE5273"/>
    <w:rsid w:val="00FE5BE1"/>
    <w:rsid w:val="00FF0E2A"/>
    <w:rsid w:val="00FF26F0"/>
    <w:rsid w:val="00FF28A6"/>
    <w:rsid w:val="00FF40FD"/>
    <w:rsid w:val="00FF67D4"/>
    <w:rsid w:val="00FF7690"/>
    <w:rsid w:val="00FF7C3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rmal (Web)" w:uiPriority="99"/>
    <w:lsdException w:name="HTML Cit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1E8"/>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6941E8"/>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h2 Cha,h2 Char"/>
    <w:basedOn w:val="Normal"/>
    <w:next w:val="ParaNum"/>
    <w:link w:val="Heading2Char2"/>
    <w:autoRedefine/>
    <w:qFormat/>
    <w:rsid w:val="006941E8"/>
    <w:pPr>
      <w:keepNext/>
      <w:numPr>
        <w:ilvl w:val="1"/>
        <w:numId w:val="2"/>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h,3 Char,1 Char"/>
    <w:basedOn w:val="Normal"/>
    <w:next w:val="ParaNum"/>
    <w:link w:val="Heading3Char2"/>
    <w:qFormat/>
    <w:rsid w:val="006941E8"/>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3"/>
    <w:qFormat/>
    <w:rsid w:val="006941E8"/>
    <w:pPr>
      <w:keepNext/>
      <w:numPr>
        <w:ilvl w:val="3"/>
        <w:numId w:val="2"/>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1"/>
    <w:qFormat/>
    <w:rsid w:val="006941E8"/>
    <w:pPr>
      <w:keepNext/>
      <w:numPr>
        <w:ilvl w:val="4"/>
        <w:numId w:val="2"/>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link w:val="Heading6Char"/>
    <w:qFormat/>
    <w:rsid w:val="006941E8"/>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6941E8"/>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6941E8"/>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1"/>
    <w:qFormat/>
    <w:rsid w:val="006941E8"/>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941E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941E8"/>
  </w:style>
  <w:style w:type="paragraph" w:customStyle="1" w:styleId="ParaNum">
    <w:name w:val="ParaNum"/>
    <w:basedOn w:val="Normal"/>
    <w:link w:val="ParaNumChar"/>
    <w:rsid w:val="006941E8"/>
    <w:pPr>
      <w:numPr>
        <w:numId w:val="1"/>
      </w:numPr>
      <w:tabs>
        <w:tab w:val="clear" w:pos="1080"/>
        <w:tab w:val="num" w:pos="1440"/>
      </w:tabs>
      <w:spacing w:after="120"/>
    </w:pPr>
  </w:style>
  <w:style w:type="paragraph" w:styleId="EndnoteText">
    <w:name w:val="endnote text"/>
    <w:basedOn w:val="Normal"/>
    <w:link w:val="EndnoteTextChar"/>
    <w:semiHidden/>
    <w:rsid w:val="006941E8"/>
    <w:rPr>
      <w:sz w:val="20"/>
    </w:rPr>
  </w:style>
  <w:style w:type="character" w:styleId="EndnoteReference">
    <w:name w:val="endnote reference"/>
    <w:semiHidden/>
    <w:rsid w:val="006941E8"/>
    <w:rPr>
      <w:vertAlign w:val="superscript"/>
    </w:r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r"/>
    <w:link w:val="FootnoteTextChar1"/>
    <w:rsid w:val="006941E8"/>
    <w:pPr>
      <w:spacing w:after="120"/>
    </w:pPr>
  </w:style>
  <w:style w:type="character" w:styleId="FootnoteReference">
    <w:name w:val="footnote reference"/>
    <w:aliases w:val="Appel note de bas de p,Style 12,(NECG) Footnote Reference,Style 124,o,fr,Style 3,Style 13,FR,Style 17,Footnote Reference/,Style 6,Style 7"/>
    <w:rsid w:val="006941E8"/>
    <w:rPr>
      <w:rFonts w:ascii="Times New Roman" w:hAnsi="Times New Roman"/>
      <w:dstrike w:val="0"/>
      <w:color w:val="auto"/>
      <w:sz w:val="20"/>
      <w:vertAlign w:val="superscript"/>
    </w:rPr>
  </w:style>
  <w:style w:type="paragraph" w:styleId="TOC1">
    <w:name w:val="toc 1"/>
    <w:basedOn w:val="Normal"/>
    <w:next w:val="Normal"/>
    <w:rsid w:val="006941E8"/>
    <w:pPr>
      <w:tabs>
        <w:tab w:val="left" w:pos="360"/>
        <w:tab w:val="right" w:leader="dot" w:pos="9360"/>
      </w:tabs>
      <w:suppressAutoHyphens/>
      <w:ind w:left="360" w:right="720" w:hanging="360"/>
    </w:pPr>
    <w:rPr>
      <w:caps/>
      <w:noProof/>
    </w:rPr>
  </w:style>
  <w:style w:type="paragraph" w:styleId="TOC2">
    <w:name w:val="toc 2"/>
    <w:basedOn w:val="Normal"/>
    <w:next w:val="Normal"/>
    <w:rsid w:val="006941E8"/>
    <w:pPr>
      <w:tabs>
        <w:tab w:val="left" w:pos="720"/>
        <w:tab w:val="right" w:leader="dot" w:pos="9360"/>
      </w:tabs>
      <w:suppressAutoHyphens/>
      <w:ind w:left="720" w:right="720" w:hanging="360"/>
    </w:pPr>
    <w:rPr>
      <w:noProof/>
    </w:rPr>
  </w:style>
  <w:style w:type="paragraph" w:styleId="TOC3">
    <w:name w:val="toc 3"/>
    <w:basedOn w:val="Normal"/>
    <w:next w:val="Normal"/>
    <w:rsid w:val="006941E8"/>
    <w:pPr>
      <w:tabs>
        <w:tab w:val="left" w:pos="1080"/>
        <w:tab w:val="right" w:leader="dot" w:pos="9360"/>
      </w:tabs>
      <w:suppressAutoHyphens/>
      <w:ind w:left="1080" w:right="720" w:hanging="360"/>
    </w:pPr>
    <w:rPr>
      <w:noProof/>
    </w:rPr>
  </w:style>
  <w:style w:type="paragraph" w:styleId="TOC4">
    <w:name w:val="toc 4"/>
    <w:basedOn w:val="Normal"/>
    <w:next w:val="Normal"/>
    <w:autoRedefine/>
    <w:rsid w:val="006941E8"/>
    <w:pPr>
      <w:tabs>
        <w:tab w:val="left" w:pos="1440"/>
        <w:tab w:val="right" w:leader="dot" w:pos="9360"/>
      </w:tabs>
      <w:suppressAutoHyphens/>
      <w:ind w:left="1440" w:right="720" w:hanging="360"/>
    </w:pPr>
    <w:rPr>
      <w:noProof/>
    </w:rPr>
  </w:style>
  <w:style w:type="paragraph" w:styleId="TOC5">
    <w:name w:val="toc 5"/>
    <w:basedOn w:val="Normal"/>
    <w:next w:val="Normal"/>
    <w:autoRedefine/>
    <w:rsid w:val="006941E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941E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941E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941E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941E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941E8"/>
    <w:pPr>
      <w:tabs>
        <w:tab w:val="right" w:pos="9360"/>
      </w:tabs>
      <w:suppressAutoHyphens/>
    </w:pPr>
  </w:style>
  <w:style w:type="character" w:customStyle="1" w:styleId="EquationCaption">
    <w:name w:val="_Equation Caption"/>
    <w:rsid w:val="006941E8"/>
  </w:style>
  <w:style w:type="paragraph" w:styleId="Header">
    <w:name w:val="header"/>
    <w:basedOn w:val="Normal"/>
    <w:link w:val="HeaderChar"/>
    <w:autoRedefine/>
    <w:rsid w:val="006941E8"/>
    <w:pPr>
      <w:tabs>
        <w:tab w:val="center" w:pos="4680"/>
        <w:tab w:val="right" w:pos="9360"/>
      </w:tabs>
    </w:pPr>
    <w:rPr>
      <w:b/>
    </w:rPr>
  </w:style>
  <w:style w:type="paragraph" w:styleId="Footer">
    <w:name w:val="footer"/>
    <w:basedOn w:val="Normal"/>
    <w:link w:val="FooterChar"/>
    <w:rsid w:val="006941E8"/>
    <w:pPr>
      <w:tabs>
        <w:tab w:val="center" w:pos="4320"/>
        <w:tab w:val="right" w:pos="8640"/>
      </w:tabs>
    </w:pPr>
  </w:style>
  <w:style w:type="character" w:styleId="PageNumber">
    <w:name w:val="page number"/>
    <w:basedOn w:val="DefaultParagraphFont"/>
    <w:rsid w:val="006941E8"/>
  </w:style>
  <w:style w:type="paragraph" w:styleId="BlockText">
    <w:name w:val="Block Text"/>
    <w:basedOn w:val="Normal"/>
    <w:rsid w:val="006941E8"/>
    <w:pPr>
      <w:spacing w:after="240"/>
      <w:ind w:left="1440" w:right="1440"/>
    </w:pPr>
  </w:style>
  <w:style w:type="paragraph" w:customStyle="1" w:styleId="Paratitle">
    <w:name w:val="Para title"/>
    <w:basedOn w:val="Normal"/>
    <w:rsid w:val="006941E8"/>
    <w:pPr>
      <w:tabs>
        <w:tab w:val="center" w:pos="9270"/>
      </w:tabs>
      <w:spacing w:after="240"/>
    </w:pPr>
    <w:rPr>
      <w:spacing w:val="-2"/>
    </w:rPr>
  </w:style>
  <w:style w:type="paragraph" w:customStyle="1" w:styleId="Bullet">
    <w:name w:val="Bullet"/>
    <w:basedOn w:val="Normal"/>
    <w:rsid w:val="006941E8"/>
    <w:pPr>
      <w:tabs>
        <w:tab w:val="left" w:pos="2160"/>
      </w:tabs>
      <w:spacing w:after="220"/>
      <w:ind w:left="2160" w:hanging="720"/>
    </w:pPr>
  </w:style>
  <w:style w:type="paragraph" w:customStyle="1" w:styleId="TableFormat">
    <w:name w:val="TableFormat"/>
    <w:basedOn w:val="Bullet"/>
    <w:rsid w:val="006941E8"/>
    <w:pPr>
      <w:tabs>
        <w:tab w:val="clear" w:pos="2160"/>
        <w:tab w:val="left" w:pos="5040"/>
      </w:tabs>
      <w:ind w:left="5040" w:hanging="3600"/>
    </w:pPr>
  </w:style>
  <w:style w:type="paragraph" w:customStyle="1" w:styleId="TOCTitle">
    <w:name w:val="TOC Title"/>
    <w:basedOn w:val="Normal"/>
    <w:rsid w:val="006941E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941E8"/>
    <w:pPr>
      <w:jc w:val="center"/>
    </w:pPr>
    <w:rPr>
      <w:rFonts w:ascii="Times New Roman Bold" w:hAnsi="Times New Roman Bold"/>
      <w:b/>
      <w:bCs/>
      <w:caps/>
      <w:szCs w:val="22"/>
    </w:rPr>
  </w:style>
  <w:style w:type="character" w:styleId="Hyperlink">
    <w:name w:val="Hyperlink"/>
    <w:rsid w:val="006941E8"/>
    <w:rPr>
      <w:color w:val="0000FF"/>
      <w:u w:val="single"/>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523517"/>
    <w:rPr>
      <w:rFonts w:ascii="Times New Roman Bold" w:hAnsi="Times New Roman Bold"/>
      <w:b/>
      <w:caps/>
      <w:snapToGrid w:val="0"/>
      <w:kern w:val="28"/>
      <w:sz w:val="22"/>
    </w:rPr>
  </w:style>
  <w:style w:type="character" w:customStyle="1" w:styleId="Heading2Char">
    <w:name w:val="Heading 2 Char"/>
    <w:aliases w:val="h2 Char Char,UNDERRUBRIK 1-2 Char Char,Heading 2 Char Char1 Char,Heading 2 Char1 Char Char Char1,Heading 2 Char Char2 Char,Heading 2 Char1 Char Char1,Heading 2 Char2 Char"/>
    <w:rsid w:val="00033EED"/>
    <w:rPr>
      <w:rFonts w:ascii="Cambria" w:eastAsia="MS Gothic" w:hAnsi="Cambria" w:cs="Times New Roman"/>
      <w:b/>
      <w:bCs/>
      <w:snapToGrid w:val="0"/>
      <w:color w:val="4F81BD"/>
      <w:kern w:val="28"/>
      <w:sz w:val="26"/>
      <w:szCs w:val="26"/>
    </w:rPr>
  </w:style>
  <w:style w:type="character" w:customStyle="1" w:styleId="Heading3Char">
    <w:name w:val="Heading 3 Char"/>
    <w:aliases w:val="Titre 3 Char Char,31 Char Char,Titre 31 Char Char,?? 3 Char Char,3 Char1,Titre 3 Char1,1 Char1,31 Char1,Titre 31 Char1,?? 3 Char1"/>
    <w:rsid w:val="00033EED"/>
    <w:rPr>
      <w:rFonts w:ascii="Cambria" w:eastAsia="MS Gothic" w:hAnsi="Cambria" w:cs="Times New Roman"/>
      <w:b/>
      <w:bCs/>
      <w:snapToGrid w:val="0"/>
      <w:color w:val="4F81BD"/>
      <w:kern w:val="28"/>
      <w:sz w:val="22"/>
      <w:szCs w:val="20"/>
    </w:rPr>
  </w:style>
  <w:style w:type="character" w:customStyle="1" w:styleId="Heading4Char">
    <w:name w:val="Heading 4 Char"/>
    <w:aliases w:val="Heading 4 Char2 Char Char1 Char,Heading 4 Char Char1 Char Char1 Char"/>
    <w:rsid w:val="00033EED"/>
    <w:rPr>
      <w:rFonts w:ascii="Cambria" w:eastAsia="MS Gothic" w:hAnsi="Cambria" w:cs="Times New Roman"/>
      <w:b/>
      <w:bCs/>
      <w:i/>
      <w:iCs/>
      <w:snapToGrid w:val="0"/>
      <w:color w:val="4F81BD"/>
      <w:kern w:val="28"/>
      <w:sz w:val="22"/>
      <w:szCs w:val="20"/>
    </w:rPr>
  </w:style>
  <w:style w:type="character" w:customStyle="1" w:styleId="Heading5Char">
    <w:name w:val="Heading 5 Char"/>
    <w:rsid w:val="00033EED"/>
    <w:rPr>
      <w:rFonts w:ascii="Cambria" w:eastAsia="MS Gothic" w:hAnsi="Cambria" w:cs="Times New Roman"/>
      <w:snapToGrid w:val="0"/>
      <w:color w:val="243F60"/>
      <w:kern w:val="28"/>
      <w:sz w:val="22"/>
      <w:szCs w:val="20"/>
    </w:rPr>
  </w:style>
  <w:style w:type="character" w:customStyle="1" w:styleId="Heading6Char">
    <w:name w:val="Heading 6 Char"/>
    <w:aliases w:val="h6 Char,Heading 6 Char2 Char,Heading 6 Char1 Char Char,Heading 6 Char Char Char Char,Heading 6 Char Char1 Char,Heading 6 Char1 Char1,Heading 6 Char Char Char1"/>
    <w:link w:val="Heading6"/>
    <w:rsid w:val="00523517"/>
    <w:rPr>
      <w:b/>
      <w:snapToGrid w:val="0"/>
      <w:kern w:val="28"/>
      <w:sz w:val="22"/>
    </w:rPr>
  </w:style>
  <w:style w:type="character" w:customStyle="1" w:styleId="Heading7Char">
    <w:name w:val="Heading 7 Char"/>
    <w:link w:val="Heading7"/>
    <w:rsid w:val="00523517"/>
    <w:rPr>
      <w:b/>
      <w:snapToGrid w:val="0"/>
      <w:kern w:val="28"/>
      <w:sz w:val="22"/>
    </w:rPr>
  </w:style>
  <w:style w:type="character" w:customStyle="1" w:styleId="Heading8Char">
    <w:name w:val="Heading 8 Char"/>
    <w:link w:val="Heading8"/>
    <w:rsid w:val="00523517"/>
    <w:rPr>
      <w:b/>
      <w:snapToGrid w:val="0"/>
      <w:kern w:val="28"/>
      <w:sz w:val="22"/>
    </w:rPr>
  </w:style>
  <w:style w:type="character" w:customStyle="1" w:styleId="Heading9Char">
    <w:name w:val="Heading 9 Char"/>
    <w:rsid w:val="00033EED"/>
    <w:rPr>
      <w:rFonts w:ascii="Cambria" w:eastAsia="MS Gothic" w:hAnsi="Cambria" w:cs="Times New Roman"/>
      <w:i/>
      <w:iCs/>
      <w:snapToGrid w:val="0"/>
      <w:color w:val="404040"/>
      <w:kern w:val="28"/>
      <w:sz w:val="20"/>
      <w:szCs w:val="20"/>
    </w:rPr>
  </w:style>
  <w:style w:type="character" w:customStyle="1" w:styleId="ParaNumChar">
    <w:name w:val="ParaNum Char"/>
    <w:link w:val="ParaNum"/>
    <w:rsid w:val="00523517"/>
    <w:rPr>
      <w:snapToGrid w:val="0"/>
      <w:kern w:val="28"/>
      <w:sz w:val="22"/>
    </w:rPr>
  </w:style>
  <w:style w:type="character" w:customStyle="1" w:styleId="EndnoteTextChar">
    <w:name w:val="Endnote Text Char"/>
    <w:link w:val="EndnoteText"/>
    <w:semiHidden/>
    <w:rsid w:val="00523517"/>
    <w:rPr>
      <w:snapToGrid w:val="0"/>
      <w:kern w:val="28"/>
    </w:rPr>
  </w:style>
  <w:style w:type="character" w:customStyle="1" w:styleId="FootnoteTextChar">
    <w:name w:val="Footnote Text Char"/>
    <w:aliases w:val="Footnote Text Char5 Char1,Footnote Text Char2 Char4 Char1,Footnote Text Char5 Char Char Char1,Footnote Text Char3 Char1 Char2 Char Char1,Footnote Text Char2 Char1 Char1 Char Char40 Char1,Footnote Text Char2 Char4 Char Char Char"/>
    <w:uiPriority w:val="99"/>
    <w:rsid w:val="00523517"/>
    <w:rPr>
      <w:snapToGrid w:val="0"/>
      <w:kern w:val="28"/>
      <w:sz w:val="20"/>
      <w:szCs w:val="20"/>
    </w:rPr>
  </w:style>
  <w:style w:type="character" w:customStyle="1" w:styleId="FootnoteTextChar1">
    <w:name w:val="Footnote Text Char1"/>
    <w:aliases w:val="Footnote Text Char5 Char,Footnote Text Char2 Char4 Char,Footnote Text Char5 Char Char Char,Footnote Text Char3 Char1 Char2 Char Char,Footnote Text Char2 Char1 Char1 Char Char40 Char,Footnote Text Char3 Char1 Char2 Char Char Char Char"/>
    <w:link w:val="FootnoteText"/>
    <w:rsid w:val="00523517"/>
  </w:style>
  <w:style w:type="character" w:customStyle="1" w:styleId="HeaderChar">
    <w:name w:val="Header Char"/>
    <w:link w:val="Header"/>
    <w:rsid w:val="00523517"/>
    <w:rPr>
      <w:b/>
      <w:snapToGrid w:val="0"/>
      <w:kern w:val="28"/>
      <w:sz w:val="22"/>
    </w:rPr>
  </w:style>
  <w:style w:type="character" w:customStyle="1" w:styleId="FooterChar">
    <w:name w:val="Footer Char"/>
    <w:link w:val="Footer"/>
    <w:rsid w:val="00523517"/>
    <w:rPr>
      <w:snapToGrid w:val="0"/>
      <w:kern w:val="28"/>
      <w:sz w:val="22"/>
    </w:rPr>
  </w:style>
  <w:style w:type="paragraph" w:styleId="Caption">
    <w:name w:val="caption"/>
    <w:basedOn w:val="Normal"/>
    <w:next w:val="Normal"/>
    <w:semiHidden/>
    <w:unhideWhenUsed/>
    <w:qFormat/>
    <w:rsid w:val="00523517"/>
    <w:rPr>
      <w:b/>
      <w:bCs/>
      <w:sz w:val="20"/>
    </w:rPr>
  </w:style>
  <w:style w:type="paragraph" w:customStyle="1" w:styleId="NumberedList">
    <w:name w:val="Numbered List"/>
    <w:basedOn w:val="Normal"/>
    <w:rsid w:val="00523517"/>
    <w:pPr>
      <w:widowControl/>
      <w:numPr>
        <w:numId w:val="3"/>
      </w:numPr>
      <w:tabs>
        <w:tab w:val="clear" w:pos="1080"/>
      </w:tabs>
      <w:spacing w:after="220"/>
      <w:ind w:firstLine="0"/>
    </w:pPr>
    <w:rPr>
      <w:snapToGrid/>
      <w:kern w:val="0"/>
    </w:rPr>
  </w:style>
  <w:style w:type="paragraph" w:styleId="Title">
    <w:name w:val="Title"/>
    <w:basedOn w:val="Normal"/>
    <w:link w:val="TitleChar"/>
    <w:qFormat/>
    <w:rsid w:val="00523517"/>
    <w:pPr>
      <w:spacing w:before="240" w:after="60"/>
      <w:jc w:val="center"/>
      <w:outlineLvl w:val="0"/>
    </w:pPr>
    <w:rPr>
      <w:rFonts w:ascii="Cambria" w:eastAsia="MS Gothic" w:hAnsi="Cambria"/>
      <w:b/>
      <w:bCs/>
      <w:sz w:val="32"/>
      <w:szCs w:val="32"/>
    </w:rPr>
  </w:style>
  <w:style w:type="character" w:customStyle="1" w:styleId="TitleChar">
    <w:name w:val="Title Char"/>
    <w:link w:val="Title"/>
    <w:rsid w:val="00523517"/>
    <w:rPr>
      <w:rFonts w:ascii="Cambria" w:eastAsia="MS Gothic" w:hAnsi="Cambria"/>
      <w:b/>
      <w:bCs/>
      <w:snapToGrid w:val="0"/>
      <w:kern w:val="28"/>
      <w:sz w:val="32"/>
      <w:szCs w:val="32"/>
    </w:rPr>
  </w:style>
  <w:style w:type="paragraph" w:styleId="BalloonText">
    <w:name w:val="Balloon Text"/>
    <w:basedOn w:val="Normal"/>
    <w:link w:val="BalloonTextChar"/>
    <w:uiPriority w:val="99"/>
    <w:rsid w:val="00523517"/>
    <w:pPr>
      <w:widowControl/>
    </w:pPr>
    <w:rPr>
      <w:rFonts w:ascii="Tahoma" w:hAnsi="Tahoma" w:cs="Tahoma"/>
      <w:snapToGrid/>
      <w:kern w:val="0"/>
      <w:sz w:val="16"/>
      <w:szCs w:val="16"/>
    </w:rPr>
  </w:style>
  <w:style w:type="character" w:customStyle="1" w:styleId="BalloonTextChar">
    <w:name w:val="Balloon Text Char"/>
    <w:link w:val="BalloonText"/>
    <w:uiPriority w:val="99"/>
    <w:rsid w:val="00523517"/>
    <w:rPr>
      <w:rFonts w:ascii="Tahoma" w:hAnsi="Tahoma" w:cs="Tahoma"/>
      <w:sz w:val="16"/>
      <w:szCs w:val="16"/>
    </w:rPr>
  </w:style>
  <w:style w:type="character" w:styleId="CommentReference">
    <w:name w:val="annotation reference"/>
    <w:rsid w:val="00523517"/>
    <w:rPr>
      <w:sz w:val="16"/>
      <w:szCs w:val="16"/>
    </w:rPr>
  </w:style>
  <w:style w:type="paragraph" w:styleId="CommentText">
    <w:name w:val="annotation text"/>
    <w:basedOn w:val="Normal"/>
    <w:link w:val="CommentTextChar1"/>
    <w:rsid w:val="00523517"/>
    <w:pPr>
      <w:widowControl/>
    </w:pPr>
    <w:rPr>
      <w:snapToGrid/>
      <w:kern w:val="0"/>
      <w:sz w:val="20"/>
    </w:rPr>
  </w:style>
  <w:style w:type="character" w:customStyle="1" w:styleId="CommentTextChar">
    <w:name w:val="Comment Text Char"/>
    <w:uiPriority w:val="99"/>
    <w:rsid w:val="00523517"/>
    <w:rPr>
      <w:snapToGrid w:val="0"/>
      <w:kern w:val="28"/>
    </w:rPr>
  </w:style>
  <w:style w:type="paragraph" w:customStyle="1" w:styleId="BriefHeadingI">
    <w:name w:val="Brief Heading I"/>
    <w:basedOn w:val="Normal"/>
    <w:rsid w:val="00523517"/>
    <w:pPr>
      <w:widowControl/>
      <w:spacing w:after="200"/>
    </w:pPr>
    <w:rPr>
      <w:caps/>
      <w:snapToGrid/>
      <w:kern w:val="0"/>
      <w:sz w:val="24"/>
    </w:rPr>
  </w:style>
  <w:style w:type="character" w:styleId="FollowedHyperlink">
    <w:name w:val="FollowedHyperlink"/>
    <w:uiPriority w:val="99"/>
    <w:rsid w:val="00523517"/>
    <w:rPr>
      <w:color w:val="800080"/>
      <w:u w:val="single"/>
    </w:rPr>
  </w:style>
  <w:style w:type="character" w:customStyle="1" w:styleId="StyleFootnoteReference11pt">
    <w:name w:val="Style Footnote Reference + 11 pt"/>
    <w:rsid w:val="00523517"/>
    <w:rPr>
      <w:rFonts w:ascii="Times New Roman" w:hAnsi="Times New Roman"/>
      <w:dstrike w:val="0"/>
      <w:noProof w:val="0"/>
      <w:color w:val="auto"/>
      <w:kern w:val="28"/>
      <w:sz w:val="20"/>
      <w:vertAlign w:val="superscript"/>
      <w:lang w:val="en-US"/>
    </w:rPr>
  </w:style>
  <w:style w:type="paragraph" w:styleId="CommentSubject">
    <w:name w:val="annotation subject"/>
    <w:basedOn w:val="CommentText"/>
    <w:next w:val="CommentText"/>
    <w:link w:val="CommentSubjectChar"/>
    <w:uiPriority w:val="99"/>
    <w:rsid w:val="00523517"/>
    <w:pPr>
      <w:widowControl w:val="0"/>
    </w:pPr>
    <w:rPr>
      <w:b/>
      <w:bCs/>
      <w:snapToGrid w:val="0"/>
      <w:kern w:val="28"/>
    </w:rPr>
  </w:style>
  <w:style w:type="character" w:customStyle="1" w:styleId="CommentSubjectChar">
    <w:name w:val="Comment Subject Char"/>
    <w:link w:val="CommentSubject"/>
    <w:uiPriority w:val="99"/>
    <w:rsid w:val="00523517"/>
    <w:rPr>
      <w:b/>
      <w:bCs/>
      <w:snapToGrid w:val="0"/>
      <w:kern w:val="28"/>
    </w:rPr>
  </w:style>
  <w:style w:type="paragraph" w:styleId="Revision">
    <w:name w:val="Revision"/>
    <w:hidden/>
    <w:uiPriority w:val="99"/>
    <w:semiHidden/>
    <w:rsid w:val="00523517"/>
    <w:rPr>
      <w:snapToGrid w:val="0"/>
      <w:kern w:val="28"/>
      <w:sz w:val="22"/>
      <w:szCs w:val="24"/>
    </w:rPr>
  </w:style>
  <w:style w:type="character" w:customStyle="1" w:styleId="Heading2Char2">
    <w:name w:val="Heading 2 Char2"/>
    <w:aliases w:val="Heading 2 Char1 Char Char,Heading 2 Char Char3 Char Char,Heading 2 Char1 Char Char Char Char,Heading 2 Char Char1 Char Char Char Char,Heading 2 Char1 Char Char Char Char Char Char,Heading 2 Char Char1 Char Char Char Char Char Char"/>
    <w:link w:val="Heading2"/>
    <w:rsid w:val="00E22985"/>
    <w:rPr>
      <w:b/>
      <w:snapToGrid w:val="0"/>
      <w:kern w:val="28"/>
      <w:sz w:val="22"/>
    </w:rPr>
  </w:style>
  <w:style w:type="paragraph" w:styleId="ListParagraph">
    <w:name w:val="List Paragraph"/>
    <w:basedOn w:val="Normal"/>
    <w:uiPriority w:val="34"/>
    <w:qFormat/>
    <w:rsid w:val="00523517"/>
    <w:pPr>
      <w:ind w:left="720"/>
    </w:pPr>
  </w:style>
  <w:style w:type="paragraph" w:styleId="NormalWeb">
    <w:name w:val="Normal (Web)"/>
    <w:basedOn w:val="Normal"/>
    <w:uiPriority w:val="99"/>
    <w:rsid w:val="00523517"/>
    <w:pPr>
      <w:widowControl/>
      <w:spacing w:before="100" w:beforeAutospacing="1" w:after="100" w:afterAutospacing="1"/>
    </w:pPr>
    <w:rPr>
      <w:snapToGrid/>
      <w:kern w:val="0"/>
      <w:sz w:val="24"/>
    </w:rPr>
  </w:style>
  <w:style w:type="character" w:styleId="Emphasis">
    <w:name w:val="Emphasis"/>
    <w:qFormat/>
    <w:rsid w:val="00523517"/>
    <w:rPr>
      <w:i/>
      <w:iCs/>
    </w:rPr>
  </w:style>
  <w:style w:type="character" w:customStyle="1" w:styleId="FootnoteTextChar2Char">
    <w:name w:val="Footnote Text Char2 Char"/>
    <w:aliases w:val="Footnote Text Char1 Char1 Char,Footnote Text Char Char Char Char,Footnote Text Char1 Char Char Char Char,Footnote Text Char2 Char Char Char Char Char,Footnote Text Char Char Char Char Char Char Char,Footnote Text Char1 Char"/>
    <w:semiHidden/>
    <w:rsid w:val="00523517"/>
    <w:rPr>
      <w:lang w:val="en-US" w:eastAsia="en-US" w:bidi="ar-SA"/>
    </w:rPr>
  </w:style>
  <w:style w:type="character" w:customStyle="1" w:styleId="Footnote">
    <w:name w:val="Footnote"/>
    <w:uiPriority w:val="99"/>
    <w:rsid w:val="00523517"/>
    <w:rPr>
      <w:rFonts w:cs="Times New Roman"/>
    </w:rPr>
  </w:style>
  <w:style w:type="character" w:customStyle="1" w:styleId="Heading2CharChar2">
    <w:name w:val="Heading 2 Char Char2"/>
    <w:rsid w:val="00523517"/>
    <w:rPr>
      <w:rFonts w:cs="Times New Roman"/>
      <w:b/>
      <w:snapToGrid w:val="0"/>
      <w:kern w:val="28"/>
      <w:sz w:val="24"/>
      <w:lang w:val="en-US" w:eastAsia="en-US" w:bidi="ar-SA"/>
    </w:rPr>
  </w:style>
  <w:style w:type="character" w:customStyle="1" w:styleId="StyleParaNumCharCharBold1Char">
    <w:name w:val="Style ParaNum Char Char + Bold1 Char"/>
    <w:uiPriority w:val="99"/>
    <w:rsid w:val="00523517"/>
    <w:rPr>
      <w:b/>
      <w:bCs/>
      <w:noProof w:val="0"/>
      <w:snapToGrid w:val="0"/>
      <w:kern w:val="28"/>
      <w:sz w:val="22"/>
      <w:lang w:val="en-US" w:eastAsia="en-US" w:bidi="ar-SA"/>
    </w:rPr>
  </w:style>
  <w:style w:type="character" w:customStyle="1" w:styleId="StyleFootnoteReferenceStyle13Style12NECGFootnoteReferenc">
    <w:name w:val="Style Footnote ReferenceStyle 13Style 12(NECG) Footnote Referenc..."/>
    <w:uiPriority w:val="99"/>
    <w:rsid w:val="00523517"/>
    <w:rPr>
      <w:rFonts w:ascii="Times New Roman" w:hAnsi="Times New Roman"/>
      <w:dstrike w:val="0"/>
      <w:color w:val="auto"/>
      <w:sz w:val="20"/>
      <w:vertAlign w:val="superscript"/>
    </w:rPr>
  </w:style>
  <w:style w:type="character" w:customStyle="1" w:styleId="FootnoteTextChar4">
    <w:name w:val="Footnote Text Char4"/>
    <w:aliases w:val="Footnote Text Char Char2,Footnote Text Char3 Char Char1,Footnote Text Char4 Char1 Char Char1,Footnote Text Char Char2 Char Char Char2,Footnote Text Char3 Char Char Char2 Char Char1,Footnote Text Char Char2 Char Char Char2 Char Char1"/>
    <w:semiHidden/>
    <w:locked/>
    <w:rsid w:val="00523517"/>
    <w:rPr>
      <w:lang w:val="en-US" w:eastAsia="en-US" w:bidi="ar-SA"/>
    </w:rPr>
  </w:style>
  <w:style w:type="character" w:customStyle="1" w:styleId="footnote0">
    <w:name w:val="footnote"/>
    <w:rsid w:val="00523517"/>
    <w:rPr>
      <w:rFonts w:cs="Times New Roman"/>
    </w:rPr>
  </w:style>
  <w:style w:type="character" w:customStyle="1" w:styleId="FootnoteTextCharCharCharChar3CharCharChar1">
    <w:name w:val="Footnote Text Char Char Char Char3 Char Char Char1"/>
    <w:aliases w:val="Footnote Text Char Char3 Char,Footnote Text Char1 Char Char3 Char,Footnote Text Char Char Char Char3 Char,Footnote Text Char3 Char1,Footnote Text Char1 Char Char3 Char Char Char"/>
    <w:rsid w:val="00523517"/>
    <w:rPr>
      <w:rFonts w:ascii="Times New Roman" w:hAnsi="Times New Roman" w:cs="Times New Roman" w:hint="default"/>
      <w:lang w:val="en-US" w:eastAsia="en-US" w:bidi="ar-SA"/>
    </w:rPr>
  </w:style>
  <w:style w:type="character" w:customStyle="1" w:styleId="CommentTextChar1">
    <w:name w:val="Comment Text Char1"/>
    <w:link w:val="CommentText"/>
    <w:locked/>
    <w:rsid w:val="00523517"/>
  </w:style>
  <w:style w:type="character" w:customStyle="1" w:styleId="apple-converted-space">
    <w:name w:val="apple-converted-space"/>
    <w:rsid w:val="00523517"/>
  </w:style>
  <w:style w:type="character" w:customStyle="1" w:styleId="FootnoteTextChar2">
    <w:name w:val="Footnote Text Char2"/>
    <w:aliases w:val="Footnote Text Char Char,Footnote Text Char1 Char Char,Footnote Text Char Char1 Char Char,Footnote Text Char2 Char1 Char Char Char,Footnote Text Char Char1 Char Char Char1 Char,Footnote Text Char1 Char Char Char1 Char Char Char,f Char"/>
    <w:locked/>
    <w:rsid w:val="003336CB"/>
  </w:style>
  <w:style w:type="paragraph" w:customStyle="1" w:styleId="Default">
    <w:name w:val="Default"/>
    <w:rsid w:val="00523517"/>
    <w:pPr>
      <w:autoSpaceDE w:val="0"/>
      <w:autoSpaceDN w:val="0"/>
      <w:adjustRightInd w:val="0"/>
    </w:pPr>
    <w:rPr>
      <w:color w:val="000000"/>
      <w:sz w:val="24"/>
      <w:szCs w:val="24"/>
    </w:rPr>
  </w:style>
  <w:style w:type="numbering" w:customStyle="1" w:styleId="NoList1">
    <w:name w:val="No List1"/>
    <w:next w:val="NoList"/>
    <w:uiPriority w:val="99"/>
    <w:semiHidden/>
    <w:unhideWhenUsed/>
    <w:rsid w:val="00523517"/>
  </w:style>
  <w:style w:type="character" w:customStyle="1" w:styleId="Heading3Char2">
    <w:name w:val="Heading 3 Char2"/>
    <w:aliases w:val="Heading 3 Char1 Char Char1,Heading 3 Char Char Char Char1,Heading 3 Char1 Char1,Heading 3 Char Char Char1,Heading 3 Char1 Char Char Char,Heading 3 Char Char Char Char Char1,Heading 3 Char2 Char1 Char Char Char,3 Char Char,1 Char Char"/>
    <w:link w:val="Heading3"/>
    <w:locked/>
    <w:rsid w:val="00523517"/>
    <w:rPr>
      <w:b/>
      <w:snapToGrid w:val="0"/>
      <w:kern w:val="28"/>
      <w:sz w:val="22"/>
    </w:rPr>
  </w:style>
  <w:style w:type="character" w:customStyle="1" w:styleId="Heading4Char3">
    <w:name w:val="Heading 4 Char3"/>
    <w:aliases w:val="Heading 4 Char2 Char,Heading 4 Char1 Char Char,Heading 4 Char Char Char Char,Heading 4 Char Char1 Char,Heading 4 Char1 Char2,Heading 4 Char Char Char1,Heading 4 Char1 Char1 Char,Heading 4 Char2 Char Char Char"/>
    <w:link w:val="Heading4"/>
    <w:locked/>
    <w:rsid w:val="00523517"/>
    <w:rPr>
      <w:b/>
      <w:snapToGrid w:val="0"/>
      <w:kern w:val="28"/>
      <w:sz w:val="22"/>
    </w:rPr>
  </w:style>
  <w:style w:type="character" w:customStyle="1" w:styleId="Heading5Char1">
    <w:name w:val="Heading 5 Char1"/>
    <w:aliases w:val="Heading 5 Char2 Char,Heading 5 Char1 Char1 Char,Heading 5 Char Char Char1 Char,Heading 5 Char1 Char Char Char Char,Heading 5 Char Char Char Char Char Char,Heading 5 Char Char1 Char Char,Heading 5 Char Char2 Char"/>
    <w:link w:val="Heading5"/>
    <w:rsid w:val="00523517"/>
    <w:rPr>
      <w:b/>
      <w:snapToGrid w:val="0"/>
      <w:kern w:val="28"/>
      <w:sz w:val="22"/>
    </w:rPr>
  </w:style>
  <w:style w:type="character" w:customStyle="1" w:styleId="Heading9Char1">
    <w:name w:val="Heading 9 Char1"/>
    <w:aliases w:val="Topic Char,table Char,t Char,9 Char,Heading 9.table Char,Titre 9 Char"/>
    <w:link w:val="Heading9"/>
    <w:rsid w:val="00523517"/>
    <w:rPr>
      <w:b/>
      <w:snapToGrid w:val="0"/>
      <w:kern w:val="28"/>
      <w:sz w:val="22"/>
    </w:rPr>
  </w:style>
  <w:style w:type="paragraph" w:customStyle="1" w:styleId="Body1">
    <w:name w:val="Body 1"/>
    <w:rsid w:val="00523517"/>
    <w:pPr>
      <w:outlineLvl w:val="0"/>
    </w:pPr>
    <w:rPr>
      <w:rFonts w:eastAsia="Arial Unicode MS"/>
      <w:color w:val="000000"/>
      <w:sz w:val="24"/>
      <w:szCs w:val="24"/>
      <w:u w:color="000000"/>
    </w:rPr>
  </w:style>
  <w:style w:type="paragraph" w:styleId="TOCHeading">
    <w:name w:val="TOC Heading"/>
    <w:basedOn w:val="Heading1"/>
    <w:next w:val="Normal"/>
    <w:uiPriority w:val="39"/>
    <w:unhideWhenUsed/>
    <w:qFormat/>
    <w:rsid w:val="00523517"/>
    <w:pPr>
      <w:numPr>
        <w:numId w:val="0"/>
      </w:numPr>
      <w:tabs>
        <w:tab w:val="left" w:pos="720"/>
      </w:tabs>
      <w:suppressAutoHyphens w:val="0"/>
      <w:spacing w:before="240" w:after="60"/>
      <w:outlineLvl w:val="9"/>
    </w:pPr>
    <w:rPr>
      <w:rFonts w:ascii="Cambria" w:eastAsia="MS Gothic" w:hAnsi="Cambria"/>
      <w:bCs/>
      <w:caps w:val="0"/>
      <w:kern w:val="32"/>
      <w:sz w:val="32"/>
      <w:szCs w:val="32"/>
    </w:rPr>
  </w:style>
  <w:style w:type="character" w:customStyle="1" w:styleId="BalloonTextChar1">
    <w:name w:val="Balloon Text Char1"/>
    <w:uiPriority w:val="99"/>
    <w:locked/>
    <w:rsid w:val="00523517"/>
    <w:rPr>
      <w:rFonts w:ascii="Tahoma" w:hAnsi="Tahoma" w:cs="Tahoma"/>
      <w:sz w:val="16"/>
      <w:szCs w:val="16"/>
    </w:rPr>
  </w:style>
  <w:style w:type="character" w:customStyle="1" w:styleId="highlight">
    <w:name w:val="highlight"/>
    <w:rsid w:val="00523517"/>
  </w:style>
  <w:style w:type="character" w:styleId="Strong">
    <w:name w:val="Strong"/>
    <w:uiPriority w:val="22"/>
    <w:qFormat/>
    <w:rsid w:val="00523517"/>
    <w:rPr>
      <w:b/>
      <w:bCs/>
    </w:rPr>
  </w:style>
  <w:style w:type="character" w:styleId="HTMLCite">
    <w:name w:val="HTML Cite"/>
    <w:uiPriority w:val="99"/>
    <w:unhideWhenUsed/>
    <w:rsid w:val="00523517"/>
    <w:rPr>
      <w:i w:val="0"/>
      <w:iCs w:val="0"/>
      <w:color w:val="006621"/>
    </w:rPr>
  </w:style>
  <w:style w:type="character" w:customStyle="1" w:styleId="action-menu-toggled-item">
    <w:name w:val="action-menu-toggled-item"/>
    <w:rsid w:val="00523517"/>
  </w:style>
  <w:style w:type="table" w:styleId="TableGrid">
    <w:name w:val="Table Grid"/>
    <w:basedOn w:val="TableNormal"/>
    <w:uiPriority w:val="59"/>
    <w:rsid w:val="0052351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523517"/>
    <w:rPr>
      <w:rFonts w:ascii="Courier" w:hAnsi="Courier"/>
      <w:sz w:val="20"/>
    </w:rPr>
  </w:style>
  <w:style w:type="character" w:customStyle="1" w:styleId="HTMLPreformattedChar">
    <w:name w:val="HTML Preformatted Char"/>
    <w:link w:val="HTMLPreformatted"/>
    <w:rsid w:val="00523517"/>
    <w:rPr>
      <w:rFonts w:ascii="Courier" w:hAnsi="Courier"/>
      <w:snapToGrid w:val="0"/>
      <w:kern w:val="28"/>
    </w:rPr>
  </w:style>
  <w:style w:type="character" w:customStyle="1" w:styleId="xn-location">
    <w:name w:val="xn-location"/>
    <w:basedOn w:val="DefaultParagraphFont"/>
    <w:rsid w:val="00E31381"/>
  </w:style>
  <w:style w:type="character" w:customStyle="1" w:styleId="itxtrst">
    <w:name w:val="itxtrst"/>
    <w:basedOn w:val="DefaultParagraphFont"/>
    <w:rsid w:val="00E31381"/>
  </w:style>
  <w:style w:type="paragraph" w:styleId="DocumentMap">
    <w:name w:val="Document Map"/>
    <w:basedOn w:val="Normal"/>
    <w:link w:val="DocumentMapChar"/>
    <w:rsid w:val="00716872"/>
    <w:rPr>
      <w:rFonts w:ascii="Lucida Grande" w:hAnsi="Lucida Grande"/>
      <w:sz w:val="24"/>
      <w:szCs w:val="24"/>
    </w:rPr>
  </w:style>
  <w:style w:type="character" w:customStyle="1" w:styleId="DocumentMapChar">
    <w:name w:val="Document Map Char"/>
    <w:basedOn w:val="DefaultParagraphFont"/>
    <w:link w:val="DocumentMap"/>
    <w:rsid w:val="00716872"/>
    <w:rPr>
      <w:rFonts w:ascii="Lucida Grande" w:hAnsi="Lucida Grande"/>
      <w:snapToGrid w:val="0"/>
      <w:kern w:val="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rmal (Web)" w:uiPriority="99"/>
    <w:lsdException w:name="HTML Cit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1E8"/>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6941E8"/>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h2 Cha,h2 Char"/>
    <w:basedOn w:val="Normal"/>
    <w:next w:val="ParaNum"/>
    <w:link w:val="Heading2Char2"/>
    <w:autoRedefine/>
    <w:qFormat/>
    <w:rsid w:val="006941E8"/>
    <w:pPr>
      <w:keepNext/>
      <w:numPr>
        <w:ilvl w:val="1"/>
        <w:numId w:val="2"/>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h,3 Char,1 Char"/>
    <w:basedOn w:val="Normal"/>
    <w:next w:val="ParaNum"/>
    <w:link w:val="Heading3Char2"/>
    <w:qFormat/>
    <w:rsid w:val="006941E8"/>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3"/>
    <w:qFormat/>
    <w:rsid w:val="006941E8"/>
    <w:pPr>
      <w:keepNext/>
      <w:numPr>
        <w:ilvl w:val="3"/>
        <w:numId w:val="2"/>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1"/>
    <w:qFormat/>
    <w:rsid w:val="006941E8"/>
    <w:pPr>
      <w:keepNext/>
      <w:numPr>
        <w:ilvl w:val="4"/>
        <w:numId w:val="2"/>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link w:val="Heading6Char"/>
    <w:qFormat/>
    <w:rsid w:val="006941E8"/>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6941E8"/>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6941E8"/>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1"/>
    <w:qFormat/>
    <w:rsid w:val="006941E8"/>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941E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941E8"/>
  </w:style>
  <w:style w:type="paragraph" w:customStyle="1" w:styleId="ParaNum">
    <w:name w:val="ParaNum"/>
    <w:basedOn w:val="Normal"/>
    <w:link w:val="ParaNumChar"/>
    <w:rsid w:val="006941E8"/>
    <w:pPr>
      <w:numPr>
        <w:numId w:val="1"/>
      </w:numPr>
      <w:tabs>
        <w:tab w:val="clear" w:pos="1080"/>
        <w:tab w:val="num" w:pos="1440"/>
      </w:tabs>
      <w:spacing w:after="120"/>
    </w:pPr>
  </w:style>
  <w:style w:type="paragraph" w:styleId="EndnoteText">
    <w:name w:val="endnote text"/>
    <w:basedOn w:val="Normal"/>
    <w:link w:val="EndnoteTextChar"/>
    <w:semiHidden/>
    <w:rsid w:val="006941E8"/>
    <w:rPr>
      <w:sz w:val="20"/>
    </w:rPr>
  </w:style>
  <w:style w:type="character" w:styleId="EndnoteReference">
    <w:name w:val="endnote reference"/>
    <w:semiHidden/>
    <w:rsid w:val="006941E8"/>
    <w:rPr>
      <w:vertAlign w:val="superscript"/>
    </w:r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r"/>
    <w:link w:val="FootnoteTextChar1"/>
    <w:rsid w:val="006941E8"/>
    <w:pPr>
      <w:spacing w:after="120"/>
    </w:pPr>
  </w:style>
  <w:style w:type="character" w:styleId="FootnoteReference">
    <w:name w:val="footnote reference"/>
    <w:aliases w:val="Appel note de bas de p,Style 12,(NECG) Footnote Reference,Style 124,o,fr,Style 3,Style 13,FR,Style 17,Footnote Reference/,Style 6,Style 7"/>
    <w:rsid w:val="006941E8"/>
    <w:rPr>
      <w:rFonts w:ascii="Times New Roman" w:hAnsi="Times New Roman"/>
      <w:dstrike w:val="0"/>
      <w:color w:val="auto"/>
      <w:sz w:val="20"/>
      <w:vertAlign w:val="superscript"/>
    </w:rPr>
  </w:style>
  <w:style w:type="paragraph" w:styleId="TOC1">
    <w:name w:val="toc 1"/>
    <w:basedOn w:val="Normal"/>
    <w:next w:val="Normal"/>
    <w:rsid w:val="006941E8"/>
    <w:pPr>
      <w:tabs>
        <w:tab w:val="left" w:pos="360"/>
        <w:tab w:val="right" w:leader="dot" w:pos="9360"/>
      </w:tabs>
      <w:suppressAutoHyphens/>
      <w:ind w:left="360" w:right="720" w:hanging="360"/>
    </w:pPr>
    <w:rPr>
      <w:caps/>
      <w:noProof/>
    </w:rPr>
  </w:style>
  <w:style w:type="paragraph" w:styleId="TOC2">
    <w:name w:val="toc 2"/>
    <w:basedOn w:val="Normal"/>
    <w:next w:val="Normal"/>
    <w:rsid w:val="006941E8"/>
    <w:pPr>
      <w:tabs>
        <w:tab w:val="left" w:pos="720"/>
        <w:tab w:val="right" w:leader="dot" w:pos="9360"/>
      </w:tabs>
      <w:suppressAutoHyphens/>
      <w:ind w:left="720" w:right="720" w:hanging="360"/>
    </w:pPr>
    <w:rPr>
      <w:noProof/>
    </w:rPr>
  </w:style>
  <w:style w:type="paragraph" w:styleId="TOC3">
    <w:name w:val="toc 3"/>
    <w:basedOn w:val="Normal"/>
    <w:next w:val="Normal"/>
    <w:rsid w:val="006941E8"/>
    <w:pPr>
      <w:tabs>
        <w:tab w:val="left" w:pos="1080"/>
        <w:tab w:val="right" w:leader="dot" w:pos="9360"/>
      </w:tabs>
      <w:suppressAutoHyphens/>
      <w:ind w:left="1080" w:right="720" w:hanging="360"/>
    </w:pPr>
    <w:rPr>
      <w:noProof/>
    </w:rPr>
  </w:style>
  <w:style w:type="paragraph" w:styleId="TOC4">
    <w:name w:val="toc 4"/>
    <w:basedOn w:val="Normal"/>
    <w:next w:val="Normal"/>
    <w:autoRedefine/>
    <w:rsid w:val="006941E8"/>
    <w:pPr>
      <w:tabs>
        <w:tab w:val="left" w:pos="1440"/>
        <w:tab w:val="right" w:leader="dot" w:pos="9360"/>
      </w:tabs>
      <w:suppressAutoHyphens/>
      <w:ind w:left="1440" w:right="720" w:hanging="360"/>
    </w:pPr>
    <w:rPr>
      <w:noProof/>
    </w:rPr>
  </w:style>
  <w:style w:type="paragraph" w:styleId="TOC5">
    <w:name w:val="toc 5"/>
    <w:basedOn w:val="Normal"/>
    <w:next w:val="Normal"/>
    <w:autoRedefine/>
    <w:rsid w:val="006941E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941E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941E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941E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941E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941E8"/>
    <w:pPr>
      <w:tabs>
        <w:tab w:val="right" w:pos="9360"/>
      </w:tabs>
      <w:suppressAutoHyphens/>
    </w:pPr>
  </w:style>
  <w:style w:type="character" w:customStyle="1" w:styleId="EquationCaption">
    <w:name w:val="_Equation Caption"/>
    <w:rsid w:val="006941E8"/>
  </w:style>
  <w:style w:type="paragraph" w:styleId="Header">
    <w:name w:val="header"/>
    <w:basedOn w:val="Normal"/>
    <w:link w:val="HeaderChar"/>
    <w:autoRedefine/>
    <w:rsid w:val="006941E8"/>
    <w:pPr>
      <w:tabs>
        <w:tab w:val="center" w:pos="4680"/>
        <w:tab w:val="right" w:pos="9360"/>
      </w:tabs>
    </w:pPr>
    <w:rPr>
      <w:b/>
    </w:rPr>
  </w:style>
  <w:style w:type="paragraph" w:styleId="Footer">
    <w:name w:val="footer"/>
    <w:basedOn w:val="Normal"/>
    <w:link w:val="FooterChar"/>
    <w:rsid w:val="006941E8"/>
    <w:pPr>
      <w:tabs>
        <w:tab w:val="center" w:pos="4320"/>
        <w:tab w:val="right" w:pos="8640"/>
      </w:tabs>
    </w:pPr>
  </w:style>
  <w:style w:type="character" w:styleId="PageNumber">
    <w:name w:val="page number"/>
    <w:basedOn w:val="DefaultParagraphFont"/>
    <w:rsid w:val="006941E8"/>
  </w:style>
  <w:style w:type="paragraph" w:styleId="BlockText">
    <w:name w:val="Block Text"/>
    <w:basedOn w:val="Normal"/>
    <w:rsid w:val="006941E8"/>
    <w:pPr>
      <w:spacing w:after="240"/>
      <w:ind w:left="1440" w:right="1440"/>
    </w:pPr>
  </w:style>
  <w:style w:type="paragraph" w:customStyle="1" w:styleId="Paratitle">
    <w:name w:val="Para title"/>
    <w:basedOn w:val="Normal"/>
    <w:rsid w:val="006941E8"/>
    <w:pPr>
      <w:tabs>
        <w:tab w:val="center" w:pos="9270"/>
      </w:tabs>
      <w:spacing w:after="240"/>
    </w:pPr>
    <w:rPr>
      <w:spacing w:val="-2"/>
    </w:rPr>
  </w:style>
  <w:style w:type="paragraph" w:customStyle="1" w:styleId="Bullet">
    <w:name w:val="Bullet"/>
    <w:basedOn w:val="Normal"/>
    <w:rsid w:val="006941E8"/>
    <w:pPr>
      <w:tabs>
        <w:tab w:val="left" w:pos="2160"/>
      </w:tabs>
      <w:spacing w:after="220"/>
      <w:ind w:left="2160" w:hanging="720"/>
    </w:pPr>
  </w:style>
  <w:style w:type="paragraph" w:customStyle="1" w:styleId="TableFormat">
    <w:name w:val="TableFormat"/>
    <w:basedOn w:val="Bullet"/>
    <w:rsid w:val="006941E8"/>
    <w:pPr>
      <w:tabs>
        <w:tab w:val="clear" w:pos="2160"/>
        <w:tab w:val="left" w:pos="5040"/>
      </w:tabs>
      <w:ind w:left="5040" w:hanging="3600"/>
    </w:pPr>
  </w:style>
  <w:style w:type="paragraph" w:customStyle="1" w:styleId="TOCTitle">
    <w:name w:val="TOC Title"/>
    <w:basedOn w:val="Normal"/>
    <w:rsid w:val="006941E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941E8"/>
    <w:pPr>
      <w:jc w:val="center"/>
    </w:pPr>
    <w:rPr>
      <w:rFonts w:ascii="Times New Roman Bold" w:hAnsi="Times New Roman Bold"/>
      <w:b/>
      <w:bCs/>
      <w:caps/>
      <w:szCs w:val="22"/>
    </w:rPr>
  </w:style>
  <w:style w:type="character" w:styleId="Hyperlink">
    <w:name w:val="Hyperlink"/>
    <w:rsid w:val="006941E8"/>
    <w:rPr>
      <w:color w:val="0000FF"/>
      <w:u w:val="single"/>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523517"/>
    <w:rPr>
      <w:rFonts w:ascii="Times New Roman Bold" w:hAnsi="Times New Roman Bold"/>
      <w:b/>
      <w:caps/>
      <w:snapToGrid w:val="0"/>
      <w:kern w:val="28"/>
      <w:sz w:val="22"/>
    </w:rPr>
  </w:style>
  <w:style w:type="character" w:customStyle="1" w:styleId="Heading2Char">
    <w:name w:val="Heading 2 Char"/>
    <w:aliases w:val="h2 Char Char,UNDERRUBRIK 1-2 Char Char,Heading 2 Char Char1 Char,Heading 2 Char1 Char Char Char1,Heading 2 Char Char2 Char,Heading 2 Char1 Char Char1,Heading 2 Char2 Char"/>
    <w:rsid w:val="00033EED"/>
    <w:rPr>
      <w:rFonts w:ascii="Cambria" w:eastAsia="MS Gothic" w:hAnsi="Cambria" w:cs="Times New Roman"/>
      <w:b/>
      <w:bCs/>
      <w:snapToGrid w:val="0"/>
      <w:color w:val="4F81BD"/>
      <w:kern w:val="28"/>
      <w:sz w:val="26"/>
      <w:szCs w:val="26"/>
    </w:rPr>
  </w:style>
  <w:style w:type="character" w:customStyle="1" w:styleId="Heading3Char">
    <w:name w:val="Heading 3 Char"/>
    <w:aliases w:val="Titre 3 Char Char,31 Char Char,Titre 31 Char Char,?? 3 Char Char,3 Char1,Titre 3 Char1,1 Char1,31 Char1,Titre 31 Char1,?? 3 Char1"/>
    <w:rsid w:val="00033EED"/>
    <w:rPr>
      <w:rFonts w:ascii="Cambria" w:eastAsia="MS Gothic" w:hAnsi="Cambria" w:cs="Times New Roman"/>
      <w:b/>
      <w:bCs/>
      <w:snapToGrid w:val="0"/>
      <w:color w:val="4F81BD"/>
      <w:kern w:val="28"/>
      <w:sz w:val="22"/>
      <w:szCs w:val="20"/>
    </w:rPr>
  </w:style>
  <w:style w:type="character" w:customStyle="1" w:styleId="Heading4Char">
    <w:name w:val="Heading 4 Char"/>
    <w:aliases w:val="Heading 4 Char2 Char Char1 Char,Heading 4 Char Char1 Char Char1 Char"/>
    <w:rsid w:val="00033EED"/>
    <w:rPr>
      <w:rFonts w:ascii="Cambria" w:eastAsia="MS Gothic" w:hAnsi="Cambria" w:cs="Times New Roman"/>
      <w:b/>
      <w:bCs/>
      <w:i/>
      <w:iCs/>
      <w:snapToGrid w:val="0"/>
      <w:color w:val="4F81BD"/>
      <w:kern w:val="28"/>
      <w:sz w:val="22"/>
      <w:szCs w:val="20"/>
    </w:rPr>
  </w:style>
  <w:style w:type="character" w:customStyle="1" w:styleId="Heading5Char">
    <w:name w:val="Heading 5 Char"/>
    <w:rsid w:val="00033EED"/>
    <w:rPr>
      <w:rFonts w:ascii="Cambria" w:eastAsia="MS Gothic" w:hAnsi="Cambria" w:cs="Times New Roman"/>
      <w:snapToGrid w:val="0"/>
      <w:color w:val="243F60"/>
      <w:kern w:val="28"/>
      <w:sz w:val="22"/>
      <w:szCs w:val="20"/>
    </w:rPr>
  </w:style>
  <w:style w:type="character" w:customStyle="1" w:styleId="Heading6Char">
    <w:name w:val="Heading 6 Char"/>
    <w:aliases w:val="h6 Char,Heading 6 Char2 Char,Heading 6 Char1 Char Char,Heading 6 Char Char Char Char,Heading 6 Char Char1 Char,Heading 6 Char1 Char1,Heading 6 Char Char Char1"/>
    <w:link w:val="Heading6"/>
    <w:rsid w:val="00523517"/>
    <w:rPr>
      <w:b/>
      <w:snapToGrid w:val="0"/>
      <w:kern w:val="28"/>
      <w:sz w:val="22"/>
    </w:rPr>
  </w:style>
  <w:style w:type="character" w:customStyle="1" w:styleId="Heading7Char">
    <w:name w:val="Heading 7 Char"/>
    <w:link w:val="Heading7"/>
    <w:rsid w:val="00523517"/>
    <w:rPr>
      <w:b/>
      <w:snapToGrid w:val="0"/>
      <w:kern w:val="28"/>
      <w:sz w:val="22"/>
    </w:rPr>
  </w:style>
  <w:style w:type="character" w:customStyle="1" w:styleId="Heading8Char">
    <w:name w:val="Heading 8 Char"/>
    <w:link w:val="Heading8"/>
    <w:rsid w:val="00523517"/>
    <w:rPr>
      <w:b/>
      <w:snapToGrid w:val="0"/>
      <w:kern w:val="28"/>
      <w:sz w:val="22"/>
    </w:rPr>
  </w:style>
  <w:style w:type="character" w:customStyle="1" w:styleId="Heading9Char">
    <w:name w:val="Heading 9 Char"/>
    <w:rsid w:val="00033EED"/>
    <w:rPr>
      <w:rFonts w:ascii="Cambria" w:eastAsia="MS Gothic" w:hAnsi="Cambria" w:cs="Times New Roman"/>
      <w:i/>
      <w:iCs/>
      <w:snapToGrid w:val="0"/>
      <w:color w:val="404040"/>
      <w:kern w:val="28"/>
      <w:sz w:val="20"/>
      <w:szCs w:val="20"/>
    </w:rPr>
  </w:style>
  <w:style w:type="character" w:customStyle="1" w:styleId="ParaNumChar">
    <w:name w:val="ParaNum Char"/>
    <w:link w:val="ParaNum"/>
    <w:rsid w:val="00523517"/>
    <w:rPr>
      <w:snapToGrid w:val="0"/>
      <w:kern w:val="28"/>
      <w:sz w:val="22"/>
    </w:rPr>
  </w:style>
  <w:style w:type="character" w:customStyle="1" w:styleId="EndnoteTextChar">
    <w:name w:val="Endnote Text Char"/>
    <w:link w:val="EndnoteText"/>
    <w:semiHidden/>
    <w:rsid w:val="00523517"/>
    <w:rPr>
      <w:snapToGrid w:val="0"/>
      <w:kern w:val="28"/>
    </w:rPr>
  </w:style>
  <w:style w:type="character" w:customStyle="1" w:styleId="FootnoteTextChar">
    <w:name w:val="Footnote Text Char"/>
    <w:aliases w:val="Footnote Text Char5 Char1,Footnote Text Char2 Char4 Char1,Footnote Text Char5 Char Char Char1,Footnote Text Char3 Char1 Char2 Char Char1,Footnote Text Char2 Char1 Char1 Char Char40 Char1,Footnote Text Char2 Char4 Char Char Char"/>
    <w:uiPriority w:val="99"/>
    <w:rsid w:val="00523517"/>
    <w:rPr>
      <w:snapToGrid w:val="0"/>
      <w:kern w:val="28"/>
      <w:sz w:val="20"/>
      <w:szCs w:val="20"/>
    </w:rPr>
  </w:style>
  <w:style w:type="character" w:customStyle="1" w:styleId="FootnoteTextChar1">
    <w:name w:val="Footnote Text Char1"/>
    <w:aliases w:val="Footnote Text Char5 Char,Footnote Text Char2 Char4 Char,Footnote Text Char5 Char Char Char,Footnote Text Char3 Char1 Char2 Char Char,Footnote Text Char2 Char1 Char1 Char Char40 Char,Footnote Text Char3 Char1 Char2 Char Char Char Char"/>
    <w:link w:val="FootnoteText"/>
    <w:rsid w:val="00523517"/>
  </w:style>
  <w:style w:type="character" w:customStyle="1" w:styleId="HeaderChar">
    <w:name w:val="Header Char"/>
    <w:link w:val="Header"/>
    <w:rsid w:val="00523517"/>
    <w:rPr>
      <w:b/>
      <w:snapToGrid w:val="0"/>
      <w:kern w:val="28"/>
      <w:sz w:val="22"/>
    </w:rPr>
  </w:style>
  <w:style w:type="character" w:customStyle="1" w:styleId="FooterChar">
    <w:name w:val="Footer Char"/>
    <w:link w:val="Footer"/>
    <w:rsid w:val="00523517"/>
    <w:rPr>
      <w:snapToGrid w:val="0"/>
      <w:kern w:val="28"/>
      <w:sz w:val="22"/>
    </w:rPr>
  </w:style>
  <w:style w:type="paragraph" w:styleId="Caption">
    <w:name w:val="caption"/>
    <w:basedOn w:val="Normal"/>
    <w:next w:val="Normal"/>
    <w:semiHidden/>
    <w:unhideWhenUsed/>
    <w:qFormat/>
    <w:rsid w:val="00523517"/>
    <w:rPr>
      <w:b/>
      <w:bCs/>
      <w:sz w:val="20"/>
    </w:rPr>
  </w:style>
  <w:style w:type="paragraph" w:customStyle="1" w:styleId="NumberedList">
    <w:name w:val="Numbered List"/>
    <w:basedOn w:val="Normal"/>
    <w:rsid w:val="00523517"/>
    <w:pPr>
      <w:widowControl/>
      <w:numPr>
        <w:numId w:val="3"/>
      </w:numPr>
      <w:tabs>
        <w:tab w:val="clear" w:pos="1080"/>
      </w:tabs>
      <w:spacing w:after="220"/>
      <w:ind w:firstLine="0"/>
    </w:pPr>
    <w:rPr>
      <w:snapToGrid/>
      <w:kern w:val="0"/>
    </w:rPr>
  </w:style>
  <w:style w:type="paragraph" w:styleId="Title">
    <w:name w:val="Title"/>
    <w:basedOn w:val="Normal"/>
    <w:link w:val="TitleChar"/>
    <w:qFormat/>
    <w:rsid w:val="00523517"/>
    <w:pPr>
      <w:spacing w:before="240" w:after="60"/>
      <w:jc w:val="center"/>
      <w:outlineLvl w:val="0"/>
    </w:pPr>
    <w:rPr>
      <w:rFonts w:ascii="Cambria" w:eastAsia="MS Gothic" w:hAnsi="Cambria"/>
      <w:b/>
      <w:bCs/>
      <w:sz w:val="32"/>
      <w:szCs w:val="32"/>
    </w:rPr>
  </w:style>
  <w:style w:type="character" w:customStyle="1" w:styleId="TitleChar">
    <w:name w:val="Title Char"/>
    <w:link w:val="Title"/>
    <w:rsid w:val="00523517"/>
    <w:rPr>
      <w:rFonts w:ascii="Cambria" w:eastAsia="MS Gothic" w:hAnsi="Cambria"/>
      <w:b/>
      <w:bCs/>
      <w:snapToGrid w:val="0"/>
      <w:kern w:val="28"/>
      <w:sz w:val="32"/>
      <w:szCs w:val="32"/>
    </w:rPr>
  </w:style>
  <w:style w:type="paragraph" w:styleId="BalloonText">
    <w:name w:val="Balloon Text"/>
    <w:basedOn w:val="Normal"/>
    <w:link w:val="BalloonTextChar"/>
    <w:uiPriority w:val="99"/>
    <w:rsid w:val="00523517"/>
    <w:pPr>
      <w:widowControl/>
    </w:pPr>
    <w:rPr>
      <w:rFonts w:ascii="Tahoma" w:hAnsi="Tahoma" w:cs="Tahoma"/>
      <w:snapToGrid/>
      <w:kern w:val="0"/>
      <w:sz w:val="16"/>
      <w:szCs w:val="16"/>
    </w:rPr>
  </w:style>
  <w:style w:type="character" w:customStyle="1" w:styleId="BalloonTextChar">
    <w:name w:val="Balloon Text Char"/>
    <w:link w:val="BalloonText"/>
    <w:uiPriority w:val="99"/>
    <w:rsid w:val="00523517"/>
    <w:rPr>
      <w:rFonts w:ascii="Tahoma" w:hAnsi="Tahoma" w:cs="Tahoma"/>
      <w:sz w:val="16"/>
      <w:szCs w:val="16"/>
    </w:rPr>
  </w:style>
  <w:style w:type="character" w:styleId="CommentReference">
    <w:name w:val="annotation reference"/>
    <w:rsid w:val="00523517"/>
    <w:rPr>
      <w:sz w:val="16"/>
      <w:szCs w:val="16"/>
    </w:rPr>
  </w:style>
  <w:style w:type="paragraph" w:styleId="CommentText">
    <w:name w:val="annotation text"/>
    <w:basedOn w:val="Normal"/>
    <w:link w:val="CommentTextChar1"/>
    <w:rsid w:val="00523517"/>
    <w:pPr>
      <w:widowControl/>
    </w:pPr>
    <w:rPr>
      <w:snapToGrid/>
      <w:kern w:val="0"/>
      <w:sz w:val="20"/>
    </w:rPr>
  </w:style>
  <w:style w:type="character" w:customStyle="1" w:styleId="CommentTextChar">
    <w:name w:val="Comment Text Char"/>
    <w:uiPriority w:val="99"/>
    <w:rsid w:val="00523517"/>
    <w:rPr>
      <w:snapToGrid w:val="0"/>
      <w:kern w:val="28"/>
    </w:rPr>
  </w:style>
  <w:style w:type="paragraph" w:customStyle="1" w:styleId="BriefHeadingI">
    <w:name w:val="Brief Heading I"/>
    <w:basedOn w:val="Normal"/>
    <w:rsid w:val="00523517"/>
    <w:pPr>
      <w:widowControl/>
      <w:spacing w:after="200"/>
    </w:pPr>
    <w:rPr>
      <w:caps/>
      <w:snapToGrid/>
      <w:kern w:val="0"/>
      <w:sz w:val="24"/>
    </w:rPr>
  </w:style>
  <w:style w:type="character" w:styleId="FollowedHyperlink">
    <w:name w:val="FollowedHyperlink"/>
    <w:uiPriority w:val="99"/>
    <w:rsid w:val="00523517"/>
    <w:rPr>
      <w:color w:val="800080"/>
      <w:u w:val="single"/>
    </w:rPr>
  </w:style>
  <w:style w:type="character" w:customStyle="1" w:styleId="StyleFootnoteReference11pt">
    <w:name w:val="Style Footnote Reference + 11 pt"/>
    <w:rsid w:val="00523517"/>
    <w:rPr>
      <w:rFonts w:ascii="Times New Roman" w:hAnsi="Times New Roman"/>
      <w:dstrike w:val="0"/>
      <w:noProof w:val="0"/>
      <w:color w:val="auto"/>
      <w:kern w:val="28"/>
      <w:sz w:val="20"/>
      <w:vertAlign w:val="superscript"/>
      <w:lang w:val="en-US"/>
    </w:rPr>
  </w:style>
  <w:style w:type="paragraph" w:styleId="CommentSubject">
    <w:name w:val="annotation subject"/>
    <w:basedOn w:val="CommentText"/>
    <w:next w:val="CommentText"/>
    <w:link w:val="CommentSubjectChar"/>
    <w:uiPriority w:val="99"/>
    <w:rsid w:val="00523517"/>
    <w:pPr>
      <w:widowControl w:val="0"/>
    </w:pPr>
    <w:rPr>
      <w:b/>
      <w:bCs/>
      <w:snapToGrid w:val="0"/>
      <w:kern w:val="28"/>
    </w:rPr>
  </w:style>
  <w:style w:type="character" w:customStyle="1" w:styleId="CommentSubjectChar">
    <w:name w:val="Comment Subject Char"/>
    <w:link w:val="CommentSubject"/>
    <w:uiPriority w:val="99"/>
    <w:rsid w:val="00523517"/>
    <w:rPr>
      <w:b/>
      <w:bCs/>
      <w:snapToGrid w:val="0"/>
      <w:kern w:val="28"/>
    </w:rPr>
  </w:style>
  <w:style w:type="paragraph" w:styleId="Revision">
    <w:name w:val="Revision"/>
    <w:hidden/>
    <w:uiPriority w:val="99"/>
    <w:semiHidden/>
    <w:rsid w:val="00523517"/>
    <w:rPr>
      <w:snapToGrid w:val="0"/>
      <w:kern w:val="28"/>
      <w:sz w:val="22"/>
      <w:szCs w:val="24"/>
    </w:rPr>
  </w:style>
  <w:style w:type="character" w:customStyle="1" w:styleId="Heading2Char2">
    <w:name w:val="Heading 2 Char2"/>
    <w:aliases w:val="Heading 2 Char1 Char Char,Heading 2 Char Char3 Char Char,Heading 2 Char1 Char Char Char Char,Heading 2 Char Char1 Char Char Char Char,Heading 2 Char1 Char Char Char Char Char Char,Heading 2 Char Char1 Char Char Char Char Char Char"/>
    <w:link w:val="Heading2"/>
    <w:rsid w:val="00E22985"/>
    <w:rPr>
      <w:b/>
      <w:snapToGrid w:val="0"/>
      <w:kern w:val="28"/>
      <w:sz w:val="22"/>
    </w:rPr>
  </w:style>
  <w:style w:type="paragraph" w:styleId="ListParagraph">
    <w:name w:val="List Paragraph"/>
    <w:basedOn w:val="Normal"/>
    <w:uiPriority w:val="34"/>
    <w:qFormat/>
    <w:rsid w:val="00523517"/>
    <w:pPr>
      <w:ind w:left="720"/>
    </w:pPr>
  </w:style>
  <w:style w:type="paragraph" w:styleId="NormalWeb">
    <w:name w:val="Normal (Web)"/>
    <w:basedOn w:val="Normal"/>
    <w:uiPriority w:val="99"/>
    <w:rsid w:val="00523517"/>
    <w:pPr>
      <w:widowControl/>
      <w:spacing w:before="100" w:beforeAutospacing="1" w:after="100" w:afterAutospacing="1"/>
    </w:pPr>
    <w:rPr>
      <w:snapToGrid/>
      <w:kern w:val="0"/>
      <w:sz w:val="24"/>
    </w:rPr>
  </w:style>
  <w:style w:type="character" w:styleId="Emphasis">
    <w:name w:val="Emphasis"/>
    <w:qFormat/>
    <w:rsid w:val="00523517"/>
    <w:rPr>
      <w:i/>
      <w:iCs/>
    </w:rPr>
  </w:style>
  <w:style w:type="character" w:customStyle="1" w:styleId="FootnoteTextChar2Char">
    <w:name w:val="Footnote Text Char2 Char"/>
    <w:aliases w:val="Footnote Text Char1 Char1 Char,Footnote Text Char Char Char Char,Footnote Text Char1 Char Char Char Char,Footnote Text Char2 Char Char Char Char Char,Footnote Text Char Char Char Char Char Char Char,Footnote Text Char1 Char"/>
    <w:semiHidden/>
    <w:rsid w:val="00523517"/>
    <w:rPr>
      <w:lang w:val="en-US" w:eastAsia="en-US" w:bidi="ar-SA"/>
    </w:rPr>
  </w:style>
  <w:style w:type="character" w:customStyle="1" w:styleId="Footnote">
    <w:name w:val="Footnote"/>
    <w:uiPriority w:val="99"/>
    <w:rsid w:val="00523517"/>
    <w:rPr>
      <w:rFonts w:cs="Times New Roman"/>
    </w:rPr>
  </w:style>
  <w:style w:type="character" w:customStyle="1" w:styleId="Heading2CharChar2">
    <w:name w:val="Heading 2 Char Char2"/>
    <w:rsid w:val="00523517"/>
    <w:rPr>
      <w:rFonts w:cs="Times New Roman"/>
      <w:b/>
      <w:snapToGrid w:val="0"/>
      <w:kern w:val="28"/>
      <w:sz w:val="24"/>
      <w:lang w:val="en-US" w:eastAsia="en-US" w:bidi="ar-SA"/>
    </w:rPr>
  </w:style>
  <w:style w:type="character" w:customStyle="1" w:styleId="StyleParaNumCharCharBold1Char">
    <w:name w:val="Style ParaNum Char Char + Bold1 Char"/>
    <w:uiPriority w:val="99"/>
    <w:rsid w:val="00523517"/>
    <w:rPr>
      <w:b/>
      <w:bCs/>
      <w:noProof w:val="0"/>
      <w:snapToGrid w:val="0"/>
      <w:kern w:val="28"/>
      <w:sz w:val="22"/>
      <w:lang w:val="en-US" w:eastAsia="en-US" w:bidi="ar-SA"/>
    </w:rPr>
  </w:style>
  <w:style w:type="character" w:customStyle="1" w:styleId="StyleFootnoteReferenceStyle13Style12NECGFootnoteReferenc">
    <w:name w:val="Style Footnote ReferenceStyle 13Style 12(NECG) Footnote Referenc..."/>
    <w:uiPriority w:val="99"/>
    <w:rsid w:val="00523517"/>
    <w:rPr>
      <w:rFonts w:ascii="Times New Roman" w:hAnsi="Times New Roman"/>
      <w:dstrike w:val="0"/>
      <w:color w:val="auto"/>
      <w:sz w:val="20"/>
      <w:vertAlign w:val="superscript"/>
    </w:rPr>
  </w:style>
  <w:style w:type="character" w:customStyle="1" w:styleId="FootnoteTextChar4">
    <w:name w:val="Footnote Text Char4"/>
    <w:aliases w:val="Footnote Text Char Char2,Footnote Text Char3 Char Char1,Footnote Text Char4 Char1 Char Char1,Footnote Text Char Char2 Char Char Char2,Footnote Text Char3 Char Char Char2 Char Char1,Footnote Text Char Char2 Char Char Char2 Char Char1"/>
    <w:semiHidden/>
    <w:locked/>
    <w:rsid w:val="00523517"/>
    <w:rPr>
      <w:lang w:val="en-US" w:eastAsia="en-US" w:bidi="ar-SA"/>
    </w:rPr>
  </w:style>
  <w:style w:type="character" w:customStyle="1" w:styleId="footnote0">
    <w:name w:val="footnote"/>
    <w:rsid w:val="00523517"/>
    <w:rPr>
      <w:rFonts w:cs="Times New Roman"/>
    </w:rPr>
  </w:style>
  <w:style w:type="character" w:customStyle="1" w:styleId="FootnoteTextCharCharCharChar3CharCharChar1">
    <w:name w:val="Footnote Text Char Char Char Char3 Char Char Char1"/>
    <w:aliases w:val="Footnote Text Char Char3 Char,Footnote Text Char1 Char Char3 Char,Footnote Text Char Char Char Char3 Char,Footnote Text Char3 Char1,Footnote Text Char1 Char Char3 Char Char Char"/>
    <w:rsid w:val="00523517"/>
    <w:rPr>
      <w:rFonts w:ascii="Times New Roman" w:hAnsi="Times New Roman" w:cs="Times New Roman" w:hint="default"/>
      <w:lang w:val="en-US" w:eastAsia="en-US" w:bidi="ar-SA"/>
    </w:rPr>
  </w:style>
  <w:style w:type="character" w:customStyle="1" w:styleId="CommentTextChar1">
    <w:name w:val="Comment Text Char1"/>
    <w:link w:val="CommentText"/>
    <w:locked/>
    <w:rsid w:val="00523517"/>
  </w:style>
  <w:style w:type="character" w:customStyle="1" w:styleId="apple-converted-space">
    <w:name w:val="apple-converted-space"/>
    <w:rsid w:val="00523517"/>
  </w:style>
  <w:style w:type="character" w:customStyle="1" w:styleId="FootnoteTextChar2">
    <w:name w:val="Footnote Text Char2"/>
    <w:aliases w:val="Footnote Text Char Char,Footnote Text Char1 Char Char,Footnote Text Char Char1 Char Char,Footnote Text Char2 Char1 Char Char Char,Footnote Text Char Char1 Char Char Char1 Char,Footnote Text Char1 Char Char Char1 Char Char Char,f Char"/>
    <w:locked/>
    <w:rsid w:val="003336CB"/>
  </w:style>
  <w:style w:type="paragraph" w:customStyle="1" w:styleId="Default">
    <w:name w:val="Default"/>
    <w:rsid w:val="00523517"/>
    <w:pPr>
      <w:autoSpaceDE w:val="0"/>
      <w:autoSpaceDN w:val="0"/>
      <w:adjustRightInd w:val="0"/>
    </w:pPr>
    <w:rPr>
      <w:color w:val="000000"/>
      <w:sz w:val="24"/>
      <w:szCs w:val="24"/>
    </w:rPr>
  </w:style>
  <w:style w:type="numbering" w:customStyle="1" w:styleId="NoList1">
    <w:name w:val="No List1"/>
    <w:next w:val="NoList"/>
    <w:uiPriority w:val="99"/>
    <w:semiHidden/>
    <w:unhideWhenUsed/>
    <w:rsid w:val="00523517"/>
  </w:style>
  <w:style w:type="character" w:customStyle="1" w:styleId="Heading3Char2">
    <w:name w:val="Heading 3 Char2"/>
    <w:aliases w:val="Heading 3 Char1 Char Char1,Heading 3 Char Char Char Char1,Heading 3 Char1 Char1,Heading 3 Char Char Char1,Heading 3 Char1 Char Char Char,Heading 3 Char Char Char Char Char1,Heading 3 Char2 Char1 Char Char Char,3 Char Char,1 Char Char"/>
    <w:link w:val="Heading3"/>
    <w:locked/>
    <w:rsid w:val="00523517"/>
    <w:rPr>
      <w:b/>
      <w:snapToGrid w:val="0"/>
      <w:kern w:val="28"/>
      <w:sz w:val="22"/>
    </w:rPr>
  </w:style>
  <w:style w:type="character" w:customStyle="1" w:styleId="Heading4Char3">
    <w:name w:val="Heading 4 Char3"/>
    <w:aliases w:val="Heading 4 Char2 Char,Heading 4 Char1 Char Char,Heading 4 Char Char Char Char,Heading 4 Char Char1 Char,Heading 4 Char1 Char2,Heading 4 Char Char Char1,Heading 4 Char1 Char1 Char,Heading 4 Char2 Char Char Char"/>
    <w:link w:val="Heading4"/>
    <w:locked/>
    <w:rsid w:val="00523517"/>
    <w:rPr>
      <w:b/>
      <w:snapToGrid w:val="0"/>
      <w:kern w:val="28"/>
      <w:sz w:val="22"/>
    </w:rPr>
  </w:style>
  <w:style w:type="character" w:customStyle="1" w:styleId="Heading5Char1">
    <w:name w:val="Heading 5 Char1"/>
    <w:aliases w:val="Heading 5 Char2 Char,Heading 5 Char1 Char1 Char,Heading 5 Char Char Char1 Char,Heading 5 Char1 Char Char Char Char,Heading 5 Char Char Char Char Char Char,Heading 5 Char Char1 Char Char,Heading 5 Char Char2 Char"/>
    <w:link w:val="Heading5"/>
    <w:rsid w:val="00523517"/>
    <w:rPr>
      <w:b/>
      <w:snapToGrid w:val="0"/>
      <w:kern w:val="28"/>
      <w:sz w:val="22"/>
    </w:rPr>
  </w:style>
  <w:style w:type="character" w:customStyle="1" w:styleId="Heading9Char1">
    <w:name w:val="Heading 9 Char1"/>
    <w:aliases w:val="Topic Char,table Char,t Char,9 Char,Heading 9.table Char,Titre 9 Char"/>
    <w:link w:val="Heading9"/>
    <w:rsid w:val="00523517"/>
    <w:rPr>
      <w:b/>
      <w:snapToGrid w:val="0"/>
      <w:kern w:val="28"/>
      <w:sz w:val="22"/>
    </w:rPr>
  </w:style>
  <w:style w:type="paragraph" w:customStyle="1" w:styleId="Body1">
    <w:name w:val="Body 1"/>
    <w:rsid w:val="00523517"/>
    <w:pPr>
      <w:outlineLvl w:val="0"/>
    </w:pPr>
    <w:rPr>
      <w:rFonts w:eastAsia="Arial Unicode MS"/>
      <w:color w:val="000000"/>
      <w:sz w:val="24"/>
      <w:szCs w:val="24"/>
      <w:u w:color="000000"/>
    </w:rPr>
  </w:style>
  <w:style w:type="paragraph" w:styleId="TOCHeading">
    <w:name w:val="TOC Heading"/>
    <w:basedOn w:val="Heading1"/>
    <w:next w:val="Normal"/>
    <w:uiPriority w:val="39"/>
    <w:unhideWhenUsed/>
    <w:qFormat/>
    <w:rsid w:val="00523517"/>
    <w:pPr>
      <w:numPr>
        <w:numId w:val="0"/>
      </w:numPr>
      <w:tabs>
        <w:tab w:val="left" w:pos="720"/>
      </w:tabs>
      <w:suppressAutoHyphens w:val="0"/>
      <w:spacing w:before="240" w:after="60"/>
      <w:outlineLvl w:val="9"/>
    </w:pPr>
    <w:rPr>
      <w:rFonts w:ascii="Cambria" w:eastAsia="MS Gothic" w:hAnsi="Cambria"/>
      <w:bCs/>
      <w:caps w:val="0"/>
      <w:kern w:val="32"/>
      <w:sz w:val="32"/>
      <w:szCs w:val="32"/>
    </w:rPr>
  </w:style>
  <w:style w:type="character" w:customStyle="1" w:styleId="BalloonTextChar1">
    <w:name w:val="Balloon Text Char1"/>
    <w:uiPriority w:val="99"/>
    <w:locked/>
    <w:rsid w:val="00523517"/>
    <w:rPr>
      <w:rFonts w:ascii="Tahoma" w:hAnsi="Tahoma" w:cs="Tahoma"/>
      <w:sz w:val="16"/>
      <w:szCs w:val="16"/>
    </w:rPr>
  </w:style>
  <w:style w:type="character" w:customStyle="1" w:styleId="highlight">
    <w:name w:val="highlight"/>
    <w:rsid w:val="00523517"/>
  </w:style>
  <w:style w:type="character" w:styleId="Strong">
    <w:name w:val="Strong"/>
    <w:uiPriority w:val="22"/>
    <w:qFormat/>
    <w:rsid w:val="00523517"/>
    <w:rPr>
      <w:b/>
      <w:bCs/>
    </w:rPr>
  </w:style>
  <w:style w:type="character" w:styleId="HTMLCite">
    <w:name w:val="HTML Cite"/>
    <w:uiPriority w:val="99"/>
    <w:unhideWhenUsed/>
    <w:rsid w:val="00523517"/>
    <w:rPr>
      <w:i w:val="0"/>
      <w:iCs w:val="0"/>
      <w:color w:val="006621"/>
    </w:rPr>
  </w:style>
  <w:style w:type="character" w:customStyle="1" w:styleId="action-menu-toggled-item">
    <w:name w:val="action-menu-toggled-item"/>
    <w:rsid w:val="00523517"/>
  </w:style>
  <w:style w:type="table" w:styleId="TableGrid">
    <w:name w:val="Table Grid"/>
    <w:basedOn w:val="TableNormal"/>
    <w:uiPriority w:val="59"/>
    <w:rsid w:val="0052351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523517"/>
    <w:rPr>
      <w:rFonts w:ascii="Courier" w:hAnsi="Courier"/>
      <w:sz w:val="20"/>
    </w:rPr>
  </w:style>
  <w:style w:type="character" w:customStyle="1" w:styleId="HTMLPreformattedChar">
    <w:name w:val="HTML Preformatted Char"/>
    <w:link w:val="HTMLPreformatted"/>
    <w:rsid w:val="00523517"/>
    <w:rPr>
      <w:rFonts w:ascii="Courier" w:hAnsi="Courier"/>
      <w:snapToGrid w:val="0"/>
      <w:kern w:val="28"/>
    </w:rPr>
  </w:style>
  <w:style w:type="character" w:customStyle="1" w:styleId="xn-location">
    <w:name w:val="xn-location"/>
    <w:basedOn w:val="DefaultParagraphFont"/>
    <w:rsid w:val="00E31381"/>
  </w:style>
  <w:style w:type="character" w:customStyle="1" w:styleId="itxtrst">
    <w:name w:val="itxtrst"/>
    <w:basedOn w:val="DefaultParagraphFont"/>
    <w:rsid w:val="00E31381"/>
  </w:style>
  <w:style w:type="paragraph" w:styleId="DocumentMap">
    <w:name w:val="Document Map"/>
    <w:basedOn w:val="Normal"/>
    <w:link w:val="DocumentMapChar"/>
    <w:rsid w:val="00716872"/>
    <w:rPr>
      <w:rFonts w:ascii="Lucida Grande" w:hAnsi="Lucida Grande"/>
      <w:sz w:val="24"/>
      <w:szCs w:val="24"/>
    </w:rPr>
  </w:style>
  <w:style w:type="character" w:customStyle="1" w:styleId="DocumentMapChar">
    <w:name w:val="Document Map Char"/>
    <w:basedOn w:val="DefaultParagraphFont"/>
    <w:link w:val="DocumentMap"/>
    <w:rsid w:val="00716872"/>
    <w:rPr>
      <w:rFonts w:ascii="Lucida Grande" w:hAnsi="Lucida Grande"/>
      <w:snapToGrid w:val="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04185">
      <w:bodyDiv w:val="1"/>
      <w:marLeft w:val="0"/>
      <w:marRight w:val="0"/>
      <w:marTop w:val="0"/>
      <w:marBottom w:val="0"/>
      <w:divBdr>
        <w:top w:val="none" w:sz="0" w:space="0" w:color="auto"/>
        <w:left w:val="none" w:sz="0" w:space="0" w:color="auto"/>
        <w:bottom w:val="none" w:sz="0" w:space="0" w:color="auto"/>
        <w:right w:val="none" w:sz="0" w:space="0" w:color="auto"/>
      </w:divBdr>
    </w:div>
    <w:div w:id="822358488">
      <w:bodyDiv w:val="1"/>
      <w:marLeft w:val="0"/>
      <w:marRight w:val="0"/>
      <w:marTop w:val="0"/>
      <w:marBottom w:val="0"/>
      <w:divBdr>
        <w:top w:val="none" w:sz="0" w:space="0" w:color="auto"/>
        <w:left w:val="none" w:sz="0" w:space="0" w:color="auto"/>
        <w:bottom w:val="none" w:sz="0" w:space="0" w:color="auto"/>
        <w:right w:val="none" w:sz="0" w:space="0" w:color="auto"/>
      </w:divBdr>
    </w:div>
    <w:div w:id="913316494">
      <w:bodyDiv w:val="1"/>
      <w:marLeft w:val="0"/>
      <w:marRight w:val="0"/>
      <w:marTop w:val="0"/>
      <w:marBottom w:val="0"/>
      <w:divBdr>
        <w:top w:val="none" w:sz="0" w:space="0" w:color="auto"/>
        <w:left w:val="none" w:sz="0" w:space="0" w:color="auto"/>
        <w:bottom w:val="none" w:sz="0" w:space="0" w:color="auto"/>
        <w:right w:val="none" w:sz="0" w:space="0" w:color="auto"/>
      </w:divBdr>
    </w:div>
    <w:div w:id="1302153175">
      <w:bodyDiv w:val="1"/>
      <w:marLeft w:val="0"/>
      <w:marRight w:val="0"/>
      <w:marTop w:val="0"/>
      <w:marBottom w:val="0"/>
      <w:divBdr>
        <w:top w:val="none" w:sz="0" w:space="0" w:color="auto"/>
        <w:left w:val="none" w:sz="0" w:space="0" w:color="auto"/>
        <w:bottom w:val="none" w:sz="0" w:space="0" w:color="auto"/>
        <w:right w:val="none" w:sz="0" w:space="0" w:color="auto"/>
      </w:divBdr>
    </w:div>
    <w:div w:id="1522158912">
      <w:bodyDiv w:val="1"/>
      <w:marLeft w:val="0"/>
      <w:marRight w:val="0"/>
      <w:marTop w:val="0"/>
      <w:marBottom w:val="0"/>
      <w:divBdr>
        <w:top w:val="none" w:sz="0" w:space="0" w:color="auto"/>
        <w:left w:val="none" w:sz="0" w:space="0" w:color="auto"/>
        <w:bottom w:val="none" w:sz="0" w:space="0" w:color="auto"/>
        <w:right w:val="none" w:sz="0" w:space="0" w:color="auto"/>
      </w:divBdr>
    </w:div>
    <w:div w:id="1818376848">
      <w:bodyDiv w:val="1"/>
      <w:marLeft w:val="0"/>
      <w:marRight w:val="0"/>
      <w:marTop w:val="0"/>
      <w:marBottom w:val="0"/>
      <w:divBdr>
        <w:top w:val="none" w:sz="0" w:space="0" w:color="auto"/>
        <w:left w:val="none" w:sz="0" w:space="0" w:color="auto"/>
        <w:bottom w:val="none" w:sz="0" w:space="0" w:color="auto"/>
        <w:right w:val="none" w:sz="0" w:space="0" w:color="auto"/>
      </w:divBdr>
    </w:div>
    <w:div w:id="190768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yperlink" Target="http://www.census.gov/compendia/statab/2012/tables/12s0020.pdf" TargetMode="External"/><Relationship Id="rId298"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1.gif"/><Relationship Id="rId20" Type="http://schemas.openxmlformats.org/officeDocument/2006/relationships/hyperlink" Target="http://appsint.fcc.gov/ecfs/comment_search/inpu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911locationaccuracy@fcc.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en.wikipedia.org/wiki/VoLTE" TargetMode="External"/><Relationship Id="rId18" Type="http://schemas.openxmlformats.org/officeDocument/2006/relationships/hyperlink" Target="http://www.rcrwireless.com/article/20131121/heterogeneous-networks-2/small-cells-carriers-focus-on-handoff-to-legacy-networks/" TargetMode="External"/><Relationship Id="rId26" Type="http://schemas.openxmlformats.org/officeDocument/2006/relationships/hyperlink" Target="http://www.billingworld.com/news/2013/09/number-of-wi-fi-access-points-growing-quickly.aspx" TargetMode="External"/><Relationship Id="rId39" Type="http://schemas.openxmlformats.org/officeDocument/2006/relationships/hyperlink" Target="http://openmobilealliance.org/mobile-network-operators-can-offer-strong-services-for-public-safety-networks-with-the-help-of-oma-standards/" TargetMode="External"/><Relationship Id="rId21" Type="http://schemas.openxmlformats.org/officeDocument/2006/relationships/hyperlink" Target="http://developer.android.com/guide/topics/connectivity/bluetooth.html" TargetMode="External"/><Relationship Id="rId34" Type="http://schemas.openxmlformats.org/officeDocument/2006/relationships/hyperlink" Target="http://www.tmonews.com/2014/09/t-mobile-asus-personal-cellspot-lte-cel-fi/" TargetMode="External"/><Relationship Id="rId42" Type="http://schemas.openxmlformats.org/officeDocument/2006/relationships/hyperlink" Target="https://www.qualcomm.com/media/documents/files/otdoa-positioning-in-3gpp-lte.pdf" TargetMode="External"/><Relationship Id="rId47" Type="http://schemas.openxmlformats.org/officeDocument/2006/relationships/hyperlink" Target="http://www.washingtonpost.com/blogs/capital-weather-gang/wp/2014/09/09/slow-clap-new-iphone6-has-a-barometer/" TargetMode="External"/><Relationship Id="rId50" Type="http://schemas.openxmlformats.org/officeDocument/2006/relationships/hyperlink" Target="http://www.dot.gov/sites/dot.dev/files/docs/VSL%20Guidance_2013.pdf" TargetMode="External"/><Relationship Id="rId55" Type="http://schemas.openxmlformats.org/officeDocument/2006/relationships/hyperlink" Target="http://factfinder2.census.gov/faces/tableservices/jsf/pages/productview.xhtml?pid=ECN_2007_US_51SSSZ2&amp;prodType=table" TargetMode="External"/><Relationship Id="rId7" Type="http://schemas.openxmlformats.org/officeDocument/2006/relationships/hyperlink" Target="http://www.att.com/shop/wireless/devices/att/wireless-home-phone-silver.html" TargetMode="External"/><Relationship Id="rId2" Type="http://schemas.openxmlformats.org/officeDocument/2006/relationships/hyperlink" Target="http://transition.fcc.gov/bureaus/pshs/advisory/csric3/CSRIC_III_WG3_Report_March_%202013_ILTestBedReport.pdf" TargetMode="External"/><Relationship Id="rId16" Type="http://schemas.openxmlformats.org/officeDocument/2006/relationships/hyperlink" Target="http://www.canadapost.ca/tools/pg/manual/PGaddress-e.asp?ecid=murl10006450" TargetMode="External"/><Relationship Id="rId20" Type="http://schemas.openxmlformats.org/officeDocument/2006/relationships/hyperlink" Target="http://www.thedasforum.org/wp-content/uploads/2014/07/DAS-and-Small-Cell-Technologies-Distinguished_HNForum.pdf" TargetMode="External"/><Relationship Id="rId29" Type="http://schemas.openxmlformats.org/officeDocument/2006/relationships/hyperlink" Target="http://www.bluetooth.com/Pages/Mobile-Telephony-Market.aspx" TargetMode="External"/><Relationship Id="rId41" Type="http://schemas.openxmlformats.org/officeDocument/2006/relationships/hyperlink" Target="http://en.wikipedia.org/wiki/City_block" TargetMode="External"/><Relationship Id="rId54" Type="http://schemas.openxmlformats.org/officeDocument/2006/relationships/hyperlink" Target="http://www.census.gov/cgi-bin/sssd/naics/naicsrch?code=517210&amp;search=2007%20NAICS%20Search" TargetMode="External"/><Relationship Id="rId1" Type="http://schemas.openxmlformats.org/officeDocument/2006/relationships/hyperlink" Target="http://apps.fcc.gov/ecfs/document/view?id=60000986637" TargetMode="External"/><Relationship Id="rId6" Type="http://schemas.openxmlformats.org/officeDocument/2006/relationships/hyperlink" Target="http://www.verizonwireless.com/b2c/device/home-phone-connect" TargetMode="External"/><Relationship Id="rId11" Type="http://schemas.openxmlformats.org/officeDocument/2006/relationships/hyperlink" Target="http://www.thewire.com/national/2014/03/more-americans-moving-to-cities-reversing-the-suburban-exodus/359714/" TargetMode="External"/><Relationship Id="rId24" Type="http://schemas.openxmlformats.org/officeDocument/2006/relationships/hyperlink" Target="http://www.skyhookwireless.com/location-technology/coverage.php" TargetMode="External"/><Relationship Id="rId32" Type="http://schemas.openxmlformats.org/officeDocument/2006/relationships/hyperlink" Target="http://www.sprintenterprise.com/airave/faq.html" TargetMode="External"/><Relationship Id="rId37" Type="http://schemas.openxmlformats.org/officeDocument/2006/relationships/hyperlink" Target="http://smartersocket.com/" TargetMode="External"/><Relationship Id="rId40" Type="http://schemas.openxmlformats.org/officeDocument/2006/relationships/hyperlink" Target="http://transition.fcc.gov/pshs/advisory/csric4/CSRIC%20IV%20WG1%20TG2%20Report.pdf" TargetMode="External"/><Relationship Id="rId45" Type="http://schemas.openxmlformats.org/officeDocument/2006/relationships/hyperlink" Target="http://www.esri.com/news/arcuser/0703/geoid1of3.html" TargetMode="External"/><Relationship Id="rId53" Type="http://schemas.openxmlformats.org/officeDocument/2006/relationships/hyperlink" Target="http://www.sba.gov/sites/default/files/FAQ_Sept_2012.pdf" TargetMode="External"/><Relationship Id="rId58" Type="http://schemas.openxmlformats.org/officeDocument/2006/relationships/hyperlink" Target="http://www.census.gov/cgi-bin/sssd/naics/naicsrch?code=517919&amp;search=2007%20NAICS%20Search.(last" TargetMode="External"/><Relationship Id="rId5" Type="http://schemas.openxmlformats.org/officeDocument/2006/relationships/hyperlink" Target="http://www.cdc.gov/nchs/data/nhis/earlyrelease/wireless201412.pdf" TargetMode="External"/><Relationship Id="rId15" Type="http://schemas.openxmlformats.org/officeDocument/2006/relationships/hyperlink" Target="https://c.ymcdn.com/sites/www.nena.org/resource/resmgr/Standards/NENA-STA-004.1-2014_CLDXF.pdf" TargetMode="External"/><Relationship Id="rId23" Type="http://schemas.openxmlformats.org/officeDocument/2006/relationships/hyperlink" Target="http://www.networkworld.com/news/2013/032513-apple-wifislam-268054.html" TargetMode="External"/><Relationship Id="rId28" Type="http://schemas.openxmlformats.org/officeDocument/2006/relationships/hyperlink" Target="http://developer.android.com/guide/topics/connectivity/bluetooth.html" TargetMode="External"/><Relationship Id="rId36" Type="http://schemas.openxmlformats.org/officeDocument/2006/relationships/hyperlink" Target="http://august.com/" TargetMode="External"/><Relationship Id="rId49" Type="http://schemas.openxmlformats.org/officeDocument/2006/relationships/hyperlink" Target="http://transition.fcc.gov/pshs/advisory/csric3/3-WG%20Presentation%209-12-12.pdf" TargetMode="External"/><Relationship Id="rId57" Type="http://schemas.openxmlformats.org/officeDocument/2006/relationships/hyperlink" Target="http://factfinder.census.gov/servlet/IBQTable?_bm=y&amp;-fds_name=EC0700A1&amp;-geo_id=&amp;-_skip=600&amp;-ds_name=EC0751SSSZ5&amp;-_lang=en" TargetMode="External"/><Relationship Id="rId61" Type="http://schemas.openxmlformats.org/officeDocument/2006/relationships/hyperlink" Target="http://tucsoncitizen.com/morgue2/2003/06/16/188977-legislators-raid-funds-from-911-cell-upgrade/" TargetMode="External"/><Relationship Id="rId10" Type="http://schemas.openxmlformats.org/officeDocument/2006/relationships/hyperlink" Target="http://spectrum.ieee.org/telecom/wireless/new-indoor-navigation-technologies-work-where-gps-cant" TargetMode="External"/><Relationship Id="rId19" Type="http://schemas.openxmlformats.org/officeDocument/2006/relationships/hyperlink" Target="http://www.att.com/Common/about_us/pdf/small_cell.pdf" TargetMode="External"/><Relationship Id="rId31" Type="http://schemas.openxmlformats.org/officeDocument/2006/relationships/hyperlink" Target="http://www.verizonwireless.com/accessories/samsung-network-extender-scs-2u01/" TargetMode="External"/><Relationship Id="rId44" Type="http://schemas.openxmlformats.org/officeDocument/2006/relationships/hyperlink" Target="http://www.pcworld.com/article/253354/ten_ways_your_smartphone_knows_where_you_are.html" TargetMode="External"/><Relationship Id="rId52" Type="http://schemas.openxmlformats.org/officeDocument/2006/relationships/hyperlink" Target="http://www.nextnav.com/news/nextnav-closes-70-million-series-d-financing" TargetMode="External"/><Relationship Id="rId60" Type="http://schemas.openxmlformats.org/officeDocument/2006/relationships/hyperlink" Target="http://factfinder2.census.gov/faces/tableservices/jsf/pages/productview.xhtml?pid=ECN_2007_US_00A1&amp;prodType=table" TargetMode="External"/><Relationship Id="rId4" Type="http://schemas.openxmlformats.org/officeDocument/2006/relationships/hyperlink" Target="http://www.ctia.org/your-wireless-life/how-wireless-works/wireless-quick-facts" TargetMode="External"/><Relationship Id="rId9" Type="http://schemas.openxmlformats.org/officeDocument/2006/relationships/hyperlink" Target="http://www.hindawi.com/journals/jcnc/2013/185138/" TargetMode="External"/><Relationship Id="rId14" Type="http://schemas.openxmlformats.org/officeDocument/2006/relationships/hyperlink" Target="http://www.insidegnss.com/node/2507" TargetMode="External"/><Relationship Id="rId22" Type="http://schemas.openxmlformats.org/officeDocument/2006/relationships/hyperlink" Target="https://support.google.com/maps/answer/1725632?hl=en" TargetMode="External"/><Relationship Id="rId27" Type="http://schemas.openxmlformats.org/officeDocument/2006/relationships/hyperlink" Target="http://www.apple.com/iphone/specs.html" TargetMode="External"/><Relationship Id="rId30" Type="http://schemas.openxmlformats.org/officeDocument/2006/relationships/hyperlink" Target="http://techcrunch.com/2013/12/07/the-open-secret-of-ibeacon-apple-could-have-250m-units-in-the-wild-by-2014/" TargetMode="External"/><Relationship Id="rId35" Type="http://schemas.openxmlformats.org/officeDocument/2006/relationships/hyperlink" Target="https://nest.com/smoke-co-alarm/life-with-nest-protect/" TargetMode="External"/><Relationship Id="rId43" Type="http://schemas.openxmlformats.org/officeDocument/2006/relationships/hyperlink" Target="https://www.census.gov/geo/reference/ua/urban-rural-2010.html" TargetMode="External"/><Relationship Id="rId48" Type="http://schemas.openxmlformats.org/officeDocument/2006/relationships/hyperlink" Target="http://transition.fcc.gov/pshs/advisory/csric4/CSRIC_IV_WG-1_Subgroup3_061814.pdf" TargetMode="External"/><Relationship Id="rId56" Type="http://schemas.openxmlformats.org/officeDocument/2006/relationships/hyperlink" Target="http://factfinder.census.gov/servlet/IBQTable?_bm=y&amp;-fds_name=EC0700A1&amp;-geo_id=&amp;-_skip=600&amp;-ds_name=EC0751SSSZ5&amp;-_lang=en" TargetMode="External"/><Relationship Id="rId8" Type="http://schemas.openxmlformats.org/officeDocument/2006/relationships/hyperlink" Target="http://shop.sprint.com/mysprint/shop/plan_details.jsp?tabId=plnTab4410001&amp;planCatId=pln590002cat&amp;planFamilyType=&amp;flow=AAL" TargetMode="External"/><Relationship Id="rId51" Type="http://schemas.openxmlformats.org/officeDocument/2006/relationships/hyperlink" Target="http://www.sca-aware.org/about-sca" TargetMode="External"/><Relationship Id="rId3" Type="http://schemas.openxmlformats.org/officeDocument/2006/relationships/hyperlink" Target="http://www.ctia.org/your-wireless-life/how-wireless-works/annual-wireless-industry-survey" TargetMode="External"/><Relationship Id="rId12" Type="http://schemas.openxmlformats.org/officeDocument/2006/relationships/hyperlink" Target="http://www.atis.org/legal/Docs/ESIF%20DOCS/ESIF_Letter_DeLorenzo_Feb2014.pdf" TargetMode="External"/><Relationship Id="rId17" Type="http://schemas.openxmlformats.org/officeDocument/2006/relationships/hyperlink" Target="http://www.prnewswire.com/news-releases/verizon-wireless-activates-das-system-in-empire-state-plaza-223946991.html" TargetMode="External"/><Relationship Id="rId25" Type="http://schemas.openxmlformats.org/officeDocument/2006/relationships/hyperlink" Target="http://www.institutebe.com/smart-grid-smart-building/What-is-a-Smart-Building.aspx" TargetMode="External"/><Relationship Id="rId33" Type="http://schemas.openxmlformats.org/officeDocument/2006/relationships/hyperlink" Target="http://www.att.com/standalone/3gmicrocell/?fbid=W5aTdQD6xi9" TargetMode="External"/><Relationship Id="rId38" Type="http://schemas.openxmlformats.org/officeDocument/2006/relationships/hyperlink" Target="http://www.3gpp.org/news-events/3gpp-news/1628-rel13" TargetMode="External"/><Relationship Id="rId46" Type="http://schemas.openxmlformats.org/officeDocument/2006/relationships/hyperlink" Target="http://www.electronics-eetimes.com/en/samsung-leads-the-adoption-of-pressure-sensors-in-smartphones-for-floor-accurate-indoor-geolocation.html?cmp_id=7&amp;news_id=222916211" TargetMode="External"/><Relationship Id="rId59" Type="http://schemas.openxmlformats.org/officeDocument/2006/relationships/hyperlink" Target="http://factfinder2.census.gov/faces/tableservices/jsf/pages/productview.xhtml?pid=ECN_2007_US_51SSSZ1&amp;prodType=tab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45442</Words>
  <Characters>254883</Characters>
  <Application>Microsoft Office Word</Application>
  <DocSecurity>0</DocSecurity>
  <Lines>4069</Lines>
  <Paragraphs>1222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301127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2014-02-21T16:22:00Z</cp:lastPrinted>
  <dcterms:created xsi:type="dcterms:W3CDTF">2015-03-10T18:46:00Z</dcterms:created>
  <dcterms:modified xsi:type="dcterms:W3CDTF">2015-03-10T18:46:00Z</dcterms:modified>
  <cp:category> </cp:category>
  <cp:contentStatus> </cp:contentStatus>
</cp:coreProperties>
</file>