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1D1A" w14:textId="77777777" w:rsidR="009F2603" w:rsidRPr="006F6F95" w:rsidRDefault="0083176B" w:rsidP="009F2603">
      <w:pPr>
        <w:jc w:val="center"/>
        <w:rPr>
          <w:b/>
        </w:rPr>
      </w:pPr>
      <w:bookmarkStart w:id="0" w:name="_GoBack"/>
      <w:bookmarkEnd w:id="0"/>
      <w:r>
        <w:rPr>
          <w:rFonts w:ascii="Times New Roman Bold" w:hAnsi="Times New Roman Bold"/>
          <w:b/>
          <w:kern w:val="0"/>
          <w:szCs w:val="22"/>
        </w:rPr>
        <w:t>B</w:t>
      </w:r>
      <w:r w:rsidR="009F2603" w:rsidRPr="006F6F95">
        <w:rPr>
          <w:rFonts w:ascii="Times New Roman Bold" w:hAnsi="Times New Roman Bold"/>
          <w:b/>
          <w:kern w:val="0"/>
          <w:szCs w:val="22"/>
        </w:rPr>
        <w:t>efore</w:t>
      </w:r>
      <w:r w:rsidR="009F2603" w:rsidRPr="006F6F95">
        <w:rPr>
          <w:b/>
        </w:rPr>
        <w:t xml:space="preserve"> the</w:t>
      </w:r>
    </w:p>
    <w:p w14:paraId="48A15193" w14:textId="77777777" w:rsidR="009F2603" w:rsidRPr="006F6F95" w:rsidRDefault="009F2603" w:rsidP="009F2603">
      <w:pPr>
        <w:pStyle w:val="StyleBoldCentered"/>
      </w:pPr>
      <w:r w:rsidRPr="006F6F95">
        <w:t>F</w:t>
      </w:r>
      <w:r w:rsidRPr="006F6F95">
        <w:rPr>
          <w:caps w:val="0"/>
        </w:rPr>
        <w:t>ederal Communications Commission</w:t>
      </w:r>
    </w:p>
    <w:p w14:paraId="6FC35A27" w14:textId="77777777" w:rsidR="009F2603" w:rsidRPr="006F6F95" w:rsidRDefault="009F2603" w:rsidP="009F2603">
      <w:pPr>
        <w:pStyle w:val="StyleBoldCentered"/>
      </w:pPr>
      <w:r w:rsidRPr="006F6F95">
        <w:rPr>
          <w:caps w:val="0"/>
        </w:rPr>
        <w:t>Washington</w:t>
      </w:r>
      <w:r w:rsidRPr="006F6F95">
        <w:t>, D.C. 20554</w:t>
      </w:r>
    </w:p>
    <w:tbl>
      <w:tblPr>
        <w:tblW w:w="0" w:type="auto"/>
        <w:tblLayout w:type="fixed"/>
        <w:tblLook w:val="0000" w:firstRow="0" w:lastRow="0" w:firstColumn="0" w:lastColumn="0" w:noHBand="0" w:noVBand="0"/>
      </w:tblPr>
      <w:tblGrid>
        <w:gridCol w:w="4698"/>
        <w:gridCol w:w="630"/>
        <w:gridCol w:w="4248"/>
      </w:tblGrid>
      <w:tr w:rsidR="009F2603" w:rsidRPr="00B11992" w14:paraId="0E99F0E0" w14:textId="77777777">
        <w:tc>
          <w:tcPr>
            <w:tcW w:w="4698" w:type="dxa"/>
          </w:tcPr>
          <w:p w14:paraId="5AEE863E" w14:textId="77777777" w:rsidR="009F2603" w:rsidRPr="006F6F95" w:rsidRDefault="009F2603" w:rsidP="001B29A0">
            <w:pPr>
              <w:tabs>
                <w:tab w:val="center" w:pos="4680"/>
              </w:tabs>
              <w:suppressAutoHyphens/>
              <w:rPr>
                <w:spacing w:val="-2"/>
              </w:rPr>
            </w:pPr>
          </w:p>
          <w:p w14:paraId="2A97355A" w14:textId="6DE74670" w:rsidR="0002061F" w:rsidRDefault="0002061F" w:rsidP="001B29A0">
            <w:pPr>
              <w:tabs>
                <w:tab w:val="center" w:pos="4680"/>
              </w:tabs>
              <w:suppressAutoHyphens/>
              <w:rPr>
                <w:spacing w:val="-2"/>
              </w:rPr>
            </w:pPr>
            <w:r>
              <w:rPr>
                <w:spacing w:val="-2"/>
              </w:rPr>
              <w:t>In the Matter of</w:t>
            </w:r>
          </w:p>
          <w:p w14:paraId="05E693F1" w14:textId="77777777" w:rsidR="0002061F" w:rsidRDefault="0002061F" w:rsidP="001B29A0">
            <w:pPr>
              <w:tabs>
                <w:tab w:val="center" w:pos="4680"/>
              </w:tabs>
              <w:suppressAutoHyphens/>
              <w:rPr>
                <w:spacing w:val="-2"/>
              </w:rPr>
            </w:pPr>
          </w:p>
          <w:p w14:paraId="0BA0E2ED" w14:textId="77777777" w:rsidR="009F2603" w:rsidRPr="005305E9" w:rsidRDefault="009F2603" w:rsidP="001B29A0">
            <w:pPr>
              <w:tabs>
                <w:tab w:val="center" w:pos="4680"/>
              </w:tabs>
              <w:suppressAutoHyphens/>
              <w:rPr>
                <w:spacing w:val="-2"/>
              </w:rPr>
            </w:pPr>
            <w:r w:rsidRPr="005305E9">
              <w:rPr>
                <w:spacing w:val="-2"/>
              </w:rPr>
              <w:t xml:space="preserve">NCE October 2007 Window </w:t>
            </w:r>
          </w:p>
          <w:p w14:paraId="362E4EE0" w14:textId="77777777" w:rsidR="009F2603" w:rsidRPr="005305E9" w:rsidRDefault="00EA4B7B" w:rsidP="001B29A0">
            <w:pPr>
              <w:tabs>
                <w:tab w:val="center" w:pos="4680"/>
              </w:tabs>
              <w:suppressAutoHyphens/>
              <w:rPr>
                <w:spacing w:val="-2"/>
              </w:rPr>
            </w:pPr>
            <w:r>
              <w:rPr>
                <w:spacing w:val="-2"/>
              </w:rPr>
              <w:t>MX Group 543</w:t>
            </w:r>
          </w:p>
          <w:p w14:paraId="2994CABB" w14:textId="77777777" w:rsidR="009F2603" w:rsidRPr="005305E9" w:rsidRDefault="009F2603" w:rsidP="001B29A0">
            <w:pPr>
              <w:tabs>
                <w:tab w:val="center" w:pos="4680"/>
              </w:tabs>
              <w:suppressAutoHyphens/>
              <w:rPr>
                <w:spacing w:val="-2"/>
              </w:rPr>
            </w:pPr>
          </w:p>
          <w:p w14:paraId="4C323C3A" w14:textId="77777777" w:rsidR="009F2603" w:rsidRPr="005305E9" w:rsidRDefault="009F2603" w:rsidP="001B29A0">
            <w:pPr>
              <w:tabs>
                <w:tab w:val="center" w:pos="4680"/>
              </w:tabs>
              <w:suppressAutoHyphens/>
              <w:rPr>
                <w:spacing w:val="-2"/>
              </w:rPr>
            </w:pPr>
            <w:r w:rsidRPr="005305E9">
              <w:rPr>
                <w:spacing w:val="-2"/>
              </w:rPr>
              <w:t xml:space="preserve">In re Application of </w:t>
            </w:r>
          </w:p>
          <w:p w14:paraId="3E3D642C" w14:textId="77777777" w:rsidR="009F2603" w:rsidRPr="005305E9" w:rsidRDefault="009F2603" w:rsidP="001B29A0">
            <w:pPr>
              <w:tabs>
                <w:tab w:val="center" w:pos="4680"/>
              </w:tabs>
              <w:suppressAutoHyphens/>
              <w:rPr>
                <w:spacing w:val="-2"/>
              </w:rPr>
            </w:pPr>
          </w:p>
          <w:p w14:paraId="5438C36D" w14:textId="26494C61" w:rsidR="00EF5350" w:rsidRDefault="00EA4B7B" w:rsidP="001B29A0">
            <w:pPr>
              <w:tabs>
                <w:tab w:val="center" w:pos="4680"/>
              </w:tabs>
              <w:suppressAutoHyphens/>
              <w:rPr>
                <w:spacing w:val="-2"/>
              </w:rPr>
            </w:pPr>
            <w:r>
              <w:rPr>
                <w:spacing w:val="-2"/>
              </w:rPr>
              <w:t>The KBOO Foundation</w:t>
            </w:r>
            <w:r w:rsidR="009F2603" w:rsidRPr="005305E9">
              <w:rPr>
                <w:spacing w:val="-2"/>
              </w:rPr>
              <w:t xml:space="preserve"> </w:t>
            </w:r>
          </w:p>
          <w:p w14:paraId="20AE0577" w14:textId="6503E9F2" w:rsidR="00EF5350" w:rsidRDefault="00EF5350" w:rsidP="001B29A0">
            <w:pPr>
              <w:tabs>
                <w:tab w:val="center" w:pos="4680"/>
              </w:tabs>
              <w:suppressAutoHyphens/>
              <w:rPr>
                <w:spacing w:val="-2"/>
              </w:rPr>
            </w:pPr>
            <w:r>
              <w:rPr>
                <w:spacing w:val="-2"/>
              </w:rPr>
              <w:t>F</w:t>
            </w:r>
            <w:r w:rsidR="009F2603" w:rsidRPr="005305E9">
              <w:rPr>
                <w:spacing w:val="-2"/>
              </w:rPr>
              <w:t>or a New NCE(FM) Station</w:t>
            </w:r>
          </w:p>
          <w:p w14:paraId="5D34EA3B" w14:textId="50E39982" w:rsidR="009F2603" w:rsidRPr="005305E9" w:rsidRDefault="00EA4B7B" w:rsidP="001B29A0">
            <w:pPr>
              <w:tabs>
                <w:tab w:val="center" w:pos="4680"/>
              </w:tabs>
              <w:suppressAutoHyphens/>
              <w:rPr>
                <w:spacing w:val="-2"/>
              </w:rPr>
            </w:pPr>
            <w:r>
              <w:rPr>
                <w:spacing w:val="-2"/>
              </w:rPr>
              <w:t>Chehalis</w:t>
            </w:r>
            <w:r w:rsidR="009F2603" w:rsidRPr="005305E9">
              <w:rPr>
                <w:spacing w:val="-2"/>
              </w:rPr>
              <w:t xml:space="preserve">, </w:t>
            </w:r>
            <w:r>
              <w:rPr>
                <w:spacing w:val="-2"/>
              </w:rPr>
              <w:t>Washington</w:t>
            </w:r>
          </w:p>
          <w:p w14:paraId="520AC927" w14:textId="77777777" w:rsidR="009F2603" w:rsidRPr="004848CB" w:rsidRDefault="009F2603" w:rsidP="001B29A0">
            <w:pPr>
              <w:tabs>
                <w:tab w:val="center" w:pos="4680"/>
              </w:tabs>
              <w:suppressAutoHyphens/>
              <w:rPr>
                <w:spacing w:val="-2"/>
              </w:rPr>
            </w:pPr>
          </w:p>
        </w:tc>
        <w:tc>
          <w:tcPr>
            <w:tcW w:w="630" w:type="dxa"/>
          </w:tcPr>
          <w:p w14:paraId="02D3B058" w14:textId="77777777" w:rsidR="009F2603" w:rsidRPr="006F6F95" w:rsidRDefault="009F2603" w:rsidP="001B29A0">
            <w:pPr>
              <w:tabs>
                <w:tab w:val="center" w:pos="4680"/>
              </w:tabs>
              <w:suppressAutoHyphens/>
              <w:rPr>
                <w:b/>
                <w:spacing w:val="-2"/>
              </w:rPr>
            </w:pPr>
          </w:p>
          <w:p w14:paraId="0E20C4E9" w14:textId="77777777" w:rsidR="009F2603" w:rsidRPr="006F6F95" w:rsidRDefault="009F2603" w:rsidP="001B29A0">
            <w:pPr>
              <w:tabs>
                <w:tab w:val="center" w:pos="4680"/>
              </w:tabs>
              <w:suppressAutoHyphens/>
              <w:rPr>
                <w:b/>
                <w:spacing w:val="-2"/>
              </w:rPr>
            </w:pPr>
            <w:r w:rsidRPr="006F6F95">
              <w:rPr>
                <w:b/>
                <w:spacing w:val="-2"/>
              </w:rPr>
              <w:t>)</w:t>
            </w:r>
          </w:p>
          <w:p w14:paraId="1A2EE72E" w14:textId="77777777" w:rsidR="009F2603" w:rsidRPr="006F6F95" w:rsidRDefault="009F2603" w:rsidP="001B29A0">
            <w:pPr>
              <w:tabs>
                <w:tab w:val="center" w:pos="4680"/>
              </w:tabs>
              <w:suppressAutoHyphens/>
              <w:rPr>
                <w:b/>
                <w:spacing w:val="-2"/>
              </w:rPr>
            </w:pPr>
            <w:r w:rsidRPr="006F6F95">
              <w:rPr>
                <w:b/>
                <w:spacing w:val="-2"/>
              </w:rPr>
              <w:t>)</w:t>
            </w:r>
          </w:p>
          <w:p w14:paraId="14679399" w14:textId="77777777" w:rsidR="009F2603" w:rsidRPr="006F6F95" w:rsidRDefault="009F2603" w:rsidP="001B29A0">
            <w:pPr>
              <w:tabs>
                <w:tab w:val="center" w:pos="4680"/>
              </w:tabs>
              <w:suppressAutoHyphens/>
              <w:rPr>
                <w:b/>
                <w:spacing w:val="-2"/>
              </w:rPr>
            </w:pPr>
            <w:r w:rsidRPr="006F6F95">
              <w:rPr>
                <w:b/>
                <w:spacing w:val="-2"/>
              </w:rPr>
              <w:t>)</w:t>
            </w:r>
          </w:p>
          <w:p w14:paraId="64961DC9" w14:textId="77777777" w:rsidR="009F2603" w:rsidRPr="006F6F95" w:rsidRDefault="009F2603" w:rsidP="001B29A0">
            <w:pPr>
              <w:tabs>
                <w:tab w:val="center" w:pos="4680"/>
              </w:tabs>
              <w:suppressAutoHyphens/>
              <w:rPr>
                <w:b/>
                <w:spacing w:val="-2"/>
              </w:rPr>
            </w:pPr>
            <w:r w:rsidRPr="006F6F95">
              <w:rPr>
                <w:b/>
                <w:spacing w:val="-2"/>
              </w:rPr>
              <w:t>)</w:t>
            </w:r>
          </w:p>
          <w:p w14:paraId="6E01939D" w14:textId="77777777" w:rsidR="009F2603" w:rsidRPr="006F6F95" w:rsidRDefault="009F2603" w:rsidP="001B29A0">
            <w:pPr>
              <w:tabs>
                <w:tab w:val="center" w:pos="4680"/>
              </w:tabs>
              <w:suppressAutoHyphens/>
              <w:rPr>
                <w:b/>
                <w:spacing w:val="-2"/>
              </w:rPr>
            </w:pPr>
            <w:r w:rsidRPr="006F6F95">
              <w:rPr>
                <w:b/>
                <w:spacing w:val="-2"/>
              </w:rPr>
              <w:t>)</w:t>
            </w:r>
          </w:p>
          <w:p w14:paraId="4D88E7F1" w14:textId="77777777" w:rsidR="009F2603" w:rsidRDefault="009F2603" w:rsidP="001B29A0">
            <w:pPr>
              <w:tabs>
                <w:tab w:val="center" w:pos="4680"/>
              </w:tabs>
              <w:suppressAutoHyphens/>
              <w:rPr>
                <w:b/>
                <w:spacing w:val="-2"/>
              </w:rPr>
            </w:pPr>
            <w:r w:rsidRPr="006F6F95">
              <w:rPr>
                <w:b/>
                <w:spacing w:val="-2"/>
              </w:rPr>
              <w:t>)</w:t>
            </w:r>
          </w:p>
          <w:p w14:paraId="1836F6C6" w14:textId="77777777" w:rsidR="009F2603" w:rsidRDefault="009F2603" w:rsidP="001B29A0">
            <w:pPr>
              <w:tabs>
                <w:tab w:val="center" w:pos="4680"/>
              </w:tabs>
              <w:suppressAutoHyphens/>
              <w:rPr>
                <w:b/>
                <w:spacing w:val="-2"/>
              </w:rPr>
            </w:pPr>
            <w:r>
              <w:rPr>
                <w:b/>
                <w:spacing w:val="-2"/>
              </w:rPr>
              <w:t>)</w:t>
            </w:r>
          </w:p>
          <w:p w14:paraId="0FA5C4D4" w14:textId="77777777" w:rsidR="009F2603" w:rsidRDefault="009F2603" w:rsidP="001B29A0">
            <w:pPr>
              <w:tabs>
                <w:tab w:val="center" w:pos="4680"/>
              </w:tabs>
              <w:suppressAutoHyphens/>
              <w:rPr>
                <w:b/>
                <w:spacing w:val="-2"/>
              </w:rPr>
            </w:pPr>
            <w:r>
              <w:rPr>
                <w:b/>
                <w:spacing w:val="-2"/>
              </w:rPr>
              <w:t>)</w:t>
            </w:r>
          </w:p>
          <w:p w14:paraId="5C861D30" w14:textId="77777777" w:rsidR="009F2603" w:rsidRDefault="009F2603" w:rsidP="001B29A0">
            <w:pPr>
              <w:tabs>
                <w:tab w:val="center" w:pos="4680"/>
              </w:tabs>
              <w:suppressAutoHyphens/>
              <w:rPr>
                <w:b/>
                <w:spacing w:val="-2"/>
              </w:rPr>
            </w:pPr>
            <w:r>
              <w:rPr>
                <w:b/>
                <w:spacing w:val="-2"/>
              </w:rPr>
              <w:t>)</w:t>
            </w:r>
          </w:p>
          <w:p w14:paraId="799EFEB4" w14:textId="201AA6DC" w:rsidR="0002061F" w:rsidRPr="009013C7" w:rsidRDefault="0002061F" w:rsidP="001B29A0">
            <w:pPr>
              <w:tabs>
                <w:tab w:val="center" w:pos="4680"/>
              </w:tabs>
              <w:suppressAutoHyphens/>
              <w:rPr>
                <w:b/>
                <w:spacing w:val="-2"/>
              </w:rPr>
            </w:pPr>
            <w:r>
              <w:rPr>
                <w:b/>
                <w:spacing w:val="-2"/>
              </w:rPr>
              <w:t>)</w:t>
            </w:r>
          </w:p>
        </w:tc>
        <w:tc>
          <w:tcPr>
            <w:tcW w:w="4248" w:type="dxa"/>
          </w:tcPr>
          <w:p w14:paraId="639E32B4" w14:textId="77777777" w:rsidR="009F2603" w:rsidRDefault="009F2603" w:rsidP="001B29A0">
            <w:pPr>
              <w:tabs>
                <w:tab w:val="center" w:pos="4680"/>
              </w:tabs>
              <w:suppressAutoHyphens/>
              <w:rPr>
                <w:spacing w:val="-2"/>
              </w:rPr>
            </w:pPr>
          </w:p>
          <w:p w14:paraId="470C1236" w14:textId="77777777" w:rsidR="009F2603" w:rsidRDefault="009F2603" w:rsidP="001B29A0">
            <w:pPr>
              <w:tabs>
                <w:tab w:val="center" w:pos="4680"/>
              </w:tabs>
              <w:suppressAutoHyphens/>
              <w:rPr>
                <w:spacing w:val="-2"/>
              </w:rPr>
            </w:pPr>
          </w:p>
          <w:p w14:paraId="35236DE5" w14:textId="77777777" w:rsidR="009F2603" w:rsidRDefault="009F2603" w:rsidP="001B29A0">
            <w:pPr>
              <w:tabs>
                <w:tab w:val="center" w:pos="4680"/>
              </w:tabs>
              <w:suppressAutoHyphens/>
              <w:rPr>
                <w:spacing w:val="-2"/>
              </w:rPr>
            </w:pPr>
          </w:p>
          <w:p w14:paraId="2B3BC096" w14:textId="77777777" w:rsidR="009F2603" w:rsidRDefault="009F2603" w:rsidP="001B29A0">
            <w:pPr>
              <w:tabs>
                <w:tab w:val="center" w:pos="4680"/>
              </w:tabs>
              <w:suppressAutoHyphens/>
              <w:rPr>
                <w:spacing w:val="-2"/>
              </w:rPr>
            </w:pPr>
          </w:p>
          <w:p w14:paraId="2E57FE87" w14:textId="77777777" w:rsidR="009F2603" w:rsidRDefault="009F2603" w:rsidP="001B29A0">
            <w:pPr>
              <w:tabs>
                <w:tab w:val="center" w:pos="4680"/>
              </w:tabs>
              <w:suppressAutoHyphens/>
              <w:rPr>
                <w:spacing w:val="-2"/>
              </w:rPr>
            </w:pPr>
          </w:p>
          <w:p w14:paraId="00CC5830" w14:textId="77777777" w:rsidR="009F2603" w:rsidRDefault="009F2603" w:rsidP="001B29A0">
            <w:pPr>
              <w:tabs>
                <w:tab w:val="center" w:pos="4680"/>
              </w:tabs>
              <w:suppressAutoHyphens/>
              <w:rPr>
                <w:spacing w:val="-2"/>
              </w:rPr>
            </w:pPr>
          </w:p>
          <w:p w14:paraId="3A5FE66E" w14:textId="77777777" w:rsidR="009F2603" w:rsidRDefault="00EA4B7B" w:rsidP="001B29A0">
            <w:pPr>
              <w:tabs>
                <w:tab w:val="center" w:pos="4680"/>
              </w:tabs>
              <w:suppressAutoHyphens/>
              <w:rPr>
                <w:spacing w:val="-2"/>
              </w:rPr>
            </w:pPr>
            <w:r>
              <w:rPr>
                <w:spacing w:val="-2"/>
              </w:rPr>
              <w:t>Facility ID No. 173822</w:t>
            </w:r>
          </w:p>
          <w:p w14:paraId="0C17DE43" w14:textId="77777777" w:rsidR="009F2603" w:rsidRDefault="009F2603" w:rsidP="001B29A0">
            <w:pPr>
              <w:tabs>
                <w:tab w:val="center" w:pos="4680"/>
              </w:tabs>
              <w:suppressAutoHyphens/>
              <w:rPr>
                <w:spacing w:val="-2"/>
              </w:rPr>
            </w:pPr>
            <w:r>
              <w:rPr>
                <w:spacing w:val="-2"/>
              </w:rPr>
              <w:t xml:space="preserve">File No. </w:t>
            </w:r>
            <w:r>
              <w:t>BNPED-</w:t>
            </w:r>
            <w:r w:rsidR="00EA4B7B">
              <w:t>20071019ARU</w:t>
            </w:r>
          </w:p>
          <w:p w14:paraId="0AB6562F" w14:textId="77777777" w:rsidR="009F2603" w:rsidRDefault="009F2603" w:rsidP="001B29A0">
            <w:pPr>
              <w:tabs>
                <w:tab w:val="center" w:pos="4680"/>
              </w:tabs>
              <w:suppressAutoHyphens/>
              <w:rPr>
                <w:spacing w:val="-2"/>
              </w:rPr>
            </w:pPr>
          </w:p>
          <w:p w14:paraId="1014F223" w14:textId="77777777" w:rsidR="009F2603" w:rsidRPr="00B11992" w:rsidRDefault="009F2603" w:rsidP="001B29A0">
            <w:pPr>
              <w:tabs>
                <w:tab w:val="center" w:pos="4680"/>
              </w:tabs>
              <w:suppressAutoHyphens/>
              <w:rPr>
                <w:spacing w:val="-2"/>
              </w:rPr>
            </w:pPr>
          </w:p>
        </w:tc>
      </w:tr>
    </w:tbl>
    <w:p w14:paraId="29DE4886" w14:textId="77777777" w:rsidR="009F2603" w:rsidRPr="00DE76E4" w:rsidRDefault="009F2603" w:rsidP="009F2603">
      <w:pPr>
        <w:pStyle w:val="StyleBoldCentered"/>
      </w:pPr>
      <w:r>
        <w:t>MEMORANDUM OPINION AND ORDER</w:t>
      </w:r>
    </w:p>
    <w:p w14:paraId="4F90FB8B" w14:textId="77777777" w:rsidR="009F2603" w:rsidRPr="006F6F95" w:rsidRDefault="009F2603" w:rsidP="009F2603">
      <w:pPr>
        <w:tabs>
          <w:tab w:val="left" w:pos="-720"/>
        </w:tabs>
        <w:suppressAutoHyphens/>
        <w:spacing w:line="227" w:lineRule="auto"/>
        <w:rPr>
          <w:spacing w:val="-2"/>
        </w:rPr>
      </w:pPr>
    </w:p>
    <w:p w14:paraId="1597AFFE" w14:textId="430606A0" w:rsidR="005E3B0B" w:rsidRDefault="005E3B0B" w:rsidP="005E3B0B">
      <w:pPr>
        <w:tabs>
          <w:tab w:val="left" w:pos="720"/>
          <w:tab w:val="right" w:pos="9360"/>
        </w:tabs>
        <w:suppressAutoHyphens/>
        <w:spacing w:line="227" w:lineRule="auto"/>
        <w:rPr>
          <w:spacing w:val="-2"/>
        </w:rPr>
      </w:pPr>
      <w:r>
        <w:rPr>
          <w:b/>
          <w:spacing w:val="-2"/>
        </w:rPr>
        <w:t>Adopted:  January 27, 2016</w:t>
      </w:r>
      <w:r>
        <w:rPr>
          <w:b/>
          <w:spacing w:val="-2"/>
        </w:rPr>
        <w:tab/>
        <w:t>Released:  February 2, 2016</w:t>
      </w:r>
    </w:p>
    <w:p w14:paraId="77475C37" w14:textId="77777777" w:rsidR="005E3B0B" w:rsidRDefault="005E3B0B" w:rsidP="005E3B0B"/>
    <w:p w14:paraId="65E8CB33" w14:textId="297E9329" w:rsidR="00C612C4" w:rsidRDefault="00C612C4" w:rsidP="00C612C4">
      <w:r>
        <w:t>By the Commission: </w:t>
      </w:r>
      <w:r w:rsidR="00BD1595">
        <w:t xml:space="preserve"> Commissioners Pai and O’Reilly issuing separate statements.</w:t>
      </w:r>
    </w:p>
    <w:p w14:paraId="2EC85771" w14:textId="77777777" w:rsidR="00547E12" w:rsidRPr="00BD08E9" w:rsidRDefault="00547E12" w:rsidP="009F2603">
      <w:pPr>
        <w:widowControl/>
        <w:rPr>
          <w:kern w:val="0"/>
          <w:szCs w:val="22"/>
        </w:rPr>
      </w:pPr>
    </w:p>
    <w:p w14:paraId="56CF63D0" w14:textId="77777777" w:rsidR="009F2603" w:rsidRPr="001C5914" w:rsidRDefault="009F2603" w:rsidP="009F2603">
      <w:pPr>
        <w:pStyle w:val="Heading1"/>
        <w:numPr>
          <w:ilvl w:val="0"/>
          <w:numId w:val="4"/>
        </w:numPr>
        <w:spacing w:after="220"/>
        <w:rPr>
          <w:rFonts w:ascii="Times New Roman" w:hAnsi="Times New Roman"/>
          <w:kern w:val="0"/>
        </w:rPr>
      </w:pPr>
      <w:r w:rsidRPr="00A220E8">
        <w:rPr>
          <w:kern w:val="0"/>
        </w:rPr>
        <w:t>Introduction</w:t>
      </w:r>
    </w:p>
    <w:p w14:paraId="6D3513A0" w14:textId="77777777" w:rsidR="00B87CF2" w:rsidRDefault="001A6C72" w:rsidP="00223FED">
      <w:pPr>
        <w:pStyle w:val="ParaNum"/>
      </w:pPr>
      <w:r>
        <w:t>The Commission has before it</w:t>
      </w:r>
      <w:r w:rsidR="00D03F18">
        <w:t xml:space="preserve"> an</w:t>
      </w:r>
      <w:r w:rsidR="009F2603" w:rsidRPr="006958C5">
        <w:rPr>
          <w:rStyle w:val="FootnoteReference"/>
        </w:rPr>
        <w:t xml:space="preserve"> </w:t>
      </w:r>
      <w:r w:rsidR="009F2603">
        <w:t>Application for Review</w:t>
      </w:r>
      <w:r w:rsidR="00CA76DF">
        <w:t xml:space="preserve"> (“AFR”)</w:t>
      </w:r>
      <w:r w:rsidR="009F2603">
        <w:t xml:space="preserve"> filed</w:t>
      </w:r>
      <w:r w:rsidR="00B153B4">
        <w:t xml:space="preserve"> on October 27, 2011,</w:t>
      </w:r>
      <w:r w:rsidR="009F2603">
        <w:t xml:space="preserve"> by </w:t>
      </w:r>
      <w:r w:rsidR="0004225C">
        <w:t>Che</w:t>
      </w:r>
      <w:r w:rsidR="00EA4B7B">
        <w:t>halis Valley Educational Foundation (“CVEF”)</w:t>
      </w:r>
      <w:r w:rsidR="0056785F">
        <w:t>, the licensee of KAHS(FM), Chehalis, Washington</w:t>
      </w:r>
      <w:r w:rsidR="00297909">
        <w:t>.</w:t>
      </w:r>
      <w:r w:rsidR="00706470">
        <w:rPr>
          <w:rStyle w:val="FootnoteReference"/>
        </w:rPr>
        <w:footnoteReference w:id="2"/>
      </w:r>
      <w:r w:rsidR="00297909">
        <w:t xml:space="preserve">  </w:t>
      </w:r>
      <w:r w:rsidR="00B3309B">
        <w:t>CVEF</w:t>
      </w:r>
      <w:r>
        <w:t xml:space="preserve"> </w:t>
      </w:r>
      <w:r w:rsidR="00D03F18">
        <w:t>seek</w:t>
      </w:r>
      <w:r w:rsidR="00B3309B">
        <w:t>s</w:t>
      </w:r>
      <w:r>
        <w:t xml:space="preserve"> </w:t>
      </w:r>
      <w:r w:rsidR="007E174F">
        <w:t xml:space="preserve">review of a Media Bureau decision which denied </w:t>
      </w:r>
      <w:r w:rsidR="00B3309B">
        <w:t>its Petition to Deny</w:t>
      </w:r>
      <w:r w:rsidR="007E2B0C">
        <w:t xml:space="preserve"> (“Petition”)</w:t>
      </w:r>
      <w:r w:rsidR="00B3309B">
        <w:t xml:space="preserve"> the referenced </w:t>
      </w:r>
      <w:r w:rsidR="00223FED">
        <w:t xml:space="preserve">noncommercial educational (“NCE”) FM </w:t>
      </w:r>
      <w:r w:rsidR="00B3309B">
        <w:t xml:space="preserve">application </w:t>
      </w:r>
      <w:r w:rsidR="00C14A6D">
        <w:t xml:space="preserve">(“Application”) </w:t>
      </w:r>
      <w:r w:rsidR="00B3309B">
        <w:t>filed by The KBOO Foundation (“KBOO”)</w:t>
      </w:r>
      <w:r w:rsidR="007E174F">
        <w:t xml:space="preserve"> and granted KBOO’s requests for waiver of Section 73.3573 of the Commission’s rules (“Rules”) and the Application</w:t>
      </w:r>
      <w:r w:rsidR="009F2603">
        <w:t>.</w:t>
      </w:r>
      <w:r w:rsidR="007E174F">
        <w:rPr>
          <w:rStyle w:val="FootnoteReference"/>
        </w:rPr>
        <w:footnoteReference w:id="3"/>
      </w:r>
      <w:r w:rsidR="009F2603">
        <w:t xml:space="preserve">  For the reasons set forth below, we </w:t>
      </w:r>
      <w:r w:rsidR="000A3474">
        <w:t>grant</w:t>
      </w:r>
      <w:r w:rsidR="009F2603">
        <w:t xml:space="preserve"> the </w:t>
      </w:r>
      <w:r w:rsidR="003D4189">
        <w:t>AFR</w:t>
      </w:r>
      <w:r w:rsidR="007E174F">
        <w:t>, rescind our grant of the waivers and Application and dismiss the Application</w:t>
      </w:r>
      <w:r w:rsidR="009F2603">
        <w:t>.</w:t>
      </w:r>
      <w:r w:rsidR="00CA76DF">
        <w:t xml:space="preserve">  </w:t>
      </w:r>
    </w:p>
    <w:p w14:paraId="283EE500" w14:textId="1BB23D38" w:rsidR="00B87CF2" w:rsidRDefault="00B87CF2" w:rsidP="000E1EA2">
      <w:pPr>
        <w:pStyle w:val="ParaNum"/>
      </w:pPr>
      <w:r>
        <w:t>Both KBOO and CVEF filed applications in the October 2007 NCE FM filing window.</w:t>
      </w:r>
      <w:r>
        <w:rPr>
          <w:rStyle w:val="FootnoteReference"/>
        </w:rPr>
        <w:footnoteReference w:id="4"/>
      </w:r>
      <w:r>
        <w:t xml:space="preserve">  Their applications were mutually exclusive </w:t>
      </w:r>
      <w:r w:rsidRPr="008316DA">
        <w:t>with 15</w:t>
      </w:r>
      <w:r>
        <w:t xml:space="preserve"> others and were designated NCE MX Group 543.</w:t>
      </w:r>
      <w:r>
        <w:rPr>
          <w:rStyle w:val="FootnoteReference"/>
        </w:rPr>
        <w:footnoteReference w:id="5"/>
      </w:r>
      <w:r>
        <w:t xml:space="preserve">  </w:t>
      </w:r>
      <w:r w:rsidR="00584D2A">
        <w:t xml:space="preserve">While </w:t>
      </w:r>
      <w:r w:rsidR="00C14A6D">
        <w:t>the A</w:t>
      </w:r>
      <w:r w:rsidR="00584D2A">
        <w:t>pplication was pending, KBOO experienced a greater than 50 percent change in membership of its governing board</w:t>
      </w:r>
      <w:r w:rsidR="003A4030" w:rsidRPr="003A4030">
        <w:t xml:space="preserve"> </w:t>
      </w:r>
      <w:r w:rsidR="003A4030">
        <w:t xml:space="preserve">over the course of </w:t>
      </w:r>
      <w:r w:rsidR="00552688">
        <w:t xml:space="preserve">less than a </w:t>
      </w:r>
      <w:r w:rsidR="003A4030">
        <w:t>year</w:t>
      </w:r>
      <w:r w:rsidR="00584D2A">
        <w:t xml:space="preserve">.  Thus, </w:t>
      </w:r>
      <w:r w:rsidR="002100ED">
        <w:t>on November 2</w:t>
      </w:r>
      <w:r w:rsidR="003356D6">
        <w:t>1</w:t>
      </w:r>
      <w:r w:rsidR="002100ED">
        <w:t>,</w:t>
      </w:r>
      <w:r w:rsidR="00C05397">
        <w:t xml:space="preserve"> 2008, </w:t>
      </w:r>
      <w:r w:rsidR="00584D2A">
        <w:t xml:space="preserve">it </w:t>
      </w:r>
      <w:r>
        <w:t xml:space="preserve">amended </w:t>
      </w:r>
      <w:r w:rsidR="00C14A6D">
        <w:t>the A</w:t>
      </w:r>
      <w:r>
        <w:t>pplica</w:t>
      </w:r>
      <w:r w:rsidR="00C05397">
        <w:t>tion</w:t>
      </w:r>
      <w:r>
        <w:t xml:space="preserve"> to reflect </w:t>
      </w:r>
      <w:r w:rsidR="00584D2A">
        <w:t xml:space="preserve">these </w:t>
      </w:r>
      <w:r>
        <w:t>change</w:t>
      </w:r>
      <w:r w:rsidR="00584D2A">
        <w:t>s</w:t>
      </w:r>
      <w:r>
        <w:t xml:space="preserve"> in its </w:t>
      </w:r>
      <w:r w:rsidR="0032096F">
        <w:t>Board</w:t>
      </w:r>
      <w:r w:rsidR="000E1EA2">
        <w:t xml:space="preserve"> </w:t>
      </w:r>
      <w:r w:rsidR="00223FED">
        <w:t>membership</w:t>
      </w:r>
      <w:r w:rsidR="0032096F">
        <w:t xml:space="preserve">.  </w:t>
      </w:r>
      <w:r w:rsidR="00584D2A">
        <w:t xml:space="preserve">The amendment constituted a “major change” </w:t>
      </w:r>
      <w:r w:rsidR="00EF5350">
        <w:t xml:space="preserve">to a pending application </w:t>
      </w:r>
      <w:r w:rsidR="00584D2A">
        <w:t>under Section 73.3573 of the Rules.</w:t>
      </w:r>
      <w:r w:rsidR="00584D2A">
        <w:rPr>
          <w:rStyle w:val="FootnoteReference"/>
        </w:rPr>
        <w:footnoteReference w:id="6"/>
      </w:r>
      <w:r w:rsidR="00584D2A">
        <w:t xml:space="preserve">  </w:t>
      </w:r>
      <w:r w:rsidR="0069050A">
        <w:t>T</w:t>
      </w:r>
      <w:r w:rsidR="00584D2A">
        <w:t>hat section prohibits the filing of “major change” amendments outside</w:t>
      </w:r>
      <w:r w:rsidR="0069050A">
        <w:t xml:space="preserve"> of a filing window.</w:t>
      </w:r>
      <w:r w:rsidR="005362FB">
        <w:rPr>
          <w:rStyle w:val="FootnoteReference"/>
        </w:rPr>
        <w:footnoteReference w:id="7"/>
      </w:r>
      <w:r w:rsidR="0069050A">
        <w:t xml:space="preserve">  Acknowledging this, </w:t>
      </w:r>
      <w:r w:rsidR="00584D2A">
        <w:t xml:space="preserve">KBOO </w:t>
      </w:r>
      <w:r w:rsidR="0069050A">
        <w:t>requested</w:t>
      </w:r>
      <w:r w:rsidR="00584D2A">
        <w:t xml:space="preserve"> a waiver.</w:t>
      </w:r>
      <w:r w:rsidR="00E50DA7">
        <w:t xml:space="preserve">  In t</w:t>
      </w:r>
      <w:r>
        <w:t xml:space="preserve">he </w:t>
      </w:r>
      <w:r w:rsidR="00FE7975">
        <w:t>a</w:t>
      </w:r>
      <w:r>
        <w:t>mendment</w:t>
      </w:r>
      <w:r w:rsidR="00E50DA7">
        <w:t>, KBOO</w:t>
      </w:r>
      <w:r>
        <w:t xml:space="preserve"> </w:t>
      </w:r>
      <w:r w:rsidR="00AF681F">
        <w:t>asked</w:t>
      </w:r>
      <w:r w:rsidR="00355967">
        <w:t xml:space="preserve"> the Commission to waive this</w:t>
      </w:r>
      <w:r w:rsidR="008D0716">
        <w:t xml:space="preserve"> r</w:t>
      </w:r>
      <w:r w:rsidR="00581F64">
        <w:t xml:space="preserve">ule as it </w:t>
      </w:r>
      <w:r w:rsidR="00D84582">
        <w:t xml:space="preserve">had for other NCE FM </w:t>
      </w:r>
      <w:r w:rsidR="00D84582">
        <w:lastRenderedPageBreak/>
        <w:t xml:space="preserve">applicants </w:t>
      </w:r>
      <w:r>
        <w:t xml:space="preserve">in the 2007 </w:t>
      </w:r>
      <w:r w:rsidRPr="00B87CF2">
        <w:rPr>
          <w:i/>
        </w:rPr>
        <w:t>Omnibus Order.</w:t>
      </w:r>
      <w:r w:rsidR="00763363" w:rsidRPr="00763363">
        <w:rPr>
          <w:rStyle w:val="FootnoteReference"/>
        </w:rPr>
        <w:footnoteReference w:id="8"/>
      </w:r>
      <w:r w:rsidR="00E50DA7">
        <w:t xml:space="preserve">  T</w:t>
      </w:r>
      <w:r>
        <w:t>h</w:t>
      </w:r>
      <w:r w:rsidR="00E50DA7">
        <w:t>e</w:t>
      </w:r>
      <w:r w:rsidR="00355967">
        <w:t xml:space="preserve">re, the Commission </w:t>
      </w:r>
      <w:r w:rsidR="00D84582">
        <w:t>waived</w:t>
      </w:r>
      <w:r w:rsidR="00355967">
        <w:t xml:space="preserve"> Section 73.3573 </w:t>
      </w:r>
      <w:r>
        <w:t xml:space="preserve">for </w:t>
      </w:r>
      <w:r w:rsidR="006B2444">
        <w:t xml:space="preserve">pre-2007 NCE-FM </w:t>
      </w:r>
      <w:r w:rsidR="00D84582">
        <w:t>applicants that</w:t>
      </w:r>
      <w:r>
        <w:t xml:space="preserve"> had experienced “routine and inevitabl</w:t>
      </w:r>
      <w:r w:rsidR="00F27EF3">
        <w:t>e changes in their boards” over the decade</w:t>
      </w:r>
      <w:r>
        <w:t xml:space="preserve"> during which the</w:t>
      </w:r>
      <w:r w:rsidR="00CF07E2">
        <w:t>ir applications</w:t>
      </w:r>
      <w:r>
        <w:t xml:space="preserve"> were pending due to </w:t>
      </w:r>
      <w:r w:rsidR="00230E59">
        <w:t xml:space="preserve">unique </w:t>
      </w:r>
      <w:r w:rsidR="00EF5350">
        <w:t xml:space="preserve">processing delays caused by the </w:t>
      </w:r>
      <w:r>
        <w:t xml:space="preserve">judicial challenges to the new NCE </w:t>
      </w:r>
      <w:r w:rsidR="00223FED">
        <w:t xml:space="preserve">FM </w:t>
      </w:r>
      <w:r>
        <w:t>comparative procedures.</w:t>
      </w:r>
      <w:r w:rsidR="00763363">
        <w:rPr>
          <w:rStyle w:val="FootnoteReference"/>
        </w:rPr>
        <w:footnoteReference w:id="9"/>
      </w:r>
      <w:r>
        <w:t xml:space="preserve">  </w:t>
      </w:r>
    </w:p>
    <w:p w14:paraId="0FE3FEDB" w14:textId="3A7BF5EF" w:rsidR="00040BAA" w:rsidRDefault="00741062" w:rsidP="00E31719">
      <w:pPr>
        <w:pStyle w:val="ParaNum"/>
      </w:pPr>
      <w:r>
        <w:t>In September 2010</w:t>
      </w:r>
      <w:r w:rsidR="00B87CF2">
        <w:t>, the</w:t>
      </w:r>
      <w:r w:rsidR="00355967">
        <w:t xml:space="preserve"> Commission</w:t>
      </w:r>
      <w:r w:rsidR="00B87CF2" w:rsidRPr="00741062">
        <w:rPr>
          <w:i/>
        </w:rPr>
        <w:t xml:space="preserve"> </w:t>
      </w:r>
      <w:r w:rsidR="002B7CEC">
        <w:t xml:space="preserve">designated another applicant – Grays Harbor LP </w:t>
      </w:r>
      <w:r w:rsidR="00A3477F">
        <w:t>FM –</w:t>
      </w:r>
      <w:r w:rsidR="002B7CEC">
        <w:t xml:space="preserve"> the tentative selectee in NCE MX Group 543.</w:t>
      </w:r>
      <w:r w:rsidR="002B7CEC">
        <w:rPr>
          <w:rStyle w:val="FootnoteReference"/>
        </w:rPr>
        <w:footnoteReference w:id="10"/>
      </w:r>
      <w:r w:rsidR="002B7CEC">
        <w:t xml:space="preserve">  The Bureau subsequently granted th</w:t>
      </w:r>
      <w:r w:rsidR="0072446F">
        <w:t>at</w:t>
      </w:r>
      <w:r w:rsidR="002B7CEC">
        <w:t xml:space="preserve"> application and </w:t>
      </w:r>
      <w:r w:rsidR="00B87CF2">
        <w:t xml:space="preserve">dismissed </w:t>
      </w:r>
      <w:r w:rsidR="00473408">
        <w:t xml:space="preserve">the </w:t>
      </w:r>
      <w:r w:rsidR="009D1723">
        <w:t>KBOO and CVEF</w:t>
      </w:r>
      <w:r w:rsidR="00B87CF2">
        <w:t xml:space="preserve"> applications.</w:t>
      </w:r>
      <w:r w:rsidR="002B7CEC">
        <w:rPr>
          <w:rStyle w:val="FootnoteReference"/>
        </w:rPr>
        <w:footnoteReference w:id="11"/>
      </w:r>
      <w:r w:rsidR="00B87CF2">
        <w:t xml:space="preserve">  KBOO </w:t>
      </w:r>
      <w:r w:rsidR="00355967">
        <w:t>petitioned</w:t>
      </w:r>
      <w:r w:rsidR="00B87CF2">
        <w:t xml:space="preserve"> for reconsideration of the dismissal</w:t>
      </w:r>
      <w:r>
        <w:t xml:space="preserve"> of </w:t>
      </w:r>
      <w:r w:rsidR="00C14A6D">
        <w:t>the</w:t>
      </w:r>
      <w:r>
        <w:t xml:space="preserve"> </w:t>
      </w:r>
      <w:r w:rsidR="00C14A6D">
        <w:t>A</w:t>
      </w:r>
      <w:r>
        <w:t>pplication</w:t>
      </w:r>
      <w:r w:rsidR="00B87CF2">
        <w:t xml:space="preserve">, and amended </w:t>
      </w:r>
      <w:r w:rsidR="00EF5350">
        <w:t xml:space="preserve">its </w:t>
      </w:r>
      <w:r w:rsidR="008D0716">
        <w:t>Application</w:t>
      </w:r>
      <w:r w:rsidR="00B87CF2">
        <w:t xml:space="preserve"> </w:t>
      </w:r>
      <w:r w:rsidR="000E4B38">
        <w:t>to reflect</w:t>
      </w:r>
      <w:r w:rsidR="00B87CF2">
        <w:t xml:space="preserve"> a settlement agreement </w:t>
      </w:r>
      <w:r w:rsidR="00C14A6D">
        <w:t>it</w:t>
      </w:r>
      <w:r w:rsidR="000E4B38">
        <w:t xml:space="preserve"> had entered into with other </w:t>
      </w:r>
      <w:r w:rsidR="00EF5350">
        <w:t xml:space="preserve">mutually exclusive </w:t>
      </w:r>
      <w:r w:rsidR="000E4B38">
        <w:t xml:space="preserve">applicants </w:t>
      </w:r>
      <w:r w:rsidR="006C6EC7">
        <w:t xml:space="preserve">that would </w:t>
      </w:r>
      <w:r w:rsidR="000E4B38">
        <w:t xml:space="preserve">render </w:t>
      </w:r>
      <w:r w:rsidR="00EF5350">
        <w:t xml:space="preserve">its </w:t>
      </w:r>
      <w:r w:rsidR="00D84582">
        <w:t>A</w:t>
      </w:r>
      <w:r w:rsidR="000E4B38">
        <w:t>pplication g</w:t>
      </w:r>
      <w:r w:rsidR="00B87CF2">
        <w:t>rantabl</w:t>
      </w:r>
      <w:r w:rsidR="00040BAA">
        <w:t>e as a singleton</w:t>
      </w:r>
      <w:r w:rsidR="00B87CF2">
        <w:t xml:space="preserve">.  The Commission granted the petition and reinstated </w:t>
      </w:r>
      <w:r w:rsidR="00D84582">
        <w:t>the A</w:t>
      </w:r>
      <w:r w:rsidR="00B87CF2">
        <w:t xml:space="preserve">pplication, </w:t>
      </w:r>
      <w:r>
        <w:t xml:space="preserve">triggering </w:t>
      </w:r>
      <w:r w:rsidR="00B87CF2">
        <w:t>a 30-day petition to deny period.</w:t>
      </w:r>
      <w:r w:rsidR="00B87CF2">
        <w:rPr>
          <w:rStyle w:val="FootnoteReference"/>
        </w:rPr>
        <w:footnoteReference w:id="12"/>
      </w:r>
      <w:r w:rsidR="00B87CF2">
        <w:t xml:space="preserve">  </w:t>
      </w:r>
      <w:r>
        <w:t xml:space="preserve">CVEF timely filed </w:t>
      </w:r>
      <w:r w:rsidR="007E2B0C">
        <w:t xml:space="preserve">the </w:t>
      </w:r>
      <w:r w:rsidR="00706470">
        <w:t>Petition</w:t>
      </w:r>
      <w:r>
        <w:t xml:space="preserve">, </w:t>
      </w:r>
      <w:r w:rsidR="000E4B38">
        <w:t>arguing that KBOO did not qualify for a waiver of</w:t>
      </w:r>
      <w:r>
        <w:t xml:space="preserve"> Section 73.</w:t>
      </w:r>
      <w:r w:rsidRPr="00B453CF">
        <w:t>3573</w:t>
      </w:r>
      <w:r w:rsidR="00EF5350" w:rsidRPr="00B453CF">
        <w:t xml:space="preserve">’s </w:t>
      </w:r>
      <w:r w:rsidR="00034355" w:rsidRPr="00B453CF">
        <w:t xml:space="preserve">prohibition </w:t>
      </w:r>
      <w:r w:rsidR="00552688" w:rsidRPr="00B453CF">
        <w:t>o</w:t>
      </w:r>
      <w:r w:rsidR="009976E4">
        <w:t>n</w:t>
      </w:r>
      <w:r w:rsidR="00552688" w:rsidRPr="00B453CF">
        <w:t xml:space="preserve"> </w:t>
      </w:r>
      <w:r w:rsidR="00034355" w:rsidRPr="00B453CF">
        <w:t xml:space="preserve">the filing </w:t>
      </w:r>
      <w:r w:rsidR="00B453CF" w:rsidRPr="00F01915">
        <w:t>outside a filing window of</w:t>
      </w:r>
      <w:r w:rsidR="00034355" w:rsidRPr="00B453CF">
        <w:t xml:space="preserve"> </w:t>
      </w:r>
      <w:r w:rsidR="00552688" w:rsidRPr="00B453CF">
        <w:t>amendments reflecting</w:t>
      </w:r>
      <w:r w:rsidR="00EF5350" w:rsidRPr="00B453CF">
        <w:t xml:space="preserve"> post-filing changes </w:t>
      </w:r>
      <w:r w:rsidR="00230E59" w:rsidRPr="00B453CF">
        <w:t xml:space="preserve">of more than 50 percent </w:t>
      </w:r>
      <w:r w:rsidR="00EF5350" w:rsidRPr="00B453CF">
        <w:t>to an applicant’s board</w:t>
      </w:r>
      <w:r>
        <w:t xml:space="preserve"> because the </w:t>
      </w:r>
      <w:r w:rsidR="00D84582">
        <w:t>A</w:t>
      </w:r>
      <w:r>
        <w:t xml:space="preserve">pplication was not “similarly situated” to those addressed in the </w:t>
      </w:r>
      <w:r w:rsidRPr="00741062">
        <w:rPr>
          <w:i/>
        </w:rPr>
        <w:t>Omnibus Order</w:t>
      </w:r>
      <w:r>
        <w:t>.</w:t>
      </w:r>
      <w:r>
        <w:rPr>
          <w:rStyle w:val="FootnoteReference"/>
        </w:rPr>
        <w:footnoteReference w:id="13"/>
      </w:r>
      <w:r>
        <w:t xml:space="preserve">  </w:t>
      </w:r>
      <w:r w:rsidR="00B87CF2">
        <w:t xml:space="preserve">KBOO </w:t>
      </w:r>
      <w:r>
        <w:t xml:space="preserve">opposed the </w:t>
      </w:r>
      <w:r w:rsidR="00706470">
        <w:t>Petition</w:t>
      </w:r>
      <w:r>
        <w:t>, arguing</w:t>
      </w:r>
      <w:r w:rsidR="00B87CF2">
        <w:t xml:space="preserve"> that </w:t>
      </w:r>
      <w:r w:rsidR="00683967">
        <w:t>its</w:t>
      </w:r>
      <w:r w:rsidR="00B87CF2">
        <w:t xml:space="preserve"> Board turnover was gradual because it did not occur at one single time.</w:t>
      </w:r>
      <w:r w:rsidR="00B87CF2">
        <w:rPr>
          <w:rStyle w:val="FootnoteReference"/>
        </w:rPr>
        <w:footnoteReference w:id="14"/>
      </w:r>
      <w:r w:rsidR="00B87CF2">
        <w:t xml:space="preserve">  Moreover, it claimed that the changes </w:t>
      </w:r>
      <w:r w:rsidR="00223FED">
        <w:t xml:space="preserve">were </w:t>
      </w:r>
      <w:r w:rsidR="00B87CF2">
        <w:t>routine</w:t>
      </w:r>
      <w:r w:rsidR="00CE5B4C">
        <w:t>,</w:t>
      </w:r>
      <w:r w:rsidR="00B87CF2">
        <w:t xml:space="preserve"> in accordance with </w:t>
      </w:r>
      <w:r w:rsidR="00EF5350">
        <w:t xml:space="preserve">its </w:t>
      </w:r>
      <w:r w:rsidR="00B87CF2">
        <w:t>bylaws</w:t>
      </w:r>
      <w:r w:rsidR="00CE5B4C">
        <w:t>,</w:t>
      </w:r>
      <w:r w:rsidR="00B87CF2">
        <w:rPr>
          <w:rStyle w:val="FootnoteReference"/>
        </w:rPr>
        <w:footnoteReference w:id="15"/>
      </w:r>
      <w:r w:rsidR="00CE5B4C">
        <w:t xml:space="preserve"> and</w:t>
      </w:r>
      <w:r w:rsidR="00B87CF2">
        <w:t xml:space="preserve"> did not alter the nature of the organization or break continuity of control.</w:t>
      </w:r>
      <w:r w:rsidR="00B87CF2">
        <w:rPr>
          <w:rStyle w:val="FootnoteReference"/>
        </w:rPr>
        <w:footnoteReference w:id="16"/>
      </w:r>
      <w:r w:rsidR="00B87CF2">
        <w:t xml:space="preserve">  </w:t>
      </w:r>
    </w:p>
    <w:p w14:paraId="38B4C078" w14:textId="4096ADB0" w:rsidR="0005016B" w:rsidRPr="001C3A52" w:rsidRDefault="00C6695C" w:rsidP="00040BAA">
      <w:pPr>
        <w:pStyle w:val="ParaNum"/>
      </w:pPr>
      <w:r w:rsidRPr="001C3A52">
        <w:t xml:space="preserve">  </w:t>
      </w:r>
      <w:r w:rsidR="00285676">
        <w:t>The Bureau</w:t>
      </w:r>
      <w:r w:rsidR="00285676" w:rsidRPr="001C3A52">
        <w:t xml:space="preserve"> </w:t>
      </w:r>
      <w:r w:rsidR="0083176B" w:rsidRPr="001C3A52">
        <w:t>denied</w:t>
      </w:r>
      <w:r w:rsidR="001B3050">
        <w:t xml:space="preserve"> </w:t>
      </w:r>
      <w:r w:rsidR="00285676">
        <w:t xml:space="preserve">the </w:t>
      </w:r>
      <w:r w:rsidR="00706470">
        <w:t>Petition</w:t>
      </w:r>
      <w:r w:rsidR="00285676">
        <w:t xml:space="preserve">, granted </w:t>
      </w:r>
      <w:r w:rsidR="008D0716">
        <w:t>KBOO’s</w:t>
      </w:r>
      <w:r w:rsidR="00285676">
        <w:t xml:space="preserve"> waiver requests</w:t>
      </w:r>
      <w:r w:rsidR="00EF5350">
        <w:rPr>
          <w:rStyle w:val="FootnoteReference"/>
        </w:rPr>
        <w:footnoteReference w:id="17"/>
      </w:r>
      <w:r w:rsidR="00285676">
        <w:t xml:space="preserve"> and granted the </w:t>
      </w:r>
      <w:r w:rsidR="00D84582">
        <w:t>A</w:t>
      </w:r>
      <w:r w:rsidR="00285676">
        <w:t>pplication.</w:t>
      </w:r>
      <w:r w:rsidR="001B3050">
        <w:t xml:space="preserve"> </w:t>
      </w:r>
      <w:r w:rsidR="000E4B38">
        <w:t xml:space="preserve"> </w:t>
      </w:r>
      <w:r w:rsidR="003C63CE">
        <w:t>In addressing the waiver requests, the Bureau agreed with CVEF that KBOO</w:t>
      </w:r>
      <w:r w:rsidR="000E4B38">
        <w:t xml:space="preserve"> </w:t>
      </w:r>
      <w:r w:rsidRPr="001C3A52">
        <w:t>was</w:t>
      </w:r>
      <w:r w:rsidR="003C63CE">
        <w:t xml:space="preserve"> not</w:t>
      </w:r>
      <w:r w:rsidRPr="001C3A52">
        <w:t xml:space="preserve"> </w:t>
      </w:r>
      <w:r w:rsidR="00F3015B">
        <w:t>“</w:t>
      </w:r>
      <w:r w:rsidRPr="001C3A52">
        <w:t>similarly situated</w:t>
      </w:r>
      <w:r w:rsidR="00F3015B">
        <w:t>”</w:t>
      </w:r>
      <w:r w:rsidRPr="001C3A52">
        <w:t xml:space="preserve"> to those </w:t>
      </w:r>
      <w:r w:rsidR="003C63CE">
        <w:t>applicants</w:t>
      </w:r>
      <w:r w:rsidR="003C63CE" w:rsidRPr="001C3A52">
        <w:t xml:space="preserve"> </w:t>
      </w:r>
      <w:r w:rsidRPr="001C3A52">
        <w:t>granted waiver</w:t>
      </w:r>
      <w:r w:rsidR="00D84582">
        <w:t xml:space="preserve"> of Section 73.3573</w:t>
      </w:r>
      <w:r w:rsidRPr="001C3A52">
        <w:t xml:space="preserve"> in the </w:t>
      </w:r>
      <w:r w:rsidRPr="001C3A52">
        <w:rPr>
          <w:i/>
        </w:rPr>
        <w:t>Omnibus Order</w:t>
      </w:r>
      <w:r w:rsidR="006B2444">
        <w:t xml:space="preserve"> because the KBOO board member change was not gradual over a long period</w:t>
      </w:r>
      <w:r w:rsidRPr="001C3A52">
        <w:t>.</w:t>
      </w:r>
      <w:r w:rsidR="001B3050">
        <w:t xml:space="preserve">  However, i</w:t>
      </w:r>
      <w:r w:rsidR="00C15430">
        <w:t xml:space="preserve">n light of the purpose of </w:t>
      </w:r>
      <w:r w:rsidR="00D84582">
        <w:t>the rule</w:t>
      </w:r>
      <w:r w:rsidR="008D0716">
        <w:t xml:space="preserve"> and the special circumstances it found to be present,</w:t>
      </w:r>
      <w:r w:rsidR="00C15430">
        <w:t xml:space="preserve"> </w:t>
      </w:r>
      <w:r w:rsidR="004B02F5">
        <w:t>the Bureau</w:t>
      </w:r>
      <w:r w:rsidR="0083176B" w:rsidRPr="001C3A52">
        <w:t xml:space="preserve"> found good cause to </w:t>
      </w:r>
      <w:r w:rsidR="00F44C54">
        <w:t xml:space="preserve">waive </w:t>
      </w:r>
      <w:r w:rsidR="008D0716">
        <w:t>Section 73.3573</w:t>
      </w:r>
      <w:r w:rsidR="0083176B" w:rsidRPr="001C3A52">
        <w:t>.</w:t>
      </w:r>
      <w:r w:rsidR="008D0716">
        <w:t xml:space="preserve">  </w:t>
      </w:r>
      <w:r w:rsidR="0083176B" w:rsidRPr="001C3A52">
        <w:t xml:space="preserve">  </w:t>
      </w:r>
    </w:p>
    <w:p w14:paraId="09489C2E" w14:textId="23B824EC" w:rsidR="000376A4" w:rsidRDefault="0055399B" w:rsidP="008F1420">
      <w:pPr>
        <w:pStyle w:val="ParaNum"/>
        <w:tabs>
          <w:tab w:val="num" w:pos="630"/>
        </w:tabs>
      </w:pPr>
      <w:r>
        <w:t xml:space="preserve">CVEF </w:t>
      </w:r>
      <w:r w:rsidR="00705C35">
        <w:t xml:space="preserve">asks </w:t>
      </w:r>
      <w:r w:rsidR="00D84582">
        <w:t>us</w:t>
      </w:r>
      <w:r w:rsidR="00705C35">
        <w:t xml:space="preserve"> to vacate the </w:t>
      </w:r>
      <w:r w:rsidR="00705C35" w:rsidRPr="00D84582">
        <w:rPr>
          <w:i/>
        </w:rPr>
        <w:t xml:space="preserve">Letter Decision </w:t>
      </w:r>
      <w:r w:rsidR="00705C35">
        <w:t xml:space="preserve">and dismiss </w:t>
      </w:r>
      <w:r w:rsidR="003C63CE">
        <w:t>the</w:t>
      </w:r>
      <w:r w:rsidR="00D84582">
        <w:t xml:space="preserve"> A</w:t>
      </w:r>
      <w:r w:rsidR="00705C35">
        <w:t xml:space="preserve">pplication.  </w:t>
      </w:r>
      <w:r w:rsidR="00D84582">
        <w:t>It</w:t>
      </w:r>
      <w:r w:rsidR="003C63CE">
        <w:t xml:space="preserve"> argues that the Bureau’s grant of the KBOO waiver requests was contrary to established Co</w:t>
      </w:r>
      <w:r w:rsidR="006B2444">
        <w:t>mmission precedent and policy.</w:t>
      </w:r>
      <w:r w:rsidR="00762FAF" w:rsidRPr="000E43DF">
        <w:rPr>
          <w:rStyle w:val="FootnoteReference"/>
          <w:szCs w:val="22"/>
        </w:rPr>
        <w:footnoteReference w:id="18"/>
      </w:r>
      <w:r w:rsidR="006B2444">
        <w:t xml:space="preserve">  </w:t>
      </w:r>
      <w:r w:rsidR="00586C8D">
        <w:t>W</w:t>
      </w:r>
      <w:r w:rsidR="00EF3C4A">
        <w:t xml:space="preserve">e reject </w:t>
      </w:r>
      <w:r w:rsidR="00762FAF">
        <w:t>CVEF</w:t>
      </w:r>
      <w:r w:rsidR="00EF3C4A">
        <w:t>’s</w:t>
      </w:r>
      <w:r w:rsidR="006B2444">
        <w:t xml:space="preserve"> argu</w:t>
      </w:r>
      <w:r w:rsidR="00EF3C4A">
        <w:t xml:space="preserve">ment </w:t>
      </w:r>
      <w:r w:rsidR="006B2444">
        <w:t>that</w:t>
      </w:r>
      <w:r w:rsidR="00762FAF">
        <w:t xml:space="preserve"> </w:t>
      </w:r>
      <w:r w:rsidR="00762FAF" w:rsidRPr="00D84582">
        <w:rPr>
          <w:szCs w:val="22"/>
        </w:rPr>
        <w:t xml:space="preserve">the </w:t>
      </w:r>
      <w:r w:rsidR="006B2444">
        <w:rPr>
          <w:szCs w:val="22"/>
        </w:rPr>
        <w:t xml:space="preserve">Bureau was bound by an </w:t>
      </w:r>
      <w:r w:rsidR="00762FAF" w:rsidRPr="00622AB4">
        <w:rPr>
          <w:szCs w:val="22"/>
        </w:rPr>
        <w:t xml:space="preserve">earlier proceeding </w:t>
      </w:r>
      <w:r w:rsidR="00AF7D4A">
        <w:rPr>
          <w:szCs w:val="22"/>
        </w:rPr>
        <w:t>in which</w:t>
      </w:r>
      <w:r w:rsidR="00762FAF" w:rsidRPr="00622AB4">
        <w:rPr>
          <w:szCs w:val="22"/>
        </w:rPr>
        <w:t xml:space="preserve"> the </w:t>
      </w:r>
      <w:r w:rsidR="00762FAF" w:rsidRPr="00622AB4">
        <w:rPr>
          <w:szCs w:val="22"/>
        </w:rPr>
        <w:lastRenderedPageBreak/>
        <w:t>Commission set forth tentative conclusions in the context of a notice of inquiry regarding transfers of control.</w:t>
      </w:r>
      <w:r w:rsidR="006B2444">
        <w:rPr>
          <w:rStyle w:val="FootnoteReference"/>
        </w:rPr>
        <w:footnoteReference w:id="19"/>
      </w:r>
      <w:r w:rsidR="00517BCB">
        <w:rPr>
          <w:szCs w:val="22"/>
        </w:rPr>
        <w:t xml:space="preserve"> </w:t>
      </w:r>
      <w:r w:rsidR="00762FAF" w:rsidRPr="00622AB4">
        <w:rPr>
          <w:szCs w:val="22"/>
        </w:rPr>
        <w:t xml:space="preserve"> Tentative conclusions do not bind the Commission or the Bureau.</w:t>
      </w:r>
      <w:r w:rsidR="00762FAF">
        <w:rPr>
          <w:rStyle w:val="FootnoteReference"/>
          <w:szCs w:val="22"/>
        </w:rPr>
        <w:footnoteReference w:id="20"/>
      </w:r>
      <w:r w:rsidR="00762FAF" w:rsidRPr="00D84582">
        <w:rPr>
          <w:szCs w:val="22"/>
        </w:rPr>
        <w:t xml:space="preserve">  </w:t>
      </w:r>
      <w:r w:rsidR="00EF3C4A">
        <w:t xml:space="preserve">We also reject </w:t>
      </w:r>
      <w:r w:rsidR="00586C8D">
        <w:t xml:space="preserve">the </w:t>
      </w:r>
      <w:r w:rsidR="00EF3C4A">
        <w:t xml:space="preserve">arguments </w:t>
      </w:r>
      <w:r w:rsidR="00586C8D">
        <w:t xml:space="preserve">of both CVEF and KBOO that </w:t>
      </w:r>
      <w:r w:rsidR="00EF3C4A">
        <w:t xml:space="preserve">rely </w:t>
      </w:r>
      <w:r w:rsidR="00586C8D">
        <w:t xml:space="preserve">on </w:t>
      </w:r>
      <w:r w:rsidR="00EF3C4A">
        <w:t xml:space="preserve">the </w:t>
      </w:r>
      <w:r w:rsidR="00EF3C4A" w:rsidRPr="00EF3C4A">
        <w:rPr>
          <w:i/>
        </w:rPr>
        <w:t>Omnibus Order</w:t>
      </w:r>
      <w:r w:rsidR="00586C8D">
        <w:rPr>
          <w:i/>
        </w:rPr>
        <w:t xml:space="preserve"> </w:t>
      </w:r>
      <w:r w:rsidR="00586C8D">
        <w:t xml:space="preserve">to </w:t>
      </w:r>
      <w:r w:rsidR="00552688">
        <w:t xml:space="preserve">urge </w:t>
      </w:r>
      <w:r w:rsidR="00586C8D">
        <w:t>either den</w:t>
      </w:r>
      <w:r w:rsidR="00552688">
        <w:t>ial</w:t>
      </w:r>
      <w:r w:rsidR="00586C8D">
        <w:t xml:space="preserve"> or </w:t>
      </w:r>
      <w:r w:rsidR="00552688">
        <w:t>grant of</w:t>
      </w:r>
      <w:r w:rsidR="00586C8D">
        <w:t xml:space="preserve"> the waiver request</w:t>
      </w:r>
      <w:r w:rsidR="00EF3C4A">
        <w:t>.</w:t>
      </w:r>
      <w:r w:rsidR="00586C8D">
        <w:rPr>
          <w:rStyle w:val="FootnoteReference"/>
        </w:rPr>
        <w:footnoteReference w:id="21"/>
      </w:r>
      <w:r w:rsidR="00EF3C4A">
        <w:t xml:space="preserve">  </w:t>
      </w:r>
      <w:r w:rsidR="00586C8D">
        <w:t>T</w:t>
      </w:r>
      <w:r w:rsidR="00003D70">
        <w:t>he Commission</w:t>
      </w:r>
      <w:r w:rsidR="00586C8D">
        <w:t xml:space="preserve">’s </w:t>
      </w:r>
      <w:r w:rsidR="00003D70">
        <w:t xml:space="preserve">direction to the staff in the </w:t>
      </w:r>
      <w:r w:rsidR="00003D70">
        <w:rPr>
          <w:i/>
        </w:rPr>
        <w:t>Omnibus Order</w:t>
      </w:r>
      <w:r w:rsidR="00003D70">
        <w:t xml:space="preserve"> </w:t>
      </w:r>
      <w:r w:rsidR="000A2742" w:rsidRPr="000A2742">
        <w:rPr>
          <w:color w:val="000000"/>
          <w:szCs w:val="22"/>
        </w:rPr>
        <w:t>to waive Section 73.3573 for similarly situated NCE applicants</w:t>
      </w:r>
      <w:r w:rsidR="000A2742">
        <w:t xml:space="preserve"> applied only to</w:t>
      </w:r>
      <w:r w:rsidR="00003D70">
        <w:t xml:space="preserve"> “pre-2007 NCE applicants.”</w:t>
      </w:r>
      <w:r w:rsidR="00003D70">
        <w:rPr>
          <w:rStyle w:val="FootnoteReference"/>
        </w:rPr>
        <w:footnoteReference w:id="22"/>
      </w:r>
      <w:r w:rsidR="00E9601C">
        <w:t xml:space="preserve">  </w:t>
      </w:r>
      <w:r w:rsidR="002B0F0D">
        <w:t>Other applicants,</w:t>
      </w:r>
      <w:r w:rsidR="00EF5350">
        <w:t xml:space="preserve"> including KBOO,</w:t>
      </w:r>
      <w:r w:rsidR="002B0F0D">
        <w:t xml:space="preserve"> then, are subject to the general waiver standard set forth in Section 1.3 of the Rules.</w:t>
      </w:r>
      <w:r w:rsidR="002B0F0D">
        <w:rPr>
          <w:rStyle w:val="FootnoteReference"/>
        </w:rPr>
        <w:footnoteReference w:id="23"/>
      </w:r>
      <w:r w:rsidR="002B0F0D">
        <w:t xml:space="preserve">  </w:t>
      </w:r>
    </w:p>
    <w:p w14:paraId="419C495B" w14:textId="78EC8E7B" w:rsidR="002B0F0D" w:rsidRDefault="00BB4D83" w:rsidP="002245AA">
      <w:pPr>
        <w:pStyle w:val="ParaNum"/>
        <w:tabs>
          <w:tab w:val="num" w:pos="630"/>
        </w:tabs>
      </w:pPr>
      <w:r>
        <w:t xml:space="preserve">Under that standard, the Commission may waive its policies or rules </w:t>
      </w:r>
      <w:r w:rsidR="00625A92">
        <w:t>only for good cause shown</w:t>
      </w:r>
      <w:r>
        <w:t xml:space="preserve">.  </w:t>
      </w:r>
      <w:r w:rsidR="00625A92">
        <w:t>The Commission must give waiver requests “a hard look,” but an applicant for waiver “faces a high hurdle even at the starting gate”</w:t>
      </w:r>
      <w:r w:rsidR="00625A92">
        <w:rPr>
          <w:rStyle w:val="FootnoteReference"/>
        </w:rPr>
        <w:footnoteReference w:id="24"/>
      </w:r>
      <w:r w:rsidR="00625A92">
        <w:t xml:space="preserve"> and must support its waiver request with a compelling showing</w:t>
      </w:r>
      <w:r>
        <w:t>.</w:t>
      </w:r>
      <w:r>
        <w:rPr>
          <w:rStyle w:val="FootnoteReference"/>
        </w:rPr>
        <w:footnoteReference w:id="25"/>
      </w:r>
      <w:r>
        <w:t xml:space="preserve">  </w:t>
      </w:r>
      <w:r w:rsidR="00625A92">
        <w:t>W</w:t>
      </w:r>
      <w:r>
        <w:t>aiver of the Commission</w:t>
      </w:r>
      <w:r w:rsidR="00AB4510">
        <w:t>’</w:t>
      </w:r>
      <w:r>
        <w:t>s policies or rules is appropriate only if both (1) special circumstances warrant a deviation from the general rule, and (2) such deviation will serve the public interest.</w:t>
      </w:r>
      <w:r>
        <w:rPr>
          <w:rStyle w:val="FootnoteReference"/>
        </w:rPr>
        <w:footnoteReference w:id="26"/>
      </w:r>
      <w:r w:rsidR="00100F0A">
        <w:t xml:space="preserve"> </w:t>
      </w:r>
      <w:r>
        <w:t xml:space="preserve"> </w:t>
      </w:r>
      <w:r w:rsidR="00100F0A">
        <w:t>We find</w:t>
      </w:r>
      <w:r w:rsidR="00CE439C">
        <w:t xml:space="preserve"> that</w:t>
      </w:r>
      <w:r w:rsidR="002B16F6">
        <w:t xml:space="preserve"> the Bureau</w:t>
      </w:r>
      <w:r w:rsidR="00CE439C">
        <w:t xml:space="preserve"> erred in finding</w:t>
      </w:r>
      <w:r w:rsidR="002B16F6">
        <w:t xml:space="preserve"> </w:t>
      </w:r>
      <w:r w:rsidR="00EF5350">
        <w:t xml:space="preserve">here </w:t>
      </w:r>
      <w:r w:rsidR="00BA524B">
        <w:t xml:space="preserve">that </w:t>
      </w:r>
      <w:r w:rsidR="002B0F0D">
        <w:t>waiver was justified under Section 1.3 of the Rules</w:t>
      </w:r>
      <w:r w:rsidR="00972714">
        <w:t xml:space="preserve">.  </w:t>
      </w:r>
      <w:r w:rsidR="00721CC5">
        <w:t>First, i</w:t>
      </w:r>
      <w:r w:rsidR="00552688">
        <w:t xml:space="preserve">n each of its </w:t>
      </w:r>
      <w:r w:rsidR="00721CC5">
        <w:t xml:space="preserve">two </w:t>
      </w:r>
      <w:r w:rsidR="00552688">
        <w:t xml:space="preserve">identically-worded waiver requests, </w:t>
      </w:r>
      <w:r w:rsidR="00586C8D">
        <w:t xml:space="preserve">KBOO </w:t>
      </w:r>
      <w:r w:rsidR="00552688">
        <w:t xml:space="preserve">merely cited and </w:t>
      </w:r>
      <w:r w:rsidR="00586C8D">
        <w:t xml:space="preserve">relied </w:t>
      </w:r>
      <w:r w:rsidR="00F03610">
        <w:t xml:space="preserve">exclusively </w:t>
      </w:r>
      <w:r w:rsidR="00586C8D">
        <w:t xml:space="preserve">on the </w:t>
      </w:r>
      <w:r w:rsidR="00586C8D" w:rsidRPr="00EF3C4A">
        <w:rPr>
          <w:i/>
        </w:rPr>
        <w:t>Omnibus Order</w:t>
      </w:r>
      <w:r w:rsidR="00552688">
        <w:rPr>
          <w:i/>
        </w:rPr>
        <w:t>,</w:t>
      </w:r>
      <w:r w:rsidR="00E97735">
        <w:t xml:space="preserve"> </w:t>
      </w:r>
      <w:r w:rsidR="00552688">
        <w:t xml:space="preserve">failing </w:t>
      </w:r>
      <w:r w:rsidR="003E73D8">
        <w:t>to allege</w:t>
      </w:r>
      <w:r w:rsidR="00552688">
        <w:t>, much less demonstrate,</w:t>
      </w:r>
      <w:r w:rsidR="003E73D8">
        <w:t xml:space="preserve"> any “special circumstances” that would justify </w:t>
      </w:r>
      <w:r w:rsidR="00552688">
        <w:t xml:space="preserve">the grant of </w:t>
      </w:r>
      <w:r w:rsidR="003E73D8">
        <w:t xml:space="preserve">its </w:t>
      </w:r>
      <w:r w:rsidR="00552688">
        <w:t xml:space="preserve">requested </w:t>
      </w:r>
      <w:r w:rsidR="003E73D8">
        <w:t>waiver</w:t>
      </w:r>
      <w:r w:rsidR="003C39A7" w:rsidRPr="003C39A7">
        <w:t xml:space="preserve"> </w:t>
      </w:r>
      <w:r w:rsidR="003C39A7">
        <w:t>under Section 1.3</w:t>
      </w:r>
      <w:r w:rsidR="003E73D8">
        <w:t>.</w:t>
      </w:r>
      <w:r w:rsidR="00AB4510">
        <w:rPr>
          <w:rStyle w:val="FootnoteReference"/>
        </w:rPr>
        <w:footnoteReference w:id="27"/>
      </w:r>
      <w:r w:rsidR="003E73D8">
        <w:t xml:space="preserve">  While t</w:t>
      </w:r>
      <w:r w:rsidR="00897EC1">
        <w:t xml:space="preserve">he Bureau </w:t>
      </w:r>
      <w:r w:rsidR="003E73D8">
        <w:t xml:space="preserve">on its own motion </w:t>
      </w:r>
      <w:r w:rsidR="00897EC1">
        <w:t>determined that special circumstances existed because</w:t>
      </w:r>
      <w:r w:rsidR="00FE666C">
        <w:t xml:space="preserve"> </w:t>
      </w:r>
      <w:r w:rsidR="00897EC1">
        <w:t xml:space="preserve">grant of the KBOO Application </w:t>
      </w:r>
      <w:r w:rsidR="00552688">
        <w:t xml:space="preserve">by virtue of a settlement </w:t>
      </w:r>
      <w:r w:rsidR="00897EC1">
        <w:t>would not preclude grant of another application</w:t>
      </w:r>
      <w:r w:rsidR="003E73D8">
        <w:t xml:space="preserve">, </w:t>
      </w:r>
      <w:r w:rsidR="00FE666C">
        <w:t xml:space="preserve">we </w:t>
      </w:r>
      <w:r w:rsidR="00100F0A">
        <w:t xml:space="preserve">agree with CVEF </w:t>
      </w:r>
      <w:r w:rsidR="00FE666C">
        <w:t xml:space="preserve">that </w:t>
      </w:r>
      <w:r w:rsidR="00EF5350">
        <w:t xml:space="preserve">the presence of </w:t>
      </w:r>
      <w:r w:rsidR="00FE666C">
        <w:t>this factor</w:t>
      </w:r>
      <w:r w:rsidR="00721CC5">
        <w:t>, even if it had been alleged by KBOO,</w:t>
      </w:r>
      <w:r w:rsidR="00FE666C">
        <w:t xml:space="preserve"> is </w:t>
      </w:r>
      <w:r w:rsidR="00644A44">
        <w:t xml:space="preserve">not </w:t>
      </w:r>
      <w:r w:rsidR="00FE666C">
        <w:t>unique to this case.</w:t>
      </w:r>
      <w:r w:rsidR="00100F0A">
        <w:rPr>
          <w:rStyle w:val="FootnoteReference"/>
        </w:rPr>
        <w:footnoteReference w:id="28"/>
      </w:r>
      <w:r w:rsidR="00FE666C">
        <w:t xml:space="preserve">  KBOO is not the first, nor </w:t>
      </w:r>
      <w:r w:rsidR="0043463F">
        <w:t>is it likely to</w:t>
      </w:r>
      <w:r w:rsidR="00FE666C">
        <w:t xml:space="preserve"> be the last, applicant to render its application a grantable singleton via settlement</w:t>
      </w:r>
      <w:r w:rsidR="00CF5687">
        <w:t>.</w:t>
      </w:r>
      <w:r w:rsidR="00BC491C">
        <w:rPr>
          <w:rStyle w:val="FootnoteReference"/>
        </w:rPr>
        <w:footnoteReference w:id="29"/>
      </w:r>
      <w:r w:rsidR="00FE666C">
        <w:t xml:space="preserve">  </w:t>
      </w:r>
      <w:r w:rsidR="002B0F0D">
        <w:t>Accordingly, we find that the Bureau erred in finding that special circumstances exist</w:t>
      </w:r>
      <w:r w:rsidR="008024CC">
        <w:t>ed</w:t>
      </w:r>
      <w:r w:rsidR="002B0F0D">
        <w:t xml:space="preserve"> here.</w:t>
      </w:r>
      <w:r w:rsidR="00AB4510">
        <w:rPr>
          <w:rStyle w:val="FootnoteReference"/>
        </w:rPr>
        <w:footnoteReference w:id="30"/>
      </w:r>
      <w:r w:rsidR="000229A5">
        <w:t xml:space="preserve">  For this reason,</w:t>
      </w:r>
      <w:r w:rsidR="00721CC5">
        <w:t xml:space="preserve"> and consistent with the judicial precedent cited in note 2</w:t>
      </w:r>
      <w:r w:rsidR="008E5935">
        <w:t>5</w:t>
      </w:r>
      <w:r w:rsidR="00721CC5">
        <w:t xml:space="preserve"> </w:t>
      </w:r>
      <w:r w:rsidR="00721CC5" w:rsidRPr="00C71167">
        <w:rPr>
          <w:i/>
        </w:rPr>
        <w:t>supra</w:t>
      </w:r>
      <w:r w:rsidR="00721CC5">
        <w:t xml:space="preserve">, we conclude that KBOO has </w:t>
      </w:r>
      <w:r w:rsidR="00C71167">
        <w:t xml:space="preserve">not </w:t>
      </w:r>
      <w:r w:rsidR="00721CC5">
        <w:t>demonstrated good cause for grant of the waivers that it has requested.  Accordingly,</w:t>
      </w:r>
      <w:r w:rsidR="0051304A">
        <w:t xml:space="preserve"> </w:t>
      </w:r>
      <w:r w:rsidR="000229A5">
        <w:t>we grant the AFR, rescind the Bureau’</w:t>
      </w:r>
      <w:r w:rsidR="003E789C">
        <w:t xml:space="preserve">s grant of KBOO’s waiver requests and its grant of </w:t>
      </w:r>
      <w:r w:rsidR="000229A5">
        <w:t>the Application</w:t>
      </w:r>
      <w:r w:rsidR="003E789C">
        <w:t>,</w:t>
      </w:r>
      <w:r w:rsidR="000229A5">
        <w:t xml:space="preserve"> and dismiss the Application.</w:t>
      </w:r>
      <w:r w:rsidR="0008354D">
        <w:rPr>
          <w:rStyle w:val="FootnoteReference"/>
        </w:rPr>
        <w:footnoteReference w:id="31"/>
      </w:r>
      <w:r w:rsidR="008024CC">
        <w:t xml:space="preserve">  </w:t>
      </w:r>
    </w:p>
    <w:p w14:paraId="23B70E30" w14:textId="77777777" w:rsidR="009F2603" w:rsidRPr="00115F09" w:rsidRDefault="009F2603" w:rsidP="0090347D">
      <w:pPr>
        <w:pStyle w:val="ParaNum"/>
        <w:rPr>
          <w:szCs w:val="22"/>
        </w:rPr>
      </w:pPr>
      <w:r>
        <w:t>Accordingly, IT IS ORDERED that</w:t>
      </w:r>
      <w:r w:rsidR="00E57654">
        <w:t>, pursuant to section 5(c)(5) of the Communications Act of 1934, as amended, 47 U.S.C. § 155(c)(5), and section 1.1</w:t>
      </w:r>
      <w:r w:rsidR="003C7055">
        <w:t>1</w:t>
      </w:r>
      <w:r w:rsidR="00E57654">
        <w:t>5(g) of th</w:t>
      </w:r>
      <w:r w:rsidR="00615695">
        <w:t>e Commission’s Rules, 47 C.F.R.</w:t>
      </w:r>
      <w:r>
        <w:t xml:space="preserve"> </w:t>
      </w:r>
      <w:r w:rsidR="00E57654">
        <w:t>§</w:t>
      </w:r>
      <w:r w:rsidR="003C7055">
        <w:t>§</w:t>
      </w:r>
      <w:r w:rsidR="00E57654">
        <w:t xml:space="preserve"> 1.115(g), </w:t>
      </w:r>
      <w:r>
        <w:t xml:space="preserve">the </w:t>
      </w:r>
      <w:r w:rsidR="00B83EFE">
        <w:t>October 27</w:t>
      </w:r>
      <w:r>
        <w:t>,</w:t>
      </w:r>
      <w:r w:rsidR="00B83EFE">
        <w:t xml:space="preserve"> 2011,</w:t>
      </w:r>
      <w:r>
        <w:t xml:space="preserve"> </w:t>
      </w:r>
      <w:r w:rsidRPr="00B83EFE">
        <w:t xml:space="preserve">Application for Review filed by </w:t>
      </w:r>
      <w:r w:rsidR="00B83EFE">
        <w:t>Chehalis Valley Educational Foundation,</w:t>
      </w:r>
      <w:r>
        <w:t xml:space="preserve"> </w:t>
      </w:r>
      <w:r w:rsidR="00BA37E3">
        <w:t xml:space="preserve">IS </w:t>
      </w:r>
      <w:r w:rsidR="001B6D97">
        <w:t>GRANTED.  IT IS FURTHER ORDE</w:t>
      </w:r>
      <w:r w:rsidR="003E789C">
        <w:t>RE</w:t>
      </w:r>
      <w:r w:rsidR="001B6D97">
        <w:t xml:space="preserve">D that the </w:t>
      </w:r>
      <w:r w:rsidR="003E789C">
        <w:t xml:space="preserve">grant of the waiver requests and the </w:t>
      </w:r>
      <w:r w:rsidR="000360DC">
        <w:t xml:space="preserve">grant of the </w:t>
      </w:r>
      <w:r w:rsidR="003E789C">
        <w:t>application</w:t>
      </w:r>
      <w:r w:rsidR="000360DC">
        <w:t xml:space="preserve"> for a new noncommercial FM station at Chehalis, Washington (File No. BNPED-20071019ARU)</w:t>
      </w:r>
      <w:r w:rsidR="003E789C">
        <w:t xml:space="preserve"> filed by The KBOO Foundation </w:t>
      </w:r>
      <w:r w:rsidR="000360DC">
        <w:t xml:space="preserve">ARE </w:t>
      </w:r>
      <w:r w:rsidR="003E789C">
        <w:t>RESCINDED.  Finally, IT IS ORDERED that the application filed by The KBOO Foundation for a new noncommercial FM station at Chehalis, Washington (File No. BNPED-20071019ARU) IS DISMISSED.</w:t>
      </w:r>
    </w:p>
    <w:p w14:paraId="152F319C" w14:textId="77777777" w:rsidR="00115F09" w:rsidRDefault="00115F09" w:rsidP="0017296B">
      <w:r>
        <w:tab/>
      </w:r>
      <w:r>
        <w:tab/>
      </w:r>
      <w:r>
        <w:tab/>
      </w:r>
      <w:r>
        <w:tab/>
      </w:r>
      <w:r>
        <w:tab/>
      </w:r>
      <w:r>
        <w:tab/>
        <w:t>FEDERAL COMMUNICATIONS COMMISSION</w:t>
      </w:r>
    </w:p>
    <w:p w14:paraId="4E8EE139" w14:textId="77777777" w:rsidR="00115F09" w:rsidRDefault="00115F09" w:rsidP="0017296B"/>
    <w:p w14:paraId="5A632059" w14:textId="77777777" w:rsidR="00115F09" w:rsidRDefault="00115F09" w:rsidP="0017296B"/>
    <w:p w14:paraId="27DCCB9A" w14:textId="77777777" w:rsidR="00115F09" w:rsidRDefault="00115F09" w:rsidP="0017296B"/>
    <w:p w14:paraId="5C7BA18B" w14:textId="77777777" w:rsidR="00115F09" w:rsidRDefault="00115F09" w:rsidP="0017296B"/>
    <w:p w14:paraId="0DF14018" w14:textId="77777777" w:rsidR="00115F09" w:rsidRDefault="00115F09" w:rsidP="0017296B">
      <w:r>
        <w:tab/>
      </w:r>
      <w:r>
        <w:tab/>
      </w:r>
      <w:r>
        <w:tab/>
      </w:r>
      <w:r>
        <w:tab/>
      </w:r>
      <w:r>
        <w:tab/>
      </w:r>
      <w:r>
        <w:tab/>
        <w:t>Marlene H. Dortch</w:t>
      </w:r>
    </w:p>
    <w:p w14:paraId="19F964DB" w14:textId="77777777" w:rsidR="00582859" w:rsidRDefault="00115F09" w:rsidP="00B40DA9">
      <w:r>
        <w:tab/>
      </w:r>
      <w:r>
        <w:tab/>
      </w:r>
      <w:r>
        <w:tab/>
      </w:r>
      <w:r>
        <w:tab/>
      </w:r>
      <w:r>
        <w:tab/>
      </w:r>
      <w:r>
        <w:tab/>
        <w:t>Secretary</w:t>
      </w:r>
    </w:p>
    <w:p w14:paraId="5857C040" w14:textId="77777777" w:rsidR="00582859" w:rsidRDefault="00582859" w:rsidP="00B40DA9">
      <w:pPr>
        <w:sectPr w:rsidR="00582859" w:rsidSect="005E0F5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14:paraId="69DE2979" w14:textId="77777777" w:rsidR="0007319F" w:rsidRPr="00ED7996" w:rsidRDefault="0007319F" w:rsidP="00487A6E">
      <w:pPr>
        <w:spacing w:after="240"/>
        <w:jc w:val="center"/>
        <w:rPr>
          <w:b/>
        </w:rPr>
      </w:pPr>
      <w:r w:rsidRPr="00ED7996">
        <w:rPr>
          <w:b/>
        </w:rPr>
        <w:t>STATEMENT OF</w:t>
      </w:r>
      <w:r w:rsidRPr="00ED7996">
        <w:rPr>
          <w:b/>
        </w:rPr>
        <w:br/>
        <w:t>COMMISSIONER AJIT PAI</w:t>
      </w:r>
    </w:p>
    <w:p w14:paraId="0AE9FB66" w14:textId="77777777" w:rsidR="0007319F" w:rsidRDefault="0007319F" w:rsidP="00487A6E">
      <w:pPr>
        <w:ind w:left="720" w:hanging="720"/>
      </w:pPr>
      <w:r>
        <w:t>Re:</w:t>
      </w:r>
      <w:r>
        <w:tab/>
      </w:r>
      <w:r w:rsidRPr="00ED7996">
        <w:rPr>
          <w:i/>
        </w:rPr>
        <w:t>NCE October 2007 Window, MX Group 543, Application of the KBOO Foundation for a New NCE(FM) Station, Chehalis, Washington</w:t>
      </w:r>
      <w:r>
        <w:t>, Facility ID No. 173822, File No. BNPED-20071019ARU.</w:t>
      </w:r>
    </w:p>
    <w:p w14:paraId="356DA9A7" w14:textId="77777777" w:rsidR="0007319F" w:rsidRDefault="0007319F" w:rsidP="00487A6E">
      <w:pPr>
        <w:ind w:left="720" w:hanging="720"/>
      </w:pPr>
    </w:p>
    <w:p w14:paraId="4D5E35DF" w14:textId="77777777" w:rsidR="0007319F" w:rsidRDefault="0007319F" w:rsidP="00487A6E">
      <w:pPr>
        <w:ind w:firstLine="720"/>
      </w:pPr>
      <w:r>
        <w:t>I am voting to approve this Order because I agree with the Commission that there aren’t special circumstances present to justify granting the KBOO Foundation’s (KBOO’s) waiver request.  But I do not agree with the underlying rule that requires us to dismiss KBOO’s application for a new NCE FM station and hope that the Commission will change it before the next NCE FM filing window.</w:t>
      </w:r>
    </w:p>
    <w:p w14:paraId="4B123313" w14:textId="77777777" w:rsidR="0007319F" w:rsidRDefault="0007319F" w:rsidP="00487A6E">
      <w:pPr>
        <w:ind w:firstLine="720"/>
      </w:pPr>
    </w:p>
    <w:p w14:paraId="3245803B" w14:textId="77777777" w:rsidR="0007319F" w:rsidRDefault="0007319F" w:rsidP="00487A6E">
      <w:pPr>
        <w:ind w:firstLine="720"/>
      </w:pPr>
      <w:r>
        <w:t>A nonprofit organization’s board of directors will often experience routine turnover.  Members, who are generally volunteers leading busy lives, decide to resign for a variety of reasons or their terms expire.  And if such turnover results in the majority of a board’s membership changing hands while an organization has an NCE FM application pending with the Commission, that application should not be dismissed absent evidence of a lack of continuity in the organization’s operations (e.g., evidence that the organization was the subject of a hostile takeover or had dramatically changes its mission or character).</w:t>
      </w:r>
    </w:p>
    <w:p w14:paraId="143E3DB7" w14:textId="77777777" w:rsidR="0007319F" w:rsidRDefault="0007319F" w:rsidP="00487A6E">
      <w:pPr>
        <w:ind w:firstLine="720"/>
      </w:pPr>
    </w:p>
    <w:p w14:paraId="2F553791" w14:textId="77777777" w:rsidR="0007319F" w:rsidRPr="000D2AE7" w:rsidRDefault="0007319F" w:rsidP="00693C80">
      <w:pPr>
        <w:ind w:firstLine="720"/>
      </w:pPr>
      <w:r>
        <w:t>It is not the Commission’s job to micromanage the governance of nonprofit organizations, and I see no reason why those groups should be put to the choice of preventing routine turnover on their boards of directors or rendering an NCE FM application defective.</w:t>
      </w:r>
    </w:p>
    <w:p w14:paraId="7341913C" w14:textId="77777777" w:rsidR="0007319F" w:rsidRDefault="0007319F"/>
    <w:p w14:paraId="224DD28E" w14:textId="77777777" w:rsidR="009845E0" w:rsidRDefault="009845E0">
      <w:pPr>
        <w:widowControl/>
        <w:sectPr w:rsidR="009845E0" w:rsidSect="00743853">
          <w:footerReference w:type="first" r:id="rId14"/>
          <w:endnotePr>
            <w:numFmt w:val="decimal"/>
          </w:endnotePr>
          <w:pgSz w:w="12240" w:h="15840"/>
          <w:pgMar w:top="1440" w:right="1440" w:bottom="720" w:left="1440" w:header="720" w:footer="720" w:gutter="0"/>
          <w:cols w:space="720"/>
          <w:noEndnote/>
          <w:titlePg/>
        </w:sectPr>
      </w:pPr>
    </w:p>
    <w:p w14:paraId="2207A301" w14:textId="77777777" w:rsidR="005D6D28" w:rsidRPr="00ED7996" w:rsidRDefault="005D6D28" w:rsidP="005D6D28">
      <w:pPr>
        <w:spacing w:after="240"/>
        <w:jc w:val="center"/>
        <w:rPr>
          <w:b/>
        </w:rPr>
      </w:pPr>
      <w:r w:rsidRPr="00ED7996">
        <w:rPr>
          <w:b/>
        </w:rPr>
        <w:t>STATEMENT OF</w:t>
      </w:r>
      <w:r w:rsidRPr="00ED7996">
        <w:rPr>
          <w:b/>
        </w:rPr>
        <w:br/>
        <w:t xml:space="preserve">COMMISSIONER </w:t>
      </w:r>
      <w:r>
        <w:rPr>
          <w:b/>
        </w:rPr>
        <w:t>MICHAEL O’RIELLY</w:t>
      </w:r>
    </w:p>
    <w:p w14:paraId="1A052D64" w14:textId="77777777" w:rsidR="005D6D28" w:rsidRDefault="005D6D28" w:rsidP="005D6D28">
      <w:pPr>
        <w:ind w:left="720" w:hanging="720"/>
      </w:pPr>
      <w:r>
        <w:t>Re:</w:t>
      </w:r>
      <w:r>
        <w:tab/>
      </w:r>
      <w:r w:rsidRPr="00ED7996">
        <w:rPr>
          <w:i/>
        </w:rPr>
        <w:t>NCE October 2007 Window, MX Group 543, Application of the KBOO Foundation for a New NCE(FM) Station, Chehalis, Washington</w:t>
      </w:r>
      <w:r>
        <w:t>, Facility ID No. 173822, File No. BNPED-20071019ARU.</w:t>
      </w:r>
    </w:p>
    <w:p w14:paraId="53AB0881" w14:textId="77777777" w:rsidR="005D6D28" w:rsidRDefault="005D6D28" w:rsidP="005D6D28">
      <w:pPr>
        <w:ind w:firstLine="720"/>
      </w:pPr>
    </w:p>
    <w:p w14:paraId="63721906" w14:textId="77777777" w:rsidR="005D6D28" w:rsidRPr="00C73DCB" w:rsidRDefault="005D6D28" w:rsidP="005D6D28">
      <w:pPr>
        <w:ind w:firstLine="720"/>
      </w:pPr>
      <w:r>
        <w:t xml:space="preserve">While this Order reaches a suitable conclusion given the byzantine structure concocted to award NCE FM licenses in the last filing window, I agree with Commissioner Pai that the rationale for the Commission to micromanage the composition of nonprofit boards seems tenuous at best.  Unfortunately, this is not the only decision regarding NCE FM applications filed in the October 2007 window that has turned on subjective licensing requirements and an unpredictable process used by the Commission to award LPFM licenses.  It is my hope that for the next application window, to the extent there is one, the Commission will reconsider its past decisions and adopt a straightforward process, free of extraneous, ambiguous, or subjective criteria that we have seen can lead to years of uncertainty.      </w:t>
      </w:r>
    </w:p>
    <w:p w14:paraId="48DAA0EF" w14:textId="77777777" w:rsidR="00115F09" w:rsidRDefault="00115F09" w:rsidP="0017296B"/>
    <w:sectPr w:rsidR="00115F09" w:rsidSect="00983EE3">
      <w:footerReference w:type="first" r:id="rId15"/>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E704B" w14:textId="77777777" w:rsidR="00B45879" w:rsidRDefault="00B45879">
      <w:pPr>
        <w:spacing w:line="20" w:lineRule="exact"/>
      </w:pPr>
    </w:p>
  </w:endnote>
  <w:endnote w:type="continuationSeparator" w:id="0">
    <w:p w14:paraId="3BBB65C4" w14:textId="77777777" w:rsidR="00B45879" w:rsidRDefault="00B45879">
      <w:r>
        <w:t xml:space="preserve"> </w:t>
      </w:r>
    </w:p>
  </w:endnote>
  <w:endnote w:type="continuationNotice" w:id="1">
    <w:p w14:paraId="59F009C2" w14:textId="77777777" w:rsidR="00B45879" w:rsidRDefault="00B458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53DA" w14:textId="77777777" w:rsidR="001B29A0" w:rsidRDefault="001B29A0" w:rsidP="0055614C">
    <w:pPr>
      <w:pStyle w:val="Footer"/>
      <w:framePr w:wrap="around" w:vAnchor="text" w:hAnchor="margin" w:xAlign="center" w:y="1"/>
    </w:pPr>
    <w:r>
      <w:fldChar w:fldCharType="begin"/>
    </w:r>
    <w:r>
      <w:instrText xml:space="preserve">PAGE  </w:instrText>
    </w:r>
    <w:r>
      <w:fldChar w:fldCharType="end"/>
    </w:r>
  </w:p>
  <w:p w14:paraId="5458ACA2" w14:textId="77777777" w:rsidR="001B29A0" w:rsidRDefault="001B2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9412" w14:textId="77777777" w:rsidR="001B29A0" w:rsidRDefault="001B29A0" w:rsidP="0055614C">
    <w:pPr>
      <w:pStyle w:val="Footer"/>
      <w:framePr w:wrap="around" w:vAnchor="text" w:hAnchor="margin" w:xAlign="center" w:y="1"/>
    </w:pPr>
    <w:r>
      <w:fldChar w:fldCharType="begin"/>
    </w:r>
    <w:r>
      <w:instrText xml:space="preserve">PAGE  </w:instrText>
    </w:r>
    <w:r>
      <w:fldChar w:fldCharType="separate"/>
    </w:r>
    <w:r w:rsidR="006C302A">
      <w:rPr>
        <w:noProof/>
      </w:rPr>
      <w:t>2</w:t>
    </w:r>
    <w:r>
      <w:rPr>
        <w:noProof/>
      </w:rPr>
      <w:fldChar w:fldCharType="end"/>
    </w:r>
  </w:p>
  <w:p w14:paraId="141D2167" w14:textId="77777777" w:rsidR="001B29A0" w:rsidRDefault="001B29A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168A" w14:textId="7C3E2B14" w:rsidR="009845E0" w:rsidRDefault="009845E0" w:rsidP="009845E0">
    <w:pPr>
      <w:pStyle w:val="Footer"/>
      <w:tabs>
        <w:tab w:val="center" w:pos="4680"/>
        <w:tab w:val="right" w:pos="9360"/>
      </w:tabs>
    </w:pPr>
    <w:r>
      <w:tab/>
    </w:r>
    <w:r>
      <w:tab/>
    </w:r>
    <w:r>
      <w:rPr>
        <w:noProof/>
      </w:rPr>
      <w:tab/>
    </w:r>
    <w:r>
      <w:rPr>
        <w:noProo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7896" w14:textId="77777777" w:rsidR="00743853" w:rsidRDefault="00743853" w:rsidP="009845E0">
    <w:pPr>
      <w:pStyle w:val="Footer"/>
      <w:tabs>
        <w:tab w:val="center" w:pos="4680"/>
        <w:tab w:val="right" w:pos="9360"/>
      </w:tabs>
    </w:pPr>
    <w:r>
      <w:tab/>
    </w:r>
    <w:r>
      <w:tab/>
    </w:r>
    <w:sdt>
      <w:sdtPr>
        <w:id w:val="208923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6053">
          <w:rPr>
            <w:noProof/>
          </w:rPr>
          <w:t>5</w:t>
        </w:r>
        <w:r>
          <w:rPr>
            <w:noProof/>
          </w:rPr>
          <w:fldChar w:fldCharType="end"/>
        </w:r>
      </w:sdtContent>
    </w:sdt>
    <w:r>
      <w:rPr>
        <w:noProof/>
      </w:rPr>
      <w:tab/>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25564"/>
      <w:docPartObj>
        <w:docPartGallery w:val="Page Numbers (Bottom of Page)"/>
        <w:docPartUnique/>
      </w:docPartObj>
    </w:sdtPr>
    <w:sdtEndPr>
      <w:rPr>
        <w:noProof/>
      </w:rPr>
    </w:sdtEndPr>
    <w:sdtContent>
      <w:p w14:paraId="0B901BE1" w14:textId="7F211C88" w:rsidR="00983EE3" w:rsidRDefault="00983EE3">
        <w:pPr>
          <w:pStyle w:val="Footer"/>
          <w:jc w:val="center"/>
        </w:pPr>
        <w:r>
          <w:fldChar w:fldCharType="begin"/>
        </w:r>
        <w:r>
          <w:instrText xml:space="preserve"> PAGE   \* MERGEFORMAT </w:instrText>
        </w:r>
        <w:r>
          <w:fldChar w:fldCharType="separate"/>
        </w:r>
        <w:r w:rsidR="0050605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81AD" w14:textId="77777777" w:rsidR="00B45879" w:rsidRDefault="00B45879">
      <w:r>
        <w:separator/>
      </w:r>
    </w:p>
  </w:footnote>
  <w:footnote w:type="continuationSeparator" w:id="0">
    <w:p w14:paraId="68E07A67" w14:textId="77777777" w:rsidR="00B45879" w:rsidRDefault="00B45879" w:rsidP="00C721AC">
      <w:pPr>
        <w:spacing w:before="120"/>
        <w:rPr>
          <w:sz w:val="20"/>
        </w:rPr>
      </w:pPr>
      <w:r>
        <w:rPr>
          <w:sz w:val="20"/>
        </w:rPr>
        <w:t xml:space="preserve">(Continued from previous page)  </w:t>
      </w:r>
      <w:r>
        <w:rPr>
          <w:sz w:val="20"/>
        </w:rPr>
        <w:separator/>
      </w:r>
    </w:p>
  </w:footnote>
  <w:footnote w:type="continuationNotice" w:id="1">
    <w:p w14:paraId="41FA8854" w14:textId="77777777" w:rsidR="00B45879" w:rsidRDefault="00B45879" w:rsidP="00C721AC">
      <w:pPr>
        <w:jc w:val="right"/>
        <w:rPr>
          <w:sz w:val="20"/>
        </w:rPr>
      </w:pPr>
      <w:r>
        <w:rPr>
          <w:sz w:val="20"/>
        </w:rPr>
        <w:t>(continued….)</w:t>
      </w:r>
    </w:p>
  </w:footnote>
  <w:footnote w:id="2">
    <w:p w14:paraId="18694C0E" w14:textId="77777777" w:rsidR="00706470" w:rsidRDefault="00706470">
      <w:pPr>
        <w:pStyle w:val="FootnoteText"/>
      </w:pPr>
      <w:r>
        <w:rPr>
          <w:rStyle w:val="FootnoteReference"/>
        </w:rPr>
        <w:footnoteRef/>
      </w:r>
      <w:r>
        <w:t xml:space="preserve"> KBOO filed an Opposition to Application for Review on November 14, 2011.  CVEF filed a Reply to Opposition to Application for Review on November 29, 2011.</w:t>
      </w:r>
    </w:p>
  </w:footnote>
  <w:footnote w:id="3">
    <w:p w14:paraId="1A977826" w14:textId="77777777" w:rsidR="007E174F" w:rsidRPr="00E31A78" w:rsidRDefault="007E174F" w:rsidP="007E174F">
      <w:pPr>
        <w:pStyle w:val="FootnoteText"/>
      </w:pPr>
      <w:r>
        <w:rPr>
          <w:rStyle w:val="FootnoteReference"/>
        </w:rPr>
        <w:footnoteRef/>
      </w:r>
      <w:r>
        <w:t xml:space="preserve"> </w:t>
      </w:r>
      <w:r>
        <w:rPr>
          <w:i/>
        </w:rPr>
        <w:t>The KBOO Foundation</w:t>
      </w:r>
      <w:r>
        <w:t>, Letter, 26 FCC Rcd 13366 (MB 2011) (“</w:t>
      </w:r>
      <w:r>
        <w:rPr>
          <w:i/>
        </w:rPr>
        <w:t>Letter Decision</w:t>
      </w:r>
      <w:r>
        <w:t>”)</w:t>
      </w:r>
    </w:p>
  </w:footnote>
  <w:footnote w:id="4">
    <w:p w14:paraId="3FE91316" w14:textId="77777777" w:rsidR="001B29A0" w:rsidRDefault="001B29A0" w:rsidP="00B87CF2">
      <w:pPr>
        <w:pStyle w:val="FootnoteText"/>
      </w:pPr>
      <w:r>
        <w:rPr>
          <w:rStyle w:val="FootnoteReference"/>
        </w:rPr>
        <w:footnoteRef/>
      </w:r>
      <w:r>
        <w:t xml:space="preserve"> </w:t>
      </w:r>
      <w:r>
        <w:rPr>
          <w:i/>
        </w:rPr>
        <w:t>Media Bureau Announces NCE FM New Station and Major Modification Application Filing Window for New and Certain Pending Proposals; Window to Open on October 12, 2007</w:t>
      </w:r>
      <w:r>
        <w:t>, Public Notice, 22 FCC Rcd 6726 (MB 2007).</w:t>
      </w:r>
    </w:p>
  </w:footnote>
  <w:footnote w:id="5">
    <w:p w14:paraId="6B8DFF31" w14:textId="77777777" w:rsidR="001B29A0" w:rsidRDefault="001B29A0" w:rsidP="00B87CF2">
      <w:pPr>
        <w:pStyle w:val="FootnoteText"/>
      </w:pPr>
      <w:r>
        <w:rPr>
          <w:rStyle w:val="FootnoteReference"/>
        </w:rPr>
        <w:footnoteRef/>
      </w:r>
      <w:r>
        <w:t xml:space="preserve"> </w:t>
      </w:r>
      <w:r>
        <w:rPr>
          <w:i/>
          <w:iCs/>
        </w:rPr>
        <w:t xml:space="preserve">See </w:t>
      </w:r>
      <w:r w:rsidR="00CA76DF">
        <w:rPr>
          <w:i/>
          <w:iCs/>
        </w:rPr>
        <w:t xml:space="preserve">Media Bureau Identifies Groups of Mutually Exclusive Applications Submitted in the October 2007 Filing Window for Noncommercial Educational FM Stations, </w:t>
      </w:r>
      <w:r w:rsidR="00CA76DF">
        <w:rPr>
          <w:iCs/>
        </w:rPr>
        <w:t xml:space="preserve">Public Notice, 23 FCC Rcd 14730 (MB 2008).  </w:t>
      </w:r>
    </w:p>
  </w:footnote>
  <w:footnote w:id="6">
    <w:p w14:paraId="4183F097" w14:textId="17C46981" w:rsidR="00584D2A" w:rsidRDefault="00584D2A" w:rsidP="00584D2A">
      <w:pPr>
        <w:pStyle w:val="FootnoteText"/>
      </w:pPr>
      <w:r>
        <w:rPr>
          <w:rStyle w:val="FootnoteReference"/>
        </w:rPr>
        <w:footnoteRef/>
      </w:r>
      <w:r>
        <w:t xml:space="preserve"> 47 C.F.R. § 73.3573(a)(1)  (“A major change in ownership is any change where the original party or parties to the application do not retain more than 50 percent ownership interest in the application as originally filed.”).     </w:t>
      </w:r>
    </w:p>
  </w:footnote>
  <w:footnote w:id="7">
    <w:p w14:paraId="7DB19902" w14:textId="77777777" w:rsidR="005362FB" w:rsidRDefault="005362FB">
      <w:pPr>
        <w:pStyle w:val="FootnoteText"/>
      </w:pPr>
      <w:r>
        <w:rPr>
          <w:rStyle w:val="FootnoteReference"/>
        </w:rPr>
        <w:footnoteRef/>
      </w:r>
      <w:r>
        <w:t xml:space="preserve"> </w:t>
      </w:r>
      <w:r>
        <w:rPr>
          <w:i/>
        </w:rPr>
        <w:t>See</w:t>
      </w:r>
      <w:r>
        <w:t xml:space="preserve"> 47 C.F.R. § 73.3573(b)(3).</w:t>
      </w:r>
    </w:p>
  </w:footnote>
  <w:footnote w:id="8">
    <w:p w14:paraId="5D3D5E95" w14:textId="3B2C174F" w:rsidR="00763363" w:rsidRPr="00763363" w:rsidRDefault="00763363">
      <w:pPr>
        <w:pStyle w:val="FootnoteText"/>
      </w:pPr>
      <w:r>
        <w:rPr>
          <w:rStyle w:val="FootnoteReference"/>
        </w:rPr>
        <w:footnoteRef/>
      </w:r>
      <w:r>
        <w:t xml:space="preserve"> Application at </w:t>
      </w:r>
      <w:r w:rsidR="00F03610">
        <w:t>Exhibit</w:t>
      </w:r>
      <w:r>
        <w:t xml:space="preserve"> 1 (received Nov. 21, 2008), </w:t>
      </w:r>
      <w:r w:rsidRPr="00D37826">
        <w:rPr>
          <w:i/>
        </w:rPr>
        <w:t>citing</w:t>
      </w:r>
      <w:r>
        <w:t xml:space="preserve"> </w:t>
      </w:r>
      <w:r>
        <w:rPr>
          <w:i/>
        </w:rPr>
        <w:t xml:space="preserve">Comparative </w:t>
      </w:r>
      <w:r w:rsidR="005362FB">
        <w:rPr>
          <w:i/>
        </w:rPr>
        <w:t>C</w:t>
      </w:r>
      <w:r>
        <w:rPr>
          <w:i/>
        </w:rPr>
        <w:t xml:space="preserve">onsideration of 76 Groups of Mutually Exclusive Applications for Permits to Construct New or Modified Noncommercial Educational FM Stations, </w:t>
      </w:r>
      <w:r>
        <w:t xml:space="preserve"> Memorandum Opinion and Order, 22 FCC Rcd 6101, 6125 (2007)</w:t>
      </w:r>
      <w:r w:rsidR="00E31A78">
        <w:t xml:space="preserve"> (“</w:t>
      </w:r>
      <w:r w:rsidR="00E31A78" w:rsidRPr="00763363">
        <w:rPr>
          <w:i/>
        </w:rPr>
        <w:t>Omnibus Order</w:t>
      </w:r>
      <w:r w:rsidR="00E31A78">
        <w:t>”)</w:t>
      </w:r>
      <w:r>
        <w:t xml:space="preserve"> </w:t>
      </w:r>
      <w:r w:rsidR="00E31A78">
        <w:t>(subsequent history omitted).</w:t>
      </w:r>
    </w:p>
  </w:footnote>
  <w:footnote w:id="9">
    <w:p w14:paraId="166270F8" w14:textId="77777777" w:rsidR="00763363" w:rsidRPr="00763363" w:rsidRDefault="00763363">
      <w:pPr>
        <w:pStyle w:val="FootnoteText"/>
      </w:pPr>
      <w:r>
        <w:rPr>
          <w:rStyle w:val="FootnoteReference"/>
        </w:rPr>
        <w:footnoteRef/>
      </w:r>
      <w:r>
        <w:t xml:space="preserve"> </w:t>
      </w:r>
      <w:r w:rsidR="008D0716">
        <w:rPr>
          <w:i/>
        </w:rPr>
        <w:t>Omnibus Order</w:t>
      </w:r>
      <w:r w:rsidR="008D0716">
        <w:t>, 22 FCC Rcd</w:t>
      </w:r>
      <w:r>
        <w:rPr>
          <w:i/>
        </w:rPr>
        <w:t xml:space="preserve"> </w:t>
      </w:r>
      <w:r>
        <w:t>at 6125.</w:t>
      </w:r>
    </w:p>
  </w:footnote>
  <w:footnote w:id="10">
    <w:p w14:paraId="599490B7" w14:textId="556005D8" w:rsidR="002B7CEC" w:rsidRDefault="002B7CEC" w:rsidP="002B7CEC">
      <w:pPr>
        <w:pStyle w:val="FootnoteText"/>
      </w:pPr>
      <w:r>
        <w:rPr>
          <w:rStyle w:val="FootnoteReference"/>
        </w:rPr>
        <w:footnoteRef/>
      </w:r>
      <w:r>
        <w:t xml:space="preserve"> </w:t>
      </w:r>
      <w:r w:rsidR="00CA76DF">
        <w:rPr>
          <w:i/>
          <w:iCs/>
        </w:rPr>
        <w:t xml:space="preserve">Comparative Consideration of 24 Groups of Mutually Exclusive Applications for Permits to Construct New or Modified Noncommercial Educational FM Stations, </w:t>
      </w:r>
      <w:r w:rsidR="00CA76DF">
        <w:t>Memorandum Opinion and Order, 25 FCC Rcd 12887, 12909-10, 12922</w:t>
      </w:r>
      <w:r w:rsidR="00BF30B4">
        <w:t xml:space="preserve"> paras. 64-66, 102</w:t>
      </w:r>
      <w:r w:rsidR="00CA76DF">
        <w:t xml:space="preserve"> (2010).  </w:t>
      </w:r>
      <w:r>
        <w:t xml:space="preserve">  </w:t>
      </w:r>
    </w:p>
  </w:footnote>
  <w:footnote w:id="11">
    <w:p w14:paraId="3380A648" w14:textId="77777777" w:rsidR="002B7CEC" w:rsidRPr="002B7CEC" w:rsidRDefault="002B7CEC">
      <w:pPr>
        <w:pStyle w:val="FootnoteText"/>
      </w:pPr>
      <w:r>
        <w:rPr>
          <w:rStyle w:val="FootnoteReference"/>
        </w:rPr>
        <w:footnoteRef/>
      </w:r>
      <w:r>
        <w:t xml:space="preserve"> </w:t>
      </w:r>
      <w:r w:rsidR="00473408">
        <w:rPr>
          <w:i/>
        </w:rPr>
        <w:t xml:space="preserve">See </w:t>
      </w:r>
      <w:r>
        <w:rPr>
          <w:i/>
        </w:rPr>
        <w:t>Broadcast Actions</w:t>
      </w:r>
      <w:r>
        <w:t>, Public Notice, Report No. 47343 (MB Oct. 18, 2010)</w:t>
      </w:r>
      <w:r w:rsidR="00473408">
        <w:t xml:space="preserve">; </w:t>
      </w:r>
      <w:r w:rsidR="00473408">
        <w:rPr>
          <w:i/>
        </w:rPr>
        <w:t xml:space="preserve">Broadcast Actions, </w:t>
      </w:r>
      <w:r w:rsidR="00473408">
        <w:t>Public Notice, Report No. 47354 (MB Nov. 2, 2010)</w:t>
      </w:r>
      <w:r>
        <w:t>.</w:t>
      </w:r>
    </w:p>
  </w:footnote>
  <w:footnote w:id="12">
    <w:p w14:paraId="6977DDEA" w14:textId="77777777" w:rsidR="001B29A0" w:rsidRDefault="001B29A0" w:rsidP="00B87CF2">
      <w:pPr>
        <w:pStyle w:val="FootnoteText"/>
      </w:pPr>
      <w:r>
        <w:rPr>
          <w:rStyle w:val="FootnoteReference"/>
        </w:rPr>
        <w:footnoteRef/>
      </w:r>
      <w:r>
        <w:t xml:space="preserve"> </w:t>
      </w:r>
      <w:r>
        <w:rPr>
          <w:i/>
        </w:rPr>
        <w:t xml:space="preserve">Broadcast Applications, </w:t>
      </w:r>
      <w:r>
        <w:t>Public Notice, Report No. 27378 (MB 2010).</w:t>
      </w:r>
    </w:p>
  </w:footnote>
  <w:footnote w:id="13">
    <w:p w14:paraId="368937F8" w14:textId="77777777" w:rsidR="00741062" w:rsidRDefault="00741062" w:rsidP="00741062">
      <w:pPr>
        <w:pStyle w:val="FootnoteText"/>
      </w:pPr>
      <w:r>
        <w:rPr>
          <w:rStyle w:val="FootnoteReference"/>
        </w:rPr>
        <w:footnoteRef/>
      </w:r>
      <w:r>
        <w:t xml:space="preserve"> Petition </w:t>
      </w:r>
      <w:r w:rsidR="00186DF3">
        <w:t xml:space="preserve">to Deny filed by Chehalis Valley Educational Foundation (Jun. 7, 2011 (“Petition”) </w:t>
      </w:r>
      <w:r>
        <w:t xml:space="preserve">at 2-4.  </w:t>
      </w:r>
    </w:p>
  </w:footnote>
  <w:footnote w:id="14">
    <w:p w14:paraId="4934F664" w14:textId="77777777" w:rsidR="001B29A0" w:rsidRDefault="001B29A0" w:rsidP="00B87CF2">
      <w:pPr>
        <w:pStyle w:val="FootnoteText"/>
      </w:pPr>
      <w:r>
        <w:rPr>
          <w:rStyle w:val="FootnoteReference"/>
        </w:rPr>
        <w:footnoteRef/>
      </w:r>
      <w:r>
        <w:t xml:space="preserve"> Opposition </w:t>
      </w:r>
      <w:r w:rsidR="009772FD">
        <w:t xml:space="preserve">to Petition </w:t>
      </w:r>
      <w:r w:rsidR="00186DF3">
        <w:t xml:space="preserve">to Deny filed by The KBOO Foundation (Jan. 19, 2011) (“Opposition to Petition”) </w:t>
      </w:r>
      <w:r>
        <w:t>at 3.</w:t>
      </w:r>
    </w:p>
  </w:footnote>
  <w:footnote w:id="15">
    <w:p w14:paraId="0FDD373E" w14:textId="77777777" w:rsidR="001B29A0" w:rsidRDefault="001B29A0" w:rsidP="00B87CF2">
      <w:pPr>
        <w:pStyle w:val="FootnoteText"/>
      </w:pPr>
      <w:r>
        <w:rPr>
          <w:rStyle w:val="FootnoteReference"/>
        </w:rPr>
        <w:footnoteRef/>
      </w:r>
      <w:r>
        <w:t xml:space="preserve"> </w:t>
      </w:r>
      <w:r w:rsidR="00706470">
        <w:rPr>
          <w:i/>
        </w:rPr>
        <w:t>Id.</w:t>
      </w:r>
      <w:r w:rsidR="009772FD">
        <w:t xml:space="preserve"> </w:t>
      </w:r>
      <w:r>
        <w:t>at 4.</w:t>
      </w:r>
    </w:p>
  </w:footnote>
  <w:footnote w:id="16">
    <w:p w14:paraId="349D01FE" w14:textId="77777777" w:rsidR="001B29A0" w:rsidRDefault="001B29A0" w:rsidP="00B87CF2">
      <w:pPr>
        <w:pStyle w:val="FootnoteText"/>
        <w:rPr>
          <w:i/>
        </w:rPr>
      </w:pPr>
      <w:r>
        <w:rPr>
          <w:rStyle w:val="FootnoteReference"/>
        </w:rPr>
        <w:footnoteRef/>
      </w:r>
      <w:r>
        <w:t xml:space="preserve"> </w:t>
      </w:r>
      <w:r>
        <w:rPr>
          <w:i/>
        </w:rPr>
        <w:t>Id.</w:t>
      </w:r>
    </w:p>
  </w:footnote>
  <w:footnote w:id="17">
    <w:p w14:paraId="06623728" w14:textId="2845610B" w:rsidR="00EF5350" w:rsidRDefault="00EF5350" w:rsidP="00EF5350">
      <w:pPr>
        <w:pStyle w:val="FootnoteText"/>
      </w:pPr>
      <w:r>
        <w:rPr>
          <w:rStyle w:val="FootnoteReference"/>
        </w:rPr>
        <w:footnoteRef/>
      </w:r>
      <w:r>
        <w:t xml:space="preserve"> On </w:t>
      </w:r>
      <w:r w:rsidR="002100ED">
        <w:t xml:space="preserve">January 19, 2011, </w:t>
      </w:r>
      <w:r>
        <w:t>KBOO submitted an additional amendment in which it reported another majority Board turnover during the course of about one year and requested an additional waiver of Section 73.3573 with respect to this second occurrence.</w:t>
      </w:r>
    </w:p>
  </w:footnote>
  <w:footnote w:id="18">
    <w:p w14:paraId="00EAB0C2" w14:textId="258708B1" w:rsidR="00762FAF" w:rsidRPr="00D84582" w:rsidRDefault="00762FAF" w:rsidP="00762FAF">
      <w:pPr>
        <w:pStyle w:val="FootnoteText"/>
      </w:pPr>
      <w:r w:rsidRPr="00C6682C">
        <w:rPr>
          <w:rStyle w:val="FootnoteReference"/>
        </w:rPr>
        <w:footnoteRef/>
      </w:r>
      <w:r w:rsidR="00F74975">
        <w:t xml:space="preserve"> AFR</w:t>
      </w:r>
      <w:r>
        <w:t xml:space="preserve"> at 4-5.</w:t>
      </w:r>
      <w:r w:rsidR="00833482">
        <w:t xml:space="preserve">  CVEF also asserts that two cases cited by the Bureau in the </w:t>
      </w:r>
      <w:r w:rsidR="00833482">
        <w:rPr>
          <w:i/>
        </w:rPr>
        <w:t>Letter Decision</w:t>
      </w:r>
      <w:r w:rsidR="00833482">
        <w:t xml:space="preserve"> </w:t>
      </w:r>
      <w:r w:rsidR="00352554">
        <w:t>were inapposite</w:t>
      </w:r>
      <w:r w:rsidR="00833482">
        <w:t xml:space="preserve">.  </w:t>
      </w:r>
      <w:r w:rsidR="00833482">
        <w:rPr>
          <w:i/>
        </w:rPr>
        <w:t>Id.</w:t>
      </w:r>
      <w:r w:rsidR="00833482">
        <w:t xml:space="preserve">  at 4, </w:t>
      </w:r>
      <w:r w:rsidR="00833482">
        <w:rPr>
          <w:i/>
        </w:rPr>
        <w:t>citing Center</w:t>
      </w:r>
      <w:r w:rsidR="00352554">
        <w:rPr>
          <w:i/>
        </w:rPr>
        <w:t xml:space="preserve"> for Study of Black Economic Development</w:t>
      </w:r>
      <w:r w:rsidR="00352554">
        <w:t xml:space="preserve">, Initial Decision, 8 FCC Rcd 2116 (ALJ 1993) </w:t>
      </w:r>
      <w:r w:rsidR="00BA4D0A">
        <w:t xml:space="preserve">and </w:t>
      </w:r>
      <w:r w:rsidR="00833482">
        <w:rPr>
          <w:i/>
        </w:rPr>
        <w:t>Texas</w:t>
      </w:r>
      <w:r w:rsidR="00352554">
        <w:rPr>
          <w:i/>
        </w:rPr>
        <w:t xml:space="preserve"> Educational Broadcasting Co-operative, </w:t>
      </w:r>
      <w:r w:rsidR="00352554">
        <w:t>Memorandum Opinion and Order and Notice of Apparent Liability, 22 FCC Rcd 13038 (MB 2007)</w:t>
      </w:r>
      <w:r w:rsidR="00833482">
        <w:rPr>
          <w:i/>
        </w:rPr>
        <w:t xml:space="preserve">.  </w:t>
      </w:r>
      <w:r w:rsidR="00352554">
        <w:t xml:space="preserve">Given our findings herein and rescission of the waiver grants, </w:t>
      </w:r>
      <w:r w:rsidR="008C087A">
        <w:rPr>
          <w:i/>
        </w:rPr>
        <w:t xml:space="preserve">see infra </w:t>
      </w:r>
      <w:r w:rsidR="008C087A">
        <w:t>para.</w:t>
      </w:r>
      <w:r w:rsidR="00352554">
        <w:rPr>
          <w:i/>
        </w:rPr>
        <w:t xml:space="preserve"> </w:t>
      </w:r>
      <w:r w:rsidR="00352554">
        <w:t>7, we need not reach this issue.</w:t>
      </w:r>
    </w:p>
  </w:footnote>
  <w:footnote w:id="19">
    <w:p w14:paraId="468BB0EF" w14:textId="486543B8" w:rsidR="006B2444" w:rsidRPr="00B029EA" w:rsidRDefault="006B2444" w:rsidP="00B20214">
      <w:pPr>
        <w:pStyle w:val="FootnoteText"/>
      </w:pPr>
      <w:r>
        <w:rPr>
          <w:rStyle w:val="FootnoteReference"/>
        </w:rPr>
        <w:footnoteRef/>
      </w:r>
      <w:r>
        <w:t xml:space="preserve"> </w:t>
      </w:r>
      <w:r w:rsidRPr="00D37826">
        <w:t>AFR at 4</w:t>
      </w:r>
      <w:r w:rsidR="00DC4420" w:rsidRPr="00D37826">
        <w:t>,</w:t>
      </w:r>
      <w:r w:rsidR="002245AA" w:rsidRPr="00D37826">
        <w:t xml:space="preserve"> </w:t>
      </w:r>
      <w:r w:rsidR="00235835" w:rsidRPr="00D37826">
        <w:rPr>
          <w:rStyle w:val="Emphasis"/>
          <w:color w:val="252525"/>
        </w:rPr>
        <w:t>citing</w:t>
      </w:r>
      <w:r w:rsidR="00235835" w:rsidRPr="00D37826">
        <w:rPr>
          <w:rStyle w:val="Emphasis"/>
          <w:i w:val="0"/>
          <w:color w:val="252525"/>
        </w:rPr>
        <w:t xml:space="preserve"> </w:t>
      </w:r>
      <w:r w:rsidR="00235835" w:rsidRPr="00D37826">
        <w:rPr>
          <w:rStyle w:val="Emphasis"/>
        </w:rPr>
        <w:t>Transfers of Control of Certain Licensed Non-Stock Entities</w:t>
      </w:r>
      <w:r w:rsidR="00235835" w:rsidRPr="00D37826">
        <w:t xml:space="preserve">, </w:t>
      </w:r>
      <w:r w:rsidR="000A2742" w:rsidRPr="00D37826">
        <w:t xml:space="preserve">Notice of Inquiry, </w:t>
      </w:r>
      <w:r w:rsidR="00235835" w:rsidRPr="00D37826">
        <w:t xml:space="preserve">4 FCC Rcd 3403, 3405 para. 15 (1989) </w:t>
      </w:r>
      <w:r w:rsidR="00C86938" w:rsidRPr="00D37826">
        <w:t>(“</w:t>
      </w:r>
      <w:r w:rsidR="00C86938" w:rsidRPr="00D37826">
        <w:rPr>
          <w:i/>
        </w:rPr>
        <w:t>Transfers of Control</w:t>
      </w:r>
      <w:r w:rsidR="00C86938" w:rsidRPr="00D37826">
        <w:t xml:space="preserve">”) </w:t>
      </w:r>
      <w:r w:rsidR="00B36467" w:rsidRPr="00D37826">
        <w:t>(“</w:t>
      </w:r>
      <w:r w:rsidR="00235835" w:rsidRPr="00D37826">
        <w:rPr>
          <w:color w:val="252525"/>
        </w:rPr>
        <w:t xml:space="preserve">It appears to us that a change in the majority of a governing board, which </w:t>
      </w:r>
      <w:r w:rsidR="00235835" w:rsidRPr="00B20214">
        <w:t>occurred</w:t>
      </w:r>
      <w:r w:rsidR="00235835" w:rsidRPr="00D37826">
        <w:rPr>
          <w:color w:val="252525"/>
        </w:rPr>
        <w:t xml:space="preserve"> over a period of less than one year, would effectively break continuity in the board </w:t>
      </w:r>
      <w:r w:rsidR="00B36467" w:rsidRPr="00D37826">
        <w:rPr>
          <w:color w:val="252525"/>
        </w:rPr>
        <w:t>. . . .”)</w:t>
      </w:r>
      <w:r w:rsidR="00235835" w:rsidRPr="00D37826">
        <w:rPr>
          <w:color w:val="252525"/>
        </w:rPr>
        <w:t>.</w:t>
      </w:r>
      <w:r w:rsidR="00F263D3" w:rsidRPr="00D37826">
        <w:rPr>
          <w:color w:val="252525"/>
        </w:rPr>
        <w:t xml:space="preserve">  </w:t>
      </w:r>
      <w:r w:rsidR="00186DF3" w:rsidRPr="00D37826">
        <w:rPr>
          <w:color w:val="252525"/>
        </w:rPr>
        <w:t xml:space="preserve"> </w:t>
      </w:r>
      <w:r w:rsidR="00F263D3" w:rsidRPr="00D37826">
        <w:rPr>
          <w:i/>
        </w:rPr>
        <w:t>But see Letter Decision</w:t>
      </w:r>
      <w:r w:rsidR="00F263D3" w:rsidRPr="00D37826">
        <w:t xml:space="preserve"> at 4 (</w:t>
      </w:r>
      <w:r w:rsidR="00DC4420" w:rsidRPr="00D37826">
        <w:t xml:space="preserve">stating </w:t>
      </w:r>
      <w:r w:rsidR="00F263D3" w:rsidRPr="00D37826">
        <w:t>“</w:t>
      </w:r>
      <w:r w:rsidR="00F263D3" w:rsidRPr="00D37826">
        <w:rPr>
          <w:color w:val="252525"/>
        </w:rPr>
        <w:t>at no one time since the application’s filing have Board changes disrupted continuity of organizational</w:t>
      </w:r>
      <w:r w:rsidR="00F263D3" w:rsidRPr="00F263D3">
        <w:rPr>
          <w:color w:val="252525"/>
        </w:rPr>
        <w:t xml:space="preserve"> operations because they occurred incrementally over time and in accordance with its bylaws”).</w:t>
      </w:r>
    </w:p>
  </w:footnote>
  <w:footnote w:id="20">
    <w:p w14:paraId="780F8BFA" w14:textId="4399487D" w:rsidR="00762FAF" w:rsidRPr="00C6682C" w:rsidRDefault="00762FAF" w:rsidP="00911FBA">
      <w:pPr>
        <w:pStyle w:val="FootnoteText"/>
      </w:pPr>
      <w:r w:rsidRPr="00C6682C">
        <w:rPr>
          <w:rStyle w:val="FootnoteReference"/>
        </w:rPr>
        <w:footnoteRef/>
      </w:r>
      <w:r>
        <w:rPr>
          <w:i/>
          <w:iCs/>
        </w:rPr>
        <w:t xml:space="preserve"> </w:t>
      </w:r>
      <w:r w:rsidRPr="00C6682C">
        <w:rPr>
          <w:i/>
          <w:iCs/>
        </w:rPr>
        <w:t>Public Citizen, Inc. v. Shalala,</w:t>
      </w:r>
      <w:r w:rsidRPr="00C6682C">
        <w:t xml:space="preserve"> 932 F.Supp 13, 18 n. 6 (D.D.C.1996) (noting that a “</w:t>
      </w:r>
      <w:r w:rsidRPr="00C6682C">
        <w:rPr>
          <w:rStyle w:val="searchterm"/>
        </w:rPr>
        <w:t>tentative</w:t>
      </w:r>
      <w:r w:rsidRPr="00C6682C">
        <w:t xml:space="preserve"> </w:t>
      </w:r>
      <w:r w:rsidRPr="00C6682C">
        <w:rPr>
          <w:rStyle w:val="searchterm"/>
        </w:rPr>
        <w:t>conclusion</w:t>
      </w:r>
      <w:r w:rsidRPr="00C6682C">
        <w:t xml:space="preserve"> articulated in a </w:t>
      </w:r>
      <w:r w:rsidRPr="00911FBA">
        <w:rPr>
          <w:color w:val="252525"/>
        </w:rPr>
        <w:t>nonfinal</w:t>
      </w:r>
      <w:r w:rsidRPr="00C6682C">
        <w:t xml:space="preserve"> proposed rule does not command deference from the Court nor is it </w:t>
      </w:r>
      <w:r w:rsidRPr="00C6682C">
        <w:rPr>
          <w:rStyle w:val="searchterm"/>
        </w:rPr>
        <w:t>binding</w:t>
      </w:r>
      <w:r w:rsidRPr="00C6682C">
        <w:t xml:space="preserve"> on the agency”)</w:t>
      </w:r>
      <w:r w:rsidR="008C087A">
        <w:t xml:space="preserve">, </w:t>
      </w:r>
      <w:r w:rsidR="004B218C" w:rsidRPr="008C087A">
        <w:rPr>
          <w:rStyle w:val="apple-converted-space"/>
          <w:i/>
        </w:rPr>
        <w:t>citing</w:t>
      </w:r>
      <w:r w:rsidR="004B218C">
        <w:rPr>
          <w:rStyle w:val="apple-converted-space"/>
        </w:rPr>
        <w:t xml:space="preserve"> </w:t>
      </w:r>
      <w:r w:rsidR="004B218C" w:rsidRPr="008F701F">
        <w:rPr>
          <w:rStyle w:val="Emphasis"/>
        </w:rPr>
        <w:t>Public Citizen Health Research Group v. Commissioner, Food &amp; Drug Administration,</w:t>
      </w:r>
      <w:r w:rsidR="004B218C" w:rsidRPr="008F701F">
        <w:rPr>
          <w:rStyle w:val="apple-converted-space"/>
        </w:rPr>
        <w:t> </w:t>
      </w:r>
      <w:r w:rsidR="004B218C" w:rsidRPr="008F701F">
        <w:t>740 F.2d 21, 32 (D.C.Cir.1984)</w:t>
      </w:r>
      <w:r w:rsidRPr="00C6682C">
        <w:t>.</w:t>
      </w:r>
      <w:r w:rsidRPr="00E41632">
        <w:rPr>
          <w:i/>
        </w:rPr>
        <w:t xml:space="preserve"> </w:t>
      </w:r>
      <w:r w:rsidR="0072446F">
        <w:rPr>
          <w:i/>
        </w:rPr>
        <w:t xml:space="preserve"> </w:t>
      </w:r>
      <w:r w:rsidRPr="00E41632">
        <w:rPr>
          <w:i/>
        </w:rPr>
        <w:t>See also</w:t>
      </w:r>
      <w:r w:rsidRPr="00E41632">
        <w:t xml:space="preserve"> </w:t>
      </w:r>
      <w:r w:rsidRPr="00E41632">
        <w:rPr>
          <w:i/>
        </w:rPr>
        <w:t>WFCL(FM), Nashville, TN</w:t>
      </w:r>
      <w:r w:rsidRPr="00E41632">
        <w:t>, Letter, 29 FCC Rcd 2869 (MB 201</w:t>
      </w:r>
      <w:r w:rsidR="001B5AF6">
        <w:t>4</w:t>
      </w:r>
      <w:r w:rsidRPr="00E41632">
        <w:t xml:space="preserve">) (“Because the </w:t>
      </w:r>
      <w:r w:rsidRPr="00E41632">
        <w:rPr>
          <w:i/>
        </w:rPr>
        <w:t>Transfers of Control</w:t>
      </w:r>
      <w:r w:rsidRPr="00E41632">
        <w:t xml:space="preserve"> proceeding was merely a Notice of Inquiry and the proposals there were never codified into the Rules or adopted by the Commission, we have not formally adopted standards for what constitutes a change in control of a non-stock NCE entity that would require prior Commission approval on a long-form FCC Form 315.”).</w:t>
      </w:r>
      <w:r w:rsidR="00EF3C4A" w:rsidRPr="00D37826">
        <w:t xml:space="preserve">  </w:t>
      </w:r>
      <w:r w:rsidR="00EF3C4A">
        <w:t xml:space="preserve">For the same reason, we reject KBOO’s claim </w:t>
      </w:r>
      <w:r w:rsidR="00242B44" w:rsidRPr="00B63562">
        <w:t xml:space="preserve">that because a sudden change in a </w:t>
      </w:r>
      <w:r w:rsidR="00242B44" w:rsidRPr="00B63562">
        <w:rPr>
          <w:color w:val="252525"/>
        </w:rPr>
        <w:t xml:space="preserve">governing board’s majority would be an insubstantial </w:t>
      </w:r>
      <w:r w:rsidR="00242B44" w:rsidRPr="00242B44">
        <w:rPr>
          <w:color w:val="252525"/>
        </w:rPr>
        <w:t xml:space="preserve">transfer under the tentative conclusion in the </w:t>
      </w:r>
      <w:r w:rsidR="00242B44" w:rsidRPr="00242B44">
        <w:rPr>
          <w:rStyle w:val="Emphasis"/>
          <w:color w:val="252525"/>
        </w:rPr>
        <w:t>Non-Stock Transfer NOI</w:t>
      </w:r>
      <w:r w:rsidR="00242B44" w:rsidRPr="00242B44">
        <w:rPr>
          <w:rStyle w:val="Emphasis"/>
          <w:i w:val="0"/>
          <w:color w:val="252525"/>
        </w:rPr>
        <w:t xml:space="preserve">, the change in its </w:t>
      </w:r>
      <w:r w:rsidR="00721CC5">
        <w:rPr>
          <w:rStyle w:val="Emphasis"/>
          <w:i w:val="0"/>
          <w:color w:val="252525"/>
        </w:rPr>
        <w:t>B</w:t>
      </w:r>
      <w:r w:rsidR="00242B44" w:rsidRPr="00242B44">
        <w:rPr>
          <w:rStyle w:val="Emphasis"/>
          <w:i w:val="0"/>
          <w:color w:val="252525"/>
        </w:rPr>
        <w:t xml:space="preserve">oard was not a major change.  </w:t>
      </w:r>
      <w:r w:rsidR="00242B44" w:rsidRPr="00242B44">
        <w:rPr>
          <w:rStyle w:val="Emphasis"/>
          <w:color w:val="252525"/>
        </w:rPr>
        <w:t>See</w:t>
      </w:r>
      <w:r w:rsidR="00242B44">
        <w:rPr>
          <w:rStyle w:val="Emphasis"/>
          <w:i w:val="0"/>
          <w:color w:val="252525"/>
        </w:rPr>
        <w:t xml:space="preserve"> </w:t>
      </w:r>
      <w:r w:rsidR="00242B44" w:rsidRPr="00242B44">
        <w:t xml:space="preserve">Opposition to AFR at </w:t>
      </w:r>
      <w:r w:rsidR="009A2DDA">
        <w:t>5</w:t>
      </w:r>
      <w:r w:rsidR="00242B44">
        <w:t xml:space="preserve">.  </w:t>
      </w:r>
      <w:r w:rsidRPr="00622AB4">
        <w:t xml:space="preserve">CVEF also argues that applicants have relied on </w:t>
      </w:r>
      <w:r w:rsidRPr="00622AB4">
        <w:rPr>
          <w:i/>
        </w:rPr>
        <w:t>Transfers of Control</w:t>
      </w:r>
      <w:r w:rsidRPr="00622AB4">
        <w:t xml:space="preserve"> as the standard in cases involving changes in governing boards of nonstock entities, though it does not provide any supporting evidence.  </w:t>
      </w:r>
      <w:r w:rsidR="003D4189">
        <w:t>AFR</w:t>
      </w:r>
      <w:r w:rsidRPr="00622AB4">
        <w:t xml:space="preserve"> at 4.</w:t>
      </w:r>
      <w:r w:rsidRPr="00622AB4">
        <w:rPr>
          <w:i/>
        </w:rPr>
        <w:t xml:space="preserve">  </w:t>
      </w:r>
      <w:r w:rsidR="00034355" w:rsidRPr="00311351">
        <w:t xml:space="preserve">That some applicants may have relied upon the tentative conclusions contained in the </w:t>
      </w:r>
      <w:r w:rsidR="00034355" w:rsidRPr="00311351">
        <w:rPr>
          <w:i/>
        </w:rPr>
        <w:t xml:space="preserve">NOI </w:t>
      </w:r>
      <w:r w:rsidR="00034355" w:rsidRPr="00311351">
        <w:t>does not alter the fact that such conclusions do not constitute binding precedent.</w:t>
      </w:r>
    </w:p>
  </w:footnote>
  <w:footnote w:id="21">
    <w:p w14:paraId="3318D252" w14:textId="338F384C" w:rsidR="00586C8D" w:rsidRPr="00451582" w:rsidRDefault="00586C8D">
      <w:pPr>
        <w:pStyle w:val="FootnoteText"/>
      </w:pPr>
      <w:r>
        <w:rPr>
          <w:rStyle w:val="FootnoteReference"/>
        </w:rPr>
        <w:footnoteRef/>
      </w:r>
      <w:r>
        <w:t xml:space="preserve"> </w:t>
      </w:r>
      <w:r w:rsidR="00451582" w:rsidRPr="00451582">
        <w:rPr>
          <w:i/>
        </w:rPr>
        <w:t>See</w:t>
      </w:r>
      <w:r w:rsidR="00451582">
        <w:t xml:space="preserve"> AFR at 6 (“</w:t>
      </w:r>
      <w:r w:rsidR="00451582" w:rsidRPr="00622AB4">
        <w:rPr>
          <w:szCs w:val="22"/>
        </w:rPr>
        <w:t xml:space="preserve">if the Commission had wished to extend … waiver … to applicants with shorter-term turnover on their Boards … it could have and would have done so in the </w:t>
      </w:r>
      <w:r w:rsidR="00451582" w:rsidRPr="00622AB4">
        <w:rPr>
          <w:i/>
          <w:szCs w:val="22"/>
        </w:rPr>
        <w:t>Omnibus Order</w:t>
      </w:r>
      <w:r w:rsidR="00451582">
        <w:rPr>
          <w:szCs w:val="22"/>
        </w:rPr>
        <w:t xml:space="preserve">”); </w:t>
      </w:r>
      <w:r w:rsidR="00AB4510">
        <w:rPr>
          <w:szCs w:val="22"/>
        </w:rPr>
        <w:t xml:space="preserve">Opposition </w:t>
      </w:r>
      <w:r w:rsidR="00242B44">
        <w:rPr>
          <w:szCs w:val="22"/>
        </w:rPr>
        <w:t xml:space="preserve">to AFR </w:t>
      </w:r>
      <w:r w:rsidR="00AB4510">
        <w:rPr>
          <w:szCs w:val="22"/>
        </w:rPr>
        <w:t>at 4, 6</w:t>
      </w:r>
      <w:r w:rsidR="008C087A">
        <w:rPr>
          <w:szCs w:val="22"/>
        </w:rPr>
        <w:t xml:space="preserve">, </w:t>
      </w:r>
      <w:r w:rsidR="00AB4510" w:rsidRPr="008C087A">
        <w:rPr>
          <w:i/>
          <w:szCs w:val="22"/>
        </w:rPr>
        <w:t>citing</w:t>
      </w:r>
      <w:r w:rsidR="00AB4510">
        <w:rPr>
          <w:szCs w:val="22"/>
        </w:rPr>
        <w:t xml:space="preserve"> </w:t>
      </w:r>
      <w:r w:rsidR="00AB4510" w:rsidRPr="00AB4510">
        <w:rPr>
          <w:i/>
          <w:szCs w:val="22"/>
        </w:rPr>
        <w:t>Omnibus Order</w:t>
      </w:r>
      <w:r w:rsidR="00AB4510">
        <w:rPr>
          <w:szCs w:val="22"/>
        </w:rPr>
        <w:t>.</w:t>
      </w:r>
    </w:p>
  </w:footnote>
  <w:footnote w:id="22">
    <w:p w14:paraId="5A496E14" w14:textId="1D8D96A3" w:rsidR="00003D70" w:rsidRPr="00E01359" w:rsidRDefault="00003D70" w:rsidP="00003D70">
      <w:pPr>
        <w:pStyle w:val="FootnoteText"/>
      </w:pPr>
      <w:r>
        <w:rPr>
          <w:rStyle w:val="FootnoteReference"/>
        </w:rPr>
        <w:footnoteRef/>
      </w:r>
      <w:r w:rsidRPr="00D37826">
        <w:t xml:space="preserve"> </w:t>
      </w:r>
      <w:r>
        <w:rPr>
          <w:i/>
        </w:rPr>
        <w:t>Holy Family Communications, Inc.</w:t>
      </w:r>
      <w:r>
        <w:t>, Memorandum Opinion an</w:t>
      </w:r>
      <w:r w:rsidR="008C087A">
        <w:t>d Order, 28 FCC Rcd 4854, 4855 para.</w:t>
      </w:r>
      <w:r>
        <w:t xml:space="preserve"> 4 (2013).</w:t>
      </w:r>
      <w:r w:rsidR="00AB4510">
        <w:t xml:space="preserve">  </w:t>
      </w:r>
      <w:r w:rsidR="00AB4510" w:rsidRPr="00AB4510">
        <w:rPr>
          <w:i/>
        </w:rPr>
        <w:t>See also</w:t>
      </w:r>
      <w:r w:rsidR="00AB4510">
        <w:t xml:space="preserve"> </w:t>
      </w:r>
      <w:r w:rsidR="00AB4510">
        <w:rPr>
          <w:i/>
        </w:rPr>
        <w:t>Omnibus Order</w:t>
      </w:r>
      <w:r w:rsidR="00AB4510">
        <w:t>, 22 FCC Rcd</w:t>
      </w:r>
      <w:r w:rsidR="00AB4510">
        <w:rPr>
          <w:i/>
        </w:rPr>
        <w:t xml:space="preserve"> </w:t>
      </w:r>
      <w:r w:rsidR="00AB4510">
        <w:t>at 6125, paras. 59-60.</w:t>
      </w:r>
    </w:p>
  </w:footnote>
  <w:footnote w:id="23">
    <w:p w14:paraId="4E10CA62" w14:textId="1F4B40B3" w:rsidR="002B0F0D" w:rsidRPr="002B0F0D" w:rsidRDefault="002B0F0D">
      <w:pPr>
        <w:pStyle w:val="FootnoteText"/>
        <w:rPr>
          <w:b/>
        </w:rPr>
      </w:pPr>
      <w:r>
        <w:rPr>
          <w:rStyle w:val="FootnoteReference"/>
        </w:rPr>
        <w:footnoteRef/>
      </w:r>
      <w:r>
        <w:t xml:space="preserve"> </w:t>
      </w:r>
      <w:r w:rsidR="00BC491C">
        <w:rPr>
          <w:i/>
        </w:rPr>
        <w:t xml:space="preserve">See supra </w:t>
      </w:r>
      <w:r w:rsidR="00BC491C" w:rsidRPr="00BC491C">
        <w:t>note 2</w:t>
      </w:r>
      <w:r w:rsidR="009A2DDA">
        <w:t>4</w:t>
      </w:r>
      <w:r w:rsidR="00BC491C">
        <w:rPr>
          <w:i/>
        </w:rPr>
        <w:t>.  See also</w:t>
      </w:r>
      <w:r w:rsidR="00E92C50">
        <w:rPr>
          <w:i/>
        </w:rPr>
        <w:t>, Central Texas Communications, Inc.</w:t>
      </w:r>
      <w:r w:rsidR="00E92C50">
        <w:t>, Memorandum Opinion an</w:t>
      </w:r>
      <w:r w:rsidR="00D37826">
        <w:t>d Order, 25 FCC Rcd 7644, 7648 para.</w:t>
      </w:r>
      <w:r w:rsidR="00E92C50">
        <w:t xml:space="preserve"> 11 (2010)</w:t>
      </w:r>
      <w:r w:rsidR="00E92C50">
        <w:rPr>
          <w:i/>
        </w:rPr>
        <w:t xml:space="preserve"> </w:t>
      </w:r>
      <w:r w:rsidR="00E92C50">
        <w:t>(finding that, in specifying factors that would warrant favorable waiver treatment, the Commission did nothing to foreclose a waiver grant pursuant to the general waiver standard set forth in Section 1.3).</w:t>
      </w:r>
      <w:r w:rsidR="00E92C50">
        <w:rPr>
          <w:b/>
        </w:rPr>
        <w:t xml:space="preserve"> </w:t>
      </w:r>
    </w:p>
  </w:footnote>
  <w:footnote w:id="24">
    <w:p w14:paraId="7530F8A0" w14:textId="77777777" w:rsidR="00625A92" w:rsidRPr="00625A92" w:rsidRDefault="00625A92">
      <w:pPr>
        <w:pStyle w:val="FootnoteText"/>
      </w:pPr>
      <w:r>
        <w:rPr>
          <w:rStyle w:val="FootnoteReference"/>
        </w:rPr>
        <w:footnoteRef/>
      </w:r>
      <w:r>
        <w:t xml:space="preserve"> </w:t>
      </w:r>
      <w:r>
        <w:rPr>
          <w:i/>
        </w:rPr>
        <w:t>WAIT Radio v. FCC</w:t>
      </w:r>
      <w:r>
        <w:t>, 418 F.2d 1153, 1157 (D.C. Cir. 1969) (subsequent history omitted).</w:t>
      </w:r>
    </w:p>
  </w:footnote>
  <w:footnote w:id="25">
    <w:p w14:paraId="72BF08F5" w14:textId="4A0E781D" w:rsidR="00BB4D83" w:rsidRDefault="00BB4D83">
      <w:pPr>
        <w:pStyle w:val="FootnoteText"/>
      </w:pPr>
      <w:r>
        <w:rPr>
          <w:rStyle w:val="FootnoteReference"/>
        </w:rPr>
        <w:footnoteRef/>
      </w:r>
      <w:r w:rsidR="00625A92">
        <w:t xml:space="preserve"> </w:t>
      </w:r>
      <w:r w:rsidR="00625A92">
        <w:rPr>
          <w:i/>
        </w:rPr>
        <w:t>Greater Media Radio Co., Inc.</w:t>
      </w:r>
      <w:r w:rsidR="00625A92">
        <w:t>, Memorandum Opinion and</w:t>
      </w:r>
      <w:r w:rsidR="00D37826">
        <w:t xml:space="preserve"> Order, 15 FCC Rcd 7090, 7094 para.</w:t>
      </w:r>
      <w:r w:rsidR="00625A92">
        <w:t xml:space="preserve"> 9 (1999), </w:t>
      </w:r>
      <w:r w:rsidR="00625A92">
        <w:rPr>
          <w:i/>
        </w:rPr>
        <w:t>citing Stoner Broadcasting System, Inc.</w:t>
      </w:r>
      <w:r w:rsidR="00625A92">
        <w:t>, Memorandum Opinion a</w:t>
      </w:r>
      <w:r w:rsidR="00D37826">
        <w:t>nd Order, 49 FCC 2d 1011, 1012 para.</w:t>
      </w:r>
      <w:r w:rsidR="00625A92">
        <w:t xml:space="preserve"> 5 (1974)</w:t>
      </w:r>
      <w:r>
        <w:t>.  </w:t>
      </w:r>
    </w:p>
  </w:footnote>
  <w:footnote w:id="26">
    <w:p w14:paraId="25C7A281" w14:textId="77777777" w:rsidR="00BB4D83" w:rsidRPr="00872C8A" w:rsidRDefault="00BB4D83">
      <w:pPr>
        <w:pStyle w:val="FootnoteText"/>
      </w:pPr>
      <w:r>
        <w:rPr>
          <w:rStyle w:val="FootnoteReference"/>
        </w:rPr>
        <w:footnoteRef/>
      </w:r>
      <w:r>
        <w:t xml:space="preserve"> </w:t>
      </w:r>
      <w:r>
        <w:rPr>
          <w:i/>
        </w:rPr>
        <w:t xml:space="preserve">Network </w:t>
      </w:r>
      <w:r w:rsidRPr="00BB4D83">
        <w:rPr>
          <w:i/>
          <w:iCs/>
        </w:rPr>
        <w:t>IP, LLC v. FCC,</w:t>
      </w:r>
      <w:r w:rsidRPr="00BB4D83">
        <w:t xml:space="preserve"> 548 F.3d 116, 125-128 (D.C. Cir. 2008);</w:t>
      </w:r>
      <w:r>
        <w:t xml:space="preserve"> </w:t>
      </w:r>
      <w:r w:rsidRPr="00BB4D83">
        <w:rPr>
          <w:i/>
          <w:iCs/>
        </w:rPr>
        <w:t>Northeast Cellular</w:t>
      </w:r>
      <w:r w:rsidR="00872C8A">
        <w:rPr>
          <w:i/>
          <w:iCs/>
        </w:rPr>
        <w:t xml:space="preserve"> Telephone Co. v. FCC</w:t>
      </w:r>
      <w:r w:rsidR="00872C8A">
        <w:rPr>
          <w:iCs/>
        </w:rPr>
        <w:t>, 897 F.2d 1164, 1166 (D.C. Cir. 1990).</w:t>
      </w:r>
    </w:p>
  </w:footnote>
  <w:footnote w:id="27">
    <w:p w14:paraId="76B2004F" w14:textId="7A2A3C95" w:rsidR="00AB4510" w:rsidRDefault="00AB4510">
      <w:pPr>
        <w:pStyle w:val="FootnoteText"/>
      </w:pPr>
      <w:r>
        <w:rPr>
          <w:rStyle w:val="FootnoteReference"/>
        </w:rPr>
        <w:footnoteRef/>
      </w:r>
      <w:r>
        <w:t xml:space="preserve"> </w:t>
      </w:r>
      <w:r w:rsidR="00F03610" w:rsidRPr="00F03610">
        <w:rPr>
          <w:i/>
        </w:rPr>
        <w:t>See supra</w:t>
      </w:r>
      <w:r w:rsidR="00D37826">
        <w:t xml:space="preserve"> n</w:t>
      </w:r>
      <w:r w:rsidR="008E5935">
        <w:t>n</w:t>
      </w:r>
      <w:r w:rsidR="00D37826">
        <w:t>.</w:t>
      </w:r>
      <w:r w:rsidR="008E5935">
        <w:t xml:space="preserve"> 7, </w:t>
      </w:r>
      <w:r w:rsidR="00D37826">
        <w:t>16</w:t>
      </w:r>
      <w:r w:rsidR="00F03610">
        <w:t>.</w:t>
      </w:r>
    </w:p>
  </w:footnote>
  <w:footnote w:id="28">
    <w:p w14:paraId="25C2C18D" w14:textId="77777777" w:rsidR="00100F0A" w:rsidRDefault="00100F0A">
      <w:pPr>
        <w:pStyle w:val="FootnoteText"/>
      </w:pPr>
      <w:r>
        <w:rPr>
          <w:rStyle w:val="FootnoteReference"/>
        </w:rPr>
        <w:footnoteRef/>
      </w:r>
      <w:r>
        <w:t xml:space="preserve"> AFR at 6.</w:t>
      </w:r>
    </w:p>
  </w:footnote>
  <w:footnote w:id="29">
    <w:p w14:paraId="3B87F299" w14:textId="77777777" w:rsidR="00BC491C" w:rsidRPr="00CF5687" w:rsidRDefault="00BC491C">
      <w:pPr>
        <w:pStyle w:val="FootnoteText"/>
        <w:rPr>
          <w:b/>
        </w:rPr>
      </w:pPr>
      <w:r>
        <w:rPr>
          <w:rStyle w:val="FootnoteReference"/>
        </w:rPr>
        <w:footnoteRef/>
      </w:r>
      <w:r>
        <w:t xml:space="preserve"> </w:t>
      </w:r>
      <w:r w:rsidR="00CF5687" w:rsidRPr="00CF5687">
        <w:rPr>
          <w:i/>
        </w:rPr>
        <w:t xml:space="preserve">See </w:t>
      </w:r>
      <w:r w:rsidR="00CF5687" w:rsidRPr="00CF5687">
        <w:t>47 C.F.R. § 73.7003(d)</w:t>
      </w:r>
      <w:r w:rsidR="00CF5687">
        <w:t xml:space="preserve"> (providing that mutually exclusive NCE FM applicants may settle “at any time during this process”). </w:t>
      </w:r>
    </w:p>
  </w:footnote>
  <w:footnote w:id="30">
    <w:p w14:paraId="6972B025" w14:textId="7496FBB6" w:rsidR="00AB4510" w:rsidRDefault="00AB4510">
      <w:pPr>
        <w:pStyle w:val="FootnoteText"/>
      </w:pPr>
      <w:r>
        <w:rPr>
          <w:rStyle w:val="FootnoteReference"/>
        </w:rPr>
        <w:footnoteRef/>
      </w:r>
      <w:r>
        <w:t xml:space="preserve"> </w:t>
      </w:r>
      <w:r w:rsidR="00137B29" w:rsidRPr="001E69E0">
        <w:t xml:space="preserve">We </w:t>
      </w:r>
      <w:r w:rsidR="00721CC5">
        <w:t xml:space="preserve">also </w:t>
      </w:r>
      <w:r w:rsidR="00137B29" w:rsidRPr="001E69E0">
        <w:t xml:space="preserve">disagree with the Bureau that KBOO “prove[d]” that “at no one time . . . have Board changes disrupted continuity of organizational operations because they occurred incrementally over time and in accordance with its bylaws.”  </w:t>
      </w:r>
      <w:r w:rsidR="00137B29" w:rsidRPr="001E69E0">
        <w:rPr>
          <w:i/>
        </w:rPr>
        <w:t>Letter Decision</w:t>
      </w:r>
      <w:r w:rsidR="00137B29" w:rsidRPr="001E69E0">
        <w:t xml:space="preserve"> at 4-5.  In demonstrating whether a</w:t>
      </w:r>
      <w:r w:rsidR="00137B29" w:rsidRPr="001E69E0">
        <w:rPr>
          <w:rStyle w:val="apple-converted-space"/>
        </w:rPr>
        <w:t> </w:t>
      </w:r>
      <w:r w:rsidR="00137B29" w:rsidRPr="001E69E0">
        <w:rPr>
          <w:rStyle w:val="cosearchterm"/>
          <w:bCs/>
        </w:rPr>
        <w:t>waiver</w:t>
      </w:r>
      <w:r w:rsidR="00137B29" w:rsidRPr="001E69E0">
        <w:rPr>
          <w:rStyle w:val="apple-converted-space"/>
        </w:rPr>
        <w:t> </w:t>
      </w:r>
      <w:r w:rsidR="00137B29" w:rsidRPr="001E69E0">
        <w:t xml:space="preserve">is warranted, the </w:t>
      </w:r>
      <w:r w:rsidR="00137B29" w:rsidRPr="001E69E0">
        <w:rPr>
          <w:rStyle w:val="cosearchterm"/>
          <w:bCs/>
        </w:rPr>
        <w:t>burden</w:t>
      </w:r>
      <w:r w:rsidR="00137B29" w:rsidRPr="001E69E0">
        <w:rPr>
          <w:rStyle w:val="apple-converted-space"/>
        </w:rPr>
        <w:t> </w:t>
      </w:r>
      <w:r w:rsidR="00137B29" w:rsidRPr="001E69E0">
        <w:t xml:space="preserve">of proof rests with the petitioner.  </w:t>
      </w:r>
      <w:r w:rsidR="00137B29" w:rsidRPr="001E69E0">
        <w:rPr>
          <w:i/>
        </w:rPr>
        <w:t>See</w:t>
      </w:r>
      <w:r w:rsidR="00137B29" w:rsidRPr="001E69E0">
        <w:t xml:space="preserve"> </w:t>
      </w:r>
      <w:r w:rsidR="00137B29" w:rsidRPr="001E69E0">
        <w:rPr>
          <w:rStyle w:val="Emphasis"/>
        </w:rPr>
        <w:t>Tucson Radio, Inc. v. FCC</w:t>
      </w:r>
      <w:r w:rsidR="00137B29" w:rsidRPr="001E69E0">
        <w:t xml:space="preserve">, 452 F.2d 1380, 1382 (D.C. Cir. 1971).  We need not reach the issue of whether </w:t>
      </w:r>
      <w:r w:rsidR="00721CC5">
        <w:t xml:space="preserve">the maintenance of </w:t>
      </w:r>
      <w:r w:rsidR="00137B29" w:rsidRPr="001E69E0">
        <w:t xml:space="preserve">“continuity” in organizational operations is relevant in assessing a </w:t>
      </w:r>
      <w:r w:rsidR="00721CC5">
        <w:t xml:space="preserve">request for </w:t>
      </w:r>
      <w:r w:rsidR="00137B29" w:rsidRPr="001E69E0">
        <w:t xml:space="preserve">waiver of Section 73.3573(a)(1) under the general waiver standard in Section 1.3 because, even if it </w:t>
      </w:r>
      <w:r w:rsidR="005B7F87">
        <w:t>were</w:t>
      </w:r>
      <w:r w:rsidR="00137B29" w:rsidRPr="001E69E0">
        <w:t>, we find no basis for the Bureau’s conclusion that KBOO “prove[d]” that there was no break in continuity</w:t>
      </w:r>
      <w:r w:rsidR="00721CC5">
        <w:t xml:space="preserve"> caused by the repeated changes in control of the KBOO Board after the filing of its Application</w:t>
      </w:r>
      <w:r w:rsidR="00137B29" w:rsidRPr="001E69E0">
        <w:t xml:space="preserve">.  As an initial matter, </w:t>
      </w:r>
      <w:r w:rsidR="00552688">
        <w:t xml:space="preserve">as noted above, </w:t>
      </w:r>
      <w:r w:rsidR="0007356B">
        <w:t>KBOO</w:t>
      </w:r>
      <w:r w:rsidR="00137B29" w:rsidRPr="001E69E0">
        <w:t xml:space="preserve"> did not attempt to make this showing in </w:t>
      </w:r>
      <w:r w:rsidR="00552688">
        <w:t>either</w:t>
      </w:r>
      <w:r w:rsidR="00137B29" w:rsidRPr="001E69E0">
        <w:t xml:space="preserve"> waiver request; rather, it attempted to make this showing only in response to a Petition to Deny.  </w:t>
      </w:r>
      <w:r w:rsidR="00137B29" w:rsidRPr="001E69E0">
        <w:rPr>
          <w:i/>
        </w:rPr>
        <w:t>See</w:t>
      </w:r>
      <w:r w:rsidR="00B632B9">
        <w:t xml:space="preserve"> </w:t>
      </w:r>
      <w:r w:rsidR="00137B29" w:rsidRPr="001E69E0">
        <w:t>Opposition to Petition</w:t>
      </w:r>
      <w:r w:rsidR="000C5B38">
        <w:t xml:space="preserve"> at 4-5</w:t>
      </w:r>
      <w:r w:rsidR="00137B29" w:rsidRPr="001E69E0">
        <w:t xml:space="preserve">.  While the Bureau relied on the fact that 50 percent of the KBOO </w:t>
      </w:r>
      <w:r w:rsidR="00D50F5B">
        <w:t>B</w:t>
      </w:r>
      <w:r w:rsidR="00137B29" w:rsidRPr="001E69E0">
        <w:t xml:space="preserve">oard was not replaced “at any one time,” 50 percent of the </w:t>
      </w:r>
      <w:r w:rsidR="00D50F5B">
        <w:t>B</w:t>
      </w:r>
      <w:r w:rsidR="00137B29" w:rsidRPr="001E69E0">
        <w:t>oard members changed within a short period of time (</w:t>
      </w:r>
      <w:r w:rsidR="009A2DDA">
        <w:t xml:space="preserve">less than </w:t>
      </w:r>
      <w:r w:rsidR="00137B29" w:rsidRPr="001E69E0">
        <w:t>one year), and there is no basis in the record to conclude that this change</w:t>
      </w:r>
      <w:r w:rsidR="00552688">
        <w:t>, or the second reported change for which waiver was similarly sought,</w:t>
      </w:r>
      <w:r w:rsidR="00311351">
        <w:t xml:space="preserve"> </w:t>
      </w:r>
      <w:r w:rsidR="00137B29" w:rsidRPr="001E69E0">
        <w:t>d</w:t>
      </w:r>
      <w:r w:rsidR="00137B29">
        <w:t xml:space="preserve">id </w:t>
      </w:r>
      <w:r w:rsidR="00137B29" w:rsidRPr="001E69E0">
        <w:t xml:space="preserve">not impact continuity in the organization.  While KBOO claimed that these changes were in accordance with its </w:t>
      </w:r>
      <w:r w:rsidR="000C5B38">
        <w:t>B</w:t>
      </w:r>
      <w:r w:rsidR="00137B29" w:rsidRPr="001E69E0">
        <w:t>ylaws, this fact standing alone does not prove that there ha</w:t>
      </w:r>
      <w:r w:rsidR="00D50F5B">
        <w:t>d</w:t>
      </w:r>
      <w:r w:rsidR="00137B29" w:rsidRPr="001E69E0">
        <w:t xml:space="preserve"> been no break in continuity.</w:t>
      </w:r>
    </w:p>
  </w:footnote>
  <w:footnote w:id="31">
    <w:p w14:paraId="6FDC701A" w14:textId="4E8312CE" w:rsidR="0008354D" w:rsidRPr="0008354D" w:rsidRDefault="0008354D">
      <w:pPr>
        <w:pStyle w:val="FootnoteText"/>
        <w:rPr>
          <w:b/>
        </w:rPr>
      </w:pPr>
      <w:r>
        <w:rPr>
          <w:rStyle w:val="FootnoteReference"/>
        </w:rPr>
        <w:footnoteRef/>
      </w:r>
      <w:r>
        <w:t xml:space="preserve"> Given our findings and decision to rescind the Bureau’s grant and dismiss the KBOO Application, we note that we need not reach CVEF’s argument that the filing of a transfer of control application </w:t>
      </w:r>
      <w:r w:rsidR="00D50F5B">
        <w:t>necessitated by</w:t>
      </w:r>
      <w:r>
        <w:t xml:space="preserve"> the </w:t>
      </w:r>
      <w:r w:rsidR="00D50F5B">
        <w:t>B</w:t>
      </w:r>
      <w:r>
        <w:t xml:space="preserve">oard turnover constitutes an admission by KBOO of an organizational “break in continuity.”  Reply to Opposition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C1BB" w14:textId="77777777" w:rsidR="006A48D0" w:rsidRDefault="006A4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5024" w14:textId="3D29943E" w:rsidR="001B29A0" w:rsidRDefault="001B29A0" w:rsidP="003A6739">
    <w:pPr>
      <w:pStyle w:val="Header"/>
      <w:rPr>
        <w:b w:val="0"/>
      </w:rPr>
    </w:pPr>
    <w:r>
      <w:tab/>
      <w:t>Federal Communications Commission</w:t>
    </w:r>
    <w:r>
      <w:tab/>
      <w:t xml:space="preserve">FCC </w:t>
    </w:r>
    <w:r w:rsidR="0058287E">
      <w:t>16-10</w:t>
    </w:r>
  </w:p>
  <w:p w14:paraId="3B425CC8" w14:textId="77777777" w:rsidR="001B29A0" w:rsidRDefault="001B29A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776" behindDoc="1" locked="0" layoutInCell="0" allowOverlap="1" wp14:anchorId="2A8200BB" wp14:editId="5862D48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95AF10" id="Rectangle 1" o:spid="_x0000_s1026"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FAF6" w14:textId="6A963FDA" w:rsidR="001B29A0" w:rsidRDefault="001B29A0"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2805400" wp14:editId="702361B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CC0F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w:t>
    </w:r>
    <w:r w:rsidR="008D53CB">
      <w:rPr>
        <w:spacing w:val="-2"/>
      </w:rPr>
      <w:t>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5C3143"/>
    <w:multiLevelType w:val="multilevel"/>
    <w:tmpl w:val="1090A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8818AC"/>
    <w:multiLevelType w:val="hybridMultilevel"/>
    <w:tmpl w:val="065AF70A"/>
    <w:lvl w:ilvl="0" w:tplc="BE16DC60">
      <w:start w:val="1"/>
      <w:numFmt w:val="decimal"/>
      <w:lvlText w:val="%1."/>
      <w:lvlJc w:val="left"/>
      <w:pPr>
        <w:tabs>
          <w:tab w:val="num" w:pos="360"/>
        </w:tabs>
        <w:ind w:left="-288" w:firstLine="648"/>
      </w:pPr>
      <w:rPr>
        <w:rFonts w:ascii="Times New Roman" w:hAnsi="Times New Roman" w:cs="Times New Roman" w:hint="default"/>
        <w:b w:val="0"/>
        <w:bCs/>
        <w:i w:val="0"/>
        <w:color w:val="auto"/>
        <w:sz w:val="22"/>
        <w:szCs w:val="22"/>
      </w:rPr>
    </w:lvl>
    <w:lvl w:ilvl="1" w:tplc="FFFFFFFF">
      <w:start w:val="1"/>
      <w:numFmt w:val="lowerLetter"/>
      <w:lvlText w:val="(%2)"/>
      <w:lvlJc w:val="left"/>
      <w:pPr>
        <w:tabs>
          <w:tab w:val="num" w:pos="3024"/>
        </w:tabs>
        <w:ind w:left="3024" w:hanging="360"/>
      </w:pPr>
      <w:rPr>
        <w:rFonts w:hint="default"/>
      </w:rPr>
    </w:lvl>
    <w:lvl w:ilvl="2" w:tplc="FFFFFFFF">
      <w:start w:val="1"/>
      <w:numFmt w:val="upperLetter"/>
      <w:lvlText w:val="%3."/>
      <w:lvlJc w:val="left"/>
      <w:pPr>
        <w:tabs>
          <w:tab w:val="num" w:pos="3924"/>
        </w:tabs>
        <w:ind w:left="3924" w:hanging="360"/>
      </w:pPr>
      <w:rPr>
        <w:rFonts w:hint="default"/>
        <w:sz w:val="22"/>
        <w:szCs w:val="22"/>
      </w:rPr>
    </w:lvl>
    <w:lvl w:ilvl="3" w:tplc="FFFFFFFF" w:tentative="1">
      <w:start w:val="1"/>
      <w:numFmt w:val="decimal"/>
      <w:lvlText w:val="%4."/>
      <w:lvlJc w:val="left"/>
      <w:pPr>
        <w:tabs>
          <w:tab w:val="num" w:pos="4464"/>
        </w:tabs>
        <w:ind w:left="4464" w:hanging="360"/>
      </w:pPr>
    </w:lvl>
    <w:lvl w:ilvl="4" w:tplc="FFFFFFFF" w:tentative="1">
      <w:start w:val="1"/>
      <w:numFmt w:val="lowerLetter"/>
      <w:lvlText w:val="%5."/>
      <w:lvlJc w:val="left"/>
      <w:pPr>
        <w:tabs>
          <w:tab w:val="num" w:pos="5184"/>
        </w:tabs>
        <w:ind w:left="5184" w:hanging="360"/>
      </w:pPr>
    </w:lvl>
    <w:lvl w:ilvl="5" w:tplc="FFFFFFFF" w:tentative="1">
      <w:start w:val="1"/>
      <w:numFmt w:val="lowerRoman"/>
      <w:lvlText w:val="%6."/>
      <w:lvlJc w:val="right"/>
      <w:pPr>
        <w:tabs>
          <w:tab w:val="num" w:pos="5904"/>
        </w:tabs>
        <w:ind w:left="5904" w:hanging="180"/>
      </w:pPr>
    </w:lvl>
    <w:lvl w:ilvl="6" w:tplc="FFFFFFFF" w:tentative="1">
      <w:start w:val="1"/>
      <w:numFmt w:val="decimal"/>
      <w:lvlText w:val="%7."/>
      <w:lvlJc w:val="left"/>
      <w:pPr>
        <w:tabs>
          <w:tab w:val="num" w:pos="6624"/>
        </w:tabs>
        <w:ind w:left="6624" w:hanging="360"/>
      </w:pPr>
    </w:lvl>
    <w:lvl w:ilvl="7" w:tplc="FFFFFFFF" w:tentative="1">
      <w:start w:val="1"/>
      <w:numFmt w:val="lowerLetter"/>
      <w:lvlText w:val="%8."/>
      <w:lvlJc w:val="left"/>
      <w:pPr>
        <w:tabs>
          <w:tab w:val="num" w:pos="7344"/>
        </w:tabs>
        <w:ind w:left="7344" w:hanging="360"/>
      </w:pPr>
    </w:lvl>
    <w:lvl w:ilvl="8" w:tplc="FFFFFFFF" w:tentative="1">
      <w:start w:val="1"/>
      <w:numFmt w:val="lowerRoman"/>
      <w:lvlText w:val="%9."/>
      <w:lvlJc w:val="right"/>
      <w:pPr>
        <w:tabs>
          <w:tab w:val="num" w:pos="8064"/>
        </w:tabs>
        <w:ind w:left="8064"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3D15"/>
    <w:rsid w:val="00003D70"/>
    <w:rsid w:val="00005D42"/>
    <w:rsid w:val="000071AA"/>
    <w:rsid w:val="00010B99"/>
    <w:rsid w:val="000176B3"/>
    <w:rsid w:val="0002007A"/>
    <w:rsid w:val="0002061F"/>
    <w:rsid w:val="000229A5"/>
    <w:rsid w:val="0002353F"/>
    <w:rsid w:val="00034355"/>
    <w:rsid w:val="00036039"/>
    <w:rsid w:val="000360DC"/>
    <w:rsid w:val="000376A4"/>
    <w:rsid w:val="00037F90"/>
    <w:rsid w:val="00040BAA"/>
    <w:rsid w:val="0004225C"/>
    <w:rsid w:val="0005016B"/>
    <w:rsid w:val="00051DED"/>
    <w:rsid w:val="00063314"/>
    <w:rsid w:val="000669E7"/>
    <w:rsid w:val="0007319F"/>
    <w:rsid w:val="0007356B"/>
    <w:rsid w:val="000763FE"/>
    <w:rsid w:val="0008101F"/>
    <w:rsid w:val="0008354D"/>
    <w:rsid w:val="000875BF"/>
    <w:rsid w:val="000914A6"/>
    <w:rsid w:val="00096D8C"/>
    <w:rsid w:val="000A2742"/>
    <w:rsid w:val="000A3474"/>
    <w:rsid w:val="000B6B8C"/>
    <w:rsid w:val="000C0B65"/>
    <w:rsid w:val="000C0BBD"/>
    <w:rsid w:val="000C42A2"/>
    <w:rsid w:val="000C5B38"/>
    <w:rsid w:val="000C7417"/>
    <w:rsid w:val="000C7FAC"/>
    <w:rsid w:val="000D3BB3"/>
    <w:rsid w:val="000D47D7"/>
    <w:rsid w:val="000D5554"/>
    <w:rsid w:val="000D72EB"/>
    <w:rsid w:val="000E05FE"/>
    <w:rsid w:val="000E1EA2"/>
    <w:rsid w:val="000E3D42"/>
    <w:rsid w:val="000E4B38"/>
    <w:rsid w:val="000E7BC4"/>
    <w:rsid w:val="00100255"/>
    <w:rsid w:val="00100F0A"/>
    <w:rsid w:val="00101237"/>
    <w:rsid w:val="00113500"/>
    <w:rsid w:val="00115F09"/>
    <w:rsid w:val="00122BD5"/>
    <w:rsid w:val="00124852"/>
    <w:rsid w:val="00124E0A"/>
    <w:rsid w:val="0012515B"/>
    <w:rsid w:val="00127AFA"/>
    <w:rsid w:val="001305F6"/>
    <w:rsid w:val="00130B9A"/>
    <w:rsid w:val="001317D5"/>
    <w:rsid w:val="00133F79"/>
    <w:rsid w:val="00136D39"/>
    <w:rsid w:val="00137531"/>
    <w:rsid w:val="00137B29"/>
    <w:rsid w:val="0014274A"/>
    <w:rsid w:val="00153859"/>
    <w:rsid w:val="00157F47"/>
    <w:rsid w:val="0016251F"/>
    <w:rsid w:val="00167910"/>
    <w:rsid w:val="00167CFA"/>
    <w:rsid w:val="001717FB"/>
    <w:rsid w:val="00176855"/>
    <w:rsid w:val="00176948"/>
    <w:rsid w:val="0018292B"/>
    <w:rsid w:val="00186DF3"/>
    <w:rsid w:val="0018704F"/>
    <w:rsid w:val="00194A66"/>
    <w:rsid w:val="001A175F"/>
    <w:rsid w:val="001A3EAB"/>
    <w:rsid w:val="001A616D"/>
    <w:rsid w:val="001A6C72"/>
    <w:rsid w:val="001B00F5"/>
    <w:rsid w:val="001B04EE"/>
    <w:rsid w:val="001B29A0"/>
    <w:rsid w:val="001B3050"/>
    <w:rsid w:val="001B3710"/>
    <w:rsid w:val="001B5AF6"/>
    <w:rsid w:val="001B6D97"/>
    <w:rsid w:val="001C3A52"/>
    <w:rsid w:val="001C526C"/>
    <w:rsid w:val="001D2699"/>
    <w:rsid w:val="001D6BCF"/>
    <w:rsid w:val="001E01CA"/>
    <w:rsid w:val="001E2AF3"/>
    <w:rsid w:val="001E5746"/>
    <w:rsid w:val="001E705C"/>
    <w:rsid w:val="001E743E"/>
    <w:rsid w:val="001E7922"/>
    <w:rsid w:val="0020172C"/>
    <w:rsid w:val="00207D61"/>
    <w:rsid w:val="002100ED"/>
    <w:rsid w:val="00211054"/>
    <w:rsid w:val="002118BE"/>
    <w:rsid w:val="00211AB9"/>
    <w:rsid w:val="00213B95"/>
    <w:rsid w:val="00213FEA"/>
    <w:rsid w:val="002208C4"/>
    <w:rsid w:val="00221C5F"/>
    <w:rsid w:val="00223FED"/>
    <w:rsid w:val="002245AA"/>
    <w:rsid w:val="00225313"/>
    <w:rsid w:val="00230E59"/>
    <w:rsid w:val="0023239B"/>
    <w:rsid w:val="00235835"/>
    <w:rsid w:val="00237E31"/>
    <w:rsid w:val="00240693"/>
    <w:rsid w:val="00241175"/>
    <w:rsid w:val="00242B44"/>
    <w:rsid w:val="002451F5"/>
    <w:rsid w:val="00246B1F"/>
    <w:rsid w:val="002558AE"/>
    <w:rsid w:val="002622F5"/>
    <w:rsid w:val="00266ADA"/>
    <w:rsid w:val="002750EE"/>
    <w:rsid w:val="00275CF5"/>
    <w:rsid w:val="0027620B"/>
    <w:rsid w:val="002822DD"/>
    <w:rsid w:val="0028301F"/>
    <w:rsid w:val="00284FAF"/>
    <w:rsid w:val="00285017"/>
    <w:rsid w:val="00285676"/>
    <w:rsid w:val="0029033E"/>
    <w:rsid w:val="002936F0"/>
    <w:rsid w:val="00297909"/>
    <w:rsid w:val="002A2D2E"/>
    <w:rsid w:val="002A3F46"/>
    <w:rsid w:val="002B0335"/>
    <w:rsid w:val="002B0F0D"/>
    <w:rsid w:val="002B16F6"/>
    <w:rsid w:val="002B6EE2"/>
    <w:rsid w:val="002B7CEC"/>
    <w:rsid w:val="002C00E8"/>
    <w:rsid w:val="002C602A"/>
    <w:rsid w:val="002C688A"/>
    <w:rsid w:val="002E2206"/>
    <w:rsid w:val="002E5E90"/>
    <w:rsid w:val="002F3C9D"/>
    <w:rsid w:val="002F41D9"/>
    <w:rsid w:val="003060DF"/>
    <w:rsid w:val="00311351"/>
    <w:rsid w:val="0032096F"/>
    <w:rsid w:val="00326D14"/>
    <w:rsid w:val="00330981"/>
    <w:rsid w:val="00331BE3"/>
    <w:rsid w:val="003356D6"/>
    <w:rsid w:val="003363F9"/>
    <w:rsid w:val="00337181"/>
    <w:rsid w:val="00343749"/>
    <w:rsid w:val="00352554"/>
    <w:rsid w:val="00353562"/>
    <w:rsid w:val="003554B3"/>
    <w:rsid w:val="00355967"/>
    <w:rsid w:val="003564F5"/>
    <w:rsid w:val="00357B8C"/>
    <w:rsid w:val="00357BFB"/>
    <w:rsid w:val="003642E4"/>
    <w:rsid w:val="003660ED"/>
    <w:rsid w:val="003703AC"/>
    <w:rsid w:val="00375DAA"/>
    <w:rsid w:val="003932F8"/>
    <w:rsid w:val="003A051B"/>
    <w:rsid w:val="003A0CA6"/>
    <w:rsid w:val="003A2A50"/>
    <w:rsid w:val="003A4030"/>
    <w:rsid w:val="003A663A"/>
    <w:rsid w:val="003A6739"/>
    <w:rsid w:val="003B0550"/>
    <w:rsid w:val="003B25A2"/>
    <w:rsid w:val="003B48CA"/>
    <w:rsid w:val="003B5C49"/>
    <w:rsid w:val="003B688B"/>
    <w:rsid w:val="003B694F"/>
    <w:rsid w:val="003B7C6C"/>
    <w:rsid w:val="003C39A7"/>
    <w:rsid w:val="003C63CE"/>
    <w:rsid w:val="003C7055"/>
    <w:rsid w:val="003D4189"/>
    <w:rsid w:val="003D4402"/>
    <w:rsid w:val="003D5A66"/>
    <w:rsid w:val="003E1101"/>
    <w:rsid w:val="003E11E6"/>
    <w:rsid w:val="003E73D8"/>
    <w:rsid w:val="003E789C"/>
    <w:rsid w:val="003E7E3A"/>
    <w:rsid w:val="003F0913"/>
    <w:rsid w:val="003F171C"/>
    <w:rsid w:val="0040125B"/>
    <w:rsid w:val="00404E61"/>
    <w:rsid w:val="00405BE1"/>
    <w:rsid w:val="00410C9C"/>
    <w:rsid w:val="00412FC5"/>
    <w:rsid w:val="004134D2"/>
    <w:rsid w:val="00415F1C"/>
    <w:rsid w:val="00422276"/>
    <w:rsid w:val="0042277E"/>
    <w:rsid w:val="004242F1"/>
    <w:rsid w:val="004248D2"/>
    <w:rsid w:val="00425D79"/>
    <w:rsid w:val="004276C1"/>
    <w:rsid w:val="004321D9"/>
    <w:rsid w:val="00433408"/>
    <w:rsid w:val="0043463F"/>
    <w:rsid w:val="00444FD4"/>
    <w:rsid w:val="00445A00"/>
    <w:rsid w:val="00447720"/>
    <w:rsid w:val="00451266"/>
    <w:rsid w:val="00451582"/>
    <w:rsid w:val="00451B0F"/>
    <w:rsid w:val="00473408"/>
    <w:rsid w:val="004771F7"/>
    <w:rsid w:val="00480BD1"/>
    <w:rsid w:val="00483BF4"/>
    <w:rsid w:val="004858CF"/>
    <w:rsid w:val="00490206"/>
    <w:rsid w:val="00492485"/>
    <w:rsid w:val="00493DB1"/>
    <w:rsid w:val="0049538A"/>
    <w:rsid w:val="004A02C7"/>
    <w:rsid w:val="004A03FD"/>
    <w:rsid w:val="004A3AE2"/>
    <w:rsid w:val="004A45EC"/>
    <w:rsid w:val="004A4AE9"/>
    <w:rsid w:val="004B02F5"/>
    <w:rsid w:val="004B218C"/>
    <w:rsid w:val="004B6AD4"/>
    <w:rsid w:val="004C16DB"/>
    <w:rsid w:val="004C2EE3"/>
    <w:rsid w:val="004C486A"/>
    <w:rsid w:val="004D0468"/>
    <w:rsid w:val="004D6BD3"/>
    <w:rsid w:val="004E2A48"/>
    <w:rsid w:val="004E4A22"/>
    <w:rsid w:val="004E7FBF"/>
    <w:rsid w:val="004F5308"/>
    <w:rsid w:val="004F7851"/>
    <w:rsid w:val="005019DC"/>
    <w:rsid w:val="00501A00"/>
    <w:rsid w:val="00506053"/>
    <w:rsid w:val="005064B3"/>
    <w:rsid w:val="00506D96"/>
    <w:rsid w:val="0050714F"/>
    <w:rsid w:val="00510DD3"/>
    <w:rsid w:val="00511968"/>
    <w:rsid w:val="0051304A"/>
    <w:rsid w:val="00517BCB"/>
    <w:rsid w:val="005259FA"/>
    <w:rsid w:val="005305E9"/>
    <w:rsid w:val="005362FB"/>
    <w:rsid w:val="00536318"/>
    <w:rsid w:val="00537C07"/>
    <w:rsid w:val="00547E12"/>
    <w:rsid w:val="005510B2"/>
    <w:rsid w:val="00552688"/>
    <w:rsid w:val="0055399B"/>
    <w:rsid w:val="0055417A"/>
    <w:rsid w:val="005546AE"/>
    <w:rsid w:val="0055614C"/>
    <w:rsid w:val="00562420"/>
    <w:rsid w:val="00566DFA"/>
    <w:rsid w:val="0056785F"/>
    <w:rsid w:val="00567966"/>
    <w:rsid w:val="00573D8B"/>
    <w:rsid w:val="00581F64"/>
    <w:rsid w:val="00582859"/>
    <w:rsid w:val="0058287E"/>
    <w:rsid w:val="00584D2A"/>
    <w:rsid w:val="005854DC"/>
    <w:rsid w:val="00585675"/>
    <w:rsid w:val="00586C8D"/>
    <w:rsid w:val="00586E7E"/>
    <w:rsid w:val="005A634E"/>
    <w:rsid w:val="005A6C31"/>
    <w:rsid w:val="005B2546"/>
    <w:rsid w:val="005B4C30"/>
    <w:rsid w:val="005B64B4"/>
    <w:rsid w:val="005B716D"/>
    <w:rsid w:val="005B7EEF"/>
    <w:rsid w:val="005B7F87"/>
    <w:rsid w:val="005C00FB"/>
    <w:rsid w:val="005C40CE"/>
    <w:rsid w:val="005D449B"/>
    <w:rsid w:val="005D50AC"/>
    <w:rsid w:val="005D6D28"/>
    <w:rsid w:val="005E0F5C"/>
    <w:rsid w:val="005E14C2"/>
    <w:rsid w:val="005E3047"/>
    <w:rsid w:val="005E3A83"/>
    <w:rsid w:val="005E3B0B"/>
    <w:rsid w:val="006024FD"/>
    <w:rsid w:val="0060415C"/>
    <w:rsid w:val="00607BA5"/>
    <w:rsid w:val="00610005"/>
    <w:rsid w:val="0061180A"/>
    <w:rsid w:val="00615695"/>
    <w:rsid w:val="0061688D"/>
    <w:rsid w:val="00620402"/>
    <w:rsid w:val="00622AB4"/>
    <w:rsid w:val="00625A92"/>
    <w:rsid w:val="00626EB6"/>
    <w:rsid w:val="00626F3F"/>
    <w:rsid w:val="00627573"/>
    <w:rsid w:val="00627DF8"/>
    <w:rsid w:val="00634D44"/>
    <w:rsid w:val="00644A44"/>
    <w:rsid w:val="00645FF9"/>
    <w:rsid w:val="006512F6"/>
    <w:rsid w:val="00655D03"/>
    <w:rsid w:val="006601C9"/>
    <w:rsid w:val="00663940"/>
    <w:rsid w:val="00663969"/>
    <w:rsid w:val="00670066"/>
    <w:rsid w:val="00670E39"/>
    <w:rsid w:val="00672BB1"/>
    <w:rsid w:val="00672D58"/>
    <w:rsid w:val="00677505"/>
    <w:rsid w:val="00683388"/>
    <w:rsid w:val="00683967"/>
    <w:rsid w:val="00683F84"/>
    <w:rsid w:val="0068655B"/>
    <w:rsid w:val="0069050A"/>
    <w:rsid w:val="00693114"/>
    <w:rsid w:val="006A178A"/>
    <w:rsid w:val="006A28AD"/>
    <w:rsid w:val="006A48D0"/>
    <w:rsid w:val="006A6A81"/>
    <w:rsid w:val="006B0423"/>
    <w:rsid w:val="006B2444"/>
    <w:rsid w:val="006C302A"/>
    <w:rsid w:val="006C3D83"/>
    <w:rsid w:val="006C3E1E"/>
    <w:rsid w:val="006C6EC7"/>
    <w:rsid w:val="006D1D7A"/>
    <w:rsid w:val="006D583D"/>
    <w:rsid w:val="006D58FB"/>
    <w:rsid w:val="006F1881"/>
    <w:rsid w:val="006F243D"/>
    <w:rsid w:val="006F55D0"/>
    <w:rsid w:val="006F6523"/>
    <w:rsid w:val="006F7393"/>
    <w:rsid w:val="006F7AA0"/>
    <w:rsid w:val="0070028E"/>
    <w:rsid w:val="00700D6C"/>
    <w:rsid w:val="0070224F"/>
    <w:rsid w:val="007026EA"/>
    <w:rsid w:val="00703C8F"/>
    <w:rsid w:val="00704646"/>
    <w:rsid w:val="00705C35"/>
    <w:rsid w:val="00706470"/>
    <w:rsid w:val="00706DFB"/>
    <w:rsid w:val="007115F7"/>
    <w:rsid w:val="00711B54"/>
    <w:rsid w:val="007123F9"/>
    <w:rsid w:val="00715997"/>
    <w:rsid w:val="00721CC5"/>
    <w:rsid w:val="0072446F"/>
    <w:rsid w:val="0072644D"/>
    <w:rsid w:val="007310A6"/>
    <w:rsid w:val="00731158"/>
    <w:rsid w:val="0073222E"/>
    <w:rsid w:val="00734277"/>
    <w:rsid w:val="00736968"/>
    <w:rsid w:val="00741062"/>
    <w:rsid w:val="00743853"/>
    <w:rsid w:val="00745F18"/>
    <w:rsid w:val="00746F5C"/>
    <w:rsid w:val="00750092"/>
    <w:rsid w:val="00754FEB"/>
    <w:rsid w:val="00761E42"/>
    <w:rsid w:val="00762FAF"/>
    <w:rsid w:val="00763363"/>
    <w:rsid w:val="007708C9"/>
    <w:rsid w:val="0078318C"/>
    <w:rsid w:val="00785689"/>
    <w:rsid w:val="0079110A"/>
    <w:rsid w:val="00791B06"/>
    <w:rsid w:val="0079754B"/>
    <w:rsid w:val="007A03AC"/>
    <w:rsid w:val="007A03C9"/>
    <w:rsid w:val="007A0963"/>
    <w:rsid w:val="007A1E6D"/>
    <w:rsid w:val="007B0EB2"/>
    <w:rsid w:val="007B4428"/>
    <w:rsid w:val="007B6C3F"/>
    <w:rsid w:val="007C6BD4"/>
    <w:rsid w:val="007D0436"/>
    <w:rsid w:val="007D3865"/>
    <w:rsid w:val="007D7D89"/>
    <w:rsid w:val="007E174F"/>
    <w:rsid w:val="007E2B0C"/>
    <w:rsid w:val="007F2801"/>
    <w:rsid w:val="008024CC"/>
    <w:rsid w:val="00802888"/>
    <w:rsid w:val="00810B6F"/>
    <w:rsid w:val="00812398"/>
    <w:rsid w:val="00814467"/>
    <w:rsid w:val="00822CE0"/>
    <w:rsid w:val="00824BD6"/>
    <w:rsid w:val="0082679E"/>
    <w:rsid w:val="008316DA"/>
    <w:rsid w:val="0083176B"/>
    <w:rsid w:val="0083233D"/>
    <w:rsid w:val="00833482"/>
    <w:rsid w:val="00833F09"/>
    <w:rsid w:val="00834A63"/>
    <w:rsid w:val="00841AB1"/>
    <w:rsid w:val="00843177"/>
    <w:rsid w:val="008502B9"/>
    <w:rsid w:val="0085076B"/>
    <w:rsid w:val="00853D5F"/>
    <w:rsid w:val="00862011"/>
    <w:rsid w:val="00863728"/>
    <w:rsid w:val="00865E21"/>
    <w:rsid w:val="00872C8A"/>
    <w:rsid w:val="008755C5"/>
    <w:rsid w:val="00876999"/>
    <w:rsid w:val="00883536"/>
    <w:rsid w:val="00887095"/>
    <w:rsid w:val="00890EE2"/>
    <w:rsid w:val="008977F1"/>
    <w:rsid w:val="00897EC1"/>
    <w:rsid w:val="008A1058"/>
    <w:rsid w:val="008A23A4"/>
    <w:rsid w:val="008A6457"/>
    <w:rsid w:val="008B13AD"/>
    <w:rsid w:val="008B16D8"/>
    <w:rsid w:val="008C087A"/>
    <w:rsid w:val="008C3A7C"/>
    <w:rsid w:val="008C4422"/>
    <w:rsid w:val="008C68F1"/>
    <w:rsid w:val="008C79A4"/>
    <w:rsid w:val="008D0716"/>
    <w:rsid w:val="008D17BC"/>
    <w:rsid w:val="008D53CB"/>
    <w:rsid w:val="008D76C0"/>
    <w:rsid w:val="008D7E28"/>
    <w:rsid w:val="008E3CD6"/>
    <w:rsid w:val="008E5935"/>
    <w:rsid w:val="008F3C58"/>
    <w:rsid w:val="0090347D"/>
    <w:rsid w:val="00911FBA"/>
    <w:rsid w:val="00914E25"/>
    <w:rsid w:val="00920ED1"/>
    <w:rsid w:val="00921803"/>
    <w:rsid w:val="00926503"/>
    <w:rsid w:val="0093281C"/>
    <w:rsid w:val="009441EE"/>
    <w:rsid w:val="0095348C"/>
    <w:rsid w:val="00953D8F"/>
    <w:rsid w:val="00957FE7"/>
    <w:rsid w:val="009654EF"/>
    <w:rsid w:val="009664FD"/>
    <w:rsid w:val="009717A0"/>
    <w:rsid w:val="009726D8"/>
    <w:rsid w:val="00972714"/>
    <w:rsid w:val="009772FD"/>
    <w:rsid w:val="009814E5"/>
    <w:rsid w:val="00983EE3"/>
    <w:rsid w:val="009845E0"/>
    <w:rsid w:val="00984C30"/>
    <w:rsid w:val="009879FF"/>
    <w:rsid w:val="0099083D"/>
    <w:rsid w:val="009940C7"/>
    <w:rsid w:val="009976E4"/>
    <w:rsid w:val="009A2DDA"/>
    <w:rsid w:val="009A3D79"/>
    <w:rsid w:val="009A5C69"/>
    <w:rsid w:val="009B41BC"/>
    <w:rsid w:val="009B44A6"/>
    <w:rsid w:val="009C1113"/>
    <w:rsid w:val="009C2B15"/>
    <w:rsid w:val="009C2C7E"/>
    <w:rsid w:val="009C3485"/>
    <w:rsid w:val="009D12D7"/>
    <w:rsid w:val="009D1723"/>
    <w:rsid w:val="009D2228"/>
    <w:rsid w:val="009D39BB"/>
    <w:rsid w:val="009D5EEA"/>
    <w:rsid w:val="009E1FAB"/>
    <w:rsid w:val="009E28EE"/>
    <w:rsid w:val="009E663B"/>
    <w:rsid w:val="009E6A28"/>
    <w:rsid w:val="009E7EE1"/>
    <w:rsid w:val="009F198A"/>
    <w:rsid w:val="009F2603"/>
    <w:rsid w:val="009F628F"/>
    <w:rsid w:val="009F76DB"/>
    <w:rsid w:val="00A01D30"/>
    <w:rsid w:val="00A06906"/>
    <w:rsid w:val="00A23E9A"/>
    <w:rsid w:val="00A24220"/>
    <w:rsid w:val="00A27EE5"/>
    <w:rsid w:val="00A32C3B"/>
    <w:rsid w:val="00A3477F"/>
    <w:rsid w:val="00A348EE"/>
    <w:rsid w:val="00A34C06"/>
    <w:rsid w:val="00A355D8"/>
    <w:rsid w:val="00A36B9C"/>
    <w:rsid w:val="00A4020E"/>
    <w:rsid w:val="00A45F4F"/>
    <w:rsid w:val="00A50776"/>
    <w:rsid w:val="00A528FC"/>
    <w:rsid w:val="00A52FA6"/>
    <w:rsid w:val="00A600A9"/>
    <w:rsid w:val="00A60485"/>
    <w:rsid w:val="00A621E1"/>
    <w:rsid w:val="00A6744F"/>
    <w:rsid w:val="00A729A8"/>
    <w:rsid w:val="00A76029"/>
    <w:rsid w:val="00A77172"/>
    <w:rsid w:val="00A81F00"/>
    <w:rsid w:val="00A9218A"/>
    <w:rsid w:val="00A96BA8"/>
    <w:rsid w:val="00AA1AE8"/>
    <w:rsid w:val="00AA55B7"/>
    <w:rsid w:val="00AA5B9E"/>
    <w:rsid w:val="00AA60C9"/>
    <w:rsid w:val="00AB19C9"/>
    <w:rsid w:val="00AB2407"/>
    <w:rsid w:val="00AB442A"/>
    <w:rsid w:val="00AB4510"/>
    <w:rsid w:val="00AB484A"/>
    <w:rsid w:val="00AB53DF"/>
    <w:rsid w:val="00AC04AC"/>
    <w:rsid w:val="00AC0B68"/>
    <w:rsid w:val="00AC0FC1"/>
    <w:rsid w:val="00AD705C"/>
    <w:rsid w:val="00AE119B"/>
    <w:rsid w:val="00AE21AA"/>
    <w:rsid w:val="00AE2988"/>
    <w:rsid w:val="00AF0D59"/>
    <w:rsid w:val="00AF4E50"/>
    <w:rsid w:val="00AF681F"/>
    <w:rsid w:val="00AF7D4A"/>
    <w:rsid w:val="00B00BCE"/>
    <w:rsid w:val="00B01374"/>
    <w:rsid w:val="00B029EA"/>
    <w:rsid w:val="00B04020"/>
    <w:rsid w:val="00B0630F"/>
    <w:rsid w:val="00B07E5C"/>
    <w:rsid w:val="00B153B4"/>
    <w:rsid w:val="00B20214"/>
    <w:rsid w:val="00B208F8"/>
    <w:rsid w:val="00B20A85"/>
    <w:rsid w:val="00B2110C"/>
    <w:rsid w:val="00B21B8B"/>
    <w:rsid w:val="00B22A8B"/>
    <w:rsid w:val="00B23529"/>
    <w:rsid w:val="00B24BEA"/>
    <w:rsid w:val="00B300E6"/>
    <w:rsid w:val="00B3309B"/>
    <w:rsid w:val="00B33E59"/>
    <w:rsid w:val="00B36264"/>
    <w:rsid w:val="00B36467"/>
    <w:rsid w:val="00B378FD"/>
    <w:rsid w:val="00B40460"/>
    <w:rsid w:val="00B40DA9"/>
    <w:rsid w:val="00B4322D"/>
    <w:rsid w:val="00B453CF"/>
    <w:rsid w:val="00B45879"/>
    <w:rsid w:val="00B45A74"/>
    <w:rsid w:val="00B5062E"/>
    <w:rsid w:val="00B50B7C"/>
    <w:rsid w:val="00B51CBF"/>
    <w:rsid w:val="00B53AF9"/>
    <w:rsid w:val="00B60C96"/>
    <w:rsid w:val="00B612BF"/>
    <w:rsid w:val="00B632B9"/>
    <w:rsid w:val="00B67108"/>
    <w:rsid w:val="00B80EE8"/>
    <w:rsid w:val="00B811F7"/>
    <w:rsid w:val="00B83EFE"/>
    <w:rsid w:val="00B85EA4"/>
    <w:rsid w:val="00B861E5"/>
    <w:rsid w:val="00B87CF2"/>
    <w:rsid w:val="00B9438E"/>
    <w:rsid w:val="00B94DDB"/>
    <w:rsid w:val="00B96BD6"/>
    <w:rsid w:val="00BA37E3"/>
    <w:rsid w:val="00BA4D0A"/>
    <w:rsid w:val="00BA524B"/>
    <w:rsid w:val="00BA5645"/>
    <w:rsid w:val="00BA5DC6"/>
    <w:rsid w:val="00BA6196"/>
    <w:rsid w:val="00BB4D83"/>
    <w:rsid w:val="00BC491C"/>
    <w:rsid w:val="00BC6D8C"/>
    <w:rsid w:val="00BC7750"/>
    <w:rsid w:val="00BD1595"/>
    <w:rsid w:val="00BD1658"/>
    <w:rsid w:val="00BF0074"/>
    <w:rsid w:val="00BF30B4"/>
    <w:rsid w:val="00BF473B"/>
    <w:rsid w:val="00BF47A8"/>
    <w:rsid w:val="00BF5679"/>
    <w:rsid w:val="00C00AC9"/>
    <w:rsid w:val="00C04467"/>
    <w:rsid w:val="00C05397"/>
    <w:rsid w:val="00C11F9E"/>
    <w:rsid w:val="00C1239E"/>
    <w:rsid w:val="00C12BC1"/>
    <w:rsid w:val="00C1370E"/>
    <w:rsid w:val="00C14A6D"/>
    <w:rsid w:val="00C15430"/>
    <w:rsid w:val="00C16F29"/>
    <w:rsid w:val="00C21B07"/>
    <w:rsid w:val="00C23C3A"/>
    <w:rsid w:val="00C23C64"/>
    <w:rsid w:val="00C2535F"/>
    <w:rsid w:val="00C31796"/>
    <w:rsid w:val="00C34006"/>
    <w:rsid w:val="00C349F8"/>
    <w:rsid w:val="00C35915"/>
    <w:rsid w:val="00C421C6"/>
    <w:rsid w:val="00C426B1"/>
    <w:rsid w:val="00C45E47"/>
    <w:rsid w:val="00C46D1C"/>
    <w:rsid w:val="00C47CF4"/>
    <w:rsid w:val="00C52895"/>
    <w:rsid w:val="00C57081"/>
    <w:rsid w:val="00C60D80"/>
    <w:rsid w:val="00C612C4"/>
    <w:rsid w:val="00C6574F"/>
    <w:rsid w:val="00C66160"/>
    <w:rsid w:val="00C6695C"/>
    <w:rsid w:val="00C67C59"/>
    <w:rsid w:val="00C71167"/>
    <w:rsid w:val="00C71FCF"/>
    <w:rsid w:val="00C721AC"/>
    <w:rsid w:val="00C831C2"/>
    <w:rsid w:val="00C86679"/>
    <w:rsid w:val="00C86938"/>
    <w:rsid w:val="00C90D6A"/>
    <w:rsid w:val="00C94045"/>
    <w:rsid w:val="00C95291"/>
    <w:rsid w:val="00CA247E"/>
    <w:rsid w:val="00CA6E81"/>
    <w:rsid w:val="00CA76DF"/>
    <w:rsid w:val="00CA7C5B"/>
    <w:rsid w:val="00CB694C"/>
    <w:rsid w:val="00CC2B72"/>
    <w:rsid w:val="00CC57E5"/>
    <w:rsid w:val="00CC72B6"/>
    <w:rsid w:val="00CC72EF"/>
    <w:rsid w:val="00CD14B6"/>
    <w:rsid w:val="00CD59BF"/>
    <w:rsid w:val="00CE1B2D"/>
    <w:rsid w:val="00CE3371"/>
    <w:rsid w:val="00CE439C"/>
    <w:rsid w:val="00CE5B4C"/>
    <w:rsid w:val="00CE60BD"/>
    <w:rsid w:val="00CE7C0F"/>
    <w:rsid w:val="00CF07E2"/>
    <w:rsid w:val="00CF5687"/>
    <w:rsid w:val="00CF6FF7"/>
    <w:rsid w:val="00D009B4"/>
    <w:rsid w:val="00D01AF3"/>
    <w:rsid w:val="00D0218D"/>
    <w:rsid w:val="00D03F18"/>
    <w:rsid w:val="00D16948"/>
    <w:rsid w:val="00D218E5"/>
    <w:rsid w:val="00D25FB5"/>
    <w:rsid w:val="00D3312A"/>
    <w:rsid w:val="00D35DA0"/>
    <w:rsid w:val="00D37826"/>
    <w:rsid w:val="00D44223"/>
    <w:rsid w:val="00D46E38"/>
    <w:rsid w:val="00D50F5B"/>
    <w:rsid w:val="00D57D0E"/>
    <w:rsid w:val="00D66A9B"/>
    <w:rsid w:val="00D66E55"/>
    <w:rsid w:val="00D83921"/>
    <w:rsid w:val="00D83F51"/>
    <w:rsid w:val="00D84582"/>
    <w:rsid w:val="00D86AD0"/>
    <w:rsid w:val="00D903D8"/>
    <w:rsid w:val="00DA2028"/>
    <w:rsid w:val="00DA2529"/>
    <w:rsid w:val="00DA3072"/>
    <w:rsid w:val="00DA6929"/>
    <w:rsid w:val="00DB130A"/>
    <w:rsid w:val="00DB2EBB"/>
    <w:rsid w:val="00DB4718"/>
    <w:rsid w:val="00DC10A1"/>
    <w:rsid w:val="00DC139F"/>
    <w:rsid w:val="00DC19B2"/>
    <w:rsid w:val="00DC344C"/>
    <w:rsid w:val="00DC4420"/>
    <w:rsid w:val="00DC655F"/>
    <w:rsid w:val="00DC6D39"/>
    <w:rsid w:val="00DD00C3"/>
    <w:rsid w:val="00DD0B59"/>
    <w:rsid w:val="00DD7EBD"/>
    <w:rsid w:val="00DE0FA9"/>
    <w:rsid w:val="00DF62B6"/>
    <w:rsid w:val="00E032BD"/>
    <w:rsid w:val="00E06AA3"/>
    <w:rsid w:val="00E07225"/>
    <w:rsid w:val="00E10DBD"/>
    <w:rsid w:val="00E11E9D"/>
    <w:rsid w:val="00E159D1"/>
    <w:rsid w:val="00E23D60"/>
    <w:rsid w:val="00E276AF"/>
    <w:rsid w:val="00E31A78"/>
    <w:rsid w:val="00E3723D"/>
    <w:rsid w:val="00E376FE"/>
    <w:rsid w:val="00E41632"/>
    <w:rsid w:val="00E436EB"/>
    <w:rsid w:val="00E45A2D"/>
    <w:rsid w:val="00E465BA"/>
    <w:rsid w:val="00E50DA7"/>
    <w:rsid w:val="00E5409F"/>
    <w:rsid w:val="00E56D39"/>
    <w:rsid w:val="00E57654"/>
    <w:rsid w:val="00E67C92"/>
    <w:rsid w:val="00E714C0"/>
    <w:rsid w:val="00E71EB7"/>
    <w:rsid w:val="00E72A29"/>
    <w:rsid w:val="00E72A8A"/>
    <w:rsid w:val="00E73B7E"/>
    <w:rsid w:val="00E827C5"/>
    <w:rsid w:val="00E83BCE"/>
    <w:rsid w:val="00E84D10"/>
    <w:rsid w:val="00E85849"/>
    <w:rsid w:val="00E87C0A"/>
    <w:rsid w:val="00E92C50"/>
    <w:rsid w:val="00E93F2B"/>
    <w:rsid w:val="00E9601C"/>
    <w:rsid w:val="00E97735"/>
    <w:rsid w:val="00EA45C6"/>
    <w:rsid w:val="00EA4B7B"/>
    <w:rsid w:val="00EA5A4A"/>
    <w:rsid w:val="00EB40B6"/>
    <w:rsid w:val="00EB7D71"/>
    <w:rsid w:val="00EC120B"/>
    <w:rsid w:val="00EC3D52"/>
    <w:rsid w:val="00EC4993"/>
    <w:rsid w:val="00ED08A7"/>
    <w:rsid w:val="00ED46EB"/>
    <w:rsid w:val="00ED4D3D"/>
    <w:rsid w:val="00ED5BDC"/>
    <w:rsid w:val="00EE0A3C"/>
    <w:rsid w:val="00EE1A01"/>
    <w:rsid w:val="00EE6488"/>
    <w:rsid w:val="00EF3C4A"/>
    <w:rsid w:val="00EF5350"/>
    <w:rsid w:val="00F000BD"/>
    <w:rsid w:val="00F000C0"/>
    <w:rsid w:val="00F01915"/>
    <w:rsid w:val="00F021FA"/>
    <w:rsid w:val="00F027A2"/>
    <w:rsid w:val="00F02EC3"/>
    <w:rsid w:val="00F03610"/>
    <w:rsid w:val="00F136BC"/>
    <w:rsid w:val="00F22506"/>
    <w:rsid w:val="00F23425"/>
    <w:rsid w:val="00F263D3"/>
    <w:rsid w:val="00F27EF3"/>
    <w:rsid w:val="00F3015B"/>
    <w:rsid w:val="00F32453"/>
    <w:rsid w:val="00F3748A"/>
    <w:rsid w:val="00F37970"/>
    <w:rsid w:val="00F44C54"/>
    <w:rsid w:val="00F47A8D"/>
    <w:rsid w:val="00F55DDB"/>
    <w:rsid w:val="00F62875"/>
    <w:rsid w:val="00F62E97"/>
    <w:rsid w:val="00F64073"/>
    <w:rsid w:val="00F64209"/>
    <w:rsid w:val="00F73FD8"/>
    <w:rsid w:val="00F74975"/>
    <w:rsid w:val="00F75A2D"/>
    <w:rsid w:val="00F82D91"/>
    <w:rsid w:val="00F8609C"/>
    <w:rsid w:val="00F91086"/>
    <w:rsid w:val="00F93BF5"/>
    <w:rsid w:val="00F964FB"/>
    <w:rsid w:val="00F97D52"/>
    <w:rsid w:val="00FA05E4"/>
    <w:rsid w:val="00FA2E43"/>
    <w:rsid w:val="00FA4006"/>
    <w:rsid w:val="00FA61AF"/>
    <w:rsid w:val="00FA68F6"/>
    <w:rsid w:val="00FA7C44"/>
    <w:rsid w:val="00FB55C0"/>
    <w:rsid w:val="00FD2107"/>
    <w:rsid w:val="00FE418B"/>
    <w:rsid w:val="00FE4654"/>
    <w:rsid w:val="00FE63EF"/>
    <w:rsid w:val="00FE666C"/>
    <w:rsid w:val="00FE7975"/>
    <w:rsid w:val="00FF4C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2F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2A"/>
    <w:pPr>
      <w:widowControl w:val="0"/>
    </w:pPr>
    <w:rPr>
      <w:snapToGrid w:val="0"/>
      <w:kern w:val="28"/>
      <w:sz w:val="22"/>
    </w:rPr>
  </w:style>
  <w:style w:type="paragraph" w:styleId="Heading1">
    <w:name w:val="heading 1"/>
    <w:basedOn w:val="Normal"/>
    <w:next w:val="ParaNum"/>
    <w:qFormat/>
    <w:rsid w:val="006C30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302A"/>
    <w:pPr>
      <w:keepNext/>
      <w:numPr>
        <w:ilvl w:val="1"/>
        <w:numId w:val="3"/>
      </w:numPr>
      <w:spacing w:after="120"/>
      <w:outlineLvl w:val="1"/>
    </w:pPr>
    <w:rPr>
      <w:b/>
    </w:rPr>
  </w:style>
  <w:style w:type="paragraph" w:styleId="Heading3">
    <w:name w:val="heading 3"/>
    <w:basedOn w:val="Normal"/>
    <w:next w:val="ParaNum"/>
    <w:qFormat/>
    <w:rsid w:val="006C302A"/>
    <w:pPr>
      <w:keepNext/>
      <w:numPr>
        <w:ilvl w:val="2"/>
        <w:numId w:val="3"/>
      </w:numPr>
      <w:tabs>
        <w:tab w:val="left" w:pos="2160"/>
      </w:tabs>
      <w:spacing w:after="120"/>
      <w:outlineLvl w:val="2"/>
    </w:pPr>
    <w:rPr>
      <w:b/>
    </w:rPr>
  </w:style>
  <w:style w:type="paragraph" w:styleId="Heading4">
    <w:name w:val="heading 4"/>
    <w:basedOn w:val="Normal"/>
    <w:next w:val="ParaNum"/>
    <w:qFormat/>
    <w:rsid w:val="006C302A"/>
    <w:pPr>
      <w:keepNext/>
      <w:numPr>
        <w:ilvl w:val="3"/>
        <w:numId w:val="3"/>
      </w:numPr>
      <w:tabs>
        <w:tab w:val="left" w:pos="2880"/>
      </w:tabs>
      <w:spacing w:after="120"/>
      <w:outlineLvl w:val="3"/>
    </w:pPr>
    <w:rPr>
      <w:b/>
    </w:rPr>
  </w:style>
  <w:style w:type="paragraph" w:styleId="Heading5">
    <w:name w:val="heading 5"/>
    <w:basedOn w:val="Normal"/>
    <w:next w:val="ParaNum"/>
    <w:qFormat/>
    <w:rsid w:val="006C302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302A"/>
    <w:pPr>
      <w:numPr>
        <w:ilvl w:val="5"/>
        <w:numId w:val="3"/>
      </w:numPr>
      <w:tabs>
        <w:tab w:val="left" w:pos="4320"/>
      </w:tabs>
      <w:spacing w:after="120"/>
      <w:outlineLvl w:val="5"/>
    </w:pPr>
    <w:rPr>
      <w:b/>
    </w:rPr>
  </w:style>
  <w:style w:type="paragraph" w:styleId="Heading7">
    <w:name w:val="heading 7"/>
    <w:basedOn w:val="Normal"/>
    <w:next w:val="ParaNum"/>
    <w:qFormat/>
    <w:rsid w:val="006C30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302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30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3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02A"/>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BF785A"/>
    <w:rPr>
      <w:rFonts w:ascii="Lucida Grande" w:hAnsi="Lucida Grande"/>
      <w:sz w:val="18"/>
      <w:szCs w:val="18"/>
    </w:rPr>
  </w:style>
  <w:style w:type="character" w:customStyle="1" w:styleId="BalloonTextChar0">
    <w:name w:val="Balloon Text Char"/>
    <w:basedOn w:val="DefaultParagraphFont"/>
    <w:uiPriority w:val="99"/>
    <w:semiHidden/>
    <w:rsid w:val="00BF785A"/>
    <w:rPr>
      <w:rFonts w:ascii="Lucida Grande" w:hAnsi="Lucida Grande"/>
      <w:sz w:val="18"/>
      <w:szCs w:val="18"/>
    </w:rPr>
  </w:style>
  <w:style w:type="character" w:customStyle="1" w:styleId="BalloonTextChar2">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0">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link w:val="ParaNumChar"/>
    <w:rsid w:val="006C302A"/>
    <w:pPr>
      <w:numPr>
        <w:numId w:val="2"/>
      </w:numPr>
      <w:tabs>
        <w:tab w:val="clear" w:pos="1080"/>
        <w:tab w:val="num" w:pos="1440"/>
      </w:tabs>
      <w:spacing w:after="120"/>
    </w:pPr>
  </w:style>
  <w:style w:type="paragraph" w:styleId="EndnoteText">
    <w:name w:val="endnote text"/>
    <w:basedOn w:val="Normal"/>
    <w:semiHidden/>
    <w:rsid w:val="006C302A"/>
    <w:rPr>
      <w:sz w:val="20"/>
    </w:rPr>
  </w:style>
  <w:style w:type="character" w:styleId="EndnoteReference">
    <w:name w:val="endnote reference"/>
    <w:semiHidden/>
    <w:rsid w:val="006C302A"/>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6C302A"/>
    <w:pPr>
      <w:spacing w:after="120"/>
    </w:pPr>
  </w:style>
  <w:style w:type="character" w:styleId="FootnoteReference">
    <w:name w:val="footnote reference"/>
    <w:aliases w:val="Style 12,(NECG) Footnote Reference,Appel note de bas de p,Style 124,o,fr,Style 3,Style 13,Style 17,FR,Style 4"/>
    <w:rsid w:val="006C302A"/>
    <w:rPr>
      <w:rFonts w:ascii="Times New Roman" w:hAnsi="Times New Roman"/>
      <w:dstrike w:val="0"/>
      <w:color w:val="auto"/>
      <w:sz w:val="20"/>
      <w:vertAlign w:val="superscript"/>
    </w:rPr>
  </w:style>
  <w:style w:type="paragraph" w:styleId="TOC1">
    <w:name w:val="toc 1"/>
    <w:basedOn w:val="Normal"/>
    <w:next w:val="Normal"/>
    <w:semiHidden/>
    <w:rsid w:val="006C30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302A"/>
    <w:pPr>
      <w:tabs>
        <w:tab w:val="left" w:pos="720"/>
        <w:tab w:val="right" w:leader="dot" w:pos="9360"/>
      </w:tabs>
      <w:suppressAutoHyphens/>
      <w:ind w:left="720" w:right="720" w:hanging="360"/>
    </w:pPr>
    <w:rPr>
      <w:noProof/>
    </w:rPr>
  </w:style>
  <w:style w:type="paragraph" w:styleId="TOC3">
    <w:name w:val="toc 3"/>
    <w:basedOn w:val="Normal"/>
    <w:next w:val="Normal"/>
    <w:semiHidden/>
    <w:rsid w:val="006C30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30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30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30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30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30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30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302A"/>
    <w:pPr>
      <w:tabs>
        <w:tab w:val="right" w:pos="9360"/>
      </w:tabs>
      <w:suppressAutoHyphens/>
    </w:pPr>
  </w:style>
  <w:style w:type="character" w:customStyle="1" w:styleId="EquationCaption">
    <w:name w:val="_Equation Caption"/>
    <w:rsid w:val="006C302A"/>
  </w:style>
  <w:style w:type="paragraph" w:styleId="Header">
    <w:name w:val="header"/>
    <w:basedOn w:val="Normal"/>
    <w:link w:val="HeaderChar"/>
    <w:autoRedefine/>
    <w:rsid w:val="006C302A"/>
    <w:pPr>
      <w:tabs>
        <w:tab w:val="center" w:pos="4680"/>
        <w:tab w:val="right" w:pos="9360"/>
      </w:tabs>
    </w:pPr>
    <w:rPr>
      <w:b/>
    </w:rPr>
  </w:style>
  <w:style w:type="paragraph" w:styleId="Footer">
    <w:name w:val="footer"/>
    <w:basedOn w:val="Normal"/>
    <w:link w:val="FooterChar"/>
    <w:rsid w:val="006C302A"/>
    <w:pPr>
      <w:tabs>
        <w:tab w:val="center" w:pos="4320"/>
        <w:tab w:val="right" w:pos="8640"/>
      </w:tabs>
    </w:pPr>
  </w:style>
  <w:style w:type="character" w:styleId="PageNumber">
    <w:name w:val="page number"/>
    <w:basedOn w:val="DefaultParagraphFont"/>
    <w:rsid w:val="006C302A"/>
  </w:style>
  <w:style w:type="paragraph" w:styleId="BlockText">
    <w:name w:val="Block Text"/>
    <w:basedOn w:val="Normal"/>
    <w:rsid w:val="006C302A"/>
    <w:pPr>
      <w:spacing w:after="240"/>
      <w:ind w:left="1440" w:right="1440"/>
    </w:pPr>
  </w:style>
  <w:style w:type="paragraph" w:customStyle="1" w:styleId="Paratitle">
    <w:name w:val="Para title"/>
    <w:basedOn w:val="Normal"/>
    <w:rsid w:val="006C302A"/>
    <w:pPr>
      <w:tabs>
        <w:tab w:val="center" w:pos="9270"/>
      </w:tabs>
      <w:spacing w:after="240"/>
    </w:pPr>
    <w:rPr>
      <w:spacing w:val="-2"/>
    </w:rPr>
  </w:style>
  <w:style w:type="paragraph" w:customStyle="1" w:styleId="Bullet">
    <w:name w:val="Bullet"/>
    <w:basedOn w:val="Normal"/>
    <w:rsid w:val="006C302A"/>
    <w:pPr>
      <w:tabs>
        <w:tab w:val="left" w:pos="2160"/>
      </w:tabs>
      <w:spacing w:after="220"/>
      <w:ind w:left="2160" w:hanging="720"/>
    </w:pPr>
  </w:style>
  <w:style w:type="paragraph" w:customStyle="1" w:styleId="TableFormat">
    <w:name w:val="TableFormat"/>
    <w:basedOn w:val="Bullet"/>
    <w:rsid w:val="006C302A"/>
    <w:pPr>
      <w:tabs>
        <w:tab w:val="clear" w:pos="2160"/>
        <w:tab w:val="left" w:pos="5040"/>
      </w:tabs>
      <w:ind w:left="5040" w:hanging="3600"/>
    </w:pPr>
  </w:style>
  <w:style w:type="paragraph" w:customStyle="1" w:styleId="TOCTitle">
    <w:name w:val="TOC Title"/>
    <w:basedOn w:val="Normal"/>
    <w:rsid w:val="006C30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302A"/>
    <w:pPr>
      <w:jc w:val="center"/>
    </w:pPr>
    <w:rPr>
      <w:rFonts w:ascii="Times New Roman Bold" w:hAnsi="Times New Roman Bold"/>
      <w:b/>
      <w:bCs/>
      <w:caps/>
      <w:szCs w:val="22"/>
    </w:rPr>
  </w:style>
  <w:style w:type="character" w:styleId="Hyperlink">
    <w:name w:val="Hyperlink"/>
    <w:rsid w:val="006C302A"/>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 w:type="character" w:customStyle="1" w:styleId="ParaNumChar">
    <w:name w:val="ParaNum Char"/>
    <w:link w:val="ParaNum"/>
    <w:locked/>
    <w:rsid w:val="009F2603"/>
    <w:rPr>
      <w:snapToGrid w:val="0"/>
      <w:kern w:val="28"/>
      <w:sz w:val="22"/>
    </w:rPr>
  </w:style>
  <w:style w:type="character" w:customStyle="1" w:styleId="FootnoteTextChar3">
    <w:name w:val="Footnote Text Char3"/>
    <w:aliases w:val="Footnote Text Char Char1,Footnote Text Char1 Char Char2,Footnote Text Char Char1 Char Char1,Footnote Text Char2 Char1 Char Char Char1,Footnote Text Char Char1 Char Char Char1 Char1,Footnote Text Char1 Char Char Char1 Char Char Char1"/>
    <w:semiHidden/>
    <w:locked/>
    <w:rsid w:val="009F2603"/>
    <w:rPr>
      <w:rFonts w:cs="Times New Roman"/>
      <w:lang w:val="en-US" w:eastAsia="en-US" w:bidi="ar-SA"/>
    </w:rPr>
  </w:style>
  <w:style w:type="character" w:customStyle="1" w:styleId="footnote0020referencechar1">
    <w:name w:val="footnote_0020reference__char1"/>
    <w:basedOn w:val="DefaultParagraphFont"/>
    <w:rsid w:val="00F47A8D"/>
    <w:rPr>
      <w:sz w:val="20"/>
      <w:szCs w:val="20"/>
      <w:vertAlign w:val="superscript"/>
    </w:rPr>
  </w:style>
  <w:style w:type="character" w:customStyle="1" w:styleId="paranumchar1">
    <w:name w:val="paranum__char1"/>
    <w:basedOn w:val="DefaultParagraphFont"/>
    <w:rsid w:val="00F47A8D"/>
    <w:rPr>
      <w:rFonts w:ascii="Times New Roman" w:hAnsi="Times New Roman" w:cs="Times New Roman" w:hint="default"/>
      <w:sz w:val="22"/>
      <w:szCs w:val="22"/>
    </w:rPr>
  </w:style>
  <w:style w:type="character" w:customStyle="1" w:styleId="HeaderChar">
    <w:name w:val="Header Char"/>
    <w:basedOn w:val="DefaultParagraphFont"/>
    <w:link w:val="Header"/>
    <w:rsid w:val="003A6739"/>
    <w:rPr>
      <w:b/>
      <w:snapToGrid w:val="0"/>
      <w:kern w:val="28"/>
      <w:sz w:val="22"/>
    </w:rPr>
  </w:style>
  <w:style w:type="paragraph" w:styleId="Revision">
    <w:name w:val="Revision"/>
    <w:hidden/>
    <w:uiPriority w:val="99"/>
    <w:semiHidden/>
    <w:rsid w:val="005B4C30"/>
    <w:rPr>
      <w:snapToGrid w:val="0"/>
      <w:kern w:val="28"/>
      <w:sz w:val="22"/>
    </w:rPr>
  </w:style>
  <w:style w:type="character" w:customStyle="1" w:styleId="italics1">
    <w:name w:val="italics1"/>
    <w:basedOn w:val="DefaultParagraphFont"/>
    <w:rsid w:val="00B87CF2"/>
    <w:rPr>
      <w:i/>
      <w:iCs/>
    </w:rPr>
  </w:style>
  <w:style w:type="character" w:styleId="Strong">
    <w:name w:val="Strong"/>
    <w:qFormat/>
    <w:rsid w:val="00B94DDB"/>
    <w:rPr>
      <w:b/>
      <w:bCs/>
    </w:rPr>
  </w:style>
  <w:style w:type="paragraph" w:styleId="ListParagraph">
    <w:name w:val="List Paragraph"/>
    <w:basedOn w:val="Normal"/>
    <w:qFormat/>
    <w:rsid w:val="00B94DDB"/>
    <w:pPr>
      <w:ind w:left="720"/>
    </w:pPr>
    <w:rPr>
      <w:snapToGrid/>
    </w:rPr>
  </w:style>
  <w:style w:type="character" w:customStyle="1" w:styleId="searchterm">
    <w:name w:val="searchterm"/>
    <w:rsid w:val="00B94DDB"/>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basedOn w:val="DefaultParagraphFont"/>
    <w:locked/>
    <w:rsid w:val="006C3D83"/>
    <w:rPr>
      <w:lang w:val="en-US" w:eastAsia="en-US" w:bidi="ar-SA"/>
    </w:rPr>
  </w:style>
  <w:style w:type="character" w:customStyle="1" w:styleId="pmterms2">
    <w:name w:val="pmterms2"/>
    <w:basedOn w:val="DefaultParagraphFont"/>
    <w:rsid w:val="00BB4D83"/>
  </w:style>
  <w:style w:type="character" w:customStyle="1" w:styleId="term">
    <w:name w:val="term"/>
    <w:basedOn w:val="DefaultParagraphFont"/>
    <w:rsid w:val="00BB4D83"/>
  </w:style>
  <w:style w:type="character" w:styleId="Emphasis">
    <w:name w:val="Emphasis"/>
    <w:basedOn w:val="DefaultParagraphFont"/>
    <w:uiPriority w:val="20"/>
    <w:qFormat/>
    <w:rsid w:val="00235835"/>
    <w:rPr>
      <w:i/>
      <w:iCs/>
    </w:rPr>
  </w:style>
  <w:style w:type="character" w:customStyle="1" w:styleId="apple-converted-space">
    <w:name w:val="apple-converted-space"/>
    <w:basedOn w:val="DefaultParagraphFont"/>
    <w:rsid w:val="004B218C"/>
  </w:style>
  <w:style w:type="character" w:customStyle="1" w:styleId="cosearchterm">
    <w:name w:val="co_searchterm"/>
    <w:basedOn w:val="DefaultParagraphFont"/>
    <w:rsid w:val="00137B29"/>
  </w:style>
  <w:style w:type="character" w:customStyle="1" w:styleId="FooterChar">
    <w:name w:val="Footer Char"/>
    <w:basedOn w:val="DefaultParagraphFont"/>
    <w:link w:val="Footer"/>
    <w:rsid w:val="00566DF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2A"/>
    <w:pPr>
      <w:widowControl w:val="0"/>
    </w:pPr>
    <w:rPr>
      <w:snapToGrid w:val="0"/>
      <w:kern w:val="28"/>
      <w:sz w:val="22"/>
    </w:rPr>
  </w:style>
  <w:style w:type="paragraph" w:styleId="Heading1">
    <w:name w:val="heading 1"/>
    <w:basedOn w:val="Normal"/>
    <w:next w:val="ParaNum"/>
    <w:qFormat/>
    <w:rsid w:val="006C30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302A"/>
    <w:pPr>
      <w:keepNext/>
      <w:numPr>
        <w:ilvl w:val="1"/>
        <w:numId w:val="3"/>
      </w:numPr>
      <w:spacing w:after="120"/>
      <w:outlineLvl w:val="1"/>
    </w:pPr>
    <w:rPr>
      <w:b/>
    </w:rPr>
  </w:style>
  <w:style w:type="paragraph" w:styleId="Heading3">
    <w:name w:val="heading 3"/>
    <w:basedOn w:val="Normal"/>
    <w:next w:val="ParaNum"/>
    <w:qFormat/>
    <w:rsid w:val="006C302A"/>
    <w:pPr>
      <w:keepNext/>
      <w:numPr>
        <w:ilvl w:val="2"/>
        <w:numId w:val="3"/>
      </w:numPr>
      <w:tabs>
        <w:tab w:val="left" w:pos="2160"/>
      </w:tabs>
      <w:spacing w:after="120"/>
      <w:outlineLvl w:val="2"/>
    </w:pPr>
    <w:rPr>
      <w:b/>
    </w:rPr>
  </w:style>
  <w:style w:type="paragraph" w:styleId="Heading4">
    <w:name w:val="heading 4"/>
    <w:basedOn w:val="Normal"/>
    <w:next w:val="ParaNum"/>
    <w:qFormat/>
    <w:rsid w:val="006C302A"/>
    <w:pPr>
      <w:keepNext/>
      <w:numPr>
        <w:ilvl w:val="3"/>
        <w:numId w:val="3"/>
      </w:numPr>
      <w:tabs>
        <w:tab w:val="left" w:pos="2880"/>
      </w:tabs>
      <w:spacing w:after="120"/>
      <w:outlineLvl w:val="3"/>
    </w:pPr>
    <w:rPr>
      <w:b/>
    </w:rPr>
  </w:style>
  <w:style w:type="paragraph" w:styleId="Heading5">
    <w:name w:val="heading 5"/>
    <w:basedOn w:val="Normal"/>
    <w:next w:val="ParaNum"/>
    <w:qFormat/>
    <w:rsid w:val="006C302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302A"/>
    <w:pPr>
      <w:numPr>
        <w:ilvl w:val="5"/>
        <w:numId w:val="3"/>
      </w:numPr>
      <w:tabs>
        <w:tab w:val="left" w:pos="4320"/>
      </w:tabs>
      <w:spacing w:after="120"/>
      <w:outlineLvl w:val="5"/>
    </w:pPr>
    <w:rPr>
      <w:b/>
    </w:rPr>
  </w:style>
  <w:style w:type="paragraph" w:styleId="Heading7">
    <w:name w:val="heading 7"/>
    <w:basedOn w:val="Normal"/>
    <w:next w:val="ParaNum"/>
    <w:qFormat/>
    <w:rsid w:val="006C30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302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30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3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02A"/>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BF785A"/>
    <w:rPr>
      <w:rFonts w:ascii="Lucida Grande" w:hAnsi="Lucida Grande"/>
      <w:sz w:val="18"/>
      <w:szCs w:val="18"/>
    </w:rPr>
  </w:style>
  <w:style w:type="character" w:customStyle="1" w:styleId="BalloonTextChar0">
    <w:name w:val="Balloon Text Char"/>
    <w:basedOn w:val="DefaultParagraphFont"/>
    <w:uiPriority w:val="99"/>
    <w:semiHidden/>
    <w:rsid w:val="00BF785A"/>
    <w:rPr>
      <w:rFonts w:ascii="Lucida Grande" w:hAnsi="Lucida Grande"/>
      <w:sz w:val="18"/>
      <w:szCs w:val="18"/>
    </w:rPr>
  </w:style>
  <w:style w:type="character" w:customStyle="1" w:styleId="BalloonTextChar2">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0">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link w:val="ParaNumChar"/>
    <w:rsid w:val="006C302A"/>
    <w:pPr>
      <w:numPr>
        <w:numId w:val="2"/>
      </w:numPr>
      <w:tabs>
        <w:tab w:val="clear" w:pos="1080"/>
        <w:tab w:val="num" w:pos="1440"/>
      </w:tabs>
      <w:spacing w:after="120"/>
    </w:pPr>
  </w:style>
  <w:style w:type="paragraph" w:styleId="EndnoteText">
    <w:name w:val="endnote text"/>
    <w:basedOn w:val="Normal"/>
    <w:semiHidden/>
    <w:rsid w:val="006C302A"/>
    <w:rPr>
      <w:sz w:val="20"/>
    </w:rPr>
  </w:style>
  <w:style w:type="character" w:styleId="EndnoteReference">
    <w:name w:val="endnote reference"/>
    <w:semiHidden/>
    <w:rsid w:val="006C302A"/>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6C302A"/>
    <w:pPr>
      <w:spacing w:after="120"/>
    </w:pPr>
  </w:style>
  <w:style w:type="character" w:styleId="FootnoteReference">
    <w:name w:val="footnote reference"/>
    <w:aliases w:val="Style 12,(NECG) Footnote Reference,Appel note de bas de p,Style 124,o,fr,Style 3,Style 13,Style 17,FR,Style 4"/>
    <w:rsid w:val="006C302A"/>
    <w:rPr>
      <w:rFonts w:ascii="Times New Roman" w:hAnsi="Times New Roman"/>
      <w:dstrike w:val="0"/>
      <w:color w:val="auto"/>
      <w:sz w:val="20"/>
      <w:vertAlign w:val="superscript"/>
    </w:rPr>
  </w:style>
  <w:style w:type="paragraph" w:styleId="TOC1">
    <w:name w:val="toc 1"/>
    <w:basedOn w:val="Normal"/>
    <w:next w:val="Normal"/>
    <w:semiHidden/>
    <w:rsid w:val="006C30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302A"/>
    <w:pPr>
      <w:tabs>
        <w:tab w:val="left" w:pos="720"/>
        <w:tab w:val="right" w:leader="dot" w:pos="9360"/>
      </w:tabs>
      <w:suppressAutoHyphens/>
      <w:ind w:left="720" w:right="720" w:hanging="360"/>
    </w:pPr>
    <w:rPr>
      <w:noProof/>
    </w:rPr>
  </w:style>
  <w:style w:type="paragraph" w:styleId="TOC3">
    <w:name w:val="toc 3"/>
    <w:basedOn w:val="Normal"/>
    <w:next w:val="Normal"/>
    <w:semiHidden/>
    <w:rsid w:val="006C30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30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30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30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30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30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30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302A"/>
    <w:pPr>
      <w:tabs>
        <w:tab w:val="right" w:pos="9360"/>
      </w:tabs>
      <w:suppressAutoHyphens/>
    </w:pPr>
  </w:style>
  <w:style w:type="character" w:customStyle="1" w:styleId="EquationCaption">
    <w:name w:val="_Equation Caption"/>
    <w:rsid w:val="006C302A"/>
  </w:style>
  <w:style w:type="paragraph" w:styleId="Header">
    <w:name w:val="header"/>
    <w:basedOn w:val="Normal"/>
    <w:link w:val="HeaderChar"/>
    <w:autoRedefine/>
    <w:rsid w:val="006C302A"/>
    <w:pPr>
      <w:tabs>
        <w:tab w:val="center" w:pos="4680"/>
        <w:tab w:val="right" w:pos="9360"/>
      </w:tabs>
    </w:pPr>
    <w:rPr>
      <w:b/>
    </w:rPr>
  </w:style>
  <w:style w:type="paragraph" w:styleId="Footer">
    <w:name w:val="footer"/>
    <w:basedOn w:val="Normal"/>
    <w:link w:val="FooterChar"/>
    <w:rsid w:val="006C302A"/>
    <w:pPr>
      <w:tabs>
        <w:tab w:val="center" w:pos="4320"/>
        <w:tab w:val="right" w:pos="8640"/>
      </w:tabs>
    </w:pPr>
  </w:style>
  <w:style w:type="character" w:styleId="PageNumber">
    <w:name w:val="page number"/>
    <w:basedOn w:val="DefaultParagraphFont"/>
    <w:rsid w:val="006C302A"/>
  </w:style>
  <w:style w:type="paragraph" w:styleId="BlockText">
    <w:name w:val="Block Text"/>
    <w:basedOn w:val="Normal"/>
    <w:rsid w:val="006C302A"/>
    <w:pPr>
      <w:spacing w:after="240"/>
      <w:ind w:left="1440" w:right="1440"/>
    </w:pPr>
  </w:style>
  <w:style w:type="paragraph" w:customStyle="1" w:styleId="Paratitle">
    <w:name w:val="Para title"/>
    <w:basedOn w:val="Normal"/>
    <w:rsid w:val="006C302A"/>
    <w:pPr>
      <w:tabs>
        <w:tab w:val="center" w:pos="9270"/>
      </w:tabs>
      <w:spacing w:after="240"/>
    </w:pPr>
    <w:rPr>
      <w:spacing w:val="-2"/>
    </w:rPr>
  </w:style>
  <w:style w:type="paragraph" w:customStyle="1" w:styleId="Bullet">
    <w:name w:val="Bullet"/>
    <w:basedOn w:val="Normal"/>
    <w:rsid w:val="006C302A"/>
    <w:pPr>
      <w:tabs>
        <w:tab w:val="left" w:pos="2160"/>
      </w:tabs>
      <w:spacing w:after="220"/>
      <w:ind w:left="2160" w:hanging="720"/>
    </w:pPr>
  </w:style>
  <w:style w:type="paragraph" w:customStyle="1" w:styleId="TableFormat">
    <w:name w:val="TableFormat"/>
    <w:basedOn w:val="Bullet"/>
    <w:rsid w:val="006C302A"/>
    <w:pPr>
      <w:tabs>
        <w:tab w:val="clear" w:pos="2160"/>
        <w:tab w:val="left" w:pos="5040"/>
      </w:tabs>
      <w:ind w:left="5040" w:hanging="3600"/>
    </w:pPr>
  </w:style>
  <w:style w:type="paragraph" w:customStyle="1" w:styleId="TOCTitle">
    <w:name w:val="TOC Title"/>
    <w:basedOn w:val="Normal"/>
    <w:rsid w:val="006C30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302A"/>
    <w:pPr>
      <w:jc w:val="center"/>
    </w:pPr>
    <w:rPr>
      <w:rFonts w:ascii="Times New Roman Bold" w:hAnsi="Times New Roman Bold"/>
      <w:b/>
      <w:bCs/>
      <w:caps/>
      <w:szCs w:val="22"/>
    </w:rPr>
  </w:style>
  <w:style w:type="character" w:styleId="Hyperlink">
    <w:name w:val="Hyperlink"/>
    <w:rsid w:val="006C302A"/>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 w:type="character" w:customStyle="1" w:styleId="ParaNumChar">
    <w:name w:val="ParaNum Char"/>
    <w:link w:val="ParaNum"/>
    <w:locked/>
    <w:rsid w:val="009F2603"/>
    <w:rPr>
      <w:snapToGrid w:val="0"/>
      <w:kern w:val="28"/>
      <w:sz w:val="22"/>
    </w:rPr>
  </w:style>
  <w:style w:type="character" w:customStyle="1" w:styleId="FootnoteTextChar3">
    <w:name w:val="Footnote Text Char3"/>
    <w:aliases w:val="Footnote Text Char Char1,Footnote Text Char1 Char Char2,Footnote Text Char Char1 Char Char1,Footnote Text Char2 Char1 Char Char Char1,Footnote Text Char Char1 Char Char Char1 Char1,Footnote Text Char1 Char Char Char1 Char Char Char1"/>
    <w:semiHidden/>
    <w:locked/>
    <w:rsid w:val="009F2603"/>
    <w:rPr>
      <w:rFonts w:cs="Times New Roman"/>
      <w:lang w:val="en-US" w:eastAsia="en-US" w:bidi="ar-SA"/>
    </w:rPr>
  </w:style>
  <w:style w:type="character" w:customStyle="1" w:styleId="footnote0020referencechar1">
    <w:name w:val="footnote_0020reference__char1"/>
    <w:basedOn w:val="DefaultParagraphFont"/>
    <w:rsid w:val="00F47A8D"/>
    <w:rPr>
      <w:sz w:val="20"/>
      <w:szCs w:val="20"/>
      <w:vertAlign w:val="superscript"/>
    </w:rPr>
  </w:style>
  <w:style w:type="character" w:customStyle="1" w:styleId="paranumchar1">
    <w:name w:val="paranum__char1"/>
    <w:basedOn w:val="DefaultParagraphFont"/>
    <w:rsid w:val="00F47A8D"/>
    <w:rPr>
      <w:rFonts w:ascii="Times New Roman" w:hAnsi="Times New Roman" w:cs="Times New Roman" w:hint="default"/>
      <w:sz w:val="22"/>
      <w:szCs w:val="22"/>
    </w:rPr>
  </w:style>
  <w:style w:type="character" w:customStyle="1" w:styleId="HeaderChar">
    <w:name w:val="Header Char"/>
    <w:basedOn w:val="DefaultParagraphFont"/>
    <w:link w:val="Header"/>
    <w:rsid w:val="003A6739"/>
    <w:rPr>
      <w:b/>
      <w:snapToGrid w:val="0"/>
      <w:kern w:val="28"/>
      <w:sz w:val="22"/>
    </w:rPr>
  </w:style>
  <w:style w:type="paragraph" w:styleId="Revision">
    <w:name w:val="Revision"/>
    <w:hidden/>
    <w:uiPriority w:val="99"/>
    <w:semiHidden/>
    <w:rsid w:val="005B4C30"/>
    <w:rPr>
      <w:snapToGrid w:val="0"/>
      <w:kern w:val="28"/>
      <w:sz w:val="22"/>
    </w:rPr>
  </w:style>
  <w:style w:type="character" w:customStyle="1" w:styleId="italics1">
    <w:name w:val="italics1"/>
    <w:basedOn w:val="DefaultParagraphFont"/>
    <w:rsid w:val="00B87CF2"/>
    <w:rPr>
      <w:i/>
      <w:iCs/>
    </w:rPr>
  </w:style>
  <w:style w:type="character" w:styleId="Strong">
    <w:name w:val="Strong"/>
    <w:qFormat/>
    <w:rsid w:val="00B94DDB"/>
    <w:rPr>
      <w:b/>
      <w:bCs/>
    </w:rPr>
  </w:style>
  <w:style w:type="paragraph" w:styleId="ListParagraph">
    <w:name w:val="List Paragraph"/>
    <w:basedOn w:val="Normal"/>
    <w:qFormat/>
    <w:rsid w:val="00B94DDB"/>
    <w:pPr>
      <w:ind w:left="720"/>
    </w:pPr>
    <w:rPr>
      <w:snapToGrid/>
    </w:rPr>
  </w:style>
  <w:style w:type="character" w:customStyle="1" w:styleId="searchterm">
    <w:name w:val="searchterm"/>
    <w:rsid w:val="00B94DDB"/>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basedOn w:val="DefaultParagraphFont"/>
    <w:locked/>
    <w:rsid w:val="006C3D83"/>
    <w:rPr>
      <w:lang w:val="en-US" w:eastAsia="en-US" w:bidi="ar-SA"/>
    </w:rPr>
  </w:style>
  <w:style w:type="character" w:customStyle="1" w:styleId="pmterms2">
    <w:name w:val="pmterms2"/>
    <w:basedOn w:val="DefaultParagraphFont"/>
    <w:rsid w:val="00BB4D83"/>
  </w:style>
  <w:style w:type="character" w:customStyle="1" w:styleId="term">
    <w:name w:val="term"/>
    <w:basedOn w:val="DefaultParagraphFont"/>
    <w:rsid w:val="00BB4D83"/>
  </w:style>
  <w:style w:type="character" w:styleId="Emphasis">
    <w:name w:val="Emphasis"/>
    <w:basedOn w:val="DefaultParagraphFont"/>
    <w:uiPriority w:val="20"/>
    <w:qFormat/>
    <w:rsid w:val="00235835"/>
    <w:rPr>
      <w:i/>
      <w:iCs/>
    </w:rPr>
  </w:style>
  <w:style w:type="character" w:customStyle="1" w:styleId="apple-converted-space">
    <w:name w:val="apple-converted-space"/>
    <w:basedOn w:val="DefaultParagraphFont"/>
    <w:rsid w:val="004B218C"/>
  </w:style>
  <w:style w:type="character" w:customStyle="1" w:styleId="cosearchterm">
    <w:name w:val="co_searchterm"/>
    <w:basedOn w:val="DefaultParagraphFont"/>
    <w:rsid w:val="00137B29"/>
  </w:style>
  <w:style w:type="character" w:customStyle="1" w:styleId="FooterChar">
    <w:name w:val="Footer Char"/>
    <w:basedOn w:val="DefaultParagraphFont"/>
    <w:link w:val="Footer"/>
    <w:rsid w:val="00566DF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6569">
      <w:bodyDiv w:val="1"/>
      <w:marLeft w:val="0"/>
      <w:marRight w:val="0"/>
      <w:marTop w:val="0"/>
      <w:marBottom w:val="0"/>
      <w:divBdr>
        <w:top w:val="none" w:sz="0" w:space="0" w:color="auto"/>
        <w:left w:val="none" w:sz="0" w:space="0" w:color="auto"/>
        <w:bottom w:val="none" w:sz="0" w:space="0" w:color="auto"/>
        <w:right w:val="none" w:sz="0" w:space="0" w:color="auto"/>
      </w:divBdr>
    </w:div>
    <w:div w:id="530456550">
      <w:bodyDiv w:val="1"/>
      <w:marLeft w:val="0"/>
      <w:marRight w:val="0"/>
      <w:marTop w:val="0"/>
      <w:marBottom w:val="0"/>
      <w:divBdr>
        <w:top w:val="none" w:sz="0" w:space="0" w:color="auto"/>
        <w:left w:val="none" w:sz="0" w:space="0" w:color="auto"/>
        <w:bottom w:val="none" w:sz="0" w:space="0" w:color="auto"/>
        <w:right w:val="none" w:sz="0" w:space="0" w:color="auto"/>
      </w:divBdr>
    </w:div>
    <w:div w:id="10337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1559</Words>
  <Characters>8290</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2015-12-08T20:36:00Z</cp:lastPrinted>
  <dcterms:created xsi:type="dcterms:W3CDTF">2016-02-02T16:01:00Z</dcterms:created>
  <dcterms:modified xsi:type="dcterms:W3CDTF">2016-02-02T16:01:00Z</dcterms:modified>
  <cp:category> </cp:category>
  <cp:contentStatus> </cp:contentStatus>
</cp:coreProperties>
</file>