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A5872" w14:textId="7D170BE1" w:rsidR="0086046E" w:rsidRPr="00FD59F8" w:rsidRDefault="0086046E" w:rsidP="0086046E">
      <w:pPr>
        <w:widowControl/>
        <w:jc w:val="center"/>
        <w:rPr>
          <w:rFonts w:eastAsia="Calibri"/>
          <w:b/>
          <w:caps/>
          <w:snapToGrid/>
          <w:kern w:val="0"/>
          <w:szCs w:val="22"/>
        </w:rPr>
      </w:pPr>
      <w:bookmarkStart w:id="0" w:name="_GoBack"/>
      <w:bookmarkEnd w:id="0"/>
      <w:r w:rsidRPr="00FD59F8">
        <w:rPr>
          <w:rFonts w:eastAsia="Calibri"/>
          <w:b/>
          <w:caps/>
          <w:snapToGrid/>
          <w:kern w:val="0"/>
          <w:szCs w:val="22"/>
        </w:rPr>
        <w:t>Statement of</w:t>
      </w:r>
    </w:p>
    <w:p w14:paraId="195FE814" w14:textId="77777777" w:rsidR="0086046E" w:rsidRPr="00FD59F8" w:rsidRDefault="0086046E" w:rsidP="0086046E">
      <w:pPr>
        <w:widowControl/>
        <w:jc w:val="center"/>
        <w:rPr>
          <w:rFonts w:eastAsia="Calibri"/>
          <w:snapToGrid/>
          <w:kern w:val="0"/>
          <w:szCs w:val="22"/>
        </w:rPr>
      </w:pPr>
      <w:r w:rsidRPr="00FD59F8">
        <w:rPr>
          <w:rFonts w:eastAsia="Calibri"/>
          <w:b/>
          <w:caps/>
          <w:snapToGrid/>
          <w:kern w:val="0"/>
          <w:szCs w:val="22"/>
        </w:rPr>
        <w:t>Commissioner Michael O’Rielly</w:t>
      </w:r>
    </w:p>
    <w:p w14:paraId="0F5718DE" w14:textId="77777777" w:rsidR="0086046E" w:rsidRPr="00FD59F8" w:rsidRDefault="0086046E" w:rsidP="0086046E">
      <w:pPr>
        <w:widowControl/>
        <w:rPr>
          <w:rFonts w:eastAsia="Calibri"/>
          <w:snapToGrid/>
          <w:kern w:val="0"/>
          <w:szCs w:val="22"/>
        </w:rPr>
      </w:pPr>
    </w:p>
    <w:p w14:paraId="1B61A8B5" w14:textId="4DFCAEA3" w:rsidR="0086046E" w:rsidRPr="00FD59F8" w:rsidRDefault="0086046E" w:rsidP="0086046E">
      <w:pPr>
        <w:widowControl/>
        <w:ind w:left="720" w:hanging="720"/>
        <w:rPr>
          <w:rFonts w:eastAsia="Calibri"/>
          <w:i/>
          <w:snapToGrid/>
          <w:kern w:val="0"/>
          <w:szCs w:val="22"/>
        </w:rPr>
      </w:pPr>
      <w:r w:rsidRPr="00FD59F8">
        <w:rPr>
          <w:rFonts w:eastAsia="Calibri"/>
          <w:snapToGrid/>
          <w:kern w:val="0"/>
          <w:szCs w:val="22"/>
        </w:rPr>
        <w:t>Re:</w:t>
      </w:r>
      <w:r w:rsidR="005862C8" w:rsidRPr="00FD59F8">
        <w:rPr>
          <w:rFonts w:eastAsia="Calibri"/>
          <w:i/>
          <w:snapToGrid/>
          <w:kern w:val="0"/>
          <w:szCs w:val="22"/>
        </w:rPr>
        <w:tab/>
      </w:r>
      <w:r w:rsidRPr="00FD59F8">
        <w:rPr>
          <w:rFonts w:eastAsia="Calibri"/>
          <w:i/>
          <w:snapToGrid/>
          <w:kern w:val="0"/>
          <w:szCs w:val="22"/>
        </w:rPr>
        <w:t>Review of Foreign Ownership Policies for Broadcast, Common Carrier and Aeronautical Radio Licenses under Section 310(b</w:t>
      </w:r>
      <w:r w:rsidRPr="00E725B9">
        <w:rPr>
          <w:rFonts w:eastAsia="Calibri"/>
          <w:i/>
          <w:snapToGrid/>
          <w:kern w:val="0"/>
          <w:szCs w:val="22"/>
        </w:rPr>
        <w:t>)(4) of the Communications Act of 1934, as Amended, GN Docket No. 15-236</w:t>
      </w:r>
      <w:r w:rsidR="00D40021" w:rsidRPr="00E725B9">
        <w:rPr>
          <w:rFonts w:eastAsia="Calibri"/>
          <w:i/>
          <w:snapToGrid/>
          <w:kern w:val="0"/>
          <w:szCs w:val="22"/>
        </w:rPr>
        <w:t>, Report and Order</w:t>
      </w:r>
      <w:r w:rsidR="00FD59F8">
        <w:rPr>
          <w:rFonts w:eastAsia="Calibri"/>
          <w:snapToGrid/>
          <w:kern w:val="0"/>
          <w:szCs w:val="22"/>
        </w:rPr>
        <w:t>.</w:t>
      </w:r>
      <w:r w:rsidR="00D40021" w:rsidRPr="00FD59F8">
        <w:rPr>
          <w:rFonts w:eastAsia="Calibri"/>
          <w:snapToGrid/>
          <w:kern w:val="0"/>
          <w:szCs w:val="22"/>
        </w:rPr>
        <w:t xml:space="preserve"> </w:t>
      </w:r>
    </w:p>
    <w:p w14:paraId="0C91FA1B" w14:textId="77777777" w:rsidR="0086046E" w:rsidRPr="00FD59F8" w:rsidRDefault="0086046E" w:rsidP="0086046E">
      <w:pPr>
        <w:widowControl/>
        <w:rPr>
          <w:rFonts w:eastAsia="Calibri"/>
          <w:snapToGrid/>
          <w:kern w:val="0"/>
          <w:szCs w:val="22"/>
        </w:rPr>
      </w:pPr>
    </w:p>
    <w:p w14:paraId="573482D2" w14:textId="76E9C46C" w:rsidR="0086046E" w:rsidRPr="00FD59F8" w:rsidRDefault="0086046E" w:rsidP="0086046E">
      <w:pPr>
        <w:widowControl/>
        <w:ind w:firstLine="720"/>
        <w:rPr>
          <w:rFonts w:eastAsia="Calibri"/>
          <w:snapToGrid/>
          <w:kern w:val="0"/>
          <w:szCs w:val="22"/>
        </w:rPr>
      </w:pPr>
      <w:r w:rsidRPr="00FD59F8">
        <w:rPr>
          <w:rFonts w:eastAsia="Calibri"/>
          <w:snapToGrid/>
          <w:kern w:val="0"/>
          <w:szCs w:val="22"/>
        </w:rPr>
        <w:t xml:space="preserve">I have </w:t>
      </w:r>
      <w:r w:rsidR="00C51FFD" w:rsidRPr="00FD59F8">
        <w:rPr>
          <w:rFonts w:eastAsia="Calibri"/>
          <w:snapToGrid/>
          <w:kern w:val="0"/>
          <w:szCs w:val="22"/>
        </w:rPr>
        <w:t xml:space="preserve">often </w:t>
      </w:r>
      <w:r w:rsidRPr="00FD59F8">
        <w:rPr>
          <w:rFonts w:eastAsia="Calibri"/>
          <w:snapToGrid/>
          <w:kern w:val="0"/>
          <w:szCs w:val="22"/>
        </w:rPr>
        <w:t xml:space="preserve">spoken of the need to </w:t>
      </w:r>
      <w:r w:rsidR="00B84D88" w:rsidRPr="00FD59F8">
        <w:rPr>
          <w:rFonts w:eastAsia="Calibri"/>
          <w:snapToGrid/>
          <w:kern w:val="0"/>
          <w:szCs w:val="22"/>
        </w:rPr>
        <w:t>promote foreign investment opportunities for broadcas</w:t>
      </w:r>
      <w:r w:rsidR="009A6165" w:rsidRPr="00FD59F8">
        <w:rPr>
          <w:rFonts w:eastAsia="Calibri"/>
          <w:snapToGrid/>
          <w:kern w:val="0"/>
          <w:szCs w:val="22"/>
        </w:rPr>
        <w:t xml:space="preserve">ters and to further streamline </w:t>
      </w:r>
      <w:r w:rsidR="00B84D88" w:rsidRPr="00FD59F8">
        <w:rPr>
          <w:rFonts w:eastAsia="Calibri"/>
          <w:snapToGrid/>
          <w:kern w:val="0"/>
          <w:szCs w:val="22"/>
        </w:rPr>
        <w:t xml:space="preserve">foreign ownership </w:t>
      </w:r>
      <w:r w:rsidR="0006759B" w:rsidRPr="00FD59F8">
        <w:rPr>
          <w:rFonts w:eastAsia="Calibri"/>
          <w:snapToGrid/>
          <w:kern w:val="0"/>
          <w:szCs w:val="22"/>
        </w:rPr>
        <w:t>review</w:t>
      </w:r>
      <w:r w:rsidR="009A6165" w:rsidRPr="00FD59F8">
        <w:rPr>
          <w:rFonts w:eastAsia="Calibri"/>
          <w:snapToGrid/>
          <w:kern w:val="0"/>
          <w:szCs w:val="22"/>
        </w:rPr>
        <w:t>s</w:t>
      </w:r>
      <w:r w:rsidR="00B84D88" w:rsidRPr="00FD59F8">
        <w:rPr>
          <w:rFonts w:eastAsia="Calibri"/>
          <w:snapToGrid/>
          <w:kern w:val="0"/>
          <w:szCs w:val="22"/>
        </w:rPr>
        <w:t xml:space="preserve"> under section 310(b) of the Communications Act.  </w:t>
      </w:r>
      <w:r w:rsidR="00C51FFD" w:rsidRPr="00FD59F8">
        <w:rPr>
          <w:rFonts w:eastAsia="Calibri"/>
          <w:snapToGrid/>
          <w:kern w:val="0"/>
          <w:szCs w:val="22"/>
        </w:rPr>
        <w:t>Quite simply, t</w:t>
      </w:r>
      <w:r w:rsidRPr="00FD59F8">
        <w:rPr>
          <w:rFonts w:eastAsia="Calibri"/>
          <w:snapToGrid/>
          <w:kern w:val="0"/>
          <w:szCs w:val="22"/>
        </w:rPr>
        <w:t xml:space="preserve">oday’s order </w:t>
      </w:r>
      <w:r w:rsidR="00B84D88" w:rsidRPr="00FD59F8">
        <w:rPr>
          <w:rFonts w:eastAsia="Calibri"/>
          <w:snapToGrid/>
          <w:kern w:val="0"/>
          <w:szCs w:val="22"/>
        </w:rPr>
        <w:t xml:space="preserve">is a </w:t>
      </w:r>
      <w:r w:rsidR="00145D8F" w:rsidRPr="00FD59F8">
        <w:rPr>
          <w:rFonts w:eastAsia="Calibri"/>
          <w:snapToGrid/>
          <w:kern w:val="0"/>
          <w:szCs w:val="22"/>
        </w:rPr>
        <w:t xml:space="preserve">helpful </w:t>
      </w:r>
      <w:r w:rsidR="00B84D88" w:rsidRPr="00FD59F8">
        <w:rPr>
          <w:rFonts w:eastAsia="Calibri"/>
          <w:snapToGrid/>
          <w:kern w:val="0"/>
          <w:szCs w:val="22"/>
        </w:rPr>
        <w:t>step</w:t>
      </w:r>
      <w:r w:rsidR="0014745B" w:rsidRPr="00FD59F8">
        <w:rPr>
          <w:rFonts w:eastAsia="Calibri"/>
          <w:snapToGrid/>
          <w:kern w:val="0"/>
          <w:szCs w:val="22"/>
        </w:rPr>
        <w:t>,</w:t>
      </w:r>
      <w:r w:rsidR="00C51FFD" w:rsidRPr="00FD59F8">
        <w:rPr>
          <w:rFonts w:eastAsia="Calibri"/>
          <w:snapToGrid/>
          <w:kern w:val="0"/>
          <w:szCs w:val="22"/>
        </w:rPr>
        <w:t xml:space="preserve"> as the changes are likely to produce significant benefits </w:t>
      </w:r>
      <w:r w:rsidR="00C51FFD" w:rsidRPr="00FD59F8">
        <w:rPr>
          <w:rFonts w:eastAsia="Calibri"/>
          <w:i/>
          <w:snapToGrid/>
          <w:kern w:val="0"/>
          <w:szCs w:val="22"/>
        </w:rPr>
        <w:t>without</w:t>
      </w:r>
      <w:r w:rsidR="00C51FFD" w:rsidRPr="00FD59F8">
        <w:rPr>
          <w:rFonts w:eastAsia="Calibri"/>
          <w:snapToGrid/>
          <w:kern w:val="0"/>
          <w:szCs w:val="22"/>
        </w:rPr>
        <w:t xml:space="preserve"> jeopardizing national security</w:t>
      </w:r>
      <w:r w:rsidR="00B84D88" w:rsidRPr="00FD59F8">
        <w:rPr>
          <w:rFonts w:eastAsia="Calibri"/>
          <w:snapToGrid/>
          <w:kern w:val="0"/>
          <w:szCs w:val="22"/>
        </w:rPr>
        <w:t xml:space="preserve">.  By allowing broadcasters to follow the streamlined process available to common carrier licensees, we facilitate new avenues of capital that </w:t>
      </w:r>
      <w:r w:rsidR="00F15A40" w:rsidRPr="00FD59F8">
        <w:rPr>
          <w:rFonts w:eastAsia="Calibri"/>
          <w:snapToGrid/>
          <w:kern w:val="0"/>
          <w:szCs w:val="22"/>
        </w:rPr>
        <w:t>will</w:t>
      </w:r>
      <w:r w:rsidR="00B84D88" w:rsidRPr="00FD59F8">
        <w:rPr>
          <w:rFonts w:eastAsia="Calibri"/>
          <w:snapToGrid/>
          <w:kern w:val="0"/>
          <w:szCs w:val="22"/>
        </w:rPr>
        <w:t xml:space="preserve"> help stations compete in today’s highly competitive </w:t>
      </w:r>
      <w:r w:rsidR="001C1721" w:rsidRPr="00FD59F8">
        <w:rPr>
          <w:rFonts w:eastAsia="Calibri"/>
          <w:snapToGrid/>
          <w:kern w:val="0"/>
          <w:szCs w:val="22"/>
        </w:rPr>
        <w:t xml:space="preserve">video </w:t>
      </w:r>
      <w:r w:rsidR="00B84D88" w:rsidRPr="00FD59F8">
        <w:rPr>
          <w:rFonts w:eastAsia="Calibri"/>
          <w:snapToGrid/>
          <w:kern w:val="0"/>
          <w:szCs w:val="22"/>
        </w:rPr>
        <w:t xml:space="preserve">marketplace.  </w:t>
      </w:r>
    </w:p>
    <w:p w14:paraId="148BA827" w14:textId="77777777" w:rsidR="00EA7B37" w:rsidRPr="00FD59F8" w:rsidRDefault="00EA7B37" w:rsidP="0086046E">
      <w:pPr>
        <w:widowControl/>
        <w:ind w:firstLine="720"/>
        <w:rPr>
          <w:rFonts w:eastAsia="Calibri"/>
          <w:snapToGrid/>
          <w:kern w:val="0"/>
          <w:szCs w:val="22"/>
        </w:rPr>
      </w:pPr>
    </w:p>
    <w:p w14:paraId="4CBEAF4B" w14:textId="2CAA75DA" w:rsidR="00EA7B37" w:rsidRPr="00FD59F8" w:rsidRDefault="00EA7B37" w:rsidP="0086046E">
      <w:pPr>
        <w:widowControl/>
        <w:ind w:firstLine="720"/>
        <w:rPr>
          <w:rFonts w:eastAsia="Calibri"/>
          <w:snapToGrid/>
          <w:kern w:val="0"/>
          <w:szCs w:val="22"/>
        </w:rPr>
      </w:pPr>
      <w:r w:rsidRPr="00FD59F8">
        <w:rPr>
          <w:rFonts w:eastAsia="Calibri"/>
          <w:snapToGrid/>
          <w:kern w:val="0"/>
          <w:szCs w:val="22"/>
        </w:rPr>
        <w:t>We also modify the methodology that broadcasters and common carriers will use to assess compliance</w:t>
      </w:r>
      <w:r w:rsidR="00525230" w:rsidRPr="00FD59F8">
        <w:rPr>
          <w:rFonts w:eastAsia="Calibri"/>
          <w:snapToGrid/>
          <w:kern w:val="0"/>
          <w:szCs w:val="22"/>
        </w:rPr>
        <w:t xml:space="preserve"> with the statute.  The </w:t>
      </w:r>
      <w:r w:rsidR="00C51FFD" w:rsidRPr="00FD59F8">
        <w:rPr>
          <w:rFonts w:eastAsia="Calibri"/>
          <w:snapToGrid/>
          <w:kern w:val="0"/>
          <w:szCs w:val="22"/>
        </w:rPr>
        <w:t xml:space="preserve">old </w:t>
      </w:r>
      <w:r w:rsidR="0005715E" w:rsidRPr="00FD59F8">
        <w:rPr>
          <w:rFonts w:eastAsia="Calibri"/>
          <w:snapToGrid/>
          <w:kern w:val="0"/>
          <w:szCs w:val="22"/>
        </w:rPr>
        <w:t xml:space="preserve">method </w:t>
      </w:r>
      <w:r w:rsidR="009A6165" w:rsidRPr="00FD59F8">
        <w:rPr>
          <w:rFonts w:eastAsia="Calibri"/>
          <w:snapToGrid/>
          <w:kern w:val="0"/>
          <w:szCs w:val="22"/>
        </w:rPr>
        <w:t xml:space="preserve">of determining foreign ownership levels </w:t>
      </w:r>
      <w:r w:rsidR="0005715E" w:rsidRPr="00FD59F8">
        <w:rPr>
          <w:rFonts w:eastAsia="Calibri"/>
          <w:snapToGrid/>
          <w:kern w:val="0"/>
          <w:szCs w:val="22"/>
        </w:rPr>
        <w:t>was practically impossible</w:t>
      </w:r>
      <w:r w:rsidR="00F15A40" w:rsidRPr="00FD59F8">
        <w:rPr>
          <w:rFonts w:eastAsia="Calibri"/>
          <w:snapToGrid/>
          <w:kern w:val="0"/>
          <w:szCs w:val="22"/>
        </w:rPr>
        <w:t xml:space="preserve"> – and certainly not cost-effective – to implement</w:t>
      </w:r>
      <w:r w:rsidR="0005715E" w:rsidRPr="00FD59F8">
        <w:rPr>
          <w:rFonts w:eastAsia="Calibri"/>
          <w:snapToGrid/>
          <w:kern w:val="0"/>
          <w:szCs w:val="22"/>
        </w:rPr>
        <w:t xml:space="preserve"> </w:t>
      </w:r>
      <w:r w:rsidR="001019C7" w:rsidRPr="00FD59F8">
        <w:rPr>
          <w:rFonts w:eastAsia="Calibri"/>
          <w:snapToGrid/>
          <w:kern w:val="0"/>
          <w:szCs w:val="22"/>
        </w:rPr>
        <w:t xml:space="preserve">for </w:t>
      </w:r>
      <w:r w:rsidR="0005715E" w:rsidRPr="00FD59F8">
        <w:rPr>
          <w:rFonts w:eastAsia="Calibri"/>
          <w:snapToGrid/>
          <w:kern w:val="0"/>
          <w:szCs w:val="22"/>
        </w:rPr>
        <w:t xml:space="preserve">publicly-traded </w:t>
      </w:r>
      <w:r w:rsidR="00B571BE" w:rsidRPr="00FD59F8">
        <w:rPr>
          <w:rFonts w:eastAsia="Calibri"/>
          <w:snapToGrid/>
          <w:kern w:val="0"/>
          <w:szCs w:val="22"/>
        </w:rPr>
        <w:t>companies</w:t>
      </w:r>
      <w:r w:rsidR="00B21970" w:rsidRPr="00FD59F8">
        <w:rPr>
          <w:rFonts w:eastAsia="Calibri"/>
          <w:snapToGrid/>
          <w:kern w:val="0"/>
          <w:szCs w:val="22"/>
        </w:rPr>
        <w:t xml:space="preserve"> in today’s fast-paced, global market</w:t>
      </w:r>
      <w:r w:rsidR="00F15A40" w:rsidRPr="00FD59F8">
        <w:rPr>
          <w:rFonts w:eastAsia="Calibri"/>
          <w:snapToGrid/>
          <w:kern w:val="0"/>
          <w:szCs w:val="22"/>
        </w:rPr>
        <w:t>s</w:t>
      </w:r>
      <w:r w:rsidR="00B21970" w:rsidRPr="00FD59F8">
        <w:rPr>
          <w:rFonts w:eastAsia="Calibri"/>
          <w:snapToGrid/>
          <w:kern w:val="0"/>
          <w:szCs w:val="22"/>
        </w:rPr>
        <w:t xml:space="preserve">.  </w:t>
      </w:r>
      <w:r w:rsidR="004903A2" w:rsidRPr="00FD59F8">
        <w:rPr>
          <w:rFonts w:eastAsia="Calibri"/>
          <w:snapToGrid/>
          <w:kern w:val="0"/>
          <w:szCs w:val="22"/>
        </w:rPr>
        <w:t>Further, b</w:t>
      </w:r>
      <w:r w:rsidR="002C56A1" w:rsidRPr="00FD59F8">
        <w:rPr>
          <w:rFonts w:eastAsia="Calibri"/>
          <w:snapToGrid/>
          <w:kern w:val="0"/>
          <w:szCs w:val="22"/>
        </w:rPr>
        <w:t>y</w:t>
      </w:r>
      <w:r w:rsidR="001A4143" w:rsidRPr="00FD59F8">
        <w:rPr>
          <w:rFonts w:eastAsia="Calibri"/>
          <w:snapToGrid/>
          <w:kern w:val="0"/>
          <w:szCs w:val="22"/>
        </w:rPr>
        <w:t xml:space="preserve"> focusing</w:t>
      </w:r>
      <w:r w:rsidR="00334BBD" w:rsidRPr="00FD59F8">
        <w:rPr>
          <w:rFonts w:eastAsia="Calibri"/>
          <w:snapToGrid/>
          <w:kern w:val="0"/>
          <w:szCs w:val="22"/>
        </w:rPr>
        <w:t xml:space="preserve"> </w:t>
      </w:r>
      <w:r w:rsidR="004E2865" w:rsidRPr="00FD59F8">
        <w:rPr>
          <w:rFonts w:eastAsia="Calibri"/>
          <w:snapToGrid/>
          <w:kern w:val="0"/>
          <w:szCs w:val="22"/>
        </w:rPr>
        <w:t>primari</w:t>
      </w:r>
      <w:r w:rsidR="00625F75" w:rsidRPr="00FD59F8">
        <w:rPr>
          <w:rFonts w:eastAsia="Calibri"/>
          <w:snapToGrid/>
          <w:kern w:val="0"/>
          <w:szCs w:val="22"/>
        </w:rPr>
        <w:t xml:space="preserve">ly </w:t>
      </w:r>
      <w:r w:rsidR="00334BBD" w:rsidRPr="00FD59F8">
        <w:rPr>
          <w:rFonts w:eastAsia="Calibri"/>
          <w:snapToGrid/>
          <w:kern w:val="0"/>
          <w:szCs w:val="22"/>
        </w:rPr>
        <w:t xml:space="preserve">on </w:t>
      </w:r>
      <w:r w:rsidR="004903A2" w:rsidRPr="00FD59F8">
        <w:rPr>
          <w:rFonts w:eastAsia="Calibri"/>
          <w:snapToGrid/>
          <w:kern w:val="0"/>
          <w:szCs w:val="22"/>
        </w:rPr>
        <w:t xml:space="preserve">those </w:t>
      </w:r>
      <w:r w:rsidR="002C56A1" w:rsidRPr="00FD59F8">
        <w:rPr>
          <w:rFonts w:eastAsia="Calibri"/>
          <w:snapToGrid/>
          <w:kern w:val="0"/>
          <w:szCs w:val="22"/>
        </w:rPr>
        <w:t xml:space="preserve">shareholders </w:t>
      </w:r>
      <w:r w:rsidR="007628BC" w:rsidRPr="00FD59F8">
        <w:rPr>
          <w:rFonts w:eastAsia="Calibri"/>
          <w:snapToGrid/>
          <w:kern w:val="0"/>
          <w:szCs w:val="22"/>
        </w:rPr>
        <w:t>with more than five percent interests</w:t>
      </w:r>
      <w:r w:rsidR="0097264A" w:rsidRPr="00FD59F8">
        <w:rPr>
          <w:rFonts w:eastAsia="Calibri"/>
          <w:snapToGrid/>
          <w:kern w:val="0"/>
          <w:szCs w:val="22"/>
        </w:rPr>
        <w:t xml:space="preserve">, </w:t>
      </w:r>
      <w:r w:rsidR="00F15A40" w:rsidRPr="00FD59F8">
        <w:rPr>
          <w:rFonts w:eastAsia="Calibri"/>
          <w:snapToGrid/>
          <w:kern w:val="0"/>
          <w:szCs w:val="22"/>
        </w:rPr>
        <w:t xml:space="preserve">which are reported in certain SEC filings, </w:t>
      </w:r>
      <w:r w:rsidR="0097264A" w:rsidRPr="00FD59F8">
        <w:rPr>
          <w:rFonts w:eastAsia="Calibri"/>
          <w:snapToGrid/>
          <w:kern w:val="0"/>
          <w:szCs w:val="22"/>
        </w:rPr>
        <w:t xml:space="preserve">the burden on licensees will be </w:t>
      </w:r>
      <w:r w:rsidR="00B562EF" w:rsidRPr="00FD59F8">
        <w:rPr>
          <w:rFonts w:eastAsia="Calibri"/>
          <w:snapToGrid/>
          <w:kern w:val="0"/>
          <w:szCs w:val="22"/>
        </w:rPr>
        <w:t xml:space="preserve">greatly </w:t>
      </w:r>
      <w:r w:rsidR="0097264A" w:rsidRPr="00FD59F8">
        <w:rPr>
          <w:rFonts w:eastAsia="Calibri"/>
          <w:snapToGrid/>
          <w:kern w:val="0"/>
          <w:szCs w:val="22"/>
        </w:rPr>
        <w:t xml:space="preserve">reduced while </w:t>
      </w:r>
      <w:r w:rsidR="00C07B83" w:rsidRPr="00FD59F8">
        <w:rPr>
          <w:rFonts w:eastAsia="Calibri"/>
          <w:snapToGrid/>
          <w:kern w:val="0"/>
          <w:szCs w:val="22"/>
        </w:rPr>
        <w:t>retain</w:t>
      </w:r>
      <w:r w:rsidR="004903A2" w:rsidRPr="00FD59F8">
        <w:rPr>
          <w:rFonts w:eastAsia="Calibri"/>
          <w:snapToGrid/>
          <w:kern w:val="0"/>
          <w:szCs w:val="22"/>
        </w:rPr>
        <w:t>ing</w:t>
      </w:r>
      <w:r w:rsidR="00103354" w:rsidRPr="00FD59F8">
        <w:rPr>
          <w:rFonts w:eastAsia="Calibri"/>
          <w:snapToGrid/>
          <w:kern w:val="0"/>
          <w:szCs w:val="22"/>
        </w:rPr>
        <w:t xml:space="preserve"> the ability to review </w:t>
      </w:r>
      <w:r w:rsidR="00C07B83" w:rsidRPr="00FD59F8">
        <w:rPr>
          <w:rFonts w:eastAsia="Calibri"/>
          <w:snapToGrid/>
          <w:kern w:val="0"/>
          <w:szCs w:val="22"/>
        </w:rPr>
        <w:t xml:space="preserve">companies </w:t>
      </w:r>
      <w:r w:rsidR="009A6165" w:rsidRPr="00FD59F8">
        <w:rPr>
          <w:rFonts w:eastAsia="Calibri"/>
          <w:snapToGrid/>
          <w:kern w:val="0"/>
          <w:szCs w:val="22"/>
        </w:rPr>
        <w:t>with</w:t>
      </w:r>
      <w:r w:rsidR="00C07B83" w:rsidRPr="00FD59F8">
        <w:rPr>
          <w:rFonts w:eastAsia="Calibri"/>
          <w:snapToGrid/>
          <w:kern w:val="0"/>
          <w:szCs w:val="22"/>
        </w:rPr>
        <w:t xml:space="preserve"> </w:t>
      </w:r>
      <w:r w:rsidR="00B562EF" w:rsidRPr="00FD59F8">
        <w:rPr>
          <w:rFonts w:eastAsia="Calibri"/>
          <w:snapToGrid/>
          <w:kern w:val="0"/>
          <w:szCs w:val="22"/>
        </w:rPr>
        <w:t xml:space="preserve">significant </w:t>
      </w:r>
      <w:r w:rsidR="00C07B83" w:rsidRPr="00FD59F8">
        <w:rPr>
          <w:rFonts w:eastAsia="Calibri"/>
          <w:snapToGrid/>
          <w:kern w:val="0"/>
          <w:szCs w:val="22"/>
        </w:rPr>
        <w:t xml:space="preserve">foreign ownership held </w:t>
      </w:r>
      <w:r w:rsidR="00103354" w:rsidRPr="00FD59F8">
        <w:rPr>
          <w:rFonts w:eastAsia="Calibri"/>
          <w:snapToGrid/>
          <w:kern w:val="0"/>
          <w:szCs w:val="22"/>
        </w:rPr>
        <w:t xml:space="preserve">by </w:t>
      </w:r>
      <w:r w:rsidR="0097264A" w:rsidRPr="00FD59F8">
        <w:rPr>
          <w:rFonts w:eastAsia="Calibri"/>
          <w:snapToGrid/>
          <w:kern w:val="0"/>
          <w:szCs w:val="22"/>
        </w:rPr>
        <w:t xml:space="preserve">entities </w:t>
      </w:r>
      <w:r w:rsidR="00103354" w:rsidRPr="00FD59F8">
        <w:rPr>
          <w:rFonts w:eastAsia="Calibri"/>
          <w:snapToGrid/>
          <w:kern w:val="0"/>
          <w:szCs w:val="22"/>
        </w:rPr>
        <w:t xml:space="preserve">that are </w:t>
      </w:r>
      <w:r w:rsidR="0097264A" w:rsidRPr="00FD59F8">
        <w:rPr>
          <w:rFonts w:eastAsia="Calibri"/>
          <w:snapToGrid/>
          <w:kern w:val="0"/>
          <w:szCs w:val="22"/>
        </w:rPr>
        <w:t>mo</w:t>
      </w:r>
      <w:r w:rsidR="00C07B83" w:rsidRPr="00FD59F8">
        <w:rPr>
          <w:rFonts w:eastAsia="Calibri"/>
          <w:snapToGrid/>
          <w:kern w:val="0"/>
          <w:szCs w:val="22"/>
        </w:rPr>
        <w:t>re</w:t>
      </w:r>
      <w:r w:rsidR="0097264A" w:rsidRPr="00FD59F8">
        <w:rPr>
          <w:rFonts w:eastAsia="Calibri"/>
          <w:snapToGrid/>
          <w:kern w:val="0"/>
          <w:szCs w:val="22"/>
        </w:rPr>
        <w:t xml:space="preserve"> likely to </w:t>
      </w:r>
      <w:r w:rsidR="00103354" w:rsidRPr="00FD59F8">
        <w:rPr>
          <w:rFonts w:eastAsia="Calibri"/>
          <w:snapToGrid/>
          <w:kern w:val="0"/>
          <w:szCs w:val="22"/>
        </w:rPr>
        <w:t xml:space="preserve">be able to </w:t>
      </w:r>
      <w:r w:rsidR="0097264A" w:rsidRPr="00FD59F8">
        <w:rPr>
          <w:rFonts w:eastAsia="Calibri"/>
          <w:snapToGrid/>
          <w:kern w:val="0"/>
          <w:szCs w:val="22"/>
        </w:rPr>
        <w:t xml:space="preserve">exert influence </w:t>
      </w:r>
      <w:r w:rsidR="004E2865" w:rsidRPr="00FD59F8">
        <w:rPr>
          <w:rFonts w:eastAsia="Calibri"/>
          <w:snapToGrid/>
          <w:kern w:val="0"/>
          <w:szCs w:val="22"/>
        </w:rPr>
        <w:t>over a company</w:t>
      </w:r>
      <w:r w:rsidR="0005715E" w:rsidRPr="00FD59F8">
        <w:rPr>
          <w:rFonts w:eastAsia="Calibri"/>
          <w:snapToGrid/>
          <w:kern w:val="0"/>
          <w:szCs w:val="22"/>
        </w:rPr>
        <w:t>.</w:t>
      </w:r>
    </w:p>
    <w:p w14:paraId="78E381DC" w14:textId="77777777" w:rsidR="009A6165" w:rsidRPr="00FD59F8" w:rsidRDefault="009A6165" w:rsidP="0086046E">
      <w:pPr>
        <w:widowControl/>
        <w:ind w:firstLine="720"/>
        <w:rPr>
          <w:rFonts w:eastAsia="Calibri"/>
          <w:snapToGrid/>
          <w:kern w:val="0"/>
          <w:szCs w:val="22"/>
        </w:rPr>
      </w:pPr>
    </w:p>
    <w:p w14:paraId="4248AA90" w14:textId="5FA4A0A5" w:rsidR="0005715E" w:rsidRPr="00FD59F8" w:rsidRDefault="00C07B83" w:rsidP="0086046E">
      <w:pPr>
        <w:widowControl/>
        <w:ind w:firstLine="720"/>
        <w:rPr>
          <w:rFonts w:eastAsia="Calibri"/>
          <w:snapToGrid/>
          <w:kern w:val="0"/>
          <w:szCs w:val="22"/>
        </w:rPr>
      </w:pPr>
      <w:r w:rsidRPr="00FD59F8">
        <w:rPr>
          <w:rFonts w:eastAsia="Calibri"/>
          <w:snapToGrid/>
          <w:kern w:val="0"/>
          <w:szCs w:val="22"/>
        </w:rPr>
        <w:t>T</w:t>
      </w:r>
      <w:r w:rsidR="00336040" w:rsidRPr="00FD59F8">
        <w:rPr>
          <w:rFonts w:eastAsia="Calibri"/>
          <w:snapToGrid/>
          <w:kern w:val="0"/>
          <w:szCs w:val="22"/>
        </w:rPr>
        <w:t xml:space="preserve">here are </w:t>
      </w:r>
      <w:r w:rsidR="00192247" w:rsidRPr="00FD59F8">
        <w:rPr>
          <w:rFonts w:eastAsia="Calibri"/>
          <w:snapToGrid/>
          <w:kern w:val="0"/>
          <w:szCs w:val="22"/>
        </w:rPr>
        <w:t xml:space="preserve">some </w:t>
      </w:r>
      <w:r w:rsidR="00336040" w:rsidRPr="00FD59F8">
        <w:rPr>
          <w:rFonts w:eastAsia="Calibri"/>
          <w:snapToGrid/>
          <w:kern w:val="0"/>
          <w:szCs w:val="22"/>
        </w:rPr>
        <w:t>things</w:t>
      </w:r>
      <w:r w:rsidRPr="00FD59F8">
        <w:rPr>
          <w:rFonts w:eastAsia="Calibri"/>
          <w:snapToGrid/>
          <w:kern w:val="0"/>
          <w:szCs w:val="22"/>
        </w:rPr>
        <w:t>, however, that</w:t>
      </w:r>
      <w:r w:rsidR="00336040" w:rsidRPr="00FD59F8">
        <w:rPr>
          <w:rFonts w:eastAsia="Calibri"/>
          <w:snapToGrid/>
          <w:kern w:val="0"/>
          <w:szCs w:val="22"/>
        </w:rPr>
        <w:t xml:space="preserve"> </w:t>
      </w:r>
      <w:r w:rsidR="00C34838" w:rsidRPr="00FD59F8">
        <w:rPr>
          <w:rFonts w:eastAsia="Calibri"/>
          <w:snapToGrid/>
          <w:kern w:val="0"/>
          <w:szCs w:val="22"/>
        </w:rPr>
        <w:t xml:space="preserve">I </w:t>
      </w:r>
      <w:r w:rsidR="0005715E" w:rsidRPr="00FD59F8">
        <w:rPr>
          <w:rFonts w:eastAsia="Calibri"/>
          <w:snapToGrid/>
          <w:kern w:val="0"/>
          <w:szCs w:val="22"/>
        </w:rPr>
        <w:t>would have</w:t>
      </w:r>
      <w:r w:rsidR="00336040" w:rsidRPr="00FD59F8">
        <w:rPr>
          <w:rFonts w:eastAsia="Calibri"/>
          <w:snapToGrid/>
          <w:kern w:val="0"/>
          <w:szCs w:val="22"/>
        </w:rPr>
        <w:t xml:space="preserve"> done things differently.  </w:t>
      </w:r>
      <w:r w:rsidRPr="00FD59F8">
        <w:rPr>
          <w:rFonts w:eastAsia="Calibri"/>
          <w:snapToGrid/>
          <w:kern w:val="0"/>
          <w:szCs w:val="22"/>
        </w:rPr>
        <w:t xml:space="preserve">For instance, </w:t>
      </w:r>
      <w:r w:rsidR="0061692A" w:rsidRPr="00FD59F8">
        <w:rPr>
          <w:rFonts w:eastAsia="Calibri"/>
          <w:snapToGrid/>
          <w:kern w:val="0"/>
          <w:szCs w:val="22"/>
        </w:rPr>
        <w:t xml:space="preserve">I hoped that the item would raise </w:t>
      </w:r>
      <w:r w:rsidR="004C0612" w:rsidRPr="00FD59F8">
        <w:rPr>
          <w:rFonts w:eastAsia="Calibri"/>
          <w:snapToGrid/>
          <w:kern w:val="0"/>
          <w:szCs w:val="22"/>
        </w:rPr>
        <w:t xml:space="preserve">the </w:t>
      </w:r>
      <w:r w:rsidR="00823464" w:rsidRPr="00FD59F8">
        <w:rPr>
          <w:rFonts w:eastAsia="Calibri"/>
          <w:snapToGrid/>
          <w:kern w:val="0"/>
          <w:szCs w:val="22"/>
        </w:rPr>
        <w:t xml:space="preserve">overall </w:t>
      </w:r>
      <w:r w:rsidR="004C0612" w:rsidRPr="00FD59F8">
        <w:rPr>
          <w:rFonts w:eastAsia="Calibri"/>
          <w:snapToGrid/>
          <w:kern w:val="0"/>
          <w:szCs w:val="22"/>
        </w:rPr>
        <w:t xml:space="preserve">reporting threshold.  Raising </w:t>
      </w:r>
      <w:r w:rsidR="004903A2" w:rsidRPr="00FD59F8">
        <w:rPr>
          <w:rFonts w:eastAsia="Calibri"/>
          <w:snapToGrid/>
          <w:kern w:val="0"/>
          <w:szCs w:val="22"/>
        </w:rPr>
        <w:t>this level</w:t>
      </w:r>
      <w:r w:rsidR="00A86828" w:rsidRPr="00FD59F8">
        <w:rPr>
          <w:rFonts w:eastAsia="Calibri"/>
          <w:snapToGrid/>
          <w:kern w:val="0"/>
          <w:szCs w:val="22"/>
        </w:rPr>
        <w:t>, which</w:t>
      </w:r>
      <w:r w:rsidR="004C0612" w:rsidRPr="00FD59F8">
        <w:rPr>
          <w:rFonts w:eastAsia="Calibri"/>
          <w:snapToGrid/>
          <w:kern w:val="0"/>
          <w:szCs w:val="22"/>
        </w:rPr>
        <w:t xml:space="preserve"> trigger</w:t>
      </w:r>
      <w:r w:rsidR="0014745B" w:rsidRPr="00FD59F8">
        <w:rPr>
          <w:rFonts w:eastAsia="Calibri"/>
          <w:snapToGrid/>
          <w:kern w:val="0"/>
          <w:szCs w:val="22"/>
        </w:rPr>
        <w:t>s</w:t>
      </w:r>
      <w:r w:rsidR="004C0612" w:rsidRPr="00FD59F8">
        <w:rPr>
          <w:rFonts w:eastAsia="Calibri"/>
          <w:snapToGrid/>
          <w:kern w:val="0"/>
          <w:szCs w:val="22"/>
        </w:rPr>
        <w:t xml:space="preserve"> the time-consuming review process</w:t>
      </w:r>
      <w:r w:rsidR="0014745B" w:rsidRPr="00FD59F8">
        <w:rPr>
          <w:rFonts w:eastAsia="Calibri"/>
          <w:snapToGrid/>
          <w:kern w:val="0"/>
          <w:szCs w:val="22"/>
        </w:rPr>
        <w:t>,</w:t>
      </w:r>
      <w:r w:rsidR="004C0612" w:rsidRPr="00FD59F8">
        <w:rPr>
          <w:rFonts w:eastAsia="Calibri"/>
          <w:snapToGrid/>
          <w:kern w:val="0"/>
          <w:szCs w:val="22"/>
        </w:rPr>
        <w:t xml:space="preserve"> would reduce costs on industry participant</w:t>
      </w:r>
      <w:r w:rsidR="00E97244" w:rsidRPr="00FD59F8">
        <w:rPr>
          <w:rFonts w:eastAsia="Calibri"/>
          <w:snapToGrid/>
          <w:kern w:val="0"/>
          <w:szCs w:val="22"/>
        </w:rPr>
        <w:t xml:space="preserve">s, align the U.S. with </w:t>
      </w:r>
      <w:r w:rsidR="00994D08" w:rsidRPr="00FD59F8">
        <w:rPr>
          <w:rFonts w:eastAsia="Calibri"/>
          <w:snapToGrid/>
          <w:kern w:val="0"/>
          <w:szCs w:val="22"/>
        </w:rPr>
        <w:t>nations</w:t>
      </w:r>
      <w:r w:rsidR="004C0612" w:rsidRPr="00FD59F8">
        <w:rPr>
          <w:rFonts w:eastAsia="Calibri"/>
          <w:snapToGrid/>
          <w:kern w:val="0"/>
          <w:szCs w:val="22"/>
        </w:rPr>
        <w:t xml:space="preserve"> that permit higher levels of foreign investment, and reduce the efforts of other countries to restrict U.S. investment </w:t>
      </w:r>
      <w:r w:rsidR="00903FDE" w:rsidRPr="00FD59F8">
        <w:rPr>
          <w:rFonts w:eastAsia="Calibri"/>
          <w:snapToGrid/>
          <w:kern w:val="0"/>
          <w:szCs w:val="22"/>
        </w:rPr>
        <w:t xml:space="preserve">based on our </w:t>
      </w:r>
      <w:r w:rsidR="00527BF7" w:rsidRPr="00FD59F8">
        <w:rPr>
          <w:rFonts w:eastAsia="Calibri"/>
          <w:snapToGrid/>
          <w:kern w:val="0"/>
          <w:szCs w:val="22"/>
        </w:rPr>
        <w:t>ownership restrictions</w:t>
      </w:r>
      <w:r w:rsidR="00CF3E24" w:rsidRPr="00FD59F8">
        <w:rPr>
          <w:rFonts w:eastAsia="Calibri"/>
          <w:snapToGrid/>
          <w:kern w:val="0"/>
          <w:szCs w:val="22"/>
        </w:rPr>
        <w:t xml:space="preserve">.  </w:t>
      </w:r>
      <w:r w:rsidR="004C0612" w:rsidRPr="00FD59F8">
        <w:rPr>
          <w:rFonts w:eastAsia="Calibri"/>
          <w:snapToGrid/>
          <w:kern w:val="0"/>
          <w:szCs w:val="22"/>
        </w:rPr>
        <w:t xml:space="preserve">While we do not </w:t>
      </w:r>
      <w:r w:rsidR="004903A2" w:rsidRPr="00FD59F8">
        <w:rPr>
          <w:rFonts w:eastAsia="Calibri"/>
          <w:snapToGrid/>
          <w:kern w:val="0"/>
          <w:szCs w:val="22"/>
        </w:rPr>
        <w:t>do this</w:t>
      </w:r>
      <w:r w:rsidR="004C0612" w:rsidRPr="00FD59F8">
        <w:rPr>
          <w:rFonts w:eastAsia="Calibri"/>
          <w:snapToGrid/>
          <w:kern w:val="0"/>
          <w:szCs w:val="22"/>
        </w:rPr>
        <w:t xml:space="preserve"> today, I am pleased t</w:t>
      </w:r>
      <w:r w:rsidR="00740EFA" w:rsidRPr="00FD59F8">
        <w:rPr>
          <w:rFonts w:eastAsia="Calibri"/>
          <w:snapToGrid/>
          <w:kern w:val="0"/>
          <w:szCs w:val="22"/>
        </w:rPr>
        <w:t>hat the item states that we may pursue such measures</w:t>
      </w:r>
      <w:r w:rsidR="004C0612" w:rsidRPr="00FD59F8">
        <w:rPr>
          <w:rFonts w:eastAsia="Calibri"/>
          <w:snapToGrid/>
          <w:kern w:val="0"/>
          <w:szCs w:val="22"/>
        </w:rPr>
        <w:t xml:space="preserve"> in the future.  </w:t>
      </w:r>
    </w:p>
    <w:p w14:paraId="78C4413B" w14:textId="77777777" w:rsidR="004C0612" w:rsidRPr="00FD59F8" w:rsidRDefault="004C0612" w:rsidP="0086046E">
      <w:pPr>
        <w:widowControl/>
        <w:ind w:firstLine="720"/>
        <w:rPr>
          <w:rFonts w:eastAsia="Calibri"/>
          <w:snapToGrid/>
          <w:kern w:val="0"/>
          <w:szCs w:val="22"/>
        </w:rPr>
      </w:pPr>
    </w:p>
    <w:p w14:paraId="118771C8" w14:textId="062E17D0" w:rsidR="00B264C4" w:rsidRPr="00FD59F8" w:rsidRDefault="0097264A" w:rsidP="00336040">
      <w:pPr>
        <w:ind w:firstLine="720"/>
        <w:rPr>
          <w:rFonts w:eastAsia="Calibri"/>
          <w:snapToGrid/>
          <w:kern w:val="0"/>
          <w:szCs w:val="22"/>
        </w:rPr>
      </w:pPr>
      <w:r w:rsidRPr="00FD59F8">
        <w:rPr>
          <w:rFonts w:eastAsia="Calibri"/>
          <w:snapToGrid/>
          <w:kern w:val="0"/>
          <w:szCs w:val="22"/>
        </w:rPr>
        <w:t>In that regard</w:t>
      </w:r>
      <w:r w:rsidR="004C0612" w:rsidRPr="00FD59F8">
        <w:rPr>
          <w:rFonts w:eastAsia="Calibri"/>
          <w:snapToGrid/>
          <w:kern w:val="0"/>
          <w:szCs w:val="22"/>
        </w:rPr>
        <w:t>,</w:t>
      </w:r>
      <w:r w:rsidR="0026360A" w:rsidRPr="00FD59F8">
        <w:rPr>
          <w:rFonts w:eastAsia="Calibri"/>
          <w:snapToGrid/>
          <w:kern w:val="0"/>
          <w:szCs w:val="22"/>
        </w:rPr>
        <w:t xml:space="preserve"> the Commission must finish its proceeding on Team Telecom to truly streamline its foreign ownership review.  We can take all the steps we want, but if Team Telecom can hold up application</w:t>
      </w:r>
      <w:r w:rsidR="00336040" w:rsidRPr="00FD59F8">
        <w:rPr>
          <w:rFonts w:eastAsia="Calibri"/>
          <w:snapToGrid/>
          <w:kern w:val="0"/>
          <w:szCs w:val="22"/>
        </w:rPr>
        <w:t>s</w:t>
      </w:r>
      <w:r w:rsidR="0026360A" w:rsidRPr="00FD59F8">
        <w:rPr>
          <w:rFonts w:eastAsia="Calibri"/>
          <w:snapToGrid/>
          <w:kern w:val="0"/>
          <w:szCs w:val="22"/>
        </w:rPr>
        <w:t xml:space="preserve"> for years</w:t>
      </w:r>
      <w:r w:rsidRPr="00FD59F8">
        <w:rPr>
          <w:rFonts w:eastAsia="Calibri"/>
          <w:snapToGrid/>
          <w:kern w:val="0"/>
          <w:szCs w:val="22"/>
        </w:rPr>
        <w:t xml:space="preserve"> in a regulatory abyss</w:t>
      </w:r>
      <w:r w:rsidR="0026360A" w:rsidRPr="00FD59F8">
        <w:rPr>
          <w:rFonts w:eastAsia="Calibri"/>
          <w:snapToGrid/>
          <w:kern w:val="0"/>
          <w:szCs w:val="22"/>
        </w:rPr>
        <w:t xml:space="preserve">, all of these improvements are </w:t>
      </w:r>
      <w:r w:rsidR="004903A2" w:rsidRPr="00FD59F8">
        <w:rPr>
          <w:rFonts w:eastAsia="Calibri"/>
          <w:snapToGrid/>
          <w:kern w:val="0"/>
          <w:szCs w:val="22"/>
        </w:rPr>
        <w:t>of little value</w:t>
      </w:r>
      <w:r w:rsidR="0026360A" w:rsidRPr="00FD59F8">
        <w:rPr>
          <w:rFonts w:eastAsia="Calibri"/>
          <w:snapToGrid/>
          <w:kern w:val="0"/>
          <w:szCs w:val="22"/>
        </w:rPr>
        <w:t>.</w:t>
      </w:r>
      <w:r w:rsidR="005916AA" w:rsidRPr="00FD59F8">
        <w:rPr>
          <w:rFonts w:eastAsia="Calibri"/>
          <w:snapToGrid/>
          <w:kern w:val="0"/>
          <w:szCs w:val="22"/>
        </w:rPr>
        <w:t xml:space="preserve"> </w:t>
      </w:r>
      <w:r w:rsidR="004903A2" w:rsidRPr="00FD59F8">
        <w:rPr>
          <w:rFonts w:eastAsia="Calibri"/>
          <w:snapToGrid/>
          <w:kern w:val="0"/>
          <w:szCs w:val="22"/>
        </w:rPr>
        <w:t>F</w:t>
      </w:r>
      <w:r w:rsidR="005916AA" w:rsidRPr="00FD59F8">
        <w:rPr>
          <w:rFonts w:eastAsia="Calibri"/>
          <w:snapToGrid/>
          <w:kern w:val="0"/>
          <w:szCs w:val="22"/>
        </w:rPr>
        <w:t>ailing to identify the concerns, hiding behind an opaque structure</w:t>
      </w:r>
      <w:r w:rsidR="00A23FF6" w:rsidRPr="00FD59F8">
        <w:rPr>
          <w:rFonts w:eastAsia="Calibri"/>
          <w:snapToGrid/>
          <w:kern w:val="0"/>
          <w:szCs w:val="22"/>
        </w:rPr>
        <w:t xml:space="preserve"> and</w:t>
      </w:r>
      <w:r w:rsidR="00B84340" w:rsidRPr="00FD59F8">
        <w:rPr>
          <w:rFonts w:eastAsia="Calibri"/>
          <w:snapToGrid/>
          <w:kern w:val="0"/>
          <w:szCs w:val="22"/>
        </w:rPr>
        <w:t xml:space="preserve"> delaying or </w:t>
      </w:r>
      <w:r w:rsidR="00A23FF6" w:rsidRPr="00FD59F8">
        <w:rPr>
          <w:rFonts w:eastAsia="Calibri"/>
          <w:snapToGrid/>
          <w:kern w:val="0"/>
          <w:szCs w:val="22"/>
        </w:rPr>
        <w:t xml:space="preserve">refusing to conclude </w:t>
      </w:r>
      <w:r w:rsidR="008465B1" w:rsidRPr="00FD59F8">
        <w:rPr>
          <w:rFonts w:eastAsia="Calibri"/>
          <w:snapToGrid/>
          <w:kern w:val="0"/>
          <w:szCs w:val="22"/>
        </w:rPr>
        <w:t>a review</w:t>
      </w:r>
      <w:r w:rsidR="00001679" w:rsidRPr="00FD59F8">
        <w:rPr>
          <w:rFonts w:eastAsia="Calibri"/>
          <w:snapToGrid/>
          <w:kern w:val="0"/>
          <w:szCs w:val="22"/>
        </w:rPr>
        <w:t>,</w:t>
      </w:r>
      <w:r w:rsidR="00A23FF6" w:rsidRPr="00FD59F8">
        <w:rPr>
          <w:rFonts w:eastAsia="Calibri"/>
          <w:snapToGrid/>
          <w:kern w:val="0"/>
          <w:szCs w:val="22"/>
        </w:rPr>
        <w:t xml:space="preserve"> </w:t>
      </w:r>
      <w:r w:rsidR="004903A2" w:rsidRPr="00FD59F8">
        <w:rPr>
          <w:rFonts w:eastAsia="Calibri"/>
          <w:snapToGrid/>
          <w:kern w:val="0"/>
          <w:szCs w:val="22"/>
        </w:rPr>
        <w:t>as Team Telecom does right now</w:t>
      </w:r>
      <w:r w:rsidR="00001679" w:rsidRPr="00FD59F8">
        <w:rPr>
          <w:rFonts w:eastAsia="Calibri"/>
          <w:snapToGrid/>
          <w:kern w:val="0"/>
          <w:szCs w:val="22"/>
        </w:rPr>
        <w:t>,</w:t>
      </w:r>
      <w:r w:rsidR="004903A2" w:rsidRPr="00FD59F8">
        <w:rPr>
          <w:rFonts w:eastAsia="Calibri"/>
          <w:snapToGrid/>
          <w:kern w:val="0"/>
          <w:szCs w:val="22"/>
        </w:rPr>
        <w:t xml:space="preserve"> </w:t>
      </w:r>
      <w:r w:rsidR="004B5042" w:rsidRPr="00FD59F8">
        <w:rPr>
          <w:rFonts w:eastAsia="Calibri"/>
          <w:snapToGrid/>
          <w:kern w:val="0"/>
          <w:szCs w:val="22"/>
        </w:rPr>
        <w:t>is incomprehensible</w:t>
      </w:r>
      <w:r w:rsidR="0006759B" w:rsidRPr="00FD59F8">
        <w:rPr>
          <w:rFonts w:eastAsia="Calibri"/>
          <w:snapToGrid/>
          <w:kern w:val="0"/>
          <w:szCs w:val="22"/>
        </w:rPr>
        <w:t xml:space="preserve">. </w:t>
      </w:r>
      <w:r w:rsidR="00C51FFD" w:rsidRPr="00FD59F8">
        <w:rPr>
          <w:rFonts w:eastAsia="Calibri"/>
          <w:snapToGrid/>
          <w:kern w:val="0"/>
          <w:szCs w:val="22"/>
        </w:rPr>
        <w:t xml:space="preserve"> </w:t>
      </w:r>
      <w:r w:rsidR="00192247" w:rsidRPr="00FD59F8">
        <w:rPr>
          <w:rFonts w:eastAsia="Calibri"/>
          <w:snapToGrid/>
          <w:kern w:val="0"/>
          <w:szCs w:val="22"/>
        </w:rPr>
        <w:t>That docket i</w:t>
      </w:r>
      <w:r w:rsidR="00C51FFD" w:rsidRPr="00FD59F8">
        <w:rPr>
          <w:rFonts w:eastAsia="Calibri"/>
          <w:snapToGrid/>
          <w:kern w:val="0"/>
          <w:szCs w:val="22"/>
        </w:rPr>
        <w:t>s</w:t>
      </w:r>
      <w:r w:rsidR="00192247" w:rsidRPr="00FD59F8">
        <w:rPr>
          <w:rFonts w:eastAsia="Calibri"/>
          <w:snapToGrid/>
          <w:kern w:val="0"/>
          <w:szCs w:val="22"/>
        </w:rPr>
        <w:t xml:space="preserve"> </w:t>
      </w:r>
      <w:r w:rsidR="004903A2" w:rsidRPr="00FD59F8">
        <w:rPr>
          <w:rFonts w:eastAsia="Calibri"/>
          <w:snapToGrid/>
          <w:kern w:val="0"/>
          <w:szCs w:val="22"/>
        </w:rPr>
        <w:t>nearly universally filled with</w:t>
      </w:r>
      <w:r w:rsidR="00192247" w:rsidRPr="00FD59F8">
        <w:rPr>
          <w:rFonts w:eastAsia="Calibri"/>
          <w:snapToGrid/>
          <w:kern w:val="0"/>
          <w:szCs w:val="22"/>
        </w:rPr>
        <w:t xml:space="preserve"> filings</w:t>
      </w:r>
      <w:r w:rsidR="004903A2" w:rsidRPr="00FD59F8">
        <w:rPr>
          <w:rFonts w:eastAsia="Calibri"/>
          <w:snapToGrid/>
          <w:kern w:val="0"/>
          <w:szCs w:val="22"/>
        </w:rPr>
        <w:t xml:space="preserve"> </w:t>
      </w:r>
      <w:r w:rsidR="0026360A" w:rsidRPr="00FD59F8">
        <w:rPr>
          <w:rFonts w:eastAsia="Calibri"/>
          <w:snapToGrid/>
          <w:kern w:val="0"/>
          <w:szCs w:val="22"/>
        </w:rPr>
        <w:t>indicat</w:t>
      </w:r>
      <w:r w:rsidR="00192247" w:rsidRPr="00FD59F8">
        <w:rPr>
          <w:rFonts w:eastAsia="Calibri"/>
          <w:snapToGrid/>
          <w:kern w:val="0"/>
          <w:szCs w:val="22"/>
        </w:rPr>
        <w:t>ing</w:t>
      </w:r>
      <w:r w:rsidR="0026360A" w:rsidRPr="00FD59F8">
        <w:rPr>
          <w:rFonts w:eastAsia="Calibri"/>
          <w:snapToGrid/>
          <w:kern w:val="0"/>
          <w:szCs w:val="22"/>
        </w:rPr>
        <w:t xml:space="preserve"> that </w:t>
      </w:r>
      <w:r w:rsidRPr="00FD59F8">
        <w:rPr>
          <w:rFonts w:eastAsia="Calibri"/>
          <w:snapToGrid/>
          <w:kern w:val="0"/>
          <w:szCs w:val="22"/>
        </w:rPr>
        <w:t xml:space="preserve">drastic </w:t>
      </w:r>
      <w:r w:rsidR="004903A2" w:rsidRPr="00FD59F8">
        <w:rPr>
          <w:rFonts w:eastAsia="Calibri"/>
          <w:snapToGrid/>
          <w:kern w:val="0"/>
          <w:szCs w:val="22"/>
        </w:rPr>
        <w:t xml:space="preserve">improvements to Team Telecom </w:t>
      </w:r>
      <w:r w:rsidRPr="00FD59F8">
        <w:rPr>
          <w:rFonts w:eastAsia="Calibri"/>
          <w:snapToGrid/>
          <w:kern w:val="0"/>
          <w:szCs w:val="22"/>
        </w:rPr>
        <w:t>are</w:t>
      </w:r>
      <w:r w:rsidR="0026360A" w:rsidRPr="00FD59F8">
        <w:rPr>
          <w:rFonts w:eastAsia="Calibri"/>
          <w:snapToGrid/>
          <w:kern w:val="0"/>
          <w:szCs w:val="22"/>
        </w:rPr>
        <w:t xml:space="preserve"> needed</w:t>
      </w:r>
      <w:r w:rsidR="00566DE0" w:rsidRPr="00FD59F8">
        <w:rPr>
          <w:rFonts w:eastAsia="Calibri"/>
          <w:snapToGrid/>
          <w:kern w:val="0"/>
          <w:szCs w:val="22"/>
        </w:rPr>
        <w:t>,</w:t>
      </w:r>
      <w:r w:rsidR="004903A2" w:rsidRPr="00FD59F8">
        <w:rPr>
          <w:rFonts w:eastAsia="Calibri"/>
          <w:snapToGrid/>
          <w:kern w:val="0"/>
          <w:szCs w:val="22"/>
        </w:rPr>
        <w:t xml:space="preserve"> and </w:t>
      </w:r>
      <w:r w:rsidR="00566DE0" w:rsidRPr="00FD59F8">
        <w:rPr>
          <w:rFonts w:eastAsia="Calibri"/>
          <w:snapToGrid/>
          <w:kern w:val="0"/>
          <w:szCs w:val="22"/>
        </w:rPr>
        <w:t xml:space="preserve">it </w:t>
      </w:r>
      <w:r w:rsidR="0006759B" w:rsidRPr="00FD59F8">
        <w:rPr>
          <w:rFonts w:eastAsia="Calibri"/>
          <w:snapToGrid/>
          <w:kern w:val="0"/>
          <w:szCs w:val="22"/>
        </w:rPr>
        <w:t xml:space="preserve">needs to be resolved </w:t>
      </w:r>
      <w:r w:rsidR="00511ED0" w:rsidRPr="00FD59F8">
        <w:rPr>
          <w:rFonts w:eastAsia="Calibri"/>
          <w:snapToGrid/>
          <w:kern w:val="0"/>
          <w:szCs w:val="22"/>
        </w:rPr>
        <w:t xml:space="preserve">in the </w:t>
      </w:r>
      <w:r w:rsidR="00823464" w:rsidRPr="00FD59F8">
        <w:rPr>
          <w:rFonts w:eastAsia="Calibri"/>
          <w:snapToGrid/>
          <w:kern w:val="0"/>
          <w:szCs w:val="22"/>
        </w:rPr>
        <w:t xml:space="preserve">very </w:t>
      </w:r>
      <w:r w:rsidR="00511ED0" w:rsidRPr="00FD59F8">
        <w:rPr>
          <w:rFonts w:eastAsia="Calibri"/>
          <w:snapToGrid/>
          <w:kern w:val="0"/>
          <w:szCs w:val="22"/>
        </w:rPr>
        <w:t>near term</w:t>
      </w:r>
      <w:r w:rsidR="0006759B" w:rsidRPr="00FD59F8">
        <w:rPr>
          <w:rFonts w:eastAsia="Calibri"/>
          <w:snapToGrid/>
          <w:kern w:val="0"/>
          <w:szCs w:val="22"/>
        </w:rPr>
        <w:t xml:space="preserve">.  </w:t>
      </w:r>
    </w:p>
    <w:p w14:paraId="63681941" w14:textId="77777777" w:rsidR="004E2865" w:rsidRPr="00FD59F8" w:rsidRDefault="004E2865" w:rsidP="00336040">
      <w:pPr>
        <w:ind w:firstLine="720"/>
        <w:rPr>
          <w:rFonts w:eastAsia="Calibri"/>
          <w:snapToGrid/>
          <w:kern w:val="0"/>
          <w:szCs w:val="22"/>
        </w:rPr>
      </w:pPr>
    </w:p>
    <w:p w14:paraId="2B9DC63B" w14:textId="0231125D" w:rsidR="004E2865" w:rsidRPr="00FD59F8" w:rsidRDefault="004E2865" w:rsidP="00336040">
      <w:pPr>
        <w:ind w:firstLine="720"/>
        <w:rPr>
          <w:szCs w:val="22"/>
        </w:rPr>
      </w:pPr>
      <w:r w:rsidRPr="00FD59F8">
        <w:rPr>
          <w:rFonts w:eastAsia="Calibri"/>
          <w:snapToGrid/>
          <w:kern w:val="0"/>
          <w:szCs w:val="22"/>
        </w:rPr>
        <w:t xml:space="preserve">I thank the Chairman for incorporating my edits, and </w:t>
      </w:r>
      <w:r w:rsidR="00145D8F" w:rsidRPr="00FD59F8">
        <w:rPr>
          <w:rFonts w:eastAsia="Calibri"/>
          <w:snapToGrid/>
          <w:kern w:val="0"/>
          <w:szCs w:val="22"/>
        </w:rPr>
        <w:t xml:space="preserve">I cannot thank Mindel De La Torre and Bill Lake’s teams enough for all of their hard </w:t>
      </w:r>
      <w:r w:rsidRPr="00FD59F8">
        <w:rPr>
          <w:rFonts w:eastAsia="Calibri"/>
          <w:snapToGrid/>
          <w:kern w:val="0"/>
          <w:szCs w:val="22"/>
        </w:rPr>
        <w:t>work on this item.</w:t>
      </w:r>
    </w:p>
    <w:sectPr w:rsidR="004E2865" w:rsidRPr="00FD59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02DD8" w14:textId="77777777" w:rsidR="000271FF" w:rsidRDefault="000271FF" w:rsidP="003803D5">
      <w:r>
        <w:separator/>
      </w:r>
    </w:p>
  </w:endnote>
  <w:endnote w:type="continuationSeparator" w:id="0">
    <w:p w14:paraId="520AB8EB" w14:textId="77777777" w:rsidR="000271FF" w:rsidRDefault="000271FF" w:rsidP="003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6227" w14:textId="77777777" w:rsidR="00376479" w:rsidRDefault="00376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BD8F" w14:textId="77777777" w:rsidR="00376479" w:rsidRDefault="003764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12FE" w14:textId="77777777" w:rsidR="00376479" w:rsidRDefault="0037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C8ACF" w14:textId="77777777" w:rsidR="000271FF" w:rsidRDefault="000271FF" w:rsidP="003803D5">
      <w:r>
        <w:separator/>
      </w:r>
    </w:p>
  </w:footnote>
  <w:footnote w:type="continuationSeparator" w:id="0">
    <w:p w14:paraId="3E67ED6B" w14:textId="77777777" w:rsidR="000271FF" w:rsidRDefault="000271FF" w:rsidP="0038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11E7" w14:textId="77777777" w:rsidR="00376479" w:rsidRDefault="00376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2324" w14:textId="77777777" w:rsidR="00376479" w:rsidRDefault="00376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24DB" w14:textId="77777777" w:rsidR="00376479" w:rsidRDefault="00376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E"/>
    <w:rsid w:val="00001679"/>
    <w:rsid w:val="000271FF"/>
    <w:rsid w:val="0005715E"/>
    <w:rsid w:val="00063A3D"/>
    <w:rsid w:val="0006759B"/>
    <w:rsid w:val="000D21CD"/>
    <w:rsid w:val="000F7F59"/>
    <w:rsid w:val="001019C7"/>
    <w:rsid w:val="00103354"/>
    <w:rsid w:val="00116853"/>
    <w:rsid w:val="00145D8F"/>
    <w:rsid w:val="0014745B"/>
    <w:rsid w:val="00192247"/>
    <w:rsid w:val="001A4143"/>
    <w:rsid w:val="001C1721"/>
    <w:rsid w:val="001E20CE"/>
    <w:rsid w:val="00250DF2"/>
    <w:rsid w:val="0026360A"/>
    <w:rsid w:val="002C56A1"/>
    <w:rsid w:val="003040FC"/>
    <w:rsid w:val="00334BBD"/>
    <w:rsid w:val="00336040"/>
    <w:rsid w:val="00365468"/>
    <w:rsid w:val="00376479"/>
    <w:rsid w:val="003803D5"/>
    <w:rsid w:val="003D2528"/>
    <w:rsid w:val="003E7EEC"/>
    <w:rsid w:val="003F3057"/>
    <w:rsid w:val="003F5E98"/>
    <w:rsid w:val="00490070"/>
    <w:rsid w:val="004903A2"/>
    <w:rsid w:val="004B5042"/>
    <w:rsid w:val="004C0612"/>
    <w:rsid w:val="004E2865"/>
    <w:rsid w:val="00511ED0"/>
    <w:rsid w:val="005236B3"/>
    <w:rsid w:val="00525230"/>
    <w:rsid w:val="00527BF7"/>
    <w:rsid w:val="00566DE0"/>
    <w:rsid w:val="005862C8"/>
    <w:rsid w:val="005916AA"/>
    <w:rsid w:val="005A7F80"/>
    <w:rsid w:val="005C1D4B"/>
    <w:rsid w:val="005D32A5"/>
    <w:rsid w:val="00602ACB"/>
    <w:rsid w:val="00607884"/>
    <w:rsid w:val="0061692A"/>
    <w:rsid w:val="00625F75"/>
    <w:rsid w:val="006B264A"/>
    <w:rsid w:val="006D6987"/>
    <w:rsid w:val="00740EFA"/>
    <w:rsid w:val="00745922"/>
    <w:rsid w:val="00752C71"/>
    <w:rsid w:val="007628BC"/>
    <w:rsid w:val="0076458B"/>
    <w:rsid w:val="007B241E"/>
    <w:rsid w:val="007C51F7"/>
    <w:rsid w:val="007D6AF5"/>
    <w:rsid w:val="00823464"/>
    <w:rsid w:val="008465B1"/>
    <w:rsid w:val="0086046E"/>
    <w:rsid w:val="008B07A6"/>
    <w:rsid w:val="008C2B9B"/>
    <w:rsid w:val="008C5F95"/>
    <w:rsid w:val="00903FDE"/>
    <w:rsid w:val="00924D05"/>
    <w:rsid w:val="009537B7"/>
    <w:rsid w:val="00966570"/>
    <w:rsid w:val="0097264A"/>
    <w:rsid w:val="00994D08"/>
    <w:rsid w:val="009A6165"/>
    <w:rsid w:val="009B1017"/>
    <w:rsid w:val="00A23FF6"/>
    <w:rsid w:val="00A4109F"/>
    <w:rsid w:val="00A56AC1"/>
    <w:rsid w:val="00A56C6D"/>
    <w:rsid w:val="00A86828"/>
    <w:rsid w:val="00A87224"/>
    <w:rsid w:val="00AD5A2A"/>
    <w:rsid w:val="00B21970"/>
    <w:rsid w:val="00B264C4"/>
    <w:rsid w:val="00B562EF"/>
    <w:rsid w:val="00B571BE"/>
    <w:rsid w:val="00B675F5"/>
    <w:rsid w:val="00B84340"/>
    <w:rsid w:val="00B84D88"/>
    <w:rsid w:val="00BE403E"/>
    <w:rsid w:val="00C07B83"/>
    <w:rsid w:val="00C34838"/>
    <w:rsid w:val="00C51FFD"/>
    <w:rsid w:val="00C83F0B"/>
    <w:rsid w:val="00CF3E24"/>
    <w:rsid w:val="00CF6576"/>
    <w:rsid w:val="00D100CC"/>
    <w:rsid w:val="00D40021"/>
    <w:rsid w:val="00D94F7C"/>
    <w:rsid w:val="00DB4E8E"/>
    <w:rsid w:val="00DC61E1"/>
    <w:rsid w:val="00E14A1F"/>
    <w:rsid w:val="00E45832"/>
    <w:rsid w:val="00E725B9"/>
    <w:rsid w:val="00E904E9"/>
    <w:rsid w:val="00E97244"/>
    <w:rsid w:val="00EA7B37"/>
    <w:rsid w:val="00F15A40"/>
    <w:rsid w:val="00FD59F8"/>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2386</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2016-09-30T17:26:00Z</dcterms:created>
  <dcterms:modified xsi:type="dcterms:W3CDTF">2016-09-30T17:26:00Z</dcterms:modified>
  <cp:category> </cp:category>
  <cp:contentStatus> </cp:contentStatus>
</cp:coreProperties>
</file>