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A8B56" w14:textId="77777777" w:rsidR="004C2EE3" w:rsidRDefault="004C2EE3" w:rsidP="00111586">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6D203FD3" w14:textId="77777777" w:rsidR="00921803" w:rsidRDefault="00921803" w:rsidP="00111586">
      <w:pPr>
        <w:pStyle w:val="StyleBoldCentered"/>
      </w:pPr>
      <w:r>
        <w:t>F</w:t>
      </w:r>
      <w:r>
        <w:rPr>
          <w:caps w:val="0"/>
        </w:rPr>
        <w:t>ederal Communications Commission</w:t>
      </w:r>
    </w:p>
    <w:p w14:paraId="093D7CD7" w14:textId="77777777" w:rsidR="004C2EE3" w:rsidRDefault="00810B6F" w:rsidP="00111586">
      <w:pPr>
        <w:pStyle w:val="StyleBoldCentered"/>
      </w:pPr>
      <w:r>
        <w:rPr>
          <w:caps w:val="0"/>
        </w:rPr>
        <w:t>Washington, D.C. 20554</w:t>
      </w:r>
    </w:p>
    <w:p w14:paraId="4CF57A26" w14:textId="77777777" w:rsidR="004C2EE3" w:rsidRDefault="004C2EE3" w:rsidP="00111586"/>
    <w:tbl>
      <w:tblPr>
        <w:tblW w:w="0" w:type="auto"/>
        <w:tblLayout w:type="fixed"/>
        <w:tblLook w:val="0000" w:firstRow="0" w:lastRow="0" w:firstColumn="0" w:lastColumn="0" w:noHBand="0" w:noVBand="0"/>
      </w:tblPr>
      <w:tblGrid>
        <w:gridCol w:w="4698"/>
        <w:gridCol w:w="630"/>
        <w:gridCol w:w="4248"/>
      </w:tblGrid>
      <w:tr w:rsidR="004C2EE3" w14:paraId="15F02C06" w14:textId="77777777">
        <w:tc>
          <w:tcPr>
            <w:tcW w:w="4698" w:type="dxa"/>
          </w:tcPr>
          <w:p w14:paraId="005BDF4C" w14:textId="77777777" w:rsidR="004C2EE3" w:rsidRDefault="004C2EE3" w:rsidP="00111586">
            <w:pPr>
              <w:tabs>
                <w:tab w:val="center" w:pos="4680"/>
              </w:tabs>
              <w:suppressAutoHyphens/>
              <w:rPr>
                <w:spacing w:val="-2"/>
              </w:rPr>
            </w:pPr>
            <w:r>
              <w:rPr>
                <w:spacing w:val="-2"/>
              </w:rPr>
              <w:t>In the Matter of</w:t>
            </w:r>
          </w:p>
          <w:p w14:paraId="5F9211C4" w14:textId="77777777" w:rsidR="004C2EE3" w:rsidRDefault="004C2EE3" w:rsidP="00111586">
            <w:pPr>
              <w:tabs>
                <w:tab w:val="center" w:pos="4680"/>
              </w:tabs>
              <w:suppressAutoHyphens/>
              <w:rPr>
                <w:spacing w:val="-2"/>
              </w:rPr>
            </w:pPr>
          </w:p>
          <w:p w14:paraId="01C07E06" w14:textId="6DF7532A" w:rsidR="004C2EE3" w:rsidRDefault="004D27DC" w:rsidP="00111586">
            <w:pPr>
              <w:tabs>
                <w:tab w:val="center" w:pos="4680"/>
              </w:tabs>
              <w:suppressAutoHyphens/>
              <w:rPr>
                <w:spacing w:val="-2"/>
              </w:rPr>
            </w:pPr>
            <w:r>
              <w:rPr>
                <w:spacing w:val="-2"/>
              </w:rPr>
              <w:t>M</w:t>
            </w:r>
            <w:r w:rsidR="009B1916">
              <w:rPr>
                <w:spacing w:val="-2"/>
              </w:rPr>
              <w:t xml:space="preserve">atthew </w:t>
            </w:r>
            <w:r>
              <w:rPr>
                <w:spacing w:val="-2"/>
              </w:rPr>
              <w:t>K</w:t>
            </w:r>
            <w:r w:rsidR="009B1916">
              <w:rPr>
                <w:spacing w:val="-2"/>
              </w:rPr>
              <w:t>eys</w:t>
            </w:r>
          </w:p>
          <w:p w14:paraId="7B3DB026" w14:textId="77777777" w:rsidR="00F505F9" w:rsidRDefault="00F505F9" w:rsidP="00111586">
            <w:pPr>
              <w:tabs>
                <w:tab w:val="center" w:pos="4680"/>
              </w:tabs>
              <w:suppressAutoHyphens/>
              <w:rPr>
                <w:spacing w:val="-2"/>
              </w:rPr>
            </w:pPr>
          </w:p>
          <w:p w14:paraId="089B9499" w14:textId="020A339A" w:rsidR="00F505F9" w:rsidRDefault="00F505F9" w:rsidP="00111586">
            <w:pPr>
              <w:tabs>
                <w:tab w:val="center" w:pos="4680"/>
              </w:tabs>
              <w:suppressAutoHyphens/>
              <w:rPr>
                <w:spacing w:val="-2"/>
              </w:rPr>
            </w:pPr>
            <w:r>
              <w:rPr>
                <w:spacing w:val="-2"/>
              </w:rPr>
              <w:t>S</w:t>
            </w:r>
            <w:r w:rsidR="009B1916">
              <w:rPr>
                <w:spacing w:val="-2"/>
              </w:rPr>
              <w:t xml:space="preserve">hawn </w:t>
            </w:r>
            <w:r>
              <w:rPr>
                <w:spacing w:val="-2"/>
              </w:rPr>
              <w:t>M</w:t>
            </w:r>
            <w:r w:rsidR="009B1916">
              <w:rPr>
                <w:spacing w:val="-2"/>
              </w:rPr>
              <w:t>usgrave</w:t>
            </w:r>
          </w:p>
          <w:p w14:paraId="50AF6AAB" w14:textId="77777777" w:rsidR="004D27DC" w:rsidRDefault="004D27DC" w:rsidP="00111586">
            <w:pPr>
              <w:tabs>
                <w:tab w:val="center" w:pos="4680"/>
              </w:tabs>
              <w:suppressAutoHyphens/>
              <w:rPr>
                <w:spacing w:val="-2"/>
              </w:rPr>
            </w:pPr>
          </w:p>
          <w:p w14:paraId="749C0EB1" w14:textId="77777777" w:rsidR="004D27DC" w:rsidRPr="007115F7" w:rsidRDefault="004D27DC" w:rsidP="00111586">
            <w:pPr>
              <w:tabs>
                <w:tab w:val="center" w:pos="4680"/>
              </w:tabs>
              <w:suppressAutoHyphens/>
              <w:rPr>
                <w:spacing w:val="-2"/>
              </w:rPr>
            </w:pPr>
            <w:r>
              <w:rPr>
                <w:spacing w:val="-2"/>
              </w:rPr>
              <w:t>On Request for Inspection of Records</w:t>
            </w:r>
          </w:p>
        </w:tc>
        <w:tc>
          <w:tcPr>
            <w:tcW w:w="630" w:type="dxa"/>
          </w:tcPr>
          <w:p w14:paraId="21EC94B6" w14:textId="77777777" w:rsidR="004C2EE3" w:rsidRDefault="004C2EE3" w:rsidP="00111586">
            <w:pPr>
              <w:tabs>
                <w:tab w:val="center" w:pos="4680"/>
              </w:tabs>
              <w:suppressAutoHyphens/>
              <w:rPr>
                <w:b/>
                <w:spacing w:val="-2"/>
              </w:rPr>
            </w:pPr>
            <w:r>
              <w:rPr>
                <w:b/>
                <w:spacing w:val="-2"/>
              </w:rPr>
              <w:t>)</w:t>
            </w:r>
          </w:p>
          <w:p w14:paraId="0C11E010" w14:textId="77777777" w:rsidR="004C2EE3" w:rsidRDefault="004C2EE3" w:rsidP="00111586">
            <w:pPr>
              <w:tabs>
                <w:tab w:val="center" w:pos="4680"/>
              </w:tabs>
              <w:suppressAutoHyphens/>
              <w:rPr>
                <w:b/>
                <w:spacing w:val="-2"/>
              </w:rPr>
            </w:pPr>
            <w:r>
              <w:rPr>
                <w:b/>
                <w:spacing w:val="-2"/>
              </w:rPr>
              <w:t>)</w:t>
            </w:r>
          </w:p>
          <w:p w14:paraId="24CD8667" w14:textId="77777777" w:rsidR="004C2EE3" w:rsidRDefault="004C2EE3" w:rsidP="00111586">
            <w:pPr>
              <w:tabs>
                <w:tab w:val="center" w:pos="4680"/>
              </w:tabs>
              <w:suppressAutoHyphens/>
              <w:rPr>
                <w:b/>
                <w:spacing w:val="-2"/>
              </w:rPr>
            </w:pPr>
            <w:r>
              <w:rPr>
                <w:b/>
                <w:spacing w:val="-2"/>
              </w:rPr>
              <w:t>)</w:t>
            </w:r>
          </w:p>
          <w:p w14:paraId="7BA9E6EB" w14:textId="77777777" w:rsidR="004C2EE3" w:rsidRDefault="004C2EE3" w:rsidP="00111586">
            <w:pPr>
              <w:tabs>
                <w:tab w:val="center" w:pos="4680"/>
              </w:tabs>
              <w:suppressAutoHyphens/>
              <w:rPr>
                <w:b/>
                <w:spacing w:val="-2"/>
              </w:rPr>
            </w:pPr>
            <w:r>
              <w:rPr>
                <w:b/>
                <w:spacing w:val="-2"/>
              </w:rPr>
              <w:t>)</w:t>
            </w:r>
          </w:p>
          <w:p w14:paraId="400CCCD7" w14:textId="77777777" w:rsidR="004C2EE3" w:rsidRDefault="004C2EE3" w:rsidP="00111586">
            <w:pPr>
              <w:tabs>
                <w:tab w:val="center" w:pos="4680"/>
              </w:tabs>
              <w:suppressAutoHyphens/>
              <w:rPr>
                <w:b/>
                <w:spacing w:val="-2"/>
              </w:rPr>
            </w:pPr>
            <w:r>
              <w:rPr>
                <w:b/>
                <w:spacing w:val="-2"/>
              </w:rPr>
              <w:t>)</w:t>
            </w:r>
          </w:p>
          <w:p w14:paraId="61731912" w14:textId="77777777" w:rsidR="004C2EE3" w:rsidRDefault="004F6D2F" w:rsidP="00111586">
            <w:pPr>
              <w:tabs>
                <w:tab w:val="center" w:pos="4680"/>
              </w:tabs>
              <w:suppressAutoHyphens/>
              <w:rPr>
                <w:spacing w:val="-2"/>
              </w:rPr>
            </w:pPr>
            <w:r>
              <w:rPr>
                <w:spacing w:val="-2"/>
              </w:rPr>
              <w:t>)</w:t>
            </w:r>
          </w:p>
          <w:p w14:paraId="461B3D88" w14:textId="1795C50C" w:rsidR="004F6D2F" w:rsidRDefault="004F6D2F" w:rsidP="00111586">
            <w:pPr>
              <w:tabs>
                <w:tab w:val="center" w:pos="4680"/>
              </w:tabs>
              <w:suppressAutoHyphens/>
              <w:rPr>
                <w:spacing w:val="-2"/>
              </w:rPr>
            </w:pPr>
            <w:r>
              <w:rPr>
                <w:spacing w:val="-2"/>
              </w:rPr>
              <w:t>)</w:t>
            </w:r>
          </w:p>
        </w:tc>
        <w:tc>
          <w:tcPr>
            <w:tcW w:w="4248" w:type="dxa"/>
          </w:tcPr>
          <w:p w14:paraId="1E1453B0" w14:textId="77777777" w:rsidR="004C2EE3" w:rsidRDefault="004C2EE3" w:rsidP="00111586">
            <w:pPr>
              <w:tabs>
                <w:tab w:val="center" w:pos="4680"/>
              </w:tabs>
              <w:suppressAutoHyphens/>
              <w:rPr>
                <w:spacing w:val="-2"/>
              </w:rPr>
            </w:pPr>
          </w:p>
          <w:p w14:paraId="0CDB5325" w14:textId="77777777" w:rsidR="004C2EE3" w:rsidRDefault="004C2EE3" w:rsidP="00111586">
            <w:pPr>
              <w:pStyle w:val="TOAHeading"/>
              <w:tabs>
                <w:tab w:val="clear" w:pos="9360"/>
                <w:tab w:val="center" w:pos="4680"/>
              </w:tabs>
              <w:rPr>
                <w:spacing w:val="-2"/>
              </w:rPr>
            </w:pPr>
          </w:p>
          <w:p w14:paraId="4CE43004" w14:textId="77777777" w:rsidR="004C2EE3" w:rsidRDefault="004D27DC" w:rsidP="00111586">
            <w:pPr>
              <w:tabs>
                <w:tab w:val="center" w:pos="4680"/>
              </w:tabs>
              <w:suppressAutoHyphens/>
              <w:rPr>
                <w:spacing w:val="-2"/>
              </w:rPr>
            </w:pPr>
            <w:r>
              <w:rPr>
                <w:spacing w:val="-2"/>
              </w:rPr>
              <w:t>FOIA Control No. 2014-669</w:t>
            </w:r>
          </w:p>
          <w:p w14:paraId="6912E158" w14:textId="77777777" w:rsidR="00F505F9" w:rsidRDefault="00F505F9" w:rsidP="00111586">
            <w:pPr>
              <w:tabs>
                <w:tab w:val="center" w:pos="4680"/>
              </w:tabs>
              <w:suppressAutoHyphens/>
              <w:rPr>
                <w:spacing w:val="-2"/>
              </w:rPr>
            </w:pPr>
          </w:p>
          <w:p w14:paraId="55115B80" w14:textId="145BC949" w:rsidR="00F505F9" w:rsidRDefault="00F505F9" w:rsidP="00111586">
            <w:pPr>
              <w:tabs>
                <w:tab w:val="center" w:pos="4680"/>
              </w:tabs>
              <w:suppressAutoHyphens/>
              <w:rPr>
                <w:spacing w:val="-2"/>
              </w:rPr>
            </w:pPr>
            <w:r>
              <w:rPr>
                <w:spacing w:val="-2"/>
              </w:rPr>
              <w:t>FOIA Control No. 2015-000649</w:t>
            </w:r>
          </w:p>
        </w:tc>
      </w:tr>
    </w:tbl>
    <w:p w14:paraId="39D59296" w14:textId="77777777" w:rsidR="004C2EE3" w:rsidRDefault="004C2EE3" w:rsidP="00111586"/>
    <w:p w14:paraId="51654501" w14:textId="77777777" w:rsidR="00841AB1" w:rsidRDefault="004D27DC" w:rsidP="00111586">
      <w:pPr>
        <w:pStyle w:val="StyleBoldCentered"/>
      </w:pPr>
      <w:r>
        <w:t>MEMORANDUM OPINION AND ORDER</w:t>
      </w:r>
    </w:p>
    <w:p w14:paraId="35152044" w14:textId="77777777" w:rsidR="004C2EE3" w:rsidRDefault="004C2EE3" w:rsidP="00111586">
      <w:pPr>
        <w:tabs>
          <w:tab w:val="left" w:pos="-720"/>
        </w:tabs>
        <w:suppressAutoHyphens/>
        <w:rPr>
          <w:spacing w:val="-2"/>
        </w:rPr>
      </w:pPr>
    </w:p>
    <w:p w14:paraId="06838F92" w14:textId="6F305753" w:rsidR="004C2EE3" w:rsidRDefault="004C2EE3" w:rsidP="00111586">
      <w:pPr>
        <w:tabs>
          <w:tab w:val="left" w:pos="720"/>
          <w:tab w:val="right" w:pos="9360"/>
        </w:tabs>
        <w:suppressAutoHyphens/>
        <w:rPr>
          <w:spacing w:val="-2"/>
        </w:rPr>
      </w:pPr>
      <w:r>
        <w:rPr>
          <w:b/>
          <w:spacing w:val="-2"/>
        </w:rPr>
        <w:t xml:space="preserve">Adopted:  </w:t>
      </w:r>
      <w:r w:rsidR="003D5DDB">
        <w:rPr>
          <w:b/>
          <w:spacing w:val="-2"/>
        </w:rPr>
        <w:t>September 29,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D5DDB">
        <w:rPr>
          <w:b/>
          <w:spacing w:val="-2"/>
        </w:rPr>
        <w:t xml:space="preserve">September </w:t>
      </w:r>
      <w:r w:rsidR="00A906FB">
        <w:rPr>
          <w:b/>
          <w:spacing w:val="-2"/>
        </w:rPr>
        <w:t>30</w:t>
      </w:r>
      <w:r w:rsidR="003D5DDB">
        <w:rPr>
          <w:b/>
          <w:spacing w:val="-2"/>
        </w:rPr>
        <w:t>, 2016</w:t>
      </w:r>
    </w:p>
    <w:p w14:paraId="002796BB" w14:textId="77777777" w:rsidR="00822CE0" w:rsidRDefault="00822CE0" w:rsidP="00111586"/>
    <w:p w14:paraId="09CE2A60" w14:textId="77777777" w:rsidR="004C2EE3" w:rsidRDefault="004C2EE3" w:rsidP="00111586">
      <w:pPr>
        <w:rPr>
          <w:spacing w:val="-2"/>
        </w:rPr>
      </w:pPr>
      <w:r>
        <w:t xml:space="preserve">By </w:t>
      </w:r>
      <w:r w:rsidR="004E4A22">
        <w:t>the</w:t>
      </w:r>
      <w:r w:rsidR="002A2D2E">
        <w:t xml:space="preserve"> </w:t>
      </w:r>
      <w:r w:rsidR="004D27DC">
        <w:rPr>
          <w:spacing w:val="-2"/>
        </w:rPr>
        <w:t>Commission</w:t>
      </w:r>
      <w:r>
        <w:rPr>
          <w:spacing w:val="-2"/>
        </w:rPr>
        <w:t>:</w:t>
      </w:r>
    </w:p>
    <w:p w14:paraId="453C5F52" w14:textId="77777777" w:rsidR="00822CE0" w:rsidRDefault="00822CE0" w:rsidP="00111586">
      <w:pPr>
        <w:rPr>
          <w:spacing w:val="-2"/>
        </w:rPr>
      </w:pPr>
    </w:p>
    <w:p w14:paraId="3821A8B8" w14:textId="77777777" w:rsidR="00412FC5" w:rsidRDefault="00412FC5" w:rsidP="00111586"/>
    <w:p w14:paraId="7E526086" w14:textId="77777777" w:rsidR="002C00E8" w:rsidRDefault="004D27DC" w:rsidP="00111586">
      <w:pPr>
        <w:pStyle w:val="Heading1"/>
        <w:rPr>
          <w:b w:val="0"/>
        </w:rPr>
      </w:pPr>
      <w:r>
        <w:t>INTRODUCTION</w:t>
      </w:r>
    </w:p>
    <w:p w14:paraId="394DF209" w14:textId="239A3F78" w:rsidR="004D27DC" w:rsidRDefault="007161D7" w:rsidP="00111586">
      <w:pPr>
        <w:pStyle w:val="ParaNum"/>
      </w:pPr>
      <w:r>
        <w:t>This Memorandum Opinion and Order</w:t>
      </w:r>
      <w:r w:rsidR="005E76C8">
        <w:t xml:space="preserve"> gran</w:t>
      </w:r>
      <w:r w:rsidR="009669D7">
        <w:t>t</w:t>
      </w:r>
      <w:r w:rsidR="005E76C8">
        <w:t xml:space="preserve">s in part and denies in part </w:t>
      </w:r>
      <w:r w:rsidR="00F505F9">
        <w:t xml:space="preserve">two </w:t>
      </w:r>
      <w:r w:rsidR="005E76C8">
        <w:t>application</w:t>
      </w:r>
      <w:r w:rsidR="00F505F9">
        <w:t>s</w:t>
      </w:r>
      <w:r w:rsidR="005E76C8">
        <w:t xml:space="preserve"> for review </w:t>
      </w:r>
      <w:r w:rsidR="00AA20B8">
        <w:t>(AFR)</w:t>
      </w:r>
      <w:r w:rsidR="00F505F9">
        <w:t>, one by</w:t>
      </w:r>
      <w:r w:rsidR="005E76C8">
        <w:t xml:space="preserve"> Matthew Keys (Keys)</w:t>
      </w:r>
      <w:r w:rsidR="005E76C8">
        <w:rPr>
          <w:rStyle w:val="FootnoteReference"/>
        </w:rPr>
        <w:footnoteReference w:id="2"/>
      </w:r>
      <w:r w:rsidR="00F505F9">
        <w:t xml:space="preserve"> and the other by Shawn Musgrave (Musgrave).</w:t>
      </w:r>
      <w:r w:rsidR="00F505F9" w:rsidRPr="00F505F9">
        <w:rPr>
          <w:rStyle w:val="FootnoteReference"/>
        </w:rPr>
        <w:t xml:space="preserve"> </w:t>
      </w:r>
      <w:r w:rsidR="00F505F9">
        <w:rPr>
          <w:rStyle w:val="FootnoteReference"/>
        </w:rPr>
        <w:footnoteReference w:id="3"/>
      </w:r>
      <w:r w:rsidR="005E76C8">
        <w:t xml:space="preserve">  Keys </w:t>
      </w:r>
      <w:r w:rsidR="00F505F9">
        <w:t xml:space="preserve">and Musgrave each </w:t>
      </w:r>
      <w:r w:rsidR="005E76C8">
        <w:t xml:space="preserve">seeks review of </w:t>
      </w:r>
      <w:r w:rsidR="006A2200">
        <w:t xml:space="preserve">a </w:t>
      </w:r>
      <w:r w:rsidR="004045EA">
        <w:t>d</w:t>
      </w:r>
      <w:r w:rsidR="005E76C8">
        <w:t>ecision by the Office of Engineering &amp; Technology (OET)</w:t>
      </w:r>
      <w:r w:rsidR="005E76C8">
        <w:rPr>
          <w:rStyle w:val="FootnoteReference"/>
        </w:rPr>
        <w:footnoteReference w:id="4"/>
      </w:r>
      <w:r w:rsidR="005E76C8">
        <w:t xml:space="preserve"> that redacted material from </w:t>
      </w:r>
      <w:r w:rsidR="006A2200">
        <w:t>a</w:t>
      </w:r>
      <w:r w:rsidR="00F505F9">
        <w:t xml:space="preserve"> </w:t>
      </w:r>
      <w:r w:rsidR="00D270D2">
        <w:t xml:space="preserve">user manual </w:t>
      </w:r>
      <w:r w:rsidR="006A2200">
        <w:t xml:space="preserve">that was </w:t>
      </w:r>
      <w:r w:rsidR="00D270D2">
        <w:t>d</w:t>
      </w:r>
      <w:r w:rsidR="005E76C8">
        <w:t xml:space="preserve">isclosed to </w:t>
      </w:r>
      <w:r w:rsidR="006A2200">
        <w:t xml:space="preserve">both </w:t>
      </w:r>
      <w:r w:rsidR="005E76C8">
        <w:t xml:space="preserve">Keys </w:t>
      </w:r>
      <w:r w:rsidR="00F505F9">
        <w:t xml:space="preserve">and Musgrave </w:t>
      </w:r>
      <w:r w:rsidR="005E76C8">
        <w:t xml:space="preserve">in response to </w:t>
      </w:r>
      <w:r w:rsidR="00F505F9">
        <w:t xml:space="preserve">their </w:t>
      </w:r>
      <w:r w:rsidR="006A2200">
        <w:t xml:space="preserve">separate </w:t>
      </w:r>
      <w:r w:rsidR="005E76C8">
        <w:t>request</w:t>
      </w:r>
      <w:r w:rsidR="00F505F9">
        <w:t>s</w:t>
      </w:r>
      <w:r w:rsidR="005E76C8">
        <w:rPr>
          <w:rStyle w:val="FootnoteReference"/>
        </w:rPr>
        <w:footnoteReference w:id="5"/>
      </w:r>
      <w:r w:rsidR="005E76C8">
        <w:t xml:space="preserve"> under the Freedom of Information Act (FOIA).</w:t>
      </w:r>
      <w:r w:rsidR="00D949A8">
        <w:t xml:space="preserve">  We </w:t>
      </w:r>
      <w:r w:rsidR="00D81A29">
        <w:t>do not adopt</w:t>
      </w:r>
      <w:r w:rsidR="00E075EB">
        <w:t xml:space="preserve"> OET’s finding that the material it redacted from the manual constituted trade secrets</w:t>
      </w:r>
      <w:r w:rsidR="00D81A29">
        <w:t>, but we do</w:t>
      </w:r>
      <w:r w:rsidR="00E075EB">
        <w:t xml:space="preserve"> find that there is an alternative basis for </w:t>
      </w:r>
      <w:r w:rsidR="00073F7D">
        <w:t xml:space="preserve">redacting most of this material </w:t>
      </w:r>
      <w:r w:rsidR="00D949A8">
        <w:t xml:space="preserve"> under FOIA</w:t>
      </w:r>
      <w:r w:rsidR="004045EA">
        <w:t xml:space="preserve"> Exemption 4</w:t>
      </w:r>
      <w:r w:rsidR="00D949A8">
        <w:t xml:space="preserve">.  </w:t>
      </w:r>
      <w:r w:rsidR="00BE4BCE">
        <w:t>We also find that FOIA Exemption</w:t>
      </w:r>
      <w:r w:rsidR="006A2200">
        <w:t>s</w:t>
      </w:r>
      <w:r w:rsidR="00BE4BCE">
        <w:t xml:space="preserve"> 7(E) </w:t>
      </w:r>
      <w:r w:rsidR="00906569">
        <w:t xml:space="preserve">and 3 </w:t>
      </w:r>
      <w:r w:rsidR="00BE4BCE">
        <w:t>provide additional bas</w:t>
      </w:r>
      <w:r w:rsidR="00906569">
        <w:t>es</w:t>
      </w:r>
      <w:r w:rsidR="00BE4BCE">
        <w:t xml:space="preserve"> to withhold this material.  </w:t>
      </w:r>
      <w:r w:rsidR="004D2FDF">
        <w:t xml:space="preserve">We modify OET’s </w:t>
      </w:r>
      <w:r w:rsidR="00875EBC">
        <w:t>d</w:t>
      </w:r>
      <w:r w:rsidR="004D2FDF">
        <w:t>ecision</w:t>
      </w:r>
      <w:r w:rsidR="000E4575">
        <w:t>s</w:t>
      </w:r>
      <w:r w:rsidR="004D2FDF">
        <w:t xml:space="preserve"> to the extent we find that OET redacted nonexempt material.</w:t>
      </w:r>
    </w:p>
    <w:p w14:paraId="7E4B18C2" w14:textId="77777777" w:rsidR="00CB53DA" w:rsidRDefault="00CB53DA" w:rsidP="00111586">
      <w:pPr>
        <w:pStyle w:val="Heading1"/>
        <w:rPr>
          <w:b w:val="0"/>
        </w:rPr>
      </w:pPr>
      <w:r>
        <w:t>BACKGROUND</w:t>
      </w:r>
    </w:p>
    <w:p w14:paraId="2201D459" w14:textId="1161C891" w:rsidR="00CB53DA" w:rsidRDefault="001F7F30" w:rsidP="00111586">
      <w:pPr>
        <w:pStyle w:val="ParaNum"/>
      </w:pPr>
      <w:r>
        <w:t xml:space="preserve">In </w:t>
      </w:r>
      <w:r w:rsidR="00AA63B3">
        <w:t>his FOIA</w:t>
      </w:r>
      <w:r>
        <w:t xml:space="preserve"> request, Keys sought “[a] copy of any and all user manuals for the following items manufactured by the </w:t>
      </w:r>
      <w:r w:rsidR="005415E4">
        <w:rPr>
          <w:i/>
        </w:rPr>
        <w:t>Harris Corporation</w:t>
      </w:r>
      <w:r w:rsidR="005415E4">
        <w:t xml:space="preserve">: . . . Device bearing FCC ID NK73092523 (“Stingray”). . . Device bearing FCC ID NK73100176 (“Kingfish”). . . Device bearing FCC ID NK </w:t>
      </w:r>
      <w:r w:rsidR="00D17050">
        <w:t>73166210 (“Stingray II”).</w:t>
      </w:r>
      <w:r w:rsidR="00AA20B8">
        <w:t>”</w:t>
      </w:r>
      <w:r w:rsidR="00D17050">
        <w:rPr>
          <w:rStyle w:val="FootnoteReference"/>
        </w:rPr>
        <w:footnoteReference w:id="6"/>
      </w:r>
      <w:r w:rsidR="00D17050">
        <w:t xml:space="preserve">  Keys explained that the manuals had been submitted in connection with Harris Corporation’s (Harris) applications for equipment authorization.</w:t>
      </w:r>
      <w:r w:rsidR="00180E31">
        <w:t xml:space="preserve">  Musgrave in turn sought “all manuals submitted for the following cell site simulator products: Stingray, StingRay II, Kingfish, Triggerfish, Loggerhead, Amberjack, and Gossamer.”</w:t>
      </w:r>
      <w:r w:rsidR="00180E31">
        <w:rPr>
          <w:rStyle w:val="FootnoteReference"/>
        </w:rPr>
        <w:footnoteReference w:id="7"/>
      </w:r>
      <w:r w:rsidR="00180E31">
        <w:t xml:space="preserve">  </w:t>
      </w:r>
    </w:p>
    <w:p w14:paraId="3B3C1633" w14:textId="6F81A1A7" w:rsidR="00D17050" w:rsidRDefault="00D17050" w:rsidP="00550232">
      <w:pPr>
        <w:pStyle w:val="ParaNum"/>
        <w:widowControl/>
      </w:pPr>
      <w:r>
        <w:lastRenderedPageBreak/>
        <w:t xml:space="preserve">OET responded </w:t>
      </w:r>
      <w:r w:rsidR="00B95A95">
        <w:t xml:space="preserve">in each case </w:t>
      </w:r>
      <w:r>
        <w:t xml:space="preserve">by producing a single user manual </w:t>
      </w:r>
      <w:r w:rsidR="00512C4B">
        <w:t xml:space="preserve">(Manual) </w:t>
      </w:r>
      <w:r w:rsidR="00D81A29">
        <w:t xml:space="preserve">that is </w:t>
      </w:r>
      <w:r>
        <w:t xml:space="preserve">associated with </w:t>
      </w:r>
      <w:r w:rsidR="006A2200">
        <w:t xml:space="preserve">some of </w:t>
      </w:r>
      <w:r w:rsidR="00B95A95">
        <w:t xml:space="preserve">the </w:t>
      </w:r>
      <w:r w:rsidR="006A2200">
        <w:t>named</w:t>
      </w:r>
      <w:r w:rsidR="00B95A95">
        <w:t xml:space="preserve"> </w:t>
      </w:r>
      <w:r>
        <w:t>devices.</w:t>
      </w:r>
      <w:r>
        <w:rPr>
          <w:rStyle w:val="FootnoteReference"/>
        </w:rPr>
        <w:footnoteReference w:id="8"/>
      </w:r>
      <w:r>
        <w:t xml:space="preserve">  OET </w:t>
      </w:r>
      <w:r w:rsidR="00354F28">
        <w:t>indicated th</w:t>
      </w:r>
      <w:r>
        <w:t xml:space="preserve">at it </w:t>
      </w:r>
      <w:r w:rsidR="00354F28">
        <w:t xml:space="preserve">redacted material from the </w:t>
      </w:r>
      <w:r w:rsidR="00512C4B">
        <w:t>M</w:t>
      </w:r>
      <w:r w:rsidR="00354F28">
        <w:t>anual that was exempt under FOIA Exemption 4, which protects from disclosure “trade secrets and commercial or financial information obtained from a person and privileged or confidential.”</w:t>
      </w:r>
      <w:r w:rsidR="00354F28">
        <w:rPr>
          <w:rStyle w:val="FootnoteReference"/>
        </w:rPr>
        <w:footnoteReference w:id="9"/>
      </w:r>
      <w:r w:rsidR="00354F28">
        <w:t xml:space="preserve">  OET characterized the redacted material as “text, charts, photographs, and drawings that describe the devices and their method of use and could reveal proprietary information about Harris’</w:t>
      </w:r>
      <w:r w:rsidR="004045EA">
        <w:t>s</w:t>
      </w:r>
      <w:r w:rsidR="00354F28">
        <w:t xml:space="preserve"> technology, manufacturing process, and business strategy and thus provide unwarranted insight into the specifics of Harris’</w:t>
      </w:r>
      <w:r w:rsidR="00A36D9C">
        <w:t>s</w:t>
      </w:r>
      <w:r w:rsidR="00354F28">
        <w:t xml:space="preserve"> product or its underlying technology.”</w:t>
      </w:r>
      <w:r w:rsidR="00354F28">
        <w:rPr>
          <w:rStyle w:val="FootnoteReference"/>
        </w:rPr>
        <w:footnoteReference w:id="10"/>
      </w:r>
      <w:r w:rsidR="00512C4B">
        <w:t xml:space="preserve">  OET found that the redacted material should be protected as trade secrets.</w:t>
      </w:r>
    </w:p>
    <w:p w14:paraId="0B2C8164" w14:textId="746E0C62" w:rsidR="00354F28" w:rsidRDefault="00AA20B8" w:rsidP="00111586">
      <w:pPr>
        <w:pStyle w:val="ParaNum"/>
      </w:pPr>
      <w:r>
        <w:t xml:space="preserve">Keys filed an AFR seeking review of OET’s decision to redact this material.  </w:t>
      </w:r>
      <w:r w:rsidR="00A0651D">
        <w:t>In his</w:t>
      </w:r>
      <w:r w:rsidR="00512C4B">
        <w:t xml:space="preserve"> AFR, </w:t>
      </w:r>
      <w:r w:rsidR="00E061A6">
        <w:t xml:space="preserve">Keys contends that OET failed to show that the material redacted from the </w:t>
      </w:r>
      <w:r>
        <w:t>M</w:t>
      </w:r>
      <w:r w:rsidR="00E061A6">
        <w:t>anual fell within the definition of a trade secret.  According to Keys, to constitute a trade secret,</w:t>
      </w:r>
      <w:r w:rsidR="00512C4B">
        <w:rPr>
          <w:rStyle w:val="FootnoteReference"/>
        </w:rPr>
        <w:footnoteReference w:id="11"/>
      </w:r>
      <w:r w:rsidR="00E061A6">
        <w:t xml:space="preserve"> the information sought must meet three criteria</w:t>
      </w:r>
      <w:r w:rsidR="00C16DA0">
        <w:t>:</w:t>
      </w:r>
      <w:r w:rsidR="00512C4B">
        <w:t xml:space="preserve"> </w:t>
      </w:r>
      <w:r w:rsidR="00E061A6">
        <w:t xml:space="preserve">(1) </w:t>
      </w:r>
      <w:r w:rsidR="00C16DA0">
        <w:t xml:space="preserve">it must </w:t>
      </w:r>
      <w:r w:rsidR="00E061A6">
        <w:t xml:space="preserve">be related to the manufacturing of </w:t>
      </w:r>
      <w:r w:rsidR="00CD0835">
        <w:t>the</w:t>
      </w:r>
      <w:r w:rsidR="00E061A6">
        <w:t xml:space="preserve"> device</w:t>
      </w:r>
      <w:r w:rsidR="00C16DA0">
        <w:t>;</w:t>
      </w:r>
      <w:r w:rsidR="00E061A6">
        <w:t xml:space="preserve"> (2) </w:t>
      </w:r>
      <w:r w:rsidR="00C16DA0">
        <w:t xml:space="preserve">it </w:t>
      </w:r>
      <w:r w:rsidR="00E061A6">
        <w:t>must provide Harris with independent economic value because it is not easily accessible to the public</w:t>
      </w:r>
      <w:r w:rsidR="00C16DA0">
        <w:t>;</w:t>
      </w:r>
      <w:r w:rsidR="00E061A6">
        <w:t xml:space="preserve"> and (3) </w:t>
      </w:r>
      <w:r w:rsidR="00C16DA0">
        <w:t xml:space="preserve">it </w:t>
      </w:r>
      <w:r w:rsidR="00E061A6">
        <w:t>must be subject to reasonable efforts to maintain secrecy.</w:t>
      </w:r>
      <w:r w:rsidR="00E061A6">
        <w:rPr>
          <w:rStyle w:val="FootnoteReference"/>
        </w:rPr>
        <w:footnoteReference w:id="12"/>
      </w:r>
      <w:r w:rsidR="00E061A6">
        <w:t xml:space="preserve">  Keys concedes that the information in the user manual meets the third criterion, but disputes that it meets the other two.</w:t>
      </w:r>
      <w:r w:rsidR="006C0C56">
        <w:t xml:space="preserve"> Keys assert</w:t>
      </w:r>
      <w:r w:rsidR="00605429">
        <w:t>s</w:t>
      </w:r>
      <w:r w:rsidR="006C0C56">
        <w:t xml:space="preserve"> that the information sought contains no information about the manufacturing process or information about a device that is used for the making of trade commodi</w:t>
      </w:r>
      <w:r w:rsidR="00D370C6">
        <w:t>ti</w:t>
      </w:r>
      <w:r w:rsidR="006C0C56">
        <w:t>es.</w:t>
      </w:r>
      <w:r w:rsidR="00D370C6">
        <w:t xml:space="preserve">  Rather, </w:t>
      </w:r>
      <w:r w:rsidR="00605429">
        <w:t xml:space="preserve">Keys contends, </w:t>
      </w:r>
      <w:r w:rsidR="00D370C6">
        <w:t>the material is clearly an instructional manual for the operation of a device</w:t>
      </w:r>
      <w:r w:rsidR="00C16DA0">
        <w:t>, and</w:t>
      </w:r>
      <w:r w:rsidR="006029F7">
        <w:t xml:space="preserve"> contains no information about the production or manufacturing process</w:t>
      </w:r>
      <w:r w:rsidR="00D370C6">
        <w:t>.</w:t>
      </w:r>
      <w:r w:rsidR="00D370C6">
        <w:rPr>
          <w:rStyle w:val="FootnoteReference"/>
        </w:rPr>
        <w:footnoteReference w:id="13"/>
      </w:r>
    </w:p>
    <w:p w14:paraId="456C8B28" w14:textId="57A51313" w:rsidR="002B7254" w:rsidRDefault="00D370C6" w:rsidP="00111586">
      <w:pPr>
        <w:pStyle w:val="ParaNum"/>
      </w:pPr>
      <w:r>
        <w:t xml:space="preserve">Keys also contends that OET wrongfully withheld material that is already publicly available.  </w:t>
      </w:r>
      <w:r w:rsidR="007D6F6F">
        <w:t>This includes: (1) Harris’</w:t>
      </w:r>
      <w:r w:rsidR="00D81A29">
        <w:t>s</w:t>
      </w:r>
      <w:r w:rsidR="007D6F6F">
        <w:t xml:space="preserve"> telephone and fax number</w:t>
      </w:r>
      <w:r w:rsidR="00022037">
        <w:t>;</w:t>
      </w:r>
      <w:r w:rsidR="007D6F6F">
        <w:t xml:space="preserve"> (2) common words associated with electronic devices</w:t>
      </w:r>
      <w:r w:rsidR="00022037">
        <w:t>,</w:t>
      </w:r>
      <w:r w:rsidR="00430E5A">
        <w:t xml:space="preserve"> su</w:t>
      </w:r>
      <w:r w:rsidR="007D6F6F">
        <w:t xml:space="preserve">ch as “antenna,” </w:t>
      </w:r>
      <w:r w:rsidR="00430E5A">
        <w:t xml:space="preserve">and </w:t>
      </w:r>
      <w:r w:rsidR="007D6F6F">
        <w:t>“cable</w:t>
      </w:r>
      <w:r w:rsidR="00022037">
        <w:t>;</w:t>
      </w:r>
      <w:r w:rsidR="007D6F6F">
        <w:t>” (3) the letter headings for sections of a glossary of terms</w:t>
      </w:r>
      <w:r w:rsidR="00022037">
        <w:t>;</w:t>
      </w:r>
      <w:r w:rsidR="007D6F6F">
        <w:t xml:space="preserve"> and (4) </w:t>
      </w:r>
      <w:r w:rsidR="00300F8F">
        <w:t>product names.  A</w:t>
      </w:r>
      <w:r w:rsidR="007D6F6F">
        <w:t>dditionally, Keys points to an instance where a specific phrase is redacted in two places in the manual but left unredacted in a third.  Finally,</w:t>
      </w:r>
      <w:r w:rsidR="00C16DA0">
        <w:t xml:space="preserve"> </w:t>
      </w:r>
      <w:r w:rsidR="007D6F6F">
        <w:t xml:space="preserve">although his request only sought information about devices corresponding to three FCC IDs, </w:t>
      </w:r>
      <w:r w:rsidR="00C16DA0">
        <w:t xml:space="preserve">Keys complains that </w:t>
      </w:r>
      <w:r w:rsidR="007D6F6F">
        <w:t xml:space="preserve">OET </w:t>
      </w:r>
      <w:r w:rsidR="00022037">
        <w:t>gave</w:t>
      </w:r>
      <w:r w:rsidR="007D6F6F">
        <w:t xml:space="preserve"> no justification for redacting </w:t>
      </w:r>
      <w:r w:rsidR="00022037">
        <w:t xml:space="preserve">all </w:t>
      </w:r>
      <w:r w:rsidR="007D6F6F">
        <w:t xml:space="preserve">information about a fourth device also covered by the </w:t>
      </w:r>
      <w:r w:rsidR="00B326C7">
        <w:t>Manual, which Keys identifies as NK73186795</w:t>
      </w:r>
      <w:r w:rsidR="007D6F6F">
        <w:t>.</w:t>
      </w:r>
    </w:p>
    <w:p w14:paraId="748121BA" w14:textId="7049D247" w:rsidR="00B95A95" w:rsidRDefault="00B95A95" w:rsidP="00550232">
      <w:pPr>
        <w:pStyle w:val="ParaNum"/>
        <w:widowControl/>
      </w:pPr>
      <w:r>
        <w:t xml:space="preserve">Musgrave </w:t>
      </w:r>
      <w:r w:rsidR="001A3BDA">
        <w:t xml:space="preserve">also </w:t>
      </w:r>
      <w:r>
        <w:t>filed a</w:t>
      </w:r>
      <w:r w:rsidR="001A3BDA">
        <w:t>n</w:t>
      </w:r>
      <w:r>
        <w:t xml:space="preserve"> AFR.  </w:t>
      </w:r>
      <w:r w:rsidR="00A30DF0">
        <w:t xml:space="preserve">He contends </w:t>
      </w:r>
      <w:r w:rsidR="00875EBC">
        <w:t>t</w:t>
      </w:r>
      <w:r>
        <w:t xml:space="preserve">hat “[w]hile [Exemption 4] certainly applies to certain sections [of the user manual], its invocation to redact an entire chapter of the manual is inappropriate.  The FOIA statute and case law requires partial release of documents where possible. I </w:t>
      </w:r>
      <w:r>
        <w:lastRenderedPageBreak/>
        <w:t>hereby appeal the withholding in whole of Chapter 5 of the manual requested herein, as well as request review of all redactions made throughout the document pursuant to [Exemption 4].”</w:t>
      </w:r>
      <w:r>
        <w:rPr>
          <w:rStyle w:val="FootnoteReference"/>
        </w:rPr>
        <w:footnoteReference w:id="14"/>
      </w:r>
    </w:p>
    <w:p w14:paraId="70234F5A" w14:textId="77777777" w:rsidR="00660525" w:rsidRPr="00660525" w:rsidRDefault="00660525" w:rsidP="00111586">
      <w:pPr>
        <w:pStyle w:val="Heading1"/>
      </w:pPr>
      <w:r>
        <w:t>DISCUSSION</w:t>
      </w:r>
    </w:p>
    <w:p w14:paraId="636E60ED" w14:textId="7F7D98AC" w:rsidR="00BE21C2" w:rsidRDefault="00B95A95" w:rsidP="00111586">
      <w:pPr>
        <w:pStyle w:val="ParaNum"/>
      </w:pPr>
      <w:r>
        <w:t xml:space="preserve">Because Keys more fully develops the basis for his appeal, we will focus our discussion principally on the Keys AFR.  Our analysis, however, applies equally to the Musgrave AFR.  </w:t>
      </w:r>
      <w:r w:rsidR="006276E7">
        <w:t>Under the FOIA, an agency generally must release a requested record unless the record is protected by one of the nine statutory exemptions.</w:t>
      </w:r>
      <w:r w:rsidR="006276E7">
        <w:rPr>
          <w:rStyle w:val="FootnoteReference"/>
        </w:rPr>
        <w:footnoteReference w:id="15"/>
      </w:r>
      <w:r w:rsidR="006276E7">
        <w:t xml:space="preserve">  </w:t>
      </w:r>
      <w:r w:rsidR="00B03106">
        <w:t>FOIA Exemption 4 covers “trade secrets and commercial or financial information obtained from a person and privileged or confidential.”</w:t>
      </w:r>
      <w:r w:rsidR="00B03106">
        <w:rPr>
          <w:rStyle w:val="FootnoteReference"/>
        </w:rPr>
        <w:footnoteReference w:id="16"/>
      </w:r>
      <w:r w:rsidR="00B03106">
        <w:t xml:space="preserve">  The Commission’s rules incorporate Exemption 4.</w:t>
      </w:r>
      <w:r w:rsidR="00B03106">
        <w:rPr>
          <w:rStyle w:val="FootnoteReference"/>
        </w:rPr>
        <w:footnoteReference w:id="17"/>
      </w:r>
      <w:r w:rsidR="00B03106">
        <w:t xml:space="preserve">  </w:t>
      </w:r>
      <w:r w:rsidR="00373D3A">
        <w:t>“</w:t>
      </w:r>
      <w:r w:rsidR="00B03106">
        <w:t>Trade secret</w:t>
      </w:r>
      <w:r w:rsidR="00373D3A">
        <w:t>s”</w:t>
      </w:r>
      <w:r w:rsidR="00B03106">
        <w:t xml:space="preserve"> and </w:t>
      </w:r>
      <w:r w:rsidR="00373D3A">
        <w:t>“commercial or financial information obtained from a person and privileged or confidential”</w:t>
      </w:r>
      <w:r w:rsidR="00B03106">
        <w:t xml:space="preserve"> represent separate and distinct bases for apply</w:t>
      </w:r>
      <w:r w:rsidR="004575AA">
        <w:t>i</w:t>
      </w:r>
      <w:r w:rsidR="00B03106">
        <w:t>ng Exemption 4.</w:t>
      </w:r>
      <w:r w:rsidR="00943242">
        <w:rPr>
          <w:rStyle w:val="FootnoteReference"/>
        </w:rPr>
        <w:footnoteReference w:id="18"/>
      </w:r>
      <w:r w:rsidR="00B03106">
        <w:t xml:space="preserve">   </w:t>
      </w:r>
      <w:r w:rsidR="00373D3A">
        <w:t>If documents are trade secrets, they are exempt from disclosure.</w:t>
      </w:r>
      <w:r w:rsidR="00373D3A">
        <w:rPr>
          <w:rStyle w:val="FootnoteReference"/>
        </w:rPr>
        <w:footnoteReference w:id="19"/>
      </w:r>
      <w:r w:rsidR="00C16DA0">
        <w:t xml:space="preserve"> </w:t>
      </w:r>
      <w:r w:rsidR="00B03106">
        <w:t xml:space="preserve">To justify withholding </w:t>
      </w:r>
      <w:r w:rsidR="00F238DD">
        <w:t xml:space="preserve">under Exemption 4 </w:t>
      </w:r>
      <w:r w:rsidR="00B03106">
        <w:t xml:space="preserve">material </w:t>
      </w:r>
      <w:r w:rsidR="00943242">
        <w:t xml:space="preserve">that </w:t>
      </w:r>
      <w:r w:rsidR="00F238DD">
        <w:t xml:space="preserve">does not qualify as </w:t>
      </w:r>
      <w:r w:rsidR="00943242">
        <w:t>a trade secret</w:t>
      </w:r>
      <w:r w:rsidR="00B03106">
        <w:t xml:space="preserve">, an agency must </w:t>
      </w:r>
      <w:r w:rsidR="0092670F">
        <w:t>demonstrate confidentiality by showing</w:t>
      </w:r>
      <w:r w:rsidR="00AA63B3">
        <w:t>, with</w:t>
      </w:r>
      <w:r w:rsidR="00B03106">
        <w:t xml:space="preserve"> respect to information required to be submitted, that disclosure is likely (1) to impair the government’s ability to obtain necessary information in the future or (2) to cause substantial harm to the competitive position of the person from whom the information was obtained.</w:t>
      </w:r>
      <w:r w:rsidR="00B03106">
        <w:rPr>
          <w:rStyle w:val="FootnoteReference"/>
        </w:rPr>
        <w:footnoteReference w:id="20"/>
      </w:r>
      <w:r w:rsidR="00B03106">
        <w:t xml:space="preserve">  </w:t>
      </w:r>
    </w:p>
    <w:p w14:paraId="15A81706" w14:textId="26C06DA3" w:rsidR="00DA3135" w:rsidRDefault="00DA3135" w:rsidP="00111586">
      <w:pPr>
        <w:pStyle w:val="ParaNum"/>
      </w:pPr>
      <w:r>
        <w:t xml:space="preserve">We </w:t>
      </w:r>
      <w:r w:rsidR="004575AA">
        <w:t xml:space="preserve">agree with Keys that the contents of the Manual do not qualify as </w:t>
      </w:r>
      <w:r w:rsidR="00A4669D">
        <w:t>t</w:t>
      </w:r>
      <w:r w:rsidR="004575AA">
        <w:t xml:space="preserve">rade </w:t>
      </w:r>
      <w:r w:rsidR="00A4669D">
        <w:t>s</w:t>
      </w:r>
      <w:r w:rsidR="004575AA">
        <w:t>ecrets</w:t>
      </w:r>
      <w:r w:rsidR="0092670F">
        <w:t>.</w:t>
      </w:r>
      <w:r w:rsidR="004979B1">
        <w:rPr>
          <w:rStyle w:val="FootnoteReference"/>
        </w:rPr>
        <w:footnoteReference w:id="21"/>
      </w:r>
      <w:r w:rsidR="004575AA">
        <w:t xml:space="preserve"> </w:t>
      </w:r>
      <w:r w:rsidR="0092670F">
        <w:t>U</w:t>
      </w:r>
      <w:r w:rsidR="004575AA">
        <w:t>nder the definition of trade secret adopted by the United States Court of Appeals for the Dis</w:t>
      </w:r>
      <w:r w:rsidR="00F238DD">
        <w:t>trict</w:t>
      </w:r>
      <w:r w:rsidR="004575AA">
        <w:t xml:space="preserve"> of Columbia Circuit </w:t>
      </w:r>
      <w:r w:rsidR="0092670F">
        <w:t>f</w:t>
      </w:r>
      <w:r>
        <w:t>or purposes of  FOIA</w:t>
      </w:r>
      <w:r w:rsidR="0092670F">
        <w:t xml:space="preserve"> Exemption 4</w:t>
      </w:r>
      <w:r>
        <w:t xml:space="preserve">, a trade secret </w:t>
      </w:r>
      <w:r w:rsidR="004575AA">
        <w:t>is</w:t>
      </w:r>
      <w:r>
        <w:t>:</w:t>
      </w:r>
    </w:p>
    <w:p w14:paraId="6C88073C" w14:textId="685BFE1B" w:rsidR="00D370C6" w:rsidRDefault="00DA3135" w:rsidP="00111586">
      <w:pPr>
        <w:pStyle w:val="ParaNum"/>
        <w:numPr>
          <w:ilvl w:val="0"/>
          <w:numId w:val="0"/>
        </w:numPr>
        <w:ind w:left="1440"/>
      </w:pPr>
      <w:r>
        <w:t>a secret, commercially valuable plan, formula, process, or device that is used for the making, preparing</w:t>
      </w:r>
      <w:r w:rsidR="0072280E">
        <w:t>,</w:t>
      </w:r>
      <w:r>
        <w:t xml:space="preserve"> compounding, or processing of trade commodities and that can be said to be the end product of either innovation or substantial effort.</w:t>
      </w:r>
      <w:r w:rsidR="002910EC">
        <w:rPr>
          <w:rStyle w:val="FootnoteReference"/>
        </w:rPr>
        <w:footnoteReference w:id="22"/>
      </w:r>
    </w:p>
    <w:p w14:paraId="398A82A2" w14:textId="27473258" w:rsidR="00DA3135" w:rsidRDefault="00B71298" w:rsidP="00111586">
      <w:pPr>
        <w:pStyle w:val="ParaNum"/>
        <w:numPr>
          <w:ilvl w:val="0"/>
          <w:numId w:val="0"/>
        </w:numPr>
      </w:pPr>
      <w:r>
        <w:t>The D.C. Circuit subsequently clarified that: “</w:t>
      </w:r>
      <w:r w:rsidR="000E5EBE">
        <w:t>[o]</w:t>
      </w:r>
      <w:r>
        <w:t xml:space="preserve">ur Decision in </w:t>
      </w:r>
      <w:r>
        <w:rPr>
          <w:i/>
        </w:rPr>
        <w:t xml:space="preserve">Public Citizen </w:t>
      </w:r>
      <w:r>
        <w:t>narrowly cabins trade secrets to information relating to ‘the productive process’ itself.</w:t>
      </w:r>
      <w:r w:rsidR="0092670F">
        <w:t>”</w:t>
      </w:r>
      <w:r>
        <w:rPr>
          <w:rStyle w:val="FootnoteReference"/>
        </w:rPr>
        <w:footnoteReference w:id="23"/>
      </w:r>
      <w:r>
        <w:t xml:space="preserve">  The Manual here describes the end product of the productive process, not how the devices in question are made</w:t>
      </w:r>
      <w:r w:rsidR="00A87B41">
        <w:t xml:space="preserve">, and is therefore excluded from the definition of trade secret by the </w:t>
      </w:r>
      <w:r w:rsidR="00AB3480">
        <w:t xml:space="preserve">court’s </w:t>
      </w:r>
      <w:r w:rsidR="00C16DA0">
        <w:t>explicitly narrow interpretation of that term</w:t>
      </w:r>
      <w:r w:rsidR="00AB3480">
        <w:t xml:space="preserve">.  </w:t>
      </w:r>
      <w:r>
        <w:t xml:space="preserve">  </w:t>
      </w:r>
      <w:r w:rsidR="002910EC">
        <w:t xml:space="preserve"> </w:t>
      </w:r>
    </w:p>
    <w:p w14:paraId="6463B4E8" w14:textId="28D7EC84" w:rsidR="008F4FCF" w:rsidRDefault="00B04B02" w:rsidP="006276E7">
      <w:pPr>
        <w:pStyle w:val="ParaNum"/>
      </w:pPr>
      <w:r>
        <w:t xml:space="preserve">Although we find that the </w:t>
      </w:r>
      <w:r w:rsidR="007C4D7E">
        <w:t>redacted portions</w:t>
      </w:r>
      <w:r>
        <w:t xml:space="preserve"> of the Manual do not fall within the definition of a trade secret, we</w:t>
      </w:r>
      <w:r w:rsidR="006276E7">
        <w:t xml:space="preserve"> </w:t>
      </w:r>
      <w:r w:rsidR="007C4D7E">
        <w:t>also</w:t>
      </w:r>
      <w:r>
        <w:t xml:space="preserve"> find</w:t>
      </w:r>
      <w:r w:rsidR="007C4D7E">
        <w:t xml:space="preserve"> </w:t>
      </w:r>
      <w:r>
        <w:t>that</w:t>
      </w:r>
      <w:r w:rsidR="00BF0B6E">
        <w:t xml:space="preserve"> most </w:t>
      </w:r>
      <w:r w:rsidR="007C4D7E">
        <w:t>of this materia</w:t>
      </w:r>
      <w:r w:rsidR="002B138B">
        <w:t>l</w:t>
      </w:r>
      <w:r>
        <w:t xml:space="preserve"> should be </w:t>
      </w:r>
      <w:r w:rsidR="007C4D7E">
        <w:t>treated as</w:t>
      </w:r>
      <w:r>
        <w:t xml:space="preserve"> confidential for purposes of Exemption 4</w:t>
      </w:r>
      <w:r w:rsidR="007C4D7E">
        <w:t xml:space="preserve"> because release of the material</w:t>
      </w:r>
      <w:r w:rsidR="006276E7">
        <w:t xml:space="preserve"> is likely to cause substantial harm to the competitive position of Harris</w:t>
      </w:r>
      <w:r>
        <w:t xml:space="preserve">.  </w:t>
      </w:r>
      <w:r w:rsidR="00B27EFC">
        <w:t xml:space="preserve">In this regard, we note that the products involved here consist of electronic devices that can be sold </w:t>
      </w:r>
      <w:r w:rsidR="00766EB4">
        <w:t xml:space="preserve">only </w:t>
      </w:r>
      <w:r w:rsidR="00B27EFC">
        <w:t>to authorized law enforcement and government agencies</w:t>
      </w:r>
      <w:r w:rsidR="00766EB4">
        <w:t>, and can be used only by such entities</w:t>
      </w:r>
      <w:r w:rsidR="00B27EFC">
        <w:t>.</w:t>
      </w:r>
      <w:r w:rsidR="00B27EFC">
        <w:rPr>
          <w:rStyle w:val="FootnoteReference"/>
        </w:rPr>
        <w:footnoteReference w:id="24"/>
      </w:r>
      <w:r w:rsidR="00B27EFC">
        <w:t xml:space="preserve">  General dissemination of technical </w:t>
      </w:r>
      <w:r w:rsidR="00766EB4">
        <w:t xml:space="preserve">and operational </w:t>
      </w:r>
      <w:r w:rsidR="00B27EFC">
        <w:t xml:space="preserve">information about these devices </w:t>
      </w:r>
      <w:r w:rsidR="00766EB4">
        <w:t>c</w:t>
      </w:r>
      <w:r w:rsidR="00B27EFC">
        <w:t>ould allow parties to evade or counteract their use</w:t>
      </w:r>
      <w:r w:rsidR="00260F6C">
        <w:t xml:space="preserve"> by </w:t>
      </w:r>
      <w:r w:rsidR="00766EB4">
        <w:t xml:space="preserve">law enforcement </w:t>
      </w:r>
      <w:r w:rsidR="00260F6C">
        <w:t>authorities</w:t>
      </w:r>
      <w:r w:rsidR="00B27EFC">
        <w:t xml:space="preserve">.  </w:t>
      </w:r>
      <w:r w:rsidR="00137F1A">
        <w:t>By thus</w:t>
      </w:r>
      <w:r w:rsidR="00B27EFC">
        <w:t xml:space="preserve"> reduc</w:t>
      </w:r>
      <w:r w:rsidR="00137F1A">
        <w:t>ing</w:t>
      </w:r>
      <w:r w:rsidR="00B27EFC">
        <w:t xml:space="preserve"> the efficacy of the devices, </w:t>
      </w:r>
      <w:r w:rsidR="00137F1A">
        <w:t xml:space="preserve">disclosure would make the devices less attractive to their only lawful customers, </w:t>
      </w:r>
      <w:r w:rsidR="00E01771">
        <w:t>diminishing</w:t>
      </w:r>
      <w:r w:rsidR="00B27EFC">
        <w:t xml:space="preserve"> their economic value and harming Harris.</w:t>
      </w:r>
      <w:r w:rsidR="00E4680C" w:rsidRPr="00E4680C">
        <w:rPr>
          <w:rStyle w:val="FootnoteReference"/>
        </w:rPr>
        <w:t xml:space="preserve"> </w:t>
      </w:r>
      <w:r w:rsidR="00E4680C">
        <w:rPr>
          <w:rStyle w:val="FootnoteReference"/>
        </w:rPr>
        <w:footnoteReference w:id="25"/>
      </w:r>
      <w:r w:rsidR="00E4680C">
        <w:t xml:space="preserve"> </w:t>
      </w:r>
      <w:r w:rsidR="00B27EFC">
        <w:t xml:space="preserve"> </w:t>
      </w:r>
    </w:p>
    <w:p w14:paraId="60201B25" w14:textId="249F2CE9" w:rsidR="00E4680C" w:rsidRPr="004842C9" w:rsidRDefault="000C4DD7" w:rsidP="00111586">
      <w:pPr>
        <w:pStyle w:val="ParaNum"/>
      </w:pPr>
      <w:r>
        <w:t>W</w:t>
      </w:r>
      <w:r w:rsidR="00260F6C">
        <w:t xml:space="preserve">e also find that there </w:t>
      </w:r>
      <w:r w:rsidR="00906569">
        <w:t xml:space="preserve">are </w:t>
      </w:r>
      <w:r w:rsidR="00260F6C">
        <w:t>additional, independent bas</w:t>
      </w:r>
      <w:r w:rsidR="00906569">
        <w:t>es</w:t>
      </w:r>
      <w:r w:rsidR="00260F6C">
        <w:t xml:space="preserve"> for the redactions.  </w:t>
      </w:r>
      <w:r w:rsidR="00260F6C" w:rsidRPr="0051468F">
        <w:rPr>
          <w:szCs w:val="22"/>
        </w:rPr>
        <w:t>Exemption 7(E) permits withholding of “records or information compiled for law enforcement purposes [the production of which] would disclose techniques and procedures for law enforcement investigations or prosecutions . . . if such disclosure could reasonably be expected to risk a circumvention of the law.”</w:t>
      </w:r>
      <w:r w:rsidR="00260F6C" w:rsidRPr="0051468F">
        <w:rPr>
          <w:rStyle w:val="FootnoteReference"/>
          <w:sz w:val="22"/>
          <w:szCs w:val="22"/>
        </w:rPr>
        <w:footnoteReference w:id="26"/>
      </w:r>
      <w:r w:rsidR="00260F6C">
        <w:rPr>
          <w:szCs w:val="22"/>
        </w:rPr>
        <w:t xml:space="preserve">  As we discussed above </w:t>
      </w:r>
      <w:r w:rsidR="002178B1">
        <w:rPr>
          <w:szCs w:val="22"/>
        </w:rPr>
        <w:t xml:space="preserve">in connection with Exemption 4, </w:t>
      </w:r>
      <w:r w:rsidR="00260F6C">
        <w:rPr>
          <w:szCs w:val="22"/>
        </w:rPr>
        <w:t xml:space="preserve">the devices involved here are used by law enforcement agencies, and widespread dissemination of the detailed specifications of these devices </w:t>
      </w:r>
      <w:r>
        <w:rPr>
          <w:szCs w:val="22"/>
        </w:rPr>
        <w:t>c</w:t>
      </w:r>
      <w:r w:rsidR="00260F6C">
        <w:rPr>
          <w:szCs w:val="22"/>
        </w:rPr>
        <w:t xml:space="preserve">ould allow parties to evade or counteract their use in the course of criminal investigations.  </w:t>
      </w:r>
      <w:r w:rsidR="004842C9">
        <w:rPr>
          <w:szCs w:val="22"/>
        </w:rPr>
        <w:t>This factor brings the redaction of such detailed specifications within the scope of Exemption 7(E).</w:t>
      </w:r>
    </w:p>
    <w:p w14:paraId="4ABE45BD" w14:textId="1C622834" w:rsidR="004842C9" w:rsidRPr="00E27B96" w:rsidRDefault="004842C9" w:rsidP="00111586">
      <w:pPr>
        <w:pStyle w:val="ParaNum"/>
      </w:pPr>
      <w:r>
        <w:rPr>
          <w:szCs w:val="22"/>
        </w:rPr>
        <w:t xml:space="preserve">We </w:t>
      </w:r>
      <w:r w:rsidR="00E27B96">
        <w:rPr>
          <w:szCs w:val="22"/>
        </w:rPr>
        <w:t xml:space="preserve">acknowledge, </w:t>
      </w:r>
      <w:r>
        <w:rPr>
          <w:szCs w:val="22"/>
        </w:rPr>
        <w:t xml:space="preserve">however, that the applicability </w:t>
      </w:r>
      <w:r w:rsidR="00FB0763">
        <w:rPr>
          <w:szCs w:val="22"/>
        </w:rPr>
        <w:t xml:space="preserve">of </w:t>
      </w:r>
      <w:r>
        <w:rPr>
          <w:szCs w:val="22"/>
        </w:rPr>
        <w:t xml:space="preserve">Exemption 7(E) also depends on making a threshold determination that the </w:t>
      </w:r>
      <w:r w:rsidR="00AA20B8">
        <w:rPr>
          <w:szCs w:val="22"/>
        </w:rPr>
        <w:t>M</w:t>
      </w:r>
      <w:r>
        <w:rPr>
          <w:szCs w:val="22"/>
        </w:rPr>
        <w:t xml:space="preserve">anual constitutes a record “compiled for law enforcement purposes.”  Our possession of the </w:t>
      </w:r>
      <w:r w:rsidR="00BC6131">
        <w:rPr>
          <w:szCs w:val="22"/>
        </w:rPr>
        <w:t>M</w:t>
      </w:r>
      <w:r>
        <w:rPr>
          <w:szCs w:val="22"/>
        </w:rPr>
        <w:t>anual does not directly involve our own law enforcement activities, in the sense of investigating or prosecuting law violations, but rather is part of our role in authorizing the use of electronic equipment</w:t>
      </w:r>
      <w:r w:rsidR="00814FBC">
        <w:rPr>
          <w:szCs w:val="22"/>
        </w:rPr>
        <w:t xml:space="preserve">, which is not a law enforcement activity </w:t>
      </w:r>
      <w:r w:rsidR="00814FBC">
        <w:rPr>
          <w:i/>
          <w:szCs w:val="22"/>
        </w:rPr>
        <w:t>per se</w:t>
      </w:r>
      <w:r w:rsidR="00814FBC">
        <w:rPr>
          <w:szCs w:val="22"/>
        </w:rPr>
        <w:t>.</w:t>
      </w:r>
      <w:r>
        <w:rPr>
          <w:szCs w:val="22"/>
        </w:rPr>
        <w:t xml:space="preserve">  </w:t>
      </w:r>
      <w:r w:rsidR="00E27B96">
        <w:rPr>
          <w:szCs w:val="22"/>
        </w:rPr>
        <w:t xml:space="preserve">We find, nevertheless, that the </w:t>
      </w:r>
      <w:r w:rsidR="00AA20B8">
        <w:rPr>
          <w:szCs w:val="22"/>
        </w:rPr>
        <w:t>M</w:t>
      </w:r>
      <w:r w:rsidR="00E27B96">
        <w:rPr>
          <w:szCs w:val="22"/>
        </w:rPr>
        <w:t>anual represents a record compiled for law enforcement purposes.</w:t>
      </w:r>
    </w:p>
    <w:p w14:paraId="008641B3" w14:textId="0C83EDCD" w:rsidR="00E27B96" w:rsidRDefault="00E27B96" w:rsidP="00111586">
      <w:pPr>
        <w:pStyle w:val="ParaNum"/>
      </w:pPr>
      <w:r>
        <w:t xml:space="preserve">Courts have recognized that “[l]aw enforcement entails more than just investigating and prosecuting individuals </w:t>
      </w:r>
      <w:r>
        <w:rPr>
          <w:i/>
        </w:rPr>
        <w:t xml:space="preserve">after </w:t>
      </w:r>
      <w:r>
        <w:t>a violation of the law . . . and . . . includes proactive steps designed to prevent criminal activity and to maintain security.”</w:t>
      </w:r>
      <w:r>
        <w:rPr>
          <w:rStyle w:val="FootnoteReference"/>
        </w:rPr>
        <w:footnoteReference w:id="27"/>
      </w:r>
      <w:r>
        <w:t xml:space="preserve">  </w:t>
      </w:r>
      <w:r w:rsidR="00B32A93">
        <w:t xml:space="preserve">Inasmuch as the FCC’s authorization of these devices is an integral </w:t>
      </w:r>
      <w:r w:rsidR="002F05A1">
        <w:t xml:space="preserve">and essential </w:t>
      </w:r>
      <w:r w:rsidR="00B32A93">
        <w:t xml:space="preserve">step in their </w:t>
      </w:r>
      <w:r w:rsidR="006046DD">
        <w:t xml:space="preserve">ultimate </w:t>
      </w:r>
      <w:r w:rsidR="00B32A93">
        <w:t>use by law enforcement authorities, we find that it represents the type of proactive measure that triggers the applicability of Exemption 7.</w:t>
      </w:r>
      <w:r w:rsidR="00DE0446" w:rsidRPr="00DE0446">
        <w:rPr>
          <w:rStyle w:val="FootnoteReference"/>
        </w:rPr>
        <w:t xml:space="preserve"> </w:t>
      </w:r>
      <w:r w:rsidR="00DE0446">
        <w:rPr>
          <w:rStyle w:val="FootnoteReference"/>
        </w:rPr>
        <w:footnoteReference w:id="28"/>
      </w:r>
    </w:p>
    <w:p w14:paraId="3879A5D6" w14:textId="19751C85" w:rsidR="00906569" w:rsidRDefault="003B2FF6" w:rsidP="00111586">
      <w:pPr>
        <w:pStyle w:val="ParaNum"/>
      </w:pPr>
      <w:r>
        <w:t xml:space="preserve">Moreover, </w:t>
      </w:r>
      <w:r w:rsidR="00B32A93">
        <w:t xml:space="preserve">copies of the </w:t>
      </w:r>
      <w:r w:rsidR="00AA20B8">
        <w:t>M</w:t>
      </w:r>
      <w:r w:rsidR="00B32A93">
        <w:t>anual are in the possession of</w:t>
      </w:r>
      <w:r w:rsidR="00AA20B8">
        <w:t xml:space="preserve"> federal</w:t>
      </w:r>
      <w:r w:rsidR="00B32A93">
        <w:t xml:space="preserve"> law enforcement authorities </w:t>
      </w:r>
      <w:r w:rsidR="009C4FC3">
        <w:t>as part of their law enforcement functions</w:t>
      </w:r>
      <w:r w:rsidR="00B32A93">
        <w:t>.  If Keys</w:t>
      </w:r>
      <w:r w:rsidR="00875EBC">
        <w:t xml:space="preserve"> or Musgrave</w:t>
      </w:r>
      <w:r w:rsidR="00B32A93">
        <w:t xml:space="preserve"> had filed </w:t>
      </w:r>
      <w:r w:rsidR="00875EBC">
        <w:t xml:space="preserve">their </w:t>
      </w:r>
      <w:r w:rsidR="00B32A93">
        <w:t xml:space="preserve">FOIA </w:t>
      </w:r>
      <w:r w:rsidR="00875EBC">
        <w:t>r</w:t>
      </w:r>
      <w:r w:rsidR="00B32A93">
        <w:t>equest</w:t>
      </w:r>
      <w:r w:rsidR="00875EBC">
        <w:t>s</w:t>
      </w:r>
      <w:r w:rsidR="00B32A93">
        <w:t xml:space="preserve"> with </w:t>
      </w:r>
      <w:r w:rsidR="00AA20B8">
        <w:t>a federal law enforcement agency</w:t>
      </w:r>
      <w:r w:rsidR="003D3EBE">
        <w:t>,</w:t>
      </w:r>
      <w:r w:rsidR="00B32A93">
        <w:t xml:space="preserve"> rather than the Commission, </w:t>
      </w:r>
      <w:r w:rsidR="00AA20B8">
        <w:t xml:space="preserve">the law enforcement agency </w:t>
      </w:r>
      <w:r w:rsidR="00B32A93">
        <w:t xml:space="preserve">would clearly be able to invoke Exemption 7 to redact sensitive material from the </w:t>
      </w:r>
      <w:r w:rsidR="009C4FC3">
        <w:t>M</w:t>
      </w:r>
      <w:r w:rsidR="00B32A93">
        <w:t>anual.   Denying the Commission t</w:t>
      </w:r>
      <w:r w:rsidR="003D3EBE">
        <w:t>he</w:t>
      </w:r>
      <w:r w:rsidR="00B32A93">
        <w:t xml:space="preserve"> ability to invoke Exemption 7 would defeat the purpose of </w:t>
      </w:r>
      <w:r w:rsidR="003D3EBE">
        <w:t xml:space="preserve">the exemption by allowing </w:t>
      </w:r>
      <w:r w:rsidR="009C4FC3">
        <w:t xml:space="preserve">a requester to </w:t>
      </w:r>
      <w:r w:rsidR="003D3EBE">
        <w:t xml:space="preserve">“forum shop” to circumvent the </w:t>
      </w:r>
      <w:r>
        <w:t xml:space="preserve">law enforcement </w:t>
      </w:r>
      <w:r w:rsidR="003D3EBE">
        <w:t>agencies with a primary interest in the record.</w:t>
      </w:r>
    </w:p>
    <w:p w14:paraId="399321EE" w14:textId="7A0B9069" w:rsidR="00B32A93" w:rsidRDefault="00906569" w:rsidP="00111586">
      <w:pPr>
        <w:pStyle w:val="ParaNum"/>
      </w:pPr>
      <w:r>
        <w:t>For similar reasons, we find that Exemption 3, which covers matters “specifically exempted from disclosure by stat</w:t>
      </w:r>
      <w:r w:rsidR="006F2FAB">
        <w:t>ut</w:t>
      </w:r>
      <w:r>
        <w:t>e,” is applicable.</w:t>
      </w:r>
      <w:r>
        <w:rPr>
          <w:rStyle w:val="FootnoteReference"/>
        </w:rPr>
        <w:footnoteReference w:id="29"/>
      </w:r>
      <w:r w:rsidR="003D3EBE">
        <w:t xml:space="preserve"> </w:t>
      </w:r>
      <w:r>
        <w:t xml:space="preserve"> Among statutes within the scope of Exemption 3 is 50 U.S.C. § 3024(i)(1), which </w:t>
      </w:r>
      <w:r w:rsidR="006F2FAB">
        <w:t xml:space="preserve">requires the </w:t>
      </w:r>
      <w:r w:rsidR="00B42FE0">
        <w:t xml:space="preserve">Director of National Intelligence to </w:t>
      </w:r>
      <w:r>
        <w:t>protect “intelligence sources and methods.”</w:t>
      </w:r>
      <w:r>
        <w:rPr>
          <w:rStyle w:val="FootnoteReference"/>
        </w:rPr>
        <w:footnoteReference w:id="30"/>
      </w:r>
      <w:r>
        <w:t xml:space="preserve">  </w:t>
      </w:r>
      <w:r w:rsidR="00B42FE0">
        <w:t xml:space="preserve">To the extent that </w:t>
      </w:r>
      <w:r w:rsidR="006A2200">
        <w:t>t</w:t>
      </w:r>
      <w:r>
        <w:t>he devices here are used by federal agencies</w:t>
      </w:r>
      <w:r w:rsidR="00B42FE0">
        <w:t xml:space="preserve">, </w:t>
      </w:r>
      <w:r w:rsidR="00B57AC3">
        <w:t xml:space="preserve">Exemption 3 </w:t>
      </w:r>
      <w:r w:rsidR="00B42FE0">
        <w:t xml:space="preserve">would </w:t>
      </w:r>
      <w:r w:rsidR="00B57AC3">
        <w:t>provide an additional basis to withhold information.</w:t>
      </w:r>
      <w:r w:rsidR="008917C4" w:rsidRPr="008917C4">
        <w:rPr>
          <w:sz w:val="20"/>
          <w:vertAlign w:val="superscript"/>
        </w:rPr>
        <w:t xml:space="preserve"> </w:t>
      </w:r>
      <w:r w:rsidR="008917C4" w:rsidRPr="008917C4">
        <w:rPr>
          <w:vertAlign w:val="superscript"/>
        </w:rPr>
        <w:footnoteReference w:id="31"/>
      </w:r>
      <w:r w:rsidR="00B42FE0" w:rsidRPr="00B42FE0">
        <w:t xml:space="preserve"> </w:t>
      </w:r>
      <w:r w:rsidR="00B42FE0">
        <w:t xml:space="preserve">As noted previously, our possession of information about these devices is ancillary to their use by these other agencies.  </w:t>
      </w:r>
    </w:p>
    <w:p w14:paraId="5C898040" w14:textId="014D431D" w:rsidR="005202C1" w:rsidRDefault="00DB24B5" w:rsidP="00111586">
      <w:pPr>
        <w:pStyle w:val="ParaNum"/>
        <w:rPr>
          <w:szCs w:val="22"/>
        </w:rPr>
      </w:pPr>
      <w:r>
        <w:t xml:space="preserve">We have reviewed the redactions made by OET.  </w:t>
      </w:r>
      <w:r w:rsidR="008B324B">
        <w:t xml:space="preserve">We affirm OET’s redaction of material that can be described </w:t>
      </w:r>
      <w:r w:rsidR="00AA63B3">
        <w:t xml:space="preserve">as </w:t>
      </w:r>
      <w:r w:rsidR="0089367B">
        <w:t xml:space="preserve">technical or operational </w:t>
      </w:r>
      <w:r w:rsidR="008B324B">
        <w:t>specifications of Harris’</w:t>
      </w:r>
      <w:r w:rsidR="0089367B">
        <w:t>s</w:t>
      </w:r>
      <w:r w:rsidR="008B324B">
        <w:t xml:space="preserve"> products </w:t>
      </w:r>
      <w:r w:rsidR="00097B5C">
        <w:t xml:space="preserve">or as information useful to a person seeking to evade the law, </w:t>
      </w:r>
      <w:r w:rsidR="008B324B">
        <w:t>as discussed in the preceding paragraph</w:t>
      </w:r>
      <w:r w:rsidR="003D3EBE">
        <w:t>s</w:t>
      </w:r>
      <w:r w:rsidR="008B324B">
        <w:t xml:space="preserve">.  We reject the redactions that cannot be so described.  </w:t>
      </w:r>
      <w:r w:rsidR="003677E2">
        <w:t xml:space="preserve">Accordingly, we </w:t>
      </w:r>
      <w:r w:rsidR="001B6B2A">
        <w:t xml:space="preserve">direct OET to </w:t>
      </w:r>
      <w:r w:rsidR="003677E2">
        <w:t xml:space="preserve">disclose: (1) paragraph and section headings that do not </w:t>
      </w:r>
      <w:r w:rsidR="00097B5C">
        <w:t xml:space="preserve">refer to </w:t>
      </w:r>
      <w:r w:rsidR="003677E2">
        <w:t xml:space="preserve">technical </w:t>
      </w:r>
      <w:r w:rsidR="00097B5C">
        <w:t>or operational matter</w:t>
      </w:r>
      <w:r w:rsidR="006C04C0">
        <w:t>s</w:t>
      </w:r>
      <w:r w:rsidR="003677E2">
        <w:t>, (</w:t>
      </w:r>
      <w:r w:rsidR="00097B5C">
        <w:t>2</w:t>
      </w:r>
      <w:r w:rsidR="003677E2">
        <w:t>) information about how required notifications are displayed on the products, (</w:t>
      </w:r>
      <w:r w:rsidR="00097B5C">
        <w:t>3</w:t>
      </w:r>
      <w:r w:rsidR="003677E2">
        <w:t xml:space="preserve">) the FCC ID numbers of products, </w:t>
      </w:r>
      <w:r w:rsidR="00097B5C">
        <w:t xml:space="preserve">and </w:t>
      </w:r>
      <w:r w:rsidR="000915E9">
        <w:t>(</w:t>
      </w:r>
      <w:r w:rsidR="00097B5C">
        <w:t>4</w:t>
      </w:r>
      <w:r w:rsidR="000915E9">
        <w:t xml:space="preserve">) </w:t>
      </w:r>
      <w:r w:rsidR="00097B5C">
        <w:t xml:space="preserve">unrevealing </w:t>
      </w:r>
      <w:r w:rsidR="003677E2">
        <w:t xml:space="preserve">section headings from </w:t>
      </w:r>
      <w:r w:rsidR="000915E9">
        <w:t xml:space="preserve">technical </w:t>
      </w:r>
      <w:r w:rsidR="003677E2">
        <w:t>specification tables</w:t>
      </w:r>
      <w:r w:rsidR="000915E9">
        <w:t xml:space="preserve">.   </w:t>
      </w:r>
      <w:r w:rsidR="003677E2">
        <w:t xml:space="preserve"> </w:t>
      </w:r>
      <w:r w:rsidR="008B324B">
        <w:t>We have also examined Keys’</w:t>
      </w:r>
      <w:r w:rsidR="002E7EA6">
        <w:t>s</w:t>
      </w:r>
      <w:r w:rsidR="008B324B">
        <w:t xml:space="preserve"> assertion that OET wrongly redacted material that is publicly available</w:t>
      </w:r>
      <w:r w:rsidR="000D0327">
        <w:t xml:space="preserve"> or inconsistently disclosed</w:t>
      </w:r>
      <w:r w:rsidR="008B324B">
        <w:t>.  We agree that the following information should not be redacted:  (1) Harris’</w:t>
      </w:r>
      <w:r w:rsidR="002E7EA6">
        <w:t>s</w:t>
      </w:r>
      <w:r w:rsidR="008B324B">
        <w:t xml:space="preserve"> telephone and fax numbers on page </w:t>
      </w:r>
      <w:r w:rsidR="003D3EBE">
        <w:t xml:space="preserve">i of the </w:t>
      </w:r>
      <w:r w:rsidR="003677E2">
        <w:t>M</w:t>
      </w:r>
      <w:r w:rsidR="003D3EBE">
        <w:t>anual</w:t>
      </w:r>
      <w:r w:rsidR="008B324B">
        <w:t xml:space="preserve">, (2) a phrase disclosed at page B-1 ¶ 5 but redacted from pages i and ix, </w:t>
      </w:r>
      <w:r w:rsidR="00097B5C">
        <w:t xml:space="preserve">and </w:t>
      </w:r>
      <w:r w:rsidR="008B324B">
        <w:t>(3) the letter headings for sections of the glossary on pages A1-A2</w:t>
      </w:r>
      <w:r w:rsidR="003C1E93">
        <w:t>.</w:t>
      </w:r>
      <w:r w:rsidR="008B324B">
        <w:t xml:space="preserve">  </w:t>
      </w:r>
      <w:r w:rsidR="000D0327">
        <w:t>Finally, w</w:t>
      </w:r>
      <w:r w:rsidR="008B324B">
        <w:t xml:space="preserve">e find that </w:t>
      </w:r>
      <w:r w:rsidR="000D0327">
        <w:t xml:space="preserve">information relating to the undisclosed fourth FCC ID </w:t>
      </w:r>
      <w:r w:rsidR="002E7EA6">
        <w:t xml:space="preserve">that was </w:t>
      </w:r>
      <w:r w:rsidR="000D0327">
        <w:t xml:space="preserve">redacted from </w:t>
      </w:r>
      <w:r w:rsidR="00A43E6B">
        <w:t xml:space="preserve">chapter 5 of </w:t>
      </w:r>
      <w:r w:rsidR="000D0327">
        <w:t xml:space="preserve">the </w:t>
      </w:r>
      <w:r w:rsidR="003677E2">
        <w:t>Ma</w:t>
      </w:r>
      <w:r w:rsidR="000D0327">
        <w:t>nual should be disclosed</w:t>
      </w:r>
      <w:r w:rsidR="002E7EA6">
        <w:t>,</w:t>
      </w:r>
      <w:r w:rsidR="000D0327">
        <w:t xml:space="preserve"> with </w:t>
      </w:r>
      <w:r w:rsidR="002E7EA6">
        <w:rPr>
          <w:szCs w:val="22"/>
        </w:rPr>
        <w:t>exempt</w:t>
      </w:r>
      <w:r w:rsidR="000D0327" w:rsidRPr="003C75F9">
        <w:rPr>
          <w:szCs w:val="22"/>
        </w:rPr>
        <w:t xml:space="preserve"> material redacted, inasmuch as it relates to the three products specifically mentioned </w:t>
      </w:r>
      <w:r w:rsidR="00875EBC">
        <w:rPr>
          <w:szCs w:val="22"/>
        </w:rPr>
        <w:t>the</w:t>
      </w:r>
      <w:r w:rsidR="000D0327" w:rsidRPr="003C75F9">
        <w:rPr>
          <w:szCs w:val="22"/>
        </w:rPr>
        <w:t xml:space="preserve"> </w:t>
      </w:r>
      <w:r w:rsidR="00875EBC">
        <w:rPr>
          <w:szCs w:val="22"/>
        </w:rPr>
        <w:t>r</w:t>
      </w:r>
      <w:r w:rsidR="000D0327" w:rsidRPr="003C75F9">
        <w:rPr>
          <w:szCs w:val="22"/>
        </w:rPr>
        <w:t>equest</w:t>
      </w:r>
      <w:r w:rsidR="00875EBC">
        <w:rPr>
          <w:szCs w:val="22"/>
        </w:rPr>
        <w:t>s</w:t>
      </w:r>
      <w:r w:rsidR="000D0327" w:rsidRPr="003C75F9">
        <w:rPr>
          <w:szCs w:val="22"/>
        </w:rPr>
        <w:t>.</w:t>
      </w:r>
      <w:r w:rsidR="001D7A3A">
        <w:rPr>
          <w:szCs w:val="22"/>
        </w:rPr>
        <w:t xml:space="preserve">  </w:t>
      </w:r>
      <w:r w:rsidR="000915E9">
        <w:rPr>
          <w:szCs w:val="22"/>
        </w:rPr>
        <w:t xml:space="preserve">We direct OET to provide Harris with a copy of the Manual redacted consistent with this paragraph.  </w:t>
      </w:r>
    </w:p>
    <w:p w14:paraId="220A05EC" w14:textId="77777777" w:rsidR="003C75F9" w:rsidRPr="003C75F9" w:rsidRDefault="003C75F9" w:rsidP="00111586">
      <w:pPr>
        <w:pStyle w:val="Heading1"/>
      </w:pPr>
      <w:r>
        <w:t>ORDERING CLAUSES</w:t>
      </w:r>
    </w:p>
    <w:p w14:paraId="7591ED12" w14:textId="160A6D78" w:rsidR="003F508F" w:rsidRPr="00C71F90" w:rsidRDefault="003C75F9" w:rsidP="00111586">
      <w:pPr>
        <w:pStyle w:val="ParaNum"/>
        <w:tabs>
          <w:tab w:val="num" w:pos="990"/>
        </w:tabs>
        <w:rPr>
          <w:szCs w:val="22"/>
        </w:rPr>
      </w:pPr>
      <w:r w:rsidRPr="00C71F90">
        <w:rPr>
          <w:szCs w:val="22"/>
        </w:rPr>
        <w:t xml:space="preserve">IT IS </w:t>
      </w:r>
      <w:r w:rsidRPr="00C71F90">
        <w:t>ORDERED</w:t>
      </w:r>
      <w:r w:rsidRPr="00C71F90">
        <w:rPr>
          <w:szCs w:val="22"/>
        </w:rPr>
        <w:t xml:space="preserve"> that the application for review filed by Matthew Keys </w:t>
      </w:r>
      <w:r w:rsidR="000E4575">
        <w:rPr>
          <w:szCs w:val="22"/>
        </w:rPr>
        <w:t xml:space="preserve">and the application for review filed by Shawn Musgrave ARE </w:t>
      </w:r>
      <w:r w:rsidRPr="00C71F90">
        <w:rPr>
          <w:szCs w:val="22"/>
        </w:rPr>
        <w:t xml:space="preserve">GRANTED in part and DENIED in part.  If </w:t>
      </w:r>
      <w:r w:rsidR="003F508F" w:rsidRPr="00C71F90">
        <w:rPr>
          <w:szCs w:val="22"/>
        </w:rPr>
        <w:t xml:space="preserve">Harris </w:t>
      </w:r>
      <w:r w:rsidRPr="00C71F90">
        <w:rPr>
          <w:szCs w:val="22"/>
        </w:rPr>
        <w:t xml:space="preserve">does not seek a judicial stay within ten (10) working days of the date </w:t>
      </w:r>
      <w:r w:rsidR="00106117">
        <w:rPr>
          <w:szCs w:val="22"/>
        </w:rPr>
        <w:t xml:space="preserve">OET provides it with a </w:t>
      </w:r>
      <w:r w:rsidR="00952E67">
        <w:rPr>
          <w:szCs w:val="22"/>
        </w:rPr>
        <w:t xml:space="preserve">copy of the Manual </w:t>
      </w:r>
      <w:r w:rsidR="00106117">
        <w:rPr>
          <w:szCs w:val="22"/>
        </w:rPr>
        <w:t xml:space="preserve">redacted </w:t>
      </w:r>
      <w:r w:rsidR="00952E67">
        <w:rPr>
          <w:szCs w:val="22"/>
        </w:rPr>
        <w:t>as described above,</w:t>
      </w:r>
      <w:r w:rsidR="000E4575" w:rsidRPr="000E4575">
        <w:rPr>
          <w:rStyle w:val="FootnoteReference"/>
          <w:szCs w:val="22"/>
        </w:rPr>
        <w:t xml:space="preserve"> </w:t>
      </w:r>
      <w:r w:rsidR="000E4575">
        <w:rPr>
          <w:rStyle w:val="FootnoteReference"/>
          <w:szCs w:val="22"/>
        </w:rPr>
        <w:footnoteReference w:id="32"/>
      </w:r>
      <w:r w:rsidR="00952E67">
        <w:rPr>
          <w:szCs w:val="22"/>
        </w:rPr>
        <w:t xml:space="preserve"> </w:t>
      </w:r>
      <w:r w:rsidRPr="00C71F90">
        <w:rPr>
          <w:szCs w:val="22"/>
        </w:rPr>
        <w:t xml:space="preserve">a copy of the </w:t>
      </w:r>
      <w:r w:rsidR="00C15B7A">
        <w:rPr>
          <w:szCs w:val="22"/>
        </w:rPr>
        <w:t>M</w:t>
      </w:r>
      <w:r w:rsidR="001D7A3A">
        <w:rPr>
          <w:szCs w:val="22"/>
        </w:rPr>
        <w:t xml:space="preserve">anual </w:t>
      </w:r>
      <w:r w:rsidR="00106117">
        <w:rPr>
          <w:szCs w:val="22"/>
        </w:rPr>
        <w:t xml:space="preserve">so </w:t>
      </w:r>
      <w:r w:rsidR="003F508F" w:rsidRPr="00C71F90">
        <w:rPr>
          <w:szCs w:val="22"/>
        </w:rPr>
        <w:t xml:space="preserve">redacted </w:t>
      </w:r>
      <w:r w:rsidRPr="00C71F90">
        <w:rPr>
          <w:szCs w:val="22"/>
        </w:rPr>
        <w:t xml:space="preserve">will be produced to </w:t>
      </w:r>
      <w:r w:rsidR="003F508F" w:rsidRPr="00C71F90">
        <w:rPr>
          <w:szCs w:val="22"/>
        </w:rPr>
        <w:t>Keys</w:t>
      </w:r>
      <w:r w:rsidR="001F1B81">
        <w:rPr>
          <w:szCs w:val="22"/>
        </w:rPr>
        <w:t xml:space="preserve"> and Musgrave</w:t>
      </w:r>
      <w:r w:rsidRPr="00C71F90">
        <w:rPr>
          <w:szCs w:val="22"/>
        </w:rPr>
        <w:t xml:space="preserve">. </w:t>
      </w:r>
      <w:r w:rsidRPr="00C71F90">
        <w:rPr>
          <w:i/>
          <w:szCs w:val="22"/>
        </w:rPr>
        <w:t>See</w:t>
      </w:r>
      <w:r w:rsidRPr="00C71F90">
        <w:rPr>
          <w:szCs w:val="22"/>
        </w:rPr>
        <w:t xml:space="preserve"> 47 C.F.R. § 0.461(i)(4).</w:t>
      </w:r>
      <w:r w:rsidR="00C71F90" w:rsidRPr="00C71F90">
        <w:rPr>
          <w:szCs w:val="22"/>
        </w:rPr>
        <w:t xml:space="preserve">  Keys </w:t>
      </w:r>
      <w:r w:rsidR="001F1B81">
        <w:rPr>
          <w:szCs w:val="22"/>
        </w:rPr>
        <w:t xml:space="preserve">and Musgrave </w:t>
      </w:r>
      <w:r w:rsidR="00C71F90">
        <w:t>may seek judicial review of this action pursuant to 5 U.S.C. § 552(a)(4)(B).</w:t>
      </w:r>
      <w:r w:rsidR="00C71F90" w:rsidRPr="00403C26">
        <w:rPr>
          <w:rStyle w:val="FootnoteReference"/>
          <w:szCs w:val="22"/>
        </w:rPr>
        <w:footnoteReference w:id="33"/>
      </w:r>
    </w:p>
    <w:p w14:paraId="7A40D089" w14:textId="77777777" w:rsidR="003C75F9" w:rsidRPr="003C75F9" w:rsidRDefault="003C75F9" w:rsidP="00111586">
      <w:pPr>
        <w:pStyle w:val="ParaNum"/>
        <w:rPr>
          <w:szCs w:val="22"/>
        </w:rPr>
      </w:pPr>
      <w:r w:rsidRPr="003C75F9">
        <w:rPr>
          <w:szCs w:val="22"/>
        </w:rPr>
        <w:t>The officials responsible for this action are: Chairman Wheeler and Commissioners Clyburn, Rosenworcel, Pai, and O’Rielly.</w:t>
      </w:r>
    </w:p>
    <w:p w14:paraId="238D017F" w14:textId="77777777" w:rsidR="003C75F9" w:rsidRPr="003C75F9" w:rsidRDefault="003C75F9" w:rsidP="00111586">
      <w:pPr>
        <w:pStyle w:val="ParaNum"/>
        <w:numPr>
          <w:ilvl w:val="0"/>
          <w:numId w:val="0"/>
        </w:numPr>
        <w:ind w:left="720"/>
        <w:rPr>
          <w:szCs w:val="22"/>
        </w:rPr>
      </w:pPr>
    </w:p>
    <w:p w14:paraId="737F2400" w14:textId="77777777" w:rsidR="003C75F9" w:rsidRPr="003C75F9" w:rsidRDefault="003C75F9" w:rsidP="00111586">
      <w:pPr>
        <w:rPr>
          <w:szCs w:val="22"/>
        </w:rPr>
      </w:pPr>
      <w:r w:rsidRPr="003C75F9">
        <w:rPr>
          <w:szCs w:val="22"/>
        </w:rPr>
        <w:tab/>
      </w:r>
      <w:r w:rsidRPr="003C75F9">
        <w:rPr>
          <w:szCs w:val="22"/>
        </w:rPr>
        <w:tab/>
      </w:r>
      <w:r w:rsidRPr="003C75F9">
        <w:rPr>
          <w:szCs w:val="22"/>
        </w:rPr>
        <w:tab/>
      </w:r>
      <w:r w:rsidRPr="003C75F9">
        <w:rPr>
          <w:szCs w:val="22"/>
        </w:rPr>
        <w:tab/>
      </w:r>
      <w:r w:rsidRPr="003C75F9">
        <w:rPr>
          <w:szCs w:val="22"/>
        </w:rPr>
        <w:tab/>
      </w:r>
      <w:r w:rsidRPr="003C75F9">
        <w:rPr>
          <w:szCs w:val="22"/>
        </w:rPr>
        <w:tab/>
        <w:t>FEDERAL COMMUNICATIONS COMMISSION</w:t>
      </w:r>
    </w:p>
    <w:p w14:paraId="6F94FD0C" w14:textId="77777777" w:rsidR="003C75F9" w:rsidRPr="003C75F9" w:rsidRDefault="003C75F9" w:rsidP="00111586">
      <w:pPr>
        <w:rPr>
          <w:szCs w:val="22"/>
        </w:rPr>
      </w:pPr>
    </w:p>
    <w:p w14:paraId="41BCA8AD" w14:textId="77777777" w:rsidR="003C75F9" w:rsidRPr="003C75F9" w:rsidRDefault="003C75F9" w:rsidP="00111586">
      <w:pPr>
        <w:rPr>
          <w:szCs w:val="22"/>
        </w:rPr>
      </w:pPr>
    </w:p>
    <w:p w14:paraId="7D9FBD4D" w14:textId="77777777" w:rsidR="003C75F9" w:rsidRPr="003C75F9" w:rsidRDefault="003C75F9" w:rsidP="00111586">
      <w:pPr>
        <w:rPr>
          <w:szCs w:val="22"/>
        </w:rPr>
      </w:pPr>
    </w:p>
    <w:p w14:paraId="742E259C" w14:textId="77777777" w:rsidR="003C75F9" w:rsidRPr="003C75F9" w:rsidRDefault="003C75F9" w:rsidP="00111586">
      <w:pPr>
        <w:rPr>
          <w:szCs w:val="22"/>
        </w:rPr>
      </w:pPr>
    </w:p>
    <w:p w14:paraId="2965CE94" w14:textId="77777777" w:rsidR="003C75F9" w:rsidRPr="003C75F9" w:rsidRDefault="003C75F9" w:rsidP="00111586">
      <w:pPr>
        <w:rPr>
          <w:szCs w:val="22"/>
        </w:rPr>
      </w:pPr>
      <w:r w:rsidRPr="003C75F9">
        <w:rPr>
          <w:szCs w:val="22"/>
        </w:rPr>
        <w:tab/>
      </w:r>
      <w:r w:rsidRPr="003C75F9">
        <w:rPr>
          <w:szCs w:val="22"/>
        </w:rPr>
        <w:tab/>
      </w:r>
      <w:r w:rsidRPr="003C75F9">
        <w:rPr>
          <w:szCs w:val="22"/>
        </w:rPr>
        <w:tab/>
      </w:r>
      <w:r w:rsidRPr="003C75F9">
        <w:rPr>
          <w:szCs w:val="22"/>
        </w:rPr>
        <w:tab/>
      </w:r>
      <w:r w:rsidRPr="003C75F9">
        <w:rPr>
          <w:szCs w:val="22"/>
        </w:rPr>
        <w:tab/>
      </w:r>
      <w:r w:rsidRPr="003C75F9">
        <w:rPr>
          <w:szCs w:val="22"/>
        </w:rPr>
        <w:tab/>
        <w:t>Marlene H. Dortch</w:t>
      </w:r>
    </w:p>
    <w:p w14:paraId="41B2D5D0" w14:textId="77777777" w:rsidR="00F20060" w:rsidRPr="003C75F9" w:rsidRDefault="003C75F9" w:rsidP="00111586">
      <w:pPr>
        <w:rPr>
          <w:szCs w:val="22"/>
        </w:rPr>
      </w:pPr>
      <w:r w:rsidRPr="003C75F9">
        <w:rPr>
          <w:szCs w:val="22"/>
        </w:rPr>
        <w:tab/>
      </w:r>
      <w:r w:rsidRPr="003C75F9">
        <w:rPr>
          <w:szCs w:val="22"/>
        </w:rPr>
        <w:tab/>
      </w:r>
      <w:r w:rsidRPr="003C75F9">
        <w:rPr>
          <w:szCs w:val="22"/>
        </w:rPr>
        <w:tab/>
      </w:r>
      <w:r w:rsidRPr="003C75F9">
        <w:rPr>
          <w:szCs w:val="22"/>
        </w:rPr>
        <w:tab/>
      </w:r>
      <w:r w:rsidRPr="003C75F9">
        <w:rPr>
          <w:szCs w:val="22"/>
        </w:rPr>
        <w:tab/>
      </w:r>
      <w:r w:rsidRPr="003C75F9">
        <w:rPr>
          <w:szCs w:val="22"/>
        </w:rPr>
        <w:tab/>
        <w:t>Secretary</w:t>
      </w:r>
      <w:r w:rsidR="000D0327" w:rsidRPr="003C75F9">
        <w:rPr>
          <w:szCs w:val="22"/>
        </w:rPr>
        <w:t xml:space="preserve"> </w:t>
      </w:r>
      <w:r w:rsidR="008B324B" w:rsidRPr="003C75F9">
        <w:rPr>
          <w:szCs w:val="22"/>
        </w:rPr>
        <w:t xml:space="preserve"> </w:t>
      </w:r>
    </w:p>
    <w:p w14:paraId="04C1626F" w14:textId="77777777" w:rsidR="002910EC" w:rsidRPr="002910EC" w:rsidRDefault="002910EC" w:rsidP="00111586">
      <w:pPr>
        <w:pStyle w:val="ParaNum"/>
        <w:numPr>
          <w:ilvl w:val="0"/>
          <w:numId w:val="0"/>
        </w:numPr>
        <w:rPr>
          <w:i/>
        </w:rPr>
      </w:pPr>
    </w:p>
    <w:p w14:paraId="09E9F5F3" w14:textId="77777777" w:rsidR="00DA3135" w:rsidRPr="00CB53DA" w:rsidRDefault="00DA3135" w:rsidP="00111586">
      <w:pPr>
        <w:pStyle w:val="ParaNum"/>
        <w:numPr>
          <w:ilvl w:val="0"/>
          <w:numId w:val="0"/>
        </w:numPr>
      </w:pPr>
    </w:p>
    <w:sectPr w:rsidR="00DA3135" w:rsidRPr="00CB53D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F2880" w14:textId="77777777" w:rsidR="00377B7E" w:rsidRDefault="00377B7E">
      <w:pPr>
        <w:spacing w:line="20" w:lineRule="exact"/>
      </w:pPr>
    </w:p>
  </w:endnote>
  <w:endnote w:type="continuationSeparator" w:id="0">
    <w:p w14:paraId="3AFFF683" w14:textId="77777777" w:rsidR="00377B7E" w:rsidRDefault="00377B7E">
      <w:r>
        <w:t xml:space="preserve"> </w:t>
      </w:r>
    </w:p>
  </w:endnote>
  <w:endnote w:type="continuationNotice" w:id="1">
    <w:p w14:paraId="1EADD808" w14:textId="77777777" w:rsidR="00377B7E" w:rsidRDefault="00377B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DCC8"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233CAC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404310"/>
      <w:docPartObj>
        <w:docPartGallery w:val="Page Numbers (Bottom of Page)"/>
        <w:docPartUnique/>
      </w:docPartObj>
    </w:sdtPr>
    <w:sdtEndPr>
      <w:rPr>
        <w:noProof/>
      </w:rPr>
    </w:sdtEndPr>
    <w:sdtContent>
      <w:p w14:paraId="04F5B7AA" w14:textId="77777777" w:rsidR="00B8476E" w:rsidRDefault="00B8476E">
        <w:pPr>
          <w:pStyle w:val="Footer"/>
          <w:jc w:val="center"/>
        </w:pPr>
        <w:r>
          <w:fldChar w:fldCharType="begin"/>
        </w:r>
        <w:r>
          <w:instrText xml:space="preserve"> PAGE   \* MERGEFORMAT </w:instrText>
        </w:r>
        <w:r>
          <w:fldChar w:fldCharType="separate"/>
        </w:r>
        <w:r w:rsidR="0051482C">
          <w:rPr>
            <w:noProof/>
          </w:rPr>
          <w:t>2</w:t>
        </w:r>
        <w:r>
          <w:rPr>
            <w:noProof/>
          </w:rPr>
          <w:fldChar w:fldCharType="end"/>
        </w:r>
      </w:p>
    </w:sdtContent>
  </w:sdt>
  <w:p w14:paraId="6193A456"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EC5E"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7A0FA" w14:textId="77777777" w:rsidR="00377B7E" w:rsidRDefault="00377B7E">
      <w:r>
        <w:separator/>
      </w:r>
    </w:p>
  </w:footnote>
  <w:footnote w:type="continuationSeparator" w:id="0">
    <w:p w14:paraId="7BCA3069" w14:textId="77777777" w:rsidR="00377B7E" w:rsidRDefault="00377B7E" w:rsidP="00C721AC">
      <w:pPr>
        <w:spacing w:before="120"/>
        <w:rPr>
          <w:sz w:val="20"/>
        </w:rPr>
      </w:pPr>
      <w:r>
        <w:rPr>
          <w:sz w:val="20"/>
        </w:rPr>
        <w:t xml:space="preserve">(Continued from previous page)  </w:t>
      </w:r>
      <w:r>
        <w:rPr>
          <w:sz w:val="20"/>
        </w:rPr>
        <w:separator/>
      </w:r>
    </w:p>
  </w:footnote>
  <w:footnote w:type="continuationNotice" w:id="1">
    <w:p w14:paraId="7DB3BA52" w14:textId="77777777" w:rsidR="00377B7E" w:rsidRDefault="00377B7E" w:rsidP="00C721AC">
      <w:pPr>
        <w:jc w:val="right"/>
        <w:rPr>
          <w:sz w:val="20"/>
        </w:rPr>
      </w:pPr>
      <w:r>
        <w:rPr>
          <w:sz w:val="20"/>
        </w:rPr>
        <w:t>(continued….)</w:t>
      </w:r>
    </w:p>
  </w:footnote>
  <w:footnote w:id="2">
    <w:p w14:paraId="5BAF9BB6" w14:textId="6FE319E1" w:rsidR="005E76C8" w:rsidRPr="005E76C8" w:rsidRDefault="005E76C8">
      <w:pPr>
        <w:pStyle w:val="FootnoteText"/>
      </w:pPr>
      <w:r>
        <w:rPr>
          <w:rStyle w:val="FootnoteReference"/>
        </w:rPr>
        <w:footnoteRef/>
      </w:r>
      <w:r>
        <w:t xml:space="preserve"> </w:t>
      </w:r>
      <w:r>
        <w:rPr>
          <w:i/>
        </w:rPr>
        <w:t xml:space="preserve"> </w:t>
      </w:r>
      <w:r>
        <w:t>Letter from Matthew Keys to Office of General Counsel (Apr. 22, 2015) (</w:t>
      </w:r>
      <w:r w:rsidR="000E4575">
        <w:t xml:space="preserve">Keys </w:t>
      </w:r>
      <w:r>
        <w:t>AFR).</w:t>
      </w:r>
    </w:p>
  </w:footnote>
  <w:footnote w:id="3">
    <w:p w14:paraId="733512C8" w14:textId="0F8450AA" w:rsidR="00F505F9" w:rsidRPr="007022F4" w:rsidRDefault="00F505F9" w:rsidP="00F505F9">
      <w:pPr>
        <w:pStyle w:val="FootnoteText"/>
      </w:pPr>
      <w:r>
        <w:rPr>
          <w:rStyle w:val="FootnoteReference"/>
        </w:rPr>
        <w:footnoteRef/>
      </w:r>
      <w:r>
        <w:t xml:space="preserve"> E-mail from Shawn Musgrave to </w:t>
      </w:r>
      <w:hyperlink r:id="rId1" w:history="1">
        <w:r w:rsidRPr="0039094B">
          <w:rPr>
            <w:rStyle w:val="Hyperlink"/>
          </w:rPr>
          <w:t>FOIA-Appeal@fcc.gov</w:t>
        </w:r>
      </w:hyperlink>
      <w:r>
        <w:t xml:space="preserve"> (Sept. 2</w:t>
      </w:r>
      <w:r w:rsidR="000E4575">
        <w:t>7</w:t>
      </w:r>
      <w:r>
        <w:t>, 2015) (</w:t>
      </w:r>
      <w:r w:rsidR="000E4575">
        <w:t>Musgrave AFR</w:t>
      </w:r>
      <w:r>
        <w:t>).</w:t>
      </w:r>
    </w:p>
  </w:footnote>
  <w:footnote w:id="4">
    <w:p w14:paraId="7AF57D7D" w14:textId="7664C765" w:rsidR="005E76C8" w:rsidRPr="005E76C8" w:rsidRDefault="005E76C8">
      <w:pPr>
        <w:pStyle w:val="FootnoteText"/>
      </w:pPr>
      <w:r>
        <w:rPr>
          <w:rStyle w:val="FootnoteReference"/>
        </w:rPr>
        <w:footnoteRef/>
      </w:r>
      <w:r>
        <w:t xml:space="preserve"> </w:t>
      </w:r>
      <w:r>
        <w:rPr>
          <w:i/>
        </w:rPr>
        <w:t xml:space="preserve"> </w:t>
      </w:r>
      <w:r>
        <w:t>Letter from Julius P. Knapp, Chief to Matthew Keys (Ma</w:t>
      </w:r>
      <w:r w:rsidR="00856558">
        <w:t>r</w:t>
      </w:r>
      <w:r>
        <w:t>. 23, 2015) (</w:t>
      </w:r>
      <w:r w:rsidR="00950D5A">
        <w:t xml:space="preserve">Keys </w:t>
      </w:r>
      <w:r>
        <w:t>Decision)</w:t>
      </w:r>
      <w:r w:rsidR="00950D5A">
        <w:t>; Letter from Julius P. Knapp, Chief, Office of Engineering &amp; Technology to Shawn Musgrave (Sept. 3, 2015) (Musgrave Decision)</w:t>
      </w:r>
      <w:r>
        <w:t>.</w:t>
      </w:r>
    </w:p>
  </w:footnote>
  <w:footnote w:id="5">
    <w:p w14:paraId="36DC2596" w14:textId="563DA435" w:rsidR="005E76C8" w:rsidRPr="005E76C8" w:rsidRDefault="005E76C8">
      <w:pPr>
        <w:pStyle w:val="FootnoteText"/>
      </w:pPr>
      <w:r>
        <w:rPr>
          <w:rStyle w:val="FootnoteReference"/>
        </w:rPr>
        <w:footnoteRef/>
      </w:r>
      <w:r>
        <w:t xml:space="preserve"> </w:t>
      </w:r>
      <w:r>
        <w:rPr>
          <w:i/>
        </w:rPr>
        <w:t xml:space="preserve"> </w:t>
      </w:r>
      <w:r w:rsidR="00856558">
        <w:t>Letter from Matthew Keys to Custodian of the Records (or FOIA Officer) (Sept. 23, 2014) (</w:t>
      </w:r>
      <w:r w:rsidR="00950D5A">
        <w:t xml:space="preserve">Keys </w:t>
      </w:r>
      <w:r w:rsidR="00856558">
        <w:t>Request)</w:t>
      </w:r>
      <w:r w:rsidR="00950D5A">
        <w:t xml:space="preserve">; Electronic submission via </w:t>
      </w:r>
      <w:hyperlink r:id="rId2" w:history="1">
        <w:r w:rsidR="00950D5A" w:rsidRPr="00B97CFC">
          <w:rPr>
            <w:rStyle w:val="Hyperlink"/>
          </w:rPr>
          <w:t>https://foiaonline.regulations.gov/foia/action/agency/creatRequest</w:t>
        </w:r>
      </w:hyperlink>
      <w:r w:rsidR="00950D5A">
        <w:t xml:space="preserve"> (Jul. 28, 2015) (Musgrave Request).  </w:t>
      </w:r>
    </w:p>
  </w:footnote>
  <w:footnote w:id="6">
    <w:p w14:paraId="369ACB07" w14:textId="220C0758" w:rsidR="00D17050" w:rsidRPr="00D17050" w:rsidRDefault="00D17050">
      <w:pPr>
        <w:pStyle w:val="FootnoteText"/>
      </w:pPr>
      <w:r>
        <w:rPr>
          <w:rStyle w:val="FootnoteReference"/>
        </w:rPr>
        <w:footnoteRef/>
      </w:r>
      <w:r>
        <w:t xml:space="preserve"> </w:t>
      </w:r>
      <w:r>
        <w:rPr>
          <w:i/>
        </w:rPr>
        <w:t xml:space="preserve"> </w:t>
      </w:r>
      <w:r w:rsidR="00180E31">
        <w:t xml:space="preserve">Keys </w:t>
      </w:r>
      <w:r w:rsidR="00286135">
        <w:t xml:space="preserve">Request </w:t>
      </w:r>
      <w:r w:rsidR="00286135">
        <w:rPr>
          <w:i/>
        </w:rPr>
        <w:t>at</w:t>
      </w:r>
      <w:r>
        <w:t xml:space="preserve"> 1.</w:t>
      </w:r>
    </w:p>
  </w:footnote>
  <w:footnote w:id="7">
    <w:p w14:paraId="7F1AE359" w14:textId="0C1685C3" w:rsidR="00180E31" w:rsidRDefault="00180E31" w:rsidP="00180E31">
      <w:pPr>
        <w:pStyle w:val="FootnoteText"/>
      </w:pPr>
      <w:r>
        <w:rPr>
          <w:rStyle w:val="FootnoteReference"/>
        </w:rPr>
        <w:footnoteRef/>
      </w:r>
      <w:r>
        <w:t xml:space="preserve"> </w:t>
      </w:r>
      <w:r w:rsidR="000E4575">
        <w:rPr>
          <w:i/>
        </w:rPr>
        <w:t xml:space="preserve"> </w:t>
      </w:r>
      <w:r w:rsidR="000E4575">
        <w:t>Musgrave Request.</w:t>
      </w:r>
      <w:r w:rsidR="009E5CE5">
        <w:t xml:space="preserve"> </w:t>
      </w:r>
      <w:r>
        <w:t xml:space="preserve">   </w:t>
      </w:r>
    </w:p>
  </w:footnote>
  <w:footnote w:id="8">
    <w:p w14:paraId="6B6B95B8" w14:textId="50FFD5B0" w:rsidR="00D17050" w:rsidRPr="00D17050" w:rsidRDefault="00D17050">
      <w:pPr>
        <w:pStyle w:val="FootnoteText"/>
      </w:pPr>
      <w:r>
        <w:rPr>
          <w:rStyle w:val="FootnoteReference"/>
        </w:rPr>
        <w:footnoteRef/>
      </w:r>
      <w:r>
        <w:t xml:space="preserve"> </w:t>
      </w:r>
      <w:r>
        <w:rPr>
          <w:i/>
        </w:rPr>
        <w:t xml:space="preserve">See </w:t>
      </w:r>
      <w:r w:rsidR="00B95A95">
        <w:t xml:space="preserve">Keys </w:t>
      </w:r>
      <w:r>
        <w:t>Decision at 1</w:t>
      </w:r>
      <w:r w:rsidR="00B95A95">
        <w:t>; Musgrave Decision at 1</w:t>
      </w:r>
      <w:r>
        <w:t>.</w:t>
      </w:r>
      <w:r w:rsidR="009E5CE5">
        <w:t xml:space="preserve">  OET located no records concerning Triggerfish, Loggerhead, Amberjack, or Gossamer.</w:t>
      </w:r>
    </w:p>
  </w:footnote>
  <w:footnote w:id="9">
    <w:p w14:paraId="195BAD4E" w14:textId="0D2C1F10" w:rsidR="00354F28" w:rsidRPr="00C060D8" w:rsidRDefault="00354F28">
      <w:pPr>
        <w:pStyle w:val="FootnoteText"/>
      </w:pPr>
      <w:r>
        <w:rPr>
          <w:rStyle w:val="FootnoteReference"/>
        </w:rPr>
        <w:footnoteRef/>
      </w:r>
      <w:r>
        <w:t xml:space="preserve">  </w:t>
      </w:r>
      <w:r>
        <w:rPr>
          <w:i/>
        </w:rPr>
        <w:t>See</w:t>
      </w:r>
      <w:r w:rsidR="00875EBC">
        <w:rPr>
          <w:i/>
        </w:rPr>
        <w:t xml:space="preserve"> </w:t>
      </w:r>
      <w:r w:rsidR="00875EBC">
        <w:t>Keys Decision at 1;</w:t>
      </w:r>
      <w:r w:rsidR="006A2200">
        <w:t xml:space="preserve"> </w:t>
      </w:r>
      <w:r>
        <w:t>5 U.S.C. § 552(b)(4).</w:t>
      </w:r>
      <w:r w:rsidR="005E29C7">
        <w:t xml:space="preserve">  Harris </w:t>
      </w:r>
      <w:r w:rsidR="006A2200">
        <w:t xml:space="preserve">had </w:t>
      </w:r>
      <w:r w:rsidR="00C060D8">
        <w:t xml:space="preserve">sought confidential treatment for the </w:t>
      </w:r>
      <w:r w:rsidR="00BE21C2">
        <w:t>user manual in connection with its application</w:t>
      </w:r>
      <w:r w:rsidR="00D81A29">
        <w:t>s</w:t>
      </w:r>
      <w:r w:rsidR="00BE21C2">
        <w:t xml:space="preserve"> for equipment </w:t>
      </w:r>
      <w:r w:rsidR="006276E7">
        <w:t>authorization</w:t>
      </w:r>
      <w:r w:rsidR="00BE21C2">
        <w:t xml:space="preserve">.  </w:t>
      </w:r>
      <w:r w:rsidR="00BE21C2">
        <w:rPr>
          <w:i/>
        </w:rPr>
        <w:t xml:space="preserve">See </w:t>
      </w:r>
      <w:r w:rsidR="00BE21C2">
        <w:t>Letter from Tania W. Hanna, Esq. to Marlene H. Dortch, Secretary (Apr. 28, 2011).  Harris reiterated its claim of confidentiality in response to K</w:t>
      </w:r>
      <w:r w:rsidR="005604B8">
        <w:t>e</w:t>
      </w:r>
      <w:r w:rsidR="00BE21C2">
        <w:t xml:space="preserve">ys’s FOIA request.  </w:t>
      </w:r>
      <w:r w:rsidR="005E29C7">
        <w:rPr>
          <w:i/>
        </w:rPr>
        <w:t xml:space="preserve">See </w:t>
      </w:r>
      <w:r w:rsidR="005E29C7">
        <w:t xml:space="preserve">Letter from </w:t>
      </w:r>
      <w:r w:rsidR="00C060D8">
        <w:t>Tania V. Hanna to Mr. Julius P. Knapp, Chief</w:t>
      </w:r>
      <w:r w:rsidR="006276E7">
        <w:t xml:space="preserve"> Officer of Engineering and Technology, Federal Communications Commission</w:t>
      </w:r>
      <w:r w:rsidR="00C060D8">
        <w:t xml:space="preserve"> (Oct. 20, 2014).  </w:t>
      </w:r>
      <w:r w:rsidR="00C060D8">
        <w:rPr>
          <w:i/>
        </w:rPr>
        <w:t xml:space="preserve">See also </w:t>
      </w:r>
      <w:r w:rsidR="00C060D8">
        <w:t>Letter from Matthew Keys to Julius P. Knapp, Chief Officer of Engineering and Technology</w:t>
      </w:r>
      <w:r w:rsidR="006276E7">
        <w:t>, Federal Communications Commission</w:t>
      </w:r>
      <w:r w:rsidR="00C060D8">
        <w:t xml:space="preserve"> (Oct. 25, 2014) (disputing Harris’s claim of confidentiality).</w:t>
      </w:r>
    </w:p>
  </w:footnote>
  <w:footnote w:id="10">
    <w:p w14:paraId="6D144DBE" w14:textId="43086930" w:rsidR="00354F28" w:rsidRPr="00354F28" w:rsidRDefault="00354F28">
      <w:pPr>
        <w:pStyle w:val="FootnoteText"/>
      </w:pPr>
      <w:r>
        <w:rPr>
          <w:rStyle w:val="FootnoteReference"/>
        </w:rPr>
        <w:footnoteRef/>
      </w:r>
      <w:r>
        <w:t xml:space="preserve"> </w:t>
      </w:r>
      <w:r>
        <w:rPr>
          <w:i/>
        </w:rPr>
        <w:t xml:space="preserve"> </w:t>
      </w:r>
      <w:r w:rsidR="00B95A95">
        <w:t xml:space="preserve">Keys </w:t>
      </w:r>
      <w:r>
        <w:t>Decision at 1</w:t>
      </w:r>
      <w:r w:rsidR="00B95A95">
        <w:t>; Musgrave Decision at 1.</w:t>
      </w:r>
    </w:p>
  </w:footnote>
  <w:footnote w:id="11">
    <w:p w14:paraId="36DCD326" w14:textId="5856B750" w:rsidR="00512C4B" w:rsidRPr="00512C4B" w:rsidRDefault="00512C4B">
      <w:pPr>
        <w:pStyle w:val="FootnoteText"/>
      </w:pPr>
      <w:r>
        <w:rPr>
          <w:rStyle w:val="FootnoteReference"/>
        </w:rPr>
        <w:footnoteRef/>
      </w:r>
      <w:r>
        <w:t xml:space="preserve"> Keys relies on the definition of trade secret in the Uniform Trade Secrets Act (UTSA): “information, including a formula, pattern, compilation, program, device, method, technique, or process, that derives independent economic value, actual or potential, from not being generally known to or readily ascertainable through appropriate means by other persons who might obtain economic value from its disclosure or use; and is subject to efforts that are </w:t>
      </w:r>
      <w:r w:rsidR="00E322EA">
        <w:t xml:space="preserve">reasonable </w:t>
      </w:r>
      <w:r>
        <w:t xml:space="preserve">under the circumstances to maintain its secrecy.”  </w:t>
      </w:r>
      <w:r>
        <w:rPr>
          <w:i/>
        </w:rPr>
        <w:t xml:space="preserve">See </w:t>
      </w:r>
      <w:r w:rsidR="00B95A95">
        <w:t xml:space="preserve">Keys </w:t>
      </w:r>
      <w:r>
        <w:t>AFR at 3.</w:t>
      </w:r>
    </w:p>
  </w:footnote>
  <w:footnote w:id="12">
    <w:p w14:paraId="3EF76C02" w14:textId="70B06BA5" w:rsidR="00E061A6" w:rsidRPr="00E061A6" w:rsidRDefault="00E061A6">
      <w:pPr>
        <w:pStyle w:val="FootnoteText"/>
      </w:pPr>
      <w:r>
        <w:rPr>
          <w:rStyle w:val="FootnoteReference"/>
        </w:rPr>
        <w:footnoteRef/>
      </w:r>
      <w:r>
        <w:t xml:space="preserve"> </w:t>
      </w:r>
      <w:r>
        <w:rPr>
          <w:i/>
        </w:rPr>
        <w:t xml:space="preserve">See </w:t>
      </w:r>
      <w:r w:rsidR="00CD0835">
        <w:rPr>
          <w:i/>
        </w:rPr>
        <w:t>id</w:t>
      </w:r>
      <w:r w:rsidR="006A2200">
        <w:rPr>
          <w:i/>
        </w:rPr>
        <w:t>.</w:t>
      </w:r>
      <w:r>
        <w:t xml:space="preserve"> </w:t>
      </w:r>
    </w:p>
  </w:footnote>
  <w:footnote w:id="13">
    <w:p w14:paraId="34F7577A" w14:textId="77777777" w:rsidR="00D370C6" w:rsidRPr="00D370C6" w:rsidRDefault="00D370C6">
      <w:pPr>
        <w:pStyle w:val="FootnoteText"/>
      </w:pPr>
      <w:r>
        <w:rPr>
          <w:rStyle w:val="FootnoteReference"/>
        </w:rPr>
        <w:footnoteRef/>
      </w:r>
      <w:r>
        <w:t xml:space="preserve"> </w:t>
      </w:r>
      <w:r>
        <w:rPr>
          <w:i/>
        </w:rPr>
        <w:t xml:space="preserve">See id. </w:t>
      </w:r>
      <w:r>
        <w:t>at 3-4.</w:t>
      </w:r>
    </w:p>
  </w:footnote>
  <w:footnote w:id="14">
    <w:p w14:paraId="15F1227C" w14:textId="244DB63A" w:rsidR="00B95A95" w:rsidRPr="00284312" w:rsidRDefault="00B95A95" w:rsidP="00B95A95">
      <w:pPr>
        <w:pStyle w:val="FootnoteText"/>
      </w:pPr>
      <w:r>
        <w:rPr>
          <w:rStyle w:val="FootnoteReference"/>
        </w:rPr>
        <w:footnoteRef/>
      </w:r>
      <w:r>
        <w:t xml:space="preserve"> Musgrave AFR at 1.</w:t>
      </w:r>
      <w:r w:rsidR="00F732D4">
        <w:t xml:space="preserve"> Musgrave’s argument is quoted here in its entirety. </w:t>
      </w:r>
    </w:p>
  </w:footnote>
  <w:footnote w:id="15">
    <w:p w14:paraId="05405B3A" w14:textId="6AFF0D1E" w:rsidR="006276E7" w:rsidRDefault="006276E7">
      <w:pPr>
        <w:pStyle w:val="FootnoteText"/>
      </w:pPr>
      <w:r>
        <w:rPr>
          <w:rStyle w:val="FootnoteReference"/>
        </w:rPr>
        <w:footnoteRef/>
      </w:r>
      <w:r>
        <w:t xml:space="preserve"> 5 U.S.C. § 552(b)(1)-(9).</w:t>
      </w:r>
    </w:p>
  </w:footnote>
  <w:footnote w:id="16">
    <w:p w14:paraId="211E53F4" w14:textId="77777777" w:rsidR="00B03106" w:rsidRPr="00F80DA0" w:rsidRDefault="00B03106" w:rsidP="00B03106">
      <w:pPr>
        <w:pStyle w:val="FootnoteText"/>
      </w:pPr>
      <w:r>
        <w:rPr>
          <w:rStyle w:val="FootnoteReference"/>
        </w:rPr>
        <w:footnoteRef/>
      </w:r>
      <w:r>
        <w:t xml:space="preserve"> </w:t>
      </w:r>
      <w:r>
        <w:rPr>
          <w:i/>
        </w:rPr>
        <w:t xml:space="preserve">See </w:t>
      </w:r>
      <w:r>
        <w:t xml:space="preserve">5 U.S.C. § 552(b)(4).  </w:t>
      </w:r>
    </w:p>
  </w:footnote>
  <w:footnote w:id="17">
    <w:p w14:paraId="238783D8" w14:textId="77777777" w:rsidR="00B03106" w:rsidRDefault="00B03106" w:rsidP="00B03106">
      <w:pPr>
        <w:pStyle w:val="FootnoteText"/>
      </w:pPr>
      <w:r>
        <w:rPr>
          <w:rStyle w:val="FootnoteReference"/>
        </w:rPr>
        <w:footnoteRef/>
      </w:r>
      <w:r>
        <w:t xml:space="preserve"> </w:t>
      </w:r>
      <w:r>
        <w:rPr>
          <w:i/>
        </w:rPr>
        <w:t xml:space="preserve">See </w:t>
      </w:r>
      <w:r>
        <w:t>47 C.F.R. § 0.457(d).</w:t>
      </w:r>
    </w:p>
  </w:footnote>
  <w:footnote w:id="18">
    <w:p w14:paraId="2AE85DB9" w14:textId="28B00FDF" w:rsidR="00943242" w:rsidRPr="001F1F19" w:rsidRDefault="00943242">
      <w:pPr>
        <w:pStyle w:val="FootnoteText"/>
        <w:rPr>
          <w:i/>
        </w:rPr>
      </w:pPr>
      <w:r>
        <w:rPr>
          <w:rStyle w:val="FootnoteReference"/>
        </w:rPr>
        <w:footnoteRef/>
      </w:r>
      <w:r>
        <w:t xml:space="preserve"> </w:t>
      </w:r>
      <w:r>
        <w:rPr>
          <w:i/>
        </w:rPr>
        <w:t xml:space="preserve">See Public Citizen Health Research Group v. FDA, </w:t>
      </w:r>
      <w:r>
        <w:t>704 F.2d 1280, 1286 (D.C. Cir. 1983) (if documents are trade secrets, no further inquiry is necessary; otherwise a showing of confidentiality must be made)</w:t>
      </w:r>
      <w:r w:rsidR="006A2200">
        <w:rPr>
          <w:i/>
        </w:rPr>
        <w:t>.</w:t>
      </w:r>
      <w:r>
        <w:rPr>
          <w:i/>
        </w:rPr>
        <w:t xml:space="preserve"> </w:t>
      </w:r>
    </w:p>
  </w:footnote>
  <w:footnote w:id="19">
    <w:p w14:paraId="3A79B962" w14:textId="2C93670F" w:rsidR="00373D3A" w:rsidRPr="002B138B" w:rsidRDefault="00373D3A">
      <w:pPr>
        <w:pStyle w:val="FootnoteText"/>
        <w:rPr>
          <w:i/>
        </w:rPr>
      </w:pPr>
      <w:r>
        <w:rPr>
          <w:rStyle w:val="FootnoteReference"/>
        </w:rPr>
        <w:footnoteRef/>
      </w:r>
      <w:r>
        <w:t xml:space="preserve"> </w:t>
      </w:r>
      <w:r>
        <w:rPr>
          <w:i/>
        </w:rPr>
        <w:t>See id.</w:t>
      </w:r>
    </w:p>
  </w:footnote>
  <w:footnote w:id="20">
    <w:p w14:paraId="5D634D59" w14:textId="13E9A9EE" w:rsidR="00B03106" w:rsidRPr="00EA2A60" w:rsidRDefault="00B03106" w:rsidP="00B03106">
      <w:pPr>
        <w:pStyle w:val="FootnoteText"/>
      </w:pPr>
      <w:r>
        <w:rPr>
          <w:rStyle w:val="FootnoteReference"/>
        </w:rPr>
        <w:footnoteRef/>
      </w:r>
      <w:r>
        <w:t xml:space="preserve"> </w:t>
      </w:r>
      <w:r>
        <w:rPr>
          <w:i/>
        </w:rPr>
        <w:t xml:space="preserve">See National Parks and Conservation Ass’n v. Morton, </w:t>
      </w:r>
      <w:r>
        <w:t xml:space="preserve">498 F.2d 765, 770 (D.C. Cir. 1974) and </w:t>
      </w:r>
      <w:r>
        <w:rPr>
          <w:i/>
        </w:rPr>
        <w:t xml:space="preserve">Public Citizen Health Research Group v. FDA, </w:t>
      </w:r>
      <w:r>
        <w:t xml:space="preserve">704 F.2d </w:t>
      </w:r>
      <w:r w:rsidR="00943242">
        <w:t xml:space="preserve">at </w:t>
      </w:r>
      <w:r>
        <w:t xml:space="preserve">1290-91.  </w:t>
      </w:r>
    </w:p>
  </w:footnote>
  <w:footnote w:id="21">
    <w:p w14:paraId="3F3ADC75" w14:textId="79251E16" w:rsidR="004979B1" w:rsidRPr="004979B1" w:rsidRDefault="004979B1">
      <w:pPr>
        <w:pStyle w:val="FootnoteText"/>
      </w:pPr>
      <w:r>
        <w:rPr>
          <w:rStyle w:val="FootnoteReference"/>
        </w:rPr>
        <w:footnoteRef/>
      </w:r>
      <w:r>
        <w:t xml:space="preserve"> We note that in </w:t>
      </w:r>
      <w:r>
        <w:rPr>
          <w:i/>
        </w:rPr>
        <w:t xml:space="preserve">American Civil Liberties Union of Northern California, </w:t>
      </w:r>
      <w:r>
        <w:t xml:space="preserve">29 FCC Rcd 9724, 9728 ¶ 11 (2014), we upheld OET’s withholding of </w:t>
      </w:r>
      <w:r w:rsidR="008F68E4">
        <w:t>certain</w:t>
      </w:r>
      <w:r>
        <w:t xml:space="preserve"> information regarding these devices as trade secrets.  The requester in that case, however, did not challenge the trade secret determination, and we therefore did not review it.  In any event, as the analysis below indicates, if we had applied the analysis we adopt here to the earlier case, it would </w:t>
      </w:r>
      <w:r w:rsidR="001F5CAC">
        <w:t xml:space="preserve">likely </w:t>
      </w:r>
      <w:r>
        <w:t xml:space="preserve">not have changed the outcome, inasmuch as there </w:t>
      </w:r>
      <w:r w:rsidR="001F5CAC">
        <w:t xml:space="preserve">would have been, as here, </w:t>
      </w:r>
      <w:r>
        <w:t>alternative grounds for withholding the relevant material.</w:t>
      </w:r>
    </w:p>
  </w:footnote>
  <w:footnote w:id="22">
    <w:p w14:paraId="0FE3B97E" w14:textId="237DD6D9" w:rsidR="002910EC" w:rsidRPr="002910EC" w:rsidRDefault="002910EC">
      <w:pPr>
        <w:pStyle w:val="FootnoteText"/>
      </w:pPr>
      <w:r>
        <w:rPr>
          <w:rStyle w:val="FootnoteReference"/>
        </w:rPr>
        <w:footnoteRef/>
      </w:r>
      <w:r>
        <w:t xml:space="preserve"> </w:t>
      </w:r>
      <w:r>
        <w:rPr>
          <w:i/>
        </w:rPr>
        <w:t xml:space="preserve"> Public Citizen Health Research Group v. FDA, </w:t>
      </w:r>
      <w:r>
        <w:t xml:space="preserve">704 F.2d </w:t>
      </w:r>
      <w:r w:rsidR="00943242">
        <w:t xml:space="preserve">at 1288.  </w:t>
      </w:r>
    </w:p>
  </w:footnote>
  <w:footnote w:id="23">
    <w:p w14:paraId="434120D2" w14:textId="32B2CACC" w:rsidR="00B71298" w:rsidRPr="00B71298" w:rsidRDefault="00B71298">
      <w:pPr>
        <w:pStyle w:val="FootnoteText"/>
      </w:pPr>
      <w:r>
        <w:rPr>
          <w:rStyle w:val="FootnoteReference"/>
        </w:rPr>
        <w:footnoteRef/>
      </w:r>
      <w:r>
        <w:t xml:space="preserve"> </w:t>
      </w:r>
      <w:r>
        <w:rPr>
          <w:i/>
        </w:rPr>
        <w:t xml:space="preserve">See Center for Auto Safety v. NHTSA, </w:t>
      </w:r>
      <w:r>
        <w:t xml:space="preserve">244 F.3d 144, 150-151 (D.C. Cir. 2001) (trade secrets do not encompass information about airbags that relates to the end product, </w:t>
      </w:r>
      <w:r>
        <w:rPr>
          <w:i/>
        </w:rPr>
        <w:t xml:space="preserve">i.e., </w:t>
      </w:r>
      <w:r>
        <w:t>what features an airbag has an</w:t>
      </w:r>
      <w:r w:rsidR="007C4D7E">
        <w:t>d</w:t>
      </w:r>
      <w:r>
        <w:t xml:space="preserve"> how it performs, rather than </w:t>
      </w:r>
      <w:r w:rsidR="000E5EBE">
        <w:t xml:space="preserve">to the production process, </w:t>
      </w:r>
      <w:r w:rsidR="000E5EBE">
        <w:rPr>
          <w:i/>
        </w:rPr>
        <w:t xml:space="preserve">i.e., </w:t>
      </w:r>
      <w:r>
        <w:t>how it is made</w:t>
      </w:r>
      <w:r w:rsidR="006276E7">
        <w:t>)</w:t>
      </w:r>
      <w:r>
        <w:t>.</w:t>
      </w:r>
    </w:p>
  </w:footnote>
  <w:footnote w:id="24">
    <w:p w14:paraId="44979B77" w14:textId="027D23C5" w:rsidR="00B27EFC" w:rsidRDefault="00B27EFC" w:rsidP="00B27EFC">
      <w:pPr>
        <w:pStyle w:val="FootnoteText"/>
      </w:pPr>
      <w:r>
        <w:rPr>
          <w:rStyle w:val="FootnoteReference"/>
        </w:rPr>
        <w:footnoteRef/>
      </w:r>
      <w:r>
        <w:t xml:space="preserve"> </w:t>
      </w:r>
      <w:r>
        <w:rPr>
          <w:i/>
        </w:rPr>
        <w:t xml:space="preserve">See </w:t>
      </w:r>
      <w:r>
        <w:t xml:space="preserve">Manual at </w:t>
      </w:r>
      <w:r w:rsidR="00092CA9">
        <w:t>cover page,</w:t>
      </w:r>
      <w:r w:rsidR="006276E7">
        <w:t xml:space="preserve"> </w:t>
      </w:r>
      <w:r w:rsidR="00F610C8">
        <w:rPr>
          <w:i/>
        </w:rPr>
        <w:t xml:space="preserve">citing </w:t>
      </w:r>
      <w:r>
        <w:t>18 U.S.C. § 2512 (governing</w:t>
      </w:r>
      <w:r w:rsidR="0022174E">
        <w:t xml:space="preserve"> “electronic communication intercepting </w:t>
      </w:r>
      <w:r>
        <w:t>devices</w:t>
      </w:r>
      <w:r w:rsidR="0022174E">
        <w:t>”</w:t>
      </w:r>
      <w:r>
        <w:t>).</w:t>
      </w:r>
      <w:r w:rsidR="00F610C8">
        <w:t xml:space="preserve">  The Manual also </w:t>
      </w:r>
      <w:r w:rsidR="00C16DA0">
        <w:t>indicates</w:t>
      </w:r>
      <w:r w:rsidR="00F610C8">
        <w:t xml:space="preserve"> that the devices </w:t>
      </w:r>
      <w:r w:rsidR="00C16DA0">
        <w:t xml:space="preserve">are </w:t>
      </w:r>
      <w:r w:rsidR="00F610C8">
        <w:t>export controlled under the International Traffic in Arms Regulations (ITAR)</w:t>
      </w:r>
      <w:r w:rsidR="00BF0B6E">
        <w:t>, 22 C.F.R. Parts 120-30.</w:t>
      </w:r>
    </w:p>
  </w:footnote>
  <w:footnote w:id="25">
    <w:p w14:paraId="07340318" w14:textId="71C1C2E9" w:rsidR="00E4680C" w:rsidRPr="00DB10A3" w:rsidRDefault="00E4680C" w:rsidP="00E4680C">
      <w:pPr>
        <w:pStyle w:val="FootnoteText"/>
        <w:rPr>
          <w:i/>
        </w:rPr>
      </w:pPr>
      <w:r>
        <w:rPr>
          <w:rStyle w:val="FootnoteReference"/>
        </w:rPr>
        <w:footnoteRef/>
      </w:r>
      <w:r>
        <w:t xml:space="preserve"> </w:t>
      </w:r>
      <w:r>
        <w:rPr>
          <w:i/>
        </w:rPr>
        <w:t xml:space="preserve">See Ruston v. </w:t>
      </w:r>
      <w:r w:rsidR="00896BFB">
        <w:rPr>
          <w:i/>
        </w:rPr>
        <w:t>Dep’t of Justice</w:t>
      </w:r>
      <w:r>
        <w:t>, 521 F. Supp. 2d 18</w:t>
      </w:r>
      <w:r w:rsidR="00C83CBD">
        <w:t>, 20</w:t>
      </w:r>
      <w:r>
        <w:t xml:space="preserve"> (D.D.C. 2007) (holding that Exemption 4 applied to withholding psychological test questions and answers as release of those “can severely compromise the validity of the test, and therefore, its societal usefulness and [its] commercial value as an assessment tool”).</w:t>
      </w:r>
    </w:p>
  </w:footnote>
  <w:footnote w:id="26">
    <w:p w14:paraId="261609AF" w14:textId="77777777" w:rsidR="00260F6C" w:rsidRDefault="00260F6C" w:rsidP="00260F6C">
      <w:pPr>
        <w:pStyle w:val="FootnoteText"/>
      </w:pPr>
      <w:r>
        <w:rPr>
          <w:rStyle w:val="FootnoteReference"/>
        </w:rPr>
        <w:footnoteRef/>
      </w:r>
      <w:r>
        <w:t xml:space="preserve"> 5 U.S.C. </w:t>
      </w:r>
      <w:r w:rsidRPr="00DF195C">
        <w:t>§</w:t>
      </w:r>
      <w:r>
        <w:t xml:space="preserve"> 552(b)(7)(E).</w:t>
      </w:r>
    </w:p>
  </w:footnote>
  <w:footnote w:id="27">
    <w:p w14:paraId="367E3F8A" w14:textId="77777777" w:rsidR="00E27B96" w:rsidRPr="00E27B96" w:rsidRDefault="00E27B96">
      <w:pPr>
        <w:pStyle w:val="FootnoteText"/>
      </w:pPr>
      <w:r>
        <w:rPr>
          <w:rStyle w:val="FootnoteReference"/>
        </w:rPr>
        <w:footnoteRef/>
      </w:r>
      <w:r>
        <w:t xml:space="preserve"> </w:t>
      </w:r>
      <w:r>
        <w:rPr>
          <w:i/>
        </w:rPr>
        <w:t xml:space="preserve">See Electronic Privacy Information Center v. U.S. Dep’t of Homeland Security, </w:t>
      </w:r>
      <w:r>
        <w:t>777 F.3d 518, 522-23 (D.C. Cir. 2015) (protecting protocol for shutting down wireless networks during critical emergencies).</w:t>
      </w:r>
    </w:p>
  </w:footnote>
  <w:footnote w:id="28">
    <w:p w14:paraId="68E74D0D" w14:textId="7026B9EB" w:rsidR="00DE0446" w:rsidRDefault="00DE0446" w:rsidP="00DE0446">
      <w:pPr>
        <w:pStyle w:val="FootnoteText"/>
      </w:pPr>
      <w:r>
        <w:rPr>
          <w:rStyle w:val="FootnoteReference"/>
        </w:rPr>
        <w:footnoteRef/>
      </w:r>
      <w:r>
        <w:t xml:space="preserve"> Otherwise, to protect </w:t>
      </w:r>
      <w:r w:rsidR="00977945">
        <w:t xml:space="preserve">materials used in the </w:t>
      </w:r>
      <w:r w:rsidR="002E7EA6">
        <w:t xml:space="preserve">equipment </w:t>
      </w:r>
      <w:r w:rsidR="00977945">
        <w:t xml:space="preserve">authorization process, </w:t>
      </w:r>
      <w:r>
        <w:t xml:space="preserve">Harris would presumably have to submit </w:t>
      </w:r>
      <w:r w:rsidR="00977945">
        <w:t>them to us</w:t>
      </w:r>
      <w:r w:rsidR="005330C8">
        <w:t xml:space="preserve"> through</w:t>
      </w:r>
      <w:r>
        <w:t>, for example, the FBI, instead of directly</w:t>
      </w:r>
      <w:r w:rsidR="007D2599">
        <w:t>.</w:t>
      </w:r>
      <w:r w:rsidR="007D2599" w:rsidRPr="007D2599">
        <w:t xml:space="preserve"> </w:t>
      </w:r>
      <w:r w:rsidR="007D2599">
        <w:t>Such an approach would elevate form over substance.</w:t>
      </w:r>
      <w:r>
        <w:t xml:space="preserve">  </w:t>
      </w:r>
      <w:r>
        <w:rPr>
          <w:i/>
        </w:rPr>
        <w:t>See Abramson v. FBI</w:t>
      </w:r>
      <w:r>
        <w:t xml:space="preserve">, 456 U.S. 615, 631-32 (1982) (“We hold that information initially contained in a record made for law enforcement purposes continues to meet the threshold requirements of Exemption 7 where that recorded information is reproduced or summarized in a new document for a non-law-enforcement purpose.”).  </w:t>
      </w:r>
    </w:p>
  </w:footnote>
  <w:footnote w:id="29">
    <w:p w14:paraId="686757D5" w14:textId="3F95EBE8" w:rsidR="00906569" w:rsidRPr="00906569" w:rsidRDefault="00906569">
      <w:pPr>
        <w:pStyle w:val="FootnoteText"/>
      </w:pPr>
      <w:r>
        <w:rPr>
          <w:rStyle w:val="FootnoteReference"/>
        </w:rPr>
        <w:footnoteRef/>
      </w:r>
      <w:r>
        <w:t xml:space="preserve"> </w:t>
      </w:r>
      <w:r>
        <w:rPr>
          <w:i/>
        </w:rPr>
        <w:t xml:space="preserve">See </w:t>
      </w:r>
      <w:r>
        <w:t>5 U.S.C. § 552(b)(3).</w:t>
      </w:r>
    </w:p>
  </w:footnote>
  <w:footnote w:id="30">
    <w:p w14:paraId="5FA695BB" w14:textId="0ABCDADF" w:rsidR="00906569" w:rsidRPr="00906569" w:rsidRDefault="00906569">
      <w:pPr>
        <w:pStyle w:val="FootnoteText"/>
      </w:pPr>
      <w:r>
        <w:rPr>
          <w:rStyle w:val="FootnoteReference"/>
        </w:rPr>
        <w:footnoteRef/>
      </w:r>
      <w:r>
        <w:t xml:space="preserve"> </w:t>
      </w:r>
      <w:r>
        <w:rPr>
          <w:i/>
        </w:rPr>
        <w:t xml:space="preserve">See CIA v. Sims, </w:t>
      </w:r>
      <w:r>
        <w:t xml:space="preserve">471 U.S. 159, 167 (1985) (holding that the </w:t>
      </w:r>
      <w:r w:rsidR="00A86713">
        <w:t xml:space="preserve">statutory </w:t>
      </w:r>
      <w:r>
        <w:t>provision is within the scope of Exemption 3).</w:t>
      </w:r>
    </w:p>
  </w:footnote>
  <w:footnote w:id="31">
    <w:p w14:paraId="0506FC5E" w14:textId="3CFCE57B" w:rsidR="008917C4" w:rsidRPr="00BE393D" w:rsidRDefault="008917C4" w:rsidP="008917C4">
      <w:pPr>
        <w:pStyle w:val="FootnoteText"/>
      </w:pPr>
      <w:r>
        <w:rPr>
          <w:rStyle w:val="FootnoteReference"/>
        </w:rPr>
        <w:footnoteRef/>
      </w:r>
      <w:r>
        <w:t xml:space="preserve"> </w:t>
      </w:r>
      <w:r>
        <w:rPr>
          <w:i/>
        </w:rPr>
        <w:t xml:space="preserve">See Citizens for Responsibility and Ethics in Washington v. U.S. Dep’t of Justice, </w:t>
      </w:r>
      <w:r>
        <w:t xml:space="preserve">Civil Action No. 13-1159 (GK) (D.D.C. Feb. 9, 2016), </w:t>
      </w:r>
      <w:r>
        <w:rPr>
          <w:i/>
        </w:rPr>
        <w:t xml:space="preserve">reported at </w:t>
      </w:r>
      <w:r>
        <w:t xml:space="preserve">2016 WL 541127 (information concerning the </w:t>
      </w:r>
      <w:r w:rsidR="00A86713">
        <w:t xml:space="preserve">FBI’s domestic </w:t>
      </w:r>
      <w:r>
        <w:t xml:space="preserve">use of drones may be withheld </w:t>
      </w:r>
      <w:r w:rsidR="00352CC7">
        <w:t>pursuant to 50 U.S.C. § 3024(i)(1) and Exemption</w:t>
      </w:r>
      <w:r>
        <w:t xml:space="preserve"> 3, </w:t>
      </w:r>
      <w:r w:rsidR="00352CC7">
        <w:t>as well as Exemptions 4</w:t>
      </w:r>
      <w:r>
        <w:t xml:space="preserve"> and 7(E)).</w:t>
      </w:r>
      <w:r w:rsidR="00352CC7">
        <w:t xml:space="preserve">  </w:t>
      </w:r>
      <w:r>
        <w:t xml:space="preserve"> </w:t>
      </w:r>
    </w:p>
  </w:footnote>
  <w:footnote w:id="32">
    <w:p w14:paraId="69F482D7" w14:textId="77777777" w:rsidR="000E4575" w:rsidRDefault="000E4575" w:rsidP="000E4575">
      <w:pPr>
        <w:pStyle w:val="FootnoteText"/>
      </w:pPr>
      <w:r>
        <w:rPr>
          <w:rStyle w:val="FootnoteReference"/>
        </w:rPr>
        <w:footnoteRef/>
      </w:r>
      <w:r>
        <w:t xml:space="preserve"> We direct OET to inform Keys and Musgrave when this occurs.</w:t>
      </w:r>
    </w:p>
  </w:footnote>
  <w:footnote w:id="33">
    <w:p w14:paraId="2458571E" w14:textId="184E98C5" w:rsidR="00C71F90" w:rsidRDefault="00C71F90" w:rsidP="00C71F90">
      <w:pPr>
        <w:pStyle w:val="NormalWeb"/>
        <w:spacing w:before="0" w:beforeAutospacing="0" w:after="120" w:afterAutospacing="0"/>
      </w:pPr>
      <w:r w:rsidRPr="00F10F9A">
        <w:rPr>
          <w:rStyle w:val="FootnoteReference"/>
        </w:rPr>
        <w:footnoteRef/>
      </w:r>
      <w:r w:rsidRPr="00F10F9A">
        <w:rPr>
          <w:sz w:val="20"/>
          <w:szCs w:val="20"/>
        </w:rPr>
        <w:t xml:space="preserve"> </w:t>
      </w:r>
      <w:r>
        <w:rPr>
          <w:sz w:val="20"/>
          <w:szCs w:val="20"/>
        </w:rPr>
        <w:t>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Keys’</w:t>
      </w:r>
      <w:r w:rsidR="006C04C0">
        <w:rPr>
          <w:sz w:val="20"/>
          <w:szCs w:val="20"/>
        </w:rPr>
        <w:t>s</w:t>
      </w:r>
      <w:r>
        <w:rPr>
          <w:sz w:val="20"/>
          <w:szCs w:val="20"/>
        </w:rPr>
        <w:t xml:space="preserve"> </w:t>
      </w:r>
      <w:r w:rsidR="001F1B81">
        <w:rPr>
          <w:sz w:val="20"/>
          <w:szCs w:val="20"/>
        </w:rPr>
        <w:t xml:space="preserve">or Musgrave’s </w:t>
      </w:r>
      <w:r>
        <w:rPr>
          <w:sz w:val="20"/>
          <w:szCs w:val="20"/>
        </w:rPr>
        <w:t xml:space="preserve">right to pursue litigation.  Keys </w:t>
      </w:r>
      <w:r w:rsidR="000E4575">
        <w:rPr>
          <w:sz w:val="20"/>
          <w:szCs w:val="20"/>
        </w:rPr>
        <w:t xml:space="preserve">and Musgrave </w:t>
      </w:r>
      <w:r>
        <w:rPr>
          <w:sz w:val="20"/>
          <w:szCs w:val="20"/>
        </w:rPr>
        <w:t xml:space="preserve">may contact OGIS in any of the following ways: </w:t>
      </w:r>
    </w:p>
    <w:p w14:paraId="6C12E666" w14:textId="77777777" w:rsidR="00C71F90" w:rsidRDefault="00C71F90" w:rsidP="00C71F90">
      <w:pPr>
        <w:pStyle w:val="NormalWeb"/>
        <w:ind w:left="1440"/>
      </w:pPr>
      <w:r>
        <w:rPr>
          <w:sz w:val="20"/>
          <w:szCs w:val="20"/>
        </w:rPr>
        <w:t xml:space="preserve">Office of Government Information Services </w:t>
      </w:r>
      <w:r>
        <w:br/>
      </w:r>
      <w:r>
        <w:rPr>
          <w:sz w:val="20"/>
          <w:szCs w:val="20"/>
        </w:rPr>
        <w:t xml:space="preserve">National Archives and Records Administration </w:t>
      </w:r>
      <w:r>
        <w:br/>
      </w:r>
      <w:r>
        <w:rPr>
          <w:sz w:val="20"/>
          <w:szCs w:val="20"/>
        </w:rPr>
        <w:t xml:space="preserve">Room 2510 </w:t>
      </w:r>
      <w:r>
        <w:br/>
      </w:r>
      <w:r>
        <w:rPr>
          <w:sz w:val="20"/>
          <w:szCs w:val="20"/>
        </w:rPr>
        <w:t xml:space="preserve">8601 Adelphi Road </w:t>
      </w:r>
      <w:r>
        <w:br/>
      </w:r>
      <w:r>
        <w:rPr>
          <w:sz w:val="20"/>
          <w:szCs w:val="20"/>
        </w:rPr>
        <w:t xml:space="preserve">College Park, MD 20740-6001 </w:t>
      </w:r>
      <w:r>
        <w:br/>
      </w:r>
      <w:r>
        <w:rPr>
          <w:sz w:val="20"/>
          <w:szCs w:val="20"/>
        </w:rPr>
        <w:t xml:space="preserve">E-mail: ogis@nara.gov </w:t>
      </w:r>
      <w:r>
        <w:br/>
      </w:r>
      <w:r>
        <w:rPr>
          <w:sz w:val="20"/>
          <w:szCs w:val="20"/>
        </w:rPr>
        <w:t xml:space="preserve">Telephone: 301-837-1996 </w:t>
      </w:r>
      <w:r>
        <w:br/>
      </w:r>
      <w:r>
        <w:rPr>
          <w:sz w:val="20"/>
          <w:szCs w:val="20"/>
        </w:rPr>
        <w:t xml:space="preserve">Facsimile: 301-837-0348 </w:t>
      </w:r>
      <w:r>
        <w:br/>
      </w:r>
      <w:r>
        <w:rPr>
          <w:sz w:val="20"/>
          <w:szCs w:val="20"/>
        </w:rPr>
        <w:t>Toll-free: 1-877-684-6448.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E996D" w14:textId="77777777" w:rsidR="009035EC" w:rsidRDefault="00903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51CAE" w14:textId="756AFBE3" w:rsidR="00D25FB5" w:rsidRDefault="00D25FB5" w:rsidP="00810B6F">
    <w:pPr>
      <w:pStyle w:val="Header"/>
      <w:rPr>
        <w:b w:val="0"/>
      </w:rPr>
    </w:pPr>
    <w:r>
      <w:tab/>
      <w:t>Federal Communications Commission</w:t>
    </w:r>
    <w:r>
      <w:tab/>
    </w:r>
    <w:r w:rsidR="003D5DDB">
      <w:t>FCC 16-131</w:t>
    </w:r>
  </w:p>
  <w:p w14:paraId="67AA11A1" w14:textId="77777777" w:rsidR="00D25FB5" w:rsidRDefault="004D27D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D6935D8" wp14:editId="7843875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AB784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273463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6DAB" w14:textId="1104DEF7" w:rsidR="00D25FB5" w:rsidRDefault="004D27DC" w:rsidP="00810B6F">
    <w:pPr>
      <w:pStyle w:val="Header"/>
      <w:rPr>
        <w:b w:val="0"/>
      </w:rPr>
    </w:pPr>
    <w:r>
      <w:rPr>
        <w:noProof/>
      </w:rPr>
      <mc:AlternateContent>
        <mc:Choice Requires="wps">
          <w:drawing>
            <wp:anchor distT="0" distB="0" distL="114300" distR="114300" simplePos="0" relativeHeight="251658240" behindDoc="1" locked="0" layoutInCell="0" allowOverlap="1" wp14:anchorId="51AB2556" wp14:editId="2DC4384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F0845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D5DDB">
      <w:rPr>
        <w:spacing w:val="-2"/>
      </w:rPr>
      <w:t>FCC 16-131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lvlOverride w:ilvl="0">
      <w:startOverride w:val="1"/>
    </w:lvlOverride>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DC"/>
    <w:rsid w:val="00012954"/>
    <w:rsid w:val="00022037"/>
    <w:rsid w:val="00025A5C"/>
    <w:rsid w:val="00036039"/>
    <w:rsid w:val="00037F90"/>
    <w:rsid w:val="00056194"/>
    <w:rsid w:val="00071B1C"/>
    <w:rsid w:val="00073F7D"/>
    <w:rsid w:val="000875BF"/>
    <w:rsid w:val="000915E9"/>
    <w:rsid w:val="00092CA9"/>
    <w:rsid w:val="00096D8C"/>
    <w:rsid w:val="00097B5C"/>
    <w:rsid w:val="000C0B65"/>
    <w:rsid w:val="000C4DD7"/>
    <w:rsid w:val="000D0327"/>
    <w:rsid w:val="000E05FE"/>
    <w:rsid w:val="000E3D42"/>
    <w:rsid w:val="000E4575"/>
    <w:rsid w:val="000E5EBE"/>
    <w:rsid w:val="00101E80"/>
    <w:rsid w:val="00106117"/>
    <w:rsid w:val="00111586"/>
    <w:rsid w:val="00122BD5"/>
    <w:rsid w:val="0013033C"/>
    <w:rsid w:val="00133F79"/>
    <w:rsid w:val="00137F1A"/>
    <w:rsid w:val="0017505C"/>
    <w:rsid w:val="00180E31"/>
    <w:rsid w:val="00193441"/>
    <w:rsid w:val="00194A66"/>
    <w:rsid w:val="001A3BDA"/>
    <w:rsid w:val="001A4349"/>
    <w:rsid w:val="001B6B2A"/>
    <w:rsid w:val="001C2645"/>
    <w:rsid w:val="001D06C1"/>
    <w:rsid w:val="001D6BCF"/>
    <w:rsid w:val="001D7A3A"/>
    <w:rsid w:val="001E01CA"/>
    <w:rsid w:val="001F1B81"/>
    <w:rsid w:val="001F1F19"/>
    <w:rsid w:val="001F5CAC"/>
    <w:rsid w:val="001F7F30"/>
    <w:rsid w:val="00217044"/>
    <w:rsid w:val="002178B1"/>
    <w:rsid w:val="002179CC"/>
    <w:rsid w:val="0022174E"/>
    <w:rsid w:val="00244CFB"/>
    <w:rsid w:val="00252E21"/>
    <w:rsid w:val="00260F6C"/>
    <w:rsid w:val="00275CF5"/>
    <w:rsid w:val="0028301F"/>
    <w:rsid w:val="00285017"/>
    <w:rsid w:val="00286135"/>
    <w:rsid w:val="002910EC"/>
    <w:rsid w:val="002A2D2E"/>
    <w:rsid w:val="002B138B"/>
    <w:rsid w:val="002B7254"/>
    <w:rsid w:val="002C00E8"/>
    <w:rsid w:val="002E4C28"/>
    <w:rsid w:val="002E7EA6"/>
    <w:rsid w:val="002F05A1"/>
    <w:rsid w:val="00300F8F"/>
    <w:rsid w:val="00311602"/>
    <w:rsid w:val="00322D6D"/>
    <w:rsid w:val="00343749"/>
    <w:rsid w:val="00352CC7"/>
    <w:rsid w:val="00354F28"/>
    <w:rsid w:val="003660ED"/>
    <w:rsid w:val="003677E2"/>
    <w:rsid w:val="00373D3A"/>
    <w:rsid w:val="003749DE"/>
    <w:rsid w:val="00377B7E"/>
    <w:rsid w:val="003B0550"/>
    <w:rsid w:val="003B2FF6"/>
    <w:rsid w:val="003B4EFD"/>
    <w:rsid w:val="003B694F"/>
    <w:rsid w:val="003C1E93"/>
    <w:rsid w:val="003C75F9"/>
    <w:rsid w:val="003D3EBE"/>
    <w:rsid w:val="003D5DDB"/>
    <w:rsid w:val="003F171C"/>
    <w:rsid w:val="003F508F"/>
    <w:rsid w:val="004045EA"/>
    <w:rsid w:val="00412FC5"/>
    <w:rsid w:val="00420711"/>
    <w:rsid w:val="00422276"/>
    <w:rsid w:val="004242F1"/>
    <w:rsid w:val="00430E5A"/>
    <w:rsid w:val="00445A00"/>
    <w:rsid w:val="00451B0F"/>
    <w:rsid w:val="004575AA"/>
    <w:rsid w:val="004840D8"/>
    <w:rsid w:val="004842C9"/>
    <w:rsid w:val="004979B1"/>
    <w:rsid w:val="004C2EE3"/>
    <w:rsid w:val="004D27DC"/>
    <w:rsid w:val="004D2FDF"/>
    <w:rsid w:val="004D6605"/>
    <w:rsid w:val="004E4A22"/>
    <w:rsid w:val="004F6D2F"/>
    <w:rsid w:val="00500B37"/>
    <w:rsid w:val="00505143"/>
    <w:rsid w:val="00511968"/>
    <w:rsid w:val="00512C4B"/>
    <w:rsid w:val="0051482C"/>
    <w:rsid w:val="005202C1"/>
    <w:rsid w:val="005239C9"/>
    <w:rsid w:val="005330C8"/>
    <w:rsid w:val="005348EA"/>
    <w:rsid w:val="005415E4"/>
    <w:rsid w:val="005431B1"/>
    <w:rsid w:val="00550232"/>
    <w:rsid w:val="0055614C"/>
    <w:rsid w:val="005604B8"/>
    <w:rsid w:val="00591B45"/>
    <w:rsid w:val="005A1968"/>
    <w:rsid w:val="005A626A"/>
    <w:rsid w:val="005E14C2"/>
    <w:rsid w:val="005E29C7"/>
    <w:rsid w:val="005E5BA5"/>
    <w:rsid w:val="005E76C8"/>
    <w:rsid w:val="006029F7"/>
    <w:rsid w:val="006046DD"/>
    <w:rsid w:val="00605429"/>
    <w:rsid w:val="00607BA5"/>
    <w:rsid w:val="0061180A"/>
    <w:rsid w:val="00625244"/>
    <w:rsid w:val="00626EB6"/>
    <w:rsid w:val="006276E7"/>
    <w:rsid w:val="00655D03"/>
    <w:rsid w:val="00660525"/>
    <w:rsid w:val="00680839"/>
    <w:rsid w:val="00683388"/>
    <w:rsid w:val="00683F84"/>
    <w:rsid w:val="006A2200"/>
    <w:rsid w:val="006A6A81"/>
    <w:rsid w:val="006A781E"/>
    <w:rsid w:val="006C04C0"/>
    <w:rsid w:val="006C0C56"/>
    <w:rsid w:val="006F2FAB"/>
    <w:rsid w:val="006F7393"/>
    <w:rsid w:val="006F7B0E"/>
    <w:rsid w:val="0070224F"/>
    <w:rsid w:val="00703487"/>
    <w:rsid w:val="007115F7"/>
    <w:rsid w:val="007161D7"/>
    <w:rsid w:val="0072280E"/>
    <w:rsid w:val="0076276A"/>
    <w:rsid w:val="00766EB4"/>
    <w:rsid w:val="00785689"/>
    <w:rsid w:val="007968E5"/>
    <w:rsid w:val="0079754B"/>
    <w:rsid w:val="007A1E6D"/>
    <w:rsid w:val="007A633A"/>
    <w:rsid w:val="007B06B0"/>
    <w:rsid w:val="007B0EB2"/>
    <w:rsid w:val="007B69AB"/>
    <w:rsid w:val="007C01A7"/>
    <w:rsid w:val="007C4D7E"/>
    <w:rsid w:val="007C57EB"/>
    <w:rsid w:val="007D2599"/>
    <w:rsid w:val="007D6F6F"/>
    <w:rsid w:val="00810B6F"/>
    <w:rsid w:val="00814FBC"/>
    <w:rsid w:val="00822CE0"/>
    <w:rsid w:val="00841AB1"/>
    <w:rsid w:val="00856558"/>
    <w:rsid w:val="00875EBC"/>
    <w:rsid w:val="008917C4"/>
    <w:rsid w:val="0089367B"/>
    <w:rsid w:val="00896BFB"/>
    <w:rsid w:val="008A5F9B"/>
    <w:rsid w:val="008B324B"/>
    <w:rsid w:val="008C68F1"/>
    <w:rsid w:val="008F4FA1"/>
    <w:rsid w:val="008F4FCF"/>
    <w:rsid w:val="008F68E4"/>
    <w:rsid w:val="009035EC"/>
    <w:rsid w:val="00906569"/>
    <w:rsid w:val="00921803"/>
    <w:rsid w:val="00926090"/>
    <w:rsid w:val="00926503"/>
    <w:rsid w:val="0092670F"/>
    <w:rsid w:val="00927C6B"/>
    <w:rsid w:val="00943242"/>
    <w:rsid w:val="00950D5A"/>
    <w:rsid w:val="00952E67"/>
    <w:rsid w:val="009669D7"/>
    <w:rsid w:val="009726D8"/>
    <w:rsid w:val="00977945"/>
    <w:rsid w:val="009B1916"/>
    <w:rsid w:val="009B6693"/>
    <w:rsid w:val="009C4FC3"/>
    <w:rsid w:val="009E5CE5"/>
    <w:rsid w:val="009F021A"/>
    <w:rsid w:val="009F76DB"/>
    <w:rsid w:val="00A0651D"/>
    <w:rsid w:val="00A101E6"/>
    <w:rsid w:val="00A25753"/>
    <w:rsid w:val="00A30DF0"/>
    <w:rsid w:val="00A32C3B"/>
    <w:rsid w:val="00A36D9C"/>
    <w:rsid w:val="00A43E6B"/>
    <w:rsid w:val="00A45F4F"/>
    <w:rsid w:val="00A4669D"/>
    <w:rsid w:val="00A517FA"/>
    <w:rsid w:val="00A600A9"/>
    <w:rsid w:val="00A86713"/>
    <w:rsid w:val="00A87B41"/>
    <w:rsid w:val="00A906FB"/>
    <w:rsid w:val="00AA20B8"/>
    <w:rsid w:val="00AA5081"/>
    <w:rsid w:val="00AA55B7"/>
    <w:rsid w:val="00AA5B9E"/>
    <w:rsid w:val="00AA63B3"/>
    <w:rsid w:val="00AB2407"/>
    <w:rsid w:val="00AB3480"/>
    <w:rsid w:val="00AB4DD0"/>
    <w:rsid w:val="00AB53DF"/>
    <w:rsid w:val="00AD3583"/>
    <w:rsid w:val="00AD601C"/>
    <w:rsid w:val="00B03106"/>
    <w:rsid w:val="00B04B02"/>
    <w:rsid w:val="00B050B4"/>
    <w:rsid w:val="00B07E5C"/>
    <w:rsid w:val="00B14C37"/>
    <w:rsid w:val="00B27EFC"/>
    <w:rsid w:val="00B326C7"/>
    <w:rsid w:val="00B32A93"/>
    <w:rsid w:val="00B42FE0"/>
    <w:rsid w:val="00B44FD7"/>
    <w:rsid w:val="00B57AC3"/>
    <w:rsid w:val="00B60A67"/>
    <w:rsid w:val="00B71298"/>
    <w:rsid w:val="00B8054D"/>
    <w:rsid w:val="00B811F7"/>
    <w:rsid w:val="00B8476E"/>
    <w:rsid w:val="00B95A95"/>
    <w:rsid w:val="00BA5DC6"/>
    <w:rsid w:val="00BA6196"/>
    <w:rsid w:val="00BB3AB6"/>
    <w:rsid w:val="00BC6131"/>
    <w:rsid w:val="00BC6D8C"/>
    <w:rsid w:val="00BD1BB4"/>
    <w:rsid w:val="00BE21C2"/>
    <w:rsid w:val="00BE393D"/>
    <w:rsid w:val="00BE3D2E"/>
    <w:rsid w:val="00BE4BCE"/>
    <w:rsid w:val="00BF0B6E"/>
    <w:rsid w:val="00BF70FB"/>
    <w:rsid w:val="00C060D8"/>
    <w:rsid w:val="00C15B7A"/>
    <w:rsid w:val="00C16DA0"/>
    <w:rsid w:val="00C34006"/>
    <w:rsid w:val="00C426B1"/>
    <w:rsid w:val="00C66160"/>
    <w:rsid w:val="00C71F90"/>
    <w:rsid w:val="00C721AC"/>
    <w:rsid w:val="00C76B19"/>
    <w:rsid w:val="00C83CBD"/>
    <w:rsid w:val="00C90D6A"/>
    <w:rsid w:val="00CA247E"/>
    <w:rsid w:val="00CB53DA"/>
    <w:rsid w:val="00CC3544"/>
    <w:rsid w:val="00CC72B6"/>
    <w:rsid w:val="00CD0835"/>
    <w:rsid w:val="00CD2CBF"/>
    <w:rsid w:val="00CE537B"/>
    <w:rsid w:val="00D0218D"/>
    <w:rsid w:val="00D13575"/>
    <w:rsid w:val="00D17050"/>
    <w:rsid w:val="00D25FB5"/>
    <w:rsid w:val="00D270D2"/>
    <w:rsid w:val="00D370C6"/>
    <w:rsid w:val="00D44223"/>
    <w:rsid w:val="00D70F1B"/>
    <w:rsid w:val="00D81A29"/>
    <w:rsid w:val="00D949A8"/>
    <w:rsid w:val="00D976C7"/>
    <w:rsid w:val="00DA2529"/>
    <w:rsid w:val="00DA3135"/>
    <w:rsid w:val="00DA69EA"/>
    <w:rsid w:val="00DB130A"/>
    <w:rsid w:val="00DB24B5"/>
    <w:rsid w:val="00DB2EBB"/>
    <w:rsid w:val="00DC10A1"/>
    <w:rsid w:val="00DC655F"/>
    <w:rsid w:val="00DD0B59"/>
    <w:rsid w:val="00DD2357"/>
    <w:rsid w:val="00DD7EBD"/>
    <w:rsid w:val="00DE0446"/>
    <w:rsid w:val="00DF62B6"/>
    <w:rsid w:val="00E01771"/>
    <w:rsid w:val="00E061A6"/>
    <w:rsid w:val="00E07225"/>
    <w:rsid w:val="00E075EB"/>
    <w:rsid w:val="00E27B96"/>
    <w:rsid w:val="00E30E22"/>
    <w:rsid w:val="00E31C1A"/>
    <w:rsid w:val="00E322EA"/>
    <w:rsid w:val="00E4680C"/>
    <w:rsid w:val="00E5409F"/>
    <w:rsid w:val="00E9608F"/>
    <w:rsid w:val="00EA45C3"/>
    <w:rsid w:val="00EE6488"/>
    <w:rsid w:val="00EF128D"/>
    <w:rsid w:val="00EF5C61"/>
    <w:rsid w:val="00F021FA"/>
    <w:rsid w:val="00F20060"/>
    <w:rsid w:val="00F200FA"/>
    <w:rsid w:val="00F238DD"/>
    <w:rsid w:val="00F37FEE"/>
    <w:rsid w:val="00F42072"/>
    <w:rsid w:val="00F505F9"/>
    <w:rsid w:val="00F610C8"/>
    <w:rsid w:val="00F62E97"/>
    <w:rsid w:val="00F63961"/>
    <w:rsid w:val="00F64209"/>
    <w:rsid w:val="00F732D4"/>
    <w:rsid w:val="00F928B5"/>
    <w:rsid w:val="00F93BF5"/>
    <w:rsid w:val="00FB0763"/>
    <w:rsid w:val="00FD4CB6"/>
    <w:rsid w:val="00FF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E2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82C"/>
    <w:pPr>
      <w:widowControl w:val="0"/>
    </w:pPr>
    <w:rPr>
      <w:snapToGrid w:val="0"/>
      <w:kern w:val="28"/>
      <w:sz w:val="22"/>
    </w:rPr>
  </w:style>
  <w:style w:type="paragraph" w:styleId="Heading1">
    <w:name w:val="heading 1"/>
    <w:basedOn w:val="Normal"/>
    <w:next w:val="ParaNum"/>
    <w:qFormat/>
    <w:rsid w:val="0051482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1482C"/>
    <w:pPr>
      <w:keepNext/>
      <w:numPr>
        <w:ilvl w:val="1"/>
        <w:numId w:val="3"/>
      </w:numPr>
      <w:spacing w:after="120"/>
      <w:outlineLvl w:val="1"/>
    </w:pPr>
    <w:rPr>
      <w:b/>
    </w:rPr>
  </w:style>
  <w:style w:type="paragraph" w:styleId="Heading3">
    <w:name w:val="heading 3"/>
    <w:basedOn w:val="Normal"/>
    <w:next w:val="ParaNum"/>
    <w:qFormat/>
    <w:rsid w:val="0051482C"/>
    <w:pPr>
      <w:keepNext/>
      <w:numPr>
        <w:ilvl w:val="2"/>
        <w:numId w:val="3"/>
      </w:numPr>
      <w:tabs>
        <w:tab w:val="left" w:pos="2160"/>
      </w:tabs>
      <w:spacing w:after="120"/>
      <w:outlineLvl w:val="2"/>
    </w:pPr>
    <w:rPr>
      <w:b/>
    </w:rPr>
  </w:style>
  <w:style w:type="paragraph" w:styleId="Heading4">
    <w:name w:val="heading 4"/>
    <w:basedOn w:val="Normal"/>
    <w:next w:val="ParaNum"/>
    <w:qFormat/>
    <w:rsid w:val="0051482C"/>
    <w:pPr>
      <w:keepNext/>
      <w:numPr>
        <w:ilvl w:val="3"/>
        <w:numId w:val="3"/>
      </w:numPr>
      <w:tabs>
        <w:tab w:val="left" w:pos="2880"/>
      </w:tabs>
      <w:spacing w:after="120"/>
      <w:outlineLvl w:val="3"/>
    </w:pPr>
    <w:rPr>
      <w:b/>
    </w:rPr>
  </w:style>
  <w:style w:type="paragraph" w:styleId="Heading5">
    <w:name w:val="heading 5"/>
    <w:basedOn w:val="Normal"/>
    <w:next w:val="ParaNum"/>
    <w:qFormat/>
    <w:rsid w:val="0051482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1482C"/>
    <w:pPr>
      <w:numPr>
        <w:ilvl w:val="5"/>
        <w:numId w:val="3"/>
      </w:numPr>
      <w:tabs>
        <w:tab w:val="left" w:pos="4320"/>
      </w:tabs>
      <w:spacing w:after="120"/>
      <w:outlineLvl w:val="5"/>
    </w:pPr>
    <w:rPr>
      <w:b/>
    </w:rPr>
  </w:style>
  <w:style w:type="paragraph" w:styleId="Heading7">
    <w:name w:val="heading 7"/>
    <w:basedOn w:val="Normal"/>
    <w:next w:val="ParaNum"/>
    <w:qFormat/>
    <w:rsid w:val="0051482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1482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1482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148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482C"/>
  </w:style>
  <w:style w:type="paragraph" w:customStyle="1" w:styleId="ParaNum">
    <w:name w:val="ParaNum"/>
    <w:basedOn w:val="Normal"/>
    <w:rsid w:val="0051482C"/>
    <w:pPr>
      <w:numPr>
        <w:numId w:val="2"/>
      </w:numPr>
      <w:tabs>
        <w:tab w:val="clear" w:pos="1080"/>
        <w:tab w:val="num" w:pos="1440"/>
      </w:tabs>
      <w:spacing w:after="120"/>
    </w:pPr>
  </w:style>
  <w:style w:type="paragraph" w:styleId="EndnoteText">
    <w:name w:val="endnote text"/>
    <w:basedOn w:val="Normal"/>
    <w:semiHidden/>
    <w:rsid w:val="0051482C"/>
    <w:rPr>
      <w:sz w:val="20"/>
    </w:rPr>
  </w:style>
  <w:style w:type="character" w:styleId="EndnoteReference">
    <w:name w:val="endnote reference"/>
    <w:semiHidden/>
    <w:rsid w:val="0051482C"/>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3"/>
    <w:link w:val="FootnoteTextChar"/>
    <w:rsid w:val="0051482C"/>
    <w:pPr>
      <w:spacing w:after="120"/>
    </w:pPr>
  </w:style>
  <w:style w:type="character" w:styleId="FootnoteReference">
    <w:name w:val="footnote reference"/>
    <w:rsid w:val="0051482C"/>
    <w:rPr>
      <w:rFonts w:ascii="Times New Roman" w:hAnsi="Times New Roman"/>
      <w:dstrike w:val="0"/>
      <w:color w:val="auto"/>
      <w:sz w:val="20"/>
      <w:vertAlign w:val="superscript"/>
    </w:rPr>
  </w:style>
  <w:style w:type="paragraph" w:styleId="TOC1">
    <w:name w:val="toc 1"/>
    <w:basedOn w:val="Normal"/>
    <w:next w:val="Normal"/>
    <w:semiHidden/>
    <w:rsid w:val="0051482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1482C"/>
    <w:pPr>
      <w:tabs>
        <w:tab w:val="left" w:pos="720"/>
        <w:tab w:val="right" w:leader="dot" w:pos="9360"/>
      </w:tabs>
      <w:suppressAutoHyphens/>
      <w:ind w:left="720" w:right="720" w:hanging="360"/>
    </w:pPr>
    <w:rPr>
      <w:noProof/>
    </w:rPr>
  </w:style>
  <w:style w:type="paragraph" w:styleId="TOC3">
    <w:name w:val="toc 3"/>
    <w:basedOn w:val="Normal"/>
    <w:next w:val="Normal"/>
    <w:semiHidden/>
    <w:rsid w:val="0051482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1482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1482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1482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1482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1482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1482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1482C"/>
    <w:pPr>
      <w:tabs>
        <w:tab w:val="right" w:pos="9360"/>
      </w:tabs>
      <w:suppressAutoHyphens/>
    </w:pPr>
  </w:style>
  <w:style w:type="character" w:customStyle="1" w:styleId="EquationCaption">
    <w:name w:val="_Equation Caption"/>
    <w:rsid w:val="0051482C"/>
  </w:style>
  <w:style w:type="paragraph" w:styleId="Header">
    <w:name w:val="header"/>
    <w:basedOn w:val="Normal"/>
    <w:autoRedefine/>
    <w:rsid w:val="0051482C"/>
    <w:pPr>
      <w:tabs>
        <w:tab w:val="center" w:pos="4680"/>
        <w:tab w:val="right" w:pos="9360"/>
      </w:tabs>
    </w:pPr>
    <w:rPr>
      <w:b/>
    </w:rPr>
  </w:style>
  <w:style w:type="paragraph" w:styleId="Footer">
    <w:name w:val="footer"/>
    <w:basedOn w:val="Normal"/>
    <w:link w:val="FooterChar"/>
    <w:rsid w:val="0051482C"/>
    <w:pPr>
      <w:tabs>
        <w:tab w:val="center" w:pos="4320"/>
        <w:tab w:val="right" w:pos="8640"/>
      </w:tabs>
    </w:pPr>
  </w:style>
  <w:style w:type="character" w:styleId="PageNumber">
    <w:name w:val="page number"/>
    <w:basedOn w:val="DefaultParagraphFont"/>
    <w:rsid w:val="0051482C"/>
  </w:style>
  <w:style w:type="paragraph" w:styleId="BlockText">
    <w:name w:val="Block Text"/>
    <w:basedOn w:val="Normal"/>
    <w:rsid w:val="0051482C"/>
    <w:pPr>
      <w:spacing w:after="240"/>
      <w:ind w:left="1440" w:right="1440"/>
    </w:pPr>
  </w:style>
  <w:style w:type="paragraph" w:customStyle="1" w:styleId="Paratitle">
    <w:name w:val="Para title"/>
    <w:basedOn w:val="Normal"/>
    <w:rsid w:val="0051482C"/>
    <w:pPr>
      <w:tabs>
        <w:tab w:val="center" w:pos="9270"/>
      </w:tabs>
      <w:spacing w:after="240"/>
    </w:pPr>
    <w:rPr>
      <w:spacing w:val="-2"/>
    </w:rPr>
  </w:style>
  <w:style w:type="paragraph" w:customStyle="1" w:styleId="Bullet">
    <w:name w:val="Bullet"/>
    <w:basedOn w:val="Normal"/>
    <w:rsid w:val="0051482C"/>
    <w:pPr>
      <w:tabs>
        <w:tab w:val="left" w:pos="2160"/>
      </w:tabs>
      <w:spacing w:after="220"/>
      <w:ind w:left="2160" w:hanging="720"/>
    </w:pPr>
  </w:style>
  <w:style w:type="paragraph" w:customStyle="1" w:styleId="TableFormat">
    <w:name w:val="TableFormat"/>
    <w:basedOn w:val="Bullet"/>
    <w:rsid w:val="0051482C"/>
    <w:pPr>
      <w:tabs>
        <w:tab w:val="clear" w:pos="2160"/>
        <w:tab w:val="left" w:pos="5040"/>
      </w:tabs>
      <w:ind w:left="5040" w:hanging="3600"/>
    </w:pPr>
  </w:style>
  <w:style w:type="paragraph" w:customStyle="1" w:styleId="TOCTitle">
    <w:name w:val="TOC Title"/>
    <w:basedOn w:val="Normal"/>
    <w:rsid w:val="0051482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1482C"/>
    <w:pPr>
      <w:jc w:val="center"/>
    </w:pPr>
    <w:rPr>
      <w:rFonts w:ascii="Times New Roman Bold" w:hAnsi="Times New Roman Bold"/>
      <w:b/>
      <w:bCs/>
      <w:caps/>
      <w:szCs w:val="22"/>
    </w:rPr>
  </w:style>
  <w:style w:type="character" w:styleId="Hyperlink">
    <w:name w:val="Hyperlink"/>
    <w:rsid w:val="0051482C"/>
    <w:rPr>
      <w:color w:val="0000FF"/>
      <w:u w:val="single"/>
    </w:rPr>
  </w:style>
  <w:style w:type="character" w:customStyle="1" w:styleId="FooterChar">
    <w:name w:val="Footer Char"/>
    <w:basedOn w:val="DefaultParagraphFont"/>
    <w:link w:val="Footer"/>
    <w:rsid w:val="00B8476E"/>
    <w:rPr>
      <w:snapToGrid w:val="0"/>
      <w:kern w:val="28"/>
      <w:sz w:val="22"/>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basedOn w:val="DefaultParagraphFont"/>
    <w:link w:val="FootnoteText"/>
    <w:rsid w:val="003C75F9"/>
  </w:style>
  <w:style w:type="paragraph" w:styleId="NormalWeb">
    <w:name w:val="Normal (Web)"/>
    <w:basedOn w:val="Normal"/>
    <w:uiPriority w:val="99"/>
    <w:unhideWhenUsed/>
    <w:rsid w:val="003C75F9"/>
    <w:pPr>
      <w:widowControl/>
      <w:spacing w:before="100" w:beforeAutospacing="1" w:after="100" w:afterAutospacing="1"/>
    </w:pPr>
    <w:rPr>
      <w:snapToGrid/>
      <w:kern w:val="0"/>
      <w:sz w:val="24"/>
      <w:szCs w:val="24"/>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
    <w:rsid w:val="00E4680C"/>
  </w:style>
  <w:style w:type="character" w:styleId="CommentReference">
    <w:name w:val="annotation reference"/>
    <w:basedOn w:val="DefaultParagraphFont"/>
    <w:rsid w:val="001D06C1"/>
    <w:rPr>
      <w:sz w:val="16"/>
      <w:szCs w:val="16"/>
    </w:rPr>
  </w:style>
  <w:style w:type="paragraph" w:styleId="CommentText">
    <w:name w:val="annotation text"/>
    <w:basedOn w:val="Normal"/>
    <w:link w:val="CommentTextChar"/>
    <w:rsid w:val="001D06C1"/>
    <w:rPr>
      <w:sz w:val="20"/>
    </w:rPr>
  </w:style>
  <w:style w:type="character" w:customStyle="1" w:styleId="CommentTextChar">
    <w:name w:val="Comment Text Char"/>
    <w:basedOn w:val="DefaultParagraphFont"/>
    <w:link w:val="CommentText"/>
    <w:rsid w:val="001D06C1"/>
    <w:rPr>
      <w:snapToGrid w:val="0"/>
      <w:kern w:val="28"/>
    </w:rPr>
  </w:style>
  <w:style w:type="paragraph" w:styleId="CommentSubject">
    <w:name w:val="annotation subject"/>
    <w:basedOn w:val="CommentText"/>
    <w:next w:val="CommentText"/>
    <w:link w:val="CommentSubjectChar"/>
    <w:rsid w:val="001D06C1"/>
    <w:rPr>
      <w:b/>
      <w:bCs/>
    </w:rPr>
  </w:style>
  <w:style w:type="character" w:customStyle="1" w:styleId="CommentSubjectChar">
    <w:name w:val="Comment Subject Char"/>
    <w:basedOn w:val="CommentTextChar"/>
    <w:link w:val="CommentSubject"/>
    <w:rsid w:val="001D06C1"/>
    <w:rPr>
      <w:b/>
      <w:bCs/>
      <w:snapToGrid w:val="0"/>
      <w:kern w:val="28"/>
    </w:rPr>
  </w:style>
  <w:style w:type="paragraph" w:styleId="BalloonText">
    <w:name w:val="Balloon Text"/>
    <w:basedOn w:val="Normal"/>
    <w:link w:val="BalloonTextChar"/>
    <w:rsid w:val="001D06C1"/>
    <w:rPr>
      <w:rFonts w:ascii="Segoe UI" w:hAnsi="Segoe UI" w:cs="Segoe UI"/>
      <w:sz w:val="18"/>
      <w:szCs w:val="18"/>
    </w:rPr>
  </w:style>
  <w:style w:type="character" w:customStyle="1" w:styleId="BalloonTextChar">
    <w:name w:val="Balloon Text Char"/>
    <w:basedOn w:val="DefaultParagraphFont"/>
    <w:link w:val="BalloonText"/>
    <w:rsid w:val="001D06C1"/>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82C"/>
    <w:pPr>
      <w:widowControl w:val="0"/>
    </w:pPr>
    <w:rPr>
      <w:snapToGrid w:val="0"/>
      <w:kern w:val="28"/>
      <w:sz w:val="22"/>
    </w:rPr>
  </w:style>
  <w:style w:type="paragraph" w:styleId="Heading1">
    <w:name w:val="heading 1"/>
    <w:basedOn w:val="Normal"/>
    <w:next w:val="ParaNum"/>
    <w:qFormat/>
    <w:rsid w:val="0051482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1482C"/>
    <w:pPr>
      <w:keepNext/>
      <w:numPr>
        <w:ilvl w:val="1"/>
        <w:numId w:val="3"/>
      </w:numPr>
      <w:spacing w:after="120"/>
      <w:outlineLvl w:val="1"/>
    </w:pPr>
    <w:rPr>
      <w:b/>
    </w:rPr>
  </w:style>
  <w:style w:type="paragraph" w:styleId="Heading3">
    <w:name w:val="heading 3"/>
    <w:basedOn w:val="Normal"/>
    <w:next w:val="ParaNum"/>
    <w:qFormat/>
    <w:rsid w:val="0051482C"/>
    <w:pPr>
      <w:keepNext/>
      <w:numPr>
        <w:ilvl w:val="2"/>
        <w:numId w:val="3"/>
      </w:numPr>
      <w:tabs>
        <w:tab w:val="left" w:pos="2160"/>
      </w:tabs>
      <w:spacing w:after="120"/>
      <w:outlineLvl w:val="2"/>
    </w:pPr>
    <w:rPr>
      <w:b/>
    </w:rPr>
  </w:style>
  <w:style w:type="paragraph" w:styleId="Heading4">
    <w:name w:val="heading 4"/>
    <w:basedOn w:val="Normal"/>
    <w:next w:val="ParaNum"/>
    <w:qFormat/>
    <w:rsid w:val="0051482C"/>
    <w:pPr>
      <w:keepNext/>
      <w:numPr>
        <w:ilvl w:val="3"/>
        <w:numId w:val="3"/>
      </w:numPr>
      <w:tabs>
        <w:tab w:val="left" w:pos="2880"/>
      </w:tabs>
      <w:spacing w:after="120"/>
      <w:outlineLvl w:val="3"/>
    </w:pPr>
    <w:rPr>
      <w:b/>
    </w:rPr>
  </w:style>
  <w:style w:type="paragraph" w:styleId="Heading5">
    <w:name w:val="heading 5"/>
    <w:basedOn w:val="Normal"/>
    <w:next w:val="ParaNum"/>
    <w:qFormat/>
    <w:rsid w:val="0051482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1482C"/>
    <w:pPr>
      <w:numPr>
        <w:ilvl w:val="5"/>
        <w:numId w:val="3"/>
      </w:numPr>
      <w:tabs>
        <w:tab w:val="left" w:pos="4320"/>
      </w:tabs>
      <w:spacing w:after="120"/>
      <w:outlineLvl w:val="5"/>
    </w:pPr>
    <w:rPr>
      <w:b/>
    </w:rPr>
  </w:style>
  <w:style w:type="paragraph" w:styleId="Heading7">
    <w:name w:val="heading 7"/>
    <w:basedOn w:val="Normal"/>
    <w:next w:val="ParaNum"/>
    <w:qFormat/>
    <w:rsid w:val="0051482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1482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1482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148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482C"/>
  </w:style>
  <w:style w:type="paragraph" w:customStyle="1" w:styleId="ParaNum">
    <w:name w:val="ParaNum"/>
    <w:basedOn w:val="Normal"/>
    <w:rsid w:val="0051482C"/>
    <w:pPr>
      <w:numPr>
        <w:numId w:val="2"/>
      </w:numPr>
      <w:tabs>
        <w:tab w:val="clear" w:pos="1080"/>
        <w:tab w:val="num" w:pos="1440"/>
      </w:tabs>
      <w:spacing w:after="120"/>
    </w:pPr>
  </w:style>
  <w:style w:type="paragraph" w:styleId="EndnoteText">
    <w:name w:val="endnote text"/>
    <w:basedOn w:val="Normal"/>
    <w:semiHidden/>
    <w:rsid w:val="0051482C"/>
    <w:rPr>
      <w:sz w:val="20"/>
    </w:rPr>
  </w:style>
  <w:style w:type="character" w:styleId="EndnoteReference">
    <w:name w:val="endnote reference"/>
    <w:semiHidden/>
    <w:rsid w:val="0051482C"/>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3"/>
    <w:link w:val="FootnoteTextChar"/>
    <w:rsid w:val="0051482C"/>
    <w:pPr>
      <w:spacing w:after="120"/>
    </w:pPr>
  </w:style>
  <w:style w:type="character" w:styleId="FootnoteReference">
    <w:name w:val="footnote reference"/>
    <w:rsid w:val="0051482C"/>
    <w:rPr>
      <w:rFonts w:ascii="Times New Roman" w:hAnsi="Times New Roman"/>
      <w:dstrike w:val="0"/>
      <w:color w:val="auto"/>
      <w:sz w:val="20"/>
      <w:vertAlign w:val="superscript"/>
    </w:rPr>
  </w:style>
  <w:style w:type="paragraph" w:styleId="TOC1">
    <w:name w:val="toc 1"/>
    <w:basedOn w:val="Normal"/>
    <w:next w:val="Normal"/>
    <w:semiHidden/>
    <w:rsid w:val="0051482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1482C"/>
    <w:pPr>
      <w:tabs>
        <w:tab w:val="left" w:pos="720"/>
        <w:tab w:val="right" w:leader="dot" w:pos="9360"/>
      </w:tabs>
      <w:suppressAutoHyphens/>
      <w:ind w:left="720" w:right="720" w:hanging="360"/>
    </w:pPr>
    <w:rPr>
      <w:noProof/>
    </w:rPr>
  </w:style>
  <w:style w:type="paragraph" w:styleId="TOC3">
    <w:name w:val="toc 3"/>
    <w:basedOn w:val="Normal"/>
    <w:next w:val="Normal"/>
    <w:semiHidden/>
    <w:rsid w:val="0051482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1482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1482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1482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1482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1482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1482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1482C"/>
    <w:pPr>
      <w:tabs>
        <w:tab w:val="right" w:pos="9360"/>
      </w:tabs>
      <w:suppressAutoHyphens/>
    </w:pPr>
  </w:style>
  <w:style w:type="character" w:customStyle="1" w:styleId="EquationCaption">
    <w:name w:val="_Equation Caption"/>
    <w:rsid w:val="0051482C"/>
  </w:style>
  <w:style w:type="paragraph" w:styleId="Header">
    <w:name w:val="header"/>
    <w:basedOn w:val="Normal"/>
    <w:autoRedefine/>
    <w:rsid w:val="0051482C"/>
    <w:pPr>
      <w:tabs>
        <w:tab w:val="center" w:pos="4680"/>
        <w:tab w:val="right" w:pos="9360"/>
      </w:tabs>
    </w:pPr>
    <w:rPr>
      <w:b/>
    </w:rPr>
  </w:style>
  <w:style w:type="paragraph" w:styleId="Footer">
    <w:name w:val="footer"/>
    <w:basedOn w:val="Normal"/>
    <w:link w:val="FooterChar"/>
    <w:rsid w:val="0051482C"/>
    <w:pPr>
      <w:tabs>
        <w:tab w:val="center" w:pos="4320"/>
        <w:tab w:val="right" w:pos="8640"/>
      </w:tabs>
    </w:pPr>
  </w:style>
  <w:style w:type="character" w:styleId="PageNumber">
    <w:name w:val="page number"/>
    <w:basedOn w:val="DefaultParagraphFont"/>
    <w:rsid w:val="0051482C"/>
  </w:style>
  <w:style w:type="paragraph" w:styleId="BlockText">
    <w:name w:val="Block Text"/>
    <w:basedOn w:val="Normal"/>
    <w:rsid w:val="0051482C"/>
    <w:pPr>
      <w:spacing w:after="240"/>
      <w:ind w:left="1440" w:right="1440"/>
    </w:pPr>
  </w:style>
  <w:style w:type="paragraph" w:customStyle="1" w:styleId="Paratitle">
    <w:name w:val="Para title"/>
    <w:basedOn w:val="Normal"/>
    <w:rsid w:val="0051482C"/>
    <w:pPr>
      <w:tabs>
        <w:tab w:val="center" w:pos="9270"/>
      </w:tabs>
      <w:spacing w:after="240"/>
    </w:pPr>
    <w:rPr>
      <w:spacing w:val="-2"/>
    </w:rPr>
  </w:style>
  <w:style w:type="paragraph" w:customStyle="1" w:styleId="Bullet">
    <w:name w:val="Bullet"/>
    <w:basedOn w:val="Normal"/>
    <w:rsid w:val="0051482C"/>
    <w:pPr>
      <w:tabs>
        <w:tab w:val="left" w:pos="2160"/>
      </w:tabs>
      <w:spacing w:after="220"/>
      <w:ind w:left="2160" w:hanging="720"/>
    </w:pPr>
  </w:style>
  <w:style w:type="paragraph" w:customStyle="1" w:styleId="TableFormat">
    <w:name w:val="TableFormat"/>
    <w:basedOn w:val="Bullet"/>
    <w:rsid w:val="0051482C"/>
    <w:pPr>
      <w:tabs>
        <w:tab w:val="clear" w:pos="2160"/>
        <w:tab w:val="left" w:pos="5040"/>
      </w:tabs>
      <w:ind w:left="5040" w:hanging="3600"/>
    </w:pPr>
  </w:style>
  <w:style w:type="paragraph" w:customStyle="1" w:styleId="TOCTitle">
    <w:name w:val="TOC Title"/>
    <w:basedOn w:val="Normal"/>
    <w:rsid w:val="0051482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1482C"/>
    <w:pPr>
      <w:jc w:val="center"/>
    </w:pPr>
    <w:rPr>
      <w:rFonts w:ascii="Times New Roman Bold" w:hAnsi="Times New Roman Bold"/>
      <w:b/>
      <w:bCs/>
      <w:caps/>
      <w:szCs w:val="22"/>
    </w:rPr>
  </w:style>
  <w:style w:type="character" w:styleId="Hyperlink">
    <w:name w:val="Hyperlink"/>
    <w:rsid w:val="0051482C"/>
    <w:rPr>
      <w:color w:val="0000FF"/>
      <w:u w:val="single"/>
    </w:rPr>
  </w:style>
  <w:style w:type="character" w:customStyle="1" w:styleId="FooterChar">
    <w:name w:val="Footer Char"/>
    <w:basedOn w:val="DefaultParagraphFont"/>
    <w:link w:val="Footer"/>
    <w:rsid w:val="00B8476E"/>
    <w:rPr>
      <w:snapToGrid w:val="0"/>
      <w:kern w:val="28"/>
      <w:sz w:val="22"/>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basedOn w:val="DefaultParagraphFont"/>
    <w:link w:val="FootnoteText"/>
    <w:rsid w:val="003C75F9"/>
  </w:style>
  <w:style w:type="paragraph" w:styleId="NormalWeb">
    <w:name w:val="Normal (Web)"/>
    <w:basedOn w:val="Normal"/>
    <w:uiPriority w:val="99"/>
    <w:unhideWhenUsed/>
    <w:rsid w:val="003C75F9"/>
    <w:pPr>
      <w:widowControl/>
      <w:spacing w:before="100" w:beforeAutospacing="1" w:after="100" w:afterAutospacing="1"/>
    </w:pPr>
    <w:rPr>
      <w:snapToGrid/>
      <w:kern w:val="0"/>
      <w:sz w:val="24"/>
      <w:szCs w:val="24"/>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
    <w:rsid w:val="00E4680C"/>
  </w:style>
  <w:style w:type="character" w:styleId="CommentReference">
    <w:name w:val="annotation reference"/>
    <w:basedOn w:val="DefaultParagraphFont"/>
    <w:rsid w:val="001D06C1"/>
    <w:rPr>
      <w:sz w:val="16"/>
      <w:szCs w:val="16"/>
    </w:rPr>
  </w:style>
  <w:style w:type="paragraph" w:styleId="CommentText">
    <w:name w:val="annotation text"/>
    <w:basedOn w:val="Normal"/>
    <w:link w:val="CommentTextChar"/>
    <w:rsid w:val="001D06C1"/>
    <w:rPr>
      <w:sz w:val="20"/>
    </w:rPr>
  </w:style>
  <w:style w:type="character" w:customStyle="1" w:styleId="CommentTextChar">
    <w:name w:val="Comment Text Char"/>
    <w:basedOn w:val="DefaultParagraphFont"/>
    <w:link w:val="CommentText"/>
    <w:rsid w:val="001D06C1"/>
    <w:rPr>
      <w:snapToGrid w:val="0"/>
      <w:kern w:val="28"/>
    </w:rPr>
  </w:style>
  <w:style w:type="paragraph" w:styleId="CommentSubject">
    <w:name w:val="annotation subject"/>
    <w:basedOn w:val="CommentText"/>
    <w:next w:val="CommentText"/>
    <w:link w:val="CommentSubjectChar"/>
    <w:rsid w:val="001D06C1"/>
    <w:rPr>
      <w:b/>
      <w:bCs/>
    </w:rPr>
  </w:style>
  <w:style w:type="character" w:customStyle="1" w:styleId="CommentSubjectChar">
    <w:name w:val="Comment Subject Char"/>
    <w:basedOn w:val="CommentTextChar"/>
    <w:link w:val="CommentSubject"/>
    <w:rsid w:val="001D06C1"/>
    <w:rPr>
      <w:b/>
      <w:bCs/>
      <w:snapToGrid w:val="0"/>
      <w:kern w:val="28"/>
    </w:rPr>
  </w:style>
  <w:style w:type="paragraph" w:styleId="BalloonText">
    <w:name w:val="Balloon Text"/>
    <w:basedOn w:val="Normal"/>
    <w:link w:val="BalloonTextChar"/>
    <w:rsid w:val="001D06C1"/>
    <w:rPr>
      <w:rFonts w:ascii="Segoe UI" w:hAnsi="Segoe UI" w:cs="Segoe UI"/>
      <w:sz w:val="18"/>
      <w:szCs w:val="18"/>
    </w:rPr>
  </w:style>
  <w:style w:type="character" w:customStyle="1" w:styleId="BalloonTextChar">
    <w:name w:val="Balloon Text Char"/>
    <w:basedOn w:val="DefaultParagraphFont"/>
    <w:link w:val="BalloonText"/>
    <w:rsid w:val="001D06C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oiaonline.regulations.gov/foia/action/agency/creatRequest" TargetMode="External"/><Relationship Id="rId1" Type="http://schemas.openxmlformats.org/officeDocument/2006/relationships/hyperlink" Target="mailto:FOIA-Appeal@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2046</Words>
  <Characters>10945</Characters>
  <Application>Microsoft Office Word</Application>
  <DocSecurity>0</DocSecurity>
  <Lines>176</Lines>
  <Paragraphs>45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13042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2015-11-16T16:13:00Z</cp:lastPrinted>
  <dcterms:created xsi:type="dcterms:W3CDTF">2016-09-30T20:29:00Z</dcterms:created>
  <dcterms:modified xsi:type="dcterms:W3CDTF">2016-09-30T20:29:00Z</dcterms:modified>
  <cp:category> </cp:category>
  <cp:contentStatus> </cp:contentStatus>
</cp:coreProperties>
</file>