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17" w:rsidRPr="00790B4B" w:rsidRDefault="00565B17" w:rsidP="00565B17">
      <w:pPr>
        <w:widowControl/>
        <w:jc w:val="center"/>
        <w:rPr>
          <w:b/>
        </w:rPr>
      </w:pPr>
      <w:bookmarkStart w:id="0" w:name="_GoBack"/>
      <w:bookmarkEnd w:id="0"/>
      <w:r w:rsidRPr="00790B4B">
        <w:rPr>
          <w:b/>
          <w:kern w:val="0"/>
          <w:szCs w:val="22"/>
        </w:rPr>
        <w:t>Before</w:t>
      </w:r>
      <w:r w:rsidRPr="00790B4B">
        <w:rPr>
          <w:b/>
        </w:rPr>
        <w:t xml:space="preserve"> the</w:t>
      </w:r>
    </w:p>
    <w:p w:rsidR="00565B17" w:rsidRPr="00790B4B" w:rsidRDefault="00565B17" w:rsidP="00565B17">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565B17" w:rsidRPr="00790B4B" w:rsidRDefault="00565B17" w:rsidP="00565B17">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565B17" w:rsidRPr="00790B4B" w:rsidRDefault="00565B17" w:rsidP="00565B17">
      <w:pPr>
        <w:widowControl/>
      </w:pPr>
    </w:p>
    <w:tbl>
      <w:tblPr>
        <w:tblW w:w="9468" w:type="dxa"/>
        <w:tblLayout w:type="fixed"/>
        <w:tblLook w:val="0000" w:firstRow="0" w:lastRow="0" w:firstColumn="0" w:lastColumn="0" w:noHBand="0" w:noVBand="0"/>
      </w:tblPr>
      <w:tblGrid>
        <w:gridCol w:w="4590"/>
        <w:gridCol w:w="630"/>
        <w:gridCol w:w="4248"/>
      </w:tblGrid>
      <w:tr w:rsidR="00565B17" w:rsidRPr="00344C0B" w:rsidTr="009B45F0">
        <w:tc>
          <w:tcPr>
            <w:tcW w:w="4590" w:type="dxa"/>
          </w:tcPr>
          <w:p w:rsidR="00565B17" w:rsidRPr="00790B4B" w:rsidRDefault="00565B17" w:rsidP="009B45F0">
            <w:pPr>
              <w:widowControl/>
              <w:suppressAutoHyphens/>
              <w:rPr>
                <w:spacing w:val="-2"/>
              </w:rPr>
            </w:pPr>
            <w:r w:rsidRPr="00790B4B">
              <w:rPr>
                <w:spacing w:val="-2"/>
              </w:rPr>
              <w:t>In the Matter of</w:t>
            </w:r>
          </w:p>
          <w:p w:rsidR="00565B17" w:rsidRPr="00790B4B" w:rsidRDefault="00565B17" w:rsidP="009B45F0">
            <w:pPr>
              <w:widowControl/>
              <w:suppressAutoHyphens/>
              <w:rPr>
                <w:spacing w:val="-2"/>
              </w:rPr>
            </w:pPr>
          </w:p>
          <w:p w:rsidR="00565B17" w:rsidRPr="00344C0B" w:rsidRDefault="00565B17" w:rsidP="009B45F0">
            <w:pPr>
              <w:widowControl/>
              <w:suppressAutoHyphens/>
              <w:rPr>
                <w:spacing w:val="-2"/>
              </w:rPr>
            </w:pPr>
            <w:r>
              <w:rPr>
                <w:spacing w:val="-2"/>
              </w:rPr>
              <w:t>Locus Telecommunications, Inc.</w:t>
            </w:r>
            <w:r w:rsidRPr="00344C0B">
              <w:rPr>
                <w:spacing w:val="-2"/>
              </w:rPr>
              <w:t xml:space="preserve"> </w:t>
            </w:r>
          </w:p>
        </w:tc>
        <w:tc>
          <w:tcPr>
            <w:tcW w:w="630" w:type="dxa"/>
          </w:tcPr>
          <w:p w:rsidR="00565B17" w:rsidRPr="00344C0B" w:rsidRDefault="00565B17" w:rsidP="009B45F0">
            <w:pPr>
              <w:widowControl/>
              <w:suppressAutoHyphens/>
              <w:rPr>
                <w:spacing w:val="-2"/>
              </w:rPr>
            </w:pPr>
            <w:r w:rsidRPr="00344C0B">
              <w:rPr>
                <w:spacing w:val="-2"/>
              </w:rPr>
              <w:t>)</w:t>
            </w:r>
          </w:p>
          <w:p w:rsidR="00565B17" w:rsidRPr="00344C0B" w:rsidRDefault="00565B17" w:rsidP="009B45F0">
            <w:pPr>
              <w:widowControl/>
              <w:suppressAutoHyphens/>
              <w:rPr>
                <w:spacing w:val="-2"/>
              </w:rPr>
            </w:pPr>
            <w:r w:rsidRPr="00344C0B">
              <w:rPr>
                <w:spacing w:val="-2"/>
              </w:rPr>
              <w:t>)</w:t>
            </w:r>
          </w:p>
          <w:p w:rsidR="00565B17" w:rsidRPr="00344C0B" w:rsidRDefault="00565B17" w:rsidP="009B45F0">
            <w:pPr>
              <w:widowControl/>
              <w:suppressAutoHyphens/>
              <w:rPr>
                <w:spacing w:val="-2"/>
              </w:rPr>
            </w:pPr>
            <w:r w:rsidRPr="00344C0B">
              <w:rPr>
                <w:spacing w:val="-2"/>
              </w:rPr>
              <w:t>)</w:t>
            </w:r>
          </w:p>
          <w:p w:rsidR="00565B17" w:rsidRPr="00344C0B" w:rsidRDefault="00565B17" w:rsidP="009B45F0">
            <w:pPr>
              <w:widowControl/>
              <w:suppressAutoHyphens/>
              <w:rPr>
                <w:spacing w:val="-2"/>
              </w:rPr>
            </w:pPr>
            <w:r w:rsidRPr="00344C0B">
              <w:rPr>
                <w:spacing w:val="-2"/>
              </w:rPr>
              <w:t>)</w:t>
            </w:r>
          </w:p>
          <w:p w:rsidR="00565B17" w:rsidRPr="00344C0B" w:rsidRDefault="00565B17" w:rsidP="009B45F0">
            <w:pPr>
              <w:widowControl/>
              <w:suppressAutoHyphens/>
              <w:rPr>
                <w:spacing w:val="-2"/>
              </w:rPr>
            </w:pPr>
            <w:r w:rsidRPr="00344C0B">
              <w:rPr>
                <w:spacing w:val="-2"/>
              </w:rPr>
              <w:t>)</w:t>
            </w:r>
          </w:p>
        </w:tc>
        <w:tc>
          <w:tcPr>
            <w:tcW w:w="4248" w:type="dxa"/>
          </w:tcPr>
          <w:p w:rsidR="00565B17" w:rsidRPr="00344C0B" w:rsidRDefault="00565B17" w:rsidP="009B45F0">
            <w:pPr>
              <w:widowControl/>
              <w:suppressAutoHyphens/>
              <w:rPr>
                <w:spacing w:val="-2"/>
              </w:rPr>
            </w:pPr>
          </w:p>
          <w:p w:rsidR="00565B17" w:rsidRPr="00344C0B" w:rsidRDefault="00565B17" w:rsidP="009B45F0">
            <w:pPr>
              <w:widowControl/>
              <w:suppressAutoHyphens/>
              <w:rPr>
                <w:spacing w:val="-2"/>
              </w:rPr>
            </w:pPr>
          </w:p>
          <w:p w:rsidR="00565B17" w:rsidRPr="0007571D" w:rsidRDefault="00565B17" w:rsidP="009B45F0">
            <w:pPr>
              <w:widowControl/>
              <w:suppressAutoHyphens/>
              <w:ind w:left="432"/>
              <w:rPr>
                <w:spacing w:val="-2"/>
              </w:rPr>
            </w:pPr>
            <w:r w:rsidRPr="00344C0B">
              <w:rPr>
                <w:spacing w:val="-2"/>
              </w:rPr>
              <w:t>File No.:  EB-</w:t>
            </w:r>
            <w:r>
              <w:rPr>
                <w:spacing w:val="-2"/>
              </w:rPr>
              <w:t>TCD</w:t>
            </w:r>
            <w:r w:rsidRPr="00344C0B">
              <w:rPr>
                <w:spacing w:val="-2"/>
              </w:rPr>
              <w:t>-</w:t>
            </w:r>
            <w:r>
              <w:rPr>
                <w:spacing w:val="-2"/>
              </w:rPr>
              <w:t>12-00000452</w:t>
            </w:r>
          </w:p>
          <w:p w:rsidR="00565B17" w:rsidRPr="0007571D" w:rsidRDefault="00565B17" w:rsidP="009B45F0">
            <w:pPr>
              <w:widowControl/>
              <w:suppressAutoHyphens/>
              <w:ind w:left="432"/>
              <w:rPr>
                <w:spacing w:val="-2"/>
              </w:rPr>
            </w:pPr>
            <w:r w:rsidRPr="00344C0B">
              <w:rPr>
                <w:spacing w:val="-2"/>
              </w:rPr>
              <w:t xml:space="preserve">NAL/Acct. No.:  </w:t>
            </w:r>
            <w:r>
              <w:rPr>
                <w:spacing w:val="-2"/>
              </w:rPr>
              <w:t>201132170025</w:t>
            </w:r>
          </w:p>
          <w:p w:rsidR="00565B17" w:rsidRPr="0007571D" w:rsidRDefault="00565B17" w:rsidP="009B45F0">
            <w:pPr>
              <w:widowControl/>
              <w:suppressAutoHyphens/>
              <w:ind w:left="432"/>
              <w:rPr>
                <w:spacing w:val="-2"/>
              </w:rPr>
            </w:pPr>
            <w:r w:rsidRPr="00344C0B">
              <w:rPr>
                <w:spacing w:val="-2"/>
              </w:rPr>
              <w:t xml:space="preserve">FRN:  </w:t>
            </w:r>
            <w:r>
              <w:rPr>
                <w:spacing w:val="-2"/>
              </w:rPr>
              <w:t>0010729515</w:t>
            </w:r>
          </w:p>
        </w:tc>
      </w:tr>
    </w:tbl>
    <w:p w:rsidR="00565B17" w:rsidRPr="00344C0B" w:rsidRDefault="00565B17" w:rsidP="00565B17">
      <w:pPr>
        <w:widowControl/>
      </w:pPr>
    </w:p>
    <w:p w:rsidR="00565B17" w:rsidRPr="00344C0B" w:rsidRDefault="00565B17" w:rsidP="00565B17">
      <w:pPr>
        <w:pStyle w:val="StyleBoldCentered"/>
        <w:widowControl/>
        <w:spacing w:after="220"/>
      </w:pPr>
      <w:r>
        <w:t>MEMORANDUM OPINION AND ORDER</w:t>
      </w:r>
    </w:p>
    <w:p w:rsidR="00565B17" w:rsidRPr="0007571D" w:rsidRDefault="00565B17" w:rsidP="00565B17">
      <w:pPr>
        <w:widowControl/>
        <w:tabs>
          <w:tab w:val="right" w:pos="9360"/>
        </w:tabs>
        <w:suppressAutoHyphens/>
        <w:rPr>
          <w:spacing w:val="-2"/>
        </w:rPr>
      </w:pPr>
      <w:r w:rsidRPr="00344C0B">
        <w:rPr>
          <w:b/>
          <w:spacing w:val="-2"/>
        </w:rPr>
        <w:t xml:space="preserve">Adopted:  </w:t>
      </w:r>
      <w:r w:rsidR="005B0B8A">
        <w:rPr>
          <w:b/>
          <w:spacing w:val="-2"/>
        </w:rPr>
        <w:t xml:space="preserve">October </w:t>
      </w:r>
      <w:r w:rsidR="00552E5F">
        <w:rPr>
          <w:b/>
          <w:spacing w:val="-2"/>
        </w:rPr>
        <w:t>27</w:t>
      </w:r>
      <w:r>
        <w:rPr>
          <w:b/>
          <w:spacing w:val="-2"/>
        </w:rPr>
        <w:t>, 2016</w:t>
      </w:r>
      <w:r w:rsidRPr="0007571D">
        <w:rPr>
          <w:b/>
          <w:spacing w:val="-2"/>
        </w:rPr>
        <w:tab/>
        <w:t xml:space="preserve">Released:  </w:t>
      </w:r>
      <w:r w:rsidR="005B0B8A">
        <w:rPr>
          <w:b/>
          <w:spacing w:val="-2"/>
        </w:rPr>
        <w:t xml:space="preserve">October </w:t>
      </w:r>
      <w:r w:rsidR="00552E5F">
        <w:rPr>
          <w:b/>
          <w:spacing w:val="-2"/>
        </w:rPr>
        <w:t>28</w:t>
      </w:r>
      <w:r>
        <w:rPr>
          <w:b/>
          <w:spacing w:val="-2"/>
        </w:rPr>
        <w:t>, 2016</w:t>
      </w:r>
    </w:p>
    <w:p w:rsidR="00565B17" w:rsidRPr="00344C0B" w:rsidRDefault="00565B17" w:rsidP="00565B17">
      <w:pPr>
        <w:widowControl/>
        <w:jc w:val="center"/>
      </w:pPr>
    </w:p>
    <w:p w:rsidR="00565B17" w:rsidRPr="00344C0B" w:rsidRDefault="00565B17" w:rsidP="00565B17">
      <w:pPr>
        <w:widowControl/>
        <w:rPr>
          <w:spacing w:val="-2"/>
        </w:rPr>
      </w:pPr>
      <w:r w:rsidRPr="00344C0B">
        <w:t>By the Commission</w:t>
      </w:r>
      <w:r w:rsidRPr="0007571D">
        <w:rPr>
          <w:spacing w:val="-2"/>
        </w:rPr>
        <w:t>:</w:t>
      </w:r>
      <w:r w:rsidR="00BF6CEF">
        <w:rPr>
          <w:spacing w:val="-2"/>
        </w:rPr>
        <w:t xml:space="preserve"> </w:t>
      </w:r>
      <w:r w:rsidR="001A4CB5">
        <w:rPr>
          <w:spacing w:val="-2"/>
        </w:rPr>
        <w:t xml:space="preserve"> </w:t>
      </w:r>
      <w:r w:rsidR="00BF6CEF">
        <w:rPr>
          <w:spacing w:val="-2"/>
        </w:rPr>
        <w:t>Chairman Wheeler issuing a statement; Commissioners Pai and O</w:t>
      </w:r>
      <w:r w:rsidR="00990FB9">
        <w:rPr>
          <w:spacing w:val="-2"/>
        </w:rPr>
        <w:t>’Rielly dissenting and issuing separate</w:t>
      </w:r>
      <w:r w:rsidR="00BF6CEF">
        <w:rPr>
          <w:spacing w:val="-2"/>
        </w:rPr>
        <w:t xml:space="preserve"> statement</w:t>
      </w:r>
      <w:r w:rsidR="00990FB9">
        <w:rPr>
          <w:spacing w:val="-2"/>
        </w:rPr>
        <w:t>s</w:t>
      </w:r>
      <w:r w:rsidR="00BF6CEF">
        <w:rPr>
          <w:spacing w:val="-2"/>
        </w:rPr>
        <w:t>.</w:t>
      </w:r>
    </w:p>
    <w:p w:rsidR="00565B17" w:rsidRPr="00344C0B" w:rsidRDefault="00565B17" w:rsidP="00565B17">
      <w:pPr>
        <w:widowControl/>
        <w:rPr>
          <w:spacing w:val="-2"/>
        </w:rPr>
      </w:pPr>
    </w:p>
    <w:p w:rsidR="00565B17" w:rsidRPr="00344C0B" w:rsidRDefault="00565B17" w:rsidP="00565B17">
      <w:pPr>
        <w:pStyle w:val="Heading1"/>
      </w:pPr>
      <w:bookmarkStart w:id="1" w:name="_Toc379288998"/>
      <w:bookmarkStart w:id="2" w:name="_Toc379365499"/>
      <w:r w:rsidRPr="00344C0B">
        <w:t>INTRODUCTION</w:t>
      </w:r>
      <w:bookmarkEnd w:id="1"/>
      <w:bookmarkEnd w:id="2"/>
    </w:p>
    <w:p w:rsidR="00565B17" w:rsidRPr="00193A4F" w:rsidRDefault="00565B17" w:rsidP="00565B17">
      <w:pPr>
        <w:pStyle w:val="ParaNum"/>
        <w:rPr>
          <w:szCs w:val="22"/>
        </w:rPr>
      </w:pPr>
      <w:r w:rsidRPr="00193A4F">
        <w:rPr>
          <w:szCs w:val="22"/>
        </w:rPr>
        <w:t xml:space="preserve">We </w:t>
      </w:r>
      <w:r>
        <w:rPr>
          <w:szCs w:val="22"/>
        </w:rPr>
        <w:t xml:space="preserve">dismiss in part and </w:t>
      </w:r>
      <w:r w:rsidRPr="00193A4F">
        <w:rPr>
          <w:szCs w:val="22"/>
        </w:rPr>
        <w:t xml:space="preserve">deny </w:t>
      </w:r>
      <w:r>
        <w:rPr>
          <w:szCs w:val="22"/>
        </w:rPr>
        <w:t xml:space="preserve">in part </w:t>
      </w:r>
      <w:r w:rsidRPr="00193A4F">
        <w:rPr>
          <w:szCs w:val="22"/>
        </w:rPr>
        <w:t xml:space="preserve">the Petition for Reconsideration filed by </w:t>
      </w:r>
      <w:r>
        <w:rPr>
          <w:szCs w:val="22"/>
        </w:rPr>
        <w:t xml:space="preserve">Locus Telecommunications, Inc. (Locus) </w:t>
      </w:r>
      <w:r w:rsidRPr="00B8584A">
        <w:rPr>
          <w:szCs w:val="22"/>
        </w:rPr>
        <w:t xml:space="preserve">seeking reconsideration of a Forfeiture Order issued by the Commission.  In the Forfeiture Order, the Commission imposed a forfeiture of $5,000,000 against </w:t>
      </w:r>
      <w:r>
        <w:rPr>
          <w:szCs w:val="22"/>
        </w:rPr>
        <w:t>Locus</w:t>
      </w:r>
      <w:r w:rsidRPr="00B8584A">
        <w:rPr>
          <w:szCs w:val="22"/>
        </w:rPr>
        <w:t xml:space="preserve"> for deceptively marketing its prepaid telephone calling cards </w:t>
      </w:r>
      <w:r>
        <w:rPr>
          <w:szCs w:val="22"/>
        </w:rPr>
        <w:t>through</w:t>
      </w:r>
      <w:r w:rsidRPr="00B8584A">
        <w:rPr>
          <w:szCs w:val="22"/>
        </w:rPr>
        <w:t xml:space="preserve"> misleading, confusin</w:t>
      </w:r>
      <w:r>
        <w:rPr>
          <w:szCs w:val="22"/>
        </w:rPr>
        <w:t xml:space="preserve">g, and inadequate disclosures of its rates and charges that made </w:t>
      </w:r>
      <w:r w:rsidRPr="00B8584A">
        <w:rPr>
          <w:szCs w:val="22"/>
        </w:rPr>
        <w:t xml:space="preserve">it impossible </w:t>
      </w:r>
      <w:r>
        <w:rPr>
          <w:szCs w:val="22"/>
        </w:rPr>
        <w:t xml:space="preserve">for consumers </w:t>
      </w:r>
      <w:r w:rsidRPr="00B8584A">
        <w:rPr>
          <w:szCs w:val="22"/>
        </w:rPr>
        <w:t xml:space="preserve">to calculate the </w:t>
      </w:r>
      <w:r>
        <w:rPr>
          <w:szCs w:val="22"/>
        </w:rPr>
        <w:t xml:space="preserve">actual </w:t>
      </w:r>
      <w:r w:rsidRPr="00B8584A">
        <w:rPr>
          <w:szCs w:val="22"/>
        </w:rPr>
        <w:t>cost of a call</w:t>
      </w:r>
      <w:r>
        <w:rPr>
          <w:szCs w:val="22"/>
        </w:rPr>
        <w:t>.</w:t>
      </w:r>
    </w:p>
    <w:p w:rsidR="003D2C9E" w:rsidRDefault="00565B17" w:rsidP="00565B17">
      <w:pPr>
        <w:pStyle w:val="ParaNum"/>
      </w:pPr>
      <w:r w:rsidRPr="00D9764D">
        <w:rPr>
          <w:szCs w:val="22"/>
        </w:rPr>
        <w:t>Upon review of the Petition for Reconsideration</w:t>
      </w:r>
      <w:r>
        <w:rPr>
          <w:rStyle w:val="FootnoteReference"/>
          <w:szCs w:val="22"/>
        </w:rPr>
        <w:footnoteReference w:id="2"/>
      </w:r>
      <w:r w:rsidRPr="00D9764D">
        <w:rPr>
          <w:szCs w:val="22"/>
        </w:rPr>
        <w:t xml:space="preserve"> and the entire record,</w:t>
      </w:r>
      <w:r>
        <w:rPr>
          <w:rStyle w:val="FootnoteReference"/>
          <w:szCs w:val="22"/>
        </w:rPr>
        <w:footnoteReference w:id="3"/>
      </w:r>
      <w:r w:rsidRPr="00D9764D">
        <w:t xml:space="preserve"> we find no basis for reconsideration.  </w:t>
      </w:r>
      <w:r>
        <w:t>A petition for reconsideration that relies on facts or arguments that have been fully considered and rejected by the Commission within the same proceeding may be dismissed.</w:t>
      </w:r>
      <w:r>
        <w:rPr>
          <w:rStyle w:val="FootnoteReference"/>
        </w:rPr>
        <w:footnoteReference w:id="4"/>
      </w:r>
      <w:r>
        <w:t xml:space="preserve">  Locus’s Petition for Reconsideration fails to present new facts or arguments warranting reconsideration, and we do not find that reconsideration is otherwise required in the public interest.  As explained below, we dismiss Locus’s arguments to the extent they were previously raised and rejected by the Commission in the Forfeiture Order and deny Locus’s other arguments on their merits for failing to demonstrate a material error or omission.  We therefore dismiss in part and deny in part Locus’s Petition</w:t>
      </w:r>
      <w:r w:rsidRPr="0021254E">
        <w:t>.</w:t>
      </w:r>
      <w:bookmarkStart w:id="3" w:name="_Toc379289000"/>
      <w:bookmarkStart w:id="4" w:name="_Toc379365501"/>
    </w:p>
    <w:p w:rsidR="00565B17" w:rsidRDefault="00565B17" w:rsidP="003D2C9E">
      <w:pPr>
        <w:pStyle w:val="ParaNum"/>
        <w:numPr>
          <w:ilvl w:val="0"/>
          <w:numId w:val="0"/>
        </w:numPr>
      </w:pPr>
    </w:p>
    <w:p w:rsidR="00565B17" w:rsidRPr="00344C0B" w:rsidRDefault="00565B17" w:rsidP="00565B17">
      <w:pPr>
        <w:pStyle w:val="Heading1"/>
      </w:pPr>
      <w:r w:rsidRPr="00344C0B">
        <w:lastRenderedPageBreak/>
        <w:t>DISCUSSION</w:t>
      </w:r>
      <w:bookmarkEnd w:id="3"/>
      <w:bookmarkEnd w:id="4"/>
    </w:p>
    <w:p w:rsidR="00565B17" w:rsidRDefault="00565B17" w:rsidP="00565B17">
      <w:pPr>
        <w:pStyle w:val="Heading2"/>
      </w:pPr>
      <w:r>
        <w:t>The Commission Properly Exercised Jurisdiction over Locus’s Prepaid Calling Card Marketing Practices</w:t>
      </w:r>
    </w:p>
    <w:p w:rsidR="00565B17" w:rsidRDefault="00565B17" w:rsidP="00565B17">
      <w:pPr>
        <w:pStyle w:val="ParaNum"/>
      </w:pPr>
      <w:r>
        <w:t>In its Petition,</w:t>
      </w:r>
      <w:r>
        <w:rPr>
          <w:rStyle w:val="FootnoteReference"/>
        </w:rPr>
        <w:footnoteReference w:id="5"/>
      </w:r>
      <w:r>
        <w:t xml:space="preserve"> Locus reprises arguments it previously raised with the Commission in response to the Notice of Apparent Liability for Forfeiture (NAL)</w:t>
      </w:r>
      <w:r>
        <w:rPr>
          <w:rStyle w:val="FootnoteReference"/>
        </w:rPr>
        <w:footnoteReference w:id="6"/>
      </w:r>
      <w:r>
        <w:t xml:space="preserve"> that the Commission lacks jurisdiction over its marketing practices under Section 201(b) of the Communications Act of 1934, as amended (Act).</w:t>
      </w:r>
      <w:r>
        <w:rPr>
          <w:rStyle w:val="FootnoteReference"/>
        </w:rPr>
        <w:footnoteReference w:id="7"/>
      </w:r>
      <w:r>
        <w:t xml:space="preserve">  Locus again contends that Section 201(b)’s prohibition on unjust and unreasonable practices does not cover marketing of prepaid calling cards.</w:t>
      </w:r>
      <w:r>
        <w:rPr>
          <w:rStyle w:val="FootnoteReference"/>
        </w:rPr>
        <w:footnoteReference w:id="8"/>
      </w:r>
      <w:r>
        <w:t xml:space="preserve">  In addition, Locus repeats its claim that the Commission cannot impose liability against it in the absence of specific Commission rules regarding prepaid calling card marketing.</w:t>
      </w:r>
      <w:r>
        <w:rPr>
          <w:rStyle w:val="FootnoteReference"/>
        </w:rPr>
        <w:footnoteReference w:id="9"/>
      </w:r>
      <w:r>
        <w:t xml:space="preserve">  Locus also rehashes its argument that it did not sell its prepaid calling cards on a common carriage basis and, consequently, falls outside the scope of Section 201(b).</w:t>
      </w:r>
      <w:r>
        <w:rPr>
          <w:rStyle w:val="FootnoteReference"/>
        </w:rPr>
        <w:footnoteReference w:id="10"/>
      </w:r>
    </w:p>
    <w:p w:rsidR="00565B17" w:rsidRDefault="00565B17" w:rsidP="00565B17">
      <w:pPr>
        <w:pStyle w:val="Heading3"/>
      </w:pPr>
      <w:r>
        <w:t xml:space="preserve">Section 201(b) and Commission Rules  </w:t>
      </w:r>
    </w:p>
    <w:p w:rsidR="00565B17" w:rsidRDefault="00565B17" w:rsidP="00565B17">
      <w:pPr>
        <w:pStyle w:val="ParaNum"/>
        <w:widowControl/>
      </w:pPr>
      <w:r>
        <w:t>These arguments were already considered by the Commission and rejected in the Forfeiture Order.  In the Forfeiture Order, we stated not only that “Section 201(b) reaches deceptive marketing – including the practices Locus engaged in,”</w:t>
      </w:r>
      <w:r>
        <w:rPr>
          <w:rStyle w:val="FootnoteReference"/>
        </w:rPr>
        <w:footnoteReference w:id="11"/>
      </w:r>
      <w:r>
        <w:t xml:space="preserve"> but also that Section 201(b) extends to Locus’s actions “even in the absence of implementing rules.”</w:t>
      </w:r>
      <w:r>
        <w:rPr>
          <w:rStyle w:val="FootnoteReference"/>
        </w:rPr>
        <w:footnoteReference w:id="12"/>
      </w:r>
      <w:r>
        <w:t xml:space="preserve">  Locus contends that the Commission erred in the Forfeiture Order by “merely referr[ing]” to its rationale in rejecting jurisdictional claims raised by STi Telecom Inc. (STi) in a contemporaneous proceeding to reject Locus’s comparable arguments.</w:t>
      </w:r>
      <w:r>
        <w:rPr>
          <w:rStyle w:val="FootnoteReference"/>
        </w:rPr>
        <w:footnoteReference w:id="13"/>
      </w:r>
      <w:r>
        <w:t xml:space="preserve">  Locus suggests that referencing the STi proceeding shows the Commission “failed to consider the unique arguments Locus raised in challenging the FCC’s exercise of jurisdiction.”</w:t>
      </w:r>
      <w:r>
        <w:rPr>
          <w:rStyle w:val="FootnoteReference"/>
        </w:rPr>
        <w:footnoteReference w:id="14"/>
      </w:r>
      <w:r>
        <w:t xml:space="preserve">  We disagree.  The Forfeiture Order appropriately relied on the explanation in the companion </w:t>
      </w:r>
      <w:r w:rsidRPr="00835C41">
        <w:rPr>
          <w:i/>
        </w:rPr>
        <w:t>STi</w:t>
      </w:r>
      <w:r>
        <w:t xml:space="preserve"> Order, which reached certain generally applicable legal conclusions regarding the application of Section 201(b) to deceptive marketing.  </w:t>
      </w:r>
      <w:r>
        <w:lastRenderedPageBreak/>
        <w:t>Most of Locus’s jurisdictional arguments (excepting only its common carrier status argument, discussed below), including its claims that Section 201(b) does not apply to prepaid calling card marketing and that the Commission must promulgate specific rules in order to take enforcement action, are not unique and were raised by a number of other prepaid calling card providers (including STi) and rejected by the Commission.</w:t>
      </w:r>
      <w:r>
        <w:rPr>
          <w:rStyle w:val="FootnoteReference"/>
        </w:rPr>
        <w:footnoteReference w:id="15"/>
      </w:r>
      <w:r>
        <w:t xml:space="preserve">  In addition, these jurisdictional arguments represent generic, non-party-specific questions of law that were already addressed in the Forfeiture Order, not fact-specific determinations based on Locus’s particular marketing practices.</w:t>
      </w:r>
      <w:r>
        <w:rPr>
          <w:rStyle w:val="FootnoteReference"/>
        </w:rPr>
        <w:footnoteReference w:id="16"/>
      </w:r>
      <w:r>
        <w:t xml:space="preserve">  Thus, the Commission validly concluded in </w:t>
      </w:r>
      <w:r>
        <w:rPr>
          <w:i/>
        </w:rPr>
        <w:t>STi</w:t>
      </w:r>
      <w:r>
        <w:t xml:space="preserve"> that Section 201(b) addresses deceptive marketing practices by providers of prepaid calling cards.  The fact that Locus did not have access to STi’s NAL Response does not disturb this precedent.  As a result, the references to the STi proceeding in the Forfeiture Order served to explain the Commission’s jurisdiction over deceptive advertising practices under Section 201(b), not supplant our consideration of the NAL Response, and addressed Locus’s comparable jurisdictional arguments.</w:t>
      </w:r>
      <w:r>
        <w:rPr>
          <w:rStyle w:val="FootnoteReference"/>
        </w:rPr>
        <w:footnoteReference w:id="17"/>
      </w:r>
      <w:r>
        <w:t xml:space="preserve">  </w:t>
      </w:r>
    </w:p>
    <w:p w:rsidR="00565B17" w:rsidRDefault="00565B17" w:rsidP="00565B17">
      <w:pPr>
        <w:pStyle w:val="Heading3"/>
      </w:pPr>
      <w:r>
        <w:t>Common Carrier Status</w:t>
      </w:r>
    </w:p>
    <w:p w:rsidR="00565B17" w:rsidRDefault="00565B17" w:rsidP="00565B17">
      <w:pPr>
        <w:pStyle w:val="ParaNum"/>
      </w:pPr>
      <w:r>
        <w:t>The only jurisdictional argument presented by Locus that arguably implicates “unique” facts relating to its business practices is its claim that it did not sell its prepaid calling cards on a common carriage basis.</w:t>
      </w:r>
      <w:r>
        <w:rPr>
          <w:rStyle w:val="FootnoteReference"/>
        </w:rPr>
        <w:footnoteReference w:id="18"/>
      </w:r>
      <w:r>
        <w:t xml:space="preserve">  However, Locus previously made this argument in response to the NAL</w:t>
      </w:r>
      <w:r>
        <w:rPr>
          <w:rStyle w:val="FootnoteReference"/>
        </w:rPr>
        <w:footnoteReference w:id="19"/>
      </w:r>
      <w:r>
        <w:t xml:space="preserve"> and, as Locus recognizes in its Petition,</w:t>
      </w:r>
      <w:r>
        <w:rPr>
          <w:rStyle w:val="FootnoteReference"/>
        </w:rPr>
        <w:footnoteReference w:id="20"/>
      </w:r>
      <w:r>
        <w:t xml:space="preserve"> the Commission already fully addressed this argument in the Forfeiture Order and rejected it.</w:t>
      </w:r>
      <w:r>
        <w:rPr>
          <w:rStyle w:val="FootnoteReference"/>
        </w:rPr>
        <w:footnoteReference w:id="21"/>
      </w:r>
      <w:r>
        <w:t xml:space="preserve">  The Commission found that “Locus is a common carrier engaged in the business of providing telecommunications service to consumers in the form of prepaid calling cards and, therefore, its advertising for such calling cards is subject to Section 201(b) of the Act.”</w:t>
      </w:r>
      <w:r>
        <w:rPr>
          <w:rStyle w:val="FootnoteReference"/>
        </w:rPr>
        <w:footnoteReference w:id="22"/>
      </w:r>
      <w:r>
        <w:t xml:space="preserve">  Locus set destination rates, controlled “the number of minutes for which the cards [could] be used,” designed the cards and contracted with printers to print cards and advertising posters, retained final approval of designs and marketing materials, operated the customer service center, and issued “refunds and credits directly to customers who purchase[d] the cards.”</w:t>
      </w:r>
      <w:r>
        <w:rPr>
          <w:rStyle w:val="FootnoteReference"/>
        </w:rPr>
        <w:footnoteReference w:id="23"/>
      </w:r>
      <w:r>
        <w:t xml:space="preserve">  While an entity “can be a common carrier with regard to some activities but not others,”</w:t>
      </w:r>
      <w:r>
        <w:rPr>
          <w:rStyle w:val="FootnoteReference"/>
        </w:rPr>
        <w:footnoteReference w:id="24"/>
      </w:r>
      <w:r>
        <w:t xml:space="preserve"> we found that Locus’s sale of “prepaid calling cards through a national distributor network”</w:t>
      </w:r>
      <w:r>
        <w:rPr>
          <w:rStyle w:val="FootnoteReference"/>
        </w:rPr>
        <w:footnoteReference w:id="25"/>
      </w:r>
      <w:r>
        <w:t xml:space="preserve"> constituted a common carrier service and </w:t>
      </w:r>
      <w:r>
        <w:rPr>
          <w:szCs w:val="22"/>
        </w:rPr>
        <w:t>“</w:t>
      </w:r>
      <w:r w:rsidRPr="00BA2DE6">
        <w:rPr>
          <w:szCs w:val="22"/>
        </w:rPr>
        <w:t>d[id] not change Company’s legal status” as a common carrier.</w:t>
      </w:r>
      <w:r>
        <w:rPr>
          <w:rStyle w:val="FootnoteReference"/>
          <w:szCs w:val="22"/>
        </w:rPr>
        <w:footnoteReference w:id="26"/>
      </w:r>
      <w:r>
        <w:t xml:space="preserve">  </w:t>
      </w:r>
      <w:r w:rsidRPr="00BA2DE6">
        <w:rPr>
          <w:szCs w:val="22"/>
        </w:rPr>
        <w:t>Locus states that the Commission erred by finding that its sale of callin</w:t>
      </w:r>
      <w:r>
        <w:rPr>
          <w:szCs w:val="22"/>
        </w:rPr>
        <w:t>g cards directly to consumers through</w:t>
      </w:r>
      <w:r w:rsidRPr="00BA2DE6">
        <w:rPr>
          <w:szCs w:val="22"/>
        </w:rPr>
        <w:t xml:space="preserve"> its website was “dispositive” of its common carrier status.</w:t>
      </w:r>
      <w:r>
        <w:rPr>
          <w:rStyle w:val="FootnoteReference"/>
          <w:szCs w:val="22"/>
        </w:rPr>
        <w:footnoteReference w:id="27"/>
      </w:r>
      <w:r w:rsidRPr="00BA2DE6">
        <w:rPr>
          <w:szCs w:val="22"/>
        </w:rPr>
        <w:t xml:space="preserve">  </w:t>
      </w:r>
      <w:r>
        <w:rPr>
          <w:szCs w:val="22"/>
        </w:rPr>
        <w:t xml:space="preserve">However, </w:t>
      </w:r>
      <w:r>
        <w:t>the Commission also stated that it still would have concluded that Locus operated as a common carrier “[e]ven if the Company did not sell cards directly to the public on its website . . . .”</w:t>
      </w:r>
      <w:r>
        <w:rPr>
          <w:rStyle w:val="FootnoteReference"/>
        </w:rPr>
        <w:footnoteReference w:id="28"/>
      </w:r>
      <w:r>
        <w:t xml:space="preserve">  Moreover, the prepaid calling cards at issue in this case provided international toll voice service – a service that has long been understood to require Section 214 authorization because it may be offered only on a common carriage basis.</w:t>
      </w:r>
      <w:r>
        <w:rPr>
          <w:rStyle w:val="FootnoteReference"/>
        </w:rPr>
        <w:footnoteReference w:id="29"/>
      </w:r>
      <w:r>
        <w:t xml:space="preserve">  We therefore find no basis to reconsider our prior determinations and find that the Commission properly exercised jurisdiction over Locus’s prepaid calling card marketing practices under Section 201(b) of the Act.</w:t>
      </w:r>
    </w:p>
    <w:p w:rsidR="00565B17" w:rsidRPr="001419F6" w:rsidRDefault="00565B17" w:rsidP="00565B17">
      <w:pPr>
        <w:pStyle w:val="Heading2"/>
      </w:pPr>
      <w:r>
        <w:t xml:space="preserve">The Forfeiture Order Satisfied Due Process Requirements </w:t>
      </w:r>
    </w:p>
    <w:p w:rsidR="00565B17" w:rsidRDefault="00565B17" w:rsidP="00565B17">
      <w:pPr>
        <w:pStyle w:val="ParaNum"/>
      </w:pPr>
      <w:r>
        <w:t>Locus also repeats the argument it raised with the Commission in response to the NAL that the Commission denied it due process by relying on purportedly “non-binding precedent” when assessing the marketing disclosures required from prepaid calling card providers.</w:t>
      </w:r>
      <w:r>
        <w:rPr>
          <w:rStyle w:val="FootnoteReference"/>
        </w:rPr>
        <w:footnoteReference w:id="30"/>
      </w:r>
      <w:r>
        <w:t xml:space="preserve">  Locus asserts that the joint FCC/FTC Policy Statement regarding telecommunications offerings and the standard articulated by the Commission in the </w:t>
      </w:r>
      <w:r>
        <w:rPr>
          <w:i/>
        </w:rPr>
        <w:t xml:space="preserve">NOS NAL </w:t>
      </w:r>
      <w:r>
        <w:t>(and applied to it in the NAL) – that advertising denoting applicable rates associated with telecommunications services violates Section 201(b) where it does not include clear and conspicuous disclosures that allow consumers to calculate the cost of a call – did not provide notice to Locus of what marketing activities were prohibited.</w:t>
      </w:r>
      <w:r>
        <w:rPr>
          <w:rStyle w:val="FootnoteReference"/>
        </w:rPr>
        <w:footnoteReference w:id="31"/>
      </w:r>
      <w:r>
        <w:t xml:space="preserve">  </w:t>
      </w:r>
    </w:p>
    <w:p w:rsidR="00565B17" w:rsidRDefault="00565B17" w:rsidP="00565B17">
      <w:pPr>
        <w:pStyle w:val="ParaNum"/>
        <w:widowControl/>
      </w:pPr>
      <w:r w:rsidRPr="006F4A93">
        <w:rPr>
          <w:szCs w:val="22"/>
        </w:rPr>
        <w:t xml:space="preserve">As an initial matter, we note that the </w:t>
      </w:r>
      <w:r>
        <w:rPr>
          <w:szCs w:val="22"/>
        </w:rPr>
        <w:t xml:space="preserve">Commission did not base its violation findings on the </w:t>
      </w:r>
      <w:r w:rsidRPr="0021254E">
        <w:t>Policy Statement</w:t>
      </w:r>
      <w:r>
        <w:rPr>
          <w:szCs w:val="22"/>
        </w:rPr>
        <w:t xml:space="preserve">.  Instead, the Commission based its violation findings on </w:t>
      </w:r>
      <w:r w:rsidRPr="006F4A93">
        <w:rPr>
          <w:szCs w:val="22"/>
        </w:rPr>
        <w:t xml:space="preserve">Section 201(b) of the Act, </w:t>
      </w:r>
      <w:r w:rsidRPr="0021254E">
        <w:rPr>
          <w:i/>
        </w:rPr>
        <w:t>as informed by</w:t>
      </w:r>
      <w:r w:rsidRPr="006F4A93">
        <w:rPr>
          <w:szCs w:val="22"/>
        </w:rPr>
        <w:t xml:space="preserve"> the </w:t>
      </w:r>
      <w:r>
        <w:rPr>
          <w:szCs w:val="22"/>
        </w:rPr>
        <w:t xml:space="preserve">Policy Statement and the </w:t>
      </w:r>
      <w:r>
        <w:rPr>
          <w:i/>
          <w:szCs w:val="22"/>
        </w:rPr>
        <w:t>NOS NAL</w:t>
      </w:r>
      <w:r>
        <w:rPr>
          <w:szCs w:val="22"/>
        </w:rPr>
        <w:t>.</w:t>
      </w:r>
      <w:r w:rsidRPr="000203E5">
        <w:rPr>
          <w:rStyle w:val="FootnoteReference"/>
          <w:szCs w:val="22"/>
        </w:rPr>
        <w:footnoteReference w:id="32"/>
      </w:r>
      <w:r>
        <w:rPr>
          <w:szCs w:val="22"/>
        </w:rPr>
        <w:t xml:space="preserve">  As stated above, the Commission has jurisdiction to enforce the Act’s deceptive marketing prohibition on prepaid calling card providers like Locus under Section 201(b).</w:t>
      </w:r>
      <w:r>
        <w:rPr>
          <w:rStyle w:val="FootnoteReference"/>
          <w:szCs w:val="22"/>
        </w:rPr>
        <w:footnoteReference w:id="33"/>
      </w:r>
      <w:r>
        <w:rPr>
          <w:szCs w:val="22"/>
        </w:rPr>
        <w:t xml:space="preserve">  Moreover, we are not persuaded by Locus’s argument that </w:t>
      </w:r>
      <w:r>
        <w:t xml:space="preserve">the </w:t>
      </w:r>
      <w:r>
        <w:rPr>
          <w:i/>
        </w:rPr>
        <w:t xml:space="preserve">NOS NAL </w:t>
      </w:r>
      <w:r>
        <w:t xml:space="preserve">“carries absolutely no precedential weight” because the Commission ultimately resolved the matter through settlement.  The relevant legal issue here is not the “precedential weight” of the </w:t>
      </w:r>
      <w:r>
        <w:rPr>
          <w:i/>
        </w:rPr>
        <w:t>NOS NAL</w:t>
      </w:r>
      <w:r>
        <w:t xml:space="preserve">, but rather whether it provided fair notice to Locus. </w:t>
      </w:r>
      <w:r>
        <w:rPr>
          <w:i/>
        </w:rPr>
        <w:t xml:space="preserve"> </w:t>
      </w:r>
      <w:r>
        <w:t xml:space="preserve">As we explained in the Forfeiture Order, the Commission clearly set forth the advertising requirements associated with telecommunications services in the </w:t>
      </w:r>
      <w:r>
        <w:rPr>
          <w:i/>
        </w:rPr>
        <w:t xml:space="preserve">NOS NAL </w:t>
      </w:r>
      <w:r>
        <w:t>– including the importance of not misleading consumers about the applicable rates for telecommunications services by ensuring that service providers include “clear and conspicuous disclosure on how to calculate the total cost of a call.”</w:t>
      </w:r>
      <w:r>
        <w:rPr>
          <w:rStyle w:val="FootnoteReference"/>
        </w:rPr>
        <w:footnoteReference w:id="34"/>
      </w:r>
      <w:r>
        <w:t xml:space="preserve">  The mere fact that the Commission ultimately resolved the </w:t>
      </w:r>
      <w:r>
        <w:rPr>
          <w:i/>
        </w:rPr>
        <w:t xml:space="preserve">NOS NAL </w:t>
      </w:r>
      <w:r>
        <w:t>through settlement “does not undermine the value of [it] in providing fair notice.”</w:t>
      </w:r>
      <w:r>
        <w:rPr>
          <w:rStyle w:val="FootnoteReference"/>
        </w:rPr>
        <w:footnoteReference w:id="35"/>
      </w:r>
      <w:r>
        <w:t xml:space="preserve">  The Commission previously determined that the finding in the </w:t>
      </w:r>
      <w:r>
        <w:rPr>
          <w:i/>
        </w:rPr>
        <w:t>NOS NAL</w:t>
      </w:r>
      <w:r>
        <w:t>, coupled with the language of Section 201(b), “provides a person of ordinary intelligence with fair notice of the conduct that is required” from calling card providers.</w:t>
      </w:r>
      <w:r>
        <w:rPr>
          <w:rStyle w:val="FootnoteReference"/>
        </w:rPr>
        <w:footnoteReference w:id="36"/>
      </w:r>
      <w:r>
        <w:t xml:space="preserve">  We find no basis to reconsider our prior findings here.</w:t>
      </w:r>
      <w:r>
        <w:rPr>
          <w:rStyle w:val="FootnoteReference"/>
        </w:rPr>
        <w:footnoteReference w:id="37"/>
      </w:r>
      <w:r>
        <w:t xml:space="preserve">  We therefore find that the Commission’s investigation of Locus for deceptive marketing of prepaid calling cards did not violate due process requirements.</w:t>
      </w:r>
      <w:r>
        <w:rPr>
          <w:rStyle w:val="FootnoteReference"/>
        </w:rPr>
        <w:footnoteReference w:id="38"/>
      </w:r>
      <w:r>
        <w:t xml:space="preserve">    </w:t>
      </w:r>
    </w:p>
    <w:p w:rsidR="00565B17" w:rsidRDefault="00565B17" w:rsidP="00565B17">
      <w:pPr>
        <w:pStyle w:val="Heading2"/>
      </w:pPr>
      <w:r>
        <w:t>The Commission Provided Sufficient Specificity as to Locus’s Violations and Support for the Forfeiture Amount</w:t>
      </w:r>
    </w:p>
    <w:p w:rsidR="00565B17" w:rsidRPr="00CD1BE1" w:rsidRDefault="00565B17" w:rsidP="00565B17">
      <w:pPr>
        <w:pStyle w:val="ParaNum"/>
        <w:widowControl/>
      </w:pPr>
      <w:r>
        <w:t>Locus concludes its Petition with a laundry list of repetitive arguments challenging the sufficiency of the evidence supporting the Commission’s violation findings and the forfeiture amount.</w:t>
      </w:r>
      <w:r>
        <w:rPr>
          <w:rStyle w:val="FootnoteReference"/>
        </w:rPr>
        <w:footnoteReference w:id="39"/>
      </w:r>
      <w:r>
        <w:t xml:space="preserve">  Locus argues that the NAL and Forfeiture Order lacked the requisite specificity under Section 503(b)(4) of the Act regarding the “act or omission charged,” including the dates on which violations occurred.</w:t>
      </w:r>
      <w:r>
        <w:rPr>
          <w:rStyle w:val="FootnoteReference"/>
        </w:rPr>
        <w:footnoteReference w:id="40"/>
      </w:r>
      <w:r>
        <w:t xml:space="preserve">  Locus again suggests that the Commission must identify specific complaints or consumers harmed by its prepaid calling card practices in order to assess a forfeiture.</w:t>
      </w:r>
      <w:r>
        <w:rPr>
          <w:rStyle w:val="FootnoteReference"/>
        </w:rPr>
        <w:footnoteReference w:id="41"/>
      </w:r>
      <w:r>
        <w:t xml:space="preserve">  But we previously stated in the Forfeiture Order that “the Commission is not required to rely on or refer to consumer complaints in order to investigate and impose forfeitures on common carriers.”</w:t>
      </w:r>
      <w:r>
        <w:rPr>
          <w:rStyle w:val="FootnoteReference"/>
        </w:rPr>
        <w:footnoteReference w:id="42"/>
      </w:r>
      <w:r>
        <w:t xml:space="preserve">  </w:t>
      </w:r>
      <w:r>
        <w:rPr>
          <w:szCs w:val="22"/>
        </w:rPr>
        <w:t>T</w:t>
      </w:r>
      <w:r w:rsidRPr="00D1464F">
        <w:t>he Act empowers the Commission to “investigate and impose forfeitures on common carriers even in the complete absence of consumer complaints.”</w:t>
      </w:r>
      <w:r>
        <w:rPr>
          <w:rStyle w:val="FootnoteReference"/>
        </w:rPr>
        <w:footnoteReference w:id="43"/>
      </w:r>
      <w:r>
        <w:t xml:space="preserve">  We also reminded Locus that “the Commission need not demonstrate actual harm to consumers to find violations of Section 201(b).”</w:t>
      </w:r>
      <w:r>
        <w:rPr>
          <w:rStyle w:val="FootnoteReference"/>
        </w:rPr>
        <w:footnoteReference w:id="44"/>
      </w:r>
      <w:r>
        <w:t xml:space="preserve">  Instead, all that is needed to support an enforcement action “is a determination that the Company has willfully or repeatedly failed to comply with a provision of the Act or an FCC order.”</w:t>
      </w:r>
      <w:r>
        <w:rPr>
          <w:rStyle w:val="FootnoteReference"/>
        </w:rPr>
        <w:footnoteReference w:id="45"/>
      </w:r>
      <w:r>
        <w:t xml:space="preserve">  Under Section 201(b), Locus committed an unreasonable practice because its cards and advertising posters were misleading and Locus did not disclose sufficient countervailing information on its prepaid calling cards and associated advertising materials to allow a customer to calculate the cost of a call.</w:t>
      </w:r>
      <w:r>
        <w:rPr>
          <w:rStyle w:val="FootnoteReference"/>
        </w:rPr>
        <w:footnoteReference w:id="46"/>
      </w:r>
      <w:r>
        <w:t xml:space="preserve">  </w:t>
      </w:r>
      <w:r w:rsidRPr="00FA7FA7">
        <w:t>Finally</w:t>
      </w:r>
      <w:r>
        <w:t xml:space="preserve">, </w:t>
      </w:r>
      <w:r w:rsidRPr="00D52B46">
        <w:rPr>
          <w:szCs w:val="22"/>
        </w:rPr>
        <w:t>Locus states that the Commission based its forfeiture amount “on an arbitrary 125 cards apparently sold during the year preceding the issuance of the NAL.”</w:t>
      </w:r>
      <w:r>
        <w:rPr>
          <w:rStyle w:val="FootnoteReference"/>
          <w:szCs w:val="22"/>
        </w:rPr>
        <w:footnoteReference w:id="47"/>
      </w:r>
      <w:r w:rsidRPr="00D52B46">
        <w:rPr>
          <w:szCs w:val="22"/>
        </w:rPr>
        <w:t xml:space="preserve">  Locus misinterprets the Commission’s findings – the Commission </w:t>
      </w:r>
      <w:r>
        <w:rPr>
          <w:szCs w:val="22"/>
        </w:rPr>
        <w:t>was merely noting that the amount of the forfeiture was equivalent to a base forfeiture applied to 125 violations, not that only 125 violations occurred</w:t>
      </w:r>
      <w:r w:rsidRPr="00D52B46">
        <w:rPr>
          <w:szCs w:val="22"/>
        </w:rPr>
        <w:t>.</w:t>
      </w:r>
      <w:r>
        <w:rPr>
          <w:rStyle w:val="FootnoteReference"/>
          <w:szCs w:val="22"/>
        </w:rPr>
        <w:footnoteReference w:id="48"/>
      </w:r>
      <w:r>
        <w:rPr>
          <w:szCs w:val="22"/>
        </w:rPr>
        <w:t xml:space="preserve">  </w:t>
      </w:r>
    </w:p>
    <w:p w:rsidR="00565B17" w:rsidRPr="008D3C6F" w:rsidRDefault="00565B17" w:rsidP="00565B17">
      <w:pPr>
        <w:pStyle w:val="ParaNum"/>
        <w:widowControl/>
      </w:pPr>
      <w:r w:rsidRPr="00CD1BE1">
        <w:rPr>
          <w:szCs w:val="22"/>
        </w:rPr>
        <w:t>In any event, the Commission has interpreted Section 503(b)(4) flexibly and we previously noted that the statute “does not require exact dates in every context.”</w:t>
      </w:r>
      <w:r w:rsidRPr="003F627C">
        <w:rPr>
          <w:rStyle w:val="FootnoteReference"/>
          <w:szCs w:val="22"/>
        </w:rPr>
        <w:footnoteReference w:id="49"/>
      </w:r>
      <w:r w:rsidRPr="00CD1BE1">
        <w:rPr>
          <w:szCs w:val="22"/>
        </w:rPr>
        <w:t xml:space="preserve">  As in the present case, when a carrier engages in an unjust or unreasonable “practice” under Section 201(b), we interpret the language of Section 503(b)(4)—“the date on which such conduct occurred”—to refer to the </w:t>
      </w:r>
      <w:r w:rsidRPr="00CD1BE1">
        <w:rPr>
          <w:i/>
          <w:szCs w:val="22"/>
        </w:rPr>
        <w:t>time period</w:t>
      </w:r>
      <w:r w:rsidRPr="00CD1BE1">
        <w:rPr>
          <w:szCs w:val="22"/>
        </w:rPr>
        <w:t xml:space="preserve"> during which the unlawful “practice” giving rise to the violation occurred.</w:t>
      </w:r>
      <w:r>
        <w:rPr>
          <w:rStyle w:val="FootnoteReference"/>
          <w:szCs w:val="22"/>
        </w:rPr>
        <w:footnoteReference w:id="50"/>
      </w:r>
      <w:r w:rsidRPr="00CD1BE1">
        <w:rPr>
          <w:szCs w:val="22"/>
        </w:rPr>
        <w:t xml:space="preserve">  Thus, an NAL satisfies Section 503(b)(4)’s date requirement if it specifies the applicable time period within which the carrier engaged in the unlawful practice or conduct.</w:t>
      </w:r>
      <w:r>
        <w:rPr>
          <w:rStyle w:val="FootnoteReference"/>
          <w:szCs w:val="22"/>
        </w:rPr>
        <w:footnoteReference w:id="51"/>
      </w:r>
      <w:r w:rsidRPr="00CD1BE1">
        <w:rPr>
          <w:szCs w:val="22"/>
        </w:rPr>
        <w:t xml:space="preserve">  This interpretation provides a practical reading of the statute and also gives effect to our interpretation of “practice” as used in Section 201(b),</w:t>
      </w:r>
      <w:r w:rsidRPr="003F627C">
        <w:rPr>
          <w:rStyle w:val="FootnoteReference"/>
          <w:szCs w:val="22"/>
        </w:rPr>
        <w:footnoteReference w:id="52"/>
      </w:r>
      <w:r w:rsidRPr="00CD1BE1">
        <w:rPr>
          <w:szCs w:val="22"/>
        </w:rPr>
        <w:t xml:space="preserve"> while still providing sufficient information to satisfy Section 503(b)(4) of the Act.  As such, the Commission satisfied the notice requirements of Section 503(b)(4) by identifying: (1) the specific provision of the Act that Locus violated (Section 201(b)); (2) the nature of Locus’s conduct that violated the Act (deceptive marketing of prepaid calling cards); and (3) the time period during which such conduct occurred (the year preceding the NAL’s release).</w:t>
      </w:r>
      <w:r>
        <w:rPr>
          <w:rStyle w:val="FootnoteReference"/>
          <w:szCs w:val="22"/>
        </w:rPr>
        <w:footnoteReference w:id="53"/>
      </w:r>
      <w:r>
        <w:rPr>
          <w:szCs w:val="22"/>
        </w:rPr>
        <w:t xml:space="preserve">  Accordingly, Locus</w:t>
      </w:r>
      <w:r w:rsidRPr="00CD1BE1">
        <w:rPr>
          <w:szCs w:val="22"/>
        </w:rPr>
        <w:t>’s Section 503(b)(4) claims are without merit and denied.</w:t>
      </w:r>
    </w:p>
    <w:p w:rsidR="00565B17" w:rsidRPr="008C2563" w:rsidRDefault="00565B17" w:rsidP="00565B17">
      <w:pPr>
        <w:pStyle w:val="ParaNum"/>
        <w:widowControl/>
      </w:pPr>
      <w:r w:rsidRPr="002C4A8E">
        <w:rPr>
          <w:szCs w:val="22"/>
        </w:rPr>
        <w:t>We also reject Locus’s repeated claim that that Commission failed to justify the forfeiture amount.</w:t>
      </w:r>
      <w:r>
        <w:rPr>
          <w:rStyle w:val="FootnoteReference"/>
          <w:szCs w:val="22"/>
        </w:rPr>
        <w:footnoteReference w:id="54"/>
      </w:r>
      <w:r>
        <w:t xml:space="preserve">  </w:t>
      </w:r>
      <w:r w:rsidRPr="00344C0B">
        <w:t xml:space="preserve">The </w:t>
      </w:r>
      <w:r>
        <w:t>Commission issued</w:t>
      </w:r>
      <w:r w:rsidRPr="00344C0B">
        <w:t xml:space="preserve"> </w:t>
      </w:r>
      <w:r>
        <w:t>the</w:t>
      </w:r>
      <w:r w:rsidRPr="00344C0B">
        <w:t xml:space="preserve"> forfeiture in this case in accordance with Section 503(b) of </w:t>
      </w:r>
      <w:r>
        <w:t>the Act</w:t>
      </w:r>
      <w:r w:rsidRPr="00344C0B">
        <w:t>,</w:t>
      </w:r>
      <w:r w:rsidRPr="0007571D">
        <w:rPr>
          <w:rStyle w:val="FootnoteReference"/>
        </w:rPr>
        <w:footnoteReference w:id="55"/>
      </w:r>
      <w:r w:rsidRPr="0007571D">
        <w:t xml:space="preserve"> Section 1.80 of the </w:t>
      </w:r>
      <w:r>
        <w:t>Commission’s rules (Rules)</w:t>
      </w:r>
      <w:r w:rsidRPr="0007571D">
        <w:t>,</w:t>
      </w:r>
      <w:r w:rsidRPr="0007571D">
        <w:rPr>
          <w:vertAlign w:val="superscript"/>
        </w:rPr>
        <w:footnoteReference w:id="56"/>
      </w:r>
      <w:r w:rsidRPr="0007571D">
        <w:t xml:space="preserve"> and the Commissi</w:t>
      </w:r>
      <w:r w:rsidRPr="00344C0B">
        <w:t xml:space="preserve">on’s </w:t>
      </w:r>
      <w:r w:rsidRPr="002C4A8E">
        <w:rPr>
          <w:i/>
        </w:rPr>
        <w:t xml:space="preserve">Forfeiture Policy </w:t>
      </w:r>
      <w:r w:rsidRPr="004E29B9">
        <w:rPr>
          <w:rFonts w:eastAsia="MS Mincho"/>
          <w:i/>
          <w:szCs w:val="22"/>
        </w:rPr>
        <w:t>Statement</w:t>
      </w:r>
      <w:r w:rsidRPr="00344C0B">
        <w:t>.</w:t>
      </w:r>
      <w:r w:rsidRPr="0007571D">
        <w:rPr>
          <w:rStyle w:val="FootnoteReference"/>
          <w:szCs w:val="22"/>
        </w:rPr>
        <w:footnoteReference w:id="57"/>
      </w:r>
      <w:r w:rsidRPr="0007571D">
        <w:t xml:space="preserve">  </w:t>
      </w:r>
      <w:r w:rsidRPr="00344C0B">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Pr="0007571D">
        <w:rPr>
          <w:vertAlign w:val="superscript"/>
        </w:rPr>
        <w:footnoteReference w:id="58"/>
      </w:r>
      <w:r>
        <w:t xml:space="preserve">  In this case, the Commission considered each of these factors and determined that a </w:t>
      </w:r>
      <w:r w:rsidRPr="002C4A8E">
        <w:rPr>
          <w:szCs w:val="22"/>
        </w:rPr>
        <w:t>$5,000,000 forfeiture took into account “the extent and gravity of Locus’s egregious conduct, as well as its culpability.”</w:t>
      </w:r>
      <w:r>
        <w:rPr>
          <w:rStyle w:val="FootnoteReference"/>
          <w:szCs w:val="22"/>
        </w:rPr>
        <w:footnoteReference w:id="59"/>
      </w:r>
      <w:r w:rsidRPr="002C4A8E">
        <w:rPr>
          <w:szCs w:val="22"/>
        </w:rPr>
        <w:t xml:space="preserve">  The Commission further determined that the forfeiture </w:t>
      </w:r>
      <w:r>
        <w:t>must be significant enough to “protect the interests of consumers and serve as an adequate deterrent,” while recognizing “Locus’s failure to adequately provide material information about its rates to thousands of consumers who purchased the Company’s prepaid cards.”</w:t>
      </w:r>
      <w:r>
        <w:rPr>
          <w:rStyle w:val="FootnoteReference"/>
        </w:rPr>
        <w:footnoteReference w:id="60"/>
      </w:r>
      <w:r>
        <w:t xml:space="preserve">  </w:t>
      </w:r>
      <w:r w:rsidRPr="002C4A8E">
        <w:rPr>
          <w:szCs w:val="22"/>
        </w:rPr>
        <w:t>Also pursuant to such considerations, the Commission exercised its discretion in setting the forfeiture amount</w:t>
      </w:r>
      <w:r>
        <w:rPr>
          <w:szCs w:val="22"/>
        </w:rPr>
        <w:t xml:space="preserve"> at the equivalent of only 125 violations, rather than applying the base forfeiture amount to every one of the hundreds of Locus </w:t>
      </w:r>
      <w:r w:rsidRPr="002C4A8E">
        <w:rPr>
          <w:szCs w:val="22"/>
        </w:rPr>
        <w:t>cards sold each day</w:t>
      </w:r>
      <w:r>
        <w:rPr>
          <w:szCs w:val="22"/>
        </w:rPr>
        <w:t>.</w:t>
      </w:r>
      <w:r>
        <w:rPr>
          <w:rStyle w:val="FootnoteReference"/>
          <w:szCs w:val="22"/>
        </w:rPr>
        <w:footnoteReference w:id="61"/>
      </w:r>
      <w:r>
        <w:rPr>
          <w:szCs w:val="22"/>
        </w:rPr>
        <w:t xml:space="preserve">  Having considered such factors in both the NAL and Forfeiture Order, we find the forfeiture assessment proper and see no reason to reconsider it here. </w:t>
      </w:r>
    </w:p>
    <w:p w:rsidR="00565B17" w:rsidRDefault="00565B17" w:rsidP="00565B17">
      <w:pPr>
        <w:pStyle w:val="ParaNum"/>
      </w:pPr>
      <w:r>
        <w:rPr>
          <w:szCs w:val="22"/>
        </w:rPr>
        <w:t>Locus also argues that if the Commission can base its violation findings on a time period during which deceptive marketing occurred, it cannot find that “each alleged card sale constituted a separate violation of Section 201(b).”</w:t>
      </w:r>
      <w:r>
        <w:rPr>
          <w:rStyle w:val="FootnoteReference"/>
          <w:szCs w:val="22"/>
        </w:rPr>
        <w:footnoteReference w:id="62"/>
      </w:r>
      <w:r>
        <w:t xml:space="preserve">  </w:t>
      </w:r>
      <w:r>
        <w:rPr>
          <w:szCs w:val="22"/>
        </w:rPr>
        <w:t>However, Locus</w:t>
      </w:r>
      <w:r w:rsidRPr="00013A9E">
        <w:rPr>
          <w:szCs w:val="22"/>
        </w:rPr>
        <w:t xml:space="preserve"> offers no legal support for this proposition and we find nothing to suggest that identifying the relevant time period during which violations took place in accordance with Section 503(b)(4) precludes us from assessing a forfeiture </w:t>
      </w:r>
      <w:r>
        <w:rPr>
          <w:szCs w:val="22"/>
        </w:rPr>
        <w:t>for each calling card sold.</w:t>
      </w:r>
      <w:r>
        <w:t xml:space="preserve">  </w:t>
      </w:r>
      <w:r w:rsidRPr="00013A9E">
        <w:rPr>
          <w:szCs w:val="22"/>
        </w:rPr>
        <w:t>As we previously stated:</w:t>
      </w:r>
    </w:p>
    <w:p w:rsidR="00565B17" w:rsidRDefault="00565B17" w:rsidP="00565B17">
      <w:pPr>
        <w:pStyle w:val="ParaNum"/>
        <w:widowControl/>
        <w:numPr>
          <w:ilvl w:val="0"/>
          <w:numId w:val="0"/>
        </w:numPr>
        <w:ind w:left="720" w:right="720"/>
        <w:jc w:val="both"/>
        <w:rPr>
          <w:szCs w:val="22"/>
        </w:rPr>
      </w:pPr>
      <w:r>
        <w:rPr>
          <w:szCs w:val="22"/>
        </w:rPr>
        <w:t>[T]he very nature of an unlawful ‘</w:t>
      </w:r>
      <w:r w:rsidRPr="00387601">
        <w:rPr>
          <w:szCs w:val="22"/>
        </w:rPr>
        <w:t>practice</w:t>
      </w:r>
      <w:r>
        <w:rPr>
          <w:szCs w:val="22"/>
        </w:rPr>
        <w:t>’</w:t>
      </w:r>
      <w:r w:rsidRPr="00387601">
        <w:rPr>
          <w:szCs w:val="22"/>
        </w:rPr>
        <w:t xml:space="preserve"> under Section 201(b) is that it may include activities that are repeated over time and is not merely a discrete event on a single day.</w:t>
      </w:r>
      <w:r>
        <w:rPr>
          <w:szCs w:val="22"/>
        </w:rPr>
        <w:t xml:space="preserve">  </w:t>
      </w:r>
      <w:r w:rsidRPr="00387601">
        <w:rPr>
          <w:szCs w:val="22"/>
        </w:rPr>
        <w:t xml:space="preserve">The violations charged in this case included the unlawful </w:t>
      </w:r>
      <w:r w:rsidRPr="00387601">
        <w:rPr>
          <w:i/>
          <w:szCs w:val="22"/>
        </w:rPr>
        <w:t>practices</w:t>
      </w:r>
      <w:r w:rsidRPr="00387601">
        <w:rPr>
          <w:szCs w:val="22"/>
        </w:rPr>
        <w:t xml:space="preserve"> of making deceptive misrepresentations and failing to disclose material information about rates, charges, and practices at the point of sale for each calling card sold</w:t>
      </w:r>
      <w:r>
        <w:rPr>
          <w:szCs w:val="22"/>
        </w:rPr>
        <w:t>.</w:t>
      </w:r>
      <w:r>
        <w:rPr>
          <w:rStyle w:val="FootnoteReference"/>
          <w:szCs w:val="22"/>
        </w:rPr>
        <w:footnoteReference w:id="63"/>
      </w:r>
      <w:r>
        <w:rPr>
          <w:szCs w:val="22"/>
        </w:rPr>
        <w:t xml:space="preserve">  </w:t>
      </w:r>
    </w:p>
    <w:p w:rsidR="00565B17" w:rsidRDefault="00565B17" w:rsidP="00565B17">
      <w:pPr>
        <w:pStyle w:val="ParaNum"/>
        <w:widowControl/>
        <w:numPr>
          <w:ilvl w:val="0"/>
          <w:numId w:val="0"/>
        </w:numPr>
      </w:pPr>
      <w:r>
        <w:rPr>
          <w:szCs w:val="22"/>
        </w:rPr>
        <w:t>Likewise, in the present case, the violations involved inadequate advertising disclosures in connection with transactions that occurred with multiple consumers in multiple locations on multiple days; the violations were not a discrete event.  Accordingly, t</w:t>
      </w:r>
      <w:r>
        <w:t>he Commission made clear that each card sold involved the same deceptive marketing practice (misleading cost disclosures that presented insufficient information to calculate the cost of a call) that violated the Act.</w:t>
      </w:r>
      <w:r>
        <w:rPr>
          <w:rStyle w:val="FootnoteReference"/>
        </w:rPr>
        <w:footnoteReference w:id="64"/>
      </w:r>
      <w:r>
        <w:t xml:space="preserve">  </w:t>
      </w:r>
      <w:r w:rsidRPr="00710BCB">
        <w:rPr>
          <w:szCs w:val="22"/>
        </w:rPr>
        <w:t>Thus, the Commission</w:t>
      </w:r>
      <w:r>
        <w:rPr>
          <w:szCs w:val="22"/>
        </w:rPr>
        <w:t xml:space="preserve"> found that Locus’s deceptive marketing </w:t>
      </w:r>
      <w:r w:rsidRPr="00710BCB">
        <w:rPr>
          <w:szCs w:val="22"/>
        </w:rPr>
        <w:t>of each prepaid calli</w:t>
      </w:r>
      <w:r>
        <w:rPr>
          <w:szCs w:val="22"/>
        </w:rPr>
        <w:t xml:space="preserve">ng card to consumers constituted a separate </w:t>
      </w:r>
      <w:r w:rsidRPr="00710BCB">
        <w:rPr>
          <w:szCs w:val="22"/>
        </w:rPr>
        <w:t>violation of Section 201(b)</w:t>
      </w:r>
      <w:r>
        <w:rPr>
          <w:szCs w:val="22"/>
        </w:rPr>
        <w:t xml:space="preserve"> and properly calculated the forfeiture to account for the violations’ egregiousness, Locus’s culpability, and the need to ensure that deceptive marketing forfeitures “are not considered merely an affordable cost of doing business</w:t>
      </w:r>
      <w:r w:rsidRPr="00710BCB">
        <w:rPr>
          <w:szCs w:val="22"/>
        </w:rPr>
        <w:t>.</w:t>
      </w:r>
      <w:r>
        <w:rPr>
          <w:szCs w:val="22"/>
        </w:rPr>
        <w:t>”</w:t>
      </w:r>
      <w:r>
        <w:rPr>
          <w:rStyle w:val="FootnoteReference"/>
          <w:szCs w:val="22"/>
        </w:rPr>
        <w:footnoteReference w:id="65"/>
      </w:r>
      <w:r w:rsidRPr="00710BCB">
        <w:rPr>
          <w:szCs w:val="22"/>
        </w:rPr>
        <w:t xml:space="preserve">  </w:t>
      </w:r>
      <w:r>
        <w:rPr>
          <w:szCs w:val="22"/>
        </w:rPr>
        <w:t>Locus advances no argument or new fact that warrants reconsideration of these findings.</w:t>
      </w:r>
      <w:r>
        <w:rPr>
          <w:rStyle w:val="FootnoteReference"/>
          <w:szCs w:val="22"/>
        </w:rPr>
        <w:footnoteReference w:id="66"/>
      </w:r>
      <w:r w:rsidRPr="00710BCB">
        <w:rPr>
          <w:szCs w:val="22"/>
        </w:rPr>
        <w:t xml:space="preserve">  </w:t>
      </w:r>
    </w:p>
    <w:p w:rsidR="00565B17" w:rsidRPr="0007571D" w:rsidRDefault="00565B17" w:rsidP="00565B17">
      <w:pPr>
        <w:pStyle w:val="Heading1"/>
      </w:pPr>
      <w:r w:rsidRPr="00344C0B">
        <w:t>CONCLUSION</w:t>
      </w:r>
    </w:p>
    <w:p w:rsidR="00565B17" w:rsidRPr="00A020A9" w:rsidRDefault="00565B17" w:rsidP="00565B17">
      <w:pPr>
        <w:pStyle w:val="ParaNum"/>
      </w:pPr>
      <w:r w:rsidRPr="00344C0B">
        <w:t xml:space="preserve">Based on the record before us and in light of the applicable statutory factors, we </w:t>
      </w:r>
      <w:r>
        <w:t xml:space="preserve">affirm our conclusion </w:t>
      </w:r>
      <w:r w:rsidRPr="00344C0B">
        <w:t xml:space="preserve">that </w:t>
      </w:r>
      <w:r>
        <w:t>Locus</w:t>
      </w:r>
      <w:r w:rsidRPr="0007571D">
        <w:t xml:space="preserve"> willfully and repeatedly violated </w:t>
      </w:r>
      <w:r>
        <w:t>Section 201(b) of the Act by deceptively marketing its prepaid telephone calling cards, making it impossible for consumers to calculate the cost of a call.</w:t>
      </w:r>
      <w:r>
        <w:rPr>
          <w:rStyle w:val="FootnoteReference"/>
        </w:rPr>
        <w:footnoteReference w:id="67"/>
      </w:r>
      <w:r>
        <w:t xml:space="preserve">  We further affirm our decision not to cancel or reduce the $5,000,000 forfeiture.  </w:t>
      </w:r>
      <w:r w:rsidRPr="00A020A9">
        <w:t xml:space="preserve">   </w:t>
      </w:r>
    </w:p>
    <w:p w:rsidR="00565B17" w:rsidRPr="00344C0B" w:rsidRDefault="00565B17" w:rsidP="00565B17">
      <w:pPr>
        <w:pStyle w:val="Heading1"/>
      </w:pPr>
      <w:r w:rsidRPr="00344C0B">
        <w:t>ORDERING CLAUSES</w:t>
      </w:r>
    </w:p>
    <w:p w:rsidR="00565B17" w:rsidRPr="00193A4F" w:rsidRDefault="00565B17" w:rsidP="00565B17">
      <w:pPr>
        <w:pStyle w:val="ParaNum"/>
        <w:widowControl/>
      </w:pPr>
      <w:r w:rsidRPr="00193A4F">
        <w:t xml:space="preserve">Accordingly, </w:t>
      </w:r>
      <w:r w:rsidRPr="00193A4F">
        <w:rPr>
          <w:b/>
        </w:rPr>
        <w:t xml:space="preserve">IT IS ORDERED </w:t>
      </w:r>
      <w:r w:rsidRPr="00193A4F">
        <w:t>that, pursuan</w:t>
      </w:r>
      <w:r>
        <w:t>t to Section 405 of the Act</w:t>
      </w:r>
      <w:r w:rsidRPr="00193A4F">
        <w:t xml:space="preserve"> and Section 1.106 of the Rules, the Petition for Reconsideration filed by </w:t>
      </w:r>
      <w:r>
        <w:rPr>
          <w:szCs w:val="22"/>
        </w:rPr>
        <w:t>Locus Telecommunications, Inc.,</w:t>
      </w:r>
      <w:r w:rsidRPr="00193A4F">
        <w:rPr>
          <w:spacing w:val="-2"/>
        </w:rPr>
        <w:t xml:space="preserve"> is hereby </w:t>
      </w:r>
      <w:r>
        <w:rPr>
          <w:b/>
        </w:rPr>
        <w:t>DISMISSED IN PART AND</w:t>
      </w:r>
      <w:r>
        <w:t>, in remaining part,</w:t>
      </w:r>
      <w:r>
        <w:rPr>
          <w:b/>
        </w:rPr>
        <w:t xml:space="preserve"> DENIED</w:t>
      </w:r>
      <w:r w:rsidRPr="00193A4F">
        <w:t>.</w:t>
      </w:r>
      <w:r w:rsidRPr="00193A4F">
        <w:rPr>
          <w:rStyle w:val="FootnoteReference"/>
        </w:rPr>
        <w:footnoteReference w:id="68"/>
      </w:r>
    </w:p>
    <w:p w:rsidR="00565B17" w:rsidRPr="00193A4F" w:rsidRDefault="00565B17" w:rsidP="001A4CB5">
      <w:pPr>
        <w:pStyle w:val="ParaNum"/>
        <w:widowControl/>
      </w:pPr>
      <w:r w:rsidRPr="00193A4F">
        <w:rPr>
          <w:b/>
        </w:rPr>
        <w:t>IT IS FURTHER ORDERED</w:t>
      </w:r>
      <w:r w:rsidRPr="00193A4F">
        <w:t xml:space="preserve"> that, pursuant to Sectio</w:t>
      </w:r>
      <w:r>
        <w:t>n 503(b) of the Act and Section</w:t>
      </w:r>
      <w:r w:rsidRPr="00193A4F">
        <w:t xml:space="preserve"> 1.80 of the Rules, </w:t>
      </w:r>
      <w:r>
        <w:rPr>
          <w:szCs w:val="22"/>
        </w:rPr>
        <w:t>Locus Telecommunications, Inc.,</w:t>
      </w:r>
      <w:r w:rsidRPr="00193A4F">
        <w:rPr>
          <w:spacing w:val="-2"/>
        </w:rPr>
        <w:t xml:space="preserve"> </w:t>
      </w:r>
      <w:r w:rsidRPr="00193A4F">
        <w:rPr>
          <w:b/>
        </w:rPr>
        <w:t>IS LIABLE FOR A MONETARY FORFEITURE</w:t>
      </w:r>
      <w:r w:rsidRPr="00193A4F">
        <w:t xml:space="preserve"> of </w:t>
      </w:r>
      <w:r>
        <w:t xml:space="preserve">five million dollars ($5,000,000) </w:t>
      </w:r>
      <w:r w:rsidRPr="00193A4F">
        <w:t xml:space="preserve">for willfully </w:t>
      </w:r>
      <w:r w:rsidRPr="002A6579">
        <w:t>and repeatedly</w:t>
      </w:r>
      <w:r w:rsidRPr="00193A4F">
        <w:t xml:space="preserve"> violating </w:t>
      </w:r>
      <w:r>
        <w:t>Section 201(b) of the Act</w:t>
      </w:r>
      <w:r w:rsidRPr="00193A4F">
        <w:t>.</w:t>
      </w:r>
      <w:r w:rsidRPr="00193A4F">
        <w:rPr>
          <w:rStyle w:val="FootnoteReference"/>
        </w:rPr>
        <w:footnoteReference w:id="69"/>
      </w:r>
    </w:p>
    <w:p w:rsidR="00565B17" w:rsidRPr="00193A4F" w:rsidRDefault="00565B17" w:rsidP="00565B17">
      <w:pPr>
        <w:pStyle w:val="ParaNum"/>
        <w:widowControl/>
        <w:tabs>
          <w:tab w:val="left" w:pos="360"/>
        </w:tabs>
        <w:rPr>
          <w:rFonts w:eastAsia="MS Mincho"/>
          <w:color w:val="000000"/>
          <w:szCs w:val="22"/>
        </w:rPr>
      </w:pPr>
      <w:r w:rsidRPr="00193A4F">
        <w:rPr>
          <w:rFonts w:eastAsia="MS Mincho"/>
          <w:szCs w:val="22"/>
        </w:rPr>
        <w:t>Payment of the forfeiture shall be made in the manner provided for in Section 1.80 of the Rules within thirty (30) calendar days after the release date of this Memorandum Opinion and Order.</w:t>
      </w:r>
      <w:r w:rsidRPr="00193A4F">
        <w:rPr>
          <w:rStyle w:val="FootnoteReference"/>
          <w:rFonts w:eastAsia="MS Mincho"/>
          <w:szCs w:val="22"/>
        </w:rPr>
        <w:footnoteReference w:id="70"/>
      </w:r>
      <w:r w:rsidRPr="00193A4F">
        <w:rPr>
          <w:rFonts w:eastAsia="MS Mincho"/>
          <w:szCs w:val="22"/>
        </w:rPr>
        <w:t xml:space="preserve">   </w:t>
      </w:r>
    </w:p>
    <w:p w:rsidR="00565B17" w:rsidRPr="00193A4F" w:rsidRDefault="00565B17" w:rsidP="00565B17">
      <w:pPr>
        <w:pStyle w:val="ParaNum"/>
        <w:widowControl/>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Pr>
          <w:szCs w:val="22"/>
        </w:rPr>
        <w:t>Locus Telecommunications, Inc.,</w:t>
      </w:r>
      <w:r w:rsidRPr="006D73F2">
        <w:rPr>
          <w:szCs w:val="22"/>
        </w:rPr>
        <w:t xml:space="preserve"> shall send electronic notification </w:t>
      </w:r>
      <w:r>
        <w:rPr>
          <w:szCs w:val="22"/>
        </w:rPr>
        <w:t xml:space="preserve">of </w:t>
      </w:r>
      <w:r w:rsidRPr="006D73F2">
        <w:rPr>
          <w:szCs w:val="22"/>
        </w:rPr>
        <w:t xml:space="preserve">payment to </w:t>
      </w:r>
      <w:r w:rsidR="0061799C">
        <w:rPr>
          <w:szCs w:val="22"/>
        </w:rPr>
        <w:t>Lisa Williford</w:t>
      </w:r>
      <w:r w:rsidRPr="006D73F2">
        <w:rPr>
          <w:szCs w:val="22"/>
        </w:rPr>
        <w:t xml:space="preserve"> at </w:t>
      </w:r>
      <w:r w:rsidR="0061799C">
        <w:rPr>
          <w:szCs w:val="22"/>
        </w:rPr>
        <w:t>Lisa</w:t>
      </w:r>
      <w:r>
        <w:rPr>
          <w:szCs w:val="22"/>
        </w:rPr>
        <w:t>.</w:t>
      </w:r>
      <w:r w:rsidR="0061799C">
        <w:rPr>
          <w:szCs w:val="22"/>
        </w:rPr>
        <w:t>Williford</w:t>
      </w:r>
      <w:r w:rsidRPr="006D73F2">
        <w:rPr>
          <w:szCs w:val="22"/>
        </w:rPr>
        <w:t>@fcc.gov on the date said payment is made.</w:t>
      </w:r>
      <w:r>
        <w:rPr>
          <w:szCs w:val="22"/>
        </w:rPr>
        <w:t xml:space="preserve">  </w:t>
      </w:r>
      <w:r w:rsidRPr="00193A4F">
        <w:rPr>
          <w:rFonts w:eastAsia="MS Mincho"/>
          <w:szCs w:val="22"/>
        </w:rPr>
        <w:t>Regardless of the form of payment, a completed FCC Form 159 (Remittance Advice) must be submitted.</w:t>
      </w:r>
      <w:r w:rsidRPr="00193A4F">
        <w:rPr>
          <w:rStyle w:val="FootnoteReference"/>
          <w:rFonts w:eastAsia="MS Mincho"/>
          <w:szCs w:val="22"/>
        </w:rPr>
        <w:footnoteReference w:id="71"/>
      </w:r>
      <w:r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Pr="00193A4F">
        <w:rPr>
          <w:color w:val="000000"/>
          <w:szCs w:val="22"/>
        </w:rPr>
        <w:t xml:space="preserve">  </w:t>
      </w:r>
    </w:p>
    <w:p w:rsidR="00565B17" w:rsidRPr="00193A4F" w:rsidRDefault="00565B17" w:rsidP="00565B17">
      <w:pPr>
        <w:pStyle w:val="ParaNum"/>
        <w:keepLines/>
        <w:widowControl/>
        <w:numPr>
          <w:ilvl w:val="0"/>
          <w:numId w:val="7"/>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565B17" w:rsidRPr="00193A4F" w:rsidRDefault="00565B17" w:rsidP="00565B17">
      <w:pPr>
        <w:pStyle w:val="ParaNum"/>
        <w:keepNext/>
        <w:keepLines/>
        <w:widowControl/>
        <w:numPr>
          <w:ilvl w:val="0"/>
          <w:numId w:val="7"/>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65B17" w:rsidRPr="00193A4F" w:rsidRDefault="00565B17" w:rsidP="00565B17">
      <w:pPr>
        <w:pStyle w:val="ParaNum"/>
        <w:widowControl/>
        <w:numPr>
          <w:ilvl w:val="0"/>
          <w:numId w:val="7"/>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565B17" w:rsidRDefault="00565B17" w:rsidP="00565B17">
      <w:pPr>
        <w:pStyle w:val="ParaNum"/>
        <w:widowControl/>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193A4F">
        <w:rPr>
          <w:rStyle w:val="FootnoteReference"/>
          <w:rFonts w:eastAsia="MS Mincho"/>
          <w:szCs w:val="22"/>
        </w:rPr>
        <w:footnoteReference w:id="72"/>
      </w:r>
      <w:r w:rsidRPr="00193A4F">
        <w:rPr>
          <w:rFonts w:eastAsia="MS Mincho"/>
          <w:szCs w:val="22"/>
        </w:rPr>
        <w:t xml:space="preserve">  Questions regarding payment procedures should be directed to the Financial Operations Group Help Desk by phone, 1-877-480-3201, or by e</w:t>
      </w:r>
      <w:r w:rsidRPr="00193A4F">
        <w:rPr>
          <w:rFonts w:eastAsia="MS Mincho"/>
          <w:szCs w:val="22"/>
        </w:rPr>
        <w:noBreakHyphen/>
        <w:t>mail, ARINQUIRIES@fcc.gov. </w:t>
      </w:r>
    </w:p>
    <w:p w:rsidR="00565B17" w:rsidRPr="005B0B8A" w:rsidRDefault="00565B17" w:rsidP="005B0B8A">
      <w:pPr>
        <w:pStyle w:val="ParaNum"/>
        <w:keepNext/>
        <w:keepLines/>
        <w:widowControl/>
        <w:rPr>
          <w:rFonts w:eastAsia="MS Mincho"/>
        </w:rPr>
      </w:pPr>
      <w:r w:rsidRPr="00734D0F">
        <w:rPr>
          <w:b/>
          <w:szCs w:val="22"/>
        </w:rPr>
        <w:t>IT IS FURTHER ORDERED</w:t>
      </w:r>
      <w:r w:rsidRPr="00734D0F">
        <w:rPr>
          <w:szCs w:val="22"/>
        </w:rPr>
        <w:t xml:space="preserve"> that a copy of this Memorandum Opinion and Order</w:t>
      </w:r>
      <w:r w:rsidRPr="00E04EF9">
        <w:t xml:space="preserve"> </w:t>
      </w:r>
      <w:r w:rsidRPr="00D13731">
        <w:rPr>
          <w:color w:val="000000"/>
          <w:szCs w:val="22"/>
        </w:rPr>
        <w:t>shall be sent by first class mail and certified mail, return receipt requested, to Locus Telecommunications, Inc., Attention: Yasunori Matsuda, Chief Executive Officer; Andrew Miesiak, Chairman/Senior Officer; and Michael Morrissey, President/Senior Officer, 2200 Fletcher Avenue, Suite 600, Fort Lee, NJ, 07024; and to Jonathan S. Marashlian, Esq., Marashlian &amp; Donahue, PLLC, 1420 Spring Hill Road, Suite 401, McLean, Virginia, 22102.</w:t>
      </w:r>
    </w:p>
    <w:p w:rsidR="00565B17" w:rsidRPr="00344C0B" w:rsidRDefault="00565B17" w:rsidP="005B0B8A">
      <w:pPr>
        <w:keepNext/>
        <w:keepLines/>
        <w:widowControl/>
      </w:pPr>
    </w:p>
    <w:p w:rsidR="00565B17" w:rsidRPr="00344C0B" w:rsidRDefault="00565B17" w:rsidP="005B0B8A">
      <w:pPr>
        <w:keepNext/>
        <w:keepLines/>
        <w:widowControl/>
        <w:ind w:left="4410"/>
      </w:pPr>
      <w:r w:rsidRPr="00344C0B">
        <w:t>FEDERAL COMMUNICATIONS COMMISSION</w:t>
      </w:r>
    </w:p>
    <w:p w:rsidR="00565B17" w:rsidRPr="00344C0B" w:rsidRDefault="00565B17" w:rsidP="005B0B8A">
      <w:pPr>
        <w:keepNext/>
        <w:keepLines/>
        <w:widowControl/>
        <w:ind w:left="4410"/>
      </w:pPr>
    </w:p>
    <w:p w:rsidR="00565B17" w:rsidRPr="00344C0B" w:rsidRDefault="00565B17" w:rsidP="005B0B8A">
      <w:pPr>
        <w:keepNext/>
        <w:keepLines/>
        <w:widowControl/>
        <w:ind w:left="4410"/>
      </w:pPr>
    </w:p>
    <w:p w:rsidR="00565B17" w:rsidRPr="00344C0B" w:rsidRDefault="00565B17" w:rsidP="005B0B8A">
      <w:pPr>
        <w:keepNext/>
        <w:keepLines/>
        <w:widowControl/>
        <w:ind w:left="4410"/>
      </w:pPr>
    </w:p>
    <w:p w:rsidR="00565B17" w:rsidRPr="00344C0B" w:rsidRDefault="00565B17" w:rsidP="005B0B8A">
      <w:pPr>
        <w:keepNext/>
        <w:keepLines/>
        <w:widowControl/>
        <w:ind w:left="4410"/>
      </w:pPr>
    </w:p>
    <w:p w:rsidR="00565B17" w:rsidRPr="006D73F2" w:rsidRDefault="00565B17" w:rsidP="005B0B8A">
      <w:pPr>
        <w:keepNext/>
        <w:keepLines/>
        <w:widowControl/>
        <w:ind w:left="4410"/>
        <w:rPr>
          <w:szCs w:val="22"/>
        </w:rPr>
      </w:pPr>
      <w:r w:rsidRPr="006D73F2">
        <w:rPr>
          <w:szCs w:val="22"/>
        </w:rPr>
        <w:t>Marlene H. Dortch</w:t>
      </w:r>
    </w:p>
    <w:p w:rsidR="00990FB9" w:rsidRDefault="00565B17" w:rsidP="005B0B8A">
      <w:pPr>
        <w:keepNext/>
        <w:keepLines/>
        <w:widowControl/>
        <w:ind w:left="4410"/>
        <w:rPr>
          <w:szCs w:val="22"/>
        </w:rPr>
        <w:sectPr w:rsidR="00990FB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6D73F2">
        <w:rPr>
          <w:szCs w:val="22"/>
        </w:rPr>
        <w:t>Secretary</w:t>
      </w:r>
    </w:p>
    <w:p w:rsidR="00990FB9" w:rsidRPr="005577AD" w:rsidRDefault="00990FB9" w:rsidP="00990FB9">
      <w:pPr>
        <w:jc w:val="center"/>
        <w:rPr>
          <w:b/>
          <w:bCs/>
          <w:caps/>
          <w:szCs w:val="22"/>
        </w:rPr>
      </w:pPr>
      <w:r w:rsidRPr="005577AD">
        <w:rPr>
          <w:b/>
          <w:bCs/>
          <w:caps/>
          <w:szCs w:val="22"/>
        </w:rPr>
        <w:t>Statement of</w:t>
      </w:r>
    </w:p>
    <w:p w:rsidR="00990FB9" w:rsidRPr="005577AD" w:rsidRDefault="00990FB9" w:rsidP="00990FB9">
      <w:pPr>
        <w:jc w:val="center"/>
        <w:rPr>
          <w:b/>
          <w:bCs/>
          <w:caps/>
          <w:szCs w:val="22"/>
        </w:rPr>
      </w:pPr>
      <w:r>
        <w:rPr>
          <w:b/>
          <w:bCs/>
          <w:caps/>
          <w:szCs w:val="22"/>
        </w:rPr>
        <w:t>Chairman TOM WHEELER</w:t>
      </w:r>
    </w:p>
    <w:p w:rsidR="00990FB9" w:rsidRPr="005577AD" w:rsidRDefault="00990FB9" w:rsidP="00990FB9">
      <w:pPr>
        <w:jc w:val="center"/>
        <w:rPr>
          <w:b/>
          <w:bCs/>
          <w:caps/>
          <w:szCs w:val="22"/>
        </w:rPr>
      </w:pPr>
    </w:p>
    <w:p w:rsidR="00990FB9" w:rsidRPr="00615F80" w:rsidRDefault="00990FB9" w:rsidP="00990FB9">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990FB9" w:rsidRPr="00615F80" w:rsidRDefault="00990FB9" w:rsidP="00990FB9">
      <w:pPr>
        <w:rPr>
          <w:color w:val="000000"/>
          <w:szCs w:val="22"/>
        </w:rPr>
      </w:pPr>
      <w:r w:rsidRPr="00615F80">
        <w:rPr>
          <w:i/>
          <w:color w:val="000000"/>
          <w:szCs w:val="22"/>
        </w:rPr>
        <w:tab/>
        <w:t>Touch-Tel USA, LLC</w:t>
      </w:r>
      <w:r w:rsidRPr="00615F80">
        <w:rPr>
          <w:color w:val="000000"/>
          <w:szCs w:val="22"/>
        </w:rPr>
        <w:t>, File No.: EB-TCD-12-00000409</w:t>
      </w:r>
    </w:p>
    <w:p w:rsidR="00990FB9" w:rsidRPr="00615F80" w:rsidRDefault="00990FB9" w:rsidP="00990FB9">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990FB9" w:rsidRPr="00615F80" w:rsidRDefault="00990FB9" w:rsidP="00990FB9">
      <w:pPr>
        <w:ind w:firstLine="720"/>
        <w:rPr>
          <w:color w:val="000000"/>
          <w:szCs w:val="22"/>
        </w:rPr>
      </w:pPr>
      <w:r w:rsidRPr="00615F80">
        <w:rPr>
          <w:i/>
          <w:color w:val="000000"/>
          <w:szCs w:val="22"/>
        </w:rPr>
        <w:t>Locus Telecommunications, Inc.</w:t>
      </w:r>
      <w:r w:rsidRPr="00615F80">
        <w:rPr>
          <w:color w:val="000000"/>
          <w:szCs w:val="22"/>
        </w:rPr>
        <w:t>, File No.: EB-TCD-12-00000452</w:t>
      </w:r>
    </w:p>
    <w:p w:rsidR="00990FB9" w:rsidRPr="005577AD" w:rsidRDefault="00990FB9" w:rsidP="00990FB9">
      <w:pPr>
        <w:ind w:firstLine="720"/>
        <w:rPr>
          <w:szCs w:val="22"/>
        </w:rPr>
      </w:pPr>
    </w:p>
    <w:p w:rsidR="00990FB9" w:rsidRPr="004806B8" w:rsidRDefault="00990FB9" w:rsidP="00990FB9">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990FB9" w:rsidRPr="004806B8" w:rsidRDefault="00990FB9" w:rsidP="00990FB9"/>
    <w:p w:rsidR="00990FB9" w:rsidRPr="004806B8" w:rsidRDefault="00990FB9" w:rsidP="00990FB9">
      <w:pPr>
        <w:ind w:firstLine="720"/>
      </w:pPr>
      <w:r w:rsidRPr="004806B8">
        <w:t xml:space="preserve">Today, the Commission votes on a series of petitions to hold companies accountable for deceptively marketing prepaid calling cards.  </w:t>
      </w:r>
    </w:p>
    <w:p w:rsidR="00990FB9" w:rsidRPr="004806B8" w:rsidRDefault="00990FB9" w:rsidP="00990FB9"/>
    <w:p w:rsidR="00990FB9" w:rsidRPr="004806B8" w:rsidRDefault="00990FB9" w:rsidP="00990FB9">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990FB9" w:rsidRPr="004806B8" w:rsidRDefault="00990FB9" w:rsidP="00990FB9"/>
    <w:p w:rsidR="00990FB9" w:rsidRPr="004806B8" w:rsidRDefault="00990FB9" w:rsidP="00990FB9">
      <w:pPr>
        <w:ind w:firstLine="720"/>
      </w:pPr>
      <w:r w:rsidRPr="004806B8">
        <w:t>The 2015 Forfeiture Orders all underscored the common sense notion that a company must provide sufficient information to consumers so that they can reasonably determine the actual cost of a call.</w:t>
      </w:r>
    </w:p>
    <w:p w:rsidR="00990FB9" w:rsidRPr="004806B8" w:rsidRDefault="00990FB9" w:rsidP="00990FB9"/>
    <w:p w:rsidR="00990FB9" w:rsidRPr="004806B8" w:rsidRDefault="00990FB9" w:rsidP="00990FB9">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990FB9" w:rsidRPr="004806B8" w:rsidRDefault="00990FB9" w:rsidP="00990FB9"/>
    <w:p w:rsidR="00990FB9" w:rsidRPr="004806B8" w:rsidRDefault="00990FB9" w:rsidP="00990FB9">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990FB9" w:rsidRPr="004806B8" w:rsidRDefault="00990FB9" w:rsidP="00990FB9"/>
    <w:p w:rsidR="00990FB9" w:rsidRDefault="00990FB9" w:rsidP="00990FB9">
      <w:pPr>
        <w:ind w:firstLine="720"/>
        <w:sectPr w:rsidR="00990FB9" w:rsidSect="00990FB9">
          <w:footerReference w:type="first" r:id="rId14"/>
          <w:endnotePr>
            <w:numFmt w:val="decimal"/>
          </w:endnotePr>
          <w:pgSz w:w="12240" w:h="15840"/>
          <w:pgMar w:top="1440" w:right="1440" w:bottom="720" w:left="1440" w:header="720" w:footer="720" w:gutter="0"/>
          <w:cols w:space="720"/>
          <w:noEndnote/>
          <w:titlePg/>
        </w:sectPr>
      </w:pPr>
      <w:r w:rsidRPr="004806B8">
        <w:t xml:space="preserve">Today’s actions send two key messages to two key audiences.  To consumers, rest assured that the FCC has got your back.  To companies who would defraud consumers, please know that the FCC will hold you accountable and that if we levy fines, we will see that they are collected. </w:t>
      </w:r>
    </w:p>
    <w:p w:rsidR="00990FB9" w:rsidRPr="00AC0A70" w:rsidRDefault="00990FB9" w:rsidP="001A4CB5">
      <w:pPr>
        <w:pageBreakBefore/>
        <w:jc w:val="center"/>
        <w:rPr>
          <w:rFonts w:ascii="Times New Roman Bold" w:hAnsi="Times New Roman Bold"/>
          <w:b/>
          <w:bCs/>
          <w:caps/>
          <w:szCs w:val="22"/>
        </w:rPr>
      </w:pPr>
      <w:r w:rsidRPr="00AC0A70">
        <w:rPr>
          <w:rFonts w:ascii="Times New Roman Bold" w:hAnsi="Times New Roman Bold"/>
          <w:b/>
          <w:bCs/>
          <w:caps/>
          <w:szCs w:val="22"/>
        </w:rPr>
        <w:t>dissenting Statement of</w:t>
      </w:r>
    </w:p>
    <w:p w:rsidR="00990FB9" w:rsidRPr="00AC0A70" w:rsidRDefault="00990FB9" w:rsidP="00990FB9">
      <w:pPr>
        <w:jc w:val="center"/>
        <w:rPr>
          <w:rFonts w:ascii="Times New Roman Bold" w:hAnsi="Times New Roman Bold"/>
          <w:b/>
          <w:bCs/>
          <w:caps/>
          <w:szCs w:val="22"/>
        </w:rPr>
      </w:pPr>
      <w:r w:rsidRPr="00AC0A70">
        <w:rPr>
          <w:rFonts w:ascii="Times New Roman Bold" w:hAnsi="Times New Roman Bold"/>
          <w:b/>
          <w:bCs/>
          <w:caps/>
          <w:szCs w:val="22"/>
        </w:rPr>
        <w:t>COMMISSIONER AJIT PAI</w:t>
      </w:r>
    </w:p>
    <w:p w:rsidR="00990FB9" w:rsidRPr="005577AD" w:rsidRDefault="00990FB9" w:rsidP="00990FB9">
      <w:pPr>
        <w:jc w:val="center"/>
        <w:rPr>
          <w:b/>
          <w:bCs/>
          <w:caps/>
          <w:szCs w:val="22"/>
        </w:rPr>
      </w:pPr>
    </w:p>
    <w:p w:rsidR="00990FB9" w:rsidRPr="00615F80" w:rsidRDefault="00990FB9" w:rsidP="00990FB9">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990FB9" w:rsidRPr="00615F80" w:rsidRDefault="00990FB9" w:rsidP="00990FB9">
      <w:pPr>
        <w:rPr>
          <w:color w:val="000000"/>
          <w:szCs w:val="22"/>
        </w:rPr>
      </w:pPr>
      <w:r w:rsidRPr="00615F80">
        <w:rPr>
          <w:i/>
          <w:color w:val="000000"/>
          <w:szCs w:val="22"/>
        </w:rPr>
        <w:tab/>
        <w:t>Touch-Tel USA, LLC</w:t>
      </w:r>
      <w:r w:rsidRPr="00615F80">
        <w:rPr>
          <w:color w:val="000000"/>
          <w:szCs w:val="22"/>
        </w:rPr>
        <w:t>, File No.: EB-TCD-12-00000409</w:t>
      </w:r>
    </w:p>
    <w:p w:rsidR="00990FB9" w:rsidRPr="00615F80" w:rsidRDefault="00990FB9" w:rsidP="00990FB9">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990FB9" w:rsidRPr="00615F80" w:rsidRDefault="00990FB9" w:rsidP="00990FB9">
      <w:pPr>
        <w:ind w:firstLine="720"/>
        <w:rPr>
          <w:color w:val="000000"/>
          <w:szCs w:val="22"/>
        </w:rPr>
      </w:pPr>
      <w:r w:rsidRPr="00615F80">
        <w:rPr>
          <w:i/>
          <w:color w:val="000000"/>
          <w:szCs w:val="22"/>
        </w:rPr>
        <w:t>Locus Telecommunications, Inc.</w:t>
      </w:r>
      <w:r w:rsidRPr="00615F80">
        <w:rPr>
          <w:color w:val="000000"/>
          <w:szCs w:val="22"/>
        </w:rPr>
        <w:t>, File No.: EB-TCD-12-00000452</w:t>
      </w:r>
    </w:p>
    <w:p w:rsidR="00990FB9" w:rsidRPr="005577AD" w:rsidRDefault="00990FB9" w:rsidP="00990FB9">
      <w:pPr>
        <w:ind w:firstLine="720"/>
        <w:rPr>
          <w:szCs w:val="22"/>
        </w:rPr>
      </w:pPr>
    </w:p>
    <w:p w:rsidR="00990FB9" w:rsidRDefault="00990FB9" w:rsidP="00990FB9">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990FB9" w:rsidRDefault="00990FB9" w:rsidP="00990FB9">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990FB9" w:rsidRDefault="00990FB9" w:rsidP="001A4CB5">
      <w:pPr>
        <w:spacing w:after="120"/>
        <w:ind w:firstLine="720"/>
        <w:rPr>
          <w:szCs w:val="22"/>
        </w:rPr>
      </w:pPr>
      <w:r>
        <w:rPr>
          <w:szCs w:val="22"/>
        </w:rPr>
        <w:t xml:space="preserve">Section </w:t>
      </w:r>
      <w:r>
        <w:t xml:space="preserve">503(b)(4) of the Communications Act requires Notices of Apparent Liability to set forth, among other things, “the nature of the act or omission charged against such person and the facts upon which such charge is based” as well as “the date </w:t>
      </w:r>
      <w:r w:rsidR="001A4CB5">
        <w:t>on which such conduct occurred.</w:t>
      </w:r>
      <w:r>
        <w:rPr>
          <w:rStyle w:val="FootnoteReference"/>
        </w:rPr>
        <w:footnoteReference w:id="73"/>
      </w:r>
      <w:r>
        <w:t xml:space="preserve">  In each of the cases here, the Commission has found that “a separate violation of section 201(b) occurred each time a consumer purchased” a misleading and deceptive prepaid calling card.</w:t>
      </w:r>
    </w:p>
    <w:p w:rsidR="00990FB9" w:rsidRDefault="00990FB9" w:rsidP="00990FB9">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990FB9" w:rsidRDefault="00990FB9" w:rsidP="00990FB9">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990FB9" w:rsidRDefault="00990FB9" w:rsidP="00990FB9">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990FB9" w:rsidRDefault="00990FB9" w:rsidP="00990FB9">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990FB9" w:rsidRDefault="00990FB9" w:rsidP="00990FB9">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74"/>
      </w:r>
    </w:p>
    <w:p w:rsidR="00990FB9" w:rsidRDefault="00990FB9" w:rsidP="00990FB9">
      <w:pPr>
        <w:spacing w:after="120"/>
        <w:ind w:firstLine="720"/>
      </w:pPr>
      <w:r>
        <w:t>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been capped at $1.575 million.</w:t>
      </w:r>
      <w:r>
        <w:rPr>
          <w:rStyle w:val="FootnoteReference"/>
        </w:rPr>
        <w:footnoteReference w:id="75"/>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990FB9" w:rsidRDefault="00990FB9" w:rsidP="00990FB9">
      <w:pPr>
        <w:spacing w:after="120"/>
        <w:ind w:firstLine="720"/>
        <w:sectPr w:rsidR="00990FB9" w:rsidSect="00990FB9">
          <w:footnotePr>
            <w:numRestart w:val="eachSect"/>
          </w:footnotePr>
          <w:endnotePr>
            <w:numFmt w:val="decimal"/>
          </w:endnotePr>
          <w:type w:val="continuous"/>
          <w:pgSz w:w="12240" w:h="15840"/>
          <w:pgMar w:top="1440" w:right="1440" w:bottom="720" w:left="1440" w:header="720" w:footer="720" w:gutter="0"/>
          <w:cols w:space="720"/>
          <w:noEndnote/>
          <w:titlePg/>
        </w:sect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990FB9" w:rsidRPr="005577AD" w:rsidRDefault="00990FB9" w:rsidP="00990FB9">
      <w:pPr>
        <w:jc w:val="center"/>
        <w:rPr>
          <w:b/>
          <w:bCs/>
          <w:caps/>
          <w:szCs w:val="22"/>
        </w:rPr>
      </w:pPr>
      <w:r>
        <w:rPr>
          <w:b/>
          <w:bCs/>
          <w:caps/>
          <w:szCs w:val="22"/>
        </w:rPr>
        <w:t xml:space="preserve">DISSENTING </w:t>
      </w:r>
      <w:r w:rsidRPr="005577AD">
        <w:rPr>
          <w:b/>
          <w:bCs/>
          <w:caps/>
          <w:szCs w:val="22"/>
        </w:rPr>
        <w:t>Statement of</w:t>
      </w:r>
    </w:p>
    <w:p w:rsidR="00990FB9" w:rsidRPr="005577AD" w:rsidRDefault="00990FB9" w:rsidP="00990FB9">
      <w:pPr>
        <w:jc w:val="center"/>
        <w:rPr>
          <w:b/>
          <w:bCs/>
          <w:caps/>
          <w:szCs w:val="22"/>
        </w:rPr>
      </w:pPr>
      <w:r>
        <w:rPr>
          <w:b/>
          <w:bCs/>
          <w:caps/>
          <w:szCs w:val="22"/>
        </w:rPr>
        <w:t xml:space="preserve">COMMISSIONER Michael </w:t>
      </w:r>
      <w:r w:rsidRPr="00A36EC0">
        <w:rPr>
          <w:b/>
          <w:bCs/>
          <w:caps/>
          <w:szCs w:val="22"/>
        </w:rPr>
        <w:t>O'Rielly</w:t>
      </w:r>
    </w:p>
    <w:p w:rsidR="00990FB9" w:rsidRPr="005577AD" w:rsidRDefault="00990FB9" w:rsidP="00990FB9">
      <w:pPr>
        <w:jc w:val="center"/>
        <w:rPr>
          <w:b/>
          <w:bCs/>
          <w:caps/>
          <w:szCs w:val="22"/>
        </w:rPr>
      </w:pPr>
    </w:p>
    <w:p w:rsidR="00990FB9" w:rsidRPr="00615F80" w:rsidRDefault="00990FB9" w:rsidP="00990FB9">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990FB9" w:rsidRPr="00615F80" w:rsidRDefault="00990FB9" w:rsidP="00990FB9">
      <w:pPr>
        <w:rPr>
          <w:color w:val="000000"/>
          <w:szCs w:val="22"/>
        </w:rPr>
      </w:pPr>
      <w:r w:rsidRPr="00615F80">
        <w:rPr>
          <w:i/>
          <w:color w:val="000000"/>
          <w:szCs w:val="22"/>
        </w:rPr>
        <w:tab/>
        <w:t>Touch-Tel USA, LLC</w:t>
      </w:r>
      <w:r w:rsidRPr="00615F80">
        <w:rPr>
          <w:color w:val="000000"/>
          <w:szCs w:val="22"/>
        </w:rPr>
        <w:t>, File No.: EB-TCD-12-00000409</w:t>
      </w:r>
    </w:p>
    <w:p w:rsidR="00990FB9" w:rsidRPr="00615F80" w:rsidRDefault="00990FB9" w:rsidP="00990FB9">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990FB9" w:rsidRPr="009306C7" w:rsidRDefault="00990FB9" w:rsidP="00990FB9">
      <w:pPr>
        <w:ind w:firstLine="720"/>
        <w:rPr>
          <w:color w:val="000000"/>
          <w:szCs w:val="22"/>
        </w:rPr>
      </w:pPr>
      <w:r w:rsidRPr="00615F80">
        <w:rPr>
          <w:i/>
          <w:color w:val="000000"/>
          <w:szCs w:val="22"/>
        </w:rPr>
        <w:t>Locus Telecommunications, Inc.</w:t>
      </w:r>
      <w:r w:rsidRPr="00615F80">
        <w:rPr>
          <w:color w:val="000000"/>
          <w:szCs w:val="22"/>
        </w:rPr>
        <w:t>, File No.: EB-TCD-12-00000452</w:t>
      </w:r>
    </w:p>
    <w:p w:rsidR="00990FB9" w:rsidRPr="005577AD" w:rsidRDefault="00990FB9" w:rsidP="00990FB9">
      <w:pPr>
        <w:ind w:firstLine="720"/>
        <w:rPr>
          <w:szCs w:val="22"/>
        </w:rPr>
      </w:pPr>
    </w:p>
    <w:p w:rsidR="00990FB9" w:rsidRDefault="00990FB9" w:rsidP="00990FB9">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990FB9" w:rsidRDefault="00990FB9" w:rsidP="00990FB9">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76"/>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990FB9" w:rsidRDefault="00990FB9" w:rsidP="00990FB9">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990FB9" w:rsidRPr="009306C7" w:rsidRDefault="00990FB9" w:rsidP="00990FB9">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77"/>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990FB9" w:rsidRDefault="00990FB9" w:rsidP="00990FB9">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990FB9" w:rsidRDefault="00990FB9" w:rsidP="00990FB9">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990FB9" w:rsidRDefault="00990FB9" w:rsidP="00990FB9">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990FB9" w:rsidRDefault="00990FB9" w:rsidP="00990FB9">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990FB9" w:rsidRPr="005577AD" w:rsidRDefault="00990FB9" w:rsidP="00990FB9">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990FB9" w:rsidRPr="005577AD" w:rsidRDefault="00990FB9" w:rsidP="00990FB9">
      <w:pPr>
        <w:widowControl/>
        <w:ind w:firstLine="720"/>
        <w:rPr>
          <w:szCs w:val="22"/>
        </w:rPr>
      </w:pPr>
    </w:p>
    <w:p w:rsidR="00990FB9" w:rsidRPr="00FD1D15" w:rsidRDefault="00990FB9" w:rsidP="00990FB9"/>
    <w:p w:rsidR="002C00E8" w:rsidRPr="00990FB9" w:rsidRDefault="002C00E8" w:rsidP="00990FB9">
      <w:pPr>
        <w:jc w:val="center"/>
      </w:pPr>
    </w:p>
    <w:sectPr w:rsidR="002C00E8" w:rsidRPr="00990FB9" w:rsidSect="00990FB9">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10" w:rsidRDefault="00E63410">
      <w:pPr>
        <w:spacing w:line="20" w:lineRule="exact"/>
      </w:pPr>
    </w:p>
  </w:endnote>
  <w:endnote w:type="continuationSeparator" w:id="0">
    <w:p w:rsidR="00E63410" w:rsidRDefault="00E63410">
      <w:r>
        <w:t xml:space="preserve"> </w:t>
      </w:r>
    </w:p>
  </w:endnote>
  <w:endnote w:type="continuationNotice" w:id="1">
    <w:p w:rsidR="00E63410" w:rsidRDefault="00E634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C723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B9" w:rsidRDefault="00990FB9">
    <w:pPr>
      <w:pStyle w:val="Footer"/>
      <w:jc w:val="center"/>
    </w:pPr>
    <w:r>
      <w:fldChar w:fldCharType="begin"/>
    </w:r>
    <w:r>
      <w:instrText xml:space="preserve"> PAGE   \* MERGEFORMAT </w:instrText>
    </w:r>
    <w:r>
      <w:fldChar w:fldCharType="separate"/>
    </w:r>
    <w:r w:rsidR="000F4823">
      <w:rPr>
        <w:noProof/>
      </w:rPr>
      <w:t>11</w:t>
    </w:r>
    <w:r>
      <w:rPr>
        <w:noProof/>
      </w:rPr>
      <w:fldChar w:fldCharType="end"/>
    </w:r>
  </w:p>
  <w:p w:rsidR="00990FB9" w:rsidRDefault="00990FB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10" w:rsidRDefault="00E63410">
      <w:r>
        <w:separator/>
      </w:r>
    </w:p>
  </w:footnote>
  <w:footnote w:type="continuationSeparator" w:id="0">
    <w:p w:rsidR="00E63410" w:rsidRDefault="00E63410" w:rsidP="00C721AC">
      <w:pPr>
        <w:spacing w:before="120"/>
        <w:rPr>
          <w:sz w:val="20"/>
        </w:rPr>
      </w:pPr>
      <w:r>
        <w:rPr>
          <w:sz w:val="20"/>
        </w:rPr>
        <w:t xml:space="preserve">(Continued from previous page)  </w:t>
      </w:r>
      <w:r>
        <w:rPr>
          <w:sz w:val="20"/>
        </w:rPr>
        <w:separator/>
      </w:r>
    </w:p>
  </w:footnote>
  <w:footnote w:type="continuationNotice" w:id="1">
    <w:p w:rsidR="00E63410" w:rsidRDefault="00E63410" w:rsidP="00C721AC">
      <w:pPr>
        <w:jc w:val="right"/>
        <w:rPr>
          <w:sz w:val="20"/>
        </w:rPr>
      </w:pPr>
      <w:r>
        <w:rPr>
          <w:sz w:val="20"/>
        </w:rPr>
        <w:t>(continued….)</w:t>
      </w:r>
    </w:p>
  </w:footnote>
  <w:footnote w:id="2">
    <w:p w:rsidR="00565B17" w:rsidRPr="00280DE9" w:rsidRDefault="00565B17" w:rsidP="00565B17">
      <w:pPr>
        <w:pStyle w:val="FootnoteText"/>
      </w:pPr>
      <w:r w:rsidRPr="00280DE9">
        <w:rPr>
          <w:rStyle w:val="FootnoteReference"/>
        </w:rPr>
        <w:footnoteRef/>
      </w:r>
      <w:r w:rsidRPr="00280DE9">
        <w:t xml:space="preserve"> Locus Telecommunications, Inc., Petition for Reconsideration (Nov. 20, 2015) (on file in </w:t>
      </w:r>
      <w:r w:rsidRPr="00280DE9">
        <w:rPr>
          <w:spacing w:val="-2"/>
        </w:rPr>
        <w:t>EB-TCD-12-00000452) (Petition)</w:t>
      </w:r>
      <w:r w:rsidR="000F4823">
        <w:rPr>
          <w:spacing w:val="-2"/>
        </w:rPr>
        <w:t>.</w:t>
      </w:r>
      <w:r w:rsidRPr="00280DE9">
        <w:t xml:space="preserve"> </w:t>
      </w:r>
    </w:p>
  </w:footnote>
  <w:footnote w:id="3">
    <w:p w:rsidR="00565B17" w:rsidRPr="00280DE9" w:rsidRDefault="00565B17" w:rsidP="00565B17">
      <w:pPr>
        <w:pStyle w:val="FootnoteText"/>
      </w:pPr>
      <w:r w:rsidRPr="00280DE9">
        <w:rPr>
          <w:rStyle w:val="FootnoteReference"/>
        </w:rPr>
        <w:footnoteRef/>
      </w:r>
      <w:r w:rsidRPr="00280DE9">
        <w:t xml:space="preserve"> The Forfeiture Order and Notice of Apparent Liability for Forfeiture include more complete discussions of the facts and history of this case and are incorporated herein by reference.  </w:t>
      </w:r>
      <w:r w:rsidRPr="00280DE9">
        <w:rPr>
          <w:i/>
        </w:rPr>
        <w:t>Locus Telecommunications, Inc.</w:t>
      </w:r>
      <w:r w:rsidRPr="00280DE9">
        <w:t xml:space="preserve">, Forfeiture Order, 30 FCC Rcd 11805 (2015) (Forfeiture Order); </w:t>
      </w:r>
      <w:r w:rsidRPr="00280DE9">
        <w:rPr>
          <w:i/>
        </w:rPr>
        <w:t>Locus Telecommunications, Inc.</w:t>
      </w:r>
      <w:r w:rsidRPr="00280DE9">
        <w:t>, Notice of Apparent Liability for Forfeiture, 26 FCC Rcd 12818 (2011)</w:t>
      </w:r>
      <w:r w:rsidRPr="00280DE9">
        <w:rPr>
          <w:i/>
        </w:rPr>
        <w:t xml:space="preserve"> </w:t>
      </w:r>
      <w:r w:rsidRPr="00280DE9">
        <w:t>(NAL).</w:t>
      </w:r>
    </w:p>
  </w:footnote>
  <w:footnote w:id="4">
    <w:p w:rsidR="00565B17" w:rsidRPr="004654D0" w:rsidRDefault="00565B17" w:rsidP="00565B17">
      <w:pPr>
        <w:pStyle w:val="FootnoteText"/>
      </w:pPr>
      <w:r>
        <w:rPr>
          <w:rStyle w:val="FootnoteReference"/>
        </w:rPr>
        <w:footnoteRef/>
      </w:r>
      <w:r>
        <w:t xml:space="preserve"> 47 CFR § 1.106(p) (providing that petitions for reconsideration of a Commission action that “[r]ely on arguments that have been fully considered and rejected by the Commission within the same proceeding” may be dismissed because they “plainly do not warrant consideration by the Commission”); </w:t>
      </w:r>
      <w:r>
        <w:rPr>
          <w:i/>
        </w:rPr>
        <w:t xml:space="preserve">see also </w:t>
      </w:r>
      <w:r>
        <w:t xml:space="preserve">47 CFR </w:t>
      </w:r>
      <w:r w:rsidRPr="00280DE9">
        <w:t>§</w:t>
      </w:r>
      <w:r>
        <w:t xml:space="preserve"> 1.106(c)</w:t>
      </w:r>
      <w:r w:rsidRPr="00280DE9">
        <w:t xml:space="preserve">; </w:t>
      </w:r>
      <w:r w:rsidRPr="00280DE9">
        <w:rPr>
          <w:i/>
        </w:rPr>
        <w:t>EZ Sacramento, Inc.</w:t>
      </w:r>
      <w:r w:rsidRPr="00280DE9">
        <w:t>,</w:t>
      </w:r>
      <w:r w:rsidRPr="00280DE9">
        <w:rPr>
          <w:i/>
        </w:rPr>
        <w:t xml:space="preserve"> </w:t>
      </w:r>
      <w:r w:rsidRPr="00280DE9">
        <w:t>Memorandum Opinion and Order, 15 FCC Rcd 18257, 18257, para. 2 (EB 2000).  A Petition for Reconsideration may be granted when the Commission determines that consideration of the facts or arguments raised by the petitioner is in the public interest.  47 CFR §</w:t>
      </w:r>
      <w:r>
        <w:t xml:space="preserve"> </w:t>
      </w:r>
      <w:r w:rsidRPr="00280DE9">
        <w:t>1.106(c)(2).</w:t>
      </w:r>
      <w:r>
        <w:t xml:space="preserve">  However, unless a </w:t>
      </w:r>
      <w:r w:rsidRPr="00193A4F">
        <w:t>petitioner either demonstrates a material error or omission in the underlying order or raises additional facts not known or not existing until after the petitioner’s last opportunity to present such matters</w:t>
      </w:r>
      <w:r>
        <w:t>, a petition for reconsideration may be dismissed</w:t>
      </w:r>
      <w:r w:rsidRPr="00193A4F">
        <w:t>.</w:t>
      </w:r>
      <w:r>
        <w:t xml:space="preserve">  </w:t>
      </w:r>
      <w:r w:rsidRPr="005F7104">
        <w:rPr>
          <w:i/>
        </w:rPr>
        <w:t xml:space="preserve">See </w:t>
      </w:r>
      <w:r>
        <w:rPr>
          <w:snapToGrid w:val="0"/>
        </w:rPr>
        <w:t xml:space="preserve">47 </w:t>
      </w:r>
      <w:r w:rsidRPr="005F7104">
        <w:t>CFR § 1.106(c)</w:t>
      </w:r>
      <w:r>
        <w:t>.</w:t>
      </w:r>
    </w:p>
  </w:footnote>
  <w:footnote w:id="5">
    <w:p w:rsidR="00565B17" w:rsidRPr="00280DE9" w:rsidRDefault="00565B17" w:rsidP="00565B17">
      <w:pPr>
        <w:pStyle w:val="FootnoteText"/>
      </w:pPr>
      <w:r w:rsidRPr="00280DE9">
        <w:rPr>
          <w:rStyle w:val="FootnoteReference"/>
        </w:rPr>
        <w:footnoteRef/>
      </w:r>
      <w:r w:rsidRPr="00280DE9">
        <w:t xml:space="preserve"> Many of Locus’s jurisdictional arguments overlap with the due process challenges made in its Petition.  </w:t>
      </w:r>
      <w:r w:rsidRPr="00280DE9">
        <w:rPr>
          <w:i/>
        </w:rPr>
        <w:t xml:space="preserve">Compare </w:t>
      </w:r>
      <w:r w:rsidRPr="00280DE9">
        <w:t xml:space="preserve">Petition at 6-16, </w:t>
      </w:r>
      <w:r w:rsidRPr="00280DE9">
        <w:rPr>
          <w:i/>
        </w:rPr>
        <w:t xml:space="preserve">with id. </w:t>
      </w:r>
      <w:r w:rsidRPr="00280DE9">
        <w:t xml:space="preserve">at 16-21.  We address Locus’s arguments related to the Commission’s authority over its marketing practice under the Act in this section and address Locus’s claim that it lacked fair notice of the marketing </w:t>
      </w:r>
      <w:r w:rsidRPr="00690ED5">
        <w:t xml:space="preserve">disclosures required from prepaid calling card providers along with its other due process claims below.  </w:t>
      </w:r>
      <w:r w:rsidRPr="00690ED5">
        <w:rPr>
          <w:i/>
        </w:rPr>
        <w:t xml:space="preserve">See infra </w:t>
      </w:r>
      <w:r w:rsidRPr="00690ED5">
        <w:t>Section II.B.</w:t>
      </w:r>
    </w:p>
  </w:footnote>
  <w:footnote w:id="6">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See </w:t>
      </w:r>
      <w:r w:rsidRPr="00280DE9">
        <w:t xml:space="preserve">Locus Telecommunications, Inc., Request for Rescission of Notice of Apparent Liability (Oct. 21, 2011) (on file in </w:t>
      </w:r>
      <w:r w:rsidRPr="00280DE9">
        <w:rPr>
          <w:spacing w:val="-2"/>
        </w:rPr>
        <w:t>EB-TCD-12-00000452) (NAL Response)</w:t>
      </w:r>
      <w:r w:rsidR="000F4823">
        <w:rPr>
          <w:spacing w:val="-2"/>
        </w:rPr>
        <w:t>.</w:t>
      </w:r>
    </w:p>
  </w:footnote>
  <w:footnote w:id="7">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See </w:t>
      </w:r>
      <w:r w:rsidRPr="00280DE9">
        <w:t>Petition at i, 6-16; 47 U.S.C. § 201(b).</w:t>
      </w:r>
    </w:p>
  </w:footnote>
  <w:footnote w:id="8">
    <w:p w:rsidR="00565B17" w:rsidRPr="00280DE9" w:rsidRDefault="00565B17" w:rsidP="00565B17">
      <w:pPr>
        <w:pStyle w:val="FootnoteText"/>
      </w:pPr>
      <w:r w:rsidRPr="00280DE9">
        <w:rPr>
          <w:rStyle w:val="FootnoteReference"/>
        </w:rPr>
        <w:footnoteRef/>
      </w:r>
      <w:r w:rsidRPr="00280DE9">
        <w:t xml:space="preserve"> Petition</w:t>
      </w:r>
      <w:r w:rsidRPr="00280DE9">
        <w:rPr>
          <w:i/>
        </w:rPr>
        <w:t xml:space="preserve"> </w:t>
      </w:r>
      <w:r w:rsidRPr="00280DE9">
        <w:t>at 6-12; NAL Response at 15-19.</w:t>
      </w:r>
    </w:p>
  </w:footnote>
  <w:footnote w:id="9">
    <w:p w:rsidR="00565B17" w:rsidRPr="00280DE9" w:rsidRDefault="00565B17" w:rsidP="00565B17">
      <w:pPr>
        <w:pStyle w:val="FootnoteText"/>
      </w:pPr>
      <w:r w:rsidRPr="00280DE9">
        <w:rPr>
          <w:rStyle w:val="FootnoteReference"/>
        </w:rPr>
        <w:footnoteRef/>
      </w:r>
      <w:r w:rsidRPr="00280DE9">
        <w:t xml:space="preserve"> Petition</w:t>
      </w:r>
      <w:r w:rsidRPr="00280DE9">
        <w:rPr>
          <w:i/>
        </w:rPr>
        <w:t xml:space="preserve"> </w:t>
      </w:r>
      <w:r w:rsidRPr="00280DE9">
        <w:t>at 6, 8; NAL Response at 16-18.</w:t>
      </w:r>
    </w:p>
  </w:footnote>
  <w:footnote w:id="10">
    <w:p w:rsidR="00565B17" w:rsidRPr="00280DE9" w:rsidRDefault="00565B17" w:rsidP="00565B17">
      <w:pPr>
        <w:pStyle w:val="FootnoteText"/>
      </w:pPr>
      <w:r w:rsidRPr="00280DE9">
        <w:rPr>
          <w:rStyle w:val="FootnoteReference"/>
        </w:rPr>
        <w:footnoteRef/>
      </w:r>
      <w:r w:rsidRPr="00280DE9">
        <w:t xml:space="preserve"> Petition at 12-16; NAL Response at 3-15.</w:t>
      </w:r>
      <w:r w:rsidR="00552E5F">
        <w:t xml:space="preserve">  The dissenters raise the same or similar arguments that they raised in response to the Forfeiture Order.  Those arguments were addressed in the Forfeiture Order, as supplemented by this item.  In addition, we note that there is no merit to the claim that it was “arbitrary” for the Commission to have “settled on 125 cards and 5 million dollars” in each of the four forfeiture orders addressed, collectively, in the dissent.  Even if the four relevant companies were of different sizes and sold different cards in different numbers, the Commission assessed the specific record before it in each case, and in each case reasonably inferred that the company committed at least 125 violations; the Commission then calculated a forfeiture amount equivalent to a base forfeiture applied to 125 violations.  </w:t>
      </w:r>
      <w:r w:rsidR="00552E5F" w:rsidRPr="00552E5F">
        <w:rPr>
          <w:i/>
        </w:rPr>
        <w:t>See, e.g</w:t>
      </w:r>
      <w:r w:rsidR="00552E5F">
        <w:t xml:space="preserve">., </w:t>
      </w:r>
      <w:r w:rsidR="00552E5F" w:rsidRPr="00280DE9">
        <w:t>Forfeiture Order, 30 FCC Rcd at 11813, para. 19</w:t>
      </w:r>
      <w:r w:rsidR="005B05FE">
        <w:t xml:space="preserve"> &amp;</w:t>
      </w:r>
      <w:r w:rsidR="00552E5F" w:rsidRPr="00280DE9">
        <w:t xml:space="preserve"> n.68</w:t>
      </w:r>
      <w:r w:rsidR="00552E5F">
        <w:t>.  Far from being arbitrary, this was a lawful exercise of the Commission’s discretion that was grounded in the specific record before it in each case.</w:t>
      </w:r>
    </w:p>
  </w:footnote>
  <w:footnote w:id="11">
    <w:p w:rsidR="00565B17" w:rsidRPr="00280DE9" w:rsidRDefault="00565B17" w:rsidP="00565B17">
      <w:pPr>
        <w:pStyle w:val="FootnoteText"/>
      </w:pPr>
      <w:r w:rsidRPr="00280DE9">
        <w:rPr>
          <w:rStyle w:val="FootnoteReference"/>
        </w:rPr>
        <w:footnoteRef/>
      </w:r>
      <w:r w:rsidRPr="00280DE9">
        <w:t xml:space="preserve"> Forfeiture Order, 30 FCC Rcd 11807, para. 6.</w:t>
      </w:r>
    </w:p>
  </w:footnote>
  <w:footnote w:id="12">
    <w:p w:rsidR="00565B17" w:rsidRPr="00280DE9" w:rsidRDefault="00565B17" w:rsidP="00565B17">
      <w:pPr>
        <w:pStyle w:val="FootnoteText"/>
        <w:rPr>
          <w:i/>
        </w:rPr>
      </w:pPr>
      <w:r w:rsidRPr="00280DE9">
        <w:rPr>
          <w:rStyle w:val="FootnoteReference"/>
        </w:rPr>
        <w:footnoteRef/>
      </w:r>
      <w:r w:rsidRPr="00280DE9">
        <w:t xml:space="preserve"> </w:t>
      </w:r>
      <w:r w:rsidRPr="00280DE9">
        <w:rPr>
          <w:i/>
        </w:rPr>
        <w:t xml:space="preserve">Id. </w:t>
      </w:r>
      <w:r w:rsidRPr="00280DE9">
        <w:t xml:space="preserve">(citing </w:t>
      </w:r>
      <w:r w:rsidRPr="00280DE9">
        <w:rPr>
          <w:i/>
        </w:rPr>
        <w:t>STi Telecom Inc. (formerly Epana Networks, Inc.)</w:t>
      </w:r>
      <w:r w:rsidRPr="00280DE9">
        <w:t>, Forfeiture Order, 30 FCC Rcd 11742 (2015) (</w:t>
      </w:r>
      <w:r w:rsidRPr="00280DE9">
        <w:rPr>
          <w:i/>
        </w:rPr>
        <w:t>STi</w:t>
      </w:r>
      <w:r w:rsidRPr="00280DE9">
        <w:t>)).</w:t>
      </w:r>
    </w:p>
  </w:footnote>
  <w:footnote w:id="13">
    <w:p w:rsidR="00565B17" w:rsidRPr="00280DE9" w:rsidRDefault="00565B17" w:rsidP="00565B17">
      <w:pPr>
        <w:pStyle w:val="FootnoteText"/>
      </w:pPr>
      <w:r w:rsidRPr="00280DE9">
        <w:rPr>
          <w:rStyle w:val="FootnoteReference"/>
        </w:rPr>
        <w:footnoteRef/>
      </w:r>
      <w:r w:rsidRPr="00280DE9">
        <w:t xml:space="preserve"> Petition at 6-7.</w:t>
      </w:r>
    </w:p>
  </w:footnote>
  <w:footnote w:id="14">
    <w:p w:rsidR="00565B17" w:rsidRPr="00280DE9" w:rsidRDefault="00565B17" w:rsidP="00565B17">
      <w:pPr>
        <w:pStyle w:val="FootnoteText"/>
      </w:pPr>
      <w:r w:rsidRPr="00280DE9">
        <w:rPr>
          <w:rStyle w:val="FootnoteReference"/>
        </w:rPr>
        <w:footnoteRef/>
      </w:r>
      <w:r w:rsidRPr="00280DE9">
        <w:t xml:space="preserve"> </w:t>
      </w:r>
      <w:r w:rsidRPr="00280DE9">
        <w:rPr>
          <w:i/>
        </w:rPr>
        <w:t>Id</w:t>
      </w:r>
      <w:r>
        <w:t>. at 7.</w:t>
      </w:r>
    </w:p>
  </w:footnote>
  <w:footnote w:id="15">
    <w:p w:rsidR="00565B17" w:rsidRPr="00280DE9" w:rsidRDefault="00565B17" w:rsidP="00565B17">
      <w:pPr>
        <w:pStyle w:val="FootnoteText"/>
      </w:pPr>
      <w:r w:rsidRPr="00280DE9">
        <w:rPr>
          <w:rStyle w:val="FootnoteReference"/>
        </w:rPr>
        <w:footnoteRef/>
      </w:r>
      <w:r w:rsidRPr="00280DE9">
        <w:t xml:space="preserve"> </w:t>
      </w:r>
      <w:r w:rsidRPr="006E35DF">
        <w:rPr>
          <w:i/>
        </w:rPr>
        <w:t>See</w:t>
      </w:r>
      <w:r>
        <w:t xml:space="preserve"> </w:t>
      </w:r>
      <w:r w:rsidRPr="006048D3">
        <w:rPr>
          <w:i/>
        </w:rPr>
        <w:t>Touch-Tel USA, LLC</w:t>
      </w:r>
      <w:r>
        <w:t xml:space="preserve">, Forfeiture Order, 30 FCC Rcd 11730, 11732, para. 6 &amp; nn.19-20 (2015) (citing </w:t>
      </w:r>
      <w:r w:rsidRPr="006048D3">
        <w:rPr>
          <w:i/>
        </w:rPr>
        <w:t>STi</w:t>
      </w:r>
      <w:r>
        <w:t xml:space="preserve">); </w:t>
      </w:r>
      <w:r w:rsidRPr="006E35DF">
        <w:rPr>
          <w:i/>
        </w:rPr>
        <w:t>Simple Network, Inc</w:t>
      </w:r>
      <w:r>
        <w:t xml:space="preserve">., Forfeiture Order, 30 FCC Rcd 11765, 11767, para. 6 &amp; nn.19-20 (2015) (same); </w:t>
      </w:r>
      <w:r w:rsidRPr="006E35DF">
        <w:rPr>
          <w:i/>
        </w:rPr>
        <w:t>NobelTel, LLC</w:t>
      </w:r>
      <w:r>
        <w:t>, Forfeiture Order, 30 FCC Rcd 11779, 117</w:t>
      </w:r>
      <w:r w:rsidR="005B05FE">
        <w:t>81, para. 6 &amp;</w:t>
      </w:r>
      <w:r>
        <w:t xml:space="preserve"> nn.23-24 (2015) (same); </w:t>
      </w:r>
      <w:r w:rsidRPr="006E35DF">
        <w:rPr>
          <w:i/>
        </w:rPr>
        <w:t>Lyca Tel, LLC</w:t>
      </w:r>
      <w:r>
        <w:t>, Forfeiture Order, 30 FCC Rcd 11792, 11794, para. 6 &amp; nn.18-19 (2015) (same).</w:t>
      </w:r>
    </w:p>
  </w:footnote>
  <w:footnote w:id="16">
    <w:p w:rsidR="00565B17" w:rsidRPr="00280DE9" w:rsidRDefault="00565B17" w:rsidP="00565B17">
      <w:pPr>
        <w:pStyle w:val="FootnoteText"/>
      </w:pPr>
      <w:r w:rsidRPr="00280DE9">
        <w:rPr>
          <w:rStyle w:val="FootnoteReference"/>
        </w:rPr>
        <w:footnoteRef/>
      </w:r>
      <w:r w:rsidRPr="00280DE9">
        <w:t xml:space="preserve"> </w:t>
      </w:r>
      <w:r w:rsidRPr="00280DE9">
        <w:rPr>
          <w:i/>
        </w:rPr>
        <w:t>See NOS Commc’ns, Inc.</w:t>
      </w:r>
      <w:r w:rsidRPr="00280DE9">
        <w:t>, Notice of Apparent Liability for Forfeiture, 16 FCC Rcd 8133, 8136, para. 6 (2001) (finding deceptive marketing can “constitute unjust and unreasonable practices under [S]ection 201(b)”) (</w:t>
      </w:r>
      <w:r w:rsidRPr="00280DE9">
        <w:rPr>
          <w:i/>
        </w:rPr>
        <w:t>NOS NAL</w:t>
      </w:r>
      <w:r w:rsidRPr="00280DE9">
        <w:t xml:space="preserve">); </w:t>
      </w:r>
      <w:r w:rsidRPr="00280DE9">
        <w:rPr>
          <w:i/>
        </w:rPr>
        <w:t>STi</w:t>
      </w:r>
      <w:r w:rsidRPr="00280DE9">
        <w:t>, 30 FCC Rcd at 11750-51, paras. 16-18 (finding Section 201(b) declares unjust and unreasonable marketing practices unlawful without the need for implementing regulations).</w:t>
      </w:r>
    </w:p>
  </w:footnote>
  <w:footnote w:id="17">
    <w:p w:rsidR="00565B17" w:rsidRPr="00280DE9" w:rsidRDefault="00565B17" w:rsidP="00565B17">
      <w:pPr>
        <w:pStyle w:val="FootnoteText"/>
      </w:pPr>
      <w:r w:rsidRPr="00280DE9">
        <w:rPr>
          <w:rStyle w:val="FootnoteReference"/>
        </w:rPr>
        <w:footnoteRef/>
      </w:r>
      <w:r w:rsidRPr="00280DE9">
        <w:t xml:space="preserve"> </w:t>
      </w:r>
      <w:r w:rsidRPr="00280DE9">
        <w:rPr>
          <w:i/>
        </w:rPr>
        <w:t>See</w:t>
      </w:r>
      <w:r w:rsidRPr="00280DE9">
        <w:t xml:space="preserve"> Forfeiture Order, 30 FCC Rcd at 11807, para. 6 (</w:t>
      </w:r>
      <w:r w:rsidRPr="00280DE9">
        <w:rPr>
          <w:i/>
        </w:rPr>
        <w:t>citing</w:t>
      </w:r>
      <w:r w:rsidRPr="00280DE9">
        <w:t xml:space="preserve"> </w:t>
      </w:r>
      <w:r w:rsidRPr="00280DE9">
        <w:rPr>
          <w:i/>
        </w:rPr>
        <w:t>STi</w:t>
      </w:r>
      <w:r w:rsidRPr="00280DE9">
        <w:t>, 30 FCC Rcd at 11744-47, 11750-51, paras. 7-11, 16-18).</w:t>
      </w:r>
      <w:r>
        <w:t xml:space="preserve"> </w:t>
      </w:r>
    </w:p>
  </w:footnote>
  <w:footnote w:id="18">
    <w:p w:rsidR="00565B17" w:rsidRPr="00280DE9" w:rsidRDefault="00565B17" w:rsidP="00565B17">
      <w:pPr>
        <w:pStyle w:val="FootnoteText"/>
      </w:pPr>
      <w:r w:rsidRPr="00280DE9">
        <w:rPr>
          <w:rStyle w:val="FootnoteReference"/>
        </w:rPr>
        <w:footnoteRef/>
      </w:r>
      <w:r w:rsidRPr="00280DE9">
        <w:t xml:space="preserve"> Petitio</w:t>
      </w:r>
      <w:r>
        <w:t>n at 12-16</w:t>
      </w:r>
      <w:r w:rsidRPr="00280DE9">
        <w:t>.</w:t>
      </w:r>
    </w:p>
  </w:footnote>
  <w:footnote w:id="19">
    <w:p w:rsidR="00565B17" w:rsidRDefault="00565B17" w:rsidP="00565B17">
      <w:pPr>
        <w:pStyle w:val="FootnoteText"/>
      </w:pPr>
      <w:r>
        <w:rPr>
          <w:rStyle w:val="FootnoteReference"/>
        </w:rPr>
        <w:footnoteRef/>
      </w:r>
      <w:r>
        <w:t xml:space="preserve"> NAL Response at 3-15 (arguing both that its distributors were not its agents and that it did not offer prepaid calling cards on a common carriage basis).</w:t>
      </w:r>
    </w:p>
  </w:footnote>
  <w:footnote w:id="20">
    <w:p w:rsidR="00565B17" w:rsidRPr="00280DE9" w:rsidRDefault="00565B17" w:rsidP="00565B17">
      <w:pPr>
        <w:pStyle w:val="FootnoteText"/>
      </w:pPr>
      <w:r w:rsidRPr="00280DE9">
        <w:rPr>
          <w:rStyle w:val="FootnoteReference"/>
        </w:rPr>
        <w:footnoteRef/>
      </w:r>
      <w:r w:rsidRPr="00280DE9">
        <w:t xml:space="preserve"> Petition at 6.</w:t>
      </w:r>
    </w:p>
  </w:footnote>
  <w:footnote w:id="21">
    <w:p w:rsidR="00565B17" w:rsidRPr="00280DE9" w:rsidRDefault="00565B17" w:rsidP="00565B17">
      <w:pPr>
        <w:pStyle w:val="FootnoteText"/>
      </w:pPr>
      <w:r w:rsidRPr="00280DE9">
        <w:rPr>
          <w:rStyle w:val="FootnoteReference"/>
        </w:rPr>
        <w:footnoteRef/>
      </w:r>
      <w:r w:rsidRPr="00280DE9">
        <w:t xml:space="preserve"> Forfeiture Order, 30 FCC Rcd at 11807-09, paras. 7-9</w:t>
      </w:r>
      <w:r>
        <w:t xml:space="preserve"> &amp; n.42 (finding that Locus’s agency argument failed and that it exerted sufficient control over minutes, designs, access numbers, and marketing materials such that, even though using distributors, it was in a common carrier relationship with the consumers of its prepaid calling cards)</w:t>
      </w:r>
      <w:r w:rsidRPr="00280DE9">
        <w:t>.</w:t>
      </w:r>
    </w:p>
  </w:footnote>
  <w:footnote w:id="22">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Id. </w:t>
      </w:r>
      <w:r w:rsidRPr="00280DE9">
        <w:t>at 11809, para. 9.</w:t>
      </w:r>
    </w:p>
  </w:footnote>
  <w:footnote w:id="23">
    <w:p w:rsidR="00565B17" w:rsidRDefault="00565B17" w:rsidP="00565B17">
      <w:pPr>
        <w:pStyle w:val="FootnoteText"/>
      </w:pPr>
      <w:r>
        <w:rPr>
          <w:rStyle w:val="FootnoteReference"/>
        </w:rPr>
        <w:footnoteRef/>
      </w:r>
      <w:r>
        <w:t xml:space="preserve"> </w:t>
      </w:r>
      <w:r w:rsidRPr="00280DE9">
        <w:rPr>
          <w:i/>
        </w:rPr>
        <w:t xml:space="preserve">Id. </w:t>
      </w:r>
      <w:r w:rsidRPr="00280DE9">
        <w:t xml:space="preserve">at </w:t>
      </w:r>
      <w:r>
        <w:t xml:space="preserve">11808-09, para 9. </w:t>
      </w:r>
    </w:p>
  </w:footnote>
  <w:footnote w:id="24">
    <w:p w:rsidR="00565B17" w:rsidRPr="00280DE9" w:rsidRDefault="00565B17" w:rsidP="00565B17">
      <w:pPr>
        <w:pStyle w:val="FootnoteText"/>
      </w:pPr>
      <w:r w:rsidRPr="00280DE9">
        <w:rPr>
          <w:rStyle w:val="FootnoteReference"/>
        </w:rPr>
        <w:footnoteRef/>
      </w:r>
      <w:r w:rsidRPr="00280DE9">
        <w:t xml:space="preserve"> </w:t>
      </w:r>
      <w:r w:rsidRPr="00280DE9">
        <w:rPr>
          <w:i/>
        </w:rPr>
        <w:t>Nat’l Assoc. of Regulatory Util. Comm’rs v. FCC</w:t>
      </w:r>
      <w:r w:rsidRPr="00280DE9">
        <w:t>, 533 F.2d 601, 608 (D.C. Cir. 1976); Petition at 13.</w:t>
      </w:r>
    </w:p>
  </w:footnote>
  <w:footnote w:id="25">
    <w:p w:rsidR="00565B17" w:rsidRDefault="00565B17" w:rsidP="00565B17">
      <w:pPr>
        <w:pStyle w:val="FootnoteText"/>
      </w:pPr>
      <w:r>
        <w:rPr>
          <w:rStyle w:val="FootnoteReference"/>
        </w:rPr>
        <w:footnoteRef/>
      </w:r>
      <w:r>
        <w:t xml:space="preserve"> Forfeiture Order, 30 FCC Rcd at 11806, para. 2.</w:t>
      </w:r>
    </w:p>
  </w:footnote>
  <w:footnote w:id="26">
    <w:p w:rsidR="00565B17" w:rsidRPr="00280DE9" w:rsidRDefault="00565B17" w:rsidP="00565B17">
      <w:pPr>
        <w:pStyle w:val="FootnoteText"/>
      </w:pPr>
      <w:r w:rsidRPr="00280DE9">
        <w:rPr>
          <w:rStyle w:val="FootnoteReference"/>
        </w:rPr>
        <w:footnoteRef/>
      </w:r>
      <w:r w:rsidRPr="00280DE9">
        <w:t xml:space="preserve"> </w:t>
      </w:r>
      <w:r w:rsidRPr="00280DE9">
        <w:rPr>
          <w:i/>
        </w:rPr>
        <w:t>Id.</w:t>
      </w:r>
      <w:r w:rsidRPr="004107CB">
        <w:rPr>
          <w:i/>
        </w:rPr>
        <w:t xml:space="preserve"> </w:t>
      </w:r>
      <w:r w:rsidRPr="00280DE9">
        <w:t>at 11808-09, para. 9.</w:t>
      </w:r>
    </w:p>
  </w:footnote>
  <w:footnote w:id="27">
    <w:p w:rsidR="00565B17" w:rsidRPr="00280DE9" w:rsidRDefault="00565B17" w:rsidP="00565B17">
      <w:pPr>
        <w:pStyle w:val="FootnoteText"/>
      </w:pPr>
      <w:r w:rsidRPr="00280DE9">
        <w:rPr>
          <w:rStyle w:val="FootnoteReference"/>
        </w:rPr>
        <w:footnoteRef/>
      </w:r>
      <w:r w:rsidRPr="00280DE9">
        <w:t xml:space="preserve"> Petition at 12, 19.</w:t>
      </w:r>
    </w:p>
  </w:footnote>
  <w:footnote w:id="28">
    <w:p w:rsidR="00565B17" w:rsidRPr="00C55B3D" w:rsidRDefault="00565B17" w:rsidP="00565B17">
      <w:pPr>
        <w:pStyle w:val="FootnoteText"/>
      </w:pPr>
      <w:r w:rsidRPr="00280DE9">
        <w:rPr>
          <w:rStyle w:val="FootnoteReference"/>
        </w:rPr>
        <w:footnoteRef/>
      </w:r>
      <w:r w:rsidRPr="00280DE9">
        <w:t xml:space="preserve"> Forfeiture Order, 30 FCC Rcd at 11808, para. 9</w:t>
      </w:r>
      <w:r>
        <w:t xml:space="preserve"> &amp; n.42</w:t>
      </w:r>
      <w:r w:rsidRPr="00280DE9">
        <w:t>.</w:t>
      </w:r>
      <w:r>
        <w:t xml:space="preserve">  Indeed, the Commission referenced numerous indicia of control exercised by Locus over its calling cards that supported its common carrier status.  </w:t>
      </w:r>
      <w:r w:rsidRPr="00280DE9">
        <w:rPr>
          <w:i/>
        </w:rPr>
        <w:t xml:space="preserve">See id. </w:t>
      </w:r>
      <w:r w:rsidRPr="00280DE9">
        <w:t>(noting that Locus exercised “ultimate control” over the number of minutes for which its cards could be used and the marketing materials for its cards).</w:t>
      </w:r>
    </w:p>
  </w:footnote>
  <w:footnote w:id="29">
    <w:p w:rsidR="00565B17" w:rsidRDefault="00565B17" w:rsidP="00565B17">
      <w:pPr>
        <w:pStyle w:val="FootnoteText"/>
      </w:pPr>
      <w:r>
        <w:rPr>
          <w:rStyle w:val="FootnoteReference"/>
        </w:rPr>
        <w:footnoteRef/>
      </w:r>
      <w:r>
        <w:t xml:space="preserve"> </w:t>
      </w:r>
      <w:r>
        <w:rPr>
          <w:i/>
        </w:rPr>
        <w:t>See, e.g.</w:t>
      </w:r>
      <w:r>
        <w:t xml:space="preserve">, </w:t>
      </w:r>
      <w:r>
        <w:rPr>
          <w:i/>
        </w:rPr>
        <w:t>Unipoint Techs., Inc.</w:t>
      </w:r>
      <w:r>
        <w:t xml:space="preserve">, Forfeiture Order, 29 FCC Rcd 1633, 1637-38, paras. 14-16 (2014) (citing </w:t>
      </w:r>
      <w:r>
        <w:rPr>
          <w:i/>
        </w:rPr>
        <w:t>Time Machine, Inc.</w:t>
      </w:r>
      <w:r>
        <w:t xml:space="preserve">, 11 FCC Rcd 1186, 1190, para. 25 (Com. Car. Bur. 1995)); </w:t>
      </w:r>
      <w:r>
        <w:rPr>
          <w:i/>
        </w:rPr>
        <w:t xml:space="preserve">see generally </w:t>
      </w:r>
      <w:r w:rsidRPr="002E6EEF">
        <w:rPr>
          <w:i/>
        </w:rPr>
        <w:t>Qwest Servs. Corp. v. F.C.C</w:t>
      </w:r>
      <w:r>
        <w:t xml:space="preserve">., 509 F.3d 531 (D.C. Cir. 2007); </w:t>
      </w:r>
      <w:r>
        <w:rPr>
          <w:i/>
        </w:rPr>
        <w:t>Regulation of Int’l Common Carrier Servs.</w:t>
      </w:r>
      <w:r>
        <w:t xml:space="preserve">, Report and Order, 7 FCC Rcd 7331 (1992); </w:t>
      </w:r>
      <w:r>
        <w:rPr>
          <w:i/>
        </w:rPr>
        <w:t>Cincinnati Bell Tel. Co. Tariff FCC No. 35</w:t>
      </w:r>
      <w:r>
        <w:t xml:space="preserve">, Memorandum Opinion and Order, 6 FCC Rcd 3501 (1991).  The prepaid calling card services at issue in this case remain a common carrier service, even when sold through resellers.  </w:t>
      </w:r>
      <w:r w:rsidRPr="00C90F59">
        <w:rPr>
          <w:i/>
        </w:rPr>
        <w:t>See Regulatory Policies Concerning Resale and Shar</w:t>
      </w:r>
      <w:r>
        <w:rPr>
          <w:i/>
        </w:rPr>
        <w:t>ed Use of Common Carrier Serv</w:t>
      </w:r>
      <w:r w:rsidRPr="00C90F59">
        <w:rPr>
          <w:i/>
        </w:rPr>
        <w:t>s</w:t>
      </w:r>
      <w:r>
        <w:rPr>
          <w:i/>
        </w:rPr>
        <w:t>.</w:t>
      </w:r>
      <w:r w:rsidRPr="00C90F59">
        <w:rPr>
          <w:i/>
        </w:rPr>
        <w:t xml:space="preserve"> and Facilities</w:t>
      </w:r>
      <w:r>
        <w:t xml:space="preserve">, Report and Order, 60 FCC2d 261 (1976).  The Commission has explained that “resale of communications service is a common carrier activity” and that “an entity engaged in the resale of communications service is a common carrier” that is “fully subject to the provisions of Title II of the Communications Act.”  </w:t>
      </w:r>
      <w:r w:rsidRPr="00C90F59">
        <w:rPr>
          <w:i/>
        </w:rPr>
        <w:t>Id</w:t>
      </w:r>
      <w:r>
        <w:t xml:space="preserve">. at 265, 308, paras. 8, 102.  The Commission went so far as to state that, “with the exception that some resellers may not own any transmission plant, we perceive no difference between resale and traditional communications common carriage.”  </w:t>
      </w:r>
      <w:r w:rsidRPr="00C90F59">
        <w:rPr>
          <w:i/>
        </w:rPr>
        <w:t>Id</w:t>
      </w:r>
      <w:r>
        <w:t xml:space="preserve">. at 308, para. 101.  In finding that resellers were also common carriers, the Commission contemplated a host of brokers and other “middlemen” who buy common carrier services and then sell them on a resale basis, including middlemen like Locus.  </w:t>
      </w:r>
      <w:r w:rsidRPr="00C90F59">
        <w:rPr>
          <w:i/>
        </w:rPr>
        <w:t>See id</w:t>
      </w:r>
      <w:r>
        <w:t xml:space="preserve">. at 272, para. 19.  </w:t>
      </w:r>
    </w:p>
  </w:footnote>
  <w:footnote w:id="30">
    <w:p w:rsidR="00565B17" w:rsidRDefault="00565B17" w:rsidP="00565B17">
      <w:pPr>
        <w:pStyle w:val="FootnoteText"/>
      </w:pPr>
      <w:r>
        <w:rPr>
          <w:rStyle w:val="FootnoteReference"/>
        </w:rPr>
        <w:footnoteRef/>
      </w:r>
      <w:r>
        <w:t xml:space="preserve"> </w:t>
      </w:r>
      <w:r w:rsidRPr="00280DE9">
        <w:t xml:space="preserve">Petition at 8-12, 16-21; NAL Response at 16-22, 25-29.  Locus also states that other Commission precedent cited in support of the NAL is distinguishable from its conduct.  </w:t>
      </w:r>
      <w:r w:rsidRPr="00280DE9">
        <w:rPr>
          <w:i/>
        </w:rPr>
        <w:t xml:space="preserve">Id. </w:t>
      </w:r>
      <w:r w:rsidRPr="00280DE9">
        <w:t xml:space="preserve">at 11-12.  </w:t>
      </w:r>
      <w:r>
        <w:t xml:space="preserve">Locus is mistaken.  Attempts to distinguish the cases are unavailing because the Commission’s findings did not hinge on any differences in the industries involved or the services offered, but rather focused on whether sufficient information was provided to consumers.  </w:t>
      </w:r>
      <w:r w:rsidRPr="005F3814">
        <w:rPr>
          <w:i/>
        </w:rPr>
        <w:t xml:space="preserve">See </w:t>
      </w:r>
      <w:r w:rsidRPr="00C2680B">
        <w:t>NAL</w:t>
      </w:r>
      <w:r>
        <w:t xml:space="preserve">, 26 FCC Rcd at 12820, para. 7 &amp; n.13 (citing </w:t>
      </w:r>
      <w:r w:rsidRPr="00307C16">
        <w:rPr>
          <w:i/>
        </w:rPr>
        <w:t>NOS</w:t>
      </w:r>
      <w:r>
        <w:rPr>
          <w:i/>
        </w:rPr>
        <w:t xml:space="preserve"> NAL</w:t>
      </w:r>
      <w:r>
        <w:t xml:space="preserve">; </w:t>
      </w:r>
      <w:r w:rsidRPr="00706F46">
        <w:rPr>
          <w:i/>
        </w:rPr>
        <w:t>Telecomms. Research &amp; Action Ctr.&amp; Consumer Action</w:t>
      </w:r>
      <w:r>
        <w:t xml:space="preserve">, Memorandum Opinion and Order, 4 FCC Rcd 2157 (Com.Car. Bur. 1989); </w:t>
      </w:r>
      <w:r w:rsidRPr="00941AC0">
        <w:rPr>
          <w:i/>
        </w:rPr>
        <w:t>Bus. Disc. Plan, Inc.</w:t>
      </w:r>
      <w:r>
        <w:t xml:space="preserve">, Order of Forfeiture, 15 FCC Rcd 14461 (2000), </w:t>
      </w:r>
      <w:r w:rsidRPr="00941AC0">
        <w:rPr>
          <w:i/>
        </w:rPr>
        <w:t>recon</w:t>
      </w:r>
      <w:r>
        <w:rPr>
          <w:i/>
        </w:rPr>
        <w:t>.</w:t>
      </w:r>
      <w:r w:rsidRPr="00941AC0">
        <w:rPr>
          <w:i/>
        </w:rPr>
        <w:t xml:space="preserve"> granted in part and denied in part</w:t>
      </w:r>
      <w:r>
        <w:t xml:space="preserve">, 15 FCC Rcd 24396 (2000)).    </w:t>
      </w:r>
      <w:r w:rsidRPr="000203E5">
        <w:rPr>
          <w:szCs w:val="22"/>
        </w:rPr>
        <w:t xml:space="preserve">Thus, the focus of the conduct at issue in </w:t>
      </w:r>
      <w:r>
        <w:rPr>
          <w:szCs w:val="22"/>
        </w:rPr>
        <w:t>these cases</w:t>
      </w:r>
      <w:r w:rsidRPr="000203E5">
        <w:rPr>
          <w:szCs w:val="22"/>
        </w:rPr>
        <w:t xml:space="preserve"> was whether </w:t>
      </w:r>
      <w:r>
        <w:rPr>
          <w:szCs w:val="22"/>
        </w:rPr>
        <w:t xml:space="preserve">or not </w:t>
      </w:r>
      <w:r w:rsidRPr="000203E5">
        <w:rPr>
          <w:szCs w:val="22"/>
        </w:rPr>
        <w:t xml:space="preserve">the content of </w:t>
      </w:r>
      <w:r>
        <w:rPr>
          <w:szCs w:val="22"/>
        </w:rPr>
        <w:t xml:space="preserve">marketing and advertising information provided accurate information to consumers, </w:t>
      </w:r>
      <w:r w:rsidRPr="000203E5">
        <w:rPr>
          <w:szCs w:val="22"/>
        </w:rPr>
        <w:t xml:space="preserve">not on any potentially unique aspects of post-paid services.  </w:t>
      </w:r>
      <w:r>
        <w:t xml:space="preserve">As such, we reject Locus’ attempt to distinguish these cases.  </w:t>
      </w:r>
    </w:p>
  </w:footnote>
  <w:footnote w:id="31">
    <w:p w:rsidR="00565B17" w:rsidRPr="00280DE9" w:rsidRDefault="00565B17" w:rsidP="00565B17">
      <w:pPr>
        <w:pStyle w:val="FootnoteText"/>
      </w:pPr>
      <w:r w:rsidRPr="00280DE9">
        <w:rPr>
          <w:rStyle w:val="FootnoteReference"/>
        </w:rPr>
        <w:footnoteRef/>
      </w:r>
      <w:r w:rsidRPr="00280DE9">
        <w:t xml:space="preserve"> Petition at 16-18 (citing </w:t>
      </w:r>
      <w:r w:rsidRPr="00280DE9">
        <w:rPr>
          <w:i/>
        </w:rPr>
        <w:t>Joint FCC/FTC Policy Statement for the Advertising of Dial-Around and Other Long Distance Services to Consumers</w:t>
      </w:r>
      <w:r w:rsidRPr="00280DE9">
        <w:t xml:space="preserve">, Policy Statement, 15 FCC Rcd 8654 (2000); </w:t>
      </w:r>
      <w:r w:rsidRPr="00280DE9">
        <w:rPr>
          <w:i/>
        </w:rPr>
        <w:t>NOS NAL</w:t>
      </w:r>
      <w:r w:rsidRPr="00280DE9">
        <w:t>).</w:t>
      </w:r>
    </w:p>
  </w:footnote>
  <w:footnote w:id="32">
    <w:p w:rsidR="00565B17" w:rsidRPr="00280DE9" w:rsidRDefault="00565B17" w:rsidP="00565B17">
      <w:pPr>
        <w:pStyle w:val="FootnoteText"/>
      </w:pPr>
      <w:r w:rsidRPr="00280DE9">
        <w:rPr>
          <w:rStyle w:val="FootnoteReference"/>
        </w:rPr>
        <w:footnoteRef/>
      </w:r>
      <w:r w:rsidRPr="00280DE9">
        <w:t xml:space="preserve"> </w:t>
      </w:r>
      <w:r w:rsidRPr="00280DE9">
        <w:rPr>
          <w:i/>
        </w:rPr>
        <w:t>See</w:t>
      </w:r>
      <w:r w:rsidRPr="00280DE9">
        <w:t xml:space="preserve"> NAL, 26 FCC Rcd at 12820, 12823, paras. 7</w:t>
      </w:r>
      <w:r w:rsidR="005B05FE">
        <w:t xml:space="preserve"> &amp;</w:t>
      </w:r>
      <w:r w:rsidRPr="00280DE9">
        <w:t xml:space="preserve"> n</w:t>
      </w:r>
      <w:r w:rsidR="005B05FE">
        <w:t>n.13-</w:t>
      </w:r>
      <w:r w:rsidRPr="00280DE9">
        <w:t>14; Forfeiture Order, 30 FCC Rcd at 1</w:t>
      </w:r>
      <w:r>
        <w:t>1809-</w:t>
      </w:r>
      <w:r w:rsidRPr="00280DE9">
        <w:t>11, paras. 10-15.</w:t>
      </w:r>
    </w:p>
  </w:footnote>
  <w:footnote w:id="33">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See supra </w:t>
      </w:r>
      <w:r w:rsidRPr="00280DE9">
        <w:t>Section II.A.</w:t>
      </w:r>
    </w:p>
  </w:footnote>
  <w:footnote w:id="34">
    <w:p w:rsidR="00565B17" w:rsidRPr="00280DE9" w:rsidRDefault="00565B17" w:rsidP="00565B17">
      <w:pPr>
        <w:pStyle w:val="FootnoteText"/>
      </w:pPr>
      <w:r w:rsidRPr="00280DE9">
        <w:rPr>
          <w:rStyle w:val="FootnoteReference"/>
        </w:rPr>
        <w:footnoteRef/>
      </w:r>
      <w:r w:rsidRPr="00280DE9">
        <w:t xml:space="preserve"> Forfeiture Order, 30 FCC Rcd at 11809, para. 10 (citing </w:t>
      </w:r>
      <w:r w:rsidRPr="00280DE9">
        <w:rPr>
          <w:i/>
        </w:rPr>
        <w:t>NOS NAL</w:t>
      </w:r>
      <w:r w:rsidRPr="00280DE9">
        <w:t>, 16 FCC Rcd at 8137-38, para. 9).</w:t>
      </w:r>
    </w:p>
  </w:footnote>
  <w:footnote w:id="35">
    <w:p w:rsidR="00565B17" w:rsidRPr="00280DE9" w:rsidRDefault="00565B17" w:rsidP="00565B17">
      <w:pPr>
        <w:pStyle w:val="FootnoteText"/>
      </w:pPr>
      <w:r w:rsidRPr="00280DE9">
        <w:rPr>
          <w:rStyle w:val="FootnoteReference"/>
        </w:rPr>
        <w:footnoteRef/>
      </w:r>
      <w:r w:rsidRPr="00280DE9">
        <w:t xml:space="preserve"> </w:t>
      </w:r>
      <w:r w:rsidRPr="00280DE9">
        <w:rPr>
          <w:i/>
        </w:rPr>
        <w:t>Lyca Tel</w:t>
      </w:r>
      <w:r w:rsidRPr="00280DE9">
        <w:t xml:space="preserve">, </w:t>
      </w:r>
      <w:r>
        <w:t>30 FCC Rcd at</w:t>
      </w:r>
      <w:r w:rsidRPr="00280DE9">
        <w:t xml:space="preserve"> 11795, para. </w:t>
      </w:r>
      <w:r>
        <w:t xml:space="preserve">5 </w:t>
      </w:r>
      <w:r w:rsidR="005B05FE">
        <w:t xml:space="preserve">&amp; </w:t>
      </w:r>
      <w:r>
        <w:t>n.14</w:t>
      </w:r>
      <w:r w:rsidRPr="00280DE9">
        <w:t>.</w:t>
      </w:r>
      <w:r>
        <w:t xml:space="preserve">  </w:t>
      </w:r>
      <w:r w:rsidRPr="00835C41">
        <w:rPr>
          <w:i/>
        </w:rPr>
        <w:t>See also Preferred Long Distance, Inc</w:t>
      </w:r>
      <w:r>
        <w:t xml:space="preserve">., Forfeiture Order, 30 FCC Rcd 13711, 13718, para. 16 </w:t>
      </w:r>
      <w:r w:rsidR="005B05FE">
        <w:t xml:space="preserve">&amp; </w:t>
      </w:r>
      <w:r>
        <w:t>n.53 (2015) (finding that an NAL, with other Commission decisions, “provided the requisite fair notice”).</w:t>
      </w:r>
    </w:p>
  </w:footnote>
  <w:footnote w:id="36">
    <w:p w:rsidR="00565B17" w:rsidRPr="005045B2" w:rsidRDefault="00565B17" w:rsidP="00565B17">
      <w:pPr>
        <w:pStyle w:val="FootnoteText"/>
      </w:pPr>
      <w:r w:rsidRPr="00280DE9">
        <w:rPr>
          <w:rStyle w:val="FootnoteReference"/>
        </w:rPr>
        <w:footnoteRef/>
      </w:r>
      <w:r w:rsidRPr="00280DE9">
        <w:t xml:space="preserve"> </w:t>
      </w:r>
      <w:r w:rsidRPr="008C4D81">
        <w:rPr>
          <w:i/>
        </w:rPr>
        <w:t>Lyca Tel</w:t>
      </w:r>
      <w:r w:rsidRPr="00280DE9">
        <w:t xml:space="preserve">, 30 FCC Rcd </w:t>
      </w:r>
      <w:r>
        <w:t>at 11796</w:t>
      </w:r>
      <w:r w:rsidRPr="00280DE9">
        <w:t xml:space="preserve">, para. </w:t>
      </w:r>
      <w:r>
        <w:t>15 (citations omitted)</w:t>
      </w:r>
      <w:r w:rsidRPr="00280DE9">
        <w:t>.</w:t>
      </w:r>
      <w:r>
        <w:t xml:space="preserve">  </w:t>
      </w:r>
      <w:r w:rsidRPr="00280DE9">
        <w:t xml:space="preserve">We also underscore that NALs, Forfeiture Orders, and rulemakings are not the only ways in which the Commission can put regulatees on notice of their obligations.  </w:t>
      </w:r>
      <w:r w:rsidRPr="00280DE9">
        <w:rPr>
          <w:i/>
        </w:rPr>
        <w:t>See, e.g.</w:t>
      </w:r>
      <w:r w:rsidRPr="00280DE9">
        <w:t>,</w:t>
      </w:r>
      <w:r w:rsidRPr="00280DE9">
        <w:rPr>
          <w:i/>
        </w:rPr>
        <w:t xml:space="preserve"> Star Wireless, LLC v. FCC</w:t>
      </w:r>
      <w:r w:rsidRPr="00280DE9">
        <w:t xml:space="preserve">, 522 F.3d 469, 474 (D.C. Cir. 2008) (noting that an official interpretation issued by the Commission’s staff </w:t>
      </w:r>
      <w:r>
        <w:t>on delegated authority, such as a public notice or letter,</w:t>
      </w:r>
      <w:r w:rsidRPr="00280DE9">
        <w:t xml:space="preserve"> has the same force and effect as other actions of the Commission).</w:t>
      </w:r>
    </w:p>
  </w:footnote>
  <w:footnote w:id="37">
    <w:p w:rsidR="00565B17" w:rsidRPr="00280DE9" w:rsidRDefault="00565B17" w:rsidP="00565B17">
      <w:pPr>
        <w:pStyle w:val="FootnoteText"/>
      </w:pPr>
      <w:r w:rsidRPr="00280DE9">
        <w:rPr>
          <w:rStyle w:val="FootnoteReference"/>
        </w:rPr>
        <w:footnoteRef/>
      </w:r>
      <w:r w:rsidRPr="00280DE9">
        <w:t xml:space="preserve"> 47 CFR § 1.106(p).</w:t>
      </w:r>
    </w:p>
  </w:footnote>
  <w:footnote w:id="38">
    <w:p w:rsidR="00565B17" w:rsidRPr="00280DE9" w:rsidRDefault="00565B17" w:rsidP="00565B17">
      <w:pPr>
        <w:pStyle w:val="FootnoteText"/>
      </w:pPr>
      <w:r w:rsidRPr="00280DE9">
        <w:rPr>
          <w:rStyle w:val="FootnoteReference"/>
        </w:rPr>
        <w:footnoteRef/>
      </w:r>
      <w:r w:rsidRPr="00280DE9">
        <w:t xml:space="preserve"> Locus also asserts that the Commission’s application of Section 201(b) to its marketing practices “created a standard akin to tariffing.”  Petition at 23</w:t>
      </w:r>
      <w:r w:rsidR="005B05FE">
        <w:t xml:space="preserve"> &amp;</w:t>
      </w:r>
      <w:r w:rsidRPr="00280DE9">
        <w:t xml:space="preserve"> n.97.  The findings in the NAL and Forfeiture Order do not institute a tariff approval process.  To the contrary, the underlying findings in this case hinge </w:t>
      </w:r>
      <w:r>
        <w:t xml:space="preserve">upon consumer-facing misleading or deceptive </w:t>
      </w:r>
      <w:r w:rsidRPr="00280DE9">
        <w:t xml:space="preserve">marketing and advertising, not the manner in which Locus sets its prices.  The Commission’s actions in this case do not second-guess carrier pricing, but rather ensure that carriers </w:t>
      </w:r>
      <w:r>
        <w:t xml:space="preserve">who advertise rates </w:t>
      </w:r>
      <w:r w:rsidRPr="00280DE9">
        <w:t xml:space="preserve">provide consumers with the information they need to calculate the cost of a call.  In the current post-tariff environment (where consumers do not have one centralized place to </w:t>
      </w:r>
      <w:r>
        <w:t>access</w:t>
      </w:r>
      <w:r w:rsidRPr="00280DE9">
        <w:t xml:space="preserve"> pricing information), it is all the more crucial that carriers fulfill their responsibilities to customers by providing transparent pricing information.  </w:t>
      </w:r>
      <w:r w:rsidRPr="00280DE9">
        <w:rPr>
          <w:i/>
        </w:rPr>
        <w:t>See</w:t>
      </w:r>
      <w:r w:rsidRPr="00280DE9">
        <w:t xml:space="preserve"> </w:t>
      </w:r>
      <w:r w:rsidRPr="00280DE9">
        <w:rPr>
          <w:i/>
        </w:rPr>
        <w:t>Boomer v. AT&amp;T Corp</w:t>
      </w:r>
      <w:r w:rsidRPr="00280DE9">
        <w:t>., 309 F.3d 404, 421-22 (7th Cir. 2002) (noting that tariffs served as a mechanism to assure compliance with Sections 201 and 202 of the Act, and that “[f]ollowing detariffing, those goals remain”).</w:t>
      </w:r>
    </w:p>
  </w:footnote>
  <w:footnote w:id="39">
    <w:p w:rsidR="00565B17" w:rsidRPr="00280DE9" w:rsidRDefault="00565B17" w:rsidP="00565B17">
      <w:pPr>
        <w:pStyle w:val="FootnoteText"/>
      </w:pPr>
      <w:r w:rsidRPr="00280DE9">
        <w:rPr>
          <w:rStyle w:val="FootnoteReference"/>
        </w:rPr>
        <w:footnoteRef/>
      </w:r>
      <w:r w:rsidRPr="00280DE9">
        <w:t xml:space="preserve"> Petition at 21-25.</w:t>
      </w:r>
    </w:p>
  </w:footnote>
  <w:footnote w:id="40">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Id. </w:t>
      </w:r>
      <w:r w:rsidRPr="00280DE9">
        <w:t xml:space="preserve">at 21-22.  We note that the requirements of Section 503(b)(4) only extend to the NAL issued in a proceeding.  </w:t>
      </w:r>
      <w:r w:rsidRPr="00280DE9">
        <w:rPr>
          <w:i/>
        </w:rPr>
        <w:t xml:space="preserve">See </w:t>
      </w:r>
      <w:r w:rsidRPr="00280DE9">
        <w:t>47 U.S.C. § 503(b)(4) (requiring the “notice” to provide information regarding the specific provision(s) of the law violated, what conduct violated the law, and when such violative conduct occurred).  However, as Locus argues that the Forfeiture Order also contained insufficient information, we deny these claims on their merits below.</w:t>
      </w:r>
    </w:p>
  </w:footnote>
  <w:footnote w:id="41">
    <w:p w:rsidR="00565B17" w:rsidRPr="00280DE9" w:rsidRDefault="00565B17" w:rsidP="00565B17">
      <w:pPr>
        <w:pStyle w:val="FootnoteText"/>
      </w:pPr>
      <w:r w:rsidRPr="00280DE9">
        <w:rPr>
          <w:rStyle w:val="FootnoteReference"/>
        </w:rPr>
        <w:footnoteRef/>
      </w:r>
      <w:r w:rsidRPr="00280DE9">
        <w:t xml:space="preserve"> Petition</w:t>
      </w:r>
      <w:r w:rsidRPr="00280DE9">
        <w:rPr>
          <w:i/>
        </w:rPr>
        <w:t xml:space="preserve"> </w:t>
      </w:r>
      <w:r w:rsidRPr="00280DE9">
        <w:t>at 23; NAL Response at 36, 40.</w:t>
      </w:r>
    </w:p>
  </w:footnote>
  <w:footnote w:id="42">
    <w:p w:rsidR="00565B17" w:rsidRPr="00280DE9" w:rsidRDefault="00565B17" w:rsidP="00565B17">
      <w:pPr>
        <w:pStyle w:val="FootnoteText"/>
      </w:pPr>
      <w:r w:rsidRPr="00280DE9">
        <w:rPr>
          <w:rStyle w:val="FootnoteReference"/>
        </w:rPr>
        <w:footnoteRef/>
      </w:r>
      <w:r w:rsidRPr="00280DE9">
        <w:t xml:space="preserve"> Forfeiture Order, 30 FCC Rcd at 11813, para. 20.</w:t>
      </w:r>
    </w:p>
  </w:footnote>
  <w:footnote w:id="43">
    <w:p w:rsidR="00565B17" w:rsidRPr="00280DE9" w:rsidRDefault="00565B17" w:rsidP="00565B17">
      <w:pPr>
        <w:pStyle w:val="FootnoteText"/>
      </w:pPr>
      <w:r w:rsidRPr="00280DE9">
        <w:rPr>
          <w:rStyle w:val="FootnoteReference"/>
        </w:rPr>
        <w:footnoteRef/>
      </w:r>
      <w:r w:rsidRPr="00280DE9">
        <w:t xml:space="preserve"> </w:t>
      </w:r>
      <w:r>
        <w:rPr>
          <w:i/>
        </w:rPr>
        <w:t>Preferred Long Distance</w:t>
      </w:r>
      <w:r w:rsidRPr="00BB11F6">
        <w:t>,</w:t>
      </w:r>
      <w:r>
        <w:rPr>
          <w:i/>
        </w:rPr>
        <w:t xml:space="preserve"> </w:t>
      </w:r>
      <w:r>
        <w:t>30 FCC Rcd at 13717, para. 14</w:t>
      </w:r>
      <w:r w:rsidRPr="00280DE9">
        <w:t xml:space="preserve">.  </w:t>
      </w:r>
    </w:p>
  </w:footnote>
  <w:footnote w:id="44">
    <w:p w:rsidR="00565B17" w:rsidRPr="00280DE9" w:rsidRDefault="00565B17" w:rsidP="00565B17">
      <w:pPr>
        <w:pStyle w:val="FootnoteText"/>
      </w:pPr>
      <w:r w:rsidRPr="00280DE9">
        <w:rPr>
          <w:rStyle w:val="FootnoteReference"/>
        </w:rPr>
        <w:footnoteRef/>
      </w:r>
      <w:r w:rsidRPr="00280DE9">
        <w:t xml:space="preserve"> Forfeiture Order, 30 FCC Rcd at 11807, para. 6.</w:t>
      </w:r>
    </w:p>
  </w:footnote>
  <w:footnote w:id="45">
    <w:p w:rsidR="00565B17" w:rsidRPr="00280DE9" w:rsidRDefault="00565B17" w:rsidP="00565B17">
      <w:pPr>
        <w:pStyle w:val="FootnoteText"/>
      </w:pPr>
      <w:r w:rsidRPr="00280DE9">
        <w:rPr>
          <w:rStyle w:val="FootnoteReference"/>
        </w:rPr>
        <w:footnoteRef/>
      </w:r>
      <w:r w:rsidRPr="00280DE9">
        <w:t xml:space="preserve"> </w:t>
      </w:r>
      <w:r w:rsidRPr="00280DE9">
        <w:rPr>
          <w:i/>
        </w:rPr>
        <w:t>STi</w:t>
      </w:r>
      <w:r w:rsidRPr="00280DE9">
        <w:t>, 30 FCC Rcd at 11754, para. 25.</w:t>
      </w:r>
    </w:p>
  </w:footnote>
  <w:footnote w:id="46">
    <w:p w:rsidR="00565B17" w:rsidRPr="00FA7FA7" w:rsidRDefault="00565B17" w:rsidP="00565B17">
      <w:pPr>
        <w:pStyle w:val="FootnoteText"/>
      </w:pPr>
      <w:r w:rsidRPr="00280DE9">
        <w:rPr>
          <w:rStyle w:val="FootnoteReference"/>
        </w:rPr>
        <w:footnoteRef/>
      </w:r>
      <w:r w:rsidRPr="00280DE9">
        <w:t xml:space="preserve"> Forfeiture Order, 30 FCC Rcd at 11811, para. 14 (“In addition to vague or incomplete representations, Locus’s disclosures omit key facts that consumers would need to understand the rate structure.”); NAL, 26 FCC Rcd at 12822-23, para. 12 (finding Locus’s disclosures “are inadequate to inform consumers fully about the possible reduction in the number of advertised minutes, the circumstances under which those minutes will not be received, or how to calculate the actual number of minutes provided”).</w:t>
      </w:r>
      <w:r>
        <w:t xml:space="preserve">  </w:t>
      </w:r>
      <w:r>
        <w:rPr>
          <w:i/>
        </w:rPr>
        <w:t>Cf.</w:t>
      </w:r>
      <w:r>
        <w:t xml:space="preserve"> </w:t>
      </w:r>
      <w:r w:rsidRPr="004E28A2">
        <w:rPr>
          <w:i/>
        </w:rPr>
        <w:t>NOS NAL</w:t>
      </w:r>
      <w:r>
        <w:t>, 16 FCC Rcd at 8137-38, para. 9 (concluding that a misleading rate structure “would almost certainly be misleading to consumers in the absence of . . . clear and conspicuous disclosure on how to calculate the total cost of a call”).</w:t>
      </w:r>
    </w:p>
  </w:footnote>
  <w:footnote w:id="47">
    <w:p w:rsidR="00565B17" w:rsidRPr="00280DE9" w:rsidRDefault="00565B17" w:rsidP="00565B17">
      <w:pPr>
        <w:pStyle w:val="FootnoteText"/>
      </w:pPr>
      <w:r w:rsidRPr="00280DE9">
        <w:rPr>
          <w:rStyle w:val="FootnoteReference"/>
        </w:rPr>
        <w:footnoteRef/>
      </w:r>
      <w:r w:rsidRPr="00280DE9">
        <w:t xml:space="preserve"> Petition at 21.</w:t>
      </w:r>
    </w:p>
  </w:footnote>
  <w:footnote w:id="48">
    <w:p w:rsidR="00565B17" w:rsidRPr="00280DE9" w:rsidRDefault="00565B17" w:rsidP="00565B17">
      <w:pPr>
        <w:pStyle w:val="FootnoteText"/>
      </w:pPr>
      <w:r w:rsidRPr="00280DE9">
        <w:rPr>
          <w:rStyle w:val="FootnoteReference"/>
        </w:rPr>
        <w:footnoteRef/>
      </w:r>
      <w:r w:rsidRPr="00280DE9">
        <w:t xml:space="preserve"> Forfeiture Order, 30 FCC Rcd at 11813, para. 19</w:t>
      </w:r>
      <w:r w:rsidR="005B05FE">
        <w:t xml:space="preserve"> &amp;</w:t>
      </w:r>
      <w:r w:rsidRPr="00280DE9">
        <w:t xml:space="preserve"> n.68; NAL, 26 FCC Rcd at 12825, para. 18 </w:t>
      </w:r>
      <w:r w:rsidR="005B05FE">
        <w:t xml:space="preserve">&amp; </w:t>
      </w:r>
      <w:r w:rsidRPr="00280DE9">
        <w:t>n.40.</w:t>
      </w:r>
      <w:r>
        <w:t xml:space="preserve">  </w:t>
      </w:r>
      <w:r w:rsidRPr="004E28A2">
        <w:rPr>
          <w:i/>
        </w:rPr>
        <w:t xml:space="preserve">See </w:t>
      </w:r>
      <w:r w:rsidRPr="00690ED5">
        <w:rPr>
          <w:i/>
        </w:rPr>
        <w:t>also infra</w:t>
      </w:r>
      <w:r w:rsidRPr="00690ED5">
        <w:t>.</w:t>
      </w:r>
      <w:r>
        <w:t xml:space="preserve"> para. 10 (discussing the forfeiture calculation).</w:t>
      </w:r>
    </w:p>
  </w:footnote>
  <w:footnote w:id="49">
    <w:p w:rsidR="00565B17" w:rsidRPr="00280DE9" w:rsidRDefault="00565B17" w:rsidP="00565B17">
      <w:pPr>
        <w:pStyle w:val="FootnoteText"/>
      </w:pPr>
      <w:r w:rsidRPr="00280DE9">
        <w:rPr>
          <w:rStyle w:val="FootnoteReference"/>
        </w:rPr>
        <w:footnoteRef/>
      </w:r>
      <w:r w:rsidRPr="00280DE9">
        <w:t xml:space="preserve"> </w:t>
      </w:r>
      <w:r w:rsidRPr="00280DE9">
        <w:rPr>
          <w:i/>
        </w:rPr>
        <w:t>STi</w:t>
      </w:r>
      <w:r w:rsidRPr="00280DE9">
        <w:t xml:space="preserve">, 30 FCC Rcd at 11749, para. 15 (citing </w:t>
      </w:r>
      <w:r w:rsidRPr="00280DE9">
        <w:rPr>
          <w:i/>
        </w:rPr>
        <w:t>E. Carolina Broad. Co</w:t>
      </w:r>
      <w:r w:rsidRPr="00280DE9">
        <w:t xml:space="preserve">., Memorandum Opinion and Order, 6 FCC Rcd 6154, 6155-56, para. 12 (1991); </w:t>
      </w:r>
      <w:r w:rsidRPr="00280DE9">
        <w:rPr>
          <w:i/>
        </w:rPr>
        <w:t>WROV Broadcasters, Inc</w:t>
      </w:r>
      <w:r w:rsidRPr="00280DE9">
        <w:t>., Memorandum Opinion and Order, 6 FCC Rcd 1421, 1422, para. 12 (1991)).</w:t>
      </w:r>
    </w:p>
  </w:footnote>
  <w:footnote w:id="50">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Id. </w:t>
      </w:r>
      <w:r w:rsidRPr="00280DE9">
        <w:t>at 11749-50, para. 15.</w:t>
      </w:r>
    </w:p>
  </w:footnote>
  <w:footnote w:id="51">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Id. </w:t>
      </w:r>
      <w:r w:rsidRPr="00280DE9">
        <w:t>at 11750, para. 15.</w:t>
      </w:r>
    </w:p>
  </w:footnote>
  <w:footnote w:id="52">
    <w:p w:rsidR="00565B17" w:rsidRPr="00280DE9" w:rsidRDefault="00565B17" w:rsidP="00565B17">
      <w:pPr>
        <w:pStyle w:val="FootnoteText"/>
      </w:pPr>
      <w:r w:rsidRPr="00280DE9">
        <w:rPr>
          <w:rStyle w:val="FootnoteReference"/>
        </w:rPr>
        <w:footnoteRef/>
      </w:r>
      <w:r w:rsidRPr="00280DE9">
        <w:t xml:space="preserve"> </w:t>
      </w:r>
      <w:r w:rsidRPr="00280DE9">
        <w:rPr>
          <w:i/>
        </w:rPr>
        <w:t>See Gross v. FBL Fin. Servs., Inc.</w:t>
      </w:r>
      <w:r w:rsidRPr="00280DE9">
        <w:t xml:space="preserve">, 557 U.S. 167, 175 (2009) (“Statutory construction must begin with the language employed by Congress and the assumption that the ordinary meaning of that language accurately expresses the legislative purpose.”) (citations omitted).  </w:t>
      </w:r>
    </w:p>
  </w:footnote>
  <w:footnote w:id="53">
    <w:p w:rsidR="00565B17" w:rsidRPr="00280DE9" w:rsidRDefault="00565B17" w:rsidP="00565B17">
      <w:pPr>
        <w:pStyle w:val="FootnoteText"/>
      </w:pPr>
      <w:r w:rsidRPr="00280DE9">
        <w:rPr>
          <w:rStyle w:val="FootnoteReference"/>
        </w:rPr>
        <w:footnoteRef/>
      </w:r>
      <w:r w:rsidRPr="00280DE9">
        <w:t xml:space="preserve"> </w:t>
      </w:r>
      <w:r w:rsidRPr="00280DE9">
        <w:rPr>
          <w:i/>
        </w:rPr>
        <w:t xml:space="preserve">See </w:t>
      </w:r>
      <w:r w:rsidRPr="00280DE9">
        <w:t xml:space="preserve">NAL, 26 FCC Rcd at 12824-25, para. 18; Forfeiture Order, 30 FCC Rcd at 11814, para. 23.  </w:t>
      </w:r>
      <w:r w:rsidRPr="00280DE9">
        <w:rPr>
          <w:i/>
        </w:rPr>
        <w:t>See, e.g.</w:t>
      </w:r>
      <w:r w:rsidRPr="00280DE9">
        <w:t xml:space="preserve">, </w:t>
      </w:r>
      <w:r w:rsidRPr="00280DE9">
        <w:rPr>
          <w:i/>
        </w:rPr>
        <w:t>Travelcomm Indus., Inc.</w:t>
      </w:r>
      <w:r w:rsidRPr="00280DE9">
        <w:t>, Forfeiture Order, 26 FCC Rcd 6476, 6481, para. 12 (2011) (rejecting Section 503(b)(4) notice claim where NAL “described in detail the evidence upon which the proposed forfeiture was based”).</w:t>
      </w:r>
    </w:p>
  </w:footnote>
  <w:footnote w:id="54">
    <w:p w:rsidR="00565B17" w:rsidRPr="00280DE9" w:rsidRDefault="00565B17" w:rsidP="00565B17">
      <w:pPr>
        <w:pStyle w:val="FootnoteText"/>
      </w:pPr>
      <w:r w:rsidRPr="00280DE9">
        <w:rPr>
          <w:rStyle w:val="FootnoteReference"/>
        </w:rPr>
        <w:footnoteRef/>
      </w:r>
      <w:r w:rsidRPr="00280DE9">
        <w:t xml:space="preserve"> Petition at 24-25; NAL Response at 38-41.</w:t>
      </w:r>
    </w:p>
  </w:footnote>
  <w:footnote w:id="55">
    <w:p w:rsidR="00565B17" w:rsidRPr="00280DE9" w:rsidRDefault="00565B17" w:rsidP="00565B17">
      <w:pPr>
        <w:pStyle w:val="FootnoteText"/>
      </w:pPr>
      <w:r w:rsidRPr="00280DE9">
        <w:rPr>
          <w:rStyle w:val="FootnoteReference"/>
        </w:rPr>
        <w:footnoteRef/>
      </w:r>
      <w:r w:rsidRPr="00280DE9">
        <w:t xml:space="preserve"> 47 U.S.C. § 503(b).</w:t>
      </w:r>
    </w:p>
  </w:footnote>
  <w:footnote w:id="56">
    <w:p w:rsidR="00565B17" w:rsidRPr="00280DE9" w:rsidRDefault="00565B17" w:rsidP="00565B17">
      <w:pPr>
        <w:pStyle w:val="FootnoteText"/>
      </w:pPr>
      <w:r w:rsidRPr="00280DE9">
        <w:rPr>
          <w:rStyle w:val="FootnoteReference"/>
        </w:rPr>
        <w:footnoteRef/>
      </w:r>
      <w:r w:rsidRPr="00280DE9">
        <w:t xml:space="preserve"> 47 CFR § 1.80.</w:t>
      </w:r>
    </w:p>
  </w:footnote>
  <w:footnote w:id="57">
    <w:p w:rsidR="00565B17" w:rsidRPr="00280DE9" w:rsidRDefault="00565B17" w:rsidP="00565B17">
      <w:pPr>
        <w:pStyle w:val="FootnoteText"/>
      </w:pPr>
      <w:r w:rsidRPr="00280DE9">
        <w:rPr>
          <w:rStyle w:val="FootnoteReference"/>
        </w:rPr>
        <w:footnoteRef/>
      </w:r>
      <w:r w:rsidRPr="00280DE9">
        <w:rPr>
          <w:i/>
        </w:rPr>
        <w:t xml:space="preserve"> The Commission’s Forfeiture Policy Statement and Amendment of Section 1.80 of the Rules to Incorporate the Forfeiture Guidelines</w:t>
      </w:r>
      <w:r w:rsidRPr="00280DE9">
        <w:t>, Report and Order, 12 FCC Rcd 17087 (1997) (</w:t>
      </w:r>
      <w:r w:rsidRPr="00280DE9">
        <w:rPr>
          <w:i/>
        </w:rPr>
        <w:t>Forfeiture Policy Statement</w:t>
      </w:r>
      <w:r w:rsidRPr="00280DE9">
        <w:t xml:space="preserve">), </w:t>
      </w:r>
      <w:r w:rsidRPr="00280DE9">
        <w:rPr>
          <w:i/>
        </w:rPr>
        <w:t>recons. denied</w:t>
      </w:r>
      <w:r w:rsidRPr="00280DE9">
        <w:t xml:space="preserve">, Memorandum Opinion and Order, 15 FCC Rcd 303 (1999). </w:t>
      </w:r>
    </w:p>
  </w:footnote>
  <w:footnote w:id="58">
    <w:p w:rsidR="00565B17" w:rsidRPr="00280DE9" w:rsidRDefault="00565B17" w:rsidP="00565B17">
      <w:pPr>
        <w:pStyle w:val="FootnoteText"/>
      </w:pPr>
      <w:r w:rsidRPr="00280DE9">
        <w:rPr>
          <w:rStyle w:val="FootnoteReference"/>
        </w:rPr>
        <w:footnoteRef/>
      </w:r>
      <w:r w:rsidRPr="00280DE9">
        <w:t xml:space="preserve"> 47 U.S.C. § 503(b)(2)(E).</w:t>
      </w:r>
    </w:p>
  </w:footnote>
  <w:footnote w:id="59">
    <w:p w:rsidR="00565B17" w:rsidRPr="00280DE9" w:rsidRDefault="00565B17" w:rsidP="00565B17">
      <w:pPr>
        <w:pStyle w:val="FootnoteText"/>
      </w:pPr>
      <w:r w:rsidRPr="00280DE9">
        <w:rPr>
          <w:rStyle w:val="FootnoteReference"/>
        </w:rPr>
        <w:footnoteRef/>
      </w:r>
      <w:r w:rsidRPr="00280DE9">
        <w:t xml:space="preserve"> NAL, 26 FCC Rcd at 12825, para. 18.  </w:t>
      </w:r>
      <w:r w:rsidRPr="00280DE9">
        <w:rPr>
          <w:i/>
        </w:rPr>
        <w:t xml:space="preserve">See </w:t>
      </w:r>
      <w:r w:rsidRPr="00280DE9">
        <w:t>Forfeiture Order, 30 FCC Rcd at 11813-14, para. 21 (noting forfeiture amount was based on Section 503 factors</w:t>
      </w:r>
      <w:r w:rsidRPr="00854176">
        <w:t xml:space="preserve">).  </w:t>
      </w:r>
      <w:r w:rsidRPr="004843D3">
        <w:rPr>
          <w:rStyle w:val="apple-converted-space"/>
          <w:color w:val="000000"/>
          <w:shd w:val="clear" w:color="auto" w:fill="FFFFFF"/>
        </w:rPr>
        <w:t xml:space="preserve">Locus shares a close corporate relationship with Total Call Mobile, which is the target of a $51 million Notice of Apparent Liability </w:t>
      </w:r>
      <w:r>
        <w:rPr>
          <w:rStyle w:val="apple-converted-space"/>
          <w:color w:val="000000"/>
          <w:shd w:val="clear" w:color="auto" w:fill="FFFFFF"/>
        </w:rPr>
        <w:t xml:space="preserve">for Forfeiture </w:t>
      </w:r>
      <w:r w:rsidRPr="004843D3">
        <w:rPr>
          <w:rStyle w:val="apple-converted-space"/>
          <w:color w:val="000000"/>
          <w:shd w:val="clear" w:color="auto" w:fill="FFFFFF"/>
        </w:rPr>
        <w:t xml:space="preserve">for Lifeline-related violations. </w:t>
      </w:r>
      <w:r>
        <w:rPr>
          <w:rStyle w:val="apple-converted-space"/>
          <w:color w:val="000000"/>
          <w:shd w:val="clear" w:color="auto" w:fill="FFFFFF"/>
        </w:rPr>
        <w:t xml:space="preserve"> </w:t>
      </w:r>
      <w:r w:rsidRPr="004843D3">
        <w:rPr>
          <w:i/>
          <w:color w:val="231F20"/>
        </w:rPr>
        <w:t>Total Call Mobile, Inc.</w:t>
      </w:r>
      <w:r>
        <w:rPr>
          <w:color w:val="231F20"/>
        </w:rPr>
        <w:t xml:space="preserve">, Notice of Apparent Liability for Forfeiture and Order, </w:t>
      </w:r>
      <w:r w:rsidRPr="004843D3">
        <w:rPr>
          <w:iCs/>
        </w:rPr>
        <w:t>31 FCC Rcd 4191</w:t>
      </w:r>
      <w:r>
        <w:rPr>
          <w:color w:val="231F20"/>
        </w:rPr>
        <w:t xml:space="preserve"> (2016).  </w:t>
      </w:r>
      <w:r w:rsidRPr="004843D3">
        <w:rPr>
          <w:rStyle w:val="apple-converted-space"/>
          <w:color w:val="000000"/>
          <w:shd w:val="clear" w:color="auto" w:fill="FFFFFF"/>
        </w:rPr>
        <w:t>For example, both companies have the same corporate parent, KDDI America, and both have overlapping corporate officers, such as the chief executive officer and general counsel.</w:t>
      </w:r>
    </w:p>
  </w:footnote>
  <w:footnote w:id="60">
    <w:p w:rsidR="00565B17" w:rsidRPr="00280DE9" w:rsidRDefault="00565B17" w:rsidP="00565B17">
      <w:pPr>
        <w:pStyle w:val="FootnoteText"/>
      </w:pPr>
      <w:r w:rsidRPr="00280DE9">
        <w:rPr>
          <w:rStyle w:val="FootnoteReference"/>
        </w:rPr>
        <w:footnoteRef/>
      </w:r>
      <w:r w:rsidRPr="00280DE9">
        <w:t xml:space="preserve"> NAL, 2</w:t>
      </w:r>
      <w:r>
        <w:t>6</w:t>
      </w:r>
      <w:r w:rsidRPr="00280DE9">
        <w:t xml:space="preserve"> FCC Rcd at </w:t>
      </w:r>
      <w:r>
        <w:t>12825</w:t>
      </w:r>
      <w:r w:rsidRPr="00280DE9">
        <w:t>, para. 1</w:t>
      </w:r>
      <w:r>
        <w:t>8</w:t>
      </w:r>
      <w:r w:rsidRPr="00280DE9">
        <w:t>.</w:t>
      </w:r>
    </w:p>
  </w:footnote>
  <w:footnote w:id="61">
    <w:p w:rsidR="00565B17" w:rsidRPr="00280DE9" w:rsidRDefault="00565B17" w:rsidP="00565B17">
      <w:pPr>
        <w:pStyle w:val="FootnoteText"/>
      </w:pPr>
      <w:r w:rsidRPr="00280DE9">
        <w:rPr>
          <w:rStyle w:val="FootnoteReference"/>
        </w:rPr>
        <w:footnoteRef/>
      </w:r>
      <w:r w:rsidRPr="00280DE9">
        <w:t xml:space="preserve"> Forfeiture Order, 30 FCC Rcd at 11813, para. 19</w:t>
      </w:r>
      <w:r w:rsidR="005B05FE">
        <w:t xml:space="preserve"> &amp;</w:t>
      </w:r>
      <w:r w:rsidRPr="00280DE9">
        <w:t xml:space="preserve"> n.68; NAL, 26 FCC Rcd at 12825, para. 18 </w:t>
      </w:r>
      <w:r w:rsidR="005B05FE">
        <w:t xml:space="preserve">&amp; </w:t>
      </w:r>
      <w:r w:rsidRPr="00280DE9">
        <w:t>n.40.</w:t>
      </w:r>
    </w:p>
  </w:footnote>
  <w:footnote w:id="62">
    <w:p w:rsidR="00565B17" w:rsidRPr="00280DE9" w:rsidRDefault="00565B17" w:rsidP="00565B17">
      <w:pPr>
        <w:pStyle w:val="FootnoteText"/>
      </w:pPr>
      <w:r w:rsidRPr="00280DE9">
        <w:rPr>
          <w:rStyle w:val="FootnoteReference"/>
        </w:rPr>
        <w:footnoteRef/>
      </w:r>
      <w:r w:rsidRPr="00280DE9">
        <w:t xml:space="preserve"> Petition at 24-25.</w:t>
      </w:r>
    </w:p>
  </w:footnote>
  <w:footnote w:id="63">
    <w:p w:rsidR="00565B17" w:rsidRPr="00280DE9" w:rsidRDefault="00565B17" w:rsidP="00565B17">
      <w:pPr>
        <w:pStyle w:val="FootnoteText"/>
      </w:pPr>
      <w:r w:rsidRPr="00280DE9">
        <w:rPr>
          <w:rStyle w:val="FootnoteReference"/>
        </w:rPr>
        <w:footnoteRef/>
      </w:r>
      <w:r w:rsidRPr="00280DE9">
        <w:t xml:space="preserve"> </w:t>
      </w:r>
      <w:r w:rsidRPr="00280DE9">
        <w:rPr>
          <w:i/>
        </w:rPr>
        <w:t>STi</w:t>
      </w:r>
      <w:r w:rsidRPr="00280DE9">
        <w:t>, 30 FCC Rcd at 11748-49, para. 14 (citations omitted) (emphasis original).</w:t>
      </w:r>
    </w:p>
  </w:footnote>
  <w:footnote w:id="64">
    <w:p w:rsidR="00565B17" w:rsidRPr="00280DE9" w:rsidRDefault="00565B17" w:rsidP="00565B17">
      <w:pPr>
        <w:pStyle w:val="FootnoteText"/>
      </w:pPr>
      <w:r w:rsidRPr="00280DE9">
        <w:rPr>
          <w:rStyle w:val="FootnoteReference"/>
        </w:rPr>
        <w:footnoteRef/>
      </w:r>
      <w:r w:rsidRPr="00280DE9">
        <w:t xml:space="preserve"> </w:t>
      </w:r>
      <w:r w:rsidRPr="00280DE9">
        <w:rPr>
          <w:i/>
        </w:rPr>
        <w:t>See</w:t>
      </w:r>
      <w:r w:rsidRPr="00280DE9">
        <w:t xml:space="preserve"> NAL, 26 FCC Rcd at 12824, para. 18; Forfeiture Order, 30 FCC Rcd at 11812-13, para. 19.</w:t>
      </w:r>
    </w:p>
  </w:footnote>
  <w:footnote w:id="65">
    <w:p w:rsidR="00565B17" w:rsidRPr="00280DE9" w:rsidRDefault="00565B17" w:rsidP="00565B17">
      <w:pPr>
        <w:pStyle w:val="FootnoteText"/>
      </w:pPr>
      <w:r w:rsidRPr="00280DE9">
        <w:rPr>
          <w:rStyle w:val="FootnoteReference"/>
        </w:rPr>
        <w:footnoteRef/>
      </w:r>
      <w:r w:rsidRPr="00280DE9">
        <w:t xml:space="preserve"> NAL, 26 FCC Rcd at 12825, para. 18.</w:t>
      </w:r>
    </w:p>
  </w:footnote>
  <w:footnote w:id="66">
    <w:p w:rsidR="00565B17" w:rsidRPr="00280DE9" w:rsidRDefault="00565B17" w:rsidP="00565B17">
      <w:pPr>
        <w:pStyle w:val="FootnoteText"/>
      </w:pPr>
      <w:r w:rsidRPr="00280DE9">
        <w:rPr>
          <w:rStyle w:val="FootnoteReference"/>
        </w:rPr>
        <w:footnoteRef/>
      </w:r>
      <w:r w:rsidRPr="00280DE9">
        <w:t xml:space="preserve"> 47 CFR § 1.106(b), (p) (Petitions for Reconsideration that fail to rely on new facts or changed circumstances may be dismissed).  Locus once again argues that the Commission neglected to consider Locus’s purported compliance with state laws as evidence that its marketing practices were not deceptive when assessing the forfeiture.  Petition at 24; NAL Response at 22-25.  </w:t>
      </w:r>
      <w:r>
        <w:t xml:space="preserve">But we already </w:t>
      </w:r>
      <w:r w:rsidRPr="00280DE9">
        <w:t>determined that “the existence of state laws regulating advertising does not preclude the Commission from taking action to protect consumers from deceptive advertising on its own motion under the Act” and concluded that Locus’s marketing practices were deceptive</w:t>
      </w:r>
      <w:r>
        <w:t xml:space="preserve"> under Section 201(b)</w:t>
      </w:r>
      <w:r w:rsidRPr="00280DE9">
        <w:t xml:space="preserve">.  Forfeiture Order, 30 FCC </w:t>
      </w:r>
      <w:r>
        <w:t xml:space="preserve">Rcd at 11809-12, paras. 10-17.  </w:t>
      </w:r>
      <w:r w:rsidRPr="00280DE9">
        <w:t xml:space="preserve">We find no basis to depart from our earlier findings here.  47 CFR § 1.106(p).   </w:t>
      </w:r>
    </w:p>
  </w:footnote>
  <w:footnote w:id="67">
    <w:p w:rsidR="00565B17" w:rsidRPr="00280DE9" w:rsidRDefault="00565B17" w:rsidP="00565B17">
      <w:pPr>
        <w:pStyle w:val="FootnoteText"/>
      </w:pPr>
      <w:r w:rsidRPr="00280DE9">
        <w:rPr>
          <w:rStyle w:val="FootnoteReference"/>
        </w:rPr>
        <w:footnoteRef/>
      </w:r>
      <w:r w:rsidRPr="00280DE9">
        <w:t xml:space="preserve"> 47 U.S.C. § 201(b).</w:t>
      </w:r>
    </w:p>
  </w:footnote>
  <w:footnote w:id="68">
    <w:p w:rsidR="00565B17" w:rsidRPr="00280DE9" w:rsidRDefault="00565B17" w:rsidP="00565B17">
      <w:pPr>
        <w:pStyle w:val="FootnoteText"/>
      </w:pPr>
      <w:r w:rsidRPr="00280DE9">
        <w:rPr>
          <w:rStyle w:val="FootnoteReference"/>
        </w:rPr>
        <w:footnoteRef/>
      </w:r>
      <w:r w:rsidRPr="00280DE9">
        <w:t xml:space="preserve"> 47 U.S.C. § 405; 47 CFR § 1.106.</w:t>
      </w:r>
    </w:p>
  </w:footnote>
  <w:footnote w:id="69">
    <w:p w:rsidR="00565B17" w:rsidRPr="00280DE9" w:rsidRDefault="00565B17" w:rsidP="00565B17">
      <w:pPr>
        <w:pStyle w:val="FootnoteText"/>
      </w:pPr>
      <w:r w:rsidRPr="00280DE9">
        <w:rPr>
          <w:rStyle w:val="FootnoteReference"/>
        </w:rPr>
        <w:footnoteRef/>
      </w:r>
      <w:r w:rsidRPr="00280DE9">
        <w:t xml:space="preserve"> 47 U.S.C. §§ 201(b), 503(b); 47 CFR § 1.80.</w:t>
      </w:r>
    </w:p>
  </w:footnote>
  <w:footnote w:id="70">
    <w:p w:rsidR="00565B17" w:rsidRPr="00280DE9" w:rsidRDefault="00565B17" w:rsidP="00565B17">
      <w:pPr>
        <w:pStyle w:val="FootnoteText"/>
      </w:pPr>
      <w:r w:rsidRPr="00280DE9">
        <w:rPr>
          <w:rStyle w:val="FootnoteReference"/>
        </w:rPr>
        <w:footnoteRef/>
      </w:r>
      <w:r w:rsidRPr="00280DE9">
        <w:t xml:space="preserve"> 47 CFR § 1.80.</w:t>
      </w:r>
      <w:r>
        <w:t xml:space="preserve">  The Department of Justice (DOJ) has filed a Complaint for Recovery of the forfeiture against Locus in the United States District Court for the District of New Jersey.  The court has granted the DOJ leave to file a motion requesting that the case be held in abeyance until such time as the Commission decides Locus’s Petition for Reconsideration.  </w:t>
      </w:r>
    </w:p>
  </w:footnote>
  <w:footnote w:id="71">
    <w:p w:rsidR="00565B17" w:rsidRPr="00280DE9" w:rsidRDefault="00565B17" w:rsidP="00565B17">
      <w:pPr>
        <w:pStyle w:val="FootnoteText"/>
      </w:pPr>
      <w:r w:rsidRPr="00280DE9">
        <w:rPr>
          <w:rStyle w:val="FootnoteReference"/>
        </w:rPr>
        <w:footnoteRef/>
      </w:r>
      <w:r w:rsidRPr="00280DE9">
        <w:t xml:space="preserve"> </w:t>
      </w:r>
      <w:r w:rsidRPr="00280DE9">
        <w:rPr>
          <w:rFonts w:eastAsia="MS Mincho"/>
        </w:rPr>
        <w:t>An FCC Form 159 and detailed instructions for completing the form may be obtained at http://www.fcc.gov/Forms/Form159/159.pdf.</w:t>
      </w:r>
    </w:p>
  </w:footnote>
  <w:footnote w:id="72">
    <w:p w:rsidR="00565B17" w:rsidRPr="00280DE9" w:rsidRDefault="00565B17" w:rsidP="00565B17">
      <w:pPr>
        <w:pStyle w:val="FootnoteText"/>
      </w:pPr>
      <w:r w:rsidRPr="00280DE9">
        <w:rPr>
          <w:rStyle w:val="FootnoteReference"/>
        </w:rPr>
        <w:footnoteRef/>
      </w:r>
      <w:r w:rsidRPr="00280DE9">
        <w:t xml:space="preserve"> </w:t>
      </w:r>
      <w:r w:rsidRPr="00280DE9">
        <w:rPr>
          <w:i/>
        </w:rPr>
        <w:t>See</w:t>
      </w:r>
      <w:r w:rsidRPr="00280DE9">
        <w:t xml:space="preserve"> 47 CFR § 1.1914.</w:t>
      </w:r>
    </w:p>
  </w:footnote>
  <w:footnote w:id="73">
    <w:p w:rsidR="00990FB9" w:rsidRDefault="00990FB9" w:rsidP="00990FB9">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74">
    <w:p w:rsidR="00990FB9" w:rsidRDefault="00990FB9" w:rsidP="00990FB9">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75">
    <w:p w:rsidR="00990FB9" w:rsidRDefault="00990FB9" w:rsidP="00990FB9">
      <w:pPr>
        <w:pStyle w:val="FootnoteText"/>
      </w:pPr>
      <w:r>
        <w:rPr>
          <w:rStyle w:val="FootnoteReference"/>
        </w:rPr>
        <w:footnoteRef/>
      </w:r>
      <w:r>
        <w:t xml:space="preserve"> </w:t>
      </w:r>
      <w:r>
        <w:rPr>
          <w:i/>
        </w:rPr>
        <w:t>See</w:t>
      </w:r>
      <w:r>
        <w:t xml:space="preserve"> 47 C.F.R. § 1.80(b)(2).  </w:t>
      </w:r>
    </w:p>
  </w:footnote>
  <w:footnote w:id="76">
    <w:p w:rsidR="00990FB9" w:rsidRDefault="00990FB9" w:rsidP="00990FB9">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77">
    <w:p w:rsidR="00990FB9" w:rsidRDefault="00990FB9" w:rsidP="00990FB9">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2B" w:rsidRDefault="00871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23951">
      <w:t>FCC 16-144</w:t>
    </w:r>
  </w:p>
  <w:p w:rsidR="00D25FB5" w:rsidRDefault="00AC723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C723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23951">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B17"/>
    <w:rsid w:val="00036039"/>
    <w:rsid w:val="00037F90"/>
    <w:rsid w:val="000875BF"/>
    <w:rsid w:val="00096D8C"/>
    <w:rsid w:val="000C0B65"/>
    <w:rsid w:val="000E05FE"/>
    <w:rsid w:val="000E3D42"/>
    <w:rsid w:val="000F4823"/>
    <w:rsid w:val="00122BD5"/>
    <w:rsid w:val="00133F79"/>
    <w:rsid w:val="00194A66"/>
    <w:rsid w:val="00195AAB"/>
    <w:rsid w:val="001A4CB5"/>
    <w:rsid w:val="001C59B0"/>
    <w:rsid w:val="001D6BCF"/>
    <w:rsid w:val="001E01CA"/>
    <w:rsid w:val="002474F6"/>
    <w:rsid w:val="00275CF5"/>
    <w:rsid w:val="0028301F"/>
    <w:rsid w:val="00285017"/>
    <w:rsid w:val="002A2D2E"/>
    <w:rsid w:val="002B3351"/>
    <w:rsid w:val="002C00E8"/>
    <w:rsid w:val="00323951"/>
    <w:rsid w:val="00343749"/>
    <w:rsid w:val="00364691"/>
    <w:rsid w:val="003660ED"/>
    <w:rsid w:val="003B0550"/>
    <w:rsid w:val="003B694F"/>
    <w:rsid w:val="003D2C9E"/>
    <w:rsid w:val="003F171C"/>
    <w:rsid w:val="00412FC5"/>
    <w:rsid w:val="00422276"/>
    <w:rsid w:val="004242F1"/>
    <w:rsid w:val="00445A00"/>
    <w:rsid w:val="00451B0F"/>
    <w:rsid w:val="00472BDE"/>
    <w:rsid w:val="004C2EE3"/>
    <w:rsid w:val="004E4A22"/>
    <w:rsid w:val="004F6312"/>
    <w:rsid w:val="00511968"/>
    <w:rsid w:val="00552E5F"/>
    <w:rsid w:val="0055614C"/>
    <w:rsid w:val="00565B17"/>
    <w:rsid w:val="005B05FE"/>
    <w:rsid w:val="005B0B8A"/>
    <w:rsid w:val="005E14C2"/>
    <w:rsid w:val="00607BA5"/>
    <w:rsid w:val="0061180A"/>
    <w:rsid w:val="0061799C"/>
    <w:rsid w:val="00626EB6"/>
    <w:rsid w:val="00655D03"/>
    <w:rsid w:val="00657E77"/>
    <w:rsid w:val="00674DBB"/>
    <w:rsid w:val="00683388"/>
    <w:rsid w:val="00683F84"/>
    <w:rsid w:val="006A6A81"/>
    <w:rsid w:val="006F7393"/>
    <w:rsid w:val="0070224F"/>
    <w:rsid w:val="007115F7"/>
    <w:rsid w:val="007338A5"/>
    <w:rsid w:val="00785689"/>
    <w:rsid w:val="0079754B"/>
    <w:rsid w:val="007A1E6D"/>
    <w:rsid w:val="007B0EB2"/>
    <w:rsid w:val="007C3EB1"/>
    <w:rsid w:val="00810B6F"/>
    <w:rsid w:val="00822CE0"/>
    <w:rsid w:val="00822D42"/>
    <w:rsid w:val="00841AB1"/>
    <w:rsid w:val="00851794"/>
    <w:rsid w:val="0087142B"/>
    <w:rsid w:val="008C68F1"/>
    <w:rsid w:val="00921803"/>
    <w:rsid w:val="00926503"/>
    <w:rsid w:val="009726D8"/>
    <w:rsid w:val="00990FB9"/>
    <w:rsid w:val="009F76DB"/>
    <w:rsid w:val="00A32C3B"/>
    <w:rsid w:val="00A45F4F"/>
    <w:rsid w:val="00A46A30"/>
    <w:rsid w:val="00A600A9"/>
    <w:rsid w:val="00AA55B7"/>
    <w:rsid w:val="00AA5B9E"/>
    <w:rsid w:val="00AB2407"/>
    <w:rsid w:val="00AB53DF"/>
    <w:rsid w:val="00AC723F"/>
    <w:rsid w:val="00B07E5C"/>
    <w:rsid w:val="00B811F7"/>
    <w:rsid w:val="00B94070"/>
    <w:rsid w:val="00BA5DC6"/>
    <w:rsid w:val="00BA6196"/>
    <w:rsid w:val="00BC6D8C"/>
    <w:rsid w:val="00BF6CEF"/>
    <w:rsid w:val="00C34006"/>
    <w:rsid w:val="00C426B1"/>
    <w:rsid w:val="00C66160"/>
    <w:rsid w:val="00C721AC"/>
    <w:rsid w:val="00C90D6A"/>
    <w:rsid w:val="00CA247E"/>
    <w:rsid w:val="00CC72B6"/>
    <w:rsid w:val="00CD595B"/>
    <w:rsid w:val="00D0218D"/>
    <w:rsid w:val="00D14647"/>
    <w:rsid w:val="00D25FB5"/>
    <w:rsid w:val="00D44223"/>
    <w:rsid w:val="00DA0F5B"/>
    <w:rsid w:val="00DA2529"/>
    <w:rsid w:val="00DB130A"/>
    <w:rsid w:val="00DB2EBB"/>
    <w:rsid w:val="00DC10A1"/>
    <w:rsid w:val="00DC655F"/>
    <w:rsid w:val="00DD0B59"/>
    <w:rsid w:val="00DD7EBD"/>
    <w:rsid w:val="00DF62B6"/>
    <w:rsid w:val="00E07225"/>
    <w:rsid w:val="00E5409F"/>
    <w:rsid w:val="00E63410"/>
    <w:rsid w:val="00EE6488"/>
    <w:rsid w:val="00F021FA"/>
    <w:rsid w:val="00F16FA4"/>
    <w:rsid w:val="00F21886"/>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F"/>
    <w:pPr>
      <w:widowControl w:val="0"/>
    </w:pPr>
    <w:rPr>
      <w:snapToGrid w:val="0"/>
      <w:kern w:val="28"/>
      <w:sz w:val="22"/>
    </w:rPr>
  </w:style>
  <w:style w:type="paragraph" w:styleId="Heading1">
    <w:name w:val="heading 1"/>
    <w:basedOn w:val="Normal"/>
    <w:next w:val="ParaNum"/>
    <w:link w:val="Heading1Char"/>
    <w:qFormat/>
    <w:rsid w:val="00AC72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C723F"/>
    <w:pPr>
      <w:keepNext/>
      <w:numPr>
        <w:ilvl w:val="1"/>
        <w:numId w:val="3"/>
      </w:numPr>
      <w:spacing w:after="120"/>
      <w:outlineLvl w:val="1"/>
    </w:pPr>
    <w:rPr>
      <w:b/>
    </w:rPr>
  </w:style>
  <w:style w:type="paragraph" w:styleId="Heading3">
    <w:name w:val="heading 3"/>
    <w:basedOn w:val="Normal"/>
    <w:next w:val="ParaNum"/>
    <w:link w:val="Heading3Char"/>
    <w:qFormat/>
    <w:rsid w:val="00AC723F"/>
    <w:pPr>
      <w:keepNext/>
      <w:numPr>
        <w:ilvl w:val="2"/>
        <w:numId w:val="3"/>
      </w:numPr>
      <w:tabs>
        <w:tab w:val="left" w:pos="2160"/>
      </w:tabs>
      <w:spacing w:after="120"/>
      <w:outlineLvl w:val="2"/>
    </w:pPr>
    <w:rPr>
      <w:b/>
    </w:rPr>
  </w:style>
  <w:style w:type="paragraph" w:styleId="Heading4">
    <w:name w:val="heading 4"/>
    <w:basedOn w:val="Normal"/>
    <w:next w:val="ParaNum"/>
    <w:qFormat/>
    <w:rsid w:val="00AC723F"/>
    <w:pPr>
      <w:keepNext/>
      <w:numPr>
        <w:ilvl w:val="3"/>
        <w:numId w:val="3"/>
      </w:numPr>
      <w:tabs>
        <w:tab w:val="left" w:pos="2880"/>
      </w:tabs>
      <w:spacing w:after="120"/>
      <w:outlineLvl w:val="3"/>
    </w:pPr>
    <w:rPr>
      <w:b/>
    </w:rPr>
  </w:style>
  <w:style w:type="paragraph" w:styleId="Heading5">
    <w:name w:val="heading 5"/>
    <w:basedOn w:val="Normal"/>
    <w:next w:val="ParaNum"/>
    <w:qFormat/>
    <w:rsid w:val="00AC72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C723F"/>
    <w:pPr>
      <w:numPr>
        <w:ilvl w:val="5"/>
        <w:numId w:val="3"/>
      </w:numPr>
      <w:tabs>
        <w:tab w:val="left" w:pos="4320"/>
      </w:tabs>
      <w:spacing w:after="120"/>
      <w:outlineLvl w:val="5"/>
    </w:pPr>
    <w:rPr>
      <w:b/>
    </w:rPr>
  </w:style>
  <w:style w:type="paragraph" w:styleId="Heading7">
    <w:name w:val="heading 7"/>
    <w:basedOn w:val="Normal"/>
    <w:next w:val="ParaNum"/>
    <w:qFormat/>
    <w:rsid w:val="00AC72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C72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C72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72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723F"/>
  </w:style>
  <w:style w:type="paragraph" w:customStyle="1" w:styleId="ParaNum">
    <w:name w:val="ParaNum"/>
    <w:basedOn w:val="Normal"/>
    <w:link w:val="ParaNumChar"/>
    <w:rsid w:val="00AC723F"/>
    <w:pPr>
      <w:numPr>
        <w:numId w:val="2"/>
      </w:numPr>
      <w:tabs>
        <w:tab w:val="clear" w:pos="1080"/>
        <w:tab w:val="num" w:pos="1440"/>
      </w:tabs>
      <w:spacing w:after="120"/>
    </w:pPr>
  </w:style>
  <w:style w:type="paragraph" w:styleId="EndnoteText">
    <w:name w:val="endnote text"/>
    <w:basedOn w:val="Normal"/>
    <w:semiHidden/>
    <w:rsid w:val="00AC723F"/>
    <w:rPr>
      <w:sz w:val="20"/>
    </w:rPr>
  </w:style>
  <w:style w:type="character" w:styleId="EndnoteReference">
    <w:name w:val="endnote reference"/>
    <w:semiHidden/>
    <w:rsid w:val="00AC723F"/>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AC723F"/>
    <w:pPr>
      <w:spacing w:after="120"/>
    </w:pPr>
  </w:style>
  <w:style w:type="character" w:styleId="FootnoteReference">
    <w:name w:val="footnote reference"/>
    <w:aliases w:val="Style 4,Appel note de bas de p,Style 12,(NECG) Footnote Reference,Style 124,Style 13,o,fr,Style 3,FR,Style 17,Style 6,Footnote Reference/"/>
    <w:rsid w:val="00AC723F"/>
    <w:rPr>
      <w:rFonts w:ascii="Times New Roman" w:hAnsi="Times New Roman"/>
      <w:dstrike w:val="0"/>
      <w:color w:val="auto"/>
      <w:sz w:val="20"/>
      <w:vertAlign w:val="superscript"/>
    </w:rPr>
  </w:style>
  <w:style w:type="paragraph" w:styleId="TOC1">
    <w:name w:val="toc 1"/>
    <w:basedOn w:val="Normal"/>
    <w:next w:val="Normal"/>
    <w:semiHidden/>
    <w:rsid w:val="00AC72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723F"/>
    <w:pPr>
      <w:tabs>
        <w:tab w:val="left" w:pos="720"/>
        <w:tab w:val="right" w:leader="dot" w:pos="9360"/>
      </w:tabs>
      <w:suppressAutoHyphens/>
      <w:ind w:left="720" w:right="720" w:hanging="360"/>
    </w:pPr>
    <w:rPr>
      <w:noProof/>
    </w:rPr>
  </w:style>
  <w:style w:type="paragraph" w:styleId="TOC3">
    <w:name w:val="toc 3"/>
    <w:basedOn w:val="Normal"/>
    <w:next w:val="Normal"/>
    <w:semiHidden/>
    <w:rsid w:val="00AC72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72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72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72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72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72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72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723F"/>
    <w:pPr>
      <w:tabs>
        <w:tab w:val="right" w:pos="9360"/>
      </w:tabs>
      <w:suppressAutoHyphens/>
    </w:pPr>
  </w:style>
  <w:style w:type="character" w:customStyle="1" w:styleId="EquationCaption">
    <w:name w:val="_Equation Caption"/>
    <w:rsid w:val="00AC723F"/>
  </w:style>
  <w:style w:type="paragraph" w:styleId="Header">
    <w:name w:val="header"/>
    <w:basedOn w:val="Normal"/>
    <w:autoRedefine/>
    <w:rsid w:val="00AC723F"/>
    <w:pPr>
      <w:tabs>
        <w:tab w:val="center" w:pos="4680"/>
        <w:tab w:val="right" w:pos="9360"/>
      </w:tabs>
    </w:pPr>
    <w:rPr>
      <w:b/>
    </w:rPr>
  </w:style>
  <w:style w:type="paragraph" w:styleId="Footer">
    <w:name w:val="footer"/>
    <w:basedOn w:val="Normal"/>
    <w:link w:val="FooterChar"/>
    <w:rsid w:val="00AC723F"/>
    <w:pPr>
      <w:tabs>
        <w:tab w:val="center" w:pos="4320"/>
        <w:tab w:val="right" w:pos="8640"/>
      </w:tabs>
    </w:pPr>
  </w:style>
  <w:style w:type="character" w:styleId="PageNumber">
    <w:name w:val="page number"/>
    <w:basedOn w:val="DefaultParagraphFont"/>
    <w:rsid w:val="00AC723F"/>
  </w:style>
  <w:style w:type="paragraph" w:styleId="BlockText">
    <w:name w:val="Block Text"/>
    <w:basedOn w:val="Normal"/>
    <w:rsid w:val="00AC723F"/>
    <w:pPr>
      <w:spacing w:after="240"/>
      <w:ind w:left="1440" w:right="1440"/>
    </w:pPr>
  </w:style>
  <w:style w:type="paragraph" w:customStyle="1" w:styleId="Paratitle">
    <w:name w:val="Para title"/>
    <w:basedOn w:val="Normal"/>
    <w:rsid w:val="00AC723F"/>
    <w:pPr>
      <w:tabs>
        <w:tab w:val="center" w:pos="9270"/>
      </w:tabs>
      <w:spacing w:after="240"/>
    </w:pPr>
    <w:rPr>
      <w:spacing w:val="-2"/>
    </w:rPr>
  </w:style>
  <w:style w:type="paragraph" w:customStyle="1" w:styleId="Bullet">
    <w:name w:val="Bullet"/>
    <w:basedOn w:val="Normal"/>
    <w:rsid w:val="00AC723F"/>
    <w:pPr>
      <w:tabs>
        <w:tab w:val="left" w:pos="2160"/>
      </w:tabs>
      <w:spacing w:after="220"/>
      <w:ind w:left="2160" w:hanging="720"/>
    </w:pPr>
  </w:style>
  <w:style w:type="paragraph" w:customStyle="1" w:styleId="TableFormat">
    <w:name w:val="TableFormat"/>
    <w:basedOn w:val="Bullet"/>
    <w:rsid w:val="00AC723F"/>
    <w:pPr>
      <w:tabs>
        <w:tab w:val="clear" w:pos="2160"/>
        <w:tab w:val="left" w:pos="5040"/>
      </w:tabs>
      <w:ind w:left="5040" w:hanging="3600"/>
    </w:pPr>
  </w:style>
  <w:style w:type="paragraph" w:customStyle="1" w:styleId="TOCTitle">
    <w:name w:val="TOC Title"/>
    <w:basedOn w:val="Normal"/>
    <w:rsid w:val="00AC72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723F"/>
    <w:pPr>
      <w:jc w:val="center"/>
    </w:pPr>
    <w:rPr>
      <w:rFonts w:ascii="Times New Roman Bold" w:hAnsi="Times New Roman Bold"/>
      <w:b/>
      <w:bCs/>
      <w:caps/>
      <w:szCs w:val="22"/>
    </w:rPr>
  </w:style>
  <w:style w:type="character" w:styleId="Hyperlink">
    <w:name w:val="Hyperlink"/>
    <w:rsid w:val="00AC723F"/>
    <w:rPr>
      <w:color w:val="0000FF"/>
      <w:u w:val="single"/>
    </w:rPr>
  </w:style>
  <w:style w:type="character" w:customStyle="1" w:styleId="Heading1Char">
    <w:name w:val="Heading 1 Char"/>
    <w:link w:val="Heading1"/>
    <w:locked/>
    <w:rsid w:val="00565B17"/>
    <w:rPr>
      <w:rFonts w:ascii="Times New Roman Bold" w:hAnsi="Times New Roman Bold"/>
      <w:b/>
      <w:caps/>
      <w:snapToGrid w:val="0"/>
      <w:kern w:val="28"/>
      <w:sz w:val="22"/>
    </w:rPr>
  </w:style>
  <w:style w:type="character" w:customStyle="1" w:styleId="Heading2Char">
    <w:name w:val="Heading 2 Char"/>
    <w:link w:val="Heading2"/>
    <w:locked/>
    <w:rsid w:val="00565B17"/>
    <w:rPr>
      <w:b/>
      <w:snapToGrid w:val="0"/>
      <w:kern w:val="28"/>
      <w:sz w:val="22"/>
    </w:rPr>
  </w:style>
  <w:style w:type="character" w:customStyle="1" w:styleId="Heading3Char">
    <w:name w:val="Heading 3 Char"/>
    <w:link w:val="Heading3"/>
    <w:locked/>
    <w:rsid w:val="00565B17"/>
    <w:rPr>
      <w:b/>
      <w:snapToGrid w:val="0"/>
      <w:kern w:val="28"/>
      <w:sz w:val="22"/>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565B17"/>
  </w:style>
  <w:style w:type="character" w:customStyle="1" w:styleId="ParaNumChar">
    <w:name w:val="ParaNum Char"/>
    <w:link w:val="ParaNum"/>
    <w:locked/>
    <w:rsid w:val="00565B17"/>
    <w:rPr>
      <w:snapToGrid w:val="0"/>
      <w:kern w:val="28"/>
      <w:sz w:val="22"/>
    </w:rPr>
  </w:style>
  <w:style w:type="character" w:customStyle="1" w:styleId="apple-converted-space">
    <w:name w:val="apple-converted-space"/>
    <w:rsid w:val="00565B17"/>
  </w:style>
  <w:style w:type="paragraph" w:styleId="BalloonText">
    <w:name w:val="Balloon Text"/>
    <w:basedOn w:val="Normal"/>
    <w:link w:val="BalloonTextChar"/>
    <w:semiHidden/>
    <w:unhideWhenUsed/>
    <w:rsid w:val="00552E5F"/>
    <w:rPr>
      <w:rFonts w:ascii="Segoe UI" w:hAnsi="Segoe UI" w:cs="Segoe UI"/>
      <w:sz w:val="18"/>
      <w:szCs w:val="18"/>
    </w:rPr>
  </w:style>
  <w:style w:type="character" w:customStyle="1" w:styleId="BalloonTextChar">
    <w:name w:val="Balloon Text Char"/>
    <w:link w:val="BalloonText"/>
    <w:semiHidden/>
    <w:rsid w:val="00552E5F"/>
    <w:rPr>
      <w:rFonts w:ascii="Segoe UI" w:hAnsi="Segoe UI" w:cs="Segoe UI"/>
      <w:snapToGrid w:val="0"/>
      <w:kern w:val="28"/>
      <w:sz w:val="18"/>
      <w:szCs w:val="18"/>
    </w:rPr>
  </w:style>
  <w:style w:type="character" w:customStyle="1" w:styleId="FooterChar">
    <w:name w:val="Footer Char"/>
    <w:link w:val="Footer"/>
    <w:rsid w:val="00990FB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5449</Words>
  <Characters>29806</Characters>
  <Application>Microsoft Office Word</Application>
  <DocSecurity>0</DocSecurity>
  <Lines>440</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2016-10-28T19:47:00Z</dcterms:created>
  <dcterms:modified xsi:type="dcterms:W3CDTF">2016-10-28T19:47:00Z</dcterms:modified>
  <cp:category> </cp:category>
  <cp:contentStatus> </cp:contentStatus>
</cp:coreProperties>
</file>