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53" w:rsidRPr="006D73F2" w:rsidRDefault="00467653">
      <w:pPr>
        <w:pStyle w:val="Title"/>
        <w:rPr>
          <w:szCs w:val="22"/>
        </w:rPr>
      </w:pPr>
      <w:bookmarkStart w:id="0" w:name="_GoBack"/>
      <w:bookmarkEnd w:id="0"/>
      <w:r w:rsidRPr="006D73F2">
        <w:rPr>
          <w:szCs w:val="22"/>
        </w:rPr>
        <w:t>Before the</w:t>
      </w:r>
    </w:p>
    <w:p w:rsidR="00467653" w:rsidRPr="006D73F2" w:rsidRDefault="00467653">
      <w:pPr>
        <w:tabs>
          <w:tab w:val="center" w:pos="4680"/>
        </w:tabs>
        <w:spacing w:line="226" w:lineRule="auto"/>
        <w:jc w:val="center"/>
        <w:rPr>
          <w:b/>
          <w:szCs w:val="22"/>
        </w:rPr>
      </w:pPr>
      <w:r w:rsidRPr="006D73F2">
        <w:rPr>
          <w:b/>
          <w:szCs w:val="22"/>
        </w:rPr>
        <w:t>Federal Communications Commission</w:t>
      </w:r>
    </w:p>
    <w:p w:rsidR="00467653" w:rsidRPr="006D73F2" w:rsidRDefault="00467653">
      <w:pPr>
        <w:tabs>
          <w:tab w:val="center" w:pos="4680"/>
        </w:tabs>
        <w:spacing w:line="226" w:lineRule="auto"/>
        <w:jc w:val="center"/>
        <w:rPr>
          <w:szCs w:val="22"/>
        </w:rPr>
      </w:pPr>
      <w:r w:rsidRPr="006D73F2">
        <w:rPr>
          <w:b/>
          <w:szCs w:val="22"/>
        </w:rPr>
        <w:t>Washington, DC 20554</w:t>
      </w:r>
    </w:p>
    <w:p w:rsidR="00467653" w:rsidRPr="00B27008" w:rsidRDefault="00467653" w:rsidP="00B27008">
      <w:pPr>
        <w:tabs>
          <w:tab w:val="left" w:pos="-720"/>
        </w:tabs>
        <w:suppressAutoHyphens/>
        <w:spacing w:line="227" w:lineRule="auto"/>
        <w:rPr>
          <w:spacing w:val="-2"/>
        </w:rPr>
      </w:pPr>
    </w:p>
    <w:tbl>
      <w:tblPr>
        <w:tblW w:w="9540" w:type="dxa"/>
        <w:tblInd w:w="108" w:type="dxa"/>
        <w:tblLayout w:type="fixed"/>
        <w:tblLook w:val="0000" w:firstRow="0" w:lastRow="0" w:firstColumn="0" w:lastColumn="0" w:noHBand="0" w:noVBand="0"/>
      </w:tblPr>
      <w:tblGrid>
        <w:gridCol w:w="4590"/>
        <w:gridCol w:w="270"/>
        <w:gridCol w:w="4680"/>
      </w:tblGrid>
      <w:tr w:rsidR="003264EC" w:rsidRPr="006D73F2" w:rsidTr="00677CC4">
        <w:tc>
          <w:tcPr>
            <w:tcW w:w="4590" w:type="dxa"/>
          </w:tcPr>
          <w:p w:rsidR="003264EC" w:rsidRPr="006D73F2" w:rsidRDefault="003264EC" w:rsidP="00303553">
            <w:pPr>
              <w:rPr>
                <w:szCs w:val="22"/>
              </w:rPr>
            </w:pPr>
            <w:r w:rsidRPr="006D73F2">
              <w:rPr>
                <w:spacing w:val="-2"/>
                <w:szCs w:val="22"/>
              </w:rPr>
              <w:t>In the Matter of</w:t>
            </w:r>
            <w:r w:rsidRPr="006D73F2">
              <w:rPr>
                <w:szCs w:val="22"/>
              </w:rPr>
              <w:t xml:space="preserve"> </w:t>
            </w:r>
          </w:p>
          <w:p w:rsidR="003264EC" w:rsidRPr="006D73F2" w:rsidRDefault="003264EC" w:rsidP="00303553">
            <w:pPr>
              <w:rPr>
                <w:szCs w:val="22"/>
              </w:rPr>
            </w:pPr>
          </w:p>
          <w:p w:rsidR="003264EC" w:rsidRDefault="008D53A2" w:rsidP="00303553">
            <w:pPr>
              <w:rPr>
                <w:spacing w:val="-2"/>
                <w:szCs w:val="22"/>
              </w:rPr>
            </w:pPr>
            <w:r>
              <w:rPr>
                <w:spacing w:val="-2"/>
                <w:szCs w:val="22"/>
              </w:rPr>
              <w:t>Scott Malcolm</w:t>
            </w:r>
          </w:p>
          <w:p w:rsidR="008D53A2" w:rsidRDefault="008D53A2" w:rsidP="00303553">
            <w:pPr>
              <w:rPr>
                <w:spacing w:val="-2"/>
                <w:szCs w:val="22"/>
              </w:rPr>
            </w:pPr>
            <w:r>
              <w:rPr>
                <w:spacing w:val="-2"/>
                <w:szCs w:val="22"/>
              </w:rPr>
              <w:t>DSM Supply, LLC</w:t>
            </w:r>
          </w:p>
          <w:p w:rsidR="008D53A2" w:rsidRPr="006D73F2" w:rsidRDefault="008D53A2" w:rsidP="00303553">
            <w:pPr>
              <w:rPr>
                <w:spacing w:val="-2"/>
                <w:szCs w:val="22"/>
              </w:rPr>
            </w:pPr>
            <w:r>
              <w:rPr>
                <w:spacing w:val="-2"/>
                <w:szCs w:val="22"/>
              </w:rPr>
              <w:t>Somaticare, LLC</w:t>
            </w:r>
          </w:p>
        </w:tc>
        <w:tc>
          <w:tcPr>
            <w:tcW w:w="270" w:type="dxa"/>
          </w:tcPr>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Default="008D53A2" w:rsidP="00303553">
            <w:pPr>
              <w:tabs>
                <w:tab w:val="center" w:pos="4680"/>
              </w:tabs>
              <w:suppressAutoHyphens/>
              <w:spacing w:line="240" w:lineRule="atLeast"/>
              <w:jc w:val="both"/>
              <w:outlineLvl w:val="0"/>
              <w:rPr>
                <w:szCs w:val="22"/>
              </w:rPr>
            </w:pPr>
            <w:r>
              <w:rPr>
                <w:szCs w:val="22"/>
              </w:rPr>
              <w:t>)</w:t>
            </w:r>
          </w:p>
          <w:p w:rsidR="008D53A2" w:rsidRPr="006D73F2" w:rsidRDefault="008D53A2" w:rsidP="00303553">
            <w:pPr>
              <w:tabs>
                <w:tab w:val="center" w:pos="4680"/>
              </w:tabs>
              <w:suppressAutoHyphens/>
              <w:spacing w:line="240" w:lineRule="atLeast"/>
              <w:jc w:val="both"/>
              <w:outlineLvl w:val="0"/>
              <w:rPr>
                <w:szCs w:val="22"/>
              </w:rPr>
            </w:pPr>
          </w:p>
        </w:tc>
        <w:tc>
          <w:tcPr>
            <w:tcW w:w="4680" w:type="dxa"/>
          </w:tcPr>
          <w:p w:rsidR="003264EC" w:rsidRPr="006D73F2" w:rsidRDefault="003264EC" w:rsidP="00303553">
            <w:pPr>
              <w:ind w:left="702"/>
              <w:rPr>
                <w:spacing w:val="-2"/>
                <w:szCs w:val="22"/>
              </w:rPr>
            </w:pPr>
          </w:p>
          <w:p w:rsidR="003264EC" w:rsidRPr="006D73F2" w:rsidRDefault="003264EC" w:rsidP="00303553">
            <w:pPr>
              <w:ind w:left="702"/>
              <w:rPr>
                <w:szCs w:val="22"/>
              </w:rPr>
            </w:pPr>
            <w:r w:rsidRPr="006D73F2">
              <w:rPr>
                <w:szCs w:val="22"/>
              </w:rPr>
              <w:t>File No.:  EB-</w:t>
            </w:r>
            <w:r w:rsidR="00856C11">
              <w:rPr>
                <w:szCs w:val="22"/>
              </w:rPr>
              <w:t>TCD-12-00001013</w:t>
            </w:r>
          </w:p>
          <w:p w:rsidR="003264EC" w:rsidRPr="006D73F2" w:rsidRDefault="003264EC" w:rsidP="00303553">
            <w:pPr>
              <w:ind w:left="702"/>
              <w:rPr>
                <w:szCs w:val="22"/>
              </w:rPr>
            </w:pPr>
            <w:r w:rsidRPr="006D73F2">
              <w:rPr>
                <w:szCs w:val="22"/>
              </w:rPr>
              <w:t xml:space="preserve">NAL/Acct. No.:  </w:t>
            </w:r>
            <w:r w:rsidR="00856C11">
              <w:rPr>
                <w:szCs w:val="22"/>
              </w:rPr>
              <w:t>201432170003</w:t>
            </w:r>
          </w:p>
          <w:p w:rsidR="003264EC" w:rsidRPr="006D73F2" w:rsidRDefault="003264EC" w:rsidP="00856C11">
            <w:pPr>
              <w:ind w:left="702"/>
              <w:rPr>
                <w:szCs w:val="22"/>
              </w:rPr>
            </w:pPr>
            <w:r w:rsidRPr="006D73F2">
              <w:rPr>
                <w:szCs w:val="22"/>
              </w:rPr>
              <w:t xml:space="preserve">FRN:  </w:t>
            </w:r>
            <w:r w:rsidR="00856C11">
              <w:rPr>
                <w:szCs w:val="22"/>
              </w:rPr>
              <w:t>0023383201</w:t>
            </w:r>
            <w:r w:rsidRPr="006D73F2">
              <w:rPr>
                <w:szCs w:val="22"/>
              </w:rPr>
              <w:t xml:space="preserve">    </w:t>
            </w:r>
          </w:p>
        </w:tc>
      </w:tr>
    </w:tbl>
    <w:p w:rsidR="00467653" w:rsidRPr="005514FC" w:rsidRDefault="00467653" w:rsidP="005514FC">
      <w:pPr>
        <w:jc w:val="center"/>
        <w:rPr>
          <w:b/>
        </w:rPr>
      </w:pPr>
      <w:r w:rsidRPr="005514FC">
        <w:rPr>
          <w:b/>
        </w:rPr>
        <w:t>FORFEITURE ORDER</w:t>
      </w:r>
    </w:p>
    <w:p w:rsidR="00EE33F3" w:rsidRPr="006D73F2" w:rsidRDefault="00EE33F3" w:rsidP="005362D6">
      <w:pPr>
        <w:spacing w:line="226" w:lineRule="auto"/>
        <w:jc w:val="both"/>
        <w:rPr>
          <w:b/>
          <w:szCs w:val="22"/>
        </w:rPr>
      </w:pPr>
    </w:p>
    <w:p w:rsidR="00467653" w:rsidRPr="00B27008" w:rsidRDefault="00467653" w:rsidP="006C47B7">
      <w:pPr>
        <w:tabs>
          <w:tab w:val="right" w:pos="9360"/>
        </w:tabs>
        <w:spacing w:line="226" w:lineRule="auto"/>
        <w:jc w:val="both"/>
        <w:rPr>
          <w:b/>
        </w:rPr>
      </w:pPr>
      <w:r w:rsidRPr="00816F70">
        <w:rPr>
          <w:b/>
          <w:szCs w:val="22"/>
        </w:rPr>
        <w:t xml:space="preserve">Adopted: </w:t>
      </w:r>
      <w:r w:rsidR="00EE68E4" w:rsidRPr="00816F70">
        <w:rPr>
          <w:b/>
          <w:szCs w:val="22"/>
        </w:rPr>
        <w:t xml:space="preserve"> </w:t>
      </w:r>
      <w:r w:rsidR="006C47B7">
        <w:rPr>
          <w:b/>
          <w:szCs w:val="22"/>
        </w:rPr>
        <w:t>February 18, 2016</w:t>
      </w:r>
      <w:r w:rsidR="006C47B7">
        <w:rPr>
          <w:b/>
          <w:szCs w:val="22"/>
        </w:rPr>
        <w:tab/>
      </w:r>
      <w:r w:rsidRPr="00816F70">
        <w:rPr>
          <w:b/>
          <w:szCs w:val="22"/>
        </w:rPr>
        <w:t>Released:</w:t>
      </w:r>
      <w:r w:rsidRPr="00B27008">
        <w:rPr>
          <w:b/>
        </w:rPr>
        <w:t xml:space="preserve">  </w:t>
      </w:r>
      <w:r w:rsidR="006C47B7">
        <w:rPr>
          <w:b/>
        </w:rPr>
        <w:t>February 18, 2016</w:t>
      </w:r>
    </w:p>
    <w:p w:rsidR="00467653" w:rsidRPr="006D73F2" w:rsidRDefault="00467653">
      <w:pPr>
        <w:spacing w:line="226" w:lineRule="auto"/>
        <w:jc w:val="both"/>
        <w:rPr>
          <w:b/>
          <w:szCs w:val="22"/>
        </w:rPr>
      </w:pPr>
    </w:p>
    <w:p w:rsidR="00D118F2" w:rsidRDefault="00467653" w:rsidP="00D118F2">
      <w:pPr>
        <w:rPr>
          <w:snapToGrid/>
          <w:kern w:val="0"/>
        </w:rPr>
      </w:pPr>
      <w:r w:rsidRPr="006D73F2">
        <w:rPr>
          <w:spacing w:val="-2"/>
          <w:szCs w:val="22"/>
        </w:rPr>
        <w:t xml:space="preserve">By the </w:t>
      </w:r>
      <w:r w:rsidR="004867FB" w:rsidRPr="006D73F2">
        <w:rPr>
          <w:spacing w:val="-2"/>
          <w:szCs w:val="22"/>
        </w:rPr>
        <w:t>Commission</w:t>
      </w:r>
      <w:r w:rsidRPr="006D73F2">
        <w:rPr>
          <w:spacing w:val="-2"/>
          <w:szCs w:val="22"/>
        </w:rPr>
        <w:t>:</w:t>
      </w:r>
      <w:r w:rsidR="00D118F2">
        <w:rPr>
          <w:spacing w:val="-2"/>
          <w:szCs w:val="22"/>
        </w:rPr>
        <w:t xml:space="preserve">  </w:t>
      </w:r>
      <w:r w:rsidR="00D118F2">
        <w:t>Commissioner O’Rielly concurring in part and dissenting in part.</w:t>
      </w:r>
    </w:p>
    <w:p w:rsidR="00467653" w:rsidRPr="00933CBD" w:rsidRDefault="00467653">
      <w:pPr>
        <w:tabs>
          <w:tab w:val="left" w:pos="0"/>
        </w:tabs>
        <w:suppressAutoHyphens/>
        <w:spacing w:line="240" w:lineRule="atLeast"/>
        <w:jc w:val="both"/>
        <w:rPr>
          <w:spacing w:val="-2"/>
          <w:szCs w:val="22"/>
        </w:rPr>
      </w:pPr>
    </w:p>
    <w:p w:rsidR="002A6606" w:rsidRPr="006D73F2" w:rsidRDefault="002A6606" w:rsidP="002A6606">
      <w:pPr>
        <w:pStyle w:val="ParaNum"/>
      </w:pPr>
      <w:r w:rsidRPr="00933CBD">
        <w:t>We impose a penalty of $1,840,000 against Scott Malcolm, DSM Supply, LLC</w:t>
      </w:r>
      <w:r w:rsidR="00B23CCD">
        <w:t xml:space="preserve"> (DSM)</w:t>
      </w:r>
      <w:r w:rsidRPr="00933CBD">
        <w:t>, and Somaticare, LLC</w:t>
      </w:r>
      <w:r w:rsidR="00B23CCD">
        <w:t xml:space="preserve"> (Somaticare)</w:t>
      </w:r>
      <w:r w:rsidRPr="00933CBD">
        <w:t xml:space="preserve"> (collectively, the DSM </w:t>
      </w:r>
      <w:r w:rsidR="0034486C">
        <w:t>P</w:t>
      </w:r>
      <w:r w:rsidRPr="00933CBD">
        <w:t>arties)</w:t>
      </w:r>
      <w:r w:rsidR="0034486C">
        <w:t>,</w:t>
      </w:r>
      <w:r w:rsidRPr="00933CBD">
        <w:t xml:space="preserve"> for sending 115 unsolicited advertisements to the telephone facsimile machines of 26 consumers.  These fax advertisements</w:t>
      </w:r>
      <w:r w:rsidR="00DD55C7">
        <w:t xml:space="preserve"> (commonly known as </w:t>
      </w:r>
      <w:r w:rsidRPr="00933CBD">
        <w:t>junk faxes</w:t>
      </w:r>
      <w:r w:rsidR="00DD55C7">
        <w:t xml:space="preserve">) </w:t>
      </w:r>
      <w:r w:rsidRPr="00933CBD">
        <w:t>were directed primarily to health care practi</w:t>
      </w:r>
      <w:r w:rsidR="00255741" w:rsidRPr="00933CBD">
        <w:t>ti</w:t>
      </w:r>
      <w:r w:rsidRPr="00933CBD">
        <w:t>oners, many of whom repeatedly attempted to stop the relentless barrage of unwanted and unsolicited advertisements</w:t>
      </w:r>
      <w:r>
        <w:t xml:space="preserve"> for chiropractic products from the DSM </w:t>
      </w:r>
      <w:r w:rsidR="0034486C">
        <w:t>P</w:t>
      </w:r>
      <w:r>
        <w:t>arties</w:t>
      </w:r>
      <w:r w:rsidR="00255741">
        <w:t>.</w:t>
      </w:r>
      <w:r w:rsidR="00C95FF3">
        <w:rPr>
          <w:rStyle w:val="FootnoteReference"/>
        </w:rPr>
        <w:footnoteReference w:id="2"/>
      </w:r>
      <w:r w:rsidR="00255741">
        <w:t xml:space="preserve">  The intrusion, expense, and disruption of business activities</w:t>
      </w:r>
      <w:r w:rsidR="00DD55C7">
        <w:t xml:space="preserve"> (</w:t>
      </w:r>
      <w:r w:rsidR="00FE62A0">
        <w:t>including</w:t>
      </w:r>
      <w:r w:rsidR="00255741">
        <w:t xml:space="preserve"> patient care</w:t>
      </w:r>
      <w:r w:rsidR="00DD55C7">
        <w:t>)</w:t>
      </w:r>
      <w:r w:rsidR="00BE6E36">
        <w:t xml:space="preserve"> </w:t>
      </w:r>
      <w:r w:rsidR="004B296D">
        <w:t>th</w:t>
      </w:r>
      <w:r w:rsidR="004E15EC">
        <w:t>at</w:t>
      </w:r>
      <w:r w:rsidR="004B296D">
        <w:t xml:space="preserve"> </w:t>
      </w:r>
      <w:r w:rsidR="00DD55C7">
        <w:t xml:space="preserve">resulted </w:t>
      </w:r>
      <w:r w:rsidR="00255741">
        <w:t xml:space="preserve">from these </w:t>
      </w:r>
      <w:r w:rsidR="00DD55C7">
        <w:t xml:space="preserve">junk </w:t>
      </w:r>
      <w:r w:rsidR="00255741">
        <w:t xml:space="preserve">faxes highlight the harms </w:t>
      </w:r>
      <w:r>
        <w:t xml:space="preserve">that Congress sought to prevent by </w:t>
      </w:r>
      <w:r w:rsidR="00255741">
        <w:t xml:space="preserve">prohibiting unsolicited fax advertisements.  </w:t>
      </w:r>
      <w:r>
        <w:t xml:space="preserve">The Commission has adopted rules </w:t>
      </w:r>
      <w:r w:rsidR="004B296D">
        <w:t>to implement this prohibition</w:t>
      </w:r>
      <w:r>
        <w:t xml:space="preserve">, and we hold the DSM </w:t>
      </w:r>
      <w:r w:rsidR="0034486C">
        <w:t>P</w:t>
      </w:r>
      <w:r>
        <w:t>arties accountable for their violations of the</w:t>
      </w:r>
      <w:r w:rsidR="004B296D">
        <w:t>se</w:t>
      </w:r>
      <w:r>
        <w:t xml:space="preserve"> rules.</w:t>
      </w:r>
      <w:r w:rsidRPr="006D73F2">
        <w:t xml:space="preserve"> </w:t>
      </w:r>
    </w:p>
    <w:p w:rsidR="006D73F2" w:rsidRDefault="008E0506" w:rsidP="00A24AD5">
      <w:pPr>
        <w:pStyle w:val="ParaNum"/>
        <w:widowControl/>
      </w:pPr>
      <w:r w:rsidRPr="006D73F2">
        <w:t>O</w:t>
      </w:r>
      <w:r w:rsidR="003264EC" w:rsidRPr="006D73F2">
        <w:t xml:space="preserve">n </w:t>
      </w:r>
      <w:r w:rsidR="00005E37">
        <w:t>February 24</w:t>
      </w:r>
      <w:r w:rsidR="00EC393B" w:rsidRPr="006D73F2">
        <w:t>,</w:t>
      </w:r>
      <w:r w:rsidR="00005E37">
        <w:t xml:space="preserve"> 2014,</w:t>
      </w:r>
      <w:r w:rsidR="00EC393B" w:rsidRPr="006D73F2">
        <w:t xml:space="preserve"> the </w:t>
      </w:r>
      <w:r w:rsidR="00172FB7" w:rsidRPr="006D73F2">
        <w:t xml:space="preserve">Commission </w:t>
      </w:r>
      <w:r w:rsidR="00467653" w:rsidRPr="006D73F2">
        <w:t xml:space="preserve">issued </w:t>
      </w:r>
      <w:r w:rsidR="00816F70">
        <w:t>a</w:t>
      </w:r>
      <w:r w:rsidR="00172FB7" w:rsidRPr="006D73F2">
        <w:t xml:space="preserve"> </w:t>
      </w:r>
      <w:r w:rsidR="00816F70">
        <w:t>Notice of Apparent Liability for Forfeiture (</w:t>
      </w:r>
      <w:r w:rsidR="00467653" w:rsidRPr="006D73F2">
        <w:rPr>
          <w:i/>
        </w:rPr>
        <w:t>NAL</w:t>
      </w:r>
      <w:r w:rsidR="00816F70">
        <w:t>)</w:t>
      </w:r>
      <w:r w:rsidR="009F11A1" w:rsidRPr="006D73F2">
        <w:t xml:space="preserve"> </w:t>
      </w:r>
      <w:r w:rsidR="008F7F2E" w:rsidRPr="006D73F2">
        <w:t>proposing a $</w:t>
      </w:r>
      <w:r w:rsidR="00005E37">
        <w:t>1,840,000</w:t>
      </w:r>
      <w:r w:rsidR="007C0C63" w:rsidRPr="006D73F2">
        <w:t xml:space="preserve"> </w:t>
      </w:r>
      <w:r w:rsidR="008F7F2E" w:rsidRPr="006D73F2">
        <w:t>forfeiture against</w:t>
      </w:r>
      <w:r w:rsidR="007C0C63" w:rsidRPr="006D73F2">
        <w:t xml:space="preserve"> </w:t>
      </w:r>
      <w:r w:rsidR="00005E37">
        <w:t xml:space="preserve">the DSM </w:t>
      </w:r>
      <w:r w:rsidR="0034486C">
        <w:t>P</w:t>
      </w:r>
      <w:r w:rsidR="00005E37">
        <w:t>arties</w:t>
      </w:r>
      <w:r w:rsidR="00622944">
        <w:rPr>
          <w:rStyle w:val="FootnoteReference"/>
        </w:rPr>
        <w:footnoteReference w:id="3"/>
      </w:r>
      <w:r w:rsidR="008E69E9" w:rsidRPr="006D73F2">
        <w:t xml:space="preserve"> </w:t>
      </w:r>
      <w:r w:rsidRPr="006D73F2">
        <w:rPr>
          <w:color w:val="000000"/>
        </w:rPr>
        <w:t xml:space="preserve">for willful and repeated violation of </w:t>
      </w:r>
      <w:r w:rsidR="00E2394E">
        <w:rPr>
          <w:color w:val="000000"/>
        </w:rPr>
        <w:t>Section 227(b)(1)(C) of the Communications Act of 1934, as amended (Act), and Section 64.1200(a)(4) of the Commission’s rules</w:t>
      </w:r>
      <w:r w:rsidR="0015224C">
        <w:rPr>
          <w:color w:val="000000"/>
        </w:rPr>
        <w:t xml:space="preserve"> (Rules)</w:t>
      </w:r>
      <w:r w:rsidR="00E2394E">
        <w:rPr>
          <w:color w:val="000000"/>
        </w:rPr>
        <w:t xml:space="preserve"> </w:t>
      </w:r>
      <w:r w:rsidR="008F7F2E" w:rsidRPr="006D73F2">
        <w:rPr>
          <w:color w:val="000000"/>
        </w:rPr>
        <w:t xml:space="preserve">by </w:t>
      </w:r>
      <w:r w:rsidR="00E2394E">
        <w:rPr>
          <w:color w:val="000000"/>
        </w:rPr>
        <w:t xml:space="preserve">delivering advertisements to telephone facsimile machines without prior express invitation or permission or </w:t>
      </w:r>
      <w:r w:rsidR="007160FB">
        <w:rPr>
          <w:color w:val="000000"/>
        </w:rPr>
        <w:t xml:space="preserve">without meeting the requirements </w:t>
      </w:r>
      <w:r w:rsidR="00406F53">
        <w:rPr>
          <w:color w:val="000000"/>
        </w:rPr>
        <w:t xml:space="preserve">for advertisements faxed under an </w:t>
      </w:r>
      <w:r w:rsidR="00E2394E">
        <w:rPr>
          <w:color w:val="000000"/>
        </w:rPr>
        <w:t>established business relationship</w:t>
      </w:r>
      <w:r w:rsidR="008F7F2E" w:rsidRPr="006D73F2">
        <w:rPr>
          <w:i/>
          <w:color w:val="000000"/>
        </w:rPr>
        <w:t>.</w:t>
      </w:r>
      <w:r w:rsidR="00CB3197" w:rsidRPr="00B27008">
        <w:rPr>
          <w:rStyle w:val="FootnoteReference"/>
          <w:spacing w:val="-2"/>
          <w:sz w:val="22"/>
        </w:rPr>
        <w:footnoteReference w:id="4"/>
      </w:r>
      <w:r w:rsidR="005B6E86">
        <w:t xml:space="preserve">  </w:t>
      </w:r>
      <w:r w:rsidR="00933CBD">
        <w:t xml:space="preserve">None of the DSM </w:t>
      </w:r>
      <w:r w:rsidR="0034486C">
        <w:t>P</w:t>
      </w:r>
      <w:r w:rsidR="00933CBD">
        <w:t xml:space="preserve">arties </w:t>
      </w:r>
      <w:r w:rsidR="00467653" w:rsidRPr="006D73F2">
        <w:t xml:space="preserve">filed a </w:t>
      </w:r>
      <w:r w:rsidR="00933CBD">
        <w:t xml:space="preserve">timely </w:t>
      </w:r>
      <w:r w:rsidR="00467653" w:rsidRPr="00D74257">
        <w:t>response</w:t>
      </w:r>
      <w:r w:rsidR="00467653" w:rsidRPr="006D73F2">
        <w:t xml:space="preserve"> to the </w:t>
      </w:r>
      <w:r w:rsidR="00467653" w:rsidRPr="006D73F2">
        <w:rPr>
          <w:i/>
        </w:rPr>
        <w:t>NAL</w:t>
      </w:r>
      <w:r w:rsidR="00467653" w:rsidRPr="006D73F2">
        <w:t xml:space="preserve">.  Based on the </w:t>
      </w:r>
      <w:r w:rsidR="00467653" w:rsidRPr="00D74257">
        <w:t>information</w:t>
      </w:r>
      <w:r w:rsidR="00467653" w:rsidRPr="006D73F2">
        <w:t xml:space="preserve"> before us, we affirm the forfeiture</w:t>
      </w:r>
      <w:r w:rsidRPr="006D73F2">
        <w:t xml:space="preserve"> proposed in the </w:t>
      </w:r>
      <w:r w:rsidRPr="006D73F2">
        <w:rPr>
          <w:i/>
        </w:rPr>
        <w:t>NAL</w:t>
      </w:r>
      <w:r w:rsidR="00467653" w:rsidRPr="006D73F2">
        <w:t>.</w:t>
      </w:r>
    </w:p>
    <w:p w:rsidR="00EF4067" w:rsidRDefault="00FC435C" w:rsidP="00D118F2">
      <w:pPr>
        <w:pStyle w:val="ParaNum"/>
        <w:widowControl/>
      </w:pPr>
      <w:r>
        <w:t xml:space="preserve">The DSM Parties failed to file a timely response to the </w:t>
      </w:r>
      <w:r>
        <w:rPr>
          <w:i/>
        </w:rPr>
        <w:t>NAL</w:t>
      </w:r>
      <w:r>
        <w:t xml:space="preserve"> or request an extension of time to respond to the </w:t>
      </w:r>
      <w:r>
        <w:rPr>
          <w:i/>
        </w:rPr>
        <w:t>NAL</w:t>
      </w:r>
      <w:r>
        <w:t>.  Instead, counsel for the DSM Parties waited until almost seven months after the filing deadline to send any response to the Commission.</w:t>
      </w:r>
      <w:r>
        <w:rPr>
          <w:rStyle w:val="FootnoteReference"/>
        </w:rPr>
        <w:footnoteReference w:id="5"/>
      </w:r>
      <w:r>
        <w:t xml:space="preserve">  We reject the NAL Response as untimely.  </w:t>
      </w:r>
      <w:r w:rsidR="004B56BD">
        <w:t>Further</w:t>
      </w:r>
      <w:r>
        <w:t xml:space="preserve">, even if </w:t>
      </w:r>
      <w:r w:rsidR="004B56BD">
        <w:t>we did consider the DSM Parties’ untimely response, we would reject the arguments contained therein for the reasons explained below</w:t>
      </w:r>
      <w:r>
        <w:t xml:space="preserve">.  </w:t>
      </w:r>
    </w:p>
    <w:p w:rsidR="00C73166" w:rsidRDefault="00FC435C" w:rsidP="00FC435C">
      <w:pPr>
        <w:pStyle w:val="ParaNum"/>
      </w:pPr>
      <w:r>
        <w:lastRenderedPageBreak/>
        <w:t xml:space="preserve">The DSM Parties summarily contest certain facts in the </w:t>
      </w:r>
      <w:r>
        <w:rPr>
          <w:i/>
        </w:rPr>
        <w:t>NAL</w:t>
      </w:r>
      <w:r>
        <w:t xml:space="preserve"> (</w:t>
      </w:r>
      <w:r w:rsidRPr="00B1129B">
        <w:t>e.g.,</w:t>
      </w:r>
      <w:r>
        <w:t xml:space="preserve"> that the fax advertisements were unsolicited and sent without prior express invitation or permission of the recipients) but fail to provide any documentary or other reliable support for their claims or in any way rebut the </w:t>
      </w:r>
      <w:r>
        <w:rPr>
          <w:i/>
        </w:rPr>
        <w:t>NAL</w:t>
      </w:r>
      <w:r>
        <w:t>’s findings or description of information provided by complainants under penalty of perjury.</w:t>
      </w:r>
      <w:r>
        <w:rPr>
          <w:rStyle w:val="FootnoteReference"/>
        </w:rPr>
        <w:footnoteReference w:id="6"/>
      </w:r>
      <w:r>
        <w:t xml:space="preserve">  </w:t>
      </w:r>
      <w:r w:rsidR="00C73166">
        <w:t>Similarly, although the DSM Parties claim to “have an established business relationship with all of the complainants,”</w:t>
      </w:r>
      <w:r w:rsidR="00C73166">
        <w:rPr>
          <w:rStyle w:val="FootnoteReference"/>
        </w:rPr>
        <w:footnoteReference w:id="7"/>
      </w:r>
      <w:r w:rsidR="00C73166">
        <w:t xml:space="preserve"> as noted in the </w:t>
      </w:r>
      <w:r w:rsidR="00C73166">
        <w:rPr>
          <w:i/>
        </w:rPr>
        <w:t>NAL</w:t>
      </w:r>
      <w:r w:rsidR="00C73166">
        <w:t>, while three confirmed having purchased something from DSM, the faxes sent to them did not include the required opt-out notice and the DSM Parties f</w:t>
      </w:r>
      <w:r w:rsidR="00675112">
        <w:t>a</w:t>
      </w:r>
      <w:r w:rsidR="00C73166">
        <w:t>iled to establish any such relationships with the remaining complainants.</w:t>
      </w:r>
      <w:r w:rsidR="00C73166">
        <w:rPr>
          <w:rStyle w:val="FootnoteReference"/>
        </w:rPr>
        <w:footnoteReference w:id="8"/>
      </w:r>
    </w:p>
    <w:p w:rsidR="00FC435C" w:rsidRDefault="00C73166" w:rsidP="00FC435C">
      <w:pPr>
        <w:pStyle w:val="ParaNum"/>
      </w:pPr>
      <w:r>
        <w:t>Moreover</w:t>
      </w:r>
      <w:r w:rsidR="00FC435C">
        <w:t xml:space="preserve">, in seeking to remove Scott Malcolm from this action because he allegedly did not personally transmit the faxes, the NAL Response fails to address in any way our detailed finding that the DSM Parties are jointly and severally liable for the unlawful faxing because “there exists such a unity of interest and ownership that no separate personality exists as between Mr. Malcolm and DSM or Somaticare” and that “because the evidence . . . demonstrates that Mr. Malcolm </w:t>
      </w:r>
      <w:r w:rsidR="00FC435C">
        <w:rPr>
          <w:i/>
        </w:rPr>
        <w:t>either</w:t>
      </w:r>
      <w:r w:rsidR="00FC435C">
        <w:t xml:space="preserve"> personally sent the unwanted faxes </w:t>
      </w:r>
      <w:r w:rsidR="00FC435C">
        <w:rPr>
          <w:i/>
        </w:rPr>
        <w:t>or</w:t>
      </w:r>
      <w:r w:rsidR="00FC435C">
        <w:t xml:space="preserve"> was responsible for their transmission, . . . Mr. Malcolm was sufficiently involved in the operations of the companies that he is a ‘person’ liable for unlawful conduct within the meaning of Section 227.”</w:t>
      </w:r>
      <w:r w:rsidR="00FC435C">
        <w:rPr>
          <w:rStyle w:val="FootnoteReference"/>
        </w:rPr>
        <w:footnoteReference w:id="9"/>
      </w:r>
      <w:r w:rsidR="00FC435C">
        <w:t xml:space="preserve">  </w:t>
      </w:r>
    </w:p>
    <w:p w:rsidR="00EF4067" w:rsidRDefault="00C73166" w:rsidP="00583A16">
      <w:pPr>
        <w:pStyle w:val="ParaNum"/>
      </w:pPr>
      <w:r>
        <w:t>We further</w:t>
      </w:r>
      <w:r w:rsidR="00FC435C">
        <w:t xml:space="preserve"> conclude that the DSM Parties’ request for clarification and retroactive waiver of Section 64.1200(a)(4)(iv), included in the NAL Response, </w:t>
      </w:r>
      <w:r w:rsidR="00EF4067">
        <w:t>is</w:t>
      </w:r>
      <w:r w:rsidR="00FC435C">
        <w:t xml:space="preserve"> without merit</w:t>
      </w:r>
      <w:r w:rsidR="00EF4067">
        <w:t xml:space="preserve"> and we accordingly deny it</w:t>
      </w:r>
      <w:r w:rsidR="00FC435C">
        <w:t>.  First, the NAL does not allege a violation of Section 64.1200(a)(4)(iv) and, thus, even if we were to grant the waiver or clarify the rule, it would have no legal effect on our findings and the forfeiture we impose.  Second, although the Commission has recognized that good cause exists to grant individual waivers to some parties who send fax ads with the recipient’s prior express permission where they may have been uncertain about whether the requirement for opt-out notices applied to them, th</w:t>
      </w:r>
      <w:r w:rsidR="00A87B46">
        <w:t>at</w:t>
      </w:r>
      <w:r w:rsidR="00FC435C">
        <w:t xml:space="preserve"> is not the situation presented in this case.</w:t>
      </w:r>
      <w:r>
        <w:rPr>
          <w:rStyle w:val="FootnoteReference"/>
        </w:rPr>
        <w:footnoteReference w:id="10"/>
      </w:r>
      <w:r w:rsidR="00FC435C">
        <w:t xml:space="preserve">  The 2011 citation issued to the DSM Parties for violations of the Act and </w:t>
      </w:r>
      <w:r w:rsidR="007D65BF">
        <w:t>R</w:t>
      </w:r>
      <w:r w:rsidR="00FC435C">
        <w:t xml:space="preserve">ules cited, among other violations, </w:t>
      </w:r>
      <w:r w:rsidR="00FC435C">
        <w:rPr>
          <w:i/>
        </w:rPr>
        <w:t>“</w:t>
      </w:r>
      <w:r w:rsidR="00FC435C">
        <w:t>insufficient opt-out notices” and informed these parties of the legal requirements relating to such violations.</w:t>
      </w:r>
      <w:r>
        <w:rPr>
          <w:rStyle w:val="FootnoteReference"/>
        </w:rPr>
        <w:footnoteReference w:id="11"/>
      </w:r>
      <w:r w:rsidR="00FC435C">
        <w:t xml:space="preserve">  Notwithstanding the Citation’s invitation to the DSM Parties to respond by letter, teleconference, or personal interview, the DSM Parties did not reach out to Bureau staff to discuss why the Bureau had found DSM’s activities in violation of the Act and Rules.  Rather, the DSM Parties continued their transmission of prohibited faxes, as outlined in the </w:t>
      </w:r>
      <w:r w:rsidR="00FC435C">
        <w:rPr>
          <w:i/>
        </w:rPr>
        <w:t>NAL.</w:t>
      </w:r>
      <w:r w:rsidR="00FC435C">
        <w:t xml:space="preserve"> We accordingly reject their claims of “confusion” as to the requirements of the law and find that the DSM Parties were operating under no uncertainty as to the applicability of the opt-out requirements on fax advertisements during the time period covered by this forfeiture.  </w:t>
      </w:r>
    </w:p>
    <w:p w:rsidR="00636715" w:rsidRDefault="00FC435C" w:rsidP="002C6458">
      <w:pPr>
        <w:pStyle w:val="ParaNum"/>
        <w:widowControl/>
      </w:pPr>
      <w:r>
        <w:lastRenderedPageBreak/>
        <w:t xml:space="preserve">In addition, the NAL Response </w:t>
      </w:r>
      <w:r w:rsidR="001E3954">
        <w:t>fails to demonstrate that the DSM faxes at issue here would even qualify for waiver of Section 64.1200(a)(4)(iv) of the Commission’s rules.</w:t>
      </w:r>
      <w:r>
        <w:t xml:space="preserve"> </w:t>
      </w:r>
      <w:r w:rsidR="001E3954">
        <w:t xml:space="preserve">  The NAL Response appears to conflate an established business relationship with prior express </w:t>
      </w:r>
      <w:r w:rsidR="008A5871">
        <w:t xml:space="preserve">permission or </w:t>
      </w:r>
      <w:r w:rsidR="001E3954">
        <w:t>invitation to sen</w:t>
      </w:r>
      <w:r w:rsidR="008A5871">
        <w:t>d</w:t>
      </w:r>
      <w:r w:rsidR="001E3954">
        <w:t xml:space="preserve"> a fax advertisement,</w:t>
      </w:r>
      <w:r w:rsidR="001E3954">
        <w:rPr>
          <w:rStyle w:val="FootnoteReference"/>
        </w:rPr>
        <w:footnoteReference w:id="12"/>
      </w:r>
      <w:r w:rsidR="001E3954">
        <w:t xml:space="preserve"> </w:t>
      </w:r>
      <w:r w:rsidR="00AB0ED5">
        <w:t>which is at odds with both the Act and the Rules, which establish these elements as separate provisions that permit fax advertisements to be lawfully sent.</w:t>
      </w:r>
      <w:r w:rsidR="00AB0ED5">
        <w:rPr>
          <w:rStyle w:val="FootnoteReference"/>
        </w:rPr>
        <w:footnoteReference w:id="13"/>
      </w:r>
      <w:r w:rsidR="00AB0ED5">
        <w:t xml:space="preserve">  Further, with respect to waivers of opt-out notice requirements, </w:t>
      </w:r>
      <w:r>
        <w:t>t</w:t>
      </w:r>
      <w:r w:rsidRPr="00F71CF4">
        <w:t>he</w:t>
      </w:r>
      <w:r>
        <w:t xml:space="preserve"> Commission has emphasized that the waivers it granted for fax ads sent with prior express permission “do not extend to a similar requirement to include an opt-out notice on fax ads pursuant to an established business relationship, as there is no confusion regarding the applicability of this requirement to such faxes.”</w:t>
      </w:r>
      <w:r w:rsidR="00C73166">
        <w:rPr>
          <w:rStyle w:val="FootnoteReference"/>
        </w:rPr>
        <w:footnoteReference w:id="14"/>
      </w:r>
      <w:r w:rsidR="00AB0ED5">
        <w:t xml:space="preserve">  Accordingly, t</w:t>
      </w:r>
      <w:r w:rsidR="00AB0ED5" w:rsidRPr="00380C80">
        <w:t xml:space="preserve">o the extent that the DSM Parties seek to equate an established business relationship with prior express permission to fax, waiver of Section 64.1200(a)(4)(iv) of the Rules is not available even assuming, </w:t>
      </w:r>
      <w:r w:rsidR="00AB0ED5" w:rsidRPr="00380C80">
        <w:rPr>
          <w:i/>
        </w:rPr>
        <w:t>arguendo</w:t>
      </w:r>
      <w:r w:rsidR="00AB0ED5" w:rsidRPr="00380C80">
        <w:t xml:space="preserve">, that such established business relationships actually existed.  </w:t>
      </w:r>
      <w:r w:rsidR="00AB0ED5">
        <w:t>Moreover</w:t>
      </w:r>
      <w:r w:rsidR="00AB0ED5" w:rsidRPr="00380C80">
        <w:t xml:space="preserve">, despite the sworn complaints underlying the </w:t>
      </w:r>
      <w:r w:rsidR="00AB0ED5" w:rsidRPr="00380C80">
        <w:rPr>
          <w:i/>
        </w:rPr>
        <w:t>NAL</w:t>
      </w:r>
      <w:r w:rsidR="00AB0ED5">
        <w:t>, the DSM Parties offer only bla</w:t>
      </w:r>
      <w:r w:rsidR="00AB0ED5" w:rsidRPr="00380C80">
        <w:t>nket</w:t>
      </w:r>
      <w:r w:rsidR="00AB0ED5">
        <w:t xml:space="preserve"> and</w:t>
      </w:r>
      <w:r w:rsidR="00AB0ED5" w:rsidRPr="00380C80">
        <w:t xml:space="preserve"> sometimes inconsistent assertions</w:t>
      </w:r>
      <w:r w:rsidR="00AB0ED5" w:rsidRPr="00380C80">
        <w:rPr>
          <w:rStyle w:val="FootnoteReference"/>
        </w:rPr>
        <w:footnoteReference w:id="15"/>
      </w:r>
      <w:r w:rsidR="00AB0ED5" w:rsidRPr="00380C80">
        <w:t xml:space="preserve"> </w:t>
      </w:r>
      <w:r w:rsidR="00AB0ED5">
        <w:t>rather than any actual evidence that would demonstrate</w:t>
      </w:r>
      <w:r w:rsidR="00AB0ED5" w:rsidRPr="00380C80">
        <w:t xml:space="preserve"> </w:t>
      </w:r>
      <w:r w:rsidR="00AB0ED5" w:rsidRPr="00380C80">
        <w:rPr>
          <w:i/>
        </w:rPr>
        <w:t>either</w:t>
      </w:r>
      <w:r w:rsidR="00AB0ED5" w:rsidRPr="00380C80">
        <w:t xml:space="preserve"> prior express permission or an established business relationship with</w:t>
      </w:r>
      <w:r w:rsidR="00AB0ED5">
        <w:t xml:space="preserve"> respect to any of the 26 complainants.</w:t>
      </w:r>
      <w:r>
        <w:t xml:space="preserve">  </w:t>
      </w:r>
    </w:p>
    <w:p w:rsidR="00FC435C" w:rsidRPr="006D73F2" w:rsidRDefault="00FC435C" w:rsidP="00583A16">
      <w:pPr>
        <w:pStyle w:val="ParaNum"/>
      </w:pPr>
      <w:r>
        <w:t xml:space="preserve">Finally, with regard to the DSM Parties’ request that we clarify the statutory basis for </w:t>
      </w:r>
      <w:r w:rsidR="00AB0ED5">
        <w:t>Section 64.1200(a)(4)(iv)</w:t>
      </w:r>
      <w:r>
        <w:t xml:space="preserve"> is not 47 U.S.C. § 227(b), Section 1.2 of the Rules provides that the Commission may issue declaratory rulings “terminating a controv</w:t>
      </w:r>
      <w:r w:rsidR="00C73166">
        <w:t>ersy or removing uncertainty.”</w:t>
      </w:r>
      <w:r w:rsidR="00C73166">
        <w:rPr>
          <w:rStyle w:val="FootnoteReference"/>
        </w:rPr>
        <w:footnoteReference w:id="16"/>
      </w:r>
      <w:r>
        <w:t xml:space="preserve">  Since the subsection of the Rules at issue is inapplicable here, there is no controversy, nor is there any uncertainty: the Commission in 2014 concluded that section of the Act is, in fact, the statutory basis for Section 64.1200(a)(4)(iv).</w:t>
      </w:r>
      <w:r w:rsidR="00636715">
        <w:rPr>
          <w:rStyle w:val="FootnoteReference"/>
        </w:rPr>
        <w:footnoteReference w:id="17"/>
      </w:r>
      <w:r>
        <w:t xml:space="preserve"> </w:t>
      </w:r>
      <w:r w:rsidR="00EF4067">
        <w:t>We therefore deny this request as well.</w:t>
      </w:r>
      <w:r>
        <w:t xml:space="preserve"> </w:t>
      </w:r>
    </w:p>
    <w:p w:rsidR="006D73F2" w:rsidRPr="00611471" w:rsidRDefault="008F7F2E" w:rsidP="00D118F2">
      <w:pPr>
        <w:pStyle w:val="ParaNum"/>
        <w:widowControl/>
      </w:pPr>
      <w:r w:rsidRPr="00D74257">
        <w:rPr>
          <w:color w:val="000000"/>
          <w:spacing w:val="-2"/>
        </w:rPr>
        <w:t>Accordingly</w:t>
      </w:r>
      <w:r w:rsidRPr="006D73F2">
        <w:t xml:space="preserve">, </w:t>
      </w:r>
      <w:r w:rsidRPr="006D73F2">
        <w:rPr>
          <w:b/>
        </w:rPr>
        <w:t>IT IS ORDERED</w:t>
      </w:r>
      <w:r w:rsidRPr="006D73F2">
        <w:t xml:space="preserve"> </w:t>
      </w:r>
      <w:r w:rsidR="00077577">
        <w:t>that</w:t>
      </w:r>
      <w:r w:rsidRPr="006D73F2">
        <w:t xml:space="preserve">, </w:t>
      </w:r>
      <w:r w:rsidRPr="00D74257">
        <w:t>pursuant</w:t>
      </w:r>
      <w:r w:rsidRPr="006D73F2">
        <w:t xml:space="preserve"> to Section 503(b) of the </w:t>
      </w:r>
      <w:r w:rsidR="00816F70">
        <w:t xml:space="preserve">Communications </w:t>
      </w:r>
      <w:r w:rsidRPr="006D73F2">
        <w:t>Act</w:t>
      </w:r>
      <w:r w:rsidR="00816F70">
        <w:t xml:space="preserve"> of 1934, as amended</w:t>
      </w:r>
      <w:r w:rsidR="008A5871">
        <w:t>,</w:t>
      </w:r>
      <w:r w:rsidRPr="006D73F2">
        <w:rPr>
          <w:rStyle w:val="FootnoteReference"/>
          <w:sz w:val="22"/>
          <w:szCs w:val="22"/>
        </w:rPr>
        <w:footnoteReference w:id="18"/>
      </w:r>
      <w:r w:rsidRPr="006D73F2">
        <w:t xml:space="preserve"> and Section 1.80 of the Commission’s </w:t>
      </w:r>
      <w:r w:rsidR="00C63243">
        <w:t>r</w:t>
      </w:r>
      <w:r w:rsidRPr="006D73F2">
        <w:t>ules,</w:t>
      </w:r>
      <w:r w:rsidRPr="006D73F2">
        <w:rPr>
          <w:rStyle w:val="FootnoteReference"/>
          <w:sz w:val="22"/>
          <w:szCs w:val="22"/>
        </w:rPr>
        <w:footnoteReference w:id="19"/>
      </w:r>
      <w:r w:rsidRPr="006D73F2">
        <w:t xml:space="preserve"> </w:t>
      </w:r>
      <w:r w:rsidR="00B23CCD">
        <w:t>Scott Malcolm, DSM</w:t>
      </w:r>
      <w:r w:rsidR="0015224C">
        <w:t xml:space="preserve"> Supply, LLC</w:t>
      </w:r>
      <w:r w:rsidR="00B23CCD">
        <w:t>, and Somaticare</w:t>
      </w:r>
      <w:r w:rsidR="0015224C">
        <w:t>, LLC</w:t>
      </w:r>
      <w:r w:rsidR="00F349E0">
        <w:t>,</w:t>
      </w:r>
      <w:r w:rsidRPr="006D73F2">
        <w:t xml:space="preserve"> </w:t>
      </w:r>
      <w:r w:rsidR="00B23CCD">
        <w:rPr>
          <w:b/>
        </w:rPr>
        <w:t>ARE JOINTLY AND SEVERALLY</w:t>
      </w:r>
      <w:r w:rsidRPr="006D73F2">
        <w:rPr>
          <w:b/>
        </w:rPr>
        <w:t xml:space="preserve"> LIABLE FOR A MONETARY FORFEITURE</w:t>
      </w:r>
      <w:r w:rsidRPr="006D73F2">
        <w:t xml:space="preserve"> in the amount of </w:t>
      </w:r>
      <w:r w:rsidR="00B23CCD">
        <w:t>one million eight hundred forty</w:t>
      </w:r>
      <w:r w:rsidRPr="006D73F2">
        <w:t xml:space="preserve"> </w:t>
      </w:r>
      <w:r w:rsidR="0015224C">
        <w:t xml:space="preserve">thousand </w:t>
      </w:r>
      <w:r w:rsidRPr="006D73F2">
        <w:t>dollars ($</w:t>
      </w:r>
      <w:r w:rsidR="0015224C">
        <w:t>1,840,000</w:t>
      </w:r>
      <w:r w:rsidRPr="006D73F2">
        <w:t xml:space="preserve">) for willfully </w:t>
      </w:r>
      <w:r w:rsidR="00816F70">
        <w:t xml:space="preserve">and repeatedly </w:t>
      </w:r>
      <w:r w:rsidRPr="006D73F2">
        <w:t>violating</w:t>
      </w:r>
      <w:r w:rsidR="0015224C">
        <w:t xml:space="preserve"> Section 227(b)(1)(C)</w:t>
      </w:r>
      <w:r w:rsidRPr="006D73F2">
        <w:t xml:space="preserve"> of the Act</w:t>
      </w:r>
      <w:r w:rsidR="00816F70" w:rsidRPr="006D73F2">
        <w:rPr>
          <w:rStyle w:val="FootnoteReference"/>
          <w:sz w:val="22"/>
          <w:szCs w:val="22"/>
        </w:rPr>
        <w:footnoteReference w:id="20"/>
      </w:r>
      <w:r w:rsidRPr="006D73F2">
        <w:t xml:space="preserve"> and Sections</w:t>
      </w:r>
      <w:r w:rsidR="0015224C">
        <w:t xml:space="preserve"> 64.1200(a)(4) </w:t>
      </w:r>
      <w:r w:rsidRPr="006D73F2">
        <w:t xml:space="preserve">of the </w:t>
      </w:r>
      <w:r w:rsidR="00C63243">
        <w:t>R</w:t>
      </w:r>
      <w:r w:rsidRPr="006D73F2">
        <w:t>ules.</w:t>
      </w:r>
      <w:r w:rsidR="00816F70" w:rsidRPr="006D73F2">
        <w:rPr>
          <w:rStyle w:val="FootnoteReference"/>
          <w:sz w:val="22"/>
          <w:szCs w:val="22"/>
        </w:rPr>
        <w:footnoteReference w:id="21"/>
      </w:r>
    </w:p>
    <w:p w:rsidR="006D73F2" w:rsidRPr="006D73F2" w:rsidRDefault="008F7F2E" w:rsidP="008D72B5">
      <w:pPr>
        <w:pStyle w:val="ParaNum"/>
        <w:widowControl/>
        <w:rPr>
          <w:spacing w:val="-2"/>
        </w:rPr>
      </w:pPr>
      <w:r w:rsidRPr="00D74257">
        <w:rPr>
          <w:color w:val="000000"/>
          <w:spacing w:val="-2"/>
        </w:rPr>
        <w:t>Payment</w:t>
      </w:r>
      <w:r w:rsidRPr="006D73F2">
        <w:t xml:space="preserve"> of the forfeiture shall be made in the manner provided for in Section 1.80 of the Rules within </w:t>
      </w:r>
      <w:r w:rsidR="00CB3197" w:rsidRPr="006D73F2">
        <w:t>thirty</w:t>
      </w:r>
      <w:r w:rsidRPr="006D73F2">
        <w:t xml:space="preserve"> (</w:t>
      </w:r>
      <w:r w:rsidR="00CB3197" w:rsidRPr="006D73F2">
        <w:t>30</w:t>
      </w:r>
      <w:r w:rsidRPr="006D73F2">
        <w:t>)</w:t>
      </w:r>
      <w:r w:rsidR="00CB3197" w:rsidRPr="006D73F2">
        <w:t xml:space="preserve"> </w:t>
      </w:r>
      <w:r w:rsidRPr="006D73F2">
        <w:t>calendar days after the release date of this Forfeiture Order.</w:t>
      </w:r>
      <w:r w:rsidRPr="006D73F2">
        <w:rPr>
          <w:rStyle w:val="FootnoteReference"/>
          <w:sz w:val="22"/>
          <w:szCs w:val="22"/>
        </w:rPr>
        <w:footnoteReference w:id="22"/>
      </w:r>
      <w:r w:rsidRPr="006D73F2">
        <w:t xml:space="preserve">  If the forfeiture is not paid within the period specified, the case may be referred to the U.S. Department of Justice for enforcement of the forfeiture pursuant to Section 504(a) of the Act.</w:t>
      </w:r>
      <w:r w:rsidRPr="006D73F2">
        <w:rPr>
          <w:rStyle w:val="FootnoteReference"/>
          <w:sz w:val="22"/>
          <w:szCs w:val="22"/>
        </w:rPr>
        <w:footnoteReference w:id="23"/>
      </w:r>
      <w:r w:rsidRPr="006D73F2">
        <w:t xml:space="preserve">  </w:t>
      </w:r>
    </w:p>
    <w:p w:rsidR="008F7F2E" w:rsidRPr="006D73F2" w:rsidRDefault="00077577" w:rsidP="001D52C9">
      <w:pPr>
        <w:pStyle w:val="ParaNum"/>
        <w:rPr>
          <w:spacing w:val="-2"/>
        </w:rPr>
      </w:pPr>
      <w:r w:rsidRPr="00D74257">
        <w:rPr>
          <w:color w:val="000000"/>
          <w:spacing w:val="-2"/>
        </w:rPr>
        <w:t>Payment</w:t>
      </w:r>
      <w:r>
        <w:t xml:space="preserve"> of the forfeiture </w:t>
      </w:r>
      <w:r w:rsidR="008F7F2E" w:rsidRPr="006D73F2">
        <w:t xml:space="preserve">must be made by check or similar instrument, wire transfer, or credit card, and must include the NAL/Account Number and FRN referenced </w:t>
      </w:r>
      <w:r>
        <w:t>above</w:t>
      </w:r>
      <w:r w:rsidR="008F7F2E" w:rsidRPr="006D73F2">
        <w:t xml:space="preserve">.  </w:t>
      </w:r>
      <w:r w:rsidR="0015224C">
        <w:t>Scott Malcolm</w:t>
      </w:r>
      <w:r w:rsidR="00E3717A">
        <w:t>, DSM</w:t>
      </w:r>
      <w:r w:rsidR="00856C11">
        <w:t xml:space="preserve"> Supply, LLC</w:t>
      </w:r>
      <w:r w:rsidR="00E3717A">
        <w:t>, and/or Somaticare</w:t>
      </w:r>
      <w:r w:rsidR="00856C11">
        <w:t>, LLC</w:t>
      </w:r>
      <w:r w:rsidRPr="006D73F2">
        <w:t xml:space="preserve"> shall send electronic notification </w:t>
      </w:r>
      <w:r>
        <w:t xml:space="preserve">of </w:t>
      </w:r>
      <w:r w:rsidRPr="006D73F2">
        <w:t xml:space="preserve">payment to </w:t>
      </w:r>
      <w:r w:rsidR="00E3717A">
        <w:t>Johnny Drake</w:t>
      </w:r>
      <w:r w:rsidRPr="006D73F2">
        <w:t xml:space="preserve"> at</w:t>
      </w:r>
      <w:r w:rsidR="00E3717A">
        <w:t xml:space="preserve"> Johnny.Drake</w:t>
      </w:r>
      <w:r w:rsidRPr="006D73F2">
        <w:t>@fcc.gov on the date said payment is made.</w:t>
      </w:r>
      <w:r>
        <w:t xml:space="preserve">  </w:t>
      </w:r>
      <w:r w:rsidR="008F7F2E" w:rsidRPr="006D73F2">
        <w:t>Regardless of the form of payment, a completed FCC Form 159 (Remittance Advice) must be submitted.</w:t>
      </w:r>
      <w:r w:rsidR="008F7F2E" w:rsidRPr="006D73F2">
        <w:rPr>
          <w:rStyle w:val="FootnoteReference"/>
          <w:sz w:val="22"/>
          <w:szCs w:val="22"/>
        </w:rPr>
        <w:footnoteReference w:id="24"/>
      </w:r>
      <w:r w:rsidR="008F7F2E" w:rsidRPr="006D73F2">
        <w:t xml:space="preserve">  When completing the Form 159, enter the Account Number in block number 23A (call sign/other ID) and enter the letters “FORF” in block number 24A (payment type code).  Below are additional instructions</w:t>
      </w:r>
      <w:r w:rsidR="00716D74">
        <w:t xml:space="preserve"> </w:t>
      </w:r>
      <w:r>
        <w:t xml:space="preserve">that should be followed </w:t>
      </w:r>
      <w:r w:rsidR="008F7F2E" w:rsidRPr="006D73F2">
        <w:t>based on the form of payment select</w:t>
      </w:r>
      <w:r w:rsidR="00373669">
        <w:t>ed</w:t>
      </w:r>
      <w:r w:rsidR="008F7F2E" w:rsidRPr="006D73F2">
        <w:t>:</w:t>
      </w:r>
    </w:p>
    <w:p w:rsidR="008F7F2E" w:rsidRPr="006D73F2" w:rsidRDefault="008F7F2E" w:rsidP="00B27008">
      <w:pPr>
        <w:pStyle w:val="par1"/>
        <w:numPr>
          <w:ilvl w:val="0"/>
          <w:numId w:val="11"/>
        </w:numPr>
        <w:tabs>
          <w:tab w:val="clear" w:pos="1440"/>
        </w:tabs>
        <w:spacing w:after="120"/>
        <w:rPr>
          <w:szCs w:val="22"/>
        </w:rPr>
      </w:pPr>
      <w:r w:rsidRPr="006D73F2">
        <w:rPr>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6D73F2">
        <w:rPr>
          <w:szCs w:val="22"/>
        </w:rPr>
        <w:noBreakHyphen/>
        <w:t>MO-C2-GL, 1005 Convention Plaza, St. Louis, MO 63101.</w:t>
      </w:r>
    </w:p>
    <w:p w:rsidR="008F7F2E" w:rsidRPr="006D73F2" w:rsidRDefault="008F7F2E" w:rsidP="00583A16">
      <w:pPr>
        <w:pStyle w:val="par1"/>
        <w:widowControl/>
        <w:numPr>
          <w:ilvl w:val="0"/>
          <w:numId w:val="11"/>
        </w:numPr>
        <w:tabs>
          <w:tab w:val="clear" w:pos="1440"/>
        </w:tabs>
        <w:spacing w:after="120"/>
        <w:ind w:left="1267"/>
        <w:rPr>
          <w:szCs w:val="22"/>
        </w:rPr>
      </w:pPr>
      <w:r w:rsidRPr="006D73F2">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6D73F2" w:rsidRPr="00B27008" w:rsidRDefault="008F7F2E" w:rsidP="00B27008">
      <w:pPr>
        <w:pStyle w:val="par1"/>
        <w:widowControl/>
        <w:numPr>
          <w:ilvl w:val="0"/>
          <w:numId w:val="11"/>
        </w:numPr>
        <w:tabs>
          <w:tab w:val="clear" w:pos="1440"/>
        </w:tabs>
        <w:spacing w:after="120"/>
        <w:ind w:left="1267"/>
      </w:pPr>
      <w:r w:rsidRPr="006D73F2">
        <w:rPr>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7F15B3" w:rsidRDefault="008F7F2E">
      <w:pPr>
        <w:pStyle w:val="ParaNum"/>
      </w:pPr>
      <w:r w:rsidRPr="006D73F2">
        <w:t xml:space="preserve">Any </w:t>
      </w:r>
      <w:r w:rsidRPr="00D74257">
        <w:rPr>
          <w:color w:val="000000"/>
          <w:spacing w:val="-2"/>
        </w:rPr>
        <w:t>request</w:t>
      </w:r>
      <w:r w:rsidRPr="006D73F2">
        <w:t xml:space="preserve"> for </w:t>
      </w:r>
      <w:r w:rsidR="00077577">
        <w:t xml:space="preserve">making </w:t>
      </w:r>
      <w:r w:rsidRPr="006D73F2">
        <w:t xml:space="preserve">full payment </w:t>
      </w:r>
      <w:r w:rsidR="00C63243">
        <w:t xml:space="preserve">over time </w:t>
      </w:r>
      <w:r w:rsidRPr="006D73F2">
        <w:t>under an installment plan should be sent to</w:t>
      </w:r>
      <w:r w:rsidR="00C63243">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 w:val="22"/>
          <w:szCs w:val="22"/>
        </w:rPr>
        <w:footnoteReference w:id="25"/>
      </w:r>
      <w:r w:rsidRPr="006D73F2">
        <w:t xml:space="preserve">  </w:t>
      </w:r>
      <w:r w:rsidR="00573CFE">
        <w:t>Q</w:t>
      </w:r>
      <w:r w:rsidRPr="006D73F2">
        <w:t>uestions regarding payment procedures</w:t>
      </w:r>
      <w:r w:rsidR="00573CFE">
        <w:t xml:space="preserve"> </w:t>
      </w:r>
      <w:r w:rsidRPr="006D73F2">
        <w:t xml:space="preserve">should </w:t>
      </w:r>
      <w:r w:rsidR="00573CFE">
        <w:t xml:space="preserve">be directed to </w:t>
      </w:r>
      <w:r w:rsidRPr="006D73F2">
        <w:t xml:space="preserve">the Financial Operations Group Help Desk by telephone, 1-877-480-3201, or by e-mail, </w:t>
      </w:r>
      <w:hyperlink r:id="rId8" w:history="1">
        <w:r w:rsidR="007F15B3" w:rsidRPr="003A607F">
          <w:rPr>
            <w:rStyle w:val="Hyperlink"/>
          </w:rPr>
          <w:t>ARINQUIRIES@fcc.gov</w:t>
        </w:r>
      </w:hyperlink>
      <w:r w:rsidRPr="00373669">
        <w:t>.</w:t>
      </w:r>
    </w:p>
    <w:p w:rsidR="00F01547" w:rsidRPr="001E2209" w:rsidRDefault="00932A3D" w:rsidP="00D118F2">
      <w:pPr>
        <w:pStyle w:val="ParaNum"/>
        <w:widowControl/>
      </w:pPr>
      <w:r w:rsidRPr="002C6AAF">
        <w:rPr>
          <w:b/>
        </w:rPr>
        <w:t>IT IS FURTHER ORDERED</w:t>
      </w:r>
      <w:r>
        <w:t>, pursuant to Sections 1–4 and 227 of the Communications Act of 1934, as amended,</w:t>
      </w:r>
      <w:r>
        <w:rPr>
          <w:rStyle w:val="FootnoteReference"/>
        </w:rPr>
        <w:footnoteReference w:id="26"/>
      </w:r>
      <w:r>
        <w:t xml:space="preserve"> and Sections 1.2 and 64.1200 of the Commission’s rules,</w:t>
      </w:r>
      <w:r>
        <w:rPr>
          <w:rStyle w:val="FootnoteReference"/>
        </w:rPr>
        <w:footnoteReference w:id="27"/>
      </w:r>
      <w:r>
        <w:t xml:space="preserve"> that the request for clarification and retroactive waiver of Section 64.1200(a)(4)(iv) of the Commission’s</w:t>
      </w:r>
      <w:r w:rsidR="001E2209">
        <w:t xml:space="preserve"> </w:t>
      </w:r>
      <w:r>
        <w:t>rules</w:t>
      </w:r>
      <w:r>
        <w:rPr>
          <w:rStyle w:val="FootnoteReference"/>
        </w:rPr>
        <w:footnoteReference w:id="28"/>
      </w:r>
      <w:r>
        <w:t xml:space="preserve"> filed by Scott Malcolm, DSM Supply, LLC, and Somaticare, LLC, </w:t>
      </w:r>
      <w:r w:rsidRPr="001E2209">
        <w:rPr>
          <w:b/>
        </w:rPr>
        <w:t>IS DENIED</w:t>
      </w:r>
      <w:r>
        <w:t xml:space="preserve"> to the extent discussed herein.</w:t>
      </w:r>
    </w:p>
    <w:p w:rsidR="008F7F2E" w:rsidRPr="006D73F2" w:rsidRDefault="008F7F2E" w:rsidP="00856C11">
      <w:pPr>
        <w:pStyle w:val="ParaNum"/>
      </w:pPr>
      <w:r w:rsidRPr="006D73F2">
        <w:rPr>
          <w:b/>
        </w:rPr>
        <w:t>IT IS FURTHER ORDERED</w:t>
      </w:r>
      <w:r w:rsidRPr="006D73F2">
        <w:t xml:space="preserve"> </w:t>
      </w:r>
      <w:r w:rsidRPr="005109E0">
        <w:t xml:space="preserve">that a copy of this Forfeiture Order </w:t>
      </w:r>
      <w:r w:rsidR="005109E0" w:rsidRPr="00BD5A2B">
        <w:t xml:space="preserve">shall be sent by first class mail and certified </w:t>
      </w:r>
      <w:r w:rsidR="005109E0" w:rsidRPr="00D74257">
        <w:rPr>
          <w:color w:val="000000"/>
          <w:spacing w:val="-2"/>
        </w:rPr>
        <w:t>mail</w:t>
      </w:r>
      <w:r w:rsidR="005109E0" w:rsidRPr="00BD5A2B">
        <w:t xml:space="preserve">, return receipt requested, to </w:t>
      </w:r>
      <w:r w:rsidR="00856C11">
        <w:rPr>
          <w:szCs w:val="22"/>
        </w:rPr>
        <w:t xml:space="preserve">DSM Supply, LLC, Attn: Scott Malcolm, President/Owner, 11837 Judd Court, Suite 106E, Dallas, TX 75243; Somaticare, LLC, Attn: Scott Malcolm, President/Owner, 11837 Judd Court, Suite 106E, Dallas, TX 75243; Scott Malcolm, 11837 Judd Court, Suite 106E, Dallas, TX 75243; and to Michael R. Cramer, Esq., The Willis Law Group, PLLC, 10440 N. Central Expressway, Suite 520, Dallas, TX 75231.   </w:t>
      </w:r>
    </w:p>
    <w:p w:rsidR="008F7F2E" w:rsidRPr="006D73F2" w:rsidRDefault="008F7F2E" w:rsidP="008F7F2E">
      <w:pPr>
        <w:rPr>
          <w:szCs w:val="22"/>
        </w:rPr>
      </w:pPr>
    </w:p>
    <w:p w:rsidR="008F7F2E" w:rsidRPr="006D73F2" w:rsidRDefault="008F7F2E" w:rsidP="008F7F2E">
      <w:pPr>
        <w:rPr>
          <w:szCs w:val="22"/>
        </w:rPr>
      </w:pPr>
    </w:p>
    <w:p w:rsidR="008F7F2E" w:rsidRPr="00BD5A2B" w:rsidRDefault="008F7F2E" w:rsidP="008F7F2E">
      <w:pPr>
        <w:ind w:left="4410"/>
      </w:pPr>
      <w:r w:rsidRPr="00BD5A2B">
        <w:t>FEDERAL COMMUNICATIONS COMMISSION</w:t>
      </w:r>
    </w:p>
    <w:p w:rsidR="008F7F2E" w:rsidRPr="006D73F2" w:rsidRDefault="008F7F2E" w:rsidP="008F7F2E">
      <w:pPr>
        <w:ind w:left="4410"/>
        <w:rPr>
          <w:szCs w:val="22"/>
        </w:rPr>
      </w:pPr>
    </w:p>
    <w:p w:rsidR="008F7F2E" w:rsidRPr="006D73F2" w:rsidRDefault="008F7F2E" w:rsidP="008F7F2E">
      <w:pPr>
        <w:ind w:left="4410"/>
        <w:rPr>
          <w:szCs w:val="22"/>
        </w:rPr>
      </w:pPr>
    </w:p>
    <w:p w:rsidR="008F7F2E" w:rsidRPr="006D73F2" w:rsidRDefault="008F7F2E" w:rsidP="008F7F2E">
      <w:pPr>
        <w:ind w:left="4410"/>
        <w:rPr>
          <w:szCs w:val="22"/>
        </w:rPr>
      </w:pPr>
    </w:p>
    <w:p w:rsidR="008F7F2E" w:rsidRPr="006D73F2" w:rsidRDefault="008F7F2E" w:rsidP="008F7F2E">
      <w:pPr>
        <w:ind w:left="4410"/>
        <w:rPr>
          <w:szCs w:val="22"/>
        </w:rPr>
      </w:pPr>
    </w:p>
    <w:p w:rsidR="008F7F2E" w:rsidRPr="006D73F2" w:rsidRDefault="008F7F2E" w:rsidP="008F7F2E">
      <w:pPr>
        <w:ind w:left="4410"/>
        <w:rPr>
          <w:szCs w:val="22"/>
        </w:rPr>
      </w:pPr>
      <w:r w:rsidRPr="006D73F2">
        <w:rPr>
          <w:szCs w:val="22"/>
        </w:rPr>
        <w:t>Marlene H. Dortch</w:t>
      </w:r>
    </w:p>
    <w:p w:rsidR="008F7F2E" w:rsidRPr="006D73F2" w:rsidRDefault="008F7F2E" w:rsidP="008F7F2E">
      <w:pPr>
        <w:ind w:left="4410"/>
        <w:rPr>
          <w:szCs w:val="22"/>
        </w:rPr>
      </w:pPr>
      <w:r w:rsidRPr="006D73F2">
        <w:rPr>
          <w:szCs w:val="22"/>
        </w:rPr>
        <w:t>Secretary</w:t>
      </w:r>
    </w:p>
    <w:sectPr w:rsidR="008F7F2E" w:rsidRPr="006D73F2" w:rsidSect="002C645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B9" w:rsidRDefault="004B75B9">
      <w:r>
        <w:separator/>
      </w:r>
    </w:p>
  </w:endnote>
  <w:endnote w:type="continuationSeparator" w:id="0">
    <w:p w:rsidR="004B75B9" w:rsidRDefault="004B75B9">
      <w:r>
        <w:continuationSeparator/>
      </w:r>
    </w:p>
  </w:endnote>
  <w:endnote w:type="continuationNotice" w:id="1">
    <w:p w:rsidR="004B75B9" w:rsidRDefault="004B7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3553" w:rsidRDefault="00303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BF7">
      <w:rPr>
        <w:rStyle w:val="PageNumber"/>
        <w:noProof/>
      </w:rPr>
      <w:t>2</w:t>
    </w:r>
    <w:r>
      <w:rPr>
        <w:rStyle w:val="PageNumber"/>
      </w:rPr>
      <w:fldChar w:fldCharType="end"/>
    </w:r>
  </w:p>
  <w:p w:rsidR="00303553" w:rsidRDefault="00303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F3" w:rsidRDefault="00154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B9" w:rsidRDefault="004B75B9">
      <w:r>
        <w:separator/>
      </w:r>
    </w:p>
  </w:footnote>
  <w:footnote w:type="continuationSeparator" w:id="0">
    <w:p w:rsidR="004B75B9" w:rsidRDefault="004B75B9" w:rsidP="00A24AD5">
      <w:pPr>
        <w:spacing w:before="120"/>
      </w:pPr>
      <w:r>
        <w:rPr>
          <w:sz w:val="20"/>
        </w:rPr>
        <w:t xml:space="preserve">(Continued from previous page)  </w:t>
      </w:r>
      <w:r>
        <w:rPr>
          <w:sz w:val="20"/>
        </w:rPr>
        <w:separator/>
      </w:r>
    </w:p>
  </w:footnote>
  <w:footnote w:type="continuationNotice" w:id="1">
    <w:p w:rsidR="004B75B9" w:rsidRDefault="004B75B9" w:rsidP="00A24AD5">
      <w:pPr>
        <w:jc w:val="right"/>
      </w:pPr>
      <w:r>
        <w:rPr>
          <w:sz w:val="20"/>
        </w:rPr>
        <w:t>(continued….)</w:t>
      </w:r>
    </w:p>
  </w:footnote>
  <w:footnote w:id="2">
    <w:p w:rsidR="00ED0A20" w:rsidRDefault="00C95FF3" w:rsidP="00ED0A20">
      <w:pPr>
        <w:rPr>
          <w:i/>
          <w:sz w:val="20"/>
        </w:rPr>
      </w:pPr>
      <w:r w:rsidRPr="00C95FF3">
        <w:rPr>
          <w:rStyle w:val="FootnoteReference"/>
        </w:rPr>
        <w:footnoteRef/>
      </w:r>
      <w:r w:rsidRPr="00ED0A20">
        <w:rPr>
          <w:sz w:val="20"/>
        </w:rPr>
        <w:t xml:space="preserve"> </w:t>
      </w:r>
      <w:r w:rsidRPr="00ED0A20">
        <w:rPr>
          <w:i/>
          <w:sz w:val="20"/>
        </w:rPr>
        <w:t>See</w:t>
      </w:r>
      <w:r w:rsidRPr="00ED0A20">
        <w:rPr>
          <w:sz w:val="20"/>
        </w:rPr>
        <w:t xml:space="preserve"> </w:t>
      </w:r>
      <w:r w:rsidRPr="00ED0A20">
        <w:rPr>
          <w:i/>
          <w:sz w:val="20"/>
        </w:rPr>
        <w:t>Scott Malcolm</w:t>
      </w:r>
      <w:r w:rsidRPr="00ED0A20">
        <w:rPr>
          <w:sz w:val="20"/>
        </w:rPr>
        <w:t>, Notice of Apparent Liability for Forfeiture, 29 FCC Rcd 2476, 2479</w:t>
      </w:r>
      <w:r w:rsidR="001E0A42">
        <w:rPr>
          <w:sz w:val="20"/>
        </w:rPr>
        <w:t>-80</w:t>
      </w:r>
      <w:r w:rsidRPr="00ED0A20">
        <w:rPr>
          <w:sz w:val="20"/>
        </w:rPr>
        <w:t>, para 8 (2014)</w:t>
      </w:r>
      <w:r>
        <w:rPr>
          <w:sz w:val="20"/>
        </w:rPr>
        <w:t xml:space="preserve"> (</w:t>
      </w:r>
      <w:r w:rsidRPr="00ED0A20">
        <w:rPr>
          <w:i/>
          <w:sz w:val="20"/>
        </w:rPr>
        <w:t>NAL</w:t>
      </w:r>
      <w:r>
        <w:rPr>
          <w:sz w:val="20"/>
        </w:rPr>
        <w:t xml:space="preserve">).  As explained in the </w:t>
      </w:r>
      <w:r w:rsidRPr="00ED0A20">
        <w:rPr>
          <w:i/>
          <w:sz w:val="20"/>
        </w:rPr>
        <w:t>NAL</w:t>
      </w:r>
      <w:r>
        <w:rPr>
          <w:sz w:val="20"/>
        </w:rPr>
        <w:t xml:space="preserve">, “consumers . . . </w:t>
      </w:r>
      <w:r w:rsidRPr="00ED0A20">
        <w:rPr>
          <w:sz w:val="20"/>
        </w:rPr>
        <w:t xml:space="preserve">compellingly documented the disruption, expense, and frustration caused both by receipt </w:t>
      </w:r>
      <w:r w:rsidRPr="00C95FF3">
        <w:rPr>
          <w:sz w:val="20"/>
        </w:rPr>
        <w:t>of the DSM parties</w:t>
      </w:r>
      <w:r>
        <w:rPr>
          <w:sz w:val="20"/>
        </w:rPr>
        <w:t>’</w:t>
      </w:r>
      <w:r w:rsidRPr="00ED0A20">
        <w:rPr>
          <w:sz w:val="20"/>
        </w:rPr>
        <w:t xml:space="preserve"> unlawful advertisements and by the unpleasant and unsuccessful attempts to permanently stop them.</w:t>
      </w:r>
      <w:r>
        <w:rPr>
          <w:sz w:val="20"/>
        </w:rPr>
        <w:t xml:space="preserve">” </w:t>
      </w:r>
      <w:r w:rsidR="00517CBF">
        <w:rPr>
          <w:sz w:val="20"/>
        </w:rPr>
        <w:t xml:space="preserve"> </w:t>
      </w:r>
      <w:r w:rsidRPr="00ED0A20">
        <w:rPr>
          <w:i/>
          <w:sz w:val="20"/>
        </w:rPr>
        <w:t>Id.</w:t>
      </w:r>
      <w:r>
        <w:rPr>
          <w:sz w:val="20"/>
        </w:rPr>
        <w:t xml:space="preserve">  </w:t>
      </w:r>
      <w:r w:rsidR="001E0A42">
        <w:rPr>
          <w:sz w:val="20"/>
        </w:rPr>
        <w:t>Multiple c</w:t>
      </w:r>
      <w:r>
        <w:rPr>
          <w:sz w:val="20"/>
        </w:rPr>
        <w:t xml:space="preserve">onsumers described </w:t>
      </w:r>
      <w:r w:rsidR="001E0A42">
        <w:rPr>
          <w:sz w:val="20"/>
        </w:rPr>
        <w:t xml:space="preserve">receiving numerous junk faxes for extended periods, in one case “for years,” despite repeatedly asking the sender to stop.  </w:t>
      </w:r>
      <w:r w:rsidR="001E0A42">
        <w:rPr>
          <w:i/>
          <w:sz w:val="20"/>
        </w:rPr>
        <w:t xml:space="preserve">Id. </w:t>
      </w:r>
    </w:p>
    <w:p w:rsidR="000F51BA" w:rsidRPr="00ED0A20" w:rsidRDefault="000F51BA" w:rsidP="00ED0A20">
      <w:pPr>
        <w:rPr>
          <w:sz w:val="20"/>
        </w:rPr>
      </w:pPr>
    </w:p>
  </w:footnote>
  <w:footnote w:id="3">
    <w:p w:rsidR="00622944" w:rsidRDefault="00622944">
      <w:pPr>
        <w:pStyle w:val="FootnoteText"/>
      </w:pPr>
      <w:r>
        <w:rPr>
          <w:rStyle w:val="FootnoteReference"/>
        </w:rPr>
        <w:footnoteRef/>
      </w:r>
      <w:r>
        <w:t xml:space="preserve"> </w:t>
      </w:r>
      <w:r w:rsidR="00ED0A20">
        <w:rPr>
          <w:i/>
        </w:rPr>
        <w:t xml:space="preserve">Id. </w:t>
      </w:r>
      <w:r w:rsidR="00ED0A20" w:rsidRPr="00ED0A20">
        <w:t xml:space="preserve">at </w:t>
      </w:r>
      <w:r w:rsidR="00ED0A20">
        <w:t>2477–84, paras. 4–19 (providing</w:t>
      </w:r>
      <w:r w:rsidRPr="00140ABB">
        <w:rPr>
          <w:iCs/>
          <w:color w:val="000000"/>
        </w:rPr>
        <w:t xml:space="preserve"> a more complete discussion of the facts and history of this case</w:t>
      </w:r>
      <w:r w:rsidR="00ED0A20">
        <w:rPr>
          <w:iCs/>
          <w:color w:val="000000"/>
        </w:rPr>
        <w:t xml:space="preserve">). The </w:t>
      </w:r>
      <w:r w:rsidR="00ED0A20" w:rsidRPr="00311517">
        <w:rPr>
          <w:i/>
          <w:iCs/>
          <w:color w:val="000000"/>
        </w:rPr>
        <w:t>NAL</w:t>
      </w:r>
      <w:r w:rsidRPr="00311517">
        <w:rPr>
          <w:i/>
          <w:iCs/>
          <w:color w:val="000000"/>
        </w:rPr>
        <w:t xml:space="preserve"> </w:t>
      </w:r>
      <w:r w:rsidRPr="00140ABB">
        <w:rPr>
          <w:iCs/>
          <w:color w:val="000000"/>
        </w:rPr>
        <w:t>is incorporated herein by reference.</w:t>
      </w:r>
      <w:r>
        <w:t xml:space="preserve">  </w:t>
      </w:r>
    </w:p>
  </w:footnote>
  <w:footnote w:id="4">
    <w:p w:rsidR="00CB3197" w:rsidRDefault="00CB3197" w:rsidP="00607AA0">
      <w:pPr>
        <w:pStyle w:val="FootnoteText"/>
      </w:pPr>
      <w:r>
        <w:rPr>
          <w:rStyle w:val="FootnoteReference"/>
        </w:rPr>
        <w:footnoteRef/>
      </w:r>
      <w:r>
        <w:t xml:space="preserve"> </w:t>
      </w:r>
      <w:r w:rsidR="000C4B64">
        <w:rPr>
          <w:i/>
        </w:rPr>
        <w:t xml:space="preserve">See </w:t>
      </w:r>
      <w:r w:rsidR="00CD6AE6">
        <w:t xml:space="preserve">47 U.S.C. </w:t>
      </w:r>
      <w:r w:rsidR="00CD6AE6" w:rsidRPr="00344C0B">
        <w:t>§</w:t>
      </w:r>
      <w:r w:rsidR="00CD6AE6">
        <w:t xml:space="preserve"> 227(b)(1)(C)</w:t>
      </w:r>
      <w:r w:rsidR="003F572B">
        <w:t>;</w:t>
      </w:r>
      <w:r w:rsidR="00CD6AE6">
        <w:t xml:space="preserve"> 47 CFR </w:t>
      </w:r>
      <w:r w:rsidR="00CD6AE6" w:rsidRPr="00344C0B">
        <w:t>§</w:t>
      </w:r>
      <w:r w:rsidR="00CD6AE6">
        <w:t xml:space="preserve"> 64.1200(a)(4).</w:t>
      </w:r>
    </w:p>
  </w:footnote>
  <w:footnote w:id="5">
    <w:p w:rsidR="00FC435C" w:rsidRDefault="00FC435C">
      <w:pPr>
        <w:pStyle w:val="FootnoteText"/>
      </w:pPr>
      <w:r>
        <w:rPr>
          <w:rStyle w:val="FootnoteReference"/>
        </w:rPr>
        <w:footnoteRef/>
      </w:r>
      <w:r>
        <w:t xml:space="preserve"> </w:t>
      </w:r>
      <w:r w:rsidRPr="001D6AE8">
        <w:rPr>
          <w:i/>
        </w:rPr>
        <w:t>See</w:t>
      </w:r>
      <w:r>
        <w:t xml:space="preserve"> DSM Parties’ Response to Notice of Apparent Liability for Forfeiture (received Oct. 16, 2014) (on file in EB-TCD-12-00001013) (NAL Response).</w:t>
      </w:r>
    </w:p>
  </w:footnote>
  <w:footnote w:id="6">
    <w:p w:rsidR="00FC435C" w:rsidRDefault="00FC435C">
      <w:pPr>
        <w:pStyle w:val="FootnoteText"/>
      </w:pPr>
      <w:r>
        <w:rPr>
          <w:rStyle w:val="FootnoteReference"/>
        </w:rPr>
        <w:footnoteRef/>
      </w:r>
      <w:r>
        <w:t xml:space="preserve"> </w:t>
      </w:r>
      <w:r>
        <w:rPr>
          <w:i/>
        </w:rPr>
        <w:t>See NAL</w:t>
      </w:r>
      <w:r>
        <w:t xml:space="preserve">, 29 FCC Rcd at 2478–79, para. 5 (“These consumers have further indicated that they received the DSM advertisements without expressly authorizing such faxes to be sent.”); </w:t>
      </w:r>
      <w:r>
        <w:rPr>
          <w:i/>
        </w:rPr>
        <w:t>Rules and Regulations Implementing the Telephone Consumer Protection Act of 1991</w:t>
      </w:r>
      <w:r>
        <w:t>, Report and Order and Third Order on Reconsideration, 21 FCC Rcd 3787, 3812, para. 46 (2006) (“In the event that a complaint is filed, the burden of proof rests with the sender to demonstrate that permission was given.”).</w:t>
      </w:r>
    </w:p>
  </w:footnote>
  <w:footnote w:id="7">
    <w:p w:rsidR="00C73166" w:rsidRDefault="00C73166">
      <w:pPr>
        <w:pStyle w:val="FootnoteText"/>
      </w:pPr>
      <w:r>
        <w:rPr>
          <w:rStyle w:val="FootnoteReference"/>
        </w:rPr>
        <w:footnoteRef/>
      </w:r>
      <w:r>
        <w:t xml:space="preserve"> NAL Response at 5.</w:t>
      </w:r>
    </w:p>
  </w:footnote>
  <w:footnote w:id="8">
    <w:p w:rsidR="00C73166" w:rsidRPr="00636715" w:rsidRDefault="00C73166">
      <w:pPr>
        <w:pStyle w:val="FootnoteText"/>
      </w:pPr>
      <w:r>
        <w:rPr>
          <w:rStyle w:val="FootnoteReference"/>
        </w:rPr>
        <w:footnoteRef/>
      </w:r>
      <w:r>
        <w:t xml:space="preserve"> </w:t>
      </w:r>
      <w:r>
        <w:rPr>
          <w:i/>
        </w:rPr>
        <w:t>NAL</w:t>
      </w:r>
      <w:r>
        <w:t>, 29 FCC Rcd at 2478–79, para. 5.</w:t>
      </w:r>
    </w:p>
  </w:footnote>
  <w:footnote w:id="9">
    <w:p w:rsidR="00FC435C" w:rsidRDefault="00FC435C">
      <w:pPr>
        <w:pStyle w:val="FootnoteText"/>
      </w:pPr>
      <w:r>
        <w:rPr>
          <w:rStyle w:val="FootnoteReference"/>
        </w:rPr>
        <w:footnoteRef/>
      </w:r>
      <w:r>
        <w:t xml:space="preserve"> </w:t>
      </w:r>
      <w:r w:rsidR="00A71465">
        <w:rPr>
          <w:i/>
        </w:rPr>
        <w:t>Id.</w:t>
      </w:r>
      <w:r>
        <w:t xml:space="preserve"> at 2483–84, paras. 16–19 (emphasis added).  </w:t>
      </w:r>
    </w:p>
  </w:footnote>
  <w:footnote w:id="10">
    <w:p w:rsidR="00C73166" w:rsidRDefault="00C73166">
      <w:pPr>
        <w:pStyle w:val="FootnoteText"/>
      </w:pPr>
      <w:r>
        <w:rPr>
          <w:rStyle w:val="FootnoteReference"/>
        </w:rPr>
        <w:footnoteRef/>
      </w:r>
      <w:r>
        <w:t xml:space="preserve"> </w:t>
      </w:r>
      <w:r>
        <w:rPr>
          <w:i/>
        </w:rPr>
        <w:t>See Petitions for Declaratory Ruling, Waiver, and/or Rulemaking Regarding the Commission’s Opt-Out Requirement for Faxes Sent with the Recipient’s Prior Express Permission</w:t>
      </w:r>
      <w:r>
        <w:t>, Order,</w:t>
      </w:r>
      <w:r>
        <w:rPr>
          <w:i/>
        </w:rPr>
        <w:t xml:space="preserve"> </w:t>
      </w:r>
      <w:r>
        <w:t>29 FCC Rcd 13998 (2014) (</w:t>
      </w:r>
      <w:r w:rsidRPr="00583A16">
        <w:rPr>
          <w:i/>
        </w:rPr>
        <w:t>Anda Order</w:t>
      </w:r>
      <w:r>
        <w:t>).</w:t>
      </w:r>
    </w:p>
  </w:footnote>
  <w:footnote w:id="11">
    <w:p w:rsidR="00C73166" w:rsidRDefault="00C73166">
      <w:pPr>
        <w:pStyle w:val="FootnoteText"/>
      </w:pPr>
      <w:r>
        <w:rPr>
          <w:rStyle w:val="FootnoteReference"/>
        </w:rPr>
        <w:footnoteRef/>
      </w:r>
      <w:r>
        <w:t xml:space="preserve"> </w:t>
      </w:r>
      <w:r>
        <w:rPr>
          <w:i/>
        </w:rPr>
        <w:t xml:space="preserve">See </w:t>
      </w:r>
      <w:r>
        <w:t>Citation from Richard A. Hindman, Chief, Telecommunications Consumers Division, FCC Enforcement Bureau, to Somaticare, Inc. aka DSM Supply, LLC and DSM Supply, LLC aka Somaticare, Inc. (Dec. 20, 2011) (on file in EB-TCD-12-00001013 at 2 and Attachment A, section I(C)</w:t>
      </w:r>
      <w:r w:rsidR="007D65BF">
        <w:t>)</w:t>
      </w:r>
      <w:r>
        <w:t>.</w:t>
      </w:r>
    </w:p>
  </w:footnote>
  <w:footnote w:id="12">
    <w:p w:rsidR="001E3954" w:rsidRPr="001E3954" w:rsidRDefault="001E3954">
      <w:pPr>
        <w:pStyle w:val="FootnoteText"/>
      </w:pPr>
      <w:r>
        <w:rPr>
          <w:rStyle w:val="FootnoteReference"/>
        </w:rPr>
        <w:footnoteRef/>
      </w:r>
      <w:r>
        <w:t xml:space="preserve"> </w:t>
      </w:r>
      <w:r>
        <w:rPr>
          <w:i/>
        </w:rPr>
        <w:t>See, e.g.</w:t>
      </w:r>
      <w:r>
        <w:t>, NAL Response at 5.  (“The DSM Parties did not send the complainants an unsolicited fax.  The DSM Parties have an established business relationship with all of the compla</w:t>
      </w:r>
      <w:r w:rsidR="00AB0ED5">
        <w:t>i</w:t>
      </w:r>
      <w:r>
        <w:t>nants</w:t>
      </w:r>
      <w:r w:rsidR="009177D9">
        <w:t>.</w:t>
      </w:r>
      <w:r>
        <w:t>”).</w:t>
      </w:r>
    </w:p>
  </w:footnote>
  <w:footnote w:id="13">
    <w:p w:rsidR="00AB0ED5" w:rsidRDefault="00AB0ED5">
      <w:pPr>
        <w:pStyle w:val="FootnoteText"/>
      </w:pPr>
      <w:r>
        <w:rPr>
          <w:rStyle w:val="FootnoteReference"/>
        </w:rPr>
        <w:footnoteRef/>
      </w:r>
      <w:r>
        <w:t xml:space="preserve"> </w:t>
      </w:r>
      <w:r w:rsidR="007D65BF" w:rsidRPr="007D65BF">
        <w:rPr>
          <w:i/>
        </w:rPr>
        <w:t>See</w:t>
      </w:r>
      <w:r w:rsidR="007D65BF">
        <w:t xml:space="preserve"> </w:t>
      </w:r>
      <w:r>
        <w:t>47 U.S.C.</w:t>
      </w:r>
      <w:r w:rsidRPr="009044E7">
        <w:t xml:space="preserve"> </w:t>
      </w:r>
      <w:r w:rsidRPr="00344C0B">
        <w:t>§</w:t>
      </w:r>
      <w:r>
        <w:t xml:space="preserve"> 227(a)(5), (b)(1)(C)(i); 47 CFR</w:t>
      </w:r>
      <w:r w:rsidRPr="009044E7">
        <w:t xml:space="preserve"> </w:t>
      </w:r>
      <w:r w:rsidRPr="00344C0B">
        <w:t>§</w:t>
      </w:r>
      <w:r>
        <w:t xml:space="preserve"> 64.1200(a)(4)(i), (f)(15).</w:t>
      </w:r>
    </w:p>
  </w:footnote>
  <w:footnote w:id="14">
    <w:p w:rsidR="00C73166" w:rsidRDefault="00C73166">
      <w:pPr>
        <w:pStyle w:val="FootnoteText"/>
      </w:pPr>
      <w:r>
        <w:rPr>
          <w:rStyle w:val="FootnoteReference"/>
        </w:rPr>
        <w:footnoteRef/>
      </w:r>
      <w:r>
        <w:t xml:space="preserve"> </w:t>
      </w:r>
      <w:r>
        <w:rPr>
          <w:i/>
        </w:rPr>
        <w:t xml:space="preserve">See </w:t>
      </w:r>
      <w:r w:rsidRPr="00583A16">
        <w:rPr>
          <w:i/>
        </w:rPr>
        <w:t>Anda Order</w:t>
      </w:r>
      <w:r>
        <w:t xml:space="preserve">, 29 FCC Rcd at 13998, 14011, </w:t>
      </w:r>
      <w:r w:rsidR="00636715">
        <w:t xml:space="preserve">para. 2 </w:t>
      </w:r>
      <w:r>
        <w:t>n.2</w:t>
      </w:r>
      <w:r w:rsidR="00636715">
        <w:t>, para. 27 n.</w:t>
      </w:r>
      <w:r>
        <w:t>99</w:t>
      </w:r>
      <w:r w:rsidR="008A5871">
        <w:t xml:space="preserve">; </w:t>
      </w:r>
      <w:r w:rsidR="008A5871">
        <w:rPr>
          <w:i/>
        </w:rPr>
        <w:t>see also</w:t>
      </w:r>
      <w:r w:rsidR="008A5871">
        <w:t xml:space="preserve"> 47 U.S.C.</w:t>
      </w:r>
      <w:r w:rsidR="008A5871" w:rsidRPr="009044E7">
        <w:t xml:space="preserve"> </w:t>
      </w:r>
      <w:r w:rsidR="008A5871" w:rsidRPr="00344C0B">
        <w:t>§</w:t>
      </w:r>
      <w:r w:rsidR="008A5871">
        <w:t xml:space="preserve"> 227(b)(1)(C)(i)–(iii) (establishing a valid opt-out notice as a prerequisite for permissible fax advertising pursuant to an established business relationship)</w:t>
      </w:r>
      <w:r>
        <w:t>.</w:t>
      </w:r>
    </w:p>
  </w:footnote>
  <w:footnote w:id="15">
    <w:p w:rsidR="00AB0ED5" w:rsidRPr="00ED7DC2" w:rsidRDefault="00AB0ED5" w:rsidP="00AB0ED5">
      <w:pPr>
        <w:pStyle w:val="FootnoteText"/>
      </w:pPr>
      <w:r>
        <w:rPr>
          <w:rStyle w:val="FootnoteReference"/>
        </w:rPr>
        <w:footnoteRef/>
      </w:r>
      <w:r>
        <w:t xml:space="preserve"> “</w:t>
      </w:r>
      <w:r w:rsidRPr="00AA1969">
        <w:t xml:space="preserve">The DSM Parties have an established business relationship with </w:t>
      </w:r>
      <w:r w:rsidRPr="00AA1969">
        <w:rPr>
          <w:i/>
        </w:rPr>
        <w:t>all</w:t>
      </w:r>
      <w:r w:rsidRPr="00AA1969">
        <w:t xml:space="preserve"> of the complainants. . . .  Cursory review shows that the DSM Parties had established business relationships with </w:t>
      </w:r>
      <w:r w:rsidRPr="00AA1969">
        <w:rPr>
          <w:i/>
        </w:rPr>
        <w:t>most if not all</w:t>
      </w:r>
      <w:r w:rsidRPr="00AA1969">
        <w:t xml:space="preserve"> of the complainants in this matter.</w:t>
      </w:r>
      <w:r>
        <w:t>” NAL Response at 5 (emphasis added).</w:t>
      </w:r>
    </w:p>
  </w:footnote>
  <w:footnote w:id="16">
    <w:p w:rsidR="00C73166" w:rsidRDefault="00C73166">
      <w:pPr>
        <w:pStyle w:val="FootnoteText"/>
      </w:pPr>
      <w:r>
        <w:rPr>
          <w:rStyle w:val="FootnoteReference"/>
        </w:rPr>
        <w:footnoteRef/>
      </w:r>
      <w:r>
        <w:t xml:space="preserve"> 47 CFR § 1.2.</w:t>
      </w:r>
    </w:p>
  </w:footnote>
  <w:footnote w:id="17">
    <w:p w:rsidR="00636715" w:rsidRDefault="00636715">
      <w:pPr>
        <w:pStyle w:val="FootnoteText"/>
      </w:pPr>
      <w:r>
        <w:rPr>
          <w:rStyle w:val="FootnoteReference"/>
        </w:rPr>
        <w:footnoteRef/>
      </w:r>
      <w:r>
        <w:t xml:space="preserve"> </w:t>
      </w:r>
      <w:r>
        <w:rPr>
          <w:i/>
        </w:rPr>
        <w:t>See Anda Order</w:t>
      </w:r>
      <w:r>
        <w:t>, 29 FCC Rcd at 14005, para. 14 (“</w:t>
      </w:r>
      <w:r w:rsidR="007D65BF">
        <w:t>[W]</w:t>
      </w:r>
      <w:r>
        <w:t>e conclude that section 227(b) of the Act</w:t>
      </w:r>
      <w:r w:rsidR="007D65BF">
        <w:t xml:space="preserve"> . . . </w:t>
      </w:r>
      <w:r>
        <w:t>is the statutory basis for that rule.”).</w:t>
      </w:r>
    </w:p>
  </w:footnote>
  <w:footnote w:id="18">
    <w:p w:rsidR="008F7F2E" w:rsidRPr="00344C0B" w:rsidRDefault="008F7F2E" w:rsidP="00607AA0">
      <w:pPr>
        <w:pStyle w:val="FootnoteText"/>
      </w:pPr>
      <w:r w:rsidRPr="00344C0B">
        <w:rPr>
          <w:rStyle w:val="FootnoteReference"/>
        </w:rPr>
        <w:footnoteRef/>
      </w:r>
      <w:r w:rsidRPr="00344C0B">
        <w:t xml:space="preserve"> 47 U.S.C. § 503(b).</w:t>
      </w:r>
    </w:p>
  </w:footnote>
  <w:footnote w:id="19">
    <w:p w:rsidR="008F7F2E" w:rsidRPr="00344C0B" w:rsidRDefault="008F7F2E" w:rsidP="00607AA0">
      <w:pPr>
        <w:pStyle w:val="FootnoteText"/>
      </w:pPr>
      <w:r w:rsidRPr="00344C0B">
        <w:rPr>
          <w:rStyle w:val="FootnoteReference"/>
        </w:rPr>
        <w:footnoteRef/>
      </w:r>
      <w:r w:rsidRPr="00344C0B">
        <w:t xml:space="preserve"> 47 CFR § 1.80.</w:t>
      </w:r>
    </w:p>
  </w:footnote>
  <w:footnote w:id="20">
    <w:p w:rsidR="00816F70" w:rsidRDefault="00816F70" w:rsidP="00816F70">
      <w:pPr>
        <w:pStyle w:val="FootnoteText"/>
      </w:pPr>
      <w:r>
        <w:rPr>
          <w:rStyle w:val="FootnoteReference"/>
        </w:rPr>
        <w:footnoteRef/>
      </w:r>
      <w:r w:rsidR="0015224C">
        <w:t xml:space="preserve"> 47 U.S.C. </w:t>
      </w:r>
      <w:r w:rsidR="0015224C" w:rsidRPr="00344C0B">
        <w:t>§</w:t>
      </w:r>
      <w:r w:rsidR="0015224C">
        <w:t xml:space="preserve"> 227(b)(1)(C).</w:t>
      </w:r>
    </w:p>
  </w:footnote>
  <w:footnote w:id="21">
    <w:p w:rsidR="00816F70" w:rsidRDefault="00816F70" w:rsidP="00816F70">
      <w:pPr>
        <w:pStyle w:val="FootnoteText"/>
      </w:pPr>
      <w:r>
        <w:rPr>
          <w:rStyle w:val="FootnoteReference"/>
        </w:rPr>
        <w:footnoteRef/>
      </w:r>
      <w:r w:rsidR="002C6458">
        <w:t xml:space="preserve"> 47 C</w:t>
      </w:r>
      <w:r w:rsidR="0015224C">
        <w:t xml:space="preserve">FR </w:t>
      </w:r>
      <w:r w:rsidR="0015224C" w:rsidRPr="00344C0B">
        <w:t>§</w:t>
      </w:r>
      <w:r w:rsidR="0015224C">
        <w:t xml:space="preserve"> 64.1200(a)(4).</w:t>
      </w:r>
    </w:p>
  </w:footnote>
  <w:footnote w:id="22">
    <w:p w:rsidR="008F7F2E" w:rsidRPr="007D40D2" w:rsidRDefault="008F7F2E" w:rsidP="00607AA0">
      <w:pPr>
        <w:pStyle w:val="FootnoteText"/>
      </w:pPr>
      <w:r w:rsidRPr="00344C0B">
        <w:rPr>
          <w:rStyle w:val="FootnoteReference"/>
        </w:rPr>
        <w:footnoteRef/>
      </w:r>
      <w:r w:rsidRPr="00344C0B">
        <w:t xml:space="preserve"> 47 CFR § 1.80.</w:t>
      </w:r>
    </w:p>
  </w:footnote>
  <w:footnote w:id="23">
    <w:p w:rsidR="008F7F2E" w:rsidRPr="00344C0B" w:rsidRDefault="008F7F2E" w:rsidP="00607AA0">
      <w:pPr>
        <w:pStyle w:val="FootnoteText"/>
      </w:pPr>
      <w:r w:rsidRPr="00344C0B">
        <w:rPr>
          <w:rStyle w:val="FootnoteReference"/>
        </w:rPr>
        <w:footnoteRef/>
      </w:r>
      <w:r w:rsidRPr="00344C0B">
        <w:t xml:space="preserve"> 47 U.S.C. § 504(a).</w:t>
      </w:r>
    </w:p>
  </w:footnote>
  <w:footnote w:id="24">
    <w:p w:rsidR="008F7F2E" w:rsidRPr="00344C0B" w:rsidRDefault="008F7F2E" w:rsidP="00607AA0">
      <w:pPr>
        <w:pStyle w:val="FootnoteText"/>
      </w:pPr>
      <w:r w:rsidRPr="00344C0B">
        <w:rPr>
          <w:rStyle w:val="FootnoteReference"/>
        </w:rPr>
        <w:footnoteRef/>
      </w:r>
      <w:r w:rsidRPr="00344C0B">
        <w:t xml:space="preserve"> </w:t>
      </w:r>
      <w:r w:rsidRPr="00344C0B">
        <w:rPr>
          <w:rStyle w:val="FootnoteTextChar2"/>
        </w:rPr>
        <w:t>An FCC Form 159 and detailed instructions for completing the form may be obtained at</w:t>
      </w:r>
      <w:r w:rsidR="008D72B5">
        <w:rPr>
          <w:rStyle w:val="FootnoteTextChar2"/>
        </w:rPr>
        <w:t xml:space="preserve"> </w:t>
      </w:r>
      <w:hyperlink r:id="rId1" w:history="1">
        <w:r w:rsidR="008D72B5" w:rsidRPr="008D72B5">
          <w:rPr>
            <w:rStyle w:val="Hyperlink"/>
          </w:rPr>
          <w:t>http://www.fcc.gov/Forms/Form159/159.pdf</w:t>
        </w:r>
      </w:hyperlink>
      <w:r w:rsidRPr="00344C0B">
        <w:rPr>
          <w:rStyle w:val="FootnoteTextChar2"/>
        </w:rPr>
        <w:t>.</w:t>
      </w:r>
      <w:r w:rsidR="007D65BF">
        <w:rPr>
          <w:rStyle w:val="FootnoteTextChar2"/>
        </w:rPr>
        <w:t xml:space="preserve"> </w:t>
      </w:r>
    </w:p>
  </w:footnote>
  <w:footnote w:id="25">
    <w:p w:rsidR="008F7F2E" w:rsidRPr="0030738C" w:rsidRDefault="008F7F2E" w:rsidP="00607AA0">
      <w:pPr>
        <w:pStyle w:val="FootnoteText"/>
      </w:pPr>
      <w:r w:rsidRPr="00344C0B">
        <w:rPr>
          <w:rStyle w:val="FootnoteReference"/>
        </w:rPr>
        <w:footnoteRef/>
      </w:r>
      <w:r w:rsidRPr="00344C0B">
        <w:t xml:space="preserve"> </w:t>
      </w:r>
      <w:r w:rsidRPr="00344C0B">
        <w:rPr>
          <w:i/>
        </w:rPr>
        <w:t>See</w:t>
      </w:r>
      <w:r w:rsidR="002C6458">
        <w:t xml:space="preserve"> 47 C</w:t>
      </w:r>
      <w:r w:rsidRPr="00344C0B">
        <w:t>FR § 1.1914.</w:t>
      </w:r>
    </w:p>
  </w:footnote>
  <w:footnote w:id="26">
    <w:p w:rsidR="00932A3D" w:rsidRDefault="00932A3D" w:rsidP="00932A3D">
      <w:pPr>
        <w:pStyle w:val="FootnoteText"/>
      </w:pPr>
      <w:r>
        <w:rPr>
          <w:rStyle w:val="FootnoteReference"/>
        </w:rPr>
        <w:footnoteRef/>
      </w:r>
      <w:r>
        <w:t xml:space="preserve"> 47 U.S.C. §§ 151–153, 227.</w:t>
      </w:r>
    </w:p>
  </w:footnote>
  <w:footnote w:id="27">
    <w:p w:rsidR="00932A3D" w:rsidRDefault="00932A3D" w:rsidP="00932A3D">
      <w:pPr>
        <w:pStyle w:val="FootnoteText"/>
      </w:pPr>
      <w:r>
        <w:rPr>
          <w:rStyle w:val="FootnoteReference"/>
        </w:rPr>
        <w:footnoteRef/>
      </w:r>
      <w:r w:rsidR="002C6458">
        <w:t xml:space="preserve"> 47 C</w:t>
      </w:r>
      <w:r>
        <w:t>FR §§ 1.2, 64.1200.</w:t>
      </w:r>
    </w:p>
  </w:footnote>
  <w:footnote w:id="28">
    <w:p w:rsidR="00932A3D" w:rsidRDefault="00932A3D" w:rsidP="00932A3D">
      <w:pPr>
        <w:pStyle w:val="FootnoteText"/>
      </w:pPr>
      <w:r>
        <w:rPr>
          <w:rStyle w:val="FootnoteReference"/>
        </w:rPr>
        <w:footnoteRef/>
      </w:r>
      <w:r>
        <w:t xml:space="preserve"> </w:t>
      </w:r>
      <w:r w:rsidR="002C6458">
        <w:t>47 CF</w:t>
      </w:r>
      <w:r w:rsidRPr="00344C0B">
        <w:t xml:space="preserve">R § </w:t>
      </w:r>
      <w:r>
        <w:t>64.1200(a)(4)(iv)</w:t>
      </w:r>
      <w:r w:rsidRPr="00344C0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F3" w:rsidRDefault="00154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93" w:rsidRDefault="00482193" w:rsidP="00482193">
    <w:pPr>
      <w:pStyle w:val="Header"/>
    </w:pPr>
  </w:p>
  <w:p w:rsidR="00303553" w:rsidRDefault="00303553" w:rsidP="00810B3F">
    <w:pPr>
      <w:tabs>
        <w:tab w:val="center" w:pos="4680"/>
        <w:tab w:val="right" w:pos="9360"/>
      </w:tabs>
      <w:suppressAutoHyphens/>
      <w:spacing w:line="227" w:lineRule="auto"/>
      <w:jc w:val="both"/>
      <w:rPr>
        <w:spacing w:val="-2"/>
      </w:rPr>
    </w:pPr>
    <w:r>
      <w:rPr>
        <w:b/>
        <w:spacing w:val="-2"/>
      </w:rPr>
      <w:tab/>
      <w:t>Federal Communications Commission</w:t>
    </w:r>
    <w:r>
      <w:rPr>
        <w:b/>
        <w:spacing w:val="-2"/>
      </w:rPr>
      <w:tab/>
    </w:r>
    <w:r w:rsidR="00816F70">
      <w:rPr>
        <w:b/>
        <w:spacing w:val="-2"/>
      </w:rPr>
      <w:t xml:space="preserve">FCC </w:t>
    </w:r>
    <w:r w:rsidR="00065BE4">
      <w:rPr>
        <w:b/>
        <w:spacing w:val="-2"/>
      </w:rPr>
      <w:t>1</w:t>
    </w:r>
    <w:r w:rsidR="003D75CC">
      <w:rPr>
        <w:b/>
        <w:spacing w:val="-2"/>
      </w:rPr>
      <w:t>6-22</w:t>
    </w:r>
  </w:p>
  <w:p w:rsidR="00303553" w:rsidRDefault="00630C82" w:rsidP="00810B3F">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14:editId="598DAA4D">
              <wp:simplePos x="0" y="0"/>
              <wp:positionH relativeFrom="margin">
                <wp:posOffset>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303553" w:rsidRDefault="00303553" w:rsidP="00810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" o:allowincell="f" fillcolor="black" stroked="f" strokeweight=".05pt">
              <v:textbox>
                <w:txbxContent>
                  <w:p w:rsidR="00303553" w:rsidRDefault="00303553" w:rsidP="00810B3F"/>
                </w:txbxContent>
              </v:textbox>
              <w10:wrap anchorx="margin"/>
            </v:rect>
          </w:pict>
        </mc:Fallback>
      </mc:AlternateContent>
    </w:r>
  </w:p>
  <w:p w:rsidR="00303553" w:rsidRDefault="00303553" w:rsidP="00810B3F">
    <w:pPr>
      <w:pStyle w:val="Header"/>
      <w:pBdr>
        <w:between w:val="single" w:sz="4" w:space="1" w:color="auto"/>
      </w:pBdr>
      <w:tabs>
        <w:tab w:val="left" w:pos="8434"/>
      </w:tabs>
      <w:rPr>
        <w:b w:val="0"/>
      </w:rPr>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07" w:rsidRDefault="00C67E07" w:rsidP="00C67E07">
    <w:pPr>
      <w:pStyle w:val="Header"/>
    </w:pPr>
  </w:p>
  <w:p w:rsidR="00303553" w:rsidRDefault="00303553">
    <w:pPr>
      <w:tabs>
        <w:tab w:val="center" w:pos="4680"/>
        <w:tab w:val="right" w:pos="9360"/>
      </w:tabs>
      <w:suppressAutoHyphens/>
      <w:spacing w:line="227" w:lineRule="auto"/>
      <w:jc w:val="both"/>
      <w:rPr>
        <w:spacing w:val="-2"/>
      </w:rPr>
    </w:pPr>
    <w:r>
      <w:rPr>
        <w:b/>
        <w:spacing w:val="-2"/>
      </w:rPr>
      <w:tab/>
      <w:t>Federal Communications Commission</w:t>
    </w:r>
    <w:r>
      <w:rPr>
        <w:b/>
        <w:spacing w:val="-2"/>
      </w:rPr>
      <w:tab/>
    </w:r>
    <w:r w:rsidR="00816F70">
      <w:rPr>
        <w:b/>
        <w:spacing w:val="-2"/>
      </w:rPr>
      <w:t>FCC</w:t>
    </w:r>
    <w:r>
      <w:rPr>
        <w:b/>
        <w:spacing w:val="-2"/>
      </w:rPr>
      <w:t xml:space="preserve"> </w:t>
    </w:r>
    <w:r w:rsidR="003D75CC">
      <w:rPr>
        <w:b/>
        <w:spacing w:val="-2"/>
      </w:rPr>
      <w:t>16-22</w:t>
    </w:r>
  </w:p>
  <w:p w:rsidR="00303553" w:rsidRDefault="00630C82">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7216" behindDoc="1" locked="0" layoutInCell="0" allowOverlap="1" wp14:editId="5096E472">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303553" w:rsidRDefault="003035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M+G3YV8AgAACwUAAA4AAAAA&#10;AAAAAAAAAAAALgIAAGRycy9lMm9Eb2MueG1sUEsBAi0AFAAGAAgAAAAhACI87tHXAAAAAwEAAA8A&#10;AAAAAAAAAAAAAAAA1gQAAGRycy9kb3ducmV2LnhtbFBLBQYAAAAABAAEAPMAAADaBQAAAAA=&#10;" o:allowincell="f" fillcolor="black" stroked="f" strokeweight=".05pt">
              <v:textbox>
                <w:txbxContent>
                  <w:p w:rsidR="00303553" w:rsidRDefault="00303553"/>
                </w:txbxContent>
              </v:textbox>
              <w10:wrap anchorx="margin"/>
            </v:rect>
          </w:pict>
        </mc:Fallback>
      </mc:AlternateContent>
    </w:r>
  </w:p>
  <w:p w:rsidR="00303553" w:rsidRDefault="00303553">
    <w:pPr>
      <w:pStyle w:val="Header"/>
      <w:pBdr>
        <w:between w:val="single" w:sz="4" w:space="1" w:color="auto"/>
      </w:pBdr>
      <w:tabs>
        <w:tab w:val="left" w:pos="8434"/>
      </w:tabs>
      <w:rPr>
        <w:b w:val="0"/>
      </w:rP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7">
    <w:nsid w:val="432817C4"/>
    <w:multiLevelType w:val="multilevel"/>
    <w:tmpl w:val="3C50564A"/>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60256BB"/>
    <w:multiLevelType w:val="hybridMultilevel"/>
    <w:tmpl w:val="232E0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7"/>
  </w:num>
  <w:num w:numId="2">
    <w:abstractNumId w:val="12"/>
  </w:num>
  <w:num w:numId="3">
    <w:abstractNumId w:val="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1"/>
  </w:num>
  <w:num w:numId="9">
    <w:abstractNumId w:val="13"/>
  </w:num>
  <w:num w:numId="10">
    <w:abstractNumId w:val="0"/>
    <w:lvlOverride w:ilvl="0">
      <w:lvl w:ilvl="0">
        <w:numFmt w:val="bullet"/>
        <w:pStyle w:val="par1"/>
        <w:lvlText w:val=""/>
        <w:legacy w:legacy="1" w:legacySpace="0" w:legacyIndent="360"/>
        <w:lvlJc w:val="left"/>
        <w:rPr>
          <w:rFonts w:ascii="Symbol" w:hAnsi="Symbol" w:hint="default"/>
        </w:rPr>
      </w:lvl>
    </w:lvlOverride>
  </w:num>
  <w:num w:numId="11">
    <w:abstractNumId w:val="10"/>
  </w:num>
  <w:num w:numId="12">
    <w:abstractNumId w:val="3"/>
  </w:num>
  <w:num w:numId="13">
    <w:abstractNumId w:val="5"/>
  </w:num>
  <w:num w:numId="14">
    <w:abstractNumId w:val="8"/>
  </w:num>
  <w:num w:numId="15">
    <w:abstractNumId w:val="4"/>
  </w:num>
  <w:num w:numId="16">
    <w:abstractNumId w:val="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A1"/>
    <w:rsid w:val="00001F5C"/>
    <w:rsid w:val="00005E37"/>
    <w:rsid w:val="00006E99"/>
    <w:rsid w:val="00007CB1"/>
    <w:rsid w:val="00016EE8"/>
    <w:rsid w:val="0002016C"/>
    <w:rsid w:val="000214B8"/>
    <w:rsid w:val="0002156B"/>
    <w:rsid w:val="0003331D"/>
    <w:rsid w:val="00035950"/>
    <w:rsid w:val="000426B5"/>
    <w:rsid w:val="00053111"/>
    <w:rsid w:val="00065988"/>
    <w:rsid w:val="00065BE4"/>
    <w:rsid w:val="000732A2"/>
    <w:rsid w:val="00076C54"/>
    <w:rsid w:val="00077577"/>
    <w:rsid w:val="00096FC3"/>
    <w:rsid w:val="000A6B4F"/>
    <w:rsid w:val="000C4B64"/>
    <w:rsid w:val="000C4BF8"/>
    <w:rsid w:val="000C5C7F"/>
    <w:rsid w:val="000D0910"/>
    <w:rsid w:val="000D532F"/>
    <w:rsid w:val="000E071E"/>
    <w:rsid w:val="000F51BA"/>
    <w:rsid w:val="0010276E"/>
    <w:rsid w:val="0010663D"/>
    <w:rsid w:val="001144F1"/>
    <w:rsid w:val="00122015"/>
    <w:rsid w:val="00144419"/>
    <w:rsid w:val="0015224C"/>
    <w:rsid w:val="001536C5"/>
    <w:rsid w:val="001545F3"/>
    <w:rsid w:val="0016387C"/>
    <w:rsid w:val="0017294B"/>
    <w:rsid w:val="001729D4"/>
    <w:rsid w:val="00172FB7"/>
    <w:rsid w:val="00175DE5"/>
    <w:rsid w:val="00175E75"/>
    <w:rsid w:val="001946C5"/>
    <w:rsid w:val="00197375"/>
    <w:rsid w:val="001A312E"/>
    <w:rsid w:val="001A697A"/>
    <w:rsid w:val="001B17F8"/>
    <w:rsid w:val="001B51E3"/>
    <w:rsid w:val="001D52C9"/>
    <w:rsid w:val="001D6AE8"/>
    <w:rsid w:val="001E06F3"/>
    <w:rsid w:val="001E0A42"/>
    <w:rsid w:val="001E0F2F"/>
    <w:rsid w:val="001E2209"/>
    <w:rsid w:val="001E3954"/>
    <w:rsid w:val="0020042C"/>
    <w:rsid w:val="00211BC2"/>
    <w:rsid w:val="00213BBA"/>
    <w:rsid w:val="00216794"/>
    <w:rsid w:val="002459A8"/>
    <w:rsid w:val="00255741"/>
    <w:rsid w:val="0026076E"/>
    <w:rsid w:val="0027200E"/>
    <w:rsid w:val="002735F3"/>
    <w:rsid w:val="0028281D"/>
    <w:rsid w:val="00282F70"/>
    <w:rsid w:val="00286DE4"/>
    <w:rsid w:val="00287E26"/>
    <w:rsid w:val="002A111B"/>
    <w:rsid w:val="002A3DCD"/>
    <w:rsid w:val="002A6606"/>
    <w:rsid w:val="002A71F5"/>
    <w:rsid w:val="002A7519"/>
    <w:rsid w:val="002C08F0"/>
    <w:rsid w:val="002C6458"/>
    <w:rsid w:val="002D0551"/>
    <w:rsid w:val="002D2A0F"/>
    <w:rsid w:val="002D5913"/>
    <w:rsid w:val="002E5A87"/>
    <w:rsid w:val="002E6043"/>
    <w:rsid w:val="002F0FC0"/>
    <w:rsid w:val="00302DF0"/>
    <w:rsid w:val="00303553"/>
    <w:rsid w:val="00305CD3"/>
    <w:rsid w:val="00305EB5"/>
    <w:rsid w:val="00311517"/>
    <w:rsid w:val="003158B8"/>
    <w:rsid w:val="00325767"/>
    <w:rsid w:val="003264EC"/>
    <w:rsid w:val="00331129"/>
    <w:rsid w:val="00333DCF"/>
    <w:rsid w:val="0034003D"/>
    <w:rsid w:val="00340B78"/>
    <w:rsid w:val="00340BC7"/>
    <w:rsid w:val="0034486C"/>
    <w:rsid w:val="00357476"/>
    <w:rsid w:val="003633C4"/>
    <w:rsid w:val="003648A8"/>
    <w:rsid w:val="00373669"/>
    <w:rsid w:val="003742F2"/>
    <w:rsid w:val="00380820"/>
    <w:rsid w:val="00381CBF"/>
    <w:rsid w:val="00382187"/>
    <w:rsid w:val="00383A7B"/>
    <w:rsid w:val="003843C0"/>
    <w:rsid w:val="00387F61"/>
    <w:rsid w:val="0039064F"/>
    <w:rsid w:val="00392744"/>
    <w:rsid w:val="00395A4E"/>
    <w:rsid w:val="003A00ED"/>
    <w:rsid w:val="003A34C6"/>
    <w:rsid w:val="003B51DD"/>
    <w:rsid w:val="003C312D"/>
    <w:rsid w:val="003D24EF"/>
    <w:rsid w:val="003D4241"/>
    <w:rsid w:val="003D6417"/>
    <w:rsid w:val="003D75CC"/>
    <w:rsid w:val="003E1499"/>
    <w:rsid w:val="003E21FC"/>
    <w:rsid w:val="003E4382"/>
    <w:rsid w:val="003F23AD"/>
    <w:rsid w:val="003F4A61"/>
    <w:rsid w:val="003F572B"/>
    <w:rsid w:val="003F601F"/>
    <w:rsid w:val="00406F53"/>
    <w:rsid w:val="004138C7"/>
    <w:rsid w:val="00413AC3"/>
    <w:rsid w:val="00423233"/>
    <w:rsid w:val="00427171"/>
    <w:rsid w:val="00427309"/>
    <w:rsid w:val="00430E52"/>
    <w:rsid w:val="00436905"/>
    <w:rsid w:val="004415E4"/>
    <w:rsid w:val="00455B41"/>
    <w:rsid w:val="00467653"/>
    <w:rsid w:val="00471A00"/>
    <w:rsid w:val="0047375C"/>
    <w:rsid w:val="00475662"/>
    <w:rsid w:val="0047761D"/>
    <w:rsid w:val="00480E7D"/>
    <w:rsid w:val="00482193"/>
    <w:rsid w:val="004851CD"/>
    <w:rsid w:val="004867FB"/>
    <w:rsid w:val="00487356"/>
    <w:rsid w:val="0049372F"/>
    <w:rsid w:val="004943E6"/>
    <w:rsid w:val="0049706B"/>
    <w:rsid w:val="004A563B"/>
    <w:rsid w:val="004A6274"/>
    <w:rsid w:val="004B2792"/>
    <w:rsid w:val="004B296D"/>
    <w:rsid w:val="004B45A7"/>
    <w:rsid w:val="004B56BD"/>
    <w:rsid w:val="004B6E19"/>
    <w:rsid w:val="004B75B9"/>
    <w:rsid w:val="004C19E6"/>
    <w:rsid w:val="004C4397"/>
    <w:rsid w:val="004D36B5"/>
    <w:rsid w:val="004D7B4E"/>
    <w:rsid w:val="004E129A"/>
    <w:rsid w:val="004E15EC"/>
    <w:rsid w:val="004E493B"/>
    <w:rsid w:val="005109E0"/>
    <w:rsid w:val="00517CBF"/>
    <w:rsid w:val="005219C0"/>
    <w:rsid w:val="00523047"/>
    <w:rsid w:val="005233A6"/>
    <w:rsid w:val="005362D6"/>
    <w:rsid w:val="005403E9"/>
    <w:rsid w:val="005411F4"/>
    <w:rsid w:val="0054296A"/>
    <w:rsid w:val="005444E7"/>
    <w:rsid w:val="005514FC"/>
    <w:rsid w:val="005557F9"/>
    <w:rsid w:val="00560751"/>
    <w:rsid w:val="005619FD"/>
    <w:rsid w:val="00561FEA"/>
    <w:rsid w:val="00564984"/>
    <w:rsid w:val="00573CFE"/>
    <w:rsid w:val="00573E9F"/>
    <w:rsid w:val="00575ADB"/>
    <w:rsid w:val="00583A16"/>
    <w:rsid w:val="00584872"/>
    <w:rsid w:val="005915CD"/>
    <w:rsid w:val="005A2B10"/>
    <w:rsid w:val="005A7F89"/>
    <w:rsid w:val="005B14D0"/>
    <w:rsid w:val="005B6E86"/>
    <w:rsid w:val="005C20E6"/>
    <w:rsid w:val="005E3445"/>
    <w:rsid w:val="005E4B5E"/>
    <w:rsid w:val="005F18F3"/>
    <w:rsid w:val="005F5DAD"/>
    <w:rsid w:val="005F761E"/>
    <w:rsid w:val="0060275B"/>
    <w:rsid w:val="00607AA0"/>
    <w:rsid w:val="00610838"/>
    <w:rsid w:val="00611471"/>
    <w:rsid w:val="006126ED"/>
    <w:rsid w:val="00620146"/>
    <w:rsid w:val="00622944"/>
    <w:rsid w:val="00624E00"/>
    <w:rsid w:val="0062538D"/>
    <w:rsid w:val="00625BA0"/>
    <w:rsid w:val="00630C82"/>
    <w:rsid w:val="00636715"/>
    <w:rsid w:val="0065394E"/>
    <w:rsid w:val="006608B7"/>
    <w:rsid w:val="00671093"/>
    <w:rsid w:val="00674E3A"/>
    <w:rsid w:val="00675112"/>
    <w:rsid w:val="00677CC4"/>
    <w:rsid w:val="00681CCD"/>
    <w:rsid w:val="006A0C23"/>
    <w:rsid w:val="006A38F5"/>
    <w:rsid w:val="006A4574"/>
    <w:rsid w:val="006A4F92"/>
    <w:rsid w:val="006B7326"/>
    <w:rsid w:val="006C47B7"/>
    <w:rsid w:val="006D0F92"/>
    <w:rsid w:val="006D1783"/>
    <w:rsid w:val="006D73F2"/>
    <w:rsid w:val="006E33E0"/>
    <w:rsid w:val="006E45C3"/>
    <w:rsid w:val="006E56F1"/>
    <w:rsid w:val="006F6EEC"/>
    <w:rsid w:val="00704D2A"/>
    <w:rsid w:val="00712B90"/>
    <w:rsid w:val="007143C9"/>
    <w:rsid w:val="007160FB"/>
    <w:rsid w:val="00716D74"/>
    <w:rsid w:val="00722452"/>
    <w:rsid w:val="00724BF7"/>
    <w:rsid w:val="00726175"/>
    <w:rsid w:val="00727819"/>
    <w:rsid w:val="00754DE8"/>
    <w:rsid w:val="00754F52"/>
    <w:rsid w:val="007550AD"/>
    <w:rsid w:val="0075606F"/>
    <w:rsid w:val="00772DDD"/>
    <w:rsid w:val="00774F5A"/>
    <w:rsid w:val="0077570F"/>
    <w:rsid w:val="0079176B"/>
    <w:rsid w:val="007B1E9A"/>
    <w:rsid w:val="007B3224"/>
    <w:rsid w:val="007C0C63"/>
    <w:rsid w:val="007C19A7"/>
    <w:rsid w:val="007C3CF8"/>
    <w:rsid w:val="007C568D"/>
    <w:rsid w:val="007D3897"/>
    <w:rsid w:val="007D5402"/>
    <w:rsid w:val="007D65BF"/>
    <w:rsid w:val="007E52F2"/>
    <w:rsid w:val="007E53B8"/>
    <w:rsid w:val="007F15B3"/>
    <w:rsid w:val="00801FD3"/>
    <w:rsid w:val="00804BF5"/>
    <w:rsid w:val="00810B3F"/>
    <w:rsid w:val="00816F70"/>
    <w:rsid w:val="00822EB1"/>
    <w:rsid w:val="008274F6"/>
    <w:rsid w:val="00831B8F"/>
    <w:rsid w:val="00835A57"/>
    <w:rsid w:val="00843138"/>
    <w:rsid w:val="00844A7B"/>
    <w:rsid w:val="00846BC0"/>
    <w:rsid w:val="00846FBF"/>
    <w:rsid w:val="00850748"/>
    <w:rsid w:val="00856C11"/>
    <w:rsid w:val="00875640"/>
    <w:rsid w:val="00880472"/>
    <w:rsid w:val="00882921"/>
    <w:rsid w:val="008A5871"/>
    <w:rsid w:val="008A7EE3"/>
    <w:rsid w:val="008B1CAC"/>
    <w:rsid w:val="008B6EE7"/>
    <w:rsid w:val="008C09EB"/>
    <w:rsid w:val="008D2207"/>
    <w:rsid w:val="008D53A2"/>
    <w:rsid w:val="008D72B5"/>
    <w:rsid w:val="008E0506"/>
    <w:rsid w:val="008E69E9"/>
    <w:rsid w:val="008E727A"/>
    <w:rsid w:val="008F05BB"/>
    <w:rsid w:val="008F3246"/>
    <w:rsid w:val="008F7F2E"/>
    <w:rsid w:val="00906393"/>
    <w:rsid w:val="00914587"/>
    <w:rsid w:val="009177D9"/>
    <w:rsid w:val="00923FEC"/>
    <w:rsid w:val="009246B1"/>
    <w:rsid w:val="00926DC8"/>
    <w:rsid w:val="00926DFA"/>
    <w:rsid w:val="00927169"/>
    <w:rsid w:val="00932A3D"/>
    <w:rsid w:val="00933CBD"/>
    <w:rsid w:val="00943DCE"/>
    <w:rsid w:val="00944397"/>
    <w:rsid w:val="00954880"/>
    <w:rsid w:val="00954E26"/>
    <w:rsid w:val="0095654F"/>
    <w:rsid w:val="009574C7"/>
    <w:rsid w:val="00960613"/>
    <w:rsid w:val="0096278A"/>
    <w:rsid w:val="00963499"/>
    <w:rsid w:val="009752DF"/>
    <w:rsid w:val="00976954"/>
    <w:rsid w:val="0098215F"/>
    <w:rsid w:val="00984CAB"/>
    <w:rsid w:val="009A37E6"/>
    <w:rsid w:val="009A77AF"/>
    <w:rsid w:val="009A79A8"/>
    <w:rsid w:val="009C5D7E"/>
    <w:rsid w:val="009D0541"/>
    <w:rsid w:val="009D2ABC"/>
    <w:rsid w:val="009E2F52"/>
    <w:rsid w:val="009F084F"/>
    <w:rsid w:val="009F0926"/>
    <w:rsid w:val="009F11A1"/>
    <w:rsid w:val="00A007F6"/>
    <w:rsid w:val="00A07DA6"/>
    <w:rsid w:val="00A14A2D"/>
    <w:rsid w:val="00A156C4"/>
    <w:rsid w:val="00A16299"/>
    <w:rsid w:val="00A24AD5"/>
    <w:rsid w:val="00A304A9"/>
    <w:rsid w:val="00A369C1"/>
    <w:rsid w:val="00A46613"/>
    <w:rsid w:val="00A538FA"/>
    <w:rsid w:val="00A57778"/>
    <w:rsid w:val="00A640B0"/>
    <w:rsid w:val="00A71465"/>
    <w:rsid w:val="00A73295"/>
    <w:rsid w:val="00A75FA7"/>
    <w:rsid w:val="00A772FC"/>
    <w:rsid w:val="00A82D00"/>
    <w:rsid w:val="00A87B46"/>
    <w:rsid w:val="00AA5E72"/>
    <w:rsid w:val="00AB0ED5"/>
    <w:rsid w:val="00AB7264"/>
    <w:rsid w:val="00AC0692"/>
    <w:rsid w:val="00AE3A9C"/>
    <w:rsid w:val="00AE6BB8"/>
    <w:rsid w:val="00AF1995"/>
    <w:rsid w:val="00AF3C28"/>
    <w:rsid w:val="00B0066E"/>
    <w:rsid w:val="00B064BC"/>
    <w:rsid w:val="00B1129B"/>
    <w:rsid w:val="00B13F06"/>
    <w:rsid w:val="00B14681"/>
    <w:rsid w:val="00B23CCD"/>
    <w:rsid w:val="00B27008"/>
    <w:rsid w:val="00B27060"/>
    <w:rsid w:val="00B339ED"/>
    <w:rsid w:val="00B41F9C"/>
    <w:rsid w:val="00B45389"/>
    <w:rsid w:val="00B540F5"/>
    <w:rsid w:val="00B63F46"/>
    <w:rsid w:val="00B6524D"/>
    <w:rsid w:val="00B74A41"/>
    <w:rsid w:val="00B76704"/>
    <w:rsid w:val="00B925E3"/>
    <w:rsid w:val="00B93820"/>
    <w:rsid w:val="00B95829"/>
    <w:rsid w:val="00B95DCD"/>
    <w:rsid w:val="00BC1C93"/>
    <w:rsid w:val="00BC5B64"/>
    <w:rsid w:val="00BC6ACA"/>
    <w:rsid w:val="00BD2CBF"/>
    <w:rsid w:val="00BD4CCB"/>
    <w:rsid w:val="00BD5A2B"/>
    <w:rsid w:val="00BE6E36"/>
    <w:rsid w:val="00BF3B58"/>
    <w:rsid w:val="00BF4014"/>
    <w:rsid w:val="00BF4987"/>
    <w:rsid w:val="00C03DA5"/>
    <w:rsid w:val="00C11DD3"/>
    <w:rsid w:val="00C1625F"/>
    <w:rsid w:val="00C244DF"/>
    <w:rsid w:val="00C275E9"/>
    <w:rsid w:val="00C32931"/>
    <w:rsid w:val="00C32F47"/>
    <w:rsid w:val="00C63243"/>
    <w:rsid w:val="00C644D4"/>
    <w:rsid w:val="00C67E07"/>
    <w:rsid w:val="00C73166"/>
    <w:rsid w:val="00C916D0"/>
    <w:rsid w:val="00C95D29"/>
    <w:rsid w:val="00C95FF3"/>
    <w:rsid w:val="00C97A34"/>
    <w:rsid w:val="00CA6AD7"/>
    <w:rsid w:val="00CA796D"/>
    <w:rsid w:val="00CB0C3B"/>
    <w:rsid w:val="00CB3197"/>
    <w:rsid w:val="00CB65B7"/>
    <w:rsid w:val="00CC1731"/>
    <w:rsid w:val="00CC5F23"/>
    <w:rsid w:val="00CD3527"/>
    <w:rsid w:val="00CD6AE6"/>
    <w:rsid w:val="00CE6436"/>
    <w:rsid w:val="00CF29F3"/>
    <w:rsid w:val="00CF5414"/>
    <w:rsid w:val="00CF5ECA"/>
    <w:rsid w:val="00D015F1"/>
    <w:rsid w:val="00D05FDD"/>
    <w:rsid w:val="00D118F2"/>
    <w:rsid w:val="00D12C53"/>
    <w:rsid w:val="00D14185"/>
    <w:rsid w:val="00D16BAA"/>
    <w:rsid w:val="00D2320D"/>
    <w:rsid w:val="00D321F7"/>
    <w:rsid w:val="00D43111"/>
    <w:rsid w:val="00D61FA2"/>
    <w:rsid w:val="00D65042"/>
    <w:rsid w:val="00D66787"/>
    <w:rsid w:val="00D71388"/>
    <w:rsid w:val="00D74257"/>
    <w:rsid w:val="00D85612"/>
    <w:rsid w:val="00D87306"/>
    <w:rsid w:val="00DA17CB"/>
    <w:rsid w:val="00DB04DA"/>
    <w:rsid w:val="00DB27A2"/>
    <w:rsid w:val="00DD55C7"/>
    <w:rsid w:val="00DF5146"/>
    <w:rsid w:val="00E043F8"/>
    <w:rsid w:val="00E055F0"/>
    <w:rsid w:val="00E16B06"/>
    <w:rsid w:val="00E2064A"/>
    <w:rsid w:val="00E2138B"/>
    <w:rsid w:val="00E2394E"/>
    <w:rsid w:val="00E3717A"/>
    <w:rsid w:val="00E6565D"/>
    <w:rsid w:val="00E677B4"/>
    <w:rsid w:val="00E76BB4"/>
    <w:rsid w:val="00E9036A"/>
    <w:rsid w:val="00EA1CB0"/>
    <w:rsid w:val="00EA3D71"/>
    <w:rsid w:val="00EA671C"/>
    <w:rsid w:val="00EB1E35"/>
    <w:rsid w:val="00EB2B7A"/>
    <w:rsid w:val="00EB3C8B"/>
    <w:rsid w:val="00EC393B"/>
    <w:rsid w:val="00EC3F96"/>
    <w:rsid w:val="00EC412C"/>
    <w:rsid w:val="00ED0A20"/>
    <w:rsid w:val="00ED2A01"/>
    <w:rsid w:val="00ED3B25"/>
    <w:rsid w:val="00ED6ECA"/>
    <w:rsid w:val="00EE33F3"/>
    <w:rsid w:val="00EE68E4"/>
    <w:rsid w:val="00EE7AA5"/>
    <w:rsid w:val="00EF4067"/>
    <w:rsid w:val="00EF4E46"/>
    <w:rsid w:val="00EF5F55"/>
    <w:rsid w:val="00F01547"/>
    <w:rsid w:val="00F0180A"/>
    <w:rsid w:val="00F06E41"/>
    <w:rsid w:val="00F165FC"/>
    <w:rsid w:val="00F25F0C"/>
    <w:rsid w:val="00F31408"/>
    <w:rsid w:val="00F349E0"/>
    <w:rsid w:val="00F37558"/>
    <w:rsid w:val="00F4468C"/>
    <w:rsid w:val="00F53E7E"/>
    <w:rsid w:val="00F65D94"/>
    <w:rsid w:val="00F71CF4"/>
    <w:rsid w:val="00F812C5"/>
    <w:rsid w:val="00F8325E"/>
    <w:rsid w:val="00F8618A"/>
    <w:rsid w:val="00FA2D99"/>
    <w:rsid w:val="00FB332B"/>
    <w:rsid w:val="00FB68AD"/>
    <w:rsid w:val="00FC435C"/>
    <w:rsid w:val="00FC4ABC"/>
    <w:rsid w:val="00FD7AFC"/>
    <w:rsid w:val="00FE1DF9"/>
    <w:rsid w:val="00FE62A0"/>
    <w:rsid w:val="00F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F7"/>
    <w:pPr>
      <w:widowControl w:val="0"/>
    </w:pPr>
    <w:rPr>
      <w:snapToGrid w:val="0"/>
      <w:kern w:val="28"/>
      <w:sz w:val="22"/>
    </w:rPr>
  </w:style>
  <w:style w:type="paragraph" w:styleId="Heading1">
    <w:name w:val="heading 1"/>
    <w:basedOn w:val="Normal"/>
    <w:next w:val="ParaNum"/>
    <w:qFormat/>
    <w:rsid w:val="00724BF7"/>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24BF7"/>
    <w:pPr>
      <w:keepNext/>
      <w:numPr>
        <w:ilvl w:val="1"/>
        <w:numId w:val="13"/>
      </w:numPr>
      <w:spacing w:after="120"/>
      <w:outlineLvl w:val="1"/>
    </w:pPr>
    <w:rPr>
      <w:b/>
    </w:rPr>
  </w:style>
  <w:style w:type="paragraph" w:styleId="Heading3">
    <w:name w:val="heading 3"/>
    <w:basedOn w:val="Normal"/>
    <w:next w:val="ParaNum"/>
    <w:link w:val="Heading3Char"/>
    <w:qFormat/>
    <w:rsid w:val="00724BF7"/>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724BF7"/>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724BF7"/>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724BF7"/>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724BF7"/>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724BF7"/>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24BF7"/>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24B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4BF7"/>
  </w:style>
  <w:style w:type="paragraph" w:styleId="Header">
    <w:name w:val="header"/>
    <w:basedOn w:val="Normal"/>
    <w:link w:val="HeaderChar"/>
    <w:autoRedefine/>
    <w:rsid w:val="00724BF7"/>
    <w:pPr>
      <w:tabs>
        <w:tab w:val="center" w:pos="4680"/>
        <w:tab w:val="right" w:pos="9360"/>
      </w:tabs>
    </w:pPr>
    <w:rPr>
      <w:b/>
    </w:rPr>
  </w:style>
  <w:style w:type="paragraph" w:styleId="Footer">
    <w:name w:val="footer"/>
    <w:basedOn w:val="Normal"/>
    <w:rsid w:val="00724BF7"/>
    <w:pPr>
      <w:tabs>
        <w:tab w:val="center" w:pos="4320"/>
        <w:tab w:val="right" w:pos="8640"/>
      </w:tabs>
    </w:pPr>
  </w:style>
  <w:style w:type="character" w:styleId="PageNumber">
    <w:name w:val="page number"/>
    <w:basedOn w:val="DefaultParagraphFont"/>
    <w:rsid w:val="00724BF7"/>
  </w:style>
  <w:style w:type="character" w:styleId="FootnoteReference">
    <w:name w:val="footnote reference"/>
    <w:aliases w:val="Style 12,(NECG) Footnote Reference,Appel note de bas de p,Style 124,Style 4,Style 13,o,fr,Style 3,FR,Style 17,Style 6,Footnote Reference/"/>
    <w:rsid w:val="00724BF7"/>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724BF7"/>
    <w:pPr>
      <w:spacing w:after="120"/>
    </w:pPr>
  </w:style>
  <w:style w:type="paragraph" w:styleId="BodyText">
    <w:name w:val="Body Text"/>
    <w:basedOn w:val="Normal"/>
    <w:rPr>
      <w:snapToGrid/>
    </w:rPr>
  </w:style>
  <w:style w:type="paragraph" w:styleId="Title">
    <w:name w:val="Title"/>
    <w:basedOn w:val="Normal"/>
    <w:qFormat/>
    <w:pPr>
      <w:tabs>
        <w:tab w:val="center" w:pos="4770"/>
      </w:tabs>
      <w:spacing w:line="226" w:lineRule="auto"/>
      <w:jc w:val="center"/>
    </w:pPr>
    <w:rPr>
      <w:b/>
    </w:rPr>
  </w:style>
  <w:style w:type="paragraph" w:styleId="EndnoteText">
    <w:name w:val="endnote text"/>
    <w:basedOn w:val="Normal"/>
    <w:semiHidden/>
    <w:rsid w:val="00724BF7"/>
    <w:rPr>
      <w:sz w:val="20"/>
    </w:rPr>
  </w:style>
  <w:style w:type="character" w:styleId="EndnoteReference">
    <w:name w:val="endnote reference"/>
    <w:semiHidden/>
    <w:rsid w:val="00724BF7"/>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rsid w:val="00724BF7"/>
    <w:pPr>
      <w:tabs>
        <w:tab w:val="left" w:pos="2160"/>
        <w:tab w:val="right" w:leader="dot" w:pos="9360"/>
      </w:tabs>
      <w:suppressAutoHyphens/>
      <w:ind w:left="2160" w:hanging="360"/>
    </w:pPr>
    <w:rPr>
      <w:noProof/>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724BF7"/>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snapToGrid w:val="0"/>
      <w:kern w:val="28"/>
      <w:sz w:val="22"/>
    </w:rPr>
  </w:style>
  <w:style w:type="paragraph" w:customStyle="1" w:styleId="ParaNum">
    <w:name w:val="ParaNum"/>
    <w:basedOn w:val="Normal"/>
    <w:link w:val="ParaNumChar"/>
    <w:rsid w:val="00724BF7"/>
    <w:pPr>
      <w:numPr>
        <w:numId w:val="9"/>
      </w:numPr>
      <w:tabs>
        <w:tab w:val="clear" w:pos="1080"/>
        <w:tab w:val="num" w:pos="1440"/>
      </w:tabs>
      <w:spacing w:after="120"/>
    </w:pPr>
  </w:style>
  <w:style w:type="paragraph" w:styleId="ListParagraph">
    <w:name w:val="List Paragraph"/>
    <w:basedOn w:val="Normal"/>
    <w:uiPriority w:val="99"/>
    <w:qFormat/>
    <w:rsid w:val="008F7F2E"/>
    <w:pPr>
      <w:ind w:left="720"/>
      <w:contextualSpacing/>
    </w:pPr>
    <w:rPr>
      <w:snapToGrid/>
    </w:rPr>
  </w:style>
  <w:style w:type="paragraph" w:customStyle="1" w:styleId="par1">
    <w:name w:val="par1"/>
    <w:basedOn w:val="Normal"/>
    <w:link w:val="par1Char"/>
    <w:uiPriority w:val="99"/>
    <w:rsid w:val="008F7F2E"/>
    <w:pPr>
      <w:numPr>
        <w:numId w:val="10"/>
      </w:numPr>
      <w:tabs>
        <w:tab w:val="num" w:pos="900"/>
        <w:tab w:val="left" w:pos="1440"/>
      </w:tabs>
      <w:ind w:left="-180" w:firstLine="720"/>
    </w:pPr>
    <w:rPr>
      <w:snapToGrid/>
    </w:rPr>
  </w:style>
  <w:style w:type="character" w:customStyle="1" w:styleId="par1Char">
    <w:name w:val="par1 Char"/>
    <w:link w:val="par1"/>
    <w:uiPriority w:val="99"/>
    <w:locked/>
    <w:rsid w:val="008F7F2E"/>
    <w:rPr>
      <w:snapToGrid w:val="0"/>
      <w:kern w:val="28"/>
    </w:rPr>
  </w:style>
  <w:style w:type="character" w:customStyle="1" w:styleId="Heading3Char">
    <w:name w:val="Heading 3 Char"/>
    <w:basedOn w:val="DefaultParagraphFont"/>
    <w:link w:val="Heading3"/>
    <w:rsid w:val="00CF5ECA"/>
    <w:rPr>
      <w:b/>
      <w:snapToGrid w:val="0"/>
      <w:kern w:val="28"/>
      <w:sz w:val="22"/>
    </w:rPr>
  </w:style>
  <w:style w:type="character" w:customStyle="1" w:styleId="Heading4Char">
    <w:name w:val="Heading 4 Char"/>
    <w:basedOn w:val="DefaultParagraphFont"/>
    <w:link w:val="Heading4"/>
    <w:rsid w:val="00CF5ECA"/>
    <w:rPr>
      <w:b/>
      <w:snapToGrid w:val="0"/>
      <w:kern w:val="28"/>
      <w:sz w:val="22"/>
    </w:rPr>
  </w:style>
  <w:style w:type="character" w:customStyle="1" w:styleId="Heading5Char">
    <w:name w:val="Heading 5 Char"/>
    <w:basedOn w:val="DefaultParagraphFont"/>
    <w:link w:val="Heading5"/>
    <w:rsid w:val="00CF5ECA"/>
    <w:rPr>
      <w:b/>
      <w:snapToGrid w:val="0"/>
      <w:kern w:val="28"/>
      <w:sz w:val="22"/>
    </w:rPr>
  </w:style>
  <w:style w:type="character" w:customStyle="1" w:styleId="Heading6Char">
    <w:name w:val="Heading 6 Char"/>
    <w:basedOn w:val="DefaultParagraphFont"/>
    <w:link w:val="Heading6"/>
    <w:rsid w:val="00CF5ECA"/>
    <w:rPr>
      <w:b/>
      <w:snapToGrid w:val="0"/>
      <w:kern w:val="28"/>
      <w:sz w:val="22"/>
    </w:rPr>
  </w:style>
  <w:style w:type="character" w:customStyle="1" w:styleId="Heading7Char">
    <w:name w:val="Heading 7 Char"/>
    <w:basedOn w:val="DefaultParagraphFont"/>
    <w:link w:val="Heading7"/>
    <w:rsid w:val="00CF5ECA"/>
    <w:rPr>
      <w:b/>
      <w:snapToGrid w:val="0"/>
      <w:kern w:val="28"/>
      <w:sz w:val="22"/>
    </w:rPr>
  </w:style>
  <w:style w:type="character" w:customStyle="1" w:styleId="Heading8Char">
    <w:name w:val="Heading 8 Char"/>
    <w:basedOn w:val="DefaultParagraphFont"/>
    <w:link w:val="Heading8"/>
    <w:rsid w:val="00CF5ECA"/>
    <w:rPr>
      <w:b/>
      <w:snapToGrid w:val="0"/>
      <w:kern w:val="28"/>
      <w:sz w:val="22"/>
    </w:rPr>
  </w:style>
  <w:style w:type="character" w:customStyle="1" w:styleId="Heading9Char">
    <w:name w:val="Heading 9 Char"/>
    <w:basedOn w:val="DefaultParagraphFont"/>
    <w:link w:val="Heading9"/>
    <w:rsid w:val="00CF5ECA"/>
    <w:rPr>
      <w:b/>
      <w:snapToGrid w:val="0"/>
      <w:kern w:val="28"/>
      <w:sz w:val="22"/>
    </w:rPr>
  </w:style>
  <w:style w:type="paragraph" w:styleId="TOC1">
    <w:name w:val="toc 1"/>
    <w:basedOn w:val="Normal"/>
    <w:next w:val="Normal"/>
    <w:rsid w:val="00724BF7"/>
    <w:pPr>
      <w:tabs>
        <w:tab w:val="left" w:pos="360"/>
        <w:tab w:val="right" w:leader="dot" w:pos="9360"/>
      </w:tabs>
      <w:suppressAutoHyphens/>
      <w:ind w:left="360" w:right="720" w:hanging="360"/>
    </w:pPr>
    <w:rPr>
      <w:caps/>
      <w:noProof/>
    </w:rPr>
  </w:style>
  <w:style w:type="paragraph" w:styleId="TOC2">
    <w:name w:val="toc 2"/>
    <w:basedOn w:val="Normal"/>
    <w:next w:val="Normal"/>
    <w:rsid w:val="00724BF7"/>
    <w:pPr>
      <w:tabs>
        <w:tab w:val="left" w:pos="720"/>
        <w:tab w:val="right" w:leader="dot" w:pos="9360"/>
      </w:tabs>
      <w:suppressAutoHyphens/>
      <w:ind w:left="720" w:right="720" w:hanging="360"/>
    </w:pPr>
    <w:rPr>
      <w:noProof/>
    </w:rPr>
  </w:style>
  <w:style w:type="paragraph" w:styleId="TOC3">
    <w:name w:val="toc 3"/>
    <w:basedOn w:val="Normal"/>
    <w:next w:val="Normal"/>
    <w:rsid w:val="00724BF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24BF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724BF7"/>
    <w:pPr>
      <w:tabs>
        <w:tab w:val="left" w:pos="1800"/>
        <w:tab w:val="right" w:leader="dot" w:pos="9360"/>
      </w:tabs>
      <w:suppressAutoHyphens/>
      <w:ind w:left="1800" w:right="720" w:hanging="360"/>
    </w:pPr>
    <w:rPr>
      <w:noProof/>
    </w:rPr>
  </w:style>
  <w:style w:type="paragraph" w:styleId="TOC7">
    <w:name w:val="toc 7"/>
    <w:basedOn w:val="Normal"/>
    <w:next w:val="Normal"/>
    <w:autoRedefine/>
    <w:rsid w:val="00724BF7"/>
    <w:pPr>
      <w:tabs>
        <w:tab w:val="left" w:pos="2520"/>
        <w:tab w:val="right" w:leader="dot" w:pos="9360"/>
      </w:tabs>
      <w:suppressAutoHyphens/>
      <w:ind w:left="2520" w:hanging="360"/>
    </w:pPr>
    <w:rPr>
      <w:noProof/>
    </w:rPr>
  </w:style>
  <w:style w:type="paragraph" w:styleId="TOC8">
    <w:name w:val="toc 8"/>
    <w:basedOn w:val="Normal"/>
    <w:next w:val="Normal"/>
    <w:autoRedefine/>
    <w:rsid w:val="00724BF7"/>
    <w:pPr>
      <w:tabs>
        <w:tab w:val="left" w:pos="2880"/>
        <w:tab w:val="right" w:leader="dot" w:pos="9360"/>
      </w:tabs>
      <w:suppressAutoHyphens/>
      <w:ind w:left="2880" w:hanging="360"/>
    </w:pPr>
    <w:rPr>
      <w:noProof/>
    </w:rPr>
  </w:style>
  <w:style w:type="paragraph" w:styleId="TOC9">
    <w:name w:val="toc 9"/>
    <w:basedOn w:val="Normal"/>
    <w:next w:val="Normal"/>
    <w:autoRedefine/>
    <w:rsid w:val="00724BF7"/>
    <w:pPr>
      <w:tabs>
        <w:tab w:val="left" w:pos="3240"/>
        <w:tab w:val="right" w:leader="dot" w:pos="9360"/>
      </w:tabs>
      <w:suppressAutoHyphens/>
      <w:ind w:left="3240" w:hanging="360"/>
    </w:pPr>
    <w:rPr>
      <w:noProof/>
    </w:rPr>
  </w:style>
  <w:style w:type="paragraph" w:styleId="TOAHeading">
    <w:name w:val="toa heading"/>
    <w:basedOn w:val="Normal"/>
    <w:next w:val="Normal"/>
    <w:rsid w:val="00724BF7"/>
    <w:pPr>
      <w:tabs>
        <w:tab w:val="right" w:pos="9360"/>
      </w:tabs>
      <w:suppressAutoHyphens/>
    </w:pPr>
  </w:style>
  <w:style w:type="character" w:customStyle="1" w:styleId="EquationCaption">
    <w:name w:val="_Equation Caption"/>
    <w:rsid w:val="00724BF7"/>
  </w:style>
  <w:style w:type="paragraph" w:styleId="BlockText">
    <w:name w:val="Block Text"/>
    <w:basedOn w:val="Normal"/>
    <w:rsid w:val="00724BF7"/>
    <w:pPr>
      <w:spacing w:after="240"/>
      <w:ind w:left="1440" w:right="1440"/>
    </w:pPr>
  </w:style>
  <w:style w:type="paragraph" w:customStyle="1" w:styleId="Paratitle">
    <w:name w:val="Para title"/>
    <w:basedOn w:val="Normal"/>
    <w:rsid w:val="00724BF7"/>
    <w:pPr>
      <w:tabs>
        <w:tab w:val="center" w:pos="9270"/>
      </w:tabs>
      <w:spacing w:after="240"/>
    </w:pPr>
    <w:rPr>
      <w:spacing w:val="-2"/>
    </w:rPr>
  </w:style>
  <w:style w:type="paragraph" w:customStyle="1" w:styleId="Bullet">
    <w:name w:val="Bullet"/>
    <w:basedOn w:val="Normal"/>
    <w:rsid w:val="00724BF7"/>
    <w:pPr>
      <w:tabs>
        <w:tab w:val="left" w:pos="2160"/>
      </w:tabs>
      <w:spacing w:after="220"/>
      <w:ind w:left="2160" w:hanging="720"/>
    </w:pPr>
  </w:style>
  <w:style w:type="paragraph" w:customStyle="1" w:styleId="TableFormat">
    <w:name w:val="TableFormat"/>
    <w:basedOn w:val="Bullet"/>
    <w:rsid w:val="00724BF7"/>
    <w:pPr>
      <w:tabs>
        <w:tab w:val="clear" w:pos="2160"/>
        <w:tab w:val="left" w:pos="5040"/>
      </w:tabs>
      <w:ind w:left="5040" w:hanging="3600"/>
    </w:pPr>
  </w:style>
  <w:style w:type="paragraph" w:customStyle="1" w:styleId="TOCTitle">
    <w:name w:val="TOC Title"/>
    <w:basedOn w:val="Normal"/>
    <w:rsid w:val="00724BF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24BF7"/>
    <w:pPr>
      <w:jc w:val="center"/>
    </w:pPr>
    <w:rPr>
      <w:rFonts w:ascii="Times New Roman Bold" w:hAnsi="Times New Roman Bold"/>
      <w:b/>
      <w:bCs/>
      <w:caps/>
      <w:szCs w:val="22"/>
    </w:rPr>
  </w:style>
  <w:style w:type="character" w:customStyle="1" w:styleId="HeaderChar">
    <w:name w:val="Header Char"/>
    <w:basedOn w:val="DefaultParagraphFont"/>
    <w:link w:val="Header"/>
    <w:rsid w:val="00C67E07"/>
    <w:rPr>
      <w:b/>
      <w:snapToGrid w:val="0"/>
      <w:kern w:val="28"/>
      <w:sz w:val="22"/>
    </w:rPr>
  </w:style>
  <w:style w:type="paragraph" w:styleId="Revision">
    <w:name w:val="Revision"/>
    <w:hidden/>
    <w:uiPriority w:val="99"/>
    <w:semiHidden/>
    <w:rsid w:val="00675112"/>
    <w:rPr>
      <w:snapToGrid w:val="0"/>
      <w:kern w:val="28"/>
      <w:sz w:val="22"/>
    </w:rPr>
  </w:style>
  <w:style w:type="character" w:customStyle="1" w:styleId="costarpage">
    <w:name w:val="co_starpage"/>
    <w:basedOn w:val="DefaultParagraphFont"/>
    <w:rsid w:val="00C9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F7"/>
    <w:pPr>
      <w:widowControl w:val="0"/>
    </w:pPr>
    <w:rPr>
      <w:snapToGrid w:val="0"/>
      <w:kern w:val="28"/>
      <w:sz w:val="22"/>
    </w:rPr>
  </w:style>
  <w:style w:type="paragraph" w:styleId="Heading1">
    <w:name w:val="heading 1"/>
    <w:basedOn w:val="Normal"/>
    <w:next w:val="ParaNum"/>
    <w:qFormat/>
    <w:rsid w:val="00724BF7"/>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24BF7"/>
    <w:pPr>
      <w:keepNext/>
      <w:numPr>
        <w:ilvl w:val="1"/>
        <w:numId w:val="13"/>
      </w:numPr>
      <w:spacing w:after="120"/>
      <w:outlineLvl w:val="1"/>
    </w:pPr>
    <w:rPr>
      <w:b/>
    </w:rPr>
  </w:style>
  <w:style w:type="paragraph" w:styleId="Heading3">
    <w:name w:val="heading 3"/>
    <w:basedOn w:val="Normal"/>
    <w:next w:val="ParaNum"/>
    <w:link w:val="Heading3Char"/>
    <w:qFormat/>
    <w:rsid w:val="00724BF7"/>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724BF7"/>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724BF7"/>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724BF7"/>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724BF7"/>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724BF7"/>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24BF7"/>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24B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4BF7"/>
  </w:style>
  <w:style w:type="paragraph" w:styleId="Header">
    <w:name w:val="header"/>
    <w:basedOn w:val="Normal"/>
    <w:link w:val="HeaderChar"/>
    <w:autoRedefine/>
    <w:rsid w:val="00724BF7"/>
    <w:pPr>
      <w:tabs>
        <w:tab w:val="center" w:pos="4680"/>
        <w:tab w:val="right" w:pos="9360"/>
      </w:tabs>
    </w:pPr>
    <w:rPr>
      <w:b/>
    </w:rPr>
  </w:style>
  <w:style w:type="paragraph" w:styleId="Footer">
    <w:name w:val="footer"/>
    <w:basedOn w:val="Normal"/>
    <w:rsid w:val="00724BF7"/>
    <w:pPr>
      <w:tabs>
        <w:tab w:val="center" w:pos="4320"/>
        <w:tab w:val="right" w:pos="8640"/>
      </w:tabs>
    </w:pPr>
  </w:style>
  <w:style w:type="character" w:styleId="PageNumber">
    <w:name w:val="page number"/>
    <w:basedOn w:val="DefaultParagraphFont"/>
    <w:rsid w:val="00724BF7"/>
  </w:style>
  <w:style w:type="character" w:styleId="FootnoteReference">
    <w:name w:val="footnote reference"/>
    <w:aliases w:val="Style 12,(NECG) Footnote Reference,Appel note de bas de p,Style 124,Style 4,Style 13,o,fr,Style 3,FR,Style 17,Style 6,Footnote Reference/"/>
    <w:rsid w:val="00724BF7"/>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724BF7"/>
    <w:pPr>
      <w:spacing w:after="120"/>
    </w:pPr>
  </w:style>
  <w:style w:type="paragraph" w:styleId="BodyText">
    <w:name w:val="Body Text"/>
    <w:basedOn w:val="Normal"/>
    <w:rPr>
      <w:snapToGrid/>
    </w:rPr>
  </w:style>
  <w:style w:type="paragraph" w:styleId="Title">
    <w:name w:val="Title"/>
    <w:basedOn w:val="Normal"/>
    <w:qFormat/>
    <w:pPr>
      <w:tabs>
        <w:tab w:val="center" w:pos="4770"/>
      </w:tabs>
      <w:spacing w:line="226" w:lineRule="auto"/>
      <w:jc w:val="center"/>
    </w:pPr>
    <w:rPr>
      <w:b/>
    </w:rPr>
  </w:style>
  <w:style w:type="paragraph" w:styleId="EndnoteText">
    <w:name w:val="endnote text"/>
    <w:basedOn w:val="Normal"/>
    <w:semiHidden/>
    <w:rsid w:val="00724BF7"/>
    <w:rPr>
      <w:sz w:val="20"/>
    </w:rPr>
  </w:style>
  <w:style w:type="character" w:styleId="EndnoteReference">
    <w:name w:val="endnote reference"/>
    <w:semiHidden/>
    <w:rsid w:val="00724BF7"/>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rsid w:val="00724BF7"/>
    <w:pPr>
      <w:tabs>
        <w:tab w:val="left" w:pos="2160"/>
        <w:tab w:val="right" w:leader="dot" w:pos="9360"/>
      </w:tabs>
      <w:suppressAutoHyphens/>
      <w:ind w:left="2160" w:hanging="360"/>
    </w:pPr>
    <w:rPr>
      <w:noProof/>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724BF7"/>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snapToGrid w:val="0"/>
      <w:kern w:val="28"/>
      <w:sz w:val="22"/>
    </w:rPr>
  </w:style>
  <w:style w:type="paragraph" w:customStyle="1" w:styleId="ParaNum">
    <w:name w:val="ParaNum"/>
    <w:basedOn w:val="Normal"/>
    <w:link w:val="ParaNumChar"/>
    <w:rsid w:val="00724BF7"/>
    <w:pPr>
      <w:numPr>
        <w:numId w:val="9"/>
      </w:numPr>
      <w:tabs>
        <w:tab w:val="clear" w:pos="1080"/>
        <w:tab w:val="num" w:pos="1440"/>
      </w:tabs>
      <w:spacing w:after="120"/>
    </w:pPr>
  </w:style>
  <w:style w:type="paragraph" w:styleId="ListParagraph">
    <w:name w:val="List Paragraph"/>
    <w:basedOn w:val="Normal"/>
    <w:uiPriority w:val="99"/>
    <w:qFormat/>
    <w:rsid w:val="008F7F2E"/>
    <w:pPr>
      <w:ind w:left="720"/>
      <w:contextualSpacing/>
    </w:pPr>
    <w:rPr>
      <w:snapToGrid/>
    </w:rPr>
  </w:style>
  <w:style w:type="paragraph" w:customStyle="1" w:styleId="par1">
    <w:name w:val="par1"/>
    <w:basedOn w:val="Normal"/>
    <w:link w:val="par1Char"/>
    <w:uiPriority w:val="99"/>
    <w:rsid w:val="008F7F2E"/>
    <w:pPr>
      <w:numPr>
        <w:numId w:val="10"/>
      </w:numPr>
      <w:tabs>
        <w:tab w:val="num" w:pos="900"/>
        <w:tab w:val="left" w:pos="1440"/>
      </w:tabs>
      <w:ind w:left="-180" w:firstLine="720"/>
    </w:pPr>
    <w:rPr>
      <w:snapToGrid/>
    </w:rPr>
  </w:style>
  <w:style w:type="character" w:customStyle="1" w:styleId="par1Char">
    <w:name w:val="par1 Char"/>
    <w:link w:val="par1"/>
    <w:uiPriority w:val="99"/>
    <w:locked/>
    <w:rsid w:val="008F7F2E"/>
    <w:rPr>
      <w:snapToGrid w:val="0"/>
      <w:kern w:val="28"/>
    </w:rPr>
  </w:style>
  <w:style w:type="character" w:customStyle="1" w:styleId="Heading3Char">
    <w:name w:val="Heading 3 Char"/>
    <w:basedOn w:val="DefaultParagraphFont"/>
    <w:link w:val="Heading3"/>
    <w:rsid w:val="00CF5ECA"/>
    <w:rPr>
      <w:b/>
      <w:snapToGrid w:val="0"/>
      <w:kern w:val="28"/>
      <w:sz w:val="22"/>
    </w:rPr>
  </w:style>
  <w:style w:type="character" w:customStyle="1" w:styleId="Heading4Char">
    <w:name w:val="Heading 4 Char"/>
    <w:basedOn w:val="DefaultParagraphFont"/>
    <w:link w:val="Heading4"/>
    <w:rsid w:val="00CF5ECA"/>
    <w:rPr>
      <w:b/>
      <w:snapToGrid w:val="0"/>
      <w:kern w:val="28"/>
      <w:sz w:val="22"/>
    </w:rPr>
  </w:style>
  <w:style w:type="character" w:customStyle="1" w:styleId="Heading5Char">
    <w:name w:val="Heading 5 Char"/>
    <w:basedOn w:val="DefaultParagraphFont"/>
    <w:link w:val="Heading5"/>
    <w:rsid w:val="00CF5ECA"/>
    <w:rPr>
      <w:b/>
      <w:snapToGrid w:val="0"/>
      <w:kern w:val="28"/>
      <w:sz w:val="22"/>
    </w:rPr>
  </w:style>
  <w:style w:type="character" w:customStyle="1" w:styleId="Heading6Char">
    <w:name w:val="Heading 6 Char"/>
    <w:basedOn w:val="DefaultParagraphFont"/>
    <w:link w:val="Heading6"/>
    <w:rsid w:val="00CF5ECA"/>
    <w:rPr>
      <w:b/>
      <w:snapToGrid w:val="0"/>
      <w:kern w:val="28"/>
      <w:sz w:val="22"/>
    </w:rPr>
  </w:style>
  <w:style w:type="character" w:customStyle="1" w:styleId="Heading7Char">
    <w:name w:val="Heading 7 Char"/>
    <w:basedOn w:val="DefaultParagraphFont"/>
    <w:link w:val="Heading7"/>
    <w:rsid w:val="00CF5ECA"/>
    <w:rPr>
      <w:b/>
      <w:snapToGrid w:val="0"/>
      <w:kern w:val="28"/>
      <w:sz w:val="22"/>
    </w:rPr>
  </w:style>
  <w:style w:type="character" w:customStyle="1" w:styleId="Heading8Char">
    <w:name w:val="Heading 8 Char"/>
    <w:basedOn w:val="DefaultParagraphFont"/>
    <w:link w:val="Heading8"/>
    <w:rsid w:val="00CF5ECA"/>
    <w:rPr>
      <w:b/>
      <w:snapToGrid w:val="0"/>
      <w:kern w:val="28"/>
      <w:sz w:val="22"/>
    </w:rPr>
  </w:style>
  <w:style w:type="character" w:customStyle="1" w:styleId="Heading9Char">
    <w:name w:val="Heading 9 Char"/>
    <w:basedOn w:val="DefaultParagraphFont"/>
    <w:link w:val="Heading9"/>
    <w:rsid w:val="00CF5ECA"/>
    <w:rPr>
      <w:b/>
      <w:snapToGrid w:val="0"/>
      <w:kern w:val="28"/>
      <w:sz w:val="22"/>
    </w:rPr>
  </w:style>
  <w:style w:type="paragraph" w:styleId="TOC1">
    <w:name w:val="toc 1"/>
    <w:basedOn w:val="Normal"/>
    <w:next w:val="Normal"/>
    <w:rsid w:val="00724BF7"/>
    <w:pPr>
      <w:tabs>
        <w:tab w:val="left" w:pos="360"/>
        <w:tab w:val="right" w:leader="dot" w:pos="9360"/>
      </w:tabs>
      <w:suppressAutoHyphens/>
      <w:ind w:left="360" w:right="720" w:hanging="360"/>
    </w:pPr>
    <w:rPr>
      <w:caps/>
      <w:noProof/>
    </w:rPr>
  </w:style>
  <w:style w:type="paragraph" w:styleId="TOC2">
    <w:name w:val="toc 2"/>
    <w:basedOn w:val="Normal"/>
    <w:next w:val="Normal"/>
    <w:rsid w:val="00724BF7"/>
    <w:pPr>
      <w:tabs>
        <w:tab w:val="left" w:pos="720"/>
        <w:tab w:val="right" w:leader="dot" w:pos="9360"/>
      </w:tabs>
      <w:suppressAutoHyphens/>
      <w:ind w:left="720" w:right="720" w:hanging="360"/>
    </w:pPr>
    <w:rPr>
      <w:noProof/>
    </w:rPr>
  </w:style>
  <w:style w:type="paragraph" w:styleId="TOC3">
    <w:name w:val="toc 3"/>
    <w:basedOn w:val="Normal"/>
    <w:next w:val="Normal"/>
    <w:rsid w:val="00724BF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24BF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724BF7"/>
    <w:pPr>
      <w:tabs>
        <w:tab w:val="left" w:pos="1800"/>
        <w:tab w:val="right" w:leader="dot" w:pos="9360"/>
      </w:tabs>
      <w:suppressAutoHyphens/>
      <w:ind w:left="1800" w:right="720" w:hanging="360"/>
    </w:pPr>
    <w:rPr>
      <w:noProof/>
    </w:rPr>
  </w:style>
  <w:style w:type="paragraph" w:styleId="TOC7">
    <w:name w:val="toc 7"/>
    <w:basedOn w:val="Normal"/>
    <w:next w:val="Normal"/>
    <w:autoRedefine/>
    <w:rsid w:val="00724BF7"/>
    <w:pPr>
      <w:tabs>
        <w:tab w:val="left" w:pos="2520"/>
        <w:tab w:val="right" w:leader="dot" w:pos="9360"/>
      </w:tabs>
      <w:suppressAutoHyphens/>
      <w:ind w:left="2520" w:hanging="360"/>
    </w:pPr>
    <w:rPr>
      <w:noProof/>
    </w:rPr>
  </w:style>
  <w:style w:type="paragraph" w:styleId="TOC8">
    <w:name w:val="toc 8"/>
    <w:basedOn w:val="Normal"/>
    <w:next w:val="Normal"/>
    <w:autoRedefine/>
    <w:rsid w:val="00724BF7"/>
    <w:pPr>
      <w:tabs>
        <w:tab w:val="left" w:pos="2880"/>
        <w:tab w:val="right" w:leader="dot" w:pos="9360"/>
      </w:tabs>
      <w:suppressAutoHyphens/>
      <w:ind w:left="2880" w:hanging="360"/>
    </w:pPr>
    <w:rPr>
      <w:noProof/>
    </w:rPr>
  </w:style>
  <w:style w:type="paragraph" w:styleId="TOC9">
    <w:name w:val="toc 9"/>
    <w:basedOn w:val="Normal"/>
    <w:next w:val="Normal"/>
    <w:autoRedefine/>
    <w:rsid w:val="00724BF7"/>
    <w:pPr>
      <w:tabs>
        <w:tab w:val="left" w:pos="3240"/>
        <w:tab w:val="right" w:leader="dot" w:pos="9360"/>
      </w:tabs>
      <w:suppressAutoHyphens/>
      <w:ind w:left="3240" w:hanging="360"/>
    </w:pPr>
    <w:rPr>
      <w:noProof/>
    </w:rPr>
  </w:style>
  <w:style w:type="paragraph" w:styleId="TOAHeading">
    <w:name w:val="toa heading"/>
    <w:basedOn w:val="Normal"/>
    <w:next w:val="Normal"/>
    <w:rsid w:val="00724BF7"/>
    <w:pPr>
      <w:tabs>
        <w:tab w:val="right" w:pos="9360"/>
      </w:tabs>
      <w:suppressAutoHyphens/>
    </w:pPr>
  </w:style>
  <w:style w:type="character" w:customStyle="1" w:styleId="EquationCaption">
    <w:name w:val="_Equation Caption"/>
    <w:rsid w:val="00724BF7"/>
  </w:style>
  <w:style w:type="paragraph" w:styleId="BlockText">
    <w:name w:val="Block Text"/>
    <w:basedOn w:val="Normal"/>
    <w:rsid w:val="00724BF7"/>
    <w:pPr>
      <w:spacing w:after="240"/>
      <w:ind w:left="1440" w:right="1440"/>
    </w:pPr>
  </w:style>
  <w:style w:type="paragraph" w:customStyle="1" w:styleId="Paratitle">
    <w:name w:val="Para title"/>
    <w:basedOn w:val="Normal"/>
    <w:rsid w:val="00724BF7"/>
    <w:pPr>
      <w:tabs>
        <w:tab w:val="center" w:pos="9270"/>
      </w:tabs>
      <w:spacing w:after="240"/>
    </w:pPr>
    <w:rPr>
      <w:spacing w:val="-2"/>
    </w:rPr>
  </w:style>
  <w:style w:type="paragraph" w:customStyle="1" w:styleId="Bullet">
    <w:name w:val="Bullet"/>
    <w:basedOn w:val="Normal"/>
    <w:rsid w:val="00724BF7"/>
    <w:pPr>
      <w:tabs>
        <w:tab w:val="left" w:pos="2160"/>
      </w:tabs>
      <w:spacing w:after="220"/>
      <w:ind w:left="2160" w:hanging="720"/>
    </w:pPr>
  </w:style>
  <w:style w:type="paragraph" w:customStyle="1" w:styleId="TableFormat">
    <w:name w:val="TableFormat"/>
    <w:basedOn w:val="Bullet"/>
    <w:rsid w:val="00724BF7"/>
    <w:pPr>
      <w:tabs>
        <w:tab w:val="clear" w:pos="2160"/>
        <w:tab w:val="left" w:pos="5040"/>
      </w:tabs>
      <w:ind w:left="5040" w:hanging="3600"/>
    </w:pPr>
  </w:style>
  <w:style w:type="paragraph" w:customStyle="1" w:styleId="TOCTitle">
    <w:name w:val="TOC Title"/>
    <w:basedOn w:val="Normal"/>
    <w:rsid w:val="00724BF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24BF7"/>
    <w:pPr>
      <w:jc w:val="center"/>
    </w:pPr>
    <w:rPr>
      <w:rFonts w:ascii="Times New Roman Bold" w:hAnsi="Times New Roman Bold"/>
      <w:b/>
      <w:bCs/>
      <w:caps/>
      <w:szCs w:val="22"/>
    </w:rPr>
  </w:style>
  <w:style w:type="character" w:customStyle="1" w:styleId="HeaderChar">
    <w:name w:val="Header Char"/>
    <w:basedOn w:val="DefaultParagraphFont"/>
    <w:link w:val="Header"/>
    <w:rsid w:val="00C67E07"/>
    <w:rPr>
      <w:b/>
      <w:snapToGrid w:val="0"/>
      <w:kern w:val="28"/>
      <w:sz w:val="22"/>
    </w:rPr>
  </w:style>
  <w:style w:type="paragraph" w:styleId="Revision">
    <w:name w:val="Revision"/>
    <w:hidden/>
    <w:uiPriority w:val="99"/>
    <w:semiHidden/>
    <w:rsid w:val="00675112"/>
    <w:rPr>
      <w:snapToGrid w:val="0"/>
      <w:kern w:val="28"/>
      <w:sz w:val="22"/>
    </w:rPr>
  </w:style>
  <w:style w:type="character" w:customStyle="1" w:styleId="costarpage">
    <w:name w:val="co_starpage"/>
    <w:basedOn w:val="DefaultParagraphFont"/>
    <w:rsid w:val="00C9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228">
      <w:bodyDiv w:val="1"/>
      <w:marLeft w:val="0"/>
      <w:marRight w:val="0"/>
      <w:marTop w:val="0"/>
      <w:marBottom w:val="0"/>
      <w:divBdr>
        <w:top w:val="none" w:sz="0" w:space="0" w:color="auto"/>
        <w:left w:val="none" w:sz="0" w:space="0" w:color="auto"/>
        <w:bottom w:val="none" w:sz="0" w:space="0" w:color="auto"/>
        <w:right w:val="none" w:sz="0" w:space="0" w:color="auto"/>
      </w:divBdr>
    </w:div>
    <w:div w:id="366032799">
      <w:bodyDiv w:val="1"/>
      <w:marLeft w:val="0"/>
      <w:marRight w:val="0"/>
      <w:marTop w:val="0"/>
      <w:marBottom w:val="0"/>
      <w:divBdr>
        <w:top w:val="none" w:sz="0" w:space="0" w:color="auto"/>
        <w:left w:val="none" w:sz="0" w:space="0" w:color="auto"/>
        <w:bottom w:val="none" w:sz="0" w:space="0" w:color="auto"/>
        <w:right w:val="none" w:sz="0" w:space="0" w:color="auto"/>
      </w:divBdr>
    </w:div>
    <w:div w:id="824901932">
      <w:bodyDiv w:val="1"/>
      <w:marLeft w:val="0"/>
      <w:marRight w:val="0"/>
      <w:marTop w:val="0"/>
      <w:marBottom w:val="0"/>
      <w:divBdr>
        <w:top w:val="none" w:sz="0" w:space="0" w:color="auto"/>
        <w:left w:val="none" w:sz="0" w:space="0" w:color="auto"/>
        <w:bottom w:val="none" w:sz="0" w:space="0" w:color="auto"/>
        <w:right w:val="none" w:sz="0" w:space="0" w:color="auto"/>
      </w:divBdr>
    </w:div>
    <w:div w:id="911815933">
      <w:bodyDiv w:val="1"/>
      <w:marLeft w:val="0"/>
      <w:marRight w:val="0"/>
      <w:marTop w:val="0"/>
      <w:marBottom w:val="0"/>
      <w:divBdr>
        <w:top w:val="none" w:sz="0" w:space="0" w:color="auto"/>
        <w:left w:val="none" w:sz="0" w:space="0" w:color="auto"/>
        <w:bottom w:val="none" w:sz="0" w:space="0" w:color="auto"/>
        <w:right w:val="none" w:sz="0" w:space="0" w:color="auto"/>
      </w:divBdr>
    </w:div>
    <w:div w:id="998853101">
      <w:bodyDiv w:val="1"/>
      <w:marLeft w:val="0"/>
      <w:marRight w:val="0"/>
      <w:marTop w:val="0"/>
      <w:marBottom w:val="0"/>
      <w:divBdr>
        <w:top w:val="none" w:sz="0" w:space="0" w:color="auto"/>
        <w:left w:val="none" w:sz="0" w:space="0" w:color="auto"/>
        <w:bottom w:val="none" w:sz="0" w:space="0" w:color="auto"/>
        <w:right w:val="none" w:sz="0" w:space="0" w:color="auto"/>
      </w:divBdr>
      <w:divsChild>
        <w:div w:id="2146191066">
          <w:marLeft w:val="0"/>
          <w:marRight w:val="0"/>
          <w:marTop w:val="0"/>
          <w:marBottom w:val="0"/>
          <w:divBdr>
            <w:top w:val="none" w:sz="0" w:space="0" w:color="auto"/>
            <w:left w:val="none" w:sz="0" w:space="0" w:color="auto"/>
            <w:bottom w:val="none" w:sz="0" w:space="0" w:color="auto"/>
            <w:right w:val="none" w:sz="0" w:space="0" w:color="auto"/>
          </w:divBdr>
        </w:div>
        <w:div w:id="1933590159">
          <w:marLeft w:val="0"/>
          <w:marRight w:val="0"/>
          <w:marTop w:val="0"/>
          <w:marBottom w:val="0"/>
          <w:divBdr>
            <w:top w:val="none" w:sz="0" w:space="0" w:color="auto"/>
            <w:left w:val="none" w:sz="0" w:space="0" w:color="auto"/>
            <w:bottom w:val="none" w:sz="0" w:space="0" w:color="auto"/>
            <w:right w:val="none" w:sz="0" w:space="0" w:color="auto"/>
          </w:divBdr>
          <w:divsChild>
            <w:div w:id="635914265">
              <w:marLeft w:val="0"/>
              <w:marRight w:val="0"/>
              <w:marTop w:val="0"/>
              <w:marBottom w:val="0"/>
              <w:divBdr>
                <w:top w:val="none" w:sz="0" w:space="0" w:color="auto"/>
                <w:left w:val="none" w:sz="0" w:space="0" w:color="auto"/>
                <w:bottom w:val="none" w:sz="0" w:space="0" w:color="auto"/>
                <w:right w:val="none" w:sz="0" w:space="0" w:color="auto"/>
              </w:divBdr>
            </w:div>
          </w:divsChild>
        </w:div>
        <w:div w:id="1954286640">
          <w:marLeft w:val="0"/>
          <w:marRight w:val="0"/>
          <w:marTop w:val="0"/>
          <w:marBottom w:val="0"/>
          <w:divBdr>
            <w:top w:val="none" w:sz="0" w:space="0" w:color="auto"/>
            <w:left w:val="none" w:sz="0" w:space="0" w:color="auto"/>
            <w:bottom w:val="none" w:sz="0" w:space="0" w:color="auto"/>
            <w:right w:val="none" w:sz="0" w:space="0" w:color="auto"/>
          </w:divBdr>
          <w:divsChild>
            <w:div w:id="115880439">
              <w:marLeft w:val="0"/>
              <w:marRight w:val="0"/>
              <w:marTop w:val="0"/>
              <w:marBottom w:val="0"/>
              <w:divBdr>
                <w:top w:val="none" w:sz="0" w:space="0" w:color="auto"/>
                <w:left w:val="none" w:sz="0" w:space="0" w:color="auto"/>
                <w:bottom w:val="none" w:sz="0" w:space="0" w:color="auto"/>
                <w:right w:val="none" w:sz="0" w:space="0" w:color="auto"/>
              </w:divBdr>
            </w:div>
          </w:divsChild>
        </w:div>
        <w:div w:id="462120661">
          <w:marLeft w:val="0"/>
          <w:marRight w:val="0"/>
          <w:marTop w:val="0"/>
          <w:marBottom w:val="0"/>
          <w:divBdr>
            <w:top w:val="none" w:sz="0" w:space="0" w:color="auto"/>
            <w:left w:val="none" w:sz="0" w:space="0" w:color="auto"/>
            <w:bottom w:val="none" w:sz="0" w:space="0" w:color="auto"/>
            <w:right w:val="none" w:sz="0" w:space="0" w:color="auto"/>
          </w:divBdr>
          <w:divsChild>
            <w:div w:id="242837939">
              <w:marLeft w:val="0"/>
              <w:marRight w:val="0"/>
              <w:marTop w:val="0"/>
              <w:marBottom w:val="0"/>
              <w:divBdr>
                <w:top w:val="none" w:sz="0" w:space="0" w:color="auto"/>
                <w:left w:val="none" w:sz="0" w:space="0" w:color="auto"/>
                <w:bottom w:val="none" w:sz="0" w:space="0" w:color="auto"/>
                <w:right w:val="none" w:sz="0" w:space="0" w:color="auto"/>
              </w:divBdr>
            </w:div>
          </w:divsChild>
        </w:div>
        <w:div w:id="697389524">
          <w:marLeft w:val="0"/>
          <w:marRight w:val="0"/>
          <w:marTop w:val="0"/>
          <w:marBottom w:val="0"/>
          <w:divBdr>
            <w:top w:val="none" w:sz="0" w:space="0" w:color="auto"/>
            <w:left w:val="none" w:sz="0" w:space="0" w:color="auto"/>
            <w:bottom w:val="none" w:sz="0" w:space="0" w:color="auto"/>
            <w:right w:val="none" w:sz="0" w:space="0" w:color="auto"/>
          </w:divBdr>
          <w:divsChild>
            <w:div w:id="225994520">
              <w:marLeft w:val="0"/>
              <w:marRight w:val="0"/>
              <w:marTop w:val="0"/>
              <w:marBottom w:val="0"/>
              <w:divBdr>
                <w:top w:val="none" w:sz="0" w:space="0" w:color="auto"/>
                <w:left w:val="none" w:sz="0" w:space="0" w:color="auto"/>
                <w:bottom w:val="none" w:sz="0" w:space="0" w:color="auto"/>
                <w:right w:val="none" w:sz="0" w:space="0" w:color="auto"/>
              </w:divBdr>
            </w:div>
          </w:divsChild>
        </w:div>
        <w:div w:id="1955862742">
          <w:marLeft w:val="0"/>
          <w:marRight w:val="0"/>
          <w:marTop w:val="0"/>
          <w:marBottom w:val="0"/>
          <w:divBdr>
            <w:top w:val="none" w:sz="0" w:space="0" w:color="auto"/>
            <w:left w:val="none" w:sz="0" w:space="0" w:color="auto"/>
            <w:bottom w:val="none" w:sz="0" w:space="0" w:color="auto"/>
            <w:right w:val="none" w:sz="0" w:space="0" w:color="auto"/>
          </w:divBdr>
          <w:divsChild>
            <w:div w:id="1082142863">
              <w:marLeft w:val="0"/>
              <w:marRight w:val="0"/>
              <w:marTop w:val="0"/>
              <w:marBottom w:val="0"/>
              <w:divBdr>
                <w:top w:val="none" w:sz="0" w:space="0" w:color="auto"/>
                <w:left w:val="none" w:sz="0" w:space="0" w:color="auto"/>
                <w:bottom w:val="none" w:sz="0" w:space="0" w:color="auto"/>
                <w:right w:val="none" w:sz="0" w:space="0" w:color="auto"/>
              </w:divBdr>
            </w:div>
          </w:divsChild>
        </w:div>
        <w:div w:id="680859847">
          <w:marLeft w:val="0"/>
          <w:marRight w:val="0"/>
          <w:marTop w:val="0"/>
          <w:marBottom w:val="0"/>
          <w:divBdr>
            <w:top w:val="none" w:sz="0" w:space="0" w:color="auto"/>
            <w:left w:val="none" w:sz="0" w:space="0" w:color="auto"/>
            <w:bottom w:val="none" w:sz="0" w:space="0" w:color="auto"/>
            <w:right w:val="none" w:sz="0" w:space="0" w:color="auto"/>
          </w:divBdr>
          <w:divsChild>
            <w:div w:id="1503810463">
              <w:marLeft w:val="0"/>
              <w:marRight w:val="0"/>
              <w:marTop w:val="0"/>
              <w:marBottom w:val="0"/>
              <w:divBdr>
                <w:top w:val="none" w:sz="0" w:space="0" w:color="auto"/>
                <w:left w:val="none" w:sz="0" w:space="0" w:color="auto"/>
                <w:bottom w:val="none" w:sz="0" w:space="0" w:color="auto"/>
                <w:right w:val="none" w:sz="0" w:space="0" w:color="auto"/>
              </w:divBdr>
            </w:div>
          </w:divsChild>
        </w:div>
        <w:div w:id="767039299">
          <w:marLeft w:val="0"/>
          <w:marRight w:val="0"/>
          <w:marTop w:val="0"/>
          <w:marBottom w:val="0"/>
          <w:divBdr>
            <w:top w:val="none" w:sz="0" w:space="0" w:color="auto"/>
            <w:left w:val="none" w:sz="0" w:space="0" w:color="auto"/>
            <w:bottom w:val="none" w:sz="0" w:space="0" w:color="auto"/>
            <w:right w:val="none" w:sz="0" w:space="0" w:color="auto"/>
          </w:divBdr>
          <w:divsChild>
            <w:div w:id="268587308">
              <w:marLeft w:val="0"/>
              <w:marRight w:val="0"/>
              <w:marTop w:val="0"/>
              <w:marBottom w:val="0"/>
              <w:divBdr>
                <w:top w:val="none" w:sz="0" w:space="0" w:color="auto"/>
                <w:left w:val="none" w:sz="0" w:space="0" w:color="auto"/>
                <w:bottom w:val="none" w:sz="0" w:space="0" w:color="auto"/>
                <w:right w:val="none" w:sz="0" w:space="0" w:color="auto"/>
              </w:divBdr>
            </w:div>
          </w:divsChild>
        </w:div>
        <w:div w:id="201746661">
          <w:marLeft w:val="0"/>
          <w:marRight w:val="0"/>
          <w:marTop w:val="0"/>
          <w:marBottom w:val="0"/>
          <w:divBdr>
            <w:top w:val="none" w:sz="0" w:space="0" w:color="auto"/>
            <w:left w:val="none" w:sz="0" w:space="0" w:color="auto"/>
            <w:bottom w:val="none" w:sz="0" w:space="0" w:color="auto"/>
            <w:right w:val="none" w:sz="0" w:space="0" w:color="auto"/>
          </w:divBdr>
          <w:divsChild>
            <w:div w:id="21313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3432">
      <w:bodyDiv w:val="1"/>
      <w:marLeft w:val="0"/>
      <w:marRight w:val="0"/>
      <w:marTop w:val="0"/>
      <w:marBottom w:val="0"/>
      <w:divBdr>
        <w:top w:val="none" w:sz="0" w:space="0" w:color="auto"/>
        <w:left w:val="none" w:sz="0" w:space="0" w:color="auto"/>
        <w:bottom w:val="none" w:sz="0" w:space="0" w:color="auto"/>
        <w:right w:val="none" w:sz="0" w:space="0" w:color="auto"/>
      </w:divBdr>
    </w:div>
    <w:div w:id="1277522232">
      <w:bodyDiv w:val="1"/>
      <w:marLeft w:val="0"/>
      <w:marRight w:val="0"/>
      <w:marTop w:val="0"/>
      <w:marBottom w:val="0"/>
      <w:divBdr>
        <w:top w:val="none" w:sz="0" w:space="0" w:color="auto"/>
        <w:left w:val="none" w:sz="0" w:space="0" w:color="auto"/>
        <w:bottom w:val="none" w:sz="0" w:space="0" w:color="auto"/>
        <w:right w:val="none" w:sz="0" w:space="0" w:color="auto"/>
      </w:divBdr>
    </w:div>
    <w:div w:id="1830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1797</Words>
  <Characters>9753</Characters>
  <Application>Microsoft Office Word</Application>
  <DocSecurity>0</DocSecurity>
  <Lines>158</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11572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2016-02-18T18:56:00Z</dcterms:created>
  <dcterms:modified xsi:type="dcterms:W3CDTF">2016-02-18T18:56:00Z</dcterms:modified>
  <cp:category> </cp:category>
  <cp:contentStatus> </cp:contentStatus>
</cp:coreProperties>
</file>