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27" w:rsidRPr="00125CFE" w:rsidRDefault="005C1D27" w:rsidP="005C1D27">
      <w:pPr>
        <w:spacing w:after="240"/>
        <w:jc w:val="center"/>
        <w:rPr>
          <w:b/>
        </w:rPr>
      </w:pPr>
      <w:bookmarkStart w:id="0" w:name="_GoBack"/>
      <w:bookmarkEnd w:id="0"/>
      <w:r w:rsidRPr="00125CFE">
        <w:rPr>
          <w:b/>
        </w:rPr>
        <w:t>STATEMENT OF</w:t>
      </w:r>
      <w:r w:rsidRPr="00125CFE">
        <w:rPr>
          <w:b/>
        </w:rPr>
        <w:br/>
        <w:t>COMMISSIONER AJIT PAI</w:t>
      </w:r>
    </w:p>
    <w:p w:rsidR="005C1D27" w:rsidRPr="009C2B1A" w:rsidRDefault="005C1D27" w:rsidP="0002689E">
      <w:pPr>
        <w:spacing w:after="240"/>
      </w:pPr>
      <w:r>
        <w:t>Re:</w:t>
      </w:r>
      <w:r>
        <w:tab/>
      </w:r>
      <w:r>
        <w:rPr>
          <w:i/>
        </w:rPr>
        <w:t>Rates for Interstate Inmate Calling Services</w:t>
      </w:r>
      <w:r>
        <w:t>, WC Docket No. 12-375.</w:t>
      </w:r>
    </w:p>
    <w:p w:rsidR="005C1D27" w:rsidRDefault="005C1D27" w:rsidP="005C1D27">
      <w:pPr>
        <w:ind w:firstLine="720"/>
      </w:pPr>
      <w:r>
        <w:t xml:space="preserve">This </w:t>
      </w:r>
      <w:r>
        <w:rPr>
          <w:i/>
        </w:rPr>
        <w:t>Order</w:t>
      </w:r>
      <w:r>
        <w:t xml:space="preserve"> proclaims that “Pay Tel is entitled to have the representation it desires, </w:t>
      </w:r>
      <w:r w:rsidRPr="006F5FA3">
        <w:t xml:space="preserve">and </w:t>
      </w:r>
      <w:r>
        <w:t>its</w:t>
      </w:r>
      <w:r w:rsidRPr="006F5FA3">
        <w:t xml:space="preserve"> </w:t>
      </w:r>
      <w:r>
        <w:t xml:space="preserve">outside </w:t>
      </w:r>
      <w:r w:rsidRPr="006F5FA3">
        <w:t xml:space="preserve">counsel </w:t>
      </w:r>
      <w:r>
        <w:t xml:space="preserve">is entitled </w:t>
      </w:r>
      <w:r w:rsidRPr="006F5FA3">
        <w:t>to have access to all the information it needs to</w:t>
      </w:r>
      <w:r>
        <w:t xml:space="preserve"> zealously represent its client,”</w:t>
      </w:r>
      <w:r>
        <w:rPr>
          <w:rStyle w:val="FootnoteReference"/>
        </w:rPr>
        <w:footnoteReference w:id="1"/>
      </w:r>
      <w:r>
        <w:t xml:space="preserve"> that Pay Tel’s “outside counsel does need access to the information at issue in order to meaningfully participate in this proceeding,”</w:t>
      </w:r>
      <w:r>
        <w:rPr>
          <w:rStyle w:val="FootnoteReference"/>
        </w:rPr>
        <w:footnoteReference w:id="2"/>
      </w:r>
      <w:r>
        <w:t xml:space="preserve"> and that the FCC will not “tie one hand behind counsels’ backs.”</w:t>
      </w:r>
      <w:r>
        <w:rPr>
          <w:rStyle w:val="FootnoteReference"/>
        </w:rPr>
        <w:footnoteReference w:id="3"/>
      </w:r>
      <w:r>
        <w:t xml:space="preserve">  I couldn’t agree more.</w:t>
      </w:r>
    </w:p>
    <w:p w:rsidR="005C1D27" w:rsidRDefault="005C1D27" w:rsidP="005C1D27">
      <w:pPr>
        <w:ind w:firstLine="720"/>
      </w:pPr>
      <w:r>
        <w:t>But it’s a little late for such high-minded rhetoric.  For two years, Pay Tel’s outside counsel has patiently waited for access to the cost data in this proceeding.</w:t>
      </w:r>
      <w:r>
        <w:rPr>
          <w:rStyle w:val="FootnoteReference"/>
        </w:rPr>
        <w:footnoteReference w:id="4"/>
      </w:r>
      <w:r>
        <w:t xml:space="preserve">  This is the cost data that the FCC demanded from inmate calling service providers in August 2013 to inform its ratemaking.</w:t>
      </w:r>
      <w:r>
        <w:rPr>
          <w:rStyle w:val="FootnoteReference"/>
        </w:rPr>
        <w:footnoteReference w:id="5"/>
      </w:r>
      <w:r>
        <w:t xml:space="preserve">  This is the cost data that </w:t>
      </w:r>
      <w:r w:rsidR="00716D7D">
        <w:t xml:space="preserve">the </w:t>
      </w:r>
      <w:r>
        <w:t>FCC analyzed to propose rate caps in October 2014.</w:t>
      </w:r>
      <w:r>
        <w:rPr>
          <w:rStyle w:val="FootnoteReference"/>
        </w:rPr>
        <w:footnoteReference w:id="6"/>
      </w:r>
      <w:r>
        <w:t xml:space="preserve">  And this is the cost data that the FCC used to justify rate caps in November 2015.</w:t>
      </w:r>
      <w:r>
        <w:rPr>
          <w:rStyle w:val="FootnoteReference"/>
        </w:rPr>
        <w:footnoteReference w:id="7"/>
      </w:r>
      <w:r>
        <w:t xml:space="preserve">  Indeed, the FCC cited confidential data 40 separate times in its most recent order—and had to redact each citation from the public version of that order.</w:t>
      </w:r>
      <w:r>
        <w:rPr>
          <w:rStyle w:val="FootnoteReference"/>
        </w:rPr>
        <w:footnoteReference w:id="8"/>
      </w:r>
    </w:p>
    <w:p w:rsidR="005C1D27" w:rsidRDefault="005C1D27" w:rsidP="005C1D27">
      <w:pPr>
        <w:ind w:firstLine="720"/>
      </w:pPr>
      <w:r>
        <w:t xml:space="preserve">How was Pay Tel’s outside counsel supposed to “zealously represent its client” or “meaningfully participate” in this rulemaking with “one hand [tied] behind counsels’ backs”?  The </w:t>
      </w:r>
      <w:r>
        <w:rPr>
          <w:i/>
        </w:rPr>
        <w:t>Order</w:t>
      </w:r>
      <w:r>
        <w:t xml:space="preserve"> offers no answer.  Nor does it offer any reason for the long delay in adjudicating this dispute.  Although I support today’s order—the proverb “better late than never” comes to mind—I am disturbed that we may have deprived a party of its administrative rights through inaction.  That’s unacceptable and yet another troubling sign that the FCC’s processes are in desperate need of reform.</w:t>
      </w:r>
    </w:p>
    <w:sectPr w:rsidR="005C1D27" w:rsidSect="0070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EF" w:rsidRDefault="00B250EF" w:rsidP="00707EF7">
      <w:pPr>
        <w:spacing w:after="0"/>
      </w:pPr>
      <w:r>
        <w:separator/>
      </w:r>
    </w:p>
  </w:endnote>
  <w:endnote w:type="continuationSeparator" w:id="0">
    <w:p w:rsidR="00B250EF" w:rsidRDefault="00B250EF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7" w:rsidRDefault="00BA37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7" w:rsidRDefault="00BA37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EF" w:rsidRDefault="00B250EF" w:rsidP="00707EF7">
      <w:pPr>
        <w:spacing w:after="0"/>
      </w:pPr>
      <w:r>
        <w:separator/>
      </w:r>
    </w:p>
  </w:footnote>
  <w:footnote w:type="continuationSeparator" w:id="0">
    <w:p w:rsidR="00B250EF" w:rsidRDefault="00B250EF" w:rsidP="00707EF7">
      <w:pPr>
        <w:spacing w:after="0"/>
      </w:pPr>
      <w:r>
        <w:continuationSeparator/>
      </w:r>
    </w:p>
  </w:footnote>
  <w:footnote w:id="1">
    <w:p w:rsidR="005C1D27" w:rsidRPr="009C2B1A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Order</w:t>
      </w:r>
      <w:r>
        <w:t xml:space="preserve"> at para. 26.</w:t>
      </w:r>
    </w:p>
  </w:footnote>
  <w:footnote w:id="2">
    <w:p w:rsidR="005C1D27" w:rsidRPr="009C2B1A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</w:p>
  </w:footnote>
  <w:footnote w:id="3">
    <w:p w:rsidR="005C1D27" w:rsidRPr="009C2B1A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Order</w:t>
      </w:r>
      <w:r>
        <w:t xml:space="preserve"> at para. 22.</w:t>
      </w:r>
    </w:p>
  </w:footnote>
  <w:footnote w:id="4">
    <w:p w:rsidR="005C1D27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Both counsel signed the required acknowledgement of confidentiality in January 2014.  </w:t>
      </w:r>
      <w:r w:rsidRPr="0000559D">
        <w:rPr>
          <w:i/>
        </w:rPr>
        <w:t>See</w:t>
      </w:r>
      <w:r>
        <w:t xml:space="preserve"> </w:t>
      </w:r>
      <w:r w:rsidRPr="00D32716">
        <w:t>Letter from Timothy G. Nelson, Counsel to Pay Tel, to Marlene H. Dortch, Secret</w:t>
      </w:r>
      <w:r>
        <w:t xml:space="preserve">ary, FCC, WC Docket No. 12-375 </w:t>
      </w:r>
      <w:r w:rsidRPr="00D32716">
        <w:t>(Jan. 17, 2014).</w:t>
      </w:r>
    </w:p>
  </w:footnote>
  <w:footnote w:id="5">
    <w:p w:rsidR="005C1D27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Rates for Interstate Inmate Calling Services</w:t>
      </w:r>
      <w:r>
        <w:t>, WC Docket No. 12-375, Report and Order and Further Notice of Proposed Rulemaking, 28 FCC Rcd 14107, 14172, para. 125 (2013).</w:t>
      </w:r>
    </w:p>
  </w:footnote>
  <w:footnote w:id="6">
    <w:p w:rsidR="005C1D27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Rates for Interstate Inmate Calling Services</w:t>
      </w:r>
      <w:r>
        <w:t>, WC Docket No. 12-375, Second Further Notice of Proposed Rulemaking, 29 FCC Rcd 13170, 13191–94, paras. 49–59 (2014).</w:t>
      </w:r>
    </w:p>
  </w:footnote>
  <w:footnote w:id="7">
    <w:p w:rsidR="005C1D27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Rates for Interstate Inmate Calling Services</w:t>
      </w:r>
      <w:r>
        <w:t>, WC Docket No. 12-375, Second Report and Order and Third Further Notice of Proposed Rulemaking, 30 FCC Rcd 12763, 12788–97, paras. 50–70 (2015).</w:t>
      </w:r>
    </w:p>
  </w:footnote>
  <w:footnote w:id="8">
    <w:p w:rsidR="005C1D27" w:rsidRPr="007B1D67" w:rsidRDefault="005C1D27" w:rsidP="005C1D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Id.</w:t>
      </w:r>
      <w:r>
        <w:t xml:space="preserve"> at 12787, para. 49; </w:t>
      </w:r>
      <w:r>
        <w:rPr>
          <w:i/>
        </w:rPr>
        <w:t>id.</w:t>
      </w:r>
      <w:r>
        <w:t xml:space="preserve"> at 12788, para. 49 &amp; n.154;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12790, n.174 (twice);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12791, para. 55; </w:t>
      </w:r>
      <w:r>
        <w:rPr>
          <w:i/>
        </w:rPr>
        <w:t>id.</w:t>
      </w:r>
      <w:r>
        <w:t xml:space="preserve"> at 12793, n.186;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12795, para. 63 (twice) &amp; nn.192 (twice), 194 (seven times), 195 (thrice), 196, 197 (thrice); </w:t>
      </w:r>
      <w:r>
        <w:rPr>
          <w:i/>
        </w:rPr>
        <w:t>id.</w:t>
      </w:r>
      <w:r>
        <w:t xml:space="preserve"> at 12796, para. 64 (twice) &amp; nn.198, 199, 200, 201 (twice), 202;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12797, n.204;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12799, n.217; </w:t>
      </w:r>
      <w:r>
        <w:rPr>
          <w:i/>
        </w:rPr>
        <w:t>id.</w:t>
      </w:r>
      <w:r>
        <w:t xml:space="preserve"> at 12800, n.221;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12801, paras. 74, 75;</w:t>
      </w:r>
      <w:r w:rsidRPr="007B1D67">
        <w:rPr>
          <w:i/>
        </w:rPr>
        <w:t xml:space="preserve"> </w:t>
      </w:r>
      <w:r>
        <w:rPr>
          <w:i/>
        </w:rPr>
        <w:t>id.</w:t>
      </w:r>
      <w:r>
        <w:t xml:space="preserve"> at 12806, n.265 (twice).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7" w:rsidRDefault="00BA37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7" w:rsidRDefault="00BA37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D7" w:rsidRDefault="00BA3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2689E"/>
    <w:rsid w:val="00234381"/>
    <w:rsid w:val="00382F6B"/>
    <w:rsid w:val="004000BC"/>
    <w:rsid w:val="004B204E"/>
    <w:rsid w:val="005C1D27"/>
    <w:rsid w:val="00707EF7"/>
    <w:rsid w:val="00716D7D"/>
    <w:rsid w:val="00855A8C"/>
    <w:rsid w:val="008E1764"/>
    <w:rsid w:val="00B250EF"/>
    <w:rsid w:val="00B50A38"/>
    <w:rsid w:val="00BA37D7"/>
    <w:rsid w:val="00BA6AAD"/>
    <w:rsid w:val="00DC27D0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F6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F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F6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F6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2016-03-07T21:06:00Z</dcterms:created>
  <dcterms:modified xsi:type="dcterms:W3CDTF">2016-03-07T21:06:00Z</dcterms:modified>
  <cp:category> </cp:category>
  <cp:contentStatus> </cp:contentStatus>
</cp:coreProperties>
</file>